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EECFA9">
      <w:pPr>
        <w:adjustRightInd w:val="0"/>
        <w:snapToGrid w:val="0"/>
        <w:spacing w:line="360" w:lineRule="auto"/>
        <w:jc w:val="center"/>
        <w:rPr>
          <w:rFonts w:cs="Arial" w:asciiTheme="minorEastAsia" w:hAnsiTheme="minorEastAsia" w:eastAsiaTheme="minorEastAsia"/>
          <w:b/>
          <w:color w:val="0D0D0D" w:themeColor="text1" w:themeTint="F2"/>
          <w:sz w:val="36"/>
          <w:szCs w:val="36"/>
          <w14:textFill>
            <w14:solidFill>
              <w14:schemeClr w14:val="tx1">
                <w14:lumMod w14:val="95000"/>
                <w14:lumOff w14:val="5000"/>
              </w14:schemeClr>
            </w14:solidFill>
          </w14:textFill>
        </w:rPr>
      </w:pPr>
      <w:bookmarkStart w:id="0" w:name="TITLE_8ad66bbe17e94d1c9f15e64eec6d06ab"/>
      <w:r>
        <w:rPr>
          <w:rFonts w:asciiTheme="minorEastAsia" w:hAnsiTheme="minorEastAsia" w:eastAsiaTheme="minorEastAsia"/>
        </w:rPr>
        <w:t xml:space="preserve"> </w:t>
      </w:r>
      <w:bookmarkEnd w:id="0"/>
      <w:bookmarkStart w:id="1" w:name="CTS_1e4cda9ef7d04a03af2d4d340c1d96cc"/>
      <w:bookmarkEnd w:id="1"/>
      <w:bookmarkStart w:id="2" w:name="CLAUSE_1e4cda9ef7d04a03af2d4d340c1d96cc"/>
    </w:p>
    <w:p w14:paraId="0E15483C">
      <w:pPr>
        <w:adjustRightInd w:val="0"/>
        <w:snapToGrid w:val="0"/>
        <w:spacing w:line="360" w:lineRule="auto"/>
        <w:jc w:val="center"/>
        <w:rPr>
          <w:rFonts w:cs="Arial" w:asciiTheme="minorEastAsia" w:hAnsiTheme="minorEastAsia" w:eastAsiaTheme="minorEastAsia"/>
          <w:b/>
          <w:color w:val="0D0D0D" w:themeColor="text1" w:themeTint="F2"/>
          <w:sz w:val="36"/>
          <w:szCs w:val="36"/>
          <w14:textFill>
            <w14:solidFill>
              <w14:schemeClr w14:val="tx1">
                <w14:lumMod w14:val="95000"/>
                <w14:lumOff w14:val="5000"/>
              </w14:schemeClr>
            </w14:solidFill>
          </w14:textFill>
        </w:rPr>
      </w:pPr>
    </w:p>
    <w:p w14:paraId="57354B97">
      <w:pPr>
        <w:adjustRightInd w:val="0"/>
        <w:snapToGrid w:val="0"/>
        <w:spacing w:line="360" w:lineRule="auto"/>
        <w:jc w:val="center"/>
        <w:rPr>
          <w:rFonts w:asciiTheme="minorEastAsia" w:hAnsiTheme="minorEastAsia"/>
          <w:b/>
          <w:color w:val="0D0D0D" w:themeColor="text1" w:themeTint="F2"/>
          <w:sz w:val="44"/>
          <w:szCs w:val="44"/>
          <w14:textFill>
            <w14:solidFill>
              <w14:schemeClr w14:val="tx1">
                <w14:lumMod w14:val="95000"/>
                <w14:lumOff w14:val="5000"/>
              </w14:schemeClr>
            </w14:solidFill>
          </w14:textFill>
        </w:rPr>
      </w:pPr>
      <w:r>
        <w:rPr>
          <w:rFonts w:hint="eastAsia" w:cs="Arial" w:asciiTheme="minorEastAsia" w:hAnsiTheme="minorEastAsia" w:eastAsiaTheme="minorEastAsia"/>
          <w:b/>
          <w:color w:val="0D0D0D" w:themeColor="text1" w:themeTint="F2"/>
          <w:sz w:val="44"/>
          <w:szCs w:val="44"/>
          <w14:textFill>
            <w14:solidFill>
              <w14:schemeClr w14:val="tx1">
                <w14:lumMod w14:val="95000"/>
                <w14:lumOff w14:val="5000"/>
              </w14:schemeClr>
            </w14:solidFill>
          </w14:textFill>
        </w:rPr>
        <w:t>博时恒生港股通</w:t>
      </w:r>
      <w:r>
        <w:rPr>
          <w:rFonts w:hint="eastAsia" w:cs="Arial" w:asciiTheme="minorEastAsia" w:hAnsiTheme="minorEastAsia" w:eastAsiaTheme="minorEastAsia"/>
          <w:b/>
          <w:color w:val="0D0D0D" w:themeColor="text1" w:themeTint="F2"/>
          <w:sz w:val="44"/>
          <w:szCs w:val="44"/>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b/>
          <w:color w:val="0D0D0D" w:themeColor="text1" w:themeTint="F2"/>
          <w:sz w:val="44"/>
          <w:szCs w:val="44"/>
          <w14:textFill>
            <w14:solidFill>
              <w14:schemeClr w14:val="tx1">
                <w14:lumMod w14:val="95000"/>
                <w14:lumOff w14:val="5000"/>
              </w14:schemeClr>
            </w14:solidFill>
          </w14:textFill>
        </w:rPr>
        <w:t>低波动交易型开放式指数证券投资基金</w:t>
      </w:r>
      <w:r>
        <w:rPr>
          <w:rFonts w:hint="eastAsia" w:asciiTheme="minorEastAsia" w:hAnsiTheme="minorEastAsia"/>
          <w:b/>
          <w:color w:val="0D0D0D" w:themeColor="text1" w:themeTint="F2"/>
          <w:sz w:val="44"/>
          <w:szCs w:val="44"/>
          <w14:textFill>
            <w14:solidFill>
              <w14:schemeClr w14:val="tx1">
                <w14:lumMod w14:val="95000"/>
                <w14:lumOff w14:val="5000"/>
              </w14:schemeClr>
            </w14:solidFill>
          </w14:textFill>
        </w:rPr>
        <w:t>基金合同</w:t>
      </w:r>
    </w:p>
    <w:p w14:paraId="417D64A2">
      <w:pPr>
        <w:adjustRightInd w:val="0"/>
        <w:snapToGrid w:val="0"/>
        <w:spacing w:line="360" w:lineRule="auto"/>
        <w:jc w:val="center"/>
        <w:rPr>
          <w:rFonts w:asciiTheme="minorEastAsia" w:hAnsiTheme="minorEastAsia"/>
          <w:b/>
          <w:color w:val="0D0D0D" w:themeColor="text1" w:themeTint="F2"/>
          <w:sz w:val="36"/>
          <w14:textFill>
            <w14:solidFill>
              <w14:schemeClr w14:val="tx1">
                <w14:lumMod w14:val="95000"/>
                <w14:lumOff w14:val="5000"/>
              </w14:schemeClr>
            </w14:solidFill>
          </w14:textFill>
        </w:rPr>
      </w:pPr>
    </w:p>
    <w:p w14:paraId="7CE3D871">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43E7EBE8">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47F0698E">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4F8EDEA8">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008999FA">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6853BDAE">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185B6BA8">
      <w:pPr>
        <w:adjustRightInd w:val="0"/>
        <w:snapToGrid w:val="0"/>
        <w:spacing w:line="360" w:lineRule="auto"/>
        <w:jc w:val="center"/>
        <w:rPr>
          <w:rFonts w:cs="Arial" w:asciiTheme="minorEastAsia" w:hAnsiTheme="minorEastAsia" w:eastAsiaTheme="minorEastAsia"/>
          <w:b/>
          <w:color w:val="0D0D0D" w:themeColor="text1" w:themeTint="F2"/>
          <w:szCs w:val="21"/>
          <w14:textFill>
            <w14:solidFill>
              <w14:schemeClr w14:val="tx1">
                <w14:lumMod w14:val="95000"/>
                <w14:lumOff w14:val="5000"/>
              </w14:schemeClr>
            </w14:solidFill>
          </w14:textFill>
        </w:rPr>
      </w:pPr>
    </w:p>
    <w:p w14:paraId="7A4AF9C9">
      <w:pPr>
        <w:adjustRightInd w:val="0"/>
        <w:snapToGrid w:val="0"/>
        <w:spacing w:line="360" w:lineRule="auto"/>
        <w:jc w:val="center"/>
        <w:rPr>
          <w:rFonts w:asciiTheme="minorEastAsia" w:hAnsiTheme="minorEastAsia"/>
          <w:b/>
          <w:color w:val="0D0D0D" w:themeColor="text1" w:themeTint="F2"/>
          <w14:textFill>
            <w14:solidFill>
              <w14:schemeClr w14:val="tx1">
                <w14:lumMod w14:val="95000"/>
                <w14:lumOff w14:val="5000"/>
              </w14:schemeClr>
            </w14:solidFill>
          </w14:textFill>
        </w:rPr>
      </w:pPr>
    </w:p>
    <w:p w14:paraId="2209510A">
      <w:pPr>
        <w:adjustRightInd w:val="0"/>
        <w:snapToGrid w:val="0"/>
        <w:spacing w:line="360" w:lineRule="auto"/>
        <w:jc w:val="center"/>
        <w:rPr>
          <w:rFonts w:asciiTheme="minorEastAsia" w:hAnsiTheme="minorEastAsia"/>
          <w:b/>
          <w:color w:val="0D0D0D" w:themeColor="text1" w:themeTint="F2"/>
          <w14:textFill>
            <w14:solidFill>
              <w14:schemeClr w14:val="tx1">
                <w14:lumMod w14:val="95000"/>
                <w14:lumOff w14:val="5000"/>
              </w14:schemeClr>
            </w14:solidFill>
          </w14:textFill>
        </w:rPr>
      </w:pPr>
    </w:p>
    <w:p w14:paraId="7DF8937D">
      <w:pPr>
        <w:adjustRightInd w:val="0"/>
        <w:snapToGrid w:val="0"/>
        <w:spacing w:line="360" w:lineRule="auto"/>
        <w:jc w:val="center"/>
        <w:rPr>
          <w:rFonts w:asciiTheme="minorEastAsia" w:hAnsiTheme="minorEastAsia"/>
          <w:b/>
          <w:color w:val="0D0D0D" w:themeColor="text1" w:themeTint="F2"/>
          <w14:textFill>
            <w14:solidFill>
              <w14:schemeClr w14:val="tx1">
                <w14:lumMod w14:val="95000"/>
                <w14:lumOff w14:val="5000"/>
              </w14:schemeClr>
            </w14:solidFill>
          </w14:textFill>
        </w:rPr>
      </w:pPr>
    </w:p>
    <w:p w14:paraId="28B39C8B">
      <w:pPr>
        <w:adjustRightInd w:val="0"/>
        <w:snapToGrid w:val="0"/>
        <w:spacing w:line="360" w:lineRule="auto"/>
        <w:jc w:val="center"/>
        <w:rPr>
          <w:rFonts w:asciiTheme="minorEastAsia" w:hAnsiTheme="minorEastAsia"/>
          <w:b/>
          <w:color w:val="0D0D0D" w:themeColor="text1" w:themeTint="F2"/>
          <w14:textFill>
            <w14:solidFill>
              <w14:schemeClr w14:val="tx1">
                <w14:lumMod w14:val="95000"/>
                <w14:lumOff w14:val="5000"/>
              </w14:schemeClr>
            </w14:solidFill>
          </w14:textFill>
        </w:rPr>
      </w:pPr>
    </w:p>
    <w:p w14:paraId="55AAA4C1">
      <w:pPr>
        <w:adjustRightInd w:val="0"/>
        <w:snapToGrid w:val="0"/>
        <w:spacing w:line="360" w:lineRule="auto"/>
        <w:jc w:val="center"/>
        <w:rPr>
          <w:rFonts w:asciiTheme="minorEastAsia" w:hAnsiTheme="minorEastAsia"/>
          <w:b/>
          <w:color w:val="0D0D0D" w:themeColor="text1" w:themeTint="F2"/>
          <w14:textFill>
            <w14:solidFill>
              <w14:schemeClr w14:val="tx1">
                <w14:lumMod w14:val="95000"/>
                <w14:lumOff w14:val="5000"/>
              </w14:schemeClr>
            </w14:solidFill>
          </w14:textFill>
        </w:rPr>
      </w:pPr>
    </w:p>
    <w:p w14:paraId="07C943EA">
      <w:pPr>
        <w:adjustRightInd w:val="0"/>
        <w:snapToGrid w:val="0"/>
        <w:spacing w:line="360" w:lineRule="auto"/>
        <w:jc w:val="center"/>
        <w:rPr>
          <w:rFonts w:asciiTheme="minorEastAsia" w:hAnsiTheme="minorEastAsia"/>
          <w:b/>
          <w:color w:val="0D0D0D" w:themeColor="text1" w:themeTint="F2"/>
          <w14:textFill>
            <w14:solidFill>
              <w14:schemeClr w14:val="tx1">
                <w14:lumMod w14:val="95000"/>
                <w14:lumOff w14:val="5000"/>
              </w14:schemeClr>
            </w14:solidFill>
          </w14:textFill>
        </w:rPr>
      </w:pPr>
    </w:p>
    <w:p w14:paraId="441F03C6">
      <w:pPr>
        <w:adjustRightInd w:val="0"/>
        <w:snapToGrid w:val="0"/>
        <w:spacing w:line="360" w:lineRule="auto"/>
        <w:jc w:val="center"/>
        <w:rPr>
          <w:rFonts w:asciiTheme="minorEastAsia" w:hAnsiTheme="minorEastAsia"/>
          <w:b/>
          <w:color w:val="0D0D0D" w:themeColor="text1" w:themeTint="F2"/>
          <w:sz w:val="30"/>
          <w14:textFill>
            <w14:solidFill>
              <w14:schemeClr w14:val="tx1">
                <w14:lumMod w14:val="95000"/>
                <w14:lumOff w14:val="5000"/>
              </w14:schemeClr>
            </w14:solidFill>
          </w14:textFill>
        </w:rPr>
      </w:pPr>
      <w:bookmarkStart w:id="3" w:name="_Toc123112263"/>
      <w:bookmarkStart w:id="4" w:name="_Toc123112224"/>
      <w:bookmarkStart w:id="5" w:name="_Toc123701383"/>
      <w:bookmarkStart w:id="6" w:name="_Toc139992301"/>
      <w:bookmarkStart w:id="7" w:name="_Toc139991726"/>
      <w:r>
        <w:rPr>
          <w:rFonts w:hint="eastAsia" w:asciiTheme="minorEastAsia" w:hAnsiTheme="minorEastAsia"/>
          <w:b/>
          <w:color w:val="0D0D0D" w:themeColor="text1" w:themeTint="F2"/>
          <w:sz w:val="30"/>
          <w14:textFill>
            <w14:solidFill>
              <w14:schemeClr w14:val="tx1">
                <w14:lumMod w14:val="95000"/>
                <w14:lumOff w14:val="5000"/>
              </w14:schemeClr>
            </w14:solidFill>
          </w14:textFill>
        </w:rPr>
        <w:t>基金管理人：</w:t>
      </w:r>
      <w:bookmarkEnd w:id="3"/>
      <w:bookmarkEnd w:id="4"/>
      <w:bookmarkEnd w:id="5"/>
      <w:bookmarkEnd w:id="6"/>
      <w:bookmarkEnd w:id="7"/>
      <w:r>
        <w:rPr>
          <w:rFonts w:cs="Arial" w:asciiTheme="minorEastAsia" w:hAnsiTheme="minorEastAsia" w:eastAsiaTheme="minorEastAsia"/>
          <w:b/>
          <w:bCs/>
          <w:color w:val="0D0D0D" w:themeColor="text1" w:themeTint="F2"/>
          <w:sz w:val="30"/>
          <w:szCs w:val="30"/>
          <w14:textFill>
            <w14:solidFill>
              <w14:schemeClr w14:val="tx1">
                <w14:lumMod w14:val="95000"/>
                <w14:lumOff w14:val="5000"/>
              </w14:schemeClr>
            </w14:solidFill>
          </w14:textFill>
        </w:rPr>
        <w:t>博时基金管理有限公司</w:t>
      </w:r>
    </w:p>
    <w:p w14:paraId="49A2D5ED">
      <w:pPr>
        <w:adjustRightInd w:val="0"/>
        <w:snapToGrid w:val="0"/>
        <w:spacing w:line="360" w:lineRule="auto"/>
        <w:jc w:val="center"/>
        <w:rPr>
          <w:rFonts w:asciiTheme="minorEastAsia" w:hAnsiTheme="minorEastAsia" w:eastAsiaTheme="minorEastAsia"/>
          <w:b/>
          <w:color w:val="0D0D0D" w:themeColor="text1" w:themeTint="F2"/>
          <w:sz w:val="30"/>
          <w14:textFill>
            <w14:solidFill>
              <w14:schemeClr w14:val="tx1">
                <w14:lumMod w14:val="95000"/>
                <w14:lumOff w14:val="5000"/>
              </w14:schemeClr>
            </w14:solidFill>
          </w14:textFill>
        </w:rPr>
      </w:pPr>
      <w:bookmarkStart w:id="8" w:name="_Toc123112264"/>
      <w:bookmarkStart w:id="9" w:name="_Toc139992302"/>
      <w:bookmarkStart w:id="10" w:name="_Toc123112225"/>
      <w:bookmarkStart w:id="11" w:name="_Toc139991727"/>
      <w:bookmarkStart w:id="12" w:name="_Toc123701384"/>
      <w:r>
        <w:rPr>
          <w:rFonts w:hint="eastAsia" w:asciiTheme="minorEastAsia" w:hAnsiTheme="minorEastAsia"/>
          <w:b/>
          <w:color w:val="0D0D0D" w:themeColor="text1" w:themeTint="F2"/>
          <w:sz w:val="30"/>
          <w14:textFill>
            <w14:solidFill>
              <w14:schemeClr w14:val="tx1">
                <w14:lumMod w14:val="95000"/>
                <w14:lumOff w14:val="5000"/>
              </w14:schemeClr>
            </w14:solidFill>
          </w14:textFill>
        </w:rPr>
        <w:t>基金托管人：</w:t>
      </w:r>
      <w:bookmarkEnd w:id="8"/>
      <w:bookmarkEnd w:id="9"/>
      <w:bookmarkEnd w:id="10"/>
      <w:bookmarkEnd w:id="11"/>
      <w:bookmarkEnd w:id="12"/>
      <w:bookmarkStart w:id="13" w:name="OLE_LINK6"/>
      <w:bookmarkStart w:id="14" w:name="OLE_LINK5"/>
      <w:r>
        <w:rPr>
          <w:rFonts w:hint="eastAsia" w:asciiTheme="minorEastAsia" w:hAnsiTheme="minorEastAsia" w:eastAsiaTheme="minorEastAsia"/>
          <w:b/>
          <w:color w:val="0D0D0D" w:themeColor="text1" w:themeTint="F2"/>
          <w:sz w:val="30"/>
          <w14:textFill>
            <w14:solidFill>
              <w14:schemeClr w14:val="tx1">
                <w14:lumMod w14:val="95000"/>
                <w14:lumOff w14:val="5000"/>
              </w14:schemeClr>
            </w14:solidFill>
          </w14:textFill>
        </w:rPr>
        <w:t>广发银行</w:t>
      </w:r>
      <w:bookmarkEnd w:id="13"/>
      <w:bookmarkEnd w:id="14"/>
      <w:r>
        <w:rPr>
          <w:rFonts w:hint="eastAsia" w:asciiTheme="minorEastAsia" w:hAnsiTheme="minorEastAsia" w:eastAsiaTheme="minorEastAsia"/>
          <w:b/>
          <w:color w:val="0D0D0D" w:themeColor="text1" w:themeTint="F2"/>
          <w:sz w:val="30"/>
          <w14:textFill>
            <w14:solidFill>
              <w14:schemeClr w14:val="tx1">
                <w14:lumMod w14:val="95000"/>
                <w14:lumOff w14:val="5000"/>
              </w14:schemeClr>
            </w14:solidFill>
          </w14:textFill>
        </w:rPr>
        <w:t>股份有限公司</w:t>
      </w:r>
    </w:p>
    <w:bookmarkEnd w:id="2"/>
    <w:p w14:paraId="020CB6B7">
      <w:pPr>
        <w:spacing w:line="360" w:lineRule="auto"/>
        <w:jc w:val="center"/>
        <w:rPr>
          <w:rFonts w:asciiTheme="minorEastAsia" w:hAnsiTheme="minorEastAsia" w:eastAsiaTheme="minorEastAsia"/>
        </w:rPr>
      </w:pPr>
      <w:bookmarkStart w:id="15" w:name="CLAUSE_11606cca7f0c4bf7a5f87c9437b80dfa"/>
      <w:bookmarkStart w:id="16" w:name="_Toc139991729"/>
      <w:bookmarkStart w:id="17" w:name="_Toc123701386"/>
      <w:bookmarkStart w:id="18" w:name="_Toc123112227"/>
      <w:bookmarkStart w:id="19" w:name="_Toc123112266"/>
      <w:r>
        <w:rPr>
          <w:rFonts w:asciiTheme="minorEastAsia" w:hAnsiTheme="minorEastAsia" w:eastAsiaTheme="minorEastAsia"/>
        </w:rPr>
        <w:t xml:space="preserve"> </w:t>
      </w:r>
      <w:bookmarkStart w:id="20" w:name="CTS_11606cca7f0c4bf7a5f87c9437b80dfa"/>
      <w:bookmarkEnd w:id="20"/>
    </w:p>
    <w:p w14:paraId="6CF761DE">
      <w:pPr>
        <w:spacing w:line="360" w:lineRule="auto"/>
        <w:jc w:val="center"/>
        <w:rPr>
          <w:rFonts w:cs="Arial" w:asciiTheme="minorEastAsia" w:hAnsiTheme="minorEastAsia" w:eastAsiaTheme="minorEastAsia"/>
          <w:b/>
          <w:bCs/>
          <w:color w:val="0D0D0D" w:themeColor="text1" w:themeTint="F2"/>
          <w:sz w:val="30"/>
          <w:szCs w:val="30"/>
          <w14:textFill>
            <w14:solidFill>
              <w14:schemeClr w14:val="tx1">
                <w14:lumMod w14:val="95000"/>
                <w14:lumOff w14:val="5000"/>
              </w14:schemeClr>
            </w14:solidFill>
          </w14:textFill>
        </w:rPr>
        <w:sectPr>
          <w:footerReference r:id="rId5" w:type="first"/>
          <w:headerReference r:id="rId3" w:type="default"/>
          <w:footerReference r:id="rId4" w:type="default"/>
          <w:pgSz w:w="11906" w:h="16838"/>
          <w:pgMar w:top="1440" w:right="1800" w:bottom="1440" w:left="1800" w:header="851" w:footer="992" w:gutter="0"/>
          <w:cols w:space="425" w:num="1"/>
          <w:titlePg/>
          <w:docGrid w:type="lines" w:linePitch="312" w:charSpace="0"/>
        </w:sectPr>
      </w:pPr>
      <w:r>
        <w:rPr>
          <w:rFonts w:hint="eastAsia" w:asciiTheme="minorEastAsia" w:hAnsiTheme="minorEastAsia" w:eastAsiaTheme="minorEastAsia"/>
          <w:b/>
          <w:bCs/>
          <w:color w:val="0D0D0D" w:themeColor="text1" w:themeTint="F2"/>
          <w:sz w:val="30"/>
          <w14:textFill>
            <w14:solidFill>
              <w14:schemeClr w14:val="tx1">
                <w14:lumMod w14:val="95000"/>
                <w14:lumOff w14:val="5000"/>
              </w14:schemeClr>
            </w14:solidFill>
          </w14:textFill>
        </w:rPr>
        <w:t>二零二</w:t>
      </w:r>
      <w:r>
        <w:rPr>
          <w:rFonts w:hint="eastAsia" w:asciiTheme="minorEastAsia" w:hAnsiTheme="minorEastAsia" w:eastAsiaTheme="minorEastAsia"/>
          <w:b/>
          <w:bCs/>
          <w:color w:val="0D0D0D" w:themeColor="text1" w:themeTint="F2"/>
          <w:sz w:val="30"/>
          <w:lang w:val="en-US" w:eastAsia="zh-CN"/>
          <w14:textFill>
            <w14:solidFill>
              <w14:schemeClr w14:val="tx1">
                <w14:lumMod w14:val="95000"/>
                <w14:lumOff w14:val="5000"/>
              </w14:schemeClr>
            </w14:solidFill>
          </w14:textFill>
        </w:rPr>
        <w:t>六</w:t>
      </w:r>
      <w:r>
        <w:rPr>
          <w:rFonts w:hint="eastAsia" w:asciiTheme="minorEastAsia" w:hAnsiTheme="minorEastAsia" w:eastAsiaTheme="minorEastAsia"/>
          <w:b/>
          <w:bCs/>
          <w:color w:val="0D0D0D" w:themeColor="text1" w:themeTint="F2"/>
          <w:sz w:val="30"/>
          <w14:textFill>
            <w14:solidFill>
              <w14:schemeClr w14:val="tx1">
                <w14:lumMod w14:val="95000"/>
                <w14:lumOff w14:val="5000"/>
              </w14:schemeClr>
            </w14:solidFill>
          </w14:textFill>
        </w:rPr>
        <w:t>年</w:t>
      </w:r>
      <w:r>
        <w:rPr>
          <w:rFonts w:hint="eastAsia" w:asciiTheme="minorEastAsia" w:hAnsiTheme="minorEastAsia" w:eastAsiaTheme="minorEastAsia"/>
          <w:b/>
          <w:bCs/>
          <w:color w:val="0D0D0D" w:themeColor="text1" w:themeTint="F2"/>
          <w:sz w:val="30"/>
          <w:lang w:val="en-US" w:eastAsia="zh-CN"/>
          <w14:textFill>
            <w14:solidFill>
              <w14:schemeClr w14:val="tx1">
                <w14:lumMod w14:val="95000"/>
                <w14:lumOff w14:val="5000"/>
              </w14:schemeClr>
            </w14:solidFill>
          </w14:textFill>
        </w:rPr>
        <w:t>十</w:t>
      </w:r>
      <w:r>
        <w:rPr>
          <w:rFonts w:hint="eastAsia" w:asciiTheme="minorEastAsia" w:hAnsiTheme="minorEastAsia" w:eastAsiaTheme="minorEastAsia"/>
          <w:b/>
          <w:bCs/>
          <w:color w:val="0D0D0D" w:themeColor="text1" w:themeTint="F2"/>
          <w:sz w:val="30"/>
          <w14:textFill>
            <w14:solidFill>
              <w14:schemeClr w14:val="tx1">
                <w14:lumMod w14:val="95000"/>
                <w14:lumOff w14:val="5000"/>
              </w14:schemeClr>
            </w14:solidFill>
          </w14:textFill>
        </w:rPr>
        <w:t>月</w:t>
      </w:r>
    </w:p>
    <w:bookmarkEnd w:id="15"/>
    <w:p w14:paraId="15689970">
      <w:pPr>
        <w:adjustRightInd w:val="0"/>
        <w:snapToGrid w:val="0"/>
        <w:spacing w:line="360" w:lineRule="auto"/>
        <w:jc w:val="center"/>
        <w:rPr>
          <w:rFonts w:asciiTheme="minorEastAsia" w:hAnsiTheme="minorEastAsia"/>
          <w:b/>
          <w:sz w:val="24"/>
        </w:rPr>
      </w:pPr>
      <w:bookmarkStart w:id="21" w:name="CLAUSE_7964f364388a444fbc5ed698e7f07ff5"/>
      <w:r>
        <w:rPr>
          <w:rFonts w:asciiTheme="minorEastAsia" w:hAnsiTheme="minorEastAsia" w:eastAsiaTheme="minorEastAsia"/>
          <w:b/>
          <w:sz w:val="24"/>
          <w:szCs w:val="24"/>
        </w:rPr>
        <w:t xml:space="preserve"> </w:t>
      </w:r>
      <w:bookmarkStart w:id="22" w:name="CTS_7964f364388a444fbc5ed698e7f07ff5"/>
      <w:bookmarkEnd w:id="22"/>
      <w:r>
        <w:rPr>
          <w:rFonts w:hint="eastAsia" w:asciiTheme="minorEastAsia" w:hAnsiTheme="minorEastAsia"/>
          <w:b/>
          <w:sz w:val="24"/>
        </w:rPr>
        <w:t>目</w:t>
      </w:r>
      <w:r>
        <w:rPr>
          <w:rFonts w:asciiTheme="minorEastAsia" w:hAnsiTheme="minorEastAsia"/>
          <w:b/>
          <w:sz w:val="24"/>
        </w:rPr>
        <w:t xml:space="preserve">  </w:t>
      </w:r>
      <w:r>
        <w:rPr>
          <w:rFonts w:hint="eastAsia" w:asciiTheme="minorEastAsia" w:hAnsiTheme="minorEastAsia"/>
          <w:b/>
          <w:sz w:val="24"/>
        </w:rPr>
        <w:t>录</w:t>
      </w:r>
      <w:bookmarkEnd w:id="16"/>
      <w:bookmarkEnd w:id="17"/>
      <w:bookmarkEnd w:id="18"/>
      <w:bookmarkEnd w:id="19"/>
    </w:p>
    <w:p w14:paraId="00FA4CBE">
      <w:pPr>
        <w:pStyle w:val="21"/>
        <w:tabs>
          <w:tab w:val="right" w:leader="dot" w:pos="8306"/>
        </w:tabs>
        <w:spacing w:line="360" w:lineRule="auto"/>
      </w:pPr>
      <w:bookmarkStart w:id="23" w:name="_Toc139991730"/>
      <w:bookmarkStart w:id="24" w:name="_Toc141703880"/>
      <w:bookmarkStart w:id="25" w:name="_Toc32639"/>
      <w:bookmarkStart w:id="26" w:name="_Toc30935"/>
      <w:bookmarkStart w:id="27" w:name="_Toc4966"/>
      <w:bookmarkStart w:id="28" w:name="_Toc8727"/>
      <w:bookmarkStart w:id="29" w:name="_Toc11660"/>
      <w:bookmarkStart w:id="30" w:name="_Toc4867"/>
      <w:bookmarkStart w:id="31" w:name="_Toc26897"/>
      <w:bookmarkStart w:id="32" w:name="_Toc29629"/>
      <w:bookmarkStart w:id="33" w:name="_Toc6306"/>
      <w:bookmarkStart w:id="34" w:name="_Toc23386"/>
      <w:bookmarkStart w:id="35" w:name="_Toc15517"/>
      <w:bookmarkStart w:id="36" w:name="_Toc123112229"/>
      <w:bookmarkStart w:id="37" w:name="_Toc123112268"/>
      <w:bookmarkStart w:id="38" w:name="_Toc123701389"/>
      <w:bookmarkStart w:id="39" w:name="_Toc233456271"/>
      <w:r>
        <w:rPr>
          <w:rFonts w:asciiTheme="minorEastAsia" w:hAnsiTheme="minorEastAsia" w:eastAsiaTheme="minorEastAsia"/>
          <w:color w:val="0D0D0D" w:themeColor="text1" w:themeTint="F2"/>
          <w:sz w:val="24"/>
          <w14:textFill>
            <w14:solidFill>
              <w14:schemeClr w14:val="tx1">
                <w14:lumMod w14:val="95000"/>
                <w14:lumOff w14:val="5000"/>
              </w14:schemeClr>
            </w14:solidFill>
          </w14:textFill>
        </w:rPr>
        <w:fldChar w:fldCharType="begin"/>
      </w:r>
      <w:r>
        <w:rPr>
          <w:rFonts w:asciiTheme="minorEastAsia" w:hAnsiTheme="minorEastAsia" w:eastAsiaTheme="minorEastAsia"/>
          <w:color w:val="0D0D0D" w:themeColor="text1" w:themeTint="F2"/>
          <w:sz w:val="24"/>
          <w14:textFill>
            <w14:solidFill>
              <w14:schemeClr w14:val="tx1">
                <w14:lumMod w14:val="95000"/>
                <w14:lumOff w14:val="5000"/>
              </w14:schemeClr>
            </w14:solidFill>
          </w14:textFill>
        </w:rPr>
        <w:instrText xml:space="preserve"> TOC \o "1-</w:instrText>
      </w:r>
      <w:r>
        <w:rPr>
          <w:rFonts w:cs="Arial" w:asciiTheme="minorEastAsia" w:hAnsiTheme="minorEastAsia" w:eastAsiaTheme="minorEastAsia"/>
          <w:color w:val="0D0D0D" w:themeColor="text1" w:themeTint="F2"/>
          <w:sz w:val="24"/>
          <w:szCs w:val="21"/>
          <w14:textFill>
            <w14:solidFill>
              <w14:schemeClr w14:val="tx1">
                <w14:lumMod w14:val="95000"/>
                <w14:lumOff w14:val="5000"/>
              </w14:schemeClr>
            </w14:solidFill>
          </w14:textFill>
        </w:rPr>
        <w:instrText xml:space="preserve">3</w:instrText>
      </w:r>
      <w:r>
        <w:rPr>
          <w:rFonts w:asciiTheme="minorEastAsia" w:hAnsiTheme="minorEastAsia" w:eastAsiaTheme="minorEastAsia"/>
          <w:color w:val="0D0D0D" w:themeColor="text1" w:themeTint="F2"/>
          <w:sz w:val="24"/>
          <w14:textFill>
            <w14:solidFill>
              <w14:schemeClr w14:val="tx1">
                <w14:lumMod w14:val="95000"/>
                <w14:lumOff w14:val="5000"/>
              </w14:schemeClr>
            </w14:solidFill>
          </w14:textFill>
        </w:rPr>
        <w:instrText xml:space="preserve">" \h \z \u </w:instrText>
      </w:r>
      <w:r>
        <w:rPr>
          <w:rFonts w:asciiTheme="minorEastAsia" w:hAnsiTheme="minorEastAsia" w:eastAsiaTheme="minorEastAsia"/>
          <w:color w:val="0D0D0D" w:themeColor="text1" w:themeTint="F2"/>
          <w:sz w:val="24"/>
          <w14:textFill>
            <w14:solidFill>
              <w14:schemeClr w14:val="tx1">
                <w14:lumMod w14:val="95000"/>
                <w14:lumOff w14:val="5000"/>
              </w14:schemeClr>
            </w14:solidFill>
          </w14:textFill>
        </w:rPr>
        <w:fldChar w:fldCharType="separate"/>
      </w:r>
      <w:r>
        <w:fldChar w:fldCharType="begin"/>
      </w:r>
      <w:r>
        <w:instrText xml:space="preserve"> HYPERLINK \l "_Toc16947" </w:instrText>
      </w:r>
      <w:r>
        <w:fldChar w:fldCharType="separate"/>
      </w:r>
      <w:r>
        <w:rPr>
          <w:rFonts w:hint="eastAsia"/>
        </w:rPr>
        <w:t>第一部分</w:t>
      </w:r>
      <w:r>
        <w:t xml:space="preserve"> </w:t>
      </w:r>
      <w:r>
        <w:rPr>
          <w:rFonts w:hint="eastAsia"/>
        </w:rPr>
        <w:t>前言</w:t>
      </w:r>
      <w:r>
        <w:tab/>
      </w:r>
      <w:r>
        <w:rPr>
          <w:rFonts w:hint="eastAsia"/>
        </w:rPr>
        <w:t>1-</w:t>
      </w:r>
      <w:r>
        <w:fldChar w:fldCharType="begin"/>
      </w:r>
      <w:r>
        <w:instrText xml:space="preserve"> PAGEREF _Toc16947 \h </w:instrText>
      </w:r>
      <w:r>
        <w:fldChar w:fldCharType="separate"/>
      </w:r>
      <w:r>
        <w:t>1</w:t>
      </w:r>
      <w:r>
        <w:fldChar w:fldCharType="end"/>
      </w:r>
      <w:r>
        <w:fldChar w:fldCharType="end"/>
      </w:r>
    </w:p>
    <w:p w14:paraId="676B6D9D">
      <w:pPr>
        <w:pStyle w:val="21"/>
        <w:tabs>
          <w:tab w:val="right" w:leader="dot" w:pos="8306"/>
        </w:tabs>
        <w:spacing w:line="360" w:lineRule="auto"/>
      </w:pPr>
      <w:r>
        <w:fldChar w:fldCharType="begin"/>
      </w:r>
      <w:r>
        <w:instrText xml:space="preserve"> HYPERLINK \l "_Toc4420" </w:instrText>
      </w:r>
      <w:r>
        <w:fldChar w:fldCharType="separate"/>
      </w:r>
      <w:r>
        <w:rPr>
          <w:rFonts w:hint="eastAsia"/>
        </w:rPr>
        <w:t>第二部分</w:t>
      </w:r>
      <w:r>
        <w:t xml:space="preserve"> </w:t>
      </w:r>
      <w:r>
        <w:rPr>
          <w:rFonts w:hint="eastAsia"/>
        </w:rPr>
        <w:t>释义</w:t>
      </w:r>
      <w:r>
        <w:tab/>
      </w:r>
      <w:r>
        <w:rPr>
          <w:rFonts w:hint="eastAsia"/>
        </w:rPr>
        <w:t>2-</w:t>
      </w:r>
      <w:r>
        <w:fldChar w:fldCharType="begin"/>
      </w:r>
      <w:r>
        <w:instrText xml:space="preserve"> PAGEREF _Toc4420 \h </w:instrText>
      </w:r>
      <w:r>
        <w:fldChar w:fldCharType="separate"/>
      </w:r>
      <w:r>
        <w:t>1</w:t>
      </w:r>
      <w:r>
        <w:fldChar w:fldCharType="end"/>
      </w:r>
      <w:r>
        <w:fldChar w:fldCharType="end"/>
      </w:r>
    </w:p>
    <w:p w14:paraId="6970981C">
      <w:pPr>
        <w:pStyle w:val="21"/>
        <w:tabs>
          <w:tab w:val="right" w:leader="dot" w:pos="8306"/>
        </w:tabs>
        <w:spacing w:line="360" w:lineRule="auto"/>
      </w:pPr>
      <w:r>
        <w:fldChar w:fldCharType="begin"/>
      </w:r>
      <w:r>
        <w:instrText xml:space="preserve"> HYPERLINK \l "_Toc29177" </w:instrText>
      </w:r>
      <w:r>
        <w:fldChar w:fldCharType="separate"/>
      </w:r>
      <w:r>
        <w:rPr>
          <w:rFonts w:hint="eastAsia"/>
        </w:rPr>
        <w:t>第三部分</w:t>
      </w:r>
      <w:r>
        <w:t xml:space="preserve"> </w:t>
      </w:r>
      <w:r>
        <w:rPr>
          <w:rFonts w:hint="eastAsia"/>
        </w:rPr>
        <w:t>基金的基本情况</w:t>
      </w:r>
      <w:r>
        <w:tab/>
      </w:r>
      <w:r>
        <w:rPr>
          <w:rFonts w:hint="eastAsia"/>
        </w:rPr>
        <w:t>3-</w:t>
      </w:r>
      <w:r>
        <w:fldChar w:fldCharType="begin"/>
      </w:r>
      <w:r>
        <w:instrText xml:space="preserve"> PAGEREF _Toc29177 \h </w:instrText>
      </w:r>
      <w:r>
        <w:fldChar w:fldCharType="separate"/>
      </w:r>
      <w:r>
        <w:t>1</w:t>
      </w:r>
      <w:r>
        <w:fldChar w:fldCharType="end"/>
      </w:r>
      <w:r>
        <w:fldChar w:fldCharType="end"/>
      </w:r>
    </w:p>
    <w:p w14:paraId="3D5AAD16">
      <w:pPr>
        <w:pStyle w:val="21"/>
        <w:tabs>
          <w:tab w:val="right" w:leader="dot" w:pos="8306"/>
        </w:tabs>
        <w:spacing w:line="360" w:lineRule="auto"/>
      </w:pPr>
      <w:r>
        <w:fldChar w:fldCharType="begin"/>
      </w:r>
      <w:r>
        <w:instrText xml:space="preserve"> HYPERLINK \l "_Toc7561" </w:instrText>
      </w:r>
      <w:r>
        <w:fldChar w:fldCharType="separate"/>
      </w:r>
      <w:r>
        <w:rPr>
          <w:rFonts w:hint="eastAsia"/>
        </w:rPr>
        <w:t>第四部分</w:t>
      </w:r>
      <w:r>
        <w:t xml:space="preserve"> </w:t>
      </w:r>
      <w:r>
        <w:rPr>
          <w:rFonts w:hint="eastAsia"/>
        </w:rPr>
        <w:t>基金份额的发售</w:t>
      </w:r>
      <w:r>
        <w:tab/>
      </w:r>
      <w:r>
        <w:rPr>
          <w:rFonts w:hint="eastAsia"/>
        </w:rPr>
        <w:t>4-</w:t>
      </w:r>
      <w:r>
        <w:fldChar w:fldCharType="begin"/>
      </w:r>
      <w:r>
        <w:instrText xml:space="preserve"> PAGEREF _Toc7561 \h </w:instrText>
      </w:r>
      <w:r>
        <w:fldChar w:fldCharType="separate"/>
      </w:r>
      <w:r>
        <w:t>1</w:t>
      </w:r>
      <w:r>
        <w:fldChar w:fldCharType="end"/>
      </w:r>
      <w:r>
        <w:fldChar w:fldCharType="end"/>
      </w:r>
    </w:p>
    <w:p w14:paraId="6CEC3031">
      <w:pPr>
        <w:pStyle w:val="21"/>
        <w:tabs>
          <w:tab w:val="right" w:leader="dot" w:pos="8306"/>
        </w:tabs>
        <w:spacing w:line="360" w:lineRule="auto"/>
      </w:pPr>
      <w:r>
        <w:fldChar w:fldCharType="begin"/>
      </w:r>
      <w:r>
        <w:instrText xml:space="preserve"> HYPERLINK \l "_Toc3520" </w:instrText>
      </w:r>
      <w:r>
        <w:fldChar w:fldCharType="separate"/>
      </w:r>
      <w:r>
        <w:rPr>
          <w:rFonts w:hint="eastAsia"/>
        </w:rPr>
        <w:t>第五部分</w:t>
      </w:r>
      <w:r>
        <w:t xml:space="preserve"> </w:t>
      </w:r>
      <w:r>
        <w:rPr>
          <w:rFonts w:hint="eastAsia"/>
        </w:rPr>
        <w:t>基金备案</w:t>
      </w:r>
      <w:r>
        <w:tab/>
      </w:r>
      <w:r>
        <w:rPr>
          <w:rFonts w:hint="eastAsia"/>
        </w:rPr>
        <w:t>5-</w:t>
      </w:r>
      <w:r>
        <w:fldChar w:fldCharType="begin"/>
      </w:r>
      <w:r>
        <w:instrText xml:space="preserve"> PAGEREF _Toc3520 \h </w:instrText>
      </w:r>
      <w:r>
        <w:fldChar w:fldCharType="separate"/>
      </w:r>
      <w:r>
        <w:t>1</w:t>
      </w:r>
      <w:r>
        <w:fldChar w:fldCharType="end"/>
      </w:r>
      <w:r>
        <w:fldChar w:fldCharType="end"/>
      </w:r>
    </w:p>
    <w:p w14:paraId="0D4CDCEA">
      <w:pPr>
        <w:pStyle w:val="21"/>
        <w:tabs>
          <w:tab w:val="right" w:leader="dot" w:pos="8306"/>
        </w:tabs>
        <w:spacing w:line="360" w:lineRule="auto"/>
      </w:pPr>
      <w:r>
        <w:fldChar w:fldCharType="begin"/>
      </w:r>
      <w:r>
        <w:instrText xml:space="preserve"> HYPERLINK \l "_Toc12380" </w:instrText>
      </w:r>
      <w:r>
        <w:fldChar w:fldCharType="separate"/>
      </w:r>
      <w:r>
        <w:rPr>
          <w:rFonts w:hint="eastAsia"/>
        </w:rPr>
        <w:t>第六部分</w:t>
      </w:r>
      <w:r>
        <w:t xml:space="preserve"> 基金份额折算与变更登记</w:t>
      </w:r>
      <w:r>
        <w:tab/>
      </w:r>
      <w:r>
        <w:rPr>
          <w:rFonts w:hint="eastAsia"/>
        </w:rPr>
        <w:t>6-</w:t>
      </w:r>
      <w:r>
        <w:fldChar w:fldCharType="begin"/>
      </w:r>
      <w:r>
        <w:instrText xml:space="preserve"> PAGEREF _Toc12380 \h </w:instrText>
      </w:r>
      <w:r>
        <w:fldChar w:fldCharType="separate"/>
      </w:r>
      <w:r>
        <w:t>1</w:t>
      </w:r>
      <w:r>
        <w:fldChar w:fldCharType="end"/>
      </w:r>
      <w:r>
        <w:fldChar w:fldCharType="end"/>
      </w:r>
    </w:p>
    <w:p w14:paraId="6AA69BC7">
      <w:pPr>
        <w:pStyle w:val="21"/>
        <w:tabs>
          <w:tab w:val="right" w:leader="dot" w:pos="8306"/>
        </w:tabs>
        <w:spacing w:line="360" w:lineRule="auto"/>
      </w:pPr>
      <w:r>
        <w:fldChar w:fldCharType="begin"/>
      </w:r>
      <w:r>
        <w:instrText xml:space="preserve"> HYPERLINK \l "_Toc11979" </w:instrText>
      </w:r>
      <w:r>
        <w:fldChar w:fldCharType="separate"/>
      </w:r>
      <w:r>
        <w:rPr>
          <w:rFonts w:hint="eastAsia"/>
        </w:rPr>
        <w:t xml:space="preserve">第七部分 </w:t>
      </w:r>
      <w:r>
        <w:t>基金份额的</w:t>
      </w:r>
      <w:r>
        <w:rPr>
          <w:rFonts w:hint="eastAsia"/>
        </w:rPr>
        <w:t>上市</w:t>
      </w:r>
      <w:r>
        <w:t>交易</w:t>
      </w:r>
      <w:r>
        <w:tab/>
      </w:r>
      <w:r>
        <w:rPr>
          <w:rFonts w:hint="eastAsia"/>
        </w:rPr>
        <w:t>7-</w:t>
      </w:r>
      <w:r>
        <w:fldChar w:fldCharType="begin"/>
      </w:r>
      <w:r>
        <w:instrText xml:space="preserve"> PAGEREF _Toc11979 \h </w:instrText>
      </w:r>
      <w:r>
        <w:fldChar w:fldCharType="separate"/>
      </w:r>
      <w:r>
        <w:t>1</w:t>
      </w:r>
      <w:r>
        <w:fldChar w:fldCharType="end"/>
      </w:r>
      <w:r>
        <w:fldChar w:fldCharType="end"/>
      </w:r>
    </w:p>
    <w:p w14:paraId="2D0D290F">
      <w:pPr>
        <w:pStyle w:val="21"/>
        <w:tabs>
          <w:tab w:val="right" w:leader="dot" w:pos="8306"/>
        </w:tabs>
        <w:spacing w:line="360" w:lineRule="auto"/>
      </w:pPr>
      <w:r>
        <w:fldChar w:fldCharType="begin"/>
      </w:r>
      <w:r>
        <w:instrText xml:space="preserve"> HYPERLINK \l "_Toc26617" </w:instrText>
      </w:r>
      <w:r>
        <w:fldChar w:fldCharType="separate"/>
      </w:r>
      <w:r>
        <w:rPr>
          <w:rFonts w:hint="eastAsia" w:cs="Arial"/>
        </w:rPr>
        <w:t>第八部分</w:t>
      </w:r>
      <w:r>
        <w:rPr>
          <w:rFonts w:hint="eastAsia"/>
        </w:rPr>
        <w:t xml:space="preserve"> 基金份额的申购与赎回</w:t>
      </w:r>
      <w:r>
        <w:tab/>
      </w:r>
      <w:r>
        <w:rPr>
          <w:rFonts w:hint="eastAsia"/>
        </w:rPr>
        <w:t>8-</w:t>
      </w:r>
      <w:r>
        <w:fldChar w:fldCharType="begin"/>
      </w:r>
      <w:r>
        <w:instrText xml:space="preserve"> PAGEREF _Toc26617 \h </w:instrText>
      </w:r>
      <w:r>
        <w:fldChar w:fldCharType="separate"/>
      </w:r>
      <w:r>
        <w:t>1</w:t>
      </w:r>
      <w:r>
        <w:fldChar w:fldCharType="end"/>
      </w:r>
      <w:r>
        <w:fldChar w:fldCharType="end"/>
      </w:r>
    </w:p>
    <w:p w14:paraId="3727193E">
      <w:pPr>
        <w:pStyle w:val="21"/>
        <w:tabs>
          <w:tab w:val="right" w:leader="dot" w:pos="8306"/>
        </w:tabs>
        <w:spacing w:line="360" w:lineRule="auto"/>
      </w:pPr>
      <w:r>
        <w:fldChar w:fldCharType="begin"/>
      </w:r>
      <w:r>
        <w:instrText xml:space="preserve"> HYPERLINK \l "_Toc20401" </w:instrText>
      </w:r>
      <w:r>
        <w:fldChar w:fldCharType="separate"/>
      </w:r>
      <w:r>
        <w:rPr>
          <w:rFonts w:hint="eastAsia" w:cs="Arial"/>
        </w:rPr>
        <w:t>第九</w:t>
      </w:r>
      <w:r>
        <w:rPr>
          <w:rFonts w:hint="eastAsia"/>
        </w:rPr>
        <w:t>部分 基金合同当事人及权利义务</w:t>
      </w:r>
      <w:r>
        <w:tab/>
      </w:r>
      <w:r>
        <w:rPr>
          <w:rFonts w:hint="eastAsia"/>
        </w:rPr>
        <w:t>9-</w:t>
      </w:r>
      <w:r>
        <w:fldChar w:fldCharType="begin"/>
      </w:r>
      <w:r>
        <w:instrText xml:space="preserve"> PAGEREF _Toc20401 \h </w:instrText>
      </w:r>
      <w:r>
        <w:fldChar w:fldCharType="separate"/>
      </w:r>
      <w:r>
        <w:t>1</w:t>
      </w:r>
      <w:r>
        <w:fldChar w:fldCharType="end"/>
      </w:r>
      <w:r>
        <w:fldChar w:fldCharType="end"/>
      </w:r>
    </w:p>
    <w:p w14:paraId="06DE4CE1">
      <w:pPr>
        <w:pStyle w:val="21"/>
        <w:tabs>
          <w:tab w:val="right" w:leader="dot" w:pos="8306"/>
        </w:tabs>
        <w:spacing w:line="360" w:lineRule="auto"/>
      </w:pPr>
      <w:r>
        <w:fldChar w:fldCharType="begin"/>
      </w:r>
      <w:r>
        <w:instrText xml:space="preserve"> HYPERLINK \l "_Toc340" </w:instrText>
      </w:r>
      <w:r>
        <w:fldChar w:fldCharType="separate"/>
      </w:r>
      <w:r>
        <w:rPr>
          <w:rFonts w:hint="eastAsia" w:cs="Arial"/>
        </w:rPr>
        <w:t>第十部分</w:t>
      </w:r>
      <w:r>
        <w:rPr>
          <w:rFonts w:hint="eastAsia"/>
        </w:rPr>
        <w:t xml:space="preserve"> 基金份额持有人大会</w:t>
      </w:r>
      <w:r>
        <w:tab/>
      </w:r>
      <w:r>
        <w:rPr>
          <w:rFonts w:hint="eastAsia"/>
        </w:rPr>
        <w:t>10-</w:t>
      </w:r>
      <w:r>
        <w:fldChar w:fldCharType="begin"/>
      </w:r>
      <w:r>
        <w:instrText xml:space="preserve"> PAGEREF _Toc340 \h </w:instrText>
      </w:r>
      <w:r>
        <w:fldChar w:fldCharType="separate"/>
      </w:r>
      <w:r>
        <w:t>1</w:t>
      </w:r>
      <w:r>
        <w:fldChar w:fldCharType="end"/>
      </w:r>
      <w:r>
        <w:fldChar w:fldCharType="end"/>
      </w:r>
    </w:p>
    <w:p w14:paraId="52FE21CB">
      <w:pPr>
        <w:pStyle w:val="21"/>
        <w:tabs>
          <w:tab w:val="right" w:leader="dot" w:pos="8306"/>
        </w:tabs>
        <w:spacing w:line="360" w:lineRule="auto"/>
      </w:pPr>
      <w:r>
        <w:fldChar w:fldCharType="begin"/>
      </w:r>
      <w:r>
        <w:instrText xml:space="preserve"> HYPERLINK \l "_Toc3213" </w:instrText>
      </w:r>
      <w:r>
        <w:fldChar w:fldCharType="separate"/>
      </w:r>
      <w:r>
        <w:rPr>
          <w:rFonts w:hint="eastAsia" w:cs="Arial"/>
        </w:rPr>
        <w:t>第十一部分</w:t>
      </w:r>
      <w:r>
        <w:rPr>
          <w:rFonts w:hint="eastAsia"/>
        </w:rPr>
        <w:t xml:space="preserve"> 基金管理人、基金托管人的更换条件和程序</w:t>
      </w:r>
      <w:r>
        <w:tab/>
      </w:r>
      <w:r>
        <w:rPr>
          <w:rFonts w:hint="eastAsia"/>
        </w:rPr>
        <w:t>11-</w:t>
      </w:r>
      <w:r>
        <w:fldChar w:fldCharType="begin"/>
      </w:r>
      <w:r>
        <w:instrText xml:space="preserve"> PAGEREF _Toc3213 \h </w:instrText>
      </w:r>
      <w:r>
        <w:fldChar w:fldCharType="separate"/>
      </w:r>
      <w:r>
        <w:t>1</w:t>
      </w:r>
      <w:r>
        <w:fldChar w:fldCharType="end"/>
      </w:r>
      <w:r>
        <w:fldChar w:fldCharType="end"/>
      </w:r>
    </w:p>
    <w:p w14:paraId="7E2D15B1">
      <w:pPr>
        <w:pStyle w:val="21"/>
        <w:tabs>
          <w:tab w:val="right" w:leader="dot" w:pos="8306"/>
        </w:tabs>
        <w:spacing w:line="360" w:lineRule="auto"/>
      </w:pPr>
      <w:r>
        <w:fldChar w:fldCharType="begin"/>
      </w:r>
      <w:r>
        <w:instrText xml:space="preserve"> HYPERLINK \l "_Toc19583" </w:instrText>
      </w:r>
      <w:r>
        <w:fldChar w:fldCharType="separate"/>
      </w:r>
      <w:r>
        <w:rPr>
          <w:rFonts w:hint="eastAsia" w:cs="Arial"/>
        </w:rPr>
        <w:t>第十二部分</w:t>
      </w:r>
      <w:r>
        <w:rPr>
          <w:rFonts w:hint="eastAsia"/>
        </w:rPr>
        <w:t xml:space="preserve"> 基金的托管</w:t>
      </w:r>
      <w:r>
        <w:tab/>
      </w:r>
      <w:r>
        <w:rPr>
          <w:rFonts w:hint="eastAsia"/>
        </w:rPr>
        <w:t>12-</w:t>
      </w:r>
      <w:r>
        <w:fldChar w:fldCharType="begin"/>
      </w:r>
      <w:r>
        <w:instrText xml:space="preserve"> PAGEREF _Toc19583 \h </w:instrText>
      </w:r>
      <w:r>
        <w:fldChar w:fldCharType="separate"/>
      </w:r>
      <w:r>
        <w:t>1</w:t>
      </w:r>
      <w:r>
        <w:fldChar w:fldCharType="end"/>
      </w:r>
      <w:r>
        <w:fldChar w:fldCharType="end"/>
      </w:r>
    </w:p>
    <w:p w14:paraId="2FD78B18">
      <w:pPr>
        <w:pStyle w:val="21"/>
        <w:tabs>
          <w:tab w:val="right" w:leader="dot" w:pos="8306"/>
        </w:tabs>
        <w:spacing w:line="360" w:lineRule="auto"/>
      </w:pPr>
      <w:r>
        <w:fldChar w:fldCharType="begin"/>
      </w:r>
      <w:r>
        <w:instrText xml:space="preserve"> HYPERLINK \l "_Toc15628" </w:instrText>
      </w:r>
      <w:r>
        <w:fldChar w:fldCharType="separate"/>
      </w:r>
      <w:r>
        <w:rPr>
          <w:rFonts w:hint="eastAsia" w:cs="Arial"/>
        </w:rPr>
        <w:t>第十三部分</w:t>
      </w:r>
      <w:r>
        <w:rPr>
          <w:rFonts w:hint="eastAsia"/>
        </w:rPr>
        <w:t xml:space="preserve"> 基金份额的登记</w:t>
      </w:r>
      <w:r>
        <w:tab/>
      </w:r>
      <w:r>
        <w:rPr>
          <w:rFonts w:hint="eastAsia"/>
        </w:rPr>
        <w:t>13-</w:t>
      </w:r>
      <w:r>
        <w:fldChar w:fldCharType="begin"/>
      </w:r>
      <w:r>
        <w:instrText xml:space="preserve"> PAGEREF _Toc15628 \h </w:instrText>
      </w:r>
      <w:r>
        <w:fldChar w:fldCharType="separate"/>
      </w:r>
      <w:r>
        <w:t>1</w:t>
      </w:r>
      <w:r>
        <w:fldChar w:fldCharType="end"/>
      </w:r>
      <w:r>
        <w:fldChar w:fldCharType="end"/>
      </w:r>
    </w:p>
    <w:p w14:paraId="12D5A2E9">
      <w:pPr>
        <w:pStyle w:val="21"/>
        <w:tabs>
          <w:tab w:val="right" w:leader="dot" w:pos="8306"/>
        </w:tabs>
        <w:spacing w:line="360" w:lineRule="auto"/>
      </w:pPr>
      <w:r>
        <w:fldChar w:fldCharType="begin"/>
      </w:r>
      <w:r>
        <w:instrText xml:space="preserve"> HYPERLINK \l "_Toc24050" </w:instrText>
      </w:r>
      <w:r>
        <w:fldChar w:fldCharType="separate"/>
      </w:r>
      <w:r>
        <w:rPr>
          <w:rFonts w:hint="eastAsia" w:cs="Arial"/>
        </w:rPr>
        <w:t>第十四</w:t>
      </w:r>
      <w:r>
        <w:rPr>
          <w:rFonts w:hint="eastAsia"/>
        </w:rPr>
        <w:t>部分 基金的投资</w:t>
      </w:r>
      <w:r>
        <w:tab/>
      </w:r>
      <w:r>
        <w:rPr>
          <w:rFonts w:hint="eastAsia"/>
        </w:rPr>
        <w:t>14-</w:t>
      </w:r>
      <w:r>
        <w:fldChar w:fldCharType="begin"/>
      </w:r>
      <w:r>
        <w:instrText xml:space="preserve"> PAGEREF _Toc24050 \h </w:instrText>
      </w:r>
      <w:r>
        <w:fldChar w:fldCharType="separate"/>
      </w:r>
      <w:r>
        <w:t>1</w:t>
      </w:r>
      <w:r>
        <w:fldChar w:fldCharType="end"/>
      </w:r>
      <w:r>
        <w:fldChar w:fldCharType="end"/>
      </w:r>
    </w:p>
    <w:p w14:paraId="07B8221B">
      <w:pPr>
        <w:pStyle w:val="21"/>
        <w:tabs>
          <w:tab w:val="right" w:leader="dot" w:pos="8306"/>
        </w:tabs>
        <w:spacing w:line="360" w:lineRule="auto"/>
      </w:pPr>
      <w:r>
        <w:fldChar w:fldCharType="begin"/>
      </w:r>
      <w:r>
        <w:instrText xml:space="preserve"> HYPERLINK \l "_Toc6057" </w:instrText>
      </w:r>
      <w:r>
        <w:fldChar w:fldCharType="separate"/>
      </w:r>
      <w:r>
        <w:rPr>
          <w:rFonts w:hint="eastAsia" w:cs="Arial"/>
        </w:rPr>
        <w:t>第十五部分</w:t>
      </w:r>
      <w:r>
        <w:rPr>
          <w:rFonts w:hint="eastAsia"/>
        </w:rPr>
        <w:t xml:space="preserve"> 基金的财产</w:t>
      </w:r>
      <w:r>
        <w:tab/>
      </w:r>
      <w:r>
        <w:rPr>
          <w:rFonts w:hint="eastAsia"/>
        </w:rPr>
        <w:t>15-</w:t>
      </w:r>
      <w:r>
        <w:fldChar w:fldCharType="begin"/>
      </w:r>
      <w:r>
        <w:instrText xml:space="preserve"> PAGEREF _Toc6057 \h </w:instrText>
      </w:r>
      <w:r>
        <w:fldChar w:fldCharType="separate"/>
      </w:r>
      <w:r>
        <w:t>1</w:t>
      </w:r>
      <w:r>
        <w:fldChar w:fldCharType="end"/>
      </w:r>
      <w:r>
        <w:fldChar w:fldCharType="end"/>
      </w:r>
    </w:p>
    <w:p w14:paraId="03C75767">
      <w:pPr>
        <w:pStyle w:val="21"/>
        <w:tabs>
          <w:tab w:val="right" w:leader="dot" w:pos="8306"/>
        </w:tabs>
        <w:spacing w:line="360" w:lineRule="auto"/>
      </w:pPr>
      <w:r>
        <w:fldChar w:fldCharType="begin"/>
      </w:r>
      <w:r>
        <w:instrText xml:space="preserve"> HYPERLINK \l "_Toc30857" </w:instrText>
      </w:r>
      <w:r>
        <w:fldChar w:fldCharType="separate"/>
      </w:r>
      <w:r>
        <w:rPr>
          <w:rFonts w:hint="eastAsia" w:cs="Arial"/>
        </w:rPr>
        <w:t>第十六</w:t>
      </w:r>
      <w:r>
        <w:rPr>
          <w:rFonts w:hint="eastAsia"/>
        </w:rPr>
        <w:t>部分</w:t>
      </w:r>
      <w:r>
        <w:t xml:space="preserve"> </w:t>
      </w:r>
      <w:r>
        <w:rPr>
          <w:rFonts w:hint="eastAsia"/>
        </w:rPr>
        <w:t>基金资产</w:t>
      </w:r>
      <w:r>
        <w:rPr>
          <w:rFonts w:cs="Arial"/>
        </w:rPr>
        <w:t>的</w:t>
      </w:r>
      <w:r>
        <w:rPr>
          <w:rFonts w:hint="eastAsia"/>
        </w:rPr>
        <w:t>估值</w:t>
      </w:r>
      <w:r>
        <w:tab/>
      </w:r>
      <w:r>
        <w:rPr>
          <w:rFonts w:hint="eastAsia"/>
        </w:rPr>
        <w:t>16-</w:t>
      </w:r>
      <w:r>
        <w:fldChar w:fldCharType="begin"/>
      </w:r>
      <w:r>
        <w:instrText xml:space="preserve"> PAGEREF _Toc30857 \h </w:instrText>
      </w:r>
      <w:r>
        <w:fldChar w:fldCharType="separate"/>
      </w:r>
      <w:r>
        <w:t>1</w:t>
      </w:r>
      <w:r>
        <w:fldChar w:fldCharType="end"/>
      </w:r>
      <w:r>
        <w:fldChar w:fldCharType="end"/>
      </w:r>
    </w:p>
    <w:p w14:paraId="24E54081">
      <w:pPr>
        <w:pStyle w:val="21"/>
        <w:tabs>
          <w:tab w:val="right" w:leader="dot" w:pos="8306"/>
        </w:tabs>
        <w:spacing w:line="360" w:lineRule="auto"/>
      </w:pPr>
      <w:r>
        <w:fldChar w:fldCharType="begin"/>
      </w:r>
      <w:r>
        <w:instrText xml:space="preserve"> HYPERLINK \l "_Toc5050" </w:instrText>
      </w:r>
      <w:r>
        <w:fldChar w:fldCharType="separate"/>
      </w:r>
      <w:r>
        <w:rPr>
          <w:rFonts w:hint="eastAsia" w:cs="Arial"/>
        </w:rPr>
        <w:t>第十七</w:t>
      </w:r>
      <w:r>
        <w:rPr>
          <w:rFonts w:hint="eastAsia"/>
        </w:rPr>
        <w:t>部分</w:t>
      </w:r>
      <w:r>
        <w:t xml:space="preserve"> </w:t>
      </w:r>
      <w:r>
        <w:rPr>
          <w:rFonts w:hint="eastAsia"/>
        </w:rPr>
        <w:t>基金</w:t>
      </w:r>
      <w:r>
        <w:rPr>
          <w:rFonts w:cs="Arial"/>
        </w:rPr>
        <w:t>的</w:t>
      </w:r>
      <w:r>
        <w:rPr>
          <w:rFonts w:hint="eastAsia"/>
        </w:rPr>
        <w:t>费用与税收</w:t>
      </w:r>
      <w:r>
        <w:tab/>
      </w:r>
      <w:r>
        <w:rPr>
          <w:rFonts w:hint="eastAsia"/>
        </w:rPr>
        <w:t>17-</w:t>
      </w:r>
      <w:r>
        <w:fldChar w:fldCharType="begin"/>
      </w:r>
      <w:r>
        <w:instrText xml:space="preserve"> PAGEREF _Toc5050 \h </w:instrText>
      </w:r>
      <w:r>
        <w:fldChar w:fldCharType="separate"/>
      </w:r>
      <w:r>
        <w:t>1</w:t>
      </w:r>
      <w:r>
        <w:fldChar w:fldCharType="end"/>
      </w:r>
      <w:r>
        <w:fldChar w:fldCharType="end"/>
      </w:r>
    </w:p>
    <w:p w14:paraId="475AB69D">
      <w:pPr>
        <w:pStyle w:val="21"/>
        <w:tabs>
          <w:tab w:val="right" w:leader="dot" w:pos="8306"/>
        </w:tabs>
        <w:spacing w:line="360" w:lineRule="auto"/>
      </w:pPr>
      <w:r>
        <w:fldChar w:fldCharType="begin"/>
      </w:r>
      <w:r>
        <w:instrText xml:space="preserve"> HYPERLINK \l "_Toc22776" </w:instrText>
      </w:r>
      <w:r>
        <w:fldChar w:fldCharType="separate"/>
      </w:r>
      <w:r>
        <w:rPr>
          <w:rFonts w:hint="eastAsia" w:cs="Arial"/>
        </w:rPr>
        <w:t>第十八部分</w:t>
      </w:r>
      <w:r>
        <w:rPr>
          <w:rFonts w:hint="eastAsia"/>
        </w:rPr>
        <w:t xml:space="preserve"> 基金的收益与分配</w:t>
      </w:r>
      <w:r>
        <w:tab/>
      </w:r>
      <w:r>
        <w:rPr>
          <w:rFonts w:hint="eastAsia"/>
        </w:rPr>
        <w:t>18-</w:t>
      </w:r>
      <w:r>
        <w:fldChar w:fldCharType="begin"/>
      </w:r>
      <w:r>
        <w:instrText xml:space="preserve"> PAGEREF _Toc22776 \h </w:instrText>
      </w:r>
      <w:r>
        <w:fldChar w:fldCharType="separate"/>
      </w:r>
      <w:r>
        <w:t>1</w:t>
      </w:r>
      <w:r>
        <w:fldChar w:fldCharType="end"/>
      </w:r>
      <w:r>
        <w:fldChar w:fldCharType="end"/>
      </w:r>
    </w:p>
    <w:p w14:paraId="4F417DA9">
      <w:pPr>
        <w:pStyle w:val="21"/>
        <w:tabs>
          <w:tab w:val="right" w:leader="dot" w:pos="8306"/>
        </w:tabs>
        <w:spacing w:line="360" w:lineRule="auto"/>
      </w:pPr>
      <w:r>
        <w:fldChar w:fldCharType="begin"/>
      </w:r>
      <w:r>
        <w:instrText xml:space="preserve"> HYPERLINK \l "_Toc13114" </w:instrText>
      </w:r>
      <w:r>
        <w:fldChar w:fldCharType="separate"/>
      </w:r>
      <w:r>
        <w:rPr>
          <w:rFonts w:hint="eastAsia" w:cs="Arial"/>
        </w:rPr>
        <w:t>第十九</w:t>
      </w:r>
      <w:r>
        <w:rPr>
          <w:rFonts w:hint="eastAsia"/>
        </w:rPr>
        <w:t>部分 基金的会计与审计</w:t>
      </w:r>
      <w:r>
        <w:tab/>
      </w:r>
      <w:r>
        <w:rPr>
          <w:rFonts w:hint="eastAsia"/>
        </w:rPr>
        <w:t>19-</w:t>
      </w:r>
      <w:r>
        <w:fldChar w:fldCharType="begin"/>
      </w:r>
      <w:r>
        <w:instrText xml:space="preserve"> PAGEREF _Toc13114 \h </w:instrText>
      </w:r>
      <w:r>
        <w:fldChar w:fldCharType="separate"/>
      </w:r>
      <w:r>
        <w:t>1</w:t>
      </w:r>
      <w:r>
        <w:fldChar w:fldCharType="end"/>
      </w:r>
      <w:r>
        <w:fldChar w:fldCharType="end"/>
      </w:r>
    </w:p>
    <w:p w14:paraId="2A746C03">
      <w:pPr>
        <w:pStyle w:val="21"/>
        <w:tabs>
          <w:tab w:val="right" w:leader="dot" w:pos="8306"/>
        </w:tabs>
        <w:spacing w:line="360" w:lineRule="auto"/>
      </w:pPr>
      <w:r>
        <w:fldChar w:fldCharType="begin"/>
      </w:r>
      <w:r>
        <w:instrText xml:space="preserve"> HYPERLINK \l "_Toc28082" </w:instrText>
      </w:r>
      <w:r>
        <w:fldChar w:fldCharType="separate"/>
      </w:r>
      <w:r>
        <w:rPr>
          <w:rFonts w:hint="eastAsia" w:cs="Arial"/>
        </w:rPr>
        <w:t>第二十部分</w:t>
      </w:r>
      <w:r>
        <w:rPr>
          <w:rFonts w:hint="eastAsia"/>
        </w:rPr>
        <w:t xml:space="preserve"> 基金的信息披露</w:t>
      </w:r>
      <w:r>
        <w:tab/>
      </w:r>
      <w:r>
        <w:rPr>
          <w:rFonts w:hint="eastAsia"/>
        </w:rPr>
        <w:t>20-</w:t>
      </w:r>
      <w:r>
        <w:fldChar w:fldCharType="begin"/>
      </w:r>
      <w:r>
        <w:instrText xml:space="preserve"> PAGEREF _Toc28082 \h </w:instrText>
      </w:r>
      <w:r>
        <w:fldChar w:fldCharType="separate"/>
      </w:r>
      <w:r>
        <w:t>1</w:t>
      </w:r>
      <w:r>
        <w:fldChar w:fldCharType="end"/>
      </w:r>
      <w:r>
        <w:fldChar w:fldCharType="end"/>
      </w:r>
    </w:p>
    <w:p w14:paraId="58EB546F">
      <w:pPr>
        <w:pStyle w:val="21"/>
        <w:tabs>
          <w:tab w:val="right" w:leader="dot" w:pos="8306"/>
        </w:tabs>
        <w:spacing w:line="360" w:lineRule="auto"/>
      </w:pPr>
      <w:r>
        <w:fldChar w:fldCharType="begin"/>
      </w:r>
      <w:r>
        <w:instrText xml:space="preserve"> HYPERLINK \l "_Toc6603" </w:instrText>
      </w:r>
      <w:r>
        <w:fldChar w:fldCharType="separate"/>
      </w:r>
      <w:r>
        <w:rPr>
          <w:rFonts w:hint="eastAsia" w:cs="Arial"/>
        </w:rPr>
        <w:t>第二十一</w:t>
      </w:r>
      <w:r>
        <w:rPr>
          <w:rFonts w:hint="eastAsia"/>
        </w:rPr>
        <w:t>部分 基金合同的变更、终止与基金财产的清算</w:t>
      </w:r>
      <w:r>
        <w:tab/>
      </w:r>
      <w:r>
        <w:rPr>
          <w:rFonts w:hint="eastAsia"/>
        </w:rPr>
        <w:t>21-</w:t>
      </w:r>
      <w:r>
        <w:fldChar w:fldCharType="begin"/>
      </w:r>
      <w:r>
        <w:instrText xml:space="preserve"> PAGEREF _Toc6603 \h </w:instrText>
      </w:r>
      <w:r>
        <w:fldChar w:fldCharType="separate"/>
      </w:r>
      <w:r>
        <w:t>1</w:t>
      </w:r>
      <w:r>
        <w:fldChar w:fldCharType="end"/>
      </w:r>
      <w:r>
        <w:fldChar w:fldCharType="end"/>
      </w:r>
    </w:p>
    <w:p w14:paraId="052ED62A">
      <w:pPr>
        <w:pStyle w:val="21"/>
        <w:tabs>
          <w:tab w:val="right" w:leader="dot" w:pos="8306"/>
        </w:tabs>
        <w:spacing w:line="360" w:lineRule="auto"/>
      </w:pPr>
      <w:r>
        <w:fldChar w:fldCharType="begin"/>
      </w:r>
      <w:r>
        <w:instrText xml:space="preserve"> HYPERLINK \l "_Toc17930" </w:instrText>
      </w:r>
      <w:r>
        <w:fldChar w:fldCharType="separate"/>
      </w:r>
      <w:r>
        <w:rPr>
          <w:rFonts w:hint="eastAsia" w:cs="Arial"/>
        </w:rPr>
        <w:t>第二十二</w:t>
      </w:r>
      <w:r>
        <w:rPr>
          <w:rFonts w:hint="eastAsia"/>
        </w:rPr>
        <w:t>部分</w:t>
      </w:r>
      <w:r>
        <w:t xml:space="preserve"> </w:t>
      </w:r>
      <w:r>
        <w:rPr>
          <w:rFonts w:hint="eastAsia"/>
        </w:rPr>
        <w:t>违约责任</w:t>
      </w:r>
      <w:r>
        <w:tab/>
      </w:r>
      <w:r>
        <w:rPr>
          <w:rFonts w:hint="eastAsia"/>
        </w:rPr>
        <w:t>22-</w:t>
      </w:r>
      <w:r>
        <w:fldChar w:fldCharType="begin"/>
      </w:r>
      <w:r>
        <w:instrText xml:space="preserve"> PAGEREF _Toc17930 \h </w:instrText>
      </w:r>
      <w:r>
        <w:fldChar w:fldCharType="separate"/>
      </w:r>
      <w:r>
        <w:t>1</w:t>
      </w:r>
      <w:r>
        <w:fldChar w:fldCharType="end"/>
      </w:r>
      <w:r>
        <w:fldChar w:fldCharType="end"/>
      </w:r>
    </w:p>
    <w:p w14:paraId="49A9EC2D">
      <w:pPr>
        <w:pStyle w:val="21"/>
        <w:tabs>
          <w:tab w:val="right" w:leader="dot" w:pos="8306"/>
        </w:tabs>
        <w:spacing w:line="360" w:lineRule="auto"/>
      </w:pPr>
      <w:r>
        <w:fldChar w:fldCharType="begin"/>
      </w:r>
      <w:r>
        <w:instrText xml:space="preserve"> HYPERLINK \l "_Toc5371" </w:instrText>
      </w:r>
      <w:r>
        <w:fldChar w:fldCharType="separate"/>
      </w:r>
      <w:r>
        <w:rPr>
          <w:rFonts w:hint="eastAsia" w:cs="Arial"/>
        </w:rPr>
        <w:t>第二十三部分</w:t>
      </w:r>
      <w:r>
        <w:rPr>
          <w:rFonts w:hint="eastAsia"/>
        </w:rPr>
        <w:t xml:space="preserve"> 争议的处理和适用的法律</w:t>
      </w:r>
      <w:r>
        <w:tab/>
      </w:r>
      <w:r>
        <w:rPr>
          <w:rFonts w:hint="eastAsia"/>
        </w:rPr>
        <w:t>23-</w:t>
      </w:r>
      <w:r>
        <w:fldChar w:fldCharType="begin"/>
      </w:r>
      <w:r>
        <w:instrText xml:space="preserve"> PAGEREF _Toc5371 \h </w:instrText>
      </w:r>
      <w:r>
        <w:fldChar w:fldCharType="separate"/>
      </w:r>
      <w:r>
        <w:t>1</w:t>
      </w:r>
      <w:r>
        <w:fldChar w:fldCharType="end"/>
      </w:r>
      <w:r>
        <w:fldChar w:fldCharType="end"/>
      </w:r>
    </w:p>
    <w:p w14:paraId="225E941D">
      <w:pPr>
        <w:pStyle w:val="21"/>
        <w:tabs>
          <w:tab w:val="right" w:leader="dot" w:pos="8306"/>
        </w:tabs>
        <w:spacing w:line="360" w:lineRule="auto"/>
      </w:pPr>
      <w:r>
        <w:fldChar w:fldCharType="begin"/>
      </w:r>
      <w:r>
        <w:instrText xml:space="preserve"> HYPERLINK \l "_Toc31896" </w:instrText>
      </w:r>
      <w:r>
        <w:fldChar w:fldCharType="separate"/>
      </w:r>
      <w:r>
        <w:rPr>
          <w:rFonts w:hint="eastAsia" w:cs="Arial"/>
        </w:rPr>
        <w:t>第二十四</w:t>
      </w:r>
      <w:r>
        <w:rPr>
          <w:rFonts w:hint="eastAsia"/>
        </w:rPr>
        <w:t>部分 基金合同的效力</w:t>
      </w:r>
      <w:r>
        <w:tab/>
      </w:r>
      <w:r>
        <w:rPr>
          <w:rFonts w:hint="eastAsia"/>
        </w:rPr>
        <w:t>24-</w:t>
      </w:r>
      <w:r>
        <w:fldChar w:fldCharType="begin"/>
      </w:r>
      <w:r>
        <w:instrText xml:space="preserve"> PAGEREF _Toc31896 \h </w:instrText>
      </w:r>
      <w:r>
        <w:fldChar w:fldCharType="separate"/>
      </w:r>
      <w:r>
        <w:t>1</w:t>
      </w:r>
      <w:r>
        <w:fldChar w:fldCharType="end"/>
      </w:r>
      <w:r>
        <w:fldChar w:fldCharType="end"/>
      </w:r>
    </w:p>
    <w:p w14:paraId="26D44301">
      <w:pPr>
        <w:pStyle w:val="21"/>
        <w:tabs>
          <w:tab w:val="right" w:leader="dot" w:pos="8306"/>
        </w:tabs>
        <w:spacing w:line="360" w:lineRule="auto"/>
      </w:pPr>
      <w:r>
        <w:fldChar w:fldCharType="begin"/>
      </w:r>
      <w:r>
        <w:instrText xml:space="preserve"> HYPERLINK \l "_Toc31175" </w:instrText>
      </w:r>
      <w:r>
        <w:fldChar w:fldCharType="separate"/>
      </w:r>
      <w:r>
        <w:rPr>
          <w:rFonts w:hint="eastAsia" w:cs="Arial"/>
        </w:rPr>
        <w:t xml:space="preserve">第二十五部分 </w:t>
      </w:r>
      <w:r>
        <w:t>其他事项</w:t>
      </w:r>
      <w:r>
        <w:tab/>
      </w:r>
      <w:r>
        <w:rPr>
          <w:rFonts w:hint="eastAsia"/>
        </w:rPr>
        <w:t>25-</w:t>
      </w:r>
      <w:r>
        <w:fldChar w:fldCharType="begin"/>
      </w:r>
      <w:r>
        <w:instrText xml:space="preserve"> PAGEREF _Toc31175 \h </w:instrText>
      </w:r>
      <w:r>
        <w:fldChar w:fldCharType="separate"/>
      </w:r>
      <w:r>
        <w:t>1</w:t>
      </w:r>
      <w:r>
        <w:fldChar w:fldCharType="end"/>
      </w:r>
      <w:r>
        <w:fldChar w:fldCharType="end"/>
      </w:r>
    </w:p>
    <w:p w14:paraId="21769076">
      <w:pPr>
        <w:pStyle w:val="21"/>
        <w:tabs>
          <w:tab w:val="right" w:leader="dot" w:pos="8306"/>
        </w:tabs>
        <w:spacing w:line="360" w:lineRule="auto"/>
      </w:pPr>
      <w:r>
        <w:fldChar w:fldCharType="begin"/>
      </w:r>
      <w:r>
        <w:instrText xml:space="preserve"> HYPERLINK \l "_Toc5735" </w:instrText>
      </w:r>
      <w:r>
        <w:fldChar w:fldCharType="separate"/>
      </w:r>
      <w:r>
        <w:rPr>
          <w:rFonts w:hint="eastAsia"/>
        </w:rPr>
        <w:t>第二十六部分 基金合同摘要</w:t>
      </w:r>
      <w:r>
        <w:tab/>
      </w:r>
      <w:r>
        <w:rPr>
          <w:rFonts w:hint="eastAsia"/>
        </w:rPr>
        <w:t>26-</w:t>
      </w:r>
      <w:r>
        <w:fldChar w:fldCharType="begin"/>
      </w:r>
      <w:r>
        <w:instrText xml:space="preserve"> PAGEREF _Toc5735 \h </w:instrText>
      </w:r>
      <w:r>
        <w:fldChar w:fldCharType="separate"/>
      </w:r>
      <w:r>
        <w:t>1</w:t>
      </w:r>
      <w:r>
        <w:fldChar w:fldCharType="end"/>
      </w:r>
      <w:r>
        <w:fldChar w:fldCharType="end"/>
      </w:r>
    </w:p>
    <w:p w14:paraId="0267EC46">
      <w:pPr>
        <w:pStyle w:val="2"/>
        <w:rPr>
          <w:kern w:val="2"/>
        </w:rPr>
        <w:sectPr>
          <w:headerReference r:id="rId6" w:type="default"/>
          <w:pgSz w:w="11906" w:h="16838"/>
          <w:pgMar w:top="1440" w:right="1800" w:bottom="1440" w:left="1800" w:header="851" w:footer="992" w:gutter="0"/>
          <w:pgNumType w:start="1"/>
          <w:cols w:space="720" w:num="1"/>
          <w:docGrid w:type="lines" w:linePitch="312" w:charSpace="0"/>
        </w:sectPr>
      </w:pPr>
      <w:r>
        <w:fldChar w:fldCharType="end"/>
      </w:r>
    </w:p>
    <w:bookmarkEnd w:id="21"/>
    <w:p w14:paraId="2D3FC367">
      <w:pPr>
        <w:pStyle w:val="2"/>
      </w:pPr>
      <w:bookmarkStart w:id="40" w:name="CTS_4f19456cd08f49bd8fd8446605e1288e"/>
      <w:bookmarkEnd w:id="40"/>
      <w:bookmarkStart w:id="41" w:name="CTS_aab1dd75ce6642719ce7dff545bd31fc"/>
      <w:bookmarkEnd w:id="41"/>
      <w:bookmarkStart w:id="42" w:name="_Toc90742318"/>
      <w:bookmarkStart w:id="43" w:name="_Toc90742685"/>
      <w:bookmarkStart w:id="44" w:name="_Toc16947"/>
      <w:bookmarkStart w:id="45" w:name="_Toc90742387"/>
      <w:bookmarkStart w:id="46" w:name="CLAUSE_aab1dd75ce6642719ce7dff545bd31fc"/>
      <w:r>
        <w:rPr>
          <w:rFonts w:hint="eastAsia"/>
        </w:rPr>
        <w:t>第一部分</w:t>
      </w:r>
      <w:r>
        <w:t xml:space="preserve"> </w:t>
      </w:r>
      <w:r>
        <w:rPr>
          <w:rFonts w:hint="eastAsia"/>
        </w:rPr>
        <w:t>前言</w:t>
      </w:r>
      <w:bookmarkEnd w:id="23"/>
      <w:bookmarkEnd w:id="24"/>
      <w:bookmarkEnd w:id="25"/>
      <w:bookmarkEnd w:id="26"/>
      <w:bookmarkEnd w:id="27"/>
      <w:bookmarkEnd w:id="28"/>
      <w:bookmarkEnd w:id="29"/>
      <w:bookmarkEnd w:id="30"/>
      <w:bookmarkEnd w:id="31"/>
      <w:bookmarkEnd w:id="32"/>
      <w:bookmarkEnd w:id="33"/>
      <w:bookmarkEnd w:id="34"/>
      <w:bookmarkEnd w:id="35"/>
      <w:bookmarkEnd w:id="42"/>
      <w:bookmarkEnd w:id="43"/>
      <w:bookmarkEnd w:id="44"/>
      <w:bookmarkEnd w:id="45"/>
    </w:p>
    <w:bookmarkEnd w:id="36"/>
    <w:bookmarkEnd w:id="37"/>
    <w:bookmarkEnd w:id="38"/>
    <w:p w14:paraId="0BE6EF3A">
      <w:pPr>
        <w:rPr>
          <w:rFonts w:asciiTheme="minorEastAsia" w:hAnsiTheme="minorEastAsia"/>
        </w:rPr>
      </w:pPr>
      <w:bookmarkStart w:id="47" w:name="_Toc139991731"/>
      <w:bookmarkStart w:id="48" w:name="_Toc258829399"/>
    </w:p>
    <w:bookmarkEnd w:id="47"/>
    <w:p w14:paraId="064567D7">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一、订立本基金合同的目的、依据和原则</w:t>
      </w:r>
    </w:p>
    <w:p w14:paraId="3B0902F5">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、订立本基金合同的目的是保护投资人合法权益，明确基金合同当事人的权利义务，规范基金运作。</w:t>
      </w:r>
    </w:p>
    <w:p w14:paraId="0019E1C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、订立本基金合同的依据是《中华人民共和国民法典》、《中华人民共和国证券法》(以下简称“《证券法》”)、《中华人民共和国证券投资基金法》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以下简称</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、《公开募集证券投资基金运作管理办法》(以下简称</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《运作办法》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、《公开募集证券投资基金销售机构监督管理办法》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以下简称</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《销售办法》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、《公开募集证券投资基金信息披露管理办法》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以下简称</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《信息披露办法》</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、《公开募集开放式证券投资基金流动性风险管理规定》（以下简称“《流动性风险管理规定》”）</w:t>
      </w:r>
      <w:r>
        <w:rPr>
          <w:rFonts w:hint="eastAsia" w:ascii="Arial" w:hAnsi="ˎ̥" w:cs="Arial"/>
          <w:bCs/>
          <w:szCs w:val="21"/>
        </w:rPr>
        <w:t>、《公开募集证券投资基金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运作指引第3号—</w:t>
      </w:r>
      <w:r>
        <w:rPr>
          <w:rFonts w:hint="eastAsia" w:ascii="Arial" w:hAnsi="ˎ̥" w:cs="Arial"/>
          <w:bCs/>
          <w:szCs w:val="21"/>
        </w:rPr>
        <w:t>—指数基金指引》（以下简称“《指数基金指引》”）</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和其他有关法律法规。</w:t>
      </w:r>
    </w:p>
    <w:p w14:paraId="26963779">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、订立本基金合同的原则是平等自愿、诚实信用、充分保护投资人合法权益。</w:t>
      </w:r>
    </w:p>
    <w:p w14:paraId="71FD3FE9">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7D5E0E9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08E64ED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三、</w:t>
      </w:r>
      <w:r>
        <w:rPr>
          <w:rFonts w:hint="eastAsia" w:cs="Arial" w:asciiTheme="minorEastAsia" w:hAnsiTheme="minorEastAsia" w:eastAsiaTheme="minorEastAsia"/>
          <w:color w:val="0D0D0D" w:themeColor="text1" w:themeTint="F2"/>
          <w:kern w:val="0"/>
          <w:szCs w:val="21"/>
          <w14:textFill>
            <w14:solidFill>
              <w14:schemeClr w14:val="tx1">
                <w14:lumMod w14:val="95000"/>
                <w14:lumOff w14:val="5000"/>
              </w14:schemeClr>
            </w14:solidFill>
          </w14:textFill>
        </w:rPr>
        <w:t>博时恒生港股通</w:t>
      </w:r>
      <w:r>
        <w:rPr>
          <w:rFonts w:hint="eastAsia" w:cs="Arial" w:asciiTheme="minorEastAsia" w:hAnsiTheme="minorEastAsia" w:eastAsiaTheme="minorEastAsia"/>
          <w:color w:val="0D0D0D" w:themeColor="text1" w:themeTint="F2"/>
          <w:kern w:val="0"/>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color w:val="0D0D0D" w:themeColor="text1" w:themeTint="F2"/>
          <w:kern w:val="0"/>
          <w:szCs w:val="21"/>
          <w14:textFill>
            <w14:solidFill>
              <w14:schemeClr w14:val="tx1">
                <w14:lumMod w14:val="95000"/>
                <w14:lumOff w14:val="5000"/>
              </w14:schemeClr>
            </w14:solidFill>
          </w14:textFill>
        </w:rPr>
        <w:t>低波动交易型开放式指数证券投资基金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由基金管理人依照《基金法》、基金合同及其他有关规定募集，并经中国证券监督管理委员会</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以下简称</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中国证监会</w:t>
      </w:r>
      <w:r>
        <w:rPr>
          <w:rFonts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注册。</w:t>
      </w:r>
    </w:p>
    <w:p w14:paraId="1FAD8647">
      <w:pPr>
        <w:snapToGrid w:val="0"/>
        <w:spacing w:line="360" w:lineRule="auto"/>
        <w:ind w:firstLine="420" w:firstLineChars="200"/>
        <w:rPr>
          <w:rFonts w:asciiTheme="minorEastAsia" w:hAnsiTheme="minorEastAsia"/>
        </w:rPr>
      </w:pPr>
      <w:r>
        <w:rPr>
          <w:rFonts w:hint="eastAsia" w:asciiTheme="minorEastAsia" w:hAnsiTheme="minorEastAsia"/>
        </w:rPr>
        <w:t>中国证监会对本基金募集的注册，并不表明其对本基金的投资价值</w:t>
      </w:r>
      <w:r>
        <w:rPr>
          <w:rFonts w:hint="eastAsia" w:asciiTheme="minorEastAsia" w:hAnsiTheme="minorEastAsia" w:eastAsiaTheme="minorEastAsia"/>
          <w:szCs w:val="21"/>
        </w:rPr>
        <w:t>、</w:t>
      </w:r>
      <w:r>
        <w:rPr>
          <w:rFonts w:hint="eastAsia" w:asciiTheme="minorEastAsia" w:hAnsiTheme="minorEastAsia"/>
        </w:rPr>
        <w:t>市场前景</w:t>
      </w:r>
      <w:r>
        <w:rPr>
          <w:rFonts w:hint="eastAsia" w:asciiTheme="minorEastAsia" w:hAnsiTheme="minorEastAsia" w:eastAsiaTheme="minorEastAsia"/>
        </w:rPr>
        <w:t>和收益</w:t>
      </w:r>
      <w:r>
        <w:rPr>
          <w:rFonts w:hint="eastAsia" w:asciiTheme="minorEastAsia" w:hAnsiTheme="minorEastAsia"/>
        </w:rPr>
        <w:t>做出实质性判断或保证，也不表明投资于本基金没有风险。</w:t>
      </w:r>
    </w:p>
    <w:p w14:paraId="243BAB5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基金管理人依照恪尽职守、诚实信用、谨慎勤勉的原则管理和运用基金财产，但不保证投资于本基金一定盈利，也不保证最低收益。</w:t>
      </w:r>
    </w:p>
    <w:p w14:paraId="3C9D44E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投资者应当认真阅读基金招募说明书、基金合同、</w:t>
      </w:r>
      <w:r>
        <w:rPr>
          <w:rFonts w:asciiTheme="minorEastAsia" w:hAnsiTheme="minorEastAsia"/>
          <w:color w:val="0D0D0D" w:themeColor="text1" w:themeTint="F2"/>
          <w:kern w:val="0"/>
          <w14:textFill>
            <w14:solidFill>
              <w14:schemeClr w14:val="tx1">
                <w14:lumMod w14:val="95000"/>
                <w14:lumOff w14:val="5000"/>
              </w14:schemeClr>
            </w14:solidFill>
          </w14:textFill>
        </w:rPr>
        <w:t>基金产品资料概要</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等信息披露文件，自主判断基金的投资价值，自主做出投资决策，自行承担投资风险。</w:t>
      </w:r>
    </w:p>
    <w:p w14:paraId="6C80829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kern w:val="0"/>
          <w:szCs w:val="21"/>
          <w14:textFill>
            <w14:solidFill>
              <w14:schemeClr w14:val="tx1">
                <w14:lumMod w14:val="95000"/>
                <w14:lumOff w14:val="5000"/>
              </w14:schemeClr>
            </w14:solidFill>
          </w14:textFill>
        </w:rPr>
        <w:t>四、</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基金管理人、基金托管人在本基金合同之外披露涉及本基金的信息，其内容涉及界定基金合同当事人之间权利义务关系的，如与基金合同有冲突，以基金合同为准。</w:t>
      </w:r>
    </w:p>
    <w:p w14:paraId="10E73ED7">
      <w:pPr>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五、本基金按照中国法律法规成立并运作，若基金合同的内容与届时有效的法律法规的强制性规定不一致，应当以届时有效的法律法规的规定为准。</w:t>
      </w:r>
    </w:p>
    <w:p w14:paraId="6B22CAF9">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49" w:name="_Toc21301"/>
      <w:bookmarkStart w:id="50" w:name="_Toc22864"/>
      <w:bookmarkStart w:id="51" w:name="_Toc13020"/>
      <w:bookmarkStart w:id="52" w:name="_Toc15067"/>
      <w:bookmarkStart w:id="53" w:name="_Toc3224"/>
      <w:bookmarkStart w:id="54" w:name="_Toc31551"/>
      <w:bookmarkStart w:id="55" w:name="_Toc6617"/>
      <w:bookmarkStart w:id="56" w:name="_Toc819"/>
      <w:bookmarkStart w:id="57" w:name="_Toc19592"/>
      <w:bookmarkStart w:id="58" w:name="_Toc24860"/>
      <w:bookmarkStart w:id="59" w:name="_Toc2465"/>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六、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w:t>
      </w:r>
    </w:p>
    <w:p w14:paraId="71FA42A6">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七、本基金基金资产若投资于股票期权，可能会面临价格波动风险、市场流动性风险、强制平仓风险、合约到期风险、行权失败风险、交易违约风险等。此外，行权失败和交收违约也是股票期权交易可能出现的风险，失去交易机会可能会对本基金的投资收益造成损失。</w:t>
      </w:r>
    </w:p>
    <w:p w14:paraId="439892CC">
      <w:pPr>
        <w:adjustRightInd w:val="0"/>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bookmarkStart w:id="60" w:name="_Hlk55843966"/>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八、本基金的投资范围包括存托凭证，除与其他仅投资于境内市场股票的基金所面临的共同风险外，本基金将面临中国存托凭证价格大幅波动甚至出现较大亏损的风险，以及与中国存托凭证发行机制相关的风险。</w:t>
      </w:r>
    </w:p>
    <w:p w14:paraId="48CEE512">
      <w:pPr>
        <w:adjustRightInd w:val="0"/>
        <w:snapToGrid w:val="0"/>
        <w:spacing w:line="360" w:lineRule="auto"/>
        <w:ind w:firstLine="420" w:firstLineChars="20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九、本基金为指数基金，投资者投资于本基金面临跟踪误差控制未达约定目标、指数编制机构停止服务、成份股停牌或退市等潜在风险，具体风险详见本基金招募说明书。</w:t>
      </w:r>
    </w:p>
    <w:bookmarkEnd w:id="60"/>
    <w:p w14:paraId="5405CD28">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p w14:paraId="326E6FB8">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bookmarkEnd w:id="46"/>
    <w:p w14:paraId="795BF487">
      <w:pPr>
        <w:adjustRightInd w:val="0"/>
        <w:snapToGrid w:val="0"/>
        <w:spacing w:line="360" w:lineRule="auto"/>
        <w:jc w:val="cente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sectPr>
          <w:headerReference r:id="rId7" w:type="default"/>
          <w:footerReference r:id="rId8" w:type="default"/>
          <w:pgSz w:w="11906" w:h="16838"/>
          <w:pgMar w:top="1440" w:right="1800" w:bottom="1440" w:left="1800" w:header="851" w:footer="992" w:gutter="0"/>
          <w:pgNumType w:start="1"/>
          <w:cols w:space="425" w:num="1"/>
          <w:docGrid w:type="lines" w:linePitch="312" w:charSpace="0"/>
        </w:sectPr>
      </w:pPr>
    </w:p>
    <w:p w14:paraId="3B13E16C">
      <w:pPr>
        <w:adjustRightInd w:val="0"/>
        <w:snapToGrid w:val="0"/>
        <w:spacing w:line="360" w:lineRule="auto"/>
        <w:jc w:val="cente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61" w:name="CLAUSE_eee538634e0f48d7bfcd1e419f7e5629"/>
      <w:r>
        <w:rPr>
          <w:rFonts w:asciiTheme="minorEastAsia" w:hAnsiTheme="minorEastAsia" w:eastAsiaTheme="minorEastAsia"/>
        </w:rPr>
        <w:t xml:space="preserve"> </w:t>
      </w:r>
      <w:bookmarkStart w:id="62" w:name="CTS_eee538634e0f48d7bfcd1e419f7e5629"/>
      <w:bookmarkEnd w:id="62"/>
    </w:p>
    <w:p w14:paraId="2B148B97">
      <w:pPr>
        <w:pStyle w:val="2"/>
      </w:pPr>
      <w:bookmarkStart w:id="63" w:name="_Toc90742686"/>
      <w:bookmarkStart w:id="64" w:name="_Toc90742388"/>
      <w:bookmarkStart w:id="65" w:name="_Toc4420"/>
      <w:bookmarkStart w:id="66" w:name="_Toc90742319"/>
      <w:r>
        <w:rPr>
          <w:rFonts w:hint="eastAsia"/>
        </w:rPr>
        <w:t>第二部分</w:t>
      </w:r>
      <w:r>
        <w:t xml:space="preserve"> </w:t>
      </w:r>
      <w:r>
        <w:rPr>
          <w:rFonts w:hint="eastAsia"/>
        </w:rPr>
        <w:t>释义</w:t>
      </w:r>
      <w:bookmarkEnd w:id="39"/>
      <w:bookmarkEnd w:id="48"/>
      <w:bookmarkEnd w:id="49"/>
      <w:bookmarkEnd w:id="50"/>
      <w:bookmarkEnd w:id="51"/>
      <w:bookmarkEnd w:id="52"/>
      <w:bookmarkEnd w:id="53"/>
      <w:bookmarkEnd w:id="54"/>
      <w:bookmarkEnd w:id="55"/>
      <w:bookmarkEnd w:id="56"/>
      <w:bookmarkEnd w:id="57"/>
      <w:bookmarkEnd w:id="58"/>
      <w:bookmarkEnd w:id="59"/>
      <w:bookmarkEnd w:id="63"/>
      <w:bookmarkEnd w:id="64"/>
      <w:bookmarkEnd w:id="65"/>
      <w:bookmarkEnd w:id="66"/>
    </w:p>
    <w:p w14:paraId="14214FEE">
      <w:pPr>
        <w:autoSpaceDE w:val="0"/>
        <w:autoSpaceDN w:val="0"/>
        <w:adjustRightInd w:val="0"/>
        <w:spacing w:line="360" w:lineRule="auto"/>
        <w:ind w:firstLine="420" w:firstLineChars="200"/>
        <w:rPr>
          <w:rFonts w:asciiTheme="minorEastAsia" w:hAnsiTheme="minorEastAsia"/>
        </w:rPr>
      </w:pPr>
    </w:p>
    <w:p w14:paraId="4D6E68B5">
      <w:pPr>
        <w:adjustRightInd w:val="0"/>
        <w:snapToGrid w:val="0"/>
        <w:spacing w:line="360" w:lineRule="auto"/>
        <w:ind w:firstLine="420" w:firstLineChars="200"/>
        <w:rPr>
          <w:rFonts w:asciiTheme="minorEastAsia" w:hAnsiTheme="minorEastAsia"/>
          <w:color w:val="0D0D0D" w:themeColor="text1" w:themeTint="F2"/>
          <w:spacing w:val="8"/>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在本基金合同中，除非文意另有所指，下列词语或简称具有如下含义：</w:t>
      </w:r>
    </w:p>
    <w:p w14:paraId="52E7512F">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基金或本基金：指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博时恒生港股通</w:t>
      </w:r>
      <w:r>
        <w:rPr>
          <w:rFonts w:hint="eastAsia" w:cs="Arial" w:asciiTheme="minorEastAsia" w:hAnsiTheme="minorEastAsia" w:eastAsiaTheme="minorEastAsia"/>
          <w:bCs/>
          <w:color w:val="0D0D0D" w:themeColor="text1" w:themeTint="F2"/>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低波动交易型开放式指数证券投资基金</w:t>
      </w:r>
    </w:p>
    <w:p w14:paraId="39DEF77D">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博时基金管理有限公司</w:t>
      </w:r>
    </w:p>
    <w:p w14:paraId="243EB59B">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基金托管人：指</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广发银行股份有限公司</w:t>
      </w:r>
    </w:p>
    <w:p w14:paraId="55BB525D">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基金合同或本基金合同：指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《博时恒生港股通</w:t>
      </w:r>
      <w:r>
        <w:rPr>
          <w:rFonts w:hint="eastAsia" w:cs="Arial" w:asciiTheme="minorEastAsia" w:hAnsiTheme="minorEastAsia" w:eastAsiaTheme="minorEastAsia"/>
          <w:bCs/>
          <w:color w:val="0D0D0D" w:themeColor="text1" w:themeTint="F2"/>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低波动交易型开放式指数证券投资基金基金合同》</w:t>
      </w:r>
      <w:r>
        <w:rPr>
          <w:rFonts w:hint="eastAsia" w:asciiTheme="minorEastAsia" w:hAnsiTheme="minorEastAsia"/>
          <w:color w:val="0D0D0D" w:themeColor="text1" w:themeTint="F2"/>
          <w14:textFill>
            <w14:solidFill>
              <w14:schemeClr w14:val="tx1">
                <w14:lumMod w14:val="95000"/>
                <w14:lumOff w14:val="5000"/>
              </w14:schemeClr>
            </w14:solidFill>
          </w14:textFill>
        </w:rPr>
        <w:t>及对本基金合同的任何有效修订和补充</w:t>
      </w:r>
    </w:p>
    <w:p w14:paraId="7866A4F1">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托管协议：指基金管理人与基金托管人就本基金签订之</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《博时恒生港股通</w:t>
      </w:r>
      <w:r>
        <w:rPr>
          <w:rFonts w:hint="eastAsia" w:cs="Arial" w:asciiTheme="minorEastAsia" w:hAnsiTheme="minorEastAsia" w:eastAsiaTheme="minorEastAsia"/>
          <w:bCs/>
          <w:color w:val="0D0D0D" w:themeColor="text1" w:themeTint="F2"/>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低波动交易型开放式指数证券投资基金托管协议》</w:t>
      </w:r>
      <w:r>
        <w:rPr>
          <w:rFonts w:hint="eastAsia" w:asciiTheme="minorEastAsia" w:hAnsiTheme="minorEastAsia"/>
          <w:color w:val="0D0D0D" w:themeColor="text1" w:themeTint="F2"/>
          <w14:textFill>
            <w14:solidFill>
              <w14:schemeClr w14:val="tx1">
                <w14:lumMod w14:val="95000"/>
                <w14:lumOff w14:val="5000"/>
              </w14:schemeClr>
            </w14:solidFill>
          </w14:textFill>
        </w:rPr>
        <w:t>及对该托管协议的任何有效修订和补充</w:t>
      </w:r>
    </w:p>
    <w:p w14:paraId="19B1BDC4">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招募说明书：指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《博时恒生港股通</w:t>
      </w:r>
      <w:r>
        <w:rPr>
          <w:rFonts w:hint="eastAsia" w:cs="Arial" w:asciiTheme="minorEastAsia" w:hAnsiTheme="minorEastAsia" w:eastAsiaTheme="minorEastAsia"/>
          <w:bCs/>
          <w:color w:val="0D0D0D" w:themeColor="text1" w:themeTint="F2"/>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低波动交易型开放式指数证券投资基金招募说明书》</w:t>
      </w:r>
      <w:r>
        <w:rPr>
          <w:rFonts w:hint="eastAsia" w:asciiTheme="minorEastAsia" w:hAnsiTheme="minorEastAsia"/>
          <w:color w:val="0D0D0D" w:themeColor="text1" w:themeTint="F2"/>
          <w14:textFill>
            <w14:solidFill>
              <w14:schemeClr w14:val="tx1">
                <w14:lumMod w14:val="95000"/>
                <w14:lumOff w14:val="5000"/>
              </w14:schemeClr>
            </w14:solidFill>
          </w14:textFill>
        </w:rPr>
        <w:t>及其更新</w:t>
      </w:r>
    </w:p>
    <w:p w14:paraId="747B3223">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基金产品资料概要：指《博时恒生港股通</w:t>
      </w:r>
      <w:r>
        <w:rPr>
          <w:rFonts w:hint="eastAsia" w:asciiTheme="minorEastAsia" w:hAnsiTheme="minorEastAsia"/>
          <w:color w:val="0D0D0D" w:themeColor="text1" w:themeTint="F2"/>
          <w:lang w:eastAsia="zh-CN"/>
          <w14:textFill>
            <w14:solidFill>
              <w14:schemeClr w14:val="tx1">
                <w14:lumMod w14:val="95000"/>
                <w14:lumOff w14:val="5000"/>
              </w14:schemeClr>
            </w14:solidFill>
          </w14:textFill>
        </w:rPr>
        <w:t>红利</w:t>
      </w:r>
      <w:r>
        <w:rPr>
          <w:rFonts w:hint="eastAsia" w:asciiTheme="minorEastAsia" w:hAnsiTheme="minorEastAsia"/>
          <w:color w:val="0D0D0D" w:themeColor="text1" w:themeTint="F2"/>
          <w14:textFill>
            <w14:solidFill>
              <w14:schemeClr w14:val="tx1">
                <w14:lumMod w14:val="95000"/>
                <w14:lumOff w14:val="5000"/>
              </w14:schemeClr>
            </w14:solidFill>
          </w14:textFill>
        </w:rPr>
        <w:t>低波动交易型开放式指数证券投资基金基金产品资料概要》及其更新</w:t>
      </w:r>
    </w:p>
    <w:p w14:paraId="72C51ACA">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基金份额发售公告：指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《博时恒生港股通</w:t>
      </w:r>
      <w:r>
        <w:rPr>
          <w:rFonts w:hint="eastAsia" w:cs="Arial" w:asciiTheme="minorEastAsia" w:hAnsiTheme="minorEastAsia" w:eastAsiaTheme="minorEastAsia"/>
          <w:bCs/>
          <w:color w:val="0D0D0D" w:themeColor="text1" w:themeTint="F2"/>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低波动交易型开放式指数证券投资基金基金份额发售公告》</w:t>
      </w:r>
    </w:p>
    <w:p w14:paraId="7002A523">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上市交易公告书：指《博时恒生港股通</w:t>
      </w:r>
      <w:r>
        <w:rPr>
          <w:rFonts w:hint="eastAsia" w:cs="Arial" w:asciiTheme="minorEastAsia" w:hAnsiTheme="minorEastAsia" w:eastAsiaTheme="minorEastAsia"/>
          <w:bCs/>
          <w:color w:val="0D0D0D" w:themeColor="text1" w:themeTint="F2"/>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低波动交易型开放式指数证券投资基金基金份额上市交易公告书》</w:t>
      </w:r>
    </w:p>
    <w:p w14:paraId="28EAA5E6">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法律法规：指中国现行有效并公布实施的法律、行政法规、规范性文件、司法解释、行政规章以及其他对基金合同当事人有约束力的决定、决议、通知等</w:t>
      </w:r>
    </w:p>
    <w:p w14:paraId="4E15CA8B">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《基金法》：指</w:t>
      </w:r>
      <w:r>
        <w:rPr>
          <w:rFonts w:asciiTheme="minorEastAsia" w:hAnsiTheme="minorEastAsia"/>
          <w:color w:val="0D0D0D" w:themeColor="text1" w:themeTint="F2"/>
          <w14:textFill>
            <w14:solidFill>
              <w14:schemeClr w14:val="tx1">
                <w14:lumMod w14:val="95000"/>
                <w14:lumOff w14:val="5000"/>
              </w14:schemeClr>
            </w14:solidFill>
          </w14:textFill>
        </w:rPr>
        <w:t>2003</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28</w:t>
      </w:r>
      <w:r>
        <w:rPr>
          <w:rFonts w:hint="eastAsia" w:asciiTheme="minorEastAsia" w:hAnsiTheme="minorEastAsia"/>
          <w:color w:val="0D0D0D" w:themeColor="text1" w:themeTint="F2"/>
          <w14:textFill>
            <w14:solidFill>
              <w14:schemeClr w14:val="tx1">
                <w14:lumMod w14:val="95000"/>
                <w14:lumOff w14:val="5000"/>
              </w14:schemeClr>
            </w14:solidFill>
          </w14:textFill>
        </w:rPr>
        <w:t>日经第十届全国人民代表大会常务委员会第五次会议通过，经</w:t>
      </w:r>
      <w:r>
        <w:rPr>
          <w:rFonts w:asciiTheme="minorEastAsia" w:hAnsiTheme="minorEastAsia"/>
          <w:color w:val="0D0D0D" w:themeColor="text1" w:themeTint="F2"/>
          <w14:textFill>
            <w14:solidFill>
              <w14:schemeClr w14:val="tx1">
                <w14:lumMod w14:val="95000"/>
                <w14:lumOff w14:val="5000"/>
              </w14:schemeClr>
            </w14:solidFill>
          </w14:textFill>
        </w:rPr>
        <w:t>2012</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28</w:t>
      </w:r>
      <w:r>
        <w:rPr>
          <w:rFonts w:hint="eastAsia" w:asciiTheme="minorEastAsia" w:hAnsiTheme="minorEastAsia"/>
          <w:color w:val="0D0D0D" w:themeColor="text1" w:themeTint="F2"/>
          <w14:textFill>
            <w14:solidFill>
              <w14:schemeClr w14:val="tx1">
                <w14:lumMod w14:val="95000"/>
                <w14:lumOff w14:val="5000"/>
              </w14:schemeClr>
            </w14:solidFill>
          </w14:textFill>
        </w:rPr>
        <w:t>日第十一届全国人民代表大会常务委员会第三十次会议修订，自</w:t>
      </w:r>
      <w:r>
        <w:rPr>
          <w:rFonts w:asciiTheme="minorEastAsia" w:hAnsiTheme="minorEastAsia"/>
          <w:color w:val="0D0D0D" w:themeColor="text1" w:themeTint="F2"/>
          <w14:textFill>
            <w14:solidFill>
              <w14:schemeClr w14:val="tx1">
                <w14:lumMod w14:val="95000"/>
                <w14:lumOff w14:val="5000"/>
              </w14:schemeClr>
            </w14:solidFill>
          </w14:textFill>
        </w:rPr>
        <w:t>2013</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日起实施，并经</w:t>
      </w:r>
      <w:r>
        <w:rPr>
          <w:rFonts w:asciiTheme="minorEastAsia" w:hAnsiTheme="minorEastAsia"/>
          <w:color w:val="0D0D0D" w:themeColor="text1" w:themeTint="F2"/>
          <w14:textFill>
            <w14:solidFill>
              <w14:schemeClr w14:val="tx1">
                <w14:lumMod w14:val="95000"/>
                <w14:lumOff w14:val="5000"/>
              </w14:schemeClr>
            </w14:solidFill>
          </w14:textFill>
        </w:rPr>
        <w:t>2015</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24</w:t>
      </w:r>
      <w:r>
        <w:rPr>
          <w:rFonts w:hint="eastAsia" w:asciiTheme="minorEastAsia" w:hAnsiTheme="minorEastAsia"/>
          <w:color w:val="0D0D0D" w:themeColor="text1" w:themeTint="F2"/>
          <w14:textFill>
            <w14:solidFill>
              <w14:schemeClr w14:val="tx1">
                <w14:lumMod w14:val="95000"/>
                <w14:lumOff w14:val="5000"/>
              </w14:schemeClr>
            </w14:solidFill>
          </w14:textFill>
        </w:rPr>
        <w:t>日第十二届全国人民代表大会常务委员会第十四次会议《全国人民代表大会常务委员会关于修改</w:t>
      </w:r>
      <w:r>
        <w:rPr>
          <w:rFonts w:asciiTheme="minorEastAsia" w:hAnsiTheme="minorEastAsia"/>
          <w:color w:val="0D0D0D" w:themeColor="text1" w:themeTint="F2"/>
          <w14:textFill>
            <w14:solidFill>
              <w14:schemeClr w14:val="tx1">
                <w14:lumMod w14:val="95000"/>
                <w14:lumOff w14:val="5000"/>
              </w14:schemeClr>
            </w14:solidFill>
          </w14:textFill>
        </w:rPr>
        <w:t>&lt;</w:t>
      </w:r>
      <w:r>
        <w:rPr>
          <w:rFonts w:hint="eastAsia" w:asciiTheme="minorEastAsia" w:hAnsiTheme="minorEastAsia"/>
          <w:color w:val="0D0D0D" w:themeColor="text1" w:themeTint="F2"/>
          <w14:textFill>
            <w14:solidFill>
              <w14:schemeClr w14:val="tx1">
                <w14:lumMod w14:val="95000"/>
                <w14:lumOff w14:val="5000"/>
              </w14:schemeClr>
            </w14:solidFill>
          </w14:textFill>
        </w:rPr>
        <w:t>中华人民共和国港口法</w:t>
      </w:r>
      <w:r>
        <w:rPr>
          <w:rFonts w:asciiTheme="minorEastAsia" w:hAnsiTheme="minorEastAsia"/>
          <w:color w:val="0D0D0D" w:themeColor="text1" w:themeTint="F2"/>
          <w14:textFill>
            <w14:solidFill>
              <w14:schemeClr w14:val="tx1">
                <w14:lumMod w14:val="95000"/>
                <w14:lumOff w14:val="5000"/>
              </w14:schemeClr>
            </w14:solidFill>
          </w14:textFill>
        </w:rPr>
        <w:t>&gt;</w:t>
      </w:r>
      <w:r>
        <w:rPr>
          <w:rFonts w:hint="eastAsia" w:asciiTheme="minorEastAsia" w:hAnsiTheme="minorEastAsia"/>
          <w:color w:val="0D0D0D" w:themeColor="text1" w:themeTint="F2"/>
          <w14:textFill>
            <w14:solidFill>
              <w14:schemeClr w14:val="tx1">
                <w14:lumMod w14:val="95000"/>
                <w14:lumOff w14:val="5000"/>
              </w14:schemeClr>
            </w14:solidFill>
          </w14:textFill>
        </w:rPr>
        <w:t>等七部法律的决定》修正的《中华人民共和国证券投资基金法》及颁布机关对其不时做出的修订</w:t>
      </w:r>
    </w:p>
    <w:p w14:paraId="7F5CF92C">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《销售办法》：指中国证监会</w:t>
      </w:r>
      <w:r>
        <w:rPr>
          <w:rFonts w:asciiTheme="minorEastAsia" w:hAnsi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20年8月28日颁布、同年10月</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日实施的《公开募集证券投资基金销售机构监督管理办法》及颁布机关对其不时做出的修订</w:t>
      </w:r>
    </w:p>
    <w:p w14:paraId="48C930EA">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《信息披露办法》：指中国证监会2019年7月26日颁布、同年</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日实施，并经2020年3月20日中国证监会《关于修改部分证券期货规章的决定》修正的《公开募集证券投资基金信息披露管理办法》及颁布机关对其不时做出的修订</w:t>
      </w:r>
    </w:p>
    <w:p w14:paraId="3A723809">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《运作办法》：指中国证监会</w:t>
      </w:r>
      <w:r>
        <w:rPr>
          <w:rFonts w:asciiTheme="minorEastAsia" w:hAnsiTheme="minorEastAsia"/>
          <w:color w:val="0D0D0D" w:themeColor="text1" w:themeTint="F2"/>
          <w14:textFill>
            <w14:solidFill>
              <w14:schemeClr w14:val="tx1">
                <w14:lumMod w14:val="95000"/>
                <w14:lumOff w14:val="5000"/>
              </w14:schemeClr>
            </w14:solidFill>
          </w14:textFill>
        </w:rPr>
        <w:t>2014</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日颁布、同年</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日实施的《公开募集证券投资基金运作管理办法》及颁布机关对其不时做出的修订</w:t>
      </w:r>
    </w:p>
    <w:p w14:paraId="5A2D7330">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《流动性风险管理规定》：指中国证监会</w:t>
      </w:r>
      <w:r>
        <w:rPr>
          <w:rFonts w:asciiTheme="minorEastAsia" w:hAnsiTheme="minorEastAsia"/>
          <w:color w:val="0D0D0D" w:themeColor="text1" w:themeTint="F2"/>
          <w14:textFill>
            <w14:solidFill>
              <w14:schemeClr w14:val="tx1">
                <w14:lumMod w14:val="95000"/>
                <w14:lumOff w14:val="5000"/>
              </w14:schemeClr>
            </w14:solidFill>
          </w14:textFill>
        </w:rPr>
        <w:t>2017</w:t>
      </w:r>
      <w:r>
        <w:rPr>
          <w:rFonts w:hint="eastAsia" w:asciiTheme="minorEastAsia" w:hAnsiTheme="minorEastAsia"/>
          <w:color w:val="0D0D0D" w:themeColor="text1" w:themeTint="F2"/>
          <w14:textFill>
            <w14:solidFill>
              <w14:schemeClr w14:val="tx1">
                <w14:lumMod w14:val="95000"/>
                <w14:lumOff w14:val="5000"/>
              </w14:schemeClr>
            </w14:solidFill>
          </w14:textFill>
        </w:rPr>
        <w:t>年</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31</w:t>
      </w:r>
      <w:r>
        <w:rPr>
          <w:rFonts w:hint="eastAsia" w:asciiTheme="minorEastAsia" w:hAnsiTheme="minorEastAsia"/>
          <w:color w:val="0D0D0D" w:themeColor="text1" w:themeTint="F2"/>
          <w14:textFill>
            <w14:solidFill>
              <w14:schemeClr w14:val="tx1">
                <w14:lumMod w14:val="95000"/>
                <w14:lumOff w14:val="5000"/>
              </w14:schemeClr>
            </w14:solidFill>
          </w14:textFill>
        </w:rPr>
        <w:t>日颁布、同年</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月</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日实施的《公开募集开放式证券投资基金流动性风险管理规定》及颁布机关对其不时做出的修订</w:t>
      </w:r>
    </w:p>
    <w:p w14:paraId="770D60BC">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《指数基金指引》：指中国证监会2021年1月22日颁布、同年2月1日实施的《公开募集证券投资基金运作指引第3号——指数基金指引》及颁布机关对其不时做出的修订</w:t>
      </w:r>
    </w:p>
    <w:p w14:paraId="25CB38E1">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业务规则：指上海证券交易所、登记机构、基金管理人及销售机构的相关业务规则及其不时做出的修订</w:t>
      </w:r>
    </w:p>
    <w:p w14:paraId="75D58809">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中国证监会：指中国证券监督管理委员会</w:t>
      </w:r>
    </w:p>
    <w:p w14:paraId="32146936">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银行业监督管理机构：指中国人民银行和/或国家金融监督管理总局</w:t>
      </w:r>
    </w:p>
    <w:p w14:paraId="4395FEFF">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基金合同当事人：指受基金合同约束，根据基金合同享有权利并承担义务的法律主体，包括基金管理人、基金托管人和基金份额持有人</w:t>
      </w:r>
    </w:p>
    <w:p w14:paraId="74273E49">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个人投资者：指依据有关法律法规规定可投资于证券投资基金的自然人</w:t>
      </w:r>
    </w:p>
    <w:p w14:paraId="6462B965">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机构投资者：指依法可以投资证券投资基金的、在中华人民共和国境内合法登记并存续或经有关政府部门批准设立并存续的企业法人、事业法人、社会团体或其他组织</w:t>
      </w:r>
    </w:p>
    <w:p w14:paraId="1CD36C3F">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302C578A">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投资人、投资者：指个人投资者、机构投资者、合格境外投资者以及法律法规或中国证监会允许购买证券投资基金的其他投资人的合称</w:t>
      </w:r>
    </w:p>
    <w:p w14:paraId="3850CF4C">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基金份额持有人：指依基金合同和招募说明书合法取得基金份额的投资人</w:t>
      </w:r>
    </w:p>
    <w:p w14:paraId="558F628F">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发售代理机构</w:t>
      </w:r>
      <w:r>
        <w:rPr>
          <w:rFonts w:hint="eastAsia" w:asciiTheme="minorEastAsia" w:hAnsiTheme="minorEastAsia"/>
          <w:color w:val="0D0D0D" w:themeColor="text1" w:themeTint="F2"/>
          <w14:textFill>
            <w14:solidFill>
              <w14:schemeClr w14:val="tx1">
                <w14:lumMod w14:val="95000"/>
                <w14:lumOff w14:val="5000"/>
              </w14:schemeClr>
            </w14:solidFill>
          </w14:textFill>
        </w:rPr>
        <w:t>：指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符合《销售办法》和中国证监会规定的其他条件，由</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指定的代理本基金发售业务的</w:t>
      </w:r>
      <w:r>
        <w:rPr>
          <w:rFonts w:hint="eastAsia" w:asciiTheme="minorEastAsia" w:hAnsiTheme="minorEastAsia"/>
          <w:color w:val="0D0D0D" w:themeColor="text1" w:themeTint="F2"/>
          <w14:textFill>
            <w14:solidFill>
              <w14:schemeClr w14:val="tx1">
                <w14:lumMod w14:val="95000"/>
                <w14:lumOff w14:val="5000"/>
              </w14:schemeClr>
            </w14:solidFill>
          </w14:textFill>
        </w:rPr>
        <w:t>机构</w:t>
      </w:r>
    </w:p>
    <w:p w14:paraId="7AEEBF7E">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申购、赎回代理券商：指</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管理人指定的，在</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合同生效后代理</w:t>
      </w:r>
      <w:r>
        <w:rPr>
          <w:rFonts w:hint="eastAsia" w:asciiTheme="minorEastAsia" w:hAnsiTheme="minorEastAsia"/>
          <w:color w:val="0D0D0D" w:themeColor="text1" w:themeTint="F2"/>
          <w14:textFill>
            <w14:solidFill>
              <w14:schemeClr w14:val="tx1">
                <w14:lumMod w14:val="95000"/>
                <w14:lumOff w14:val="5000"/>
              </w14:schemeClr>
            </w14:solidFill>
          </w14:textFill>
        </w:rPr>
        <w:t>办理</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本</w:t>
      </w:r>
      <w:r>
        <w:rPr>
          <w:rFonts w:hint="eastAsia" w:asciiTheme="minorEastAsia" w:hAnsiTheme="minorEastAsia"/>
          <w:color w:val="0D0D0D" w:themeColor="text1" w:themeTint="F2"/>
          <w14:textFill>
            <w14:solidFill>
              <w14:schemeClr w14:val="tx1">
                <w14:lumMod w14:val="95000"/>
                <w14:lumOff w14:val="5000"/>
              </w14:schemeClr>
            </w14:solidFill>
          </w14:textFill>
        </w:rPr>
        <w:t>基金申购、赎回业务</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的证券公司，又称为代办证券公司</w:t>
      </w:r>
    </w:p>
    <w:p w14:paraId="0421F97D">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直销</w:t>
      </w:r>
      <w:r>
        <w:rPr>
          <w:rFonts w:hint="eastAsia" w:asciiTheme="minorEastAsia" w:hAnsiTheme="minorEastAsia"/>
          <w:color w:val="0D0D0D" w:themeColor="text1" w:themeTint="F2"/>
          <w14:textFill>
            <w14:solidFill>
              <w14:schemeClr w14:val="tx1">
                <w14:lumMod w14:val="95000"/>
                <w14:lumOff w14:val="5000"/>
              </w14:schemeClr>
            </w14:solidFill>
          </w14:textFill>
        </w:rPr>
        <w:t>机构：指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博时</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管理有限公司</w:t>
      </w:r>
    </w:p>
    <w:p w14:paraId="077CDD0E">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代销机构：指</w:t>
      </w:r>
      <w:r>
        <w:rPr>
          <w:rFonts w:hint="eastAsia" w:asciiTheme="minorEastAsia" w:hAnsiTheme="minorEastAsia"/>
          <w:color w:val="0D0D0D" w:themeColor="text1" w:themeTint="F2"/>
          <w14:textFill>
            <w14:solidFill>
              <w14:schemeClr w14:val="tx1">
                <w14:lumMod w14:val="95000"/>
                <w14:lumOff w14:val="5000"/>
              </w14:schemeClr>
            </w14:solidFill>
          </w14:textFill>
        </w:rPr>
        <w:t>符合《销售办法》和中国证监会规定的其他条件，取得基金销售业务资格并与基金管理人签订了基金销售服务协议，办理基金销售业务的机构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，包括发售代理机构和申购、赎回代理券商（代办证券公司）</w:t>
      </w:r>
    </w:p>
    <w:p w14:paraId="4591219C">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销售机构：指直销机构与代销机构</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 xml:space="preserve"> </w:t>
      </w:r>
    </w:p>
    <w:p w14:paraId="49167439">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登记机构：指办理登记业务的机构。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本基金的登记机构为中国证券登记结算有限责任公司</w:t>
      </w:r>
    </w:p>
    <w:p w14:paraId="419801A5">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登记业务：指基金登记、存管、过户、清算和结算业务，具体内容包括</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投资者</w:t>
      </w:r>
      <w:r>
        <w:rPr>
          <w:rFonts w:hint="eastAsia" w:asciiTheme="minorEastAsia" w:hAnsiTheme="minorEastAsia"/>
          <w:color w:val="0D0D0D" w:themeColor="text1" w:themeTint="F2"/>
          <w14:textFill>
            <w14:solidFill>
              <w14:schemeClr w14:val="tx1">
                <w14:lumMod w14:val="95000"/>
                <w14:lumOff w14:val="5000"/>
              </w14:schemeClr>
            </w14:solidFill>
          </w14:textFill>
        </w:rPr>
        <w:t>账户的建立和管理、基金份额登记、基金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交易</w:t>
      </w:r>
      <w:r>
        <w:rPr>
          <w:rFonts w:hint="eastAsia" w:asciiTheme="minorEastAsia" w:hAnsiTheme="minorEastAsia"/>
          <w:color w:val="0D0D0D" w:themeColor="text1" w:themeTint="F2"/>
          <w14:textFill>
            <w14:solidFill>
              <w14:schemeClr w14:val="tx1">
                <w14:lumMod w14:val="95000"/>
                <w14:lumOff w14:val="5000"/>
              </w14:schemeClr>
            </w14:solidFill>
          </w14:textFill>
        </w:rPr>
        <w:t>的确认、清算和结算、代理发放红利、建立并保管基金份额持有人名册和办理非交易过户等</w:t>
      </w:r>
    </w:p>
    <w:p w14:paraId="46EF5A04">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基金合同生效日：指基金募集达到法律法规规定及基金合同规定的条件，基金管理人向中国证监会办理基金备案手续完毕，并获得中国证监会书面确认的日期</w:t>
      </w:r>
    </w:p>
    <w:p w14:paraId="2D092460">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基金合同终止日：指基金合同规定的基金合同终止事由出现后，基金财产清算完毕，清算结果报中国证监会备案并予以公告的日期</w:t>
      </w:r>
    </w:p>
    <w:p w14:paraId="5B437D1E">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基金募集期：指自基金份额发售之日起至发售结束之日止的期间，最长不得超过</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个月</w:t>
      </w:r>
    </w:p>
    <w:p w14:paraId="3CE89438">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存续期：指基金合同生效至终止之间的不定期期限</w:t>
      </w:r>
    </w:p>
    <w:p w14:paraId="17B6F722">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工作日：指上海证券交易所、深圳证券交易所的正常交易日</w:t>
      </w:r>
    </w:p>
    <w:p w14:paraId="55ED5E8C">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T</w:t>
      </w:r>
      <w:r>
        <w:rPr>
          <w:rFonts w:hint="eastAsia" w:asciiTheme="minorEastAsia" w:hAnsiTheme="minorEastAsia"/>
          <w:color w:val="0D0D0D" w:themeColor="text1" w:themeTint="F2"/>
          <w14:textFill>
            <w14:solidFill>
              <w14:schemeClr w14:val="tx1">
                <w14:lumMod w14:val="95000"/>
                <w14:lumOff w14:val="5000"/>
              </w14:schemeClr>
            </w14:solidFill>
          </w14:textFill>
        </w:rPr>
        <w:t>日：指销售机构在规定时间受理投资人申购、赎回或其他业务申请的开放日</w:t>
      </w:r>
    </w:p>
    <w:p w14:paraId="489D2706">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T+n</w:t>
      </w:r>
      <w:r>
        <w:rPr>
          <w:rFonts w:hint="eastAsia" w:asciiTheme="minorEastAsia" w:hAnsiTheme="minorEastAsia"/>
          <w:color w:val="0D0D0D" w:themeColor="text1" w:themeTint="F2"/>
          <w14:textFill>
            <w14:solidFill>
              <w14:schemeClr w14:val="tx1">
                <w14:lumMod w14:val="95000"/>
                <w14:lumOff w14:val="5000"/>
              </w14:schemeClr>
            </w14:solidFill>
          </w14:textFill>
        </w:rPr>
        <w:t>日：指自</w:t>
      </w:r>
      <w:r>
        <w:rPr>
          <w:rFonts w:asciiTheme="minorEastAsia" w:hAnsiTheme="minorEastAsia"/>
          <w:color w:val="0D0D0D" w:themeColor="text1" w:themeTint="F2"/>
          <w14:textFill>
            <w14:solidFill>
              <w14:schemeClr w14:val="tx1">
                <w14:lumMod w14:val="95000"/>
                <w14:lumOff w14:val="5000"/>
              </w14:schemeClr>
            </w14:solidFill>
          </w14:textFill>
        </w:rPr>
        <w:t>T</w:t>
      </w:r>
      <w:r>
        <w:rPr>
          <w:rFonts w:hint="eastAsia" w:asciiTheme="minorEastAsia" w:hAnsiTheme="minorEastAsia"/>
          <w:color w:val="0D0D0D" w:themeColor="text1" w:themeTint="F2"/>
          <w14:textFill>
            <w14:solidFill>
              <w14:schemeClr w14:val="tx1">
                <w14:lumMod w14:val="95000"/>
                <w14:lumOff w14:val="5000"/>
              </w14:schemeClr>
            </w14:solidFill>
          </w14:textFill>
        </w:rPr>
        <w:t>日起第</w:t>
      </w:r>
      <w:r>
        <w:rPr>
          <w:rFonts w:asciiTheme="minorEastAsia" w:hAnsiTheme="minorEastAsia"/>
          <w:color w:val="0D0D0D" w:themeColor="text1" w:themeTint="F2"/>
          <w14:textFill>
            <w14:solidFill>
              <w14:schemeClr w14:val="tx1">
                <w14:lumMod w14:val="95000"/>
                <w14:lumOff w14:val="5000"/>
              </w14:schemeClr>
            </w14:solidFill>
          </w14:textFill>
        </w:rPr>
        <w:t>n</w:t>
      </w:r>
      <w:r>
        <w:rPr>
          <w:rFonts w:hint="eastAsia" w:asciiTheme="minorEastAsia" w:hAnsiTheme="minorEastAsia"/>
          <w:color w:val="0D0D0D" w:themeColor="text1" w:themeTint="F2"/>
          <w14:textFill>
            <w14:solidFill>
              <w14:schemeClr w14:val="tx1">
                <w14:lumMod w14:val="95000"/>
                <w14:lumOff w14:val="5000"/>
              </w14:schemeClr>
            </w14:solidFill>
          </w14:textFill>
        </w:rPr>
        <w:t>个工作日（不包含</w:t>
      </w:r>
      <w:r>
        <w:rPr>
          <w:rFonts w:asciiTheme="minorEastAsia" w:hAnsiTheme="minorEastAsia"/>
          <w:color w:val="0D0D0D" w:themeColor="text1" w:themeTint="F2"/>
          <w14:textFill>
            <w14:solidFill>
              <w14:schemeClr w14:val="tx1">
                <w14:lumMod w14:val="95000"/>
                <w14:lumOff w14:val="5000"/>
              </w14:schemeClr>
            </w14:solidFill>
          </w14:textFill>
        </w:rPr>
        <w:t>T</w:t>
      </w:r>
      <w:r>
        <w:rPr>
          <w:rFonts w:hint="eastAsia" w:asciiTheme="minorEastAsia" w:hAnsiTheme="minorEastAsia"/>
          <w:color w:val="0D0D0D" w:themeColor="text1" w:themeTint="F2"/>
          <w14:textFill>
            <w14:solidFill>
              <w14:schemeClr w14:val="tx1">
                <w14:lumMod w14:val="95000"/>
                <w14:lumOff w14:val="5000"/>
              </w14:schemeClr>
            </w14:solidFill>
          </w14:textFill>
        </w:rPr>
        <w:t>日）</w:t>
      </w:r>
    </w:p>
    <w:p w14:paraId="308E111D">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开放日：指为投资人办理基金份额申购、赎回或其他业务的港股通、上海证券交易所同时正常开放交易的工作日</w:t>
      </w:r>
    </w:p>
    <w:p w14:paraId="20609522">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开放时间：指开放日基金接受申购、赎回或其他交易的时间段</w:t>
      </w:r>
    </w:p>
    <w:p w14:paraId="3056B55E">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认购：指在基金募集期内，投资人</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根据基金合同和招募说明书的规定</w:t>
      </w:r>
      <w:r>
        <w:rPr>
          <w:rFonts w:hint="eastAsia" w:asciiTheme="minorEastAsia" w:hAnsiTheme="minorEastAsia"/>
          <w:color w:val="0D0D0D" w:themeColor="text1" w:themeTint="F2"/>
          <w14:textFill>
            <w14:solidFill>
              <w14:schemeClr w14:val="tx1">
                <w14:lumMod w14:val="95000"/>
                <w14:lumOff w14:val="5000"/>
              </w14:schemeClr>
            </w14:solidFill>
          </w14:textFill>
        </w:rPr>
        <w:t>申请购买基金份额的行为</w:t>
      </w:r>
    </w:p>
    <w:p w14:paraId="1733F8EA">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申购：指基金合同生效后，投资人根据基金合同和招募说明书的规定</w:t>
      </w:r>
      <w:r>
        <w:rPr>
          <w:rFonts w:hint="eastAsia" w:asciiTheme="minorEastAsia" w:hAnsiTheme="minorEastAsia"/>
          <w:bCs/>
          <w:color w:val="0D0D0D" w:themeColor="text1" w:themeTint="F2"/>
          <w14:textFill>
            <w14:solidFill>
              <w14:schemeClr w14:val="tx1">
                <w14:lumMod w14:val="95000"/>
                <w14:lumOff w14:val="5000"/>
              </w14:schemeClr>
            </w14:solidFill>
          </w14:textFill>
        </w:rPr>
        <w:t>，以申购赎回清单规定的申购对价向基金管理人</w:t>
      </w:r>
      <w:r>
        <w:rPr>
          <w:rFonts w:hint="eastAsia" w:asciiTheme="minorEastAsia" w:hAnsiTheme="minorEastAsia"/>
          <w:color w:val="0D0D0D" w:themeColor="text1" w:themeTint="F2"/>
          <w14:textFill>
            <w14:solidFill>
              <w14:schemeClr w14:val="tx1">
                <w14:lumMod w14:val="95000"/>
                <w14:lumOff w14:val="5000"/>
              </w14:schemeClr>
            </w14:solidFill>
          </w14:textFill>
        </w:rPr>
        <w:t>申请购买基金份额的行为</w:t>
      </w:r>
    </w:p>
    <w:p w14:paraId="5622B73A">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赎回：指基金合同生效后，基金份额持有人按基金合同和招募说明书的规定，将基金份额兑换为申购赎回清单规定的赎回对价的行为</w:t>
      </w:r>
    </w:p>
    <w:p w14:paraId="61EBF1B1">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申购、赎回清单</w:t>
      </w:r>
      <w:r>
        <w:rPr>
          <w:rFonts w:hint="eastAsia" w:asciiTheme="minorEastAsia" w:hAnsiTheme="minorEastAsia"/>
          <w:color w:val="0D0D0D" w:themeColor="text1" w:themeTint="F2"/>
          <w14:textFill>
            <w14:solidFill>
              <w14:schemeClr w14:val="tx1">
                <w14:lumMod w14:val="95000"/>
                <w14:lumOff w14:val="5000"/>
              </w14:schemeClr>
            </w14:solidFill>
          </w14:textFill>
        </w:rPr>
        <w:t>：指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 xml:space="preserve">由基金管理人编制的用以公告申购对价、赎回对价等信息的文件 </w:t>
      </w:r>
    </w:p>
    <w:p w14:paraId="17841874">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申购对价：指投资人申购</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时，按</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基金合同和</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招募说明书规定应交付的现金替代、现金差额及其他对价</w:t>
      </w:r>
    </w:p>
    <w:p w14:paraId="42C97E86">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赎回对价：指投资人赎回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时，</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按</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合同和招募说明书规定应交付给赎回人的现金替代、现金差额和/或其他对价</w:t>
      </w:r>
    </w:p>
    <w:p w14:paraId="33AF18BE">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组合证券：指本基金标的指数所包含的全部或部分证券</w:t>
      </w:r>
    </w:p>
    <w:p w14:paraId="2396922B">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标的指数：指恒生指数有限公司编制并发布的恒生港股通</w:t>
      </w:r>
      <w:r>
        <w:rPr>
          <w:rFonts w:hint="eastAsia" w:cs="Arial" w:asciiTheme="minorEastAsia" w:hAnsiTheme="minorEastAsia" w:eastAsiaTheme="minorEastAsia"/>
          <w:bCs/>
          <w:color w:val="0D0D0D" w:themeColor="text1" w:themeTint="F2"/>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低波动指数及其未来可能发生的变更</w:t>
      </w:r>
    </w:p>
    <w:p w14:paraId="53E394A1">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完全复制法：指一种跟踪指数的方法。通过购买标的指数中的所有成份证券，并且按照每种成份证券在标的指数中的权重确定购买的比例以构建指数组合，达到复制指数的目的</w:t>
      </w:r>
    </w:p>
    <w:p w14:paraId="5F978520">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现金替代：指申购、赎回过程中，投资人按基金合同和招募说明书的规定，用于替代组合证券中部分证券的一定数量的现金</w:t>
      </w:r>
    </w:p>
    <w:p w14:paraId="682E2EBB">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w:t>
      </w:r>
    </w:p>
    <w:p w14:paraId="497DA2AB">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现金差额：指最小申购、赎回单位的资产净值与按当日收盘价计算的最小申购、赎回单位中的组合证券市值和现金替代之差；投资人申购、赎回时应支付或应获得的现金差额根据最小申购、赎回单位对应的现金差额、申购或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的基金份额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数计算</w:t>
      </w:r>
    </w:p>
    <w:p w14:paraId="67372FE3">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最小申购、赎回单位：指本基金申购、赎回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的最低数量，投资人申购、赎回的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基金份额</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应</w:t>
      </w:r>
      <w:r>
        <w:rPr>
          <w:rFonts w:hint="eastAsia" w:asciiTheme="minorEastAsia" w:hAnsiTheme="minorEastAsia"/>
          <w:color w:val="0D0D0D" w:themeColor="text1" w:themeTint="F2"/>
          <w14:textFill>
            <w14:solidFill>
              <w14:schemeClr w14:val="tx1">
                <w14:lumMod w14:val="95000"/>
                <w14:lumOff w14:val="5000"/>
              </w14:schemeClr>
            </w14:solidFill>
          </w14:textFill>
        </w:rPr>
        <w:t>为</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最小申购、赎回单位的整数倍</w:t>
      </w:r>
    </w:p>
    <w:p w14:paraId="1B49A660">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基金份额参考净值：指基金管理人或基金管理人委托其他机构在交易时间内根据申购、赎回清单和组合证券内各只证券的实时成交数据及汇率数据计算并</w:t>
      </w:r>
      <w:bookmarkStart w:id="67" w:name="_Hlk3643393"/>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由上海证券交易所在交易时间内</w:t>
      </w:r>
      <w:bookmarkEnd w:id="67"/>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发布的基金份额参考净值，简称IOPV</w:t>
      </w:r>
    </w:p>
    <w:p w14:paraId="34CE2BC3">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预估现金部分：指为便于计算基金份额参考净值及申购赎回代理券商预先冻结申请申购、赎回的投资人的相应资金，由基金</w:t>
      </w:r>
      <w:r>
        <w:rPr>
          <w:rFonts w:hint="eastAsia" w:asciiTheme="minorEastAsia" w:hAnsiTheme="minorEastAsia"/>
          <w:color w:val="0D0D0D" w:themeColor="text1" w:themeTint="F2"/>
          <w14:textFill>
            <w14:solidFill>
              <w14:schemeClr w14:val="tx1">
                <w14:lumMod w14:val="95000"/>
                <w14:lumOff w14:val="5000"/>
              </w14:schemeClr>
            </w14:solidFill>
          </w14:textFill>
        </w:rPr>
        <w:t>管理</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人计算并公布</w:t>
      </w:r>
      <w:r>
        <w:rPr>
          <w:rFonts w:hint="eastAsia" w:asciiTheme="minorEastAsia" w:hAnsiTheme="minorEastAsia"/>
          <w:color w:val="0D0D0D" w:themeColor="text1" w:themeTint="F2"/>
          <w14:textFill>
            <w14:solidFill>
              <w14:schemeClr w14:val="tx1">
                <w14:lumMod w14:val="95000"/>
                <w14:lumOff w14:val="5000"/>
              </w14:schemeClr>
            </w14:solidFill>
          </w14:textFill>
        </w:rPr>
        <w:t>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现金数额</w:t>
      </w:r>
    </w:p>
    <w:p w14:paraId="024B5F39">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元：指人民币元</w:t>
      </w:r>
    </w:p>
    <w:p w14:paraId="26459CE4">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基金收益：指基金投资所得红利、股息、债券利息、买卖证券价差、银行存款利息、已实现的其他合法收入及因运用基金财产带来的成本和费用的节约</w:t>
      </w:r>
    </w:p>
    <w:p w14:paraId="090317D1">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份额折算</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：指基金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管理人根据</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合同规定将投资人的基金份额进行变更登记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行为</w:t>
      </w:r>
    </w:p>
    <w:p w14:paraId="320BC1AE">
      <w:pPr>
        <w:numPr>
          <w:ilvl w:val="0"/>
          <w:numId w:val="2"/>
        </w:numPr>
        <w:snapToGrid w:val="0"/>
        <w:spacing w:line="360" w:lineRule="auto"/>
        <w:ind w:left="0" w:firstLine="315" w:firstLineChars="15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收益评价日：指基金管理人计算本基金份额净值增长率与标的指数同期增长率差额之日</w:t>
      </w:r>
    </w:p>
    <w:p w14:paraId="2D182A01">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基金份额净值增长率：指收益评价日基金份额净值与基金上市前一日基金份额净值之比减去1乘以100%（期间发生基金份额折算、拆分或合并，则以基金份额折算日、经拆分或合并调整后的基金份额折算日为初始日重新计算）</w:t>
      </w:r>
    </w:p>
    <w:p w14:paraId="5A15C74C">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标的指数同期增长率：指收益评价日标的指数收盘价与基金上市前一日标的指数收盘价之比减去</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1</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乘以</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100%</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（期间发生基金份额折算、拆分或合并，则以基金份额折算日、经拆分或合并调整后的基金份额折算日为初始日重新计算）</w:t>
      </w:r>
    </w:p>
    <w:p w14:paraId="07B06731">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基金资产总值：指基金拥有的各类有价证券、银行存款本息、基金应收申购款及其他资产的价值总和</w:t>
      </w:r>
    </w:p>
    <w:p w14:paraId="2AAEAE5C">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基金资产净值：指基金资产总值减去基金负债后的价值</w:t>
      </w:r>
    </w:p>
    <w:p w14:paraId="7CF7CFAF">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基金份额净值：指计算日基金资产净值除以计算日基金份额总数</w:t>
      </w:r>
    </w:p>
    <w:p w14:paraId="768DF851">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基金资产估值：指计算评估基金资产和负债的价值，以确定基金资产净值和基金份额净值的过程</w:t>
      </w:r>
    </w:p>
    <w:p w14:paraId="3C1ED6E6">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规定媒介：指符合中国证监会规定条件的用以进行信息披露的全国性报刊及《信息披露办法》规定的互联网网站（包括基金管理人网站、基金托管人网站、中国证监会基金电子披露网站）等媒介</w:t>
      </w:r>
    </w:p>
    <w:p w14:paraId="2D6C4390">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bookmarkStart w:id="68" w:name="_Toc13288"/>
      <w:bookmarkStart w:id="69" w:name="_Toc20627"/>
      <w:bookmarkStart w:id="70" w:name="_Toc18631"/>
      <w:bookmarkStart w:id="71" w:name="_Toc20318"/>
      <w:bookmarkStart w:id="72" w:name="_Toc545"/>
      <w:bookmarkStart w:id="73" w:name="_Toc6683"/>
      <w:bookmarkStart w:id="74" w:name="_Toc6149"/>
      <w:bookmarkStart w:id="75" w:name="_Toc733"/>
      <w:bookmarkStart w:id="76" w:name="_Toc24571"/>
      <w:bookmarkStart w:id="77" w:name="_Toc5246"/>
      <w:bookmarkStart w:id="78" w:name="_Toc22708"/>
      <w:bookmarkStart w:id="79" w:name="_Toc233456272"/>
      <w:bookmarkStart w:id="80" w:name="_Toc258829400"/>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交易型开放式指数证券投资基金</w:t>
      </w:r>
      <w:r>
        <w:rPr>
          <w:rFonts w:hint="eastAsia" w:asciiTheme="minorEastAsia" w:hAnsiTheme="minorEastAsia"/>
          <w:color w:val="0D0D0D" w:themeColor="text1" w:themeTint="F2"/>
          <w14:textFill>
            <w14:solidFill>
              <w14:schemeClr w14:val="tx1">
                <w14:lumMod w14:val="95000"/>
                <w14:lumOff w14:val="5000"/>
              </w14:schemeClr>
            </w14:solidFill>
          </w14:textFill>
        </w:rPr>
        <w:t>：指</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《上海证券交易所交易型开放式指数基金业务实施细则》定义</w:t>
      </w:r>
      <w:r>
        <w:rPr>
          <w:rFonts w:hint="eastAsia" w:asciiTheme="minorEastAsia" w:hAnsiTheme="minorEastAsia"/>
          <w:color w:val="0D0D0D" w:themeColor="text1" w:themeTint="F2"/>
          <w14:textFill>
            <w14:solidFill>
              <w14:schemeClr w14:val="tx1">
                <w14:lumMod w14:val="95000"/>
                <w14:lumOff w14:val="5000"/>
              </w14:schemeClr>
            </w14:solidFill>
          </w14:textFill>
        </w:rPr>
        <w:t>的</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“交易型开放式指数</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”，简称“ETF”</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 xml:space="preserve"> </w:t>
      </w:r>
    </w:p>
    <w:p w14:paraId="2F718C98">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联接</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：指将绝大部分基金财产投资于博时恒生港股通</w:t>
      </w:r>
      <w:r>
        <w:rPr>
          <w:rFonts w:hint="eastAsia" w:cs="Arial" w:asciiTheme="minorEastAsia" w:hAnsiTheme="minorEastAsia" w:eastAsiaTheme="minorEastAsia"/>
          <w:bCs/>
          <w:color w:val="0D0D0D" w:themeColor="text1" w:themeTint="F2"/>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低波动交易型开放式指数证券投资基金（目标</w:t>
      </w:r>
      <w:r>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ETF</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），紧密跟踪标的指数表现，追求跟踪偏离度和跟踪误差最小化，获得与指数收益相似的回报，采用开放式运作方式的基金</w:t>
      </w:r>
    </w:p>
    <w:p w14:paraId="384A12CD">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w:t>
      </w:r>
    </w:p>
    <w:p w14:paraId="1EA5DCDF">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港股通：指内地投资者委托内地证券公司，经由上海证券交易所、深圳证券交易所或经中国证监会认可的机构设立的证券交易</w:t>
      </w:r>
      <w:r>
        <w:rPr>
          <w:rFonts w:hint="eastAsia" w:asciiTheme="minorEastAsia" w:hAnsiTheme="minorEastAsia"/>
          <w:color w:val="0D0D0D" w:themeColor="text1" w:themeTint="F2"/>
          <w14:textFill>
            <w14:solidFill>
              <w14:schemeClr w14:val="tx1">
                <w14:lumMod w14:val="95000"/>
                <w14:lumOff w14:val="5000"/>
              </w14:schemeClr>
            </w14:solidFill>
          </w14:textFill>
        </w:rPr>
        <w:t>服务</w:t>
      </w: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公司，向香港联合交易所有限公司进行申报，买卖沪港通、深港通规定范围内的香港联合交易所上市的股票</w:t>
      </w:r>
    </w:p>
    <w:p w14:paraId="682A0FA5">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流动性受限资产：指由于法律法规、监管、合同或操作障碍等</w:t>
      </w:r>
      <w:bookmarkStart w:id="596" w:name="_GoBack"/>
      <w:bookmarkEnd w:id="596"/>
      <w:r>
        <w:rPr>
          <w:rFonts w:hint="eastAsia" w:asciiTheme="minorEastAsia" w:hAnsiTheme="minorEastAsia"/>
          <w:color w:val="0D0D0D" w:themeColor="text1" w:themeTint="F2"/>
          <w14:textFill>
            <w14:solidFill>
              <w14:schemeClr w14:val="tx1">
                <w14:lumMod w14:val="95000"/>
                <w14:lumOff w14:val="5000"/>
              </w14:schemeClr>
            </w14:solidFill>
          </w14:textFill>
        </w:rPr>
        <w:t>原因无法以合理价格予以变现的资产，包括但不限于到期日在</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个交易日以上的逆回购与银行定期存款（含协议约定有条件提前支取的银行存款）、停牌股票、流通受限的新股及非公开发行股票、资产支持证券、因发行人债务违约无法进行转让或交易的债券等</w:t>
      </w:r>
    </w:p>
    <w:p w14:paraId="491DC18B">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转融通证券出借</w:t>
      </w:r>
      <w:r>
        <w:rPr>
          <w:rFonts w:hint="eastAsia" w:asciiTheme="minorEastAsia" w:hAnsiTheme="minorEastAsia"/>
          <w:color w:val="0D0D0D" w:themeColor="text1" w:themeTint="F2"/>
          <w14:textFill>
            <w14:solidFill>
              <w14:schemeClr w14:val="tx1">
                <w14:lumMod w14:val="95000"/>
                <w14:lumOff w14:val="5000"/>
              </w14:schemeClr>
            </w14:solidFill>
          </w14:textFill>
        </w:rPr>
        <w:t>业务：指基金以一定的费率通过证券交易所综合业务平台向中国证券金融股份有限公司（以下简称证券金融公司）出借证券，证券金融公司到期归还所借证券及相应权益补偿并支付费用的业务</w:t>
      </w:r>
    </w:p>
    <w:p w14:paraId="56DB54AF">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特定机构投资者：指根据上海证券交易所颁布的《特定机构投资者参与证券投资基金申购赎回业务指引》所定义的特定机构投资者</w:t>
      </w:r>
    </w:p>
    <w:p w14:paraId="6C4C7325">
      <w:pPr>
        <w:numPr>
          <w:ilvl w:val="0"/>
          <w:numId w:val="2"/>
        </w:numPr>
        <w:snapToGrid w:val="0"/>
        <w:spacing w:line="360" w:lineRule="auto"/>
        <w:ind w:left="0" w:firstLine="315" w:firstLineChars="150"/>
        <w:rPr>
          <w:rFonts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Cs w:val="21"/>
          <w14:textFill>
            <w14:solidFill>
              <w14:schemeClr w14:val="tx1">
                <w14:lumMod w14:val="95000"/>
                <w14:lumOff w14:val="5000"/>
              </w14:schemeClr>
            </w14:solidFill>
          </w14:textFill>
        </w:rPr>
        <w:t>中国法律：指中华人民共和国法律，就本基金合同而言，不包括香港特别行政区、澳门特别行政区法律和台湾地区的有关规定</w:t>
      </w:r>
    </w:p>
    <w:p w14:paraId="48A50CC2">
      <w:pPr>
        <w:numPr>
          <w:ilvl w:val="0"/>
          <w:numId w:val="2"/>
        </w:numPr>
        <w:snapToGrid w:val="0"/>
        <w:spacing w:line="360" w:lineRule="auto"/>
        <w:ind w:left="0" w:firstLine="315" w:firstLineChars="15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不可抗力：指本基金合同当事人不能预见、不能避免且不能克服的客观事件</w:t>
      </w:r>
    </w:p>
    <w:p w14:paraId="1745A82D">
      <w:pPr>
        <w:pStyle w:val="47"/>
        <w:tabs>
          <w:tab w:val="left" w:pos="851"/>
        </w:tabs>
        <w:adjustRightInd w:val="0"/>
        <w:snapToGrid w:val="0"/>
        <w:spacing w:line="360" w:lineRule="auto"/>
        <w:ind w:left="900" w:firstLine="0" w:firstLineChars="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p w14:paraId="0125CF6F">
      <w:pPr>
        <w:pStyle w:val="2"/>
        <w:sectPr>
          <w:footerReference r:id="rId9" w:type="default"/>
          <w:pgSz w:w="11906" w:h="16838"/>
          <w:pgMar w:top="1440" w:right="1800" w:bottom="1440" w:left="1800" w:header="851" w:footer="992" w:gutter="0"/>
          <w:pgNumType w:start="1"/>
          <w:cols w:space="425" w:num="1"/>
          <w:docGrid w:type="lines" w:linePitch="312" w:charSpace="0"/>
        </w:sectPr>
      </w:pPr>
      <w:bookmarkStart w:id="81" w:name="_Toc90742320"/>
      <w:bookmarkStart w:id="82" w:name="_Toc90742389"/>
      <w:bookmarkStart w:id="83" w:name="_Toc90742687"/>
    </w:p>
    <w:bookmarkEnd w:id="61"/>
    <w:p w14:paraId="0D12DAB5">
      <w:pPr>
        <w:pStyle w:val="2"/>
      </w:pPr>
      <w:bookmarkStart w:id="84" w:name="CTS_947a99ec03914ad29283f168953a9d59"/>
      <w:bookmarkEnd w:id="84"/>
      <w:bookmarkStart w:id="85" w:name="_Toc29177"/>
      <w:bookmarkStart w:id="86" w:name="CLAUSE_947a99ec03914ad29283f168953a9d59"/>
      <w:r>
        <w:rPr>
          <w:rFonts w:hint="eastAsia"/>
        </w:rPr>
        <w:t>第三部分</w:t>
      </w:r>
      <w:r>
        <w:t xml:space="preserve"> </w:t>
      </w:r>
      <w:r>
        <w:rPr>
          <w:rFonts w:hint="eastAsia"/>
        </w:rPr>
        <w:t>基金的基本情况</w:t>
      </w:r>
      <w:bookmarkEnd w:id="68"/>
      <w:bookmarkEnd w:id="69"/>
      <w:bookmarkEnd w:id="70"/>
      <w:bookmarkEnd w:id="71"/>
      <w:bookmarkEnd w:id="72"/>
      <w:bookmarkEnd w:id="73"/>
      <w:bookmarkEnd w:id="74"/>
      <w:bookmarkEnd w:id="75"/>
      <w:bookmarkEnd w:id="76"/>
      <w:bookmarkEnd w:id="77"/>
      <w:bookmarkEnd w:id="78"/>
      <w:bookmarkEnd w:id="81"/>
      <w:bookmarkEnd w:id="82"/>
      <w:bookmarkEnd w:id="83"/>
      <w:bookmarkEnd w:id="85"/>
      <w:bookmarkStart w:id="87" w:name="_Toc79392573"/>
    </w:p>
    <w:p w14:paraId="7E49DEC5">
      <w:pPr>
        <w:spacing w:line="360" w:lineRule="auto"/>
        <w:ind w:firstLine="540"/>
        <w:rPr>
          <w:rFonts w:asciiTheme="minorEastAsia" w:hAnsiTheme="minorEastAsia"/>
          <w:sz w:val="24"/>
        </w:rPr>
      </w:pPr>
      <w:bookmarkStart w:id="88" w:name="_Hlt88031774"/>
      <w:bookmarkEnd w:id="88"/>
      <w:bookmarkStart w:id="89" w:name="_Hlt88031741"/>
    </w:p>
    <w:bookmarkEnd w:id="89"/>
    <w:p w14:paraId="66605B2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一、基金名称</w:t>
      </w:r>
      <w:bookmarkEnd w:id="87"/>
    </w:p>
    <w:p w14:paraId="1CDA25A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博时恒生港股通</w:t>
      </w:r>
      <w:r>
        <w:rPr>
          <w:rFonts w:hint="eastAsia" w:cs="Arial" w:asciiTheme="minorEastAsia" w:hAnsiTheme="minorEastAsia" w:eastAsiaTheme="minorEastAsia"/>
          <w:color w:val="0D0D0D" w:themeColor="text1" w:themeTint="F2"/>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低波动交易型开放式指数证券投资基金</w:t>
      </w:r>
    </w:p>
    <w:p w14:paraId="6BC58658">
      <w:pPr>
        <w:spacing w:line="360" w:lineRule="auto"/>
        <w:ind w:firstLine="480" w:firstLineChars="200"/>
        <w:rPr>
          <w:rFonts w:asciiTheme="minorEastAsia" w:hAnsiTheme="minorEastAsia"/>
          <w:sz w:val="24"/>
        </w:rPr>
      </w:pPr>
      <w:bookmarkStart w:id="90" w:name="_Toc79392574"/>
    </w:p>
    <w:p w14:paraId="78202CA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二、基金的类别</w:t>
      </w:r>
      <w:bookmarkEnd w:id="90"/>
    </w:p>
    <w:p w14:paraId="436F8E8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股票型</w:t>
      </w:r>
    </w:p>
    <w:p w14:paraId="25A06C36">
      <w:pPr>
        <w:spacing w:line="360" w:lineRule="auto"/>
        <w:ind w:left="796" w:leftChars="257" w:hanging="256"/>
        <w:rPr>
          <w:rFonts w:asciiTheme="minorEastAsia" w:hAnsiTheme="minorEastAsia"/>
          <w:sz w:val="24"/>
        </w:rPr>
      </w:pPr>
      <w:bookmarkStart w:id="91" w:name="_Toc79392575"/>
    </w:p>
    <w:p w14:paraId="691DF01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三、基金的运作方式</w:t>
      </w:r>
    </w:p>
    <w:p w14:paraId="6E6F906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交易型</w:t>
      </w:r>
      <w:r>
        <w:rPr>
          <w:rFonts w:hint="eastAsia" w:asciiTheme="minorEastAsia" w:hAnsiTheme="minorEastAsia"/>
          <w:color w:val="0D0D0D" w:themeColor="text1" w:themeTint="F2"/>
          <w14:textFill>
            <w14:solidFill>
              <w14:schemeClr w14:val="tx1">
                <w14:lumMod w14:val="95000"/>
                <w14:lumOff w14:val="5000"/>
              </w14:schemeClr>
            </w14:solidFill>
          </w14:textFill>
        </w:rPr>
        <w:t>开放式</w:t>
      </w:r>
    </w:p>
    <w:p w14:paraId="41EED5D5">
      <w:pPr>
        <w:spacing w:line="360" w:lineRule="auto"/>
        <w:ind w:left="796" w:leftChars="257" w:hanging="256"/>
        <w:rPr>
          <w:rFonts w:asciiTheme="minorEastAsia" w:hAnsiTheme="minorEastAsia"/>
          <w:sz w:val="24"/>
        </w:rPr>
      </w:pPr>
    </w:p>
    <w:p w14:paraId="6E9F3E6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四、基金的投资目标</w:t>
      </w:r>
      <w:bookmarkEnd w:id="91"/>
    </w:p>
    <w:p w14:paraId="02A22038">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紧密跟踪标的指数，追求跟踪偏离度和跟踪误差的最小化</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p>
    <w:p w14:paraId="5C9430C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p>
    <w:p w14:paraId="56B983B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92" w:name="_Toc79392576"/>
      <w:r>
        <w:rPr>
          <w:rFonts w:hint="eastAsia" w:asciiTheme="minorEastAsia" w:hAnsiTheme="minorEastAsia"/>
          <w:color w:val="0D0D0D" w:themeColor="text1" w:themeTint="F2"/>
          <w14:textFill>
            <w14:solidFill>
              <w14:schemeClr w14:val="tx1">
                <w14:lumMod w14:val="95000"/>
                <w14:lumOff w14:val="5000"/>
              </w14:schemeClr>
            </w14:solidFill>
          </w14:textFill>
        </w:rPr>
        <w:t>五、基金</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标</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指数</w:t>
      </w:r>
    </w:p>
    <w:p w14:paraId="6BF5279B">
      <w:pPr>
        <w:adjustRightInd w:val="0"/>
        <w:snapToGrid w:val="0"/>
        <w:spacing w:line="360" w:lineRule="auto"/>
        <w:ind w:firstLine="369" w:firstLineChars="176"/>
        <w:rPr>
          <w:rFonts w:cs="Arial" w:asciiTheme="minorEastAsia" w:hAnsiTheme="minorEastAsia" w:eastAsiaTheme="minorEastAsia"/>
          <w:color w:val="0D0D0D" w:themeColor="text1" w:themeTint="F2"/>
          <w:kern w:val="0"/>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kern w:val="0"/>
          <w:szCs w:val="21"/>
          <w14:textFill>
            <w14:solidFill>
              <w14:schemeClr w14:val="tx1">
                <w14:lumMod w14:val="95000"/>
                <w14:lumOff w14:val="5000"/>
              </w14:schemeClr>
            </w14:solidFill>
          </w14:textFill>
        </w:rPr>
        <w:t>恒生港股通</w:t>
      </w:r>
      <w:r>
        <w:rPr>
          <w:rFonts w:hint="eastAsia" w:cs="Arial" w:asciiTheme="minorEastAsia" w:hAnsiTheme="minorEastAsia" w:eastAsiaTheme="minorEastAsia"/>
          <w:color w:val="0D0D0D" w:themeColor="text1" w:themeTint="F2"/>
          <w:kern w:val="0"/>
          <w:szCs w:val="21"/>
          <w:lang w:eastAsia="zh-CN"/>
          <w14:textFill>
            <w14:solidFill>
              <w14:schemeClr w14:val="tx1">
                <w14:lumMod w14:val="95000"/>
                <w14:lumOff w14:val="5000"/>
              </w14:schemeClr>
            </w14:solidFill>
          </w14:textFill>
        </w:rPr>
        <w:t>红利</w:t>
      </w:r>
      <w:r>
        <w:rPr>
          <w:rFonts w:hint="eastAsia" w:cs="Arial" w:asciiTheme="minorEastAsia" w:hAnsiTheme="minorEastAsia" w:eastAsiaTheme="minorEastAsia"/>
          <w:color w:val="0D0D0D" w:themeColor="text1" w:themeTint="F2"/>
          <w:kern w:val="0"/>
          <w:szCs w:val="21"/>
          <w14:textFill>
            <w14:solidFill>
              <w14:schemeClr w14:val="tx1">
                <w14:lumMod w14:val="95000"/>
                <w14:lumOff w14:val="5000"/>
              </w14:schemeClr>
            </w14:solidFill>
          </w14:textFill>
        </w:rPr>
        <w:t>低波动指数</w:t>
      </w:r>
    </w:p>
    <w:p w14:paraId="76AD80BE">
      <w:pPr>
        <w:snapToGrid w:val="0"/>
        <w:spacing w:line="360" w:lineRule="auto"/>
        <w:ind w:firstLine="420" w:firstLineChars="200"/>
        <w:rPr>
          <w:rFonts w:asciiTheme="minorEastAsia" w:hAnsiTheme="minorEastAsia" w:eastAsiaTheme="minorEastAsia"/>
        </w:rPr>
      </w:pPr>
      <w:bookmarkStart w:id="93" w:name="_Toc79392577"/>
    </w:p>
    <w:p w14:paraId="62596DF4">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六、基金</w:t>
      </w:r>
      <w:r>
        <w:rPr>
          <w:rFonts w:hint="eastAsia" w:asciiTheme="minorEastAsia" w:hAnsiTheme="minorEastAsia"/>
        </w:rPr>
        <w:t>的最低募集份额总额</w:t>
      </w:r>
      <w:bookmarkEnd w:id="92"/>
    </w:p>
    <w:p w14:paraId="3A618DD0">
      <w:pPr>
        <w:snapToGrid w:val="0"/>
        <w:spacing w:line="360" w:lineRule="auto"/>
        <w:ind w:firstLine="420" w:firstLineChars="200"/>
        <w:rPr>
          <w:rFonts w:asciiTheme="minorEastAsia" w:hAnsiTheme="minorEastAsia"/>
        </w:rPr>
      </w:pPr>
      <w:r>
        <w:rPr>
          <w:rFonts w:hint="eastAsia" w:asciiTheme="minorEastAsia" w:hAnsiTheme="minorEastAsia"/>
        </w:rPr>
        <w:t>本基金的最低募集份额总额为</w:t>
      </w:r>
      <w:r>
        <w:rPr>
          <w:rFonts w:hint="eastAsia" w:asciiTheme="minorEastAsia" w:hAnsiTheme="minorEastAsia" w:eastAsiaTheme="minorEastAsia"/>
          <w:szCs w:val="21"/>
        </w:rPr>
        <w:t>2</w:t>
      </w:r>
      <w:r>
        <w:rPr>
          <w:rFonts w:hint="eastAsia" w:asciiTheme="minorEastAsia" w:hAnsiTheme="minorEastAsia"/>
        </w:rPr>
        <w:t>亿份。</w:t>
      </w:r>
    </w:p>
    <w:p w14:paraId="0875AEC9">
      <w:pPr>
        <w:spacing w:line="360" w:lineRule="auto"/>
        <w:ind w:firstLine="480" w:firstLineChars="200"/>
        <w:rPr>
          <w:rFonts w:asciiTheme="minorEastAsia" w:hAnsiTheme="minorEastAsia"/>
          <w:sz w:val="24"/>
        </w:rPr>
      </w:pPr>
    </w:p>
    <w:p w14:paraId="155D299E">
      <w:pPr>
        <w:snapToGrid w:val="0"/>
        <w:spacing w:line="360" w:lineRule="auto"/>
        <w:ind w:firstLine="420" w:firstLineChars="200"/>
        <w:rPr>
          <w:rFonts w:asciiTheme="minorEastAsia" w:hAnsiTheme="minorEastAsia" w:eastAsiaTheme="minorEastAsia"/>
        </w:rPr>
      </w:pPr>
      <w:r>
        <w:rPr>
          <w:rFonts w:hint="eastAsia" w:asciiTheme="minorEastAsia" w:hAnsiTheme="minorEastAsia"/>
        </w:rPr>
        <w:t>七、基金</w:t>
      </w:r>
      <w:r>
        <w:rPr>
          <w:rFonts w:hint="eastAsia" w:asciiTheme="minorEastAsia" w:hAnsiTheme="minorEastAsia" w:eastAsiaTheme="minorEastAsia"/>
        </w:rPr>
        <w:t>份额</w:t>
      </w:r>
      <w:r>
        <w:rPr>
          <w:rFonts w:hint="eastAsia" w:asciiTheme="minorEastAsia" w:hAnsiTheme="minorEastAsia" w:eastAsiaTheme="minorEastAsia"/>
          <w:szCs w:val="21"/>
        </w:rPr>
        <w:t>发售</w:t>
      </w:r>
      <w:r>
        <w:rPr>
          <w:rFonts w:hint="eastAsia" w:asciiTheme="minorEastAsia" w:hAnsiTheme="minorEastAsia" w:eastAsiaTheme="minorEastAsia"/>
        </w:rPr>
        <w:t>面值和认购费用</w:t>
      </w:r>
    </w:p>
    <w:p w14:paraId="50A79AF0">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本基金基金份额发售面值为人民币</w:t>
      </w:r>
      <w:r>
        <w:rPr>
          <w:rFonts w:asciiTheme="minorEastAsia" w:hAnsiTheme="minorEastAsia" w:eastAsiaTheme="minorEastAsia"/>
          <w:szCs w:val="21"/>
        </w:rPr>
        <w:t>1.00</w:t>
      </w:r>
      <w:r>
        <w:rPr>
          <w:rFonts w:hint="eastAsia" w:asciiTheme="minorEastAsia" w:hAnsiTheme="minorEastAsia" w:eastAsiaTheme="minorEastAsia"/>
        </w:rPr>
        <w:t>元。</w:t>
      </w:r>
    </w:p>
    <w:p w14:paraId="462A20D4">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本基金具体认购费率按招募说明书及基金产品资料概要的规定执行。</w:t>
      </w:r>
    </w:p>
    <w:p w14:paraId="2E8FEC10">
      <w:pPr>
        <w:autoSpaceDE w:val="0"/>
        <w:autoSpaceDN w:val="0"/>
        <w:adjustRightInd w:val="0"/>
        <w:spacing w:line="360" w:lineRule="auto"/>
        <w:ind w:firstLine="480" w:firstLineChars="200"/>
        <w:jc w:val="left"/>
        <w:rPr>
          <w:rFonts w:asciiTheme="minorEastAsia" w:hAnsiTheme="minorEastAsia" w:eastAsiaTheme="minorEastAsia"/>
          <w:bCs/>
          <w:sz w:val="24"/>
        </w:rPr>
      </w:pPr>
    </w:p>
    <w:p w14:paraId="4B47EDB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八</w:t>
      </w:r>
      <w:bookmarkEnd w:id="93"/>
      <w:bookmarkStart w:id="94" w:name="_Toc79392578"/>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color w:val="0D0D0D" w:themeColor="text1" w:themeTint="F2"/>
          <w14:textFill>
            <w14:solidFill>
              <w14:schemeClr w14:val="tx1">
                <w14:lumMod w14:val="95000"/>
                <w14:lumOff w14:val="5000"/>
              </w14:schemeClr>
            </w14:solidFill>
          </w14:textFill>
        </w:rPr>
        <w:t>存续期限</w:t>
      </w:r>
      <w:bookmarkEnd w:id="94"/>
    </w:p>
    <w:p w14:paraId="3E104B1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不定期</w:t>
      </w:r>
    </w:p>
    <w:p w14:paraId="3CEA93C3">
      <w:pPr>
        <w:spacing w:line="360" w:lineRule="auto"/>
        <w:ind w:left="199" w:firstLine="425"/>
        <w:rPr>
          <w:rFonts w:asciiTheme="minorEastAsia" w:hAnsiTheme="minorEastAsia"/>
          <w:sz w:val="24"/>
        </w:rPr>
      </w:pPr>
    </w:p>
    <w:p w14:paraId="7579E5C5">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九、增设新的份额类别或发行联接基金等相关业务</w:t>
      </w:r>
    </w:p>
    <w:p w14:paraId="033ACCDD">
      <w:pPr>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在不违反法律法规及对基金份额持有人利益无实质性不利影响的前提下，基金管理人可根据基金发展需要，经与基金托管人协商一致并履行相关程序后，</w:t>
      </w:r>
      <w:r>
        <w:rPr>
          <w:rFonts w:hint="eastAsia" w:ascii="宋体" w:hAnsi="宋体" w:cs="Arial"/>
          <w:bCs/>
        </w:rPr>
        <w:t>为本基金增设新的份额类别</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或开通场外申购、赎回相关业务</w:t>
      </w:r>
      <w:r>
        <w:rPr>
          <w:rFonts w:hint="eastAsia" w:ascii="宋体" w:hAnsi="宋体" w:cs="Arial"/>
          <w:bCs/>
        </w:rPr>
        <w:t>并制定相应的业务规则，或</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募集并管理以本基金为目标ETF的一只或多只联接基金，无须召开基金份额持有人大会审议。</w:t>
      </w:r>
    </w:p>
    <w:p w14:paraId="6BF3AC01">
      <w:pPr>
        <w:pStyle w:val="2"/>
        <w:sectPr>
          <w:footerReference r:id="rId10" w:type="default"/>
          <w:pgSz w:w="11906" w:h="16838"/>
          <w:pgMar w:top="1440" w:right="1800" w:bottom="1440" w:left="1800" w:header="851" w:footer="992" w:gutter="0"/>
          <w:pgNumType w:start="1"/>
          <w:cols w:space="425" w:num="1"/>
          <w:docGrid w:type="lines" w:linePitch="312" w:charSpace="0"/>
        </w:sectPr>
      </w:pPr>
      <w:bookmarkStart w:id="95" w:name="_Toc90742391"/>
      <w:bookmarkStart w:id="96" w:name="_Toc90742689"/>
      <w:bookmarkStart w:id="97" w:name="_Toc90742322"/>
    </w:p>
    <w:bookmarkEnd w:id="86"/>
    <w:p w14:paraId="3D6CE43B">
      <w:pPr>
        <w:pStyle w:val="2"/>
      </w:pPr>
      <w:bookmarkStart w:id="98" w:name="CTS_411678b0fc2f4e7e85ab796e80ab1926"/>
      <w:bookmarkEnd w:id="98"/>
      <w:bookmarkStart w:id="99" w:name="_Toc3266"/>
      <w:bookmarkStart w:id="100" w:name="_Toc7151"/>
      <w:bookmarkStart w:id="101" w:name="_Toc90742390"/>
      <w:bookmarkStart w:id="102" w:name="_Toc90742688"/>
      <w:bookmarkStart w:id="103" w:name="_Toc27189"/>
      <w:bookmarkStart w:id="104" w:name="_Toc24682"/>
      <w:bookmarkStart w:id="105" w:name="_Toc15203"/>
      <w:bookmarkStart w:id="106" w:name="_Toc90742321"/>
      <w:bookmarkStart w:id="107" w:name="_Toc29784"/>
      <w:bookmarkStart w:id="108" w:name="_Toc16265"/>
      <w:bookmarkStart w:id="109" w:name="_Toc22074"/>
      <w:bookmarkStart w:id="110" w:name="_Toc7561"/>
      <w:bookmarkStart w:id="111" w:name="_Toc6714"/>
      <w:bookmarkStart w:id="112" w:name="_Toc29948"/>
      <w:bookmarkStart w:id="113" w:name="_Toc27226"/>
      <w:bookmarkStart w:id="114" w:name="CLAUSE_411678b0fc2f4e7e85ab796e80ab1926"/>
      <w:r>
        <w:rPr>
          <w:rFonts w:hint="eastAsia"/>
        </w:rPr>
        <w:t>第四部分</w:t>
      </w:r>
      <w:r>
        <w:t xml:space="preserve"> </w:t>
      </w:r>
      <w:r>
        <w:rPr>
          <w:rFonts w:hint="eastAsia"/>
        </w:rPr>
        <w:t>基金</w:t>
      </w:r>
      <w:bookmarkEnd w:id="95"/>
      <w:bookmarkEnd w:id="96"/>
      <w:bookmarkEnd w:id="97"/>
      <w:r>
        <w:rPr>
          <w:rFonts w:hint="eastAsia"/>
        </w:rPr>
        <w:t>份额的发售</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222F7CB4">
      <w:pPr>
        <w:spacing w:line="360" w:lineRule="auto"/>
        <w:ind w:firstLine="420" w:firstLineChars="200"/>
        <w:rPr>
          <w:rFonts w:asciiTheme="minorEastAsia" w:hAnsiTheme="minorEastAsia"/>
          <w:kern w:val="44"/>
        </w:rPr>
      </w:pPr>
    </w:p>
    <w:p w14:paraId="17ACD1C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一、基金份额的发售时间、发售方式、发售对象</w:t>
      </w:r>
    </w:p>
    <w:p w14:paraId="70A8179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、发售时间</w:t>
      </w:r>
    </w:p>
    <w:p w14:paraId="0667C2E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自基金份额发售之日起最长不得超过</w:t>
      </w: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个月，具体发售时间见基金份额发售公告。</w:t>
      </w:r>
    </w:p>
    <w:p w14:paraId="2771906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、发售方式</w:t>
      </w:r>
    </w:p>
    <w:p w14:paraId="499FDAE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投资人可选择网上现金认购和网下现金认购两种方式认购本基金：</w:t>
      </w:r>
    </w:p>
    <w:p w14:paraId="743E00E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网上现金认购是指投资人</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通过</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基金管理人指定</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的发售</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代理机构通过上海证券交易所网上系统以现金进行的认购；</w:t>
      </w:r>
    </w:p>
    <w:p w14:paraId="28F0EF97">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网下现金认购是指投资人通过基金管理人及其指定的发售代理机构以现金进行的认购。</w:t>
      </w:r>
    </w:p>
    <w:p w14:paraId="3DE4B6C7">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应当在基金管理人及其指定发售代理机构办理基金发售业务的营业场所，或者按基金管理人或发售代理机构提供的方式办理基金份额的认购。基金管理人、发售代理机构办理基金发售业务的具体情况和联系方式，请参见基金份额发售公告</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以及基金管理人网站</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2E4CD48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基金管理人可依据实际情况增减、变更发售代理机构，发售代理机构</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的具体名单见基金份额发售公告以及基金管理人网站。</w:t>
      </w:r>
    </w:p>
    <w:p w14:paraId="1ECCB52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若证券交易所、中国证券登记结算有限责任公司对发售方式、发售场所有所调整的，本基金将进行相应调整。</w:t>
      </w:r>
    </w:p>
    <w:p w14:paraId="27F9723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销售机构对认购申请的受理并不代表该申请一定成功，而仅代表销售机构确实接收到认购申请。认购的确认以登记机构的确认结果为准。对于认购申请及认购份额的确认情况，投资者应及时查询并妥善行使合法权利。</w:t>
      </w:r>
    </w:p>
    <w:p w14:paraId="075E538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、发售对象</w:t>
      </w:r>
    </w:p>
    <w:p w14:paraId="4D3A4B35">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符合法律法规规定的可投资于证券投资基金的个人投资者、机构投资者、合格境外投资者以及法律法规或中国证监会允许购买证券投资基金的其他投资人。</w:t>
      </w:r>
    </w:p>
    <w:p w14:paraId="57E095A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二、基金份额的认购</w:t>
      </w:r>
    </w:p>
    <w:p w14:paraId="7CED9C6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、认购费用</w:t>
      </w:r>
    </w:p>
    <w:p w14:paraId="2B7453C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本基金的认购费率由基金管理人决定，并在招募说明书、基金产品资料概要</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和基金份额发售公告</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中列示。基金认购费用不列入基金财产。</w:t>
      </w:r>
    </w:p>
    <w:p w14:paraId="09E66CB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、募集期</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资金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的处理方式</w:t>
      </w:r>
    </w:p>
    <w:p w14:paraId="1EAEE32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募集期间</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募集的资金存入专门账户，在</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募集行为结束前，任何</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不得动用。</w:t>
      </w:r>
    </w:p>
    <w:p w14:paraId="6868ECA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募集资金利息的处理方式</w:t>
      </w:r>
    </w:p>
    <w:p w14:paraId="1018F7DB">
      <w:pPr>
        <w:snapToGrid w:val="0"/>
        <w:spacing w:line="360" w:lineRule="auto"/>
        <w:ind w:firstLine="420"/>
        <w:rPr>
          <w:rFonts w:hint="eastAsia" w:ascii="宋体" w:hAnsi="宋体" w:cs="Arial"/>
          <w:bCs/>
        </w:rPr>
      </w:pPr>
      <w:r>
        <w:rPr>
          <w:rFonts w:hint="eastAsia" w:ascii="宋体" w:hAnsi="宋体"/>
          <w:szCs w:val="21"/>
        </w:rPr>
        <w:t>网下现金认购及网上现金认购的有效认购资金在募集期间产生的利息将折算为基金份额归基金份额持有人所有。</w:t>
      </w:r>
    </w:p>
    <w:p w14:paraId="27BA447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基金认购份额的计算</w:t>
      </w:r>
    </w:p>
    <w:p w14:paraId="79CA34F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基金认购份额具体的计算方法在招募说明书中列示。</w:t>
      </w:r>
    </w:p>
    <w:p w14:paraId="4A8982B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认购的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限制</w:t>
      </w:r>
    </w:p>
    <w:p w14:paraId="42B5E45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基金管理人可以对投资者的认购数额进行限制，具体限制和</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处理方式</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请参看招募说明书或相关公告。</w:t>
      </w:r>
    </w:p>
    <w:p w14:paraId="20CAE42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三、基金认购的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其他具体规定</w:t>
      </w:r>
    </w:p>
    <w:p w14:paraId="5F3DD82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投资人认购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原则、认购时间安排、投资人认购应提交</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文件和办理的手续等事项，由</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根据相关法律法规以及本</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合同的规定，在</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招募说明书</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或</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份额发售公告中确定并披露</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4348665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四、本基金可设置首次募集规模上限，具体募集上限及规模控制的方案详见基金份额发售公告或其他公告。若本基金设置首次募集规模上限，基金合同生效后不受首次募集规模的限制。</w:t>
      </w:r>
    </w:p>
    <w:p w14:paraId="7A0004B0">
      <w:pPr>
        <w:adjustRightInd w:val="0"/>
        <w:snapToGrid w:val="0"/>
        <w:spacing w:line="360" w:lineRule="auto"/>
        <w:ind w:firstLine="422" w:firstLineChars="201"/>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bookmarkStart w:id="115" w:name="_Hlt70495313"/>
      <w:bookmarkEnd w:id="115"/>
    </w:p>
    <w:bookmarkEnd w:id="114"/>
    <w:p w14:paraId="0F71104D">
      <w:pPr>
        <w:pStyle w:val="2"/>
        <w:sectPr>
          <w:footerReference r:id="rId11" w:type="default"/>
          <w:pgSz w:w="11906" w:h="16838"/>
          <w:pgMar w:top="1440" w:right="1800" w:bottom="1440" w:left="1800" w:header="851" w:footer="992" w:gutter="0"/>
          <w:pgNumType w:start="1"/>
          <w:cols w:space="425" w:num="1"/>
          <w:docGrid w:type="lines" w:linePitch="312" w:charSpace="0"/>
        </w:sectPr>
      </w:pPr>
    </w:p>
    <w:p w14:paraId="1B54A4C6">
      <w:pPr>
        <w:pStyle w:val="2"/>
      </w:pPr>
      <w:bookmarkStart w:id="116" w:name="CTS_82005793dce748a79111178f94002b78"/>
      <w:bookmarkEnd w:id="116"/>
      <w:bookmarkStart w:id="117" w:name="_Toc18329"/>
      <w:bookmarkStart w:id="118" w:name="_Toc1823"/>
      <w:bookmarkStart w:id="119" w:name="_Toc18797"/>
      <w:bookmarkStart w:id="120" w:name="_Toc7848"/>
      <w:bookmarkStart w:id="121" w:name="_Toc4741"/>
      <w:bookmarkStart w:id="122" w:name="_Toc6559"/>
      <w:bookmarkStart w:id="123" w:name="_Toc26986"/>
      <w:bookmarkStart w:id="124" w:name="_Toc139991735"/>
      <w:bookmarkStart w:id="125" w:name="_Toc21988"/>
      <w:bookmarkStart w:id="126" w:name="_Toc3520"/>
      <w:bookmarkStart w:id="127" w:name="_Toc17912"/>
      <w:bookmarkStart w:id="128" w:name="_Toc18526"/>
      <w:bookmarkStart w:id="129" w:name="_Toc14893"/>
      <w:bookmarkStart w:id="130" w:name="_Toc141703885"/>
      <w:bookmarkStart w:id="131" w:name="CLAUSE_82005793dce748a79111178f94002b78"/>
      <w:r>
        <w:rPr>
          <w:rFonts w:hint="eastAsia"/>
        </w:rPr>
        <w:t>第五部分</w:t>
      </w:r>
      <w:r>
        <w:t xml:space="preserve"> </w:t>
      </w:r>
      <w:r>
        <w:rPr>
          <w:rFonts w:hint="eastAsia"/>
        </w:rPr>
        <w:t>基金备案</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29D89DBC">
      <w:pPr>
        <w:spacing w:line="360" w:lineRule="auto"/>
        <w:ind w:firstLine="540"/>
        <w:rPr>
          <w:rFonts w:asciiTheme="minorEastAsia" w:hAnsiTheme="minorEastAsia"/>
          <w:sz w:val="24"/>
        </w:rPr>
      </w:pPr>
    </w:p>
    <w:p w14:paraId="33E0DC0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一、基金备案的条件</w:t>
      </w:r>
    </w:p>
    <w:p w14:paraId="13B5AA2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本基金自基金份额发售之日起</w:t>
      </w: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个月内，在基金募集份额总额不少于</w:t>
      </w: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亿份，基金募集金额不少于</w:t>
      </w: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亿元人民币且基金认购人数不少于</w:t>
      </w:r>
      <w:r>
        <w:rPr>
          <w:rFonts w:asciiTheme="minorEastAsia" w:hAnsiTheme="minorEastAsia"/>
          <w:color w:val="0D0D0D" w:themeColor="text1" w:themeTint="F2"/>
          <w:kern w:val="0"/>
          <w14:textFill>
            <w14:solidFill>
              <w14:schemeClr w14:val="tx1">
                <w14:lumMod w14:val="95000"/>
                <w14:lumOff w14:val="5000"/>
              </w14:schemeClr>
            </w14:solidFill>
          </w14:textFill>
        </w:rPr>
        <w:t>200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人的条件下，基金募集期届满或基金管理人依据法律法规及招募说明书可以决定停止基金发售，并在</w:t>
      </w:r>
      <w:r>
        <w:rPr>
          <w:rFonts w:asciiTheme="minorEastAsia" w:hAnsiTheme="minorEastAsia"/>
          <w:color w:val="0D0D0D" w:themeColor="text1" w:themeTint="F2"/>
          <w:kern w:val="0"/>
          <w14:textFill>
            <w14:solidFill>
              <w14:schemeClr w14:val="tx1">
                <w14:lumMod w14:val="95000"/>
                <w14:lumOff w14:val="5000"/>
              </w14:schemeClr>
            </w14:solidFill>
          </w14:textFill>
        </w:rPr>
        <w:t>10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日内聘请法定验资机构验资，自收到验资报告之日起</w:t>
      </w:r>
      <w:r>
        <w:rPr>
          <w:rFonts w:asciiTheme="minorEastAsia" w:hAnsiTheme="minorEastAsia"/>
          <w:color w:val="0D0D0D" w:themeColor="text1" w:themeTint="F2"/>
          <w:kern w:val="0"/>
          <w14:textFill>
            <w14:solidFill>
              <w14:schemeClr w14:val="tx1">
                <w14:lumMod w14:val="95000"/>
                <w14:lumOff w14:val="5000"/>
              </w14:schemeClr>
            </w14:solidFill>
          </w14:textFill>
        </w:rPr>
        <w:t>10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日内，向中国证监会办理基金备案手续。</w:t>
      </w:r>
    </w:p>
    <w:p w14:paraId="599E5CA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w:t>
      </w:r>
    </w:p>
    <w:p w14:paraId="71FF18E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基金管理人应将基金募集期间募集的资金存入专门账户，在基金募集行为结束前，任何人不得动用。</w:t>
      </w:r>
    </w:p>
    <w:p w14:paraId="6C15E80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二、基金合同不能生效时募集资金的处理方式</w:t>
      </w:r>
    </w:p>
    <w:p w14:paraId="7DA7DDC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如果募集期限届满，未满足基金备案条件，基金管理人应当承担下列责任：</w:t>
      </w:r>
    </w:p>
    <w:p w14:paraId="645B6D0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、以其固有财产承担因募集行为而产生的债务和费用；</w:t>
      </w:r>
    </w:p>
    <w:p w14:paraId="60F932B2">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、在基金募集期限届满后</w:t>
      </w:r>
      <w:r>
        <w:rPr>
          <w:rFonts w:asciiTheme="minorEastAsia" w:hAnsiTheme="minorEastAsia"/>
          <w:color w:val="0D0D0D" w:themeColor="text1" w:themeTint="F2"/>
          <w:kern w:val="0"/>
          <w14:textFill>
            <w14:solidFill>
              <w14:schemeClr w14:val="tx1">
                <w14:lumMod w14:val="95000"/>
                <w14:lumOff w14:val="5000"/>
              </w14:schemeClr>
            </w14:solidFill>
          </w14:textFill>
        </w:rPr>
        <w:t>30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日内返还投资者已缴纳的款项，并加计银行同期</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活期存款</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利息</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575D61A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、如基金募集失败，基金管理人、基金托管人及销售机构不得请求报酬。</w:t>
      </w:r>
    </w:p>
    <w:p w14:paraId="25C267E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基金管理人、基金托管人和销售机构为基金募集支付之一切费用应由各方各自承担。</w:t>
      </w:r>
    </w:p>
    <w:p w14:paraId="2F2E50C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三、基金存续期内的基金份额持有人数量和资产规模</w:t>
      </w:r>
    </w:p>
    <w:p w14:paraId="73907CF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《基金合同》生效后，连续</w:t>
      </w:r>
      <w:r>
        <w:rPr>
          <w:rFonts w:asciiTheme="minorEastAsia" w:hAnsiTheme="minorEastAsia"/>
          <w:color w:val="0D0D0D" w:themeColor="text1" w:themeTint="F2"/>
          <w:kern w:val="0"/>
          <w14:textFill>
            <w14:solidFill>
              <w14:schemeClr w14:val="tx1">
                <w14:lumMod w14:val="95000"/>
                <w14:lumOff w14:val="5000"/>
              </w14:schemeClr>
            </w14:solidFill>
          </w14:textFill>
        </w:rPr>
        <w:t>20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个工作日出现基金份额持有人数量不满</w:t>
      </w:r>
      <w:r>
        <w:rPr>
          <w:rFonts w:asciiTheme="minorEastAsia" w:hAnsiTheme="minorEastAsia"/>
          <w:color w:val="0D0D0D" w:themeColor="text1" w:themeTint="F2"/>
          <w:kern w:val="0"/>
          <w14:textFill>
            <w14:solidFill>
              <w14:schemeClr w14:val="tx1">
                <w14:lumMod w14:val="95000"/>
                <w14:lumOff w14:val="5000"/>
              </w14:schemeClr>
            </w14:solidFill>
          </w14:textFill>
        </w:rPr>
        <w:t>200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人或者基金资产净值低于</w:t>
      </w:r>
      <w:r>
        <w:rPr>
          <w:rFonts w:asciiTheme="minorEastAsia" w:hAnsiTheme="minorEastAsia"/>
          <w:color w:val="0D0D0D" w:themeColor="text1" w:themeTint="F2"/>
          <w:kern w:val="0"/>
          <w14:textFill>
            <w14:solidFill>
              <w14:schemeClr w14:val="tx1">
                <w14:lumMod w14:val="95000"/>
                <w14:lumOff w14:val="5000"/>
              </w14:schemeClr>
            </w14:solidFill>
          </w14:textFill>
        </w:rPr>
        <w:t>5000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7EB5F499">
      <w:pPr>
        <w:adjustRightInd w:val="0"/>
        <w:snapToGrid w:val="0"/>
        <w:spacing w:line="360" w:lineRule="auto"/>
        <w:ind w:firstLine="420" w:firstLineChars="200"/>
        <w:rPr>
          <w:rFonts w:asciiTheme="minorEastAsia" w:hAnsiTheme="minorEastAsia" w:eastAsiaTheme="minorEastAsia"/>
          <w:b/>
          <w:szCs w:val="21"/>
        </w:rPr>
        <w:sectPr>
          <w:footerReference r:id="rId12" w:type="default"/>
          <w:pgSz w:w="11906" w:h="16838"/>
          <w:pgMar w:top="1440" w:right="1800" w:bottom="1440" w:left="1800" w:header="851" w:footer="992" w:gutter="0"/>
          <w:pgNumType w:start="1"/>
          <w:cols w:space="425" w:num="1"/>
          <w:docGrid w:type="lines" w:linePitch="312" w:charSpace="0"/>
        </w:sect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法律法规或中国证监会另有规定时，从其规定。</w:t>
      </w:r>
      <w:bookmarkEnd w:id="131"/>
    </w:p>
    <w:p w14:paraId="41FC9EE2">
      <w:pPr>
        <w:pStyle w:val="2"/>
      </w:pPr>
      <w:bookmarkStart w:id="132" w:name="CTS_f8a2c7ea9115405eb5690619f2e812cd"/>
      <w:bookmarkEnd w:id="132"/>
      <w:bookmarkStart w:id="133" w:name="_Toc12380"/>
      <w:bookmarkStart w:id="134" w:name="CLAUSE_f8a2c7ea9115405eb5690619f2e812cd"/>
      <w:bookmarkStart w:id="135" w:name="_Toc123102453"/>
      <w:bookmarkStart w:id="136" w:name="_Toc98560352"/>
      <w:bookmarkStart w:id="137" w:name="_Toc17244"/>
      <w:bookmarkStart w:id="138" w:name="_Toc4003"/>
      <w:bookmarkStart w:id="139" w:name="_Toc48649707"/>
      <w:bookmarkStart w:id="140" w:name="_Toc1427"/>
      <w:bookmarkStart w:id="141" w:name="_Toc11081"/>
      <w:bookmarkStart w:id="142" w:name="_Toc123112234"/>
      <w:bookmarkStart w:id="143" w:name="_Toc610"/>
      <w:bookmarkStart w:id="144" w:name="_Toc10463"/>
      <w:bookmarkStart w:id="145" w:name="_Toc1270"/>
      <w:bookmarkStart w:id="146" w:name="_Toc23261"/>
      <w:bookmarkStart w:id="147" w:name="_Toc23822"/>
      <w:bookmarkStart w:id="148" w:name="_Toc20733"/>
      <w:bookmarkStart w:id="149" w:name="_Toc7920"/>
      <w:bookmarkStart w:id="150" w:name="_Toc141703886"/>
      <w:bookmarkStart w:id="151" w:name="_Toc123051452"/>
      <w:bookmarkStart w:id="152" w:name="_Toc139991736"/>
      <w:bookmarkStart w:id="153" w:name="_Toc79392606"/>
      <w:r>
        <w:rPr>
          <w:rFonts w:hint="eastAsia"/>
        </w:rPr>
        <w:t>第六部分</w:t>
      </w:r>
      <w:r>
        <w:t xml:space="preserve"> 基金份额折算与变更登记</w:t>
      </w:r>
      <w:bookmarkEnd w:id="133"/>
    </w:p>
    <w:p w14:paraId="5C7B8E58">
      <w:pPr>
        <w:adjustRightInd w:val="0"/>
        <w:snapToGrid w:val="0"/>
        <w:spacing w:line="360" w:lineRule="auto"/>
        <w:ind w:firstLine="422" w:firstLineChars="201"/>
        <w:rPr>
          <w:rFonts w:cs="Arial" w:asciiTheme="minorEastAsia" w:hAnsiTheme="minorEastAsia" w:eastAsiaTheme="minorEastAsia"/>
          <w:color w:val="0D0D0D" w:themeColor="text1" w:themeTint="F2"/>
          <w:kern w:val="0"/>
          <w:szCs w:val="21"/>
          <w14:textFill>
            <w14:solidFill>
              <w14:schemeClr w14:val="tx1">
                <w14:lumMod w14:val="95000"/>
                <w14:lumOff w14:val="5000"/>
              </w14:schemeClr>
            </w14:solidFill>
          </w14:textFill>
        </w:rPr>
      </w:pPr>
    </w:p>
    <w:p w14:paraId="62A34346">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基金合同生效后，本基金可以进行份额折算。</w:t>
      </w:r>
    </w:p>
    <w:p w14:paraId="360342FF">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一、基金份额折算的时间</w:t>
      </w:r>
    </w:p>
    <w:p w14:paraId="695C475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基金管理人应事先确定基金份额折算日，并依照《信息披露办法》的有关规定进行公告。</w:t>
      </w:r>
    </w:p>
    <w:p w14:paraId="3A44DA1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二、基金份额折算的原则</w:t>
      </w:r>
    </w:p>
    <w:p w14:paraId="6AAD7DD7">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基金份额折算由基金管理人向登记机构申请办理，并由登记机构进行基金份额的变更登记。</w:t>
      </w:r>
    </w:p>
    <w:p w14:paraId="2008FE7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基金份额折算后，基金份额持有人将按照折算后的基金份额享有权利并承担义务。</w:t>
      </w:r>
    </w:p>
    <w:p w14:paraId="763ED94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如果基金份额折算过程中发生不可抗力，基金管理人可延迟办理基金份额折算。</w:t>
      </w:r>
    </w:p>
    <w:p w14:paraId="7A4858E6">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三、基金份额折算的方法</w:t>
      </w:r>
    </w:p>
    <w:p w14:paraId="162B54A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基金份额折算的具体方法在份额折算公告中列示。</w:t>
      </w:r>
    </w:p>
    <w:p w14:paraId="0DEDE72C">
      <w:pPr>
        <w:pStyle w:val="24"/>
        <w:adjustRightInd w:val="0"/>
        <w:snapToGrid w:val="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bookmarkEnd w:id="134"/>
    <w:p w14:paraId="128BE3B0">
      <w:pPr>
        <w:pStyle w:val="2"/>
        <w:sectPr>
          <w:footerReference r:id="rId13" w:type="default"/>
          <w:pgSz w:w="11906" w:h="16838"/>
          <w:pgMar w:top="1440" w:right="1800" w:bottom="1440" w:left="1800" w:header="851" w:footer="992" w:gutter="0"/>
          <w:pgNumType w:start="1"/>
          <w:cols w:space="425" w:num="1"/>
          <w:docGrid w:type="lines" w:linePitch="312" w:charSpace="0"/>
        </w:sectPr>
      </w:pPr>
    </w:p>
    <w:p w14:paraId="372AEB55">
      <w:pPr>
        <w:pStyle w:val="2"/>
      </w:pPr>
      <w:bookmarkStart w:id="154" w:name="CTS_2602dfeb98664f4e9342b071e32d99ea"/>
      <w:bookmarkEnd w:id="154"/>
      <w:bookmarkStart w:id="155" w:name="_Toc11979"/>
      <w:bookmarkStart w:id="156" w:name="CLAUSE_2602dfeb98664f4e9342b071e32d99ea"/>
      <w:r>
        <w:rPr>
          <w:rFonts w:hint="eastAsia"/>
        </w:rPr>
        <w:t xml:space="preserve">第七部分 </w:t>
      </w:r>
      <w:r>
        <w:t>基金份额的</w:t>
      </w:r>
      <w:r>
        <w:rPr>
          <w:rFonts w:hint="eastAsia"/>
        </w:rPr>
        <w:t>上市</w:t>
      </w:r>
      <w:r>
        <w:t>交易</w:t>
      </w:r>
      <w:bookmarkEnd w:id="155"/>
    </w:p>
    <w:p w14:paraId="150B79A9">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p w14:paraId="47EE920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一、基金上市</w:t>
      </w:r>
    </w:p>
    <w:p w14:paraId="36B4F28A">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基金合同生效后，如基金具备如下条件，在符合上海证券交易所相关规定的条件下，本基金可申请在上海证券交易所上市交易。</w:t>
      </w:r>
    </w:p>
    <w:p w14:paraId="6C0C50C6">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1、本基金场内资产净值不少于2亿元；</w:t>
      </w:r>
    </w:p>
    <w:p w14:paraId="63EFC64A">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2、本基金场内份额持有人不少于1000人；</w:t>
      </w:r>
    </w:p>
    <w:p w14:paraId="4B553F6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3、符合法律法规或上海证券交易所规定的其他条件。</w:t>
      </w:r>
    </w:p>
    <w:p w14:paraId="57C4E2A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基金上市前，基金管理人应与上海证券交易所签订上市协议书。基金获准在上海证券交易所上市的，基金管理人应按照相关规定发布基金上市交易公告书。</w:t>
      </w:r>
    </w:p>
    <w:p w14:paraId="18BD25F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二、基金份额的上市交易</w:t>
      </w:r>
    </w:p>
    <w:p w14:paraId="55EDA25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基金份额在上海证券交易所的上市交易应遵照《上海证券交易所交易规则》、《上海证券交易所证券投资基金上市规则》、《上海证券交易所交易型开放式指数基金业务实施细则》等有关规定。</w:t>
      </w:r>
    </w:p>
    <w:p w14:paraId="104F5C2F">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三、终止上市交易</w:t>
      </w:r>
    </w:p>
    <w:p w14:paraId="4D643577">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基金份额上市交易后，有下列情形的，上海证券交易所可终止基金的上市交易：</w:t>
      </w:r>
    </w:p>
    <w:p w14:paraId="7C8AF7BA">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1、不再具备</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部分第一条规定的上市条件；</w:t>
      </w:r>
    </w:p>
    <w:p w14:paraId="3BD5175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2、基金合同终止；</w:t>
      </w:r>
    </w:p>
    <w:p w14:paraId="714A235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3、基金份额持有人大会决定终止上市；</w:t>
      </w:r>
    </w:p>
    <w:p w14:paraId="36CBD6A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4、基金合同约定的终止上市的其他情形；</w:t>
      </w:r>
    </w:p>
    <w:p w14:paraId="7B6DD17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5、上海证券交易所认为应当终止上市的其他情形。 </w:t>
      </w:r>
    </w:p>
    <w:p w14:paraId="76B9AED6">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基金管理人应当在收到上海证券交易所终止基金上市的决定之日起依照《信息披露办法》</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发布基金终止上市公告。 </w:t>
      </w:r>
    </w:p>
    <w:p w14:paraId="570D814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若因上述</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1、4、5项等原因使本基金不再具备上市条件而被上海证券交易所终止上市的，本基金将由交易型开放式基金变更为跟踪标的指数的非上市的开放式</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指数</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基金，而无需召开基金份额持有人大会。若届时本基金管理人已有以该指数作为标的指数的指数基金，则本基金将本着维护投资者合法权益的原则，履行适当的程序后</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与该指数基金合并或</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选取其他合适的指数作为标的指数。</w:t>
      </w:r>
    </w:p>
    <w:p w14:paraId="082AB6B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四、基金份额参考净值的计算与公告</w:t>
      </w:r>
    </w:p>
    <w:p w14:paraId="2A313A9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或基金管理人委托的机构在开市后根据基金管理人提供的申购赎回清单和组合证券内各只证券的实时成交数据及汇率数据计算并通过上海证券交易所发布的基金份额参考净值，供投资人交易、申购、赎回基金份额时参考。基金份额参考净值（</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IOPV）的具体计算方法参见招募说明书。</w:t>
      </w:r>
    </w:p>
    <w:p w14:paraId="4F8AB28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t>上海证券交易所和基金管理人可以调整基金份额参考净值的计算方法</w:t>
      </w:r>
      <w:r>
        <w:rPr>
          <w:rFonts w:hint="eastAsia" w:ascii="宋体" w:hAnsi="宋体" w:cs="Arial"/>
          <w:kern w:val="0"/>
          <w:szCs w:val="21"/>
        </w:rPr>
        <w:t>及保留的小数点位数</w:t>
      </w:r>
      <w:r>
        <w:t>，并予以公告。</w:t>
      </w:r>
    </w:p>
    <w:p w14:paraId="74FB9F5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五、若上海证券交易所、中国证券登记结算有限责任公司增加了基金上市交易的新功能，基金管理人可以在履行适当的程序后增加相应功能。</w:t>
      </w:r>
    </w:p>
    <w:p w14:paraId="32F1BF8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六、在不违反法律法规及不损害基金份额持有人利益的前提下，基金管理人在履行适当的程序后，本基金可以申请在其他证券交易所（含境外证券交易所）上市交易，而无需召开基金份额持有人大会审议。</w:t>
      </w:r>
    </w:p>
    <w:p w14:paraId="24B1431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七、相关法律法规、中国证监会、登记机构及上海证券交易所对基金上市交易的规则等相关规定内容进行调整的，本基金按照新规定执行，若由此需要对基金合同及招募说明书相应予以修改的，此项修改无需召开基金份额持有人大会。</w:t>
      </w:r>
    </w:p>
    <w:bookmarkEnd w:id="156"/>
    <w:p w14:paraId="72A1016E">
      <w:pPr>
        <w:sectPr>
          <w:footerReference r:id="rId14" w:type="default"/>
          <w:pgSz w:w="11906" w:h="16838"/>
          <w:pgMar w:top="1440" w:right="1800" w:bottom="1440" w:left="1800" w:header="851" w:footer="992" w:gutter="0"/>
          <w:pgNumType w:start="1"/>
          <w:cols w:space="425" w:num="1"/>
          <w:docGrid w:type="lines" w:linePitch="312" w:charSpace="0"/>
        </w:sectPr>
      </w:pPr>
    </w:p>
    <w:p w14:paraId="71DAF9E7">
      <w:pPr>
        <w:adjustRightInd w:val="0"/>
        <w:snapToGrid w:val="0"/>
        <w:spacing w:line="360" w:lineRule="auto"/>
        <w:ind w:firstLine="420" w:firstLineChars="200"/>
        <w:rPr>
          <w:rFonts w:ascii="Arial" w:hAnsi="Arial" w:cs="Arial"/>
          <w:szCs w:val="21"/>
        </w:rPr>
      </w:pPr>
      <w:bookmarkStart w:id="157" w:name="CLAUSE_c783c198b8fc4169b5e9d8f09e6b46d3"/>
    </w:p>
    <w:p w14:paraId="2A844144">
      <w:pPr>
        <w:pStyle w:val="2"/>
      </w:pPr>
      <w:bookmarkStart w:id="158" w:name="_Toc26617"/>
      <w:r>
        <w:rPr>
          <w:rFonts w:hint="eastAsia" w:cs="Arial"/>
        </w:rPr>
        <w:t>第八部分</w:t>
      </w:r>
      <w:r>
        <w:rPr>
          <w:rFonts w:hint="eastAsia"/>
        </w:rPr>
        <w:t xml:space="preserve"> 基金份额的申购与赎回</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8"/>
    </w:p>
    <w:p w14:paraId="0F1A76F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p>
    <w:p w14:paraId="46072635">
      <w:pPr>
        <w:spacing w:line="360" w:lineRule="auto"/>
        <w:ind w:firstLine="420" w:firstLineChars="200"/>
        <w:rPr>
          <w:rFonts w:ascii="宋体" w:hAnsi="宋体"/>
        </w:rPr>
      </w:pPr>
      <w:r>
        <w:rPr>
          <w:rFonts w:hint="eastAsia" w:ascii="宋体" w:hAnsi="宋体"/>
        </w:rPr>
        <w:t>在目前结算规则下，本基金采用现金申购、赎回的方式运作。未来在条件允许的情况下，基金管理人可以在场内开通现金申购、赎回以外的方式办理申购、赎回业务，</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或开通场外申购、赎回相关业务，</w:t>
      </w:r>
      <w:r>
        <w:rPr>
          <w:rFonts w:hint="eastAsia" w:ascii="宋体" w:hAnsi="宋体" w:cs="Arial"/>
          <w:bCs/>
        </w:rPr>
        <w:t>相应</w:t>
      </w:r>
      <w:r>
        <w:rPr>
          <w:rFonts w:hint="eastAsia" w:ascii="宋体" w:hAnsi="宋体"/>
        </w:rPr>
        <w:t>的业务规则、申购赎回原则等相关事项届时将另行约定并公告。</w:t>
      </w:r>
    </w:p>
    <w:p w14:paraId="6873FF0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一、申购和赎回场所</w:t>
      </w:r>
    </w:p>
    <w:p w14:paraId="2E94D59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本基金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应当在</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申购赎回代理券商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办理基金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业务的营业场所或按</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申购赎回代理券商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提供的其他方式办理</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本基金的申购和赎回。</w:t>
      </w:r>
    </w:p>
    <w:p w14:paraId="4D41403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在开始申购、赎回业务前公告申购赎回代理券商的名单，并可依据实际情况变更申购赎回代理券商，并在基金管理人网站公示。基金管理人在确定、变更申购赎回代理券商名单时，均应在公告之前报请上海证券交易所认可。</w:t>
      </w:r>
    </w:p>
    <w:p w14:paraId="00D11500">
      <w:pPr>
        <w:tabs>
          <w:tab w:val="left" w:pos="3780"/>
        </w:tabs>
        <w:autoSpaceDE w:val="0"/>
        <w:autoSpaceDN w:val="0"/>
        <w:adjustRightInd w:val="0"/>
        <w:snapToGrid w:val="0"/>
        <w:spacing w:line="360" w:lineRule="auto"/>
        <w:ind w:firstLine="420" w:firstLineChars="200"/>
        <w:textAlignment w:val="bottom"/>
        <w:rPr>
          <w:rFonts w:ascii="宋体" w:hAnsi="宋体"/>
          <w:kern w:val="0"/>
        </w:rPr>
      </w:pPr>
      <w:r>
        <w:rPr>
          <w:rFonts w:hint="eastAsia" w:ascii="宋体" w:hAnsi="宋体" w:cs="Arial"/>
          <w:kern w:val="0"/>
          <w:szCs w:val="21"/>
        </w:rPr>
        <w:t>在法律法规、</w:t>
      </w:r>
      <w:r>
        <w:rPr>
          <w:rFonts w:hint="eastAsia" w:ascii="宋体" w:hAnsi="宋体"/>
          <w:kern w:val="0"/>
        </w:rPr>
        <w:t>基金</w:t>
      </w:r>
      <w:r>
        <w:rPr>
          <w:rFonts w:hint="eastAsia" w:ascii="宋体" w:hAnsi="宋体" w:cs="Arial"/>
          <w:kern w:val="0"/>
          <w:szCs w:val="21"/>
        </w:rPr>
        <w:t>合同及未来条件允许</w:t>
      </w:r>
      <w:r>
        <w:rPr>
          <w:rFonts w:hint="eastAsia" w:ascii="宋体" w:hAnsi="宋体"/>
          <w:kern w:val="0"/>
        </w:rPr>
        <w:t>的</w:t>
      </w:r>
      <w:r>
        <w:rPr>
          <w:rFonts w:hint="eastAsia" w:ascii="宋体" w:hAnsi="宋体" w:cs="Arial"/>
          <w:kern w:val="0"/>
          <w:szCs w:val="21"/>
        </w:rPr>
        <w:t>情况下，基金管理人直销机构可以开通申购赎回业务，具体业务的办理时间及办理方式基金管理人将另行公告</w:t>
      </w:r>
      <w:r>
        <w:rPr>
          <w:rFonts w:hint="eastAsia" w:ascii="宋体" w:hAnsi="宋体"/>
          <w:kern w:val="0"/>
        </w:rPr>
        <w:t>。</w:t>
      </w:r>
    </w:p>
    <w:p w14:paraId="5092882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二、申购和赎回的开放日及时间</w:t>
      </w:r>
    </w:p>
    <w:p w14:paraId="2DF9980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、开放日及开放时间</w:t>
      </w:r>
    </w:p>
    <w:p w14:paraId="7085A6D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投资人在开放日办理基金份额的申购和赎回，具体办理时间为港股通、上海证券交易所同时正常开放交易的工作日，但基金管理人根据法律法规、中国证监会的要求或基金合同的规定公告暂停申购、赎回时除外。</w:t>
      </w:r>
    </w:p>
    <w:p w14:paraId="3F11324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合同生效后，若出现新的证券/期货交易市场、证券/期货交易所交易时间变更、港股通交易规则变更或其他特殊情况，基金管理人将视情况对前述开放日及开放时间进行相应的调整，但应在实施日前依照《信息披露办法》的有关规定在规定媒介上公告。</w:t>
      </w:r>
    </w:p>
    <w:p w14:paraId="4D64BCA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、申购、赎回开始日及业务办理时间</w:t>
      </w:r>
    </w:p>
    <w:p w14:paraId="523CED4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基金管理人可根据实际情况依法决定本基金开始办理申购的具体日期，具体业务办理时间在申购开始公告中规定。</w:t>
      </w:r>
    </w:p>
    <w:p w14:paraId="6F8BF3A9">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基金管理人自基金合同生效之日起不超过</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个月</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开始办理赎回，具体业务办理时间在赎回开始公告中规定。</w:t>
      </w:r>
    </w:p>
    <w:p w14:paraId="4029BF5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在确定申购开始与赎回开始时间后，基金管理人应在申购、赎回开放日前依照《信息披露办法》的有关规定在规定媒介上公告申购与赎回的开始时间。</w:t>
      </w:r>
    </w:p>
    <w:p w14:paraId="6C41587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三、申购与赎回的原则</w:t>
      </w:r>
    </w:p>
    <w:p w14:paraId="7EBE4F3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申购、份额赎回”原则，即申购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均</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以份额申请；</w:t>
      </w:r>
    </w:p>
    <w:p w14:paraId="18151A3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2、本基金申购、赎回的币种为人民币；基金管理人可以在不违反法律法规规定的情况下，增加其他币种的申购、赎回，其他币种申购、赎回的具体规则届时将另行公告；</w:t>
      </w:r>
    </w:p>
    <w:p w14:paraId="2F50DCAA">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3、本基金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对价包括现金替代、现金差额和/或其他对价；</w:t>
      </w:r>
    </w:p>
    <w:p w14:paraId="5A8A04D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4</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申请</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提交后不得</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撤销；</w:t>
      </w:r>
    </w:p>
    <w:p w14:paraId="39C16D9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5</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、申购、赎回应遵守《业务规则》及其他相关规定</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630E51A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6、办理申购、赎回业务时，应当遵循基金份额持有人利益优先原则，确保投资者的合法权益不受损害并得到公平对待。</w:t>
      </w:r>
    </w:p>
    <w:p w14:paraId="44B7391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基金管理人可在不违反法律法规规定的情况下，对上述原则进行调整。基金管理人必须在新规则开始实施前依照《信息披露办法》的有关规定在规定媒介上公告。</w:t>
      </w:r>
    </w:p>
    <w:p w14:paraId="12EBED4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四、申购与赎回的程序</w:t>
      </w:r>
    </w:p>
    <w:p w14:paraId="233967A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、申购和赎回的申请方式</w:t>
      </w:r>
    </w:p>
    <w:p w14:paraId="768D178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投资人必须根据</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申购、赎回代理券商或基金管理人</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规定的程序，在开放日的具体业务办理时间内提出申购或赎回的申请。</w:t>
      </w:r>
    </w:p>
    <w:p w14:paraId="2518C89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投资人交付申购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，申购成立；登记机构确认</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时，申购生效。</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投资人在提交</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赎回申请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时有足够的</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对价，则赎回申请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成立</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登记机构确认赎回时，赎回生效。</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投资人在提交申购申请时须按申购赎回清单的规定备足申购对价，投资人在提交赎回申请时须持有足够的基金份额余额和现金，否则所提交的申购、赎回申请不成立</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3CF59BFE">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、申购和赎回</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申请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的</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确认</w:t>
      </w:r>
    </w:p>
    <w:p w14:paraId="74411B84">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03B540E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赎回代理</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券商对申购、赎回申请的受理并不代表该申请一定成功，而仅代表</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赎回代理</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券商确实接收到该申请。申购、赎回的确认以登记机构的确认结果为准。对于申购、赎回申请的确认情况，投资人应及时查询并妥善行使合法权利。</w:t>
      </w:r>
    </w:p>
    <w:p w14:paraId="0CFE4CC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本基金基金份额申购申请、赎回申请的确认根据登记机构的相关规定办理，具体见本基金招募说明书。</w:t>
      </w:r>
    </w:p>
    <w:p w14:paraId="4A13F6B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、申购和赎回的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清算交收与登记</w:t>
      </w:r>
    </w:p>
    <w:p w14:paraId="21F810F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本基金的申购和赎回的清算交收与登记规则详见招募说明书规定。</w:t>
      </w:r>
    </w:p>
    <w:p w14:paraId="35638C7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者应按照本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w:t>
      </w:r>
    </w:p>
    <w:p w14:paraId="19E89D2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基金管理人、登记机构可在法律法规允许的范围内，对清算交收和登记的办理时间、方式进行调整，并最迟于开始实施日前按照《信息披露办法》的有关规定在</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中国证监会规定媒介公告。</w:t>
      </w:r>
    </w:p>
    <w:p w14:paraId="3C66FC7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4、</w:t>
      </w:r>
      <w:r>
        <w:rPr>
          <w:rFonts w:asciiTheme="minorEastAsia" w:hAnsiTheme="minorEastAsia"/>
          <w:color w:val="0D0D0D" w:themeColor="text1" w:themeTint="F2"/>
          <w:kern w:val="0"/>
          <w14:textFill>
            <w14:solidFill>
              <w14:schemeClr w14:val="tx1">
                <w14:lumMod w14:val="95000"/>
                <w14:lumOff w14:val="5000"/>
              </w14:schemeClr>
            </w14:solidFill>
          </w14:textFill>
        </w:rPr>
        <w:t>本基金获批后，若上海证券交易所和中国证券登记结算有限责任公司针对交易型开放式证券投资基金推出新的清算交收与登记模式并引入新的申购、赎回方式，</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在履行适当程序后，</w:t>
      </w:r>
      <w:r>
        <w:rPr>
          <w:rFonts w:asciiTheme="minorEastAsia" w:hAnsiTheme="minorEastAsia"/>
          <w:color w:val="0D0D0D" w:themeColor="text1" w:themeTint="F2"/>
          <w:kern w:val="0"/>
          <w14:textFill>
            <w14:solidFill>
              <w14:schemeClr w14:val="tx1">
                <w14:lumMod w14:val="95000"/>
                <w14:lumOff w14:val="5000"/>
              </w14:schemeClr>
            </w14:solidFill>
          </w14:textFill>
        </w:rPr>
        <w:t>本基金管理人</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有权调整本基金的清算交收与登记模式及申购、赎回方式，或新增本基金的清算交收与登记模式并引入新的申购、赎回方式，届时将发布公告予以披露并对本基金的基金合同和招募说明书予以更新，无需召开基金份额持有人大会审议。</w:t>
      </w:r>
    </w:p>
    <w:p w14:paraId="5290515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五、申购和赎回的数量限制</w:t>
      </w:r>
    </w:p>
    <w:p w14:paraId="411CA492">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需为最小申购、赎回单位的整数倍。最小申购、赎回单位由基金管理人确定和调整，详见本基金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招募说明书或相关公告。</w:t>
      </w:r>
    </w:p>
    <w:p w14:paraId="7545980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基金管理人可根据基金运作情况、市场变化以及投资者需求等因素对基金的最小申购赎回单位进行调整，并在调整实施前依照《信息披露办法》的有关规定在规定媒介公告。</w:t>
      </w:r>
    </w:p>
    <w:p w14:paraId="35F030B5">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、基金管理人可以规定</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当日申购</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及当日赎回份额上限</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，具体规定</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详见申购、赎回清单</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58FE7B3F">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3、基金管理人可以规定</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投资人每个交易账户的最低基金份额余额，具体规定请参见招募说明书或相关公告。</w:t>
      </w:r>
    </w:p>
    <w:p w14:paraId="79F52C3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、基金管理人可以规定</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单个投资人累计持有的基金份额上限，具体规定请参见招募说明书或相关公告。</w:t>
      </w:r>
    </w:p>
    <w:p w14:paraId="1349ABF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5</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、当接受申购申请对存量基金份额持有人利益构成潜在重大不利影响时，基金管理人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可以</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采取设定单一投资者申购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04481FA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6、基金管理人可</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根据市场情况，</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在不违反法律法规规定的情况下，调整上述规定数量</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或比例等</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限制。基金管理人必须在调整</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实施</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前依照《信息披露办法》的有关规定在规定媒介上公告</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（其中上述第</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3、4</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条基金管理人必须于前一交易日设定并在当日基金申购、赎回清单上公布，而不必在规定媒介上公告也无需报中国证监会备案）</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3996EB2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六、申购和赎回的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、费用</w:t>
      </w:r>
    </w:p>
    <w:p w14:paraId="691A897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、本基金份额净值的计算，保留到小数点后</w:t>
      </w:r>
      <w:r>
        <w:rPr>
          <w:rFonts w:asciiTheme="minorEastAsia" w:hAnsiTheme="minorEastAsia"/>
          <w:color w:val="0D0D0D" w:themeColor="text1" w:themeTint="F2"/>
          <w:kern w:val="0"/>
          <w14:textFill>
            <w14:solidFill>
              <w14:schemeClr w14:val="tx1">
                <w14:lumMod w14:val="95000"/>
                <w14:lumOff w14:val="5000"/>
              </w14:schemeClr>
            </w14:solidFill>
          </w14:textFill>
        </w:rPr>
        <w:t>4</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位，小数点后第</w:t>
      </w:r>
      <w:r>
        <w:rPr>
          <w:rFonts w:asciiTheme="minorEastAsia" w:hAnsiTheme="minorEastAsia"/>
          <w:color w:val="0D0D0D" w:themeColor="text1" w:themeTint="F2"/>
          <w:kern w:val="0"/>
          <w14:textFill>
            <w14:solidFill>
              <w14:schemeClr w14:val="tx1">
                <w14:lumMod w14:val="95000"/>
                <w14:lumOff w14:val="5000"/>
              </w14:schemeClr>
            </w14:solidFill>
          </w14:textFill>
        </w:rPr>
        <w:t>5</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位四舍五入，由此产生的收益或损失由基金财产承担。</w:t>
      </w:r>
      <w:r>
        <w:rPr>
          <w:rFonts w:asciiTheme="minorEastAsia" w:hAnsiTheme="minorEastAsia"/>
          <w:color w:val="0D0D0D" w:themeColor="text1" w:themeTint="F2"/>
          <w:kern w:val="0"/>
          <w14:textFill>
            <w14:solidFill>
              <w14:schemeClr w14:val="tx1">
                <w14:lumMod w14:val="95000"/>
                <w14:lumOff w14:val="5000"/>
              </w14:schemeClr>
            </w14:solidFill>
          </w14:textFill>
        </w:rPr>
        <w:t>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日的基金份额净值在当天收市后计算，并</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在T</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日内</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公告。遇特殊情况，经履行适当程序，可以适当延迟计算或公告。</w:t>
      </w:r>
    </w:p>
    <w:p w14:paraId="556E599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对价、赎回对价根据申购、赎回清单和投资者申购、赎回</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份额数额确定。申购对价是指投资人申购基金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时应交付的现金替代、现金差额和/或其他对价。赎回对价是指投资人赎回基金份额时，基金管理人应交付给投资人</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现金替代、现金差额和/或其他对价。</w:t>
      </w:r>
    </w:p>
    <w:p w14:paraId="5951D908">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、申购、赎回清单由基金管理人编制。</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T日的申购、赎回清单在当日</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上海证券交易所开市前公告。如遇特殊情况，可以适当延迟计算或公告。申购赎回清单的内容与格式</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详见招募说明书。</w:t>
      </w:r>
    </w:p>
    <w:p w14:paraId="79113BD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4、投资者在申购或赎回本基金时，申购赎回代理</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券商</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可按照一定标准收取佣金，其中包含证券交易所、登记机构等收取的相关费用，具体规定详见</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招募说明书。</w:t>
      </w:r>
    </w:p>
    <w:p w14:paraId="1377E61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5、</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基金管理人可以在</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不</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违反</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相关法律法规</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的情况下对基金份额净值、申购</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赎回</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清单计算</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和</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公告时间进行</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调整</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并提前</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公告。</w:t>
      </w:r>
    </w:p>
    <w:p w14:paraId="0354F6D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七、拒绝或暂停申购的情形</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及处理方式</w:t>
      </w:r>
    </w:p>
    <w:p w14:paraId="13A0552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发生下列情况时，基金管理人可拒绝或暂停接受投资人的申购申请：</w:t>
      </w:r>
    </w:p>
    <w:p w14:paraId="1F3C42E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bookmarkStart w:id="159" w:name="_Hlt70481650"/>
      <w:bookmarkEnd w:id="159"/>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、因不可抗力导致</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基金无法正常运作或</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管理人无法受理或办理基金份额持有人的申购申请；</w:t>
      </w:r>
    </w:p>
    <w:p w14:paraId="5F243536">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2、证券/</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期货交易所或外汇市场交易时间非正常停市，导致基金管理人无法计算当日基金资产净值或无法进行证券交易；</w:t>
      </w:r>
    </w:p>
    <w:p w14:paraId="25A9B26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、发生基金合同规定的暂停基金资产估值情况时</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31FCAFB0">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4、港股通每日额度不足；</w:t>
      </w:r>
    </w:p>
    <w:p w14:paraId="5A4EBE32">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5、港股通的业务规则发生重大变化时；</w:t>
      </w:r>
    </w:p>
    <w:p w14:paraId="73AECB14">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6、在发生标的指数成份股上市公司重大行为、成份股市场价格异常波动等异常情形时；</w:t>
      </w:r>
    </w:p>
    <w:p w14:paraId="545996C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7、接受某笔或某些申购申请可能会影响或损害现有基金份额持有人利益时</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7296495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8</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、申请超过基金管理人设定的基金总规模、单日净申购比例上限、单一投资者单日或单笔申购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上限的；</w:t>
      </w:r>
    </w:p>
    <w:p w14:paraId="4352DE8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9、当前一估值日基金资产净值50%以上的资产出现无可参考的活跃市场价格且采用估值技术仍导致公允价值存在重大不确定性时，经与基金托管人协商确认后，基金管理人应当暂停接受基金申购申请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3C823DB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10、</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法律法规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、上海证券交易所</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规定或中国证监会认定的其他情形。</w:t>
      </w:r>
    </w:p>
    <w:p w14:paraId="3625C3D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发生上述（第7、8条除外）暂停申购情形之一且基金管理人决定暂停接受投资人申购申请时，基金管理人应当根据有关规定在规定媒介上刊登暂停申购公告。如果投资人的申购申请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全部或部分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被拒绝，被拒绝的申购</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将退还给投资人。在暂停申购的情况消除时，基金管理人应及时恢复申购业务的办理。</w:t>
      </w:r>
    </w:p>
    <w:p w14:paraId="5510BE9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八、暂停赎回或延缓支付赎回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的情形</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及处理方式</w:t>
      </w:r>
    </w:p>
    <w:p w14:paraId="1F3A0D9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发生下列情形时，基金管理人可暂停接受投资人的赎回申请或延缓支付赎回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64ED48A5">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、因不可抗力导致基金管理人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无法受理或办理基金份额持有人的赎回申请；</w:t>
      </w:r>
    </w:p>
    <w:p w14:paraId="5447314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2、证券/</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期货交易所或外汇市场交易时间非正常停市，导致基金管理人无法计算当日基金资产</w:t>
      </w:r>
      <w:bookmarkStart w:id="160" w:name="_Hlt152500890"/>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净值或无法进行证券交易；</w:t>
      </w:r>
    </w:p>
    <w:p w14:paraId="5CB001B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、发生基金合同规定的暂停基金资产估值情况时</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177BDB34">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4、港股通的业务规则发生重大变化时；</w:t>
      </w:r>
    </w:p>
    <w:p w14:paraId="5E672AA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5、在发生标的指数成份股上市公司重大行为、成份股市场价格异常波动等异常情形时；</w:t>
      </w:r>
    </w:p>
    <w:p w14:paraId="3D5A55C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6、发生继续接受赎回申请将损害现有基金份额持有人利益的情形</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bookmarkEnd w:id="160"/>
    <w:p w14:paraId="5ABA116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7、本</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当日总赎回</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份额</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达到基金管理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所设定</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上限；</w:t>
      </w:r>
    </w:p>
    <w:p w14:paraId="7B349B2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8、当前一估值日基金资产净值50%以上的资产出现无可参考的活跃市场价格且采用估值技术仍导致公允价值存在重大不确定性时，经与基金托管人协商确认后，基金管理人应当延缓支付赎回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或暂停接受基金赎回申请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p>
    <w:p w14:paraId="735E6787">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9、法律法规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、上海证券交易所</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规定或中国证监会认定的其他情形。</w:t>
      </w:r>
    </w:p>
    <w:p w14:paraId="7E66FEE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发生上述情形之一且基金管理人决定暂停赎回或延缓支付赎回</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对价</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时，基金管理人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应按规定报</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中国证监会备案</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已</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接受</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的赎回申请，基金管理人应足额支付</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基金份额持有人在申请赎回时可事先选择将当日可能未获受理部分予以撤销</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，如暂时不能足额支付，未支付部分可延期支付。</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在暂停赎回的情况消除时，基金管理人应及时恢复赎回业务的办理并公告。</w:t>
      </w:r>
    </w:p>
    <w:p w14:paraId="631F9D9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九、</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基金份额折算</w:t>
      </w:r>
    </w:p>
    <w:p w14:paraId="55DB0BE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为提高交易便利或根据需要，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基金份额折算后，基金份额持有人将按照折算后的基金份额享有权利并承担义务。基金管理人应就其具体事宜进行必要公告，并提前通知基金托管人。 </w:t>
      </w:r>
    </w:p>
    <w:p w14:paraId="51FC5F3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十、基金份额拆分与合并 </w:t>
      </w:r>
    </w:p>
    <w:p w14:paraId="3C4F4065">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 xml:space="preserve">基金成立后，在法律法规规定的范围内，在基金管理人与基金托管人协商一致的情况下，本基金可实施基金份额拆分或合并。 </w:t>
      </w:r>
    </w:p>
    <w:p w14:paraId="14B26E9C">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拆分或合并是在保持现有基金份额持有人资产总值不变的前提下，改变基金份额净值和持有基金份额的对应关系，是重新列示基金资产的一种方式。基金份额拆分或合并对基金份额持有人的权益无实质性影响。</w:t>
      </w:r>
    </w:p>
    <w:p w14:paraId="6AF9CA45">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十一、基金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份额的转让</w:t>
      </w:r>
    </w:p>
    <w:p w14:paraId="5432C9C1">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在法律法规允许且条件具备的情况下，如对</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基金份额持有人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无实质性</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不利影响</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管理人经履行相关程序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038F05C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十二、基金的非交易过户</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、冻结、解冻等其他业务</w:t>
      </w:r>
    </w:p>
    <w:p w14:paraId="7F0021DB">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基金的登记机构可依据其业务规则，受理基金的非交易过户、冻结与解冻等业务，并收取一定的手续费用。</w:t>
      </w:r>
    </w:p>
    <w:p w14:paraId="15F3524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基金份额被冻结的，被冻结部分产生的权益一并冻结，被冻结部分份额仍然参与收益分配。法律法规或监管机构另有规定的除外。</w:t>
      </w:r>
    </w:p>
    <w:p w14:paraId="65536FC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十三、</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联接</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特殊申购</w:t>
      </w:r>
    </w:p>
    <w:p w14:paraId="4505304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若</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管理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推出以本</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为目标</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ETF</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联接</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，本基金可根据实际情况需要向本基金</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的</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联接基金开通特殊申购，不</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收取</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申购费用。具体见招募说明书</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06DEEEC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十四、</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其他</w:t>
      </w:r>
    </w:p>
    <w:p w14:paraId="58E690F9">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bookmarkStart w:id="161" w:name="_Toc6405"/>
      <w:bookmarkStart w:id="162" w:name="_Toc31235"/>
      <w:bookmarkStart w:id="163" w:name="_Toc123051453"/>
      <w:bookmarkStart w:id="164" w:name="_Toc141703887"/>
      <w:bookmarkStart w:id="165" w:name="_Toc123102454"/>
      <w:bookmarkStart w:id="166" w:name="_Toc31653"/>
      <w:bookmarkStart w:id="167" w:name="_Toc15143"/>
      <w:bookmarkStart w:id="168" w:name="_Toc12245"/>
      <w:bookmarkStart w:id="169" w:name="_Toc14835"/>
      <w:bookmarkStart w:id="170" w:name="_Toc123112235"/>
      <w:bookmarkStart w:id="171" w:name="_Toc26207"/>
      <w:bookmarkStart w:id="172" w:name="_Toc31644"/>
      <w:bookmarkStart w:id="173" w:name="_Toc139991737"/>
      <w:bookmarkStart w:id="174" w:name="_Toc98560353"/>
      <w:bookmarkStart w:id="175" w:name="_Toc16859"/>
      <w:bookmarkStart w:id="176" w:name="_Toc3601"/>
      <w:bookmarkStart w:id="177" w:name="_Toc29251"/>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1、在不违反法律法规且</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对基金份额持有人利益无实质性不利影响</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的情况下，经履行相关程序后，</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可开放集合申购。</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有权制定集合申购业务的相关规则。</w:t>
      </w:r>
    </w:p>
    <w:p w14:paraId="3451FA8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在条件允许</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时</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也可采取其他合理的申购方式，并于新的申购方式开始执行前予以</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公告。</w:t>
      </w:r>
    </w:p>
    <w:p w14:paraId="08F4357D">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2、基金管理人指定</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的代理机构可依据法律法规和本基金合同的规定开展其他服务，双方需签订书面委托代理协议。</w:t>
      </w:r>
    </w:p>
    <w:p w14:paraId="15C829B3">
      <w:pPr>
        <w:adjustRightInd w:val="0"/>
        <w:snapToGrid w:val="0"/>
        <w:spacing w:line="360" w:lineRule="auto"/>
        <w:ind w:firstLine="420" w:firstLineChars="200"/>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3</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、对于符合</w:t>
      </w:r>
      <w:r>
        <w:rPr>
          <w:rFonts w:hint="eastAsia" w:asciiTheme="minorEastAsia" w:hAnsiTheme="minorEastAsia" w:eastAsiaTheme="minorEastAsia"/>
          <w:color w:val="0D0D0D" w:themeColor="text1" w:themeTint="F2"/>
          <w:kern w:val="0"/>
          <w14:textFill>
            <w14:solidFill>
              <w14:schemeClr w14:val="tx1">
                <w14:lumMod w14:val="95000"/>
                <w14:lumOff w14:val="5000"/>
              </w14:schemeClr>
            </w14:solidFill>
          </w14:textFill>
        </w:rPr>
        <w:t>《特定机构投资者参与证券投资基金申购赎回业务指引》</w:t>
      </w:r>
      <w:r>
        <w:rPr>
          <w:rFonts w:asciiTheme="minorEastAsia" w:hAnsiTheme="minorEastAsia" w:eastAsiaTheme="minorEastAsia"/>
          <w:color w:val="0D0D0D" w:themeColor="text1" w:themeTint="F2"/>
          <w:kern w:val="0"/>
          <w14:textFill>
            <w14:solidFill>
              <w14:schemeClr w14:val="tx1">
                <w14:lumMod w14:val="95000"/>
                <w14:lumOff w14:val="5000"/>
              </w14:schemeClr>
            </w14:solidFill>
          </w14:textFill>
        </w:rPr>
        <w:t>要求的特定机构投资者，基金管理人可在不违反法律法规且对基金份额持有人利益无实质性不利影响的情况下，安排专门的申购方式，并于新的申购方式开始执行前另行公告。</w:t>
      </w:r>
    </w:p>
    <w:p w14:paraId="200DFD4C">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bookmarkEnd w:id="157"/>
    <w:p w14:paraId="39A2840D">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sectPr>
          <w:footerReference r:id="rId15" w:type="default"/>
          <w:pgSz w:w="11906" w:h="16838"/>
          <w:pgMar w:top="1440" w:right="1800" w:bottom="1440" w:left="1800" w:header="851" w:footer="992" w:gutter="0"/>
          <w:pgNumType w:start="1"/>
          <w:cols w:space="425" w:num="1"/>
          <w:docGrid w:type="lines" w:linePitch="312" w:charSpace="0"/>
        </w:sectPr>
      </w:pPr>
    </w:p>
    <w:p w14:paraId="0968A50A">
      <w:pPr>
        <w:pStyle w:val="2"/>
      </w:pPr>
      <w:bookmarkStart w:id="178" w:name="CTS_093627b63be94cfa9c14ce403e9127ec"/>
      <w:bookmarkEnd w:id="178"/>
      <w:bookmarkStart w:id="179" w:name="_Toc20401"/>
      <w:bookmarkStart w:id="180" w:name="CLAUSE_093627b63be94cfa9c14ce403e9127ec"/>
      <w:r>
        <w:rPr>
          <w:rFonts w:hint="eastAsia" w:cs="Arial"/>
        </w:rPr>
        <w:t>第九</w:t>
      </w:r>
      <w:r>
        <w:rPr>
          <w:rFonts w:hint="eastAsia"/>
        </w:rPr>
        <w:t>部分 基金合同当事人及权利义务</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9"/>
      <w:bookmarkStart w:id="181" w:name="_Hlt55355235"/>
      <w:bookmarkEnd w:id="181"/>
      <w:bookmarkStart w:id="182" w:name="_Toc523711668"/>
      <w:bookmarkStart w:id="183" w:name="_Toc57530239"/>
      <w:bookmarkStart w:id="184" w:name="_Toc15118234"/>
      <w:bookmarkStart w:id="185" w:name="_Toc79392580"/>
    </w:p>
    <w:p w14:paraId="0351794B">
      <w:pPr>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p>
    <w:p w14:paraId="065E09A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w:t>
      </w:r>
      <w:bookmarkEnd w:id="182"/>
      <w:r>
        <w:rPr>
          <w:rFonts w:hint="eastAsia" w:asciiTheme="minorEastAsia" w:hAnsiTheme="minorEastAsia"/>
          <w:color w:val="0D0D0D" w:themeColor="text1" w:themeTint="F2"/>
          <w14:textFill>
            <w14:solidFill>
              <w14:schemeClr w14:val="tx1">
                <w14:lumMod w14:val="95000"/>
                <w14:lumOff w14:val="5000"/>
              </w14:schemeClr>
            </w14:solidFill>
          </w14:textFill>
        </w:rPr>
        <w:t>管理人</w:t>
      </w:r>
      <w:bookmarkEnd w:id="183"/>
      <w:bookmarkEnd w:id="184"/>
      <w:bookmarkEnd w:id="185"/>
    </w:p>
    <w:p w14:paraId="398967D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86" w:name="_Toc15118235"/>
      <w:r>
        <w:rPr>
          <w:rFonts w:hint="eastAsia" w:asciiTheme="minorEastAsia" w:hAnsiTheme="minorEastAsia"/>
          <w:color w:val="0D0D0D" w:themeColor="text1" w:themeTint="F2"/>
          <w14:textFill>
            <w14:solidFill>
              <w14:schemeClr w14:val="tx1">
                <w14:lumMod w14:val="95000"/>
                <w14:lumOff w14:val="5000"/>
              </w14:schemeClr>
            </w14:solidFill>
          </w14:textFill>
        </w:rPr>
        <w:t>（一）</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基金管理人简况</w:t>
      </w:r>
      <w:bookmarkEnd w:id="186"/>
    </w:p>
    <w:p w14:paraId="6725C8C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87" w:name="_Toc15118236"/>
      <w:bookmarkStart w:id="188" w:name="_Toc15118237"/>
      <w:r>
        <w:rPr>
          <w:rFonts w:hint="eastAsia" w:asciiTheme="minorEastAsia" w:hAnsiTheme="minorEastAsia"/>
          <w:color w:val="0D0D0D" w:themeColor="text1" w:themeTint="F2"/>
          <w14:textFill>
            <w14:solidFill>
              <w14:schemeClr w14:val="tx1">
                <w14:lumMod w14:val="95000"/>
                <w14:lumOff w14:val="5000"/>
              </w14:schemeClr>
            </w14:solidFill>
          </w14:textFill>
        </w:rPr>
        <w:t>名称：</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博时基金管理有限公司</w:t>
      </w:r>
    </w:p>
    <w:p w14:paraId="1883724E">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住所：深圳市福田区莲花街道福新社区益田路5999号基金大厦21层</w:t>
      </w:r>
    </w:p>
    <w:p w14:paraId="3BFA861D">
      <w:pPr>
        <w:adjustRightInd w:val="0"/>
        <w:snapToGrid w:val="0"/>
        <w:spacing w:line="360" w:lineRule="auto"/>
        <w:ind w:firstLine="420" w:firstLineChars="200"/>
        <w:rPr>
          <w:rFonts w:hint="eastAsia" w:eastAsia="宋体" w:asciiTheme="minorEastAsia" w:hAnsiTheme="minorEastAsia"/>
          <w:color w:val="0D0D0D" w:themeColor="text1" w:themeTint="F2"/>
          <w:lang w:eastAsia="zh-CN"/>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法定代表人：</w:t>
      </w:r>
      <w:r>
        <w:rPr>
          <w:rFonts w:hint="eastAsia" w:ascii="宋体" w:hAnsi="宋体"/>
          <w:kern w:val="0"/>
          <w:szCs w:val="21"/>
          <w:lang w:eastAsia="zh-CN"/>
        </w:rPr>
        <w:t>张东</w:t>
      </w:r>
    </w:p>
    <w:p w14:paraId="141C677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设立日期：</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1998年7月13日</w:t>
      </w:r>
    </w:p>
    <w:p w14:paraId="1962FC9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批准设立机关及批准设立文号：中国证券监督管理委员会，</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中国证监会证监基字【1998】26号</w:t>
      </w:r>
    </w:p>
    <w:p w14:paraId="69C2A0B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组织形式：</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有限责任公司</w:t>
      </w:r>
    </w:p>
    <w:p w14:paraId="0F4BC57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注册资本：</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2.5亿元人民币</w:t>
      </w:r>
    </w:p>
    <w:p w14:paraId="28C7710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存续期限：</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持续经营</w:t>
      </w:r>
    </w:p>
    <w:p w14:paraId="106FBD7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联系电话：</w:t>
      </w:r>
      <w:r>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0755-83169999</w:t>
      </w:r>
    </w:p>
    <w:bookmarkEnd w:id="187"/>
    <w:p w14:paraId="459AB03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基金管理人的权利与义务</w:t>
      </w:r>
      <w:bookmarkEnd w:id="188"/>
    </w:p>
    <w:p w14:paraId="583EB15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、根据《基金法》、《运作办法》及其他有关规定，基金管理人的权利包括但不限于：</w:t>
      </w:r>
    </w:p>
    <w:p w14:paraId="7C399F7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）依法募集资金；</w:t>
      </w:r>
    </w:p>
    <w:p w14:paraId="5A87150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）自《基金合同》生效之日起，根据法律法规和《基金合同》独立运用并管理基金财产；</w:t>
      </w:r>
    </w:p>
    <w:p w14:paraId="119A168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）依照《基金合同》收取基金管理费以及法律法规规定或中国证监会批准的其他费用；</w:t>
      </w:r>
    </w:p>
    <w:p w14:paraId="2E641FF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）销售基金份额；</w:t>
      </w:r>
    </w:p>
    <w:p w14:paraId="3D27218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w:t>
      </w:r>
      <w:bookmarkStart w:id="189" w:name="_Hlt88896155"/>
      <w:r>
        <w:rPr>
          <w:rFonts w:hint="eastAsia" w:asciiTheme="minorEastAsia" w:hAnsiTheme="minorEastAsia"/>
          <w:color w:val="0D0D0D" w:themeColor="text1" w:themeTint="F2"/>
          <w14:textFill>
            <w14:solidFill>
              <w14:schemeClr w14:val="tx1">
                <w14:lumMod w14:val="95000"/>
                <w14:lumOff w14:val="5000"/>
              </w14:schemeClr>
            </w14:solidFill>
          </w14:textFill>
        </w:rPr>
        <w:t>按照规定召集</w:t>
      </w:r>
      <w:bookmarkEnd w:id="189"/>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w:t>
      </w:r>
    </w:p>
    <w:p w14:paraId="4BEC6E9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）依据《基金合同》及有关法律规定监督基金托管人，如认为基金托管人违反了《基金合同》及国家有关法律规定，应呈报中国证监会和其他监管部门，并采取必要措施保护基金投资者的利益；</w:t>
      </w:r>
    </w:p>
    <w:p w14:paraId="42C1F2C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）在基金托管人更换时，提名新的基金托管人；</w:t>
      </w:r>
    </w:p>
    <w:p w14:paraId="7F409AD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）选择、更换基金销售机构，对基金销售机构的相关行为进行监督和处理；</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p>
    <w:p w14:paraId="0D8E8D5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）担任或委托其他符合条件的机构担任基金登记机构办理基金登记业务并获得《基金合同》规定的费用；</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p>
    <w:p w14:paraId="33F817E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）依据《基金合同》及有关法律规定决定基金收益的分配方案；</w:t>
      </w:r>
      <w:r>
        <w:rPr>
          <w:rFonts w:asciiTheme="minorEastAsia" w:hAnsiTheme="minorEastAsia"/>
          <w:color w:val="0D0D0D" w:themeColor="text1" w:themeTint="F2"/>
          <w14:textFill>
            <w14:solidFill>
              <w14:schemeClr w14:val="tx1">
                <w14:lumMod w14:val="95000"/>
                <w14:lumOff w14:val="5000"/>
              </w14:schemeClr>
            </w14:solidFill>
          </w14:textFill>
        </w:rPr>
        <w:tab/>
      </w:r>
    </w:p>
    <w:p w14:paraId="23C118E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）在《基金合同》约定的范围内，拒绝或暂停受理申购与赎回申请；</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p>
    <w:p w14:paraId="37735AD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）依照法律法规为基金的利益对被投资公司行使股东权利，为基金的利益行使因基金财产投资于证券所产生的权利；</w:t>
      </w:r>
    </w:p>
    <w:p w14:paraId="1BE214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13</w:t>
      </w:r>
      <w:r>
        <w:rPr>
          <w:rFonts w:hint="eastAsia" w:asciiTheme="minorEastAsia" w:hAnsiTheme="minorEastAsia"/>
          <w:color w:val="0D0D0D" w:themeColor="text1" w:themeTint="F2"/>
          <w14:textFill>
            <w14:solidFill>
              <w14:schemeClr w14:val="tx1">
                <w14:lumMod w14:val="95000"/>
                <w14:lumOff w14:val="5000"/>
              </w14:schemeClr>
            </w14:solidFill>
          </w14:textFill>
        </w:rPr>
        <w:t>）在法律法规允许的前提下，为基金的利益依法为基金进行融资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和转融通证券出借业务；</w:t>
      </w:r>
    </w:p>
    <w:p w14:paraId="13F9A75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）以基金管理人的名义，代表基金份额持有人的利益行使诉讼权利或者实施其他法律行为；</w:t>
      </w:r>
      <w:r>
        <w:rPr>
          <w:rFonts w:asciiTheme="minorEastAsia" w:hAnsiTheme="minorEastAsia"/>
          <w:color w:val="0D0D0D" w:themeColor="text1" w:themeTint="F2"/>
          <w14:textFill>
            <w14:solidFill>
              <w14:schemeClr w14:val="tx1">
                <w14:lumMod w14:val="95000"/>
                <w14:lumOff w14:val="5000"/>
              </w14:schemeClr>
            </w14:solidFill>
          </w14:textFill>
        </w:rPr>
        <w:tab/>
      </w:r>
    </w:p>
    <w:p w14:paraId="2EE0157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15</w:t>
      </w:r>
      <w:r>
        <w:rPr>
          <w:rFonts w:hint="eastAsia" w:asciiTheme="minorEastAsia" w:hAnsiTheme="minorEastAsia"/>
          <w:color w:val="0D0D0D" w:themeColor="text1" w:themeTint="F2"/>
          <w14:textFill>
            <w14:solidFill>
              <w14:schemeClr w14:val="tx1">
                <w14:lumMod w14:val="95000"/>
                <w14:lumOff w14:val="5000"/>
              </w14:schemeClr>
            </w14:solidFill>
          </w14:textFill>
        </w:rPr>
        <w:t>）选择、更换律师事务所、会计师事务所、</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证券、期货经纪商</w:t>
      </w:r>
      <w:r>
        <w:rPr>
          <w:rFonts w:hint="eastAsia" w:asciiTheme="minorEastAsia" w:hAnsiTheme="minorEastAsia"/>
          <w:color w:val="0D0D0D" w:themeColor="text1" w:themeTint="F2"/>
          <w14:textFill>
            <w14:solidFill>
              <w14:schemeClr w14:val="tx1">
                <w14:lumMod w14:val="95000"/>
                <w14:lumOff w14:val="5000"/>
              </w14:schemeClr>
            </w14:solidFill>
          </w14:textFill>
        </w:rPr>
        <w:t>或其他为基金提供服务的外部机构；</w:t>
      </w:r>
      <w:r>
        <w:rPr>
          <w:rFonts w:asciiTheme="minorEastAsia" w:hAnsiTheme="minorEastAsia"/>
          <w:color w:val="0D0D0D" w:themeColor="text1" w:themeTint="F2"/>
          <w14:textFill>
            <w14:solidFill>
              <w14:schemeClr w14:val="tx1">
                <w14:lumMod w14:val="95000"/>
                <w14:lumOff w14:val="5000"/>
              </w14:schemeClr>
            </w14:solidFill>
          </w14:textFill>
        </w:rPr>
        <w:tab/>
      </w:r>
    </w:p>
    <w:p w14:paraId="71AC5CB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16</w:t>
      </w:r>
      <w:r>
        <w:rPr>
          <w:rFonts w:hint="eastAsia" w:asciiTheme="minorEastAsia" w:hAnsiTheme="minorEastAsia"/>
          <w:color w:val="0D0D0D" w:themeColor="text1" w:themeTint="F2"/>
          <w14:textFill>
            <w14:solidFill>
              <w14:schemeClr w14:val="tx1">
                <w14:lumMod w14:val="95000"/>
                <w14:lumOff w14:val="5000"/>
              </w14:schemeClr>
            </w14:solidFill>
          </w14:textFill>
        </w:rPr>
        <w:t>）在符合有关法律、法规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、相关证券交易所及登记机构相关业务规则的规定及基金合同</w:t>
      </w:r>
      <w:r>
        <w:rPr>
          <w:rFonts w:hint="eastAsia" w:asciiTheme="minorEastAsia" w:hAnsiTheme="minorEastAsia"/>
          <w:color w:val="0D0D0D" w:themeColor="text1" w:themeTint="F2"/>
          <w14:textFill>
            <w14:solidFill>
              <w14:schemeClr w14:val="tx1">
                <w14:lumMod w14:val="95000"/>
                <w14:lumOff w14:val="5000"/>
              </w14:schemeClr>
            </w14:solidFill>
          </w14:textFill>
        </w:rPr>
        <w:t>的前提下，制订和调整有关基金认购、申购、赎回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等</w:t>
      </w:r>
      <w:r>
        <w:rPr>
          <w:rFonts w:hint="eastAsia" w:asciiTheme="minorEastAsia" w:hAnsiTheme="minorEastAsia"/>
          <w:color w:val="0D0D0D" w:themeColor="text1" w:themeTint="F2"/>
          <w14:textFill>
            <w14:solidFill>
              <w14:schemeClr w14:val="tx1">
                <w14:lumMod w14:val="95000"/>
                <w14:lumOff w14:val="5000"/>
              </w14:schemeClr>
            </w14:solidFill>
          </w14:textFill>
        </w:rPr>
        <w:t>业务规则；</w:t>
      </w:r>
    </w:p>
    <w:p w14:paraId="765254C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（17）</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法律法规及中国证监会规定的和《基金合同》约定的其他权利。</w:t>
      </w:r>
    </w:p>
    <w:p w14:paraId="665A4A3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、根据《基金法》、《运作办法》及其他有关规定，基金管理人的义务包括但不限于：</w:t>
      </w:r>
    </w:p>
    <w:p w14:paraId="24BBD1E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90" w:name="_Toc523711669"/>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）依法募集资金，办理或者委托经中国证监会认定的其他机构代为办理基金份额的发售、申购、赎回和登记事宜；</w:t>
      </w:r>
    </w:p>
    <w:p w14:paraId="5DAA2AF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）办理基金备案手续；</w:t>
      </w:r>
    </w:p>
    <w:p w14:paraId="0395930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）自《基金合同》生效之日起</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以诚实信用、谨慎勤勉的原则管理和运用基金财产；</w:t>
      </w:r>
    </w:p>
    <w:p w14:paraId="5A58CB7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）配备足够的具有专业资格的人员进行基金投资分析、决策，以专业化的经营方式管理和运作基金财产；</w:t>
      </w:r>
    </w:p>
    <w:p w14:paraId="5F0B774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）建立健全内部风险控制、监察与稽核、财务管理及人事管理等制度，保证所管理的基金财产和基金管理人的财产相互独立</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对所管理的不同基金分别管理，分别记账，进行证券投资；</w:t>
      </w:r>
    </w:p>
    <w:p w14:paraId="327FC12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）除依据《基金法》、《基金合同》及其他有关规定外</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不得利用基金财产为自己及任何第三人谋取利益，不得委托第三人运作基金财产；</w:t>
      </w:r>
      <w:bookmarkStart w:id="191" w:name="_Hlt88897298"/>
      <w:bookmarkEnd w:id="191"/>
    </w:p>
    <w:p w14:paraId="1BC3466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）依法接受基金托管人的监督；</w:t>
      </w:r>
    </w:p>
    <w:p w14:paraId="5DDE9BD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）采取适当合理的措施使计算基金份额认购</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价格</w:t>
      </w:r>
      <w:r>
        <w:rPr>
          <w:rFonts w:hint="eastAsia" w:asciiTheme="minorEastAsia" w:hAnsiTheme="minorEastAsia"/>
          <w:color w:val="0D0D0D" w:themeColor="text1" w:themeTint="F2"/>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的方法符合《基金合同》等法律文件的规定，按有关规定计算并公告基金净值信息，确定基金份额申购、赎回</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对价，编制申购赎回清单</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532483E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）进行基金会计核算并编制基金财务会计报告；</w:t>
      </w:r>
    </w:p>
    <w:p w14:paraId="002C312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）编制季度报告、中期报告和年度报告；</w:t>
      </w:r>
    </w:p>
    <w:p w14:paraId="3A434C1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）严格按照《基金法》、《基金合同》及其他有关规定，履行信息披露及报告义务；</w:t>
      </w:r>
    </w:p>
    <w:p w14:paraId="0D052A2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保守基金商业秘密，不泄露基金投资计划、投资意向等。除《基金法》、《基金合同》及其他有关规定另有规定外，在基金信息公开披露前应予保密，不向他人泄露，向审计、法律等外部专业顾问提供的情况除外；</w:t>
      </w:r>
    </w:p>
    <w:p w14:paraId="78FBC3A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13</w:t>
      </w:r>
      <w:r>
        <w:rPr>
          <w:rFonts w:hint="eastAsia" w:asciiTheme="minorEastAsia" w:hAnsiTheme="minorEastAsia"/>
          <w:color w:val="0D0D0D" w:themeColor="text1" w:themeTint="F2"/>
          <w14:textFill>
            <w14:solidFill>
              <w14:schemeClr w14:val="tx1">
                <w14:lumMod w14:val="95000"/>
                <w14:lumOff w14:val="5000"/>
              </w14:schemeClr>
            </w14:solidFill>
          </w14:textFill>
        </w:rPr>
        <w:t>）按《基金合同》的约定确定基金收益分配方案，及时向基金份额持有人分配基金收益；</w:t>
      </w:r>
    </w:p>
    <w:p w14:paraId="087392D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）按规定受理申购与赎回申请，及时、足额支付赎回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1EA8C9C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15</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）依据《基金法》、《基金合同》及其他有关规定召集基金份额持有人大会或配合基金托管人、基金份额持有人依法召集基金份额持有人大会；</w:t>
      </w:r>
    </w:p>
    <w:p w14:paraId="56F22EA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16</w:t>
      </w:r>
      <w:r>
        <w:rPr>
          <w:rFonts w:hint="eastAsia" w:asciiTheme="minorEastAsia" w:hAnsiTheme="minorEastAsia"/>
          <w:color w:val="0D0D0D" w:themeColor="text1" w:themeTint="F2"/>
          <w14:textFill>
            <w14:solidFill>
              <w14:schemeClr w14:val="tx1">
                <w14:lumMod w14:val="95000"/>
                <w14:lumOff w14:val="5000"/>
              </w14:schemeClr>
            </w14:solidFill>
          </w14:textFill>
        </w:rPr>
        <w:t>）按规定保存基金财产管理业务活动的会计账册、报表、记录和其他相关资料，保存期限不低于法律法规规定；</w:t>
      </w:r>
    </w:p>
    <w:p w14:paraId="46407BE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17</w:t>
      </w:r>
      <w:r>
        <w:rPr>
          <w:rFonts w:hint="eastAsia" w:asciiTheme="minorEastAsia" w:hAnsiTheme="minorEastAsia"/>
          <w:color w:val="0D0D0D" w:themeColor="text1" w:themeTint="F2"/>
          <w14:textFill>
            <w14:solidFill>
              <w14:schemeClr w14:val="tx1">
                <w14:lumMod w14:val="95000"/>
                <w14:lumOff w14:val="5000"/>
              </w14:schemeClr>
            </w14:solidFill>
          </w14:textFill>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314F664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18</w:t>
      </w:r>
      <w:r>
        <w:rPr>
          <w:rFonts w:hint="eastAsia" w:asciiTheme="minorEastAsia" w:hAnsiTheme="minorEastAsia"/>
          <w:color w:val="0D0D0D" w:themeColor="text1" w:themeTint="F2"/>
          <w14:textFill>
            <w14:solidFill>
              <w14:schemeClr w14:val="tx1">
                <w14:lumMod w14:val="95000"/>
                <w14:lumOff w14:val="5000"/>
              </w14:schemeClr>
            </w14:solidFill>
          </w14:textFill>
        </w:rPr>
        <w:t>）组织并参加基金财产清算小组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参与基金财产的保管、清理、估价、变现和分配；</w:t>
      </w:r>
    </w:p>
    <w:p w14:paraId="1D48B4A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19</w:t>
      </w:r>
      <w:r>
        <w:rPr>
          <w:rFonts w:hint="eastAsia" w:asciiTheme="minorEastAsia" w:hAnsiTheme="minorEastAsia"/>
          <w:color w:val="0D0D0D" w:themeColor="text1" w:themeTint="F2"/>
          <w14:textFill>
            <w14:solidFill>
              <w14:schemeClr w14:val="tx1">
                <w14:lumMod w14:val="95000"/>
                <w14:lumOff w14:val="5000"/>
              </w14:schemeClr>
            </w14:solidFill>
          </w14:textFill>
        </w:rPr>
        <w:t>）面临解散、依法被撤销或者被依法宣告破产时，及时报告中国证监会并通知基金托管人；</w:t>
      </w:r>
    </w:p>
    <w:p w14:paraId="2DE48C0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）因违反《基金合同》导致基金财产的损失或损害基金份额持有人合法权益时，应当承担赔偿责任，其赔偿责任不因其退任而免除；</w:t>
      </w:r>
    </w:p>
    <w:p w14:paraId="2003E25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21</w:t>
      </w:r>
      <w:r>
        <w:rPr>
          <w:rFonts w:hint="eastAsia" w:asciiTheme="minorEastAsia" w:hAnsiTheme="minorEastAsia"/>
          <w:color w:val="0D0D0D" w:themeColor="text1" w:themeTint="F2"/>
          <w14:textFill>
            <w14:solidFill>
              <w14:schemeClr w14:val="tx1">
                <w14:lumMod w14:val="95000"/>
                <w14:lumOff w14:val="5000"/>
              </w14:schemeClr>
            </w14:solidFill>
          </w14:textFill>
        </w:rPr>
        <w:t>）监督基金托管人按法律法规和《基金合同》规定履行自己的义务，基金托管人违反《基金合同》造成基金财产损失时，基金管理人应为基金份额持有人利益向基金托管人追偿；</w:t>
      </w:r>
    </w:p>
    <w:p w14:paraId="0B36793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22</w:t>
      </w:r>
      <w:r>
        <w:rPr>
          <w:rFonts w:hint="eastAsia" w:asciiTheme="minorEastAsia" w:hAnsiTheme="minorEastAsia"/>
          <w:color w:val="0D0D0D" w:themeColor="text1" w:themeTint="F2"/>
          <w14:textFill>
            <w14:solidFill>
              <w14:schemeClr w14:val="tx1">
                <w14:lumMod w14:val="95000"/>
                <w14:lumOff w14:val="5000"/>
              </w14:schemeClr>
            </w14:solidFill>
          </w14:textFill>
        </w:rPr>
        <w:t>）当基金管理人将其义务委托第三方处理时，应当对第三方处理有关基金事务的行为承担责任；</w:t>
      </w:r>
    </w:p>
    <w:p w14:paraId="11568EA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23</w:t>
      </w:r>
      <w:r>
        <w:rPr>
          <w:rFonts w:hint="eastAsia" w:asciiTheme="minorEastAsia" w:hAnsiTheme="minorEastAsia"/>
          <w:color w:val="0D0D0D" w:themeColor="text1" w:themeTint="F2"/>
          <w14:textFill>
            <w14:solidFill>
              <w14:schemeClr w14:val="tx1">
                <w14:lumMod w14:val="95000"/>
                <w14:lumOff w14:val="5000"/>
              </w14:schemeClr>
            </w14:solidFill>
          </w14:textFill>
        </w:rPr>
        <w:t>）以基金管理人名义，代表基金份额持有人利益行使诉讼权利或实施其他法律行为；</w:t>
      </w:r>
    </w:p>
    <w:p w14:paraId="2B734AB8">
      <w:pPr>
        <w:snapToGrid w:val="0"/>
        <w:spacing w:line="360" w:lineRule="auto"/>
        <w:ind w:firstLine="420" w:firstLineChars="200"/>
        <w:rPr>
          <w:rFonts w:asciiTheme="minorEastAsia" w:hAnsiTheme="minorEastAsia"/>
        </w:rPr>
      </w:pPr>
      <w:r>
        <w:rPr>
          <w:rFonts w:hint="eastAsia" w:asciiTheme="minorEastAsia" w:hAnsiTheme="minorEastAsia"/>
        </w:rPr>
        <w:t>（24）基金在募集期间未能达到基金</w:t>
      </w:r>
      <w:bookmarkStart w:id="192" w:name="_Hlt88823209"/>
      <w:bookmarkEnd w:id="192"/>
      <w:r>
        <w:rPr>
          <w:rFonts w:hint="eastAsia" w:asciiTheme="minorEastAsia" w:hAnsiTheme="minorEastAsia"/>
        </w:rPr>
        <w:t>的备案条件，《基金合同》不能生效，基金管理人承担全部募集费用，将已募集资金并加计银行同期</w:t>
      </w:r>
      <w:r>
        <w:rPr>
          <w:rFonts w:hint="eastAsia" w:asciiTheme="minorEastAsia" w:hAnsiTheme="minorEastAsia" w:eastAsiaTheme="minorEastAsia"/>
          <w:szCs w:val="21"/>
        </w:rPr>
        <w:t>活期存款</w:t>
      </w:r>
      <w:r>
        <w:rPr>
          <w:rFonts w:hint="eastAsia" w:asciiTheme="minorEastAsia" w:hAnsiTheme="minorEastAsia"/>
        </w:rPr>
        <w:t>利息在基金募集期结束后</w:t>
      </w:r>
      <w:r>
        <w:rPr>
          <w:rFonts w:asciiTheme="minorEastAsia" w:hAnsiTheme="minorEastAsia"/>
        </w:rPr>
        <w:t>30</w:t>
      </w:r>
      <w:r>
        <w:rPr>
          <w:rFonts w:hint="eastAsia" w:asciiTheme="minorEastAsia" w:hAnsiTheme="minorEastAsia"/>
        </w:rPr>
        <w:t>日内退还基金认购人；</w:t>
      </w:r>
    </w:p>
    <w:p w14:paraId="699E233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25</w:t>
      </w:r>
      <w:r>
        <w:rPr>
          <w:rFonts w:hint="eastAsia" w:asciiTheme="minorEastAsia" w:hAnsiTheme="minorEastAsia"/>
          <w:color w:val="0D0D0D" w:themeColor="text1" w:themeTint="F2"/>
          <w14:textFill>
            <w14:solidFill>
              <w14:schemeClr w14:val="tx1">
                <w14:lumMod w14:val="95000"/>
                <w14:lumOff w14:val="5000"/>
              </w14:schemeClr>
            </w14:solidFill>
          </w14:textFill>
        </w:rPr>
        <w:t>）执行生效的基金份额持有人大会的决议；</w:t>
      </w:r>
    </w:p>
    <w:p w14:paraId="4F69576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26</w:t>
      </w:r>
      <w:r>
        <w:rPr>
          <w:rFonts w:hint="eastAsia" w:asciiTheme="minorEastAsia" w:hAnsiTheme="minorEastAsia"/>
          <w:color w:val="0D0D0D" w:themeColor="text1" w:themeTint="F2"/>
          <w14:textFill>
            <w14:solidFill>
              <w14:schemeClr w14:val="tx1">
                <w14:lumMod w14:val="95000"/>
                <w14:lumOff w14:val="5000"/>
              </w14:schemeClr>
            </w14:solidFill>
          </w14:textFill>
        </w:rPr>
        <w:t>）建立并保存基金份额持有人名册；</w:t>
      </w:r>
    </w:p>
    <w:p w14:paraId="5F30153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27</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）法律法规及中国证监会规定的和《基金合同》约定的其他义务。</w:t>
      </w:r>
    </w:p>
    <w:p w14:paraId="469C9A1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93" w:name="_Toc57530240"/>
      <w:bookmarkStart w:id="194" w:name="_Toc79392581"/>
      <w:bookmarkStart w:id="195" w:name="_Toc15118238"/>
      <w:r>
        <w:rPr>
          <w:rFonts w:hint="eastAsia" w:asciiTheme="minorEastAsia" w:hAnsiTheme="minorEastAsia"/>
          <w:color w:val="0D0D0D" w:themeColor="text1" w:themeTint="F2"/>
          <w14:textFill>
            <w14:solidFill>
              <w14:schemeClr w14:val="tx1">
                <w14:lumMod w14:val="95000"/>
                <w14:lumOff w14:val="5000"/>
              </w14:schemeClr>
            </w14:solidFill>
          </w14:textFill>
        </w:rPr>
        <w:t>二、基金托管人</w:t>
      </w:r>
      <w:bookmarkEnd w:id="190"/>
      <w:bookmarkEnd w:id="193"/>
      <w:bookmarkEnd w:id="194"/>
      <w:bookmarkEnd w:id="195"/>
    </w:p>
    <w:p w14:paraId="734031E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96" w:name="_Toc15118239"/>
      <w:r>
        <w:rPr>
          <w:rFonts w:hint="eastAsia" w:asciiTheme="minorEastAsia" w:hAnsiTheme="minorEastAsia"/>
          <w:color w:val="0D0D0D" w:themeColor="text1" w:themeTint="F2"/>
          <w14:textFill>
            <w14:solidFill>
              <w14:schemeClr w14:val="tx1">
                <w14:lumMod w14:val="95000"/>
                <w14:lumOff w14:val="5000"/>
              </w14:schemeClr>
            </w14:solidFill>
          </w14:textFill>
        </w:rPr>
        <w:t>（一）</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基金托管人简况</w:t>
      </w:r>
      <w:bookmarkEnd w:id="196"/>
    </w:p>
    <w:p w14:paraId="6601598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97" w:name="_Toc15118240"/>
      <w:r>
        <w:rPr>
          <w:rFonts w:hint="eastAsia" w:asciiTheme="minorEastAsia" w:hAnsiTheme="minorEastAsia"/>
          <w:color w:val="0D0D0D" w:themeColor="text1" w:themeTint="F2"/>
          <w14:textFill>
            <w14:solidFill>
              <w14:schemeClr w14:val="tx1">
                <w14:lumMod w14:val="95000"/>
                <w14:lumOff w14:val="5000"/>
              </w14:schemeClr>
            </w14:solidFill>
          </w14:textFill>
        </w:rPr>
        <w:t>名称：广发银行股份有限公司</w:t>
      </w:r>
    </w:p>
    <w:p w14:paraId="105E4B60">
      <w:pPr>
        <w:spacing w:line="360" w:lineRule="auto"/>
        <w:ind w:firstLine="42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住所：</w:t>
      </w:r>
      <w:r>
        <w:rPr>
          <w:rFonts w:hint="eastAsia" w:ascii="宋体" w:hAnsi="宋体" w:cs="宋体"/>
          <w:szCs w:val="21"/>
          <w:highlight w:val="white"/>
        </w:rPr>
        <w:t>广州市越秀区东风东路713号</w:t>
      </w:r>
    </w:p>
    <w:p w14:paraId="70B0119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法定代表人：</w:t>
      </w:r>
      <w:r>
        <w:rPr>
          <w:rFonts w:hint="eastAsia" w:ascii="宋体" w:hAnsi="宋体" w:cs="宋体"/>
          <w:szCs w:val="21"/>
          <w:highlight w:val="white"/>
        </w:rPr>
        <w:t>王凯</w:t>
      </w:r>
    </w:p>
    <w:p w14:paraId="7A07AB3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成立时间：</w:t>
      </w:r>
      <w:r>
        <w:rPr>
          <w:rFonts w:hint="eastAsia" w:ascii="宋体" w:hAnsi="宋体" w:cs="宋体"/>
          <w:szCs w:val="21"/>
          <w:highlight w:val="white"/>
        </w:rPr>
        <w:t>1988年7月8日</w:t>
      </w:r>
    </w:p>
    <w:p w14:paraId="7E7D45D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组织形式：股份有限公司</w:t>
      </w:r>
    </w:p>
    <w:p w14:paraId="343ED49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注册资本：</w:t>
      </w:r>
      <w:r>
        <w:rPr>
          <w:rFonts w:hint="eastAsia" w:ascii="宋体" w:hAnsi="宋体" w:cs="宋体"/>
          <w:szCs w:val="21"/>
        </w:rPr>
        <w:t>217</w:t>
      </w:r>
      <w:r>
        <w:rPr>
          <w:rFonts w:hint="default" w:ascii="宋体" w:hAnsi="宋体" w:cs="宋体"/>
          <w:szCs w:val="21"/>
          <w:lang w:val="en-US"/>
        </w:rPr>
        <w:t>.9</w:t>
      </w:r>
      <w:r>
        <w:rPr>
          <w:rFonts w:hint="eastAsia" w:ascii="宋体" w:hAnsi="宋体" w:cs="宋体"/>
          <w:szCs w:val="21"/>
        </w:rPr>
        <w:t>亿人民币</w:t>
      </w:r>
    </w:p>
    <w:p w14:paraId="2C8481B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存续期限：持续经营</w:t>
      </w:r>
    </w:p>
    <w:p w14:paraId="03E7E6F4">
      <w:pPr>
        <w:spacing w:line="360" w:lineRule="auto"/>
        <w:ind w:firstLine="420"/>
        <w:rPr>
          <w:rFonts w:ascii="宋体" w:hAnsi="宋体" w:cs="宋体"/>
          <w:szCs w:val="21"/>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基金托管资格批准机关及批准文号：中国证券监督管理委员会,</w:t>
      </w:r>
      <w:r>
        <w:rPr>
          <w:rFonts w:hint="eastAsia" w:ascii="宋体" w:hAnsi="宋体" w:cs="宋体"/>
          <w:szCs w:val="21"/>
          <w:highlight w:val="white"/>
        </w:rPr>
        <w:t>证监许可[2009]363号</w:t>
      </w:r>
    </w:p>
    <w:p w14:paraId="79FD815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基金托管人的权利与义务</w:t>
      </w:r>
      <w:bookmarkEnd w:id="197"/>
    </w:p>
    <w:p w14:paraId="7694116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、根据《基金法》、《运作办法》及其他有关规定，基金托管人的权利包括但不限于：</w:t>
      </w:r>
    </w:p>
    <w:p w14:paraId="0500A2B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）自《基金合同》生效之日起，依法律法规和《基金合同》的规定安全保管基金财产；</w:t>
      </w:r>
    </w:p>
    <w:p w14:paraId="525D33A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）依《基金合同》约定获得基金托管费以及法律法规规定或监管部门批准的其他费用；</w:t>
      </w:r>
    </w:p>
    <w:p w14:paraId="7A05454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57E210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）根据相关市场规则，为基金开设</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资金账户、</w:t>
      </w:r>
      <w:r>
        <w:rPr>
          <w:rFonts w:hint="eastAsia" w:asciiTheme="minorEastAsia" w:hAnsiTheme="minorEastAsia"/>
          <w:color w:val="0D0D0D" w:themeColor="text1" w:themeTint="F2"/>
          <w14:textFill>
            <w14:solidFill>
              <w14:schemeClr w14:val="tx1">
                <w14:lumMod w14:val="95000"/>
                <w14:lumOff w14:val="5000"/>
              </w14:schemeClr>
            </w14:solidFill>
          </w14:textFill>
        </w:rPr>
        <w:t>证券账户等投资所需账户</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为基金办理证券交易资金清算</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p>
    <w:p w14:paraId="5BB9853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）提议召开或召集基金份额持有人大会；</w:t>
      </w:r>
    </w:p>
    <w:p w14:paraId="5936E7F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）在基金管理人更换时，提名新的基金管理人；</w:t>
      </w:r>
    </w:p>
    <w:p w14:paraId="0A3BDE0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）法律法规及中国证监会规定的和《基金合同》约定的其他权利。</w:t>
      </w:r>
    </w:p>
    <w:p w14:paraId="584FA1C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、根据《基金法》、《运作办法》及其他有关规定，基金托管人的义务包括但不限于：</w:t>
      </w:r>
    </w:p>
    <w:p w14:paraId="68A7880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）以诚实信用、勤勉尽责的原则持有并安全保管基金财产；</w:t>
      </w:r>
    </w:p>
    <w:p w14:paraId="634AA5A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）设立专门的基金托管部门，具有符合要求的营业场所，配备足够的、合格的熟悉基金托管业务的专职人员，负责基金财产托管事宜；</w:t>
      </w:r>
    </w:p>
    <w:p w14:paraId="1174F4E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964C7A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）除依据《基金法》、《基金合同》及其他有关规定外，不得利用基金财产为自己及任何第三人谋取利益，不得委托第三人托管基金财产；</w:t>
      </w:r>
    </w:p>
    <w:p w14:paraId="7C5729B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）保管由基金管理人代表基金签订的与基金有关的重大合同及有关凭证；</w:t>
      </w:r>
    </w:p>
    <w:p w14:paraId="1B9129F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）按规定开设基金财产的资金账户和证券账户等投资所需账户</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按照《基金合同》的约定，根据基金管理人的投资指令，及时办理清算、交割事宜；</w:t>
      </w:r>
    </w:p>
    <w:p w14:paraId="57E6269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）保守基金商业秘密，除《基金法》、《基金合同》及其他有关规定另有规定外，在基金信息公开披露前予以保密，不得向他人泄露，向审计、法律等外部专业顾问提供的情况除外；</w:t>
      </w:r>
    </w:p>
    <w:p w14:paraId="1FC7574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）复核、审查基金管理人计算的基金资产净值、基金份额净值、基金份额申购、赎回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对价</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763F568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）办理与基金托管业务活动有关的信息披露事项；</w:t>
      </w:r>
    </w:p>
    <w:p w14:paraId="2846BA9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1F8BFB1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）保存基金托管业务活动的记录、账册、报表和其他相关资料20年以上，法律法规或监管规则另有规定的从其规定；</w:t>
      </w:r>
    </w:p>
    <w:p w14:paraId="328CBBE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）从基金管理人或其委托的登记机构处接收并保存基金份额持有人名册；</w:t>
      </w:r>
    </w:p>
    <w:p w14:paraId="547EE5F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13</w:t>
      </w:r>
      <w:r>
        <w:rPr>
          <w:rFonts w:hint="eastAsia" w:asciiTheme="minorEastAsia" w:hAnsiTheme="minorEastAsia"/>
          <w:color w:val="0D0D0D" w:themeColor="text1" w:themeTint="F2"/>
          <w14:textFill>
            <w14:solidFill>
              <w14:schemeClr w14:val="tx1">
                <w14:lumMod w14:val="95000"/>
                <w14:lumOff w14:val="5000"/>
              </w14:schemeClr>
            </w14:solidFill>
          </w14:textFill>
        </w:rPr>
        <w:t>）按规定制作相关账册并与基金管理人核对；</w:t>
      </w:r>
    </w:p>
    <w:p w14:paraId="328139A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）依据基金管理人的指令或有关规定向基金份额持有人支付基金收益和赎回</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对价的现金部分</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05864EB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15</w:t>
      </w:r>
      <w:r>
        <w:rPr>
          <w:rFonts w:hint="eastAsia" w:asciiTheme="minorEastAsia" w:hAnsiTheme="minorEastAsia"/>
          <w:color w:val="0D0D0D" w:themeColor="text1" w:themeTint="F2"/>
          <w14:textFill>
            <w14:solidFill>
              <w14:schemeClr w14:val="tx1">
                <w14:lumMod w14:val="95000"/>
                <w14:lumOff w14:val="5000"/>
              </w14:schemeClr>
            </w14:solidFill>
          </w14:textFill>
        </w:rPr>
        <w:t>）依据《基金法》、《基金合同》及其他有关规定，召集基金份额持有人大会或配合基金</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管理人、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color w:val="0D0D0D" w:themeColor="text1" w:themeTint="F2"/>
          <w14:textFill>
            <w14:solidFill>
              <w14:schemeClr w14:val="tx1">
                <w14:lumMod w14:val="95000"/>
                <w14:lumOff w14:val="5000"/>
              </w14:schemeClr>
            </w14:solidFill>
          </w14:textFill>
        </w:rPr>
        <w:t>份额持有人依法召集基金份额持有人大会；</w:t>
      </w:r>
    </w:p>
    <w:p w14:paraId="5230887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16</w:t>
      </w:r>
      <w:r>
        <w:rPr>
          <w:rFonts w:hint="eastAsia" w:asciiTheme="minorEastAsia" w:hAnsiTheme="minorEastAsia"/>
          <w:color w:val="0D0D0D" w:themeColor="text1" w:themeTint="F2"/>
          <w14:textFill>
            <w14:solidFill>
              <w14:schemeClr w14:val="tx1">
                <w14:lumMod w14:val="95000"/>
                <w14:lumOff w14:val="5000"/>
              </w14:schemeClr>
            </w14:solidFill>
          </w14:textFill>
        </w:rPr>
        <w:t>）按照法律法规和《基金合同》和托管协议的规定监督基金管理人的投资运作；</w:t>
      </w:r>
    </w:p>
    <w:p w14:paraId="6B75C5C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17</w:t>
      </w:r>
      <w:r>
        <w:rPr>
          <w:rFonts w:hint="eastAsia" w:asciiTheme="minorEastAsia" w:hAnsiTheme="minorEastAsia"/>
          <w:color w:val="0D0D0D" w:themeColor="text1" w:themeTint="F2"/>
          <w14:textFill>
            <w14:solidFill>
              <w14:schemeClr w14:val="tx1">
                <w14:lumMod w14:val="95000"/>
                <w14:lumOff w14:val="5000"/>
              </w14:schemeClr>
            </w14:solidFill>
          </w14:textFill>
        </w:rPr>
        <w:t>）参加基金财产清算小组，参与基金财产的保管、清理、估价、变现和分配；</w:t>
      </w:r>
    </w:p>
    <w:p w14:paraId="4C29A7B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18</w:t>
      </w:r>
      <w:r>
        <w:rPr>
          <w:rFonts w:hint="eastAsia" w:asciiTheme="minorEastAsia" w:hAnsiTheme="minorEastAsia"/>
          <w:color w:val="0D0D0D" w:themeColor="text1" w:themeTint="F2"/>
          <w14:textFill>
            <w14:solidFill>
              <w14:schemeClr w14:val="tx1">
                <w14:lumMod w14:val="95000"/>
                <w14:lumOff w14:val="5000"/>
              </w14:schemeClr>
            </w14:solidFill>
          </w14:textFill>
        </w:rPr>
        <w:t>）面临解散、依法被撤销或者被依法宣告破产时，及时报告中国证监会和银行业监督管理机构，并通知基金托管人；</w:t>
      </w:r>
    </w:p>
    <w:p w14:paraId="0013EDD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19</w:t>
      </w:r>
      <w:r>
        <w:rPr>
          <w:rFonts w:hint="eastAsia" w:asciiTheme="minorEastAsia" w:hAnsiTheme="minorEastAsia"/>
          <w:color w:val="0D0D0D" w:themeColor="text1" w:themeTint="F2"/>
          <w14:textFill>
            <w14:solidFill>
              <w14:schemeClr w14:val="tx1">
                <w14:lumMod w14:val="95000"/>
                <w14:lumOff w14:val="5000"/>
              </w14:schemeClr>
            </w14:solidFill>
          </w14:textFill>
        </w:rPr>
        <w:t>）因违反《基金合同》导致基金财产损失时，应承担赔偿责任，其赔偿责任不因其退任而免除；</w:t>
      </w:r>
    </w:p>
    <w:p w14:paraId="20B9BE6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20</w:t>
      </w:r>
      <w:r>
        <w:rPr>
          <w:rFonts w:hint="eastAsia" w:asciiTheme="minorEastAsia" w:hAnsiTheme="minorEastAsia"/>
          <w:color w:val="0D0D0D" w:themeColor="text1" w:themeTint="F2"/>
          <w14:textFill>
            <w14:solidFill>
              <w14:schemeClr w14:val="tx1">
                <w14:lumMod w14:val="95000"/>
                <w14:lumOff w14:val="5000"/>
              </w14:schemeClr>
            </w14:solidFill>
          </w14:textFill>
        </w:rPr>
        <w:t>）按规定监督基金管理人按法律法规和《基金合同》规定履行自己的义务，基金管理人因违反《基金合同》造成基金财产损失时，应为基金份额持有人利益向基金管理人追偿</w:t>
      </w:r>
      <w:bookmarkStart w:id="198" w:name="_Hlt88825668"/>
      <w:bookmarkEnd w:id="198"/>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0D50177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21</w:t>
      </w:r>
      <w:r>
        <w:rPr>
          <w:rFonts w:hint="eastAsia" w:asciiTheme="minorEastAsia" w:hAnsiTheme="minorEastAsia"/>
          <w:color w:val="0D0D0D" w:themeColor="text1" w:themeTint="F2"/>
          <w14:textFill>
            <w14:solidFill>
              <w14:schemeClr w14:val="tx1">
                <w14:lumMod w14:val="95000"/>
                <w14:lumOff w14:val="5000"/>
              </w14:schemeClr>
            </w14:solidFill>
          </w14:textFill>
        </w:rPr>
        <w:t>）执行生效的基金份额持有人大会的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决议</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1271799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22</w:t>
      </w:r>
      <w:r>
        <w:rPr>
          <w:rFonts w:hint="eastAsia" w:asciiTheme="minorEastAsia" w:hAnsiTheme="minorEastAsia"/>
          <w:color w:val="0D0D0D" w:themeColor="text1" w:themeTint="F2"/>
          <w14:textFill>
            <w14:solidFill>
              <w14:schemeClr w14:val="tx1">
                <w14:lumMod w14:val="95000"/>
                <w14:lumOff w14:val="5000"/>
              </w14:schemeClr>
            </w14:solidFill>
          </w14:textFill>
        </w:rPr>
        <w:t>）</w:t>
      </w:r>
      <w:bookmarkStart w:id="199" w:name="_Toc523711670"/>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法律法规及中国证监会规定的和《基金合同》约定的其他义务。</w:t>
      </w:r>
    </w:p>
    <w:bookmarkEnd w:id="199"/>
    <w:p w14:paraId="31A4F3E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00" w:name="_Toc79392582"/>
      <w:r>
        <w:rPr>
          <w:rFonts w:hint="eastAsia" w:asciiTheme="minorEastAsia" w:hAnsiTheme="minorEastAsia"/>
          <w:color w:val="0D0D0D" w:themeColor="text1" w:themeTint="F2"/>
          <w14:textFill>
            <w14:solidFill>
              <w14:schemeClr w14:val="tx1">
                <w14:lumMod w14:val="95000"/>
                <w14:lumOff w14:val="5000"/>
              </w14:schemeClr>
            </w14:solidFill>
          </w14:textFill>
        </w:rPr>
        <w:t>三、基金份额持有人</w:t>
      </w:r>
      <w:bookmarkEnd w:id="200"/>
    </w:p>
    <w:p w14:paraId="65E089A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基金投资者持有本基金</w:t>
      </w:r>
      <w:bookmarkStart w:id="201" w:name="_Hlt88899909"/>
      <w:bookmarkEnd w:id="201"/>
      <w:r>
        <w:rPr>
          <w:rFonts w:hint="eastAsia" w:asciiTheme="minorEastAsia" w:hAnsiTheme="minorEastAsia"/>
          <w:color w:val="0D0D0D" w:themeColor="text1" w:themeTint="F2"/>
          <w14:textFill>
            <w14:solidFill>
              <w14:schemeClr w14:val="tx1">
                <w14:lumMod w14:val="95000"/>
                <w14:lumOff w14:val="5000"/>
              </w14:schemeClr>
            </w14:solidFill>
          </w14:textFill>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5511FE7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每份基金份额具有同等的合法权益。</w:t>
      </w:r>
    </w:p>
    <w:p w14:paraId="2AB4767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、根据《基金法》、《运作办法》及其他有关规定，基金份额持有人的权利包括但不限于：</w:t>
      </w:r>
    </w:p>
    <w:p w14:paraId="6B27538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）分享基金财产收益；</w:t>
      </w:r>
    </w:p>
    <w:p w14:paraId="6B006FE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）参与分配清算后的剩余基金财产；</w:t>
      </w:r>
      <w:bookmarkStart w:id="202" w:name="_Hlt88825574"/>
      <w:bookmarkEnd w:id="202"/>
    </w:p>
    <w:p w14:paraId="1533DD6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）依法转让或者申请赎回其持有的基金份额；</w:t>
      </w:r>
    </w:p>
    <w:p w14:paraId="47859AD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）按照规定要求召开基金份额持有人大会或者召集基金份额持有人大会；</w:t>
      </w:r>
    </w:p>
    <w:p w14:paraId="77F6B3B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）出席或者委派代表出席基金份额持有人大会，对基金份额持有人大会审议事项行使表决权；</w:t>
      </w:r>
    </w:p>
    <w:p w14:paraId="7D63E81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）查阅或者复制公开披露的基金信息资料；</w:t>
      </w:r>
    </w:p>
    <w:p w14:paraId="053127F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）监督基金管理人的投资运作；</w:t>
      </w:r>
    </w:p>
    <w:p w14:paraId="3FB493C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）对基金管理人、基金托管人、基金服务机构损害其合法权益的行为依法提起诉讼或仲裁；</w:t>
      </w:r>
    </w:p>
    <w:p w14:paraId="38F5D3E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）法律法规及中国证监会规定的和《基金合同》约定的其他权利。</w:t>
      </w:r>
    </w:p>
    <w:p w14:paraId="47E3597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、根据《基金法》、《运作办法》及其他有关规定，基金份额持有人的义务包括但不限于：</w:t>
      </w:r>
    </w:p>
    <w:p w14:paraId="294F4C1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）认真阅读并遵守《基金合同》</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招募说明书及基金产品资料概要等信息披露文件</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0C94DE7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）了解所投资基金产品，了解自身风险承受能力，自主判断基金的投资价值，自主做出投资决策，自行承担投资风险；</w:t>
      </w:r>
    </w:p>
    <w:p w14:paraId="53DE72E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）关注基金信息披露，及时行使权利和履行义务；</w:t>
      </w:r>
    </w:p>
    <w:p w14:paraId="2C982448">
      <w:pPr>
        <w:adjustRightInd w:val="0"/>
        <w:snapToGrid w:val="0"/>
        <w:spacing w:line="360" w:lineRule="auto"/>
        <w:ind w:firstLine="420" w:firstLineChars="200"/>
        <w:rPr>
          <w:rFonts w:asciiTheme="minorEastAsia" w:hAnsiTheme="minorEastAsia"/>
        </w:rPr>
      </w:pPr>
      <w:r>
        <w:rPr>
          <w:rFonts w:hint="eastAsia" w:asciiTheme="minorEastAsia" w:hAnsiTheme="minorEastAsia"/>
        </w:rPr>
        <w:t>（4）交纳基金认购</w:t>
      </w:r>
      <w:r>
        <w:rPr>
          <w:rFonts w:hint="eastAsia" w:asciiTheme="minorEastAsia" w:hAnsiTheme="minorEastAsia" w:eastAsiaTheme="minorEastAsia"/>
        </w:rPr>
        <w:t>款项</w:t>
      </w:r>
      <w:r>
        <w:rPr>
          <w:rFonts w:hint="eastAsia" w:asciiTheme="minorEastAsia" w:hAnsiTheme="minorEastAsia"/>
        </w:rPr>
        <w:t>、申购</w:t>
      </w:r>
      <w:r>
        <w:rPr>
          <w:rFonts w:hint="eastAsia" w:asciiTheme="minorEastAsia" w:hAnsiTheme="minorEastAsia" w:eastAsiaTheme="minorEastAsia"/>
        </w:rPr>
        <w:t>对价</w:t>
      </w:r>
      <w:r>
        <w:rPr>
          <w:rFonts w:hint="eastAsia" w:asciiTheme="minorEastAsia" w:hAnsiTheme="minorEastAsia"/>
        </w:rPr>
        <w:t>及法律法规和《基金合同》所规定的费用；</w:t>
      </w:r>
    </w:p>
    <w:p w14:paraId="2494C45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）在其持有的基金份额范围内，承担基金亏损或者《基金合同》终止的有限责任；</w:t>
      </w:r>
    </w:p>
    <w:p w14:paraId="70E4E81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）不从事任何有损基金及其他《基金合同》当事人合法权益的活动；</w:t>
      </w:r>
    </w:p>
    <w:p w14:paraId="7376672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）执行生效的基金份额持有人大会的</w:t>
      </w: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决议</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08DA072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）返还在基金交易过程中因任何原因获得的不当得利；</w:t>
      </w:r>
    </w:p>
    <w:p w14:paraId="5F06C38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）法律法规及中国证监会规定的和《基金合同》约定的其他义务。</w:t>
      </w:r>
    </w:p>
    <w:p w14:paraId="48806F19">
      <w:pPr>
        <w:adjustRightInd w:val="0"/>
        <w:snapToGrid w:val="0"/>
        <w:spacing w:line="360" w:lineRule="auto"/>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203" w:name="_Toc4559"/>
      <w:bookmarkStart w:id="204" w:name="_Toc11030"/>
      <w:bookmarkStart w:id="205" w:name="_Toc123102455"/>
      <w:bookmarkStart w:id="206" w:name="_Toc10650"/>
      <w:bookmarkStart w:id="207" w:name="_Toc7058"/>
      <w:bookmarkStart w:id="208" w:name="_Toc3321"/>
      <w:bookmarkStart w:id="209" w:name="_Toc25783"/>
      <w:bookmarkStart w:id="210" w:name="_Toc141703888"/>
      <w:bookmarkStart w:id="211" w:name="_Toc79392583"/>
      <w:bookmarkStart w:id="212" w:name="_Toc139991738"/>
      <w:bookmarkStart w:id="213" w:name="_Toc6447"/>
      <w:bookmarkStart w:id="214" w:name="_Toc9706"/>
      <w:bookmarkStart w:id="215" w:name="_Toc18567"/>
      <w:bookmarkStart w:id="216" w:name="_Toc20768"/>
      <w:bookmarkStart w:id="217" w:name="_Toc123112236"/>
      <w:bookmarkStart w:id="218" w:name="_Toc123051454"/>
      <w:bookmarkStart w:id="219" w:name="_Toc98560354"/>
      <w:bookmarkStart w:id="220" w:name="_Toc3771"/>
    </w:p>
    <w:p w14:paraId="645D653A">
      <w:pPr>
        <w:pStyle w:val="2"/>
        <w:sectPr>
          <w:footerReference r:id="rId16" w:type="default"/>
          <w:pgSz w:w="11906" w:h="16838"/>
          <w:pgMar w:top="1440" w:right="1800" w:bottom="1440" w:left="1800" w:header="851" w:footer="992" w:gutter="0"/>
          <w:pgNumType w:start="1"/>
          <w:cols w:space="425" w:num="1"/>
          <w:docGrid w:type="lines" w:linePitch="312" w:charSpace="0"/>
        </w:sectPr>
      </w:pPr>
      <w:bookmarkStart w:id="221" w:name="_Hlt130956763"/>
      <w:bookmarkStart w:id="222" w:name="_Toc90742692"/>
      <w:bookmarkStart w:id="223" w:name="_Toc90742394"/>
      <w:bookmarkStart w:id="224" w:name="_Toc90742325"/>
    </w:p>
    <w:bookmarkEnd w:id="180"/>
    <w:bookmarkEnd w:id="221"/>
    <w:p w14:paraId="38367069">
      <w:pPr>
        <w:pStyle w:val="2"/>
      </w:pPr>
      <w:bookmarkStart w:id="225" w:name="CTS_396dce3acb8e42dbb1f5b80666a7a5a0"/>
      <w:bookmarkEnd w:id="225"/>
      <w:bookmarkStart w:id="226" w:name="_Toc340"/>
      <w:bookmarkStart w:id="227" w:name="CLAUSE_396dce3acb8e42dbb1f5b80666a7a5a0"/>
      <w:r>
        <w:rPr>
          <w:rFonts w:hint="eastAsia" w:cs="Arial"/>
        </w:rPr>
        <w:t>第十部分</w:t>
      </w:r>
      <w:r>
        <w:rPr>
          <w:rFonts w:hint="eastAsia"/>
        </w:rPr>
        <w:t xml:space="preserve"> 基金份额持有人大会</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2"/>
      <w:bookmarkEnd w:id="223"/>
      <w:bookmarkEnd w:id="224"/>
      <w:bookmarkEnd w:id="226"/>
    </w:p>
    <w:p w14:paraId="018D3505">
      <w:pPr>
        <w:tabs>
          <w:tab w:val="left" w:pos="1080"/>
        </w:tabs>
        <w:adjustRightInd w:val="0"/>
        <w:snapToGrid w:val="0"/>
        <w:spacing w:line="360" w:lineRule="auto"/>
        <w:ind w:left="993" w:leftChars="199" w:hanging="575" w:hangingChars="274"/>
        <w:rPr>
          <w:rFonts w:asciiTheme="minorEastAsia" w:hAnsiTheme="minorEastAsia"/>
          <w:color w:val="0D0D0D" w:themeColor="text1" w:themeTint="F2"/>
          <w14:textFill>
            <w14:solidFill>
              <w14:schemeClr w14:val="tx1">
                <w14:lumMod w14:val="95000"/>
                <w14:lumOff w14:val="5000"/>
              </w14:schemeClr>
            </w14:solidFill>
          </w14:textFill>
        </w:rPr>
      </w:pPr>
    </w:p>
    <w:p w14:paraId="2D42586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基金份额持有人大会由基金份额持有人组成，基金份额持有人的合法授权代表有权代表基金份额持有人出席会议并表决。基金份额持有人持有的每一基金份额拥有平等的投票权。</w:t>
      </w:r>
    </w:p>
    <w:p w14:paraId="0997645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228" w:name="_Toc57530243"/>
      <w:bookmarkStart w:id="229" w:name="_Toc79392584"/>
      <w:bookmarkStart w:id="230" w:name="_Toc15641220"/>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若以本基金为目标E</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TF</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0879C62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2FADF54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57F07C7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本基金份额持有人大会不设日常机构。</w:t>
      </w:r>
    </w:p>
    <w:p w14:paraId="0304350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法律法规或监管机构对基金份额持有人大会另有规定的，从其规定。</w:t>
      </w:r>
    </w:p>
    <w:p w14:paraId="7D9D30F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一、召开事由</w:t>
      </w:r>
      <w:bookmarkEnd w:id="228"/>
      <w:bookmarkEnd w:id="229"/>
      <w:bookmarkEnd w:id="230"/>
    </w:p>
    <w:p w14:paraId="5D38051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除法律法规、中国证监会和基金合同另有规定外，</w:t>
      </w:r>
      <w:r>
        <w:rPr>
          <w:rFonts w:hint="eastAsia" w:asciiTheme="minorEastAsia" w:hAnsiTheme="minorEastAsia"/>
          <w:color w:val="0D0D0D" w:themeColor="text1" w:themeTint="F2"/>
          <w14:textFill>
            <w14:solidFill>
              <w14:schemeClr w14:val="tx1">
                <w14:lumMod w14:val="95000"/>
                <w14:lumOff w14:val="5000"/>
              </w14:schemeClr>
            </w14:solidFill>
          </w14:textFill>
        </w:rPr>
        <w:t>当出现或需要决定下列事由之一的，应当召开基金份额持有人大会：</w:t>
      </w:r>
    </w:p>
    <w:p w14:paraId="152F152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）终止《基金合同》；</w:t>
      </w:r>
    </w:p>
    <w:p w14:paraId="5D26060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）更换基金管理人；</w:t>
      </w:r>
    </w:p>
    <w:p w14:paraId="7CB8876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）更换基金托管人；</w:t>
      </w:r>
    </w:p>
    <w:p w14:paraId="6B307FF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）转换基金运作方式；</w:t>
      </w:r>
    </w:p>
    <w:p w14:paraId="615A4EE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调整</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基金管理人、基金托管人的报酬标准；</w:t>
      </w:r>
    </w:p>
    <w:p w14:paraId="0239D2C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）变更基金类别；</w:t>
      </w:r>
    </w:p>
    <w:p w14:paraId="078ADAB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）本基金与其他基金的合并；</w:t>
      </w:r>
    </w:p>
    <w:p w14:paraId="090F216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）变更基金投资目标、范围或策略；</w:t>
      </w:r>
    </w:p>
    <w:p w14:paraId="788F6F0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）变更基金份额持有人大会程序；</w:t>
      </w:r>
    </w:p>
    <w:p w14:paraId="3205C6B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）基金管理人或基金托管人要求召开基金份额持有人大会；</w:t>
      </w:r>
    </w:p>
    <w:p w14:paraId="4F0FC6D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）单独或合计持有本基金总份额</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）基金份额的基金份额持有人（以基金管理人收到提议当日的基金份额计算，下同）就同一事项书面要求召开基金份额持有人大会；</w:t>
      </w:r>
    </w:p>
    <w:p w14:paraId="4D63F09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）对基金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合同</w:t>
      </w:r>
      <w:r>
        <w:rPr>
          <w:rFonts w:hint="eastAsia" w:asciiTheme="minorEastAsia" w:hAnsiTheme="minorEastAsia"/>
          <w:color w:val="0D0D0D" w:themeColor="text1" w:themeTint="F2"/>
          <w14:textFill>
            <w14:solidFill>
              <w14:schemeClr w14:val="tx1">
                <w14:lumMod w14:val="95000"/>
                <w14:lumOff w14:val="5000"/>
              </w14:schemeClr>
            </w14:solidFill>
          </w14:textFill>
        </w:rPr>
        <w:t>当事人权利和义务产生重大影响的其他事项；</w:t>
      </w:r>
    </w:p>
    <w:p w14:paraId="2964F1E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（13）终止基金上市，但因基金不再具备上市条件而被上海证券交易所终止上市的除外；</w:t>
      </w:r>
    </w:p>
    <w:p w14:paraId="6DFD07F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）法律法规、《基金合同》或中国证监会规定的其他应当召开基金份额持有人大会的事项。</w:t>
      </w:r>
    </w:p>
    <w:p w14:paraId="535AB33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、在法律法规规定和《基金合同》约定的范围内且对基金份额持有人利益无实质性不利影响的前提下，以下情况可由基金管理人和基金托管人协商后修改，不需召开基金份额持有人大会：</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 </w:t>
      </w:r>
    </w:p>
    <w:p w14:paraId="7A5FA4E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）法律法规要求增加的基金费用的收取；</w:t>
      </w:r>
    </w:p>
    <w:p w14:paraId="53AB82F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调整本基金的申购费率、变更收费方式或调整基金份额类别设置、对基金份额分类办法及规则进行调整；</w:t>
      </w:r>
    </w:p>
    <w:p w14:paraId="3871B4B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因相应的法律法规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、上海证券交易所或者登记机构的相关业务规则</w:t>
      </w:r>
      <w:r>
        <w:rPr>
          <w:rFonts w:hint="eastAsia" w:asciiTheme="minorEastAsia" w:hAnsiTheme="minorEastAsia"/>
          <w:color w:val="0D0D0D" w:themeColor="text1" w:themeTint="F2"/>
          <w14:textFill>
            <w14:solidFill>
              <w14:schemeClr w14:val="tx1">
                <w14:lumMod w14:val="95000"/>
                <w14:lumOff w14:val="5000"/>
              </w14:schemeClr>
            </w14:solidFill>
          </w14:textFill>
        </w:rPr>
        <w:t>发生变动而应当对《基金合同》进行修改；</w:t>
      </w:r>
    </w:p>
    <w:p w14:paraId="598C1C3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）对《基金合同》的修改对基金份额持有人利益无实质性不利影响或修改不涉及《基金合同》当事人权利义务关系发生</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重大</w:t>
      </w:r>
      <w:r>
        <w:rPr>
          <w:rFonts w:hint="eastAsia" w:asciiTheme="minorEastAsia" w:hAnsiTheme="minorEastAsia"/>
          <w:color w:val="0D0D0D" w:themeColor="text1" w:themeTint="F2"/>
          <w14:textFill>
            <w14:solidFill>
              <w14:schemeClr w14:val="tx1">
                <w14:lumMod w14:val="95000"/>
                <w14:lumOff w14:val="5000"/>
              </w14:schemeClr>
            </w14:solidFill>
          </w14:textFill>
        </w:rPr>
        <w:t>变化；</w:t>
      </w:r>
    </w:p>
    <w:p w14:paraId="4DD8634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（5）基金管理人、相关证券交易所和登记机构等调整有关基金申购、赎回、交易、转托管、非交易过户等业务的规则；</w:t>
      </w:r>
    </w:p>
    <w:p w14:paraId="7E823EA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（6）经履行相关程序后，基金推出新业务或服务；</w:t>
      </w:r>
    </w:p>
    <w:p w14:paraId="01FD05F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（7）在不违反法律法规的情况下，本基金的联接基金采取其他方式参与本基金的申购赎回；</w:t>
      </w:r>
    </w:p>
    <w:p w14:paraId="4977F21D">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（8）调整基金的申购赎回方式及申购对价、赎回对价组成；调整申购赎回清单的内容，调整申购赎回清单计算和公告时间或频率；</w:t>
      </w:r>
    </w:p>
    <w:p w14:paraId="6812F94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lang w:val="en-US" w:eastAsia="zh-CN"/>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）按照法律法规和《基金合同》规定不需召开基金份额持有人大会的其他情形。</w:t>
      </w:r>
    </w:p>
    <w:p w14:paraId="2F924F6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31" w:name="_Toc15641221"/>
      <w:bookmarkStart w:id="232" w:name="_Toc57530244"/>
      <w:bookmarkStart w:id="233" w:name="_Toc79392585"/>
      <w:r>
        <w:rPr>
          <w:rFonts w:hint="eastAsia" w:asciiTheme="minorEastAsia" w:hAnsiTheme="minorEastAsia"/>
          <w:color w:val="0D0D0D" w:themeColor="text1" w:themeTint="F2"/>
          <w14:textFill>
            <w14:solidFill>
              <w14:schemeClr w14:val="tx1">
                <w14:lumMod w14:val="95000"/>
                <w14:lumOff w14:val="5000"/>
              </w14:schemeClr>
            </w14:solidFill>
          </w14:textFill>
        </w:rPr>
        <w:t>二、会议召集人及召集方式</w:t>
      </w:r>
      <w:bookmarkEnd w:id="231"/>
      <w:bookmarkEnd w:id="232"/>
      <w:bookmarkEnd w:id="233"/>
    </w:p>
    <w:p w14:paraId="6455975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34" w:name="_Toc57530245"/>
      <w:bookmarkStart w:id="235" w:name="_Toc15641222"/>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、除法律法规规定或《基金合同》另有约定外，基金份额持有人大会由基金管理人召集</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35F11A0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、基金管理人未按规定召集或不能</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召集</w:t>
      </w:r>
      <w:r>
        <w:rPr>
          <w:rFonts w:hint="eastAsia" w:asciiTheme="minorEastAsia" w:hAnsiTheme="minorEastAsia"/>
          <w:color w:val="0D0D0D" w:themeColor="text1" w:themeTint="F2"/>
          <w14:textFill>
            <w14:solidFill>
              <w14:schemeClr w14:val="tx1">
                <w14:lumMod w14:val="95000"/>
                <w14:lumOff w14:val="5000"/>
              </w14:schemeClr>
            </w14:solidFill>
          </w14:textFill>
        </w:rPr>
        <w:t>时，由基金托管人召集</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7AFD62A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、基金托管人认为有必要召开基金份额持有人大会的，应当向基金管理人提出书面提议。基金管理人应当自收到书面提议之日起</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14:textFill>
            <w14:solidFill>
              <w14:schemeClr w14:val="tx1">
                <w14:lumMod w14:val="95000"/>
                <w14:lumOff w14:val="5000"/>
              </w14:schemeClr>
            </w14:solidFill>
          </w14:textFill>
        </w:rPr>
        <w:t>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653003D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w:t>
      </w:r>
      <w:r>
        <w:rPr>
          <w:rFonts w:asciiTheme="minorEastAsia" w:hAnsiTheme="minorEastAsia"/>
          <w:color w:val="0D0D0D" w:themeColor="text1" w:themeTint="F2"/>
          <w14:textFill>
            <w14:solidFill>
              <w14:schemeClr w14:val="tx1">
                <w14:lumMod w14:val="95000"/>
                <w14:lumOff w14:val="5000"/>
              </w14:schemeClr>
            </w14:solidFill>
          </w14:textFill>
        </w:rPr>
        <w:t>60</w:t>
      </w:r>
      <w:r>
        <w:rPr>
          <w:rFonts w:hint="eastAsia" w:asciiTheme="minorEastAsia" w:hAnsiTheme="minorEastAsia"/>
          <w:color w:val="0D0D0D" w:themeColor="text1" w:themeTint="F2"/>
          <w14:textFill>
            <w14:solidFill>
              <w14:schemeClr w14:val="tx1">
                <w14:lumMod w14:val="95000"/>
                <w14:lumOff w14:val="5000"/>
              </w14:schemeClr>
            </w14:solidFill>
          </w14:textFill>
        </w:rPr>
        <w:t>日内召开并告知基金管理人，基金管理人应当配合。</w:t>
      </w:r>
    </w:p>
    <w:p w14:paraId="1592BB3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代表基金份额10%以上（含10%）的基金份额持有人就同一事项要求召开基金份额持有人大会，而基金管理人、基金托管人都不召集的，单独或合计代表基金份额10%以上（含10%）的基金份额持有人有权自行召集，并至少提前</w:t>
      </w:r>
      <w:r>
        <w:rPr>
          <w:rFonts w:asciiTheme="minorEastAsia" w:hAnsiTheme="minorEastAsia"/>
          <w:color w:val="0D0D0D" w:themeColor="text1" w:themeTint="F2"/>
          <w14:textFill>
            <w14:solidFill>
              <w14:schemeClr w14:val="tx1">
                <w14:lumMod w14:val="95000"/>
                <w14:lumOff w14:val="5000"/>
              </w14:schemeClr>
            </w14:solidFill>
          </w14:textFill>
        </w:rPr>
        <w:t>30</w:t>
      </w:r>
      <w:r>
        <w:rPr>
          <w:rFonts w:hint="eastAsia" w:asciiTheme="minorEastAsia" w:hAnsiTheme="minorEastAsia"/>
          <w:color w:val="0D0D0D" w:themeColor="text1" w:themeTint="F2"/>
          <w14:textFill>
            <w14:solidFill>
              <w14:schemeClr w14:val="tx1">
                <w14:lumMod w14:val="95000"/>
                <w14:lumOff w14:val="5000"/>
              </w14:schemeClr>
            </w14:solidFill>
          </w14:textFill>
        </w:rPr>
        <w:t>日报中国证监会备案。基金份额持有人依法自行召集基金份额持有人大会的，基金管理人、基金托管人应当配合，不得阻碍、干扰。</w:t>
      </w:r>
    </w:p>
    <w:p w14:paraId="05CFAE6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、基金份额持有人会议的召集人负责选择确定开会时间、地点、方式和权益登记日。</w:t>
      </w:r>
    </w:p>
    <w:p w14:paraId="22176D2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36" w:name="_Toc79392586"/>
      <w:r>
        <w:rPr>
          <w:rFonts w:hint="eastAsia" w:asciiTheme="minorEastAsia" w:hAnsiTheme="minorEastAsia"/>
          <w:color w:val="0D0D0D" w:themeColor="text1" w:themeTint="F2"/>
          <w14:textFill>
            <w14:solidFill>
              <w14:schemeClr w14:val="tx1">
                <w14:lumMod w14:val="95000"/>
                <w14:lumOff w14:val="5000"/>
              </w14:schemeClr>
            </w14:solidFill>
          </w14:textFill>
        </w:rPr>
        <w:t>三、召开基金份额持有人大会的通知时间、通知内容、通知方式</w:t>
      </w:r>
      <w:bookmarkEnd w:id="234"/>
      <w:bookmarkEnd w:id="235"/>
      <w:bookmarkEnd w:id="236"/>
    </w:p>
    <w:p w14:paraId="3C7BCB1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、召开基金份额持有人大会，召集人应于会议召开前30日，在规定媒介公告。基金份额持有人大会通知应至少载明以下内容：</w:t>
      </w:r>
    </w:p>
    <w:p w14:paraId="7E9C4D7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）会议召开的时间、地点和会议形式；</w:t>
      </w:r>
    </w:p>
    <w:p w14:paraId="3487B16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）会议拟审议的事项、议事程序和表决方式；</w:t>
      </w:r>
    </w:p>
    <w:p w14:paraId="3EAFAEF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）有权出席基金份额持有人大会的基金份额持有人的权益登记日；</w:t>
      </w:r>
    </w:p>
    <w:p w14:paraId="60713C2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）授权委托证明的内容要求（包括但不限于代理人身份，代理权限和代理有效期限等）、送达时间和地点</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28E37A9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）会务常设联系人姓名及联系电话；</w:t>
      </w:r>
    </w:p>
    <w:p w14:paraId="2DE06B5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）出席会议者必须准备的文件和必须履行的手续；</w:t>
      </w:r>
    </w:p>
    <w:p w14:paraId="6B905C5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）召集人需要通知的其他事项。</w:t>
      </w:r>
    </w:p>
    <w:p w14:paraId="7163CD3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0CD99CD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3B7631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37" w:name="_Toc15641223"/>
      <w:bookmarkStart w:id="238" w:name="_Toc79392587"/>
      <w:bookmarkStart w:id="239" w:name="_Toc57530246"/>
      <w:r>
        <w:rPr>
          <w:rFonts w:hint="eastAsia" w:asciiTheme="minorEastAsia" w:hAnsiTheme="minorEastAsia"/>
          <w:color w:val="0D0D0D" w:themeColor="text1" w:themeTint="F2"/>
          <w14:textFill>
            <w14:solidFill>
              <w14:schemeClr w14:val="tx1">
                <w14:lumMod w14:val="95000"/>
                <w14:lumOff w14:val="5000"/>
              </w14:schemeClr>
            </w14:solidFill>
          </w14:textFill>
        </w:rPr>
        <w:t>四、基金份额持有人出席会议的方式</w:t>
      </w:r>
      <w:bookmarkEnd w:id="237"/>
      <w:bookmarkEnd w:id="238"/>
      <w:bookmarkEnd w:id="239"/>
    </w:p>
    <w:p w14:paraId="3A44B48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基金份额持有人大会可通过现场开会方式、通讯开会方式或法律法规、监管机构允许的其他方式召开，会议的召开方式由会议召集人确定。</w:t>
      </w:r>
    </w:p>
    <w:p w14:paraId="56D90BB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290F3D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4F5A96E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）经核对，汇总到会者出示的在权益登记日持有基金份额的凭证显示，有效的基金份额不少于本基金在权益登记日基金总份额的二分之一（含二分之一）。</w:t>
      </w:r>
    </w:p>
    <w:p w14:paraId="6BC2AD4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7CA4BCC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74265D2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在同时符合以下条件时，通讯开会的方式视为有效：</w:t>
      </w:r>
    </w:p>
    <w:p w14:paraId="6D7651E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）会议召集人按《基金合同》约定公布会议通知后，在</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 </w:t>
      </w:r>
      <w:r>
        <w:rPr>
          <w:rFonts w:hint="eastAsia" w:asciiTheme="minorEastAsia" w:hAnsiTheme="minorEastAsia"/>
          <w:color w:val="0D0D0D" w:themeColor="text1" w:themeTint="F2"/>
          <w14:textFill>
            <w14:solidFill>
              <w14:schemeClr w14:val="tx1">
                <w14:lumMod w14:val="95000"/>
                <w14:lumOff w14:val="5000"/>
              </w14:schemeClr>
            </w14:solidFill>
          </w14:textFill>
        </w:rPr>
        <w:t>2个工作日内连续公布相关提示性公告；</w:t>
      </w:r>
    </w:p>
    <w:p w14:paraId="283683F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7183832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）本人直接出具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意见的，基金份额持有人所持有的基金份额不小于在权益登记日基金总份额的二分之一（含二分之一）；</w:t>
      </w:r>
    </w:p>
    <w:p w14:paraId="38BC024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若本人直接出具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意见或授权他人代表出具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w:t>
      </w:r>
    </w:p>
    <w:p w14:paraId="29E99D1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）上述第（</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）项中直接出具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意见的基金份额持有人或受托代表他人出具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意见的代理人，同时提交的持有基金份额的凭证、受托出具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意见的代理人出具的委托人持有基金份额的凭证及委托人的代理投票授权委托证明符合法律法规、《基金合同》和会议通知的规定，并与基金登记机构记录相符</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22351478">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 </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3C5B032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40" w:name="_Toc15641224"/>
      <w:bookmarkStart w:id="241" w:name="_Toc57530247"/>
      <w:bookmarkStart w:id="242" w:name="_Toc79392588"/>
      <w:r>
        <w:rPr>
          <w:rFonts w:hint="eastAsia" w:asciiTheme="minorEastAsia" w:hAnsiTheme="minorEastAsia"/>
          <w:color w:val="0D0D0D" w:themeColor="text1" w:themeTint="F2"/>
          <w14:textFill>
            <w14:solidFill>
              <w14:schemeClr w14:val="tx1">
                <w14:lumMod w14:val="95000"/>
                <w14:lumOff w14:val="5000"/>
              </w14:schemeClr>
            </w14:solidFill>
          </w14:textFill>
        </w:rPr>
        <w:t>五、议事内容与程序</w:t>
      </w:r>
      <w:bookmarkEnd w:id="240"/>
      <w:bookmarkEnd w:id="241"/>
      <w:bookmarkEnd w:id="242"/>
    </w:p>
    <w:p w14:paraId="7353C49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、议事内容及提案权</w:t>
      </w:r>
    </w:p>
    <w:p w14:paraId="62782CF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7EEBA2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基金份额持有人大会的召集人发出召集会议的通知后，对原有提案的修改应当在基金份额持有人大会召开前及时公告。</w:t>
      </w:r>
    </w:p>
    <w:p w14:paraId="752A3CC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基金份额持有人大会不得对未事先公告的议事内容进行表决。</w:t>
      </w:r>
    </w:p>
    <w:p w14:paraId="05EBC37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、议事程序</w:t>
      </w:r>
    </w:p>
    <w:p w14:paraId="4C8ABE1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）现场开会</w:t>
      </w:r>
    </w:p>
    <w:p w14:paraId="6BBA0D8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二分之一</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二分之一</w:t>
      </w:r>
      <w:r>
        <w:rPr>
          <w:rFonts w:hint="eastAsia" w:asciiTheme="minorEastAsia" w:hAnsiTheme="minorEastAsia"/>
          <w:color w:val="0D0D0D" w:themeColor="text1" w:themeTint="F2"/>
          <w14:textFill>
            <w14:solidFill>
              <w14:schemeClr w14:val="tx1">
                <w14:lumMod w14:val="95000"/>
                <w14:lumOff w14:val="5000"/>
              </w14:schemeClr>
            </w14:solidFill>
          </w14:textFill>
        </w:rPr>
        <w:t>）选举产生一名基金份额持有人作为该次基金份额持有人大会的主持人。基金管理人和基金托管人拒不出席或主持基金份额持有人大会，不影响基金份额持有人大会作出的决议的效力。</w:t>
      </w:r>
    </w:p>
    <w:p w14:paraId="0023CEE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会议召集人应当制作出席会议人员的签名册。签名册载明参加会议人员姓名（或单位名称）、身份证明文件号码、持有或代表有表决权的基金份额、委托人姓名（或单位名称）和联系方式等事项。</w:t>
      </w:r>
    </w:p>
    <w:p w14:paraId="05370D1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）通讯开会</w:t>
      </w:r>
    </w:p>
    <w:p w14:paraId="0D77D77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在通讯开会的情况下，首先由召集人提前30日公布提案，在所通知的表决截止日期后2个工作日内在公证机关监督下由召集人统计全部有效表决，在公证机关监督下形成决议。</w:t>
      </w:r>
    </w:p>
    <w:p w14:paraId="4257BC1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43" w:name="_Toc15641225"/>
      <w:bookmarkStart w:id="244" w:name="_Toc57530248"/>
      <w:bookmarkStart w:id="245" w:name="_Toc79392589"/>
      <w:r>
        <w:rPr>
          <w:rFonts w:hint="eastAsia" w:asciiTheme="minorEastAsia" w:hAnsiTheme="minorEastAsia"/>
          <w:color w:val="0D0D0D" w:themeColor="text1" w:themeTint="F2"/>
          <w14:textFill>
            <w14:solidFill>
              <w14:schemeClr w14:val="tx1">
                <w14:lumMod w14:val="95000"/>
                <w14:lumOff w14:val="5000"/>
              </w14:schemeClr>
            </w14:solidFill>
          </w14:textFill>
        </w:rPr>
        <w:t>六、表决</w:t>
      </w:r>
      <w:bookmarkEnd w:id="243"/>
      <w:bookmarkEnd w:id="244"/>
      <w:bookmarkEnd w:id="245"/>
    </w:p>
    <w:p w14:paraId="0BDCDAB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基金份额持有人所持每份基金份额有一票表决权。</w:t>
      </w:r>
    </w:p>
    <w:p w14:paraId="2483CCA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基金份额持有人大会决议分为一般决议和特别决议：</w:t>
      </w:r>
    </w:p>
    <w:p w14:paraId="4C79E79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、一般决议，一般决议须经参加大会的基金份额持有人或其代理人所持表决权的二分之一以上（含二分之一）通过方为有效；除下列第</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项所规定的须以特别决议通过事项以外的其他事项均以一般决议的方式通过。</w:t>
      </w:r>
    </w:p>
    <w:p w14:paraId="481B94D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特别决议，特别决议应当经参加大会的基金份额持有人或其代理人所持表决权的三分之二以上（含三分之二）通过方可做出。除法律法规、监管机构或基金合同另有约定外，转换基金运作方式、更换基金管理人或者基金托管人、终止《基金合同》、本基金与其他基金合并以特别决议通过方为有效。</w:t>
      </w:r>
    </w:p>
    <w:p w14:paraId="1284ACF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基金份额持有人大会采取记名方式进行投票表决。</w:t>
      </w:r>
    </w:p>
    <w:p w14:paraId="2065C49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表决</w:t>
      </w:r>
      <w:r>
        <w:rPr>
          <w:rFonts w:hint="eastAsia" w:asciiTheme="minorEastAsia" w:hAnsiTheme="minorEastAsia"/>
          <w:color w:val="0D0D0D" w:themeColor="text1" w:themeTint="F2"/>
          <w14:textFill>
            <w14:solidFill>
              <w14:schemeClr w14:val="tx1">
                <w14:lumMod w14:val="95000"/>
                <w14:lumOff w14:val="5000"/>
              </w14:schemeClr>
            </w14:solidFill>
          </w14:textFill>
        </w:rPr>
        <w:t>意见的基金份额持有人所代表的基金份额总数。</w:t>
      </w:r>
    </w:p>
    <w:p w14:paraId="6B05872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基金份额持有人大会的各项提案或同一项提案内并列的各项议题应当分开审议、逐项表决。</w:t>
      </w:r>
    </w:p>
    <w:p w14:paraId="7206CE5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在上述规则的前提下，具体规则以召集人发布的基金份额持有人大会通知为准。</w:t>
      </w:r>
    </w:p>
    <w:p w14:paraId="579F839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46" w:name="_Toc57530249"/>
      <w:bookmarkStart w:id="247" w:name="_Toc79392590"/>
      <w:bookmarkStart w:id="248" w:name="_Toc15641226"/>
      <w:r>
        <w:rPr>
          <w:rFonts w:hint="eastAsia" w:asciiTheme="minorEastAsia" w:hAnsiTheme="minorEastAsia"/>
          <w:color w:val="0D0D0D" w:themeColor="text1" w:themeTint="F2"/>
          <w14:textFill>
            <w14:solidFill>
              <w14:schemeClr w14:val="tx1">
                <w14:lumMod w14:val="95000"/>
                <w14:lumOff w14:val="5000"/>
              </w14:schemeClr>
            </w14:solidFill>
          </w14:textFill>
        </w:rPr>
        <w:t>七、计票</w:t>
      </w:r>
      <w:bookmarkEnd w:id="246"/>
      <w:bookmarkEnd w:id="247"/>
      <w:bookmarkEnd w:id="248"/>
    </w:p>
    <w:p w14:paraId="0E1A203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、现场开会</w:t>
      </w:r>
    </w:p>
    <w:p w14:paraId="7330720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A2FBB8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）监票人应当在基金份额持有人表决后立即进行清点并由大会主持人当场公布计票结果。</w:t>
      </w:r>
    </w:p>
    <w:p w14:paraId="7322752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43C5C70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）计票过程应由公证机关予以公证</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基金管理人或基金托管人拒不出席大会的，不影响计票的效力。</w:t>
      </w:r>
    </w:p>
    <w:p w14:paraId="11DB801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、通讯开会</w:t>
      </w:r>
    </w:p>
    <w:p w14:paraId="2552EC5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在通讯开会的情况下，计票方式为：由大会召集人授权的两名监督员在基金托管人授权代表（若由基金托管人召集，则为基金管理人授权代表）的监督下进行计票，并由公证机关对其计票过程予以公证</w:t>
      </w:r>
      <w:bookmarkStart w:id="249" w:name="_Toc79392591"/>
      <w:bookmarkStart w:id="250" w:name="_Toc57530250"/>
      <w:bookmarkStart w:id="251" w:name="_Toc15641227"/>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。基金管理人或基金托管人拒派代表对表决意见的计票进行监督的，不影响计票和表决结果。</w:t>
      </w:r>
    </w:p>
    <w:p w14:paraId="5592EA9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八、生效与公告</w:t>
      </w:r>
      <w:bookmarkEnd w:id="249"/>
      <w:bookmarkEnd w:id="250"/>
      <w:bookmarkEnd w:id="251"/>
    </w:p>
    <w:p w14:paraId="0399148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基金份额持有人大会的决议，召集人应当自通过之日起5日内报中国证监会备案。</w:t>
      </w:r>
    </w:p>
    <w:p w14:paraId="115EB97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基金份额持有人大会的决议自表决通过之日起生效。</w:t>
      </w:r>
    </w:p>
    <w:p w14:paraId="0F898E7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基金份额持有人大会决议自生效之日起依照《信息披露办法》在规定媒介上公告。</w:t>
      </w:r>
      <w:bookmarkStart w:id="252" w:name="_Hlt88820702"/>
      <w:bookmarkEnd w:id="252"/>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如果采用通讯方式进行表决，在公告基金份额持有人大会决议时，必须将公证书全文、公证机构、公证员姓名等一同公告。</w:t>
      </w:r>
    </w:p>
    <w:p w14:paraId="79526E5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基金管理人、基金托管人和基金份额持有人应当执行生效的基金份额持有人大会的决议。生效的基金份额持有人大会决议对全体基金份额持有人、基金管理人、基金托管人均有约束力。</w:t>
      </w:r>
    </w:p>
    <w:p w14:paraId="26838C4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253" w:name="_Toc123102456"/>
      <w:bookmarkStart w:id="254" w:name="_Toc123051455"/>
      <w:bookmarkStart w:id="255" w:name="_Toc725"/>
      <w:bookmarkStart w:id="256" w:name="_Toc18769"/>
      <w:bookmarkStart w:id="257" w:name="_Toc3963"/>
      <w:bookmarkStart w:id="258" w:name="_Toc1745"/>
      <w:bookmarkStart w:id="259" w:name="_Toc16164"/>
      <w:bookmarkStart w:id="260" w:name="_Toc123112237"/>
      <w:bookmarkStart w:id="261" w:name="_Toc139991739"/>
      <w:bookmarkStart w:id="262" w:name="_Toc141703889"/>
      <w:bookmarkStart w:id="263" w:name="_Toc3080"/>
      <w:bookmarkStart w:id="264" w:name="_Toc3572"/>
      <w:bookmarkStart w:id="265" w:name="_Toc31821"/>
      <w:bookmarkStart w:id="266" w:name="_Toc21735"/>
      <w:bookmarkStart w:id="267" w:name="_Toc98560355"/>
      <w:bookmarkStart w:id="268" w:name="_Toc18206"/>
      <w:bookmarkStart w:id="269" w:name="_Toc10398"/>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九、本部分关于基金份额持有人大会召开事由、召开条件、议事程序、表决条件等规定，凡是直接引用法律法规的部分，如将来法律法规修改导致相关内容被取消或变更的，基金管理人与基金托管人协商一致并履行适当程序后，可直接对本部分内容进行修改和调整，无需召开基金份额持有人大会审议。</w:t>
      </w:r>
    </w:p>
    <w:p w14:paraId="39BC4513">
      <w:pPr>
        <w:adjustRightInd w:val="0"/>
        <w:snapToGrid w:val="0"/>
        <w:spacing w:line="360" w:lineRule="auto"/>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270" w:name="_Hlt70479195"/>
      <w:bookmarkEnd w:id="270"/>
    </w:p>
    <w:p w14:paraId="2D228669">
      <w:pPr>
        <w:pStyle w:val="2"/>
        <w:sectPr>
          <w:footerReference r:id="rId17" w:type="default"/>
          <w:pgSz w:w="11906" w:h="16838"/>
          <w:pgMar w:top="1440" w:right="1800" w:bottom="1440" w:left="1800" w:header="851" w:footer="992" w:gutter="0"/>
          <w:pgNumType w:start="1"/>
          <w:cols w:space="425" w:num="1"/>
          <w:docGrid w:type="lines" w:linePitch="312" w:charSpace="0"/>
        </w:sectPr>
      </w:pPr>
      <w:bookmarkStart w:id="271" w:name="_Toc90742326"/>
      <w:bookmarkStart w:id="272" w:name="_Toc90742693"/>
      <w:bookmarkStart w:id="273" w:name="_Toc90742395"/>
    </w:p>
    <w:bookmarkEnd w:id="227"/>
    <w:p w14:paraId="1BB9A699">
      <w:pPr>
        <w:pStyle w:val="2"/>
      </w:pPr>
      <w:bookmarkStart w:id="274" w:name="CTS_823dc9468bc849cbaecf69069b7a07df"/>
      <w:bookmarkEnd w:id="274"/>
      <w:bookmarkStart w:id="275" w:name="_Toc3213"/>
      <w:bookmarkStart w:id="276" w:name="CLAUSE_823dc9468bc849cbaecf69069b7a07df"/>
      <w:r>
        <w:rPr>
          <w:rFonts w:hint="eastAsia" w:cs="Arial"/>
        </w:rPr>
        <w:t>第十一部分</w:t>
      </w:r>
      <w:r>
        <w:rPr>
          <w:rFonts w:hint="eastAsia"/>
        </w:rPr>
        <w:t xml:space="preserve"> 基金管理人、基金托管人的更换条件和程序</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1"/>
      <w:bookmarkEnd w:id="272"/>
      <w:bookmarkEnd w:id="273"/>
      <w:bookmarkEnd w:id="275"/>
    </w:p>
    <w:p w14:paraId="55FF4472">
      <w:pPr>
        <w:autoSpaceDE w:val="0"/>
        <w:autoSpaceDN w:val="0"/>
        <w:spacing w:line="360" w:lineRule="auto"/>
        <w:textAlignment w:val="bottom"/>
        <w:rPr>
          <w:rFonts w:asciiTheme="minorEastAsia" w:hAnsiTheme="minorEastAsia"/>
          <w:sz w:val="24"/>
        </w:rPr>
      </w:pPr>
      <w:bookmarkStart w:id="277" w:name="_Toc57530252"/>
      <w:bookmarkStart w:id="278" w:name="_Toc15118245"/>
      <w:bookmarkStart w:id="279" w:name="_Toc79392593"/>
    </w:p>
    <w:p w14:paraId="58FCB79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一、基金管理人和基金托管人职责终止的情形</w:t>
      </w:r>
      <w:bookmarkEnd w:id="277"/>
      <w:bookmarkEnd w:id="278"/>
      <w:bookmarkEnd w:id="279"/>
    </w:p>
    <w:p w14:paraId="1A4FA8E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80" w:name="_Toc22005971"/>
      <w:r>
        <w:rPr>
          <w:rFonts w:hint="eastAsia" w:asciiTheme="minorEastAsia" w:hAnsiTheme="minorEastAsia"/>
          <w:color w:val="0D0D0D" w:themeColor="text1" w:themeTint="F2"/>
          <w14:textFill>
            <w14:solidFill>
              <w14:schemeClr w14:val="tx1">
                <w14:lumMod w14:val="95000"/>
                <w14:lumOff w14:val="5000"/>
              </w14:schemeClr>
            </w14:solidFill>
          </w14:textFill>
        </w:rPr>
        <w:t>（一）</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基金管理人职责终止的情形</w:t>
      </w:r>
      <w:bookmarkEnd w:id="280"/>
    </w:p>
    <w:p w14:paraId="15848D5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有下列情形之一的，基金管理人职责终止：</w:t>
      </w:r>
    </w:p>
    <w:p w14:paraId="23CC470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、被依法取消基金管理资格；</w:t>
      </w:r>
    </w:p>
    <w:p w14:paraId="1263D30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、被基金份额持有人大会解任；</w:t>
      </w:r>
    </w:p>
    <w:p w14:paraId="461C5C5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、依法解散、被依法撤销或被依法宣告破产；</w:t>
      </w:r>
    </w:p>
    <w:p w14:paraId="0E4846E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、法律法规及中国证监会规定的和《基金合同》约定的其他情形。</w:t>
      </w:r>
    </w:p>
    <w:p w14:paraId="015D035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81" w:name="_Toc22005972"/>
      <w:r>
        <w:rPr>
          <w:rFonts w:hint="eastAsia" w:asciiTheme="minorEastAsia" w:hAnsiTheme="minorEastAsia"/>
          <w:color w:val="0D0D0D" w:themeColor="text1" w:themeTint="F2"/>
          <w14:textFill>
            <w14:solidFill>
              <w14:schemeClr w14:val="tx1">
                <w14:lumMod w14:val="95000"/>
                <w14:lumOff w14:val="5000"/>
              </w14:schemeClr>
            </w14:solidFill>
          </w14:textFill>
        </w:rPr>
        <w:t>（二）</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基金托管人职责终止的情形</w:t>
      </w:r>
      <w:bookmarkEnd w:id="281"/>
    </w:p>
    <w:p w14:paraId="22A32C0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有下列情形之一的，基金托管人职责终止：</w:t>
      </w:r>
    </w:p>
    <w:p w14:paraId="5354C82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、被依法取消基金托管资格；</w:t>
      </w:r>
    </w:p>
    <w:p w14:paraId="671B5A3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、被基金份额持有人大会解任；</w:t>
      </w:r>
    </w:p>
    <w:p w14:paraId="5632C17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、依法解散、被依法撤销或被依法宣告破产；</w:t>
      </w:r>
    </w:p>
    <w:p w14:paraId="7DE96DA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、法律法规及中国证监会规定的和《基金合同》约定的其他情形。</w:t>
      </w:r>
    </w:p>
    <w:p w14:paraId="2152E51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82" w:name="_Toc15118246"/>
      <w:bookmarkStart w:id="283" w:name="_Toc79392594"/>
      <w:bookmarkStart w:id="284" w:name="_Toc57530253"/>
      <w:r>
        <w:rPr>
          <w:rFonts w:hint="eastAsia" w:asciiTheme="minorEastAsia" w:hAnsiTheme="minorEastAsia"/>
          <w:color w:val="0D0D0D" w:themeColor="text1" w:themeTint="F2"/>
          <w14:textFill>
            <w14:solidFill>
              <w14:schemeClr w14:val="tx1">
                <w14:lumMod w14:val="95000"/>
                <w14:lumOff w14:val="5000"/>
              </w14:schemeClr>
            </w14:solidFill>
          </w14:textFill>
        </w:rPr>
        <w:t>二、基金管理人和基金托管人的更换程序</w:t>
      </w:r>
      <w:bookmarkEnd w:id="282"/>
      <w:bookmarkEnd w:id="283"/>
      <w:bookmarkEnd w:id="284"/>
    </w:p>
    <w:p w14:paraId="605CC49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85" w:name="_Toc22005974"/>
      <w:r>
        <w:rPr>
          <w:rFonts w:hint="eastAsia" w:asciiTheme="minorEastAsia" w:hAnsiTheme="minorEastAsia"/>
          <w:color w:val="0D0D0D" w:themeColor="text1" w:themeTint="F2"/>
          <w14:textFill>
            <w14:solidFill>
              <w14:schemeClr w14:val="tx1">
                <w14:lumMod w14:val="95000"/>
                <w14:lumOff w14:val="5000"/>
              </w14:schemeClr>
            </w14:solidFill>
          </w14:textFill>
        </w:rPr>
        <w:t>（一）</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基金管理人的更换程序</w:t>
      </w:r>
      <w:bookmarkEnd w:id="285"/>
    </w:p>
    <w:p w14:paraId="09FC290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、提名：新任基金管理人由基金托管人或由单独或合计持有</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）基金份额的基金份额持有人提名；</w:t>
      </w:r>
    </w:p>
    <w:p w14:paraId="7D87DE6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、决议：基金份额持有人大会在基金管理人职责终止后</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个月内对被提名的基金管理人形成决议，该决议需经参加大会的基金份额持有人所持表决权的三分之二以上（含三分之二）表决通过，决议自表决通过之日起生效；</w:t>
      </w:r>
    </w:p>
    <w:p w14:paraId="163E0AF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、临时基金管理人：新任基金管理人产生之前，由中国证监会指定临时基金管理人；</w:t>
      </w:r>
    </w:p>
    <w:p w14:paraId="70E648D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、备案：基金份额持有人大会更换基金管理人的决议须报中国证监会备案；</w:t>
      </w:r>
    </w:p>
    <w:p w14:paraId="285D694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、公告：基金管理人更换后，由基金托管人在更换基金管理人的基金份额持有人大会决议生效后</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依照《信息披露办法》</w:t>
      </w:r>
      <w:r>
        <w:rPr>
          <w:rFonts w:hint="eastAsia" w:asciiTheme="minorEastAsia" w:hAnsiTheme="minorEastAsia"/>
          <w:color w:val="0D0D0D" w:themeColor="text1" w:themeTint="F2"/>
          <w14:textFill>
            <w14:solidFill>
              <w14:schemeClr w14:val="tx1">
                <w14:lumMod w14:val="95000"/>
                <w14:lumOff w14:val="5000"/>
              </w14:schemeClr>
            </w14:solidFill>
          </w14:textFill>
        </w:rPr>
        <w:t>在规定媒介公告</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7F3011C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或临时基金管理人</w:t>
      </w:r>
      <w:r>
        <w:rPr>
          <w:rFonts w:hint="eastAsia" w:asciiTheme="minorEastAsia" w:hAnsiTheme="minorEastAsia"/>
          <w:color w:val="0D0D0D" w:themeColor="text1" w:themeTint="F2"/>
          <w14:textFill>
            <w14:solidFill>
              <w14:schemeClr w14:val="tx1">
                <w14:lumMod w14:val="95000"/>
                <w14:lumOff w14:val="5000"/>
              </w14:schemeClr>
            </w14:solidFill>
          </w14:textFill>
        </w:rPr>
        <w:t>应与基金托管人核对基金资产总值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和净值</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1F4F694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、审计：基金管理人职责终止的，应当按照法律法规规定聘请会计师事务所对基金财产进行审计，并将审计结果予以公告，同时报中国证监会备案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，审计费用从基金财产中列支</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0FD5DB1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、基金名称变更：基金管理人更换后，如果原任或新任基金管理人要求，应按其要求替换或删除基金名称中与原基金管理人有关的名称字样。</w:t>
      </w:r>
    </w:p>
    <w:p w14:paraId="0C2D6BE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86" w:name="_Toc22005975"/>
      <w:r>
        <w:rPr>
          <w:rFonts w:hint="eastAsia" w:asciiTheme="minorEastAsia" w:hAnsiTheme="minorEastAsia"/>
          <w:color w:val="0D0D0D" w:themeColor="text1" w:themeTint="F2"/>
          <w14:textFill>
            <w14:solidFill>
              <w14:schemeClr w14:val="tx1">
                <w14:lumMod w14:val="95000"/>
                <w14:lumOff w14:val="5000"/>
              </w14:schemeClr>
            </w14:solidFill>
          </w14:textFill>
        </w:rPr>
        <w:t>（二）</w:t>
      </w:r>
      <w:r>
        <w:rPr>
          <w:rFonts w:asciiTheme="minorEastAsia" w:hAnsiTheme="minorEastAsia"/>
          <w:color w:val="0D0D0D" w:themeColor="text1" w:themeTint="F2"/>
          <w14:textFill>
            <w14:solidFill>
              <w14:schemeClr w14:val="tx1">
                <w14:lumMod w14:val="95000"/>
                <w14:lumOff w14:val="5000"/>
              </w14:schemeClr>
            </w14:solidFill>
          </w14:textFill>
        </w:rPr>
        <w:tab/>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基金托管人的更换程序</w:t>
      </w:r>
      <w:bookmarkEnd w:id="286"/>
    </w:p>
    <w:p w14:paraId="292D9F7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、提名：新任基金托管人由基金管理人或由单独或合计持有</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）基金份额的基金份额持有人提名；</w:t>
      </w:r>
    </w:p>
    <w:p w14:paraId="1A3C6F9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、决议：基金份额持有人大会在基金托管人职责终止后</w:t>
      </w: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个月内对被提名的基金托管人形成决议，该决议需经参加大会的基金份额持有人所持表决权的三分之二以上（含三分之二）表决通过，决议自表决通过之日起生效；</w:t>
      </w:r>
    </w:p>
    <w:p w14:paraId="212847F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、临时基金托管人：新任基金托管人产生之前，由中国证监会指定临时基金托管人；</w:t>
      </w:r>
    </w:p>
    <w:p w14:paraId="6485BC6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、备案：基金份额持有人大会更换基金托管人的决议须报中国证监会备案；</w:t>
      </w:r>
    </w:p>
    <w:p w14:paraId="21EFFA3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、公告：基金托管人更换后，由基金管理人在更换基金托管人的基金份额持有人大会决议生效后</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依照《信息披露办法》</w:t>
      </w:r>
      <w:r>
        <w:rPr>
          <w:rFonts w:hint="eastAsia" w:asciiTheme="minorEastAsia" w:hAnsiTheme="minorEastAsia"/>
          <w:color w:val="0D0D0D" w:themeColor="text1" w:themeTint="F2"/>
          <w14:textFill>
            <w14:solidFill>
              <w14:schemeClr w14:val="tx1">
                <w14:lumMod w14:val="95000"/>
                <w14:lumOff w14:val="5000"/>
              </w14:schemeClr>
            </w14:solidFill>
          </w14:textFill>
        </w:rPr>
        <w:t>在规定媒介公告</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77D9F33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、交接：基金托管人职责终止的，应当妥善保管基金财产和基金托管业务资料，及时办理基金财产和基金托管业务的移交手续，新任基金托管人或者临时基金托管人应当及时接收。新任基金托管人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或者临时基金托管人</w:t>
      </w:r>
      <w:r>
        <w:rPr>
          <w:rFonts w:hint="eastAsia" w:asciiTheme="minorEastAsia" w:hAnsiTheme="minorEastAsia"/>
          <w:color w:val="0D0D0D" w:themeColor="text1" w:themeTint="F2"/>
          <w14:textFill>
            <w14:solidFill>
              <w14:schemeClr w14:val="tx1">
                <w14:lumMod w14:val="95000"/>
                <w14:lumOff w14:val="5000"/>
              </w14:schemeClr>
            </w14:solidFill>
          </w14:textFill>
        </w:rPr>
        <w:t>与基金管理人核对基金资产总值</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和净值</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 xml:space="preserve"> </w:t>
      </w:r>
    </w:p>
    <w:p w14:paraId="416CB7F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、审计：基金托管人职责终止的，应当按照法律法规规定聘请会计师事务所对基金财产进行审计，并将审计结果予以公告，同时报中国证监会备案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，审计费用从基金财产中列支</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477C9C5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287" w:name="_Toc1357"/>
      <w:r>
        <w:rPr>
          <w:rFonts w:hint="eastAsia" w:asciiTheme="minorEastAsia" w:hAnsiTheme="minorEastAsia"/>
          <w:color w:val="0D0D0D" w:themeColor="text1" w:themeTint="F2"/>
          <w14:textFill>
            <w14:solidFill>
              <w14:schemeClr w14:val="tx1">
                <w14:lumMod w14:val="95000"/>
                <w14:lumOff w14:val="5000"/>
              </w14:schemeClr>
            </w14:solidFill>
          </w14:textFill>
        </w:rPr>
        <w:t>（三）基金管理人与基金托管人同时更换的条件和程序</w:t>
      </w:r>
      <w:bookmarkEnd w:id="287"/>
    </w:p>
    <w:p w14:paraId="41A99EB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、提名：如果基金管理人和基金托管人同时更换，由单独或合计持有基金总份额</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以上（含</w:t>
      </w: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）的基金份额持有人提名新的基金管理人和基金托管人；</w:t>
      </w:r>
    </w:p>
    <w:p w14:paraId="5008820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、基金管理人和基金托管人的更换分别按上述程序进行；</w:t>
      </w:r>
    </w:p>
    <w:p w14:paraId="213C4F8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、公告：新任基金管理人和新任基金托管人应在更换基金管理人和基金托管人的基金份额持有人大会决议生效后</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依照《信息披露办法》</w:t>
      </w:r>
      <w:r>
        <w:rPr>
          <w:rFonts w:hint="eastAsia" w:asciiTheme="minorEastAsia" w:hAnsiTheme="minorEastAsia"/>
          <w:color w:val="0D0D0D" w:themeColor="text1" w:themeTint="F2"/>
          <w14:textFill>
            <w14:solidFill>
              <w14:schemeClr w14:val="tx1">
                <w14:lumMod w14:val="95000"/>
                <w14:lumOff w14:val="5000"/>
              </w14:schemeClr>
            </w14:solidFill>
          </w14:textFill>
        </w:rPr>
        <w:t>在规定媒介上联合公告。</w:t>
      </w:r>
    </w:p>
    <w:p w14:paraId="00E5720B">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四）新基金管理人或临时基金管理人接收基金管理业务或新基金托管人或临时基金托管人接收基金财产和基金托管业务前，原基金管理人或原基金托管人应依据法律法规和基金合同的规定继续履行相关职责，并保证不做出对基金份额持有人的利益造成损害的行为。原基金管理人或原基金托管人在继续履行相关职责期间，仍有权按照本基金合同的规定收取基金管理费或基金托管费。</w:t>
      </w:r>
    </w:p>
    <w:p w14:paraId="215C253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三、本部分关于基金管理人、基金托管人更换条件和程序的约定，凡是直接引用法律法规的部分，如将来法律法规修改导致相关内容被取消或变更的，基金管理人与基金托管人协商一致并提前公告后，可直接对相应内容进行修改和调整，无需召开基金份额持有人大会审议。</w:t>
      </w:r>
    </w:p>
    <w:p w14:paraId="2EF23143">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288" w:name="_Toc739"/>
      <w:bookmarkStart w:id="289" w:name="_Toc123051456"/>
      <w:bookmarkStart w:id="290" w:name="_Toc123112238"/>
      <w:bookmarkStart w:id="291" w:name="_Toc5170"/>
      <w:bookmarkStart w:id="292" w:name="_Toc32584"/>
      <w:bookmarkStart w:id="293" w:name="_Toc29408"/>
      <w:bookmarkStart w:id="294" w:name="_Toc48649708"/>
      <w:bookmarkStart w:id="295" w:name="_Toc3329"/>
      <w:bookmarkStart w:id="296" w:name="_Toc17198"/>
      <w:bookmarkStart w:id="297" w:name="_Toc123102457"/>
      <w:bookmarkStart w:id="298" w:name="_Toc32092"/>
      <w:bookmarkStart w:id="299" w:name="_Toc141703890"/>
      <w:bookmarkStart w:id="300" w:name="_Toc139991740"/>
      <w:bookmarkStart w:id="301" w:name="_Toc21237"/>
      <w:bookmarkStart w:id="302" w:name="_Toc8791"/>
      <w:bookmarkStart w:id="303" w:name="_Toc79392622"/>
      <w:bookmarkStart w:id="304" w:name="_Toc17920"/>
      <w:bookmarkStart w:id="305" w:name="_Toc20976"/>
      <w:bookmarkStart w:id="306" w:name="_Toc98560356"/>
    </w:p>
    <w:p w14:paraId="63855C91">
      <w:pPr>
        <w:pStyle w:val="2"/>
        <w:sectPr>
          <w:footerReference r:id="rId18" w:type="default"/>
          <w:pgSz w:w="11906" w:h="16838"/>
          <w:pgMar w:top="1440" w:right="1800" w:bottom="1440" w:left="1800" w:header="851" w:footer="992" w:gutter="0"/>
          <w:pgNumType w:start="1"/>
          <w:cols w:space="425" w:num="1"/>
          <w:docGrid w:type="lines" w:linePitch="312" w:charSpace="0"/>
        </w:sectPr>
      </w:pPr>
      <w:bookmarkStart w:id="307" w:name="_Toc90742694"/>
      <w:bookmarkStart w:id="308" w:name="_Toc90742327"/>
      <w:bookmarkStart w:id="309" w:name="_Toc90742396"/>
    </w:p>
    <w:bookmarkEnd w:id="276"/>
    <w:p w14:paraId="5AAA7D0B">
      <w:pPr>
        <w:pStyle w:val="2"/>
      </w:pPr>
      <w:bookmarkStart w:id="310" w:name="CTS_cf06234a2fbe4900a7a3eadf36be3887"/>
      <w:bookmarkEnd w:id="310"/>
      <w:bookmarkStart w:id="311" w:name="_Toc19583"/>
      <w:bookmarkStart w:id="312" w:name="CLAUSE_cf06234a2fbe4900a7a3eadf36be3887"/>
      <w:r>
        <w:rPr>
          <w:rFonts w:hint="eastAsia" w:cs="Arial"/>
        </w:rPr>
        <w:t>第十二部分</w:t>
      </w:r>
      <w:r>
        <w:rPr>
          <w:rFonts w:hint="eastAsia"/>
        </w:rPr>
        <w:t xml:space="preserve"> 基金的托管</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1"/>
    </w:p>
    <w:p w14:paraId="4277C8BE">
      <w:pPr>
        <w:autoSpaceDE w:val="0"/>
        <w:autoSpaceDN w:val="0"/>
        <w:spacing w:line="360" w:lineRule="auto"/>
        <w:textAlignment w:val="bottom"/>
        <w:rPr>
          <w:rFonts w:asciiTheme="minorEastAsia" w:hAnsiTheme="minorEastAsia"/>
          <w:color w:val="0D0D0D" w:themeColor="text1" w:themeTint="F2"/>
          <w14:textFill>
            <w14:solidFill>
              <w14:schemeClr w14:val="tx1">
                <w14:lumMod w14:val="95000"/>
                <w14:lumOff w14:val="5000"/>
              </w14:schemeClr>
            </w14:solidFill>
          </w14:textFill>
        </w:rPr>
      </w:pPr>
    </w:p>
    <w:p w14:paraId="0CBE6E4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基金托管人和基金管理人按照《基金法》、《基金合同》及其他有关规定订立托管协议。</w:t>
      </w:r>
    </w:p>
    <w:p w14:paraId="4F6440F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2BD9E41E">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313" w:name="_Toc3244"/>
      <w:bookmarkStart w:id="314" w:name="_Toc26152"/>
      <w:bookmarkStart w:id="315" w:name="_Toc79392624"/>
      <w:bookmarkStart w:id="316" w:name="_Toc123112239"/>
      <w:bookmarkStart w:id="317" w:name="_Toc16789"/>
      <w:bookmarkStart w:id="318" w:name="_Toc19520"/>
      <w:bookmarkStart w:id="319" w:name="_Toc48649710"/>
      <w:bookmarkStart w:id="320" w:name="_Toc31469"/>
      <w:bookmarkStart w:id="321" w:name="_Toc139991741"/>
      <w:bookmarkStart w:id="322" w:name="_Toc14725"/>
      <w:bookmarkStart w:id="323" w:name="_Toc26084"/>
      <w:bookmarkStart w:id="324" w:name="_Toc123102458"/>
      <w:bookmarkStart w:id="325" w:name="_Toc123051457"/>
      <w:bookmarkStart w:id="326" w:name="_Toc98560357"/>
      <w:bookmarkStart w:id="327" w:name="_Toc26383"/>
      <w:bookmarkStart w:id="328" w:name="_Toc22674"/>
      <w:bookmarkStart w:id="329" w:name="_Toc21886"/>
      <w:bookmarkStart w:id="330" w:name="_Toc2255"/>
      <w:bookmarkStart w:id="331" w:name="_Toc141703891"/>
    </w:p>
    <w:bookmarkEnd w:id="312"/>
    <w:p w14:paraId="26A7D2D3">
      <w:pPr>
        <w:pStyle w:val="2"/>
        <w:sectPr>
          <w:footerReference r:id="rId19" w:type="default"/>
          <w:pgSz w:w="11906" w:h="16838"/>
          <w:pgMar w:top="1440" w:right="1800" w:bottom="1440" w:left="1800" w:header="851" w:footer="992" w:gutter="0"/>
          <w:pgNumType w:start="1"/>
          <w:cols w:space="425" w:num="1"/>
          <w:docGrid w:type="lines" w:linePitch="312" w:charSpace="0"/>
        </w:sectPr>
      </w:pPr>
    </w:p>
    <w:p w14:paraId="58A30F0F">
      <w:pPr>
        <w:pStyle w:val="2"/>
      </w:pPr>
      <w:bookmarkStart w:id="332" w:name="CTS_bfa81950e3c644629507a2e36591d953"/>
      <w:bookmarkEnd w:id="332"/>
      <w:bookmarkStart w:id="333" w:name="_Toc15628"/>
      <w:bookmarkStart w:id="334" w:name="CLAUSE_bfa81950e3c644629507a2e36591d953"/>
      <w:r>
        <w:rPr>
          <w:rFonts w:hint="eastAsia" w:cs="Arial"/>
        </w:rPr>
        <w:t>第十三部分</w:t>
      </w:r>
      <w:r>
        <w:rPr>
          <w:rFonts w:hint="eastAsia"/>
        </w:rPr>
        <w:t xml:space="preserve"> 基金份额的登记</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3"/>
    </w:p>
    <w:p w14:paraId="13BB8F5F">
      <w:pPr>
        <w:autoSpaceDE w:val="0"/>
        <w:autoSpaceDN w:val="0"/>
        <w:spacing w:line="360" w:lineRule="auto"/>
        <w:textAlignment w:val="bottom"/>
        <w:rPr>
          <w:rFonts w:asciiTheme="minorEastAsia" w:hAnsiTheme="minorEastAsia"/>
          <w:sz w:val="24"/>
        </w:rPr>
      </w:pPr>
    </w:p>
    <w:p w14:paraId="5BEF7AB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一、基金份额</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w:t>
      </w:r>
      <w:r>
        <w:rPr>
          <w:rFonts w:hint="eastAsia" w:asciiTheme="minorEastAsia" w:hAnsiTheme="minorEastAsia"/>
          <w:color w:val="0D0D0D" w:themeColor="text1" w:themeTint="F2"/>
          <w14:textFill>
            <w14:solidFill>
              <w14:schemeClr w14:val="tx1">
                <w14:lumMod w14:val="95000"/>
                <w14:lumOff w14:val="5000"/>
              </w14:schemeClr>
            </w14:solidFill>
          </w14:textFill>
        </w:rPr>
        <w:t>登记业务</w:t>
      </w:r>
    </w:p>
    <w:p w14:paraId="392C887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本基金的登记业务指本基金登记、存管、过户、清算和结算业务，具体内容包括投资人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相关</w:t>
      </w:r>
      <w:r>
        <w:rPr>
          <w:rFonts w:hint="eastAsia" w:asciiTheme="minorEastAsia" w:hAnsiTheme="minorEastAsia"/>
          <w:color w:val="0D0D0D" w:themeColor="text1" w:themeTint="F2"/>
          <w14:textFill>
            <w14:solidFill>
              <w14:schemeClr w14:val="tx1">
                <w14:lumMod w14:val="95000"/>
                <w14:lumOff w14:val="5000"/>
              </w14:schemeClr>
            </w14:solidFill>
          </w14:textFill>
        </w:rPr>
        <w:t>账户的建立和管理、基金份额登记、基金销售业务的确认、清算和结算、代理发放红利、建立并保管基金份额持有人名册和办理非交易过户等。</w:t>
      </w:r>
    </w:p>
    <w:p w14:paraId="4EB2C14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二、基金登记业务办理机构</w:t>
      </w:r>
    </w:p>
    <w:p w14:paraId="0BA1B54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本基金的登记业务由基金管理人或基金管理人委托的其他符合条件的机构办理</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，但基金管理人依法应当承担的责任不因委托而免除。</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基金管理人委托其他机构办理本基金登记业务的，应与</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有关机构</w:t>
      </w:r>
      <w:r>
        <w:rPr>
          <w:rFonts w:hint="eastAsia" w:asciiTheme="minorEastAsia" w:hAnsiTheme="minorEastAsia"/>
          <w:color w:val="0D0D0D" w:themeColor="text1" w:themeTint="F2"/>
          <w14:textFill>
            <w14:solidFill>
              <w14:schemeClr w14:val="tx1">
                <w14:lumMod w14:val="95000"/>
                <w14:lumOff w14:val="5000"/>
              </w14:schemeClr>
            </w14:solidFill>
          </w14:textFill>
        </w:rPr>
        <w:t>签订委托代理协议，以明确基金管理人和代理机构在登记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业务</w:t>
      </w:r>
      <w:r>
        <w:rPr>
          <w:rFonts w:hint="eastAsia" w:asciiTheme="minorEastAsia" w:hAnsiTheme="minorEastAsia"/>
          <w:color w:val="0D0D0D" w:themeColor="text1" w:themeTint="F2"/>
          <w14:textFill>
            <w14:solidFill>
              <w14:schemeClr w14:val="tx1">
                <w14:lumMod w14:val="95000"/>
                <w14:lumOff w14:val="5000"/>
              </w14:schemeClr>
            </w14:solidFill>
          </w14:textFill>
        </w:rPr>
        <w:t>中的权利和义务，保护基金份额持有人的合法权益</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。本基金的登记业务由中国证券登记结算有限责任公司负责办理</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2FA2BCC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三、基金登记机构的权利</w:t>
      </w:r>
      <w:bookmarkStart w:id="335" w:name="_Hlt88820748"/>
      <w:bookmarkEnd w:id="335"/>
    </w:p>
    <w:p w14:paraId="0894AD9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基金登记机构享有以下权利：</w:t>
      </w:r>
    </w:p>
    <w:p w14:paraId="05176B2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、取得登记费；</w:t>
      </w:r>
    </w:p>
    <w:p w14:paraId="6CC0CD9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、建立和管理投资者</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相关</w:t>
      </w:r>
      <w:r>
        <w:rPr>
          <w:rFonts w:hint="eastAsia" w:asciiTheme="minorEastAsia" w:hAnsiTheme="minorEastAsia"/>
          <w:color w:val="0D0D0D" w:themeColor="text1" w:themeTint="F2"/>
          <w14:textFill>
            <w14:solidFill>
              <w14:schemeClr w14:val="tx1">
                <w14:lumMod w14:val="95000"/>
                <w14:lumOff w14:val="5000"/>
              </w14:schemeClr>
            </w14:solidFill>
          </w14:textFill>
        </w:rPr>
        <w:t>账户；</w:t>
      </w:r>
    </w:p>
    <w:p w14:paraId="1D92A3F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、保管基金份额持有人开户资料、交易资料、基金份额持有人名册等；</w:t>
      </w:r>
    </w:p>
    <w:p w14:paraId="70270C6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、在法律法规允许的范围内，对登记业务的办理时间进行调整，并依照有关规定于开始实施前在规定媒介上公告；</w:t>
      </w:r>
    </w:p>
    <w:p w14:paraId="4F8BF1C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、法律法规及中国证监会规定的和《基金合同》约定的其他权利。</w:t>
      </w:r>
    </w:p>
    <w:p w14:paraId="521488F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四、基金登记机构的义务</w:t>
      </w:r>
    </w:p>
    <w:p w14:paraId="3447AE4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基金登记机构承担以下义务：</w:t>
      </w:r>
    </w:p>
    <w:p w14:paraId="07ABB5A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、配备足够的专业人员办理本基金份额的登记业务；</w:t>
      </w:r>
    </w:p>
    <w:p w14:paraId="0B323BB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、严格按照法律法规和《基金合同》规定的条件办理本基金份额的登记业务；</w:t>
      </w:r>
    </w:p>
    <w:p w14:paraId="7E55F88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、妥善保存登记数据，并将基金份额持有人名称、身份信息及基金份额明细等数据备份至中国证监会认定的机构。其保存期限自</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相关</w:t>
      </w:r>
      <w:r>
        <w:rPr>
          <w:rFonts w:hint="eastAsia" w:asciiTheme="minorEastAsia" w:hAnsiTheme="minorEastAsia"/>
          <w:color w:val="0D0D0D" w:themeColor="text1" w:themeTint="F2"/>
          <w14:textFill>
            <w14:solidFill>
              <w14:schemeClr w14:val="tx1">
                <w14:lumMod w14:val="95000"/>
                <w14:lumOff w14:val="5000"/>
              </w14:schemeClr>
            </w14:solidFill>
          </w14:textFill>
        </w:rPr>
        <w:t>账户销户之日起不得少于20年；</w:t>
      </w:r>
    </w:p>
    <w:p w14:paraId="654B028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、对基金份额持有人的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相关</w:t>
      </w:r>
      <w:r>
        <w:rPr>
          <w:rFonts w:hint="eastAsia" w:asciiTheme="minorEastAsia" w:hAnsiTheme="minorEastAsia"/>
          <w:color w:val="0D0D0D" w:themeColor="text1" w:themeTint="F2"/>
          <w14:textFill>
            <w14:solidFill>
              <w14:schemeClr w14:val="tx1">
                <w14:lumMod w14:val="95000"/>
                <w14:lumOff w14:val="5000"/>
              </w14:schemeClr>
            </w14:solidFill>
          </w14:textFill>
        </w:rPr>
        <w:t>账户信息负有保密义务，因违反该保密义务对投资者或基金带来的损失，须承担相应的赔偿责任，但司法强制检查情形及法律法规及中国证监会规定的和《基金合同》约定的其他情形除外；</w:t>
      </w:r>
    </w:p>
    <w:p w14:paraId="3FD5D46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、按《基金合同》及招募说明书规定为投资者办理非交易过户业务、提供其他必要的服务；</w:t>
      </w:r>
    </w:p>
    <w:p w14:paraId="4131F5E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、接受基金管理人的监督；</w:t>
      </w:r>
    </w:p>
    <w:p w14:paraId="1210124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、法律法规及中国证监会规定的和《基金合同》约定的其他义务。</w:t>
      </w:r>
    </w:p>
    <w:p w14:paraId="174FF23F">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336" w:name="_Toc578"/>
      <w:bookmarkStart w:id="337" w:name="_Toc21917"/>
      <w:bookmarkStart w:id="338" w:name="_Toc2981"/>
      <w:bookmarkStart w:id="339" w:name="_Toc22538"/>
      <w:bookmarkStart w:id="340" w:name="_Toc801"/>
      <w:bookmarkStart w:id="341" w:name="_Toc13343"/>
      <w:bookmarkStart w:id="342" w:name="_Toc16437"/>
      <w:bookmarkStart w:id="343" w:name="_Toc5477"/>
      <w:bookmarkStart w:id="344" w:name="_Toc11351"/>
      <w:bookmarkStart w:id="345" w:name="_Toc11395"/>
      <w:bookmarkStart w:id="346" w:name="_Toc3872"/>
    </w:p>
    <w:p w14:paraId="7EA43029">
      <w:pPr>
        <w:pStyle w:val="2"/>
        <w:sectPr>
          <w:footerReference r:id="rId20" w:type="default"/>
          <w:pgSz w:w="11906" w:h="16838"/>
          <w:pgMar w:top="1440" w:right="1800" w:bottom="1440" w:left="1800" w:header="851" w:footer="992" w:gutter="0"/>
          <w:pgNumType w:start="1"/>
          <w:cols w:space="425" w:num="1"/>
          <w:docGrid w:type="lines" w:linePitch="312" w:charSpace="0"/>
        </w:sectPr>
      </w:pPr>
      <w:bookmarkStart w:id="347" w:name="_Toc90742696"/>
      <w:bookmarkStart w:id="348" w:name="_Toc90742398"/>
      <w:bookmarkStart w:id="349" w:name="_Toc90742329"/>
    </w:p>
    <w:bookmarkEnd w:id="334"/>
    <w:p w14:paraId="77B2726F">
      <w:pPr>
        <w:pStyle w:val="2"/>
      </w:pPr>
      <w:bookmarkStart w:id="350" w:name="CTS_f31ad7d3cb5c4cbe853348e241930cf5"/>
      <w:bookmarkEnd w:id="350"/>
      <w:bookmarkStart w:id="351" w:name="_Toc24050"/>
      <w:bookmarkStart w:id="352" w:name="CLAUSE_f31ad7d3cb5c4cbe853348e241930cf5"/>
      <w:r>
        <w:rPr>
          <w:rFonts w:hint="eastAsia" w:cs="Arial"/>
        </w:rPr>
        <w:t>第十四</w:t>
      </w:r>
      <w:r>
        <w:rPr>
          <w:rFonts w:hint="eastAsia"/>
        </w:rPr>
        <w:t>部分 基金的投资</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1"/>
    </w:p>
    <w:p w14:paraId="7A27D517">
      <w:pPr>
        <w:spacing w:line="360" w:lineRule="auto"/>
        <w:ind w:firstLine="480" w:firstLineChars="200"/>
        <w:rPr>
          <w:rFonts w:asciiTheme="minorEastAsia" w:hAnsiTheme="minorEastAsia"/>
          <w:sz w:val="24"/>
        </w:rPr>
      </w:pPr>
    </w:p>
    <w:p w14:paraId="136601F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一、投资目标</w:t>
      </w:r>
    </w:p>
    <w:p w14:paraId="1EDD0FC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紧密跟踪标的指数，追求跟踪偏离度和跟踪误差的最小化。</w:t>
      </w:r>
    </w:p>
    <w:p w14:paraId="29FDB46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二、投资范围</w:t>
      </w:r>
    </w:p>
    <w:p w14:paraId="2AF147AB">
      <w:pPr>
        <w:adjustRightInd w:val="0"/>
        <w:snapToGrid w:val="0"/>
        <w:spacing w:line="360" w:lineRule="auto"/>
        <w:ind w:firstLine="420" w:firstLineChars="200"/>
        <w:rPr>
          <w:rFonts w:hint="eastAsia"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本基金主要投资于标的指数成份股和备选成份股（含存托凭证）。 </w:t>
      </w:r>
    </w:p>
    <w:p w14:paraId="08CD242C">
      <w:pPr>
        <w:adjustRightInd w:val="0"/>
        <w:snapToGrid w:val="0"/>
        <w:spacing w:line="360" w:lineRule="auto"/>
        <w:ind w:firstLine="420" w:firstLineChars="200"/>
        <w:rPr>
          <w:rFonts w:hint="eastAsia"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为更好地实现基金的投资目标，本基金可少量投资于依法发行上市的非成份股（包括港股通标的股票、主板、创业板及其他经中国证监会核准或注册上市的股票和存托凭证）、债券（包括国债、金融债、地方政府债、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591A2209">
      <w:pPr>
        <w:adjustRightInd w:val="0"/>
        <w:snapToGrid w:val="0"/>
        <w:spacing w:line="360" w:lineRule="auto"/>
        <w:ind w:firstLine="420" w:firstLineChars="200"/>
        <w:rPr>
          <w:rFonts w:hint="eastAsia"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本基金可根据法律法规的规定参与融资和转融通证券出借业务。 </w:t>
      </w:r>
    </w:p>
    <w:p w14:paraId="5024A55D">
      <w:pPr>
        <w:adjustRightInd w:val="0"/>
        <w:snapToGrid w:val="0"/>
        <w:spacing w:line="360" w:lineRule="auto"/>
        <w:ind w:firstLine="420" w:firstLineChars="200"/>
        <w:rPr>
          <w:rFonts w:hint="eastAsia"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如法律法规或中国证监会以后允许基金投资其他品种，本基金管理人在履行适当程序后，可以将其纳入本基金的投资范围。</w:t>
      </w:r>
    </w:p>
    <w:p w14:paraId="48101AE5">
      <w:pPr>
        <w:adjustRightInd w:val="0"/>
        <w:snapToGrid w:val="0"/>
        <w:spacing w:line="360" w:lineRule="auto"/>
        <w:ind w:firstLine="420" w:firstLineChars="200"/>
        <w:rPr>
          <w:rFonts w:hint="eastAsia"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和应收申购款等；股指期货、股票期权、国债期货及其他金融工具的投资比例依照法律法规或监管机构的规定执行。 </w:t>
      </w:r>
    </w:p>
    <w:p w14:paraId="5C2ACD9D">
      <w:pPr>
        <w:adjustRightInd w:val="0"/>
        <w:snapToGrid w:val="0"/>
        <w:spacing w:line="360" w:lineRule="auto"/>
        <w:ind w:firstLine="420" w:firstLineChars="200"/>
        <w:rPr>
          <w:rFonts w:hint="eastAsia"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若法律法规的相关规定发生变更或监管机构允许，本基金管理人在履行适当程序后，可对上述资产配置比例进行调整。</w:t>
      </w:r>
    </w:p>
    <w:p w14:paraId="16C1074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三、投资策略</w:t>
      </w:r>
    </w:p>
    <w:p w14:paraId="1F8D327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1、组合复制策略</w:t>
      </w:r>
    </w:p>
    <w:p w14:paraId="0C6C636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w:t>
      </w:r>
    </w:p>
    <w:p w14:paraId="670E3F4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如果标的指数成份股发生明显负面事件面临退市或违约风险，且指数编制机构暂未作出调整的，基金管理人应当按照基金份额持有人利益优先原则，履行内部决策程序后及时对相关成份股进行调整。</w:t>
      </w:r>
    </w:p>
    <w:p w14:paraId="6F295FC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w:t>
      </w:r>
    </w:p>
    <w:p w14:paraId="3173590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14:paraId="182BEC3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2、非成份股的股票投资策略</w:t>
      </w:r>
    </w:p>
    <w:p w14:paraId="57933C3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在特殊情况下，本基金将少量投资于非成份股的港股通标的股票以及其他股票。</w:t>
      </w:r>
    </w:p>
    <w:p w14:paraId="0C15D60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3、债券（除可转换债券、可交换债券）投资策略</w:t>
      </w:r>
    </w:p>
    <w:p w14:paraId="0CEAA61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本基金债券投资组合将着重考虑基金的流动性管理及策略性投资的需要进行配置。债券投资的目的是保证基金资产流动性，有效利用基金资产，提高基金资产的投资收益。</w:t>
      </w:r>
    </w:p>
    <w:p w14:paraId="3DF841A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4、资产支持证券投资策略</w:t>
      </w:r>
    </w:p>
    <w:p w14:paraId="69E4896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0881826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5、可转换债券、可交换债券投资策略</w:t>
      </w:r>
    </w:p>
    <w:p w14:paraId="6B15EA9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51A06BA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643C5DB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6、金融衍生品投资策略</w:t>
      </w:r>
    </w:p>
    <w:p w14:paraId="0DCAA0D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（1）股指期货交易策略</w:t>
      </w:r>
    </w:p>
    <w:p w14:paraId="162B15B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将在风险可控的前提下，以套期保值为目的，根据风险管理原则，适度参与股指期货交易。本基金将根据对现货和期货市场的分析，充分考虑股指期货的风险收益特征参与股指期货交易，以改善交易组合的交易效果。</w:t>
      </w:r>
    </w:p>
    <w:p w14:paraId="6FACCB1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（2）股票期权投资策略</w:t>
      </w:r>
    </w:p>
    <w:p w14:paraId="616FE44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3F39044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（3）国债期货交易策略</w:t>
      </w:r>
    </w:p>
    <w:p w14:paraId="210E110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本基金参与国债期货交易，以套期保值为目的，将根据风险管理的原则，充分考虑国债期货的流动性和风险收益特征，在风险可控的前提下，适度参与国债期货交易。</w:t>
      </w:r>
    </w:p>
    <w:p w14:paraId="14500C2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7、融资和转融通证券出借业务策略</w:t>
      </w:r>
    </w:p>
    <w:p w14:paraId="5917EED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w:t>
      </w:r>
    </w:p>
    <w:p w14:paraId="1060FB2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8、存托凭证投资策略</w:t>
      </w:r>
    </w:p>
    <w:p w14:paraId="7C9B89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本基金将根据本基金的投资目标和股票投资策略，基于对基础证券投资价值的深入研究判断，进行存托凭证的投资。</w:t>
      </w:r>
    </w:p>
    <w:p w14:paraId="0CA9746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未来，随着投资工具的发展和丰富，本基金可在不改变投资目标的前提下，相应调整和更新相关投资策略，并在招募说明书更新中公告。</w:t>
      </w:r>
    </w:p>
    <w:p w14:paraId="7122791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四、投资</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组合管理</w:t>
      </w:r>
    </w:p>
    <w:p w14:paraId="247C920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1、组合限制</w:t>
      </w:r>
    </w:p>
    <w:p w14:paraId="15FC0D7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基金的投资组合应遵循以下限制：</w:t>
      </w:r>
    </w:p>
    <w:p w14:paraId="16B2E39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（1）本基金投资于标的指数成份股和备选成份股（含存托凭证）的资产比例不低于基金资产净值的90%，且不低于非现金基金资产的80%； </w:t>
      </w:r>
    </w:p>
    <w:p w14:paraId="55F6B67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（2）本基金每个交易日日终在扣除股指期货、股票期权和国债期货合约需缴纳的交易保证金后，应当保持不低于交易保证金一倍的现金，其中现金不包括结算备付金、存出保证金和应收申购款等；</w:t>
      </w:r>
    </w:p>
    <w:p w14:paraId="1D7FF38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（3）本基金参与股指期货和国债期货交易，需遵守下列投资比例限制：</w:t>
      </w:r>
    </w:p>
    <w:p w14:paraId="7DB9D3E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1）本基金在任何交易日日终，持有的买入股指期货合约价值，不得超过基金资产净值的10%；在任何交易日日终，持有的买入国债期货合约价值，不得超过基金资产净值的15%；</w:t>
      </w:r>
    </w:p>
    <w:p w14:paraId="56885FB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0B575F6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3）本基金在任何交易日日终，持有的卖出股指期货合约价值不得超过基金持有的股票总市值的20%；在任何交易日日终，持有的卖出国债期货合约价值不得超过基金持有的债券总市值的30%； </w:t>
      </w:r>
    </w:p>
    <w:p w14:paraId="003D3C3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5D3C6C3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3D0256A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（4）本基金投资于同一原始权益人的各类资产支持证券的比例，不得超过基金资产净值的10％；</w:t>
      </w:r>
    </w:p>
    <w:p w14:paraId="3A48F75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（5）本基金持有的全部资产支持证券，其市值不得超过基金资产净值的20％；</w:t>
      </w:r>
    </w:p>
    <w:p w14:paraId="0CD126E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（6）本基金持有的同一(指同一信用级别)资产支持证券的比例，不得超过该资产支持证券规模的10％；</w:t>
      </w:r>
    </w:p>
    <w:p w14:paraId="32EA325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（7）本基金管理人管理的全部基金投资于同一原始权益人的各类资产支持证券，不得超过其各类资产支持证券合计规模的10％；</w:t>
      </w:r>
    </w:p>
    <w:p w14:paraId="64E680F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（8）本基金应投资于信用级别评级为BBB以上(含BBB)的资产支持证券。基金持有资产支持证券期间，如果其信用等级下降、不再符合投资标准，应在评级报告发布之日起3个月内予以全部卖出；</w:t>
      </w:r>
    </w:p>
    <w:p w14:paraId="275DC50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（9）基金财产参与股票发行申购，本基金所申报的金额不超过本基金的总资产，本基金所申报的股票数量不超过拟发行股票公司本次发行股票的总量；</w:t>
      </w:r>
    </w:p>
    <w:p w14:paraId="58545F9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（10）本基金参与融资的，在任何交易日日终，本基金持有的融资买入股票与其他有价证券市值之和，不得超过基金资产净值的95%；</w:t>
      </w:r>
    </w:p>
    <w:p w14:paraId="379AEC2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（11）本基金参与转融通证券出借业务，需遵守下列投资限制：</w:t>
      </w:r>
    </w:p>
    <w:p w14:paraId="660A646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1）出借证券资产不得超过基金资产净值的30%，出借期限在10 个交易日以上的出借证券应纳入《流动性风险管理规定》所述流动性受限证券的范围；</w:t>
      </w:r>
    </w:p>
    <w:p w14:paraId="68921FC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2）参与出借业务的单只证券不得超过本基金持有该证券总量的30%；</w:t>
      </w:r>
    </w:p>
    <w:p w14:paraId="0B307F3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3）最近6个月内日均基金资产净值不得低于2亿元；</w:t>
      </w:r>
    </w:p>
    <w:p w14:paraId="34E5DFC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4）证券出借的平均剩余期限不得超过30天，平均剩余期限按照市值加权平均计算；</w:t>
      </w:r>
    </w:p>
    <w:p w14:paraId="65E07D3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因证券/期货市场波动、证券发行人合并、基金规模变动等基金管理人之外的因素致使基金投资不符合上述规定的，基金管理人不得新增出借业务；</w:t>
      </w:r>
    </w:p>
    <w:p w14:paraId="57C5F1C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12）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w:t>
      </w:r>
    </w:p>
    <w:p w14:paraId="057B03F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13）本基金主动投资于流动性受限资产的市值合计不得超过基金资产净值的15%；因证券/期货市场波动、上市公司股票停牌、基金规模变动等基金管理人之外的因素致使基金不符合该比例限制的，基金管理人不得主动新增流动性受限资产的投资；</w:t>
      </w:r>
    </w:p>
    <w:p w14:paraId="5FA1D7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（14）本基金与私募类证券资管产品及中国证监会认定的其他主体为交易对手开展逆回购交易的，可接受质押品的资质要求应当与本基金合同约定的投资范围保持一致；</w:t>
      </w:r>
    </w:p>
    <w:p w14:paraId="7CF2709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（15）本基金资产总值不得超过基金资产净值的140%；</w:t>
      </w:r>
    </w:p>
    <w:p w14:paraId="0D017C8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（16）本基金投资存托凭证的比例限制依照境内上市交易的股票执行，与境内上市交易的股票合并计算；</w:t>
      </w:r>
    </w:p>
    <w:p w14:paraId="180084B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（17）法律法规及中国证监会规定的和《基金合同》约定的其他投资限制。</w:t>
      </w:r>
    </w:p>
    <w:p w14:paraId="29568C6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除上述（2）、（8）、（11）、（13）、（14）情形之外，因证券/期货市场波动、证券发行人合并、基金规模变动、标的指数成份股调整、标的指数成份股流动性限制、港股通额度不足等基金管理人之外的因素致使基金投资比例不符合上述规定投资比例的，基金管理人应当在10个交易日内进行调整，但中国证监会规定的特殊情形除外。</w:t>
      </w:r>
    </w:p>
    <w:p w14:paraId="07173FC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0C1C07C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法律法规或监管部门取消或调整上述限制，如适用于本基金，基金管理人在与基金托管人协商一致并履行适当程序后，则本基金投资不再受相关限制或按照调整后的规定执行。</w:t>
      </w:r>
    </w:p>
    <w:p w14:paraId="2912950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、禁止行为</w:t>
      </w:r>
    </w:p>
    <w:p w14:paraId="4C0A156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为维护基金份额持有人的合法权益，基金财产不得用于下列投资或者活动：</w:t>
      </w:r>
    </w:p>
    <w:p w14:paraId="2F66EFE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）承销证券；</w:t>
      </w:r>
    </w:p>
    <w:p w14:paraId="2922CA8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违反规定</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向他人贷款或者提供担保；</w:t>
      </w:r>
    </w:p>
    <w:p w14:paraId="7F125BC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（3）从事承担无限责任的投资；</w:t>
      </w:r>
    </w:p>
    <w:p w14:paraId="53BC192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（4）买卖其他基金份额，但是</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中国证监会</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另有规定的除外；</w:t>
      </w:r>
    </w:p>
    <w:p w14:paraId="38EBB2F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（5）向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其基金管理人、基金托管人</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出资</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4FA1222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6）从事内幕交易、操纵证券交易价格及其他不正当的证券交易活动；</w:t>
      </w:r>
    </w:p>
    <w:p w14:paraId="47FAA1C6">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法律、行政法规和中国证监会规定禁止的其他活动。</w:t>
      </w:r>
    </w:p>
    <w:p w14:paraId="339B4FD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的</w:t>
      </w:r>
      <w:r>
        <w:rPr>
          <w:rFonts w:hint="eastAsia" w:asciiTheme="minorEastAsia" w:hAnsiTheme="minorEastAsia"/>
          <w:color w:val="0D0D0D" w:themeColor="text1" w:themeTint="F2"/>
          <w14:textFill>
            <w14:solidFill>
              <w14:schemeClr w14:val="tx1">
                <w14:lumMod w14:val="95000"/>
                <w14:lumOff w14:val="5000"/>
              </w14:schemeClr>
            </w14:solidFill>
          </w14:textFill>
        </w:rPr>
        <w:t>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49578BA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法律</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、行政</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法规或监管部门取消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调整上述限制，如适用于本基金，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基金管理人在履行适当程序后，</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则本基金投资不再受相关限制</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或按照调整后的规定执行</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w:t>
      </w:r>
    </w:p>
    <w:p w14:paraId="171FBE7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五、</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标的</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指数与</w:t>
      </w:r>
      <w:r>
        <w:rPr>
          <w:rFonts w:hint="eastAsia" w:asciiTheme="minorEastAsia" w:hAnsiTheme="minorEastAsia"/>
          <w:color w:val="0D0D0D" w:themeColor="text1" w:themeTint="F2"/>
          <w14:textFill>
            <w14:solidFill>
              <w14:schemeClr w14:val="tx1">
                <w14:lumMod w14:val="95000"/>
                <w14:lumOff w14:val="5000"/>
              </w14:schemeClr>
            </w14:solidFill>
          </w14:textFill>
        </w:rPr>
        <w:t>业绩比较基准</w:t>
      </w:r>
    </w:p>
    <w:p w14:paraId="09570E20">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本基金的标的指数为恒生港股通</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红利</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低波动指数。</w:t>
      </w:r>
    </w:p>
    <w:p w14:paraId="1E100350">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本基金的业绩比较基准为标的指数收益率，即</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收益率。</w:t>
      </w:r>
    </w:p>
    <w:p w14:paraId="474BDDAA">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（1）业绩比较基准设定的原因</w:t>
      </w:r>
    </w:p>
    <w:p w14:paraId="00EF6F0B">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本基金为股票型ETF,主要采用完全复制法跟踪标的指数，追求跟踪偏离度和跟踪误差的最小化。本基金的标的指数为</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，相应选取</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作为基准要素，同时将</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的基准要素权重设置为100%。</w:t>
      </w:r>
    </w:p>
    <w:p w14:paraId="39348EAA">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综上，本基金选取的业绩比较基准与基金投资目标、投资范围、投资策略、投资比例限制相匹配。</w:t>
      </w:r>
    </w:p>
    <w:p w14:paraId="2F98E076">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（2）业绩比较基准要素的基本信息</w:t>
      </w:r>
    </w:p>
    <w:p w14:paraId="3167F349">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由恒生指数有限公司编制发布，指数代码为HSHYLV，具体信息详见恒生指数有限公司网站，网址：https://www.hsi.com.hk/eng。</w:t>
      </w:r>
    </w:p>
    <w:p w14:paraId="04993DB3">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（3）业绩比较基准的计算方法</w:t>
      </w:r>
    </w:p>
    <w:p w14:paraId="19AA6792">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本基金业绩比较基准收益率的计算方法以每日收益率为基础，以时间加权为计算原则。</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恒生港股通红利低波动指数</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收益率采用估值汇率进行调整，由港元计价折算为人民币计价后，再纳入计算。</w:t>
      </w:r>
    </w:p>
    <w:p w14:paraId="0DFBB1FC">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（4）管理投资偏离业绩比较基准的定性或定量方法</w:t>
      </w:r>
    </w:p>
    <w:p w14:paraId="490E04E6">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主要采用完全复制法，即按照标的指数成份股及其权重构建基金的股票投资组合，并根据标的指数成份股及其权重的变动对股票投资组合进行相应地调整。在因特殊情形导致基金无法完全投资于标的指数成份股时，本基金可采取包括成份股替代策略在内的其他指数投资技术适当调整基金投资组合，以达到紧密跟踪标的指数的目的。本基金力争将日均跟踪偏离度的绝对值控制在0.35%以内，年化跟踪误差控制在4%以内。如因标的指数编制规则调整或其他因素导致跟踪误差超过上述范围的，本基金将采取合理措施避免跟踪误差过大。</w:t>
      </w:r>
    </w:p>
    <w:p w14:paraId="7D952348">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（5）未来可能变更业绩比较基准的情况和程序</w:t>
      </w:r>
    </w:p>
    <w:p w14:paraId="0ABDCA0F">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若本基金调整业绩比较基准的要素权重，本基金将根据法律法规、中国证监会的规定和基金合同约定履行相关程序。</w:t>
      </w:r>
    </w:p>
    <w:p w14:paraId="52064126">
      <w:pPr>
        <w:numPr>
          <w:ilvl w:val="-1"/>
          <w:numId w:val="0"/>
        </w:num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 </w:t>
      </w:r>
    </w:p>
    <w:p w14:paraId="0394886C">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自指数编制机构停止标的指数的编制及发布至解决方案确定期间，基金管理人应按照指数编制机构提供的最近一个交易日的指数信息遵循基金份额持有人利益优先原则维持基金投资运作。</w:t>
      </w:r>
    </w:p>
    <w:p w14:paraId="0F2F2DA2">
      <w:pPr>
        <w:adjustRightInd w:val="0"/>
        <w:snapToGrid w:val="0"/>
        <w:spacing w:line="360" w:lineRule="auto"/>
        <w:ind w:firstLine="420" w:firstLineChars="200"/>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法律法规或监管机构另有规定的，从其规定。</w:t>
      </w:r>
    </w:p>
    <w:p w14:paraId="1912286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六、</w:t>
      </w:r>
      <w:r>
        <w:rPr>
          <w:rFonts w:hint="eastAsia" w:asciiTheme="minorEastAsia" w:hAnsiTheme="minorEastAsia"/>
          <w:color w:val="0D0D0D" w:themeColor="text1" w:themeTint="F2"/>
          <w14:textFill>
            <w14:solidFill>
              <w14:schemeClr w14:val="tx1">
                <w14:lumMod w14:val="95000"/>
                <w14:lumOff w14:val="5000"/>
              </w14:schemeClr>
            </w14:solidFill>
          </w14:textFill>
        </w:rPr>
        <w:t>风险收益特征</w:t>
      </w:r>
    </w:p>
    <w:p w14:paraId="36A872E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353" w:name="_Toc92662704"/>
      <w:bookmarkStart w:id="354" w:name="_Toc93226145"/>
      <w:bookmarkStart w:id="355" w:name="_Toc20102"/>
      <w:bookmarkStart w:id="356" w:name="_Toc139991743"/>
      <w:bookmarkStart w:id="357" w:name="_Toc128310496"/>
      <w:bookmarkStart w:id="358" w:name="_Toc21642"/>
      <w:bookmarkStart w:id="359" w:name="_Toc29561"/>
      <w:bookmarkStart w:id="360" w:name="_Toc31611"/>
      <w:bookmarkStart w:id="361" w:name="_Toc32030"/>
      <w:bookmarkStart w:id="362" w:name="_Toc26114"/>
      <w:bookmarkStart w:id="363" w:name="_Toc20782"/>
      <w:bookmarkStart w:id="364" w:name="_Toc18000"/>
      <w:bookmarkStart w:id="365" w:name="_Toc13819"/>
      <w:bookmarkStart w:id="366" w:name="_Toc24474"/>
      <w:bookmarkStart w:id="367" w:name="_Toc141703893"/>
      <w:bookmarkStart w:id="368" w:name="_Toc3054"/>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本基金属于股票型基金，其预期收益及</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预期</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风险水平高于混合</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型</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基金、债券</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型</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基金与货币市场基金。</w:t>
      </w:r>
    </w:p>
    <w:p w14:paraId="4EB0505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本基金为被动式投资的股票型指数基金，跟踪恒生港股通</w:t>
      </w:r>
      <w:r>
        <w:rPr>
          <w:rFonts w:hint="eastAsia" w:asciiTheme="minorEastAsia" w:hAnsiTheme="minorEastAsia" w:eastAsiaTheme="minorEastAsia"/>
          <w:color w:val="0D0D0D" w:themeColor="text1" w:themeTint="F2"/>
          <w:lang w:eastAsia="zh-CN"/>
          <w14:textFill>
            <w14:solidFill>
              <w14:schemeClr w14:val="tx1">
                <w14:lumMod w14:val="95000"/>
                <w14:lumOff w14:val="5000"/>
              </w14:schemeClr>
            </w14:solidFill>
          </w14:textFill>
        </w:rPr>
        <w:t>红利</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低波动指数，其风险收益特征与标的指数所表征的市场组合的风险收益特征相似。本基金投资港股通标的股票，除了需要承担与境内证券投资基金类似的市场波动风险等一般投资风险之外，本基金还面临汇率风险、香港市场风险等境外证券市场投资所面临的特别投资风险。</w:t>
      </w:r>
    </w:p>
    <w:p w14:paraId="4FB077E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七、</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基金管理人代表基金行使股东或债权人权利的处理原则及方法</w:t>
      </w:r>
    </w:p>
    <w:p w14:paraId="2878836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1、基金管理人按照国家有关规定代表基金独立行使股东或债权人权利，保护基金份额持有人的利益； </w:t>
      </w:r>
    </w:p>
    <w:p w14:paraId="6EBF2E9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2、不谋求对上市公司的控股； </w:t>
      </w:r>
    </w:p>
    <w:p w14:paraId="1BD8BCC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3、有利于基金财产的安全与增值； </w:t>
      </w:r>
    </w:p>
    <w:p w14:paraId="6DE42BE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4、不通过关联交易为自身、雇员、授权代理人或任何存在利害关系的第三人牟取任何不当利益。</w:t>
      </w:r>
    </w:p>
    <w:p w14:paraId="2D63D21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369" w:name="_Hlt70058259"/>
      <w:bookmarkEnd w:id="369"/>
    </w:p>
    <w:p w14:paraId="27D2F007">
      <w:pPr>
        <w:pStyle w:val="2"/>
        <w:sectPr>
          <w:footerReference r:id="rId21" w:type="default"/>
          <w:pgSz w:w="11906" w:h="16838"/>
          <w:pgMar w:top="1440" w:right="1800" w:bottom="1440" w:left="1800" w:header="851" w:footer="992" w:gutter="0"/>
          <w:pgNumType w:start="1"/>
          <w:cols w:space="425" w:num="1"/>
          <w:docGrid w:type="lines" w:linePitch="312" w:charSpace="0"/>
        </w:sectPr>
      </w:pPr>
      <w:bookmarkStart w:id="370" w:name="_Toc90742399"/>
      <w:bookmarkStart w:id="371" w:name="_Toc90742330"/>
      <w:bookmarkStart w:id="372" w:name="_Toc90742697"/>
    </w:p>
    <w:bookmarkEnd w:id="352"/>
    <w:p w14:paraId="64687DF8">
      <w:pPr>
        <w:pStyle w:val="2"/>
      </w:pPr>
      <w:bookmarkStart w:id="373" w:name="CTS_cdb3939cfcec4330a25cfcb4ecc653e8"/>
      <w:bookmarkEnd w:id="373"/>
      <w:bookmarkStart w:id="374" w:name="_Toc6057"/>
      <w:bookmarkStart w:id="375" w:name="CLAUSE_cdb3939cfcec4330a25cfcb4ecc653e8"/>
      <w:r>
        <w:rPr>
          <w:rFonts w:hint="eastAsia" w:cs="Arial"/>
        </w:rPr>
        <w:t>第十五部分</w:t>
      </w:r>
      <w:r>
        <w:rPr>
          <w:rFonts w:hint="eastAsia"/>
        </w:rPr>
        <w:t xml:space="preserve"> 基金</w:t>
      </w:r>
      <w:bookmarkEnd w:id="353"/>
      <w:bookmarkEnd w:id="354"/>
      <w:r>
        <w:rPr>
          <w:rFonts w:hint="eastAsia"/>
        </w:rPr>
        <w:t>的财产</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70"/>
      <w:bookmarkEnd w:id="371"/>
      <w:bookmarkEnd w:id="372"/>
      <w:bookmarkEnd w:id="374"/>
    </w:p>
    <w:p w14:paraId="3436EA19">
      <w:pPr>
        <w:spacing w:line="360" w:lineRule="auto"/>
        <w:ind w:firstLine="480" w:firstLineChars="200"/>
        <w:rPr>
          <w:rFonts w:asciiTheme="minorEastAsia" w:hAnsiTheme="minorEastAsia"/>
          <w:sz w:val="24"/>
        </w:rPr>
      </w:pPr>
    </w:p>
    <w:p w14:paraId="5BA8337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一、基金资产总值</w:t>
      </w:r>
    </w:p>
    <w:p w14:paraId="7B6E113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基金资产总值是指</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基金拥有</w:t>
      </w:r>
      <w:r>
        <w:rPr>
          <w:rFonts w:hint="eastAsia" w:asciiTheme="minorEastAsia" w:hAnsiTheme="minorEastAsia"/>
          <w:color w:val="0D0D0D" w:themeColor="text1" w:themeTint="F2"/>
          <w14:textFill>
            <w14:solidFill>
              <w14:schemeClr w14:val="tx1">
                <w14:lumMod w14:val="95000"/>
                <w14:lumOff w14:val="5000"/>
              </w14:schemeClr>
            </w14:solidFill>
          </w14:textFill>
        </w:rPr>
        <w:t>的各类</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有价证券</w:t>
      </w:r>
      <w:r>
        <w:rPr>
          <w:rFonts w:hint="eastAsia" w:asciiTheme="minorEastAsia" w:hAnsiTheme="minorEastAsia"/>
          <w:color w:val="0D0D0D" w:themeColor="text1" w:themeTint="F2"/>
          <w14:textFill>
            <w14:solidFill>
              <w14:schemeClr w14:val="tx1">
                <w14:lumMod w14:val="95000"/>
                <w14:lumOff w14:val="5000"/>
              </w14:schemeClr>
            </w14:solidFill>
          </w14:textFill>
        </w:rPr>
        <w:t>、银行存款本息</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基金应收款项</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及其他资产</w:t>
      </w:r>
      <w:r>
        <w:rPr>
          <w:rFonts w:hint="eastAsia" w:asciiTheme="minorEastAsia" w:hAnsiTheme="minorEastAsia"/>
          <w:color w:val="0D0D0D" w:themeColor="text1" w:themeTint="F2"/>
          <w14:textFill>
            <w14:solidFill>
              <w14:schemeClr w14:val="tx1">
                <w14:lumMod w14:val="95000"/>
                <w14:lumOff w14:val="5000"/>
              </w14:schemeClr>
            </w14:solidFill>
          </w14:textFill>
        </w:rPr>
        <w:t>的价值总和。</w:t>
      </w:r>
    </w:p>
    <w:p w14:paraId="42DF3EA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二、基金资产净值</w:t>
      </w:r>
    </w:p>
    <w:p w14:paraId="63562E9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基金资产净值是指基金资产总值减去基金负债后的价值。</w:t>
      </w:r>
    </w:p>
    <w:p w14:paraId="0D23559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三、基金财产的账户</w:t>
      </w:r>
    </w:p>
    <w:p w14:paraId="6B3CEB9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或基金管理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bookmarkStart w:id="376" w:name="_Hlt88841837"/>
      <w:bookmarkEnd w:id="376"/>
    </w:p>
    <w:p w14:paraId="18CA6AF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四、基金财产的保管和处分</w:t>
      </w:r>
      <w:bookmarkStart w:id="377" w:name="_Hlt88900062"/>
      <w:bookmarkEnd w:id="377"/>
    </w:p>
    <w:p w14:paraId="0FFD9DA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40F0865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01B7127D">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378" w:name="_Hlt70506067"/>
      <w:bookmarkEnd w:id="378"/>
      <w:bookmarkStart w:id="379" w:name="_Hlt70482237"/>
      <w:bookmarkEnd w:id="379"/>
      <w:bookmarkStart w:id="380" w:name="_Toc31917"/>
      <w:bookmarkStart w:id="381" w:name="_Toc871"/>
      <w:bookmarkStart w:id="382" w:name="_Toc27832"/>
      <w:bookmarkStart w:id="383" w:name="_Toc7802"/>
      <w:bookmarkStart w:id="384" w:name="_Toc2623"/>
      <w:bookmarkStart w:id="385" w:name="_Toc17782"/>
      <w:bookmarkStart w:id="386" w:name="_Toc19714"/>
      <w:bookmarkStart w:id="387" w:name="_Toc139991744"/>
      <w:bookmarkStart w:id="388" w:name="_Toc141703894"/>
    </w:p>
    <w:p w14:paraId="693F97A9">
      <w:pPr>
        <w:pStyle w:val="2"/>
        <w:sectPr>
          <w:footerReference r:id="rId22" w:type="default"/>
          <w:pgSz w:w="11906" w:h="16838"/>
          <w:pgMar w:top="1440" w:right="1800" w:bottom="1440" w:left="1800" w:header="851" w:footer="992" w:gutter="0"/>
          <w:pgNumType w:start="1"/>
          <w:cols w:space="425" w:num="1"/>
          <w:docGrid w:type="lines" w:linePitch="312" w:charSpace="0"/>
        </w:sectPr>
      </w:pPr>
      <w:bookmarkStart w:id="389" w:name="_Toc90742698"/>
      <w:bookmarkStart w:id="390" w:name="_Toc90742400"/>
      <w:bookmarkStart w:id="391" w:name="_Toc90742331"/>
    </w:p>
    <w:bookmarkEnd w:id="375"/>
    <w:p w14:paraId="03447459">
      <w:pPr>
        <w:pStyle w:val="2"/>
      </w:pPr>
      <w:bookmarkStart w:id="392" w:name="CTS_61fe40d983b44dbaab7c97b19094c415"/>
      <w:bookmarkEnd w:id="392"/>
      <w:bookmarkStart w:id="393" w:name="_Toc30857"/>
      <w:bookmarkStart w:id="394" w:name="CLAUSE_61fe40d983b44dbaab7c97b19094c415"/>
      <w:r>
        <w:rPr>
          <w:rFonts w:hint="eastAsia" w:cs="Arial"/>
        </w:rPr>
        <w:t>第十六</w:t>
      </w:r>
      <w:r>
        <w:rPr>
          <w:rFonts w:hint="eastAsia"/>
        </w:rPr>
        <w:t>部分</w:t>
      </w:r>
      <w:r>
        <w:t xml:space="preserve"> </w:t>
      </w:r>
      <w:r>
        <w:rPr>
          <w:rFonts w:hint="eastAsia"/>
        </w:rPr>
        <w:t>基金资产</w:t>
      </w:r>
      <w:r>
        <w:rPr>
          <w:rFonts w:cs="Arial"/>
        </w:rPr>
        <w:t>的</w:t>
      </w:r>
      <w:r>
        <w:rPr>
          <w:rFonts w:hint="eastAsia"/>
        </w:rPr>
        <w:t>估值</w:t>
      </w:r>
      <w:bookmarkEnd w:id="380"/>
      <w:bookmarkEnd w:id="381"/>
      <w:bookmarkEnd w:id="382"/>
      <w:bookmarkEnd w:id="383"/>
      <w:bookmarkEnd w:id="384"/>
      <w:bookmarkEnd w:id="385"/>
      <w:bookmarkEnd w:id="386"/>
      <w:bookmarkEnd w:id="389"/>
      <w:bookmarkEnd w:id="390"/>
      <w:bookmarkEnd w:id="391"/>
      <w:bookmarkEnd w:id="393"/>
    </w:p>
    <w:bookmarkEnd w:id="387"/>
    <w:bookmarkEnd w:id="388"/>
    <w:p w14:paraId="793A3B24">
      <w:pPr>
        <w:spacing w:line="360" w:lineRule="auto"/>
        <w:ind w:firstLine="480" w:firstLineChars="200"/>
        <w:rPr>
          <w:rFonts w:asciiTheme="minorEastAsia" w:hAnsiTheme="minorEastAsia"/>
          <w:sz w:val="24"/>
        </w:rPr>
      </w:pPr>
      <w:bookmarkStart w:id="395" w:name="_Toc141703895"/>
      <w:bookmarkStart w:id="396" w:name="_Toc139991745"/>
      <w:bookmarkStart w:id="397" w:name="_Toc32046"/>
    </w:p>
    <w:p w14:paraId="0B6339A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一、估值日</w:t>
      </w:r>
    </w:p>
    <w:p w14:paraId="2AF4167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本基金的估值日为本基金相关的证券、期货交易场所的交易日以及国家法律法规规定需要对外披露基金净值的非交易日。</w:t>
      </w:r>
    </w:p>
    <w:p w14:paraId="79F1EBE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二、估值对象</w:t>
      </w:r>
    </w:p>
    <w:p w14:paraId="010DBB4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基金所拥有的股票（含存托凭证）、债券</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、国债期货合约、股指期货合约、股票期权合约、资产支持证券</w:t>
      </w:r>
      <w:r>
        <w:rPr>
          <w:rFonts w:hint="eastAsia" w:asciiTheme="minorEastAsia" w:hAnsiTheme="minorEastAsia"/>
          <w:color w:val="0D0D0D" w:themeColor="text1" w:themeTint="F2"/>
          <w14:textFill>
            <w14:solidFill>
              <w14:schemeClr w14:val="tx1">
                <w14:lumMod w14:val="95000"/>
                <w14:lumOff w14:val="5000"/>
              </w14:schemeClr>
            </w14:solidFill>
          </w14:textFill>
        </w:rPr>
        <w:t>和银行存款本息、应收款项、其它投资等资产及负债。</w:t>
      </w:r>
    </w:p>
    <w:p w14:paraId="5C8CF70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三、估值原则</w:t>
      </w:r>
    </w:p>
    <w:p w14:paraId="1259BB4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基金管理人在确定相关金融资产和金融负债的公允价值时，应符合《企业会计准则》、监管部门有关规定。</w:t>
      </w:r>
    </w:p>
    <w:p w14:paraId="41F341C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（一）</w:t>
      </w:r>
      <w:r>
        <w:rPr>
          <w:rFonts w:hint="eastAsia" w:asciiTheme="minorEastAsia" w:hAnsiTheme="minorEastAsia"/>
          <w:color w:val="0D0D0D" w:themeColor="text1" w:themeTint="F2"/>
          <w14:textFill>
            <w14:solidFill>
              <w14:schemeClr w14:val="tx1">
                <w14:lumMod w14:val="95000"/>
                <w14:lumOff w14:val="5000"/>
              </w14:schemeClr>
            </w14:solidFill>
          </w14:textFill>
        </w:rPr>
        <w:t>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363E68A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与上述投资品种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相同</w:t>
      </w:r>
      <w:r>
        <w:rPr>
          <w:rFonts w:hint="eastAsia" w:asciiTheme="minorEastAsia" w:hAnsiTheme="minorEastAsia"/>
          <w:color w:val="0D0D0D" w:themeColor="text1" w:themeTint="F2"/>
          <w14:textFill>
            <w14:solidFill>
              <w14:schemeClr w14:val="tx1">
                <w14:lumMod w14:val="95000"/>
                <w14:lumOff w14:val="5000"/>
              </w14:schemeClr>
            </w14:solidFill>
          </w14:textFill>
        </w:rPr>
        <w:t>，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66B0009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w:t>
      </w:r>
      <w:r>
        <w:rPr>
          <w:rFonts w:hint="eastAsia" w:asciiTheme="minorEastAsia" w:hAnsiTheme="minorEastAsia"/>
          <w:color w:val="0D0D0D" w:themeColor="text1" w:themeTint="F2"/>
          <w14:textFill>
            <w14:solidFill>
              <w14:schemeClr w14:val="tx1">
                <w14:lumMod w14:val="95000"/>
                <w14:lumOff w14:val="5000"/>
              </w14:schemeClr>
            </w14:solidFill>
          </w14:textFill>
        </w:rPr>
        <w:t>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34D8A04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四、估值方法</w:t>
      </w:r>
    </w:p>
    <w:p w14:paraId="300F5CD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交易所上市</w:t>
      </w:r>
      <w:r>
        <w:rPr>
          <w:rFonts w:hint="eastAsia" w:asciiTheme="minorEastAsia" w:hAnsiTheme="minorEastAsia"/>
          <w:color w:val="0D0D0D" w:themeColor="text1" w:themeTint="F2"/>
          <w14:textFill>
            <w14:solidFill>
              <w14:schemeClr w14:val="tx1">
                <w14:lumMod w14:val="95000"/>
                <w14:lumOff w14:val="5000"/>
              </w14:schemeClr>
            </w14:solidFill>
          </w14:textFill>
        </w:rPr>
        <w:t>或挂牌转让</w:t>
      </w:r>
      <w:r>
        <w:rPr>
          <w:rFonts w:asciiTheme="minorEastAsia" w:hAnsiTheme="minorEastAsia"/>
          <w:color w:val="0D0D0D" w:themeColor="text1" w:themeTint="F2"/>
          <w14:textFill>
            <w14:solidFill>
              <w14:schemeClr w14:val="tx1">
                <w14:lumMod w14:val="95000"/>
                <w14:lumOff w14:val="5000"/>
              </w14:schemeClr>
            </w14:solidFill>
          </w14:textFill>
        </w:rPr>
        <w:t>的有价证券（包括股票等</w:t>
      </w:r>
      <w:r>
        <w:rPr>
          <w:rFonts w:hint="eastAsia" w:asciiTheme="minorEastAsia" w:hAnsiTheme="minorEastAsia"/>
          <w:color w:val="0D0D0D" w:themeColor="text1" w:themeTint="F2"/>
          <w14:textFill>
            <w14:solidFill>
              <w14:schemeClr w14:val="tx1">
                <w14:lumMod w14:val="95000"/>
                <w14:lumOff w14:val="5000"/>
              </w14:schemeClr>
            </w14:solidFill>
          </w14:textFill>
        </w:rPr>
        <w:t>，本基金合同另有规定的除外</w:t>
      </w:r>
      <w:r>
        <w:rPr>
          <w:rFonts w:asciiTheme="minorEastAsia" w:hAnsiTheme="minorEastAsia"/>
          <w:color w:val="0D0D0D" w:themeColor="text1" w:themeTint="F2"/>
          <w14:textFill>
            <w14:solidFill>
              <w14:schemeClr w14:val="tx1">
                <w14:lumMod w14:val="95000"/>
                <w14:lumOff w14:val="5000"/>
              </w14:schemeClr>
            </w14:solidFill>
          </w14:textFill>
        </w:rPr>
        <w:t>），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w:t>
      </w:r>
      <w:r>
        <w:rPr>
          <w:rFonts w:hint="eastAsia" w:asciiTheme="minorEastAsia" w:hAnsiTheme="minorEastAsia"/>
          <w:color w:val="0D0D0D" w:themeColor="text1" w:themeTint="F2"/>
          <w14:textFill>
            <w14:solidFill>
              <w14:schemeClr w14:val="tx1">
                <w14:lumMod w14:val="95000"/>
                <w14:lumOff w14:val="5000"/>
              </w14:schemeClr>
            </w14:solidFill>
          </w14:textFill>
        </w:rPr>
        <w:t>或</w:t>
      </w:r>
      <w:r>
        <w:rPr>
          <w:rFonts w:asciiTheme="minorEastAsia" w:hAnsiTheme="minorEastAsia"/>
          <w:color w:val="0D0D0D" w:themeColor="text1" w:themeTint="F2"/>
          <w14:textFill>
            <w14:solidFill>
              <w14:schemeClr w14:val="tx1">
                <w14:lumMod w14:val="95000"/>
                <w14:lumOff w14:val="5000"/>
              </w14:schemeClr>
            </w14:solidFill>
          </w14:textFill>
        </w:rPr>
        <w:t>证券发行机构发生影响证券价格的重大事件的，可参考类似投资品种的现行市价及重大变化因素，调整最近交易市价，确定公允价格。</w:t>
      </w:r>
    </w:p>
    <w:p w14:paraId="6E04CD7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对于已上市或已挂牌转让的不含权固定收益品种，选取估值日第三方估值基准服务机构提供的相应品种当日的估值</w:t>
      </w:r>
      <w:r>
        <w:rPr>
          <w:rFonts w:hint="eastAsia" w:asciiTheme="minorEastAsia" w:hAnsiTheme="minorEastAsia"/>
          <w:color w:val="0D0D0D" w:themeColor="text1" w:themeTint="F2"/>
          <w14:textFill>
            <w14:solidFill>
              <w14:schemeClr w14:val="tx1">
                <w14:lumMod w14:val="95000"/>
                <w14:lumOff w14:val="5000"/>
              </w14:schemeClr>
            </w14:solidFill>
          </w14:textFill>
        </w:rPr>
        <w:t>全</w:t>
      </w:r>
      <w:r>
        <w:rPr>
          <w:rFonts w:asciiTheme="minorEastAsia" w:hAnsiTheme="minorEastAsia"/>
          <w:color w:val="0D0D0D" w:themeColor="text1" w:themeTint="F2"/>
          <w14:textFill>
            <w14:solidFill>
              <w14:schemeClr w14:val="tx1">
                <w14:lumMod w14:val="95000"/>
                <w14:lumOff w14:val="5000"/>
              </w14:schemeClr>
            </w14:solidFill>
          </w14:textFill>
        </w:rPr>
        <w:t>价进行估值</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4E26E45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对于已上市或已挂牌转让的含权固定收益品种，选取估值日第三方估值基准服务机构提供的相应品种当日的唯一估值</w:t>
      </w:r>
      <w:r>
        <w:rPr>
          <w:rFonts w:hint="eastAsia" w:asciiTheme="minorEastAsia" w:hAnsiTheme="minorEastAsia"/>
          <w:color w:val="0D0D0D" w:themeColor="text1" w:themeTint="F2"/>
          <w14:textFill>
            <w14:solidFill>
              <w14:schemeClr w14:val="tx1">
                <w14:lumMod w14:val="95000"/>
                <w14:lumOff w14:val="5000"/>
              </w14:schemeClr>
            </w14:solidFill>
          </w14:textFill>
        </w:rPr>
        <w:t>全</w:t>
      </w:r>
      <w:r>
        <w:rPr>
          <w:rFonts w:asciiTheme="minorEastAsia" w:hAnsiTheme="minorEastAsia"/>
          <w:color w:val="0D0D0D" w:themeColor="text1" w:themeTint="F2"/>
          <w14:textFill>
            <w14:solidFill>
              <w14:schemeClr w14:val="tx1">
                <w14:lumMod w14:val="95000"/>
                <w14:lumOff w14:val="5000"/>
              </w14:schemeClr>
            </w14:solidFill>
          </w14:textFill>
        </w:rPr>
        <w:t>价或推荐估值</w:t>
      </w:r>
      <w:r>
        <w:rPr>
          <w:rFonts w:hint="eastAsia" w:asciiTheme="minorEastAsia" w:hAnsiTheme="minorEastAsia"/>
          <w:color w:val="0D0D0D" w:themeColor="text1" w:themeTint="F2"/>
          <w14:textFill>
            <w14:solidFill>
              <w14:schemeClr w14:val="tx1">
                <w14:lumMod w14:val="95000"/>
                <w14:lumOff w14:val="5000"/>
              </w14:schemeClr>
            </w14:solidFill>
          </w14:textFill>
        </w:rPr>
        <w:t>全</w:t>
      </w:r>
      <w:r>
        <w:rPr>
          <w:rFonts w:asciiTheme="minorEastAsia" w:hAnsiTheme="minorEastAsia"/>
          <w:color w:val="0D0D0D" w:themeColor="text1" w:themeTint="F2"/>
          <w14:textFill>
            <w14:solidFill>
              <w14:schemeClr w14:val="tx1">
                <w14:lumMod w14:val="95000"/>
                <w14:lumOff w14:val="5000"/>
              </w14:schemeClr>
            </w14:solidFill>
          </w14:textFill>
        </w:rPr>
        <w:t>价进行估值</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5C570A6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对于含投资者回售权的固定收益品种，行使回售权的，在回售登记日至实际收款日期间选取第三方估值基准服务机构提供的相应品种的唯一估值全价或推荐估值全价。回售登记期截止日（含当日）后未行使回售权的</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按照长待偿期所对应的价格进行估值。</w:t>
      </w:r>
    </w:p>
    <w:p w14:paraId="4DD0E21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7CA2A86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w:t>
      </w:r>
      <w:r>
        <w:rPr>
          <w:rFonts w:asciiTheme="minorEastAsia" w:hAnsiTheme="minorEastAsia"/>
          <w:color w:val="0D0D0D" w:themeColor="text1" w:themeTint="F2"/>
          <w14:textFill>
            <w14:solidFill>
              <w14:schemeClr w14:val="tx1">
                <w14:lumMod w14:val="95000"/>
                <w14:lumOff w14:val="5000"/>
              </w14:schemeClr>
            </w14:solidFill>
          </w14:textFill>
        </w:rPr>
        <w:t>对于未上市或未挂牌转让且不存在活跃市场的固定收益品种，应采用在当前情况下适用并且有足够可利用数据和其他信息支持的估值技术确定其公允价值。</w:t>
      </w:r>
    </w:p>
    <w:p w14:paraId="3857A87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6、处于未上市期间的股票应区分如下情况处理：</w:t>
      </w:r>
    </w:p>
    <w:p w14:paraId="1923836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（1）送股、转增股、配股和公开增发的新股，按估值日在证券交易所挂牌的同一股票的估值方法估值；该日无交易的，以最近一日的市价（收盘价）估值；</w:t>
      </w:r>
    </w:p>
    <w:p w14:paraId="0A22A28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）首次公开发行未上市的股票，采用估值技术确定公允价值，在估值技术难以可靠计量公允价值的情况下，按成本估值；</w:t>
      </w:r>
    </w:p>
    <w:p w14:paraId="45501BA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2228549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、本基金投资存托凭证的估值核算，依照境内上市交易的股票执行。</w:t>
      </w:r>
    </w:p>
    <w:p w14:paraId="310BE31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color w:val="0D0D0D" w:themeColor="text1" w:themeTint="F2"/>
          <w14:textFill>
            <w14:solidFill>
              <w14:schemeClr w14:val="tx1">
                <w14:lumMod w14:val="95000"/>
                <w14:lumOff w14:val="5000"/>
              </w14:schemeClr>
            </w14:solidFill>
          </w14:textFill>
        </w:rPr>
        <w:t>、同一证券同时在两个或两个以上市场交易的，按证券所处的市场分别估值。</w:t>
      </w:r>
    </w:p>
    <w:p w14:paraId="205A5FB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9</w:t>
      </w: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、本基金投资股指期货、国债期货合约，一般以估值当日结算价确定公允价值，估值当日无结算价的，且最近交易日后未发生影响公允价值计量的重大事件的，采用最近交易日结算价估值。</w:t>
      </w:r>
    </w:p>
    <w:p w14:paraId="74A81B6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10</w:t>
      </w: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、本基金投资股票期权，根据相关法律法规以及监管部门的规定估值。</w:t>
      </w:r>
    </w:p>
    <w:p w14:paraId="145D493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11</w:t>
      </w:r>
      <w:r>
        <w:rPr>
          <w:rFonts w:hint="eastAsia" w:asciiTheme="minorEastAsia" w:hAnsiTheme="minorEastAsia"/>
          <w:color w:val="0D0D0D" w:themeColor="text1" w:themeTint="F2"/>
          <w14:textFill>
            <w14:solidFill>
              <w14:schemeClr w14:val="tx1">
                <w14:lumMod w14:val="95000"/>
                <w14:lumOff w14:val="5000"/>
              </w14:schemeClr>
            </w14:solidFill>
          </w14:textFill>
        </w:rPr>
        <w:t>、本基金参与融资及转融通证券出借业务的，应参照法律法规及行业协会的相关规定进行估值。</w:t>
      </w:r>
    </w:p>
    <w:p w14:paraId="6F5922D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、汇率</w:t>
      </w:r>
    </w:p>
    <w:p w14:paraId="68A42FD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本基金外币资产价值计算中，涉及主要货币对人民币汇率的，应当以基金估值日中国人民银行或其授权机构公布的人民币汇率中间价或其他可以反映公允价值的汇率进行估值。</w:t>
      </w:r>
    </w:p>
    <w:p w14:paraId="3319A5A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13</w:t>
      </w:r>
      <w:r>
        <w:rPr>
          <w:rFonts w:hint="eastAsia" w:asciiTheme="minorEastAsia" w:hAnsiTheme="minorEastAsia"/>
          <w:color w:val="0D0D0D" w:themeColor="text1" w:themeTint="F2"/>
          <w14:textFill>
            <w14:solidFill>
              <w14:schemeClr w14:val="tx1">
                <w14:lumMod w14:val="95000"/>
                <w14:lumOff w14:val="5000"/>
              </w14:schemeClr>
            </w14:solidFill>
          </w14:textFill>
        </w:rPr>
        <w:t>、如有确凿证据表明按上述方法进行估值不能客观反映其公允价值的，基金管理人可根据具体情况与基金托管人商定后，按最能反映公允价值的方法估值。</w:t>
      </w:r>
    </w:p>
    <w:p w14:paraId="0E829D6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14</w:t>
      </w:r>
      <w:r>
        <w:rPr>
          <w:rFonts w:hint="eastAsia" w:asciiTheme="minorEastAsia" w:hAnsiTheme="minorEastAsia"/>
          <w:color w:val="0D0D0D" w:themeColor="text1" w:themeTint="F2"/>
          <w14:textFill>
            <w14:solidFill>
              <w14:schemeClr w14:val="tx1">
                <w14:lumMod w14:val="95000"/>
                <w14:lumOff w14:val="5000"/>
              </w14:schemeClr>
            </w14:solidFill>
          </w14:textFill>
        </w:rPr>
        <w:t>、相关法律法规以及监管部门有强制规定的，从其规定。如有新增事项，按国家最新规定估值。</w:t>
      </w:r>
    </w:p>
    <w:p w14:paraId="75544DE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如基金管理人或基金托管人发现基金估值违反基金合同订明的估值方法、程序及相关法律法规的规定或者未能充分维护基金份额持有人利益时，应立即通知对方，共同查明原因，双方协商解决。</w:t>
      </w:r>
    </w:p>
    <w:p w14:paraId="3BFCEAD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0BABF74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五、估值程序</w:t>
      </w:r>
    </w:p>
    <w:p w14:paraId="0D33E34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、基金份额净值是按照每个工作日闭市后，基金资产净值除以当日基金份额的余额数量计算，精确到0.0001元，小数点后第</w:t>
      </w:r>
      <w:r>
        <w:rPr>
          <w:rFonts w:asciiTheme="minorEastAsia" w:hAnsi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位四舍五入，由此产生的误差计入基金财产。基金管理人可以设立大额赎回情形下的净值精度应急调整机制。国家另有规定的，从其规定。</w:t>
      </w:r>
    </w:p>
    <w:p w14:paraId="396BB8D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基金管理人于</w:t>
      </w:r>
      <w:r>
        <w:rPr>
          <w:rFonts w:hint="eastAsia" w:asciiTheme="minorEastAsia" w:hAnsiTheme="minorEastAsia"/>
          <w:color w:val="0D0D0D" w:themeColor="text1" w:themeTint="F2"/>
          <w14:textFill>
            <w14:solidFill>
              <w14:schemeClr w14:val="tx1">
                <w14:lumMod w14:val="95000"/>
                <w14:lumOff w14:val="5000"/>
              </w14:schemeClr>
            </w14:solidFill>
          </w14:textFill>
        </w:rPr>
        <w:t>每个工作日计算基金资产净值及基金份额净值，并按规定公告。</w:t>
      </w:r>
    </w:p>
    <w:p w14:paraId="4C44BDD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按约定</w:t>
      </w:r>
      <w:r>
        <w:rPr>
          <w:rFonts w:hint="eastAsia" w:asciiTheme="minorEastAsia" w:hAnsiTheme="minorEastAsia"/>
          <w:color w:val="0D0D0D" w:themeColor="text1" w:themeTint="F2"/>
          <w14:textFill>
            <w14:solidFill>
              <w14:schemeClr w14:val="tx1">
                <w14:lumMod w14:val="95000"/>
                <w14:lumOff w14:val="5000"/>
              </w14:schemeClr>
            </w14:solidFill>
          </w14:textFill>
        </w:rPr>
        <w:t>对外公布。</w:t>
      </w:r>
    </w:p>
    <w:p w14:paraId="631A8AB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六、估值错误的处理</w:t>
      </w:r>
    </w:p>
    <w:p w14:paraId="7888B3F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基金管理人和基金托管人将采取必要、适当、合理的措施确保基金资产估值的准确性、及时性。当基金份额净值小数点后4位以内</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含第4位</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发生估值错误时，视为基金份额净值错误。</w:t>
      </w:r>
    </w:p>
    <w:p w14:paraId="4FA3D50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本基金合同的当事人应按照以下约定处理：</w:t>
      </w:r>
    </w:p>
    <w:p w14:paraId="4E91BB9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、估值错误类型</w:t>
      </w:r>
    </w:p>
    <w:p w14:paraId="2CDEF61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本基金运作过程中，如果由于基金管理人或基金托管人、或登记机构、或销售机构、或投资人自身的过错造成估值错误，导致其他当事人遭受损失的，过错的责任人应当对由于该估值错误遭受损失当事人</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受损方</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的直接损失按下述</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估值错误处理原则</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给予赔偿，承担赔偿责任。</w:t>
      </w:r>
    </w:p>
    <w:p w14:paraId="529F308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上述估值错误的主要类型包括但不限于：资料申报差错、数据传输差错、数据计算差错、系统故障差错、下达指令差错等。</w:t>
      </w:r>
    </w:p>
    <w:p w14:paraId="56A8E4B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、估值错误处理原则</w:t>
      </w:r>
    </w:p>
    <w:p w14:paraId="401A839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7A2E57C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）估值错误的责任方对有关当事人的直接损失负责，不对间接损失负责，并且仅对估值错误的有关直接当事人负责，不对第三方负责。</w:t>
      </w:r>
    </w:p>
    <w:p w14:paraId="31FB5E4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）因估值错误而获得不当得利的当事人负有及时返还不当得利的义务。但估值错误责任方仍应对估值错误负责。如果由于获得不当得利的当事人不返还或不全部返还不当得利造成其他当事人的利益损失</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受损方</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0DD4977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）估值错误调整采用尽量恢复至假设未发生估值错误的正确情形的方式。</w:t>
      </w:r>
    </w:p>
    <w:p w14:paraId="37E80FE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、估值错误处理程序</w:t>
      </w:r>
    </w:p>
    <w:p w14:paraId="40B23E0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估值错误被发现后，有关的当事人应当及时进行处理，处理的程序如下：</w:t>
      </w:r>
    </w:p>
    <w:p w14:paraId="3CECD05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）查明估值错误发生的原因，列明所有的当事人，并根据估值错误发生的原因确定估值错误的责任方；</w:t>
      </w:r>
    </w:p>
    <w:p w14:paraId="29D56BC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）根据估值错误处理原则或当事人协商的方法对因估值错误造成的损失进行评估；</w:t>
      </w:r>
    </w:p>
    <w:p w14:paraId="3EFE32B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）根据估值错误处理原则或当事人协商的方法由估值错误的责任方进行更正和赔偿损失；</w:t>
      </w:r>
    </w:p>
    <w:p w14:paraId="0A52B2C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w:t>
      </w: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）根据估值错误处理的方法，需要修改基金登记机构交易数据的，由基金登记机构进行更正，并就估值错误的更正向有关当事人进行确认。</w:t>
      </w:r>
    </w:p>
    <w:p w14:paraId="5230CE4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、基金份额净值估值错误处理的方法如下：</w:t>
      </w:r>
    </w:p>
    <w:p w14:paraId="1BE58DC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（1）基金份额净值计算出现错误时，基金管理人应当立即予以纠正，通报基金托管人，并采取合理的措施防止损失进一步扩大。</w:t>
      </w:r>
    </w:p>
    <w:p w14:paraId="3E67CE5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（2）错误偏差达到基金份额净值的0.25%时，基金管理人应当通报基金托管人并报中国证监会备案；错误偏差达到基金份额净值的0.5%时，基金管理人应当公告，并报中国证监会备案。</w:t>
      </w:r>
    </w:p>
    <w:p w14:paraId="4DA89FB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（3）前述内容如法律法规或监管机关另有规定的，从其规定处理。如果行业另有通行做法，基金管理人、基金托管人应本着平等和保护基金份额持有人利益的原则进行协商。</w:t>
      </w:r>
    </w:p>
    <w:p w14:paraId="6022F79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七、暂停估值的情形</w:t>
      </w:r>
    </w:p>
    <w:p w14:paraId="414EB21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、基金投资所涉及的证券</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/期货</w:t>
      </w:r>
      <w:r>
        <w:rPr>
          <w:rFonts w:hint="eastAsia" w:asciiTheme="minorEastAsia" w:hAnsiTheme="minorEastAsia"/>
          <w:color w:val="0D0D0D" w:themeColor="text1" w:themeTint="F2"/>
          <w14:textFill>
            <w14:solidFill>
              <w14:schemeClr w14:val="tx1">
                <w14:lumMod w14:val="95000"/>
                <w14:lumOff w14:val="5000"/>
              </w14:schemeClr>
            </w14:solidFill>
          </w14:textFill>
        </w:rPr>
        <w:t>交易市场</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或外汇市场</w:t>
      </w:r>
      <w:r>
        <w:rPr>
          <w:rFonts w:hint="eastAsia" w:asciiTheme="minorEastAsia" w:hAnsiTheme="minorEastAsia"/>
          <w:color w:val="0D0D0D" w:themeColor="text1" w:themeTint="F2"/>
          <w14:textFill>
            <w14:solidFill>
              <w14:schemeClr w14:val="tx1">
                <w14:lumMod w14:val="95000"/>
                <w14:lumOff w14:val="5000"/>
              </w14:schemeClr>
            </w14:solidFill>
          </w14:textFill>
        </w:rPr>
        <w:t>遇法定节假日或因其他原因暂停营业时；</w:t>
      </w:r>
    </w:p>
    <w:p w14:paraId="3F35AF6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、因不可抗力致使基金管理人、基金托管人无法准确评估基金资产价值时；</w:t>
      </w:r>
    </w:p>
    <w:p w14:paraId="39602B3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3</w:t>
      </w:r>
      <w:r>
        <w:rPr>
          <w:rFonts w:hint="eastAsia" w:asciiTheme="minorEastAsia" w:hAnsiTheme="minorEastAsia"/>
          <w:color w:val="0D0D0D" w:themeColor="text1" w:themeTint="F2"/>
          <w14:textFill>
            <w14:solidFill>
              <w14:schemeClr w14:val="tx1">
                <w14:lumMod w14:val="95000"/>
                <w14:lumOff w14:val="5000"/>
              </w14:schemeClr>
            </w14:solidFill>
          </w14:textFill>
        </w:rPr>
        <w:t>、当前一估值日基金资产净值</w:t>
      </w:r>
      <w:r>
        <w:rPr>
          <w:rFonts w:asciiTheme="minorEastAsia" w:hAnsiTheme="minorEastAsia"/>
          <w:color w:val="0D0D0D" w:themeColor="text1" w:themeTint="F2"/>
          <w14:textFill>
            <w14:solidFill>
              <w14:schemeClr w14:val="tx1">
                <w14:lumMod w14:val="95000"/>
                <w14:lumOff w14:val="5000"/>
              </w14:schemeClr>
            </w14:solidFill>
          </w14:textFill>
        </w:rPr>
        <w:t>50%</w:t>
      </w:r>
      <w:r>
        <w:rPr>
          <w:rFonts w:hint="eastAsia" w:asciiTheme="minorEastAsia" w:hAnsiTheme="minorEastAsia"/>
          <w:color w:val="0D0D0D" w:themeColor="text1" w:themeTint="F2"/>
          <w14:textFill>
            <w14:solidFill>
              <w14:schemeClr w14:val="tx1">
                <w14:lumMod w14:val="95000"/>
                <w14:lumOff w14:val="5000"/>
              </w14:schemeClr>
            </w14:solidFill>
          </w14:textFill>
        </w:rPr>
        <w:t>以上的资产出现无可参考的活跃市场价格且采用估值技术仍导致公允价值存在重大不确定性时，经与基金托管人协商确认后，基金管理人应当暂停估值；</w:t>
      </w:r>
    </w:p>
    <w:p w14:paraId="5F7B245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、中国证监会和基金合同认定的其它情形。</w:t>
      </w:r>
    </w:p>
    <w:p w14:paraId="7DC4266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八、基金净值的确认</w:t>
      </w:r>
    </w:p>
    <w:p w14:paraId="6280C45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基金资产净值和基金份额净值由基金管理人负责计算，基金托管人负责进行复核。基金管理人应于每个</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工作日</w:t>
      </w:r>
      <w:r>
        <w:rPr>
          <w:rFonts w:hint="eastAsia" w:asciiTheme="minorEastAsia" w:hAnsiTheme="minorEastAsia"/>
          <w:color w:val="0D0D0D" w:themeColor="text1" w:themeTint="F2"/>
          <w14:textFill>
            <w14:solidFill>
              <w14:schemeClr w14:val="tx1">
                <w14:lumMod w14:val="95000"/>
                <w14:lumOff w14:val="5000"/>
              </w14:schemeClr>
            </w14:solidFill>
          </w14:textFill>
        </w:rPr>
        <w:t>交易结束后计算当日的基金资产净值和基金份额净值并发送给基金托管人。基金托管人对净值计算结果复核确认后发送给基金管理人，由基金管理人按规定对基金净值予以公布。</w:t>
      </w:r>
    </w:p>
    <w:p w14:paraId="615AE82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398" w:name="_Toc32227"/>
      <w:bookmarkStart w:id="399" w:name="_Toc19752"/>
      <w:bookmarkStart w:id="400" w:name="_Toc19706"/>
      <w:bookmarkStart w:id="401" w:name="_Toc12105"/>
      <w:bookmarkStart w:id="402" w:name="_Toc15779"/>
      <w:bookmarkStart w:id="403" w:name="_Toc13987"/>
      <w:bookmarkStart w:id="404" w:name="_Toc3365"/>
      <w:bookmarkStart w:id="405" w:name="_Toc6493"/>
      <w:bookmarkStart w:id="406" w:name="_Toc24601"/>
      <w:bookmarkStart w:id="407" w:name="_Toc32041"/>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九、特殊情况的处理</w:t>
      </w:r>
    </w:p>
    <w:p w14:paraId="7AC2C10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1、基金管理人或基金托管人按估值方法的第13项进行估值时，所造成的误差不作为基金资产估值错误处理。</w:t>
      </w:r>
    </w:p>
    <w:p w14:paraId="246D595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由于不可抗力原因，或证券/期货交易所、指数编制机构及登记结算公司等第三方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60E0FE6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p>
    <w:p w14:paraId="360BBD16">
      <w:pPr>
        <w:pStyle w:val="2"/>
        <w:sectPr>
          <w:footerReference r:id="rId23" w:type="default"/>
          <w:pgSz w:w="11906" w:h="16838"/>
          <w:pgMar w:top="1440" w:right="1800" w:bottom="1440" w:left="1800" w:header="851" w:footer="992" w:gutter="0"/>
          <w:pgNumType w:start="1"/>
          <w:cols w:space="425" w:num="1"/>
          <w:docGrid w:type="lines" w:linePitch="312" w:charSpace="0"/>
        </w:sectPr>
      </w:pPr>
      <w:bookmarkStart w:id="408" w:name="_Toc90742401"/>
      <w:bookmarkStart w:id="409" w:name="_Toc90742332"/>
      <w:bookmarkStart w:id="410" w:name="_Toc90742699"/>
    </w:p>
    <w:bookmarkEnd w:id="394"/>
    <w:p w14:paraId="7D41348D">
      <w:pPr>
        <w:pStyle w:val="2"/>
      </w:pPr>
      <w:bookmarkStart w:id="411" w:name="CTS_5979ebcde86d427bbe68531bf1780126"/>
      <w:bookmarkEnd w:id="411"/>
      <w:bookmarkStart w:id="412" w:name="_Toc5050"/>
      <w:bookmarkStart w:id="413" w:name="CLAUSE_5979ebcde86d427bbe68531bf1780126"/>
      <w:r>
        <w:rPr>
          <w:rFonts w:hint="eastAsia" w:cs="Arial"/>
        </w:rPr>
        <w:t>第十七</w:t>
      </w:r>
      <w:r>
        <w:rPr>
          <w:rFonts w:hint="eastAsia"/>
        </w:rPr>
        <w:t>部分</w:t>
      </w:r>
      <w:r>
        <w:t xml:space="preserve"> </w:t>
      </w:r>
      <w:r>
        <w:rPr>
          <w:rFonts w:hint="eastAsia"/>
        </w:rPr>
        <w:t>基金</w:t>
      </w:r>
      <w:r>
        <w:rPr>
          <w:rFonts w:cs="Arial"/>
        </w:rPr>
        <w:t>的</w:t>
      </w:r>
      <w:r>
        <w:rPr>
          <w:rFonts w:hint="eastAsia"/>
        </w:rPr>
        <w:t>费用与税收</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2"/>
    </w:p>
    <w:p w14:paraId="3EBC82AE">
      <w:pPr>
        <w:spacing w:line="360" w:lineRule="auto"/>
        <w:ind w:firstLine="480" w:firstLineChars="200"/>
        <w:rPr>
          <w:rFonts w:asciiTheme="minorEastAsia" w:hAnsiTheme="minorEastAsia"/>
          <w:sz w:val="24"/>
        </w:rPr>
      </w:pPr>
    </w:p>
    <w:p w14:paraId="02E6629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一、基金费用的种类</w:t>
      </w:r>
    </w:p>
    <w:p w14:paraId="4FA7E9F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、基金管理人的管理费；</w:t>
      </w:r>
    </w:p>
    <w:p w14:paraId="4E58893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、基金托管人的托管费；</w:t>
      </w:r>
    </w:p>
    <w:p w14:paraId="46CE9F2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3、基金的证券、期货、股票期权交易费用；</w:t>
      </w:r>
    </w:p>
    <w:p w14:paraId="388074A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4</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、《基金合同》生效后与基金相关的信息披露费用，但</w:t>
      </w:r>
      <w:bookmarkStart w:id="414" w:name="_Hlk33922596"/>
      <w:r>
        <w:rPr>
          <w:rFonts w:hint="eastAsia" w:asciiTheme="minorEastAsia" w:hAnsiTheme="minorEastAsia"/>
          <w:color w:val="0D0D0D" w:themeColor="text1" w:themeTint="F2"/>
          <w14:textFill>
            <w14:solidFill>
              <w14:schemeClr w14:val="tx1">
                <w14:lumMod w14:val="95000"/>
                <w14:lumOff w14:val="5000"/>
              </w14:schemeClr>
            </w14:solidFill>
          </w14:textFill>
        </w:rPr>
        <w:t>法律法规、中国证监会另有规定的除外；</w:t>
      </w:r>
    </w:p>
    <w:bookmarkEnd w:id="414"/>
    <w:p w14:paraId="7E4C9B5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w:t>
      </w:r>
      <w:r>
        <w:rPr>
          <w:rFonts w:hint="eastAsia" w:asciiTheme="minorEastAsia" w:hAnsiTheme="minorEastAsia"/>
          <w:color w:val="0D0D0D" w:themeColor="text1" w:themeTint="F2"/>
          <w14:textFill>
            <w14:solidFill>
              <w14:schemeClr w14:val="tx1">
                <w14:lumMod w14:val="95000"/>
                <w14:lumOff w14:val="5000"/>
              </w14:schemeClr>
            </w14:solidFill>
          </w14:textFill>
        </w:rPr>
        <w:t>、《基金合同》生效后与基金相关的会计师费、律师费</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、仲裁费</w:t>
      </w:r>
      <w:r>
        <w:rPr>
          <w:rFonts w:hint="eastAsia" w:asciiTheme="minorEastAsia" w:hAnsiTheme="minorEastAsia"/>
          <w:color w:val="0D0D0D" w:themeColor="text1" w:themeTint="F2"/>
          <w14:textFill>
            <w14:solidFill>
              <w14:schemeClr w14:val="tx1">
                <w14:lumMod w14:val="95000"/>
                <w14:lumOff w14:val="5000"/>
              </w14:schemeClr>
            </w14:solidFill>
          </w14:textFill>
        </w:rPr>
        <w:t>和诉讼费；</w:t>
      </w:r>
    </w:p>
    <w:p w14:paraId="0FE00D8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6</w:t>
      </w:r>
      <w:r>
        <w:rPr>
          <w:rFonts w:hint="eastAsia" w:asciiTheme="minorEastAsia" w:hAnsiTheme="minorEastAsia"/>
          <w:color w:val="0D0D0D" w:themeColor="text1" w:themeTint="F2"/>
          <w14:textFill>
            <w14:solidFill>
              <w14:schemeClr w14:val="tx1">
                <w14:lumMod w14:val="95000"/>
                <w14:lumOff w14:val="5000"/>
              </w14:schemeClr>
            </w14:solidFill>
          </w14:textFill>
        </w:rPr>
        <w:t>、基金份额持有人大会费用；</w:t>
      </w:r>
    </w:p>
    <w:p w14:paraId="4AB9A82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7</w:t>
      </w:r>
      <w:r>
        <w:rPr>
          <w:rFonts w:hint="eastAsia" w:asciiTheme="minorEastAsia" w:hAnsiTheme="minorEastAsia"/>
          <w:color w:val="0D0D0D" w:themeColor="text1" w:themeTint="F2"/>
          <w14:textFill>
            <w14:solidFill>
              <w14:schemeClr w14:val="tx1">
                <w14:lumMod w14:val="95000"/>
                <w14:lumOff w14:val="5000"/>
              </w14:schemeClr>
            </w14:solidFill>
          </w14:textFill>
        </w:rPr>
        <w:t>、基金银行汇划费用</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、账户开户及维护费用</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368194F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、基金上市费及年费、场内注册登记费用、IOPV计算与发布费用；</w:t>
      </w:r>
    </w:p>
    <w:p w14:paraId="6AB002AD">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9、收益分配中发生的费用（银行转账或其他手续费用除外）；</w:t>
      </w:r>
    </w:p>
    <w:p w14:paraId="4E79950A">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10、因投资港股通标的股票而产生的各项合理费用；</w:t>
      </w:r>
    </w:p>
    <w:p w14:paraId="19391A72">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11、基金依照有关法律法规应当缴纳的，购买或处置证券有关的任何税收、征费、关税、印花税、及预扣提税（以及与前述各项有关的任何利息及费用）（简称“税收”），及基金缴纳税收有关的手续费、汇款费、顾问费等；</w:t>
      </w:r>
    </w:p>
    <w:p w14:paraId="1ADE8D0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12</w:t>
      </w:r>
      <w:r>
        <w:rPr>
          <w:rFonts w:hint="eastAsia" w:asciiTheme="minorEastAsia" w:hAnsiTheme="minorEastAsia"/>
          <w:color w:val="0D0D0D" w:themeColor="text1" w:themeTint="F2"/>
          <w14:textFill>
            <w14:solidFill>
              <w14:schemeClr w14:val="tx1">
                <w14:lumMod w14:val="95000"/>
                <w14:lumOff w14:val="5000"/>
              </w14:schemeClr>
            </w14:solidFill>
          </w14:textFill>
        </w:rPr>
        <w:t>、按照国家有关规定和《基金合同》约定，可以在基金财产中列支的其他费用。</w:t>
      </w:r>
    </w:p>
    <w:p w14:paraId="7E04B99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二、基金费用计提方法、计提标准和支付方式</w:t>
      </w:r>
    </w:p>
    <w:p w14:paraId="46A935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1</w:t>
      </w: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、基金管理人的管理费</w:t>
      </w:r>
    </w:p>
    <w:p w14:paraId="6CC110A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本基金的管理费按前一日基金资产净值的</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0.</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50</w:t>
      </w:r>
      <w:r>
        <w:rPr>
          <w:rFonts w:asciiTheme="minorEastAsia" w:hAnsi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年费率计提。管理费的计算方法如下：</w:t>
      </w:r>
    </w:p>
    <w:p w14:paraId="7162154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H</w:t>
      </w:r>
      <w:r>
        <w:rPr>
          <w:rFonts w:hint="eastAsia" w:asciiTheme="minorEastAsia" w:hAnsiTheme="minorEastAsia"/>
          <w:color w:val="0D0D0D" w:themeColor="text1" w:themeTint="F2"/>
          <w14:textFill>
            <w14:solidFill>
              <w14:schemeClr w14:val="tx1">
                <w14:lumMod w14:val="95000"/>
                <w14:lumOff w14:val="5000"/>
              </w14:schemeClr>
            </w14:solidFill>
          </w14:textFill>
        </w:rPr>
        <w:t>＝E×</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0.50</w:t>
      </w:r>
      <w:r>
        <w:rPr>
          <w:rFonts w:hint="eastAsia" w:asciiTheme="minorEastAsia" w:hAnsiTheme="minorEastAsia"/>
          <w:color w:val="0D0D0D" w:themeColor="text1" w:themeTint="F2"/>
          <w14:textFill>
            <w14:solidFill>
              <w14:schemeClr w14:val="tx1">
                <w14:lumMod w14:val="95000"/>
                <w14:lumOff w14:val="5000"/>
              </w14:schemeClr>
            </w14:solidFill>
          </w14:textFill>
        </w:rPr>
        <w:t>%÷当年天数</w:t>
      </w:r>
    </w:p>
    <w:p w14:paraId="6946C76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H</w:t>
      </w:r>
      <w:r>
        <w:rPr>
          <w:rFonts w:hint="eastAsia" w:asciiTheme="minorEastAsia" w:hAnsiTheme="minorEastAsia"/>
          <w:color w:val="0D0D0D" w:themeColor="text1" w:themeTint="F2"/>
          <w14:textFill>
            <w14:solidFill>
              <w14:schemeClr w14:val="tx1">
                <w14:lumMod w14:val="95000"/>
                <w14:lumOff w14:val="5000"/>
              </w14:schemeClr>
            </w14:solidFill>
          </w14:textFill>
        </w:rPr>
        <w:t>为每日应计提的基金管理费</w:t>
      </w:r>
    </w:p>
    <w:p w14:paraId="3317ECB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E</w:t>
      </w:r>
      <w:r>
        <w:rPr>
          <w:rFonts w:hint="eastAsia" w:asciiTheme="minorEastAsia" w:hAnsiTheme="minorEastAsia"/>
          <w:color w:val="0D0D0D" w:themeColor="text1" w:themeTint="F2"/>
          <w14:textFill>
            <w14:solidFill>
              <w14:schemeClr w14:val="tx1">
                <w14:lumMod w14:val="95000"/>
                <w14:lumOff w14:val="5000"/>
              </w14:schemeClr>
            </w14:solidFill>
          </w14:textFill>
        </w:rPr>
        <w:t>为前一日的基金资产净值</w:t>
      </w:r>
    </w:p>
    <w:p w14:paraId="5496CDB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费每日计提，逐日累计至每月月末，按月支付，由基金管理人于次月5个工作日内向基金托管人发送基金管理费划款指令，基金托管人于收到指令当日复核后从基金财产中一次性支付给基金管理人。若遇法定节假日、休息日或不可抗力致使无法按时支付的，顺延至法定节假日、休息日结束之日起2个工作日内或不可抗力情形消除之日起2个工作日内支付。</w:t>
      </w:r>
    </w:p>
    <w:p w14:paraId="4F49F50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2</w:t>
      </w: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、基金托管人的托管费</w:t>
      </w:r>
    </w:p>
    <w:p w14:paraId="6FD6F39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本基金的托管费按前一日基金资产净值的</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0.</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10</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w:t>
      </w:r>
      <w:r>
        <w:rPr>
          <w:rFonts w:hint="eastAsia" w:asciiTheme="minorEastAsia" w:hAnsiTheme="minorEastAsia"/>
          <w:color w:val="0D0D0D" w:themeColor="text1" w:themeTint="F2"/>
          <w14:textFill>
            <w14:solidFill>
              <w14:schemeClr w14:val="tx1">
                <w14:lumMod w14:val="95000"/>
                <w14:lumOff w14:val="5000"/>
              </w14:schemeClr>
            </w14:solidFill>
          </w14:textFill>
        </w:rPr>
        <w:t>年费率计提。托管费的计算方法如下：</w:t>
      </w:r>
    </w:p>
    <w:p w14:paraId="4F25005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H</w:t>
      </w:r>
      <w:r>
        <w:rPr>
          <w:rFonts w:hint="eastAsia" w:asciiTheme="minorEastAsia" w:hAnsiTheme="minorEastAsia"/>
          <w:color w:val="0D0D0D" w:themeColor="text1" w:themeTint="F2"/>
          <w14:textFill>
            <w14:solidFill>
              <w14:schemeClr w14:val="tx1">
                <w14:lumMod w14:val="95000"/>
                <w14:lumOff w14:val="5000"/>
              </w14:schemeClr>
            </w14:solidFill>
          </w14:textFill>
        </w:rPr>
        <w:t>＝E×</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0.10</w:t>
      </w:r>
      <w:r>
        <w:rPr>
          <w:rFonts w:hint="eastAsia" w:asciiTheme="minorEastAsia" w:hAnsiTheme="minorEastAsia"/>
          <w:color w:val="0D0D0D" w:themeColor="text1" w:themeTint="F2"/>
          <w14:textFill>
            <w14:solidFill>
              <w14:schemeClr w14:val="tx1">
                <w14:lumMod w14:val="95000"/>
                <w14:lumOff w14:val="5000"/>
              </w14:schemeClr>
            </w14:solidFill>
          </w14:textFill>
        </w:rPr>
        <w:t>%÷当年天数</w:t>
      </w:r>
    </w:p>
    <w:p w14:paraId="459D84E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H</w:t>
      </w:r>
      <w:r>
        <w:rPr>
          <w:rFonts w:hint="eastAsia" w:asciiTheme="minorEastAsia" w:hAnsiTheme="minorEastAsia"/>
          <w:color w:val="0D0D0D" w:themeColor="text1" w:themeTint="F2"/>
          <w14:textFill>
            <w14:solidFill>
              <w14:schemeClr w14:val="tx1">
                <w14:lumMod w14:val="95000"/>
                <w14:lumOff w14:val="5000"/>
              </w14:schemeClr>
            </w14:solidFill>
          </w14:textFill>
        </w:rPr>
        <w:t>为每日应计提的基金托管费</w:t>
      </w:r>
    </w:p>
    <w:p w14:paraId="69D6AAB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asciiTheme="minorEastAsia" w:hAnsiTheme="minorEastAsia"/>
          <w:color w:val="0D0D0D" w:themeColor="text1" w:themeTint="F2"/>
          <w14:textFill>
            <w14:solidFill>
              <w14:schemeClr w14:val="tx1">
                <w14:lumMod w14:val="95000"/>
                <w14:lumOff w14:val="5000"/>
              </w14:schemeClr>
            </w14:solidFill>
          </w14:textFill>
        </w:rPr>
        <w:t>E</w:t>
      </w:r>
      <w:r>
        <w:rPr>
          <w:rFonts w:hint="eastAsia" w:asciiTheme="minorEastAsia" w:hAnsiTheme="minorEastAsia"/>
          <w:color w:val="0D0D0D" w:themeColor="text1" w:themeTint="F2"/>
          <w14:textFill>
            <w14:solidFill>
              <w14:schemeClr w14:val="tx1">
                <w14:lumMod w14:val="95000"/>
                <w14:lumOff w14:val="5000"/>
              </w14:schemeClr>
            </w14:solidFill>
          </w14:textFill>
        </w:rPr>
        <w:t>为前一日的基金资产净值</w:t>
      </w:r>
    </w:p>
    <w:p w14:paraId="46F4405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费每日计提，逐日累计至每月月末，按月支付，由基金管理人于次月5个工作日内向基金托管人发送基金托管费划款指令，基金托管人于收到指令当日复核后从基金财产中一次性支取。若遇法定节假日、休息日或不可抗力致使无法按时支取的，顺延至法定节假日、休息日结束之日起2个工作日内或不可抗力情形消除之日起2个工作日内支取。</w:t>
      </w:r>
    </w:p>
    <w:p w14:paraId="2B079BC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上述“一、基金费用的种类”中第3－12项费用，根据有关法规及相应协议规定，按费用实际支出金额列入当期费用，由基金托管人从基金财产中支付。</w:t>
      </w:r>
    </w:p>
    <w:p w14:paraId="096F19E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三、不列入基金费用的项目</w:t>
      </w:r>
    </w:p>
    <w:p w14:paraId="4F8339E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下列费用不列入基金费用：</w:t>
      </w:r>
    </w:p>
    <w:p w14:paraId="6AE46D6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1、基金管理人和基金托管人因未履行或未完全履行义务导致的费用支出或基金财产的损失；</w:t>
      </w:r>
    </w:p>
    <w:p w14:paraId="7265DEC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2、基金管理人和基金托管人处理与基金运作无关的事项发生的费用；</w:t>
      </w:r>
    </w:p>
    <w:p w14:paraId="7CD489B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3、《基金合同》生效前的相关费用；</w:t>
      </w:r>
    </w:p>
    <w:p w14:paraId="69A8ADAE">
      <w:pPr>
        <w:adjustRightInd w:val="0"/>
        <w:snapToGrid w:val="0"/>
        <w:spacing w:line="360" w:lineRule="auto"/>
        <w:ind w:firstLine="420" w:firstLineChars="200"/>
        <w:rPr>
          <w:rFonts w:asciiTheme="minorEastAsia" w:hAnsiTheme="minorEastAsia"/>
          <w:color w:val="0D0D0D" w:themeColor="text1" w:themeTint="F2"/>
          <w:szCs w:val="21"/>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4、指数许可使用费</w:t>
      </w:r>
      <w:r>
        <w:rPr>
          <w:rFonts w:hint="eastAsia" w:ascii="宋体" w:hAnsi="宋体" w:cs="Arial"/>
          <w:bCs/>
          <w:kern w:val="0"/>
          <w:szCs w:val="21"/>
        </w:rPr>
        <w:t>由基金管理人承担，不得从基金财产中列支</w:t>
      </w:r>
      <w:r>
        <w:rPr>
          <w:rFonts w:hint="eastAsia" w:asciiTheme="minorEastAsia" w:hAnsiTheme="minorEastAsia" w:eastAsiaTheme="minorEastAsia"/>
          <w:color w:val="0D0D0D" w:themeColor="text1" w:themeTint="F2"/>
          <w:szCs w:val="21"/>
          <w14:textFill>
            <w14:solidFill>
              <w14:schemeClr w14:val="tx1">
                <w14:lumMod w14:val="95000"/>
                <w14:lumOff w14:val="5000"/>
              </w14:schemeClr>
            </w14:solidFill>
          </w14:textFill>
        </w:rPr>
        <w:t>；</w:t>
      </w:r>
    </w:p>
    <w:p w14:paraId="5B1549D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5、其他根据相关法律法规及中国证监会的有关规定不得列入基金费用的项目。</w:t>
      </w:r>
      <w:bookmarkStart w:id="415" w:name="_Hlt88827255"/>
      <w:bookmarkEnd w:id="415"/>
    </w:p>
    <w:p w14:paraId="6D51CD6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四、基金税收</w:t>
      </w:r>
    </w:p>
    <w:p w14:paraId="31AD384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18AD161C">
      <w:pPr>
        <w:adjustRightInd w:val="0"/>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416" w:name="_Hlt70496289"/>
      <w:bookmarkEnd w:id="416"/>
      <w:bookmarkStart w:id="417" w:name="_Toc93226149"/>
      <w:bookmarkStart w:id="418" w:name="_Toc92662707"/>
      <w:bookmarkStart w:id="419" w:name="_Toc141703896"/>
      <w:bookmarkStart w:id="420" w:name="_Toc20052"/>
      <w:bookmarkStart w:id="421" w:name="_Toc3656"/>
      <w:bookmarkStart w:id="422" w:name="_Toc1617"/>
      <w:bookmarkStart w:id="423" w:name="_Toc15351"/>
      <w:bookmarkStart w:id="424" w:name="_Toc25883"/>
      <w:bookmarkStart w:id="425" w:name="_Toc128310499"/>
      <w:bookmarkStart w:id="426" w:name="_Toc21829"/>
      <w:bookmarkStart w:id="427" w:name="_Toc12761"/>
      <w:bookmarkStart w:id="428" w:name="_Toc19558"/>
      <w:bookmarkStart w:id="429" w:name="_Toc178"/>
      <w:bookmarkStart w:id="430" w:name="_Toc22552"/>
      <w:bookmarkStart w:id="431" w:name="_Toc139991746"/>
      <w:bookmarkStart w:id="432" w:name="_Toc15525"/>
    </w:p>
    <w:bookmarkEnd w:id="413"/>
    <w:p w14:paraId="79CA3085">
      <w:pPr>
        <w:pStyle w:val="2"/>
        <w:sectPr>
          <w:footerReference r:id="rId24" w:type="default"/>
          <w:pgSz w:w="11906" w:h="16838"/>
          <w:pgMar w:top="1440" w:right="1800" w:bottom="1440" w:left="1800" w:header="851" w:footer="992" w:gutter="0"/>
          <w:pgNumType w:start="1"/>
          <w:cols w:space="425" w:num="1"/>
          <w:docGrid w:type="lines" w:linePitch="312" w:charSpace="0"/>
        </w:sectPr>
      </w:pPr>
    </w:p>
    <w:p w14:paraId="20229439">
      <w:pPr>
        <w:pStyle w:val="2"/>
      </w:pPr>
      <w:bookmarkStart w:id="433" w:name="CTS_4050b55c792c4bc9a6ceb5286a9a5258"/>
      <w:bookmarkEnd w:id="433"/>
      <w:bookmarkStart w:id="434" w:name="_Toc22776"/>
      <w:bookmarkStart w:id="435" w:name="CLAUSE_4050b55c792c4bc9a6ceb5286a9a5258"/>
      <w:r>
        <w:rPr>
          <w:rFonts w:hint="eastAsia" w:cs="Arial"/>
        </w:rPr>
        <w:t>第十八部分</w:t>
      </w:r>
      <w:r>
        <w:rPr>
          <w:rFonts w:hint="eastAsia"/>
        </w:rPr>
        <w:t xml:space="preserve"> 基金</w:t>
      </w:r>
      <w:bookmarkEnd w:id="417"/>
      <w:bookmarkEnd w:id="418"/>
      <w:r>
        <w:rPr>
          <w:rFonts w:hint="eastAsia"/>
        </w:rPr>
        <w:t>的收益与分配</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4"/>
    </w:p>
    <w:p w14:paraId="5C7C46D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p>
    <w:p w14:paraId="193AC39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一、基金收益分配原则</w:t>
      </w:r>
    </w:p>
    <w:p w14:paraId="4DDDB20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1、本基金的收益分配方式为现金分红；</w:t>
      </w:r>
    </w:p>
    <w:p w14:paraId="3089C99C">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2、基金管理人可每季度对基金相对标的指数的超额收益率以及基金的可供分配利润进行评价，在符合基金分红条件的前提下，本基金可每季度进行收益分配。评价时间、分配时间、分配方案及每次基金收益分配数额等内容，基金管理人可以根据实际情况确定并按照有关规定公告；</w:t>
      </w:r>
    </w:p>
    <w:p w14:paraId="6CA78F8F">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3、每一基金份额享有同等分配权；</w:t>
      </w:r>
    </w:p>
    <w:p w14:paraId="67F4EC33">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法律法规或监管机构另有规定的，从其规定。在不违反法律法规、基金合同的约定以及对基金份额持有人利益无实质性不利影响的情况下，基金管理人在履行适当程序后，可调整基金收益的分配原则和支付方式，但应于变更实施日前在规定媒介上公告。</w:t>
      </w:r>
    </w:p>
    <w:p w14:paraId="546935A1">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二</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、基金收益分配比例及金额的确定原则</w:t>
      </w:r>
    </w:p>
    <w:p w14:paraId="5756E139">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1、在收益评价日，基金管理人计算基金份额净值增长率、标的指数同期增长率。</w:t>
      </w:r>
    </w:p>
    <w:p w14:paraId="03E9236E">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基金收益评价日本基金相对标的指数的超额收益率＝基金份额净值增长率－标的指数同期增长率。</w:t>
      </w:r>
    </w:p>
    <w:p w14:paraId="084C8EF5">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1A95FAC0">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期间如发生基金份额折算、拆分或合并，则以基金份额折算日、经拆分或合并调整后的基金份额折算日为初始日重新计算上述指标。</w:t>
      </w:r>
    </w:p>
    <w:p w14:paraId="3F9B12A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收益评价日日期以本基金日后相关公告为准。</w:t>
      </w:r>
    </w:p>
    <w:p w14:paraId="4DFF11B5">
      <w:pPr>
        <w:numPr>
          <w:ilvl w:val="255"/>
          <w:numId w:val="0"/>
        </w:num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2、</w:t>
      </w: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基金可供分配利润指截至收益分配基准日基金未分配利润与未分配利润中已实现收益的孰低数。</w:t>
      </w:r>
    </w:p>
    <w:p w14:paraId="21BC43F7">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3、根据前述收益分配原则计算截至基金收益评价日本基金的超额收益率及基金可供分配利润，并确定收益分配比例。</w:t>
      </w:r>
    </w:p>
    <w:p w14:paraId="7DADC944">
      <w:pPr>
        <w:adjustRightInd w:val="0"/>
        <w:snapToGrid w:val="0"/>
        <w:spacing w:line="360" w:lineRule="auto"/>
        <w:ind w:firstLine="420" w:firstLineChars="200"/>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14:textFill>
            <w14:solidFill>
              <w14:schemeClr w14:val="tx1">
                <w14:lumMod w14:val="95000"/>
                <w14:lumOff w14:val="5000"/>
              </w14:schemeClr>
            </w14:solidFill>
          </w14:textFill>
        </w:rPr>
        <w:t>4、根据前述超额收益率、可供分配利润及收益分配比例计算收益分配金额。</w:t>
      </w:r>
    </w:p>
    <w:p w14:paraId="2423723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三</w:t>
      </w:r>
      <w:r>
        <w:rPr>
          <w:rFonts w:hint="eastAsia" w:asciiTheme="minorEastAsia" w:hAnsiTheme="minorEastAsia"/>
          <w:color w:val="0D0D0D" w:themeColor="text1" w:themeTint="F2"/>
          <w14:textFill>
            <w14:solidFill>
              <w14:schemeClr w14:val="tx1">
                <w14:lumMod w14:val="95000"/>
                <w14:lumOff w14:val="5000"/>
              </w14:schemeClr>
            </w14:solidFill>
          </w14:textFill>
        </w:rPr>
        <w:t>、收益分配方案</w:t>
      </w:r>
    </w:p>
    <w:p w14:paraId="44B99B4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基金收益分配方案中应载明基金收益分配对象、分配时间、分配数额及比例、分配方式等内容。</w:t>
      </w:r>
    </w:p>
    <w:p w14:paraId="0A8CF66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四</w:t>
      </w:r>
      <w:r>
        <w:rPr>
          <w:rFonts w:hint="eastAsia" w:asciiTheme="minorEastAsia" w:hAnsiTheme="minorEastAsia"/>
          <w:color w:val="0D0D0D" w:themeColor="text1" w:themeTint="F2"/>
          <w14:textFill>
            <w14:solidFill>
              <w14:schemeClr w14:val="tx1">
                <w14:lumMod w14:val="95000"/>
                <w14:lumOff w14:val="5000"/>
              </w14:schemeClr>
            </w14:solidFill>
          </w14:textFill>
        </w:rPr>
        <w:t>、收益分配方案的确定、公告与实施</w:t>
      </w:r>
    </w:p>
    <w:p w14:paraId="383A4AE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本</w:t>
      </w: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方案由</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管理人拟定，并由</w:t>
      </w:r>
      <w:r>
        <w:rPr>
          <w:rFonts w:hint="eastAsia" w:asciiTheme="minorEastAsia" w:hAnsiTheme="minorEastAsia"/>
          <w:color w:val="0D0D0D" w:themeColor="text1" w:themeTint="F2"/>
          <w14:textFill>
            <w14:solidFill>
              <w14:schemeClr w14:val="tx1">
                <w14:lumMod w14:val="95000"/>
                <w14:lumOff w14:val="5000"/>
              </w14:schemeClr>
            </w14:solidFill>
          </w14:textFill>
        </w:rPr>
        <w:t>基金</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托管人复核</w:t>
      </w:r>
      <w:r>
        <w:rPr>
          <w:rFonts w:hint="eastAsia" w:asciiTheme="minorEastAsia" w:hAnsiTheme="minorEastAsia"/>
          <w:color w:val="0D0D0D" w:themeColor="text1" w:themeTint="F2"/>
          <w14:textFill>
            <w14:solidFill>
              <w14:schemeClr w14:val="tx1">
                <w14:lumMod w14:val="95000"/>
                <w14:lumOff w14:val="5000"/>
              </w14:schemeClr>
            </w14:solidFill>
          </w14:textFill>
        </w:rPr>
        <w:t>，依照</w:t>
      </w:r>
      <w:r>
        <w:rPr>
          <w:rFonts w:hint="eastAsia" w:asciiTheme="minorEastAsia" w:hAnsiTheme="minorEastAsia" w:eastAsiaTheme="minorEastAsia"/>
          <w:color w:val="0D0D0D" w:themeColor="text1" w:themeTint="F2"/>
          <w14:textFill>
            <w14:solidFill>
              <w14:schemeClr w14:val="tx1">
                <w14:lumMod w14:val="95000"/>
                <w14:lumOff w14:val="5000"/>
              </w14:schemeClr>
            </w14:solidFill>
          </w14:textFill>
        </w:rPr>
        <w:t>《信息披露办法》在规定媒介公告</w:t>
      </w:r>
      <w:r>
        <w:rPr>
          <w:rFonts w:hint="eastAsia" w:asciiTheme="minorEastAsia" w:hAnsiTheme="minorEastAsia"/>
          <w:color w:val="0D0D0D" w:themeColor="text1" w:themeTint="F2"/>
          <w14:textFill>
            <w14:solidFill>
              <w14:schemeClr w14:val="tx1">
                <w14:lumMod w14:val="95000"/>
                <w14:lumOff w14:val="5000"/>
              </w14:schemeClr>
            </w14:solidFill>
          </w14:textFill>
        </w:rPr>
        <w:t>。</w:t>
      </w:r>
    </w:p>
    <w:p w14:paraId="5C00490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五、基金收益分配中发生的费用</w:t>
      </w:r>
    </w:p>
    <w:p w14:paraId="771AF9F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基金收益分配时所发生的银行转账或其他手续费用由投资者自行承担。</w:t>
      </w:r>
    </w:p>
    <w:p w14:paraId="124F6428">
      <w:pPr>
        <w:pStyle w:val="2"/>
        <w:sectPr>
          <w:footerReference r:id="rId25" w:type="default"/>
          <w:pgSz w:w="11906" w:h="16838"/>
          <w:pgMar w:top="1440" w:right="1800" w:bottom="1440" w:left="1800" w:header="851" w:footer="992" w:gutter="0"/>
          <w:pgNumType w:start="1"/>
          <w:cols w:space="425" w:num="1"/>
          <w:docGrid w:type="lines" w:linePitch="312" w:charSpace="0"/>
        </w:sectPr>
      </w:pPr>
      <w:bookmarkStart w:id="436" w:name="_Toc92662708"/>
      <w:bookmarkStart w:id="437" w:name="_Toc93226150"/>
      <w:bookmarkStart w:id="438" w:name="_Toc17499"/>
      <w:bookmarkStart w:id="439" w:name="_Toc21206"/>
      <w:bookmarkStart w:id="440" w:name="_Toc29695"/>
      <w:bookmarkStart w:id="441" w:name="_Toc90742701"/>
      <w:bookmarkStart w:id="442" w:name="_Toc23859"/>
      <w:bookmarkStart w:id="443" w:name="_Toc10894"/>
      <w:bookmarkStart w:id="444" w:name="_Toc28961"/>
      <w:bookmarkStart w:id="445" w:name="_Toc18007"/>
      <w:bookmarkStart w:id="446" w:name="_Toc13255"/>
      <w:bookmarkStart w:id="447" w:name="_Toc90742334"/>
      <w:bookmarkStart w:id="448" w:name="_Toc18747"/>
      <w:bookmarkStart w:id="449" w:name="_Toc90742403"/>
      <w:bookmarkStart w:id="450" w:name="_Toc1043"/>
      <w:bookmarkStart w:id="451" w:name="_Toc139991747"/>
      <w:bookmarkStart w:id="452" w:name="_Toc141703897"/>
      <w:bookmarkStart w:id="453" w:name="_Toc128310500"/>
      <w:bookmarkStart w:id="454" w:name="_Toc31736"/>
    </w:p>
    <w:bookmarkEnd w:id="435"/>
    <w:p w14:paraId="3D4B1172">
      <w:pPr>
        <w:pStyle w:val="2"/>
      </w:pPr>
      <w:bookmarkStart w:id="455" w:name="CTS_71c58533a21145f98d9d1bd34ae2666a"/>
      <w:bookmarkEnd w:id="455"/>
      <w:bookmarkStart w:id="456" w:name="_Toc13114"/>
      <w:bookmarkStart w:id="457" w:name="CLAUSE_71c58533a21145f98d9d1bd34ae2666a"/>
      <w:r>
        <w:rPr>
          <w:rFonts w:hint="eastAsia" w:cs="Arial"/>
        </w:rPr>
        <w:t>第十九</w:t>
      </w:r>
      <w:r>
        <w:rPr>
          <w:rFonts w:hint="eastAsia"/>
        </w:rPr>
        <w:t>部分 基金</w:t>
      </w:r>
      <w:bookmarkEnd w:id="436"/>
      <w:bookmarkEnd w:id="437"/>
      <w:r>
        <w:rPr>
          <w:rFonts w:hint="eastAsia"/>
        </w:rPr>
        <w:t>的会计与审计</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6"/>
    </w:p>
    <w:p w14:paraId="685FF863">
      <w:pPr>
        <w:snapToGrid w:val="0"/>
        <w:spacing w:line="360" w:lineRule="auto"/>
        <w:ind w:firstLine="420" w:firstLineChars="200"/>
        <w:rPr>
          <w:rFonts w:asciiTheme="minorEastAsia" w:hAnsiTheme="minorEastAsia"/>
        </w:rPr>
      </w:pPr>
      <w:r>
        <w:rPr>
          <w:rFonts w:hint="eastAsia" w:asciiTheme="minorEastAsia" w:hAnsiTheme="minorEastAsia"/>
        </w:rPr>
        <w:t>一、基金会计政策</w:t>
      </w:r>
    </w:p>
    <w:p w14:paraId="599DFF8C">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、基金管理人为本基金的基金会计责任方；</w:t>
      </w:r>
    </w:p>
    <w:p w14:paraId="54C1B282">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、基金的会计年度为公历年度的</w:t>
      </w:r>
      <w:r>
        <w:rPr>
          <w:rFonts w:asciiTheme="minorEastAsia" w:hAnsiTheme="minorEastAsia"/>
        </w:rPr>
        <w:t>1</w:t>
      </w:r>
      <w:r>
        <w:rPr>
          <w:rFonts w:hint="eastAsia" w:asciiTheme="minorEastAsia" w:hAnsiTheme="minorEastAsia"/>
        </w:rPr>
        <w:t>月</w:t>
      </w:r>
      <w:r>
        <w:rPr>
          <w:rFonts w:asciiTheme="minorEastAsia" w:hAnsiTheme="minorEastAsia"/>
        </w:rPr>
        <w:t>1</w:t>
      </w:r>
      <w:r>
        <w:rPr>
          <w:rFonts w:hint="eastAsia" w:asciiTheme="minorEastAsia" w:hAnsiTheme="minorEastAsia"/>
        </w:rPr>
        <w:t>日至</w:t>
      </w:r>
      <w:r>
        <w:rPr>
          <w:rFonts w:asciiTheme="minorEastAsia" w:hAnsiTheme="minorEastAsia"/>
        </w:rPr>
        <w:t>12</w:t>
      </w:r>
      <w:r>
        <w:rPr>
          <w:rFonts w:hint="eastAsia" w:asciiTheme="minorEastAsia" w:hAnsiTheme="minorEastAsia"/>
        </w:rPr>
        <w:t>月</w:t>
      </w:r>
      <w:r>
        <w:rPr>
          <w:rFonts w:asciiTheme="minorEastAsia" w:hAnsiTheme="minorEastAsia"/>
        </w:rPr>
        <w:t>31</w:t>
      </w:r>
      <w:r>
        <w:rPr>
          <w:rFonts w:hint="eastAsia" w:asciiTheme="minorEastAsia" w:hAnsiTheme="minorEastAsia"/>
        </w:rPr>
        <w:t>日；基金首次募集的会计年度按如下原则：如果《基金合同》生效少于2个月，可以并入下一个会计年度</w:t>
      </w:r>
      <w:r>
        <w:rPr>
          <w:rFonts w:hint="eastAsia" w:asciiTheme="minorEastAsia" w:hAnsiTheme="minorEastAsia" w:eastAsiaTheme="minorEastAsia"/>
        </w:rPr>
        <w:t>披露</w:t>
      </w:r>
      <w:r>
        <w:rPr>
          <w:rFonts w:hint="eastAsia" w:asciiTheme="minorEastAsia" w:hAnsiTheme="minorEastAsia"/>
        </w:rPr>
        <w:t>；</w:t>
      </w:r>
    </w:p>
    <w:p w14:paraId="39B2BDE3">
      <w:pPr>
        <w:snapToGrid w:val="0"/>
        <w:spacing w:line="360" w:lineRule="auto"/>
        <w:ind w:firstLine="420" w:firstLineChars="200"/>
        <w:rPr>
          <w:rFonts w:asciiTheme="minorEastAsia" w:hAnsiTheme="minorEastAsia"/>
        </w:rPr>
      </w:pPr>
      <w:r>
        <w:rPr>
          <w:rFonts w:asciiTheme="minorEastAsia" w:hAnsiTheme="minorEastAsia"/>
        </w:rPr>
        <w:t>3</w:t>
      </w:r>
      <w:r>
        <w:rPr>
          <w:rFonts w:hint="eastAsia" w:asciiTheme="minorEastAsia" w:hAnsiTheme="minorEastAsia"/>
        </w:rPr>
        <w:t>、基金核算以人民币为记账本位币，以人民币元为记账单位；</w:t>
      </w:r>
    </w:p>
    <w:p w14:paraId="617EF4D8">
      <w:pPr>
        <w:snapToGrid w:val="0"/>
        <w:spacing w:line="360" w:lineRule="auto"/>
        <w:ind w:firstLine="420" w:firstLineChars="200"/>
        <w:rPr>
          <w:rFonts w:asciiTheme="minorEastAsia" w:hAnsiTheme="minorEastAsia"/>
        </w:rPr>
      </w:pPr>
      <w:r>
        <w:rPr>
          <w:rFonts w:asciiTheme="minorEastAsia" w:hAnsiTheme="minorEastAsia"/>
        </w:rPr>
        <w:t>4</w:t>
      </w:r>
      <w:r>
        <w:rPr>
          <w:rFonts w:hint="eastAsia" w:asciiTheme="minorEastAsia" w:hAnsiTheme="minorEastAsia"/>
        </w:rPr>
        <w:t>、会计制度执行国家有关会计制度；</w:t>
      </w:r>
    </w:p>
    <w:p w14:paraId="01364360">
      <w:pPr>
        <w:snapToGrid w:val="0"/>
        <w:spacing w:line="360" w:lineRule="auto"/>
        <w:ind w:firstLine="420" w:firstLineChars="200"/>
        <w:rPr>
          <w:rFonts w:asciiTheme="minorEastAsia" w:hAnsiTheme="minorEastAsia"/>
        </w:rPr>
      </w:pPr>
      <w:r>
        <w:rPr>
          <w:rFonts w:asciiTheme="minorEastAsia" w:hAnsiTheme="minorEastAsia"/>
        </w:rPr>
        <w:t>5</w:t>
      </w:r>
      <w:r>
        <w:rPr>
          <w:rFonts w:hint="eastAsia" w:asciiTheme="minorEastAsia" w:hAnsiTheme="minorEastAsia"/>
        </w:rPr>
        <w:t>、本基金独立建账、独立核算；</w:t>
      </w:r>
    </w:p>
    <w:p w14:paraId="69F5E412">
      <w:pPr>
        <w:snapToGrid w:val="0"/>
        <w:spacing w:line="360" w:lineRule="auto"/>
        <w:ind w:firstLine="420" w:firstLineChars="200"/>
        <w:rPr>
          <w:rFonts w:asciiTheme="minorEastAsia" w:hAnsiTheme="minorEastAsia"/>
        </w:rPr>
      </w:pPr>
      <w:r>
        <w:rPr>
          <w:rFonts w:asciiTheme="minorEastAsia" w:hAnsiTheme="minorEastAsia"/>
        </w:rPr>
        <w:t>6</w:t>
      </w:r>
      <w:r>
        <w:rPr>
          <w:rFonts w:hint="eastAsia" w:asciiTheme="minorEastAsia" w:hAnsiTheme="minorEastAsia"/>
        </w:rPr>
        <w:t>、基金管理人及基金托管人各自保留完整的会计账目、凭证并进行日常的会计核算，按照有关规定编制基金会计报表；</w:t>
      </w:r>
    </w:p>
    <w:p w14:paraId="0824D1A1">
      <w:pPr>
        <w:snapToGrid w:val="0"/>
        <w:spacing w:line="360" w:lineRule="auto"/>
        <w:ind w:firstLine="420" w:firstLineChars="200"/>
        <w:rPr>
          <w:rFonts w:asciiTheme="minorEastAsia" w:hAnsiTheme="minorEastAsia"/>
        </w:rPr>
      </w:pPr>
      <w:r>
        <w:rPr>
          <w:rFonts w:asciiTheme="minorEastAsia" w:hAnsiTheme="minorEastAsia"/>
        </w:rPr>
        <w:t>7</w:t>
      </w:r>
      <w:r>
        <w:rPr>
          <w:rFonts w:hint="eastAsia" w:asciiTheme="minorEastAsia" w:hAnsiTheme="minorEastAsia"/>
        </w:rPr>
        <w:t>、基金托管人每月与基金管理人就基金的会计核算、报表编制等进行核对并以书面方式确认。</w:t>
      </w:r>
    </w:p>
    <w:p w14:paraId="7DA453B8">
      <w:pPr>
        <w:snapToGrid w:val="0"/>
        <w:spacing w:line="360" w:lineRule="auto"/>
        <w:ind w:firstLine="420" w:firstLineChars="200"/>
        <w:rPr>
          <w:rFonts w:asciiTheme="minorEastAsia" w:hAnsiTheme="minorEastAsia"/>
        </w:rPr>
      </w:pPr>
      <w:r>
        <w:rPr>
          <w:rFonts w:hint="eastAsia" w:asciiTheme="minorEastAsia" w:hAnsiTheme="minorEastAsia"/>
        </w:rPr>
        <w:t>二、基金的年度审计</w:t>
      </w:r>
    </w:p>
    <w:p w14:paraId="41D5EF8E">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、基金管理人聘请与基金管理人、基金托管人相互独立且符合《证券法》规定的会计师事务所及其注册会计师对本基金的年度财务报表进行审计。</w:t>
      </w:r>
    </w:p>
    <w:p w14:paraId="0F5EA023">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、会计师事务所更换经办注册会计师，应事先征得基金管理人同意。</w:t>
      </w:r>
    </w:p>
    <w:p w14:paraId="2B177FBE">
      <w:pPr>
        <w:snapToGrid w:val="0"/>
        <w:spacing w:line="360" w:lineRule="auto"/>
        <w:ind w:firstLine="420" w:firstLineChars="200"/>
        <w:rPr>
          <w:rFonts w:asciiTheme="minorEastAsia" w:hAnsiTheme="minorEastAsia"/>
        </w:rPr>
      </w:pPr>
      <w:r>
        <w:rPr>
          <w:rFonts w:asciiTheme="minorEastAsia" w:hAnsiTheme="minorEastAsia"/>
        </w:rPr>
        <w:t>3</w:t>
      </w:r>
      <w:r>
        <w:rPr>
          <w:rFonts w:hint="eastAsia" w:asciiTheme="minorEastAsia" w:hAnsiTheme="minorEastAsia"/>
        </w:rPr>
        <w:t>、基金管理人认为有充足理由更换会计师事务所，须通报基金托管人。更换会计师事务所需</w:t>
      </w:r>
      <w:r>
        <w:rPr>
          <w:rFonts w:hint="eastAsia" w:asciiTheme="minorEastAsia" w:hAnsiTheme="minorEastAsia" w:eastAsiaTheme="minorEastAsia"/>
        </w:rPr>
        <w:t>依照《信息披露办法》</w:t>
      </w:r>
      <w:r>
        <w:rPr>
          <w:rFonts w:hint="eastAsia" w:asciiTheme="minorEastAsia" w:hAnsiTheme="minorEastAsia"/>
        </w:rPr>
        <w:t>在规定媒介公告。</w:t>
      </w:r>
    </w:p>
    <w:p w14:paraId="728119D1">
      <w:pPr>
        <w:adjustRightInd w:val="0"/>
        <w:snapToGrid w:val="0"/>
        <w:spacing w:line="360" w:lineRule="auto"/>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458" w:name="_Toc92662709"/>
      <w:bookmarkStart w:id="459" w:name="_Toc93226151"/>
      <w:bookmarkStart w:id="460" w:name="_Toc31866"/>
      <w:bookmarkStart w:id="461" w:name="_Toc21351"/>
      <w:bookmarkStart w:id="462" w:name="_Toc12028"/>
      <w:bookmarkStart w:id="463" w:name="_Toc11802"/>
      <w:bookmarkStart w:id="464" w:name="_Toc3056"/>
      <w:bookmarkStart w:id="465" w:name="_Toc141703898"/>
      <w:bookmarkStart w:id="466" w:name="_Toc29289"/>
      <w:bookmarkStart w:id="467" w:name="_Toc128310501"/>
      <w:bookmarkStart w:id="468" w:name="_Toc1173"/>
      <w:bookmarkStart w:id="469" w:name="_Toc1421"/>
      <w:bookmarkStart w:id="470" w:name="_Toc8512"/>
      <w:bookmarkStart w:id="471" w:name="_Toc193"/>
      <w:bookmarkStart w:id="472" w:name="_Toc139991748"/>
      <w:bookmarkStart w:id="473" w:name="_Toc11049"/>
    </w:p>
    <w:p w14:paraId="3691C197">
      <w:pPr>
        <w:pStyle w:val="2"/>
        <w:sectPr>
          <w:footerReference r:id="rId26" w:type="default"/>
          <w:pgSz w:w="11906" w:h="16838"/>
          <w:pgMar w:top="1440" w:right="1800" w:bottom="1440" w:left="1800" w:header="851" w:footer="992" w:gutter="0"/>
          <w:pgNumType w:start="1"/>
          <w:cols w:space="425" w:num="1"/>
          <w:docGrid w:type="lines" w:linePitch="312" w:charSpace="0"/>
        </w:sectPr>
      </w:pPr>
      <w:bookmarkStart w:id="474" w:name="_Hlt4221115"/>
      <w:bookmarkStart w:id="475" w:name="_Toc90742404"/>
      <w:bookmarkStart w:id="476" w:name="_Toc90742335"/>
      <w:bookmarkStart w:id="477" w:name="_Toc90742702"/>
    </w:p>
    <w:bookmarkEnd w:id="457"/>
    <w:bookmarkEnd w:id="474"/>
    <w:p w14:paraId="7FD7F707">
      <w:pPr>
        <w:pStyle w:val="2"/>
      </w:pPr>
      <w:bookmarkStart w:id="478" w:name="CTS_b4bd628fc54940d596ac1d00d338db3a"/>
      <w:bookmarkEnd w:id="478"/>
      <w:bookmarkStart w:id="479" w:name="_Toc28082"/>
      <w:bookmarkStart w:id="480" w:name="CLAUSE_b4bd628fc54940d596ac1d00d338db3a"/>
      <w:r>
        <w:rPr>
          <w:rFonts w:hint="eastAsia" w:cs="Arial"/>
        </w:rPr>
        <w:t>第二十部分</w:t>
      </w:r>
      <w:r>
        <w:rPr>
          <w:rFonts w:hint="eastAsia"/>
        </w:rPr>
        <w:t xml:space="preserve"> 基金</w:t>
      </w:r>
      <w:bookmarkEnd w:id="458"/>
      <w:bookmarkEnd w:id="459"/>
      <w:r>
        <w:rPr>
          <w:rFonts w:hint="eastAsia"/>
        </w:rPr>
        <w:t>的信息披露</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5"/>
      <w:bookmarkEnd w:id="476"/>
      <w:bookmarkEnd w:id="477"/>
      <w:bookmarkEnd w:id="479"/>
    </w:p>
    <w:p w14:paraId="6EAB7A6F">
      <w:pPr>
        <w:spacing w:line="360" w:lineRule="auto"/>
        <w:ind w:firstLine="480" w:firstLineChars="200"/>
        <w:rPr>
          <w:rFonts w:asciiTheme="minorEastAsia" w:hAnsiTheme="minorEastAsia"/>
          <w:sz w:val="24"/>
        </w:rPr>
      </w:pPr>
    </w:p>
    <w:p w14:paraId="2226B1C5">
      <w:pPr>
        <w:snapToGrid w:val="0"/>
        <w:spacing w:line="360" w:lineRule="auto"/>
        <w:ind w:firstLine="420" w:firstLineChars="200"/>
        <w:rPr>
          <w:rFonts w:asciiTheme="minorEastAsia" w:hAnsiTheme="minorEastAsia"/>
        </w:rPr>
      </w:pPr>
      <w:r>
        <w:rPr>
          <w:rFonts w:hint="eastAsia" w:asciiTheme="minorEastAsia" w:hAnsiTheme="minorEastAsia"/>
        </w:rPr>
        <w:t>一、本基金的信息披露应符合《基金法》、《运作办法》、《信息披露办法》、《流动性风险管理规定》、《基金合同》及其他有关规定。</w:t>
      </w:r>
      <w:r>
        <w:rPr>
          <w:rFonts w:hint="eastAsia" w:asciiTheme="minorEastAsia" w:hAnsiTheme="minorEastAsia" w:eastAsiaTheme="minorEastAsia"/>
        </w:rPr>
        <w:t>相关法律法规关于信息披露的披露方式、登载媒介、报备方式等规定发生变化时，本基金从其最新规定。</w:t>
      </w:r>
    </w:p>
    <w:p w14:paraId="3E24EDBD">
      <w:pPr>
        <w:snapToGrid w:val="0"/>
        <w:spacing w:line="360" w:lineRule="auto"/>
        <w:ind w:firstLine="420" w:firstLineChars="200"/>
        <w:rPr>
          <w:rFonts w:asciiTheme="minorEastAsia" w:hAnsiTheme="minorEastAsia"/>
        </w:rPr>
      </w:pPr>
      <w:r>
        <w:rPr>
          <w:rFonts w:hint="eastAsia" w:asciiTheme="minorEastAsia" w:hAnsiTheme="minorEastAsia"/>
        </w:rPr>
        <w:t>二、信息披露义务人</w:t>
      </w:r>
    </w:p>
    <w:p w14:paraId="0065115E">
      <w:pPr>
        <w:snapToGrid w:val="0"/>
        <w:spacing w:line="360" w:lineRule="auto"/>
        <w:ind w:firstLine="420" w:firstLineChars="200"/>
        <w:rPr>
          <w:rFonts w:asciiTheme="minorEastAsia" w:hAnsiTheme="minorEastAsia"/>
        </w:rPr>
      </w:pPr>
      <w:r>
        <w:rPr>
          <w:rFonts w:hint="eastAsia" w:asciiTheme="minorEastAsia" w:hAnsiTheme="minorEastAsia"/>
        </w:rPr>
        <w:t>本基金信息披露义务人包括基金管理人、基金托管人、召集基金份额持有人大会的基金份额持有人等法律、行政法规和中国证监会规定的自然人、法人和非法人组织。</w:t>
      </w:r>
    </w:p>
    <w:p w14:paraId="0A77B980">
      <w:pPr>
        <w:snapToGrid w:val="0"/>
        <w:spacing w:line="360" w:lineRule="auto"/>
        <w:ind w:firstLine="420" w:firstLineChars="200"/>
        <w:rPr>
          <w:rFonts w:asciiTheme="minorEastAsia" w:hAnsiTheme="minorEastAsia"/>
        </w:rPr>
      </w:pPr>
      <w:r>
        <w:rPr>
          <w:rFonts w:hint="eastAsia" w:asciiTheme="minorEastAsia" w:hAnsiTheme="minorEastAsia"/>
        </w:rPr>
        <w:t>本基金信息披露义务人以保护基金份额持有人利益为根本出发点，按照法律法规和中国证监会的规定披露基金信息，并保证所披露信息的真实性、准确性、完整性、及时性、简明性和易得性。</w:t>
      </w:r>
    </w:p>
    <w:p w14:paraId="1F21F57D">
      <w:pPr>
        <w:snapToGrid w:val="0"/>
        <w:spacing w:line="360" w:lineRule="auto"/>
        <w:ind w:firstLine="420" w:firstLineChars="200"/>
        <w:rPr>
          <w:rFonts w:asciiTheme="minorEastAsia" w:hAnsiTheme="minorEastAsia"/>
        </w:rPr>
      </w:pPr>
      <w:r>
        <w:rPr>
          <w:rFonts w:hint="eastAsia" w:asciiTheme="minorEastAsia" w:hAnsiTheme="minorEastAsia"/>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14:paraId="7765D49C">
      <w:pPr>
        <w:snapToGrid w:val="0"/>
        <w:spacing w:line="360" w:lineRule="auto"/>
        <w:ind w:firstLine="420" w:firstLineChars="200"/>
        <w:rPr>
          <w:rFonts w:asciiTheme="minorEastAsia" w:hAnsiTheme="minorEastAsia"/>
        </w:rPr>
      </w:pPr>
      <w:r>
        <w:rPr>
          <w:rFonts w:hint="eastAsia" w:asciiTheme="minorEastAsia" w:hAnsiTheme="minorEastAsia"/>
        </w:rPr>
        <w:t>三、本基金信息披露义务人承诺公开披露的基金信息，不得有下列行为：</w:t>
      </w:r>
    </w:p>
    <w:p w14:paraId="25FFA916">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、虚假记载、误导性陈述或者重大遗漏；</w:t>
      </w:r>
    </w:p>
    <w:p w14:paraId="78C76AFA">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、对证券投资业绩进行预测；</w:t>
      </w:r>
    </w:p>
    <w:p w14:paraId="78184759">
      <w:pPr>
        <w:snapToGrid w:val="0"/>
        <w:spacing w:line="360" w:lineRule="auto"/>
        <w:ind w:firstLine="420" w:firstLineChars="200"/>
        <w:rPr>
          <w:rFonts w:asciiTheme="minorEastAsia" w:hAnsiTheme="minorEastAsia"/>
        </w:rPr>
      </w:pPr>
      <w:r>
        <w:rPr>
          <w:rFonts w:asciiTheme="minorEastAsia" w:hAnsiTheme="minorEastAsia"/>
        </w:rPr>
        <w:t>3</w:t>
      </w:r>
      <w:r>
        <w:rPr>
          <w:rFonts w:hint="eastAsia" w:asciiTheme="minorEastAsia" w:hAnsiTheme="minorEastAsia"/>
        </w:rPr>
        <w:t>、违规承诺收益或者承担损失；</w:t>
      </w:r>
    </w:p>
    <w:p w14:paraId="256ED9A7">
      <w:pPr>
        <w:snapToGrid w:val="0"/>
        <w:spacing w:line="360" w:lineRule="auto"/>
        <w:ind w:firstLine="420" w:firstLineChars="200"/>
        <w:rPr>
          <w:rFonts w:asciiTheme="minorEastAsia" w:hAnsiTheme="minorEastAsia"/>
        </w:rPr>
      </w:pPr>
      <w:r>
        <w:rPr>
          <w:rFonts w:asciiTheme="minorEastAsia" w:hAnsiTheme="minorEastAsia"/>
        </w:rPr>
        <w:t>4</w:t>
      </w:r>
      <w:r>
        <w:rPr>
          <w:rFonts w:hint="eastAsia" w:asciiTheme="minorEastAsia" w:hAnsiTheme="minorEastAsia"/>
        </w:rPr>
        <w:t>、诋毁其他基金管理人、基金托管人或者基金销售机构；</w:t>
      </w:r>
    </w:p>
    <w:p w14:paraId="7CA96D9D">
      <w:pPr>
        <w:snapToGrid w:val="0"/>
        <w:spacing w:line="360" w:lineRule="auto"/>
        <w:ind w:firstLine="420" w:firstLineChars="200"/>
        <w:rPr>
          <w:rFonts w:asciiTheme="minorEastAsia" w:hAnsiTheme="minorEastAsia"/>
        </w:rPr>
      </w:pPr>
      <w:r>
        <w:rPr>
          <w:rFonts w:asciiTheme="minorEastAsia" w:hAnsiTheme="minorEastAsia"/>
        </w:rPr>
        <w:t>5</w:t>
      </w:r>
      <w:r>
        <w:rPr>
          <w:rFonts w:hint="eastAsia" w:asciiTheme="minorEastAsia" w:hAnsiTheme="minorEastAsia"/>
        </w:rPr>
        <w:t>、登载任何自然人、法人和非法人组织的祝贺性、恭维性或推荐性的文字；</w:t>
      </w:r>
    </w:p>
    <w:p w14:paraId="18925E64">
      <w:pPr>
        <w:snapToGrid w:val="0"/>
        <w:spacing w:line="360" w:lineRule="auto"/>
        <w:ind w:firstLine="420" w:firstLineChars="200"/>
        <w:rPr>
          <w:rFonts w:asciiTheme="minorEastAsia" w:hAnsiTheme="minorEastAsia"/>
        </w:rPr>
      </w:pPr>
      <w:r>
        <w:rPr>
          <w:rFonts w:asciiTheme="minorEastAsia" w:hAnsiTheme="minorEastAsia"/>
        </w:rPr>
        <w:t>6</w:t>
      </w:r>
      <w:r>
        <w:rPr>
          <w:rFonts w:hint="eastAsia" w:asciiTheme="minorEastAsia" w:hAnsiTheme="minorEastAsia"/>
        </w:rPr>
        <w:t>、中国证监会禁止的其他行为。</w:t>
      </w:r>
    </w:p>
    <w:p w14:paraId="0078887F">
      <w:pPr>
        <w:snapToGrid w:val="0"/>
        <w:spacing w:line="360" w:lineRule="auto"/>
        <w:ind w:firstLine="420" w:firstLineChars="200"/>
        <w:rPr>
          <w:rFonts w:asciiTheme="minorEastAsia" w:hAnsiTheme="minorEastAsia"/>
        </w:rPr>
      </w:pPr>
      <w:r>
        <w:rPr>
          <w:rFonts w:hint="eastAsia" w:asciiTheme="minorEastAsia" w:hAnsiTheme="minorEastAsia"/>
        </w:rPr>
        <w:t>四、本基金公开披露的信息应采用中文文本。如同时采用外文文本的，基金信息披露义务人应保证不同文本的内容一致。不同文本之间发生歧义的，以中文文本为准。</w:t>
      </w:r>
    </w:p>
    <w:p w14:paraId="72FEEB32">
      <w:pPr>
        <w:snapToGrid w:val="0"/>
        <w:spacing w:line="360" w:lineRule="auto"/>
        <w:ind w:firstLine="420" w:firstLineChars="200"/>
        <w:rPr>
          <w:rFonts w:asciiTheme="minorEastAsia" w:hAnsiTheme="minorEastAsia"/>
        </w:rPr>
      </w:pPr>
      <w:r>
        <w:rPr>
          <w:rFonts w:hint="eastAsia" w:asciiTheme="minorEastAsia" w:hAnsiTheme="minorEastAsia"/>
        </w:rPr>
        <w:t>本基金公开披露的信息采用阿拉伯数字；除特别说明外，货币单位为人民币元。</w:t>
      </w:r>
    </w:p>
    <w:p w14:paraId="55047661">
      <w:pPr>
        <w:snapToGrid w:val="0"/>
        <w:spacing w:line="360" w:lineRule="auto"/>
        <w:ind w:firstLine="420" w:firstLineChars="200"/>
        <w:rPr>
          <w:rFonts w:asciiTheme="minorEastAsia" w:hAnsiTheme="minorEastAsia"/>
        </w:rPr>
      </w:pPr>
      <w:r>
        <w:rPr>
          <w:rFonts w:hint="eastAsia" w:asciiTheme="minorEastAsia" w:hAnsiTheme="minorEastAsia"/>
        </w:rPr>
        <w:t>五、公开披露的基金信息</w:t>
      </w:r>
    </w:p>
    <w:p w14:paraId="6DBEEEA5">
      <w:pPr>
        <w:snapToGrid w:val="0"/>
        <w:spacing w:line="360" w:lineRule="auto"/>
        <w:ind w:firstLine="420" w:firstLineChars="200"/>
        <w:rPr>
          <w:rFonts w:asciiTheme="minorEastAsia" w:hAnsiTheme="minorEastAsia"/>
        </w:rPr>
      </w:pPr>
      <w:r>
        <w:rPr>
          <w:rFonts w:hint="eastAsia" w:asciiTheme="minorEastAsia" w:hAnsiTheme="minorEastAsia"/>
        </w:rPr>
        <w:t>公开披露的基金信息包括：</w:t>
      </w:r>
    </w:p>
    <w:p w14:paraId="4FABE97A">
      <w:pPr>
        <w:snapToGrid w:val="0"/>
        <w:spacing w:line="360" w:lineRule="auto"/>
        <w:ind w:firstLine="420" w:firstLineChars="200"/>
        <w:rPr>
          <w:rFonts w:asciiTheme="minorEastAsia" w:hAnsiTheme="minorEastAsia"/>
        </w:rPr>
      </w:pPr>
      <w:r>
        <w:rPr>
          <w:rFonts w:hint="eastAsia" w:asciiTheme="minorEastAsia" w:hAnsiTheme="minorEastAsia"/>
        </w:rPr>
        <w:t>（一）基金招募说明书、基金产品资料概要、</w:t>
      </w:r>
      <w:r>
        <w:rPr>
          <w:rFonts w:hint="eastAsia" w:asciiTheme="minorEastAsia" w:hAnsiTheme="minorEastAsia" w:eastAsiaTheme="minorEastAsia"/>
        </w:rPr>
        <w:t>基金</w:t>
      </w:r>
      <w:r>
        <w:rPr>
          <w:rFonts w:asciiTheme="minorEastAsia" w:hAnsiTheme="minorEastAsia" w:eastAsiaTheme="minorEastAsia"/>
        </w:rPr>
        <w:t>合同</w:t>
      </w:r>
      <w:r>
        <w:rPr>
          <w:rFonts w:hint="eastAsia" w:asciiTheme="minorEastAsia" w:hAnsiTheme="minorEastAsia"/>
        </w:rPr>
        <w:t>、基金托管协议</w:t>
      </w:r>
    </w:p>
    <w:p w14:paraId="6AE959F9">
      <w:pPr>
        <w:snapToGrid w:val="0"/>
        <w:spacing w:line="360" w:lineRule="auto"/>
        <w:ind w:firstLine="420" w:firstLineChars="200"/>
        <w:rPr>
          <w:rFonts w:asciiTheme="minorEastAsia" w:hAnsiTheme="minorEastAsia"/>
        </w:rPr>
      </w:pPr>
      <w:r>
        <w:rPr>
          <w:rFonts w:hint="eastAsia" w:asciiTheme="minorEastAsia" w:hAnsiTheme="minorEastAsia"/>
        </w:rPr>
        <w:t>1、</w:t>
      </w:r>
      <w:r>
        <w:rPr>
          <w:rFonts w:asciiTheme="minorEastAsia" w:hAnsiTheme="minorEastAsia" w:eastAsiaTheme="minorEastAsia"/>
        </w:rPr>
        <w:t>基金合同</w:t>
      </w:r>
      <w:r>
        <w:rPr>
          <w:rFonts w:hint="eastAsia" w:asciiTheme="minorEastAsia" w:hAnsiTheme="minorEastAsia"/>
        </w:rPr>
        <w:t>是界定</w:t>
      </w:r>
      <w:r>
        <w:rPr>
          <w:rFonts w:asciiTheme="minorEastAsia" w:hAnsiTheme="minorEastAsia" w:eastAsiaTheme="minorEastAsia"/>
        </w:rPr>
        <w:t>基金合同</w:t>
      </w:r>
      <w:r>
        <w:rPr>
          <w:rFonts w:hint="eastAsia" w:asciiTheme="minorEastAsia" w:hAnsiTheme="minorEastAsia"/>
        </w:rPr>
        <w:t>当事人的各项权利、义务关系，明确基金份额持有人大会召开的规则及具体程序，说明基金产品的特性等涉及基金投资者重大利益的事项的法律文件。</w:t>
      </w:r>
    </w:p>
    <w:p w14:paraId="5EEED519">
      <w:pPr>
        <w:snapToGrid w:val="0"/>
        <w:spacing w:line="360" w:lineRule="auto"/>
        <w:ind w:firstLine="420" w:firstLineChars="200"/>
        <w:rPr>
          <w:rFonts w:asciiTheme="minorEastAsia" w:hAnsiTheme="minorEastAsia"/>
        </w:rPr>
      </w:pPr>
      <w:r>
        <w:rPr>
          <w:rFonts w:hint="eastAsia" w:asciiTheme="minorEastAsia" w:hAnsiTheme="minorEastAsia"/>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4CBF7B66">
      <w:pPr>
        <w:snapToGrid w:val="0"/>
        <w:spacing w:line="360" w:lineRule="auto"/>
        <w:ind w:firstLine="420" w:firstLineChars="200"/>
        <w:rPr>
          <w:rFonts w:asciiTheme="minorEastAsia" w:hAnsiTheme="minorEastAsia"/>
        </w:rPr>
      </w:pPr>
      <w:r>
        <w:rPr>
          <w:rFonts w:hint="eastAsia" w:asciiTheme="minorEastAsia" w:hAnsiTheme="minorEastAsia"/>
        </w:rPr>
        <w:t>3、基金托管协议是界定基金托管人和基金管理人在基金财产保管及基金运作监督等活动中的权利、义务关系的法律文件。</w:t>
      </w:r>
    </w:p>
    <w:p w14:paraId="0E5A6B20">
      <w:pPr>
        <w:snapToGrid w:val="0"/>
        <w:spacing w:line="360" w:lineRule="auto"/>
        <w:ind w:firstLine="420" w:firstLineChars="200"/>
        <w:rPr>
          <w:rFonts w:asciiTheme="minorEastAsia" w:hAnsiTheme="minorEastAsia"/>
        </w:rPr>
      </w:pPr>
      <w:r>
        <w:rPr>
          <w:rFonts w:hint="eastAsia" w:asciiTheme="minorEastAsia" w:hAnsiTheme="minorEastAsia"/>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7DD80869">
      <w:pPr>
        <w:snapToGrid w:val="0"/>
        <w:spacing w:line="360" w:lineRule="auto"/>
        <w:ind w:firstLine="420" w:firstLineChars="200"/>
        <w:rPr>
          <w:rFonts w:asciiTheme="minorEastAsia" w:hAnsiTheme="minorEastAsia"/>
        </w:rPr>
      </w:pPr>
      <w:r>
        <w:rPr>
          <w:rFonts w:hint="eastAsia" w:asciiTheme="minorEastAsia" w:hAnsiTheme="minorEastAsia"/>
        </w:rPr>
        <w:t>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79695EC2">
      <w:pPr>
        <w:snapToGrid w:val="0"/>
        <w:spacing w:line="360" w:lineRule="auto"/>
        <w:ind w:firstLine="420" w:firstLineChars="200"/>
        <w:rPr>
          <w:rFonts w:asciiTheme="minorEastAsia" w:hAnsiTheme="minorEastAsia"/>
        </w:rPr>
      </w:pPr>
      <w:r>
        <w:rPr>
          <w:rFonts w:hint="eastAsia" w:asciiTheme="minorEastAsia" w:hAnsiTheme="minorEastAsia"/>
        </w:rPr>
        <w:t>（二）基金份额发售公告</w:t>
      </w:r>
    </w:p>
    <w:p w14:paraId="2FC803BC">
      <w:pPr>
        <w:snapToGrid w:val="0"/>
        <w:spacing w:line="360" w:lineRule="auto"/>
        <w:ind w:firstLine="420" w:firstLineChars="200"/>
        <w:rPr>
          <w:rFonts w:asciiTheme="minorEastAsia" w:hAnsiTheme="minorEastAsia"/>
        </w:rPr>
      </w:pPr>
      <w:r>
        <w:rPr>
          <w:rFonts w:hint="eastAsia" w:asciiTheme="minorEastAsia" w:hAnsiTheme="minorEastAsia"/>
        </w:rPr>
        <w:t>基金管理人应当就基金份额发售的具体事宜编制基金份额发售公告。</w:t>
      </w:r>
    </w:p>
    <w:p w14:paraId="6F72F795">
      <w:pPr>
        <w:snapToGrid w:val="0"/>
        <w:spacing w:line="360" w:lineRule="auto"/>
        <w:ind w:firstLine="420" w:firstLineChars="200"/>
        <w:rPr>
          <w:rFonts w:asciiTheme="minorEastAsia" w:hAnsiTheme="minorEastAsia"/>
        </w:rPr>
      </w:pPr>
      <w:r>
        <w:rPr>
          <w:rFonts w:hint="eastAsia" w:asciiTheme="minorEastAsia" w:hAnsiTheme="minorEastAsia"/>
        </w:rPr>
        <w:t>（三）《基金合同》生效公告</w:t>
      </w:r>
    </w:p>
    <w:p w14:paraId="610921B5">
      <w:pPr>
        <w:snapToGrid w:val="0"/>
        <w:spacing w:line="360" w:lineRule="auto"/>
        <w:ind w:firstLine="420" w:firstLineChars="200"/>
        <w:rPr>
          <w:rFonts w:asciiTheme="minorEastAsia" w:hAnsiTheme="minorEastAsia"/>
        </w:rPr>
      </w:pPr>
      <w:r>
        <w:rPr>
          <w:rFonts w:hint="eastAsia" w:asciiTheme="minorEastAsia" w:hAnsiTheme="minorEastAsia"/>
        </w:rPr>
        <w:t>基金管理人应当在收到中国证监会确认文件的次日在规定报刊和规定网站上登载《基金合同》生效公告。</w:t>
      </w:r>
    </w:p>
    <w:p w14:paraId="30233460">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四</w:t>
      </w:r>
      <w:r>
        <w:rPr>
          <w:rFonts w:hint="eastAsia" w:asciiTheme="minorEastAsia" w:hAnsiTheme="minorEastAsia"/>
        </w:rPr>
        <w:t>）基金份额</w:t>
      </w:r>
      <w:r>
        <w:rPr>
          <w:rFonts w:asciiTheme="minorEastAsia" w:hAnsiTheme="minorEastAsia" w:eastAsiaTheme="minorEastAsia"/>
        </w:rPr>
        <w:t>上市交易公告书</w:t>
      </w:r>
    </w:p>
    <w:p w14:paraId="5873A65D">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基金份额获准在证券交易所上市交易的，基金管理人应当在基金份额上市交易</w:t>
      </w:r>
      <w:r>
        <w:rPr>
          <w:rFonts w:hint="eastAsia" w:asciiTheme="minorEastAsia" w:hAnsiTheme="minorEastAsia" w:eastAsiaTheme="minorEastAsia"/>
        </w:rPr>
        <w:t>的</w:t>
      </w:r>
      <w:r>
        <w:rPr>
          <w:rFonts w:asciiTheme="minorEastAsia" w:hAnsiTheme="minorEastAsia" w:eastAsiaTheme="minorEastAsia"/>
        </w:rPr>
        <w:t>3个工作日前，将基金份额上市交易公告书登载在规定网站</w:t>
      </w:r>
      <w:r>
        <w:rPr>
          <w:rFonts w:hint="eastAsia" w:asciiTheme="minorEastAsia" w:hAnsiTheme="minorEastAsia" w:eastAsiaTheme="minorEastAsia"/>
        </w:rPr>
        <w:t>上，并将上市交易公告书提示性公告登载在规定报刊上</w:t>
      </w:r>
      <w:r>
        <w:rPr>
          <w:rFonts w:asciiTheme="minorEastAsia" w:hAnsiTheme="minorEastAsia" w:eastAsiaTheme="minorEastAsia"/>
        </w:rPr>
        <w:t>。</w:t>
      </w:r>
    </w:p>
    <w:p w14:paraId="7D746AFB">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rPr>
        <w:t>五</w:t>
      </w:r>
      <w:r>
        <w:rPr>
          <w:rFonts w:hint="eastAsia" w:asciiTheme="minorEastAsia" w:hAnsiTheme="minorEastAsia" w:eastAsiaTheme="minorEastAsia"/>
        </w:rPr>
        <w:t>）基金份额折算日和折算结果公告</w:t>
      </w:r>
    </w:p>
    <w:p w14:paraId="5CBBD5A9">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 xml:space="preserve">基金管理人确定基金份额折算日，并依照《信息披露办法》的有关规定将基金份额折算日公告登载于规定媒介上。 </w:t>
      </w:r>
    </w:p>
    <w:p w14:paraId="7767206C">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基金份额进行折算并由登记机构完成基金份额的变更登记后，基金管理人将基金份额折算结果公告登载于规定媒介上。</w:t>
      </w:r>
    </w:p>
    <w:p w14:paraId="606FB1D0">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（六）</w:t>
      </w:r>
      <w:r>
        <w:rPr>
          <w:rFonts w:hint="eastAsia" w:asciiTheme="minorEastAsia" w:hAnsiTheme="minorEastAsia" w:eastAsiaTheme="minorEastAsia"/>
        </w:rPr>
        <w:t>基金净值信息</w:t>
      </w:r>
    </w:p>
    <w:p w14:paraId="5171DC32">
      <w:pPr>
        <w:snapToGrid w:val="0"/>
        <w:spacing w:line="360" w:lineRule="auto"/>
        <w:ind w:firstLine="420" w:firstLineChars="200"/>
        <w:rPr>
          <w:rFonts w:asciiTheme="minorEastAsia" w:hAnsiTheme="minorEastAsia"/>
        </w:rPr>
      </w:pPr>
      <w:r>
        <w:rPr>
          <w:rFonts w:asciiTheme="minorEastAsia" w:hAnsiTheme="minorEastAsia" w:eastAsiaTheme="minorEastAsia"/>
        </w:rPr>
        <w:t>基金合同</w:t>
      </w:r>
      <w:r>
        <w:rPr>
          <w:rFonts w:hint="eastAsia" w:asciiTheme="minorEastAsia" w:hAnsiTheme="minorEastAsia"/>
        </w:rPr>
        <w:t>生效后，在基金份额上市交易或开始办理基金份额申购或者赎回前，基金管理人应当至少每周在规定网站</w:t>
      </w:r>
      <w:r>
        <w:rPr>
          <w:rFonts w:asciiTheme="minorEastAsia" w:hAnsiTheme="minorEastAsia"/>
        </w:rPr>
        <w:t>披露</w:t>
      </w:r>
      <w:r>
        <w:rPr>
          <w:rFonts w:hint="eastAsia" w:asciiTheme="minorEastAsia" w:hAnsiTheme="minorEastAsia"/>
        </w:rPr>
        <w:t>一次基金份额净值和基金份额累计净值</w:t>
      </w:r>
      <w:r>
        <w:rPr>
          <w:rFonts w:hint="eastAsia" w:asciiTheme="minorEastAsia" w:hAnsiTheme="minorEastAsia" w:eastAsiaTheme="minorEastAsia"/>
        </w:rPr>
        <w:t>。</w:t>
      </w:r>
    </w:p>
    <w:p w14:paraId="319424A7">
      <w:pPr>
        <w:snapToGrid w:val="0"/>
        <w:spacing w:line="360" w:lineRule="auto"/>
        <w:ind w:firstLine="420" w:firstLineChars="200"/>
        <w:rPr>
          <w:rFonts w:asciiTheme="minorEastAsia" w:hAnsiTheme="minorEastAsia"/>
        </w:rPr>
      </w:pPr>
      <w:r>
        <w:rPr>
          <w:rFonts w:hint="eastAsia" w:asciiTheme="minorEastAsia" w:hAnsiTheme="minorEastAsia"/>
        </w:rPr>
        <w:t>在基金份额上市交易或开始办理基金份额申购或者赎回后，基金管理人应当在不晚于每个开放日的次日，通过规定网站、</w:t>
      </w:r>
      <w:r>
        <w:rPr>
          <w:rFonts w:hint="eastAsia" w:asciiTheme="minorEastAsia" w:hAnsiTheme="minorEastAsia" w:eastAsiaTheme="minorEastAsia"/>
        </w:rPr>
        <w:t>基金销售机构网站或者营业网点</w:t>
      </w:r>
      <w:r>
        <w:rPr>
          <w:rFonts w:hint="eastAsia" w:asciiTheme="minorEastAsia" w:hAnsiTheme="minorEastAsia"/>
        </w:rPr>
        <w:t>以及其他媒介，披露开放日的基金份额净值和基金份额累计净值</w:t>
      </w:r>
      <w:r>
        <w:rPr>
          <w:rFonts w:hint="eastAsia" w:asciiTheme="minorEastAsia" w:hAnsiTheme="minorEastAsia" w:eastAsiaTheme="minorEastAsia"/>
        </w:rPr>
        <w:t>。</w:t>
      </w:r>
    </w:p>
    <w:p w14:paraId="3AA1F003">
      <w:pPr>
        <w:snapToGrid w:val="0"/>
        <w:spacing w:line="360" w:lineRule="auto"/>
        <w:ind w:firstLine="420" w:firstLineChars="200"/>
        <w:rPr>
          <w:rFonts w:asciiTheme="minorEastAsia" w:hAnsiTheme="minorEastAsia"/>
        </w:rPr>
      </w:pPr>
      <w:r>
        <w:rPr>
          <w:rFonts w:hint="eastAsia" w:asciiTheme="minorEastAsia" w:hAnsiTheme="minorEastAsia"/>
        </w:rPr>
        <w:t>基金管理人应当在不晚于半年度和年度最后一日的次日，在规定网站披露半年度和年度最后一日的基金份额净值和基金份额累计净值。</w:t>
      </w:r>
    </w:p>
    <w:p w14:paraId="40F6D2A8">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eastAsiaTheme="minorEastAsia"/>
        </w:rPr>
        <w:t>七</w:t>
      </w:r>
      <w:r>
        <w:rPr>
          <w:rFonts w:hint="eastAsia" w:asciiTheme="minorEastAsia" w:hAnsiTheme="minorEastAsia"/>
        </w:rPr>
        <w:t>）基金份额申购、赎回</w:t>
      </w:r>
      <w:r>
        <w:rPr>
          <w:rFonts w:asciiTheme="minorEastAsia" w:hAnsiTheme="minorEastAsia" w:eastAsiaTheme="minorEastAsia"/>
        </w:rPr>
        <w:t>清单</w:t>
      </w:r>
    </w:p>
    <w:p w14:paraId="30A16F31">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在开始办理</w:t>
      </w:r>
      <w:r>
        <w:rPr>
          <w:rFonts w:hint="eastAsia" w:asciiTheme="minorEastAsia" w:hAnsiTheme="minorEastAsia" w:eastAsiaTheme="minorEastAsia"/>
        </w:rPr>
        <w:t>基金份额申购</w:t>
      </w:r>
      <w:r>
        <w:rPr>
          <w:rFonts w:asciiTheme="minorEastAsia" w:hAnsiTheme="minorEastAsia" w:eastAsiaTheme="minorEastAsia"/>
        </w:rPr>
        <w:t>或者</w:t>
      </w:r>
      <w:r>
        <w:rPr>
          <w:rFonts w:hint="eastAsia" w:asciiTheme="minorEastAsia" w:hAnsiTheme="minorEastAsia" w:eastAsiaTheme="minorEastAsia"/>
        </w:rPr>
        <w:t>赎回</w:t>
      </w:r>
      <w:r>
        <w:rPr>
          <w:rFonts w:asciiTheme="minorEastAsia" w:hAnsiTheme="minorEastAsia" w:eastAsiaTheme="minorEastAsia"/>
        </w:rPr>
        <w:t>之后，</w:t>
      </w:r>
      <w:r>
        <w:rPr>
          <w:rFonts w:hint="eastAsia" w:asciiTheme="minorEastAsia" w:hAnsiTheme="minorEastAsia" w:eastAsiaTheme="minorEastAsia"/>
        </w:rPr>
        <w:t>基金管理人应当在</w:t>
      </w:r>
      <w:r>
        <w:rPr>
          <w:rFonts w:asciiTheme="minorEastAsia" w:hAnsiTheme="minorEastAsia" w:eastAsiaTheme="minorEastAsia"/>
        </w:rPr>
        <w:t>每个开放日，通过</w:t>
      </w:r>
      <w:r>
        <w:rPr>
          <w:rFonts w:hint="eastAsia" w:asciiTheme="minorEastAsia" w:hAnsiTheme="minorEastAsia" w:eastAsiaTheme="minorEastAsia"/>
        </w:rPr>
        <w:t>规定网站</w:t>
      </w:r>
      <w:r>
        <w:rPr>
          <w:rFonts w:asciiTheme="minorEastAsia" w:hAnsiTheme="minorEastAsia" w:eastAsiaTheme="minorEastAsia"/>
        </w:rPr>
        <w:t>、</w:t>
      </w:r>
      <w:r>
        <w:rPr>
          <w:rFonts w:hint="eastAsia" w:asciiTheme="minorEastAsia" w:hAnsiTheme="minorEastAsia" w:eastAsiaTheme="minorEastAsia"/>
        </w:rPr>
        <w:t>申购赎回</w:t>
      </w:r>
      <w:r>
        <w:rPr>
          <w:rFonts w:asciiTheme="minorEastAsia" w:hAnsiTheme="minorEastAsia" w:eastAsiaTheme="minorEastAsia"/>
        </w:rPr>
        <w:t>代理券商以及其他媒介公告当日</w:t>
      </w:r>
      <w:r>
        <w:rPr>
          <w:rFonts w:hint="eastAsia" w:asciiTheme="minorEastAsia" w:hAnsiTheme="minorEastAsia" w:eastAsiaTheme="minorEastAsia"/>
        </w:rPr>
        <w:t>的申购、赎回</w:t>
      </w:r>
      <w:r>
        <w:rPr>
          <w:rFonts w:asciiTheme="minorEastAsia" w:hAnsiTheme="minorEastAsia" w:eastAsiaTheme="minorEastAsia"/>
        </w:rPr>
        <w:t>清单</w:t>
      </w:r>
      <w:r>
        <w:rPr>
          <w:rFonts w:hint="eastAsia" w:asciiTheme="minorEastAsia" w:hAnsiTheme="minorEastAsia" w:eastAsiaTheme="minorEastAsia"/>
        </w:rPr>
        <w:t>。</w:t>
      </w:r>
    </w:p>
    <w:p w14:paraId="52D992BC">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（八</w:t>
      </w:r>
      <w:r>
        <w:rPr>
          <w:rFonts w:hint="eastAsia" w:asciiTheme="minorEastAsia" w:hAnsiTheme="minorEastAsia"/>
        </w:rPr>
        <w:t>）基金定期报告，包括基金年度报告、基金中期报告和基金季度报告（含资产组合季度报告）</w:t>
      </w:r>
    </w:p>
    <w:p w14:paraId="7D39BA3F">
      <w:pPr>
        <w:snapToGrid w:val="0"/>
        <w:spacing w:line="360" w:lineRule="auto"/>
        <w:ind w:firstLine="420" w:firstLineChars="200"/>
        <w:rPr>
          <w:rFonts w:asciiTheme="minorEastAsia" w:hAnsiTheme="minorEastAsia"/>
        </w:rPr>
      </w:pPr>
      <w:r>
        <w:rPr>
          <w:rFonts w:hint="eastAsia" w:asciiTheme="minorEastAsia" w:hAnsiTheme="minorEastAsia"/>
        </w:rPr>
        <w:t>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w:t>
      </w:r>
    </w:p>
    <w:p w14:paraId="3594BF0C">
      <w:pPr>
        <w:snapToGrid w:val="0"/>
        <w:spacing w:line="360" w:lineRule="auto"/>
        <w:ind w:firstLine="420" w:firstLineChars="200"/>
        <w:rPr>
          <w:rFonts w:asciiTheme="minorEastAsia" w:hAnsiTheme="minorEastAsia"/>
        </w:rPr>
      </w:pPr>
      <w:r>
        <w:rPr>
          <w:rFonts w:hint="eastAsia" w:asciiTheme="minorEastAsia" w:hAnsiTheme="minorEastAsia"/>
        </w:rPr>
        <w:t>基金管理人应当在上半年结束之日起两个月内，编制完成基金中期报告，将中期报告登载在规定网站上，并将中期报告</w:t>
      </w:r>
      <w:r>
        <w:rPr>
          <w:rFonts w:asciiTheme="minorEastAsia" w:hAnsiTheme="minorEastAsia"/>
        </w:rPr>
        <w:t>提示性公告</w:t>
      </w:r>
      <w:r>
        <w:rPr>
          <w:rFonts w:hint="eastAsia" w:asciiTheme="minorEastAsia" w:hAnsiTheme="minorEastAsia"/>
        </w:rPr>
        <w:t>登载在规定报刊上。</w:t>
      </w:r>
    </w:p>
    <w:p w14:paraId="1DDC17D2">
      <w:pPr>
        <w:snapToGrid w:val="0"/>
        <w:spacing w:line="360" w:lineRule="auto"/>
        <w:ind w:firstLine="420" w:firstLineChars="200"/>
        <w:rPr>
          <w:rFonts w:asciiTheme="minorEastAsia" w:hAnsiTheme="minorEastAsia"/>
        </w:rPr>
      </w:pPr>
      <w:r>
        <w:rPr>
          <w:rFonts w:hint="eastAsia" w:asciiTheme="minorEastAsia" w:hAnsiTheme="minorEastAsia"/>
        </w:rPr>
        <w:t>基金管理人应当在季度结束之日起15个工作日内，编制完成基金季度报告，将季度报告登载在规定网站上，并将季度报告提示性公告登载在规定报刊上。</w:t>
      </w:r>
    </w:p>
    <w:p w14:paraId="017BA16D">
      <w:pPr>
        <w:snapToGrid w:val="0"/>
        <w:spacing w:line="360" w:lineRule="auto"/>
        <w:ind w:firstLine="420" w:firstLineChars="200"/>
        <w:rPr>
          <w:rFonts w:asciiTheme="minorEastAsia" w:hAnsiTheme="minorEastAsia"/>
        </w:rPr>
      </w:pPr>
      <w:r>
        <w:rPr>
          <w:rFonts w:hint="eastAsia" w:asciiTheme="minorEastAsia" w:hAnsiTheme="minorEastAsia"/>
        </w:rPr>
        <w:t>《基金合同》生效不足2个月的，基金管理人可以不编制当期季度报告、中期报告或者年度报告。</w:t>
      </w:r>
    </w:p>
    <w:p w14:paraId="46CCC5A3">
      <w:pPr>
        <w:snapToGrid w:val="0"/>
        <w:spacing w:line="360" w:lineRule="auto"/>
        <w:ind w:firstLine="420" w:firstLineChars="200"/>
        <w:rPr>
          <w:rFonts w:asciiTheme="minorEastAsia" w:hAnsiTheme="minorEastAsia"/>
        </w:rPr>
      </w:pPr>
      <w:r>
        <w:rPr>
          <w:rFonts w:hint="eastAsia" w:asciiTheme="minorEastAsia" w:hAnsiTheme="minorEastAsia"/>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54B8A101">
      <w:pPr>
        <w:snapToGrid w:val="0"/>
        <w:spacing w:line="360" w:lineRule="auto"/>
        <w:ind w:firstLine="420" w:firstLineChars="200"/>
        <w:rPr>
          <w:rFonts w:asciiTheme="minorEastAsia" w:hAnsiTheme="minorEastAsia"/>
        </w:rPr>
      </w:pPr>
      <w:r>
        <w:rPr>
          <w:rFonts w:hint="eastAsia" w:asciiTheme="minorEastAsia" w:hAnsiTheme="minorEastAsia"/>
        </w:rPr>
        <w:t>基金管理人应当在基金年度报告和中期报告中披露基金组合资产情况及其流动性风险分析等。</w:t>
      </w:r>
    </w:p>
    <w:p w14:paraId="29FB6CC4">
      <w:pPr>
        <w:snapToGrid w:val="0"/>
        <w:spacing w:line="360" w:lineRule="auto"/>
        <w:ind w:firstLine="420" w:firstLineChars="200"/>
        <w:rPr>
          <w:rFonts w:asciiTheme="minorEastAsia" w:hAnsiTheme="minorEastAsia"/>
        </w:rPr>
      </w:pPr>
      <w:r>
        <w:rPr>
          <w:rFonts w:hint="eastAsia" w:asciiTheme="minorEastAsia" w:hAnsiTheme="minorEastAsia"/>
        </w:rPr>
        <w:t>（</w:t>
      </w:r>
      <w:r>
        <w:rPr>
          <w:rFonts w:hint="eastAsia" w:asciiTheme="minorEastAsia" w:hAnsiTheme="minorEastAsia" w:eastAsiaTheme="minorEastAsia"/>
        </w:rPr>
        <w:t>九</w:t>
      </w:r>
      <w:r>
        <w:rPr>
          <w:rFonts w:hint="eastAsia" w:asciiTheme="minorEastAsia" w:hAnsiTheme="minorEastAsia"/>
        </w:rPr>
        <w:t>）临时报告</w:t>
      </w:r>
    </w:p>
    <w:p w14:paraId="20FC54AA">
      <w:pPr>
        <w:snapToGrid w:val="0"/>
        <w:spacing w:line="360" w:lineRule="auto"/>
        <w:ind w:firstLine="420" w:firstLineChars="200"/>
      </w:pPr>
      <w:r>
        <w:rPr>
          <w:rFonts w:hint="eastAsia" w:asciiTheme="minorEastAsia" w:hAnsiTheme="minorEastAsia"/>
        </w:rPr>
        <w:t>本基金发生重大事件，有关信息披露义务人应当</w:t>
      </w:r>
      <w:r>
        <w:rPr>
          <w:rFonts w:hint="eastAsia" w:asciiTheme="minorEastAsia" w:hAnsiTheme="minorEastAsia" w:eastAsiaTheme="minorEastAsia"/>
        </w:rPr>
        <w:t>依照《信息披露办法》</w:t>
      </w:r>
      <w:r>
        <w:rPr>
          <w:rFonts w:hint="eastAsia" w:asciiTheme="minorEastAsia" w:hAnsiTheme="minorEastAsia"/>
        </w:rPr>
        <w:t>编制临时报告书，并登载在规定报刊和规定网站上。</w:t>
      </w:r>
    </w:p>
    <w:p w14:paraId="65D69E8B">
      <w:pPr>
        <w:snapToGrid w:val="0"/>
        <w:spacing w:line="360" w:lineRule="auto"/>
        <w:ind w:firstLine="420" w:firstLineChars="200"/>
        <w:rPr>
          <w:rFonts w:asciiTheme="minorEastAsia" w:hAnsiTheme="minorEastAsia"/>
        </w:rPr>
      </w:pPr>
      <w:r>
        <w:rPr>
          <w:rFonts w:hint="eastAsia" w:asciiTheme="minorEastAsia" w:hAnsiTheme="minorEastAsia"/>
        </w:rPr>
        <w:t>前款所称重大事件，是指可能对基金份额持有人权益或者基金份额的价格产生重大影响的下列事件：</w:t>
      </w:r>
    </w:p>
    <w:p w14:paraId="0198EBDF">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、基金份额持有人大会的召开及决定的事项；</w:t>
      </w:r>
    </w:p>
    <w:p w14:paraId="44C8F0B2">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w:t>
      </w:r>
      <w:r>
        <w:rPr>
          <w:rFonts w:asciiTheme="minorEastAsia" w:hAnsiTheme="minorEastAsia" w:eastAsiaTheme="minorEastAsia"/>
        </w:rPr>
        <w:t>基金合同</w:t>
      </w:r>
      <w:r>
        <w:rPr>
          <w:rFonts w:hint="eastAsia" w:asciiTheme="minorEastAsia" w:hAnsiTheme="minorEastAsia" w:eastAsiaTheme="minorEastAsia"/>
        </w:rPr>
        <w:t>终止、基金清算</w:t>
      </w:r>
      <w:r>
        <w:rPr>
          <w:rFonts w:hint="eastAsia" w:asciiTheme="minorEastAsia" w:hAnsiTheme="minorEastAsia"/>
        </w:rPr>
        <w:t>；</w:t>
      </w:r>
    </w:p>
    <w:p w14:paraId="57357625">
      <w:pPr>
        <w:snapToGrid w:val="0"/>
        <w:spacing w:line="360" w:lineRule="auto"/>
        <w:ind w:firstLine="420" w:firstLineChars="200"/>
        <w:rPr>
          <w:rFonts w:asciiTheme="minorEastAsia" w:hAnsiTheme="minorEastAsia"/>
        </w:rPr>
      </w:pPr>
      <w:r>
        <w:rPr>
          <w:rFonts w:asciiTheme="minorEastAsia" w:hAnsiTheme="minorEastAsia"/>
        </w:rPr>
        <w:t>3</w:t>
      </w:r>
      <w:r>
        <w:rPr>
          <w:rFonts w:hint="eastAsia" w:asciiTheme="minorEastAsia" w:hAnsiTheme="minorEastAsia"/>
        </w:rPr>
        <w:t>、转换基金运作方式、基金合并；</w:t>
      </w:r>
    </w:p>
    <w:p w14:paraId="3B0B14E2">
      <w:pPr>
        <w:snapToGrid w:val="0"/>
        <w:spacing w:line="360" w:lineRule="auto"/>
        <w:ind w:firstLine="420" w:firstLineChars="200"/>
        <w:rPr>
          <w:rFonts w:asciiTheme="minorEastAsia" w:hAnsiTheme="minorEastAsia"/>
        </w:rPr>
      </w:pPr>
      <w:r>
        <w:rPr>
          <w:rFonts w:asciiTheme="minorEastAsia" w:hAnsiTheme="minorEastAsia"/>
        </w:rPr>
        <w:t>4</w:t>
      </w:r>
      <w:r>
        <w:rPr>
          <w:rFonts w:hint="eastAsia" w:asciiTheme="minorEastAsia" w:hAnsiTheme="minorEastAsia"/>
        </w:rPr>
        <w:t>、更换基金管理人、基金托管人、基金份额登记机构，基金改聘会计师事务所；</w:t>
      </w:r>
    </w:p>
    <w:p w14:paraId="4FF5BAE6">
      <w:pPr>
        <w:snapToGrid w:val="0"/>
        <w:spacing w:line="360" w:lineRule="auto"/>
        <w:ind w:firstLine="420" w:firstLineChars="200"/>
        <w:rPr>
          <w:rFonts w:asciiTheme="minorEastAsia" w:hAnsiTheme="minorEastAsia"/>
        </w:rPr>
      </w:pPr>
      <w:r>
        <w:rPr>
          <w:rFonts w:hint="eastAsia" w:asciiTheme="minorEastAsia" w:hAnsiTheme="minorEastAsia"/>
        </w:rPr>
        <w:t>5、基金管理人委托基金服务机构代为办理基金的份额登记、核算、估值等事项，基金托管人委托基金服务机构代为办理基金的核算、估值、复核等事项；</w:t>
      </w:r>
    </w:p>
    <w:p w14:paraId="214199A8">
      <w:pPr>
        <w:snapToGrid w:val="0"/>
        <w:spacing w:line="360" w:lineRule="auto"/>
        <w:ind w:firstLine="420" w:firstLineChars="200"/>
        <w:rPr>
          <w:rFonts w:asciiTheme="minorEastAsia" w:hAnsiTheme="minorEastAsia"/>
        </w:rPr>
      </w:pPr>
      <w:r>
        <w:rPr>
          <w:rFonts w:asciiTheme="minorEastAsia" w:hAnsiTheme="minorEastAsia"/>
        </w:rPr>
        <w:t>6</w:t>
      </w:r>
      <w:r>
        <w:rPr>
          <w:rFonts w:hint="eastAsia" w:asciiTheme="minorEastAsia" w:hAnsiTheme="minorEastAsia"/>
        </w:rPr>
        <w:t>、基金管理人、基金托管人的法定名称、住所发生变更；</w:t>
      </w:r>
    </w:p>
    <w:p w14:paraId="1BE69223">
      <w:pPr>
        <w:snapToGrid w:val="0"/>
        <w:spacing w:line="360" w:lineRule="auto"/>
        <w:ind w:firstLine="420" w:firstLineChars="200"/>
        <w:rPr>
          <w:rFonts w:asciiTheme="minorEastAsia" w:hAnsiTheme="minorEastAsia"/>
        </w:rPr>
      </w:pPr>
      <w:r>
        <w:rPr>
          <w:rFonts w:asciiTheme="minorEastAsia" w:hAnsiTheme="minorEastAsia"/>
        </w:rPr>
        <w:t>7</w:t>
      </w:r>
      <w:r>
        <w:rPr>
          <w:rFonts w:hint="eastAsia" w:asciiTheme="minorEastAsia" w:hAnsiTheme="minorEastAsia"/>
        </w:rPr>
        <w:t>、基金管理人变更持有百分之五以上股权的股东、基金管理人的实际控制人变更；</w:t>
      </w:r>
    </w:p>
    <w:p w14:paraId="4E5929FF">
      <w:pPr>
        <w:snapToGrid w:val="0"/>
        <w:spacing w:line="360" w:lineRule="auto"/>
        <w:ind w:firstLine="420" w:firstLineChars="200"/>
        <w:rPr>
          <w:rFonts w:asciiTheme="minorEastAsia" w:hAnsiTheme="minorEastAsia"/>
        </w:rPr>
      </w:pPr>
      <w:r>
        <w:rPr>
          <w:rFonts w:asciiTheme="minorEastAsia" w:hAnsiTheme="minorEastAsia"/>
        </w:rPr>
        <w:t>8</w:t>
      </w:r>
      <w:r>
        <w:rPr>
          <w:rFonts w:hint="eastAsia" w:asciiTheme="minorEastAsia" w:hAnsiTheme="minorEastAsia"/>
        </w:rPr>
        <w:t>、基金募集期延长或提前结束募集；</w:t>
      </w:r>
    </w:p>
    <w:p w14:paraId="3F4BBFD9">
      <w:pPr>
        <w:snapToGrid w:val="0"/>
        <w:spacing w:line="360" w:lineRule="auto"/>
        <w:ind w:firstLine="420" w:firstLineChars="200"/>
        <w:rPr>
          <w:rFonts w:asciiTheme="minorEastAsia" w:hAnsiTheme="minorEastAsia"/>
        </w:rPr>
      </w:pPr>
      <w:r>
        <w:rPr>
          <w:rFonts w:asciiTheme="minorEastAsia" w:hAnsiTheme="minorEastAsia"/>
        </w:rPr>
        <w:t>9</w:t>
      </w:r>
      <w:r>
        <w:rPr>
          <w:rFonts w:hint="eastAsia" w:asciiTheme="minorEastAsia" w:hAnsiTheme="minorEastAsia"/>
        </w:rPr>
        <w:t>、基金管理人高级管理人员、基金经理和基金托管人专门基金托管部门负责人发生变动；</w:t>
      </w:r>
    </w:p>
    <w:p w14:paraId="6D5E61A7">
      <w:pPr>
        <w:snapToGrid w:val="0"/>
        <w:spacing w:line="360" w:lineRule="auto"/>
        <w:ind w:firstLine="420" w:firstLineChars="200"/>
        <w:rPr>
          <w:rFonts w:asciiTheme="minorEastAsia" w:hAnsiTheme="minorEastAsia"/>
        </w:rPr>
      </w:pPr>
      <w:r>
        <w:rPr>
          <w:rFonts w:asciiTheme="minorEastAsia" w:hAnsiTheme="minorEastAsia"/>
        </w:rPr>
        <w:t>10</w:t>
      </w:r>
      <w:r>
        <w:rPr>
          <w:rFonts w:hint="eastAsia" w:asciiTheme="minorEastAsia" w:hAnsiTheme="minorEastAsia"/>
        </w:rPr>
        <w:t>、基金管理人的董事在最近12个月内变更超过</w:t>
      </w:r>
      <w:r>
        <w:rPr>
          <w:rFonts w:hint="eastAsia" w:asciiTheme="minorEastAsia" w:hAnsiTheme="minorEastAsia" w:eastAsiaTheme="minorEastAsia"/>
        </w:rPr>
        <w:t>50%</w:t>
      </w:r>
      <w:r>
        <w:rPr>
          <w:rFonts w:hint="eastAsia" w:asciiTheme="minorEastAsia" w:hAnsiTheme="minorEastAsia"/>
        </w:rPr>
        <w:t>；</w:t>
      </w:r>
    </w:p>
    <w:p w14:paraId="617261F3">
      <w:pPr>
        <w:snapToGrid w:val="0"/>
        <w:spacing w:line="360" w:lineRule="auto"/>
        <w:ind w:firstLine="420" w:firstLineChars="200"/>
        <w:rPr>
          <w:rFonts w:asciiTheme="minorEastAsia" w:hAnsiTheme="minorEastAsia"/>
        </w:rPr>
      </w:pPr>
      <w:r>
        <w:rPr>
          <w:rFonts w:asciiTheme="minorEastAsia" w:hAnsiTheme="minorEastAsia"/>
        </w:rPr>
        <w:t>11</w:t>
      </w:r>
      <w:r>
        <w:rPr>
          <w:rFonts w:hint="eastAsia" w:asciiTheme="minorEastAsia" w:hAnsiTheme="minorEastAsia"/>
        </w:rPr>
        <w:t>、基金管理人、基金托管人专门基金托管部门的主要业务人员在最近12个月内变动超过</w:t>
      </w:r>
      <w:r>
        <w:rPr>
          <w:rFonts w:asciiTheme="minorEastAsia" w:hAnsiTheme="minorEastAsia" w:eastAsiaTheme="minorEastAsia"/>
        </w:rPr>
        <w:t>30%</w:t>
      </w:r>
      <w:r>
        <w:rPr>
          <w:rFonts w:hint="eastAsia" w:asciiTheme="minorEastAsia" w:hAnsiTheme="minorEastAsia"/>
        </w:rPr>
        <w:t>；</w:t>
      </w:r>
    </w:p>
    <w:p w14:paraId="4241EE84">
      <w:pPr>
        <w:snapToGrid w:val="0"/>
        <w:spacing w:line="360" w:lineRule="auto"/>
        <w:ind w:firstLine="420" w:firstLineChars="200"/>
        <w:rPr>
          <w:rFonts w:asciiTheme="minorEastAsia" w:hAnsiTheme="minorEastAsia"/>
        </w:rPr>
      </w:pPr>
      <w:r>
        <w:rPr>
          <w:rFonts w:asciiTheme="minorEastAsia" w:hAnsiTheme="minorEastAsia"/>
        </w:rPr>
        <w:t>12</w:t>
      </w:r>
      <w:r>
        <w:rPr>
          <w:rFonts w:hint="eastAsia" w:asciiTheme="minorEastAsia" w:hAnsiTheme="minorEastAsia"/>
        </w:rPr>
        <w:t>、涉及基金管理</w:t>
      </w:r>
      <w:r>
        <w:rPr>
          <w:rFonts w:hint="eastAsia" w:asciiTheme="minorEastAsia" w:hAnsiTheme="minorEastAsia" w:eastAsiaTheme="minorEastAsia"/>
        </w:rPr>
        <w:t>业务</w:t>
      </w:r>
      <w:r>
        <w:rPr>
          <w:rFonts w:hint="eastAsia" w:asciiTheme="minorEastAsia" w:hAnsiTheme="minorEastAsia"/>
        </w:rPr>
        <w:t>、基金财产、基金托管业务的诉讼或仲裁；</w:t>
      </w:r>
    </w:p>
    <w:p w14:paraId="38BFC117">
      <w:pPr>
        <w:snapToGrid w:val="0"/>
        <w:spacing w:line="360" w:lineRule="auto"/>
        <w:ind w:firstLine="420" w:firstLineChars="200"/>
        <w:rPr>
          <w:rFonts w:asciiTheme="minorEastAsia" w:hAnsiTheme="minorEastAsia"/>
        </w:rPr>
      </w:pPr>
      <w:r>
        <w:rPr>
          <w:rFonts w:asciiTheme="minorEastAsia" w:hAnsiTheme="minorEastAsia"/>
        </w:rPr>
        <w:t>13</w:t>
      </w:r>
      <w:r>
        <w:rPr>
          <w:rFonts w:hint="eastAsia" w:asciiTheme="minorEastAsia" w:hAnsiTheme="minorEastAsia"/>
        </w:rPr>
        <w:t>、基金管理人或其高级管理人员、基金经理因基金管理业务相关行为受到重大行政处罚、刑事处罚，基金托管人或其专门基金托管部门负责人因基金托管业务相关行为受到重大行政处罚、刑事处罚；</w:t>
      </w:r>
    </w:p>
    <w:p w14:paraId="431259C8">
      <w:pPr>
        <w:snapToGrid w:val="0"/>
        <w:spacing w:line="360" w:lineRule="auto"/>
        <w:ind w:firstLine="420" w:firstLineChars="200"/>
        <w:rPr>
          <w:rFonts w:asciiTheme="minorEastAsia" w:hAnsiTheme="minorEastAsia"/>
        </w:rPr>
      </w:pPr>
      <w:r>
        <w:rPr>
          <w:rFonts w:asciiTheme="minorEastAsia" w:hAnsiTheme="minorEastAsia"/>
        </w:rPr>
        <w:t>14</w:t>
      </w:r>
      <w:r>
        <w:rPr>
          <w:rFonts w:hint="eastAsia" w:asciiTheme="minorEastAsia" w:hAnsiTheme="minorEastAsia"/>
        </w:rPr>
        <w:t>、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691BBF92">
      <w:pPr>
        <w:snapToGrid w:val="0"/>
        <w:spacing w:line="360" w:lineRule="auto"/>
        <w:ind w:firstLine="420" w:firstLineChars="200"/>
        <w:rPr>
          <w:rFonts w:asciiTheme="minorEastAsia" w:hAnsiTheme="minorEastAsia"/>
        </w:rPr>
      </w:pPr>
      <w:r>
        <w:rPr>
          <w:rFonts w:asciiTheme="minorEastAsia" w:hAnsiTheme="minorEastAsia"/>
        </w:rPr>
        <w:t>15</w:t>
      </w:r>
      <w:r>
        <w:rPr>
          <w:rFonts w:hint="eastAsia" w:asciiTheme="minorEastAsia" w:hAnsiTheme="minorEastAsia"/>
        </w:rPr>
        <w:t>、基金收益分配事项；</w:t>
      </w:r>
    </w:p>
    <w:p w14:paraId="0E647BC8">
      <w:pPr>
        <w:snapToGrid w:val="0"/>
        <w:spacing w:line="360" w:lineRule="auto"/>
        <w:ind w:firstLine="420" w:firstLineChars="200"/>
        <w:rPr>
          <w:rFonts w:asciiTheme="minorEastAsia" w:hAnsiTheme="minorEastAsia"/>
        </w:rPr>
      </w:pPr>
      <w:r>
        <w:rPr>
          <w:rFonts w:asciiTheme="minorEastAsia" w:hAnsiTheme="minorEastAsia"/>
        </w:rPr>
        <w:t>16</w:t>
      </w:r>
      <w:r>
        <w:rPr>
          <w:rFonts w:hint="eastAsia" w:asciiTheme="minorEastAsia" w:hAnsiTheme="minorEastAsia"/>
        </w:rPr>
        <w:t>、管理费、托管费、申购费、赎回费等费用计提标准、计提方式和费率发生变更；</w:t>
      </w:r>
    </w:p>
    <w:p w14:paraId="738D6526">
      <w:pPr>
        <w:snapToGrid w:val="0"/>
        <w:spacing w:line="360" w:lineRule="auto"/>
        <w:ind w:firstLine="420" w:firstLineChars="200"/>
        <w:rPr>
          <w:rFonts w:asciiTheme="minorEastAsia" w:hAnsiTheme="minorEastAsia"/>
        </w:rPr>
      </w:pPr>
      <w:r>
        <w:rPr>
          <w:rFonts w:asciiTheme="minorEastAsia" w:hAnsiTheme="minorEastAsia"/>
        </w:rPr>
        <w:t>17</w:t>
      </w:r>
      <w:r>
        <w:rPr>
          <w:rFonts w:hint="eastAsia" w:asciiTheme="minorEastAsia" w:hAnsiTheme="minorEastAsia"/>
        </w:rPr>
        <w:t>、基金份额净值计价错误达基金份额净值</w:t>
      </w:r>
      <w:r>
        <w:rPr>
          <w:rFonts w:hint="eastAsia" w:asciiTheme="minorEastAsia" w:hAnsiTheme="minorEastAsia" w:eastAsiaTheme="minorEastAsia"/>
        </w:rPr>
        <w:t>0.5%</w:t>
      </w:r>
      <w:r>
        <w:rPr>
          <w:rFonts w:hint="eastAsia" w:asciiTheme="minorEastAsia" w:hAnsiTheme="minorEastAsia"/>
        </w:rPr>
        <w:t>；</w:t>
      </w:r>
    </w:p>
    <w:p w14:paraId="34A0223D">
      <w:pPr>
        <w:snapToGrid w:val="0"/>
        <w:spacing w:line="360" w:lineRule="auto"/>
        <w:ind w:firstLine="420" w:firstLineChars="200"/>
        <w:rPr>
          <w:rFonts w:asciiTheme="minorEastAsia" w:hAnsiTheme="minorEastAsia"/>
        </w:rPr>
      </w:pPr>
      <w:r>
        <w:rPr>
          <w:rFonts w:asciiTheme="minorEastAsia" w:hAnsiTheme="minorEastAsia"/>
        </w:rPr>
        <w:t>18</w:t>
      </w:r>
      <w:r>
        <w:rPr>
          <w:rFonts w:hint="eastAsia" w:asciiTheme="minorEastAsia" w:hAnsiTheme="minorEastAsia"/>
        </w:rPr>
        <w:t>、本基金开始办理申购、赎回；</w:t>
      </w:r>
    </w:p>
    <w:p w14:paraId="7788AD5A">
      <w:pPr>
        <w:snapToGrid w:val="0"/>
        <w:spacing w:line="360" w:lineRule="auto"/>
        <w:ind w:firstLine="420" w:firstLineChars="200"/>
        <w:rPr>
          <w:rFonts w:asciiTheme="minorEastAsia" w:hAnsiTheme="minorEastAsia"/>
        </w:rPr>
      </w:pPr>
      <w:r>
        <w:rPr>
          <w:rFonts w:asciiTheme="minorEastAsia" w:hAnsiTheme="minorEastAsia"/>
        </w:rPr>
        <w:t>19</w:t>
      </w:r>
      <w:r>
        <w:rPr>
          <w:rFonts w:hint="eastAsia" w:asciiTheme="minorEastAsia" w:hAnsiTheme="minorEastAsia"/>
        </w:rPr>
        <w:t>、本基金</w:t>
      </w:r>
      <w:r>
        <w:rPr>
          <w:rFonts w:hint="eastAsia" w:asciiTheme="minorEastAsia" w:hAnsiTheme="minorEastAsia" w:eastAsiaTheme="minorEastAsia"/>
        </w:rPr>
        <w:t>暂停接受申购、</w:t>
      </w:r>
      <w:r>
        <w:rPr>
          <w:rFonts w:hint="eastAsia" w:asciiTheme="minorEastAsia" w:hAnsiTheme="minorEastAsia"/>
        </w:rPr>
        <w:t>赎回</w:t>
      </w:r>
      <w:r>
        <w:rPr>
          <w:rFonts w:hint="eastAsia" w:asciiTheme="minorEastAsia" w:hAnsiTheme="minorEastAsia" w:eastAsiaTheme="minorEastAsia"/>
        </w:rPr>
        <w:t>申请或重新接受申购、赎回申请</w:t>
      </w:r>
      <w:r>
        <w:rPr>
          <w:rFonts w:hint="eastAsia" w:asciiTheme="minorEastAsia" w:hAnsiTheme="minorEastAsia"/>
        </w:rPr>
        <w:t>；</w:t>
      </w:r>
    </w:p>
    <w:p w14:paraId="70DF4F6A">
      <w:pPr>
        <w:snapToGrid w:val="0"/>
        <w:spacing w:line="360" w:lineRule="auto"/>
        <w:ind w:firstLine="420" w:firstLineChars="200"/>
        <w:rPr>
          <w:rFonts w:asciiTheme="minorEastAsia" w:hAnsiTheme="minorEastAsia" w:eastAsiaTheme="minorEastAsia"/>
        </w:rPr>
      </w:pPr>
      <w:r>
        <w:rPr>
          <w:rFonts w:asciiTheme="minorEastAsia" w:hAnsiTheme="minorEastAsia"/>
        </w:rPr>
        <w:t>2</w:t>
      </w:r>
      <w:r>
        <w:rPr>
          <w:rFonts w:hint="eastAsia" w:asciiTheme="minorEastAsia" w:hAnsiTheme="minorEastAsia"/>
        </w:rPr>
        <w:t>0、</w:t>
      </w:r>
      <w:r>
        <w:rPr>
          <w:rFonts w:hint="eastAsia" w:asciiTheme="minorEastAsia" w:hAnsiTheme="minorEastAsia" w:eastAsiaTheme="minorEastAsia"/>
        </w:rPr>
        <w:t>本基金停复牌、暂停上市、恢复上市或终止上市交易；</w:t>
      </w:r>
    </w:p>
    <w:p w14:paraId="06A719A2">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21、调整最小申购赎回单位、申购赎回方式及申购对价、赎回对价组成；</w:t>
      </w:r>
    </w:p>
    <w:p w14:paraId="56FFDE70">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22、基金推出新业务或服务；</w:t>
      </w:r>
    </w:p>
    <w:p w14:paraId="567EC330">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23、</w:t>
      </w:r>
      <w:r>
        <w:rPr>
          <w:rFonts w:hint="eastAsia" w:asciiTheme="minorEastAsia" w:hAnsiTheme="minorEastAsia"/>
        </w:rPr>
        <w:t>发生涉及</w:t>
      </w:r>
      <w:r>
        <w:rPr>
          <w:rFonts w:hint="eastAsia" w:asciiTheme="minorEastAsia" w:hAnsiTheme="minorEastAsia" w:eastAsiaTheme="minorEastAsia"/>
        </w:rPr>
        <w:t>本</w:t>
      </w:r>
      <w:r>
        <w:rPr>
          <w:rFonts w:hint="eastAsia" w:asciiTheme="minorEastAsia" w:hAnsiTheme="minorEastAsia"/>
        </w:rPr>
        <w:t>基金申购、赎回事项调整或潜在影响投资者赎回等重大事项时；</w:t>
      </w:r>
    </w:p>
    <w:p w14:paraId="32C87F48">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4、基金信息披露义务人认为可能对基金份额持有人权益或者基金份额的价格产生重大影响的其他事项、</w:t>
      </w:r>
      <w:r>
        <w:rPr>
          <w:rFonts w:hint="eastAsia" w:asciiTheme="minorEastAsia" w:hAnsiTheme="minorEastAsia" w:eastAsiaTheme="minorEastAsia"/>
        </w:rPr>
        <w:t>中国证监会</w:t>
      </w:r>
      <w:r>
        <w:rPr>
          <w:rFonts w:asciiTheme="minorEastAsia" w:hAnsiTheme="minorEastAsia" w:eastAsiaTheme="minorEastAsia"/>
        </w:rPr>
        <w:t>或本基金合同</w:t>
      </w:r>
      <w:r>
        <w:rPr>
          <w:rFonts w:hint="eastAsia" w:asciiTheme="minorEastAsia" w:hAnsiTheme="minorEastAsia" w:eastAsiaTheme="minorEastAsia"/>
        </w:rPr>
        <w:t>规定的</w:t>
      </w:r>
      <w:r>
        <w:rPr>
          <w:rFonts w:hint="eastAsia" w:asciiTheme="minorEastAsia" w:hAnsiTheme="minorEastAsia"/>
        </w:rPr>
        <w:t>其他</w:t>
      </w:r>
      <w:r>
        <w:rPr>
          <w:rFonts w:hint="eastAsia" w:asciiTheme="minorEastAsia" w:hAnsiTheme="minorEastAsia" w:eastAsiaTheme="minorEastAsia"/>
        </w:rPr>
        <w:t>事项。</w:t>
      </w:r>
    </w:p>
    <w:p w14:paraId="72B7819E">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（十</w:t>
      </w:r>
      <w:r>
        <w:rPr>
          <w:rFonts w:hint="eastAsia" w:asciiTheme="minorEastAsia" w:hAnsiTheme="minorEastAsia"/>
        </w:rPr>
        <w:t>）澄清公告</w:t>
      </w:r>
    </w:p>
    <w:p w14:paraId="15D9924C">
      <w:pPr>
        <w:snapToGrid w:val="0"/>
        <w:spacing w:line="360" w:lineRule="auto"/>
        <w:ind w:firstLine="420" w:firstLineChars="200"/>
        <w:rPr>
          <w:rFonts w:asciiTheme="minorEastAsia" w:hAnsiTheme="minorEastAsia"/>
        </w:rPr>
      </w:pPr>
      <w:r>
        <w:rPr>
          <w:rFonts w:hint="eastAsia" w:asciiTheme="minorEastAsia" w:hAnsiTheme="minorEastAsia"/>
        </w:rPr>
        <w:t>在</w:t>
      </w:r>
      <w:r>
        <w:rPr>
          <w:rFonts w:asciiTheme="minorEastAsia" w:hAnsiTheme="minorEastAsia" w:eastAsiaTheme="minorEastAsia"/>
        </w:rPr>
        <w:t>本基金合同</w:t>
      </w:r>
      <w:r>
        <w:rPr>
          <w:rFonts w:hint="eastAsia" w:asciiTheme="minorEastAsia" w:hAnsiTheme="minorEastAsia"/>
        </w:rPr>
        <w:t>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基金上市交易的证券交易所。</w:t>
      </w:r>
    </w:p>
    <w:p w14:paraId="6F74F669">
      <w:pPr>
        <w:snapToGrid w:val="0"/>
        <w:spacing w:line="360" w:lineRule="auto"/>
        <w:ind w:firstLine="420" w:firstLineChars="200"/>
        <w:rPr>
          <w:rFonts w:asciiTheme="minorEastAsia" w:hAnsiTheme="minorEastAsia"/>
        </w:rPr>
      </w:pPr>
      <w:r>
        <w:rPr>
          <w:rFonts w:hint="eastAsia" w:asciiTheme="minorEastAsia" w:hAnsiTheme="minorEastAsia"/>
        </w:rPr>
        <w:t>（十一）清算报告</w:t>
      </w:r>
    </w:p>
    <w:p w14:paraId="17CE3540">
      <w:pPr>
        <w:snapToGrid w:val="0"/>
        <w:spacing w:line="360" w:lineRule="auto"/>
        <w:ind w:firstLine="420" w:firstLineChars="200"/>
        <w:rPr>
          <w:rFonts w:asciiTheme="minorEastAsia" w:hAnsiTheme="minorEastAsia"/>
        </w:rPr>
      </w:pPr>
      <w:r>
        <w:rPr>
          <w:rFonts w:hint="eastAsia" w:asciiTheme="minorEastAsia" w:hAnsiTheme="minorEastAsia"/>
        </w:rPr>
        <w:t>基金合同出现终止情形的，基金管理人应当依法组织基金财产清算小组对基金财产进行清算并作出清算报告。基金财产清算小组应当将清算报告登载在规定网站上，并将清算报告提示性公告登载在规定报刊上。</w:t>
      </w:r>
    </w:p>
    <w:p w14:paraId="66010DA3">
      <w:pPr>
        <w:snapToGrid w:val="0"/>
        <w:spacing w:line="360" w:lineRule="auto"/>
        <w:ind w:firstLine="420" w:firstLineChars="200"/>
        <w:rPr>
          <w:rFonts w:asciiTheme="minorEastAsia" w:hAnsiTheme="minorEastAsia"/>
        </w:rPr>
      </w:pPr>
      <w:r>
        <w:rPr>
          <w:rFonts w:hint="eastAsia" w:asciiTheme="minorEastAsia" w:hAnsiTheme="minorEastAsia"/>
        </w:rPr>
        <w:t>（</w:t>
      </w:r>
      <w:r>
        <w:rPr>
          <w:rFonts w:hint="eastAsia" w:asciiTheme="minorEastAsia" w:hAnsiTheme="minorEastAsia" w:eastAsiaTheme="minorEastAsia"/>
        </w:rPr>
        <w:t>十二</w:t>
      </w:r>
      <w:r>
        <w:rPr>
          <w:rFonts w:hint="eastAsia" w:asciiTheme="minorEastAsia" w:hAnsiTheme="minorEastAsia"/>
        </w:rPr>
        <w:t>）基金份额持有人大会决议</w:t>
      </w:r>
    </w:p>
    <w:p w14:paraId="6DCDEDF5">
      <w:pPr>
        <w:snapToGrid w:val="0"/>
        <w:spacing w:line="360" w:lineRule="auto"/>
        <w:ind w:firstLine="420" w:firstLineChars="200"/>
        <w:rPr>
          <w:rFonts w:asciiTheme="minorEastAsia" w:hAnsiTheme="minorEastAsia"/>
        </w:rPr>
      </w:pPr>
      <w:r>
        <w:rPr>
          <w:rFonts w:hint="eastAsia" w:asciiTheme="minorEastAsia" w:hAnsiTheme="minorEastAsia"/>
        </w:rPr>
        <w:t>基金份额持有人大会决定的事项，应当依法报中国证监会备案，并予以公告。</w:t>
      </w:r>
    </w:p>
    <w:p w14:paraId="42E5DE72">
      <w:pPr>
        <w:snapToGrid w:val="0"/>
        <w:spacing w:line="360" w:lineRule="auto"/>
        <w:ind w:firstLine="420" w:firstLineChars="200"/>
        <w:rPr>
          <w:rFonts w:asciiTheme="minorEastAsia" w:hAnsiTheme="minorEastAsia" w:eastAsiaTheme="minorEastAsia"/>
        </w:rPr>
      </w:pPr>
      <w:r>
        <w:rPr>
          <w:rFonts w:hint="eastAsia" w:asciiTheme="minorEastAsia" w:hAnsiTheme="minorEastAsia"/>
        </w:rPr>
        <w:t>（</w:t>
      </w:r>
      <w:r>
        <w:rPr>
          <w:rFonts w:hint="eastAsia" w:asciiTheme="minorEastAsia" w:hAnsiTheme="minorEastAsia" w:eastAsiaTheme="minorEastAsia"/>
        </w:rPr>
        <w:t>十三）基金参与股指期货和国债期货交易的信息披露</w:t>
      </w:r>
    </w:p>
    <w:p w14:paraId="493E16E5">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参与股指期货或国债期货交易的，基金管理人应在季度报告、中期报告、年度报告等定期报告和招募说明书（更新）等文件中披露股指期货、国债期货交易情况，包括投资政策、持仓情况、损益情况、风险指标等，并充分揭示股指期货、国债期货交易对基金总体风险的影响以及是否符合既定的投资政策和投资目标等。</w:t>
      </w:r>
    </w:p>
    <w:p w14:paraId="0D501EE8">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（十四）基金投资资产支持证券的信息披露</w:t>
      </w:r>
    </w:p>
    <w:p w14:paraId="7B3DF586">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42F96B1D">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（十五）基金投资股票期权的信息披露</w:t>
      </w:r>
    </w:p>
    <w:p w14:paraId="032B4526">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投资股票期权的，基金管理人应当在季度报告、中期报告、年度报告等定期报告和招募说明书（更新）等文件中披露股票期权交易情况，包括投资政策、持仓情况、损益情况、风险指标、估值方法等，并充分揭示股票期权交易对基金总体风险的影响以及是否符合既定的投资政策和投资目标等。</w:t>
      </w:r>
    </w:p>
    <w:p w14:paraId="06C82ECC">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（十六）参与融资和转融通证券出借业务的公告</w:t>
      </w:r>
    </w:p>
    <w:p w14:paraId="7AF4F967">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本基金参与融资和转融通证券出借业务的，基金管理人应当在季度报告、中期报告、年度报告等定期报告和招募说明书（更新）等文件中披露参与融资和转融通证券出借业务的情况，包括投资策略、业务开展情况、损益情况、风险及其管理情况等，并就转融通证券出借业务在报告期内发生的重大关联交易事项做详细说明。</w:t>
      </w:r>
    </w:p>
    <w:p w14:paraId="204F8995">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（十七）基金投资港股通标的股票的信息披露</w:t>
      </w:r>
    </w:p>
    <w:p w14:paraId="6AF66E72">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当在基金季度报告、中期报告、年度报告等定期报告和招募说明书（更新）等文件中披露港股通标的股票的投资情况，包括报告期末本基金在香港地区证券市场的权益投资分布情况及按相关法律法规及中国证监会要求披露港股通标的股票的投资明细等内容。若中国证监会对公开募集证券投资基金通过内地与香港股票市场交易互联互通机制投资香港股票市场的信息披露另有规定的，从其规定。</w:t>
      </w:r>
    </w:p>
    <w:p w14:paraId="608BB334">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（十八）基金投资非公开发行股票的信息披露</w:t>
      </w:r>
    </w:p>
    <w:p w14:paraId="092A5450">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基金管理人应在基金投资非公开发行股票后两个交易日内，在中国证监会规定媒介披露所投资非公开发行股票的名称、数量、总成本、账面价值，以及总成本和账面价值占基金资产净值的比例、锁定期等信息。</w:t>
      </w:r>
    </w:p>
    <w:p w14:paraId="4B100AF2">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（十九</w:t>
      </w:r>
      <w:r>
        <w:rPr>
          <w:rFonts w:hint="eastAsia" w:asciiTheme="minorEastAsia" w:hAnsiTheme="minorEastAsia"/>
        </w:rPr>
        <w:t>）中国证监会规定的其他信息</w:t>
      </w:r>
    </w:p>
    <w:p w14:paraId="7E616598">
      <w:pPr>
        <w:snapToGrid w:val="0"/>
        <w:spacing w:line="360" w:lineRule="auto"/>
        <w:ind w:firstLine="420" w:firstLineChars="200"/>
        <w:rPr>
          <w:rFonts w:asciiTheme="minorEastAsia" w:hAnsiTheme="minorEastAsia"/>
        </w:rPr>
      </w:pPr>
      <w:r>
        <w:rPr>
          <w:rFonts w:hint="eastAsia" w:asciiTheme="minorEastAsia" w:hAnsiTheme="minorEastAsia"/>
        </w:rPr>
        <w:t>六、信息披露事务管理</w:t>
      </w:r>
    </w:p>
    <w:p w14:paraId="2F91ADF5">
      <w:pPr>
        <w:snapToGrid w:val="0"/>
        <w:spacing w:line="360" w:lineRule="auto"/>
        <w:ind w:firstLine="420" w:firstLineChars="200"/>
        <w:rPr>
          <w:rFonts w:asciiTheme="minorEastAsia" w:hAnsiTheme="minorEastAsia"/>
        </w:rPr>
      </w:pPr>
      <w:r>
        <w:rPr>
          <w:rFonts w:hint="eastAsia" w:asciiTheme="minorEastAsia" w:hAnsiTheme="minorEastAsia"/>
        </w:rPr>
        <w:t>基金管理人、基金托管人应当建立健全信息披露管理制度，指定专门部门及高级管理人员负责管理信息披露事务。</w:t>
      </w:r>
    </w:p>
    <w:p w14:paraId="150978B3">
      <w:pPr>
        <w:snapToGrid w:val="0"/>
        <w:spacing w:line="360" w:lineRule="auto"/>
        <w:ind w:firstLine="420" w:firstLineChars="200"/>
        <w:rPr>
          <w:rFonts w:asciiTheme="minorEastAsia" w:hAnsiTheme="minorEastAsia"/>
        </w:rPr>
      </w:pPr>
      <w:r>
        <w:rPr>
          <w:rFonts w:hint="eastAsia" w:asciiTheme="minorEastAsia" w:hAnsiTheme="minorEastAsia"/>
        </w:rPr>
        <w:t>基金信息披露义务人公开披露基金信息，应当符合中国证监会相关基金信息披露内容与格式准则等法规以及证券交易所的自律管理规则的规定。</w:t>
      </w:r>
    </w:p>
    <w:p w14:paraId="0C6DF56A">
      <w:pPr>
        <w:snapToGrid w:val="0"/>
        <w:spacing w:line="360" w:lineRule="auto"/>
        <w:ind w:firstLine="420" w:firstLineChars="200"/>
        <w:rPr>
          <w:rFonts w:asciiTheme="minorEastAsia" w:hAnsiTheme="minorEastAsia"/>
        </w:rPr>
      </w:pPr>
      <w:r>
        <w:rPr>
          <w:rFonts w:hint="eastAsia" w:asciiTheme="minorEastAsia" w:hAnsiTheme="minorEastAsia"/>
        </w:rPr>
        <w:t>基金托管人应当按照相关法律法规、中国证监会的规定和</w:t>
      </w:r>
      <w:r>
        <w:rPr>
          <w:rFonts w:hint="eastAsia" w:asciiTheme="minorEastAsia" w:hAnsiTheme="minorEastAsia" w:eastAsiaTheme="minorEastAsia"/>
        </w:rPr>
        <w:t>基金合同</w:t>
      </w:r>
      <w:r>
        <w:rPr>
          <w:rFonts w:hint="eastAsia" w:asciiTheme="minorEastAsia" w:hAnsiTheme="minorEastAsia"/>
        </w:rPr>
        <w:t>的约定，对基金管理人编制的基金资产净值、基金份额净值、申购</w:t>
      </w:r>
      <w:r>
        <w:rPr>
          <w:rFonts w:hint="eastAsia" w:asciiTheme="minorEastAsia" w:hAnsiTheme="minorEastAsia" w:eastAsiaTheme="minorEastAsia"/>
        </w:rPr>
        <w:t>对价</w:t>
      </w:r>
      <w:r>
        <w:rPr>
          <w:rFonts w:hint="eastAsia" w:asciiTheme="minorEastAsia" w:hAnsiTheme="minorEastAsia"/>
        </w:rPr>
        <w:t>、赎回对价、基金定期报告、更新的招募说明书、基金产品资料概要、基金清算报告等相关基金信息进行复核、审查，并向基金管理人进行书面或电子确认。</w:t>
      </w:r>
    </w:p>
    <w:p w14:paraId="3F36BE91">
      <w:pPr>
        <w:snapToGrid w:val="0"/>
        <w:spacing w:line="360" w:lineRule="auto"/>
        <w:ind w:firstLine="420" w:firstLineChars="200"/>
        <w:rPr>
          <w:rFonts w:asciiTheme="minorEastAsia" w:hAnsiTheme="minorEastAsia"/>
        </w:rPr>
      </w:pPr>
      <w:r>
        <w:rPr>
          <w:rFonts w:hint="eastAsia" w:asciiTheme="minorEastAsia" w:hAnsiTheme="minorEastAsia"/>
        </w:rPr>
        <w:t>基金管理人、基金托管人应当在规定报刊中选择一家报刊披露本基金信息。基金管理人、基金托管人应当向中国证监会基金电子披露网站报送拟披露的基金信息，并保证相关报送信息的真实、准确、完整、及时。</w:t>
      </w:r>
    </w:p>
    <w:p w14:paraId="076BA65C">
      <w:pPr>
        <w:snapToGrid w:val="0"/>
        <w:spacing w:line="360" w:lineRule="auto"/>
        <w:ind w:firstLine="420" w:firstLineChars="200"/>
        <w:rPr>
          <w:rFonts w:asciiTheme="minorEastAsia" w:hAnsiTheme="minorEastAsia"/>
        </w:rPr>
      </w:pPr>
      <w:r>
        <w:rPr>
          <w:rFonts w:hint="eastAsia" w:asciiTheme="minorEastAsia" w:hAnsiTheme="minorEastAsia"/>
        </w:rPr>
        <w:t>为基金信息披露义务人公开披露的基金信息出具审计报告、法律意见书的专业机构，应当制作工作底稿，并将相关档案至少保存到《基金合同》终止后10年。</w:t>
      </w:r>
    </w:p>
    <w:p w14:paraId="3DEE06DF">
      <w:pPr>
        <w:snapToGrid w:val="0"/>
        <w:spacing w:line="360" w:lineRule="auto"/>
        <w:ind w:firstLine="420" w:firstLineChars="200"/>
        <w:rPr>
          <w:rFonts w:asciiTheme="minorEastAsia" w:hAnsiTheme="minorEastAsia"/>
        </w:rPr>
      </w:pPr>
      <w:r>
        <w:rPr>
          <w:rFonts w:hint="eastAsia" w:asciiTheme="minorEastAsia" w:hAnsiTheme="minorEastAsia"/>
        </w:rPr>
        <w:t>七、信息披露文件的存放与查阅</w:t>
      </w:r>
    </w:p>
    <w:p w14:paraId="6C15541E">
      <w:pPr>
        <w:snapToGrid w:val="0"/>
        <w:spacing w:line="360" w:lineRule="auto"/>
        <w:ind w:firstLine="420" w:firstLineChars="200"/>
        <w:rPr>
          <w:rFonts w:asciiTheme="minorEastAsia" w:hAnsiTheme="minorEastAsia"/>
        </w:rPr>
      </w:pPr>
      <w:r>
        <w:rPr>
          <w:rFonts w:hint="eastAsia" w:asciiTheme="minorEastAsia" w:hAnsiTheme="minorEastAsia"/>
        </w:rPr>
        <w:t>依法必须披露的信息发布后，基金管理人、基金托管人应当按照相关法律法规规定将信息置备于公司住所</w:t>
      </w:r>
      <w:bookmarkStart w:id="481" w:name="_Hlk19640716"/>
      <w:r>
        <w:rPr>
          <w:rFonts w:hint="eastAsia" w:asciiTheme="minorEastAsia" w:hAnsiTheme="minorEastAsia"/>
        </w:rPr>
        <w:t>、基金上市交易的证券交易所</w:t>
      </w:r>
      <w:bookmarkEnd w:id="481"/>
      <w:r>
        <w:rPr>
          <w:rFonts w:hint="eastAsia" w:asciiTheme="minorEastAsia" w:hAnsiTheme="minorEastAsia"/>
        </w:rPr>
        <w:t>，以供社会公众查阅、复制。</w:t>
      </w:r>
    </w:p>
    <w:p w14:paraId="44FE1990">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八、暂停或延迟披露基金相关信息的情形</w:t>
      </w:r>
    </w:p>
    <w:p w14:paraId="105F2C6D">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当出现下述情况时，基金管理人和基金托管人可暂停或延迟披露基金相关信息：</w:t>
      </w:r>
    </w:p>
    <w:p w14:paraId="65749ADE">
      <w:pPr>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bookmarkStart w:id="482" w:name="_Toc25647"/>
      <w:bookmarkStart w:id="483" w:name="_Toc139991749"/>
      <w:bookmarkStart w:id="484" w:name="_Toc27464"/>
      <w:bookmarkStart w:id="485" w:name="_Toc29891"/>
      <w:bookmarkStart w:id="486" w:name="_Toc123102466"/>
      <w:bookmarkStart w:id="487" w:name="_Toc6237"/>
      <w:bookmarkStart w:id="488" w:name="_Toc123112247"/>
      <w:bookmarkStart w:id="489" w:name="_Toc7170"/>
      <w:bookmarkStart w:id="490" w:name="_Toc98560364"/>
      <w:bookmarkStart w:id="491" w:name="_Toc123051465"/>
      <w:bookmarkStart w:id="492" w:name="_Toc10006"/>
      <w:bookmarkStart w:id="493" w:name="_Toc22978"/>
      <w:bookmarkStart w:id="494" w:name="_Toc11113"/>
      <w:bookmarkStart w:id="495" w:name="_Toc9005"/>
      <w:bookmarkStart w:id="496" w:name="_Toc8059"/>
      <w:bookmarkStart w:id="497" w:name="_Toc141703899"/>
      <w:bookmarkStart w:id="498" w:name="_Toc8049"/>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1、不可抗力；</w:t>
      </w:r>
    </w:p>
    <w:p w14:paraId="0FA43346">
      <w:pPr>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2、发生基金合同约定的暂停估值的情形；</w:t>
      </w:r>
    </w:p>
    <w:p w14:paraId="6A546BD0">
      <w:pPr>
        <w:snapToGrid w:val="0"/>
        <w:spacing w:line="360" w:lineRule="auto"/>
        <w:ind w:firstLine="420" w:firstLineChars="200"/>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t>3、法律法规、中国证监会和基金合同认定的其它情形。</w:t>
      </w:r>
    </w:p>
    <w:p w14:paraId="4417B7CB">
      <w:pPr>
        <w:pStyle w:val="2"/>
        <w:sectPr>
          <w:footerReference r:id="rId27" w:type="default"/>
          <w:pgSz w:w="11906" w:h="16838"/>
          <w:pgMar w:top="1440" w:right="1800" w:bottom="1440" w:left="1800" w:header="851" w:footer="992" w:gutter="0"/>
          <w:pgNumType w:start="1"/>
          <w:cols w:space="425" w:num="1"/>
          <w:docGrid w:type="lines" w:linePitch="312" w:charSpace="0"/>
        </w:sectPr>
      </w:pPr>
      <w:bookmarkStart w:id="499" w:name="_Toc90742703"/>
      <w:bookmarkStart w:id="500" w:name="_Toc90742405"/>
      <w:bookmarkStart w:id="501" w:name="_Toc90742336"/>
    </w:p>
    <w:bookmarkEnd w:id="480"/>
    <w:p w14:paraId="7137965D">
      <w:pPr>
        <w:pStyle w:val="2"/>
      </w:pPr>
      <w:bookmarkStart w:id="502" w:name="CTS_d8d3aba4060d44e09bfc607b026e1c17"/>
      <w:bookmarkEnd w:id="502"/>
      <w:bookmarkStart w:id="503" w:name="_Hlt88828593"/>
      <w:bookmarkStart w:id="504" w:name="_Toc6603"/>
      <w:bookmarkStart w:id="505" w:name="CLAUSE_d8d3aba4060d44e09bfc607b026e1c17"/>
      <w:r>
        <w:rPr>
          <w:rFonts w:hint="eastAsia" w:cs="Arial"/>
        </w:rPr>
        <w:t>第二十一</w:t>
      </w:r>
      <w:r>
        <w:rPr>
          <w:rFonts w:hint="eastAsia"/>
        </w:rPr>
        <w:t>部分 基金合同</w:t>
      </w:r>
      <w:bookmarkEnd w:id="503"/>
      <w:r>
        <w:rPr>
          <w:rFonts w:hint="eastAsia"/>
        </w:rPr>
        <w:t>的变更、终止与基金财产的清算</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4"/>
    </w:p>
    <w:p w14:paraId="0ED37D37">
      <w:pPr>
        <w:spacing w:line="360" w:lineRule="auto"/>
        <w:ind w:firstLine="480" w:firstLineChars="200"/>
        <w:rPr>
          <w:rFonts w:asciiTheme="minorEastAsia" w:hAnsiTheme="minorEastAsia"/>
          <w:sz w:val="24"/>
        </w:rPr>
      </w:pPr>
      <w:bookmarkStart w:id="506" w:name="_Toc79392639"/>
    </w:p>
    <w:p w14:paraId="0AE26FE1">
      <w:pPr>
        <w:snapToGrid w:val="0"/>
        <w:spacing w:line="360" w:lineRule="auto"/>
        <w:ind w:firstLine="420" w:firstLineChars="200"/>
        <w:rPr>
          <w:rFonts w:asciiTheme="minorEastAsia" w:hAnsiTheme="minorEastAsia"/>
        </w:rPr>
      </w:pPr>
      <w:r>
        <w:rPr>
          <w:rFonts w:hint="eastAsia" w:asciiTheme="minorEastAsia" w:hAnsiTheme="minorEastAsia"/>
        </w:rPr>
        <w:t>一、《基金合同》的变更</w:t>
      </w:r>
      <w:bookmarkEnd w:id="506"/>
    </w:p>
    <w:p w14:paraId="0FA1B2B0">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、变更基金合同涉及法律法规规定或本</w:t>
      </w:r>
      <w:r>
        <w:rPr>
          <w:rFonts w:hint="eastAsia" w:asciiTheme="minorEastAsia" w:hAnsiTheme="minorEastAsia" w:eastAsiaTheme="minorEastAsia"/>
        </w:rPr>
        <w:t>基金</w:t>
      </w:r>
      <w:r>
        <w:rPr>
          <w:rFonts w:hint="eastAsia" w:asciiTheme="minorEastAsia" w:hAnsiTheme="minorEastAsia"/>
        </w:rPr>
        <w:t>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38FF7677">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、关于《基金合同》变更的基金份额持有人大会决议自生效后方可执行，自决议生效后</w:t>
      </w:r>
      <w:r>
        <w:rPr>
          <w:rFonts w:hint="eastAsia" w:asciiTheme="minorEastAsia" w:hAnsiTheme="minorEastAsia" w:eastAsiaTheme="minorEastAsia"/>
        </w:rPr>
        <w:t>依照《信息披露办法》</w:t>
      </w:r>
      <w:r>
        <w:rPr>
          <w:rFonts w:hint="eastAsia" w:asciiTheme="minorEastAsia" w:hAnsiTheme="minorEastAsia"/>
        </w:rPr>
        <w:t>在规定媒介公告。</w:t>
      </w:r>
    </w:p>
    <w:p w14:paraId="25194423">
      <w:pPr>
        <w:snapToGrid w:val="0"/>
        <w:spacing w:line="360" w:lineRule="auto"/>
        <w:ind w:firstLine="420" w:firstLineChars="200"/>
        <w:rPr>
          <w:rFonts w:asciiTheme="minorEastAsia" w:hAnsiTheme="minorEastAsia"/>
        </w:rPr>
      </w:pPr>
      <w:r>
        <w:rPr>
          <w:rFonts w:hint="eastAsia" w:asciiTheme="minorEastAsia" w:hAnsiTheme="minorEastAsia"/>
        </w:rPr>
        <w:t>二、《基金合同》的终止事由</w:t>
      </w:r>
    </w:p>
    <w:p w14:paraId="14BFB93E">
      <w:pPr>
        <w:snapToGrid w:val="0"/>
        <w:spacing w:line="360" w:lineRule="auto"/>
        <w:ind w:firstLine="420" w:firstLineChars="200"/>
        <w:rPr>
          <w:rFonts w:asciiTheme="minorEastAsia" w:hAnsiTheme="minorEastAsia"/>
        </w:rPr>
      </w:pPr>
      <w:r>
        <w:rPr>
          <w:rFonts w:hint="eastAsia" w:asciiTheme="minorEastAsia" w:hAnsiTheme="minorEastAsia"/>
        </w:rPr>
        <w:t>有下列情形之一的，经履行相关程序后，《基金合同》应当终止：</w:t>
      </w:r>
    </w:p>
    <w:p w14:paraId="4DEBDD99">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、基金份额持有人大会决定终止的；</w:t>
      </w:r>
    </w:p>
    <w:p w14:paraId="3CA5A5B0">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、基金管理人、基金托管人职责终止，在</w:t>
      </w:r>
      <w:r>
        <w:rPr>
          <w:rFonts w:asciiTheme="minorEastAsia" w:hAnsiTheme="minorEastAsia"/>
        </w:rPr>
        <w:t>6</w:t>
      </w:r>
      <w:r>
        <w:rPr>
          <w:rFonts w:hint="eastAsia" w:asciiTheme="minorEastAsia" w:hAnsiTheme="minorEastAsia"/>
        </w:rPr>
        <w:t>个月内没有新基金管理人、新基金托管人承接的；</w:t>
      </w:r>
    </w:p>
    <w:p w14:paraId="51979E35">
      <w:pPr>
        <w:snapToGrid w:val="0"/>
        <w:spacing w:line="360" w:lineRule="auto"/>
        <w:ind w:firstLine="420" w:firstLineChars="200"/>
        <w:rPr>
          <w:rFonts w:asciiTheme="minorEastAsia" w:hAnsiTheme="minorEastAsia"/>
        </w:rPr>
      </w:pPr>
      <w:r>
        <w:rPr>
          <w:rFonts w:hint="eastAsia" w:asciiTheme="minorEastAsia" w:hAnsiTheme="minorEastAsia"/>
        </w:rPr>
        <w:t>3、《基金合同》约定的其他情形；</w:t>
      </w:r>
    </w:p>
    <w:p w14:paraId="52ED2ABA">
      <w:pPr>
        <w:snapToGrid w:val="0"/>
        <w:spacing w:line="360" w:lineRule="auto"/>
        <w:ind w:firstLine="420" w:firstLineChars="200"/>
        <w:rPr>
          <w:rFonts w:asciiTheme="minorEastAsia" w:hAnsiTheme="minorEastAsia"/>
        </w:rPr>
      </w:pPr>
      <w:r>
        <w:rPr>
          <w:rFonts w:hint="eastAsia" w:asciiTheme="minorEastAsia" w:hAnsiTheme="minorEastAsia"/>
        </w:rPr>
        <w:t>4、相关法律法规和中国证监会规定的其他情况。</w:t>
      </w:r>
    </w:p>
    <w:p w14:paraId="3B5D5147">
      <w:pPr>
        <w:snapToGrid w:val="0"/>
        <w:spacing w:line="360" w:lineRule="auto"/>
        <w:ind w:firstLine="420" w:firstLineChars="200"/>
        <w:rPr>
          <w:rFonts w:asciiTheme="minorEastAsia" w:hAnsiTheme="minorEastAsia"/>
        </w:rPr>
      </w:pPr>
      <w:r>
        <w:rPr>
          <w:rFonts w:hint="eastAsia" w:asciiTheme="minorEastAsia" w:hAnsiTheme="minorEastAsia"/>
        </w:rPr>
        <w:t>三、基金财产的清算</w:t>
      </w:r>
    </w:p>
    <w:p w14:paraId="0CF5EEB1">
      <w:pPr>
        <w:snapToGrid w:val="0"/>
        <w:spacing w:line="360" w:lineRule="auto"/>
        <w:ind w:firstLine="420" w:firstLineChars="200"/>
        <w:rPr>
          <w:rFonts w:asciiTheme="minorEastAsia" w:hAnsiTheme="minorEastAsia"/>
        </w:rPr>
      </w:pPr>
      <w:r>
        <w:rPr>
          <w:rFonts w:asciiTheme="minorEastAsia" w:hAnsiTheme="minorEastAsia"/>
        </w:rPr>
        <w:t>1</w:t>
      </w:r>
      <w:r>
        <w:rPr>
          <w:rFonts w:hint="eastAsia" w:asciiTheme="minorEastAsia" w:hAnsiTheme="minorEastAsia"/>
        </w:rPr>
        <w:t>、基金财产清算小组：自出现《基金合同》终止事由之日起</w:t>
      </w:r>
      <w:r>
        <w:rPr>
          <w:rFonts w:asciiTheme="minorEastAsia" w:hAnsiTheme="minorEastAsia"/>
        </w:rPr>
        <w:t>30</w:t>
      </w:r>
      <w:r>
        <w:rPr>
          <w:rFonts w:hint="eastAsia" w:asciiTheme="minorEastAsia" w:hAnsiTheme="minorEastAsia"/>
        </w:rPr>
        <w:t>个工作日内成立基金财产清算小组，基金管理人组织基金财产清算小组并在中国证监会的监督下进行基金清算。</w:t>
      </w:r>
    </w:p>
    <w:p w14:paraId="2A1D8BCF">
      <w:pPr>
        <w:snapToGrid w:val="0"/>
        <w:spacing w:line="360" w:lineRule="auto"/>
        <w:ind w:firstLine="420" w:firstLineChars="200"/>
        <w:rPr>
          <w:rFonts w:asciiTheme="minorEastAsia" w:hAnsiTheme="minorEastAsia"/>
        </w:rPr>
      </w:pPr>
      <w:r>
        <w:rPr>
          <w:rFonts w:asciiTheme="minorEastAsia" w:hAnsiTheme="minorEastAsia"/>
        </w:rPr>
        <w:t>2</w:t>
      </w:r>
      <w:r>
        <w:rPr>
          <w:rFonts w:hint="eastAsia" w:asciiTheme="minorEastAsia" w:hAnsiTheme="minorEastAsia"/>
        </w:rPr>
        <w:t>、基金财产清算小组组成：基金财产清算小组成员由基金管理人、基金托管人、具有从事证券相关业务资格的注册会计师、律师以及中国证监会指定的人员组成。基金财产清算小组可以聘用必要的工作人员。</w:t>
      </w:r>
    </w:p>
    <w:p w14:paraId="5BDAB6DD">
      <w:pPr>
        <w:snapToGrid w:val="0"/>
        <w:spacing w:line="360" w:lineRule="auto"/>
        <w:ind w:firstLine="420" w:firstLineChars="200"/>
        <w:rPr>
          <w:rFonts w:asciiTheme="minorEastAsia" w:hAnsiTheme="minorEastAsia"/>
        </w:rPr>
      </w:pPr>
      <w:r>
        <w:rPr>
          <w:rFonts w:asciiTheme="minorEastAsia" w:hAnsiTheme="minorEastAsia"/>
        </w:rPr>
        <w:t>3</w:t>
      </w:r>
      <w:r>
        <w:rPr>
          <w:rFonts w:hint="eastAsia" w:asciiTheme="minorEastAsia" w:hAnsiTheme="minorEastAsia"/>
        </w:rPr>
        <w:t>、基金财产清算小组职责：基金财产清算小组负责基金财产的保管、清理、估价、变现和分配。基金财产清算小组可以依法进行必要的民事活动。</w:t>
      </w:r>
    </w:p>
    <w:p w14:paraId="5DB77864">
      <w:pPr>
        <w:snapToGrid w:val="0"/>
        <w:spacing w:line="360" w:lineRule="auto"/>
        <w:ind w:firstLine="420" w:firstLineChars="200"/>
        <w:rPr>
          <w:rFonts w:asciiTheme="minorEastAsia" w:hAnsiTheme="minorEastAsia"/>
        </w:rPr>
      </w:pPr>
      <w:r>
        <w:rPr>
          <w:rFonts w:asciiTheme="minorEastAsia" w:hAnsiTheme="minorEastAsia"/>
        </w:rPr>
        <w:t>4</w:t>
      </w:r>
      <w:r>
        <w:rPr>
          <w:rFonts w:hint="eastAsia" w:asciiTheme="minorEastAsia" w:hAnsiTheme="minorEastAsia"/>
        </w:rPr>
        <w:t>、基金财产清算程序：</w:t>
      </w:r>
    </w:p>
    <w:p w14:paraId="2B37E8DA">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1</w:t>
      </w:r>
      <w:r>
        <w:rPr>
          <w:rFonts w:hint="eastAsia" w:asciiTheme="minorEastAsia" w:hAnsiTheme="minorEastAsia"/>
        </w:rPr>
        <w:t>）《基金合同》终止情形出现时，由基金财产清算小组统一接管基金；</w:t>
      </w:r>
    </w:p>
    <w:p w14:paraId="4C0CC510">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2</w:t>
      </w:r>
      <w:r>
        <w:rPr>
          <w:rFonts w:hint="eastAsia" w:asciiTheme="minorEastAsia" w:hAnsiTheme="minorEastAsia"/>
        </w:rPr>
        <w:t>）对基金财产和债权债务进行清理和确认；</w:t>
      </w:r>
    </w:p>
    <w:p w14:paraId="39E6EFB6">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3</w:t>
      </w:r>
      <w:r>
        <w:rPr>
          <w:rFonts w:hint="eastAsia" w:asciiTheme="minorEastAsia" w:hAnsiTheme="minorEastAsia"/>
        </w:rPr>
        <w:t>）对基金财产进行估值和变现；</w:t>
      </w:r>
    </w:p>
    <w:p w14:paraId="77BBA976">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4</w:t>
      </w:r>
      <w:r>
        <w:rPr>
          <w:rFonts w:hint="eastAsia" w:asciiTheme="minorEastAsia" w:hAnsiTheme="minorEastAsia"/>
        </w:rPr>
        <w:t>）制作清算报告；</w:t>
      </w:r>
    </w:p>
    <w:p w14:paraId="1B6ECDF6">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5</w:t>
      </w:r>
      <w:r>
        <w:rPr>
          <w:rFonts w:hint="eastAsia" w:asciiTheme="minorEastAsia" w:hAnsiTheme="minorEastAsia"/>
        </w:rPr>
        <w:t>）聘请符合《证券法》规定的会计师事务所对清算报告进行外部审计，聘请律师事务所对清算报告出具法律意见书；</w:t>
      </w:r>
    </w:p>
    <w:p w14:paraId="34C5BF9A">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6</w:t>
      </w:r>
      <w:r>
        <w:rPr>
          <w:rFonts w:hint="eastAsia" w:asciiTheme="minorEastAsia" w:hAnsiTheme="minorEastAsia"/>
        </w:rPr>
        <w:t>）将清算报告报中国证监会备案并公告；</w:t>
      </w:r>
    </w:p>
    <w:p w14:paraId="77B8B55A">
      <w:pPr>
        <w:snapToGrid w:val="0"/>
        <w:spacing w:line="360" w:lineRule="auto"/>
        <w:ind w:firstLine="420" w:firstLineChars="200"/>
        <w:rPr>
          <w:rFonts w:asciiTheme="minorEastAsia" w:hAnsiTheme="minorEastAsia"/>
        </w:rPr>
      </w:pPr>
      <w:r>
        <w:rPr>
          <w:rFonts w:hint="eastAsia" w:asciiTheme="minorEastAsia" w:hAnsiTheme="minorEastAsia"/>
        </w:rPr>
        <w:t>（</w:t>
      </w:r>
      <w:r>
        <w:rPr>
          <w:rFonts w:asciiTheme="minorEastAsia" w:hAnsiTheme="minorEastAsia"/>
        </w:rPr>
        <w:t>7</w:t>
      </w:r>
      <w:r>
        <w:rPr>
          <w:rFonts w:hint="eastAsia" w:asciiTheme="minorEastAsia" w:hAnsiTheme="minorEastAsia"/>
        </w:rPr>
        <w:t>）对基金剩余财产进行分配。</w:t>
      </w:r>
    </w:p>
    <w:p w14:paraId="161D8BE1">
      <w:pPr>
        <w:snapToGrid w:val="0"/>
        <w:spacing w:line="360" w:lineRule="auto"/>
        <w:ind w:firstLine="420" w:firstLineChars="200"/>
        <w:rPr>
          <w:rFonts w:asciiTheme="minorEastAsia" w:hAnsiTheme="minorEastAsia"/>
        </w:rPr>
      </w:pPr>
      <w:r>
        <w:rPr>
          <w:rFonts w:asciiTheme="minorEastAsia" w:hAnsiTheme="minorEastAsia"/>
        </w:rPr>
        <w:t>5</w:t>
      </w:r>
      <w:r>
        <w:rPr>
          <w:rFonts w:hint="eastAsia" w:asciiTheme="minorEastAsia" w:hAnsiTheme="minorEastAsia"/>
        </w:rPr>
        <w:t>、基金财产清算的期限为6个月，但因本基金所持证券的流动性受到限制而不能及时变现的，清算期限可相应顺延。</w:t>
      </w:r>
    </w:p>
    <w:p w14:paraId="7D1D911D">
      <w:pPr>
        <w:snapToGrid w:val="0"/>
        <w:spacing w:line="360" w:lineRule="auto"/>
        <w:ind w:firstLine="420" w:firstLineChars="200"/>
        <w:rPr>
          <w:rFonts w:asciiTheme="minorEastAsia" w:hAnsiTheme="minorEastAsia"/>
        </w:rPr>
      </w:pPr>
      <w:r>
        <w:rPr>
          <w:rFonts w:hint="eastAsia" w:asciiTheme="minorEastAsia" w:hAnsiTheme="minorEastAsia"/>
        </w:rPr>
        <w:t>四、清算费用</w:t>
      </w:r>
    </w:p>
    <w:p w14:paraId="0FCCC0A8">
      <w:pPr>
        <w:snapToGrid w:val="0"/>
        <w:spacing w:line="360" w:lineRule="auto"/>
        <w:ind w:firstLine="420" w:firstLineChars="200"/>
        <w:rPr>
          <w:rFonts w:asciiTheme="minorEastAsia" w:hAnsiTheme="minorEastAsia"/>
        </w:rPr>
      </w:pPr>
      <w:r>
        <w:rPr>
          <w:rFonts w:hint="eastAsia" w:asciiTheme="minorEastAsia" w:hAnsiTheme="minorEastAsia"/>
        </w:rPr>
        <w:t>清算费用是指基金财产清算小组在进行基金财产清算过程中发生的所有合理费用，清算费用由基金财产清算小组优先从基金剩余财产中支付。</w:t>
      </w:r>
    </w:p>
    <w:p w14:paraId="40E54160">
      <w:pPr>
        <w:snapToGrid w:val="0"/>
        <w:spacing w:line="360" w:lineRule="auto"/>
        <w:ind w:firstLine="420" w:firstLineChars="200"/>
        <w:rPr>
          <w:rFonts w:asciiTheme="minorEastAsia" w:hAnsiTheme="minorEastAsia"/>
        </w:rPr>
      </w:pPr>
      <w:r>
        <w:rPr>
          <w:rFonts w:hint="eastAsia" w:asciiTheme="minorEastAsia" w:hAnsiTheme="minorEastAsia"/>
        </w:rPr>
        <w:t>五、基金财产清算剩余资产的分配</w:t>
      </w:r>
    </w:p>
    <w:p w14:paraId="54B52929">
      <w:pPr>
        <w:snapToGrid w:val="0"/>
        <w:spacing w:line="360" w:lineRule="auto"/>
        <w:ind w:firstLine="420" w:firstLineChars="200"/>
        <w:rPr>
          <w:rFonts w:asciiTheme="minorEastAsia" w:hAnsiTheme="minorEastAsia"/>
        </w:rPr>
      </w:pPr>
      <w:r>
        <w:rPr>
          <w:rFonts w:hint="eastAsia" w:asciiTheme="minorEastAsia" w:hAnsiTheme="minorEastAsia"/>
        </w:rPr>
        <w:t>依据基金财产清算的分配方案，将基金财产清算后的全部剩余资产扣除基金财产清算费用、交纳所欠税款并清偿基金债务后，按基金份额持有人持有的基金份额比例进行分配。</w:t>
      </w:r>
    </w:p>
    <w:p w14:paraId="4FE6AAA1">
      <w:pPr>
        <w:snapToGrid w:val="0"/>
        <w:spacing w:line="360" w:lineRule="auto"/>
        <w:ind w:firstLine="420" w:firstLineChars="200"/>
        <w:rPr>
          <w:rFonts w:asciiTheme="minorEastAsia" w:hAnsiTheme="minorEastAsia"/>
        </w:rPr>
      </w:pPr>
      <w:r>
        <w:rPr>
          <w:rFonts w:hint="eastAsia" w:asciiTheme="minorEastAsia" w:hAnsiTheme="minorEastAsia"/>
        </w:rPr>
        <w:t>六、基金财产清算的公告</w:t>
      </w:r>
    </w:p>
    <w:p w14:paraId="50EA14B1">
      <w:pPr>
        <w:snapToGrid w:val="0"/>
        <w:spacing w:line="360" w:lineRule="auto"/>
        <w:ind w:firstLine="420" w:firstLineChars="200"/>
        <w:rPr>
          <w:rFonts w:asciiTheme="minorEastAsia" w:hAnsiTheme="minorEastAsia"/>
        </w:rPr>
      </w:pPr>
      <w:r>
        <w:rPr>
          <w:rFonts w:hint="eastAsia" w:asciiTheme="minorEastAsia" w:hAnsiTheme="minorEastAsia"/>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w:t>
      </w:r>
      <w:r>
        <w:rPr>
          <w:rFonts w:hint="eastAsia" w:asciiTheme="minorEastAsia" w:hAnsiTheme="minorEastAsia" w:eastAsiaTheme="minorEastAsia"/>
        </w:rPr>
        <w:t>5</w:t>
      </w:r>
      <w:r>
        <w:rPr>
          <w:rFonts w:hint="eastAsia" w:asciiTheme="minorEastAsia" w:hAnsiTheme="minorEastAsia"/>
        </w:rPr>
        <w:t>个工作日内由基金财产清算小组进行公告，基金财产清算小组应当将清算报告登载在规定网站上，并将清算报告提示性公告登载在规定报刊上。</w:t>
      </w:r>
    </w:p>
    <w:p w14:paraId="753199C2">
      <w:pPr>
        <w:snapToGrid w:val="0"/>
        <w:spacing w:line="360" w:lineRule="auto"/>
        <w:ind w:firstLine="420" w:firstLineChars="200"/>
        <w:rPr>
          <w:rFonts w:asciiTheme="minorEastAsia" w:hAnsiTheme="minorEastAsia"/>
        </w:rPr>
      </w:pPr>
      <w:r>
        <w:rPr>
          <w:rFonts w:hint="eastAsia" w:asciiTheme="minorEastAsia" w:hAnsiTheme="minorEastAsia"/>
        </w:rPr>
        <w:t>七、基金财产清算账册及文件的保存</w:t>
      </w:r>
    </w:p>
    <w:p w14:paraId="49986622">
      <w:pPr>
        <w:snapToGrid w:val="0"/>
        <w:spacing w:line="360" w:lineRule="auto"/>
        <w:ind w:firstLine="420" w:firstLineChars="200"/>
        <w:rPr>
          <w:rFonts w:asciiTheme="minorEastAsia" w:hAnsiTheme="minorEastAsia"/>
        </w:rPr>
      </w:pPr>
      <w:r>
        <w:rPr>
          <w:rFonts w:hint="eastAsia" w:asciiTheme="minorEastAsia" w:hAnsiTheme="minorEastAsia"/>
        </w:rPr>
        <w:t>基金财产清算账册及有关文件由基金托管人保存，保存期限不低于法定最低期限。</w:t>
      </w:r>
    </w:p>
    <w:p w14:paraId="438746E1">
      <w:pPr>
        <w:adjustRightInd w:val="0"/>
        <w:snapToGrid w:val="0"/>
        <w:spacing w:line="360" w:lineRule="auto"/>
        <w:ind w:firstLine="420"/>
        <w:rPr>
          <w:rFonts w:asciiTheme="minorEastAsia" w:hAnsiTheme="minorEastAsia"/>
          <w:color w:val="0D0D0D" w:themeColor="text1" w:themeTint="F2"/>
          <w14:textFill>
            <w14:solidFill>
              <w14:schemeClr w14:val="tx1">
                <w14:lumMod w14:val="95000"/>
                <w14:lumOff w14:val="5000"/>
              </w14:schemeClr>
            </w14:solidFill>
          </w14:textFill>
        </w:rPr>
      </w:pPr>
      <w:bookmarkStart w:id="507" w:name="_Hlt130184353"/>
      <w:bookmarkEnd w:id="507"/>
    </w:p>
    <w:p w14:paraId="65ED611F">
      <w:pPr>
        <w:pStyle w:val="2"/>
        <w:sectPr>
          <w:footerReference r:id="rId28" w:type="default"/>
          <w:pgSz w:w="11906" w:h="16838"/>
          <w:pgMar w:top="1440" w:right="1800" w:bottom="1440" w:left="1800" w:header="851" w:footer="992" w:gutter="0"/>
          <w:pgNumType w:start="1"/>
          <w:cols w:space="425" w:num="1"/>
          <w:docGrid w:type="lines" w:linePitch="312" w:charSpace="0"/>
        </w:sectPr>
      </w:pPr>
      <w:bookmarkStart w:id="508" w:name="_Toc90742406"/>
      <w:bookmarkStart w:id="509" w:name="_Toc28549"/>
      <w:bookmarkStart w:id="510" w:name="_Toc98560365"/>
      <w:bookmarkStart w:id="511" w:name="_Toc79392641"/>
      <w:bookmarkStart w:id="512" w:name="_Toc23166"/>
      <w:bookmarkStart w:id="513" w:name="_Toc12191"/>
      <w:bookmarkStart w:id="514" w:name="_Toc23022"/>
      <w:bookmarkStart w:id="515" w:name="_Toc139991750"/>
      <w:bookmarkStart w:id="516" w:name="_Toc13398"/>
      <w:bookmarkStart w:id="517" w:name="_Toc48649720"/>
      <w:bookmarkStart w:id="518" w:name="_Toc27058"/>
      <w:bookmarkStart w:id="519" w:name="_Toc90742704"/>
      <w:bookmarkStart w:id="520" w:name="_Toc90742337"/>
      <w:bookmarkStart w:id="521" w:name="_Toc141703901"/>
      <w:bookmarkStart w:id="522" w:name="_Toc30645"/>
      <w:bookmarkStart w:id="523" w:name="_Toc8710"/>
      <w:bookmarkStart w:id="524" w:name="_Toc123102467"/>
      <w:bookmarkStart w:id="525" w:name="_Toc123051466"/>
      <w:bookmarkStart w:id="526" w:name="_Toc21240"/>
      <w:bookmarkStart w:id="527" w:name="_Toc9708"/>
      <w:bookmarkStart w:id="528" w:name="_Toc7367"/>
      <w:bookmarkStart w:id="529" w:name="_Toc123112248"/>
    </w:p>
    <w:bookmarkEnd w:id="505"/>
    <w:p w14:paraId="3E006A56">
      <w:pPr>
        <w:pStyle w:val="2"/>
      </w:pPr>
      <w:bookmarkStart w:id="530" w:name="CTS_b69c6869f1eb4e2db4b0286f2444be4e"/>
      <w:bookmarkEnd w:id="530"/>
      <w:bookmarkStart w:id="531" w:name="_Toc17930"/>
      <w:bookmarkStart w:id="532" w:name="CLAUSE_b69c6869f1eb4e2db4b0286f2444be4e"/>
      <w:r>
        <w:rPr>
          <w:rFonts w:hint="eastAsia" w:cs="Arial"/>
        </w:rPr>
        <w:t>第二十二</w:t>
      </w:r>
      <w:r>
        <w:rPr>
          <w:rFonts w:hint="eastAsia"/>
        </w:rPr>
        <w:t>部分</w:t>
      </w:r>
      <w:r>
        <w:t xml:space="preserve"> </w:t>
      </w:r>
      <w:r>
        <w:rPr>
          <w:rFonts w:hint="eastAsia"/>
        </w:rPr>
        <w:t>违约责任</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1"/>
    </w:p>
    <w:p w14:paraId="439C48D0">
      <w:pPr>
        <w:spacing w:line="360" w:lineRule="auto"/>
        <w:ind w:firstLine="480" w:firstLineChars="200"/>
        <w:rPr>
          <w:rFonts w:asciiTheme="minorEastAsia" w:hAnsiTheme="minorEastAsia"/>
          <w:sz w:val="24"/>
        </w:rPr>
      </w:pPr>
    </w:p>
    <w:p w14:paraId="407748F3">
      <w:pPr>
        <w:snapToGrid w:val="0"/>
        <w:spacing w:line="360" w:lineRule="auto"/>
        <w:ind w:firstLine="420" w:firstLineChars="200"/>
        <w:rPr>
          <w:rFonts w:asciiTheme="minorEastAsia" w:hAnsiTheme="minorEastAsia" w:eastAsiaTheme="minorEastAsia"/>
        </w:rPr>
      </w:pPr>
      <w:r>
        <w:rPr>
          <w:rFonts w:hint="eastAsia" w:asciiTheme="minorEastAsia" w:hAnsiTheme="minorEastAsia"/>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asciiTheme="minorEastAsia" w:hAnsiTheme="minorEastAsia" w:eastAsiaTheme="minorEastAsia"/>
        </w:rPr>
        <w:t>但是发生下列情况的，当事人免责：</w:t>
      </w:r>
    </w:p>
    <w:p w14:paraId="67AC347B">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、不可抗力；</w:t>
      </w:r>
    </w:p>
    <w:p w14:paraId="74EB92B2">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、基金管理人和</w:t>
      </w:r>
      <w:r>
        <w:rPr>
          <w:rFonts w:asciiTheme="minorEastAsia" w:hAnsiTheme="minorEastAsia" w:eastAsiaTheme="minorEastAsia"/>
        </w:rPr>
        <w:t>/</w:t>
      </w:r>
      <w:r>
        <w:rPr>
          <w:rFonts w:hint="eastAsia" w:asciiTheme="minorEastAsia" w:hAnsiTheme="minorEastAsia" w:eastAsiaTheme="minorEastAsia"/>
        </w:rPr>
        <w:t>或基金托管人按照当时有效的法律法规或中国证监会的规定作为或不作为而造成的损失等；</w:t>
      </w:r>
    </w:p>
    <w:p w14:paraId="66ED553A">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3</w:t>
      </w:r>
      <w:r>
        <w:rPr>
          <w:rFonts w:hint="eastAsia" w:asciiTheme="minorEastAsia" w:hAnsiTheme="minorEastAsia" w:eastAsiaTheme="minorEastAsia"/>
        </w:rPr>
        <w:t>、基金管理人由于按照基金合同规定行使或不行使其投资权而造成的损失等。</w:t>
      </w:r>
    </w:p>
    <w:p w14:paraId="390A2F98">
      <w:pPr>
        <w:snapToGrid w:val="0"/>
        <w:spacing w:line="360" w:lineRule="auto"/>
        <w:ind w:firstLine="420" w:firstLineChars="200"/>
        <w:rPr>
          <w:rFonts w:asciiTheme="minorEastAsia" w:hAnsiTheme="minorEastAsia"/>
        </w:rPr>
      </w:pPr>
      <w:r>
        <w:rPr>
          <w:rFonts w:hint="eastAsia" w:asciiTheme="minorEastAsia" w:hAnsiTheme="minorEastAsia"/>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r>
        <w:rPr>
          <w:rFonts w:asciiTheme="minorEastAsia" w:hAnsiTheme="minorEastAsia"/>
        </w:rPr>
        <w:t xml:space="preserve"> </w:t>
      </w:r>
    </w:p>
    <w:p w14:paraId="6C5F9E0D">
      <w:pPr>
        <w:snapToGrid w:val="0"/>
        <w:spacing w:line="360" w:lineRule="auto"/>
        <w:ind w:firstLine="420" w:firstLineChars="200"/>
        <w:rPr>
          <w:rFonts w:asciiTheme="minorEastAsia" w:hAnsiTheme="minorEastAsia"/>
        </w:rPr>
      </w:pPr>
      <w:r>
        <w:rPr>
          <w:rFonts w:hint="eastAsia" w:asciiTheme="minorEastAsia" w:hAnsiTheme="minorEastAsia"/>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asciiTheme="minorEastAsia" w:hAnsiTheme="minorEastAsia" w:eastAsiaTheme="minorEastAsia"/>
        </w:rPr>
        <w:t>或减轻</w:t>
      </w:r>
      <w:r>
        <w:rPr>
          <w:rFonts w:hint="eastAsia" w:asciiTheme="minorEastAsia" w:hAnsiTheme="minorEastAsia"/>
        </w:rPr>
        <w:t>由此造成的影响。</w:t>
      </w:r>
    </w:p>
    <w:p w14:paraId="6CC254C7">
      <w:pPr>
        <w:spacing w:line="360" w:lineRule="auto"/>
        <w:ind w:firstLine="480" w:firstLineChars="200"/>
        <w:rPr>
          <w:rFonts w:asciiTheme="minorEastAsia" w:hAnsiTheme="minorEastAsia"/>
          <w:sz w:val="24"/>
        </w:rPr>
      </w:pPr>
      <w:bookmarkStart w:id="533" w:name="_Toc90742338"/>
      <w:bookmarkStart w:id="534" w:name="_Toc90742407"/>
      <w:bookmarkStart w:id="535" w:name="_Toc90742705"/>
      <w:bookmarkStart w:id="536" w:name="_Toc24923"/>
      <w:bookmarkStart w:id="537" w:name="_Toc7288"/>
      <w:bookmarkStart w:id="538" w:name="_Toc8636"/>
      <w:bookmarkStart w:id="539" w:name="_Toc6202"/>
      <w:bookmarkStart w:id="540" w:name="_Toc25651"/>
      <w:bookmarkStart w:id="541" w:name="_Toc141703902"/>
      <w:bookmarkStart w:id="542" w:name="_Toc23999"/>
      <w:bookmarkStart w:id="543" w:name="_Toc139991751"/>
      <w:bookmarkStart w:id="544" w:name="_Toc123112249"/>
      <w:bookmarkStart w:id="545" w:name="_Toc1790"/>
      <w:bookmarkStart w:id="546" w:name="_Toc30350"/>
      <w:bookmarkStart w:id="547" w:name="_Toc123102468"/>
      <w:bookmarkStart w:id="548" w:name="_Toc21983"/>
      <w:bookmarkStart w:id="549" w:name="_Toc6110"/>
      <w:bookmarkStart w:id="550" w:name="_Toc98560366"/>
      <w:bookmarkStart w:id="551" w:name="_Toc3319"/>
      <w:bookmarkStart w:id="552" w:name="_Toc123051467"/>
    </w:p>
    <w:bookmarkEnd w:id="532"/>
    <w:p w14:paraId="6349C3B1">
      <w:pPr>
        <w:pStyle w:val="2"/>
        <w:sectPr>
          <w:footerReference r:id="rId29" w:type="default"/>
          <w:pgSz w:w="11906" w:h="16838"/>
          <w:pgMar w:top="1440" w:right="1800" w:bottom="1440" w:left="1800" w:header="851" w:footer="992" w:gutter="0"/>
          <w:pgNumType w:start="1"/>
          <w:cols w:space="425" w:num="1"/>
          <w:docGrid w:type="lines" w:linePitch="312" w:charSpace="0"/>
        </w:sectPr>
      </w:pPr>
    </w:p>
    <w:p w14:paraId="427E4D49">
      <w:pPr>
        <w:pStyle w:val="2"/>
      </w:pPr>
      <w:bookmarkStart w:id="553" w:name="CTS_ca48ed0358bf4882801c7e4af7e0c98a"/>
      <w:bookmarkEnd w:id="553"/>
      <w:bookmarkStart w:id="554" w:name="_Toc5371"/>
      <w:bookmarkStart w:id="555" w:name="CLAUSE_ca48ed0358bf4882801c7e4af7e0c98a"/>
      <w:r>
        <w:rPr>
          <w:rFonts w:hint="eastAsia" w:cs="Arial"/>
        </w:rPr>
        <w:t>第二十三部分</w:t>
      </w:r>
      <w:r>
        <w:rPr>
          <w:rFonts w:hint="eastAsia"/>
        </w:rPr>
        <w:t xml:space="preserve"> 争议的处理</w:t>
      </w:r>
      <w:bookmarkEnd w:id="533"/>
      <w:bookmarkEnd w:id="534"/>
      <w:bookmarkEnd w:id="535"/>
      <w:r>
        <w:rPr>
          <w:rFonts w:hint="eastAsia"/>
        </w:rPr>
        <w:t>和适用的法律</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4"/>
    </w:p>
    <w:p w14:paraId="3EF8ED27">
      <w:pPr>
        <w:spacing w:line="360" w:lineRule="auto"/>
        <w:ind w:firstLine="480" w:firstLineChars="200"/>
        <w:rPr>
          <w:rFonts w:asciiTheme="minorEastAsia" w:hAnsiTheme="minorEastAsia"/>
          <w:sz w:val="24"/>
        </w:rPr>
      </w:pPr>
    </w:p>
    <w:p w14:paraId="56254281">
      <w:pPr>
        <w:snapToGrid w:val="0"/>
        <w:spacing w:line="360" w:lineRule="auto"/>
        <w:ind w:firstLine="422" w:firstLineChars="200"/>
        <w:rPr>
          <w:rFonts w:asciiTheme="minorEastAsia" w:hAnsiTheme="minorEastAsia" w:eastAsiaTheme="minorEastAsia"/>
          <w:b/>
          <w:i/>
        </w:rPr>
      </w:pPr>
      <w:r>
        <w:rPr>
          <w:rFonts w:hint="eastAsia" w:asciiTheme="minorEastAsia" w:hAnsiTheme="minorEastAsia" w:eastAsiaTheme="minorEastAsia"/>
          <w:b/>
          <w:i/>
        </w:rPr>
        <w:t>各方当事人同意，</w:t>
      </w:r>
      <w:r>
        <w:rPr>
          <w:rFonts w:asciiTheme="minorEastAsia" w:hAnsiTheme="minorEastAsia" w:eastAsiaTheme="minorEastAsia"/>
          <w:b/>
          <w:i/>
        </w:rPr>
        <w:t>对于</w:t>
      </w:r>
      <w:r>
        <w:rPr>
          <w:rFonts w:hint="eastAsia" w:asciiTheme="minorEastAsia" w:hAnsiTheme="minorEastAsia" w:eastAsiaTheme="minorEastAsia"/>
          <w:b/>
          <w:i/>
        </w:rPr>
        <w:t>因</w:t>
      </w:r>
      <w:r>
        <w:rPr>
          <w:rFonts w:asciiTheme="minorEastAsia" w:hAnsiTheme="minorEastAsia" w:eastAsiaTheme="minorEastAsia"/>
          <w:b/>
          <w:i/>
        </w:rPr>
        <w:t>基金合同的订立、内容、履行和解释</w:t>
      </w:r>
      <w:r>
        <w:rPr>
          <w:rFonts w:hint="eastAsia" w:asciiTheme="minorEastAsia" w:hAnsiTheme="minorEastAsia" w:eastAsiaTheme="minorEastAsia"/>
          <w:b/>
          <w:i/>
        </w:rPr>
        <w:t>或与</w:t>
      </w:r>
      <w:r>
        <w:rPr>
          <w:rFonts w:asciiTheme="minorEastAsia" w:hAnsiTheme="minorEastAsia" w:eastAsiaTheme="minorEastAsia"/>
          <w:b/>
          <w:i/>
        </w:rPr>
        <w:t>基金合同</w:t>
      </w:r>
      <w:r>
        <w:rPr>
          <w:rFonts w:hint="eastAsia" w:asciiTheme="minorEastAsia" w:hAnsiTheme="minorEastAsia" w:eastAsiaTheme="minorEastAsia"/>
          <w:b/>
          <w:i/>
        </w:rPr>
        <w:t>有关的争议，</w:t>
      </w:r>
      <w:r>
        <w:rPr>
          <w:rFonts w:asciiTheme="minorEastAsia" w:hAnsiTheme="minorEastAsia" w:eastAsiaTheme="minorEastAsia"/>
          <w:b/>
          <w:i/>
        </w:rPr>
        <w:t>基金合同当事人应尽量通过</w:t>
      </w:r>
      <w:r>
        <w:rPr>
          <w:rFonts w:hint="eastAsia" w:asciiTheme="minorEastAsia" w:hAnsiTheme="minorEastAsia" w:eastAsiaTheme="minorEastAsia"/>
          <w:b/>
          <w:i/>
        </w:rPr>
        <w:t>协商</w:t>
      </w:r>
      <w:r>
        <w:rPr>
          <w:rFonts w:asciiTheme="minorEastAsia" w:hAnsiTheme="minorEastAsia" w:eastAsiaTheme="minorEastAsia"/>
          <w:b/>
          <w:i/>
        </w:rPr>
        <w:t>、调解途径解决。</w:t>
      </w:r>
      <w:r>
        <w:rPr>
          <w:rFonts w:hint="eastAsia" w:asciiTheme="minorEastAsia" w:hAnsiTheme="minorEastAsia" w:eastAsiaTheme="minorEastAsia"/>
          <w:b/>
          <w:i/>
        </w:rPr>
        <w:t>如经</w:t>
      </w:r>
      <w:r>
        <w:rPr>
          <w:rFonts w:asciiTheme="minorEastAsia" w:hAnsiTheme="minorEastAsia" w:eastAsiaTheme="minorEastAsia"/>
          <w:b/>
          <w:i/>
        </w:rPr>
        <w:t>协商、调解</w:t>
      </w:r>
      <w:r>
        <w:rPr>
          <w:rFonts w:hint="eastAsia" w:asciiTheme="minorEastAsia" w:hAnsiTheme="minorEastAsia" w:eastAsiaTheme="minorEastAsia"/>
          <w:b/>
          <w:i/>
        </w:rPr>
        <w:t>未能解决的，任何一方均有权将争议提交</w:t>
      </w:r>
      <w:r>
        <w:rPr>
          <w:rFonts w:asciiTheme="minorEastAsia" w:hAnsiTheme="minorEastAsia" w:eastAsiaTheme="minorEastAsia"/>
          <w:b/>
          <w:i/>
        </w:rPr>
        <w:t>深圳国际仲裁院（深圳仲裁委员会）</w:t>
      </w:r>
      <w:r>
        <w:rPr>
          <w:rFonts w:hint="eastAsia" w:asciiTheme="minorEastAsia" w:hAnsiTheme="minorEastAsia" w:eastAsiaTheme="minorEastAsia"/>
          <w:b/>
          <w:i/>
        </w:rPr>
        <w:t>，按照</w:t>
      </w:r>
      <w:r>
        <w:rPr>
          <w:rFonts w:asciiTheme="minorEastAsia" w:hAnsiTheme="minorEastAsia" w:eastAsiaTheme="minorEastAsia"/>
          <w:b/>
          <w:i/>
        </w:rPr>
        <w:t>深圳国际仲裁院（深圳仲裁委员会）</w:t>
      </w:r>
      <w:r>
        <w:rPr>
          <w:rFonts w:hint="eastAsia" w:asciiTheme="minorEastAsia" w:hAnsiTheme="minorEastAsia" w:eastAsiaTheme="minorEastAsia"/>
          <w:b/>
          <w:i/>
        </w:rPr>
        <w:t>届时有效的仲裁规则进行仲裁。仲裁地点为深圳市。仲裁裁决是终局的，对各方当事人均有约束力，除非仲裁裁决另有规定的，仲裁费由败诉方承担。</w:t>
      </w:r>
    </w:p>
    <w:p w14:paraId="25FC27CC">
      <w:pPr>
        <w:snapToGrid w:val="0"/>
        <w:spacing w:line="360" w:lineRule="auto"/>
        <w:ind w:firstLine="422" w:firstLineChars="200"/>
        <w:rPr>
          <w:rFonts w:asciiTheme="minorEastAsia" w:hAnsiTheme="minorEastAsia" w:eastAsiaTheme="minorEastAsia"/>
          <w:b/>
          <w:i/>
        </w:rPr>
      </w:pPr>
      <w:r>
        <w:rPr>
          <w:rFonts w:asciiTheme="minorEastAsia" w:hAnsiTheme="minorEastAsia" w:eastAsiaTheme="minorEastAsia"/>
          <w:b/>
          <w:i/>
        </w:rPr>
        <w:t>争议处理期间，</w:t>
      </w:r>
      <w:r>
        <w:rPr>
          <w:rFonts w:hint="eastAsia" w:asciiTheme="minorEastAsia" w:hAnsiTheme="minorEastAsia" w:eastAsiaTheme="minorEastAsia"/>
          <w:b/>
          <w:i/>
        </w:rPr>
        <w:t>基金</w:t>
      </w:r>
      <w:r>
        <w:rPr>
          <w:rFonts w:asciiTheme="minorEastAsia" w:hAnsiTheme="minorEastAsia" w:eastAsiaTheme="minorEastAsia"/>
          <w:b/>
          <w:i/>
        </w:rPr>
        <w:t>合同</w:t>
      </w:r>
      <w:r>
        <w:rPr>
          <w:rFonts w:hint="eastAsia" w:asciiTheme="minorEastAsia" w:hAnsiTheme="minorEastAsia" w:eastAsiaTheme="minorEastAsia"/>
          <w:b/>
          <w:i/>
        </w:rPr>
        <w:t>当事人</w:t>
      </w:r>
      <w:r>
        <w:rPr>
          <w:rFonts w:asciiTheme="minorEastAsia" w:hAnsiTheme="minorEastAsia" w:eastAsiaTheme="minorEastAsia"/>
          <w:b/>
          <w:i/>
        </w:rPr>
        <w:t>应恪守各自</w:t>
      </w:r>
      <w:r>
        <w:rPr>
          <w:rFonts w:hint="eastAsia" w:asciiTheme="minorEastAsia" w:hAnsiTheme="minorEastAsia" w:eastAsiaTheme="minorEastAsia"/>
          <w:b/>
          <w:i/>
        </w:rPr>
        <w:t>的</w:t>
      </w:r>
      <w:r>
        <w:rPr>
          <w:rFonts w:asciiTheme="minorEastAsia" w:hAnsiTheme="minorEastAsia" w:eastAsiaTheme="minorEastAsia"/>
          <w:b/>
          <w:i/>
        </w:rPr>
        <w:t>职责，继续忠实、勤勉、尽责地履行基金合同规定</w:t>
      </w:r>
      <w:r>
        <w:rPr>
          <w:rFonts w:hint="eastAsia" w:asciiTheme="minorEastAsia" w:hAnsiTheme="minorEastAsia" w:eastAsiaTheme="minorEastAsia"/>
          <w:b/>
          <w:i/>
        </w:rPr>
        <w:t>的</w:t>
      </w:r>
      <w:r>
        <w:rPr>
          <w:rFonts w:asciiTheme="minorEastAsia" w:hAnsiTheme="minorEastAsia" w:eastAsiaTheme="minorEastAsia"/>
          <w:b/>
          <w:i/>
        </w:rPr>
        <w:t>义务，维护基金份额持有人</w:t>
      </w:r>
      <w:r>
        <w:rPr>
          <w:rFonts w:hint="eastAsia" w:asciiTheme="minorEastAsia" w:hAnsiTheme="minorEastAsia" w:eastAsiaTheme="minorEastAsia"/>
          <w:b/>
          <w:i/>
        </w:rPr>
        <w:t>的</w:t>
      </w:r>
      <w:r>
        <w:rPr>
          <w:rFonts w:asciiTheme="minorEastAsia" w:hAnsiTheme="minorEastAsia" w:eastAsiaTheme="minorEastAsia"/>
          <w:b/>
          <w:i/>
        </w:rPr>
        <w:t>合法权益。</w:t>
      </w:r>
    </w:p>
    <w:p w14:paraId="21EDD2AE">
      <w:pPr>
        <w:snapToGrid w:val="0"/>
        <w:spacing w:line="360" w:lineRule="auto"/>
        <w:ind w:firstLine="422"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eastAsiaTheme="minorEastAsia"/>
          <w:b/>
          <w:i/>
        </w:rPr>
        <w:t>本基金合同受中国法律（为本基金合同之目的，在此不包括香港、澳门特别行政区法律和台湾地区的有关规定）管辖并从其解释。</w:t>
      </w:r>
    </w:p>
    <w:bookmarkEnd w:id="555"/>
    <w:p w14:paraId="1CE2E3DE">
      <w:pPr>
        <w:pStyle w:val="2"/>
        <w:sectPr>
          <w:footerReference r:id="rId30" w:type="default"/>
          <w:pgSz w:w="11906" w:h="16838"/>
          <w:pgMar w:top="1440" w:right="1800" w:bottom="1440" w:left="1800" w:header="851" w:footer="992" w:gutter="0"/>
          <w:pgNumType w:start="1"/>
          <w:cols w:space="425" w:num="1"/>
          <w:docGrid w:type="lines" w:linePitch="312" w:charSpace="0"/>
        </w:sectPr>
      </w:pPr>
      <w:bookmarkStart w:id="556" w:name="_Toc141703903"/>
      <w:bookmarkStart w:id="557" w:name="_Toc28690"/>
      <w:bookmarkStart w:id="558" w:name="_Toc23991"/>
      <w:bookmarkStart w:id="559" w:name="_Toc123102469"/>
      <w:bookmarkStart w:id="560" w:name="_Toc31966"/>
      <w:bookmarkStart w:id="561" w:name="_Toc8454"/>
      <w:bookmarkStart w:id="562" w:name="_Toc29505"/>
      <w:bookmarkStart w:id="563" w:name="_Toc139991752"/>
      <w:bookmarkStart w:id="564" w:name="_Toc11618"/>
      <w:bookmarkStart w:id="565" w:name="_Toc8703"/>
      <w:bookmarkStart w:id="566" w:name="_Toc2532"/>
      <w:bookmarkStart w:id="567" w:name="_Toc123051468"/>
      <w:bookmarkStart w:id="568" w:name="_Toc26461"/>
      <w:bookmarkStart w:id="569" w:name="_Toc484"/>
      <w:bookmarkStart w:id="570" w:name="_Toc20350"/>
      <w:bookmarkStart w:id="571" w:name="_Toc123112250"/>
    </w:p>
    <w:p w14:paraId="33C35EAD">
      <w:pPr>
        <w:pStyle w:val="2"/>
      </w:pPr>
      <w:bookmarkStart w:id="572" w:name="CTS_e0293bcfa4544bac8a39c99acec0c0b6"/>
      <w:bookmarkEnd w:id="572"/>
      <w:bookmarkStart w:id="573" w:name="_Toc31896"/>
      <w:bookmarkStart w:id="574" w:name="CLAUSE_e0293bcfa4544bac8a39c99acec0c0b6"/>
      <w:r>
        <w:rPr>
          <w:rFonts w:hint="eastAsia" w:cs="Arial"/>
        </w:rPr>
        <w:t>第二十四</w:t>
      </w:r>
      <w:r>
        <w:rPr>
          <w:rFonts w:hint="eastAsia"/>
        </w:rPr>
        <w:t>部分 基金合同的效力</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3"/>
    </w:p>
    <w:p w14:paraId="3A67C3B0">
      <w:pPr>
        <w:snapToGrid w:val="0"/>
        <w:spacing w:line="360" w:lineRule="auto"/>
        <w:ind w:firstLine="420" w:firstLineChars="200"/>
        <w:rPr>
          <w:rFonts w:asciiTheme="minorEastAsia" w:hAnsiTheme="minorEastAsia"/>
        </w:rPr>
      </w:pPr>
    </w:p>
    <w:p w14:paraId="1088E642">
      <w:pPr>
        <w:snapToGrid w:val="0"/>
        <w:spacing w:line="360" w:lineRule="auto"/>
        <w:ind w:firstLine="420" w:firstLineChars="200"/>
        <w:rPr>
          <w:rFonts w:asciiTheme="minorEastAsia" w:hAnsiTheme="minorEastAsia"/>
        </w:rPr>
      </w:pPr>
      <w:r>
        <w:rPr>
          <w:rFonts w:asciiTheme="minorEastAsia" w:hAnsiTheme="minorEastAsia" w:eastAsiaTheme="minorEastAsia"/>
        </w:rPr>
        <w:t>基金合同</w:t>
      </w:r>
      <w:r>
        <w:rPr>
          <w:rFonts w:hint="eastAsia" w:asciiTheme="minorEastAsia" w:hAnsiTheme="minorEastAsia"/>
        </w:rPr>
        <w:t>是约定基金合同当事人之间权利义务关系的法律文件。</w:t>
      </w:r>
    </w:p>
    <w:p w14:paraId="1AA2C562">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（一）</w:t>
      </w:r>
      <w:r>
        <w:rPr>
          <w:rFonts w:hint="eastAsia" w:asciiTheme="minorEastAsia" w:hAnsiTheme="minorEastAsia"/>
        </w:rPr>
        <w:t>《基金合同》经基金管理人、基金托管人双方盖章以及双方法定代表人或授权代表签字或</w:t>
      </w:r>
      <w:r>
        <w:rPr>
          <w:rFonts w:hint="eastAsia" w:asciiTheme="minorEastAsia" w:hAnsiTheme="minorEastAsia" w:eastAsiaTheme="minorEastAsia"/>
        </w:rPr>
        <w:t>签章</w:t>
      </w:r>
      <w:r>
        <w:rPr>
          <w:rFonts w:hint="eastAsia" w:asciiTheme="minorEastAsia" w:hAnsiTheme="minorEastAsia"/>
        </w:rPr>
        <w:t>并在募集结束后经基金管理人向中国证监会办理基金备案手续，并经中国证监会书面确认后生效。</w:t>
      </w:r>
    </w:p>
    <w:p w14:paraId="75BE56F5">
      <w:pPr>
        <w:snapToGrid w:val="0"/>
        <w:spacing w:line="360" w:lineRule="auto"/>
        <w:ind w:firstLine="420" w:firstLineChars="200"/>
        <w:rPr>
          <w:rFonts w:asciiTheme="minorEastAsia" w:hAnsiTheme="minorEastAsia"/>
        </w:rPr>
      </w:pPr>
      <w:r>
        <w:rPr>
          <w:rFonts w:hint="eastAsia" w:asciiTheme="minorEastAsia" w:hAnsiTheme="minorEastAsia" w:eastAsiaTheme="minorEastAsia"/>
        </w:rPr>
        <w:t>（二）</w:t>
      </w:r>
      <w:r>
        <w:rPr>
          <w:rFonts w:hint="eastAsia" w:asciiTheme="minorEastAsia" w:hAnsiTheme="minorEastAsia"/>
        </w:rPr>
        <w:t>《基金合同》的有效期自其生效之日起至基金财产清算结果报中国证监会备案并公告之日止。</w:t>
      </w:r>
    </w:p>
    <w:p w14:paraId="2E754EB0">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（三）</w:t>
      </w:r>
      <w:r>
        <w:rPr>
          <w:rFonts w:asciiTheme="minorEastAsia" w:hAnsiTheme="minorEastAsia" w:eastAsiaTheme="minorEastAsia"/>
        </w:rPr>
        <w:t>本基金合同</w:t>
      </w:r>
      <w:r>
        <w:rPr>
          <w:rFonts w:hint="eastAsia" w:asciiTheme="minorEastAsia" w:hAnsiTheme="minorEastAsia" w:eastAsiaTheme="minorEastAsia"/>
        </w:rPr>
        <w:t>自生效之日起对包括基金管理人、基金托管人和基金份额持有人在内的</w:t>
      </w:r>
      <w:r>
        <w:rPr>
          <w:rFonts w:asciiTheme="minorEastAsia" w:hAnsiTheme="minorEastAsia" w:eastAsiaTheme="minorEastAsia"/>
        </w:rPr>
        <w:t>基金合同</w:t>
      </w:r>
      <w:r>
        <w:rPr>
          <w:rFonts w:hint="eastAsia" w:asciiTheme="minorEastAsia" w:hAnsiTheme="minorEastAsia" w:eastAsiaTheme="minorEastAsia"/>
        </w:rPr>
        <w:t>各方当事人具有同等的法律约束力。</w:t>
      </w:r>
    </w:p>
    <w:p w14:paraId="4111C588">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（四）《基金合同》正本一式三份，除上报有关监管机构一份外，基金管理人、基金托管人各持有一份，每份具有同等的法律效力。</w:t>
      </w:r>
    </w:p>
    <w:p w14:paraId="15169212">
      <w:pPr>
        <w:snapToGrid w:val="0"/>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（五）</w:t>
      </w:r>
      <w:r>
        <w:rPr>
          <w:rFonts w:asciiTheme="minorEastAsia" w:hAnsiTheme="minorEastAsia" w:eastAsiaTheme="minorEastAsia"/>
        </w:rPr>
        <w:t>本基金合同</w:t>
      </w:r>
      <w:r>
        <w:rPr>
          <w:rFonts w:hint="eastAsia" w:asciiTheme="minorEastAsia" w:hAnsiTheme="minorEastAsia" w:eastAsiaTheme="minorEastAsia"/>
        </w:rPr>
        <w:t>可印制成册，供</w:t>
      </w:r>
      <w:r>
        <w:rPr>
          <w:rFonts w:asciiTheme="minorEastAsia" w:hAnsiTheme="minorEastAsia" w:eastAsiaTheme="minorEastAsia"/>
        </w:rPr>
        <w:t>投资人</w:t>
      </w:r>
      <w:r>
        <w:rPr>
          <w:rFonts w:hint="eastAsia" w:asciiTheme="minorEastAsia" w:hAnsiTheme="minorEastAsia" w:eastAsiaTheme="minorEastAsia"/>
        </w:rPr>
        <w:t>在基金管理人、基金托管人、</w:t>
      </w:r>
      <w:r>
        <w:rPr>
          <w:rFonts w:asciiTheme="minorEastAsia" w:hAnsiTheme="minorEastAsia" w:eastAsiaTheme="minorEastAsia"/>
        </w:rPr>
        <w:t>代销</w:t>
      </w:r>
      <w:r>
        <w:rPr>
          <w:rFonts w:hint="eastAsia" w:asciiTheme="minorEastAsia" w:hAnsiTheme="minorEastAsia" w:eastAsiaTheme="minorEastAsia"/>
        </w:rPr>
        <w:t>机构</w:t>
      </w:r>
      <w:r>
        <w:rPr>
          <w:rFonts w:asciiTheme="minorEastAsia" w:hAnsiTheme="minorEastAsia" w:eastAsiaTheme="minorEastAsia"/>
        </w:rPr>
        <w:t>和登记机构</w:t>
      </w:r>
      <w:r>
        <w:rPr>
          <w:rFonts w:hint="eastAsia" w:asciiTheme="minorEastAsia" w:hAnsiTheme="minorEastAsia" w:eastAsiaTheme="minorEastAsia"/>
        </w:rPr>
        <w:t>办公场所查阅。</w:t>
      </w:r>
    </w:p>
    <w:p w14:paraId="363667F8">
      <w:pPr>
        <w:adjustRightInd w:val="0"/>
        <w:snapToGrid w:val="0"/>
        <w:spacing w:line="360" w:lineRule="auto"/>
        <w:rPr>
          <w:rFonts w:cs="Arial" w:asciiTheme="minorEastAsia" w:hAnsiTheme="minorEastAsia" w:eastAsiaTheme="minorEastAsia"/>
          <w:color w:val="0D0D0D" w:themeColor="text1" w:themeTint="F2"/>
          <w:szCs w:val="21"/>
          <w14:textFill>
            <w14:solidFill>
              <w14:schemeClr w14:val="tx1">
                <w14:lumMod w14:val="95000"/>
                <w14:lumOff w14:val="5000"/>
              </w14:schemeClr>
            </w14:solidFill>
          </w14:textFill>
        </w:rPr>
      </w:pPr>
    </w:p>
    <w:bookmarkEnd w:id="574"/>
    <w:p w14:paraId="6D318EA6">
      <w:pPr>
        <w:pStyle w:val="2"/>
        <w:sectPr>
          <w:footerReference r:id="rId31" w:type="default"/>
          <w:pgSz w:w="11906" w:h="16838"/>
          <w:pgMar w:top="1440" w:right="1800" w:bottom="1440" w:left="1800" w:header="851" w:footer="992" w:gutter="0"/>
          <w:pgNumType w:start="1"/>
          <w:cols w:space="425" w:num="1"/>
          <w:docGrid w:type="lines" w:linePitch="312" w:charSpace="0"/>
        </w:sectPr>
      </w:pPr>
    </w:p>
    <w:p w14:paraId="1286B4D9">
      <w:pPr>
        <w:pStyle w:val="2"/>
      </w:pPr>
      <w:bookmarkStart w:id="575" w:name="CTS_0467a38cd9ce462381256d127af2578b"/>
      <w:bookmarkEnd w:id="575"/>
      <w:bookmarkStart w:id="576" w:name="_Toc31175"/>
      <w:bookmarkStart w:id="577" w:name="CLAUSE_0467a38cd9ce462381256d127af2578b"/>
      <w:r>
        <w:rPr>
          <w:rFonts w:hint="eastAsia" w:cs="Arial"/>
        </w:rPr>
        <w:t xml:space="preserve">第二十五部分 </w:t>
      </w:r>
      <w:r>
        <w:t>其他事项</w:t>
      </w:r>
      <w:bookmarkEnd w:id="576"/>
    </w:p>
    <w:p w14:paraId="022D361E">
      <w:pPr>
        <w:snapToGrid w:val="0"/>
        <w:spacing w:line="360" w:lineRule="auto"/>
        <w:ind w:firstLine="420" w:firstLineChars="200"/>
        <w:rPr>
          <w:rFonts w:asciiTheme="minorEastAsia" w:hAnsiTheme="minorEastAsia" w:eastAsiaTheme="minorEastAsia"/>
        </w:rPr>
      </w:pPr>
    </w:p>
    <w:p w14:paraId="1C6EF57A">
      <w:pPr>
        <w:snapToGrid w:val="0"/>
        <w:spacing w:line="360" w:lineRule="auto"/>
        <w:ind w:firstLine="420" w:firstLineChars="200"/>
        <w:rPr>
          <w:rFonts w:asciiTheme="minorEastAsia" w:hAnsiTheme="minorEastAsia" w:eastAsiaTheme="minorEastAsia"/>
        </w:rPr>
      </w:pPr>
      <w:r>
        <w:rPr>
          <w:rFonts w:asciiTheme="minorEastAsia" w:hAnsiTheme="minorEastAsia" w:eastAsiaTheme="minorEastAsia"/>
        </w:rPr>
        <w:t>本基金合同如有未尽事宜，由本基金合同当事人各方按有关法律法规和规定协商解决。</w:t>
      </w:r>
    </w:p>
    <w:p w14:paraId="43EA520F">
      <w:pPr>
        <w:widowControl/>
        <w:adjustRightInd w:val="0"/>
        <w:snapToGrid w:val="0"/>
        <w:spacing w:line="360" w:lineRule="auto"/>
        <w:ind w:firstLine="420"/>
        <w:jc w:val="left"/>
        <w:rPr>
          <w:rFonts w:asciiTheme="minorEastAsia" w:hAnsiTheme="minorEastAsia" w:eastAsiaTheme="minorEastAsia"/>
          <w:color w:val="0D0D0D" w:themeColor="text1" w:themeTint="F2"/>
          <w14:textFill>
            <w14:solidFill>
              <w14:schemeClr w14:val="tx1">
                <w14:lumMod w14:val="95000"/>
                <w14:lumOff w14:val="5000"/>
              </w14:schemeClr>
            </w14:solidFill>
          </w14:textFill>
        </w:rPr>
      </w:pPr>
      <w:bookmarkStart w:id="578" w:name="_Hlt70506133"/>
      <w:bookmarkEnd w:id="578"/>
    </w:p>
    <w:p w14:paraId="5778E634">
      <w:pPr>
        <w:pStyle w:val="2"/>
        <w:numPr>
          <w:ilvl w:val="0"/>
          <w:numId w:val="0"/>
        </w:numPr>
        <w:sectPr>
          <w:footerReference r:id="rId32" w:type="default"/>
          <w:pgSz w:w="11906" w:h="16838"/>
          <w:pgMar w:top="1440" w:right="1800" w:bottom="1440" w:left="1800" w:header="851" w:footer="992" w:gutter="0"/>
          <w:pgNumType w:start="1"/>
          <w:cols w:space="425" w:num="1"/>
          <w:docGrid w:type="lines" w:linePitch="312" w:charSpace="0"/>
        </w:sectPr>
      </w:pPr>
      <w:bookmarkStart w:id="579" w:name="_Toc141703905"/>
      <w:bookmarkStart w:id="580" w:name="_Toc12499"/>
      <w:bookmarkStart w:id="581" w:name="_Toc9054"/>
      <w:bookmarkStart w:id="582" w:name="_Toc17263"/>
      <w:bookmarkStart w:id="583" w:name="_Toc15664"/>
      <w:bookmarkStart w:id="584" w:name="_Toc7437"/>
      <w:bookmarkStart w:id="585" w:name="_Toc15045"/>
      <w:bookmarkStart w:id="586" w:name="_Toc32355"/>
      <w:bookmarkStart w:id="587" w:name="_Toc20098"/>
      <w:bookmarkStart w:id="588" w:name="_Toc5108"/>
      <w:bookmarkStart w:id="589" w:name="_Toc1360"/>
      <w:bookmarkStart w:id="590" w:name="_Toc21122"/>
    </w:p>
    <w:bookmarkEnd w:id="79"/>
    <w:bookmarkEnd w:id="80"/>
    <w:bookmarkEnd w:id="577"/>
    <w:bookmarkEnd w:id="579"/>
    <w:bookmarkEnd w:id="580"/>
    <w:bookmarkEnd w:id="581"/>
    <w:bookmarkEnd w:id="582"/>
    <w:bookmarkEnd w:id="583"/>
    <w:bookmarkEnd w:id="584"/>
    <w:bookmarkEnd w:id="585"/>
    <w:bookmarkEnd w:id="586"/>
    <w:bookmarkEnd w:id="587"/>
    <w:bookmarkEnd w:id="588"/>
    <w:bookmarkEnd w:id="589"/>
    <w:bookmarkEnd w:id="590"/>
    <w:p w14:paraId="2170E652">
      <w:pPr>
        <w:pStyle w:val="2"/>
      </w:pPr>
      <w:bookmarkStart w:id="591" w:name="CTS_29082ad408584f21b84b12a25e49a578"/>
      <w:bookmarkEnd w:id="591"/>
      <w:bookmarkStart w:id="592" w:name="CTS_b2b4391577a34bfdb54a83ce825656c0"/>
      <w:bookmarkEnd w:id="592"/>
      <w:bookmarkStart w:id="593" w:name="_Toc5735"/>
      <w:bookmarkStart w:id="594" w:name="CLAUSE_29082ad408584f21b84b12a25e49a578"/>
      <w:r>
        <w:rPr>
          <w:rFonts w:hint="eastAsia"/>
        </w:rPr>
        <w:t>第二十六部分 基金合同摘要</w:t>
      </w:r>
      <w:bookmarkEnd w:id="593"/>
    </w:p>
    <w:p w14:paraId="0D03595F">
      <w:pPr>
        <w:snapToGrid w:val="0"/>
        <w:spacing w:before="120" w:beforeLines="50" w:line="360" w:lineRule="auto"/>
        <w:ind w:firstLine="420" w:firstLineChars="200"/>
        <w:rPr>
          <w:rFonts w:ascii="宋体" w:hAnsi="宋体" w:eastAsia="宋体"/>
        </w:rPr>
      </w:pPr>
      <w:r>
        <w:rPr>
          <w:rFonts w:hint="eastAsia" w:ascii="宋体" w:hAnsi="宋体" w:eastAsia="宋体"/>
        </w:rPr>
        <w:t>一、基金份额持有人、基金管理人和基金托管人的权利、义务</w:t>
      </w:r>
    </w:p>
    <w:p w14:paraId="624EC39E">
      <w:pPr>
        <w:snapToGrid w:val="0"/>
        <w:spacing w:line="360" w:lineRule="auto"/>
        <w:ind w:firstLine="420" w:firstLineChars="200"/>
        <w:rPr>
          <w:rFonts w:ascii="宋体" w:hAnsi="宋体"/>
          <w:color w:val="0C0C0C"/>
        </w:rPr>
      </w:pPr>
      <w:r>
        <w:rPr>
          <w:rFonts w:hint="eastAsia" w:ascii="宋体" w:hAnsi="宋体" w:eastAsia="宋体"/>
        </w:rPr>
        <w:t>（一）基金份额持有人的权利与义务</w:t>
      </w:r>
    </w:p>
    <w:p w14:paraId="114B1B99">
      <w:pPr>
        <w:adjustRightInd w:val="0"/>
        <w:snapToGrid w:val="0"/>
        <w:spacing w:line="360" w:lineRule="auto"/>
        <w:ind w:firstLine="420" w:firstLineChars="200"/>
        <w:rPr>
          <w:rFonts w:ascii="宋体" w:hAnsi="宋体"/>
          <w:color w:val="0C0C0C"/>
        </w:rPr>
      </w:pPr>
      <w:r>
        <w:rPr>
          <w:rFonts w:hint="eastAsia" w:ascii="宋体" w:hAnsi="宋体"/>
          <w:color w:val="0C0C0C"/>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243EA702">
      <w:pPr>
        <w:adjustRightInd w:val="0"/>
        <w:snapToGrid w:val="0"/>
        <w:spacing w:line="360" w:lineRule="auto"/>
        <w:ind w:firstLine="420" w:firstLineChars="200"/>
        <w:rPr>
          <w:rFonts w:ascii="宋体" w:hAnsi="宋体"/>
          <w:color w:val="0C0C0C"/>
        </w:rPr>
      </w:pPr>
      <w:r>
        <w:rPr>
          <w:rFonts w:hint="eastAsia" w:ascii="宋体" w:hAnsi="宋体"/>
          <w:color w:val="0C0C0C"/>
        </w:rPr>
        <w:t>每份基金份额具有同等的合法权益。</w:t>
      </w:r>
    </w:p>
    <w:p w14:paraId="2D467313">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、根据《基金法》、《运作办法》及其他有关规定，基金份额持有人的权利包括但不限于：</w:t>
      </w:r>
    </w:p>
    <w:p w14:paraId="3355F9DD">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）分享基金财产收益；</w:t>
      </w:r>
    </w:p>
    <w:p w14:paraId="54BAB69D">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w:t>
      </w:r>
      <w:r>
        <w:rPr>
          <w:rFonts w:hint="eastAsia" w:ascii="宋体" w:hAnsi="宋体"/>
          <w:color w:val="0C0C0C"/>
        </w:rPr>
        <w:t>）参与分配清算后的剩余基金财产；</w:t>
      </w:r>
    </w:p>
    <w:p w14:paraId="2937DA0A">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3</w:t>
      </w:r>
      <w:r>
        <w:rPr>
          <w:rFonts w:hint="eastAsia" w:ascii="宋体" w:hAnsi="宋体"/>
          <w:color w:val="0C0C0C"/>
        </w:rPr>
        <w:t>）依法转让或者申请赎回其持有的基金份额；</w:t>
      </w:r>
    </w:p>
    <w:p w14:paraId="16542C49">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4</w:t>
      </w:r>
      <w:r>
        <w:rPr>
          <w:rFonts w:hint="eastAsia" w:ascii="宋体" w:hAnsi="宋体"/>
          <w:color w:val="0C0C0C"/>
        </w:rPr>
        <w:t>）按照规定要求召开基金份额持有人大会或者召集基金份额持有人大会；</w:t>
      </w:r>
    </w:p>
    <w:p w14:paraId="6863EB16">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5</w:t>
      </w:r>
      <w:r>
        <w:rPr>
          <w:rFonts w:hint="eastAsia" w:ascii="宋体" w:hAnsi="宋体"/>
          <w:color w:val="0C0C0C"/>
        </w:rPr>
        <w:t>）出席或者委派代表出席基金份额持有人大会，对基金份额持有人大会审议事项行使表决权；</w:t>
      </w:r>
    </w:p>
    <w:p w14:paraId="620A6F66">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6</w:t>
      </w:r>
      <w:r>
        <w:rPr>
          <w:rFonts w:hint="eastAsia" w:ascii="宋体" w:hAnsi="宋体"/>
          <w:color w:val="0C0C0C"/>
        </w:rPr>
        <w:t>）查阅或者复制公开披露的基金信息资料；</w:t>
      </w:r>
    </w:p>
    <w:p w14:paraId="495AB602">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7</w:t>
      </w:r>
      <w:r>
        <w:rPr>
          <w:rFonts w:hint="eastAsia" w:ascii="宋体" w:hAnsi="宋体"/>
          <w:color w:val="0C0C0C"/>
        </w:rPr>
        <w:t>）监督基金管理人的投资运作；</w:t>
      </w:r>
    </w:p>
    <w:p w14:paraId="0AA79E55">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8</w:t>
      </w:r>
      <w:r>
        <w:rPr>
          <w:rFonts w:hint="eastAsia" w:ascii="宋体" w:hAnsi="宋体"/>
          <w:color w:val="0C0C0C"/>
        </w:rPr>
        <w:t>）对基金管理人、基金托管人、基金服务机构损害其合法权益的行为依法提起诉讼或仲裁；</w:t>
      </w:r>
    </w:p>
    <w:p w14:paraId="6815BE53">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9</w:t>
      </w:r>
      <w:r>
        <w:rPr>
          <w:rFonts w:hint="eastAsia" w:ascii="宋体" w:hAnsi="宋体"/>
          <w:color w:val="0C0C0C"/>
        </w:rPr>
        <w:t>）法律法规及中国证监会规定的和《基金合同》约定的其他权利。</w:t>
      </w:r>
    </w:p>
    <w:p w14:paraId="11224D0F">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、根据《基金法》、《运作办法》及其他有关规定，基金份额持有人的义务包括但不限于：</w:t>
      </w:r>
    </w:p>
    <w:p w14:paraId="5D1BA312">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）认真阅读并遵守《基金合同》</w:t>
      </w:r>
      <w:r>
        <w:rPr>
          <w:rFonts w:hint="eastAsia" w:ascii="宋体" w:hAnsi="宋体" w:eastAsia="宋体"/>
          <w:color w:val="0C0C0C"/>
        </w:rPr>
        <w:t>、</w:t>
      </w:r>
      <w:r>
        <w:rPr>
          <w:rFonts w:hint="eastAsia" w:ascii="宋体" w:hAnsi="宋体" w:eastAsia="宋体" w:cs="Arial"/>
          <w:color w:val="0C0C0C"/>
          <w:szCs w:val="21"/>
        </w:rPr>
        <w:t>招募说明书及基金产品资料概要等信息披露文件</w:t>
      </w:r>
      <w:r>
        <w:rPr>
          <w:rFonts w:hint="eastAsia" w:ascii="宋体" w:hAnsi="宋体"/>
          <w:color w:val="0C0C0C"/>
        </w:rPr>
        <w:t>；</w:t>
      </w:r>
    </w:p>
    <w:p w14:paraId="7DBAFC7E">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w:t>
      </w:r>
      <w:r>
        <w:rPr>
          <w:rFonts w:hint="eastAsia" w:ascii="宋体" w:hAnsi="宋体"/>
          <w:color w:val="0C0C0C"/>
        </w:rPr>
        <w:t>）了解所投资基金产品，了解自身风险承受能力，自主判断基金的投资价值，自主做出投资决策，自行承担投资风险；</w:t>
      </w:r>
    </w:p>
    <w:p w14:paraId="422F37D4">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3</w:t>
      </w:r>
      <w:r>
        <w:rPr>
          <w:rFonts w:hint="eastAsia" w:ascii="宋体" w:hAnsi="宋体"/>
          <w:color w:val="0C0C0C"/>
        </w:rPr>
        <w:t>）关注基金信息披露，及时行使权利和履行义务；</w:t>
      </w:r>
    </w:p>
    <w:p w14:paraId="1A7DF39C">
      <w:pPr>
        <w:adjustRightInd w:val="0"/>
        <w:snapToGrid w:val="0"/>
        <w:spacing w:line="360" w:lineRule="auto"/>
        <w:ind w:firstLine="420" w:firstLineChars="200"/>
        <w:rPr>
          <w:rFonts w:ascii="宋体" w:hAnsi="宋体"/>
        </w:rPr>
      </w:pPr>
      <w:r>
        <w:rPr>
          <w:rFonts w:hint="eastAsia" w:ascii="宋体" w:hAnsi="宋体"/>
        </w:rPr>
        <w:t>（4）交纳基金认购</w:t>
      </w:r>
      <w:r>
        <w:rPr>
          <w:rFonts w:hint="eastAsia" w:ascii="宋体" w:hAnsi="宋体" w:eastAsia="宋体"/>
        </w:rPr>
        <w:t>款项</w:t>
      </w:r>
      <w:r>
        <w:rPr>
          <w:rFonts w:hint="eastAsia" w:ascii="宋体" w:hAnsi="宋体"/>
        </w:rPr>
        <w:t>、申购</w:t>
      </w:r>
      <w:r>
        <w:rPr>
          <w:rFonts w:hint="eastAsia" w:ascii="宋体" w:hAnsi="宋体" w:eastAsia="宋体"/>
        </w:rPr>
        <w:t>对价</w:t>
      </w:r>
      <w:r>
        <w:rPr>
          <w:rFonts w:hint="eastAsia" w:ascii="宋体" w:hAnsi="宋体"/>
        </w:rPr>
        <w:t>及法律法规和《基金合同》所规定的费用；</w:t>
      </w:r>
    </w:p>
    <w:p w14:paraId="41C58958">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5</w:t>
      </w:r>
      <w:r>
        <w:rPr>
          <w:rFonts w:hint="eastAsia" w:ascii="宋体" w:hAnsi="宋体"/>
          <w:color w:val="0C0C0C"/>
        </w:rPr>
        <w:t>）在其持有的基金份额范围内，承担基金亏损或者《基金合同》终止的有限责任；</w:t>
      </w:r>
    </w:p>
    <w:p w14:paraId="5809D226">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6</w:t>
      </w:r>
      <w:r>
        <w:rPr>
          <w:rFonts w:hint="eastAsia" w:ascii="宋体" w:hAnsi="宋体"/>
          <w:color w:val="0C0C0C"/>
        </w:rPr>
        <w:t>）不从事任何有损基金及其他《基金合同》当事人合法权益的活动；</w:t>
      </w:r>
    </w:p>
    <w:p w14:paraId="6C5821FC">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7</w:t>
      </w:r>
      <w:r>
        <w:rPr>
          <w:rFonts w:hint="eastAsia" w:ascii="宋体" w:hAnsi="宋体"/>
          <w:color w:val="0C0C0C"/>
        </w:rPr>
        <w:t>）执行生效的基金份额持有人大会的</w:t>
      </w:r>
      <w:r>
        <w:rPr>
          <w:rFonts w:hint="eastAsia" w:ascii="宋体" w:hAnsi="宋体" w:eastAsia="宋体" w:cs="Arial"/>
          <w:color w:val="0C0C0C"/>
          <w:szCs w:val="21"/>
        </w:rPr>
        <w:t>决议</w:t>
      </w:r>
      <w:r>
        <w:rPr>
          <w:rFonts w:hint="eastAsia" w:ascii="宋体" w:hAnsi="宋体"/>
          <w:color w:val="0C0C0C"/>
        </w:rPr>
        <w:t>；</w:t>
      </w:r>
    </w:p>
    <w:p w14:paraId="76FECEA7">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8</w:t>
      </w:r>
      <w:r>
        <w:rPr>
          <w:rFonts w:hint="eastAsia" w:ascii="宋体" w:hAnsi="宋体"/>
          <w:color w:val="0C0C0C"/>
        </w:rPr>
        <w:t>）返还在基金交易过程中因任何原因获得的不当得利；</w:t>
      </w:r>
    </w:p>
    <w:p w14:paraId="0C7AF374">
      <w:pPr>
        <w:snapToGrid w:val="0"/>
        <w:spacing w:line="360" w:lineRule="auto"/>
        <w:ind w:firstLine="420" w:firstLineChars="200"/>
        <w:rPr>
          <w:rFonts w:ascii="宋体" w:hAnsi="宋体" w:eastAsia="宋体"/>
        </w:rPr>
      </w:pPr>
      <w:r>
        <w:rPr>
          <w:rFonts w:hint="eastAsia" w:ascii="宋体" w:hAnsi="宋体"/>
          <w:color w:val="0C0C0C"/>
        </w:rPr>
        <w:t>（</w:t>
      </w:r>
      <w:r>
        <w:rPr>
          <w:rFonts w:ascii="宋体" w:hAnsi="宋体"/>
          <w:color w:val="0C0C0C"/>
        </w:rPr>
        <w:t>9</w:t>
      </w:r>
      <w:r>
        <w:rPr>
          <w:rFonts w:hint="eastAsia" w:ascii="宋体" w:hAnsi="宋体"/>
          <w:color w:val="0C0C0C"/>
        </w:rPr>
        <w:t>）法律法规及中国证监会规定的和《基金合同》约定的其他义务。</w:t>
      </w:r>
    </w:p>
    <w:p w14:paraId="6CDA3666">
      <w:pPr>
        <w:adjustRightInd w:val="0"/>
        <w:snapToGrid w:val="0"/>
        <w:spacing w:line="360" w:lineRule="auto"/>
        <w:ind w:firstLine="420" w:firstLineChars="200"/>
        <w:rPr>
          <w:rFonts w:ascii="宋体" w:hAnsi="宋体"/>
          <w:color w:val="0C0C0C"/>
        </w:rPr>
      </w:pPr>
      <w:r>
        <w:rPr>
          <w:rFonts w:hint="eastAsia" w:ascii="宋体" w:hAnsi="宋体"/>
          <w:color w:val="0C0C0C"/>
        </w:rPr>
        <w:t>（二）</w:t>
      </w:r>
      <w:r>
        <w:rPr>
          <w:rFonts w:ascii="宋体" w:hAnsi="宋体"/>
          <w:color w:val="0C0C0C"/>
        </w:rPr>
        <w:tab/>
      </w:r>
      <w:r>
        <w:rPr>
          <w:rFonts w:hint="eastAsia" w:ascii="宋体" w:hAnsi="宋体"/>
          <w:color w:val="0C0C0C"/>
        </w:rPr>
        <w:t>基金管理人的权利与义务</w:t>
      </w:r>
    </w:p>
    <w:p w14:paraId="30FBA7C9">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、根据《基金法》、《运作办法》及其他有关规定，基金管理人的权利包括但不限于：</w:t>
      </w:r>
    </w:p>
    <w:p w14:paraId="21F5B6CE">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）依法募集资金；</w:t>
      </w:r>
    </w:p>
    <w:p w14:paraId="611C27B8">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w:t>
      </w:r>
      <w:r>
        <w:rPr>
          <w:rFonts w:hint="eastAsia" w:ascii="宋体" w:hAnsi="宋体"/>
          <w:color w:val="0C0C0C"/>
        </w:rPr>
        <w:t>）自《基金合同》生效之日起，根据法律法规和《基金合同》独立运用并管理基金财产；</w:t>
      </w:r>
    </w:p>
    <w:p w14:paraId="41A02F27">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3</w:t>
      </w:r>
      <w:r>
        <w:rPr>
          <w:rFonts w:hint="eastAsia" w:ascii="宋体" w:hAnsi="宋体"/>
          <w:color w:val="0C0C0C"/>
        </w:rPr>
        <w:t>）依照《基金合同》收取基金管理费以及法律法规规定或中国证监会批准的其他费用；</w:t>
      </w:r>
    </w:p>
    <w:p w14:paraId="61F004C4">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4</w:t>
      </w:r>
      <w:r>
        <w:rPr>
          <w:rFonts w:hint="eastAsia" w:ascii="宋体" w:hAnsi="宋体"/>
          <w:color w:val="0C0C0C"/>
        </w:rPr>
        <w:t>）销售基金份额；</w:t>
      </w:r>
    </w:p>
    <w:p w14:paraId="07BFFA83">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5</w:t>
      </w:r>
      <w:r>
        <w:rPr>
          <w:rFonts w:hint="eastAsia" w:ascii="宋体" w:hAnsi="宋体"/>
          <w:color w:val="0C0C0C"/>
        </w:rPr>
        <w:t>）按照规定召集基金份额持有人大会；</w:t>
      </w:r>
    </w:p>
    <w:p w14:paraId="2C56A194">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6</w:t>
      </w:r>
      <w:r>
        <w:rPr>
          <w:rFonts w:hint="eastAsia" w:ascii="宋体" w:hAnsi="宋体"/>
          <w:color w:val="0C0C0C"/>
        </w:rPr>
        <w:t>）依据《基金合同》及有关法律规定监督基金托管人，如认为基金托管人违反了《基金合同》及国家有关法律规定，应呈报中国证监会和其他监管部门，并采取必要措施保护基金投资者的利益；</w:t>
      </w:r>
    </w:p>
    <w:p w14:paraId="4C64719B">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7</w:t>
      </w:r>
      <w:r>
        <w:rPr>
          <w:rFonts w:hint="eastAsia" w:ascii="宋体" w:hAnsi="宋体"/>
          <w:color w:val="0C0C0C"/>
        </w:rPr>
        <w:t>）在基金托管人更换时，提名新的基金托管人；</w:t>
      </w:r>
    </w:p>
    <w:p w14:paraId="1D42E3E3">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8</w:t>
      </w:r>
      <w:r>
        <w:rPr>
          <w:rFonts w:hint="eastAsia" w:ascii="宋体" w:hAnsi="宋体"/>
          <w:color w:val="0C0C0C"/>
        </w:rPr>
        <w:t>）选择、更换基金销售机构，对基金销售机构的相关行为进行监督和处理；</w:t>
      </w:r>
      <w:r>
        <w:rPr>
          <w:rFonts w:ascii="宋体" w:hAnsi="宋体"/>
          <w:color w:val="0C0C0C"/>
        </w:rPr>
        <w:t xml:space="preserve"> </w:t>
      </w:r>
    </w:p>
    <w:p w14:paraId="0147D233">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9</w:t>
      </w:r>
      <w:r>
        <w:rPr>
          <w:rFonts w:hint="eastAsia" w:ascii="宋体" w:hAnsi="宋体"/>
          <w:color w:val="0C0C0C"/>
        </w:rPr>
        <w:t>）担任或委托其他符合条件的机构担任基金登记机构办理基金登记业务并获得《基金合同》规定的费用；</w:t>
      </w:r>
      <w:r>
        <w:rPr>
          <w:rFonts w:ascii="宋体" w:hAnsi="宋体"/>
          <w:color w:val="0C0C0C"/>
        </w:rPr>
        <w:t xml:space="preserve"> </w:t>
      </w:r>
    </w:p>
    <w:p w14:paraId="3EFD4564">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10</w:t>
      </w:r>
      <w:r>
        <w:rPr>
          <w:rFonts w:hint="eastAsia" w:ascii="宋体" w:hAnsi="宋体"/>
          <w:color w:val="0C0C0C"/>
        </w:rPr>
        <w:t>）依据《基金合同》及有关法律规定决定基金收益的分配方案；</w:t>
      </w:r>
      <w:r>
        <w:rPr>
          <w:rFonts w:ascii="宋体" w:hAnsi="宋体"/>
          <w:color w:val="0C0C0C"/>
        </w:rPr>
        <w:tab/>
      </w:r>
    </w:p>
    <w:p w14:paraId="789FAD36">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11</w:t>
      </w:r>
      <w:r>
        <w:rPr>
          <w:rFonts w:hint="eastAsia" w:ascii="宋体" w:hAnsi="宋体"/>
          <w:color w:val="0C0C0C"/>
        </w:rPr>
        <w:t>）在《基金合同》约定的范围内，拒绝或暂停受理申购与赎回申请；</w:t>
      </w:r>
      <w:r>
        <w:rPr>
          <w:rFonts w:ascii="宋体" w:hAnsi="宋体"/>
          <w:color w:val="0C0C0C"/>
        </w:rPr>
        <w:t xml:space="preserve"> </w:t>
      </w:r>
    </w:p>
    <w:p w14:paraId="54453E67">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12</w:t>
      </w:r>
      <w:r>
        <w:rPr>
          <w:rFonts w:hint="eastAsia" w:ascii="宋体" w:hAnsi="宋体"/>
          <w:color w:val="0C0C0C"/>
        </w:rPr>
        <w:t>）依照法律法规为基金的利益对被投资公司行使股东权利，为基金的利益行使因基金财产投资于证券所产生的权利；</w:t>
      </w:r>
    </w:p>
    <w:p w14:paraId="507F834B">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13</w:t>
      </w:r>
      <w:r>
        <w:rPr>
          <w:rFonts w:hint="eastAsia" w:ascii="宋体" w:hAnsi="宋体"/>
          <w:color w:val="0C0C0C"/>
        </w:rPr>
        <w:t>）在法律法规允许的前提下，为基金的利益依法为基金进行融资</w:t>
      </w:r>
      <w:r>
        <w:rPr>
          <w:rFonts w:hint="eastAsia" w:ascii="宋体" w:hAnsi="宋体" w:eastAsia="宋体"/>
          <w:color w:val="0C0C0C"/>
        </w:rPr>
        <w:t>和转融通证券出借业务；</w:t>
      </w:r>
    </w:p>
    <w:p w14:paraId="71DF5035">
      <w:pPr>
        <w:adjustRightInd w:val="0"/>
        <w:snapToGrid w:val="0"/>
        <w:spacing w:line="360" w:lineRule="auto"/>
        <w:ind w:firstLine="420" w:firstLineChars="200"/>
        <w:rPr>
          <w:rFonts w:ascii="宋体" w:hAnsi="宋体"/>
          <w:color w:val="0C0C0C"/>
        </w:rPr>
      </w:pPr>
      <w:r>
        <w:rPr>
          <w:rFonts w:hint="eastAsia" w:ascii="宋体" w:hAnsi="宋体"/>
          <w:color w:val="0C0C0C"/>
        </w:rPr>
        <w:t>（1</w:t>
      </w:r>
      <w:r>
        <w:rPr>
          <w:rFonts w:ascii="宋体" w:hAnsi="宋体"/>
          <w:color w:val="0C0C0C"/>
        </w:rPr>
        <w:t>4</w:t>
      </w:r>
      <w:r>
        <w:rPr>
          <w:rFonts w:hint="eastAsia" w:ascii="宋体" w:hAnsi="宋体"/>
          <w:color w:val="0C0C0C"/>
        </w:rPr>
        <w:t>）以基金管理人的名义，代表基金份额持有人的利益行使诉讼权利或者实施其他法律行为；</w:t>
      </w:r>
      <w:r>
        <w:rPr>
          <w:rFonts w:ascii="宋体" w:hAnsi="宋体"/>
          <w:color w:val="0C0C0C"/>
        </w:rPr>
        <w:tab/>
      </w:r>
    </w:p>
    <w:p w14:paraId="7EE5CA79">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15</w:t>
      </w:r>
      <w:r>
        <w:rPr>
          <w:rFonts w:hint="eastAsia" w:ascii="宋体" w:hAnsi="宋体"/>
          <w:color w:val="0C0C0C"/>
        </w:rPr>
        <w:t>）选择、更换律师事务所、会计师事务所、</w:t>
      </w:r>
      <w:r>
        <w:rPr>
          <w:rFonts w:hint="eastAsia" w:ascii="宋体" w:hAnsi="宋体" w:eastAsia="宋体"/>
          <w:color w:val="0C0C0C"/>
        </w:rPr>
        <w:t>证券、期货经纪商</w:t>
      </w:r>
      <w:r>
        <w:rPr>
          <w:rFonts w:hint="eastAsia" w:ascii="宋体" w:hAnsi="宋体"/>
          <w:color w:val="0C0C0C"/>
        </w:rPr>
        <w:t>或其他为基金提供服务的外部机构；</w:t>
      </w:r>
      <w:r>
        <w:rPr>
          <w:rFonts w:ascii="宋体" w:hAnsi="宋体"/>
          <w:color w:val="0C0C0C"/>
        </w:rPr>
        <w:tab/>
      </w:r>
    </w:p>
    <w:p w14:paraId="12C10354">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16</w:t>
      </w:r>
      <w:r>
        <w:rPr>
          <w:rFonts w:hint="eastAsia" w:ascii="宋体" w:hAnsi="宋体"/>
          <w:color w:val="0C0C0C"/>
        </w:rPr>
        <w:t>）在符合有关法律、法规</w:t>
      </w:r>
      <w:r>
        <w:rPr>
          <w:rFonts w:hint="eastAsia" w:ascii="宋体" w:hAnsi="宋体" w:eastAsia="宋体"/>
          <w:color w:val="0C0C0C"/>
        </w:rPr>
        <w:t>、相关证券交易所及登记机构相关业务规则的规定及基金合同</w:t>
      </w:r>
      <w:r>
        <w:rPr>
          <w:rFonts w:hint="eastAsia" w:ascii="宋体" w:hAnsi="宋体"/>
          <w:color w:val="0C0C0C"/>
        </w:rPr>
        <w:t>的前提下，制订和调整有关基金认购、申购、赎回</w:t>
      </w:r>
      <w:r>
        <w:rPr>
          <w:rFonts w:hint="eastAsia" w:ascii="宋体" w:hAnsi="宋体" w:eastAsia="宋体" w:cs="Arial"/>
          <w:color w:val="0C0C0C"/>
          <w:szCs w:val="21"/>
        </w:rPr>
        <w:t>等</w:t>
      </w:r>
      <w:r>
        <w:rPr>
          <w:rFonts w:hint="eastAsia" w:ascii="宋体" w:hAnsi="宋体"/>
          <w:color w:val="0C0C0C"/>
        </w:rPr>
        <w:t>业务规则；</w:t>
      </w:r>
    </w:p>
    <w:p w14:paraId="4B38AD11">
      <w:pPr>
        <w:adjustRightInd w:val="0"/>
        <w:snapToGrid w:val="0"/>
        <w:spacing w:line="360" w:lineRule="auto"/>
        <w:ind w:firstLine="420" w:firstLineChars="200"/>
        <w:rPr>
          <w:rFonts w:ascii="宋体" w:hAnsi="宋体"/>
          <w:color w:val="0C0C0C"/>
        </w:rPr>
      </w:pPr>
      <w:r>
        <w:rPr>
          <w:rFonts w:hint="eastAsia" w:ascii="宋体" w:hAnsi="宋体" w:eastAsia="宋体"/>
          <w:color w:val="0C0C0C"/>
        </w:rPr>
        <w:t>（17）</w:t>
      </w:r>
      <w:r>
        <w:rPr>
          <w:rFonts w:hint="eastAsia" w:ascii="宋体" w:hAnsi="宋体"/>
          <w:color w:val="0C0C0C"/>
        </w:rPr>
        <w:t>法律法规及中国证监会规定的和《基金合同》约定的其他权利。</w:t>
      </w:r>
    </w:p>
    <w:p w14:paraId="422F0B96">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、根据《基金法》、《运作办法》及其他有关规定，基金管理人的义务包括但不限于：</w:t>
      </w:r>
    </w:p>
    <w:p w14:paraId="52CE59C2">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）依法募集资金，办理或者委托经中国证监会认定的其他机构代为办理基金份额的发售、申购、赎回和登记事宜；</w:t>
      </w:r>
    </w:p>
    <w:p w14:paraId="662CBD3A">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w:t>
      </w:r>
      <w:r>
        <w:rPr>
          <w:rFonts w:hint="eastAsia" w:ascii="宋体" w:hAnsi="宋体"/>
          <w:color w:val="0C0C0C"/>
        </w:rPr>
        <w:t>）办理基金备案手续；</w:t>
      </w:r>
    </w:p>
    <w:p w14:paraId="4F43E7B9">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3</w:t>
      </w:r>
      <w:r>
        <w:rPr>
          <w:rFonts w:hint="eastAsia" w:ascii="宋体" w:hAnsi="宋体"/>
          <w:color w:val="0C0C0C"/>
        </w:rPr>
        <w:t>）自《基金合同》生效之日起</w:t>
      </w:r>
      <w:r>
        <w:rPr>
          <w:rFonts w:hint="eastAsia" w:ascii="宋体" w:hAnsi="宋体" w:eastAsia="宋体" w:cs="Arial"/>
          <w:color w:val="0C0C0C"/>
          <w:szCs w:val="21"/>
        </w:rPr>
        <w:t>，</w:t>
      </w:r>
      <w:r>
        <w:rPr>
          <w:rFonts w:hint="eastAsia" w:ascii="宋体" w:hAnsi="宋体"/>
          <w:color w:val="0C0C0C"/>
        </w:rPr>
        <w:t>以诚实信用、谨慎勤勉的原则管理和运用基金财产；</w:t>
      </w:r>
    </w:p>
    <w:p w14:paraId="0378A3FB">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4</w:t>
      </w:r>
      <w:r>
        <w:rPr>
          <w:rFonts w:hint="eastAsia" w:ascii="宋体" w:hAnsi="宋体"/>
          <w:color w:val="0C0C0C"/>
        </w:rPr>
        <w:t>）配备足够的具有专业资格的人员进行基金投资分析、决策，以专业化的经营方式管理和运作基金财产；</w:t>
      </w:r>
    </w:p>
    <w:p w14:paraId="2642CEFA">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5</w:t>
      </w:r>
      <w:r>
        <w:rPr>
          <w:rFonts w:hint="eastAsia" w:ascii="宋体" w:hAnsi="宋体"/>
          <w:color w:val="0C0C0C"/>
        </w:rPr>
        <w:t>）建立健全内部风险控制、监察与稽核、财务管理及人事管理等制度，保证所管理的基金财产和基金管理人的财产相互独立</w:t>
      </w:r>
      <w:r>
        <w:rPr>
          <w:rFonts w:hint="eastAsia" w:ascii="宋体" w:hAnsi="宋体" w:eastAsia="宋体" w:cs="Arial"/>
          <w:color w:val="0C0C0C"/>
          <w:szCs w:val="21"/>
        </w:rPr>
        <w:t>，</w:t>
      </w:r>
      <w:r>
        <w:rPr>
          <w:rFonts w:hint="eastAsia" w:ascii="宋体" w:hAnsi="宋体"/>
          <w:color w:val="0C0C0C"/>
        </w:rPr>
        <w:t>对所管理的不同基金分别管理，分别记账，进行证券投资；</w:t>
      </w:r>
    </w:p>
    <w:p w14:paraId="08FA6D40">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6</w:t>
      </w:r>
      <w:r>
        <w:rPr>
          <w:rFonts w:hint="eastAsia" w:ascii="宋体" w:hAnsi="宋体"/>
          <w:color w:val="0C0C0C"/>
        </w:rPr>
        <w:t>）除依据《基金法》、《基金合同》及其他有关规定外</w:t>
      </w:r>
      <w:r>
        <w:rPr>
          <w:rFonts w:hint="eastAsia" w:ascii="宋体" w:hAnsi="宋体" w:eastAsia="宋体" w:cs="Arial"/>
          <w:color w:val="0C0C0C"/>
          <w:szCs w:val="21"/>
        </w:rPr>
        <w:t>，</w:t>
      </w:r>
      <w:r>
        <w:rPr>
          <w:rFonts w:hint="eastAsia" w:ascii="宋体" w:hAnsi="宋体"/>
          <w:color w:val="0C0C0C"/>
        </w:rPr>
        <w:t>不得利用基金财产为自己及任何第三人谋取利益，不得委托第三人运作基金财产；</w:t>
      </w:r>
    </w:p>
    <w:p w14:paraId="4F5CD5F1">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7</w:t>
      </w:r>
      <w:r>
        <w:rPr>
          <w:rFonts w:hint="eastAsia" w:ascii="宋体" w:hAnsi="宋体"/>
          <w:color w:val="0C0C0C"/>
        </w:rPr>
        <w:t>）依法接受基金托管人的监督；</w:t>
      </w:r>
    </w:p>
    <w:p w14:paraId="17041BF9">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8</w:t>
      </w:r>
      <w:r>
        <w:rPr>
          <w:rFonts w:hint="eastAsia" w:ascii="宋体" w:hAnsi="宋体"/>
          <w:color w:val="0C0C0C"/>
        </w:rPr>
        <w:t>）采取适当合理的措施使计算基金份额认购</w:t>
      </w:r>
      <w:r>
        <w:rPr>
          <w:rFonts w:hint="eastAsia" w:ascii="宋体" w:hAnsi="宋体" w:eastAsia="宋体"/>
          <w:color w:val="0C0C0C"/>
        </w:rPr>
        <w:t>价格</w:t>
      </w:r>
      <w:r>
        <w:rPr>
          <w:rFonts w:hint="eastAsia" w:ascii="宋体" w:hAnsi="宋体"/>
          <w:color w:val="0C0C0C"/>
        </w:rPr>
        <w:t>、申购</w:t>
      </w:r>
      <w:r>
        <w:rPr>
          <w:rFonts w:hint="eastAsia" w:ascii="宋体" w:hAnsi="宋体" w:eastAsia="宋体"/>
          <w:color w:val="0C0C0C"/>
        </w:rPr>
        <w:t>对价</w:t>
      </w:r>
      <w:r>
        <w:rPr>
          <w:rFonts w:hint="eastAsia" w:ascii="宋体" w:hAnsi="宋体"/>
          <w:color w:val="0C0C0C"/>
        </w:rPr>
        <w:t>、赎回</w:t>
      </w:r>
      <w:r>
        <w:rPr>
          <w:rFonts w:hint="eastAsia" w:ascii="宋体" w:hAnsi="宋体" w:eastAsia="宋体"/>
          <w:color w:val="0C0C0C"/>
        </w:rPr>
        <w:t>对价</w:t>
      </w:r>
      <w:r>
        <w:rPr>
          <w:rFonts w:hint="eastAsia" w:ascii="宋体" w:hAnsi="宋体"/>
          <w:color w:val="0C0C0C"/>
        </w:rPr>
        <w:t>的方法符合《基金合同》等法律文件的规定，按有关规定计算并公告基金净值信息，确定基金份额申购、赎回</w:t>
      </w:r>
      <w:r>
        <w:rPr>
          <w:rFonts w:hint="eastAsia" w:ascii="宋体" w:hAnsi="宋体" w:eastAsia="宋体"/>
          <w:color w:val="0C0C0C"/>
        </w:rPr>
        <w:t>对价，编制申购赎回清单</w:t>
      </w:r>
      <w:r>
        <w:rPr>
          <w:rFonts w:hint="eastAsia" w:ascii="宋体" w:hAnsi="宋体"/>
          <w:color w:val="0C0C0C"/>
        </w:rPr>
        <w:t>；</w:t>
      </w:r>
    </w:p>
    <w:p w14:paraId="5977BEF0">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9</w:t>
      </w:r>
      <w:r>
        <w:rPr>
          <w:rFonts w:hint="eastAsia" w:ascii="宋体" w:hAnsi="宋体"/>
          <w:color w:val="0C0C0C"/>
        </w:rPr>
        <w:t>）进行基金会计核算并编制基金财务会计报告；</w:t>
      </w:r>
    </w:p>
    <w:p w14:paraId="7576EDE6">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10</w:t>
      </w:r>
      <w:r>
        <w:rPr>
          <w:rFonts w:hint="eastAsia" w:ascii="宋体" w:hAnsi="宋体"/>
          <w:color w:val="0C0C0C"/>
        </w:rPr>
        <w:t>）编制季度报告、中期报告和年度报告；</w:t>
      </w:r>
    </w:p>
    <w:p w14:paraId="4FEB1CE3">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11</w:t>
      </w:r>
      <w:r>
        <w:rPr>
          <w:rFonts w:hint="eastAsia" w:ascii="宋体" w:hAnsi="宋体"/>
          <w:color w:val="0C0C0C"/>
        </w:rPr>
        <w:t>）严格按照《基金法》、《基金合同》及其他有关规定，履行信息披露及报告义务；</w:t>
      </w:r>
    </w:p>
    <w:p w14:paraId="639E56BF">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12</w:t>
      </w:r>
      <w:r>
        <w:rPr>
          <w:rFonts w:hint="eastAsia" w:ascii="宋体" w:hAnsi="宋体"/>
          <w:color w:val="0C0C0C"/>
        </w:rPr>
        <w:t>）保守基金商业秘密，不泄露基金投资计划、投资意向等。除《基金法》、《基金合同》及其他有关规定另有规定外，在基金信息公开披露前应予保密，不向他人泄露，向审计、法律等外部专业顾问提供的情况除外；</w:t>
      </w:r>
    </w:p>
    <w:p w14:paraId="7BC682F4">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13</w:t>
      </w:r>
      <w:r>
        <w:rPr>
          <w:rFonts w:hint="eastAsia" w:ascii="宋体" w:hAnsi="宋体"/>
          <w:color w:val="0C0C0C"/>
        </w:rPr>
        <w:t>）按《基金合同》的约定确定基金收益分配方案，及时向基金份额持有人分配基金收益；</w:t>
      </w:r>
    </w:p>
    <w:p w14:paraId="68DA694D">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14</w:t>
      </w:r>
      <w:r>
        <w:rPr>
          <w:rFonts w:hint="eastAsia" w:ascii="宋体" w:hAnsi="宋体"/>
          <w:color w:val="0C0C0C"/>
        </w:rPr>
        <w:t>）按规定受理申购与赎回申请，及时、足额支付赎回</w:t>
      </w:r>
      <w:r>
        <w:rPr>
          <w:rFonts w:hint="eastAsia" w:ascii="宋体" w:hAnsi="宋体" w:eastAsia="宋体" w:cs="Arial"/>
          <w:color w:val="0C0C0C"/>
          <w:szCs w:val="21"/>
        </w:rPr>
        <w:t>对价</w:t>
      </w:r>
      <w:r>
        <w:rPr>
          <w:rFonts w:hint="eastAsia" w:ascii="宋体" w:hAnsi="宋体"/>
          <w:color w:val="0C0C0C"/>
        </w:rPr>
        <w:t>；</w:t>
      </w:r>
    </w:p>
    <w:p w14:paraId="33E34C80">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15</w:t>
      </w:r>
      <w:r>
        <w:rPr>
          <w:rFonts w:hint="eastAsia" w:ascii="宋体" w:hAnsi="宋体"/>
          <w:color w:val="0C0C0C"/>
        </w:rPr>
        <w:t>）依据《基金法》、《基金合同》及其他有关规定召集基金份额持有人大会或配合基金托管人、基金份额持有人依法召集基金份额持有人大会；</w:t>
      </w:r>
    </w:p>
    <w:p w14:paraId="7617AA38">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16</w:t>
      </w:r>
      <w:r>
        <w:rPr>
          <w:rFonts w:hint="eastAsia" w:ascii="宋体" w:hAnsi="宋体"/>
          <w:color w:val="0C0C0C"/>
        </w:rPr>
        <w:t>）按规定保存基金财产管理业务活动的会计账册、报表、记录和其他相关资料，保存期限不低于法律法规规定；</w:t>
      </w:r>
    </w:p>
    <w:p w14:paraId="3DBB72E3">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17</w:t>
      </w:r>
      <w:r>
        <w:rPr>
          <w:rFonts w:hint="eastAsia" w:ascii="宋体" w:hAnsi="宋体"/>
          <w:color w:val="0C0C0C"/>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3E25F262">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18</w:t>
      </w:r>
      <w:r>
        <w:rPr>
          <w:rFonts w:hint="eastAsia" w:ascii="宋体" w:hAnsi="宋体"/>
          <w:color w:val="0C0C0C"/>
        </w:rPr>
        <w:t>）组织并参加基金财产清算小组</w:t>
      </w:r>
      <w:r>
        <w:rPr>
          <w:rFonts w:hint="eastAsia" w:ascii="宋体" w:hAnsi="宋体" w:eastAsia="宋体" w:cs="Arial"/>
          <w:color w:val="0C0C0C"/>
          <w:szCs w:val="21"/>
        </w:rPr>
        <w:t>，</w:t>
      </w:r>
      <w:r>
        <w:rPr>
          <w:rFonts w:hint="eastAsia" w:ascii="宋体" w:hAnsi="宋体"/>
          <w:color w:val="0C0C0C"/>
        </w:rPr>
        <w:t>参与基金财产的保管、清理、估价、变现和分配；</w:t>
      </w:r>
    </w:p>
    <w:p w14:paraId="01E1D8C8">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19</w:t>
      </w:r>
      <w:r>
        <w:rPr>
          <w:rFonts w:hint="eastAsia" w:ascii="宋体" w:hAnsi="宋体"/>
          <w:color w:val="0C0C0C"/>
        </w:rPr>
        <w:t>）面临解散、依法被撤销或者被依法宣告破产时，及时报告中国证监会和银行业监督管理机构，并通知基金托管人；</w:t>
      </w:r>
    </w:p>
    <w:p w14:paraId="36A0330C">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20</w:t>
      </w:r>
      <w:r>
        <w:rPr>
          <w:rFonts w:hint="eastAsia" w:ascii="宋体" w:hAnsi="宋体"/>
          <w:color w:val="0C0C0C"/>
        </w:rPr>
        <w:t>）因违反《基金合同》导致基金财产的损失或损害基金份额持有人合法权益时，应当承担赔偿责任，其赔偿责任不因其退任而免除；</w:t>
      </w:r>
    </w:p>
    <w:p w14:paraId="1113AF80">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21</w:t>
      </w:r>
      <w:r>
        <w:rPr>
          <w:rFonts w:hint="eastAsia" w:ascii="宋体" w:hAnsi="宋体"/>
          <w:color w:val="0C0C0C"/>
        </w:rPr>
        <w:t>）监督基金托管人按法律法规和《基金合同》规定履行自己的义务，基金托管人违反《基金合同》造成基金财产损失时，基金管理人应为基金份额持有人利益向基金托管人追偿；</w:t>
      </w:r>
    </w:p>
    <w:p w14:paraId="08E11D91">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22</w:t>
      </w:r>
      <w:r>
        <w:rPr>
          <w:rFonts w:hint="eastAsia" w:ascii="宋体" w:hAnsi="宋体"/>
          <w:color w:val="0C0C0C"/>
        </w:rPr>
        <w:t>）当基金管理人将其义务委托第三方处理时，应当对第三方处理有关基金事务的行为承担责任；</w:t>
      </w:r>
    </w:p>
    <w:p w14:paraId="7AF78BA2">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23</w:t>
      </w:r>
      <w:r>
        <w:rPr>
          <w:rFonts w:hint="eastAsia" w:ascii="宋体" w:hAnsi="宋体"/>
          <w:color w:val="0C0C0C"/>
        </w:rPr>
        <w:t>）以基金管理人名义，代表基金份额持有人利益行使诉讼权利或实施其他法律行为；</w:t>
      </w:r>
    </w:p>
    <w:p w14:paraId="3DA6E2A9">
      <w:pPr>
        <w:snapToGrid w:val="0"/>
        <w:spacing w:line="360" w:lineRule="auto"/>
        <w:ind w:firstLine="420" w:firstLineChars="200"/>
        <w:rPr>
          <w:rFonts w:ascii="宋体" w:hAnsi="宋体"/>
        </w:rPr>
      </w:pPr>
      <w:r>
        <w:rPr>
          <w:rFonts w:hint="eastAsia" w:ascii="宋体" w:hAnsi="宋体"/>
        </w:rPr>
        <w:t>（24）基金在募集期间未能达到基金的备案条件，《基金合同》不能生效，基金管理人承担全部募集费用，将已募集资金并加计银行同期</w:t>
      </w:r>
      <w:r>
        <w:rPr>
          <w:rFonts w:hint="eastAsia" w:ascii="宋体" w:hAnsi="宋体" w:eastAsia="宋体"/>
          <w:szCs w:val="21"/>
        </w:rPr>
        <w:t>活期存款</w:t>
      </w:r>
      <w:r>
        <w:rPr>
          <w:rFonts w:hint="eastAsia" w:ascii="宋体" w:hAnsi="宋体"/>
        </w:rPr>
        <w:t>利息在基金募集期结束后</w:t>
      </w:r>
      <w:r>
        <w:rPr>
          <w:rFonts w:ascii="宋体" w:hAnsi="宋体"/>
        </w:rPr>
        <w:t>30</w:t>
      </w:r>
      <w:r>
        <w:rPr>
          <w:rFonts w:hint="eastAsia" w:ascii="宋体" w:hAnsi="宋体"/>
        </w:rPr>
        <w:t>日内退还基金认购人；</w:t>
      </w:r>
    </w:p>
    <w:p w14:paraId="6F996C34">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25</w:t>
      </w:r>
      <w:r>
        <w:rPr>
          <w:rFonts w:hint="eastAsia" w:ascii="宋体" w:hAnsi="宋体"/>
          <w:color w:val="0C0C0C"/>
        </w:rPr>
        <w:t>）执行生效的基金份额持有人大会的决议；</w:t>
      </w:r>
    </w:p>
    <w:p w14:paraId="14814245">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26</w:t>
      </w:r>
      <w:r>
        <w:rPr>
          <w:rFonts w:hint="eastAsia" w:ascii="宋体" w:hAnsi="宋体"/>
          <w:color w:val="0C0C0C"/>
        </w:rPr>
        <w:t>）建立并保存基金份额持有人名册；</w:t>
      </w:r>
    </w:p>
    <w:p w14:paraId="1DA8CF7F">
      <w:pPr>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27</w:t>
      </w:r>
      <w:r>
        <w:rPr>
          <w:rFonts w:hint="eastAsia" w:ascii="宋体" w:hAnsi="宋体"/>
          <w:color w:val="0C0C0C"/>
        </w:rPr>
        <w:t>）法律法规及中国证监会规定的和《基金合同》约定的其他义务。</w:t>
      </w:r>
    </w:p>
    <w:p w14:paraId="733EDFA6">
      <w:pPr>
        <w:adjustRightInd w:val="0"/>
        <w:snapToGrid w:val="0"/>
        <w:spacing w:line="360" w:lineRule="auto"/>
        <w:ind w:firstLine="420" w:firstLineChars="200"/>
        <w:rPr>
          <w:rFonts w:ascii="宋体" w:hAnsi="宋体"/>
          <w:color w:val="0C0C0C"/>
        </w:rPr>
      </w:pPr>
      <w:r>
        <w:rPr>
          <w:rFonts w:hint="eastAsia" w:ascii="宋体" w:hAnsi="宋体"/>
          <w:color w:val="0C0C0C"/>
        </w:rPr>
        <w:t>（三）</w:t>
      </w:r>
      <w:r>
        <w:rPr>
          <w:rFonts w:ascii="宋体" w:hAnsi="宋体"/>
          <w:color w:val="0C0C0C"/>
        </w:rPr>
        <w:tab/>
      </w:r>
      <w:r>
        <w:rPr>
          <w:rFonts w:hint="eastAsia" w:ascii="宋体" w:hAnsi="宋体"/>
          <w:color w:val="0C0C0C"/>
        </w:rPr>
        <w:t>基金托管人的权利与义务</w:t>
      </w:r>
    </w:p>
    <w:p w14:paraId="5B40DC55">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、根据《基金法》、《运作办法》及其他有关规定，基金托管人的权利包括但不限于：</w:t>
      </w:r>
    </w:p>
    <w:p w14:paraId="066BA8B5">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）自《基金合同》生效之日起，依法律法规和《基金合同》的规定安全保管基金财产；</w:t>
      </w:r>
    </w:p>
    <w:p w14:paraId="30F3AAAA">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w:t>
      </w:r>
      <w:r>
        <w:rPr>
          <w:rFonts w:hint="eastAsia" w:ascii="宋体" w:hAnsi="宋体"/>
          <w:color w:val="0C0C0C"/>
        </w:rPr>
        <w:t>）依《基金合同》约定获得基金托管费以及法律法规规定或监管部门批准的其他费用；</w:t>
      </w:r>
    </w:p>
    <w:p w14:paraId="47C74AD9">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3</w:t>
      </w:r>
      <w:r>
        <w:rPr>
          <w:rFonts w:hint="eastAsia" w:ascii="宋体" w:hAnsi="宋体"/>
          <w:color w:val="0C0C0C"/>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5DE30F0">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4</w:t>
      </w:r>
      <w:r>
        <w:rPr>
          <w:rFonts w:hint="eastAsia" w:ascii="宋体" w:hAnsi="宋体"/>
          <w:color w:val="0C0C0C"/>
        </w:rPr>
        <w:t>）根据相关市场规则，为基金开设</w:t>
      </w:r>
      <w:r>
        <w:rPr>
          <w:rFonts w:hint="eastAsia" w:ascii="宋体" w:hAnsi="宋体" w:eastAsia="宋体" w:cs="Arial"/>
          <w:color w:val="0C0C0C"/>
          <w:szCs w:val="21"/>
        </w:rPr>
        <w:t>资金账户、</w:t>
      </w:r>
      <w:r>
        <w:rPr>
          <w:rFonts w:hint="eastAsia" w:ascii="宋体" w:hAnsi="宋体"/>
          <w:color w:val="0C0C0C"/>
        </w:rPr>
        <w:t>证券账户等投资所需账户</w:t>
      </w:r>
      <w:r>
        <w:rPr>
          <w:rFonts w:hint="eastAsia" w:ascii="宋体" w:hAnsi="宋体" w:eastAsia="宋体" w:cs="Arial"/>
          <w:color w:val="0C0C0C"/>
          <w:szCs w:val="21"/>
        </w:rPr>
        <w:t>，</w:t>
      </w:r>
      <w:r>
        <w:rPr>
          <w:rFonts w:hint="eastAsia" w:ascii="宋体" w:hAnsi="宋体"/>
          <w:color w:val="0C0C0C"/>
        </w:rPr>
        <w:t>为基金办理证券交易资金清算</w:t>
      </w:r>
      <w:r>
        <w:rPr>
          <w:rFonts w:hint="eastAsia" w:ascii="宋体" w:hAnsi="宋体" w:eastAsia="宋体" w:cs="Arial"/>
          <w:color w:val="0C0C0C"/>
          <w:szCs w:val="21"/>
        </w:rPr>
        <w:t>；</w:t>
      </w:r>
    </w:p>
    <w:p w14:paraId="69BC221B">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5</w:t>
      </w:r>
      <w:r>
        <w:rPr>
          <w:rFonts w:hint="eastAsia" w:ascii="宋体" w:hAnsi="宋体"/>
          <w:color w:val="0C0C0C"/>
        </w:rPr>
        <w:t>）提议召开或召集基金份额持有人大会；</w:t>
      </w:r>
    </w:p>
    <w:p w14:paraId="59D97822">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6</w:t>
      </w:r>
      <w:r>
        <w:rPr>
          <w:rFonts w:hint="eastAsia" w:ascii="宋体" w:hAnsi="宋体"/>
          <w:color w:val="0C0C0C"/>
        </w:rPr>
        <w:t>）在基金管理人更换时，提名新的基金管理人；</w:t>
      </w:r>
    </w:p>
    <w:p w14:paraId="02A252CF">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7</w:t>
      </w:r>
      <w:r>
        <w:rPr>
          <w:rFonts w:hint="eastAsia" w:ascii="宋体" w:hAnsi="宋体"/>
          <w:color w:val="0C0C0C"/>
        </w:rPr>
        <w:t>）法律法规及中国证监会规定的和《基金合同》约定的其他权利。</w:t>
      </w:r>
    </w:p>
    <w:p w14:paraId="7D8ED898">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、根据《基金法》、《运作办法》及其他有关规定，基金托管人的义务包括但不限于：</w:t>
      </w:r>
    </w:p>
    <w:p w14:paraId="73977180">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）以诚实信用、勤勉尽责的原则持有并安全保管基金财产；</w:t>
      </w:r>
    </w:p>
    <w:p w14:paraId="3E8F55A1">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w:t>
      </w:r>
      <w:r>
        <w:rPr>
          <w:rFonts w:hint="eastAsia" w:ascii="宋体" w:hAnsi="宋体"/>
          <w:color w:val="0C0C0C"/>
        </w:rPr>
        <w:t>）设立专门的基金托管部门，具有符合要求的营业场所，配备足够的、合格的熟悉基金托管业务的专职人员，负责基金财产托管事宜；</w:t>
      </w:r>
    </w:p>
    <w:p w14:paraId="40AC07F8">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3</w:t>
      </w:r>
      <w:r>
        <w:rPr>
          <w:rFonts w:hint="eastAsia" w:ascii="宋体" w:hAnsi="宋体"/>
          <w:color w:val="0C0C0C"/>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3F6FB0D6">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4</w:t>
      </w:r>
      <w:r>
        <w:rPr>
          <w:rFonts w:hint="eastAsia" w:ascii="宋体" w:hAnsi="宋体"/>
          <w:color w:val="0C0C0C"/>
        </w:rPr>
        <w:t>）除依据《基金法》、《基金合同》及其他有关规定外，不得利用基金财产为自己及任何第三人谋取利益，不得委托第三人托管基金财产；</w:t>
      </w:r>
    </w:p>
    <w:p w14:paraId="6252A2E2">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5</w:t>
      </w:r>
      <w:r>
        <w:rPr>
          <w:rFonts w:hint="eastAsia" w:ascii="宋体" w:hAnsi="宋体"/>
          <w:color w:val="0C0C0C"/>
        </w:rPr>
        <w:t>）保管由基金管理人代表基金签订的与基金有关的重大合同及有关凭证；</w:t>
      </w:r>
    </w:p>
    <w:p w14:paraId="51EB5B54">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6</w:t>
      </w:r>
      <w:r>
        <w:rPr>
          <w:rFonts w:hint="eastAsia" w:ascii="宋体" w:hAnsi="宋体"/>
          <w:color w:val="0C0C0C"/>
        </w:rPr>
        <w:t>）按规定开设基金财产的资金账户和证券账户等投资所需账户</w:t>
      </w:r>
      <w:r>
        <w:rPr>
          <w:rFonts w:hint="eastAsia" w:ascii="宋体" w:hAnsi="宋体" w:eastAsia="宋体" w:cs="Arial"/>
          <w:color w:val="0C0C0C"/>
          <w:szCs w:val="21"/>
        </w:rPr>
        <w:t>，</w:t>
      </w:r>
      <w:r>
        <w:rPr>
          <w:rFonts w:hint="eastAsia" w:ascii="宋体" w:hAnsi="宋体"/>
          <w:color w:val="0C0C0C"/>
        </w:rPr>
        <w:t>按照《基金合同》的约定，根据基金管理人的投资指令，及时办理清算、交割事宜；</w:t>
      </w:r>
    </w:p>
    <w:p w14:paraId="42723C10">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7</w:t>
      </w:r>
      <w:r>
        <w:rPr>
          <w:rFonts w:hint="eastAsia" w:ascii="宋体" w:hAnsi="宋体"/>
          <w:color w:val="0C0C0C"/>
        </w:rPr>
        <w:t>）保守基金商业秘密，除《基金法》、《基金合同》及其他有关规定另有规定外，在基金信息公开披露前予以保密，不得向他人泄露，向审计、法律等外部专业顾问提供的情况除外；</w:t>
      </w:r>
    </w:p>
    <w:p w14:paraId="6CE09E6D">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8</w:t>
      </w:r>
      <w:r>
        <w:rPr>
          <w:rFonts w:hint="eastAsia" w:ascii="宋体" w:hAnsi="宋体"/>
          <w:color w:val="0C0C0C"/>
        </w:rPr>
        <w:t>）复核、审查基金管理人计算的基金资产净值、基金份额净值、基金份额申购、赎回</w:t>
      </w:r>
      <w:r>
        <w:rPr>
          <w:rFonts w:hint="eastAsia" w:ascii="宋体" w:hAnsi="宋体" w:eastAsia="宋体" w:cs="Arial"/>
          <w:color w:val="0C0C0C"/>
          <w:szCs w:val="21"/>
        </w:rPr>
        <w:t>对价</w:t>
      </w:r>
      <w:r>
        <w:rPr>
          <w:rFonts w:hint="eastAsia" w:ascii="宋体" w:hAnsi="宋体"/>
          <w:color w:val="0C0C0C"/>
        </w:rPr>
        <w:t>；</w:t>
      </w:r>
    </w:p>
    <w:p w14:paraId="5AE035FD">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9</w:t>
      </w:r>
      <w:r>
        <w:rPr>
          <w:rFonts w:hint="eastAsia" w:ascii="宋体" w:hAnsi="宋体"/>
          <w:color w:val="0C0C0C"/>
        </w:rPr>
        <w:t>）办理与基金托管业务活动有关的信息披露事项；</w:t>
      </w:r>
    </w:p>
    <w:p w14:paraId="4C440B7A">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10</w:t>
      </w:r>
      <w:r>
        <w:rPr>
          <w:rFonts w:hint="eastAsia" w:ascii="宋体" w:hAnsi="宋体"/>
          <w:color w:val="0C0C0C"/>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423430B3">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11</w:t>
      </w:r>
      <w:r>
        <w:rPr>
          <w:rFonts w:hint="eastAsia" w:ascii="宋体" w:hAnsi="宋体"/>
          <w:color w:val="0C0C0C"/>
        </w:rPr>
        <w:t>）保存基金托管业务活动的记录、账册、报表和其他相关资料20年以上，法律法规或监管规则另有规定的从其规定；</w:t>
      </w:r>
    </w:p>
    <w:p w14:paraId="79AA6405">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12</w:t>
      </w:r>
      <w:r>
        <w:rPr>
          <w:rFonts w:hint="eastAsia" w:ascii="宋体" w:hAnsi="宋体"/>
          <w:color w:val="0C0C0C"/>
        </w:rPr>
        <w:t>）从基金管理人或其委托的登记机构处接收并保存基金份额持有人名册；</w:t>
      </w:r>
    </w:p>
    <w:p w14:paraId="6DCAED1D">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13</w:t>
      </w:r>
      <w:r>
        <w:rPr>
          <w:rFonts w:hint="eastAsia" w:ascii="宋体" w:hAnsi="宋体"/>
          <w:color w:val="0C0C0C"/>
        </w:rPr>
        <w:t>）按规定制作相关账册并与基金管理人核对；</w:t>
      </w:r>
    </w:p>
    <w:p w14:paraId="26F251ED">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14</w:t>
      </w:r>
      <w:r>
        <w:rPr>
          <w:rFonts w:hint="eastAsia" w:ascii="宋体" w:hAnsi="宋体"/>
          <w:color w:val="0C0C0C"/>
        </w:rPr>
        <w:t>）依据基金管理人的指令或有关规定向基金份额持有人支付基金收益和赎回</w:t>
      </w:r>
      <w:r>
        <w:rPr>
          <w:rFonts w:hint="eastAsia" w:ascii="宋体" w:hAnsi="宋体" w:eastAsia="宋体" w:cs="Arial"/>
          <w:color w:val="0C0C0C"/>
          <w:szCs w:val="21"/>
        </w:rPr>
        <w:t>对价的现金部分</w:t>
      </w:r>
      <w:r>
        <w:rPr>
          <w:rFonts w:hint="eastAsia" w:ascii="宋体" w:hAnsi="宋体"/>
          <w:color w:val="0C0C0C"/>
        </w:rPr>
        <w:t>；</w:t>
      </w:r>
    </w:p>
    <w:p w14:paraId="5BBB6AB0">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15</w:t>
      </w:r>
      <w:r>
        <w:rPr>
          <w:rFonts w:hint="eastAsia" w:ascii="宋体" w:hAnsi="宋体"/>
          <w:color w:val="0C0C0C"/>
        </w:rPr>
        <w:t>）依据《基金法》、《基金合同》及其他有关规定，召集基金份额持有人大会或配合基金</w:t>
      </w:r>
      <w:r>
        <w:rPr>
          <w:rFonts w:hint="eastAsia" w:ascii="宋体" w:hAnsi="宋体" w:eastAsia="宋体" w:cs="Arial"/>
          <w:color w:val="0C0C0C"/>
          <w:szCs w:val="21"/>
        </w:rPr>
        <w:t>管理人、</w:t>
      </w:r>
      <w:r>
        <w:rPr>
          <w:rFonts w:hint="eastAsia" w:ascii="宋体" w:hAnsi="宋体" w:eastAsia="宋体"/>
          <w:color w:val="0C0C0C"/>
        </w:rPr>
        <w:t>基金</w:t>
      </w:r>
      <w:r>
        <w:rPr>
          <w:rFonts w:hint="eastAsia" w:ascii="宋体" w:hAnsi="宋体"/>
          <w:color w:val="0C0C0C"/>
        </w:rPr>
        <w:t>份额持有人依法召集基金份额持有人大会；</w:t>
      </w:r>
    </w:p>
    <w:p w14:paraId="3220F5DF">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16</w:t>
      </w:r>
      <w:r>
        <w:rPr>
          <w:rFonts w:hint="eastAsia" w:ascii="宋体" w:hAnsi="宋体"/>
          <w:color w:val="0C0C0C"/>
        </w:rPr>
        <w:t>）按照法律法规和《基金合同》和托管协议的规定监督基金管理人的投资运作；</w:t>
      </w:r>
    </w:p>
    <w:p w14:paraId="3DF24360">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17</w:t>
      </w:r>
      <w:r>
        <w:rPr>
          <w:rFonts w:hint="eastAsia" w:ascii="宋体" w:hAnsi="宋体"/>
          <w:color w:val="0C0C0C"/>
        </w:rPr>
        <w:t>）参加基金财产清算小组，参与基金财产的保管、清理、估价、变现和分配；</w:t>
      </w:r>
    </w:p>
    <w:p w14:paraId="67468D14">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18</w:t>
      </w:r>
      <w:r>
        <w:rPr>
          <w:rFonts w:hint="eastAsia" w:ascii="宋体" w:hAnsi="宋体"/>
          <w:color w:val="0C0C0C"/>
        </w:rPr>
        <w:t>）面临解散、依法被撤销或者被依法宣告破产时，及时报告中国证监会，并通知基金管理人；</w:t>
      </w:r>
    </w:p>
    <w:p w14:paraId="4ECE8983">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19</w:t>
      </w:r>
      <w:r>
        <w:rPr>
          <w:rFonts w:hint="eastAsia" w:ascii="宋体" w:hAnsi="宋体"/>
          <w:color w:val="0C0C0C"/>
        </w:rPr>
        <w:t>）因违反《基金合同》导致基金财产损失时，应承担赔偿责任，其赔偿责任不因其退任而免除；</w:t>
      </w:r>
    </w:p>
    <w:p w14:paraId="11C4D577">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20</w:t>
      </w:r>
      <w:r>
        <w:rPr>
          <w:rFonts w:hint="eastAsia" w:ascii="宋体" w:hAnsi="宋体"/>
          <w:color w:val="0C0C0C"/>
        </w:rPr>
        <w:t>）按规定监督基金管理人按法律法规和《基金合同》规定履行自己的义务，基金管理人因违反《基金合同》造成基金财产损失时，应为基金份额持有人利益向基金管理人追偿；</w:t>
      </w:r>
    </w:p>
    <w:p w14:paraId="59F00326">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21</w:t>
      </w:r>
      <w:r>
        <w:rPr>
          <w:rFonts w:hint="eastAsia" w:ascii="宋体" w:hAnsi="宋体"/>
          <w:color w:val="0C0C0C"/>
        </w:rPr>
        <w:t>）执行生效的基金份额持有人大会的</w:t>
      </w:r>
      <w:r>
        <w:rPr>
          <w:rFonts w:hint="eastAsia" w:ascii="宋体" w:hAnsi="宋体" w:eastAsia="宋体" w:cs="Arial"/>
          <w:color w:val="0C0C0C"/>
          <w:szCs w:val="21"/>
        </w:rPr>
        <w:t>决议</w:t>
      </w:r>
      <w:r>
        <w:rPr>
          <w:rFonts w:hint="eastAsia" w:ascii="宋体" w:hAnsi="宋体"/>
          <w:color w:val="0C0C0C"/>
        </w:rPr>
        <w:t>；</w:t>
      </w:r>
    </w:p>
    <w:p w14:paraId="0310DEE1">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22</w:t>
      </w:r>
      <w:r>
        <w:rPr>
          <w:rFonts w:hint="eastAsia" w:ascii="宋体" w:hAnsi="宋体"/>
          <w:color w:val="0C0C0C"/>
        </w:rPr>
        <w:t>）法律法规及中国证监会规定的和《基金合同》约定的其他义务。</w:t>
      </w:r>
    </w:p>
    <w:p w14:paraId="45E31D8B">
      <w:pPr>
        <w:snapToGrid w:val="0"/>
        <w:spacing w:line="360" w:lineRule="auto"/>
        <w:ind w:firstLine="420" w:firstLineChars="200"/>
        <w:rPr>
          <w:rFonts w:ascii="宋体" w:hAnsi="宋体"/>
          <w:color w:val="0C0C0C"/>
        </w:rPr>
      </w:pPr>
    </w:p>
    <w:p w14:paraId="26755A95">
      <w:pPr>
        <w:adjustRightInd w:val="0"/>
        <w:snapToGrid w:val="0"/>
        <w:spacing w:line="360" w:lineRule="auto"/>
        <w:rPr>
          <w:rFonts w:ascii="宋体" w:hAnsi="宋体" w:eastAsia="宋体"/>
          <w:color w:val="0C0C0C"/>
        </w:rPr>
      </w:pPr>
    </w:p>
    <w:p w14:paraId="6059C601">
      <w:pPr>
        <w:snapToGrid w:val="0"/>
        <w:spacing w:line="360" w:lineRule="auto"/>
        <w:ind w:firstLine="420" w:firstLineChars="200"/>
        <w:rPr>
          <w:rFonts w:ascii="宋体" w:hAnsi="宋体" w:eastAsia="宋体"/>
        </w:rPr>
      </w:pPr>
      <w:r>
        <w:rPr>
          <w:rFonts w:hint="eastAsia" w:ascii="宋体" w:hAnsi="宋体" w:eastAsia="宋体"/>
        </w:rPr>
        <w:t>二、基金份额持有人大会召集、议事及表决的程序和规则</w:t>
      </w:r>
    </w:p>
    <w:p w14:paraId="22F6CADF">
      <w:pPr>
        <w:adjustRightInd w:val="0"/>
        <w:snapToGrid w:val="0"/>
        <w:spacing w:line="360" w:lineRule="auto"/>
        <w:ind w:firstLine="420" w:firstLineChars="200"/>
        <w:rPr>
          <w:rFonts w:ascii="宋体" w:hAnsi="宋体"/>
          <w:color w:val="0C0C0C"/>
        </w:rPr>
      </w:pPr>
      <w:r>
        <w:rPr>
          <w:rFonts w:hint="eastAsia" w:ascii="宋体" w:hAnsi="宋体"/>
          <w:color w:val="0C0C0C"/>
        </w:rPr>
        <w:t>基金份额持有人大会由基金份额持有人组成，基金份额持有人的合法授权代表有权代表基金份额持有人出席会议并表决。基金份额持有人持有的每一基金份额拥有平等的投票权。</w:t>
      </w:r>
    </w:p>
    <w:p w14:paraId="492ABB2E">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若以本基金为目标E</w:t>
      </w:r>
      <w:r>
        <w:rPr>
          <w:rFonts w:ascii="宋体" w:hAnsi="宋体" w:eastAsia="宋体"/>
          <w:color w:val="0C0C0C"/>
        </w:rPr>
        <w:t>TF</w:t>
      </w:r>
      <w:r>
        <w:rPr>
          <w:rFonts w:hint="eastAsia" w:ascii="宋体" w:hAnsi="宋体" w:eastAsia="宋体"/>
          <w:color w:val="0C0C0C"/>
        </w:rPr>
        <w:t>，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5DAE5581">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7AA049B7">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56B01473">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本基金份额持有人大会不设日常机构。</w:t>
      </w:r>
    </w:p>
    <w:p w14:paraId="4C5F0BB1">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法律法规或监管机构对基金份额持有人大会另有规定的，从其规定。</w:t>
      </w:r>
    </w:p>
    <w:p w14:paraId="408E834A">
      <w:pPr>
        <w:adjustRightInd w:val="0"/>
        <w:snapToGrid w:val="0"/>
        <w:spacing w:line="360" w:lineRule="auto"/>
        <w:ind w:firstLine="420" w:firstLineChars="200"/>
        <w:rPr>
          <w:rFonts w:ascii="宋体" w:hAnsi="宋体"/>
          <w:color w:val="0C0C0C"/>
        </w:rPr>
      </w:pPr>
      <w:r>
        <w:rPr>
          <w:rFonts w:hint="eastAsia" w:ascii="宋体" w:hAnsi="宋体"/>
          <w:color w:val="0C0C0C"/>
        </w:rPr>
        <w:t>（一）召开事由</w:t>
      </w:r>
    </w:p>
    <w:p w14:paraId="5E03A04A">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w:t>
      </w:r>
      <w:r>
        <w:rPr>
          <w:rFonts w:hint="eastAsia" w:ascii="宋体" w:hAnsi="宋体" w:eastAsia="宋体"/>
          <w:color w:val="0C0C0C"/>
        </w:rPr>
        <w:t>除法律法规、中国证监会和基金合同另有规定外，</w:t>
      </w:r>
      <w:r>
        <w:rPr>
          <w:rFonts w:hint="eastAsia" w:ascii="宋体" w:hAnsi="宋体"/>
          <w:color w:val="0C0C0C"/>
        </w:rPr>
        <w:t>当出现或需要决定下列事由之一的，应当召开基金份额持有人大会：</w:t>
      </w:r>
    </w:p>
    <w:p w14:paraId="08324F2E">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）终止《基金合同》；</w:t>
      </w:r>
    </w:p>
    <w:p w14:paraId="2F2B4246">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w:t>
      </w:r>
      <w:r>
        <w:rPr>
          <w:rFonts w:hint="eastAsia" w:ascii="宋体" w:hAnsi="宋体"/>
          <w:color w:val="0C0C0C"/>
        </w:rPr>
        <w:t>）更换基金管理人；</w:t>
      </w:r>
    </w:p>
    <w:p w14:paraId="56D7B83E">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3</w:t>
      </w:r>
      <w:r>
        <w:rPr>
          <w:rFonts w:hint="eastAsia" w:ascii="宋体" w:hAnsi="宋体"/>
          <w:color w:val="0C0C0C"/>
        </w:rPr>
        <w:t>）更换基金托管人；</w:t>
      </w:r>
    </w:p>
    <w:p w14:paraId="60BE78D6">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4</w:t>
      </w:r>
      <w:r>
        <w:rPr>
          <w:rFonts w:hint="eastAsia" w:ascii="宋体" w:hAnsi="宋体"/>
          <w:color w:val="0C0C0C"/>
        </w:rPr>
        <w:t>）转换基金运作方式；</w:t>
      </w:r>
    </w:p>
    <w:p w14:paraId="6CB3ECF9">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5</w:t>
      </w:r>
      <w:r>
        <w:rPr>
          <w:rFonts w:hint="eastAsia" w:ascii="宋体" w:hAnsi="宋体"/>
          <w:color w:val="0C0C0C"/>
        </w:rPr>
        <w:t>）</w:t>
      </w:r>
      <w:r>
        <w:rPr>
          <w:rFonts w:hint="eastAsia" w:ascii="宋体" w:hAnsi="宋体" w:eastAsia="宋体"/>
          <w:color w:val="0C0C0C"/>
        </w:rPr>
        <w:t>调整</w:t>
      </w:r>
      <w:r>
        <w:rPr>
          <w:rFonts w:hint="eastAsia" w:ascii="宋体" w:hAnsi="宋体"/>
          <w:color w:val="0C0C0C"/>
        </w:rPr>
        <w:t>基金管理人、基金托管人的报酬标准；</w:t>
      </w:r>
    </w:p>
    <w:p w14:paraId="2BF584F7">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6</w:t>
      </w:r>
      <w:r>
        <w:rPr>
          <w:rFonts w:hint="eastAsia" w:ascii="宋体" w:hAnsi="宋体"/>
          <w:color w:val="0C0C0C"/>
        </w:rPr>
        <w:t>）变更基金类别；</w:t>
      </w:r>
    </w:p>
    <w:p w14:paraId="22B3D281">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7</w:t>
      </w:r>
      <w:r>
        <w:rPr>
          <w:rFonts w:hint="eastAsia" w:ascii="宋体" w:hAnsi="宋体"/>
          <w:color w:val="0C0C0C"/>
        </w:rPr>
        <w:t>）本基金与其他基金的合并；</w:t>
      </w:r>
    </w:p>
    <w:p w14:paraId="1CB58EA6">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8</w:t>
      </w:r>
      <w:r>
        <w:rPr>
          <w:rFonts w:hint="eastAsia" w:ascii="宋体" w:hAnsi="宋体"/>
          <w:color w:val="0C0C0C"/>
        </w:rPr>
        <w:t>）变更基金投资目标、范围或策略；</w:t>
      </w:r>
    </w:p>
    <w:p w14:paraId="3131929B">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9</w:t>
      </w:r>
      <w:r>
        <w:rPr>
          <w:rFonts w:hint="eastAsia" w:ascii="宋体" w:hAnsi="宋体"/>
          <w:color w:val="0C0C0C"/>
        </w:rPr>
        <w:t>）变更基金份额持有人大会程序；</w:t>
      </w:r>
    </w:p>
    <w:p w14:paraId="7E3AB084">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10</w:t>
      </w:r>
      <w:r>
        <w:rPr>
          <w:rFonts w:hint="eastAsia" w:ascii="宋体" w:hAnsi="宋体"/>
          <w:color w:val="0C0C0C"/>
        </w:rPr>
        <w:t>）基金管理人或基金托管人要求召开基金份额持有人大会；</w:t>
      </w:r>
    </w:p>
    <w:p w14:paraId="0F9AF2F5">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11</w:t>
      </w:r>
      <w:r>
        <w:rPr>
          <w:rFonts w:hint="eastAsia" w:ascii="宋体" w:hAnsi="宋体"/>
          <w:color w:val="0C0C0C"/>
        </w:rPr>
        <w:t>）单独或合计持有本基金总份额</w:t>
      </w:r>
      <w:r>
        <w:rPr>
          <w:rFonts w:ascii="宋体" w:hAnsi="宋体"/>
          <w:color w:val="0C0C0C"/>
        </w:rPr>
        <w:t>10%</w:t>
      </w:r>
      <w:r>
        <w:rPr>
          <w:rFonts w:hint="eastAsia" w:ascii="宋体" w:hAnsi="宋体"/>
          <w:color w:val="0C0C0C"/>
        </w:rPr>
        <w:t>以上（含</w:t>
      </w:r>
      <w:r>
        <w:rPr>
          <w:rFonts w:ascii="宋体" w:hAnsi="宋体"/>
          <w:color w:val="0C0C0C"/>
        </w:rPr>
        <w:t>10%</w:t>
      </w:r>
      <w:r>
        <w:rPr>
          <w:rFonts w:hint="eastAsia" w:ascii="宋体" w:hAnsi="宋体"/>
          <w:color w:val="0C0C0C"/>
        </w:rPr>
        <w:t>）基金份额的基金份额持有人（以基金管理人收到提议当日的基金份额计算，下同）就同一事项书面要求召开基金份额持有人大会；</w:t>
      </w:r>
    </w:p>
    <w:p w14:paraId="2C3944E7">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12</w:t>
      </w:r>
      <w:r>
        <w:rPr>
          <w:rFonts w:hint="eastAsia" w:ascii="宋体" w:hAnsi="宋体"/>
          <w:color w:val="0C0C0C"/>
        </w:rPr>
        <w:t>）对基金</w:t>
      </w:r>
      <w:r>
        <w:rPr>
          <w:rFonts w:hint="eastAsia" w:ascii="宋体" w:hAnsi="宋体" w:eastAsia="宋体"/>
          <w:color w:val="0C0C0C"/>
        </w:rPr>
        <w:t>合同</w:t>
      </w:r>
      <w:r>
        <w:rPr>
          <w:rFonts w:hint="eastAsia" w:ascii="宋体" w:hAnsi="宋体"/>
          <w:color w:val="0C0C0C"/>
        </w:rPr>
        <w:t>当事人权利和义务产生重大影响的其他事项；</w:t>
      </w:r>
    </w:p>
    <w:p w14:paraId="5B6F319A">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（13）终止基金上市，但因基金不再具备上市条件而被上海证券交易所终止上市的除外；</w:t>
      </w:r>
    </w:p>
    <w:p w14:paraId="35F73465">
      <w:pPr>
        <w:adjustRightInd w:val="0"/>
        <w:snapToGrid w:val="0"/>
        <w:spacing w:line="360" w:lineRule="auto"/>
        <w:ind w:firstLine="420" w:firstLineChars="200"/>
        <w:rPr>
          <w:rFonts w:ascii="宋体" w:hAnsi="宋体"/>
          <w:color w:val="0C0C0C"/>
        </w:rPr>
      </w:pPr>
      <w:r>
        <w:rPr>
          <w:rFonts w:hint="eastAsia" w:ascii="宋体" w:hAnsi="宋体" w:eastAsia="宋体"/>
          <w:color w:val="0C0C0C"/>
        </w:rPr>
        <w:t>（14</w:t>
      </w:r>
      <w:r>
        <w:rPr>
          <w:rFonts w:hint="eastAsia" w:ascii="宋体" w:hAnsi="宋体"/>
          <w:color w:val="0C0C0C"/>
        </w:rPr>
        <w:t>）法律法规、《基金合同》或中国证监会规定的其他应当召开基金份额持有人大会的事项。</w:t>
      </w:r>
    </w:p>
    <w:p w14:paraId="4DCFA269">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、在法律法规规定和《基金合同》约定的范围内且对基金份额持有人利益无实质性不利影响的前提下，以下情况可由基金管理人和基金托管人协商后修改，不需召开基金份额持有人大会：</w:t>
      </w:r>
      <w:r>
        <w:rPr>
          <w:rFonts w:hint="eastAsia" w:ascii="宋体" w:hAnsi="宋体" w:eastAsia="宋体"/>
          <w:color w:val="0C0C0C"/>
        </w:rPr>
        <w:t xml:space="preserve"> </w:t>
      </w:r>
    </w:p>
    <w:p w14:paraId="7A4A48AF">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）法律法规要求增加的基金费用的收取；</w:t>
      </w:r>
    </w:p>
    <w:p w14:paraId="2C6917EA">
      <w:pPr>
        <w:adjustRightInd w:val="0"/>
        <w:snapToGrid w:val="0"/>
        <w:spacing w:line="360" w:lineRule="auto"/>
        <w:ind w:firstLine="420" w:firstLineChars="200"/>
        <w:rPr>
          <w:rFonts w:ascii="宋体" w:hAnsi="宋体" w:eastAsia="宋体"/>
          <w:color w:val="0C0C0C"/>
        </w:rPr>
      </w:pPr>
      <w:r>
        <w:rPr>
          <w:rFonts w:hint="eastAsia" w:ascii="宋体" w:hAnsi="宋体"/>
          <w:color w:val="0C0C0C"/>
        </w:rPr>
        <w:t>（2）</w:t>
      </w:r>
      <w:r>
        <w:rPr>
          <w:rFonts w:hint="eastAsia" w:ascii="宋体" w:hAnsi="宋体" w:eastAsia="宋体"/>
          <w:color w:val="0C0C0C"/>
        </w:rPr>
        <w:t>调整本基金的申购费率、变更收费方式或调整基金份额类别设置、对基金份额分类办法及规则进行调整；</w:t>
      </w:r>
    </w:p>
    <w:p w14:paraId="4CF9BE9B">
      <w:pPr>
        <w:adjustRightInd w:val="0"/>
        <w:snapToGrid w:val="0"/>
        <w:spacing w:line="360" w:lineRule="auto"/>
        <w:ind w:firstLine="420" w:firstLineChars="200"/>
        <w:rPr>
          <w:rFonts w:ascii="宋体" w:hAnsi="宋体"/>
          <w:color w:val="0C0C0C"/>
        </w:rPr>
      </w:pPr>
      <w:r>
        <w:rPr>
          <w:rFonts w:hint="eastAsia" w:ascii="宋体" w:hAnsi="宋体" w:eastAsia="宋体"/>
          <w:color w:val="0C0C0C"/>
        </w:rPr>
        <w:t>（3）</w:t>
      </w:r>
      <w:r>
        <w:rPr>
          <w:rFonts w:hint="eastAsia" w:ascii="宋体" w:hAnsi="宋体"/>
          <w:color w:val="0C0C0C"/>
        </w:rPr>
        <w:t>因相应的法律法规</w:t>
      </w:r>
      <w:r>
        <w:rPr>
          <w:rFonts w:hint="eastAsia" w:ascii="宋体" w:hAnsi="宋体" w:eastAsia="宋体"/>
          <w:color w:val="0C0C0C"/>
        </w:rPr>
        <w:t>、上海证券交易所或者登记机构的相关业务规则</w:t>
      </w:r>
      <w:r>
        <w:rPr>
          <w:rFonts w:hint="eastAsia" w:ascii="宋体" w:hAnsi="宋体"/>
          <w:color w:val="0C0C0C"/>
        </w:rPr>
        <w:t>发生变动而应当对《基金合同》进行修改；</w:t>
      </w:r>
    </w:p>
    <w:p w14:paraId="6DF8E51F">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hint="eastAsia" w:ascii="宋体" w:hAnsi="宋体" w:eastAsia="宋体"/>
          <w:color w:val="0C0C0C"/>
        </w:rPr>
        <w:t>4</w:t>
      </w:r>
      <w:r>
        <w:rPr>
          <w:rFonts w:hint="eastAsia" w:ascii="宋体" w:hAnsi="宋体"/>
          <w:color w:val="0C0C0C"/>
        </w:rPr>
        <w:t>）对《基金合同》的修改对基金份额持有人利益无实质性不利影响或修改不涉及《基金合同》当事人权利义务关系发生</w:t>
      </w:r>
      <w:r>
        <w:rPr>
          <w:rFonts w:hint="eastAsia" w:ascii="宋体" w:hAnsi="宋体" w:eastAsia="宋体"/>
          <w:color w:val="0C0C0C"/>
        </w:rPr>
        <w:t>重大</w:t>
      </w:r>
      <w:r>
        <w:rPr>
          <w:rFonts w:hint="eastAsia" w:ascii="宋体" w:hAnsi="宋体"/>
          <w:color w:val="0C0C0C"/>
        </w:rPr>
        <w:t>变化；</w:t>
      </w:r>
    </w:p>
    <w:p w14:paraId="1B598715">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（5）基金管理人、相关证券交易所和登记机构等调整有关基金申购、赎回、交易、转托管、非交易过户等业务的规则；</w:t>
      </w:r>
    </w:p>
    <w:p w14:paraId="43773E5B">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（6）经履行相关程序后，基金推出新业务或服务；</w:t>
      </w:r>
    </w:p>
    <w:p w14:paraId="73356E82">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（7）在不违反法律法规的情况下，本基金的联接基金采取其他方式参与本基金的申购赎回；</w:t>
      </w:r>
    </w:p>
    <w:p w14:paraId="1196D440">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（8）调整基金的申购赎回方式及申购对价、赎回对价组成；调整申购赎回清单的内容，调整申购赎回清单计算和公告时间或频率；</w:t>
      </w:r>
    </w:p>
    <w:p w14:paraId="2189B496">
      <w:pPr>
        <w:adjustRightInd w:val="0"/>
        <w:snapToGrid w:val="0"/>
        <w:spacing w:line="360" w:lineRule="auto"/>
        <w:ind w:firstLine="420" w:firstLineChars="200"/>
        <w:rPr>
          <w:rFonts w:ascii="宋体" w:hAnsi="宋体"/>
          <w:color w:val="0C0C0C"/>
        </w:rPr>
      </w:pPr>
      <w:r>
        <w:rPr>
          <w:rFonts w:hint="eastAsia" w:ascii="宋体" w:hAnsi="宋体" w:eastAsia="宋体"/>
          <w:color w:val="0C0C0C"/>
        </w:rPr>
        <w:t>（</w:t>
      </w:r>
      <w:r>
        <w:rPr>
          <w:rFonts w:hint="eastAsia" w:ascii="宋体" w:hAnsi="宋体" w:eastAsia="宋体"/>
          <w:color w:val="0C0C0C"/>
          <w:lang w:val="en-US" w:eastAsia="zh-CN"/>
        </w:rPr>
        <w:t>9</w:t>
      </w:r>
      <w:r>
        <w:rPr>
          <w:rFonts w:hint="eastAsia" w:ascii="宋体" w:hAnsi="宋体"/>
          <w:color w:val="0C0C0C"/>
        </w:rPr>
        <w:t>）按照法律法规和《基金合同》规定不需召开基金份额持有人大会的其他情形。</w:t>
      </w:r>
    </w:p>
    <w:p w14:paraId="6DFAD1A1">
      <w:pPr>
        <w:adjustRightInd w:val="0"/>
        <w:snapToGrid w:val="0"/>
        <w:spacing w:line="360" w:lineRule="auto"/>
        <w:ind w:firstLine="420" w:firstLineChars="200"/>
        <w:rPr>
          <w:rFonts w:ascii="宋体" w:hAnsi="宋体"/>
          <w:color w:val="0C0C0C"/>
        </w:rPr>
      </w:pPr>
      <w:r>
        <w:rPr>
          <w:rFonts w:hint="eastAsia" w:ascii="宋体" w:hAnsi="宋体"/>
          <w:color w:val="0C0C0C"/>
        </w:rPr>
        <w:t>（二）会议召集人及召集方式</w:t>
      </w:r>
    </w:p>
    <w:p w14:paraId="7E35D5D3">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、除法律法规规定或《基金合同》另有约定外，基金份额持有人大会由基金管理人召集</w:t>
      </w:r>
      <w:r>
        <w:rPr>
          <w:rFonts w:hint="eastAsia" w:ascii="宋体" w:hAnsi="宋体" w:eastAsia="宋体"/>
          <w:color w:val="0C0C0C"/>
        </w:rPr>
        <w:t>。</w:t>
      </w:r>
    </w:p>
    <w:p w14:paraId="7060A700">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、基金管理人未按规定召集或不能</w:t>
      </w:r>
      <w:r>
        <w:rPr>
          <w:rFonts w:hint="eastAsia" w:ascii="宋体" w:hAnsi="宋体" w:eastAsia="宋体"/>
          <w:color w:val="0C0C0C"/>
        </w:rPr>
        <w:t>召集</w:t>
      </w:r>
      <w:r>
        <w:rPr>
          <w:rFonts w:hint="eastAsia" w:ascii="宋体" w:hAnsi="宋体"/>
          <w:color w:val="0C0C0C"/>
        </w:rPr>
        <w:t>时，由基金托管人召集</w:t>
      </w:r>
      <w:r>
        <w:rPr>
          <w:rFonts w:hint="eastAsia" w:ascii="宋体" w:hAnsi="宋体" w:eastAsia="宋体"/>
          <w:color w:val="0C0C0C"/>
        </w:rPr>
        <w:t>。</w:t>
      </w:r>
    </w:p>
    <w:p w14:paraId="44E9E89A">
      <w:pPr>
        <w:adjustRightInd w:val="0"/>
        <w:snapToGrid w:val="0"/>
        <w:spacing w:line="360" w:lineRule="auto"/>
        <w:ind w:firstLine="420" w:firstLineChars="200"/>
        <w:rPr>
          <w:rFonts w:ascii="宋体" w:hAnsi="宋体"/>
          <w:color w:val="0C0C0C"/>
        </w:rPr>
      </w:pPr>
      <w:r>
        <w:rPr>
          <w:rFonts w:ascii="宋体" w:hAnsi="宋体"/>
          <w:color w:val="0C0C0C"/>
        </w:rPr>
        <w:t>3</w:t>
      </w:r>
      <w:r>
        <w:rPr>
          <w:rFonts w:hint="eastAsia" w:ascii="宋体" w:hAnsi="宋体"/>
          <w:color w:val="0C0C0C"/>
        </w:rPr>
        <w:t>、基金托管人认为有必要召开基金份额持有人大会的，应当向基金管理人提出书面提议。基金管理人应当自收到书面提议之日起</w:t>
      </w:r>
      <w:r>
        <w:rPr>
          <w:rFonts w:ascii="宋体" w:hAnsi="宋体"/>
          <w:color w:val="0C0C0C"/>
        </w:rPr>
        <w:t xml:space="preserve"> </w:t>
      </w:r>
      <w:r>
        <w:rPr>
          <w:rFonts w:hint="eastAsia" w:ascii="宋体" w:hAnsi="宋体"/>
          <w:color w:val="0C0C0C"/>
        </w:rPr>
        <w:t>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66B40334">
      <w:pPr>
        <w:adjustRightInd w:val="0"/>
        <w:snapToGrid w:val="0"/>
        <w:spacing w:line="360" w:lineRule="auto"/>
        <w:ind w:firstLine="420" w:firstLineChars="200"/>
        <w:rPr>
          <w:rFonts w:ascii="宋体" w:hAnsi="宋体"/>
          <w:color w:val="0C0C0C"/>
        </w:rPr>
      </w:pPr>
      <w:r>
        <w:rPr>
          <w:rFonts w:ascii="宋体" w:hAnsi="宋体"/>
          <w:color w:val="0C0C0C"/>
        </w:rPr>
        <w:t>4</w:t>
      </w:r>
      <w:r>
        <w:rPr>
          <w:rFonts w:hint="eastAsia" w:ascii="宋体" w:hAnsi="宋体"/>
          <w:color w:val="0C0C0C"/>
        </w:rPr>
        <w:t>、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w:t>
      </w:r>
      <w:r>
        <w:rPr>
          <w:rFonts w:ascii="宋体" w:hAnsi="宋体"/>
          <w:color w:val="0C0C0C"/>
        </w:rPr>
        <w:t>60</w:t>
      </w:r>
      <w:r>
        <w:rPr>
          <w:rFonts w:hint="eastAsia" w:ascii="宋体" w:hAnsi="宋体"/>
          <w:color w:val="0C0C0C"/>
        </w:rPr>
        <w:t>日内召开并告知基金管理人，基金管理人应当配合。</w:t>
      </w:r>
    </w:p>
    <w:p w14:paraId="338255D2">
      <w:pPr>
        <w:adjustRightInd w:val="0"/>
        <w:snapToGrid w:val="0"/>
        <w:spacing w:line="360" w:lineRule="auto"/>
        <w:ind w:firstLine="420" w:firstLineChars="200"/>
        <w:rPr>
          <w:rFonts w:ascii="宋体" w:hAnsi="宋体"/>
          <w:color w:val="0C0C0C"/>
        </w:rPr>
      </w:pPr>
      <w:r>
        <w:rPr>
          <w:rFonts w:ascii="宋体" w:hAnsi="宋体"/>
          <w:color w:val="0C0C0C"/>
        </w:rPr>
        <w:t>5</w:t>
      </w:r>
      <w:r>
        <w:rPr>
          <w:rFonts w:hint="eastAsia" w:ascii="宋体" w:hAnsi="宋体"/>
          <w:color w:val="0C0C0C"/>
        </w:rPr>
        <w:t>、代表基金份额10%以上（含10%）的基金份额持有人就同一事项要求召开基金份额持有人大会，而基金管理人、基金托管人都不召集的，单独或合计代表基金份额10%以上（含10%）的基金份额持有人有权自行召集，并至少提前</w:t>
      </w:r>
      <w:r>
        <w:rPr>
          <w:rFonts w:ascii="宋体" w:hAnsi="宋体"/>
          <w:color w:val="0C0C0C"/>
        </w:rPr>
        <w:t>30</w:t>
      </w:r>
      <w:r>
        <w:rPr>
          <w:rFonts w:hint="eastAsia" w:ascii="宋体" w:hAnsi="宋体"/>
          <w:color w:val="0C0C0C"/>
        </w:rPr>
        <w:t>日报中国证监会备案。基金份额持有人依法自行召集基金份额持有人大会的，基金管理人、基金托管人应当配合，不得阻碍、干扰。</w:t>
      </w:r>
    </w:p>
    <w:p w14:paraId="43C3BB85">
      <w:pPr>
        <w:adjustRightInd w:val="0"/>
        <w:snapToGrid w:val="0"/>
        <w:spacing w:line="360" w:lineRule="auto"/>
        <w:ind w:firstLine="420" w:firstLineChars="200"/>
        <w:rPr>
          <w:rFonts w:ascii="宋体" w:hAnsi="宋体"/>
          <w:color w:val="0C0C0C"/>
        </w:rPr>
      </w:pPr>
      <w:r>
        <w:rPr>
          <w:rFonts w:ascii="宋体" w:hAnsi="宋体"/>
          <w:color w:val="0C0C0C"/>
        </w:rPr>
        <w:t>6</w:t>
      </w:r>
      <w:r>
        <w:rPr>
          <w:rFonts w:hint="eastAsia" w:ascii="宋体" w:hAnsi="宋体"/>
          <w:color w:val="0C0C0C"/>
        </w:rPr>
        <w:t>、基金份额持有人会议的召集人负责选择确定开会时间、地点、方式和权益登记日。</w:t>
      </w:r>
    </w:p>
    <w:p w14:paraId="72C95E46">
      <w:pPr>
        <w:adjustRightInd w:val="0"/>
        <w:snapToGrid w:val="0"/>
        <w:spacing w:line="360" w:lineRule="auto"/>
        <w:ind w:firstLine="420" w:firstLineChars="200"/>
        <w:rPr>
          <w:rFonts w:ascii="宋体" w:hAnsi="宋体"/>
          <w:color w:val="0C0C0C"/>
        </w:rPr>
      </w:pPr>
      <w:r>
        <w:rPr>
          <w:rFonts w:hint="eastAsia" w:ascii="宋体" w:hAnsi="宋体"/>
          <w:color w:val="0C0C0C"/>
        </w:rPr>
        <w:t>（三）召开基金份额持有人大会的通知时间、通知内容、通知方式</w:t>
      </w:r>
    </w:p>
    <w:p w14:paraId="330F0753">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、召开基金份额持有人大会，召集人应于会议召开前30日，在规定媒介公告。基金份额持有人大会通知应至少载明以下内容：</w:t>
      </w:r>
    </w:p>
    <w:p w14:paraId="7FE97A5E">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）会议召开的时间、地点和会议形式；</w:t>
      </w:r>
    </w:p>
    <w:p w14:paraId="3B647925">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w:t>
      </w:r>
      <w:r>
        <w:rPr>
          <w:rFonts w:hint="eastAsia" w:ascii="宋体" w:hAnsi="宋体"/>
          <w:color w:val="0C0C0C"/>
        </w:rPr>
        <w:t>）会议拟审议的事项、议事程序和表决方式；</w:t>
      </w:r>
    </w:p>
    <w:p w14:paraId="42075F89">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3</w:t>
      </w:r>
      <w:r>
        <w:rPr>
          <w:rFonts w:hint="eastAsia" w:ascii="宋体" w:hAnsi="宋体"/>
          <w:color w:val="0C0C0C"/>
        </w:rPr>
        <w:t>）有权出席基金份额持有人大会的基金份额持有人的权益登记日；</w:t>
      </w:r>
    </w:p>
    <w:p w14:paraId="5DF66D4B">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4</w:t>
      </w:r>
      <w:r>
        <w:rPr>
          <w:rFonts w:hint="eastAsia" w:ascii="宋体" w:hAnsi="宋体"/>
          <w:color w:val="0C0C0C"/>
        </w:rPr>
        <w:t>）授权委托证明的内容要求（包括但不限于代理人身份，代理权限和代理有效期限等）、送达时间和地点</w:t>
      </w:r>
      <w:r>
        <w:rPr>
          <w:rFonts w:hint="eastAsia" w:ascii="宋体" w:hAnsi="宋体" w:eastAsia="宋体"/>
          <w:color w:val="0C0C0C"/>
        </w:rPr>
        <w:t>；</w:t>
      </w:r>
    </w:p>
    <w:p w14:paraId="559CE99D">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5</w:t>
      </w:r>
      <w:r>
        <w:rPr>
          <w:rFonts w:hint="eastAsia" w:ascii="宋体" w:hAnsi="宋体"/>
          <w:color w:val="0C0C0C"/>
        </w:rPr>
        <w:t>）会务常设联系人姓名及联系电话；</w:t>
      </w:r>
    </w:p>
    <w:p w14:paraId="7E87842B">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6</w:t>
      </w:r>
      <w:r>
        <w:rPr>
          <w:rFonts w:hint="eastAsia" w:ascii="宋体" w:hAnsi="宋体"/>
          <w:color w:val="0C0C0C"/>
        </w:rPr>
        <w:t>）出席会议者必须准备的文件和必须履行的手续；</w:t>
      </w:r>
    </w:p>
    <w:p w14:paraId="1EAC3586">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7</w:t>
      </w:r>
      <w:r>
        <w:rPr>
          <w:rFonts w:hint="eastAsia" w:ascii="宋体" w:hAnsi="宋体"/>
          <w:color w:val="0C0C0C"/>
        </w:rPr>
        <w:t>）召集人需要通知的其他事项。</w:t>
      </w:r>
    </w:p>
    <w:p w14:paraId="53BD43BA">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14236661">
      <w:pPr>
        <w:adjustRightInd w:val="0"/>
        <w:snapToGrid w:val="0"/>
        <w:spacing w:line="360" w:lineRule="auto"/>
        <w:ind w:firstLine="420" w:firstLineChars="200"/>
        <w:rPr>
          <w:rFonts w:ascii="宋体" w:hAnsi="宋体"/>
          <w:color w:val="0C0C0C"/>
        </w:rPr>
      </w:pPr>
      <w:r>
        <w:rPr>
          <w:rFonts w:ascii="宋体" w:hAnsi="宋体"/>
          <w:color w:val="0C0C0C"/>
        </w:rPr>
        <w:t>3</w:t>
      </w:r>
      <w:r>
        <w:rPr>
          <w:rFonts w:hint="eastAsia" w:ascii="宋体" w:hAnsi="宋体"/>
          <w:color w:val="0C0C0C"/>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55B40C65">
      <w:pPr>
        <w:adjustRightInd w:val="0"/>
        <w:snapToGrid w:val="0"/>
        <w:spacing w:line="360" w:lineRule="auto"/>
        <w:ind w:firstLine="420" w:firstLineChars="200"/>
        <w:rPr>
          <w:rFonts w:ascii="宋体" w:hAnsi="宋体"/>
          <w:color w:val="0C0C0C"/>
        </w:rPr>
      </w:pPr>
      <w:r>
        <w:rPr>
          <w:rFonts w:hint="eastAsia" w:ascii="宋体" w:hAnsi="宋体"/>
          <w:color w:val="0C0C0C"/>
        </w:rPr>
        <w:t>（四）基金份额持有人出席会议的方式</w:t>
      </w:r>
    </w:p>
    <w:p w14:paraId="10F68C60">
      <w:pPr>
        <w:adjustRightInd w:val="0"/>
        <w:snapToGrid w:val="0"/>
        <w:spacing w:line="360" w:lineRule="auto"/>
        <w:ind w:firstLine="420" w:firstLineChars="200"/>
        <w:rPr>
          <w:rFonts w:ascii="宋体" w:hAnsi="宋体"/>
          <w:color w:val="0C0C0C"/>
        </w:rPr>
      </w:pPr>
      <w:r>
        <w:rPr>
          <w:rFonts w:hint="eastAsia" w:ascii="宋体" w:hAnsi="宋体"/>
          <w:color w:val="0C0C0C"/>
        </w:rPr>
        <w:t>基金份额持有人大会可通过现场开会方式、通讯开会方式或法律法规、监管机构允许的其他方式召开，会议的召开方式由会议召集人确定。</w:t>
      </w:r>
    </w:p>
    <w:p w14:paraId="12628B59">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370E4812">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1C1F3E3">
      <w:pPr>
        <w:adjustRightInd w:val="0"/>
        <w:snapToGrid w:val="0"/>
        <w:spacing w:line="360" w:lineRule="auto"/>
        <w:ind w:firstLine="420" w:firstLineChars="200"/>
        <w:rPr>
          <w:rFonts w:ascii="宋体" w:hAnsi="宋体" w:eastAsia="宋体"/>
          <w:color w:val="0C0C0C"/>
        </w:rPr>
      </w:pPr>
      <w:r>
        <w:rPr>
          <w:rFonts w:hint="eastAsia" w:ascii="宋体" w:hAnsi="宋体"/>
          <w:color w:val="0C0C0C"/>
        </w:rPr>
        <w:t>（</w:t>
      </w:r>
      <w:r>
        <w:rPr>
          <w:rFonts w:ascii="宋体" w:hAnsi="宋体"/>
          <w:color w:val="0C0C0C"/>
        </w:rPr>
        <w:t>2</w:t>
      </w:r>
      <w:r>
        <w:rPr>
          <w:rFonts w:hint="eastAsia" w:ascii="宋体" w:hAnsi="宋体"/>
          <w:color w:val="0C0C0C"/>
        </w:rPr>
        <w:t>）经核对，汇总到会者出示的在权益登记日持有基金份额的凭证显示，有效的基金份额不少于本基金在权益登记日基金总份额的二分之一（含二分之一）。</w:t>
      </w:r>
    </w:p>
    <w:p w14:paraId="74339CB7">
      <w:pPr>
        <w:adjustRightInd w:val="0"/>
        <w:snapToGrid w:val="0"/>
        <w:spacing w:line="360" w:lineRule="auto"/>
        <w:ind w:firstLine="420" w:firstLineChars="200"/>
        <w:rPr>
          <w:rFonts w:ascii="宋体" w:hAnsi="宋体"/>
          <w:color w:val="0C0C0C"/>
        </w:rPr>
      </w:pPr>
      <w:r>
        <w:rPr>
          <w:rFonts w:hint="eastAsia" w:ascii="宋体" w:hAnsi="宋体"/>
          <w:color w:val="0C0C0C"/>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34DC54CC">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712EB626">
      <w:pPr>
        <w:adjustRightInd w:val="0"/>
        <w:snapToGrid w:val="0"/>
        <w:spacing w:line="360" w:lineRule="auto"/>
        <w:ind w:firstLine="420" w:firstLineChars="200"/>
        <w:rPr>
          <w:rFonts w:ascii="宋体" w:hAnsi="宋体"/>
          <w:color w:val="0C0C0C"/>
        </w:rPr>
      </w:pPr>
      <w:r>
        <w:rPr>
          <w:rFonts w:hint="eastAsia" w:ascii="宋体" w:hAnsi="宋体"/>
          <w:color w:val="0C0C0C"/>
        </w:rPr>
        <w:t>在同时符合以下条件时，通讯开会的方式视为有效：</w:t>
      </w:r>
    </w:p>
    <w:p w14:paraId="79927329">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）会议召集人按《基金合同》约定公布会议通知后，在</w:t>
      </w:r>
      <w:r>
        <w:rPr>
          <w:rFonts w:ascii="宋体" w:hAnsi="宋体" w:eastAsia="宋体"/>
          <w:color w:val="0C0C0C"/>
        </w:rPr>
        <w:t xml:space="preserve"> </w:t>
      </w:r>
      <w:r>
        <w:rPr>
          <w:rFonts w:hint="eastAsia" w:ascii="宋体" w:hAnsi="宋体"/>
          <w:color w:val="0C0C0C"/>
        </w:rPr>
        <w:t>2个工作日内连续公布相关提示性公告；</w:t>
      </w:r>
    </w:p>
    <w:p w14:paraId="673771AA">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w:t>
      </w:r>
      <w:r>
        <w:rPr>
          <w:rFonts w:hint="eastAsia" w:ascii="宋体" w:hAnsi="宋体"/>
          <w:color w:val="0C0C0C"/>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22566DBA">
      <w:pPr>
        <w:adjustRightInd w:val="0"/>
        <w:snapToGrid w:val="0"/>
        <w:spacing w:line="360" w:lineRule="auto"/>
        <w:ind w:firstLine="420" w:firstLineChars="200"/>
        <w:rPr>
          <w:rFonts w:ascii="宋体" w:hAnsi="宋体" w:eastAsia="宋体"/>
          <w:color w:val="0C0C0C"/>
        </w:rPr>
      </w:pPr>
      <w:r>
        <w:rPr>
          <w:rFonts w:hint="eastAsia" w:ascii="宋体" w:hAnsi="宋体"/>
          <w:color w:val="0C0C0C"/>
        </w:rPr>
        <w:t>（</w:t>
      </w:r>
      <w:r>
        <w:rPr>
          <w:rFonts w:ascii="宋体" w:hAnsi="宋体"/>
          <w:color w:val="0C0C0C"/>
        </w:rPr>
        <w:t>3</w:t>
      </w:r>
      <w:r>
        <w:rPr>
          <w:rFonts w:hint="eastAsia" w:ascii="宋体" w:hAnsi="宋体"/>
          <w:color w:val="0C0C0C"/>
        </w:rPr>
        <w:t>）本人直接出具</w:t>
      </w:r>
      <w:r>
        <w:rPr>
          <w:rFonts w:hint="eastAsia" w:ascii="宋体" w:hAnsi="宋体" w:eastAsia="宋体"/>
          <w:color w:val="0C0C0C"/>
        </w:rPr>
        <w:t>表决</w:t>
      </w:r>
      <w:r>
        <w:rPr>
          <w:rFonts w:hint="eastAsia" w:ascii="宋体" w:hAnsi="宋体"/>
          <w:color w:val="0C0C0C"/>
        </w:rPr>
        <w:t>意见或授权他人代表出具</w:t>
      </w:r>
      <w:r>
        <w:rPr>
          <w:rFonts w:hint="eastAsia" w:ascii="宋体" w:hAnsi="宋体" w:eastAsia="宋体"/>
          <w:color w:val="0C0C0C"/>
        </w:rPr>
        <w:t>表决</w:t>
      </w:r>
      <w:r>
        <w:rPr>
          <w:rFonts w:hint="eastAsia" w:ascii="宋体" w:hAnsi="宋体"/>
          <w:color w:val="0C0C0C"/>
        </w:rPr>
        <w:t>意见的，基金份额持有人所持有的基金份额不小于在权益登记日基金总份额的二分之一（含二分之一）；</w:t>
      </w:r>
    </w:p>
    <w:p w14:paraId="24AF2FBB">
      <w:pPr>
        <w:adjustRightInd w:val="0"/>
        <w:snapToGrid w:val="0"/>
        <w:spacing w:line="360" w:lineRule="auto"/>
        <w:ind w:firstLine="420" w:firstLineChars="200"/>
        <w:rPr>
          <w:rFonts w:ascii="宋体" w:hAnsi="宋体"/>
          <w:color w:val="0C0C0C"/>
        </w:rPr>
      </w:pPr>
      <w:r>
        <w:rPr>
          <w:rFonts w:hint="eastAsia" w:ascii="宋体" w:hAnsi="宋体"/>
          <w:color w:val="0C0C0C"/>
        </w:rPr>
        <w:t>若本人直接出具</w:t>
      </w:r>
      <w:r>
        <w:rPr>
          <w:rFonts w:hint="eastAsia" w:ascii="宋体" w:hAnsi="宋体" w:eastAsia="宋体"/>
          <w:color w:val="0C0C0C"/>
        </w:rPr>
        <w:t>表决</w:t>
      </w:r>
      <w:r>
        <w:rPr>
          <w:rFonts w:hint="eastAsia" w:ascii="宋体" w:hAnsi="宋体"/>
          <w:color w:val="0C0C0C"/>
        </w:rPr>
        <w:t>意见或授权他人代表出具</w:t>
      </w:r>
      <w:r>
        <w:rPr>
          <w:rFonts w:hint="eastAsia" w:ascii="宋体" w:hAnsi="宋体" w:eastAsia="宋体"/>
          <w:color w:val="0C0C0C"/>
        </w:rPr>
        <w:t>表决</w:t>
      </w:r>
      <w:r>
        <w:rPr>
          <w:rFonts w:hint="eastAsia" w:ascii="宋体" w:hAnsi="宋体"/>
          <w:color w:val="0C0C0C"/>
        </w:rPr>
        <w:t>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w:t>
      </w:r>
      <w:r>
        <w:rPr>
          <w:rFonts w:hint="eastAsia" w:ascii="宋体" w:hAnsi="宋体" w:eastAsia="宋体"/>
          <w:color w:val="0C0C0C"/>
        </w:rPr>
        <w:t>表决</w:t>
      </w:r>
      <w:r>
        <w:rPr>
          <w:rFonts w:hint="eastAsia" w:ascii="宋体" w:hAnsi="宋体"/>
          <w:color w:val="0C0C0C"/>
        </w:rPr>
        <w:t>意见或授权他人代表出具</w:t>
      </w:r>
      <w:r>
        <w:rPr>
          <w:rFonts w:hint="eastAsia" w:ascii="宋体" w:hAnsi="宋体" w:eastAsia="宋体"/>
          <w:color w:val="0C0C0C"/>
        </w:rPr>
        <w:t>表决</w:t>
      </w:r>
      <w:r>
        <w:rPr>
          <w:rFonts w:hint="eastAsia" w:ascii="宋体" w:hAnsi="宋体"/>
          <w:color w:val="0C0C0C"/>
        </w:rPr>
        <w:t>意见；</w:t>
      </w:r>
    </w:p>
    <w:p w14:paraId="014BAD62">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4</w:t>
      </w:r>
      <w:r>
        <w:rPr>
          <w:rFonts w:hint="eastAsia" w:ascii="宋体" w:hAnsi="宋体"/>
          <w:color w:val="0C0C0C"/>
        </w:rPr>
        <w:t>）上述第（</w:t>
      </w:r>
      <w:r>
        <w:rPr>
          <w:rFonts w:ascii="宋体" w:hAnsi="宋体"/>
          <w:color w:val="0C0C0C"/>
        </w:rPr>
        <w:t>3</w:t>
      </w:r>
      <w:r>
        <w:rPr>
          <w:rFonts w:hint="eastAsia" w:ascii="宋体" w:hAnsi="宋体"/>
          <w:color w:val="0C0C0C"/>
        </w:rPr>
        <w:t>）项中直接出具</w:t>
      </w:r>
      <w:r>
        <w:rPr>
          <w:rFonts w:hint="eastAsia" w:ascii="宋体" w:hAnsi="宋体" w:eastAsia="宋体"/>
          <w:color w:val="0C0C0C"/>
        </w:rPr>
        <w:t>表决</w:t>
      </w:r>
      <w:r>
        <w:rPr>
          <w:rFonts w:hint="eastAsia" w:ascii="宋体" w:hAnsi="宋体"/>
          <w:color w:val="0C0C0C"/>
        </w:rPr>
        <w:t>意见的基金份额持有人或受托代表他人出具</w:t>
      </w:r>
      <w:r>
        <w:rPr>
          <w:rFonts w:hint="eastAsia" w:ascii="宋体" w:hAnsi="宋体" w:eastAsia="宋体"/>
          <w:color w:val="0C0C0C"/>
        </w:rPr>
        <w:t>表决</w:t>
      </w:r>
      <w:r>
        <w:rPr>
          <w:rFonts w:hint="eastAsia" w:ascii="宋体" w:hAnsi="宋体"/>
          <w:color w:val="0C0C0C"/>
        </w:rPr>
        <w:t>意见的代理人，同时提交的持有基金份额的凭证、受托出具</w:t>
      </w:r>
      <w:r>
        <w:rPr>
          <w:rFonts w:hint="eastAsia" w:ascii="宋体" w:hAnsi="宋体" w:eastAsia="宋体"/>
          <w:color w:val="0C0C0C"/>
        </w:rPr>
        <w:t>表决</w:t>
      </w:r>
      <w:r>
        <w:rPr>
          <w:rFonts w:hint="eastAsia" w:ascii="宋体" w:hAnsi="宋体"/>
          <w:color w:val="0C0C0C"/>
        </w:rPr>
        <w:t>意见的代理人出具的委托人持有基金份额的凭证及委托人的代理投票授权委托证明符合法律法规、《基金合同》和会议通知的规定，并与基金登记机构记录相符</w:t>
      </w:r>
      <w:r>
        <w:rPr>
          <w:rFonts w:hint="eastAsia" w:ascii="宋体" w:hAnsi="宋体" w:eastAsia="宋体"/>
          <w:color w:val="0C0C0C"/>
        </w:rPr>
        <w:t>。</w:t>
      </w:r>
    </w:p>
    <w:p w14:paraId="11C8E1D8">
      <w:pPr>
        <w:adjustRightInd w:val="0"/>
        <w:snapToGrid w:val="0"/>
        <w:spacing w:line="360" w:lineRule="auto"/>
        <w:ind w:firstLine="420" w:firstLineChars="200"/>
        <w:rPr>
          <w:rFonts w:ascii="宋体" w:hAnsi="宋体" w:eastAsia="宋体"/>
          <w:color w:val="0C0C0C"/>
        </w:rPr>
      </w:pPr>
      <w:r>
        <w:rPr>
          <w:rFonts w:ascii="宋体" w:hAnsi="宋体" w:eastAsia="宋体"/>
          <w:color w:val="0C0C0C"/>
        </w:rPr>
        <w:t xml:space="preserve"> </w:t>
      </w:r>
      <w:r>
        <w:rPr>
          <w:rFonts w:hint="eastAsia" w:ascii="宋体" w:hAnsi="宋体" w:eastAsia="宋体"/>
          <w:color w:val="0C0C0C"/>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64AC9A0F">
      <w:pPr>
        <w:adjustRightInd w:val="0"/>
        <w:snapToGrid w:val="0"/>
        <w:spacing w:line="360" w:lineRule="auto"/>
        <w:ind w:firstLine="420" w:firstLineChars="200"/>
        <w:rPr>
          <w:rFonts w:ascii="宋体" w:hAnsi="宋体"/>
          <w:color w:val="0C0C0C"/>
        </w:rPr>
      </w:pPr>
      <w:r>
        <w:rPr>
          <w:rFonts w:hint="eastAsia" w:ascii="宋体" w:hAnsi="宋体"/>
          <w:color w:val="0C0C0C"/>
        </w:rPr>
        <w:t>（五）议事内容与程序</w:t>
      </w:r>
    </w:p>
    <w:p w14:paraId="6378A28A">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、议事内容及提案权</w:t>
      </w:r>
    </w:p>
    <w:p w14:paraId="110039FA">
      <w:pPr>
        <w:adjustRightInd w:val="0"/>
        <w:snapToGrid w:val="0"/>
        <w:spacing w:line="360" w:lineRule="auto"/>
        <w:ind w:firstLine="420" w:firstLineChars="200"/>
        <w:rPr>
          <w:rFonts w:ascii="宋体" w:hAnsi="宋体"/>
          <w:color w:val="0C0C0C"/>
        </w:rPr>
      </w:pPr>
      <w:r>
        <w:rPr>
          <w:rFonts w:hint="eastAsia" w:ascii="宋体" w:hAnsi="宋体"/>
          <w:color w:val="0C0C0C"/>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7794CBC7">
      <w:pPr>
        <w:adjustRightInd w:val="0"/>
        <w:snapToGrid w:val="0"/>
        <w:spacing w:line="360" w:lineRule="auto"/>
        <w:ind w:firstLine="420" w:firstLineChars="200"/>
        <w:rPr>
          <w:rFonts w:ascii="宋体" w:hAnsi="宋体"/>
          <w:color w:val="0C0C0C"/>
        </w:rPr>
      </w:pPr>
      <w:r>
        <w:rPr>
          <w:rFonts w:hint="eastAsia" w:ascii="宋体" w:hAnsi="宋体"/>
          <w:color w:val="0C0C0C"/>
        </w:rPr>
        <w:t>基金份额持有人大会的召集人发出召集会议的通知后，对原有提案的修改应当在基金份额持有人大会召开前及时公告。</w:t>
      </w:r>
    </w:p>
    <w:p w14:paraId="4C478AB5">
      <w:pPr>
        <w:adjustRightInd w:val="0"/>
        <w:snapToGrid w:val="0"/>
        <w:spacing w:line="360" w:lineRule="auto"/>
        <w:ind w:firstLine="420" w:firstLineChars="200"/>
        <w:rPr>
          <w:rFonts w:ascii="宋体" w:hAnsi="宋体"/>
          <w:color w:val="0C0C0C"/>
        </w:rPr>
      </w:pPr>
      <w:r>
        <w:rPr>
          <w:rFonts w:hint="eastAsia" w:ascii="宋体" w:hAnsi="宋体"/>
          <w:color w:val="0C0C0C"/>
        </w:rPr>
        <w:t>基金份额持有人大会不得对未事先公告的议事内容进行表决。</w:t>
      </w:r>
    </w:p>
    <w:p w14:paraId="4FE1B7F7">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、议事程序</w:t>
      </w:r>
    </w:p>
    <w:p w14:paraId="55C9B58A">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）现场开会</w:t>
      </w:r>
    </w:p>
    <w:p w14:paraId="189D4C16">
      <w:pPr>
        <w:adjustRightInd w:val="0"/>
        <w:snapToGrid w:val="0"/>
        <w:spacing w:line="360" w:lineRule="auto"/>
        <w:ind w:firstLine="420" w:firstLineChars="200"/>
        <w:rPr>
          <w:rFonts w:ascii="宋体" w:hAnsi="宋体"/>
          <w:color w:val="0C0C0C"/>
        </w:rPr>
      </w:pPr>
      <w:r>
        <w:rPr>
          <w:rFonts w:hint="eastAsia" w:ascii="宋体" w:hAnsi="宋体"/>
          <w:color w:val="0C0C0C"/>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ascii="宋体" w:hAnsi="宋体" w:eastAsia="宋体"/>
          <w:color w:val="0C0C0C"/>
        </w:rPr>
        <w:t>二分之一</w:t>
      </w:r>
      <w:r>
        <w:rPr>
          <w:rFonts w:hint="eastAsia" w:ascii="宋体" w:hAnsi="宋体"/>
          <w:color w:val="0C0C0C"/>
        </w:rPr>
        <w:t>以上（含</w:t>
      </w:r>
      <w:r>
        <w:rPr>
          <w:rFonts w:hint="eastAsia" w:ascii="宋体" w:hAnsi="宋体" w:eastAsia="宋体"/>
          <w:color w:val="0C0C0C"/>
        </w:rPr>
        <w:t>二分之一</w:t>
      </w:r>
      <w:r>
        <w:rPr>
          <w:rFonts w:hint="eastAsia" w:ascii="宋体" w:hAnsi="宋体"/>
          <w:color w:val="0C0C0C"/>
        </w:rPr>
        <w:t>）选举产生一名基金份额持有人作为该次基金份额持有人大会的主持人。基金管理人和基金托管人拒不出席或主持基金份额持有人大会，不影响基金份额持有人大会作出的决议的效力。</w:t>
      </w:r>
    </w:p>
    <w:p w14:paraId="73BC4963">
      <w:pPr>
        <w:adjustRightInd w:val="0"/>
        <w:snapToGrid w:val="0"/>
        <w:spacing w:line="360" w:lineRule="auto"/>
        <w:ind w:firstLine="420" w:firstLineChars="200"/>
        <w:rPr>
          <w:rFonts w:ascii="宋体" w:hAnsi="宋体"/>
          <w:color w:val="0C0C0C"/>
        </w:rPr>
      </w:pPr>
      <w:r>
        <w:rPr>
          <w:rFonts w:hint="eastAsia" w:ascii="宋体" w:hAnsi="宋体"/>
          <w:color w:val="0C0C0C"/>
        </w:rPr>
        <w:t>会议召集人应当制作出席会议人员的签名册。签名册载明参加会议人员姓名（或单位名称）、身份证明文件号码、持有或代表有表决权的基金份额、委托人姓名（或单位名称）和联系方式等事项。</w:t>
      </w:r>
    </w:p>
    <w:p w14:paraId="420CA9BE">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w:t>
      </w:r>
      <w:r>
        <w:rPr>
          <w:rFonts w:hint="eastAsia" w:ascii="宋体" w:hAnsi="宋体"/>
          <w:color w:val="0C0C0C"/>
        </w:rPr>
        <w:t>）通讯开会</w:t>
      </w:r>
    </w:p>
    <w:p w14:paraId="15F32298">
      <w:pPr>
        <w:adjustRightInd w:val="0"/>
        <w:snapToGrid w:val="0"/>
        <w:spacing w:line="360" w:lineRule="auto"/>
        <w:ind w:firstLine="420" w:firstLineChars="200"/>
        <w:rPr>
          <w:rFonts w:ascii="宋体" w:hAnsi="宋体"/>
          <w:color w:val="0C0C0C"/>
        </w:rPr>
      </w:pPr>
      <w:r>
        <w:rPr>
          <w:rFonts w:hint="eastAsia" w:ascii="宋体" w:hAnsi="宋体"/>
          <w:color w:val="0C0C0C"/>
        </w:rPr>
        <w:t>在通讯开会的情况下，首先由召集人提前30日公布提案，在所通知的表决截止日期后2个工作日内在公证机关监督下由召集人统计全部有效表决，在公证机关监督下形成决议。</w:t>
      </w:r>
    </w:p>
    <w:p w14:paraId="5DACA11F">
      <w:pPr>
        <w:adjustRightInd w:val="0"/>
        <w:snapToGrid w:val="0"/>
        <w:spacing w:line="360" w:lineRule="auto"/>
        <w:ind w:firstLine="420" w:firstLineChars="200"/>
        <w:rPr>
          <w:rFonts w:ascii="宋体" w:hAnsi="宋体"/>
          <w:color w:val="0C0C0C"/>
        </w:rPr>
      </w:pPr>
      <w:r>
        <w:rPr>
          <w:rFonts w:hint="eastAsia" w:ascii="宋体" w:hAnsi="宋体"/>
          <w:color w:val="0C0C0C"/>
        </w:rPr>
        <w:t>（六）表决</w:t>
      </w:r>
    </w:p>
    <w:p w14:paraId="0D6A05FE">
      <w:pPr>
        <w:adjustRightInd w:val="0"/>
        <w:snapToGrid w:val="0"/>
        <w:spacing w:line="360" w:lineRule="auto"/>
        <w:ind w:firstLine="420" w:firstLineChars="200"/>
        <w:rPr>
          <w:rFonts w:ascii="宋体" w:hAnsi="宋体"/>
          <w:color w:val="0C0C0C"/>
        </w:rPr>
      </w:pPr>
      <w:r>
        <w:rPr>
          <w:rFonts w:hint="eastAsia" w:ascii="宋体" w:hAnsi="宋体"/>
          <w:color w:val="0C0C0C"/>
        </w:rPr>
        <w:t>基金份额持有人所持每份基金份额有一票表决权。</w:t>
      </w:r>
    </w:p>
    <w:p w14:paraId="2DC61D89">
      <w:pPr>
        <w:adjustRightInd w:val="0"/>
        <w:snapToGrid w:val="0"/>
        <w:spacing w:line="360" w:lineRule="auto"/>
        <w:ind w:firstLine="420" w:firstLineChars="200"/>
        <w:rPr>
          <w:rFonts w:ascii="宋体" w:hAnsi="宋体"/>
          <w:color w:val="0C0C0C"/>
        </w:rPr>
      </w:pPr>
      <w:r>
        <w:rPr>
          <w:rFonts w:hint="eastAsia" w:ascii="宋体" w:hAnsi="宋体"/>
          <w:color w:val="0C0C0C"/>
        </w:rPr>
        <w:t>基金份额持有人大会决议分为一般决议和特别决议：</w:t>
      </w:r>
    </w:p>
    <w:p w14:paraId="17C06017">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、一般决议，一般决议须经参加大会的基金份额持有人或其代理人所持表决权的二分之一以上（含二分之一）通过方为有效；除下列第</w:t>
      </w:r>
      <w:r>
        <w:rPr>
          <w:rFonts w:ascii="宋体" w:hAnsi="宋体"/>
          <w:color w:val="0C0C0C"/>
        </w:rPr>
        <w:t>2</w:t>
      </w:r>
      <w:r>
        <w:rPr>
          <w:rFonts w:hint="eastAsia" w:ascii="宋体" w:hAnsi="宋体"/>
          <w:color w:val="0C0C0C"/>
        </w:rPr>
        <w:t>项所规定的须以特别决议通过事项以外的其他事项均以一般决议的方式通过。</w:t>
      </w:r>
    </w:p>
    <w:p w14:paraId="5AA0DCB6">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特别决议，特别决议应当经参加大会的基金份额持有人或其代理人所持表决权的三分之二以上（含三分之二）通过方可做出。除法律法规、监管机构或基金合同另有约定外，转换基金运作方式、更换基金管理人或者基金托管人、终止《基金合同》、本基金与其他基金合并以特别决议通过方为有效。</w:t>
      </w:r>
    </w:p>
    <w:p w14:paraId="6EBF071E">
      <w:pPr>
        <w:adjustRightInd w:val="0"/>
        <w:snapToGrid w:val="0"/>
        <w:spacing w:line="360" w:lineRule="auto"/>
        <w:ind w:firstLine="420" w:firstLineChars="200"/>
        <w:rPr>
          <w:rFonts w:ascii="宋体" w:hAnsi="宋体"/>
          <w:color w:val="0C0C0C"/>
        </w:rPr>
      </w:pPr>
      <w:r>
        <w:rPr>
          <w:rFonts w:hint="eastAsia" w:ascii="宋体" w:hAnsi="宋体"/>
          <w:color w:val="0C0C0C"/>
        </w:rPr>
        <w:t>基金份额持有人大会采取记名方式进行投票表决。</w:t>
      </w:r>
    </w:p>
    <w:p w14:paraId="09EA57D1">
      <w:pPr>
        <w:adjustRightInd w:val="0"/>
        <w:snapToGrid w:val="0"/>
        <w:spacing w:line="360" w:lineRule="auto"/>
        <w:ind w:firstLine="420" w:firstLineChars="200"/>
        <w:rPr>
          <w:rFonts w:ascii="宋体" w:hAnsi="宋体"/>
          <w:color w:val="0C0C0C"/>
        </w:rPr>
      </w:pPr>
      <w:r>
        <w:rPr>
          <w:rFonts w:hint="eastAsia" w:ascii="宋体" w:hAnsi="宋体"/>
          <w:color w:val="0C0C0C"/>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ascii="宋体" w:hAnsi="宋体" w:eastAsia="宋体"/>
          <w:color w:val="0C0C0C"/>
        </w:rPr>
        <w:t>表决</w:t>
      </w:r>
      <w:r>
        <w:rPr>
          <w:rFonts w:hint="eastAsia" w:ascii="宋体" w:hAnsi="宋体"/>
          <w:color w:val="0C0C0C"/>
        </w:rPr>
        <w:t>意见的基金份额持有人所代表的基金份额总数。</w:t>
      </w:r>
    </w:p>
    <w:p w14:paraId="002E1840">
      <w:pPr>
        <w:adjustRightInd w:val="0"/>
        <w:snapToGrid w:val="0"/>
        <w:spacing w:line="360" w:lineRule="auto"/>
        <w:ind w:firstLine="420" w:firstLineChars="200"/>
        <w:rPr>
          <w:rFonts w:ascii="宋体" w:hAnsi="宋体"/>
          <w:color w:val="0C0C0C"/>
        </w:rPr>
      </w:pPr>
      <w:r>
        <w:rPr>
          <w:rFonts w:hint="eastAsia" w:ascii="宋体" w:hAnsi="宋体"/>
          <w:color w:val="0C0C0C"/>
        </w:rPr>
        <w:t>基金份额持有人大会的各项提案或同一项提案内并列的各项议题应当分开审议、逐项表决。</w:t>
      </w:r>
    </w:p>
    <w:p w14:paraId="599A3D0E">
      <w:pPr>
        <w:adjustRightInd w:val="0"/>
        <w:snapToGrid w:val="0"/>
        <w:spacing w:line="360" w:lineRule="auto"/>
        <w:ind w:firstLine="420" w:firstLineChars="200"/>
        <w:rPr>
          <w:rFonts w:ascii="宋体" w:hAnsi="宋体"/>
          <w:color w:val="0C0C0C"/>
        </w:rPr>
      </w:pPr>
      <w:r>
        <w:rPr>
          <w:rFonts w:hint="eastAsia" w:ascii="宋体" w:hAnsi="宋体"/>
          <w:color w:val="0C0C0C"/>
        </w:rPr>
        <w:t>在上述规则的前提下，具体规则以召集人发布的基金份额持有人大会通知为准。</w:t>
      </w:r>
    </w:p>
    <w:p w14:paraId="33A057FE">
      <w:pPr>
        <w:adjustRightInd w:val="0"/>
        <w:snapToGrid w:val="0"/>
        <w:spacing w:line="360" w:lineRule="auto"/>
        <w:ind w:firstLine="420" w:firstLineChars="200"/>
        <w:rPr>
          <w:rFonts w:ascii="宋体" w:hAnsi="宋体"/>
          <w:color w:val="0C0C0C"/>
        </w:rPr>
      </w:pPr>
      <w:r>
        <w:rPr>
          <w:rFonts w:hint="eastAsia" w:ascii="宋体" w:hAnsi="宋体"/>
          <w:color w:val="0C0C0C"/>
        </w:rPr>
        <w:t>（七）计票</w:t>
      </w:r>
    </w:p>
    <w:p w14:paraId="1A81C202">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、现场开会</w:t>
      </w:r>
    </w:p>
    <w:p w14:paraId="2C63C68B">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1</w:t>
      </w:r>
      <w:r>
        <w:rPr>
          <w:rFonts w:hint="eastAsia" w:ascii="宋体" w:hAnsi="宋体"/>
          <w:color w:val="0C0C0C"/>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24D22780">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w:t>
      </w:r>
      <w:r>
        <w:rPr>
          <w:rFonts w:hint="eastAsia" w:ascii="宋体" w:hAnsi="宋体"/>
          <w:color w:val="0C0C0C"/>
        </w:rPr>
        <w:t>）监票人应当在基金份额持有人表决后立即进行清点并由大会主持人当场公布计票结果。</w:t>
      </w:r>
    </w:p>
    <w:p w14:paraId="4527BD59">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3</w:t>
      </w:r>
      <w:r>
        <w:rPr>
          <w:rFonts w:hint="eastAsia" w:ascii="宋体" w:hAnsi="宋体"/>
          <w:color w:val="0C0C0C"/>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068BF2EA">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4</w:t>
      </w:r>
      <w:r>
        <w:rPr>
          <w:rFonts w:hint="eastAsia" w:ascii="宋体" w:hAnsi="宋体"/>
          <w:color w:val="0C0C0C"/>
        </w:rPr>
        <w:t>）计票过程应由公证机关予以公证</w:t>
      </w:r>
      <w:r>
        <w:rPr>
          <w:rFonts w:hint="eastAsia" w:ascii="宋体" w:hAnsi="宋体" w:eastAsia="宋体"/>
          <w:color w:val="0C0C0C"/>
        </w:rPr>
        <w:t>，</w:t>
      </w:r>
      <w:r>
        <w:rPr>
          <w:rFonts w:hint="eastAsia" w:ascii="宋体" w:hAnsi="宋体"/>
          <w:color w:val="0C0C0C"/>
        </w:rPr>
        <w:t>基金管理人或基金托管人拒不出席大会的，不影响计票的效力。</w:t>
      </w:r>
    </w:p>
    <w:p w14:paraId="4032B646">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、通讯开会</w:t>
      </w:r>
    </w:p>
    <w:p w14:paraId="48A5EB64">
      <w:pPr>
        <w:adjustRightInd w:val="0"/>
        <w:snapToGrid w:val="0"/>
        <w:spacing w:line="360" w:lineRule="auto"/>
        <w:ind w:firstLine="420" w:firstLineChars="200"/>
        <w:rPr>
          <w:rFonts w:ascii="宋体" w:hAnsi="宋体"/>
          <w:color w:val="0C0C0C"/>
        </w:rPr>
      </w:pPr>
      <w:r>
        <w:rPr>
          <w:rFonts w:hint="eastAsia" w:ascii="宋体" w:hAnsi="宋体"/>
          <w:color w:val="0C0C0C"/>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197785C4">
      <w:pPr>
        <w:adjustRightInd w:val="0"/>
        <w:snapToGrid w:val="0"/>
        <w:spacing w:line="360" w:lineRule="auto"/>
        <w:ind w:firstLine="420" w:firstLineChars="200"/>
        <w:rPr>
          <w:rFonts w:ascii="宋体" w:hAnsi="宋体"/>
          <w:color w:val="0C0C0C"/>
        </w:rPr>
      </w:pPr>
      <w:r>
        <w:rPr>
          <w:rFonts w:hint="eastAsia" w:ascii="宋体" w:hAnsi="宋体"/>
          <w:color w:val="0C0C0C"/>
        </w:rPr>
        <w:t>（八）生效与公告</w:t>
      </w:r>
    </w:p>
    <w:p w14:paraId="7F0E8A1A">
      <w:pPr>
        <w:adjustRightInd w:val="0"/>
        <w:snapToGrid w:val="0"/>
        <w:spacing w:line="360" w:lineRule="auto"/>
        <w:ind w:firstLine="420" w:firstLineChars="200"/>
        <w:rPr>
          <w:rFonts w:ascii="宋体" w:hAnsi="宋体"/>
          <w:color w:val="0C0C0C"/>
        </w:rPr>
      </w:pPr>
      <w:r>
        <w:rPr>
          <w:rFonts w:hint="eastAsia" w:ascii="宋体" w:hAnsi="宋体"/>
          <w:color w:val="0C0C0C"/>
        </w:rPr>
        <w:t>基金份额持有人大会的决议，召集人应当自通过之日起5日内报中国证监会备案。</w:t>
      </w:r>
    </w:p>
    <w:p w14:paraId="3842E068">
      <w:pPr>
        <w:adjustRightInd w:val="0"/>
        <w:snapToGrid w:val="0"/>
        <w:spacing w:line="360" w:lineRule="auto"/>
        <w:ind w:firstLine="420" w:firstLineChars="200"/>
        <w:rPr>
          <w:rFonts w:ascii="宋体" w:hAnsi="宋体"/>
          <w:color w:val="0C0C0C"/>
        </w:rPr>
      </w:pPr>
      <w:r>
        <w:rPr>
          <w:rFonts w:hint="eastAsia" w:ascii="宋体" w:hAnsi="宋体"/>
          <w:color w:val="0C0C0C"/>
        </w:rPr>
        <w:t>基金份额持有人大会的决议自表决通过之日起生效。</w:t>
      </w:r>
    </w:p>
    <w:p w14:paraId="6FF161AC">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基金份额持有人大会决议自生效之日起依照《信息披露办法》在规定媒介上公告。如果采用通讯方式进行表决，在公告基金份额持有人大会决议时，必须将公证书全文、公证机构、公证员姓名等一同公告。</w:t>
      </w:r>
    </w:p>
    <w:p w14:paraId="702767ED">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基金管理人、基金托管人和基金份额持有人应当执行生效的基金份额持有人大会的决议。生效的基金份额持有人大会决议对全体基金份额持有人、基金管理人、基金托管人均有约束力。</w:t>
      </w:r>
    </w:p>
    <w:p w14:paraId="6F76CA42">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九）本部分关于基金份额持有人大会召开事由、召开条件、议事程序、表决条件等规定，凡是直接引用法律法规的部分，如将来法律法规修改导致相关内容被取消或变更的，基金管理人与基金托管人协商一致并履行适当程序后，可直接对本部分内容进行修改和调整，无需召开基金份额持有人大会审议。</w:t>
      </w:r>
    </w:p>
    <w:p w14:paraId="09FE5E63">
      <w:pPr>
        <w:snapToGrid w:val="0"/>
        <w:spacing w:line="360" w:lineRule="auto"/>
        <w:ind w:firstLine="420" w:firstLineChars="200"/>
        <w:rPr>
          <w:rFonts w:ascii="宋体" w:hAnsi="宋体" w:eastAsia="宋体"/>
        </w:rPr>
      </w:pPr>
      <w:r>
        <w:rPr>
          <w:rFonts w:hint="eastAsia" w:ascii="宋体" w:hAnsi="宋体" w:eastAsia="宋体"/>
        </w:rPr>
        <w:t>三、基金收益分配原则、执行方式</w:t>
      </w:r>
    </w:p>
    <w:p w14:paraId="23B1C72A">
      <w:pPr>
        <w:adjustRightInd w:val="0"/>
        <w:snapToGrid w:val="0"/>
        <w:spacing w:line="360" w:lineRule="auto"/>
        <w:ind w:firstLine="420" w:firstLineChars="200"/>
        <w:rPr>
          <w:rFonts w:ascii="宋体" w:hAnsi="宋体" w:eastAsia="宋体"/>
        </w:rPr>
      </w:pPr>
      <w:r>
        <w:rPr>
          <w:rFonts w:hint="eastAsia" w:ascii="宋体" w:hAnsi="宋体" w:eastAsia="宋体"/>
        </w:rPr>
        <w:t>（一）基金收益分配原则</w:t>
      </w:r>
    </w:p>
    <w:p w14:paraId="74195230">
      <w:pPr>
        <w:adjustRightInd w:val="0"/>
        <w:snapToGrid w:val="0"/>
        <w:spacing w:line="360" w:lineRule="auto"/>
        <w:ind w:firstLine="420" w:firstLineChars="200"/>
        <w:rPr>
          <w:rFonts w:ascii="宋体" w:hAnsi="宋体" w:eastAsia="宋体"/>
          <w:color w:val="0C0C0C"/>
        </w:rPr>
      </w:pPr>
      <w:bookmarkStart w:id="595" w:name="_Hlk143270347"/>
      <w:r>
        <w:rPr>
          <w:rFonts w:hint="eastAsia" w:ascii="宋体" w:hAnsi="宋体" w:eastAsia="宋体"/>
          <w:color w:val="0C0C0C"/>
        </w:rPr>
        <w:t>1、本基金的收益分配方式为现金分红；</w:t>
      </w:r>
    </w:p>
    <w:p w14:paraId="0B9E60A1">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2、基金管理人可每季度对基金相对标的指数的超额收益率以及基金的可供分配利润进行评价，在符合基金分红条件的前提下，本基金可每季度进行收益分配。评价时间、分配时间、分配方案及每次基金收益分配数额等内容，基金管理人可以根据实际情况确定并按照有关规定公告；</w:t>
      </w:r>
    </w:p>
    <w:p w14:paraId="73F9005D">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3、每一基金份额享有同等分配权；</w:t>
      </w:r>
    </w:p>
    <w:p w14:paraId="5BF11F4C">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4、法律法规或监管机构另有规定的，从其规定。在不违反法律法规、基金合同的约定以及对基金份额持有人利益无实质性不利影响的情况下，基金管理人在履行适当程序后，可调整基金收益的分配原则和支付方式，但应于变更实施日前在规定媒介上公告。</w:t>
      </w:r>
      <w:bookmarkEnd w:id="595"/>
    </w:p>
    <w:p w14:paraId="1DD6221A">
      <w:pPr>
        <w:adjustRightInd w:val="0"/>
        <w:snapToGrid w:val="0"/>
        <w:spacing w:line="360" w:lineRule="auto"/>
        <w:ind w:firstLine="420" w:firstLineChars="200"/>
        <w:rPr>
          <w:rFonts w:ascii="宋体" w:hAnsi="宋体" w:eastAsia="宋体"/>
        </w:rPr>
      </w:pPr>
      <w:r>
        <w:rPr>
          <w:rFonts w:hint="eastAsia" w:ascii="宋体" w:hAnsi="宋体" w:eastAsia="宋体"/>
        </w:rPr>
        <w:t>（二）基金收益分配比例及金额的确定原则</w:t>
      </w:r>
    </w:p>
    <w:p w14:paraId="2CA15C81">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1、在收益评价日，基金管理人计算基金份额净值增长率、标的指数同期增长率。</w:t>
      </w:r>
    </w:p>
    <w:p w14:paraId="1F08C97E">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基金收益评价日本基金相对标的指数的超额收益率＝基金份额净值增长率－标的指数同期增长率。</w:t>
      </w:r>
    </w:p>
    <w:p w14:paraId="15F095B5">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55A3480D">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期间如发生基金份额折算、拆分或合并，则以基金份额折算日、经拆分或合并调整后的基金份额折算日为初始日重新计算上述指标。</w:t>
      </w:r>
    </w:p>
    <w:p w14:paraId="7E2310D1">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收益评价日日期以本基金日后相关公告为准。</w:t>
      </w:r>
    </w:p>
    <w:p w14:paraId="7970EDEE">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2、基金可供分配利润指截至收益分配基准日基金未分配利润与未分配利润中已实现收益的孰低数。</w:t>
      </w:r>
    </w:p>
    <w:p w14:paraId="31639B92">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3、根据前述收益分配原则计算截至基金收益评价日本基金的超额收益率及基金可供分配利润，并确定收益分配比例。</w:t>
      </w:r>
    </w:p>
    <w:p w14:paraId="199438D0">
      <w:pPr>
        <w:adjustRightInd w:val="0"/>
        <w:snapToGrid w:val="0"/>
        <w:spacing w:line="360" w:lineRule="auto"/>
        <w:ind w:firstLine="420" w:firstLineChars="200"/>
        <w:rPr>
          <w:rFonts w:ascii="宋体" w:hAnsi="宋体" w:eastAsia="宋体"/>
        </w:rPr>
      </w:pPr>
      <w:r>
        <w:rPr>
          <w:rFonts w:hint="eastAsia" w:ascii="宋体" w:hAnsi="宋体" w:eastAsia="宋体"/>
          <w:color w:val="0C0C0C"/>
        </w:rPr>
        <w:t>4、根据前述超额收益率、可供分配利润及收益分配比例计算收益分配金额。</w:t>
      </w:r>
    </w:p>
    <w:p w14:paraId="0A7F6664">
      <w:pPr>
        <w:adjustRightInd w:val="0"/>
        <w:snapToGrid w:val="0"/>
        <w:spacing w:line="360" w:lineRule="auto"/>
        <w:ind w:firstLine="420" w:firstLineChars="200"/>
        <w:rPr>
          <w:rFonts w:ascii="宋体" w:hAnsi="宋体" w:eastAsia="宋体"/>
        </w:rPr>
      </w:pPr>
      <w:r>
        <w:rPr>
          <w:rFonts w:hint="eastAsia" w:ascii="宋体" w:hAnsi="宋体" w:eastAsia="宋体"/>
        </w:rPr>
        <w:t>（三）收益分配方案</w:t>
      </w:r>
    </w:p>
    <w:p w14:paraId="74C96D1B">
      <w:pPr>
        <w:adjustRightInd w:val="0"/>
        <w:snapToGrid w:val="0"/>
        <w:spacing w:line="360" w:lineRule="auto"/>
        <w:ind w:firstLine="420" w:firstLineChars="200"/>
        <w:rPr>
          <w:rFonts w:ascii="宋体" w:hAnsi="宋体" w:eastAsia="宋体"/>
        </w:rPr>
      </w:pPr>
      <w:r>
        <w:rPr>
          <w:rFonts w:hint="eastAsia" w:ascii="宋体" w:hAnsi="宋体"/>
          <w:color w:val="0C0C0C"/>
        </w:rPr>
        <w:t>基金收益分配方案中应载明基金收益分配对象、分配时间、分配数额及比例、分配方式等内容。</w:t>
      </w:r>
    </w:p>
    <w:p w14:paraId="48B156EA">
      <w:pPr>
        <w:adjustRightInd w:val="0"/>
        <w:snapToGrid w:val="0"/>
        <w:spacing w:line="360" w:lineRule="auto"/>
        <w:ind w:firstLine="420" w:firstLineChars="200"/>
        <w:rPr>
          <w:rFonts w:ascii="宋体" w:hAnsi="宋体" w:eastAsia="宋体"/>
        </w:rPr>
      </w:pPr>
      <w:r>
        <w:rPr>
          <w:rFonts w:hint="eastAsia" w:ascii="宋体" w:hAnsi="宋体" w:eastAsia="宋体"/>
        </w:rPr>
        <w:t>（四）收益分配方案的确定、公告与实施</w:t>
      </w:r>
    </w:p>
    <w:p w14:paraId="34FB910B">
      <w:pPr>
        <w:adjustRightInd w:val="0"/>
        <w:snapToGrid w:val="0"/>
        <w:spacing w:line="360" w:lineRule="auto"/>
        <w:ind w:firstLine="420" w:firstLineChars="200"/>
        <w:rPr>
          <w:rFonts w:ascii="宋体" w:hAnsi="宋体"/>
          <w:color w:val="0C0C0C"/>
        </w:rPr>
      </w:pPr>
      <w:r>
        <w:rPr>
          <w:rFonts w:hint="eastAsia" w:ascii="宋体" w:hAnsi="宋体" w:eastAsia="宋体"/>
          <w:color w:val="0C0C0C"/>
        </w:rPr>
        <w:t>本</w:t>
      </w:r>
      <w:r>
        <w:rPr>
          <w:rFonts w:hint="eastAsia" w:ascii="宋体" w:hAnsi="宋体"/>
          <w:color w:val="0C0C0C"/>
        </w:rPr>
        <w:t>基金收益分配</w:t>
      </w:r>
      <w:r>
        <w:rPr>
          <w:rFonts w:hint="eastAsia" w:ascii="宋体" w:hAnsi="宋体" w:eastAsia="宋体"/>
          <w:color w:val="0C0C0C"/>
        </w:rPr>
        <w:t>方案由</w:t>
      </w:r>
      <w:r>
        <w:rPr>
          <w:rFonts w:hint="eastAsia" w:ascii="宋体" w:hAnsi="宋体"/>
          <w:color w:val="0C0C0C"/>
        </w:rPr>
        <w:t>基金</w:t>
      </w:r>
      <w:r>
        <w:rPr>
          <w:rFonts w:hint="eastAsia" w:ascii="宋体" w:hAnsi="宋体" w:eastAsia="宋体"/>
          <w:color w:val="0C0C0C"/>
        </w:rPr>
        <w:t>管理人拟定，并由</w:t>
      </w:r>
      <w:r>
        <w:rPr>
          <w:rFonts w:hint="eastAsia" w:ascii="宋体" w:hAnsi="宋体"/>
          <w:color w:val="0C0C0C"/>
        </w:rPr>
        <w:t>基金</w:t>
      </w:r>
      <w:r>
        <w:rPr>
          <w:rFonts w:hint="eastAsia" w:ascii="宋体" w:hAnsi="宋体" w:eastAsia="宋体"/>
          <w:color w:val="0C0C0C"/>
        </w:rPr>
        <w:t>托管人复核</w:t>
      </w:r>
      <w:r>
        <w:rPr>
          <w:rFonts w:hint="eastAsia" w:ascii="宋体" w:hAnsi="宋体"/>
          <w:color w:val="0C0C0C"/>
        </w:rPr>
        <w:t>，依照</w:t>
      </w:r>
      <w:r>
        <w:rPr>
          <w:rFonts w:hint="eastAsia" w:ascii="宋体" w:hAnsi="宋体" w:eastAsia="宋体"/>
          <w:color w:val="0C0C0C"/>
        </w:rPr>
        <w:t>《信息披露办法》在规定媒介公告</w:t>
      </w:r>
      <w:r>
        <w:rPr>
          <w:rFonts w:hint="eastAsia" w:ascii="宋体" w:hAnsi="宋体"/>
          <w:color w:val="0C0C0C"/>
        </w:rPr>
        <w:t>。</w:t>
      </w:r>
    </w:p>
    <w:p w14:paraId="5A903D0C">
      <w:pPr>
        <w:adjustRightInd w:val="0"/>
        <w:snapToGrid w:val="0"/>
        <w:spacing w:line="360" w:lineRule="auto"/>
        <w:ind w:firstLine="420" w:firstLineChars="200"/>
        <w:rPr>
          <w:rFonts w:ascii="宋体" w:hAnsi="宋体"/>
        </w:rPr>
      </w:pPr>
      <w:r>
        <w:rPr>
          <w:rFonts w:hint="eastAsia" w:ascii="宋体" w:hAnsi="宋体"/>
        </w:rPr>
        <w:t>（五）基金收益分配中发生的费用</w:t>
      </w:r>
    </w:p>
    <w:p w14:paraId="5AA3FE27">
      <w:pPr>
        <w:adjustRightInd w:val="0"/>
        <w:snapToGrid w:val="0"/>
        <w:spacing w:line="360" w:lineRule="auto"/>
        <w:ind w:firstLine="420" w:firstLineChars="200"/>
        <w:rPr>
          <w:rFonts w:ascii="宋体" w:hAnsi="宋体"/>
        </w:rPr>
      </w:pPr>
      <w:r>
        <w:rPr>
          <w:rFonts w:hint="eastAsia" w:ascii="宋体" w:hAnsi="宋体"/>
        </w:rPr>
        <w:t>基金收益分配时所发生的银行转账或其他手续费用由投资者自行承担。</w:t>
      </w:r>
    </w:p>
    <w:p w14:paraId="265E8533">
      <w:pPr>
        <w:snapToGrid w:val="0"/>
        <w:spacing w:line="360" w:lineRule="auto"/>
        <w:ind w:firstLine="420" w:firstLineChars="200"/>
        <w:rPr>
          <w:rFonts w:ascii="宋体" w:hAnsi="宋体" w:eastAsia="宋体"/>
        </w:rPr>
      </w:pPr>
      <w:r>
        <w:rPr>
          <w:rFonts w:hint="eastAsia" w:ascii="宋体" w:hAnsi="宋体" w:eastAsia="宋体"/>
        </w:rPr>
        <w:t>四、与基金财产管理、运作有关费用的提取、支付方式与比例</w:t>
      </w:r>
    </w:p>
    <w:p w14:paraId="180F8F6D">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（一）基金费用的种类</w:t>
      </w:r>
    </w:p>
    <w:p w14:paraId="5E229446">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、基金管理人的管理费；</w:t>
      </w:r>
    </w:p>
    <w:p w14:paraId="13DA7D13">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、基金托管人的托管费；</w:t>
      </w:r>
    </w:p>
    <w:p w14:paraId="51A9CC6A">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3、基金的证券、期货、股票期权交易费用；</w:t>
      </w:r>
    </w:p>
    <w:p w14:paraId="17AD6CEE">
      <w:pPr>
        <w:adjustRightInd w:val="0"/>
        <w:snapToGrid w:val="0"/>
        <w:spacing w:line="360" w:lineRule="auto"/>
        <w:ind w:firstLine="420" w:firstLineChars="200"/>
        <w:rPr>
          <w:rFonts w:ascii="宋体" w:hAnsi="宋体"/>
          <w:color w:val="0C0C0C"/>
        </w:rPr>
      </w:pPr>
      <w:r>
        <w:rPr>
          <w:rFonts w:hint="eastAsia" w:ascii="宋体" w:hAnsi="宋体" w:eastAsia="宋体"/>
          <w:color w:val="0C0C0C"/>
        </w:rPr>
        <w:t>4</w:t>
      </w:r>
      <w:r>
        <w:rPr>
          <w:rFonts w:hint="eastAsia" w:ascii="宋体" w:hAnsi="宋体"/>
          <w:color w:val="0C0C0C"/>
        </w:rPr>
        <w:t>、《基金合同》生效后与基金相关的信息披露费用，但法律法规、中国证监会另有规定的除外；</w:t>
      </w:r>
    </w:p>
    <w:p w14:paraId="6D9B4D0D">
      <w:pPr>
        <w:adjustRightInd w:val="0"/>
        <w:snapToGrid w:val="0"/>
        <w:spacing w:line="360" w:lineRule="auto"/>
        <w:ind w:firstLine="420" w:firstLineChars="200"/>
        <w:rPr>
          <w:rFonts w:ascii="宋体" w:hAnsi="宋体"/>
          <w:color w:val="0C0C0C"/>
        </w:rPr>
      </w:pPr>
      <w:r>
        <w:rPr>
          <w:rFonts w:hint="eastAsia" w:ascii="宋体" w:hAnsi="宋体" w:eastAsia="宋体"/>
          <w:color w:val="0C0C0C"/>
        </w:rPr>
        <w:t>5</w:t>
      </w:r>
      <w:r>
        <w:rPr>
          <w:rFonts w:hint="eastAsia" w:ascii="宋体" w:hAnsi="宋体"/>
          <w:color w:val="0C0C0C"/>
        </w:rPr>
        <w:t>、《基金合同》生效后与基金相关的会计师费、律师费</w:t>
      </w:r>
      <w:r>
        <w:rPr>
          <w:rFonts w:hint="eastAsia" w:ascii="宋体" w:hAnsi="宋体" w:eastAsia="宋体"/>
          <w:color w:val="0C0C0C"/>
        </w:rPr>
        <w:t>、仲裁费</w:t>
      </w:r>
      <w:r>
        <w:rPr>
          <w:rFonts w:hint="eastAsia" w:ascii="宋体" w:hAnsi="宋体"/>
          <w:color w:val="0C0C0C"/>
        </w:rPr>
        <w:t>和诉讼费；</w:t>
      </w:r>
    </w:p>
    <w:p w14:paraId="3DB854E1">
      <w:pPr>
        <w:adjustRightInd w:val="0"/>
        <w:snapToGrid w:val="0"/>
        <w:spacing w:line="360" w:lineRule="auto"/>
        <w:ind w:firstLine="420" w:firstLineChars="200"/>
        <w:rPr>
          <w:rFonts w:ascii="宋体" w:hAnsi="宋体"/>
          <w:color w:val="0C0C0C"/>
        </w:rPr>
      </w:pPr>
      <w:r>
        <w:rPr>
          <w:rFonts w:hint="eastAsia" w:ascii="宋体" w:hAnsi="宋体" w:eastAsia="宋体"/>
          <w:color w:val="0C0C0C"/>
        </w:rPr>
        <w:t>6</w:t>
      </w:r>
      <w:r>
        <w:rPr>
          <w:rFonts w:hint="eastAsia" w:ascii="宋体" w:hAnsi="宋体"/>
          <w:color w:val="0C0C0C"/>
        </w:rPr>
        <w:t>、基金份额持有人大会费用；</w:t>
      </w:r>
    </w:p>
    <w:p w14:paraId="49CDA7CD">
      <w:pPr>
        <w:adjustRightInd w:val="0"/>
        <w:snapToGrid w:val="0"/>
        <w:spacing w:line="360" w:lineRule="auto"/>
        <w:ind w:firstLine="420" w:firstLineChars="200"/>
        <w:rPr>
          <w:rFonts w:ascii="宋体" w:hAnsi="宋体"/>
          <w:color w:val="0C0C0C"/>
        </w:rPr>
      </w:pPr>
      <w:r>
        <w:rPr>
          <w:rFonts w:hint="eastAsia" w:ascii="宋体" w:hAnsi="宋体" w:eastAsia="宋体"/>
          <w:color w:val="0C0C0C"/>
        </w:rPr>
        <w:t>7</w:t>
      </w:r>
      <w:r>
        <w:rPr>
          <w:rFonts w:hint="eastAsia" w:ascii="宋体" w:hAnsi="宋体"/>
          <w:color w:val="0C0C0C"/>
        </w:rPr>
        <w:t>、基金银行汇划费用</w:t>
      </w:r>
      <w:r>
        <w:rPr>
          <w:rFonts w:hint="eastAsia" w:ascii="宋体" w:hAnsi="宋体" w:eastAsia="宋体"/>
          <w:color w:val="0C0C0C"/>
        </w:rPr>
        <w:t>、账户开户及维护费用</w:t>
      </w:r>
      <w:r>
        <w:rPr>
          <w:rFonts w:hint="eastAsia" w:ascii="宋体" w:hAnsi="宋体"/>
          <w:color w:val="0C0C0C"/>
        </w:rPr>
        <w:t>；</w:t>
      </w:r>
    </w:p>
    <w:p w14:paraId="1C21D349">
      <w:pPr>
        <w:adjustRightInd w:val="0"/>
        <w:snapToGrid w:val="0"/>
        <w:spacing w:line="360" w:lineRule="auto"/>
        <w:ind w:firstLine="420" w:firstLineChars="200"/>
        <w:rPr>
          <w:rFonts w:ascii="宋体" w:hAnsi="宋体" w:eastAsia="宋体"/>
          <w:color w:val="0C0C0C"/>
        </w:rPr>
      </w:pPr>
      <w:r>
        <w:rPr>
          <w:rFonts w:hint="eastAsia" w:ascii="宋体" w:hAnsi="宋体"/>
          <w:color w:val="0C0C0C"/>
        </w:rPr>
        <w:t>8</w:t>
      </w:r>
      <w:r>
        <w:rPr>
          <w:rFonts w:hint="eastAsia" w:ascii="宋体" w:hAnsi="宋体" w:eastAsia="宋体"/>
          <w:color w:val="0C0C0C"/>
        </w:rPr>
        <w:t>、基金上市费及年费、场内注册登记费用、IOPV计算与发布费用；</w:t>
      </w:r>
    </w:p>
    <w:p w14:paraId="726DA82D">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9、收益分配中发生的费用（银行转账或其他手续费用除外）；</w:t>
      </w:r>
    </w:p>
    <w:p w14:paraId="4E57C047">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10、因投资港股通标的股票而产生的各项合理费用；</w:t>
      </w:r>
    </w:p>
    <w:p w14:paraId="6A4038C7">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11、基金依照有关法律法规应当缴纳的，购买或处置证券有关的任何税收、征费、关税、印花税、及预扣提税（以及与前述各项有关的任何利息及费用）（简称“税收”），及基金缴纳税收有关的手续费、汇款费、顾问费等；</w:t>
      </w:r>
    </w:p>
    <w:p w14:paraId="700A2518">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12</w:t>
      </w:r>
      <w:r>
        <w:rPr>
          <w:rFonts w:hint="eastAsia" w:ascii="宋体" w:hAnsi="宋体"/>
          <w:color w:val="0C0C0C"/>
        </w:rPr>
        <w:t>、按照国家有关规定和《基金合同》约定，可以在基金财产中列支的其他费用。</w:t>
      </w:r>
    </w:p>
    <w:p w14:paraId="721238CA">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（二）基金费用计提方法、计提标准和支付方式</w:t>
      </w:r>
    </w:p>
    <w:p w14:paraId="732A5D79">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、基金管理人的管理费</w:t>
      </w:r>
    </w:p>
    <w:p w14:paraId="253EDFA3">
      <w:pPr>
        <w:adjustRightInd w:val="0"/>
        <w:snapToGrid w:val="0"/>
        <w:spacing w:line="360" w:lineRule="auto"/>
        <w:ind w:firstLine="420" w:firstLineChars="200"/>
        <w:rPr>
          <w:rFonts w:ascii="宋体" w:hAnsi="宋体"/>
          <w:color w:val="0C0C0C"/>
        </w:rPr>
      </w:pPr>
      <w:r>
        <w:rPr>
          <w:rFonts w:hint="eastAsia" w:ascii="宋体" w:hAnsi="宋体"/>
          <w:color w:val="0C0C0C"/>
        </w:rPr>
        <w:t>本基金的管理费按前一日基金资产净值的</w:t>
      </w:r>
      <w:r>
        <w:rPr>
          <w:rFonts w:ascii="宋体" w:hAnsi="宋体" w:eastAsia="宋体"/>
          <w:color w:val="0C0C0C"/>
        </w:rPr>
        <w:t>0.</w:t>
      </w:r>
      <w:r>
        <w:rPr>
          <w:rFonts w:hint="eastAsia" w:ascii="宋体" w:hAnsi="宋体" w:eastAsia="宋体"/>
          <w:color w:val="0C0C0C"/>
        </w:rPr>
        <w:t>50</w:t>
      </w:r>
      <w:r>
        <w:rPr>
          <w:rFonts w:ascii="宋体" w:hAnsi="宋体"/>
          <w:color w:val="0C0C0C"/>
        </w:rPr>
        <w:t>%</w:t>
      </w:r>
      <w:r>
        <w:rPr>
          <w:rFonts w:hint="eastAsia" w:ascii="宋体" w:hAnsi="宋体"/>
          <w:color w:val="0C0C0C"/>
        </w:rPr>
        <w:t>年费率计提。管理费的计算方法如下：</w:t>
      </w:r>
    </w:p>
    <w:p w14:paraId="5ED894FE">
      <w:pPr>
        <w:adjustRightInd w:val="0"/>
        <w:snapToGrid w:val="0"/>
        <w:spacing w:line="360" w:lineRule="auto"/>
        <w:ind w:firstLine="420" w:firstLineChars="200"/>
        <w:rPr>
          <w:rFonts w:ascii="宋体" w:hAnsi="宋体"/>
          <w:color w:val="0C0C0C"/>
        </w:rPr>
      </w:pPr>
      <w:r>
        <w:rPr>
          <w:rFonts w:ascii="宋体" w:hAnsi="宋体"/>
          <w:color w:val="0C0C0C"/>
        </w:rPr>
        <w:t>H</w:t>
      </w:r>
      <w:r>
        <w:rPr>
          <w:rFonts w:hint="eastAsia" w:ascii="宋体" w:hAnsi="宋体"/>
          <w:color w:val="0C0C0C"/>
        </w:rPr>
        <w:t>＝E×</w:t>
      </w:r>
      <w:r>
        <w:rPr>
          <w:rFonts w:hint="eastAsia" w:ascii="宋体" w:hAnsi="宋体" w:eastAsia="宋体"/>
          <w:color w:val="0C0C0C"/>
        </w:rPr>
        <w:t>0.50</w:t>
      </w:r>
      <w:r>
        <w:rPr>
          <w:rFonts w:hint="eastAsia" w:ascii="宋体" w:hAnsi="宋体"/>
          <w:color w:val="0C0C0C"/>
        </w:rPr>
        <w:t>%÷当年天数</w:t>
      </w:r>
    </w:p>
    <w:p w14:paraId="28CFBCDC">
      <w:pPr>
        <w:adjustRightInd w:val="0"/>
        <w:snapToGrid w:val="0"/>
        <w:spacing w:line="360" w:lineRule="auto"/>
        <w:ind w:firstLine="420" w:firstLineChars="200"/>
        <w:rPr>
          <w:rFonts w:ascii="宋体" w:hAnsi="宋体"/>
          <w:color w:val="0C0C0C"/>
        </w:rPr>
      </w:pPr>
      <w:r>
        <w:rPr>
          <w:rFonts w:ascii="宋体" w:hAnsi="宋体"/>
          <w:color w:val="0C0C0C"/>
        </w:rPr>
        <w:t>H</w:t>
      </w:r>
      <w:r>
        <w:rPr>
          <w:rFonts w:hint="eastAsia" w:ascii="宋体" w:hAnsi="宋体"/>
          <w:color w:val="0C0C0C"/>
        </w:rPr>
        <w:t>为每日应计提的基金管理费</w:t>
      </w:r>
    </w:p>
    <w:p w14:paraId="15449069">
      <w:pPr>
        <w:adjustRightInd w:val="0"/>
        <w:snapToGrid w:val="0"/>
        <w:spacing w:line="360" w:lineRule="auto"/>
        <w:ind w:firstLine="420" w:firstLineChars="200"/>
        <w:rPr>
          <w:rFonts w:ascii="宋体" w:hAnsi="宋体"/>
          <w:color w:val="0C0C0C"/>
        </w:rPr>
      </w:pPr>
      <w:r>
        <w:rPr>
          <w:rFonts w:ascii="宋体" w:hAnsi="宋体"/>
          <w:color w:val="0C0C0C"/>
        </w:rPr>
        <w:t>E</w:t>
      </w:r>
      <w:r>
        <w:rPr>
          <w:rFonts w:hint="eastAsia" w:ascii="宋体" w:hAnsi="宋体"/>
          <w:color w:val="0C0C0C"/>
        </w:rPr>
        <w:t>为前一日的基金资产净值</w:t>
      </w:r>
    </w:p>
    <w:p w14:paraId="0266AE8E">
      <w:pPr>
        <w:adjustRightInd w:val="0"/>
        <w:snapToGrid w:val="0"/>
        <w:spacing w:line="360" w:lineRule="auto"/>
        <w:ind w:firstLine="420" w:firstLineChars="200"/>
        <w:rPr>
          <w:rFonts w:ascii="宋体" w:hAnsi="宋体"/>
          <w:color w:val="0C0C0C"/>
        </w:rPr>
      </w:pPr>
      <w:r>
        <w:rPr>
          <w:rFonts w:hint="eastAsia" w:ascii="宋体" w:hAnsi="宋体"/>
          <w:color w:val="0C0C0C"/>
        </w:rPr>
        <w:t>基金管理费每日计提，逐日累计至每月月末，按月支付，由基金管理人于次月5个工作日内向基金托管人发送基金管理费划款指令，基金托管人于收到指令当日复核后从基金财产中一次性支付给基金管理人。若遇法定节假日、休息日或不可抗力致使无法按时支付的，顺延至法定节假日、休息日结束之日起2个工作日内或不可抗力情形消除之日起2个工作日内支付。</w:t>
      </w:r>
    </w:p>
    <w:p w14:paraId="794237FF">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、基金托管人的托管费</w:t>
      </w:r>
    </w:p>
    <w:p w14:paraId="185D9FB8">
      <w:pPr>
        <w:adjustRightInd w:val="0"/>
        <w:snapToGrid w:val="0"/>
        <w:spacing w:line="360" w:lineRule="auto"/>
        <w:ind w:firstLine="420" w:firstLineChars="200"/>
        <w:rPr>
          <w:rFonts w:ascii="宋体" w:hAnsi="宋体"/>
          <w:color w:val="0C0C0C"/>
        </w:rPr>
      </w:pPr>
      <w:r>
        <w:rPr>
          <w:rFonts w:hint="eastAsia" w:ascii="宋体" w:hAnsi="宋体"/>
          <w:color w:val="0C0C0C"/>
        </w:rPr>
        <w:t>本基金的托管费按前一日基金资产净值的</w:t>
      </w:r>
      <w:r>
        <w:rPr>
          <w:rFonts w:ascii="宋体" w:hAnsi="宋体" w:eastAsia="宋体"/>
          <w:color w:val="0C0C0C"/>
        </w:rPr>
        <w:t>0.</w:t>
      </w:r>
      <w:r>
        <w:rPr>
          <w:rFonts w:hint="eastAsia" w:ascii="宋体" w:hAnsi="宋体" w:eastAsia="宋体"/>
          <w:color w:val="0C0C0C"/>
        </w:rPr>
        <w:t>10</w:t>
      </w:r>
      <w:r>
        <w:rPr>
          <w:rFonts w:ascii="宋体" w:hAnsi="宋体" w:eastAsia="宋体"/>
          <w:color w:val="0C0C0C"/>
        </w:rPr>
        <w:t>%</w:t>
      </w:r>
      <w:r>
        <w:rPr>
          <w:rFonts w:hint="eastAsia" w:ascii="宋体" w:hAnsi="宋体"/>
          <w:color w:val="0C0C0C"/>
        </w:rPr>
        <w:t>年费率计提。托管费的计算方法如下：</w:t>
      </w:r>
    </w:p>
    <w:p w14:paraId="020B5A97">
      <w:pPr>
        <w:adjustRightInd w:val="0"/>
        <w:snapToGrid w:val="0"/>
        <w:spacing w:line="360" w:lineRule="auto"/>
        <w:ind w:firstLine="420" w:firstLineChars="200"/>
        <w:rPr>
          <w:rFonts w:ascii="宋体" w:hAnsi="宋体"/>
          <w:color w:val="0C0C0C"/>
        </w:rPr>
      </w:pPr>
      <w:r>
        <w:rPr>
          <w:rFonts w:ascii="宋体" w:hAnsi="宋体"/>
          <w:color w:val="0C0C0C"/>
        </w:rPr>
        <w:t>H</w:t>
      </w:r>
      <w:r>
        <w:rPr>
          <w:rFonts w:hint="eastAsia" w:ascii="宋体" w:hAnsi="宋体"/>
          <w:color w:val="0C0C0C"/>
        </w:rPr>
        <w:t>＝E×</w:t>
      </w:r>
      <w:r>
        <w:rPr>
          <w:rFonts w:hint="eastAsia" w:ascii="宋体" w:hAnsi="宋体" w:eastAsia="宋体"/>
          <w:color w:val="0C0C0C"/>
        </w:rPr>
        <w:t>0.10</w:t>
      </w:r>
      <w:r>
        <w:rPr>
          <w:rFonts w:hint="eastAsia" w:ascii="宋体" w:hAnsi="宋体"/>
          <w:color w:val="0C0C0C"/>
        </w:rPr>
        <w:t>%÷当年天数</w:t>
      </w:r>
    </w:p>
    <w:p w14:paraId="46D5BEE1">
      <w:pPr>
        <w:adjustRightInd w:val="0"/>
        <w:snapToGrid w:val="0"/>
        <w:spacing w:line="360" w:lineRule="auto"/>
        <w:ind w:firstLine="420" w:firstLineChars="200"/>
        <w:rPr>
          <w:rFonts w:ascii="宋体" w:hAnsi="宋体"/>
          <w:color w:val="0C0C0C"/>
        </w:rPr>
      </w:pPr>
      <w:r>
        <w:rPr>
          <w:rFonts w:ascii="宋体" w:hAnsi="宋体"/>
          <w:color w:val="0C0C0C"/>
        </w:rPr>
        <w:t>H</w:t>
      </w:r>
      <w:r>
        <w:rPr>
          <w:rFonts w:hint="eastAsia" w:ascii="宋体" w:hAnsi="宋体"/>
          <w:color w:val="0C0C0C"/>
        </w:rPr>
        <w:t>为每日应计提的基金托管费</w:t>
      </w:r>
    </w:p>
    <w:p w14:paraId="50D76977">
      <w:pPr>
        <w:adjustRightInd w:val="0"/>
        <w:snapToGrid w:val="0"/>
        <w:spacing w:line="360" w:lineRule="auto"/>
        <w:ind w:firstLine="420" w:firstLineChars="200"/>
        <w:rPr>
          <w:rFonts w:ascii="宋体" w:hAnsi="宋体"/>
          <w:color w:val="0C0C0C"/>
        </w:rPr>
      </w:pPr>
      <w:r>
        <w:rPr>
          <w:rFonts w:ascii="宋体" w:hAnsi="宋体"/>
          <w:color w:val="0C0C0C"/>
        </w:rPr>
        <w:t>E</w:t>
      </w:r>
      <w:r>
        <w:rPr>
          <w:rFonts w:hint="eastAsia" w:ascii="宋体" w:hAnsi="宋体"/>
          <w:color w:val="0C0C0C"/>
        </w:rPr>
        <w:t>为前一日的基金资产净值</w:t>
      </w:r>
    </w:p>
    <w:p w14:paraId="5DB5D284">
      <w:pPr>
        <w:adjustRightInd w:val="0"/>
        <w:snapToGrid w:val="0"/>
        <w:spacing w:line="360" w:lineRule="auto"/>
        <w:ind w:firstLine="420" w:firstLineChars="200"/>
        <w:rPr>
          <w:rFonts w:ascii="宋体" w:hAnsi="宋体"/>
          <w:color w:val="0C0C0C"/>
        </w:rPr>
      </w:pPr>
      <w:r>
        <w:rPr>
          <w:rFonts w:hint="eastAsia" w:ascii="宋体" w:hAnsi="宋体"/>
          <w:color w:val="0C0C0C"/>
        </w:rPr>
        <w:t>基金托管费每日计提，逐日累计至每月月末，按月支付，由基金管理人于次月5个工作日内向基金托管人发送基金托管费划款指令，基金托管人于收到指令当日复核后从基金财产中一次性支取。若遇法定节假日、休息日或不可抗力致使无法按时支取的，顺延至法定节假日、休息日结束之日起2个工作日内或不可抗力情形消除之日起2个工作日内支取。</w:t>
      </w:r>
    </w:p>
    <w:p w14:paraId="5575B307">
      <w:pPr>
        <w:adjustRightInd w:val="0"/>
        <w:snapToGrid w:val="0"/>
        <w:spacing w:line="360" w:lineRule="auto"/>
        <w:ind w:firstLine="420" w:firstLineChars="200"/>
        <w:rPr>
          <w:rFonts w:ascii="宋体" w:hAnsi="宋体"/>
          <w:color w:val="0C0C0C"/>
        </w:rPr>
      </w:pPr>
      <w:r>
        <w:rPr>
          <w:rFonts w:hint="eastAsia" w:ascii="宋体" w:hAnsi="宋体" w:eastAsia="宋体"/>
          <w:color w:val="0C0C0C"/>
        </w:rPr>
        <w:t>上述“一、基金费用的种类”中第3－12项费用，根据有关法规及相应协议规定，按费用实际支出金额列入当期费用，由基金托管人从基金财产中支付。</w:t>
      </w:r>
    </w:p>
    <w:p w14:paraId="2A1687C7">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（三）不列入基金费用的项目</w:t>
      </w:r>
    </w:p>
    <w:p w14:paraId="02371EAD">
      <w:pPr>
        <w:adjustRightInd w:val="0"/>
        <w:snapToGrid w:val="0"/>
        <w:spacing w:line="360" w:lineRule="auto"/>
        <w:ind w:firstLine="420" w:firstLineChars="200"/>
        <w:rPr>
          <w:rFonts w:ascii="宋体" w:hAnsi="宋体"/>
          <w:color w:val="0C0C0C"/>
        </w:rPr>
      </w:pPr>
      <w:r>
        <w:rPr>
          <w:rFonts w:hint="eastAsia" w:ascii="宋体" w:hAnsi="宋体"/>
          <w:color w:val="0C0C0C"/>
        </w:rPr>
        <w:t>下列费用不列入基金费用：</w:t>
      </w:r>
    </w:p>
    <w:p w14:paraId="33E5566F">
      <w:pPr>
        <w:adjustRightInd w:val="0"/>
        <w:snapToGrid w:val="0"/>
        <w:spacing w:line="360" w:lineRule="auto"/>
        <w:ind w:firstLine="420" w:firstLineChars="200"/>
        <w:rPr>
          <w:rFonts w:ascii="宋体" w:hAnsi="宋体"/>
          <w:color w:val="0C0C0C"/>
        </w:rPr>
      </w:pPr>
      <w:r>
        <w:rPr>
          <w:rFonts w:hint="eastAsia" w:ascii="宋体" w:hAnsi="宋体"/>
          <w:color w:val="0C0C0C"/>
        </w:rPr>
        <w:t>1、基金管理人和基金托管人因未履行或未完全履行义务导致的费用支出或基金财产的损失；</w:t>
      </w:r>
    </w:p>
    <w:p w14:paraId="7429E04D">
      <w:pPr>
        <w:adjustRightInd w:val="0"/>
        <w:snapToGrid w:val="0"/>
        <w:spacing w:line="360" w:lineRule="auto"/>
        <w:ind w:firstLine="420" w:firstLineChars="200"/>
        <w:rPr>
          <w:rFonts w:ascii="宋体" w:hAnsi="宋体"/>
          <w:color w:val="0C0C0C"/>
        </w:rPr>
      </w:pPr>
      <w:r>
        <w:rPr>
          <w:rFonts w:hint="eastAsia" w:ascii="宋体" w:hAnsi="宋体"/>
          <w:color w:val="0C0C0C"/>
        </w:rPr>
        <w:t>2、基金管理人和基金托管人处理与基金运作无关的事项发生的费用；</w:t>
      </w:r>
    </w:p>
    <w:p w14:paraId="7F3283A4">
      <w:pPr>
        <w:adjustRightInd w:val="0"/>
        <w:snapToGrid w:val="0"/>
        <w:spacing w:line="360" w:lineRule="auto"/>
        <w:ind w:firstLine="420" w:firstLineChars="200"/>
        <w:rPr>
          <w:rFonts w:ascii="宋体" w:hAnsi="宋体"/>
          <w:color w:val="0C0C0C"/>
        </w:rPr>
      </w:pPr>
      <w:r>
        <w:rPr>
          <w:rFonts w:hint="eastAsia" w:ascii="宋体" w:hAnsi="宋体"/>
          <w:color w:val="0C0C0C"/>
        </w:rPr>
        <w:t>3、《基金合同》生效前的相关费用；</w:t>
      </w:r>
    </w:p>
    <w:p w14:paraId="679F897C">
      <w:pPr>
        <w:adjustRightInd w:val="0"/>
        <w:snapToGrid w:val="0"/>
        <w:spacing w:line="360" w:lineRule="auto"/>
        <w:ind w:firstLine="420" w:firstLineChars="200"/>
        <w:rPr>
          <w:rFonts w:ascii="宋体" w:hAnsi="宋体"/>
          <w:color w:val="0C0C0C"/>
        </w:rPr>
      </w:pPr>
      <w:r>
        <w:rPr>
          <w:rFonts w:hint="eastAsia" w:ascii="宋体" w:hAnsi="宋体"/>
          <w:color w:val="0C0C0C"/>
        </w:rPr>
        <w:t>4、指数许可使用费</w:t>
      </w:r>
    </w:p>
    <w:p w14:paraId="3F5B2B58">
      <w:pPr>
        <w:adjustRightInd w:val="0"/>
        <w:snapToGrid w:val="0"/>
        <w:spacing w:line="360" w:lineRule="auto"/>
        <w:ind w:firstLine="420" w:firstLineChars="200"/>
        <w:rPr>
          <w:rFonts w:ascii="宋体" w:hAnsi="宋体"/>
          <w:color w:val="0C0C0C"/>
        </w:rPr>
      </w:pPr>
      <w:r>
        <w:rPr>
          <w:rFonts w:hint="eastAsia" w:ascii="宋体" w:hAnsi="宋体"/>
          <w:color w:val="0C0C0C"/>
        </w:rPr>
        <w:t>由基金管理人承担，不得从基金财产中列支；</w:t>
      </w:r>
    </w:p>
    <w:p w14:paraId="1663EF26">
      <w:pPr>
        <w:adjustRightInd w:val="0"/>
        <w:snapToGrid w:val="0"/>
        <w:spacing w:line="360" w:lineRule="auto"/>
        <w:ind w:firstLine="420" w:firstLineChars="200"/>
        <w:rPr>
          <w:rFonts w:ascii="宋体" w:hAnsi="宋体" w:eastAsia="宋体"/>
          <w:color w:val="0C0C0C"/>
        </w:rPr>
      </w:pPr>
      <w:r>
        <w:rPr>
          <w:rFonts w:hint="eastAsia" w:ascii="宋体" w:hAnsi="宋体"/>
          <w:color w:val="0C0C0C"/>
        </w:rPr>
        <w:t>5、其他根据相关法律法规及中国证监会的有关规定不得列入基金费用的项目。</w:t>
      </w:r>
    </w:p>
    <w:p w14:paraId="39B95B6E">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（四）基金税收</w:t>
      </w:r>
    </w:p>
    <w:p w14:paraId="28DAD3B8">
      <w:pPr>
        <w:adjustRightInd w:val="0"/>
        <w:snapToGrid w:val="0"/>
        <w:spacing w:line="360" w:lineRule="auto"/>
        <w:ind w:firstLine="420" w:firstLineChars="200"/>
        <w:rPr>
          <w:rFonts w:ascii="宋体" w:hAnsi="宋体" w:eastAsia="宋体"/>
          <w:color w:val="0C0C0C"/>
        </w:rPr>
      </w:pPr>
      <w:r>
        <w:rPr>
          <w:rFonts w:hint="eastAsia" w:ascii="宋体" w:hAnsi="宋体"/>
          <w:color w:val="0C0C0C"/>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54DA5ECE">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五、基金资产的投资范围和投资限制</w:t>
      </w:r>
    </w:p>
    <w:p w14:paraId="5A6AE689">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（一）投资范围</w:t>
      </w:r>
    </w:p>
    <w:p w14:paraId="4446379C">
      <w:pPr>
        <w:adjustRightInd w:val="0"/>
        <w:snapToGrid w:val="0"/>
        <w:spacing w:line="360" w:lineRule="auto"/>
        <w:ind w:firstLine="420" w:firstLineChars="200"/>
        <w:rPr>
          <w:rFonts w:hint="eastAsia" w:ascii="宋体" w:hAnsi="宋体" w:eastAsia="宋体"/>
          <w:color w:val="0C0C0C"/>
        </w:rPr>
      </w:pPr>
      <w:r>
        <w:rPr>
          <w:rFonts w:hint="eastAsia" w:ascii="宋体" w:hAnsi="宋体" w:eastAsia="宋体"/>
          <w:color w:val="0C0C0C"/>
        </w:rPr>
        <w:t xml:space="preserve">本基金主要投资于标的指数成份股和备选成份股（含存托凭证）。 </w:t>
      </w:r>
    </w:p>
    <w:p w14:paraId="7D3120FA">
      <w:pPr>
        <w:adjustRightInd w:val="0"/>
        <w:snapToGrid w:val="0"/>
        <w:spacing w:line="360" w:lineRule="auto"/>
        <w:ind w:firstLine="420" w:firstLineChars="200"/>
        <w:rPr>
          <w:rFonts w:hint="eastAsia" w:ascii="宋体" w:hAnsi="宋体" w:eastAsia="宋体"/>
          <w:color w:val="0C0C0C"/>
        </w:rPr>
      </w:pPr>
      <w:r>
        <w:rPr>
          <w:rFonts w:hint="eastAsia" w:ascii="宋体" w:hAnsi="宋体" w:eastAsia="宋体"/>
          <w:color w:val="0C0C0C"/>
        </w:rPr>
        <w:t xml:space="preserve">为更好地实现基金的投资目标，本基金可少量投资于依法发行上市的非成份股（包括港股通标的股票、主板、创业板及其他经中国证监会核准或注册上市的股票和存托凭证）、债券（包括国债、金融债、地方政府债、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241B1731">
      <w:pPr>
        <w:adjustRightInd w:val="0"/>
        <w:snapToGrid w:val="0"/>
        <w:spacing w:line="360" w:lineRule="auto"/>
        <w:ind w:firstLine="420" w:firstLineChars="200"/>
        <w:rPr>
          <w:rFonts w:hint="eastAsia" w:ascii="宋体" w:hAnsi="宋体" w:eastAsia="宋体"/>
          <w:color w:val="0C0C0C"/>
        </w:rPr>
      </w:pPr>
      <w:r>
        <w:rPr>
          <w:rFonts w:hint="eastAsia" w:ascii="宋体" w:hAnsi="宋体" w:eastAsia="宋体"/>
          <w:color w:val="0C0C0C"/>
        </w:rPr>
        <w:t xml:space="preserve">本基金可根据法律法规的规定参与融资和转融通证券出借业务。 </w:t>
      </w:r>
    </w:p>
    <w:p w14:paraId="4A9D826B">
      <w:pPr>
        <w:adjustRightInd w:val="0"/>
        <w:snapToGrid w:val="0"/>
        <w:spacing w:line="360" w:lineRule="auto"/>
        <w:ind w:firstLine="420" w:firstLineChars="200"/>
        <w:rPr>
          <w:rFonts w:hint="eastAsia" w:ascii="宋体" w:hAnsi="宋体" w:eastAsia="宋体"/>
          <w:color w:val="0C0C0C"/>
        </w:rPr>
      </w:pPr>
      <w:r>
        <w:rPr>
          <w:rFonts w:hint="eastAsia" w:ascii="宋体" w:hAnsi="宋体" w:eastAsia="宋体"/>
          <w:color w:val="0C0C0C"/>
        </w:rPr>
        <w:t>如法律法规或中国证监会以后允许基金投资其他品种，本基金管理人在履行适当程序后，可以将其纳入本基金的投资范围。</w:t>
      </w:r>
    </w:p>
    <w:p w14:paraId="2CDA3B28">
      <w:pPr>
        <w:adjustRightInd w:val="0"/>
        <w:snapToGrid w:val="0"/>
        <w:spacing w:line="360" w:lineRule="auto"/>
        <w:ind w:firstLine="420" w:firstLineChars="200"/>
        <w:rPr>
          <w:rFonts w:hint="eastAsia" w:ascii="宋体" w:hAnsi="宋体" w:eastAsia="宋体"/>
          <w:color w:val="0C0C0C"/>
        </w:rPr>
      </w:pPr>
      <w:r>
        <w:rPr>
          <w:rFonts w:hint="eastAsia" w:ascii="宋体" w:hAnsi="宋体" w:eastAsia="宋体"/>
          <w:color w:val="0C0C0C"/>
        </w:rPr>
        <w:t xml:space="preserve">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和应收申购款等；股指期货、股票期权、国债期货及其他金融工具的投资比例依照法律法规或监管机构的规定执行。 </w:t>
      </w:r>
    </w:p>
    <w:p w14:paraId="35B6E38D">
      <w:pPr>
        <w:adjustRightInd w:val="0"/>
        <w:snapToGrid w:val="0"/>
        <w:spacing w:line="360" w:lineRule="auto"/>
        <w:ind w:firstLine="420" w:firstLineChars="200"/>
        <w:rPr>
          <w:rFonts w:hint="eastAsia" w:ascii="宋体" w:hAnsi="宋体" w:eastAsia="宋体"/>
          <w:color w:val="0C0C0C"/>
        </w:rPr>
      </w:pPr>
      <w:r>
        <w:rPr>
          <w:rFonts w:hint="eastAsia" w:ascii="宋体" w:hAnsi="宋体" w:eastAsia="宋体"/>
          <w:color w:val="0C0C0C"/>
        </w:rPr>
        <w:t>若法律法规的相关规定发生变更或监管机构允许，本基金管理人在履行适当程序后，可对上述资产配置比例进行调整。</w:t>
      </w:r>
    </w:p>
    <w:p w14:paraId="5A8EBFD0">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（二）投资限制</w:t>
      </w:r>
    </w:p>
    <w:p w14:paraId="164D00CF">
      <w:pPr>
        <w:adjustRightInd w:val="0"/>
        <w:snapToGrid w:val="0"/>
        <w:spacing w:line="360" w:lineRule="auto"/>
        <w:ind w:firstLine="420" w:firstLineChars="200"/>
        <w:rPr>
          <w:rFonts w:ascii="宋体" w:hAnsi="宋体"/>
          <w:color w:val="0C0C0C"/>
        </w:rPr>
      </w:pPr>
      <w:r>
        <w:rPr>
          <w:rFonts w:hint="eastAsia" w:ascii="宋体" w:hAnsi="宋体"/>
          <w:color w:val="0C0C0C"/>
        </w:rPr>
        <w:t>1、组合限制</w:t>
      </w:r>
    </w:p>
    <w:p w14:paraId="677F5AAE">
      <w:pPr>
        <w:adjustRightInd w:val="0"/>
        <w:snapToGrid w:val="0"/>
        <w:spacing w:line="360" w:lineRule="auto"/>
        <w:ind w:firstLine="420" w:firstLineChars="200"/>
        <w:rPr>
          <w:rFonts w:ascii="宋体" w:hAnsi="宋体"/>
          <w:color w:val="0C0C0C"/>
        </w:rPr>
      </w:pPr>
      <w:r>
        <w:rPr>
          <w:rFonts w:hint="eastAsia" w:ascii="宋体" w:hAnsi="宋体"/>
          <w:color w:val="0C0C0C"/>
        </w:rPr>
        <w:t>基金的投资组合应遵循以下限制：</w:t>
      </w:r>
    </w:p>
    <w:p w14:paraId="459E9D16">
      <w:pPr>
        <w:adjustRightInd w:val="0"/>
        <w:snapToGrid w:val="0"/>
        <w:spacing w:line="360" w:lineRule="auto"/>
        <w:ind w:firstLine="420" w:firstLineChars="200"/>
        <w:rPr>
          <w:rFonts w:ascii="宋体" w:hAnsi="宋体"/>
          <w:color w:val="0C0C0C"/>
        </w:rPr>
      </w:pPr>
      <w:r>
        <w:rPr>
          <w:rFonts w:hint="eastAsia" w:ascii="宋体" w:hAnsi="宋体"/>
          <w:color w:val="0C0C0C"/>
        </w:rPr>
        <w:t xml:space="preserve">（1）本基金投资于标的指数成份股和备选成份股（含存托凭证）的资产比例不低于基金资产净值的90%，且不低于非现金基金资产的80%； </w:t>
      </w:r>
    </w:p>
    <w:p w14:paraId="5844E76A">
      <w:pPr>
        <w:adjustRightInd w:val="0"/>
        <w:snapToGrid w:val="0"/>
        <w:spacing w:line="360" w:lineRule="auto"/>
        <w:ind w:firstLine="420" w:firstLineChars="200"/>
        <w:rPr>
          <w:rFonts w:ascii="宋体" w:hAnsi="宋体"/>
          <w:color w:val="0C0C0C"/>
        </w:rPr>
      </w:pPr>
      <w:r>
        <w:rPr>
          <w:rFonts w:hint="eastAsia" w:ascii="宋体" w:hAnsi="宋体"/>
          <w:color w:val="0C0C0C"/>
        </w:rPr>
        <w:t>（2）本基金每个交易日日终在扣除股指期货、股票期权和国债期货合约需缴纳的交易保证金后，应当保持不低于交易保证金一倍的现金，其中现金不包括结算备付金、存出保证金和应收申购款等；</w:t>
      </w:r>
    </w:p>
    <w:p w14:paraId="3B53BB59">
      <w:pPr>
        <w:adjustRightInd w:val="0"/>
        <w:snapToGrid w:val="0"/>
        <w:spacing w:line="360" w:lineRule="auto"/>
        <w:ind w:firstLine="420" w:firstLineChars="200"/>
        <w:rPr>
          <w:rFonts w:ascii="宋体" w:hAnsi="宋体"/>
          <w:color w:val="0C0C0C"/>
        </w:rPr>
      </w:pPr>
      <w:r>
        <w:rPr>
          <w:rFonts w:hint="eastAsia" w:ascii="宋体" w:hAnsi="宋体"/>
          <w:color w:val="0C0C0C"/>
        </w:rPr>
        <w:t>（3）本基金参与股指期货和国债期货交易，需遵守下列投资比例限制：</w:t>
      </w:r>
    </w:p>
    <w:p w14:paraId="41C19074">
      <w:pPr>
        <w:adjustRightInd w:val="0"/>
        <w:snapToGrid w:val="0"/>
        <w:spacing w:line="360" w:lineRule="auto"/>
        <w:ind w:firstLine="420" w:firstLineChars="200"/>
        <w:rPr>
          <w:rFonts w:ascii="宋体" w:hAnsi="宋体"/>
          <w:color w:val="0C0C0C"/>
        </w:rPr>
      </w:pPr>
      <w:r>
        <w:rPr>
          <w:rFonts w:hint="eastAsia" w:ascii="宋体" w:hAnsi="宋体"/>
          <w:color w:val="0C0C0C"/>
        </w:rPr>
        <w:t>1）本基金在任何交易日日终，持有的买入股指期货合约价值，不得超过基金资产净值的10%；在任何交易日日终，持有的买入国债期货合约价值，不得超过基金资产净值的15%；</w:t>
      </w:r>
    </w:p>
    <w:p w14:paraId="70228079">
      <w:pPr>
        <w:adjustRightInd w:val="0"/>
        <w:snapToGrid w:val="0"/>
        <w:spacing w:line="360" w:lineRule="auto"/>
        <w:ind w:firstLine="420" w:firstLineChars="200"/>
        <w:rPr>
          <w:rFonts w:ascii="宋体" w:hAnsi="宋体"/>
          <w:color w:val="0C0C0C"/>
        </w:rPr>
      </w:pPr>
      <w:r>
        <w:rPr>
          <w:rFonts w:hint="eastAsia" w:ascii="宋体" w:hAnsi="宋体"/>
          <w:color w:val="0C0C0C"/>
        </w:rPr>
        <w:t>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4CA65AAA">
      <w:pPr>
        <w:adjustRightInd w:val="0"/>
        <w:snapToGrid w:val="0"/>
        <w:spacing w:line="360" w:lineRule="auto"/>
        <w:ind w:firstLine="420" w:firstLineChars="200"/>
        <w:rPr>
          <w:rFonts w:ascii="宋体" w:hAnsi="宋体"/>
          <w:color w:val="0C0C0C"/>
        </w:rPr>
      </w:pPr>
      <w:r>
        <w:rPr>
          <w:rFonts w:hint="eastAsia" w:ascii="宋体" w:hAnsi="宋体"/>
          <w:color w:val="0C0C0C"/>
        </w:rPr>
        <w:t xml:space="preserve">3）本基金在任何交易日日终，持有的卖出股指期货合约价值不得超过基金持有的股票总市值的20%；在任何交易日日终，持有的卖出国债期货合约价值不得超过基金持有的债券总市值的30%； </w:t>
      </w:r>
    </w:p>
    <w:p w14:paraId="4207200A">
      <w:pPr>
        <w:adjustRightInd w:val="0"/>
        <w:snapToGrid w:val="0"/>
        <w:spacing w:line="360" w:lineRule="auto"/>
        <w:ind w:firstLine="420" w:firstLineChars="200"/>
        <w:rPr>
          <w:rFonts w:ascii="宋体" w:hAnsi="宋体"/>
          <w:color w:val="0C0C0C"/>
        </w:rPr>
      </w:pPr>
      <w:r>
        <w:rPr>
          <w:rFonts w:hint="eastAsia" w:ascii="宋体" w:hAnsi="宋体"/>
          <w:color w:val="0C0C0C"/>
        </w:rPr>
        <w:t>4）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69A1F519">
      <w:pPr>
        <w:adjustRightInd w:val="0"/>
        <w:snapToGrid w:val="0"/>
        <w:spacing w:line="360" w:lineRule="auto"/>
        <w:ind w:firstLine="420" w:firstLineChars="200"/>
        <w:rPr>
          <w:rFonts w:ascii="宋体" w:hAnsi="宋体"/>
          <w:color w:val="0C0C0C"/>
        </w:rPr>
      </w:pPr>
      <w:r>
        <w:rPr>
          <w:rFonts w:hint="eastAsia" w:ascii="宋体" w:hAnsi="宋体"/>
          <w:color w:val="0C0C0C"/>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0AC00600">
      <w:pPr>
        <w:adjustRightInd w:val="0"/>
        <w:snapToGrid w:val="0"/>
        <w:spacing w:line="360" w:lineRule="auto"/>
        <w:ind w:firstLine="420" w:firstLineChars="200"/>
        <w:rPr>
          <w:rFonts w:ascii="宋体" w:hAnsi="宋体"/>
          <w:color w:val="0C0C0C"/>
        </w:rPr>
      </w:pPr>
      <w:r>
        <w:rPr>
          <w:rFonts w:hint="eastAsia" w:ascii="宋体" w:hAnsi="宋体"/>
          <w:color w:val="0C0C0C"/>
        </w:rPr>
        <w:t>（4）本基金投资于同一原始权益人的各类资产支持证券的比例，不得超过基金资产净值的10％；</w:t>
      </w:r>
    </w:p>
    <w:p w14:paraId="4CFD7C38">
      <w:pPr>
        <w:adjustRightInd w:val="0"/>
        <w:snapToGrid w:val="0"/>
        <w:spacing w:line="360" w:lineRule="auto"/>
        <w:ind w:firstLine="420" w:firstLineChars="200"/>
        <w:rPr>
          <w:rFonts w:ascii="宋体" w:hAnsi="宋体"/>
          <w:color w:val="0C0C0C"/>
        </w:rPr>
      </w:pPr>
      <w:r>
        <w:rPr>
          <w:rFonts w:hint="eastAsia" w:ascii="宋体" w:hAnsi="宋体"/>
          <w:color w:val="0C0C0C"/>
        </w:rPr>
        <w:t>（5）本基金持有的全部资产支持证券，其市值不得超过基金资产净值的20％；</w:t>
      </w:r>
    </w:p>
    <w:p w14:paraId="43697A5E">
      <w:pPr>
        <w:adjustRightInd w:val="0"/>
        <w:snapToGrid w:val="0"/>
        <w:spacing w:line="360" w:lineRule="auto"/>
        <w:ind w:firstLine="420" w:firstLineChars="200"/>
        <w:rPr>
          <w:rFonts w:ascii="宋体" w:hAnsi="宋体"/>
          <w:color w:val="0C0C0C"/>
        </w:rPr>
      </w:pPr>
      <w:r>
        <w:rPr>
          <w:rFonts w:hint="eastAsia" w:ascii="宋体" w:hAnsi="宋体"/>
          <w:color w:val="0C0C0C"/>
        </w:rPr>
        <w:t>（6）本基金持有的同一(指同一信用级别)资产支持证券的比例，不得超过该资产支持证券规模的10％；</w:t>
      </w:r>
    </w:p>
    <w:p w14:paraId="6F0B1B5C">
      <w:pPr>
        <w:adjustRightInd w:val="0"/>
        <w:snapToGrid w:val="0"/>
        <w:spacing w:line="360" w:lineRule="auto"/>
        <w:ind w:firstLine="420" w:firstLineChars="200"/>
        <w:rPr>
          <w:rFonts w:ascii="宋体" w:hAnsi="宋体"/>
          <w:color w:val="0C0C0C"/>
        </w:rPr>
      </w:pPr>
      <w:r>
        <w:rPr>
          <w:rFonts w:hint="eastAsia" w:ascii="宋体" w:hAnsi="宋体"/>
          <w:color w:val="0C0C0C"/>
        </w:rPr>
        <w:t>（7）本基金管理人管理的全部基金投资于同一原始权益人的各类资产支持证券，不得超过其各类资产支持证券合计规模的10％；</w:t>
      </w:r>
    </w:p>
    <w:p w14:paraId="1DB28B6C">
      <w:pPr>
        <w:adjustRightInd w:val="0"/>
        <w:snapToGrid w:val="0"/>
        <w:spacing w:line="360" w:lineRule="auto"/>
        <w:ind w:firstLine="420" w:firstLineChars="200"/>
        <w:rPr>
          <w:rFonts w:ascii="宋体" w:hAnsi="宋体"/>
          <w:color w:val="0C0C0C"/>
        </w:rPr>
      </w:pPr>
      <w:r>
        <w:rPr>
          <w:rFonts w:hint="eastAsia" w:ascii="宋体" w:hAnsi="宋体"/>
          <w:color w:val="0C0C0C"/>
        </w:rPr>
        <w:t>（8）本基金应投资于信用级别评级为BBB以上(含BBB)的资产支持证券。基金持有资产支持证券期间，如果其信用等级下降、不再符合投资标准，应在评级报告发布之日起3个月内予以全部卖出；</w:t>
      </w:r>
    </w:p>
    <w:p w14:paraId="6C2571F5">
      <w:pPr>
        <w:adjustRightInd w:val="0"/>
        <w:snapToGrid w:val="0"/>
        <w:spacing w:line="360" w:lineRule="auto"/>
        <w:ind w:firstLine="420" w:firstLineChars="200"/>
        <w:rPr>
          <w:rFonts w:ascii="宋体" w:hAnsi="宋体"/>
          <w:color w:val="0C0C0C"/>
        </w:rPr>
      </w:pPr>
      <w:r>
        <w:rPr>
          <w:rFonts w:hint="eastAsia" w:ascii="宋体" w:hAnsi="宋体"/>
          <w:color w:val="0C0C0C"/>
        </w:rPr>
        <w:t>（9）基金财产参与股票发行申购，本基金所申报的金额不超过本基金的总资产，本基金所申报的股票数量不超过拟发行股票公司本次发行股票的总量；</w:t>
      </w:r>
    </w:p>
    <w:p w14:paraId="67116016">
      <w:pPr>
        <w:adjustRightInd w:val="0"/>
        <w:snapToGrid w:val="0"/>
        <w:spacing w:line="360" w:lineRule="auto"/>
        <w:ind w:firstLine="420" w:firstLineChars="200"/>
        <w:rPr>
          <w:rFonts w:ascii="宋体" w:hAnsi="宋体"/>
          <w:color w:val="0C0C0C"/>
        </w:rPr>
      </w:pPr>
      <w:r>
        <w:rPr>
          <w:rFonts w:hint="eastAsia" w:ascii="宋体" w:hAnsi="宋体"/>
          <w:color w:val="0C0C0C"/>
        </w:rPr>
        <w:t>（10）本基金参与融资的，在任何交易日日终，本基金持有的融资买入股票与其他有价证券市值之和，不得超过基金资产净值的95%；</w:t>
      </w:r>
    </w:p>
    <w:p w14:paraId="2E53E19C">
      <w:pPr>
        <w:adjustRightInd w:val="0"/>
        <w:snapToGrid w:val="0"/>
        <w:spacing w:line="360" w:lineRule="auto"/>
        <w:ind w:firstLine="420" w:firstLineChars="200"/>
        <w:rPr>
          <w:rFonts w:ascii="宋体" w:hAnsi="宋体"/>
          <w:color w:val="0C0C0C"/>
        </w:rPr>
      </w:pPr>
      <w:r>
        <w:rPr>
          <w:rFonts w:hint="eastAsia" w:ascii="宋体" w:hAnsi="宋体"/>
          <w:color w:val="0C0C0C"/>
        </w:rPr>
        <w:t>（11）本基金参与转融通证券出借业务，需遵守下列投资限制：</w:t>
      </w:r>
    </w:p>
    <w:p w14:paraId="2CF80449">
      <w:pPr>
        <w:adjustRightInd w:val="0"/>
        <w:snapToGrid w:val="0"/>
        <w:spacing w:line="360" w:lineRule="auto"/>
        <w:ind w:firstLine="420" w:firstLineChars="200"/>
        <w:rPr>
          <w:rFonts w:ascii="宋体" w:hAnsi="宋体"/>
          <w:color w:val="0C0C0C"/>
        </w:rPr>
      </w:pPr>
      <w:r>
        <w:rPr>
          <w:rFonts w:hint="eastAsia" w:ascii="宋体" w:hAnsi="宋体"/>
          <w:color w:val="0C0C0C"/>
        </w:rPr>
        <w:t>1）出借证券资产不得超过基金资产净值的30%，出借期限在10 个交易日以上的出借证券应纳入《流动性风险管理规定》所述流动性受限证券的范围；</w:t>
      </w:r>
    </w:p>
    <w:p w14:paraId="71EA5536">
      <w:pPr>
        <w:adjustRightInd w:val="0"/>
        <w:snapToGrid w:val="0"/>
        <w:spacing w:line="360" w:lineRule="auto"/>
        <w:ind w:firstLine="420" w:firstLineChars="200"/>
        <w:rPr>
          <w:rFonts w:ascii="宋体" w:hAnsi="宋体"/>
          <w:color w:val="0C0C0C"/>
        </w:rPr>
      </w:pPr>
      <w:r>
        <w:rPr>
          <w:rFonts w:hint="eastAsia" w:ascii="宋体" w:hAnsi="宋体"/>
          <w:color w:val="0C0C0C"/>
        </w:rPr>
        <w:t>2）参与出借业务的单只证券不得超过本基金持有该证券总量的30%；</w:t>
      </w:r>
    </w:p>
    <w:p w14:paraId="45347003">
      <w:pPr>
        <w:adjustRightInd w:val="0"/>
        <w:snapToGrid w:val="0"/>
        <w:spacing w:line="360" w:lineRule="auto"/>
        <w:ind w:firstLine="420" w:firstLineChars="200"/>
        <w:rPr>
          <w:rFonts w:ascii="宋体" w:hAnsi="宋体"/>
          <w:color w:val="0C0C0C"/>
        </w:rPr>
      </w:pPr>
      <w:r>
        <w:rPr>
          <w:rFonts w:hint="eastAsia" w:ascii="宋体" w:hAnsi="宋体"/>
          <w:color w:val="0C0C0C"/>
        </w:rPr>
        <w:t>3）最近6个月内日均基金资产净值不得低于2亿元；</w:t>
      </w:r>
    </w:p>
    <w:p w14:paraId="333F3B61">
      <w:pPr>
        <w:adjustRightInd w:val="0"/>
        <w:snapToGrid w:val="0"/>
        <w:spacing w:line="360" w:lineRule="auto"/>
        <w:ind w:firstLine="420" w:firstLineChars="200"/>
        <w:rPr>
          <w:rFonts w:ascii="宋体" w:hAnsi="宋体"/>
          <w:color w:val="0C0C0C"/>
        </w:rPr>
      </w:pPr>
      <w:r>
        <w:rPr>
          <w:rFonts w:hint="eastAsia" w:ascii="宋体" w:hAnsi="宋体"/>
          <w:color w:val="0C0C0C"/>
        </w:rPr>
        <w:t>4）证券出借的平均剩余期限不得超过30天，平均剩余期限按照市值加权平均计算；</w:t>
      </w:r>
    </w:p>
    <w:p w14:paraId="4957CA68">
      <w:pPr>
        <w:adjustRightInd w:val="0"/>
        <w:snapToGrid w:val="0"/>
        <w:spacing w:line="360" w:lineRule="auto"/>
        <w:ind w:firstLine="420" w:firstLineChars="200"/>
        <w:rPr>
          <w:rFonts w:ascii="宋体" w:hAnsi="宋体"/>
          <w:color w:val="0C0C0C"/>
        </w:rPr>
      </w:pPr>
      <w:r>
        <w:rPr>
          <w:rFonts w:hint="eastAsia" w:ascii="宋体" w:hAnsi="宋体"/>
          <w:color w:val="0C0C0C"/>
        </w:rPr>
        <w:t>因证券/期货市场波动、证券发行人合并、基金规模变动等基金管理人之外的因素致使基金投资不符合上述规定的，基金管理人不得新增出借业务；</w:t>
      </w:r>
    </w:p>
    <w:p w14:paraId="79F4E1B6">
      <w:pPr>
        <w:adjustRightInd w:val="0"/>
        <w:snapToGrid w:val="0"/>
        <w:spacing w:line="360" w:lineRule="auto"/>
        <w:ind w:firstLine="420" w:firstLineChars="200"/>
        <w:rPr>
          <w:rFonts w:ascii="宋体" w:hAnsi="宋体"/>
          <w:color w:val="0C0C0C"/>
        </w:rPr>
      </w:pPr>
      <w:r>
        <w:rPr>
          <w:rFonts w:hint="eastAsia" w:ascii="宋体" w:hAnsi="宋体"/>
          <w:color w:val="0C0C0C"/>
        </w:rPr>
        <w:t>（12）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w:t>
      </w:r>
    </w:p>
    <w:p w14:paraId="24C38EEC">
      <w:pPr>
        <w:adjustRightInd w:val="0"/>
        <w:snapToGrid w:val="0"/>
        <w:spacing w:line="360" w:lineRule="auto"/>
        <w:ind w:firstLine="420" w:firstLineChars="200"/>
        <w:rPr>
          <w:rFonts w:ascii="宋体" w:hAnsi="宋体"/>
          <w:color w:val="0C0C0C"/>
        </w:rPr>
      </w:pPr>
      <w:r>
        <w:rPr>
          <w:rFonts w:hint="eastAsia" w:ascii="宋体" w:hAnsi="宋体"/>
          <w:color w:val="0C0C0C"/>
        </w:rPr>
        <w:t>（13）本基金主动投资于流动性受限资产的市值合计不得超过基金资产净值的15%；因证券/期货市场波动、上市公司股票停牌、基金规模变动等基金管理人之外的因素致使基金不符合该比例限制的，基金管理人不得主动新增流动性受限资产的投资；</w:t>
      </w:r>
    </w:p>
    <w:p w14:paraId="2A12BFF8">
      <w:pPr>
        <w:adjustRightInd w:val="0"/>
        <w:snapToGrid w:val="0"/>
        <w:spacing w:line="360" w:lineRule="auto"/>
        <w:ind w:firstLine="420" w:firstLineChars="200"/>
        <w:rPr>
          <w:rFonts w:ascii="宋体" w:hAnsi="宋体"/>
          <w:color w:val="0C0C0C"/>
        </w:rPr>
      </w:pPr>
      <w:r>
        <w:rPr>
          <w:rFonts w:hint="eastAsia" w:ascii="宋体" w:hAnsi="宋体"/>
          <w:color w:val="0C0C0C"/>
        </w:rPr>
        <w:t>（14）本基金与私募类证券资管产品及中国证监会认定的其他主体为交易对手开展逆回购交易的，可接受质押品的资质要求应当与本基金合同约定的投资范围保持一致；</w:t>
      </w:r>
    </w:p>
    <w:p w14:paraId="4820AC39">
      <w:pPr>
        <w:adjustRightInd w:val="0"/>
        <w:snapToGrid w:val="0"/>
        <w:spacing w:line="360" w:lineRule="auto"/>
        <w:ind w:firstLine="420" w:firstLineChars="200"/>
        <w:rPr>
          <w:rFonts w:ascii="宋体" w:hAnsi="宋体"/>
          <w:color w:val="0C0C0C"/>
        </w:rPr>
      </w:pPr>
      <w:r>
        <w:rPr>
          <w:rFonts w:hint="eastAsia" w:ascii="宋体" w:hAnsi="宋体"/>
          <w:color w:val="0C0C0C"/>
        </w:rPr>
        <w:t>（15）本基金资产总值不得超过基金资产净值的140%；</w:t>
      </w:r>
    </w:p>
    <w:p w14:paraId="3ED14790">
      <w:pPr>
        <w:adjustRightInd w:val="0"/>
        <w:snapToGrid w:val="0"/>
        <w:spacing w:line="360" w:lineRule="auto"/>
        <w:ind w:firstLine="420" w:firstLineChars="200"/>
        <w:rPr>
          <w:rFonts w:ascii="宋体" w:hAnsi="宋体"/>
          <w:color w:val="0C0C0C"/>
        </w:rPr>
      </w:pPr>
      <w:r>
        <w:rPr>
          <w:rFonts w:hint="eastAsia" w:ascii="宋体" w:hAnsi="宋体"/>
          <w:color w:val="0C0C0C"/>
        </w:rPr>
        <w:t>（16）本基金投资存托凭证的比例限制依照境内上市交易的股票执行，与境内上市交易的股票合并计算；</w:t>
      </w:r>
    </w:p>
    <w:p w14:paraId="562D579F">
      <w:pPr>
        <w:adjustRightInd w:val="0"/>
        <w:snapToGrid w:val="0"/>
        <w:spacing w:line="360" w:lineRule="auto"/>
        <w:ind w:firstLine="420" w:firstLineChars="200"/>
        <w:rPr>
          <w:rFonts w:ascii="宋体" w:hAnsi="宋体"/>
          <w:color w:val="0C0C0C"/>
        </w:rPr>
      </w:pPr>
      <w:r>
        <w:rPr>
          <w:rFonts w:hint="eastAsia" w:ascii="宋体" w:hAnsi="宋体"/>
          <w:color w:val="0C0C0C"/>
        </w:rPr>
        <w:t>（17）法律法规及中国证监会规定的和《基金合同》约定的其他投资限制。</w:t>
      </w:r>
    </w:p>
    <w:p w14:paraId="42831322">
      <w:pPr>
        <w:adjustRightInd w:val="0"/>
        <w:snapToGrid w:val="0"/>
        <w:spacing w:line="360" w:lineRule="auto"/>
        <w:ind w:firstLine="420" w:firstLineChars="200"/>
        <w:rPr>
          <w:rFonts w:ascii="宋体" w:hAnsi="宋体"/>
          <w:color w:val="0C0C0C"/>
        </w:rPr>
      </w:pPr>
      <w:r>
        <w:rPr>
          <w:rFonts w:hint="eastAsia" w:ascii="宋体" w:hAnsi="宋体"/>
          <w:color w:val="0C0C0C"/>
        </w:rPr>
        <w:t>除上述（2）、（8）、（11）、（13）、（14）情形之外，因证券/期货市场波动、证券发行人合并、基金规模变动、标的指数成份股调整、标的指数成份股流动性限制、港股通额度不足等基金管理人之外的因素致使基金投资比例不符合上述规定投资比例的，基金管理人应当在10个交易日内进行调整，但中国证监会规定的特殊情形除外。</w:t>
      </w:r>
    </w:p>
    <w:p w14:paraId="011C2082">
      <w:pPr>
        <w:adjustRightInd w:val="0"/>
        <w:snapToGrid w:val="0"/>
        <w:spacing w:line="360" w:lineRule="auto"/>
        <w:ind w:firstLine="420" w:firstLineChars="200"/>
        <w:rPr>
          <w:rFonts w:ascii="宋体" w:hAnsi="宋体"/>
          <w:color w:val="0C0C0C"/>
        </w:rPr>
      </w:pPr>
      <w:r>
        <w:rPr>
          <w:rFonts w:hint="eastAsia" w:ascii="宋体" w:hAnsi="宋体"/>
          <w:color w:val="0C0C0C"/>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07E7CA7F">
      <w:pPr>
        <w:adjustRightInd w:val="0"/>
        <w:snapToGrid w:val="0"/>
        <w:spacing w:line="360" w:lineRule="auto"/>
        <w:ind w:firstLine="420" w:firstLineChars="200"/>
        <w:rPr>
          <w:rFonts w:ascii="宋体" w:hAnsi="宋体" w:eastAsia="宋体"/>
          <w:color w:val="0C0C0C"/>
        </w:rPr>
      </w:pPr>
      <w:r>
        <w:rPr>
          <w:rFonts w:hint="eastAsia" w:ascii="宋体" w:hAnsi="宋体"/>
          <w:color w:val="0C0C0C"/>
        </w:rPr>
        <w:t>法律法规或监管部门取消或调整上述限制，如适用于本基金，基金管理人在与基金托管人协商一致并履行适当程序后，则本基金投资不再受相关限制或按照调整后的规定执行。</w:t>
      </w:r>
    </w:p>
    <w:p w14:paraId="31BCA143">
      <w:pPr>
        <w:adjustRightInd w:val="0"/>
        <w:snapToGrid w:val="0"/>
        <w:spacing w:line="360" w:lineRule="auto"/>
        <w:ind w:firstLine="420" w:firstLineChars="200"/>
        <w:rPr>
          <w:rFonts w:ascii="宋体" w:hAnsi="宋体" w:eastAsia="宋体"/>
          <w:color w:val="0C0C0C"/>
        </w:rPr>
      </w:pPr>
      <w:r>
        <w:rPr>
          <w:rFonts w:ascii="宋体" w:hAnsi="宋体" w:eastAsia="宋体"/>
          <w:color w:val="0C0C0C"/>
        </w:rPr>
        <w:t>2</w:t>
      </w:r>
      <w:r>
        <w:rPr>
          <w:rFonts w:hint="eastAsia" w:ascii="宋体" w:hAnsi="宋体" w:eastAsia="宋体"/>
          <w:color w:val="0C0C0C"/>
        </w:rPr>
        <w:t>、禁止行为</w:t>
      </w:r>
    </w:p>
    <w:p w14:paraId="0D61CF13">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为维护基金份额持有人的合法权益，基金财产不得用于下列投资或者活动：</w:t>
      </w:r>
    </w:p>
    <w:p w14:paraId="12009E0B">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w:t>
      </w:r>
      <w:r>
        <w:rPr>
          <w:rFonts w:ascii="宋体" w:hAnsi="宋体" w:eastAsia="宋体"/>
          <w:color w:val="0C0C0C"/>
        </w:rPr>
        <w:t>1</w:t>
      </w:r>
      <w:r>
        <w:rPr>
          <w:rFonts w:hint="eastAsia" w:ascii="宋体" w:hAnsi="宋体" w:eastAsia="宋体"/>
          <w:color w:val="0C0C0C"/>
        </w:rPr>
        <w:t>）承销证券；</w:t>
      </w:r>
    </w:p>
    <w:p w14:paraId="356B5A82">
      <w:pPr>
        <w:adjustRightInd w:val="0"/>
        <w:snapToGrid w:val="0"/>
        <w:spacing w:line="360" w:lineRule="auto"/>
        <w:ind w:firstLine="420" w:firstLineChars="200"/>
        <w:rPr>
          <w:rFonts w:ascii="宋体" w:hAnsi="宋体" w:eastAsia="宋体"/>
          <w:color w:val="0C0C0C"/>
        </w:rPr>
      </w:pPr>
      <w:r>
        <w:rPr>
          <w:rFonts w:ascii="宋体" w:hAnsi="宋体" w:eastAsia="宋体"/>
          <w:color w:val="0C0C0C"/>
        </w:rPr>
        <w:t>（2）</w:t>
      </w:r>
      <w:r>
        <w:rPr>
          <w:rFonts w:hint="eastAsia" w:ascii="宋体" w:hAnsi="宋体" w:eastAsia="宋体"/>
          <w:color w:val="0C0C0C"/>
        </w:rPr>
        <w:t>违反规定</w:t>
      </w:r>
      <w:r>
        <w:rPr>
          <w:rFonts w:ascii="宋体" w:hAnsi="宋体" w:eastAsia="宋体"/>
          <w:color w:val="0C0C0C"/>
        </w:rPr>
        <w:t>向他人贷款或者提供担保；</w:t>
      </w:r>
    </w:p>
    <w:p w14:paraId="71DF4EA2">
      <w:pPr>
        <w:adjustRightInd w:val="0"/>
        <w:snapToGrid w:val="0"/>
        <w:spacing w:line="360" w:lineRule="auto"/>
        <w:ind w:firstLine="420" w:firstLineChars="200"/>
        <w:rPr>
          <w:rFonts w:ascii="宋体" w:hAnsi="宋体" w:eastAsia="宋体"/>
          <w:color w:val="0C0C0C"/>
        </w:rPr>
      </w:pPr>
      <w:r>
        <w:rPr>
          <w:rFonts w:ascii="宋体" w:hAnsi="宋体" w:eastAsia="宋体"/>
          <w:color w:val="0C0C0C"/>
        </w:rPr>
        <w:t>（3）从事承担无限责任的投资；</w:t>
      </w:r>
    </w:p>
    <w:p w14:paraId="3433B603">
      <w:pPr>
        <w:adjustRightInd w:val="0"/>
        <w:snapToGrid w:val="0"/>
        <w:spacing w:line="360" w:lineRule="auto"/>
        <w:ind w:firstLine="420" w:firstLineChars="200"/>
        <w:rPr>
          <w:rFonts w:ascii="宋体" w:hAnsi="宋体" w:eastAsia="宋体"/>
          <w:color w:val="0C0C0C"/>
        </w:rPr>
      </w:pPr>
      <w:r>
        <w:rPr>
          <w:rFonts w:ascii="宋体" w:hAnsi="宋体" w:eastAsia="宋体"/>
          <w:color w:val="0C0C0C"/>
        </w:rPr>
        <w:t>（4）买卖其他基金份额，但是</w:t>
      </w:r>
      <w:r>
        <w:rPr>
          <w:rFonts w:hint="eastAsia" w:ascii="宋体" w:hAnsi="宋体" w:eastAsia="宋体"/>
          <w:color w:val="0C0C0C"/>
        </w:rPr>
        <w:t>中国证监会</w:t>
      </w:r>
      <w:r>
        <w:rPr>
          <w:rFonts w:ascii="宋体" w:hAnsi="宋体" w:eastAsia="宋体"/>
          <w:color w:val="0C0C0C"/>
        </w:rPr>
        <w:t>另有规定的除外；</w:t>
      </w:r>
    </w:p>
    <w:p w14:paraId="51500794">
      <w:pPr>
        <w:adjustRightInd w:val="0"/>
        <w:snapToGrid w:val="0"/>
        <w:spacing w:line="360" w:lineRule="auto"/>
        <w:ind w:firstLine="420" w:firstLineChars="200"/>
        <w:rPr>
          <w:rFonts w:ascii="宋体" w:hAnsi="宋体" w:eastAsia="宋体"/>
          <w:color w:val="0C0C0C"/>
        </w:rPr>
      </w:pPr>
      <w:r>
        <w:rPr>
          <w:rFonts w:ascii="宋体" w:hAnsi="宋体" w:eastAsia="宋体"/>
          <w:color w:val="0C0C0C"/>
        </w:rPr>
        <w:t>（5）向</w:t>
      </w:r>
      <w:r>
        <w:rPr>
          <w:rFonts w:hint="eastAsia" w:ascii="宋体" w:hAnsi="宋体" w:eastAsia="宋体"/>
          <w:color w:val="0C0C0C"/>
        </w:rPr>
        <w:t>其基金管理人、基金托管人</w:t>
      </w:r>
      <w:r>
        <w:rPr>
          <w:rFonts w:ascii="宋体" w:hAnsi="宋体" w:eastAsia="宋体"/>
          <w:color w:val="0C0C0C"/>
        </w:rPr>
        <w:t>出资</w:t>
      </w:r>
      <w:r>
        <w:rPr>
          <w:rFonts w:hint="eastAsia" w:ascii="宋体" w:hAnsi="宋体" w:eastAsia="宋体"/>
          <w:color w:val="0C0C0C"/>
        </w:rPr>
        <w:t>；</w:t>
      </w:r>
    </w:p>
    <w:p w14:paraId="5D255E9A">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w:t>
      </w:r>
      <w:r>
        <w:rPr>
          <w:rFonts w:ascii="宋体" w:hAnsi="宋体" w:eastAsia="宋体"/>
          <w:color w:val="0C0C0C"/>
        </w:rPr>
        <w:t>6）从事内幕交易、操纵证券交易价格及其他不正当的证券交易活动；</w:t>
      </w:r>
    </w:p>
    <w:p w14:paraId="4E3F516A">
      <w:pPr>
        <w:adjustRightInd w:val="0"/>
        <w:snapToGrid w:val="0"/>
        <w:spacing w:line="360" w:lineRule="auto"/>
        <w:ind w:firstLine="420" w:firstLineChars="200"/>
        <w:rPr>
          <w:rFonts w:ascii="宋体" w:hAnsi="宋体" w:eastAsia="宋体"/>
          <w:color w:val="0C0C0C"/>
        </w:rPr>
      </w:pPr>
      <w:r>
        <w:rPr>
          <w:rFonts w:hint="eastAsia" w:ascii="宋体" w:hAnsi="宋体" w:eastAsia="宋体"/>
          <w:color w:val="0C0C0C"/>
        </w:rPr>
        <w:t>（</w:t>
      </w:r>
      <w:r>
        <w:rPr>
          <w:rFonts w:ascii="宋体" w:hAnsi="宋体" w:eastAsia="宋体"/>
          <w:color w:val="0C0C0C"/>
        </w:rPr>
        <w:t>7）</w:t>
      </w:r>
      <w:r>
        <w:rPr>
          <w:rFonts w:hint="eastAsia" w:ascii="宋体" w:hAnsi="宋体" w:eastAsia="宋体"/>
          <w:color w:val="0C0C0C"/>
        </w:rPr>
        <w:t>法律、行政法规和中国证监会规定禁止的其他活动。</w:t>
      </w:r>
    </w:p>
    <w:p w14:paraId="6ECC57A0">
      <w:pPr>
        <w:adjustRightInd w:val="0"/>
        <w:snapToGrid w:val="0"/>
        <w:spacing w:line="360" w:lineRule="auto"/>
        <w:ind w:firstLine="420" w:firstLineChars="200"/>
        <w:rPr>
          <w:rFonts w:ascii="宋体" w:hAnsi="宋体"/>
          <w:color w:val="0C0C0C"/>
        </w:rPr>
      </w:pPr>
      <w:r>
        <w:rPr>
          <w:rFonts w:hint="eastAsia" w:ascii="宋体" w:hAnsi="宋体" w:eastAsia="宋体"/>
          <w:color w:val="0C0C0C"/>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的</w:t>
      </w:r>
      <w:r>
        <w:rPr>
          <w:rFonts w:hint="eastAsia" w:ascii="宋体" w:hAnsi="宋体"/>
          <w:color w:val="0C0C0C"/>
        </w:rPr>
        <w:t>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1768AD0">
      <w:pPr>
        <w:adjustRightInd w:val="0"/>
        <w:snapToGrid w:val="0"/>
        <w:spacing w:line="360" w:lineRule="auto"/>
        <w:ind w:firstLine="420" w:firstLineChars="200"/>
        <w:rPr>
          <w:rFonts w:ascii="宋体" w:hAnsi="宋体" w:eastAsia="宋体"/>
          <w:color w:val="0C0C0C"/>
        </w:rPr>
      </w:pPr>
      <w:r>
        <w:rPr>
          <w:rFonts w:ascii="宋体" w:hAnsi="宋体" w:eastAsia="宋体"/>
          <w:color w:val="0C0C0C"/>
        </w:rPr>
        <w:t>法律</w:t>
      </w:r>
      <w:r>
        <w:rPr>
          <w:rFonts w:hint="eastAsia" w:ascii="宋体" w:hAnsi="宋体" w:eastAsia="宋体"/>
          <w:color w:val="0C0C0C"/>
        </w:rPr>
        <w:t>、行政</w:t>
      </w:r>
      <w:r>
        <w:rPr>
          <w:rFonts w:ascii="宋体" w:hAnsi="宋体" w:eastAsia="宋体"/>
          <w:color w:val="0C0C0C"/>
        </w:rPr>
        <w:t>法规或监管部门取消</w:t>
      </w:r>
      <w:r>
        <w:rPr>
          <w:rFonts w:hint="eastAsia" w:ascii="宋体" w:hAnsi="宋体" w:eastAsia="宋体"/>
          <w:color w:val="0C0C0C"/>
        </w:rPr>
        <w:t>或</w:t>
      </w:r>
      <w:r>
        <w:rPr>
          <w:rFonts w:ascii="宋体" w:hAnsi="宋体" w:eastAsia="宋体"/>
          <w:color w:val="0C0C0C"/>
        </w:rPr>
        <w:t>调整上述限制，如适用于本基金，</w:t>
      </w:r>
      <w:r>
        <w:rPr>
          <w:rFonts w:hint="eastAsia" w:ascii="宋体" w:hAnsi="宋体" w:eastAsia="宋体"/>
          <w:color w:val="0C0C0C"/>
        </w:rPr>
        <w:t>基金管理人在履行适当程序后，</w:t>
      </w:r>
      <w:r>
        <w:rPr>
          <w:rFonts w:ascii="宋体" w:hAnsi="宋体" w:eastAsia="宋体"/>
          <w:color w:val="0C0C0C"/>
        </w:rPr>
        <w:t>则本基金投资不再受相关限制</w:t>
      </w:r>
      <w:r>
        <w:rPr>
          <w:rFonts w:hint="eastAsia" w:ascii="宋体" w:hAnsi="宋体" w:eastAsia="宋体"/>
          <w:color w:val="0C0C0C"/>
        </w:rPr>
        <w:t>或按照调整后的规定执行</w:t>
      </w:r>
      <w:r>
        <w:rPr>
          <w:rFonts w:ascii="宋体" w:hAnsi="宋体" w:eastAsia="宋体"/>
          <w:color w:val="0C0C0C"/>
        </w:rPr>
        <w:t>。</w:t>
      </w:r>
    </w:p>
    <w:p w14:paraId="12A5FDB7">
      <w:pPr>
        <w:snapToGrid w:val="0"/>
        <w:spacing w:line="360" w:lineRule="auto"/>
        <w:ind w:firstLine="420" w:firstLineChars="200"/>
        <w:rPr>
          <w:rFonts w:ascii="宋体" w:hAnsi="宋体" w:eastAsia="宋体"/>
        </w:rPr>
      </w:pPr>
      <w:r>
        <w:rPr>
          <w:rFonts w:hint="eastAsia" w:ascii="宋体" w:hAnsi="宋体" w:eastAsia="宋体"/>
        </w:rPr>
        <w:t>六、基金资产净值的计算方法和公告方式</w:t>
      </w:r>
    </w:p>
    <w:p w14:paraId="5001295E">
      <w:pPr>
        <w:snapToGrid w:val="0"/>
        <w:spacing w:line="360" w:lineRule="auto"/>
        <w:ind w:firstLine="420" w:firstLineChars="200"/>
        <w:rPr>
          <w:rFonts w:ascii="宋体" w:hAnsi="宋体" w:eastAsia="宋体"/>
        </w:rPr>
      </w:pPr>
      <w:r>
        <w:rPr>
          <w:rFonts w:hint="eastAsia" w:ascii="宋体" w:hAnsi="宋体" w:eastAsia="宋体"/>
        </w:rPr>
        <w:t>（一）基金资产净值的计算方式</w:t>
      </w:r>
    </w:p>
    <w:p w14:paraId="3388DDE1">
      <w:pPr>
        <w:snapToGrid w:val="0"/>
        <w:spacing w:line="360" w:lineRule="auto"/>
        <w:ind w:firstLine="420" w:firstLineChars="200"/>
        <w:rPr>
          <w:rFonts w:ascii="宋体" w:hAnsi="宋体" w:eastAsia="宋体"/>
        </w:rPr>
      </w:pPr>
      <w:r>
        <w:rPr>
          <w:rFonts w:hint="eastAsia" w:ascii="宋体" w:hAnsi="宋体"/>
          <w:color w:val="0C0C0C"/>
        </w:rPr>
        <w:t>基金资产净值是指基金资产总值减去基金负债后的价值。</w:t>
      </w:r>
    </w:p>
    <w:p w14:paraId="48CCF5C5">
      <w:pPr>
        <w:snapToGrid w:val="0"/>
        <w:spacing w:line="360" w:lineRule="auto"/>
        <w:ind w:firstLine="420" w:firstLineChars="200"/>
        <w:rPr>
          <w:rFonts w:ascii="宋体" w:hAnsi="宋体" w:eastAsia="宋体"/>
        </w:rPr>
      </w:pPr>
      <w:r>
        <w:rPr>
          <w:rFonts w:ascii="宋体" w:hAnsi="宋体" w:eastAsia="宋体"/>
        </w:rPr>
        <w:t>（</w:t>
      </w:r>
      <w:r>
        <w:rPr>
          <w:rFonts w:hint="eastAsia" w:ascii="宋体" w:hAnsi="宋体" w:eastAsia="宋体"/>
        </w:rPr>
        <w:t>二</w:t>
      </w:r>
      <w:r>
        <w:rPr>
          <w:rFonts w:ascii="宋体" w:hAnsi="宋体" w:eastAsia="宋体"/>
        </w:rPr>
        <w:t>）</w:t>
      </w:r>
      <w:r>
        <w:rPr>
          <w:rFonts w:hint="eastAsia" w:ascii="宋体" w:hAnsi="宋体" w:eastAsia="宋体"/>
        </w:rPr>
        <w:t>估值方法</w:t>
      </w:r>
    </w:p>
    <w:p w14:paraId="37E80E3C">
      <w:pPr>
        <w:adjustRightInd w:val="0"/>
        <w:snapToGrid w:val="0"/>
        <w:spacing w:line="360" w:lineRule="auto"/>
        <w:ind w:firstLine="420" w:firstLineChars="200"/>
        <w:rPr>
          <w:rFonts w:ascii="宋体" w:hAnsi="宋体"/>
          <w:color w:val="0C0C0C"/>
        </w:rPr>
      </w:pPr>
      <w:r>
        <w:rPr>
          <w:rFonts w:ascii="宋体" w:hAnsi="宋体"/>
          <w:color w:val="0C0C0C"/>
        </w:rPr>
        <w:t>1</w:t>
      </w:r>
      <w:r>
        <w:rPr>
          <w:rFonts w:hint="eastAsia" w:ascii="宋体" w:hAnsi="宋体"/>
          <w:color w:val="0C0C0C"/>
        </w:rPr>
        <w:t>、</w:t>
      </w:r>
      <w:r>
        <w:rPr>
          <w:rFonts w:ascii="宋体" w:hAnsi="宋体"/>
          <w:color w:val="0C0C0C"/>
        </w:rPr>
        <w:t>交易所上市</w:t>
      </w:r>
      <w:r>
        <w:rPr>
          <w:rFonts w:hint="eastAsia" w:ascii="宋体" w:hAnsi="宋体"/>
          <w:color w:val="0C0C0C"/>
        </w:rPr>
        <w:t>或挂牌转让</w:t>
      </w:r>
      <w:r>
        <w:rPr>
          <w:rFonts w:ascii="宋体" w:hAnsi="宋体"/>
          <w:color w:val="0C0C0C"/>
        </w:rPr>
        <w:t>的有价证券（包括股票等</w:t>
      </w:r>
      <w:r>
        <w:rPr>
          <w:rFonts w:hint="eastAsia" w:ascii="宋体" w:hAnsi="宋体"/>
          <w:color w:val="0C0C0C"/>
        </w:rPr>
        <w:t>，本基金合同另有规定的除外</w:t>
      </w:r>
      <w:r>
        <w:rPr>
          <w:rFonts w:ascii="宋体" w:hAnsi="宋体"/>
          <w:color w:val="0C0C0C"/>
        </w:rPr>
        <w:t>），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w:t>
      </w:r>
      <w:r>
        <w:rPr>
          <w:rFonts w:hint="eastAsia" w:ascii="宋体" w:hAnsi="宋体"/>
          <w:color w:val="0C0C0C"/>
        </w:rPr>
        <w:t>或</w:t>
      </w:r>
      <w:r>
        <w:rPr>
          <w:rFonts w:ascii="宋体" w:hAnsi="宋体"/>
          <w:color w:val="0C0C0C"/>
        </w:rPr>
        <w:t>证券发行机构发生影响证券价格的重大事件的，可参考类似投资品种的现行市价及重大变化因素，调整最近交易市价，确定公允价格。</w:t>
      </w:r>
    </w:p>
    <w:p w14:paraId="5C6C46D0">
      <w:pPr>
        <w:adjustRightInd w:val="0"/>
        <w:snapToGrid w:val="0"/>
        <w:spacing w:line="360" w:lineRule="auto"/>
        <w:ind w:firstLine="420" w:firstLineChars="200"/>
        <w:rPr>
          <w:rFonts w:ascii="宋体" w:hAnsi="宋体"/>
          <w:color w:val="0C0C0C"/>
        </w:rPr>
      </w:pPr>
      <w:r>
        <w:rPr>
          <w:rFonts w:ascii="宋体" w:hAnsi="宋体"/>
          <w:color w:val="0C0C0C"/>
        </w:rPr>
        <w:t>2</w:t>
      </w:r>
      <w:r>
        <w:rPr>
          <w:rFonts w:hint="eastAsia" w:ascii="宋体" w:hAnsi="宋体"/>
          <w:color w:val="0C0C0C"/>
        </w:rPr>
        <w:t>、</w:t>
      </w:r>
      <w:r>
        <w:rPr>
          <w:rFonts w:ascii="宋体" w:hAnsi="宋体"/>
          <w:color w:val="0C0C0C"/>
        </w:rPr>
        <w:t>对于已上市或已挂牌转让的不含权固定收益品种，选取估值日第三方估值基准服务机构提供的相应品种当日的估值</w:t>
      </w:r>
      <w:r>
        <w:rPr>
          <w:rFonts w:hint="eastAsia" w:ascii="宋体" w:hAnsi="宋体"/>
          <w:color w:val="0C0C0C"/>
        </w:rPr>
        <w:t>全</w:t>
      </w:r>
      <w:r>
        <w:rPr>
          <w:rFonts w:ascii="宋体" w:hAnsi="宋体"/>
          <w:color w:val="0C0C0C"/>
        </w:rPr>
        <w:t>价进行估值</w:t>
      </w:r>
      <w:r>
        <w:rPr>
          <w:rFonts w:hint="eastAsia" w:ascii="宋体" w:hAnsi="宋体"/>
          <w:color w:val="0C0C0C"/>
        </w:rPr>
        <w:t>。</w:t>
      </w:r>
    </w:p>
    <w:p w14:paraId="0635B2DC">
      <w:pPr>
        <w:adjustRightInd w:val="0"/>
        <w:snapToGrid w:val="0"/>
        <w:spacing w:line="360" w:lineRule="auto"/>
        <w:ind w:firstLine="420" w:firstLineChars="200"/>
        <w:rPr>
          <w:rFonts w:ascii="宋体" w:hAnsi="宋体"/>
          <w:color w:val="0C0C0C"/>
        </w:rPr>
      </w:pPr>
      <w:r>
        <w:rPr>
          <w:rFonts w:ascii="宋体" w:hAnsi="宋体"/>
          <w:color w:val="0C0C0C"/>
        </w:rPr>
        <w:t>3</w:t>
      </w:r>
      <w:r>
        <w:rPr>
          <w:rFonts w:hint="eastAsia" w:ascii="宋体" w:hAnsi="宋体"/>
          <w:color w:val="0C0C0C"/>
        </w:rPr>
        <w:t>、</w:t>
      </w:r>
      <w:r>
        <w:rPr>
          <w:rFonts w:ascii="宋体" w:hAnsi="宋体"/>
          <w:color w:val="0C0C0C"/>
        </w:rPr>
        <w:t>对于已上市或已挂牌转让的含权固定收益品种，选取估值日第三方估值基准服务机构提供的相应品种当日的唯一估值</w:t>
      </w:r>
      <w:r>
        <w:rPr>
          <w:rFonts w:hint="eastAsia" w:ascii="宋体" w:hAnsi="宋体"/>
          <w:color w:val="0C0C0C"/>
        </w:rPr>
        <w:t>全</w:t>
      </w:r>
      <w:r>
        <w:rPr>
          <w:rFonts w:ascii="宋体" w:hAnsi="宋体"/>
          <w:color w:val="0C0C0C"/>
        </w:rPr>
        <w:t>价或推荐估值</w:t>
      </w:r>
      <w:r>
        <w:rPr>
          <w:rFonts w:hint="eastAsia" w:ascii="宋体" w:hAnsi="宋体"/>
          <w:color w:val="0C0C0C"/>
        </w:rPr>
        <w:t>全</w:t>
      </w:r>
      <w:r>
        <w:rPr>
          <w:rFonts w:ascii="宋体" w:hAnsi="宋体"/>
          <w:color w:val="0C0C0C"/>
        </w:rPr>
        <w:t>价进行估值</w:t>
      </w:r>
      <w:r>
        <w:rPr>
          <w:rFonts w:hint="eastAsia" w:ascii="宋体" w:hAnsi="宋体"/>
          <w:color w:val="0C0C0C"/>
        </w:rPr>
        <w:t>。</w:t>
      </w:r>
    </w:p>
    <w:p w14:paraId="3D488E9F">
      <w:pPr>
        <w:adjustRightInd w:val="0"/>
        <w:snapToGrid w:val="0"/>
        <w:spacing w:line="360" w:lineRule="auto"/>
        <w:ind w:firstLine="420" w:firstLineChars="200"/>
        <w:rPr>
          <w:rFonts w:ascii="宋体" w:hAnsi="宋体"/>
          <w:color w:val="0C0C0C"/>
        </w:rPr>
      </w:pPr>
      <w:r>
        <w:rPr>
          <w:rFonts w:ascii="宋体" w:hAnsi="宋体"/>
          <w:color w:val="0C0C0C"/>
        </w:rPr>
        <w:t>对于含投资者回售权的固定收益品种，行使回售权的，在回售登记日至实际收款日期间选取第三方估值基准服务机构提供的相应品种的唯一估值全价或推荐估值全价。回售登记期截止日（含当日）后未行使回售权的</w:t>
      </w:r>
      <w:r>
        <w:rPr>
          <w:rFonts w:hint="eastAsia" w:ascii="宋体" w:hAnsi="宋体"/>
          <w:color w:val="0C0C0C"/>
        </w:rPr>
        <w:t>，</w:t>
      </w:r>
      <w:r>
        <w:rPr>
          <w:rFonts w:ascii="宋体" w:hAnsi="宋体"/>
          <w:color w:val="0C0C0C"/>
        </w:rPr>
        <w:t>按照长待偿期所对应的价格进行估值。</w:t>
      </w:r>
    </w:p>
    <w:p w14:paraId="70051FBC">
      <w:pPr>
        <w:adjustRightInd w:val="0"/>
        <w:snapToGrid w:val="0"/>
        <w:spacing w:line="360" w:lineRule="auto"/>
        <w:ind w:firstLine="420" w:firstLineChars="200"/>
        <w:rPr>
          <w:rFonts w:ascii="宋体" w:hAnsi="宋体"/>
          <w:color w:val="0C0C0C"/>
        </w:rPr>
      </w:pPr>
      <w:r>
        <w:rPr>
          <w:rFonts w:ascii="宋体" w:hAnsi="宋体"/>
          <w:color w:val="0C0C0C"/>
        </w:rPr>
        <w:t>4</w:t>
      </w:r>
      <w:r>
        <w:rPr>
          <w:rFonts w:hint="eastAsia" w:ascii="宋体" w:hAnsi="宋体"/>
          <w:color w:val="0C0C0C"/>
        </w:rPr>
        <w:t>、</w:t>
      </w:r>
      <w:r>
        <w:rPr>
          <w:rFonts w:ascii="宋体" w:hAnsi="宋体"/>
          <w:color w:val="0C0C0C"/>
        </w:rPr>
        <w:t>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r>
        <w:rPr>
          <w:rFonts w:hint="eastAsia" w:ascii="宋体" w:hAnsi="宋体"/>
          <w:color w:val="0C0C0C"/>
        </w:rPr>
        <w:t>。</w:t>
      </w:r>
    </w:p>
    <w:p w14:paraId="7A24AC74">
      <w:pPr>
        <w:adjustRightInd w:val="0"/>
        <w:snapToGrid w:val="0"/>
        <w:spacing w:line="360" w:lineRule="auto"/>
        <w:ind w:firstLine="420" w:firstLineChars="200"/>
        <w:rPr>
          <w:rFonts w:ascii="宋体" w:hAnsi="宋体"/>
          <w:color w:val="0C0C0C"/>
        </w:rPr>
      </w:pPr>
      <w:r>
        <w:rPr>
          <w:rFonts w:hint="eastAsia" w:ascii="宋体" w:hAnsi="宋体"/>
          <w:color w:val="0C0C0C"/>
        </w:rPr>
        <w:t>5、</w:t>
      </w:r>
      <w:r>
        <w:rPr>
          <w:rFonts w:ascii="宋体" w:hAnsi="宋体"/>
          <w:color w:val="0C0C0C"/>
        </w:rPr>
        <w:t>对于未上市或未挂牌转让且不存在活跃市场的固定收益品种，应采用在当前情况下适用并且有足够可利用数据和其他信息支持的估值技术确定其公允价值。</w:t>
      </w:r>
    </w:p>
    <w:p w14:paraId="0C921AB2">
      <w:pPr>
        <w:adjustRightInd w:val="0"/>
        <w:snapToGrid w:val="0"/>
        <w:spacing w:line="360" w:lineRule="auto"/>
        <w:ind w:firstLine="420" w:firstLineChars="200"/>
        <w:rPr>
          <w:rFonts w:ascii="宋体" w:hAnsi="宋体"/>
          <w:color w:val="0C0C0C"/>
        </w:rPr>
      </w:pPr>
      <w:r>
        <w:rPr>
          <w:rFonts w:hint="eastAsia" w:ascii="宋体" w:hAnsi="宋体"/>
          <w:color w:val="0C0C0C"/>
        </w:rPr>
        <w:t>6、处于未上市期间的股票应区分如下情况处理：</w:t>
      </w:r>
    </w:p>
    <w:p w14:paraId="49B8E6A5">
      <w:pPr>
        <w:adjustRightInd w:val="0"/>
        <w:snapToGrid w:val="0"/>
        <w:spacing w:line="360" w:lineRule="auto"/>
        <w:ind w:firstLine="420" w:firstLineChars="200"/>
        <w:rPr>
          <w:rFonts w:ascii="宋体" w:hAnsi="宋体"/>
          <w:color w:val="0C0C0C"/>
        </w:rPr>
      </w:pPr>
      <w:r>
        <w:rPr>
          <w:rFonts w:hint="eastAsia" w:ascii="宋体" w:hAnsi="宋体"/>
          <w:color w:val="0C0C0C"/>
        </w:rPr>
        <w:t>（1）送股、转增股、配股和公开增发的新股，按估值日在证券交易所挂牌的同一股票的估值方法估值；该日无交易的，以最近一日的市价（收盘价）估值；</w:t>
      </w:r>
    </w:p>
    <w:p w14:paraId="537D4AE7">
      <w:pPr>
        <w:adjustRightInd w:val="0"/>
        <w:snapToGrid w:val="0"/>
        <w:spacing w:line="360" w:lineRule="auto"/>
        <w:ind w:firstLine="420" w:firstLineChars="200"/>
        <w:rPr>
          <w:rFonts w:ascii="宋体" w:hAnsi="宋体"/>
          <w:color w:val="0C0C0C"/>
        </w:rPr>
      </w:pPr>
      <w:r>
        <w:rPr>
          <w:rFonts w:hint="eastAsia" w:ascii="宋体" w:hAnsi="宋体"/>
          <w:color w:val="0C0C0C"/>
        </w:rPr>
        <w:t>（</w:t>
      </w:r>
      <w:r>
        <w:rPr>
          <w:rFonts w:ascii="宋体" w:hAnsi="宋体"/>
          <w:color w:val="0C0C0C"/>
        </w:rPr>
        <w:t>2</w:t>
      </w:r>
      <w:r>
        <w:rPr>
          <w:rFonts w:hint="eastAsia" w:ascii="宋体" w:hAnsi="宋体"/>
          <w:color w:val="0C0C0C"/>
        </w:rPr>
        <w:t>）首次公开发行未上市的股票，采用估值技术确定公允价值，在估值技术难以可靠计量公允价值的情况下，按成本估值；</w:t>
      </w:r>
    </w:p>
    <w:p w14:paraId="730E71B7">
      <w:pPr>
        <w:adjustRightInd w:val="0"/>
        <w:snapToGrid w:val="0"/>
        <w:spacing w:line="360" w:lineRule="auto"/>
        <w:ind w:firstLine="420" w:firstLineChars="200"/>
        <w:rPr>
          <w:rFonts w:ascii="宋体" w:hAnsi="宋体"/>
          <w:color w:val="0C0C0C"/>
        </w:rPr>
      </w:pPr>
      <w:r>
        <w:rPr>
          <w:rFonts w:hint="eastAsia" w:ascii="宋体" w:hAnsi="宋体"/>
          <w:color w:val="0C0C0C"/>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68C1E760">
      <w:pPr>
        <w:adjustRightInd w:val="0"/>
        <w:snapToGrid w:val="0"/>
        <w:spacing w:line="360" w:lineRule="auto"/>
        <w:ind w:firstLine="420" w:firstLineChars="200"/>
        <w:rPr>
          <w:rFonts w:ascii="宋体" w:hAnsi="宋体"/>
          <w:color w:val="0C0C0C"/>
        </w:rPr>
      </w:pPr>
      <w:r>
        <w:rPr>
          <w:rFonts w:ascii="宋体" w:hAnsi="宋体"/>
          <w:color w:val="0C0C0C"/>
        </w:rPr>
        <w:t>7</w:t>
      </w:r>
      <w:r>
        <w:rPr>
          <w:rFonts w:hint="eastAsia" w:ascii="宋体" w:hAnsi="宋体"/>
          <w:color w:val="0C0C0C"/>
        </w:rPr>
        <w:t>、本基金投资存托凭证的估值核算，依照境内上市交易的股票执行。</w:t>
      </w:r>
    </w:p>
    <w:p w14:paraId="3E41DAE6">
      <w:pPr>
        <w:adjustRightInd w:val="0"/>
        <w:snapToGrid w:val="0"/>
        <w:spacing w:line="360" w:lineRule="auto"/>
        <w:ind w:firstLine="420" w:firstLineChars="200"/>
        <w:rPr>
          <w:rFonts w:ascii="宋体" w:hAnsi="宋体"/>
          <w:color w:val="0C0C0C"/>
        </w:rPr>
      </w:pPr>
      <w:r>
        <w:rPr>
          <w:rFonts w:ascii="宋体" w:hAnsi="宋体"/>
          <w:color w:val="0C0C0C"/>
        </w:rPr>
        <w:t>8</w:t>
      </w:r>
      <w:r>
        <w:rPr>
          <w:rFonts w:hint="eastAsia" w:ascii="宋体" w:hAnsi="宋体"/>
          <w:color w:val="0C0C0C"/>
        </w:rPr>
        <w:t>、同一证券同时在两个或两个以上市场交易的，按证券所处的市场分别估值。</w:t>
      </w:r>
    </w:p>
    <w:p w14:paraId="682CFAF3">
      <w:pPr>
        <w:adjustRightInd w:val="0"/>
        <w:snapToGrid w:val="0"/>
        <w:spacing w:line="360" w:lineRule="auto"/>
        <w:ind w:firstLine="420" w:firstLineChars="200"/>
        <w:rPr>
          <w:rFonts w:ascii="宋体" w:hAnsi="宋体"/>
          <w:color w:val="0C0C0C"/>
        </w:rPr>
      </w:pPr>
      <w:r>
        <w:rPr>
          <w:rFonts w:ascii="宋体" w:hAnsi="宋体"/>
          <w:color w:val="0C0C0C"/>
        </w:rPr>
        <w:t>9</w:t>
      </w:r>
      <w:r>
        <w:rPr>
          <w:rFonts w:hint="eastAsia" w:ascii="宋体" w:hAnsi="宋体"/>
          <w:color w:val="0C0C0C"/>
        </w:rPr>
        <w:t>、本基金投资股指期货、国债期货合约，一般以估值当日结算价确定公允价值，估值当日无结算价的，且最近交易日后未发生影响公允价值计量的重大事件的，采用最近交易日结算价估值。</w:t>
      </w:r>
    </w:p>
    <w:p w14:paraId="20BDB4D7">
      <w:pPr>
        <w:adjustRightInd w:val="0"/>
        <w:snapToGrid w:val="0"/>
        <w:spacing w:line="360" w:lineRule="auto"/>
        <w:ind w:firstLine="420" w:firstLineChars="200"/>
        <w:rPr>
          <w:rFonts w:ascii="宋体" w:hAnsi="宋体"/>
          <w:color w:val="0C0C0C"/>
        </w:rPr>
      </w:pPr>
      <w:r>
        <w:rPr>
          <w:rFonts w:ascii="宋体" w:hAnsi="宋体"/>
          <w:color w:val="0C0C0C"/>
        </w:rPr>
        <w:t>10</w:t>
      </w:r>
      <w:r>
        <w:rPr>
          <w:rFonts w:hint="eastAsia" w:ascii="宋体" w:hAnsi="宋体"/>
          <w:color w:val="0C0C0C"/>
        </w:rPr>
        <w:t>、本基金投资股票期权，根据相关法律法规以及监管部门的规定估值。</w:t>
      </w:r>
    </w:p>
    <w:p w14:paraId="04EC6C0D">
      <w:pPr>
        <w:adjustRightInd w:val="0"/>
        <w:snapToGrid w:val="0"/>
        <w:spacing w:line="360" w:lineRule="auto"/>
        <w:ind w:firstLine="420" w:firstLineChars="200"/>
        <w:rPr>
          <w:rFonts w:ascii="宋体" w:hAnsi="宋体"/>
          <w:color w:val="0C0C0C"/>
        </w:rPr>
      </w:pPr>
      <w:r>
        <w:rPr>
          <w:rFonts w:ascii="宋体" w:hAnsi="宋体"/>
          <w:color w:val="0C0C0C"/>
        </w:rPr>
        <w:t>11</w:t>
      </w:r>
      <w:r>
        <w:rPr>
          <w:rFonts w:hint="eastAsia" w:ascii="宋体" w:hAnsi="宋体"/>
          <w:color w:val="0C0C0C"/>
        </w:rPr>
        <w:t>、本基金参与融资及转融通证券出借业务的，应参照法律法规及行业协会的相关规定进行估值。</w:t>
      </w:r>
    </w:p>
    <w:p w14:paraId="5ABD5FAD">
      <w:pPr>
        <w:adjustRightInd w:val="0"/>
        <w:snapToGrid w:val="0"/>
        <w:spacing w:line="360" w:lineRule="auto"/>
        <w:ind w:firstLine="420" w:firstLineChars="200"/>
        <w:rPr>
          <w:rFonts w:ascii="宋体" w:hAnsi="宋体"/>
          <w:color w:val="0C0C0C"/>
        </w:rPr>
      </w:pPr>
      <w:r>
        <w:rPr>
          <w:rFonts w:ascii="宋体" w:hAnsi="宋体"/>
          <w:color w:val="0C0C0C"/>
        </w:rPr>
        <w:t>12</w:t>
      </w:r>
      <w:r>
        <w:rPr>
          <w:rFonts w:hint="eastAsia" w:ascii="宋体" w:hAnsi="宋体"/>
          <w:color w:val="0C0C0C"/>
        </w:rPr>
        <w:t>、汇率</w:t>
      </w:r>
    </w:p>
    <w:p w14:paraId="1ACB3FD9">
      <w:pPr>
        <w:adjustRightInd w:val="0"/>
        <w:snapToGrid w:val="0"/>
        <w:spacing w:line="360" w:lineRule="auto"/>
        <w:ind w:firstLine="420" w:firstLineChars="200"/>
        <w:rPr>
          <w:rFonts w:ascii="宋体" w:hAnsi="宋体"/>
          <w:color w:val="0C0C0C"/>
        </w:rPr>
      </w:pPr>
      <w:r>
        <w:rPr>
          <w:rFonts w:hint="eastAsia" w:ascii="宋体" w:hAnsi="宋体"/>
          <w:color w:val="0C0C0C"/>
        </w:rPr>
        <w:t>本基金外币资产价值计算中，涉及主要货币对人民币汇率的，应当以基金估值日中国人民银行或其授权机构公布的人民币汇率中间价或其他可以反映公允价值的汇率进行估值。</w:t>
      </w:r>
    </w:p>
    <w:p w14:paraId="67554D33">
      <w:pPr>
        <w:adjustRightInd w:val="0"/>
        <w:snapToGrid w:val="0"/>
        <w:spacing w:line="360" w:lineRule="auto"/>
        <w:ind w:firstLine="420" w:firstLineChars="200"/>
        <w:rPr>
          <w:rFonts w:ascii="宋体" w:hAnsi="宋体"/>
          <w:color w:val="0C0C0C"/>
        </w:rPr>
      </w:pPr>
      <w:r>
        <w:rPr>
          <w:rFonts w:ascii="宋体" w:hAnsi="宋体"/>
          <w:color w:val="0C0C0C"/>
        </w:rPr>
        <w:t>13</w:t>
      </w:r>
      <w:r>
        <w:rPr>
          <w:rFonts w:hint="eastAsia" w:ascii="宋体" w:hAnsi="宋体"/>
          <w:color w:val="0C0C0C"/>
        </w:rPr>
        <w:t>、如有确凿证据表明按上述方法进行估值不能客观反映其公允价值的，基金管理人可根据具体情况与基金托管人商定后，按最能反映公允价值的方法估值。</w:t>
      </w:r>
    </w:p>
    <w:p w14:paraId="2A2CB689">
      <w:pPr>
        <w:adjustRightInd w:val="0"/>
        <w:snapToGrid w:val="0"/>
        <w:spacing w:line="360" w:lineRule="auto"/>
        <w:ind w:firstLine="420" w:firstLineChars="200"/>
        <w:rPr>
          <w:rFonts w:ascii="宋体" w:hAnsi="宋体"/>
          <w:color w:val="0C0C0C"/>
        </w:rPr>
      </w:pPr>
      <w:r>
        <w:rPr>
          <w:rFonts w:ascii="宋体" w:hAnsi="宋体"/>
          <w:color w:val="0C0C0C"/>
        </w:rPr>
        <w:t>14</w:t>
      </w:r>
      <w:r>
        <w:rPr>
          <w:rFonts w:hint="eastAsia" w:ascii="宋体" w:hAnsi="宋体"/>
          <w:color w:val="0C0C0C"/>
        </w:rPr>
        <w:t>、相关法律法规以及监管部门有强制规定的，从其规定。如有新增事项，按国家最新规定估值。</w:t>
      </w:r>
    </w:p>
    <w:p w14:paraId="3667B819">
      <w:pPr>
        <w:adjustRightInd w:val="0"/>
        <w:snapToGrid w:val="0"/>
        <w:spacing w:line="360" w:lineRule="auto"/>
        <w:ind w:firstLine="420" w:firstLineChars="200"/>
        <w:rPr>
          <w:rFonts w:ascii="宋体" w:hAnsi="宋体"/>
          <w:color w:val="0C0C0C"/>
        </w:rPr>
      </w:pPr>
      <w:r>
        <w:rPr>
          <w:rFonts w:hint="eastAsia" w:ascii="宋体" w:hAnsi="宋体"/>
          <w:color w:val="0C0C0C"/>
        </w:rPr>
        <w:t>如基金管理人或基金托管人发现基金估值违反基金合同订明的估值方法、程序及相关法律法规的规定或者未能充分维护基金份额持有人利益时，应立即通知对方，共同查明原因，双方协商解决。</w:t>
      </w:r>
    </w:p>
    <w:p w14:paraId="4C871FE2">
      <w:pPr>
        <w:adjustRightInd w:val="0"/>
        <w:snapToGrid w:val="0"/>
        <w:spacing w:line="360" w:lineRule="auto"/>
        <w:ind w:firstLine="420" w:firstLineChars="200"/>
        <w:rPr>
          <w:rFonts w:ascii="宋体" w:hAnsi="宋体"/>
          <w:color w:val="0C0C0C"/>
        </w:rPr>
      </w:pPr>
      <w:r>
        <w:rPr>
          <w:rFonts w:hint="eastAsia" w:ascii="宋体" w:hAnsi="宋体"/>
          <w:color w:val="0C0C0C"/>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30F2E1F6">
      <w:pPr>
        <w:snapToGrid w:val="0"/>
        <w:spacing w:line="360" w:lineRule="auto"/>
        <w:ind w:firstLine="420" w:firstLineChars="200"/>
        <w:rPr>
          <w:rFonts w:ascii="宋体" w:hAnsi="宋体" w:eastAsia="宋体"/>
        </w:rPr>
      </w:pPr>
      <w:r>
        <w:rPr>
          <w:rFonts w:hint="eastAsia" w:ascii="宋体" w:hAnsi="宋体" w:eastAsia="宋体"/>
        </w:rPr>
        <w:t>（三）基金净值信息</w:t>
      </w:r>
    </w:p>
    <w:p w14:paraId="057F179F">
      <w:pPr>
        <w:snapToGrid w:val="0"/>
        <w:spacing w:line="360" w:lineRule="auto"/>
        <w:ind w:firstLine="420" w:firstLineChars="200"/>
        <w:rPr>
          <w:rFonts w:ascii="宋体" w:hAnsi="宋体" w:eastAsia="宋体"/>
        </w:rPr>
      </w:pPr>
      <w:r>
        <w:rPr>
          <w:rFonts w:hint="eastAsia" w:ascii="宋体" w:hAnsi="宋体" w:eastAsia="宋体"/>
        </w:rPr>
        <w:t>基金合同生效后，在基金份额上市交易或开始办理基金份额申购或者赎回前，基金管理人应当至少每周在规定网站披露一次基金份额净值和基金份额累计净值。</w:t>
      </w:r>
    </w:p>
    <w:p w14:paraId="4D1C1C43">
      <w:pPr>
        <w:snapToGrid w:val="0"/>
        <w:spacing w:line="360" w:lineRule="auto"/>
        <w:ind w:firstLine="420" w:firstLineChars="200"/>
        <w:rPr>
          <w:rFonts w:ascii="宋体" w:hAnsi="宋体" w:eastAsia="宋体"/>
        </w:rPr>
      </w:pPr>
      <w:r>
        <w:rPr>
          <w:rFonts w:hint="eastAsia" w:ascii="宋体" w:hAnsi="宋体" w:eastAsia="宋体"/>
        </w:rPr>
        <w:t>在基金份额上市交易或开始办理基金份额申购或者赎回后，基金管理人应当在不晚于每个开放日的次日，通过规定网站、基金销售机构网站或者营业网点以及其他媒介，披露开放日的基金份额净值和基金份额累计净值。</w:t>
      </w:r>
    </w:p>
    <w:p w14:paraId="04F03DB3">
      <w:pPr>
        <w:snapToGrid w:val="0"/>
        <w:spacing w:line="360" w:lineRule="auto"/>
        <w:ind w:firstLine="420" w:firstLineChars="200"/>
        <w:rPr>
          <w:rFonts w:ascii="宋体" w:hAnsi="宋体" w:eastAsia="宋体"/>
        </w:rPr>
      </w:pPr>
      <w:r>
        <w:rPr>
          <w:rFonts w:hint="eastAsia" w:ascii="宋体" w:hAnsi="宋体" w:eastAsia="宋体"/>
        </w:rPr>
        <w:t>基金管理人应当在不晚于半年度和年度最后一日的次日，在规定网站披露半年度和年度最后一日的基金份额净值和基金份额累计净值。</w:t>
      </w:r>
    </w:p>
    <w:p w14:paraId="3615E707">
      <w:pPr>
        <w:snapToGrid w:val="0"/>
        <w:spacing w:line="360" w:lineRule="auto"/>
        <w:ind w:firstLine="420" w:firstLineChars="200"/>
        <w:rPr>
          <w:rFonts w:ascii="宋体" w:hAnsi="宋体" w:eastAsia="宋体"/>
        </w:rPr>
      </w:pPr>
      <w:r>
        <w:rPr>
          <w:rFonts w:hint="eastAsia" w:ascii="宋体" w:hAnsi="宋体" w:eastAsia="宋体"/>
        </w:rPr>
        <w:t>七、</w:t>
      </w:r>
      <w:r>
        <w:rPr>
          <w:rFonts w:ascii="宋体" w:hAnsi="宋体" w:eastAsia="宋体"/>
        </w:rPr>
        <w:t>基金合同的变更、终止与基金财产的清算</w:t>
      </w:r>
    </w:p>
    <w:p w14:paraId="1A8743BB">
      <w:pPr>
        <w:snapToGrid w:val="0"/>
        <w:spacing w:line="360" w:lineRule="auto"/>
        <w:ind w:firstLine="420" w:firstLineChars="200"/>
        <w:rPr>
          <w:rFonts w:ascii="宋体" w:hAnsi="宋体" w:eastAsia="宋体"/>
        </w:rPr>
      </w:pPr>
      <w:r>
        <w:rPr>
          <w:rFonts w:hint="eastAsia" w:ascii="宋体" w:hAnsi="宋体" w:eastAsia="宋体"/>
        </w:rPr>
        <w:t>（</w:t>
      </w:r>
      <w:r>
        <w:rPr>
          <w:rFonts w:ascii="宋体" w:hAnsi="宋体" w:eastAsia="宋体"/>
        </w:rPr>
        <w:t>一</w:t>
      </w:r>
      <w:r>
        <w:rPr>
          <w:rFonts w:hint="eastAsia" w:ascii="宋体" w:hAnsi="宋体" w:eastAsia="宋体"/>
        </w:rPr>
        <w:t>）</w:t>
      </w:r>
      <w:r>
        <w:rPr>
          <w:rFonts w:ascii="宋体" w:hAnsi="宋体" w:eastAsia="宋体"/>
        </w:rPr>
        <w:t>《基金合同》的变更</w:t>
      </w:r>
    </w:p>
    <w:p w14:paraId="4BE88FB8">
      <w:pPr>
        <w:snapToGrid w:val="0"/>
        <w:spacing w:line="360" w:lineRule="auto"/>
        <w:ind w:firstLine="420" w:firstLineChars="200"/>
        <w:rPr>
          <w:rFonts w:ascii="宋体" w:hAnsi="宋体"/>
        </w:rPr>
      </w:pPr>
      <w:r>
        <w:rPr>
          <w:rFonts w:hint="eastAsia" w:ascii="宋体" w:hAnsi="宋体"/>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68A420FB">
      <w:pPr>
        <w:snapToGrid w:val="0"/>
        <w:spacing w:line="360" w:lineRule="auto"/>
        <w:ind w:firstLine="420" w:firstLineChars="200"/>
        <w:rPr>
          <w:rFonts w:ascii="宋体" w:hAnsi="宋体"/>
        </w:rPr>
      </w:pPr>
      <w:r>
        <w:rPr>
          <w:rFonts w:hint="eastAsia" w:ascii="宋体" w:hAnsi="宋体"/>
        </w:rPr>
        <w:t>2、关于《基金合同》变更的基金份额持有人大会决议自生效后方可执行，自决议生效后依照《信息披露办法》在规定媒介公告。</w:t>
      </w:r>
    </w:p>
    <w:p w14:paraId="0353F0AA">
      <w:pPr>
        <w:snapToGrid w:val="0"/>
        <w:spacing w:line="360" w:lineRule="auto"/>
        <w:ind w:firstLine="420" w:firstLineChars="200"/>
        <w:rPr>
          <w:rFonts w:ascii="宋体" w:hAnsi="宋体" w:eastAsia="宋体"/>
        </w:rPr>
      </w:pPr>
      <w:r>
        <w:rPr>
          <w:rFonts w:hint="eastAsia" w:ascii="宋体" w:hAnsi="宋体" w:eastAsia="宋体"/>
        </w:rPr>
        <w:t>（二）《基金合同》的终止事由</w:t>
      </w:r>
    </w:p>
    <w:p w14:paraId="3185644D">
      <w:pPr>
        <w:snapToGrid w:val="0"/>
        <w:spacing w:line="360" w:lineRule="auto"/>
        <w:ind w:firstLine="420" w:firstLineChars="200"/>
        <w:rPr>
          <w:rFonts w:ascii="宋体" w:hAnsi="宋体"/>
        </w:rPr>
      </w:pPr>
      <w:r>
        <w:rPr>
          <w:rFonts w:hint="eastAsia" w:ascii="宋体" w:hAnsi="宋体"/>
        </w:rPr>
        <w:t>有下列情形之一的，经履行相关程序后，《基金合同》应当终止：</w:t>
      </w:r>
    </w:p>
    <w:p w14:paraId="1CA8D3BE">
      <w:pPr>
        <w:snapToGrid w:val="0"/>
        <w:spacing w:line="360" w:lineRule="auto"/>
        <w:ind w:firstLine="420" w:firstLineChars="200"/>
        <w:rPr>
          <w:rFonts w:ascii="宋体" w:hAnsi="宋体"/>
        </w:rPr>
      </w:pPr>
      <w:r>
        <w:rPr>
          <w:rFonts w:ascii="宋体" w:hAnsi="宋体"/>
        </w:rPr>
        <w:t>1</w:t>
      </w:r>
      <w:r>
        <w:rPr>
          <w:rFonts w:hint="eastAsia" w:ascii="宋体" w:hAnsi="宋体"/>
        </w:rPr>
        <w:t>、基金份额持有人大会决定终止的；</w:t>
      </w:r>
    </w:p>
    <w:p w14:paraId="4593769E">
      <w:pPr>
        <w:snapToGrid w:val="0"/>
        <w:spacing w:line="360" w:lineRule="auto"/>
        <w:ind w:firstLine="420" w:firstLineChars="200"/>
        <w:rPr>
          <w:rFonts w:ascii="宋体" w:hAnsi="宋体"/>
        </w:rPr>
      </w:pPr>
      <w:r>
        <w:rPr>
          <w:rFonts w:ascii="宋体" w:hAnsi="宋体"/>
        </w:rPr>
        <w:t>2</w:t>
      </w:r>
      <w:r>
        <w:rPr>
          <w:rFonts w:hint="eastAsia" w:ascii="宋体" w:hAnsi="宋体"/>
        </w:rPr>
        <w:t>、基金管理人、基金托管人职责终止，在</w:t>
      </w:r>
      <w:r>
        <w:rPr>
          <w:rFonts w:ascii="宋体" w:hAnsi="宋体"/>
        </w:rPr>
        <w:t>6</w:t>
      </w:r>
      <w:r>
        <w:rPr>
          <w:rFonts w:hint="eastAsia" w:ascii="宋体" w:hAnsi="宋体"/>
        </w:rPr>
        <w:t>个月内没有新基金管理人、新基金托管人承接的；</w:t>
      </w:r>
    </w:p>
    <w:p w14:paraId="66771C0E">
      <w:pPr>
        <w:snapToGrid w:val="0"/>
        <w:spacing w:line="360" w:lineRule="auto"/>
        <w:ind w:firstLine="420" w:firstLineChars="200"/>
        <w:rPr>
          <w:rFonts w:ascii="宋体" w:hAnsi="宋体"/>
        </w:rPr>
      </w:pPr>
      <w:r>
        <w:rPr>
          <w:rFonts w:hint="eastAsia" w:ascii="宋体" w:hAnsi="宋体"/>
        </w:rPr>
        <w:t>3、《基金合同》约定的其他情形；</w:t>
      </w:r>
    </w:p>
    <w:p w14:paraId="15558825">
      <w:pPr>
        <w:snapToGrid w:val="0"/>
        <w:spacing w:line="360" w:lineRule="auto"/>
        <w:ind w:firstLine="420" w:firstLineChars="200"/>
        <w:rPr>
          <w:rFonts w:ascii="宋体" w:hAnsi="宋体"/>
        </w:rPr>
      </w:pPr>
      <w:r>
        <w:rPr>
          <w:rFonts w:hint="eastAsia" w:ascii="宋体" w:hAnsi="宋体"/>
        </w:rPr>
        <w:t>4、相关法律法规和中国证监会规定的其他情况。</w:t>
      </w:r>
    </w:p>
    <w:p w14:paraId="0C7CBF49">
      <w:pPr>
        <w:snapToGrid w:val="0"/>
        <w:spacing w:line="360" w:lineRule="auto"/>
        <w:ind w:firstLine="420" w:firstLineChars="200"/>
        <w:rPr>
          <w:rFonts w:ascii="宋体" w:hAnsi="宋体" w:eastAsia="宋体"/>
        </w:rPr>
      </w:pPr>
      <w:r>
        <w:rPr>
          <w:rFonts w:hint="eastAsia" w:ascii="宋体" w:hAnsi="宋体" w:eastAsia="宋体"/>
        </w:rPr>
        <w:t>（</w:t>
      </w:r>
      <w:r>
        <w:rPr>
          <w:rFonts w:ascii="宋体" w:hAnsi="宋体" w:eastAsia="宋体"/>
        </w:rPr>
        <w:t>三</w:t>
      </w:r>
      <w:r>
        <w:rPr>
          <w:rFonts w:hint="eastAsia" w:ascii="宋体" w:hAnsi="宋体" w:eastAsia="宋体"/>
        </w:rPr>
        <w:t>）</w:t>
      </w:r>
      <w:r>
        <w:rPr>
          <w:rFonts w:ascii="宋体" w:hAnsi="宋体" w:eastAsia="宋体"/>
        </w:rPr>
        <w:t>基金财产的清算</w:t>
      </w:r>
    </w:p>
    <w:p w14:paraId="28E193E2">
      <w:pPr>
        <w:snapToGrid w:val="0"/>
        <w:spacing w:line="360" w:lineRule="auto"/>
        <w:ind w:firstLine="420" w:firstLineChars="200"/>
        <w:rPr>
          <w:rFonts w:ascii="宋体" w:hAnsi="宋体"/>
        </w:rPr>
      </w:pPr>
      <w:r>
        <w:rPr>
          <w:rFonts w:ascii="宋体" w:hAnsi="宋体"/>
        </w:rPr>
        <w:t>1</w:t>
      </w:r>
      <w:r>
        <w:rPr>
          <w:rFonts w:hint="eastAsia" w:ascii="宋体" w:hAnsi="宋体"/>
        </w:rPr>
        <w:t>、基金财产清算小组：自出现《基金合同》终止事由之日起</w:t>
      </w:r>
      <w:r>
        <w:rPr>
          <w:rFonts w:ascii="宋体" w:hAnsi="宋体"/>
        </w:rPr>
        <w:t>30</w:t>
      </w:r>
      <w:r>
        <w:rPr>
          <w:rFonts w:hint="eastAsia" w:ascii="宋体" w:hAnsi="宋体"/>
        </w:rPr>
        <w:t>个工作日内成立基金财产清算小组，基金管理人组织基金财产清算小组并在中国证监会的监督下进行基金清算。</w:t>
      </w:r>
    </w:p>
    <w:p w14:paraId="0A5B5EF3">
      <w:pPr>
        <w:snapToGrid w:val="0"/>
        <w:spacing w:line="360" w:lineRule="auto"/>
        <w:ind w:firstLine="420" w:firstLineChars="200"/>
        <w:rPr>
          <w:rFonts w:ascii="宋体" w:hAnsi="宋体"/>
        </w:rPr>
      </w:pPr>
      <w:r>
        <w:rPr>
          <w:rFonts w:ascii="宋体" w:hAnsi="宋体"/>
        </w:rPr>
        <w:t>2</w:t>
      </w:r>
      <w:r>
        <w:rPr>
          <w:rFonts w:hint="eastAsia" w:ascii="宋体" w:hAnsi="宋体"/>
        </w:rPr>
        <w:t>、基金财产清算小组组成：基金财产清算小组成员由基金管理人、基金托管人、具有从事证券相关业务资格的注册会计师、律师以及中国证监会指定的人员组成。基金财产清算小组可以聘用必要的工作人员。</w:t>
      </w:r>
    </w:p>
    <w:p w14:paraId="108631B9">
      <w:pPr>
        <w:snapToGrid w:val="0"/>
        <w:spacing w:line="360" w:lineRule="auto"/>
        <w:ind w:firstLine="420" w:firstLineChars="200"/>
        <w:rPr>
          <w:rFonts w:ascii="宋体" w:hAnsi="宋体"/>
        </w:rPr>
      </w:pPr>
      <w:r>
        <w:rPr>
          <w:rFonts w:ascii="宋体" w:hAnsi="宋体"/>
        </w:rPr>
        <w:t>3</w:t>
      </w:r>
      <w:r>
        <w:rPr>
          <w:rFonts w:hint="eastAsia" w:ascii="宋体" w:hAnsi="宋体"/>
        </w:rPr>
        <w:t>、基金财产清算小组职责：基金财产清算小组负责基金财产的保管、清理、估价、变现和分配。基金财产清算小组可以依法进行必要的民事活动。</w:t>
      </w:r>
    </w:p>
    <w:p w14:paraId="67AA85B0">
      <w:pPr>
        <w:snapToGrid w:val="0"/>
        <w:spacing w:line="360" w:lineRule="auto"/>
        <w:ind w:firstLine="420" w:firstLineChars="200"/>
        <w:rPr>
          <w:rFonts w:ascii="宋体" w:hAnsi="宋体"/>
        </w:rPr>
      </w:pPr>
      <w:r>
        <w:rPr>
          <w:rFonts w:ascii="宋体" w:hAnsi="宋体"/>
        </w:rPr>
        <w:t>4</w:t>
      </w:r>
      <w:r>
        <w:rPr>
          <w:rFonts w:hint="eastAsia" w:ascii="宋体" w:hAnsi="宋体"/>
        </w:rPr>
        <w:t>、基金财产清算程序：</w:t>
      </w:r>
    </w:p>
    <w:p w14:paraId="6B0135D2">
      <w:pPr>
        <w:snapToGrid w:val="0"/>
        <w:spacing w:line="360" w:lineRule="auto"/>
        <w:ind w:firstLine="420" w:firstLineChars="200"/>
        <w:rPr>
          <w:rFonts w:ascii="宋体" w:hAnsi="宋体"/>
        </w:rPr>
      </w:pPr>
      <w:r>
        <w:rPr>
          <w:rFonts w:hint="eastAsia" w:ascii="宋体" w:hAnsi="宋体"/>
        </w:rPr>
        <w:t>（</w:t>
      </w:r>
      <w:r>
        <w:rPr>
          <w:rFonts w:ascii="宋体" w:hAnsi="宋体"/>
        </w:rPr>
        <w:t>1</w:t>
      </w:r>
      <w:r>
        <w:rPr>
          <w:rFonts w:hint="eastAsia" w:ascii="宋体" w:hAnsi="宋体"/>
        </w:rPr>
        <w:t>）《基金合同》终止情形出现时，由基金财产清算小组统一接管基金；</w:t>
      </w:r>
    </w:p>
    <w:p w14:paraId="57005F5E">
      <w:pPr>
        <w:snapToGrid w:val="0"/>
        <w:spacing w:line="360" w:lineRule="auto"/>
        <w:ind w:firstLine="420" w:firstLineChars="200"/>
        <w:rPr>
          <w:rFonts w:ascii="宋体" w:hAnsi="宋体"/>
        </w:rPr>
      </w:pPr>
      <w:r>
        <w:rPr>
          <w:rFonts w:hint="eastAsia" w:ascii="宋体" w:hAnsi="宋体"/>
        </w:rPr>
        <w:t>（</w:t>
      </w:r>
      <w:r>
        <w:rPr>
          <w:rFonts w:ascii="宋体" w:hAnsi="宋体"/>
        </w:rPr>
        <w:t>2</w:t>
      </w:r>
      <w:r>
        <w:rPr>
          <w:rFonts w:hint="eastAsia" w:ascii="宋体" w:hAnsi="宋体"/>
        </w:rPr>
        <w:t>）对基金财产和债权债务进行清理和确认；</w:t>
      </w:r>
    </w:p>
    <w:p w14:paraId="53168689">
      <w:pPr>
        <w:snapToGrid w:val="0"/>
        <w:spacing w:line="360" w:lineRule="auto"/>
        <w:ind w:firstLine="420" w:firstLineChars="200"/>
        <w:rPr>
          <w:rFonts w:ascii="宋体" w:hAnsi="宋体"/>
        </w:rPr>
      </w:pPr>
      <w:r>
        <w:rPr>
          <w:rFonts w:hint="eastAsia" w:ascii="宋体" w:hAnsi="宋体"/>
        </w:rPr>
        <w:t>（</w:t>
      </w:r>
      <w:r>
        <w:rPr>
          <w:rFonts w:ascii="宋体" w:hAnsi="宋体"/>
        </w:rPr>
        <w:t>3</w:t>
      </w:r>
      <w:r>
        <w:rPr>
          <w:rFonts w:hint="eastAsia" w:ascii="宋体" w:hAnsi="宋体"/>
        </w:rPr>
        <w:t>）对基金财产进行估值和变现；</w:t>
      </w:r>
    </w:p>
    <w:p w14:paraId="08904FAE">
      <w:pPr>
        <w:snapToGrid w:val="0"/>
        <w:spacing w:line="360" w:lineRule="auto"/>
        <w:ind w:firstLine="420" w:firstLineChars="200"/>
        <w:rPr>
          <w:rFonts w:ascii="宋体" w:hAnsi="宋体"/>
        </w:rPr>
      </w:pPr>
      <w:r>
        <w:rPr>
          <w:rFonts w:hint="eastAsia" w:ascii="宋体" w:hAnsi="宋体"/>
        </w:rPr>
        <w:t>（</w:t>
      </w:r>
      <w:r>
        <w:rPr>
          <w:rFonts w:ascii="宋体" w:hAnsi="宋体"/>
        </w:rPr>
        <w:t>4</w:t>
      </w:r>
      <w:r>
        <w:rPr>
          <w:rFonts w:hint="eastAsia" w:ascii="宋体" w:hAnsi="宋体"/>
        </w:rPr>
        <w:t>）制作清算报告；</w:t>
      </w:r>
    </w:p>
    <w:p w14:paraId="1C022B91">
      <w:pPr>
        <w:snapToGrid w:val="0"/>
        <w:spacing w:line="360" w:lineRule="auto"/>
        <w:ind w:firstLine="420" w:firstLineChars="200"/>
        <w:rPr>
          <w:rFonts w:ascii="宋体" w:hAnsi="宋体"/>
        </w:rPr>
      </w:pPr>
      <w:r>
        <w:rPr>
          <w:rFonts w:hint="eastAsia" w:ascii="宋体" w:hAnsi="宋体"/>
        </w:rPr>
        <w:t>（</w:t>
      </w:r>
      <w:r>
        <w:rPr>
          <w:rFonts w:ascii="宋体" w:hAnsi="宋体"/>
        </w:rPr>
        <w:t>5</w:t>
      </w:r>
      <w:r>
        <w:rPr>
          <w:rFonts w:hint="eastAsia" w:ascii="宋体" w:hAnsi="宋体"/>
        </w:rPr>
        <w:t>）聘请符合《证券法》规定的会计师事务所对清算报告进行外部审计，聘请律师事务所对清算报告出具法律意见书；</w:t>
      </w:r>
    </w:p>
    <w:p w14:paraId="47D0D67C">
      <w:pPr>
        <w:snapToGrid w:val="0"/>
        <w:spacing w:line="360" w:lineRule="auto"/>
        <w:ind w:firstLine="420" w:firstLineChars="200"/>
        <w:rPr>
          <w:rFonts w:ascii="宋体" w:hAnsi="宋体"/>
        </w:rPr>
      </w:pPr>
      <w:r>
        <w:rPr>
          <w:rFonts w:hint="eastAsia" w:ascii="宋体" w:hAnsi="宋体"/>
        </w:rPr>
        <w:t>（</w:t>
      </w:r>
      <w:r>
        <w:rPr>
          <w:rFonts w:ascii="宋体" w:hAnsi="宋体"/>
        </w:rPr>
        <w:t>6</w:t>
      </w:r>
      <w:r>
        <w:rPr>
          <w:rFonts w:hint="eastAsia" w:ascii="宋体" w:hAnsi="宋体"/>
        </w:rPr>
        <w:t>）将清算报告报中国证监会备案并公告；</w:t>
      </w:r>
    </w:p>
    <w:p w14:paraId="612058CD">
      <w:pPr>
        <w:snapToGrid w:val="0"/>
        <w:spacing w:line="360" w:lineRule="auto"/>
        <w:ind w:firstLine="420" w:firstLineChars="200"/>
        <w:rPr>
          <w:rFonts w:ascii="宋体" w:hAnsi="宋体"/>
        </w:rPr>
      </w:pPr>
      <w:r>
        <w:rPr>
          <w:rFonts w:hint="eastAsia" w:ascii="宋体" w:hAnsi="宋体"/>
        </w:rPr>
        <w:t>（</w:t>
      </w:r>
      <w:r>
        <w:rPr>
          <w:rFonts w:ascii="宋体" w:hAnsi="宋体"/>
        </w:rPr>
        <w:t>7</w:t>
      </w:r>
      <w:r>
        <w:rPr>
          <w:rFonts w:hint="eastAsia" w:ascii="宋体" w:hAnsi="宋体"/>
        </w:rPr>
        <w:t>）对基金剩余财产进行分配。</w:t>
      </w:r>
    </w:p>
    <w:p w14:paraId="56C0F53D">
      <w:pPr>
        <w:snapToGrid w:val="0"/>
        <w:spacing w:line="360" w:lineRule="auto"/>
        <w:ind w:firstLine="420" w:firstLineChars="200"/>
        <w:rPr>
          <w:rFonts w:ascii="宋体" w:hAnsi="宋体"/>
        </w:rPr>
      </w:pPr>
      <w:r>
        <w:rPr>
          <w:rFonts w:ascii="宋体" w:hAnsi="宋体"/>
        </w:rPr>
        <w:t>5</w:t>
      </w:r>
      <w:r>
        <w:rPr>
          <w:rFonts w:hint="eastAsia" w:ascii="宋体" w:hAnsi="宋体"/>
        </w:rPr>
        <w:t>、基金财产清算的期限为6个月，但因本基金所持证券的流动性受到限制而不能及时变现的，清算期限可相应顺延。</w:t>
      </w:r>
    </w:p>
    <w:p w14:paraId="3D38B28D">
      <w:pPr>
        <w:snapToGrid w:val="0"/>
        <w:spacing w:line="360" w:lineRule="auto"/>
        <w:ind w:firstLine="420" w:firstLineChars="200"/>
        <w:rPr>
          <w:rFonts w:ascii="宋体" w:hAnsi="宋体" w:eastAsia="宋体"/>
        </w:rPr>
      </w:pPr>
      <w:r>
        <w:rPr>
          <w:rFonts w:hint="eastAsia" w:ascii="宋体" w:hAnsi="宋体" w:eastAsia="宋体"/>
        </w:rPr>
        <w:t>（</w:t>
      </w:r>
      <w:r>
        <w:rPr>
          <w:rFonts w:ascii="宋体" w:hAnsi="宋体" w:eastAsia="宋体"/>
        </w:rPr>
        <w:t>四</w:t>
      </w:r>
      <w:r>
        <w:rPr>
          <w:rFonts w:hint="eastAsia" w:ascii="宋体" w:hAnsi="宋体" w:eastAsia="宋体"/>
        </w:rPr>
        <w:t>）</w:t>
      </w:r>
      <w:r>
        <w:rPr>
          <w:rFonts w:ascii="宋体" w:hAnsi="宋体" w:eastAsia="宋体"/>
        </w:rPr>
        <w:t>清算费用</w:t>
      </w:r>
    </w:p>
    <w:p w14:paraId="24B99224">
      <w:pPr>
        <w:snapToGrid w:val="0"/>
        <w:spacing w:line="360" w:lineRule="auto"/>
        <w:ind w:firstLine="420" w:firstLineChars="200"/>
        <w:rPr>
          <w:rFonts w:ascii="宋体" w:hAnsi="宋体"/>
        </w:rPr>
      </w:pPr>
      <w:r>
        <w:rPr>
          <w:rFonts w:hint="eastAsia" w:ascii="宋体" w:hAnsi="宋体"/>
        </w:rPr>
        <w:t>清算费用是指基金财产清算小组在进行基金财产清算过程中发生的所有合理费用，清算费用由基金财产清算小组优先从基金剩余财产中支付。</w:t>
      </w:r>
    </w:p>
    <w:p w14:paraId="56CAAC8B">
      <w:pPr>
        <w:snapToGrid w:val="0"/>
        <w:spacing w:line="360" w:lineRule="auto"/>
        <w:ind w:firstLine="420" w:firstLineChars="200"/>
        <w:rPr>
          <w:rFonts w:ascii="宋体" w:hAnsi="宋体" w:eastAsia="宋体"/>
        </w:rPr>
      </w:pPr>
      <w:r>
        <w:rPr>
          <w:rFonts w:hint="eastAsia" w:ascii="宋体" w:hAnsi="宋体" w:eastAsia="宋体"/>
        </w:rPr>
        <w:t>（</w:t>
      </w:r>
      <w:r>
        <w:rPr>
          <w:rFonts w:ascii="宋体" w:hAnsi="宋体" w:eastAsia="宋体"/>
        </w:rPr>
        <w:t>五</w:t>
      </w:r>
      <w:r>
        <w:rPr>
          <w:rFonts w:hint="eastAsia" w:ascii="宋体" w:hAnsi="宋体" w:eastAsia="宋体"/>
        </w:rPr>
        <w:t>）</w:t>
      </w:r>
      <w:r>
        <w:rPr>
          <w:rFonts w:ascii="宋体" w:hAnsi="宋体" w:eastAsia="宋体"/>
        </w:rPr>
        <w:t>基金财产清算剩余资产的分配</w:t>
      </w:r>
    </w:p>
    <w:p w14:paraId="4C258C1E">
      <w:pPr>
        <w:snapToGrid w:val="0"/>
        <w:spacing w:line="360" w:lineRule="auto"/>
        <w:ind w:firstLine="420" w:firstLineChars="200"/>
        <w:rPr>
          <w:rFonts w:ascii="宋体" w:hAnsi="宋体"/>
        </w:rPr>
      </w:pPr>
      <w:r>
        <w:rPr>
          <w:rFonts w:hint="eastAsia" w:ascii="宋体" w:hAnsi="宋体"/>
        </w:rPr>
        <w:t>依据基金财产清算的分配方案，将基金财产清算后的全部剩余资产扣除基金财产清算费用、交纳所欠税款并清偿基金债务后，按基金份额持有人持有的基金份额比例进行分配。</w:t>
      </w:r>
    </w:p>
    <w:p w14:paraId="26649F88">
      <w:pPr>
        <w:snapToGrid w:val="0"/>
        <w:spacing w:line="360" w:lineRule="auto"/>
        <w:ind w:firstLine="420" w:firstLineChars="200"/>
        <w:rPr>
          <w:rFonts w:ascii="宋体" w:hAnsi="宋体" w:eastAsia="宋体"/>
        </w:rPr>
      </w:pPr>
      <w:r>
        <w:rPr>
          <w:rFonts w:hint="eastAsia" w:ascii="宋体" w:hAnsi="宋体" w:eastAsia="宋体"/>
        </w:rPr>
        <w:t>（</w:t>
      </w:r>
      <w:r>
        <w:rPr>
          <w:rFonts w:ascii="宋体" w:hAnsi="宋体" w:eastAsia="宋体"/>
        </w:rPr>
        <w:t>六</w:t>
      </w:r>
      <w:r>
        <w:rPr>
          <w:rFonts w:hint="eastAsia" w:ascii="宋体" w:hAnsi="宋体" w:eastAsia="宋体"/>
        </w:rPr>
        <w:t>）</w:t>
      </w:r>
      <w:r>
        <w:rPr>
          <w:rFonts w:ascii="宋体" w:hAnsi="宋体" w:eastAsia="宋体"/>
        </w:rPr>
        <w:t>基金财产清算的公告</w:t>
      </w:r>
    </w:p>
    <w:p w14:paraId="3731BE1E">
      <w:pPr>
        <w:snapToGrid w:val="0"/>
        <w:spacing w:line="360" w:lineRule="auto"/>
        <w:ind w:firstLine="420" w:firstLineChars="200"/>
        <w:rPr>
          <w:rFonts w:ascii="宋体" w:hAnsi="宋体"/>
        </w:rPr>
      </w:pPr>
      <w:r>
        <w:rPr>
          <w:rFonts w:hint="eastAsia" w:ascii="宋体" w:hAnsi="宋体"/>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w:t>
      </w:r>
      <w:r>
        <w:rPr>
          <w:rFonts w:hint="eastAsia" w:ascii="宋体" w:hAnsi="宋体" w:eastAsia="宋体"/>
        </w:rPr>
        <w:t>5</w:t>
      </w:r>
      <w:r>
        <w:rPr>
          <w:rFonts w:hint="eastAsia" w:ascii="宋体" w:hAnsi="宋体"/>
        </w:rPr>
        <w:t>个工作日内由基金财产清算小组进行公告，基金财产清算小组应当将清算报告登载在规定网站上，并将清算报告提示性公告登载在规定报刊上。</w:t>
      </w:r>
    </w:p>
    <w:p w14:paraId="60EBE0A0">
      <w:pPr>
        <w:snapToGrid w:val="0"/>
        <w:spacing w:line="360" w:lineRule="auto"/>
        <w:ind w:firstLine="420" w:firstLineChars="200"/>
        <w:rPr>
          <w:rFonts w:ascii="宋体" w:hAnsi="宋体" w:eastAsia="宋体"/>
        </w:rPr>
      </w:pPr>
      <w:r>
        <w:rPr>
          <w:rFonts w:hint="eastAsia" w:ascii="宋体" w:hAnsi="宋体" w:eastAsia="宋体"/>
        </w:rPr>
        <w:t>（</w:t>
      </w:r>
      <w:r>
        <w:rPr>
          <w:rFonts w:ascii="宋体" w:hAnsi="宋体" w:eastAsia="宋体"/>
        </w:rPr>
        <w:t>七</w:t>
      </w:r>
      <w:r>
        <w:rPr>
          <w:rFonts w:hint="eastAsia" w:ascii="宋体" w:hAnsi="宋体" w:eastAsia="宋体"/>
        </w:rPr>
        <w:t>）</w:t>
      </w:r>
      <w:r>
        <w:rPr>
          <w:rFonts w:ascii="宋体" w:hAnsi="宋体" w:eastAsia="宋体"/>
        </w:rPr>
        <w:t>基金财产清算账册及文件的保存</w:t>
      </w:r>
    </w:p>
    <w:p w14:paraId="4EEF435E">
      <w:pPr>
        <w:snapToGrid w:val="0"/>
        <w:spacing w:line="360" w:lineRule="auto"/>
        <w:ind w:firstLine="420" w:firstLineChars="200"/>
        <w:rPr>
          <w:rFonts w:ascii="宋体" w:hAnsi="宋体" w:eastAsia="宋体"/>
        </w:rPr>
      </w:pPr>
      <w:r>
        <w:rPr>
          <w:rFonts w:hint="eastAsia" w:ascii="宋体" w:hAnsi="宋体" w:eastAsia="宋体"/>
        </w:rPr>
        <w:t>基金财产清算账册及有关文件由基金托管人保存，保存期限不低于法定最低期限。</w:t>
      </w:r>
    </w:p>
    <w:p w14:paraId="0A438019">
      <w:pPr>
        <w:snapToGrid w:val="0"/>
        <w:spacing w:line="360" w:lineRule="auto"/>
        <w:ind w:firstLine="420" w:firstLineChars="200"/>
        <w:rPr>
          <w:rFonts w:ascii="宋体" w:hAnsi="宋体" w:eastAsia="宋体"/>
        </w:rPr>
      </w:pPr>
      <w:r>
        <w:rPr>
          <w:rFonts w:hint="eastAsia" w:ascii="宋体" w:hAnsi="宋体" w:eastAsia="宋体"/>
        </w:rPr>
        <w:t>八、争议的处理</w:t>
      </w:r>
    </w:p>
    <w:p w14:paraId="750A2468">
      <w:pPr>
        <w:snapToGrid w:val="0"/>
        <w:spacing w:line="360" w:lineRule="auto"/>
        <w:ind w:firstLine="420" w:firstLineChars="200"/>
        <w:rPr>
          <w:rFonts w:ascii="宋体" w:hAnsi="宋体"/>
        </w:rPr>
      </w:pPr>
      <w:r>
        <w:rPr>
          <w:rFonts w:hint="eastAsia" w:ascii="宋体" w:hAnsi="宋体"/>
        </w:rPr>
        <w:t>各方当事人同意，对于因基金合同的订立、内容、履行和解释或与基金合同有关的争议，基金合同当事人应尽量通过协商、调解途径解决。如经协商、调解未能解决的，任何一方均有权将争议提交</w:t>
      </w:r>
      <w:r>
        <w:rPr>
          <w:rFonts w:ascii="宋体" w:hAnsi="宋体"/>
        </w:rPr>
        <w:t>深圳国际仲裁院（深圳仲裁委员会）</w:t>
      </w:r>
      <w:r>
        <w:rPr>
          <w:rFonts w:hint="eastAsia" w:ascii="宋体" w:hAnsi="宋体"/>
        </w:rPr>
        <w:t>，按照</w:t>
      </w:r>
      <w:r>
        <w:rPr>
          <w:rFonts w:ascii="宋体" w:hAnsi="宋体"/>
        </w:rPr>
        <w:t>深圳国际仲裁院（深圳仲裁委员会）</w:t>
      </w:r>
      <w:r>
        <w:rPr>
          <w:rFonts w:hint="eastAsia" w:ascii="宋体" w:hAnsi="宋体"/>
        </w:rPr>
        <w:t>届时有效的仲裁规则进行仲裁。仲裁地点为深圳市。仲裁裁决是终局的，对各方当事人均有约束力，除非仲裁裁决另有规定的，仲裁费由败诉方承担。</w:t>
      </w:r>
    </w:p>
    <w:p w14:paraId="5DAC5F11">
      <w:pPr>
        <w:snapToGrid w:val="0"/>
        <w:spacing w:line="360" w:lineRule="auto"/>
        <w:ind w:firstLine="420" w:firstLineChars="200"/>
        <w:rPr>
          <w:rFonts w:ascii="宋体" w:hAnsi="宋体"/>
        </w:rPr>
      </w:pPr>
      <w:r>
        <w:rPr>
          <w:rFonts w:hint="eastAsia" w:ascii="宋体" w:hAnsi="宋体"/>
        </w:rPr>
        <w:t>争议处理期间，基金合同当事人应恪守各自的职责，继续忠实、勤勉、尽责地履行基金合同规定的义务，维护基金份额持有人的合法权益。</w:t>
      </w:r>
    </w:p>
    <w:p w14:paraId="7D4BEA74">
      <w:pPr>
        <w:snapToGrid w:val="0"/>
        <w:spacing w:line="360" w:lineRule="auto"/>
        <w:ind w:firstLine="420" w:firstLineChars="200"/>
        <w:rPr>
          <w:rFonts w:ascii="宋体" w:hAnsi="宋体"/>
        </w:rPr>
      </w:pPr>
      <w:r>
        <w:rPr>
          <w:rFonts w:hint="eastAsia" w:ascii="宋体" w:hAnsi="宋体"/>
        </w:rPr>
        <w:t>本基金合同受中国法律（为本基金合同之目的，在此不包括香港、澳门特别行政区法律和台湾地区的有关规定）管辖并从其解释。</w:t>
      </w:r>
    </w:p>
    <w:p w14:paraId="53A10F90">
      <w:pPr>
        <w:snapToGrid w:val="0"/>
        <w:spacing w:line="360" w:lineRule="auto"/>
        <w:ind w:firstLine="420" w:firstLineChars="200"/>
        <w:rPr>
          <w:rFonts w:ascii="宋体" w:hAnsi="宋体" w:eastAsia="宋体"/>
        </w:rPr>
      </w:pPr>
      <w:r>
        <w:rPr>
          <w:rFonts w:hint="eastAsia" w:ascii="宋体" w:hAnsi="宋体" w:eastAsia="宋体"/>
        </w:rPr>
        <w:t>九、基金合同存放地和投资者取得合同的方式</w:t>
      </w:r>
    </w:p>
    <w:p w14:paraId="56A10525">
      <w:pPr>
        <w:widowControl/>
        <w:snapToGrid w:val="0"/>
        <w:spacing w:before="0" w:beforeAutospacing="0" w:after="0" w:afterAutospacing="0" w:line="360" w:lineRule="auto"/>
        <w:ind w:firstLine="420" w:firstLineChars="200"/>
        <w:jc w:val="left"/>
        <w:rPr>
          <w:rFonts w:hint="eastAsia" w:eastAsia="宋体" w:asciiTheme="minorEastAsia" w:hAnsiTheme="minorEastAsia"/>
          <w:b/>
          <w:sz w:val="24"/>
          <w:lang w:eastAsia="zh-CN"/>
        </w:rPr>
      </w:pPr>
      <w:r>
        <w:rPr>
          <w:rFonts w:hint="eastAsia" w:ascii="宋体" w:hAnsi="宋体" w:eastAsia="宋体"/>
        </w:rPr>
        <w:t>本基金合同可印制成册，供投资人在基金管理人、基金托管人、代销机构和登记机构办公场所查阅</w:t>
      </w:r>
      <w:bookmarkEnd w:id="594"/>
      <w:r>
        <w:rPr>
          <w:rFonts w:hint="eastAsia" w:ascii="宋体" w:hAnsi="宋体"/>
          <w:lang w:eastAsia="zh-CN"/>
        </w:rPr>
        <w:t>。</w:t>
      </w:r>
    </w:p>
    <w:sectPr>
      <w:footerReference r:id="rId33" w:type="default"/>
      <w:pgSz w:w="12240" w:h="15840"/>
      <w:pgMar w:top="1440" w:right="1800" w:bottom="1440" w:left="1800" w:header="720" w:footer="720"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Microsoft JhengHei Light">
    <w:panose1 w:val="020B0304030504040204"/>
    <w:charset w:val="88"/>
    <w:family w:val="auto"/>
    <w:pitch w:val="default"/>
    <w:sig w:usb0="800002A7" w:usb1="28CF4400" w:usb2="00000016" w:usb3="00000000" w:csb0="00100009"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45B57">
    <w:pPr>
      <w:pStyle w:val="19"/>
      <w:framePr w:wrap="around" w:vAnchor="text" w:hAnchor="margin" w:xAlign="center" w:yAlign="top"/>
    </w:pPr>
    <w:r>
      <w:rPr>
        <w:rFonts w:hint="eastAsia"/>
      </w:rPr>
      <w:fldChar w:fldCharType="begin"/>
    </w:r>
    <w:r>
      <w:rPr>
        <w:rStyle w:val="30"/>
        <w:rFonts w:hint="eastAsia"/>
      </w:rPr>
      <w:instrText xml:space="preserve"> PAGE  </w:instrText>
    </w:r>
    <w:r>
      <w:rPr>
        <w:rFonts w:hint="eastAsia"/>
      </w:rPr>
      <w:fldChar w:fldCharType="separate"/>
    </w:r>
    <w:r>
      <w:rPr>
        <w:rStyle w:val="30"/>
      </w:rPr>
      <w:t>1</w:t>
    </w:r>
    <w:r>
      <w:rPr>
        <w:rFonts w:hint="eastAsia"/>
      </w:rPr>
      <w:fldChar w:fldCharType="end"/>
    </w:r>
  </w:p>
  <w:p w14:paraId="1CFD63B3">
    <w:pPr>
      <w:pStyle w:val="1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C3E56">
    <w:pPr>
      <w:pStyle w:val="19"/>
    </w:pPr>
  </w:p>
  <w:p w14:paraId="16B66EB5">
    <w:pPr>
      <w:pStyle w:val="19"/>
    </w:pPr>
  </w:p>
  <w:p w14:paraId="62A1F824">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EED8A">
    <w:pPr>
      <w:pStyle w:val="19"/>
      <w:jc w:val="center"/>
      <w:rPr>
        <w:rFonts w:ascii="Arial" w:hAnsi="Arial" w:cs="Arial"/>
        <w:sz w:val="21"/>
        <w:szCs w:val="21"/>
      </w:rPr>
    </w:pPr>
    <w:r>
      <w:rPr>
        <w:rFonts w:hint="eastAsia" w:ascii="Arial" w:hAnsi="Arial" w:cs="Arial"/>
        <w:sz w:val="21"/>
        <w:szCs w:val="21"/>
      </w:rPr>
      <w:t>1-</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50670">
    <w:pPr>
      <w:pStyle w:val="19"/>
      <w:jc w:val="center"/>
      <w:rPr>
        <w:rFonts w:ascii="Arial" w:hAnsi="Arial" w:cs="Arial"/>
        <w:sz w:val="21"/>
        <w:szCs w:val="21"/>
      </w:rPr>
    </w:pPr>
    <w:r>
      <w:rPr>
        <w:rFonts w:hint="eastAsia" w:ascii="Arial" w:hAnsi="Arial" w:cs="Arial"/>
        <w:sz w:val="21"/>
        <w:szCs w:val="21"/>
      </w:rPr>
      <w:t>2-</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5</w:t>
    </w:r>
    <w:r>
      <w:rPr>
        <w:rFonts w:ascii="Arial" w:hAnsi="Arial" w:cs="Arial"/>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084F9">
    <w:pPr>
      <w:pStyle w:val="19"/>
      <w:jc w:val="center"/>
      <w:rPr>
        <w:rFonts w:ascii="Arial" w:hAnsi="Arial" w:cs="Arial"/>
        <w:sz w:val="21"/>
        <w:szCs w:val="21"/>
      </w:rPr>
    </w:pPr>
    <w:r>
      <w:rPr>
        <w:rFonts w:hint="eastAsia" w:ascii="Arial" w:hAnsi="Arial" w:cs="Arial"/>
        <w:sz w:val="21"/>
        <w:szCs w:val="21"/>
      </w:rPr>
      <w:t>3-</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D2A15">
    <w:pPr>
      <w:pStyle w:val="19"/>
      <w:jc w:val="center"/>
      <w:rPr>
        <w:rFonts w:ascii="Arial" w:hAnsi="Arial" w:cs="Arial"/>
        <w:sz w:val="21"/>
        <w:szCs w:val="21"/>
      </w:rPr>
    </w:pPr>
    <w:r>
      <w:rPr>
        <w:rFonts w:hint="eastAsia" w:ascii="Arial" w:hAnsi="Arial" w:cs="Arial"/>
        <w:sz w:val="21"/>
        <w:szCs w:val="21"/>
      </w:rPr>
      <w:t>4-</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78F91">
    <w:pPr>
      <w:pStyle w:val="19"/>
      <w:jc w:val="center"/>
      <w:rPr>
        <w:rFonts w:ascii="Arial" w:hAnsi="Arial" w:cs="Arial"/>
        <w:sz w:val="21"/>
        <w:szCs w:val="21"/>
      </w:rPr>
    </w:pPr>
    <w:r>
      <w:rPr>
        <w:rFonts w:hint="eastAsia" w:ascii="Arial" w:hAnsi="Arial" w:cs="Arial"/>
        <w:sz w:val="21"/>
        <w:szCs w:val="21"/>
      </w:rPr>
      <w:t>5-</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73158">
    <w:pPr>
      <w:pStyle w:val="19"/>
      <w:jc w:val="center"/>
      <w:rPr>
        <w:rFonts w:ascii="Arial" w:hAnsi="Arial" w:cs="Arial"/>
        <w:sz w:val="21"/>
        <w:szCs w:val="21"/>
      </w:rPr>
    </w:pPr>
    <w:r>
      <w:rPr>
        <w:rFonts w:hint="eastAsia" w:ascii="Arial" w:hAnsi="Arial" w:cs="Arial"/>
        <w:sz w:val="21"/>
        <w:szCs w:val="21"/>
      </w:rPr>
      <w:t>6-</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00E01">
    <w:pPr>
      <w:pStyle w:val="19"/>
      <w:jc w:val="center"/>
      <w:rPr>
        <w:rFonts w:ascii="Arial" w:hAnsi="Arial" w:cs="Arial"/>
        <w:sz w:val="21"/>
        <w:szCs w:val="21"/>
      </w:rPr>
    </w:pPr>
    <w:r>
      <w:rPr>
        <w:rFonts w:hint="eastAsia" w:ascii="Arial" w:hAnsi="Arial" w:cs="Arial"/>
        <w:sz w:val="21"/>
        <w:szCs w:val="21"/>
      </w:rPr>
      <w:t>7-</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DF61D">
    <w:pPr>
      <w:pStyle w:val="19"/>
      <w:jc w:val="center"/>
      <w:rPr>
        <w:rFonts w:ascii="Arial" w:hAnsi="Arial" w:cs="Arial"/>
        <w:sz w:val="21"/>
        <w:szCs w:val="21"/>
      </w:rPr>
    </w:pPr>
    <w:r>
      <w:rPr>
        <w:rFonts w:hint="eastAsia" w:ascii="Arial" w:hAnsi="Arial" w:cs="Arial"/>
        <w:sz w:val="21"/>
        <w:szCs w:val="21"/>
      </w:rPr>
      <w:t>8-</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57AB5">
    <w:pPr>
      <w:pStyle w:val="19"/>
      <w:jc w:val="center"/>
      <w:rPr>
        <w:rFonts w:ascii="Arial" w:hAnsi="Arial" w:cs="Arial"/>
        <w:sz w:val="21"/>
        <w:szCs w:val="21"/>
      </w:rPr>
    </w:pPr>
    <w:r>
      <w:rPr>
        <w:rFonts w:hint="eastAsia" w:ascii="Arial" w:hAnsi="Arial" w:cs="Arial"/>
        <w:sz w:val="21"/>
        <w:szCs w:val="21"/>
        <w:lang w:val="en-US" w:eastAsia="zh-CN"/>
      </w:rPr>
      <w:t>9</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4</w:t>
    </w:r>
    <w:r>
      <w:rPr>
        <w:rFonts w:ascii="Arial" w:hAnsi="Arial" w:cs="Arial"/>
        <w:sz w:val="21"/>
        <w:szCs w:val="21"/>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2AD22">
    <w:pPr>
      <w:pStyle w:val="19"/>
      <w:jc w:val="center"/>
      <w:rPr>
        <w:rFonts w:ascii="Arial" w:hAnsi="Arial" w:cs="Arial"/>
        <w:sz w:val="21"/>
        <w:szCs w:val="21"/>
      </w:rPr>
    </w:pPr>
    <w:r>
      <w:rPr>
        <w:rFonts w:hint="eastAsia" w:ascii="Arial" w:hAnsi="Arial" w:cs="Arial"/>
        <w:sz w:val="21"/>
        <w:szCs w:val="21"/>
        <w:lang w:val="en-US" w:eastAsia="zh-CN"/>
      </w:rPr>
      <w:t>10</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7</w:t>
    </w:r>
    <w:r>
      <w:rPr>
        <w:rFonts w:ascii="Arial" w:hAnsi="Arial" w:cs="Arial"/>
        <w:sz w:val="21"/>
        <w:szCs w:val="21"/>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48CCB">
    <w:pPr>
      <w:pStyle w:val="19"/>
      <w:jc w:val="center"/>
      <w:rPr>
        <w:rFonts w:ascii="Arial" w:hAnsi="Arial" w:cs="Arial"/>
        <w:sz w:val="21"/>
        <w:szCs w:val="21"/>
      </w:rPr>
    </w:pPr>
    <w:r>
      <w:rPr>
        <w:rFonts w:hint="eastAsia" w:ascii="Arial" w:hAnsi="Arial" w:cs="Arial"/>
        <w:sz w:val="21"/>
        <w:szCs w:val="21"/>
        <w:lang w:val="en-US" w:eastAsia="zh-CN"/>
      </w:rPr>
      <w:t>11</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86538">
    <w:pPr>
      <w:pStyle w:val="19"/>
      <w:jc w:val="center"/>
      <w:rPr>
        <w:rFonts w:ascii="Arial" w:hAnsi="Arial" w:cs="Arial"/>
        <w:sz w:val="21"/>
        <w:szCs w:val="21"/>
      </w:rPr>
    </w:pPr>
    <w:r>
      <w:rPr>
        <w:rFonts w:hint="eastAsia" w:ascii="Arial" w:hAnsi="Arial" w:cs="Arial"/>
        <w:sz w:val="21"/>
        <w:szCs w:val="21"/>
        <w:lang w:val="en-US" w:eastAsia="zh-CN"/>
      </w:rPr>
      <w:t>12</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7FCDA">
    <w:pPr>
      <w:pStyle w:val="19"/>
      <w:jc w:val="center"/>
      <w:rPr>
        <w:rFonts w:ascii="Arial" w:hAnsi="Arial" w:cs="Arial"/>
        <w:sz w:val="21"/>
        <w:szCs w:val="21"/>
      </w:rPr>
    </w:pPr>
    <w:r>
      <w:rPr>
        <w:rFonts w:hint="eastAsia" w:ascii="Arial" w:hAnsi="Arial" w:cs="Arial"/>
        <w:sz w:val="21"/>
        <w:szCs w:val="21"/>
        <w:lang w:val="en-US" w:eastAsia="zh-CN"/>
      </w:rPr>
      <w:t>13</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C815C">
    <w:pPr>
      <w:pStyle w:val="19"/>
      <w:jc w:val="center"/>
      <w:rPr>
        <w:rFonts w:ascii="Arial" w:hAnsi="Arial" w:cs="Arial"/>
        <w:sz w:val="21"/>
        <w:szCs w:val="21"/>
      </w:rPr>
    </w:pPr>
    <w:r>
      <w:rPr>
        <w:rFonts w:hint="eastAsia" w:ascii="Arial" w:hAnsi="Arial" w:cs="Arial"/>
        <w:sz w:val="21"/>
        <w:szCs w:val="21"/>
        <w:lang w:val="en-US" w:eastAsia="zh-CN"/>
      </w:rPr>
      <w:t>14</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7</w:t>
    </w:r>
    <w:r>
      <w:rPr>
        <w:rFonts w:ascii="Arial" w:hAnsi="Arial" w:cs="Arial"/>
        <w:sz w:val="21"/>
        <w:szCs w:val="21"/>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62458">
    <w:pPr>
      <w:pStyle w:val="19"/>
      <w:jc w:val="center"/>
      <w:rPr>
        <w:rFonts w:ascii="Arial" w:hAnsi="Arial" w:cs="Arial"/>
        <w:sz w:val="21"/>
        <w:szCs w:val="21"/>
      </w:rPr>
    </w:pPr>
    <w:r>
      <w:rPr>
        <w:rFonts w:hint="eastAsia" w:ascii="Arial" w:hAnsi="Arial" w:cs="Arial"/>
        <w:sz w:val="21"/>
        <w:szCs w:val="21"/>
        <w:lang w:val="en-US" w:eastAsia="zh-CN"/>
      </w:rPr>
      <w:t>15</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ADC11">
    <w:pPr>
      <w:pStyle w:val="19"/>
      <w:jc w:val="center"/>
      <w:rPr>
        <w:rFonts w:ascii="Arial" w:hAnsi="Arial"/>
        <w:sz w:val="21"/>
      </w:rPr>
    </w:pPr>
    <w:r>
      <w:rPr>
        <w:rFonts w:hint="eastAsia" w:ascii="Arial" w:hAnsi="Arial" w:cs="Arial"/>
        <w:sz w:val="21"/>
        <w:szCs w:val="21"/>
        <w:lang w:val="en-US" w:eastAsia="zh-CN"/>
      </w:rPr>
      <w:t>16</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5</w:t>
    </w:r>
    <w:r>
      <w:rPr>
        <w:rFonts w:ascii="Arial" w:hAnsi="Arial" w:cs="Arial"/>
        <w:sz w:val="21"/>
        <w:szCs w:val="21"/>
      </w:rP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B9943">
    <w:pPr>
      <w:pStyle w:val="19"/>
      <w:jc w:val="center"/>
      <w:rPr>
        <w:rFonts w:ascii="Arial" w:hAnsi="Arial" w:cs="Arial"/>
        <w:sz w:val="21"/>
        <w:szCs w:val="21"/>
      </w:rPr>
    </w:pPr>
    <w:r>
      <w:rPr>
        <w:rFonts w:hint="eastAsia" w:ascii="Arial" w:hAnsi="Arial" w:cs="Arial"/>
        <w:sz w:val="21"/>
        <w:szCs w:val="21"/>
        <w:lang w:val="en-US" w:eastAsia="zh-CN"/>
      </w:rPr>
      <w:t>17</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8D479">
    <w:pPr>
      <w:pStyle w:val="19"/>
      <w:jc w:val="center"/>
      <w:rPr>
        <w:rFonts w:ascii="Arial" w:hAnsi="Arial" w:cs="Arial"/>
        <w:sz w:val="21"/>
        <w:szCs w:val="21"/>
      </w:rPr>
    </w:pPr>
    <w:r>
      <w:rPr>
        <w:rFonts w:hint="eastAsia" w:ascii="Arial" w:hAnsi="Arial" w:cs="Arial"/>
        <w:sz w:val="21"/>
        <w:szCs w:val="21"/>
        <w:lang w:val="en-US" w:eastAsia="zh-CN"/>
      </w:rPr>
      <w:t>18</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24D5C">
    <w:pPr>
      <w:pStyle w:val="19"/>
      <w:jc w:val="center"/>
      <w:rPr>
        <w:rFonts w:ascii="Arial" w:hAnsi="Arial" w:cs="Arial"/>
        <w:sz w:val="21"/>
        <w:szCs w:val="21"/>
      </w:rPr>
    </w:pPr>
    <w:r>
      <w:rPr>
        <w:rFonts w:hint="eastAsia" w:ascii="Arial" w:hAnsi="Arial" w:cs="Arial"/>
        <w:sz w:val="21"/>
        <w:szCs w:val="21"/>
        <w:lang w:val="en-US" w:eastAsia="zh-CN"/>
      </w:rPr>
      <w:t>19</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42BC7">
    <w:pPr>
      <w:pStyle w:val="19"/>
      <w:jc w:val="center"/>
      <w:rPr>
        <w:rFonts w:ascii="Arial" w:hAnsi="Arial" w:cs="Arial"/>
        <w:sz w:val="21"/>
        <w:szCs w:val="21"/>
      </w:rPr>
    </w:pPr>
    <w:r>
      <w:rPr>
        <w:rFonts w:hint="eastAsia" w:ascii="Arial" w:hAnsi="Arial" w:cs="Arial"/>
        <w:sz w:val="21"/>
        <w:szCs w:val="21"/>
        <w:lang w:val="en-US" w:eastAsia="zh-CN"/>
      </w:rPr>
      <w:t>20</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6</w:t>
    </w:r>
    <w:r>
      <w:rPr>
        <w:rFonts w:ascii="Arial" w:hAnsi="Arial" w:cs="Arial"/>
        <w:sz w:val="21"/>
        <w:szCs w:val="21"/>
      </w:rPr>
      <w:fldChar w:fldCharType="end"/>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126E3">
    <w:pPr>
      <w:pStyle w:val="19"/>
      <w:jc w:val="center"/>
      <w:rPr>
        <w:rFonts w:ascii="Arial" w:hAnsi="Arial" w:cs="Arial"/>
        <w:sz w:val="21"/>
        <w:szCs w:val="21"/>
      </w:rPr>
    </w:pPr>
    <w:r>
      <w:rPr>
        <w:rFonts w:hint="eastAsia" w:ascii="Arial" w:hAnsi="Arial" w:cs="Arial"/>
        <w:sz w:val="21"/>
        <w:szCs w:val="21"/>
        <w:lang w:val="en-US" w:eastAsia="zh-CN"/>
      </w:rPr>
      <w:t>21</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2C695">
    <w:pPr>
      <w:pStyle w:val="19"/>
      <w:jc w:val="center"/>
      <w:rPr>
        <w:rFonts w:ascii="Arial" w:hAnsi="Arial" w:cs="Arial"/>
        <w:sz w:val="21"/>
        <w:szCs w:val="21"/>
      </w:rPr>
    </w:pPr>
    <w:r>
      <w:rPr>
        <w:rFonts w:hint="eastAsia" w:ascii="Arial" w:hAnsi="Arial" w:cs="Arial"/>
        <w:sz w:val="21"/>
        <w:szCs w:val="21"/>
        <w:lang w:val="en-US" w:eastAsia="zh-CN"/>
      </w:rPr>
      <w:t>22</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2D745">
    <w:pPr>
      <w:pStyle w:val="19"/>
      <w:jc w:val="center"/>
      <w:rPr>
        <w:rFonts w:ascii="Arial" w:hAnsi="Arial" w:cs="Arial"/>
        <w:sz w:val="21"/>
        <w:szCs w:val="21"/>
      </w:rPr>
    </w:pPr>
    <w:r>
      <w:rPr>
        <w:rFonts w:hint="eastAsia" w:ascii="Arial" w:hAnsi="Arial" w:cs="Arial"/>
        <w:sz w:val="21"/>
        <w:szCs w:val="21"/>
        <w:lang w:val="en-US" w:eastAsia="zh-CN"/>
      </w:rPr>
      <w:t>23</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AA9DA">
    <w:pPr>
      <w:pStyle w:val="19"/>
      <w:jc w:val="center"/>
      <w:rPr>
        <w:rFonts w:ascii="Arial" w:hAnsi="Arial" w:cs="Arial"/>
        <w:sz w:val="21"/>
        <w:szCs w:val="21"/>
      </w:rPr>
    </w:pPr>
    <w:r>
      <w:rPr>
        <w:rFonts w:hint="eastAsia" w:ascii="Arial" w:hAnsi="Arial" w:cs="Arial"/>
        <w:sz w:val="21"/>
        <w:szCs w:val="21"/>
        <w:lang w:val="en-US" w:eastAsia="zh-CN"/>
      </w:rPr>
      <w:t>24</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85CE">
    <w:pPr>
      <w:pStyle w:val="19"/>
      <w:jc w:val="center"/>
      <w:rPr>
        <w:rFonts w:ascii="Arial" w:hAnsi="Arial" w:cs="Arial"/>
        <w:sz w:val="21"/>
        <w:szCs w:val="21"/>
      </w:rPr>
    </w:pPr>
    <w:r>
      <w:rPr>
        <w:rFonts w:hint="eastAsia" w:ascii="Arial" w:hAnsi="Arial" w:cs="Arial"/>
        <w:sz w:val="21"/>
        <w:szCs w:val="21"/>
        <w:lang w:val="en-US" w:eastAsia="zh-CN"/>
      </w:rPr>
      <w:t>25</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E94F0">
    <w:pPr>
      <w:pStyle w:val="19"/>
      <w:jc w:val="center"/>
      <w:rPr>
        <w:rFonts w:hint="eastAsia" w:ascii="Arial" w:hAnsi="Arial" w:cs="Arial"/>
        <w:sz w:val="21"/>
        <w:szCs w:val="21"/>
      </w:rPr>
    </w:pPr>
    <w:r>
      <w:rPr>
        <w:rFonts w:hint="eastAsia" w:ascii="Arial" w:hAnsi="Arial" w:cs="Arial"/>
        <w:sz w:val="21"/>
        <w:szCs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A95F42E">
                          <w:pPr>
                            <w:pStyle w:val="19"/>
                          </w:pPr>
                          <w:r>
                            <w:rPr>
                              <w:rFonts w:hint="default" w:ascii="Arial" w:hAnsi="Arial" w:cs="Arial"/>
                              <w:lang w:val="en-US" w:eastAsia="zh-CN"/>
                            </w:rPr>
                            <w:t>26-</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rPr>
                            <w:t>1</w:t>
                          </w:r>
                          <w:r>
                            <w:rPr>
                              <w:rFonts w:ascii="Arial" w:hAnsi="Arial" w:cs="Arial"/>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1A95F42E">
                    <w:pPr>
                      <w:pStyle w:val="19"/>
                    </w:pPr>
                    <w:r>
                      <w:rPr>
                        <w:rFonts w:hint="default" w:ascii="Arial" w:hAnsi="Arial" w:cs="Arial"/>
                        <w:lang w:val="en-US" w:eastAsia="zh-CN"/>
                      </w:rPr>
                      <w:t>26-</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rPr>
                      <w:t>1</w:t>
                    </w:r>
                    <w:r>
                      <w:rPr>
                        <w:rFonts w:ascii="Arial" w:hAnsi="Arial" w:cs="Arial"/>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76DEA">
    <w:pPr>
      <w:pStyle w:val="18"/>
      <w:pBdr>
        <w:bottom w:val="thickThinLargeGap" w:color="auto" w:sz="24" w:space="10"/>
      </w:pBdr>
      <w:tabs>
        <w:tab w:val="right" w:pos="8280"/>
      </w:tabs>
      <w:wordWrap w:val="0"/>
      <w:adjustRightInd w:val="0"/>
    </w:pPr>
    <w:r>
      <w:rPr>
        <w:rFonts w:hint="eastAsia"/>
        <w:color w:val="000000"/>
      </w:rPr>
      <w:t>博时沪深300交易型开放式指数</w:t>
    </w:r>
    <w:r>
      <w:rPr>
        <w:rFonts w:hint="eastAsia"/>
      </w:rPr>
      <w:t>证券投资基金                        转型申请材料－基金合同（草案）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C792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92C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E87617"/>
    <w:multiLevelType w:val="multilevel"/>
    <w:tmpl w:val="4DE87617"/>
    <w:lvl w:ilvl="0" w:tentative="0">
      <w:start w:val="1"/>
      <w:numFmt w:val="decimal"/>
      <w:lvlText w:val="%1."/>
      <w:lvlJc w:val="right"/>
      <w:pPr>
        <w:ind w:left="42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5C185EF5"/>
    <w:multiLevelType w:val="multilevel"/>
    <w:tmpl w:val="5C185EF5"/>
    <w:lvl w:ilvl="0" w:tentative="0">
      <w:start w:val="1"/>
      <w:numFmt w:val="none"/>
      <w:pStyle w:val="2"/>
      <w:suff w:val="nothing"/>
      <w:lvlText w:val=""/>
      <w:lvlJc w:val="left"/>
      <w:pPr>
        <w:ind w:left="0" w:firstLine="0"/>
      </w:pPr>
      <w:rPr>
        <w:rFonts w:hint="eastAsia"/>
      </w:rPr>
    </w:lvl>
    <w:lvl w:ilvl="1" w:tentative="0">
      <w:start w:val="1"/>
      <w:numFmt w:val="chineseCountingThousand"/>
      <w:pStyle w:val="3"/>
      <w:suff w:val="nothing"/>
      <w:lvlText w:val="%2、"/>
      <w:lvlJc w:val="left"/>
      <w:pPr>
        <w:ind w:left="0" w:firstLine="0"/>
      </w:pPr>
      <w:rPr>
        <w:rFonts w:hint="eastAsia"/>
      </w:rPr>
    </w:lvl>
    <w:lvl w:ilvl="2" w:tentative="0">
      <w:start w:val="1"/>
      <w:numFmt w:val="chineseCountingThousand"/>
      <w:pStyle w:val="4"/>
      <w:suff w:val="nothing"/>
      <w:lvlText w:val="（%3）"/>
      <w:lvlJc w:val="left"/>
      <w:pPr>
        <w:ind w:left="0" w:firstLine="0"/>
      </w:pPr>
      <w:rPr>
        <w:rFonts w:hint="eastAsia"/>
      </w:rPr>
    </w:lvl>
    <w:lvl w:ilvl="3" w:tentative="0">
      <w:start w:val="1"/>
      <w:numFmt w:val="decimal"/>
      <w:pStyle w:val="5"/>
      <w:suff w:val="nothing"/>
      <w:lvlText w:val="%4、"/>
      <w:lvlJc w:val="left"/>
      <w:pPr>
        <w:ind w:left="0" w:firstLine="0"/>
      </w:pPr>
      <w:rPr>
        <w:rFonts w:hint="eastAsia"/>
      </w:rPr>
    </w:lvl>
    <w:lvl w:ilvl="4" w:tentative="0">
      <w:start w:val="1"/>
      <w:numFmt w:val="decimal"/>
      <w:pStyle w:val="6"/>
      <w:suff w:val="nothing"/>
      <w:lvlText w:val="（%5）"/>
      <w:lvlJc w:val="left"/>
      <w:pPr>
        <w:ind w:left="0" w:firstLine="0"/>
      </w:pPr>
      <w:rPr>
        <w:rFonts w:hint="eastAsia"/>
      </w:rPr>
    </w:lvl>
    <w:lvl w:ilvl="5" w:tentative="0">
      <w:start w:val="1"/>
      <w:numFmt w:val="none"/>
      <w:pStyle w:val="7"/>
      <w:suff w:val="nothing"/>
      <w:lvlText w:val=""/>
      <w:lvlJc w:val="left"/>
      <w:pPr>
        <w:ind w:left="0" w:firstLine="0"/>
      </w:pPr>
      <w:rPr>
        <w:rFonts w:hint="eastAsia"/>
      </w:rPr>
    </w:lvl>
    <w:lvl w:ilvl="6" w:tentative="0">
      <w:start w:val="1"/>
      <w:numFmt w:val="none"/>
      <w:pStyle w:val="8"/>
      <w:suff w:val="nothing"/>
      <w:lvlText w:val=""/>
      <w:lvlJc w:val="left"/>
      <w:pPr>
        <w:ind w:left="0" w:firstLine="0"/>
      </w:pPr>
      <w:rPr>
        <w:rFonts w:hint="eastAsia"/>
      </w:rPr>
    </w:lvl>
    <w:lvl w:ilvl="7" w:tentative="0">
      <w:start w:val="1"/>
      <w:numFmt w:val="none"/>
      <w:pStyle w:val="9"/>
      <w:suff w:val="nothing"/>
      <w:lvlText w:val=""/>
      <w:lvlJc w:val="left"/>
      <w:pPr>
        <w:ind w:left="0" w:firstLine="0"/>
      </w:pPr>
      <w:rPr>
        <w:rFonts w:hint="eastAsia"/>
      </w:rPr>
    </w:lvl>
    <w:lvl w:ilvl="8" w:tentative="0">
      <w:start w:val="1"/>
      <w:numFmt w:val="none"/>
      <w:pStyle w:val="10"/>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D1849"/>
    <w:rsid w:val="066B0745"/>
    <w:rsid w:val="09AB3622"/>
    <w:rsid w:val="0A8C6345"/>
    <w:rsid w:val="1300693C"/>
    <w:rsid w:val="143769B9"/>
    <w:rsid w:val="191B08C2"/>
    <w:rsid w:val="1BC844F5"/>
    <w:rsid w:val="1D6F02CA"/>
    <w:rsid w:val="246B2678"/>
    <w:rsid w:val="284728F9"/>
    <w:rsid w:val="2D3C757F"/>
    <w:rsid w:val="2E866DE4"/>
    <w:rsid w:val="304E0AA3"/>
    <w:rsid w:val="44185295"/>
    <w:rsid w:val="47236543"/>
    <w:rsid w:val="4A901556"/>
    <w:rsid w:val="4E535B5D"/>
    <w:rsid w:val="4F393EC4"/>
    <w:rsid w:val="53977414"/>
    <w:rsid w:val="592D3457"/>
    <w:rsid w:val="5C4579F1"/>
    <w:rsid w:val="66A35D2D"/>
    <w:rsid w:val="6E4F4D27"/>
    <w:rsid w:val="70BE59A2"/>
    <w:rsid w:val="70EC6DEB"/>
    <w:rsid w:val="71F12BD9"/>
    <w:rsid w:val="749A2769"/>
    <w:rsid w:val="790B21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5"/>
    <w:qFormat/>
    <w:uiPriority w:val="0"/>
    <w:pPr>
      <w:keepNext/>
      <w:keepLines/>
      <w:numPr>
        <w:ilvl w:val="0"/>
        <w:numId w:val="1"/>
      </w:numPr>
      <w:adjustRightInd w:val="0"/>
      <w:snapToGrid w:val="0"/>
      <w:spacing w:line="360" w:lineRule="auto"/>
      <w:jc w:val="center"/>
      <w:outlineLvl w:val="0"/>
    </w:pPr>
    <w:rPr>
      <w:rFonts w:ascii="宋体" w:hAnsi="宋体"/>
      <w:b/>
      <w:kern w:val="44"/>
      <w:sz w:val="24"/>
      <w:szCs w:val="21"/>
    </w:rPr>
  </w:style>
  <w:style w:type="paragraph" w:styleId="3">
    <w:name w:val="heading 2"/>
    <w:basedOn w:val="1"/>
    <w:next w:val="1"/>
    <w:link w:val="36"/>
    <w:qFormat/>
    <w:uiPriority w:val="0"/>
    <w:pPr>
      <w:keepNext/>
      <w:keepLines/>
      <w:numPr>
        <w:ilvl w:val="1"/>
        <w:numId w:val="1"/>
      </w:numPr>
      <w:spacing w:before="200" w:after="200" w:line="360" w:lineRule="auto"/>
      <w:outlineLvl w:val="1"/>
    </w:pPr>
    <w:rPr>
      <w:rFonts w:ascii="Arial" w:hAnsi="Arial"/>
      <w:b/>
      <w:sz w:val="24"/>
      <w:szCs w:val="20"/>
    </w:rPr>
  </w:style>
  <w:style w:type="paragraph" w:styleId="4">
    <w:name w:val="heading 3"/>
    <w:basedOn w:val="1"/>
    <w:next w:val="1"/>
    <w:link w:val="37"/>
    <w:qFormat/>
    <w:uiPriority w:val="0"/>
    <w:pPr>
      <w:numPr>
        <w:ilvl w:val="2"/>
        <w:numId w:val="1"/>
      </w:numPr>
      <w:spacing w:before="120" w:after="120" w:line="360" w:lineRule="auto"/>
      <w:outlineLvl w:val="2"/>
    </w:pPr>
    <w:rPr>
      <w:rFonts w:ascii="宋体" w:hAnsi="Times New Roman"/>
      <w:b/>
      <w:szCs w:val="20"/>
    </w:rPr>
  </w:style>
  <w:style w:type="paragraph" w:styleId="5">
    <w:name w:val="heading 4"/>
    <w:basedOn w:val="1"/>
    <w:next w:val="1"/>
    <w:link w:val="38"/>
    <w:qFormat/>
    <w:uiPriority w:val="0"/>
    <w:pPr>
      <w:keepNext/>
      <w:keepLines/>
      <w:numPr>
        <w:ilvl w:val="3"/>
        <w:numId w:val="1"/>
      </w:numPr>
      <w:spacing w:line="360" w:lineRule="auto"/>
      <w:outlineLvl w:val="3"/>
    </w:pPr>
    <w:rPr>
      <w:rFonts w:ascii="Arial" w:hAnsi="Arial"/>
      <w:szCs w:val="20"/>
    </w:rPr>
  </w:style>
  <w:style w:type="paragraph" w:styleId="6">
    <w:name w:val="heading 5"/>
    <w:basedOn w:val="1"/>
    <w:next w:val="1"/>
    <w:link w:val="39"/>
    <w:qFormat/>
    <w:uiPriority w:val="0"/>
    <w:pPr>
      <w:keepNext/>
      <w:keepLines/>
      <w:numPr>
        <w:ilvl w:val="4"/>
        <w:numId w:val="1"/>
      </w:numPr>
      <w:adjustRightInd w:val="0"/>
      <w:snapToGrid w:val="0"/>
      <w:spacing w:line="360" w:lineRule="auto"/>
      <w:outlineLvl w:val="4"/>
    </w:pPr>
    <w:rPr>
      <w:rFonts w:ascii="Times New Roman" w:hAnsi="Times New Roman"/>
      <w:szCs w:val="20"/>
    </w:rPr>
  </w:style>
  <w:style w:type="paragraph" w:styleId="7">
    <w:name w:val="heading 6"/>
    <w:basedOn w:val="1"/>
    <w:next w:val="1"/>
    <w:link w:val="40"/>
    <w:qFormat/>
    <w:uiPriority w:val="0"/>
    <w:pPr>
      <w:keepNext/>
      <w:keepLines/>
      <w:numPr>
        <w:ilvl w:val="5"/>
        <w:numId w:val="1"/>
      </w:numPr>
      <w:spacing w:before="240" w:after="64" w:line="320" w:lineRule="auto"/>
      <w:outlineLvl w:val="5"/>
    </w:pPr>
    <w:rPr>
      <w:rFonts w:ascii="Arial" w:hAnsi="Arial" w:eastAsia="黑体"/>
      <w:b/>
      <w:sz w:val="24"/>
      <w:szCs w:val="20"/>
    </w:rPr>
  </w:style>
  <w:style w:type="paragraph" w:styleId="8">
    <w:name w:val="heading 7"/>
    <w:basedOn w:val="1"/>
    <w:next w:val="1"/>
    <w:link w:val="41"/>
    <w:qFormat/>
    <w:uiPriority w:val="0"/>
    <w:pPr>
      <w:keepNext/>
      <w:keepLines/>
      <w:numPr>
        <w:ilvl w:val="6"/>
        <w:numId w:val="1"/>
      </w:numPr>
      <w:spacing w:before="240" w:after="64" w:line="320" w:lineRule="auto"/>
      <w:outlineLvl w:val="6"/>
    </w:pPr>
    <w:rPr>
      <w:rFonts w:ascii="Times New Roman" w:hAnsi="Times New Roman"/>
      <w:b/>
      <w:sz w:val="24"/>
      <w:szCs w:val="20"/>
    </w:rPr>
  </w:style>
  <w:style w:type="paragraph" w:styleId="9">
    <w:name w:val="heading 8"/>
    <w:basedOn w:val="1"/>
    <w:next w:val="1"/>
    <w:link w:val="42"/>
    <w:qFormat/>
    <w:uiPriority w:val="0"/>
    <w:pPr>
      <w:keepNext/>
      <w:keepLines/>
      <w:numPr>
        <w:ilvl w:val="7"/>
        <w:numId w:val="1"/>
      </w:numPr>
      <w:spacing w:before="240" w:after="64" w:line="320" w:lineRule="auto"/>
      <w:outlineLvl w:val="7"/>
    </w:pPr>
    <w:rPr>
      <w:rFonts w:ascii="Arial" w:hAnsi="Arial" w:eastAsia="黑体"/>
      <w:sz w:val="24"/>
      <w:szCs w:val="20"/>
    </w:rPr>
  </w:style>
  <w:style w:type="paragraph" w:styleId="10">
    <w:name w:val="heading 9"/>
    <w:basedOn w:val="1"/>
    <w:next w:val="1"/>
    <w:link w:val="43"/>
    <w:qFormat/>
    <w:uiPriority w:val="0"/>
    <w:pPr>
      <w:keepNext/>
      <w:keepLines/>
      <w:numPr>
        <w:ilvl w:val="8"/>
        <w:numId w:val="1"/>
      </w:numPr>
      <w:spacing w:before="240" w:after="64" w:line="320" w:lineRule="auto"/>
      <w:outlineLvl w:val="8"/>
    </w:pPr>
    <w:rPr>
      <w:rFonts w:ascii="Arial" w:hAnsi="Arial" w:eastAsia="黑体"/>
      <w:szCs w:val="20"/>
    </w:rPr>
  </w:style>
  <w:style w:type="character" w:default="1" w:styleId="29">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ind w:firstLine="420" w:firstLineChars="200"/>
    </w:pPr>
    <w:rPr>
      <w:rFonts w:ascii="Times New Roman" w:hAnsi="Times New Roman"/>
      <w:szCs w:val="20"/>
    </w:rPr>
  </w:style>
  <w:style w:type="paragraph" w:styleId="12">
    <w:name w:val="Document Map"/>
    <w:basedOn w:val="1"/>
    <w:link w:val="89"/>
    <w:qFormat/>
    <w:uiPriority w:val="0"/>
    <w:pPr>
      <w:shd w:val="clear" w:color="auto" w:fill="000080"/>
    </w:pPr>
    <w:rPr>
      <w:rFonts w:ascii="Times New Roman" w:hAnsi="Times New Roman"/>
      <w:szCs w:val="20"/>
    </w:rPr>
  </w:style>
  <w:style w:type="paragraph" w:styleId="13">
    <w:name w:val="annotation text"/>
    <w:basedOn w:val="1"/>
    <w:link w:val="48"/>
    <w:unhideWhenUsed/>
    <w:qFormat/>
    <w:uiPriority w:val="0"/>
    <w:pPr>
      <w:jc w:val="left"/>
    </w:pPr>
  </w:style>
  <w:style w:type="paragraph" w:styleId="14">
    <w:name w:val="Body Text"/>
    <w:basedOn w:val="1"/>
    <w:link w:val="56"/>
    <w:qFormat/>
    <w:uiPriority w:val="0"/>
    <w:pPr>
      <w:autoSpaceDE w:val="0"/>
      <w:autoSpaceDN w:val="0"/>
      <w:adjustRightInd w:val="0"/>
      <w:spacing w:line="360" w:lineRule="auto"/>
      <w:jc w:val="left"/>
    </w:pPr>
  </w:style>
  <w:style w:type="paragraph" w:styleId="15">
    <w:name w:val="toc 3"/>
    <w:basedOn w:val="1"/>
    <w:next w:val="1"/>
    <w:qFormat/>
    <w:uiPriority w:val="0"/>
    <w:pPr>
      <w:ind w:left="840" w:leftChars="400"/>
    </w:pPr>
    <w:rPr>
      <w:rFonts w:ascii="Times New Roman" w:hAnsi="Times New Roman"/>
      <w:szCs w:val="20"/>
    </w:rPr>
  </w:style>
  <w:style w:type="paragraph" w:styleId="16">
    <w:name w:val="Plain Text"/>
    <w:basedOn w:val="1"/>
    <w:link w:val="69"/>
    <w:qFormat/>
    <w:uiPriority w:val="0"/>
    <w:pPr>
      <w:adjustRightInd w:val="0"/>
      <w:spacing w:line="312" w:lineRule="atLeast"/>
      <w:textAlignment w:val="baseline"/>
    </w:pPr>
    <w:rPr>
      <w:rFonts w:ascii="宋体" w:hAnsi="Courier New"/>
      <w:kern w:val="0"/>
      <w:szCs w:val="20"/>
    </w:rPr>
  </w:style>
  <w:style w:type="paragraph" w:styleId="17">
    <w:name w:val="Body Text Indent 2"/>
    <w:basedOn w:val="1"/>
    <w:link w:val="90"/>
    <w:qFormat/>
    <w:uiPriority w:val="0"/>
    <w:pPr>
      <w:spacing w:line="360" w:lineRule="auto"/>
      <w:ind w:firstLine="425"/>
    </w:pPr>
    <w:rPr>
      <w:rFonts w:ascii="仿宋_GB2312" w:hAnsi="Times New Roman" w:eastAsia="仿宋_GB2312"/>
      <w:sz w:val="28"/>
      <w:szCs w:val="20"/>
    </w:rPr>
  </w:style>
  <w:style w:type="paragraph" w:styleId="18">
    <w:name w:val="Balloon Text"/>
    <w:basedOn w:val="1"/>
    <w:link w:val="49"/>
    <w:unhideWhenUsed/>
    <w:qFormat/>
    <w:uiPriority w:val="0"/>
    <w:rPr>
      <w:sz w:val="18"/>
      <w:szCs w:val="18"/>
    </w:rPr>
  </w:style>
  <w:style w:type="paragraph" w:styleId="19">
    <w:name w:val="footer"/>
    <w:basedOn w:val="1"/>
    <w:link w:val="46"/>
    <w:unhideWhenUsed/>
    <w:qFormat/>
    <w:uiPriority w:val="99"/>
    <w:pPr>
      <w:tabs>
        <w:tab w:val="center" w:pos="4153"/>
        <w:tab w:val="right" w:pos="8306"/>
      </w:tabs>
      <w:snapToGrid w:val="0"/>
      <w:jc w:val="left"/>
    </w:pPr>
    <w:rPr>
      <w:sz w:val="18"/>
      <w:szCs w:val="18"/>
    </w:rPr>
  </w:style>
  <w:style w:type="paragraph" w:styleId="20">
    <w:name w:val="header"/>
    <w:basedOn w:val="1"/>
    <w:link w:val="83"/>
    <w:unhideWhenUsed/>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0"/>
  </w:style>
  <w:style w:type="paragraph" w:styleId="22">
    <w:name w:val="footnote text"/>
    <w:basedOn w:val="1"/>
    <w:link w:val="65"/>
    <w:qFormat/>
    <w:uiPriority w:val="0"/>
    <w:pPr>
      <w:snapToGrid w:val="0"/>
      <w:jc w:val="left"/>
    </w:pPr>
    <w:rPr>
      <w:rFonts w:ascii="Times New Roman" w:hAnsi="Times New Roman"/>
      <w:sz w:val="18"/>
      <w:szCs w:val="20"/>
    </w:rPr>
  </w:style>
  <w:style w:type="paragraph" w:styleId="23">
    <w:name w:val="Body Text Indent 3"/>
    <w:basedOn w:val="1"/>
    <w:link w:val="91"/>
    <w:qFormat/>
    <w:uiPriority w:val="0"/>
    <w:pPr>
      <w:autoSpaceDE w:val="0"/>
      <w:autoSpaceDN w:val="0"/>
      <w:adjustRightInd w:val="0"/>
      <w:spacing w:line="360" w:lineRule="auto"/>
      <w:ind w:left="420" w:firstLine="435"/>
    </w:pPr>
    <w:rPr>
      <w:rFonts w:ascii="Times New Roman" w:hAnsi="Times New Roman"/>
      <w:color w:val="0000FF"/>
      <w:szCs w:val="20"/>
    </w:rPr>
  </w:style>
  <w:style w:type="paragraph" w:styleId="24">
    <w:name w:val="Body Text 2"/>
    <w:basedOn w:val="1"/>
    <w:link w:val="52"/>
    <w:qFormat/>
    <w:uiPriority w:val="0"/>
    <w:pPr>
      <w:spacing w:line="360" w:lineRule="auto"/>
    </w:pPr>
    <w:rPr>
      <w:rFonts w:ascii="仿宋_GB2312" w:hAnsi="Times New Roman" w:eastAsia="仿宋_GB2312"/>
      <w:color w:val="000000"/>
      <w:szCs w:val="24"/>
    </w:rPr>
  </w:style>
  <w:style w:type="paragraph" w:styleId="25">
    <w:name w:val="Normal (Web)"/>
    <w:basedOn w:val="1"/>
    <w:unhideWhenUsed/>
    <w:qFormat/>
    <w:uiPriority w:val="99"/>
    <w:pPr>
      <w:widowControl/>
      <w:spacing w:before="100" w:beforeAutospacing="1" w:after="100" w:afterAutospacing="1"/>
      <w:jc w:val="left"/>
    </w:pPr>
    <w:rPr>
      <w:rFonts w:ascii="宋体" w:hAnsi="宋体" w:cs="宋体"/>
      <w:color w:val="000000"/>
      <w:kern w:val="0"/>
      <w:sz w:val="24"/>
      <w:szCs w:val="24"/>
    </w:rPr>
  </w:style>
  <w:style w:type="paragraph" w:styleId="26">
    <w:name w:val="Title"/>
    <w:basedOn w:val="1"/>
    <w:next w:val="1"/>
    <w:link w:val="61"/>
    <w:qFormat/>
    <w:uiPriority w:val="0"/>
    <w:pPr>
      <w:spacing w:before="240" w:after="60"/>
      <w:jc w:val="center"/>
      <w:outlineLvl w:val="0"/>
    </w:pPr>
    <w:rPr>
      <w:rFonts w:ascii="Cambria" w:hAnsi="Cambria"/>
      <w:b/>
      <w:sz w:val="32"/>
      <w:szCs w:val="20"/>
    </w:rPr>
  </w:style>
  <w:style w:type="paragraph" w:styleId="27">
    <w:name w:val="annotation subject"/>
    <w:basedOn w:val="13"/>
    <w:next w:val="13"/>
    <w:link w:val="84"/>
    <w:unhideWhenUsed/>
    <w:qFormat/>
    <w:uiPriority w:val="0"/>
    <w:rPr>
      <w:b/>
      <w:bCs/>
    </w:rPr>
  </w:style>
  <w:style w:type="character" w:styleId="30">
    <w:name w:val="page number"/>
    <w:basedOn w:val="29"/>
    <w:qFormat/>
    <w:uiPriority w:val="0"/>
  </w:style>
  <w:style w:type="character" w:styleId="31">
    <w:name w:val="FollowedHyperlink"/>
    <w:basedOn w:val="29"/>
    <w:semiHidden/>
    <w:unhideWhenUsed/>
    <w:qFormat/>
    <w:uiPriority w:val="99"/>
    <w:rPr>
      <w:color w:val="800080" w:themeColor="followedHyperlink"/>
      <w:u w:val="single"/>
      <w14:textFill>
        <w14:solidFill>
          <w14:schemeClr w14:val="folHlink"/>
        </w14:solidFill>
      </w14:textFill>
    </w:rPr>
  </w:style>
  <w:style w:type="character" w:styleId="32">
    <w:name w:val="Hyperlink"/>
    <w:unhideWhenUsed/>
    <w:qFormat/>
    <w:uiPriority w:val="0"/>
    <w:rPr>
      <w:color w:val="0000FF"/>
      <w:u w:val="single"/>
    </w:rPr>
  </w:style>
  <w:style w:type="character" w:styleId="33">
    <w:name w:val="annotation reference"/>
    <w:unhideWhenUsed/>
    <w:qFormat/>
    <w:uiPriority w:val="0"/>
    <w:rPr>
      <w:sz w:val="21"/>
      <w:szCs w:val="21"/>
    </w:rPr>
  </w:style>
  <w:style w:type="character" w:styleId="34">
    <w:name w:val="footnote reference"/>
    <w:basedOn w:val="29"/>
    <w:qFormat/>
    <w:uiPriority w:val="0"/>
    <w:rPr>
      <w:vertAlign w:val="superscript"/>
    </w:rPr>
  </w:style>
  <w:style w:type="character" w:customStyle="1" w:styleId="35">
    <w:name w:val="标题 1 字符"/>
    <w:link w:val="2"/>
    <w:qFormat/>
    <w:uiPriority w:val="0"/>
    <w:rPr>
      <w:rFonts w:ascii="宋体" w:hAnsi="宋体"/>
      <w:b/>
      <w:kern w:val="44"/>
      <w:sz w:val="24"/>
      <w:szCs w:val="21"/>
    </w:rPr>
  </w:style>
  <w:style w:type="character" w:customStyle="1" w:styleId="36">
    <w:name w:val="标题 2 字符"/>
    <w:link w:val="3"/>
    <w:qFormat/>
    <w:uiPriority w:val="0"/>
    <w:rPr>
      <w:rFonts w:ascii="Arial" w:hAnsi="Arial"/>
      <w:b/>
      <w:kern w:val="2"/>
      <w:sz w:val="24"/>
    </w:rPr>
  </w:style>
  <w:style w:type="character" w:customStyle="1" w:styleId="37">
    <w:name w:val="标题 3 字符"/>
    <w:link w:val="4"/>
    <w:qFormat/>
    <w:uiPriority w:val="0"/>
    <w:rPr>
      <w:rFonts w:ascii="宋体" w:hAnsi="Times New Roman"/>
      <w:b/>
      <w:kern w:val="2"/>
      <w:sz w:val="21"/>
    </w:rPr>
  </w:style>
  <w:style w:type="character" w:customStyle="1" w:styleId="38">
    <w:name w:val="标题 4 字符"/>
    <w:link w:val="5"/>
    <w:qFormat/>
    <w:uiPriority w:val="0"/>
    <w:rPr>
      <w:rFonts w:ascii="Arial" w:hAnsi="Arial" w:eastAsia="宋体" w:cs="Times New Roman"/>
      <w:szCs w:val="20"/>
    </w:rPr>
  </w:style>
  <w:style w:type="character" w:customStyle="1" w:styleId="39">
    <w:name w:val="标题 5 字符"/>
    <w:link w:val="6"/>
    <w:qFormat/>
    <w:uiPriority w:val="0"/>
    <w:rPr>
      <w:rFonts w:ascii="Times New Roman" w:hAnsi="Times New Roman" w:eastAsia="宋体" w:cs="Times New Roman"/>
      <w:szCs w:val="20"/>
    </w:rPr>
  </w:style>
  <w:style w:type="character" w:customStyle="1" w:styleId="40">
    <w:name w:val="标题 6 字符"/>
    <w:link w:val="7"/>
    <w:qFormat/>
    <w:uiPriority w:val="0"/>
    <w:rPr>
      <w:rFonts w:ascii="Arial" w:hAnsi="Arial" w:eastAsia="黑体" w:cs="Times New Roman"/>
      <w:b/>
      <w:sz w:val="24"/>
      <w:szCs w:val="20"/>
    </w:rPr>
  </w:style>
  <w:style w:type="character" w:customStyle="1" w:styleId="41">
    <w:name w:val="标题 7 字符"/>
    <w:link w:val="8"/>
    <w:qFormat/>
    <w:uiPriority w:val="0"/>
    <w:rPr>
      <w:rFonts w:ascii="Times New Roman" w:hAnsi="Times New Roman" w:eastAsia="宋体" w:cs="Times New Roman"/>
      <w:b/>
      <w:sz w:val="24"/>
      <w:szCs w:val="20"/>
    </w:rPr>
  </w:style>
  <w:style w:type="character" w:customStyle="1" w:styleId="42">
    <w:name w:val="标题 8 字符"/>
    <w:link w:val="9"/>
    <w:qFormat/>
    <w:uiPriority w:val="0"/>
    <w:rPr>
      <w:rFonts w:ascii="Arial" w:hAnsi="Arial" w:eastAsia="黑体" w:cs="Times New Roman"/>
      <w:sz w:val="24"/>
      <w:szCs w:val="20"/>
    </w:rPr>
  </w:style>
  <w:style w:type="character" w:customStyle="1" w:styleId="43">
    <w:name w:val="标题 9 字符"/>
    <w:link w:val="10"/>
    <w:qFormat/>
    <w:uiPriority w:val="0"/>
    <w:rPr>
      <w:rFonts w:ascii="Arial" w:hAnsi="Arial" w:eastAsia="黑体" w:cs="Times New Roman"/>
      <w:szCs w:val="20"/>
    </w:rPr>
  </w:style>
  <w:style w:type="paragraph" w:customStyle="1" w:styleId="44">
    <w:name w:val="Char Char Char"/>
    <w:basedOn w:val="1"/>
    <w:qFormat/>
    <w:uiPriority w:val="0"/>
    <w:rPr>
      <w:rFonts w:ascii="Times New Roman" w:hAnsi="Times New Roman"/>
      <w:szCs w:val="24"/>
    </w:rPr>
  </w:style>
  <w:style w:type="character" w:customStyle="1" w:styleId="45">
    <w:name w:val="页眉 Char"/>
    <w:qFormat/>
    <w:uiPriority w:val="0"/>
    <w:rPr>
      <w:kern w:val="2"/>
      <w:sz w:val="18"/>
      <w:szCs w:val="18"/>
    </w:rPr>
  </w:style>
  <w:style w:type="character" w:customStyle="1" w:styleId="46">
    <w:name w:val="页脚 字符"/>
    <w:link w:val="19"/>
    <w:qFormat/>
    <w:uiPriority w:val="99"/>
    <w:rPr>
      <w:kern w:val="2"/>
      <w:sz w:val="18"/>
      <w:szCs w:val="18"/>
    </w:rPr>
  </w:style>
  <w:style w:type="paragraph" w:styleId="47">
    <w:name w:val="List Paragraph"/>
    <w:basedOn w:val="1"/>
    <w:qFormat/>
    <w:uiPriority w:val="34"/>
    <w:pPr>
      <w:ind w:firstLine="420" w:firstLineChars="200"/>
    </w:pPr>
  </w:style>
  <w:style w:type="character" w:customStyle="1" w:styleId="48">
    <w:name w:val="批注文字 字符"/>
    <w:link w:val="13"/>
    <w:qFormat/>
    <w:uiPriority w:val="0"/>
    <w:rPr>
      <w:kern w:val="2"/>
      <w:sz w:val="21"/>
      <w:szCs w:val="22"/>
    </w:rPr>
  </w:style>
  <w:style w:type="character" w:customStyle="1" w:styleId="49">
    <w:name w:val="批注框文本 字符"/>
    <w:basedOn w:val="29"/>
    <w:link w:val="18"/>
    <w:qFormat/>
    <w:uiPriority w:val="0"/>
    <w:rPr>
      <w:kern w:val="2"/>
      <w:sz w:val="18"/>
      <w:szCs w:val="18"/>
    </w:rPr>
  </w:style>
  <w:style w:type="character" w:customStyle="1" w:styleId="50">
    <w:name w:val="批注主题 Char"/>
    <w:qFormat/>
    <w:uiPriority w:val="0"/>
    <w:rPr>
      <w:b/>
      <w:bCs/>
      <w:kern w:val="2"/>
      <w:sz w:val="21"/>
      <w:szCs w:val="22"/>
    </w:rPr>
  </w:style>
  <w:style w:type="character" w:customStyle="1" w:styleId="51">
    <w:name w:val="批注框文本 Char"/>
    <w:qFormat/>
    <w:uiPriority w:val="0"/>
    <w:rPr>
      <w:kern w:val="2"/>
      <w:sz w:val="18"/>
      <w:szCs w:val="18"/>
    </w:rPr>
  </w:style>
  <w:style w:type="character" w:customStyle="1" w:styleId="52">
    <w:name w:val="正文文本 2 字符"/>
    <w:link w:val="24"/>
    <w:qFormat/>
    <w:uiPriority w:val="0"/>
    <w:rPr>
      <w:rFonts w:ascii="仿宋_GB2312" w:hAnsi="Times New Roman" w:eastAsia="仿宋_GB2312" w:cs="Times New Roman"/>
      <w:color w:val="000000"/>
      <w:szCs w:val="24"/>
    </w:rPr>
  </w:style>
  <w:style w:type="character" w:customStyle="1" w:styleId="53">
    <w:name w:val="正文文本缩进 2 Char"/>
    <w:qFormat/>
    <w:uiPriority w:val="0"/>
    <w:rPr>
      <w:kern w:val="2"/>
      <w:sz w:val="21"/>
      <w:szCs w:val="22"/>
    </w:rPr>
  </w:style>
  <w:style w:type="character" w:customStyle="1" w:styleId="54">
    <w:name w:val="正文文本缩进 3 Char"/>
    <w:qFormat/>
    <w:uiPriority w:val="0"/>
    <w:rPr>
      <w:kern w:val="2"/>
      <w:sz w:val="16"/>
      <w:szCs w:val="16"/>
    </w:rPr>
  </w:style>
  <w:style w:type="character" w:customStyle="1" w:styleId="55">
    <w:name w:val="read"/>
    <w:basedOn w:val="29"/>
    <w:qFormat/>
    <w:uiPriority w:val="0"/>
  </w:style>
  <w:style w:type="character" w:customStyle="1" w:styleId="56">
    <w:name w:val="正文文本 字符"/>
    <w:link w:val="14"/>
    <w:qFormat/>
    <w:uiPriority w:val="0"/>
    <w:rPr>
      <w:kern w:val="2"/>
      <w:sz w:val="21"/>
      <w:szCs w:val="22"/>
    </w:rPr>
  </w:style>
  <w:style w:type="character" w:customStyle="1" w:styleId="57">
    <w:name w:val="unnamed11"/>
    <w:qFormat/>
    <w:uiPriority w:val="0"/>
    <w:rPr>
      <w:rFonts w:hint="eastAsia" w:ascii="宋体" w:hAnsi="宋体" w:eastAsia="宋体"/>
      <w:sz w:val="18"/>
      <w:szCs w:val="18"/>
    </w:rPr>
  </w:style>
  <w:style w:type="paragraph" w:customStyle="1" w:styleId="58">
    <w:name w:val="TOC 标题1"/>
    <w:basedOn w:val="2"/>
    <w:next w:val="1"/>
    <w:qFormat/>
    <w:uiPriority w:val="39"/>
    <w:pPr>
      <w:widowControl/>
      <w:numPr>
        <w:numId w:val="0"/>
      </w:numPr>
      <w:spacing w:before="480" w:line="276" w:lineRule="auto"/>
      <w:jc w:val="left"/>
      <w:outlineLvl w:val="9"/>
    </w:pPr>
    <w:rPr>
      <w:rFonts w:ascii="Cambria" w:hAnsi="Cambria"/>
      <w:bCs/>
      <w:color w:val="365F91"/>
      <w:kern w:val="0"/>
      <w:szCs w:val="28"/>
    </w:rPr>
  </w:style>
  <w:style w:type="character" w:customStyle="1" w:styleId="59">
    <w:name w:val="文档结构图 Char"/>
    <w:qFormat/>
    <w:uiPriority w:val="0"/>
    <w:rPr>
      <w:rFonts w:ascii="宋体"/>
      <w:kern w:val="2"/>
      <w:sz w:val="18"/>
      <w:szCs w:val="18"/>
    </w:rPr>
  </w:style>
  <w:style w:type="paragraph" w:customStyle="1" w:styleId="60">
    <w:name w:val="Char Char Char2"/>
    <w:basedOn w:val="1"/>
    <w:qFormat/>
    <w:uiPriority w:val="0"/>
    <w:rPr>
      <w:rFonts w:ascii="Times New Roman" w:hAnsi="Times New Roman"/>
      <w:szCs w:val="24"/>
    </w:rPr>
  </w:style>
  <w:style w:type="character" w:customStyle="1" w:styleId="61">
    <w:name w:val="标题 字符"/>
    <w:basedOn w:val="29"/>
    <w:link w:val="26"/>
    <w:qFormat/>
    <w:uiPriority w:val="0"/>
    <w:rPr>
      <w:rFonts w:ascii="Cambria" w:hAnsi="Cambria"/>
      <w:b/>
      <w:kern w:val="2"/>
      <w:sz w:val="32"/>
    </w:rPr>
  </w:style>
  <w:style w:type="character" w:customStyle="1" w:styleId="62">
    <w:name w:val="标题 Char1"/>
    <w:basedOn w:val="29"/>
    <w:qFormat/>
    <w:uiPriority w:val="10"/>
    <w:rPr>
      <w:rFonts w:asciiTheme="majorHAnsi" w:hAnsiTheme="majorHAnsi" w:cstheme="majorBidi"/>
      <w:b/>
      <w:bCs/>
      <w:kern w:val="2"/>
      <w:sz w:val="32"/>
      <w:szCs w:val="32"/>
    </w:rPr>
  </w:style>
  <w:style w:type="paragraph" w:customStyle="1" w:styleId="63">
    <w:name w:val="Char"/>
    <w:basedOn w:val="1"/>
    <w:qFormat/>
    <w:uiPriority w:val="0"/>
    <w:rPr>
      <w:rFonts w:ascii="Times New Roman" w:hAnsi="Times New Roman"/>
      <w:szCs w:val="20"/>
    </w:rPr>
  </w:style>
  <w:style w:type="paragraph" w:customStyle="1" w:styleId="64">
    <w:name w:val="Char Char Char Char"/>
    <w:basedOn w:val="1"/>
    <w:qFormat/>
    <w:uiPriority w:val="0"/>
    <w:pPr>
      <w:tabs>
        <w:tab w:val="left" w:pos="360"/>
      </w:tabs>
    </w:pPr>
    <w:rPr>
      <w:rFonts w:ascii="Times New Roman" w:hAnsi="Times New Roman"/>
      <w:szCs w:val="20"/>
    </w:rPr>
  </w:style>
  <w:style w:type="character" w:customStyle="1" w:styleId="65">
    <w:name w:val="脚注文本 字符"/>
    <w:basedOn w:val="29"/>
    <w:link w:val="22"/>
    <w:qFormat/>
    <w:uiPriority w:val="0"/>
    <w:rPr>
      <w:rFonts w:ascii="Times New Roman" w:hAnsi="Times New Roman"/>
      <w:kern w:val="2"/>
      <w:sz w:val="18"/>
    </w:rPr>
  </w:style>
  <w:style w:type="paragraph" w:customStyle="1" w:styleId="66">
    <w:name w:val="Char2"/>
    <w:basedOn w:val="1"/>
    <w:qFormat/>
    <w:uiPriority w:val="0"/>
    <w:rPr>
      <w:rFonts w:ascii="Times New Roman" w:hAnsi="Times New Roman"/>
      <w:szCs w:val="20"/>
    </w:rPr>
  </w:style>
  <w:style w:type="paragraph" w:customStyle="1" w:styleId="67">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8">
    <w:name w:val="Char Char"/>
    <w:basedOn w:val="1"/>
    <w:qFormat/>
    <w:uiPriority w:val="0"/>
    <w:rPr>
      <w:rFonts w:ascii="Times New Roman" w:hAnsi="Times New Roman"/>
      <w:szCs w:val="20"/>
    </w:rPr>
  </w:style>
  <w:style w:type="character" w:customStyle="1" w:styleId="69">
    <w:name w:val="纯文本 字符"/>
    <w:basedOn w:val="29"/>
    <w:link w:val="16"/>
    <w:qFormat/>
    <w:uiPriority w:val="0"/>
    <w:rPr>
      <w:rFonts w:ascii="宋体" w:hAnsi="Courier New"/>
      <w:sz w:val="21"/>
    </w:rPr>
  </w:style>
  <w:style w:type="paragraph" w:customStyle="1" w:styleId="70">
    <w:name w:val="Char Char1"/>
    <w:basedOn w:val="1"/>
    <w:qFormat/>
    <w:uiPriority w:val="0"/>
    <w:rPr>
      <w:rFonts w:ascii="Times New Roman" w:hAnsi="Times New Roman"/>
      <w:szCs w:val="20"/>
    </w:rPr>
  </w:style>
  <w:style w:type="paragraph" w:customStyle="1" w:styleId="7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72">
    <w:name w:val="InfoBlue"/>
    <w:basedOn w:val="1"/>
    <w:qFormat/>
    <w:uiPriority w:val="0"/>
    <w:pPr>
      <w:tabs>
        <w:tab w:val="left" w:pos="420"/>
      </w:tabs>
      <w:spacing w:after="120" w:line="240" w:lineRule="atLeast"/>
      <w:ind w:left="420" w:hanging="420"/>
      <w:jc w:val="left"/>
    </w:pPr>
    <w:rPr>
      <w:rFonts w:ascii="宋体" w:hAnsi="宋体"/>
      <w:szCs w:val="20"/>
    </w:rPr>
  </w:style>
  <w:style w:type="paragraph" w:customStyle="1" w:styleId="73">
    <w:name w:val="unnamed1"/>
    <w:basedOn w:val="1"/>
    <w:qFormat/>
    <w:uiPriority w:val="0"/>
    <w:pPr>
      <w:spacing w:before="60" w:after="60"/>
      <w:ind w:left="15" w:right="15"/>
    </w:pPr>
    <w:rPr>
      <w:rFonts w:hint="eastAsia" w:ascii="宋体" w:hAnsi="宋体"/>
      <w:color w:val="000000"/>
      <w:sz w:val="18"/>
      <w:szCs w:val="18"/>
    </w:rPr>
  </w:style>
  <w:style w:type="paragraph" w:customStyle="1" w:styleId="74">
    <w:name w:val="Char Char4"/>
    <w:basedOn w:val="1"/>
    <w:qFormat/>
    <w:uiPriority w:val="0"/>
    <w:rPr>
      <w:rFonts w:ascii="Times New Roman" w:hAnsi="Times New Roman"/>
      <w:szCs w:val="20"/>
    </w:rPr>
  </w:style>
  <w:style w:type="paragraph" w:customStyle="1" w:styleId="75">
    <w:name w:val="Char Char3"/>
    <w:basedOn w:val="1"/>
    <w:qFormat/>
    <w:uiPriority w:val="0"/>
    <w:rPr>
      <w:rFonts w:ascii="Times New Roman" w:hAnsi="Times New Roman"/>
      <w:szCs w:val="20"/>
    </w:rPr>
  </w:style>
  <w:style w:type="paragraph" w:customStyle="1" w:styleId="76">
    <w:name w:val="HD正文"/>
    <w:basedOn w:val="1"/>
    <w:qFormat/>
    <w:uiPriority w:val="0"/>
    <w:pPr>
      <w:snapToGrid w:val="0"/>
      <w:spacing w:line="360" w:lineRule="auto"/>
      <w:ind w:firstLine="420" w:firstLineChars="200"/>
    </w:pPr>
    <w:rPr>
      <w:rFonts w:ascii="Times New Roman" w:hAnsi="Times New Roman"/>
      <w:szCs w:val="21"/>
    </w:rPr>
  </w:style>
  <w:style w:type="paragraph" w:customStyle="1" w:styleId="77">
    <w:name w:val="Char Char2"/>
    <w:basedOn w:val="1"/>
    <w:qFormat/>
    <w:uiPriority w:val="0"/>
    <w:rPr>
      <w:rFonts w:ascii="Times New Roman" w:hAnsi="Times New Roman"/>
      <w:szCs w:val="20"/>
    </w:rPr>
  </w:style>
  <w:style w:type="paragraph" w:customStyle="1" w:styleId="78">
    <w:name w:val="Char1"/>
    <w:basedOn w:val="1"/>
    <w:qFormat/>
    <w:uiPriority w:val="0"/>
    <w:rPr>
      <w:rFonts w:ascii="Times New Roman" w:hAnsi="Times New Roman"/>
      <w:szCs w:val="20"/>
    </w:rPr>
  </w:style>
  <w:style w:type="paragraph" w:customStyle="1" w:styleId="79">
    <w:name w:val="Char Char Char1"/>
    <w:basedOn w:val="1"/>
    <w:qFormat/>
    <w:uiPriority w:val="0"/>
    <w:rPr>
      <w:rFonts w:ascii="Times New Roman" w:hAnsi="Times New Roman"/>
      <w:szCs w:val="20"/>
    </w:rPr>
  </w:style>
  <w:style w:type="paragraph" w:customStyle="1" w:styleId="80">
    <w:name w:val="Char Char Char Char1"/>
    <w:basedOn w:val="1"/>
    <w:qFormat/>
    <w:uiPriority w:val="0"/>
    <w:pPr>
      <w:tabs>
        <w:tab w:val="left" w:pos="360"/>
      </w:tabs>
    </w:pPr>
    <w:rPr>
      <w:rFonts w:ascii="Times New Roman" w:hAnsi="Times New Roman"/>
      <w:szCs w:val="20"/>
    </w:rPr>
  </w:style>
  <w:style w:type="paragraph" w:customStyle="1" w:styleId="81">
    <w:name w:val="Char Char11"/>
    <w:basedOn w:val="1"/>
    <w:qFormat/>
    <w:uiPriority w:val="0"/>
    <w:rPr>
      <w:rFonts w:ascii="Times New Roman" w:hAnsi="Times New Roman"/>
      <w:szCs w:val="20"/>
    </w:rPr>
  </w:style>
  <w:style w:type="character" w:customStyle="1" w:styleId="82">
    <w:name w:val="grame"/>
    <w:basedOn w:val="29"/>
    <w:qFormat/>
    <w:uiPriority w:val="0"/>
  </w:style>
  <w:style w:type="character" w:customStyle="1" w:styleId="83">
    <w:name w:val="页眉 字符"/>
    <w:basedOn w:val="29"/>
    <w:link w:val="20"/>
    <w:qFormat/>
    <w:uiPriority w:val="0"/>
    <w:rPr>
      <w:kern w:val="2"/>
      <w:sz w:val="18"/>
      <w:szCs w:val="18"/>
    </w:rPr>
  </w:style>
  <w:style w:type="character" w:customStyle="1" w:styleId="84">
    <w:name w:val="批注主题 字符"/>
    <w:basedOn w:val="48"/>
    <w:link w:val="27"/>
    <w:qFormat/>
    <w:uiPriority w:val="0"/>
    <w:rPr>
      <w:b/>
      <w:bCs/>
      <w:kern w:val="2"/>
      <w:sz w:val="21"/>
      <w:szCs w:val="22"/>
    </w:rPr>
  </w:style>
  <w:style w:type="paragraph" w:customStyle="1" w:styleId="85">
    <w:name w:val="修订1"/>
    <w:hidden/>
    <w:semiHidden/>
    <w:qFormat/>
    <w:uiPriority w:val="99"/>
    <w:rPr>
      <w:rFonts w:ascii="Calibri" w:hAnsi="Calibri" w:eastAsia="宋体" w:cs="Times New Roman"/>
      <w:kern w:val="2"/>
      <w:sz w:val="21"/>
      <w:szCs w:val="22"/>
      <w:lang w:val="en-US" w:eastAsia="zh-CN" w:bidi="ar-SA"/>
    </w:rPr>
  </w:style>
  <w:style w:type="paragraph" w:customStyle="1" w:styleId="86">
    <w:name w:val="修订2"/>
    <w:hidden/>
    <w:semiHidden/>
    <w:qFormat/>
    <w:uiPriority w:val="99"/>
    <w:rPr>
      <w:rFonts w:ascii="Calibri" w:hAnsi="Calibri" w:eastAsia="宋体" w:cs="Times New Roman"/>
      <w:kern w:val="2"/>
      <w:sz w:val="21"/>
      <w:szCs w:val="22"/>
      <w:lang w:val="en-US" w:eastAsia="zh-CN" w:bidi="ar-SA"/>
    </w:rPr>
  </w:style>
  <w:style w:type="paragraph" w:customStyle="1" w:styleId="87">
    <w:name w:val="修订3"/>
    <w:hidden/>
    <w:semiHidden/>
    <w:qFormat/>
    <w:uiPriority w:val="99"/>
    <w:rPr>
      <w:rFonts w:ascii="Calibri" w:hAnsi="Calibri" w:eastAsia="宋体" w:cs="Times New Roman"/>
      <w:kern w:val="2"/>
      <w:sz w:val="21"/>
      <w:szCs w:val="22"/>
      <w:lang w:val="en-US" w:eastAsia="zh-CN" w:bidi="ar-SA"/>
    </w:rPr>
  </w:style>
  <w:style w:type="character" w:customStyle="1" w:styleId="88">
    <w:name w:val="正文文本 Char1"/>
    <w:basedOn w:val="29"/>
    <w:semiHidden/>
    <w:qFormat/>
    <w:uiPriority w:val="0"/>
    <w:rPr>
      <w:kern w:val="2"/>
      <w:sz w:val="21"/>
      <w:szCs w:val="22"/>
    </w:rPr>
  </w:style>
  <w:style w:type="character" w:customStyle="1" w:styleId="89">
    <w:name w:val="文档结构图 字符"/>
    <w:basedOn w:val="29"/>
    <w:link w:val="12"/>
    <w:qFormat/>
    <w:uiPriority w:val="0"/>
    <w:rPr>
      <w:rFonts w:ascii="Times New Roman" w:hAnsi="Times New Roman"/>
      <w:kern w:val="2"/>
      <w:sz w:val="21"/>
      <w:shd w:val="clear" w:color="auto" w:fill="000080"/>
    </w:rPr>
  </w:style>
  <w:style w:type="character" w:customStyle="1" w:styleId="90">
    <w:name w:val="正文文本缩进 2 字符"/>
    <w:basedOn w:val="29"/>
    <w:link w:val="17"/>
    <w:qFormat/>
    <w:uiPriority w:val="0"/>
    <w:rPr>
      <w:rFonts w:ascii="仿宋_GB2312" w:hAnsi="Times New Roman" w:eastAsia="仿宋_GB2312"/>
      <w:kern w:val="2"/>
      <w:sz w:val="28"/>
    </w:rPr>
  </w:style>
  <w:style w:type="character" w:customStyle="1" w:styleId="91">
    <w:name w:val="正文文本缩进 3 字符"/>
    <w:basedOn w:val="29"/>
    <w:link w:val="23"/>
    <w:qFormat/>
    <w:uiPriority w:val="0"/>
    <w:rPr>
      <w:rFonts w:ascii="Times New Roman" w:hAnsi="Times New Roman"/>
      <w:color w:val="0000FF"/>
      <w:kern w:val="2"/>
      <w:sz w:val="21"/>
    </w:rPr>
  </w:style>
  <w:style w:type="paragraph" w:customStyle="1" w:styleId="92">
    <w:name w:val="Char Char12"/>
    <w:basedOn w:val="1"/>
    <w:qFormat/>
    <w:uiPriority w:val="0"/>
    <w:rPr>
      <w:rFonts w:ascii="Times New Roman" w:hAnsi="Times New Roman"/>
      <w:szCs w:val="20"/>
    </w:rPr>
  </w:style>
  <w:style w:type="paragraph" w:customStyle="1" w:styleId="93">
    <w:name w:val="Char3"/>
    <w:basedOn w:val="1"/>
    <w:qFormat/>
    <w:uiPriority w:val="0"/>
    <w:rPr>
      <w:rFonts w:ascii="Times New Roman" w:hAnsi="Times New Roman"/>
      <w:szCs w:val="20"/>
    </w:rPr>
  </w:style>
  <w:style w:type="paragraph" w:customStyle="1" w:styleId="94">
    <w:name w:val="正文正文"/>
    <w:basedOn w:val="1"/>
    <w:qFormat/>
    <w:uiPriority w:val="0"/>
    <w:pPr>
      <w:spacing w:after="78" w:afterLines="25" w:line="360" w:lineRule="auto"/>
      <w:ind w:firstLine="200" w:firstLineChars="200"/>
    </w:pPr>
    <w:rPr>
      <w:rFonts w:ascii="Times New Roman" w:hAnsi="Times New Roman"/>
      <w:sz w:val="24"/>
      <w:szCs w:val="20"/>
    </w:rPr>
  </w:style>
  <w:style w:type="paragraph" w:customStyle="1" w:styleId="95">
    <w:name w:val="List_bullet"/>
    <w:basedOn w:val="1"/>
    <w:qFormat/>
    <w:uiPriority w:val="0"/>
    <w:pPr>
      <w:widowControl/>
      <w:tabs>
        <w:tab w:val="left" w:pos="360"/>
      </w:tabs>
      <w:jc w:val="left"/>
    </w:pPr>
    <w:rPr>
      <w:rFonts w:ascii="Times New Roman" w:hAnsi="Times New Roman"/>
      <w:kern w:val="0"/>
      <w:sz w:val="24"/>
      <w:szCs w:val="20"/>
    </w:rPr>
  </w:style>
  <w:style w:type="paragraph" w:customStyle="1" w:styleId="96">
    <w:name w:val="Char Char Char3"/>
    <w:basedOn w:val="1"/>
    <w:qFormat/>
    <w:uiPriority w:val="0"/>
    <w:rPr>
      <w:rFonts w:ascii="Times New Roman" w:hAnsi="Times New Roman"/>
      <w:szCs w:val="20"/>
    </w:rPr>
  </w:style>
  <w:style w:type="paragraph" w:customStyle="1" w:styleId="97">
    <w:name w:val="正文所"/>
    <w:basedOn w:val="1"/>
    <w:qFormat/>
    <w:uiPriority w:val="0"/>
    <w:pPr>
      <w:spacing w:line="360" w:lineRule="auto"/>
      <w:ind w:firstLine="420" w:firstLineChars="200"/>
    </w:pPr>
    <w:rPr>
      <w:rFonts w:ascii="宋体" w:hAnsi="Times New Roman"/>
      <w:szCs w:val="20"/>
    </w:rPr>
  </w:style>
  <w:style w:type="paragraph" w:customStyle="1" w:styleId="98">
    <w:name w:val="修订4"/>
    <w:hidden/>
    <w:semiHidden/>
    <w:qFormat/>
    <w:uiPriority w:val="99"/>
    <w:rPr>
      <w:rFonts w:ascii="Calibri" w:hAnsi="Calibri" w:eastAsia="宋体" w:cs="Times New Roman"/>
      <w:kern w:val="2"/>
      <w:sz w:val="21"/>
      <w:szCs w:val="22"/>
      <w:lang w:val="en-US" w:eastAsia="zh-CN" w:bidi="ar-SA"/>
    </w:rPr>
  </w:style>
  <w:style w:type="character" w:customStyle="1" w:styleId="99">
    <w:name w:val="title4"/>
    <w:basedOn w:val="29"/>
    <w:qFormat/>
    <w:uiPriority w:val="0"/>
  </w:style>
  <w:style w:type="character" w:customStyle="1" w:styleId="100">
    <w:name w:val="highlight1"/>
    <w:basedOn w:val="29"/>
    <w:qFormat/>
    <w:uiPriority w:val="0"/>
    <w:rPr>
      <w:color w:val="DD4B39"/>
    </w:rPr>
  </w:style>
  <w:style w:type="paragraph" w:customStyle="1" w:styleId="101">
    <w:name w:val="修订5"/>
    <w:hidden/>
    <w:semiHidden/>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theme" Target="theme/theme1.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header" Target="header1.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91</Pages>
  <Words>71058</Words>
  <Characters>71723</Characters>
  <Lines>525</Lines>
  <Paragraphs>147</Paragraphs>
  <TotalTime>2</TotalTime>
  <ScaleCrop>false</ScaleCrop>
  <LinksUpToDate>false</LinksUpToDate>
  <CharactersWithSpaces>71933</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2021-01-20T06:00:00Z</dcterms:created>
  <dc:creator>liush</dc:creator>
  <cp:lastModifiedBy>tangl</cp:lastModifiedBy>
  <cp:lastPrinted>2021-01-26T02:08:00Z</cp:lastPrinted>
  <dcterms:modified xsi:type="dcterms:W3CDTF">2026-09-24T01:52:44Z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contractId">
    <vt:lpwstr>8ad66bbe17e94d1c9f15e64eec6d06ab</vt:lpwstr>
  </property>
  <property fmtid="{D5CDD505-2E9C-101B-9397-08002B2CF9AE}" pid="4" name="verificationId">
    <vt:lpwstr>a093d8d956223fbc</vt:lpwstr>
  </property>
  <property fmtid="{D5CDD505-2E9C-101B-9397-08002B2CF9AE}" pid="5" name="ICV">
    <vt:lpwstr>582F23F4615A45E7BBB2221176EE5C0B_12</vt:lpwstr>
  </property>
</Properties>
</file>