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5C89F">
      <w:pPr>
        <w:spacing w:line="360" w:lineRule="auto"/>
        <w:jc w:val="center"/>
        <w:rPr>
          <w:rFonts w:hint="eastAsia" w:ascii="宋体" w:hAnsi="宋体" w:eastAsia="宋体"/>
          <w:b/>
          <w:sz w:val="30"/>
        </w:rPr>
      </w:pPr>
      <w:r>
        <w:rPr>
          <w:rFonts w:hint="eastAsia" w:ascii="宋体" w:hAnsi="宋体" w:eastAsia="宋体"/>
          <w:b/>
          <w:sz w:val="30"/>
        </w:rPr>
        <w:t>博时国证新能源电池指数型证券投资基金基金合同生效公告</w:t>
      </w:r>
    </w:p>
    <w:p w14:paraId="211ED049">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2026年6月2</w:t>
      </w:r>
      <w:r>
        <w:rPr>
          <w:rFonts w:hint="eastAsia" w:ascii="宋体" w:hAnsi="宋体" w:eastAsia="宋体"/>
          <w:b/>
          <w:sz w:val="24"/>
          <w:lang w:val="en-US" w:eastAsia="zh-CN"/>
        </w:rPr>
        <w:t>7</w:t>
      </w:r>
      <w:r>
        <w:rPr>
          <w:rFonts w:ascii="宋体" w:hAnsi="宋体" w:eastAsia="宋体"/>
          <w:b/>
          <w:sz w:val="24"/>
        </w:rPr>
        <w:t>日</w:t>
      </w:r>
    </w:p>
    <w:p w14:paraId="58F29918">
      <w:pPr>
        <w:spacing w:line="360" w:lineRule="auto"/>
        <w:jc w:val="center"/>
        <w:rPr>
          <w:rFonts w:ascii="宋体" w:hAnsi="宋体" w:eastAsia="宋体"/>
          <w:b/>
          <w:sz w:val="24"/>
        </w:rPr>
      </w:pPr>
    </w:p>
    <w:p w14:paraId="5E0087F9">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2800"/>
        <w:gridCol w:w="2800"/>
      </w:tblGrid>
      <w:tr w14:paraId="2BBE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4553B1B">
            <w:pPr>
              <w:rPr>
                <w:rFonts w:ascii="宋体" w:hAnsi="宋体" w:eastAsia="宋体"/>
              </w:rPr>
            </w:pPr>
            <w:r>
              <w:rPr>
                <w:rFonts w:hint="eastAsia" w:ascii="宋体" w:hAnsi="宋体" w:eastAsia="宋体"/>
              </w:rPr>
              <w:t>基金名称</w:t>
            </w:r>
          </w:p>
        </w:tc>
        <w:tc>
          <w:tcPr>
            <w:tcW w:w="5600" w:type="dxa"/>
            <w:gridSpan w:val="2"/>
            <w:vAlign w:val="center"/>
          </w:tcPr>
          <w:p w14:paraId="462528A7">
            <w:pPr>
              <w:rPr>
                <w:rFonts w:ascii="宋体" w:hAnsi="宋体" w:eastAsia="宋体"/>
              </w:rPr>
            </w:pPr>
            <w:r>
              <w:rPr>
                <w:rFonts w:hint="eastAsia" w:ascii="宋体" w:hAnsi="宋体" w:eastAsia="宋体"/>
              </w:rPr>
              <w:t>博时国证新能源电池指数型证券投资基金</w:t>
            </w:r>
          </w:p>
        </w:tc>
      </w:tr>
      <w:tr w14:paraId="2219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08F1B83D">
            <w:pPr>
              <w:rPr>
                <w:rFonts w:ascii="宋体" w:hAnsi="宋体" w:eastAsia="宋体"/>
              </w:rPr>
            </w:pPr>
            <w:r>
              <w:rPr>
                <w:rFonts w:hint="eastAsia" w:ascii="宋体" w:hAnsi="宋体" w:eastAsia="宋体"/>
              </w:rPr>
              <w:t>基金简称</w:t>
            </w:r>
          </w:p>
        </w:tc>
        <w:tc>
          <w:tcPr>
            <w:tcW w:w="5600" w:type="dxa"/>
            <w:gridSpan w:val="2"/>
            <w:vAlign w:val="center"/>
          </w:tcPr>
          <w:p w14:paraId="52EBCCFF">
            <w:pPr>
              <w:rPr>
                <w:rFonts w:ascii="宋体" w:hAnsi="宋体" w:eastAsia="宋体"/>
              </w:rPr>
            </w:pPr>
            <w:r>
              <w:rPr>
                <w:rFonts w:hint="eastAsia" w:ascii="宋体" w:hAnsi="宋体" w:eastAsia="宋体"/>
              </w:rPr>
              <w:t>博时国证新能源电池指数</w:t>
            </w:r>
          </w:p>
        </w:tc>
      </w:tr>
      <w:tr w14:paraId="385D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B4E3D35">
            <w:pPr>
              <w:rPr>
                <w:rFonts w:ascii="宋体" w:hAnsi="宋体" w:eastAsia="宋体"/>
              </w:rPr>
            </w:pPr>
            <w:r>
              <w:rPr>
                <w:rFonts w:hint="eastAsia" w:ascii="宋体" w:hAnsi="宋体" w:eastAsia="宋体"/>
              </w:rPr>
              <w:t>基金主代码</w:t>
            </w:r>
          </w:p>
        </w:tc>
        <w:tc>
          <w:tcPr>
            <w:tcW w:w="5600" w:type="dxa"/>
            <w:gridSpan w:val="2"/>
            <w:vAlign w:val="center"/>
          </w:tcPr>
          <w:p w14:paraId="28663392">
            <w:pPr>
              <w:rPr>
                <w:rFonts w:ascii="宋体" w:hAnsi="宋体" w:eastAsia="宋体"/>
              </w:rPr>
            </w:pPr>
            <w:r>
              <w:rPr>
                <w:rFonts w:ascii="宋体" w:hAnsi="宋体" w:eastAsia="宋体"/>
              </w:rPr>
              <w:t>027418</w:t>
            </w:r>
          </w:p>
        </w:tc>
      </w:tr>
      <w:tr w14:paraId="2AE8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5787B45">
            <w:pPr>
              <w:rPr>
                <w:rFonts w:ascii="宋体" w:hAnsi="宋体" w:eastAsia="宋体"/>
              </w:rPr>
            </w:pPr>
            <w:r>
              <w:rPr>
                <w:rFonts w:hint="eastAsia" w:ascii="宋体" w:hAnsi="宋体" w:eastAsia="宋体"/>
              </w:rPr>
              <w:t>基金运作方式</w:t>
            </w:r>
          </w:p>
        </w:tc>
        <w:tc>
          <w:tcPr>
            <w:tcW w:w="5600" w:type="dxa"/>
            <w:gridSpan w:val="2"/>
            <w:vAlign w:val="center"/>
          </w:tcPr>
          <w:p w14:paraId="3DD17D66">
            <w:pPr>
              <w:rPr>
                <w:rFonts w:ascii="宋体" w:hAnsi="宋体" w:eastAsia="宋体"/>
              </w:rPr>
            </w:pPr>
            <w:r>
              <w:rPr>
                <w:rFonts w:hint="eastAsia" w:ascii="宋体" w:hAnsi="宋体" w:eastAsia="宋体"/>
              </w:rPr>
              <w:t>契约型开放式</w:t>
            </w:r>
          </w:p>
        </w:tc>
      </w:tr>
      <w:tr w14:paraId="2EBA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3877053A">
            <w:pPr>
              <w:rPr>
                <w:rFonts w:ascii="宋体" w:hAnsi="宋体" w:eastAsia="宋体"/>
              </w:rPr>
            </w:pPr>
            <w:r>
              <w:rPr>
                <w:rFonts w:hint="eastAsia" w:ascii="宋体" w:hAnsi="宋体" w:eastAsia="宋体"/>
              </w:rPr>
              <w:t>基金合同生效日</w:t>
            </w:r>
          </w:p>
        </w:tc>
        <w:tc>
          <w:tcPr>
            <w:tcW w:w="5600" w:type="dxa"/>
            <w:gridSpan w:val="2"/>
            <w:vAlign w:val="center"/>
          </w:tcPr>
          <w:p w14:paraId="6A32F2CC">
            <w:pPr>
              <w:rPr>
                <w:rFonts w:ascii="宋体" w:hAnsi="宋体" w:eastAsia="宋体"/>
              </w:rPr>
            </w:pPr>
            <w:r>
              <w:rPr>
                <w:rFonts w:ascii="宋体" w:hAnsi="宋体" w:eastAsia="宋体"/>
              </w:rPr>
              <w:t>2026年6月26日</w:t>
            </w:r>
          </w:p>
        </w:tc>
      </w:tr>
      <w:tr w14:paraId="0F93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092ECB0">
            <w:pPr>
              <w:rPr>
                <w:rFonts w:ascii="宋体" w:hAnsi="宋体" w:eastAsia="宋体"/>
              </w:rPr>
            </w:pPr>
            <w:r>
              <w:rPr>
                <w:rFonts w:hint="eastAsia" w:ascii="宋体" w:hAnsi="宋体" w:eastAsia="宋体"/>
              </w:rPr>
              <w:t>基金管理人名称</w:t>
            </w:r>
          </w:p>
        </w:tc>
        <w:tc>
          <w:tcPr>
            <w:tcW w:w="5600" w:type="dxa"/>
            <w:gridSpan w:val="2"/>
            <w:vAlign w:val="center"/>
          </w:tcPr>
          <w:p w14:paraId="681B1BE4">
            <w:pPr>
              <w:rPr>
                <w:rFonts w:ascii="宋体" w:hAnsi="宋体" w:eastAsia="宋体"/>
              </w:rPr>
            </w:pPr>
            <w:r>
              <w:rPr>
                <w:rFonts w:hint="eastAsia" w:ascii="宋体" w:hAnsi="宋体" w:eastAsia="宋体"/>
              </w:rPr>
              <w:t>博时基金管理有限公司</w:t>
            </w:r>
          </w:p>
        </w:tc>
      </w:tr>
      <w:tr w14:paraId="132A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2ABEB97A">
            <w:pPr>
              <w:rPr>
                <w:rFonts w:ascii="宋体" w:hAnsi="宋体" w:eastAsia="宋体"/>
              </w:rPr>
            </w:pPr>
            <w:r>
              <w:rPr>
                <w:rFonts w:hint="eastAsia" w:ascii="宋体" w:hAnsi="宋体" w:eastAsia="宋体"/>
              </w:rPr>
              <w:t>基金托管人名称</w:t>
            </w:r>
          </w:p>
        </w:tc>
        <w:tc>
          <w:tcPr>
            <w:tcW w:w="5600" w:type="dxa"/>
            <w:gridSpan w:val="2"/>
            <w:vAlign w:val="center"/>
          </w:tcPr>
          <w:p w14:paraId="0ADA0EC0">
            <w:pPr>
              <w:rPr>
                <w:rFonts w:ascii="宋体" w:hAnsi="宋体" w:eastAsia="宋体"/>
              </w:rPr>
            </w:pPr>
            <w:r>
              <w:rPr>
                <w:rFonts w:hint="eastAsia" w:ascii="宋体" w:hAnsi="宋体" w:eastAsia="宋体"/>
              </w:rPr>
              <w:t>交通银行股份有限公司</w:t>
            </w:r>
          </w:p>
        </w:tc>
      </w:tr>
      <w:tr w14:paraId="6E50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3B7EA085">
            <w:pPr>
              <w:rPr>
                <w:rFonts w:ascii="宋体" w:hAnsi="宋体" w:eastAsia="宋体"/>
              </w:rPr>
            </w:pPr>
            <w:r>
              <w:rPr>
                <w:rFonts w:hint="eastAsia" w:ascii="宋体" w:hAnsi="宋体" w:eastAsia="宋体"/>
              </w:rPr>
              <w:t>公告依据</w:t>
            </w:r>
          </w:p>
        </w:tc>
        <w:tc>
          <w:tcPr>
            <w:tcW w:w="5600" w:type="dxa"/>
            <w:gridSpan w:val="2"/>
            <w:vAlign w:val="center"/>
          </w:tcPr>
          <w:p w14:paraId="49388E27">
            <w:pPr>
              <w:rPr>
                <w:rFonts w:ascii="宋体" w:hAnsi="宋体" w:eastAsia="宋体"/>
              </w:rPr>
            </w:pPr>
            <w:r>
              <w:rPr>
                <w:rFonts w:hint="eastAsia" w:ascii="宋体" w:hAnsi="宋体" w:eastAsia="宋体"/>
              </w:rPr>
              <w:t>《博时国证新能源电池指数型证券投资基金基金合同》、《博时国证新能源电池指数型证券投资基金招募说明书》等</w:t>
            </w:r>
          </w:p>
        </w:tc>
      </w:tr>
      <w:tr w14:paraId="30D6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57A4C4E">
            <w:pPr>
              <w:rPr>
                <w:rFonts w:ascii="宋体" w:hAnsi="宋体" w:eastAsia="宋体"/>
              </w:rPr>
            </w:pPr>
            <w:r>
              <w:rPr>
                <w:rFonts w:hint="eastAsia" w:ascii="宋体" w:hAnsi="宋体" w:eastAsia="宋体"/>
              </w:rPr>
              <w:t>下属基金份额的基金简称</w:t>
            </w:r>
          </w:p>
        </w:tc>
        <w:tc>
          <w:tcPr>
            <w:tcW w:w="2800" w:type="dxa"/>
            <w:vAlign w:val="center"/>
          </w:tcPr>
          <w:p w14:paraId="20F43538">
            <w:pPr>
              <w:rPr>
                <w:rFonts w:ascii="宋体" w:hAnsi="宋体" w:eastAsia="宋体"/>
              </w:rPr>
            </w:pPr>
            <w:r>
              <w:rPr>
                <w:rFonts w:hint="eastAsia" w:ascii="宋体" w:hAnsi="宋体" w:eastAsia="宋体"/>
              </w:rPr>
              <w:t>博时国证新能源电池指数</w:t>
            </w:r>
            <w:r>
              <w:rPr>
                <w:rFonts w:ascii="宋体" w:hAnsi="宋体" w:eastAsia="宋体"/>
              </w:rPr>
              <w:t>A</w:t>
            </w:r>
          </w:p>
        </w:tc>
        <w:tc>
          <w:tcPr>
            <w:tcW w:w="2800" w:type="dxa"/>
            <w:vAlign w:val="center"/>
          </w:tcPr>
          <w:p w14:paraId="1E563449">
            <w:pPr>
              <w:rPr>
                <w:rFonts w:ascii="宋体" w:hAnsi="宋体" w:eastAsia="宋体"/>
              </w:rPr>
            </w:pPr>
            <w:r>
              <w:rPr>
                <w:rFonts w:hint="eastAsia" w:ascii="宋体" w:hAnsi="宋体" w:eastAsia="宋体"/>
              </w:rPr>
              <w:t>博时国证新能源电池指数</w:t>
            </w:r>
            <w:r>
              <w:rPr>
                <w:rFonts w:ascii="宋体" w:hAnsi="宋体" w:eastAsia="宋体"/>
              </w:rPr>
              <w:t>C</w:t>
            </w:r>
          </w:p>
        </w:tc>
      </w:tr>
      <w:tr w14:paraId="7EAE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D2764D4">
            <w:pPr>
              <w:rPr>
                <w:rFonts w:ascii="宋体" w:hAnsi="宋体" w:eastAsia="宋体"/>
              </w:rPr>
            </w:pPr>
            <w:r>
              <w:rPr>
                <w:rFonts w:hint="eastAsia" w:ascii="宋体" w:hAnsi="宋体" w:eastAsia="宋体"/>
              </w:rPr>
              <w:t>下属基金份额的交易代码</w:t>
            </w:r>
          </w:p>
        </w:tc>
        <w:tc>
          <w:tcPr>
            <w:tcW w:w="2800" w:type="dxa"/>
            <w:vAlign w:val="center"/>
          </w:tcPr>
          <w:p w14:paraId="6DE5CBEA">
            <w:pPr>
              <w:rPr>
                <w:rFonts w:ascii="宋体" w:hAnsi="宋体" w:eastAsia="宋体"/>
              </w:rPr>
            </w:pPr>
            <w:r>
              <w:rPr>
                <w:rFonts w:ascii="宋体" w:hAnsi="宋体" w:eastAsia="宋体"/>
              </w:rPr>
              <w:t>027418</w:t>
            </w:r>
          </w:p>
        </w:tc>
        <w:tc>
          <w:tcPr>
            <w:tcW w:w="2800" w:type="dxa"/>
            <w:vAlign w:val="center"/>
          </w:tcPr>
          <w:p w14:paraId="04FC9288">
            <w:pPr>
              <w:rPr>
                <w:rFonts w:ascii="宋体" w:hAnsi="宋体" w:eastAsia="宋体"/>
              </w:rPr>
            </w:pPr>
            <w:r>
              <w:rPr>
                <w:rFonts w:ascii="宋体" w:hAnsi="宋体" w:eastAsia="宋体"/>
              </w:rPr>
              <w:t>027419</w:t>
            </w:r>
          </w:p>
        </w:tc>
      </w:tr>
    </w:tbl>
    <w:p w14:paraId="3B431357">
      <w:pPr>
        <w:rPr>
          <w:rFonts w:ascii="宋体" w:hAnsi="宋体" w:eastAsia="宋体"/>
          <w:b/>
        </w:rPr>
      </w:pPr>
    </w:p>
    <w:p w14:paraId="23D74702">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1720"/>
        <w:gridCol w:w="1720"/>
        <w:gridCol w:w="1720"/>
      </w:tblGrid>
      <w:tr w14:paraId="4258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1CA15DC">
            <w:pPr>
              <w:rPr>
                <w:rFonts w:ascii="宋体" w:hAnsi="宋体" w:eastAsia="宋体"/>
              </w:rPr>
            </w:pPr>
            <w:r>
              <w:rPr>
                <w:rFonts w:hint="eastAsia" w:ascii="宋体" w:hAnsi="宋体" w:eastAsia="宋体"/>
              </w:rPr>
              <w:t>基金募集申请获中国证监会核准的文号</w:t>
            </w:r>
          </w:p>
        </w:tc>
        <w:tc>
          <w:tcPr>
            <w:tcW w:w="5160" w:type="dxa"/>
            <w:gridSpan w:val="3"/>
            <w:vAlign w:val="center"/>
          </w:tcPr>
          <w:p w14:paraId="3C0D2332">
            <w:pPr>
              <w:rPr>
                <w:rFonts w:ascii="宋体" w:hAnsi="宋体" w:eastAsia="宋体"/>
              </w:rPr>
            </w:pPr>
            <w:r>
              <w:rPr>
                <w:rFonts w:hint="eastAsia" w:ascii="宋体" w:hAnsi="宋体" w:eastAsia="宋体"/>
              </w:rPr>
              <w:t>证监许可</w:t>
            </w:r>
            <w:r>
              <w:rPr>
                <w:rFonts w:ascii="宋体" w:hAnsi="宋体" w:eastAsia="宋体"/>
              </w:rPr>
              <w:t>[2026]898号</w:t>
            </w:r>
          </w:p>
        </w:tc>
      </w:tr>
      <w:tr w14:paraId="7BF5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38D8EB5">
            <w:pPr>
              <w:rPr>
                <w:rFonts w:ascii="宋体" w:hAnsi="宋体" w:eastAsia="宋体"/>
              </w:rPr>
            </w:pPr>
            <w:r>
              <w:rPr>
                <w:rFonts w:hint="eastAsia" w:ascii="宋体" w:hAnsi="宋体" w:eastAsia="宋体"/>
              </w:rPr>
              <w:t>基金募集期间</w:t>
            </w:r>
          </w:p>
        </w:tc>
        <w:tc>
          <w:tcPr>
            <w:tcW w:w="5160" w:type="dxa"/>
            <w:gridSpan w:val="3"/>
            <w:vAlign w:val="center"/>
          </w:tcPr>
          <w:p w14:paraId="123ABE47">
            <w:pPr>
              <w:rPr>
                <w:rFonts w:ascii="宋体" w:hAnsi="宋体" w:eastAsia="宋体"/>
              </w:rPr>
            </w:pPr>
            <w:r>
              <w:rPr>
                <w:rFonts w:hint="eastAsia" w:ascii="宋体" w:hAnsi="宋体" w:eastAsia="宋体"/>
              </w:rPr>
              <w:t>自</w:t>
            </w:r>
            <w:r>
              <w:rPr>
                <w:rFonts w:ascii="宋体" w:hAnsi="宋体" w:eastAsia="宋体"/>
              </w:rPr>
              <w:t>2026年6月3日至2026年6月24日止</w:t>
            </w:r>
          </w:p>
        </w:tc>
      </w:tr>
      <w:tr w14:paraId="0F3B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A733BB4">
            <w:pPr>
              <w:rPr>
                <w:rFonts w:ascii="宋体" w:hAnsi="宋体" w:eastAsia="宋体"/>
              </w:rPr>
            </w:pPr>
            <w:r>
              <w:rPr>
                <w:rFonts w:hint="eastAsia" w:ascii="宋体" w:hAnsi="宋体" w:eastAsia="宋体"/>
              </w:rPr>
              <w:t>验资机构名称</w:t>
            </w:r>
          </w:p>
        </w:tc>
        <w:tc>
          <w:tcPr>
            <w:tcW w:w="5160" w:type="dxa"/>
            <w:gridSpan w:val="3"/>
            <w:vAlign w:val="center"/>
          </w:tcPr>
          <w:p w14:paraId="046FD13A">
            <w:pPr>
              <w:rPr>
                <w:rFonts w:ascii="宋体" w:hAnsi="宋体" w:eastAsia="宋体"/>
              </w:rPr>
            </w:pPr>
            <w:r>
              <w:rPr>
                <w:rFonts w:hint="eastAsia" w:ascii="宋体" w:hAnsi="宋体" w:eastAsia="宋体"/>
              </w:rPr>
              <w:t>安永华明会计师事务所（特殊普通合伙）</w:t>
            </w:r>
          </w:p>
        </w:tc>
      </w:tr>
      <w:tr w14:paraId="1224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C706FDC">
            <w:pPr>
              <w:rPr>
                <w:rFonts w:ascii="宋体" w:hAnsi="宋体" w:eastAsia="宋体"/>
              </w:rPr>
            </w:pPr>
            <w:r>
              <w:rPr>
                <w:rFonts w:hint="eastAsia" w:ascii="宋体" w:hAnsi="宋体" w:eastAsia="宋体"/>
              </w:rPr>
              <w:t>募集资金划入基金托管专户的日期</w:t>
            </w:r>
          </w:p>
        </w:tc>
        <w:tc>
          <w:tcPr>
            <w:tcW w:w="5160" w:type="dxa"/>
            <w:gridSpan w:val="3"/>
            <w:vAlign w:val="center"/>
          </w:tcPr>
          <w:p w14:paraId="64FC8939">
            <w:pPr>
              <w:rPr>
                <w:rFonts w:ascii="宋体" w:hAnsi="宋体" w:eastAsia="宋体"/>
              </w:rPr>
            </w:pPr>
            <w:r>
              <w:rPr>
                <w:rFonts w:ascii="宋体" w:hAnsi="宋体" w:eastAsia="宋体"/>
              </w:rPr>
              <w:t>2026年6月26日</w:t>
            </w:r>
          </w:p>
        </w:tc>
      </w:tr>
      <w:tr w14:paraId="63E6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63A0601">
            <w:pPr>
              <w:rPr>
                <w:rFonts w:ascii="宋体" w:hAnsi="宋体" w:eastAsia="宋体"/>
              </w:rPr>
            </w:pPr>
            <w:r>
              <w:rPr>
                <w:rFonts w:hint="eastAsia" w:ascii="宋体" w:hAnsi="宋体" w:eastAsia="宋体"/>
              </w:rPr>
              <w:t>募集有效认购总户数（单位：户）</w:t>
            </w:r>
          </w:p>
        </w:tc>
        <w:tc>
          <w:tcPr>
            <w:tcW w:w="5160" w:type="dxa"/>
            <w:gridSpan w:val="3"/>
            <w:vAlign w:val="center"/>
          </w:tcPr>
          <w:p w14:paraId="2BC82DD0">
            <w:pPr>
              <w:rPr>
                <w:rFonts w:ascii="宋体" w:hAnsi="宋体" w:eastAsia="宋体"/>
              </w:rPr>
            </w:pPr>
            <w:r>
              <w:rPr>
                <w:rFonts w:ascii="宋体" w:hAnsi="宋体" w:eastAsia="宋体"/>
              </w:rPr>
              <w:t>58,282</w:t>
            </w:r>
          </w:p>
        </w:tc>
      </w:tr>
      <w:tr w14:paraId="4D4B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9FC55FF">
            <w:pPr>
              <w:rPr>
                <w:rFonts w:ascii="宋体" w:hAnsi="宋体" w:eastAsia="宋体"/>
              </w:rPr>
            </w:pPr>
            <w:r>
              <w:rPr>
                <w:rFonts w:hint="eastAsia" w:ascii="宋体" w:hAnsi="宋体" w:eastAsia="宋体"/>
              </w:rPr>
              <w:t>份额类别</w:t>
            </w:r>
          </w:p>
        </w:tc>
        <w:tc>
          <w:tcPr>
            <w:tcW w:w="1720" w:type="dxa"/>
            <w:vAlign w:val="center"/>
          </w:tcPr>
          <w:p w14:paraId="55D75141">
            <w:pPr>
              <w:rPr>
                <w:rFonts w:ascii="宋体" w:hAnsi="宋体" w:eastAsia="宋体"/>
              </w:rPr>
            </w:pPr>
            <w:r>
              <w:rPr>
                <w:rFonts w:hint="eastAsia" w:ascii="宋体" w:hAnsi="宋体" w:eastAsia="宋体"/>
              </w:rPr>
              <w:t>博时国证新能源电池指数</w:t>
            </w:r>
            <w:r>
              <w:rPr>
                <w:rFonts w:ascii="宋体" w:hAnsi="宋体" w:eastAsia="宋体"/>
              </w:rPr>
              <w:t>A</w:t>
            </w:r>
          </w:p>
        </w:tc>
        <w:tc>
          <w:tcPr>
            <w:tcW w:w="1720" w:type="dxa"/>
            <w:vAlign w:val="center"/>
          </w:tcPr>
          <w:p w14:paraId="29CDA305">
            <w:pPr>
              <w:rPr>
                <w:rFonts w:ascii="宋体" w:hAnsi="宋体" w:eastAsia="宋体"/>
              </w:rPr>
            </w:pPr>
            <w:r>
              <w:rPr>
                <w:rFonts w:hint="eastAsia" w:ascii="宋体" w:hAnsi="宋体" w:eastAsia="宋体"/>
              </w:rPr>
              <w:t>博时国证新能源电池指数</w:t>
            </w:r>
            <w:r>
              <w:rPr>
                <w:rFonts w:ascii="宋体" w:hAnsi="宋体" w:eastAsia="宋体"/>
              </w:rPr>
              <w:t>C</w:t>
            </w:r>
          </w:p>
        </w:tc>
        <w:tc>
          <w:tcPr>
            <w:tcW w:w="1720" w:type="dxa"/>
            <w:vAlign w:val="center"/>
          </w:tcPr>
          <w:p w14:paraId="1CD333E2">
            <w:pPr>
              <w:rPr>
                <w:rFonts w:ascii="宋体" w:hAnsi="宋体" w:eastAsia="宋体"/>
              </w:rPr>
            </w:pPr>
            <w:r>
              <w:rPr>
                <w:rFonts w:hint="eastAsia" w:ascii="宋体" w:hAnsi="宋体" w:eastAsia="宋体"/>
              </w:rPr>
              <w:t>博时国证新能源电池指数合计</w:t>
            </w:r>
          </w:p>
        </w:tc>
      </w:tr>
      <w:tr w14:paraId="184F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AD431D2">
            <w:pPr>
              <w:rPr>
                <w:rFonts w:ascii="宋体" w:hAnsi="宋体" w:eastAsia="宋体"/>
              </w:rPr>
            </w:pPr>
            <w:r>
              <w:rPr>
                <w:rFonts w:hint="eastAsia" w:ascii="宋体" w:hAnsi="宋体" w:eastAsia="宋体"/>
              </w:rPr>
              <w:t>募集期间净认购金额（单位：元）</w:t>
            </w:r>
          </w:p>
        </w:tc>
        <w:tc>
          <w:tcPr>
            <w:tcW w:w="1720" w:type="dxa"/>
            <w:vAlign w:val="center"/>
          </w:tcPr>
          <w:p w14:paraId="0568B28C">
            <w:pPr>
              <w:rPr>
                <w:rFonts w:ascii="宋体" w:hAnsi="宋体" w:eastAsia="宋体"/>
              </w:rPr>
            </w:pPr>
            <w:r>
              <w:rPr>
                <w:rFonts w:ascii="宋体" w:hAnsi="宋体" w:eastAsia="宋体"/>
              </w:rPr>
              <w:t>89,288,206.25</w:t>
            </w:r>
          </w:p>
        </w:tc>
        <w:tc>
          <w:tcPr>
            <w:tcW w:w="1720" w:type="dxa"/>
            <w:vAlign w:val="center"/>
          </w:tcPr>
          <w:p w14:paraId="397EDDB7">
            <w:pPr>
              <w:rPr>
                <w:rFonts w:ascii="宋体" w:hAnsi="宋体" w:eastAsia="宋体"/>
              </w:rPr>
            </w:pPr>
            <w:r>
              <w:rPr>
                <w:rFonts w:ascii="宋体" w:hAnsi="宋体" w:eastAsia="宋体"/>
              </w:rPr>
              <w:t>318,487,069.27</w:t>
            </w:r>
          </w:p>
        </w:tc>
        <w:tc>
          <w:tcPr>
            <w:tcW w:w="1720" w:type="dxa"/>
            <w:vAlign w:val="center"/>
          </w:tcPr>
          <w:p w14:paraId="72284BB8">
            <w:pPr>
              <w:rPr>
                <w:rFonts w:ascii="宋体" w:hAnsi="宋体" w:eastAsia="宋体"/>
              </w:rPr>
            </w:pPr>
            <w:r>
              <w:rPr>
                <w:rFonts w:ascii="宋体" w:hAnsi="宋体" w:eastAsia="宋体"/>
              </w:rPr>
              <w:t>407,775,275.52</w:t>
            </w:r>
          </w:p>
        </w:tc>
      </w:tr>
      <w:tr w14:paraId="0A1A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5DBC791">
            <w:pPr>
              <w:rPr>
                <w:rFonts w:ascii="宋体" w:hAnsi="宋体" w:eastAsia="宋体"/>
              </w:rPr>
            </w:pPr>
            <w:r>
              <w:rPr>
                <w:rFonts w:hint="eastAsia" w:ascii="宋体" w:hAnsi="宋体" w:eastAsia="宋体"/>
              </w:rPr>
              <w:t>认购资金在募集期间产生的利息（单位：元）</w:t>
            </w:r>
          </w:p>
        </w:tc>
        <w:tc>
          <w:tcPr>
            <w:tcW w:w="1720" w:type="dxa"/>
            <w:vAlign w:val="center"/>
          </w:tcPr>
          <w:p w14:paraId="663E72C5">
            <w:pPr>
              <w:rPr>
                <w:rFonts w:ascii="宋体" w:hAnsi="宋体" w:eastAsia="宋体"/>
              </w:rPr>
            </w:pPr>
            <w:r>
              <w:rPr>
                <w:rFonts w:ascii="宋体" w:hAnsi="宋体" w:eastAsia="宋体"/>
              </w:rPr>
              <w:t>10,406.08</w:t>
            </w:r>
          </w:p>
        </w:tc>
        <w:tc>
          <w:tcPr>
            <w:tcW w:w="1720" w:type="dxa"/>
            <w:vAlign w:val="center"/>
          </w:tcPr>
          <w:p w14:paraId="6387A55E">
            <w:pPr>
              <w:rPr>
                <w:rFonts w:ascii="宋体" w:hAnsi="宋体" w:eastAsia="宋体"/>
              </w:rPr>
            </w:pPr>
            <w:r>
              <w:rPr>
                <w:rFonts w:ascii="宋体" w:hAnsi="宋体" w:eastAsia="宋体"/>
              </w:rPr>
              <w:t>33,188.24</w:t>
            </w:r>
          </w:p>
        </w:tc>
        <w:tc>
          <w:tcPr>
            <w:tcW w:w="1720" w:type="dxa"/>
            <w:vAlign w:val="center"/>
          </w:tcPr>
          <w:p w14:paraId="0DF8AF80">
            <w:pPr>
              <w:rPr>
                <w:rFonts w:ascii="宋体" w:hAnsi="宋体" w:eastAsia="宋体"/>
              </w:rPr>
            </w:pPr>
            <w:r>
              <w:rPr>
                <w:rFonts w:ascii="宋体" w:hAnsi="宋体" w:eastAsia="宋体"/>
              </w:rPr>
              <w:t>43,594.32</w:t>
            </w:r>
          </w:p>
        </w:tc>
      </w:tr>
      <w:tr w14:paraId="3173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101013BD">
            <w:pPr>
              <w:rPr>
                <w:rFonts w:ascii="宋体" w:hAnsi="宋体" w:eastAsia="宋体"/>
              </w:rPr>
            </w:pPr>
            <w:r>
              <w:rPr>
                <w:rFonts w:hint="eastAsia" w:ascii="宋体" w:hAnsi="宋体" w:eastAsia="宋体"/>
              </w:rPr>
              <w:t>募集份额（单位：份）</w:t>
            </w:r>
          </w:p>
        </w:tc>
        <w:tc>
          <w:tcPr>
            <w:tcW w:w="1600" w:type="dxa"/>
            <w:vAlign w:val="center"/>
          </w:tcPr>
          <w:p w14:paraId="363A78E7">
            <w:pPr>
              <w:rPr>
                <w:rFonts w:ascii="宋体" w:hAnsi="宋体" w:eastAsia="宋体"/>
              </w:rPr>
            </w:pPr>
            <w:r>
              <w:rPr>
                <w:rFonts w:hint="eastAsia" w:ascii="宋体" w:hAnsi="宋体" w:eastAsia="宋体"/>
              </w:rPr>
              <w:t>有效认购份额</w:t>
            </w:r>
          </w:p>
        </w:tc>
        <w:tc>
          <w:tcPr>
            <w:tcW w:w="1720" w:type="dxa"/>
            <w:vAlign w:val="center"/>
          </w:tcPr>
          <w:p w14:paraId="21374A60">
            <w:pPr>
              <w:rPr>
                <w:rFonts w:ascii="宋体" w:hAnsi="宋体" w:eastAsia="宋体"/>
              </w:rPr>
            </w:pPr>
            <w:r>
              <w:rPr>
                <w:rFonts w:ascii="宋体" w:hAnsi="宋体" w:eastAsia="宋体"/>
              </w:rPr>
              <w:t>89,288,206.25</w:t>
            </w:r>
          </w:p>
        </w:tc>
        <w:tc>
          <w:tcPr>
            <w:tcW w:w="1720" w:type="dxa"/>
            <w:vAlign w:val="center"/>
          </w:tcPr>
          <w:p w14:paraId="36E08889">
            <w:pPr>
              <w:rPr>
                <w:rFonts w:ascii="宋体" w:hAnsi="宋体" w:eastAsia="宋体"/>
              </w:rPr>
            </w:pPr>
            <w:r>
              <w:rPr>
                <w:rFonts w:ascii="宋体" w:hAnsi="宋体" w:eastAsia="宋体"/>
              </w:rPr>
              <w:t>318,487,069.27</w:t>
            </w:r>
          </w:p>
        </w:tc>
        <w:tc>
          <w:tcPr>
            <w:tcW w:w="1720" w:type="dxa"/>
            <w:vAlign w:val="center"/>
          </w:tcPr>
          <w:p w14:paraId="0809D0AE">
            <w:pPr>
              <w:rPr>
                <w:rFonts w:ascii="宋体" w:hAnsi="宋体" w:eastAsia="宋体"/>
              </w:rPr>
            </w:pPr>
            <w:r>
              <w:rPr>
                <w:rFonts w:ascii="宋体" w:hAnsi="宋体" w:eastAsia="宋体"/>
              </w:rPr>
              <w:t>407,775,275.52</w:t>
            </w:r>
          </w:p>
        </w:tc>
      </w:tr>
      <w:tr w14:paraId="2018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FF0A299">
            <w:pPr>
              <w:rPr>
                <w:rFonts w:ascii="宋体" w:hAnsi="宋体" w:eastAsia="宋体"/>
              </w:rPr>
            </w:pPr>
          </w:p>
        </w:tc>
        <w:tc>
          <w:tcPr>
            <w:tcW w:w="1600" w:type="dxa"/>
            <w:vAlign w:val="center"/>
          </w:tcPr>
          <w:p w14:paraId="660BDF4F">
            <w:pPr>
              <w:rPr>
                <w:rFonts w:ascii="宋体" w:hAnsi="宋体" w:eastAsia="宋体"/>
              </w:rPr>
            </w:pPr>
            <w:r>
              <w:rPr>
                <w:rFonts w:hint="eastAsia" w:ascii="宋体" w:hAnsi="宋体" w:eastAsia="宋体"/>
              </w:rPr>
              <w:t>利息结转的份额</w:t>
            </w:r>
          </w:p>
        </w:tc>
        <w:tc>
          <w:tcPr>
            <w:tcW w:w="1720" w:type="dxa"/>
            <w:vAlign w:val="center"/>
          </w:tcPr>
          <w:p w14:paraId="21FE7491">
            <w:pPr>
              <w:rPr>
                <w:rFonts w:ascii="宋体" w:hAnsi="宋体" w:eastAsia="宋体"/>
              </w:rPr>
            </w:pPr>
            <w:r>
              <w:rPr>
                <w:rFonts w:ascii="宋体" w:hAnsi="宋体" w:eastAsia="宋体"/>
              </w:rPr>
              <w:t>10,406.08</w:t>
            </w:r>
          </w:p>
        </w:tc>
        <w:tc>
          <w:tcPr>
            <w:tcW w:w="1720" w:type="dxa"/>
            <w:vAlign w:val="center"/>
          </w:tcPr>
          <w:p w14:paraId="513FC9BB">
            <w:pPr>
              <w:rPr>
                <w:rFonts w:ascii="宋体" w:hAnsi="宋体" w:eastAsia="宋体"/>
              </w:rPr>
            </w:pPr>
            <w:r>
              <w:rPr>
                <w:rFonts w:ascii="宋体" w:hAnsi="宋体" w:eastAsia="宋体"/>
              </w:rPr>
              <w:t>33,188.24</w:t>
            </w:r>
          </w:p>
        </w:tc>
        <w:tc>
          <w:tcPr>
            <w:tcW w:w="1720" w:type="dxa"/>
            <w:vAlign w:val="center"/>
          </w:tcPr>
          <w:p w14:paraId="5223401B">
            <w:pPr>
              <w:rPr>
                <w:rFonts w:ascii="宋体" w:hAnsi="宋体" w:eastAsia="宋体"/>
              </w:rPr>
            </w:pPr>
            <w:r>
              <w:rPr>
                <w:rFonts w:ascii="宋体" w:hAnsi="宋体" w:eastAsia="宋体"/>
              </w:rPr>
              <w:t>43,594.32</w:t>
            </w:r>
          </w:p>
        </w:tc>
      </w:tr>
      <w:tr w14:paraId="240E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7DAC7ABE">
            <w:pPr>
              <w:rPr>
                <w:rFonts w:ascii="宋体" w:hAnsi="宋体" w:eastAsia="宋体"/>
              </w:rPr>
            </w:pPr>
          </w:p>
        </w:tc>
        <w:tc>
          <w:tcPr>
            <w:tcW w:w="1600" w:type="dxa"/>
            <w:vAlign w:val="center"/>
          </w:tcPr>
          <w:p w14:paraId="47237390">
            <w:pPr>
              <w:rPr>
                <w:rFonts w:ascii="宋体" w:hAnsi="宋体" w:eastAsia="宋体"/>
              </w:rPr>
            </w:pPr>
            <w:r>
              <w:rPr>
                <w:rFonts w:hint="eastAsia" w:ascii="宋体" w:hAnsi="宋体" w:eastAsia="宋体"/>
              </w:rPr>
              <w:t>合计</w:t>
            </w:r>
          </w:p>
        </w:tc>
        <w:tc>
          <w:tcPr>
            <w:tcW w:w="1720" w:type="dxa"/>
            <w:vAlign w:val="center"/>
          </w:tcPr>
          <w:p w14:paraId="29FB41A7">
            <w:pPr>
              <w:rPr>
                <w:rFonts w:ascii="宋体" w:hAnsi="宋体" w:eastAsia="宋体"/>
              </w:rPr>
            </w:pPr>
            <w:r>
              <w:rPr>
                <w:rFonts w:ascii="宋体" w:hAnsi="宋体" w:eastAsia="宋体"/>
              </w:rPr>
              <w:t>89,298,612.33</w:t>
            </w:r>
          </w:p>
        </w:tc>
        <w:tc>
          <w:tcPr>
            <w:tcW w:w="1720" w:type="dxa"/>
            <w:vAlign w:val="center"/>
          </w:tcPr>
          <w:p w14:paraId="22D2E29B">
            <w:pPr>
              <w:rPr>
                <w:rFonts w:ascii="宋体" w:hAnsi="宋体" w:eastAsia="宋体"/>
              </w:rPr>
            </w:pPr>
            <w:r>
              <w:rPr>
                <w:rFonts w:ascii="宋体" w:hAnsi="宋体" w:eastAsia="宋体"/>
              </w:rPr>
              <w:t>318,520,257.51</w:t>
            </w:r>
          </w:p>
        </w:tc>
        <w:tc>
          <w:tcPr>
            <w:tcW w:w="1720" w:type="dxa"/>
            <w:vAlign w:val="center"/>
          </w:tcPr>
          <w:p w14:paraId="07F746FF">
            <w:pPr>
              <w:rPr>
                <w:rFonts w:ascii="宋体" w:hAnsi="宋体" w:eastAsia="宋体"/>
              </w:rPr>
            </w:pPr>
            <w:r>
              <w:rPr>
                <w:rFonts w:ascii="宋体" w:hAnsi="宋体" w:eastAsia="宋体"/>
              </w:rPr>
              <w:t>407,818,869.84</w:t>
            </w:r>
          </w:p>
        </w:tc>
      </w:tr>
      <w:tr w14:paraId="6A39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BCF7492">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4F42BF95">
            <w:pPr>
              <w:rPr>
                <w:rFonts w:ascii="宋体" w:hAnsi="宋体" w:eastAsia="宋体"/>
              </w:rPr>
            </w:pPr>
            <w:r>
              <w:rPr>
                <w:rFonts w:hint="eastAsia" w:ascii="宋体" w:hAnsi="宋体" w:eastAsia="宋体"/>
              </w:rPr>
              <w:t>认购的基金份额（单位：份）</w:t>
            </w:r>
          </w:p>
        </w:tc>
        <w:tc>
          <w:tcPr>
            <w:tcW w:w="1720" w:type="dxa"/>
            <w:vAlign w:val="center"/>
          </w:tcPr>
          <w:p w14:paraId="05C79859">
            <w:pPr>
              <w:rPr>
                <w:rFonts w:ascii="宋体" w:hAnsi="宋体" w:eastAsia="宋体"/>
              </w:rPr>
            </w:pPr>
            <w:r>
              <w:rPr>
                <w:rFonts w:ascii="宋体" w:hAnsi="宋体" w:eastAsia="宋体"/>
              </w:rPr>
              <w:t>0.00</w:t>
            </w:r>
          </w:p>
        </w:tc>
        <w:tc>
          <w:tcPr>
            <w:tcW w:w="1720" w:type="dxa"/>
            <w:vAlign w:val="center"/>
          </w:tcPr>
          <w:p w14:paraId="3543FF2A">
            <w:pPr>
              <w:rPr>
                <w:rFonts w:ascii="宋体" w:hAnsi="宋体" w:eastAsia="宋体"/>
              </w:rPr>
            </w:pPr>
            <w:r>
              <w:rPr>
                <w:rFonts w:ascii="宋体" w:hAnsi="宋体" w:eastAsia="宋体"/>
              </w:rPr>
              <w:t>0.00</w:t>
            </w:r>
          </w:p>
        </w:tc>
        <w:tc>
          <w:tcPr>
            <w:tcW w:w="1720" w:type="dxa"/>
            <w:vAlign w:val="center"/>
          </w:tcPr>
          <w:p w14:paraId="2654F0FC">
            <w:pPr>
              <w:rPr>
                <w:rFonts w:ascii="宋体" w:hAnsi="宋体" w:eastAsia="宋体"/>
              </w:rPr>
            </w:pPr>
            <w:r>
              <w:rPr>
                <w:rFonts w:ascii="宋体" w:hAnsi="宋体" w:eastAsia="宋体"/>
              </w:rPr>
              <w:t>0.00</w:t>
            </w:r>
          </w:p>
        </w:tc>
      </w:tr>
      <w:tr w14:paraId="66D8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A5CF5EB">
            <w:pPr>
              <w:rPr>
                <w:rFonts w:ascii="宋体" w:hAnsi="宋体" w:eastAsia="宋体"/>
              </w:rPr>
            </w:pPr>
          </w:p>
        </w:tc>
        <w:tc>
          <w:tcPr>
            <w:tcW w:w="1600" w:type="dxa"/>
            <w:vAlign w:val="center"/>
          </w:tcPr>
          <w:p w14:paraId="44665C18">
            <w:pPr>
              <w:rPr>
                <w:rFonts w:ascii="宋体" w:hAnsi="宋体" w:eastAsia="宋体"/>
              </w:rPr>
            </w:pPr>
            <w:r>
              <w:rPr>
                <w:rFonts w:hint="eastAsia" w:ascii="宋体" w:hAnsi="宋体" w:eastAsia="宋体"/>
              </w:rPr>
              <w:t>占基金总份额比例</w:t>
            </w:r>
          </w:p>
        </w:tc>
        <w:tc>
          <w:tcPr>
            <w:tcW w:w="1720" w:type="dxa"/>
            <w:vAlign w:val="center"/>
          </w:tcPr>
          <w:p w14:paraId="0B809FE5">
            <w:pPr>
              <w:rPr>
                <w:rFonts w:ascii="宋体" w:hAnsi="宋体" w:eastAsia="宋体"/>
              </w:rPr>
            </w:pPr>
            <w:r>
              <w:rPr>
                <w:rFonts w:ascii="宋体" w:hAnsi="宋体" w:eastAsia="宋体"/>
              </w:rPr>
              <w:t>0.0000%</w:t>
            </w:r>
          </w:p>
        </w:tc>
        <w:tc>
          <w:tcPr>
            <w:tcW w:w="1720" w:type="dxa"/>
            <w:vAlign w:val="center"/>
          </w:tcPr>
          <w:p w14:paraId="1EE73FF4">
            <w:pPr>
              <w:rPr>
                <w:rFonts w:ascii="宋体" w:hAnsi="宋体" w:eastAsia="宋体"/>
              </w:rPr>
            </w:pPr>
            <w:r>
              <w:rPr>
                <w:rFonts w:ascii="宋体" w:hAnsi="宋体" w:eastAsia="宋体"/>
              </w:rPr>
              <w:t>0.0000%</w:t>
            </w:r>
          </w:p>
        </w:tc>
        <w:tc>
          <w:tcPr>
            <w:tcW w:w="1720" w:type="dxa"/>
            <w:vAlign w:val="center"/>
          </w:tcPr>
          <w:p w14:paraId="1B15A01D">
            <w:pPr>
              <w:rPr>
                <w:rFonts w:ascii="宋体" w:hAnsi="宋体" w:eastAsia="宋体"/>
              </w:rPr>
            </w:pPr>
            <w:r>
              <w:rPr>
                <w:rFonts w:ascii="宋体" w:hAnsi="宋体" w:eastAsia="宋体"/>
              </w:rPr>
              <w:t>0.0000%</w:t>
            </w:r>
          </w:p>
        </w:tc>
      </w:tr>
      <w:tr w14:paraId="2A93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D98C43E">
            <w:pPr>
              <w:rPr>
                <w:rFonts w:ascii="宋体" w:hAnsi="宋体" w:eastAsia="宋体"/>
              </w:rPr>
            </w:pPr>
          </w:p>
        </w:tc>
        <w:tc>
          <w:tcPr>
            <w:tcW w:w="1600" w:type="dxa"/>
            <w:vAlign w:val="center"/>
          </w:tcPr>
          <w:p w14:paraId="162A50A2">
            <w:pPr>
              <w:rPr>
                <w:rFonts w:ascii="宋体" w:hAnsi="宋体" w:eastAsia="宋体"/>
              </w:rPr>
            </w:pPr>
            <w:r>
              <w:rPr>
                <w:rFonts w:hint="eastAsia" w:ascii="宋体" w:hAnsi="宋体" w:eastAsia="宋体"/>
              </w:rPr>
              <w:t>其他需要说明的事项</w:t>
            </w:r>
          </w:p>
        </w:tc>
        <w:tc>
          <w:tcPr>
            <w:tcW w:w="1720" w:type="dxa"/>
            <w:vAlign w:val="center"/>
          </w:tcPr>
          <w:p w14:paraId="7B65D9C5">
            <w:pPr>
              <w:rPr>
                <w:rFonts w:ascii="宋体" w:hAnsi="宋体" w:eastAsia="宋体"/>
              </w:rPr>
            </w:pPr>
            <w:r>
              <w:rPr>
                <w:rFonts w:ascii="宋体" w:hAnsi="宋体" w:eastAsia="宋体"/>
              </w:rPr>
              <w:t>-</w:t>
            </w:r>
          </w:p>
        </w:tc>
        <w:tc>
          <w:tcPr>
            <w:tcW w:w="1720" w:type="dxa"/>
            <w:vAlign w:val="center"/>
          </w:tcPr>
          <w:p w14:paraId="03B88381">
            <w:pPr>
              <w:rPr>
                <w:rFonts w:ascii="宋体" w:hAnsi="宋体" w:eastAsia="宋体"/>
              </w:rPr>
            </w:pPr>
            <w:r>
              <w:rPr>
                <w:rFonts w:ascii="宋体" w:hAnsi="宋体" w:eastAsia="宋体"/>
              </w:rPr>
              <w:t>-</w:t>
            </w:r>
          </w:p>
        </w:tc>
        <w:tc>
          <w:tcPr>
            <w:tcW w:w="1720" w:type="dxa"/>
            <w:vAlign w:val="center"/>
          </w:tcPr>
          <w:p w14:paraId="18254C9C">
            <w:pPr>
              <w:rPr>
                <w:rFonts w:ascii="宋体" w:hAnsi="宋体" w:eastAsia="宋体"/>
              </w:rPr>
            </w:pPr>
            <w:r>
              <w:rPr>
                <w:rFonts w:ascii="宋体" w:hAnsi="宋体" w:eastAsia="宋体"/>
              </w:rPr>
              <w:t>-</w:t>
            </w:r>
          </w:p>
        </w:tc>
      </w:tr>
      <w:tr w14:paraId="359B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3A868F5C">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7EBEBA80">
            <w:pPr>
              <w:rPr>
                <w:rFonts w:ascii="宋体" w:hAnsi="宋体" w:eastAsia="宋体"/>
              </w:rPr>
            </w:pPr>
            <w:r>
              <w:rPr>
                <w:rFonts w:hint="eastAsia" w:ascii="宋体" w:hAnsi="宋体" w:eastAsia="宋体"/>
              </w:rPr>
              <w:t>认购的基金份额（单位：份）</w:t>
            </w:r>
          </w:p>
        </w:tc>
        <w:tc>
          <w:tcPr>
            <w:tcW w:w="1720" w:type="dxa"/>
            <w:vAlign w:val="center"/>
          </w:tcPr>
          <w:p w14:paraId="4729ED38">
            <w:pPr>
              <w:rPr>
                <w:rFonts w:ascii="宋体" w:hAnsi="宋体" w:eastAsia="宋体"/>
              </w:rPr>
            </w:pPr>
            <w:r>
              <w:rPr>
                <w:rFonts w:ascii="宋体" w:hAnsi="宋体" w:eastAsia="宋体"/>
              </w:rPr>
              <w:t>15,006.05</w:t>
            </w:r>
          </w:p>
        </w:tc>
        <w:tc>
          <w:tcPr>
            <w:tcW w:w="1720" w:type="dxa"/>
            <w:vAlign w:val="center"/>
          </w:tcPr>
          <w:p w14:paraId="0A2EC611">
            <w:pPr>
              <w:rPr>
                <w:rFonts w:ascii="宋体" w:hAnsi="宋体" w:eastAsia="宋体"/>
              </w:rPr>
            </w:pPr>
            <w:r>
              <w:rPr>
                <w:rFonts w:ascii="宋体" w:hAnsi="宋体" w:eastAsia="宋体"/>
              </w:rPr>
              <w:t>3,132.47</w:t>
            </w:r>
          </w:p>
        </w:tc>
        <w:tc>
          <w:tcPr>
            <w:tcW w:w="1720" w:type="dxa"/>
            <w:vAlign w:val="center"/>
          </w:tcPr>
          <w:p w14:paraId="662CB46D">
            <w:pPr>
              <w:rPr>
                <w:rFonts w:ascii="宋体" w:hAnsi="宋体" w:eastAsia="宋体"/>
              </w:rPr>
            </w:pPr>
            <w:r>
              <w:rPr>
                <w:rFonts w:ascii="宋体" w:hAnsi="宋体" w:eastAsia="宋体"/>
              </w:rPr>
              <w:t>18,138.52</w:t>
            </w:r>
          </w:p>
        </w:tc>
      </w:tr>
      <w:tr w14:paraId="41BA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735200C0">
            <w:pPr>
              <w:rPr>
                <w:rFonts w:ascii="宋体" w:hAnsi="宋体" w:eastAsia="宋体"/>
              </w:rPr>
            </w:pPr>
          </w:p>
        </w:tc>
        <w:tc>
          <w:tcPr>
            <w:tcW w:w="1600" w:type="dxa"/>
            <w:vAlign w:val="center"/>
          </w:tcPr>
          <w:p w14:paraId="513AB98E">
            <w:pPr>
              <w:rPr>
                <w:rFonts w:ascii="宋体" w:hAnsi="宋体" w:eastAsia="宋体"/>
              </w:rPr>
            </w:pPr>
            <w:r>
              <w:rPr>
                <w:rFonts w:hint="eastAsia" w:ascii="宋体" w:hAnsi="宋体" w:eastAsia="宋体"/>
              </w:rPr>
              <w:t>占基金总份额比例</w:t>
            </w:r>
          </w:p>
        </w:tc>
        <w:tc>
          <w:tcPr>
            <w:tcW w:w="1720" w:type="dxa"/>
            <w:vAlign w:val="center"/>
          </w:tcPr>
          <w:p w14:paraId="155CFFEC">
            <w:pPr>
              <w:rPr>
                <w:rFonts w:ascii="宋体" w:hAnsi="宋体" w:eastAsia="宋体"/>
              </w:rPr>
            </w:pPr>
            <w:r>
              <w:rPr>
                <w:rFonts w:ascii="宋体" w:hAnsi="宋体" w:eastAsia="宋体"/>
              </w:rPr>
              <w:t>0.0168%</w:t>
            </w:r>
          </w:p>
        </w:tc>
        <w:tc>
          <w:tcPr>
            <w:tcW w:w="1720" w:type="dxa"/>
            <w:vAlign w:val="center"/>
          </w:tcPr>
          <w:p w14:paraId="43EEDB04">
            <w:pPr>
              <w:rPr>
                <w:rFonts w:ascii="宋体" w:hAnsi="宋体" w:eastAsia="宋体"/>
              </w:rPr>
            </w:pPr>
            <w:r>
              <w:rPr>
                <w:rFonts w:ascii="宋体" w:hAnsi="宋体" w:eastAsia="宋体"/>
              </w:rPr>
              <w:t>0.0010%</w:t>
            </w:r>
          </w:p>
        </w:tc>
        <w:tc>
          <w:tcPr>
            <w:tcW w:w="1720" w:type="dxa"/>
            <w:vAlign w:val="center"/>
          </w:tcPr>
          <w:p w14:paraId="6AEEEE3B">
            <w:pPr>
              <w:rPr>
                <w:rFonts w:ascii="宋体" w:hAnsi="宋体" w:eastAsia="宋体"/>
              </w:rPr>
            </w:pPr>
            <w:r>
              <w:rPr>
                <w:rFonts w:ascii="宋体" w:hAnsi="宋体" w:eastAsia="宋体"/>
              </w:rPr>
              <w:t>0.0044%</w:t>
            </w:r>
          </w:p>
        </w:tc>
      </w:tr>
      <w:tr w14:paraId="0C95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6E1012A">
            <w:pPr>
              <w:rPr>
                <w:rFonts w:ascii="宋体" w:hAnsi="宋体" w:eastAsia="宋体"/>
              </w:rPr>
            </w:pPr>
            <w:r>
              <w:rPr>
                <w:rFonts w:hint="eastAsia" w:ascii="宋体" w:hAnsi="宋体" w:eastAsia="宋体"/>
              </w:rPr>
              <w:t>募集期限届满基金是否符合法律法规规定的办理基金备案手续的条件</w:t>
            </w:r>
          </w:p>
        </w:tc>
        <w:tc>
          <w:tcPr>
            <w:tcW w:w="5160" w:type="dxa"/>
            <w:gridSpan w:val="3"/>
            <w:vAlign w:val="center"/>
          </w:tcPr>
          <w:p w14:paraId="5A3FBF08">
            <w:pPr>
              <w:rPr>
                <w:rFonts w:ascii="宋体" w:hAnsi="宋体" w:eastAsia="宋体"/>
              </w:rPr>
            </w:pPr>
            <w:r>
              <w:rPr>
                <w:rFonts w:hint="eastAsia" w:ascii="宋体" w:hAnsi="宋体" w:eastAsia="宋体"/>
              </w:rPr>
              <w:t>是</w:t>
            </w:r>
          </w:p>
        </w:tc>
      </w:tr>
      <w:tr w14:paraId="75B5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C0F3188">
            <w:pPr>
              <w:rPr>
                <w:rFonts w:ascii="宋体" w:hAnsi="宋体" w:eastAsia="宋体"/>
              </w:rPr>
            </w:pPr>
            <w:r>
              <w:rPr>
                <w:rFonts w:hint="eastAsia" w:ascii="宋体" w:hAnsi="宋体" w:eastAsia="宋体"/>
              </w:rPr>
              <w:t>向中国证监会办理基金备案手续获得书面确认的日期</w:t>
            </w:r>
          </w:p>
        </w:tc>
        <w:tc>
          <w:tcPr>
            <w:tcW w:w="5160" w:type="dxa"/>
            <w:gridSpan w:val="3"/>
            <w:vAlign w:val="center"/>
          </w:tcPr>
          <w:p w14:paraId="26839810">
            <w:pPr>
              <w:rPr>
                <w:rFonts w:ascii="宋体" w:hAnsi="宋体" w:eastAsia="宋体"/>
              </w:rPr>
            </w:pPr>
            <w:r>
              <w:rPr>
                <w:rFonts w:ascii="宋体" w:hAnsi="宋体" w:eastAsia="宋体"/>
              </w:rPr>
              <w:t>2026年6月26日</w:t>
            </w:r>
          </w:p>
        </w:tc>
      </w:tr>
    </w:tbl>
    <w:p w14:paraId="6F91CB0D">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81F3BAE">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09465AD5">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03BD1FB6">
      <w:pPr>
        <w:rPr>
          <w:rFonts w:ascii="宋体" w:hAnsi="宋体" w:eastAsia="宋体"/>
          <w:b/>
        </w:rPr>
      </w:pPr>
      <w:r>
        <w:rPr>
          <w:rFonts w:ascii="宋体" w:hAnsi="宋体" w:eastAsia="宋体"/>
          <w:b/>
        </w:rPr>
        <w:t>3、其他需要提示的事项</w:t>
      </w:r>
    </w:p>
    <w:p w14:paraId="024D97C5">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00F7D0DC">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但基金管理人根据法律法规、中国证监会的要求或本基金合同的规定公告暂停申购、赎回时除外。 </w:t>
      </w:r>
    </w:p>
    <w:p w14:paraId="4976A61C">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701BFCD4">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1D13DB5E">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基金管理人可根据实际情况依法决定本基金开始办理申购的具体日期，具体业务办理时间在申购开始公告中规定。 </w:t>
      </w:r>
    </w:p>
    <w:p w14:paraId="11901CC5">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5CDCFE25">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4A76FC13">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 </w:t>
      </w:r>
    </w:p>
    <w:p w14:paraId="37BCB4BF">
      <w:pPr>
        <w:pStyle w:val="2"/>
        <w:spacing w:before="0" w:beforeAutospacing="0" w:after="0" w:afterAutospacing="0" w:line="360" w:lineRule="auto"/>
        <w:ind w:firstLine="420"/>
        <w:rPr>
          <w:rFonts w:hint="eastAsia"/>
          <w:sz w:val="21"/>
          <w:szCs w:val="21"/>
        </w:rPr>
      </w:pPr>
    </w:p>
    <w:p w14:paraId="6FFAB6AC">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08564C1E">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2115E0D3">
      <w:pPr>
        <w:pStyle w:val="2"/>
        <w:spacing w:before="0" w:beforeAutospacing="0" w:after="0" w:afterAutospacing="0" w:line="360" w:lineRule="auto"/>
        <w:ind w:firstLine="420"/>
        <w:rPr>
          <w:sz w:val="21"/>
          <w:szCs w:val="21"/>
        </w:rPr>
      </w:pPr>
    </w:p>
    <w:p w14:paraId="38EE9045">
      <w:pPr>
        <w:pStyle w:val="2"/>
        <w:spacing w:before="0" w:beforeAutospacing="0" w:after="0" w:afterAutospacing="0" w:line="360" w:lineRule="auto"/>
        <w:ind w:firstLine="420"/>
        <w:rPr>
          <w:sz w:val="21"/>
          <w:szCs w:val="21"/>
        </w:rPr>
      </w:pPr>
    </w:p>
    <w:p w14:paraId="112C2AAC">
      <w:pPr>
        <w:pStyle w:val="2"/>
        <w:spacing w:before="0" w:beforeAutospacing="0" w:after="0" w:afterAutospacing="0" w:line="360" w:lineRule="auto"/>
        <w:ind w:firstLine="420"/>
        <w:rPr>
          <w:sz w:val="21"/>
          <w:szCs w:val="21"/>
        </w:rPr>
      </w:pPr>
    </w:p>
    <w:p w14:paraId="673AEF1C">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81D42CC">
      <w:pPr>
        <w:pStyle w:val="2"/>
        <w:spacing w:before="0" w:beforeAutospacing="0" w:after="0" w:afterAutospacing="0" w:line="360" w:lineRule="auto"/>
        <w:ind w:firstLine="420"/>
        <w:jc w:val="right"/>
        <w:rPr>
          <w:sz w:val="21"/>
          <w:szCs w:val="21"/>
        </w:rPr>
      </w:pPr>
      <w:r>
        <w:rPr>
          <w:sz w:val="21"/>
          <w:szCs w:val="21"/>
        </w:rPr>
        <w:t>2026年6月2</w:t>
      </w:r>
      <w:r>
        <w:rPr>
          <w:rFonts w:hint="eastAsia"/>
          <w:sz w:val="21"/>
          <w:szCs w:val="21"/>
          <w:lang w:val="en-US" w:eastAsia="zh-CN"/>
        </w:rPr>
        <w:t>7</w:t>
      </w:r>
      <w:bookmarkStart w:id="0" w:name="_GoBack"/>
      <w:bookmarkEnd w:id="0"/>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28C"/>
    <w:rsid w:val="0059628C"/>
    <w:rsid w:val="00675E96"/>
    <w:rsid w:val="215B30CA"/>
    <w:rsid w:val="7F4C0A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275</Words>
  <Characters>1574</Characters>
  <Lines>13</Lines>
  <Paragraphs>3</Paragraphs>
  <TotalTime>14</TotalTime>
  <ScaleCrop>false</ScaleCrop>
  <LinksUpToDate>false</LinksUpToDate>
  <CharactersWithSpaces>1846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2026-06-25T10:27:00Z</dcterms:created>
  <dc:creator>BSKMadminDev</dc:creator>
  <cp:lastModifiedBy>zhouhy</cp:lastModifiedBy>
  <dcterms:modified xsi:type="dcterms:W3CDTF">2026-06-26T01:44:41Z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32A1780CFBDE4F66B5DCC8D11EF905D3_12</vt:lpwstr>
  </property>
</Properties>
</file>