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bookmarkStart w:id="212" w:name="_GoBack"/>
      <w:bookmarkEnd w:id="212"/>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博时富耀纯债一年定期开放债券型发起式证券投资基金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r>
        <w:rPr>
          <w:rFonts w:hint="eastAsia" w:ascii="宋体" w:hAnsi="宋体" w:eastAsia="宋体"/>
          <w:b/>
          <w:sz w:val="52"/>
        </w:rPr>
        <w:t>【本基金不向个人投资者公开发售】</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中国光大银行股份有限公司</w:t>
      </w:r>
      <w:r>
        <w:rPr>
          <w:rFonts w:ascii="宋体" w:hAnsi="宋体" w:eastAsia="宋体"/>
          <w:b/>
          <w:sz w:val="30"/>
        </w:rPr>
        <w:br w:type="page"/>
      </w:r>
    </w:p>
    <w:p>
      <w:pPr>
        <w:pStyle w:val="2"/>
        <w:jc w:val="center"/>
        <w:rPr>
          <w:rFonts w:ascii="宋体" w:hAnsi="宋体" w:eastAsia="宋体"/>
          <w:sz w:val="30"/>
        </w:rPr>
      </w:pPr>
      <w:bookmarkStart w:id="0" w:name="_Toc207947145"/>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r>
        <w:rPr>
          <w:rFonts w:hint="eastAsia"/>
          <w:sz w:val="21"/>
          <w:szCs w:val="21"/>
        </w:rPr>
        <w:t>1、本基金根据2023年4月18日中国证券监督管理委员会（以下简称“中国证监会”）《关于准予</w:t>
      </w:r>
      <w:bookmarkStart w:id="1" w:name="field_0_productfullname_1"/>
      <w:r>
        <w:rPr>
          <w:rFonts w:hint="eastAsia"/>
          <w:sz w:val="21"/>
          <w:szCs w:val="21"/>
        </w:rPr>
        <w:t>博时富耀纯债一年定期开放债券型发起式证券投资基金</w:t>
      </w:r>
      <w:bookmarkEnd w:id="1"/>
      <w:r>
        <w:rPr>
          <w:rFonts w:hint="eastAsia"/>
          <w:sz w:val="21"/>
          <w:szCs w:val="21"/>
        </w:rPr>
        <w:t xml:space="preserve">注册的批复》（证监许可[2023]818号）进行募集。 </w:t>
      </w:r>
    </w:p>
    <w:p>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收益和市场前景作出实质性判断或保证，也不表明投资于本基金没有风险。 </w:t>
      </w:r>
    </w:p>
    <w:p>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pPr>
        <w:pStyle w:val="7"/>
        <w:spacing w:before="0" w:beforeAutospacing="0" w:after="0" w:afterAutospacing="0" w:line="360" w:lineRule="auto"/>
        <w:ind w:firstLine="420"/>
        <w:rPr>
          <w:sz w:val="21"/>
          <w:szCs w:val="21"/>
        </w:rPr>
      </w:pPr>
      <w:r>
        <w:rPr>
          <w:rFonts w:hint="eastAsia"/>
          <w:sz w:val="21"/>
          <w:szCs w:val="21"/>
        </w:rPr>
        <w:t xml:space="preserve">5、本基金为债券型基金，预期收益和预期风险高于货币市场基金，低于混合型基金、股票型基金。 </w:t>
      </w:r>
    </w:p>
    <w:p>
      <w:pPr>
        <w:pStyle w:val="7"/>
        <w:spacing w:before="0" w:beforeAutospacing="0" w:after="0" w:afterAutospacing="0" w:line="360" w:lineRule="auto"/>
        <w:ind w:firstLine="420"/>
        <w:rPr>
          <w:sz w:val="21"/>
          <w:szCs w:val="21"/>
        </w:rPr>
      </w:pPr>
      <w:r>
        <w:rPr>
          <w:rFonts w:hint="eastAsia"/>
          <w:sz w:val="21"/>
          <w:szCs w:val="21"/>
        </w:rPr>
        <w:t xml:space="preserve">6、本基金的投资范围主要为具有良好流动性的金融工具，包括债券（含国债、金融债、企业债、公司债、地方政府债、政府支持机构债券、政府支持债券、央行票据、中期票据、短期融资券、超短期融资券、可转换债券（含分离交易可转债）、可交换债券、公开发行的次级债等中国证监会允许投资的其他债券）、资产支持证券、债券回购、国债期货、信用衍生品、货币市场工具（同业存单、银行存款）等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直接投资于股票等资产，但可参与可转换债券（含分离交易可转债）、可交换债券的投资。因所持可转换债券转股或可交换债券换股形成的股票，本基金将在其可交易之日起的10个交易日内卖出。如法律法规或监管机构以后允许基金投资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7、本基金投资于债券资产比例不低于基金资产的80%，但应开放期流动性需要，为保护基金份额持有人利益，在每次开放期开始前1个月、开放期及开放期结束后1个月的期间内，基金投资不受上述比例限制。本基金投资可转换债券及可交换债券的比例合计不高于基金资产的20%。开放期内，本基金每个交易日日终在扣除国债期货合约需缴纳的交易保证金后，应当保持不低于基金资产净值5％的现金或者到期日在一年以内的政府债券；在封闭期内，本基金不受上述5%的限制，但每个交易日日终在扣除国债期货合约需缴纳的交易保证金后，应当保持不低于交易保证金一倍的现金；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pPr>
        <w:pStyle w:val="7"/>
        <w:spacing w:before="0" w:beforeAutospacing="0" w:after="0" w:afterAutospacing="0" w:line="360" w:lineRule="auto"/>
        <w:ind w:firstLine="420"/>
        <w:rPr>
          <w:sz w:val="21"/>
          <w:szCs w:val="21"/>
        </w:rPr>
      </w:pPr>
      <w:r>
        <w:rPr>
          <w:rFonts w:hint="eastAsia"/>
          <w:sz w:val="21"/>
          <w:szCs w:val="21"/>
        </w:rPr>
        <w:t xml:space="preserve">8、本基金可投资资产支持证券（ABS）。资产支持证券（ABS）是一种债券性质的金融工具，以资产信用为支持，所面临的风险主要包括交易结构风险、各种原因导致的基础资产池现金流与对应证券现金流不匹配产生的信用风险、市场交易不活跃导致的流动性风险等。 </w:t>
      </w:r>
    </w:p>
    <w:p>
      <w:pPr>
        <w:pStyle w:val="7"/>
        <w:spacing w:before="0" w:beforeAutospacing="0" w:after="0" w:afterAutospacing="0" w:line="360" w:lineRule="auto"/>
        <w:ind w:firstLine="420"/>
        <w:rPr>
          <w:sz w:val="21"/>
          <w:szCs w:val="21"/>
        </w:rPr>
      </w:pPr>
      <w:r>
        <w:rPr>
          <w:rFonts w:hint="eastAsia"/>
          <w:sz w:val="21"/>
          <w:szCs w:val="21"/>
        </w:rPr>
        <w:t xml:space="preserve">9、本基金可投资国债期货。国债期货采用保证金交易制度，由于保证金交易具有杠杆性，当出现不利行情时，指数微小的变动就可能会使投资者权益遭受较大损失。国债期货采用每日无负债结算制度，如果没有在规定的时间内补足保证金，按规定将被强制平仓，可能给投资带来重大损失。 </w:t>
      </w:r>
    </w:p>
    <w:p>
      <w:pPr>
        <w:pStyle w:val="7"/>
        <w:spacing w:before="0" w:beforeAutospacing="0" w:after="0" w:afterAutospacing="0" w:line="360" w:lineRule="auto"/>
        <w:ind w:firstLine="420"/>
        <w:rPr>
          <w:sz w:val="21"/>
          <w:szCs w:val="21"/>
        </w:rPr>
      </w:pPr>
      <w:r>
        <w:rPr>
          <w:rFonts w:hint="eastAsia"/>
          <w:sz w:val="21"/>
          <w:szCs w:val="21"/>
        </w:rPr>
        <w:t xml:space="preserve">10、为对冲信用风险，本基金可能投资于信用衍生品，信用衍生品投资可能面临流动性风险、偿付风险以及价格波动风险。 </w:t>
      </w:r>
    </w:p>
    <w:p>
      <w:pPr>
        <w:pStyle w:val="7"/>
        <w:spacing w:before="0" w:beforeAutospacing="0" w:after="0" w:afterAutospacing="0" w:line="360" w:lineRule="auto"/>
        <w:ind w:firstLine="420"/>
        <w:rPr>
          <w:sz w:val="21"/>
          <w:szCs w:val="21"/>
        </w:rPr>
      </w:pPr>
      <w:r>
        <w:rPr>
          <w:rFonts w:hint="eastAsia"/>
          <w:sz w:val="21"/>
          <w:szCs w:val="21"/>
        </w:rPr>
        <w:t xml:space="preserve">11、本基金可投资于可转换债券（含分离交易可转债）、可交换债券，其风险高于不投资于可转换债券（含分离交易可转债）、可交换债券的纯债型基金。本基金投资可转换债券及可交换债券的比例合计不高于基金资产的20%。 </w:t>
      </w:r>
    </w:p>
    <w:p>
      <w:pPr>
        <w:pStyle w:val="7"/>
        <w:spacing w:before="0" w:beforeAutospacing="0" w:after="0" w:afterAutospacing="0" w:line="360" w:lineRule="auto"/>
        <w:ind w:firstLine="420"/>
        <w:rPr>
          <w:sz w:val="21"/>
          <w:szCs w:val="21"/>
        </w:rPr>
      </w:pPr>
      <w:r>
        <w:rPr>
          <w:rFonts w:hint="eastAsia"/>
          <w:sz w:val="21"/>
          <w:szCs w:val="21"/>
        </w:rPr>
        <w:t xml:space="preserve">12、本基金为发起式基金，本基金的基金合同生效之日起三年后的对应日，若基金资产净值低于两亿元的，本基金将根据基金合同的约定进行基金财产清算并终止，无需召开基金份额持有人大会审议，且不得通过召开基金份额持有人大会的方式延续。故本基金面临自动清盘的风险。 </w:t>
      </w:r>
    </w:p>
    <w:p>
      <w:pPr>
        <w:pStyle w:val="7"/>
        <w:spacing w:before="0" w:beforeAutospacing="0" w:after="0" w:afterAutospacing="0" w:line="360" w:lineRule="auto"/>
        <w:ind w:firstLine="420"/>
        <w:rPr>
          <w:sz w:val="21"/>
          <w:szCs w:val="21"/>
        </w:rPr>
      </w:pPr>
      <w:r>
        <w:rPr>
          <w:rFonts w:hint="eastAsia"/>
          <w:sz w:val="21"/>
          <w:szCs w:val="21"/>
        </w:rPr>
        <w:t xml:space="preserve">13、本基金以定期开放的方式运作，即采用封闭运作和开放运作交替循环的方式。自基金合同生效日起（包括基金合同生效日）或者每一个开放期结束之日次日起（包括该日）一年的期间内，本基金采取封闭运作模式，基金份额持有人不能赎回基金份额，因此，若基金份额持有人错过某一开放期而未能赎回，其份额可能将转入下一封闭期，至下一开放期方可赎回。 </w:t>
      </w:r>
    </w:p>
    <w:p>
      <w:pPr>
        <w:pStyle w:val="7"/>
        <w:spacing w:before="0" w:beforeAutospacing="0" w:after="0" w:afterAutospacing="0" w:line="360" w:lineRule="auto"/>
        <w:ind w:firstLine="420"/>
        <w:rPr>
          <w:sz w:val="21"/>
          <w:szCs w:val="21"/>
        </w:rPr>
      </w:pPr>
      <w:r>
        <w:rPr>
          <w:rFonts w:hint="eastAsia"/>
          <w:sz w:val="21"/>
          <w:szCs w:val="21"/>
        </w:rPr>
        <w:t xml:space="preserve">14、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pPr>
        <w:pStyle w:val="7"/>
        <w:spacing w:before="0" w:beforeAutospacing="0" w:after="0" w:afterAutospacing="0" w:line="360" w:lineRule="auto"/>
        <w:ind w:firstLine="420"/>
        <w:rPr>
          <w:sz w:val="21"/>
          <w:szCs w:val="21"/>
        </w:rPr>
      </w:pPr>
      <w:r>
        <w:rPr>
          <w:rFonts w:hint="eastAsia"/>
          <w:sz w:val="21"/>
          <w:szCs w:val="21"/>
        </w:rPr>
        <w:t xml:space="preserve">15、本基金发售面值为人民币1.00元。在市场波动因素影响下，本基金净值可能低于发售面值，本基金投资者有可能出现亏损。 </w:t>
      </w:r>
    </w:p>
    <w:p>
      <w:pPr>
        <w:pStyle w:val="7"/>
        <w:spacing w:before="0" w:beforeAutospacing="0" w:after="0" w:afterAutospacing="0" w:line="360" w:lineRule="auto"/>
        <w:ind w:firstLine="420"/>
        <w:rPr>
          <w:sz w:val="21"/>
          <w:szCs w:val="21"/>
        </w:rPr>
      </w:pPr>
      <w:r>
        <w:rPr>
          <w:rFonts w:hint="eastAsia"/>
          <w:sz w:val="21"/>
          <w:szCs w:val="21"/>
        </w:rPr>
        <w:t xml:space="preserve">16、基金的过往业绩并不预示其未来表现，基金管理人管理的其他基金的业绩也不构成对本基金业绩表现的保证。 </w:t>
      </w:r>
    </w:p>
    <w:p>
      <w:pPr>
        <w:pStyle w:val="7"/>
        <w:spacing w:before="0" w:beforeAutospacing="0" w:after="0" w:afterAutospacing="0" w:line="360" w:lineRule="auto"/>
        <w:ind w:firstLine="420"/>
        <w:rPr>
          <w:sz w:val="21"/>
          <w:szCs w:val="21"/>
        </w:rPr>
      </w:pPr>
      <w:r>
        <w:rPr>
          <w:rFonts w:hint="eastAsia"/>
          <w:sz w:val="21"/>
          <w:szCs w:val="21"/>
        </w:rPr>
        <w:t xml:space="preserve">17、基金管理人依照恪尽职守、诚实信用、谨慎勤勉的原则管理和运用基金财产，但不保证基金一定盈利，也不保证最低收益。 </w:t>
      </w:r>
    </w:p>
    <w:p>
      <w:pPr>
        <w:pStyle w:val="7"/>
        <w:spacing w:before="0" w:beforeAutospacing="0" w:after="0" w:afterAutospacing="0" w:line="360" w:lineRule="auto"/>
        <w:ind w:firstLine="420"/>
        <w:rPr>
          <w:sz w:val="21"/>
          <w:szCs w:val="21"/>
        </w:rPr>
      </w:pPr>
      <w:r>
        <w:rPr>
          <w:rFonts w:hint="eastAsia"/>
          <w:sz w:val="21"/>
          <w:szCs w:val="21"/>
        </w:rPr>
        <w:t xml:space="preserve">18、本基金单一投资者持有的基金份额或者构成一致行动人的多个投资者持有的基金份额可达到或者超过50%，基金不向个人投资者公开发售。法律法规或监管机构另有约定的除外。 </w:t>
      </w:r>
    </w:p>
    <w:p>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2"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5</w:t>
      </w:r>
      <w:r>
        <w:rPr>
          <w:sz w:val="21"/>
          <w:szCs w:val="21"/>
        </w:rPr>
        <w:t>月</w:t>
      </w:r>
      <w:r>
        <w:rPr>
          <w:rFonts w:hint="eastAsia"/>
          <w:sz w:val="21"/>
          <w:szCs w:val="21"/>
          <w:lang w:val="en-US" w:eastAsia="zh-CN"/>
        </w:rPr>
        <w:t>7</w:t>
      </w:r>
      <w:r>
        <w:rPr>
          <w:sz w:val="21"/>
          <w:szCs w:val="21"/>
        </w:rPr>
        <w:t>日</w:t>
      </w:r>
      <w:bookmarkEnd w:id="2"/>
      <w:r>
        <w:rPr>
          <w:rFonts w:hint="eastAsia"/>
          <w:sz w:val="21"/>
          <w:szCs w:val="21"/>
        </w:rPr>
        <w:t>，有关财务数据和净值表现截止日为</w:t>
      </w:r>
      <w:bookmarkStart w:id="3" w:name="field_2343_financeendday_1"/>
      <w:r>
        <w:rPr>
          <w:sz w:val="21"/>
          <w:szCs w:val="21"/>
        </w:rPr>
        <w:t>2025年6月30日</w:t>
      </w:r>
      <w:bookmarkEnd w:id="3"/>
      <w:r>
        <w:rPr>
          <w:rFonts w:hint="eastAsia"/>
          <w:sz w:val="21"/>
          <w:szCs w:val="21"/>
        </w:rPr>
        <w:t xml:space="preserve">（财务数据未经审计）。 </w:t>
      </w:r>
      <w:r>
        <w:rPr>
          <w:sz w:val="30"/>
        </w:rPr>
        <w:br w:type="page"/>
      </w:r>
    </w:p>
    <w:p>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pPr>
        <w:pStyle w:val="6"/>
        <w:tabs>
          <w:tab w:val="right" w:leader="dot" w:pos="8290"/>
        </w:tabs>
        <w:spacing w:line="360" w:lineRule="auto"/>
        <w:rPr>
          <w:rFonts w:ascii="宋体" w:hAnsi="宋体" w:eastAsia="宋体"/>
        </w:rPr>
      </w:pPr>
      <w:r>
        <w:fldChar w:fldCharType="begin"/>
      </w:r>
      <w:r>
        <w:instrText xml:space="preserve"> HYPERLINK \l "_Toc207947145"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_Toc207947145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"_Toc207947146"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_Toc207947146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"_Toc207947147"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_Toc207947147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"_Toc207947148"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_Toc207947148 \h </w:instrText>
      </w:r>
      <w:r>
        <w:rPr>
          <w:rFonts w:ascii="宋体" w:hAnsi="宋体" w:eastAsia="宋体"/>
        </w:rPr>
        <w:fldChar w:fldCharType="separate"/>
      </w:r>
      <w:r>
        <w:rPr>
          <w:rFonts w:ascii="宋体" w:hAnsi="宋体" w:eastAsia="宋体"/>
        </w:rPr>
        <w:t>13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"_Toc207947149"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_Toc207947149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"_Toc207947150"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_Toc207947150 \h </w:instrText>
      </w:r>
      <w:r>
        <w:rPr>
          <w:rFonts w:ascii="宋体" w:hAnsi="宋体" w:eastAsia="宋体"/>
        </w:rPr>
        <w:fldChar w:fldCharType="separate"/>
      </w:r>
      <w:r>
        <w:rPr>
          <w:rFonts w:ascii="宋体" w:hAnsi="宋体" w:eastAsia="宋体"/>
        </w:rPr>
        <w:t>27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"_Toc207947151"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_Toc207947151 \h </w:instrText>
      </w:r>
      <w:r>
        <w:rPr>
          <w:rFonts w:ascii="宋体" w:hAnsi="宋体" w:eastAsia="宋体"/>
        </w:rPr>
        <w:fldChar w:fldCharType="separate"/>
      </w:r>
      <w:r>
        <w:rPr>
          <w:rFonts w:ascii="宋体" w:hAnsi="宋体" w:eastAsia="宋体"/>
        </w:rPr>
        <w:t>30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"_Toc207947152"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_Toc207947152 \h </w:instrText>
      </w:r>
      <w:r>
        <w:rPr>
          <w:rFonts w:ascii="宋体" w:hAnsi="宋体" w:eastAsia="宋体"/>
        </w:rPr>
        <w:fldChar w:fldCharType="separate"/>
      </w:r>
      <w:r>
        <w:rPr>
          <w:rFonts w:ascii="宋体" w:hAnsi="宋体" w:eastAsia="宋体"/>
        </w:rPr>
        <w:t>31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"_Toc207947153"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_Toc207947153 \h </w:instrText>
      </w:r>
      <w:r>
        <w:rPr>
          <w:rFonts w:ascii="宋体" w:hAnsi="宋体" w:eastAsia="宋体"/>
        </w:rPr>
        <w:fldChar w:fldCharType="separate"/>
      </w:r>
      <w:r>
        <w:rPr>
          <w:rFonts w:ascii="宋体" w:hAnsi="宋体" w:eastAsia="宋体"/>
        </w:rPr>
        <w:t>41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"_Toc207947154"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_Toc207947154 \h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"_Toc207947155"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_Toc207947155 \h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"_Toc207947156"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_Toc207947156 \h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"_Toc207947157"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_Toc207947157 \h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"_Toc207947158"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_Toc207947158 \h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"_Toc207947159"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_Toc207947159 \h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"_Toc207947160"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_Toc207947160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"_Toc207947161"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_Toc207947161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"_Toc207947162"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_Toc207947162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"_Toc207947163"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_Toc207947163 \h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"_Toc207947164"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_Toc207947164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"_Toc207947165"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_Toc207947165 \h </w:instrText>
      </w:r>
      <w:r>
        <w:rPr>
          <w:rFonts w:ascii="宋体" w:hAnsi="宋体" w:eastAsia="宋体"/>
        </w:rPr>
        <w:fldChar w:fldCharType="separate"/>
      </w:r>
      <w:r>
        <w:rPr>
          <w:rFonts w:ascii="宋体" w:hAnsi="宋体" w:eastAsia="宋体"/>
        </w:rPr>
        <w:t>99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"_Toc207947166"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_Toc207947166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"_Toc207947167"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_Toc207947167 \h </w:instrText>
      </w:r>
      <w:r>
        <w:rPr>
          <w:rFonts w:ascii="宋体" w:hAnsi="宋体" w:eastAsia="宋体"/>
        </w:rPr>
        <w:fldChar w:fldCharType="separate"/>
      </w:r>
      <w:r>
        <w:rPr>
          <w:rFonts w:ascii="宋体" w:hAnsi="宋体" w:eastAsia="宋体"/>
        </w:rPr>
        <w:t>120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"_Toc207947168"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_Toc207947168 \h </w:instrText>
      </w:r>
      <w:r>
        <w:rPr>
          <w:rFonts w:ascii="宋体" w:hAnsi="宋体" w:eastAsia="宋体"/>
        </w:rPr>
        <w:fldChar w:fldCharType="separate"/>
      </w:r>
      <w:r>
        <w:rPr>
          <w:rFonts w:ascii="宋体" w:hAnsi="宋体" w:eastAsia="宋体"/>
        </w:rPr>
        <w:t>122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"_Toc207947169"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_Toc207947169 \h </w:instrText>
      </w:r>
      <w:r>
        <w:rPr>
          <w:rFonts w:ascii="宋体" w:hAnsi="宋体" w:eastAsia="宋体"/>
        </w:rPr>
        <w:fldChar w:fldCharType="separate"/>
      </w:r>
      <w:r>
        <w:rPr>
          <w:rFonts w:ascii="宋体" w:hAnsi="宋体" w:eastAsia="宋体"/>
        </w:rPr>
        <w:t>123</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pPr>
        <w:pStyle w:val="2"/>
        <w:jc w:val="center"/>
        <w:rPr>
          <w:rFonts w:ascii="宋体" w:hAnsi="宋体" w:eastAsia="宋体"/>
          <w:sz w:val="30"/>
        </w:rPr>
      </w:pPr>
      <w:bookmarkStart w:id="4" w:name="_Toc207947146"/>
      <w:bookmarkStart w:id="5" w:name="chapter_level1_3_2344"/>
      <w:r>
        <w:rPr>
          <w:rFonts w:hint="eastAsia" w:ascii="宋体" w:hAnsi="宋体" w:eastAsia="宋体"/>
          <w:sz w:val="30"/>
        </w:rPr>
        <w:t>第一部分  绪言</w:t>
      </w:r>
      <w:bookmarkEnd w:id="4"/>
      <w:bookmarkEnd w:id="5"/>
    </w:p>
    <w:p>
      <w:pPr>
        <w:pStyle w:val="7"/>
        <w:spacing w:before="0" w:beforeAutospacing="0" w:after="0" w:afterAutospacing="0" w:line="360" w:lineRule="auto"/>
        <w:ind w:firstLine="420"/>
        <w:rPr>
          <w:sz w:val="21"/>
          <w:szCs w:val="21"/>
        </w:rPr>
      </w:pPr>
      <w:bookmarkStart w:id="6" w:name="chapter_level1_3_2344_section_1"/>
      <w:bookmarkEnd w:id="6"/>
      <w:r>
        <w:rPr>
          <w:rFonts w:hint="eastAsia"/>
          <w:sz w:val="21"/>
          <w:szCs w:val="21"/>
        </w:rPr>
        <w:t>《</w:t>
      </w:r>
      <w:bookmarkStart w:id="7" w:name="field_0_productfullname_2"/>
      <w:r>
        <w:rPr>
          <w:rFonts w:hint="eastAsia"/>
          <w:sz w:val="21"/>
          <w:szCs w:val="21"/>
        </w:rPr>
        <w:t>博时富耀纯债一年定期开放债券型发起式证券投资基金</w:t>
      </w:r>
      <w:bookmarkEnd w:id="7"/>
      <w:r>
        <w:rPr>
          <w:rFonts w:hint="eastAsia"/>
          <w:sz w:val="21"/>
          <w:szCs w:val="21"/>
        </w:rPr>
        <w:t>招募说明书》（以下简称“招募说明书”或“本招募说明书”）依照《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8" w:name="field_0_productfullname_3"/>
      <w:r>
        <w:rPr>
          <w:rFonts w:hint="eastAsia"/>
          <w:sz w:val="21"/>
          <w:szCs w:val="21"/>
        </w:rPr>
        <w:t>博时富耀纯债一年定期开放债券型发起式证券投资基金</w:t>
      </w:r>
      <w:bookmarkEnd w:id="8"/>
      <w:r>
        <w:rPr>
          <w:rFonts w:hint="eastAsia"/>
          <w:sz w:val="21"/>
          <w:szCs w:val="21"/>
        </w:rPr>
        <w:t xml:space="preserve">基金合同》（以下简称“基金合同”）编写。 </w:t>
      </w:r>
    </w:p>
    <w:p>
      <w:pPr>
        <w:pStyle w:val="7"/>
        <w:spacing w:before="0" w:beforeAutospacing="0" w:after="0" w:afterAutospacing="0" w:line="360" w:lineRule="auto"/>
        <w:ind w:firstLine="420"/>
        <w:rPr>
          <w:sz w:val="21"/>
          <w:szCs w:val="21"/>
        </w:rPr>
      </w:pPr>
      <w:r>
        <w:rPr>
          <w:rFonts w:hint="eastAsia"/>
          <w:sz w:val="21"/>
          <w:szCs w:val="21"/>
        </w:rPr>
        <w:t>本招募说明书阐述了</w:t>
      </w:r>
      <w:bookmarkStart w:id="9" w:name="field_0_productfullname_4"/>
      <w:r>
        <w:rPr>
          <w:rFonts w:hint="eastAsia"/>
          <w:sz w:val="21"/>
          <w:szCs w:val="21"/>
        </w:rPr>
        <w:t>博时富耀纯债一年定期开放债券型发起式证券投资基金</w:t>
      </w:r>
      <w:bookmarkEnd w:id="9"/>
      <w:r>
        <w:rPr>
          <w:rFonts w:hint="eastAsia"/>
          <w:sz w:val="21"/>
          <w:szCs w:val="21"/>
        </w:rPr>
        <w:t xml:space="preserve">的投资目标、策略、风险、费率等与投资人投资决策有关的必要事项，投资人在作出投资决策前应仔细阅读本招募说明书。 </w:t>
      </w:r>
    </w:p>
    <w:p>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pPr>
        <w:pStyle w:val="7"/>
        <w:spacing w:before="0" w:beforeAutospacing="0" w:after="0" w:afterAutospacing="0" w:line="360" w:lineRule="auto"/>
        <w:ind w:firstLine="420"/>
        <w:rPr>
          <w:sz w:val="21"/>
          <w:szCs w:val="21"/>
        </w:rPr>
      </w:pPr>
      <w:bookmarkStart w:id="10" w:name="field_0_productfullname_5"/>
      <w:r>
        <w:rPr>
          <w:rFonts w:hint="eastAsia"/>
          <w:sz w:val="21"/>
          <w:szCs w:val="21"/>
        </w:rPr>
        <w:t>博时富耀纯债一年定期开放债券型发起式证券投资基金</w:t>
      </w:r>
      <w:bookmarkEnd w:id="10"/>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1" w:name="chapter_level1_3_2344_section_1_end"/>
      <w:bookmarkEnd w:id="11"/>
      <w:r>
        <w:rPr>
          <w:rFonts w:hint="eastAsia"/>
          <w:sz w:val="21"/>
          <w:szCs w:val="21"/>
        </w:rPr>
        <w:t xml:space="preserve">了解基金份额持有人的权利和义务，应详细查阅基金合同。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 w:name="_Toc207947147"/>
      <w:bookmarkStart w:id="13" w:name="chapter_level1_4_49"/>
      <w:r>
        <w:rPr>
          <w:rFonts w:hint="eastAsia" w:ascii="宋体" w:hAnsi="宋体" w:eastAsia="宋体"/>
          <w:sz w:val="30"/>
        </w:rPr>
        <w:t>第二部分  释义</w:t>
      </w:r>
      <w:bookmarkEnd w:id="12"/>
      <w:bookmarkEnd w:id="13"/>
    </w:p>
    <w:p>
      <w:pPr>
        <w:pStyle w:val="7"/>
        <w:spacing w:before="0" w:beforeAutospacing="0" w:after="0" w:afterAutospacing="0" w:line="360" w:lineRule="auto"/>
        <w:ind w:firstLine="420"/>
        <w:rPr>
          <w:sz w:val="21"/>
          <w:szCs w:val="21"/>
        </w:rPr>
      </w:pPr>
      <w:bookmarkStart w:id="14" w:name="chapter_level1_4_49_section_1"/>
      <w:bookmarkEnd w:id="14"/>
      <w:r>
        <w:rPr>
          <w:rFonts w:hint="eastAsia"/>
          <w:sz w:val="21"/>
          <w:szCs w:val="21"/>
        </w:rPr>
        <w:t xml:space="preserve">在本招募说明书中，除非文意另有所指，下列词语具有以下含义： </w:t>
      </w:r>
    </w:p>
    <w:p>
      <w:pPr>
        <w:pStyle w:val="7"/>
        <w:spacing w:before="0" w:beforeAutospacing="0" w:after="0" w:afterAutospacing="0" w:line="360" w:lineRule="auto"/>
        <w:ind w:firstLine="420"/>
        <w:rPr>
          <w:sz w:val="21"/>
          <w:szCs w:val="21"/>
        </w:rPr>
      </w:pPr>
      <w:r>
        <w:rPr>
          <w:rFonts w:hint="eastAsia"/>
          <w:sz w:val="21"/>
          <w:szCs w:val="21"/>
        </w:rPr>
        <w:t>1、基金或本基金：指</w:t>
      </w:r>
      <w:bookmarkStart w:id="15" w:name="field_0_productfullname_6"/>
      <w:r>
        <w:rPr>
          <w:rFonts w:hint="eastAsia"/>
          <w:sz w:val="21"/>
          <w:szCs w:val="21"/>
        </w:rPr>
        <w:t>博时富耀纯债一年定期开放债券型发起式证券投资基金</w:t>
      </w:r>
      <w:bookmarkEnd w:id="15"/>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2、基金管理人：指博时基金管理有限公司 </w:t>
      </w:r>
    </w:p>
    <w:p>
      <w:pPr>
        <w:pStyle w:val="7"/>
        <w:spacing w:before="0" w:beforeAutospacing="0" w:after="0" w:afterAutospacing="0" w:line="360" w:lineRule="auto"/>
        <w:ind w:firstLine="420"/>
        <w:rPr>
          <w:sz w:val="21"/>
          <w:szCs w:val="21"/>
        </w:rPr>
      </w:pPr>
      <w:r>
        <w:rPr>
          <w:rFonts w:hint="eastAsia"/>
          <w:sz w:val="21"/>
          <w:szCs w:val="21"/>
        </w:rPr>
        <w:t>3、基金托管人：指</w:t>
      </w:r>
      <w:bookmarkStart w:id="16" w:name="field_0_trustorgfullname_1"/>
      <w:r>
        <w:rPr>
          <w:rFonts w:hint="eastAsia"/>
          <w:sz w:val="21"/>
          <w:szCs w:val="21"/>
        </w:rPr>
        <w:t>中国光大银行股份有限公司</w:t>
      </w:r>
      <w:bookmarkEnd w:id="16"/>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4、基金合同或《基金合同》：指《</w:t>
      </w:r>
      <w:bookmarkStart w:id="17" w:name="field_0_productfullname_7"/>
      <w:r>
        <w:rPr>
          <w:rFonts w:hint="eastAsia"/>
          <w:sz w:val="21"/>
          <w:szCs w:val="21"/>
        </w:rPr>
        <w:t>博时富耀纯债一年定期开放债券型发起式证券投资基金</w:t>
      </w:r>
      <w:bookmarkEnd w:id="17"/>
      <w:r>
        <w:rPr>
          <w:rFonts w:hint="eastAsia"/>
          <w:sz w:val="21"/>
          <w:szCs w:val="21"/>
        </w:rPr>
        <w:t xml:space="preserve">基金合同》及对基金合同的任何有效修订和补充 </w:t>
      </w:r>
    </w:p>
    <w:p>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8" w:name="field_0_productfullname_8"/>
      <w:r>
        <w:rPr>
          <w:rFonts w:hint="eastAsia"/>
          <w:sz w:val="21"/>
          <w:szCs w:val="21"/>
        </w:rPr>
        <w:t>博时富耀纯债一年定期开放债券型发起式证券投资基金</w:t>
      </w:r>
      <w:bookmarkEnd w:id="18"/>
      <w:r>
        <w:rPr>
          <w:rFonts w:hint="eastAsia"/>
          <w:sz w:val="21"/>
          <w:szCs w:val="21"/>
        </w:rPr>
        <w:t xml:space="preserve">托管协议》及对该托管协议的任何有效修订和补充 </w:t>
      </w:r>
    </w:p>
    <w:p>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19" w:name="field_0_productfullname_9"/>
      <w:r>
        <w:rPr>
          <w:rFonts w:hint="eastAsia"/>
          <w:sz w:val="21"/>
          <w:szCs w:val="21"/>
        </w:rPr>
        <w:t>博时富耀纯债一年定期开放债券型发起式证券投资基金</w:t>
      </w:r>
      <w:bookmarkEnd w:id="19"/>
      <w:r>
        <w:rPr>
          <w:rFonts w:hint="eastAsia"/>
          <w:sz w:val="21"/>
          <w:szCs w:val="21"/>
        </w:rPr>
        <w:t xml:space="preserve">招募说明书》及其更新 </w:t>
      </w:r>
    </w:p>
    <w:p>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0" w:name="field_0_productfullname_10"/>
      <w:r>
        <w:rPr>
          <w:rFonts w:hint="eastAsia"/>
          <w:sz w:val="21"/>
          <w:szCs w:val="21"/>
        </w:rPr>
        <w:t>博时富耀纯债一年定期开放债券型发起式证券投资基金</w:t>
      </w:r>
      <w:bookmarkEnd w:id="20"/>
      <w:r>
        <w:rPr>
          <w:rFonts w:hint="eastAsia"/>
          <w:sz w:val="21"/>
          <w:szCs w:val="21"/>
        </w:rPr>
        <w:t xml:space="preserve">基金产品资料概要》及其更新 </w:t>
      </w:r>
    </w:p>
    <w:p>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1" w:name="field_0_productfullname_11"/>
      <w:r>
        <w:rPr>
          <w:rFonts w:hint="eastAsia"/>
          <w:sz w:val="21"/>
          <w:szCs w:val="21"/>
        </w:rPr>
        <w:t>博时富耀纯债一年定期开放债券型发起式证券投资基金</w:t>
      </w:r>
      <w:bookmarkEnd w:id="21"/>
      <w:r>
        <w:rPr>
          <w:rFonts w:hint="eastAsia"/>
          <w:sz w:val="21"/>
          <w:szCs w:val="21"/>
        </w:rPr>
        <w:t xml:space="preserve">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11、《销售办法》：指中国证监会2020年8月28日颁布、同年10月1日实施的《公开募集证券投资基金销售机构监督管理办法》及颁布机关对其不时做出的修订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并经2020年3月20日中国证监会《关于修改部分证券期货规章的决定》修改的《公开募集证券投资基金信息披露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18、个人投资者：指依据有关法律法规规定可投资于证券投资基金的自然人，本基金为定制基金，不向个人投资者公开发售。法律法规或监管机构另有约定的除外 </w:t>
      </w:r>
    </w:p>
    <w:p>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20、合格境外机构投资者：指符合《合格境外机构投资者和人民币合格境外机构投资者境内证券期货投资管理办法》及相关法律法规规定可以投资于在中国境内依法募集的证券投资基金的中国境外的机构投资者 </w:t>
      </w:r>
    </w:p>
    <w:p>
      <w:pPr>
        <w:pStyle w:val="7"/>
        <w:spacing w:before="0" w:beforeAutospacing="0" w:after="0" w:afterAutospacing="0" w:line="360" w:lineRule="auto"/>
        <w:ind w:firstLine="420"/>
        <w:rPr>
          <w:sz w:val="21"/>
          <w:szCs w:val="21"/>
        </w:rPr>
      </w:pPr>
      <w:r>
        <w:rPr>
          <w:rFonts w:hint="eastAsia"/>
          <w:sz w:val="21"/>
          <w:szCs w:val="21"/>
        </w:rPr>
        <w:t xml:space="preserve">21、人民币合格境外机构投资者：指按照《合格境外机构投资者和人民币合格境外机构投资者境内证券期货投资管理办法》及相关法律法规规定，运用来自境外的人民币资金进行境内证券投资的境外法人 </w:t>
      </w:r>
    </w:p>
    <w:p>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人民币合格境外机构投资者和发起资金提供方以及法律法规或中国证监会允许购买证券投资基金的其他投资人的合称。本基金为定制基金，不向个人投资者公开发售。法律法规或监管机构另有约定的除外 </w:t>
      </w:r>
    </w:p>
    <w:p>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pPr>
        <w:pStyle w:val="7"/>
        <w:spacing w:before="0" w:beforeAutospacing="0" w:after="0" w:afterAutospacing="0" w:line="360" w:lineRule="auto"/>
        <w:ind w:firstLine="420"/>
        <w:rPr>
          <w:sz w:val="21"/>
          <w:szCs w:val="21"/>
        </w:rPr>
      </w:pPr>
      <w:r>
        <w:rPr>
          <w:rFonts w:hint="eastAsia"/>
          <w:sz w:val="21"/>
          <w:szCs w:val="21"/>
        </w:rPr>
        <w:t xml:space="preserve">25、销售机构：指直销机构和代销机构 </w:t>
      </w:r>
    </w:p>
    <w:p>
      <w:pPr>
        <w:pStyle w:val="7"/>
        <w:spacing w:before="0" w:beforeAutospacing="0" w:after="0" w:afterAutospacing="0" w:line="360" w:lineRule="auto"/>
        <w:ind w:firstLine="420"/>
        <w:rPr>
          <w:sz w:val="21"/>
          <w:szCs w:val="21"/>
        </w:rPr>
      </w:pPr>
      <w:r>
        <w:rPr>
          <w:rFonts w:hint="eastAsia"/>
          <w:sz w:val="21"/>
          <w:szCs w:val="21"/>
        </w:rPr>
        <w:t xml:space="preserve">26、直销机构：指博时基金管理有限公司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pPr>
        <w:pStyle w:val="7"/>
        <w:spacing w:before="0" w:beforeAutospacing="0" w:after="0" w:afterAutospacing="0" w:line="360" w:lineRule="auto"/>
        <w:ind w:firstLine="420"/>
        <w:rPr>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pPr>
        <w:pStyle w:val="7"/>
        <w:spacing w:before="0" w:beforeAutospacing="0" w:after="0" w:afterAutospacing="0" w:line="360" w:lineRule="auto"/>
        <w:ind w:firstLine="420"/>
        <w:rPr>
          <w:sz w:val="21"/>
          <w:szCs w:val="21"/>
        </w:rPr>
      </w:pPr>
      <w:r>
        <w:rPr>
          <w:rFonts w:hint="eastAsia"/>
          <w:sz w:val="21"/>
          <w:szCs w:val="21"/>
        </w:rPr>
        <w:t xml:space="preserve">29、登记机构：指办理登记业务的机构。基金的登记机构为博时基金管理有限公司或接受博时基金管理有限公司委托代为办理登记业务的机构 </w:t>
      </w:r>
    </w:p>
    <w:p>
      <w:pPr>
        <w:pStyle w:val="7"/>
        <w:spacing w:before="0" w:beforeAutospacing="0" w:after="0" w:afterAutospacing="0" w:line="360" w:lineRule="auto"/>
        <w:ind w:firstLine="420"/>
        <w:rPr>
          <w:sz w:val="21"/>
          <w:szCs w:val="21"/>
        </w:rPr>
      </w:pPr>
      <w:r>
        <w:rPr>
          <w:rFonts w:hint="eastAsia"/>
          <w:sz w:val="21"/>
          <w:szCs w:val="21"/>
        </w:rPr>
        <w:t xml:space="preserve">30、基金账户：指登记机构为投资人开立的、记录其持有的、基金管理人所管理的基金份额余额及其变动情况的账户 </w:t>
      </w:r>
    </w:p>
    <w:p>
      <w:pPr>
        <w:pStyle w:val="7"/>
        <w:spacing w:before="0" w:beforeAutospacing="0" w:after="0" w:afterAutospacing="0" w:line="360" w:lineRule="auto"/>
        <w:ind w:firstLine="420"/>
        <w:rPr>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pPr>
        <w:pStyle w:val="7"/>
        <w:spacing w:before="0" w:beforeAutospacing="0" w:after="0" w:afterAutospacing="0" w:line="360" w:lineRule="auto"/>
        <w:ind w:firstLine="420"/>
        <w:rPr>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pPr>
        <w:pStyle w:val="7"/>
        <w:spacing w:before="0" w:beforeAutospacing="0" w:after="0" w:afterAutospacing="0" w:line="360" w:lineRule="auto"/>
        <w:ind w:firstLine="420"/>
        <w:rPr>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pPr>
        <w:pStyle w:val="7"/>
        <w:spacing w:before="0" w:beforeAutospacing="0" w:after="0" w:afterAutospacing="0" w:line="360" w:lineRule="auto"/>
        <w:ind w:firstLine="420"/>
        <w:rPr>
          <w:sz w:val="21"/>
          <w:szCs w:val="21"/>
        </w:rPr>
      </w:pPr>
      <w:r>
        <w:rPr>
          <w:rFonts w:hint="eastAsia"/>
          <w:sz w:val="21"/>
          <w:szCs w:val="21"/>
        </w:rPr>
        <w:t xml:space="preserve">34、基金募集期：指自基金份额发售之日起至发售结束之日止的期间，最长不得超过3个月 </w:t>
      </w:r>
    </w:p>
    <w:p>
      <w:pPr>
        <w:pStyle w:val="7"/>
        <w:spacing w:before="0" w:beforeAutospacing="0" w:after="0" w:afterAutospacing="0" w:line="360" w:lineRule="auto"/>
        <w:ind w:firstLine="420"/>
        <w:rPr>
          <w:sz w:val="21"/>
          <w:szCs w:val="21"/>
        </w:rPr>
      </w:pPr>
      <w:r>
        <w:rPr>
          <w:rFonts w:hint="eastAsia"/>
          <w:sz w:val="21"/>
          <w:szCs w:val="21"/>
        </w:rPr>
        <w:t xml:space="preserve">35、存续期：指基金合同生效至终止之间的不定期期限 </w:t>
      </w:r>
    </w:p>
    <w:p>
      <w:pPr>
        <w:pStyle w:val="7"/>
        <w:spacing w:before="0" w:beforeAutospacing="0" w:after="0" w:afterAutospacing="0" w:line="360" w:lineRule="auto"/>
        <w:ind w:firstLine="420"/>
        <w:rPr>
          <w:sz w:val="21"/>
          <w:szCs w:val="21"/>
        </w:rPr>
      </w:pPr>
      <w:r>
        <w:rPr>
          <w:rFonts w:hint="eastAsia"/>
          <w:sz w:val="21"/>
          <w:szCs w:val="21"/>
        </w:rPr>
        <w:t xml:space="preserve">36、工作日：指上海证券交易所、深圳证券交易所的正常交易日 </w:t>
      </w:r>
    </w:p>
    <w:p>
      <w:pPr>
        <w:pStyle w:val="7"/>
        <w:spacing w:before="0" w:beforeAutospacing="0" w:after="0" w:afterAutospacing="0" w:line="360" w:lineRule="auto"/>
        <w:ind w:firstLine="420"/>
        <w:rPr>
          <w:sz w:val="21"/>
          <w:szCs w:val="21"/>
        </w:rPr>
      </w:pPr>
      <w:r>
        <w:rPr>
          <w:rFonts w:hint="eastAsia"/>
          <w:sz w:val="21"/>
          <w:szCs w:val="21"/>
        </w:rPr>
        <w:t xml:space="preserve">37、T日：指销售机构在规定时间受理投资人申购、赎回或其他业务申请的开放日 </w:t>
      </w:r>
    </w:p>
    <w:p>
      <w:pPr>
        <w:pStyle w:val="7"/>
        <w:spacing w:before="0" w:beforeAutospacing="0" w:after="0" w:afterAutospacing="0" w:line="360" w:lineRule="auto"/>
        <w:ind w:firstLine="420"/>
        <w:rPr>
          <w:sz w:val="21"/>
          <w:szCs w:val="21"/>
        </w:rPr>
      </w:pPr>
      <w:r>
        <w:rPr>
          <w:rFonts w:hint="eastAsia"/>
          <w:sz w:val="21"/>
          <w:szCs w:val="21"/>
        </w:rPr>
        <w:t xml:space="preserve">38、T+n日：指自T日起第n个工作日(不包含T日)，n为自然数 </w:t>
      </w:r>
    </w:p>
    <w:p>
      <w:pPr>
        <w:pStyle w:val="7"/>
        <w:spacing w:before="0" w:beforeAutospacing="0" w:after="0" w:afterAutospacing="0" w:line="360" w:lineRule="auto"/>
        <w:ind w:firstLine="420"/>
        <w:rPr>
          <w:sz w:val="21"/>
          <w:szCs w:val="21"/>
        </w:rPr>
      </w:pPr>
      <w:r>
        <w:rPr>
          <w:rFonts w:hint="eastAsia"/>
          <w:sz w:val="21"/>
          <w:szCs w:val="21"/>
        </w:rPr>
        <w:t xml:space="preserve">39、封闭期：指自基金合同生效之日起（包括基金合同生效之日）或自每一开放期结束之日次日起（包括该日）一年的期间。本基金的第一个封闭期为自基金合同生效日之日起（包括该日）至一年后的对应日前一日（含该日）的期间。下一个封闭期为首个开放期结束之日次日起（包括该日）至一年后的对应日前一日（含该日）的期间，以此类推。如不存在对应日期或该对应日为非工作日的，则顺延至下一工作日。本基金在封闭期内不办理申购与赎回业务（红利再投资除外） </w:t>
      </w:r>
    </w:p>
    <w:p>
      <w:pPr>
        <w:pStyle w:val="7"/>
        <w:spacing w:before="0" w:beforeAutospacing="0" w:after="0" w:afterAutospacing="0" w:line="360" w:lineRule="auto"/>
        <w:ind w:firstLine="420"/>
        <w:rPr>
          <w:sz w:val="21"/>
          <w:szCs w:val="21"/>
        </w:rPr>
      </w:pPr>
      <w:r>
        <w:rPr>
          <w:rFonts w:hint="eastAsia"/>
          <w:sz w:val="21"/>
          <w:szCs w:val="21"/>
        </w:rPr>
        <w:t xml:space="preserve">40、开放期：指自封闭期结束之日后第一个工作日起（含该日）1至20个工作日，具体期间由基金管理人在封闭期结束前公告说明，但在开放期内，基金管理人有权延长开放期时间并公告，但开放期最长不可超过20个工作日。开放期内，本基金采取开放运作模式，投资人可办理基金份额申购、赎回或其他业务，开放期未赎回的份额将自动转入下一个封闭期。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 </w:t>
      </w:r>
    </w:p>
    <w:p>
      <w:pPr>
        <w:pStyle w:val="7"/>
        <w:spacing w:before="0" w:beforeAutospacing="0" w:after="0" w:afterAutospacing="0" w:line="360" w:lineRule="auto"/>
        <w:ind w:firstLine="420"/>
        <w:rPr>
          <w:sz w:val="21"/>
          <w:szCs w:val="21"/>
        </w:rPr>
      </w:pPr>
      <w:r>
        <w:rPr>
          <w:rFonts w:hint="eastAsia"/>
          <w:sz w:val="21"/>
          <w:szCs w:val="21"/>
        </w:rPr>
        <w:t xml:space="preserve">41、开放日：指为投资人办理基金份额申购、赎回或其他业务的工作日 </w:t>
      </w:r>
    </w:p>
    <w:p>
      <w:pPr>
        <w:pStyle w:val="7"/>
        <w:spacing w:before="0" w:beforeAutospacing="0" w:after="0" w:afterAutospacing="0" w:line="360" w:lineRule="auto"/>
        <w:ind w:firstLine="420"/>
        <w:rPr>
          <w:sz w:val="21"/>
          <w:szCs w:val="21"/>
        </w:rPr>
      </w:pPr>
      <w:r>
        <w:rPr>
          <w:rFonts w:hint="eastAsia"/>
          <w:sz w:val="21"/>
          <w:szCs w:val="21"/>
        </w:rPr>
        <w:t xml:space="preserve">42、开放时间：指开放日基金接受申购、赎回或其他交易的时间段 </w:t>
      </w:r>
    </w:p>
    <w:p>
      <w:pPr>
        <w:pStyle w:val="7"/>
        <w:spacing w:before="0" w:beforeAutospacing="0" w:after="0" w:afterAutospacing="0" w:line="360" w:lineRule="auto"/>
        <w:ind w:firstLine="420"/>
        <w:rPr>
          <w:sz w:val="21"/>
          <w:szCs w:val="21"/>
        </w:rPr>
      </w:pPr>
      <w:r>
        <w:rPr>
          <w:rFonts w:hint="eastAsia"/>
          <w:sz w:val="21"/>
          <w:szCs w:val="21"/>
        </w:rPr>
        <w:t xml:space="preserve">43、《业务规则》：指《博时基金管理有限公司开放式基金业务规则》，是规范基金管理人所管理的开放式证券投资基金登记方面的业务规则，由基金管理人和投资人共同遵守 </w:t>
      </w:r>
    </w:p>
    <w:p>
      <w:pPr>
        <w:pStyle w:val="7"/>
        <w:spacing w:before="0" w:beforeAutospacing="0" w:after="0" w:afterAutospacing="0" w:line="360" w:lineRule="auto"/>
        <w:ind w:firstLine="420"/>
        <w:rPr>
          <w:sz w:val="21"/>
          <w:szCs w:val="21"/>
        </w:rPr>
      </w:pPr>
      <w:r>
        <w:rPr>
          <w:rFonts w:hint="eastAsia"/>
          <w:sz w:val="21"/>
          <w:szCs w:val="21"/>
        </w:rPr>
        <w:t xml:space="preserve">44、认购：指在基金募集期内，投资人根据基金合同和招募说明书的规定申请购买基金份额的行为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45、申购：指基金合同生效后的开放期内，投资人根据基金合同和招募说明书的规定申请购买基金份额的行为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46、赎回：指基金合同生效后的开放期内，基金份额持有人按基金合同和招募说明书规定的条件要求将基金份额兑换为现金的行为 </w:t>
      </w:r>
    </w:p>
    <w:p>
      <w:pPr>
        <w:pStyle w:val="7"/>
        <w:spacing w:before="0" w:beforeAutospacing="0" w:after="0" w:afterAutospacing="0" w:line="360" w:lineRule="auto"/>
        <w:ind w:firstLine="420"/>
        <w:rPr>
          <w:sz w:val="21"/>
          <w:szCs w:val="21"/>
        </w:rPr>
      </w:pPr>
      <w:r>
        <w:rPr>
          <w:rFonts w:hint="eastAsia"/>
          <w:sz w:val="21"/>
          <w:szCs w:val="21"/>
        </w:rPr>
        <w:t xml:space="preserve">47、基金转换：指基金份额持有人按照基金合同和基金管理人届时有效公告规定的条件，申请将其持有基金管理人管理的、某一基金的基金份额转换为基金管理人管理的其他基金基金份额的行为 </w:t>
      </w:r>
    </w:p>
    <w:p>
      <w:pPr>
        <w:pStyle w:val="7"/>
        <w:spacing w:before="0" w:beforeAutospacing="0" w:after="0" w:afterAutospacing="0" w:line="360" w:lineRule="auto"/>
        <w:ind w:firstLine="420"/>
        <w:rPr>
          <w:sz w:val="21"/>
          <w:szCs w:val="21"/>
        </w:rPr>
      </w:pPr>
      <w:r>
        <w:rPr>
          <w:rFonts w:hint="eastAsia"/>
          <w:sz w:val="21"/>
          <w:szCs w:val="21"/>
        </w:rPr>
        <w:t xml:space="preserve">48、非交易过户：基金的非交易过户是指基金登记机构受理继承、捐赠和司法强制执行等情形而产生的非交易过户以及登记机构认可、符合法律法规的其它非交易过户 </w:t>
      </w:r>
    </w:p>
    <w:p>
      <w:pPr>
        <w:pStyle w:val="7"/>
        <w:spacing w:before="0" w:beforeAutospacing="0" w:after="0" w:afterAutospacing="0" w:line="360" w:lineRule="auto"/>
        <w:ind w:firstLine="420"/>
        <w:rPr>
          <w:sz w:val="21"/>
          <w:szCs w:val="21"/>
        </w:rPr>
      </w:pPr>
      <w:r>
        <w:rPr>
          <w:rFonts w:hint="eastAsia"/>
          <w:sz w:val="21"/>
          <w:szCs w:val="21"/>
        </w:rPr>
        <w:t xml:space="preserve">49、转托管：指基金份额持有人在本基金的不同销售机构之间实施的变更所持基金份额销售机构的操作 </w:t>
      </w:r>
    </w:p>
    <w:p>
      <w:pPr>
        <w:pStyle w:val="7"/>
        <w:spacing w:before="0" w:beforeAutospacing="0" w:after="0" w:afterAutospacing="0" w:line="360" w:lineRule="auto"/>
        <w:ind w:firstLine="420"/>
        <w:rPr>
          <w:sz w:val="21"/>
          <w:szCs w:val="21"/>
        </w:rPr>
      </w:pPr>
      <w:r>
        <w:rPr>
          <w:rFonts w:hint="eastAsia"/>
          <w:sz w:val="21"/>
          <w:szCs w:val="21"/>
        </w:rPr>
        <w:t xml:space="preserve">50、定期定额投资计划：指投资人通过有关销售机构提出申请，约定每期申购日、扣款金额及扣款方式，由销售机构于每期约定扣款日在投资人指定银行账户内自动完成扣款及受理基金申购申请的一种投资方式 </w:t>
      </w:r>
    </w:p>
    <w:p>
      <w:pPr>
        <w:pStyle w:val="7"/>
        <w:spacing w:before="0" w:beforeAutospacing="0" w:after="0" w:afterAutospacing="0" w:line="360" w:lineRule="auto"/>
        <w:ind w:firstLine="420"/>
        <w:rPr>
          <w:sz w:val="21"/>
          <w:szCs w:val="21"/>
        </w:rPr>
      </w:pPr>
      <w:r>
        <w:rPr>
          <w:rFonts w:hint="eastAsia"/>
          <w:sz w:val="21"/>
          <w:szCs w:val="21"/>
        </w:rPr>
        <w:t>51、巨额赎回：指本基金开放期内单个开放日，基金净赎回申请(赎回申请份额总数加上基金转换中转出申请份额总数后扣除申购申请份额总数及基金转换中转入申请份额总数后的余额)超过上一工作日基金总份额的</w:t>
      </w:r>
      <w:bookmarkStart w:id="22" w:name="field_49_mintredeemscale_1"/>
      <w:r>
        <w:rPr>
          <w:sz w:val="21"/>
          <w:szCs w:val="21"/>
        </w:rPr>
        <w:t>20</w:t>
      </w:r>
      <w:bookmarkEnd w:id="22"/>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52、元：指人民币元 </w:t>
      </w:r>
    </w:p>
    <w:p>
      <w:pPr>
        <w:pStyle w:val="7"/>
        <w:spacing w:before="0" w:beforeAutospacing="0" w:after="0" w:afterAutospacing="0" w:line="360" w:lineRule="auto"/>
        <w:ind w:firstLine="420"/>
        <w:rPr>
          <w:sz w:val="21"/>
          <w:szCs w:val="21"/>
        </w:rPr>
      </w:pPr>
      <w:r>
        <w:rPr>
          <w:rFonts w:hint="eastAsia"/>
          <w:sz w:val="21"/>
          <w:szCs w:val="21"/>
        </w:rPr>
        <w:t xml:space="preserve">53、基金收益：指基金投资所得债券利息、买卖证券价差、银行存款利息、已实现的其他合法收入及因运用基金财产带来的成本和费用的节约 </w:t>
      </w:r>
    </w:p>
    <w:p>
      <w:pPr>
        <w:pStyle w:val="7"/>
        <w:spacing w:before="0" w:beforeAutospacing="0" w:after="0" w:afterAutospacing="0" w:line="360" w:lineRule="auto"/>
        <w:ind w:firstLine="420"/>
        <w:rPr>
          <w:sz w:val="21"/>
          <w:szCs w:val="21"/>
        </w:rPr>
      </w:pPr>
      <w:r>
        <w:rPr>
          <w:rFonts w:hint="eastAsia"/>
          <w:sz w:val="21"/>
          <w:szCs w:val="21"/>
        </w:rPr>
        <w:t xml:space="preserve">54、基金资产总值：指基金拥有的各类有价证券、银行存款本息、基金应收款项及其他资产的价值总和 </w:t>
      </w:r>
    </w:p>
    <w:p>
      <w:pPr>
        <w:pStyle w:val="7"/>
        <w:spacing w:before="0" w:beforeAutospacing="0" w:after="0" w:afterAutospacing="0" w:line="360" w:lineRule="auto"/>
        <w:ind w:firstLine="420"/>
        <w:rPr>
          <w:sz w:val="21"/>
          <w:szCs w:val="21"/>
        </w:rPr>
      </w:pPr>
      <w:r>
        <w:rPr>
          <w:rFonts w:hint="eastAsia"/>
          <w:sz w:val="21"/>
          <w:szCs w:val="21"/>
        </w:rPr>
        <w:t xml:space="preserve">55、基金资产净值：指基金资产总值减去基金负债后的价值 </w:t>
      </w:r>
    </w:p>
    <w:p>
      <w:pPr>
        <w:pStyle w:val="7"/>
        <w:spacing w:before="0" w:beforeAutospacing="0" w:after="0" w:afterAutospacing="0" w:line="360" w:lineRule="auto"/>
        <w:ind w:firstLine="420"/>
        <w:rPr>
          <w:sz w:val="21"/>
          <w:szCs w:val="21"/>
        </w:rPr>
      </w:pPr>
      <w:r>
        <w:rPr>
          <w:rFonts w:hint="eastAsia"/>
          <w:sz w:val="21"/>
          <w:szCs w:val="21"/>
        </w:rPr>
        <w:t xml:space="preserve">56、基金份额净值：指估值日基金资产净值除以该估值日基金份额总数 </w:t>
      </w:r>
    </w:p>
    <w:p>
      <w:pPr>
        <w:pStyle w:val="7"/>
        <w:spacing w:before="0" w:beforeAutospacing="0" w:after="0" w:afterAutospacing="0" w:line="360" w:lineRule="auto"/>
        <w:ind w:firstLine="420"/>
        <w:rPr>
          <w:sz w:val="21"/>
          <w:szCs w:val="21"/>
        </w:rPr>
      </w:pPr>
      <w:r>
        <w:rPr>
          <w:rFonts w:hint="eastAsia"/>
          <w:sz w:val="21"/>
          <w:szCs w:val="21"/>
        </w:rPr>
        <w:t xml:space="preserve">57、基金资产估值：指计算评估基金资产和负债的价值，以确定基金资产净值和基金份额净值的过程 </w:t>
      </w:r>
    </w:p>
    <w:p>
      <w:pPr>
        <w:pStyle w:val="7"/>
        <w:spacing w:before="0" w:beforeAutospacing="0" w:after="0" w:afterAutospacing="0" w:line="360" w:lineRule="auto"/>
        <w:ind w:firstLine="420"/>
        <w:rPr>
          <w:sz w:val="21"/>
          <w:szCs w:val="21"/>
        </w:rPr>
      </w:pPr>
      <w:r>
        <w:rPr>
          <w:rFonts w:hint="eastAsia"/>
          <w:sz w:val="21"/>
          <w:szCs w:val="21"/>
        </w:rPr>
        <w:t xml:space="preserve">58、规定媒介：指符合中国证监会规定条件的用以进行信息披露的全国性报刊及《信息披露办法》规定的互联网网站（包括基金管理人网站、基金托管人网站、中国证监会基金电子披露网站）等媒介 </w:t>
      </w:r>
    </w:p>
    <w:p>
      <w:pPr>
        <w:pStyle w:val="7"/>
        <w:spacing w:before="0" w:beforeAutospacing="0" w:after="0" w:afterAutospacing="0" w:line="360" w:lineRule="auto"/>
        <w:ind w:firstLine="420"/>
        <w:rPr>
          <w:sz w:val="21"/>
          <w:szCs w:val="21"/>
        </w:rPr>
      </w:pPr>
      <w:r>
        <w:rPr>
          <w:rFonts w:hint="eastAsia"/>
          <w:sz w:val="21"/>
          <w:szCs w:val="21"/>
        </w:rPr>
        <w:t xml:space="preserve">59、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pPr>
        <w:pStyle w:val="7"/>
        <w:spacing w:before="0" w:beforeAutospacing="0" w:after="0" w:afterAutospacing="0" w:line="360" w:lineRule="auto"/>
        <w:ind w:firstLine="420"/>
        <w:rPr>
          <w:sz w:val="21"/>
          <w:szCs w:val="21"/>
        </w:rPr>
      </w:pPr>
      <w:r>
        <w:rPr>
          <w:rFonts w:hint="eastAsia"/>
          <w:sz w:val="21"/>
          <w:szCs w:val="21"/>
        </w:rPr>
        <w:t xml:space="preserve">60、信用衍生品：指符合证券交易所或银行间市场相关业务规则，专门用于管理信用风险的信用衍生工具 </w:t>
      </w:r>
    </w:p>
    <w:p>
      <w:pPr>
        <w:pStyle w:val="7"/>
        <w:spacing w:before="0" w:beforeAutospacing="0" w:after="0" w:afterAutospacing="0" w:line="360" w:lineRule="auto"/>
        <w:ind w:firstLine="420"/>
        <w:rPr>
          <w:sz w:val="21"/>
          <w:szCs w:val="21"/>
        </w:rPr>
      </w:pPr>
      <w:r>
        <w:rPr>
          <w:rFonts w:hint="eastAsia"/>
          <w:sz w:val="21"/>
          <w:szCs w:val="21"/>
        </w:rPr>
        <w:t xml:space="preserve">61、信用保护买方：亦称信用保护购买方，指接受信用风险保护的一方 </w:t>
      </w:r>
    </w:p>
    <w:p>
      <w:pPr>
        <w:pStyle w:val="7"/>
        <w:spacing w:before="0" w:beforeAutospacing="0" w:after="0" w:afterAutospacing="0" w:line="360" w:lineRule="auto"/>
        <w:ind w:firstLine="420"/>
        <w:rPr>
          <w:sz w:val="21"/>
          <w:szCs w:val="21"/>
        </w:rPr>
      </w:pPr>
      <w:r>
        <w:rPr>
          <w:rFonts w:hint="eastAsia"/>
          <w:sz w:val="21"/>
          <w:szCs w:val="21"/>
        </w:rPr>
        <w:t xml:space="preserve">62、信用保护卖方：亦称信用保护提供方，指提供信用风险保护的一方 </w:t>
      </w:r>
    </w:p>
    <w:p>
      <w:pPr>
        <w:pStyle w:val="7"/>
        <w:spacing w:before="0" w:beforeAutospacing="0" w:after="0" w:afterAutospacing="0" w:line="360" w:lineRule="auto"/>
        <w:ind w:firstLine="420"/>
        <w:rPr>
          <w:sz w:val="21"/>
          <w:szCs w:val="21"/>
        </w:rPr>
      </w:pPr>
      <w:r>
        <w:rPr>
          <w:rFonts w:hint="eastAsia"/>
          <w:sz w:val="21"/>
          <w:szCs w:val="21"/>
        </w:rPr>
        <w:t xml:space="preserve">63、名义本金：亦称交易名义本金，是一笔信用衍生产品交易提供信用风险保护的金额，各项支付和结算以此金额为计算基准 </w:t>
      </w:r>
    </w:p>
    <w:p>
      <w:pPr>
        <w:pStyle w:val="7"/>
        <w:spacing w:before="0" w:beforeAutospacing="0" w:after="0" w:afterAutospacing="0" w:line="360" w:lineRule="auto"/>
        <w:ind w:firstLine="420"/>
        <w:rPr>
          <w:sz w:val="21"/>
          <w:szCs w:val="21"/>
        </w:rPr>
      </w:pPr>
      <w:r>
        <w:rPr>
          <w:rFonts w:hint="eastAsia"/>
          <w:sz w:val="21"/>
          <w:szCs w:val="21"/>
        </w:rPr>
        <w:t xml:space="preserve">64、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pPr>
        <w:pStyle w:val="7"/>
        <w:spacing w:before="0" w:beforeAutospacing="0" w:after="0" w:afterAutospacing="0" w:line="360" w:lineRule="auto"/>
        <w:ind w:firstLine="420"/>
        <w:rPr>
          <w:sz w:val="21"/>
          <w:szCs w:val="21"/>
        </w:rPr>
      </w:pPr>
      <w:r>
        <w:rPr>
          <w:rFonts w:hint="eastAsia"/>
          <w:sz w:val="21"/>
          <w:szCs w:val="21"/>
        </w:rPr>
        <w:t xml:space="preserve">65、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pPr>
        <w:pStyle w:val="7"/>
        <w:spacing w:before="0" w:beforeAutospacing="0" w:after="0" w:afterAutospacing="0" w:line="360" w:lineRule="auto"/>
        <w:ind w:firstLine="420"/>
        <w:rPr>
          <w:sz w:val="21"/>
          <w:szCs w:val="21"/>
        </w:rPr>
      </w:pPr>
      <w:r>
        <w:rPr>
          <w:rFonts w:hint="eastAsia"/>
          <w:sz w:val="21"/>
          <w:szCs w:val="21"/>
        </w:rPr>
        <w:t xml:space="preserve">66、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pPr>
        <w:pStyle w:val="7"/>
        <w:spacing w:before="0" w:beforeAutospacing="0" w:after="0" w:afterAutospacing="0" w:line="360" w:lineRule="auto"/>
        <w:ind w:firstLine="420"/>
        <w:rPr>
          <w:sz w:val="21"/>
          <w:szCs w:val="21"/>
        </w:rPr>
      </w:pPr>
      <w:r>
        <w:rPr>
          <w:rFonts w:hint="eastAsia"/>
          <w:sz w:val="21"/>
          <w:szCs w:val="21"/>
        </w:rPr>
        <w:t xml:space="preserve">67、不可抗力：指基金合同当事人不能预见、不能避免且不能克服的客观事件 </w:t>
      </w:r>
    </w:p>
    <w:p>
      <w:pPr>
        <w:pStyle w:val="7"/>
        <w:spacing w:before="0" w:beforeAutospacing="0" w:after="0" w:afterAutospacing="0" w:line="360" w:lineRule="auto"/>
        <w:ind w:firstLine="420"/>
        <w:rPr>
          <w:sz w:val="21"/>
          <w:szCs w:val="21"/>
        </w:rPr>
      </w:pPr>
      <w:r>
        <w:rPr>
          <w:rFonts w:hint="eastAsia"/>
          <w:sz w:val="21"/>
          <w:szCs w:val="21"/>
        </w:rPr>
        <w:t xml:space="preserve">68、发起资金：指基金管理人的股东资金、基金管理人固有资金、基金管理人高级管理人员或基金经理（指基金管理人员工中依法具有基金经理资格者，包括但可能不限于本基金的基金经理，下同）等人员参与认购的资金 </w:t>
      </w:r>
    </w:p>
    <w:p>
      <w:pPr>
        <w:pStyle w:val="7"/>
        <w:spacing w:before="0" w:beforeAutospacing="0" w:after="0" w:afterAutospacing="0" w:line="360" w:lineRule="auto"/>
        <w:ind w:firstLine="420"/>
        <w:rPr>
          <w:sz w:val="21"/>
          <w:szCs w:val="21"/>
        </w:rPr>
      </w:pPr>
      <w:r>
        <w:rPr>
          <w:rFonts w:hint="eastAsia"/>
          <w:sz w:val="21"/>
          <w:szCs w:val="21"/>
        </w:rPr>
        <w:t>69、发起资金提供方：指以发起资金认购本基金且承诺以发起资金认购的基金份额持有期限不少于3年的基金管理人股东、基金管理人、基金管理人的高级管理人员及基金经理等</w:t>
      </w:r>
      <w:bookmarkStart w:id="23" w:name="chapter_level1_4_49_section_1_end"/>
      <w:bookmarkEnd w:id="23"/>
      <w:r>
        <w:rPr>
          <w:rFonts w:hint="eastAsia"/>
          <w:sz w:val="21"/>
          <w:szCs w:val="21"/>
        </w:rPr>
        <w:t xml:space="preserve">人员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4" w:name="_Toc207947148"/>
      <w:bookmarkStart w:id="25" w:name="chapter_level1_5_53"/>
      <w:r>
        <w:rPr>
          <w:rFonts w:hint="eastAsia" w:ascii="宋体" w:hAnsi="宋体" w:eastAsia="宋体"/>
          <w:sz w:val="30"/>
        </w:rPr>
        <w:t>第三部分  基金管理人</w:t>
      </w:r>
      <w:bookmarkEnd w:id="24"/>
      <w:bookmarkEnd w:id="25"/>
    </w:p>
    <w:p>
      <w:pPr>
        <w:pStyle w:val="7"/>
        <w:spacing w:before="0" w:beforeAutospacing="0" w:after="0" w:afterAutospacing="0" w:line="360" w:lineRule="auto"/>
        <w:ind w:firstLine="420"/>
        <w:rPr>
          <w:sz w:val="21"/>
          <w:szCs w:val="21"/>
          <w:highlight w:val="none"/>
        </w:rPr>
      </w:pPr>
      <w:bookmarkStart w:id="26" w:name="chapter_level1_5_53_section_1"/>
      <w:bookmarkEnd w:id="26"/>
      <w:r>
        <w:rPr>
          <w:rStyle w:val="11"/>
          <w:rFonts w:hint="eastAsia"/>
          <w:sz w:val="21"/>
          <w:szCs w:val="21"/>
          <w:highlight w:val="none"/>
        </w:rPr>
        <w:t>一、基金管理人概况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pPr>
        <w:pStyle w:val="7"/>
        <w:spacing w:before="0" w:beforeAutospacing="0" w:after="0" w:afterAutospacing="0" w:line="360" w:lineRule="auto"/>
        <w:ind w:firstLine="420"/>
        <w:rPr>
          <w:rFonts w:hint="eastAsia"/>
          <w:sz w:val="21"/>
          <w:szCs w:val="21"/>
          <w:highlight w:val="none"/>
        </w:rPr>
      </w:pPr>
      <w:bookmarkStart w:id="27" w:name="OLE_LINK3"/>
      <w:r>
        <w:rPr>
          <w:rFonts w:hint="eastAsia"/>
          <w:sz w:val="21"/>
          <w:szCs w:val="21"/>
          <w:highlight w:val="none"/>
          <w:lang w:eastAsia="zh-CN"/>
        </w:rPr>
        <w:t>张东先生，</w:t>
      </w:r>
      <w:r>
        <w:rPr>
          <w:rFonts w:hint="eastAsia"/>
          <w:sz w:val="21"/>
          <w:szCs w:val="21"/>
          <w:highlight w:val="none"/>
        </w:rPr>
        <w:t>简历同上。</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27"/>
    <w:p>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pPr>
        <w:pStyle w:val="7"/>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p>
    <w:p>
      <w:pPr>
        <w:pStyle w:val="7"/>
        <w:spacing w:before="0" w:beforeAutospacing="0" w:after="0" w:afterAutospacing="0" w:line="360" w:lineRule="auto"/>
        <w:ind w:firstLine="420"/>
        <w:rPr>
          <w:sz w:val="21"/>
          <w:szCs w:val="21"/>
        </w:rPr>
      </w:pPr>
      <w:bookmarkStart w:id="28" w:name="field_0_fundmanagerresume_1_start"/>
      <w:bookmarkEnd w:id="28"/>
      <w:r>
        <w:rPr>
          <w:rFonts w:hint="eastAsia"/>
          <w:sz w:val="21"/>
          <w:szCs w:val="21"/>
        </w:rPr>
        <w:t>李更先生，硕士。2014年至2015年在华泰资产管理有限公司任交易员。2015年加入博时基金管理有限公司。历任交易员、基金经理助理、博时富添纯债债券型证券投资基金(2022年3月30日-2023年9月26日)、博时现金宝货币市场基金(2022年3月30日-2023年9月26日)、博时富盈一年定期开放债券型发起式证券投资基金(2023年7月20日-2024年9月23日)的基金经理。现任博时季季乐三个月持有期债券型证券投资基金(2022年3月30日—至今)、博时合晶货币市场基金(2022年6月22日—至今)、博时兴盛货币市场基金(2022年6月22日—至今)、博时民丰纯债债券型证券投资基金(2023年5月31日—至今)、博时富耀纯债一年定期开放债券型发起式证券投资基金(2023年6月21日—至今)、博时外服货币市场基金(2023年9月12日—至今)、博时合鑫货币市场基金(2023年9月12日—至今)的基金经理。</w:t>
      </w:r>
    </w:p>
    <w:p>
      <w:pPr>
        <w:pStyle w:val="7"/>
        <w:spacing w:before="0" w:beforeAutospacing="0" w:after="0" w:afterAutospacing="0" w:line="360" w:lineRule="auto"/>
        <w:ind w:firstLine="420"/>
        <w:rPr>
          <w:sz w:val="21"/>
          <w:szCs w:val="21"/>
        </w:rPr>
      </w:pPr>
      <w:bookmarkStart w:id="29" w:name="field_0_fundmanagershis_1_start"/>
      <w:bookmarkEnd w:id="29"/>
      <w:r>
        <w:rPr>
          <w:rFonts w:hint="eastAsia"/>
          <w:sz w:val="21"/>
          <w:szCs w:val="21"/>
        </w:rPr>
        <w:t>本基金历任基金经理：李汉楠（2023年6月7日-2024年6月25</w:t>
      </w:r>
      <w:bookmarkStart w:id="30" w:name="chapter_level1_5_53_section_2_end"/>
      <w:bookmarkEnd w:id="30"/>
      <w:r>
        <w:rPr>
          <w:rFonts w:hint="eastAsia"/>
          <w:sz w:val="21"/>
          <w:szCs w:val="21"/>
        </w:rPr>
        <w:t>日）</w:t>
      </w:r>
      <w:r>
        <w:rPr>
          <w:rFonts w:hint="eastAsia"/>
          <w:sz w:val="21"/>
          <w:szCs w:val="21"/>
          <w:lang w:eastAsia="zh-CN"/>
        </w:rPr>
        <w:t>、</w:t>
      </w:r>
      <w:r>
        <w:rPr>
          <w:rFonts w:hint="eastAsia"/>
          <w:sz w:val="21"/>
          <w:szCs w:val="21"/>
          <w:lang w:val="en-US" w:eastAsia="zh-CN"/>
        </w:rPr>
        <w:t>魏桢（</w:t>
      </w:r>
      <w:r>
        <w:rPr>
          <w:rFonts w:hint="eastAsia"/>
          <w:sz w:val="21"/>
          <w:szCs w:val="21"/>
        </w:rPr>
        <w:t>2023年6月21日—</w:t>
      </w:r>
      <w:r>
        <w:rPr>
          <w:rFonts w:hint="eastAsia"/>
          <w:sz w:val="21"/>
          <w:szCs w:val="21"/>
          <w:lang w:val="en-US" w:eastAsia="zh-CN"/>
        </w:rPr>
        <w:t>2026年5月7日）</w:t>
      </w:r>
      <w:r>
        <w:rPr>
          <w:rFonts w:hint="eastAsia"/>
          <w:sz w:val="21"/>
          <w:szCs w:val="21"/>
        </w:rPr>
        <w:t>。</w:t>
      </w:r>
      <w:bookmarkStart w:id="31" w:name="field_0_fundmanagershis_1_end"/>
      <w:bookmarkEnd w:id="31"/>
      <w:r>
        <w:rPr>
          <w:rFonts w:hint="eastAsia"/>
          <w:sz w:val="21"/>
          <w:szCs w:val="21"/>
        </w:rPr>
        <w:t xml:space="preserve">  </w:t>
      </w:r>
    </w:p>
    <w:p>
      <w:pPr>
        <w:pStyle w:val="7"/>
        <w:spacing w:before="0" w:beforeAutospacing="0" w:after="0" w:afterAutospacing="0" w:line="360" w:lineRule="auto"/>
        <w:ind w:firstLine="420"/>
        <w:rPr>
          <w:rFonts w:hint="eastAsia"/>
          <w:sz w:val="21"/>
          <w:szCs w:val="21"/>
        </w:rPr>
      </w:pPr>
      <w:bookmarkStart w:id="32" w:name="chapter_level1_5_53_section_3"/>
      <w:bookmarkEnd w:id="32"/>
      <w:bookmarkStart w:id="33" w:name="field_0_managerpersoninfo2_1_start"/>
      <w:bookmarkEnd w:id="33"/>
      <w:r>
        <w:rPr>
          <w:rFonts w:hint="eastAsia"/>
          <w:sz w:val="21"/>
          <w:szCs w:val="21"/>
        </w:rPr>
        <w:t xml:space="preserve">4、投资决策委员会成员 </w:t>
      </w:r>
    </w:p>
    <w:p>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pPr>
        <w:pStyle w:val="7"/>
        <w:spacing w:before="0" w:beforeAutospacing="0" w:after="0" w:afterAutospacing="0" w:line="360" w:lineRule="auto"/>
        <w:ind w:firstLine="420"/>
        <w:rPr>
          <w:rFonts w:hint="eastAsia"/>
          <w:sz w:val="21"/>
          <w:szCs w:val="21"/>
        </w:rPr>
      </w:pPr>
      <w:r>
        <w:rPr>
          <w:rFonts w:hint="eastAsia"/>
          <w:sz w:val="21"/>
          <w:szCs w:val="21"/>
        </w:rPr>
        <w:t xml:space="preserve">公司首席资产配置官黄健斌先生。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宏观策略部总经理兼行业研究部研究总监金晟哲先生。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pPr>
        <w:pStyle w:val="7"/>
        <w:spacing w:before="0" w:beforeAutospacing="0" w:after="0" w:afterAutospacing="0" w:line="360" w:lineRule="auto"/>
        <w:ind w:firstLine="420"/>
        <w:rPr>
          <w:sz w:val="21"/>
          <w:szCs w:val="21"/>
        </w:rPr>
      </w:pPr>
      <w:r>
        <w:rPr>
          <w:rFonts w:hint="eastAsia"/>
          <w:sz w:val="21"/>
          <w:szCs w:val="21"/>
        </w:rPr>
        <w:t>5、上述人员之间均不存在近亲属关系。</w:t>
      </w:r>
      <w:bookmarkStart w:id="34" w:name="field_0_managerpersoninfo2_1_end"/>
      <w:bookmarkEnd w:id="34"/>
      <w:r>
        <w:rPr>
          <w:rFonts w:hint="eastAsia"/>
          <w:sz w:val="21"/>
          <w:szCs w:val="21"/>
        </w:rPr>
        <w:t xml:space="preserve">  </w:t>
      </w:r>
    </w:p>
    <w:p>
      <w:pPr>
        <w:pStyle w:val="7"/>
        <w:spacing w:before="0" w:beforeAutospacing="0" w:after="0" w:afterAutospacing="0" w:line="360" w:lineRule="auto"/>
        <w:ind w:firstLine="420"/>
        <w:rPr>
          <w:sz w:val="21"/>
          <w:szCs w:val="21"/>
        </w:rPr>
      </w:pPr>
      <w:bookmarkStart w:id="35" w:name="chapter_level1_5_53_section_4"/>
      <w:bookmarkEnd w:id="35"/>
      <w:r>
        <w:rPr>
          <w:rStyle w:val="11"/>
          <w:rFonts w:hint="eastAsia"/>
          <w:sz w:val="21"/>
          <w:szCs w:val="21"/>
        </w:rPr>
        <w:t>三、基金管理人的职责</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监管机构、司法机关等有权机关要求，或因审计、法律等外部专业顾问提供服务需要提供的情况除外；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16、按规定保存基金财产管理业务活动的会计账册、报表、记录和其他相关资料20年以上，法律法规或监管规则另有规定的从其规定；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1、基金管理人承诺不从事违反《证券法》的行为，并承诺建立健全内部控制制度，采取有效措施，防止违反《证券法》行为的发生； </w:t>
      </w:r>
    </w:p>
    <w:p>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7"/>
        <w:spacing w:before="0" w:beforeAutospacing="0" w:after="0" w:afterAutospacing="0" w:line="360" w:lineRule="auto"/>
        <w:ind w:firstLine="420"/>
        <w:rPr>
          <w:sz w:val="21"/>
          <w:szCs w:val="21"/>
        </w:rPr>
      </w:pPr>
      <w:r>
        <w:rPr>
          <w:rStyle w:val="11"/>
          <w:rFonts w:hint="eastAsia"/>
          <w:sz w:val="21"/>
          <w:szCs w:val="21"/>
        </w:rPr>
        <w:t>五、基金经理承诺</w:t>
      </w:r>
    </w:p>
    <w:p>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pPr>
        <w:pStyle w:val="7"/>
        <w:spacing w:before="0" w:beforeAutospacing="0" w:after="0" w:afterAutospacing="0" w:line="360" w:lineRule="auto"/>
        <w:ind w:firstLine="420"/>
        <w:rPr>
          <w:rStyle w:val="11"/>
          <w:rFonts w:hint="eastAsia"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pPr>
        <w:pStyle w:val="7"/>
        <w:spacing w:before="0" w:beforeAutospacing="0" w:after="0" w:afterAutospacing="0" w:line="360" w:lineRule="auto"/>
        <w:ind w:firstLine="420"/>
        <w:rPr>
          <w:rFonts w:hint="eastAsia"/>
          <w:sz w:val="21"/>
          <w:szCs w:val="21"/>
        </w:rPr>
      </w:pPr>
      <w:r>
        <w:rPr>
          <w:rFonts w:hint="eastAsia"/>
          <w:sz w:val="21"/>
          <w:szCs w:val="21"/>
        </w:rPr>
        <w:t>（1）全面性原则</w:t>
      </w:r>
    </w:p>
    <w:p>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pPr>
        <w:pStyle w:val="7"/>
        <w:spacing w:before="0" w:beforeAutospacing="0" w:after="0" w:afterAutospacing="0" w:line="360" w:lineRule="auto"/>
        <w:ind w:firstLine="420"/>
        <w:rPr>
          <w:rFonts w:hint="eastAsia"/>
          <w:sz w:val="21"/>
          <w:szCs w:val="21"/>
        </w:rPr>
      </w:pPr>
      <w:r>
        <w:rPr>
          <w:rFonts w:hint="eastAsia"/>
          <w:sz w:val="21"/>
          <w:szCs w:val="21"/>
        </w:rPr>
        <w:t>（2）独立性原则</w:t>
      </w:r>
    </w:p>
    <w:p>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pPr>
        <w:pStyle w:val="7"/>
        <w:spacing w:before="0" w:beforeAutospacing="0" w:after="0" w:afterAutospacing="0" w:line="360" w:lineRule="auto"/>
        <w:ind w:firstLine="420"/>
        <w:rPr>
          <w:rFonts w:hint="eastAsia"/>
          <w:sz w:val="21"/>
          <w:szCs w:val="21"/>
        </w:rPr>
      </w:pPr>
      <w:r>
        <w:rPr>
          <w:rFonts w:hint="eastAsia"/>
          <w:sz w:val="21"/>
          <w:szCs w:val="21"/>
        </w:rPr>
        <w:t>（1）董事会</w:t>
      </w:r>
    </w:p>
    <w:p>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pPr>
        <w:pStyle w:val="7"/>
        <w:spacing w:before="0" w:beforeAutospacing="0" w:after="0" w:afterAutospacing="0" w:line="360" w:lineRule="auto"/>
        <w:ind w:firstLine="420"/>
        <w:rPr>
          <w:rFonts w:hint="eastAsia"/>
          <w:sz w:val="21"/>
          <w:szCs w:val="21"/>
        </w:rPr>
      </w:pPr>
      <w:r>
        <w:rPr>
          <w:rFonts w:hint="eastAsia"/>
          <w:sz w:val="21"/>
          <w:szCs w:val="21"/>
        </w:rPr>
        <w:t>（3）督察长</w:t>
      </w:r>
    </w:p>
    <w:p>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pPr>
        <w:pStyle w:val="7"/>
        <w:spacing w:before="0" w:beforeAutospacing="0" w:after="0" w:afterAutospacing="0" w:line="360" w:lineRule="auto"/>
        <w:ind w:firstLine="420"/>
        <w:rPr>
          <w:rFonts w:hint="eastAsia"/>
          <w:sz w:val="21"/>
          <w:szCs w:val="21"/>
        </w:rPr>
      </w:pPr>
      <w:r>
        <w:rPr>
          <w:rFonts w:hint="eastAsia"/>
          <w:sz w:val="21"/>
          <w:szCs w:val="21"/>
        </w:rPr>
        <w:t>（5）风险管理部</w:t>
      </w:r>
    </w:p>
    <w:p>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pPr>
        <w:pStyle w:val="7"/>
        <w:spacing w:before="0" w:beforeAutospacing="0" w:after="0" w:afterAutospacing="0" w:line="360" w:lineRule="auto"/>
        <w:ind w:firstLine="420"/>
        <w:rPr>
          <w:rFonts w:hint="eastAsia"/>
          <w:sz w:val="21"/>
          <w:szCs w:val="21"/>
        </w:rPr>
      </w:pPr>
      <w:r>
        <w:rPr>
          <w:rFonts w:hint="eastAsia"/>
          <w:sz w:val="21"/>
          <w:szCs w:val="21"/>
        </w:rPr>
        <w:t>（6）业务部门</w:t>
      </w:r>
    </w:p>
    <w:p>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36" w:name="_Toc207947149"/>
      <w:bookmarkStart w:id="37" w:name="chapter_level1_6_55"/>
      <w:r>
        <w:rPr>
          <w:rFonts w:hint="eastAsia" w:ascii="宋体" w:hAnsi="宋体" w:eastAsia="宋体"/>
          <w:sz w:val="30"/>
        </w:rPr>
        <w:t>第四部分  基金托管人</w:t>
      </w:r>
      <w:bookmarkEnd w:id="36"/>
      <w:bookmarkEnd w:id="37"/>
    </w:p>
    <w:p>
      <w:pPr>
        <w:pStyle w:val="7"/>
        <w:spacing w:before="0" w:beforeAutospacing="0" w:after="0" w:afterAutospacing="0" w:line="360" w:lineRule="auto"/>
        <w:ind w:firstLine="420"/>
        <w:rPr>
          <w:sz w:val="21"/>
          <w:szCs w:val="21"/>
        </w:rPr>
      </w:pPr>
      <w:bookmarkStart w:id="38" w:name="chapter_level1_6_55_section_1"/>
      <w:bookmarkEnd w:id="38"/>
      <w:bookmarkStart w:id="39" w:name="field_0_trustcompanyinfo_1_start"/>
      <w:bookmarkEnd w:id="39"/>
      <w:r>
        <w:rPr>
          <w:rFonts w:hint="eastAsia"/>
          <w:sz w:val="21"/>
          <w:szCs w:val="21"/>
        </w:rPr>
        <w:t xml:space="preserve">（一）基本情况 </w:t>
      </w:r>
    </w:p>
    <w:p>
      <w:pPr>
        <w:pStyle w:val="7"/>
        <w:spacing w:before="0" w:beforeAutospacing="0" w:after="0" w:afterAutospacing="0" w:line="360" w:lineRule="auto"/>
        <w:ind w:firstLine="420"/>
        <w:rPr>
          <w:sz w:val="21"/>
          <w:szCs w:val="21"/>
        </w:rPr>
      </w:pPr>
      <w:r>
        <w:rPr>
          <w:rFonts w:hint="eastAsia"/>
          <w:sz w:val="21"/>
          <w:szCs w:val="21"/>
        </w:rPr>
        <w:t xml:space="preserve">名称：中国光大银行股份有限公司 </w:t>
      </w:r>
    </w:p>
    <w:p>
      <w:pPr>
        <w:pStyle w:val="7"/>
        <w:spacing w:before="0" w:beforeAutospacing="0" w:after="0" w:afterAutospacing="0" w:line="360" w:lineRule="auto"/>
        <w:ind w:firstLine="420"/>
        <w:rPr>
          <w:sz w:val="21"/>
          <w:szCs w:val="21"/>
        </w:rPr>
      </w:pPr>
      <w:r>
        <w:rPr>
          <w:rFonts w:hint="eastAsia"/>
          <w:sz w:val="21"/>
          <w:szCs w:val="21"/>
        </w:rPr>
        <w:t xml:space="preserve">住所及办公地址：北京市西城区太平桥大街25 号、甲25 号中国光大中心 </w:t>
      </w:r>
    </w:p>
    <w:p>
      <w:pPr>
        <w:pStyle w:val="7"/>
        <w:spacing w:before="0" w:beforeAutospacing="0" w:after="0" w:afterAutospacing="0" w:line="360" w:lineRule="auto"/>
        <w:ind w:firstLine="420"/>
        <w:rPr>
          <w:sz w:val="21"/>
          <w:szCs w:val="21"/>
        </w:rPr>
      </w:pPr>
      <w:r>
        <w:rPr>
          <w:rFonts w:hint="eastAsia"/>
          <w:sz w:val="21"/>
          <w:szCs w:val="21"/>
        </w:rPr>
        <w:t xml:space="preserve">成立日期：1992年6月18日 </w:t>
      </w:r>
    </w:p>
    <w:p>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批准设立机关和批准设立文号：国务院、国函[1992]7号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注册资本：590.85551亿元人民币 </w:t>
      </w:r>
    </w:p>
    <w:p>
      <w:pPr>
        <w:pStyle w:val="7"/>
        <w:spacing w:before="0" w:beforeAutospacing="0" w:after="0" w:afterAutospacing="0" w:line="360" w:lineRule="auto"/>
        <w:ind w:firstLine="420"/>
        <w:rPr>
          <w:sz w:val="21"/>
          <w:szCs w:val="21"/>
        </w:rPr>
      </w:pPr>
      <w:r>
        <w:rPr>
          <w:rFonts w:hint="eastAsia"/>
          <w:sz w:val="21"/>
          <w:szCs w:val="21"/>
        </w:rPr>
        <w:t xml:space="preserve">法定代表人：吴利军 </w:t>
      </w:r>
    </w:p>
    <w:p>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基金托管业务批准文号：中国证监会证监基字【2002】75号 </w:t>
      </w:r>
    </w:p>
    <w:p>
      <w:pPr>
        <w:pStyle w:val="7"/>
        <w:spacing w:before="0" w:beforeAutospacing="0" w:after="0" w:afterAutospacing="0" w:line="360" w:lineRule="auto"/>
        <w:ind w:firstLine="420"/>
        <w:rPr>
          <w:sz w:val="21"/>
          <w:szCs w:val="21"/>
        </w:rPr>
      </w:pPr>
      <w:r>
        <w:rPr>
          <w:rFonts w:hint="eastAsia"/>
          <w:sz w:val="21"/>
          <w:szCs w:val="21"/>
        </w:rPr>
        <w:t xml:space="preserve">资产托管部总经理：贾光华 </w:t>
      </w:r>
    </w:p>
    <w:p>
      <w:pPr>
        <w:pStyle w:val="7"/>
        <w:spacing w:before="0" w:beforeAutospacing="0" w:after="0" w:afterAutospacing="0" w:line="360" w:lineRule="auto"/>
        <w:ind w:firstLine="420"/>
        <w:rPr>
          <w:sz w:val="21"/>
          <w:szCs w:val="21"/>
        </w:rPr>
      </w:pPr>
      <w:r>
        <w:rPr>
          <w:rFonts w:hint="eastAsia"/>
          <w:sz w:val="21"/>
          <w:szCs w:val="21"/>
        </w:rPr>
        <w:t xml:space="preserve">电话：（010） 63636363 </w:t>
      </w:r>
    </w:p>
    <w:p>
      <w:pPr>
        <w:pStyle w:val="7"/>
        <w:spacing w:before="0" w:beforeAutospacing="0" w:after="0" w:afterAutospacing="0" w:line="360" w:lineRule="auto"/>
        <w:ind w:firstLine="420"/>
        <w:rPr>
          <w:sz w:val="21"/>
          <w:szCs w:val="21"/>
        </w:rPr>
      </w:pPr>
      <w:r>
        <w:rPr>
          <w:rFonts w:hint="eastAsia"/>
          <w:sz w:val="21"/>
          <w:szCs w:val="21"/>
        </w:rPr>
        <w:t xml:space="preserve">传真：（010） 63639132 </w:t>
      </w:r>
    </w:p>
    <w:p>
      <w:pPr>
        <w:pStyle w:val="7"/>
        <w:spacing w:before="0" w:beforeAutospacing="0" w:after="0" w:afterAutospacing="0" w:line="360" w:lineRule="auto"/>
        <w:ind w:firstLine="420"/>
        <w:rPr>
          <w:sz w:val="21"/>
          <w:szCs w:val="21"/>
        </w:rPr>
      </w:pPr>
      <w:r>
        <w:rPr>
          <w:rFonts w:hint="eastAsia"/>
          <w:sz w:val="21"/>
          <w:szCs w:val="21"/>
        </w:rPr>
        <w:t xml:space="preserve">网址：www.cebbank.com </w:t>
      </w:r>
    </w:p>
    <w:p>
      <w:pPr>
        <w:pStyle w:val="7"/>
        <w:spacing w:before="0" w:beforeAutospacing="0" w:after="0" w:afterAutospacing="0" w:line="360" w:lineRule="auto"/>
        <w:ind w:firstLine="420"/>
        <w:rPr>
          <w:sz w:val="21"/>
          <w:szCs w:val="21"/>
        </w:rPr>
      </w:pPr>
      <w:r>
        <w:rPr>
          <w:rFonts w:hint="eastAsia"/>
          <w:sz w:val="21"/>
          <w:szCs w:val="21"/>
        </w:rPr>
        <w:t xml:space="preserve">（二）主要人员情况 </w:t>
      </w:r>
    </w:p>
    <w:p>
      <w:pPr>
        <w:pStyle w:val="7"/>
        <w:spacing w:before="0" w:beforeAutospacing="0" w:after="0" w:afterAutospacing="0" w:line="360" w:lineRule="auto"/>
        <w:ind w:firstLine="420"/>
        <w:rPr>
          <w:sz w:val="21"/>
          <w:szCs w:val="21"/>
        </w:rPr>
      </w:pPr>
      <w:r>
        <w:rPr>
          <w:rFonts w:hint="eastAsia"/>
          <w:sz w:val="21"/>
          <w:szCs w:val="21"/>
        </w:rPr>
        <w:t xml:space="preserve">董事长吴利军先生，自2020年3月起任本行副董事长、2024年1月起任本行董事长。现任中国光大集团股份公司党委书记、董事长，兼任中国光大集团股份公司党校校长。曾任国内贸易部国家物资储备调节中心副主任(副局级)，中国证券监督管理委员会信息中心负责人，培训中心副主任(主持工作)，人事教育部主任、党委组织部部长，中国证券监督管理委员会党委委员、主席助理，深圳证券交易所理事会理事长、党委书记(副部长级)，中国光大集团股份公司党委副书记、副董事长、总经理。获经济学博士学位，高级经济师。 </w:t>
      </w:r>
    </w:p>
    <w:p>
      <w:pPr>
        <w:pStyle w:val="7"/>
        <w:spacing w:before="0" w:beforeAutospacing="0" w:after="0" w:afterAutospacing="0" w:line="360" w:lineRule="auto"/>
        <w:ind w:firstLine="420"/>
        <w:rPr>
          <w:sz w:val="21"/>
          <w:szCs w:val="21"/>
        </w:rPr>
      </w:pPr>
      <w:r>
        <w:rPr>
          <w:rFonts w:hint="eastAsia"/>
          <w:sz w:val="21"/>
          <w:szCs w:val="21"/>
        </w:rPr>
        <w:t xml:space="preserve">行长郝成先生，自2024年6月起任本行党委书记，2024年8月起任本行执行董事、行长。现任中国光大集团股份公司党委委员、执行董事。历任国家开发银行天津分行党委委员、副行长，国家开发银行人事局副局长、党委组织部副部长，国家开发银行吉林分行党委书记、行长，交通银行党委委员、副行长。获管理学博士学位，高级工程师。 </w:t>
      </w:r>
    </w:p>
    <w:p>
      <w:pPr>
        <w:pStyle w:val="7"/>
        <w:spacing w:before="0" w:beforeAutospacing="0" w:after="0" w:afterAutospacing="0" w:line="360" w:lineRule="auto"/>
        <w:ind w:firstLine="420"/>
        <w:rPr>
          <w:sz w:val="21"/>
          <w:szCs w:val="21"/>
        </w:rPr>
      </w:pPr>
      <w:r>
        <w:rPr>
          <w:rFonts w:hint="eastAsia"/>
          <w:sz w:val="21"/>
          <w:szCs w:val="21"/>
        </w:rPr>
        <w:t xml:space="preserve">资产托管部总经理贾光华先生，1994年7月在光大银行总行营业部参加工作，2005年10月调入同业机构部（后更名为金融同业部）后，先后任处长、总经理助理、副总经理、副总经理（主持工作），2018年5月任金融同业部总经理，2025年1月任资产托管部总经理。 </w:t>
      </w:r>
    </w:p>
    <w:p>
      <w:pPr>
        <w:pStyle w:val="7"/>
        <w:spacing w:before="0" w:beforeAutospacing="0" w:after="0" w:afterAutospacing="0" w:line="360" w:lineRule="auto"/>
        <w:ind w:firstLine="420"/>
        <w:rPr>
          <w:sz w:val="21"/>
          <w:szCs w:val="21"/>
        </w:rPr>
      </w:pPr>
      <w:r>
        <w:rPr>
          <w:rFonts w:hint="eastAsia"/>
          <w:sz w:val="21"/>
          <w:szCs w:val="21"/>
        </w:rPr>
        <w:t xml:space="preserve">（三）证券投资基金托管情况 </w:t>
      </w:r>
    </w:p>
    <w:p>
      <w:pPr>
        <w:pStyle w:val="7"/>
        <w:spacing w:before="0" w:beforeAutospacing="0" w:after="0" w:afterAutospacing="0" w:line="360" w:lineRule="auto"/>
        <w:ind w:firstLine="420"/>
        <w:rPr>
          <w:sz w:val="21"/>
          <w:szCs w:val="21"/>
        </w:rPr>
      </w:pPr>
      <w:r>
        <w:rPr>
          <w:rFonts w:hint="eastAsia"/>
          <w:sz w:val="21"/>
          <w:szCs w:val="21"/>
        </w:rPr>
        <w:t>截至2025年6月30日，中国光大银行股份有限公司托管公开募集证券投资基金共350只，托管基金资产规模7164.75亿元。同时，开展了证券公司资产管理计划、基金公司客户资产管理计划、职业年金、企业年金、QDII、QFII、银行理财、保险债权投资计划等资产的</w:t>
      </w:r>
      <w:bookmarkStart w:id="40" w:name="chapter_level1_6_55_section_1_end"/>
      <w:bookmarkEnd w:id="40"/>
      <w:r>
        <w:rPr>
          <w:rFonts w:hint="eastAsia"/>
          <w:sz w:val="21"/>
          <w:szCs w:val="21"/>
        </w:rPr>
        <w:t xml:space="preserve">托管及信托公司资金信托计划、产业投资基金、股权基金等产品的保管业务。 </w:t>
      </w:r>
      <w:bookmarkStart w:id="41" w:name="field_0_trustcompanyinfo_1_end"/>
      <w:bookmarkEnd w:id="41"/>
      <w:r>
        <w:rPr>
          <w:rFonts w:hint="eastAsia"/>
          <w:sz w:val="21"/>
          <w:szCs w:val="21"/>
        </w:rPr>
        <w:t xml:space="preserve">  </w:t>
      </w:r>
    </w:p>
    <w:p>
      <w:pPr>
        <w:pStyle w:val="7"/>
        <w:spacing w:before="0" w:beforeAutospacing="0" w:after="0" w:afterAutospacing="0" w:line="360" w:lineRule="auto"/>
        <w:ind w:firstLine="420"/>
        <w:rPr>
          <w:sz w:val="21"/>
          <w:szCs w:val="21"/>
        </w:rPr>
      </w:pPr>
      <w:bookmarkStart w:id="42" w:name="chapter_level1_6_55_section_2"/>
      <w:bookmarkEnd w:id="42"/>
      <w:bookmarkStart w:id="43" w:name="field_0_trustcontrollawinfo_1_start"/>
      <w:bookmarkEnd w:id="43"/>
      <w:r>
        <w:rPr>
          <w:rFonts w:hint="eastAsia"/>
          <w:sz w:val="21"/>
          <w:szCs w:val="21"/>
        </w:rPr>
        <w:t xml:space="preserve">（四）托管业务的内部控制制度 </w:t>
      </w:r>
    </w:p>
    <w:p>
      <w:pPr>
        <w:pStyle w:val="7"/>
        <w:spacing w:before="0" w:beforeAutospacing="0" w:after="0" w:afterAutospacing="0" w:line="360" w:lineRule="auto"/>
        <w:ind w:firstLine="420"/>
        <w:rPr>
          <w:sz w:val="21"/>
          <w:szCs w:val="21"/>
        </w:rPr>
      </w:pPr>
      <w:r>
        <w:rPr>
          <w:rFonts w:hint="eastAsia"/>
          <w:sz w:val="21"/>
          <w:szCs w:val="21"/>
        </w:rPr>
        <w:t xml:space="preserve">1、内部控制目标 </w:t>
      </w:r>
    </w:p>
    <w:p>
      <w:pPr>
        <w:pStyle w:val="7"/>
        <w:spacing w:before="0" w:beforeAutospacing="0" w:after="0" w:afterAutospacing="0" w:line="360" w:lineRule="auto"/>
        <w:ind w:firstLine="420"/>
        <w:rPr>
          <w:sz w:val="21"/>
          <w:szCs w:val="21"/>
        </w:rPr>
      </w:pPr>
      <w:r>
        <w:rPr>
          <w:rFonts w:hint="eastAsia"/>
          <w:sz w:val="21"/>
          <w:szCs w:val="21"/>
        </w:rPr>
        <w:t xml:space="preserve">确保有关法律法规在基金托管业务中得到全面严格的贯彻执行；确保基金托管人有关基金托管的各项管理制度和业务操作规程在基金托管业务中得到全面严格的贯彻执行；确保基金财产安全；保证基金托管业务稳健运行；保护基金份额持有人、基金管理公司及基金托管人的合法权益。 </w:t>
      </w:r>
    </w:p>
    <w:p>
      <w:pPr>
        <w:pStyle w:val="7"/>
        <w:spacing w:before="0" w:beforeAutospacing="0" w:after="0" w:afterAutospacing="0" w:line="360" w:lineRule="auto"/>
        <w:ind w:firstLine="420"/>
        <w:rPr>
          <w:sz w:val="21"/>
          <w:szCs w:val="21"/>
        </w:rPr>
      </w:pPr>
      <w:r>
        <w:rPr>
          <w:rFonts w:hint="eastAsia"/>
          <w:sz w:val="21"/>
          <w:szCs w:val="21"/>
        </w:rPr>
        <w:t xml:space="preserve">2、内部控制的原则 </w:t>
      </w:r>
    </w:p>
    <w:p>
      <w:pPr>
        <w:pStyle w:val="7"/>
        <w:spacing w:before="0" w:beforeAutospacing="0" w:after="0" w:afterAutospacing="0" w:line="360" w:lineRule="auto"/>
        <w:ind w:firstLine="420"/>
        <w:rPr>
          <w:sz w:val="21"/>
          <w:szCs w:val="21"/>
        </w:rPr>
      </w:pPr>
      <w:r>
        <w:rPr>
          <w:rFonts w:hint="eastAsia"/>
          <w:sz w:val="21"/>
          <w:szCs w:val="21"/>
        </w:rPr>
        <w:t xml:space="preserve">（1）全面性原则。内部控制必须渗透到基金托管业务的各个操作环节，覆盖所有的岗位，不留任何死角。 </w:t>
      </w:r>
    </w:p>
    <w:p>
      <w:pPr>
        <w:pStyle w:val="7"/>
        <w:spacing w:before="0" w:beforeAutospacing="0" w:after="0" w:afterAutospacing="0" w:line="360" w:lineRule="auto"/>
        <w:ind w:firstLine="420"/>
        <w:rPr>
          <w:sz w:val="21"/>
          <w:szCs w:val="21"/>
        </w:rPr>
      </w:pPr>
      <w:r>
        <w:rPr>
          <w:rFonts w:hint="eastAsia"/>
          <w:sz w:val="21"/>
          <w:szCs w:val="21"/>
        </w:rPr>
        <w:t xml:space="preserve">（2）预防性原则。树立“预防为主”的管理理念，从风险发生的源头加强内部控制，防患于未然，尽量避免业务操作中各种问题的产生。 </w:t>
      </w:r>
    </w:p>
    <w:p>
      <w:pPr>
        <w:pStyle w:val="7"/>
        <w:spacing w:before="0" w:beforeAutospacing="0" w:after="0" w:afterAutospacing="0" w:line="360" w:lineRule="auto"/>
        <w:ind w:firstLine="420"/>
        <w:rPr>
          <w:sz w:val="21"/>
          <w:szCs w:val="21"/>
        </w:rPr>
      </w:pPr>
      <w:r>
        <w:rPr>
          <w:rFonts w:hint="eastAsia"/>
          <w:sz w:val="21"/>
          <w:szCs w:val="21"/>
        </w:rPr>
        <w:t xml:space="preserve">（3）及时性原则。建立健全各项规章制度，采取有效措施加强内部控制。发现问题，及时处理，堵塞漏洞。 </w:t>
      </w:r>
    </w:p>
    <w:p>
      <w:pPr>
        <w:pStyle w:val="7"/>
        <w:spacing w:before="0" w:beforeAutospacing="0" w:after="0" w:afterAutospacing="0" w:line="360" w:lineRule="auto"/>
        <w:ind w:firstLine="420"/>
        <w:rPr>
          <w:sz w:val="21"/>
          <w:szCs w:val="21"/>
        </w:rPr>
      </w:pPr>
      <w:r>
        <w:rPr>
          <w:rFonts w:hint="eastAsia"/>
          <w:sz w:val="21"/>
          <w:szCs w:val="21"/>
        </w:rPr>
        <w:t xml:space="preserve">（4）独立性原则。基金托管业务内部控制机构独立于基金托管业务执行机构，业务操作人员和内控人员分开，以保证内控机构的工作不受干扰。 </w:t>
      </w:r>
    </w:p>
    <w:p>
      <w:pPr>
        <w:pStyle w:val="7"/>
        <w:spacing w:before="0" w:beforeAutospacing="0" w:after="0" w:afterAutospacing="0" w:line="360" w:lineRule="auto"/>
        <w:ind w:firstLine="420"/>
        <w:rPr>
          <w:sz w:val="21"/>
          <w:szCs w:val="21"/>
        </w:rPr>
      </w:pPr>
      <w:r>
        <w:rPr>
          <w:rFonts w:hint="eastAsia"/>
          <w:sz w:val="21"/>
          <w:szCs w:val="21"/>
        </w:rPr>
        <w:t xml:space="preserve">3、内部控制组织结构 </w:t>
      </w:r>
    </w:p>
    <w:p>
      <w:pPr>
        <w:pStyle w:val="7"/>
        <w:spacing w:before="0" w:beforeAutospacing="0" w:after="0" w:afterAutospacing="0" w:line="360" w:lineRule="auto"/>
        <w:ind w:firstLine="420"/>
        <w:rPr>
          <w:sz w:val="21"/>
          <w:szCs w:val="21"/>
        </w:rPr>
      </w:pPr>
      <w:r>
        <w:rPr>
          <w:rFonts w:hint="eastAsia"/>
          <w:sz w:val="21"/>
          <w:szCs w:val="21"/>
        </w:rPr>
        <w:t xml:space="preserve">中国光大银行股份有限公司设有风险管理与内控合规委员会，负责全行风险管理与内部控制工作。资产托管部建立了严密的内控监督体系，设立了投资监督与内控合规处，配备了专职内控合规人员，负责证券投资基金托管业务的内控管理工作。 </w:t>
      </w:r>
    </w:p>
    <w:p>
      <w:pPr>
        <w:pStyle w:val="7"/>
        <w:spacing w:before="0" w:beforeAutospacing="0" w:after="0" w:afterAutospacing="0" w:line="360" w:lineRule="auto"/>
        <w:ind w:firstLine="420"/>
        <w:rPr>
          <w:sz w:val="21"/>
          <w:szCs w:val="21"/>
        </w:rPr>
      </w:pPr>
      <w:r>
        <w:rPr>
          <w:rFonts w:hint="eastAsia"/>
          <w:sz w:val="21"/>
          <w:szCs w:val="21"/>
        </w:rPr>
        <w:t xml:space="preserve">4、内部控制制度 </w:t>
      </w:r>
    </w:p>
    <w:p>
      <w:pPr>
        <w:pStyle w:val="7"/>
        <w:spacing w:before="0" w:beforeAutospacing="0" w:after="0" w:afterAutospacing="0" w:line="360" w:lineRule="auto"/>
        <w:ind w:firstLine="420"/>
        <w:rPr>
          <w:sz w:val="21"/>
          <w:szCs w:val="21"/>
        </w:rPr>
      </w:pPr>
      <w:r>
        <w:rPr>
          <w:rFonts w:hint="eastAsia"/>
          <w:sz w:val="21"/>
          <w:szCs w:val="21"/>
        </w:rPr>
        <w:t xml:space="preserve">中国光大银行股份有限公司资产托管部自成立以来严格遵照《基金法》、《中华人民共和国商业银行法》、《信息披露管理办法》、《运作办法》、《销售办法》等法律、法规的要求，并根据相关法律法规制订、完善了《中国光大银行资产托管业务内部控制规定》、《中国光大银行资产托管业务保密规定》等十余项规章制度和实施细则，将风险控制落实到每一个工作环节。中国光大银行资产托管部以控制和防范基金托管业务风险为主线，在重要岗位（基金清算、基金核算、投资监督）还建立了安全保密区，安装了录像监视系统和录音监听系统，以保障基金信息的安全。 </w:t>
      </w:r>
    </w:p>
    <w:p>
      <w:pPr>
        <w:pStyle w:val="7"/>
        <w:spacing w:before="0" w:beforeAutospacing="0" w:after="0" w:afterAutospacing="0" w:line="360" w:lineRule="auto"/>
        <w:ind w:firstLine="420"/>
        <w:rPr>
          <w:sz w:val="21"/>
          <w:szCs w:val="21"/>
        </w:rPr>
      </w:pPr>
      <w:r>
        <w:rPr>
          <w:rFonts w:hint="eastAsia"/>
          <w:sz w:val="21"/>
          <w:szCs w:val="21"/>
        </w:rPr>
        <w:t xml:space="preserve">（五）托管人对管理人运作基金进行监督的方法和程序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 xml:space="preserve">根据法律、法规和基金合同等的要求，基金托管人主要通过定性和定量相结合、事前事中和事后监督相结合、技术与人工监督相结合等方式方法，对基金投资范围、投资组合比例每日进行监督；同时，对基金管理人就基金资产净值的计算、基金管理人和基金托管人报酬的计提和支付、基金收益分配、基金费用支付等行为的合法性、合规性进行监督和核查。 </w:t>
      </w:r>
    </w:p>
    <w:p>
      <w:pPr>
        <w:pStyle w:val="7"/>
        <w:spacing w:before="0" w:beforeAutospacing="0" w:after="0" w:afterAutospacing="0" w:line="360" w:lineRule="auto"/>
        <w:ind w:firstLine="420"/>
        <w:rPr>
          <w:sz w:val="21"/>
          <w:szCs w:val="21"/>
        </w:rPr>
      </w:pPr>
      <w:r>
        <w:rPr>
          <w:rFonts w:hint="eastAsia"/>
          <w:sz w:val="21"/>
          <w:szCs w:val="21"/>
        </w:rPr>
        <w:t>基金托管人发现基金管理人有违反法律、法规和基金合同等规定的行为，及时以邮件、电话或书面等形式通知基金管理人限期纠正，基金管理人收到通知后应及时核对确认并以邮件或书面形式对基金托管人发出回函。在限期内，基金托管人有权随时对通知事项进行复查。基金管理人对基金托管人通知的违规事项未能在限期内纠正的，基金托管人应报告中国证监</w:t>
      </w:r>
      <w:bookmarkStart w:id="44" w:name="chapter_level1_6_55_section_2_end"/>
      <w:bookmarkEnd w:id="44"/>
      <w:r>
        <w:rPr>
          <w:rFonts w:hint="eastAsia"/>
          <w:sz w:val="21"/>
          <w:szCs w:val="21"/>
        </w:rPr>
        <w:t xml:space="preserve">会。 </w:t>
      </w:r>
      <w:bookmarkStart w:id="45" w:name="field_0_trustcontrollawinfo_1_end"/>
      <w:bookmarkEnd w:id="45"/>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6" w:name="chapter_level1_7_56"/>
      <w:bookmarkStart w:id="47" w:name="_Toc207947150"/>
      <w:r>
        <w:rPr>
          <w:rFonts w:hint="eastAsia" w:ascii="宋体" w:hAnsi="宋体" w:eastAsia="宋体"/>
          <w:sz w:val="30"/>
        </w:rPr>
        <w:t>第五部分  相关服务机构</w:t>
      </w:r>
      <w:bookmarkEnd w:id="46"/>
      <w:bookmarkEnd w:id="47"/>
    </w:p>
    <w:p>
      <w:pPr>
        <w:pStyle w:val="7"/>
        <w:spacing w:before="0" w:beforeAutospacing="0" w:after="0" w:afterAutospacing="0" w:line="360" w:lineRule="auto"/>
        <w:ind w:firstLine="420"/>
        <w:rPr>
          <w:sz w:val="21"/>
          <w:szCs w:val="21"/>
        </w:rPr>
      </w:pPr>
      <w:bookmarkStart w:id="48" w:name="chapter_level1_7_56_section_1"/>
      <w:bookmarkEnd w:id="48"/>
      <w:r>
        <w:rPr>
          <w:rStyle w:val="11"/>
          <w:rFonts w:hint="eastAsia"/>
          <w:sz w:val="21"/>
          <w:szCs w:val="21"/>
        </w:rPr>
        <w:t>一、基金份额销售机构</w:t>
      </w:r>
    </w:p>
    <w:p>
      <w:pPr>
        <w:pStyle w:val="7"/>
        <w:spacing w:before="0" w:beforeAutospacing="0" w:after="0" w:afterAutospacing="0" w:line="360" w:lineRule="auto"/>
        <w:ind w:firstLine="420"/>
        <w:rPr>
          <w:sz w:val="21"/>
          <w:szCs w:val="21"/>
        </w:rPr>
      </w:pPr>
      <w:r>
        <w:rPr>
          <w:rFonts w:hint="eastAsia"/>
          <w:sz w:val="21"/>
          <w:szCs w:val="21"/>
        </w:rPr>
        <w:t xml:space="preserve">1、直销机构 </w:t>
      </w:r>
    </w:p>
    <w:p>
      <w:pPr>
        <w:pStyle w:val="7"/>
        <w:spacing w:before="0" w:beforeAutospacing="0" w:after="0" w:afterAutospacing="0" w:line="360" w:lineRule="auto"/>
        <w:ind w:firstLine="420"/>
        <w:rPr>
          <w:sz w:val="21"/>
          <w:szCs w:val="21"/>
        </w:rPr>
      </w:pPr>
      <w:bookmarkStart w:id="49" w:name="field_0_marketcompanyinfo_1_start"/>
      <w:bookmarkEnd w:id="49"/>
      <w:r>
        <w:rPr>
          <w:rFonts w:hint="eastAsia"/>
          <w:sz w:val="21"/>
          <w:szCs w:val="21"/>
        </w:rPr>
        <w:t xml:space="preserve">名称：博时基金管理有限公司北京直销中心 </w:t>
      </w:r>
    </w:p>
    <w:p>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电话：010-65187055 </w:t>
      </w:r>
    </w:p>
    <w:p>
      <w:pPr>
        <w:pStyle w:val="7"/>
        <w:spacing w:before="0" w:beforeAutospacing="0" w:after="0" w:afterAutospacing="0" w:line="360" w:lineRule="auto"/>
        <w:ind w:firstLine="420"/>
        <w:rPr>
          <w:sz w:val="21"/>
          <w:szCs w:val="21"/>
        </w:rPr>
      </w:pPr>
      <w:r>
        <w:rPr>
          <w:rFonts w:hint="eastAsia"/>
          <w:sz w:val="21"/>
          <w:szCs w:val="21"/>
        </w:rPr>
        <w:t xml:space="preserve">传真：010-65187032 </w:t>
      </w:r>
    </w:p>
    <w:p>
      <w:pPr>
        <w:pStyle w:val="7"/>
        <w:spacing w:before="0" w:beforeAutospacing="0" w:after="0" w:afterAutospacing="0" w:line="360" w:lineRule="auto"/>
        <w:ind w:firstLine="420"/>
        <w:rPr>
          <w:sz w:val="21"/>
          <w:szCs w:val="21"/>
        </w:rPr>
      </w:pPr>
      <w:r>
        <w:rPr>
          <w:rFonts w:hint="eastAsia"/>
          <w:sz w:val="21"/>
          <w:szCs w:val="21"/>
        </w:rPr>
        <w:t xml:space="preserve">联系人：韩明亮 </w:t>
      </w:r>
    </w:p>
    <w:p>
      <w:pPr>
        <w:pStyle w:val="7"/>
        <w:spacing w:before="0" w:beforeAutospacing="0" w:after="0" w:afterAutospacing="0" w:line="360" w:lineRule="auto"/>
        <w:ind w:firstLine="420"/>
        <w:rPr>
          <w:sz w:val="21"/>
          <w:szCs w:val="21"/>
        </w:rPr>
      </w:pPr>
      <w:bookmarkStart w:id="50" w:name="chapter_level1_7_56_section_1_end"/>
      <w:bookmarkEnd w:id="50"/>
      <w:r>
        <w:rPr>
          <w:rFonts w:hint="eastAsia"/>
          <w:sz w:val="21"/>
          <w:szCs w:val="21"/>
        </w:rPr>
        <w:t xml:space="preserve">博时一线通：95105568（免长途话费） </w:t>
      </w:r>
      <w:bookmarkStart w:id="51" w:name="field_0_marketcompanyinfo_1_end"/>
      <w:bookmarkEnd w:id="51"/>
      <w:r>
        <w:rPr>
          <w:rFonts w:hint="eastAsia"/>
          <w:sz w:val="21"/>
          <w:szCs w:val="21"/>
        </w:rPr>
        <w:t xml:space="preserve">  </w:t>
      </w:r>
    </w:p>
    <w:p>
      <w:pPr>
        <w:pStyle w:val="7"/>
        <w:spacing w:before="0" w:beforeAutospacing="0" w:after="0" w:afterAutospacing="0" w:line="360" w:lineRule="auto"/>
        <w:ind w:firstLine="420"/>
        <w:rPr>
          <w:sz w:val="21"/>
          <w:szCs w:val="21"/>
        </w:rPr>
      </w:pPr>
      <w:bookmarkStart w:id="52" w:name="chapter_level1_7_56_section_2"/>
      <w:bookmarkEnd w:id="52"/>
      <w:r>
        <w:rPr>
          <w:rFonts w:hint="eastAsia"/>
          <w:sz w:val="21"/>
          <w:szCs w:val="21"/>
        </w:rPr>
        <w:t xml:space="preserve">2、代销机构 </w:t>
      </w:r>
    </w:p>
    <w:p>
      <w:pPr>
        <w:pStyle w:val="7"/>
        <w:spacing w:before="0" w:beforeAutospacing="0" w:after="0" w:afterAutospacing="0" w:line="360" w:lineRule="auto"/>
        <w:ind w:firstLine="420"/>
        <w:rPr>
          <w:sz w:val="21"/>
          <w:szCs w:val="21"/>
        </w:rPr>
      </w:pPr>
      <w:bookmarkStart w:id="53" w:name="field_0_allproxysaletables_1_start"/>
      <w:bookmarkEnd w:id="53"/>
      <w:r>
        <w:rPr>
          <w:rFonts w:hint="eastAsia"/>
          <w:b/>
          <w:bCs/>
          <w:sz w:val="21"/>
          <w:szCs w:val="21"/>
        </w:rPr>
        <w:t>(1)博时财富基金销售有限公司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www.boserawealth.com </w:t>
            </w:r>
          </w:p>
        </w:tc>
      </w:tr>
    </w:tbl>
    <w:p>
      <w:pPr>
        <w:pStyle w:val="7"/>
        <w:spacing w:before="0" w:beforeAutospacing="0" w:after="0" w:afterAutospacing="0" w:line="360" w:lineRule="auto"/>
        <w:ind w:firstLine="420"/>
        <w:rPr>
          <w:sz w:val="21"/>
          <w:szCs w:val="21"/>
        </w:rPr>
      </w:pPr>
      <w:r>
        <w:rPr>
          <w:rFonts w:hint="eastAsia"/>
          <w:b/>
          <w:bCs/>
          <w:sz w:val="21"/>
          <w:szCs w:val="21"/>
        </w:rPr>
        <w:t>(2)上海利得基金销售有限公司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上海市宝山区蕴川路5475号1033室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上海浦东新区峨山路91弄61号10号楼12楼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李兴春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021-50583533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021-50583633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400-921-7755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http://a.leadfund.com.cn/ </w:t>
            </w:r>
          </w:p>
        </w:tc>
      </w:tr>
    </w:tbl>
    <w:p>
      <w:pPr>
        <w:pStyle w:val="7"/>
        <w:spacing w:before="0" w:beforeAutospacing="0" w:after="0" w:afterAutospacing="0" w:line="360" w:lineRule="auto"/>
        <w:ind w:firstLine="420"/>
        <w:rPr>
          <w:sz w:val="21"/>
          <w:szCs w:val="21"/>
        </w:rPr>
      </w:pPr>
      <w:r>
        <w:rPr>
          <w:rFonts w:hint="eastAsia"/>
          <w:b/>
          <w:bCs/>
          <w:sz w:val="21"/>
          <w:szCs w:val="21"/>
        </w:rPr>
        <w:t>(3)京东肯特瑞基金销售有限公司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北京市海淀区海淀东三街2号4层401-15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北京市经济开发区科创十一街18号院京东总部A座4层A428室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江卉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徐伯宇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400-098-8511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010-89188000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400-088-8816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http://jr.jd.com/ </w:t>
            </w:r>
          </w:p>
        </w:tc>
      </w:tr>
    </w:tbl>
    <w:p>
      <w:pPr>
        <w:rPr>
          <w:rFonts w:ascii="宋体" w:hAnsi="宋体" w:eastAsia="宋体"/>
          <w:sz w:val="24"/>
          <w:szCs w:val="24"/>
        </w:rPr>
      </w:pPr>
      <w:bookmarkStart w:id="54" w:name="field_0_allproxysaletables_1_end"/>
      <w:bookmarkEnd w:id="54"/>
      <w:r>
        <w:rPr>
          <w:rFonts w:ascii="宋体" w:hAnsi="宋体" w:eastAsia="宋体"/>
        </w:rPr>
        <w:t xml:space="preserve">  </w:t>
      </w:r>
    </w:p>
    <w:p>
      <w:pPr>
        <w:pStyle w:val="7"/>
        <w:spacing w:before="0" w:beforeAutospacing="0" w:after="0" w:afterAutospacing="0" w:line="360" w:lineRule="auto"/>
        <w:ind w:firstLine="420"/>
        <w:rPr>
          <w:sz w:val="21"/>
          <w:szCs w:val="21"/>
        </w:rPr>
      </w:pPr>
      <w:bookmarkStart w:id="55" w:name="chapter_level1_7_56_section_2_end"/>
      <w:bookmarkEnd w:id="55"/>
    </w:p>
    <w:p>
      <w:pPr>
        <w:pStyle w:val="7"/>
        <w:spacing w:before="0" w:beforeAutospacing="0" w:after="0" w:afterAutospacing="0" w:line="360" w:lineRule="auto"/>
        <w:ind w:firstLine="420"/>
        <w:rPr>
          <w:sz w:val="21"/>
          <w:szCs w:val="21"/>
        </w:rPr>
      </w:pPr>
      <w:bookmarkStart w:id="56" w:name="chapter_level1_7_56_section_3"/>
      <w:bookmarkEnd w:id="56"/>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57" w:name="field_0_registercompanyinfo_1_start"/>
      <w:bookmarkEnd w:id="57"/>
      <w:r>
        <w:rPr>
          <w:rFonts w:hint="eastAsia"/>
          <w:sz w:val="21"/>
          <w:szCs w:val="21"/>
        </w:rPr>
        <w:t xml:space="preserve">名称：博时基金管理有限公司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电话： 010-65171166 </w:t>
      </w:r>
    </w:p>
    <w:p>
      <w:pPr>
        <w:pStyle w:val="7"/>
        <w:spacing w:before="0" w:beforeAutospacing="0" w:after="0" w:afterAutospacing="0" w:line="360" w:lineRule="auto"/>
        <w:ind w:firstLine="420"/>
        <w:rPr>
          <w:sz w:val="21"/>
          <w:szCs w:val="21"/>
        </w:rPr>
      </w:pPr>
      <w:r>
        <w:rPr>
          <w:rFonts w:hint="eastAsia"/>
          <w:sz w:val="21"/>
          <w:szCs w:val="21"/>
        </w:rPr>
        <w:t xml:space="preserve">传真： 010-65187068 </w:t>
      </w:r>
    </w:p>
    <w:p>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58" w:name="field_0_registercompanyinfo_1_end"/>
      <w:bookmarkEnd w:id="58"/>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pPr>
        <w:pStyle w:val="7"/>
        <w:spacing w:before="0" w:beforeAutospacing="0" w:after="0" w:afterAutospacing="0" w:line="360" w:lineRule="auto"/>
        <w:ind w:firstLine="420"/>
        <w:rPr>
          <w:sz w:val="21"/>
          <w:szCs w:val="21"/>
        </w:rPr>
      </w:pPr>
      <w:r>
        <w:rPr>
          <w:rFonts w:hint="eastAsia"/>
          <w:sz w:val="21"/>
          <w:szCs w:val="21"/>
        </w:rPr>
        <w:t xml:space="preserve">住所：上海市浦东南路256号华夏银行大厦1405室 </w:t>
      </w:r>
    </w:p>
    <w:p>
      <w:pPr>
        <w:pStyle w:val="7"/>
        <w:spacing w:before="0" w:beforeAutospacing="0" w:after="0" w:afterAutospacing="0" w:line="360" w:lineRule="auto"/>
        <w:ind w:firstLine="420"/>
        <w:rPr>
          <w:sz w:val="21"/>
          <w:szCs w:val="21"/>
        </w:rPr>
      </w:pPr>
      <w:r>
        <w:rPr>
          <w:rFonts w:hint="eastAsia"/>
          <w:sz w:val="21"/>
          <w:szCs w:val="21"/>
        </w:rPr>
        <w:t xml:space="preserve">办公地址：上海市浦东南路256号华夏银行大厦1405室 </w:t>
      </w:r>
    </w:p>
    <w:p>
      <w:pPr>
        <w:pStyle w:val="7"/>
        <w:spacing w:before="0" w:beforeAutospacing="0" w:after="0" w:afterAutospacing="0" w:line="360" w:lineRule="auto"/>
        <w:ind w:firstLine="420"/>
        <w:rPr>
          <w:sz w:val="21"/>
          <w:szCs w:val="21"/>
        </w:rPr>
      </w:pPr>
      <w:r>
        <w:rPr>
          <w:rFonts w:hint="eastAsia"/>
          <w:sz w:val="21"/>
          <w:szCs w:val="21"/>
        </w:rPr>
        <w:t xml:space="preserve">负责人：廖海 </w:t>
      </w:r>
    </w:p>
    <w:p>
      <w:pPr>
        <w:pStyle w:val="7"/>
        <w:spacing w:before="0" w:beforeAutospacing="0" w:after="0" w:afterAutospacing="0" w:line="360" w:lineRule="auto"/>
        <w:ind w:firstLine="420"/>
        <w:rPr>
          <w:sz w:val="21"/>
          <w:szCs w:val="21"/>
        </w:rPr>
      </w:pPr>
      <w:r>
        <w:rPr>
          <w:rFonts w:hint="eastAsia"/>
          <w:sz w:val="21"/>
          <w:szCs w:val="21"/>
        </w:rPr>
        <w:t xml:space="preserve">联系人：刘佳 </w:t>
      </w:r>
    </w:p>
    <w:p>
      <w:pPr>
        <w:pStyle w:val="7"/>
        <w:spacing w:before="0" w:beforeAutospacing="0" w:after="0" w:afterAutospacing="0" w:line="360" w:lineRule="auto"/>
        <w:ind w:firstLine="420"/>
        <w:rPr>
          <w:sz w:val="21"/>
          <w:szCs w:val="21"/>
        </w:rPr>
      </w:pPr>
      <w:r>
        <w:rPr>
          <w:rFonts w:hint="eastAsia"/>
          <w:sz w:val="21"/>
          <w:szCs w:val="21"/>
        </w:rPr>
        <w:t xml:space="preserve">电话：（021）51150298 </w:t>
      </w:r>
    </w:p>
    <w:p>
      <w:pPr>
        <w:pStyle w:val="7"/>
        <w:spacing w:before="0" w:beforeAutospacing="0" w:after="0" w:afterAutospacing="0" w:line="360" w:lineRule="auto"/>
        <w:ind w:firstLine="420"/>
        <w:rPr>
          <w:sz w:val="21"/>
          <w:szCs w:val="21"/>
        </w:rPr>
      </w:pPr>
      <w:r>
        <w:rPr>
          <w:rFonts w:hint="eastAsia"/>
          <w:sz w:val="21"/>
          <w:szCs w:val="21"/>
        </w:rPr>
        <w:t xml:space="preserve">传真：（021）51150398 </w:t>
      </w:r>
    </w:p>
    <w:p>
      <w:pPr>
        <w:pStyle w:val="7"/>
        <w:spacing w:before="0" w:beforeAutospacing="0" w:after="0" w:afterAutospacing="0" w:line="360" w:lineRule="auto"/>
        <w:ind w:firstLine="420"/>
        <w:rPr>
          <w:sz w:val="21"/>
          <w:szCs w:val="21"/>
        </w:rPr>
      </w:pPr>
      <w:r>
        <w:rPr>
          <w:rFonts w:hint="eastAsia"/>
          <w:sz w:val="21"/>
          <w:szCs w:val="21"/>
        </w:rPr>
        <w:t xml:space="preserve">经办律师：廖海、刘佳 </w:t>
      </w:r>
    </w:p>
    <w:p>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pPr>
        <w:pStyle w:val="7"/>
        <w:spacing w:before="0" w:beforeAutospacing="0" w:after="0" w:afterAutospacing="0" w:line="360" w:lineRule="auto"/>
        <w:ind w:firstLine="420"/>
        <w:rPr>
          <w:sz w:val="21"/>
          <w:szCs w:val="21"/>
        </w:rPr>
      </w:pPr>
      <w:r>
        <w:rPr>
          <w:rFonts w:hint="eastAsia"/>
          <w:sz w:val="21"/>
          <w:szCs w:val="21"/>
        </w:rPr>
        <w:t>本基金的法定验资机构为</w:t>
      </w:r>
      <w:bookmarkStart w:id="59" w:name="field_0_verifyaccountorgfullname_1"/>
      <w:r>
        <w:rPr>
          <w:rFonts w:hint="eastAsia"/>
          <w:sz w:val="21"/>
          <w:szCs w:val="21"/>
        </w:rPr>
        <w:t>安永华明会计师事务所（特殊普通合伙）</w:t>
      </w:r>
      <w:bookmarkEnd w:id="59"/>
      <w:r>
        <w:rPr>
          <w:rFonts w:hint="eastAsia"/>
          <w:sz w:val="21"/>
          <w:szCs w:val="21"/>
        </w:rPr>
        <w:t xml:space="preserve">  </w:t>
      </w:r>
    </w:p>
    <w:p>
      <w:pPr>
        <w:pStyle w:val="7"/>
        <w:spacing w:before="0" w:beforeAutospacing="0" w:after="0" w:afterAutospacing="0" w:line="360" w:lineRule="auto"/>
        <w:ind w:firstLine="420"/>
        <w:rPr>
          <w:sz w:val="21"/>
          <w:szCs w:val="21"/>
        </w:rPr>
      </w:pPr>
      <w:bookmarkStart w:id="60" w:name="field_0_verifyaccountcompanyinfo_1_start"/>
      <w:bookmarkEnd w:id="60"/>
      <w:r>
        <w:rPr>
          <w:rFonts w:hint="eastAsia"/>
          <w:sz w:val="21"/>
          <w:szCs w:val="21"/>
        </w:rPr>
        <w:t xml:space="preserve">名称：安永华明会计师事务所（特殊普通合伙）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pPr>
        <w:pStyle w:val="7"/>
        <w:spacing w:before="0" w:beforeAutospacing="0" w:after="0" w:afterAutospacing="0" w:line="360" w:lineRule="auto"/>
        <w:ind w:firstLine="420"/>
        <w:rPr>
          <w:sz w:val="21"/>
          <w:szCs w:val="21"/>
        </w:rPr>
      </w:pPr>
      <w:r>
        <w:rPr>
          <w:rFonts w:hint="eastAsia"/>
          <w:sz w:val="21"/>
          <w:szCs w:val="21"/>
        </w:rPr>
        <w:t xml:space="preserve">联系人：朱燕 </w:t>
      </w:r>
      <w:bookmarkStart w:id="61" w:name="field_0_verifyaccountcompanyinfo_1_end"/>
      <w:bookmarkEnd w:id="61"/>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本基金的年度财务报表及其他规定事项的审计机构为</w:t>
      </w:r>
      <w:bookmarkStart w:id="62" w:name="field_0_accountingorgfullname_1"/>
      <w:r>
        <w:rPr>
          <w:rFonts w:hint="eastAsia"/>
          <w:sz w:val="21"/>
          <w:szCs w:val="21"/>
        </w:rPr>
        <w:t>安永华明会计师事务所（特殊普通合伙）</w:t>
      </w:r>
      <w:bookmarkEnd w:id="62"/>
      <w:r>
        <w:rPr>
          <w:rFonts w:hint="eastAsia"/>
          <w:sz w:val="21"/>
          <w:szCs w:val="21"/>
        </w:rPr>
        <w:t xml:space="preserve">  </w:t>
      </w:r>
    </w:p>
    <w:p>
      <w:pPr>
        <w:pStyle w:val="7"/>
        <w:spacing w:before="0" w:beforeAutospacing="0" w:after="0" w:afterAutospacing="0" w:line="360" w:lineRule="auto"/>
        <w:ind w:firstLine="420"/>
        <w:rPr>
          <w:sz w:val="21"/>
          <w:szCs w:val="21"/>
        </w:rPr>
      </w:pPr>
      <w:bookmarkStart w:id="63" w:name="field_0_accountingcompanyinfo_1_start"/>
      <w:bookmarkEnd w:id="63"/>
      <w:r>
        <w:rPr>
          <w:rFonts w:hint="eastAsia"/>
          <w:sz w:val="21"/>
          <w:szCs w:val="21"/>
        </w:rPr>
        <w:t xml:space="preserve">名称：安永华明会计师事务所（特殊普通合伙）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pPr>
        <w:pStyle w:val="7"/>
        <w:spacing w:before="0" w:beforeAutospacing="0" w:after="0" w:afterAutospacing="0" w:line="360" w:lineRule="auto"/>
        <w:ind w:firstLine="420"/>
        <w:rPr>
          <w:sz w:val="21"/>
          <w:szCs w:val="21"/>
        </w:rPr>
      </w:pPr>
      <w:bookmarkStart w:id="64" w:name="chapter_level1_7_56_section_3_end"/>
      <w:bookmarkEnd w:id="64"/>
      <w:r>
        <w:rPr>
          <w:rFonts w:hint="eastAsia"/>
          <w:sz w:val="21"/>
          <w:szCs w:val="21"/>
        </w:rPr>
        <w:t xml:space="preserve">联系人：朱燕 </w:t>
      </w:r>
      <w:bookmarkStart w:id="65" w:name="field_0_accountingcompanyinfo_1_end"/>
      <w:bookmarkEnd w:id="65"/>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66" w:name="chapter_level1_9_58"/>
      <w:bookmarkStart w:id="67" w:name="_Toc207947151"/>
      <w:r>
        <w:rPr>
          <w:rFonts w:hint="eastAsia" w:ascii="宋体" w:hAnsi="宋体" w:eastAsia="宋体"/>
          <w:sz w:val="30"/>
        </w:rPr>
        <w:t>第六部分 基金的募集与基金合同的生效</w:t>
      </w:r>
      <w:bookmarkEnd w:id="66"/>
      <w:bookmarkEnd w:id="67"/>
    </w:p>
    <w:p>
      <w:pPr>
        <w:pStyle w:val="7"/>
        <w:spacing w:before="0" w:beforeAutospacing="0" w:after="0" w:afterAutospacing="0" w:line="360" w:lineRule="auto"/>
        <w:ind w:firstLine="420"/>
        <w:rPr>
          <w:sz w:val="21"/>
          <w:szCs w:val="21"/>
        </w:rPr>
      </w:pPr>
      <w:bookmarkStart w:id="68" w:name="chapter_level1_9_58_section_1"/>
      <w:bookmarkEnd w:id="68"/>
      <w:r>
        <w:rPr>
          <w:rFonts w:hint="eastAsia"/>
          <w:b/>
          <w:bCs/>
          <w:sz w:val="21"/>
          <w:szCs w:val="21"/>
        </w:rPr>
        <w:t>一．基金的募集</w:t>
      </w:r>
    </w:p>
    <w:p>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69" w:name="field_2343_approveddate_1"/>
      <w:r>
        <w:rPr>
          <w:sz w:val="21"/>
          <w:szCs w:val="21"/>
        </w:rPr>
        <w:t>2023年4月18日</w:t>
      </w:r>
      <w:bookmarkEnd w:id="69"/>
      <w:r>
        <w:rPr>
          <w:rFonts w:hint="eastAsia"/>
          <w:sz w:val="21"/>
          <w:szCs w:val="21"/>
        </w:rPr>
        <w:t>证监许可</w:t>
      </w:r>
      <w:bookmarkStart w:id="70" w:name="field_2343_lotnumber_1"/>
      <w:r>
        <w:rPr>
          <w:sz w:val="21"/>
          <w:szCs w:val="21"/>
        </w:rPr>
        <w:t>[2023]818</w:t>
      </w:r>
      <w:bookmarkEnd w:id="70"/>
      <w:r>
        <w:rPr>
          <w:rFonts w:hint="eastAsia"/>
          <w:sz w:val="21"/>
          <w:szCs w:val="21"/>
        </w:rPr>
        <w:t xml:space="preserve">号文准予募集注册。 </w:t>
      </w:r>
    </w:p>
    <w:p>
      <w:pPr>
        <w:pStyle w:val="7"/>
        <w:spacing w:before="0" w:beforeAutospacing="0" w:after="0" w:afterAutospacing="0" w:line="360" w:lineRule="auto"/>
        <w:ind w:firstLine="420"/>
        <w:rPr>
          <w:sz w:val="21"/>
          <w:szCs w:val="21"/>
        </w:rPr>
      </w:pPr>
      <w:r>
        <w:rPr>
          <w:rFonts w:hint="eastAsia"/>
          <w:sz w:val="21"/>
          <w:szCs w:val="21"/>
        </w:rPr>
        <w:t>本基金募集期自</w:t>
      </w:r>
      <w:bookmarkStart w:id="71" w:name="field_58_raisebegindate_1"/>
      <w:r>
        <w:rPr>
          <w:sz w:val="21"/>
          <w:szCs w:val="21"/>
        </w:rPr>
        <w:t>2023年5月12日</w:t>
      </w:r>
      <w:bookmarkEnd w:id="71"/>
      <w:r>
        <w:rPr>
          <w:rFonts w:hint="eastAsia"/>
          <w:sz w:val="21"/>
          <w:szCs w:val="21"/>
        </w:rPr>
        <w:t>至</w:t>
      </w:r>
      <w:bookmarkStart w:id="72" w:name="field_58_raiseenddate_1"/>
      <w:r>
        <w:rPr>
          <w:sz w:val="21"/>
          <w:szCs w:val="21"/>
        </w:rPr>
        <w:t>2023年6月6日</w:t>
      </w:r>
      <w:bookmarkEnd w:id="72"/>
      <w:r>
        <w:rPr>
          <w:rFonts w:hint="eastAsia"/>
          <w:sz w:val="21"/>
          <w:szCs w:val="21"/>
        </w:rPr>
        <w:t>期间，基金份额共募集</w:t>
      </w:r>
      <w:bookmarkStart w:id="73" w:name="field_58_raisetotal_1"/>
      <w:r>
        <w:rPr>
          <w:sz w:val="21"/>
          <w:szCs w:val="21"/>
        </w:rPr>
        <w:t>2,009,999,900</w:t>
      </w:r>
      <w:bookmarkEnd w:id="73"/>
      <w:r>
        <w:rPr>
          <w:rFonts w:hint="eastAsia"/>
          <w:sz w:val="21"/>
          <w:szCs w:val="21"/>
        </w:rPr>
        <w:t>份（含利息结转的份额），募集有效认购总户数为</w:t>
      </w:r>
      <w:bookmarkStart w:id="74" w:name="field_58_effectivetotal_1"/>
      <w:r>
        <w:rPr>
          <w:sz w:val="21"/>
          <w:szCs w:val="21"/>
        </w:rPr>
        <w:t>2</w:t>
      </w:r>
      <w:bookmarkEnd w:id="74"/>
      <w:r>
        <w:rPr>
          <w:rFonts w:hint="eastAsia"/>
          <w:sz w:val="21"/>
          <w:szCs w:val="21"/>
        </w:rPr>
        <w:t xml:space="preserve">户。 </w:t>
      </w:r>
    </w:p>
    <w:p>
      <w:pPr>
        <w:pStyle w:val="7"/>
        <w:spacing w:before="0" w:beforeAutospacing="0" w:after="0" w:afterAutospacing="0" w:line="360" w:lineRule="auto"/>
        <w:ind w:firstLine="420"/>
        <w:rPr>
          <w:sz w:val="21"/>
          <w:szCs w:val="21"/>
        </w:rPr>
      </w:pPr>
      <w:r>
        <w:rPr>
          <w:rFonts w:hint="eastAsia"/>
          <w:sz w:val="21"/>
          <w:szCs w:val="21"/>
        </w:rPr>
        <w:t>本基金的运作方式为</w:t>
      </w:r>
      <w:bookmarkStart w:id="75" w:name="field_58_operation_1"/>
      <w:r>
        <w:rPr>
          <w:rFonts w:hint="eastAsia"/>
          <w:sz w:val="21"/>
          <w:szCs w:val="21"/>
        </w:rPr>
        <w:t>契约型定期开放式</w:t>
      </w:r>
      <w:bookmarkEnd w:id="75"/>
      <w:r>
        <w:rPr>
          <w:rFonts w:hint="eastAsia"/>
          <w:sz w:val="21"/>
          <w:szCs w:val="21"/>
        </w:rPr>
        <w:t>，存续期间为</w:t>
      </w:r>
      <w:bookmarkStart w:id="76" w:name="field_58_duration_1"/>
      <w:r>
        <w:rPr>
          <w:rFonts w:hint="eastAsia"/>
          <w:sz w:val="21"/>
          <w:szCs w:val="21"/>
        </w:rPr>
        <w:t>不定期</w:t>
      </w:r>
      <w:bookmarkEnd w:id="76"/>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b/>
          <w:bCs/>
          <w:sz w:val="21"/>
          <w:szCs w:val="21"/>
        </w:rPr>
        <w:t>二、基金合同的生效</w:t>
      </w:r>
    </w:p>
    <w:p>
      <w:pPr>
        <w:pStyle w:val="7"/>
        <w:spacing w:before="0" w:beforeAutospacing="0" w:after="0" w:afterAutospacing="0" w:line="360" w:lineRule="auto"/>
        <w:ind w:firstLine="420"/>
        <w:rPr>
          <w:sz w:val="21"/>
          <w:szCs w:val="21"/>
        </w:rPr>
      </w:pPr>
      <w:bookmarkStart w:id="77" w:name="chapter_level1_9_58_section_1_end"/>
      <w:bookmarkEnd w:id="77"/>
      <w:r>
        <w:rPr>
          <w:rFonts w:hint="eastAsia"/>
          <w:sz w:val="21"/>
          <w:szCs w:val="21"/>
        </w:rPr>
        <w:t>本基金的基金合同已于</w:t>
      </w:r>
      <w:bookmarkStart w:id="78" w:name="field_0_foundday_1"/>
      <w:r>
        <w:rPr>
          <w:sz w:val="21"/>
          <w:szCs w:val="21"/>
        </w:rPr>
        <w:t>2023年6月7日</w:t>
      </w:r>
      <w:bookmarkEnd w:id="78"/>
      <w:r>
        <w:rPr>
          <w:rFonts w:hint="eastAsia"/>
          <w:sz w:val="21"/>
          <w:szCs w:val="21"/>
        </w:rPr>
        <w:t xml:space="preserve">正式生效。 </w:t>
      </w:r>
    </w:p>
    <w:p>
      <w:pPr>
        <w:pStyle w:val="7"/>
        <w:spacing w:before="0" w:beforeAutospacing="0" w:after="0" w:afterAutospacing="0" w:line="360" w:lineRule="auto"/>
        <w:ind w:firstLine="420"/>
        <w:rPr>
          <w:sz w:val="21"/>
          <w:szCs w:val="21"/>
        </w:rPr>
      </w:pPr>
      <w:bookmarkStart w:id="79" w:name="chapter_level1_9_58_section_2"/>
      <w:bookmarkEnd w:id="79"/>
      <w:r>
        <w:rPr>
          <w:rStyle w:val="11"/>
          <w:rFonts w:hint="eastAsia"/>
          <w:sz w:val="21"/>
          <w:szCs w:val="21"/>
        </w:rPr>
        <w:t>三、基金存续期内的基金份额持有人数量和资产规模</w:t>
      </w:r>
    </w:p>
    <w:p>
      <w:pPr>
        <w:pStyle w:val="7"/>
        <w:spacing w:before="0" w:beforeAutospacing="0" w:after="0" w:afterAutospacing="0" w:line="360" w:lineRule="auto"/>
        <w:ind w:firstLine="420"/>
        <w:rPr>
          <w:sz w:val="21"/>
          <w:szCs w:val="21"/>
        </w:rPr>
      </w:pPr>
      <w:r>
        <w:rPr>
          <w:rFonts w:hint="eastAsia"/>
          <w:sz w:val="21"/>
          <w:szCs w:val="21"/>
        </w:rPr>
        <w:t xml:space="preserve">本基金为发起式基金，本基金的基金合同生效之日起三年后的对应日，若基金资产净值低于两亿元的，本基金将根据基金合同的约定进行基金财产清算并终止，无需召开基金份额持有人大会审议，且不得通过召开基金份额持有人大会的方式延续。若届时的法律法规或中国证监会规定发生变化，上述终止规定被取消、更改或补充时，则本基金可以参照届时有效的法律法规或中国证监会规定执行。 </w:t>
      </w:r>
    </w:p>
    <w:p>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本基金在基金合同生效三年后继续存续的，基金存续期内，连续20个工作日出现基金份额持有人数量不满200人或者基金资产净值低于5000万元情形的，基金管理人应当在定期报告中予以披露。 </w:t>
      </w:r>
    </w:p>
    <w:p>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基金存续期内，连续60个工作日出现基金份额持有人数量不满200人或者基金资产净值低于5000万元情形的，基金管理人应当10个工作日内向中国证监会报告并提出解决方案，如持续运作、转换运作方式、与其他基金合并或者终止基金合同等，并6个月内召集基金份额持有人大会。 </w:t>
      </w:r>
    </w:p>
    <w:p>
      <w:pPr>
        <w:pStyle w:val="7"/>
        <w:spacing w:before="0" w:beforeAutospacing="0" w:after="0" w:afterAutospacing="0" w:line="360" w:lineRule="auto"/>
        <w:ind w:firstLine="420"/>
        <w:rPr>
          <w:sz w:val="21"/>
          <w:szCs w:val="21"/>
        </w:rPr>
      </w:pPr>
      <w:bookmarkStart w:id="80" w:name="chapter_level1_9_58_section_2_end"/>
      <w:bookmarkEnd w:id="80"/>
      <w:r>
        <w:rPr>
          <w:rFonts w:hint="eastAsia"/>
          <w:sz w:val="21"/>
          <w:szCs w:val="21"/>
        </w:rPr>
        <w:t xml:space="preserve">法律法规或监管机构另有规定时，从其规定。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1" w:name="_Toc207947152"/>
      <w:bookmarkStart w:id="82" w:name="chapter_level1_10_59"/>
      <w:r>
        <w:rPr>
          <w:rFonts w:hint="eastAsia" w:ascii="宋体" w:hAnsi="宋体" w:eastAsia="宋体"/>
          <w:sz w:val="30"/>
        </w:rPr>
        <w:t>第七部分  基金份额的申购与赎回</w:t>
      </w:r>
      <w:bookmarkEnd w:id="81"/>
      <w:bookmarkEnd w:id="82"/>
    </w:p>
    <w:p>
      <w:pPr>
        <w:pStyle w:val="7"/>
        <w:spacing w:before="0" w:beforeAutospacing="0" w:after="0" w:afterAutospacing="0" w:line="360" w:lineRule="auto"/>
        <w:ind w:firstLine="420"/>
        <w:rPr>
          <w:sz w:val="21"/>
          <w:szCs w:val="21"/>
        </w:rPr>
      </w:pPr>
      <w:bookmarkStart w:id="83" w:name="chapter_level1_10_59_section_1"/>
      <w:bookmarkEnd w:id="83"/>
      <w:r>
        <w:rPr>
          <w:rStyle w:val="11"/>
          <w:rFonts w:hint="eastAsia"/>
          <w:sz w:val="21"/>
          <w:szCs w:val="21"/>
        </w:rPr>
        <w:t>一、申购和赎回场所</w:t>
      </w:r>
    </w:p>
    <w:p>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并在基金管理人网站公示。基金投资者应当在销售机构办理基金销售业务的营业场所或按销售机构提供的其他</w:t>
      </w:r>
      <w:bookmarkStart w:id="84" w:name="chapter_level1_10_59_section_1_end"/>
      <w:bookmarkEnd w:id="84"/>
      <w:r>
        <w:rPr>
          <w:rFonts w:hint="eastAsia"/>
          <w:sz w:val="21"/>
          <w:szCs w:val="21"/>
        </w:rPr>
        <w:t xml:space="preserve">方式办理基金份额的申购与赎回。 </w:t>
      </w:r>
    </w:p>
    <w:p>
      <w:pPr>
        <w:pStyle w:val="7"/>
        <w:spacing w:before="0" w:beforeAutospacing="0" w:after="0" w:afterAutospacing="0" w:line="360" w:lineRule="auto"/>
        <w:ind w:firstLine="420"/>
        <w:rPr>
          <w:sz w:val="21"/>
          <w:szCs w:val="21"/>
        </w:rPr>
      </w:pPr>
      <w:bookmarkStart w:id="85" w:name="chapter_level1_10_59_section_2"/>
      <w:bookmarkEnd w:id="85"/>
      <w:r>
        <w:rPr>
          <w:rStyle w:val="11"/>
          <w:rFonts w:hint="eastAsia"/>
          <w:sz w:val="21"/>
          <w:szCs w:val="21"/>
        </w:rPr>
        <w:t>二、申购和赎回的开放日及时间</w:t>
      </w:r>
    </w:p>
    <w:p>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7"/>
        <w:spacing w:before="0" w:beforeAutospacing="0" w:after="0" w:afterAutospacing="0" w:line="360" w:lineRule="auto"/>
        <w:ind w:firstLine="420"/>
        <w:rPr>
          <w:sz w:val="21"/>
          <w:szCs w:val="21"/>
        </w:rPr>
      </w:pPr>
      <w:r>
        <w:rPr>
          <w:rFonts w:hint="eastAsia"/>
          <w:sz w:val="21"/>
          <w:szCs w:val="21"/>
        </w:rPr>
        <w:t xml:space="preserve">本基金在开放期内，投资人在开放日办理基金份额的申购和赎回，具体办理时间为上海证券交易所、深圳证券交易所的正常交易日的交易时间，但基金管理人根据法律法规、中国证监会的要求或基金合同的规定公告暂停申购、赎回时除外。本基金在封闭期内不办理申购与赎回业务（红利再投资除外）。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7"/>
        <w:spacing w:before="0" w:beforeAutospacing="0" w:after="0" w:afterAutospacing="0" w:line="360" w:lineRule="auto"/>
        <w:ind w:firstLine="420"/>
        <w:rPr>
          <w:sz w:val="21"/>
          <w:szCs w:val="21"/>
        </w:rPr>
      </w:pPr>
      <w:r>
        <w:rPr>
          <w:rFonts w:hint="eastAsia"/>
          <w:sz w:val="21"/>
          <w:szCs w:val="21"/>
        </w:rPr>
        <w:t xml:space="preserve">除法律法规或基金合同另有约定外，本基金每个封闭期结束之后第一个工作日起（含该日）进入开放期，开放期的期限为自封闭期结束之日后第一个工作日起（含该日）1至20个工作日，具体期间由基金管理人在封闭期结束前公告说明。在开放期内，基金管理人有权延长开放期时间并公告，但开放期最长不可超过20个工作日。 </w:t>
      </w:r>
    </w:p>
    <w:p>
      <w:pPr>
        <w:pStyle w:val="7"/>
        <w:spacing w:before="0" w:beforeAutospacing="0" w:after="0" w:afterAutospacing="0" w:line="360" w:lineRule="auto"/>
        <w:ind w:firstLine="420"/>
        <w:rPr>
          <w:sz w:val="21"/>
          <w:szCs w:val="21"/>
        </w:rPr>
      </w:pPr>
      <w:r>
        <w:rPr>
          <w:rFonts w:hint="eastAsia"/>
          <w:sz w:val="21"/>
          <w:szCs w:val="21"/>
        </w:rPr>
        <w:t xml:space="preserve">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 </w:t>
      </w:r>
    </w:p>
    <w:p>
      <w:pPr>
        <w:pStyle w:val="7"/>
        <w:spacing w:before="0" w:beforeAutospacing="0" w:after="0" w:afterAutospacing="0" w:line="360" w:lineRule="auto"/>
        <w:ind w:firstLine="420"/>
        <w:rPr>
          <w:sz w:val="21"/>
          <w:szCs w:val="21"/>
        </w:rPr>
      </w:pPr>
      <w:r>
        <w:rPr>
          <w:rFonts w:hint="eastAsia"/>
          <w:sz w:val="21"/>
          <w:szCs w:val="21"/>
        </w:rPr>
        <w:t xml:space="preserve">在确定申购开始与赎回开始时间后，基金管理人应在申购、赎回开放日前依照《信息披露办法》的有关规定进行公告。 </w:t>
      </w:r>
    </w:p>
    <w:p>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在开放期内，投资人在基金合同约定之外的日期和时间提出申购、赎回或转换申请且登记机构确认接受的，其基金份额申购、赎回或转换价格为下一开放日基金份额申购、赎回或转换的价格；但若投资人在开放期最后一日业务办理时间结束之后提出申购、赎回或者转换</w:t>
      </w:r>
      <w:bookmarkStart w:id="86" w:name="chapter_level1_10_59_section_2_end"/>
      <w:bookmarkEnd w:id="86"/>
      <w:r>
        <w:rPr>
          <w:rFonts w:hint="eastAsia"/>
          <w:sz w:val="21"/>
          <w:szCs w:val="21"/>
        </w:rPr>
        <w:t xml:space="preserve">申请的，视为无效申请。 </w:t>
      </w:r>
    </w:p>
    <w:p>
      <w:pPr>
        <w:pStyle w:val="7"/>
        <w:spacing w:before="0" w:beforeAutospacing="0" w:after="0" w:afterAutospacing="0" w:line="360" w:lineRule="auto"/>
        <w:ind w:firstLine="420"/>
        <w:rPr>
          <w:sz w:val="21"/>
          <w:szCs w:val="21"/>
        </w:rPr>
      </w:pPr>
      <w:bookmarkStart w:id="87" w:name="chapter_level1_10_59_section_3"/>
      <w:bookmarkEnd w:id="87"/>
      <w:r>
        <w:rPr>
          <w:rStyle w:val="11"/>
          <w:rFonts w:hint="eastAsia"/>
          <w:sz w:val="21"/>
          <w:szCs w:val="21"/>
        </w:rPr>
        <w:t>三、申购与赎回的原则</w:t>
      </w:r>
    </w:p>
    <w:p>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pPr>
        <w:pStyle w:val="7"/>
        <w:spacing w:before="0" w:beforeAutospacing="0" w:after="0" w:afterAutospacing="0" w:line="360" w:lineRule="auto"/>
        <w:ind w:firstLine="420"/>
        <w:rPr>
          <w:sz w:val="21"/>
          <w:szCs w:val="21"/>
        </w:rPr>
      </w:pPr>
      <w:r>
        <w:rPr>
          <w:rFonts w:hint="eastAsia"/>
          <w:sz w:val="21"/>
          <w:szCs w:val="21"/>
        </w:rPr>
        <w:t xml:space="preserve">基金管理人可在不违反法律法规的情况下，对上述原则进行调整。基金管理人必须在新规则开始实施前依照《信息披露办法》的有关规定在规定媒介上公告。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四、申购与赎回的数额限制</w:t>
      </w:r>
    </w:p>
    <w:p>
      <w:pPr>
        <w:pStyle w:val="7"/>
        <w:spacing w:before="0" w:beforeAutospacing="0" w:after="0" w:afterAutospacing="0" w:line="360" w:lineRule="auto"/>
        <w:ind w:firstLine="420"/>
        <w:rPr>
          <w:sz w:val="21"/>
          <w:szCs w:val="21"/>
        </w:rPr>
      </w:pPr>
      <w:r>
        <w:rPr>
          <w:rFonts w:hint="eastAsia"/>
          <w:sz w:val="21"/>
          <w:szCs w:val="21"/>
        </w:rPr>
        <w:t xml:space="preserve">1、首次申购本基金基金份额的单笔最低金额为1.00元（含申购费），追加申购单笔最低金额为1.00元（含申购费）；具体规定请参见相关公告； </w:t>
      </w:r>
    </w:p>
    <w:p>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88" w:name="field_59_minholdshare_1"/>
      <w:r>
        <w:rPr>
          <w:sz w:val="21"/>
          <w:szCs w:val="21"/>
        </w:rPr>
        <w:t>1</w:t>
      </w:r>
      <w:bookmarkEnd w:id="88"/>
      <w:r>
        <w:rPr>
          <w:rFonts w:hint="eastAsia"/>
          <w:sz w:val="21"/>
          <w:szCs w:val="21"/>
        </w:rPr>
        <w:t>份，若某笔赎回导致单个交易账户的基金份额余额少于</w:t>
      </w:r>
      <w:bookmarkStart w:id="89" w:name="field_59_minholdshare_2"/>
      <w:r>
        <w:rPr>
          <w:sz w:val="21"/>
          <w:szCs w:val="21"/>
        </w:rPr>
        <w:t>1</w:t>
      </w:r>
      <w:bookmarkEnd w:id="89"/>
      <w:r>
        <w:rPr>
          <w:rFonts w:hint="eastAsia"/>
          <w:sz w:val="21"/>
          <w:szCs w:val="21"/>
        </w:rPr>
        <w:t xml:space="preserve">份时，余额部分基金份额必须一同赎回； </w:t>
      </w:r>
    </w:p>
    <w:p>
      <w:pPr>
        <w:pStyle w:val="7"/>
        <w:spacing w:before="0" w:beforeAutospacing="0" w:after="0" w:afterAutospacing="0" w:line="360" w:lineRule="auto"/>
        <w:ind w:firstLine="420"/>
        <w:rPr>
          <w:sz w:val="21"/>
          <w:szCs w:val="21"/>
        </w:rPr>
      </w:pPr>
      <w:r>
        <w:rPr>
          <w:rFonts w:hint="eastAsia"/>
          <w:sz w:val="21"/>
          <w:szCs w:val="21"/>
        </w:rPr>
        <w:t>3、投资人通过销售机构赎回基金份额时，本基金单笔赎回申请不得低于</w:t>
      </w:r>
      <w:bookmarkStart w:id="90" w:name="field_59_minholdshare_3"/>
      <w:r>
        <w:rPr>
          <w:sz w:val="21"/>
          <w:szCs w:val="21"/>
        </w:rPr>
        <w:t>1</w:t>
      </w:r>
      <w:bookmarkEnd w:id="90"/>
      <w:r>
        <w:rPr>
          <w:rFonts w:hint="eastAsia"/>
          <w:sz w:val="21"/>
          <w:szCs w:val="21"/>
        </w:rPr>
        <w:t>份，若投资者单个交易账户持有的基金份额余额不足</w:t>
      </w:r>
      <w:bookmarkStart w:id="91" w:name="field_59_minholdshare_4"/>
      <w:r>
        <w:rPr>
          <w:sz w:val="21"/>
          <w:szCs w:val="21"/>
        </w:rPr>
        <w:t>1</w:t>
      </w:r>
      <w:bookmarkEnd w:id="91"/>
      <w:r>
        <w:rPr>
          <w:rFonts w:hint="eastAsia"/>
          <w:sz w:val="21"/>
          <w:szCs w:val="21"/>
        </w:rPr>
        <w:t xml:space="preserve">份，将不受此限制，但投资者在提交赎回申请时须将基金份额全部赎回。各销售机构在符合上述规定的前提下，可根据自己的情况调整单笔赎回申请限制，具体以销售机构公布的为准，投资人需遵循销售机构的相关规定； </w:t>
      </w:r>
    </w:p>
    <w:p>
      <w:pPr>
        <w:pStyle w:val="7"/>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但法律法规或监管机构另有规定或基金合同另有约定的除外。将来，基金管理人可以规定单个投资者累计持有的基金份额数量限制，具体规定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pPr>
        <w:pStyle w:val="7"/>
        <w:spacing w:before="0" w:beforeAutospacing="0" w:after="0" w:afterAutospacing="0" w:line="360" w:lineRule="auto"/>
        <w:ind w:firstLine="420"/>
        <w:rPr>
          <w:sz w:val="21"/>
          <w:szCs w:val="21"/>
        </w:rPr>
      </w:pPr>
      <w:r>
        <w:rPr>
          <w:rFonts w:hint="eastAsia"/>
          <w:sz w:val="21"/>
          <w:szCs w:val="21"/>
        </w:rPr>
        <w:t xml:space="preserve">6、基金管理人可在不违反法律法规的情况下，调整上述规定申购金额和赎回份额的数量限制。基金管理人必须在调整实施前依照《信息披露办法》的有关规定在规定媒介上公告。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其他暂停赎回或延缓支付赎回款项的情形时，款项的支付办法参照基金合同有关条款处理。 </w:t>
      </w:r>
    </w:p>
    <w:p>
      <w:pPr>
        <w:pStyle w:val="7"/>
        <w:spacing w:before="0" w:beforeAutospacing="0" w:after="0" w:afterAutospacing="0" w:line="360" w:lineRule="auto"/>
        <w:ind w:firstLine="420"/>
        <w:rPr>
          <w:sz w:val="21"/>
          <w:szCs w:val="21"/>
        </w:rPr>
      </w:pPr>
      <w:r>
        <w:rPr>
          <w:rFonts w:hint="eastAsia"/>
          <w:sz w:val="21"/>
          <w:szCs w:val="21"/>
        </w:rPr>
        <w:t xml:space="preserve">如遇交易所或交易市场数据传输延迟、通讯系统故障、银行数据交换系统故障或其他非基金管理人及基金托管人所能控制的因素影响了业务流程，则赎回款项划付时间相应顺延至该因素消除的最近一个工作日。 </w:t>
      </w:r>
    </w:p>
    <w:p>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并妥善行使合法权利。否则，由此产生的投资人任何损失由投资人自行承担。 </w:t>
      </w:r>
    </w:p>
    <w:p>
      <w:pPr>
        <w:pStyle w:val="7"/>
        <w:spacing w:before="0" w:beforeAutospacing="0" w:after="0" w:afterAutospacing="0" w:line="360" w:lineRule="auto"/>
        <w:ind w:firstLine="420"/>
        <w:rPr>
          <w:sz w:val="21"/>
          <w:szCs w:val="21"/>
        </w:rPr>
      </w:pPr>
      <w:r>
        <w:rPr>
          <w:rFonts w:hint="eastAsia"/>
          <w:sz w:val="21"/>
          <w:szCs w:val="21"/>
        </w:rPr>
        <w:t xml:space="preserve">基金管理人可以在不违反法律法规和基金合同的范围内，对上述业务办理时间进行调整，并在调整实施前依照《信息披露办法》的有关规定在规定媒介上公告。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pPr>
        <w:pStyle w:val="7"/>
        <w:spacing w:before="0" w:beforeAutospacing="0" w:after="0" w:afterAutospacing="0" w:line="360" w:lineRule="auto"/>
        <w:ind w:firstLine="420"/>
        <w:rPr>
          <w:sz w:val="21"/>
          <w:szCs w:val="21"/>
        </w:rPr>
      </w:pPr>
      <w:r>
        <w:rPr>
          <w:rFonts w:hint="eastAsia"/>
          <w:sz w:val="21"/>
          <w:szCs w:val="21"/>
        </w:rPr>
        <w:t xml:space="preserve">投资者的申购费用如下： </w:t>
      </w:r>
    </w:p>
    <w:p>
      <w:pPr>
        <w:pStyle w:val="7"/>
        <w:spacing w:before="0" w:beforeAutospacing="0" w:after="0" w:afterAutospacing="0" w:line="360" w:lineRule="auto"/>
        <w:ind w:firstLine="420"/>
        <w:rPr>
          <w:sz w:val="21"/>
          <w:szCs w:val="21"/>
        </w:rPr>
      </w:pPr>
      <w:r>
        <w:rPr>
          <w:rFonts w:hint="eastAsia"/>
          <w:sz w:val="21"/>
          <w:szCs w:val="21"/>
        </w:rPr>
        <w:t xml:space="preserve">表2：本基金的申购费率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49"/>
        <w:gridCol w:w="4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rPr>
                <w:rFonts w:ascii="宋体" w:hAnsi="宋体" w:eastAsia="宋体" w:cs="宋体"/>
                <w:sz w:val="24"/>
                <w:szCs w:val="24"/>
              </w:rPr>
            </w:pPr>
            <w:r>
              <w:rPr>
                <w:rFonts w:hint="eastAsia" w:ascii="宋体" w:hAnsi="宋体" w:eastAsia="宋体"/>
              </w:rPr>
              <w:t xml:space="preserve">金额（M） </w:t>
            </w:r>
          </w:p>
        </w:tc>
        <w:tc>
          <w:tcPr>
            <w:tcW w:w="0" w:type="auto"/>
            <w:shd w:val="clear" w:color="auto" w:fill="auto"/>
          </w:tcPr>
          <w:p>
            <w:pPr>
              <w:rPr>
                <w:rFonts w:ascii="宋体" w:hAnsi="宋体" w:eastAsia="宋体" w:cs="宋体"/>
                <w:sz w:val="24"/>
                <w:szCs w:val="24"/>
              </w:rPr>
            </w:pPr>
            <w:r>
              <w:rPr>
                <w:rFonts w:hint="eastAsia" w:ascii="宋体" w:hAnsi="宋体" w:eastAsia="宋体"/>
              </w:rPr>
              <w:t xml:space="preserve">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rPr>
                <w:rFonts w:ascii="宋体" w:hAnsi="宋体" w:eastAsia="宋体" w:cs="宋体"/>
                <w:sz w:val="24"/>
                <w:szCs w:val="24"/>
              </w:rPr>
            </w:pPr>
            <w:r>
              <w:rPr>
                <w:rFonts w:hint="eastAsia" w:ascii="宋体" w:hAnsi="宋体" w:eastAsia="宋体"/>
              </w:rPr>
              <w:t xml:space="preserve">M＜500万 </w:t>
            </w:r>
          </w:p>
        </w:tc>
        <w:tc>
          <w:tcPr>
            <w:tcW w:w="0" w:type="auto"/>
            <w:shd w:val="clear" w:color="auto" w:fill="auto"/>
          </w:tcPr>
          <w:p>
            <w:pPr>
              <w:rPr>
                <w:rFonts w:ascii="宋体" w:hAnsi="宋体" w:eastAsia="宋体" w:cs="宋体"/>
                <w:sz w:val="24"/>
                <w:szCs w:val="24"/>
              </w:rPr>
            </w:pPr>
            <w:r>
              <w:rPr>
                <w:rFonts w:hint="eastAsia" w:ascii="宋体" w:hAnsi="宋体" w:eastAsia="宋体"/>
              </w:rPr>
              <w:t xml:space="preserve">0.30%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rPr>
                <w:rFonts w:ascii="宋体" w:hAnsi="宋体" w:eastAsia="宋体" w:cs="宋体"/>
                <w:sz w:val="24"/>
                <w:szCs w:val="24"/>
              </w:rPr>
            </w:pPr>
            <w:r>
              <w:rPr>
                <w:rFonts w:hint="eastAsia" w:ascii="宋体" w:hAnsi="宋体" w:eastAsia="宋体"/>
              </w:rPr>
              <w:t xml:space="preserve">M≥500万 </w:t>
            </w:r>
          </w:p>
        </w:tc>
        <w:tc>
          <w:tcPr>
            <w:tcW w:w="0" w:type="auto"/>
            <w:shd w:val="clear" w:color="auto" w:fill="auto"/>
          </w:tcPr>
          <w:p>
            <w:pPr>
              <w:rPr>
                <w:rFonts w:ascii="宋体" w:hAnsi="宋体" w:eastAsia="宋体" w:cs="宋体"/>
                <w:sz w:val="24"/>
                <w:szCs w:val="24"/>
              </w:rPr>
            </w:pPr>
            <w:r>
              <w:rPr>
                <w:rFonts w:hint="eastAsia" w:ascii="宋体" w:hAnsi="宋体" w:eastAsia="宋体"/>
              </w:rPr>
              <w:t xml:space="preserve">每笔1,000元 </w:t>
            </w:r>
          </w:p>
        </w:tc>
      </w:tr>
    </w:tbl>
    <w:p>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pPr>
        <w:pStyle w:val="7"/>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pPr>
        <w:pStyle w:val="7"/>
        <w:spacing w:before="0" w:beforeAutospacing="0" w:after="0" w:afterAutospacing="0" w:line="360" w:lineRule="auto"/>
        <w:ind w:firstLine="420"/>
        <w:rPr>
          <w:sz w:val="21"/>
          <w:szCs w:val="21"/>
        </w:rPr>
      </w:pPr>
      <w:r>
        <w:rPr>
          <w:rFonts w:hint="eastAsia"/>
          <w:sz w:val="21"/>
          <w:szCs w:val="21"/>
        </w:rPr>
        <w:t xml:space="preserve">2、本基金赎回费率按基金份额持有期限递减，费率如下： </w:t>
      </w:r>
    </w:p>
    <w:p>
      <w:pPr>
        <w:pStyle w:val="7"/>
        <w:spacing w:before="0" w:beforeAutospacing="0" w:after="0" w:afterAutospacing="0" w:line="360" w:lineRule="auto"/>
        <w:ind w:firstLine="420"/>
        <w:rPr>
          <w:sz w:val="21"/>
          <w:szCs w:val="21"/>
        </w:rPr>
      </w:pPr>
      <w:r>
        <w:rPr>
          <w:rFonts w:hint="eastAsia"/>
          <w:sz w:val="21"/>
          <w:szCs w:val="21"/>
        </w:rPr>
        <w:t xml:space="preserve">表3：本基金的赎回费率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7"/>
        <w:gridCol w:w="24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赎回份额持有时间 （Y）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赎回费率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Y&lt;7日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7日≤Y&lt;30日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0.05%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Y≥30日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0 </w:t>
            </w:r>
          </w:p>
        </w:tc>
      </w:tr>
    </w:tbl>
    <w:p>
      <w:pPr>
        <w:pStyle w:val="7"/>
        <w:spacing w:before="0" w:beforeAutospacing="0" w:after="0" w:afterAutospacing="0" w:line="360" w:lineRule="auto"/>
        <w:ind w:firstLine="420"/>
        <w:rPr>
          <w:sz w:val="21"/>
          <w:szCs w:val="21"/>
        </w:rPr>
      </w:pPr>
      <w:r>
        <w:rPr>
          <w:rFonts w:hint="eastAsia"/>
          <w:sz w:val="21"/>
          <w:szCs w:val="21"/>
        </w:rPr>
        <w:t xml:space="preserve">本基金的赎回费用由赎回基金份额的基金份额持有人承担，在基金份额持有人赎回基金份额时收取。其中，对持续持有期少于7日的投资者收取不低于1.5%的赎回费并全额计入基金财产；其他赎回费中不低于赎回费总额的25%归入基金财产，未归入基金财产的部分用于支付登记费和其他必要的手续费。 </w:t>
      </w:r>
    </w:p>
    <w:p>
      <w:pPr>
        <w:pStyle w:val="7"/>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pPr>
        <w:pStyle w:val="7"/>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且对基金份额持有人利益无实质性不利影响的前提下，根据市场情况制定基金促销计划，定期或不定期地开展基金促销活动。在基金促销活动期间，按相关监管部门要求履行必要手续后，基金管理人可以适当调低基金的申购、赎回费率。 </w:t>
      </w:r>
    </w:p>
    <w:p>
      <w:pPr>
        <w:pStyle w:val="7"/>
        <w:spacing w:before="0" w:beforeAutospacing="0" w:after="0" w:afterAutospacing="0" w:line="360" w:lineRule="auto"/>
        <w:ind w:firstLine="420"/>
        <w:rPr>
          <w:sz w:val="21"/>
          <w:szCs w:val="21"/>
        </w:rPr>
      </w:pPr>
      <w:r>
        <w:rPr>
          <w:rFonts w:hint="eastAsia"/>
          <w:sz w:val="21"/>
          <w:szCs w:val="21"/>
        </w:rPr>
        <w:t xml:space="preserve">5、开放期内，当本基金发生大额申购或赎回情形时，基金管理人可以采用摆动定价机制，以确保基金估值的公平性。具体处理原则与操作规范遵循相关法律法规以及监管部门、自律规则的规定。 </w:t>
      </w:r>
    </w:p>
    <w:p>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pPr>
        <w:pStyle w:val="7"/>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申购份额=净申购金额/T日基金份额净值 </w:t>
      </w:r>
    </w:p>
    <w:p>
      <w:pPr>
        <w:pStyle w:val="7"/>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净申购金额=申购金额-固定金额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申购份额=净申购金额/T日基金份额净值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例3：假定T日基金份额净值为1.0560元，某投资人申购本基金基金份额40万元，对应的申购费率为0.30%，该投资人可得到的基金份额为： </w:t>
      </w:r>
    </w:p>
    <w:p>
      <w:pPr>
        <w:pStyle w:val="7"/>
        <w:spacing w:before="0" w:beforeAutospacing="0" w:after="0" w:afterAutospacing="0" w:line="360" w:lineRule="auto"/>
        <w:ind w:firstLine="420"/>
        <w:rPr>
          <w:sz w:val="21"/>
          <w:szCs w:val="21"/>
        </w:rPr>
      </w:pPr>
      <w:r>
        <w:rPr>
          <w:rFonts w:hint="eastAsia"/>
          <w:sz w:val="21"/>
          <w:szCs w:val="21"/>
        </w:rPr>
        <w:t xml:space="preserve">净申购金额=400,000/（1+0.30%）=398,803.59元 </w:t>
      </w:r>
    </w:p>
    <w:p>
      <w:pPr>
        <w:pStyle w:val="7"/>
        <w:spacing w:before="0" w:beforeAutospacing="0" w:after="0" w:afterAutospacing="0" w:line="360" w:lineRule="auto"/>
        <w:ind w:firstLine="420"/>
        <w:rPr>
          <w:sz w:val="21"/>
          <w:szCs w:val="21"/>
        </w:rPr>
      </w:pPr>
      <w:r>
        <w:rPr>
          <w:rFonts w:hint="eastAsia"/>
          <w:sz w:val="21"/>
          <w:szCs w:val="21"/>
        </w:rPr>
        <w:t xml:space="preserve">申购费用=400,000-398,803.59=1,196.41元 </w:t>
      </w:r>
    </w:p>
    <w:p>
      <w:pPr>
        <w:pStyle w:val="7"/>
        <w:spacing w:before="0" w:beforeAutospacing="0" w:after="0" w:afterAutospacing="0" w:line="360" w:lineRule="auto"/>
        <w:ind w:firstLine="420"/>
        <w:rPr>
          <w:sz w:val="21"/>
          <w:szCs w:val="21"/>
        </w:rPr>
      </w:pPr>
      <w:r>
        <w:rPr>
          <w:rFonts w:hint="eastAsia"/>
          <w:sz w:val="21"/>
          <w:szCs w:val="21"/>
        </w:rPr>
        <w:t xml:space="preserve">申购份额=398,803.59/1.0560=377,654.91份 </w:t>
      </w:r>
    </w:p>
    <w:p>
      <w:pPr>
        <w:pStyle w:val="7"/>
        <w:spacing w:before="0" w:beforeAutospacing="0" w:after="0" w:afterAutospacing="0" w:line="360" w:lineRule="auto"/>
        <w:ind w:firstLine="420"/>
        <w:rPr>
          <w:sz w:val="21"/>
          <w:szCs w:val="21"/>
        </w:rPr>
      </w:pPr>
      <w:r>
        <w:rPr>
          <w:rFonts w:hint="eastAsia"/>
          <w:sz w:val="21"/>
          <w:szCs w:val="21"/>
        </w:rPr>
        <w:t xml:space="preserve">即：该投资人投资40万元申购本基金，假定申购当日基金份额净值为1.0560元，可得到377,654.91份基金份额。 </w:t>
      </w:r>
    </w:p>
    <w:p>
      <w:pPr>
        <w:pStyle w:val="7"/>
        <w:spacing w:before="0" w:beforeAutospacing="0" w:after="0" w:afterAutospacing="0" w:line="360" w:lineRule="auto"/>
        <w:ind w:firstLine="420"/>
        <w:rPr>
          <w:sz w:val="21"/>
          <w:szCs w:val="21"/>
        </w:rPr>
      </w:pPr>
      <w:r>
        <w:rPr>
          <w:rFonts w:hint="eastAsia"/>
          <w:sz w:val="21"/>
          <w:szCs w:val="21"/>
        </w:rPr>
        <w:t xml:space="preserve">例4：假定T日基金份额净值为1.0560元，某投资人投资600万元申购本基金，其对应的申购费用为1,000元，则其可得到的申购份额为： </w:t>
      </w:r>
    </w:p>
    <w:p>
      <w:pPr>
        <w:pStyle w:val="7"/>
        <w:spacing w:before="0" w:beforeAutospacing="0" w:after="0" w:afterAutospacing="0" w:line="360" w:lineRule="auto"/>
        <w:ind w:firstLine="420"/>
        <w:rPr>
          <w:sz w:val="21"/>
          <w:szCs w:val="21"/>
        </w:rPr>
      </w:pPr>
      <w:r>
        <w:rPr>
          <w:rFonts w:hint="eastAsia"/>
          <w:sz w:val="21"/>
          <w:szCs w:val="21"/>
        </w:rPr>
        <w:t xml:space="preserve">申购费用＝1,000.00元 </w:t>
      </w:r>
    </w:p>
    <w:p>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pPr>
        <w:pStyle w:val="7"/>
        <w:spacing w:before="0" w:beforeAutospacing="0" w:after="0" w:afterAutospacing="0" w:line="360" w:lineRule="auto"/>
        <w:ind w:firstLine="420"/>
        <w:rPr>
          <w:sz w:val="21"/>
          <w:szCs w:val="21"/>
        </w:rPr>
      </w:pPr>
      <w:r>
        <w:rPr>
          <w:rFonts w:hint="eastAsia"/>
          <w:sz w:val="21"/>
          <w:szCs w:val="21"/>
        </w:rPr>
        <w:t xml:space="preserve">申购份额＝5,999,000/1.0560＝5,680,871.21份 </w:t>
      </w:r>
    </w:p>
    <w:p>
      <w:pPr>
        <w:pStyle w:val="7"/>
        <w:spacing w:before="0" w:beforeAutospacing="0" w:after="0" w:afterAutospacing="0" w:line="360" w:lineRule="auto"/>
        <w:ind w:firstLine="420"/>
        <w:rPr>
          <w:sz w:val="21"/>
          <w:szCs w:val="21"/>
        </w:rPr>
      </w:pPr>
      <w:r>
        <w:rPr>
          <w:rFonts w:hint="eastAsia"/>
          <w:sz w:val="21"/>
          <w:szCs w:val="21"/>
        </w:rPr>
        <w:t xml:space="preserve">即：投资人投资600万元申购本基金，假定申购当日基金份额净值为1.0560元，可得到5,680,871.21份基金份额。 </w:t>
      </w:r>
    </w:p>
    <w:p>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pPr>
        <w:pStyle w:val="7"/>
        <w:spacing w:before="0" w:beforeAutospacing="0" w:after="0" w:afterAutospacing="0" w:line="360" w:lineRule="auto"/>
        <w:ind w:firstLine="420"/>
        <w:rPr>
          <w:sz w:val="21"/>
          <w:szCs w:val="21"/>
        </w:rPr>
      </w:pPr>
      <w:r>
        <w:rPr>
          <w:rFonts w:hint="eastAsia"/>
          <w:sz w:val="21"/>
          <w:szCs w:val="21"/>
        </w:rPr>
        <w:t xml:space="preserve">赎回总金额=赎回份额×T日基金份额净值 </w:t>
      </w:r>
    </w:p>
    <w:p>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例5：某投资者赎回本基金1万份基金份额，持有时间为三年，对应的赎回费率为0%，假设赎回当日基金份额净值是1.2500元，则其可得到的赎回金额为： </w:t>
      </w:r>
    </w:p>
    <w:p>
      <w:pPr>
        <w:pStyle w:val="7"/>
        <w:spacing w:before="0" w:beforeAutospacing="0" w:after="0" w:afterAutospacing="0" w:line="360" w:lineRule="auto"/>
        <w:ind w:firstLine="420"/>
        <w:rPr>
          <w:sz w:val="21"/>
          <w:szCs w:val="21"/>
        </w:rPr>
      </w:pPr>
      <w:r>
        <w:rPr>
          <w:rFonts w:hint="eastAsia"/>
          <w:sz w:val="21"/>
          <w:szCs w:val="21"/>
        </w:rPr>
        <w:t xml:space="preserve">赎回总金额=10,000×1.2500=12,500.00元 </w:t>
      </w:r>
    </w:p>
    <w:p>
      <w:pPr>
        <w:pStyle w:val="7"/>
        <w:spacing w:before="0" w:beforeAutospacing="0" w:after="0" w:afterAutospacing="0" w:line="360" w:lineRule="auto"/>
        <w:ind w:firstLine="420"/>
        <w:rPr>
          <w:sz w:val="21"/>
          <w:szCs w:val="21"/>
        </w:rPr>
      </w:pPr>
      <w:r>
        <w:rPr>
          <w:rFonts w:hint="eastAsia"/>
          <w:sz w:val="21"/>
          <w:szCs w:val="21"/>
        </w:rPr>
        <w:t xml:space="preserve">赎回费用=12,500×0%=0.00元 </w:t>
      </w:r>
    </w:p>
    <w:p>
      <w:pPr>
        <w:pStyle w:val="7"/>
        <w:spacing w:before="0" w:beforeAutospacing="0" w:after="0" w:afterAutospacing="0" w:line="360" w:lineRule="auto"/>
        <w:ind w:firstLine="420"/>
        <w:rPr>
          <w:sz w:val="21"/>
          <w:szCs w:val="21"/>
        </w:rPr>
      </w:pPr>
      <w:r>
        <w:rPr>
          <w:rFonts w:hint="eastAsia"/>
          <w:sz w:val="21"/>
          <w:szCs w:val="21"/>
        </w:rPr>
        <w:t xml:space="preserve">净赎回金额=12,500-0=12,500.00元 </w:t>
      </w:r>
    </w:p>
    <w:p>
      <w:pPr>
        <w:pStyle w:val="7"/>
        <w:spacing w:before="0" w:beforeAutospacing="0" w:after="0" w:afterAutospacing="0" w:line="360" w:lineRule="auto"/>
        <w:ind w:firstLine="420"/>
        <w:rPr>
          <w:sz w:val="21"/>
          <w:szCs w:val="21"/>
        </w:rPr>
      </w:pPr>
      <w:r>
        <w:rPr>
          <w:rFonts w:hint="eastAsia"/>
          <w:sz w:val="21"/>
          <w:szCs w:val="21"/>
        </w:rPr>
        <w:t xml:space="preserve">即：投资者赎回本基金1万份基金份额，持有时间为三年，假设赎回当日基金份额净值是1.2500元，则其可得到的赎回金额为12,500.00元。 </w:t>
      </w:r>
    </w:p>
    <w:p>
      <w:pPr>
        <w:pStyle w:val="7"/>
        <w:spacing w:before="0" w:beforeAutospacing="0" w:after="0" w:afterAutospacing="0" w:line="360" w:lineRule="auto"/>
        <w:ind w:firstLine="420"/>
        <w:rPr>
          <w:sz w:val="21"/>
          <w:szCs w:val="21"/>
        </w:rPr>
      </w:pPr>
      <w:r>
        <w:rPr>
          <w:rFonts w:hint="eastAsia"/>
          <w:sz w:val="21"/>
          <w:szCs w:val="21"/>
        </w:rPr>
        <w:t>3、本基金份额净值的计算，保留到小数点后</w:t>
      </w:r>
      <w:bookmarkStart w:id="92" w:name="field_63_netdecimal_1"/>
      <w:r>
        <w:rPr>
          <w:sz w:val="21"/>
          <w:szCs w:val="21"/>
        </w:rPr>
        <w:t>4</w:t>
      </w:r>
      <w:bookmarkEnd w:id="92"/>
      <w:r>
        <w:rPr>
          <w:rFonts w:hint="eastAsia"/>
          <w:sz w:val="21"/>
          <w:szCs w:val="21"/>
        </w:rPr>
        <w:t>位，小数点后第</w:t>
      </w:r>
      <w:bookmarkStart w:id="93" w:name="field_0_netdecimaladd1_1"/>
      <w:r>
        <w:rPr>
          <w:sz w:val="21"/>
          <w:szCs w:val="21"/>
        </w:rPr>
        <w:t>5</w:t>
      </w:r>
      <w:bookmarkEnd w:id="93"/>
      <w:r>
        <w:rPr>
          <w:rFonts w:hint="eastAsia"/>
          <w:sz w:val="21"/>
          <w:szCs w:val="21"/>
        </w:rPr>
        <w:t xml:space="preserve">位四舍五入，由此产生的收益或损失由基金财产承担。T日的基金份额净值在当天收市后计算，并按照基金合同约定公告。遇特殊情况，经履行适当程序，可以适当延迟计算或公告。 </w:t>
      </w:r>
    </w:p>
    <w:p>
      <w:pPr>
        <w:pStyle w:val="7"/>
        <w:spacing w:before="0" w:beforeAutospacing="0" w:after="0" w:afterAutospacing="0" w:line="360" w:lineRule="auto"/>
        <w:ind w:firstLine="420"/>
        <w:rPr>
          <w:sz w:val="21"/>
          <w:szCs w:val="21"/>
        </w:rPr>
      </w:pPr>
      <w:r>
        <w:rPr>
          <w:rStyle w:val="11"/>
          <w:rFonts w:hint="eastAsia"/>
          <w:sz w:val="21"/>
          <w:szCs w:val="21"/>
        </w:rPr>
        <w:t>八、申购与赎回的登记</w:t>
      </w:r>
    </w:p>
    <w:p>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4、基金管理人可以在不违反法律法规的范围内，对上述登记办理时间进行调整，但不得实质影响投资者的合法权益，并最迟于开始实施前依照《信息披露办法》的有关规定进行公告。 </w:t>
      </w:r>
    </w:p>
    <w:p>
      <w:pPr>
        <w:pStyle w:val="7"/>
        <w:spacing w:before="0" w:beforeAutospacing="0" w:after="0" w:afterAutospacing="0" w:line="360" w:lineRule="auto"/>
        <w:ind w:firstLine="420"/>
        <w:rPr>
          <w:sz w:val="21"/>
          <w:szCs w:val="21"/>
        </w:rPr>
      </w:pPr>
      <w:r>
        <w:rPr>
          <w:rStyle w:val="11"/>
          <w:rFonts w:hint="eastAsia"/>
          <w:sz w:val="21"/>
          <w:szCs w:val="21"/>
        </w:rPr>
        <w:t>九、拒绝或暂停申购的情形</w:t>
      </w:r>
    </w:p>
    <w:p>
      <w:pPr>
        <w:pStyle w:val="7"/>
        <w:spacing w:before="0" w:beforeAutospacing="0" w:after="0" w:afterAutospacing="0" w:line="360" w:lineRule="auto"/>
        <w:ind w:firstLine="420"/>
        <w:rPr>
          <w:sz w:val="21"/>
          <w:szCs w:val="21"/>
        </w:rPr>
      </w:pPr>
      <w:r>
        <w:rPr>
          <w:rFonts w:hint="eastAsia"/>
          <w:sz w:val="21"/>
          <w:szCs w:val="21"/>
        </w:rPr>
        <w:t xml:space="preserve">开放期内，发生下列情况时，基金管理人可拒绝或暂停接受投资人的申购申请：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 </w:t>
      </w:r>
    </w:p>
    <w:p>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8、法律法规限制的个人投资者公开申购。 </w:t>
      </w:r>
    </w:p>
    <w:p>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在规定媒介上刊登暂停申购公告。如果投资人的申购申请被拒绝，被拒绝的申购款项本金将退还给投资人。在暂停申购的情况消除时，基金管理人应及时恢复申购业务的办理，且开放期按暂停申购的期间相应延长，具体时间以基金管理人届时公告为准。 </w:t>
      </w:r>
    </w:p>
    <w:p>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 </w:t>
      </w:r>
    </w:p>
    <w:p>
      <w:pPr>
        <w:pStyle w:val="7"/>
        <w:spacing w:before="0" w:beforeAutospacing="0" w:after="0" w:afterAutospacing="0" w:line="360" w:lineRule="auto"/>
        <w:ind w:firstLine="420"/>
        <w:rPr>
          <w:sz w:val="21"/>
          <w:szCs w:val="21"/>
        </w:rPr>
      </w:pPr>
      <w:r>
        <w:rPr>
          <w:rFonts w:hint="eastAsia"/>
          <w:sz w:val="21"/>
          <w:szCs w:val="21"/>
        </w:rPr>
        <w:t xml:space="preserve">在开放期内，发生下列情形时，基金管理人可暂停接受投资人的赎回申请或延缓支付赎回款项：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4、发生继续接受赎回申请将损害现有基金份额持有人利益的情形。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5、当特定资产占前一估值日基金资产净值50%以上的，经与基金托管人协商确认后，基金管理人应当延缓支付赎回款项或暂停接受基金赎回申请。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6、法律法规规定或中国证监会认定的其他情形。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暂停赎回或延缓支付赎回款项时，基金管理人应按规定报中国证监会备案，已确认的赎回申请，基金管理人应足额支付；如暂时不能足额支付，未支付部分可延期支付。在暂停赎回的情况消除时，基金管理人应及时恢复赎回业务的办理并公告，且开放期间按暂停赎回的期间相应延长，具体时间以基金管理人届时公告为准。 </w:t>
      </w:r>
    </w:p>
    <w:p>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pPr>
        <w:pStyle w:val="7"/>
        <w:spacing w:before="0" w:beforeAutospacing="0" w:after="0" w:afterAutospacing="0" w:line="360" w:lineRule="auto"/>
        <w:ind w:firstLine="420"/>
        <w:rPr>
          <w:sz w:val="21"/>
          <w:szCs w:val="21"/>
        </w:rPr>
      </w:pPr>
      <w:r>
        <w:rPr>
          <w:rFonts w:hint="eastAsia"/>
          <w:sz w:val="21"/>
          <w:szCs w:val="21"/>
        </w:rPr>
        <w:t>若本基金开放期内单个开放日的基金份额净赎回申请(赎回申请份额总数加上基金转换中转出申请份额总数后扣除申购申请份额总数及基金转换中转入申请份额总数后的余额)超过前一工作日的基金总份额的</w:t>
      </w:r>
      <w:bookmarkStart w:id="94" w:name="field_49_mintredeemscale_2"/>
      <w:r>
        <w:rPr>
          <w:sz w:val="21"/>
          <w:szCs w:val="21"/>
        </w:rPr>
        <w:t>20</w:t>
      </w:r>
      <w:bookmarkEnd w:id="94"/>
      <w:r>
        <w:rPr>
          <w:rFonts w:hint="eastAsia"/>
          <w:sz w:val="21"/>
          <w:szCs w:val="21"/>
        </w:rPr>
        <w:t xml:space="preserve">%，即认为是发生了巨额赎回。 </w:t>
      </w:r>
    </w:p>
    <w:p>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当基金出现巨额赎回时，基金管理人可以根据基金当时的资产组合状况决定全额赎回、延缓支付赎回款项或延期办理。 </w:t>
      </w:r>
    </w:p>
    <w:p>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7"/>
        <w:spacing w:before="0" w:beforeAutospacing="0" w:after="0" w:afterAutospacing="0" w:line="360" w:lineRule="auto"/>
        <w:ind w:firstLine="420"/>
        <w:rPr>
          <w:sz w:val="21"/>
          <w:szCs w:val="21"/>
        </w:rPr>
      </w:pPr>
      <w:r>
        <w:rPr>
          <w:rFonts w:hint="eastAsia"/>
          <w:sz w:val="21"/>
          <w:szCs w:val="21"/>
        </w:rPr>
        <w:t>（2）延缓支付赎回款项：开放期内，发生巨额赎回且不存在单一持有人赎回申请超过上一工作日基金总份额</w:t>
      </w:r>
      <w:bookmarkStart w:id="95" w:name="field_49_mintredeemscale_3"/>
      <w:r>
        <w:rPr>
          <w:sz w:val="21"/>
          <w:szCs w:val="21"/>
        </w:rPr>
        <w:t>20</w:t>
      </w:r>
      <w:bookmarkEnd w:id="95"/>
      <w:r>
        <w:rPr>
          <w:rFonts w:hint="eastAsia"/>
          <w:sz w:val="21"/>
          <w:szCs w:val="21"/>
        </w:rPr>
        <w:t>%的情况下，基金管理人可以根据第（1）项办理，亦可在对符合法律法规及基金合同约定的赎回申请全部接受和确认并当日按比例办理支付的赎回份额不得低于前一工作日基金总份额的</w:t>
      </w:r>
      <w:bookmarkStart w:id="96" w:name="field_49_mintredeemscale_4"/>
      <w:r>
        <w:rPr>
          <w:sz w:val="21"/>
          <w:szCs w:val="21"/>
        </w:rPr>
        <w:t>20</w:t>
      </w:r>
      <w:bookmarkEnd w:id="96"/>
      <w:r>
        <w:rPr>
          <w:rFonts w:hint="eastAsia"/>
          <w:sz w:val="21"/>
          <w:szCs w:val="21"/>
        </w:rPr>
        <w:t xml:space="preserve">%的基础上，可对其余赎回申请采取延缓支付赎回款项的措施。即对于已接受的赎回申请，如基金管理人认为全额支付投资人的赎回款项有困难或认为全额支付投资人的赎回款项可能会对基金的资产净值造成较大波动的，基金管理人可对赎回款项进行延缓支付，但不得超过20个工作日。延缓支付的赎回申请以赎回申请当日的基金份额净值为基础计算赎回金额。 </w:t>
      </w:r>
    </w:p>
    <w:p>
      <w:pPr>
        <w:pStyle w:val="7"/>
        <w:spacing w:before="0" w:beforeAutospacing="0" w:after="0" w:afterAutospacing="0" w:line="360" w:lineRule="auto"/>
        <w:ind w:firstLine="420"/>
        <w:rPr>
          <w:sz w:val="21"/>
          <w:szCs w:val="21"/>
        </w:rPr>
      </w:pPr>
      <w:r>
        <w:rPr>
          <w:rFonts w:hint="eastAsia"/>
          <w:sz w:val="21"/>
          <w:szCs w:val="21"/>
        </w:rPr>
        <w:t>（3）延期办理：开放期内，如果发生巨额赎回且单一持有人赎回申请超过上一工作日基金总份额</w:t>
      </w:r>
      <w:bookmarkStart w:id="97" w:name="field_49_mintredeemscale_5"/>
      <w:r>
        <w:rPr>
          <w:sz w:val="21"/>
          <w:szCs w:val="21"/>
        </w:rPr>
        <w:t>20</w:t>
      </w:r>
      <w:bookmarkEnd w:id="97"/>
      <w:r>
        <w:rPr>
          <w:rFonts w:hint="eastAsia"/>
          <w:sz w:val="21"/>
          <w:szCs w:val="21"/>
        </w:rPr>
        <w:t>%的，基金管理人可以延期办理赎回申请。在上述情况下，对于单个基金份额持有人当日赎回申请超过上一工作日基金总份额</w:t>
      </w:r>
      <w:bookmarkStart w:id="98" w:name="field_49_mintredeemscale_6"/>
      <w:r>
        <w:rPr>
          <w:sz w:val="21"/>
          <w:szCs w:val="21"/>
        </w:rPr>
        <w:t>20</w:t>
      </w:r>
      <w:bookmarkEnd w:id="98"/>
      <w:r>
        <w:rPr>
          <w:rFonts w:hint="eastAsia"/>
          <w:sz w:val="21"/>
          <w:szCs w:val="21"/>
        </w:rPr>
        <w:t xml:space="preserve">%的部分，基金管理人可以进行延期办理。对于此类持有人剩余部分赎回申请以及其他持有人的赎回申请，应当按上述第（1）、（2）项规则办理。对于上述持有人被延期办理的部分，如投资人在提交赎回申请时选择取消赎回的，当日未获办理部分将被撤销；如投资人在提交赎回申请时选择延期赎回或未作明确选择的，将自动转入下一个开放日继续赎回直至办理完毕，因此导致延期办理期限超过开放期的，基金管理人在开放期外为基金份额持有人继续办理赎回申请，开放期外延期办理的期限最长不可超过20个工作日，开放期外延期办理期间不办理申购亦不接受新的赎回申请。延期的赎回申请无优先权并以下一工作日的基金份额净值为基础计算赎回金额，以此类推。部分延期赎回不受单笔赎回最低份额的限制。延长期限的最后一个工作日，尚未办理完的赎回申请，基金管理人应按上述第（1）项规则办理。 </w:t>
      </w:r>
    </w:p>
    <w:p>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pPr>
        <w:pStyle w:val="7"/>
        <w:spacing w:before="0" w:beforeAutospacing="0" w:after="0" w:afterAutospacing="0" w:line="360" w:lineRule="auto"/>
        <w:ind w:firstLine="420"/>
        <w:rPr>
          <w:sz w:val="21"/>
          <w:szCs w:val="21"/>
        </w:rPr>
      </w:pPr>
      <w:r>
        <w:rPr>
          <w:rFonts w:hint="eastAsia"/>
          <w:sz w:val="21"/>
          <w:szCs w:val="21"/>
        </w:rPr>
        <w:t xml:space="preserve">当发生上述巨额赎回并延缓支付赎回款项时，基金管理人应当通过邮寄、传真或者招募说明书规定的其他方式在3个交易日内通知基金份额持有人，说明有关处理方法，并在2日内在规定媒介上刊登公告。 </w:t>
      </w:r>
    </w:p>
    <w:p>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pPr>
        <w:pStyle w:val="7"/>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2、如发生暂停的时间为1日，基金管理人应于重新开放日，在规定媒介上刊登基金重新开放申购或赎回公告，并公布最近1个工作日的基金份额净值。 </w:t>
      </w:r>
    </w:p>
    <w:p>
      <w:pPr>
        <w:pStyle w:val="7"/>
        <w:spacing w:before="0" w:beforeAutospacing="0" w:after="0" w:afterAutospacing="0" w:line="360" w:lineRule="auto"/>
        <w:ind w:firstLine="420"/>
        <w:rPr>
          <w:sz w:val="21"/>
          <w:szCs w:val="21"/>
        </w:rPr>
      </w:pPr>
      <w:r>
        <w:rPr>
          <w:rFonts w:hint="eastAsia"/>
          <w:sz w:val="21"/>
          <w:szCs w:val="21"/>
        </w:rPr>
        <w:t xml:space="preserve">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pPr>
        <w:pStyle w:val="7"/>
        <w:spacing w:before="0" w:beforeAutospacing="0" w:after="0" w:afterAutospacing="0" w:line="360" w:lineRule="auto"/>
        <w:ind w:firstLine="420"/>
        <w:rPr>
          <w:sz w:val="21"/>
          <w:szCs w:val="21"/>
        </w:rPr>
      </w:pPr>
      <w:r>
        <w:rPr>
          <w:rFonts w:hint="eastAsia"/>
          <w:sz w:val="21"/>
          <w:szCs w:val="21"/>
        </w:rPr>
        <w:t>4、以上暂停及恢复基金申购与赎回的公告规定，不适用于基金合同约定的封闭期与开</w:t>
      </w:r>
      <w:bookmarkStart w:id="99" w:name="chapter_level1_10_59_section_3_end"/>
      <w:bookmarkEnd w:id="99"/>
      <w:r>
        <w:rPr>
          <w:rFonts w:hint="eastAsia"/>
          <w:sz w:val="21"/>
          <w:szCs w:val="21"/>
        </w:rPr>
        <w:t xml:space="preserve">放期运作方式转换引起的暂停或恢复申购与赎回的情形。 </w:t>
      </w:r>
    </w:p>
    <w:p>
      <w:pPr>
        <w:pStyle w:val="7"/>
        <w:spacing w:before="0" w:beforeAutospacing="0" w:after="0" w:afterAutospacing="0" w:line="360" w:lineRule="auto"/>
        <w:ind w:firstLine="420"/>
        <w:rPr>
          <w:sz w:val="21"/>
          <w:szCs w:val="21"/>
        </w:rPr>
      </w:pPr>
      <w:bookmarkStart w:id="100" w:name="chapter_level1_10_59_section_4"/>
      <w:bookmarkEnd w:id="100"/>
      <w:r>
        <w:rPr>
          <w:rStyle w:val="11"/>
          <w:rFonts w:hint="eastAsia"/>
          <w:sz w:val="21"/>
          <w:szCs w:val="21"/>
        </w:rPr>
        <w:t>十三、基金转换</w:t>
      </w:r>
    </w:p>
    <w:p>
      <w:pPr>
        <w:pStyle w:val="7"/>
        <w:spacing w:before="0" w:beforeAutospacing="0" w:after="0" w:afterAutospacing="0" w:line="360" w:lineRule="auto"/>
        <w:ind w:firstLine="420"/>
        <w:rPr>
          <w:sz w:val="21"/>
          <w:szCs w:val="21"/>
        </w:rPr>
      </w:pPr>
      <w:r>
        <w:rPr>
          <w:rFonts w:hint="eastAsia"/>
          <w:sz w:val="21"/>
          <w:szCs w:val="21"/>
        </w:rPr>
        <w:t>基金管理人可以根据相关法律法规以及基金合同的规定决定开办本基金与基金管理人管理的其他基金之间的转换业务，基金转换可以收取一定的转换费，相关规则由基金管理人</w:t>
      </w:r>
      <w:bookmarkStart w:id="101" w:name="chapter_level1_10_59_section_4_end"/>
      <w:bookmarkEnd w:id="101"/>
      <w:r>
        <w:rPr>
          <w:rFonts w:hint="eastAsia"/>
          <w:sz w:val="21"/>
          <w:szCs w:val="21"/>
        </w:rPr>
        <w:t xml:space="preserve">届时根据相关法律法规及基金合同的规定制定并公告，并提前告知基金托管人与相关机构。 </w:t>
      </w:r>
    </w:p>
    <w:p>
      <w:pPr>
        <w:pStyle w:val="7"/>
        <w:spacing w:before="0" w:beforeAutospacing="0" w:after="0" w:afterAutospacing="0" w:line="360" w:lineRule="auto"/>
        <w:ind w:firstLine="420"/>
        <w:rPr>
          <w:sz w:val="21"/>
          <w:szCs w:val="21"/>
        </w:rPr>
      </w:pPr>
      <w:bookmarkStart w:id="102" w:name="chapter_level1_10_59_section_5"/>
      <w:bookmarkEnd w:id="102"/>
      <w:r>
        <w:rPr>
          <w:rStyle w:val="11"/>
          <w:rFonts w:hint="eastAsia"/>
          <w:sz w:val="21"/>
          <w:szCs w:val="21"/>
        </w:rPr>
        <w:t>十四、基金份额的转让</w:t>
      </w:r>
    </w:p>
    <w:p>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7"/>
        <w:spacing w:before="0" w:beforeAutospacing="0" w:after="0" w:afterAutospacing="0" w:line="360" w:lineRule="auto"/>
        <w:ind w:firstLine="420"/>
        <w:rPr>
          <w:sz w:val="21"/>
          <w:szCs w:val="21"/>
        </w:rPr>
      </w:pPr>
      <w:r>
        <w:rPr>
          <w:rStyle w:val="11"/>
          <w:rFonts w:hint="eastAsia"/>
          <w:sz w:val="21"/>
          <w:szCs w:val="21"/>
        </w:rPr>
        <w:t>十六、基金的转托管</w:t>
      </w:r>
    </w:p>
    <w:p>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3" w:name="chapter_level1_10_59_section_5_end"/>
      <w:bookmarkEnd w:id="103"/>
      <w:r>
        <w:rPr>
          <w:rFonts w:hint="eastAsia"/>
          <w:sz w:val="21"/>
          <w:szCs w:val="21"/>
        </w:rPr>
        <w:t xml:space="preserve">以按照规定的标准收取转托管费。 </w:t>
      </w:r>
    </w:p>
    <w:p>
      <w:pPr>
        <w:pStyle w:val="7"/>
        <w:spacing w:before="0" w:beforeAutospacing="0" w:after="0" w:afterAutospacing="0" w:line="360" w:lineRule="auto"/>
        <w:ind w:firstLine="420"/>
        <w:rPr>
          <w:sz w:val="21"/>
          <w:szCs w:val="21"/>
        </w:rPr>
      </w:pPr>
      <w:bookmarkStart w:id="104" w:name="chapter_level1_10_59_section_6"/>
      <w:bookmarkEnd w:id="104"/>
      <w:r>
        <w:rPr>
          <w:rStyle w:val="11"/>
          <w:rFonts w:hint="eastAsia"/>
          <w:sz w:val="21"/>
          <w:szCs w:val="21"/>
        </w:rPr>
        <w:t>十七、定期定额投资计划</w:t>
      </w:r>
    </w:p>
    <w:p>
      <w:pPr>
        <w:pStyle w:val="7"/>
        <w:spacing w:before="0" w:beforeAutospacing="0" w:after="0" w:afterAutospacing="0" w:line="360" w:lineRule="auto"/>
        <w:ind w:firstLine="420"/>
        <w:rPr>
          <w:sz w:val="21"/>
          <w:szCs w:val="21"/>
        </w:rPr>
      </w:pPr>
      <w:r>
        <w:rPr>
          <w:rFonts w:hint="eastAsia"/>
          <w:sz w:val="21"/>
          <w:szCs w:val="21"/>
        </w:rPr>
        <w:t>基金管理人可以为投资人办理定期定额投资计划，具体规则由基金管理人另行规定。投资人在办理定期定额投资计划时可自行约定每期扣款金额，每期扣款金额必须不低于基金管</w:t>
      </w:r>
      <w:bookmarkStart w:id="105" w:name="chapter_level1_10_59_section_6_end"/>
      <w:bookmarkEnd w:id="105"/>
      <w:r>
        <w:rPr>
          <w:rFonts w:hint="eastAsia"/>
          <w:sz w:val="21"/>
          <w:szCs w:val="21"/>
        </w:rPr>
        <w:t xml:space="preserve">理人在相关公告或更新的招募说明书中所规定的定期定额投资计划最低申购金额。 </w:t>
      </w:r>
    </w:p>
    <w:p>
      <w:pPr>
        <w:pStyle w:val="7"/>
        <w:spacing w:before="0" w:beforeAutospacing="0" w:after="0" w:afterAutospacing="0" w:line="360" w:lineRule="auto"/>
        <w:ind w:firstLine="420"/>
        <w:rPr>
          <w:sz w:val="21"/>
          <w:szCs w:val="21"/>
        </w:rPr>
      </w:pPr>
      <w:bookmarkStart w:id="106" w:name="chapter_level1_10_59_section_7"/>
      <w:bookmarkEnd w:id="106"/>
      <w:r>
        <w:rPr>
          <w:rStyle w:val="11"/>
          <w:rFonts w:hint="eastAsia"/>
          <w:sz w:val="21"/>
          <w:szCs w:val="21"/>
        </w:rPr>
        <w:t>十八、基金份额的冻结、解冻和质押</w:t>
      </w:r>
    </w:p>
    <w:p>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07" w:name="chapter_level1_10_59_section_7_end"/>
      <w:bookmarkEnd w:id="107"/>
      <w:r>
        <w:rPr>
          <w:rFonts w:hint="eastAsia"/>
          <w:sz w:val="21"/>
          <w:szCs w:val="21"/>
        </w:rPr>
        <w:t xml:space="preserve">或相关公告。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08" w:name="_Toc207947153"/>
      <w:bookmarkStart w:id="109" w:name="chapter_level1_11_60"/>
      <w:r>
        <w:rPr>
          <w:rFonts w:hint="eastAsia" w:ascii="宋体" w:hAnsi="宋体" w:eastAsia="宋体"/>
          <w:sz w:val="30"/>
        </w:rPr>
        <w:t>第八部分  基金的投资</w:t>
      </w:r>
      <w:bookmarkEnd w:id="108"/>
      <w:bookmarkEnd w:id="109"/>
    </w:p>
    <w:p>
      <w:pPr>
        <w:pStyle w:val="7"/>
        <w:spacing w:before="0" w:beforeAutospacing="0" w:after="0" w:afterAutospacing="0" w:line="360" w:lineRule="auto"/>
        <w:ind w:firstLine="420"/>
        <w:rPr>
          <w:sz w:val="21"/>
          <w:szCs w:val="21"/>
        </w:rPr>
      </w:pPr>
      <w:bookmarkStart w:id="110" w:name="chapter_level1_11_60_section_1"/>
      <w:bookmarkEnd w:id="110"/>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111" w:name="field_60_investmenttarget_1_start"/>
      <w:bookmarkEnd w:id="111"/>
      <w:r>
        <w:rPr>
          <w:rFonts w:hint="eastAsia"/>
          <w:sz w:val="21"/>
          <w:szCs w:val="21"/>
        </w:rPr>
        <w:t xml:space="preserve">在有效控制投资组合风险的前提下，力争长期内实现超越业绩比较基准的投资回报。 </w:t>
      </w:r>
      <w:bookmarkStart w:id="112" w:name="field_60_investmenttarget_1_end"/>
      <w:bookmarkEnd w:id="112"/>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13" w:name="field_60_investmentrange_1_start"/>
      <w:bookmarkEnd w:id="113"/>
      <w:r>
        <w:rPr>
          <w:rFonts w:hint="eastAsia"/>
          <w:sz w:val="21"/>
          <w:szCs w:val="21"/>
        </w:rPr>
        <w:t xml:space="preserve">本基金的投资范围主要为具有良好流动性的金融工具，包括债券（含国债、金融债、企业债、公司债、地方政府债、政府支持机构债券、政府支持债券、央行票据、中期票据、短期融资券、超短期融资券、可转换债券（含分离交易可转债）、可交换债券、公开发行的次级债等中国证监会允许投资的其他债券）、资产支持证券、债券回购、国债期货、信用衍生品、货币市场工具（同业存单、银行存款）等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直接投资于股票等资产，但可参与可转换债券（含分离交易可转债）、可交换债券的投资。因所持可转换债券转股或可交换债券换股形成的股票，本基金将在其可交易之日起的10个交易日内卖出。如法律法规或监管机构以后允许基金投资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投资于债券资产比例不低于基金资产的80%，但应开放期流动性需要，为保护基金份额持有人利益，在每次开放期开始前1个月、开放期及开放期结束后1个月的期间内，基金投资不受上述比例限制。本基金投资可转换债券及可交换债券的比例合计不高于基金资产的20%。开放期内，本基金每个交易日日终在扣除国债期货合约需缴纳的交易保证金后，应当保持不低于基金资产净值5％的现金或者到期日在一年以内的政府债券；在封闭期内，本基金不受上述5%的限制，但每个交易日日终在扣除国债期货合约需缴纳的交易保证金后，应当保持不低于交易保证金一倍的现金；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14" w:name="field_60_investmentrange_1_end"/>
      <w:bookmarkEnd w:id="114"/>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15" w:name="field_60_investmentstrategy_1_start"/>
      <w:bookmarkEnd w:id="115"/>
      <w:r>
        <w:rPr>
          <w:rFonts w:hint="eastAsia"/>
          <w:sz w:val="21"/>
          <w:szCs w:val="21"/>
        </w:rPr>
        <w:t xml:space="preserve">（一）封闭期投资策略 </w:t>
      </w:r>
    </w:p>
    <w:p>
      <w:pPr>
        <w:pStyle w:val="7"/>
        <w:spacing w:before="0" w:beforeAutospacing="0" w:after="0" w:afterAutospacing="0" w:line="360" w:lineRule="auto"/>
        <w:ind w:firstLine="420"/>
        <w:rPr>
          <w:sz w:val="21"/>
          <w:szCs w:val="21"/>
        </w:rPr>
      </w:pPr>
      <w:r>
        <w:rPr>
          <w:rFonts w:hint="eastAsia"/>
          <w:sz w:val="21"/>
          <w:szCs w:val="21"/>
        </w:rPr>
        <w:t xml:space="preserve">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个券挖掘策略等。在谨慎投资的前提下，力争获取高于业绩比较基准的投资收益。 </w:t>
      </w:r>
    </w:p>
    <w:p>
      <w:pPr>
        <w:pStyle w:val="7"/>
        <w:spacing w:before="0" w:beforeAutospacing="0" w:after="0" w:afterAutospacing="0" w:line="360" w:lineRule="auto"/>
        <w:ind w:firstLine="420"/>
        <w:rPr>
          <w:sz w:val="21"/>
          <w:szCs w:val="21"/>
        </w:rPr>
      </w:pPr>
      <w:r>
        <w:rPr>
          <w:rFonts w:hint="eastAsia"/>
          <w:sz w:val="21"/>
          <w:szCs w:val="21"/>
        </w:rPr>
        <w:t xml:space="preserve">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国家债券、中央银行票据等）和信用类固定收益类证券之间的配置比例。   </w:t>
      </w:r>
    </w:p>
    <w:p>
      <w:pPr>
        <w:pStyle w:val="7"/>
        <w:spacing w:before="0" w:beforeAutospacing="0" w:after="0" w:afterAutospacing="0" w:line="360" w:lineRule="auto"/>
        <w:ind w:firstLine="420"/>
        <w:rPr>
          <w:sz w:val="21"/>
          <w:szCs w:val="21"/>
        </w:rPr>
      </w:pPr>
      <w:r>
        <w:rPr>
          <w:rFonts w:hint="eastAsia"/>
          <w:sz w:val="21"/>
          <w:szCs w:val="21"/>
        </w:rPr>
        <w:t xml:space="preserve">灵活应用各种期限结构策略、信用策略、互换策略、息差策略、个券挖掘策略、可转换债券及可交换债券投资策略、信用衍生品投资策略、国债期货投资策略等，在合理管理并控制组合风险的前提下，最大化组合收益。  </w:t>
      </w:r>
    </w:p>
    <w:p>
      <w:pPr>
        <w:pStyle w:val="7"/>
        <w:spacing w:before="0" w:beforeAutospacing="0" w:after="0" w:afterAutospacing="0" w:line="360" w:lineRule="auto"/>
        <w:ind w:firstLine="420"/>
        <w:rPr>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pPr>
        <w:pStyle w:val="7"/>
        <w:spacing w:before="0" w:beforeAutospacing="0" w:after="0" w:afterAutospacing="0" w:line="360" w:lineRule="auto"/>
        <w:ind w:firstLine="420"/>
        <w:rPr>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pPr>
        <w:pStyle w:val="7"/>
        <w:spacing w:before="0" w:beforeAutospacing="0" w:after="0" w:afterAutospacing="0" w:line="360" w:lineRule="auto"/>
        <w:ind w:firstLine="420"/>
        <w:rPr>
          <w:sz w:val="21"/>
          <w:szCs w:val="21"/>
        </w:rPr>
      </w:pPr>
      <w:r>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pPr>
        <w:pStyle w:val="7"/>
        <w:spacing w:before="0" w:beforeAutospacing="0" w:after="0" w:afterAutospacing="0" w:line="360" w:lineRule="auto"/>
        <w:ind w:firstLine="420"/>
        <w:rPr>
          <w:sz w:val="21"/>
          <w:szCs w:val="21"/>
        </w:rPr>
      </w:pPr>
      <w:r>
        <w:rPr>
          <w:rFonts w:hint="eastAsia"/>
          <w:sz w:val="21"/>
          <w:szCs w:val="21"/>
        </w:rPr>
        <w:t xml:space="preserve">2、信用策略。信用债收益率等于基准收益率加信用利差，信用利差收益主要受两个方面的影响，一是该信用债对应信用水平的市场平均信用利差曲线走势；二是该信用债本身的信用变化。基于这两方面的因素，我们分别采用以下的分析策略：   </w:t>
      </w:r>
    </w:p>
    <w:p>
      <w:pPr>
        <w:pStyle w:val="7"/>
        <w:spacing w:before="0" w:beforeAutospacing="0" w:after="0" w:afterAutospacing="0" w:line="360" w:lineRule="auto"/>
        <w:ind w:firstLine="420"/>
        <w:rPr>
          <w:sz w:val="21"/>
          <w:szCs w:val="21"/>
        </w:rPr>
      </w:pPr>
      <w:r>
        <w:rPr>
          <w:rFonts w:hint="eastAsia"/>
          <w:sz w:val="21"/>
          <w:szCs w:val="21"/>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pPr>
        <w:pStyle w:val="7"/>
        <w:spacing w:before="0" w:beforeAutospacing="0" w:after="0" w:afterAutospacing="0" w:line="360" w:lineRule="auto"/>
        <w:ind w:firstLine="420"/>
        <w:rPr>
          <w:sz w:val="21"/>
          <w:szCs w:val="21"/>
        </w:rPr>
      </w:pPr>
      <w:r>
        <w:rPr>
          <w:rFonts w:hint="eastAsia"/>
          <w:sz w:val="21"/>
          <w:szCs w:val="21"/>
        </w:rPr>
        <w:t xml:space="preserve">2）基于信用债信用变化策略：发行人信用发生变化后，我们将采用变化后债券信用级别所对应的信用利差曲线对公司债、企业债定价。影响信用债信用风险的因素分为行业风险、公司风险、现金流风险、资产负债风险和其他风险等五个方面。我们主要依靠内部评级系统分析信用债的相对信用水平、违约风险及理论信用利差。  </w:t>
      </w:r>
    </w:p>
    <w:p>
      <w:pPr>
        <w:pStyle w:val="7"/>
        <w:spacing w:before="0" w:beforeAutospacing="0" w:after="0" w:afterAutospacing="0" w:line="360" w:lineRule="auto"/>
        <w:ind w:firstLine="420"/>
        <w:rPr>
          <w:sz w:val="21"/>
          <w:szCs w:val="21"/>
        </w:rPr>
      </w:pPr>
      <w:r>
        <w:rPr>
          <w:rFonts w:hint="eastAsia"/>
          <w:sz w:val="21"/>
          <w:szCs w:val="21"/>
        </w:rPr>
        <w:t xml:space="preserve">本基金进行信用债（含资产支持证券，下同）投资时，投资于AA以上（含AA）评级的信用债资产，各评级信用债的配置比例参考下表：  </w:t>
      </w:r>
    </w:p>
    <w:tbl>
      <w:tblPr>
        <w:tblStyle w:val="9"/>
        <w:tblW w:w="51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7"/>
        <w:gridCol w:w="33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5" w:type="dxa"/>
            <w:shd w:val="clear" w:color="auto" w:fill="auto"/>
          </w:tcPr>
          <w:p>
            <w:pPr>
              <w:pStyle w:val="7"/>
              <w:jc w:val="center"/>
            </w:pPr>
            <w:r>
              <w:rPr>
                <w:rFonts w:hint="eastAsia"/>
              </w:rPr>
              <w:t xml:space="preserve">所投信用债评级  </w:t>
            </w:r>
          </w:p>
        </w:tc>
        <w:tc>
          <w:tcPr>
            <w:tcW w:w="5145" w:type="dxa"/>
            <w:shd w:val="clear" w:color="auto" w:fill="auto"/>
          </w:tcPr>
          <w:p>
            <w:pPr>
              <w:pStyle w:val="7"/>
              <w:jc w:val="center"/>
            </w:pPr>
            <w:r>
              <w:rPr>
                <w:rFonts w:hint="eastAsia"/>
              </w:rPr>
              <w:t xml:space="preserve">该评级信用债占信用债资产比例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5" w:type="dxa"/>
            <w:shd w:val="clear" w:color="auto" w:fill="auto"/>
          </w:tcPr>
          <w:p>
            <w:pPr>
              <w:pStyle w:val="7"/>
              <w:ind w:firstLine="210"/>
            </w:pPr>
            <w:r>
              <w:rPr>
                <w:rFonts w:hint="eastAsia"/>
              </w:rPr>
              <w:t xml:space="preserve">AAA  </w:t>
            </w:r>
          </w:p>
        </w:tc>
        <w:tc>
          <w:tcPr>
            <w:tcW w:w="5145" w:type="dxa"/>
            <w:shd w:val="clear" w:color="auto" w:fill="auto"/>
          </w:tcPr>
          <w:p>
            <w:pPr>
              <w:pStyle w:val="7"/>
              <w:ind w:firstLine="210"/>
            </w:pPr>
            <w:r>
              <w:rPr>
                <w:rFonts w:hint="eastAsia"/>
              </w:rPr>
              <w:t xml:space="preserve">30%-100%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5" w:type="dxa"/>
            <w:shd w:val="clear" w:color="auto" w:fill="auto"/>
          </w:tcPr>
          <w:p>
            <w:pPr>
              <w:pStyle w:val="7"/>
              <w:ind w:left="210"/>
            </w:pPr>
            <w:r>
              <w:rPr>
                <w:rFonts w:hint="eastAsia"/>
              </w:rPr>
              <w:t xml:space="preserve">AA+  </w:t>
            </w:r>
          </w:p>
        </w:tc>
        <w:tc>
          <w:tcPr>
            <w:tcW w:w="5145" w:type="dxa"/>
            <w:shd w:val="clear" w:color="auto" w:fill="auto"/>
          </w:tcPr>
          <w:p>
            <w:pPr>
              <w:pStyle w:val="7"/>
              <w:ind w:left="210"/>
            </w:pPr>
            <w:r>
              <w:rPr>
                <w:rFonts w:hint="eastAsia"/>
              </w:rPr>
              <w:t xml:space="preserve">0%-70%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5" w:type="dxa"/>
            <w:shd w:val="clear" w:color="auto" w:fill="auto"/>
          </w:tcPr>
          <w:p>
            <w:pPr>
              <w:pStyle w:val="7"/>
              <w:ind w:left="210"/>
            </w:pPr>
            <w:r>
              <w:rPr>
                <w:rFonts w:hint="eastAsia"/>
              </w:rPr>
              <w:t xml:space="preserve">AA  </w:t>
            </w:r>
          </w:p>
        </w:tc>
        <w:tc>
          <w:tcPr>
            <w:tcW w:w="5145" w:type="dxa"/>
            <w:shd w:val="clear" w:color="auto" w:fill="auto"/>
          </w:tcPr>
          <w:p>
            <w:pPr>
              <w:pStyle w:val="7"/>
              <w:ind w:left="210"/>
            </w:pPr>
            <w:r>
              <w:rPr>
                <w:rFonts w:hint="eastAsia"/>
              </w:rPr>
              <w:t xml:space="preserve">0%-20%  </w:t>
            </w:r>
          </w:p>
        </w:tc>
      </w:tr>
    </w:tbl>
    <w:p>
      <w:pPr>
        <w:pStyle w:val="7"/>
        <w:spacing w:before="0" w:beforeAutospacing="0" w:after="0" w:afterAutospacing="0" w:line="360" w:lineRule="auto"/>
        <w:ind w:firstLine="420"/>
        <w:rPr>
          <w:sz w:val="21"/>
          <w:szCs w:val="21"/>
        </w:rPr>
      </w:pPr>
      <w:r>
        <w:rPr>
          <w:rFonts w:hint="eastAsia"/>
          <w:sz w:val="21"/>
          <w:szCs w:val="21"/>
        </w:rPr>
        <w:t xml:space="preserve">基金持有信用债期间，如果其信用等级下降、不再符合投资标准，应在评级报告发布之日起3个月内卖出。  </w:t>
      </w:r>
    </w:p>
    <w:p>
      <w:pPr>
        <w:pStyle w:val="7"/>
        <w:spacing w:before="0" w:beforeAutospacing="0" w:after="0" w:afterAutospacing="0" w:line="360" w:lineRule="auto"/>
        <w:ind w:firstLine="420"/>
        <w:rPr>
          <w:sz w:val="21"/>
          <w:szCs w:val="21"/>
        </w:rPr>
      </w:pPr>
      <w:r>
        <w:rPr>
          <w:rFonts w:hint="eastAsia"/>
          <w:sz w:val="21"/>
          <w:szCs w:val="21"/>
        </w:rPr>
        <w:t xml:space="preserve">3、互换策略。不同券种在利息、违约风险、久期、流动性、税收和衍生条款等方面存在差别，投资管理人可以同时买入和卖出具有相近特性的两个或两个以上券种，赚取收益级差。互换策略分为两种：   </w:t>
      </w:r>
    </w:p>
    <w:p>
      <w:pPr>
        <w:pStyle w:val="7"/>
        <w:spacing w:before="0" w:beforeAutospacing="0" w:after="0" w:afterAutospacing="0" w:line="360" w:lineRule="auto"/>
        <w:ind w:firstLine="420"/>
        <w:rPr>
          <w:sz w:val="21"/>
          <w:szCs w:val="21"/>
        </w:rPr>
      </w:pPr>
      <w:r>
        <w:rPr>
          <w:rFonts w:hint="eastAsia"/>
          <w:sz w:val="21"/>
          <w:szCs w:val="21"/>
        </w:rPr>
        <w:t xml:space="preserve">1）替代互换。判断未来利差曲线走势，比较期限相近的债券的利差水平，选择利差较高的品种，进行价值置换。由于利差水平受流动性和信用水平的影响，因此该策略也可扩展到新老券置换、流动性和信用的置换，即在相同收益率下买入近期发行的债券，或是流动性更好的债券，或在相同外部信用级别和收益率下，买入内部信用评级更高的债券。   </w:t>
      </w:r>
    </w:p>
    <w:p>
      <w:pPr>
        <w:pStyle w:val="7"/>
        <w:spacing w:before="0" w:beforeAutospacing="0" w:after="0" w:afterAutospacing="0" w:line="360" w:lineRule="auto"/>
        <w:ind w:firstLine="420"/>
        <w:rPr>
          <w:sz w:val="21"/>
          <w:szCs w:val="21"/>
        </w:rPr>
      </w:pPr>
      <w:r>
        <w:rPr>
          <w:rFonts w:hint="eastAsia"/>
          <w:sz w:val="21"/>
          <w:szCs w:val="21"/>
        </w:rPr>
        <w:t xml:space="preserve">2）市场间利差互换。一般在公司信用债和国家信用债之间进行。如果预期信用利差扩大，则用国家信用债替换公司信用债；如果预期信用利差缩小，则用公司信用债替换国家信用债。   </w:t>
      </w:r>
    </w:p>
    <w:p>
      <w:pPr>
        <w:pStyle w:val="7"/>
        <w:spacing w:before="0" w:beforeAutospacing="0" w:after="0" w:afterAutospacing="0" w:line="360" w:lineRule="auto"/>
        <w:ind w:firstLine="420"/>
        <w:rPr>
          <w:sz w:val="21"/>
          <w:szCs w:val="21"/>
        </w:rPr>
      </w:pPr>
      <w:r>
        <w:rPr>
          <w:rFonts w:hint="eastAsia"/>
          <w:sz w:val="21"/>
          <w:szCs w:val="21"/>
        </w:rPr>
        <w:t xml:space="preserve">4、息差策略。通过正回购，融资买入收益率高于回购成本的债券，从而获得杠杆放大收益。  </w:t>
      </w:r>
    </w:p>
    <w:p>
      <w:pPr>
        <w:pStyle w:val="7"/>
        <w:spacing w:before="0" w:beforeAutospacing="0" w:after="0" w:afterAutospacing="0" w:line="360" w:lineRule="auto"/>
        <w:ind w:firstLine="420"/>
        <w:rPr>
          <w:sz w:val="21"/>
          <w:szCs w:val="21"/>
        </w:rPr>
      </w:pPr>
      <w:r>
        <w:rPr>
          <w:rFonts w:hint="eastAsia"/>
          <w:sz w:val="21"/>
          <w:szCs w:val="21"/>
        </w:rPr>
        <w:t xml:space="preserve">5、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p>
    <w:p>
      <w:pPr>
        <w:pStyle w:val="7"/>
        <w:spacing w:before="0" w:beforeAutospacing="0" w:after="0" w:afterAutospacing="0" w:line="360" w:lineRule="auto"/>
        <w:ind w:firstLine="420"/>
        <w:rPr>
          <w:sz w:val="21"/>
          <w:szCs w:val="21"/>
        </w:rPr>
      </w:pPr>
      <w:r>
        <w:rPr>
          <w:rFonts w:hint="eastAsia"/>
          <w:sz w:val="21"/>
          <w:szCs w:val="21"/>
        </w:rPr>
        <w:t xml:space="preserve">6、可转换债券及可交换债券投资策略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pPr>
        <w:pStyle w:val="7"/>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债券价值和目标公司的股票价值进行研究分析,综合开展投资决策。  </w:t>
      </w:r>
    </w:p>
    <w:p>
      <w:pPr>
        <w:pStyle w:val="7"/>
        <w:spacing w:before="0" w:beforeAutospacing="0" w:after="0" w:afterAutospacing="0" w:line="360" w:lineRule="auto"/>
        <w:ind w:firstLine="420"/>
        <w:rPr>
          <w:sz w:val="21"/>
          <w:szCs w:val="21"/>
        </w:rPr>
      </w:pPr>
      <w:r>
        <w:rPr>
          <w:rFonts w:hint="eastAsia"/>
          <w:sz w:val="21"/>
          <w:szCs w:val="21"/>
        </w:rPr>
        <w:t xml:space="preserve">7、信用衍生品投资策略  </w:t>
      </w:r>
    </w:p>
    <w:p>
      <w:pPr>
        <w:pStyle w:val="7"/>
        <w:spacing w:before="0" w:beforeAutospacing="0" w:after="0" w:afterAutospacing="0" w:line="360" w:lineRule="auto"/>
        <w:ind w:firstLine="420"/>
        <w:rPr>
          <w:sz w:val="21"/>
          <w:szCs w:val="21"/>
        </w:rPr>
      </w:pPr>
      <w:r>
        <w:rPr>
          <w:rFonts w:hint="eastAsia"/>
          <w:sz w:val="21"/>
          <w:szCs w:val="21"/>
        </w:rPr>
        <w:t xml:space="preserve">为了更好地管理债券投资的信用风险，本基金根据风险管理的原则，以风险对冲为目的，将适当参与信用衍生品的投资。本基金将在详细评估信用债风险状况的前提下，对比权衡个券风险收益与信用衍生品价格，构建信用风险对冲组合。 </w:t>
      </w:r>
    </w:p>
    <w:p>
      <w:pPr>
        <w:pStyle w:val="7"/>
        <w:spacing w:before="0" w:beforeAutospacing="0" w:after="0" w:afterAutospacing="0" w:line="360" w:lineRule="auto"/>
        <w:ind w:firstLine="420"/>
        <w:rPr>
          <w:sz w:val="21"/>
          <w:szCs w:val="21"/>
        </w:rPr>
      </w:pPr>
      <w:r>
        <w:rPr>
          <w:rFonts w:hint="eastAsia"/>
          <w:sz w:val="21"/>
          <w:szCs w:val="21"/>
        </w:rPr>
        <w:t xml:space="preserve">持有期内，本基金会紧密跟踪信用利差与信用衍生品价格的动态变化，灵活调整对冲比例，追求经信用风险对冲后的投资回报最大化。 </w:t>
      </w:r>
    </w:p>
    <w:p>
      <w:pPr>
        <w:pStyle w:val="7"/>
        <w:spacing w:before="0" w:beforeAutospacing="0" w:after="0" w:afterAutospacing="0" w:line="360" w:lineRule="auto"/>
        <w:ind w:firstLine="420"/>
        <w:rPr>
          <w:sz w:val="21"/>
          <w:szCs w:val="21"/>
        </w:rPr>
      </w:pPr>
      <w:r>
        <w:rPr>
          <w:rFonts w:hint="eastAsia"/>
          <w:sz w:val="21"/>
          <w:szCs w:val="21"/>
        </w:rPr>
        <w:t xml:space="preserve">8、国债期货投资策略  </w:t>
      </w:r>
    </w:p>
    <w:p>
      <w:pPr>
        <w:pStyle w:val="7"/>
        <w:spacing w:before="0" w:beforeAutospacing="0" w:after="0" w:afterAutospacing="0" w:line="360" w:lineRule="auto"/>
        <w:ind w:firstLine="420"/>
        <w:rPr>
          <w:sz w:val="21"/>
          <w:szCs w:val="21"/>
        </w:rPr>
      </w:pPr>
      <w:r>
        <w:rPr>
          <w:rFonts w:hint="eastAsia"/>
          <w:sz w:val="21"/>
          <w:szCs w:val="21"/>
        </w:rPr>
        <w:t xml:space="preserve">本基金投资国债期货将根据风险管理原则，以套期保值为目的，以回避市场风险，故国债期货空头的合约价值主要与债券组合的多头价值相对应。基金管理人将动态管理国债期货合约数量。 </w:t>
      </w:r>
    </w:p>
    <w:p>
      <w:pPr>
        <w:pStyle w:val="7"/>
        <w:spacing w:before="0" w:beforeAutospacing="0" w:after="0" w:afterAutospacing="0" w:line="360" w:lineRule="auto"/>
        <w:ind w:firstLine="420"/>
        <w:rPr>
          <w:sz w:val="21"/>
          <w:szCs w:val="21"/>
        </w:rPr>
      </w:pPr>
      <w:r>
        <w:rPr>
          <w:rFonts w:hint="eastAsia"/>
          <w:sz w:val="21"/>
          <w:szCs w:val="21"/>
        </w:rPr>
        <w:t xml:space="preserve">（二）开放期投资策略 </w:t>
      </w:r>
    </w:p>
    <w:p>
      <w:pPr>
        <w:pStyle w:val="7"/>
        <w:spacing w:before="0" w:beforeAutospacing="0" w:after="0" w:afterAutospacing="0" w:line="360" w:lineRule="auto"/>
        <w:ind w:firstLine="420"/>
        <w:rPr>
          <w:sz w:val="21"/>
          <w:szCs w:val="21"/>
        </w:rPr>
      </w:pPr>
      <w:r>
        <w:rPr>
          <w:rFonts w:hint="eastAsia"/>
          <w:sz w:val="21"/>
          <w:szCs w:val="21"/>
        </w:rPr>
        <w:t xml:space="preserve">开放期内，本基金为保持较高的组合流动性，方便投资人安排投资，在遵守本基金有关投资限制与投资比例的前提下，将主要投资于高流动性的投资品种。 </w:t>
      </w:r>
      <w:bookmarkStart w:id="116" w:name="field_60_investmentstrategy_1_end"/>
      <w:bookmarkEnd w:id="116"/>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四、投资限制</w:t>
      </w:r>
    </w:p>
    <w:p>
      <w:pPr>
        <w:pStyle w:val="7"/>
        <w:spacing w:before="0" w:beforeAutospacing="0" w:after="0" w:afterAutospacing="0" w:line="360" w:lineRule="auto"/>
        <w:ind w:firstLine="420"/>
        <w:rPr>
          <w:sz w:val="21"/>
          <w:szCs w:val="21"/>
        </w:rPr>
      </w:pPr>
      <w:r>
        <w:rPr>
          <w:rFonts w:hint="eastAsia"/>
          <w:sz w:val="21"/>
          <w:szCs w:val="21"/>
        </w:rPr>
        <w:t xml:space="preserve">1、组合限制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（1）本基金投资于债券资产比例不低于基金资产的80%，但应开放期流动性需要，为保护基金份额持有人利益，在每次开放期开始前1个月、开放期及开放期结束后1个月的期间内，基金投资不受上述比例限制； </w:t>
      </w:r>
    </w:p>
    <w:p>
      <w:pPr>
        <w:pStyle w:val="7"/>
        <w:spacing w:before="0" w:beforeAutospacing="0" w:after="0" w:afterAutospacing="0" w:line="360" w:lineRule="auto"/>
        <w:ind w:firstLine="420"/>
        <w:rPr>
          <w:sz w:val="21"/>
          <w:szCs w:val="21"/>
        </w:rPr>
      </w:pPr>
      <w:r>
        <w:rPr>
          <w:rFonts w:hint="eastAsia"/>
          <w:sz w:val="21"/>
          <w:szCs w:val="21"/>
        </w:rPr>
        <w:t xml:space="preserve">（2）开放期内，本基金每个交易日日终在扣除国债期货合约需缴纳的交易保证金后，应当保持不低于基金资产净值5％的现金或者到期日在一年以内的政府债券；在封闭期内，本基金不受上述5%的限制，但每个交易日日终在扣除国债期货合约需缴纳的交易保证金后，应当保持不低于交易保证金一倍的现金；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pPr>
        <w:pStyle w:val="7"/>
        <w:spacing w:before="0" w:beforeAutospacing="0" w:after="0" w:afterAutospacing="0" w:line="360" w:lineRule="auto"/>
        <w:ind w:firstLine="420"/>
        <w:rPr>
          <w:sz w:val="21"/>
          <w:szCs w:val="21"/>
        </w:rPr>
      </w:pPr>
      <w:r>
        <w:rPr>
          <w:rFonts w:hint="eastAsia"/>
          <w:sz w:val="21"/>
          <w:szCs w:val="21"/>
        </w:rPr>
        <w:t xml:space="preserve">（5）在全国银行间同业市场中的债券回购最长期限为1年，债券回购到期后不展期；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（10）本基金应投资于信用级别评级为AA以上(含AA)的资产支持证券。基金持有资产支持证券期间，如果其信用等级下降、不再符合投资标准，应在评级报告发布之日起3个月内予以全部卖出；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（11）开放期内，本基金资产总值不得超过基金资产净值的140%；封闭期内，本基金资产总值不得超过基金资产净值的200%； </w:t>
      </w:r>
    </w:p>
    <w:p>
      <w:pPr>
        <w:pStyle w:val="7"/>
        <w:spacing w:before="0" w:beforeAutospacing="0" w:after="0" w:afterAutospacing="0" w:line="360" w:lineRule="auto"/>
        <w:ind w:firstLine="420"/>
        <w:rPr>
          <w:sz w:val="21"/>
          <w:szCs w:val="21"/>
        </w:rPr>
      </w:pPr>
      <w:r>
        <w:rPr>
          <w:rFonts w:hint="eastAsia"/>
          <w:sz w:val="21"/>
          <w:szCs w:val="21"/>
        </w:rPr>
        <w:t xml:space="preserve">（12）本基金参与国债期货投资的，应遵循下列限制： </w:t>
      </w:r>
    </w:p>
    <w:p>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1）本基金在任何交易日日终，持有的买入国债期货合约价值，不得超过基金资产净值的15%； </w:t>
      </w:r>
    </w:p>
    <w:p>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2）本基金在任何交易日日终，持有的卖出国债期货合约价值不得超过基金持有的债券总市值的30%； </w:t>
      </w:r>
    </w:p>
    <w:p>
      <w:pPr>
        <w:pStyle w:val="7"/>
        <w:spacing w:before="0" w:beforeAutospacing="0" w:after="0" w:afterAutospacing="0" w:line="360" w:lineRule="auto"/>
        <w:ind w:firstLine="420"/>
        <w:rPr>
          <w:sz w:val="21"/>
          <w:szCs w:val="21"/>
        </w:rPr>
      </w:pPr>
      <w:r>
        <w:rPr>
          <w:rFonts w:hint="eastAsia"/>
          <w:sz w:val="21"/>
          <w:szCs w:val="21"/>
        </w:rPr>
        <w:t xml:space="preserve">3）本基金在任何交易日内交易（不包括平仓）的国债期货合约的成交金额不得超过上一交易日基金资产净值的30%； </w:t>
      </w:r>
    </w:p>
    <w:p>
      <w:pPr>
        <w:pStyle w:val="7"/>
        <w:spacing w:before="0" w:beforeAutospacing="0" w:after="0" w:afterAutospacing="0" w:line="360" w:lineRule="auto"/>
        <w:ind w:firstLine="420"/>
        <w:rPr>
          <w:sz w:val="21"/>
          <w:szCs w:val="21"/>
        </w:rPr>
      </w:pPr>
      <w:r>
        <w:rPr>
          <w:rFonts w:hint="eastAsia"/>
          <w:sz w:val="21"/>
          <w:szCs w:val="21"/>
        </w:rPr>
        <w:t xml:space="preserve">4）本基金所持有的债券（不含到期日在一年以内的政府债券）市值和买入、卖出国债期货合约价值，合计（轧差计算）应当符合基金合同关于债券投资比例的有关约定； </w:t>
      </w:r>
    </w:p>
    <w:p>
      <w:pPr>
        <w:pStyle w:val="7"/>
        <w:spacing w:before="0" w:beforeAutospacing="0" w:after="0" w:afterAutospacing="0" w:line="360" w:lineRule="auto"/>
        <w:ind w:firstLine="420"/>
        <w:rPr>
          <w:sz w:val="21"/>
          <w:szCs w:val="21"/>
        </w:rPr>
      </w:pPr>
      <w:r>
        <w:rPr>
          <w:rFonts w:hint="eastAsia"/>
          <w:sz w:val="21"/>
          <w:szCs w:val="21"/>
        </w:rPr>
        <w:t xml:space="preserve">（13）本基金不持有具有信用保护卖方属性的信用衍生品，不持有合约类信用衍生品，本基金持有的信用衍生品名义本金不得超过本基金中所对应受保护债券面值的100%； </w:t>
      </w:r>
    </w:p>
    <w:p>
      <w:pPr>
        <w:pStyle w:val="7"/>
        <w:spacing w:before="0" w:beforeAutospacing="0" w:after="0" w:afterAutospacing="0" w:line="360" w:lineRule="auto"/>
        <w:ind w:firstLine="420"/>
        <w:rPr>
          <w:sz w:val="21"/>
          <w:szCs w:val="21"/>
        </w:rPr>
      </w:pPr>
      <w:r>
        <w:rPr>
          <w:rFonts w:hint="eastAsia"/>
          <w:sz w:val="21"/>
          <w:szCs w:val="21"/>
        </w:rPr>
        <w:t xml:space="preserve">（14）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pPr>
        <w:pStyle w:val="7"/>
        <w:spacing w:before="0" w:beforeAutospacing="0" w:after="0" w:afterAutospacing="0" w:line="360" w:lineRule="auto"/>
        <w:ind w:firstLine="420"/>
        <w:rPr>
          <w:sz w:val="21"/>
          <w:szCs w:val="21"/>
        </w:rPr>
      </w:pPr>
      <w:r>
        <w:rPr>
          <w:rFonts w:hint="eastAsia"/>
          <w:sz w:val="21"/>
          <w:szCs w:val="21"/>
        </w:rPr>
        <w:t xml:space="preserve">（15）开放期内，本基金主动投资于流动性受限资产的市值合计不得超过基金资产净值的15%；封闭期不受此限；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（16）本基金与私募类证券资管产品及中国证监会认定的其他主体为交易对手开展逆回购交易的，可接受质押品的资质要求应当与基金合同约定的投资范围保持一致；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2）、（10）、（14）、（15）、（16）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法律法规或监管部门取消或变更上述限制，如适用于本基金，基金管理人在履行适当程序后，则本基金投资不再受相关限制或按变更后的规定执行。 </w:t>
      </w:r>
    </w:p>
    <w:p>
      <w:pPr>
        <w:pStyle w:val="7"/>
        <w:spacing w:before="0" w:beforeAutospacing="0" w:after="0" w:afterAutospacing="0" w:line="360" w:lineRule="auto"/>
        <w:ind w:firstLine="420"/>
        <w:rPr>
          <w:sz w:val="21"/>
          <w:szCs w:val="21"/>
        </w:rPr>
      </w:pPr>
      <w:r>
        <w:rPr>
          <w:rFonts w:hint="eastAsia"/>
          <w:sz w:val="21"/>
          <w:szCs w:val="21"/>
        </w:rPr>
        <w:t xml:space="preserve">2、禁止行为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（4）买卖其他基金份额，但是法律法规或中国证监会另有规定的除外；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法律、行政法规或监管部门取消或变更上述规定，如适用于本基金，基金管理人在履行适当程序后，则本基金投资不再受相关限制或按变更后的规定执行，但须提前公告，不需要经基金份额持有人大会审议。 </w:t>
      </w:r>
    </w:p>
    <w:p>
      <w:pPr>
        <w:pStyle w:val="7"/>
        <w:spacing w:before="0" w:beforeAutospacing="0" w:after="0" w:afterAutospacing="0" w:line="360" w:lineRule="auto"/>
        <w:ind w:firstLine="420"/>
        <w:rPr>
          <w:sz w:val="21"/>
          <w:szCs w:val="21"/>
        </w:rPr>
      </w:pPr>
      <w:r>
        <w:rPr>
          <w:rStyle w:val="11"/>
          <w:rFonts w:hint="eastAsia"/>
          <w:sz w:val="21"/>
          <w:szCs w:val="21"/>
        </w:rPr>
        <w:t>五、业绩比较基准</w:t>
      </w:r>
    </w:p>
    <w:p>
      <w:pPr>
        <w:pStyle w:val="7"/>
        <w:spacing w:before="0" w:beforeAutospacing="0" w:after="0" w:afterAutospacing="0" w:line="360" w:lineRule="auto"/>
        <w:ind w:firstLine="420"/>
        <w:rPr>
          <w:sz w:val="21"/>
          <w:szCs w:val="21"/>
        </w:rPr>
      </w:pPr>
      <w:r>
        <w:rPr>
          <w:rFonts w:hint="eastAsia"/>
          <w:sz w:val="21"/>
          <w:szCs w:val="21"/>
        </w:rPr>
        <w:t xml:space="preserve">本基金的业绩比较基准为：中债综合财富（总值）指数收益率×90%+1年期定期存款利率（税后）×10%。 </w:t>
      </w:r>
    </w:p>
    <w:p>
      <w:pPr>
        <w:pStyle w:val="7"/>
        <w:spacing w:before="0" w:beforeAutospacing="0" w:after="0" w:afterAutospacing="0" w:line="360" w:lineRule="auto"/>
        <w:ind w:firstLine="420"/>
        <w:rPr>
          <w:sz w:val="21"/>
          <w:szCs w:val="21"/>
        </w:rPr>
      </w:pPr>
      <w:r>
        <w:rPr>
          <w:rFonts w:hint="eastAsia"/>
          <w:sz w:val="21"/>
          <w:szCs w:val="21"/>
        </w:rPr>
        <w:t xml:space="preserve">本基金选择上述业绩比较基准的原因为本基金是通过债券资产的配置和个券的选择来增强债券投资的收益。中债综合财富（总值）指数由中央国债登记结算有限责任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的80%（开放期开始前1个月、开放期及开放期结束后1个月的期间内除外），持有现金或者到期日在一年以内的政府债券不低于基金资产净值的5%（封闭期内除外），采用90%作为业绩比较基准中债券投资所代表的权重，10%作为现金资产所对应的权重可以较好的反映本基金的风险收益特征。 </w:t>
      </w:r>
    </w:p>
    <w:p>
      <w:pPr>
        <w:pStyle w:val="7"/>
        <w:spacing w:before="0" w:beforeAutospacing="0" w:after="0" w:afterAutospacing="0" w:line="360" w:lineRule="auto"/>
        <w:ind w:firstLine="420"/>
        <w:rPr>
          <w:sz w:val="21"/>
          <w:szCs w:val="21"/>
        </w:rPr>
      </w:pPr>
      <w:r>
        <w:rPr>
          <w:rFonts w:hint="eastAsia"/>
          <w:sz w:val="21"/>
          <w:szCs w:val="21"/>
        </w:rPr>
        <w:t xml:space="preserve">若指数编制单位停止计算编制以上指数或更改指数名称，或者未来法律法规发生变化，或者有更权威的、更能为市场普遍接受的业绩比较基准推出，或者市场发生变化导致本业绩比较基准不再适用或本业绩比较基准停止发布，本基金管理人可以依据维护投资者合法权益的原则，在与基金托管人协商一致并报中国证监会备案后，适当调整业绩比较基准并及时公告，而无需召开基金份额持有人大会。 </w:t>
      </w:r>
    </w:p>
    <w:p>
      <w:pPr>
        <w:pStyle w:val="7"/>
        <w:spacing w:before="0" w:beforeAutospacing="0" w:after="0" w:afterAutospacing="0" w:line="360" w:lineRule="auto"/>
        <w:ind w:firstLine="420"/>
        <w:rPr>
          <w:sz w:val="21"/>
          <w:szCs w:val="21"/>
        </w:rPr>
      </w:pPr>
      <w:r>
        <w:rPr>
          <w:rStyle w:val="11"/>
          <w:rFonts w:hint="eastAsia"/>
          <w:sz w:val="21"/>
          <w:szCs w:val="21"/>
        </w:rPr>
        <w:t>六、风险收益特征</w:t>
      </w:r>
    </w:p>
    <w:p>
      <w:pPr>
        <w:pStyle w:val="7"/>
        <w:spacing w:before="0" w:beforeAutospacing="0" w:after="0" w:afterAutospacing="0" w:line="360" w:lineRule="auto"/>
        <w:ind w:firstLine="420"/>
        <w:rPr>
          <w:sz w:val="21"/>
          <w:szCs w:val="21"/>
        </w:rPr>
      </w:pPr>
      <w:bookmarkStart w:id="117" w:name="field_60_riskyield_1_start"/>
      <w:bookmarkEnd w:id="117"/>
      <w:r>
        <w:rPr>
          <w:rFonts w:hint="eastAsia"/>
          <w:sz w:val="21"/>
          <w:szCs w:val="21"/>
        </w:rPr>
        <w:t xml:space="preserve">本基金为债券型基金，预期收益和预期风险高于货币市场基金，但低于混合型基金、股票型基金。 </w:t>
      </w:r>
      <w:bookmarkStart w:id="118" w:name="field_60_riskyield_1_end"/>
      <w:bookmarkEnd w:id="118"/>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七、基金管理人代表基金行使其他权利的处理原则及方法</w:t>
      </w:r>
    </w:p>
    <w:p>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1、基金管理人按照国家有关规定代表基金独立行使其他权利，保护基金份额持有人的利益；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2、有利于基金财产的安全与增值； </w:t>
      </w:r>
    </w:p>
    <w:p>
      <w:pPr>
        <w:pStyle w:val="7"/>
        <w:spacing w:before="0" w:beforeAutospacing="0" w:after="0" w:afterAutospacing="0" w:line="360" w:lineRule="auto"/>
        <w:ind w:firstLine="420"/>
        <w:rPr>
          <w:sz w:val="21"/>
          <w:szCs w:val="21"/>
        </w:rPr>
      </w:pPr>
      <w:r>
        <w:rPr>
          <w:rFonts w:hint="eastAsia"/>
          <w:sz w:val="21"/>
          <w:szCs w:val="21"/>
        </w:rPr>
        <w:t xml:space="preserve">3、不通过关联交易为自身、雇员、授权代理人或任何存在利害关系的第三人牟取任何不当利益。 </w:t>
      </w:r>
    </w:p>
    <w:p>
      <w:pPr>
        <w:pStyle w:val="7"/>
        <w:spacing w:before="0" w:beforeAutospacing="0" w:after="0" w:afterAutospacing="0" w:line="360" w:lineRule="auto"/>
        <w:ind w:firstLine="420"/>
        <w:rPr>
          <w:sz w:val="21"/>
          <w:szCs w:val="21"/>
        </w:rPr>
      </w:pPr>
      <w:r>
        <w:rPr>
          <w:rStyle w:val="11"/>
          <w:rFonts w:hint="eastAsia"/>
          <w:sz w:val="21"/>
          <w:szCs w:val="21"/>
        </w:rPr>
        <w:t>八、侧袋机制的实施和投资运作安排</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19" w:name="chapter_level1_11_60_section_1_end"/>
      <w:bookmarkEnd w:id="119"/>
      <w:r>
        <w:rPr>
          <w:rFonts w:hint="eastAsia"/>
          <w:sz w:val="21"/>
          <w:szCs w:val="21"/>
        </w:rPr>
        <w:t xml:space="preserve">对投资者权益有重大影响的事项详见本招募说明书“侧袋机制”章节的规定。 </w:t>
      </w:r>
    </w:p>
    <w:p>
      <w:pPr>
        <w:pStyle w:val="7"/>
        <w:spacing w:before="0" w:beforeAutospacing="0" w:after="0" w:afterAutospacing="0" w:line="360" w:lineRule="auto"/>
        <w:ind w:firstLine="420"/>
        <w:rPr>
          <w:sz w:val="21"/>
          <w:szCs w:val="21"/>
        </w:rPr>
      </w:pPr>
      <w:bookmarkStart w:id="120" w:name="chapter_level1_11_60_section_2"/>
      <w:bookmarkEnd w:id="120"/>
      <w:r>
        <w:rPr>
          <w:rStyle w:val="11"/>
          <w:rFonts w:hint="eastAsia"/>
          <w:sz w:val="21"/>
          <w:szCs w:val="21"/>
        </w:rPr>
        <w:t>九、基金投资组合报告</w:t>
      </w:r>
    </w:p>
    <w:p>
      <w:pPr>
        <w:pStyle w:val="7"/>
        <w:spacing w:before="0" w:beforeAutospacing="0" w:after="0" w:afterAutospacing="0" w:line="360" w:lineRule="auto"/>
        <w:ind w:firstLine="420"/>
        <w:rPr>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21" w:name="field_2343_financeendday_2"/>
      <w:r>
        <w:rPr>
          <w:sz w:val="21"/>
          <w:szCs w:val="21"/>
        </w:rPr>
        <w:t>2025年6月30日</w:t>
      </w:r>
      <w:bookmarkEnd w:id="121"/>
      <w:r>
        <w:rPr>
          <w:rFonts w:hint="eastAsia"/>
          <w:sz w:val="21"/>
          <w:szCs w:val="21"/>
        </w:rPr>
        <w:t xml:space="preserve">，本报告中所列财务数据未经审计。 </w:t>
      </w:r>
    </w:p>
    <w:p>
      <w:pPr>
        <w:pStyle w:val="7"/>
        <w:spacing w:before="0" w:beforeAutospacing="0" w:after="0" w:afterAutospacing="0" w:line="360" w:lineRule="auto"/>
        <w:ind w:firstLine="420"/>
        <w:rPr>
          <w:sz w:val="21"/>
          <w:szCs w:val="21"/>
        </w:rPr>
      </w:pPr>
      <w:bookmarkStart w:id="122" w:name="field_0_fundportfolio_1_start"/>
      <w:bookmarkEnd w:id="122"/>
      <w:r>
        <w:rPr>
          <w:rStyle w:val="11"/>
          <w:rFonts w:hint="eastAsia"/>
          <w:sz w:val="21"/>
          <w:szCs w:val="21"/>
        </w:rPr>
        <w:t>1 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2,885,656,991.42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98.73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2,885,656,991.42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98.73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37,098,666.29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9,624.02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2,922,765,281.73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Style w:val="11"/>
          <w:rFonts w:hint="eastAsia"/>
          <w:sz w:val="21"/>
          <w:szCs w:val="21"/>
        </w:rPr>
        <w:t>2 报告期末按行业分类的股票投资组合</w:t>
      </w:r>
    </w:p>
    <w:p>
      <w:pPr>
        <w:pStyle w:val="7"/>
        <w:spacing w:before="0" w:beforeAutospacing="0" w:after="0" w:afterAutospacing="0" w:line="360" w:lineRule="auto"/>
        <w:ind w:firstLine="420"/>
        <w:rPr>
          <w:sz w:val="21"/>
          <w:szCs w:val="21"/>
        </w:rPr>
      </w:pPr>
      <w:r>
        <w:rPr>
          <w:rStyle w:val="11"/>
          <w:rFonts w:hint="eastAsia"/>
          <w:sz w:val="21"/>
          <w:szCs w:val="21"/>
        </w:rPr>
        <w:t>2.1 报告期末按行业分类的境内股票投资组合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本基金本报告期末未持有境内股票。</w:t>
      </w:r>
    </w:p>
    <w:p>
      <w:pPr>
        <w:pStyle w:val="7"/>
        <w:spacing w:before="0" w:beforeAutospacing="0" w:after="0" w:afterAutospacing="0" w:line="360" w:lineRule="auto"/>
        <w:ind w:firstLine="420"/>
        <w:rPr>
          <w:sz w:val="21"/>
          <w:szCs w:val="21"/>
        </w:rPr>
      </w:pPr>
      <w:r>
        <w:rPr>
          <w:rStyle w:val="11"/>
          <w:rFonts w:hint="eastAsia"/>
          <w:sz w:val="21"/>
          <w:szCs w:val="21"/>
        </w:rPr>
        <w:t>2.2 报告期末按行业分类的港股通投资股票投资组合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本基金本报告期末未持有股票。</w:t>
      </w:r>
    </w:p>
    <w:p>
      <w:pPr>
        <w:pStyle w:val="7"/>
        <w:spacing w:before="0" w:beforeAutospacing="0" w:after="0" w:afterAutospacing="0" w:line="360" w:lineRule="auto"/>
        <w:ind w:firstLine="420"/>
        <w:rPr>
          <w:sz w:val="21"/>
          <w:szCs w:val="21"/>
        </w:rPr>
      </w:pPr>
      <w:r>
        <w:rPr>
          <w:rStyle w:val="11"/>
          <w:rFonts w:hint="eastAsia"/>
          <w:sz w:val="21"/>
          <w:szCs w:val="21"/>
        </w:rPr>
        <w:t>4 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2503"/>
        <w:gridCol w:w="2254"/>
        <w:gridCol w:w="30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349,819,913.68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631,534,278.35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31.07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339,260,608.22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296,212,081.54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10,116,805.48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1,544,468,467.97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53,505,444.40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2,885,656,991.42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141.98</w:t>
            </w:r>
          </w:p>
        </w:tc>
      </w:tr>
    </w:tbl>
    <w:p>
      <w:pPr>
        <w:pStyle w:val="7"/>
        <w:spacing w:before="0" w:beforeAutospacing="0" w:after="0" w:afterAutospacing="0" w:line="360" w:lineRule="auto"/>
        <w:ind w:firstLine="420"/>
        <w:rPr>
          <w:sz w:val="21"/>
          <w:szCs w:val="21"/>
        </w:rPr>
      </w:pPr>
      <w:r>
        <w:rPr>
          <w:rStyle w:val="11"/>
          <w:rFonts w:hint="eastAsia"/>
          <w:sz w:val="21"/>
          <w:szCs w:val="21"/>
        </w:rPr>
        <w:t>5 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1041"/>
        <w:gridCol w:w="1772"/>
        <w:gridCol w:w="1161"/>
        <w:gridCol w:w="1686"/>
        <w:gridCol w:w="22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2400005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24特别国债05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128,742,430.94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2500001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25超长特别国债01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111,894,704.92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240420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24农发20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106,551,095.89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240430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24农发30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104,211,835.62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242120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24信达06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101,163,473.97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4.98</w:t>
            </w:r>
          </w:p>
        </w:tc>
      </w:tr>
    </w:tbl>
    <w:p>
      <w:pPr>
        <w:pStyle w:val="7"/>
        <w:spacing w:before="0" w:beforeAutospacing="0" w:after="0" w:afterAutospacing="0" w:line="360" w:lineRule="auto"/>
        <w:ind w:firstLine="420"/>
        <w:rPr>
          <w:sz w:val="21"/>
          <w:szCs w:val="21"/>
        </w:rPr>
      </w:pPr>
      <w:r>
        <w:rPr>
          <w:rStyle w:val="11"/>
          <w:rFonts w:hint="eastAsia"/>
          <w:sz w:val="21"/>
          <w:szCs w:val="21"/>
        </w:rPr>
        <w:t>6 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7 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 本期国债期货投资政策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10.2 报告期末本基金投资的国债期货持仓和损益明细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本基金投资的前十名证券的发行主体中，中国信达资产管理股份有限公司在报告编制前一年受到国家金融监督管理总局海南监管局、金融监管总局的处罚。中国农业发展银行在报告编制前一年受到国家外汇管理局枣庄市分局、河南金融监管局、湖北金融监管局的处罚。国家开发银行在报告编制前一年受到中国人民银行湖北省分行、北京金融监管局、吉林金融监管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11.2其他资产构成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4250"/>
        <w:gridCol w:w="2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9,624.02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9,624.02</w:t>
            </w:r>
          </w:p>
        </w:tc>
      </w:tr>
    </w:tbl>
    <w:p>
      <w:pPr>
        <w:pStyle w:val="7"/>
        <w:spacing w:before="0" w:beforeAutospacing="0" w:after="0" w:afterAutospacing="0" w:line="360" w:lineRule="auto"/>
        <w:ind w:firstLine="420"/>
        <w:rPr>
          <w:sz w:val="21"/>
          <w:szCs w:val="21"/>
        </w:rPr>
      </w:pPr>
      <w:r>
        <w:rPr>
          <w:rStyle w:val="11"/>
          <w:rFonts w:hint="eastAsia"/>
          <w:sz w:val="21"/>
          <w:szCs w:val="21"/>
        </w:rPr>
        <w:t>11.3报告期末持有的处于转股期的可转换债券明细</w:t>
      </w:r>
    </w:p>
    <w:p>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7"/>
        <w:spacing w:before="0" w:beforeAutospacing="0" w:after="0" w:afterAutospacing="0" w:line="360" w:lineRule="auto"/>
        <w:ind w:firstLine="420"/>
        <w:rPr>
          <w:sz w:val="21"/>
          <w:szCs w:val="21"/>
        </w:rPr>
      </w:pPr>
      <w:r>
        <w:rPr>
          <w:rStyle w:val="11"/>
          <w:rFonts w:hint="eastAsia"/>
          <w:sz w:val="21"/>
          <w:szCs w:val="21"/>
        </w:rPr>
        <w:t>11.4报告期末前十名股票中存在流通受限情况的说明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本基金本报告期末未持有股票。</w:t>
      </w:r>
    </w:p>
    <w:p>
      <w:pPr>
        <w:pStyle w:val="7"/>
        <w:spacing w:before="0" w:beforeAutospacing="0" w:after="0" w:afterAutospacing="0" w:line="360" w:lineRule="auto"/>
        <w:ind w:firstLine="420"/>
        <w:rPr>
          <w:sz w:val="21"/>
          <w:szCs w:val="21"/>
        </w:rPr>
      </w:pPr>
      <w:r>
        <w:rPr>
          <w:rStyle w:val="11"/>
          <w:rFonts w:hint="eastAsia"/>
          <w:sz w:val="21"/>
          <w:szCs w:val="21"/>
        </w:rPr>
        <w:t>11.5投资组合报告附注的其他文字描述部分</w:t>
      </w:r>
    </w:p>
    <w:p>
      <w:pPr>
        <w:pStyle w:val="7"/>
        <w:spacing w:before="0" w:beforeAutospacing="0" w:after="0" w:afterAutospacing="0" w:line="360" w:lineRule="auto"/>
        <w:ind w:firstLine="420"/>
        <w:rPr>
          <w:sz w:val="21"/>
          <w:szCs w:val="21"/>
        </w:rPr>
      </w:pPr>
      <w:bookmarkStart w:id="123" w:name="chapter_level1_11_60_section_2_end"/>
      <w:bookmarkEnd w:id="123"/>
      <w:r>
        <w:rPr>
          <w:rFonts w:hint="eastAsia"/>
          <w:sz w:val="21"/>
          <w:szCs w:val="21"/>
        </w:rPr>
        <w:t>由于四舍五入的原因，分项之和与合计项之间可能存在尾差。</w:t>
      </w:r>
      <w:bookmarkStart w:id="124" w:name="field_0_fundportfolio_1_end"/>
      <w:bookmarkEnd w:id="124"/>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5" w:name="chapter_level1_12_3500"/>
      <w:bookmarkStart w:id="126" w:name="_Toc207947154"/>
      <w:r>
        <w:rPr>
          <w:rFonts w:hint="eastAsia" w:ascii="宋体" w:hAnsi="宋体" w:eastAsia="宋体"/>
          <w:sz w:val="30"/>
        </w:rPr>
        <w:t>第九部分 基金的业绩</w:t>
      </w:r>
      <w:bookmarkEnd w:id="125"/>
      <w:bookmarkEnd w:id="126"/>
    </w:p>
    <w:p>
      <w:pPr>
        <w:pStyle w:val="7"/>
        <w:spacing w:before="0" w:beforeAutospacing="0" w:after="0" w:afterAutospacing="0" w:line="360" w:lineRule="auto"/>
        <w:ind w:firstLine="420"/>
        <w:rPr>
          <w:sz w:val="21"/>
          <w:szCs w:val="21"/>
        </w:rPr>
      </w:pPr>
      <w:bookmarkStart w:id="127" w:name="chapter_level1_12_3500_section_1"/>
      <w:bookmarkEnd w:id="127"/>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7"/>
        <w:spacing w:before="0" w:beforeAutospacing="0" w:after="0" w:afterAutospacing="0" w:line="360" w:lineRule="auto"/>
        <w:ind w:firstLine="420"/>
        <w:rPr>
          <w:sz w:val="21"/>
          <w:szCs w:val="21"/>
        </w:rPr>
      </w:pPr>
      <w:bookmarkStart w:id="128" w:name="field_0_indatatable_1_start"/>
      <w:bookmarkEnd w:id="128"/>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11"/>
        <w:gridCol w:w="1056"/>
        <w:gridCol w:w="1186"/>
        <w:gridCol w:w="1250"/>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2023.06.07-2023.12.31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2023.06.07-2025.06.30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8.02%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10.52%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bl>
    <w:p>
      <w:pPr>
        <w:pStyle w:val="7"/>
        <w:spacing w:before="0" w:beforeAutospacing="0" w:after="0" w:afterAutospacing="0" w:line="360" w:lineRule="auto"/>
        <w:ind w:firstLine="420"/>
        <w:rPr>
          <w:sz w:val="21"/>
          <w:szCs w:val="21"/>
        </w:rPr>
      </w:pPr>
      <w:bookmarkStart w:id="129" w:name="chapter_level1_12_3500_section_1_end"/>
      <w:bookmarkEnd w:id="129"/>
      <w:bookmarkStart w:id="130" w:name="field_0_indatatable_1_end"/>
      <w:bookmarkEnd w:id="130"/>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1" w:name="chapter_level1_13_62"/>
      <w:bookmarkStart w:id="132" w:name="_Toc207947155"/>
      <w:r>
        <w:rPr>
          <w:rFonts w:hint="eastAsia" w:ascii="宋体" w:hAnsi="宋体" w:eastAsia="宋体"/>
          <w:sz w:val="30"/>
        </w:rPr>
        <w:t>第十部分  基金的财产</w:t>
      </w:r>
      <w:bookmarkEnd w:id="131"/>
      <w:bookmarkEnd w:id="132"/>
    </w:p>
    <w:p>
      <w:pPr>
        <w:pStyle w:val="7"/>
        <w:spacing w:before="0" w:beforeAutospacing="0" w:after="0" w:afterAutospacing="0" w:line="360" w:lineRule="auto"/>
        <w:ind w:firstLine="420"/>
        <w:rPr>
          <w:sz w:val="21"/>
          <w:szCs w:val="21"/>
        </w:rPr>
      </w:pPr>
      <w:bookmarkStart w:id="133" w:name="chapter_level1_13_62_section_1"/>
      <w:bookmarkEnd w:id="133"/>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4" w:name="chapter_level1_13_62_section_1_end"/>
      <w:bookmarkEnd w:id="134"/>
      <w:r>
        <w:rPr>
          <w:rFonts w:hint="eastAsia"/>
          <w:sz w:val="21"/>
          <w:szCs w:val="21"/>
        </w:rPr>
        <w:t xml:space="preserve">得相互抵销。非因基金财产本身承担的债务，不得对基金财产强制执行。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5" w:name="_Toc207947156"/>
      <w:bookmarkStart w:id="136" w:name="chapter_level1_14_63"/>
      <w:r>
        <w:rPr>
          <w:rFonts w:hint="eastAsia" w:ascii="宋体" w:hAnsi="宋体" w:eastAsia="宋体"/>
          <w:sz w:val="30"/>
        </w:rPr>
        <w:t>第十一部分  基金资产的估值</w:t>
      </w:r>
      <w:bookmarkEnd w:id="135"/>
      <w:bookmarkEnd w:id="136"/>
    </w:p>
    <w:p>
      <w:pPr>
        <w:pStyle w:val="7"/>
        <w:spacing w:before="0" w:beforeAutospacing="0" w:after="0" w:afterAutospacing="0" w:line="360" w:lineRule="auto"/>
        <w:ind w:firstLine="420"/>
        <w:rPr>
          <w:sz w:val="21"/>
          <w:szCs w:val="21"/>
        </w:rPr>
      </w:pPr>
      <w:bookmarkStart w:id="137" w:name="chapter_level1_14_63_section_1"/>
      <w:bookmarkEnd w:id="137"/>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 xml:space="preserve">基金所拥有的股票、债券、资产支持证券、银行存款本息、国债期货合约、信用衍生品、应收款项、其它投资等资产及负债。 </w:t>
      </w:r>
    </w:p>
    <w:p>
      <w:pPr>
        <w:pStyle w:val="7"/>
        <w:spacing w:before="0" w:beforeAutospacing="0" w:after="0" w:afterAutospacing="0" w:line="360" w:lineRule="auto"/>
        <w:ind w:firstLine="420"/>
        <w:rPr>
          <w:sz w:val="21"/>
          <w:szCs w:val="21"/>
        </w:rPr>
      </w:pPr>
      <w:r>
        <w:rPr>
          <w:rStyle w:val="11"/>
          <w:rFonts w:hint="eastAsia"/>
          <w:sz w:val="21"/>
          <w:szCs w:val="21"/>
        </w:rPr>
        <w:t>三、估值原则</w:t>
      </w:r>
    </w:p>
    <w:p>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pPr>
        <w:pStyle w:val="7"/>
        <w:spacing w:before="0" w:beforeAutospacing="0" w:after="0" w:afterAutospacing="0" w:line="360" w:lineRule="auto"/>
        <w:ind w:firstLine="420"/>
        <w:rPr>
          <w:sz w:val="21"/>
          <w:szCs w:val="21"/>
        </w:rPr>
      </w:pPr>
      <w:r>
        <w:rPr>
          <w:rStyle w:val="11"/>
          <w:rFonts w:hint="eastAsia"/>
          <w:sz w:val="21"/>
          <w:szCs w:val="21"/>
        </w:rPr>
        <w:t>四、估值方法</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信用衍生品按第三方估值机构提供的当日估值价格进行估值，但基金管理人依法应当承担的估值责任不因委托而免除。选定的第三方估值机构未提供估值价格的，依照有关法律法规及企业会计准则要求，采用合理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6、基金投资的国债期货合约，一般以估值当日结算价进行估值，估值当日无结算价的，且最近交易日后经济环境未发生重大变化的，采用最近交易日结算价估值。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7、开放期内，当发生大额申购或赎回情形时，基金管理人可以采用摆动定价机制，以确保基金估值的公平性。具体处理原则与操作规范遵循相关法律法规以及监管部门、自律组织的规定。 </w:t>
      </w:r>
    </w:p>
    <w:p>
      <w:pPr>
        <w:pStyle w:val="7"/>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9、相关法律法规以及监管部门有强制规定的，从其规定。如有新增事项，按国家最新规定估值。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38" w:name="chapter_level1_14_63_section_1_end"/>
      <w:bookmarkEnd w:id="138"/>
      <w:r>
        <w:rPr>
          <w:rFonts w:hint="eastAsia"/>
          <w:sz w:val="21"/>
          <w:szCs w:val="21"/>
        </w:rPr>
        <w:t xml:space="preserve">予以公布。 </w:t>
      </w:r>
    </w:p>
    <w:p>
      <w:pPr>
        <w:pStyle w:val="7"/>
        <w:spacing w:before="0" w:beforeAutospacing="0" w:after="0" w:afterAutospacing="0" w:line="360" w:lineRule="auto"/>
        <w:ind w:firstLine="420"/>
        <w:rPr>
          <w:sz w:val="21"/>
          <w:szCs w:val="21"/>
        </w:rPr>
      </w:pPr>
      <w:bookmarkStart w:id="139" w:name="chapter_level1_14_63_section_2"/>
      <w:bookmarkEnd w:id="139"/>
      <w:r>
        <w:rPr>
          <w:rStyle w:val="11"/>
          <w:rFonts w:hint="eastAsia"/>
          <w:sz w:val="21"/>
          <w:szCs w:val="21"/>
        </w:rPr>
        <w:t>五、估值程序</w:t>
      </w:r>
    </w:p>
    <w:p>
      <w:pPr>
        <w:pStyle w:val="7"/>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1、基金份额净值是按照每个工作日闭市后，基金资产净值除以当日基金份额的余额数量计算，精确到</w:t>
      </w:r>
      <w:bookmarkStart w:id="140" w:name="field_63_netdecimalvalue_1"/>
      <w:r>
        <w:rPr>
          <w:sz w:val="21"/>
          <w:szCs w:val="21"/>
        </w:rPr>
        <w:t>0.0001</w:t>
      </w:r>
      <w:bookmarkEnd w:id="140"/>
      <w:r>
        <w:rPr>
          <w:rFonts w:hint="eastAsia"/>
          <w:sz w:val="21"/>
          <w:szCs w:val="21"/>
        </w:rPr>
        <w:t>元，小数点后第</w:t>
      </w:r>
      <w:bookmarkStart w:id="141" w:name="field_0_netdecimaladd1_2"/>
      <w:r>
        <w:rPr>
          <w:sz w:val="21"/>
          <w:szCs w:val="21"/>
        </w:rPr>
        <w:t>5</w:t>
      </w:r>
      <w:bookmarkEnd w:id="141"/>
      <w:r>
        <w:rPr>
          <w:rFonts w:hint="eastAsia"/>
          <w:sz w:val="21"/>
          <w:szCs w:val="21"/>
        </w:rPr>
        <w:t xml:space="preserve">位四舍五入，由此产生的收益或损失由基金财产承担。基金管理人可以设立大额赎回情形下的净值精度应急调整机制。国家另有规定或基金合同另有约定的，从其规定。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基金管理人于每个工作日计算基金资产净值及基金份额净值，并按规定公告。 </w:t>
      </w:r>
    </w:p>
    <w:p>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pPr>
        <w:pStyle w:val="7"/>
        <w:spacing w:before="0" w:beforeAutospacing="0" w:after="0" w:afterAutospacing="0" w:line="360" w:lineRule="auto"/>
        <w:ind w:firstLine="420"/>
        <w:rPr>
          <w:sz w:val="21"/>
          <w:szCs w:val="21"/>
        </w:rPr>
      </w:pPr>
      <w:r>
        <w:rPr>
          <w:rStyle w:val="11"/>
          <w:rFonts w:hint="eastAsia"/>
          <w:sz w:val="21"/>
          <w:szCs w:val="21"/>
        </w:rPr>
        <w:t>六、估值错误的处理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42" w:name="field_63_netdecimal_2"/>
      <w:r>
        <w:rPr>
          <w:sz w:val="21"/>
          <w:szCs w:val="21"/>
        </w:rPr>
        <w:t>4</w:t>
      </w:r>
      <w:bookmarkEnd w:id="142"/>
      <w:r>
        <w:rPr>
          <w:rFonts w:hint="eastAsia"/>
          <w:sz w:val="21"/>
          <w:szCs w:val="21"/>
        </w:rPr>
        <w:t>位以内(含第</w:t>
      </w:r>
      <w:bookmarkStart w:id="143" w:name="field_63_netdecimal_3"/>
      <w:r>
        <w:rPr>
          <w:sz w:val="21"/>
          <w:szCs w:val="21"/>
        </w:rPr>
        <w:t>4</w:t>
      </w:r>
      <w:bookmarkEnd w:id="143"/>
      <w:r>
        <w:rPr>
          <w:rFonts w:hint="eastAsia"/>
          <w:sz w:val="21"/>
          <w:szCs w:val="21"/>
        </w:rPr>
        <w:t xml:space="preserve">位)发生估值错误时，视为基金份额净值错误。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pPr>
        <w:pStyle w:val="7"/>
        <w:spacing w:before="0" w:beforeAutospacing="0" w:after="0" w:afterAutospacing="0" w:line="360" w:lineRule="auto"/>
        <w:ind w:firstLine="420"/>
        <w:rPr>
          <w:sz w:val="21"/>
          <w:szCs w:val="21"/>
        </w:rPr>
      </w:pPr>
      <w:r>
        <w:rPr>
          <w:rStyle w:val="11"/>
          <w:rFonts w:hint="eastAsia"/>
          <w:sz w:val="21"/>
          <w:szCs w:val="21"/>
        </w:rPr>
        <w:t>七、暂停估值的情形</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4、法律法规规定、中国证监会和基金合同认定的其他情形。 </w:t>
      </w:r>
    </w:p>
    <w:p>
      <w:pPr>
        <w:pStyle w:val="7"/>
        <w:spacing w:before="0" w:beforeAutospacing="0" w:after="0" w:afterAutospacing="0" w:line="360" w:lineRule="auto"/>
        <w:ind w:firstLine="420"/>
        <w:rPr>
          <w:sz w:val="21"/>
          <w:szCs w:val="21"/>
        </w:rPr>
      </w:pPr>
      <w:r>
        <w:rPr>
          <w:rStyle w:val="11"/>
          <w:rFonts w:hint="eastAsia"/>
          <w:sz w:val="21"/>
          <w:szCs w:val="21"/>
        </w:rPr>
        <w:t>八、基金净值的确认</w:t>
      </w:r>
    </w:p>
    <w:p>
      <w:pPr>
        <w:pStyle w:val="7"/>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按规定对基金净值予以公布。 </w:t>
      </w:r>
    </w:p>
    <w:p>
      <w:pPr>
        <w:pStyle w:val="7"/>
        <w:spacing w:before="0" w:beforeAutospacing="0" w:after="0" w:afterAutospacing="0" w:line="360" w:lineRule="auto"/>
        <w:ind w:firstLine="420"/>
        <w:rPr>
          <w:sz w:val="21"/>
          <w:szCs w:val="21"/>
        </w:rPr>
      </w:pPr>
      <w:r>
        <w:rPr>
          <w:rStyle w:val="11"/>
          <w:rFonts w:hint="eastAsia"/>
          <w:sz w:val="21"/>
          <w:szCs w:val="21"/>
        </w:rPr>
        <w:t>九、特殊情况的处理</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1、基金管理人或基金托管人按估值方法的第8项进行估值时，所造成的误差不作为基金资产估值错误处理。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 xml:space="preserve">2、由于有关会计制度变化或不可抗力原因，或由于证券/期货交易所或登记结算公司及存款银行等第三方机构发送的数据错误、遗漏或市场规则变更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pPr>
        <w:pStyle w:val="7"/>
        <w:spacing w:before="0" w:beforeAutospacing="0" w:after="0" w:afterAutospacing="0" w:line="360" w:lineRule="auto"/>
        <w:ind w:firstLine="420"/>
        <w:rPr>
          <w:sz w:val="21"/>
          <w:szCs w:val="21"/>
        </w:rPr>
      </w:pPr>
      <w:r>
        <w:rPr>
          <w:rStyle w:val="11"/>
          <w:rFonts w:hint="eastAsia"/>
          <w:sz w:val="21"/>
          <w:szCs w:val="21"/>
        </w:rPr>
        <w:t>十、实施侧袋机制期间的基金资产估值</w:t>
      </w:r>
    </w:p>
    <w:p>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44" w:name="chapter_level1_14_63_section_2_end"/>
      <w:bookmarkEnd w:id="144"/>
      <w:r>
        <w:rPr>
          <w:rFonts w:hint="eastAsia"/>
          <w:sz w:val="21"/>
          <w:szCs w:val="21"/>
        </w:rPr>
        <w:t xml:space="preserve">的基金净值信息，暂停披露侧袋账户基金净值信息。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5" w:name="chapter_level1_15_64"/>
      <w:bookmarkStart w:id="146" w:name="_Toc207947157"/>
      <w:r>
        <w:rPr>
          <w:rFonts w:hint="eastAsia" w:ascii="宋体" w:hAnsi="宋体" w:eastAsia="宋体"/>
          <w:sz w:val="30"/>
        </w:rPr>
        <w:t>第十二部分  基金的收益与分配</w:t>
      </w:r>
      <w:bookmarkEnd w:id="145"/>
      <w:bookmarkEnd w:id="146"/>
    </w:p>
    <w:p>
      <w:pPr>
        <w:pStyle w:val="7"/>
        <w:spacing w:before="0" w:beforeAutospacing="0" w:after="0" w:afterAutospacing="0" w:line="360" w:lineRule="auto"/>
        <w:ind w:firstLine="420"/>
        <w:rPr>
          <w:sz w:val="21"/>
          <w:szCs w:val="21"/>
        </w:rPr>
      </w:pPr>
      <w:bookmarkStart w:id="147" w:name="chapter_level1_15_64_section_1"/>
      <w:bookmarkEnd w:id="147"/>
      <w:r>
        <w:rPr>
          <w:rStyle w:val="11"/>
          <w:rFonts w:hint="eastAsia"/>
          <w:sz w:val="21"/>
          <w:szCs w:val="21"/>
        </w:rPr>
        <w:t>一、基金利润的构成</w:t>
      </w:r>
    </w:p>
    <w:p>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基金份额进行再投资（红利再投资不受封闭期限制）；若投资者不选择，本基金默认的收益分配方式是现金分红； </w:t>
      </w:r>
    </w:p>
    <w:p>
      <w:pPr>
        <w:pStyle w:val="7"/>
        <w:spacing w:before="0" w:beforeAutospacing="0" w:after="0" w:afterAutospacing="0" w:line="360" w:lineRule="auto"/>
        <w:ind w:firstLine="420"/>
        <w:rPr>
          <w:sz w:val="21"/>
          <w:szCs w:val="21"/>
        </w:rPr>
      </w:pPr>
      <w:r>
        <w:rPr>
          <w:rFonts w:hint="eastAsia"/>
          <w:sz w:val="21"/>
          <w:szCs w:val="21"/>
        </w:rPr>
        <w:t xml:space="preserve">2、基金收益分配后基金份额净值不能低于面值，即基金收益分配基准日的基金份额净值减去每单位基金份额收益分配金额后不能低于面值； </w:t>
      </w:r>
    </w:p>
    <w:p>
      <w:pPr>
        <w:pStyle w:val="7"/>
        <w:spacing w:before="0" w:beforeAutospacing="0" w:after="0" w:afterAutospacing="0" w:line="360" w:lineRule="auto"/>
        <w:ind w:firstLine="420"/>
        <w:rPr>
          <w:sz w:val="21"/>
          <w:szCs w:val="21"/>
        </w:rPr>
      </w:pPr>
      <w:r>
        <w:rPr>
          <w:rFonts w:hint="eastAsia"/>
          <w:sz w:val="21"/>
          <w:szCs w:val="21"/>
        </w:rPr>
        <w:t xml:space="preserve">3、本基金每一基金份额享有同等分配权； </w:t>
      </w:r>
    </w:p>
    <w:p>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在不违反法律法规及基金合同约定并对基金份额持有人利益无实质不利影响的前提下，基金管理人经与基金托管人协商一致后，可对基金收益分配原则和支付方式进行调整，不需召开基金份额持有人大会。 </w:t>
      </w:r>
    </w:p>
    <w:p>
      <w:pPr>
        <w:pStyle w:val="7"/>
        <w:spacing w:before="0" w:beforeAutospacing="0" w:after="0" w:afterAutospacing="0" w:line="360" w:lineRule="auto"/>
        <w:ind w:firstLine="420"/>
        <w:rPr>
          <w:sz w:val="21"/>
          <w:szCs w:val="21"/>
        </w:rPr>
      </w:pPr>
      <w:r>
        <w:rPr>
          <w:rStyle w:val="11"/>
          <w:rFonts w:hint="eastAsia"/>
          <w:sz w:val="21"/>
          <w:szCs w:val="21"/>
        </w:rPr>
        <w:t>四、收益分配方案</w:t>
      </w:r>
    </w:p>
    <w:p>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基金收益分配方案中应载明截至收益分配基准日的可供分配利润、基金收益分配对象、分配时间、分配数额及比例、分配方式等内容。 </w:t>
      </w:r>
    </w:p>
    <w:p>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本基金收益分配方案由基金管理人拟定，并由基金托管人复核，依照《信息披露办法》的有关规定在规定媒介公告。 </w:t>
      </w:r>
    </w:p>
    <w:p>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照《业务规则》执行。 </w:t>
      </w:r>
    </w:p>
    <w:p>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48" w:name="chapter_level1_15_64_section_1_end"/>
      <w:bookmarkEnd w:id="148"/>
      <w:r>
        <w:rPr>
          <w:rFonts w:hint="eastAsia"/>
          <w:sz w:val="21"/>
          <w:szCs w:val="21"/>
        </w:rPr>
        <w:t xml:space="preserve">节的规定。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9" w:name="_Toc207947158"/>
      <w:bookmarkStart w:id="150" w:name="chapter_level1_16_65"/>
      <w:r>
        <w:rPr>
          <w:rFonts w:hint="eastAsia" w:ascii="宋体" w:hAnsi="宋体" w:eastAsia="宋体"/>
          <w:sz w:val="30"/>
        </w:rPr>
        <w:t>第十三部分  基金的费用与税收</w:t>
      </w:r>
      <w:bookmarkEnd w:id="149"/>
      <w:bookmarkEnd w:id="150"/>
    </w:p>
    <w:p>
      <w:pPr>
        <w:pStyle w:val="7"/>
        <w:spacing w:before="0" w:beforeAutospacing="0" w:after="0" w:afterAutospacing="0" w:line="360" w:lineRule="auto"/>
        <w:ind w:firstLine="420"/>
        <w:rPr>
          <w:sz w:val="21"/>
          <w:szCs w:val="21"/>
        </w:rPr>
      </w:pPr>
      <w:bookmarkStart w:id="151" w:name="chapter_level1_16_65_section_1"/>
      <w:bookmarkEnd w:id="151"/>
      <w:r>
        <w:rPr>
          <w:rStyle w:val="11"/>
          <w:rFonts w:hint="eastAsia"/>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 xml:space="preserve">3、《基金合同》生效后与基金相关的信息披露费用，法律法规、中国证监会另有规定的除外；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4、《基金合同》生效后与基金相关的会计师费、律师费、公证费、诉讼费和仲裁费； </w:t>
      </w:r>
    </w:p>
    <w:p>
      <w:pPr>
        <w:pStyle w:val="7"/>
        <w:spacing w:before="0" w:beforeAutospacing="0" w:after="0" w:afterAutospacing="0" w:line="360" w:lineRule="auto"/>
        <w:ind w:firstLine="420"/>
        <w:rPr>
          <w:sz w:val="21"/>
          <w:szCs w:val="21"/>
        </w:rPr>
      </w:pPr>
      <w:r>
        <w:rPr>
          <w:rFonts w:hint="eastAsia"/>
          <w:sz w:val="21"/>
          <w:szCs w:val="21"/>
        </w:rPr>
        <w:t xml:space="preserve">5、基金份额持有人大会费用； </w:t>
      </w:r>
    </w:p>
    <w:p>
      <w:pPr>
        <w:pStyle w:val="7"/>
        <w:spacing w:before="0" w:beforeAutospacing="0" w:after="0" w:afterAutospacing="0" w:line="360" w:lineRule="auto"/>
        <w:ind w:firstLine="420"/>
        <w:rPr>
          <w:sz w:val="21"/>
          <w:szCs w:val="21"/>
        </w:rPr>
      </w:pPr>
      <w:r>
        <w:rPr>
          <w:rFonts w:hint="eastAsia"/>
          <w:sz w:val="21"/>
          <w:szCs w:val="21"/>
        </w:rPr>
        <w:t xml:space="preserve">6、基金的证券、期货交易费用； </w:t>
      </w:r>
    </w:p>
    <w:p>
      <w:pPr>
        <w:pStyle w:val="7"/>
        <w:spacing w:before="0" w:beforeAutospacing="0" w:after="0" w:afterAutospacing="0" w:line="360" w:lineRule="auto"/>
        <w:ind w:firstLine="420"/>
        <w:rPr>
          <w:sz w:val="21"/>
          <w:szCs w:val="21"/>
        </w:rPr>
      </w:pPr>
      <w:r>
        <w:rPr>
          <w:rFonts w:hint="eastAsia"/>
          <w:sz w:val="21"/>
          <w:szCs w:val="21"/>
        </w:rPr>
        <w:t xml:space="preserve">7、基金的银行汇划费用； </w:t>
      </w:r>
    </w:p>
    <w:p>
      <w:pPr>
        <w:pStyle w:val="7"/>
        <w:spacing w:before="0" w:beforeAutospacing="0" w:after="0" w:afterAutospacing="0" w:line="360" w:lineRule="auto"/>
        <w:ind w:firstLine="420"/>
        <w:rPr>
          <w:sz w:val="21"/>
          <w:szCs w:val="21"/>
        </w:rPr>
      </w:pPr>
      <w:r>
        <w:rPr>
          <w:rFonts w:hint="eastAsia"/>
          <w:sz w:val="21"/>
          <w:szCs w:val="21"/>
        </w:rPr>
        <w:t xml:space="preserve">8、账户开户费用、账户维护费用； </w:t>
      </w:r>
    </w:p>
    <w:p>
      <w:pPr>
        <w:pStyle w:val="7"/>
        <w:spacing w:before="0" w:beforeAutospacing="0" w:after="0" w:afterAutospacing="0" w:line="360" w:lineRule="auto"/>
        <w:ind w:firstLine="420"/>
        <w:rPr>
          <w:sz w:val="21"/>
          <w:szCs w:val="21"/>
        </w:rPr>
      </w:pPr>
      <w:r>
        <w:rPr>
          <w:rFonts w:hint="eastAsia"/>
          <w:sz w:val="21"/>
          <w:szCs w:val="21"/>
        </w:rPr>
        <w:t xml:space="preserve">9、按照国家有关规定和《基金合同》约定，可以在基金财产中列支的其他费用。 </w:t>
      </w:r>
    </w:p>
    <w:p>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52" w:name="field_0_managementrate_1"/>
      <w:r>
        <w:rPr>
          <w:sz w:val="21"/>
          <w:szCs w:val="21"/>
        </w:rPr>
        <w:t>0.30</w:t>
      </w:r>
      <w:bookmarkEnd w:id="152"/>
      <w:r>
        <w:rPr>
          <w:rFonts w:hint="eastAsia"/>
          <w:sz w:val="21"/>
          <w:szCs w:val="21"/>
        </w:rPr>
        <w:t xml:space="preserve">%年费率计提。管理费的计算方法如下：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53" w:name="field_0_managementrate_2"/>
      <w:r>
        <w:rPr>
          <w:sz w:val="21"/>
          <w:szCs w:val="21"/>
        </w:rPr>
        <w:t>0.30</w:t>
      </w:r>
      <w:bookmarkEnd w:id="153"/>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由基金管理人与基金托管人核对一致后，基金托管人按照与基金管理人协商一致的方式于次月月初3个工作日内从基金财产中一次性支付给基金管理人。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54" w:name="field_0_trusteerate_1"/>
      <w:r>
        <w:rPr>
          <w:sz w:val="21"/>
          <w:szCs w:val="21"/>
        </w:rPr>
        <w:t>0.10</w:t>
      </w:r>
      <w:bookmarkEnd w:id="154"/>
      <w:r>
        <w:rPr>
          <w:rFonts w:hint="eastAsia"/>
          <w:sz w:val="21"/>
          <w:szCs w:val="21"/>
        </w:rPr>
        <w:t xml:space="preserve">%的年费率计提。托管费的计算方法如下：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55" w:name="field_0_trusteerate_2"/>
      <w:r>
        <w:rPr>
          <w:sz w:val="21"/>
          <w:szCs w:val="21"/>
        </w:rPr>
        <w:t>0.10</w:t>
      </w:r>
      <w:bookmarkEnd w:id="155"/>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由基金管理人与基金托管人核对一致后，基金托管人按照与基金管理人协商一致的方式于次月月初3个工作日内从基金财产中一次性支取。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上述“一、基金费用的种类”中第3－9项费用，根据有关法规及相应协议规定，按费用实际支出金额列入当期费用，由基金托管人从基金财产中支付。 </w:t>
      </w:r>
    </w:p>
    <w:p>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pPr>
        <w:pStyle w:val="7"/>
        <w:spacing w:before="0" w:beforeAutospacing="0" w:after="0" w:afterAutospacing="0" w:line="360" w:lineRule="auto"/>
        <w:ind w:firstLine="420"/>
        <w:rPr>
          <w:sz w:val="21"/>
          <w:szCs w:val="21"/>
        </w:rPr>
      </w:pPr>
      <w:r>
        <w:rPr>
          <w:rStyle w:val="11"/>
          <w:rFonts w:hint="eastAsia"/>
          <w:sz w:val="21"/>
          <w:szCs w:val="21"/>
        </w:rPr>
        <w:t>五、基金税收</w:t>
      </w:r>
    </w:p>
    <w:p>
      <w:pPr>
        <w:pStyle w:val="7"/>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56" w:name="chapter_level1_16_65_section_1_end"/>
      <w:bookmarkEnd w:id="156"/>
      <w:r>
        <w:rPr>
          <w:rFonts w:hint="eastAsia"/>
          <w:sz w:val="21"/>
          <w:szCs w:val="21"/>
        </w:rPr>
        <w:t xml:space="preserve">税收征收的规定代扣代缴。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7" w:name="chapter_level1_17_66"/>
      <w:bookmarkStart w:id="158" w:name="_Toc207947159"/>
      <w:r>
        <w:rPr>
          <w:rFonts w:hint="eastAsia" w:ascii="宋体" w:hAnsi="宋体" w:eastAsia="宋体"/>
          <w:sz w:val="30"/>
        </w:rPr>
        <w:t>第十四部分  基金的会计与审计</w:t>
      </w:r>
      <w:bookmarkEnd w:id="157"/>
      <w:bookmarkEnd w:id="158"/>
    </w:p>
    <w:p>
      <w:pPr>
        <w:pStyle w:val="7"/>
        <w:spacing w:before="0" w:beforeAutospacing="0" w:after="0" w:afterAutospacing="0" w:line="360" w:lineRule="auto"/>
        <w:ind w:firstLine="420"/>
        <w:rPr>
          <w:sz w:val="21"/>
          <w:szCs w:val="21"/>
        </w:rPr>
      </w:pPr>
      <w:bookmarkStart w:id="159" w:name="chapter_level1_17_66_section_1"/>
      <w:bookmarkEnd w:id="159"/>
      <w:r>
        <w:rPr>
          <w:rStyle w:val="11"/>
          <w:rFonts w:hint="eastAsia"/>
          <w:sz w:val="21"/>
          <w:szCs w:val="21"/>
        </w:rPr>
        <w:t>一、基金会计政策</w:t>
      </w:r>
    </w:p>
    <w:p>
      <w:pPr>
        <w:pStyle w:val="7"/>
        <w:spacing w:before="0" w:beforeAutospacing="0" w:after="0" w:afterAutospacing="0" w:line="360" w:lineRule="auto"/>
        <w:ind w:firstLine="420"/>
        <w:rPr>
          <w:sz w:val="21"/>
          <w:szCs w:val="21"/>
        </w:rPr>
      </w:pPr>
      <w:r>
        <w:rPr>
          <w:rFonts w:hint="eastAsia"/>
          <w:sz w:val="21"/>
          <w:szCs w:val="21"/>
        </w:rPr>
        <w:t>1、基金管理人为本基金的基金会计责任方；</w:t>
      </w:r>
    </w:p>
    <w:p>
      <w:pPr>
        <w:pStyle w:val="7"/>
        <w:spacing w:before="0" w:beforeAutospacing="0" w:after="0" w:afterAutospacing="0" w:line="360" w:lineRule="auto"/>
        <w:ind w:firstLine="420"/>
        <w:rPr>
          <w:sz w:val="21"/>
          <w:szCs w:val="21"/>
        </w:rPr>
      </w:pPr>
      <w:r>
        <w:rPr>
          <w:rFonts w:hint="eastAsia"/>
          <w:sz w:val="21"/>
          <w:szCs w:val="21"/>
        </w:rPr>
        <w:t>2、基金的会计年度为公历年度的1月1日至12月31日；基金首次募集的会计年度按如下原则：如果《基金合同》生效少于2个月，可以并入下一个会计年度披露；</w:t>
      </w:r>
    </w:p>
    <w:p>
      <w:pPr>
        <w:pStyle w:val="7"/>
        <w:spacing w:before="0" w:beforeAutospacing="0" w:after="0" w:afterAutospacing="0" w:line="360" w:lineRule="auto"/>
        <w:ind w:firstLine="420"/>
        <w:rPr>
          <w:sz w:val="21"/>
          <w:szCs w:val="21"/>
        </w:rPr>
      </w:pPr>
      <w:r>
        <w:rPr>
          <w:rFonts w:hint="eastAsia"/>
          <w:sz w:val="21"/>
          <w:szCs w:val="21"/>
        </w:rPr>
        <w:t>3、基金核算以人民币为记账本位币，以人民币元为记账单位；</w:t>
      </w:r>
    </w:p>
    <w:p>
      <w:pPr>
        <w:pStyle w:val="7"/>
        <w:spacing w:before="0" w:beforeAutospacing="0" w:after="0" w:afterAutospacing="0" w:line="360" w:lineRule="auto"/>
        <w:ind w:firstLine="420"/>
        <w:rPr>
          <w:sz w:val="21"/>
          <w:szCs w:val="21"/>
        </w:rPr>
      </w:pPr>
      <w:r>
        <w:rPr>
          <w:rFonts w:hint="eastAsia"/>
          <w:sz w:val="21"/>
          <w:szCs w:val="21"/>
        </w:rPr>
        <w:t>4、会计制度执行国家有关会计制度；</w:t>
      </w:r>
    </w:p>
    <w:p>
      <w:pPr>
        <w:pStyle w:val="7"/>
        <w:spacing w:before="0" w:beforeAutospacing="0" w:after="0" w:afterAutospacing="0" w:line="360" w:lineRule="auto"/>
        <w:ind w:firstLine="420"/>
        <w:rPr>
          <w:sz w:val="21"/>
          <w:szCs w:val="21"/>
        </w:rPr>
      </w:pPr>
      <w:r>
        <w:rPr>
          <w:rFonts w:hint="eastAsia"/>
          <w:sz w:val="21"/>
          <w:szCs w:val="21"/>
        </w:rPr>
        <w:t>5、本基金独立建账、独立核算；</w:t>
      </w:r>
    </w:p>
    <w:p>
      <w:pPr>
        <w:pStyle w:val="7"/>
        <w:spacing w:before="0" w:beforeAutospacing="0" w:after="0" w:afterAutospacing="0" w:line="360" w:lineRule="auto"/>
        <w:ind w:firstLine="420"/>
        <w:rPr>
          <w:sz w:val="21"/>
          <w:szCs w:val="21"/>
        </w:rPr>
      </w:pPr>
      <w:r>
        <w:rPr>
          <w:rFonts w:hint="eastAsia"/>
          <w:sz w:val="21"/>
          <w:szCs w:val="21"/>
        </w:rPr>
        <w:t>6、基金管理人及基金托管人各自保留完整的会计账目、凭证并进行日常的会计核算，按照有关规定编制基金会计报表；</w:t>
      </w:r>
    </w:p>
    <w:p>
      <w:pPr>
        <w:pStyle w:val="7"/>
        <w:spacing w:before="0" w:beforeAutospacing="0" w:after="0" w:afterAutospacing="0" w:line="360" w:lineRule="auto"/>
        <w:ind w:firstLine="420"/>
        <w:rPr>
          <w:sz w:val="21"/>
          <w:szCs w:val="21"/>
        </w:rPr>
      </w:pPr>
      <w:r>
        <w:rPr>
          <w:rFonts w:hint="eastAsia"/>
          <w:sz w:val="21"/>
          <w:szCs w:val="21"/>
        </w:rPr>
        <w:t>7、基金托管人每月与基金管理人就基金的会计核算、报表编制等进行核对并以书面方式确认。</w:t>
      </w:r>
    </w:p>
    <w:p>
      <w:pPr>
        <w:pStyle w:val="7"/>
        <w:spacing w:before="0" w:beforeAutospacing="0" w:after="0" w:afterAutospacing="0" w:line="360" w:lineRule="auto"/>
        <w:ind w:firstLine="420"/>
        <w:rPr>
          <w:sz w:val="21"/>
          <w:szCs w:val="21"/>
        </w:rPr>
      </w:pPr>
      <w:r>
        <w:rPr>
          <w:rStyle w:val="11"/>
          <w:rFonts w:hint="eastAsia"/>
          <w:sz w:val="21"/>
          <w:szCs w:val="21"/>
        </w:rPr>
        <w:t>二、基金的年度审计</w:t>
      </w:r>
    </w:p>
    <w:p>
      <w:pPr>
        <w:pStyle w:val="7"/>
        <w:spacing w:before="0" w:beforeAutospacing="0" w:after="0" w:afterAutospacing="0" w:line="360" w:lineRule="auto"/>
        <w:ind w:firstLine="420"/>
        <w:rPr>
          <w:sz w:val="21"/>
          <w:szCs w:val="21"/>
        </w:rPr>
      </w:pPr>
      <w:r>
        <w:rPr>
          <w:rFonts w:hint="eastAsia"/>
          <w:sz w:val="21"/>
          <w:szCs w:val="21"/>
        </w:rPr>
        <w:t>1、基金管理人聘请与基金管理人、基金托管人相互独立的符合《证券法》规定的会计师事务所及其注册会计师对本基金的年度财务报表进行审计。</w:t>
      </w:r>
    </w:p>
    <w:p>
      <w:pPr>
        <w:pStyle w:val="7"/>
        <w:spacing w:before="0" w:beforeAutospacing="0" w:after="0" w:afterAutospacing="0" w:line="360" w:lineRule="auto"/>
        <w:ind w:firstLine="420"/>
        <w:rPr>
          <w:sz w:val="21"/>
          <w:szCs w:val="21"/>
        </w:rPr>
      </w:pPr>
      <w:r>
        <w:rPr>
          <w:rFonts w:hint="eastAsia"/>
          <w:sz w:val="21"/>
          <w:szCs w:val="21"/>
        </w:rPr>
        <w:t>2、会计师事务所更换经办注册会计师，应事先征得基金管理人同意。</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60" w:name="chapter_level1_17_66_section_1_end"/>
      <w:bookmarkEnd w:id="160"/>
      <w:r>
        <w:rPr>
          <w:rFonts w:hint="eastAsia"/>
          <w:sz w:val="21"/>
          <w:szCs w:val="21"/>
        </w:rPr>
        <w:t>务所需按照《信息披露办法》的有关规定在规定媒介公告。</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1" w:name="_Toc207947160"/>
      <w:bookmarkStart w:id="162" w:name="chapter_level1_18_67"/>
      <w:r>
        <w:rPr>
          <w:rFonts w:hint="eastAsia" w:ascii="宋体" w:hAnsi="宋体" w:eastAsia="宋体"/>
          <w:sz w:val="30"/>
        </w:rPr>
        <w:t>第十五部分  基金的信息披露</w:t>
      </w:r>
      <w:bookmarkEnd w:id="161"/>
      <w:bookmarkEnd w:id="162"/>
    </w:p>
    <w:p>
      <w:pPr>
        <w:pStyle w:val="7"/>
        <w:spacing w:before="0" w:beforeAutospacing="0" w:after="0" w:afterAutospacing="0" w:line="360" w:lineRule="auto"/>
        <w:ind w:firstLine="420"/>
        <w:rPr>
          <w:sz w:val="21"/>
          <w:szCs w:val="21"/>
        </w:rPr>
      </w:pPr>
      <w:bookmarkStart w:id="163" w:name="chapter_level1_18_67_section_1"/>
      <w:bookmarkEnd w:id="163"/>
      <w:r>
        <w:rPr>
          <w:rFonts w:hint="eastAsia"/>
          <w:sz w:val="21"/>
          <w:szCs w:val="21"/>
        </w:rPr>
        <w:t xml:space="preserve">一、本基金的信息披露应符合《基金法》、《运作办法》、《信息披露办法》、《流动性风险管理规定》、《基金合同》及其他有关规定。相关法律法规关于信息披露的规定发生变化时，本基金从其最新规定。 </w:t>
      </w:r>
    </w:p>
    <w:p>
      <w:pPr>
        <w:pStyle w:val="7"/>
        <w:spacing w:before="0" w:beforeAutospacing="0" w:after="0" w:afterAutospacing="0" w:line="360" w:lineRule="auto"/>
        <w:ind w:firstLine="420"/>
        <w:rPr>
          <w:sz w:val="21"/>
          <w:szCs w:val="21"/>
        </w:rPr>
      </w:pPr>
      <w:r>
        <w:rPr>
          <w:rFonts w:hint="eastAsia"/>
          <w:sz w:val="21"/>
          <w:szCs w:val="21"/>
        </w:rPr>
        <w:t xml:space="preserve">二、信息披露义务人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pPr>
        <w:pStyle w:val="7"/>
        <w:spacing w:before="0" w:beforeAutospacing="0" w:after="0" w:afterAutospacing="0" w:line="360" w:lineRule="auto"/>
        <w:ind w:firstLine="420"/>
        <w:rPr>
          <w:sz w:val="21"/>
          <w:szCs w:val="21"/>
        </w:rPr>
      </w:pPr>
      <w:r>
        <w:rPr>
          <w:rFonts w:hint="eastAsia"/>
          <w:sz w:val="21"/>
          <w:szCs w:val="21"/>
        </w:rPr>
        <w:t xml:space="preserve">三、本基金信息披露义务人承诺公开披露的基金信息，不得有下列行为： </w:t>
      </w:r>
    </w:p>
    <w:p>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pPr>
        <w:pStyle w:val="7"/>
        <w:spacing w:before="0" w:beforeAutospacing="0" w:after="0" w:afterAutospacing="0" w:line="360" w:lineRule="auto"/>
        <w:ind w:firstLine="420"/>
        <w:rPr>
          <w:sz w:val="21"/>
          <w:szCs w:val="21"/>
        </w:rPr>
      </w:pPr>
      <w:r>
        <w:rPr>
          <w:rFonts w:hint="eastAsia"/>
          <w:sz w:val="21"/>
          <w:szCs w:val="21"/>
        </w:rPr>
        <w:t xml:space="preserve">四、本基金公开披露的信息应采用中文文本。如同时采用外文文本的，基金信息披露义务人应保证不同文本的内容一致。不同文本之间发生歧义的，以中文文本为准。 </w:t>
      </w:r>
    </w:p>
    <w:p>
      <w:pPr>
        <w:pStyle w:val="7"/>
        <w:spacing w:before="0" w:beforeAutospacing="0" w:after="0" w:afterAutospacing="0" w:line="360" w:lineRule="auto"/>
        <w:ind w:firstLine="420"/>
        <w:rPr>
          <w:sz w:val="21"/>
          <w:szCs w:val="21"/>
        </w:rPr>
      </w:pPr>
      <w:r>
        <w:rPr>
          <w:rFonts w:hint="eastAsia"/>
          <w:sz w:val="21"/>
          <w:szCs w:val="21"/>
        </w:rPr>
        <w:t xml:space="preserve">本基金公开披露的信息采用阿拉伯数字；除特别说明外，货币单位为人民币元。 </w:t>
      </w:r>
    </w:p>
    <w:p>
      <w:pPr>
        <w:pStyle w:val="7"/>
        <w:spacing w:before="0" w:beforeAutospacing="0" w:after="0" w:afterAutospacing="0" w:line="360" w:lineRule="auto"/>
        <w:ind w:firstLine="420"/>
        <w:rPr>
          <w:sz w:val="21"/>
          <w:szCs w:val="21"/>
        </w:rPr>
      </w:pPr>
      <w:r>
        <w:rPr>
          <w:rFonts w:hint="eastAsia"/>
          <w:sz w:val="21"/>
          <w:szCs w:val="21"/>
        </w:rPr>
        <w:t xml:space="preserve">五、公开披露的基金信息 </w:t>
      </w:r>
    </w:p>
    <w:p>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 </w:t>
      </w:r>
    </w:p>
    <w:p>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应当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 </w:t>
      </w:r>
    </w:p>
    <w:p>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基金管理人应当在收到中国证监会确认文件的次日在规定报刊和规定网站上登载《基金合同》生效公告。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（四）基金净值信息 </w:t>
      </w:r>
    </w:p>
    <w:p>
      <w:pPr>
        <w:pStyle w:val="7"/>
        <w:spacing w:before="0" w:beforeAutospacing="0" w:after="0" w:afterAutospacing="0" w:line="360" w:lineRule="auto"/>
        <w:ind w:firstLine="420"/>
        <w:rPr>
          <w:sz w:val="21"/>
          <w:szCs w:val="21"/>
        </w:rPr>
      </w:pPr>
      <w:r>
        <w:rPr>
          <w:rFonts w:hint="eastAsia"/>
          <w:sz w:val="21"/>
          <w:szCs w:val="21"/>
        </w:rPr>
        <w:t xml:space="preserve">《基金合同》生效后，在封闭期内，基金管理人应当至少每周在规定网站披露一次基金份额净值和基金份额累计净值。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在开放期内，基金管理人应当在不晚于每个开放日的次日，通过规定网站、基金销售机构网站或营业网点披露开放日的基金份额净值和基金份额累计净值。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基金管理人应在不晚于半年度和年度最后一日的次日，在规定网站披露半年度和年度最后一日的基金份额净值和基金份额累计净值。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基金管理人应当在《基金合同》、招募说明书等信息披露文件上载明基金份额申购、赎回价格的计算方式及有关申购、赎回费率，并保证投资者能够在基金份额发售网点查阅或者复制前述信息资料。 </w:t>
      </w:r>
    </w:p>
    <w:p>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（六）基金定期报告，包括基金年度报告、基金中期报告和基金季度报告（含资产组合季度报告）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规定网站上，并将年度报告提示性公告登载在规定报刊上。基金年度报告中的财务会计报告应当经过符合《证券法》规定的会计师事务所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pPr>
        <w:pStyle w:val="7"/>
        <w:spacing w:before="0" w:beforeAutospacing="0" w:after="0" w:afterAutospacing="0" w:line="360" w:lineRule="auto"/>
        <w:ind w:firstLine="420"/>
        <w:rPr>
          <w:sz w:val="21"/>
          <w:szCs w:val="21"/>
        </w:rPr>
      </w:pPr>
      <w:r>
        <w:rPr>
          <w:rFonts w:hint="eastAsia"/>
          <w:sz w:val="21"/>
          <w:szCs w:val="21"/>
        </w:rPr>
        <w:t xml:space="preserve">（七）临时报告 </w:t>
      </w:r>
    </w:p>
    <w:p>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本基金发生重大事件，有关信息披露义务人应按规定编制临时报告书，并登载在规定报刊和规定网站上。 </w:t>
      </w:r>
    </w:p>
    <w:p>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pPr>
        <w:pStyle w:val="7"/>
        <w:spacing w:before="0" w:beforeAutospacing="0" w:after="0" w:afterAutospacing="0" w:line="360" w:lineRule="auto"/>
        <w:ind w:firstLine="420"/>
        <w:rPr>
          <w:sz w:val="21"/>
          <w:szCs w:val="21"/>
        </w:rPr>
      </w:pPr>
      <w:r>
        <w:rPr>
          <w:rFonts w:hint="eastAsia"/>
          <w:sz w:val="21"/>
          <w:szCs w:val="21"/>
        </w:rPr>
        <w:t xml:space="preserve">3、转换基金运作方式（不包括本基金封闭期与开放期运作方式的转变）、基金合并； </w:t>
      </w:r>
    </w:p>
    <w:p>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pPr>
        <w:pStyle w:val="7"/>
        <w:spacing w:before="0" w:beforeAutospacing="0" w:after="0" w:afterAutospacing="0" w:line="360" w:lineRule="auto"/>
        <w:ind w:firstLine="420"/>
        <w:rPr>
          <w:sz w:val="21"/>
          <w:szCs w:val="21"/>
        </w:rPr>
      </w:pPr>
      <w:r>
        <w:rPr>
          <w:rFonts w:hint="eastAsia"/>
          <w:sz w:val="21"/>
          <w:szCs w:val="21"/>
        </w:rPr>
        <w:t xml:space="preserve">11、涉及基金管理业务、基金财产、基金托管业务的诉讼或仲裁； </w:t>
      </w:r>
    </w:p>
    <w:p>
      <w:pPr>
        <w:pStyle w:val="7"/>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pPr>
        <w:pStyle w:val="7"/>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14、基金收益分配事项； </w:t>
      </w:r>
    </w:p>
    <w:p>
      <w:pPr>
        <w:pStyle w:val="7"/>
        <w:spacing w:before="0" w:beforeAutospacing="0" w:after="0" w:afterAutospacing="0" w:line="360" w:lineRule="auto"/>
        <w:ind w:firstLine="420"/>
        <w:rPr>
          <w:sz w:val="21"/>
          <w:szCs w:val="21"/>
        </w:rPr>
      </w:pPr>
      <w:r>
        <w:rPr>
          <w:rFonts w:hint="eastAsia"/>
          <w:sz w:val="21"/>
          <w:szCs w:val="21"/>
        </w:rPr>
        <w:t xml:space="preserve">15、管理费、托管费、申购费、赎回费等费用计提标准、计提方式和费率发生变更； </w:t>
      </w:r>
    </w:p>
    <w:p>
      <w:pPr>
        <w:pStyle w:val="7"/>
        <w:spacing w:before="0" w:beforeAutospacing="0" w:after="0" w:afterAutospacing="0" w:line="360" w:lineRule="auto"/>
        <w:ind w:firstLine="420"/>
        <w:rPr>
          <w:sz w:val="21"/>
          <w:szCs w:val="21"/>
        </w:rPr>
      </w:pPr>
      <w:r>
        <w:rPr>
          <w:rFonts w:hint="eastAsia"/>
          <w:sz w:val="21"/>
          <w:szCs w:val="21"/>
        </w:rPr>
        <w:t xml:space="preserve">16、基金份额净值计价错误达基金份额净值百分之零点五； </w:t>
      </w:r>
    </w:p>
    <w:p>
      <w:pPr>
        <w:pStyle w:val="7"/>
        <w:spacing w:before="0" w:beforeAutospacing="0" w:after="0" w:afterAutospacing="0" w:line="360" w:lineRule="auto"/>
        <w:ind w:firstLine="420"/>
        <w:rPr>
          <w:sz w:val="21"/>
          <w:szCs w:val="21"/>
        </w:rPr>
      </w:pPr>
      <w:r>
        <w:rPr>
          <w:rFonts w:hint="eastAsia"/>
          <w:sz w:val="21"/>
          <w:szCs w:val="21"/>
        </w:rPr>
        <w:t xml:space="preserve">17、本基金进入开放期； </w:t>
      </w:r>
    </w:p>
    <w:p>
      <w:pPr>
        <w:pStyle w:val="7"/>
        <w:spacing w:before="0" w:beforeAutospacing="0" w:after="0" w:afterAutospacing="0" w:line="360" w:lineRule="auto"/>
        <w:ind w:firstLine="420"/>
        <w:rPr>
          <w:sz w:val="21"/>
          <w:szCs w:val="21"/>
        </w:rPr>
      </w:pPr>
      <w:r>
        <w:rPr>
          <w:rFonts w:hint="eastAsia"/>
          <w:sz w:val="21"/>
          <w:szCs w:val="21"/>
        </w:rPr>
        <w:t xml:space="preserve">18、本基金在开放期内发生巨额赎回并延缓支付赎回款项；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19、本基金暂停接受申购、赎回申请或重新接受申购、赎回申请； </w:t>
      </w:r>
    </w:p>
    <w:p>
      <w:pPr>
        <w:pStyle w:val="7"/>
        <w:spacing w:before="0" w:beforeAutospacing="0" w:after="0" w:afterAutospacing="0" w:line="360" w:lineRule="auto"/>
        <w:ind w:firstLine="420"/>
        <w:rPr>
          <w:sz w:val="21"/>
          <w:szCs w:val="21"/>
        </w:rPr>
      </w:pPr>
      <w:r>
        <w:rPr>
          <w:rFonts w:hint="eastAsia"/>
          <w:sz w:val="21"/>
          <w:szCs w:val="21"/>
        </w:rPr>
        <w:t xml:space="preserve">20、发生涉及基金申购、赎回事项调整或潜在影响投资者赎回等重大事项时； </w:t>
      </w:r>
    </w:p>
    <w:p>
      <w:pPr>
        <w:pStyle w:val="7"/>
        <w:spacing w:before="0" w:beforeAutospacing="0" w:after="0" w:afterAutospacing="0" w:line="360" w:lineRule="auto"/>
        <w:ind w:firstLine="420"/>
        <w:rPr>
          <w:sz w:val="21"/>
          <w:szCs w:val="21"/>
        </w:rPr>
      </w:pPr>
      <w:r>
        <w:rPr>
          <w:rFonts w:hint="eastAsia"/>
          <w:sz w:val="21"/>
          <w:szCs w:val="21"/>
        </w:rPr>
        <w:t xml:space="preserve">21、基金管理人采用摆动定价机制进行估值； </w:t>
      </w:r>
    </w:p>
    <w:p>
      <w:pPr>
        <w:pStyle w:val="7"/>
        <w:spacing w:before="0" w:beforeAutospacing="0" w:after="0" w:afterAutospacing="0" w:line="360" w:lineRule="auto"/>
        <w:ind w:firstLine="420"/>
        <w:rPr>
          <w:sz w:val="21"/>
          <w:szCs w:val="21"/>
        </w:rPr>
      </w:pPr>
      <w:r>
        <w:rPr>
          <w:rFonts w:hint="eastAsia"/>
          <w:sz w:val="21"/>
          <w:szCs w:val="21"/>
        </w:rPr>
        <w:t xml:space="preserve">22、调整基金份额类别的设置； </w:t>
      </w:r>
    </w:p>
    <w:p>
      <w:pPr>
        <w:pStyle w:val="7"/>
        <w:spacing w:before="0" w:beforeAutospacing="0" w:after="0" w:afterAutospacing="0" w:line="360" w:lineRule="auto"/>
        <w:ind w:firstLine="420"/>
        <w:rPr>
          <w:sz w:val="21"/>
          <w:szCs w:val="21"/>
        </w:rPr>
      </w:pPr>
      <w:r>
        <w:rPr>
          <w:rFonts w:hint="eastAsia"/>
          <w:sz w:val="21"/>
          <w:szCs w:val="21"/>
        </w:rPr>
        <w:t xml:space="preserve">23、基金推出新业务或服务；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24、基金信息披露义务人认为可能对基金份额持有人权益或者基金份额的价格产生重大影响的其他事项或中国证监会规定的其他事项。 </w:t>
      </w:r>
    </w:p>
    <w:p>
      <w:pPr>
        <w:pStyle w:val="7"/>
        <w:spacing w:before="0" w:beforeAutospacing="0" w:after="0" w:afterAutospacing="0" w:line="360" w:lineRule="auto"/>
        <w:ind w:firstLine="420"/>
        <w:rPr>
          <w:sz w:val="21"/>
          <w:szCs w:val="21"/>
        </w:rPr>
      </w:pPr>
      <w:r>
        <w:rPr>
          <w:rFonts w:hint="eastAsia"/>
          <w:sz w:val="21"/>
          <w:szCs w:val="21"/>
        </w:rPr>
        <w:t xml:space="preserve">（八）澄清公告 </w:t>
      </w:r>
    </w:p>
    <w:p>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p>
    <w:p>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pPr>
        <w:pStyle w:val="7"/>
        <w:spacing w:before="0" w:beforeAutospacing="0" w:after="0" w:afterAutospacing="0" w:line="360" w:lineRule="auto"/>
        <w:ind w:firstLine="420"/>
        <w:rPr>
          <w:sz w:val="21"/>
          <w:szCs w:val="21"/>
        </w:rPr>
      </w:pPr>
      <w:r>
        <w:rPr>
          <w:rFonts w:hint="eastAsia"/>
          <w:sz w:val="21"/>
          <w:szCs w:val="21"/>
        </w:rPr>
        <w:t xml:space="preserve">（十）清算报告 </w:t>
      </w:r>
    </w:p>
    <w:p>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pPr>
        <w:pStyle w:val="7"/>
        <w:spacing w:before="0" w:beforeAutospacing="0" w:after="0" w:afterAutospacing="0" w:line="360" w:lineRule="auto"/>
        <w:ind w:firstLine="420"/>
        <w:rPr>
          <w:sz w:val="21"/>
          <w:szCs w:val="21"/>
        </w:rPr>
      </w:pPr>
      <w:r>
        <w:rPr>
          <w:rFonts w:hint="eastAsia"/>
          <w:sz w:val="21"/>
          <w:szCs w:val="21"/>
        </w:rPr>
        <w:t xml:space="preserve">（十一）投资资产支持证券的信息披露 </w:t>
      </w:r>
    </w:p>
    <w:p>
      <w:pPr>
        <w:pStyle w:val="7"/>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pPr>
        <w:pStyle w:val="7"/>
        <w:spacing w:before="0" w:beforeAutospacing="0" w:after="0" w:afterAutospacing="0" w:line="360" w:lineRule="auto"/>
        <w:ind w:firstLine="420"/>
        <w:rPr>
          <w:sz w:val="21"/>
          <w:szCs w:val="21"/>
        </w:rPr>
      </w:pPr>
      <w:r>
        <w:rPr>
          <w:rFonts w:hint="eastAsia"/>
          <w:sz w:val="21"/>
          <w:szCs w:val="21"/>
        </w:rPr>
        <w:t xml:space="preserve">（十二）投资国债期货的信息披露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国债期货交易情况，包括投资政策、持仓情况、损益情况、风险指标等，并充分揭示国债期货交易对基金总体风险的影响以及是否符合既定的投资政策和投资目标等。 </w:t>
      </w:r>
    </w:p>
    <w:p>
      <w:pPr>
        <w:pStyle w:val="7"/>
        <w:spacing w:before="0" w:beforeAutospacing="0" w:after="0" w:afterAutospacing="0" w:line="360" w:lineRule="auto"/>
        <w:ind w:firstLine="420"/>
        <w:rPr>
          <w:sz w:val="21"/>
          <w:szCs w:val="21"/>
        </w:rPr>
      </w:pPr>
      <w:r>
        <w:rPr>
          <w:rFonts w:hint="eastAsia"/>
          <w:sz w:val="21"/>
          <w:szCs w:val="21"/>
        </w:rPr>
        <w:t xml:space="preserve">（十三）投资信用衍生品的信息披露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基金管理人应当在定期报告及招募说明书（更新）等文件中详细披露信用衍生品的投资情况，包括投资策略、持仓情况等，并充分揭示投资信用衍生品对基金总体风险的影响以及是否符合既定的投资目标及策略。 </w:t>
      </w:r>
    </w:p>
    <w:p>
      <w:pPr>
        <w:pStyle w:val="7"/>
        <w:spacing w:before="0" w:beforeAutospacing="0" w:after="0" w:afterAutospacing="0" w:line="360" w:lineRule="auto"/>
        <w:ind w:firstLine="420"/>
        <w:rPr>
          <w:sz w:val="21"/>
          <w:szCs w:val="21"/>
        </w:rPr>
      </w:pPr>
      <w:r>
        <w:rPr>
          <w:rFonts w:hint="eastAsia"/>
          <w:sz w:val="21"/>
          <w:szCs w:val="21"/>
        </w:rPr>
        <w:t xml:space="preserve">（十四）发起资金认购份额报告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按照相关法律法规的规定，在基金合同生效公告、基金年度报告、中期报告、季度报告中分别披露基金管理人固有资金、基金管理人股东、基金管理人高级管理人员或基金经理等人员持有基金的份额、期限及期间的变动情况。 </w:t>
      </w:r>
    </w:p>
    <w:p>
      <w:pPr>
        <w:pStyle w:val="7"/>
        <w:spacing w:before="0" w:beforeAutospacing="0" w:after="0" w:afterAutospacing="0" w:line="360" w:lineRule="auto"/>
        <w:ind w:firstLine="420"/>
        <w:rPr>
          <w:sz w:val="21"/>
          <w:szCs w:val="21"/>
        </w:rPr>
      </w:pPr>
      <w:r>
        <w:rPr>
          <w:rFonts w:hint="eastAsia"/>
          <w:sz w:val="21"/>
          <w:szCs w:val="21"/>
        </w:rPr>
        <w:t xml:space="preserve">（十五）实施侧袋机制期间的信息披露 </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pPr>
        <w:pStyle w:val="7"/>
        <w:spacing w:before="0" w:beforeAutospacing="0" w:after="0" w:afterAutospacing="0" w:line="360" w:lineRule="auto"/>
        <w:ind w:firstLine="420"/>
        <w:rPr>
          <w:sz w:val="21"/>
          <w:szCs w:val="21"/>
        </w:rPr>
      </w:pPr>
      <w:r>
        <w:rPr>
          <w:rFonts w:hint="eastAsia"/>
          <w:sz w:val="21"/>
          <w:szCs w:val="21"/>
        </w:rPr>
        <w:t xml:space="preserve">（十六）中国证监会规定的其他信息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中充分披露基金的相关情况并揭示相关风险，说明本基金单一投资者持有的基金份额或者构成一致行动人的多个投资者持有的基金份额可达到或者超过50%，基金不向个人投资者公开发售，法律法规或监管机构另有规定的除外。 </w:t>
      </w:r>
    </w:p>
    <w:p>
      <w:pPr>
        <w:pStyle w:val="7"/>
        <w:spacing w:before="0" w:beforeAutospacing="0" w:after="0" w:afterAutospacing="0" w:line="360" w:lineRule="auto"/>
        <w:ind w:firstLine="420"/>
        <w:rPr>
          <w:sz w:val="21"/>
          <w:szCs w:val="21"/>
        </w:rPr>
      </w:pPr>
      <w:r>
        <w:rPr>
          <w:rFonts w:hint="eastAsia"/>
          <w:sz w:val="21"/>
          <w:szCs w:val="21"/>
        </w:rPr>
        <w:t xml:space="preserve">六、信息披露事务管理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基金管理人、基金托管人应当在规定报刊中选择一家报刊披露本基金信息。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pPr>
        <w:pStyle w:val="7"/>
        <w:spacing w:before="0" w:beforeAutospacing="0" w:after="0" w:afterAutospacing="0" w:line="360" w:lineRule="auto"/>
        <w:ind w:firstLine="420"/>
        <w:rPr>
          <w:sz w:val="21"/>
          <w:szCs w:val="21"/>
        </w:rPr>
      </w:pPr>
      <w:r>
        <w:rPr>
          <w:rFonts w:hint="eastAsia"/>
          <w:sz w:val="21"/>
          <w:szCs w:val="21"/>
        </w:rPr>
        <w:t xml:space="preserve">七、信息披露文件的存放与查阅 </w:t>
      </w:r>
    </w:p>
    <w:p>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依法必须披露的信息发布后，基金管理人、基金托管人应当按照相关法律法规规定将信息置备于公司住所，以供社会公众查阅、复制。 </w:t>
      </w:r>
    </w:p>
    <w:p>
      <w:pPr>
        <w:pStyle w:val="7"/>
        <w:spacing w:before="0" w:beforeAutospacing="0" w:after="0" w:afterAutospacing="0" w:line="360" w:lineRule="auto"/>
        <w:ind w:firstLine="420"/>
        <w:rPr>
          <w:sz w:val="21"/>
          <w:szCs w:val="21"/>
        </w:rPr>
      </w:pPr>
      <w:r>
        <w:rPr>
          <w:rFonts w:hint="eastAsia"/>
          <w:sz w:val="21"/>
          <w:szCs w:val="21"/>
        </w:rPr>
        <w:t xml:space="preserve">八、暂停或延迟信息披露的情形 </w:t>
      </w:r>
    </w:p>
    <w:p>
      <w:pPr>
        <w:pStyle w:val="7"/>
        <w:spacing w:before="0" w:beforeAutospacing="0" w:after="0" w:afterAutospacing="0" w:line="360" w:lineRule="auto"/>
        <w:ind w:firstLine="420"/>
        <w:rPr>
          <w:sz w:val="21"/>
          <w:szCs w:val="21"/>
        </w:rPr>
      </w:pPr>
      <w:r>
        <w:rPr>
          <w:rFonts w:hint="eastAsia"/>
          <w:sz w:val="21"/>
          <w:szCs w:val="21"/>
        </w:rPr>
        <w:t xml:space="preserve">1、不可抗力； </w:t>
      </w:r>
    </w:p>
    <w:p>
      <w:pPr>
        <w:pStyle w:val="7"/>
        <w:spacing w:before="0" w:beforeAutospacing="0" w:after="0" w:afterAutospacing="0" w:line="360" w:lineRule="auto"/>
        <w:ind w:firstLine="420"/>
        <w:rPr>
          <w:sz w:val="21"/>
          <w:szCs w:val="21"/>
        </w:rPr>
      </w:pPr>
      <w:r>
        <w:rPr>
          <w:rFonts w:hint="eastAsia"/>
          <w:sz w:val="21"/>
          <w:szCs w:val="21"/>
        </w:rPr>
        <w:t xml:space="preserve">2、基金投资所涉及的证券/期货交易所遇法定节假日或因其他原因暂停营业时； </w:t>
      </w:r>
    </w:p>
    <w:p>
      <w:pPr>
        <w:pStyle w:val="7"/>
        <w:spacing w:before="0" w:beforeAutospacing="0" w:after="0" w:afterAutospacing="0" w:line="360" w:lineRule="auto"/>
        <w:ind w:firstLine="420"/>
        <w:rPr>
          <w:sz w:val="21"/>
          <w:szCs w:val="21"/>
        </w:rPr>
      </w:pPr>
      <w:bookmarkStart w:id="164" w:name="chapter_level1_18_67_section_1_end"/>
      <w:bookmarkEnd w:id="164"/>
      <w:r>
        <w:rPr>
          <w:rFonts w:hint="eastAsia"/>
          <w:sz w:val="21"/>
          <w:szCs w:val="21"/>
        </w:rPr>
        <w:t xml:space="preserve">3、法律法规规定、中国证监会或基金合同认定的其他情形。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5" w:name="_Toc207947161"/>
      <w:bookmarkStart w:id="166" w:name="chapter_level1_19_74784"/>
      <w:r>
        <w:rPr>
          <w:rFonts w:hint="eastAsia" w:ascii="宋体" w:hAnsi="宋体" w:eastAsia="宋体"/>
          <w:sz w:val="30"/>
        </w:rPr>
        <w:t>第十六部分 侧袋机制</w:t>
      </w:r>
      <w:bookmarkEnd w:id="165"/>
      <w:bookmarkEnd w:id="166"/>
    </w:p>
    <w:p>
      <w:pPr>
        <w:pStyle w:val="7"/>
        <w:spacing w:before="0" w:beforeAutospacing="0" w:after="0" w:afterAutospacing="0" w:line="360" w:lineRule="auto"/>
        <w:ind w:firstLine="420"/>
        <w:rPr>
          <w:sz w:val="21"/>
          <w:szCs w:val="21"/>
        </w:rPr>
      </w:pPr>
      <w:bookmarkStart w:id="167" w:name="chapter_level1_19_74784_section_1"/>
      <w:bookmarkEnd w:id="167"/>
      <w:r>
        <w:rPr>
          <w:rStyle w:val="11"/>
          <w:rFonts w:hint="eastAsia"/>
          <w:sz w:val="21"/>
          <w:szCs w:val="21"/>
        </w:rPr>
        <w:t>一、侧袋机制的实施条件、实施程序和特定资产范围</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 </w:t>
      </w:r>
    </w:p>
    <w:p>
      <w:pPr>
        <w:pStyle w:val="7"/>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pPr>
        <w:pStyle w:val="7"/>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1、侧袋机制实施期间，基金管理人不办理侧袋账户的申购、赎回和转换。基金份额持有人申请申购、赎回或转换侧袋账户份额的，该申购、赎回或转换申请将被拒绝。 </w:t>
      </w:r>
    </w:p>
    <w:p>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pPr>
        <w:pStyle w:val="7"/>
        <w:spacing w:before="0" w:beforeAutospacing="0" w:after="0" w:afterAutospacing="0" w:line="360" w:lineRule="auto"/>
        <w:ind w:firstLine="420"/>
        <w:rPr>
          <w:sz w:val="21"/>
          <w:szCs w:val="21"/>
        </w:rPr>
      </w:pPr>
      <w:r>
        <w:rPr>
          <w:rFonts w:hint="eastAsia"/>
          <w:sz w:val="21"/>
          <w:szCs w:val="21"/>
        </w:rPr>
        <w:t xml:space="preserve">（四）基金的估值 </w:t>
      </w:r>
    </w:p>
    <w:p>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pPr>
        <w:pStyle w:val="7"/>
        <w:spacing w:before="0" w:beforeAutospacing="0" w:after="0" w:afterAutospacing="0" w:line="360" w:lineRule="auto"/>
        <w:ind w:firstLine="420"/>
        <w:rPr>
          <w:sz w:val="21"/>
          <w:szCs w:val="21"/>
        </w:rPr>
      </w:pPr>
      <w:r>
        <w:rPr>
          <w:rFonts w:hint="eastAsia"/>
          <w:sz w:val="21"/>
          <w:szCs w:val="21"/>
        </w:rPr>
        <w:t xml:space="preserve">（五）基金的费用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或监管机构对于侧袋账户资产托管费的收取另有规定的，以法律法规或监管机构最新要求为准。因启用侧袋机制产生的咨询、审计费用等由基金管理人承担。 </w:t>
      </w:r>
    </w:p>
    <w:p>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pPr>
        <w:pStyle w:val="7"/>
        <w:spacing w:before="0" w:beforeAutospacing="0" w:after="0" w:afterAutospacing="0" w:line="360" w:lineRule="auto"/>
        <w:ind w:firstLine="420"/>
        <w:rPr>
          <w:sz w:val="21"/>
          <w:szCs w:val="21"/>
        </w:rPr>
      </w:pPr>
      <w:r>
        <w:rPr>
          <w:rFonts w:hint="eastAsia"/>
          <w:sz w:val="21"/>
          <w:szCs w:val="21"/>
        </w:rPr>
        <w:t xml:space="preserve">1、基金净值信息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pPr>
        <w:pStyle w:val="7"/>
        <w:spacing w:before="0" w:beforeAutospacing="0" w:after="0" w:afterAutospacing="0" w:line="360" w:lineRule="auto"/>
        <w:ind w:firstLine="420"/>
        <w:rPr>
          <w:sz w:val="21"/>
          <w:szCs w:val="21"/>
        </w:rPr>
      </w:pPr>
      <w:r>
        <w:rPr>
          <w:rFonts w:hint="eastAsia"/>
          <w:sz w:val="21"/>
          <w:szCs w:val="21"/>
        </w:rPr>
        <w:t xml:space="preserve">2、定期报告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pPr>
        <w:pStyle w:val="7"/>
        <w:spacing w:before="0" w:beforeAutospacing="0" w:after="0" w:afterAutospacing="0" w:line="360" w:lineRule="auto"/>
        <w:ind w:firstLine="420"/>
        <w:rPr>
          <w:sz w:val="21"/>
          <w:szCs w:val="21"/>
        </w:rPr>
      </w:pPr>
      <w:r>
        <w:rPr>
          <w:rFonts w:hint="eastAsia"/>
          <w:sz w:val="21"/>
          <w:szCs w:val="21"/>
        </w:rPr>
        <w:t xml:space="preserve">3、临时报告 </w:t>
      </w:r>
    </w:p>
    <w:p>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pPr>
        <w:pStyle w:val="7"/>
        <w:spacing w:before="0" w:beforeAutospacing="0" w:after="0" w:afterAutospacing="0" w:line="360" w:lineRule="auto"/>
        <w:ind w:firstLine="420"/>
        <w:rPr>
          <w:sz w:val="21"/>
          <w:szCs w:val="21"/>
        </w:rPr>
      </w:pPr>
      <w:r>
        <w:rPr>
          <w:rFonts w:hint="eastAsia"/>
          <w:sz w:val="21"/>
          <w:szCs w:val="21"/>
        </w:rPr>
        <w:t xml:space="preserve">（九）侧袋的审计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pPr>
        <w:pStyle w:val="7"/>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pPr>
        <w:pStyle w:val="7"/>
        <w:spacing w:before="0" w:beforeAutospacing="0" w:after="0" w:afterAutospacing="0" w:line="360" w:lineRule="auto"/>
        <w:ind w:firstLine="420"/>
        <w:rPr>
          <w:sz w:val="21"/>
          <w:szCs w:val="21"/>
        </w:rPr>
      </w:pPr>
      <w:r>
        <w:rPr>
          <w:rStyle w:val="11"/>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68" w:name="chapter_level1_19_74784_section_1_end"/>
      <w:bookmarkEnd w:id="168"/>
      <w:r>
        <w:rPr>
          <w:rStyle w:val="11"/>
          <w:rFonts w:hint="eastAsia"/>
          <w:sz w:val="21"/>
          <w:szCs w:val="21"/>
        </w:rPr>
        <w:t>改、调整或补充，无需召开基金份额持有人大会审议。</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9" w:name="_Toc207947162"/>
      <w:bookmarkStart w:id="170" w:name="chapter_level1_20_68"/>
      <w:r>
        <w:rPr>
          <w:rFonts w:hint="eastAsia" w:ascii="宋体" w:hAnsi="宋体" w:eastAsia="宋体"/>
          <w:sz w:val="30"/>
        </w:rPr>
        <w:t>第十七部分  风险揭示</w:t>
      </w:r>
      <w:bookmarkEnd w:id="169"/>
      <w:bookmarkEnd w:id="170"/>
    </w:p>
    <w:p>
      <w:pPr>
        <w:pStyle w:val="7"/>
        <w:spacing w:before="0" w:beforeAutospacing="0" w:after="0" w:afterAutospacing="0" w:line="360" w:lineRule="auto"/>
        <w:ind w:firstLine="420"/>
        <w:rPr>
          <w:sz w:val="21"/>
          <w:szCs w:val="21"/>
        </w:rPr>
      </w:pPr>
      <w:bookmarkStart w:id="171" w:name="chapter_level1_20_68_section_1"/>
      <w:bookmarkEnd w:id="171"/>
      <w:r>
        <w:rPr>
          <w:rStyle w:val="11"/>
          <w:rFonts w:hint="eastAsia"/>
          <w:sz w:val="21"/>
          <w:szCs w:val="21"/>
        </w:rPr>
        <w:t>一、投资于本基金的主要风险</w:t>
      </w:r>
    </w:p>
    <w:p>
      <w:pPr>
        <w:pStyle w:val="7"/>
        <w:spacing w:before="0" w:beforeAutospacing="0" w:after="0" w:afterAutospacing="0" w:line="360" w:lineRule="auto"/>
        <w:ind w:firstLine="420"/>
        <w:rPr>
          <w:sz w:val="21"/>
          <w:szCs w:val="21"/>
        </w:rPr>
      </w:pPr>
      <w:r>
        <w:rPr>
          <w:rFonts w:hint="eastAsia"/>
          <w:sz w:val="21"/>
          <w:szCs w:val="21"/>
        </w:rPr>
        <w:t>投资于本基金的主要风险有：</w:t>
      </w:r>
    </w:p>
    <w:p>
      <w:pPr>
        <w:pStyle w:val="7"/>
        <w:spacing w:before="0" w:beforeAutospacing="0" w:after="0" w:afterAutospacing="0" w:line="360" w:lineRule="auto"/>
        <w:ind w:firstLine="420"/>
        <w:rPr>
          <w:sz w:val="21"/>
          <w:szCs w:val="21"/>
        </w:rPr>
      </w:pPr>
      <w:r>
        <w:rPr>
          <w:rFonts w:hint="eastAsia"/>
          <w:sz w:val="21"/>
          <w:szCs w:val="21"/>
        </w:rPr>
        <w:t>1、市场风险</w:t>
      </w:r>
    </w:p>
    <w:p>
      <w:pPr>
        <w:pStyle w:val="7"/>
        <w:spacing w:before="0" w:beforeAutospacing="0" w:after="0" w:afterAutospacing="0" w:line="360" w:lineRule="auto"/>
        <w:ind w:firstLine="420"/>
        <w:rPr>
          <w:sz w:val="21"/>
          <w:szCs w:val="21"/>
        </w:rPr>
      </w:pPr>
      <w:r>
        <w:rPr>
          <w:rFonts w:hint="eastAsia"/>
          <w:sz w:val="21"/>
          <w:szCs w:val="21"/>
        </w:rPr>
        <w:t>证券市场价格受到各种因素的影响，导致基金收益水平变化而产生风险，主要包括：</w:t>
      </w:r>
    </w:p>
    <w:p>
      <w:pPr>
        <w:pStyle w:val="7"/>
        <w:spacing w:before="0" w:beforeAutospacing="0" w:after="0" w:afterAutospacing="0" w:line="360" w:lineRule="auto"/>
        <w:ind w:firstLine="420"/>
        <w:rPr>
          <w:sz w:val="21"/>
          <w:szCs w:val="21"/>
        </w:rPr>
      </w:pPr>
      <w:r>
        <w:rPr>
          <w:rFonts w:hint="eastAsia"/>
          <w:sz w:val="21"/>
          <w:szCs w:val="21"/>
        </w:rPr>
        <w:t>（1）政策风险。因国家宏观政策（如货币政策、财政政策、行业政策、地区发展政策等）发生变化，导致市场价格波动而产生风险。</w:t>
      </w:r>
    </w:p>
    <w:p>
      <w:pPr>
        <w:pStyle w:val="7"/>
        <w:spacing w:before="0" w:beforeAutospacing="0" w:after="0" w:afterAutospacing="0" w:line="360" w:lineRule="auto"/>
        <w:ind w:firstLine="420"/>
        <w:rPr>
          <w:sz w:val="21"/>
          <w:szCs w:val="21"/>
        </w:rPr>
      </w:pPr>
      <w:r>
        <w:rPr>
          <w:rFonts w:hint="eastAsia"/>
          <w:sz w:val="21"/>
          <w:szCs w:val="21"/>
        </w:rPr>
        <w:t>（2）经济周期风险。随着经济运行的周期性变化，证券市场的收益水平也呈周期性变化。</w:t>
      </w:r>
    </w:p>
    <w:p>
      <w:pPr>
        <w:pStyle w:val="7"/>
        <w:spacing w:before="0" w:beforeAutospacing="0" w:after="0" w:afterAutospacing="0" w:line="360" w:lineRule="auto"/>
        <w:ind w:firstLine="420"/>
        <w:rPr>
          <w:sz w:val="21"/>
          <w:szCs w:val="21"/>
        </w:rPr>
      </w:pPr>
      <w:r>
        <w:rPr>
          <w:rFonts w:hint="eastAsia"/>
          <w:sz w:val="21"/>
          <w:szCs w:val="21"/>
        </w:rPr>
        <w:t>（3）利率风险。金融市场利率的波动会导致证券市场价格和收益率的变动。</w:t>
      </w:r>
    </w:p>
    <w:p>
      <w:pPr>
        <w:pStyle w:val="7"/>
        <w:spacing w:before="0" w:beforeAutospacing="0" w:after="0" w:afterAutospacing="0" w:line="360" w:lineRule="auto"/>
        <w:ind w:firstLine="420"/>
        <w:rPr>
          <w:sz w:val="21"/>
          <w:szCs w:val="21"/>
        </w:rPr>
      </w:pPr>
      <w:r>
        <w:rPr>
          <w:rFonts w:hint="eastAsia"/>
          <w:sz w:val="21"/>
          <w:szCs w:val="21"/>
        </w:rPr>
        <w:t>（4）通货膨胀风险。如果发生通货膨胀，基金投资于证券所获得的收益可能会被通货膨胀抵消，从而影响基金资产的保值增值。</w:t>
      </w:r>
    </w:p>
    <w:p>
      <w:pPr>
        <w:pStyle w:val="7"/>
        <w:spacing w:before="0" w:beforeAutospacing="0" w:after="0" w:afterAutospacing="0" w:line="360" w:lineRule="auto"/>
        <w:ind w:firstLine="420"/>
        <w:rPr>
          <w:sz w:val="21"/>
          <w:szCs w:val="21"/>
        </w:rPr>
      </w:pPr>
      <w:r>
        <w:rPr>
          <w:rFonts w:hint="eastAsia"/>
          <w:sz w:val="21"/>
          <w:szCs w:val="21"/>
        </w:rPr>
        <w:t>（5）再投资风险。再投资风险反映了利率下降对固定收益证券利息收入再投资收益的影响，这与利率上升所带来的价格风险（即利率风险）互为消长。</w:t>
      </w:r>
    </w:p>
    <w:p>
      <w:pPr>
        <w:pStyle w:val="7"/>
        <w:spacing w:before="0" w:beforeAutospacing="0" w:after="0" w:afterAutospacing="0" w:line="360" w:lineRule="auto"/>
        <w:ind w:firstLine="420"/>
        <w:rPr>
          <w:sz w:val="21"/>
          <w:szCs w:val="21"/>
        </w:rPr>
      </w:pPr>
      <w:r>
        <w:rPr>
          <w:rFonts w:hint="eastAsia"/>
          <w:sz w:val="21"/>
          <w:szCs w:val="21"/>
        </w:rPr>
        <w:t>（6）杠杆风险。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w:t>
      </w:r>
    </w:p>
    <w:p>
      <w:pPr>
        <w:pStyle w:val="7"/>
        <w:spacing w:before="0" w:beforeAutospacing="0" w:after="0" w:afterAutospacing="0" w:line="360" w:lineRule="auto"/>
        <w:ind w:firstLine="420"/>
        <w:rPr>
          <w:sz w:val="21"/>
          <w:szCs w:val="21"/>
        </w:rPr>
      </w:pPr>
      <w:r>
        <w:rPr>
          <w:rFonts w:hint="eastAsia"/>
          <w:sz w:val="21"/>
          <w:szCs w:val="21"/>
        </w:rPr>
        <w:t>2、信用风险</w:t>
      </w:r>
    </w:p>
    <w:p>
      <w:pPr>
        <w:pStyle w:val="7"/>
        <w:spacing w:before="0" w:beforeAutospacing="0" w:after="0" w:afterAutospacing="0" w:line="360" w:lineRule="auto"/>
        <w:ind w:firstLine="420"/>
        <w:rPr>
          <w:sz w:val="21"/>
          <w:szCs w:val="21"/>
        </w:rPr>
      </w:pPr>
      <w:r>
        <w:rPr>
          <w:rFonts w:hint="eastAsia"/>
          <w:sz w:val="21"/>
          <w:szCs w:val="21"/>
        </w:rPr>
        <w:t>信用风险主要指债券、资产支持证券等信用证券发行主体信用状况恶化，导致信用评级下降甚至到期不能履行合约进行兑付的风险，另外，信用风险也包括证券交易对手因违约而产生的证券交割风险。</w:t>
      </w:r>
    </w:p>
    <w:p>
      <w:pPr>
        <w:pStyle w:val="7"/>
        <w:spacing w:before="0" w:beforeAutospacing="0" w:after="0" w:afterAutospacing="0" w:line="360" w:lineRule="auto"/>
        <w:ind w:firstLine="420"/>
        <w:rPr>
          <w:sz w:val="21"/>
          <w:szCs w:val="21"/>
        </w:rPr>
      </w:pPr>
      <w:r>
        <w:rPr>
          <w:rFonts w:hint="eastAsia"/>
          <w:sz w:val="21"/>
          <w:szCs w:val="21"/>
        </w:rPr>
        <w:t>3、流动性风险</w:t>
      </w:r>
    </w:p>
    <w:p>
      <w:pPr>
        <w:pStyle w:val="7"/>
        <w:spacing w:before="0" w:beforeAutospacing="0" w:after="0" w:afterAutospacing="0" w:line="360" w:lineRule="auto"/>
        <w:ind w:firstLine="420"/>
        <w:rPr>
          <w:sz w:val="21"/>
          <w:szCs w:val="21"/>
        </w:rPr>
      </w:pPr>
      <w:r>
        <w:rPr>
          <w:rFonts w:hint="eastAsia"/>
          <w:sz w:val="21"/>
          <w:szCs w:val="21"/>
        </w:rPr>
        <w:t>流动性风险是指因证券市场交易量不足，导致证券不能迅速、低成本地变现的风险。流动性风险还包括基金出现巨额赎回，致使没有足够的现金应付赎回支付所引致的风险。</w:t>
      </w:r>
    </w:p>
    <w:p>
      <w:pPr>
        <w:pStyle w:val="7"/>
        <w:spacing w:before="0" w:beforeAutospacing="0" w:after="0" w:afterAutospacing="0" w:line="360" w:lineRule="auto"/>
        <w:ind w:firstLine="420"/>
        <w:rPr>
          <w:sz w:val="21"/>
          <w:szCs w:val="21"/>
        </w:rPr>
      </w:pPr>
      <w:r>
        <w:rPr>
          <w:rFonts w:hint="eastAsia"/>
          <w:sz w:val="21"/>
          <w:szCs w:val="21"/>
        </w:rPr>
        <w:t>（1）基金申购、赎回安排</w:t>
      </w:r>
    </w:p>
    <w:p>
      <w:pPr>
        <w:pStyle w:val="7"/>
        <w:spacing w:before="0" w:beforeAutospacing="0" w:after="0" w:afterAutospacing="0" w:line="360" w:lineRule="auto"/>
        <w:ind w:firstLine="420"/>
        <w:rPr>
          <w:sz w:val="21"/>
          <w:szCs w:val="21"/>
        </w:rPr>
      </w:pPr>
      <w:r>
        <w:rPr>
          <w:rFonts w:hint="eastAsia"/>
          <w:sz w:val="21"/>
          <w:szCs w:val="21"/>
        </w:rPr>
        <w:t>本基金在封闭期内，不办理申购、赎回业务，无流动性应对压力。在开放期内基于客户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w:t>
      </w:r>
    </w:p>
    <w:p>
      <w:pPr>
        <w:pStyle w:val="7"/>
        <w:spacing w:before="0" w:beforeAutospacing="0" w:after="0" w:afterAutospacing="0" w:line="360" w:lineRule="auto"/>
        <w:ind w:firstLine="420"/>
        <w:rPr>
          <w:sz w:val="21"/>
          <w:szCs w:val="21"/>
        </w:rPr>
      </w:pPr>
      <w:r>
        <w:rPr>
          <w:rFonts w:hint="eastAsia"/>
          <w:sz w:val="21"/>
          <w:szCs w:val="21"/>
        </w:rPr>
        <w:t>（2）拟投资市场、行业及资产的流动性风险评估</w:t>
      </w:r>
    </w:p>
    <w:p>
      <w:pPr>
        <w:pStyle w:val="7"/>
        <w:spacing w:before="0" w:beforeAutospacing="0" w:after="0" w:afterAutospacing="0" w:line="360" w:lineRule="auto"/>
        <w:ind w:firstLine="420"/>
        <w:rPr>
          <w:sz w:val="21"/>
          <w:szCs w:val="21"/>
        </w:rPr>
      </w:pPr>
      <w:r>
        <w:rPr>
          <w:rFonts w:hint="eastAsia"/>
          <w:sz w:val="21"/>
          <w:szCs w:val="21"/>
        </w:rPr>
        <w:t>本基金的投资市场主要为证券交易所、全国银行间债券市场等流动性较好的规范型交易场所，主要投资对象为具有良好流动性的金融工具（债券、资产支持证券、货币市场工具等），同时本基金基于分散投资的原则在行业和个券方面未有高集中度的特征，综合评估在正常市场环境下本基金的流动性风险适中。</w:t>
      </w:r>
    </w:p>
    <w:p>
      <w:pPr>
        <w:pStyle w:val="7"/>
        <w:spacing w:before="0" w:beforeAutospacing="0" w:after="0" w:afterAutospacing="0" w:line="360" w:lineRule="auto"/>
        <w:ind w:firstLine="420"/>
        <w:rPr>
          <w:sz w:val="21"/>
          <w:szCs w:val="21"/>
        </w:rPr>
      </w:pPr>
      <w:r>
        <w:rPr>
          <w:rFonts w:hint="eastAsia"/>
          <w:sz w:val="21"/>
          <w:szCs w:val="21"/>
        </w:rPr>
        <w:t>（3）巨额赎回情形下的流动性风险管理措施</w:t>
      </w:r>
    </w:p>
    <w:p>
      <w:pPr>
        <w:pStyle w:val="7"/>
        <w:spacing w:before="0" w:beforeAutospacing="0" w:after="0" w:afterAutospacing="0" w:line="360" w:lineRule="auto"/>
        <w:ind w:firstLine="420"/>
        <w:rPr>
          <w:sz w:val="21"/>
          <w:szCs w:val="21"/>
        </w:rPr>
      </w:pPr>
      <w:r>
        <w:rPr>
          <w:rFonts w:hint="eastAsia"/>
          <w:sz w:val="21"/>
          <w:szCs w:val="21"/>
        </w:rPr>
        <w:t>基金出现巨额赎回情形下，基金管理人可以根据基金当时的资产组合状况或巨额赎回份额占比情况决定全额赎回、延缓支付赎回款项或延期办理。同时，如本基金单个基金份额持有人在单个开放日申请赎回基金份额超过基金总份额一定比例以上的，基金管理人有权对其采取延期办理赎回申请或延缓支付赎回款项的措施。</w:t>
      </w:r>
    </w:p>
    <w:p>
      <w:pPr>
        <w:pStyle w:val="7"/>
        <w:spacing w:before="0" w:beforeAutospacing="0" w:after="0" w:afterAutospacing="0" w:line="360" w:lineRule="auto"/>
        <w:ind w:firstLine="420"/>
        <w:rPr>
          <w:sz w:val="21"/>
          <w:szCs w:val="21"/>
        </w:rPr>
      </w:pPr>
      <w:r>
        <w:rPr>
          <w:rFonts w:hint="eastAsia"/>
          <w:sz w:val="21"/>
          <w:szCs w:val="21"/>
        </w:rPr>
        <w:t>（4）实施备用的流动性风险管理工具的情形、程序及对投资者的潜在影响</w:t>
      </w:r>
    </w:p>
    <w:p>
      <w:pPr>
        <w:pStyle w:val="7"/>
        <w:spacing w:before="0" w:beforeAutospacing="0" w:after="0" w:afterAutospacing="0" w:line="360" w:lineRule="auto"/>
        <w:ind w:firstLine="420"/>
        <w:rPr>
          <w:sz w:val="21"/>
          <w:szCs w:val="21"/>
        </w:rPr>
      </w:pPr>
      <w:r>
        <w:rPr>
          <w:rFonts w:hint="eastAsia"/>
          <w:sz w:val="21"/>
          <w:szCs w:val="21"/>
        </w:rPr>
        <w:t>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摆动定价、收取短期赎回费、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w:t>
      </w:r>
    </w:p>
    <w:p>
      <w:pPr>
        <w:pStyle w:val="7"/>
        <w:spacing w:before="0" w:beforeAutospacing="0" w:after="0" w:afterAutospacing="0" w:line="360" w:lineRule="auto"/>
        <w:ind w:firstLine="420"/>
        <w:rPr>
          <w:sz w:val="21"/>
          <w:szCs w:val="21"/>
        </w:rPr>
      </w:pPr>
      <w:r>
        <w:rPr>
          <w:rFonts w:hint="eastAsia"/>
          <w:sz w:val="21"/>
          <w:szCs w:val="21"/>
        </w:rPr>
        <w:t>（5）启用侧袋机制的风险</w:t>
      </w:r>
    </w:p>
    <w:p>
      <w:pPr>
        <w:pStyle w:val="7"/>
        <w:spacing w:before="0" w:beforeAutospacing="0" w:after="0" w:afterAutospacing="0" w:line="360" w:lineRule="auto"/>
        <w:ind w:firstLine="420"/>
        <w:rPr>
          <w:sz w:val="21"/>
          <w:szCs w:val="21"/>
        </w:rPr>
      </w:pPr>
      <w:r>
        <w:rPr>
          <w:rFonts w:hint="eastAsia"/>
          <w:sz w:val="21"/>
          <w:szCs w:val="21"/>
        </w:rPr>
        <w:t>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w:t>
      </w:r>
    </w:p>
    <w:p>
      <w:pPr>
        <w:pStyle w:val="7"/>
        <w:spacing w:before="0" w:beforeAutospacing="0" w:after="0" w:afterAutospacing="0" w:line="360" w:lineRule="auto"/>
        <w:ind w:firstLine="420"/>
        <w:rPr>
          <w:sz w:val="21"/>
          <w:szCs w:val="21"/>
        </w:rPr>
      </w:pPr>
      <w:r>
        <w:rPr>
          <w:rFonts w:hint="eastAsia"/>
          <w:sz w:val="21"/>
          <w:szCs w:val="21"/>
        </w:rPr>
        <w:t>4、操作风险</w:t>
      </w:r>
    </w:p>
    <w:p>
      <w:pPr>
        <w:pStyle w:val="7"/>
        <w:spacing w:before="0" w:beforeAutospacing="0" w:after="0" w:afterAutospacing="0" w:line="360" w:lineRule="auto"/>
        <w:ind w:firstLine="420"/>
        <w:rPr>
          <w:sz w:val="21"/>
          <w:szCs w:val="21"/>
        </w:rPr>
      </w:pPr>
      <w:r>
        <w:rPr>
          <w:rFonts w:hint="eastAsia"/>
          <w:sz w:val="21"/>
          <w:szCs w:val="21"/>
        </w:rPr>
        <w:t>操作风险是指基金运作过程中，因内部控制存在缺陷或者人为因素造成操作失误或违反操作规程等引致的风险，例如，越权违规交易、会计部门欺诈、交易错误、IT系统故障等风险。</w:t>
      </w:r>
    </w:p>
    <w:p>
      <w:pPr>
        <w:pStyle w:val="7"/>
        <w:spacing w:before="0" w:beforeAutospacing="0" w:after="0" w:afterAutospacing="0" w:line="360" w:lineRule="auto"/>
        <w:ind w:firstLine="420"/>
        <w:rPr>
          <w:sz w:val="21"/>
          <w:szCs w:val="21"/>
        </w:rPr>
      </w:pPr>
      <w:r>
        <w:rPr>
          <w:rFonts w:hint="eastAsia"/>
          <w:sz w:val="21"/>
          <w:szCs w:val="21"/>
        </w:rPr>
        <w:t>5、管理风险</w:t>
      </w:r>
    </w:p>
    <w:p>
      <w:pPr>
        <w:pStyle w:val="7"/>
        <w:spacing w:before="0" w:beforeAutospacing="0" w:after="0" w:afterAutospacing="0" w:line="360" w:lineRule="auto"/>
        <w:ind w:firstLine="420"/>
        <w:rPr>
          <w:sz w:val="21"/>
          <w:szCs w:val="21"/>
        </w:rPr>
      </w:pPr>
      <w:r>
        <w:rPr>
          <w:rFonts w:hint="eastAsia"/>
          <w:sz w:val="21"/>
          <w:szCs w:val="21"/>
        </w:rPr>
        <w:t>在基金管理运作过程中，基金管理人的研究水平、投资管理水平直接影响基金收益水平，如果基金管理人对经济形势和证券市场判断不准确、获取的信息不充分、投资操作出现失误等，都会影响基金的收益水平。</w:t>
      </w:r>
    </w:p>
    <w:p>
      <w:pPr>
        <w:pStyle w:val="7"/>
        <w:spacing w:before="0" w:beforeAutospacing="0" w:after="0" w:afterAutospacing="0" w:line="360" w:lineRule="auto"/>
        <w:ind w:firstLine="420"/>
        <w:rPr>
          <w:sz w:val="21"/>
          <w:szCs w:val="21"/>
        </w:rPr>
      </w:pPr>
      <w:r>
        <w:rPr>
          <w:rFonts w:hint="eastAsia"/>
          <w:sz w:val="21"/>
          <w:szCs w:val="21"/>
        </w:rPr>
        <w:t>6、合规风险</w:t>
      </w:r>
    </w:p>
    <w:p>
      <w:pPr>
        <w:pStyle w:val="7"/>
        <w:spacing w:before="0" w:beforeAutospacing="0" w:after="0" w:afterAutospacing="0" w:line="360" w:lineRule="auto"/>
        <w:ind w:firstLine="420"/>
        <w:rPr>
          <w:sz w:val="21"/>
          <w:szCs w:val="21"/>
        </w:rPr>
      </w:pPr>
      <w:r>
        <w:rPr>
          <w:rFonts w:hint="eastAsia"/>
          <w:sz w:val="21"/>
          <w:szCs w:val="21"/>
        </w:rPr>
        <w:t>合规风险指基金管理或运作过程中，违反国家法律、法规的规定，或者违反《基金合同》有关规定的风险。</w:t>
      </w:r>
    </w:p>
    <w:p>
      <w:pPr>
        <w:pStyle w:val="7"/>
        <w:spacing w:before="0" w:beforeAutospacing="0" w:after="0" w:afterAutospacing="0" w:line="360" w:lineRule="auto"/>
        <w:ind w:firstLine="420"/>
        <w:rPr>
          <w:sz w:val="21"/>
          <w:szCs w:val="21"/>
        </w:rPr>
      </w:pPr>
      <w:r>
        <w:rPr>
          <w:rFonts w:hint="eastAsia"/>
          <w:sz w:val="21"/>
          <w:szCs w:val="21"/>
        </w:rPr>
        <w:t>7、本基金的特有风险</w:t>
      </w:r>
    </w:p>
    <w:p>
      <w:pPr>
        <w:pStyle w:val="7"/>
        <w:spacing w:before="0" w:beforeAutospacing="0" w:after="0" w:afterAutospacing="0" w:line="360" w:lineRule="auto"/>
        <w:ind w:firstLine="420"/>
        <w:rPr>
          <w:sz w:val="21"/>
          <w:szCs w:val="21"/>
        </w:rPr>
      </w:pPr>
      <w:r>
        <w:rPr>
          <w:rFonts w:hint="eastAsia"/>
          <w:sz w:val="21"/>
          <w:szCs w:val="21"/>
        </w:rPr>
        <w:t>（1）资产支持证券（ABS）的风险</w:t>
      </w:r>
    </w:p>
    <w:p>
      <w:pPr>
        <w:pStyle w:val="7"/>
        <w:spacing w:before="0" w:beforeAutospacing="0" w:after="0" w:afterAutospacing="0" w:line="360" w:lineRule="auto"/>
        <w:ind w:firstLine="420"/>
        <w:rPr>
          <w:sz w:val="21"/>
          <w:szCs w:val="21"/>
        </w:rPr>
      </w:pPr>
      <w:r>
        <w:rPr>
          <w:rFonts w:hint="eastAsia"/>
          <w:sz w:val="21"/>
          <w:szCs w:val="21"/>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pPr>
        <w:pStyle w:val="7"/>
        <w:spacing w:before="0" w:beforeAutospacing="0" w:after="0" w:afterAutospacing="0" w:line="360" w:lineRule="auto"/>
        <w:ind w:firstLine="420"/>
        <w:rPr>
          <w:sz w:val="21"/>
          <w:szCs w:val="21"/>
        </w:rPr>
      </w:pPr>
      <w:r>
        <w:rPr>
          <w:rFonts w:hint="eastAsia"/>
          <w:sz w:val="21"/>
          <w:szCs w:val="21"/>
        </w:rPr>
        <w:t>（2）国债期货等金融衍生品投资风险</w:t>
      </w:r>
    </w:p>
    <w:p>
      <w:pPr>
        <w:pStyle w:val="7"/>
        <w:spacing w:before="0" w:beforeAutospacing="0" w:after="0" w:afterAutospacing="0" w:line="360" w:lineRule="auto"/>
        <w:ind w:firstLine="420"/>
        <w:rPr>
          <w:sz w:val="21"/>
          <w:szCs w:val="21"/>
        </w:rPr>
      </w:pPr>
      <w:r>
        <w:rPr>
          <w:rFonts w:hint="eastAsia"/>
          <w:sz w:val="21"/>
          <w:szCs w:val="21"/>
        </w:rPr>
        <w:t>金融衍生品是一种金融合约，其价值取决于一种或多种基础资产或指数，其评价主要源自于对挂钩资产的价格与价格波动的预期。投资于衍生品需承受市场风险、信用风险、流动性风险、操作风险和法律风险等。由于衍生品通常具有杠杆效应，价格波动比标的工具更为剧烈，有时候比投资标的资产要承担更高的风险。并且由于衍生品定价相当复杂，不适当的估值有可能使基金资产面临损失风险。</w:t>
      </w:r>
    </w:p>
    <w:p>
      <w:pPr>
        <w:pStyle w:val="7"/>
        <w:spacing w:before="0" w:beforeAutospacing="0" w:after="0" w:afterAutospacing="0" w:line="360" w:lineRule="auto"/>
        <w:ind w:firstLine="420"/>
        <w:rPr>
          <w:sz w:val="21"/>
          <w:szCs w:val="21"/>
        </w:rPr>
      </w:pPr>
      <w:r>
        <w:rPr>
          <w:rFonts w:hint="eastAsia"/>
          <w:sz w:val="21"/>
          <w:szCs w:val="21"/>
        </w:rPr>
        <w:t>本基金投资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pPr>
        <w:pStyle w:val="7"/>
        <w:spacing w:before="0" w:beforeAutospacing="0" w:after="0" w:afterAutospacing="0" w:line="360" w:lineRule="auto"/>
        <w:ind w:firstLine="420"/>
        <w:rPr>
          <w:sz w:val="21"/>
          <w:szCs w:val="21"/>
        </w:rPr>
      </w:pPr>
      <w:r>
        <w:rPr>
          <w:rFonts w:hint="eastAsia"/>
          <w:sz w:val="21"/>
          <w:szCs w:val="21"/>
        </w:rPr>
        <w:t>（3）投资信用衍生品的风险</w:t>
      </w:r>
    </w:p>
    <w:p>
      <w:pPr>
        <w:pStyle w:val="7"/>
        <w:spacing w:before="0" w:beforeAutospacing="0" w:after="0" w:afterAutospacing="0" w:line="360" w:lineRule="auto"/>
        <w:ind w:firstLine="420"/>
        <w:rPr>
          <w:sz w:val="21"/>
          <w:szCs w:val="21"/>
        </w:rPr>
      </w:pPr>
      <w:r>
        <w:rPr>
          <w:rFonts w:hint="eastAsia"/>
          <w:sz w:val="21"/>
          <w:szCs w:val="21"/>
        </w:rPr>
        <w:t>为对冲信用风险，本基金可能投资信用衍生品，信用衍生品的投资可能面临流动性风险、偿付风险以及价格波动风险。</w:t>
      </w:r>
    </w:p>
    <w:p>
      <w:pPr>
        <w:pStyle w:val="7"/>
        <w:spacing w:before="0" w:beforeAutospacing="0" w:after="0" w:afterAutospacing="0" w:line="360" w:lineRule="auto"/>
        <w:ind w:firstLine="420"/>
        <w:rPr>
          <w:sz w:val="21"/>
          <w:szCs w:val="21"/>
        </w:rPr>
      </w:pPr>
      <w:r>
        <w:rPr>
          <w:rFonts w:hint="eastAsia"/>
          <w:sz w:val="21"/>
          <w:szCs w:val="21"/>
        </w:rPr>
        <w:t>1）流动性风险</w:t>
      </w:r>
    </w:p>
    <w:p>
      <w:pPr>
        <w:pStyle w:val="7"/>
        <w:spacing w:before="0" w:beforeAutospacing="0" w:after="0" w:afterAutospacing="0" w:line="360" w:lineRule="auto"/>
        <w:ind w:firstLine="420"/>
        <w:rPr>
          <w:sz w:val="21"/>
          <w:szCs w:val="21"/>
        </w:rPr>
      </w:pPr>
      <w:r>
        <w:rPr>
          <w:rFonts w:hint="eastAsia"/>
          <w:sz w:val="21"/>
          <w:szCs w:val="21"/>
        </w:rPr>
        <w:t>信用衍生品在交易转让过程中因无法找到交易对手或交易对手较少，导致难以将信用衍生品以合理价格变现的风险。</w:t>
      </w:r>
    </w:p>
    <w:p>
      <w:pPr>
        <w:pStyle w:val="7"/>
        <w:spacing w:before="0" w:beforeAutospacing="0" w:after="0" w:afterAutospacing="0" w:line="360" w:lineRule="auto"/>
        <w:ind w:firstLine="420"/>
        <w:rPr>
          <w:sz w:val="21"/>
          <w:szCs w:val="21"/>
        </w:rPr>
      </w:pPr>
      <w:r>
        <w:rPr>
          <w:rFonts w:hint="eastAsia"/>
          <w:sz w:val="21"/>
          <w:szCs w:val="21"/>
        </w:rPr>
        <w:t>2）偿付风险</w:t>
      </w:r>
    </w:p>
    <w:p>
      <w:pPr>
        <w:pStyle w:val="7"/>
        <w:spacing w:before="0" w:beforeAutospacing="0" w:after="0" w:afterAutospacing="0" w:line="360" w:lineRule="auto"/>
        <w:ind w:firstLine="420"/>
        <w:rPr>
          <w:sz w:val="21"/>
          <w:szCs w:val="21"/>
        </w:rPr>
      </w:pPr>
      <w:r>
        <w:rPr>
          <w:rFonts w:hint="eastAsia"/>
          <w:sz w:val="21"/>
          <w:szCs w:val="21"/>
        </w:rPr>
        <w:t>在信用衍生品存续期间，由于不可控制的市场及环境变化，创设机构可能出现经营状况不佳或创设机构的现金流与预期发生一定偏差，从而影响信用衍生品结算的风险。</w:t>
      </w:r>
    </w:p>
    <w:p>
      <w:pPr>
        <w:pStyle w:val="7"/>
        <w:spacing w:before="0" w:beforeAutospacing="0" w:after="0" w:afterAutospacing="0" w:line="360" w:lineRule="auto"/>
        <w:ind w:firstLine="420"/>
        <w:rPr>
          <w:sz w:val="21"/>
          <w:szCs w:val="21"/>
        </w:rPr>
      </w:pPr>
      <w:r>
        <w:rPr>
          <w:rFonts w:hint="eastAsia"/>
          <w:sz w:val="21"/>
          <w:szCs w:val="21"/>
        </w:rPr>
        <w:t>3）价格波动风险</w:t>
      </w:r>
    </w:p>
    <w:p>
      <w:pPr>
        <w:pStyle w:val="7"/>
        <w:spacing w:before="0" w:beforeAutospacing="0" w:after="0" w:afterAutospacing="0" w:line="360" w:lineRule="auto"/>
        <w:ind w:firstLine="420"/>
        <w:rPr>
          <w:sz w:val="21"/>
          <w:szCs w:val="21"/>
        </w:rPr>
      </w:pPr>
      <w:r>
        <w:rPr>
          <w:rFonts w:hint="eastAsia"/>
          <w:sz w:val="21"/>
          <w:szCs w:val="21"/>
        </w:rPr>
        <w:t>由于创设机构或所受保护的债券主体经营状况或利率环境发生变化，引起信用衍生品价格出现波动的风险。</w:t>
      </w:r>
    </w:p>
    <w:p>
      <w:pPr>
        <w:pStyle w:val="7"/>
        <w:spacing w:before="0" w:beforeAutospacing="0" w:after="0" w:afterAutospacing="0" w:line="360" w:lineRule="auto"/>
        <w:ind w:firstLine="420"/>
        <w:rPr>
          <w:sz w:val="21"/>
          <w:szCs w:val="21"/>
        </w:rPr>
      </w:pPr>
      <w:r>
        <w:rPr>
          <w:rFonts w:hint="eastAsia"/>
          <w:sz w:val="21"/>
          <w:szCs w:val="21"/>
        </w:rPr>
        <w:t>（4）本基金以定期开放的方式运作，即采用封闭运作和开放运作交替循环的方式。自基金合同生效日起（包括基金合同生效日）或者每一个开放期结束之日次日起（包括该日）一年的期间内，本基金采取封闭运作模式，基金份额持有人不能赎回基金份额，因此，若基金份额持有人错过某一开放期而未能赎回，其份额可能将转入下一封闭期，至下一开放期方可赎回。</w:t>
      </w:r>
    </w:p>
    <w:p>
      <w:pPr>
        <w:pStyle w:val="7"/>
        <w:spacing w:before="0" w:beforeAutospacing="0" w:after="0" w:afterAutospacing="0" w:line="360" w:lineRule="auto"/>
        <w:ind w:firstLine="420"/>
        <w:rPr>
          <w:sz w:val="21"/>
          <w:szCs w:val="21"/>
        </w:rPr>
      </w:pPr>
      <w:r>
        <w:rPr>
          <w:rFonts w:hint="eastAsia"/>
          <w:sz w:val="21"/>
          <w:szCs w:val="21"/>
        </w:rPr>
        <w:t>本基金开放期内单个开放日出现巨额赎回的，基金管理人对符合法律法规及《基金合同》约定的赎回申请应于当日全部予以接受和确认。基金经理会对可能出现的巨额赎回情况进行充分准备并做好流动性管理，但当基金在单个开放日出现巨额赎回被全部确认时，申请赎回的基金份额持有人仍有可能存在延缓支付赎回款项的风险，同时，如本基金单个基金份额持有人在单个开放日申请赎回基金份额超过基金总份额一定比例以上的，基金管理人有权对其采取延期办理赎回申请的措施，未赎回的基金份额持有人仍有可能承担短期内变现而带来的冲击成本对基金净资产产生的负面影响。</w:t>
      </w:r>
    </w:p>
    <w:p>
      <w:pPr>
        <w:pStyle w:val="7"/>
        <w:spacing w:before="0" w:beforeAutospacing="0" w:after="0" w:afterAutospacing="0" w:line="360" w:lineRule="auto"/>
        <w:ind w:firstLine="420"/>
        <w:rPr>
          <w:sz w:val="21"/>
          <w:szCs w:val="21"/>
        </w:rPr>
      </w:pPr>
      <w:r>
        <w:rPr>
          <w:rFonts w:hint="eastAsia"/>
          <w:sz w:val="21"/>
          <w:szCs w:val="21"/>
        </w:rPr>
        <w:t>（5）本基金为定制基金，采取发起式基金形式，单一投资者持有的基金份额或者构成一致行动人的多个投资者持有的基金份额可达到或者超过50%，本基金不得向个人投资者公开发售。法律法规或监管机构另有规定的除外。本基金特定机构投资者赎回可能会导致现有的中小基金份额持有人造成损失。</w:t>
      </w:r>
    </w:p>
    <w:p>
      <w:pPr>
        <w:pStyle w:val="7"/>
        <w:spacing w:before="0" w:beforeAutospacing="0" w:after="0" w:afterAutospacing="0" w:line="360" w:lineRule="auto"/>
        <w:ind w:firstLine="420"/>
        <w:rPr>
          <w:sz w:val="21"/>
          <w:szCs w:val="21"/>
        </w:rPr>
      </w:pPr>
      <w:r>
        <w:rPr>
          <w:rFonts w:hint="eastAsia"/>
          <w:sz w:val="21"/>
          <w:szCs w:val="21"/>
        </w:rPr>
        <w:t>（6）自动清盘的风险</w:t>
      </w:r>
    </w:p>
    <w:p>
      <w:pPr>
        <w:pStyle w:val="7"/>
        <w:spacing w:before="0" w:beforeAutospacing="0" w:after="0" w:afterAutospacing="0" w:line="360" w:lineRule="auto"/>
        <w:ind w:firstLine="420"/>
        <w:rPr>
          <w:sz w:val="21"/>
          <w:szCs w:val="21"/>
        </w:rPr>
      </w:pPr>
      <w:r>
        <w:rPr>
          <w:rFonts w:hint="eastAsia"/>
          <w:sz w:val="21"/>
          <w:szCs w:val="21"/>
        </w:rPr>
        <w:t>本基金为发起式基金，本基金的基金合同生效之日起三年后的对应日，若基金资产净值低于两亿元的，本基金将根据基金合同的约定进行基金财产清算并终止，无需召开基金份额持有人大会审议，且不得通过召开基金份额持有人大会的方式延续。故本基金面临自动清盘的风险。</w:t>
      </w:r>
    </w:p>
    <w:p>
      <w:pPr>
        <w:pStyle w:val="7"/>
        <w:spacing w:before="0" w:beforeAutospacing="0" w:after="0" w:afterAutospacing="0" w:line="360" w:lineRule="auto"/>
        <w:ind w:firstLine="420"/>
        <w:rPr>
          <w:sz w:val="21"/>
          <w:szCs w:val="21"/>
        </w:rPr>
      </w:pPr>
      <w:r>
        <w:rPr>
          <w:rFonts w:hint="eastAsia"/>
          <w:sz w:val="21"/>
          <w:szCs w:val="21"/>
        </w:rPr>
        <w:t>（7）本基金可投资于可转换债券（含分离交易可转债）、可交换债券，其风险高于不投资于可转换债券（含分离交易可转债）、可交换债券的纯债型基金。本基金投资可转换债券及可交换债券的比例合计不高于基金资产的20%。</w:t>
      </w:r>
    </w:p>
    <w:p>
      <w:pPr>
        <w:pStyle w:val="7"/>
        <w:spacing w:before="0" w:beforeAutospacing="0" w:after="0" w:afterAutospacing="0" w:line="360" w:lineRule="auto"/>
        <w:ind w:firstLine="420"/>
        <w:rPr>
          <w:sz w:val="21"/>
          <w:szCs w:val="21"/>
        </w:rPr>
      </w:pPr>
      <w:r>
        <w:rPr>
          <w:rFonts w:hint="eastAsia"/>
          <w:sz w:val="21"/>
          <w:szCs w:val="21"/>
        </w:rPr>
        <w:t>8、操作或技术风险</w:t>
      </w:r>
    </w:p>
    <w:p>
      <w:pPr>
        <w:pStyle w:val="7"/>
        <w:spacing w:before="0" w:beforeAutospacing="0" w:after="0" w:afterAutospacing="0" w:line="360" w:lineRule="auto"/>
        <w:ind w:firstLine="420"/>
        <w:rPr>
          <w:sz w:val="21"/>
          <w:szCs w:val="21"/>
        </w:rPr>
      </w:pPr>
      <w:r>
        <w:rPr>
          <w:rFonts w:hint="eastAsia"/>
          <w:sz w:val="21"/>
          <w:szCs w:val="21"/>
        </w:rPr>
        <w:t>（1）技术风险：在定向资产管理业务的日常交易中，可能因为技术系统的故障或者差错而影响交易的正常进行或者导致投资者的利益受到影响。这种技术风险可能来自管理人、托管人、证券交易所、证券登记结算机构等。</w:t>
      </w:r>
    </w:p>
    <w:p>
      <w:pPr>
        <w:pStyle w:val="7"/>
        <w:spacing w:before="0" w:beforeAutospacing="0" w:after="0" w:afterAutospacing="0" w:line="360" w:lineRule="auto"/>
        <w:ind w:firstLine="420"/>
        <w:rPr>
          <w:sz w:val="21"/>
          <w:szCs w:val="21"/>
        </w:rPr>
      </w:pPr>
      <w:r>
        <w:rPr>
          <w:rFonts w:hint="eastAsia"/>
          <w:sz w:val="21"/>
          <w:szCs w:val="21"/>
        </w:rPr>
        <w:t>（2）操作风险：证券交易所、证券登记结算机构等在业务操作过程中，因操作失误或违反操作规程而引起的风险。</w:t>
      </w:r>
    </w:p>
    <w:p>
      <w:pPr>
        <w:pStyle w:val="7"/>
        <w:spacing w:before="0" w:beforeAutospacing="0" w:after="0" w:afterAutospacing="0" w:line="360" w:lineRule="auto"/>
        <w:ind w:firstLine="420"/>
        <w:rPr>
          <w:sz w:val="21"/>
          <w:szCs w:val="21"/>
        </w:rPr>
      </w:pPr>
      <w:r>
        <w:rPr>
          <w:rFonts w:hint="eastAsia"/>
          <w:sz w:val="21"/>
          <w:szCs w:val="21"/>
        </w:rPr>
        <w:t>9、基金法律文件风险收益特征表述与销售机构基金风险评价可能不一致的风险  </w:t>
      </w:r>
    </w:p>
    <w:p>
      <w:pPr>
        <w:pStyle w:val="7"/>
        <w:spacing w:before="0" w:beforeAutospacing="0" w:after="0" w:afterAutospacing="0" w:line="360" w:lineRule="auto"/>
        <w:ind w:firstLine="420"/>
        <w:rPr>
          <w:sz w:val="21"/>
          <w:szCs w:val="21"/>
        </w:rPr>
      </w:pPr>
      <w:r>
        <w:rPr>
          <w:rFonts w:hint="eastAsia"/>
          <w:sz w:val="21"/>
          <w:szCs w:val="21"/>
        </w:rPr>
        <w:t>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也不同，因此销售机构的风险等级评价与基金法律文件中风险收益特征的表述可能存在不同，投资人在购买本基金时需按照销售机构的要求完成风险承受能力与产品风险之间的匹配检验。</w:t>
      </w:r>
    </w:p>
    <w:p>
      <w:pPr>
        <w:pStyle w:val="7"/>
        <w:spacing w:before="0" w:beforeAutospacing="0" w:after="0" w:afterAutospacing="0" w:line="360" w:lineRule="auto"/>
        <w:ind w:firstLine="420"/>
        <w:rPr>
          <w:sz w:val="21"/>
          <w:szCs w:val="21"/>
        </w:rPr>
      </w:pPr>
      <w:r>
        <w:rPr>
          <w:rFonts w:hint="eastAsia"/>
          <w:sz w:val="21"/>
          <w:szCs w:val="21"/>
        </w:rPr>
        <w:t>10、其它风险 </w:t>
      </w:r>
    </w:p>
    <w:p>
      <w:pPr>
        <w:pStyle w:val="7"/>
        <w:spacing w:before="0" w:beforeAutospacing="0" w:after="0" w:afterAutospacing="0" w:line="360" w:lineRule="auto"/>
        <w:ind w:firstLine="420"/>
        <w:rPr>
          <w:sz w:val="21"/>
          <w:szCs w:val="21"/>
        </w:rPr>
      </w:pPr>
      <w:r>
        <w:rPr>
          <w:rFonts w:hint="eastAsia"/>
          <w:sz w:val="21"/>
          <w:szCs w:val="21"/>
        </w:rPr>
        <w:t>（1）战争、自然灾害等不可抗力因素的出现，将会严重影响证券市场的运行，可能导致委托财产的损失； </w:t>
      </w:r>
    </w:p>
    <w:p>
      <w:pPr>
        <w:pStyle w:val="7"/>
        <w:spacing w:before="0" w:beforeAutospacing="0" w:after="0" w:afterAutospacing="0" w:line="360" w:lineRule="auto"/>
        <w:ind w:firstLine="420"/>
        <w:rPr>
          <w:sz w:val="21"/>
          <w:szCs w:val="21"/>
        </w:rPr>
      </w:pPr>
      <w:r>
        <w:rPr>
          <w:rFonts w:hint="eastAsia"/>
          <w:sz w:val="21"/>
          <w:szCs w:val="21"/>
        </w:rPr>
        <w:t>（2）金融市场危机、行业竞争、代理商违约等超出基金管理人自身直接控制能力之外的风险，也可能导致资产委托人利益受损。</w:t>
      </w:r>
    </w:p>
    <w:p>
      <w:pPr>
        <w:pStyle w:val="7"/>
        <w:spacing w:before="0" w:beforeAutospacing="0" w:after="0" w:afterAutospacing="0" w:line="360" w:lineRule="auto"/>
        <w:ind w:firstLine="420"/>
        <w:rPr>
          <w:sz w:val="21"/>
          <w:szCs w:val="21"/>
        </w:rPr>
      </w:pPr>
      <w:r>
        <w:rPr>
          <w:rStyle w:val="11"/>
          <w:rFonts w:hint="eastAsia"/>
          <w:sz w:val="21"/>
          <w:szCs w:val="21"/>
        </w:rPr>
        <w:t>二、声明</w:t>
      </w:r>
    </w:p>
    <w:p>
      <w:pPr>
        <w:pStyle w:val="7"/>
        <w:spacing w:before="0" w:beforeAutospacing="0" w:after="0" w:afterAutospacing="0" w:line="360" w:lineRule="auto"/>
        <w:ind w:firstLine="420"/>
        <w:rPr>
          <w:sz w:val="21"/>
          <w:szCs w:val="21"/>
        </w:rPr>
      </w:pPr>
      <w:r>
        <w:rPr>
          <w:rFonts w:hint="eastAsia"/>
          <w:sz w:val="21"/>
          <w:szCs w:val="21"/>
        </w:rPr>
        <w:t>1、投资者投资于本基金，须自行承担投资风险；</w:t>
      </w:r>
    </w:p>
    <w:p>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72" w:name="chapter_level1_20_68_section_1_end"/>
      <w:bookmarkEnd w:id="172"/>
      <w:r>
        <w:rPr>
          <w:rFonts w:hint="eastAsia"/>
          <w:sz w:val="21"/>
          <w:szCs w:val="21"/>
        </w:rPr>
        <w:t>理人与基金销售机构都不能保证其收益或本金安全。</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3" w:name="_Toc207947163"/>
      <w:bookmarkStart w:id="174" w:name="chapter_level1_21_69"/>
      <w:r>
        <w:rPr>
          <w:rFonts w:hint="eastAsia" w:ascii="宋体" w:hAnsi="宋体" w:eastAsia="宋体"/>
          <w:sz w:val="30"/>
        </w:rPr>
        <w:t>第十八部分  基金合同的变更、终止与基金财产的清算</w:t>
      </w:r>
      <w:bookmarkEnd w:id="173"/>
      <w:bookmarkEnd w:id="174"/>
    </w:p>
    <w:p>
      <w:pPr>
        <w:pStyle w:val="7"/>
        <w:spacing w:before="0" w:beforeAutospacing="0" w:after="0" w:afterAutospacing="0" w:line="360" w:lineRule="auto"/>
        <w:ind w:firstLine="420"/>
        <w:rPr>
          <w:sz w:val="21"/>
          <w:szCs w:val="21"/>
        </w:rPr>
      </w:pPr>
      <w:bookmarkStart w:id="175" w:name="chapter_level1_21_69_section_1"/>
      <w:bookmarkEnd w:id="175"/>
      <w:r>
        <w:rPr>
          <w:rStyle w:val="11"/>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7"/>
        <w:spacing w:before="0" w:beforeAutospacing="0" w:after="0" w:afterAutospacing="0" w:line="360" w:lineRule="auto"/>
        <w:ind w:firstLine="420"/>
        <w:rPr>
          <w:sz w:val="21"/>
          <w:szCs w:val="21"/>
        </w:rPr>
      </w:pPr>
      <w:r>
        <w:rPr>
          <w:rStyle w:val="11"/>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（1）《基金合同》终止情形出现时，由基金财产清算小组统一接管基金财产；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pPr>
        <w:pStyle w:val="7"/>
        <w:spacing w:before="0" w:beforeAutospacing="0" w:after="0" w:afterAutospacing="0" w:line="360" w:lineRule="auto"/>
        <w:ind w:firstLine="420"/>
        <w:rPr>
          <w:sz w:val="21"/>
          <w:szCs w:val="21"/>
        </w:rPr>
      </w:pPr>
      <w:r>
        <w:rPr>
          <w:rStyle w:val="11"/>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基金财产清算账册及有关文件由基金托管人保存，保存期限不得低于法律法规规定的最低期限。 </w:t>
      </w:r>
    </w:p>
    <w:p>
      <w:pPr>
        <w:pStyle w:val="7"/>
        <w:spacing w:before="0" w:beforeAutospacing="0" w:after="0" w:afterAutospacing="0" w:line="360" w:lineRule="auto"/>
        <w:ind w:firstLine="420"/>
        <w:rPr>
          <w:sz w:val="21"/>
          <w:szCs w:val="21"/>
        </w:rPr>
      </w:pPr>
      <w:r>
        <w:rPr>
          <w:rStyle w:val="11"/>
          <w:rFonts w:hint="eastAsia"/>
          <w:sz w:val="21"/>
          <w:szCs w:val="21"/>
        </w:rPr>
        <w:t>八、基金合并</w:t>
      </w:r>
    </w:p>
    <w:p>
      <w:pPr>
        <w:pStyle w:val="7"/>
        <w:spacing w:before="0" w:beforeAutospacing="0" w:after="0" w:afterAutospacing="0" w:line="360" w:lineRule="auto"/>
        <w:ind w:firstLine="420"/>
        <w:rPr>
          <w:sz w:val="21"/>
          <w:szCs w:val="21"/>
        </w:rPr>
      </w:pPr>
      <w:bookmarkStart w:id="176" w:name="chapter_level1_21_69_section_1_end"/>
      <w:bookmarkEnd w:id="176"/>
      <w:r>
        <w:rPr>
          <w:rFonts w:hint="eastAsia"/>
          <w:sz w:val="21"/>
          <w:szCs w:val="21"/>
        </w:rPr>
        <w:t xml:space="preserve">本基金与其他基金的合并应当按照法律法规规定的程序进行。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7" w:name="_Toc207947164"/>
      <w:bookmarkStart w:id="178" w:name="chapter_level1_22_71"/>
      <w:r>
        <w:rPr>
          <w:rFonts w:hint="eastAsia" w:ascii="宋体" w:hAnsi="宋体" w:eastAsia="宋体"/>
          <w:sz w:val="30"/>
        </w:rPr>
        <w:t>第十九部分  基金合同的内容摘要</w:t>
      </w:r>
      <w:bookmarkEnd w:id="177"/>
      <w:bookmarkEnd w:id="178"/>
    </w:p>
    <w:p>
      <w:pPr>
        <w:pStyle w:val="7"/>
        <w:spacing w:before="0" w:beforeAutospacing="0" w:after="0" w:afterAutospacing="0" w:line="360" w:lineRule="auto"/>
        <w:ind w:firstLine="420"/>
        <w:rPr>
          <w:sz w:val="21"/>
          <w:szCs w:val="21"/>
        </w:rPr>
      </w:pPr>
      <w:bookmarkStart w:id="179" w:name="chapter_level1_22_71_section_1"/>
      <w:bookmarkEnd w:id="179"/>
      <w:r>
        <w:rPr>
          <w:rStyle w:val="11"/>
          <w:rFonts w:hint="eastAsia"/>
          <w:sz w:val="21"/>
          <w:szCs w:val="21"/>
        </w:rPr>
        <w:t>一、基金份额持有人、基金管理人和基金托管人的权利、义务</w:t>
      </w:r>
    </w:p>
    <w:p>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 </w:t>
      </w:r>
    </w:p>
    <w:p>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pPr>
        <w:pStyle w:val="7"/>
        <w:spacing w:before="0" w:beforeAutospacing="0" w:after="0" w:afterAutospacing="0" w:line="360" w:lineRule="auto"/>
        <w:ind w:firstLine="420"/>
        <w:rPr>
          <w:sz w:val="21"/>
          <w:szCs w:val="21"/>
        </w:rPr>
      </w:pPr>
      <w:r>
        <w:rPr>
          <w:rFonts w:hint="eastAsia"/>
          <w:sz w:val="21"/>
          <w:szCs w:val="21"/>
        </w:rPr>
        <w:t xml:space="preserve">（4）销售基金份额； </w:t>
      </w:r>
    </w:p>
    <w:p>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（12）依照法律法规为基金的利益对被投资公司行使相关权利，为基金的利益行使因基金财产投资于证券所产生的权利； </w:t>
      </w:r>
    </w:p>
    <w:p>
      <w:pPr>
        <w:pStyle w:val="7"/>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（14）选择、更换律师事务所、会计师事务所、证券/期货经纪商或其他为基金提供服务的外部机构； </w:t>
      </w:r>
    </w:p>
    <w:p>
      <w:pPr>
        <w:pStyle w:val="7"/>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监管机构、司法机关等有权机关要求，或因审计、法律等外部专业顾问提供服务需要提供的情况除外；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（16）按规定保存基金财产管理业务活动的会计账册、报表、记录和其他相关资料20年以上，法律法规或监管规则另有规定的从其规定；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（二） 基金托管人的权利与义务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但监管机构、司法机关等有权机关要求，或因审计、法律等外部专业顾问提供服务需要提供的情况除外； </w:t>
      </w:r>
    </w:p>
    <w:p>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（11）保存基金托管业务活动的记录、账册、报表和其他相关资料20年以上，法律法规或监管规则另有规定的从其规定；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（18）面临解散、依法被撤销或者被依法宣告破产时，及时报告中国证监会和银行业监督管理机构，并通知基金管理人； </w:t>
      </w:r>
    </w:p>
    <w:p>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除法律法规另有规定或本基金合同另有约定外，每份基金份额具有同等的合法权益。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pPr>
        <w:pStyle w:val="7"/>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pPr>
        <w:pStyle w:val="7"/>
        <w:spacing w:before="0" w:beforeAutospacing="0" w:after="0" w:afterAutospacing="0" w:line="360" w:lineRule="auto"/>
        <w:ind w:firstLine="420"/>
        <w:rPr>
          <w:sz w:val="21"/>
          <w:szCs w:val="21"/>
        </w:rPr>
      </w:pPr>
      <w:r>
        <w:rPr>
          <w:rFonts w:hint="eastAsia"/>
          <w:sz w:val="21"/>
          <w:szCs w:val="21"/>
        </w:rPr>
        <w:t xml:space="preserve">（9）发起资金提供方持有认购的基金份额不少于3年，法律法规或监管机构另有规定的除外； </w:t>
      </w:r>
    </w:p>
    <w:p>
      <w:pPr>
        <w:pStyle w:val="7"/>
        <w:spacing w:before="0" w:beforeAutospacing="0" w:after="0" w:afterAutospacing="0" w:line="360" w:lineRule="auto"/>
        <w:ind w:firstLine="420"/>
        <w:rPr>
          <w:sz w:val="21"/>
          <w:szCs w:val="21"/>
        </w:rPr>
      </w:pPr>
      <w:r>
        <w:rPr>
          <w:rFonts w:hint="eastAsia"/>
          <w:sz w:val="21"/>
          <w:szCs w:val="21"/>
        </w:rPr>
        <w:t xml:space="preserve">（10）法律法规及中国证监会规定的和《基金合同》约定的其他义务。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二、基金份额持有人大会召集、议事及表决的程序和规则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 </w:t>
      </w:r>
    </w:p>
    <w:p>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pPr>
        <w:pStyle w:val="7"/>
        <w:spacing w:before="0" w:beforeAutospacing="0" w:after="0" w:afterAutospacing="0" w:line="360" w:lineRule="auto"/>
        <w:ind w:firstLine="420"/>
        <w:rPr>
          <w:sz w:val="21"/>
          <w:szCs w:val="21"/>
        </w:rPr>
      </w:pPr>
      <w:r>
        <w:rPr>
          <w:rFonts w:hint="eastAsia"/>
          <w:sz w:val="21"/>
          <w:szCs w:val="21"/>
        </w:rPr>
        <w:t xml:space="preserve">（一）召开事由 </w:t>
      </w:r>
    </w:p>
    <w:p>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（1）终止《基金合同》； </w:t>
      </w:r>
    </w:p>
    <w:p>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pPr>
        <w:pStyle w:val="7"/>
        <w:spacing w:before="0" w:beforeAutospacing="0" w:after="0" w:afterAutospacing="0" w:line="360" w:lineRule="auto"/>
        <w:ind w:firstLine="420"/>
        <w:rPr>
          <w:sz w:val="21"/>
          <w:szCs w:val="21"/>
        </w:rPr>
      </w:pPr>
      <w:r>
        <w:rPr>
          <w:rFonts w:hint="eastAsia"/>
          <w:sz w:val="21"/>
          <w:szCs w:val="21"/>
        </w:rPr>
        <w:t xml:space="preserve">（4）转换基金运作方式（不包括本基金封闭期与开放期运作方式的转变）； </w:t>
      </w:r>
    </w:p>
    <w:p>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 </w:t>
      </w:r>
    </w:p>
    <w:p>
      <w:pPr>
        <w:pStyle w:val="7"/>
        <w:spacing w:before="0" w:beforeAutospacing="0" w:after="0" w:afterAutospacing="0" w:line="360" w:lineRule="auto"/>
        <w:ind w:firstLine="420"/>
        <w:rPr>
          <w:sz w:val="21"/>
          <w:szCs w:val="21"/>
        </w:rPr>
      </w:pPr>
      <w:r>
        <w:rPr>
          <w:rFonts w:hint="eastAsia"/>
          <w:sz w:val="21"/>
          <w:szCs w:val="21"/>
        </w:rPr>
        <w:t xml:space="preserve">（6）变更基金类别； </w:t>
      </w:r>
    </w:p>
    <w:p>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2、在法律法规规定和《基金合同》约定的范围内且对基金份额持有人利益无实质性不利影响的前提下，以下情况可由基金管理人和基金托管人协商并履行适当程序后修改，不需召开基金份额持有人大会：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pPr>
        <w:pStyle w:val="7"/>
        <w:spacing w:before="0" w:beforeAutospacing="0" w:after="0" w:afterAutospacing="0" w:line="360" w:lineRule="auto"/>
        <w:ind w:firstLine="420"/>
        <w:rPr>
          <w:sz w:val="21"/>
          <w:szCs w:val="21"/>
        </w:rPr>
      </w:pPr>
      <w:r>
        <w:rPr>
          <w:rFonts w:hint="eastAsia"/>
          <w:sz w:val="21"/>
          <w:szCs w:val="21"/>
        </w:rPr>
        <w:t xml:space="preserve">（2）调整本基金的申购费率、调低赎回费率或变更收费方式，调整基金份额类别设置、对基金份额分类办法及规则进行调整； </w:t>
      </w:r>
    </w:p>
    <w:p>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pPr>
        <w:pStyle w:val="7"/>
        <w:spacing w:before="0" w:beforeAutospacing="0" w:after="0" w:afterAutospacing="0" w:line="360" w:lineRule="auto"/>
        <w:ind w:firstLine="420"/>
        <w:rPr>
          <w:sz w:val="21"/>
          <w:szCs w:val="21"/>
        </w:rPr>
      </w:pPr>
      <w:r>
        <w:rPr>
          <w:rFonts w:hint="eastAsia"/>
          <w:sz w:val="21"/>
          <w:szCs w:val="21"/>
        </w:rPr>
        <w:t xml:space="preserve">（5）基金管理人、登记机构、基金销售机构调整有关申购、赎回、转换、基金交易、非交易过户、转托管等业务规则； </w:t>
      </w:r>
    </w:p>
    <w:p>
      <w:pPr>
        <w:pStyle w:val="7"/>
        <w:spacing w:before="0" w:beforeAutospacing="0" w:after="0" w:afterAutospacing="0" w:line="360" w:lineRule="auto"/>
        <w:ind w:firstLine="420"/>
        <w:rPr>
          <w:sz w:val="21"/>
          <w:szCs w:val="21"/>
        </w:rPr>
      </w:pPr>
      <w:r>
        <w:rPr>
          <w:rFonts w:hint="eastAsia"/>
          <w:sz w:val="21"/>
          <w:szCs w:val="21"/>
        </w:rPr>
        <w:t xml:space="preserve">（6）履行相关程序后，基金推出新业务或服务；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pPr>
        <w:pStyle w:val="7"/>
        <w:spacing w:before="0" w:beforeAutospacing="0" w:after="0" w:afterAutospacing="0" w:line="360" w:lineRule="auto"/>
        <w:ind w:firstLine="420"/>
        <w:rPr>
          <w:sz w:val="21"/>
          <w:szCs w:val="21"/>
        </w:rPr>
      </w:pPr>
      <w:r>
        <w:rPr>
          <w:rFonts w:hint="eastAsia"/>
          <w:sz w:val="21"/>
          <w:szCs w:val="21"/>
        </w:rPr>
        <w:t xml:space="preserve">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 </w:t>
      </w:r>
    </w:p>
    <w:p>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pPr>
        <w:pStyle w:val="7"/>
        <w:spacing w:before="0" w:beforeAutospacing="0" w:after="0" w:afterAutospacing="0" w:line="360" w:lineRule="auto"/>
        <w:ind w:firstLine="420"/>
        <w:rPr>
          <w:sz w:val="21"/>
          <w:szCs w:val="21"/>
        </w:rPr>
      </w:pPr>
      <w:r>
        <w:rPr>
          <w:rFonts w:hint="eastAsia"/>
          <w:sz w:val="21"/>
          <w:szCs w:val="21"/>
        </w:rPr>
        <w:t xml:space="preserve">2、议事程序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pPr>
        <w:pStyle w:val="7"/>
        <w:spacing w:before="0" w:beforeAutospacing="0" w:after="0" w:afterAutospacing="0" w:line="360" w:lineRule="auto"/>
        <w:ind w:firstLine="420"/>
        <w:rPr>
          <w:sz w:val="21"/>
          <w:szCs w:val="21"/>
        </w:rPr>
      </w:pPr>
      <w:r>
        <w:rPr>
          <w:rFonts w:hint="eastAsia"/>
          <w:sz w:val="21"/>
          <w:szCs w:val="21"/>
        </w:rPr>
        <w:t xml:space="preserve">（六）表决 </w:t>
      </w:r>
    </w:p>
    <w:p>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pPr>
        <w:pStyle w:val="7"/>
        <w:spacing w:before="0" w:beforeAutospacing="0" w:after="0" w:afterAutospacing="0" w:line="360" w:lineRule="auto"/>
        <w:ind w:firstLine="420"/>
        <w:rPr>
          <w:sz w:val="21"/>
          <w:szCs w:val="21"/>
        </w:rPr>
      </w:pPr>
      <w:r>
        <w:rPr>
          <w:rFonts w:hint="eastAsia"/>
          <w:sz w:val="21"/>
          <w:szCs w:val="21"/>
        </w:rPr>
        <w:t xml:space="preserve">（七）计票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异议，可以在宣布表决结果后立即对所投票数要求进行重新清点。监票人应当进行重新清点，重新清点以一次为限。重新清点后，大会主持人应当当场公布重新清点结果。 </w:t>
      </w:r>
    </w:p>
    <w:p>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pPr>
        <w:pStyle w:val="7"/>
        <w:spacing w:before="0" w:beforeAutospacing="0" w:after="0" w:afterAutospacing="0" w:line="360" w:lineRule="auto"/>
        <w:ind w:firstLine="420"/>
        <w:rPr>
          <w:sz w:val="21"/>
          <w:szCs w:val="21"/>
        </w:rPr>
      </w:pPr>
      <w:r>
        <w:rPr>
          <w:rFonts w:hint="eastAsia"/>
          <w:sz w:val="21"/>
          <w:szCs w:val="21"/>
        </w:rPr>
        <w:t xml:space="preserve">（八）生效与公告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份额持有人大会审议事项涉及主袋账户和侧袋账户的，应分别由主袋账户、侧袋账户的基金份额持有人进行表决，同一主侧袋账户内的每份基金份额具有平等的表决权。表决事项未涉及侧袋账户的，侧袋账户份额无表决权。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侧袋机制实施期间，关于基金份额持有人大会的相关规定以本节特殊约定内容为准，本节没有规定的适用上文相关约定。 </w:t>
      </w:r>
    </w:p>
    <w:p>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三、基金合同解除和终止的事由、程序以及基金财产清算方式 </w:t>
      </w:r>
    </w:p>
    <w:p>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（1）《基金合同》终止情形出现时，由基金财产清算小组统一接管基金财产；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pPr>
        <w:pStyle w:val="7"/>
        <w:spacing w:before="0" w:beforeAutospacing="0" w:after="0" w:afterAutospacing="0" w:line="360" w:lineRule="auto"/>
        <w:ind w:firstLine="420"/>
        <w:rPr>
          <w:sz w:val="21"/>
          <w:szCs w:val="21"/>
        </w:rPr>
      </w:pPr>
      <w:r>
        <w:rPr>
          <w:rFonts w:hint="eastAsia"/>
          <w:sz w:val="21"/>
          <w:szCs w:val="21"/>
        </w:rPr>
        <w:t xml:space="preserve">（四）清算费用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基金财产清算账册及有关文件由基金托管人保存，保存期限不得低于法律法规规定的最低期限。 </w:t>
      </w:r>
    </w:p>
    <w:p>
      <w:pPr>
        <w:pStyle w:val="7"/>
        <w:spacing w:before="0" w:beforeAutospacing="0" w:after="0" w:afterAutospacing="0" w:line="360" w:lineRule="auto"/>
        <w:ind w:firstLine="420"/>
        <w:rPr>
          <w:sz w:val="21"/>
          <w:szCs w:val="21"/>
        </w:rPr>
      </w:pPr>
      <w:r>
        <w:rPr>
          <w:rFonts w:hint="eastAsia"/>
          <w:sz w:val="21"/>
          <w:szCs w:val="21"/>
        </w:rPr>
        <w:t xml:space="preserve">（八）基金合并 </w:t>
      </w:r>
    </w:p>
    <w:p>
      <w:pPr>
        <w:pStyle w:val="7"/>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pPr>
        <w:pStyle w:val="7"/>
        <w:spacing w:before="0" w:beforeAutospacing="0" w:after="0" w:afterAutospacing="0" w:line="360" w:lineRule="auto"/>
        <w:ind w:firstLine="420"/>
        <w:rPr>
          <w:sz w:val="21"/>
          <w:szCs w:val="21"/>
        </w:rPr>
      </w:pPr>
      <w:r>
        <w:rPr>
          <w:rFonts w:hint="eastAsia"/>
          <w:sz w:val="21"/>
          <w:szCs w:val="21"/>
        </w:rPr>
        <w:t xml:space="preserve">四、争议解决方式 </w:t>
      </w:r>
    </w:p>
    <w:p>
      <w:pPr>
        <w:pStyle w:val="7"/>
        <w:spacing w:before="0" w:beforeAutospacing="0" w:after="0" w:afterAutospacing="0" w:line="360" w:lineRule="auto"/>
        <w:ind w:firstLine="420"/>
        <w:rPr>
          <w:sz w:val="21"/>
          <w:szCs w:val="21"/>
        </w:rPr>
      </w:pPr>
      <w:r>
        <w:rPr>
          <w:rFonts w:hint="eastAsia"/>
          <w:sz w:val="21"/>
          <w:szCs w:val="21"/>
        </w:rPr>
        <w:t xml:space="preserve">对于因基金合同的订立、内容、履行和解释或与基金合同有关的争议，基金合同当事人应尽量通过协商、调解途径解决。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裁决另有规定的，仲裁费用、律师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争议处理期间，基金合同当事人应恪守基金管理人和基金托管人职责，各自继续忠实、勤勉、尽责地履行基金合同和托管协议规定的义务，维护基金份额持有人的合法权益。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本基金合同受中国法律（为本基金合同之目的，不含港澳台立法）管辖并从其解释。 </w:t>
      </w:r>
    </w:p>
    <w:p>
      <w:pPr>
        <w:pStyle w:val="7"/>
        <w:spacing w:before="0" w:beforeAutospacing="0" w:after="0" w:afterAutospacing="0" w:line="360" w:lineRule="auto"/>
        <w:ind w:firstLine="420"/>
        <w:rPr>
          <w:sz w:val="21"/>
          <w:szCs w:val="21"/>
        </w:rPr>
      </w:pPr>
      <w:r>
        <w:rPr>
          <w:rFonts w:hint="eastAsia"/>
          <w:sz w:val="21"/>
          <w:szCs w:val="21"/>
        </w:rPr>
        <w:t xml:space="preserve">五、基金合同存放地和投资人取得基金合同的方式 </w:t>
      </w:r>
    </w:p>
    <w:p>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80" w:name="chapter_level1_22_71_section_1_end"/>
      <w:bookmarkEnd w:id="180"/>
      <w:r>
        <w:rPr>
          <w:rFonts w:hint="eastAsia"/>
          <w:sz w:val="21"/>
          <w:szCs w:val="21"/>
        </w:rPr>
        <w:t xml:space="preserve">和营业场所查阅。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1" w:name="chapter_level1_23_72"/>
      <w:bookmarkStart w:id="182" w:name="_Toc207947165"/>
      <w:r>
        <w:rPr>
          <w:rFonts w:hint="eastAsia" w:ascii="宋体" w:hAnsi="宋体" w:eastAsia="宋体"/>
          <w:sz w:val="30"/>
        </w:rPr>
        <w:t>第二十部分  基金托管协议的内容摘要</w:t>
      </w:r>
      <w:bookmarkEnd w:id="181"/>
      <w:bookmarkEnd w:id="182"/>
    </w:p>
    <w:p>
      <w:pPr>
        <w:pStyle w:val="7"/>
        <w:spacing w:before="0" w:beforeAutospacing="0" w:after="0" w:afterAutospacing="0" w:line="360" w:lineRule="auto"/>
        <w:ind w:firstLine="420"/>
        <w:rPr>
          <w:sz w:val="21"/>
          <w:szCs w:val="21"/>
        </w:rPr>
      </w:pPr>
      <w:bookmarkStart w:id="183" w:name="chapter_level1_23_72_section_1"/>
      <w:bookmarkEnd w:id="183"/>
      <w:r>
        <w:rPr>
          <w:rStyle w:val="11"/>
          <w:rFonts w:hint="eastAsia"/>
          <w:sz w:val="21"/>
          <w:szCs w:val="21"/>
        </w:rPr>
        <w:t>一、托管协议当事人</w:t>
      </w:r>
    </w:p>
    <w:p>
      <w:pPr>
        <w:pStyle w:val="7"/>
        <w:spacing w:before="0" w:beforeAutospacing="0" w:after="0" w:afterAutospacing="0" w:line="360" w:lineRule="auto"/>
        <w:ind w:firstLine="420"/>
        <w:rPr>
          <w:sz w:val="21"/>
          <w:szCs w:val="21"/>
        </w:rPr>
      </w:pPr>
      <w:r>
        <w:rPr>
          <w:rFonts w:hint="eastAsia"/>
          <w:sz w:val="21"/>
          <w:szCs w:val="21"/>
        </w:rPr>
        <w:t xml:space="preserve">（一）基金管理人 </w:t>
      </w:r>
    </w:p>
    <w:p>
      <w:pPr>
        <w:pStyle w:val="7"/>
        <w:spacing w:before="0" w:beforeAutospacing="0" w:after="0" w:afterAutospacing="0" w:line="360" w:lineRule="auto"/>
        <w:ind w:firstLine="420"/>
        <w:rPr>
          <w:sz w:val="21"/>
          <w:szCs w:val="21"/>
        </w:rPr>
      </w:pPr>
      <w:r>
        <w:rPr>
          <w:rFonts w:hint="eastAsia"/>
          <w:sz w:val="21"/>
          <w:szCs w:val="21"/>
        </w:rPr>
        <w:t xml:space="preserve">名称：博时基金管理有限公司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邮政编码：518040 </w:t>
      </w:r>
    </w:p>
    <w:p>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成立日期：1998年7月13日 </w:t>
      </w:r>
    </w:p>
    <w:p>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（二）基金托管人 </w:t>
      </w:r>
    </w:p>
    <w:p>
      <w:pPr>
        <w:pStyle w:val="7"/>
        <w:spacing w:before="0" w:beforeAutospacing="0" w:after="0" w:afterAutospacing="0" w:line="360" w:lineRule="auto"/>
        <w:ind w:firstLine="420"/>
        <w:rPr>
          <w:sz w:val="21"/>
          <w:szCs w:val="21"/>
        </w:rPr>
      </w:pPr>
      <w:r>
        <w:rPr>
          <w:rFonts w:hint="eastAsia"/>
          <w:sz w:val="21"/>
          <w:szCs w:val="21"/>
        </w:rPr>
        <w:t xml:space="preserve">名称：中国光大银行股份有限公司 </w:t>
      </w:r>
    </w:p>
    <w:p>
      <w:pPr>
        <w:pStyle w:val="7"/>
        <w:spacing w:before="0" w:beforeAutospacing="0" w:after="0" w:afterAutospacing="0" w:line="360" w:lineRule="auto"/>
        <w:ind w:firstLine="420"/>
        <w:rPr>
          <w:sz w:val="21"/>
          <w:szCs w:val="21"/>
        </w:rPr>
      </w:pPr>
      <w:r>
        <w:rPr>
          <w:rFonts w:hint="eastAsia"/>
          <w:sz w:val="21"/>
          <w:szCs w:val="21"/>
        </w:rPr>
        <w:t xml:space="preserve">住所：北京市西城区太平桥大街25 号、甲25 号中国光大中心 </w:t>
      </w:r>
    </w:p>
    <w:p>
      <w:pPr>
        <w:pStyle w:val="7"/>
        <w:spacing w:before="0" w:beforeAutospacing="0" w:after="0" w:afterAutospacing="0" w:line="360" w:lineRule="auto"/>
        <w:ind w:firstLine="420"/>
        <w:rPr>
          <w:sz w:val="21"/>
          <w:szCs w:val="21"/>
        </w:rPr>
      </w:pPr>
      <w:r>
        <w:rPr>
          <w:rFonts w:hint="eastAsia"/>
          <w:sz w:val="21"/>
          <w:szCs w:val="21"/>
        </w:rPr>
        <w:t xml:space="preserve">邮政编码：100033 </w:t>
      </w:r>
    </w:p>
    <w:p>
      <w:pPr>
        <w:pStyle w:val="7"/>
        <w:spacing w:before="0" w:beforeAutospacing="0" w:after="0" w:afterAutospacing="0" w:line="360" w:lineRule="auto"/>
        <w:ind w:firstLine="420"/>
        <w:rPr>
          <w:sz w:val="21"/>
          <w:szCs w:val="21"/>
        </w:rPr>
      </w:pPr>
      <w:r>
        <w:rPr>
          <w:rFonts w:hint="eastAsia"/>
          <w:sz w:val="21"/>
          <w:szCs w:val="21"/>
        </w:rPr>
        <w:t xml:space="preserve">法定代表人：吴利军 </w:t>
      </w:r>
    </w:p>
    <w:p>
      <w:pPr>
        <w:pStyle w:val="7"/>
        <w:spacing w:before="0" w:beforeAutospacing="0" w:after="0" w:afterAutospacing="0" w:line="360" w:lineRule="auto"/>
        <w:ind w:firstLine="420"/>
        <w:rPr>
          <w:sz w:val="21"/>
          <w:szCs w:val="21"/>
        </w:rPr>
      </w:pPr>
      <w:r>
        <w:rPr>
          <w:rFonts w:hint="eastAsia"/>
          <w:sz w:val="21"/>
          <w:szCs w:val="21"/>
        </w:rPr>
        <w:t xml:space="preserve">成立日期：1992年6月18日 </w:t>
      </w:r>
    </w:p>
    <w:p>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批准设立机关和批准设立文号：国务院、国函[1992]7号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注册资本：590.85551亿元人民币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基金托管资格批文及文号：证监基金字[2002]75号 </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（一）基金托管人根据有关法律法规的规定及基金合同的约定，对基金投资范围、投资比例进行监督。 </w:t>
      </w:r>
    </w:p>
    <w:p>
      <w:pPr>
        <w:pStyle w:val="7"/>
        <w:spacing w:before="0" w:beforeAutospacing="0" w:after="0" w:afterAutospacing="0" w:line="360" w:lineRule="auto"/>
        <w:ind w:firstLine="420"/>
        <w:rPr>
          <w:sz w:val="21"/>
          <w:szCs w:val="21"/>
        </w:rPr>
      </w:pPr>
      <w:r>
        <w:rPr>
          <w:rFonts w:hint="eastAsia"/>
          <w:sz w:val="21"/>
          <w:szCs w:val="21"/>
        </w:rPr>
        <w:t xml:space="preserve">基金的投资范围主要为具有良好流动性的金融工具，包括债券（含国债、金融债、企业债、公司债、地方政府债、政府支持机构债券、政府支持债券、央行票据、中期票据、短期融资券、超短期融资券、可转换债券（含分离交易可转债）、可交换债券、公开发行的次级债等中国证监会允许投资的其他债券）、资产支持证券、债券回购、国债期货、信用衍生品、货币市场工具（同业存单、银行存款）等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直接投资于股票等资产，但可参与可转换债券（含分离交易可转债）、可交换债券的投资。因所持可转换债券转股或可交换债券换股形成的股票，本基金将在其可交易之日起的10个交易日内卖出。如法律法规或监管机构以后允许基金投资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投资于债券资产比例不低于基金资产的80%，但应开放期流动性需要，为保护基金份额持有人利益，在每次开放期开始前1个月、开放期及开放期结束后1个月的期间内，基金投资不受上述比例限制。本基金投资可转换债券及可交换债券的比例合计不高于基金资产的20%。开放期内，本基金每个交易日日终在扣除国债期货合约需缴纳的交易保证金后，应当保持不低于基金资产净值5％的现金或者到期日在一年以内的政府债券；在封闭期内，本基金不受上述5%的限制，但每个交易日日终在扣除国债期货合约需缴纳的交易保证金后，应当保持不低于交易保证金一倍的现金；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（二）基金托管人根据有关法律法规的规定及基金合同的约定，对基金投资比例进行监督。基金托管人按下述比例和调整期限进行监督： </w:t>
      </w:r>
    </w:p>
    <w:p>
      <w:pPr>
        <w:pStyle w:val="7"/>
        <w:spacing w:before="0" w:beforeAutospacing="0" w:after="0" w:afterAutospacing="0" w:line="360" w:lineRule="auto"/>
        <w:ind w:firstLine="420"/>
        <w:rPr>
          <w:sz w:val="21"/>
          <w:szCs w:val="21"/>
        </w:rPr>
      </w:pPr>
      <w:r>
        <w:rPr>
          <w:rFonts w:hint="eastAsia"/>
          <w:sz w:val="21"/>
          <w:szCs w:val="21"/>
        </w:rPr>
        <w:t xml:space="preserve">（1）本基金投资于债券资产比例不低于基金资产的80%，但应开放期流动性需要，为保护基金份额持有人利益，在每次开放期开始前1个月、开放期及开放期结束后1个月的期间内，基金投资不受上述比例限制； </w:t>
      </w:r>
    </w:p>
    <w:p>
      <w:pPr>
        <w:pStyle w:val="7"/>
        <w:spacing w:before="0" w:beforeAutospacing="0" w:after="0" w:afterAutospacing="0" w:line="360" w:lineRule="auto"/>
        <w:ind w:firstLine="420"/>
        <w:rPr>
          <w:sz w:val="21"/>
          <w:szCs w:val="21"/>
        </w:rPr>
      </w:pPr>
      <w:r>
        <w:rPr>
          <w:rFonts w:hint="eastAsia"/>
          <w:sz w:val="21"/>
          <w:szCs w:val="21"/>
        </w:rPr>
        <w:t xml:space="preserve">（2）开放期内，本基金每个交易日日终在扣除国债期货合约需缴纳的交易保证金后，应当保持不低于基金资产净值5％的现金或者到期日在一年以内的政府债券；在封闭期内，本基金不受上述5%的限制，但每个交易日日终在扣除国债期货合约需缴纳的交易保证金后，应当保持不低于交易保证金一倍的现金；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pPr>
        <w:pStyle w:val="7"/>
        <w:spacing w:before="0" w:beforeAutospacing="0" w:after="0" w:afterAutospacing="0" w:line="360" w:lineRule="auto"/>
        <w:ind w:firstLine="420"/>
        <w:rPr>
          <w:sz w:val="21"/>
          <w:szCs w:val="21"/>
        </w:rPr>
      </w:pPr>
      <w:r>
        <w:rPr>
          <w:rFonts w:hint="eastAsia"/>
          <w:sz w:val="21"/>
          <w:szCs w:val="21"/>
        </w:rPr>
        <w:t xml:space="preserve">（5）在全国银行间同业市场中的债券回购最长期限为1年，债券回购到期后不展期；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（10）本基金应投资于信用级别评级为AA以上(含AA)的资产支持证券。基金持有资产支持证券期间，如果其信用等级下降、不再符合投资标准，应在评级报告发布之日起3个月内予以全部卖出；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（11）开放期内，本基金资产总值不得超过基金资产净值的140%；封闭期内，本基金资产总值不得超过基金资产净值的200%； </w:t>
      </w:r>
    </w:p>
    <w:p>
      <w:pPr>
        <w:pStyle w:val="7"/>
        <w:spacing w:before="0" w:beforeAutospacing="0" w:after="0" w:afterAutospacing="0" w:line="360" w:lineRule="auto"/>
        <w:ind w:firstLine="420"/>
        <w:rPr>
          <w:sz w:val="21"/>
          <w:szCs w:val="21"/>
        </w:rPr>
      </w:pPr>
      <w:r>
        <w:rPr>
          <w:rFonts w:hint="eastAsia"/>
          <w:sz w:val="21"/>
          <w:szCs w:val="21"/>
        </w:rPr>
        <w:t xml:space="preserve">（12）本基金参与国债期货投资的，应遵循下列限制： </w:t>
      </w:r>
    </w:p>
    <w:p>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1）本基金在任何交易日日终，持有的买入国债期货合约价值，不得超过基金资产净值的15%； </w:t>
      </w:r>
    </w:p>
    <w:p>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2）本基金在任何交易日日终，持有的卖出国债期货合约价值不得超过基金持有的债券总市值的30%； </w:t>
      </w:r>
    </w:p>
    <w:p>
      <w:pPr>
        <w:pStyle w:val="7"/>
        <w:spacing w:before="0" w:beforeAutospacing="0" w:after="0" w:afterAutospacing="0" w:line="360" w:lineRule="auto"/>
        <w:ind w:firstLine="420"/>
        <w:rPr>
          <w:sz w:val="21"/>
          <w:szCs w:val="21"/>
        </w:rPr>
      </w:pPr>
      <w:r>
        <w:rPr>
          <w:rFonts w:hint="eastAsia"/>
          <w:sz w:val="21"/>
          <w:szCs w:val="21"/>
        </w:rPr>
        <w:t xml:space="preserve">3）本基金在任何交易日内交易（不包括平仓）的国债期货合约的成交金额不得超过上一交易日基金资产净值的30%； </w:t>
      </w:r>
    </w:p>
    <w:p>
      <w:pPr>
        <w:pStyle w:val="7"/>
        <w:spacing w:before="0" w:beforeAutospacing="0" w:after="0" w:afterAutospacing="0" w:line="360" w:lineRule="auto"/>
        <w:ind w:firstLine="420"/>
        <w:rPr>
          <w:sz w:val="21"/>
          <w:szCs w:val="21"/>
        </w:rPr>
      </w:pPr>
      <w:r>
        <w:rPr>
          <w:rFonts w:hint="eastAsia"/>
          <w:sz w:val="21"/>
          <w:szCs w:val="21"/>
        </w:rPr>
        <w:t xml:space="preserve">4）本基金所持有的债券（不含到期日在一年以内的政府债券）市值和买入、卖出国债期货合约价值，合计（轧差计算）应当符合基金合同关于债券投资比例的有关约定； </w:t>
      </w:r>
    </w:p>
    <w:p>
      <w:pPr>
        <w:pStyle w:val="7"/>
        <w:spacing w:before="0" w:beforeAutospacing="0" w:after="0" w:afterAutospacing="0" w:line="360" w:lineRule="auto"/>
        <w:ind w:firstLine="420"/>
        <w:rPr>
          <w:sz w:val="21"/>
          <w:szCs w:val="21"/>
        </w:rPr>
      </w:pPr>
      <w:r>
        <w:rPr>
          <w:rFonts w:hint="eastAsia"/>
          <w:sz w:val="21"/>
          <w:szCs w:val="21"/>
        </w:rPr>
        <w:t xml:space="preserve">（13）本基金不持有具有信用保护卖方属性的信用衍生品，不持有合约类信用衍生品，本基金持有的信用衍生品名义本金不得超过本基金中所对应受保护债券面值的100%； </w:t>
      </w:r>
    </w:p>
    <w:p>
      <w:pPr>
        <w:pStyle w:val="7"/>
        <w:spacing w:before="0" w:beforeAutospacing="0" w:after="0" w:afterAutospacing="0" w:line="360" w:lineRule="auto"/>
        <w:ind w:firstLine="420"/>
        <w:rPr>
          <w:sz w:val="21"/>
          <w:szCs w:val="21"/>
        </w:rPr>
      </w:pPr>
      <w:r>
        <w:rPr>
          <w:rFonts w:hint="eastAsia"/>
          <w:sz w:val="21"/>
          <w:szCs w:val="21"/>
        </w:rPr>
        <w:t xml:space="preserve">（14）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pPr>
        <w:pStyle w:val="7"/>
        <w:spacing w:before="0" w:beforeAutospacing="0" w:after="0" w:afterAutospacing="0" w:line="360" w:lineRule="auto"/>
        <w:ind w:firstLine="420"/>
        <w:rPr>
          <w:sz w:val="21"/>
          <w:szCs w:val="21"/>
        </w:rPr>
      </w:pPr>
      <w:r>
        <w:rPr>
          <w:rFonts w:hint="eastAsia"/>
          <w:sz w:val="21"/>
          <w:szCs w:val="21"/>
        </w:rPr>
        <w:t xml:space="preserve">（15）开放期内，本基金主动投资于流动性受限资产的市值合计不得超过基金资产净值的15%；封闭期不受此限；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（16）本基金与私募类证券资管产品及中国证监会认定的其他主体为交易对手开展逆回购交易的，可接受质押品的资质要求应当与基金合同约定的投资范围保持一致；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2）、（10）、（14）、（15）、（16）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法律法规或监管部门取消或变更上述限制，如适用于本基金，基金管理人在履行适当程序后，则本基金投资不再受相关限制或按变更后的规定执行。 </w:t>
      </w:r>
    </w:p>
    <w:p>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（三）基金托管人根据有关法律法规的规定及基金合同的约定，对本托管协议第十五条第（十二）款基金投资禁止行为进行监督。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 </w:t>
      </w:r>
    </w:p>
    <w:p>
      <w:pPr>
        <w:pStyle w:val="7"/>
        <w:spacing w:before="0" w:beforeAutospacing="0" w:after="0" w:afterAutospacing="0" w:line="360" w:lineRule="auto"/>
        <w:ind w:firstLine="420"/>
        <w:rPr>
          <w:sz w:val="21"/>
          <w:szCs w:val="21"/>
        </w:rPr>
      </w:pPr>
      <w:r>
        <w:rPr>
          <w:rFonts w:hint="eastAsia"/>
          <w:sz w:val="21"/>
          <w:szCs w:val="21"/>
        </w:rPr>
        <w:t xml:space="preserve">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事后监督基金管理人是否按事前提供的银行间债券市场交易对手名单进行交易。基金管理人可以定期或不定期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承担交易对手不履行合同造成的损失，基金托管人则根据银行间债券市场成交单对合同履行情况进行监督。如基金托管人事后发现基金管理人没有按照事先约定的交易对手进行交易时，基金托管人应及时提醒基金管理人，基金托管人不承担由此造成的相应损失和责任。 </w:t>
      </w:r>
    </w:p>
    <w:p>
      <w:pPr>
        <w:pStyle w:val="7"/>
        <w:spacing w:before="0" w:beforeAutospacing="0" w:after="0" w:afterAutospacing="0" w:line="360" w:lineRule="auto"/>
        <w:ind w:firstLine="420"/>
        <w:rPr>
          <w:sz w:val="21"/>
          <w:szCs w:val="21"/>
        </w:rPr>
      </w:pPr>
      <w:r>
        <w:rPr>
          <w:rFonts w:hint="eastAsia"/>
          <w:sz w:val="21"/>
          <w:szCs w:val="21"/>
        </w:rPr>
        <w:t xml:space="preserve">（六）基金管理人投资银行定期存款应符合相关法律法规约定。基金管理人在投资银行定期存款的过程中，必须符合基金合同就投资品种、投资比例、存款期限等方面的限制。基金管理人应基于审慎原则评估存款银行信用风险并据此选择存款银行。因基金管理人违反上述原则给基金造成的损失，基金托管人不承担任何责任。开立定期存款账户时，定期存款账户的户名应与托管账户户名一致，本着便于基金财产的安全保管和日常监督核查的原则，存款行应尽量选择托管账户所在地的分支机构。对于跨行定期存款投资，基金管理人必须和存款机构签订定期存款协议，约定双方的权利和义务，该协议作为划款指令附件。该协议中必须有如下明确条款：“存款证实书不得被质押或以任何方式被抵押，并不得用于转让和背书；本息到期归还或提前支取的所有款项必须划至托管专户（明确户名、开户行、账号等），不得划入其他任何账户”。并依照本协议交接原则对存单交接流程予以明确。对于跨行存款，管理人需提前与托管人就定期存款协议及存单交接流程进行沟通。除非存款协议中规定存款证实书由存款行保管或存款协议作为存款支取的依据，存单交接原则上采用存款行上门服务的方式。特殊情况下，采用基金管理人交接存单的方式。在取得存款证实书后，基金托管人保管证实书正本。基金管理人需对跨行存款的利率政策风险、存款行的选择及存款协议承担责任，并指定专人在核实存款行授权人员身份信息后，负责印鉴卡与存款证实书等凭证的监交或交接，以确保与基金托管人所交接凭证的真实性、准确性和完整性。基金托管人对投资后处于基金托管人实际控制之外的资产不承担保管责任。跨行定期存款账户的预留印鉴为基金托管人托管业务专用章与托管业务授权人名章。 </w:t>
      </w:r>
    </w:p>
    <w:p>
      <w:pPr>
        <w:pStyle w:val="7"/>
        <w:spacing w:before="0" w:beforeAutospacing="0" w:after="0" w:afterAutospacing="0" w:line="360" w:lineRule="auto"/>
        <w:ind w:firstLine="420"/>
        <w:rPr>
          <w:sz w:val="21"/>
          <w:szCs w:val="21"/>
        </w:rPr>
      </w:pPr>
      <w:r>
        <w:rPr>
          <w:rFonts w:hint="eastAsia"/>
          <w:sz w:val="21"/>
          <w:szCs w:val="21"/>
        </w:rPr>
        <w:t xml:space="preserve">（七）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pPr>
        <w:pStyle w:val="7"/>
        <w:spacing w:before="0" w:beforeAutospacing="0" w:after="0" w:afterAutospacing="0" w:line="360" w:lineRule="auto"/>
        <w:ind w:firstLine="420"/>
        <w:rPr>
          <w:sz w:val="21"/>
          <w:szCs w:val="21"/>
        </w:rPr>
      </w:pPr>
      <w:r>
        <w:rPr>
          <w:rFonts w:hint="eastAsia"/>
          <w:sz w:val="21"/>
          <w:szCs w:val="21"/>
        </w:rPr>
        <w:t xml:space="preserve">如果基金管理人未经基金托管人的审核擅自将不实的业绩表现数据印制在宣传推介材料上，则基金托管人对此不承担任何责任，并将在发现后立即报告中国证监会。 </w:t>
      </w:r>
    </w:p>
    <w:p>
      <w:pPr>
        <w:pStyle w:val="7"/>
        <w:spacing w:before="0" w:beforeAutospacing="0" w:after="0" w:afterAutospacing="0" w:line="360" w:lineRule="auto"/>
        <w:ind w:firstLine="420"/>
        <w:rPr>
          <w:sz w:val="21"/>
          <w:szCs w:val="21"/>
        </w:rPr>
      </w:pPr>
      <w:r>
        <w:rPr>
          <w:rFonts w:hint="eastAsia"/>
          <w:sz w:val="21"/>
          <w:szCs w:val="21"/>
        </w:rPr>
        <w:t xml:space="preserve">（八）基金托管人发现基金管理人的上述事项及投资指令或实际投资运作违反法律法规、基金合同和本托管协议的规定，应及时以电话提醒或书面提示等方式通知基金管理人限期纠正。 </w:t>
      </w:r>
    </w:p>
    <w:p>
      <w:pPr>
        <w:pStyle w:val="7"/>
        <w:spacing w:before="0" w:beforeAutospacing="0" w:after="0" w:afterAutospacing="0" w:line="360" w:lineRule="auto"/>
        <w:ind w:firstLine="420"/>
        <w:rPr>
          <w:sz w:val="21"/>
          <w:szCs w:val="21"/>
        </w:rPr>
      </w:pPr>
      <w:r>
        <w:rPr>
          <w:rFonts w:hint="eastAsia"/>
          <w:sz w:val="21"/>
          <w:szCs w:val="21"/>
        </w:rPr>
        <w:t xml:space="preserve">基金管理人应积极配合和协助基金托管人的监督和核查。基金管理人收到书面通知后应在下一工作日前及时核对并以书面形式给基金托管人发出回函，就基金托管人合理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pPr>
        <w:pStyle w:val="7"/>
        <w:spacing w:before="0" w:beforeAutospacing="0" w:after="0" w:afterAutospacing="0" w:line="360" w:lineRule="auto"/>
        <w:ind w:firstLine="420"/>
        <w:rPr>
          <w:sz w:val="21"/>
          <w:szCs w:val="21"/>
        </w:rPr>
      </w:pPr>
      <w:r>
        <w:rPr>
          <w:rFonts w:hint="eastAsia"/>
          <w:sz w:val="21"/>
          <w:szCs w:val="21"/>
        </w:rPr>
        <w:t xml:space="preserve">（九）基金管理人有义务配合和协助基金托管人依照法律法规、基金合同和本托管协议对基金业务执行核查。 </w:t>
      </w:r>
    </w:p>
    <w:p>
      <w:pPr>
        <w:pStyle w:val="7"/>
        <w:spacing w:before="0" w:beforeAutospacing="0" w:after="0" w:afterAutospacing="0" w:line="360" w:lineRule="auto"/>
        <w:ind w:firstLine="420"/>
        <w:rPr>
          <w:sz w:val="21"/>
          <w:szCs w:val="21"/>
        </w:rPr>
      </w:pPr>
      <w:r>
        <w:rPr>
          <w:rFonts w:hint="eastAsia"/>
          <w:sz w:val="21"/>
          <w:szCs w:val="21"/>
        </w:rPr>
        <w:t xml:space="preserve">对基金托管人发出的书面提示，基金管理人应在规定时间内答复并改正，或就基金托管人合理的疑义进行解释或举证；对基金托管人按照法律法规、基金合同和本托管协议的要求需向中国证监会报送基金监督报告的事项，基金管理人应积极配合提供相关数据资料和制度等。 </w:t>
      </w:r>
    </w:p>
    <w:p>
      <w:pPr>
        <w:pStyle w:val="7"/>
        <w:spacing w:before="0" w:beforeAutospacing="0" w:after="0" w:afterAutospacing="0" w:line="360" w:lineRule="auto"/>
        <w:ind w:firstLine="420"/>
        <w:rPr>
          <w:sz w:val="21"/>
          <w:szCs w:val="21"/>
        </w:rPr>
      </w:pPr>
      <w:r>
        <w:rPr>
          <w:rFonts w:hint="eastAsia"/>
          <w:sz w:val="21"/>
          <w:szCs w:val="21"/>
        </w:rPr>
        <w:t xml:space="preserve">（十）若基金托管人发现基金管理人依据交易程序已经生效的指令违反法律、行政法规和其他有关规定，或者违反基金合同约定的，应当立即通知基金管理人。 </w:t>
      </w:r>
    </w:p>
    <w:p>
      <w:pPr>
        <w:pStyle w:val="7"/>
        <w:spacing w:before="0" w:beforeAutospacing="0" w:after="0" w:afterAutospacing="0" w:line="360" w:lineRule="auto"/>
        <w:ind w:firstLine="420"/>
        <w:rPr>
          <w:sz w:val="21"/>
          <w:szCs w:val="21"/>
        </w:rPr>
      </w:pPr>
      <w:r>
        <w:rPr>
          <w:rFonts w:hint="eastAsia"/>
          <w:sz w:val="21"/>
          <w:szCs w:val="21"/>
        </w:rPr>
        <w:t xml:space="preserve">（十一）基金托管人发现基金管理人有重大违规行为，应及时报告中国证监会，同时通知基金管理人限期纠正，并将纠正结果报告中国证监会。 </w:t>
      </w:r>
    </w:p>
    <w:p>
      <w:pPr>
        <w:pStyle w:val="7"/>
        <w:spacing w:before="0" w:beforeAutospacing="0" w:after="0" w:afterAutospacing="0" w:line="360" w:lineRule="auto"/>
        <w:ind w:firstLine="420"/>
        <w:rPr>
          <w:sz w:val="21"/>
          <w:szCs w:val="21"/>
        </w:rPr>
      </w:pPr>
      <w:r>
        <w:rPr>
          <w:rFonts w:hint="eastAsia"/>
          <w:sz w:val="21"/>
          <w:szCs w:val="21"/>
        </w:rPr>
        <w:t xml:space="preserve">基金管理人无正当理由，拒绝、阻挠对方根据本托管协议规定行使监督权，或采取拖延、欺诈等手段妨碍对方进行有效监督，情节严重或经基金托管人提出警告仍不改正的，基金托管人应报告中国证监会。 </w:t>
      </w:r>
    </w:p>
    <w:p>
      <w:pPr>
        <w:pStyle w:val="7"/>
        <w:spacing w:before="0" w:beforeAutospacing="0" w:after="0" w:afterAutospacing="0" w:line="360" w:lineRule="auto"/>
        <w:ind w:firstLine="420"/>
        <w:rPr>
          <w:sz w:val="21"/>
          <w:szCs w:val="21"/>
        </w:rPr>
      </w:pPr>
      <w:r>
        <w:rPr>
          <w:rFonts w:hint="eastAsia"/>
          <w:sz w:val="21"/>
          <w:szCs w:val="21"/>
        </w:rPr>
        <w:t xml:space="preserve">（十二）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证券账户以及投资所需的其他专用账户、复核基金管理人计算的基金资产净值和基金份额净值、根据基金管理人指令办理清算交收、相关信息披露和监督基金投资运作等行为。 </w:t>
      </w:r>
    </w:p>
    <w:p>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 </w:t>
      </w:r>
    </w:p>
    <w:p>
      <w:pPr>
        <w:pStyle w:val="7"/>
        <w:spacing w:before="0" w:beforeAutospacing="0" w:after="0" w:afterAutospacing="0" w:line="360" w:lineRule="auto"/>
        <w:ind w:firstLine="420"/>
        <w:rPr>
          <w:sz w:val="21"/>
          <w:szCs w:val="21"/>
        </w:rPr>
      </w:pPr>
      <w:r>
        <w:rPr>
          <w:rFonts w:hint="eastAsia"/>
          <w:sz w:val="21"/>
          <w:szCs w:val="21"/>
        </w:rPr>
        <w:t xml:space="preserve">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 </w:t>
      </w:r>
    </w:p>
    <w:p>
      <w:pPr>
        <w:pStyle w:val="7"/>
        <w:spacing w:before="0" w:beforeAutospacing="0" w:after="0" w:afterAutospacing="0" w:line="360" w:lineRule="auto"/>
        <w:ind w:firstLine="420"/>
        <w:rPr>
          <w:sz w:val="21"/>
          <w:szCs w:val="21"/>
        </w:rPr>
      </w:pPr>
      <w:r>
        <w:rPr>
          <w:rFonts w:hint="eastAsia"/>
          <w:sz w:val="21"/>
          <w:szCs w:val="21"/>
        </w:rPr>
        <w:t xml:space="preserve">基金托管人无正当理由，拒绝、阻挠对方根据本协议规定行使监督权，或采取拖延、欺诈等手段妨碍对方进行有效监督，情节严重或经基金管理人提出警告仍不改正的，基金管理人应报告中国证监会。 </w:t>
      </w:r>
    </w:p>
    <w:p>
      <w:pPr>
        <w:pStyle w:val="7"/>
        <w:spacing w:before="0" w:beforeAutospacing="0" w:after="0" w:afterAutospacing="0" w:line="360" w:lineRule="auto"/>
        <w:ind w:firstLine="420"/>
        <w:rPr>
          <w:sz w:val="21"/>
          <w:szCs w:val="21"/>
        </w:rPr>
      </w:pPr>
      <w:r>
        <w:rPr>
          <w:rStyle w:val="11"/>
          <w:rFonts w:hint="eastAsia"/>
          <w:sz w:val="21"/>
          <w:szCs w:val="21"/>
        </w:rPr>
        <w:t>四、基金财产的保管</w:t>
      </w:r>
    </w:p>
    <w:p>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3．基金托管人按照规定开设基金财产的资金账户、证券账户以及投资所需的其他专用账户； </w:t>
      </w:r>
    </w:p>
    <w:p>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pPr>
        <w:pStyle w:val="7"/>
        <w:spacing w:before="0" w:beforeAutospacing="0" w:after="0" w:afterAutospacing="0" w:line="360" w:lineRule="auto"/>
        <w:ind w:firstLine="420"/>
        <w:rPr>
          <w:sz w:val="21"/>
          <w:szCs w:val="21"/>
        </w:rPr>
      </w:pPr>
      <w:r>
        <w:rPr>
          <w:rFonts w:hint="eastAsia"/>
          <w:sz w:val="21"/>
          <w:szCs w:val="21"/>
        </w:rPr>
        <w:t xml:space="preserve">5．基金托管人根据基金管理人的指令，按照基金合同和本协议的约定保管基金财产，如有特殊情况双方可另行协商解决； </w:t>
      </w:r>
    </w:p>
    <w:p>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并配合基金管理人采取措施进行催收。由此给基金财产造成损失的，基金管理人应负责向有关当事人追偿基金财产的损失，基金托管人对基金管理人的追偿行为应予以必要的协助； </w:t>
      </w:r>
    </w:p>
    <w:p>
      <w:pPr>
        <w:pStyle w:val="7"/>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1．基金募集期间募集的资金应存于基金管理人开立的“基金募集专户”。该账户由基金管理人开立并管理。 </w:t>
      </w:r>
    </w:p>
    <w:p>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发起资金的认购金额、发起资金提供方及其承诺的持有期限符合《基金法》、《运作办法》等有关规定后，基金管理人应将属于基金财产的全部资金划入基金托管人为本基金开立的基金托管专户，同时在规定时间内，聘请符合《证券法》规定的会计师事务所进行验资，出具验资报告验资报告需对发起资金的提供方及其持有份额进行专门说明。出具的验资报告由参加验资的2名或2名以上中国注册会计师签字方为有效。 </w:t>
      </w:r>
    </w:p>
    <w:p>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3．若基金募集期限届满，未能达到基金合同生效的条件，由基金管理人按规定办理退款等事宜，基金托管人应提供充分协助。 </w:t>
      </w:r>
    </w:p>
    <w:p>
      <w:pPr>
        <w:pStyle w:val="7"/>
        <w:spacing w:before="0" w:beforeAutospacing="0" w:after="0" w:afterAutospacing="0" w:line="360" w:lineRule="auto"/>
        <w:ind w:firstLine="420"/>
        <w:rPr>
          <w:sz w:val="21"/>
          <w:szCs w:val="21"/>
        </w:rPr>
      </w:pPr>
      <w:r>
        <w:rPr>
          <w:rFonts w:hint="eastAsia"/>
          <w:sz w:val="21"/>
          <w:szCs w:val="21"/>
        </w:rPr>
        <w:t xml:space="preserve">（三）基金托管专户的开立和管理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1．基金托管人以基金的名义在其营业机构开设基金托管专户，保管基金的银行存款。本基金的一切货币收支活动，包括但不限于投资、支付赎回金额、支付基金收益、收取申购款，均需通过基金托管专户进行。 </w:t>
      </w:r>
    </w:p>
    <w:p>
      <w:pPr>
        <w:pStyle w:val="7"/>
        <w:spacing w:before="0" w:beforeAutospacing="0" w:after="0" w:afterAutospacing="0" w:line="360" w:lineRule="auto"/>
        <w:ind w:firstLine="420"/>
        <w:rPr>
          <w:sz w:val="21"/>
          <w:szCs w:val="21"/>
        </w:rPr>
      </w:pPr>
      <w:r>
        <w:rPr>
          <w:rFonts w:hint="eastAsia"/>
          <w:sz w:val="21"/>
          <w:szCs w:val="21"/>
        </w:rPr>
        <w:t xml:space="preserve">2．基金托管专户的开立和使用，限于满足开展本基金业务的需要。基金托管人和基金管理人不得假借本基金的名义开立任何其他银行账户；亦不得使用基金的任何账户进行本基金业务以外的活动。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3．基金托管专户的开立和管理应符合有关法律法规以及银行业监督管理机构的其他有关规定。 </w:t>
      </w:r>
    </w:p>
    <w:p>
      <w:pPr>
        <w:pStyle w:val="7"/>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1．基金托管人在中国证券登记结算有限责任公司（以下或称“中国结算”）上海分公司、深圳分公司为基金开立基金托管人与本基金联名的证券账户。 </w:t>
      </w:r>
    </w:p>
    <w:p>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pPr>
        <w:pStyle w:val="7"/>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本基金完成与中国证券登记结算有限责任公司的一级法人清算工作，基金管理人应予以积极协助。结算备付金、交收价差资金等的收取按照中国证券登记结算有限责任公司的规定执行。 </w:t>
      </w:r>
    </w:p>
    <w:p>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pPr>
        <w:pStyle w:val="7"/>
        <w:spacing w:before="0" w:beforeAutospacing="0" w:after="0" w:afterAutospacing="0" w:line="360" w:lineRule="auto"/>
        <w:ind w:firstLine="420"/>
        <w:rPr>
          <w:sz w:val="21"/>
          <w:szCs w:val="21"/>
        </w:rPr>
      </w:pPr>
      <w:r>
        <w:rPr>
          <w:rFonts w:hint="eastAsia"/>
          <w:sz w:val="21"/>
          <w:szCs w:val="21"/>
        </w:rPr>
        <w:t xml:space="preserve">（五）银行间债券托管专户的开设和管理 </w:t>
      </w:r>
    </w:p>
    <w:p>
      <w:pPr>
        <w:pStyle w:val="7"/>
        <w:spacing w:before="0" w:beforeAutospacing="0" w:after="0" w:afterAutospacing="0" w:line="360" w:lineRule="auto"/>
        <w:ind w:firstLine="420"/>
        <w:rPr>
          <w:sz w:val="21"/>
          <w:szCs w:val="21"/>
        </w:rPr>
      </w:pPr>
      <w:r>
        <w:rPr>
          <w:rFonts w:hint="eastAsia"/>
          <w:sz w:val="21"/>
          <w:szCs w:val="21"/>
        </w:rPr>
        <w:t xml:space="preserve">基金合同生效后，基金管理人负责以基金的名义申请并取得进入全国银行间同业拆借市场的交易资格，并代表基金进行交易；基金托管人负责根据中国人民银行、银行间市场登记结算机构的有关规定，以本基金的名义在中央国债登记结算有限责任公司和银行间市场清算所股份有限公司开设银行间债券市场债券托管账户，并代表基金进行银行间市场债券的结算。 </w:t>
      </w:r>
    </w:p>
    <w:p>
      <w:pPr>
        <w:pStyle w:val="7"/>
        <w:spacing w:before="0" w:beforeAutospacing="0" w:after="0" w:afterAutospacing="0" w:line="360" w:lineRule="auto"/>
        <w:ind w:firstLine="420"/>
        <w:rPr>
          <w:sz w:val="21"/>
          <w:szCs w:val="21"/>
        </w:rPr>
      </w:pPr>
      <w:r>
        <w:rPr>
          <w:rFonts w:hint="eastAsia"/>
          <w:sz w:val="21"/>
          <w:szCs w:val="21"/>
        </w:rPr>
        <w:t xml:space="preserve">（六）期货账户的开立和管理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基金托管人与基金管理人应依据相关期货交易所或期货公司的相关规定开立和管理期货账户。 </w:t>
      </w:r>
    </w:p>
    <w:p>
      <w:pPr>
        <w:pStyle w:val="7"/>
        <w:spacing w:before="0" w:beforeAutospacing="0" w:after="0" w:afterAutospacing="0" w:line="360" w:lineRule="auto"/>
        <w:ind w:firstLine="420"/>
        <w:rPr>
          <w:sz w:val="21"/>
          <w:szCs w:val="21"/>
        </w:rPr>
      </w:pPr>
      <w:r>
        <w:rPr>
          <w:rFonts w:hint="eastAsia"/>
          <w:sz w:val="21"/>
          <w:szCs w:val="21"/>
        </w:rPr>
        <w:t xml:space="preserve">（七）其他账户的开立和管理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在本托管协议签订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 </w:t>
      </w:r>
    </w:p>
    <w:p>
      <w:pPr>
        <w:pStyle w:val="7"/>
        <w:spacing w:before="0" w:beforeAutospacing="0" w:after="0" w:afterAutospacing="0" w:line="360" w:lineRule="auto"/>
        <w:ind w:firstLine="420"/>
        <w:rPr>
          <w:sz w:val="21"/>
          <w:szCs w:val="21"/>
        </w:rPr>
      </w:pPr>
      <w:r>
        <w:rPr>
          <w:rFonts w:hint="eastAsia"/>
          <w:sz w:val="21"/>
          <w:szCs w:val="21"/>
        </w:rPr>
        <w:t xml:space="preserve">法律法规等有关规定对相关账户的开立和管理另有规定的，从其规定办理。 </w:t>
      </w:r>
    </w:p>
    <w:p>
      <w:pPr>
        <w:pStyle w:val="7"/>
        <w:spacing w:before="0" w:beforeAutospacing="0" w:after="0" w:afterAutospacing="0" w:line="360" w:lineRule="auto"/>
        <w:ind w:firstLine="420"/>
        <w:rPr>
          <w:sz w:val="21"/>
          <w:szCs w:val="21"/>
        </w:rPr>
      </w:pPr>
      <w:r>
        <w:rPr>
          <w:rFonts w:hint="eastAsia"/>
          <w:sz w:val="21"/>
          <w:szCs w:val="21"/>
        </w:rPr>
        <w:t xml:space="preserve">（八）基金财产投资的有关有价凭证等的保管 </w:t>
      </w:r>
    </w:p>
    <w:p>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也可存入中央国债登记结算有限责任公司、中国证券登记结算有限责任公司上海分公司/深圳分公司、银行间市场清算所股份有限公司或票据营业中心的代保管库，保管凭证由基金托管人持有。实物证券、银行存款开户证实书等有价凭证的购买和转让，由基金管理人和基金托管人共同办理。基金托管人对由基金托管人及基金托管人委托保管的机构以外机构实际有效控制的证券不承担保管责任。 </w:t>
      </w:r>
    </w:p>
    <w:p>
      <w:pPr>
        <w:pStyle w:val="7"/>
        <w:spacing w:before="0" w:beforeAutospacing="0" w:after="0" w:afterAutospacing="0" w:line="360" w:lineRule="auto"/>
        <w:ind w:firstLine="420"/>
        <w:rPr>
          <w:sz w:val="21"/>
          <w:szCs w:val="21"/>
        </w:rPr>
      </w:pPr>
      <w:r>
        <w:rPr>
          <w:rFonts w:hint="eastAsia"/>
          <w:sz w:val="21"/>
          <w:szCs w:val="21"/>
        </w:rPr>
        <w:t xml:space="preserve">（九）与基金财产有关的重大合同的保管 </w:t>
      </w:r>
    </w:p>
    <w:p>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将重大合同传真给基金托管人，并在30个工作日内将正本送达基金托管人处。基金托管人对重大合同的保管期限为基金合同终止后20年，法律法规另有规定或有权机关另有要求的除外。 </w:t>
      </w:r>
    </w:p>
    <w:p>
      <w:pPr>
        <w:pStyle w:val="7"/>
        <w:spacing w:before="0" w:beforeAutospacing="0" w:after="0" w:afterAutospacing="0" w:line="360" w:lineRule="auto"/>
        <w:ind w:firstLine="420"/>
        <w:rPr>
          <w:sz w:val="21"/>
          <w:szCs w:val="21"/>
        </w:rPr>
      </w:pPr>
      <w:r>
        <w:rPr>
          <w:rFonts w:hint="eastAsia"/>
          <w:sz w:val="21"/>
          <w:szCs w:val="21"/>
        </w:rPr>
        <w:t xml:space="preserve">对于无法取得二份以上正本的，基金管理人应向基金托管人提供与合同原件核对一致的加盖公章的合同传真件或复印件，未经双方协商一致或未在合同约定范围内，合同原件不得转移。 </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pPr>
        <w:pStyle w:val="7"/>
        <w:spacing w:before="0" w:beforeAutospacing="0" w:after="0" w:afterAutospacing="0" w:line="360" w:lineRule="auto"/>
        <w:ind w:firstLine="420"/>
        <w:rPr>
          <w:sz w:val="21"/>
          <w:szCs w:val="21"/>
        </w:rPr>
      </w:pPr>
      <w:r>
        <w:rPr>
          <w:rFonts w:hint="eastAsia"/>
          <w:sz w:val="21"/>
          <w:szCs w:val="21"/>
        </w:rPr>
        <w:t xml:space="preserve">1．基金资产净值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基金资产净值是指基金资产总值减去负债后的价值。基金份额净值是指每个工作日闭市后，基金资产净值除以当日基金份额的余额数量计算。 </w:t>
      </w:r>
    </w:p>
    <w:p>
      <w:pPr>
        <w:pStyle w:val="7"/>
        <w:spacing w:before="0" w:beforeAutospacing="0" w:after="0" w:afterAutospacing="0" w:line="360" w:lineRule="auto"/>
        <w:ind w:firstLine="420"/>
        <w:rPr>
          <w:sz w:val="21"/>
          <w:szCs w:val="21"/>
        </w:rPr>
      </w:pPr>
      <w:r>
        <w:rPr>
          <w:rFonts w:hint="eastAsia"/>
          <w:sz w:val="21"/>
          <w:szCs w:val="21"/>
        </w:rPr>
        <w:t xml:space="preserve">计算公式为:计算日基金份额净值=计算日基金份额基金资产净值/计算日基金份额的总份额。基金份额净值的计算精确到0.0001元，小数点后第5位四舍五入，由此产生的收益或损失由基金财产承担。基金管理人可以设立大额赎回情形下的净值精度应急调整机制。国家另有规定或基金合同另有约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基金管理人于每个工作日计算基金资产净值和基金份额净值，并按规定公告。 </w:t>
      </w:r>
    </w:p>
    <w:p>
      <w:pPr>
        <w:pStyle w:val="7"/>
        <w:spacing w:before="0" w:beforeAutospacing="0" w:after="0" w:afterAutospacing="0" w:line="360" w:lineRule="auto"/>
        <w:ind w:firstLine="420"/>
        <w:rPr>
          <w:sz w:val="21"/>
          <w:szCs w:val="21"/>
        </w:rPr>
      </w:pPr>
      <w:r>
        <w:rPr>
          <w:rFonts w:hint="eastAsia"/>
          <w:sz w:val="21"/>
          <w:szCs w:val="21"/>
        </w:rPr>
        <w:t xml:space="preserve">2．复核程序 </w:t>
      </w:r>
    </w:p>
    <w:p>
      <w:pPr>
        <w:pStyle w:val="7"/>
        <w:spacing w:before="0" w:beforeAutospacing="0" w:after="0" w:afterAutospacing="0" w:line="360" w:lineRule="auto"/>
        <w:ind w:firstLine="420"/>
        <w:rPr>
          <w:sz w:val="21"/>
          <w:szCs w:val="21"/>
        </w:rPr>
      </w:pPr>
      <w:r>
        <w:rPr>
          <w:rFonts w:hint="eastAsia"/>
          <w:sz w:val="21"/>
          <w:szCs w:val="21"/>
        </w:rPr>
        <w:t xml:space="preserve">基金管理人每个工作日对基金资产进行估值后，将基金份额净值结果发送基金托管人，经基金托管人复核无误后，由基金管理人按规定对外公布。但基金管理人根据法律法规或基金合同的规定暂停估值时除外。 </w:t>
      </w:r>
    </w:p>
    <w:p>
      <w:pPr>
        <w:pStyle w:val="7"/>
        <w:spacing w:before="0" w:beforeAutospacing="0" w:after="0" w:afterAutospacing="0" w:line="360" w:lineRule="auto"/>
        <w:ind w:firstLine="420"/>
        <w:rPr>
          <w:sz w:val="21"/>
          <w:szCs w:val="21"/>
        </w:rPr>
      </w:pPr>
      <w:r>
        <w:rPr>
          <w:rFonts w:hint="eastAsia"/>
          <w:sz w:val="21"/>
          <w:szCs w:val="21"/>
        </w:rPr>
        <w:t xml:space="preserve">3．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 </w:t>
      </w:r>
    </w:p>
    <w:p>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pPr>
        <w:pStyle w:val="7"/>
        <w:spacing w:before="0" w:beforeAutospacing="0" w:after="0" w:afterAutospacing="0" w:line="360" w:lineRule="auto"/>
        <w:ind w:firstLine="420"/>
        <w:rPr>
          <w:sz w:val="21"/>
          <w:szCs w:val="21"/>
        </w:rPr>
      </w:pPr>
      <w:r>
        <w:rPr>
          <w:rFonts w:hint="eastAsia"/>
          <w:sz w:val="21"/>
          <w:szCs w:val="21"/>
        </w:rPr>
        <w:t xml:space="preserve">1．估值对象 </w:t>
      </w:r>
    </w:p>
    <w:p>
      <w:pPr>
        <w:pStyle w:val="7"/>
        <w:spacing w:before="0" w:beforeAutospacing="0" w:after="0" w:afterAutospacing="0" w:line="360" w:lineRule="auto"/>
        <w:ind w:firstLine="420"/>
        <w:rPr>
          <w:sz w:val="21"/>
          <w:szCs w:val="21"/>
        </w:rPr>
      </w:pPr>
      <w:r>
        <w:rPr>
          <w:rFonts w:hint="eastAsia"/>
          <w:sz w:val="21"/>
          <w:szCs w:val="21"/>
        </w:rPr>
        <w:t xml:space="preserve">基金所拥有的股票、债券、资产支持证券、银行存款本息、国债期货合约、信用衍生品、应收款项、其它投资等资产及负债。 </w:t>
      </w:r>
    </w:p>
    <w:p>
      <w:pPr>
        <w:pStyle w:val="7"/>
        <w:spacing w:before="0" w:beforeAutospacing="0" w:after="0" w:afterAutospacing="0" w:line="360" w:lineRule="auto"/>
        <w:ind w:firstLine="420"/>
        <w:rPr>
          <w:sz w:val="21"/>
          <w:szCs w:val="21"/>
        </w:rPr>
      </w:pPr>
      <w:r>
        <w:rPr>
          <w:rFonts w:hint="eastAsia"/>
          <w:sz w:val="21"/>
          <w:szCs w:val="21"/>
        </w:rPr>
        <w:t xml:space="preserve">2．估值方法 </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信用衍生品按第三方估值机构提供的当日估值价格进行估值，但基金管理人依法应当承担的估值责任不因委托而免除。选定的第三方估值机构未提供估值价格的，依照有关法律法规及企业会计准则要求，采用合理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（6）基金投资的国债期货合约，一般以估值当日结算价进行估值，估值当日无结算价的，且最近交易日后经济环境未发生重大变化的，采用最近交易日结算价估值。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（7）开放期内，当发生大额申购或赎回情形时，基金管理人可以采用摆动定价机制，以确保基金估值的公平性。具体处理原则与操作规范遵循相关法律法规以及监管部门、自律组织的规定。 </w:t>
      </w:r>
    </w:p>
    <w:p>
      <w:pPr>
        <w:pStyle w:val="7"/>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（9）相关法律法规以及监管部门有强制规定的，从其规定。如有新增事项，按国家最新规定估值。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 xml:space="preserve">3．特殊情形的处理 </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（1）基金管理人或基金托管人按估值方法的第（8）项进行估值时，所造成的误差不作为基金资产估值错误处理。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 xml:space="preserve">（2）由于有关会计制度变化或不可抗力原因，或由于证券/期货交易所或登记结算公司及存款银行等第三方机构发送的数据错误、遗漏或市场规则变更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pPr>
        <w:pStyle w:val="7"/>
        <w:spacing w:before="0" w:beforeAutospacing="0" w:after="0" w:afterAutospacing="0" w:line="360" w:lineRule="auto"/>
        <w:ind w:firstLine="420"/>
        <w:rPr>
          <w:sz w:val="21"/>
          <w:szCs w:val="21"/>
        </w:rPr>
      </w:pPr>
      <w:r>
        <w:rPr>
          <w:rFonts w:hint="eastAsia"/>
          <w:sz w:val="21"/>
          <w:szCs w:val="21"/>
        </w:rPr>
        <w:t xml:space="preserve">基金管理人和基金托管人将采取必要、适当、合理的措施确保基金资产估值的准确性、及时性。当基金份额净值小数点后4位以内(含第4位)发生估值错误时，视为基金份额净值错误。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pPr>
        <w:pStyle w:val="7"/>
        <w:spacing w:before="0" w:beforeAutospacing="0" w:after="0" w:afterAutospacing="0" w:line="360" w:lineRule="auto"/>
        <w:ind w:firstLine="420"/>
        <w:rPr>
          <w:sz w:val="21"/>
          <w:szCs w:val="21"/>
        </w:rPr>
      </w:pPr>
      <w:r>
        <w:rPr>
          <w:rFonts w:hint="eastAsia"/>
          <w:sz w:val="21"/>
          <w:szCs w:val="21"/>
        </w:rPr>
        <w:t xml:space="preserve">（四）暂停估值的情形 </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4、法律法规规定、中国证监会和基金合同认定的其他情形。 </w:t>
      </w:r>
    </w:p>
    <w:p>
      <w:pPr>
        <w:pStyle w:val="7"/>
        <w:spacing w:before="0" w:beforeAutospacing="0" w:after="0" w:afterAutospacing="0" w:line="360" w:lineRule="auto"/>
        <w:ind w:firstLine="420"/>
        <w:rPr>
          <w:sz w:val="21"/>
          <w:szCs w:val="21"/>
        </w:rPr>
      </w:pPr>
      <w:r>
        <w:rPr>
          <w:rFonts w:hint="eastAsia"/>
          <w:sz w:val="21"/>
          <w:szCs w:val="21"/>
        </w:rPr>
        <w:t xml:space="preserve">（五）基金会计制度 </w:t>
      </w:r>
    </w:p>
    <w:p>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独立地设置、记录和保管本基金的全套账册。若基金管理人和基金托管人对会计处理方法存在分歧，应以基金管理人的处理方法为准。若当日核对不符，暂时无法查找到错账的原因而影响到基金净值的计算和公告的，以基金管理人的账册为准。 </w:t>
      </w:r>
    </w:p>
    <w:p>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pPr>
        <w:pStyle w:val="7"/>
        <w:spacing w:before="0" w:beforeAutospacing="0" w:after="0" w:afterAutospacing="0" w:line="360" w:lineRule="auto"/>
        <w:ind w:firstLine="420"/>
        <w:rPr>
          <w:sz w:val="21"/>
          <w:szCs w:val="21"/>
        </w:rPr>
      </w:pPr>
      <w:r>
        <w:rPr>
          <w:rFonts w:hint="eastAsia"/>
          <w:sz w:val="21"/>
          <w:szCs w:val="21"/>
        </w:rPr>
        <w:t xml:space="preserve">2．报表复核 </w:t>
      </w:r>
    </w:p>
    <w:p>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pPr>
        <w:pStyle w:val="7"/>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pPr>
        <w:pStyle w:val="7"/>
        <w:spacing w:before="0" w:beforeAutospacing="0" w:after="0" w:afterAutospacing="0" w:line="360" w:lineRule="auto"/>
        <w:ind w:firstLine="420"/>
        <w:rPr>
          <w:sz w:val="21"/>
          <w:szCs w:val="21"/>
        </w:rPr>
      </w:pPr>
      <w:r>
        <w:rPr>
          <w:rFonts w:hint="eastAsia"/>
          <w:sz w:val="21"/>
          <w:szCs w:val="21"/>
        </w:rPr>
        <w:t xml:space="preserve">（1）报表的编制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季度结束之日起15个工作日内完成基金季度报告的编制并公告；在上半年结束之日起两个月内完成基金中期报告的编制并公告；在每年结束之日起三个月内完成基金年度报告的编制并公告。基金年度报告中的财务会计报告应当经过符合《证券法》规定的会计师事务所审计。基金合同生效不足两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（2）报表的复核 </w:t>
      </w:r>
    </w:p>
    <w:p>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应定期向基金托管人提供基金份额持有人名册，基金托管人得到基金管理人提供的持有人名册后与基金管理人分别进行保管。保管方式可以采用电子或文档的形式，保存期不少于20年，法律法规另有规定或有权机关另有要求的除外。如不能妥善保管，则按相关法规承担责任。 </w:t>
      </w:r>
    </w:p>
    <w:p>
      <w:pPr>
        <w:pStyle w:val="7"/>
        <w:spacing w:before="0" w:beforeAutospacing="0" w:after="0" w:afterAutospacing="0" w:line="360" w:lineRule="auto"/>
        <w:ind w:firstLine="420"/>
        <w:rPr>
          <w:sz w:val="21"/>
          <w:szCs w:val="21"/>
        </w:rPr>
      </w:pPr>
      <w:r>
        <w:rPr>
          <w:rFonts w:hint="eastAsia"/>
          <w:sz w:val="21"/>
          <w:szCs w:val="21"/>
        </w:rPr>
        <w:t xml:space="preserve">基金托管人因编制基金定期报告等合理原因要求基金管理人提供相关资料时，基金管理人应将有关资料送交基金托管人，不得无故拒绝或延误提供，并保证其真实性、准确性和完整性。基金托管人不得将所保管的基金份额持有人名册用于基金托管业务以外的其他用途，并应遵守保密义务，法律法规另有规定或有权机关另有要求的除外。 </w:t>
      </w:r>
    </w:p>
    <w:p>
      <w:pPr>
        <w:pStyle w:val="7"/>
        <w:spacing w:before="0" w:beforeAutospacing="0" w:after="0" w:afterAutospacing="0" w:line="360" w:lineRule="auto"/>
        <w:ind w:firstLine="420"/>
        <w:rPr>
          <w:sz w:val="21"/>
          <w:szCs w:val="21"/>
        </w:rPr>
      </w:pPr>
      <w:r>
        <w:rPr>
          <w:rStyle w:val="11"/>
          <w:rFonts w:hint="eastAsia"/>
          <w:sz w:val="21"/>
          <w:szCs w:val="21"/>
        </w:rPr>
        <w:t>七、争议解决方式</w:t>
      </w:r>
    </w:p>
    <w:p>
      <w:pPr>
        <w:pStyle w:val="7"/>
        <w:spacing w:before="0" w:beforeAutospacing="0" w:after="0" w:afterAutospacing="0" w:line="360" w:lineRule="auto"/>
        <w:ind w:firstLine="420"/>
        <w:rPr>
          <w:sz w:val="21"/>
          <w:szCs w:val="21"/>
        </w:rPr>
      </w:pPr>
      <w:r>
        <w:rPr>
          <w:rFonts w:hint="eastAsia"/>
          <w:sz w:val="21"/>
          <w:szCs w:val="21"/>
        </w:rPr>
        <w:t xml:space="preserve">双方当事人同意，因基金合同及本协议而产生的或与基金合同或本协议有关的一切争议，如经友好协商、调解未能解决的，任何一方均有权将争议提交深圳国际仲裁院（深圳仲裁委员会），按照该会届时有效的仲裁规则进行仲裁。仲裁地点为深圳市。仲裁裁决是终局的，对双方当事人均有约束力。仲裁费用和律师费用由败诉方承担，除非仲裁裁决另有规定。 </w:t>
      </w:r>
    </w:p>
    <w:p>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本协议受中国（为本协议之目的，不包括香港特别行政区、澳门特别行政区和台湾地区）法律管辖并从其解释。 </w:t>
      </w:r>
    </w:p>
    <w:p>
      <w:pPr>
        <w:pStyle w:val="7"/>
        <w:spacing w:before="0" w:beforeAutospacing="0" w:after="0" w:afterAutospacing="0" w:line="360" w:lineRule="auto"/>
        <w:ind w:firstLine="420"/>
        <w:rPr>
          <w:sz w:val="21"/>
          <w:szCs w:val="21"/>
        </w:rPr>
      </w:pPr>
      <w:r>
        <w:rPr>
          <w:rStyle w:val="11"/>
          <w:rFonts w:hint="eastAsia"/>
          <w:sz w:val="21"/>
          <w:szCs w:val="21"/>
        </w:rPr>
        <w:t>八、托管协议的变更、终止与基金财产的清算</w:t>
      </w:r>
    </w:p>
    <w:p>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pPr>
        <w:pStyle w:val="7"/>
        <w:spacing w:before="0" w:beforeAutospacing="0" w:after="0" w:afterAutospacing="0" w:line="360" w:lineRule="auto"/>
        <w:ind w:firstLine="420"/>
        <w:rPr>
          <w:sz w:val="21"/>
          <w:szCs w:val="21"/>
        </w:rPr>
      </w:pPr>
      <w:r>
        <w:rPr>
          <w:rFonts w:hint="eastAsia"/>
          <w:sz w:val="21"/>
          <w:szCs w:val="21"/>
        </w:rPr>
        <w:t xml:space="preserve">1．基金合同终止； </w:t>
      </w:r>
    </w:p>
    <w:p>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 </w:t>
      </w:r>
    </w:p>
    <w:p>
      <w:pPr>
        <w:pStyle w:val="7"/>
        <w:spacing w:before="0" w:beforeAutospacing="0" w:after="0" w:afterAutospacing="0" w:line="360" w:lineRule="auto"/>
        <w:ind w:firstLine="420"/>
        <w:rPr>
          <w:sz w:val="21"/>
          <w:szCs w:val="21"/>
        </w:rPr>
      </w:pPr>
      <w:r>
        <w:rPr>
          <w:rFonts w:hint="eastAsia"/>
          <w:sz w:val="21"/>
          <w:szCs w:val="21"/>
        </w:rPr>
        <w:t xml:space="preserve">（1）自出现基金合同终止事由之日起30个工作日内成立基金财产清算小组，基金管理人组织基金财产清算小组并在中国证监会的监督下进行基金清算。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（3）基金财产清算小组成员由基金管理人、基金托管人、符合《证券法》规定的注册会计师、律师以及中国证监会指定的人员组成。基金财产清算小组可以聘用必要的工作人员。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（4）在基金财产清算过程中，基金管理人和基金托管人应各自履行职责，继续忠实、勤勉、尽责地履行基金合同和本托管协议规定的义务，维护基金份额持有人的合法权益。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（5）基金财产清算小组负责基金财产的保管、清理、估价、变现和分配。基金财产清算小组可以依法进行必要的民事活动。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2．基金财产清算程序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基金合同终止，应当按法律法规和基金合同的有关规定对基金财产进行清算。基金财产清算程序主要包括：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（1）基金合同终止情形出现时，由基金财产清算小组统一接管基金财产；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3.基金财产清算的期限为6个月，但因本基金所持证券的流动性受到限制而不能及时变现的，清算期限可相应顺延。 </w:t>
      </w:r>
    </w:p>
    <w:p>
      <w:pPr>
        <w:pStyle w:val="7"/>
        <w:spacing w:before="0" w:beforeAutospacing="0" w:after="0" w:afterAutospacing="0" w:line="360" w:lineRule="auto"/>
        <w:ind w:firstLine="420"/>
        <w:rPr>
          <w:sz w:val="21"/>
          <w:szCs w:val="21"/>
        </w:rPr>
      </w:pPr>
      <w:r>
        <w:rPr>
          <w:rFonts w:hint="eastAsia"/>
          <w:sz w:val="21"/>
          <w:szCs w:val="21"/>
        </w:rPr>
        <w:t xml:space="preserve">4．清算费用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Fonts w:hint="eastAsia"/>
          <w:sz w:val="21"/>
          <w:szCs w:val="21"/>
        </w:rPr>
        <w:t xml:space="preserve">5．基金财产按下列顺序清偿： </w:t>
      </w:r>
    </w:p>
    <w:p>
      <w:pPr>
        <w:pStyle w:val="7"/>
        <w:spacing w:before="0" w:beforeAutospacing="0" w:after="0" w:afterAutospacing="0" w:line="360" w:lineRule="auto"/>
        <w:ind w:firstLine="420"/>
        <w:rPr>
          <w:sz w:val="21"/>
          <w:szCs w:val="21"/>
        </w:rPr>
      </w:pPr>
      <w:r>
        <w:rPr>
          <w:rFonts w:hint="eastAsia"/>
          <w:sz w:val="21"/>
          <w:szCs w:val="21"/>
        </w:rPr>
        <w:t xml:space="preserve">(1)支付清算费用； </w:t>
      </w:r>
    </w:p>
    <w:p>
      <w:pPr>
        <w:pStyle w:val="7"/>
        <w:spacing w:before="0" w:beforeAutospacing="0" w:after="0" w:afterAutospacing="0" w:line="360" w:lineRule="auto"/>
        <w:ind w:firstLine="420"/>
        <w:rPr>
          <w:sz w:val="21"/>
          <w:szCs w:val="21"/>
        </w:rPr>
      </w:pPr>
      <w:r>
        <w:rPr>
          <w:rFonts w:hint="eastAsia"/>
          <w:sz w:val="21"/>
          <w:szCs w:val="21"/>
        </w:rPr>
        <w:t xml:space="preserve">(2)交纳所欠税款； </w:t>
      </w:r>
    </w:p>
    <w:p>
      <w:pPr>
        <w:pStyle w:val="7"/>
        <w:spacing w:before="0" w:beforeAutospacing="0" w:after="0" w:afterAutospacing="0" w:line="360" w:lineRule="auto"/>
        <w:ind w:firstLine="420"/>
        <w:rPr>
          <w:sz w:val="21"/>
          <w:szCs w:val="21"/>
        </w:rPr>
      </w:pPr>
      <w:r>
        <w:rPr>
          <w:rFonts w:hint="eastAsia"/>
          <w:sz w:val="21"/>
          <w:szCs w:val="21"/>
        </w:rPr>
        <w:t xml:space="preserve">(3)清偿基金债务； </w:t>
      </w:r>
    </w:p>
    <w:p>
      <w:pPr>
        <w:pStyle w:val="7"/>
        <w:spacing w:before="0" w:beforeAutospacing="0" w:after="0" w:afterAutospacing="0" w:line="360" w:lineRule="auto"/>
        <w:ind w:firstLine="420"/>
        <w:rPr>
          <w:sz w:val="21"/>
          <w:szCs w:val="21"/>
        </w:rPr>
      </w:pPr>
      <w:r>
        <w:rPr>
          <w:rFonts w:hint="eastAsia"/>
          <w:sz w:val="21"/>
          <w:szCs w:val="21"/>
        </w:rPr>
        <w:t xml:space="preserve">(4)按基金份额持有人持有的基金份额比例进行分配。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基金财产未按前款(1)－(3)项规定清偿前，不分配给基金份额持有人。 </w:t>
      </w:r>
    </w:p>
    <w:p>
      <w:pPr>
        <w:pStyle w:val="7"/>
        <w:spacing w:before="0" w:beforeAutospacing="0" w:after="0" w:afterAutospacing="0" w:line="360" w:lineRule="auto"/>
        <w:ind w:firstLine="420"/>
        <w:rPr>
          <w:sz w:val="21"/>
          <w:szCs w:val="21"/>
        </w:rPr>
      </w:pPr>
      <w:r>
        <w:rPr>
          <w:rFonts w:hint="eastAsia"/>
          <w:sz w:val="21"/>
          <w:szCs w:val="21"/>
        </w:rPr>
        <w:t xml:space="preserve">6．基金财产清算的公告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Fonts w:hint="eastAsia"/>
          <w:sz w:val="21"/>
          <w:szCs w:val="21"/>
        </w:rPr>
        <w:t xml:space="preserve">7．基金财产清算账册及文件的保存 </w:t>
      </w:r>
    </w:p>
    <w:p>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基金财产清算账册及有关文件由基金托管人保存20年以上，法律法规或监管规则另有</w:t>
      </w:r>
      <w:bookmarkStart w:id="184" w:name="chapter_level1_23_72_section_1_end"/>
      <w:bookmarkEnd w:id="184"/>
      <w:r>
        <w:rPr>
          <w:rFonts w:hint="eastAsia"/>
          <w:sz w:val="21"/>
          <w:szCs w:val="21"/>
        </w:rPr>
        <w:t xml:space="preserve">规定的从其规定。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5" w:name="chapter_level1_24_75"/>
      <w:bookmarkStart w:id="186" w:name="_Toc207947166"/>
      <w:r>
        <w:rPr>
          <w:rFonts w:hint="eastAsia" w:ascii="宋体" w:hAnsi="宋体" w:eastAsia="宋体"/>
          <w:sz w:val="30"/>
        </w:rPr>
        <w:t>第二十一部分  对基金份额持有人的服务</w:t>
      </w:r>
      <w:bookmarkEnd w:id="185"/>
      <w:bookmarkEnd w:id="186"/>
    </w:p>
    <w:p>
      <w:pPr>
        <w:pStyle w:val="7"/>
        <w:spacing w:before="0" w:beforeAutospacing="0" w:after="0" w:afterAutospacing="0" w:line="360" w:lineRule="auto"/>
        <w:ind w:firstLine="420"/>
        <w:rPr>
          <w:sz w:val="21"/>
          <w:szCs w:val="21"/>
        </w:rPr>
      </w:pPr>
      <w:bookmarkStart w:id="187" w:name="chapter_level1_24_75_section_1"/>
      <w:bookmarkEnd w:id="187"/>
      <w:r>
        <w:rPr>
          <w:rFonts w:hint="eastAsia"/>
          <w:sz w:val="21"/>
          <w:szCs w:val="21"/>
        </w:rPr>
        <w:t>对本基金份额持有人的服务主要由基金管理人、基金销售机构提供。基金管理人承诺为投资者提供一系列的服务，根据投资者的需要和市场的变化，有权增加或变更服务项目。主要服务内容如下：</w:t>
      </w:r>
    </w:p>
    <w:p>
      <w:pPr>
        <w:pStyle w:val="7"/>
        <w:spacing w:before="0" w:beforeAutospacing="0" w:after="0" w:afterAutospacing="0" w:line="360" w:lineRule="auto"/>
        <w:ind w:firstLine="420"/>
        <w:rPr>
          <w:sz w:val="21"/>
          <w:szCs w:val="21"/>
        </w:rPr>
      </w:pPr>
      <w:r>
        <w:rPr>
          <w:rStyle w:val="11"/>
          <w:rFonts w:hint="eastAsia"/>
          <w:sz w:val="21"/>
          <w:szCs w:val="21"/>
        </w:rPr>
        <w:t>一、投资者交易资料的寄送服务</w:t>
      </w:r>
    </w:p>
    <w:p>
      <w:pPr>
        <w:pStyle w:val="7"/>
        <w:spacing w:before="0" w:beforeAutospacing="0" w:after="0" w:afterAutospacing="0" w:line="360" w:lineRule="auto"/>
        <w:ind w:firstLine="420"/>
        <w:rPr>
          <w:sz w:val="21"/>
          <w:szCs w:val="21"/>
        </w:rPr>
      </w:pPr>
      <w:r>
        <w:rPr>
          <w:rFonts w:hint="eastAsia"/>
          <w:sz w:val="21"/>
          <w:szCs w:val="21"/>
        </w:rPr>
        <w:t>1、交易确认单</w:t>
      </w:r>
    </w:p>
    <w:p>
      <w:pPr>
        <w:pStyle w:val="7"/>
        <w:spacing w:before="0" w:beforeAutospacing="0" w:after="0" w:afterAutospacing="0" w:line="360" w:lineRule="auto"/>
        <w:ind w:firstLine="420"/>
        <w:rPr>
          <w:sz w:val="21"/>
          <w:szCs w:val="21"/>
        </w:rPr>
      </w:pPr>
      <w:r>
        <w:rPr>
          <w:rFonts w:hint="eastAsia"/>
          <w:sz w:val="21"/>
          <w:szCs w:val="21"/>
        </w:rPr>
        <w:t>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w:t>
      </w:r>
    </w:p>
    <w:p>
      <w:pPr>
        <w:pStyle w:val="7"/>
        <w:spacing w:before="0" w:beforeAutospacing="0" w:after="0" w:afterAutospacing="0" w:line="360" w:lineRule="auto"/>
        <w:ind w:firstLine="420"/>
        <w:rPr>
          <w:sz w:val="21"/>
          <w:szCs w:val="21"/>
        </w:rPr>
      </w:pPr>
      <w:r>
        <w:rPr>
          <w:rFonts w:hint="eastAsia"/>
          <w:sz w:val="21"/>
          <w:szCs w:val="21"/>
        </w:rPr>
        <w:t>2、电子对账单</w:t>
      </w:r>
    </w:p>
    <w:p>
      <w:pPr>
        <w:pStyle w:val="7"/>
        <w:spacing w:before="0" w:beforeAutospacing="0" w:after="0" w:afterAutospacing="0" w:line="360" w:lineRule="auto"/>
        <w:ind w:firstLine="420"/>
        <w:rPr>
          <w:sz w:val="21"/>
          <w:szCs w:val="21"/>
        </w:rPr>
      </w:pPr>
      <w:r>
        <w:rPr>
          <w:rFonts w:hint="eastAsia"/>
          <w:sz w:val="21"/>
          <w:szCs w:val="21"/>
        </w:rPr>
        <w:t>每月结束后，基金管理人向所有订阅电子邮件对账单的投资者发送电子邮件对账单。</w:t>
      </w:r>
    </w:p>
    <w:p>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投资者可以登录基金管理人网站（http://www.bosera.com）自助订阅；或发送“订阅电子对账单”邮件到客服邮箱service@bosera.com；也可直接拨打博时一线通95105568（免长途话费）订阅。</w:t>
      </w:r>
    </w:p>
    <w:p>
      <w:pPr>
        <w:pStyle w:val="7"/>
        <w:spacing w:before="0" w:beforeAutospacing="0" w:after="0" w:afterAutospacing="0" w:line="360" w:lineRule="auto"/>
        <w:ind w:firstLine="420"/>
        <w:rPr>
          <w:sz w:val="21"/>
          <w:szCs w:val="21"/>
        </w:rPr>
      </w:pPr>
      <w:r>
        <w:rPr>
          <w:rFonts w:hint="eastAsia"/>
          <w:sz w:val="21"/>
          <w:szCs w:val="21"/>
        </w:rPr>
        <w:t>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w:t>
      </w:r>
    </w:p>
    <w:p>
      <w:pPr>
        <w:pStyle w:val="7"/>
        <w:spacing w:before="0" w:beforeAutospacing="0" w:after="0" w:afterAutospacing="0" w:line="360" w:lineRule="auto"/>
        <w:ind w:firstLine="420"/>
        <w:rPr>
          <w:sz w:val="21"/>
          <w:szCs w:val="21"/>
        </w:rPr>
      </w:pPr>
      <w:r>
        <w:rPr>
          <w:rStyle w:val="11"/>
          <w:rFonts w:hint="eastAsia"/>
          <w:sz w:val="21"/>
          <w:szCs w:val="21"/>
        </w:rPr>
        <w:t>二、网上理财服务</w:t>
      </w:r>
    </w:p>
    <w:p>
      <w:pPr>
        <w:pStyle w:val="7"/>
        <w:spacing w:before="0" w:beforeAutospacing="0" w:after="0" w:afterAutospacing="0" w:line="360" w:lineRule="auto"/>
        <w:ind w:firstLine="420"/>
        <w:rPr>
          <w:sz w:val="21"/>
          <w:szCs w:val="21"/>
        </w:rPr>
      </w:pPr>
      <w:r>
        <w:rPr>
          <w:rFonts w:hint="eastAsia"/>
          <w:sz w:val="21"/>
          <w:szCs w:val="21"/>
        </w:rPr>
        <w:t>通过基金管理人网站，投资者可获得如下服务：</w:t>
      </w:r>
    </w:p>
    <w:p>
      <w:pPr>
        <w:pStyle w:val="7"/>
        <w:spacing w:before="0" w:beforeAutospacing="0" w:after="0" w:afterAutospacing="0" w:line="360" w:lineRule="auto"/>
        <w:ind w:firstLine="420"/>
        <w:rPr>
          <w:sz w:val="21"/>
          <w:szCs w:val="21"/>
        </w:rPr>
      </w:pPr>
      <w:r>
        <w:rPr>
          <w:rFonts w:hint="eastAsia"/>
          <w:sz w:val="21"/>
          <w:szCs w:val="21"/>
        </w:rPr>
        <w:t>1、自助开户交易：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w:t>
      </w:r>
    </w:p>
    <w:p>
      <w:pPr>
        <w:pStyle w:val="7"/>
        <w:spacing w:before="0" w:beforeAutospacing="0" w:after="0" w:afterAutospacing="0" w:line="360" w:lineRule="auto"/>
        <w:ind w:firstLine="420"/>
        <w:rPr>
          <w:sz w:val="21"/>
          <w:szCs w:val="21"/>
        </w:rPr>
      </w:pPr>
      <w:r>
        <w:rPr>
          <w:rFonts w:hint="eastAsia"/>
          <w:sz w:val="21"/>
          <w:szCs w:val="21"/>
        </w:rPr>
        <w:t>2、查询服务：场外投资者可以通过基金管理人网站查询所持有基金的基金份额、交易记录等信息，同时可以修改基金账户信息等基本资料。</w:t>
      </w:r>
    </w:p>
    <w:p>
      <w:pPr>
        <w:pStyle w:val="7"/>
        <w:spacing w:before="0" w:beforeAutospacing="0" w:after="0" w:afterAutospacing="0" w:line="360" w:lineRule="auto"/>
        <w:ind w:firstLine="420"/>
        <w:rPr>
          <w:sz w:val="21"/>
          <w:szCs w:val="21"/>
        </w:rPr>
      </w:pPr>
      <w:r>
        <w:rPr>
          <w:rFonts w:hint="eastAsia"/>
          <w:sz w:val="21"/>
          <w:szCs w:val="21"/>
        </w:rPr>
        <w:t>3、信息资讯服务：投资者可以利用基金管理人网站获取基金和基金管理人各类信息，包括基金法律文件、基金管理人最新动态、热点问题等。</w:t>
      </w:r>
    </w:p>
    <w:p>
      <w:pPr>
        <w:pStyle w:val="7"/>
        <w:spacing w:before="0" w:beforeAutospacing="0" w:after="0" w:afterAutospacing="0" w:line="360" w:lineRule="auto"/>
        <w:ind w:firstLine="420"/>
        <w:rPr>
          <w:sz w:val="21"/>
          <w:szCs w:val="21"/>
        </w:rPr>
      </w:pPr>
      <w:r>
        <w:rPr>
          <w:rFonts w:hint="eastAsia"/>
          <w:sz w:val="21"/>
          <w:szCs w:val="21"/>
        </w:rPr>
        <w:t>4、在线客服：投资者可以通过基金管理人网站首页“在线客服”功能进行在线咨询。也可以在“您问我答”栏目中，直接提出有关本基金的问题和建议。</w:t>
      </w:r>
    </w:p>
    <w:p>
      <w:pPr>
        <w:pStyle w:val="7"/>
        <w:spacing w:before="0" w:beforeAutospacing="0" w:after="0" w:afterAutospacing="0" w:line="360" w:lineRule="auto"/>
        <w:ind w:firstLine="420"/>
        <w:rPr>
          <w:sz w:val="21"/>
          <w:szCs w:val="21"/>
        </w:rPr>
      </w:pPr>
      <w:r>
        <w:rPr>
          <w:rStyle w:val="11"/>
          <w:rFonts w:hint="eastAsia"/>
          <w:sz w:val="21"/>
          <w:szCs w:val="21"/>
        </w:rPr>
        <w:t>三、短信服务</w:t>
      </w:r>
    </w:p>
    <w:p>
      <w:pPr>
        <w:pStyle w:val="7"/>
        <w:spacing w:before="0" w:beforeAutospacing="0" w:after="0" w:afterAutospacing="0" w:line="360" w:lineRule="auto"/>
        <w:ind w:firstLine="420"/>
        <w:rPr>
          <w:sz w:val="21"/>
          <w:szCs w:val="21"/>
        </w:rPr>
      </w:pPr>
      <w:r>
        <w:rPr>
          <w:rFonts w:hint="eastAsia"/>
          <w:sz w:val="21"/>
          <w:szCs w:val="21"/>
        </w:rPr>
        <w:t>基金管理人向订制短信服务的基金份额持有人提供相应短信服务。</w:t>
      </w:r>
    </w:p>
    <w:p>
      <w:pPr>
        <w:pStyle w:val="7"/>
        <w:spacing w:before="0" w:beforeAutospacing="0" w:after="0" w:afterAutospacing="0" w:line="360" w:lineRule="auto"/>
        <w:ind w:firstLine="420"/>
        <w:rPr>
          <w:sz w:val="21"/>
          <w:szCs w:val="21"/>
        </w:rPr>
      </w:pPr>
      <w:r>
        <w:rPr>
          <w:rStyle w:val="11"/>
          <w:rFonts w:hint="eastAsia"/>
          <w:sz w:val="21"/>
          <w:szCs w:val="21"/>
        </w:rPr>
        <w:t>四、电子邮件服务</w:t>
      </w:r>
    </w:p>
    <w:p>
      <w:pPr>
        <w:pStyle w:val="7"/>
        <w:spacing w:before="0" w:beforeAutospacing="0" w:after="0" w:afterAutospacing="0" w:line="360" w:lineRule="auto"/>
        <w:ind w:firstLine="420"/>
        <w:rPr>
          <w:sz w:val="21"/>
          <w:szCs w:val="21"/>
        </w:rPr>
      </w:pPr>
      <w:r>
        <w:rPr>
          <w:rFonts w:hint="eastAsia"/>
          <w:sz w:val="21"/>
          <w:szCs w:val="21"/>
        </w:rPr>
        <w:t>基金管理人为投资者提供电子邮件方式的业务咨询、投诉受理、基金份额净值等服务。</w:t>
      </w:r>
    </w:p>
    <w:p>
      <w:pPr>
        <w:pStyle w:val="7"/>
        <w:spacing w:before="0" w:beforeAutospacing="0" w:after="0" w:afterAutospacing="0" w:line="360" w:lineRule="auto"/>
        <w:ind w:firstLine="420"/>
        <w:rPr>
          <w:sz w:val="21"/>
          <w:szCs w:val="21"/>
        </w:rPr>
      </w:pPr>
      <w:r>
        <w:rPr>
          <w:rStyle w:val="11"/>
          <w:rFonts w:hint="eastAsia"/>
          <w:sz w:val="21"/>
          <w:szCs w:val="21"/>
        </w:rPr>
        <w:t>五、手机理财服务</w:t>
      </w:r>
    </w:p>
    <w:p>
      <w:pPr>
        <w:pStyle w:val="7"/>
        <w:spacing w:before="0" w:beforeAutospacing="0" w:after="0" w:afterAutospacing="0" w:line="360" w:lineRule="auto"/>
        <w:ind w:firstLine="420"/>
        <w:rPr>
          <w:sz w:val="21"/>
          <w:szCs w:val="21"/>
        </w:rPr>
      </w:pPr>
      <w:r>
        <w:rPr>
          <w:rFonts w:hint="eastAsia"/>
          <w:sz w:val="21"/>
          <w:szCs w:val="21"/>
        </w:rPr>
        <w:t>投资者通过手机访问博时移动版直销网上交易系统（http://m.bosera.com）和博时App版直销网上交易系统，可以使用基金理财所需的基金交易、理财查询、账户管理、信息资讯等功能和服务</w:t>
      </w:r>
    </w:p>
    <w:p>
      <w:pPr>
        <w:pStyle w:val="7"/>
        <w:spacing w:before="0" w:beforeAutospacing="0" w:after="0" w:afterAutospacing="0" w:line="360" w:lineRule="auto"/>
        <w:ind w:firstLine="420"/>
        <w:rPr>
          <w:sz w:val="21"/>
          <w:szCs w:val="21"/>
        </w:rPr>
      </w:pPr>
      <w:r>
        <w:rPr>
          <w:rStyle w:val="11"/>
          <w:rFonts w:hint="eastAsia"/>
          <w:sz w:val="21"/>
          <w:szCs w:val="21"/>
        </w:rPr>
        <w:t>六、信息订阅服务</w:t>
      </w:r>
    </w:p>
    <w:p>
      <w:pPr>
        <w:pStyle w:val="7"/>
        <w:spacing w:before="0" w:beforeAutospacing="0" w:after="0" w:afterAutospacing="0" w:line="360" w:lineRule="auto"/>
        <w:ind w:firstLine="420"/>
        <w:rPr>
          <w:sz w:val="21"/>
          <w:szCs w:val="21"/>
        </w:rPr>
      </w:pPr>
      <w:r>
        <w:rPr>
          <w:rFonts w:hint="eastAsia"/>
          <w:sz w:val="21"/>
          <w:szCs w:val="21"/>
        </w:rPr>
        <w:t>投资者可以通过基金管理人网站、客服中心提交信息订制的申请，基金管理人将以电子邮件、手机短信的形式定期为投资者发送所订制的信息。</w:t>
      </w:r>
    </w:p>
    <w:p>
      <w:pPr>
        <w:pStyle w:val="7"/>
        <w:spacing w:before="0" w:beforeAutospacing="0" w:after="0" w:afterAutospacing="0" w:line="360" w:lineRule="auto"/>
        <w:ind w:firstLine="420"/>
        <w:rPr>
          <w:sz w:val="21"/>
          <w:szCs w:val="21"/>
        </w:rPr>
      </w:pPr>
      <w:r>
        <w:rPr>
          <w:rStyle w:val="11"/>
          <w:rFonts w:hint="eastAsia"/>
          <w:sz w:val="21"/>
          <w:szCs w:val="21"/>
        </w:rPr>
        <w:t>七、电话理财服务</w:t>
      </w:r>
    </w:p>
    <w:p>
      <w:pPr>
        <w:pStyle w:val="7"/>
        <w:spacing w:before="0" w:beforeAutospacing="0" w:after="0" w:afterAutospacing="0" w:line="360" w:lineRule="auto"/>
        <w:ind w:firstLine="420"/>
        <w:rPr>
          <w:sz w:val="21"/>
          <w:szCs w:val="21"/>
        </w:rPr>
      </w:pPr>
      <w:r>
        <w:rPr>
          <w:rFonts w:hint="eastAsia"/>
          <w:sz w:val="21"/>
          <w:szCs w:val="21"/>
        </w:rPr>
        <w:t>投资者拨打博时一线通：95105568（免长途话费）可享有投资理财交易的一站式综合服务：</w:t>
      </w:r>
    </w:p>
    <w:p>
      <w:pPr>
        <w:pStyle w:val="7"/>
        <w:spacing w:before="0" w:beforeAutospacing="0" w:after="0" w:afterAutospacing="0" w:line="360" w:lineRule="auto"/>
        <w:ind w:firstLine="420"/>
        <w:rPr>
          <w:sz w:val="21"/>
          <w:szCs w:val="21"/>
        </w:rPr>
      </w:pPr>
      <w:r>
        <w:rPr>
          <w:rFonts w:hint="eastAsia"/>
          <w:sz w:val="21"/>
          <w:szCs w:val="21"/>
        </w:rPr>
        <w:t>1、自助语音服务：基金管理人自助语音系统提供7×24小时的全天候服务，投资者可以自助查询账户余额、交易情况、基金净值等信息，也可以进行直销交易、密码修改、传真索取等操作。</w:t>
      </w:r>
    </w:p>
    <w:p>
      <w:pPr>
        <w:pStyle w:val="7"/>
        <w:spacing w:before="0" w:beforeAutospacing="0" w:after="0" w:afterAutospacing="0" w:line="360" w:lineRule="auto"/>
        <w:ind w:firstLine="420"/>
        <w:rPr>
          <w:sz w:val="21"/>
          <w:szCs w:val="21"/>
        </w:rPr>
      </w:pPr>
      <w:r>
        <w:rPr>
          <w:rFonts w:hint="eastAsia"/>
          <w:sz w:val="21"/>
          <w:szCs w:val="21"/>
        </w:rPr>
        <w:t>2、电话交易服务：本公司直销投资者可通过博时一线通电话交易平台在线办理基金的赎回、变更分红方式、撤单等直销交易业务。</w:t>
      </w:r>
    </w:p>
    <w:p>
      <w:pPr>
        <w:pStyle w:val="7"/>
        <w:spacing w:before="0" w:beforeAutospacing="0" w:after="0" w:afterAutospacing="0" w:line="360" w:lineRule="auto"/>
        <w:ind w:firstLine="420"/>
        <w:rPr>
          <w:sz w:val="21"/>
          <w:szCs w:val="21"/>
        </w:rPr>
      </w:pPr>
      <w:r>
        <w:rPr>
          <w:rFonts w:hint="eastAsia"/>
          <w:sz w:val="21"/>
          <w:szCs w:val="21"/>
        </w:rPr>
        <w:t>3、人工电话服务：投资者可以获得业务咨询、信息查询、资料修改、投诉受理、信息订制、账户诊断等服务。</w:t>
      </w:r>
    </w:p>
    <w:p>
      <w:pPr>
        <w:pStyle w:val="7"/>
        <w:spacing w:before="0" w:beforeAutospacing="0" w:after="0" w:afterAutospacing="0" w:line="360" w:lineRule="auto"/>
        <w:ind w:firstLine="420"/>
        <w:rPr>
          <w:sz w:val="21"/>
          <w:szCs w:val="21"/>
        </w:rPr>
      </w:pPr>
      <w:r>
        <w:rPr>
          <w:rFonts w:hint="eastAsia"/>
          <w:sz w:val="21"/>
          <w:szCs w:val="21"/>
        </w:rPr>
        <w:t>4、电话留言服务：非人工服务时间或线路繁忙时，投资者可进行电话留言。</w:t>
      </w:r>
    </w:p>
    <w:p>
      <w:pPr>
        <w:pStyle w:val="7"/>
        <w:spacing w:before="0" w:beforeAutospacing="0" w:after="0" w:afterAutospacing="0" w:line="360" w:lineRule="auto"/>
        <w:ind w:firstLine="420"/>
        <w:rPr>
          <w:sz w:val="21"/>
          <w:szCs w:val="21"/>
        </w:rPr>
      </w:pPr>
      <w:r>
        <w:rPr>
          <w:rStyle w:val="11"/>
          <w:rFonts w:hint="eastAsia"/>
          <w:sz w:val="21"/>
          <w:szCs w:val="21"/>
        </w:rPr>
        <w:t>八、基金管理人联系方式 ：</w:t>
      </w:r>
    </w:p>
    <w:p>
      <w:pPr>
        <w:pStyle w:val="7"/>
        <w:spacing w:before="0" w:beforeAutospacing="0" w:after="0" w:afterAutospacing="0" w:line="360" w:lineRule="auto"/>
        <w:ind w:firstLine="420"/>
        <w:rPr>
          <w:sz w:val="21"/>
          <w:szCs w:val="21"/>
        </w:rPr>
      </w:pPr>
      <w:r>
        <w:rPr>
          <w:rFonts w:hint="eastAsia"/>
          <w:sz w:val="21"/>
          <w:szCs w:val="21"/>
        </w:rPr>
        <w:t>公司网址： www.bosera.com </w:t>
      </w:r>
    </w:p>
    <w:p>
      <w:pPr>
        <w:pStyle w:val="7"/>
        <w:spacing w:before="0" w:beforeAutospacing="0" w:after="0" w:afterAutospacing="0" w:line="360" w:lineRule="auto"/>
        <w:ind w:firstLine="420"/>
        <w:rPr>
          <w:sz w:val="21"/>
          <w:szCs w:val="21"/>
        </w:rPr>
      </w:pPr>
      <w:r>
        <w:rPr>
          <w:rFonts w:hint="eastAsia"/>
          <w:sz w:val="21"/>
          <w:szCs w:val="21"/>
        </w:rPr>
        <w:t>电子信箱：service@bosera.com</w:t>
      </w:r>
    </w:p>
    <w:p>
      <w:pPr>
        <w:pStyle w:val="7"/>
        <w:spacing w:before="0" w:beforeAutospacing="0" w:after="0" w:afterAutospacing="0" w:line="360" w:lineRule="auto"/>
        <w:ind w:firstLine="420"/>
        <w:rPr>
          <w:sz w:val="21"/>
          <w:szCs w:val="21"/>
        </w:rPr>
      </w:pPr>
      <w:r>
        <w:rPr>
          <w:rFonts w:hint="eastAsia"/>
          <w:sz w:val="21"/>
          <w:szCs w:val="21"/>
        </w:rPr>
        <w:t>博时一线通客服电话：95105568（免长途话费）</w:t>
      </w:r>
    </w:p>
    <w:p>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188" w:name="chapter_level1_24_75_section_1_end"/>
      <w:bookmarkEnd w:id="188"/>
      <w:r>
        <w:rPr>
          <w:rStyle w:val="11"/>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9" w:name="chapter_level1_25_3499"/>
      <w:bookmarkStart w:id="190" w:name="_Toc207947167"/>
      <w:r>
        <w:rPr>
          <w:rFonts w:hint="eastAsia" w:ascii="宋体" w:hAnsi="宋体" w:eastAsia="宋体"/>
          <w:sz w:val="30"/>
        </w:rPr>
        <w:t>第二十二部分 其他应披露的事项</w:t>
      </w:r>
      <w:bookmarkEnd w:id="189"/>
      <w:bookmarkEnd w:id="190"/>
    </w:p>
    <w:p>
      <w:pPr>
        <w:pStyle w:val="7"/>
        <w:spacing w:before="0" w:beforeAutospacing="0" w:after="0" w:afterAutospacing="0" w:line="360" w:lineRule="auto"/>
        <w:ind w:firstLine="420"/>
        <w:rPr>
          <w:sz w:val="21"/>
          <w:szCs w:val="21"/>
        </w:rPr>
      </w:pPr>
      <w:bookmarkStart w:id="191" w:name="chapter_level1_25_3499_section_1"/>
      <w:bookmarkEnd w:id="191"/>
      <w:bookmarkStart w:id="192" w:name="field_0_bsrevealinfo_1_start"/>
      <w:bookmarkEnd w:id="192"/>
      <w:r>
        <w:rPr>
          <w:rFonts w:hint="eastAsia"/>
          <w:sz w:val="21"/>
          <w:szCs w:val="21"/>
        </w:rPr>
        <w:t>（一）、2025年8月29日，我公司公告了《博时富耀纯债一年定期开放债券型发起式证券投资基金2025年中期报告》；</w:t>
      </w:r>
    </w:p>
    <w:p>
      <w:pPr>
        <w:pStyle w:val="7"/>
        <w:spacing w:before="0" w:beforeAutospacing="0" w:after="0" w:afterAutospacing="0" w:line="360" w:lineRule="auto"/>
        <w:ind w:firstLine="420"/>
        <w:rPr>
          <w:sz w:val="21"/>
          <w:szCs w:val="21"/>
        </w:rPr>
      </w:pPr>
      <w:r>
        <w:rPr>
          <w:rFonts w:hint="eastAsia"/>
          <w:sz w:val="21"/>
          <w:szCs w:val="21"/>
        </w:rPr>
        <w:t>（二）、2025年7月21日，我公司公告了《博时富耀纯债一年定期开放债券型发起式证券投资基金2025年第2季度报告》；</w:t>
      </w:r>
    </w:p>
    <w:p>
      <w:pPr>
        <w:pStyle w:val="7"/>
        <w:spacing w:before="0" w:beforeAutospacing="0" w:after="0" w:afterAutospacing="0" w:line="360" w:lineRule="auto"/>
        <w:ind w:firstLine="420"/>
        <w:rPr>
          <w:sz w:val="21"/>
          <w:szCs w:val="21"/>
        </w:rPr>
      </w:pPr>
      <w:r>
        <w:rPr>
          <w:rFonts w:hint="eastAsia"/>
          <w:sz w:val="21"/>
          <w:szCs w:val="21"/>
        </w:rPr>
        <w:t>（三）、2025年6月26日，我公司公告了《博时富耀纯债一年定期开放债券型发起式证券投资基金基金产品资料概要更新》；</w:t>
      </w:r>
    </w:p>
    <w:p>
      <w:pPr>
        <w:pStyle w:val="7"/>
        <w:spacing w:before="0" w:beforeAutospacing="0" w:after="0" w:afterAutospacing="0" w:line="360" w:lineRule="auto"/>
        <w:ind w:firstLine="420"/>
        <w:rPr>
          <w:sz w:val="21"/>
          <w:szCs w:val="21"/>
        </w:rPr>
      </w:pPr>
      <w:r>
        <w:rPr>
          <w:rFonts w:hint="eastAsia"/>
          <w:sz w:val="21"/>
          <w:szCs w:val="21"/>
        </w:rPr>
        <w:t>（四）、2025年6月20日，我公司公告了《关于博时富耀纯债一年定期开放债券型发起式证券投资基金调整本次开放期的公告》；</w:t>
      </w:r>
    </w:p>
    <w:p>
      <w:pPr>
        <w:pStyle w:val="7"/>
        <w:spacing w:before="0" w:beforeAutospacing="0" w:after="0" w:afterAutospacing="0" w:line="360" w:lineRule="auto"/>
        <w:ind w:firstLine="420"/>
        <w:rPr>
          <w:sz w:val="21"/>
          <w:szCs w:val="21"/>
        </w:rPr>
      </w:pPr>
      <w:r>
        <w:rPr>
          <w:rFonts w:hint="eastAsia"/>
          <w:sz w:val="21"/>
          <w:szCs w:val="21"/>
        </w:rPr>
        <w:t>（五）、2025年6月14日，我公司公告了《博时富耀纯债一年定期开放债券型发起式证券投资基金分红公告》、《博时富耀纯债一年定期开放债券型发起式证券投资基金暂停大额申购、转换转入业务的公告》；</w:t>
      </w:r>
    </w:p>
    <w:p>
      <w:pPr>
        <w:pStyle w:val="7"/>
        <w:spacing w:before="0" w:beforeAutospacing="0" w:after="0" w:afterAutospacing="0" w:line="360" w:lineRule="auto"/>
        <w:ind w:firstLine="420"/>
        <w:rPr>
          <w:sz w:val="21"/>
          <w:szCs w:val="21"/>
        </w:rPr>
      </w:pPr>
      <w:r>
        <w:rPr>
          <w:rFonts w:hint="eastAsia"/>
          <w:sz w:val="21"/>
          <w:szCs w:val="21"/>
        </w:rPr>
        <w:t>（六）、2025年6月6日，我公司公告了《博时基金管理有限公司关于旗下基金持有的长期停牌股票调整估值方法的公告-20250606》；</w:t>
      </w:r>
    </w:p>
    <w:p>
      <w:pPr>
        <w:pStyle w:val="7"/>
        <w:spacing w:before="0" w:beforeAutospacing="0" w:after="0" w:afterAutospacing="0" w:line="360" w:lineRule="auto"/>
        <w:ind w:firstLine="420"/>
        <w:rPr>
          <w:sz w:val="21"/>
          <w:szCs w:val="21"/>
        </w:rPr>
      </w:pPr>
      <w:r>
        <w:rPr>
          <w:rFonts w:hint="eastAsia"/>
          <w:sz w:val="21"/>
          <w:szCs w:val="21"/>
        </w:rPr>
        <w:t>（七）、2025年6月5日，我公司公告了《博时富耀纯债一年定期开放债券型发起式证券投资基金开放申购、赎回业务的公告》；</w:t>
      </w:r>
    </w:p>
    <w:p>
      <w:pPr>
        <w:pStyle w:val="7"/>
        <w:spacing w:before="0" w:beforeAutospacing="0" w:after="0" w:afterAutospacing="0" w:line="360" w:lineRule="auto"/>
        <w:ind w:firstLine="420"/>
        <w:rPr>
          <w:sz w:val="21"/>
          <w:szCs w:val="21"/>
        </w:rPr>
      </w:pPr>
      <w:r>
        <w:rPr>
          <w:rFonts w:hint="eastAsia"/>
          <w:sz w:val="21"/>
          <w:szCs w:val="21"/>
        </w:rPr>
        <w:t>（八）、2025年6月3日，我公司公告了《博时基金管理有限公司关于旗下基金持有的长期停牌股票调整估值方法的公告-20250603》；</w:t>
      </w:r>
    </w:p>
    <w:p>
      <w:pPr>
        <w:pStyle w:val="7"/>
        <w:spacing w:before="0" w:beforeAutospacing="0" w:after="0" w:afterAutospacing="0" w:line="360" w:lineRule="auto"/>
        <w:ind w:firstLine="420"/>
        <w:rPr>
          <w:sz w:val="21"/>
          <w:szCs w:val="21"/>
        </w:rPr>
      </w:pPr>
      <w:r>
        <w:rPr>
          <w:rFonts w:hint="eastAsia"/>
          <w:sz w:val="21"/>
          <w:szCs w:val="21"/>
        </w:rPr>
        <w:t>（九）、2025年4月22日，我公司公告了《博时富耀纯债一年定期开放债券型发起式证券投资基金2025年第1季度报告》；</w:t>
      </w:r>
    </w:p>
    <w:p>
      <w:pPr>
        <w:pStyle w:val="7"/>
        <w:spacing w:before="0" w:beforeAutospacing="0" w:after="0" w:afterAutospacing="0" w:line="360" w:lineRule="auto"/>
        <w:ind w:firstLine="420"/>
        <w:rPr>
          <w:sz w:val="21"/>
          <w:szCs w:val="21"/>
        </w:rPr>
      </w:pPr>
      <w:r>
        <w:rPr>
          <w:rFonts w:hint="eastAsia"/>
          <w:sz w:val="21"/>
          <w:szCs w:val="21"/>
        </w:rPr>
        <w:t>（十）、2025年4月8日，我公司公告了《博时基金管理有限公司关于运用公司固有资金投资旗下公募基金的公告》、《博时基金管理有限公司关于旗下基金持有的长期停牌股票调整估值方法的公告-20250408》；</w:t>
      </w:r>
    </w:p>
    <w:p>
      <w:pPr>
        <w:pStyle w:val="7"/>
        <w:spacing w:before="0" w:beforeAutospacing="0" w:after="0" w:afterAutospacing="0" w:line="360" w:lineRule="auto"/>
        <w:ind w:firstLine="420"/>
        <w:rPr>
          <w:sz w:val="21"/>
          <w:szCs w:val="21"/>
        </w:rPr>
      </w:pPr>
      <w:r>
        <w:rPr>
          <w:rFonts w:hint="eastAsia"/>
          <w:sz w:val="21"/>
          <w:szCs w:val="21"/>
        </w:rPr>
        <w:t>（十一）、2025年3月31日，我公司公告了《博时基金管理有限公司旗下公募基金通过证券公司证券交易及佣金支付情况（2024年度）》、《博时富耀纯债一年定期开放债券型发起式证券投资基金2024年年度报告》；</w:t>
      </w:r>
    </w:p>
    <w:p>
      <w:pPr>
        <w:pStyle w:val="7"/>
        <w:spacing w:before="0" w:beforeAutospacing="0" w:after="0" w:afterAutospacing="0" w:line="360" w:lineRule="auto"/>
        <w:ind w:firstLine="420"/>
        <w:rPr>
          <w:sz w:val="21"/>
          <w:szCs w:val="21"/>
        </w:rPr>
      </w:pPr>
      <w:r>
        <w:rPr>
          <w:rFonts w:hint="eastAsia"/>
          <w:sz w:val="21"/>
          <w:szCs w:val="21"/>
        </w:rPr>
        <w:t>（十二）、2025年3月25日，我公司公告了《博时基金管理有限公司关于旗下基金持有的长期停牌股票调整估值方法的公告-20250325》；</w:t>
      </w:r>
    </w:p>
    <w:p>
      <w:pPr>
        <w:pStyle w:val="7"/>
        <w:spacing w:before="0" w:beforeAutospacing="0" w:after="0" w:afterAutospacing="0" w:line="360" w:lineRule="auto"/>
        <w:ind w:firstLine="420"/>
        <w:rPr>
          <w:sz w:val="21"/>
          <w:szCs w:val="21"/>
        </w:rPr>
      </w:pPr>
      <w:r>
        <w:rPr>
          <w:rFonts w:hint="eastAsia"/>
          <w:sz w:val="21"/>
          <w:szCs w:val="21"/>
        </w:rPr>
        <w:t>（十三）、2025年3月12日，我公司公告了《博时富耀纯债一年定期开放债券型发起式证券投资基金分红公告》；</w:t>
      </w:r>
    </w:p>
    <w:p>
      <w:pPr>
        <w:pStyle w:val="7"/>
        <w:spacing w:before="0" w:beforeAutospacing="0" w:after="0" w:afterAutospacing="0" w:line="360" w:lineRule="auto"/>
        <w:ind w:firstLine="420"/>
        <w:rPr>
          <w:sz w:val="21"/>
          <w:szCs w:val="21"/>
        </w:rPr>
      </w:pPr>
      <w:r>
        <w:rPr>
          <w:rFonts w:hint="eastAsia"/>
          <w:sz w:val="21"/>
          <w:szCs w:val="21"/>
        </w:rPr>
        <w:t>（十四）、2025年1月22日，我公司公告了《博时富耀纯债一年定期开放债券型发起式证券投资基金2024年第4季度报告》；</w:t>
      </w:r>
    </w:p>
    <w:p>
      <w:pPr>
        <w:pStyle w:val="7"/>
        <w:spacing w:before="0" w:beforeAutospacing="0" w:after="0" w:afterAutospacing="0" w:line="360" w:lineRule="auto"/>
        <w:ind w:firstLine="420"/>
        <w:rPr>
          <w:sz w:val="21"/>
          <w:szCs w:val="21"/>
        </w:rPr>
      </w:pPr>
      <w:r>
        <w:rPr>
          <w:rFonts w:hint="eastAsia"/>
          <w:sz w:val="21"/>
          <w:szCs w:val="21"/>
        </w:rPr>
        <w:t>（十五）、2024年12月7日，我公司公告了《博时基金管理有限公司关于高级管理人员变更的公告》；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（十六）、2024年11月18日，我公司公告了《博时基金管理有限公司关于终止乾道基金销售有限公司办理旗下基金销售业务的公告》；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（十七）、2024年11月6日，我公司公告了《博时基金管理有限公司关于旗下基金持有的长期停牌股票调整估值方法的公告-20241106》；</w:t>
      </w:r>
    </w:p>
    <w:p>
      <w:pPr>
        <w:pStyle w:val="7"/>
        <w:spacing w:before="0" w:beforeAutospacing="0" w:after="0" w:afterAutospacing="0" w:line="360" w:lineRule="auto"/>
        <w:ind w:firstLine="420"/>
        <w:rPr>
          <w:sz w:val="21"/>
          <w:szCs w:val="21"/>
        </w:rPr>
      </w:pPr>
      <w:r>
        <w:rPr>
          <w:rFonts w:hint="eastAsia"/>
          <w:sz w:val="21"/>
          <w:szCs w:val="21"/>
        </w:rPr>
        <w:t>（十八）、2024年10月25日，我公司公告了《博时富耀纯债一年定期开放债券型发起式证券投资基金2024年第3季度报告》；</w:t>
      </w:r>
    </w:p>
    <w:p>
      <w:pPr>
        <w:pStyle w:val="7"/>
        <w:spacing w:before="0" w:beforeAutospacing="0" w:after="0" w:afterAutospacing="0" w:line="360" w:lineRule="auto"/>
        <w:ind w:firstLine="420"/>
        <w:rPr>
          <w:sz w:val="21"/>
          <w:szCs w:val="21"/>
        </w:rPr>
      </w:pPr>
      <w:r>
        <w:rPr>
          <w:rFonts w:hint="eastAsia"/>
          <w:sz w:val="21"/>
          <w:szCs w:val="21"/>
        </w:rPr>
        <w:t>（十九）、2024年9月30日，我公司公告了《博时富耀纯债一年定期开放债券型发起式证券投资基金更新招募说明书》；</w:t>
      </w:r>
    </w:p>
    <w:p>
      <w:pPr>
        <w:pStyle w:val="7"/>
        <w:spacing w:before="0" w:beforeAutospacing="0" w:after="0" w:afterAutospacing="0" w:line="360" w:lineRule="auto"/>
        <w:ind w:firstLine="420"/>
        <w:rPr>
          <w:sz w:val="21"/>
          <w:szCs w:val="21"/>
        </w:rPr>
      </w:pPr>
      <w:r>
        <w:rPr>
          <w:rFonts w:hint="eastAsia"/>
          <w:sz w:val="21"/>
          <w:szCs w:val="21"/>
        </w:rPr>
        <w:t>（二十）、2024年9月25日，我公司公告了《博时基金管理有限公司关于旗下基金持有的长期停牌股票调整估值方法的公告-20240925》；</w:t>
      </w:r>
    </w:p>
    <w:p>
      <w:pPr>
        <w:pStyle w:val="7"/>
        <w:spacing w:before="0" w:beforeAutospacing="0" w:after="0" w:afterAutospacing="0" w:line="360" w:lineRule="auto"/>
        <w:ind w:firstLine="420"/>
        <w:rPr>
          <w:sz w:val="21"/>
          <w:szCs w:val="21"/>
        </w:rPr>
      </w:pPr>
      <w:r>
        <w:rPr>
          <w:rFonts w:hint="eastAsia"/>
          <w:sz w:val="21"/>
          <w:szCs w:val="21"/>
        </w:rPr>
        <w:t>（二十一）、2024年9月21日，我公司公告了《博时基金管理有限公司关于董事会成</w:t>
      </w:r>
      <w:bookmarkStart w:id="193" w:name="chapter_level1_25_3499_section_1_end"/>
      <w:bookmarkEnd w:id="193"/>
      <w:r>
        <w:rPr>
          <w:rFonts w:hint="eastAsia"/>
          <w:sz w:val="21"/>
          <w:szCs w:val="21"/>
        </w:rPr>
        <w:t>员变更的公告》。</w:t>
      </w:r>
      <w:bookmarkStart w:id="194" w:name="field_0_bsrevealinfo_1_end"/>
      <w:bookmarkEnd w:id="194"/>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5" w:name="chapter_level1_26_77"/>
      <w:bookmarkStart w:id="196" w:name="_Toc207947168"/>
      <w:r>
        <w:rPr>
          <w:rFonts w:hint="eastAsia" w:ascii="宋体" w:hAnsi="宋体" w:eastAsia="宋体"/>
          <w:sz w:val="30"/>
        </w:rPr>
        <w:t>第二十三部分  招募说明书的存放及查阅方式</w:t>
      </w:r>
      <w:bookmarkEnd w:id="195"/>
      <w:bookmarkEnd w:id="196"/>
    </w:p>
    <w:p>
      <w:pPr>
        <w:pStyle w:val="7"/>
        <w:spacing w:before="0" w:beforeAutospacing="0" w:after="0" w:afterAutospacing="0" w:line="360" w:lineRule="auto"/>
        <w:ind w:firstLine="420"/>
        <w:rPr>
          <w:sz w:val="21"/>
          <w:szCs w:val="21"/>
        </w:rPr>
      </w:pPr>
      <w:bookmarkStart w:id="197" w:name="chapter_level1_26_77_section_1"/>
      <w:bookmarkEnd w:id="197"/>
      <w:r>
        <w:rPr>
          <w:rFonts w:hint="eastAsia"/>
          <w:sz w:val="21"/>
          <w:szCs w:val="21"/>
        </w:rPr>
        <w:t>招募说明书公布后，应当分别置备于基金管理人、基金托管人的住所，投资人可在办公时间查阅；投资人在支付工本费后，可在合理时间内取得上述文件复制件或复印件。对投资人按此种方式所获得的文件及其复印件，基金管理人保证文本的内容与所公告的内容完全一致。</w:t>
      </w:r>
    </w:p>
    <w:p>
      <w:pPr>
        <w:pStyle w:val="7"/>
        <w:spacing w:before="0" w:beforeAutospacing="0" w:after="0" w:afterAutospacing="0" w:line="360" w:lineRule="auto"/>
        <w:ind w:firstLine="420"/>
        <w:rPr>
          <w:sz w:val="21"/>
          <w:szCs w:val="21"/>
        </w:rPr>
      </w:pPr>
      <w:bookmarkStart w:id="198" w:name="chapter_level1_26_77_section_1_end"/>
      <w:bookmarkEnd w:id="198"/>
      <w:r>
        <w:rPr>
          <w:rFonts w:hint="eastAsia"/>
          <w:sz w:val="21"/>
          <w:szCs w:val="21"/>
        </w:rPr>
        <w:t>投资人还可以直接登录基金管理人的网站（www.bosera.com）查阅和下载招募说明书。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9" w:name="_Toc207947169"/>
      <w:bookmarkStart w:id="200" w:name="chapter_level1_27_332"/>
      <w:r>
        <w:rPr>
          <w:rFonts w:hint="eastAsia" w:ascii="宋体" w:hAnsi="宋体" w:eastAsia="宋体"/>
          <w:sz w:val="30"/>
        </w:rPr>
        <w:t>第二十四部分  备查文件</w:t>
      </w:r>
      <w:bookmarkEnd w:id="199"/>
      <w:bookmarkEnd w:id="200"/>
    </w:p>
    <w:p>
      <w:pPr>
        <w:pStyle w:val="7"/>
        <w:spacing w:before="0" w:beforeAutospacing="0" w:after="0" w:afterAutospacing="0" w:line="360" w:lineRule="auto"/>
        <w:ind w:firstLine="420"/>
        <w:rPr>
          <w:sz w:val="21"/>
          <w:szCs w:val="21"/>
        </w:rPr>
      </w:pPr>
      <w:bookmarkStart w:id="201" w:name="chapter_level1_27_332_section_1"/>
      <w:bookmarkEnd w:id="201"/>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202" w:name="field_0_productfullname_12"/>
      <w:r>
        <w:rPr>
          <w:rFonts w:hint="eastAsia"/>
          <w:sz w:val="21"/>
          <w:szCs w:val="21"/>
        </w:rPr>
        <w:t>博时富耀纯债一年定期开放债券型发起式证券投资基金</w:t>
      </w:r>
      <w:bookmarkEnd w:id="202"/>
      <w:r>
        <w:rPr>
          <w:rFonts w:hint="eastAsia"/>
          <w:sz w:val="21"/>
          <w:szCs w:val="21"/>
        </w:rPr>
        <w:t xml:space="preserve">注册的文件 </w:t>
      </w:r>
    </w:p>
    <w:p>
      <w:pPr>
        <w:pStyle w:val="7"/>
        <w:spacing w:before="0" w:beforeAutospacing="0" w:after="0" w:afterAutospacing="0" w:line="360" w:lineRule="auto"/>
        <w:ind w:firstLine="420"/>
        <w:rPr>
          <w:sz w:val="21"/>
          <w:szCs w:val="21"/>
        </w:rPr>
      </w:pPr>
      <w:r>
        <w:rPr>
          <w:rFonts w:hint="eastAsia"/>
          <w:sz w:val="21"/>
          <w:szCs w:val="21"/>
        </w:rPr>
        <w:t>（二）《</w:t>
      </w:r>
      <w:bookmarkStart w:id="203" w:name="field_0_productfullname_13"/>
      <w:r>
        <w:rPr>
          <w:rFonts w:hint="eastAsia"/>
          <w:sz w:val="21"/>
          <w:szCs w:val="21"/>
        </w:rPr>
        <w:t>博时富耀纯债一年定期开放债券型发起式证券投资基金</w:t>
      </w:r>
      <w:bookmarkEnd w:id="203"/>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204" w:name="field_0_productfullname_14"/>
      <w:r>
        <w:rPr>
          <w:rFonts w:hint="eastAsia"/>
          <w:sz w:val="21"/>
          <w:szCs w:val="21"/>
        </w:rPr>
        <w:t>博时富耀纯债一年定期开放债券型发起式证券投资基金</w:t>
      </w:r>
      <w:bookmarkEnd w:id="204"/>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（六）关于申请募集</w:t>
      </w:r>
      <w:bookmarkStart w:id="205" w:name="field_0_productfullname_15"/>
      <w:r>
        <w:rPr>
          <w:rFonts w:hint="eastAsia"/>
          <w:sz w:val="21"/>
          <w:szCs w:val="21"/>
        </w:rPr>
        <w:t>博时富耀纯债一年定期开放债券型发起式证券投资基金</w:t>
      </w:r>
      <w:bookmarkEnd w:id="205"/>
      <w:r>
        <w:rPr>
          <w:rFonts w:hint="eastAsia"/>
          <w:sz w:val="21"/>
          <w:szCs w:val="21"/>
        </w:rPr>
        <w:t xml:space="preserve">之法律意见书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bookmarkStart w:id="206" w:name="chapter_level1_27_332_section_1_end"/>
      <w:bookmarkEnd w:id="206"/>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bookmarkStart w:id="207" w:name="chapter_level1_27_332_section_2"/>
      <w:bookmarkEnd w:id="207"/>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208" w:name="field_0_managerorgfullname_1"/>
      <w:r>
        <w:rPr>
          <w:rFonts w:hint="eastAsia"/>
          <w:sz w:val="21"/>
          <w:szCs w:val="21"/>
        </w:rPr>
        <w:t>博时基金管理有限公司</w:t>
      </w:r>
      <w:bookmarkEnd w:id="208"/>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209" w:name="chapter_level1_27_332_section_2_end"/>
      <w:bookmarkEnd w:id="209"/>
      <w:bookmarkStart w:id="210"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5</w:t>
      </w:r>
      <w:r>
        <w:rPr>
          <w:sz w:val="21"/>
          <w:szCs w:val="21"/>
        </w:rPr>
        <w:t>月</w:t>
      </w:r>
      <w:r>
        <w:rPr>
          <w:rFonts w:hint="eastAsia"/>
          <w:sz w:val="21"/>
          <w:szCs w:val="21"/>
          <w:lang w:val="en-US" w:eastAsia="zh-CN"/>
        </w:rPr>
        <w:t>7</w:t>
      </w:r>
      <w:r>
        <w:rPr>
          <w:sz w:val="21"/>
          <w:szCs w:val="21"/>
        </w:rPr>
        <w:t>日</w:t>
      </w:r>
      <w:bookmarkEnd w:id="210"/>
      <w:r>
        <w:rPr>
          <w:rFonts w:hint="eastAsia"/>
          <w:sz w:val="21"/>
          <w:szCs w:val="21"/>
        </w:rPr>
        <w:t xml:space="preserve">  </w:t>
      </w:r>
    </w:p>
    <w:p>
      <w:pPr>
        <w:rPr>
          <w:rFonts w:ascii="宋体" w:hAnsi="宋体" w:eastAsia="宋体"/>
        </w:rPr>
      </w:pPr>
      <w:bookmarkStart w:id="211" w:name="end"/>
      <w:bookmarkEnd w:id="211"/>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126</w:t>
    </w:r>
    <w:r>
      <w:fldChar w:fldCharType="end"/>
    </w:r>
    <w:r>
      <w:rPr>
        <w:rFonts w:hint="eastAsia"/>
      </w:rPr>
      <w:t>页 共</w:t>
    </w:r>
    <w:r>
      <w:fldChar w:fldCharType="begin"/>
    </w:r>
    <w:r>
      <w:instrText xml:space="preserve"> NumPages \* MERGEFORMAT </w:instrText>
    </w:r>
    <w:r>
      <w:fldChar w:fldCharType="separate"/>
    </w:r>
    <w:r>
      <w:t>126</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博时富耀纯债一年定期开放债券型发起式证券投资基金更新招募说明书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9C4"/>
    <w:rsid w:val="001619C4"/>
    <w:rsid w:val="001D3CC7"/>
    <w:rsid w:val="00B42D2E"/>
    <w:rsid w:val="02167F81"/>
    <w:rsid w:val="0F66021B"/>
    <w:rsid w:val="153F570E"/>
    <w:rsid w:val="24950968"/>
    <w:rsid w:val="2B046110"/>
    <w:rsid w:val="4FB24CD0"/>
    <w:rsid w:val="570101C0"/>
    <w:rsid w:val="65EA4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themeColor="hyperlink"/>
      <w:u w:val="single"/>
      <w14:textFill>
        <w14:solidFill>
          <w14:schemeClr w14:val="hlink"/>
        </w14:solidFill>
      </w14:textFill>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123</Pages>
  <Words>14377</Words>
  <Characters>81951</Characters>
  <Lines>682</Lines>
  <Paragraphs>192</Paragraphs>
  <TotalTime>0</TotalTime>
  <ScaleCrop>false</ScaleCrop>
  <LinksUpToDate>false</LinksUpToDate>
  <CharactersWithSpaces>96136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2025-09-04T22:45:00Z</dcterms:created>
  <dc:creator>BSKMadminDev</dc:creator>
  <cp:lastModifiedBy>huangzw</cp:lastModifiedBy>
  <dcterms:modified xsi:type="dcterms:W3CDTF">2026-05-06T06:46:32Z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95F94171A0504B89825CCA46DD0708E7</vt:lpwstr>
  </property>
</Properties>
</file>