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160E7F">
      <w:pPr>
        <w:adjustRightInd w:val="0"/>
        <w:snapToGrid w:val="0"/>
        <w:spacing w:line="360" w:lineRule="auto"/>
        <w:jc w:val="center"/>
        <w:rPr>
          <w:rFonts w:cs="Arial"/>
          <w:szCs w:val="21"/>
        </w:rPr>
        <w:sectPr>
          <w:footerReference r:id="rId3" w:type="even"/>
          <w:type w:val="continuous"/>
          <w:pgSz w:w="11906" w:h="16838"/>
          <w:pgMar w:top="1418" w:right="1701" w:bottom="1418" w:left="1701" w:header="851" w:footer="992" w:gutter="0"/>
          <w:cols w:space="425" w:num="1"/>
          <w:docGrid w:type="lines" w:linePitch="312" w:charSpace="0"/>
        </w:sectPr>
      </w:pPr>
      <w:bookmarkStart w:id="0" w:name="TITLE_0b885b7c4a164e0db299042cec4001b3"/>
    </w:p>
    <w:bookmarkEnd w:id="0"/>
    <w:p w14:paraId="00EB5961">
      <w:pPr>
        <w:adjustRightInd w:val="0"/>
        <w:snapToGrid w:val="0"/>
        <w:spacing w:line="360" w:lineRule="auto"/>
        <w:jc w:val="center"/>
        <w:rPr>
          <w:rFonts w:cs="Arial"/>
          <w:szCs w:val="21"/>
        </w:rPr>
      </w:pPr>
      <w:bookmarkStart w:id="1" w:name="CTS_ea91b302e9a246b186f4ac88363a4576"/>
      <w:bookmarkEnd w:id="1"/>
      <w:bookmarkStart w:id="2" w:name="CLAUSE_ea91b302e9a246b186f4ac88363a4576"/>
    </w:p>
    <w:p w14:paraId="458D6105">
      <w:pPr>
        <w:adjustRightInd w:val="0"/>
        <w:snapToGrid w:val="0"/>
        <w:spacing w:line="360" w:lineRule="auto"/>
        <w:jc w:val="center"/>
        <w:rPr>
          <w:rFonts w:cs="Arial"/>
          <w:szCs w:val="21"/>
        </w:rPr>
      </w:pPr>
    </w:p>
    <w:p w14:paraId="3E0ADEF2">
      <w:pPr>
        <w:adjustRightInd w:val="0"/>
        <w:snapToGrid w:val="0"/>
        <w:spacing w:line="360" w:lineRule="auto"/>
        <w:jc w:val="center"/>
        <w:rPr>
          <w:rFonts w:cs="Arial"/>
          <w:szCs w:val="21"/>
        </w:rPr>
      </w:pPr>
    </w:p>
    <w:p w14:paraId="262BFD66">
      <w:pPr>
        <w:adjustRightInd w:val="0"/>
        <w:snapToGrid w:val="0"/>
        <w:spacing w:line="360" w:lineRule="auto"/>
        <w:jc w:val="center"/>
        <w:rPr>
          <w:rFonts w:cs="Arial"/>
          <w:szCs w:val="21"/>
        </w:rPr>
      </w:pPr>
    </w:p>
    <w:p w14:paraId="49FBB71D">
      <w:pPr>
        <w:adjustRightInd w:val="0"/>
        <w:snapToGrid w:val="0"/>
        <w:spacing w:line="360" w:lineRule="auto"/>
        <w:jc w:val="center"/>
        <w:rPr>
          <w:rFonts w:ascii="黑体" w:hAnsi="黑体" w:eastAsia="黑体" w:cs="Arial"/>
          <w:b/>
          <w:sz w:val="44"/>
          <w:szCs w:val="21"/>
        </w:rPr>
      </w:pPr>
      <w:r>
        <w:rPr>
          <w:rFonts w:hint="eastAsia" w:ascii="黑体" w:hAnsi="黑体" w:eastAsia="黑体" w:cs="Arial"/>
          <w:b/>
          <w:sz w:val="44"/>
          <w:szCs w:val="21"/>
        </w:rPr>
        <w:t>博时卓越优选混合型证券投资基金</w:t>
      </w:r>
    </w:p>
    <w:p w14:paraId="0D1EEFD9">
      <w:pPr>
        <w:adjustRightInd w:val="0"/>
        <w:snapToGrid w:val="0"/>
        <w:spacing w:line="360" w:lineRule="auto"/>
        <w:jc w:val="center"/>
        <w:rPr>
          <w:rFonts w:ascii="黑体" w:hAnsi="黑体" w:eastAsia="黑体" w:cs="Arial"/>
          <w:b/>
          <w:szCs w:val="21"/>
        </w:rPr>
      </w:pPr>
      <w:r>
        <w:rPr>
          <w:rFonts w:hint="eastAsia" w:ascii="黑体" w:hAnsi="黑体" w:eastAsia="黑体" w:cs="Arial"/>
          <w:b/>
          <w:sz w:val="44"/>
          <w:szCs w:val="21"/>
        </w:rPr>
        <w:t>托管协议</w:t>
      </w:r>
    </w:p>
    <w:p w14:paraId="0B16701C">
      <w:pPr>
        <w:adjustRightInd w:val="0"/>
        <w:snapToGrid w:val="0"/>
        <w:spacing w:line="360" w:lineRule="auto"/>
        <w:jc w:val="center"/>
        <w:rPr>
          <w:rFonts w:cs="Arial"/>
          <w:szCs w:val="21"/>
        </w:rPr>
      </w:pPr>
      <w:bookmarkStart w:id="183" w:name="_GoBack"/>
      <w:bookmarkEnd w:id="183"/>
    </w:p>
    <w:p w14:paraId="6874DC07">
      <w:pPr>
        <w:adjustRightInd w:val="0"/>
        <w:snapToGrid w:val="0"/>
        <w:spacing w:line="360" w:lineRule="auto"/>
        <w:jc w:val="center"/>
        <w:rPr>
          <w:rFonts w:cs="Arial"/>
          <w:szCs w:val="21"/>
        </w:rPr>
      </w:pPr>
    </w:p>
    <w:p w14:paraId="7F3131F1">
      <w:pPr>
        <w:adjustRightInd w:val="0"/>
        <w:snapToGrid w:val="0"/>
        <w:spacing w:line="360" w:lineRule="auto"/>
        <w:jc w:val="center"/>
        <w:rPr>
          <w:rFonts w:cs="Arial"/>
          <w:szCs w:val="21"/>
        </w:rPr>
      </w:pPr>
    </w:p>
    <w:p w14:paraId="59F79F66">
      <w:pPr>
        <w:adjustRightInd w:val="0"/>
        <w:snapToGrid w:val="0"/>
        <w:spacing w:line="360" w:lineRule="auto"/>
        <w:jc w:val="center"/>
        <w:rPr>
          <w:rFonts w:cs="Arial"/>
          <w:szCs w:val="21"/>
        </w:rPr>
      </w:pPr>
    </w:p>
    <w:p w14:paraId="790A8E25">
      <w:pPr>
        <w:adjustRightInd w:val="0"/>
        <w:snapToGrid w:val="0"/>
        <w:spacing w:line="360" w:lineRule="auto"/>
        <w:jc w:val="center"/>
        <w:rPr>
          <w:rFonts w:cs="Arial"/>
          <w:szCs w:val="21"/>
        </w:rPr>
      </w:pPr>
    </w:p>
    <w:p w14:paraId="30B048A3">
      <w:pPr>
        <w:adjustRightInd w:val="0"/>
        <w:snapToGrid w:val="0"/>
        <w:spacing w:line="360" w:lineRule="auto"/>
        <w:jc w:val="center"/>
        <w:rPr>
          <w:rFonts w:cs="Arial"/>
          <w:szCs w:val="21"/>
        </w:rPr>
      </w:pPr>
    </w:p>
    <w:p w14:paraId="1BB37D48">
      <w:pPr>
        <w:adjustRightInd w:val="0"/>
        <w:snapToGrid w:val="0"/>
        <w:spacing w:line="360" w:lineRule="auto"/>
        <w:jc w:val="center"/>
        <w:rPr>
          <w:rFonts w:cs="Arial"/>
          <w:szCs w:val="21"/>
        </w:rPr>
      </w:pPr>
    </w:p>
    <w:p w14:paraId="1F3697B1">
      <w:pPr>
        <w:adjustRightInd w:val="0"/>
        <w:snapToGrid w:val="0"/>
        <w:spacing w:line="360" w:lineRule="auto"/>
        <w:jc w:val="center"/>
        <w:rPr>
          <w:rFonts w:cs="Arial"/>
          <w:szCs w:val="21"/>
        </w:rPr>
      </w:pPr>
    </w:p>
    <w:p w14:paraId="33598F45">
      <w:pPr>
        <w:adjustRightInd w:val="0"/>
        <w:snapToGrid w:val="0"/>
        <w:spacing w:line="360" w:lineRule="auto"/>
        <w:jc w:val="center"/>
        <w:rPr>
          <w:rFonts w:cs="Arial"/>
          <w:szCs w:val="21"/>
        </w:rPr>
      </w:pPr>
    </w:p>
    <w:p w14:paraId="204CB606">
      <w:pPr>
        <w:adjustRightInd w:val="0"/>
        <w:snapToGrid w:val="0"/>
        <w:spacing w:line="360" w:lineRule="auto"/>
        <w:jc w:val="center"/>
        <w:rPr>
          <w:rFonts w:cs="Arial"/>
          <w:szCs w:val="21"/>
        </w:rPr>
      </w:pPr>
    </w:p>
    <w:p w14:paraId="393A2519">
      <w:pPr>
        <w:adjustRightInd w:val="0"/>
        <w:snapToGrid w:val="0"/>
        <w:spacing w:line="360" w:lineRule="auto"/>
        <w:jc w:val="center"/>
        <w:rPr>
          <w:rFonts w:cs="Arial"/>
          <w:szCs w:val="21"/>
        </w:rPr>
      </w:pPr>
    </w:p>
    <w:p w14:paraId="79AC5F58">
      <w:pPr>
        <w:adjustRightInd w:val="0"/>
        <w:snapToGrid w:val="0"/>
        <w:spacing w:line="360" w:lineRule="auto"/>
        <w:jc w:val="center"/>
        <w:rPr>
          <w:rFonts w:cs="Arial"/>
          <w:szCs w:val="21"/>
        </w:rPr>
      </w:pPr>
    </w:p>
    <w:p w14:paraId="512E4404">
      <w:pPr>
        <w:adjustRightInd w:val="0"/>
        <w:snapToGrid w:val="0"/>
        <w:spacing w:line="360" w:lineRule="auto"/>
        <w:jc w:val="center"/>
        <w:rPr>
          <w:rFonts w:cs="Arial"/>
          <w:szCs w:val="21"/>
        </w:rPr>
      </w:pPr>
    </w:p>
    <w:p w14:paraId="2F73F154">
      <w:pPr>
        <w:adjustRightInd w:val="0"/>
        <w:snapToGrid w:val="0"/>
        <w:spacing w:line="360" w:lineRule="auto"/>
        <w:jc w:val="center"/>
        <w:rPr>
          <w:rFonts w:cs="Arial"/>
          <w:szCs w:val="21"/>
        </w:rPr>
      </w:pPr>
    </w:p>
    <w:p w14:paraId="3D16A9A5">
      <w:pPr>
        <w:adjustRightInd w:val="0"/>
        <w:snapToGrid w:val="0"/>
        <w:spacing w:line="360" w:lineRule="auto"/>
        <w:jc w:val="center"/>
        <w:rPr>
          <w:rFonts w:cs="Arial"/>
          <w:szCs w:val="21"/>
        </w:rPr>
      </w:pPr>
    </w:p>
    <w:p w14:paraId="0290FC02">
      <w:pPr>
        <w:adjustRightInd w:val="0"/>
        <w:snapToGrid w:val="0"/>
        <w:spacing w:line="360" w:lineRule="auto"/>
        <w:jc w:val="center"/>
        <w:rPr>
          <w:rFonts w:cs="Arial"/>
          <w:szCs w:val="21"/>
        </w:rPr>
      </w:pPr>
    </w:p>
    <w:p w14:paraId="041F8564">
      <w:pPr>
        <w:adjustRightInd w:val="0"/>
        <w:snapToGrid w:val="0"/>
        <w:spacing w:line="360" w:lineRule="auto"/>
        <w:ind w:firstLine="1680" w:firstLineChars="600"/>
        <w:rPr>
          <w:rFonts w:ascii="黑体" w:hAnsi="黑体" w:eastAsia="黑体" w:cs="Arial"/>
          <w:bCs/>
          <w:sz w:val="28"/>
          <w:szCs w:val="21"/>
        </w:rPr>
      </w:pPr>
      <w:r>
        <w:rPr>
          <w:rFonts w:hint="eastAsia" w:ascii="黑体" w:hAnsi="黑体" w:eastAsia="黑体" w:cs="Arial"/>
          <w:bCs/>
          <w:sz w:val="28"/>
          <w:szCs w:val="21"/>
        </w:rPr>
        <w:t>基金管理人：博时基金管理有限公司</w:t>
      </w:r>
    </w:p>
    <w:p w14:paraId="086B6E02">
      <w:pPr>
        <w:adjustRightInd w:val="0"/>
        <w:snapToGrid w:val="0"/>
        <w:spacing w:line="360" w:lineRule="auto"/>
        <w:ind w:firstLine="1680" w:firstLineChars="600"/>
        <w:rPr>
          <w:rFonts w:ascii="黑体" w:hAnsi="黑体" w:eastAsia="黑体" w:cs="Arial"/>
          <w:bCs/>
          <w:sz w:val="28"/>
          <w:szCs w:val="21"/>
        </w:rPr>
      </w:pPr>
      <w:r>
        <w:rPr>
          <w:rFonts w:hint="eastAsia" w:ascii="黑体" w:hAnsi="黑体" w:eastAsia="黑体" w:cs="Arial"/>
          <w:bCs/>
          <w:sz w:val="28"/>
          <w:szCs w:val="21"/>
        </w:rPr>
        <w:t>基金托管人：招商银行股份有限公司</w:t>
      </w:r>
    </w:p>
    <w:p w14:paraId="0A2A86D4">
      <w:pPr>
        <w:adjustRightInd w:val="0"/>
        <w:snapToGrid w:val="0"/>
        <w:spacing w:line="360" w:lineRule="auto"/>
        <w:jc w:val="center"/>
        <w:rPr>
          <w:rFonts w:cs="Arial"/>
          <w:szCs w:val="21"/>
        </w:rPr>
      </w:pPr>
    </w:p>
    <w:p w14:paraId="3A2FEF32">
      <w:pPr>
        <w:adjustRightInd w:val="0"/>
        <w:snapToGrid w:val="0"/>
        <w:spacing w:line="360" w:lineRule="auto"/>
        <w:jc w:val="center"/>
        <w:rPr>
          <w:rFonts w:cs="Arial"/>
          <w:szCs w:val="21"/>
        </w:rPr>
      </w:pPr>
    </w:p>
    <w:p w14:paraId="51823FF0">
      <w:pPr>
        <w:adjustRightInd w:val="0"/>
        <w:snapToGrid w:val="0"/>
        <w:spacing w:line="360" w:lineRule="auto"/>
        <w:ind w:firstLine="2263" w:firstLineChars="1078"/>
        <w:rPr>
          <w:rFonts w:ascii="黑体" w:hAnsi="黑体" w:eastAsia="黑体" w:cs="Arial"/>
          <w:bCs/>
          <w:szCs w:val="21"/>
        </w:rPr>
      </w:pPr>
    </w:p>
    <w:p w14:paraId="3D9D2954">
      <w:pPr>
        <w:adjustRightInd w:val="0"/>
        <w:snapToGrid w:val="0"/>
        <w:spacing w:line="360" w:lineRule="auto"/>
        <w:ind w:firstLine="2264"/>
        <w:jc w:val="center"/>
        <w:rPr>
          <w:szCs w:val="21"/>
        </w:rPr>
      </w:pPr>
    </w:p>
    <w:p w14:paraId="2AFBF7F3">
      <w:pPr>
        <w:adjustRightInd w:val="0"/>
        <w:snapToGrid w:val="0"/>
        <w:spacing w:line="360" w:lineRule="auto"/>
        <w:rPr>
          <w:rFonts w:cs="Arial"/>
          <w:bCs/>
          <w:szCs w:val="21"/>
        </w:rPr>
      </w:pPr>
    </w:p>
    <w:bookmarkEnd w:id="2"/>
    <w:p w14:paraId="7FBCD47C">
      <w:pPr>
        <w:adjustRightInd w:val="0"/>
        <w:snapToGrid w:val="0"/>
        <w:spacing w:line="360" w:lineRule="auto"/>
        <w:rPr>
          <w:rFonts w:cs="Arial"/>
          <w:bCs/>
          <w:szCs w:val="21"/>
        </w:rPr>
        <w:sectPr>
          <w:type w:val="continuous"/>
          <w:pgSz w:w="11906" w:h="16838"/>
          <w:pgMar w:top="1418" w:right="1701" w:bottom="1418" w:left="1701" w:header="851" w:footer="992" w:gutter="0"/>
          <w:cols w:space="425" w:num="1"/>
          <w:docGrid w:type="lines" w:linePitch="312" w:charSpace="0"/>
        </w:sectPr>
      </w:pPr>
    </w:p>
    <w:p w14:paraId="50CB9D70">
      <w:pPr>
        <w:adjustRightInd w:val="0"/>
        <w:snapToGrid w:val="0"/>
        <w:spacing w:line="360" w:lineRule="auto"/>
        <w:rPr>
          <w:rFonts w:cs="Arial"/>
          <w:bCs/>
          <w:szCs w:val="21"/>
        </w:rPr>
      </w:pPr>
      <w:bookmarkStart w:id="3" w:name="CLAUSE_aed7b4ecf7de483498f8f26b9760cac0"/>
    </w:p>
    <w:p w14:paraId="32804BC9">
      <w:pPr>
        <w:spacing w:line="360" w:lineRule="auto"/>
        <w:jc w:val="center"/>
        <w:rPr>
          <w:rFonts w:ascii="宋体" w:hAnsi="宋体"/>
          <w:b/>
          <w:bCs/>
          <w:sz w:val="32"/>
          <w:szCs w:val="32"/>
        </w:rPr>
      </w:pPr>
      <w:r>
        <w:rPr>
          <w:rFonts w:hint="eastAsia" w:ascii="宋体" w:hAnsi="宋体"/>
          <w:b/>
          <w:bCs/>
          <w:sz w:val="32"/>
          <w:szCs w:val="32"/>
        </w:rPr>
        <w:t>目录</w:t>
      </w:r>
    </w:p>
    <w:p w14:paraId="64562C14">
      <w:pPr>
        <w:pStyle w:val="21"/>
        <w:tabs>
          <w:tab w:val="right" w:leader="dot" w:pos="8494"/>
        </w:tabs>
        <w:spacing w:line="360" w:lineRule="auto"/>
        <w:rPr>
          <w:rFonts w:asciiTheme="minorHAnsi" w:hAnsiTheme="minorHAnsi" w:eastAsiaTheme="minorEastAsia" w:cstheme="minorBidi"/>
          <w:szCs w:val="22"/>
        </w:rPr>
      </w:pPr>
      <w:r>
        <w:rPr>
          <w:rFonts w:ascii="宋体" w:hAnsi="宋体"/>
          <w:szCs w:val="21"/>
        </w:rPr>
        <w:fldChar w:fldCharType="begin"/>
      </w:r>
      <w:r>
        <w:rPr>
          <w:rFonts w:ascii="宋体" w:hAnsi="宋体"/>
          <w:szCs w:val="21"/>
        </w:rPr>
        <w:instrText xml:space="preserve"> TOC \o "1-2" \h \z </w:instrText>
      </w:r>
      <w:r>
        <w:rPr>
          <w:rFonts w:ascii="宋体" w:hAnsi="宋体"/>
          <w:szCs w:val="21"/>
        </w:rPr>
        <w:fldChar w:fldCharType="separate"/>
      </w:r>
      <w:r>
        <w:fldChar w:fldCharType="begin"/>
      </w:r>
      <w:r>
        <w:instrText xml:space="preserve"> HYPERLINK \l "_Toc501274913" </w:instrText>
      </w:r>
      <w:r>
        <w:fldChar w:fldCharType="separate"/>
      </w:r>
      <w:r>
        <w:rPr>
          <w:rStyle w:val="31"/>
          <w:rFonts w:hint="eastAsia" w:ascii="宋体" w:hAnsi="宋体"/>
          <w:color w:val="auto"/>
        </w:rPr>
        <w:t>一、基金托管协议当事人</w:t>
      </w:r>
      <w:r>
        <w:tab/>
      </w:r>
      <w:r>
        <w:rPr>
          <w:rFonts w:hint="eastAsia"/>
        </w:rPr>
        <w:t>1-</w:t>
      </w:r>
      <w:r>
        <w:fldChar w:fldCharType="begin"/>
      </w:r>
      <w:r>
        <w:instrText xml:space="preserve"> PAGEREF _Toc501274913 \h </w:instrText>
      </w:r>
      <w:r>
        <w:fldChar w:fldCharType="separate"/>
      </w:r>
      <w:r>
        <w:t>1</w:t>
      </w:r>
      <w:r>
        <w:fldChar w:fldCharType="end"/>
      </w:r>
      <w:r>
        <w:fldChar w:fldCharType="end"/>
      </w:r>
    </w:p>
    <w:p w14:paraId="0F73A1A1">
      <w:pPr>
        <w:pStyle w:val="21"/>
        <w:tabs>
          <w:tab w:val="right" w:leader="dot" w:pos="8494"/>
        </w:tabs>
        <w:spacing w:line="360" w:lineRule="auto"/>
        <w:rPr>
          <w:rFonts w:asciiTheme="minorHAnsi" w:hAnsiTheme="minorHAnsi" w:eastAsiaTheme="minorEastAsia" w:cstheme="minorBidi"/>
          <w:szCs w:val="22"/>
        </w:rPr>
      </w:pPr>
      <w:r>
        <w:fldChar w:fldCharType="begin"/>
      </w:r>
      <w:r>
        <w:instrText xml:space="preserve"> HYPERLINK \l "_Toc501274914" </w:instrText>
      </w:r>
      <w:r>
        <w:fldChar w:fldCharType="separate"/>
      </w:r>
      <w:r>
        <w:rPr>
          <w:rStyle w:val="31"/>
          <w:rFonts w:hint="eastAsia" w:ascii="宋体" w:hAnsi="宋体"/>
          <w:color w:val="auto"/>
        </w:rPr>
        <w:t>二、基金托管协议的依据、目的和原则</w:t>
      </w:r>
      <w:r>
        <w:tab/>
      </w:r>
      <w:r>
        <w:rPr>
          <w:rFonts w:hint="eastAsia"/>
        </w:rPr>
        <w:t>2-</w:t>
      </w:r>
      <w:r>
        <w:fldChar w:fldCharType="begin"/>
      </w:r>
      <w:r>
        <w:instrText xml:space="preserve"> PAGEREF _Toc501274914 \h </w:instrText>
      </w:r>
      <w:r>
        <w:fldChar w:fldCharType="separate"/>
      </w:r>
      <w:r>
        <w:t>1</w:t>
      </w:r>
      <w:r>
        <w:fldChar w:fldCharType="end"/>
      </w:r>
      <w:r>
        <w:fldChar w:fldCharType="end"/>
      </w:r>
    </w:p>
    <w:p w14:paraId="5FF710A3">
      <w:pPr>
        <w:pStyle w:val="21"/>
        <w:tabs>
          <w:tab w:val="right" w:leader="dot" w:pos="8494"/>
        </w:tabs>
        <w:spacing w:line="360" w:lineRule="auto"/>
        <w:rPr>
          <w:rFonts w:asciiTheme="minorHAnsi" w:hAnsiTheme="minorHAnsi" w:eastAsiaTheme="minorEastAsia" w:cstheme="minorBidi"/>
          <w:szCs w:val="22"/>
        </w:rPr>
      </w:pPr>
      <w:r>
        <w:fldChar w:fldCharType="begin"/>
      </w:r>
      <w:r>
        <w:instrText xml:space="preserve"> HYPERLINK \l "_Toc501274915" </w:instrText>
      </w:r>
      <w:r>
        <w:fldChar w:fldCharType="separate"/>
      </w:r>
      <w:r>
        <w:rPr>
          <w:rStyle w:val="31"/>
          <w:rFonts w:hint="eastAsia" w:ascii="宋体" w:hAnsi="宋体"/>
          <w:color w:val="auto"/>
        </w:rPr>
        <w:t>三、基金托管人对基金管理人的业务监督和核查</w:t>
      </w:r>
      <w:r>
        <w:tab/>
      </w:r>
      <w:r>
        <w:rPr>
          <w:rFonts w:hint="eastAsia"/>
        </w:rPr>
        <w:t>3-</w:t>
      </w:r>
      <w:r>
        <w:fldChar w:fldCharType="begin"/>
      </w:r>
      <w:r>
        <w:instrText xml:space="preserve"> PAGEREF _Toc501274915 \h </w:instrText>
      </w:r>
      <w:r>
        <w:fldChar w:fldCharType="separate"/>
      </w:r>
      <w:r>
        <w:t>1</w:t>
      </w:r>
      <w:r>
        <w:fldChar w:fldCharType="end"/>
      </w:r>
      <w:r>
        <w:fldChar w:fldCharType="end"/>
      </w:r>
    </w:p>
    <w:p w14:paraId="45CC0BE7">
      <w:pPr>
        <w:pStyle w:val="21"/>
        <w:tabs>
          <w:tab w:val="right" w:leader="dot" w:pos="8494"/>
        </w:tabs>
        <w:spacing w:line="360" w:lineRule="auto"/>
        <w:rPr>
          <w:rFonts w:asciiTheme="minorHAnsi" w:hAnsiTheme="minorHAnsi" w:eastAsiaTheme="minorEastAsia" w:cstheme="minorBidi"/>
          <w:szCs w:val="22"/>
        </w:rPr>
      </w:pPr>
      <w:r>
        <w:fldChar w:fldCharType="begin"/>
      </w:r>
      <w:r>
        <w:instrText xml:space="preserve"> HYPERLINK \l "_Toc501274916" </w:instrText>
      </w:r>
      <w:r>
        <w:fldChar w:fldCharType="separate"/>
      </w:r>
      <w:r>
        <w:rPr>
          <w:rStyle w:val="31"/>
          <w:rFonts w:hint="eastAsia" w:ascii="宋体" w:hAnsi="宋体"/>
          <w:color w:val="auto"/>
        </w:rPr>
        <w:t>四、基金管理人对基金托管人的业务核查</w:t>
      </w:r>
      <w:r>
        <w:tab/>
      </w:r>
      <w:r>
        <w:rPr>
          <w:rFonts w:hint="eastAsia"/>
        </w:rPr>
        <w:t>4-</w:t>
      </w:r>
      <w:r>
        <w:fldChar w:fldCharType="begin"/>
      </w:r>
      <w:r>
        <w:instrText xml:space="preserve"> PAGEREF _Toc501274916 \h </w:instrText>
      </w:r>
      <w:r>
        <w:fldChar w:fldCharType="separate"/>
      </w:r>
      <w:r>
        <w:t>1</w:t>
      </w:r>
      <w:r>
        <w:fldChar w:fldCharType="end"/>
      </w:r>
      <w:r>
        <w:fldChar w:fldCharType="end"/>
      </w:r>
    </w:p>
    <w:p w14:paraId="3B188B4D">
      <w:pPr>
        <w:pStyle w:val="21"/>
        <w:tabs>
          <w:tab w:val="right" w:leader="dot" w:pos="8494"/>
        </w:tabs>
        <w:spacing w:line="360" w:lineRule="auto"/>
        <w:rPr>
          <w:rFonts w:asciiTheme="minorHAnsi" w:hAnsiTheme="minorHAnsi" w:eastAsiaTheme="minorEastAsia" w:cstheme="minorBidi"/>
          <w:szCs w:val="22"/>
        </w:rPr>
      </w:pPr>
      <w:r>
        <w:fldChar w:fldCharType="begin"/>
      </w:r>
      <w:r>
        <w:instrText xml:space="preserve"> HYPERLINK \l "_Toc501274917" </w:instrText>
      </w:r>
      <w:r>
        <w:fldChar w:fldCharType="separate"/>
      </w:r>
      <w:r>
        <w:rPr>
          <w:rStyle w:val="31"/>
          <w:rFonts w:hint="eastAsia" w:ascii="宋体" w:hAnsi="宋体"/>
          <w:color w:val="auto"/>
        </w:rPr>
        <w:t>五、基金财产的保管</w:t>
      </w:r>
      <w:r>
        <w:tab/>
      </w:r>
      <w:r>
        <w:rPr>
          <w:rFonts w:hint="eastAsia"/>
        </w:rPr>
        <w:t>5-</w:t>
      </w:r>
      <w:r>
        <w:fldChar w:fldCharType="begin"/>
      </w:r>
      <w:r>
        <w:instrText xml:space="preserve"> PAGEREF _Toc501274917 \h </w:instrText>
      </w:r>
      <w:r>
        <w:fldChar w:fldCharType="separate"/>
      </w:r>
      <w:r>
        <w:t>1</w:t>
      </w:r>
      <w:r>
        <w:fldChar w:fldCharType="end"/>
      </w:r>
      <w:r>
        <w:fldChar w:fldCharType="end"/>
      </w:r>
    </w:p>
    <w:p w14:paraId="0760296D">
      <w:pPr>
        <w:pStyle w:val="21"/>
        <w:tabs>
          <w:tab w:val="right" w:leader="dot" w:pos="8494"/>
        </w:tabs>
        <w:spacing w:line="360" w:lineRule="auto"/>
        <w:rPr>
          <w:rFonts w:asciiTheme="minorHAnsi" w:hAnsiTheme="minorHAnsi" w:eastAsiaTheme="minorEastAsia" w:cstheme="minorBidi"/>
          <w:szCs w:val="22"/>
        </w:rPr>
      </w:pPr>
      <w:r>
        <w:fldChar w:fldCharType="begin"/>
      </w:r>
      <w:r>
        <w:instrText xml:space="preserve"> HYPERLINK \l "_Toc501274918" </w:instrText>
      </w:r>
      <w:r>
        <w:fldChar w:fldCharType="separate"/>
      </w:r>
      <w:r>
        <w:rPr>
          <w:rStyle w:val="31"/>
          <w:rFonts w:hint="eastAsia" w:ascii="宋体" w:hAnsi="宋体"/>
          <w:color w:val="auto"/>
        </w:rPr>
        <w:t>六、指令的发送、确认及执行</w:t>
      </w:r>
      <w:r>
        <w:tab/>
      </w:r>
      <w:r>
        <w:rPr>
          <w:rFonts w:hint="eastAsia"/>
        </w:rPr>
        <w:t>6-</w:t>
      </w:r>
      <w:r>
        <w:fldChar w:fldCharType="begin"/>
      </w:r>
      <w:r>
        <w:instrText xml:space="preserve"> PAGEREF _Toc501274918 \h </w:instrText>
      </w:r>
      <w:r>
        <w:fldChar w:fldCharType="separate"/>
      </w:r>
      <w:r>
        <w:t>1</w:t>
      </w:r>
      <w:r>
        <w:fldChar w:fldCharType="end"/>
      </w:r>
      <w:r>
        <w:fldChar w:fldCharType="end"/>
      </w:r>
    </w:p>
    <w:p w14:paraId="5FBA4001">
      <w:pPr>
        <w:pStyle w:val="21"/>
        <w:tabs>
          <w:tab w:val="right" w:leader="dot" w:pos="8494"/>
        </w:tabs>
        <w:spacing w:line="360" w:lineRule="auto"/>
        <w:rPr>
          <w:rFonts w:asciiTheme="minorHAnsi" w:hAnsiTheme="minorHAnsi" w:eastAsiaTheme="minorEastAsia" w:cstheme="minorBidi"/>
          <w:szCs w:val="22"/>
        </w:rPr>
      </w:pPr>
      <w:r>
        <w:fldChar w:fldCharType="begin"/>
      </w:r>
      <w:r>
        <w:instrText xml:space="preserve"> HYPERLINK \l "_Toc501274919" </w:instrText>
      </w:r>
      <w:r>
        <w:fldChar w:fldCharType="separate"/>
      </w:r>
      <w:r>
        <w:rPr>
          <w:rStyle w:val="31"/>
          <w:rFonts w:hint="eastAsia" w:ascii="宋体" w:hAnsi="宋体"/>
          <w:color w:val="auto"/>
        </w:rPr>
        <w:t>七、交易及清算交收安排</w:t>
      </w:r>
      <w:r>
        <w:tab/>
      </w:r>
      <w:r>
        <w:rPr>
          <w:rFonts w:hint="eastAsia"/>
        </w:rPr>
        <w:t>7-</w:t>
      </w:r>
      <w:r>
        <w:fldChar w:fldCharType="begin"/>
      </w:r>
      <w:r>
        <w:instrText xml:space="preserve"> PAGEREF _Toc501274919 \h </w:instrText>
      </w:r>
      <w:r>
        <w:fldChar w:fldCharType="separate"/>
      </w:r>
      <w:r>
        <w:t>1</w:t>
      </w:r>
      <w:r>
        <w:fldChar w:fldCharType="end"/>
      </w:r>
      <w:r>
        <w:fldChar w:fldCharType="end"/>
      </w:r>
    </w:p>
    <w:p w14:paraId="2B0C3A6C">
      <w:pPr>
        <w:pStyle w:val="21"/>
        <w:tabs>
          <w:tab w:val="right" w:leader="dot" w:pos="8494"/>
        </w:tabs>
        <w:spacing w:line="360" w:lineRule="auto"/>
        <w:rPr>
          <w:rFonts w:asciiTheme="minorHAnsi" w:hAnsiTheme="minorHAnsi" w:eastAsiaTheme="minorEastAsia" w:cstheme="minorBidi"/>
          <w:szCs w:val="22"/>
        </w:rPr>
      </w:pPr>
      <w:r>
        <w:fldChar w:fldCharType="begin"/>
      </w:r>
      <w:r>
        <w:instrText xml:space="preserve"> HYPERLINK \l "_Toc501274920" </w:instrText>
      </w:r>
      <w:r>
        <w:fldChar w:fldCharType="separate"/>
      </w:r>
      <w:r>
        <w:rPr>
          <w:rStyle w:val="31"/>
          <w:rFonts w:hint="eastAsia" w:ascii="宋体" w:hAnsi="宋体"/>
          <w:color w:val="auto"/>
        </w:rPr>
        <w:t>八、基金资产净值计算、估值和会计核算</w:t>
      </w:r>
      <w:r>
        <w:tab/>
      </w:r>
      <w:r>
        <w:rPr>
          <w:rFonts w:hint="eastAsia"/>
        </w:rPr>
        <w:t>8-</w:t>
      </w:r>
      <w:r>
        <w:fldChar w:fldCharType="begin"/>
      </w:r>
      <w:r>
        <w:instrText xml:space="preserve"> PAGEREF _Toc501274920 \h </w:instrText>
      </w:r>
      <w:r>
        <w:fldChar w:fldCharType="separate"/>
      </w:r>
      <w:r>
        <w:t>1</w:t>
      </w:r>
      <w:r>
        <w:fldChar w:fldCharType="end"/>
      </w:r>
      <w:r>
        <w:fldChar w:fldCharType="end"/>
      </w:r>
    </w:p>
    <w:p w14:paraId="16F4C0B4">
      <w:pPr>
        <w:pStyle w:val="21"/>
        <w:tabs>
          <w:tab w:val="right" w:leader="dot" w:pos="8494"/>
        </w:tabs>
        <w:spacing w:line="360" w:lineRule="auto"/>
        <w:rPr>
          <w:rFonts w:asciiTheme="minorHAnsi" w:hAnsiTheme="minorHAnsi" w:eastAsiaTheme="minorEastAsia" w:cstheme="minorBidi"/>
          <w:szCs w:val="22"/>
        </w:rPr>
      </w:pPr>
      <w:r>
        <w:fldChar w:fldCharType="begin"/>
      </w:r>
      <w:r>
        <w:instrText xml:space="preserve"> HYPERLINK \l "_Toc501274921" </w:instrText>
      </w:r>
      <w:r>
        <w:fldChar w:fldCharType="separate"/>
      </w:r>
      <w:r>
        <w:rPr>
          <w:rStyle w:val="31"/>
          <w:rFonts w:hint="eastAsia" w:ascii="宋体" w:hAnsi="宋体"/>
          <w:color w:val="auto"/>
        </w:rPr>
        <w:t>九、基金收益分配</w:t>
      </w:r>
      <w:r>
        <w:tab/>
      </w:r>
      <w:r>
        <w:rPr>
          <w:rFonts w:hint="eastAsia"/>
        </w:rPr>
        <w:t>9-</w:t>
      </w:r>
      <w:r>
        <w:fldChar w:fldCharType="begin"/>
      </w:r>
      <w:r>
        <w:instrText xml:space="preserve"> PAGEREF _Toc501274921 \h </w:instrText>
      </w:r>
      <w:r>
        <w:fldChar w:fldCharType="separate"/>
      </w:r>
      <w:r>
        <w:t>1</w:t>
      </w:r>
      <w:r>
        <w:fldChar w:fldCharType="end"/>
      </w:r>
      <w:r>
        <w:fldChar w:fldCharType="end"/>
      </w:r>
    </w:p>
    <w:p w14:paraId="0A56BDC9">
      <w:pPr>
        <w:pStyle w:val="21"/>
        <w:tabs>
          <w:tab w:val="right" w:leader="dot" w:pos="8494"/>
        </w:tabs>
        <w:spacing w:line="360" w:lineRule="auto"/>
        <w:rPr>
          <w:rFonts w:asciiTheme="minorHAnsi" w:hAnsiTheme="minorHAnsi" w:eastAsiaTheme="minorEastAsia" w:cstheme="minorBidi"/>
          <w:szCs w:val="22"/>
        </w:rPr>
      </w:pPr>
      <w:r>
        <w:fldChar w:fldCharType="begin"/>
      </w:r>
      <w:r>
        <w:instrText xml:space="preserve"> HYPERLINK \l "_Toc501274922" </w:instrText>
      </w:r>
      <w:r>
        <w:fldChar w:fldCharType="separate"/>
      </w:r>
      <w:r>
        <w:rPr>
          <w:rStyle w:val="31"/>
          <w:rFonts w:hint="eastAsia" w:ascii="宋体" w:hAnsi="宋体"/>
          <w:color w:val="auto"/>
        </w:rPr>
        <w:t>十、基金信息披露</w:t>
      </w:r>
      <w:r>
        <w:tab/>
      </w:r>
      <w:r>
        <w:rPr>
          <w:rFonts w:hint="eastAsia"/>
        </w:rPr>
        <w:t>10-</w:t>
      </w:r>
      <w:r>
        <w:fldChar w:fldCharType="begin"/>
      </w:r>
      <w:r>
        <w:instrText xml:space="preserve"> PAGEREF _Toc501274922 \h </w:instrText>
      </w:r>
      <w:r>
        <w:fldChar w:fldCharType="separate"/>
      </w:r>
      <w:r>
        <w:t>1</w:t>
      </w:r>
      <w:r>
        <w:fldChar w:fldCharType="end"/>
      </w:r>
      <w:r>
        <w:fldChar w:fldCharType="end"/>
      </w:r>
    </w:p>
    <w:p w14:paraId="2778E766">
      <w:pPr>
        <w:pStyle w:val="21"/>
        <w:tabs>
          <w:tab w:val="right" w:leader="dot" w:pos="8494"/>
        </w:tabs>
        <w:spacing w:line="360" w:lineRule="auto"/>
        <w:rPr>
          <w:rFonts w:asciiTheme="minorHAnsi" w:hAnsiTheme="minorHAnsi" w:eastAsiaTheme="minorEastAsia" w:cstheme="minorBidi"/>
          <w:szCs w:val="22"/>
        </w:rPr>
      </w:pPr>
      <w:r>
        <w:fldChar w:fldCharType="begin"/>
      </w:r>
      <w:r>
        <w:instrText xml:space="preserve"> HYPERLINK \l "_Toc501274923" </w:instrText>
      </w:r>
      <w:r>
        <w:fldChar w:fldCharType="separate"/>
      </w:r>
      <w:r>
        <w:rPr>
          <w:rStyle w:val="31"/>
          <w:rFonts w:hint="eastAsia" w:ascii="宋体" w:hAnsi="宋体"/>
          <w:color w:val="auto"/>
        </w:rPr>
        <w:t>十一、基金费用</w:t>
      </w:r>
      <w:r>
        <w:tab/>
      </w:r>
      <w:r>
        <w:rPr>
          <w:rFonts w:hint="eastAsia"/>
        </w:rPr>
        <w:t>11-</w:t>
      </w:r>
      <w:r>
        <w:fldChar w:fldCharType="begin"/>
      </w:r>
      <w:r>
        <w:instrText xml:space="preserve"> PAGEREF _Toc501274923 \h </w:instrText>
      </w:r>
      <w:r>
        <w:fldChar w:fldCharType="separate"/>
      </w:r>
      <w:r>
        <w:t>1</w:t>
      </w:r>
      <w:r>
        <w:fldChar w:fldCharType="end"/>
      </w:r>
      <w:r>
        <w:fldChar w:fldCharType="end"/>
      </w:r>
    </w:p>
    <w:p w14:paraId="787A93D1">
      <w:pPr>
        <w:pStyle w:val="21"/>
        <w:tabs>
          <w:tab w:val="right" w:leader="dot" w:pos="8494"/>
        </w:tabs>
        <w:spacing w:line="360" w:lineRule="auto"/>
        <w:rPr>
          <w:rFonts w:asciiTheme="minorHAnsi" w:hAnsiTheme="minorHAnsi" w:eastAsiaTheme="minorEastAsia" w:cstheme="minorBidi"/>
          <w:szCs w:val="22"/>
        </w:rPr>
      </w:pPr>
      <w:r>
        <w:fldChar w:fldCharType="begin"/>
      </w:r>
      <w:r>
        <w:instrText xml:space="preserve"> HYPERLINK \l "_Toc501274924" </w:instrText>
      </w:r>
      <w:r>
        <w:fldChar w:fldCharType="separate"/>
      </w:r>
      <w:r>
        <w:rPr>
          <w:rStyle w:val="31"/>
          <w:rFonts w:hint="eastAsia" w:ascii="宋体" w:hAnsi="宋体"/>
          <w:color w:val="auto"/>
        </w:rPr>
        <w:t>十二、基金份额持有人名册的保管</w:t>
      </w:r>
      <w:r>
        <w:tab/>
      </w:r>
      <w:r>
        <w:rPr>
          <w:rFonts w:hint="eastAsia"/>
        </w:rPr>
        <w:t>12-</w:t>
      </w:r>
      <w:r>
        <w:fldChar w:fldCharType="begin"/>
      </w:r>
      <w:r>
        <w:instrText xml:space="preserve"> PAGEREF _Toc501274924 \h </w:instrText>
      </w:r>
      <w:r>
        <w:fldChar w:fldCharType="separate"/>
      </w:r>
      <w:r>
        <w:t>1</w:t>
      </w:r>
      <w:r>
        <w:fldChar w:fldCharType="end"/>
      </w:r>
      <w:r>
        <w:fldChar w:fldCharType="end"/>
      </w:r>
    </w:p>
    <w:p w14:paraId="5B1ABC4D">
      <w:pPr>
        <w:pStyle w:val="21"/>
        <w:tabs>
          <w:tab w:val="right" w:leader="dot" w:pos="8494"/>
        </w:tabs>
        <w:spacing w:line="360" w:lineRule="auto"/>
        <w:rPr>
          <w:rFonts w:asciiTheme="minorHAnsi" w:hAnsiTheme="minorHAnsi" w:eastAsiaTheme="minorEastAsia" w:cstheme="minorBidi"/>
          <w:szCs w:val="22"/>
        </w:rPr>
      </w:pPr>
      <w:r>
        <w:fldChar w:fldCharType="begin"/>
      </w:r>
      <w:r>
        <w:instrText xml:space="preserve"> HYPERLINK \l "_Toc501274925" </w:instrText>
      </w:r>
      <w:r>
        <w:fldChar w:fldCharType="separate"/>
      </w:r>
      <w:r>
        <w:rPr>
          <w:rStyle w:val="31"/>
          <w:rFonts w:hint="eastAsia" w:ascii="宋体" w:hAnsi="宋体"/>
          <w:color w:val="auto"/>
        </w:rPr>
        <w:t>十三、基金有关文件档案的保存</w:t>
      </w:r>
      <w:r>
        <w:tab/>
      </w:r>
      <w:r>
        <w:rPr>
          <w:rFonts w:hint="eastAsia"/>
        </w:rPr>
        <w:t>13-</w:t>
      </w:r>
      <w:r>
        <w:fldChar w:fldCharType="begin"/>
      </w:r>
      <w:r>
        <w:instrText xml:space="preserve"> PAGEREF _Toc501274925 \h </w:instrText>
      </w:r>
      <w:r>
        <w:fldChar w:fldCharType="separate"/>
      </w:r>
      <w:r>
        <w:t>1</w:t>
      </w:r>
      <w:r>
        <w:fldChar w:fldCharType="end"/>
      </w:r>
      <w:r>
        <w:fldChar w:fldCharType="end"/>
      </w:r>
    </w:p>
    <w:p w14:paraId="6B4EAE9B">
      <w:pPr>
        <w:pStyle w:val="21"/>
        <w:tabs>
          <w:tab w:val="right" w:leader="dot" w:pos="8494"/>
        </w:tabs>
        <w:spacing w:line="360" w:lineRule="auto"/>
        <w:rPr>
          <w:rFonts w:asciiTheme="minorHAnsi" w:hAnsiTheme="minorHAnsi" w:eastAsiaTheme="minorEastAsia" w:cstheme="minorBidi"/>
          <w:szCs w:val="22"/>
        </w:rPr>
      </w:pPr>
      <w:r>
        <w:fldChar w:fldCharType="begin"/>
      </w:r>
      <w:r>
        <w:instrText xml:space="preserve"> HYPERLINK \l "_Toc501274926" </w:instrText>
      </w:r>
      <w:r>
        <w:fldChar w:fldCharType="separate"/>
      </w:r>
      <w:r>
        <w:rPr>
          <w:rStyle w:val="31"/>
          <w:rFonts w:hint="eastAsia" w:ascii="宋体" w:hAnsi="宋体"/>
          <w:color w:val="auto"/>
        </w:rPr>
        <w:t>十四、基金管理人和基金托管人的更换</w:t>
      </w:r>
      <w:r>
        <w:tab/>
      </w:r>
      <w:r>
        <w:rPr>
          <w:rFonts w:hint="eastAsia"/>
        </w:rPr>
        <w:t>14-</w:t>
      </w:r>
      <w:r>
        <w:fldChar w:fldCharType="begin"/>
      </w:r>
      <w:r>
        <w:instrText xml:space="preserve"> PAGEREF _Toc501274926 \h </w:instrText>
      </w:r>
      <w:r>
        <w:fldChar w:fldCharType="separate"/>
      </w:r>
      <w:r>
        <w:t>1</w:t>
      </w:r>
      <w:r>
        <w:fldChar w:fldCharType="end"/>
      </w:r>
      <w:r>
        <w:fldChar w:fldCharType="end"/>
      </w:r>
    </w:p>
    <w:p w14:paraId="225100C8">
      <w:pPr>
        <w:pStyle w:val="21"/>
        <w:tabs>
          <w:tab w:val="right" w:leader="dot" w:pos="8494"/>
        </w:tabs>
        <w:spacing w:line="360" w:lineRule="auto"/>
        <w:rPr>
          <w:rFonts w:asciiTheme="minorHAnsi" w:hAnsiTheme="minorHAnsi" w:eastAsiaTheme="minorEastAsia" w:cstheme="minorBidi"/>
          <w:szCs w:val="22"/>
        </w:rPr>
      </w:pPr>
      <w:r>
        <w:fldChar w:fldCharType="begin"/>
      </w:r>
      <w:r>
        <w:instrText xml:space="preserve"> HYPERLINK \l "_Toc501274927" </w:instrText>
      </w:r>
      <w:r>
        <w:fldChar w:fldCharType="separate"/>
      </w:r>
      <w:r>
        <w:rPr>
          <w:rStyle w:val="31"/>
          <w:rFonts w:hint="eastAsia" w:ascii="宋体" w:hAnsi="宋体"/>
          <w:color w:val="auto"/>
        </w:rPr>
        <w:t>十五、禁止行为</w:t>
      </w:r>
      <w:r>
        <w:tab/>
      </w:r>
      <w:r>
        <w:rPr>
          <w:rFonts w:hint="eastAsia"/>
        </w:rPr>
        <w:t>15-</w:t>
      </w:r>
      <w:r>
        <w:fldChar w:fldCharType="begin"/>
      </w:r>
      <w:r>
        <w:instrText xml:space="preserve"> PAGEREF _Toc501274927 \h </w:instrText>
      </w:r>
      <w:r>
        <w:fldChar w:fldCharType="separate"/>
      </w:r>
      <w:r>
        <w:t>1</w:t>
      </w:r>
      <w:r>
        <w:fldChar w:fldCharType="end"/>
      </w:r>
      <w:r>
        <w:fldChar w:fldCharType="end"/>
      </w:r>
    </w:p>
    <w:p w14:paraId="38D546C9">
      <w:pPr>
        <w:pStyle w:val="21"/>
        <w:tabs>
          <w:tab w:val="right" w:leader="dot" w:pos="8494"/>
        </w:tabs>
        <w:spacing w:line="360" w:lineRule="auto"/>
        <w:rPr>
          <w:rFonts w:asciiTheme="minorHAnsi" w:hAnsiTheme="minorHAnsi" w:eastAsiaTheme="minorEastAsia" w:cstheme="minorBidi"/>
          <w:szCs w:val="22"/>
        </w:rPr>
      </w:pPr>
      <w:r>
        <w:fldChar w:fldCharType="begin"/>
      </w:r>
      <w:r>
        <w:instrText xml:space="preserve"> HYPERLINK \l "_Toc501274928" </w:instrText>
      </w:r>
      <w:r>
        <w:fldChar w:fldCharType="separate"/>
      </w:r>
      <w:r>
        <w:rPr>
          <w:rStyle w:val="31"/>
          <w:rFonts w:hint="eastAsia" w:ascii="宋体" w:hAnsi="宋体"/>
          <w:color w:val="auto"/>
        </w:rPr>
        <w:t>十六、托管协议的变更、终止与基金财产的清算</w:t>
      </w:r>
      <w:r>
        <w:tab/>
      </w:r>
      <w:r>
        <w:rPr>
          <w:rFonts w:hint="eastAsia"/>
        </w:rPr>
        <w:t>16-</w:t>
      </w:r>
      <w:r>
        <w:fldChar w:fldCharType="begin"/>
      </w:r>
      <w:r>
        <w:instrText xml:space="preserve"> PAGEREF _Toc501274928 \h </w:instrText>
      </w:r>
      <w:r>
        <w:fldChar w:fldCharType="separate"/>
      </w:r>
      <w:r>
        <w:t>1</w:t>
      </w:r>
      <w:r>
        <w:fldChar w:fldCharType="end"/>
      </w:r>
      <w:r>
        <w:fldChar w:fldCharType="end"/>
      </w:r>
    </w:p>
    <w:p w14:paraId="140D0FD0">
      <w:pPr>
        <w:pStyle w:val="21"/>
        <w:tabs>
          <w:tab w:val="right" w:leader="dot" w:pos="8494"/>
        </w:tabs>
        <w:spacing w:line="360" w:lineRule="auto"/>
        <w:rPr>
          <w:rFonts w:asciiTheme="minorHAnsi" w:hAnsiTheme="minorHAnsi" w:eastAsiaTheme="minorEastAsia" w:cstheme="minorBidi"/>
          <w:szCs w:val="22"/>
        </w:rPr>
      </w:pPr>
      <w:r>
        <w:fldChar w:fldCharType="begin"/>
      </w:r>
      <w:r>
        <w:instrText xml:space="preserve"> HYPERLINK \l "_Toc501274929" </w:instrText>
      </w:r>
      <w:r>
        <w:fldChar w:fldCharType="separate"/>
      </w:r>
      <w:r>
        <w:rPr>
          <w:rStyle w:val="31"/>
          <w:rFonts w:hint="eastAsia" w:ascii="宋体" w:hAnsi="宋体"/>
          <w:color w:val="auto"/>
        </w:rPr>
        <w:t>十七、违约责任</w:t>
      </w:r>
      <w:r>
        <w:tab/>
      </w:r>
      <w:r>
        <w:rPr>
          <w:rFonts w:hint="eastAsia"/>
        </w:rPr>
        <w:t>17-</w:t>
      </w:r>
      <w:r>
        <w:fldChar w:fldCharType="begin"/>
      </w:r>
      <w:r>
        <w:instrText xml:space="preserve"> PAGEREF _Toc501274929 \h </w:instrText>
      </w:r>
      <w:r>
        <w:fldChar w:fldCharType="separate"/>
      </w:r>
      <w:r>
        <w:t>1</w:t>
      </w:r>
      <w:r>
        <w:fldChar w:fldCharType="end"/>
      </w:r>
      <w:r>
        <w:fldChar w:fldCharType="end"/>
      </w:r>
    </w:p>
    <w:p w14:paraId="0F368F62">
      <w:pPr>
        <w:pStyle w:val="21"/>
        <w:tabs>
          <w:tab w:val="right" w:leader="dot" w:pos="8494"/>
        </w:tabs>
        <w:spacing w:line="360" w:lineRule="auto"/>
        <w:rPr>
          <w:rFonts w:asciiTheme="minorHAnsi" w:hAnsiTheme="minorHAnsi" w:eastAsiaTheme="minorEastAsia" w:cstheme="minorBidi"/>
          <w:szCs w:val="22"/>
        </w:rPr>
      </w:pPr>
      <w:r>
        <w:fldChar w:fldCharType="begin"/>
      </w:r>
      <w:r>
        <w:instrText xml:space="preserve"> HYPERLINK \l "_Toc501274930" </w:instrText>
      </w:r>
      <w:r>
        <w:fldChar w:fldCharType="separate"/>
      </w:r>
      <w:r>
        <w:rPr>
          <w:rStyle w:val="31"/>
          <w:rFonts w:hint="eastAsia" w:ascii="宋体" w:hAnsi="宋体"/>
          <w:color w:val="auto"/>
        </w:rPr>
        <w:t>十八、争议解决方式</w:t>
      </w:r>
      <w:r>
        <w:tab/>
      </w:r>
      <w:r>
        <w:rPr>
          <w:rFonts w:hint="eastAsia"/>
        </w:rPr>
        <w:t>18-</w:t>
      </w:r>
      <w:r>
        <w:fldChar w:fldCharType="begin"/>
      </w:r>
      <w:r>
        <w:instrText xml:space="preserve"> PAGEREF _Toc501274930 \h </w:instrText>
      </w:r>
      <w:r>
        <w:fldChar w:fldCharType="separate"/>
      </w:r>
      <w:r>
        <w:t>1</w:t>
      </w:r>
      <w:r>
        <w:fldChar w:fldCharType="end"/>
      </w:r>
      <w:r>
        <w:fldChar w:fldCharType="end"/>
      </w:r>
    </w:p>
    <w:p w14:paraId="55B3CA60">
      <w:pPr>
        <w:pStyle w:val="21"/>
        <w:tabs>
          <w:tab w:val="right" w:leader="dot" w:pos="8494"/>
        </w:tabs>
        <w:spacing w:line="360" w:lineRule="auto"/>
        <w:rPr>
          <w:rFonts w:asciiTheme="minorHAnsi" w:hAnsiTheme="minorHAnsi" w:eastAsiaTheme="minorEastAsia" w:cstheme="minorBidi"/>
          <w:szCs w:val="22"/>
        </w:rPr>
      </w:pPr>
      <w:r>
        <w:fldChar w:fldCharType="begin"/>
      </w:r>
      <w:r>
        <w:instrText xml:space="preserve"> HYPERLINK \l "_Toc501274931" </w:instrText>
      </w:r>
      <w:r>
        <w:fldChar w:fldCharType="separate"/>
      </w:r>
      <w:r>
        <w:rPr>
          <w:rStyle w:val="31"/>
          <w:rFonts w:hint="eastAsia" w:ascii="宋体" w:hAnsi="宋体"/>
          <w:color w:val="auto"/>
        </w:rPr>
        <w:t>十九、托管协议的效力</w:t>
      </w:r>
      <w:r>
        <w:tab/>
      </w:r>
      <w:r>
        <w:rPr>
          <w:rFonts w:hint="eastAsia"/>
        </w:rPr>
        <w:t>19-</w:t>
      </w:r>
      <w:r>
        <w:fldChar w:fldCharType="begin"/>
      </w:r>
      <w:r>
        <w:instrText xml:space="preserve"> PAGEREF _Toc501274931 \h </w:instrText>
      </w:r>
      <w:r>
        <w:fldChar w:fldCharType="separate"/>
      </w:r>
      <w:r>
        <w:t>1</w:t>
      </w:r>
      <w:r>
        <w:fldChar w:fldCharType="end"/>
      </w:r>
      <w:r>
        <w:fldChar w:fldCharType="end"/>
      </w:r>
    </w:p>
    <w:p w14:paraId="0F9D2A69">
      <w:pPr>
        <w:pStyle w:val="21"/>
        <w:tabs>
          <w:tab w:val="right" w:leader="dot" w:pos="8494"/>
        </w:tabs>
        <w:spacing w:line="360" w:lineRule="auto"/>
        <w:rPr>
          <w:rFonts w:asciiTheme="minorHAnsi" w:hAnsiTheme="minorHAnsi" w:eastAsiaTheme="minorEastAsia" w:cstheme="minorBidi"/>
          <w:szCs w:val="22"/>
        </w:rPr>
      </w:pPr>
      <w:r>
        <w:fldChar w:fldCharType="begin"/>
      </w:r>
      <w:r>
        <w:instrText xml:space="preserve"> HYPERLINK \l "_Toc501274932" </w:instrText>
      </w:r>
      <w:r>
        <w:fldChar w:fldCharType="separate"/>
      </w:r>
      <w:r>
        <w:rPr>
          <w:rStyle w:val="31"/>
          <w:rFonts w:hint="eastAsia" w:ascii="宋体" w:hAnsi="宋体"/>
          <w:color w:val="auto"/>
        </w:rPr>
        <w:t>二十、其他事项</w:t>
      </w:r>
      <w:r>
        <w:tab/>
      </w:r>
      <w:r>
        <w:rPr>
          <w:rFonts w:hint="eastAsia"/>
        </w:rPr>
        <w:t>20-</w:t>
      </w:r>
      <w:r>
        <w:fldChar w:fldCharType="begin"/>
      </w:r>
      <w:r>
        <w:instrText xml:space="preserve"> PAGEREF _Toc501274932 \h </w:instrText>
      </w:r>
      <w:r>
        <w:fldChar w:fldCharType="separate"/>
      </w:r>
      <w:r>
        <w:t>1</w:t>
      </w:r>
      <w:r>
        <w:fldChar w:fldCharType="end"/>
      </w:r>
      <w:r>
        <w:fldChar w:fldCharType="end"/>
      </w:r>
    </w:p>
    <w:p w14:paraId="65436CE9">
      <w:pPr>
        <w:pStyle w:val="21"/>
        <w:tabs>
          <w:tab w:val="right" w:leader="dot" w:pos="8494"/>
        </w:tabs>
        <w:spacing w:line="360" w:lineRule="auto"/>
        <w:rPr>
          <w:rFonts w:asciiTheme="minorHAnsi" w:hAnsiTheme="minorHAnsi" w:eastAsiaTheme="minorEastAsia" w:cstheme="minorBidi"/>
          <w:szCs w:val="22"/>
        </w:rPr>
      </w:pPr>
      <w:r>
        <w:fldChar w:fldCharType="begin"/>
      </w:r>
      <w:r>
        <w:instrText xml:space="preserve"> HYPERLINK \l "_Toc501274933" </w:instrText>
      </w:r>
      <w:r>
        <w:fldChar w:fldCharType="separate"/>
      </w:r>
      <w:r>
        <w:rPr>
          <w:rStyle w:val="31"/>
          <w:rFonts w:hint="eastAsia" w:ascii="宋体" w:hAnsi="宋体"/>
          <w:color w:val="auto"/>
        </w:rPr>
        <w:t>二十一、托管协议的签订</w:t>
      </w:r>
      <w:r>
        <w:tab/>
      </w:r>
      <w:r>
        <w:rPr>
          <w:rFonts w:hint="eastAsia"/>
        </w:rPr>
        <w:t>21-</w:t>
      </w:r>
      <w:r>
        <w:fldChar w:fldCharType="begin"/>
      </w:r>
      <w:r>
        <w:instrText xml:space="preserve"> PAGEREF _Toc501274933 \h </w:instrText>
      </w:r>
      <w:r>
        <w:fldChar w:fldCharType="separate"/>
      </w:r>
      <w:r>
        <w:t>1</w:t>
      </w:r>
      <w:r>
        <w:fldChar w:fldCharType="end"/>
      </w:r>
      <w:r>
        <w:fldChar w:fldCharType="end"/>
      </w:r>
    </w:p>
    <w:p w14:paraId="0FC7221F">
      <w:pPr>
        <w:spacing w:line="360" w:lineRule="auto"/>
        <w:rPr>
          <w:rFonts w:ascii="宋体" w:hAnsi="宋体"/>
          <w:szCs w:val="21"/>
        </w:rPr>
      </w:pPr>
      <w:r>
        <w:rPr>
          <w:rFonts w:ascii="宋体" w:hAnsi="宋体"/>
          <w:szCs w:val="21"/>
        </w:rPr>
        <w:fldChar w:fldCharType="end"/>
      </w:r>
    </w:p>
    <w:bookmarkEnd w:id="3"/>
    <w:p w14:paraId="459EA295">
      <w:pPr>
        <w:spacing w:line="360" w:lineRule="auto"/>
        <w:rPr>
          <w:rFonts w:ascii="宋体" w:hAnsi="宋体"/>
          <w:szCs w:val="21"/>
        </w:rPr>
        <w:sectPr>
          <w:headerReference r:id="rId4" w:type="default"/>
          <w:footerReference r:id="rId5" w:type="default"/>
          <w:pgSz w:w="11906" w:h="16838"/>
          <w:pgMar w:top="1418" w:right="1701" w:bottom="1418" w:left="1701" w:header="851" w:footer="992" w:gutter="0"/>
          <w:cols w:space="425" w:num="1"/>
          <w:docGrid w:type="lines" w:linePitch="312" w:charSpace="0"/>
        </w:sectPr>
      </w:pPr>
    </w:p>
    <w:p w14:paraId="770AEE61">
      <w:pPr>
        <w:spacing w:line="360" w:lineRule="auto"/>
        <w:rPr>
          <w:rFonts w:ascii="宋体" w:hAnsi="宋体"/>
          <w:szCs w:val="21"/>
        </w:rPr>
      </w:pPr>
      <w:bookmarkStart w:id="4" w:name="CLAUSE_92aea35d71684145a8daebe5bc6a7c69"/>
    </w:p>
    <w:p w14:paraId="208F2E6E">
      <w:pPr>
        <w:widowControl/>
        <w:spacing w:line="360" w:lineRule="auto"/>
        <w:ind w:firstLine="420" w:firstLineChars="200"/>
        <w:rPr>
          <w:rFonts w:ascii="宋体" w:hAnsi="宋体" w:cs="Arial"/>
          <w:kern w:val="0"/>
          <w:szCs w:val="21"/>
        </w:rPr>
      </w:pPr>
      <w:r>
        <w:rPr>
          <w:rFonts w:hint="eastAsia" w:ascii="宋体" w:hAnsi="宋体" w:cs="Arial"/>
          <w:kern w:val="0"/>
          <w:szCs w:val="21"/>
        </w:rPr>
        <w:t>鉴于</w:t>
      </w:r>
      <w:r>
        <w:rPr>
          <w:rFonts w:hint="eastAsia" w:ascii="宋体" w:hAnsi="宋体" w:cs="Arial"/>
          <w:szCs w:val="21"/>
        </w:rPr>
        <w:t>博时基金管理有限公司</w:t>
      </w:r>
      <w:r>
        <w:rPr>
          <w:rFonts w:hint="eastAsia" w:ascii="宋体" w:hAnsi="宋体" w:cs="Arial"/>
          <w:kern w:val="0"/>
          <w:szCs w:val="21"/>
        </w:rPr>
        <w:t>系一家依照中国法律合法成立并有效存续的有限责任公司，按照相关法律法规的规定具备担任基金管理人的资格和能力，拟募集发行博时卓越优选混合型证券投资基金；</w:t>
      </w:r>
    </w:p>
    <w:p w14:paraId="426F4D37">
      <w:pPr>
        <w:widowControl/>
        <w:spacing w:line="360" w:lineRule="auto"/>
        <w:ind w:firstLine="420" w:firstLineChars="200"/>
        <w:rPr>
          <w:rFonts w:ascii="宋体" w:hAnsi="宋体" w:cs="Arial"/>
          <w:kern w:val="0"/>
          <w:szCs w:val="21"/>
        </w:rPr>
      </w:pPr>
      <w:r>
        <w:rPr>
          <w:rFonts w:hint="eastAsia" w:ascii="宋体" w:hAnsi="宋体" w:cs="Arial"/>
          <w:kern w:val="0"/>
          <w:szCs w:val="21"/>
        </w:rPr>
        <w:t>鉴于招商银行股份有限公司系一家依照中国法律合法成立并有效存续的银行，按照相关法律法规的规定具备担任基金托管人的资格和能力；</w:t>
      </w:r>
    </w:p>
    <w:p w14:paraId="633D53E4">
      <w:pPr>
        <w:widowControl/>
        <w:spacing w:line="360" w:lineRule="auto"/>
        <w:ind w:firstLine="420" w:firstLineChars="200"/>
        <w:rPr>
          <w:rFonts w:ascii="宋体" w:hAnsi="宋体" w:cs="Arial"/>
          <w:kern w:val="0"/>
          <w:szCs w:val="21"/>
        </w:rPr>
      </w:pPr>
      <w:r>
        <w:rPr>
          <w:rFonts w:hint="eastAsia" w:ascii="宋体" w:hAnsi="宋体" w:cs="Arial"/>
          <w:kern w:val="0"/>
          <w:szCs w:val="21"/>
        </w:rPr>
        <w:t>鉴于</w:t>
      </w:r>
      <w:r>
        <w:rPr>
          <w:rFonts w:hint="eastAsia" w:ascii="宋体" w:hAnsi="宋体" w:cs="Arial"/>
          <w:szCs w:val="21"/>
        </w:rPr>
        <w:t>博时基金管理有限公司</w:t>
      </w:r>
      <w:r>
        <w:rPr>
          <w:rFonts w:hint="eastAsia" w:ascii="宋体" w:hAnsi="宋体" w:cs="Arial"/>
          <w:kern w:val="0"/>
          <w:szCs w:val="21"/>
        </w:rPr>
        <w:t>拟担任博时卓越优选混合型证券投资基金的基金管理人，招商银行股份有限公司拟担任博时卓越优选混合型证券投资基金的基金托管人；</w:t>
      </w:r>
    </w:p>
    <w:p w14:paraId="6DA87E4B">
      <w:pPr>
        <w:widowControl/>
        <w:spacing w:line="360" w:lineRule="auto"/>
        <w:ind w:firstLine="420" w:firstLineChars="200"/>
        <w:rPr>
          <w:rFonts w:ascii="宋体" w:hAnsi="宋体" w:cs="Arial"/>
          <w:kern w:val="0"/>
          <w:szCs w:val="21"/>
        </w:rPr>
      </w:pPr>
      <w:r>
        <w:rPr>
          <w:rFonts w:hint="eastAsia" w:ascii="宋体" w:hAnsi="宋体" w:cs="Arial"/>
          <w:kern w:val="0"/>
          <w:szCs w:val="21"/>
        </w:rPr>
        <w:t>为明确博时卓越优选混合型证券投资基金的基金管理人和基金托管人之间的权利义务关系，特制订本托管协议；</w:t>
      </w:r>
    </w:p>
    <w:p w14:paraId="556F253C">
      <w:pPr>
        <w:widowControl/>
        <w:spacing w:line="360" w:lineRule="auto"/>
        <w:ind w:firstLine="420" w:firstLineChars="200"/>
        <w:rPr>
          <w:rFonts w:ascii="宋体" w:hAnsi="宋体"/>
          <w:kern w:val="0"/>
        </w:rPr>
      </w:pPr>
      <w:r>
        <w:rPr>
          <w:rFonts w:hint="eastAsia" w:ascii="宋体" w:hAnsi="宋体"/>
          <w:kern w:val="0"/>
        </w:rPr>
        <w:t>除非另有约定，《</w:t>
      </w:r>
      <w:r>
        <w:rPr>
          <w:rFonts w:hint="eastAsia" w:ascii="宋体" w:hAnsi="宋体" w:cs="Arial"/>
          <w:kern w:val="0"/>
          <w:szCs w:val="21"/>
        </w:rPr>
        <w:t>博时卓越优选混合型证券投资基金基金合同》</w:t>
      </w:r>
      <w:r>
        <w:rPr>
          <w:rFonts w:hint="eastAsia" w:ascii="宋体" w:hAnsi="宋体"/>
          <w:kern w:val="0"/>
        </w:rPr>
        <w:t>(以下简称“基金合同”或“《基金合同》”)中定义的术语在用于本托管协议时应具有相同的含义，若有抵触应以基金合同为准。</w:t>
      </w:r>
    </w:p>
    <w:p w14:paraId="553984DA">
      <w:pPr>
        <w:widowControl/>
        <w:spacing w:line="360" w:lineRule="auto"/>
        <w:ind w:firstLine="420" w:firstLineChars="200"/>
        <w:rPr>
          <w:rFonts w:ascii="宋体" w:hAnsi="宋体"/>
          <w:kern w:val="0"/>
        </w:rPr>
      </w:pPr>
      <w:r>
        <w:rPr>
          <w:rFonts w:hint="eastAsia" w:ascii="宋体" w:hAnsi="宋体"/>
          <w:kern w:val="0"/>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14:paraId="1026437F">
      <w:pPr>
        <w:widowControl/>
        <w:spacing w:line="360" w:lineRule="auto"/>
        <w:ind w:firstLine="420" w:firstLineChars="200"/>
        <w:rPr>
          <w:rFonts w:ascii="宋体" w:hAnsi="宋体"/>
          <w:kern w:val="0"/>
        </w:rPr>
      </w:pPr>
      <w:r>
        <w:rPr>
          <w:rFonts w:hint="eastAsia" w:ascii="宋体" w:hAnsi="宋体"/>
          <w:kern w:val="0"/>
        </w:rPr>
        <w:t>侧袋机制实施期间，本基金的投资组合比例、投资策略、组合限制、业绩比较基准、风险收益特征等约定仅适用于主袋账户。</w:t>
      </w:r>
    </w:p>
    <w:p w14:paraId="7167339D">
      <w:pPr>
        <w:widowControl/>
        <w:spacing w:line="360" w:lineRule="auto"/>
        <w:ind w:firstLine="420" w:firstLineChars="200"/>
        <w:rPr>
          <w:rFonts w:ascii="宋体" w:hAnsi="宋体"/>
          <w:kern w:val="0"/>
        </w:rPr>
      </w:pPr>
      <w:r>
        <w:rPr>
          <w:rFonts w:hint="eastAsia" w:ascii="宋体" w:hAnsi="宋体"/>
          <w:kern w:val="0"/>
        </w:rPr>
        <w:t>侧袋账户的实施条件、实施程序、运作安排（包括</w:t>
      </w:r>
      <w:r>
        <w:rPr>
          <w:rFonts w:ascii="宋体" w:hAnsi="宋体"/>
          <w:kern w:val="0"/>
        </w:rPr>
        <w:t>但不限于对基金赎回的影响、信息披露、费用列支等</w:t>
      </w:r>
      <w:r>
        <w:rPr>
          <w:rFonts w:hint="eastAsia" w:ascii="宋体" w:hAnsi="宋体"/>
          <w:kern w:val="0"/>
        </w:rPr>
        <w:t>）、投资安排、特定资产的处置变现和支付等对投资者权益有重大影响的事项详见基金</w:t>
      </w:r>
      <w:r>
        <w:rPr>
          <w:rFonts w:ascii="宋体" w:hAnsi="宋体"/>
          <w:kern w:val="0"/>
        </w:rPr>
        <w:t>合同和</w:t>
      </w:r>
      <w:r>
        <w:rPr>
          <w:rFonts w:hint="eastAsia" w:ascii="宋体" w:hAnsi="宋体"/>
          <w:kern w:val="0"/>
        </w:rPr>
        <w:t>招募说明书的规定。</w:t>
      </w:r>
    </w:p>
    <w:p w14:paraId="53ED31EE">
      <w:pPr>
        <w:pStyle w:val="4"/>
        <w:ind w:firstLine="0" w:firstLineChars="0"/>
      </w:pPr>
    </w:p>
    <w:bookmarkEnd w:id="4"/>
    <w:p w14:paraId="6C6BDB08">
      <w:pPr>
        <w:pStyle w:val="4"/>
        <w:sectPr>
          <w:footerReference r:id="rId6" w:type="default"/>
          <w:pgSz w:w="11906" w:h="16838"/>
          <w:pgMar w:top="1418" w:right="1701" w:bottom="1418" w:left="1701" w:header="851" w:footer="992" w:gutter="0"/>
          <w:cols w:space="425" w:num="1"/>
          <w:docGrid w:type="lines" w:linePitch="312" w:charSpace="0"/>
        </w:sectPr>
      </w:pPr>
    </w:p>
    <w:p w14:paraId="70109B4B">
      <w:pPr>
        <w:pStyle w:val="3"/>
        <w:spacing w:before="312" w:beforeLines="100" w:after="156" w:afterLines="50" w:line="360" w:lineRule="auto"/>
        <w:jc w:val="center"/>
        <w:rPr>
          <w:rFonts w:ascii="宋体" w:hAnsi="宋体" w:eastAsia="宋体"/>
          <w:sz w:val="21"/>
          <w:szCs w:val="21"/>
        </w:rPr>
      </w:pPr>
      <w:bookmarkStart w:id="5" w:name="_Toc348082029"/>
      <w:bookmarkStart w:id="6" w:name="_Toc501274913"/>
      <w:bookmarkStart w:id="7" w:name="_Toc384992691"/>
      <w:bookmarkStart w:id="8" w:name="CLAUSE_2bc36efce57a4e6b8cf8b125afef7750"/>
      <w:r>
        <w:rPr>
          <w:rFonts w:hint="eastAsia" w:ascii="宋体" w:hAnsi="宋体" w:eastAsia="宋体"/>
          <w:sz w:val="21"/>
          <w:szCs w:val="21"/>
        </w:rPr>
        <w:t>一、基金托管协议当事人</w:t>
      </w:r>
      <w:bookmarkEnd w:id="5"/>
      <w:bookmarkEnd w:id="6"/>
      <w:bookmarkEnd w:id="7"/>
    </w:p>
    <w:p w14:paraId="5A797999">
      <w:pPr>
        <w:spacing w:line="360" w:lineRule="auto"/>
        <w:ind w:firstLine="420" w:firstLineChars="200"/>
        <w:rPr>
          <w:rFonts w:ascii="宋体" w:hAnsi="宋体" w:cs="Arial"/>
          <w:szCs w:val="21"/>
        </w:rPr>
      </w:pPr>
      <w:r>
        <w:rPr>
          <w:rFonts w:hint="eastAsia" w:ascii="宋体" w:hAnsi="宋体" w:cs="Arial"/>
          <w:szCs w:val="21"/>
        </w:rPr>
        <w:t>（一）基金管理人（也可称资产管理人）</w:t>
      </w:r>
    </w:p>
    <w:p w14:paraId="3E9D402C">
      <w:pPr>
        <w:spacing w:line="360" w:lineRule="auto"/>
        <w:ind w:firstLine="420" w:firstLineChars="200"/>
        <w:rPr>
          <w:rFonts w:ascii="宋体" w:hAnsi="宋体" w:cs="Arial"/>
          <w:szCs w:val="21"/>
        </w:rPr>
      </w:pPr>
      <w:r>
        <w:rPr>
          <w:rFonts w:hint="eastAsia" w:ascii="宋体" w:hAnsi="宋体" w:cs="Arial"/>
          <w:szCs w:val="21"/>
        </w:rPr>
        <w:t>名称：博时基金管理有限公司</w:t>
      </w:r>
    </w:p>
    <w:p w14:paraId="583A65AA">
      <w:pPr>
        <w:spacing w:line="360" w:lineRule="auto"/>
        <w:ind w:firstLine="420" w:firstLineChars="200"/>
        <w:rPr>
          <w:rFonts w:ascii="宋体" w:hAnsi="宋体" w:cs="Arial"/>
          <w:szCs w:val="21"/>
        </w:rPr>
      </w:pPr>
      <w:r>
        <w:rPr>
          <w:rFonts w:hint="eastAsia" w:ascii="宋体" w:hAnsi="宋体" w:cs="Arial"/>
          <w:szCs w:val="21"/>
        </w:rPr>
        <w:t>住所：深圳市福田区莲花街道福新社区益田路5999号基金大厦21层</w:t>
      </w:r>
    </w:p>
    <w:p w14:paraId="0F76F812">
      <w:pPr>
        <w:spacing w:line="360" w:lineRule="auto"/>
        <w:ind w:firstLine="420" w:firstLineChars="200"/>
        <w:rPr>
          <w:rFonts w:ascii="宋体" w:hAnsi="宋体" w:cs="Arial"/>
          <w:szCs w:val="21"/>
        </w:rPr>
      </w:pPr>
      <w:r>
        <w:rPr>
          <w:rFonts w:hint="eastAsia" w:ascii="宋体" w:hAnsi="宋体" w:cs="Arial"/>
          <w:szCs w:val="21"/>
        </w:rPr>
        <w:t>办公地址：广东省深圳市福田区益田路5999号基金大厦21层</w:t>
      </w:r>
    </w:p>
    <w:p w14:paraId="75EEB529">
      <w:pPr>
        <w:spacing w:line="360" w:lineRule="auto"/>
        <w:ind w:firstLine="420" w:firstLineChars="200"/>
        <w:rPr>
          <w:rFonts w:ascii="宋体" w:hAnsi="宋体" w:cs="Arial"/>
          <w:szCs w:val="21"/>
        </w:rPr>
      </w:pPr>
      <w:r>
        <w:rPr>
          <w:rFonts w:hint="eastAsia" w:ascii="宋体" w:hAnsi="宋体" w:cs="Arial"/>
          <w:szCs w:val="21"/>
        </w:rPr>
        <w:t>邮政编码：518040</w:t>
      </w:r>
    </w:p>
    <w:p w14:paraId="38C50496">
      <w:pPr>
        <w:spacing w:line="360" w:lineRule="auto"/>
        <w:ind w:firstLine="420" w:firstLineChars="200"/>
        <w:rPr>
          <w:rFonts w:ascii="宋体" w:hAnsi="宋体" w:cs="Arial"/>
          <w:szCs w:val="21"/>
        </w:rPr>
      </w:pPr>
      <w:r>
        <w:rPr>
          <w:rFonts w:hint="eastAsia" w:ascii="宋体" w:hAnsi="宋体" w:cs="Arial"/>
          <w:szCs w:val="21"/>
        </w:rPr>
        <w:t>法定代表人：</w:t>
      </w:r>
      <w:r>
        <w:rPr>
          <w:rFonts w:hint="eastAsia" w:ascii="宋体" w:hAnsi="宋体" w:cs="Arial"/>
          <w:szCs w:val="21"/>
          <w:lang w:val="en-US" w:eastAsia="zh-CN"/>
        </w:rPr>
        <w:t>张东</w:t>
      </w:r>
    </w:p>
    <w:p w14:paraId="137BB92D">
      <w:pPr>
        <w:spacing w:line="360" w:lineRule="auto"/>
        <w:ind w:firstLine="420" w:firstLineChars="200"/>
        <w:rPr>
          <w:rFonts w:ascii="宋体" w:hAnsi="宋体" w:cs="Arial"/>
          <w:szCs w:val="21"/>
        </w:rPr>
      </w:pPr>
      <w:r>
        <w:rPr>
          <w:rFonts w:hint="eastAsia" w:ascii="宋体" w:hAnsi="宋体" w:cs="Arial"/>
          <w:szCs w:val="21"/>
        </w:rPr>
        <w:t>成立时间：1998年7月13日</w:t>
      </w:r>
    </w:p>
    <w:p w14:paraId="46F01D7F">
      <w:pPr>
        <w:spacing w:line="360" w:lineRule="auto"/>
        <w:ind w:firstLine="420" w:firstLineChars="200"/>
        <w:rPr>
          <w:rFonts w:ascii="宋体" w:hAnsi="宋体" w:cs="Arial"/>
          <w:szCs w:val="21"/>
        </w:rPr>
      </w:pPr>
      <w:r>
        <w:rPr>
          <w:rFonts w:hint="eastAsia" w:ascii="宋体" w:hAnsi="宋体" w:cs="Arial"/>
          <w:szCs w:val="21"/>
        </w:rPr>
        <w:t>批准设立机关：中国证券监督管理委员会</w:t>
      </w:r>
    </w:p>
    <w:p w14:paraId="52F0FFFA">
      <w:pPr>
        <w:spacing w:line="360" w:lineRule="auto"/>
        <w:ind w:firstLine="420" w:firstLineChars="200"/>
        <w:rPr>
          <w:rFonts w:ascii="宋体" w:hAnsi="宋体" w:cs="Arial"/>
          <w:szCs w:val="21"/>
        </w:rPr>
      </w:pPr>
      <w:r>
        <w:rPr>
          <w:rFonts w:hint="eastAsia" w:ascii="宋体" w:hAnsi="宋体" w:cs="Arial"/>
          <w:szCs w:val="21"/>
        </w:rPr>
        <w:t>批准设立文号：中国证监会证监基字【1998】26号</w:t>
      </w:r>
    </w:p>
    <w:p w14:paraId="1681C03E">
      <w:pPr>
        <w:spacing w:line="360" w:lineRule="auto"/>
        <w:ind w:firstLine="420" w:firstLineChars="200"/>
        <w:rPr>
          <w:rFonts w:ascii="宋体" w:hAnsi="宋体" w:cs="Arial"/>
          <w:szCs w:val="21"/>
        </w:rPr>
      </w:pPr>
      <w:r>
        <w:rPr>
          <w:rFonts w:hint="eastAsia" w:ascii="宋体" w:hAnsi="宋体" w:cs="Arial"/>
          <w:szCs w:val="21"/>
        </w:rPr>
        <w:t>组织形式：有限责任公司</w:t>
      </w:r>
    </w:p>
    <w:p w14:paraId="25134EE3">
      <w:pPr>
        <w:spacing w:line="360" w:lineRule="auto"/>
        <w:ind w:firstLine="420" w:firstLineChars="200"/>
        <w:rPr>
          <w:rFonts w:ascii="宋体" w:hAnsi="宋体" w:cs="Arial"/>
          <w:szCs w:val="21"/>
        </w:rPr>
      </w:pPr>
      <w:r>
        <w:rPr>
          <w:rFonts w:hint="eastAsia" w:ascii="宋体" w:hAnsi="宋体" w:cs="Arial"/>
          <w:szCs w:val="21"/>
        </w:rPr>
        <w:t>注册资本：2.5亿元人民币</w:t>
      </w:r>
    </w:p>
    <w:p w14:paraId="2AD55F5E">
      <w:pPr>
        <w:spacing w:line="360" w:lineRule="auto"/>
        <w:ind w:firstLine="420" w:firstLineChars="200"/>
        <w:rPr>
          <w:rFonts w:ascii="宋体" w:hAnsi="宋体" w:cs="Arial"/>
          <w:szCs w:val="21"/>
        </w:rPr>
      </w:pPr>
      <w:r>
        <w:rPr>
          <w:rFonts w:hint="eastAsia" w:ascii="宋体" w:hAnsi="宋体" w:cs="Arial"/>
          <w:szCs w:val="21"/>
        </w:rPr>
        <w:t>存续期间：持续经营</w:t>
      </w:r>
    </w:p>
    <w:p w14:paraId="6DE7DD3C">
      <w:pPr>
        <w:spacing w:line="360" w:lineRule="auto"/>
        <w:ind w:firstLine="420" w:firstLineChars="200"/>
        <w:rPr>
          <w:rFonts w:ascii="宋体" w:hAnsi="宋体" w:cs="Arial"/>
          <w:szCs w:val="21"/>
        </w:rPr>
      </w:pPr>
      <w:r>
        <w:rPr>
          <w:rFonts w:hint="eastAsia" w:ascii="宋体" w:hAnsi="宋体" w:cs="Arial"/>
          <w:szCs w:val="21"/>
        </w:rPr>
        <w:t>经营范围：基金募集；基金销售；资产管理以及中国证监会许可的其它业务。</w:t>
      </w:r>
    </w:p>
    <w:p w14:paraId="0A8C587F">
      <w:pPr>
        <w:spacing w:line="360" w:lineRule="auto"/>
        <w:ind w:firstLine="420" w:firstLineChars="200"/>
        <w:rPr>
          <w:rFonts w:ascii="宋体" w:hAnsi="宋体" w:cs="Arial"/>
          <w:szCs w:val="21"/>
        </w:rPr>
      </w:pPr>
      <w:r>
        <w:rPr>
          <w:rFonts w:hint="eastAsia" w:ascii="宋体" w:hAnsi="宋体" w:cs="Arial"/>
          <w:szCs w:val="21"/>
        </w:rPr>
        <w:t>（二）基金托管人（也可称资产托管人）</w:t>
      </w:r>
    </w:p>
    <w:p w14:paraId="354E28BA">
      <w:pPr>
        <w:spacing w:line="360" w:lineRule="auto"/>
        <w:ind w:firstLine="420" w:firstLineChars="200"/>
        <w:rPr>
          <w:rFonts w:ascii="宋体" w:hAnsi="宋体" w:cs="Arial"/>
          <w:szCs w:val="21"/>
        </w:rPr>
      </w:pPr>
      <w:r>
        <w:rPr>
          <w:rFonts w:hint="eastAsia" w:ascii="宋体" w:hAnsi="宋体" w:cs="Arial"/>
          <w:szCs w:val="21"/>
        </w:rPr>
        <w:t>名称：招商银行股份有限公司(简称：招商银行)</w:t>
      </w:r>
    </w:p>
    <w:p w14:paraId="14717F1C">
      <w:pPr>
        <w:spacing w:line="360" w:lineRule="auto"/>
        <w:ind w:firstLine="420" w:firstLineChars="200"/>
        <w:rPr>
          <w:rFonts w:ascii="宋体" w:hAnsi="宋体" w:cs="Arial"/>
          <w:szCs w:val="21"/>
        </w:rPr>
      </w:pPr>
      <w:r>
        <w:rPr>
          <w:rFonts w:hint="eastAsia" w:ascii="宋体" w:hAnsi="宋体" w:cs="Arial"/>
          <w:szCs w:val="21"/>
        </w:rPr>
        <w:t>住所：深圳市深南大道7088号招商银行大厦</w:t>
      </w:r>
    </w:p>
    <w:p w14:paraId="10AB67DE">
      <w:pPr>
        <w:spacing w:line="360" w:lineRule="auto"/>
        <w:ind w:firstLine="420" w:firstLineChars="200"/>
        <w:rPr>
          <w:rFonts w:ascii="宋体" w:hAnsi="宋体" w:cs="Arial"/>
          <w:szCs w:val="21"/>
        </w:rPr>
      </w:pPr>
      <w:r>
        <w:rPr>
          <w:rFonts w:hint="eastAsia" w:ascii="宋体" w:hAnsi="宋体" w:cs="Arial"/>
          <w:szCs w:val="21"/>
        </w:rPr>
        <w:t>办公地址：深圳市深南大道7088号招商银行大厦</w:t>
      </w:r>
    </w:p>
    <w:p w14:paraId="6797B2C7">
      <w:pPr>
        <w:spacing w:line="360" w:lineRule="auto"/>
        <w:ind w:firstLine="420" w:firstLineChars="200"/>
        <w:rPr>
          <w:rFonts w:ascii="宋体" w:hAnsi="宋体" w:cs="Arial"/>
          <w:szCs w:val="21"/>
        </w:rPr>
      </w:pPr>
      <w:r>
        <w:rPr>
          <w:rFonts w:hint="eastAsia" w:ascii="宋体" w:hAnsi="宋体" w:cs="Arial"/>
          <w:szCs w:val="21"/>
        </w:rPr>
        <w:t>邮政编码：518040</w:t>
      </w:r>
    </w:p>
    <w:p w14:paraId="3670CEFB">
      <w:pPr>
        <w:spacing w:line="360" w:lineRule="auto"/>
        <w:ind w:firstLine="420" w:firstLineChars="200"/>
        <w:rPr>
          <w:rFonts w:ascii="宋体" w:hAnsi="宋体" w:cs="Arial"/>
          <w:szCs w:val="21"/>
        </w:rPr>
      </w:pPr>
      <w:r>
        <w:rPr>
          <w:rFonts w:hint="eastAsia" w:ascii="宋体" w:hAnsi="宋体" w:cs="Arial"/>
          <w:szCs w:val="21"/>
        </w:rPr>
        <w:t>法定代表人：缪建民</w:t>
      </w:r>
    </w:p>
    <w:p w14:paraId="25393CBD">
      <w:pPr>
        <w:spacing w:line="360" w:lineRule="auto"/>
        <w:ind w:firstLine="420" w:firstLineChars="200"/>
        <w:rPr>
          <w:rFonts w:ascii="宋体" w:hAnsi="宋体" w:cs="Arial"/>
          <w:szCs w:val="21"/>
        </w:rPr>
      </w:pPr>
      <w:r>
        <w:rPr>
          <w:rFonts w:hint="eastAsia" w:ascii="宋体" w:hAnsi="宋体" w:cs="Arial"/>
          <w:szCs w:val="21"/>
        </w:rPr>
        <w:t>成立时间：1987年4月8日</w:t>
      </w:r>
    </w:p>
    <w:p w14:paraId="30402325">
      <w:pPr>
        <w:spacing w:line="360" w:lineRule="auto"/>
        <w:ind w:firstLine="420" w:firstLineChars="200"/>
        <w:rPr>
          <w:rFonts w:ascii="宋体" w:hAnsi="宋体" w:cs="Arial"/>
          <w:szCs w:val="21"/>
        </w:rPr>
      </w:pPr>
      <w:r>
        <w:rPr>
          <w:rFonts w:hint="eastAsia" w:ascii="宋体" w:hAnsi="宋体" w:cs="宋体"/>
          <w:color w:val="333333"/>
          <w:kern w:val="0"/>
          <w:szCs w:val="21"/>
        </w:rPr>
        <w:t>批准设立机关及批准设立文号：</w:t>
      </w:r>
      <w:r>
        <w:rPr>
          <w:rStyle w:val="32"/>
          <w:rFonts w:hint="eastAsia"/>
        </w:rPr>
        <w:t>中国人民银行银复字（1986）175号文、银复（1987）86号文</w:t>
      </w:r>
    </w:p>
    <w:p w14:paraId="31B70A49">
      <w:pPr>
        <w:spacing w:line="360" w:lineRule="auto"/>
        <w:ind w:firstLine="420" w:firstLineChars="200"/>
        <w:rPr>
          <w:rFonts w:ascii="宋体" w:hAnsi="宋体" w:cs="Arial"/>
          <w:szCs w:val="21"/>
        </w:rPr>
      </w:pPr>
      <w:r>
        <w:rPr>
          <w:rFonts w:hint="eastAsia" w:ascii="宋体" w:hAnsi="宋体" w:cs="Arial"/>
          <w:szCs w:val="21"/>
        </w:rPr>
        <w:t>基金托管业务批准文号：证监基金字[2002]83号</w:t>
      </w:r>
    </w:p>
    <w:p w14:paraId="73D78B07">
      <w:pPr>
        <w:spacing w:line="360" w:lineRule="auto"/>
        <w:ind w:firstLine="420" w:firstLineChars="200"/>
        <w:rPr>
          <w:rFonts w:ascii="宋体" w:hAnsi="宋体" w:cs="Arial"/>
          <w:szCs w:val="21"/>
        </w:rPr>
      </w:pPr>
      <w:r>
        <w:rPr>
          <w:rFonts w:hint="eastAsia" w:ascii="宋体" w:hAnsi="宋体" w:cs="Arial"/>
          <w:szCs w:val="21"/>
        </w:rPr>
        <w:t>组织形式：股份有限公司</w:t>
      </w:r>
    </w:p>
    <w:p w14:paraId="30552821">
      <w:pPr>
        <w:spacing w:line="360" w:lineRule="auto"/>
        <w:ind w:firstLine="420" w:firstLineChars="200"/>
        <w:rPr>
          <w:rFonts w:ascii="宋体" w:hAnsi="宋体" w:cs="Arial"/>
          <w:szCs w:val="21"/>
        </w:rPr>
      </w:pPr>
      <w:r>
        <w:rPr>
          <w:rFonts w:hint="eastAsia" w:ascii="宋体" w:hAnsi="宋体" w:cs="Arial"/>
          <w:szCs w:val="21"/>
        </w:rPr>
        <w:t>注册资本：人民币252.20亿元</w:t>
      </w:r>
    </w:p>
    <w:p w14:paraId="38506C2C">
      <w:pPr>
        <w:spacing w:line="360" w:lineRule="auto"/>
        <w:ind w:firstLine="420" w:firstLineChars="200"/>
        <w:rPr>
          <w:rFonts w:ascii="宋体" w:hAnsi="宋体"/>
          <w:szCs w:val="21"/>
        </w:rPr>
      </w:pPr>
      <w:r>
        <w:rPr>
          <w:rFonts w:hint="eastAsia" w:ascii="宋体" w:hAnsi="宋体" w:cs="Arial"/>
          <w:szCs w:val="21"/>
        </w:rPr>
        <w:t>存续期间：持续经营</w:t>
      </w:r>
    </w:p>
    <w:bookmarkEnd w:id="8"/>
    <w:p w14:paraId="411744FB">
      <w:pPr>
        <w:spacing w:line="360" w:lineRule="auto"/>
        <w:ind w:firstLine="420" w:firstLineChars="200"/>
        <w:rPr>
          <w:rFonts w:ascii="宋体" w:hAnsi="宋体"/>
        </w:rPr>
        <w:sectPr>
          <w:footerReference r:id="rId7" w:type="default"/>
          <w:pgSz w:w="11906" w:h="16838"/>
          <w:pgMar w:top="1418" w:right="1701" w:bottom="1418" w:left="1701" w:header="851" w:footer="992" w:gutter="0"/>
          <w:pgNumType w:start="1"/>
          <w:cols w:space="425" w:num="1"/>
          <w:docGrid w:type="lines" w:linePitch="312" w:charSpace="0"/>
        </w:sectPr>
      </w:pPr>
    </w:p>
    <w:p w14:paraId="46A72BBC">
      <w:pPr>
        <w:pStyle w:val="3"/>
        <w:spacing w:before="312" w:beforeLines="100" w:after="156" w:afterLines="50" w:line="360" w:lineRule="auto"/>
        <w:jc w:val="center"/>
        <w:rPr>
          <w:rFonts w:ascii="宋体" w:hAnsi="宋体" w:eastAsia="宋体"/>
          <w:sz w:val="21"/>
          <w:szCs w:val="21"/>
        </w:rPr>
      </w:pPr>
      <w:bookmarkStart w:id="9" w:name="_Toc348082030"/>
      <w:bookmarkStart w:id="10" w:name="_Toc501274914"/>
      <w:bookmarkStart w:id="11" w:name="_Toc384992692"/>
      <w:bookmarkStart w:id="12" w:name="CLAUSE_1986f2ad4e844a81b578e498e7378ce0"/>
      <w:r>
        <w:rPr>
          <w:rFonts w:hint="eastAsia" w:ascii="宋体" w:hAnsi="宋体" w:eastAsia="宋体"/>
          <w:sz w:val="21"/>
          <w:szCs w:val="21"/>
        </w:rPr>
        <w:t>二、基金托管协议的依据、目的和原则</w:t>
      </w:r>
      <w:bookmarkEnd w:id="9"/>
      <w:bookmarkEnd w:id="10"/>
      <w:bookmarkEnd w:id="11"/>
    </w:p>
    <w:p w14:paraId="2AA07661">
      <w:pPr>
        <w:spacing w:line="360" w:lineRule="auto"/>
        <w:ind w:firstLine="420" w:firstLineChars="200"/>
        <w:rPr>
          <w:rFonts w:ascii="宋体" w:hAnsi="宋体"/>
          <w:szCs w:val="21"/>
        </w:rPr>
      </w:pPr>
      <w:r>
        <w:rPr>
          <w:rFonts w:hint="eastAsia" w:ascii="宋体" w:hAnsi="宋体" w:cs="Arial"/>
          <w:szCs w:val="21"/>
        </w:rPr>
        <w:t>（一）订立托管协议的依据</w:t>
      </w:r>
    </w:p>
    <w:p w14:paraId="021A67C7">
      <w:pPr>
        <w:spacing w:line="360" w:lineRule="auto"/>
        <w:ind w:firstLine="420" w:firstLineChars="200"/>
        <w:rPr>
          <w:rFonts w:ascii="宋体" w:hAnsi="宋体" w:cs="Arial"/>
          <w:szCs w:val="21"/>
        </w:rPr>
      </w:pPr>
      <w:r>
        <w:rPr>
          <w:rFonts w:hint="eastAsia" w:ascii="宋体" w:hAnsi="宋体" w:cs="Arial"/>
          <w:szCs w:val="21"/>
        </w:rPr>
        <w:t>本协议依据《中华人民共和国证券投资基金法》(以下简称“《基金法》”)、《公开募集证券投资基金运作管理办法》（以下简称“《运作办法》”）、《公开募集开放式证券投资基金流动性风险管理规定》</w:t>
      </w:r>
      <w:r>
        <w:rPr>
          <w:rFonts w:hint="eastAsia" w:cs="Arial"/>
          <w:szCs w:val="21"/>
        </w:rPr>
        <w:t>（以下</w:t>
      </w:r>
      <w:r>
        <w:rPr>
          <w:rFonts w:cs="Arial"/>
          <w:szCs w:val="21"/>
        </w:rPr>
        <w:t>简称“</w:t>
      </w:r>
      <w:r>
        <w:rPr>
          <w:rFonts w:hint="eastAsia" w:cs="Arial"/>
          <w:szCs w:val="21"/>
        </w:rPr>
        <w:t>《流动性</w:t>
      </w:r>
      <w:r>
        <w:rPr>
          <w:rFonts w:cs="Arial"/>
          <w:szCs w:val="21"/>
        </w:rPr>
        <w:t>风险管理规定</w:t>
      </w:r>
      <w:r>
        <w:rPr>
          <w:rFonts w:hint="eastAsia" w:cs="Arial"/>
          <w:szCs w:val="21"/>
        </w:rPr>
        <w:t>》</w:t>
      </w:r>
      <w:r>
        <w:rPr>
          <w:rFonts w:cs="Arial"/>
          <w:szCs w:val="21"/>
        </w:rPr>
        <w:t>”</w:t>
      </w:r>
      <w:r>
        <w:rPr>
          <w:rFonts w:hint="eastAsia" w:cs="Arial"/>
          <w:szCs w:val="21"/>
        </w:rPr>
        <w:t>）、</w:t>
      </w:r>
      <w:r>
        <w:rPr>
          <w:rFonts w:hint="eastAsia" w:ascii="宋体" w:hAnsi="宋体" w:cs="Arial"/>
          <w:szCs w:val="21"/>
        </w:rPr>
        <w:t>《公开募集证券投资基金信息披露管理办法》(以下简称“《信息披露办法》”)等有关法律法规、基金合同及其他有关规定制订。</w:t>
      </w:r>
    </w:p>
    <w:p w14:paraId="2270587C">
      <w:pPr>
        <w:spacing w:line="360" w:lineRule="auto"/>
        <w:ind w:firstLine="420" w:firstLineChars="200"/>
        <w:rPr>
          <w:rFonts w:ascii="宋体" w:hAnsi="宋体" w:cs="Arial"/>
          <w:szCs w:val="21"/>
        </w:rPr>
      </w:pPr>
      <w:r>
        <w:rPr>
          <w:rFonts w:hint="eastAsia" w:ascii="宋体" w:hAnsi="宋体" w:cs="Arial"/>
          <w:szCs w:val="21"/>
        </w:rPr>
        <w:t>（二）订立托管协议的目的</w:t>
      </w:r>
    </w:p>
    <w:p w14:paraId="58FDF3D4">
      <w:pPr>
        <w:spacing w:line="360" w:lineRule="auto"/>
        <w:ind w:firstLine="420" w:firstLineChars="200"/>
        <w:rPr>
          <w:rFonts w:ascii="宋体" w:hAnsi="宋体"/>
          <w:szCs w:val="21"/>
        </w:rPr>
      </w:pPr>
      <w:r>
        <w:rPr>
          <w:rFonts w:hint="eastAsia" w:ascii="宋体" w:hAnsi="宋体" w:cs="Arial"/>
          <w:szCs w:val="21"/>
        </w:rPr>
        <w:t>订立本协议的目的是明确基金管理人与基金托管人之间在基金财产的保管、投资运作、净值计算、收益分配、信息披露及相互监督等相关事宜中的权利义务及职责，确保基金财产的安全，保护基金份额持有人的合法权益。</w:t>
      </w:r>
    </w:p>
    <w:p w14:paraId="42CC0161">
      <w:pPr>
        <w:spacing w:line="360" w:lineRule="auto"/>
        <w:ind w:firstLine="420" w:firstLineChars="200"/>
        <w:rPr>
          <w:rFonts w:ascii="宋体" w:hAnsi="宋体" w:cs="Arial"/>
          <w:szCs w:val="21"/>
        </w:rPr>
      </w:pPr>
      <w:r>
        <w:rPr>
          <w:rFonts w:hint="eastAsia" w:ascii="宋体" w:hAnsi="宋体" w:cs="Arial"/>
          <w:szCs w:val="21"/>
        </w:rPr>
        <w:t>（三）订立托管协议的原则</w:t>
      </w:r>
    </w:p>
    <w:p w14:paraId="38FACA82">
      <w:pPr>
        <w:spacing w:line="360" w:lineRule="auto"/>
        <w:ind w:firstLine="420" w:firstLineChars="200"/>
        <w:rPr>
          <w:rFonts w:ascii="宋体" w:hAnsi="宋体" w:cs="Arial"/>
          <w:szCs w:val="21"/>
        </w:rPr>
      </w:pPr>
      <w:r>
        <w:rPr>
          <w:rFonts w:hint="eastAsia" w:ascii="宋体" w:hAnsi="宋体" w:cs="Arial"/>
          <w:szCs w:val="21"/>
        </w:rPr>
        <w:t>基金管理人和基金托管人本着平等自愿、诚实信用、充分保护基金份额持有人合法权益的原则，经协商一致，签订本协议。</w:t>
      </w:r>
    </w:p>
    <w:p w14:paraId="36BDA511">
      <w:pPr>
        <w:spacing w:line="360" w:lineRule="auto"/>
        <w:rPr>
          <w:rFonts w:ascii="宋体" w:hAnsi="宋体"/>
          <w:szCs w:val="21"/>
        </w:rPr>
      </w:pPr>
    </w:p>
    <w:bookmarkEnd w:id="12"/>
    <w:p w14:paraId="4E4CE197">
      <w:pPr>
        <w:spacing w:line="360" w:lineRule="auto"/>
        <w:ind w:firstLine="420" w:firstLineChars="200"/>
        <w:rPr>
          <w:rFonts w:ascii="宋体" w:hAnsi="宋体"/>
        </w:rPr>
        <w:sectPr>
          <w:headerReference r:id="rId8" w:type="default"/>
          <w:footerReference r:id="rId9" w:type="default"/>
          <w:pgSz w:w="11906" w:h="16838"/>
          <w:pgMar w:top="1418" w:right="1701" w:bottom="1418" w:left="1701" w:header="851" w:footer="992" w:gutter="0"/>
          <w:pgNumType w:start="1"/>
          <w:cols w:space="425" w:num="1"/>
          <w:docGrid w:type="lines" w:linePitch="312" w:charSpace="0"/>
        </w:sectPr>
      </w:pPr>
    </w:p>
    <w:p w14:paraId="625B8BD0">
      <w:pPr>
        <w:pStyle w:val="3"/>
        <w:spacing w:before="312" w:beforeLines="100" w:after="156" w:afterLines="50" w:line="360" w:lineRule="auto"/>
        <w:jc w:val="center"/>
        <w:rPr>
          <w:rFonts w:ascii="宋体" w:hAnsi="宋体" w:eastAsia="宋体"/>
          <w:sz w:val="21"/>
          <w:szCs w:val="21"/>
        </w:rPr>
      </w:pPr>
      <w:bookmarkStart w:id="13" w:name="_Toc348082031"/>
      <w:bookmarkStart w:id="14" w:name="_Toc501274915"/>
      <w:bookmarkStart w:id="15" w:name="_Toc384992693"/>
      <w:bookmarkStart w:id="16" w:name="CLAUSE_18bd8014994c465e9e240598d3cf0e3f"/>
      <w:r>
        <w:rPr>
          <w:rFonts w:hint="eastAsia" w:ascii="宋体" w:hAnsi="宋体" w:eastAsia="宋体"/>
          <w:sz w:val="21"/>
          <w:szCs w:val="21"/>
        </w:rPr>
        <w:t>三、基金托管人对基金管理人的业务监督和核查</w:t>
      </w:r>
      <w:bookmarkEnd w:id="13"/>
      <w:bookmarkEnd w:id="14"/>
      <w:bookmarkEnd w:id="15"/>
    </w:p>
    <w:p w14:paraId="550EFF6B">
      <w:pPr>
        <w:adjustRightInd w:val="0"/>
        <w:snapToGrid w:val="0"/>
        <w:spacing w:line="360" w:lineRule="auto"/>
        <w:ind w:firstLine="420" w:firstLineChars="200"/>
        <w:rPr>
          <w:rFonts w:ascii="宋体" w:hAnsi="宋体" w:cs="Arial"/>
          <w:szCs w:val="21"/>
        </w:rPr>
      </w:pPr>
      <w:r>
        <w:rPr>
          <w:rFonts w:hint="eastAsia" w:ascii="宋体" w:hAnsi="宋体" w:cs="Arial"/>
          <w:szCs w:val="21"/>
        </w:rPr>
        <w:t>（一）基金托管人根据有关法律法规的规定以及《基金合同》的约定，对基金投资范围、投资比例、投资限制、关联方交易等进行监督。</w:t>
      </w:r>
    </w:p>
    <w:p w14:paraId="2E9E8DF6">
      <w:pPr>
        <w:adjustRightInd w:val="0"/>
        <w:snapToGrid w:val="0"/>
        <w:spacing w:line="360" w:lineRule="auto"/>
        <w:ind w:firstLine="420" w:firstLineChars="200"/>
        <w:rPr>
          <w:rFonts w:ascii="宋体" w:hAnsi="宋体" w:cs="Arial"/>
          <w:szCs w:val="21"/>
        </w:rPr>
      </w:pPr>
      <w:r>
        <w:rPr>
          <w:rFonts w:hint="eastAsia" w:ascii="宋体" w:hAnsi="宋体" w:cs="Arial"/>
          <w:szCs w:val="21"/>
        </w:rPr>
        <w:t>1.本基金的投资范围：</w:t>
      </w:r>
    </w:p>
    <w:p w14:paraId="0B52254B">
      <w:pPr>
        <w:adjustRightInd w:val="0"/>
        <w:snapToGrid w:val="0"/>
        <w:spacing w:line="360" w:lineRule="auto"/>
        <w:ind w:firstLine="420" w:firstLineChars="200"/>
        <w:rPr>
          <w:rFonts w:ascii="宋体" w:hAnsi="宋体" w:cs="Arial"/>
          <w:szCs w:val="21"/>
        </w:rPr>
      </w:pPr>
      <w:bookmarkStart w:id="17" w:name="_Hlk107324997"/>
      <w:bookmarkStart w:id="18" w:name="_Hlk111393737"/>
      <w:r>
        <w:rPr>
          <w:rFonts w:hint="eastAsia" w:ascii="宋体" w:hAnsi="宋体" w:cs="Arial"/>
          <w:szCs w:val="21"/>
        </w:rPr>
        <w:t>本基金的投资范围主要为具有良好流动性的金融工具，包括国内依法发行上市的股票（包括创业板及其他经中国证监会核准或注册上市的股票、存托凭证）、内地与香港股票市场交易互联互通机制下允许投资的香港联合交易所上市的股票（以下简称“港股通标的股票”）、债券（包括国债、金融债、地方政府债、政府支持机构债券、政府支持债券、企业债、公司债、央行票据、中期票据、短期融资券、超短期融资券、可转换债券（含可分离交易可转债）、可交换债、次级债等）、资产支持证券、债券回购、银行存款、同业存单、货币市场工具、股指期货、股票期权、国债期货、信用衍生品及法律法规或中国证监会允许基金投资的其他金融工具（但须符合中国证监会相关规定）。</w:t>
      </w:r>
    </w:p>
    <w:p w14:paraId="6C820A6D">
      <w:pPr>
        <w:adjustRightInd w:val="0"/>
        <w:snapToGrid w:val="0"/>
        <w:spacing w:line="360" w:lineRule="auto"/>
        <w:ind w:firstLine="420" w:firstLineChars="200"/>
        <w:rPr>
          <w:rFonts w:ascii="宋体" w:hAnsi="宋体" w:cs="Arial"/>
          <w:szCs w:val="21"/>
        </w:rPr>
      </w:pPr>
      <w:r>
        <w:rPr>
          <w:rFonts w:hint="eastAsia" w:ascii="宋体" w:hAnsi="宋体" w:cs="Arial"/>
          <w:szCs w:val="21"/>
        </w:rPr>
        <w:t>本基金可根据相关法律法规和基金合同的约定参与融资业务。</w:t>
      </w:r>
    </w:p>
    <w:p w14:paraId="28AE385E">
      <w:pPr>
        <w:adjustRightInd w:val="0"/>
        <w:snapToGrid w:val="0"/>
        <w:spacing w:line="360" w:lineRule="auto"/>
        <w:ind w:firstLine="420" w:firstLineChars="200"/>
        <w:rPr>
          <w:rFonts w:ascii="宋体" w:hAnsi="宋体" w:cs="Arial"/>
          <w:szCs w:val="21"/>
        </w:rPr>
      </w:pPr>
      <w:r>
        <w:rPr>
          <w:rFonts w:hint="eastAsia" w:ascii="宋体" w:hAnsi="宋体" w:cs="Arial"/>
          <w:szCs w:val="21"/>
        </w:rPr>
        <w:t>如法律法规或中国证监会以后允许基金投资其他品种，本基金管理人在履行适当程序后，可以将其纳入本基金的投资范围。</w:t>
      </w:r>
    </w:p>
    <w:p w14:paraId="16CC6211">
      <w:pPr>
        <w:adjustRightInd w:val="0"/>
        <w:snapToGrid w:val="0"/>
        <w:spacing w:line="360" w:lineRule="auto"/>
        <w:ind w:firstLine="420" w:firstLineChars="200"/>
        <w:rPr>
          <w:rFonts w:ascii="宋体" w:hAnsi="宋体" w:cs="Arial"/>
          <w:szCs w:val="21"/>
        </w:rPr>
      </w:pPr>
      <w:r>
        <w:rPr>
          <w:rFonts w:hint="eastAsia" w:ascii="宋体" w:hAnsi="宋体" w:cs="Arial"/>
          <w:szCs w:val="21"/>
        </w:rPr>
        <w:t>基金的投资组合比例为：本基金的股票资产（含存托凭证）投资比例为基金资产的60%-95%，港股通标的股票的投资比例为股票资产的0%-50%。本基金每个交易日日终在扣除股指期货、国债期货、股票期权合约需缴纳的交易保证金以后，现金或者到期日在一年以内的政府债券不低于基金资产净值的5%，其中现金不包括结算备付金、存出保证金、应收申购款等。</w:t>
      </w:r>
    </w:p>
    <w:p w14:paraId="41634A1A">
      <w:pPr>
        <w:adjustRightInd w:val="0"/>
        <w:snapToGrid w:val="0"/>
        <w:spacing w:line="360" w:lineRule="auto"/>
        <w:ind w:firstLine="420" w:firstLineChars="200"/>
        <w:rPr>
          <w:rFonts w:ascii="宋体" w:hAnsi="宋体" w:cs="Arial"/>
          <w:szCs w:val="21"/>
        </w:rPr>
      </w:pPr>
      <w:r>
        <w:rPr>
          <w:rFonts w:hint="eastAsia" w:ascii="宋体" w:hAnsi="宋体" w:cs="Arial"/>
          <w:szCs w:val="21"/>
        </w:rPr>
        <w:t>若法律法规的相关规定发生变更或监管机构允许，本基金管理人在履行适当程序后，可对上述资产配置比例进行调整。</w:t>
      </w:r>
    </w:p>
    <w:bookmarkEnd w:id="17"/>
    <w:p w14:paraId="581C7909">
      <w:pPr>
        <w:adjustRightInd w:val="0"/>
        <w:snapToGrid w:val="0"/>
        <w:spacing w:line="360" w:lineRule="auto"/>
        <w:ind w:firstLine="420" w:firstLineChars="200"/>
        <w:rPr>
          <w:rFonts w:ascii="宋体" w:hAnsi="宋体" w:cs="Arial"/>
          <w:szCs w:val="21"/>
        </w:rPr>
      </w:pPr>
      <w:r>
        <w:rPr>
          <w:rFonts w:hint="eastAsia" w:ascii="宋体" w:hAnsi="宋体" w:cs="Arial"/>
          <w:szCs w:val="21"/>
        </w:rPr>
        <w:t>2.本基金各类品种的投资比例、投资限制为：</w:t>
      </w:r>
    </w:p>
    <w:p w14:paraId="0B9AFC69">
      <w:pPr>
        <w:adjustRightInd w:val="0"/>
        <w:snapToGrid w:val="0"/>
        <w:spacing w:line="360" w:lineRule="auto"/>
        <w:ind w:firstLine="420" w:firstLineChars="200"/>
        <w:rPr>
          <w:rFonts w:ascii="宋体" w:hAnsi="宋体" w:cs="Arial"/>
          <w:szCs w:val="21"/>
        </w:rPr>
      </w:pPr>
      <w:r>
        <w:rPr>
          <w:rFonts w:hint="eastAsia" w:ascii="宋体" w:hAnsi="宋体" w:cs="Arial"/>
          <w:szCs w:val="21"/>
        </w:rPr>
        <w:t>基金的投资组合应遵循以下限制：</w:t>
      </w:r>
    </w:p>
    <w:p w14:paraId="43F08329">
      <w:pPr>
        <w:adjustRightInd w:val="0"/>
        <w:snapToGrid w:val="0"/>
        <w:spacing w:line="360" w:lineRule="auto"/>
        <w:ind w:firstLine="420" w:firstLineChars="200"/>
        <w:rPr>
          <w:rFonts w:ascii="宋体" w:hAnsi="宋体" w:cs="Arial"/>
          <w:szCs w:val="21"/>
        </w:rPr>
      </w:pPr>
      <w:bookmarkStart w:id="19" w:name="_Hlk107325007"/>
      <w:r>
        <w:rPr>
          <w:rFonts w:hint="eastAsia" w:ascii="宋体" w:hAnsi="宋体" w:cs="Arial"/>
          <w:szCs w:val="21"/>
        </w:rPr>
        <w:t xml:space="preserve">（1）股票（含存托凭证）资产占基金资产的比例为60%—95%；港股通标的股票的投资比例为股票资产的0%-50%； </w:t>
      </w:r>
    </w:p>
    <w:p w14:paraId="4AFBEBAE">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2）每个交易日日终在扣除股指期货合约、股票期权合约、国债期货合约所需缴纳的交易保证金后，现金或到期日在一年以内的政府债券不低于基金资产净值的5%。前述现金不包括结算备付金、存出保证金、应收申购款等； </w:t>
      </w:r>
    </w:p>
    <w:p w14:paraId="5C76CB4A">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（3）本基金持有一家公司发行的证券，其市值（若同时持有一家公司发行的A股和H股，则为A股与H股合计市值）不超过基金资产净值的10％； </w:t>
      </w:r>
    </w:p>
    <w:p w14:paraId="040B9141">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（4）本基金管理人管理的全部基金持有一家公司发行的证券，不超过该证券（若同时持有一家公司发行的A股和H股，则为A股与H股合计）的10％； </w:t>
      </w:r>
    </w:p>
    <w:p w14:paraId="71FF99B7">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（5）本基金投资于同一原始权益人的各类资产支持证券的比例，不得超过基金资产净值的10％； </w:t>
      </w:r>
    </w:p>
    <w:p w14:paraId="5A931C4F">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（6）本基金持有的全部资产支持证券，其市值不得超过基金资产净值的20％； </w:t>
      </w:r>
    </w:p>
    <w:p w14:paraId="3EBAF3BB">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（7）本基金持有的同一(指同一信用级别)资产支持证券的比例，不得超过该资产支持证券规模的10％； </w:t>
      </w:r>
    </w:p>
    <w:p w14:paraId="5278F505">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（8）本基金管理人管理的全部基金投资于同一原始权益人的各类资产支持证券，不得超过其各类资产支持证券合计规模的10％； </w:t>
      </w:r>
    </w:p>
    <w:p w14:paraId="3795ED7B">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（9）本基金应投资于信用级别评级为BBB以上(含BBB)的资产支持证券。基金持有资产支持证券期间，如果其信用等级下降、不再符合投资标准，应在评级报告发布之日起3个月内予以全部卖出； </w:t>
      </w:r>
    </w:p>
    <w:p w14:paraId="0EAD8130">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（10）基金财产参与股票发行申购，本基金所申报的金额不超过本基金的总资产，本基金所申报的股票数量不超过拟发行股票公司本次发行股票的总量； </w:t>
      </w:r>
    </w:p>
    <w:p w14:paraId="27369C2C">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（11）本基金参与股指期货、国债期货投资的，应遵循下列限制： </w:t>
      </w:r>
    </w:p>
    <w:p w14:paraId="416CFEC2">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1）本基金在任何交易日日终，持有的买入股指期货合约价值，不得超过基金资产净值的10%； </w:t>
      </w:r>
    </w:p>
    <w:p w14:paraId="5DC291C4">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2）每个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14:paraId="57092DBC">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3）本基金在任何交易日日终，持有的卖出股指期货合约价值不得超过基金持有的股票总市值的20%； </w:t>
      </w:r>
    </w:p>
    <w:p w14:paraId="0AD6F805">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4）本基金在任何交易日内交易（不包括平仓）的股指期货合约的成交金额不得超过上一交易日基金资产净值的20%； </w:t>
      </w:r>
    </w:p>
    <w:p w14:paraId="4D9B0241">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5）本基金所持有的股票市值和买入、卖出股指期货合约价值，合计（轧差计算）应当符合基金合同关于股票投资比例的有关规定； </w:t>
      </w:r>
    </w:p>
    <w:p w14:paraId="30AA0C88">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6）本基金在任何交易日日终，持有的买入国债期货合约价值，不得超过基金资产净值的15%； </w:t>
      </w:r>
    </w:p>
    <w:p w14:paraId="13525361">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7）本基金在任何交易日日终，持有的卖出国债期货合约价值不得超过基金持有的债券总市值的30%； </w:t>
      </w:r>
    </w:p>
    <w:p w14:paraId="2AD9AA3B">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8）本基金在任何交易日内交易（不包括平仓）的国债期货合约的成交金额不得超过上一交易日基金资产净值的30%； </w:t>
      </w:r>
    </w:p>
    <w:p w14:paraId="1DA21D16">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9）本基金所持有的债券（不含到期日在一年以内的政府债券）市值和买入、卖出国债期货合约价值，合计（轧差计算）应当符合基金合同关于债券投资比例的有关约定； </w:t>
      </w:r>
    </w:p>
    <w:p w14:paraId="022212E3">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（12）本基金参与股票期权交易的，需遵守下列规定： </w:t>
      </w:r>
    </w:p>
    <w:p w14:paraId="142D647F">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1）因未平仓的股票期权合约支付和收取的权利金总额不得超过基金资产净值的10%； </w:t>
      </w:r>
    </w:p>
    <w:p w14:paraId="004B8F21">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2）开仓卖出认购股票期权的，应持有足额标的证券；开仓卖出认沽股票期权的，应持有合约行权所需的全额现金或交易所规则认可的可冲抵股票期权保证金的现金等价物； </w:t>
      </w:r>
    </w:p>
    <w:p w14:paraId="6391B2AB">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3）未平仓的股票期权合约面值不得超过基金资产净值的20%。其中，合约面值按照行权价乘以合约乘数计算； </w:t>
      </w:r>
    </w:p>
    <w:p w14:paraId="689E42A5">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4）基金投资股票期权应符合基金合同约定的比例限制（如股票仓位、个股占比等）、投资目标和风险收益特征； </w:t>
      </w:r>
    </w:p>
    <w:p w14:paraId="44FF73A4">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（13）本基金资产总值不得超过基金资产净值的140%； </w:t>
      </w:r>
    </w:p>
    <w:p w14:paraId="209A2F8B">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14）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14:paraId="640FC111">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15）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 </w:t>
      </w:r>
    </w:p>
    <w:p w14:paraId="385E91B6">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（16）本基金与私募类证券资管产品及中国证监会认定的其他主体为交易对手开展逆回购交易的，可接受质押品的资质要求应当与基金合同约定的投资范围保持一致； </w:t>
      </w:r>
    </w:p>
    <w:p w14:paraId="0F2DBB85">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（17）本基金参与融资的，每个交易日日终，本基金持有的融资买入股票与其他有价证券市值之和，不得超过基金资产净值的95%； </w:t>
      </w:r>
    </w:p>
    <w:p w14:paraId="615B0ACD">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（18）本基金不持有具有信用保护卖方属性的信用衍生品，不持有合约类信用衍生品，本基金持有的信用衍生品名义本金不得超过本基金中所对应受保护债券面值的100%； </w:t>
      </w:r>
    </w:p>
    <w:p w14:paraId="3ADF200D">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（19）本基金投资于同一信用保护卖方各类信用衍生品名义本金合计不得超过基金资产净值的10%； </w:t>
      </w:r>
    </w:p>
    <w:p w14:paraId="51E97C97">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（20）本基金投资存托凭证的比例限制依照境内上市交易的股票执行，与境内上市交易的股票合并计算； </w:t>
      </w:r>
    </w:p>
    <w:p w14:paraId="1AD8F068">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（21）法律法规及中国证监会规定的和《基金合同》约定的其他投资限制。 </w:t>
      </w:r>
    </w:p>
    <w:p w14:paraId="2AD70023">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因证券、期货市场波动、证券发行人合并、基金规模变动等基金管理人之外的因素致使基金投资比例不符合上述（18）、（19）项规定投资比例的，基金管理人应在3个月内进行调整。 </w:t>
      </w:r>
    </w:p>
    <w:p w14:paraId="1B679DD1">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除上述（2）、（9）、（15）、（16）、（18）、（19）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19A313DB">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7624B3B6">
      <w:pPr>
        <w:adjustRightInd w:val="0"/>
        <w:snapToGrid w:val="0"/>
        <w:spacing w:line="360" w:lineRule="auto"/>
        <w:ind w:firstLine="420" w:firstLineChars="200"/>
        <w:rPr>
          <w:rFonts w:ascii="宋体" w:hAnsi="宋体" w:cs="Arial"/>
          <w:szCs w:val="21"/>
        </w:rPr>
      </w:pPr>
      <w:r>
        <w:rPr>
          <w:rFonts w:hint="eastAsia" w:ascii="宋体" w:hAnsi="宋体" w:cs="Arial"/>
          <w:szCs w:val="21"/>
        </w:rPr>
        <w:t xml:space="preserve">法律法规或监管部门取消或变更上述限制，如适用于本基金，基金管理人在履行适当程序后，则本基金投资不再受相关限制，或以变更后的规定为准。 </w:t>
      </w:r>
    </w:p>
    <w:p w14:paraId="1146B38D">
      <w:pPr>
        <w:adjustRightInd w:val="0"/>
        <w:snapToGrid w:val="0"/>
        <w:spacing w:line="360" w:lineRule="auto"/>
        <w:ind w:firstLine="420" w:firstLineChars="200"/>
        <w:rPr>
          <w:rFonts w:ascii="宋体" w:hAnsi="宋体" w:cs="Arial"/>
          <w:szCs w:val="21"/>
        </w:rPr>
      </w:pPr>
      <w:r>
        <w:rPr>
          <w:rFonts w:ascii="宋体" w:hAnsi="宋体" w:cs="Arial"/>
          <w:szCs w:val="21"/>
        </w:rPr>
        <w:t>3</w:t>
      </w:r>
      <w:r>
        <w:rPr>
          <w:rFonts w:hint="eastAsia" w:ascii="宋体" w:hAnsi="宋体" w:cs="Arial"/>
          <w:szCs w:val="21"/>
        </w:rPr>
        <w:t>.本基金财产不得用于以下投资或者活动：</w:t>
      </w:r>
    </w:p>
    <w:p w14:paraId="3273A16B">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为维护基金份额持有人的合法权益，基金财产不得用于下列投资或者活动：</w:t>
      </w:r>
    </w:p>
    <w:p w14:paraId="38E46509">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（1）承销证券；</w:t>
      </w:r>
    </w:p>
    <w:p w14:paraId="4D542F90">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（2）违反规定向他人贷款或者提供担保；</w:t>
      </w:r>
    </w:p>
    <w:p w14:paraId="5062CE9C">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（3）从事承担无限责任的投资；</w:t>
      </w:r>
    </w:p>
    <w:p w14:paraId="2BA59199">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（4）买卖其他基金份额，但是中国证监会另有规定的除外；</w:t>
      </w:r>
    </w:p>
    <w:p w14:paraId="6080598F">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（5）向其基金管理人、基金托管人出资；</w:t>
      </w:r>
    </w:p>
    <w:p w14:paraId="6C49AD56">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（6）从事内幕交易、操纵证券交易价格及其他不正当的证券交易活动；</w:t>
      </w:r>
    </w:p>
    <w:p w14:paraId="66C03B13">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（7）法律、行政法规和中国证监会规定禁止的其他活动。</w:t>
      </w:r>
    </w:p>
    <w:p w14:paraId="7EAD3556">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171557B3">
      <w:pPr>
        <w:adjustRightInd w:val="0"/>
        <w:snapToGrid w:val="0"/>
        <w:spacing w:line="360" w:lineRule="auto"/>
        <w:ind w:firstLine="420" w:firstLineChars="200"/>
        <w:rPr>
          <w:rFonts w:ascii="宋体" w:hAnsi="宋体" w:cs="Arial"/>
          <w:szCs w:val="21"/>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法律、行政法规或监管部门取消或变更上述规定，如适用于本基金，基金管理人在履行适当程序后，则本基金投资不再受相关限制或以变更后的规定为准。</w:t>
      </w:r>
    </w:p>
    <w:bookmarkEnd w:id="18"/>
    <w:bookmarkEnd w:id="19"/>
    <w:p w14:paraId="43214B45">
      <w:pPr>
        <w:adjustRightInd w:val="0"/>
        <w:snapToGrid w:val="0"/>
        <w:spacing w:line="360" w:lineRule="auto"/>
        <w:ind w:firstLine="420" w:firstLineChars="200"/>
        <w:rPr>
          <w:rFonts w:ascii="宋体" w:hAnsi="宋体" w:cs="Arial"/>
          <w:szCs w:val="21"/>
        </w:rPr>
      </w:pPr>
      <w:r>
        <w:rPr>
          <w:rFonts w:hint="eastAsia" w:ascii="宋体" w:hAnsi="宋体" w:cs="Arial"/>
          <w:szCs w:val="21"/>
        </w:rPr>
        <w:t>（二）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14:paraId="7FFCDE28">
      <w:pPr>
        <w:adjustRightInd w:val="0"/>
        <w:snapToGrid w:val="0"/>
        <w:spacing w:line="360" w:lineRule="auto"/>
        <w:ind w:firstLine="420" w:firstLineChars="200"/>
        <w:rPr>
          <w:rFonts w:ascii="宋体" w:hAnsi="宋体" w:cs="Arial"/>
          <w:szCs w:val="21"/>
        </w:rPr>
      </w:pPr>
      <w:r>
        <w:rPr>
          <w:rFonts w:hint="eastAsia" w:ascii="宋体" w:hAnsi="宋体" w:cs="Arial"/>
          <w:szCs w:val="21"/>
        </w:rPr>
        <w:t>本基金投资银行存款应符合如下规定：</w:t>
      </w:r>
    </w:p>
    <w:p w14:paraId="6DB41A0B">
      <w:pPr>
        <w:adjustRightInd w:val="0"/>
        <w:snapToGrid w:val="0"/>
        <w:spacing w:line="360" w:lineRule="auto"/>
        <w:ind w:firstLine="420" w:firstLineChars="200"/>
        <w:rPr>
          <w:rFonts w:ascii="宋体" w:hAnsi="宋体" w:cs="Arial"/>
          <w:szCs w:val="21"/>
        </w:rPr>
      </w:pPr>
      <w:r>
        <w:rPr>
          <w:rFonts w:hint="eastAsia" w:ascii="宋体" w:hAnsi="宋体" w:cs="Arial"/>
          <w:szCs w:val="21"/>
        </w:rPr>
        <w:t>1.本</w:t>
      </w:r>
      <w:r>
        <w:rPr>
          <w:rFonts w:ascii="宋体" w:hAnsi="宋体" w:cs="Arial"/>
          <w:szCs w:val="21"/>
        </w:rPr>
        <w:t>基金投资于有固定期限银行存款的比例，不得超过基金资产净值的30%，但投资于有存款期限，根据协议可提前支取的银行存款不受上述比例限制</w:t>
      </w:r>
      <w:r>
        <w:rPr>
          <w:rFonts w:hint="eastAsia" w:ascii="宋体" w:hAnsi="宋体" w:cs="Arial"/>
          <w:szCs w:val="21"/>
        </w:rPr>
        <w:t>；本</w:t>
      </w:r>
      <w:r>
        <w:rPr>
          <w:rFonts w:ascii="宋体" w:hAnsi="宋体" w:cs="Arial"/>
          <w:szCs w:val="21"/>
        </w:rPr>
        <w:t>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14:paraId="7F94C62A">
      <w:pPr>
        <w:adjustRightInd w:val="0"/>
        <w:snapToGrid w:val="0"/>
        <w:spacing w:line="360" w:lineRule="auto"/>
        <w:ind w:firstLine="420" w:firstLineChars="200"/>
        <w:rPr>
          <w:rFonts w:ascii="宋体" w:hAnsi="宋体" w:cs="Arial"/>
          <w:szCs w:val="21"/>
        </w:rPr>
      </w:pPr>
      <w:r>
        <w:rPr>
          <w:rFonts w:hint="eastAsia" w:ascii="宋体" w:hAnsi="宋体" w:cs="Arial"/>
          <w:szCs w:val="21"/>
        </w:rPr>
        <w:t>有关法律法规或监管部门制定或修改新的定期存款投资政策，基金管理人履行适当程序后，可相应调整投资组合限制的规定。</w:t>
      </w:r>
    </w:p>
    <w:p w14:paraId="1A355CE1">
      <w:pPr>
        <w:adjustRightInd w:val="0"/>
        <w:snapToGrid w:val="0"/>
        <w:spacing w:line="360" w:lineRule="auto"/>
        <w:ind w:firstLine="420" w:firstLineChars="200"/>
        <w:rPr>
          <w:rFonts w:ascii="宋体" w:hAnsi="宋体" w:cs="Arial"/>
          <w:szCs w:val="21"/>
        </w:rPr>
      </w:pPr>
      <w:r>
        <w:rPr>
          <w:rFonts w:hint="eastAsia" w:ascii="宋体" w:hAnsi="宋体" w:cs="Arial"/>
          <w:szCs w:val="21"/>
        </w:rPr>
        <w:t>2</w:t>
      </w:r>
      <w:r>
        <w:rPr>
          <w:rFonts w:ascii="宋体" w:hAnsi="宋体" w:cs="Arial"/>
          <w:szCs w:val="21"/>
        </w:rPr>
        <w:t>.</w:t>
      </w:r>
      <w:r>
        <w:rPr>
          <w:rFonts w:hint="eastAsia" w:ascii="宋体" w:hAnsi="宋体" w:cs="Arial"/>
          <w:szCs w:val="21"/>
        </w:rPr>
        <w:t>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14:paraId="6FB10652">
      <w:pPr>
        <w:adjustRightInd w:val="0"/>
        <w:snapToGrid w:val="0"/>
        <w:spacing w:line="360" w:lineRule="auto"/>
        <w:ind w:firstLine="420" w:firstLineChars="200"/>
        <w:rPr>
          <w:rFonts w:ascii="宋体" w:hAnsi="宋体" w:cs="Arial"/>
          <w:szCs w:val="21"/>
        </w:rPr>
      </w:pPr>
      <w:r>
        <w:rPr>
          <w:rFonts w:hint="eastAsia" w:ascii="宋体" w:hAnsi="宋体" w:cs="Arial"/>
          <w:szCs w:val="21"/>
        </w:rPr>
        <w:t>（</w:t>
      </w:r>
      <w:r>
        <w:rPr>
          <w:rFonts w:ascii="宋体" w:hAnsi="宋体" w:cs="Arial"/>
          <w:szCs w:val="21"/>
        </w:rPr>
        <w:t>1</w:t>
      </w:r>
      <w:r>
        <w:rPr>
          <w:rFonts w:hint="eastAsia" w:ascii="宋体" w:hAnsi="宋体" w:cs="Arial"/>
          <w:szCs w:val="21"/>
        </w:rPr>
        <w:t>）基金管理人负责控制信用风险。信用风险主要包括存款银行的信用等级、存款银行的支付能力等涉及到存款银行选择方面的风险。因选择存款银行不当造成基金财产损失的，由基金管理人承担责任。</w:t>
      </w:r>
    </w:p>
    <w:p w14:paraId="5F4A2EBB">
      <w:pPr>
        <w:adjustRightInd w:val="0"/>
        <w:snapToGrid w:val="0"/>
        <w:spacing w:line="360" w:lineRule="auto"/>
        <w:ind w:firstLine="420" w:firstLineChars="200"/>
        <w:rPr>
          <w:rFonts w:ascii="宋体" w:hAnsi="宋体" w:cs="Arial"/>
          <w:szCs w:val="21"/>
        </w:rPr>
      </w:pPr>
      <w:r>
        <w:rPr>
          <w:rFonts w:hint="eastAsia" w:ascii="宋体" w:hAnsi="宋体" w:cs="Arial"/>
          <w:szCs w:val="21"/>
        </w:rPr>
        <w:t>（</w:t>
      </w:r>
      <w:r>
        <w:rPr>
          <w:rFonts w:ascii="宋体" w:hAnsi="宋体" w:cs="Arial"/>
          <w:szCs w:val="21"/>
        </w:rPr>
        <w:t>2</w:t>
      </w:r>
      <w:r>
        <w:rPr>
          <w:rFonts w:hint="eastAsia" w:ascii="宋体" w:hAnsi="宋体" w:cs="Arial"/>
          <w:szCs w:val="21"/>
        </w:rPr>
        <w:t>）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14:paraId="4E77B410">
      <w:pPr>
        <w:adjustRightInd w:val="0"/>
        <w:snapToGrid w:val="0"/>
        <w:spacing w:line="360" w:lineRule="auto"/>
        <w:ind w:firstLine="420" w:firstLineChars="200"/>
        <w:rPr>
          <w:rFonts w:ascii="宋体" w:hAnsi="宋体" w:cs="Arial"/>
          <w:szCs w:val="21"/>
        </w:rPr>
      </w:pPr>
      <w:r>
        <w:rPr>
          <w:rFonts w:hint="eastAsia" w:ascii="宋体" w:hAnsi="宋体" w:cs="Arial"/>
          <w:szCs w:val="21"/>
        </w:rPr>
        <w:t>（</w:t>
      </w:r>
      <w:r>
        <w:rPr>
          <w:rFonts w:ascii="宋体" w:hAnsi="宋体" w:cs="Arial"/>
          <w:szCs w:val="21"/>
        </w:rPr>
        <w:t>3</w:t>
      </w:r>
      <w:r>
        <w:rPr>
          <w:rFonts w:hint="eastAsia" w:ascii="宋体" w:hAnsi="宋体" w:cs="Arial"/>
          <w:szCs w:val="21"/>
        </w:rPr>
        <w:t>）基金管理人须加强内部风险控制制度的建设。如因基金管理人员工职务行为导致基金财产受到损失的，需由基金管理人承担由此造成的损失。</w:t>
      </w:r>
    </w:p>
    <w:p w14:paraId="14047B0B">
      <w:pPr>
        <w:adjustRightInd w:val="0"/>
        <w:snapToGrid w:val="0"/>
        <w:spacing w:line="360" w:lineRule="auto"/>
        <w:ind w:firstLine="420" w:firstLineChars="200"/>
        <w:rPr>
          <w:rFonts w:ascii="宋体" w:hAnsi="宋体" w:cs="Arial"/>
          <w:szCs w:val="21"/>
        </w:rPr>
      </w:pPr>
      <w:r>
        <w:rPr>
          <w:rFonts w:hint="eastAsia" w:ascii="宋体" w:hAnsi="宋体" w:cs="Arial"/>
          <w:szCs w:val="21"/>
        </w:rPr>
        <w:t>（4）基金管理人与基金托管人在开展基金存款业务时，应严格遵守《基金法》、《运作办法》等有关法律法规，以及国家有关账户管理、利率管理、支付结算等的各项规定。</w:t>
      </w:r>
    </w:p>
    <w:p w14:paraId="60BBC999">
      <w:pPr>
        <w:adjustRightInd w:val="0"/>
        <w:snapToGrid w:val="0"/>
        <w:spacing w:line="360" w:lineRule="auto"/>
        <w:ind w:firstLine="420" w:firstLineChars="200"/>
        <w:rPr>
          <w:rFonts w:ascii="宋体" w:hAnsi="宋体" w:cs="Arial"/>
          <w:szCs w:val="21"/>
        </w:rPr>
      </w:pPr>
      <w:r>
        <w:rPr>
          <w:rFonts w:hint="eastAsia" w:ascii="宋体" w:hAnsi="宋体" w:cs="Arial"/>
          <w:szCs w:val="21"/>
        </w:rPr>
        <w:t>（三）基金投资银行存款协议的签订、账户开设与管理、投资指令与资金划付、账目核对、到期兑付、提前支取</w:t>
      </w:r>
    </w:p>
    <w:p w14:paraId="7C05B723">
      <w:pPr>
        <w:adjustRightInd w:val="0"/>
        <w:snapToGrid w:val="0"/>
        <w:spacing w:line="360" w:lineRule="auto"/>
        <w:ind w:firstLine="420" w:firstLineChars="200"/>
        <w:rPr>
          <w:rFonts w:ascii="宋体" w:hAnsi="宋体" w:cs="Arial"/>
          <w:szCs w:val="21"/>
        </w:rPr>
      </w:pPr>
      <w:r>
        <w:rPr>
          <w:rFonts w:hint="eastAsia" w:ascii="宋体" w:hAnsi="宋体" w:cs="Arial"/>
          <w:szCs w:val="21"/>
        </w:rPr>
        <w:t>1.基金投资银行存款协议的签订</w:t>
      </w:r>
    </w:p>
    <w:p w14:paraId="720087A6">
      <w:pPr>
        <w:adjustRightInd w:val="0"/>
        <w:snapToGrid w:val="0"/>
        <w:spacing w:line="360" w:lineRule="auto"/>
        <w:ind w:firstLine="420" w:firstLineChars="200"/>
        <w:rPr>
          <w:rFonts w:ascii="宋体" w:hAnsi="宋体" w:cs="Arial"/>
          <w:szCs w:val="21"/>
        </w:rPr>
      </w:pPr>
      <w:r>
        <w:rPr>
          <w:rFonts w:hint="eastAsia" w:ascii="宋体" w:hAnsi="宋体" w:cs="Arial"/>
          <w:szCs w:val="21"/>
        </w:rPr>
        <w:t>（1）基金管理人应与符合资格的存款银行总行或其授权分行签订《基金存款业务总体合作协议》（以下简称《总体合作协议》），确定《存款协议书》的格式范本。《总体合作协议》和《存款协议书》的格式范本由基金托管人与基金管理人共同商定。</w:t>
      </w:r>
    </w:p>
    <w:p w14:paraId="2F51F750">
      <w:pPr>
        <w:adjustRightInd w:val="0"/>
        <w:snapToGrid w:val="0"/>
        <w:spacing w:line="360" w:lineRule="auto"/>
        <w:ind w:firstLine="420" w:firstLineChars="200"/>
        <w:rPr>
          <w:rFonts w:ascii="宋体" w:hAnsi="宋体" w:cs="Arial"/>
          <w:szCs w:val="21"/>
        </w:rPr>
      </w:pPr>
      <w:r>
        <w:rPr>
          <w:rFonts w:hint="eastAsia" w:ascii="宋体" w:hAnsi="宋体" w:cs="Arial"/>
          <w:szCs w:val="21"/>
        </w:rPr>
        <w:t>（2）基金托管人依据相关法规对《总体合作协议》和《存款协议书》的内容进行复核，审查存款银行资格等。</w:t>
      </w:r>
    </w:p>
    <w:p w14:paraId="5D8D8040">
      <w:pPr>
        <w:adjustRightInd w:val="0"/>
        <w:snapToGrid w:val="0"/>
        <w:spacing w:line="360" w:lineRule="auto"/>
        <w:ind w:firstLine="420" w:firstLineChars="200"/>
        <w:rPr>
          <w:rFonts w:ascii="宋体" w:hAnsi="宋体" w:cs="Arial"/>
          <w:szCs w:val="21"/>
        </w:rPr>
      </w:pPr>
      <w:r>
        <w:rPr>
          <w:rFonts w:hint="eastAsia" w:ascii="宋体" w:hAnsi="宋体" w:cs="Arial"/>
          <w:szCs w:val="21"/>
        </w:rPr>
        <w:t>（3）基金管理人应在《存款协议书》中明确存款证实书或其他有效存款凭证的办理方式、邮寄地址、联系人和联系电话，以及存款证实书或其他有效凭证在邮寄过程中遗失后，存款余额的确认及兑付办法等。</w:t>
      </w:r>
    </w:p>
    <w:p w14:paraId="7047B510">
      <w:pPr>
        <w:adjustRightInd w:val="0"/>
        <w:snapToGrid w:val="0"/>
        <w:spacing w:line="360" w:lineRule="auto"/>
        <w:ind w:firstLine="420" w:firstLineChars="200"/>
        <w:rPr>
          <w:rFonts w:ascii="宋体" w:hAnsi="宋体" w:cs="Arial"/>
          <w:szCs w:val="21"/>
        </w:rPr>
      </w:pPr>
      <w:r>
        <w:rPr>
          <w:rFonts w:hint="eastAsia" w:ascii="宋体" w:hAnsi="宋体" w:cs="Arial"/>
          <w:szCs w:val="21"/>
        </w:rPr>
        <w:t>（4）由存款银行指定的存放存款的分支机构（以下简称“存款分支机构</w:t>
      </w:r>
      <w:r>
        <w:rPr>
          <w:rFonts w:ascii="宋体" w:hAnsi="宋体" w:cs="Arial"/>
          <w:szCs w:val="21"/>
        </w:rPr>
        <w:t>”</w:t>
      </w:r>
      <w:r>
        <w:rPr>
          <w:rFonts w:hint="eastAsia" w:ascii="宋体" w:hAnsi="宋体" w:cs="Arial"/>
          <w:szCs w:val="21"/>
        </w:rPr>
        <w:t>）寄送或上门交付存款证实书或其他有效存款凭证的，基金托管人可向存款分支机构的上级行发出存款余额询证函，存款分支机构及其上级行应予配合。</w:t>
      </w:r>
    </w:p>
    <w:p w14:paraId="69F436F6">
      <w:pPr>
        <w:adjustRightInd w:val="0"/>
        <w:snapToGrid w:val="0"/>
        <w:spacing w:line="360" w:lineRule="auto"/>
        <w:ind w:firstLine="420" w:firstLineChars="200"/>
        <w:rPr>
          <w:rFonts w:ascii="宋体" w:hAnsi="宋体" w:cs="Arial"/>
          <w:szCs w:val="21"/>
        </w:rPr>
      </w:pPr>
      <w:r>
        <w:rPr>
          <w:rFonts w:hint="eastAsia" w:ascii="宋体" w:hAnsi="宋体" w:cs="Arial"/>
          <w:szCs w:val="21"/>
        </w:rPr>
        <w:t>（5）基金管理人应在《存款协议书》中规定，基金存放到期或提前兑付的资金应全部划转到指定的基金托管账户，并在《存款协议书》写明账户名称和账号，未划入指定账户的，由存款银行承担一切责任。</w:t>
      </w:r>
    </w:p>
    <w:p w14:paraId="3CC058F3">
      <w:pPr>
        <w:adjustRightInd w:val="0"/>
        <w:snapToGrid w:val="0"/>
        <w:spacing w:line="360" w:lineRule="auto"/>
        <w:ind w:firstLine="420" w:firstLineChars="200"/>
        <w:rPr>
          <w:rFonts w:ascii="宋体" w:hAnsi="宋体" w:cs="Arial"/>
          <w:szCs w:val="21"/>
        </w:rPr>
      </w:pPr>
      <w:r>
        <w:rPr>
          <w:rFonts w:hint="eastAsia" w:ascii="宋体" w:hAnsi="宋体" w:cs="Arial"/>
          <w:szCs w:val="21"/>
        </w:rPr>
        <w:t>（6）基金管理人应在《存款协议书》中规定，在存期内，如本基金银行账户、预留印鉴发生变更，基金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w:t>
      </w:r>
    </w:p>
    <w:p w14:paraId="109AF7A4">
      <w:pPr>
        <w:adjustRightInd w:val="0"/>
        <w:snapToGrid w:val="0"/>
        <w:spacing w:line="360" w:lineRule="auto"/>
        <w:ind w:firstLine="420" w:firstLineChars="200"/>
        <w:rPr>
          <w:rFonts w:ascii="宋体" w:hAnsi="宋体" w:cs="Arial"/>
          <w:szCs w:val="21"/>
        </w:rPr>
      </w:pPr>
      <w:r>
        <w:rPr>
          <w:rFonts w:hint="eastAsia" w:ascii="宋体" w:hAnsi="宋体" w:cs="Arial"/>
          <w:szCs w:val="21"/>
        </w:rPr>
        <w:t>（7）基金管理人应在《存款协议书》中规定，因定期存款产生的存单不得被质押或以任何方式被抵押，不得用于转让和背书。</w:t>
      </w:r>
    </w:p>
    <w:p w14:paraId="67AAC7F5">
      <w:pPr>
        <w:adjustRightInd w:val="0"/>
        <w:snapToGrid w:val="0"/>
        <w:spacing w:line="360" w:lineRule="auto"/>
        <w:ind w:firstLine="420" w:firstLineChars="200"/>
        <w:rPr>
          <w:rFonts w:ascii="宋体" w:hAnsi="宋体" w:cs="Arial"/>
          <w:szCs w:val="21"/>
        </w:rPr>
      </w:pPr>
      <w:r>
        <w:rPr>
          <w:rFonts w:hint="eastAsia" w:ascii="宋体" w:hAnsi="宋体" w:cs="Arial"/>
          <w:szCs w:val="21"/>
        </w:rPr>
        <w:t>2.基金投资银行存款时的账户开设与管理</w:t>
      </w:r>
    </w:p>
    <w:p w14:paraId="3185F42D">
      <w:pPr>
        <w:adjustRightInd w:val="0"/>
        <w:snapToGrid w:val="0"/>
        <w:spacing w:line="360" w:lineRule="auto"/>
        <w:ind w:firstLine="420" w:firstLineChars="200"/>
        <w:rPr>
          <w:rFonts w:ascii="宋体" w:hAnsi="宋体" w:cs="Arial"/>
          <w:szCs w:val="21"/>
        </w:rPr>
      </w:pPr>
      <w:r>
        <w:rPr>
          <w:rFonts w:hint="eastAsia" w:ascii="宋体" w:hAnsi="宋体" w:cs="Arial"/>
          <w:szCs w:val="21"/>
        </w:rPr>
        <w:t>（1）基金投资于银行存款时，基金管理人应当依据基金管理人与存款银行签订的《总体合作协议》、《存款协议书》等，以基金的名义在存款银行总行或授权分行指定的分支机构开立银行账户。</w:t>
      </w:r>
    </w:p>
    <w:p w14:paraId="63FE6ED3">
      <w:pPr>
        <w:adjustRightInd w:val="0"/>
        <w:snapToGrid w:val="0"/>
        <w:spacing w:line="360" w:lineRule="auto"/>
        <w:ind w:firstLine="420" w:firstLineChars="200"/>
        <w:rPr>
          <w:rFonts w:ascii="宋体" w:hAnsi="宋体" w:cs="Arial"/>
          <w:szCs w:val="21"/>
        </w:rPr>
      </w:pPr>
      <w:r>
        <w:rPr>
          <w:rFonts w:hint="eastAsia" w:ascii="宋体" w:hAnsi="宋体" w:cs="Arial"/>
          <w:szCs w:val="21"/>
        </w:rPr>
        <w:t>（2）基金投资于银行存款时的预留印鉴由基金托管人保管和使用。</w:t>
      </w:r>
    </w:p>
    <w:p w14:paraId="326D9491">
      <w:pPr>
        <w:adjustRightInd w:val="0"/>
        <w:snapToGrid w:val="0"/>
        <w:spacing w:line="360" w:lineRule="auto"/>
        <w:ind w:firstLine="420" w:firstLineChars="200"/>
        <w:rPr>
          <w:rFonts w:ascii="宋体" w:hAnsi="宋体" w:cs="Arial"/>
          <w:szCs w:val="21"/>
        </w:rPr>
      </w:pPr>
      <w:r>
        <w:rPr>
          <w:rFonts w:hint="eastAsia" w:ascii="宋体" w:hAnsi="宋体" w:cs="Arial"/>
          <w:szCs w:val="21"/>
        </w:rPr>
        <w:t>3.存款凭证传递、账目核对及到期兑付</w:t>
      </w:r>
    </w:p>
    <w:p w14:paraId="1C99BF9E">
      <w:pPr>
        <w:adjustRightInd w:val="0"/>
        <w:snapToGrid w:val="0"/>
        <w:spacing w:line="360" w:lineRule="auto"/>
        <w:ind w:firstLine="420" w:firstLineChars="200"/>
        <w:rPr>
          <w:rFonts w:ascii="宋体" w:hAnsi="宋体" w:cs="Arial"/>
          <w:szCs w:val="21"/>
        </w:rPr>
      </w:pPr>
      <w:r>
        <w:rPr>
          <w:rFonts w:hint="eastAsia" w:ascii="宋体" w:hAnsi="宋体" w:cs="Arial"/>
          <w:szCs w:val="21"/>
        </w:rPr>
        <w:t>（1）存款证实书等存款凭证传递</w:t>
      </w:r>
    </w:p>
    <w:p w14:paraId="43DCEF06">
      <w:pPr>
        <w:adjustRightInd w:val="0"/>
        <w:snapToGrid w:val="0"/>
        <w:spacing w:line="360" w:lineRule="auto"/>
        <w:ind w:firstLine="420" w:firstLineChars="200"/>
        <w:rPr>
          <w:rFonts w:ascii="宋体" w:hAnsi="宋体" w:cs="Arial"/>
          <w:szCs w:val="21"/>
        </w:rPr>
      </w:pPr>
      <w:r>
        <w:rPr>
          <w:rFonts w:hint="eastAsia" w:ascii="宋体" w:hAnsi="宋体" w:cs="Arial"/>
          <w:szCs w:val="21"/>
        </w:rPr>
        <w:t>存款资金只能存放于存款银行总行或者其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14:paraId="03CBF5DB">
      <w:pPr>
        <w:adjustRightInd w:val="0"/>
        <w:snapToGrid w:val="0"/>
        <w:spacing w:line="360" w:lineRule="auto"/>
        <w:ind w:firstLine="420" w:firstLineChars="200"/>
        <w:rPr>
          <w:rFonts w:ascii="宋体" w:hAnsi="宋体" w:cs="Arial"/>
          <w:szCs w:val="21"/>
        </w:rPr>
      </w:pPr>
      <w:r>
        <w:rPr>
          <w:rFonts w:hint="eastAsia" w:ascii="宋体" w:hAnsi="宋体" w:cs="Arial"/>
          <w:szCs w:val="21"/>
        </w:rPr>
        <w:t>（2）存款凭证的遗失补办</w:t>
      </w:r>
    </w:p>
    <w:p w14:paraId="5021B1FA">
      <w:pPr>
        <w:adjustRightInd w:val="0"/>
        <w:snapToGrid w:val="0"/>
        <w:spacing w:line="360" w:lineRule="auto"/>
        <w:ind w:firstLine="420" w:firstLineChars="200"/>
        <w:rPr>
          <w:rFonts w:ascii="宋体" w:hAnsi="宋体" w:cs="Arial"/>
          <w:szCs w:val="21"/>
        </w:rPr>
      </w:pPr>
      <w:r>
        <w:rPr>
          <w:rFonts w:hint="eastAsia" w:ascii="宋体" w:hAnsi="宋体" w:cs="Arial"/>
          <w:szCs w:val="21"/>
        </w:rPr>
        <w:t>存款凭证在邮寄过程中遗失的，由基金管理人向存款银行提出补办申请，基金管理人应督促存款银行尽快补办存款凭证，并按以上（1）的方式快递或上门交付至基金托管人，原存款凭证自动作废。</w:t>
      </w:r>
    </w:p>
    <w:p w14:paraId="7A7C2017">
      <w:pPr>
        <w:adjustRightInd w:val="0"/>
        <w:snapToGrid w:val="0"/>
        <w:spacing w:line="360" w:lineRule="auto"/>
        <w:ind w:firstLine="420" w:firstLineChars="200"/>
        <w:rPr>
          <w:rFonts w:ascii="宋体" w:hAnsi="宋体" w:cs="Arial"/>
          <w:szCs w:val="21"/>
        </w:rPr>
      </w:pPr>
      <w:r>
        <w:rPr>
          <w:rFonts w:hint="eastAsia" w:ascii="宋体" w:hAnsi="宋体" w:cs="Arial"/>
          <w:szCs w:val="21"/>
        </w:rPr>
        <w:t>（3）账目核对</w:t>
      </w:r>
    </w:p>
    <w:p w14:paraId="3D44A45B">
      <w:pPr>
        <w:adjustRightInd w:val="0"/>
        <w:snapToGrid w:val="0"/>
        <w:spacing w:line="360" w:lineRule="auto"/>
        <w:ind w:firstLine="420" w:firstLineChars="200"/>
        <w:rPr>
          <w:rFonts w:ascii="宋体" w:hAnsi="宋体" w:cs="Arial"/>
          <w:szCs w:val="21"/>
        </w:rPr>
      </w:pPr>
      <w:r>
        <w:rPr>
          <w:rFonts w:hint="eastAsia" w:ascii="宋体" w:hAnsi="宋体" w:cs="Arial"/>
          <w:szCs w:val="21"/>
        </w:rPr>
        <w:t>每个工作日，基金管理人应与基金托管人核对各项银行存款投资余额及应计利息。</w:t>
      </w:r>
    </w:p>
    <w:p w14:paraId="668BEB92">
      <w:pPr>
        <w:spacing w:line="480" w:lineRule="exact"/>
        <w:ind w:firstLine="420" w:firstLineChars="200"/>
        <w:rPr>
          <w:rFonts w:ascii="宋体" w:hAnsi="宋体" w:cs="Arial"/>
          <w:szCs w:val="21"/>
        </w:rPr>
      </w:pPr>
      <w:r>
        <w:rPr>
          <w:rFonts w:hint="eastAsia" w:ascii="宋体" w:hAnsi="宋体" w:cs="Arial"/>
          <w:szCs w:val="21"/>
        </w:rPr>
        <w:t>基金管理人应在《存款协议书》中规定，对于存期超过3个月的定期存款，基金托管人于每季度向存款银行发起查询查复，存款银行应按照人行查询查复的有关时限要求及时回复。基金管理人有责任督促存款银行及时回复查询查复。因存款银行未及时回复造成的资金被挪用、盗取的责任由存款银行承担。</w:t>
      </w:r>
    </w:p>
    <w:p w14:paraId="36405DC5">
      <w:pPr>
        <w:adjustRightInd w:val="0"/>
        <w:snapToGrid w:val="0"/>
        <w:spacing w:line="360" w:lineRule="auto"/>
        <w:ind w:firstLine="420" w:firstLineChars="200"/>
        <w:rPr>
          <w:rFonts w:ascii="宋体" w:hAnsi="宋体" w:cs="Arial"/>
          <w:szCs w:val="21"/>
        </w:rPr>
      </w:pPr>
      <w:r>
        <w:rPr>
          <w:rFonts w:hint="eastAsia" w:ascii="宋体" w:hAnsi="宋体" w:cs="Arial"/>
          <w:szCs w:val="21"/>
        </w:rPr>
        <w:t>存款银行应配合基金托管人对存款凭证的询证，并在询证函上加盖存款银行公章寄送至基金托管人指定联系人。</w:t>
      </w:r>
    </w:p>
    <w:p w14:paraId="4BF7D2D9">
      <w:pPr>
        <w:adjustRightInd w:val="0"/>
        <w:snapToGrid w:val="0"/>
        <w:spacing w:line="360" w:lineRule="auto"/>
        <w:ind w:firstLine="420" w:firstLineChars="200"/>
        <w:rPr>
          <w:rFonts w:ascii="宋体" w:hAnsi="宋体" w:cs="Arial"/>
          <w:szCs w:val="21"/>
        </w:rPr>
      </w:pPr>
      <w:r>
        <w:rPr>
          <w:rFonts w:hint="eastAsia" w:ascii="宋体" w:hAnsi="宋体" w:cs="Arial"/>
          <w:szCs w:val="21"/>
        </w:rPr>
        <w:t>（4）到期兑付</w:t>
      </w:r>
    </w:p>
    <w:p w14:paraId="70EE3A88">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提前通知基金托管人通过快递将存款凭证原件寄给存款银行分支机构指定的会计主管。存款银行未收到存款凭证原件的，应向基金托管人电话询问。存款到期前基金管理人与存款银行确认存款凭证收到并于到期日兑付存款本息事宜。</w:t>
      </w:r>
    </w:p>
    <w:p w14:paraId="336A097D">
      <w:pPr>
        <w:adjustRightInd w:val="0"/>
        <w:snapToGrid w:val="0"/>
        <w:spacing w:line="360" w:lineRule="auto"/>
        <w:ind w:firstLine="420" w:firstLineChars="200"/>
        <w:rPr>
          <w:rFonts w:ascii="宋体" w:hAnsi="宋体" w:cs="Arial"/>
          <w:szCs w:val="21"/>
        </w:rPr>
      </w:pPr>
      <w:r>
        <w:rPr>
          <w:rFonts w:hint="eastAsia" w:ascii="宋体" w:hAnsi="宋体" w:cs="Arial"/>
          <w:szCs w:val="21"/>
        </w:rPr>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14:paraId="75E6165A">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如果存款到期日为法定节假日，存款银行顺延至到期后第一个工作日支付，存款银行需按《存款协议书》约定利率和实际延期天数支付延期利息。</w:t>
      </w:r>
    </w:p>
    <w:p w14:paraId="6DB9EBB1">
      <w:pPr>
        <w:adjustRightInd w:val="0"/>
        <w:snapToGrid w:val="0"/>
        <w:spacing w:line="360" w:lineRule="auto"/>
        <w:ind w:firstLine="420" w:firstLineChars="200"/>
        <w:rPr>
          <w:rFonts w:ascii="宋体" w:hAnsi="宋体" w:cs="Arial"/>
          <w:szCs w:val="21"/>
        </w:rPr>
      </w:pPr>
      <w:r>
        <w:rPr>
          <w:rFonts w:hint="eastAsia" w:ascii="宋体" w:hAnsi="宋体" w:cs="Arial"/>
          <w:szCs w:val="21"/>
        </w:rPr>
        <w:t>4.提前支取</w:t>
      </w:r>
    </w:p>
    <w:p w14:paraId="261FE670">
      <w:pPr>
        <w:adjustRightInd w:val="0"/>
        <w:snapToGrid w:val="0"/>
        <w:spacing w:line="360" w:lineRule="auto"/>
        <w:ind w:firstLine="420" w:firstLineChars="200"/>
        <w:rPr>
          <w:rFonts w:ascii="宋体" w:hAnsi="宋体" w:cs="Arial"/>
          <w:szCs w:val="21"/>
        </w:rPr>
      </w:pPr>
      <w:r>
        <w:rPr>
          <w:rFonts w:hint="eastAsia" w:ascii="宋体" w:hAnsi="宋体" w:cs="Arial"/>
          <w:szCs w:val="21"/>
        </w:rPr>
        <w:t>如果在存款期限内，由于基金规模发生缩减的原因或者出于流动性管理的需要等原因，基金管理人可以提前支取全部或部分资金。</w:t>
      </w:r>
    </w:p>
    <w:p w14:paraId="07BCA29A">
      <w:pPr>
        <w:adjustRightInd w:val="0"/>
        <w:snapToGrid w:val="0"/>
        <w:spacing w:line="360" w:lineRule="auto"/>
        <w:ind w:firstLine="420" w:firstLineChars="200"/>
        <w:rPr>
          <w:rFonts w:ascii="宋体" w:hAnsi="宋体" w:cs="Arial"/>
          <w:szCs w:val="21"/>
        </w:rPr>
      </w:pPr>
      <w:r>
        <w:rPr>
          <w:rFonts w:hint="eastAsia" w:ascii="宋体" w:hAnsi="宋体" w:cs="Arial"/>
          <w:szCs w:val="21"/>
        </w:rPr>
        <w:t>提前支取的具体事项按照基金管理人与存款银行签订的《存款协议书》执行。</w:t>
      </w:r>
    </w:p>
    <w:p w14:paraId="23F023EF">
      <w:pPr>
        <w:adjustRightInd w:val="0"/>
        <w:snapToGrid w:val="0"/>
        <w:spacing w:line="360" w:lineRule="auto"/>
        <w:ind w:firstLine="420" w:firstLineChars="200"/>
        <w:rPr>
          <w:rFonts w:ascii="宋体" w:hAnsi="宋体" w:cs="Arial"/>
          <w:szCs w:val="21"/>
        </w:rPr>
      </w:pPr>
      <w:r>
        <w:rPr>
          <w:rFonts w:hint="eastAsia" w:ascii="宋体" w:hAnsi="宋体" w:cs="Arial"/>
          <w:szCs w:val="21"/>
        </w:rPr>
        <w:t>5.基金投资银行存款的监督</w:t>
      </w:r>
    </w:p>
    <w:p w14:paraId="712423DE">
      <w:pPr>
        <w:adjustRightInd w:val="0"/>
        <w:snapToGrid w:val="0"/>
        <w:spacing w:line="360" w:lineRule="auto"/>
        <w:ind w:firstLine="420" w:firstLineChars="200"/>
        <w:rPr>
          <w:rFonts w:ascii="宋体" w:hAnsi="宋体" w:cs="Arial"/>
          <w:szCs w:val="21"/>
        </w:rPr>
      </w:pPr>
      <w:r>
        <w:rPr>
          <w:rFonts w:hint="eastAsia" w:ascii="宋体" w:hAnsi="宋体" w:cs="Arial"/>
          <w:szCs w:val="21"/>
        </w:rPr>
        <w:t>基金托管人发现基金管理人在进行存款投资时有违反有关法律法规的规定及《基金合同》的约定的行为，应及时以书面形式通知基金管理人在</w:t>
      </w:r>
      <w:r>
        <w:rPr>
          <w:rFonts w:ascii="宋体" w:hAnsi="宋体" w:cs="Arial"/>
          <w:szCs w:val="21"/>
        </w:rPr>
        <w:t>10</w:t>
      </w:r>
      <w:r>
        <w:rPr>
          <w:rFonts w:hint="eastAsia" w:ascii="宋体" w:hAnsi="宋体" w:cs="Arial"/>
          <w:szCs w:val="21"/>
        </w:rPr>
        <w:t>个工作日内纠正。基金管理人对基金托管人通知的违规事项未能在</w:t>
      </w:r>
      <w:r>
        <w:rPr>
          <w:rFonts w:ascii="宋体" w:hAnsi="宋体" w:cs="Arial"/>
          <w:szCs w:val="21"/>
        </w:rPr>
        <w:t>10</w:t>
      </w:r>
      <w:r>
        <w:rPr>
          <w:rFonts w:hint="eastAsia" w:ascii="宋体" w:hAnsi="宋体" w:cs="Arial"/>
          <w:szCs w:val="21"/>
        </w:rPr>
        <w:t>个工作日内纠正的，基金托管人应报告中国证监会。基金托管人发现基金管理人有重大违规行为，应立即报告中国证监会，同时通知基金管理人在</w:t>
      </w:r>
      <w:r>
        <w:rPr>
          <w:rFonts w:ascii="宋体" w:hAnsi="宋体" w:cs="Arial"/>
          <w:szCs w:val="21"/>
        </w:rPr>
        <w:t>10</w:t>
      </w:r>
      <w:r>
        <w:rPr>
          <w:rFonts w:hint="eastAsia" w:ascii="宋体" w:hAnsi="宋体" w:cs="Arial"/>
          <w:szCs w:val="21"/>
        </w:rPr>
        <w:t>个工作日内纠正或拒绝结算，若因基金管理人拒不执行造成基金财产损失的，相关损失由基金管理人承担，基金托管人不承担相应责任。</w:t>
      </w:r>
    </w:p>
    <w:p w14:paraId="4EB91D0F">
      <w:pPr>
        <w:adjustRightInd w:val="0"/>
        <w:snapToGrid w:val="0"/>
        <w:spacing w:line="360" w:lineRule="auto"/>
        <w:ind w:firstLine="420" w:firstLineChars="200"/>
        <w:rPr>
          <w:rFonts w:ascii="宋体" w:hAnsi="宋体" w:cs="Arial"/>
          <w:szCs w:val="21"/>
        </w:rPr>
      </w:pPr>
      <w:r>
        <w:rPr>
          <w:rFonts w:hint="eastAsia" w:ascii="宋体" w:hAnsi="宋体" w:cs="Arial"/>
          <w:szCs w:val="21"/>
        </w:rPr>
        <w:t>（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如基金管理人在基金投资运作之前未向基金托管人提供银行间债券市场交易对手名单的，视为基金管理人认可全市场交易对手。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w:t>
      </w:r>
      <w:r>
        <w:rPr>
          <w:rFonts w:ascii="宋体" w:hAnsi="宋体" w:cs="Arial"/>
          <w:szCs w:val="21"/>
        </w:rPr>
        <w:t>3个交易日内与基金托管人协商解决。</w:t>
      </w:r>
    </w:p>
    <w:p w14:paraId="2248BDFF">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负责对交易对手的资信控制，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相应损失和责任。</w:t>
      </w:r>
    </w:p>
    <w:p w14:paraId="27691491">
      <w:pPr>
        <w:adjustRightInd w:val="0"/>
        <w:snapToGrid w:val="0"/>
        <w:spacing w:line="360" w:lineRule="auto"/>
        <w:ind w:firstLine="420" w:firstLineChars="200"/>
        <w:rPr>
          <w:rFonts w:ascii="宋体" w:hAnsi="宋体" w:cs="Arial"/>
          <w:szCs w:val="21"/>
        </w:rPr>
      </w:pPr>
      <w:r>
        <w:rPr>
          <w:rFonts w:hint="eastAsia" w:ascii="宋体" w:hAnsi="宋体" w:cs="Arial"/>
          <w:szCs w:val="21"/>
        </w:rPr>
        <w:t>（五）本基金投资流通受限证券，应遵守《</w:t>
      </w:r>
      <w:r>
        <w:rPr>
          <w:rFonts w:hint="eastAsia" w:ascii="宋体" w:hAnsi="宋体"/>
        </w:rPr>
        <w:t>关于基金投资非公开发行股票等流通受限证券有关问题的通知》</w:t>
      </w:r>
      <w:r>
        <w:rPr>
          <w:rFonts w:hint="eastAsia" w:ascii="宋体" w:hAnsi="宋体" w:cs="Arial"/>
          <w:szCs w:val="21"/>
        </w:rPr>
        <w:t>等有关监管规定。</w:t>
      </w:r>
    </w:p>
    <w:p w14:paraId="03067DCA">
      <w:pPr>
        <w:adjustRightInd w:val="0"/>
        <w:snapToGrid w:val="0"/>
        <w:spacing w:line="360" w:lineRule="auto"/>
        <w:ind w:firstLine="420" w:firstLineChars="200"/>
        <w:rPr>
          <w:rFonts w:ascii="宋体" w:hAnsi="宋体" w:cs="Arial"/>
          <w:szCs w:val="21"/>
        </w:rPr>
      </w:pPr>
      <w:r>
        <w:rPr>
          <w:rFonts w:hint="eastAsia" w:ascii="宋体" w:hAnsi="宋体" w:cs="Arial"/>
          <w:szCs w:val="21"/>
        </w:rPr>
        <w:t>1.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14:paraId="438D5C44">
      <w:pPr>
        <w:adjustRightInd w:val="0"/>
        <w:snapToGrid w:val="0"/>
        <w:spacing w:line="360" w:lineRule="auto"/>
        <w:ind w:firstLine="420" w:firstLineChars="200"/>
        <w:rPr>
          <w:rFonts w:ascii="宋体" w:hAnsi="宋体" w:cs="Arial"/>
          <w:szCs w:val="21"/>
        </w:rPr>
      </w:pPr>
      <w:r>
        <w:rPr>
          <w:rFonts w:hint="eastAsia" w:ascii="宋体" w:hAnsi="宋体" w:cs="Arial"/>
          <w:szCs w:val="21"/>
        </w:rPr>
        <w:t>本基金可以投资经中国证监会批准的非公开发行证券，且限于由中国证券登记结算有限责任公司、中央国债登记结算有限责任公司或银行间市场清算所股份有限公司负责登记和存管的，并可在证券交易所或全国银行间债券市场交易的证券。</w:t>
      </w:r>
    </w:p>
    <w:p w14:paraId="49650CA8">
      <w:pPr>
        <w:adjustRightInd w:val="0"/>
        <w:snapToGrid w:val="0"/>
        <w:spacing w:line="360" w:lineRule="auto"/>
        <w:ind w:firstLine="420" w:firstLineChars="200"/>
        <w:rPr>
          <w:rFonts w:ascii="宋体" w:hAnsi="宋体" w:cs="Arial"/>
          <w:szCs w:val="21"/>
        </w:rPr>
      </w:pPr>
      <w:r>
        <w:rPr>
          <w:rFonts w:hint="eastAsia" w:ascii="宋体" w:hAnsi="宋体" w:cs="Arial"/>
          <w:szCs w:val="21"/>
        </w:rPr>
        <w:t>本基金不得投资未经中国证监会批准的非公开发行证券。</w:t>
      </w:r>
    </w:p>
    <w:p w14:paraId="3DE4213F">
      <w:pPr>
        <w:adjustRightInd w:val="0"/>
        <w:snapToGrid w:val="0"/>
        <w:spacing w:line="360" w:lineRule="auto"/>
        <w:ind w:firstLine="420" w:firstLineChars="200"/>
        <w:rPr>
          <w:rFonts w:ascii="宋体" w:hAnsi="宋体" w:cs="Arial"/>
          <w:szCs w:val="21"/>
        </w:rPr>
      </w:pPr>
      <w:r>
        <w:rPr>
          <w:rFonts w:hint="eastAsia" w:ascii="宋体" w:hAnsi="宋体" w:cs="Arial"/>
          <w:szCs w:val="21"/>
        </w:rPr>
        <w:t>本基金不得投资有锁定期但锁定期不明确的证券。</w:t>
      </w:r>
    </w:p>
    <w:p w14:paraId="5F7782C7">
      <w:pPr>
        <w:adjustRightInd w:val="0"/>
        <w:snapToGrid w:val="0"/>
        <w:spacing w:line="360" w:lineRule="auto"/>
        <w:ind w:firstLine="420" w:firstLineChars="200"/>
        <w:rPr>
          <w:rFonts w:ascii="宋体" w:hAnsi="宋体" w:cs="Arial"/>
          <w:szCs w:val="21"/>
        </w:rPr>
      </w:pPr>
      <w:r>
        <w:rPr>
          <w:rFonts w:hint="eastAsia" w:ascii="宋体" w:hAnsi="宋体" w:cs="Arial"/>
          <w:szCs w:val="21"/>
        </w:rPr>
        <w:t>2.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14:paraId="2904A158">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14:paraId="482D829B">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对本基金投资流通受限证券的流动性风险负责，确保对相关风险采取积极有效的措施，在合理的时间内有效解决基金运作的流动性问题。如巨额赎回或因市场发生剧烈变动等原因而导致基金现金周转困难时，基金管理人应保证提供足额现金确保基金的支付结算，并承担所有损失。对本基金因投资流通受限证券导致的流动性风险，基金托管人不承担相应责任。</w:t>
      </w:r>
    </w:p>
    <w:p w14:paraId="3F6FF3F3">
      <w:pPr>
        <w:adjustRightInd w:val="0"/>
        <w:snapToGrid w:val="0"/>
        <w:spacing w:line="360" w:lineRule="auto"/>
        <w:ind w:firstLine="420" w:firstLineChars="200"/>
        <w:rPr>
          <w:rFonts w:ascii="宋体" w:hAnsi="宋体" w:cs="Arial"/>
          <w:szCs w:val="21"/>
        </w:rPr>
      </w:pPr>
      <w:r>
        <w:rPr>
          <w:rFonts w:hint="eastAsia" w:ascii="宋体" w:hAnsi="宋体" w:cs="Arial"/>
          <w:szCs w:val="21"/>
        </w:rPr>
        <w:t>3.基金投资流通受限证券前，基金管理人应向基金托管人提供符合法律法规要求的有关书面信息，包括但不限于拟发行证券主体的中国证监会批准文件、发行证券数量、发行价格、锁定期、基金拟认购的数量、价格、总成本、应划付的认购款、资金划付时间等。基金管理人应保证上述信息的真实、完整，并应至少于拟执行投资指令前两个工作日将上述信息书面发至基金托管人，保证基金托管人有足够的时间进行审核。</w:t>
      </w:r>
    </w:p>
    <w:p w14:paraId="78F3B6C7">
      <w:pPr>
        <w:adjustRightInd w:val="0"/>
        <w:snapToGrid w:val="0"/>
        <w:spacing w:line="360" w:lineRule="auto"/>
        <w:ind w:firstLine="420" w:firstLineChars="200"/>
        <w:rPr>
          <w:rFonts w:ascii="宋体" w:hAnsi="宋体" w:cs="Arial"/>
          <w:szCs w:val="21"/>
        </w:rPr>
      </w:pPr>
      <w:r>
        <w:rPr>
          <w:rFonts w:hint="eastAsia" w:ascii="宋体" w:hAnsi="宋体" w:cs="Arial"/>
          <w:szCs w:val="21"/>
        </w:rPr>
        <w:t>由于基金管理人未及时提供有关证券的具体的必要的信息，致使基金托管人无法审核认购指令而影响认购款项划拨的，基金托管人免于承担责任。</w:t>
      </w:r>
    </w:p>
    <w:p w14:paraId="0C38E3E7">
      <w:pPr>
        <w:adjustRightInd w:val="0"/>
        <w:snapToGrid w:val="0"/>
        <w:spacing w:line="360" w:lineRule="auto"/>
        <w:ind w:firstLine="420" w:firstLineChars="200"/>
        <w:rPr>
          <w:rFonts w:ascii="宋体" w:hAnsi="宋体" w:cs="Arial"/>
          <w:szCs w:val="21"/>
        </w:rPr>
      </w:pPr>
      <w:r>
        <w:rPr>
          <w:rFonts w:hint="eastAsia" w:ascii="宋体" w:hAnsi="宋体" w:cs="Arial"/>
          <w:szCs w:val="21"/>
        </w:rPr>
        <w:t>4.基金托管人依照法律法规、《基金合同》、《托管协议》审核基金管理人投资流通受限证券的行为。如发现基金管理人违反了《基金合同》、《托管协议》以及其他相关法律法规的有关规定，应及时通知基金管理人，并呈报中国证监会，同时采取合理措施保护基金投资人的利益。基金托管人有权对基金管理人的违法、违规以及违反《基金合同》、《托管协议》的投资指令不予执行，并立即通知基金管理人纠正，基金管理人不予纠正或已代表基金签署合同不得不执行时，基金托管人应向中国证监会报告。</w:t>
      </w:r>
    </w:p>
    <w:p w14:paraId="72073F9E">
      <w:pPr>
        <w:adjustRightInd w:val="0"/>
        <w:snapToGrid w:val="0"/>
        <w:spacing w:line="360" w:lineRule="auto"/>
        <w:ind w:firstLine="420" w:firstLineChars="200"/>
        <w:rPr>
          <w:rFonts w:ascii="宋体" w:hAnsi="宋体" w:cs="Arial"/>
          <w:szCs w:val="21"/>
        </w:rPr>
      </w:pPr>
      <w:r>
        <w:rPr>
          <w:rFonts w:hint="eastAsia" w:ascii="宋体" w:hAnsi="宋体" w:cs="Arial"/>
          <w:szCs w:val="21"/>
        </w:rPr>
        <w:t>5.</w:t>
      </w:r>
      <w:r>
        <w:rPr>
          <w:rFonts w:ascii="宋体" w:hAnsi="宋体" w:cs="Arial"/>
          <w:szCs w:val="21"/>
        </w:rPr>
        <w:t>基金管理</w:t>
      </w:r>
      <w:r>
        <w:rPr>
          <w:rFonts w:hint="eastAsia" w:ascii="宋体" w:hAnsi="宋体" w:cs="Arial"/>
          <w:szCs w:val="21"/>
        </w:rPr>
        <w:t>人</w:t>
      </w:r>
      <w:r>
        <w:rPr>
          <w:rFonts w:ascii="宋体" w:hAnsi="宋体" w:cs="Arial"/>
          <w:szCs w:val="21"/>
        </w:rPr>
        <w:t>应在基金投资非公开发行股票后两个交易日内</w:t>
      </w:r>
      <w:r>
        <w:rPr>
          <w:rFonts w:hint="eastAsia" w:ascii="宋体" w:hAnsi="宋体" w:cs="Arial"/>
          <w:szCs w:val="21"/>
        </w:rPr>
        <w:t>，</w:t>
      </w:r>
      <w:r>
        <w:rPr>
          <w:rFonts w:ascii="宋体" w:hAnsi="宋体" w:cs="Arial"/>
          <w:szCs w:val="21"/>
        </w:rPr>
        <w:t>在中国证监会</w:t>
      </w:r>
      <w:r>
        <w:rPr>
          <w:rFonts w:hint="eastAsia" w:ascii="宋体" w:hAnsi="宋体" w:cs="Arial"/>
          <w:szCs w:val="21"/>
        </w:rPr>
        <w:t>规定</w:t>
      </w:r>
      <w:r>
        <w:rPr>
          <w:rFonts w:ascii="宋体" w:hAnsi="宋体" w:cs="Arial"/>
          <w:szCs w:val="21"/>
        </w:rPr>
        <w:t>媒介披露所投资非公开发行股票的名称、数量、总成本、账面价值</w:t>
      </w:r>
      <w:r>
        <w:rPr>
          <w:rFonts w:hint="eastAsia" w:ascii="宋体" w:hAnsi="宋体" w:cs="Arial"/>
          <w:szCs w:val="21"/>
        </w:rPr>
        <w:t>，</w:t>
      </w:r>
      <w:r>
        <w:rPr>
          <w:rFonts w:ascii="宋体" w:hAnsi="宋体" w:cs="Arial"/>
          <w:szCs w:val="21"/>
        </w:rPr>
        <w:t>以及总成本和账面价值占基金资产净值的比例、锁定期等信息。</w:t>
      </w:r>
    </w:p>
    <w:p w14:paraId="74C89F0D">
      <w:pPr>
        <w:adjustRightInd w:val="0"/>
        <w:snapToGrid w:val="0"/>
        <w:spacing w:line="360" w:lineRule="auto"/>
        <w:ind w:firstLine="420" w:firstLineChars="200"/>
        <w:rPr>
          <w:rFonts w:ascii="宋体" w:hAnsi="宋体" w:cs="Arial"/>
          <w:szCs w:val="21"/>
        </w:rPr>
      </w:pPr>
      <w:r>
        <w:rPr>
          <w:rFonts w:hint="eastAsia" w:ascii="宋体" w:hAnsi="宋体" w:cs="Arial"/>
          <w:szCs w:val="21"/>
        </w:rPr>
        <w:t>（六）基金管理人应当对投资中期票据业务进行研究，认真评估中期票据投资业务的风险，本着审慎、勤勉尽责的原则进行中期票据的投资业务，并应符合法律法规及监管机构的相关规定。</w:t>
      </w:r>
    </w:p>
    <w:p w14:paraId="7AA3FE8E">
      <w:pPr>
        <w:adjustRightInd w:val="0"/>
        <w:snapToGrid w:val="0"/>
        <w:spacing w:line="360" w:lineRule="auto"/>
        <w:ind w:firstLine="420" w:firstLineChars="200"/>
        <w:rPr>
          <w:rFonts w:ascii="宋体" w:hAnsi="宋体" w:cs="Arial"/>
          <w:szCs w:val="21"/>
        </w:rPr>
      </w:pPr>
      <w:r>
        <w:rPr>
          <w:rFonts w:hint="eastAsia" w:ascii="宋体" w:hAnsi="宋体" w:cs="Arial"/>
          <w:szCs w:val="21"/>
        </w:rPr>
        <w:t>（七）基金托管人根据有关法律法规的规定及《基金合同》的约定，对基金资产净值计算、各类基金份额净值计算、基金费用开支及收入确定、基金收益分配、相关信息披露、基金宣传推介材料中登载基金业绩表现数据等进行监督和核查。</w:t>
      </w:r>
    </w:p>
    <w:p w14:paraId="438EB974">
      <w:pPr>
        <w:adjustRightInd w:val="0"/>
        <w:snapToGrid w:val="0"/>
        <w:spacing w:line="360" w:lineRule="auto"/>
        <w:ind w:firstLine="420" w:firstLineChars="200"/>
        <w:rPr>
          <w:rFonts w:ascii="宋体" w:hAnsi="宋体"/>
        </w:rPr>
      </w:pPr>
      <w:r>
        <w:rPr>
          <w:rFonts w:hint="eastAsia" w:ascii="宋体" w:hAnsi="宋体" w:cs="Arial"/>
          <w:szCs w:val="21"/>
        </w:rPr>
        <w:t>（八）</w:t>
      </w:r>
      <w:r>
        <w:rPr>
          <w:rFonts w:hint="eastAsia" w:ascii="宋体" w:hAnsi="宋体"/>
        </w:rPr>
        <w:t>基金托管人发现基金管理人的上述事项及投资指令或实际投资运作违反法律法规、《基金合同》和本托管协议的规定，应及时以电话、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合理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14:paraId="4FCF01AA">
      <w:pPr>
        <w:adjustRightInd w:val="0"/>
        <w:snapToGrid w:val="0"/>
        <w:spacing w:line="360" w:lineRule="auto"/>
        <w:ind w:firstLine="420" w:firstLineChars="200"/>
        <w:rPr>
          <w:rFonts w:ascii="宋体" w:hAnsi="宋体" w:cs="Arial"/>
          <w:szCs w:val="21"/>
        </w:rPr>
      </w:pPr>
      <w:r>
        <w:rPr>
          <w:rFonts w:hint="eastAsia" w:ascii="宋体" w:hAnsi="宋体" w:cs="Arial"/>
          <w:szCs w:val="21"/>
        </w:rPr>
        <w:t>（九）基金管理人有义务配合和协助基金托管人依照法律法规、《基金合同》和本托管协议对基金业务执行核查。包括但不限于：对基金托管人发出的提示，基金管理人应在规定时间内答复并改正，或就基金托管人的合理疑义进行解释或举证；对基金托管人按照法律法规、基金合同和本托管协议的要求需向中国证监会报送基金监督报告的事项，基金管理人应积极配合提供相关数据资料和制度等。</w:t>
      </w:r>
    </w:p>
    <w:p w14:paraId="0A6C5018">
      <w:pPr>
        <w:adjustRightInd w:val="0"/>
        <w:snapToGrid w:val="0"/>
        <w:spacing w:line="360" w:lineRule="auto"/>
        <w:ind w:firstLine="420" w:firstLineChars="200"/>
        <w:rPr>
          <w:rFonts w:ascii="宋体" w:hAnsi="宋体" w:cs="Arial"/>
          <w:szCs w:val="21"/>
        </w:rPr>
      </w:pPr>
      <w:r>
        <w:rPr>
          <w:rFonts w:hint="eastAsia" w:ascii="宋体" w:hAnsi="宋体" w:cs="Arial"/>
          <w:szCs w:val="21"/>
        </w:rPr>
        <w:t>（十）若基金托管人发现基金管理人依据交易程序已经生效的指令违反法律、行政法规和其他有关规定，或者违反基金合同约定的，应当立即通知基金管理人及时纠正，由此造成的损失由基金管理人承担，基金托管人在履行其通知义务后，予以免责。</w:t>
      </w:r>
    </w:p>
    <w:p w14:paraId="4DD3321C">
      <w:pPr>
        <w:spacing w:line="360" w:lineRule="auto"/>
        <w:ind w:firstLine="420" w:firstLineChars="200"/>
        <w:rPr>
          <w:rFonts w:ascii="宋体" w:hAnsi="宋体" w:cs="Arial"/>
          <w:szCs w:val="21"/>
        </w:rPr>
      </w:pPr>
      <w:r>
        <w:rPr>
          <w:rFonts w:hint="eastAsia" w:ascii="宋体" w:hAnsi="宋体" w:cs="Arial"/>
          <w:szCs w:val="21"/>
        </w:rPr>
        <w:t>（十一）基金托管人发现基金管理人有重大违规行为，应及时报告中国证监会，同时通知基金管理人限期纠正。</w:t>
      </w:r>
    </w:p>
    <w:bookmarkEnd w:id="16"/>
    <w:p w14:paraId="4ABF1E6A">
      <w:pPr>
        <w:adjustRightInd w:val="0"/>
        <w:snapToGrid w:val="0"/>
        <w:spacing w:line="360" w:lineRule="auto"/>
        <w:ind w:firstLine="420" w:firstLineChars="200"/>
        <w:rPr>
          <w:rFonts w:ascii="宋体" w:hAnsi="宋体"/>
        </w:rPr>
        <w:sectPr>
          <w:footerReference r:id="rId10" w:type="default"/>
          <w:pgSz w:w="11906" w:h="16838"/>
          <w:pgMar w:top="1418" w:right="1701" w:bottom="1418" w:left="1701" w:header="851" w:footer="992" w:gutter="0"/>
          <w:pgNumType w:start="1"/>
          <w:cols w:space="425" w:num="1"/>
          <w:docGrid w:type="lines" w:linePitch="312" w:charSpace="0"/>
        </w:sectPr>
      </w:pPr>
    </w:p>
    <w:p w14:paraId="285E2EA9">
      <w:pPr>
        <w:pStyle w:val="3"/>
        <w:spacing w:before="312" w:beforeLines="100" w:after="156" w:afterLines="50" w:line="360" w:lineRule="auto"/>
        <w:jc w:val="center"/>
        <w:rPr>
          <w:rFonts w:ascii="宋体" w:hAnsi="宋体" w:eastAsia="宋体"/>
          <w:sz w:val="21"/>
          <w:szCs w:val="21"/>
        </w:rPr>
      </w:pPr>
      <w:bookmarkStart w:id="20" w:name="_Toc110830492"/>
      <w:bookmarkStart w:id="21" w:name="_Toc348082032"/>
      <w:bookmarkStart w:id="22" w:name="_Toc86223242"/>
      <w:bookmarkStart w:id="23" w:name="_Toc118212950"/>
      <w:bookmarkStart w:id="24" w:name="_Toc86649722"/>
      <w:bookmarkStart w:id="25" w:name="_Toc108512358"/>
      <w:bookmarkStart w:id="26" w:name="_Toc110765660"/>
      <w:bookmarkStart w:id="27" w:name="_Toc86225291"/>
      <w:bookmarkStart w:id="28" w:name="_Toc86726439"/>
      <w:bookmarkStart w:id="29" w:name="_Toc119402710"/>
      <w:bookmarkStart w:id="30" w:name="_Toc89163368"/>
      <w:bookmarkStart w:id="31" w:name="_Toc110761796"/>
      <w:bookmarkStart w:id="32" w:name="_Toc384992694"/>
      <w:bookmarkStart w:id="33" w:name="_Toc118774803"/>
      <w:bookmarkStart w:id="34" w:name="_Toc501274916"/>
      <w:bookmarkStart w:id="35" w:name="_Toc86727355"/>
      <w:bookmarkStart w:id="36" w:name="_Toc118972648"/>
      <w:bookmarkStart w:id="37" w:name="_Toc120435783"/>
      <w:bookmarkStart w:id="38" w:name="_Toc86737929"/>
      <w:bookmarkStart w:id="39" w:name="CLAUSE_10e835cedca04ab1b812c90a81e97ce4"/>
      <w:r>
        <w:rPr>
          <w:rFonts w:hint="eastAsia" w:ascii="宋体" w:hAnsi="宋体" w:eastAsia="宋体"/>
          <w:sz w:val="21"/>
          <w:szCs w:val="21"/>
        </w:rPr>
        <w:t>四、基金管理人对基金托管人的业务核查</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6F399E4F">
      <w:pPr>
        <w:adjustRightInd w:val="0"/>
        <w:snapToGrid w:val="0"/>
        <w:spacing w:line="360" w:lineRule="auto"/>
        <w:ind w:firstLine="420" w:firstLineChars="200"/>
        <w:rPr>
          <w:rFonts w:ascii="宋体" w:hAnsi="宋体" w:cs="Arial"/>
          <w:szCs w:val="21"/>
        </w:rPr>
      </w:pPr>
      <w:r>
        <w:rPr>
          <w:rFonts w:hint="eastAsia" w:ascii="宋体" w:hAnsi="宋体" w:cs="Arial"/>
          <w:szCs w:val="21"/>
        </w:rPr>
        <w:t>（一）基金管理人对基金托管人履行托管职责情况进行核查，核查事项包括基金托管人安全保管基金财产、开设基金财产的资金账户、证券账户等投资所需账户、复核基金管理人计算的基金资产净值和各类基金份额净值、根据基金管理人指令办理清算交收、相关信息披露和监督基金投资运作等行为。</w:t>
      </w:r>
    </w:p>
    <w:p w14:paraId="3E187AB3">
      <w:pPr>
        <w:adjustRightInd w:val="0"/>
        <w:snapToGrid w:val="0"/>
        <w:spacing w:line="360" w:lineRule="auto"/>
        <w:ind w:firstLine="420" w:firstLineChars="200"/>
        <w:rPr>
          <w:rFonts w:ascii="宋体" w:hAnsi="宋体" w:cs="Arial"/>
          <w:szCs w:val="21"/>
        </w:rPr>
      </w:pPr>
      <w:r>
        <w:rPr>
          <w:rFonts w:hint="eastAsia" w:ascii="宋体" w:hAnsi="宋体" w:cs="Arial"/>
          <w:szCs w:val="21"/>
        </w:rPr>
        <w:t>（二）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14:paraId="297D2E16">
      <w:pPr>
        <w:adjustRightInd w:val="0"/>
        <w:snapToGrid w:val="0"/>
        <w:spacing w:line="360" w:lineRule="auto"/>
        <w:ind w:firstLine="420" w:firstLineChars="200"/>
        <w:rPr>
          <w:rFonts w:ascii="宋体" w:hAnsi="宋体" w:cs="Arial"/>
          <w:szCs w:val="21"/>
        </w:rPr>
      </w:pPr>
      <w:r>
        <w:rPr>
          <w:rFonts w:hint="eastAsia" w:ascii="宋体" w:hAnsi="宋体" w:cs="Arial"/>
          <w:szCs w:val="21"/>
        </w:rPr>
        <w:t>（三）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14:paraId="1F521C01">
      <w:pPr>
        <w:adjustRightInd w:val="0"/>
        <w:snapToGrid w:val="0"/>
        <w:spacing w:line="360" w:lineRule="auto"/>
        <w:ind w:firstLine="420" w:firstLineChars="200"/>
        <w:rPr>
          <w:rFonts w:ascii="宋体" w:hAnsi="宋体" w:cs="Arial"/>
          <w:szCs w:val="21"/>
        </w:rPr>
      </w:pPr>
      <w:r>
        <w:rPr>
          <w:rFonts w:hint="eastAsia" w:ascii="宋体" w:hAnsi="宋体" w:cs="Arial"/>
          <w:szCs w:val="21"/>
        </w:rPr>
        <w:t>（四）基金管理人发现基金托管人有重大违规行为，应及时报告中国证监会，同时通知基金托管人限期纠正，并将纠正结果报告中国证监会。</w:t>
      </w:r>
    </w:p>
    <w:p w14:paraId="16CE3F6C">
      <w:pPr>
        <w:spacing w:line="360" w:lineRule="auto"/>
        <w:rPr>
          <w:rFonts w:ascii="宋体" w:hAnsi="宋体"/>
          <w:szCs w:val="21"/>
        </w:rPr>
      </w:pPr>
    </w:p>
    <w:bookmarkEnd w:id="39"/>
    <w:p w14:paraId="27E5F267">
      <w:pPr>
        <w:adjustRightInd w:val="0"/>
        <w:snapToGrid w:val="0"/>
        <w:spacing w:line="360" w:lineRule="auto"/>
        <w:ind w:firstLine="420" w:firstLineChars="200"/>
        <w:rPr>
          <w:rFonts w:ascii="宋体" w:hAnsi="宋体"/>
        </w:rPr>
        <w:sectPr>
          <w:footerReference r:id="rId11" w:type="default"/>
          <w:pgSz w:w="11906" w:h="16838"/>
          <w:pgMar w:top="1418" w:right="1701" w:bottom="1418" w:left="1701" w:header="851" w:footer="992" w:gutter="0"/>
          <w:pgNumType w:start="1"/>
          <w:cols w:space="425" w:num="1"/>
          <w:docGrid w:type="lines" w:linePitch="312" w:charSpace="0"/>
        </w:sectPr>
      </w:pPr>
    </w:p>
    <w:p w14:paraId="2F0FD574">
      <w:pPr>
        <w:pStyle w:val="3"/>
        <w:spacing w:before="312" w:beforeLines="100" w:after="156" w:afterLines="50" w:line="360" w:lineRule="auto"/>
        <w:jc w:val="center"/>
        <w:rPr>
          <w:rFonts w:ascii="宋体" w:hAnsi="宋体" w:eastAsia="宋体"/>
          <w:sz w:val="21"/>
          <w:szCs w:val="21"/>
        </w:rPr>
      </w:pPr>
      <w:bookmarkStart w:id="40" w:name="_Toc501274917"/>
      <w:bookmarkStart w:id="41" w:name="_Toc118212951"/>
      <w:bookmarkStart w:id="42" w:name="_Toc86225292"/>
      <w:bookmarkStart w:id="43" w:name="_Toc108512359"/>
      <w:bookmarkStart w:id="44" w:name="_Toc110761797"/>
      <w:bookmarkStart w:id="45" w:name="_Toc118972649"/>
      <w:bookmarkStart w:id="46" w:name="_Toc89163369"/>
      <w:bookmarkStart w:id="47" w:name="_Toc86649723"/>
      <w:bookmarkStart w:id="48" w:name="_Toc120435784"/>
      <w:bookmarkStart w:id="49" w:name="_Toc110830493"/>
      <w:bookmarkStart w:id="50" w:name="_Toc84133786"/>
      <w:bookmarkStart w:id="51" w:name="_Toc384992695"/>
      <w:bookmarkStart w:id="52" w:name="_Toc110765661"/>
      <w:bookmarkStart w:id="53" w:name="_Toc86737930"/>
      <w:bookmarkStart w:id="54" w:name="_Toc84234435"/>
      <w:bookmarkStart w:id="55" w:name="_Toc119402711"/>
      <w:bookmarkStart w:id="56" w:name="_Toc348082033"/>
      <w:bookmarkStart w:id="57" w:name="_Toc86223243"/>
      <w:bookmarkStart w:id="58" w:name="_Toc86726440"/>
      <w:bookmarkStart w:id="59" w:name="_Toc86204789"/>
      <w:bookmarkStart w:id="60" w:name="_Toc86727356"/>
      <w:bookmarkStart w:id="61" w:name="_Toc84234388"/>
      <w:bookmarkStart w:id="62" w:name="_Toc118774804"/>
      <w:bookmarkStart w:id="63" w:name="CLAUSE_21cb0334852c43f4af700b1eceedf6cb"/>
      <w:r>
        <w:rPr>
          <w:rFonts w:hint="eastAsia" w:ascii="宋体" w:hAnsi="宋体" w:eastAsia="宋体"/>
          <w:sz w:val="21"/>
          <w:szCs w:val="21"/>
        </w:rPr>
        <w:t>五、基金财产的保管</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386C2FC5">
      <w:pPr>
        <w:adjustRightInd w:val="0"/>
        <w:snapToGrid w:val="0"/>
        <w:spacing w:line="360" w:lineRule="auto"/>
        <w:ind w:firstLine="420" w:firstLineChars="200"/>
        <w:rPr>
          <w:rFonts w:ascii="宋体" w:hAnsi="宋体" w:cs="Arial"/>
          <w:szCs w:val="21"/>
        </w:rPr>
      </w:pPr>
      <w:r>
        <w:rPr>
          <w:rFonts w:hint="eastAsia" w:ascii="宋体" w:hAnsi="宋体" w:cs="Arial"/>
          <w:szCs w:val="21"/>
        </w:rPr>
        <w:t>（一）基金财产保管的原则</w:t>
      </w:r>
    </w:p>
    <w:p w14:paraId="4924F709">
      <w:pPr>
        <w:adjustRightInd w:val="0"/>
        <w:snapToGrid w:val="0"/>
        <w:spacing w:line="360" w:lineRule="auto"/>
        <w:ind w:firstLine="420" w:firstLineChars="200"/>
        <w:rPr>
          <w:rFonts w:ascii="宋体" w:hAnsi="宋体" w:cs="Arial"/>
          <w:szCs w:val="21"/>
        </w:rPr>
      </w:pPr>
      <w:r>
        <w:rPr>
          <w:rFonts w:hint="eastAsia" w:ascii="宋体" w:hAnsi="宋体" w:cs="Arial"/>
          <w:szCs w:val="21"/>
        </w:rPr>
        <w:t>1.基金财产应独立于基金管理人、基金托管人的固有财产。</w:t>
      </w:r>
    </w:p>
    <w:p w14:paraId="33EFD0D6">
      <w:pPr>
        <w:adjustRightInd w:val="0"/>
        <w:snapToGrid w:val="0"/>
        <w:spacing w:line="360" w:lineRule="auto"/>
        <w:ind w:firstLine="420" w:firstLineChars="200"/>
        <w:rPr>
          <w:rFonts w:ascii="宋体" w:hAnsi="宋体" w:cs="Arial"/>
          <w:szCs w:val="21"/>
        </w:rPr>
      </w:pPr>
      <w:r>
        <w:rPr>
          <w:rFonts w:hint="eastAsia" w:ascii="宋体" w:hAnsi="宋体" w:cs="Arial"/>
          <w:szCs w:val="21"/>
        </w:rPr>
        <w:t>2.基金托管人应安全保管基金财产。</w:t>
      </w:r>
    </w:p>
    <w:p w14:paraId="4AC6AC33">
      <w:pPr>
        <w:adjustRightInd w:val="0"/>
        <w:snapToGrid w:val="0"/>
        <w:spacing w:line="360" w:lineRule="auto"/>
        <w:ind w:firstLine="420" w:firstLineChars="200"/>
        <w:rPr>
          <w:rFonts w:ascii="宋体" w:hAnsi="宋体" w:cs="Arial"/>
          <w:szCs w:val="21"/>
        </w:rPr>
      </w:pPr>
      <w:r>
        <w:rPr>
          <w:rFonts w:hint="eastAsia" w:ascii="宋体" w:hAnsi="宋体" w:cs="Arial"/>
          <w:szCs w:val="21"/>
        </w:rPr>
        <w:t>3.基金托管人按照规定开设资金账户、证券账户等投资所需的相关账户。</w:t>
      </w:r>
    </w:p>
    <w:p w14:paraId="1E453C50">
      <w:pPr>
        <w:adjustRightInd w:val="0"/>
        <w:snapToGrid w:val="0"/>
        <w:spacing w:line="360" w:lineRule="auto"/>
        <w:ind w:firstLine="420" w:firstLineChars="200"/>
        <w:rPr>
          <w:rFonts w:ascii="宋体" w:hAnsi="宋体" w:cs="Arial"/>
          <w:szCs w:val="21"/>
        </w:rPr>
      </w:pPr>
      <w:r>
        <w:rPr>
          <w:rFonts w:hint="eastAsia" w:ascii="宋体" w:hAnsi="宋体" w:cs="Arial"/>
          <w:szCs w:val="21"/>
        </w:rPr>
        <w:t>4.基金托管人对所托管的不同基金财产分别设置账户，分账管理，独立核算，确保基金财产的完整与独立。</w:t>
      </w:r>
    </w:p>
    <w:p w14:paraId="55DD8253">
      <w:pPr>
        <w:adjustRightInd w:val="0"/>
        <w:snapToGrid w:val="0"/>
        <w:spacing w:line="360" w:lineRule="auto"/>
        <w:ind w:firstLine="420" w:firstLineChars="200"/>
        <w:rPr>
          <w:rFonts w:ascii="宋体" w:hAnsi="宋体" w:cs="Arial"/>
          <w:szCs w:val="21"/>
        </w:rPr>
      </w:pPr>
      <w:r>
        <w:rPr>
          <w:rFonts w:hint="eastAsia" w:ascii="宋体" w:hAnsi="宋体" w:cs="Arial"/>
          <w:szCs w:val="21"/>
        </w:rPr>
        <w:t>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w:t>
      </w:r>
    </w:p>
    <w:p w14:paraId="3306F9E2">
      <w:pPr>
        <w:adjustRightInd w:val="0"/>
        <w:snapToGrid w:val="0"/>
        <w:spacing w:line="360" w:lineRule="auto"/>
        <w:ind w:firstLine="420" w:firstLineChars="200"/>
        <w:rPr>
          <w:rFonts w:ascii="宋体" w:hAnsi="宋体" w:cs="Arial"/>
          <w:szCs w:val="21"/>
        </w:rPr>
      </w:pPr>
      <w:r>
        <w:rPr>
          <w:rFonts w:hint="eastAsia" w:ascii="宋体" w:hAnsi="宋体" w:cs="Arial"/>
          <w:szCs w:val="21"/>
        </w:rPr>
        <w:t>6.对于因为基金投资产生的应收资产，应由基金管理人负责与有关当事人确定到账日期并通知基金托管人，到账日基金财产没有到达基金资金账户的，基金托管人应及时通知基金管理人采取措施进行催收，由此给基金财产造成损失的，基金管理人应负责向有关当事人追偿基金财产的损失，基金托管人应给予必要的协助。</w:t>
      </w:r>
    </w:p>
    <w:p w14:paraId="6B6BB47B">
      <w:pPr>
        <w:adjustRightInd w:val="0"/>
        <w:snapToGrid w:val="0"/>
        <w:spacing w:line="360" w:lineRule="auto"/>
        <w:ind w:firstLine="420" w:firstLineChars="200"/>
        <w:rPr>
          <w:rFonts w:ascii="宋体" w:hAnsi="宋体" w:cs="Arial"/>
          <w:szCs w:val="21"/>
        </w:rPr>
      </w:pPr>
      <w:r>
        <w:rPr>
          <w:rFonts w:hint="eastAsia" w:ascii="宋体" w:hAnsi="宋体" w:cs="Arial"/>
          <w:szCs w:val="21"/>
        </w:rPr>
        <w:t>7.基金</w:t>
      </w:r>
      <w:r>
        <w:rPr>
          <w:rFonts w:hint="eastAsia" w:ascii="宋体" w:hAnsi="宋体"/>
          <w:szCs w:val="21"/>
        </w:rPr>
        <w:t>托管人对因为</w:t>
      </w:r>
      <w:r>
        <w:rPr>
          <w:rFonts w:hint="eastAsia" w:ascii="宋体" w:hAnsi="宋体" w:cs="Arial"/>
          <w:szCs w:val="21"/>
        </w:rPr>
        <w:t>基金</w:t>
      </w:r>
      <w:r>
        <w:rPr>
          <w:rFonts w:hint="eastAsia" w:ascii="宋体" w:hAnsi="宋体"/>
          <w:szCs w:val="21"/>
        </w:rPr>
        <w:t>管理人投资产生的存放或存管在</w:t>
      </w:r>
      <w:r>
        <w:rPr>
          <w:rFonts w:hint="eastAsia" w:ascii="宋体" w:hAnsi="宋体" w:cs="Arial"/>
          <w:szCs w:val="21"/>
        </w:rPr>
        <w:t>基金</w:t>
      </w:r>
      <w:r>
        <w:rPr>
          <w:rFonts w:hint="eastAsia" w:ascii="宋体" w:hAnsi="宋体"/>
          <w:szCs w:val="21"/>
        </w:rPr>
        <w:t>托管人以外机构的基金资产，或交由期货公司或证券公司负责清算交收的基金资产（包括但不限于期货保证金账户内的资金、期货合约等）及其收益，由于该等机构或该机构会员单位等本协议当事人外第三方的欺诈、疏忽、过失或破产等原因给基金资产造成的损失等不承担相应责任。</w:t>
      </w:r>
    </w:p>
    <w:p w14:paraId="4610BFF4">
      <w:pPr>
        <w:adjustRightInd w:val="0"/>
        <w:snapToGrid w:val="0"/>
        <w:spacing w:line="360" w:lineRule="auto"/>
        <w:ind w:firstLine="420" w:firstLineChars="200"/>
        <w:rPr>
          <w:rFonts w:ascii="宋体" w:hAnsi="宋体" w:cs="Arial"/>
          <w:szCs w:val="21"/>
        </w:rPr>
      </w:pPr>
      <w:r>
        <w:rPr>
          <w:rFonts w:hint="eastAsia" w:ascii="宋体" w:hAnsi="宋体" w:cs="Arial"/>
          <w:szCs w:val="21"/>
        </w:rPr>
        <w:t>8.除依据法律法规和基金合同的规定外，基金托管人不得委托第三人托管基金财产。</w:t>
      </w:r>
    </w:p>
    <w:p w14:paraId="02EBA522">
      <w:pPr>
        <w:adjustRightInd w:val="0"/>
        <w:snapToGrid w:val="0"/>
        <w:spacing w:line="360" w:lineRule="auto"/>
        <w:ind w:firstLine="420" w:firstLineChars="200"/>
        <w:rPr>
          <w:rFonts w:ascii="宋体" w:hAnsi="宋体" w:cs="Arial"/>
          <w:szCs w:val="21"/>
        </w:rPr>
      </w:pPr>
      <w:r>
        <w:rPr>
          <w:rFonts w:hint="eastAsia" w:ascii="宋体" w:hAnsi="宋体" w:cs="Arial"/>
          <w:szCs w:val="21"/>
        </w:rPr>
        <w:t>（二）基金募集期间及募集资金的验资</w:t>
      </w:r>
    </w:p>
    <w:p w14:paraId="5C4F3F9F">
      <w:pPr>
        <w:adjustRightInd w:val="0"/>
        <w:snapToGrid w:val="0"/>
        <w:spacing w:line="360" w:lineRule="auto"/>
        <w:ind w:firstLine="420" w:firstLineChars="200"/>
        <w:rPr>
          <w:rFonts w:ascii="宋体" w:hAnsi="宋体" w:cs="Arial"/>
          <w:szCs w:val="21"/>
        </w:rPr>
      </w:pPr>
      <w:r>
        <w:rPr>
          <w:rFonts w:hint="eastAsia" w:ascii="宋体" w:hAnsi="宋体" w:cs="Arial"/>
          <w:szCs w:val="21"/>
        </w:rPr>
        <w:t>1.基金募集期间募集的资金应开立“基金募集专户”。该账户由基金管理人开立并管理。</w:t>
      </w:r>
    </w:p>
    <w:p w14:paraId="2125A580">
      <w:pPr>
        <w:adjustRightInd w:val="0"/>
        <w:snapToGrid w:val="0"/>
        <w:spacing w:line="360" w:lineRule="auto"/>
        <w:ind w:firstLine="420" w:firstLineChars="200"/>
        <w:rPr>
          <w:rFonts w:ascii="宋体" w:hAnsi="宋体" w:cs="Arial"/>
          <w:szCs w:val="21"/>
        </w:rPr>
      </w:pPr>
      <w:r>
        <w:rPr>
          <w:rFonts w:hint="eastAsia" w:ascii="宋体" w:hAnsi="宋体" w:cs="Arial"/>
          <w:szCs w:val="21"/>
        </w:rPr>
        <w:t>2.基金募集期满或基金停止募集时，募集的基金份额总额、基金募集金额、基金份额持有人人数符合《基金法》、《运作办法》等有关规定后，基金管理人应将属于基金财产的全部资金划入基金托管人为基金开立的基金资金账户，同时在规定时间内，基金管理人应聘请符合《中华人民共和国证券法》规定的会计师事务所进行验资，出具验资报告。出具的验资报告由参加验资的2名或2名以上中国注册会计师签字方为有效。</w:t>
      </w:r>
    </w:p>
    <w:p w14:paraId="55B91581">
      <w:pPr>
        <w:adjustRightInd w:val="0"/>
        <w:snapToGrid w:val="0"/>
        <w:spacing w:line="360" w:lineRule="auto"/>
        <w:ind w:firstLine="420" w:firstLineChars="200"/>
        <w:rPr>
          <w:rFonts w:ascii="宋体" w:hAnsi="宋体" w:cs="Arial"/>
          <w:szCs w:val="21"/>
        </w:rPr>
      </w:pPr>
      <w:r>
        <w:rPr>
          <w:rFonts w:hint="eastAsia" w:ascii="宋体" w:hAnsi="宋体" w:cs="Arial"/>
          <w:szCs w:val="21"/>
        </w:rPr>
        <w:t>3.若基金募集期限届满，未能达到基金合同生效的条件，由基金管理人按规定办理退款等事宜，基金托管人应当予以必要的协助和配合。</w:t>
      </w:r>
    </w:p>
    <w:p w14:paraId="0C7E187B">
      <w:pPr>
        <w:adjustRightInd w:val="0"/>
        <w:snapToGrid w:val="0"/>
        <w:spacing w:line="360" w:lineRule="auto"/>
        <w:ind w:firstLine="420" w:firstLineChars="200"/>
        <w:rPr>
          <w:rFonts w:ascii="宋体" w:hAnsi="宋体" w:cs="Arial"/>
          <w:szCs w:val="21"/>
        </w:rPr>
      </w:pPr>
      <w:r>
        <w:rPr>
          <w:rFonts w:hint="eastAsia" w:ascii="宋体" w:hAnsi="宋体" w:cs="Arial"/>
          <w:szCs w:val="21"/>
        </w:rPr>
        <w:t>（三）基金资金账户的开立和管理</w:t>
      </w:r>
    </w:p>
    <w:p w14:paraId="338C0E0E">
      <w:pPr>
        <w:adjustRightInd w:val="0"/>
        <w:snapToGrid w:val="0"/>
        <w:spacing w:line="360" w:lineRule="auto"/>
        <w:ind w:firstLine="420" w:firstLineChars="200"/>
        <w:rPr>
          <w:rFonts w:ascii="宋体" w:hAnsi="宋体" w:cs="Arial"/>
          <w:szCs w:val="21"/>
        </w:rPr>
      </w:pPr>
      <w:r>
        <w:rPr>
          <w:rFonts w:hint="eastAsia" w:ascii="宋体" w:hAnsi="宋体" w:cs="Arial"/>
          <w:szCs w:val="21"/>
        </w:rPr>
        <w:t>1.基金托管人以本基金的名义在其营业机构开立基金的资金账户（也可称为“托管账户”），保管基金的银行存款，并根据基金管理人的指令办理资金收付。托管账户名称应为“博时卓越优选混合型证券投资基金”，预留印鉴为基金托管人印章。</w:t>
      </w:r>
    </w:p>
    <w:p w14:paraId="356AB9B1">
      <w:pPr>
        <w:adjustRightInd w:val="0"/>
        <w:snapToGrid w:val="0"/>
        <w:spacing w:line="360" w:lineRule="auto"/>
        <w:ind w:firstLine="420" w:firstLineChars="200"/>
        <w:rPr>
          <w:rFonts w:ascii="宋体" w:hAnsi="宋体" w:cs="Arial"/>
          <w:szCs w:val="21"/>
        </w:rPr>
      </w:pPr>
      <w:r>
        <w:rPr>
          <w:rFonts w:hint="eastAsia" w:ascii="宋体" w:hAnsi="宋体" w:cs="Arial"/>
          <w:szCs w:val="21"/>
        </w:rPr>
        <w:t>2.基金资金账户的开立和使用，限于满足开展本基金业务的需要。基金托管人和基金管理人不得假借本基金的名义开立任何其他银行账户；亦不得使用基金的任何账户进行本基金业务以外的活动。</w:t>
      </w:r>
    </w:p>
    <w:p w14:paraId="39FB8229">
      <w:pPr>
        <w:adjustRightInd w:val="0"/>
        <w:snapToGrid w:val="0"/>
        <w:spacing w:line="360" w:lineRule="auto"/>
        <w:ind w:firstLine="420" w:firstLineChars="200"/>
        <w:rPr>
          <w:rFonts w:ascii="宋体" w:hAnsi="宋体" w:cs="Arial"/>
          <w:szCs w:val="21"/>
        </w:rPr>
      </w:pPr>
      <w:r>
        <w:rPr>
          <w:rFonts w:hint="eastAsia" w:ascii="宋体" w:hAnsi="宋体" w:cs="Arial"/>
          <w:szCs w:val="21"/>
        </w:rPr>
        <w:t>3.基金资金账户的开立和管理应符合法律法规及银行业监督管理机构的有关规定。</w:t>
      </w:r>
    </w:p>
    <w:p w14:paraId="5ED02ABD">
      <w:pPr>
        <w:adjustRightInd w:val="0"/>
        <w:snapToGrid w:val="0"/>
        <w:spacing w:line="360" w:lineRule="auto"/>
        <w:ind w:firstLine="420" w:firstLineChars="200"/>
        <w:rPr>
          <w:rFonts w:ascii="宋体" w:hAnsi="宋体" w:cs="Arial"/>
          <w:szCs w:val="21"/>
        </w:rPr>
      </w:pPr>
      <w:r>
        <w:rPr>
          <w:rFonts w:hint="eastAsia" w:ascii="宋体" w:hAnsi="宋体" w:cs="Arial"/>
          <w:szCs w:val="21"/>
        </w:rPr>
        <w:t>（四）基金证券账户和结算备付金账户的开立和管理</w:t>
      </w:r>
    </w:p>
    <w:p w14:paraId="54238784">
      <w:pPr>
        <w:adjustRightInd w:val="0"/>
        <w:snapToGrid w:val="0"/>
        <w:spacing w:line="360" w:lineRule="auto"/>
        <w:ind w:firstLine="420" w:firstLineChars="200"/>
        <w:rPr>
          <w:rFonts w:ascii="宋体" w:hAnsi="宋体" w:cs="Arial"/>
          <w:szCs w:val="21"/>
        </w:rPr>
      </w:pPr>
      <w:r>
        <w:rPr>
          <w:rFonts w:hint="eastAsia" w:ascii="宋体" w:hAnsi="宋体" w:cs="Arial"/>
          <w:szCs w:val="21"/>
        </w:rPr>
        <w:t>1.基金托管人在中国证券登记结算有限责任公司为基金开立基金托管人与基金联名的证券账户。</w:t>
      </w:r>
    </w:p>
    <w:p w14:paraId="1CBAC1D9">
      <w:pPr>
        <w:adjustRightInd w:val="0"/>
        <w:snapToGrid w:val="0"/>
        <w:spacing w:line="360" w:lineRule="auto"/>
        <w:ind w:firstLine="420" w:firstLineChars="200"/>
        <w:rPr>
          <w:rFonts w:ascii="宋体" w:hAnsi="宋体" w:cs="Arial"/>
          <w:szCs w:val="21"/>
        </w:rPr>
      </w:pPr>
      <w:r>
        <w:rPr>
          <w:rFonts w:hint="eastAsia" w:ascii="宋体" w:hAnsi="宋体" w:cs="Arial"/>
          <w:szCs w:val="21"/>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14:paraId="3D86C98E">
      <w:pPr>
        <w:adjustRightInd w:val="0"/>
        <w:snapToGrid w:val="0"/>
        <w:spacing w:line="360" w:lineRule="auto"/>
        <w:ind w:firstLine="420" w:firstLineChars="200"/>
        <w:rPr>
          <w:rFonts w:ascii="宋体" w:hAnsi="宋体" w:cs="Arial"/>
          <w:szCs w:val="21"/>
        </w:rPr>
      </w:pPr>
      <w:r>
        <w:rPr>
          <w:rFonts w:hint="eastAsia" w:ascii="宋体" w:hAnsi="宋体" w:cs="Arial"/>
          <w:szCs w:val="21"/>
        </w:rPr>
        <w:t>3.基金证券账户的开立和证券账户卡的保管由基金托管人负责，账户资产的管理和运用由基金管理人负责。</w:t>
      </w:r>
    </w:p>
    <w:p w14:paraId="6DF63554">
      <w:pPr>
        <w:adjustRightInd w:val="0"/>
        <w:snapToGrid w:val="0"/>
        <w:spacing w:line="360" w:lineRule="auto"/>
        <w:ind w:firstLine="420" w:firstLineChars="200"/>
        <w:rPr>
          <w:rFonts w:ascii="宋体" w:hAnsi="宋体" w:cs="Arial"/>
          <w:szCs w:val="21"/>
        </w:rPr>
      </w:pPr>
      <w:r>
        <w:rPr>
          <w:rFonts w:hint="eastAsia" w:ascii="宋体" w:hAnsi="宋体" w:cs="Arial"/>
          <w:szCs w:val="21"/>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14:paraId="59E18C67">
      <w:pPr>
        <w:adjustRightInd w:val="0"/>
        <w:snapToGrid w:val="0"/>
        <w:spacing w:line="360" w:lineRule="auto"/>
        <w:ind w:firstLine="420" w:firstLineChars="200"/>
        <w:rPr>
          <w:rFonts w:ascii="宋体" w:hAnsi="宋体" w:cs="Arial"/>
          <w:szCs w:val="21"/>
        </w:rPr>
      </w:pPr>
      <w:r>
        <w:rPr>
          <w:rFonts w:hint="eastAsia" w:ascii="宋体" w:hAnsi="宋体" w:cs="Arial"/>
          <w:szCs w:val="21"/>
        </w:rPr>
        <w:t>5.若中国证监会或其他监管机构在本托管协议订立日之后允许基金从事其他投资品种的投资业务，涉及相关账户的开立、使用的，按有关规定开立、使用并管理；若无相关规定，则基金托管人比照上述关于账户开立、使用的规定执行。</w:t>
      </w:r>
    </w:p>
    <w:p w14:paraId="4B8931BE">
      <w:pPr>
        <w:adjustRightInd w:val="0"/>
        <w:snapToGrid w:val="0"/>
        <w:spacing w:line="360" w:lineRule="auto"/>
        <w:ind w:firstLine="420" w:firstLineChars="200"/>
        <w:rPr>
          <w:rFonts w:ascii="宋体" w:hAnsi="宋体" w:cs="Arial"/>
          <w:szCs w:val="21"/>
        </w:rPr>
      </w:pPr>
      <w:r>
        <w:rPr>
          <w:rFonts w:hint="eastAsia" w:ascii="宋体" w:hAnsi="宋体" w:cs="Arial"/>
          <w:szCs w:val="21"/>
        </w:rPr>
        <w:t>（五）债券托管账户的开设和管理</w:t>
      </w:r>
    </w:p>
    <w:p w14:paraId="07DC7AAD">
      <w:pPr>
        <w:adjustRightInd w:val="0"/>
        <w:snapToGrid w:val="0"/>
        <w:spacing w:line="360" w:lineRule="auto"/>
        <w:ind w:firstLine="420" w:firstLineChars="200"/>
        <w:rPr>
          <w:rFonts w:ascii="宋体" w:hAnsi="宋体" w:cs="Arial"/>
          <w:szCs w:val="21"/>
        </w:rPr>
      </w:pPr>
      <w:r>
        <w:rPr>
          <w:rFonts w:hint="eastAsia" w:ascii="宋体" w:hAnsi="宋体" w:cs="Arial"/>
          <w:szCs w:val="21"/>
        </w:rPr>
        <w:t>基金合同生效后，基金托管人根据中国人民银行、中央国债登记结算有限责任公司和银行间市场清算所股份有限公司的有关规定，以基金的名义在中央国债登记结算有限责任公司、银行间市场登记结算机构开立债券托管账户，并代表基金进行银行间市场债券的结算。</w:t>
      </w:r>
    </w:p>
    <w:p w14:paraId="05B668DF">
      <w:pPr>
        <w:adjustRightInd w:val="0"/>
        <w:snapToGrid w:val="0"/>
        <w:spacing w:line="360" w:lineRule="auto"/>
        <w:ind w:firstLine="420" w:firstLineChars="200"/>
        <w:rPr>
          <w:rFonts w:ascii="宋体" w:hAnsi="宋体" w:cs="Arial"/>
          <w:szCs w:val="21"/>
        </w:rPr>
      </w:pPr>
      <w:r>
        <w:rPr>
          <w:rFonts w:hint="eastAsia" w:ascii="宋体" w:hAnsi="宋体" w:cs="Arial"/>
          <w:szCs w:val="21"/>
        </w:rPr>
        <w:t>（六）其他账户的开立和管理</w:t>
      </w:r>
    </w:p>
    <w:p w14:paraId="51C85E1A">
      <w:pPr>
        <w:adjustRightInd w:val="0"/>
        <w:snapToGrid w:val="0"/>
        <w:spacing w:line="360" w:lineRule="auto"/>
        <w:ind w:firstLine="420" w:firstLineChars="200"/>
        <w:rPr>
          <w:rFonts w:ascii="宋体" w:hAnsi="宋体" w:cs="Arial"/>
          <w:szCs w:val="21"/>
        </w:rPr>
      </w:pPr>
      <w:r>
        <w:rPr>
          <w:rFonts w:hint="eastAsia" w:ascii="宋体" w:hAnsi="宋体" w:cs="Arial"/>
          <w:szCs w:val="21"/>
        </w:rPr>
        <w:t>1.基金管理人根据投资需要按照规定开立期货保证金账户及期货交易编码等，</w:t>
      </w:r>
      <w:r>
        <w:rPr>
          <w:rFonts w:hint="eastAsia" w:ascii="宋体" w:hAnsi="宋体"/>
          <w:szCs w:val="21"/>
        </w:rPr>
        <w:t>基金托管人按照规定开立期货结算账户等投资所需账户。</w:t>
      </w:r>
      <w:r>
        <w:rPr>
          <w:rFonts w:hint="eastAsia" w:ascii="宋体" w:hAnsi="宋体" w:cs="Arial"/>
          <w:szCs w:val="21"/>
        </w:rPr>
        <w:t>完成上述账户开立后，基金管理人应以书面形式将期货公司提供的期货保证金账户的初始资金密码和市场监控中心的登录用户名及密码告知基金托管人。资金密码和市场监控中心登录密码重置由基金管理人进行，重置后务必及时通知基金托管人。</w:t>
      </w:r>
    </w:p>
    <w:p w14:paraId="786EF872">
      <w:pPr>
        <w:adjustRightInd w:val="0"/>
        <w:snapToGrid w:val="0"/>
        <w:spacing w:line="360" w:lineRule="auto"/>
        <w:ind w:firstLine="420" w:firstLineChars="200"/>
        <w:rPr>
          <w:rFonts w:ascii="宋体" w:hAnsi="宋体" w:cs="Arial"/>
          <w:szCs w:val="21"/>
        </w:rPr>
      </w:pPr>
      <w:r>
        <w:rPr>
          <w:rFonts w:hint="eastAsia" w:ascii="宋体" w:hAnsi="宋体" w:cs="Arial"/>
          <w:szCs w:val="21"/>
        </w:rPr>
        <w:t>基金托管人和基金管理人应当在开户过程中相互配合，并提供所需资料。基金管理人保证所提供的账户开户材料的真实性和有效性，且在相关资料变更后及时将变更的资料提供给基金托管人。</w:t>
      </w:r>
    </w:p>
    <w:p w14:paraId="3255533C">
      <w:pPr>
        <w:adjustRightInd w:val="0"/>
        <w:snapToGrid w:val="0"/>
        <w:spacing w:line="360" w:lineRule="auto"/>
        <w:ind w:firstLine="420" w:firstLineChars="200"/>
        <w:rPr>
          <w:rFonts w:ascii="宋体" w:hAnsi="宋体" w:cs="Arial"/>
          <w:szCs w:val="21"/>
        </w:rPr>
      </w:pPr>
      <w:r>
        <w:rPr>
          <w:rFonts w:hint="eastAsia" w:ascii="宋体" w:hAnsi="宋体" w:cs="Arial"/>
          <w:szCs w:val="21"/>
        </w:rPr>
        <w:t>2.因业务发展需要而开立的其他账户，可以根据法律法规和基金合同的规定，由基金管理人协助基金托管人按照有关法律法规和本协议的约定协商后开立。新账户按有关规定使用并管理。</w:t>
      </w:r>
    </w:p>
    <w:p w14:paraId="01DD4759">
      <w:pPr>
        <w:adjustRightInd w:val="0"/>
        <w:snapToGrid w:val="0"/>
        <w:spacing w:line="360" w:lineRule="auto"/>
        <w:ind w:firstLine="420" w:firstLineChars="200"/>
        <w:rPr>
          <w:rFonts w:ascii="宋体" w:hAnsi="宋体" w:cs="Arial"/>
          <w:szCs w:val="21"/>
        </w:rPr>
      </w:pPr>
      <w:r>
        <w:rPr>
          <w:rFonts w:hint="eastAsia" w:ascii="宋体" w:hAnsi="宋体" w:cs="Arial"/>
          <w:szCs w:val="21"/>
        </w:rPr>
        <w:t>3.法律法规等有关规定对相关账户的开立和管理另有规定的，从其规定办理。</w:t>
      </w:r>
    </w:p>
    <w:p w14:paraId="76146319">
      <w:pPr>
        <w:adjustRightInd w:val="0"/>
        <w:snapToGrid w:val="0"/>
        <w:spacing w:line="360" w:lineRule="auto"/>
        <w:ind w:firstLine="420" w:firstLineChars="200"/>
        <w:rPr>
          <w:rFonts w:ascii="宋体" w:hAnsi="宋体" w:cs="Arial"/>
          <w:szCs w:val="21"/>
        </w:rPr>
      </w:pPr>
      <w:r>
        <w:rPr>
          <w:rFonts w:hint="eastAsia" w:ascii="宋体" w:hAnsi="宋体" w:cs="Arial"/>
          <w:szCs w:val="21"/>
        </w:rPr>
        <w:t>（七）基金财产投资的有关有价凭证等的保管</w:t>
      </w:r>
    </w:p>
    <w:p w14:paraId="50A71BFF">
      <w:pPr>
        <w:adjustRightInd w:val="0"/>
        <w:snapToGrid w:val="0"/>
        <w:spacing w:line="360" w:lineRule="auto"/>
        <w:ind w:firstLine="420" w:firstLineChars="200"/>
        <w:rPr>
          <w:rFonts w:ascii="宋体" w:hAnsi="宋体" w:cs="Arial"/>
          <w:szCs w:val="21"/>
        </w:rPr>
      </w:pPr>
      <w:r>
        <w:rPr>
          <w:rFonts w:hint="eastAsia" w:ascii="宋体" w:hAnsi="宋体" w:cs="Arial"/>
          <w:szCs w:val="21"/>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14:paraId="34C3EA5F">
      <w:pPr>
        <w:adjustRightInd w:val="0"/>
        <w:snapToGrid w:val="0"/>
        <w:spacing w:line="360" w:lineRule="auto"/>
        <w:ind w:firstLine="420" w:firstLineChars="200"/>
        <w:rPr>
          <w:rFonts w:ascii="宋体" w:hAnsi="宋体" w:cs="Arial"/>
          <w:szCs w:val="21"/>
        </w:rPr>
      </w:pPr>
      <w:r>
        <w:rPr>
          <w:rFonts w:hint="eastAsia" w:ascii="宋体" w:hAnsi="宋体" w:cs="Arial"/>
          <w:szCs w:val="21"/>
        </w:rPr>
        <w:t>（八）与基金财产有关的重大合同的保管</w:t>
      </w:r>
    </w:p>
    <w:p w14:paraId="3A099758">
      <w:pPr>
        <w:adjustRightInd w:val="0"/>
        <w:snapToGrid w:val="0"/>
        <w:spacing w:line="360" w:lineRule="auto"/>
        <w:ind w:firstLine="420" w:firstLineChars="200"/>
        <w:rPr>
          <w:rFonts w:ascii="宋体" w:hAnsi="宋体" w:cs="Arial"/>
          <w:szCs w:val="21"/>
        </w:rPr>
      </w:pPr>
      <w:r>
        <w:rPr>
          <w:rFonts w:hint="eastAsia" w:ascii="宋体" w:hAnsi="宋体" w:cs="Arial"/>
          <w:szCs w:val="21"/>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w:t>
      </w:r>
      <w:r>
        <w:rPr>
          <w:rFonts w:hint="eastAsia" w:ascii="宋体" w:hAnsi="宋体"/>
          <w:szCs w:val="21"/>
        </w:rPr>
        <w:t>因基金管理人发送的合同传真件与事后送达的合同原件不一致所造成的后果，由基金管理人负责。</w:t>
      </w:r>
      <w:r>
        <w:rPr>
          <w:rFonts w:hint="eastAsia" w:ascii="宋体" w:hAnsi="宋体" w:cs="Arial"/>
          <w:szCs w:val="21"/>
        </w:rPr>
        <w:t>重大合同的保管期限不低于法律法规规定的最低期限。</w:t>
      </w:r>
    </w:p>
    <w:p w14:paraId="39379F66">
      <w:pPr>
        <w:adjustRightInd w:val="0"/>
        <w:snapToGrid w:val="0"/>
        <w:spacing w:line="360" w:lineRule="auto"/>
        <w:ind w:firstLine="420" w:firstLineChars="200"/>
        <w:rPr>
          <w:rFonts w:ascii="宋体" w:hAnsi="宋体"/>
          <w:szCs w:val="21"/>
        </w:rPr>
      </w:pPr>
      <w:r>
        <w:rPr>
          <w:rFonts w:hint="eastAsia" w:ascii="宋体" w:hAnsi="宋体"/>
          <w:szCs w:val="21"/>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14:paraId="11EB3205">
      <w:pPr>
        <w:spacing w:line="360" w:lineRule="auto"/>
        <w:ind w:firstLine="420"/>
        <w:rPr>
          <w:rFonts w:ascii="宋体" w:hAnsi="宋体"/>
          <w:szCs w:val="21"/>
        </w:rPr>
      </w:pPr>
    </w:p>
    <w:bookmarkEnd w:id="63"/>
    <w:p w14:paraId="404E77F2">
      <w:pPr>
        <w:adjustRightInd w:val="0"/>
        <w:snapToGrid w:val="0"/>
        <w:spacing w:line="360" w:lineRule="auto"/>
        <w:ind w:firstLine="420" w:firstLineChars="200"/>
        <w:rPr>
          <w:rFonts w:ascii="宋体" w:hAnsi="宋体"/>
        </w:rPr>
        <w:sectPr>
          <w:footerReference r:id="rId12" w:type="default"/>
          <w:pgSz w:w="11906" w:h="16838"/>
          <w:pgMar w:top="1418" w:right="1701" w:bottom="1418" w:left="1701" w:header="851" w:footer="992" w:gutter="0"/>
          <w:pgNumType w:start="1"/>
          <w:cols w:space="425" w:num="1"/>
          <w:docGrid w:type="lines" w:linePitch="312" w:charSpace="0"/>
        </w:sectPr>
      </w:pPr>
    </w:p>
    <w:p w14:paraId="15477728">
      <w:pPr>
        <w:pStyle w:val="3"/>
        <w:spacing w:before="312" w:beforeLines="100" w:after="156" w:afterLines="50" w:line="360" w:lineRule="auto"/>
        <w:jc w:val="center"/>
        <w:rPr>
          <w:rFonts w:ascii="宋体" w:hAnsi="宋体" w:eastAsia="宋体"/>
          <w:sz w:val="21"/>
          <w:szCs w:val="21"/>
        </w:rPr>
      </w:pPr>
      <w:bookmarkStart w:id="64" w:name="_Toc348082034"/>
      <w:bookmarkStart w:id="65" w:name="_Toc84133787"/>
      <w:bookmarkStart w:id="66" w:name="_Toc118972650"/>
      <w:bookmarkStart w:id="67" w:name="_Toc384992696"/>
      <w:bookmarkStart w:id="68" w:name="_Toc84234436"/>
      <w:bookmarkStart w:id="69" w:name="_Toc110765662"/>
      <w:bookmarkStart w:id="70" w:name="_Toc86225293"/>
      <w:bookmarkStart w:id="71" w:name="_Toc86223244"/>
      <w:bookmarkStart w:id="72" w:name="_Toc118774805"/>
      <w:bookmarkStart w:id="73" w:name="_Toc86726441"/>
      <w:bookmarkStart w:id="74" w:name="_Toc86737931"/>
      <w:bookmarkStart w:id="75" w:name="_Toc120435785"/>
      <w:bookmarkStart w:id="76" w:name="_Toc108512360"/>
      <w:bookmarkStart w:id="77" w:name="_Toc84234389"/>
      <w:bookmarkStart w:id="78" w:name="_Toc86727357"/>
      <w:bookmarkStart w:id="79" w:name="_Toc118212952"/>
      <w:bookmarkStart w:id="80" w:name="_Toc501274918"/>
      <w:bookmarkStart w:id="81" w:name="_Toc110761798"/>
      <w:bookmarkStart w:id="82" w:name="_Toc86649724"/>
      <w:bookmarkStart w:id="83" w:name="_Toc89163370"/>
      <w:bookmarkStart w:id="84" w:name="_Toc86204790"/>
      <w:bookmarkStart w:id="85" w:name="_Toc119402712"/>
      <w:bookmarkStart w:id="86" w:name="_Toc110830494"/>
      <w:bookmarkStart w:id="87" w:name="CLAUSE_aaefd3380745464d8590c17204017e26"/>
      <w:r>
        <w:rPr>
          <w:rFonts w:hint="eastAsia" w:ascii="宋体" w:hAnsi="宋体" w:eastAsia="宋体"/>
          <w:sz w:val="21"/>
          <w:szCs w:val="21"/>
        </w:rPr>
        <w:t>六、指令的发送、确认及执行</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4DF4216A">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基金管理人在运用基金财产时向基金托管人发送资金划拨及其他款项付款指令，基金托管人执行基金管理人的指令、办理基金名下的资金往来等有关事项。</w:t>
      </w:r>
    </w:p>
    <w:p w14:paraId="77A4A656">
      <w:pPr>
        <w:adjustRightInd w:val="0"/>
        <w:snapToGrid w:val="0"/>
        <w:spacing w:line="360" w:lineRule="auto"/>
        <w:ind w:firstLine="426"/>
        <w:rPr>
          <w:rFonts w:ascii="宋体" w:hAnsi="宋体"/>
          <w:szCs w:val="21"/>
        </w:rPr>
      </w:pPr>
      <w:r>
        <w:rPr>
          <w:rFonts w:hint="eastAsia" w:ascii="宋体" w:hAnsi="宋体"/>
          <w:szCs w:val="21"/>
        </w:rPr>
        <w:t>基金管理人发送的指令包括电子指令和纸质指令。</w:t>
      </w:r>
    </w:p>
    <w:p w14:paraId="7936C3AC">
      <w:pPr>
        <w:adjustRightInd w:val="0"/>
        <w:snapToGrid w:val="0"/>
        <w:spacing w:line="360" w:lineRule="auto"/>
        <w:ind w:firstLine="426"/>
        <w:rPr>
          <w:rFonts w:ascii="宋体" w:hAnsi="宋体"/>
          <w:szCs w:val="21"/>
        </w:rPr>
      </w:pPr>
      <w:r>
        <w:rPr>
          <w:rFonts w:hint="eastAsia" w:ascii="宋体" w:hAnsi="宋体"/>
          <w:szCs w:val="21"/>
        </w:rPr>
        <w:t>电子指令包括基金管理人发送的电子指令（采用电子报文传送的电子指令、招商银行托管+综合服务平台录入的电子指令）、自动产生的电子指令（网上托管银行托管人端根据基金管理人同意设定的业务规则自动产生的电子指令）。纸质指令包括基金管理人给基金托管人传真指令或原件指令。</w:t>
      </w:r>
    </w:p>
    <w:p w14:paraId="0B8FC3EA">
      <w:pPr>
        <w:adjustRightInd w:val="0"/>
        <w:snapToGrid w:val="0"/>
        <w:spacing w:line="360" w:lineRule="auto"/>
        <w:ind w:firstLine="420" w:firstLineChars="200"/>
        <w:rPr>
          <w:rFonts w:ascii="宋体" w:hAnsi="宋体" w:cs="Arial"/>
          <w:szCs w:val="21"/>
        </w:rPr>
      </w:pPr>
      <w:r>
        <w:rPr>
          <w:rFonts w:hint="eastAsia" w:ascii="宋体" w:hAnsi="宋体" w:cs="Arial"/>
          <w:szCs w:val="21"/>
        </w:rPr>
        <w:t>（一）基金管理人对发送指令人员的书面授权</w:t>
      </w:r>
    </w:p>
    <w:p w14:paraId="2D2D8676">
      <w:pPr>
        <w:autoSpaceDE w:val="0"/>
        <w:autoSpaceDN w:val="0"/>
        <w:adjustRightInd w:val="0"/>
        <w:snapToGrid w:val="0"/>
        <w:spacing w:line="360" w:lineRule="auto"/>
        <w:ind w:firstLine="420" w:firstLineChars="200"/>
        <w:rPr>
          <w:rFonts w:ascii="宋体" w:hAnsi="宋体" w:cs="Arial"/>
          <w:szCs w:val="21"/>
        </w:rPr>
      </w:pPr>
      <w:r>
        <w:rPr>
          <w:rFonts w:hint="eastAsia" w:ascii="宋体" w:hAnsi="宋体"/>
          <w:szCs w:val="21"/>
        </w:rPr>
        <w:t>基金管理人</w:t>
      </w:r>
      <w:r>
        <w:rPr>
          <w:rFonts w:hint="eastAsia" w:ascii="宋体" w:hAnsi="宋体" w:cs="Arial"/>
          <w:szCs w:val="21"/>
        </w:rPr>
        <w:t>应</w:t>
      </w:r>
      <w:r>
        <w:rPr>
          <w:rFonts w:hint="eastAsia" w:ascii="宋体" w:hAnsi="宋体"/>
          <w:szCs w:val="21"/>
        </w:rPr>
        <w:t>事先向基金托管人</w:t>
      </w:r>
      <w:r>
        <w:rPr>
          <w:rFonts w:hint="eastAsia" w:ascii="宋体" w:hAnsi="宋体" w:cs="Arial"/>
          <w:szCs w:val="21"/>
        </w:rPr>
        <w:t>提供书面授权</w:t>
      </w:r>
      <w:r>
        <w:rPr>
          <w:rFonts w:hint="eastAsia" w:ascii="宋体" w:hAnsi="宋体"/>
          <w:szCs w:val="21"/>
        </w:rPr>
        <w:t>通知书（以下称“授权通知书”），指定指令的被授权人员及被授权印鉴，授权通知书的</w:t>
      </w:r>
      <w:r>
        <w:rPr>
          <w:rFonts w:hint="eastAsia" w:ascii="宋体" w:hAnsi="宋体" w:cs="Arial"/>
          <w:szCs w:val="21"/>
        </w:rPr>
        <w:t>内容包括被授权人</w:t>
      </w:r>
      <w:r>
        <w:rPr>
          <w:rFonts w:hint="eastAsia" w:ascii="宋体" w:hAnsi="宋体"/>
          <w:szCs w:val="21"/>
        </w:rPr>
        <w:t>的</w:t>
      </w:r>
      <w:r>
        <w:rPr>
          <w:rFonts w:hint="eastAsia" w:ascii="宋体" w:hAnsi="宋体" w:cs="Arial"/>
          <w:szCs w:val="21"/>
        </w:rPr>
        <w:t>名单、</w:t>
      </w:r>
      <w:r>
        <w:rPr>
          <w:rFonts w:hint="eastAsia" w:ascii="宋体" w:hAnsi="宋体"/>
          <w:szCs w:val="21"/>
        </w:rPr>
        <w:t>签字/印章样本、权限和</w:t>
      </w:r>
      <w:r>
        <w:rPr>
          <w:rFonts w:hint="eastAsia" w:ascii="宋体" w:hAnsi="宋体" w:cs="Arial"/>
          <w:szCs w:val="21"/>
        </w:rPr>
        <w:t>预留印鉴</w:t>
      </w:r>
      <w:r>
        <w:rPr>
          <w:rFonts w:hint="eastAsia" w:ascii="宋体" w:hAnsi="宋体"/>
          <w:szCs w:val="21"/>
        </w:rPr>
        <w:t>，以及授权的传真号码、邮箱、电话号码等。</w:t>
      </w:r>
      <w:r>
        <w:rPr>
          <w:rFonts w:hint="eastAsia" w:ascii="宋体" w:hAnsi="宋体" w:cs="Arial"/>
          <w:szCs w:val="21"/>
        </w:rPr>
        <w:t>授权</w:t>
      </w:r>
      <w:r>
        <w:rPr>
          <w:rFonts w:hint="eastAsia" w:ascii="宋体" w:hAnsi="宋体"/>
          <w:szCs w:val="21"/>
        </w:rPr>
        <w:t>通知书</w:t>
      </w:r>
      <w:r>
        <w:rPr>
          <w:rFonts w:hint="eastAsia" w:ascii="宋体" w:hAnsi="宋体" w:cs="Arial"/>
          <w:szCs w:val="21"/>
        </w:rPr>
        <w:t>应</w:t>
      </w:r>
      <w:r>
        <w:rPr>
          <w:rFonts w:hint="eastAsia" w:ascii="宋体" w:hAnsi="宋体"/>
          <w:szCs w:val="21"/>
        </w:rPr>
        <w:t>加盖基金管理人公司公章</w:t>
      </w:r>
      <w:r>
        <w:rPr>
          <w:rFonts w:ascii="宋体" w:hAnsi="宋体"/>
          <w:szCs w:val="21"/>
        </w:rPr>
        <w:t>和法定代表人</w:t>
      </w:r>
      <w:r>
        <w:rPr>
          <w:rFonts w:hint="eastAsia" w:ascii="宋体" w:hAnsi="宋体"/>
          <w:szCs w:val="21"/>
        </w:rPr>
        <w:t>（或授权人）签字</w:t>
      </w:r>
      <w:r>
        <w:rPr>
          <w:rFonts w:ascii="宋体" w:hAnsi="宋体"/>
          <w:szCs w:val="21"/>
        </w:rPr>
        <w:t>/签章</w:t>
      </w:r>
      <w:r>
        <w:rPr>
          <w:rFonts w:hint="eastAsia" w:ascii="宋体" w:hAnsi="宋体"/>
          <w:szCs w:val="21"/>
        </w:rPr>
        <w:t>，</w:t>
      </w:r>
      <w:r>
        <w:rPr>
          <w:rFonts w:ascii="宋体" w:hAnsi="宋体"/>
          <w:szCs w:val="21"/>
        </w:rPr>
        <w:t>若由授权代表签署</w:t>
      </w:r>
      <w:r>
        <w:rPr>
          <w:rFonts w:hint="eastAsia" w:ascii="宋体" w:hAnsi="宋体"/>
          <w:szCs w:val="21"/>
        </w:rPr>
        <w:t>，</w:t>
      </w:r>
      <w:r>
        <w:rPr>
          <w:rFonts w:ascii="宋体" w:hAnsi="宋体"/>
          <w:szCs w:val="21"/>
        </w:rPr>
        <w:t>还用附上法定代表</w:t>
      </w:r>
      <w:r>
        <w:rPr>
          <w:rFonts w:hint="eastAsia" w:ascii="宋体" w:hAnsi="宋体"/>
          <w:szCs w:val="21"/>
        </w:rPr>
        <w:t>人</w:t>
      </w:r>
      <w:r>
        <w:rPr>
          <w:rFonts w:ascii="宋体" w:hAnsi="宋体"/>
          <w:szCs w:val="21"/>
        </w:rPr>
        <w:t>的授权书</w:t>
      </w:r>
      <w:r>
        <w:rPr>
          <w:rFonts w:hint="eastAsia" w:ascii="宋体" w:hAnsi="宋体"/>
          <w:szCs w:val="21"/>
        </w:rPr>
        <w:t>，并写明生效时间，未写明生效时间的以本协议签署日期或授权通知书的落款日期为生效时间。基金管理人应使用传真或其他与基金托管人协商一致的方式向基金托管人发出授权通知书，同时电话通知基金托管人。授权通知书经基金管理人与基金托管人以电话方式或其他基金管理人和基金托管人认可的方式确认后，于授权通知书载明的生效时间生效或授权通知书的落款时间生效。基金管理人在此后三个工作日内将授权通知书的正本送交基金托管人。授权通知书正本内容与基金托管人收到的传真不一致的，以基金托管人收到的传真为准。</w:t>
      </w:r>
    </w:p>
    <w:p w14:paraId="524E8449">
      <w:pPr>
        <w:tabs>
          <w:tab w:val="left" w:pos="1260"/>
        </w:tabs>
        <w:adjustRightInd w:val="0"/>
        <w:snapToGrid w:val="0"/>
        <w:spacing w:line="360" w:lineRule="auto"/>
        <w:ind w:firstLine="420" w:firstLineChars="200"/>
        <w:rPr>
          <w:rFonts w:ascii="宋体" w:hAnsi="宋体" w:cs="Arial"/>
          <w:szCs w:val="21"/>
        </w:rPr>
      </w:pPr>
      <w:r>
        <w:rPr>
          <w:rFonts w:hint="eastAsia" w:ascii="宋体" w:hAnsi="宋体"/>
          <w:szCs w:val="21"/>
        </w:rPr>
        <w:t>基金管理人</w:t>
      </w:r>
      <w:r>
        <w:rPr>
          <w:rFonts w:hint="eastAsia" w:ascii="宋体" w:hAnsi="宋体" w:cs="Arial"/>
          <w:szCs w:val="21"/>
        </w:rPr>
        <w:t>和</w:t>
      </w:r>
      <w:r>
        <w:rPr>
          <w:rFonts w:hint="eastAsia" w:ascii="宋体" w:hAnsi="宋体"/>
          <w:szCs w:val="21"/>
        </w:rPr>
        <w:t>基金托管人</w:t>
      </w:r>
      <w:r>
        <w:rPr>
          <w:rFonts w:hint="eastAsia" w:ascii="宋体" w:hAnsi="宋体" w:cs="Arial"/>
          <w:szCs w:val="21"/>
        </w:rPr>
        <w:t>对授权</w:t>
      </w:r>
      <w:r>
        <w:rPr>
          <w:rFonts w:hint="eastAsia" w:ascii="宋体" w:hAnsi="宋体"/>
          <w:szCs w:val="21"/>
        </w:rPr>
        <w:t>通知书</w:t>
      </w:r>
      <w:r>
        <w:rPr>
          <w:rFonts w:hint="eastAsia" w:ascii="宋体" w:hAnsi="宋体" w:cs="Arial"/>
          <w:szCs w:val="21"/>
        </w:rPr>
        <w:t>负有保密义务，其内容不得向</w:t>
      </w:r>
      <w:r>
        <w:rPr>
          <w:rFonts w:hint="eastAsia" w:ascii="宋体" w:hAnsi="宋体"/>
          <w:szCs w:val="21"/>
        </w:rPr>
        <w:t>授权人、</w:t>
      </w:r>
      <w:r>
        <w:rPr>
          <w:rFonts w:hint="eastAsia" w:ascii="宋体" w:hAnsi="宋体" w:cs="Arial"/>
          <w:szCs w:val="21"/>
        </w:rPr>
        <w:t>被授权人及相关操作人员以外的任何人</w:t>
      </w:r>
      <w:r>
        <w:rPr>
          <w:rFonts w:hint="eastAsia" w:ascii="宋体" w:hAnsi="宋体"/>
          <w:szCs w:val="21"/>
        </w:rPr>
        <w:t>泄露</w:t>
      </w:r>
      <w:r>
        <w:rPr>
          <w:rFonts w:hint="eastAsia" w:ascii="宋体" w:hAnsi="宋体" w:cs="Arial"/>
          <w:szCs w:val="21"/>
        </w:rPr>
        <w:t>，但法律法规规定或有权机关另有要求的除外。</w:t>
      </w:r>
    </w:p>
    <w:p w14:paraId="5B0AFF29">
      <w:pPr>
        <w:adjustRightInd w:val="0"/>
        <w:snapToGrid w:val="0"/>
        <w:spacing w:line="360" w:lineRule="auto"/>
        <w:ind w:firstLine="420" w:firstLineChars="200"/>
        <w:rPr>
          <w:rFonts w:ascii="宋体" w:hAnsi="宋体" w:cs="Arial"/>
          <w:szCs w:val="21"/>
        </w:rPr>
      </w:pPr>
      <w:r>
        <w:rPr>
          <w:rFonts w:hint="eastAsia" w:ascii="宋体" w:hAnsi="宋体" w:cs="Arial"/>
          <w:szCs w:val="21"/>
        </w:rPr>
        <w:t>（二）指令的内容</w:t>
      </w:r>
    </w:p>
    <w:p w14:paraId="1E5F045B">
      <w:pPr>
        <w:adjustRightInd w:val="0"/>
        <w:snapToGrid w:val="0"/>
        <w:spacing w:line="360" w:lineRule="auto"/>
        <w:ind w:firstLine="420" w:firstLineChars="200"/>
        <w:rPr>
          <w:rFonts w:ascii="宋体" w:hAnsi="宋体" w:cs="Arial"/>
          <w:szCs w:val="21"/>
        </w:rPr>
      </w:pPr>
      <w:r>
        <w:rPr>
          <w:rFonts w:hint="eastAsia" w:ascii="宋体" w:hAnsi="宋体" w:cs="Arial"/>
          <w:szCs w:val="21"/>
        </w:rPr>
        <w:t>投资</w:t>
      </w:r>
      <w:r>
        <w:rPr>
          <w:rFonts w:hint="eastAsia" w:ascii="宋体" w:hAnsi="宋体"/>
          <w:szCs w:val="21"/>
        </w:rPr>
        <w:t>指令是在管理本基金时，基金管理人向基金托管人发出的交易成交单、交易指令及</w:t>
      </w:r>
      <w:r>
        <w:rPr>
          <w:rFonts w:hint="eastAsia" w:ascii="宋体" w:hAnsi="宋体" w:cs="Arial"/>
          <w:szCs w:val="21"/>
        </w:rPr>
        <w:t>资金划拨</w:t>
      </w:r>
      <w:r>
        <w:rPr>
          <w:rFonts w:hint="eastAsia" w:ascii="宋体" w:hAnsi="宋体"/>
          <w:szCs w:val="21"/>
        </w:rPr>
        <w:t>类指令（以下简称“指令”）。</w:t>
      </w:r>
      <w:r>
        <w:rPr>
          <w:rFonts w:hint="eastAsia" w:ascii="宋体" w:hAnsi="宋体" w:cs="Arial"/>
          <w:szCs w:val="21"/>
        </w:rPr>
        <w:t>指令</w:t>
      </w:r>
      <w:r>
        <w:rPr>
          <w:rFonts w:hint="eastAsia" w:ascii="宋体" w:hAnsi="宋体"/>
          <w:szCs w:val="21"/>
        </w:rPr>
        <w:t>应</w:t>
      </w:r>
      <w:r>
        <w:rPr>
          <w:rFonts w:hint="eastAsia" w:ascii="宋体" w:hAnsi="宋体" w:cs="Arial"/>
          <w:szCs w:val="21"/>
        </w:rPr>
        <w:t>加盖预留印鉴并由被授权人印章/签字。</w:t>
      </w:r>
      <w:r>
        <w:rPr>
          <w:rFonts w:hint="eastAsia" w:ascii="宋体" w:hAnsi="宋体"/>
          <w:szCs w:val="21"/>
        </w:rPr>
        <w:t>基金管理人发给基金托管人的资金划拨类指令应写明款项事由、时间、金额、出款和收款账户信息等。</w:t>
      </w:r>
    </w:p>
    <w:p w14:paraId="32A9FA21">
      <w:pPr>
        <w:adjustRightInd w:val="0"/>
        <w:snapToGrid w:val="0"/>
        <w:spacing w:line="360" w:lineRule="auto"/>
        <w:ind w:firstLine="420" w:firstLineChars="200"/>
        <w:rPr>
          <w:rFonts w:ascii="宋体" w:hAnsi="宋体" w:cs="Arial"/>
          <w:szCs w:val="21"/>
        </w:rPr>
      </w:pPr>
      <w:r>
        <w:rPr>
          <w:rFonts w:hint="eastAsia" w:ascii="宋体" w:hAnsi="宋体" w:cs="Arial"/>
          <w:szCs w:val="21"/>
        </w:rPr>
        <w:t>（三）指令的发送、确认及执行的时间和程序</w:t>
      </w:r>
    </w:p>
    <w:p w14:paraId="286FC0A3">
      <w:pPr>
        <w:adjustRightInd w:val="0"/>
        <w:snapToGrid w:val="0"/>
        <w:spacing w:line="360" w:lineRule="auto"/>
        <w:ind w:firstLine="420" w:firstLineChars="200"/>
        <w:rPr>
          <w:rFonts w:ascii="宋体" w:hAnsi="宋体" w:cs="Arial"/>
          <w:szCs w:val="21"/>
        </w:rPr>
      </w:pPr>
      <w:r>
        <w:rPr>
          <w:rFonts w:hint="eastAsia" w:ascii="宋体" w:hAnsi="宋体" w:cs="Arial"/>
          <w:szCs w:val="21"/>
        </w:rPr>
        <w:t>1.指令发送的方式</w:t>
      </w:r>
    </w:p>
    <w:p w14:paraId="61DF5231">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基金管理人选择以下第（1）-</w:t>
      </w:r>
      <w:r>
        <w:rPr>
          <w:rFonts w:ascii="宋体" w:hAnsi="宋体" w:cs="Arial"/>
          <w:szCs w:val="21"/>
        </w:rPr>
        <w:t>（</w:t>
      </w:r>
      <w:r>
        <w:rPr>
          <w:rFonts w:hint="eastAsia" w:ascii="宋体" w:hAnsi="宋体" w:cs="Arial"/>
          <w:szCs w:val="21"/>
        </w:rPr>
        <w:t>3）种方式向</w:t>
      </w:r>
      <w:r>
        <w:rPr>
          <w:rFonts w:hint="eastAsia" w:ascii="宋体" w:hAnsi="宋体"/>
          <w:szCs w:val="21"/>
        </w:rPr>
        <w:t>基金</w:t>
      </w:r>
      <w:r>
        <w:rPr>
          <w:rFonts w:hint="eastAsia" w:ascii="宋体" w:hAnsi="宋体" w:cs="Arial"/>
          <w:szCs w:val="21"/>
        </w:rPr>
        <w:t>托管人发送指令：</w:t>
      </w:r>
    </w:p>
    <w:p w14:paraId="0CA31A17">
      <w:pPr>
        <w:adjustRightInd w:val="0"/>
        <w:snapToGrid w:val="0"/>
        <w:spacing w:line="360" w:lineRule="auto"/>
        <w:ind w:firstLine="420" w:firstLineChars="200"/>
        <w:rPr>
          <w:rFonts w:ascii="宋体" w:hAnsi="宋体" w:cs="Arial"/>
          <w:szCs w:val="21"/>
        </w:rPr>
      </w:pPr>
      <w:r>
        <w:rPr>
          <w:rFonts w:hint="eastAsia" w:ascii="宋体" w:hAnsi="宋体" w:cs="Arial"/>
          <w:szCs w:val="21"/>
        </w:rPr>
        <w:t>（1）基金管理人通过招商银行托管+综合服务平台录入方式，向基金托管人发送电子划款指令或投资指令。</w:t>
      </w:r>
    </w:p>
    <w:p w14:paraId="571A0CAF">
      <w:pPr>
        <w:adjustRightInd w:val="0"/>
        <w:snapToGrid w:val="0"/>
        <w:spacing w:line="360" w:lineRule="auto"/>
        <w:ind w:firstLine="420" w:firstLineChars="200"/>
        <w:rPr>
          <w:rFonts w:ascii="宋体" w:hAnsi="宋体" w:cs="Arial"/>
          <w:szCs w:val="21"/>
        </w:rPr>
      </w:pPr>
      <w:r>
        <w:rPr>
          <w:rFonts w:hint="eastAsia" w:ascii="宋体" w:hAnsi="宋体" w:cs="Arial"/>
          <w:szCs w:val="21"/>
        </w:rPr>
        <w:t>招商银行托管+综合服务平台是指基金托管人基于Internet网络，向基金管理人提供的客户服务软件，实现基金管理人与</w:t>
      </w:r>
      <w:r>
        <w:rPr>
          <w:rFonts w:hint="eastAsia" w:ascii="宋体" w:hAnsi="宋体"/>
          <w:szCs w:val="21"/>
        </w:rPr>
        <w:t>基金</w:t>
      </w:r>
      <w:r>
        <w:rPr>
          <w:rFonts w:hint="eastAsia" w:ascii="宋体" w:hAnsi="宋体" w:cs="Arial"/>
          <w:szCs w:val="21"/>
        </w:rPr>
        <w:t>托管人之间指令处理、数据传输、业务查询、资料传递和信息服务等直通式处理。</w:t>
      </w:r>
    </w:p>
    <w:p w14:paraId="2C144779">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基金管理人和基金托管人另行签订《招商银行“托管+”综合服务平台服务协议》，具体事宜以《招商银行“托管+”综合服务平台服务协议》的约定为准。</w:t>
      </w:r>
    </w:p>
    <w:p w14:paraId="439381B4">
      <w:pPr>
        <w:adjustRightInd w:val="0"/>
        <w:snapToGrid w:val="0"/>
        <w:spacing w:line="360" w:lineRule="auto"/>
        <w:ind w:firstLine="420" w:firstLineChars="200"/>
        <w:rPr>
          <w:rFonts w:ascii="宋体" w:hAnsi="宋体" w:cs="Arial"/>
          <w:szCs w:val="21"/>
        </w:rPr>
      </w:pPr>
      <w:r>
        <w:rPr>
          <w:rFonts w:hint="eastAsia" w:ascii="宋体" w:hAnsi="宋体" w:cs="Arial"/>
          <w:szCs w:val="21"/>
        </w:rPr>
        <w:t>（2）基金管理人通过深证通电子直连对接方式，向基金托管人发送电子划款指令或投资指令。</w:t>
      </w:r>
    </w:p>
    <w:p w14:paraId="12AEAC3C">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基金管理人通过深证通电子直连对接方式发送电子指令的，基金管理人应至少在基金成立日前一日，通过预留邮箱或加盖预留印鉴的函件告知</w:t>
      </w:r>
      <w:r>
        <w:rPr>
          <w:rFonts w:hint="eastAsia" w:ascii="宋体" w:hAnsi="宋体"/>
          <w:szCs w:val="21"/>
        </w:rPr>
        <w:t>基金</w:t>
      </w:r>
      <w:r>
        <w:rPr>
          <w:rFonts w:hint="eastAsia" w:ascii="宋体" w:hAnsi="宋体" w:cs="Arial"/>
          <w:szCs w:val="21"/>
        </w:rPr>
        <w:t>托管人本基金的资产代码。</w:t>
      </w:r>
    </w:p>
    <w:p w14:paraId="25EA0193">
      <w:pPr>
        <w:adjustRightInd w:val="0"/>
        <w:snapToGrid w:val="0"/>
        <w:spacing w:line="360" w:lineRule="auto"/>
        <w:ind w:firstLine="420" w:firstLineChars="200"/>
        <w:rPr>
          <w:rFonts w:ascii="宋体" w:hAnsi="宋体" w:cs="Arial"/>
          <w:szCs w:val="21"/>
        </w:rPr>
      </w:pPr>
      <w:r>
        <w:rPr>
          <w:rFonts w:hint="eastAsia" w:ascii="宋体" w:hAnsi="宋体" w:cs="Arial"/>
          <w:szCs w:val="21"/>
        </w:rPr>
        <w:t>对于基金管理人通过上述（1）、（2）方式发送的指令，基金管理人不得否认其效力。</w:t>
      </w:r>
    </w:p>
    <w:p w14:paraId="609F2F40">
      <w:pPr>
        <w:adjustRightInd w:val="0"/>
        <w:snapToGrid w:val="0"/>
        <w:spacing w:line="360" w:lineRule="auto"/>
        <w:ind w:firstLine="420" w:firstLineChars="200"/>
        <w:rPr>
          <w:rFonts w:ascii="宋体" w:hAnsi="宋体" w:cs="Arial"/>
          <w:szCs w:val="21"/>
        </w:rPr>
      </w:pPr>
      <w:r>
        <w:rPr>
          <w:rFonts w:hint="eastAsia" w:ascii="宋体" w:hAnsi="宋体" w:cs="Arial"/>
          <w:szCs w:val="21"/>
        </w:rPr>
        <w:t>对于基金管理人通过上述（1）、（2）方式发送指令的，在应急情况下，基金管理人可以传真发送划款指令或者快递、现场交互原件指令。具体操作方式分别按照以下第（3）、（4）款指令发送方式执行。</w:t>
      </w:r>
    </w:p>
    <w:p w14:paraId="4F750EE5">
      <w:pPr>
        <w:adjustRightInd w:val="0"/>
        <w:snapToGrid w:val="0"/>
        <w:spacing w:line="360" w:lineRule="auto"/>
        <w:ind w:firstLine="420" w:firstLineChars="200"/>
        <w:rPr>
          <w:rFonts w:ascii="宋体" w:hAnsi="宋体" w:cs="Arial"/>
          <w:szCs w:val="21"/>
        </w:rPr>
      </w:pPr>
      <w:r>
        <w:rPr>
          <w:rFonts w:hint="eastAsia" w:ascii="宋体" w:hAnsi="宋体" w:cs="Arial"/>
          <w:szCs w:val="21"/>
        </w:rPr>
        <w:t>（3）基金管理人选择以传真方式发送指令</w:t>
      </w:r>
    </w:p>
    <w:p w14:paraId="7072DE81">
      <w:pPr>
        <w:adjustRightInd w:val="0"/>
        <w:snapToGrid w:val="0"/>
        <w:spacing w:line="360" w:lineRule="auto"/>
        <w:ind w:firstLine="420" w:firstLineChars="200"/>
        <w:rPr>
          <w:rFonts w:ascii="宋体" w:hAnsi="宋体" w:cs="Arial"/>
          <w:szCs w:val="21"/>
        </w:rPr>
      </w:pPr>
      <w:r>
        <w:rPr>
          <w:rFonts w:hint="eastAsia" w:ascii="宋体" w:hAnsi="宋体" w:cs="Arial"/>
          <w:szCs w:val="21"/>
        </w:rPr>
        <w:t>对于基金管理人通过预留传真号码发出的指令，基金管理人不得否认其效力。</w:t>
      </w:r>
    </w:p>
    <w:p w14:paraId="29B671C3">
      <w:pPr>
        <w:adjustRightInd w:val="0"/>
        <w:snapToGrid w:val="0"/>
        <w:spacing w:line="360" w:lineRule="auto"/>
        <w:ind w:firstLine="420" w:firstLineChars="200"/>
        <w:rPr>
          <w:rFonts w:ascii="宋体" w:hAnsi="宋体" w:cs="Arial"/>
          <w:szCs w:val="21"/>
        </w:rPr>
      </w:pPr>
      <w:r>
        <w:rPr>
          <w:rFonts w:hint="eastAsia" w:ascii="宋体" w:hAnsi="宋体" w:cs="Arial"/>
          <w:szCs w:val="21"/>
        </w:rPr>
        <w:t>特殊情况下，基金管理人无法使用预留传真号码发送指令时，可通过非预留传真号码应急发送传真指令，基金管理人须通过授权的电话号码通知基金托管人接收传真指令。如因基金管理人未通知基金托管人接收传真指令造成的损失，基金托管人不承担责任。上述特殊情况解决后，基金管理人应向基金托管人出具预留传真号码更新通知，并加盖基金管理人在授权通知书中的预留印鉴。</w:t>
      </w:r>
    </w:p>
    <w:p w14:paraId="574F88B7">
      <w:pPr>
        <w:adjustRightInd w:val="0"/>
        <w:snapToGrid w:val="0"/>
        <w:spacing w:line="360" w:lineRule="auto"/>
        <w:ind w:firstLine="420" w:firstLineChars="200"/>
        <w:rPr>
          <w:rFonts w:ascii="宋体" w:hAnsi="宋体" w:cs="Arial"/>
          <w:szCs w:val="21"/>
        </w:rPr>
      </w:pPr>
      <w:r>
        <w:rPr>
          <w:rFonts w:hint="eastAsia" w:ascii="宋体" w:hAnsi="宋体" w:cs="Arial"/>
          <w:szCs w:val="21"/>
        </w:rPr>
        <w:t>（4）基金管理人快递寄送或现场交互指令原件的形式传递指令</w:t>
      </w:r>
    </w:p>
    <w:p w14:paraId="6660388C">
      <w:pPr>
        <w:adjustRightInd w:val="0"/>
        <w:snapToGrid w:val="0"/>
        <w:spacing w:line="360" w:lineRule="auto"/>
        <w:ind w:firstLine="420" w:firstLineChars="200"/>
        <w:rPr>
          <w:rFonts w:ascii="宋体" w:hAnsi="宋体" w:cs="Arial"/>
          <w:szCs w:val="21"/>
        </w:rPr>
      </w:pPr>
      <w:r>
        <w:rPr>
          <w:rFonts w:hint="eastAsia" w:ascii="宋体" w:hAnsi="宋体" w:cs="Arial"/>
          <w:szCs w:val="21"/>
        </w:rPr>
        <w:t>如需变更指令发送形式，基金管理人须提前向基金托管人提供变更指令发送形式的指令发送方式变更通知书。</w:t>
      </w:r>
    </w:p>
    <w:p w14:paraId="0DC1E307">
      <w:pPr>
        <w:adjustRightInd w:val="0"/>
        <w:snapToGrid w:val="0"/>
        <w:spacing w:line="360" w:lineRule="auto"/>
        <w:ind w:firstLine="420" w:firstLineChars="200"/>
        <w:rPr>
          <w:rFonts w:ascii="宋体" w:hAnsi="宋体" w:cs="Arial"/>
          <w:szCs w:val="21"/>
        </w:rPr>
      </w:pPr>
      <w:r>
        <w:rPr>
          <w:rFonts w:hint="eastAsia" w:ascii="宋体" w:hAnsi="宋体" w:cs="Arial"/>
          <w:szCs w:val="21"/>
        </w:rPr>
        <w:t>2.指令附件的发送方式</w:t>
      </w:r>
    </w:p>
    <w:p w14:paraId="5BA538D8">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向基金托管人发送指令的同时，通过招商银行托管+综合服务平台、预留传真号码或预留指令附件发送电子邮箱提供相关合同、交易凭证或其他证明材料。基金管理人对该等资料的真实性、有效性、完整性和合法合规性负责。</w:t>
      </w:r>
    </w:p>
    <w:p w14:paraId="66408580">
      <w:pPr>
        <w:adjustRightInd w:val="0"/>
        <w:snapToGrid w:val="0"/>
        <w:spacing w:line="360" w:lineRule="auto"/>
        <w:ind w:firstLine="420" w:firstLineChars="200"/>
        <w:rPr>
          <w:rFonts w:ascii="宋体" w:hAnsi="宋体" w:cs="Arial"/>
          <w:szCs w:val="21"/>
        </w:rPr>
      </w:pPr>
      <w:r>
        <w:rPr>
          <w:rFonts w:hint="eastAsia" w:ascii="宋体" w:hAnsi="宋体" w:cs="Arial"/>
          <w:szCs w:val="21"/>
        </w:rPr>
        <w:t>对于通过招商银行托管+综合服务平台、预留传真号码或预留电子邮箱发出的指令附件，基金管理人不得否认其效力。</w:t>
      </w:r>
    </w:p>
    <w:p w14:paraId="63F0595F">
      <w:pPr>
        <w:spacing w:line="360" w:lineRule="auto"/>
        <w:ind w:firstLine="420" w:firstLineChars="200"/>
        <w:rPr>
          <w:rFonts w:ascii="宋体" w:hAnsi="宋体"/>
          <w:szCs w:val="21"/>
        </w:rPr>
      </w:pPr>
      <w:r>
        <w:rPr>
          <w:rFonts w:hint="eastAsia" w:ascii="宋体" w:hAnsi="宋体" w:cs="Arial"/>
          <w:szCs w:val="21"/>
        </w:rPr>
        <w:t>3.指令发送的时间</w:t>
      </w:r>
    </w:p>
    <w:p w14:paraId="365B6933">
      <w:pPr>
        <w:adjustRightInd w:val="0"/>
        <w:snapToGrid w:val="0"/>
        <w:spacing w:line="360" w:lineRule="auto"/>
        <w:ind w:firstLine="420" w:firstLineChars="200"/>
        <w:rPr>
          <w:rFonts w:ascii="宋体" w:hAnsi="宋体"/>
          <w:szCs w:val="21"/>
        </w:rPr>
      </w:pPr>
      <w:r>
        <w:rPr>
          <w:rFonts w:hint="eastAsia" w:ascii="宋体" w:hAnsi="宋体"/>
          <w:szCs w:val="21"/>
        </w:rPr>
        <w:t>对于新股、新债申购等网下公开发行业务，基金管理人应于网下申购缴款日的10:00前将指令发送给基金托管人。</w:t>
      </w:r>
    </w:p>
    <w:p w14:paraId="7FFBB048">
      <w:pPr>
        <w:spacing w:line="360" w:lineRule="auto"/>
        <w:ind w:firstLine="420" w:firstLineChars="200"/>
        <w:rPr>
          <w:rFonts w:ascii="宋体" w:hAnsi="宋体"/>
          <w:szCs w:val="21"/>
        </w:rPr>
      </w:pPr>
      <w:r>
        <w:rPr>
          <w:rFonts w:hint="eastAsia" w:ascii="宋体" w:hAnsi="宋体"/>
          <w:szCs w:val="21"/>
        </w:rPr>
        <w:t>对于期货出入金业务，基金管理人应于交易日期货出入金截止时间前2小时将期货出入金指令发送至基金托管人。正常情况下由</w:t>
      </w:r>
      <w:r>
        <w:rPr>
          <w:rFonts w:hint="eastAsia" w:ascii="宋体" w:hAnsi="宋体" w:cs="Arial"/>
          <w:szCs w:val="21"/>
        </w:rPr>
        <w:t>基金</w:t>
      </w:r>
      <w:r>
        <w:rPr>
          <w:rFonts w:hint="eastAsia" w:ascii="宋体" w:hAnsi="宋体"/>
          <w:szCs w:val="21"/>
        </w:rPr>
        <w:t>托管人依据</w:t>
      </w:r>
      <w:r>
        <w:rPr>
          <w:rFonts w:hint="eastAsia" w:ascii="宋体" w:hAnsi="宋体" w:cs="Arial"/>
          <w:szCs w:val="21"/>
        </w:rPr>
        <w:t>基金</w:t>
      </w:r>
      <w:r>
        <w:rPr>
          <w:rFonts w:hint="eastAsia" w:ascii="宋体" w:hAnsi="宋体"/>
          <w:szCs w:val="21"/>
        </w:rPr>
        <w:t>管理人发出的出入金指令，通过期货结算银行银期转账系统进行出入金操作。当结算银行银期转账系统出现故障等其他紧急情况时，</w:t>
      </w:r>
      <w:r>
        <w:rPr>
          <w:rFonts w:hint="eastAsia" w:ascii="宋体" w:hAnsi="宋体" w:cs="Arial"/>
          <w:szCs w:val="21"/>
        </w:rPr>
        <w:t>基金</w:t>
      </w:r>
      <w:r>
        <w:rPr>
          <w:rFonts w:hint="eastAsia" w:ascii="宋体" w:hAnsi="宋体"/>
          <w:szCs w:val="21"/>
        </w:rPr>
        <w:t>管理人可以使用非银期转账手工出入金。</w:t>
      </w:r>
    </w:p>
    <w:p w14:paraId="2F6A710D">
      <w:pPr>
        <w:autoSpaceDE w:val="0"/>
        <w:autoSpaceDN w:val="0"/>
        <w:spacing w:line="360" w:lineRule="auto"/>
        <w:ind w:firstLine="420" w:firstLineChars="200"/>
        <w:rPr>
          <w:rFonts w:ascii="宋体" w:hAnsi="宋体"/>
          <w:szCs w:val="21"/>
        </w:rPr>
      </w:pPr>
      <w:r>
        <w:rPr>
          <w:rFonts w:hint="eastAsia" w:ascii="宋体" w:hAnsi="宋体"/>
          <w:szCs w:val="21"/>
        </w:rPr>
        <w:t>非银期转账手工出入金，入金由</w:t>
      </w:r>
      <w:r>
        <w:rPr>
          <w:rFonts w:hint="eastAsia" w:ascii="宋体" w:hAnsi="宋体" w:cs="Arial"/>
          <w:szCs w:val="21"/>
        </w:rPr>
        <w:t>基金</w:t>
      </w:r>
      <w:r>
        <w:rPr>
          <w:rFonts w:hint="eastAsia" w:ascii="宋体" w:hAnsi="宋体"/>
          <w:szCs w:val="21"/>
        </w:rPr>
        <w:t>托管人依据</w:t>
      </w:r>
      <w:r>
        <w:rPr>
          <w:rFonts w:hint="eastAsia" w:ascii="宋体" w:hAnsi="宋体" w:cs="Arial"/>
          <w:szCs w:val="21"/>
        </w:rPr>
        <w:t>基金</w:t>
      </w:r>
      <w:r>
        <w:rPr>
          <w:rFonts w:hint="eastAsia" w:ascii="宋体" w:hAnsi="宋体"/>
          <w:szCs w:val="21"/>
        </w:rPr>
        <w:t>管理人提供的划款指令通过结算银行的网银系统划往期货公司指定账户后，由</w:t>
      </w:r>
      <w:r>
        <w:rPr>
          <w:rFonts w:hint="eastAsia" w:ascii="宋体" w:hAnsi="宋体" w:cs="Arial"/>
          <w:szCs w:val="21"/>
        </w:rPr>
        <w:t>基金</w:t>
      </w:r>
      <w:r>
        <w:rPr>
          <w:rFonts w:hint="eastAsia" w:ascii="宋体" w:hAnsi="宋体"/>
          <w:szCs w:val="21"/>
        </w:rPr>
        <w:t>管理人通知期货公司进行入金操作，出金由基金管理人通知期货公司出金后，由</w:t>
      </w:r>
      <w:r>
        <w:rPr>
          <w:rFonts w:hint="eastAsia" w:ascii="宋体" w:hAnsi="宋体" w:cs="Arial"/>
          <w:szCs w:val="21"/>
        </w:rPr>
        <w:t>期货公司</w:t>
      </w:r>
      <w:r>
        <w:rPr>
          <w:rFonts w:hint="eastAsia" w:ascii="宋体" w:hAnsi="宋体"/>
          <w:szCs w:val="21"/>
        </w:rPr>
        <w:t>依据</w:t>
      </w:r>
      <w:r>
        <w:rPr>
          <w:rFonts w:hint="eastAsia" w:ascii="宋体" w:hAnsi="宋体" w:cs="Arial"/>
          <w:szCs w:val="21"/>
        </w:rPr>
        <w:t>基金</w:t>
      </w:r>
      <w:r>
        <w:rPr>
          <w:rFonts w:hint="eastAsia" w:ascii="宋体" w:hAnsi="宋体"/>
          <w:szCs w:val="21"/>
        </w:rPr>
        <w:t>管理人提供的出金指令划往本</w:t>
      </w:r>
      <w:r>
        <w:rPr>
          <w:rFonts w:hint="eastAsia" w:ascii="宋体" w:hAnsi="宋体" w:cs="Arial"/>
          <w:szCs w:val="21"/>
        </w:rPr>
        <w:t>基金</w:t>
      </w:r>
      <w:r>
        <w:rPr>
          <w:rFonts w:hint="eastAsia" w:ascii="宋体" w:hAnsi="宋体"/>
          <w:szCs w:val="21"/>
        </w:rPr>
        <w:t>托管账户。</w:t>
      </w:r>
    </w:p>
    <w:p w14:paraId="6CE22210">
      <w:pPr>
        <w:spacing w:line="360" w:lineRule="auto"/>
        <w:ind w:firstLine="420" w:firstLineChars="200"/>
        <w:rPr>
          <w:rFonts w:ascii="宋体" w:hAnsi="宋体"/>
          <w:szCs w:val="21"/>
        </w:rPr>
      </w:pPr>
      <w:r>
        <w:rPr>
          <w:rFonts w:hint="eastAsia" w:ascii="宋体" w:hAnsi="宋体"/>
          <w:szCs w:val="21"/>
        </w:rPr>
        <w:t>执行完期货出金或入金的操作后，</w:t>
      </w:r>
      <w:r>
        <w:rPr>
          <w:rFonts w:hint="eastAsia" w:ascii="宋体" w:hAnsi="宋体" w:cs="Arial"/>
          <w:szCs w:val="21"/>
        </w:rPr>
        <w:t>基金</w:t>
      </w:r>
      <w:r>
        <w:rPr>
          <w:rFonts w:hint="eastAsia" w:ascii="宋体" w:hAnsi="宋体"/>
          <w:szCs w:val="21"/>
        </w:rPr>
        <w:t>管理人应通过其交易系统或终端系统查询出金划出情况和入金到账情况。</w:t>
      </w:r>
    </w:p>
    <w:p w14:paraId="01366D43">
      <w:pPr>
        <w:adjustRightInd w:val="0"/>
        <w:snapToGrid w:val="0"/>
        <w:spacing w:line="360" w:lineRule="auto"/>
        <w:ind w:firstLine="420" w:firstLineChars="200"/>
        <w:rPr>
          <w:rFonts w:ascii="宋体" w:hAnsi="宋体"/>
          <w:szCs w:val="21"/>
        </w:rPr>
      </w:pPr>
      <w:r>
        <w:rPr>
          <w:rFonts w:hint="eastAsia" w:ascii="宋体" w:hAnsi="宋体"/>
          <w:szCs w:val="21"/>
        </w:rPr>
        <w:t>对于场内业务，首次进行场内交易前基金管理人应与基金托管人确认已完成交易单元和股东代码设置后方可进行。</w:t>
      </w:r>
    </w:p>
    <w:p w14:paraId="0E8E62A2">
      <w:pPr>
        <w:adjustRightInd w:val="0"/>
        <w:snapToGrid w:val="0"/>
        <w:spacing w:line="360" w:lineRule="auto"/>
        <w:ind w:firstLine="420" w:firstLineChars="200"/>
        <w:rPr>
          <w:rFonts w:ascii="宋体" w:hAnsi="宋体"/>
          <w:szCs w:val="21"/>
        </w:rPr>
      </w:pPr>
      <w:r>
        <w:rPr>
          <w:rFonts w:hint="eastAsia" w:ascii="宋体" w:hAnsi="宋体"/>
          <w:szCs w:val="21"/>
        </w:rPr>
        <w:t>对于银行间业务，基金管理人应于交易日15:00前将银行间成交单及相关划款指令发送至基金托管人。基金管理人应与基金托管人确认基金托管人已完成证书和权限设置后方可进行本基金的银行间交易。对于向基金托管人出具无需银行间成交单授权书的，基金管理人应在首笔银行间交易时通过预留电话通知基金托管人，如基金管理人未通知基金托管人，导致指令未执行或执行失败的，基金托管人不承担责任。</w:t>
      </w:r>
    </w:p>
    <w:p w14:paraId="1E5F2E83">
      <w:pPr>
        <w:adjustRightInd w:val="0"/>
        <w:snapToGrid w:val="0"/>
        <w:spacing w:line="360" w:lineRule="auto"/>
        <w:ind w:firstLine="420" w:firstLineChars="200"/>
        <w:rPr>
          <w:rFonts w:ascii="宋体" w:hAnsi="宋体"/>
          <w:szCs w:val="21"/>
        </w:rPr>
      </w:pPr>
      <w:r>
        <w:rPr>
          <w:rFonts w:hint="eastAsia" w:ascii="宋体" w:hAnsi="宋体"/>
          <w:szCs w:val="21"/>
        </w:rPr>
        <w:t>对于指定时间出款的交易指令，基金管理人应提前2小时将指令发送至基金托管人；对于基金管理人于15:00以后发送至基金托管人的指令，基金托管人不保证当日出款，如出款不成功，基金托管人不承担责任。</w:t>
      </w:r>
    </w:p>
    <w:p w14:paraId="1A4AED48">
      <w:pPr>
        <w:adjustRightInd w:val="0"/>
        <w:snapToGrid w:val="0"/>
        <w:spacing w:line="360" w:lineRule="auto"/>
        <w:ind w:firstLine="420" w:firstLineChars="200"/>
        <w:rPr>
          <w:rFonts w:ascii="宋体" w:hAnsi="宋体"/>
          <w:szCs w:val="21"/>
        </w:rPr>
      </w:pPr>
      <w:r>
        <w:rPr>
          <w:rFonts w:ascii="宋体" w:hAnsi="宋体" w:cs="Arial"/>
          <w:szCs w:val="21"/>
        </w:rPr>
        <w:t>4</w:t>
      </w:r>
      <w:r>
        <w:rPr>
          <w:rFonts w:hint="eastAsia" w:ascii="宋体" w:hAnsi="宋体" w:cs="Arial"/>
          <w:szCs w:val="21"/>
        </w:rPr>
        <w:t>.指令的确认</w:t>
      </w:r>
    </w:p>
    <w:p w14:paraId="78100DE0">
      <w:pPr>
        <w:adjustRightInd w:val="0"/>
        <w:snapToGrid w:val="0"/>
        <w:spacing w:line="360" w:lineRule="auto"/>
        <w:ind w:firstLine="420" w:firstLineChars="200"/>
        <w:rPr>
          <w:rFonts w:ascii="宋体" w:hAnsi="宋体"/>
          <w:szCs w:val="21"/>
        </w:rPr>
      </w:pPr>
      <w:r>
        <w:rPr>
          <w:rFonts w:hint="eastAsia" w:ascii="宋体" w:hAnsi="宋体"/>
          <w:szCs w:val="21"/>
        </w:rPr>
        <w:t>基金管理人有义务在发送指令后与基金托管人进行电话确认，</w:t>
      </w:r>
      <w:r>
        <w:rPr>
          <w:rFonts w:hint="eastAsia" w:ascii="宋体" w:hAnsi="宋体" w:cs="Arial"/>
          <w:szCs w:val="21"/>
        </w:rPr>
        <w:t>如因</w:t>
      </w:r>
      <w:r>
        <w:rPr>
          <w:rFonts w:hint="eastAsia" w:ascii="宋体" w:hAnsi="宋体"/>
          <w:szCs w:val="21"/>
        </w:rPr>
        <w:t>基金</w:t>
      </w:r>
      <w:r>
        <w:rPr>
          <w:rFonts w:hint="eastAsia" w:ascii="宋体" w:hAnsi="宋体" w:cs="Arial"/>
          <w:szCs w:val="21"/>
        </w:rPr>
        <w:t>管理人未通知</w:t>
      </w:r>
      <w:r>
        <w:rPr>
          <w:rFonts w:hint="eastAsia" w:ascii="宋体" w:hAnsi="宋体"/>
          <w:szCs w:val="21"/>
        </w:rPr>
        <w:t>基金</w:t>
      </w:r>
      <w:r>
        <w:rPr>
          <w:rFonts w:hint="eastAsia" w:ascii="宋体" w:hAnsi="宋体" w:cs="Arial"/>
          <w:szCs w:val="21"/>
        </w:rPr>
        <w:t>托管人接收传真指令造成的损失，</w:t>
      </w:r>
      <w:r>
        <w:rPr>
          <w:rFonts w:hint="eastAsia" w:ascii="宋体" w:hAnsi="宋体"/>
          <w:szCs w:val="21"/>
        </w:rPr>
        <w:t>基金</w:t>
      </w:r>
      <w:r>
        <w:rPr>
          <w:rFonts w:hint="eastAsia" w:ascii="宋体" w:hAnsi="宋体" w:cs="Arial"/>
          <w:szCs w:val="21"/>
        </w:rPr>
        <w:t>托管人不承担责任</w:t>
      </w:r>
      <w:r>
        <w:rPr>
          <w:rFonts w:hint="eastAsia" w:ascii="宋体" w:hAnsi="宋体"/>
          <w:szCs w:val="21"/>
        </w:rPr>
        <w:t>。对于依照“授权通知书”发出的指令，基金管理人不得否认其效力。</w:t>
      </w:r>
    </w:p>
    <w:p w14:paraId="584C3E05">
      <w:pPr>
        <w:adjustRightInd w:val="0"/>
        <w:snapToGrid w:val="0"/>
        <w:spacing w:line="360" w:lineRule="auto"/>
        <w:ind w:firstLine="420" w:firstLineChars="200"/>
        <w:rPr>
          <w:rFonts w:ascii="宋体" w:hAnsi="宋体"/>
          <w:szCs w:val="21"/>
        </w:rPr>
      </w:pPr>
      <w:r>
        <w:rPr>
          <w:rFonts w:ascii="宋体" w:hAnsi="宋体" w:cs="Arial"/>
          <w:szCs w:val="21"/>
        </w:rPr>
        <w:t>5</w:t>
      </w:r>
      <w:r>
        <w:rPr>
          <w:rFonts w:hint="eastAsia" w:ascii="宋体" w:hAnsi="宋体" w:cs="Arial"/>
          <w:szCs w:val="21"/>
        </w:rPr>
        <w:t>.</w:t>
      </w:r>
      <w:r>
        <w:rPr>
          <w:rFonts w:hint="eastAsia" w:ascii="宋体" w:hAnsi="宋体"/>
          <w:szCs w:val="21"/>
        </w:rPr>
        <w:t>指令的执行</w:t>
      </w:r>
    </w:p>
    <w:p w14:paraId="34D925F6">
      <w:pPr>
        <w:spacing w:line="360" w:lineRule="auto"/>
        <w:ind w:firstLine="420" w:firstLineChars="200"/>
        <w:rPr>
          <w:rFonts w:ascii="宋体" w:hAnsi="宋体"/>
          <w:szCs w:val="21"/>
        </w:rPr>
      </w:pPr>
      <w:r>
        <w:rPr>
          <w:rFonts w:hint="eastAsia" w:ascii="宋体" w:hAnsi="宋体"/>
          <w:szCs w:val="21"/>
        </w:rPr>
        <w:t>基金管理人在发送指令时，应确保出款账户有足够的资金余额、文件资料齐全，并为基金托管人留出执行指令所必需的时间，</w:t>
      </w:r>
      <w:r>
        <w:rPr>
          <w:rFonts w:ascii="宋体" w:hAnsi="宋体"/>
          <w:szCs w:val="21"/>
        </w:rPr>
        <w:t>因</w:t>
      </w:r>
      <w:r>
        <w:rPr>
          <w:rFonts w:hint="eastAsia" w:ascii="宋体" w:hAnsi="宋体"/>
          <w:szCs w:val="21"/>
        </w:rPr>
        <w:t>基金</w:t>
      </w:r>
      <w:r>
        <w:rPr>
          <w:rFonts w:ascii="宋体" w:hAnsi="宋体"/>
          <w:szCs w:val="21"/>
        </w:rPr>
        <w:t>管理人未给予</w:t>
      </w:r>
      <w:r>
        <w:rPr>
          <w:rFonts w:hint="eastAsia" w:ascii="宋体" w:hAnsi="宋体"/>
          <w:szCs w:val="21"/>
        </w:rPr>
        <w:t>合理</w:t>
      </w:r>
      <w:r>
        <w:rPr>
          <w:rFonts w:ascii="宋体" w:hAnsi="宋体"/>
          <w:szCs w:val="21"/>
        </w:rPr>
        <w:t>必</w:t>
      </w:r>
      <w:r>
        <w:rPr>
          <w:rFonts w:hint="eastAsia" w:ascii="宋体" w:hAnsi="宋体"/>
          <w:szCs w:val="21"/>
        </w:rPr>
        <w:t>需的</w:t>
      </w:r>
      <w:r>
        <w:rPr>
          <w:rFonts w:ascii="宋体" w:hAnsi="宋体"/>
          <w:szCs w:val="21"/>
        </w:rPr>
        <w:t>时间导致</w:t>
      </w:r>
      <w:r>
        <w:rPr>
          <w:rFonts w:hint="eastAsia" w:ascii="宋体" w:hAnsi="宋体"/>
          <w:szCs w:val="21"/>
        </w:rPr>
        <w:t>基金</w:t>
      </w:r>
      <w:r>
        <w:rPr>
          <w:rFonts w:ascii="宋体" w:hAnsi="宋体"/>
          <w:szCs w:val="21"/>
        </w:rPr>
        <w:t>托管人操作不成功的，</w:t>
      </w:r>
      <w:r>
        <w:rPr>
          <w:rFonts w:hint="eastAsia" w:ascii="宋体" w:hAnsi="宋体"/>
          <w:szCs w:val="21"/>
        </w:rPr>
        <w:t>基金</w:t>
      </w:r>
      <w:r>
        <w:rPr>
          <w:rFonts w:ascii="宋体" w:hAnsi="宋体"/>
          <w:szCs w:val="21"/>
        </w:rPr>
        <w:t>托管人不承担责任</w:t>
      </w:r>
      <w:r>
        <w:rPr>
          <w:rFonts w:hint="eastAsia" w:ascii="宋体" w:hAnsi="宋体"/>
          <w:szCs w:val="21"/>
        </w:rPr>
        <w:t>。</w:t>
      </w:r>
    </w:p>
    <w:p w14:paraId="19FA80DD">
      <w:pPr>
        <w:adjustRightInd w:val="0"/>
        <w:snapToGrid w:val="0"/>
        <w:spacing w:line="360" w:lineRule="auto"/>
        <w:ind w:firstLine="420" w:firstLineChars="200"/>
        <w:rPr>
          <w:rFonts w:ascii="宋体" w:hAnsi="宋体"/>
          <w:szCs w:val="21"/>
        </w:rPr>
      </w:pPr>
      <w:r>
        <w:rPr>
          <w:rFonts w:hint="eastAsia" w:ascii="宋体" w:hAnsi="宋体"/>
          <w:szCs w:val="21"/>
        </w:rPr>
        <w:t>基金托管人确认收到基金管理人发送的指令后，应对指令进行形式审查，验证指令的要素（金额、收款账号、收款户名、用途）是否齐全，传真指令还应审核印鉴和印章/签字是否和预留印鉴和签章样本表面一致性相符，传真指令加盖的印鉴和预留印鉴形式上不存在重大差异即视为表面一致性审查通过，对于因传真或扫描引起的印章、签字等变形、扭曲，基金托管人不承担审查义务。基金托管人仅对基金管理人提交的指令按照本协议约定进行表面一致性审查，不负责审查基金管理人发送指令同时提交的其他文件资料的合法性、真实性、完整性和有效性，基金管理人应保证上述文件资料合法、真实、完整和有效。如因基金管理人提供的上述文件不合法、不真实、不完整或失去效力而影响基金托管人的审核或给任何第三人带来损失，由基金管理人承担责任。</w:t>
      </w:r>
    </w:p>
    <w:p w14:paraId="09FBCEDA">
      <w:pPr>
        <w:adjustRightInd w:val="0"/>
        <w:snapToGrid w:val="0"/>
        <w:spacing w:line="360" w:lineRule="auto"/>
        <w:ind w:firstLine="420" w:firstLineChars="200"/>
        <w:rPr>
          <w:rFonts w:ascii="宋体" w:hAnsi="宋体"/>
          <w:szCs w:val="21"/>
        </w:rPr>
      </w:pPr>
      <w:r>
        <w:rPr>
          <w:rFonts w:hint="eastAsia" w:ascii="宋体" w:hAnsi="宋体"/>
          <w:szCs w:val="21"/>
        </w:rPr>
        <w:t>基金托管人审核指令无误后应在规定期限内及时执行。</w:t>
      </w:r>
    </w:p>
    <w:p w14:paraId="271CD3EB">
      <w:pPr>
        <w:adjustRightInd w:val="0"/>
        <w:snapToGrid w:val="0"/>
        <w:spacing w:line="360" w:lineRule="auto"/>
        <w:ind w:firstLine="420" w:firstLineChars="200"/>
        <w:rPr>
          <w:rFonts w:ascii="宋体" w:hAnsi="宋体"/>
          <w:szCs w:val="21"/>
        </w:rPr>
      </w:pPr>
      <w:r>
        <w:rPr>
          <w:rFonts w:hint="eastAsia" w:ascii="宋体" w:hAnsi="宋体"/>
          <w:szCs w:val="21"/>
        </w:rPr>
        <w:t>6.指令的撤销</w:t>
      </w:r>
    </w:p>
    <w:p w14:paraId="441F6E49">
      <w:pPr>
        <w:adjustRightInd w:val="0"/>
        <w:snapToGrid w:val="0"/>
        <w:spacing w:line="360" w:lineRule="auto"/>
        <w:ind w:firstLine="420" w:firstLineChars="200"/>
        <w:rPr>
          <w:rFonts w:ascii="宋体" w:hAnsi="宋体"/>
          <w:szCs w:val="21"/>
        </w:rPr>
      </w:pPr>
      <w:r>
        <w:rPr>
          <w:rFonts w:hint="eastAsia" w:ascii="宋体" w:hAnsi="宋体"/>
          <w:szCs w:val="21"/>
        </w:rPr>
        <w:t>在指令未执行的前提下，若基金管理人撤销指令，基金管理人应在原指令上注明“作废”、</w:t>
      </w:r>
      <w:r>
        <w:rPr>
          <w:rFonts w:ascii="宋体" w:hAnsi="宋体"/>
          <w:szCs w:val="21"/>
        </w:rPr>
        <w:t>“废”</w:t>
      </w:r>
      <w:r>
        <w:rPr>
          <w:rFonts w:hint="eastAsia" w:ascii="宋体" w:hAnsi="宋体"/>
          <w:szCs w:val="21"/>
        </w:rPr>
        <w:t>、</w:t>
      </w:r>
      <w:r>
        <w:rPr>
          <w:rFonts w:hint="eastAsia" w:ascii="宋体" w:hAnsi="宋体"/>
        </w:rPr>
        <w:t>“取消”</w:t>
      </w:r>
      <w:r>
        <w:rPr>
          <w:rFonts w:ascii="宋体" w:hAnsi="宋体"/>
          <w:szCs w:val="21"/>
        </w:rPr>
        <w:t>等字样</w:t>
      </w:r>
      <w:r>
        <w:rPr>
          <w:rFonts w:hint="eastAsia" w:ascii="宋体" w:hAnsi="宋体"/>
          <w:szCs w:val="21"/>
        </w:rPr>
        <w:t>并加盖预留印鉴及被授权人</w:t>
      </w:r>
      <w:r>
        <w:rPr>
          <w:rFonts w:hint="eastAsia" w:ascii="宋体" w:hAnsi="宋体"/>
        </w:rPr>
        <w:t>印章/签字</w:t>
      </w:r>
      <w:r>
        <w:rPr>
          <w:rFonts w:hint="eastAsia" w:ascii="宋体" w:hAnsi="宋体"/>
          <w:szCs w:val="21"/>
        </w:rPr>
        <w:t>后传真给基金托管人，并电话通知基金托管人</w:t>
      </w:r>
      <w:r>
        <w:rPr>
          <w:rFonts w:hint="eastAsia" w:ascii="宋体" w:hAnsi="宋体" w:cs="Arial"/>
          <w:szCs w:val="21"/>
        </w:rPr>
        <w:t>。若撤销电子指令，</w:t>
      </w:r>
      <w:r>
        <w:rPr>
          <w:rFonts w:hint="eastAsia" w:ascii="宋体" w:hAnsi="宋体"/>
          <w:szCs w:val="21"/>
        </w:rPr>
        <w:t>基金</w:t>
      </w:r>
      <w:r>
        <w:rPr>
          <w:rFonts w:hint="eastAsia" w:ascii="宋体" w:hAnsi="宋体" w:cs="Arial"/>
          <w:szCs w:val="21"/>
        </w:rPr>
        <w:t>管理人应通过相关系统撤销，系统功能不支持撤销的，应参照撤销传真指令方式撤销电子指令。</w:t>
      </w:r>
    </w:p>
    <w:p w14:paraId="4D4EA44D">
      <w:pPr>
        <w:pStyle w:val="9"/>
        <w:spacing w:line="360" w:lineRule="auto"/>
        <w:ind w:firstLine="420"/>
        <w:rPr>
          <w:rFonts w:ascii="宋体" w:hAnsi="宋体" w:eastAsia="宋体"/>
          <w:sz w:val="21"/>
          <w:szCs w:val="21"/>
        </w:rPr>
      </w:pPr>
      <w:r>
        <w:rPr>
          <w:rFonts w:hint="eastAsia" w:ascii="宋体" w:hAnsi="宋体" w:eastAsia="宋体"/>
          <w:sz w:val="21"/>
          <w:szCs w:val="21"/>
        </w:rPr>
        <w:t>（四）基金管理人发送错误指令的情形和处理程序</w:t>
      </w:r>
    </w:p>
    <w:p w14:paraId="40B3DB23">
      <w:pPr>
        <w:adjustRightInd w:val="0"/>
        <w:snapToGrid w:val="0"/>
        <w:spacing w:line="360" w:lineRule="auto"/>
        <w:ind w:firstLine="420" w:firstLineChars="200"/>
        <w:rPr>
          <w:rFonts w:ascii="宋体" w:hAnsi="宋体"/>
          <w:szCs w:val="21"/>
        </w:rPr>
      </w:pPr>
      <w:r>
        <w:rPr>
          <w:rFonts w:hint="eastAsia" w:ascii="宋体" w:hAnsi="宋体" w:cs="Arial"/>
          <w:szCs w:val="21"/>
        </w:rPr>
        <w:t>1、基金管理人发送错误指令的情形包括指令发送人员无权或超越权限发送指令，指令不能辨识或要素不全导致无法执行等情形</w:t>
      </w:r>
      <w:r>
        <w:rPr>
          <w:rFonts w:hint="eastAsia" w:ascii="宋体" w:hAnsi="宋体"/>
          <w:szCs w:val="21"/>
        </w:rPr>
        <w:t>。</w:t>
      </w:r>
    </w:p>
    <w:p w14:paraId="01D203ED">
      <w:pPr>
        <w:adjustRightInd w:val="0"/>
        <w:snapToGrid w:val="0"/>
        <w:spacing w:line="360" w:lineRule="auto"/>
        <w:ind w:firstLine="420" w:firstLineChars="200"/>
        <w:rPr>
          <w:rFonts w:ascii="宋体" w:hAnsi="宋体"/>
          <w:szCs w:val="21"/>
        </w:rPr>
      </w:pPr>
      <w:r>
        <w:rPr>
          <w:rFonts w:hint="eastAsia" w:ascii="宋体" w:hAnsi="宋体"/>
          <w:szCs w:val="21"/>
        </w:rPr>
        <w:t>2、当基金托管人认为所接收指令为错误指令时，应及时与基金管理人进行电话确认，并暂停指令的执行，由基金管理人撤销指令或撤销后再重新发送指令。</w:t>
      </w:r>
    </w:p>
    <w:p w14:paraId="6CF4B23F">
      <w:pPr>
        <w:adjustRightInd w:val="0"/>
        <w:snapToGrid w:val="0"/>
        <w:spacing w:line="360" w:lineRule="auto"/>
        <w:ind w:firstLine="420" w:firstLineChars="200"/>
        <w:rPr>
          <w:rFonts w:ascii="宋体" w:hAnsi="宋体" w:cs="Arial"/>
          <w:szCs w:val="21"/>
        </w:rPr>
      </w:pPr>
      <w:r>
        <w:rPr>
          <w:rFonts w:hint="eastAsia" w:ascii="宋体" w:hAnsi="宋体" w:cs="Arial"/>
          <w:szCs w:val="21"/>
        </w:rPr>
        <w:t>（五）基金托管人依照法律法规暂缓、拒绝执行指令的情形和处理程序</w:t>
      </w:r>
    </w:p>
    <w:p w14:paraId="356096A9">
      <w:pPr>
        <w:adjustRightInd w:val="0"/>
        <w:snapToGrid w:val="0"/>
        <w:spacing w:line="360" w:lineRule="auto"/>
        <w:ind w:firstLine="420" w:firstLineChars="200"/>
        <w:rPr>
          <w:rFonts w:ascii="宋体" w:hAnsi="宋体"/>
          <w:szCs w:val="21"/>
        </w:rPr>
      </w:pPr>
      <w:r>
        <w:rPr>
          <w:rFonts w:hint="eastAsia" w:ascii="宋体" w:hAnsi="宋体"/>
          <w:szCs w:val="21"/>
        </w:rPr>
        <w:t>基金托管人发现基金管理人发送的指令有可能违反《基金法》、《运作办法》、《基金合同》、本协议或其他有关法律法规的规定时，应暂缓执行指令，并及时通知基金管理人，基金管理人收到通知后应及时核对并纠正；如相关交易已生效，则应通知基金管理人在法规规定期限</w:t>
      </w:r>
      <w:r>
        <w:rPr>
          <w:rFonts w:ascii="宋体" w:hAnsi="宋体"/>
          <w:szCs w:val="21"/>
        </w:rPr>
        <w:t>内</w:t>
      </w:r>
      <w:r>
        <w:rPr>
          <w:rFonts w:hint="eastAsia" w:ascii="宋体" w:hAnsi="宋体"/>
          <w:szCs w:val="21"/>
        </w:rPr>
        <w:t>及时</w:t>
      </w:r>
      <w:r>
        <w:rPr>
          <w:rFonts w:ascii="宋体" w:hAnsi="宋体"/>
          <w:szCs w:val="21"/>
        </w:rPr>
        <w:t>纠正</w:t>
      </w:r>
      <w:r>
        <w:rPr>
          <w:rFonts w:hint="eastAsia" w:ascii="宋体" w:hAnsi="宋体"/>
          <w:szCs w:val="21"/>
        </w:rPr>
        <w:t>。对于基金托管人事前难以监督的交易行为，基金托管人在事后履行了对基金管理人的通知义务后，即视为完全履行了其投资监督职责。对于基金管理人违反《基金法》、《运作办法》、《基金合同》、本协议或其他有关法律法规的规定造成基金财产损失的，由基金管理人承担相应责任，基金托管人免于承担责任。</w:t>
      </w:r>
    </w:p>
    <w:p w14:paraId="482A6FB1">
      <w:pPr>
        <w:adjustRightInd w:val="0"/>
        <w:snapToGrid w:val="0"/>
        <w:spacing w:line="360" w:lineRule="auto"/>
        <w:ind w:firstLine="420" w:firstLineChars="200"/>
        <w:rPr>
          <w:rFonts w:ascii="宋体" w:hAnsi="宋体" w:cs="Arial"/>
          <w:szCs w:val="21"/>
        </w:rPr>
      </w:pPr>
      <w:r>
        <w:rPr>
          <w:rFonts w:hint="eastAsia" w:ascii="宋体" w:hAnsi="宋体" w:cs="Arial"/>
          <w:szCs w:val="21"/>
        </w:rPr>
        <w:t>（六）基金托管人未按照基金管理人指令执行的处理方法</w:t>
      </w:r>
    </w:p>
    <w:p w14:paraId="397765B6">
      <w:pPr>
        <w:adjustRightInd w:val="0"/>
        <w:snapToGrid w:val="0"/>
        <w:spacing w:line="360" w:lineRule="auto"/>
        <w:ind w:firstLine="420" w:firstLineChars="200"/>
        <w:rPr>
          <w:rFonts w:ascii="宋体" w:hAnsi="宋体" w:cs="Arial"/>
          <w:szCs w:val="21"/>
        </w:rPr>
      </w:pPr>
      <w:r>
        <w:rPr>
          <w:rFonts w:hint="eastAsia" w:ascii="宋体" w:hAnsi="宋体" w:cs="Arial"/>
          <w:szCs w:val="21"/>
        </w:rPr>
        <w:t>对于基金管理人的有效指令和通知，除非违反法律法规、基金合同、托管协议或具有第（四）项所述错误，基金托管人不得无故拒绝或拖延执行。除因故意或重大过失致使本</w:t>
      </w:r>
      <w:r>
        <w:rPr>
          <w:rFonts w:hint="eastAsia" w:ascii="宋体" w:hAnsi="宋体"/>
          <w:szCs w:val="21"/>
        </w:rPr>
        <w:t>基金</w:t>
      </w:r>
      <w:r>
        <w:rPr>
          <w:rFonts w:hint="eastAsia" w:ascii="宋体" w:hAnsi="宋体" w:cs="Arial"/>
          <w:szCs w:val="21"/>
        </w:rPr>
        <w:t>、</w:t>
      </w:r>
      <w:r>
        <w:rPr>
          <w:rFonts w:hint="eastAsia" w:ascii="宋体" w:hAnsi="宋体"/>
          <w:szCs w:val="21"/>
        </w:rPr>
        <w:t>基金</w:t>
      </w:r>
      <w:r>
        <w:rPr>
          <w:rFonts w:hint="eastAsia" w:ascii="宋体" w:hAnsi="宋体" w:cs="Arial"/>
          <w:szCs w:val="21"/>
        </w:rPr>
        <w:t>管理人的利益受到损害而负赔偿责任外，</w:t>
      </w:r>
      <w:r>
        <w:rPr>
          <w:rFonts w:hint="eastAsia" w:ascii="宋体" w:hAnsi="宋体"/>
          <w:szCs w:val="21"/>
        </w:rPr>
        <w:t>基金</w:t>
      </w:r>
      <w:r>
        <w:rPr>
          <w:rFonts w:hint="eastAsia" w:ascii="宋体" w:hAnsi="宋体" w:cs="Arial"/>
          <w:szCs w:val="21"/>
        </w:rPr>
        <w:t>托管人对执行</w:t>
      </w:r>
      <w:r>
        <w:rPr>
          <w:rFonts w:hint="eastAsia" w:ascii="宋体" w:hAnsi="宋体"/>
          <w:szCs w:val="21"/>
        </w:rPr>
        <w:t>基金</w:t>
      </w:r>
      <w:r>
        <w:rPr>
          <w:rFonts w:hint="eastAsia" w:ascii="宋体" w:hAnsi="宋体" w:cs="Arial"/>
          <w:szCs w:val="21"/>
        </w:rPr>
        <w:t>管理人的合法指令对基金财产造成的损失不承担赔偿责任。</w:t>
      </w:r>
    </w:p>
    <w:p w14:paraId="089EAE4F">
      <w:pPr>
        <w:adjustRightInd w:val="0"/>
        <w:snapToGrid w:val="0"/>
        <w:spacing w:line="360" w:lineRule="auto"/>
        <w:ind w:firstLine="420" w:firstLineChars="200"/>
        <w:rPr>
          <w:rFonts w:ascii="宋体" w:hAnsi="宋体" w:cs="Arial"/>
          <w:szCs w:val="21"/>
        </w:rPr>
      </w:pPr>
      <w:r>
        <w:rPr>
          <w:rFonts w:hint="eastAsia" w:ascii="宋体" w:hAnsi="宋体" w:cs="Arial"/>
          <w:szCs w:val="21"/>
        </w:rPr>
        <w:t>（七）更换被授权人员的程序</w:t>
      </w:r>
    </w:p>
    <w:p w14:paraId="57548494">
      <w:pPr>
        <w:autoSpaceDE w:val="0"/>
        <w:autoSpaceDN w:val="0"/>
        <w:adjustRightInd w:val="0"/>
        <w:snapToGrid w:val="0"/>
        <w:spacing w:line="360" w:lineRule="auto"/>
        <w:ind w:firstLine="420" w:firstLineChars="200"/>
        <w:rPr>
          <w:rFonts w:ascii="宋体" w:hAnsi="宋体" w:cs="Arial"/>
          <w:szCs w:val="21"/>
        </w:rPr>
      </w:pPr>
      <w:r>
        <w:rPr>
          <w:rFonts w:hint="eastAsia" w:ascii="宋体" w:hAnsi="宋体"/>
          <w:szCs w:val="21"/>
        </w:rPr>
        <w:t>基金管理人撤换被授权人员、改变被授权人员的权限、变更或新增接收传真指令的号码、预留电话号码、预留邮箱，必须提前至少一个交易日，使用传真方式或其他基金管理人和基金托管人认可的方式重新向基金托管人发出加盖基金管理人公司公章的授权通知书，同时电话通知基金托管人。经基金管理人与基金托管人以电话方式或其他基金管理人和基金托管人认可的方式确认后，于授权通知书载明的生效时间生效，同时原授权通知书失效。基金管理人在此后三个工作日内将被授权人变更通知的正本送交基金托管人。授权通知书正本内容与基金托管人收到的传真不一致的，以基金托管人收到的传真为准。</w:t>
      </w:r>
      <w:r>
        <w:rPr>
          <w:rFonts w:hint="eastAsia" w:ascii="宋体" w:hAnsi="宋体" w:cs="Arial"/>
          <w:szCs w:val="21"/>
        </w:rPr>
        <w:t>基金托管人更换接收基金管理人指令的人员，应提前通知基金管理人。</w:t>
      </w:r>
    </w:p>
    <w:p w14:paraId="3184BA53">
      <w:pPr>
        <w:autoSpaceDE w:val="0"/>
        <w:autoSpaceDN w:val="0"/>
        <w:adjustRightInd w:val="0"/>
        <w:snapToGrid w:val="0"/>
        <w:spacing w:line="360" w:lineRule="auto"/>
        <w:ind w:firstLine="420" w:firstLineChars="200"/>
        <w:rPr>
          <w:rFonts w:ascii="宋体" w:hAnsi="宋体"/>
          <w:szCs w:val="21"/>
        </w:rPr>
      </w:pPr>
      <w:r>
        <w:rPr>
          <w:rFonts w:hint="eastAsia" w:ascii="宋体" w:hAnsi="宋体" w:cs="Arial"/>
          <w:szCs w:val="21"/>
        </w:rPr>
        <w:t>（八）指令的</w:t>
      </w:r>
      <w:r>
        <w:rPr>
          <w:rFonts w:hint="eastAsia" w:ascii="宋体" w:hAnsi="宋体"/>
          <w:szCs w:val="21"/>
        </w:rPr>
        <w:t>保管</w:t>
      </w:r>
    </w:p>
    <w:p w14:paraId="1949F42F">
      <w:pPr>
        <w:autoSpaceDE w:val="0"/>
        <w:autoSpaceDN w:val="0"/>
        <w:adjustRightInd w:val="0"/>
        <w:snapToGrid w:val="0"/>
        <w:spacing w:line="360" w:lineRule="auto"/>
        <w:ind w:firstLine="420" w:firstLineChars="200"/>
        <w:rPr>
          <w:rFonts w:ascii="宋体" w:hAnsi="宋体"/>
          <w:szCs w:val="21"/>
        </w:rPr>
      </w:pPr>
      <w:r>
        <w:rPr>
          <w:rFonts w:hint="eastAsia" w:ascii="宋体" w:hAnsi="宋体"/>
          <w:szCs w:val="21"/>
        </w:rPr>
        <w:t>指令若以传真形式发出，则正本由基金管理人保管，基金托管人保管指令传真件。当两者不一致时，以基金托管人收到的指令传真件为准。</w:t>
      </w:r>
    </w:p>
    <w:p w14:paraId="04FFB41B">
      <w:pPr>
        <w:autoSpaceDE w:val="0"/>
        <w:autoSpaceDN w:val="0"/>
        <w:adjustRightInd w:val="0"/>
        <w:snapToGrid w:val="0"/>
        <w:spacing w:line="360" w:lineRule="auto"/>
        <w:ind w:firstLine="420" w:firstLineChars="200"/>
        <w:rPr>
          <w:rFonts w:ascii="宋体" w:hAnsi="宋体"/>
          <w:szCs w:val="21"/>
        </w:rPr>
      </w:pPr>
      <w:r>
        <w:rPr>
          <w:rFonts w:hint="eastAsia" w:ascii="宋体" w:hAnsi="宋体" w:cs="Arial"/>
          <w:szCs w:val="21"/>
        </w:rPr>
        <w:t>（九）</w:t>
      </w:r>
      <w:r>
        <w:rPr>
          <w:rFonts w:hint="eastAsia" w:ascii="宋体" w:hAnsi="宋体"/>
          <w:szCs w:val="21"/>
        </w:rPr>
        <w:t>相关责任</w:t>
      </w:r>
    </w:p>
    <w:p w14:paraId="5A19E46C">
      <w:pPr>
        <w:autoSpaceDE w:val="0"/>
        <w:autoSpaceDN w:val="0"/>
        <w:adjustRightInd w:val="0"/>
        <w:snapToGrid w:val="0"/>
        <w:spacing w:line="360" w:lineRule="auto"/>
        <w:ind w:firstLine="420" w:firstLineChars="200"/>
        <w:rPr>
          <w:rFonts w:ascii="宋体" w:hAnsi="宋体"/>
          <w:szCs w:val="21"/>
        </w:rPr>
      </w:pPr>
      <w:r>
        <w:rPr>
          <w:rFonts w:hint="eastAsia" w:ascii="宋体" w:hAnsi="宋体" w:cs="Arial"/>
          <w:szCs w:val="21"/>
        </w:rPr>
        <w:t>对</w:t>
      </w:r>
      <w:r>
        <w:rPr>
          <w:rFonts w:hint="eastAsia" w:ascii="宋体" w:hAnsi="宋体"/>
          <w:szCs w:val="21"/>
        </w:rPr>
        <w:t>基金管理人在没有充足资金的情况下向基金托管人发出的指令致使资金未能及时清算所</w:t>
      </w:r>
      <w:r>
        <w:rPr>
          <w:rFonts w:hint="eastAsia" w:ascii="宋体" w:hAnsi="宋体" w:cs="Arial"/>
          <w:szCs w:val="21"/>
        </w:rPr>
        <w:t>造成的损失，</w:t>
      </w:r>
      <w:r>
        <w:rPr>
          <w:rFonts w:hint="eastAsia" w:ascii="宋体" w:hAnsi="宋体"/>
          <w:szCs w:val="21"/>
        </w:rPr>
        <w:t>由基金管理人</w:t>
      </w:r>
      <w:r>
        <w:rPr>
          <w:rFonts w:hint="eastAsia" w:ascii="宋体" w:hAnsi="宋体" w:cs="Arial"/>
          <w:szCs w:val="21"/>
        </w:rPr>
        <w:t>承担</w:t>
      </w:r>
      <w:r>
        <w:rPr>
          <w:rFonts w:hint="eastAsia" w:ascii="宋体" w:hAnsi="宋体"/>
          <w:szCs w:val="21"/>
        </w:rPr>
        <w:t>。因基金管理人原因造成的传输不及时、未能留出足够执行时间、未能及时与基金托管人进行指令确认致使资金未能及时清算或交易失败所造成的损失由基金管理人承担。基金托管人正确执行基金管理人发送的有效指令，基金财产发生损失的，基金托管人不承担相应的责任。在正常业务受理渠道和指令规定的时间内，因基金托管人原因造成未能及时或正确执行合法合规的指令而导致基金财产受损的，基金托管人应承担相应的责任，但如遇到不可抗力的情况除外。</w:t>
      </w:r>
    </w:p>
    <w:p w14:paraId="1466072D">
      <w:pPr>
        <w:adjustRightInd w:val="0"/>
        <w:snapToGrid w:val="0"/>
        <w:spacing w:line="360" w:lineRule="auto"/>
        <w:ind w:firstLine="420" w:firstLineChars="200"/>
        <w:rPr>
          <w:rFonts w:ascii="宋体" w:hAnsi="宋体" w:cs="Arial"/>
          <w:szCs w:val="21"/>
        </w:rPr>
      </w:pPr>
      <w:r>
        <w:rPr>
          <w:rFonts w:hint="eastAsia" w:ascii="宋体" w:hAnsi="宋体"/>
          <w:szCs w:val="21"/>
        </w:rPr>
        <w:t>基金托管人根据本协议相关规定履行印鉴和签名的表面一致性形式审核职责，如果基金管理人的指令存在事实上未经授权、欺诈、伪造或未能及时提供授权通知书等情形，基金托管人不承担因执行有关指令或拒绝执行有关指令而给基金管理人或基金资产或任何第三方带来的损失，全部责任由基金管理人承担，但基金托管人未按本协议约定尽形式审核义务执行指令而造成损失的情形除外</w:t>
      </w:r>
      <w:r>
        <w:rPr>
          <w:rFonts w:hint="eastAsia" w:ascii="宋体" w:hAnsi="宋体" w:cs="Arial"/>
          <w:szCs w:val="21"/>
        </w:rPr>
        <w:t>。</w:t>
      </w:r>
    </w:p>
    <w:p w14:paraId="79AD231F">
      <w:pPr>
        <w:adjustRightInd w:val="0"/>
        <w:spacing w:line="360" w:lineRule="auto"/>
        <w:contextualSpacing/>
        <w:rPr>
          <w:rFonts w:ascii="宋体" w:hAnsi="宋体" w:cs="Arial"/>
          <w:szCs w:val="21"/>
        </w:rPr>
      </w:pPr>
    </w:p>
    <w:bookmarkEnd w:id="87"/>
    <w:p w14:paraId="05127A96">
      <w:pPr>
        <w:adjustRightInd w:val="0"/>
        <w:snapToGrid w:val="0"/>
        <w:spacing w:line="360" w:lineRule="auto"/>
        <w:ind w:firstLine="420" w:firstLineChars="200"/>
        <w:rPr>
          <w:rFonts w:ascii="宋体" w:hAnsi="宋体"/>
        </w:rPr>
        <w:sectPr>
          <w:footerReference r:id="rId13" w:type="default"/>
          <w:pgSz w:w="11906" w:h="16838"/>
          <w:pgMar w:top="1418" w:right="1701" w:bottom="1418" w:left="1701" w:header="851" w:footer="992" w:gutter="0"/>
          <w:pgNumType w:start="1"/>
          <w:cols w:space="425" w:num="1"/>
          <w:docGrid w:type="lines" w:linePitch="312" w:charSpace="0"/>
        </w:sectPr>
      </w:pPr>
    </w:p>
    <w:p w14:paraId="37A8C326">
      <w:pPr>
        <w:pStyle w:val="3"/>
        <w:spacing w:before="312" w:beforeLines="100" w:after="156" w:afterLines="50" w:line="360" w:lineRule="auto"/>
        <w:jc w:val="center"/>
        <w:rPr>
          <w:rFonts w:ascii="宋体" w:hAnsi="宋体" w:eastAsia="宋体"/>
          <w:sz w:val="21"/>
          <w:szCs w:val="21"/>
        </w:rPr>
      </w:pPr>
      <w:bookmarkStart w:id="88" w:name="_Toc86727358"/>
      <w:bookmarkStart w:id="89" w:name="_Toc108512361"/>
      <w:bookmarkStart w:id="90" w:name="_Toc110830495"/>
      <w:bookmarkStart w:id="91" w:name="_Toc118972651"/>
      <w:bookmarkStart w:id="92" w:name="_Toc119402713"/>
      <w:bookmarkStart w:id="93" w:name="_Toc348082035"/>
      <w:bookmarkStart w:id="94" w:name="_Toc384992697"/>
      <w:bookmarkStart w:id="95" w:name="_Toc86223245"/>
      <w:bookmarkStart w:id="96" w:name="_Toc84234390"/>
      <w:bookmarkStart w:id="97" w:name="_Toc86737932"/>
      <w:bookmarkStart w:id="98" w:name="_Toc110761799"/>
      <w:bookmarkStart w:id="99" w:name="_Toc86225294"/>
      <w:bookmarkStart w:id="100" w:name="_Toc501274919"/>
      <w:bookmarkStart w:id="101" w:name="_Toc110765663"/>
      <w:bookmarkStart w:id="102" w:name="_Toc86726442"/>
      <w:bookmarkStart w:id="103" w:name="_Toc118212953"/>
      <w:bookmarkStart w:id="104" w:name="_Toc86204791"/>
      <w:bookmarkStart w:id="105" w:name="_Toc84234437"/>
      <w:bookmarkStart w:id="106" w:name="_Toc84133788"/>
      <w:bookmarkStart w:id="107" w:name="_Toc118774806"/>
      <w:bookmarkStart w:id="108" w:name="_Toc89163371"/>
      <w:bookmarkStart w:id="109" w:name="_Toc86649725"/>
      <w:bookmarkStart w:id="110" w:name="_Toc120435786"/>
      <w:bookmarkStart w:id="111" w:name="CLAUSE_62cad44440fe47f78d3b107b14bfd20c"/>
      <w:r>
        <w:rPr>
          <w:rFonts w:hint="eastAsia" w:ascii="宋体" w:hAnsi="宋体" w:eastAsia="宋体"/>
          <w:sz w:val="21"/>
          <w:szCs w:val="21"/>
        </w:rPr>
        <w:t>七、交易及清算交收安排</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2366597E">
      <w:pPr>
        <w:adjustRightInd w:val="0"/>
        <w:snapToGrid w:val="0"/>
        <w:spacing w:line="360" w:lineRule="auto"/>
        <w:ind w:firstLine="420" w:firstLineChars="200"/>
        <w:rPr>
          <w:rFonts w:ascii="宋体" w:hAnsi="宋体"/>
          <w:szCs w:val="21"/>
        </w:rPr>
      </w:pPr>
      <w:r>
        <w:rPr>
          <w:rFonts w:hint="eastAsia" w:ascii="宋体" w:hAnsi="宋体"/>
          <w:szCs w:val="21"/>
        </w:rPr>
        <w:t>（一）选择代理证券、期货买卖的证券、期货经营机构</w:t>
      </w:r>
    </w:p>
    <w:p w14:paraId="691F4331">
      <w:pPr>
        <w:adjustRightInd w:val="0"/>
        <w:snapToGrid w:val="0"/>
        <w:spacing w:line="360" w:lineRule="auto"/>
        <w:ind w:firstLine="420" w:firstLineChars="200"/>
        <w:rPr>
          <w:rFonts w:ascii="宋体" w:hAnsi="宋体"/>
          <w:szCs w:val="21"/>
        </w:rPr>
      </w:pPr>
      <w:r>
        <w:rPr>
          <w:rFonts w:hint="eastAsia" w:ascii="宋体" w:hAnsi="宋体"/>
          <w:szCs w:val="21"/>
        </w:rPr>
        <w:t>1、基金管理人应设计选择代理证券买卖的证券经营机构的标准和程序，并按照有关合同和规定行使基金财产投资权利而应承担的义务，包括但不限于选择经纪商及投资标的等。基金管理人负责选择代理本基金证券买卖的证券经营机构，使用其交易单元作为基金的交易单元。基金管理人和被选中的证券经营机构签订委托协议，基金管理人应提前通知基金托管人，并将交易单元租用协议及相关文件及时送达基金托管人，确保基金托管人申请接收结算数据。基金管理人应根据有关规定，在基金的中期报告和年度报告中将所选证券经营机构的有关情况、基金通过该证券经营机构买卖证券的成交量、回购成交量和支付的佣金等予以披露，并将该等情况及基金交易单元号、佣金费率等基本信息以及变更情况及时以书面形式通知基金托管人。</w:t>
      </w:r>
    </w:p>
    <w:p w14:paraId="554A44F8">
      <w:pPr>
        <w:adjustRightInd w:val="0"/>
        <w:snapToGrid w:val="0"/>
        <w:spacing w:line="360" w:lineRule="auto"/>
        <w:ind w:firstLine="420" w:firstLineChars="200"/>
        <w:rPr>
          <w:rFonts w:ascii="宋体" w:hAnsi="宋体"/>
          <w:szCs w:val="21"/>
        </w:rPr>
      </w:pPr>
      <w:r>
        <w:rPr>
          <w:rFonts w:hint="eastAsia" w:ascii="宋体" w:hAnsi="宋体"/>
          <w:szCs w:val="21"/>
        </w:rPr>
        <w:t>2、基金管理人负责选择代理本基金期货交易的期货经纪机构，并与其签订期货经纪合同，其他事宜根据法律法规、《基金合同》的相关规定执行，若无明确规定的，可参照有关证券买卖、证券经纪机构选择的规则执行。</w:t>
      </w:r>
    </w:p>
    <w:p w14:paraId="7C7C31B9">
      <w:pPr>
        <w:adjustRightInd w:val="0"/>
        <w:snapToGrid w:val="0"/>
        <w:spacing w:line="360" w:lineRule="auto"/>
        <w:ind w:firstLine="420" w:firstLineChars="200"/>
        <w:rPr>
          <w:rFonts w:ascii="宋体" w:hAnsi="宋体"/>
          <w:szCs w:val="21"/>
        </w:rPr>
      </w:pPr>
      <w:r>
        <w:rPr>
          <w:rFonts w:hint="eastAsia" w:ascii="宋体" w:hAnsi="宋体"/>
          <w:szCs w:val="21"/>
        </w:rPr>
        <w:t>（1）基金管理人所选择的期货公司负责办理委托资产的期货交易的清算交割。</w:t>
      </w:r>
    </w:p>
    <w:p w14:paraId="68C1678D">
      <w:pPr>
        <w:adjustRightInd w:val="0"/>
        <w:snapToGrid w:val="0"/>
        <w:spacing w:line="360" w:lineRule="auto"/>
        <w:ind w:firstLine="420" w:firstLineChars="200"/>
        <w:rPr>
          <w:rFonts w:ascii="宋体" w:hAnsi="宋体"/>
          <w:szCs w:val="21"/>
        </w:rPr>
      </w:pPr>
      <w:r>
        <w:rPr>
          <w:rFonts w:hint="eastAsia" w:ascii="宋体" w:hAnsi="宋体"/>
          <w:szCs w:val="21"/>
        </w:rPr>
        <w:t>（2）基金管理人应责成其选择的期货公司通过深证通向基金托管人及基金管理人发送以市场监控中心格式显示本基金成交结果的交易结算报告及参照市场监控中心格式制作的显示本基金期货保证金账户权益状况的交易结算报告。经基金托管人同意，可采用电子邮件的传送方式作为应急备份方式传输当日交易结算数据。</w:t>
      </w:r>
    </w:p>
    <w:p w14:paraId="6E4EAA09">
      <w:pPr>
        <w:adjustRightInd w:val="0"/>
        <w:snapToGrid w:val="0"/>
        <w:spacing w:line="360" w:lineRule="auto"/>
        <w:ind w:firstLine="420" w:firstLineChars="200"/>
        <w:rPr>
          <w:rFonts w:ascii="宋体" w:hAnsi="宋体"/>
          <w:szCs w:val="21"/>
        </w:rPr>
      </w:pPr>
      <w:r>
        <w:rPr>
          <w:rFonts w:hint="eastAsia" w:ascii="宋体" w:hAnsi="宋体"/>
          <w:szCs w:val="21"/>
        </w:rPr>
        <w:t>正常情况下当日交易结算报告的发送时间应在交易日当日的17：00之前。因交易所原因而造成数据延迟发送的，基金管理人应及时通知基金托管人，并在恢复后告知期货公司立即发送至基金托管人，并电话确认数据接收状况。若期货公司发送的期货数据有误，重新向基金管理人、基金托管人发送的，基金管理人应责成期货公司在发送新的期货数据后立即通知基金托管人，并电话确认数据接收状况。</w:t>
      </w:r>
    </w:p>
    <w:p w14:paraId="53F1FC7C">
      <w:pPr>
        <w:adjustRightInd w:val="0"/>
        <w:snapToGrid w:val="0"/>
        <w:spacing w:line="360" w:lineRule="auto"/>
        <w:ind w:firstLine="420" w:firstLineChars="200"/>
        <w:rPr>
          <w:rFonts w:ascii="宋体" w:hAnsi="宋体"/>
          <w:szCs w:val="21"/>
        </w:rPr>
      </w:pPr>
      <w:r>
        <w:rPr>
          <w:rFonts w:hint="eastAsia" w:ascii="宋体" w:hAnsi="宋体"/>
          <w:szCs w:val="21"/>
        </w:rPr>
        <w:t>（3）基金管理人应责成其选择的期货公司对发送的数据的准确性、完整性、真实性负责。</w:t>
      </w:r>
    </w:p>
    <w:p w14:paraId="3B53CD7A">
      <w:pPr>
        <w:adjustRightInd w:val="0"/>
        <w:snapToGrid w:val="0"/>
        <w:spacing w:line="360" w:lineRule="auto"/>
        <w:ind w:firstLine="420" w:firstLineChars="200"/>
        <w:rPr>
          <w:rFonts w:ascii="宋体" w:hAnsi="宋体"/>
          <w:szCs w:val="21"/>
        </w:rPr>
      </w:pPr>
      <w:r>
        <w:rPr>
          <w:rFonts w:hint="eastAsia" w:ascii="宋体" w:hAnsi="宋体"/>
          <w:szCs w:val="21"/>
        </w:rPr>
        <w:t>由于交易结算报告的记载事项出现与实际交易结果和权益不符造成本基金估值计算错误的，应由基金管理人负责向数据发送方追偿，基金托管人不承担责任。</w:t>
      </w:r>
    </w:p>
    <w:p w14:paraId="34148C4B">
      <w:pPr>
        <w:adjustRightInd w:val="0"/>
        <w:snapToGrid w:val="0"/>
        <w:spacing w:line="360" w:lineRule="auto"/>
        <w:ind w:firstLine="420" w:firstLineChars="200"/>
        <w:rPr>
          <w:rFonts w:ascii="宋体" w:hAnsi="宋体"/>
          <w:szCs w:val="21"/>
        </w:rPr>
      </w:pPr>
      <w:r>
        <w:rPr>
          <w:rFonts w:hint="eastAsia" w:ascii="宋体" w:hAnsi="宋体"/>
          <w:szCs w:val="21"/>
        </w:rPr>
        <w:t>（二）基金投资证券后的清算交收安排</w:t>
      </w:r>
    </w:p>
    <w:p w14:paraId="29C10B78">
      <w:pPr>
        <w:adjustRightInd w:val="0"/>
        <w:snapToGrid w:val="0"/>
        <w:spacing w:line="360" w:lineRule="auto"/>
        <w:ind w:firstLine="420" w:firstLineChars="200"/>
        <w:rPr>
          <w:rFonts w:ascii="宋体" w:hAnsi="宋体"/>
          <w:szCs w:val="21"/>
        </w:rPr>
      </w:pPr>
      <w:r>
        <w:rPr>
          <w:rFonts w:hint="eastAsia" w:ascii="宋体" w:hAnsi="宋体"/>
        </w:rPr>
        <w:t>基金管理人和基金托管人在基金财产场内清算交收及相关风险控制方面的职责按照附件《托管银行证券资金结算规定》的要求执行。</w:t>
      </w:r>
    </w:p>
    <w:p w14:paraId="019A6A7C">
      <w:pPr>
        <w:adjustRightInd w:val="0"/>
        <w:snapToGrid w:val="0"/>
        <w:spacing w:line="360" w:lineRule="auto"/>
        <w:ind w:firstLine="420" w:firstLineChars="200"/>
        <w:rPr>
          <w:rFonts w:ascii="宋体" w:hAnsi="宋体"/>
          <w:szCs w:val="21"/>
        </w:rPr>
      </w:pPr>
      <w:r>
        <w:rPr>
          <w:rFonts w:hint="eastAsia" w:ascii="宋体" w:hAnsi="宋体"/>
          <w:szCs w:val="21"/>
        </w:rPr>
        <w:t>（三）基金申购、赎回和转换业务处理的基本规定</w:t>
      </w:r>
    </w:p>
    <w:p w14:paraId="72CE23DB">
      <w:pPr>
        <w:adjustRightInd w:val="0"/>
        <w:snapToGrid w:val="0"/>
        <w:spacing w:line="360" w:lineRule="auto"/>
        <w:ind w:firstLine="420" w:firstLineChars="200"/>
        <w:rPr>
          <w:rFonts w:ascii="宋体" w:hAnsi="宋体"/>
          <w:szCs w:val="21"/>
        </w:rPr>
      </w:pPr>
      <w:r>
        <w:rPr>
          <w:rFonts w:hint="eastAsia" w:ascii="宋体" w:hAnsi="宋体"/>
          <w:szCs w:val="21"/>
        </w:rPr>
        <w:t>1.基金份额申购、赎回、转换的确认、清算由基金管理人或其委托的登记机构负责。</w:t>
      </w:r>
    </w:p>
    <w:p w14:paraId="12B394FC">
      <w:pPr>
        <w:adjustRightInd w:val="0"/>
        <w:snapToGrid w:val="0"/>
        <w:spacing w:line="360" w:lineRule="auto"/>
        <w:ind w:firstLine="420" w:firstLineChars="200"/>
        <w:rPr>
          <w:rFonts w:ascii="宋体" w:hAnsi="宋体"/>
          <w:szCs w:val="21"/>
        </w:rPr>
      </w:pPr>
      <w:r>
        <w:rPr>
          <w:rFonts w:hint="eastAsia" w:ascii="宋体" w:hAnsi="宋体"/>
          <w:szCs w:val="21"/>
        </w:rPr>
        <w:t>2.基金管理人应将每个开放日的申购、赎回、转换开放式基金的数据传送给基金托管人。基金管理人应对传递的申购、赎回、转换开放式基金的数据真实性和准确性负责。基金托管人应及时查收申购及转入资金的到账情况并根据基金管理人指令及时划付赎回及转出款项。</w:t>
      </w:r>
    </w:p>
    <w:p w14:paraId="7B02E17B">
      <w:pPr>
        <w:adjustRightInd w:val="0"/>
        <w:snapToGrid w:val="0"/>
        <w:spacing w:line="360" w:lineRule="auto"/>
        <w:ind w:firstLine="420" w:firstLineChars="200"/>
        <w:rPr>
          <w:rFonts w:ascii="宋体" w:hAnsi="宋体"/>
          <w:szCs w:val="21"/>
        </w:rPr>
      </w:pPr>
      <w:r>
        <w:rPr>
          <w:rFonts w:hint="eastAsia" w:ascii="宋体" w:hAnsi="宋体"/>
          <w:szCs w:val="21"/>
        </w:rPr>
        <w:t>3.基金管理人应保证本基金（或本基金管理人委托）的登记机构每个工作日15:00前向基金托管人发送前一开放日上述有关数据，并保证相关数据的准确、完整。</w:t>
      </w:r>
    </w:p>
    <w:p w14:paraId="20BB4F47">
      <w:pPr>
        <w:adjustRightInd w:val="0"/>
        <w:snapToGrid w:val="0"/>
        <w:spacing w:line="360" w:lineRule="auto"/>
        <w:ind w:firstLine="420" w:firstLineChars="200"/>
        <w:rPr>
          <w:rFonts w:ascii="宋体" w:hAnsi="宋体"/>
          <w:szCs w:val="21"/>
        </w:rPr>
      </w:pPr>
      <w:r>
        <w:rPr>
          <w:rFonts w:hint="eastAsia" w:ascii="宋体" w:hAnsi="宋体"/>
          <w:szCs w:val="21"/>
        </w:rPr>
        <w:t>4.登记机构应通过与基金管理人建立的系统发送有关数据，由基金管理人向基金托管人发送有关数据，如因各种原因，该系统无法正常发送，双方可协商解决处理方式。基金管理人向基金托管人发送的数据，双方各自按有关规定保存。</w:t>
      </w:r>
    </w:p>
    <w:p w14:paraId="6ED76EB8">
      <w:pPr>
        <w:adjustRightInd w:val="0"/>
        <w:snapToGrid w:val="0"/>
        <w:spacing w:line="360" w:lineRule="auto"/>
        <w:ind w:firstLine="420" w:firstLineChars="200"/>
        <w:rPr>
          <w:rFonts w:ascii="宋体" w:hAnsi="宋体"/>
          <w:szCs w:val="21"/>
        </w:rPr>
      </w:pPr>
      <w:r>
        <w:rPr>
          <w:rFonts w:hint="eastAsia" w:ascii="宋体" w:hAnsi="宋体"/>
          <w:szCs w:val="21"/>
        </w:rPr>
        <w:t>5.如基金管理人委托其他机构办理本基金的登记业务，应保证上述相关事宜按时进行。否则，由基金管理人承担相应的责任。</w:t>
      </w:r>
    </w:p>
    <w:p w14:paraId="45F49BBD">
      <w:pPr>
        <w:adjustRightInd w:val="0"/>
        <w:snapToGrid w:val="0"/>
        <w:spacing w:line="360" w:lineRule="auto"/>
        <w:ind w:firstLine="420" w:firstLineChars="200"/>
        <w:rPr>
          <w:rFonts w:ascii="宋体" w:hAnsi="宋体"/>
          <w:szCs w:val="21"/>
        </w:rPr>
      </w:pPr>
      <w:r>
        <w:rPr>
          <w:rFonts w:hint="eastAsia" w:ascii="宋体" w:hAnsi="宋体"/>
          <w:szCs w:val="21"/>
        </w:rPr>
        <w:t>6.关于清算专用账户的设立和管理</w:t>
      </w:r>
    </w:p>
    <w:p w14:paraId="3B147CD6">
      <w:pPr>
        <w:adjustRightInd w:val="0"/>
        <w:snapToGrid w:val="0"/>
        <w:spacing w:line="360" w:lineRule="auto"/>
        <w:ind w:firstLine="420" w:firstLineChars="200"/>
        <w:rPr>
          <w:rFonts w:ascii="宋体" w:hAnsi="宋体"/>
          <w:szCs w:val="21"/>
        </w:rPr>
      </w:pPr>
      <w:r>
        <w:rPr>
          <w:rFonts w:hint="eastAsia" w:ascii="宋体" w:hAnsi="宋体"/>
          <w:szCs w:val="21"/>
        </w:rPr>
        <w:t>为满足申购、赎回、转换及分红资金汇划的需要，由基金管理人开立资金清算的专用账户，该账户由登记机构管理。</w:t>
      </w:r>
    </w:p>
    <w:p w14:paraId="2DD6AAFA">
      <w:pPr>
        <w:adjustRightInd w:val="0"/>
        <w:snapToGrid w:val="0"/>
        <w:spacing w:line="360" w:lineRule="auto"/>
        <w:ind w:firstLine="420" w:firstLineChars="200"/>
        <w:rPr>
          <w:rFonts w:ascii="宋体" w:hAnsi="宋体"/>
          <w:szCs w:val="21"/>
        </w:rPr>
      </w:pPr>
      <w:r>
        <w:rPr>
          <w:rFonts w:hint="eastAsia" w:ascii="宋体" w:hAnsi="宋体"/>
          <w:szCs w:val="21"/>
        </w:rPr>
        <w:t>7.对于基金申购、转换过程中产生的应收款，应由基金管理人负责与有关当事人确定到账日期并通知基金托管人，到账日应收款没有到达基金资金账户的，基金托管人应及时通知基金管理人采取措施进行催收，由此造成基金损失的，基金管理人应负责向有关当事人追偿基金的损失，基金托管人应提供必要的协助。</w:t>
      </w:r>
    </w:p>
    <w:p w14:paraId="4B844FF4">
      <w:pPr>
        <w:adjustRightInd w:val="0"/>
        <w:snapToGrid w:val="0"/>
        <w:spacing w:line="360" w:lineRule="auto"/>
        <w:ind w:firstLine="420" w:firstLineChars="200"/>
        <w:rPr>
          <w:rFonts w:ascii="宋体" w:hAnsi="宋体"/>
          <w:szCs w:val="21"/>
        </w:rPr>
      </w:pPr>
      <w:r>
        <w:rPr>
          <w:rFonts w:hint="eastAsia" w:ascii="宋体" w:hAnsi="宋体"/>
          <w:szCs w:val="21"/>
        </w:rPr>
        <w:t>8.赎回、转换资金划拨规定</w:t>
      </w:r>
    </w:p>
    <w:p w14:paraId="36A35626">
      <w:pPr>
        <w:adjustRightInd w:val="0"/>
        <w:snapToGrid w:val="0"/>
        <w:spacing w:line="360" w:lineRule="auto"/>
        <w:ind w:firstLine="420" w:firstLineChars="200"/>
        <w:rPr>
          <w:rFonts w:ascii="宋体" w:hAnsi="宋体"/>
          <w:szCs w:val="21"/>
        </w:rPr>
      </w:pPr>
      <w:r>
        <w:rPr>
          <w:rFonts w:hint="eastAsia" w:ascii="宋体" w:hAnsi="宋体"/>
          <w:szCs w:val="21"/>
        </w:rPr>
        <w:t>拨付赎回款、转换转出款时，如基金资金账户有足够的资金，基金托管人应按时拨付；因基金资金账户没有足够的资金，导致基金托管人不能按时拨付，基金托管人应及时通知基金管理人，基金托管人不承担责任；责任由基金管理人承担，基金托管人不承担垫款义务。</w:t>
      </w:r>
    </w:p>
    <w:p w14:paraId="353A4795">
      <w:pPr>
        <w:adjustRightInd w:val="0"/>
        <w:snapToGrid w:val="0"/>
        <w:spacing w:line="360" w:lineRule="auto"/>
        <w:ind w:firstLine="420" w:firstLineChars="200"/>
        <w:rPr>
          <w:rFonts w:ascii="宋体" w:hAnsi="宋体"/>
          <w:szCs w:val="21"/>
        </w:rPr>
      </w:pPr>
      <w:r>
        <w:rPr>
          <w:rFonts w:hint="eastAsia" w:ascii="宋体" w:hAnsi="宋体"/>
          <w:szCs w:val="21"/>
        </w:rPr>
        <w:t>9.资金指令</w:t>
      </w:r>
    </w:p>
    <w:p w14:paraId="0E0E1C85">
      <w:pPr>
        <w:adjustRightInd w:val="0"/>
        <w:snapToGrid w:val="0"/>
        <w:spacing w:line="360" w:lineRule="auto"/>
        <w:ind w:firstLine="420" w:firstLineChars="200"/>
        <w:rPr>
          <w:rFonts w:ascii="宋体" w:hAnsi="宋体"/>
          <w:szCs w:val="21"/>
        </w:rPr>
      </w:pPr>
      <w:r>
        <w:rPr>
          <w:rFonts w:hint="eastAsia" w:ascii="宋体" w:hAnsi="宋体"/>
          <w:szCs w:val="21"/>
        </w:rPr>
        <w:t>除申购款项到达基金资金账户需双方按约定方式对账外，与投资有关的付款、赎回和分红资金划拨时，基金管理人需向基金托管人下达指令。</w:t>
      </w:r>
    </w:p>
    <w:p w14:paraId="38F1CE53">
      <w:pPr>
        <w:adjustRightInd w:val="0"/>
        <w:snapToGrid w:val="0"/>
        <w:spacing w:line="360" w:lineRule="auto"/>
        <w:ind w:firstLine="420" w:firstLineChars="200"/>
        <w:rPr>
          <w:rFonts w:ascii="宋体" w:hAnsi="宋体"/>
          <w:szCs w:val="21"/>
        </w:rPr>
      </w:pPr>
      <w:r>
        <w:rPr>
          <w:rFonts w:hint="eastAsia" w:ascii="宋体" w:hAnsi="宋体"/>
          <w:szCs w:val="21"/>
        </w:rPr>
        <w:t>资金指令的格式、内容、发送、接收和确认方式等与投资指令相同。</w:t>
      </w:r>
    </w:p>
    <w:p w14:paraId="0EF5F990">
      <w:pPr>
        <w:adjustRightInd w:val="0"/>
        <w:snapToGrid w:val="0"/>
        <w:spacing w:line="360" w:lineRule="auto"/>
        <w:ind w:firstLine="420" w:firstLineChars="200"/>
        <w:rPr>
          <w:rFonts w:ascii="宋体" w:hAnsi="宋体"/>
          <w:szCs w:val="21"/>
        </w:rPr>
      </w:pPr>
      <w:r>
        <w:rPr>
          <w:rFonts w:hint="eastAsia" w:ascii="宋体" w:hAnsi="宋体"/>
          <w:szCs w:val="21"/>
        </w:rPr>
        <w:t>（四）资金净额结算</w:t>
      </w:r>
    </w:p>
    <w:p w14:paraId="1E456F5C">
      <w:pPr>
        <w:adjustRightInd w:val="0"/>
        <w:snapToGrid w:val="0"/>
        <w:spacing w:line="360" w:lineRule="auto"/>
        <w:ind w:firstLine="420" w:firstLineChars="200"/>
        <w:rPr>
          <w:rFonts w:ascii="宋体" w:hAnsi="宋体" w:cs="Arial"/>
          <w:szCs w:val="21"/>
        </w:rPr>
      </w:pPr>
      <w:r>
        <w:rPr>
          <w:rFonts w:hint="eastAsia" w:ascii="宋体" w:hAnsi="宋体"/>
          <w:szCs w:val="21"/>
        </w:rPr>
        <w:t>基金托管账户与“基金清算账户”间的资金结算遵循“全额清算、净额交收”的原则，每日按照托管账户应收资金（申购申请对应申购净额与基金转换转入申请对应净额之和）与应付资金（赎回申请对应赎回金额扣除归基金资产的费用与基金转换转出申请对应金额扣除归基金资产的费用之和）的差额来确定托管账户净应收额或净应付额，以此确定资金交收额。</w:t>
      </w:r>
      <w:r>
        <w:rPr>
          <w:rFonts w:hint="eastAsia" w:ascii="宋体" w:hAnsi="宋体" w:cs="Arial"/>
          <w:szCs w:val="21"/>
        </w:rPr>
        <w:t>基金托管人应当为基金管理人提供适当方式，便于基金管理人进行查询和账务管理。当存在资金账户净应收额时，基金管理人应在交收日15:00时之前从基金清算账户划往基金资金账户，基金管理人通过基金托管人提供的方式查询结果；当存在资金账户净应付额时，基金托管人按照基金管理人的划款指令将托管账户净应付额在交收日及时划往基金清算账户，基金管理人通过基金托管人提供的方式查询结果。</w:t>
      </w:r>
    </w:p>
    <w:p w14:paraId="3C72D604">
      <w:pPr>
        <w:adjustRightInd w:val="0"/>
        <w:snapToGrid w:val="0"/>
        <w:spacing w:line="360" w:lineRule="auto"/>
        <w:ind w:firstLine="420" w:firstLineChars="200"/>
        <w:rPr>
          <w:rFonts w:ascii="宋体" w:hAnsi="宋体" w:cs="Arial"/>
          <w:i/>
          <w:szCs w:val="21"/>
        </w:rPr>
      </w:pPr>
      <w:r>
        <w:rPr>
          <w:rFonts w:hint="eastAsia" w:ascii="宋体" w:hAnsi="宋体" w:cs="Arial"/>
          <w:szCs w:val="21"/>
        </w:rPr>
        <w:t>当存在资金账户净应付额时，如基金银行账户有足够的资金，基金托管人应按时划付；因基金资金账户没有足够的资金，导致基金托管人不能按时划付，基金托管人应及时通知基金管理人，基金托管人不承担责任；如系基金管理人的原因造成，责任由基金管理人承担，基金托管人不承担垫款义务。</w:t>
      </w:r>
    </w:p>
    <w:p w14:paraId="3F864E6F">
      <w:pPr>
        <w:adjustRightInd w:val="0"/>
        <w:snapToGrid w:val="0"/>
        <w:spacing w:line="360" w:lineRule="auto"/>
        <w:ind w:firstLine="420" w:firstLineChars="200"/>
        <w:rPr>
          <w:rFonts w:ascii="宋体" w:hAnsi="宋体"/>
          <w:szCs w:val="21"/>
        </w:rPr>
      </w:pPr>
      <w:r>
        <w:rPr>
          <w:rFonts w:hint="eastAsia" w:ascii="宋体" w:hAnsi="宋体"/>
          <w:szCs w:val="21"/>
        </w:rPr>
        <w:t>（</w:t>
      </w:r>
      <w:r>
        <w:rPr>
          <w:rFonts w:hint="eastAsia" w:ascii="宋体" w:hAnsi="宋体" w:cs="Arial"/>
          <w:szCs w:val="21"/>
        </w:rPr>
        <w:t>五</w:t>
      </w:r>
      <w:r>
        <w:rPr>
          <w:rFonts w:hint="eastAsia" w:ascii="宋体" w:hAnsi="宋体"/>
          <w:szCs w:val="21"/>
        </w:rPr>
        <w:t>）基金现金分红</w:t>
      </w:r>
    </w:p>
    <w:p w14:paraId="6554333B">
      <w:pPr>
        <w:adjustRightInd w:val="0"/>
        <w:snapToGrid w:val="0"/>
        <w:spacing w:line="360" w:lineRule="auto"/>
        <w:ind w:firstLine="420" w:firstLineChars="200"/>
        <w:rPr>
          <w:rFonts w:ascii="宋体" w:hAnsi="宋体"/>
          <w:szCs w:val="21"/>
        </w:rPr>
      </w:pPr>
      <w:r>
        <w:rPr>
          <w:rFonts w:hint="eastAsia" w:ascii="宋体" w:hAnsi="宋体"/>
          <w:szCs w:val="21"/>
        </w:rPr>
        <w:t>1.基金管理人确定分红方案通知基金托管人，双方核定后依照《信息披露办法》的有关规定在中国证监会规定媒介上公告。</w:t>
      </w:r>
    </w:p>
    <w:p w14:paraId="46CE5D04">
      <w:pPr>
        <w:adjustRightInd w:val="0"/>
        <w:snapToGrid w:val="0"/>
        <w:spacing w:line="360" w:lineRule="auto"/>
        <w:ind w:firstLine="420" w:firstLineChars="200"/>
        <w:rPr>
          <w:rFonts w:ascii="宋体" w:hAnsi="宋体"/>
          <w:szCs w:val="21"/>
        </w:rPr>
      </w:pPr>
      <w:r>
        <w:rPr>
          <w:rFonts w:hint="eastAsia" w:ascii="宋体" w:hAnsi="宋体"/>
          <w:szCs w:val="21"/>
        </w:rPr>
        <w:t>2.基金托管人和基金管理人对基金分红进行账务处理并核对后，基金管理人向基金托管人发送现金红利的划款指令，基金托管人应根据指令及时将分红款划往基金清算账户。</w:t>
      </w:r>
    </w:p>
    <w:p w14:paraId="5473DA82">
      <w:pPr>
        <w:adjustRightInd w:val="0"/>
        <w:snapToGrid w:val="0"/>
        <w:spacing w:line="360" w:lineRule="auto"/>
        <w:ind w:firstLine="420" w:firstLineChars="200"/>
        <w:rPr>
          <w:rFonts w:ascii="宋体" w:hAnsi="宋体" w:cs="Arial"/>
          <w:szCs w:val="21"/>
        </w:rPr>
      </w:pPr>
      <w:r>
        <w:rPr>
          <w:rFonts w:hint="eastAsia" w:ascii="宋体" w:hAnsi="宋体"/>
          <w:szCs w:val="21"/>
        </w:rPr>
        <w:t>3.基金管理人在下达指令时，应给基金托管人留出必需的划款时间。</w:t>
      </w:r>
    </w:p>
    <w:bookmarkEnd w:id="111"/>
    <w:p w14:paraId="4EBC0198">
      <w:pPr>
        <w:adjustRightInd w:val="0"/>
        <w:snapToGrid w:val="0"/>
        <w:spacing w:line="360" w:lineRule="auto"/>
        <w:ind w:firstLine="420" w:firstLineChars="200"/>
        <w:rPr>
          <w:rFonts w:ascii="宋体" w:hAnsi="宋体"/>
        </w:rPr>
        <w:sectPr>
          <w:footerReference r:id="rId14" w:type="default"/>
          <w:pgSz w:w="11906" w:h="16838"/>
          <w:pgMar w:top="1418" w:right="1701" w:bottom="1418" w:left="1701" w:header="851" w:footer="992" w:gutter="0"/>
          <w:pgNumType w:start="1"/>
          <w:cols w:space="425" w:num="1"/>
          <w:docGrid w:type="lines" w:linePitch="312" w:charSpace="0"/>
        </w:sectPr>
      </w:pPr>
    </w:p>
    <w:p w14:paraId="5AB5099D">
      <w:pPr>
        <w:pStyle w:val="3"/>
        <w:spacing w:before="312" w:beforeLines="100" w:after="156" w:afterLines="50" w:line="360" w:lineRule="auto"/>
        <w:jc w:val="center"/>
        <w:rPr>
          <w:rFonts w:ascii="宋体" w:hAnsi="宋体" w:eastAsia="宋体"/>
          <w:sz w:val="21"/>
          <w:szCs w:val="21"/>
        </w:rPr>
      </w:pPr>
      <w:bookmarkStart w:id="112" w:name="CTS_b74f232bf4734a47a2571e2ac752383e"/>
      <w:bookmarkEnd w:id="112"/>
      <w:bookmarkStart w:id="113" w:name="_Toc384992698"/>
      <w:bookmarkStart w:id="114" w:name="_Toc501274920"/>
      <w:bookmarkStart w:id="115" w:name="_Toc348082036"/>
      <w:bookmarkStart w:id="116" w:name="CLAUSE_b74f232bf4734a47a2571e2ac752383e"/>
      <w:r>
        <w:rPr>
          <w:rFonts w:hint="eastAsia" w:ascii="宋体" w:hAnsi="宋体" w:eastAsia="宋体"/>
          <w:sz w:val="21"/>
          <w:szCs w:val="21"/>
        </w:rPr>
        <w:t>八、基金资产净值计算、估值和会计核算</w:t>
      </w:r>
      <w:bookmarkEnd w:id="113"/>
      <w:bookmarkEnd w:id="114"/>
      <w:bookmarkEnd w:id="115"/>
    </w:p>
    <w:p w14:paraId="680917DF">
      <w:pPr>
        <w:adjustRightInd w:val="0"/>
        <w:snapToGrid w:val="0"/>
        <w:spacing w:line="360" w:lineRule="auto"/>
        <w:ind w:firstLine="420" w:firstLineChars="200"/>
        <w:rPr>
          <w:rFonts w:ascii="宋体" w:hAnsi="宋体" w:cs="Arial"/>
          <w:szCs w:val="21"/>
        </w:rPr>
      </w:pPr>
      <w:r>
        <w:rPr>
          <w:rFonts w:hint="eastAsia" w:ascii="宋体" w:hAnsi="宋体" w:cs="Arial"/>
          <w:szCs w:val="21"/>
        </w:rPr>
        <w:t>（一）基金资产净值的计算、复核与完成的时间及程序</w:t>
      </w:r>
    </w:p>
    <w:p w14:paraId="09C1E244">
      <w:pPr>
        <w:adjustRightInd w:val="0"/>
        <w:snapToGrid w:val="0"/>
        <w:spacing w:line="360" w:lineRule="auto"/>
        <w:ind w:firstLine="420" w:firstLineChars="200"/>
        <w:rPr>
          <w:rFonts w:ascii="宋体" w:hAnsi="宋体" w:cs="Arial"/>
          <w:szCs w:val="21"/>
        </w:rPr>
      </w:pPr>
      <w:r>
        <w:rPr>
          <w:rFonts w:hint="eastAsia" w:ascii="宋体" w:hAnsi="宋体" w:cs="Arial"/>
          <w:szCs w:val="21"/>
        </w:rPr>
        <w:t>1.基金资产净值</w:t>
      </w:r>
    </w:p>
    <w:p w14:paraId="40BEC68E">
      <w:pPr>
        <w:adjustRightInd w:val="0"/>
        <w:snapToGrid w:val="0"/>
        <w:spacing w:line="360" w:lineRule="auto"/>
        <w:ind w:firstLine="420" w:firstLineChars="200"/>
        <w:rPr>
          <w:rFonts w:ascii="宋体" w:hAnsi="宋体" w:cs="Arial"/>
          <w:szCs w:val="21"/>
        </w:rPr>
      </w:pPr>
      <w:r>
        <w:rPr>
          <w:rFonts w:hint="eastAsia" w:ascii="宋体" w:hAnsi="宋体" w:cs="Arial"/>
          <w:szCs w:val="21"/>
        </w:rPr>
        <w:t>基金资产净值是指基金资产总值减去基金负债后的价值。</w:t>
      </w:r>
    </w:p>
    <w:p w14:paraId="1B52F0CD">
      <w:pPr>
        <w:adjustRightInd w:val="0"/>
        <w:snapToGrid w:val="0"/>
        <w:spacing w:line="360" w:lineRule="auto"/>
        <w:ind w:firstLine="420" w:firstLineChars="200"/>
        <w:rPr>
          <w:rFonts w:ascii="宋体" w:hAnsi="宋体" w:cs="Arial"/>
          <w:szCs w:val="21"/>
        </w:rPr>
      </w:pPr>
      <w:bookmarkStart w:id="117" w:name="_Hlk107326274"/>
      <w:r>
        <w:rPr>
          <w:rFonts w:hint="eastAsia" w:ascii="宋体" w:hAnsi="宋体" w:cs="Arial"/>
          <w:szCs w:val="21"/>
        </w:rPr>
        <w:t>各类基金份额净值是按照每个工作日闭市后，该类基金份额的基金资产净值除以当日该类基金份额的余额数量计算，均精确到0.0001元，小数点后第五位四舍五入</w:t>
      </w:r>
      <w:bookmarkStart w:id="118" w:name="_Hlk111393271"/>
      <w:r>
        <w:rPr>
          <w:rFonts w:hint="eastAsia" w:ascii="宋体" w:hAnsi="宋体" w:cs="Arial"/>
          <w:szCs w:val="21"/>
        </w:rPr>
        <w:t>，由此产生的收益或损失由基金财产承担</w:t>
      </w:r>
      <w:bookmarkEnd w:id="118"/>
      <w:r>
        <w:rPr>
          <w:rFonts w:hint="eastAsia" w:ascii="宋体" w:hAnsi="宋体" w:cs="Arial"/>
          <w:szCs w:val="21"/>
        </w:rPr>
        <w:t>。基金管理人可以设立大额赎回情形下的净值精度应急调整机制。国家另有规定的，从其规定。</w:t>
      </w:r>
    </w:p>
    <w:p w14:paraId="31A39647">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基金管理人于每个工作日计算基金资产净值及各类基金份额净值，经基金托管人复核，并按规定公告。</w:t>
      </w:r>
    </w:p>
    <w:bookmarkEnd w:id="117"/>
    <w:p w14:paraId="2C293E85">
      <w:pPr>
        <w:adjustRightInd w:val="0"/>
        <w:snapToGrid w:val="0"/>
        <w:spacing w:line="360" w:lineRule="auto"/>
        <w:ind w:firstLine="420" w:firstLineChars="200"/>
        <w:rPr>
          <w:rFonts w:ascii="宋体" w:hAnsi="宋体" w:cs="Arial"/>
          <w:szCs w:val="21"/>
        </w:rPr>
      </w:pPr>
      <w:r>
        <w:rPr>
          <w:rFonts w:hint="eastAsia" w:ascii="宋体" w:hAnsi="宋体" w:cs="Arial"/>
          <w:szCs w:val="21"/>
        </w:rPr>
        <w:t>2.复核程序</w:t>
      </w:r>
    </w:p>
    <w:p w14:paraId="38CA10E3">
      <w:pPr>
        <w:adjustRightInd w:val="0"/>
        <w:snapToGrid w:val="0"/>
        <w:spacing w:line="360" w:lineRule="auto"/>
        <w:ind w:firstLine="420" w:firstLineChars="200"/>
        <w:rPr>
          <w:rFonts w:ascii="宋体" w:hAnsi="宋体" w:cs="Arial"/>
          <w:szCs w:val="21"/>
        </w:rPr>
      </w:pPr>
      <w:bookmarkStart w:id="119" w:name="_Hlk107326424"/>
      <w:r>
        <w:rPr>
          <w:rFonts w:hint="eastAsia" w:ascii="宋体" w:hAnsi="宋体" w:cs="Arial"/>
          <w:szCs w:val="21"/>
        </w:rPr>
        <w:t>基金管理人每个工作日对基金资产估值后，将各类基金份额净值结果发送基金托管人，经基金托管人复核无误后，由基金管理人按规定对外公布。</w:t>
      </w:r>
    </w:p>
    <w:bookmarkEnd w:id="119"/>
    <w:p w14:paraId="199D01E2">
      <w:pPr>
        <w:adjustRightInd w:val="0"/>
        <w:snapToGrid w:val="0"/>
        <w:spacing w:line="360" w:lineRule="auto"/>
        <w:ind w:firstLine="420" w:firstLineChars="200"/>
        <w:rPr>
          <w:rFonts w:ascii="宋体" w:hAnsi="宋体"/>
          <w:szCs w:val="21"/>
        </w:rPr>
      </w:pPr>
      <w:r>
        <w:rPr>
          <w:rFonts w:hint="eastAsia" w:ascii="宋体" w:hAnsi="宋体" w:cs="Arial"/>
          <w:szCs w:val="21"/>
        </w:rPr>
        <w:t>3.</w:t>
      </w:r>
      <w:bookmarkStart w:id="120" w:name="_Hlk107326491"/>
      <w:r>
        <w:rPr>
          <w:rFonts w:hint="eastAsia" w:ascii="宋体" w:hAnsi="宋体"/>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bookmarkEnd w:id="120"/>
      <w:r>
        <w:rPr>
          <w:rFonts w:hint="eastAsia" w:ascii="宋体" w:hAnsi="宋体"/>
          <w:szCs w:val="21"/>
        </w:rPr>
        <w:t>。</w:t>
      </w:r>
    </w:p>
    <w:p w14:paraId="54969A47">
      <w:pPr>
        <w:adjustRightInd w:val="0"/>
        <w:snapToGrid w:val="0"/>
        <w:spacing w:line="360" w:lineRule="auto"/>
        <w:ind w:firstLine="420" w:firstLineChars="200"/>
        <w:rPr>
          <w:rFonts w:ascii="宋体" w:hAnsi="宋体" w:cs="Arial"/>
          <w:szCs w:val="21"/>
        </w:rPr>
      </w:pPr>
      <w:r>
        <w:rPr>
          <w:rFonts w:hint="eastAsia" w:ascii="宋体" w:hAnsi="宋体" w:cs="Arial"/>
          <w:szCs w:val="21"/>
        </w:rPr>
        <w:t>（二）基金资产的估值</w:t>
      </w:r>
    </w:p>
    <w:p w14:paraId="463EA21A">
      <w:pPr>
        <w:adjustRightInd w:val="0"/>
        <w:snapToGrid w:val="0"/>
        <w:spacing w:line="360" w:lineRule="auto"/>
        <w:ind w:firstLine="420" w:firstLineChars="200"/>
        <w:rPr>
          <w:rStyle w:val="34"/>
          <w:rFonts w:ascii="宋体" w:hAnsi="宋体"/>
          <w:szCs w:val="21"/>
        </w:rPr>
      </w:pPr>
      <w:r>
        <w:rPr>
          <w:rFonts w:hint="eastAsia"/>
          <w:szCs w:val="21"/>
        </w:rPr>
        <w:t>基金管理人及基金托管人应当按照《基金合同》的约定进行估值。</w:t>
      </w:r>
    </w:p>
    <w:p w14:paraId="427D8779">
      <w:pPr>
        <w:adjustRightInd w:val="0"/>
        <w:snapToGrid w:val="0"/>
        <w:spacing w:line="360" w:lineRule="auto"/>
        <w:ind w:firstLine="420" w:firstLineChars="200"/>
        <w:rPr>
          <w:rFonts w:ascii="宋体" w:hAnsi="宋体" w:cs="Arial"/>
          <w:szCs w:val="21"/>
        </w:rPr>
      </w:pPr>
      <w:r>
        <w:rPr>
          <w:rFonts w:hint="eastAsia" w:ascii="宋体" w:hAnsi="宋体" w:cs="Arial"/>
          <w:szCs w:val="21"/>
        </w:rPr>
        <w:t>（三）基金份额净值错误的处理方式</w:t>
      </w:r>
    </w:p>
    <w:p w14:paraId="0D081731">
      <w:pPr>
        <w:adjustRightInd w:val="0"/>
        <w:snapToGrid w:val="0"/>
        <w:spacing w:line="360" w:lineRule="auto"/>
        <w:ind w:firstLine="420" w:firstLineChars="200"/>
        <w:rPr>
          <w:rFonts w:ascii="宋体" w:hAnsi="宋体" w:cs="Arial"/>
          <w:szCs w:val="21"/>
        </w:rPr>
      </w:pPr>
      <w:r>
        <w:rPr>
          <w:rFonts w:hint="eastAsia"/>
          <w:szCs w:val="21"/>
        </w:rPr>
        <w:t>基金管理人及基金托管人应当按照《基金合同》的约定处理份额净值错误。</w:t>
      </w:r>
    </w:p>
    <w:p w14:paraId="4F5DCD96">
      <w:pPr>
        <w:adjustRightInd w:val="0"/>
        <w:snapToGrid w:val="0"/>
        <w:spacing w:line="360" w:lineRule="auto"/>
        <w:ind w:firstLine="420" w:firstLineChars="200"/>
        <w:rPr>
          <w:rFonts w:ascii="宋体" w:hAnsi="宋体" w:cs="Arial"/>
          <w:szCs w:val="21"/>
        </w:rPr>
      </w:pPr>
      <w:r>
        <w:rPr>
          <w:rFonts w:hint="eastAsia" w:ascii="宋体" w:hAnsi="宋体" w:cs="Arial"/>
          <w:szCs w:val="21"/>
        </w:rPr>
        <w:t>（四）基金会计制度</w:t>
      </w:r>
    </w:p>
    <w:p w14:paraId="6C732490">
      <w:pPr>
        <w:adjustRightInd w:val="0"/>
        <w:snapToGrid w:val="0"/>
        <w:spacing w:line="360" w:lineRule="auto"/>
        <w:ind w:firstLine="420" w:firstLineChars="200"/>
        <w:rPr>
          <w:rFonts w:ascii="宋体" w:hAnsi="宋体" w:cs="Arial"/>
          <w:szCs w:val="21"/>
        </w:rPr>
      </w:pPr>
      <w:r>
        <w:rPr>
          <w:rFonts w:hint="eastAsia" w:ascii="宋体" w:hAnsi="宋体" w:cs="Arial"/>
          <w:szCs w:val="21"/>
        </w:rPr>
        <w:t>按国家有关部门规定的会计制度执行。</w:t>
      </w:r>
    </w:p>
    <w:p w14:paraId="49987303">
      <w:pPr>
        <w:adjustRightInd w:val="0"/>
        <w:snapToGrid w:val="0"/>
        <w:spacing w:line="360" w:lineRule="auto"/>
        <w:ind w:firstLine="420" w:firstLineChars="200"/>
        <w:rPr>
          <w:rFonts w:ascii="宋体" w:hAnsi="宋体" w:cs="Arial"/>
          <w:szCs w:val="21"/>
        </w:rPr>
      </w:pPr>
      <w:r>
        <w:rPr>
          <w:rFonts w:hint="eastAsia" w:ascii="宋体" w:hAnsi="宋体" w:cs="Arial"/>
          <w:szCs w:val="21"/>
        </w:rPr>
        <w:t>（五）基金账册的建立</w:t>
      </w:r>
    </w:p>
    <w:p w14:paraId="365125A3">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14:paraId="039AD040">
      <w:pPr>
        <w:adjustRightInd w:val="0"/>
        <w:snapToGrid w:val="0"/>
        <w:spacing w:line="360" w:lineRule="auto"/>
        <w:ind w:firstLine="420" w:firstLineChars="200"/>
        <w:rPr>
          <w:rFonts w:ascii="宋体" w:hAnsi="宋体" w:cs="Arial"/>
          <w:szCs w:val="21"/>
        </w:rPr>
      </w:pPr>
      <w:r>
        <w:rPr>
          <w:rFonts w:hint="eastAsia" w:ascii="宋体" w:hAnsi="宋体" w:cs="Arial"/>
          <w:szCs w:val="21"/>
        </w:rPr>
        <w:t>（六）基金财务报表与报告的编制和复核</w:t>
      </w:r>
    </w:p>
    <w:p w14:paraId="6175EF52">
      <w:pPr>
        <w:adjustRightInd w:val="0"/>
        <w:snapToGrid w:val="0"/>
        <w:spacing w:line="360" w:lineRule="auto"/>
        <w:ind w:firstLine="420" w:firstLineChars="200"/>
        <w:rPr>
          <w:rFonts w:ascii="宋体" w:hAnsi="宋体" w:cs="Arial"/>
          <w:szCs w:val="21"/>
        </w:rPr>
      </w:pPr>
      <w:r>
        <w:rPr>
          <w:rFonts w:hint="eastAsia" w:ascii="宋体" w:hAnsi="宋体" w:cs="Arial"/>
          <w:szCs w:val="21"/>
        </w:rPr>
        <w:t>1.财务报表的编制</w:t>
      </w:r>
    </w:p>
    <w:p w14:paraId="1350B28F">
      <w:pPr>
        <w:adjustRightInd w:val="0"/>
        <w:snapToGrid w:val="0"/>
        <w:spacing w:line="360" w:lineRule="auto"/>
        <w:ind w:firstLine="420" w:firstLineChars="200"/>
        <w:rPr>
          <w:rFonts w:ascii="宋体" w:hAnsi="宋体" w:cs="Arial"/>
          <w:szCs w:val="21"/>
        </w:rPr>
      </w:pPr>
      <w:r>
        <w:rPr>
          <w:rFonts w:hint="eastAsia" w:ascii="宋体" w:hAnsi="宋体" w:cs="Arial"/>
          <w:szCs w:val="21"/>
        </w:rPr>
        <w:t>基金财务报表由基金管理人编制，基金托管人复核。</w:t>
      </w:r>
    </w:p>
    <w:p w14:paraId="47FF2E53">
      <w:pPr>
        <w:adjustRightInd w:val="0"/>
        <w:snapToGrid w:val="0"/>
        <w:spacing w:line="360" w:lineRule="auto"/>
        <w:ind w:firstLine="420" w:firstLineChars="200"/>
        <w:rPr>
          <w:rFonts w:ascii="宋体" w:hAnsi="宋体" w:cs="Arial"/>
          <w:szCs w:val="21"/>
        </w:rPr>
      </w:pPr>
      <w:r>
        <w:rPr>
          <w:rFonts w:hint="eastAsia" w:ascii="宋体" w:hAnsi="宋体" w:cs="Arial"/>
          <w:szCs w:val="21"/>
        </w:rPr>
        <w:t>2.报表复核</w:t>
      </w:r>
    </w:p>
    <w:p w14:paraId="3BA973EF">
      <w:pPr>
        <w:adjustRightInd w:val="0"/>
        <w:snapToGrid w:val="0"/>
        <w:spacing w:line="360" w:lineRule="auto"/>
        <w:ind w:firstLine="420" w:firstLineChars="200"/>
        <w:rPr>
          <w:rFonts w:ascii="宋体" w:hAnsi="宋体" w:cs="Arial"/>
          <w:szCs w:val="21"/>
        </w:rPr>
      </w:pPr>
      <w:r>
        <w:rPr>
          <w:rFonts w:hint="eastAsia" w:ascii="宋体" w:hAnsi="宋体" w:cs="Arial"/>
          <w:szCs w:val="21"/>
        </w:rPr>
        <w:t>基金托管人在收到基金管理人编制的基金财务报表后，进行独立的复核。核对不符时，应及时通知基金管理人共同查出原因，进行调整，直至双方数据完全一致。</w:t>
      </w:r>
    </w:p>
    <w:p w14:paraId="44575474">
      <w:pPr>
        <w:adjustRightInd w:val="0"/>
        <w:snapToGrid w:val="0"/>
        <w:spacing w:line="360" w:lineRule="auto"/>
        <w:ind w:firstLine="420" w:firstLineChars="200"/>
        <w:rPr>
          <w:rFonts w:ascii="宋体" w:hAnsi="宋体" w:cs="Arial"/>
          <w:szCs w:val="21"/>
        </w:rPr>
      </w:pPr>
      <w:r>
        <w:rPr>
          <w:rFonts w:hint="eastAsia" w:ascii="宋体" w:hAnsi="宋体" w:cs="Arial"/>
          <w:szCs w:val="21"/>
        </w:rPr>
        <w:t>3.财务报表的编制与复核时间安排</w:t>
      </w:r>
    </w:p>
    <w:p w14:paraId="0C776DE6">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基金托管人应当在每月结束后5个工作日内完成月度报表的编制及复核；在每季度结束之日起15个工作日内完成基金季度报告的编制及复核；在上半年结束之日起两个月内完成基金中期报告的编制及复核；在每年结束之日起三个月内完成基金年度报告的编制及复核。基金托管人在复核过程中，发现双方的报表存在不符时，基金管理人和基金托管人应共同查明原因，进行调整，调整以国家有关规定为准。基金年度报告的财务会计报告应当经过符合《中华人民共和国证券法》规定的会计师事务所审计。基金合同生效不足两个月的，基金管理人可以不编制当期季度报告、中期报告或者年度报告。</w:t>
      </w:r>
    </w:p>
    <w:p w14:paraId="730E0CF9">
      <w:pPr>
        <w:adjustRightInd w:val="0"/>
        <w:snapToGrid w:val="0"/>
        <w:spacing w:line="360" w:lineRule="auto"/>
        <w:ind w:firstLine="420" w:firstLineChars="200"/>
        <w:rPr>
          <w:rFonts w:ascii="宋体" w:hAnsi="宋体" w:cs="Arial"/>
          <w:szCs w:val="21"/>
        </w:rPr>
      </w:pPr>
      <w:r>
        <w:rPr>
          <w:rFonts w:hint="eastAsia" w:ascii="宋体" w:hAnsi="宋体" w:cs="Arial"/>
          <w:szCs w:val="21"/>
        </w:rPr>
        <w:t>（七）在有需要时，基金管理人应每季度向基金托管人提供基金业绩比较基准的编制结果。</w:t>
      </w:r>
    </w:p>
    <w:bookmarkEnd w:id="116"/>
    <w:p w14:paraId="6D4E5C38">
      <w:pPr>
        <w:adjustRightInd w:val="0"/>
        <w:snapToGrid w:val="0"/>
        <w:spacing w:line="360" w:lineRule="auto"/>
        <w:ind w:firstLine="420" w:firstLineChars="200"/>
        <w:rPr>
          <w:rFonts w:ascii="宋体" w:hAnsi="宋体"/>
        </w:rPr>
        <w:sectPr>
          <w:footerReference r:id="rId15" w:type="default"/>
          <w:pgSz w:w="11906" w:h="16838"/>
          <w:pgMar w:top="1418" w:right="1701" w:bottom="1418" w:left="1701" w:header="851" w:footer="992" w:gutter="0"/>
          <w:pgNumType w:start="1"/>
          <w:cols w:space="425" w:num="1"/>
          <w:docGrid w:type="lines" w:linePitch="312" w:charSpace="0"/>
        </w:sectPr>
      </w:pPr>
    </w:p>
    <w:p w14:paraId="1AD71DF1">
      <w:pPr>
        <w:pStyle w:val="3"/>
        <w:spacing w:before="312" w:beforeLines="100" w:after="156" w:afterLines="50" w:line="360" w:lineRule="auto"/>
        <w:jc w:val="center"/>
        <w:rPr>
          <w:rFonts w:ascii="宋体" w:hAnsi="宋体" w:eastAsia="宋体"/>
          <w:sz w:val="21"/>
          <w:szCs w:val="21"/>
        </w:rPr>
      </w:pPr>
      <w:bookmarkStart w:id="121" w:name="_Toc501274921"/>
      <w:bookmarkStart w:id="122" w:name="_Toc384992699"/>
      <w:bookmarkStart w:id="123" w:name="_Toc348082037"/>
      <w:bookmarkStart w:id="124" w:name="CLAUSE_c8db7745636a48168e3bd994d687c199"/>
      <w:r>
        <w:rPr>
          <w:rFonts w:hint="eastAsia" w:ascii="宋体" w:hAnsi="宋体" w:eastAsia="宋体"/>
          <w:sz w:val="21"/>
          <w:szCs w:val="21"/>
        </w:rPr>
        <w:t>九、基金收益分配</w:t>
      </w:r>
      <w:bookmarkEnd w:id="121"/>
      <w:bookmarkEnd w:id="122"/>
      <w:bookmarkEnd w:id="123"/>
    </w:p>
    <w:p w14:paraId="612E06C2">
      <w:pPr>
        <w:adjustRightInd w:val="0"/>
        <w:snapToGrid w:val="0"/>
        <w:spacing w:line="360" w:lineRule="auto"/>
        <w:ind w:firstLine="420" w:firstLineChars="200"/>
        <w:rPr>
          <w:rFonts w:ascii="宋体" w:hAnsi="宋体" w:cs="Arial"/>
          <w:szCs w:val="21"/>
        </w:rPr>
      </w:pPr>
      <w:r>
        <w:rPr>
          <w:rFonts w:hint="eastAsia"/>
          <w:szCs w:val="21"/>
        </w:rPr>
        <w:t>基金管理人与基金托管人按照《基金合同》的约定处理基金收益分配。</w:t>
      </w:r>
    </w:p>
    <w:p w14:paraId="0C48DBA2">
      <w:pPr>
        <w:adjustRightInd w:val="0"/>
        <w:snapToGrid w:val="0"/>
        <w:spacing w:line="360" w:lineRule="auto"/>
        <w:rPr>
          <w:rFonts w:ascii="宋体" w:hAnsi="宋体" w:cs="Arial"/>
          <w:szCs w:val="21"/>
        </w:rPr>
      </w:pPr>
    </w:p>
    <w:bookmarkEnd w:id="124"/>
    <w:p w14:paraId="70FB5777">
      <w:pPr>
        <w:adjustRightInd w:val="0"/>
        <w:snapToGrid w:val="0"/>
        <w:spacing w:line="360" w:lineRule="auto"/>
        <w:ind w:firstLine="420" w:firstLineChars="200"/>
        <w:sectPr>
          <w:footerReference r:id="rId16" w:type="default"/>
          <w:pgSz w:w="11906" w:h="16838"/>
          <w:pgMar w:top="1418" w:right="1701" w:bottom="1418" w:left="1701" w:header="851" w:footer="992" w:gutter="0"/>
          <w:pgNumType w:start="1"/>
          <w:cols w:space="425" w:num="1"/>
          <w:docGrid w:type="lines" w:linePitch="312" w:charSpace="0"/>
        </w:sectPr>
      </w:pPr>
    </w:p>
    <w:p w14:paraId="7E6117F8">
      <w:pPr>
        <w:pStyle w:val="3"/>
        <w:spacing w:before="312" w:beforeLines="100" w:after="156" w:afterLines="50" w:line="360" w:lineRule="auto"/>
        <w:jc w:val="center"/>
        <w:rPr>
          <w:rFonts w:ascii="宋体" w:hAnsi="宋体" w:eastAsia="宋体"/>
          <w:sz w:val="21"/>
          <w:szCs w:val="21"/>
        </w:rPr>
      </w:pPr>
      <w:bookmarkStart w:id="125" w:name="_Toc501274922"/>
      <w:bookmarkStart w:id="126" w:name="_Toc384992700"/>
      <w:bookmarkStart w:id="127" w:name="_Toc348082038"/>
      <w:bookmarkStart w:id="128" w:name="CLAUSE_d7378e04a4ec42e1981409bd53375282"/>
      <w:r>
        <w:rPr>
          <w:rFonts w:hint="eastAsia" w:ascii="宋体" w:hAnsi="宋体" w:eastAsia="宋体"/>
          <w:sz w:val="21"/>
          <w:szCs w:val="21"/>
        </w:rPr>
        <w:t>十、基金信息披露</w:t>
      </w:r>
      <w:bookmarkEnd w:id="125"/>
      <w:bookmarkEnd w:id="126"/>
      <w:bookmarkEnd w:id="127"/>
    </w:p>
    <w:p w14:paraId="14E46170">
      <w:pPr>
        <w:adjustRightInd w:val="0"/>
        <w:snapToGrid w:val="0"/>
        <w:spacing w:line="360" w:lineRule="auto"/>
        <w:ind w:firstLine="420" w:firstLineChars="200"/>
        <w:rPr>
          <w:rFonts w:ascii="宋体" w:hAnsi="宋体" w:cs="Arial"/>
          <w:szCs w:val="21"/>
        </w:rPr>
      </w:pPr>
      <w:r>
        <w:rPr>
          <w:rFonts w:hint="eastAsia" w:ascii="宋体" w:hAnsi="宋体" w:cs="Arial"/>
          <w:szCs w:val="21"/>
        </w:rPr>
        <w:t>（一）保密义务</w:t>
      </w:r>
    </w:p>
    <w:p w14:paraId="417F933A">
      <w:pPr>
        <w:adjustRightInd w:val="0"/>
        <w:snapToGrid w:val="0"/>
        <w:spacing w:line="360" w:lineRule="auto"/>
        <w:ind w:firstLine="420" w:firstLineChars="200"/>
        <w:rPr>
          <w:rFonts w:ascii="宋体" w:hAnsi="宋体" w:cs="Arial"/>
          <w:szCs w:val="21"/>
        </w:rPr>
      </w:pPr>
      <w:r>
        <w:rPr>
          <w:rFonts w:hint="eastAsia" w:ascii="宋体" w:hAnsi="宋体" w:cs="Arial"/>
          <w:szCs w:val="21"/>
        </w:rPr>
        <w:t>基金托管人和基金管理人应按法律法规、基金合同的有关规定进行信息披露，拟公开披露的信息在公开披露之前应予保密。除按《基金法》、基金合同、《信息披露办法》及其他有关规定进行信息披露外，基金管理人和基金托管人对基金运作中产生的信息以及从对方获得的业务信息应予保密。但是，如下情况不应视为基金管理人或基金托管人违反保密义务：</w:t>
      </w:r>
    </w:p>
    <w:p w14:paraId="0D9339B1">
      <w:pPr>
        <w:adjustRightInd w:val="0"/>
        <w:snapToGrid w:val="0"/>
        <w:spacing w:line="360" w:lineRule="auto"/>
        <w:ind w:firstLine="420" w:firstLineChars="200"/>
        <w:rPr>
          <w:rFonts w:ascii="宋体" w:hAnsi="宋体" w:cs="Arial"/>
          <w:szCs w:val="21"/>
        </w:rPr>
      </w:pPr>
      <w:r>
        <w:rPr>
          <w:rFonts w:hint="eastAsia" w:ascii="宋体" w:hAnsi="宋体" w:cs="Arial"/>
          <w:szCs w:val="21"/>
        </w:rPr>
        <w:t>1.非因基金管理人和基金托管人的原因导致保密信息被披露、泄露或公开；</w:t>
      </w:r>
    </w:p>
    <w:p w14:paraId="3C945DE2">
      <w:pPr>
        <w:adjustRightInd w:val="0"/>
        <w:snapToGrid w:val="0"/>
        <w:spacing w:line="360" w:lineRule="auto"/>
        <w:ind w:firstLine="420" w:firstLineChars="200"/>
        <w:rPr>
          <w:rFonts w:ascii="宋体" w:hAnsi="宋体" w:cs="Arial"/>
          <w:szCs w:val="21"/>
        </w:rPr>
      </w:pPr>
      <w:r>
        <w:rPr>
          <w:rFonts w:hint="eastAsia" w:ascii="宋体" w:hAnsi="宋体" w:cs="Arial"/>
          <w:szCs w:val="21"/>
        </w:rPr>
        <w:t>2.基金管理人和基金托管人为遵守和服从法院判决或裁定、仲裁裁决或中国证监会等监管机构的命令、决定所做出的信息披露或公开。</w:t>
      </w:r>
    </w:p>
    <w:p w14:paraId="07039D47">
      <w:pPr>
        <w:adjustRightInd w:val="0"/>
        <w:snapToGrid w:val="0"/>
        <w:spacing w:line="360" w:lineRule="auto"/>
        <w:ind w:firstLine="420" w:firstLineChars="200"/>
        <w:rPr>
          <w:rFonts w:ascii="宋体" w:hAnsi="宋体" w:cs="Arial"/>
          <w:szCs w:val="21"/>
        </w:rPr>
      </w:pPr>
      <w:r>
        <w:rPr>
          <w:rFonts w:hint="eastAsia" w:ascii="宋体" w:hAnsi="宋体" w:cs="Arial"/>
          <w:szCs w:val="21"/>
        </w:rPr>
        <w:t>（二）信息披露的内容</w:t>
      </w:r>
    </w:p>
    <w:p w14:paraId="5827A6C8">
      <w:pPr>
        <w:adjustRightInd w:val="0"/>
        <w:snapToGrid w:val="0"/>
        <w:spacing w:line="360" w:lineRule="auto"/>
        <w:ind w:firstLine="420" w:firstLineChars="200"/>
        <w:rPr>
          <w:rFonts w:ascii="宋体" w:hAnsi="宋体" w:cs="Arial"/>
          <w:szCs w:val="21"/>
        </w:rPr>
      </w:pPr>
      <w:r>
        <w:rPr>
          <w:rFonts w:hint="eastAsia" w:ascii="宋体" w:hAnsi="宋体" w:cs="Arial"/>
          <w:szCs w:val="21"/>
        </w:rPr>
        <w:t>基金的信息披露内容主要包括基金招募说明书、基金产品资料概要、基金合同、托管协议、基金份额发售公告、基金合同生效公告、基金净值信息、基金份额申购、赎回价格、基金定期报告（包括基金年度报告、基金中期报告和基金季度报告）、临时报告、澄清公告、基金份额持有人大会决议、清算报告、投资股指期货、国债期货、股票期权交易的信息披露、投资资产支持证券的信息披露、投资港股通标的股票的信息披露、参与融资业务的信息披露、投资信用衍生品的信息披露、实施侧袋机制期间的信息披露及中国证监会规定的其他信息。基金年度报告中的财务会计报告需经符合《中华人民共和国证券法》规定的会计师事务所审计后，方可披露。</w:t>
      </w:r>
    </w:p>
    <w:p w14:paraId="38358F0F">
      <w:pPr>
        <w:adjustRightInd w:val="0"/>
        <w:snapToGrid w:val="0"/>
        <w:spacing w:line="360" w:lineRule="auto"/>
        <w:ind w:firstLine="420" w:firstLineChars="200"/>
        <w:rPr>
          <w:rFonts w:ascii="宋体" w:hAnsi="宋体" w:cs="Arial"/>
          <w:szCs w:val="21"/>
        </w:rPr>
      </w:pPr>
      <w:r>
        <w:rPr>
          <w:rFonts w:hint="eastAsia" w:ascii="宋体" w:hAnsi="宋体" w:cs="Arial"/>
          <w:szCs w:val="21"/>
        </w:rPr>
        <w:t>（三）基金托管人和基金管理人在信息披露中的职责和信息披露程序</w:t>
      </w:r>
    </w:p>
    <w:p w14:paraId="34EFB0CA">
      <w:pPr>
        <w:adjustRightInd w:val="0"/>
        <w:snapToGrid w:val="0"/>
        <w:spacing w:line="360" w:lineRule="auto"/>
        <w:ind w:firstLine="420" w:firstLineChars="200"/>
        <w:rPr>
          <w:rFonts w:ascii="宋体" w:hAnsi="宋体" w:cs="Arial"/>
          <w:szCs w:val="21"/>
        </w:rPr>
      </w:pPr>
      <w:r>
        <w:rPr>
          <w:rFonts w:hint="eastAsia" w:ascii="宋体" w:hAnsi="宋体" w:cs="Arial"/>
          <w:szCs w:val="21"/>
        </w:rPr>
        <w:t>1.职责</w:t>
      </w:r>
    </w:p>
    <w:p w14:paraId="6245C49C">
      <w:pPr>
        <w:adjustRightInd w:val="0"/>
        <w:snapToGrid w:val="0"/>
        <w:spacing w:line="360" w:lineRule="auto"/>
        <w:ind w:firstLine="420" w:firstLineChars="200"/>
        <w:rPr>
          <w:rFonts w:ascii="宋体" w:hAnsi="宋体" w:cs="Arial"/>
          <w:szCs w:val="21"/>
        </w:rPr>
      </w:pPr>
      <w:r>
        <w:rPr>
          <w:rFonts w:hint="eastAsia" w:ascii="宋体" w:hAnsi="宋体" w:cs="Arial"/>
          <w:szCs w:val="21"/>
        </w:rPr>
        <w:t>基金托管人和基金管理人在信息披露过程中应以保护基金份额持有人利益为宗旨，诚实信用，严守秘密。基金管理人负责办理与基金有关的信息披露事宜，对于根据相关法律法规和基金合同规定的需要由基金托管人复核的信息披露文件，在经基金托管人复核无误后，由基金管理人予以公布。</w:t>
      </w:r>
    </w:p>
    <w:p w14:paraId="1D6C321F">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基金管理人和基金托管人应积极配合、互相监督，保证其履行按照法定方式和时限披露的义务。</w:t>
      </w:r>
    </w:p>
    <w:p w14:paraId="42CAAB05">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基金管理人应当在中国证监会规定的时间内，将应予披露的基金信息通过中国证监会规定的媒介披露。根据法律法规应由基金托管人公开披露的信息，基金托管人在规定媒介公开披露。</w:t>
      </w:r>
    </w:p>
    <w:p w14:paraId="138EB762">
      <w:pPr>
        <w:adjustRightInd w:val="0"/>
        <w:snapToGrid w:val="0"/>
        <w:spacing w:line="360" w:lineRule="auto"/>
        <w:ind w:firstLine="420" w:firstLineChars="200"/>
        <w:rPr>
          <w:rFonts w:ascii="宋体" w:hAnsi="宋体" w:cs="Arial"/>
          <w:szCs w:val="21"/>
        </w:rPr>
      </w:pPr>
      <w:r>
        <w:rPr>
          <w:rFonts w:hint="eastAsia" w:ascii="宋体" w:hAnsi="宋体" w:cs="Arial"/>
          <w:szCs w:val="21"/>
        </w:rPr>
        <w:t>当出现下述情况时，基金管理人和基金托管人可暂停或延迟披露基金相关信息：</w:t>
      </w:r>
    </w:p>
    <w:p w14:paraId="34A267CA">
      <w:pPr>
        <w:adjustRightInd w:val="0"/>
        <w:snapToGrid w:val="0"/>
        <w:spacing w:line="360" w:lineRule="auto"/>
        <w:ind w:firstLine="420" w:firstLineChars="200"/>
        <w:rPr>
          <w:rFonts w:ascii="宋体" w:hAnsi="宋体" w:cs="Arial"/>
          <w:szCs w:val="21"/>
        </w:rPr>
      </w:pPr>
      <w:r>
        <w:rPr>
          <w:rFonts w:hint="eastAsia" w:ascii="宋体" w:hAnsi="宋体" w:cs="Arial"/>
          <w:szCs w:val="21"/>
        </w:rPr>
        <w:t>(1)不可抗力；</w:t>
      </w:r>
    </w:p>
    <w:p w14:paraId="58EE7209">
      <w:pPr>
        <w:adjustRightInd w:val="0"/>
        <w:snapToGrid w:val="0"/>
        <w:spacing w:line="360" w:lineRule="auto"/>
        <w:ind w:firstLine="420" w:firstLineChars="200"/>
        <w:rPr>
          <w:rFonts w:ascii="宋体" w:hAnsi="宋体" w:cs="Arial"/>
          <w:szCs w:val="21"/>
        </w:rPr>
      </w:pPr>
      <w:r>
        <w:rPr>
          <w:rFonts w:hint="eastAsia" w:ascii="宋体" w:hAnsi="宋体" w:cs="Arial"/>
          <w:szCs w:val="21"/>
        </w:rPr>
        <w:t>(2)发生暂停估值的情形；</w:t>
      </w:r>
    </w:p>
    <w:p w14:paraId="45BCDEF3">
      <w:pPr>
        <w:adjustRightInd w:val="0"/>
        <w:snapToGrid w:val="0"/>
        <w:spacing w:line="360" w:lineRule="auto"/>
        <w:ind w:firstLine="420" w:firstLineChars="200"/>
        <w:rPr>
          <w:rFonts w:ascii="宋体" w:hAnsi="宋体" w:cs="Arial"/>
          <w:szCs w:val="21"/>
        </w:rPr>
      </w:pPr>
      <w:r>
        <w:rPr>
          <w:rFonts w:hint="eastAsia" w:ascii="宋体" w:hAnsi="宋体" w:cs="Arial"/>
          <w:szCs w:val="21"/>
        </w:rPr>
        <w:t>(3)法律法规规定、中国证监会或基金合同认定的其他情形。</w:t>
      </w:r>
    </w:p>
    <w:p w14:paraId="4AD187BD">
      <w:pPr>
        <w:adjustRightInd w:val="0"/>
        <w:snapToGrid w:val="0"/>
        <w:spacing w:line="360" w:lineRule="auto"/>
        <w:ind w:firstLine="420" w:firstLineChars="200"/>
        <w:rPr>
          <w:rFonts w:ascii="宋体" w:hAnsi="宋体" w:cs="Arial"/>
          <w:szCs w:val="21"/>
        </w:rPr>
      </w:pPr>
      <w:r>
        <w:rPr>
          <w:rFonts w:hint="eastAsia" w:ascii="宋体" w:hAnsi="宋体" w:cs="Arial"/>
          <w:szCs w:val="21"/>
        </w:rPr>
        <w:t>2.程序</w:t>
      </w:r>
    </w:p>
    <w:p w14:paraId="38C55C66">
      <w:pPr>
        <w:adjustRightInd w:val="0"/>
        <w:snapToGrid w:val="0"/>
        <w:spacing w:line="360" w:lineRule="auto"/>
        <w:ind w:firstLine="420" w:firstLineChars="200"/>
        <w:rPr>
          <w:rFonts w:ascii="宋体" w:hAnsi="宋体" w:cs="Arial"/>
          <w:szCs w:val="21"/>
        </w:rPr>
      </w:pPr>
      <w:r>
        <w:rPr>
          <w:rFonts w:hint="eastAsia" w:ascii="宋体" w:hAnsi="宋体" w:cs="Arial"/>
          <w:szCs w:val="21"/>
        </w:rPr>
        <w:t>按有关规定须经基金托管人复核的信息披露文件，由基金管理人起草、并经基金托管人复核后由基金管理人公告。发生基金合同中规定需要披露的事项时，按基金合同规定公布。</w:t>
      </w:r>
    </w:p>
    <w:p w14:paraId="306B9B45">
      <w:pPr>
        <w:adjustRightInd w:val="0"/>
        <w:snapToGrid w:val="0"/>
        <w:spacing w:line="360" w:lineRule="auto"/>
        <w:ind w:firstLine="420" w:firstLineChars="200"/>
        <w:rPr>
          <w:rFonts w:ascii="宋体" w:hAnsi="宋体" w:cs="Arial"/>
          <w:szCs w:val="21"/>
        </w:rPr>
      </w:pPr>
      <w:r>
        <w:rPr>
          <w:rFonts w:hint="eastAsia" w:ascii="宋体" w:hAnsi="宋体" w:cs="Arial"/>
          <w:szCs w:val="21"/>
        </w:rPr>
        <w:t>3.信息文本的存放</w:t>
      </w:r>
    </w:p>
    <w:p w14:paraId="0C576437">
      <w:pPr>
        <w:pStyle w:val="4"/>
        <w:adjustRightInd w:val="0"/>
        <w:snapToGrid w:val="0"/>
        <w:spacing w:line="360" w:lineRule="auto"/>
        <w:rPr>
          <w:rFonts w:ascii="宋体" w:hAnsi="宋体" w:cs="Arial"/>
          <w:szCs w:val="21"/>
        </w:rPr>
      </w:pPr>
      <w:bookmarkStart w:id="129" w:name="_Hlk107326712"/>
      <w:r>
        <w:rPr>
          <w:rFonts w:hint="eastAsia" w:ascii="宋体" w:hAnsi="宋体" w:cs="Arial"/>
          <w:szCs w:val="21"/>
        </w:rPr>
        <w:t>依法必须披露的信息发布后，基金管理人、基金托管人应当按照相关法律法规规定将信息置备于各自住所，以供社会公众查阅、复制</w:t>
      </w:r>
      <w:bookmarkEnd w:id="129"/>
      <w:r>
        <w:rPr>
          <w:rFonts w:hint="eastAsia" w:ascii="宋体" w:hAnsi="宋体" w:cs="Arial"/>
          <w:szCs w:val="21"/>
        </w:rPr>
        <w:t>。投资者在支付工本费后可在合理时间获得上述文件的复制件或复印件。基金管理人和基金托管人应保证文本的内容与所公告的内容完全一致。</w:t>
      </w:r>
    </w:p>
    <w:p w14:paraId="48187869">
      <w:pPr>
        <w:pStyle w:val="4"/>
        <w:spacing w:line="360" w:lineRule="auto"/>
        <w:ind w:firstLine="0" w:firstLineChars="0"/>
        <w:rPr>
          <w:rFonts w:ascii="宋体" w:hAnsi="宋体" w:cs="Arial"/>
          <w:szCs w:val="21"/>
        </w:rPr>
      </w:pPr>
    </w:p>
    <w:bookmarkEnd w:id="128"/>
    <w:p w14:paraId="5AC936EA">
      <w:pPr>
        <w:pStyle w:val="4"/>
        <w:adjustRightInd w:val="0"/>
        <w:snapToGrid w:val="0"/>
        <w:spacing w:line="360" w:lineRule="auto"/>
        <w:rPr>
          <w:rFonts w:ascii="宋体" w:hAnsi="宋体"/>
        </w:rPr>
        <w:sectPr>
          <w:footerReference r:id="rId17" w:type="default"/>
          <w:pgSz w:w="11906" w:h="16838"/>
          <w:pgMar w:top="1418" w:right="1701" w:bottom="1418" w:left="1701" w:header="851" w:footer="992" w:gutter="0"/>
          <w:pgNumType w:start="1"/>
          <w:cols w:space="425" w:num="1"/>
          <w:docGrid w:type="lines" w:linePitch="312" w:charSpace="0"/>
        </w:sectPr>
      </w:pPr>
    </w:p>
    <w:p w14:paraId="3D7BC2F6">
      <w:pPr>
        <w:pStyle w:val="3"/>
        <w:spacing w:before="312" w:beforeLines="100" w:after="156" w:afterLines="50" w:line="360" w:lineRule="auto"/>
        <w:jc w:val="center"/>
        <w:rPr>
          <w:rFonts w:ascii="宋体" w:hAnsi="宋体" w:eastAsia="宋体"/>
          <w:sz w:val="21"/>
          <w:szCs w:val="21"/>
        </w:rPr>
      </w:pPr>
      <w:bookmarkStart w:id="130" w:name="_Toc501274923"/>
      <w:bookmarkStart w:id="131" w:name="_Toc348082039"/>
      <w:bookmarkStart w:id="132" w:name="_Toc384992701"/>
      <w:bookmarkStart w:id="133" w:name="CLAUSE_f52e3d404c1241a78d9cc692a158bbde"/>
      <w:r>
        <w:rPr>
          <w:rFonts w:hint="eastAsia" w:ascii="宋体" w:hAnsi="宋体" w:eastAsia="宋体"/>
          <w:sz w:val="21"/>
          <w:szCs w:val="21"/>
        </w:rPr>
        <w:t>十一、基金费用</w:t>
      </w:r>
      <w:bookmarkEnd w:id="130"/>
      <w:bookmarkEnd w:id="131"/>
      <w:bookmarkEnd w:id="132"/>
    </w:p>
    <w:p w14:paraId="0DFB9D32">
      <w:pPr>
        <w:adjustRightInd w:val="0"/>
        <w:snapToGrid w:val="0"/>
        <w:spacing w:line="360" w:lineRule="auto"/>
        <w:ind w:firstLine="420" w:firstLineChars="200"/>
        <w:rPr>
          <w:rFonts w:ascii="宋体" w:hAnsi="宋体" w:cs="Arial"/>
          <w:szCs w:val="21"/>
        </w:rPr>
      </w:pPr>
      <w:r>
        <w:rPr>
          <w:rFonts w:hint="eastAsia"/>
          <w:szCs w:val="21"/>
        </w:rPr>
        <w:t>基</w:t>
      </w:r>
      <w:r>
        <w:rPr>
          <w:rFonts w:hint="eastAsia" w:hAnsi="宋体"/>
          <w:szCs w:val="21"/>
        </w:rPr>
        <w:t>金费用按照《基金合同》的约定计提和支付</w:t>
      </w:r>
      <w:r>
        <w:rPr>
          <w:rFonts w:hint="eastAsia" w:ascii="宋体" w:hAnsi="宋体"/>
          <w:szCs w:val="21"/>
        </w:rPr>
        <w:t>。其中，基金托管费的计提方法、计提标准和支付方式如下：</w:t>
      </w:r>
    </w:p>
    <w:bookmarkEnd w:id="133"/>
    <w:p w14:paraId="3F89C223">
      <w:pPr>
        <w:adjustRightInd w:val="0"/>
        <w:snapToGrid w:val="0"/>
        <w:spacing w:line="360" w:lineRule="auto"/>
        <w:ind w:firstLine="420" w:firstLineChars="200"/>
        <w:rPr>
          <w:rFonts w:ascii="宋体" w:hAnsi="宋体"/>
        </w:rPr>
      </w:pPr>
      <w:bookmarkStart w:id="134" w:name="_Hlk107326752"/>
      <w:r>
        <w:rPr>
          <w:rFonts w:hint="eastAsia" w:ascii="宋体" w:hAnsi="宋体"/>
        </w:rPr>
        <w:t>本基金的托管费按前一日基金资产净值的0.20%年费率计提。托管费的计算方法如下：</w:t>
      </w:r>
    </w:p>
    <w:p w14:paraId="7D974864">
      <w:pPr>
        <w:adjustRightInd w:val="0"/>
        <w:snapToGrid w:val="0"/>
        <w:spacing w:line="360" w:lineRule="auto"/>
        <w:ind w:firstLine="420" w:firstLineChars="200"/>
        <w:rPr>
          <w:rFonts w:ascii="宋体" w:hAnsi="宋体"/>
        </w:rPr>
      </w:pPr>
      <w:r>
        <w:rPr>
          <w:rFonts w:hint="eastAsia" w:ascii="宋体" w:hAnsi="宋体"/>
        </w:rPr>
        <w:t>H＝E×0.20%÷当年天数</w:t>
      </w:r>
    </w:p>
    <w:p w14:paraId="129E0E25">
      <w:pPr>
        <w:adjustRightInd w:val="0"/>
        <w:snapToGrid w:val="0"/>
        <w:spacing w:line="360" w:lineRule="auto"/>
        <w:ind w:firstLine="420" w:firstLineChars="200"/>
        <w:rPr>
          <w:rFonts w:ascii="宋体" w:hAnsi="宋体"/>
        </w:rPr>
      </w:pPr>
      <w:r>
        <w:rPr>
          <w:rFonts w:hint="eastAsia" w:ascii="宋体" w:hAnsi="宋体"/>
        </w:rPr>
        <w:t>H为每日应计提的基金托管费</w:t>
      </w:r>
    </w:p>
    <w:p w14:paraId="1C10E67A">
      <w:pPr>
        <w:adjustRightInd w:val="0"/>
        <w:snapToGrid w:val="0"/>
        <w:spacing w:line="360" w:lineRule="auto"/>
        <w:ind w:firstLine="420" w:firstLineChars="200"/>
        <w:rPr>
          <w:rFonts w:ascii="宋体" w:hAnsi="宋体"/>
        </w:rPr>
      </w:pPr>
      <w:r>
        <w:rPr>
          <w:rFonts w:hint="eastAsia" w:ascii="宋体" w:hAnsi="宋体"/>
        </w:rPr>
        <w:t>E为前一日的基金资产净值</w:t>
      </w:r>
    </w:p>
    <w:bookmarkEnd w:id="134"/>
    <w:p w14:paraId="5C8372D3">
      <w:pPr>
        <w:adjustRightInd w:val="0"/>
        <w:snapToGrid w:val="0"/>
        <w:spacing w:line="360" w:lineRule="auto"/>
        <w:ind w:firstLine="420" w:firstLineChars="200"/>
        <w:rPr>
          <w:rFonts w:ascii="宋体" w:hAnsi="宋体"/>
        </w:rPr>
        <w:sectPr>
          <w:footerReference r:id="rId18" w:type="default"/>
          <w:pgSz w:w="11906" w:h="16838"/>
          <w:pgMar w:top="1418" w:right="1701" w:bottom="1418" w:left="1701" w:header="851" w:footer="992" w:gutter="0"/>
          <w:pgNumType w:start="1"/>
          <w:cols w:space="425" w:num="1"/>
          <w:docGrid w:type="lines" w:linePitch="312" w:charSpace="0"/>
        </w:sectPr>
      </w:pPr>
      <w:bookmarkStart w:id="135" w:name="CTS_608c7338e08f4004a54213593452c4e8"/>
      <w:bookmarkEnd w:id="135"/>
      <w:bookmarkStart w:id="136" w:name="_Toc384992702"/>
      <w:bookmarkStart w:id="137" w:name="_Toc348082040"/>
      <w:bookmarkStart w:id="138" w:name="CLAUSE_608c7338e08f4004a54213593452c4e8"/>
      <w:r>
        <w:rPr>
          <w:rFonts w:hint="eastAsia" w:ascii="宋体" w:hAnsi="宋体"/>
        </w:rPr>
        <w:t>基金托管费每日计算，逐日累计至每月月末，按月支付，基金托管人根据与基金管理人核对一致的财务数据，按照协商一致的方式于次月月初</w:t>
      </w:r>
      <w:r>
        <w:rPr>
          <w:rFonts w:ascii="宋体" w:hAnsi="宋体"/>
        </w:rPr>
        <w:t>5</w:t>
      </w:r>
      <w:r>
        <w:rPr>
          <w:rFonts w:hint="eastAsia" w:ascii="宋体" w:hAnsi="宋体"/>
        </w:rPr>
        <w:t>个工作日内从基金财产中一次性支取。若遇法定节假日、公休日等，支付日期顺延。</w:t>
      </w:r>
    </w:p>
    <w:p w14:paraId="1EBBF30E">
      <w:pPr>
        <w:pStyle w:val="3"/>
        <w:spacing w:before="312" w:beforeLines="100" w:after="156" w:afterLines="50" w:line="360" w:lineRule="auto"/>
        <w:ind w:firstLine="527" w:firstLineChars="250"/>
        <w:jc w:val="center"/>
        <w:rPr>
          <w:rFonts w:ascii="宋体" w:hAnsi="宋体" w:eastAsia="宋体"/>
          <w:sz w:val="21"/>
          <w:szCs w:val="21"/>
        </w:rPr>
      </w:pPr>
      <w:bookmarkStart w:id="139" w:name="_Toc501274924"/>
      <w:r>
        <w:rPr>
          <w:rFonts w:hint="eastAsia" w:ascii="宋体" w:hAnsi="宋体" w:eastAsia="宋体"/>
          <w:sz w:val="21"/>
          <w:szCs w:val="21"/>
        </w:rPr>
        <w:t>十二、基金份额持有人名册的保管</w:t>
      </w:r>
      <w:bookmarkEnd w:id="136"/>
      <w:bookmarkEnd w:id="137"/>
      <w:bookmarkEnd w:id="139"/>
    </w:p>
    <w:p w14:paraId="4CF07333">
      <w:pPr>
        <w:adjustRightInd w:val="0"/>
        <w:snapToGrid w:val="0"/>
        <w:spacing w:line="360" w:lineRule="auto"/>
        <w:ind w:firstLine="420" w:firstLineChars="200"/>
        <w:rPr>
          <w:rFonts w:ascii="宋体" w:hAnsi="宋体" w:cs="Arial"/>
          <w:szCs w:val="21"/>
        </w:rPr>
      </w:pPr>
      <w:r>
        <w:rPr>
          <w:rFonts w:hint="eastAsia" w:ascii="宋体" w:hAnsi="宋体" w:cs="Arial"/>
          <w:szCs w:val="21"/>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限不低于法律法规规定的最低期限。如不能妥善保管，则按相关法律法规承担责任。</w:t>
      </w:r>
    </w:p>
    <w:p w14:paraId="0D06D4EA">
      <w:pPr>
        <w:adjustRightInd w:val="0"/>
        <w:snapToGrid w:val="0"/>
        <w:spacing w:line="360" w:lineRule="auto"/>
        <w:ind w:firstLine="420" w:firstLineChars="200"/>
        <w:rPr>
          <w:rFonts w:ascii="宋体" w:hAnsi="宋体" w:cs="Arial"/>
          <w:szCs w:val="21"/>
        </w:rPr>
      </w:pPr>
      <w:r>
        <w:rPr>
          <w:rFonts w:hint="eastAsia" w:ascii="宋体" w:hAnsi="宋体" w:cs="Arial"/>
          <w:szCs w:val="21"/>
        </w:rPr>
        <w:t>在基金托管人要求或编制中期报告和年度报告前，基金管理人应将有关资料送交基金托管人，不得无故拒绝或延误提供，并保证其的真实性、准确性和完整性。基金管理人和托管人不得将所保管的基金份额持有人名册用于基金托管业务以外的其他用途，并应遵守保密义务。</w:t>
      </w:r>
    </w:p>
    <w:bookmarkEnd w:id="138"/>
    <w:p w14:paraId="3C803B3E">
      <w:pPr>
        <w:adjustRightInd w:val="0"/>
        <w:snapToGrid w:val="0"/>
        <w:spacing w:line="360" w:lineRule="auto"/>
        <w:ind w:firstLine="420" w:firstLineChars="200"/>
        <w:rPr>
          <w:rFonts w:ascii="宋体" w:hAnsi="宋体"/>
        </w:rPr>
        <w:sectPr>
          <w:footerReference r:id="rId19" w:type="default"/>
          <w:pgSz w:w="11906" w:h="16838"/>
          <w:pgMar w:top="1418" w:right="1701" w:bottom="1418" w:left="1701" w:header="851" w:footer="992" w:gutter="0"/>
          <w:pgNumType w:start="1"/>
          <w:cols w:space="425" w:num="1"/>
          <w:docGrid w:type="lines" w:linePitch="312" w:charSpace="0"/>
        </w:sectPr>
      </w:pPr>
    </w:p>
    <w:p w14:paraId="2E41B6DA">
      <w:pPr>
        <w:pStyle w:val="3"/>
        <w:spacing w:before="312" w:beforeLines="100" w:after="156" w:afterLines="50" w:line="360" w:lineRule="auto"/>
        <w:ind w:firstLine="480"/>
        <w:jc w:val="center"/>
        <w:rPr>
          <w:sz w:val="21"/>
          <w:szCs w:val="21"/>
        </w:rPr>
      </w:pPr>
      <w:bookmarkStart w:id="140" w:name="_Toc348082041"/>
      <w:bookmarkStart w:id="141" w:name="_Toc384992703"/>
      <w:bookmarkStart w:id="142" w:name="_Toc501274925"/>
      <w:bookmarkStart w:id="143" w:name="CLAUSE_f7fc4b82afa4449ca26cc11e7ca64945"/>
      <w:r>
        <w:rPr>
          <w:rFonts w:hint="eastAsia" w:ascii="宋体" w:hAnsi="宋体" w:eastAsia="宋体"/>
          <w:sz w:val="21"/>
          <w:szCs w:val="21"/>
        </w:rPr>
        <w:t>十三、基金有关文件档案的保存</w:t>
      </w:r>
      <w:bookmarkEnd w:id="140"/>
      <w:bookmarkEnd w:id="141"/>
      <w:bookmarkEnd w:id="142"/>
    </w:p>
    <w:p w14:paraId="0D129A57">
      <w:pPr>
        <w:spacing w:line="360" w:lineRule="auto"/>
        <w:ind w:firstLine="420"/>
        <w:rPr>
          <w:rFonts w:ascii="宋体" w:hAnsi="宋体"/>
          <w:szCs w:val="21"/>
        </w:rPr>
      </w:pPr>
      <w:r>
        <w:rPr>
          <w:rFonts w:hint="eastAsia" w:ascii="宋体" w:hAnsi="宋体"/>
          <w:szCs w:val="21"/>
        </w:rPr>
        <w:t>（一）档案保存</w:t>
      </w:r>
    </w:p>
    <w:p w14:paraId="185241C3">
      <w:pPr>
        <w:spacing w:line="360" w:lineRule="auto"/>
        <w:ind w:firstLine="420"/>
        <w:rPr>
          <w:rFonts w:ascii="宋体" w:hAnsi="宋体"/>
          <w:szCs w:val="21"/>
        </w:rPr>
      </w:pPr>
      <w:r>
        <w:rPr>
          <w:rFonts w:hint="eastAsia" w:ascii="宋体" w:hAnsi="宋体"/>
          <w:szCs w:val="21"/>
        </w:rPr>
        <w:t>基金管理人应保存基金财产管理业务活动的记录、账册、报表和其他相关资料。基金托管人应保存基金托管业务活动的记录、账册、报表和其他相关资料。基金管理人和基金托管人都应当按规定的期限保管，保存期限不低于法律法规规定的最低期限。</w:t>
      </w:r>
    </w:p>
    <w:p w14:paraId="3538954A">
      <w:pPr>
        <w:spacing w:line="360" w:lineRule="auto"/>
        <w:ind w:firstLine="420"/>
        <w:rPr>
          <w:rFonts w:ascii="宋体" w:hAnsi="宋体"/>
          <w:szCs w:val="21"/>
        </w:rPr>
      </w:pPr>
      <w:r>
        <w:rPr>
          <w:rFonts w:hint="eastAsia" w:ascii="宋体" w:hAnsi="宋体"/>
          <w:szCs w:val="21"/>
        </w:rPr>
        <w:t>（二）合同档案的建立</w:t>
      </w:r>
    </w:p>
    <w:p w14:paraId="0C809AD1">
      <w:pPr>
        <w:spacing w:line="360" w:lineRule="auto"/>
        <w:ind w:firstLine="420"/>
        <w:rPr>
          <w:rFonts w:ascii="宋体" w:hAnsi="宋体"/>
          <w:szCs w:val="21"/>
        </w:rPr>
      </w:pPr>
      <w:r>
        <w:rPr>
          <w:rFonts w:hint="eastAsia" w:ascii="宋体" w:hAnsi="宋体"/>
          <w:szCs w:val="21"/>
        </w:rPr>
        <w:t>1.基金管理人签署重大合同文本后，应及时将合同文本正本送达基金托管人处。</w:t>
      </w:r>
    </w:p>
    <w:p w14:paraId="0D4E0831">
      <w:pPr>
        <w:spacing w:line="360" w:lineRule="auto"/>
        <w:ind w:firstLine="420"/>
        <w:rPr>
          <w:rFonts w:ascii="宋体" w:hAnsi="宋体"/>
          <w:szCs w:val="21"/>
        </w:rPr>
      </w:pPr>
      <w:r>
        <w:rPr>
          <w:rFonts w:hint="eastAsia" w:ascii="宋体" w:hAnsi="宋体"/>
          <w:szCs w:val="21"/>
        </w:rPr>
        <w:t>2.基金管理人应及时将与本基金账务处理、资金划拨等有关的合同、协议传真或通过双方认可的其他方式发送至基金托管人。</w:t>
      </w:r>
    </w:p>
    <w:p w14:paraId="0A1B117C">
      <w:pPr>
        <w:spacing w:line="360" w:lineRule="auto"/>
        <w:ind w:firstLine="420"/>
        <w:rPr>
          <w:rFonts w:ascii="宋体" w:hAnsi="宋体"/>
          <w:szCs w:val="21"/>
        </w:rPr>
      </w:pPr>
      <w:r>
        <w:rPr>
          <w:rFonts w:hint="eastAsia" w:ascii="宋体" w:hAnsi="宋体"/>
          <w:szCs w:val="21"/>
        </w:rPr>
        <w:t>（三）变更与协助</w:t>
      </w:r>
    </w:p>
    <w:p w14:paraId="6CE8DC5C">
      <w:pPr>
        <w:spacing w:line="360" w:lineRule="auto"/>
        <w:ind w:firstLine="420"/>
        <w:rPr>
          <w:rFonts w:ascii="宋体" w:hAnsi="宋体"/>
          <w:szCs w:val="21"/>
        </w:rPr>
      </w:pPr>
      <w:r>
        <w:rPr>
          <w:rFonts w:hint="eastAsia" w:ascii="宋体" w:hAnsi="宋体"/>
          <w:szCs w:val="21"/>
        </w:rPr>
        <w:t>若基金管理人/基金托管人发生变更，未变更的一方有义务协助变更后的接任人接收相应文件。</w:t>
      </w:r>
    </w:p>
    <w:p w14:paraId="1C700E48">
      <w:pPr>
        <w:spacing w:line="360" w:lineRule="auto"/>
        <w:ind w:firstLine="420"/>
        <w:rPr>
          <w:rFonts w:ascii="宋体" w:hAnsi="宋体"/>
          <w:szCs w:val="21"/>
        </w:rPr>
      </w:pPr>
      <w:r>
        <w:rPr>
          <w:rFonts w:hint="eastAsia" w:ascii="宋体" w:hAnsi="宋体"/>
          <w:szCs w:val="21"/>
        </w:rPr>
        <w:t>（四）基金管理人和基金托管人应按各自职责完整保存原始凭证、记账凭证、基金账册、交易记录和重要合同等，承担保密义务并按规定期限保存，保存期限不低于法律法规规定的最低期限。</w:t>
      </w:r>
    </w:p>
    <w:p w14:paraId="19732F96">
      <w:pPr>
        <w:adjustRightInd w:val="0"/>
        <w:snapToGrid w:val="0"/>
        <w:spacing w:line="360" w:lineRule="auto"/>
        <w:rPr>
          <w:rFonts w:ascii="宋体" w:hAnsi="宋体"/>
          <w:szCs w:val="21"/>
        </w:rPr>
      </w:pPr>
    </w:p>
    <w:bookmarkEnd w:id="143"/>
    <w:p w14:paraId="6FAF655F">
      <w:pPr>
        <w:adjustRightInd w:val="0"/>
        <w:snapToGrid w:val="0"/>
        <w:spacing w:line="360" w:lineRule="auto"/>
        <w:ind w:firstLine="420" w:firstLineChars="200"/>
        <w:outlineLvl w:val="2"/>
        <w:rPr>
          <w:rFonts w:ascii="宋体" w:hAnsi="宋体"/>
        </w:rPr>
        <w:sectPr>
          <w:footerReference r:id="rId20" w:type="default"/>
          <w:pgSz w:w="11906" w:h="16838"/>
          <w:pgMar w:top="1418" w:right="1701" w:bottom="1418" w:left="1701" w:header="851" w:footer="992" w:gutter="0"/>
          <w:pgNumType w:start="1"/>
          <w:cols w:space="425" w:num="1"/>
          <w:docGrid w:type="lines" w:linePitch="312" w:charSpace="0"/>
        </w:sectPr>
      </w:pPr>
    </w:p>
    <w:p w14:paraId="7277F938">
      <w:pPr>
        <w:pStyle w:val="3"/>
        <w:spacing w:before="312" w:beforeLines="100" w:after="156" w:afterLines="50" w:line="360" w:lineRule="auto"/>
        <w:jc w:val="center"/>
        <w:rPr>
          <w:rFonts w:ascii="宋体" w:hAnsi="宋体" w:eastAsia="宋体"/>
          <w:sz w:val="21"/>
          <w:szCs w:val="21"/>
        </w:rPr>
      </w:pPr>
      <w:bookmarkStart w:id="144" w:name="_Toc384992704"/>
      <w:bookmarkStart w:id="145" w:name="_Toc501274926"/>
      <w:bookmarkStart w:id="146" w:name="_Toc348082042"/>
      <w:bookmarkStart w:id="147" w:name="CLAUSE_25cb0ea76d804a1599ef088ef81b866c"/>
      <w:r>
        <w:rPr>
          <w:rFonts w:hint="eastAsia" w:ascii="宋体" w:hAnsi="宋体" w:eastAsia="宋体"/>
          <w:sz w:val="21"/>
          <w:szCs w:val="21"/>
        </w:rPr>
        <w:t>十四、基金管理人和基金托管人的更换</w:t>
      </w:r>
      <w:bookmarkEnd w:id="144"/>
      <w:bookmarkEnd w:id="145"/>
      <w:bookmarkEnd w:id="146"/>
    </w:p>
    <w:p w14:paraId="404B49BF">
      <w:pPr>
        <w:spacing w:line="360" w:lineRule="auto"/>
        <w:ind w:firstLine="420"/>
        <w:rPr>
          <w:rFonts w:ascii="宋体" w:hAnsi="宋体"/>
          <w:kern w:val="0"/>
          <w:szCs w:val="21"/>
        </w:rPr>
      </w:pPr>
      <w:r>
        <w:rPr>
          <w:rFonts w:hint="eastAsia" w:ascii="宋体" w:hAnsi="宋体"/>
          <w:szCs w:val="21"/>
        </w:rPr>
        <w:t>（一）</w:t>
      </w:r>
      <w:r>
        <w:rPr>
          <w:rFonts w:ascii="宋体" w:hAnsi="宋体"/>
          <w:kern w:val="0"/>
          <w:szCs w:val="21"/>
        </w:rPr>
        <w:t>基金管理人职责终止</w:t>
      </w:r>
      <w:r>
        <w:rPr>
          <w:rFonts w:hint="eastAsia" w:ascii="宋体" w:hAnsi="宋体"/>
          <w:kern w:val="0"/>
          <w:szCs w:val="21"/>
        </w:rPr>
        <w:t>后</w:t>
      </w:r>
      <w:r>
        <w:rPr>
          <w:rFonts w:ascii="宋体" w:hAnsi="宋体"/>
          <w:kern w:val="0"/>
          <w:szCs w:val="21"/>
        </w:rPr>
        <w:t>，</w:t>
      </w:r>
      <w:r>
        <w:rPr>
          <w:rFonts w:hint="eastAsia" w:ascii="宋体" w:hAnsi="宋体"/>
          <w:kern w:val="0"/>
          <w:szCs w:val="21"/>
        </w:rPr>
        <w:t>仍</w:t>
      </w:r>
      <w:r>
        <w:rPr>
          <w:rFonts w:ascii="宋体" w:hAnsi="宋体"/>
          <w:kern w:val="0"/>
          <w:szCs w:val="21"/>
        </w:rPr>
        <w:t>应妥善保管基金管理业务资料，</w:t>
      </w:r>
      <w:r>
        <w:rPr>
          <w:rFonts w:hint="eastAsia" w:ascii="宋体" w:hAnsi="宋体" w:cs="Arial"/>
          <w:szCs w:val="21"/>
        </w:rPr>
        <w:t>保证不做出对基金份额持有人的利益造成损害的行为，</w:t>
      </w:r>
      <w:r>
        <w:rPr>
          <w:rFonts w:hint="eastAsia" w:ascii="宋体" w:hAnsi="宋体"/>
          <w:kern w:val="0"/>
          <w:szCs w:val="21"/>
        </w:rPr>
        <w:t>并与新任基金管理人或临时基金管理人</w:t>
      </w:r>
      <w:r>
        <w:rPr>
          <w:rFonts w:ascii="宋体" w:hAnsi="宋体"/>
          <w:kern w:val="0"/>
          <w:szCs w:val="21"/>
        </w:rPr>
        <w:t>及时办理基金管理业务的移交手续。</w:t>
      </w:r>
      <w:r>
        <w:rPr>
          <w:rFonts w:hint="eastAsia" w:ascii="宋体" w:hAnsi="宋体"/>
          <w:kern w:val="0"/>
          <w:szCs w:val="21"/>
        </w:rPr>
        <w:t>基金托管人应给予积极配合，并与新任基金管理人或临时基金管理人核对基金资产总值和基金资产净值。</w:t>
      </w:r>
    </w:p>
    <w:p w14:paraId="3323E0F2">
      <w:pPr>
        <w:spacing w:line="360" w:lineRule="auto"/>
        <w:ind w:firstLine="420"/>
        <w:rPr>
          <w:rFonts w:ascii="宋体" w:hAnsi="宋体"/>
          <w:kern w:val="0"/>
          <w:szCs w:val="21"/>
        </w:rPr>
      </w:pPr>
      <w:r>
        <w:rPr>
          <w:rFonts w:hint="eastAsia" w:ascii="宋体" w:hAnsi="宋体"/>
          <w:szCs w:val="21"/>
        </w:rPr>
        <w:t>（二）</w:t>
      </w:r>
      <w:r>
        <w:rPr>
          <w:rFonts w:ascii="宋体" w:hAnsi="宋体"/>
          <w:kern w:val="0"/>
          <w:szCs w:val="21"/>
        </w:rPr>
        <w:t>基金托管人职责终止</w:t>
      </w:r>
      <w:r>
        <w:rPr>
          <w:rFonts w:hint="eastAsia" w:ascii="宋体" w:hAnsi="宋体"/>
          <w:kern w:val="0"/>
          <w:szCs w:val="21"/>
        </w:rPr>
        <w:t>后</w:t>
      </w:r>
      <w:r>
        <w:rPr>
          <w:rFonts w:ascii="宋体" w:hAnsi="宋体"/>
          <w:kern w:val="0"/>
          <w:szCs w:val="21"/>
        </w:rPr>
        <w:t>，</w:t>
      </w:r>
      <w:r>
        <w:rPr>
          <w:rFonts w:hint="eastAsia" w:ascii="宋体" w:hAnsi="宋体"/>
          <w:kern w:val="0"/>
          <w:szCs w:val="21"/>
        </w:rPr>
        <w:t>仍</w:t>
      </w:r>
      <w:r>
        <w:rPr>
          <w:rFonts w:ascii="宋体" w:hAnsi="宋体"/>
          <w:kern w:val="0"/>
          <w:szCs w:val="21"/>
        </w:rPr>
        <w:t>应妥善保管基金财产和基金托管业务资料，</w:t>
      </w:r>
      <w:r>
        <w:rPr>
          <w:rFonts w:hint="eastAsia" w:ascii="宋体" w:hAnsi="宋体" w:cs="Arial"/>
          <w:szCs w:val="21"/>
        </w:rPr>
        <w:t>保证不做出对基金份额持有人的利益造成损害的行为，</w:t>
      </w:r>
      <w:r>
        <w:rPr>
          <w:rFonts w:hint="eastAsia" w:ascii="宋体" w:hAnsi="宋体"/>
          <w:kern w:val="0"/>
          <w:szCs w:val="21"/>
        </w:rPr>
        <w:t>并与新任基金托管人或临时基金托管人</w:t>
      </w:r>
      <w:r>
        <w:rPr>
          <w:rFonts w:ascii="宋体" w:hAnsi="宋体"/>
          <w:kern w:val="0"/>
          <w:szCs w:val="21"/>
        </w:rPr>
        <w:t>及时办理基金财产和基金托管业务的移交手续。</w:t>
      </w:r>
      <w:r>
        <w:rPr>
          <w:rFonts w:hint="eastAsia" w:ascii="宋体" w:hAnsi="宋体"/>
          <w:kern w:val="0"/>
          <w:szCs w:val="21"/>
        </w:rPr>
        <w:t>基金管理人应给予积极配合，并与新任基金托管人或临时基金托管人核对基金资产总值和基金资产净值。</w:t>
      </w:r>
    </w:p>
    <w:p w14:paraId="4688C196">
      <w:pPr>
        <w:adjustRightInd w:val="0"/>
        <w:snapToGrid w:val="0"/>
        <w:spacing w:line="360" w:lineRule="auto"/>
        <w:ind w:firstLine="420"/>
        <w:outlineLvl w:val="2"/>
        <w:rPr>
          <w:rFonts w:ascii="宋体" w:hAnsi="宋体" w:cs="Arial"/>
          <w:szCs w:val="21"/>
        </w:rPr>
      </w:pPr>
      <w:r>
        <w:rPr>
          <w:rFonts w:hint="eastAsia" w:ascii="宋体" w:hAnsi="宋体"/>
          <w:kern w:val="0"/>
          <w:szCs w:val="21"/>
        </w:rPr>
        <w:t>（三）其他事宜见基金合同的相关约定。</w:t>
      </w:r>
    </w:p>
    <w:p w14:paraId="787AEFF7">
      <w:pPr>
        <w:adjustRightInd w:val="0"/>
        <w:snapToGrid w:val="0"/>
        <w:spacing w:line="360" w:lineRule="auto"/>
        <w:rPr>
          <w:rFonts w:ascii="宋体" w:hAnsi="宋体" w:cs="Arial"/>
          <w:szCs w:val="21"/>
        </w:rPr>
      </w:pPr>
    </w:p>
    <w:bookmarkEnd w:id="147"/>
    <w:p w14:paraId="1CE3CE61">
      <w:pPr>
        <w:adjustRightInd w:val="0"/>
        <w:snapToGrid w:val="0"/>
        <w:spacing w:line="360" w:lineRule="auto"/>
        <w:ind w:firstLine="420"/>
        <w:outlineLvl w:val="2"/>
        <w:rPr>
          <w:rFonts w:ascii="宋体" w:hAnsi="宋体"/>
          <w:kern w:val="0"/>
        </w:rPr>
        <w:sectPr>
          <w:footerReference r:id="rId21" w:type="default"/>
          <w:pgSz w:w="11906" w:h="16838"/>
          <w:pgMar w:top="1418" w:right="1701" w:bottom="1418" w:left="1701" w:header="851" w:footer="992" w:gutter="0"/>
          <w:pgNumType w:start="1"/>
          <w:cols w:space="425" w:num="1"/>
          <w:docGrid w:type="lines" w:linePitch="312" w:charSpace="0"/>
        </w:sectPr>
      </w:pPr>
    </w:p>
    <w:p w14:paraId="1E63AD6F">
      <w:pPr>
        <w:pStyle w:val="3"/>
        <w:spacing w:before="312" w:beforeLines="100" w:after="156" w:afterLines="50" w:line="360" w:lineRule="auto"/>
        <w:jc w:val="center"/>
        <w:rPr>
          <w:rFonts w:ascii="宋体" w:hAnsi="宋体" w:eastAsia="宋体"/>
          <w:sz w:val="21"/>
          <w:szCs w:val="21"/>
        </w:rPr>
      </w:pPr>
      <w:bookmarkStart w:id="148" w:name="_Toc501274927"/>
      <w:bookmarkStart w:id="149" w:name="_Toc384992705"/>
      <w:bookmarkStart w:id="150" w:name="_Toc348082043"/>
      <w:bookmarkStart w:id="151" w:name="CLAUSE_e9d10e6b7422433e941bffe3b6ba0b0b"/>
      <w:r>
        <w:rPr>
          <w:rFonts w:hint="eastAsia" w:ascii="宋体" w:hAnsi="宋体" w:eastAsia="宋体"/>
          <w:sz w:val="21"/>
          <w:szCs w:val="21"/>
        </w:rPr>
        <w:t>十五、禁止行为</w:t>
      </w:r>
      <w:bookmarkEnd w:id="148"/>
      <w:bookmarkEnd w:id="149"/>
      <w:bookmarkEnd w:id="150"/>
    </w:p>
    <w:p w14:paraId="7CA65DB4">
      <w:pPr>
        <w:adjustRightInd w:val="0"/>
        <w:snapToGrid w:val="0"/>
        <w:spacing w:line="360" w:lineRule="auto"/>
        <w:ind w:firstLine="420" w:firstLineChars="200"/>
        <w:rPr>
          <w:rFonts w:ascii="宋体" w:hAnsi="宋体" w:cs="Arial"/>
          <w:szCs w:val="21"/>
        </w:rPr>
      </w:pPr>
      <w:r>
        <w:rPr>
          <w:rFonts w:hint="eastAsia" w:ascii="宋体" w:hAnsi="宋体" w:cs="Arial"/>
          <w:szCs w:val="21"/>
        </w:rPr>
        <w:t>本协议当事人禁止从事的行为，包括但不限于：</w:t>
      </w:r>
    </w:p>
    <w:p w14:paraId="7BDE0071">
      <w:pPr>
        <w:spacing w:line="360" w:lineRule="auto"/>
        <w:ind w:firstLine="420" w:firstLineChars="200"/>
        <w:rPr>
          <w:rFonts w:ascii="宋体" w:hAnsi="宋体"/>
          <w:szCs w:val="21"/>
        </w:rPr>
      </w:pPr>
      <w:r>
        <w:rPr>
          <w:rFonts w:hint="eastAsia" w:ascii="宋体" w:hAnsi="宋体"/>
          <w:szCs w:val="21"/>
        </w:rPr>
        <w:t>（一）基金管理人、基金托管人将其固有财产或者他人财产混同于基金财产从事证券投资。</w:t>
      </w:r>
    </w:p>
    <w:p w14:paraId="74840AF7">
      <w:pPr>
        <w:spacing w:line="360" w:lineRule="auto"/>
        <w:ind w:firstLine="420" w:firstLineChars="200"/>
        <w:rPr>
          <w:rFonts w:ascii="宋体" w:hAnsi="宋体"/>
          <w:szCs w:val="21"/>
        </w:rPr>
      </w:pPr>
      <w:r>
        <w:rPr>
          <w:rFonts w:hint="eastAsia" w:ascii="宋体" w:hAnsi="宋体"/>
          <w:szCs w:val="21"/>
        </w:rPr>
        <w:t>（二）基金管理人不公平地对待其管理的不同基金财产，基金托管人不公平地对待其托管的不同基金财产。</w:t>
      </w:r>
    </w:p>
    <w:p w14:paraId="0DCFDE7E">
      <w:pPr>
        <w:spacing w:line="360" w:lineRule="auto"/>
        <w:ind w:firstLine="420" w:firstLineChars="200"/>
        <w:rPr>
          <w:rFonts w:ascii="宋体" w:hAnsi="宋体"/>
          <w:szCs w:val="21"/>
        </w:rPr>
      </w:pPr>
      <w:r>
        <w:rPr>
          <w:rFonts w:hint="eastAsia" w:ascii="宋体" w:hAnsi="宋体"/>
          <w:szCs w:val="21"/>
        </w:rPr>
        <w:t>（三）基金管理人、基金托管人利用基金财产或职务之便为基金份额持有人以外的第三人牟取利益。</w:t>
      </w:r>
    </w:p>
    <w:p w14:paraId="49715FF3">
      <w:pPr>
        <w:spacing w:line="360" w:lineRule="auto"/>
        <w:ind w:firstLine="420" w:firstLineChars="200"/>
        <w:rPr>
          <w:rFonts w:ascii="宋体" w:hAnsi="宋体"/>
          <w:szCs w:val="21"/>
        </w:rPr>
      </w:pPr>
      <w:r>
        <w:rPr>
          <w:rFonts w:hint="eastAsia" w:ascii="宋体" w:hAnsi="宋体"/>
          <w:szCs w:val="21"/>
        </w:rPr>
        <w:t>（四）基金管理人、基金托管人向基金份额持有人违规承诺收益或者承担损失。</w:t>
      </w:r>
    </w:p>
    <w:p w14:paraId="6A05DE59">
      <w:pPr>
        <w:adjustRightInd w:val="0"/>
        <w:snapToGrid w:val="0"/>
        <w:spacing w:line="360" w:lineRule="auto"/>
        <w:ind w:firstLine="420" w:firstLineChars="200"/>
        <w:rPr>
          <w:rFonts w:ascii="宋体" w:hAnsi="宋体" w:cs="Arial"/>
          <w:szCs w:val="21"/>
        </w:rPr>
      </w:pPr>
      <w:r>
        <w:rPr>
          <w:rFonts w:hint="eastAsia" w:ascii="宋体" w:hAnsi="宋体" w:cs="Arial"/>
          <w:szCs w:val="21"/>
        </w:rPr>
        <w:t>（五）基金管理人、基金托管人对他人</w:t>
      </w:r>
      <w:r>
        <w:rPr>
          <w:rFonts w:hint="eastAsia" w:ascii="宋体" w:hAnsi="宋体"/>
          <w:szCs w:val="21"/>
        </w:rPr>
        <w:t>泄漏</w:t>
      </w:r>
      <w:r>
        <w:rPr>
          <w:rFonts w:hint="eastAsia" w:ascii="宋体" w:hAnsi="宋体" w:cs="Arial"/>
          <w:szCs w:val="21"/>
        </w:rPr>
        <w:t>基金运作和管理过程中任何尚未按法律法规规定的方式公开披露的信息。</w:t>
      </w:r>
    </w:p>
    <w:p w14:paraId="10F8257E">
      <w:pPr>
        <w:pStyle w:val="9"/>
        <w:spacing w:line="360" w:lineRule="auto"/>
        <w:ind w:firstLine="420"/>
        <w:rPr>
          <w:rFonts w:ascii="宋体" w:hAnsi="宋体" w:eastAsia="宋体" w:cs="Arial"/>
          <w:sz w:val="21"/>
          <w:szCs w:val="21"/>
        </w:rPr>
      </w:pPr>
      <w:r>
        <w:rPr>
          <w:rFonts w:hint="eastAsia" w:ascii="宋体" w:hAnsi="宋体" w:eastAsia="宋体" w:cs="Arial"/>
          <w:sz w:val="21"/>
          <w:szCs w:val="21"/>
        </w:rPr>
        <w:t>（六）基金管理人在没有充足资金的情况下向基金托管人发出投资指令和付款指令，或违规向基金托管人发出指令。</w:t>
      </w:r>
    </w:p>
    <w:p w14:paraId="02104C99">
      <w:pPr>
        <w:adjustRightInd w:val="0"/>
        <w:snapToGrid w:val="0"/>
        <w:spacing w:line="360" w:lineRule="auto"/>
        <w:ind w:firstLine="420" w:firstLineChars="200"/>
        <w:rPr>
          <w:rFonts w:ascii="宋体" w:hAnsi="宋体" w:cs="Arial"/>
          <w:szCs w:val="21"/>
        </w:rPr>
      </w:pPr>
      <w:r>
        <w:rPr>
          <w:rFonts w:hint="eastAsia" w:ascii="宋体" w:hAnsi="宋体" w:cs="Arial"/>
          <w:szCs w:val="21"/>
        </w:rPr>
        <w:t>（七）基金管理人、基金托管人在行政上、财务上不独立，其高级管理人员和其他从业人员相互兼职。</w:t>
      </w:r>
    </w:p>
    <w:p w14:paraId="50F9CCC5">
      <w:pPr>
        <w:spacing w:line="360" w:lineRule="auto"/>
        <w:ind w:firstLine="420" w:firstLineChars="200"/>
        <w:rPr>
          <w:rFonts w:ascii="宋体" w:hAnsi="宋体" w:cs="Arial"/>
          <w:szCs w:val="21"/>
        </w:rPr>
      </w:pPr>
      <w:r>
        <w:rPr>
          <w:rFonts w:hint="eastAsia" w:ascii="宋体" w:hAnsi="宋体" w:cs="Arial"/>
          <w:szCs w:val="21"/>
        </w:rPr>
        <w:t>（八）基金托管人私自动用或处分基金财产，根据基金管理人的合法指令、基金合同或托管协议的规定进行处分的除外。</w:t>
      </w:r>
    </w:p>
    <w:p w14:paraId="010E0BAE">
      <w:pPr>
        <w:spacing w:line="360" w:lineRule="auto"/>
        <w:ind w:firstLine="420" w:firstLineChars="200"/>
        <w:rPr>
          <w:rFonts w:ascii="宋体" w:hAnsi="宋体"/>
          <w:szCs w:val="21"/>
        </w:rPr>
      </w:pPr>
      <w:r>
        <w:rPr>
          <w:rFonts w:hint="eastAsia" w:ascii="宋体" w:hAnsi="宋体" w:cs="Arial"/>
          <w:szCs w:val="21"/>
        </w:rPr>
        <w:t>（九）法律法规和基金合同禁止的其他行为，以及</w:t>
      </w:r>
      <w:r>
        <w:rPr>
          <w:rFonts w:hint="eastAsia" w:ascii="宋体" w:hAnsi="宋体"/>
          <w:szCs w:val="21"/>
        </w:rPr>
        <w:t>依照法律、行政法规有关规定，由</w:t>
      </w:r>
      <w:r>
        <w:rPr>
          <w:rFonts w:hint="eastAsia" w:ascii="宋体" w:hAnsi="宋体" w:cs="Arial"/>
          <w:szCs w:val="21"/>
        </w:rPr>
        <w:t>中国证监会</w:t>
      </w:r>
      <w:r>
        <w:rPr>
          <w:rFonts w:hint="eastAsia" w:ascii="宋体" w:hAnsi="宋体"/>
          <w:szCs w:val="21"/>
        </w:rPr>
        <w:t>规定禁止基金管理人、基金托管人从事的其他行为。</w:t>
      </w:r>
    </w:p>
    <w:bookmarkEnd w:id="151"/>
    <w:p w14:paraId="4E764300">
      <w:pPr>
        <w:spacing w:line="360" w:lineRule="auto"/>
        <w:ind w:firstLine="420" w:firstLineChars="200"/>
        <w:rPr>
          <w:rFonts w:ascii="宋体" w:hAnsi="宋体"/>
        </w:rPr>
        <w:sectPr>
          <w:footerReference r:id="rId22" w:type="default"/>
          <w:pgSz w:w="11906" w:h="16838"/>
          <w:pgMar w:top="1418" w:right="1701" w:bottom="1418" w:left="1701" w:header="851" w:footer="992" w:gutter="0"/>
          <w:pgNumType w:start="1"/>
          <w:cols w:space="425" w:num="1"/>
          <w:docGrid w:type="lines" w:linePitch="312" w:charSpace="0"/>
        </w:sectPr>
      </w:pPr>
    </w:p>
    <w:p w14:paraId="68BF128D">
      <w:pPr>
        <w:pStyle w:val="3"/>
        <w:spacing w:before="312" w:beforeLines="100" w:after="156" w:afterLines="50" w:line="360" w:lineRule="auto"/>
        <w:jc w:val="center"/>
        <w:rPr>
          <w:rFonts w:ascii="宋体" w:hAnsi="宋体" w:eastAsia="宋体"/>
          <w:sz w:val="21"/>
          <w:szCs w:val="21"/>
        </w:rPr>
      </w:pPr>
      <w:bookmarkStart w:id="152" w:name="_Toc384992706"/>
      <w:bookmarkStart w:id="153" w:name="_Toc501274928"/>
      <w:bookmarkStart w:id="154" w:name="_Toc348082044"/>
      <w:bookmarkStart w:id="155" w:name="CLAUSE_bcee9b9b888546b5bc1f8261460d73d2"/>
      <w:r>
        <w:rPr>
          <w:rFonts w:hint="eastAsia" w:ascii="宋体" w:hAnsi="宋体" w:eastAsia="宋体"/>
          <w:sz w:val="21"/>
          <w:szCs w:val="21"/>
        </w:rPr>
        <w:t>十六、托管协议的变更、终止与基金财产的清算</w:t>
      </w:r>
      <w:bookmarkEnd w:id="152"/>
      <w:bookmarkEnd w:id="153"/>
      <w:bookmarkEnd w:id="154"/>
    </w:p>
    <w:p w14:paraId="0ECD10A6">
      <w:pPr>
        <w:adjustRightInd w:val="0"/>
        <w:snapToGrid w:val="0"/>
        <w:spacing w:line="360" w:lineRule="auto"/>
        <w:ind w:firstLine="420" w:firstLineChars="200"/>
        <w:rPr>
          <w:rFonts w:ascii="宋体" w:hAnsi="宋体" w:cs="Arial"/>
          <w:szCs w:val="21"/>
        </w:rPr>
      </w:pPr>
      <w:r>
        <w:rPr>
          <w:rFonts w:hint="eastAsia" w:ascii="宋体" w:hAnsi="宋体" w:cs="Arial"/>
          <w:szCs w:val="21"/>
        </w:rPr>
        <w:t>（一）托管协议的变更程序</w:t>
      </w:r>
    </w:p>
    <w:p w14:paraId="318335EA">
      <w:pPr>
        <w:adjustRightInd w:val="0"/>
        <w:snapToGrid w:val="0"/>
        <w:spacing w:line="360" w:lineRule="auto"/>
        <w:ind w:firstLine="420" w:firstLineChars="200"/>
        <w:rPr>
          <w:rFonts w:ascii="宋体" w:hAnsi="宋体"/>
          <w:szCs w:val="21"/>
        </w:rPr>
      </w:pPr>
      <w:r>
        <w:rPr>
          <w:rFonts w:hint="eastAsia" w:ascii="宋体" w:hAnsi="宋体" w:cs="Arial"/>
          <w:szCs w:val="21"/>
        </w:rPr>
        <w:t>本协议双方当事人经协商一致，可以对协议进行修改。修改后的新协议，其内容不得与基金合同的规定有任何冲突。基金托管协议的变更应报中国证监会备案。</w:t>
      </w:r>
    </w:p>
    <w:p w14:paraId="55198332">
      <w:pPr>
        <w:adjustRightInd w:val="0"/>
        <w:snapToGrid w:val="0"/>
        <w:spacing w:line="360" w:lineRule="auto"/>
        <w:ind w:firstLine="420" w:firstLineChars="200"/>
        <w:rPr>
          <w:rFonts w:ascii="宋体" w:hAnsi="宋体" w:cs="Arial"/>
          <w:szCs w:val="21"/>
        </w:rPr>
      </w:pPr>
      <w:r>
        <w:rPr>
          <w:rFonts w:hint="eastAsia" w:ascii="宋体" w:hAnsi="宋体" w:cs="Arial"/>
          <w:szCs w:val="21"/>
        </w:rPr>
        <w:t>（二）基金托管协议终止的情形</w:t>
      </w:r>
    </w:p>
    <w:p w14:paraId="6AE79C95">
      <w:pPr>
        <w:adjustRightInd w:val="0"/>
        <w:snapToGrid w:val="0"/>
        <w:spacing w:line="360" w:lineRule="auto"/>
        <w:ind w:firstLine="420" w:firstLineChars="200"/>
        <w:rPr>
          <w:rFonts w:ascii="宋体" w:hAnsi="宋体" w:cs="Arial"/>
          <w:szCs w:val="21"/>
        </w:rPr>
      </w:pPr>
      <w:r>
        <w:rPr>
          <w:rFonts w:hint="eastAsia" w:ascii="宋体" w:hAnsi="宋体" w:cs="Arial"/>
          <w:szCs w:val="21"/>
        </w:rPr>
        <w:t>1、《基金合同》终止；</w:t>
      </w:r>
    </w:p>
    <w:p w14:paraId="59A56D9A">
      <w:pPr>
        <w:adjustRightInd w:val="0"/>
        <w:snapToGrid w:val="0"/>
        <w:spacing w:line="360" w:lineRule="auto"/>
        <w:ind w:firstLine="420" w:firstLineChars="200"/>
        <w:rPr>
          <w:rFonts w:ascii="宋体" w:hAnsi="宋体" w:cs="Arial"/>
          <w:szCs w:val="21"/>
        </w:rPr>
      </w:pPr>
      <w:r>
        <w:rPr>
          <w:rFonts w:hint="eastAsia" w:ascii="宋体" w:hAnsi="宋体" w:cs="Arial"/>
          <w:szCs w:val="21"/>
        </w:rPr>
        <w:t>2、基金托管人因解散、破产、撤销等事由，不能继续担任基金托管人的职务，而在6个月内无其他适当的托管机构承接其原有权利义务；</w:t>
      </w:r>
    </w:p>
    <w:p w14:paraId="13D27B11">
      <w:pPr>
        <w:adjustRightInd w:val="0"/>
        <w:snapToGrid w:val="0"/>
        <w:spacing w:line="360" w:lineRule="auto"/>
        <w:ind w:firstLine="420" w:firstLineChars="200"/>
        <w:rPr>
          <w:rFonts w:ascii="宋体" w:hAnsi="宋体" w:cs="Arial"/>
          <w:szCs w:val="21"/>
        </w:rPr>
      </w:pPr>
      <w:r>
        <w:rPr>
          <w:rFonts w:hint="eastAsia" w:ascii="宋体" w:hAnsi="宋体" w:cs="Arial"/>
          <w:szCs w:val="21"/>
        </w:rPr>
        <w:t>3、基金管理人因解散、破产、撤销等事由，不能继续担任基金管理人的职务，而在6个月内无其他适当的基金管理公司承接其原有权利义务；</w:t>
      </w:r>
    </w:p>
    <w:p w14:paraId="7A7059ED">
      <w:pPr>
        <w:adjustRightInd w:val="0"/>
        <w:snapToGrid w:val="0"/>
        <w:spacing w:line="360" w:lineRule="auto"/>
        <w:ind w:firstLine="420" w:firstLineChars="200"/>
        <w:rPr>
          <w:rFonts w:ascii="宋体" w:hAnsi="宋体" w:cs="Arial"/>
          <w:szCs w:val="21"/>
        </w:rPr>
      </w:pPr>
      <w:r>
        <w:rPr>
          <w:rFonts w:hint="eastAsia" w:ascii="宋体" w:hAnsi="宋体" w:cs="Arial"/>
          <w:szCs w:val="21"/>
        </w:rPr>
        <w:t>4、发生法律法规、中国证监会或《基金合同》规定的其他终止事项。</w:t>
      </w:r>
    </w:p>
    <w:p w14:paraId="1C9CDE1D">
      <w:pPr>
        <w:adjustRightInd w:val="0"/>
        <w:snapToGrid w:val="0"/>
        <w:spacing w:line="360" w:lineRule="auto"/>
        <w:ind w:firstLine="420" w:firstLineChars="200"/>
        <w:rPr>
          <w:rFonts w:ascii="宋体" w:hAnsi="宋体" w:cs="Arial"/>
          <w:szCs w:val="21"/>
        </w:rPr>
      </w:pPr>
      <w:r>
        <w:rPr>
          <w:rFonts w:hint="eastAsia" w:ascii="宋体" w:hAnsi="宋体" w:cs="Arial"/>
          <w:szCs w:val="21"/>
        </w:rPr>
        <w:t>（三）基金财产的清算</w:t>
      </w:r>
    </w:p>
    <w:p w14:paraId="7756C012">
      <w:pPr>
        <w:adjustRightInd w:val="0"/>
        <w:snapToGrid w:val="0"/>
        <w:spacing w:line="360" w:lineRule="auto"/>
        <w:ind w:firstLine="420" w:firstLineChars="200"/>
        <w:rPr>
          <w:rFonts w:ascii="宋体" w:hAnsi="宋体" w:cs="Arial"/>
          <w:szCs w:val="21"/>
        </w:rPr>
      </w:pPr>
      <w:r>
        <w:rPr>
          <w:rFonts w:hint="eastAsia"/>
          <w:szCs w:val="21"/>
        </w:rPr>
        <w:t>基金管理人与基金托管人按照《基金合同》的约定处理基金财产的清算。</w:t>
      </w:r>
    </w:p>
    <w:p w14:paraId="315D245D">
      <w:pPr>
        <w:adjustRightInd w:val="0"/>
        <w:snapToGrid w:val="0"/>
        <w:spacing w:line="360" w:lineRule="auto"/>
        <w:rPr>
          <w:rFonts w:ascii="宋体" w:hAnsi="宋体" w:cs="Arial"/>
          <w:szCs w:val="21"/>
        </w:rPr>
      </w:pPr>
    </w:p>
    <w:bookmarkEnd w:id="155"/>
    <w:p w14:paraId="12CB6F10">
      <w:pPr>
        <w:adjustRightInd w:val="0"/>
        <w:snapToGrid w:val="0"/>
        <w:spacing w:line="360" w:lineRule="auto"/>
        <w:ind w:firstLine="420" w:firstLineChars="200"/>
        <w:sectPr>
          <w:footerReference r:id="rId23" w:type="default"/>
          <w:pgSz w:w="11906" w:h="16838"/>
          <w:pgMar w:top="1418" w:right="1701" w:bottom="1418" w:left="1701" w:header="851" w:footer="992" w:gutter="0"/>
          <w:pgNumType w:start="1"/>
          <w:cols w:space="425" w:num="1"/>
          <w:docGrid w:type="lines" w:linePitch="312" w:charSpace="0"/>
        </w:sectPr>
      </w:pPr>
    </w:p>
    <w:p w14:paraId="1CC4CA44">
      <w:pPr>
        <w:pStyle w:val="3"/>
        <w:spacing w:before="312" w:beforeLines="100" w:after="156" w:afterLines="50" w:line="360" w:lineRule="auto"/>
        <w:jc w:val="center"/>
        <w:rPr>
          <w:rFonts w:ascii="宋体" w:hAnsi="宋体" w:eastAsia="宋体"/>
          <w:sz w:val="21"/>
          <w:szCs w:val="21"/>
        </w:rPr>
      </w:pPr>
      <w:bookmarkStart w:id="156" w:name="_Toc501274929"/>
      <w:bookmarkStart w:id="157" w:name="_Toc384992707"/>
      <w:bookmarkStart w:id="158" w:name="_Toc348082045"/>
      <w:bookmarkStart w:id="159" w:name="CLAUSE_2ba833cdb8204150b29589e8e49e6d33"/>
      <w:r>
        <w:rPr>
          <w:rFonts w:hint="eastAsia" w:ascii="宋体" w:hAnsi="宋体" w:eastAsia="宋体"/>
          <w:sz w:val="21"/>
          <w:szCs w:val="21"/>
        </w:rPr>
        <w:t>十七、违约责任</w:t>
      </w:r>
      <w:bookmarkEnd w:id="156"/>
      <w:bookmarkEnd w:id="157"/>
      <w:bookmarkEnd w:id="158"/>
    </w:p>
    <w:p w14:paraId="48475D8B">
      <w:pPr>
        <w:adjustRightInd w:val="0"/>
        <w:snapToGrid w:val="0"/>
        <w:spacing w:line="360" w:lineRule="auto"/>
        <w:ind w:firstLine="420" w:firstLineChars="200"/>
        <w:rPr>
          <w:rFonts w:ascii="宋体" w:hAnsi="宋体" w:cs="Arial"/>
          <w:szCs w:val="21"/>
        </w:rPr>
      </w:pPr>
      <w:r>
        <w:rPr>
          <w:rFonts w:hint="eastAsia" w:ascii="宋体" w:hAnsi="宋体" w:cs="Arial"/>
          <w:szCs w:val="21"/>
        </w:rPr>
        <w:t>（一）</w:t>
      </w:r>
      <w:r>
        <w:rPr>
          <w:rFonts w:ascii="宋体" w:hAnsi="宋体" w:cs="Arial"/>
          <w:szCs w:val="21"/>
        </w:rPr>
        <w:t>基金管理人、基金托管人</w:t>
      </w:r>
      <w:r>
        <w:rPr>
          <w:rFonts w:hint="eastAsia" w:ascii="宋体" w:hAnsi="宋体" w:cs="Arial"/>
          <w:szCs w:val="21"/>
        </w:rPr>
        <w:t>不</w:t>
      </w:r>
      <w:r>
        <w:rPr>
          <w:rFonts w:ascii="宋体" w:hAnsi="宋体" w:cs="Arial"/>
          <w:szCs w:val="21"/>
        </w:rPr>
        <w:t>履行</w:t>
      </w:r>
      <w:r>
        <w:rPr>
          <w:rFonts w:hint="eastAsia" w:ascii="宋体" w:hAnsi="宋体" w:cs="Arial"/>
          <w:szCs w:val="21"/>
        </w:rPr>
        <w:t>本协议或履行本协议不符合约定的，应当承担违约责任。</w:t>
      </w:r>
    </w:p>
    <w:p w14:paraId="7E334E4B">
      <w:pPr>
        <w:adjustRightInd w:val="0"/>
        <w:snapToGrid w:val="0"/>
        <w:spacing w:line="360" w:lineRule="auto"/>
        <w:ind w:firstLine="420" w:firstLineChars="200"/>
        <w:rPr>
          <w:rFonts w:ascii="宋体" w:hAnsi="宋体" w:cs="Arial"/>
          <w:szCs w:val="21"/>
        </w:rPr>
      </w:pPr>
      <w:r>
        <w:rPr>
          <w:rFonts w:hint="eastAsia" w:ascii="宋体" w:hAnsi="宋体" w:cs="Arial"/>
          <w:szCs w:val="21"/>
        </w:rPr>
        <w:t>（二）</w:t>
      </w:r>
      <w:r>
        <w:rPr>
          <w:rFonts w:ascii="宋体" w:hAnsi="宋体" w:cs="Arial"/>
          <w:szCs w:val="21"/>
        </w:rPr>
        <w:t>基金管理人、基金托管人在履行各自职责的过程中，违反</w:t>
      </w:r>
      <w:r>
        <w:rPr>
          <w:rFonts w:hint="eastAsia" w:ascii="宋体" w:hAnsi="宋体" w:cs="Arial"/>
          <w:szCs w:val="21"/>
        </w:rPr>
        <w:t>《基金法》、《基金合同》和本托管协议</w:t>
      </w:r>
      <w:r>
        <w:rPr>
          <w:rFonts w:ascii="宋体" w:hAnsi="宋体" w:cs="Arial"/>
          <w:szCs w:val="21"/>
        </w:rPr>
        <w:t>约定，</w:t>
      </w:r>
      <w:bookmarkStart w:id="160" w:name="_Hlk107326818"/>
      <w:r>
        <w:rPr>
          <w:rFonts w:ascii="宋体" w:hAnsi="宋体" w:cs="Arial"/>
          <w:szCs w:val="21"/>
        </w:rPr>
        <w:t>给基金财产或者基金份额持有人造成损害的，应当分别对各自的行为依法承担赔偿责任；因共同行为给基金财产或者基金份额持有人造成损害的</w:t>
      </w:r>
      <w:bookmarkEnd w:id="160"/>
      <w:r>
        <w:rPr>
          <w:rFonts w:ascii="宋体" w:hAnsi="宋体" w:cs="Arial"/>
          <w:szCs w:val="21"/>
        </w:rPr>
        <w:t>，应当</w:t>
      </w:r>
      <w:r>
        <w:rPr>
          <w:rFonts w:hint="eastAsia" w:ascii="宋体" w:hAnsi="宋体" w:cs="Arial"/>
          <w:szCs w:val="21"/>
        </w:rPr>
        <w:t>根据各自的过错程度对由此造成的直接损失分别承担相应的</w:t>
      </w:r>
      <w:r>
        <w:rPr>
          <w:rFonts w:ascii="宋体" w:hAnsi="宋体" w:cs="Arial"/>
          <w:szCs w:val="21"/>
        </w:rPr>
        <w:t>责任。</w:t>
      </w:r>
    </w:p>
    <w:p w14:paraId="6C99240D">
      <w:pPr>
        <w:adjustRightInd w:val="0"/>
        <w:snapToGrid w:val="0"/>
        <w:spacing w:line="360" w:lineRule="auto"/>
        <w:ind w:firstLine="420" w:firstLineChars="200"/>
        <w:rPr>
          <w:rFonts w:ascii="宋体" w:hAnsi="宋体" w:cs="Arial"/>
          <w:szCs w:val="21"/>
        </w:rPr>
      </w:pPr>
    </w:p>
    <w:p w14:paraId="5F06D6AF">
      <w:pPr>
        <w:adjustRightInd w:val="0"/>
        <w:snapToGrid w:val="0"/>
        <w:spacing w:line="360" w:lineRule="auto"/>
        <w:ind w:firstLine="420" w:firstLineChars="200"/>
        <w:rPr>
          <w:rFonts w:ascii="宋体" w:hAnsi="宋体" w:cs="Arial"/>
          <w:szCs w:val="21"/>
        </w:rPr>
      </w:pPr>
      <w:r>
        <w:rPr>
          <w:rFonts w:hint="eastAsia" w:ascii="宋体" w:hAnsi="宋体" w:cs="Arial"/>
          <w:szCs w:val="21"/>
        </w:rPr>
        <w:t>（三）一方当事人违约，给另一方当事人或基金财产造成损失的，应就直接损失进行赔偿，另一方当事人有权利及义务代表基金向违约方追偿。但是如发生下列情况，当事人免责：</w:t>
      </w:r>
    </w:p>
    <w:p w14:paraId="3D7CF33D">
      <w:pPr>
        <w:adjustRightInd w:val="0"/>
        <w:snapToGrid w:val="0"/>
        <w:spacing w:line="360" w:lineRule="auto"/>
        <w:ind w:firstLine="420" w:firstLineChars="200"/>
        <w:rPr>
          <w:rFonts w:ascii="宋体" w:hAnsi="宋体" w:cs="Arial"/>
          <w:szCs w:val="21"/>
        </w:rPr>
      </w:pPr>
      <w:r>
        <w:rPr>
          <w:rFonts w:hint="eastAsia" w:ascii="宋体" w:hAnsi="宋体" w:cs="Arial"/>
          <w:szCs w:val="21"/>
        </w:rPr>
        <w:t>1、基金管理人和/或基金托管人按照当时有效的法律法规或中国证监会等监管机构的规定作为或不作为而造成的损失等；</w:t>
      </w:r>
    </w:p>
    <w:p w14:paraId="035FC7F1">
      <w:pPr>
        <w:adjustRightInd w:val="0"/>
        <w:snapToGrid w:val="0"/>
        <w:spacing w:line="360" w:lineRule="auto"/>
        <w:ind w:firstLine="420" w:firstLineChars="200"/>
        <w:rPr>
          <w:rFonts w:ascii="宋体" w:hAnsi="宋体" w:cs="Arial"/>
          <w:szCs w:val="21"/>
        </w:rPr>
      </w:pPr>
      <w:r>
        <w:rPr>
          <w:rFonts w:hint="eastAsia" w:ascii="宋体" w:hAnsi="宋体" w:cs="Arial"/>
          <w:szCs w:val="21"/>
        </w:rPr>
        <w:t>2、基金管理人由于按照《基金合同》规定的投资原则而行使或不行使其投资权而造成的损失等；</w:t>
      </w:r>
    </w:p>
    <w:p w14:paraId="60081F86">
      <w:pPr>
        <w:adjustRightInd w:val="0"/>
        <w:snapToGrid w:val="0"/>
        <w:spacing w:line="360" w:lineRule="auto"/>
        <w:ind w:firstLine="420" w:firstLineChars="200"/>
        <w:rPr>
          <w:rFonts w:hAnsi="宋体" w:cs="Arial"/>
          <w:szCs w:val="21"/>
        </w:rPr>
      </w:pPr>
      <w:r>
        <w:rPr>
          <w:rFonts w:hint="eastAsia" w:ascii="宋体" w:hAnsi="宋体" w:cs="Arial"/>
          <w:szCs w:val="21"/>
        </w:rPr>
        <w:t>3、</w:t>
      </w:r>
      <w:r>
        <w:rPr>
          <w:rFonts w:hint="eastAsia" w:hAnsi="宋体" w:cs="Arial"/>
          <w:szCs w:val="21"/>
        </w:rPr>
        <w:t>非因基金管理人、基金托管人的故意或重大过失造成的计算机系统故障、网络故障、通讯故障、电力故障、计算机病毒攻击及其它意外事故，所导致的损失等；</w:t>
      </w:r>
    </w:p>
    <w:p w14:paraId="6E897890">
      <w:pPr>
        <w:adjustRightInd w:val="0"/>
        <w:snapToGrid w:val="0"/>
        <w:spacing w:line="360" w:lineRule="auto"/>
        <w:ind w:firstLine="420" w:firstLineChars="200"/>
        <w:rPr>
          <w:rFonts w:ascii="宋体" w:hAnsi="宋体" w:cs="Arial"/>
          <w:szCs w:val="21"/>
        </w:rPr>
      </w:pPr>
      <w:r>
        <w:rPr>
          <w:rFonts w:ascii="宋体" w:hAnsi="宋体" w:cs="Arial"/>
          <w:szCs w:val="21"/>
        </w:rPr>
        <w:t>4、</w:t>
      </w:r>
      <w:r>
        <w:rPr>
          <w:rFonts w:hint="eastAsia" w:ascii="宋体" w:hAnsi="宋体" w:cs="Arial"/>
          <w:szCs w:val="21"/>
        </w:rPr>
        <w:t>不可抗力。</w:t>
      </w:r>
    </w:p>
    <w:p w14:paraId="3F9B45B8">
      <w:pPr>
        <w:adjustRightInd w:val="0"/>
        <w:snapToGrid w:val="0"/>
        <w:spacing w:line="360" w:lineRule="auto"/>
        <w:ind w:firstLine="420" w:firstLineChars="200"/>
        <w:rPr>
          <w:rFonts w:ascii="宋体" w:hAnsi="宋体" w:cs="Arial"/>
          <w:szCs w:val="21"/>
        </w:rPr>
      </w:pPr>
      <w:r>
        <w:rPr>
          <w:rFonts w:hint="eastAsia" w:ascii="宋体" w:hAnsi="宋体" w:cs="Arial"/>
          <w:szCs w:val="21"/>
        </w:rPr>
        <w:t>（四）一方当事人违约，</w:t>
      </w:r>
      <w:bookmarkStart w:id="161" w:name="_Hlk107326954"/>
      <w:r>
        <w:rPr>
          <w:rFonts w:hint="eastAsia" w:ascii="宋体" w:hAnsi="宋体" w:cs="Arial"/>
          <w:szCs w:val="21"/>
        </w:rPr>
        <w:t>非违约方当事人在职责范围内有义务及时采取必要的措施，尽力防止损失的扩大。没有采取适当措施致使损失进一步扩大的，不得就扩大的损失要求赔偿。非违约方因防止损失扩大而支出的合理费用由违约方承担</w:t>
      </w:r>
      <w:bookmarkEnd w:id="161"/>
      <w:r>
        <w:rPr>
          <w:rFonts w:hint="eastAsia" w:ascii="宋体" w:hAnsi="宋体" w:cs="Arial"/>
          <w:szCs w:val="21"/>
        </w:rPr>
        <w:t>。</w:t>
      </w:r>
    </w:p>
    <w:p w14:paraId="43BA3D12">
      <w:pPr>
        <w:adjustRightInd w:val="0"/>
        <w:snapToGrid w:val="0"/>
        <w:spacing w:line="360" w:lineRule="auto"/>
        <w:ind w:firstLine="420" w:firstLineChars="200"/>
        <w:rPr>
          <w:rFonts w:ascii="宋体" w:hAnsi="宋体" w:cs="Arial"/>
          <w:szCs w:val="21"/>
        </w:rPr>
      </w:pPr>
      <w:r>
        <w:rPr>
          <w:rFonts w:hint="eastAsia" w:ascii="宋体" w:hAnsi="宋体" w:cs="Arial"/>
          <w:szCs w:val="21"/>
        </w:rPr>
        <w:t>（五）违约行为虽已发生，但本托管协议能够继续履行的，在最大限度地保护基金份额持有人利益的前提下，基金管理人和基金托管人应当继续履行本协议。若基金管理人或基金托管人因履行本协议而被起诉，另一方应提供合理的必要支持。</w:t>
      </w:r>
    </w:p>
    <w:p w14:paraId="62C11549">
      <w:pPr>
        <w:adjustRightInd w:val="0"/>
        <w:snapToGrid w:val="0"/>
        <w:spacing w:line="360" w:lineRule="auto"/>
        <w:ind w:firstLine="420" w:firstLineChars="200"/>
        <w:rPr>
          <w:rFonts w:ascii="宋体" w:hAnsi="宋体" w:cs="Arial"/>
          <w:szCs w:val="21"/>
        </w:rPr>
      </w:pPr>
      <w:r>
        <w:rPr>
          <w:rFonts w:hint="eastAsia" w:ascii="宋体" w:hAnsi="宋体" w:cs="Arial"/>
          <w:szCs w:val="21"/>
        </w:rPr>
        <w:t>（六）</w:t>
      </w:r>
      <w:bookmarkStart w:id="162" w:name="_Hlk107326980"/>
      <w:r>
        <w:rPr>
          <w:rFonts w:hint="eastAsia" w:ascii="宋体" w:hAnsi="宋体" w:cs="Arial"/>
          <w:szCs w:val="21"/>
        </w:rPr>
        <w:t>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减轻或消除由此造成的影响</w:t>
      </w:r>
      <w:bookmarkEnd w:id="162"/>
      <w:r>
        <w:rPr>
          <w:rFonts w:hint="eastAsia" w:ascii="宋体" w:hAnsi="宋体" w:cs="Arial"/>
          <w:szCs w:val="21"/>
        </w:rPr>
        <w:t>。</w:t>
      </w:r>
    </w:p>
    <w:p w14:paraId="1643D429">
      <w:pPr>
        <w:adjustRightInd w:val="0"/>
        <w:snapToGrid w:val="0"/>
        <w:spacing w:line="360" w:lineRule="auto"/>
        <w:ind w:firstLine="420" w:firstLineChars="200"/>
        <w:rPr>
          <w:rFonts w:ascii="宋体" w:hAnsi="宋体" w:cs="Arial"/>
          <w:szCs w:val="21"/>
        </w:rPr>
      </w:pPr>
    </w:p>
    <w:bookmarkEnd w:id="159"/>
    <w:p w14:paraId="11E89FB5">
      <w:pPr>
        <w:adjustRightInd w:val="0"/>
        <w:snapToGrid w:val="0"/>
        <w:spacing w:line="360" w:lineRule="auto"/>
        <w:ind w:firstLine="420" w:firstLineChars="200"/>
        <w:rPr>
          <w:rFonts w:ascii="宋体" w:hAnsi="宋体" w:cs="Arial"/>
          <w:szCs w:val="21"/>
        </w:rPr>
        <w:sectPr>
          <w:footerReference r:id="rId24" w:type="default"/>
          <w:pgSz w:w="11906" w:h="16838"/>
          <w:pgMar w:top="1418" w:right="1701" w:bottom="1418" w:left="1701" w:header="851" w:footer="992" w:gutter="0"/>
          <w:pgNumType w:start="1"/>
          <w:cols w:space="425" w:num="1"/>
          <w:docGrid w:type="lines" w:linePitch="312" w:charSpace="0"/>
        </w:sectPr>
      </w:pPr>
    </w:p>
    <w:p w14:paraId="603D2362">
      <w:pPr>
        <w:pStyle w:val="3"/>
        <w:spacing w:before="312" w:beforeLines="100" w:after="156" w:afterLines="50" w:line="360" w:lineRule="auto"/>
        <w:jc w:val="center"/>
        <w:rPr>
          <w:rFonts w:ascii="宋体" w:hAnsi="宋体" w:eastAsia="宋体"/>
          <w:sz w:val="21"/>
          <w:szCs w:val="21"/>
        </w:rPr>
      </w:pPr>
      <w:bookmarkStart w:id="163" w:name="_Toc348082046"/>
      <w:bookmarkStart w:id="164" w:name="_Toc501274930"/>
      <w:bookmarkStart w:id="165" w:name="_Toc384992708"/>
      <w:bookmarkStart w:id="166" w:name="CLAUSE_ec33d38b909046268d01dbe8d5347fb8"/>
      <w:r>
        <w:rPr>
          <w:rFonts w:hint="eastAsia" w:ascii="宋体" w:hAnsi="宋体" w:eastAsia="宋体"/>
          <w:sz w:val="21"/>
          <w:szCs w:val="21"/>
        </w:rPr>
        <w:t>十八、争议解决方式</w:t>
      </w:r>
      <w:bookmarkEnd w:id="163"/>
      <w:bookmarkEnd w:id="164"/>
      <w:bookmarkEnd w:id="165"/>
    </w:p>
    <w:p w14:paraId="48D45C57">
      <w:pPr>
        <w:adjustRightInd w:val="0"/>
        <w:snapToGrid w:val="0"/>
        <w:spacing w:line="360" w:lineRule="auto"/>
        <w:ind w:firstLine="422" w:firstLineChars="200"/>
        <w:rPr>
          <w:rFonts w:ascii="宋体" w:hAnsi="宋体" w:cs="Arial"/>
          <w:b/>
          <w:bCs/>
          <w:i/>
          <w:iCs/>
          <w:szCs w:val="21"/>
        </w:rPr>
      </w:pPr>
      <w:r>
        <w:rPr>
          <w:rFonts w:ascii="宋体" w:hAnsi="宋体" w:cs="Arial"/>
          <w:b/>
          <w:bCs/>
          <w:i/>
          <w:iCs/>
          <w:szCs w:val="21"/>
        </w:rPr>
        <w:t>双</w:t>
      </w:r>
      <w:r>
        <w:rPr>
          <w:rFonts w:hint="eastAsia" w:ascii="宋体" w:hAnsi="宋体" w:cs="Arial"/>
          <w:b/>
          <w:bCs/>
          <w:i/>
          <w:iCs/>
          <w:szCs w:val="21"/>
        </w:rPr>
        <w:t>方当事人同意，因托管协议和《基金合同》而产生的或与本协议有关的一切争议，如不愿或者不能通过协商、调解解决的，应将争议提交深圳国际仲裁院（深圳仲裁委员会），按照深圳国际仲裁院（深圳仲裁委员会）届时有效的仲裁规则进行仲裁。仲裁地点为深圳市。仲裁裁决是终局的，对</w:t>
      </w:r>
      <w:r>
        <w:rPr>
          <w:rFonts w:ascii="宋体" w:hAnsi="宋体" w:cs="Arial"/>
          <w:b/>
          <w:bCs/>
          <w:i/>
          <w:iCs/>
          <w:szCs w:val="21"/>
        </w:rPr>
        <w:t>双</w:t>
      </w:r>
      <w:r>
        <w:rPr>
          <w:rFonts w:hint="eastAsia" w:ascii="宋体" w:hAnsi="宋体" w:cs="Arial"/>
          <w:b/>
          <w:bCs/>
          <w:i/>
          <w:iCs/>
          <w:szCs w:val="21"/>
        </w:rPr>
        <w:t>方当事人均有约束力。除非仲裁裁决另有规定，仲裁费用、律师费用由败诉方承担。</w:t>
      </w:r>
    </w:p>
    <w:p w14:paraId="29287F77">
      <w:pPr>
        <w:adjustRightInd w:val="0"/>
        <w:snapToGrid w:val="0"/>
        <w:spacing w:line="360" w:lineRule="auto"/>
        <w:ind w:firstLine="422" w:firstLineChars="200"/>
        <w:rPr>
          <w:rFonts w:ascii="宋体" w:hAnsi="宋体" w:cs="Arial"/>
          <w:b/>
          <w:bCs/>
          <w:i/>
          <w:iCs/>
          <w:szCs w:val="21"/>
        </w:rPr>
      </w:pPr>
      <w:r>
        <w:rPr>
          <w:rFonts w:hint="eastAsia" w:ascii="宋体" w:hAnsi="宋体" w:cs="Arial"/>
          <w:b/>
          <w:bCs/>
          <w:i/>
          <w:iCs/>
          <w:szCs w:val="21"/>
        </w:rPr>
        <w:t>争议处理期间，基金管理人、基金托管人应恪守基金管理人和基金托管人的职责，各自继续忠实、勤勉、尽责地履行基金合同和基金托管协议规定的义务，维护基金份额持有人的合法权益。</w:t>
      </w:r>
    </w:p>
    <w:p w14:paraId="1A2A0D9A">
      <w:pPr>
        <w:adjustRightInd w:val="0"/>
        <w:snapToGrid w:val="0"/>
        <w:spacing w:line="360" w:lineRule="auto"/>
        <w:ind w:firstLine="422" w:firstLineChars="200"/>
        <w:rPr>
          <w:rFonts w:ascii="宋体" w:hAnsi="宋体" w:cs="Arial"/>
          <w:b/>
          <w:bCs/>
          <w:i/>
          <w:iCs/>
          <w:szCs w:val="21"/>
        </w:rPr>
      </w:pPr>
      <w:r>
        <w:rPr>
          <w:rFonts w:ascii="宋体" w:hAnsi="宋体" w:cs="Arial"/>
          <w:b/>
          <w:bCs/>
          <w:i/>
          <w:iCs/>
          <w:szCs w:val="21"/>
        </w:rPr>
        <w:t>本协议</w:t>
      </w:r>
      <w:r>
        <w:rPr>
          <w:rFonts w:hint="eastAsia" w:ascii="宋体" w:hAnsi="宋体" w:cs="Arial"/>
          <w:b/>
          <w:bCs/>
          <w:i/>
          <w:iCs/>
          <w:szCs w:val="21"/>
        </w:rPr>
        <w:t>受中国法律（为本协议之目的，在此不包括香港、澳门特别行政区和台湾地区法律）管辖</w:t>
      </w:r>
      <w:bookmarkStart w:id="167" w:name="_Hlk111393451"/>
      <w:r>
        <w:rPr>
          <w:rFonts w:hint="eastAsia" w:ascii="宋体" w:hAnsi="宋体" w:cs="Arial"/>
          <w:b/>
          <w:bCs/>
          <w:i/>
          <w:iCs/>
          <w:szCs w:val="21"/>
        </w:rPr>
        <w:t>并从其解释</w:t>
      </w:r>
      <w:bookmarkEnd w:id="167"/>
      <w:r>
        <w:rPr>
          <w:rFonts w:hint="eastAsia" w:ascii="宋体" w:hAnsi="宋体" w:cs="Arial"/>
          <w:b/>
          <w:bCs/>
          <w:i/>
          <w:iCs/>
          <w:szCs w:val="21"/>
        </w:rPr>
        <w:t>。</w:t>
      </w:r>
    </w:p>
    <w:p w14:paraId="3ED10BD0">
      <w:pPr>
        <w:adjustRightInd w:val="0"/>
        <w:snapToGrid w:val="0"/>
        <w:spacing w:line="360" w:lineRule="auto"/>
        <w:rPr>
          <w:rFonts w:ascii="宋体" w:hAnsi="宋体" w:cs="Arial"/>
          <w:szCs w:val="21"/>
        </w:rPr>
      </w:pPr>
    </w:p>
    <w:bookmarkEnd w:id="166"/>
    <w:p w14:paraId="7566A0B1">
      <w:pPr>
        <w:adjustRightInd w:val="0"/>
        <w:snapToGrid w:val="0"/>
        <w:spacing w:line="360" w:lineRule="auto"/>
        <w:ind w:firstLine="420" w:firstLineChars="200"/>
        <w:rPr>
          <w:rFonts w:ascii="宋体" w:hAnsi="宋体"/>
        </w:rPr>
        <w:sectPr>
          <w:footerReference r:id="rId25" w:type="default"/>
          <w:pgSz w:w="11906" w:h="16838"/>
          <w:pgMar w:top="1418" w:right="1701" w:bottom="1418" w:left="1701" w:header="851" w:footer="992" w:gutter="0"/>
          <w:pgNumType w:start="1"/>
          <w:cols w:space="425" w:num="1"/>
          <w:docGrid w:type="lines" w:linePitch="312" w:charSpace="0"/>
        </w:sectPr>
      </w:pPr>
    </w:p>
    <w:p w14:paraId="242AB857">
      <w:pPr>
        <w:pStyle w:val="3"/>
        <w:spacing w:before="312" w:beforeLines="100" w:after="156" w:afterLines="50" w:line="360" w:lineRule="auto"/>
        <w:jc w:val="center"/>
        <w:rPr>
          <w:rFonts w:ascii="宋体" w:hAnsi="宋体" w:eastAsia="宋体"/>
          <w:sz w:val="21"/>
          <w:szCs w:val="21"/>
        </w:rPr>
      </w:pPr>
      <w:bookmarkStart w:id="168" w:name="_Toc501274931"/>
      <w:bookmarkStart w:id="169" w:name="_Toc348082047"/>
      <w:bookmarkStart w:id="170" w:name="_Toc384992709"/>
      <w:bookmarkStart w:id="171" w:name="CLAUSE_bd61e1ad3d7442c2af11a1c29fb62d9d"/>
      <w:r>
        <w:rPr>
          <w:rFonts w:hint="eastAsia" w:ascii="宋体" w:hAnsi="宋体" w:eastAsia="宋体"/>
          <w:sz w:val="21"/>
          <w:szCs w:val="21"/>
        </w:rPr>
        <w:t>十九、托管协议的效力</w:t>
      </w:r>
      <w:bookmarkEnd w:id="168"/>
      <w:bookmarkEnd w:id="169"/>
      <w:bookmarkEnd w:id="170"/>
    </w:p>
    <w:p w14:paraId="0305C241">
      <w:pPr>
        <w:adjustRightInd w:val="0"/>
        <w:snapToGrid w:val="0"/>
        <w:spacing w:line="360" w:lineRule="auto"/>
        <w:ind w:firstLine="420" w:firstLineChars="200"/>
        <w:rPr>
          <w:rFonts w:ascii="宋体" w:hAnsi="宋体" w:cs="Arial"/>
          <w:szCs w:val="21"/>
        </w:rPr>
      </w:pPr>
      <w:r>
        <w:rPr>
          <w:rFonts w:hint="eastAsia" w:ascii="宋体" w:hAnsi="宋体" w:cs="Arial"/>
          <w:szCs w:val="21"/>
        </w:rPr>
        <w:t>双方对托管协议的效力约定如下：</w:t>
      </w:r>
    </w:p>
    <w:p w14:paraId="3BB863CB">
      <w:pPr>
        <w:adjustRightInd w:val="0"/>
        <w:snapToGrid w:val="0"/>
        <w:spacing w:line="360" w:lineRule="auto"/>
        <w:ind w:firstLine="420" w:firstLineChars="200"/>
        <w:rPr>
          <w:rFonts w:ascii="宋体" w:hAnsi="宋体" w:cs="Arial"/>
          <w:szCs w:val="21"/>
        </w:rPr>
      </w:pPr>
      <w:r>
        <w:rPr>
          <w:rFonts w:hint="eastAsia" w:ascii="宋体" w:hAnsi="宋体" w:cs="Arial"/>
          <w:szCs w:val="21"/>
        </w:rPr>
        <w:t>（一）基金管理人在向中国证监会申请发售基金份额时提交的托管协议草案，应经托管协议当事人双方加盖公章（或合同专用章）以及双方法定代表人或授权代表人</w:t>
      </w:r>
      <w:r>
        <w:rPr>
          <w:rFonts w:hint="eastAsia" w:asciiTheme="minorEastAsia" w:hAnsiTheme="minorEastAsia" w:eastAsiaTheme="minorEastAsia"/>
        </w:rPr>
        <w:t>签字（或盖章）</w:t>
      </w:r>
      <w:r>
        <w:rPr>
          <w:rFonts w:hint="eastAsia" w:ascii="宋体" w:hAnsi="宋体" w:cs="Arial"/>
          <w:szCs w:val="21"/>
        </w:rPr>
        <w:t>，协议当事人双方根据中国证监会的意见修改并正式签署托管协议。托管协议以中国证监会注册的文本为正式文本。</w:t>
      </w:r>
    </w:p>
    <w:p w14:paraId="48396517">
      <w:pPr>
        <w:adjustRightInd w:val="0"/>
        <w:snapToGrid w:val="0"/>
        <w:spacing w:line="360" w:lineRule="auto"/>
        <w:ind w:firstLine="420" w:firstLineChars="200"/>
        <w:rPr>
          <w:rFonts w:ascii="宋体" w:hAnsi="宋体" w:cs="Arial"/>
          <w:szCs w:val="21"/>
        </w:rPr>
      </w:pPr>
      <w:r>
        <w:rPr>
          <w:rFonts w:hint="eastAsia" w:ascii="宋体" w:hAnsi="宋体" w:cs="Arial"/>
          <w:szCs w:val="21"/>
        </w:rPr>
        <w:t>（二）托管协议自基金合同成立之日起成立，自基金合同生效之日起生效。托管协议的有效期自其生效之日起至基金财产清算结果报中国证监会备案并公告之日止。</w:t>
      </w:r>
    </w:p>
    <w:p w14:paraId="23B4BBA5">
      <w:pPr>
        <w:adjustRightInd w:val="0"/>
        <w:snapToGrid w:val="0"/>
        <w:spacing w:line="360" w:lineRule="auto"/>
        <w:ind w:firstLine="420" w:firstLineChars="200"/>
        <w:rPr>
          <w:rFonts w:ascii="宋体" w:hAnsi="宋体" w:cs="Arial"/>
          <w:szCs w:val="21"/>
        </w:rPr>
      </w:pPr>
      <w:r>
        <w:rPr>
          <w:rFonts w:hint="eastAsia" w:ascii="宋体" w:hAnsi="宋体" w:cs="Arial"/>
          <w:szCs w:val="21"/>
        </w:rPr>
        <w:t>（三）托管协议自生效之日起对托管协议当事人具有同等的法律约束力。</w:t>
      </w:r>
    </w:p>
    <w:p w14:paraId="546E32BC">
      <w:pPr>
        <w:adjustRightInd w:val="0"/>
        <w:snapToGrid w:val="0"/>
        <w:spacing w:line="360" w:lineRule="auto"/>
        <w:ind w:firstLine="420" w:firstLineChars="200"/>
        <w:rPr>
          <w:rFonts w:ascii="宋体" w:hAnsi="宋体"/>
          <w:szCs w:val="21"/>
        </w:rPr>
      </w:pPr>
      <w:r>
        <w:rPr>
          <w:rFonts w:hint="eastAsia" w:ascii="宋体" w:hAnsi="宋体" w:cs="Arial"/>
          <w:szCs w:val="21"/>
        </w:rPr>
        <w:t>（四）本协议一式</w:t>
      </w:r>
      <w:r>
        <w:rPr>
          <w:rFonts w:hint="eastAsia"/>
          <w:szCs w:val="21"/>
        </w:rPr>
        <w:t>三</w:t>
      </w:r>
      <w:r>
        <w:rPr>
          <w:rFonts w:hint="eastAsia" w:ascii="宋体" w:hAnsi="宋体" w:cs="Arial"/>
          <w:szCs w:val="21"/>
        </w:rPr>
        <w:t>份，协议双方各持一份，由基金管理人根据需要上报监管机构一份，每份具有同等法律效力。</w:t>
      </w:r>
    </w:p>
    <w:p w14:paraId="7D465071">
      <w:pPr>
        <w:adjustRightInd w:val="0"/>
        <w:snapToGrid w:val="0"/>
        <w:spacing w:line="360" w:lineRule="auto"/>
        <w:rPr>
          <w:rFonts w:ascii="宋体" w:hAnsi="宋体" w:cs="Arial"/>
          <w:szCs w:val="21"/>
        </w:rPr>
      </w:pPr>
    </w:p>
    <w:bookmarkEnd w:id="171"/>
    <w:p w14:paraId="0E5C4F71">
      <w:pPr>
        <w:adjustRightInd w:val="0"/>
        <w:snapToGrid w:val="0"/>
        <w:spacing w:line="360" w:lineRule="auto"/>
        <w:ind w:firstLine="420" w:firstLineChars="200"/>
        <w:rPr>
          <w:rFonts w:ascii="宋体" w:hAnsi="宋体"/>
        </w:rPr>
        <w:sectPr>
          <w:footerReference r:id="rId26" w:type="default"/>
          <w:pgSz w:w="11906" w:h="16838"/>
          <w:pgMar w:top="1418" w:right="1701" w:bottom="1418" w:left="1701" w:header="851" w:footer="992" w:gutter="0"/>
          <w:pgNumType w:start="1"/>
          <w:cols w:space="425" w:num="1"/>
          <w:docGrid w:type="lines" w:linePitch="312" w:charSpace="0"/>
        </w:sectPr>
      </w:pPr>
    </w:p>
    <w:p w14:paraId="3DCDDE5D">
      <w:pPr>
        <w:pStyle w:val="3"/>
        <w:spacing w:before="312" w:beforeLines="100" w:after="156" w:afterLines="50" w:line="360" w:lineRule="auto"/>
        <w:jc w:val="center"/>
        <w:rPr>
          <w:rFonts w:ascii="宋体" w:hAnsi="宋体" w:eastAsia="宋体"/>
          <w:sz w:val="21"/>
          <w:szCs w:val="21"/>
        </w:rPr>
      </w:pPr>
      <w:bookmarkStart w:id="172" w:name="_Toc501274932"/>
      <w:bookmarkStart w:id="173" w:name="_Toc384992710"/>
      <w:bookmarkStart w:id="174" w:name="_Toc348082048"/>
      <w:bookmarkStart w:id="175" w:name="CLAUSE_55e0544775f44d35936dd3d8360c537d"/>
      <w:r>
        <w:rPr>
          <w:rFonts w:hint="eastAsia" w:ascii="宋体" w:hAnsi="宋体" w:eastAsia="宋体"/>
          <w:sz w:val="21"/>
          <w:szCs w:val="21"/>
        </w:rPr>
        <w:t>二十、其他事项</w:t>
      </w:r>
      <w:bookmarkEnd w:id="172"/>
      <w:bookmarkEnd w:id="173"/>
      <w:bookmarkEnd w:id="174"/>
    </w:p>
    <w:p w14:paraId="1F88CEAA">
      <w:pPr>
        <w:adjustRightInd w:val="0"/>
        <w:snapToGrid w:val="0"/>
        <w:spacing w:line="360" w:lineRule="auto"/>
        <w:ind w:firstLine="420" w:firstLineChars="200"/>
        <w:rPr>
          <w:rFonts w:ascii="宋体" w:hAnsi="宋体" w:cs="Arial"/>
          <w:szCs w:val="21"/>
        </w:rPr>
      </w:pPr>
      <w:r>
        <w:rPr>
          <w:rFonts w:hint="eastAsia" w:ascii="宋体" w:hAnsi="宋体" w:cs="Arial"/>
          <w:szCs w:val="21"/>
        </w:rPr>
        <w:t>如发生有权司法机关依法冻结基金份额持有人的基金份额时，基金管理人应予以配合，承担司法协助义务。</w:t>
      </w:r>
    </w:p>
    <w:p w14:paraId="6D472B94">
      <w:pPr>
        <w:adjustRightInd w:val="0"/>
        <w:snapToGrid w:val="0"/>
        <w:spacing w:line="360" w:lineRule="auto"/>
        <w:ind w:firstLine="420" w:firstLineChars="200"/>
        <w:rPr>
          <w:rFonts w:ascii="宋体" w:hAnsi="宋体" w:cs="Arial"/>
          <w:szCs w:val="21"/>
        </w:rPr>
      </w:pPr>
      <w:r>
        <w:rPr>
          <w:rFonts w:hint="eastAsia" w:ascii="宋体" w:hAnsi="宋体" w:cs="Arial"/>
          <w:szCs w:val="21"/>
        </w:rPr>
        <w:t>除本协议有明确定义外，本协议的用语定义适用基金合同的约定。本协议未尽事宜，当事人依据基金合同、有关法律法规等规定协商办理。</w:t>
      </w:r>
    </w:p>
    <w:p w14:paraId="7EF08211">
      <w:pPr>
        <w:adjustRightInd w:val="0"/>
        <w:snapToGrid w:val="0"/>
        <w:spacing w:line="360" w:lineRule="auto"/>
        <w:rPr>
          <w:rFonts w:ascii="宋体" w:hAnsi="宋体"/>
          <w:bCs/>
          <w:szCs w:val="21"/>
        </w:rPr>
      </w:pPr>
      <w:r>
        <w:rPr>
          <w:rFonts w:hint="eastAsia" w:ascii="宋体" w:hAnsi="宋体"/>
          <w:bCs/>
          <w:szCs w:val="21"/>
        </w:rPr>
        <w:t>本协议附件构成本协议不可分割的组成部分。</w:t>
      </w:r>
    </w:p>
    <w:bookmarkEnd w:id="175"/>
    <w:p w14:paraId="18B094F8">
      <w:pPr>
        <w:adjustRightInd w:val="0"/>
        <w:snapToGrid w:val="0"/>
        <w:spacing w:line="360" w:lineRule="auto"/>
        <w:rPr>
          <w:rFonts w:ascii="宋体" w:hAnsi="宋体"/>
        </w:rPr>
        <w:sectPr>
          <w:footerReference r:id="rId27" w:type="default"/>
          <w:pgSz w:w="11906" w:h="16838"/>
          <w:pgMar w:top="1418" w:right="1701" w:bottom="1418" w:left="1701" w:header="851" w:footer="992" w:gutter="0"/>
          <w:pgNumType w:start="1"/>
          <w:cols w:space="425" w:num="1"/>
          <w:docGrid w:type="lines" w:linePitch="312" w:charSpace="0"/>
        </w:sectPr>
      </w:pPr>
    </w:p>
    <w:p w14:paraId="32C60A2D">
      <w:pPr>
        <w:pStyle w:val="3"/>
        <w:spacing w:before="240" w:beforeLines="100" w:after="120" w:afterLines="50" w:line="360" w:lineRule="auto"/>
        <w:jc w:val="center"/>
        <w:rPr>
          <w:rFonts w:ascii="宋体" w:hAnsi="宋体" w:eastAsia="宋体"/>
          <w:sz w:val="21"/>
          <w:szCs w:val="21"/>
        </w:rPr>
      </w:pPr>
      <w:bookmarkStart w:id="176" w:name="_Toc348082049"/>
      <w:bookmarkStart w:id="177" w:name="_Toc384992711"/>
      <w:bookmarkStart w:id="178" w:name="_Toc501274933"/>
      <w:bookmarkStart w:id="179" w:name="CLAUSE_e01de328f1cb48af8fe71faaa1b867d4"/>
      <w:r>
        <w:rPr>
          <w:rFonts w:hint="eastAsia" w:ascii="宋体" w:hAnsi="宋体" w:eastAsia="宋体"/>
          <w:sz w:val="21"/>
          <w:szCs w:val="21"/>
        </w:rPr>
        <w:t>二十一、托管协议的签订</w:t>
      </w:r>
      <w:bookmarkEnd w:id="176"/>
      <w:bookmarkEnd w:id="177"/>
      <w:bookmarkEnd w:id="178"/>
    </w:p>
    <w:p w14:paraId="7EC4E2A7">
      <w:pPr>
        <w:adjustRightInd w:val="0"/>
        <w:snapToGrid w:val="0"/>
        <w:spacing w:line="360" w:lineRule="auto"/>
        <w:ind w:right="134" w:rightChars="64" w:firstLine="420" w:firstLineChars="200"/>
        <w:rPr>
          <w:rFonts w:ascii="宋体" w:hAnsi="宋体" w:cs="Arial"/>
          <w:szCs w:val="21"/>
        </w:rPr>
      </w:pPr>
      <w:r>
        <w:rPr>
          <w:rFonts w:hint="eastAsia" w:ascii="宋体" w:hAnsi="宋体" w:cs="Arial"/>
          <w:szCs w:val="21"/>
        </w:rPr>
        <w:t>本协议双方法定代表人或授权代表签章、签订地、签订日。</w:t>
      </w:r>
    </w:p>
    <w:bookmarkEnd w:id="179"/>
    <w:p w14:paraId="49C47B76">
      <w:pPr>
        <w:widowControl/>
        <w:jc w:val="left"/>
        <w:rPr>
          <w:rFonts w:ascii="宋体" w:hAnsi="宋体" w:cs="Arial"/>
          <w:szCs w:val="21"/>
        </w:rPr>
        <w:sectPr>
          <w:footerReference r:id="rId28" w:type="default"/>
          <w:pgSz w:w="12240" w:h="15840"/>
          <w:pgMar w:top="1440" w:right="1800" w:bottom="1440" w:left="1800" w:header="720" w:footer="720" w:gutter="0"/>
          <w:pgNumType w:start="1"/>
          <w:cols w:space="720" w:num="1"/>
        </w:sectPr>
      </w:pPr>
    </w:p>
    <w:p w14:paraId="7F6C14CE">
      <w:pPr>
        <w:pStyle w:val="2"/>
        <w:ind w:firstLine="480"/>
        <w:jc w:val="center"/>
        <w:rPr>
          <w:rFonts w:ascii="宋体" w:hAnsi="宋体"/>
          <w:sz w:val="21"/>
          <w:szCs w:val="21"/>
        </w:rPr>
      </w:pPr>
      <w:bookmarkStart w:id="180" w:name="CTS_b968cbd4b7614f009b576812cde98ac9"/>
      <w:bookmarkEnd w:id="180"/>
      <w:bookmarkStart w:id="181" w:name="_Toc131162567"/>
      <w:bookmarkStart w:id="182" w:name="CLAUSE_b968cbd4b7614f009b576812cde98ac9"/>
      <w:r>
        <w:rPr>
          <w:rFonts w:hint="eastAsia"/>
          <w:sz w:val="21"/>
          <w:szCs w:val="21"/>
        </w:rPr>
        <w:t>附件：</w:t>
      </w:r>
      <w:r>
        <w:rPr>
          <w:rFonts w:hint="eastAsia" w:ascii="宋体" w:hAnsi="宋体"/>
          <w:sz w:val="21"/>
          <w:szCs w:val="21"/>
        </w:rPr>
        <w:t>托管银行证券资金结算协议</w:t>
      </w:r>
      <w:bookmarkEnd w:id="181"/>
    </w:p>
    <w:p w14:paraId="4B4571A6">
      <w:pPr>
        <w:spacing w:line="360" w:lineRule="auto"/>
        <w:ind w:firstLine="424" w:firstLineChars="202"/>
        <w:rPr>
          <w:szCs w:val="21"/>
        </w:rPr>
      </w:pPr>
      <w:r>
        <w:rPr>
          <w:rFonts w:hint="eastAsia"/>
          <w:szCs w:val="21"/>
        </w:rPr>
        <w:t>为确保证券交易资金结算业务安全、高效运行，有效防范结算风险，规范结算行为，进一步明确资产托管人与其代理结算客户在证券交易资金结算业务中的责任，根据《中华人民共和国民法典》《中华人民共和国证券法》《中华人民共和国证券投资基金法》《证券登记结算管理办法》《中国证券登记结算有限责任公司结算规则》《中国证券登记结算有限责任公司结算备付金管理办法》《债券质押式回购交易结算风险控制指引》等有关规定，以及证券交易所或其他全国性证券交易场所及证券登记结算机构相关业务规则，资产管理人及资产托管人就参与中国证券登记结算有限责任公司（以下简称“中国结算”）多边净额结算业务相关事宜约定如下：</w:t>
      </w:r>
    </w:p>
    <w:p w14:paraId="11C57A68">
      <w:pPr>
        <w:spacing w:line="360" w:lineRule="auto"/>
        <w:ind w:firstLine="424" w:firstLineChars="202"/>
        <w:rPr>
          <w:szCs w:val="21"/>
        </w:rPr>
      </w:pPr>
      <w:r>
        <w:rPr>
          <w:rFonts w:hint="eastAsia"/>
          <w:szCs w:val="21"/>
        </w:rPr>
        <w:t>第一条  资产托管人，系经中国人民银行核准具备证券投资基金、保险资产、企业年金基金、资产管理计划，以及其他与中国结算办理结算业务相关的托管业务资格的商业银行；资产管理人，系经中国证监会批准设立的基金管理有限公司。</w:t>
      </w:r>
    </w:p>
    <w:p w14:paraId="7958697F">
      <w:pPr>
        <w:spacing w:line="360" w:lineRule="auto"/>
        <w:ind w:firstLine="424" w:firstLineChars="202"/>
        <w:rPr>
          <w:szCs w:val="21"/>
        </w:rPr>
      </w:pPr>
      <w:r>
        <w:rPr>
          <w:rFonts w:hint="eastAsia"/>
          <w:szCs w:val="21"/>
        </w:rPr>
        <w:t>第二条  资产管理人管理并由资产托管人托管的资产在证券交易所或其他全国性证券交易场所达成的符合多边净额结算要求的证券及回购交易，采取托管人结算模式的（包括证券投资基金、资产管理计划、企业年金等），应由资产托管人与中国结算办理证券资金结算业务；资产托管人负责作为结算参与人参与中国结算多边净额结算业务，资产管理人应当按照资产托管人提供的清算结果，按时履行交收义务，并承担对资产托管人的最终交收责任，不得以资产委托人/受托人违约为由而拒绝承担交收责任。</w:t>
      </w:r>
    </w:p>
    <w:p w14:paraId="0805AA82">
      <w:pPr>
        <w:spacing w:line="360" w:lineRule="auto"/>
        <w:ind w:firstLine="424" w:firstLineChars="202"/>
        <w:rPr>
          <w:szCs w:val="21"/>
        </w:rPr>
      </w:pPr>
      <w:r>
        <w:rPr>
          <w:rFonts w:hint="eastAsia"/>
          <w:szCs w:val="21"/>
        </w:rPr>
        <w:t>第三条  资产管理人同意遵守中国结算制定的业务规则，知悉并配合落实中国结算制定的各项业务规则。在不违反中国结算业务规则的前提下，以本协议约定为准。</w:t>
      </w:r>
    </w:p>
    <w:p w14:paraId="52AB5706">
      <w:pPr>
        <w:spacing w:line="360" w:lineRule="auto"/>
        <w:ind w:firstLine="424" w:firstLineChars="202"/>
        <w:rPr>
          <w:szCs w:val="21"/>
        </w:rPr>
      </w:pPr>
      <w:r>
        <w:rPr>
          <w:rFonts w:hint="eastAsia"/>
          <w:szCs w:val="21"/>
        </w:rPr>
        <w:t>第四条  多边净额结算方式下，证券和资金结算实行分级结算原则。资产托管人负责办理与中国结算之间证券和资金的一级清算交收；同时负责办理与资产管理人管理资产之间证券和资金的二级清算交收。资产托管人与资产管理人管理资产之间的证券划付，委托中国结算代为办理。</w:t>
      </w:r>
    </w:p>
    <w:p w14:paraId="1AEC27A8">
      <w:pPr>
        <w:spacing w:line="360" w:lineRule="auto"/>
        <w:ind w:firstLine="424" w:firstLineChars="202"/>
        <w:rPr>
          <w:szCs w:val="21"/>
        </w:rPr>
      </w:pPr>
      <w:r>
        <w:rPr>
          <w:rFonts w:hint="eastAsia"/>
          <w:szCs w:val="21"/>
        </w:rPr>
        <w:t>第五条  资产托管人依据交易清算日（T日）清算结果，按照中国结算相关业务规则，与中国结算完成最终不可撤销的证券和资金交收处理；同时在规定时限内，与资产管理人管理资产完成不可撤销的证券和资金交收处理。</w:t>
      </w:r>
    </w:p>
    <w:p w14:paraId="78CFA383">
      <w:pPr>
        <w:spacing w:line="360" w:lineRule="auto"/>
        <w:ind w:firstLine="424" w:firstLineChars="202"/>
        <w:rPr>
          <w:szCs w:val="21"/>
        </w:rPr>
      </w:pPr>
      <w:r>
        <w:rPr>
          <w:rFonts w:hint="eastAsia"/>
          <w:szCs w:val="21"/>
        </w:rPr>
        <w:t>第六条  资产管理人管理资产交收违约应遵循谁过错谁赔偿的原则。</w:t>
      </w:r>
    </w:p>
    <w:p w14:paraId="07C951DE">
      <w:pPr>
        <w:spacing w:line="360" w:lineRule="auto"/>
        <w:ind w:firstLine="424" w:firstLineChars="202"/>
        <w:rPr>
          <w:szCs w:val="21"/>
        </w:rPr>
      </w:pPr>
      <w:r>
        <w:rPr>
          <w:rFonts w:hint="eastAsia"/>
          <w:szCs w:val="21"/>
        </w:rPr>
        <w:t>(一)因资产管理人原因导致的交收违约实际损失，由资产管理人承担。</w:t>
      </w:r>
    </w:p>
    <w:p w14:paraId="5EE57B9A">
      <w:pPr>
        <w:spacing w:line="360" w:lineRule="auto"/>
        <w:ind w:firstLine="424" w:firstLineChars="202"/>
        <w:rPr>
          <w:szCs w:val="21"/>
        </w:rPr>
      </w:pPr>
      <w:r>
        <w:rPr>
          <w:rFonts w:hint="eastAsia"/>
          <w:szCs w:val="21"/>
        </w:rPr>
        <w:t>(二)因资产托管人原因导致的交收违约实际损失，由资产托管人承担。</w:t>
      </w:r>
    </w:p>
    <w:p w14:paraId="20F52B7F">
      <w:pPr>
        <w:spacing w:line="360" w:lineRule="auto"/>
        <w:ind w:firstLine="424" w:firstLineChars="202"/>
        <w:rPr>
          <w:szCs w:val="21"/>
        </w:rPr>
      </w:pPr>
      <w:r>
        <w:rPr>
          <w:rFonts w:hint="eastAsia"/>
          <w:szCs w:val="21"/>
        </w:rPr>
        <w:t>(三)由第三方过错导致的交收违约损失，按照最大程度保护资产管理人管理资产持有人合法权益的原则，由双方协商处理，由资产管理人承担最终交收责任，并负责向第三方追偿，资产托管人应提供协助。</w:t>
      </w:r>
    </w:p>
    <w:p w14:paraId="272DECC6">
      <w:pPr>
        <w:spacing w:line="360" w:lineRule="auto"/>
        <w:ind w:firstLine="424" w:firstLineChars="202"/>
        <w:rPr>
          <w:szCs w:val="21"/>
        </w:rPr>
      </w:pPr>
      <w:r>
        <w:rPr>
          <w:rFonts w:hint="eastAsia"/>
          <w:szCs w:val="21"/>
        </w:rPr>
        <w:t>第七条  资产托管人按照中国结算的规定，以资产托管人自身名义向中国结算申请开立相关结算备付金账户、证券交收账户，以及按照中国结算相关业务规定应开立的其他结算账户，用于办理资产托管人所托管资产管理人管理资产在证券交易所或其他全国性证券交易场所的证券交易及非交易涉及的资金和证券交收业务。</w:t>
      </w:r>
    </w:p>
    <w:p w14:paraId="24D976EB">
      <w:pPr>
        <w:spacing w:line="360" w:lineRule="auto"/>
        <w:ind w:firstLine="424" w:firstLineChars="202"/>
        <w:rPr>
          <w:szCs w:val="21"/>
        </w:rPr>
      </w:pPr>
      <w:r>
        <w:rPr>
          <w:rFonts w:hint="eastAsia"/>
          <w:szCs w:val="21"/>
        </w:rPr>
        <w:t>第八条  根据中国结算业务规则，资产托管人依法向资产管理人管理资产收取存入中国结算的最低结算备付金及结算保证金等担保资金，该类资金的收取金额及其额度调整按照中国结算业务规则，以及资产托管人和资产管理人的其他书面协议或约定（如有）执行，于中国结算规定的调整日进行调整。资产托管人有权根据中国结算规则选择最低结算备付金比例计收方式（固定备付金比例/差异化备付金比例）。资产托管人变更最低结算备付金比例计收方式的，应于变更前及时通知资产管理人，无须征得资产管理人书面同意。</w:t>
      </w:r>
    </w:p>
    <w:p w14:paraId="16FC40CB">
      <w:pPr>
        <w:spacing w:line="360" w:lineRule="auto"/>
        <w:ind w:firstLine="424" w:firstLineChars="202"/>
        <w:rPr>
          <w:szCs w:val="21"/>
        </w:rPr>
      </w:pPr>
      <w:r>
        <w:rPr>
          <w:rFonts w:hint="eastAsia"/>
          <w:szCs w:val="21"/>
        </w:rPr>
        <w:t>如采用差异化备付金比例计收方式，资产托管人应于每月第三个交易日前将资产管理人管理资产适用的最低结算备付金调整比例通知资产管理人，无须征得资产管理人书面同意。</w:t>
      </w:r>
    </w:p>
    <w:p w14:paraId="5B2E606D">
      <w:pPr>
        <w:spacing w:line="360" w:lineRule="auto"/>
        <w:ind w:firstLine="424" w:firstLineChars="202"/>
        <w:rPr>
          <w:szCs w:val="21"/>
        </w:rPr>
      </w:pPr>
      <w:r>
        <w:rPr>
          <w:rFonts w:hint="eastAsia"/>
          <w:szCs w:val="21"/>
        </w:rPr>
        <w:t>若资产管理人管理资产结算备付金账户余额低于调整后预计算的其最低结算备付金限额的，资产管理人应于最近调整日按照本协议第十四条约定时点补足款项。未按第十四条约定补足的，资产托管人有权将其视为资产管理人的业务不良记录登记在案并向中国结算报送，监管部门另有要求的除外，并按照本协议第十八条资金交收违约相关条款进行处置。</w:t>
      </w:r>
    </w:p>
    <w:p w14:paraId="51248995">
      <w:pPr>
        <w:spacing w:line="360" w:lineRule="auto"/>
        <w:ind w:firstLine="424" w:firstLineChars="202"/>
        <w:rPr>
          <w:szCs w:val="21"/>
        </w:rPr>
      </w:pPr>
      <w:r>
        <w:rPr>
          <w:rFonts w:hint="eastAsia"/>
          <w:szCs w:val="21"/>
        </w:rPr>
        <w:t>第九条  资产托管人收到中国结算按照与结算银行商定利率计付的结算备付金（含最低备付金）、结算保证金等资金利息后，于收息当日或其他约定日期（含孳息）将属于资产管理人的部分向资产管理人管理资产支付。</w:t>
      </w:r>
    </w:p>
    <w:p w14:paraId="188BC7C2">
      <w:pPr>
        <w:spacing w:line="360" w:lineRule="auto"/>
        <w:ind w:firstLine="424" w:firstLineChars="202"/>
        <w:rPr>
          <w:szCs w:val="21"/>
        </w:rPr>
      </w:pPr>
      <w:r>
        <w:rPr>
          <w:rFonts w:hint="eastAsia"/>
          <w:szCs w:val="21"/>
        </w:rPr>
        <w:t>第十条  资产托管人于交易清算日（T日），根据中国结算按照证券交易成交结果计算的资金清算数据和证券清算数据以及非交易清算数据，分别用以计算资产管理人管理资产资金和证券的应收或应付净额，形成资产管理人管理资产当日交易清算结果。</w:t>
      </w:r>
    </w:p>
    <w:p w14:paraId="03676967">
      <w:pPr>
        <w:spacing w:line="360" w:lineRule="auto"/>
        <w:ind w:firstLine="424" w:firstLineChars="202"/>
        <w:rPr>
          <w:szCs w:val="21"/>
        </w:rPr>
      </w:pPr>
      <w:r>
        <w:rPr>
          <w:rFonts w:hint="eastAsia"/>
          <w:szCs w:val="21"/>
        </w:rPr>
        <w:t>第十一条 资产托管人完成托管资产交易预清算后，对于交收日资产管理人管理资产可能发生透支的情况，应及时与资产管理人沟通或以约定方式告知资产管理人。资产托管人于交收日（T+1日）根据证券交易所或中国结算数据计算的资产管理人T日交易清算结果，完成资产管理人管理资产资金和证券的交收。</w:t>
      </w:r>
    </w:p>
    <w:p w14:paraId="3733F11E">
      <w:pPr>
        <w:spacing w:line="360" w:lineRule="auto"/>
        <w:ind w:firstLine="424" w:firstLineChars="202"/>
        <w:rPr>
          <w:szCs w:val="21"/>
        </w:rPr>
      </w:pPr>
      <w:r>
        <w:rPr>
          <w:rFonts w:hint="eastAsia"/>
          <w:szCs w:val="21"/>
        </w:rPr>
        <w:t>第十二条 资产管理人对资产托管人提供的清算数据存有异议，应及时与资产托管人沟通，但资产管理人不得因此拒绝履行或延迟履行交收义务。经双方核实，确属资产托管人清算差错的，资产托管人应予以更正并承担资产管理人管理资产的实际损失；若经核实，确属中国结算清算差错的，资产管理人应配合资产托管人与中国结算沟通。若因资产管理人在托管交易单元上进行非托管资产交易、指定交易单元错误等原因，致使资产托管人接收清算数据不完整不正确，造成清算差错的，资产管理人应优先完成资金交收，并由资产管理人承担托管资产、资产托管人实际损失。</w:t>
      </w:r>
    </w:p>
    <w:p w14:paraId="1E6578FA">
      <w:pPr>
        <w:spacing w:line="360" w:lineRule="auto"/>
        <w:ind w:firstLine="424" w:firstLineChars="202"/>
        <w:rPr>
          <w:szCs w:val="21"/>
        </w:rPr>
      </w:pPr>
      <w:r>
        <w:rPr>
          <w:rFonts w:hint="eastAsia"/>
          <w:szCs w:val="21"/>
        </w:rPr>
        <w:t>第十三条 为确保资产托管人与中国结算的正常交收，不影响资产托管人所有托管资产的正常运作，交易日（T日）日终资产管理人应保证其管理的各托管资产资金账户有足够的资金可按时完成T+1日的资金交收。</w:t>
      </w:r>
    </w:p>
    <w:p w14:paraId="2F6099BB">
      <w:pPr>
        <w:spacing w:line="360" w:lineRule="auto"/>
        <w:ind w:firstLine="424" w:firstLineChars="202"/>
        <w:rPr>
          <w:szCs w:val="21"/>
        </w:rPr>
      </w:pPr>
      <w:r>
        <w:rPr>
          <w:rFonts w:hint="eastAsia"/>
          <w:szCs w:val="21"/>
        </w:rPr>
        <w:t>第十四条 若因资产管理人管理资产资金账户T日无法满足T+1日交收要求时，资产管理人应按照《托管协议》中约定的时点补足金额，未有约定的或晚于如下时点的，应按如下时点分别补足相应市场应付金额：对于资产托管人采用固定比例最低备付金计收方式的，资产管理人应于T+1日11:00前补足金额。对于资产托管人采用差异化最低备付金比例计收方式的，资产管理人应最晚于T+1日8：30前补足金额，确保资产托管人及时完成清算交收。资产管理人未按约定时限补足透支金额，导致采用差异化最低结算备付金比例计收方式的资产托管人的最低结算备付金比例增加的，资产托管人有权依据影响大小调整相关资产管理人管理资产的最低结算备付金，并于变更前及时通知资产管理人并无需征得资产管理人的同意。</w:t>
      </w:r>
    </w:p>
    <w:p w14:paraId="43ABB77A">
      <w:pPr>
        <w:spacing w:line="360" w:lineRule="auto"/>
        <w:ind w:firstLine="424" w:firstLineChars="202"/>
        <w:rPr>
          <w:szCs w:val="21"/>
        </w:rPr>
      </w:pPr>
      <w:r>
        <w:rPr>
          <w:rFonts w:hint="eastAsia"/>
          <w:szCs w:val="21"/>
        </w:rPr>
        <w:t>第十五条 资产管理人可通过“托管+”系统查询托管资产“可售交收锁定”打标情况、担保品提交结果、“可售交收锁定”证券转为“待处置交收锁定”证券结果等信息。资产托管人可依据资产管理人申请为资产管理人向中国结算申请证券加设标识信息的相关明细数据。</w:t>
      </w:r>
    </w:p>
    <w:p w14:paraId="1E26609A">
      <w:pPr>
        <w:spacing w:line="360" w:lineRule="auto"/>
        <w:ind w:firstLine="424" w:firstLineChars="202"/>
        <w:rPr>
          <w:szCs w:val="21"/>
        </w:rPr>
      </w:pPr>
      <w:r>
        <w:rPr>
          <w:rFonts w:hint="eastAsia"/>
          <w:szCs w:val="21"/>
        </w:rPr>
        <w:t>第十六条 资产管理人应充分知晓以下结算规则，并认可由此可能对资产管理人管理资产产生的影响：</w:t>
      </w:r>
    </w:p>
    <w:p w14:paraId="14A72D1A">
      <w:pPr>
        <w:spacing w:line="360" w:lineRule="auto"/>
        <w:ind w:firstLine="424" w:firstLineChars="202"/>
        <w:rPr>
          <w:szCs w:val="21"/>
        </w:rPr>
      </w:pPr>
      <w:r>
        <w:rPr>
          <w:rFonts w:hint="eastAsia"/>
          <w:szCs w:val="21"/>
        </w:rPr>
        <w:tab/>
      </w:r>
      <w:r>
        <w:rPr>
          <w:rFonts w:hint="eastAsia"/>
          <w:szCs w:val="21"/>
        </w:rPr>
        <w:t>（一）根据中国结算业务规则，当T日日终资产托管人作为资金净应付结算参与人发生应付资金核验不足额情形时，资产托管人可以向中国结算申报资产管理人应收证券作为中国结算加设“可售交收锁定”标识的证券，T+1日资产托管人可以向中国结算申报资产管理人的已加设“可售交收锁定”标识证券转为“待处置交收锁定”证券，具体流程见本协议第十八条第（二）款；</w:t>
      </w:r>
    </w:p>
    <w:p w14:paraId="2ECABD22">
      <w:pPr>
        <w:spacing w:line="360" w:lineRule="auto"/>
        <w:ind w:firstLine="424" w:firstLineChars="202"/>
        <w:rPr>
          <w:szCs w:val="21"/>
        </w:rPr>
      </w:pPr>
      <w:r>
        <w:rPr>
          <w:rFonts w:hint="eastAsia"/>
          <w:szCs w:val="21"/>
        </w:rPr>
        <w:t>资产托管人有权在考虑资金金额、账户可用余额、资金核验情况等多方面因素后，决定向中国结算申报优先或免除标识指令。</w:t>
      </w:r>
    </w:p>
    <w:p w14:paraId="67957A51">
      <w:pPr>
        <w:spacing w:line="360" w:lineRule="auto"/>
        <w:ind w:firstLine="424" w:firstLineChars="202"/>
        <w:rPr>
          <w:szCs w:val="21"/>
        </w:rPr>
      </w:pPr>
      <w:r>
        <w:rPr>
          <w:rFonts w:hint="eastAsia"/>
          <w:szCs w:val="21"/>
        </w:rPr>
        <w:t>（二）资产管理人已知的T+1日无力补足超买资金时，应及时通知资产托管人。资产管理人确有需要开展可能T＋1日日间需使用无标识证券的业务的（如T日买入的证券计划用于T+1日开展采用实时逐笔全额非担保结算方式即RTGS的交易），可于T日15：00前向资产托管人发送免除标识指令，并按照免除标识指令证券上一日收盘价的120%提交现金担保至资产托管人指定账户（该账户原则上为备付金账户），资产托管人应在现金担保额度范围内于中国结算规定的截止时点前向中国结算申报免除标识指令。若资产管理人申报免除标识指令后，T+1日该证券并未实际开展RTGS等T＋1日日间需使用无标识证券业务，资产托管人后续有权拒绝向中国结算申报资产管理人的免除标识指令。资产托管人不向资产管理人承诺优先标识或免除标识指令申报结果有效。</w:t>
      </w:r>
    </w:p>
    <w:p w14:paraId="66A001A7">
      <w:pPr>
        <w:spacing w:line="360" w:lineRule="auto"/>
        <w:ind w:firstLine="424" w:firstLineChars="202"/>
        <w:rPr>
          <w:szCs w:val="21"/>
        </w:rPr>
      </w:pPr>
      <w:r>
        <w:rPr>
          <w:rFonts w:hint="eastAsia"/>
          <w:szCs w:val="21"/>
        </w:rPr>
        <w:t>（三）资产托管人作为结算参与人对中国结算发生资金交收违约的，资产管理人管理资产的相关证券账户所涉“可售交收锁定”证券可能被按照市值由大到小顺序选择证券账户，所选证券账户内的全部“可售交收锁定”证券将被转为“待处置交收锁定”证券，直至足以弥补资产托管人对中国结算的交收违约金额；中国结算有权处置已加设“待处置交收锁定”标识的证券并优先受偿。</w:t>
      </w:r>
    </w:p>
    <w:p w14:paraId="35733718">
      <w:pPr>
        <w:spacing w:line="360" w:lineRule="auto"/>
        <w:ind w:firstLine="424" w:firstLineChars="202"/>
        <w:rPr>
          <w:szCs w:val="21"/>
        </w:rPr>
      </w:pPr>
      <w:r>
        <w:rPr>
          <w:rFonts w:hint="eastAsia"/>
          <w:szCs w:val="21"/>
        </w:rPr>
        <w:t>第十七条 资产管理人某管理资产发生证券交收违约的，资产托管人有权暂不交付该管理资产违约交收证券对应的价款。中国结算通过冲抵、卖空扣款、延迟交付、强制补购、临时借券或现金结算等机制进行违约处置时，资产管理人应予以配合。资产托管人按中国结算有关违约金的标准向资产管理人收取违约金及资金成本利息。资产管理人须T+1日内补足违约交收的相关证券及其权益，资产管理人未能补足的所产生的全部损失由资产管理人承担，收益归托管资产所有。</w:t>
      </w:r>
    </w:p>
    <w:p w14:paraId="404E1E1B">
      <w:pPr>
        <w:spacing w:line="360" w:lineRule="auto"/>
        <w:ind w:firstLine="424" w:firstLineChars="202"/>
        <w:rPr>
          <w:szCs w:val="21"/>
        </w:rPr>
      </w:pPr>
      <w:r>
        <w:rPr>
          <w:rFonts w:hint="eastAsia"/>
          <w:szCs w:val="21"/>
        </w:rPr>
        <w:t>第十八条 资产管理人应积极采取各项措施履行资金交收义务，包括并不限于采用自有或其他合法合规来源资金及时补足待交收金额。如因资产管理人原因造成资产管理人管理资产、资产托管人实际损失，由资产管理人承担。资产管理人未及时补足资金的，资产托管人有权直接扣划违约资金账户及资产管理人的其他资金结算账户（托管户除外）的资金，以及按照本协议第二十三条相关条款对资产管理人实施风险管理措施。资产管理人未按约定时点补足透支金额，构成资金交收违约，资产托管人依法按以下方式处理，且资产管理人应予以配合：</w:t>
      </w:r>
    </w:p>
    <w:p w14:paraId="78A488FD">
      <w:pPr>
        <w:spacing w:line="360" w:lineRule="auto"/>
        <w:ind w:firstLine="424" w:firstLineChars="202"/>
        <w:rPr>
          <w:szCs w:val="21"/>
        </w:rPr>
      </w:pPr>
      <w:r>
        <w:rPr>
          <w:rFonts w:hint="eastAsia"/>
          <w:szCs w:val="21"/>
        </w:rPr>
        <w:t>（一）未造成资产托管人对中国结算违约的：</w:t>
      </w:r>
    </w:p>
    <w:p w14:paraId="490496DB">
      <w:pPr>
        <w:spacing w:line="360" w:lineRule="auto"/>
        <w:ind w:firstLine="424" w:firstLineChars="202"/>
        <w:rPr>
          <w:szCs w:val="21"/>
        </w:rPr>
      </w:pPr>
      <w:r>
        <w:rPr>
          <w:rFonts w:hint="eastAsia"/>
          <w:szCs w:val="21"/>
        </w:rPr>
        <w:t>资产管理人知晓并同意，资产托管人有权向中国结算申报将资产管理人管理资产对应证券账户内相当于透支金额价值（按照前一交易日的收盘价计算或双方认可的第三方估值基准服务机构提供的估值价格孰高计算）120%的净买入证券或已提交至中国结算质押品保管库的回购质押券划转至资产托管人的证券处置账户，并可以依据有关规定进行处置，申报划转的证券品种、数量可以由资产托管人确定。中国结算根据资产托管人申报的证券品种、数量办理划转。资产管理人亦可按上述规则向资产托管人指定交收担保物，资产托管人可以考虑资产管理人意见后进行申报。资产托管人过错导致资产管理人管理资产合法权益受到损害的，资产管理人可以向资产托管人主张权利，并由资产托管人承担对资产管理人管理资产造成的实际损失。</w:t>
      </w:r>
    </w:p>
    <w:p w14:paraId="7DC798A3">
      <w:pPr>
        <w:spacing w:line="360" w:lineRule="auto"/>
        <w:ind w:firstLine="424" w:firstLineChars="202"/>
        <w:rPr>
          <w:szCs w:val="21"/>
        </w:rPr>
      </w:pPr>
      <w:r>
        <w:rPr>
          <w:rFonts w:hint="eastAsia"/>
          <w:szCs w:val="21"/>
        </w:rPr>
        <w:t>资产管理人应向资产托管人出具其同意中国结算协助资产托管人划转其证券账户内相应证券的书面文件。资产管理人出具上述书面文件的，视为已取得资产委托人的同意。如资产管理人不配合出具上述同意或确认的书面文件的，资产托管人仍有权按本条的约定办理。</w:t>
      </w:r>
    </w:p>
    <w:p w14:paraId="733677C3">
      <w:pPr>
        <w:spacing w:line="360" w:lineRule="auto"/>
        <w:ind w:firstLine="424" w:firstLineChars="202"/>
        <w:rPr>
          <w:szCs w:val="21"/>
        </w:rPr>
      </w:pPr>
      <w:r>
        <w:rPr>
          <w:rFonts w:hint="eastAsia"/>
          <w:szCs w:val="21"/>
        </w:rPr>
        <w:t>资产管理人应于T+2日前向托管账户补足相应资金，包括交收违约金额和利息、违约金（若有）及相关费用。资产托管人确认资产管理人按时足额补足全部应付资金后，应及时向中国结算申请将交收担保物划回资产管理人证券账户。若资产管理人未能于T+2日补足相应资金，T+3日起资产管理人应配合资产托管人对划转证券予以处置。如资产管理人不配合，资产托管人可依法自行对划转证券进行处置，但须及时通知资产管理人，资产托管人该等处置对资产管理人托管资产和资产管理人造成损失的，由资产管理人承担全部责任，资产托管人不承担任何责任。处置所得在扣除处置费用后，应首先用于完成交收及清偿资产管理人的违约责任，有剩余的，将由资产托管人返还资产管理人。如上述资金仍不足以完成交收时，资产托管人有权对资产管理人继续追偿。资产管理人或其管理的资产出资人不得以资产托管人处置该资产时未能做出最佳选择为理由向资产托管人主张权益，亦不得以资产托管人处置该资产时未经资产管理人同意为理由拒绝承担交易结果或向资产托管人主张权益。</w:t>
      </w:r>
    </w:p>
    <w:p w14:paraId="79869E19">
      <w:pPr>
        <w:spacing w:line="360" w:lineRule="auto"/>
        <w:ind w:firstLine="424" w:firstLineChars="202"/>
        <w:rPr>
          <w:szCs w:val="21"/>
        </w:rPr>
      </w:pPr>
      <w:r>
        <w:rPr>
          <w:rFonts w:hint="eastAsia"/>
          <w:szCs w:val="21"/>
        </w:rPr>
        <w:t>（二）造成资产托管人对中国结算违约的：</w:t>
      </w:r>
    </w:p>
    <w:p w14:paraId="4272B7EE">
      <w:pPr>
        <w:spacing w:line="360" w:lineRule="auto"/>
        <w:ind w:firstLine="424" w:firstLineChars="202"/>
        <w:rPr>
          <w:szCs w:val="21"/>
        </w:rPr>
      </w:pPr>
      <w:r>
        <w:rPr>
          <w:rFonts w:hint="eastAsia"/>
          <w:szCs w:val="21"/>
        </w:rPr>
        <w:t>资产管理人T+1日无法足额履行资金交收时，应于T+1日下午14：00之前向资产托管人书面申报可足额弥补T+1日日终资金交收违约金额的待处置证券，资产托管人应及时向中国结算完成申报。</w:t>
      </w:r>
    </w:p>
    <w:p w14:paraId="2563A62D">
      <w:pPr>
        <w:spacing w:line="360" w:lineRule="auto"/>
        <w:ind w:firstLine="424" w:firstLineChars="202"/>
        <w:rPr>
          <w:szCs w:val="21"/>
        </w:rPr>
      </w:pPr>
      <w:r>
        <w:rPr>
          <w:rFonts w:hint="eastAsia"/>
          <w:szCs w:val="21"/>
        </w:rPr>
        <w:t>如资产管理人管理资产当日不涉及可售交收锁定证券的，应按前述（一）条款指定交收担保物。若资产管理人未按时申报待处置证券和交收担保物，资产托管人有权在资产管理人该违约资产证券范围内自行确定和申报待处置证券及交收担保物，并通知资产管理人。若因资产管理人无法提交足额的待处置证券和交收担保物、未按时申报或申报错误而造成资产托管人对中国结算发生资金交收违约，进而导致中国结算采取交收违约处理措施而产生的资产托管人全部实际损失，由资产管理人承担。</w:t>
      </w:r>
    </w:p>
    <w:p w14:paraId="01BB9E09">
      <w:pPr>
        <w:spacing w:line="360" w:lineRule="auto"/>
        <w:ind w:firstLine="424" w:firstLineChars="202"/>
        <w:rPr>
          <w:szCs w:val="21"/>
        </w:rPr>
      </w:pPr>
      <w:r>
        <w:rPr>
          <w:rFonts w:hint="eastAsia"/>
          <w:szCs w:val="21"/>
        </w:rPr>
        <w:t>资产管理人于T+2日向资产托管人补足相应资金的，包括交收违约金额和利息、违约金（若有）及相关费用，资产托管人在中国结算规定时间前向中国结算补足上述资金，中国结算将相应证券账户中证券的“待处置交收锁定”标识解除。</w:t>
      </w:r>
    </w:p>
    <w:p w14:paraId="1572E55D">
      <w:pPr>
        <w:spacing w:line="360" w:lineRule="auto"/>
        <w:ind w:firstLine="424" w:firstLineChars="202"/>
        <w:rPr>
          <w:szCs w:val="21"/>
        </w:rPr>
      </w:pPr>
      <w:r>
        <w:rPr>
          <w:rFonts w:hint="eastAsia"/>
          <w:szCs w:val="21"/>
        </w:rPr>
        <w:t>T+3日起，如资产托管人作为结算参与人仍未能向中国结算补足相应资金的，中国结算将处置待处置证券及其权益，资产管理人应知晓并配合。中国结算处置后，资金仍有不足导致中国结算向资产托管人追索的，资产托管人有权要求资产管理人立即支付交收违约金额和利息、违约金（若有）及相关费用等。若资产管理人未支付导致资产托管人垫付的，资产托管人将继续向资产管理人追索，并要求资产管理人进一步承担赔偿责任。</w:t>
      </w:r>
    </w:p>
    <w:p w14:paraId="735294FB">
      <w:pPr>
        <w:spacing w:line="360" w:lineRule="auto"/>
        <w:ind w:firstLine="424" w:firstLineChars="202"/>
        <w:rPr>
          <w:szCs w:val="21"/>
        </w:rPr>
      </w:pPr>
      <w:r>
        <w:rPr>
          <w:rFonts w:hint="eastAsia"/>
          <w:szCs w:val="21"/>
        </w:rPr>
        <w:t>第十九条 资产管理人应根据《债券质押式回购交易结算风险控制指引》内容建立健全内部风险控制机制，并结合自身风险承受能力，对融资回购规模、融资回购规模增长率、回购融资负债率、标准券使用率、低信用等级质押券入库占比、单一发行人质押券入库集中度、流动性情况、欠库次数等风险因素进行检测并控制，并建立压力测试机制。资产管理人及其管理资产不得直接或通过其他利益相关方，为发行人使用自己发行的信用类债券开展融资回购交易提供便利；同时应密切关注中国结算和证券交易所或其他全国性证券交易场所发布的相关信息，及时做好应对安排，严格防范融资回购交易发生欠库和资金交收违约风险。</w:t>
      </w:r>
    </w:p>
    <w:p w14:paraId="1E195F51">
      <w:pPr>
        <w:spacing w:line="360" w:lineRule="auto"/>
        <w:ind w:firstLine="424" w:firstLineChars="202"/>
        <w:rPr>
          <w:szCs w:val="21"/>
        </w:rPr>
      </w:pPr>
      <w:r>
        <w:rPr>
          <w:rFonts w:hint="eastAsia"/>
          <w:szCs w:val="21"/>
        </w:rPr>
        <w:t>第二十条 资产管理人应积极配合资产托管人完成《债券质押式回购交易结算风险控制指引》项下要求资产托管人对资产管理人进行的定期综合评估及采取的其他风险控制措施要求；积极配合资产托管人履行法律法规、监管机构、登记结算机构等有权机构对资产托管人的履职要求，如因资产管理人未予以配合的，应承担由此给资产托管人造成的全部实际损失。双方应建立日常沟通机制，资产托管人向资产管理人发送违规提示或转发中国结算违规提示时，资产管理人应第一时间配合资产托管人对违规情况进行处理，并向资产托管人反馈违规处理报告。</w:t>
      </w:r>
    </w:p>
    <w:p w14:paraId="117DE426">
      <w:pPr>
        <w:spacing w:line="360" w:lineRule="auto"/>
        <w:ind w:firstLine="424" w:firstLineChars="202"/>
        <w:rPr>
          <w:szCs w:val="21"/>
        </w:rPr>
      </w:pPr>
      <w:r>
        <w:rPr>
          <w:rFonts w:hint="eastAsia"/>
          <w:szCs w:val="21"/>
        </w:rPr>
        <w:t>第二十一条 为防范资产管理人管理资产参与交易所质押式回购类业务带来的资金交收风险，双方应遵守以下约定：</w:t>
      </w:r>
    </w:p>
    <w:p w14:paraId="7A56CD7C">
      <w:pPr>
        <w:spacing w:line="360" w:lineRule="auto"/>
        <w:ind w:firstLine="424" w:firstLineChars="202"/>
        <w:rPr>
          <w:szCs w:val="21"/>
        </w:rPr>
      </w:pPr>
      <w:r>
        <w:rPr>
          <w:rFonts w:hint="eastAsia"/>
          <w:szCs w:val="21"/>
        </w:rPr>
        <w:t>（一）资产管理人应主动加强质押券管理，对于可能发生欠库的产品应及时主动进行补券或提交现金担保品。资产托管人发现资产管理人有可能发生欠库的，资产托管人应通知资产管理人补券；若资产管理人无法进行补券，需要提交现金担保品的，应当在T+1日11点前，按照资产托管人要求发送现金担保品划款指令。资产管理人有义务配合补券、提交现金担保品并根据通知要求反馈资产托管人相关信息。</w:t>
      </w:r>
    </w:p>
    <w:p w14:paraId="55597EBA">
      <w:pPr>
        <w:spacing w:line="360" w:lineRule="auto"/>
        <w:ind w:firstLine="424" w:firstLineChars="202"/>
        <w:rPr>
          <w:szCs w:val="21"/>
        </w:rPr>
      </w:pPr>
      <w:r>
        <w:rPr>
          <w:rFonts w:hint="eastAsia"/>
          <w:szCs w:val="21"/>
        </w:rPr>
        <w:t>（二）若资产管理人未按要求完成补券，造成欠库的，资产管理人应及时弥补回购欠库扣款金额，并补充提交质押券或压缩融资规模，若出现连续欠库，资产管理人应根据《中国证券登记结算有限责任公司上海/深圳分公司结算账户管理及资金结算业务指南》相关规定，交付回购欠库扣款金额和欠库违约金，履行资金交收义务。</w:t>
      </w:r>
    </w:p>
    <w:p w14:paraId="207C1B92">
      <w:pPr>
        <w:spacing w:line="360" w:lineRule="auto"/>
        <w:ind w:firstLine="424" w:firstLineChars="202"/>
        <w:rPr>
          <w:szCs w:val="21"/>
        </w:rPr>
      </w:pPr>
      <w:r>
        <w:rPr>
          <w:rFonts w:hint="eastAsia"/>
          <w:szCs w:val="21"/>
        </w:rPr>
        <w:t>第二十二条 资产管理人应积极采取各项措施履行回购交易资金交收义务，包括并不限于：采用自有或其他资金及时补足待交收金额。若因资产管理人原因发生资金交收违约，资产托管人有权对违约资金账户及资产管理人的其他资金结算账户（托管户除外）实施见款即扣等方式，以及按照本协议第二十三条相关条款对资产管理人实施风险管理措施。资产管理人知晓并确认，资产管理人管理资产中提交入库的债券将作为资产托管人相关结算备付金账户偿还融资回购到期购回款的质押券，若资产管理人债券回购交收违约，资产托管人有权依照中国结算相关规则进行处理。具体处理方式如下：</w:t>
      </w:r>
    </w:p>
    <w:p w14:paraId="2A5E5733">
      <w:pPr>
        <w:spacing w:line="360" w:lineRule="auto"/>
        <w:ind w:firstLine="424" w:firstLineChars="202"/>
        <w:rPr>
          <w:szCs w:val="21"/>
        </w:rPr>
      </w:pPr>
      <w:r>
        <w:rPr>
          <w:rFonts w:hint="eastAsia"/>
          <w:szCs w:val="21"/>
        </w:rPr>
        <w:t>（一）如发生资金交收违约风险，资产管理人认可并同意以下事项：</w:t>
      </w:r>
    </w:p>
    <w:p w14:paraId="115E01F8">
      <w:pPr>
        <w:spacing w:line="360" w:lineRule="auto"/>
        <w:ind w:firstLine="424" w:firstLineChars="202"/>
        <w:rPr>
          <w:szCs w:val="21"/>
        </w:rPr>
      </w:pPr>
      <w:r>
        <w:rPr>
          <w:rFonts w:hint="eastAsia"/>
          <w:szCs w:val="21"/>
        </w:rPr>
        <w:t>资产管理人或其管理的资产应在融资回购业务应付资金交收违约后的第一个交易日12︰00前，支付融资回购业务应付资金及违约金。资产管理人未支付融资回购业务应付资金及违约金的，资产管理人应向资产托管人具体指定违约资产证券账户中足额可供处置的质押券明细（质押券种类、数量和处置顺序）；资产托管人有权按照中国证监会、交易所、中国结算等机构制定的有关规定，要求资产管理人处置该违约资产。若资产管理人未及时处置该违约资产，资产托管人有权向中国结算申请将资产管理人违约资产证券账户中的资产划转至资产托管人专用证券清偿账户。资产管理人或其管理的资产出资人不得以资产托管人处置该资产时未能做出最佳选择为理由向资产托管人主张权益，亦不得以资产托管人处置该资产时未经资产管理人同意为理由拒绝承担交易结果或向资产托管人主张权益。</w:t>
      </w:r>
    </w:p>
    <w:p w14:paraId="0E6999A0">
      <w:pPr>
        <w:spacing w:line="360" w:lineRule="auto"/>
        <w:ind w:firstLine="424" w:firstLineChars="202"/>
        <w:rPr>
          <w:szCs w:val="21"/>
        </w:rPr>
      </w:pPr>
      <w:r>
        <w:rPr>
          <w:rFonts w:hint="eastAsia"/>
          <w:szCs w:val="21"/>
        </w:rPr>
        <w:t>（二）资产管理人管理的违约资产中，可供处分的质押券处分所得不足以弥补其相关未支付融资回购业务应付资金、利息、违约金及处分质押券产生的全部费用等款项时，资产托管人有权对该资产证券账户内的其他证券采取冻结或划转等措施继续追索。在冻结或划转证券后的两个交易日内，如果资产管理人或其管理的违约资产补足上述不足款项，资产托管人将返还冻结或扣取的证券，否则，从第三个交易日起，资产托管人有权变卖冻结或扣取的证券，以抵补前款所述款项。由此造成的实际损失由资产管理人承担。</w:t>
      </w:r>
    </w:p>
    <w:p w14:paraId="735D8201">
      <w:pPr>
        <w:spacing w:line="360" w:lineRule="auto"/>
        <w:ind w:firstLine="424" w:firstLineChars="202"/>
        <w:rPr>
          <w:szCs w:val="21"/>
        </w:rPr>
      </w:pPr>
      <w:r>
        <w:rPr>
          <w:rFonts w:hint="eastAsia"/>
          <w:szCs w:val="21"/>
        </w:rPr>
        <w:t>第二十三条 资产托管人根据自身的风险控制管理要求，有权基于资产管理人以下风险特征对资产管理人采取差异化的风险管理措施：</w:t>
      </w:r>
    </w:p>
    <w:p w14:paraId="778B1C30">
      <w:pPr>
        <w:spacing w:line="360" w:lineRule="auto"/>
        <w:ind w:firstLine="424" w:firstLineChars="202"/>
        <w:rPr>
          <w:szCs w:val="21"/>
        </w:rPr>
      </w:pPr>
      <w:r>
        <w:rPr>
          <w:rFonts w:hint="eastAsia"/>
          <w:szCs w:val="21"/>
        </w:rPr>
        <w:t>（一）连续5个交易日出现融资负债率超80%（利率类债券入库占比超过80%的，该比例可放宽至90%）；</w:t>
      </w:r>
    </w:p>
    <w:p w14:paraId="49F7812D">
      <w:pPr>
        <w:spacing w:line="360" w:lineRule="auto"/>
        <w:ind w:firstLine="424" w:firstLineChars="202"/>
        <w:rPr>
          <w:szCs w:val="21"/>
        </w:rPr>
      </w:pPr>
      <w:r>
        <w:rPr>
          <w:rFonts w:hint="eastAsia"/>
          <w:szCs w:val="21"/>
        </w:rPr>
        <w:t>（二）连续5个交易日出现AA+级、AA 级信用债入库集中度占比超过 10%；</w:t>
      </w:r>
    </w:p>
    <w:p w14:paraId="006E87D1">
      <w:pPr>
        <w:spacing w:line="360" w:lineRule="auto"/>
        <w:ind w:firstLine="424" w:firstLineChars="202"/>
        <w:rPr>
          <w:szCs w:val="21"/>
        </w:rPr>
      </w:pPr>
      <w:r>
        <w:rPr>
          <w:rFonts w:hint="eastAsia"/>
          <w:szCs w:val="21"/>
        </w:rPr>
        <w:t xml:space="preserve">（三）连续5个交易日出现单一发行人信用类债券入库担保集中度超标，即：对于上月日均回购未到期规模小于2亿元的，单一发行人信用类债券入库担保集中度高于50%；对于上月日均回购未到期规模大于2亿元（含2亿元）的，单一发行人信用类债券入库担保集中度高于30%； </w:t>
      </w:r>
    </w:p>
    <w:p w14:paraId="71BC6C01">
      <w:pPr>
        <w:spacing w:line="360" w:lineRule="auto"/>
        <w:ind w:firstLine="424" w:firstLineChars="202"/>
        <w:rPr>
          <w:szCs w:val="21"/>
        </w:rPr>
      </w:pPr>
      <w:r>
        <w:rPr>
          <w:rFonts w:hint="eastAsia"/>
          <w:szCs w:val="21"/>
        </w:rPr>
        <w:t>（四）一个自然月内出现1次及以上资金交收违约；</w:t>
      </w:r>
    </w:p>
    <w:p w14:paraId="2726179C">
      <w:pPr>
        <w:spacing w:line="360" w:lineRule="auto"/>
        <w:ind w:firstLine="424" w:firstLineChars="202"/>
        <w:rPr>
          <w:szCs w:val="21"/>
        </w:rPr>
      </w:pPr>
      <w:r>
        <w:rPr>
          <w:rFonts w:hint="eastAsia"/>
          <w:szCs w:val="21"/>
        </w:rPr>
        <w:t>（五）一个自然月内累计出现2日（含2日）以上发生回购欠库的情形；</w:t>
      </w:r>
    </w:p>
    <w:p w14:paraId="69FBDB49">
      <w:pPr>
        <w:spacing w:line="360" w:lineRule="auto"/>
        <w:ind w:firstLine="424" w:firstLineChars="202"/>
        <w:rPr>
          <w:szCs w:val="21"/>
        </w:rPr>
      </w:pPr>
      <w:r>
        <w:rPr>
          <w:rFonts w:hint="eastAsia"/>
          <w:szCs w:val="21"/>
        </w:rPr>
        <w:t>（六）资产托管人认定的其他高风险情形。</w:t>
      </w:r>
    </w:p>
    <w:p w14:paraId="537194AC">
      <w:pPr>
        <w:spacing w:line="360" w:lineRule="auto"/>
        <w:ind w:firstLine="424" w:firstLineChars="202"/>
        <w:rPr>
          <w:szCs w:val="21"/>
        </w:rPr>
      </w:pPr>
      <w:r>
        <w:rPr>
          <w:rFonts w:hint="eastAsia"/>
          <w:szCs w:val="21"/>
        </w:rPr>
        <w:t>资产托管人采取的风控措施包括并不限于：</w:t>
      </w:r>
    </w:p>
    <w:p w14:paraId="690131BB">
      <w:pPr>
        <w:spacing w:line="360" w:lineRule="auto"/>
        <w:ind w:firstLine="424" w:firstLineChars="202"/>
        <w:rPr>
          <w:szCs w:val="21"/>
        </w:rPr>
      </w:pPr>
      <w:r>
        <w:rPr>
          <w:rFonts w:hint="eastAsia"/>
          <w:szCs w:val="21"/>
        </w:rPr>
        <w:t xml:space="preserve">（一）要求其降低回购规模或将交易所债券质押式回购调整为协议式正回购； </w:t>
      </w:r>
    </w:p>
    <w:p w14:paraId="7414E533">
      <w:pPr>
        <w:spacing w:line="360" w:lineRule="auto"/>
        <w:ind w:firstLine="424" w:firstLineChars="202"/>
        <w:rPr>
          <w:szCs w:val="21"/>
        </w:rPr>
      </w:pPr>
      <w:r>
        <w:rPr>
          <w:rFonts w:hint="eastAsia"/>
          <w:szCs w:val="21"/>
        </w:rPr>
        <w:t xml:space="preserve">（二）要求其降低某只或某些债券的入库占比或置换交易所质押券； </w:t>
      </w:r>
    </w:p>
    <w:p w14:paraId="2A6524FC">
      <w:pPr>
        <w:spacing w:line="360" w:lineRule="auto"/>
        <w:ind w:firstLine="424" w:firstLineChars="202"/>
        <w:rPr>
          <w:szCs w:val="21"/>
        </w:rPr>
      </w:pPr>
      <w:r>
        <w:rPr>
          <w:rFonts w:hint="eastAsia"/>
          <w:szCs w:val="21"/>
        </w:rPr>
        <w:t xml:space="preserve">（三）对托管资产征收额外结算保证金、最低备付金； </w:t>
      </w:r>
    </w:p>
    <w:p w14:paraId="69F1C019">
      <w:pPr>
        <w:spacing w:line="360" w:lineRule="auto"/>
        <w:ind w:firstLine="424" w:firstLineChars="202"/>
        <w:rPr>
          <w:szCs w:val="21"/>
        </w:rPr>
      </w:pPr>
      <w:r>
        <w:rPr>
          <w:rFonts w:hint="eastAsia"/>
          <w:szCs w:val="21"/>
        </w:rPr>
        <w:t xml:space="preserve">（四）提请中国结算、证券交易所或其他全国性证券交易场所对托管资产采取相关自律监管措施，或者限制其融资回购交易； </w:t>
      </w:r>
    </w:p>
    <w:p w14:paraId="435DEFA9">
      <w:pPr>
        <w:spacing w:line="360" w:lineRule="auto"/>
        <w:ind w:firstLine="424" w:firstLineChars="202"/>
        <w:rPr>
          <w:szCs w:val="21"/>
        </w:rPr>
      </w:pPr>
      <w:r>
        <w:rPr>
          <w:rFonts w:hint="eastAsia"/>
          <w:szCs w:val="21"/>
        </w:rPr>
        <w:t>（五）按照中国结算标准计收违约资金的利息和违约金；</w:t>
      </w:r>
    </w:p>
    <w:p w14:paraId="5808AD3B">
      <w:pPr>
        <w:spacing w:line="360" w:lineRule="auto"/>
        <w:ind w:firstLine="424" w:firstLineChars="202"/>
        <w:rPr>
          <w:szCs w:val="21"/>
        </w:rPr>
      </w:pPr>
      <w:r>
        <w:rPr>
          <w:rFonts w:hint="eastAsia"/>
          <w:szCs w:val="21"/>
        </w:rPr>
        <w:t>（六）调高资产管理人管理的托管资产的最低备付金比例；</w:t>
      </w:r>
    </w:p>
    <w:p w14:paraId="7E2D164D">
      <w:pPr>
        <w:spacing w:line="360" w:lineRule="auto"/>
        <w:ind w:firstLine="424" w:firstLineChars="202"/>
        <w:rPr>
          <w:szCs w:val="21"/>
        </w:rPr>
      </w:pPr>
      <w:r>
        <w:rPr>
          <w:rFonts w:hint="eastAsia"/>
          <w:szCs w:val="21"/>
        </w:rPr>
        <w:t xml:space="preserve">（七）向中国证监会各派出机构或行业协会报告； </w:t>
      </w:r>
    </w:p>
    <w:p w14:paraId="20783F57">
      <w:pPr>
        <w:spacing w:line="360" w:lineRule="auto"/>
        <w:ind w:firstLine="424" w:firstLineChars="202"/>
        <w:rPr>
          <w:szCs w:val="21"/>
        </w:rPr>
      </w:pPr>
      <w:r>
        <w:rPr>
          <w:rFonts w:hint="eastAsia"/>
          <w:szCs w:val="21"/>
        </w:rPr>
        <w:t>（八）暂停为其提供相关结算业务及相关证券交易服务或将结算模式变更为券商结算模式；</w:t>
      </w:r>
    </w:p>
    <w:p w14:paraId="7102ED5D">
      <w:pPr>
        <w:spacing w:line="360" w:lineRule="auto"/>
        <w:ind w:firstLine="424" w:firstLineChars="202"/>
        <w:rPr>
          <w:szCs w:val="21"/>
        </w:rPr>
      </w:pPr>
      <w:r>
        <w:rPr>
          <w:rFonts w:hint="eastAsia"/>
          <w:szCs w:val="21"/>
        </w:rPr>
        <w:t>（九）记录诚信档案，并向中国结算提交；</w:t>
      </w:r>
    </w:p>
    <w:p w14:paraId="306F7241">
      <w:pPr>
        <w:spacing w:line="360" w:lineRule="auto"/>
        <w:ind w:firstLine="424" w:firstLineChars="202"/>
        <w:rPr>
          <w:szCs w:val="21"/>
        </w:rPr>
      </w:pPr>
      <w:r>
        <w:rPr>
          <w:rFonts w:hint="eastAsia"/>
          <w:szCs w:val="21"/>
        </w:rPr>
        <w:t>（十）资产托管人认为必要的其他措施。</w:t>
      </w:r>
    </w:p>
    <w:p w14:paraId="6086BCC8">
      <w:pPr>
        <w:spacing w:line="360" w:lineRule="auto"/>
        <w:ind w:firstLine="424" w:firstLineChars="202"/>
        <w:rPr>
          <w:szCs w:val="21"/>
        </w:rPr>
      </w:pPr>
      <w:r>
        <w:rPr>
          <w:rFonts w:hint="eastAsia"/>
          <w:szCs w:val="21"/>
        </w:rPr>
        <w:t>上述风险管理措施待引发该措施的特征修正后，根据监管部门或相关行业协会意见（如有），经双方商定后终止。</w:t>
      </w:r>
    </w:p>
    <w:p w14:paraId="575B1CCF">
      <w:pPr>
        <w:spacing w:line="360" w:lineRule="auto"/>
        <w:ind w:firstLine="424" w:firstLineChars="202"/>
        <w:rPr>
          <w:szCs w:val="21"/>
        </w:rPr>
      </w:pPr>
      <w:r>
        <w:rPr>
          <w:rFonts w:hint="eastAsia"/>
          <w:szCs w:val="21"/>
        </w:rPr>
        <w:t>第二十四条 资产管理人应遵守有关法律法规及监管部门、自律机构的要求，以及本协议约定，在发生融资回购交易时，发生超出法律法规或监管规定的指标要求的（发生日为T日），资产管理人须在发生之日起5个交易日内对其管理的资产回购未到期余额、质押券、托管债券及信用债等标的及业务要素及时进行调整，直至符合上述限制。</w:t>
      </w:r>
    </w:p>
    <w:p w14:paraId="46FF9CB1">
      <w:pPr>
        <w:spacing w:line="360" w:lineRule="auto"/>
        <w:ind w:firstLine="424" w:firstLineChars="202"/>
        <w:rPr>
          <w:szCs w:val="21"/>
        </w:rPr>
      </w:pPr>
      <w:r>
        <w:rPr>
          <w:rFonts w:hint="eastAsia"/>
          <w:szCs w:val="21"/>
        </w:rPr>
        <w:t>第二十五条 根据《中国证券登记结算有限责任公司深圳分公司港股通存管结算业务指南》和《中国证券登记结算有限责任公司上海分公司港股通存管结算业务指南》的要求，开展港股通公司行为处理业务（以下简称“港股通公司行动”），资产托管人和资产管理人应遵守以下约定：</w:t>
      </w:r>
    </w:p>
    <w:p w14:paraId="2036F5C9">
      <w:pPr>
        <w:spacing w:line="360" w:lineRule="auto"/>
        <w:ind w:firstLine="424" w:firstLineChars="202"/>
        <w:rPr>
          <w:szCs w:val="21"/>
        </w:rPr>
      </w:pPr>
      <w:r>
        <w:rPr>
          <w:rFonts w:hint="eastAsia"/>
          <w:szCs w:val="21"/>
        </w:rPr>
        <w:t>（一）资产管理人如果无法接收中国结算发送的港股通公司行动信息文件，应及时向资产托管人申请转发获取，并提供两个以上联系人及邮箱或资产管理人的深证通小站号；资产托管人向资产管理人预留联系人邮箱或双方认可的其他方式转发中国结算港股通公司行动信息文件，不对港股通公司行动信息文件进行解析、修改等处理，涉及文件业务种类、内容、格式以中国结算发送为准；</w:t>
      </w:r>
    </w:p>
    <w:p w14:paraId="5F790D36">
      <w:pPr>
        <w:spacing w:line="360" w:lineRule="auto"/>
        <w:ind w:firstLine="424" w:firstLineChars="202"/>
        <w:rPr>
          <w:szCs w:val="21"/>
        </w:rPr>
      </w:pPr>
      <w:r>
        <w:rPr>
          <w:rFonts w:hint="eastAsia"/>
          <w:szCs w:val="21"/>
        </w:rPr>
        <w:t>（二）资产管理人应及时关注港股通公司行动信息文件，如有港股通公司行动按照中国结算规定需资产托管人协助申报的业务需求，应按照中国结算规定的申报文件格式、内容填写要求，不晚于申报截止日14：00前发送资产托管人并进行电话确认，资产托管人不承担对申报文件内容审核及修改责任，资产托管人完成申报后将中国结算反馈的受理状态以邮件或者双方约定的方式通知资产管理人，资产管理人根据中国结算反馈的受理状态查看申报是否被中国结算受理。</w:t>
      </w:r>
    </w:p>
    <w:p w14:paraId="55FE6E72">
      <w:pPr>
        <w:spacing w:line="360" w:lineRule="auto"/>
        <w:ind w:firstLine="424" w:firstLineChars="202"/>
        <w:rPr>
          <w:szCs w:val="21"/>
        </w:rPr>
      </w:pPr>
      <w:r>
        <w:rPr>
          <w:rFonts w:hint="eastAsia"/>
          <w:szCs w:val="21"/>
        </w:rPr>
        <w:t>（三）若资产管理人修改申报内容，应在申报截止日14：00前重新填写申报文件并发送资产托管人进行申报。若资产管理人未在本协议约定时间内提交修改后的申报内容，而资产托管人已经向中国结算报送并被受理的，由此产生的一切后果由资产管理人自行承担，资产托管人对此不承担任何责任。</w:t>
      </w:r>
    </w:p>
    <w:p w14:paraId="6A99B746">
      <w:pPr>
        <w:spacing w:line="360" w:lineRule="auto"/>
        <w:ind w:firstLine="424" w:firstLineChars="202"/>
        <w:rPr>
          <w:szCs w:val="21"/>
        </w:rPr>
      </w:pPr>
      <w:r>
        <w:rPr>
          <w:rFonts w:hint="eastAsia"/>
          <w:szCs w:val="21"/>
        </w:rPr>
        <w:t>第二十六条 根据《内地与香港股票市场交易互联互通机制登记、存管、结算业务实施细则》和《中国证券登记结算有限责任公司上海/深圳分公司港股通存管结算业务指南》要求，资产管理人管理资产投资参与港股通交易的，资产管理人应保证在T+1日9：30之前有足够的头寸用于港股通T+1日公司行动、证券组合费和风控资金的交收，在T+1日14：00之前有足够的头寸用于港股通T+2日交易资金的交收。</w:t>
      </w:r>
    </w:p>
    <w:p w14:paraId="0A66C758">
      <w:pPr>
        <w:spacing w:line="360" w:lineRule="auto"/>
        <w:ind w:firstLine="424" w:firstLineChars="202"/>
        <w:rPr>
          <w:szCs w:val="21"/>
        </w:rPr>
      </w:pPr>
      <w:r>
        <w:rPr>
          <w:rFonts w:hint="eastAsia"/>
          <w:szCs w:val="21"/>
        </w:rPr>
        <w:t>资产管理人应知晓港股通交易日历优化实施后的交收规则，理解相关结算风险。对于两地市场非对称假期前（内地节假日但香港非节假日）的共同交易日，资产管理人应在T日</w:t>
      </w:r>
      <w:r>
        <w:rPr>
          <w:szCs w:val="21"/>
        </w:rPr>
        <w:t>16</w:t>
      </w:r>
      <w:r>
        <w:rPr>
          <w:rFonts w:hint="eastAsia"/>
          <w:szCs w:val="21"/>
        </w:rPr>
        <w:t>:</w:t>
      </w:r>
      <w:r>
        <w:rPr>
          <w:szCs w:val="21"/>
        </w:rPr>
        <w:t>20</w:t>
      </w:r>
      <w:r>
        <w:rPr>
          <w:rFonts w:hint="eastAsia"/>
          <w:szCs w:val="21"/>
        </w:rPr>
        <w:t>之前向资产托管人发送资金划转指令，并同时保证有足够的头寸用于港股通T日交易资金的交收，履行资金提前到账义务。</w:t>
      </w:r>
    </w:p>
    <w:p w14:paraId="4D16BEDF">
      <w:pPr>
        <w:spacing w:line="360" w:lineRule="auto"/>
        <w:ind w:firstLine="424" w:firstLineChars="202"/>
        <w:rPr>
          <w:szCs w:val="21"/>
        </w:rPr>
      </w:pPr>
      <w:r>
        <w:rPr>
          <w:rFonts w:hint="eastAsia"/>
          <w:szCs w:val="21"/>
        </w:rPr>
        <w:t>如由于资产管理人原因导致的港股通交收失败，由此造成的资产托管人实际损失，由资产管理人承担。</w:t>
      </w:r>
    </w:p>
    <w:p w14:paraId="2704EB9C">
      <w:pPr>
        <w:spacing w:line="360" w:lineRule="auto"/>
        <w:ind w:firstLine="424" w:firstLineChars="202"/>
        <w:rPr>
          <w:szCs w:val="21"/>
        </w:rPr>
      </w:pPr>
      <w:r>
        <w:rPr>
          <w:rFonts w:hint="eastAsia"/>
          <w:szCs w:val="21"/>
        </w:rPr>
        <w:t>第二十七条 因资产管理人原因导致资产托管人在新增港股通交易日（T日）未能按中国结算相关业务规则完成资金提前到账，且于下一港股通交易日（T+1日）16：00终前仍未补足的，资产托管人将向中国结算申报资产管理人相关证券账户，中国结算将通知上交所和深交所暂停接受T+2日所申报证券账户的港股通买入申报。资产托管人承诺对申报行为和内容的真实、准确、完整、及时负责。</w:t>
      </w:r>
    </w:p>
    <w:p w14:paraId="42FBD5CE">
      <w:pPr>
        <w:spacing w:line="360" w:lineRule="auto"/>
        <w:ind w:firstLine="424" w:firstLineChars="202"/>
        <w:rPr>
          <w:szCs w:val="21"/>
        </w:rPr>
      </w:pPr>
      <w:r>
        <w:rPr>
          <w:rFonts w:hint="eastAsia"/>
          <w:szCs w:val="21"/>
        </w:rPr>
        <w:t>第二十八条 如果因不可抗力不能履行本协议时，可根据不可抗力的影响部分或全部免除责任。不可抗力是指资产托管人或资产管理人不能预见、不可避免、不能克服的客观情况，包括但不限于地震、台风、洪水、火灾、疫情、瘟疫、战争、政变、恐怖主义行动、骚乱、罢工、大面积停电、人民银行中央支付清算系统故障以及新法律或国家政策的颁布或对原法律或国家政策的修改等。任何一方因不可抗力不能履行本协议时，应及时通知对方并在合理期限内提供受到不可抗力影响的证明，并采取适当措施防止损失的扩大。发生临时停市时，资产管理人应密切关注证券交易所或其他全国性证券交易场所、中国结算发布的临时停市、恢复交易、登记结算应对安排等公告，做好相关流动性风险管理等工作。</w:t>
      </w:r>
    </w:p>
    <w:p w14:paraId="087739CB">
      <w:pPr>
        <w:spacing w:line="360" w:lineRule="auto"/>
        <w:ind w:firstLine="424" w:firstLineChars="202"/>
        <w:rPr>
          <w:szCs w:val="21"/>
        </w:rPr>
      </w:pPr>
      <w:r>
        <w:rPr>
          <w:rFonts w:hint="eastAsia"/>
          <w:szCs w:val="21"/>
        </w:rPr>
        <w:t>第二十九条 本协议有效期间，若因法律法规、中国结算业务规则发生变化导致本协议的内容与届时有效的法律法规、业务规则的规定不一致的，应当以届时有效的法律法规、业务规则的规定为准，协议双方应根据最新的法律法规、业务规则对本协议进行相应的修改和补充。</w:t>
      </w:r>
    </w:p>
    <w:p w14:paraId="0465DBC8">
      <w:pPr>
        <w:spacing w:line="360" w:lineRule="auto"/>
        <w:ind w:firstLine="424" w:firstLineChars="202"/>
        <w:rPr>
          <w:szCs w:val="21"/>
        </w:rPr>
      </w:pPr>
      <w:r>
        <w:rPr>
          <w:rFonts w:hint="eastAsia"/>
          <w:szCs w:val="21"/>
        </w:rPr>
        <w:t>第三十条 双方一致认可本协议已经双方充分协商，并非格式合同。本协议未尽事宜，可由双方协商解决并另行签署补充协议。本协议之补充协议为本协议不可分割的组成部分，与本协议具有同等法律效力。</w:t>
      </w:r>
    </w:p>
    <w:p w14:paraId="54FDA481">
      <w:pPr>
        <w:widowControl/>
        <w:spacing w:before="100" w:beforeAutospacing="1" w:after="100" w:afterAutospacing="1" w:line="360" w:lineRule="auto"/>
        <w:ind w:firstLine="482"/>
        <w:jc w:val="left"/>
        <w:rPr>
          <w:rFonts w:hint="eastAsia"/>
          <w:szCs w:val="21"/>
        </w:rPr>
      </w:pPr>
      <w:r>
        <w:rPr>
          <w:rFonts w:hint="eastAsia"/>
          <w:szCs w:val="21"/>
        </w:rPr>
        <w:t>第三十一条 本协议作为托管协议的附件和组成部分，与其同等法律效力，在托管协议生效时生效</w:t>
      </w:r>
      <w:bookmarkEnd w:id="182"/>
      <w:r>
        <w:rPr>
          <w:rFonts w:hint="eastAsia"/>
          <w:szCs w:val="21"/>
          <w:lang w:eastAsia="zh-CN"/>
        </w:rPr>
        <w:t>。</w:t>
      </w:r>
    </w:p>
    <w:sectPr>
      <w:footerReference r:id="rId29" w:type="default"/>
      <w:pgSz w:w="11906" w:h="16838"/>
      <w:pgMar w:top="1418" w:right="1701" w:bottom="1418"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方正仿宋简体">
    <w:altName w:val="微软雅黑"/>
    <w:panose1 w:val="02000000000000000000"/>
    <w:charset w:val="86"/>
    <w:family w:val="auto"/>
    <w:pitch w:val="default"/>
    <w:sig w:usb0="00000000" w:usb1="00000000" w:usb2="00000012"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02C6E">
    <w:pPr>
      <w:pStyle w:val="15"/>
      <w:framePr w:wrap="around" w:vAnchor="text" w:hAnchor="margin" w:xAlign="center" w:y="1"/>
      <w:rPr>
        <w:rStyle w:val="29"/>
      </w:rPr>
    </w:pPr>
    <w:r>
      <w:rPr>
        <w:rStyle w:val="29"/>
      </w:rPr>
      <w:fldChar w:fldCharType="begin"/>
    </w:r>
    <w:r>
      <w:rPr>
        <w:rStyle w:val="29"/>
      </w:rPr>
      <w:instrText xml:space="preserve">PAGE  </w:instrText>
    </w:r>
    <w:r>
      <w:rPr>
        <w:rStyle w:val="29"/>
      </w:rPr>
      <w:fldChar w:fldCharType="end"/>
    </w:r>
  </w:p>
  <w:p w14:paraId="522BEF6D">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F67E17">
    <w:pPr>
      <w:pStyle w:val="15"/>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F45334">
    <w:pPr>
      <w:pStyle w:val="15"/>
      <w:jc w:val="center"/>
    </w:pPr>
    <w:r>
      <w:rPr>
        <w:rFonts w:hint="eastAsia"/>
      </w:rPr>
      <w:t>1</w:t>
    </w:r>
  </w:p>
  <w:p w14:paraId="19EB0D4B">
    <w:pPr>
      <w:pStyle w:val="1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8F1D5">
    <w:pPr>
      <w:pStyle w:val="15"/>
      <w:jc w:val="center"/>
    </w:pPr>
    <w:r>
      <w:rPr>
        <w:rFonts w:hint="eastAsia"/>
      </w:rPr>
      <w:t>1-</w:t>
    </w:r>
    <w:sdt>
      <w:sdtPr>
        <w:id w:val="-1991237750"/>
      </w:sdtPr>
      <w:sdtContent>
        <w:r>
          <w:fldChar w:fldCharType="begin"/>
        </w:r>
        <w:r>
          <w:instrText xml:space="preserve">PAGE   \* MERGEFORMAT</w:instrText>
        </w:r>
        <w:r>
          <w:fldChar w:fldCharType="separate"/>
        </w:r>
        <w:r>
          <w:rPr>
            <w:lang w:val="zh-CN"/>
          </w:rPr>
          <w:t>1</w:t>
        </w:r>
        <w:r>
          <w:fldChar w:fldCharType="end"/>
        </w:r>
      </w:sdtContent>
    </w:sdt>
  </w:p>
  <w:p w14:paraId="5D64AE41">
    <w:pPr>
      <w:pStyle w:val="1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64777487"/>
    </w:sdtPr>
    <w:sdtContent>
      <w:p w14:paraId="14347070">
        <w:pPr>
          <w:pStyle w:val="15"/>
          <w:jc w:val="center"/>
        </w:pPr>
        <w:r>
          <w:rPr>
            <w:rFonts w:hint="eastAsia"/>
          </w:rPr>
          <w:t>2-</w:t>
        </w:r>
        <w:r>
          <w:fldChar w:fldCharType="begin"/>
        </w:r>
        <w:r>
          <w:instrText xml:space="preserve">PAGE   \* MERGEFORMAT</w:instrText>
        </w:r>
        <w:r>
          <w:fldChar w:fldCharType="separate"/>
        </w:r>
        <w:r>
          <w:rPr>
            <w:lang w:val="zh-CN"/>
          </w:rPr>
          <w:t>1</w:t>
        </w:r>
        <w:r>
          <w:fldChar w:fldCharType="end"/>
        </w:r>
      </w:p>
    </w:sdtContent>
  </w:sdt>
  <w:p w14:paraId="66201A49">
    <w:pPr>
      <w:pStyle w:val="1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0E607">
    <w:pPr>
      <w:pStyle w:val="15"/>
      <w:jc w:val="center"/>
    </w:pPr>
    <w:r>
      <w:rPr>
        <w:rFonts w:hint="eastAsia"/>
      </w:rPr>
      <w:t>3-</w:t>
    </w:r>
    <w:sdt>
      <w:sdtPr>
        <w:id w:val="-46070876"/>
      </w:sdtPr>
      <w:sdtContent>
        <w:r>
          <w:fldChar w:fldCharType="begin"/>
        </w:r>
        <w:r>
          <w:instrText xml:space="preserve">PAGE   \* MERGEFORMAT</w:instrText>
        </w:r>
        <w:r>
          <w:fldChar w:fldCharType="separate"/>
        </w:r>
        <w:r>
          <w:rPr>
            <w:lang w:val="zh-CN"/>
          </w:rPr>
          <w:t>9</w:t>
        </w:r>
        <w:r>
          <w:fldChar w:fldCharType="end"/>
        </w:r>
      </w:sdtContent>
    </w:sdt>
  </w:p>
  <w:p w14:paraId="6D6E6AA6">
    <w:pPr>
      <w:pStyle w:val="1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88237368"/>
    </w:sdtPr>
    <w:sdtContent>
      <w:p w14:paraId="1EE8F879">
        <w:pPr>
          <w:pStyle w:val="15"/>
          <w:jc w:val="center"/>
        </w:pPr>
        <w:r>
          <w:rPr>
            <w:rFonts w:hint="eastAsia"/>
          </w:rPr>
          <w:t>4-</w:t>
        </w:r>
        <w:r>
          <w:fldChar w:fldCharType="begin"/>
        </w:r>
        <w:r>
          <w:instrText xml:space="preserve">PAGE   \* MERGEFORMAT</w:instrText>
        </w:r>
        <w:r>
          <w:fldChar w:fldCharType="separate"/>
        </w:r>
        <w:r>
          <w:rPr>
            <w:lang w:val="zh-CN"/>
          </w:rPr>
          <w:t>1</w:t>
        </w:r>
        <w:r>
          <w:fldChar w:fldCharType="end"/>
        </w:r>
      </w:p>
    </w:sdtContent>
  </w:sdt>
  <w:p w14:paraId="71D8CB0A">
    <w:pPr>
      <w:pStyle w:val="15"/>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50032">
    <w:pPr>
      <w:pStyle w:val="15"/>
      <w:jc w:val="center"/>
    </w:pPr>
    <w:r>
      <w:rPr>
        <w:rFonts w:hint="eastAsia"/>
      </w:rPr>
      <w:t>5-</w:t>
    </w:r>
    <w:sdt>
      <w:sdtPr>
        <w:id w:val="1255007963"/>
      </w:sdtPr>
      <w:sdtContent>
        <w:r>
          <w:fldChar w:fldCharType="begin"/>
        </w:r>
        <w:r>
          <w:instrText xml:space="preserve">PAGE   \* MERGEFORMAT</w:instrText>
        </w:r>
        <w:r>
          <w:fldChar w:fldCharType="separate"/>
        </w:r>
        <w:r>
          <w:rPr>
            <w:lang w:val="zh-CN"/>
          </w:rPr>
          <w:t>3</w:t>
        </w:r>
        <w:r>
          <w:fldChar w:fldCharType="end"/>
        </w:r>
      </w:sdtContent>
    </w:sdt>
  </w:p>
  <w:p w14:paraId="7D719566">
    <w:pPr>
      <w:pStyle w:val="15"/>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06120515"/>
    </w:sdtPr>
    <w:sdtContent>
      <w:p w14:paraId="005AE81A">
        <w:pPr>
          <w:pStyle w:val="15"/>
          <w:jc w:val="center"/>
        </w:pPr>
        <w:r>
          <w:rPr>
            <w:rFonts w:hint="eastAsia"/>
          </w:rPr>
          <w:t>6-</w:t>
        </w:r>
        <w:r>
          <w:fldChar w:fldCharType="begin"/>
        </w:r>
        <w:r>
          <w:instrText xml:space="preserve">PAGE   \* MERGEFORMAT</w:instrText>
        </w:r>
        <w:r>
          <w:fldChar w:fldCharType="separate"/>
        </w:r>
        <w:r>
          <w:rPr>
            <w:lang w:val="zh-CN"/>
          </w:rPr>
          <w:t>5</w:t>
        </w:r>
        <w:r>
          <w:fldChar w:fldCharType="end"/>
        </w:r>
      </w:p>
    </w:sdtContent>
  </w:sdt>
  <w:p w14:paraId="296E6A7A">
    <w:pPr>
      <w:pStyle w:val="15"/>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04774214"/>
    </w:sdtPr>
    <w:sdtContent>
      <w:p w14:paraId="56986D01">
        <w:pPr>
          <w:pStyle w:val="15"/>
          <w:jc w:val="center"/>
        </w:pPr>
        <w:r>
          <w:rPr>
            <w:rFonts w:hint="eastAsia"/>
          </w:rPr>
          <w:t>7-</w:t>
        </w:r>
        <w:r>
          <w:fldChar w:fldCharType="begin"/>
        </w:r>
        <w:r>
          <w:instrText xml:space="preserve">PAGE   \* MERGEFORMAT</w:instrText>
        </w:r>
        <w:r>
          <w:fldChar w:fldCharType="separate"/>
        </w:r>
        <w:r>
          <w:rPr>
            <w:lang w:val="zh-CN"/>
          </w:rPr>
          <w:t>3</w:t>
        </w:r>
        <w:r>
          <w:fldChar w:fldCharType="end"/>
        </w:r>
      </w:p>
    </w:sdtContent>
  </w:sdt>
  <w:p w14:paraId="41DBA756">
    <w:pPr>
      <w:pStyle w:val="15"/>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52804143"/>
    </w:sdtPr>
    <w:sdtContent>
      <w:p w14:paraId="200DB05D">
        <w:pPr>
          <w:pStyle w:val="15"/>
          <w:jc w:val="center"/>
        </w:pPr>
        <w:r>
          <w:rPr>
            <w:rFonts w:hint="eastAsia"/>
          </w:rPr>
          <w:t>8-</w:t>
        </w:r>
        <w:r>
          <w:fldChar w:fldCharType="begin"/>
        </w:r>
        <w:r>
          <w:instrText xml:space="preserve">PAGE   \* MERGEFORMAT</w:instrText>
        </w:r>
        <w:r>
          <w:fldChar w:fldCharType="separate"/>
        </w:r>
        <w:r>
          <w:rPr>
            <w:lang w:val="zh-CN"/>
          </w:rPr>
          <w:t>2</w:t>
        </w:r>
        <w:r>
          <w:fldChar w:fldCharType="end"/>
        </w:r>
      </w:p>
    </w:sdtContent>
  </w:sdt>
  <w:p w14:paraId="38686F30">
    <w:pPr>
      <w:pStyle w:val="15"/>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3850023"/>
    </w:sdtPr>
    <w:sdtContent>
      <w:p w14:paraId="1F85F425">
        <w:pPr>
          <w:pStyle w:val="15"/>
          <w:jc w:val="center"/>
        </w:pPr>
        <w:r>
          <w:rPr>
            <w:rFonts w:hint="eastAsia"/>
          </w:rPr>
          <w:t>9-</w:t>
        </w:r>
        <w:r>
          <w:fldChar w:fldCharType="begin"/>
        </w:r>
        <w:r>
          <w:instrText xml:space="preserve">PAGE   \* MERGEFORMAT</w:instrText>
        </w:r>
        <w:r>
          <w:fldChar w:fldCharType="separate"/>
        </w:r>
        <w:r>
          <w:rPr>
            <w:lang w:val="zh-CN"/>
          </w:rPr>
          <w:t>1</w:t>
        </w:r>
        <w:r>
          <w:fldChar w:fldCharType="end"/>
        </w:r>
      </w:p>
    </w:sdtContent>
  </w:sdt>
  <w:p w14:paraId="3129DA63">
    <w:pPr>
      <w:pStyle w:val="15"/>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98543948"/>
    </w:sdtPr>
    <w:sdtContent>
      <w:p w14:paraId="747FFE95">
        <w:pPr>
          <w:pStyle w:val="15"/>
          <w:jc w:val="center"/>
        </w:pPr>
        <w:r>
          <w:rPr>
            <w:rFonts w:hint="eastAsia"/>
          </w:rPr>
          <w:t>10-</w:t>
        </w:r>
        <w:r>
          <w:fldChar w:fldCharType="begin"/>
        </w:r>
        <w:r>
          <w:instrText xml:space="preserve">PAGE   \* MERGEFORMAT</w:instrText>
        </w:r>
        <w:r>
          <w:fldChar w:fldCharType="separate"/>
        </w:r>
        <w:r>
          <w:rPr>
            <w:lang w:val="zh-CN"/>
          </w:rPr>
          <w:t>2</w:t>
        </w:r>
        <w:r>
          <w:fldChar w:fldCharType="end"/>
        </w:r>
      </w:p>
    </w:sdtContent>
  </w:sdt>
  <w:p w14:paraId="2AF67CD1">
    <w:pPr>
      <w:pStyle w:val="15"/>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25875105"/>
    </w:sdtPr>
    <w:sdtContent>
      <w:p w14:paraId="1ADAE313">
        <w:pPr>
          <w:pStyle w:val="15"/>
          <w:jc w:val="center"/>
        </w:pPr>
        <w:r>
          <w:rPr>
            <w:rFonts w:hint="eastAsia"/>
          </w:rPr>
          <w:t>1</w:t>
        </w:r>
        <w:r>
          <w:t>1</w:t>
        </w:r>
        <w:r>
          <w:rPr>
            <w:rFonts w:hint="eastAsia"/>
          </w:rPr>
          <w:t>-</w:t>
        </w:r>
        <w:r>
          <w:fldChar w:fldCharType="begin"/>
        </w:r>
        <w:r>
          <w:instrText xml:space="preserve">PAGE   \* MERGEFORMAT</w:instrText>
        </w:r>
        <w:r>
          <w:fldChar w:fldCharType="separate"/>
        </w:r>
        <w:r>
          <w:rPr>
            <w:lang w:val="zh-CN"/>
          </w:rPr>
          <w:t>1</w:t>
        </w:r>
        <w:r>
          <w:fldChar w:fldCharType="end"/>
        </w:r>
      </w:p>
    </w:sdtContent>
  </w:sdt>
  <w:p w14:paraId="7685533F">
    <w:pPr>
      <w:pStyle w:val="15"/>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69757331"/>
    </w:sdtPr>
    <w:sdtContent>
      <w:p w14:paraId="76CAA403">
        <w:pPr>
          <w:pStyle w:val="15"/>
          <w:jc w:val="center"/>
        </w:pPr>
        <w:r>
          <w:rPr>
            <w:rFonts w:hint="eastAsia"/>
          </w:rPr>
          <w:t>1</w:t>
        </w:r>
        <w:r>
          <w:t>2</w:t>
        </w:r>
        <w:r>
          <w:rPr>
            <w:rFonts w:hint="eastAsia"/>
          </w:rPr>
          <w:t>-</w:t>
        </w:r>
        <w:r>
          <w:fldChar w:fldCharType="begin"/>
        </w:r>
        <w:r>
          <w:instrText xml:space="preserve">PAGE   \* MERGEFORMAT</w:instrText>
        </w:r>
        <w:r>
          <w:fldChar w:fldCharType="separate"/>
        </w:r>
        <w:r>
          <w:rPr>
            <w:lang w:val="zh-CN"/>
          </w:rPr>
          <w:t>1</w:t>
        </w:r>
        <w:r>
          <w:fldChar w:fldCharType="end"/>
        </w:r>
      </w:p>
    </w:sdtContent>
  </w:sdt>
  <w:p w14:paraId="18D78D87">
    <w:pPr>
      <w:pStyle w:val="15"/>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17409470"/>
    </w:sdtPr>
    <w:sdtContent>
      <w:p w14:paraId="437B0B1F">
        <w:pPr>
          <w:pStyle w:val="15"/>
          <w:jc w:val="center"/>
        </w:pPr>
        <w:r>
          <w:rPr>
            <w:rFonts w:hint="eastAsia"/>
          </w:rPr>
          <w:t>13-</w:t>
        </w:r>
        <w:r>
          <w:fldChar w:fldCharType="begin"/>
        </w:r>
        <w:r>
          <w:instrText xml:space="preserve">PAGE   \* MERGEFORMAT</w:instrText>
        </w:r>
        <w:r>
          <w:fldChar w:fldCharType="separate"/>
        </w:r>
        <w:r>
          <w:rPr>
            <w:lang w:val="zh-CN"/>
          </w:rPr>
          <w:t>1</w:t>
        </w:r>
        <w:r>
          <w:fldChar w:fldCharType="end"/>
        </w:r>
      </w:p>
    </w:sdtContent>
  </w:sdt>
  <w:p w14:paraId="0E70DADE">
    <w:pPr>
      <w:pStyle w:val="15"/>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76362021"/>
    </w:sdtPr>
    <w:sdtContent>
      <w:p w14:paraId="67EFBC2E">
        <w:pPr>
          <w:pStyle w:val="15"/>
          <w:jc w:val="center"/>
        </w:pPr>
        <w:r>
          <w:rPr>
            <w:rFonts w:hint="eastAsia"/>
          </w:rPr>
          <w:t>14-</w:t>
        </w:r>
        <w:r>
          <w:fldChar w:fldCharType="begin"/>
        </w:r>
        <w:r>
          <w:instrText xml:space="preserve">PAGE   \* MERGEFORMAT</w:instrText>
        </w:r>
        <w:r>
          <w:fldChar w:fldCharType="separate"/>
        </w:r>
        <w:r>
          <w:rPr>
            <w:lang w:val="zh-CN"/>
          </w:rPr>
          <w:t>1</w:t>
        </w:r>
        <w:r>
          <w:fldChar w:fldCharType="end"/>
        </w:r>
      </w:p>
    </w:sdtContent>
  </w:sdt>
  <w:p w14:paraId="6304BD85">
    <w:pPr>
      <w:pStyle w:val="15"/>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38906789"/>
    </w:sdtPr>
    <w:sdtContent>
      <w:p w14:paraId="096394B0">
        <w:pPr>
          <w:pStyle w:val="15"/>
          <w:jc w:val="center"/>
        </w:pPr>
        <w:r>
          <w:rPr>
            <w:rFonts w:hint="eastAsia"/>
          </w:rPr>
          <w:t>15-</w:t>
        </w:r>
        <w:r>
          <w:fldChar w:fldCharType="begin"/>
        </w:r>
        <w:r>
          <w:instrText xml:space="preserve">PAGE   \* MERGEFORMAT</w:instrText>
        </w:r>
        <w:r>
          <w:fldChar w:fldCharType="separate"/>
        </w:r>
        <w:r>
          <w:rPr>
            <w:lang w:val="zh-CN"/>
          </w:rPr>
          <w:t>1</w:t>
        </w:r>
        <w:r>
          <w:fldChar w:fldCharType="end"/>
        </w:r>
      </w:p>
    </w:sdtContent>
  </w:sdt>
  <w:p w14:paraId="42063235">
    <w:pPr>
      <w:pStyle w:val="15"/>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25294308"/>
    </w:sdtPr>
    <w:sdtContent>
      <w:p w14:paraId="212F5CC6">
        <w:pPr>
          <w:pStyle w:val="15"/>
          <w:jc w:val="center"/>
        </w:pPr>
        <w:r>
          <w:rPr>
            <w:rFonts w:hint="eastAsia"/>
          </w:rPr>
          <w:t>16-</w:t>
        </w:r>
        <w:r>
          <w:fldChar w:fldCharType="begin"/>
        </w:r>
        <w:r>
          <w:instrText xml:space="preserve">PAGE   \* MERGEFORMAT</w:instrText>
        </w:r>
        <w:r>
          <w:fldChar w:fldCharType="separate"/>
        </w:r>
        <w:r>
          <w:rPr>
            <w:lang w:val="zh-CN"/>
          </w:rPr>
          <w:t>1</w:t>
        </w:r>
        <w:r>
          <w:fldChar w:fldCharType="end"/>
        </w:r>
      </w:p>
    </w:sdtContent>
  </w:sdt>
  <w:p w14:paraId="0D771EA7">
    <w:pPr>
      <w:pStyle w:val="15"/>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40097920"/>
    </w:sdtPr>
    <w:sdtContent>
      <w:p w14:paraId="3E19479E">
        <w:pPr>
          <w:pStyle w:val="15"/>
          <w:jc w:val="center"/>
        </w:pPr>
        <w:r>
          <w:rPr>
            <w:rFonts w:hint="eastAsia"/>
          </w:rPr>
          <w:t>17-</w:t>
        </w:r>
        <w:r>
          <w:fldChar w:fldCharType="begin"/>
        </w:r>
        <w:r>
          <w:instrText xml:space="preserve">PAGE   \* MERGEFORMAT</w:instrText>
        </w:r>
        <w:r>
          <w:fldChar w:fldCharType="separate"/>
        </w:r>
        <w:r>
          <w:rPr>
            <w:lang w:val="zh-CN"/>
          </w:rPr>
          <w:t>1</w:t>
        </w:r>
        <w:r>
          <w:fldChar w:fldCharType="end"/>
        </w:r>
      </w:p>
    </w:sdtContent>
  </w:sdt>
  <w:p w14:paraId="61073429">
    <w:pPr>
      <w:pStyle w:val="15"/>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45817132"/>
    </w:sdtPr>
    <w:sdtContent>
      <w:p w14:paraId="30B14DD9">
        <w:pPr>
          <w:pStyle w:val="15"/>
          <w:jc w:val="center"/>
        </w:pPr>
        <w:r>
          <w:rPr>
            <w:rFonts w:hint="eastAsia"/>
          </w:rPr>
          <w:t>18-</w:t>
        </w:r>
        <w:r>
          <w:fldChar w:fldCharType="begin"/>
        </w:r>
        <w:r>
          <w:instrText xml:space="preserve">PAGE   \* MERGEFORMAT</w:instrText>
        </w:r>
        <w:r>
          <w:fldChar w:fldCharType="separate"/>
        </w:r>
        <w:r>
          <w:rPr>
            <w:lang w:val="zh-CN"/>
          </w:rPr>
          <w:t>1</w:t>
        </w:r>
        <w:r>
          <w:fldChar w:fldCharType="end"/>
        </w:r>
      </w:p>
    </w:sdtContent>
  </w:sdt>
  <w:p w14:paraId="7257DBC3">
    <w:pPr>
      <w:pStyle w:val="15"/>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7924746"/>
    </w:sdtPr>
    <w:sdtContent>
      <w:p w14:paraId="747CC485">
        <w:pPr>
          <w:pStyle w:val="15"/>
          <w:jc w:val="center"/>
        </w:pPr>
        <w:r>
          <w:rPr>
            <w:rFonts w:hint="eastAsia"/>
          </w:rPr>
          <w:t>19-</w:t>
        </w:r>
        <w:r>
          <w:fldChar w:fldCharType="begin"/>
        </w:r>
        <w:r>
          <w:instrText xml:space="preserve">PAGE   \* MERGEFORMAT</w:instrText>
        </w:r>
        <w:r>
          <w:fldChar w:fldCharType="separate"/>
        </w:r>
        <w:r>
          <w:rPr>
            <w:lang w:val="zh-CN"/>
          </w:rPr>
          <w:t>1</w:t>
        </w:r>
        <w:r>
          <w:fldChar w:fldCharType="end"/>
        </w:r>
      </w:p>
    </w:sdtContent>
  </w:sdt>
  <w:p w14:paraId="2E2CD53A">
    <w:pPr>
      <w:pStyle w:val="15"/>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63622073"/>
    </w:sdtPr>
    <w:sdtContent>
      <w:p w14:paraId="3BA25468">
        <w:pPr>
          <w:pStyle w:val="15"/>
          <w:jc w:val="center"/>
        </w:pPr>
        <w:r>
          <w:rPr>
            <w:rFonts w:hint="eastAsia"/>
          </w:rPr>
          <w:t>20-</w:t>
        </w:r>
        <w:r>
          <w:fldChar w:fldCharType="begin"/>
        </w:r>
        <w:r>
          <w:instrText xml:space="preserve">PAGE   \* MERGEFORMAT</w:instrText>
        </w:r>
        <w:r>
          <w:fldChar w:fldCharType="separate"/>
        </w:r>
        <w:r>
          <w:rPr>
            <w:lang w:val="zh-CN"/>
          </w:rPr>
          <w:t>1</w:t>
        </w:r>
        <w:r>
          <w:fldChar w:fldCharType="end"/>
        </w:r>
      </w:p>
    </w:sdtContent>
  </w:sdt>
  <w:p w14:paraId="64B40EEF">
    <w:pPr>
      <w:pStyle w:val="15"/>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2134857"/>
    </w:sdtPr>
    <w:sdtContent>
      <w:p w14:paraId="041296F0">
        <w:pPr>
          <w:pStyle w:val="15"/>
          <w:jc w:val="center"/>
        </w:pPr>
        <w:r>
          <w:rPr>
            <w:rFonts w:hint="eastAsia"/>
          </w:rPr>
          <w:t>21-</w:t>
        </w:r>
        <w:r>
          <w:fldChar w:fldCharType="begin"/>
        </w:r>
        <w:r>
          <w:instrText xml:space="preserve">PAGE   \* MERGEFORMAT</w:instrText>
        </w:r>
        <w:r>
          <w:fldChar w:fldCharType="separate"/>
        </w:r>
        <w:r>
          <w:rPr>
            <w:lang w:val="zh-CN"/>
          </w:rPr>
          <w:t>1</w:t>
        </w:r>
        <w:r>
          <w:fldChar w:fldCharType="end"/>
        </w:r>
      </w:p>
    </w:sdtContent>
  </w:sdt>
  <w:p w14:paraId="5E947EB2">
    <w:pPr>
      <w:pStyle w:val="15"/>
      <w:jc w:val="cente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D50B5">
    <w:pPr>
      <w:pStyle w:val="15"/>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7A5D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8DF3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c5ODQ3MmY3ODM0NDNjYTA3NDgxNTZmZGQ3ZWU4YWUifQ=="/>
  </w:docVars>
  <w:rsids>
    <w:rsidRoot w:val="00DC7E74"/>
    <w:rsid w:val="00000DD0"/>
    <w:rsid w:val="00001AB6"/>
    <w:rsid w:val="00001E42"/>
    <w:rsid w:val="00002977"/>
    <w:rsid w:val="00003CF3"/>
    <w:rsid w:val="00003DDD"/>
    <w:rsid w:val="00004215"/>
    <w:rsid w:val="000048E2"/>
    <w:rsid w:val="000062F2"/>
    <w:rsid w:val="00007C2F"/>
    <w:rsid w:val="00010125"/>
    <w:rsid w:val="0001044F"/>
    <w:rsid w:val="00011665"/>
    <w:rsid w:val="0001363C"/>
    <w:rsid w:val="00014D21"/>
    <w:rsid w:val="00016A01"/>
    <w:rsid w:val="00017201"/>
    <w:rsid w:val="000178C9"/>
    <w:rsid w:val="00017BED"/>
    <w:rsid w:val="00021C06"/>
    <w:rsid w:val="00022D6C"/>
    <w:rsid w:val="00022FC6"/>
    <w:rsid w:val="00023EE9"/>
    <w:rsid w:val="00024205"/>
    <w:rsid w:val="00027D10"/>
    <w:rsid w:val="00031A4E"/>
    <w:rsid w:val="00031D78"/>
    <w:rsid w:val="00031D96"/>
    <w:rsid w:val="00031DD2"/>
    <w:rsid w:val="000323F1"/>
    <w:rsid w:val="00035678"/>
    <w:rsid w:val="00041E30"/>
    <w:rsid w:val="00041EA9"/>
    <w:rsid w:val="00042898"/>
    <w:rsid w:val="00043A6C"/>
    <w:rsid w:val="000441B2"/>
    <w:rsid w:val="00044E1D"/>
    <w:rsid w:val="00045017"/>
    <w:rsid w:val="0004529F"/>
    <w:rsid w:val="00045690"/>
    <w:rsid w:val="00045B69"/>
    <w:rsid w:val="00045B80"/>
    <w:rsid w:val="00046DB8"/>
    <w:rsid w:val="00047948"/>
    <w:rsid w:val="00047EDD"/>
    <w:rsid w:val="00052827"/>
    <w:rsid w:val="00052BEE"/>
    <w:rsid w:val="00052D58"/>
    <w:rsid w:val="00053108"/>
    <w:rsid w:val="000539F0"/>
    <w:rsid w:val="00055D9B"/>
    <w:rsid w:val="00064E77"/>
    <w:rsid w:val="0006572D"/>
    <w:rsid w:val="0006616C"/>
    <w:rsid w:val="00066315"/>
    <w:rsid w:val="0006703B"/>
    <w:rsid w:val="0006718A"/>
    <w:rsid w:val="00067DA7"/>
    <w:rsid w:val="00070432"/>
    <w:rsid w:val="000714C0"/>
    <w:rsid w:val="00071723"/>
    <w:rsid w:val="00072176"/>
    <w:rsid w:val="0007281A"/>
    <w:rsid w:val="00072936"/>
    <w:rsid w:val="000746D9"/>
    <w:rsid w:val="00074758"/>
    <w:rsid w:val="00074F42"/>
    <w:rsid w:val="00075D6D"/>
    <w:rsid w:val="00076C89"/>
    <w:rsid w:val="0007714A"/>
    <w:rsid w:val="00080AFA"/>
    <w:rsid w:val="00080E58"/>
    <w:rsid w:val="0008111E"/>
    <w:rsid w:val="00082FA8"/>
    <w:rsid w:val="00085171"/>
    <w:rsid w:val="0009016D"/>
    <w:rsid w:val="00090707"/>
    <w:rsid w:val="00091E90"/>
    <w:rsid w:val="000928D3"/>
    <w:rsid w:val="0009373C"/>
    <w:rsid w:val="00095055"/>
    <w:rsid w:val="00097239"/>
    <w:rsid w:val="000A0CB6"/>
    <w:rsid w:val="000A11C4"/>
    <w:rsid w:val="000A1593"/>
    <w:rsid w:val="000A1777"/>
    <w:rsid w:val="000A20C8"/>
    <w:rsid w:val="000B11F7"/>
    <w:rsid w:val="000B3268"/>
    <w:rsid w:val="000B6297"/>
    <w:rsid w:val="000B6AA8"/>
    <w:rsid w:val="000C0960"/>
    <w:rsid w:val="000C100E"/>
    <w:rsid w:val="000C1D2F"/>
    <w:rsid w:val="000C1FA6"/>
    <w:rsid w:val="000C26FF"/>
    <w:rsid w:val="000C304F"/>
    <w:rsid w:val="000C5514"/>
    <w:rsid w:val="000C5A20"/>
    <w:rsid w:val="000C6767"/>
    <w:rsid w:val="000C68E7"/>
    <w:rsid w:val="000C6E67"/>
    <w:rsid w:val="000C6FAD"/>
    <w:rsid w:val="000D0C95"/>
    <w:rsid w:val="000D2150"/>
    <w:rsid w:val="000D38A7"/>
    <w:rsid w:val="000D7E47"/>
    <w:rsid w:val="000E12A3"/>
    <w:rsid w:val="000E35CB"/>
    <w:rsid w:val="000E419E"/>
    <w:rsid w:val="000E6573"/>
    <w:rsid w:val="000E688B"/>
    <w:rsid w:val="000E7374"/>
    <w:rsid w:val="000E7A28"/>
    <w:rsid w:val="000F25D1"/>
    <w:rsid w:val="000F2B08"/>
    <w:rsid w:val="000F3A96"/>
    <w:rsid w:val="000F5EC4"/>
    <w:rsid w:val="000F7645"/>
    <w:rsid w:val="001004B3"/>
    <w:rsid w:val="00100568"/>
    <w:rsid w:val="00101318"/>
    <w:rsid w:val="00101B58"/>
    <w:rsid w:val="00102071"/>
    <w:rsid w:val="0010485A"/>
    <w:rsid w:val="001051B2"/>
    <w:rsid w:val="00105310"/>
    <w:rsid w:val="00106025"/>
    <w:rsid w:val="0010712D"/>
    <w:rsid w:val="00110704"/>
    <w:rsid w:val="0011277A"/>
    <w:rsid w:val="00112BF9"/>
    <w:rsid w:val="00113B59"/>
    <w:rsid w:val="00115064"/>
    <w:rsid w:val="0011668D"/>
    <w:rsid w:val="00117512"/>
    <w:rsid w:val="0011783B"/>
    <w:rsid w:val="00120287"/>
    <w:rsid w:val="00120ABE"/>
    <w:rsid w:val="0012189A"/>
    <w:rsid w:val="00123986"/>
    <w:rsid w:val="00124047"/>
    <w:rsid w:val="00126670"/>
    <w:rsid w:val="00130A39"/>
    <w:rsid w:val="00131569"/>
    <w:rsid w:val="00132D3A"/>
    <w:rsid w:val="00133130"/>
    <w:rsid w:val="0013367F"/>
    <w:rsid w:val="0013384A"/>
    <w:rsid w:val="00134CB2"/>
    <w:rsid w:val="00135008"/>
    <w:rsid w:val="00135F72"/>
    <w:rsid w:val="00136679"/>
    <w:rsid w:val="00136E83"/>
    <w:rsid w:val="00140CFC"/>
    <w:rsid w:val="00140E02"/>
    <w:rsid w:val="00141752"/>
    <w:rsid w:val="00141D74"/>
    <w:rsid w:val="001451B1"/>
    <w:rsid w:val="00146246"/>
    <w:rsid w:val="00153191"/>
    <w:rsid w:val="00153CD2"/>
    <w:rsid w:val="001556EB"/>
    <w:rsid w:val="0015665A"/>
    <w:rsid w:val="00156A3F"/>
    <w:rsid w:val="00160684"/>
    <w:rsid w:val="00160700"/>
    <w:rsid w:val="00161DD2"/>
    <w:rsid w:val="00166957"/>
    <w:rsid w:val="00166DA1"/>
    <w:rsid w:val="00167026"/>
    <w:rsid w:val="00170A79"/>
    <w:rsid w:val="00172530"/>
    <w:rsid w:val="0017370E"/>
    <w:rsid w:val="00174565"/>
    <w:rsid w:val="001748DD"/>
    <w:rsid w:val="00175369"/>
    <w:rsid w:val="00176684"/>
    <w:rsid w:val="00180C04"/>
    <w:rsid w:val="00182D88"/>
    <w:rsid w:val="00185465"/>
    <w:rsid w:val="0018552E"/>
    <w:rsid w:val="00185825"/>
    <w:rsid w:val="00185AD1"/>
    <w:rsid w:val="0018653A"/>
    <w:rsid w:val="0018775D"/>
    <w:rsid w:val="00187C10"/>
    <w:rsid w:val="0019194A"/>
    <w:rsid w:val="00193FB5"/>
    <w:rsid w:val="001945D9"/>
    <w:rsid w:val="001961E4"/>
    <w:rsid w:val="00197C29"/>
    <w:rsid w:val="001A27B1"/>
    <w:rsid w:val="001A27BB"/>
    <w:rsid w:val="001A2E52"/>
    <w:rsid w:val="001A31BA"/>
    <w:rsid w:val="001A4014"/>
    <w:rsid w:val="001A4100"/>
    <w:rsid w:val="001B07DD"/>
    <w:rsid w:val="001B2DA5"/>
    <w:rsid w:val="001B3507"/>
    <w:rsid w:val="001B3B5D"/>
    <w:rsid w:val="001B4156"/>
    <w:rsid w:val="001C044F"/>
    <w:rsid w:val="001C0471"/>
    <w:rsid w:val="001C2010"/>
    <w:rsid w:val="001C2A8E"/>
    <w:rsid w:val="001C3C95"/>
    <w:rsid w:val="001C3ECD"/>
    <w:rsid w:val="001C5B7E"/>
    <w:rsid w:val="001C5C1B"/>
    <w:rsid w:val="001C7718"/>
    <w:rsid w:val="001D0D88"/>
    <w:rsid w:val="001D25D0"/>
    <w:rsid w:val="001D4655"/>
    <w:rsid w:val="001D46C2"/>
    <w:rsid w:val="001D5CCB"/>
    <w:rsid w:val="001D695B"/>
    <w:rsid w:val="001D6EB4"/>
    <w:rsid w:val="001D747C"/>
    <w:rsid w:val="001E0686"/>
    <w:rsid w:val="001E5F15"/>
    <w:rsid w:val="001E73CE"/>
    <w:rsid w:val="001F0F63"/>
    <w:rsid w:val="001F2D81"/>
    <w:rsid w:val="001F31FB"/>
    <w:rsid w:val="001F4169"/>
    <w:rsid w:val="001F6F44"/>
    <w:rsid w:val="002009F5"/>
    <w:rsid w:val="00200A19"/>
    <w:rsid w:val="002019B6"/>
    <w:rsid w:val="00201FEC"/>
    <w:rsid w:val="00201FF9"/>
    <w:rsid w:val="00203D3E"/>
    <w:rsid w:val="00206847"/>
    <w:rsid w:val="002071A9"/>
    <w:rsid w:val="00214C3D"/>
    <w:rsid w:val="00215314"/>
    <w:rsid w:val="00216CAA"/>
    <w:rsid w:val="002174D9"/>
    <w:rsid w:val="00220875"/>
    <w:rsid w:val="00221332"/>
    <w:rsid w:val="002215D2"/>
    <w:rsid w:val="00222341"/>
    <w:rsid w:val="002306C9"/>
    <w:rsid w:val="00231B62"/>
    <w:rsid w:val="002321ED"/>
    <w:rsid w:val="00232CAA"/>
    <w:rsid w:val="002330CA"/>
    <w:rsid w:val="002332D3"/>
    <w:rsid w:val="002340B1"/>
    <w:rsid w:val="00234B72"/>
    <w:rsid w:val="002359CF"/>
    <w:rsid w:val="00235B81"/>
    <w:rsid w:val="0023667F"/>
    <w:rsid w:val="00237AD7"/>
    <w:rsid w:val="0024032B"/>
    <w:rsid w:val="00240AE5"/>
    <w:rsid w:val="00242261"/>
    <w:rsid w:val="00242944"/>
    <w:rsid w:val="00242E69"/>
    <w:rsid w:val="00246B69"/>
    <w:rsid w:val="002471ED"/>
    <w:rsid w:val="00247986"/>
    <w:rsid w:val="00247FC1"/>
    <w:rsid w:val="00255EE7"/>
    <w:rsid w:val="0026065F"/>
    <w:rsid w:val="002631C1"/>
    <w:rsid w:val="00266019"/>
    <w:rsid w:val="00267009"/>
    <w:rsid w:val="00271A77"/>
    <w:rsid w:val="002759C1"/>
    <w:rsid w:val="00275EA7"/>
    <w:rsid w:val="00276CBA"/>
    <w:rsid w:val="00277C86"/>
    <w:rsid w:val="0028344C"/>
    <w:rsid w:val="00283863"/>
    <w:rsid w:val="00285E1A"/>
    <w:rsid w:val="0028628C"/>
    <w:rsid w:val="0028655B"/>
    <w:rsid w:val="00287B07"/>
    <w:rsid w:val="00287DD6"/>
    <w:rsid w:val="00291A4E"/>
    <w:rsid w:val="00291ACE"/>
    <w:rsid w:val="00292A48"/>
    <w:rsid w:val="0029364D"/>
    <w:rsid w:val="00294CA3"/>
    <w:rsid w:val="0029563B"/>
    <w:rsid w:val="002961C9"/>
    <w:rsid w:val="0029639B"/>
    <w:rsid w:val="002A0B4E"/>
    <w:rsid w:val="002A1685"/>
    <w:rsid w:val="002A23EA"/>
    <w:rsid w:val="002A2BDE"/>
    <w:rsid w:val="002A4673"/>
    <w:rsid w:val="002A790E"/>
    <w:rsid w:val="002A7E73"/>
    <w:rsid w:val="002B0661"/>
    <w:rsid w:val="002B11CF"/>
    <w:rsid w:val="002B19DD"/>
    <w:rsid w:val="002B2AD4"/>
    <w:rsid w:val="002B4A5D"/>
    <w:rsid w:val="002B67C0"/>
    <w:rsid w:val="002B7266"/>
    <w:rsid w:val="002B7527"/>
    <w:rsid w:val="002C06EA"/>
    <w:rsid w:val="002C2058"/>
    <w:rsid w:val="002C2B27"/>
    <w:rsid w:val="002C470B"/>
    <w:rsid w:val="002C4D0A"/>
    <w:rsid w:val="002C6520"/>
    <w:rsid w:val="002C6DF2"/>
    <w:rsid w:val="002C7C3C"/>
    <w:rsid w:val="002D0091"/>
    <w:rsid w:val="002D155A"/>
    <w:rsid w:val="002D1D4F"/>
    <w:rsid w:val="002D43C8"/>
    <w:rsid w:val="002E05C3"/>
    <w:rsid w:val="002E0B38"/>
    <w:rsid w:val="002E3DED"/>
    <w:rsid w:val="002E46D7"/>
    <w:rsid w:val="002E54B5"/>
    <w:rsid w:val="002F1E2E"/>
    <w:rsid w:val="002F2074"/>
    <w:rsid w:val="002F211E"/>
    <w:rsid w:val="002F253D"/>
    <w:rsid w:val="002F2BC5"/>
    <w:rsid w:val="002F2EAD"/>
    <w:rsid w:val="002F3F6D"/>
    <w:rsid w:val="002F66B1"/>
    <w:rsid w:val="002F68F6"/>
    <w:rsid w:val="00301CBE"/>
    <w:rsid w:val="003026F5"/>
    <w:rsid w:val="00305466"/>
    <w:rsid w:val="00306429"/>
    <w:rsid w:val="003123ED"/>
    <w:rsid w:val="00312588"/>
    <w:rsid w:val="003137F2"/>
    <w:rsid w:val="00314370"/>
    <w:rsid w:val="0031445C"/>
    <w:rsid w:val="003154CF"/>
    <w:rsid w:val="00315DF1"/>
    <w:rsid w:val="00317638"/>
    <w:rsid w:val="0031797A"/>
    <w:rsid w:val="0032039E"/>
    <w:rsid w:val="00320987"/>
    <w:rsid w:val="00322A50"/>
    <w:rsid w:val="00323511"/>
    <w:rsid w:val="003246B3"/>
    <w:rsid w:val="0032522B"/>
    <w:rsid w:val="00330931"/>
    <w:rsid w:val="00331209"/>
    <w:rsid w:val="003336F7"/>
    <w:rsid w:val="00334F74"/>
    <w:rsid w:val="003369A7"/>
    <w:rsid w:val="00342DF8"/>
    <w:rsid w:val="003431C7"/>
    <w:rsid w:val="00345036"/>
    <w:rsid w:val="00345E14"/>
    <w:rsid w:val="00346F20"/>
    <w:rsid w:val="00351019"/>
    <w:rsid w:val="003532E6"/>
    <w:rsid w:val="00353894"/>
    <w:rsid w:val="00355528"/>
    <w:rsid w:val="00360142"/>
    <w:rsid w:val="00360FE3"/>
    <w:rsid w:val="00361791"/>
    <w:rsid w:val="003628D4"/>
    <w:rsid w:val="003659AF"/>
    <w:rsid w:val="00365CCD"/>
    <w:rsid w:val="00371CDD"/>
    <w:rsid w:val="003726C2"/>
    <w:rsid w:val="003760B8"/>
    <w:rsid w:val="00376451"/>
    <w:rsid w:val="0037657D"/>
    <w:rsid w:val="003802E4"/>
    <w:rsid w:val="00380795"/>
    <w:rsid w:val="00383076"/>
    <w:rsid w:val="00385611"/>
    <w:rsid w:val="00385833"/>
    <w:rsid w:val="0039673F"/>
    <w:rsid w:val="003979A1"/>
    <w:rsid w:val="003A1410"/>
    <w:rsid w:val="003A30E5"/>
    <w:rsid w:val="003A4F07"/>
    <w:rsid w:val="003A6B7B"/>
    <w:rsid w:val="003A726C"/>
    <w:rsid w:val="003B0BF2"/>
    <w:rsid w:val="003B1FDF"/>
    <w:rsid w:val="003B4B05"/>
    <w:rsid w:val="003B5DEA"/>
    <w:rsid w:val="003B6B55"/>
    <w:rsid w:val="003C0916"/>
    <w:rsid w:val="003C104A"/>
    <w:rsid w:val="003C2982"/>
    <w:rsid w:val="003C29ED"/>
    <w:rsid w:val="003C5DC5"/>
    <w:rsid w:val="003C756C"/>
    <w:rsid w:val="003C7D39"/>
    <w:rsid w:val="003D04FF"/>
    <w:rsid w:val="003D3984"/>
    <w:rsid w:val="003D3A28"/>
    <w:rsid w:val="003D48F4"/>
    <w:rsid w:val="003D49AD"/>
    <w:rsid w:val="003D4BBC"/>
    <w:rsid w:val="003D5389"/>
    <w:rsid w:val="003D6556"/>
    <w:rsid w:val="003D794B"/>
    <w:rsid w:val="003D7BA3"/>
    <w:rsid w:val="003E0139"/>
    <w:rsid w:val="003E0AD5"/>
    <w:rsid w:val="003E16F3"/>
    <w:rsid w:val="003E2C01"/>
    <w:rsid w:val="003E46C5"/>
    <w:rsid w:val="003F25AE"/>
    <w:rsid w:val="003F5815"/>
    <w:rsid w:val="003F784C"/>
    <w:rsid w:val="00400160"/>
    <w:rsid w:val="0040055B"/>
    <w:rsid w:val="004008A7"/>
    <w:rsid w:val="00401C64"/>
    <w:rsid w:val="004038C3"/>
    <w:rsid w:val="00405228"/>
    <w:rsid w:val="00405405"/>
    <w:rsid w:val="00407803"/>
    <w:rsid w:val="0040782C"/>
    <w:rsid w:val="00407946"/>
    <w:rsid w:val="00411088"/>
    <w:rsid w:val="00411823"/>
    <w:rsid w:val="00412476"/>
    <w:rsid w:val="00412563"/>
    <w:rsid w:val="00412D2C"/>
    <w:rsid w:val="00413681"/>
    <w:rsid w:val="00414034"/>
    <w:rsid w:val="004142E4"/>
    <w:rsid w:val="0042267B"/>
    <w:rsid w:val="004237E9"/>
    <w:rsid w:val="00423845"/>
    <w:rsid w:val="004255F7"/>
    <w:rsid w:val="00425D01"/>
    <w:rsid w:val="004265DC"/>
    <w:rsid w:val="004275E3"/>
    <w:rsid w:val="00427FD7"/>
    <w:rsid w:val="004309F4"/>
    <w:rsid w:val="0043191B"/>
    <w:rsid w:val="00431AC3"/>
    <w:rsid w:val="00431F66"/>
    <w:rsid w:val="004324F7"/>
    <w:rsid w:val="00432DF1"/>
    <w:rsid w:val="004336A9"/>
    <w:rsid w:val="00434945"/>
    <w:rsid w:val="004359C6"/>
    <w:rsid w:val="004365D5"/>
    <w:rsid w:val="00436C58"/>
    <w:rsid w:val="00436E37"/>
    <w:rsid w:val="00437913"/>
    <w:rsid w:val="00440182"/>
    <w:rsid w:val="00440E3A"/>
    <w:rsid w:val="0044103D"/>
    <w:rsid w:val="00441241"/>
    <w:rsid w:val="00442664"/>
    <w:rsid w:val="00443C07"/>
    <w:rsid w:val="0044539E"/>
    <w:rsid w:val="004503A5"/>
    <w:rsid w:val="00450FE9"/>
    <w:rsid w:val="004535FF"/>
    <w:rsid w:val="00456F82"/>
    <w:rsid w:val="00461F61"/>
    <w:rsid w:val="00463889"/>
    <w:rsid w:val="00464303"/>
    <w:rsid w:val="00464C3A"/>
    <w:rsid w:val="00464E23"/>
    <w:rsid w:val="0046519A"/>
    <w:rsid w:val="00467DCB"/>
    <w:rsid w:val="00470498"/>
    <w:rsid w:val="00470E62"/>
    <w:rsid w:val="0047119A"/>
    <w:rsid w:val="00473B5C"/>
    <w:rsid w:val="00475541"/>
    <w:rsid w:val="00476249"/>
    <w:rsid w:val="0048026F"/>
    <w:rsid w:val="00480B4C"/>
    <w:rsid w:val="00480D4C"/>
    <w:rsid w:val="00481D5D"/>
    <w:rsid w:val="004857DE"/>
    <w:rsid w:val="00486012"/>
    <w:rsid w:val="0048671F"/>
    <w:rsid w:val="0048715E"/>
    <w:rsid w:val="0049245E"/>
    <w:rsid w:val="00492BCA"/>
    <w:rsid w:val="00493296"/>
    <w:rsid w:val="00493DC8"/>
    <w:rsid w:val="00494817"/>
    <w:rsid w:val="004A38A2"/>
    <w:rsid w:val="004A3C1C"/>
    <w:rsid w:val="004A4931"/>
    <w:rsid w:val="004A5C59"/>
    <w:rsid w:val="004B0ED0"/>
    <w:rsid w:val="004B144E"/>
    <w:rsid w:val="004B1F14"/>
    <w:rsid w:val="004B201E"/>
    <w:rsid w:val="004B2C2F"/>
    <w:rsid w:val="004B31DB"/>
    <w:rsid w:val="004B3B4A"/>
    <w:rsid w:val="004B47B2"/>
    <w:rsid w:val="004B53C1"/>
    <w:rsid w:val="004B5D9B"/>
    <w:rsid w:val="004B6573"/>
    <w:rsid w:val="004B7363"/>
    <w:rsid w:val="004B7C6E"/>
    <w:rsid w:val="004C007C"/>
    <w:rsid w:val="004C0CC1"/>
    <w:rsid w:val="004C2330"/>
    <w:rsid w:val="004C5085"/>
    <w:rsid w:val="004C627D"/>
    <w:rsid w:val="004C6676"/>
    <w:rsid w:val="004C707D"/>
    <w:rsid w:val="004D2553"/>
    <w:rsid w:val="004D2A62"/>
    <w:rsid w:val="004D2E26"/>
    <w:rsid w:val="004D2FCF"/>
    <w:rsid w:val="004D5ACC"/>
    <w:rsid w:val="004E0DF1"/>
    <w:rsid w:val="004E0F7D"/>
    <w:rsid w:val="004E1291"/>
    <w:rsid w:val="004E14CC"/>
    <w:rsid w:val="004E57B8"/>
    <w:rsid w:val="004E7184"/>
    <w:rsid w:val="004F42C1"/>
    <w:rsid w:val="004F55D4"/>
    <w:rsid w:val="004F6344"/>
    <w:rsid w:val="004F6906"/>
    <w:rsid w:val="00503D3F"/>
    <w:rsid w:val="00504AC5"/>
    <w:rsid w:val="00505AC7"/>
    <w:rsid w:val="00511C6C"/>
    <w:rsid w:val="005143A9"/>
    <w:rsid w:val="00515D94"/>
    <w:rsid w:val="00515E8F"/>
    <w:rsid w:val="00521B52"/>
    <w:rsid w:val="0052319D"/>
    <w:rsid w:val="00523605"/>
    <w:rsid w:val="005248B6"/>
    <w:rsid w:val="00526015"/>
    <w:rsid w:val="00526834"/>
    <w:rsid w:val="00527783"/>
    <w:rsid w:val="00527B02"/>
    <w:rsid w:val="00530519"/>
    <w:rsid w:val="0053109D"/>
    <w:rsid w:val="0053389B"/>
    <w:rsid w:val="005431AC"/>
    <w:rsid w:val="005451F9"/>
    <w:rsid w:val="00545614"/>
    <w:rsid w:val="005502D9"/>
    <w:rsid w:val="00550F23"/>
    <w:rsid w:val="005535A3"/>
    <w:rsid w:val="005564D4"/>
    <w:rsid w:val="00556EE6"/>
    <w:rsid w:val="00557920"/>
    <w:rsid w:val="005630A4"/>
    <w:rsid w:val="00564D50"/>
    <w:rsid w:val="00565F62"/>
    <w:rsid w:val="005660EE"/>
    <w:rsid w:val="0056678C"/>
    <w:rsid w:val="00570215"/>
    <w:rsid w:val="00570851"/>
    <w:rsid w:val="00571B4A"/>
    <w:rsid w:val="00571F24"/>
    <w:rsid w:val="00573797"/>
    <w:rsid w:val="005752B1"/>
    <w:rsid w:val="00576298"/>
    <w:rsid w:val="00580351"/>
    <w:rsid w:val="00580A4E"/>
    <w:rsid w:val="0058105E"/>
    <w:rsid w:val="005822B8"/>
    <w:rsid w:val="00582659"/>
    <w:rsid w:val="00583F43"/>
    <w:rsid w:val="005849A4"/>
    <w:rsid w:val="00586675"/>
    <w:rsid w:val="00587647"/>
    <w:rsid w:val="0059173C"/>
    <w:rsid w:val="00591E65"/>
    <w:rsid w:val="00593932"/>
    <w:rsid w:val="00594A4C"/>
    <w:rsid w:val="0059618C"/>
    <w:rsid w:val="005A06D7"/>
    <w:rsid w:val="005A399F"/>
    <w:rsid w:val="005A41FF"/>
    <w:rsid w:val="005A7140"/>
    <w:rsid w:val="005A7B91"/>
    <w:rsid w:val="005B060E"/>
    <w:rsid w:val="005B1738"/>
    <w:rsid w:val="005B240C"/>
    <w:rsid w:val="005B4925"/>
    <w:rsid w:val="005B59D5"/>
    <w:rsid w:val="005B6483"/>
    <w:rsid w:val="005B66FD"/>
    <w:rsid w:val="005B685B"/>
    <w:rsid w:val="005B6A9D"/>
    <w:rsid w:val="005C0810"/>
    <w:rsid w:val="005C2546"/>
    <w:rsid w:val="005C3B81"/>
    <w:rsid w:val="005C4FF8"/>
    <w:rsid w:val="005C5964"/>
    <w:rsid w:val="005C5C13"/>
    <w:rsid w:val="005C7F22"/>
    <w:rsid w:val="005D3BFB"/>
    <w:rsid w:val="005D58AE"/>
    <w:rsid w:val="005D6727"/>
    <w:rsid w:val="005D682C"/>
    <w:rsid w:val="005D6E76"/>
    <w:rsid w:val="005D7F1C"/>
    <w:rsid w:val="005E452D"/>
    <w:rsid w:val="005E6C32"/>
    <w:rsid w:val="005E6E86"/>
    <w:rsid w:val="005E7283"/>
    <w:rsid w:val="005F074E"/>
    <w:rsid w:val="005F0EBB"/>
    <w:rsid w:val="005F20E0"/>
    <w:rsid w:val="005F288F"/>
    <w:rsid w:val="005F2B6C"/>
    <w:rsid w:val="005F2BCB"/>
    <w:rsid w:val="005F3385"/>
    <w:rsid w:val="005F3898"/>
    <w:rsid w:val="005F3B5B"/>
    <w:rsid w:val="005F3CC2"/>
    <w:rsid w:val="005F3E7C"/>
    <w:rsid w:val="005F4C2F"/>
    <w:rsid w:val="005F6F76"/>
    <w:rsid w:val="0060476E"/>
    <w:rsid w:val="006050E9"/>
    <w:rsid w:val="00607523"/>
    <w:rsid w:val="00607E88"/>
    <w:rsid w:val="006100CE"/>
    <w:rsid w:val="0061136C"/>
    <w:rsid w:val="006114C3"/>
    <w:rsid w:val="00611B88"/>
    <w:rsid w:val="00611F48"/>
    <w:rsid w:val="00613356"/>
    <w:rsid w:val="00613F8A"/>
    <w:rsid w:val="00613FA0"/>
    <w:rsid w:val="00615A06"/>
    <w:rsid w:val="00615E9A"/>
    <w:rsid w:val="00621321"/>
    <w:rsid w:val="006220AF"/>
    <w:rsid w:val="0062269D"/>
    <w:rsid w:val="006227F3"/>
    <w:rsid w:val="006237E6"/>
    <w:rsid w:val="006256CA"/>
    <w:rsid w:val="00635050"/>
    <w:rsid w:val="006355B4"/>
    <w:rsid w:val="006377C7"/>
    <w:rsid w:val="00640191"/>
    <w:rsid w:val="00640E51"/>
    <w:rsid w:val="00644B26"/>
    <w:rsid w:val="006475D5"/>
    <w:rsid w:val="006520C3"/>
    <w:rsid w:val="00652128"/>
    <w:rsid w:val="00652650"/>
    <w:rsid w:val="00652DBF"/>
    <w:rsid w:val="00653D6D"/>
    <w:rsid w:val="00654599"/>
    <w:rsid w:val="00660A76"/>
    <w:rsid w:val="00661B26"/>
    <w:rsid w:val="00663B13"/>
    <w:rsid w:val="00666BE6"/>
    <w:rsid w:val="0066704E"/>
    <w:rsid w:val="00667E4B"/>
    <w:rsid w:val="00670B94"/>
    <w:rsid w:val="006718D6"/>
    <w:rsid w:val="00672A62"/>
    <w:rsid w:val="00673714"/>
    <w:rsid w:val="0067725F"/>
    <w:rsid w:val="00677614"/>
    <w:rsid w:val="00680A6B"/>
    <w:rsid w:val="00681481"/>
    <w:rsid w:val="006831B1"/>
    <w:rsid w:val="006839F7"/>
    <w:rsid w:val="00683A15"/>
    <w:rsid w:val="006841EB"/>
    <w:rsid w:val="006846D2"/>
    <w:rsid w:val="00685712"/>
    <w:rsid w:val="00685EC8"/>
    <w:rsid w:val="00690E8E"/>
    <w:rsid w:val="00691621"/>
    <w:rsid w:val="00694C3B"/>
    <w:rsid w:val="006975FC"/>
    <w:rsid w:val="006A2CB1"/>
    <w:rsid w:val="006A3EAA"/>
    <w:rsid w:val="006A4448"/>
    <w:rsid w:val="006A5CCD"/>
    <w:rsid w:val="006B42CE"/>
    <w:rsid w:val="006B4B97"/>
    <w:rsid w:val="006B6146"/>
    <w:rsid w:val="006B61D0"/>
    <w:rsid w:val="006B6A5C"/>
    <w:rsid w:val="006B7B59"/>
    <w:rsid w:val="006C4C6B"/>
    <w:rsid w:val="006C4F3B"/>
    <w:rsid w:val="006C7BF9"/>
    <w:rsid w:val="006C7C04"/>
    <w:rsid w:val="006D2279"/>
    <w:rsid w:val="006D2C00"/>
    <w:rsid w:val="006D4499"/>
    <w:rsid w:val="006D50E5"/>
    <w:rsid w:val="006D5B2C"/>
    <w:rsid w:val="006D5FE6"/>
    <w:rsid w:val="006D62EB"/>
    <w:rsid w:val="006E22AF"/>
    <w:rsid w:val="006E3987"/>
    <w:rsid w:val="006E463B"/>
    <w:rsid w:val="006E4D9C"/>
    <w:rsid w:val="006E530E"/>
    <w:rsid w:val="006E56FE"/>
    <w:rsid w:val="006E5D04"/>
    <w:rsid w:val="006E5ECE"/>
    <w:rsid w:val="006E5F3B"/>
    <w:rsid w:val="006E7E3E"/>
    <w:rsid w:val="006F1996"/>
    <w:rsid w:val="006F2C40"/>
    <w:rsid w:val="00701585"/>
    <w:rsid w:val="00702A88"/>
    <w:rsid w:val="00702E11"/>
    <w:rsid w:val="007030BF"/>
    <w:rsid w:val="00703791"/>
    <w:rsid w:val="00703FD5"/>
    <w:rsid w:val="0070491F"/>
    <w:rsid w:val="0070609D"/>
    <w:rsid w:val="00710642"/>
    <w:rsid w:val="00711472"/>
    <w:rsid w:val="007124DE"/>
    <w:rsid w:val="007124F5"/>
    <w:rsid w:val="00717934"/>
    <w:rsid w:val="007228E3"/>
    <w:rsid w:val="00722A46"/>
    <w:rsid w:val="007244D7"/>
    <w:rsid w:val="00731589"/>
    <w:rsid w:val="0073188F"/>
    <w:rsid w:val="007328E1"/>
    <w:rsid w:val="00732CE8"/>
    <w:rsid w:val="00734A9B"/>
    <w:rsid w:val="00735EE5"/>
    <w:rsid w:val="00736B58"/>
    <w:rsid w:val="0074155D"/>
    <w:rsid w:val="00741591"/>
    <w:rsid w:val="00746CAE"/>
    <w:rsid w:val="00752925"/>
    <w:rsid w:val="0075344A"/>
    <w:rsid w:val="00754807"/>
    <w:rsid w:val="0075647E"/>
    <w:rsid w:val="00756BF1"/>
    <w:rsid w:val="00756E58"/>
    <w:rsid w:val="00757919"/>
    <w:rsid w:val="00757EF2"/>
    <w:rsid w:val="007606A2"/>
    <w:rsid w:val="0076074D"/>
    <w:rsid w:val="00761873"/>
    <w:rsid w:val="00762A7F"/>
    <w:rsid w:val="00764009"/>
    <w:rsid w:val="00764187"/>
    <w:rsid w:val="0076471D"/>
    <w:rsid w:val="00764814"/>
    <w:rsid w:val="00765947"/>
    <w:rsid w:val="007662C0"/>
    <w:rsid w:val="00766662"/>
    <w:rsid w:val="00766773"/>
    <w:rsid w:val="00766CC7"/>
    <w:rsid w:val="00766F04"/>
    <w:rsid w:val="007710F7"/>
    <w:rsid w:val="0077494E"/>
    <w:rsid w:val="00774B6E"/>
    <w:rsid w:val="00774D42"/>
    <w:rsid w:val="00776D2A"/>
    <w:rsid w:val="007801DE"/>
    <w:rsid w:val="00780560"/>
    <w:rsid w:val="00781111"/>
    <w:rsid w:val="0078152B"/>
    <w:rsid w:val="0078195F"/>
    <w:rsid w:val="00785A06"/>
    <w:rsid w:val="00785D55"/>
    <w:rsid w:val="007861DB"/>
    <w:rsid w:val="0078628A"/>
    <w:rsid w:val="00787792"/>
    <w:rsid w:val="007911F6"/>
    <w:rsid w:val="00792AAD"/>
    <w:rsid w:val="0079368B"/>
    <w:rsid w:val="00793C1F"/>
    <w:rsid w:val="00793FA0"/>
    <w:rsid w:val="00796B3C"/>
    <w:rsid w:val="00796DD2"/>
    <w:rsid w:val="00797001"/>
    <w:rsid w:val="00797097"/>
    <w:rsid w:val="00797644"/>
    <w:rsid w:val="007A351B"/>
    <w:rsid w:val="007A3F9F"/>
    <w:rsid w:val="007A6E8B"/>
    <w:rsid w:val="007A7378"/>
    <w:rsid w:val="007A7A82"/>
    <w:rsid w:val="007B0E25"/>
    <w:rsid w:val="007B2DFC"/>
    <w:rsid w:val="007B2EB0"/>
    <w:rsid w:val="007B33FB"/>
    <w:rsid w:val="007B4881"/>
    <w:rsid w:val="007B50DA"/>
    <w:rsid w:val="007B65FA"/>
    <w:rsid w:val="007C0329"/>
    <w:rsid w:val="007C07F6"/>
    <w:rsid w:val="007C1033"/>
    <w:rsid w:val="007C2C50"/>
    <w:rsid w:val="007C5820"/>
    <w:rsid w:val="007C7465"/>
    <w:rsid w:val="007D1E49"/>
    <w:rsid w:val="007D2175"/>
    <w:rsid w:val="007D2FEC"/>
    <w:rsid w:val="007D42E7"/>
    <w:rsid w:val="007D5C10"/>
    <w:rsid w:val="007E16C8"/>
    <w:rsid w:val="007E1AC2"/>
    <w:rsid w:val="007E53FF"/>
    <w:rsid w:val="007E67D5"/>
    <w:rsid w:val="007E6F7F"/>
    <w:rsid w:val="007E7A88"/>
    <w:rsid w:val="007F0197"/>
    <w:rsid w:val="007F0C87"/>
    <w:rsid w:val="007F2301"/>
    <w:rsid w:val="007F64C0"/>
    <w:rsid w:val="0080033D"/>
    <w:rsid w:val="00800A9F"/>
    <w:rsid w:val="00801335"/>
    <w:rsid w:val="00805F2E"/>
    <w:rsid w:val="00806BB3"/>
    <w:rsid w:val="00806BE9"/>
    <w:rsid w:val="00807072"/>
    <w:rsid w:val="00807401"/>
    <w:rsid w:val="00810902"/>
    <w:rsid w:val="00811A25"/>
    <w:rsid w:val="00811F94"/>
    <w:rsid w:val="00812583"/>
    <w:rsid w:val="00813A33"/>
    <w:rsid w:val="008143CC"/>
    <w:rsid w:val="008143D1"/>
    <w:rsid w:val="00815297"/>
    <w:rsid w:val="008168E2"/>
    <w:rsid w:val="00816A29"/>
    <w:rsid w:val="00820A94"/>
    <w:rsid w:val="0082124A"/>
    <w:rsid w:val="00822546"/>
    <w:rsid w:val="008225B4"/>
    <w:rsid w:val="00822FD6"/>
    <w:rsid w:val="0082391A"/>
    <w:rsid w:val="0082507C"/>
    <w:rsid w:val="008268A7"/>
    <w:rsid w:val="00826953"/>
    <w:rsid w:val="008274A4"/>
    <w:rsid w:val="00830F1B"/>
    <w:rsid w:val="00832DBF"/>
    <w:rsid w:val="008334AE"/>
    <w:rsid w:val="00833560"/>
    <w:rsid w:val="00836508"/>
    <w:rsid w:val="00836E06"/>
    <w:rsid w:val="008422AB"/>
    <w:rsid w:val="00842A4E"/>
    <w:rsid w:val="0084364F"/>
    <w:rsid w:val="0084367A"/>
    <w:rsid w:val="00843C14"/>
    <w:rsid w:val="008460EA"/>
    <w:rsid w:val="00846296"/>
    <w:rsid w:val="008464FC"/>
    <w:rsid w:val="00847178"/>
    <w:rsid w:val="00852396"/>
    <w:rsid w:val="00854772"/>
    <w:rsid w:val="0085557E"/>
    <w:rsid w:val="008561FF"/>
    <w:rsid w:val="00856DAA"/>
    <w:rsid w:val="00860E5A"/>
    <w:rsid w:val="00861662"/>
    <w:rsid w:val="00867DE9"/>
    <w:rsid w:val="00870568"/>
    <w:rsid w:val="0087067E"/>
    <w:rsid w:val="00870727"/>
    <w:rsid w:val="00873D4F"/>
    <w:rsid w:val="0087426A"/>
    <w:rsid w:val="00876EFF"/>
    <w:rsid w:val="00880D4D"/>
    <w:rsid w:val="008839BE"/>
    <w:rsid w:val="008843E9"/>
    <w:rsid w:val="00884A40"/>
    <w:rsid w:val="0088517F"/>
    <w:rsid w:val="0088608E"/>
    <w:rsid w:val="008871FA"/>
    <w:rsid w:val="008948AC"/>
    <w:rsid w:val="00895370"/>
    <w:rsid w:val="00895C7C"/>
    <w:rsid w:val="00896CE8"/>
    <w:rsid w:val="008A046E"/>
    <w:rsid w:val="008A0A8D"/>
    <w:rsid w:val="008A0D1F"/>
    <w:rsid w:val="008A0EC8"/>
    <w:rsid w:val="008A2276"/>
    <w:rsid w:val="008A2DBE"/>
    <w:rsid w:val="008A381C"/>
    <w:rsid w:val="008A3BF5"/>
    <w:rsid w:val="008A475E"/>
    <w:rsid w:val="008A4AF8"/>
    <w:rsid w:val="008A4CEA"/>
    <w:rsid w:val="008A583E"/>
    <w:rsid w:val="008A5B6B"/>
    <w:rsid w:val="008A7E71"/>
    <w:rsid w:val="008B007A"/>
    <w:rsid w:val="008B35A5"/>
    <w:rsid w:val="008B3600"/>
    <w:rsid w:val="008B4216"/>
    <w:rsid w:val="008B7054"/>
    <w:rsid w:val="008C0FCB"/>
    <w:rsid w:val="008C115C"/>
    <w:rsid w:val="008C22AD"/>
    <w:rsid w:val="008C3C2B"/>
    <w:rsid w:val="008C447F"/>
    <w:rsid w:val="008C75C4"/>
    <w:rsid w:val="008D1B5E"/>
    <w:rsid w:val="008D2326"/>
    <w:rsid w:val="008D251D"/>
    <w:rsid w:val="008D3DBB"/>
    <w:rsid w:val="008D614B"/>
    <w:rsid w:val="008E30DD"/>
    <w:rsid w:val="008E4A4E"/>
    <w:rsid w:val="008E5102"/>
    <w:rsid w:val="008E6771"/>
    <w:rsid w:val="008E6C96"/>
    <w:rsid w:val="008F2631"/>
    <w:rsid w:val="008F2B93"/>
    <w:rsid w:val="008F7905"/>
    <w:rsid w:val="008F7D48"/>
    <w:rsid w:val="009001B1"/>
    <w:rsid w:val="00900BD8"/>
    <w:rsid w:val="00901F8F"/>
    <w:rsid w:val="009045B4"/>
    <w:rsid w:val="00906C29"/>
    <w:rsid w:val="00907862"/>
    <w:rsid w:val="0090792E"/>
    <w:rsid w:val="00910249"/>
    <w:rsid w:val="00912F9F"/>
    <w:rsid w:val="00913B30"/>
    <w:rsid w:val="00913B61"/>
    <w:rsid w:val="00914A35"/>
    <w:rsid w:val="0092043E"/>
    <w:rsid w:val="009207A4"/>
    <w:rsid w:val="00921C43"/>
    <w:rsid w:val="00921F94"/>
    <w:rsid w:val="00923238"/>
    <w:rsid w:val="00923A95"/>
    <w:rsid w:val="00925601"/>
    <w:rsid w:val="00925CD6"/>
    <w:rsid w:val="009261AE"/>
    <w:rsid w:val="00926997"/>
    <w:rsid w:val="00926B86"/>
    <w:rsid w:val="00927B10"/>
    <w:rsid w:val="00927F68"/>
    <w:rsid w:val="00934A33"/>
    <w:rsid w:val="00935656"/>
    <w:rsid w:val="009428D7"/>
    <w:rsid w:val="00944BA7"/>
    <w:rsid w:val="009454F9"/>
    <w:rsid w:val="0094778B"/>
    <w:rsid w:val="00950757"/>
    <w:rsid w:val="00950F26"/>
    <w:rsid w:val="00952965"/>
    <w:rsid w:val="00952B6F"/>
    <w:rsid w:val="009533F7"/>
    <w:rsid w:val="00953D84"/>
    <w:rsid w:val="00954499"/>
    <w:rsid w:val="0095488B"/>
    <w:rsid w:val="00954EED"/>
    <w:rsid w:val="009556C6"/>
    <w:rsid w:val="00955893"/>
    <w:rsid w:val="00957CFA"/>
    <w:rsid w:val="009615C7"/>
    <w:rsid w:val="00961AF3"/>
    <w:rsid w:val="00962DED"/>
    <w:rsid w:val="00966A97"/>
    <w:rsid w:val="00966E0D"/>
    <w:rsid w:val="00971C82"/>
    <w:rsid w:val="00971F2C"/>
    <w:rsid w:val="00972F55"/>
    <w:rsid w:val="0097369D"/>
    <w:rsid w:val="0097469A"/>
    <w:rsid w:val="00977F16"/>
    <w:rsid w:val="00980FD0"/>
    <w:rsid w:val="00981211"/>
    <w:rsid w:val="00982B83"/>
    <w:rsid w:val="00983463"/>
    <w:rsid w:val="0098566E"/>
    <w:rsid w:val="00985BCB"/>
    <w:rsid w:val="00986FAD"/>
    <w:rsid w:val="00987B0E"/>
    <w:rsid w:val="0099009F"/>
    <w:rsid w:val="0099216A"/>
    <w:rsid w:val="00996942"/>
    <w:rsid w:val="009969AC"/>
    <w:rsid w:val="009A3982"/>
    <w:rsid w:val="009A3A62"/>
    <w:rsid w:val="009A3ED6"/>
    <w:rsid w:val="009A4C7F"/>
    <w:rsid w:val="009A5421"/>
    <w:rsid w:val="009A5DAD"/>
    <w:rsid w:val="009B2078"/>
    <w:rsid w:val="009B26B2"/>
    <w:rsid w:val="009B3884"/>
    <w:rsid w:val="009B41D2"/>
    <w:rsid w:val="009B4212"/>
    <w:rsid w:val="009B533C"/>
    <w:rsid w:val="009B57E0"/>
    <w:rsid w:val="009B65CF"/>
    <w:rsid w:val="009C08FE"/>
    <w:rsid w:val="009C3F7E"/>
    <w:rsid w:val="009C4AAE"/>
    <w:rsid w:val="009C4DE8"/>
    <w:rsid w:val="009C6D89"/>
    <w:rsid w:val="009C7626"/>
    <w:rsid w:val="009D3E2B"/>
    <w:rsid w:val="009D44C9"/>
    <w:rsid w:val="009D47E5"/>
    <w:rsid w:val="009D62A6"/>
    <w:rsid w:val="009D69BE"/>
    <w:rsid w:val="009D78E5"/>
    <w:rsid w:val="009E0A84"/>
    <w:rsid w:val="009E2853"/>
    <w:rsid w:val="009E411C"/>
    <w:rsid w:val="009E59D7"/>
    <w:rsid w:val="009E5B23"/>
    <w:rsid w:val="009E79A4"/>
    <w:rsid w:val="009F0F8E"/>
    <w:rsid w:val="009F1F57"/>
    <w:rsid w:val="009F25A2"/>
    <w:rsid w:val="009F3FE1"/>
    <w:rsid w:val="009F4E87"/>
    <w:rsid w:val="009F53A5"/>
    <w:rsid w:val="009F5879"/>
    <w:rsid w:val="009F5B62"/>
    <w:rsid w:val="00A01902"/>
    <w:rsid w:val="00A01C18"/>
    <w:rsid w:val="00A0203F"/>
    <w:rsid w:val="00A038E1"/>
    <w:rsid w:val="00A03CF1"/>
    <w:rsid w:val="00A04270"/>
    <w:rsid w:val="00A0506D"/>
    <w:rsid w:val="00A063D0"/>
    <w:rsid w:val="00A06494"/>
    <w:rsid w:val="00A06613"/>
    <w:rsid w:val="00A070BC"/>
    <w:rsid w:val="00A101E3"/>
    <w:rsid w:val="00A104DD"/>
    <w:rsid w:val="00A10943"/>
    <w:rsid w:val="00A13CA5"/>
    <w:rsid w:val="00A13F97"/>
    <w:rsid w:val="00A15F89"/>
    <w:rsid w:val="00A16593"/>
    <w:rsid w:val="00A17D78"/>
    <w:rsid w:val="00A21CE1"/>
    <w:rsid w:val="00A245E5"/>
    <w:rsid w:val="00A246A9"/>
    <w:rsid w:val="00A25267"/>
    <w:rsid w:val="00A2696F"/>
    <w:rsid w:val="00A26AB3"/>
    <w:rsid w:val="00A27125"/>
    <w:rsid w:val="00A27BEE"/>
    <w:rsid w:val="00A32231"/>
    <w:rsid w:val="00A3522A"/>
    <w:rsid w:val="00A352A1"/>
    <w:rsid w:val="00A3585A"/>
    <w:rsid w:val="00A36248"/>
    <w:rsid w:val="00A37382"/>
    <w:rsid w:val="00A41504"/>
    <w:rsid w:val="00A419E5"/>
    <w:rsid w:val="00A428A7"/>
    <w:rsid w:val="00A44EB7"/>
    <w:rsid w:val="00A46257"/>
    <w:rsid w:val="00A47A6A"/>
    <w:rsid w:val="00A50139"/>
    <w:rsid w:val="00A5644B"/>
    <w:rsid w:val="00A56B98"/>
    <w:rsid w:val="00A61CD6"/>
    <w:rsid w:val="00A6202F"/>
    <w:rsid w:val="00A620DD"/>
    <w:rsid w:val="00A64BBA"/>
    <w:rsid w:val="00A7031D"/>
    <w:rsid w:val="00A70440"/>
    <w:rsid w:val="00A723EA"/>
    <w:rsid w:val="00A73353"/>
    <w:rsid w:val="00A74F25"/>
    <w:rsid w:val="00A766C6"/>
    <w:rsid w:val="00A81138"/>
    <w:rsid w:val="00A83D75"/>
    <w:rsid w:val="00A842DE"/>
    <w:rsid w:val="00A84AB9"/>
    <w:rsid w:val="00A86DBF"/>
    <w:rsid w:val="00A90182"/>
    <w:rsid w:val="00A903EA"/>
    <w:rsid w:val="00A90C5B"/>
    <w:rsid w:val="00A92CAD"/>
    <w:rsid w:val="00A93209"/>
    <w:rsid w:val="00A93473"/>
    <w:rsid w:val="00A96A42"/>
    <w:rsid w:val="00A97535"/>
    <w:rsid w:val="00AA01DB"/>
    <w:rsid w:val="00AA062D"/>
    <w:rsid w:val="00AA0844"/>
    <w:rsid w:val="00AA0D3C"/>
    <w:rsid w:val="00AA10D9"/>
    <w:rsid w:val="00AA3CE7"/>
    <w:rsid w:val="00AA44BE"/>
    <w:rsid w:val="00AA5E45"/>
    <w:rsid w:val="00AA6E10"/>
    <w:rsid w:val="00AA7E18"/>
    <w:rsid w:val="00AB01E0"/>
    <w:rsid w:val="00AB09A1"/>
    <w:rsid w:val="00AB0BCA"/>
    <w:rsid w:val="00AB1D9C"/>
    <w:rsid w:val="00AB3D14"/>
    <w:rsid w:val="00AB65AE"/>
    <w:rsid w:val="00AB7045"/>
    <w:rsid w:val="00AC2908"/>
    <w:rsid w:val="00AC4D03"/>
    <w:rsid w:val="00AC54D8"/>
    <w:rsid w:val="00AC5FEE"/>
    <w:rsid w:val="00AC7BE3"/>
    <w:rsid w:val="00AD065B"/>
    <w:rsid w:val="00AD1901"/>
    <w:rsid w:val="00AD397F"/>
    <w:rsid w:val="00AD519C"/>
    <w:rsid w:val="00AD57B5"/>
    <w:rsid w:val="00AD75A0"/>
    <w:rsid w:val="00AE0A46"/>
    <w:rsid w:val="00AE2549"/>
    <w:rsid w:val="00AE27C3"/>
    <w:rsid w:val="00AE2D7D"/>
    <w:rsid w:val="00AE4C6E"/>
    <w:rsid w:val="00AE7F08"/>
    <w:rsid w:val="00AF1E3A"/>
    <w:rsid w:val="00AF2353"/>
    <w:rsid w:val="00AF249F"/>
    <w:rsid w:val="00AF29BA"/>
    <w:rsid w:val="00AF29CE"/>
    <w:rsid w:val="00AF4B80"/>
    <w:rsid w:val="00AF6D3C"/>
    <w:rsid w:val="00B0090E"/>
    <w:rsid w:val="00B00B62"/>
    <w:rsid w:val="00B03923"/>
    <w:rsid w:val="00B05944"/>
    <w:rsid w:val="00B06D85"/>
    <w:rsid w:val="00B108D6"/>
    <w:rsid w:val="00B1098B"/>
    <w:rsid w:val="00B112C7"/>
    <w:rsid w:val="00B1198E"/>
    <w:rsid w:val="00B160F6"/>
    <w:rsid w:val="00B204A8"/>
    <w:rsid w:val="00B21114"/>
    <w:rsid w:val="00B21278"/>
    <w:rsid w:val="00B21652"/>
    <w:rsid w:val="00B220AC"/>
    <w:rsid w:val="00B2251C"/>
    <w:rsid w:val="00B23A73"/>
    <w:rsid w:val="00B23FF4"/>
    <w:rsid w:val="00B240D0"/>
    <w:rsid w:val="00B2590B"/>
    <w:rsid w:val="00B25AA6"/>
    <w:rsid w:val="00B30863"/>
    <w:rsid w:val="00B32C0D"/>
    <w:rsid w:val="00B350B0"/>
    <w:rsid w:val="00B3563B"/>
    <w:rsid w:val="00B361BB"/>
    <w:rsid w:val="00B36856"/>
    <w:rsid w:val="00B368D9"/>
    <w:rsid w:val="00B36AC0"/>
    <w:rsid w:val="00B37BD5"/>
    <w:rsid w:val="00B37C57"/>
    <w:rsid w:val="00B37D2D"/>
    <w:rsid w:val="00B4022D"/>
    <w:rsid w:val="00B440A2"/>
    <w:rsid w:val="00B44EEC"/>
    <w:rsid w:val="00B45256"/>
    <w:rsid w:val="00B5336D"/>
    <w:rsid w:val="00B542A0"/>
    <w:rsid w:val="00B544D6"/>
    <w:rsid w:val="00B61804"/>
    <w:rsid w:val="00B62E56"/>
    <w:rsid w:val="00B6306F"/>
    <w:rsid w:val="00B65DF5"/>
    <w:rsid w:val="00B703FF"/>
    <w:rsid w:val="00B7051B"/>
    <w:rsid w:val="00B71838"/>
    <w:rsid w:val="00B71C1F"/>
    <w:rsid w:val="00B74B7A"/>
    <w:rsid w:val="00B76A3B"/>
    <w:rsid w:val="00B80807"/>
    <w:rsid w:val="00B82876"/>
    <w:rsid w:val="00B839FC"/>
    <w:rsid w:val="00B859F1"/>
    <w:rsid w:val="00B85DA7"/>
    <w:rsid w:val="00B862CC"/>
    <w:rsid w:val="00B86630"/>
    <w:rsid w:val="00B873C3"/>
    <w:rsid w:val="00B90AE0"/>
    <w:rsid w:val="00B90D94"/>
    <w:rsid w:val="00B924D6"/>
    <w:rsid w:val="00B930F6"/>
    <w:rsid w:val="00B93FC3"/>
    <w:rsid w:val="00B9422A"/>
    <w:rsid w:val="00B9518F"/>
    <w:rsid w:val="00B95CFC"/>
    <w:rsid w:val="00B96881"/>
    <w:rsid w:val="00BA10C2"/>
    <w:rsid w:val="00BA6A0F"/>
    <w:rsid w:val="00BA6CF9"/>
    <w:rsid w:val="00BB0623"/>
    <w:rsid w:val="00BB126C"/>
    <w:rsid w:val="00BB204F"/>
    <w:rsid w:val="00BB2358"/>
    <w:rsid w:val="00BB2C1A"/>
    <w:rsid w:val="00BB7482"/>
    <w:rsid w:val="00BB7F82"/>
    <w:rsid w:val="00BC005C"/>
    <w:rsid w:val="00BC1462"/>
    <w:rsid w:val="00BC2AB2"/>
    <w:rsid w:val="00BC4B55"/>
    <w:rsid w:val="00BC4F68"/>
    <w:rsid w:val="00BC66EB"/>
    <w:rsid w:val="00BC67F7"/>
    <w:rsid w:val="00BC751E"/>
    <w:rsid w:val="00BD0295"/>
    <w:rsid w:val="00BD05AA"/>
    <w:rsid w:val="00BD13E7"/>
    <w:rsid w:val="00BD27C8"/>
    <w:rsid w:val="00BD2D7E"/>
    <w:rsid w:val="00BD310C"/>
    <w:rsid w:val="00BD3200"/>
    <w:rsid w:val="00BD3A23"/>
    <w:rsid w:val="00BD4BBE"/>
    <w:rsid w:val="00BD4FD3"/>
    <w:rsid w:val="00BE1FE7"/>
    <w:rsid w:val="00BE32ED"/>
    <w:rsid w:val="00BE3691"/>
    <w:rsid w:val="00BE4978"/>
    <w:rsid w:val="00BE4A3A"/>
    <w:rsid w:val="00BE64D6"/>
    <w:rsid w:val="00BE7B3E"/>
    <w:rsid w:val="00BF24DC"/>
    <w:rsid w:val="00BF2C5A"/>
    <w:rsid w:val="00BF3CF6"/>
    <w:rsid w:val="00BF41DA"/>
    <w:rsid w:val="00BF4A6A"/>
    <w:rsid w:val="00BF4FB5"/>
    <w:rsid w:val="00BF57F7"/>
    <w:rsid w:val="00BF5A45"/>
    <w:rsid w:val="00BF5C40"/>
    <w:rsid w:val="00BF6E03"/>
    <w:rsid w:val="00BF768D"/>
    <w:rsid w:val="00C00AA3"/>
    <w:rsid w:val="00C01E9C"/>
    <w:rsid w:val="00C021AD"/>
    <w:rsid w:val="00C024D8"/>
    <w:rsid w:val="00C052CC"/>
    <w:rsid w:val="00C06268"/>
    <w:rsid w:val="00C062C1"/>
    <w:rsid w:val="00C079FF"/>
    <w:rsid w:val="00C10685"/>
    <w:rsid w:val="00C10926"/>
    <w:rsid w:val="00C114A2"/>
    <w:rsid w:val="00C114A5"/>
    <w:rsid w:val="00C120AC"/>
    <w:rsid w:val="00C13D02"/>
    <w:rsid w:val="00C15231"/>
    <w:rsid w:val="00C242E8"/>
    <w:rsid w:val="00C25510"/>
    <w:rsid w:val="00C267AD"/>
    <w:rsid w:val="00C312FC"/>
    <w:rsid w:val="00C3240E"/>
    <w:rsid w:val="00C329D4"/>
    <w:rsid w:val="00C342C2"/>
    <w:rsid w:val="00C34FE9"/>
    <w:rsid w:val="00C35D67"/>
    <w:rsid w:val="00C37199"/>
    <w:rsid w:val="00C405A7"/>
    <w:rsid w:val="00C41223"/>
    <w:rsid w:val="00C44C70"/>
    <w:rsid w:val="00C451DC"/>
    <w:rsid w:val="00C46966"/>
    <w:rsid w:val="00C479DB"/>
    <w:rsid w:val="00C50D6C"/>
    <w:rsid w:val="00C51BF3"/>
    <w:rsid w:val="00C5361F"/>
    <w:rsid w:val="00C55A43"/>
    <w:rsid w:val="00C60E74"/>
    <w:rsid w:val="00C67727"/>
    <w:rsid w:val="00C73BD5"/>
    <w:rsid w:val="00C74FA0"/>
    <w:rsid w:val="00C7566F"/>
    <w:rsid w:val="00C766C6"/>
    <w:rsid w:val="00C77CA7"/>
    <w:rsid w:val="00C77D41"/>
    <w:rsid w:val="00C8101F"/>
    <w:rsid w:val="00C81E26"/>
    <w:rsid w:val="00C82637"/>
    <w:rsid w:val="00C82765"/>
    <w:rsid w:val="00C82C50"/>
    <w:rsid w:val="00C8304B"/>
    <w:rsid w:val="00C83466"/>
    <w:rsid w:val="00C8600E"/>
    <w:rsid w:val="00C861CA"/>
    <w:rsid w:val="00C8661B"/>
    <w:rsid w:val="00C8715E"/>
    <w:rsid w:val="00C873AD"/>
    <w:rsid w:val="00C875D1"/>
    <w:rsid w:val="00C87F3D"/>
    <w:rsid w:val="00C928F5"/>
    <w:rsid w:val="00C92F34"/>
    <w:rsid w:val="00C937F0"/>
    <w:rsid w:val="00C94905"/>
    <w:rsid w:val="00C94D32"/>
    <w:rsid w:val="00C95881"/>
    <w:rsid w:val="00C974BF"/>
    <w:rsid w:val="00CA13E6"/>
    <w:rsid w:val="00CA2396"/>
    <w:rsid w:val="00CA2560"/>
    <w:rsid w:val="00CA2DC0"/>
    <w:rsid w:val="00CA304B"/>
    <w:rsid w:val="00CA3C16"/>
    <w:rsid w:val="00CA3ECD"/>
    <w:rsid w:val="00CA5DF5"/>
    <w:rsid w:val="00CA6956"/>
    <w:rsid w:val="00CA69A6"/>
    <w:rsid w:val="00CB0FA5"/>
    <w:rsid w:val="00CB174C"/>
    <w:rsid w:val="00CB2D8D"/>
    <w:rsid w:val="00CB3C96"/>
    <w:rsid w:val="00CB40E0"/>
    <w:rsid w:val="00CB4550"/>
    <w:rsid w:val="00CB49EE"/>
    <w:rsid w:val="00CB5002"/>
    <w:rsid w:val="00CB5BC9"/>
    <w:rsid w:val="00CB6149"/>
    <w:rsid w:val="00CB6694"/>
    <w:rsid w:val="00CC13D2"/>
    <w:rsid w:val="00CC2A6E"/>
    <w:rsid w:val="00CC4287"/>
    <w:rsid w:val="00CC4451"/>
    <w:rsid w:val="00CC7F18"/>
    <w:rsid w:val="00CD012C"/>
    <w:rsid w:val="00CD15F0"/>
    <w:rsid w:val="00CD256B"/>
    <w:rsid w:val="00CD4109"/>
    <w:rsid w:val="00CD5FFC"/>
    <w:rsid w:val="00CD7649"/>
    <w:rsid w:val="00CE276D"/>
    <w:rsid w:val="00CE5226"/>
    <w:rsid w:val="00CE606A"/>
    <w:rsid w:val="00CE6AEF"/>
    <w:rsid w:val="00CE6D88"/>
    <w:rsid w:val="00CE7CC4"/>
    <w:rsid w:val="00CF070D"/>
    <w:rsid w:val="00CF1760"/>
    <w:rsid w:val="00CF2FDE"/>
    <w:rsid w:val="00CF5676"/>
    <w:rsid w:val="00CF5DDF"/>
    <w:rsid w:val="00CF6DD7"/>
    <w:rsid w:val="00CF78C5"/>
    <w:rsid w:val="00CF7C44"/>
    <w:rsid w:val="00D02E05"/>
    <w:rsid w:val="00D05D5E"/>
    <w:rsid w:val="00D076A4"/>
    <w:rsid w:val="00D118DA"/>
    <w:rsid w:val="00D1282F"/>
    <w:rsid w:val="00D13508"/>
    <w:rsid w:val="00D13AC5"/>
    <w:rsid w:val="00D15249"/>
    <w:rsid w:val="00D16D15"/>
    <w:rsid w:val="00D204A6"/>
    <w:rsid w:val="00D20847"/>
    <w:rsid w:val="00D219DF"/>
    <w:rsid w:val="00D21EC3"/>
    <w:rsid w:val="00D2395F"/>
    <w:rsid w:val="00D24A96"/>
    <w:rsid w:val="00D2621F"/>
    <w:rsid w:val="00D27602"/>
    <w:rsid w:val="00D31995"/>
    <w:rsid w:val="00D33828"/>
    <w:rsid w:val="00D34969"/>
    <w:rsid w:val="00D35453"/>
    <w:rsid w:val="00D438F7"/>
    <w:rsid w:val="00D46506"/>
    <w:rsid w:val="00D47B40"/>
    <w:rsid w:val="00D50201"/>
    <w:rsid w:val="00D50C14"/>
    <w:rsid w:val="00D51987"/>
    <w:rsid w:val="00D520A3"/>
    <w:rsid w:val="00D531CD"/>
    <w:rsid w:val="00D55C41"/>
    <w:rsid w:val="00D60EE4"/>
    <w:rsid w:val="00D63816"/>
    <w:rsid w:val="00D64D49"/>
    <w:rsid w:val="00D65CC8"/>
    <w:rsid w:val="00D664D8"/>
    <w:rsid w:val="00D674C9"/>
    <w:rsid w:val="00D7408D"/>
    <w:rsid w:val="00D748CF"/>
    <w:rsid w:val="00D74CE7"/>
    <w:rsid w:val="00D7640E"/>
    <w:rsid w:val="00D766FD"/>
    <w:rsid w:val="00D76F14"/>
    <w:rsid w:val="00D81BE8"/>
    <w:rsid w:val="00D871F7"/>
    <w:rsid w:val="00D879AD"/>
    <w:rsid w:val="00D925B6"/>
    <w:rsid w:val="00D92D9E"/>
    <w:rsid w:val="00D9389C"/>
    <w:rsid w:val="00D94926"/>
    <w:rsid w:val="00D94A1E"/>
    <w:rsid w:val="00D954A3"/>
    <w:rsid w:val="00D95676"/>
    <w:rsid w:val="00D95DCA"/>
    <w:rsid w:val="00D95EFC"/>
    <w:rsid w:val="00D96B80"/>
    <w:rsid w:val="00D972E7"/>
    <w:rsid w:val="00DA2A77"/>
    <w:rsid w:val="00DA31C9"/>
    <w:rsid w:val="00DA3242"/>
    <w:rsid w:val="00DA4514"/>
    <w:rsid w:val="00DA4D85"/>
    <w:rsid w:val="00DA5F3F"/>
    <w:rsid w:val="00DA614E"/>
    <w:rsid w:val="00DA6479"/>
    <w:rsid w:val="00DB0776"/>
    <w:rsid w:val="00DB2964"/>
    <w:rsid w:val="00DB3BE4"/>
    <w:rsid w:val="00DB4385"/>
    <w:rsid w:val="00DB4AE5"/>
    <w:rsid w:val="00DB7853"/>
    <w:rsid w:val="00DC0C3C"/>
    <w:rsid w:val="00DC18DD"/>
    <w:rsid w:val="00DC310A"/>
    <w:rsid w:val="00DC3796"/>
    <w:rsid w:val="00DC4A78"/>
    <w:rsid w:val="00DC5074"/>
    <w:rsid w:val="00DC5DEE"/>
    <w:rsid w:val="00DC6BFE"/>
    <w:rsid w:val="00DC6EC1"/>
    <w:rsid w:val="00DC7E74"/>
    <w:rsid w:val="00DD0660"/>
    <w:rsid w:val="00DD1943"/>
    <w:rsid w:val="00DD25A5"/>
    <w:rsid w:val="00DD2E01"/>
    <w:rsid w:val="00DD363B"/>
    <w:rsid w:val="00DD568D"/>
    <w:rsid w:val="00DD7AB0"/>
    <w:rsid w:val="00DE388B"/>
    <w:rsid w:val="00DE44DE"/>
    <w:rsid w:val="00DE4F7C"/>
    <w:rsid w:val="00DE65D0"/>
    <w:rsid w:val="00DE7E91"/>
    <w:rsid w:val="00DF2AB8"/>
    <w:rsid w:val="00DF2BF9"/>
    <w:rsid w:val="00DF3717"/>
    <w:rsid w:val="00DF446D"/>
    <w:rsid w:val="00DF48CE"/>
    <w:rsid w:val="00DF4957"/>
    <w:rsid w:val="00DF4BB4"/>
    <w:rsid w:val="00DF75D4"/>
    <w:rsid w:val="00E0442C"/>
    <w:rsid w:val="00E04C85"/>
    <w:rsid w:val="00E062AD"/>
    <w:rsid w:val="00E1062A"/>
    <w:rsid w:val="00E12552"/>
    <w:rsid w:val="00E12670"/>
    <w:rsid w:val="00E12CDB"/>
    <w:rsid w:val="00E13C85"/>
    <w:rsid w:val="00E140DB"/>
    <w:rsid w:val="00E145EA"/>
    <w:rsid w:val="00E15472"/>
    <w:rsid w:val="00E16F85"/>
    <w:rsid w:val="00E200E1"/>
    <w:rsid w:val="00E21218"/>
    <w:rsid w:val="00E24640"/>
    <w:rsid w:val="00E24732"/>
    <w:rsid w:val="00E2473B"/>
    <w:rsid w:val="00E24E36"/>
    <w:rsid w:val="00E25A21"/>
    <w:rsid w:val="00E26B2F"/>
    <w:rsid w:val="00E302B0"/>
    <w:rsid w:val="00E309FF"/>
    <w:rsid w:val="00E31932"/>
    <w:rsid w:val="00E31C1B"/>
    <w:rsid w:val="00E3280F"/>
    <w:rsid w:val="00E33ADC"/>
    <w:rsid w:val="00E34149"/>
    <w:rsid w:val="00E36939"/>
    <w:rsid w:val="00E401CD"/>
    <w:rsid w:val="00E42BB5"/>
    <w:rsid w:val="00E436EA"/>
    <w:rsid w:val="00E4548E"/>
    <w:rsid w:val="00E51C8F"/>
    <w:rsid w:val="00E54EC9"/>
    <w:rsid w:val="00E56AAD"/>
    <w:rsid w:val="00E56E2E"/>
    <w:rsid w:val="00E57951"/>
    <w:rsid w:val="00E60BC8"/>
    <w:rsid w:val="00E60FFD"/>
    <w:rsid w:val="00E627DB"/>
    <w:rsid w:val="00E64E60"/>
    <w:rsid w:val="00E669C2"/>
    <w:rsid w:val="00E678B6"/>
    <w:rsid w:val="00E749E5"/>
    <w:rsid w:val="00E75929"/>
    <w:rsid w:val="00E77DD3"/>
    <w:rsid w:val="00E8031B"/>
    <w:rsid w:val="00E80CAD"/>
    <w:rsid w:val="00E816E3"/>
    <w:rsid w:val="00E81A27"/>
    <w:rsid w:val="00E83689"/>
    <w:rsid w:val="00E83907"/>
    <w:rsid w:val="00E86C77"/>
    <w:rsid w:val="00E870E0"/>
    <w:rsid w:val="00E87187"/>
    <w:rsid w:val="00E8764F"/>
    <w:rsid w:val="00E90D07"/>
    <w:rsid w:val="00E9435F"/>
    <w:rsid w:val="00E954BF"/>
    <w:rsid w:val="00E957BA"/>
    <w:rsid w:val="00E96121"/>
    <w:rsid w:val="00E96555"/>
    <w:rsid w:val="00E96960"/>
    <w:rsid w:val="00EA0B55"/>
    <w:rsid w:val="00EA0C8B"/>
    <w:rsid w:val="00EA12B6"/>
    <w:rsid w:val="00EA1496"/>
    <w:rsid w:val="00EA29A3"/>
    <w:rsid w:val="00EA2B2B"/>
    <w:rsid w:val="00EA2B62"/>
    <w:rsid w:val="00EA2B8A"/>
    <w:rsid w:val="00EA2F2A"/>
    <w:rsid w:val="00EA566E"/>
    <w:rsid w:val="00EA5911"/>
    <w:rsid w:val="00EA74D6"/>
    <w:rsid w:val="00EA76F9"/>
    <w:rsid w:val="00EB106E"/>
    <w:rsid w:val="00EB1B58"/>
    <w:rsid w:val="00EB1C19"/>
    <w:rsid w:val="00EB25D4"/>
    <w:rsid w:val="00EB27B7"/>
    <w:rsid w:val="00EB2A4D"/>
    <w:rsid w:val="00EB2BFD"/>
    <w:rsid w:val="00EB3012"/>
    <w:rsid w:val="00EB3C3E"/>
    <w:rsid w:val="00EB46DD"/>
    <w:rsid w:val="00EB4A2A"/>
    <w:rsid w:val="00EB57DA"/>
    <w:rsid w:val="00EB5A16"/>
    <w:rsid w:val="00EB5DC2"/>
    <w:rsid w:val="00EC0F17"/>
    <w:rsid w:val="00EC38EC"/>
    <w:rsid w:val="00EC3A70"/>
    <w:rsid w:val="00EC41BB"/>
    <w:rsid w:val="00EC6E75"/>
    <w:rsid w:val="00ED0C05"/>
    <w:rsid w:val="00ED1B91"/>
    <w:rsid w:val="00ED1CBA"/>
    <w:rsid w:val="00ED20F2"/>
    <w:rsid w:val="00ED2A25"/>
    <w:rsid w:val="00ED33BF"/>
    <w:rsid w:val="00ED3B44"/>
    <w:rsid w:val="00ED4113"/>
    <w:rsid w:val="00ED4121"/>
    <w:rsid w:val="00ED705A"/>
    <w:rsid w:val="00ED7203"/>
    <w:rsid w:val="00EE0F73"/>
    <w:rsid w:val="00EE1299"/>
    <w:rsid w:val="00EE1700"/>
    <w:rsid w:val="00EE227F"/>
    <w:rsid w:val="00EE2F7F"/>
    <w:rsid w:val="00EE47E5"/>
    <w:rsid w:val="00EE61FE"/>
    <w:rsid w:val="00EE6DFC"/>
    <w:rsid w:val="00EF0A55"/>
    <w:rsid w:val="00EF2D7E"/>
    <w:rsid w:val="00EF303D"/>
    <w:rsid w:val="00EF3E4E"/>
    <w:rsid w:val="00EF475E"/>
    <w:rsid w:val="00F0433E"/>
    <w:rsid w:val="00F06A78"/>
    <w:rsid w:val="00F06FC0"/>
    <w:rsid w:val="00F11F1D"/>
    <w:rsid w:val="00F1286B"/>
    <w:rsid w:val="00F13285"/>
    <w:rsid w:val="00F13963"/>
    <w:rsid w:val="00F13999"/>
    <w:rsid w:val="00F13BAB"/>
    <w:rsid w:val="00F1403C"/>
    <w:rsid w:val="00F15A80"/>
    <w:rsid w:val="00F20ED4"/>
    <w:rsid w:val="00F2129A"/>
    <w:rsid w:val="00F2260E"/>
    <w:rsid w:val="00F22C9F"/>
    <w:rsid w:val="00F25338"/>
    <w:rsid w:val="00F272A1"/>
    <w:rsid w:val="00F27F44"/>
    <w:rsid w:val="00F30148"/>
    <w:rsid w:val="00F32EB2"/>
    <w:rsid w:val="00F33824"/>
    <w:rsid w:val="00F34C94"/>
    <w:rsid w:val="00F35823"/>
    <w:rsid w:val="00F415E7"/>
    <w:rsid w:val="00F43485"/>
    <w:rsid w:val="00F440CF"/>
    <w:rsid w:val="00F44562"/>
    <w:rsid w:val="00F4628E"/>
    <w:rsid w:val="00F47E8C"/>
    <w:rsid w:val="00F50E48"/>
    <w:rsid w:val="00F51544"/>
    <w:rsid w:val="00F524FE"/>
    <w:rsid w:val="00F5262B"/>
    <w:rsid w:val="00F528D3"/>
    <w:rsid w:val="00F52F1C"/>
    <w:rsid w:val="00F542D1"/>
    <w:rsid w:val="00F574DD"/>
    <w:rsid w:val="00F57D27"/>
    <w:rsid w:val="00F60907"/>
    <w:rsid w:val="00F633E9"/>
    <w:rsid w:val="00F63BAD"/>
    <w:rsid w:val="00F647BA"/>
    <w:rsid w:val="00F64C0B"/>
    <w:rsid w:val="00F65136"/>
    <w:rsid w:val="00F66D91"/>
    <w:rsid w:val="00F67A52"/>
    <w:rsid w:val="00F67D2B"/>
    <w:rsid w:val="00F708B2"/>
    <w:rsid w:val="00F7298E"/>
    <w:rsid w:val="00F74CBB"/>
    <w:rsid w:val="00F74D37"/>
    <w:rsid w:val="00F75C2F"/>
    <w:rsid w:val="00F77DF7"/>
    <w:rsid w:val="00F8222A"/>
    <w:rsid w:val="00F84435"/>
    <w:rsid w:val="00F848C5"/>
    <w:rsid w:val="00F84B55"/>
    <w:rsid w:val="00F85DBF"/>
    <w:rsid w:val="00F87B00"/>
    <w:rsid w:val="00F87F1A"/>
    <w:rsid w:val="00F90DB7"/>
    <w:rsid w:val="00F913BD"/>
    <w:rsid w:val="00F927EF"/>
    <w:rsid w:val="00F94F04"/>
    <w:rsid w:val="00F95278"/>
    <w:rsid w:val="00F9534F"/>
    <w:rsid w:val="00F95FF6"/>
    <w:rsid w:val="00FA0E11"/>
    <w:rsid w:val="00FA1331"/>
    <w:rsid w:val="00FA20C5"/>
    <w:rsid w:val="00FA4540"/>
    <w:rsid w:val="00FA4A8B"/>
    <w:rsid w:val="00FA5FF8"/>
    <w:rsid w:val="00FA6503"/>
    <w:rsid w:val="00FA7884"/>
    <w:rsid w:val="00FB0185"/>
    <w:rsid w:val="00FB2163"/>
    <w:rsid w:val="00FB24DA"/>
    <w:rsid w:val="00FB27EB"/>
    <w:rsid w:val="00FB3A95"/>
    <w:rsid w:val="00FB60CC"/>
    <w:rsid w:val="00FB6B6E"/>
    <w:rsid w:val="00FB72B9"/>
    <w:rsid w:val="00FB7B1C"/>
    <w:rsid w:val="00FB7F4F"/>
    <w:rsid w:val="00FC0DF4"/>
    <w:rsid w:val="00FC1F16"/>
    <w:rsid w:val="00FC1F37"/>
    <w:rsid w:val="00FC34D3"/>
    <w:rsid w:val="00FC6337"/>
    <w:rsid w:val="00FD08AE"/>
    <w:rsid w:val="00FD2D65"/>
    <w:rsid w:val="00FD520D"/>
    <w:rsid w:val="00FD5CD1"/>
    <w:rsid w:val="00FD5FFF"/>
    <w:rsid w:val="00FD74C1"/>
    <w:rsid w:val="00FE13D9"/>
    <w:rsid w:val="00FE1AF1"/>
    <w:rsid w:val="00FE2BF6"/>
    <w:rsid w:val="00FE5F6E"/>
    <w:rsid w:val="00FE67A8"/>
    <w:rsid w:val="00FE792D"/>
    <w:rsid w:val="00FF0A41"/>
    <w:rsid w:val="00FF37D3"/>
    <w:rsid w:val="00FF4EDE"/>
    <w:rsid w:val="02BB3DA4"/>
    <w:rsid w:val="04E2234D"/>
    <w:rsid w:val="07CA2C23"/>
    <w:rsid w:val="0832074C"/>
    <w:rsid w:val="083E0C05"/>
    <w:rsid w:val="08850B36"/>
    <w:rsid w:val="0B954FDC"/>
    <w:rsid w:val="0FBA6717"/>
    <w:rsid w:val="10B263DB"/>
    <w:rsid w:val="11831EB8"/>
    <w:rsid w:val="140D77F3"/>
    <w:rsid w:val="1E507069"/>
    <w:rsid w:val="1E590855"/>
    <w:rsid w:val="214A0057"/>
    <w:rsid w:val="22AD5ADF"/>
    <w:rsid w:val="22BD713C"/>
    <w:rsid w:val="2D71724B"/>
    <w:rsid w:val="2DB06F88"/>
    <w:rsid w:val="2FDF0910"/>
    <w:rsid w:val="3192613D"/>
    <w:rsid w:val="3393479E"/>
    <w:rsid w:val="34664A3C"/>
    <w:rsid w:val="393E3D03"/>
    <w:rsid w:val="3F5E11DE"/>
    <w:rsid w:val="402E10BB"/>
    <w:rsid w:val="4128082E"/>
    <w:rsid w:val="41362881"/>
    <w:rsid w:val="435D0435"/>
    <w:rsid w:val="457E0C81"/>
    <w:rsid w:val="48D969AD"/>
    <w:rsid w:val="512B5A50"/>
    <w:rsid w:val="52CC4DFD"/>
    <w:rsid w:val="550F5CAE"/>
    <w:rsid w:val="59AB13F5"/>
    <w:rsid w:val="5BDF7484"/>
    <w:rsid w:val="5CF65CAF"/>
    <w:rsid w:val="60745059"/>
    <w:rsid w:val="60A47BAC"/>
    <w:rsid w:val="655D7E7A"/>
    <w:rsid w:val="66A92AA5"/>
    <w:rsid w:val="66D8678F"/>
    <w:rsid w:val="68835B5F"/>
    <w:rsid w:val="6CC62524"/>
    <w:rsid w:val="6D943E1C"/>
    <w:rsid w:val="6EDC302F"/>
    <w:rsid w:val="72FF56C5"/>
    <w:rsid w:val="75924CF1"/>
    <w:rsid w:val="76624E04"/>
    <w:rsid w:val="771A7254"/>
    <w:rsid w:val="784F1833"/>
    <w:rsid w:val="79E74F0E"/>
    <w:rsid w:val="7B0D4F30"/>
    <w:rsid w:val="7B1B137E"/>
    <w:rsid w:val="7BC42389"/>
    <w:rsid w:val="7DC32960"/>
    <w:rsid w:val="7FF633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99" w:semiHidden="0" w:name="Normal Indent"/>
    <w:lsdException w:uiPriority="0"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99"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5"/>
    <w:qFormat/>
    <w:uiPriority w:val="0"/>
    <w:pPr>
      <w:keepNext/>
      <w:keepLines/>
      <w:spacing w:before="340" w:after="330" w:line="578" w:lineRule="auto"/>
      <w:outlineLvl w:val="0"/>
    </w:pPr>
    <w:rPr>
      <w:b/>
      <w:bCs/>
      <w:kern w:val="44"/>
      <w:sz w:val="44"/>
      <w:szCs w:val="44"/>
    </w:rPr>
  </w:style>
  <w:style w:type="paragraph" w:styleId="3">
    <w:name w:val="heading 2"/>
    <w:basedOn w:val="1"/>
    <w:next w:val="4"/>
    <w:qFormat/>
    <w:uiPriority w:val="0"/>
    <w:pPr>
      <w:keepNext/>
      <w:keepLines/>
      <w:spacing w:before="260" w:after="260" w:line="416" w:lineRule="auto"/>
      <w:outlineLvl w:val="1"/>
    </w:pPr>
    <w:rPr>
      <w:rFonts w:ascii="Arial" w:hAnsi="Arial" w:eastAsia="黑体"/>
      <w:b/>
      <w:sz w:val="32"/>
      <w:szCs w:val="20"/>
    </w:rPr>
  </w:style>
  <w:style w:type="character" w:default="1" w:styleId="27">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99"/>
    <w:pPr>
      <w:ind w:firstLine="420" w:firstLineChars="200"/>
    </w:pPr>
  </w:style>
  <w:style w:type="paragraph" w:styleId="5">
    <w:name w:val="toc 7"/>
    <w:basedOn w:val="1"/>
    <w:next w:val="1"/>
    <w:semiHidden/>
    <w:qFormat/>
    <w:uiPriority w:val="0"/>
    <w:pPr>
      <w:ind w:left="2520" w:leftChars="1200"/>
    </w:pPr>
  </w:style>
  <w:style w:type="paragraph" w:styleId="6">
    <w:name w:val="Document Map"/>
    <w:basedOn w:val="1"/>
    <w:semiHidden/>
    <w:qFormat/>
    <w:uiPriority w:val="0"/>
    <w:pPr>
      <w:shd w:val="clear" w:color="auto" w:fill="000080"/>
    </w:pPr>
  </w:style>
  <w:style w:type="paragraph" w:styleId="7">
    <w:name w:val="annotation text"/>
    <w:basedOn w:val="1"/>
    <w:link w:val="40"/>
    <w:semiHidden/>
    <w:qFormat/>
    <w:uiPriority w:val="0"/>
    <w:pPr>
      <w:jc w:val="left"/>
    </w:pPr>
  </w:style>
  <w:style w:type="paragraph" w:styleId="8">
    <w:name w:val="Body Text"/>
    <w:basedOn w:val="1"/>
    <w:qFormat/>
    <w:uiPriority w:val="0"/>
    <w:pPr>
      <w:spacing w:line="360" w:lineRule="auto"/>
    </w:pPr>
    <w:rPr>
      <w:rFonts w:ascii="仿宋_GB2312" w:eastAsia="仿宋_GB2312"/>
      <w:color w:val="000000"/>
      <w:kern w:val="0"/>
      <w:sz w:val="24"/>
      <w:szCs w:val="28"/>
    </w:rPr>
  </w:style>
  <w:style w:type="paragraph" w:styleId="9">
    <w:name w:val="Body Text Indent"/>
    <w:basedOn w:val="1"/>
    <w:qFormat/>
    <w:uiPriority w:val="0"/>
    <w:pPr>
      <w:adjustRightInd w:val="0"/>
      <w:snapToGrid w:val="0"/>
      <w:spacing w:line="560" w:lineRule="exact"/>
      <w:ind w:firstLine="480" w:firstLineChars="200"/>
    </w:pPr>
    <w:rPr>
      <w:rFonts w:eastAsia="方正仿宋简体"/>
      <w:sz w:val="24"/>
      <w:szCs w:val="30"/>
    </w:rPr>
  </w:style>
  <w:style w:type="paragraph" w:styleId="10">
    <w:name w:val="toc 5"/>
    <w:basedOn w:val="1"/>
    <w:next w:val="1"/>
    <w:semiHidden/>
    <w:qFormat/>
    <w:uiPriority w:val="0"/>
    <w:pPr>
      <w:ind w:left="1680" w:leftChars="800"/>
    </w:pPr>
  </w:style>
  <w:style w:type="paragraph" w:styleId="11">
    <w:name w:val="toc 3"/>
    <w:basedOn w:val="1"/>
    <w:next w:val="1"/>
    <w:semiHidden/>
    <w:qFormat/>
    <w:uiPriority w:val="0"/>
    <w:pPr>
      <w:ind w:left="840" w:leftChars="400"/>
    </w:pPr>
  </w:style>
  <w:style w:type="paragraph" w:styleId="12">
    <w:name w:val="toc 8"/>
    <w:basedOn w:val="1"/>
    <w:next w:val="1"/>
    <w:semiHidden/>
    <w:qFormat/>
    <w:uiPriority w:val="0"/>
    <w:pPr>
      <w:ind w:left="2940" w:leftChars="1400"/>
    </w:pPr>
  </w:style>
  <w:style w:type="paragraph" w:styleId="13">
    <w:name w:val="Body Text Indent 2"/>
    <w:basedOn w:val="1"/>
    <w:qFormat/>
    <w:uiPriority w:val="0"/>
    <w:pPr>
      <w:spacing w:line="360" w:lineRule="auto"/>
      <w:ind w:firstLine="525"/>
    </w:pPr>
    <w:rPr>
      <w:rFonts w:ascii="宋体" w:hAnsi="宋体"/>
      <w:sz w:val="28"/>
      <w:szCs w:val="20"/>
    </w:rPr>
  </w:style>
  <w:style w:type="paragraph" w:styleId="14">
    <w:name w:val="Balloon Text"/>
    <w:basedOn w:val="1"/>
    <w:semiHidden/>
    <w:qFormat/>
    <w:uiPriority w:val="0"/>
    <w:rPr>
      <w:sz w:val="18"/>
      <w:szCs w:val="18"/>
    </w:rPr>
  </w:style>
  <w:style w:type="paragraph" w:styleId="15">
    <w:name w:val="footer"/>
    <w:basedOn w:val="1"/>
    <w:link w:val="43"/>
    <w:qFormat/>
    <w:uiPriority w:val="99"/>
    <w:pPr>
      <w:tabs>
        <w:tab w:val="center" w:pos="4153"/>
        <w:tab w:val="right" w:pos="8306"/>
      </w:tabs>
      <w:snapToGrid w:val="0"/>
      <w:jc w:val="left"/>
    </w:pPr>
    <w:rPr>
      <w:sz w:val="18"/>
      <w:szCs w:val="18"/>
    </w:rPr>
  </w:style>
  <w:style w:type="paragraph" w:styleId="16">
    <w:name w:val="header"/>
    <w:basedOn w:val="1"/>
    <w:link w:val="44"/>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style>
  <w:style w:type="paragraph" w:styleId="18">
    <w:name w:val="toc 4"/>
    <w:basedOn w:val="1"/>
    <w:next w:val="1"/>
    <w:semiHidden/>
    <w:qFormat/>
    <w:uiPriority w:val="0"/>
    <w:pPr>
      <w:ind w:left="1260" w:leftChars="600"/>
    </w:pPr>
  </w:style>
  <w:style w:type="paragraph" w:styleId="19">
    <w:name w:val="toc 6"/>
    <w:basedOn w:val="1"/>
    <w:next w:val="1"/>
    <w:semiHidden/>
    <w:qFormat/>
    <w:uiPriority w:val="0"/>
    <w:pPr>
      <w:ind w:left="2100" w:leftChars="1000"/>
    </w:pPr>
  </w:style>
  <w:style w:type="paragraph" w:styleId="20">
    <w:name w:val="Body Text Indent 3"/>
    <w:basedOn w:val="1"/>
    <w:qFormat/>
    <w:uiPriority w:val="0"/>
    <w:pPr>
      <w:adjustRightInd w:val="0"/>
      <w:snapToGrid w:val="0"/>
      <w:ind w:firstLine="480" w:firstLineChars="200"/>
    </w:pPr>
    <w:rPr>
      <w:rFonts w:ascii="仿宋_GB2312" w:hAnsi="宋体" w:eastAsia="仿宋_GB2312" w:cs="Arial"/>
      <w:color w:val="000000"/>
      <w:sz w:val="24"/>
    </w:rPr>
  </w:style>
  <w:style w:type="paragraph" w:styleId="21">
    <w:name w:val="toc 2"/>
    <w:basedOn w:val="1"/>
    <w:next w:val="1"/>
    <w:qFormat/>
    <w:uiPriority w:val="39"/>
    <w:pPr>
      <w:ind w:left="420" w:leftChars="200"/>
    </w:pPr>
  </w:style>
  <w:style w:type="paragraph" w:styleId="22">
    <w:name w:val="toc 9"/>
    <w:basedOn w:val="1"/>
    <w:next w:val="1"/>
    <w:semiHidden/>
    <w:qFormat/>
    <w:uiPriority w:val="0"/>
    <w:pPr>
      <w:ind w:left="3360" w:leftChars="1600"/>
    </w:pPr>
  </w:style>
  <w:style w:type="paragraph" w:styleId="23">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24">
    <w:name w:val="Title"/>
    <w:basedOn w:val="1"/>
    <w:link w:val="42"/>
    <w:qFormat/>
    <w:uiPriority w:val="0"/>
    <w:pPr>
      <w:spacing w:before="240" w:after="60"/>
      <w:jc w:val="center"/>
      <w:outlineLvl w:val="0"/>
    </w:pPr>
    <w:rPr>
      <w:rFonts w:ascii="Arial" w:hAnsi="Arial"/>
      <w:b/>
      <w:bCs/>
      <w:sz w:val="32"/>
      <w:szCs w:val="32"/>
    </w:rPr>
  </w:style>
  <w:style w:type="paragraph" w:styleId="25">
    <w:name w:val="annotation subject"/>
    <w:basedOn w:val="7"/>
    <w:next w:val="7"/>
    <w:semiHidden/>
    <w:qFormat/>
    <w:uiPriority w:val="0"/>
    <w:rPr>
      <w:b/>
      <w:bCs/>
    </w:rPr>
  </w:style>
  <w:style w:type="character" w:styleId="28">
    <w:name w:val="Strong"/>
    <w:qFormat/>
    <w:uiPriority w:val="22"/>
    <w:rPr>
      <w:b/>
      <w:bCs/>
    </w:rPr>
  </w:style>
  <w:style w:type="character" w:styleId="29">
    <w:name w:val="page number"/>
    <w:basedOn w:val="27"/>
    <w:qFormat/>
    <w:uiPriority w:val="0"/>
  </w:style>
  <w:style w:type="character" w:styleId="30">
    <w:name w:val="FollowedHyperlink"/>
    <w:qFormat/>
    <w:uiPriority w:val="0"/>
    <w:rPr>
      <w:color w:val="800080"/>
      <w:u w:val="single"/>
    </w:rPr>
  </w:style>
  <w:style w:type="character" w:styleId="31">
    <w:name w:val="Hyperlink"/>
    <w:qFormat/>
    <w:uiPriority w:val="99"/>
    <w:rPr>
      <w:color w:val="0000FF"/>
      <w:u w:val="single"/>
    </w:rPr>
  </w:style>
  <w:style w:type="character" w:styleId="32">
    <w:name w:val="annotation reference"/>
    <w:semiHidden/>
    <w:qFormat/>
    <w:uiPriority w:val="99"/>
    <w:rPr>
      <w:sz w:val="21"/>
      <w:szCs w:val="21"/>
    </w:rPr>
  </w:style>
  <w:style w:type="paragraph" w:customStyle="1" w:styleId="33">
    <w:name w:val="wz1"/>
    <w:basedOn w:val="1"/>
    <w:qFormat/>
    <w:uiPriority w:val="0"/>
    <w:pPr>
      <w:widowControl/>
      <w:spacing w:before="100" w:beforeAutospacing="1" w:after="100" w:afterAutospacing="1" w:line="245" w:lineRule="atLeast"/>
      <w:jc w:val="left"/>
    </w:pPr>
    <w:rPr>
      <w:rFonts w:ascii="Arial Unicode MS" w:hAnsi="Arial Unicode MS" w:eastAsia="Arial Unicode MS" w:cs="Arial Unicode MS"/>
      <w:color w:val="CC0000"/>
      <w:kern w:val="0"/>
      <w:sz w:val="22"/>
      <w:szCs w:val="22"/>
    </w:rPr>
  </w:style>
  <w:style w:type="character" w:customStyle="1" w:styleId="34">
    <w:name w:val="read"/>
    <w:basedOn w:val="27"/>
    <w:qFormat/>
    <w:uiPriority w:val="0"/>
  </w:style>
  <w:style w:type="paragraph" w:customStyle="1" w:styleId="35">
    <w:name w:val="Char"/>
    <w:basedOn w:val="1"/>
    <w:qFormat/>
    <w:uiPriority w:val="0"/>
  </w:style>
  <w:style w:type="paragraph" w:customStyle="1" w:styleId="36">
    <w:name w:val="Char1"/>
    <w:basedOn w:val="1"/>
    <w:qFormat/>
    <w:uiPriority w:val="0"/>
    <w:pPr>
      <w:tabs>
        <w:tab w:val="left" w:pos="832"/>
      </w:tabs>
      <w:ind w:left="832" w:hanging="420"/>
      <w:jc w:val="center"/>
    </w:pPr>
    <w:rPr>
      <w:rFonts w:ascii="楷体_GB2312" w:eastAsia="楷体_GB2312"/>
      <w:b/>
      <w:color w:val="000080"/>
      <w:sz w:val="30"/>
      <w:szCs w:val="30"/>
    </w:rPr>
  </w:style>
  <w:style w:type="paragraph" w:customStyle="1" w:styleId="37">
    <w:name w:val="Char2"/>
    <w:basedOn w:val="1"/>
    <w:qFormat/>
    <w:uiPriority w:val="0"/>
  </w:style>
  <w:style w:type="paragraph" w:customStyle="1" w:styleId="38">
    <w:name w:val="Char Char Char Char Char Char Char"/>
    <w:basedOn w:val="1"/>
    <w:qFormat/>
    <w:uiPriority w:val="0"/>
  </w:style>
  <w:style w:type="paragraph" w:customStyle="1" w:styleId="39">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character" w:customStyle="1" w:styleId="40">
    <w:name w:val="批注文字 Char"/>
    <w:link w:val="7"/>
    <w:qFormat/>
    <w:uiPriority w:val="0"/>
    <w:rPr>
      <w:rFonts w:eastAsia="宋体"/>
      <w:kern w:val="2"/>
      <w:sz w:val="21"/>
      <w:szCs w:val="24"/>
      <w:lang w:val="en-US" w:eastAsia="zh-CN" w:bidi="ar-SA"/>
    </w:rPr>
  </w:style>
  <w:style w:type="paragraph" w:customStyle="1" w:styleId="41">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42">
    <w:name w:val="标题 Char"/>
    <w:link w:val="24"/>
    <w:qFormat/>
    <w:uiPriority w:val="0"/>
    <w:rPr>
      <w:rFonts w:ascii="Arial" w:hAnsi="Arial" w:cs="Arial"/>
      <w:b/>
      <w:bCs/>
      <w:kern w:val="2"/>
      <w:sz w:val="32"/>
      <w:szCs w:val="32"/>
    </w:rPr>
  </w:style>
  <w:style w:type="character" w:customStyle="1" w:styleId="43">
    <w:name w:val="页脚 Char"/>
    <w:link w:val="15"/>
    <w:qFormat/>
    <w:uiPriority w:val="99"/>
    <w:rPr>
      <w:kern w:val="2"/>
      <w:sz w:val="18"/>
      <w:szCs w:val="18"/>
    </w:rPr>
  </w:style>
  <w:style w:type="character" w:customStyle="1" w:styleId="44">
    <w:name w:val="页眉 Char"/>
    <w:link w:val="16"/>
    <w:qFormat/>
    <w:uiPriority w:val="99"/>
    <w:rPr>
      <w:kern w:val="2"/>
      <w:sz w:val="18"/>
      <w:szCs w:val="18"/>
    </w:rPr>
  </w:style>
  <w:style w:type="character" w:customStyle="1" w:styleId="45">
    <w:name w:val="标题 1 Char"/>
    <w:link w:val="2"/>
    <w:qFormat/>
    <w:uiPriority w:val="0"/>
    <w:rPr>
      <w:b/>
      <w:bCs/>
      <w:kern w:val="44"/>
      <w:sz w:val="44"/>
      <w:szCs w:val="44"/>
    </w:rPr>
  </w:style>
  <w:style w:type="paragraph" w:customStyle="1" w:styleId="46">
    <w:name w:val="Char3"/>
    <w:basedOn w:val="1"/>
    <w:qFormat/>
    <w:uiPriority w:val="0"/>
  </w:style>
  <w:style w:type="paragraph" w:customStyle="1" w:styleId="47">
    <w:name w:val="Char11"/>
    <w:basedOn w:val="1"/>
    <w:qFormat/>
    <w:uiPriority w:val="0"/>
    <w:pPr>
      <w:tabs>
        <w:tab w:val="left" w:pos="832"/>
      </w:tabs>
      <w:ind w:left="832" w:hanging="420"/>
      <w:jc w:val="center"/>
    </w:pPr>
    <w:rPr>
      <w:rFonts w:ascii="楷体_GB2312" w:eastAsia="楷体_GB2312"/>
      <w:b/>
      <w:color w:val="000080"/>
      <w:sz w:val="30"/>
      <w:szCs w:val="30"/>
    </w:rPr>
  </w:style>
  <w:style w:type="paragraph" w:customStyle="1" w:styleId="48">
    <w:name w:val="Char Char Char Char Char Char Char1"/>
    <w:basedOn w:val="1"/>
    <w:qFormat/>
    <w:uiPriority w:val="0"/>
  </w:style>
  <w:style w:type="paragraph" w:customStyle="1" w:styleId="49">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50">
    <w:name w:val="修订3"/>
    <w:hidden/>
    <w:semiHidden/>
    <w:qFormat/>
    <w:uiPriority w:val="99"/>
    <w:rPr>
      <w:rFonts w:ascii="Times New Roman" w:hAnsi="Times New Roman" w:eastAsia="宋体" w:cs="Times New Roman"/>
      <w:kern w:val="2"/>
      <w:sz w:val="21"/>
      <w:szCs w:val="24"/>
      <w:lang w:val="en-US" w:eastAsia="zh-CN" w:bidi="ar-SA"/>
    </w:rPr>
  </w:style>
  <w:style w:type="paragraph" w:customStyle="1" w:styleId="51">
    <w:name w:val="修订4"/>
    <w:hidden/>
    <w:semiHidden/>
    <w:qFormat/>
    <w:uiPriority w:val="99"/>
    <w:rPr>
      <w:rFonts w:ascii="Times New Roman" w:hAnsi="Times New Roman" w:eastAsia="宋体" w:cs="Times New Roman"/>
      <w:kern w:val="2"/>
      <w:sz w:val="21"/>
      <w:szCs w:val="24"/>
      <w:lang w:val="en-US" w:eastAsia="zh-CN" w:bidi="ar-SA"/>
    </w:rPr>
  </w:style>
  <w:style w:type="paragraph" w:customStyle="1" w:styleId="52">
    <w:name w:val="修订5"/>
    <w:hidden/>
    <w:semiHidden/>
    <w:qFormat/>
    <w:uiPriority w:val="99"/>
    <w:rPr>
      <w:rFonts w:ascii="Times New Roman" w:hAnsi="Times New Roman" w:eastAsia="宋体" w:cs="Times New Roman"/>
      <w:kern w:val="2"/>
      <w:sz w:val="21"/>
      <w:szCs w:val="24"/>
      <w:lang w:val="en-US" w:eastAsia="zh-CN" w:bidi="ar-SA"/>
    </w:rPr>
  </w:style>
  <w:style w:type="paragraph" w:customStyle="1" w:styleId="53">
    <w:name w:val="修订6"/>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5" Type="http://schemas.openxmlformats.org/officeDocument/2006/relationships/fontTable" Target="fontTable.xml"/><Relationship Id="rId54" Type="http://schemas.openxmlformats.org/officeDocument/2006/relationships/customXml" Target="../customXml/item24.xml"/><Relationship Id="rId53" Type="http://schemas.openxmlformats.org/officeDocument/2006/relationships/customXml" Target="../customXml/item23.xml"/><Relationship Id="rId52" Type="http://schemas.openxmlformats.org/officeDocument/2006/relationships/customXml" Target="../customXml/item22.xml"/><Relationship Id="rId51" Type="http://schemas.openxmlformats.org/officeDocument/2006/relationships/customXml" Target="../customXml/item21.xml"/><Relationship Id="rId50" Type="http://schemas.openxmlformats.org/officeDocument/2006/relationships/customXml" Target="../customXml/item20.xml"/><Relationship Id="rId5" Type="http://schemas.openxmlformats.org/officeDocument/2006/relationships/footer" Target="footer2.xml"/><Relationship Id="rId49" Type="http://schemas.openxmlformats.org/officeDocument/2006/relationships/customXml" Target="../customXml/item19.xml"/><Relationship Id="rId48" Type="http://schemas.openxmlformats.org/officeDocument/2006/relationships/customXml" Target="../customXml/item18.xml"/><Relationship Id="rId47" Type="http://schemas.openxmlformats.org/officeDocument/2006/relationships/customXml" Target="../customXml/item17.xml"/><Relationship Id="rId46" Type="http://schemas.openxmlformats.org/officeDocument/2006/relationships/customXml" Target="../customXml/item16.xml"/><Relationship Id="rId45" Type="http://schemas.openxmlformats.org/officeDocument/2006/relationships/customXml" Target="../customXml/item15.xml"/><Relationship Id="rId44" Type="http://schemas.openxmlformats.org/officeDocument/2006/relationships/customXml" Target="../customXml/item14.xml"/><Relationship Id="rId43" Type="http://schemas.openxmlformats.org/officeDocument/2006/relationships/customXml" Target="../customXml/item13.xml"/><Relationship Id="rId42" Type="http://schemas.openxmlformats.org/officeDocument/2006/relationships/customXml" Target="../customXml/item12.xml"/><Relationship Id="rId41" Type="http://schemas.openxmlformats.org/officeDocument/2006/relationships/customXml" Target="../customXml/item11.xml"/><Relationship Id="rId40" Type="http://schemas.openxmlformats.org/officeDocument/2006/relationships/customXml" Target="../customXml/item10.xml"/><Relationship Id="rId4" Type="http://schemas.openxmlformats.org/officeDocument/2006/relationships/header" Target="header1.xml"/><Relationship Id="rId39" Type="http://schemas.openxmlformats.org/officeDocument/2006/relationships/customXml" Target="../customXml/item9.xml"/><Relationship Id="rId38" Type="http://schemas.openxmlformats.org/officeDocument/2006/relationships/customXml" Target="../customXml/item8.xml"/><Relationship Id="rId37" Type="http://schemas.openxmlformats.org/officeDocument/2006/relationships/customXml" Target="../customXml/item7.xml"/><Relationship Id="rId36" Type="http://schemas.openxmlformats.org/officeDocument/2006/relationships/customXml" Target="../customXml/item6.xml"/><Relationship Id="rId35" Type="http://schemas.openxmlformats.org/officeDocument/2006/relationships/customXml" Target="../customXml/item5.xml"/><Relationship Id="rId34" Type="http://schemas.openxmlformats.org/officeDocument/2006/relationships/customXml" Target="../customXml/item4.xml"/><Relationship Id="rId33" Type="http://schemas.openxmlformats.org/officeDocument/2006/relationships/customXml" Target="../customXml/item3.xml"/><Relationship Id="rId32" Type="http://schemas.openxmlformats.org/officeDocument/2006/relationships/customXml" Target="../customXml/item2.xml"/><Relationship Id="rId31" Type="http://schemas.openxmlformats.org/officeDocument/2006/relationships/customXml" Target="../customXml/item1.xml"/><Relationship Id="rId30" Type="http://schemas.openxmlformats.org/officeDocument/2006/relationships/theme" Target="theme/theme1.xml"/><Relationship Id="rId3" Type="http://schemas.openxmlformats.org/officeDocument/2006/relationships/footer" Target="footer1.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10.xml><?xml version="1.0" encoding="utf-8"?>
<b:Sources xmlns:b="http://schemas.openxmlformats.org/officeDocument/2006/bibliography" xmlns="http://schemas.openxmlformats.org/officeDocument/2006/bibliography" SelectedStyle="\APA.XSL" StyleName="APA"/>
</file>

<file path=customXml/item11.xml><?xml version="1.0" encoding="utf-8"?>
<b:Sources xmlns:b="http://schemas.openxmlformats.org/officeDocument/2006/bibliography" xmlns="http://schemas.openxmlformats.org/officeDocument/2006/bibliography" SelectedStyle="\APA.XSL" StyleName="APA"/>
</file>

<file path=customXml/item12.xml><?xml version="1.0" encoding="utf-8"?>
<b:Sources xmlns:b="http://schemas.openxmlformats.org/officeDocument/2006/bibliography" xmlns="http://schemas.openxmlformats.org/officeDocument/2006/bibliography" SelectedStyle="\APA.XSL" StyleName="APA"/>
</file>

<file path=customXml/item13.xml><?xml version="1.0" encoding="utf-8"?>
<b:Sources xmlns:b="http://schemas.openxmlformats.org/officeDocument/2006/bibliography" xmlns="http://schemas.openxmlformats.org/officeDocument/2006/bibliography" SelectedStyle="\APA.XSL" StyleName="APA"/>
</file>

<file path=customXml/item14.xml><?xml version="1.0" encoding="utf-8"?>
<b:Sources xmlns:b="http://schemas.openxmlformats.org/officeDocument/2006/bibliography" xmlns="http://schemas.openxmlformats.org/officeDocument/2006/bibliography" SelectedStyle="\APA.XSL" StyleName="APA"/>
</file>

<file path=customXml/item15.xml><?xml version="1.0" encoding="utf-8"?>
<b:Sources xmlns:b="http://schemas.openxmlformats.org/officeDocument/2006/bibliography" xmlns="http://schemas.openxmlformats.org/officeDocument/2006/bibliography" SelectedStyle="\APA.XSL" StyleName="APA"/>
</file>

<file path=customXml/item16.xml><?xml version="1.0" encoding="utf-8"?>
<b:Sources xmlns:b="http://schemas.openxmlformats.org/officeDocument/2006/bibliography" xmlns="http://schemas.openxmlformats.org/officeDocument/2006/bibliography" SelectedStyle="\APA.XSL" StyleName="APA"/>
</file>

<file path=customXml/item17.xml><?xml version="1.0" encoding="utf-8"?>
<b:Sources xmlns:b="http://schemas.openxmlformats.org/officeDocument/2006/bibliography" xmlns="http://schemas.openxmlformats.org/officeDocument/2006/bibliography" SelectedStyle="\APA.XSL" StyleName="APA"/>
</file>

<file path=customXml/item18.xml><?xml version="1.0" encoding="utf-8"?>
<b:Sources xmlns:b="http://schemas.openxmlformats.org/officeDocument/2006/bibliography" xmlns="http://schemas.openxmlformats.org/officeDocument/2006/bibliography" SelectedStyle="\APA.XSL" StyleName="APA"/>
</file>

<file path=customXml/item19.xml><?xml version="1.0" encoding="utf-8"?>
<b:Sources xmlns:b="http://schemas.openxmlformats.org/officeDocument/2006/bibliography" xmlns="http://schemas.openxmlformats.org/officeDocument/2006/bibliography" SelectedStyle="\APA.XSL" StyleName="APA"/>
</file>

<file path=customXml/item20.xml><?xml version="1.0" encoding="utf-8"?>
<b:Sources xmlns:b="http://schemas.openxmlformats.org/officeDocument/2006/bibliography" xmlns="http://schemas.openxmlformats.org/officeDocument/2006/bibliography" SelectedStyle="\APA.XSL" StyleName="APA"/>
</file>

<file path=customXml/item21.xml><?xml version="1.0" encoding="utf-8"?>
<b:Sources xmlns:b="http://schemas.openxmlformats.org/officeDocument/2006/bibliography" xmlns="http://schemas.openxmlformats.org/officeDocument/2006/bibliography" SelectedStyle="\APA.XSL" StyleName="APA"/>
</file>

<file path=customXml/item22.xml><?xml version="1.0" encoding="utf-8"?>
<b:Sources xmlns:b="http://schemas.openxmlformats.org/officeDocument/2006/bibliography" xmlns="http://schemas.openxmlformats.org/officeDocument/2006/bibliography" SelectedStyle="\APA.XSL" StyleName="APA"/>
</file>

<file path=customXml/item23.xml><?xml version="1.0" encoding="utf-8"?>
<b:Sources xmlns:b="http://schemas.openxmlformats.org/officeDocument/2006/bibliography" xmlns="http://schemas.openxmlformats.org/officeDocument/2006/bibliography" SelectedStyle="\APA.XSL" StyleName="APA"/>
</file>

<file path=customXml/item2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185307-9122-497D-A791-BD07D1EFBFBA}">
  <ds:schemaRefs/>
</ds:datastoreItem>
</file>

<file path=customXml/itemProps2.xml><?xml version="1.0" encoding="utf-8"?>
<ds:datastoreItem xmlns:ds="http://schemas.openxmlformats.org/officeDocument/2006/customXml" ds:itemID="{1BCE9F4C-09F6-490D-BDA4-5E66BB617F8A}">
  <ds:schemaRefs/>
</ds:datastoreItem>
</file>

<file path=customXml/itemProps3.xml><?xml version="1.0" encoding="utf-8"?>
<ds:datastoreItem xmlns:ds="http://schemas.openxmlformats.org/officeDocument/2006/customXml" ds:itemID="{5A8438C7-BA5C-4F19-84A4-D619985CBA8C}">
  <ds:schemaRefs/>
</ds:datastoreItem>
</file>

<file path=customXml/itemProps4.xml><?xml version="1.0" encoding="utf-8"?>
<ds:datastoreItem xmlns:ds="http://schemas.openxmlformats.org/officeDocument/2006/customXml" ds:itemID="{7E6B6C22-037E-4040-8556-D083CE3098CA}">
  <ds:schemaRefs/>
</ds:datastoreItem>
</file>

<file path=customXml/itemProps5.xml><?xml version="1.0" encoding="utf-8"?>
<ds:datastoreItem xmlns:ds="http://schemas.openxmlformats.org/officeDocument/2006/customXml" ds:itemID="{4DF98D02-AFB3-4C0A-9E22-16743E2710DF}">
  <ds:schemaRefs/>
</ds:datastoreItem>
</file>

<file path=customXml/itemProps6.xml><?xml version="1.0" encoding="utf-8"?>
<ds:datastoreItem xmlns:ds="http://schemas.openxmlformats.org/officeDocument/2006/customXml" ds:itemID="{DAFD34EC-4693-43E4-AEA9-77D65E4D4D59}">
  <ds:schemaRefs/>
</ds:datastoreItem>
</file>

<file path=customXml/itemProps7.xml><?xml version="1.0" encoding="utf-8"?>
<ds:datastoreItem xmlns:ds="http://schemas.openxmlformats.org/officeDocument/2006/customXml" ds:itemID="{10DD9AF1-7791-4507-AFA5-2F0D3C2DEB71}">
  <ds:schemaRefs/>
</ds:datastoreItem>
</file>

<file path=customXml/itemProps8.xml><?xml version="1.0" encoding="utf-8"?>
<ds:datastoreItem xmlns:ds="http://schemas.openxmlformats.org/officeDocument/2006/customXml" ds:itemID="{CDF537C3-50EF-4D4C-9020-34CB55BF29F2}">
  <ds:schemaRefs/>
</ds:datastoreItem>
</file>

<file path=customXml/itemProps9.xml><?xml version="1.0" encoding="utf-8"?>
<ds:datastoreItem xmlns:ds="http://schemas.openxmlformats.org/officeDocument/2006/customXml" ds:itemID="{6A765820-1F6B-4E3A-9506-D4A38ABB32D7}">
  <ds:schemaRefs/>
</ds:datastoreItem>
</file>

<file path=customXml/itemProps10.xml><?xml version="1.0" encoding="utf-8"?>
<ds:datastoreItem xmlns:ds="http://schemas.openxmlformats.org/officeDocument/2006/customXml" ds:itemID="{344E395E-12D3-49FE-B0D9-35380454CAE7}">
  <ds:schemaRefs/>
</ds:datastoreItem>
</file>

<file path=customXml/itemProps11.xml><?xml version="1.0" encoding="utf-8"?>
<ds:datastoreItem xmlns:ds="http://schemas.openxmlformats.org/officeDocument/2006/customXml" ds:itemID="{66C0304A-075E-45D7-A987-36ECAC9BECD6}">
  <ds:schemaRefs/>
</ds:datastoreItem>
</file>

<file path=customXml/itemProps12.xml><?xml version="1.0" encoding="utf-8"?>
<ds:datastoreItem xmlns:ds="http://schemas.openxmlformats.org/officeDocument/2006/customXml" ds:itemID="{45EDDF8C-846C-4B09-AFB4-C6BE8B7885D2}">
  <ds:schemaRefs/>
</ds:datastoreItem>
</file>

<file path=customXml/itemProps13.xml><?xml version="1.0" encoding="utf-8"?>
<ds:datastoreItem xmlns:ds="http://schemas.openxmlformats.org/officeDocument/2006/customXml" ds:itemID="{7CB5C797-F0CB-452F-B078-2FD56A0B53D2}">
  <ds:schemaRefs/>
</ds:datastoreItem>
</file>

<file path=customXml/itemProps14.xml><?xml version="1.0" encoding="utf-8"?>
<ds:datastoreItem xmlns:ds="http://schemas.openxmlformats.org/officeDocument/2006/customXml" ds:itemID="{87B0F27A-29B2-45D8-B6EB-29A43228D304}">
  <ds:schemaRefs/>
</ds:datastoreItem>
</file>

<file path=customXml/itemProps15.xml><?xml version="1.0" encoding="utf-8"?>
<ds:datastoreItem xmlns:ds="http://schemas.openxmlformats.org/officeDocument/2006/customXml" ds:itemID="{7A338D7A-895D-4C48-B891-38595FACF0DA}">
  <ds:schemaRefs/>
</ds:datastoreItem>
</file>

<file path=customXml/itemProps16.xml><?xml version="1.0" encoding="utf-8"?>
<ds:datastoreItem xmlns:ds="http://schemas.openxmlformats.org/officeDocument/2006/customXml" ds:itemID="{8D223E98-D655-4AA3-9075-1562C4365638}">
  <ds:schemaRefs/>
</ds:datastoreItem>
</file>

<file path=customXml/itemProps17.xml><?xml version="1.0" encoding="utf-8"?>
<ds:datastoreItem xmlns:ds="http://schemas.openxmlformats.org/officeDocument/2006/customXml" ds:itemID="{EC51DE10-2442-4971-81BD-8DD316089C59}">
  <ds:schemaRefs/>
</ds:datastoreItem>
</file>

<file path=customXml/itemProps18.xml><?xml version="1.0" encoding="utf-8"?>
<ds:datastoreItem xmlns:ds="http://schemas.openxmlformats.org/officeDocument/2006/customXml" ds:itemID="{B6388C70-70C4-4AB5-B5CB-A61675711A5E}">
  <ds:schemaRefs/>
</ds:datastoreItem>
</file>

<file path=customXml/itemProps19.xml><?xml version="1.0" encoding="utf-8"?>
<ds:datastoreItem xmlns:ds="http://schemas.openxmlformats.org/officeDocument/2006/customXml" ds:itemID="{CF31228E-7B5F-48F9-96AD-2A3A8B441BC5}">
  <ds:schemaRefs/>
</ds:datastoreItem>
</file>

<file path=customXml/itemProps20.xml><?xml version="1.0" encoding="utf-8"?>
<ds:datastoreItem xmlns:ds="http://schemas.openxmlformats.org/officeDocument/2006/customXml" ds:itemID="{58A19EE9-C87B-4EBF-BFC2-CF7BACA90772}">
  <ds:schemaRefs/>
</ds:datastoreItem>
</file>

<file path=customXml/itemProps21.xml><?xml version="1.0" encoding="utf-8"?>
<ds:datastoreItem xmlns:ds="http://schemas.openxmlformats.org/officeDocument/2006/customXml" ds:itemID="{B74777D1-4B71-4586-95C8-5D73386AC1AD}">
  <ds:schemaRefs/>
</ds:datastoreItem>
</file>

<file path=customXml/itemProps22.xml><?xml version="1.0" encoding="utf-8"?>
<ds:datastoreItem xmlns:ds="http://schemas.openxmlformats.org/officeDocument/2006/customXml" ds:itemID="{92872A99-0620-45E5-A23C-62A1EC2350D1}">
  <ds:schemaRefs/>
</ds:datastoreItem>
</file>

<file path=customXml/itemProps23.xml><?xml version="1.0" encoding="utf-8"?>
<ds:datastoreItem xmlns:ds="http://schemas.openxmlformats.org/officeDocument/2006/customXml" ds:itemID="{FABFC10F-1C46-443F-9536-0D5F20202130}">
  <ds:schemaRefs/>
</ds:datastoreItem>
</file>

<file path=customXml/itemProps24.xml><?xml version="1.0" encoding="utf-8"?>
<ds:datastoreItem xmlns:ds="http://schemas.openxmlformats.org/officeDocument/2006/customXml" ds:itemID="{E4160981-6D73-48DB-98C9-3E286CD5AD5B}">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52</Pages>
  <Words>5953</Words>
  <Characters>33934</Characters>
  <Lines>282</Lines>
  <Paragraphs>79</Paragraphs>
  <TotalTime>1</TotalTime>
  <ScaleCrop>false</ScaleCrop>
  <LinksUpToDate>false</LinksUpToDate>
  <CharactersWithSpaces>39808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2023-07-27T06:38:00Z</dcterms:created>
  <dc:creator>资产托管部</dc:creator>
  <cp:lastModifiedBy>fuxj</cp:lastModifiedBy>
  <cp:lastPrinted>2020-10-16T05:10:00Z</cp:lastPrinted>
  <dcterms:modified xsi:type="dcterms:W3CDTF">2026-07-14T07:31:49Z</dcterms:modified>
  <dc:title>托管协议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ractId">
    <vt:lpwstr>0b885b7c4a164e0db299042cec4001b3</vt:lpwstr>
  </property>
  <property fmtid="{D5CDD505-2E9C-101B-9397-08002B2CF9AE}" pid="3" name="verificationId">
    <vt:lpwstr>b967b58c7e7efc48</vt:lpwstr>
  </property>
  <property fmtid="{D5CDD505-2E9C-101B-9397-08002B2CF9AE}" pid="4" name="KSOProductBuildVer">
    <vt:lpwstr>2052-12.8.2.19795</vt:lpwstr>
  </property>
  <property fmtid="{D5CDD505-2E9C-101B-9397-08002B2CF9AE}" pid="5" name="ICV">
    <vt:lpwstr>9F074A166D544C93BA27A07AB5CB803D_13</vt:lpwstr>
  </property>
</Properties>
</file>