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1A3F0D">
      <w:pPr>
        <w:ind w:left="210" w:leftChars="100"/>
        <w:jc w:val="center"/>
        <w:rPr>
          <w:rFonts w:asciiTheme="minorEastAsia" w:hAnsiTheme="minorEastAsia" w:eastAsiaTheme="minorEastAsia"/>
          <w:b/>
          <w:sz w:val="32"/>
        </w:rPr>
      </w:pPr>
      <w:bookmarkStart w:id="0" w:name="_Toc22454436"/>
      <w:bookmarkStart w:id="1" w:name="_Toc523829994"/>
      <w:bookmarkStart w:id="2" w:name="_Toc466788853"/>
      <w:bookmarkStart w:id="3" w:name="_Toc48703888"/>
      <w:bookmarkStart w:id="4" w:name="_Toc466788855"/>
      <w:bookmarkStart w:id="5" w:name="_Toc48703898"/>
      <w:bookmarkStart w:id="6" w:name="_Toc523829996"/>
      <w:bookmarkStart w:id="7" w:name="_Toc523829999"/>
      <w:bookmarkStart w:id="8" w:name="_Toc48703908"/>
      <w:bookmarkStart w:id="9" w:name="_Toc466788858"/>
      <w:bookmarkStart w:id="10" w:name="_Toc88373425"/>
    </w:p>
    <w:p w14:paraId="5B43E262">
      <w:pPr>
        <w:jc w:val="center"/>
        <w:rPr>
          <w:rFonts w:asciiTheme="minorEastAsia" w:hAnsiTheme="minorEastAsia" w:eastAsiaTheme="minorEastAsia"/>
          <w:b/>
          <w:sz w:val="32"/>
        </w:rPr>
      </w:pPr>
    </w:p>
    <w:p w14:paraId="7E954EA1">
      <w:pPr>
        <w:jc w:val="center"/>
        <w:rPr>
          <w:rFonts w:asciiTheme="minorEastAsia" w:hAnsiTheme="minorEastAsia" w:eastAsiaTheme="minorEastAsia"/>
          <w:b/>
          <w:sz w:val="32"/>
        </w:rPr>
      </w:pPr>
    </w:p>
    <w:p w14:paraId="0AB51CD1">
      <w:pPr>
        <w:jc w:val="center"/>
        <w:rPr>
          <w:rFonts w:asciiTheme="minorEastAsia" w:hAnsiTheme="minorEastAsia" w:eastAsiaTheme="minorEastAsia"/>
          <w:b/>
          <w:bCs/>
          <w:sz w:val="48"/>
        </w:rPr>
      </w:pPr>
      <w:r>
        <w:rPr>
          <w:rFonts w:hint="eastAsia" w:asciiTheme="minorEastAsia" w:hAnsiTheme="minorEastAsia" w:eastAsiaTheme="minorEastAsia"/>
          <w:b/>
          <w:bCs/>
          <w:sz w:val="48"/>
        </w:rPr>
        <w:t>博时基金管理有限公司</w:t>
      </w:r>
    </w:p>
    <w:p w14:paraId="25E0D920">
      <w:pPr>
        <w:jc w:val="center"/>
        <w:rPr>
          <w:rFonts w:asciiTheme="minorEastAsia" w:hAnsiTheme="minorEastAsia" w:eastAsiaTheme="minorEastAsia"/>
          <w:b/>
          <w:bCs/>
          <w:sz w:val="48"/>
        </w:rPr>
      </w:pPr>
    </w:p>
    <w:p w14:paraId="6CECE969">
      <w:pPr>
        <w:jc w:val="center"/>
        <w:rPr>
          <w:rFonts w:asciiTheme="minorEastAsia" w:hAnsiTheme="minorEastAsia" w:eastAsiaTheme="minorEastAsia"/>
          <w:b/>
          <w:bCs/>
          <w:sz w:val="48"/>
        </w:rPr>
      </w:pPr>
    </w:p>
    <w:p w14:paraId="2F37574A">
      <w:pPr>
        <w:jc w:val="center"/>
        <w:rPr>
          <w:rFonts w:asciiTheme="minorEastAsia" w:hAnsiTheme="minorEastAsia" w:eastAsiaTheme="minorEastAsia"/>
          <w:b/>
          <w:bCs/>
          <w:sz w:val="48"/>
        </w:rPr>
      </w:pPr>
      <w:r>
        <w:rPr>
          <w:rFonts w:hint="eastAsia" w:asciiTheme="minorEastAsia" w:hAnsiTheme="minorEastAsia" w:eastAsiaTheme="minorEastAsia"/>
          <w:b/>
          <w:bCs/>
          <w:sz w:val="48"/>
        </w:rPr>
        <w:t>博时恒生港股通科技主题交易型开放式指数证券投资基金托管协议</w:t>
      </w:r>
    </w:p>
    <w:p w14:paraId="7D0F2D31">
      <w:pPr>
        <w:jc w:val="center"/>
        <w:rPr>
          <w:rFonts w:asciiTheme="minorEastAsia" w:hAnsiTheme="minorEastAsia" w:eastAsiaTheme="minorEastAsia"/>
          <w:b/>
          <w:sz w:val="30"/>
          <w:szCs w:val="30"/>
        </w:rPr>
      </w:pPr>
    </w:p>
    <w:p w14:paraId="493E72E4">
      <w:pPr>
        <w:jc w:val="center"/>
        <w:rPr>
          <w:rFonts w:asciiTheme="minorEastAsia" w:hAnsiTheme="minorEastAsia" w:eastAsiaTheme="minorEastAsia"/>
          <w:sz w:val="30"/>
        </w:rPr>
      </w:pPr>
    </w:p>
    <w:p w14:paraId="5217ADCD">
      <w:pPr>
        <w:jc w:val="center"/>
        <w:rPr>
          <w:rFonts w:asciiTheme="minorEastAsia" w:hAnsiTheme="minorEastAsia" w:eastAsiaTheme="minorEastAsia"/>
          <w:sz w:val="30"/>
        </w:rPr>
      </w:pPr>
    </w:p>
    <w:p w14:paraId="05A02DB3">
      <w:pPr>
        <w:rPr>
          <w:rFonts w:asciiTheme="minorEastAsia" w:hAnsiTheme="minorEastAsia" w:eastAsiaTheme="minorEastAsia"/>
          <w:sz w:val="30"/>
        </w:rPr>
      </w:pPr>
    </w:p>
    <w:p w14:paraId="4752C054">
      <w:pPr>
        <w:rPr>
          <w:rFonts w:asciiTheme="minorEastAsia" w:hAnsiTheme="minorEastAsia" w:eastAsiaTheme="minorEastAsia"/>
          <w:sz w:val="30"/>
        </w:rPr>
      </w:pPr>
    </w:p>
    <w:p w14:paraId="5BFF3E80">
      <w:pPr>
        <w:jc w:val="center"/>
        <w:rPr>
          <w:rFonts w:asciiTheme="minorEastAsia" w:hAnsiTheme="minorEastAsia" w:eastAsiaTheme="minorEastAsia"/>
          <w:sz w:val="30"/>
        </w:rPr>
      </w:pPr>
    </w:p>
    <w:p w14:paraId="678970B7">
      <w:pPr>
        <w:adjustRightInd w:val="0"/>
        <w:snapToGrid w:val="0"/>
        <w:spacing w:line="480" w:lineRule="auto"/>
        <w:jc w:val="center"/>
        <w:rPr>
          <w:rFonts w:asciiTheme="minorEastAsia" w:hAnsiTheme="minorEastAsia" w:eastAsiaTheme="minorEastAsia"/>
          <w:b/>
          <w:sz w:val="24"/>
        </w:rPr>
      </w:pPr>
      <w:r>
        <w:rPr>
          <w:rFonts w:hint="eastAsia" w:asciiTheme="minorEastAsia" w:hAnsiTheme="minorEastAsia" w:eastAsiaTheme="minorEastAsia"/>
          <w:b/>
          <w:sz w:val="24"/>
        </w:rPr>
        <w:t>基金管理人：博时基金管理有限公司</w:t>
      </w:r>
    </w:p>
    <w:p w14:paraId="50C602C8">
      <w:pPr>
        <w:adjustRightInd w:val="0"/>
        <w:snapToGrid w:val="0"/>
        <w:spacing w:line="480" w:lineRule="auto"/>
        <w:jc w:val="center"/>
        <w:rPr>
          <w:rFonts w:asciiTheme="minorEastAsia" w:hAnsiTheme="minorEastAsia" w:eastAsiaTheme="minorEastAsia"/>
          <w:b/>
          <w:sz w:val="24"/>
        </w:rPr>
      </w:pPr>
      <w:r>
        <w:rPr>
          <w:rFonts w:hint="eastAsia" w:asciiTheme="minorEastAsia" w:hAnsiTheme="minorEastAsia" w:eastAsiaTheme="minorEastAsia"/>
          <w:b/>
          <w:sz w:val="24"/>
        </w:rPr>
        <w:t>基金托管人：财通证券股份有限公司</w:t>
      </w:r>
    </w:p>
    <w:p w14:paraId="2C6784EE">
      <w:pPr>
        <w:adjustRightInd w:val="0"/>
        <w:snapToGrid w:val="0"/>
        <w:spacing w:line="480" w:lineRule="auto"/>
        <w:jc w:val="center"/>
        <w:rPr>
          <w:rFonts w:asciiTheme="minorEastAsia" w:hAnsiTheme="minorEastAsia" w:eastAsiaTheme="minorEastAsia"/>
          <w:b/>
          <w:sz w:val="24"/>
        </w:rPr>
      </w:pPr>
    </w:p>
    <w:p w14:paraId="1BCDC7C4">
      <w:pPr>
        <w:adjustRightInd w:val="0"/>
        <w:snapToGrid w:val="0"/>
        <w:spacing w:line="480" w:lineRule="auto"/>
        <w:jc w:val="center"/>
        <w:rPr>
          <w:rFonts w:asciiTheme="minorEastAsia" w:hAnsiTheme="minorEastAsia" w:eastAsiaTheme="minorEastAsia"/>
          <w:b/>
          <w:sz w:val="24"/>
        </w:rPr>
        <w:sectPr>
          <w:headerReference r:id="rId4" w:type="first"/>
          <w:footerReference r:id="rId7" w:type="first"/>
          <w:headerReference r:id="rId3" w:type="default"/>
          <w:footerReference r:id="rId5" w:type="default"/>
          <w:footerReference r:id="rId6" w:type="even"/>
          <w:pgSz w:w="11906" w:h="16838"/>
          <w:pgMar w:top="1440" w:right="1800" w:bottom="1440" w:left="1800" w:header="851" w:footer="992" w:gutter="0"/>
          <w:pgNumType w:start="0"/>
          <w:cols w:space="720" w:num="1"/>
          <w:titlePg/>
          <w:docGrid w:type="lines" w:linePitch="312" w:charSpace="0"/>
        </w:sectPr>
      </w:pPr>
    </w:p>
    <w:p w14:paraId="34D7A767">
      <w:pPr>
        <w:pStyle w:val="16"/>
        <w:jc w:val="center"/>
        <w:rPr>
          <w:rFonts w:asciiTheme="minorEastAsia" w:hAnsiTheme="minorEastAsia" w:eastAsiaTheme="minorEastAsia"/>
        </w:rPr>
      </w:pPr>
      <w:bookmarkStart w:id="11" w:name="_Toc125361072"/>
      <w:bookmarkStart w:id="12" w:name="_Toc47616226"/>
      <w:bookmarkStart w:id="13" w:name="_Toc140002335"/>
      <w:r>
        <w:rPr>
          <w:rFonts w:hint="eastAsia" w:asciiTheme="minorEastAsia" w:hAnsiTheme="minorEastAsia" w:eastAsiaTheme="minorEastAsia"/>
          <w:sz w:val="24"/>
        </w:rPr>
        <w:t>目</w:t>
      </w:r>
      <w:r>
        <w:rPr>
          <w:rFonts w:asciiTheme="minorEastAsia" w:hAnsiTheme="minorEastAsia" w:eastAsiaTheme="minorEastAsia"/>
          <w:sz w:val="24"/>
        </w:rPr>
        <w:t xml:space="preserve">  </w:t>
      </w:r>
      <w:r>
        <w:rPr>
          <w:rFonts w:hint="eastAsia" w:asciiTheme="minorEastAsia" w:hAnsiTheme="minorEastAsia" w:eastAsiaTheme="minorEastAsia"/>
          <w:sz w:val="24"/>
        </w:rPr>
        <w:t>录</w:t>
      </w:r>
      <w:bookmarkEnd w:id="11"/>
      <w:bookmarkEnd w:id="12"/>
      <w:bookmarkEnd w:id="13"/>
    </w:p>
    <w:p w14:paraId="1317365E">
      <w:pPr>
        <w:pStyle w:val="16"/>
        <w:tabs>
          <w:tab w:val="right" w:leader="dot" w:pos="8306"/>
          <w:tab w:val="clear" w:pos="8296"/>
        </w:tabs>
      </w:pPr>
      <w:r>
        <w:rPr>
          <w:rFonts w:cs="Arial" w:asciiTheme="minorEastAsia" w:hAnsiTheme="minorEastAsia" w:eastAsiaTheme="minorEastAsia"/>
          <w:b/>
          <w:bCs/>
          <w:caps/>
        </w:rPr>
        <w:fldChar w:fldCharType="begin"/>
      </w:r>
      <w:r>
        <w:rPr>
          <w:rFonts w:asciiTheme="minorEastAsia" w:hAnsiTheme="minorEastAsia" w:eastAsiaTheme="minorEastAsia"/>
        </w:rPr>
        <w:instrText xml:space="preserve"> TOC \o "1-1" \h \z \u </w:instrText>
      </w:r>
      <w:r>
        <w:rPr>
          <w:rFonts w:cs="Arial" w:asciiTheme="minorEastAsia" w:hAnsiTheme="minorEastAsia" w:eastAsiaTheme="minorEastAsia"/>
          <w:b/>
          <w:bCs/>
          <w:caps/>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HYPERLINK \l _Toc29668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一、 </w:t>
      </w:r>
      <w:r>
        <w:rPr>
          <w:rFonts w:hint="eastAsia" w:cs="Arial" w:asciiTheme="minorEastAsia" w:hAnsiTheme="minorEastAsia" w:eastAsiaTheme="minorEastAsia"/>
        </w:rPr>
        <w:t>基金托管协议当事人</w:t>
      </w:r>
      <w:r>
        <w:tab/>
      </w:r>
      <w:r>
        <w:fldChar w:fldCharType="begin"/>
      </w:r>
      <w:r>
        <w:instrText xml:space="preserve"> PAGEREF _Toc29668 \h </w:instrText>
      </w:r>
      <w:r>
        <w:fldChar w:fldCharType="separate"/>
      </w:r>
      <w:r>
        <w:t>1</w:t>
      </w:r>
      <w:r>
        <w:fldChar w:fldCharType="end"/>
      </w:r>
      <w:r>
        <w:rPr>
          <w:rFonts w:asciiTheme="minorEastAsia" w:hAnsiTheme="minorEastAsia" w:eastAsiaTheme="minorEastAsia"/>
        </w:rPr>
        <w:fldChar w:fldCharType="end"/>
      </w:r>
    </w:p>
    <w:p w14:paraId="4FDE1087">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_Toc442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二、 </w:t>
      </w:r>
      <w:r>
        <w:rPr>
          <w:rFonts w:hint="eastAsia" w:cs="Arial" w:asciiTheme="minorEastAsia" w:hAnsiTheme="minorEastAsia" w:eastAsiaTheme="minorEastAsia"/>
        </w:rPr>
        <w:t>基金托管协议的依据、目的和原则</w:t>
      </w:r>
      <w:r>
        <w:tab/>
      </w:r>
      <w:r>
        <w:fldChar w:fldCharType="begin"/>
      </w:r>
      <w:r>
        <w:instrText xml:space="preserve"> PAGEREF _Toc442 \h </w:instrText>
      </w:r>
      <w:r>
        <w:fldChar w:fldCharType="separate"/>
      </w:r>
      <w:r>
        <w:t>2</w:t>
      </w:r>
      <w:r>
        <w:fldChar w:fldCharType="end"/>
      </w:r>
      <w:r>
        <w:rPr>
          <w:rFonts w:asciiTheme="minorEastAsia" w:hAnsiTheme="minorEastAsia" w:eastAsiaTheme="minorEastAsia"/>
        </w:rPr>
        <w:fldChar w:fldCharType="end"/>
      </w:r>
    </w:p>
    <w:p w14:paraId="271A0B4A">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_Toc3112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三、 </w:t>
      </w:r>
      <w:r>
        <w:rPr>
          <w:rFonts w:hint="eastAsia" w:cs="Arial" w:asciiTheme="minorEastAsia" w:hAnsiTheme="minorEastAsia" w:eastAsiaTheme="minorEastAsia"/>
        </w:rPr>
        <w:t>基金托管人对基金管理人的业务监督和核查</w:t>
      </w:r>
      <w:r>
        <w:tab/>
      </w:r>
      <w:r>
        <w:fldChar w:fldCharType="begin"/>
      </w:r>
      <w:r>
        <w:instrText xml:space="preserve"> PAGEREF _Toc3112 \h </w:instrText>
      </w:r>
      <w:r>
        <w:fldChar w:fldCharType="separate"/>
      </w:r>
      <w:r>
        <w:t>3</w:t>
      </w:r>
      <w:r>
        <w:fldChar w:fldCharType="end"/>
      </w:r>
      <w:r>
        <w:rPr>
          <w:rFonts w:asciiTheme="minorEastAsia" w:hAnsiTheme="minorEastAsia" w:eastAsiaTheme="minorEastAsia"/>
        </w:rPr>
        <w:fldChar w:fldCharType="end"/>
      </w:r>
    </w:p>
    <w:p w14:paraId="540322AE">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_Toc5229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四、 </w:t>
      </w:r>
      <w:r>
        <w:rPr>
          <w:rFonts w:hint="eastAsia" w:cs="Arial" w:asciiTheme="minorEastAsia" w:hAnsiTheme="minorEastAsia" w:eastAsiaTheme="minorEastAsia"/>
        </w:rPr>
        <w:t>基金管理人对基金托管人的业务核查</w:t>
      </w:r>
      <w:r>
        <w:tab/>
      </w:r>
      <w:r>
        <w:fldChar w:fldCharType="begin"/>
      </w:r>
      <w:r>
        <w:instrText xml:space="preserve"> PAGEREF _Toc5229 \h </w:instrText>
      </w:r>
      <w:r>
        <w:fldChar w:fldCharType="separate"/>
      </w:r>
      <w:r>
        <w:t>11</w:t>
      </w:r>
      <w:r>
        <w:fldChar w:fldCharType="end"/>
      </w:r>
      <w:r>
        <w:rPr>
          <w:rFonts w:asciiTheme="minorEastAsia" w:hAnsiTheme="minorEastAsia" w:eastAsiaTheme="minorEastAsia"/>
        </w:rPr>
        <w:fldChar w:fldCharType="end"/>
      </w:r>
    </w:p>
    <w:p w14:paraId="6718D560">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_Toc5457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五、 </w:t>
      </w:r>
      <w:r>
        <w:rPr>
          <w:rFonts w:hint="eastAsia" w:cs="Arial" w:asciiTheme="minorEastAsia" w:hAnsiTheme="minorEastAsia" w:eastAsiaTheme="minorEastAsia"/>
        </w:rPr>
        <w:t>基金财产的保管</w:t>
      </w:r>
      <w:r>
        <w:tab/>
      </w:r>
      <w:r>
        <w:fldChar w:fldCharType="begin"/>
      </w:r>
      <w:r>
        <w:instrText xml:space="preserve"> PAGEREF _Toc5457 \h </w:instrText>
      </w:r>
      <w:r>
        <w:fldChar w:fldCharType="separate"/>
      </w:r>
      <w:r>
        <w:t>12</w:t>
      </w:r>
      <w:r>
        <w:fldChar w:fldCharType="end"/>
      </w:r>
      <w:r>
        <w:rPr>
          <w:rFonts w:asciiTheme="minorEastAsia" w:hAnsiTheme="minorEastAsia" w:eastAsiaTheme="minorEastAsia"/>
        </w:rPr>
        <w:fldChar w:fldCharType="end"/>
      </w:r>
    </w:p>
    <w:p w14:paraId="0BA0BA3A">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_Toc28173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六、 </w:t>
      </w:r>
      <w:r>
        <w:rPr>
          <w:rFonts w:hint="eastAsia" w:cs="Arial" w:asciiTheme="minorEastAsia" w:hAnsiTheme="minorEastAsia" w:eastAsiaTheme="minorEastAsia"/>
        </w:rPr>
        <w:t>指令的发送、确认及执行</w:t>
      </w:r>
      <w:r>
        <w:tab/>
      </w:r>
      <w:r>
        <w:fldChar w:fldCharType="begin"/>
      </w:r>
      <w:r>
        <w:instrText xml:space="preserve"> PAGEREF _Toc28173 \h </w:instrText>
      </w:r>
      <w:r>
        <w:fldChar w:fldCharType="separate"/>
      </w:r>
      <w:r>
        <w:t>16</w:t>
      </w:r>
      <w:r>
        <w:fldChar w:fldCharType="end"/>
      </w:r>
      <w:r>
        <w:rPr>
          <w:rFonts w:asciiTheme="minorEastAsia" w:hAnsiTheme="minorEastAsia" w:eastAsiaTheme="minorEastAsia"/>
        </w:rPr>
        <w:fldChar w:fldCharType="end"/>
      </w:r>
    </w:p>
    <w:p w14:paraId="0F5F3B86">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_Toc8396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七、 </w:t>
      </w:r>
      <w:r>
        <w:rPr>
          <w:rFonts w:hint="eastAsia" w:cs="Arial" w:asciiTheme="minorEastAsia" w:hAnsiTheme="minorEastAsia" w:eastAsiaTheme="minorEastAsia"/>
        </w:rPr>
        <w:t>交易及清算交收安排</w:t>
      </w:r>
      <w:r>
        <w:tab/>
      </w:r>
      <w:r>
        <w:fldChar w:fldCharType="begin"/>
      </w:r>
      <w:r>
        <w:instrText xml:space="preserve"> PAGEREF _Toc8396 \h </w:instrText>
      </w:r>
      <w:r>
        <w:fldChar w:fldCharType="separate"/>
      </w:r>
      <w:r>
        <w:t>20</w:t>
      </w:r>
      <w:r>
        <w:fldChar w:fldCharType="end"/>
      </w:r>
      <w:r>
        <w:rPr>
          <w:rFonts w:asciiTheme="minorEastAsia" w:hAnsiTheme="minorEastAsia" w:eastAsiaTheme="minorEastAsia"/>
        </w:rPr>
        <w:fldChar w:fldCharType="end"/>
      </w:r>
    </w:p>
    <w:p w14:paraId="6E055DC4">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_Toc9257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八、 </w:t>
      </w:r>
      <w:r>
        <w:rPr>
          <w:rFonts w:hint="eastAsia" w:cs="Arial" w:asciiTheme="minorEastAsia" w:hAnsiTheme="minorEastAsia" w:eastAsiaTheme="minorEastAsia"/>
        </w:rPr>
        <w:t>基金资产净值计算和会计核算</w:t>
      </w:r>
      <w:r>
        <w:tab/>
      </w:r>
      <w:r>
        <w:fldChar w:fldCharType="begin"/>
      </w:r>
      <w:r>
        <w:instrText xml:space="preserve"> PAGEREF _Toc9257 \h </w:instrText>
      </w:r>
      <w:r>
        <w:fldChar w:fldCharType="separate"/>
      </w:r>
      <w:r>
        <w:t>24</w:t>
      </w:r>
      <w:r>
        <w:fldChar w:fldCharType="end"/>
      </w:r>
      <w:r>
        <w:rPr>
          <w:rFonts w:asciiTheme="minorEastAsia" w:hAnsiTheme="minorEastAsia" w:eastAsiaTheme="minorEastAsia"/>
        </w:rPr>
        <w:fldChar w:fldCharType="end"/>
      </w:r>
    </w:p>
    <w:p w14:paraId="683BA2A9">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_Toc4085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九、 </w:t>
      </w:r>
      <w:r>
        <w:rPr>
          <w:rFonts w:hint="eastAsia" w:cs="Arial" w:asciiTheme="minorEastAsia" w:hAnsiTheme="minorEastAsia" w:eastAsiaTheme="minorEastAsia"/>
        </w:rPr>
        <w:t>基金收益分配</w:t>
      </w:r>
      <w:r>
        <w:tab/>
      </w:r>
      <w:r>
        <w:fldChar w:fldCharType="begin"/>
      </w:r>
      <w:r>
        <w:instrText xml:space="preserve"> PAGEREF _Toc4085 \h </w:instrText>
      </w:r>
      <w:r>
        <w:fldChar w:fldCharType="separate"/>
      </w:r>
      <w:r>
        <w:t>30</w:t>
      </w:r>
      <w:r>
        <w:fldChar w:fldCharType="end"/>
      </w:r>
      <w:r>
        <w:rPr>
          <w:rFonts w:asciiTheme="minorEastAsia" w:hAnsiTheme="minorEastAsia" w:eastAsiaTheme="minorEastAsia"/>
        </w:rPr>
        <w:fldChar w:fldCharType="end"/>
      </w:r>
    </w:p>
    <w:p w14:paraId="651E142B">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_Toc20702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 </w:t>
      </w:r>
      <w:r>
        <w:rPr>
          <w:rFonts w:hint="eastAsia" w:cs="Arial" w:asciiTheme="minorEastAsia" w:hAnsiTheme="minorEastAsia" w:eastAsiaTheme="minorEastAsia"/>
        </w:rPr>
        <w:t>基金信息披露</w:t>
      </w:r>
      <w:r>
        <w:tab/>
      </w:r>
      <w:r>
        <w:fldChar w:fldCharType="begin"/>
      </w:r>
      <w:r>
        <w:instrText xml:space="preserve"> PAGEREF _Toc20702 \h </w:instrText>
      </w:r>
      <w:r>
        <w:fldChar w:fldCharType="separate"/>
      </w:r>
      <w:r>
        <w:t>32</w:t>
      </w:r>
      <w:r>
        <w:fldChar w:fldCharType="end"/>
      </w:r>
      <w:r>
        <w:rPr>
          <w:rFonts w:asciiTheme="minorEastAsia" w:hAnsiTheme="minorEastAsia" w:eastAsiaTheme="minorEastAsia"/>
        </w:rPr>
        <w:fldChar w:fldCharType="end"/>
      </w:r>
    </w:p>
    <w:p w14:paraId="0B9E3B28">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_Toc3945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十一、 </w:t>
      </w:r>
      <w:r>
        <w:rPr>
          <w:rFonts w:hint="eastAsia" w:cs="Arial" w:asciiTheme="minorEastAsia" w:hAnsiTheme="minorEastAsia" w:eastAsiaTheme="minorEastAsia"/>
        </w:rPr>
        <w:t>基金费用</w:t>
      </w:r>
      <w:r>
        <w:tab/>
      </w:r>
      <w:r>
        <w:fldChar w:fldCharType="begin"/>
      </w:r>
      <w:r>
        <w:instrText xml:space="preserve"> PAGEREF _Toc3945 \h </w:instrText>
      </w:r>
      <w:r>
        <w:fldChar w:fldCharType="separate"/>
      </w:r>
      <w:r>
        <w:t>34</w:t>
      </w:r>
      <w:r>
        <w:fldChar w:fldCharType="end"/>
      </w:r>
      <w:r>
        <w:rPr>
          <w:rFonts w:asciiTheme="minorEastAsia" w:hAnsiTheme="minorEastAsia" w:eastAsiaTheme="minorEastAsia"/>
        </w:rPr>
        <w:fldChar w:fldCharType="end"/>
      </w:r>
    </w:p>
    <w:p w14:paraId="0B876CDC">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_Toc25955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十二、 </w:t>
      </w:r>
      <w:r>
        <w:rPr>
          <w:rFonts w:hint="eastAsia" w:cs="Arial" w:asciiTheme="minorEastAsia" w:hAnsiTheme="minorEastAsia" w:eastAsiaTheme="minorEastAsia"/>
        </w:rPr>
        <w:t>基金份额持有人名册的保管</w:t>
      </w:r>
      <w:r>
        <w:tab/>
      </w:r>
      <w:r>
        <w:fldChar w:fldCharType="begin"/>
      </w:r>
      <w:r>
        <w:instrText xml:space="preserve"> PAGEREF _Toc25955 \h </w:instrText>
      </w:r>
      <w:r>
        <w:fldChar w:fldCharType="separate"/>
      </w:r>
      <w:r>
        <w:t>37</w:t>
      </w:r>
      <w:r>
        <w:fldChar w:fldCharType="end"/>
      </w:r>
      <w:r>
        <w:rPr>
          <w:rFonts w:asciiTheme="minorEastAsia" w:hAnsiTheme="minorEastAsia" w:eastAsiaTheme="minorEastAsia"/>
        </w:rPr>
        <w:fldChar w:fldCharType="end"/>
      </w:r>
    </w:p>
    <w:p w14:paraId="6BE7746C">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_Toc11857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十三、 </w:t>
      </w:r>
      <w:r>
        <w:rPr>
          <w:rFonts w:hint="eastAsia" w:cs="Arial" w:asciiTheme="minorEastAsia" w:hAnsiTheme="minorEastAsia" w:eastAsiaTheme="minorEastAsia"/>
        </w:rPr>
        <w:t>基金有关文件档案的保存</w:t>
      </w:r>
      <w:r>
        <w:tab/>
      </w:r>
      <w:r>
        <w:fldChar w:fldCharType="begin"/>
      </w:r>
      <w:r>
        <w:instrText xml:space="preserve"> PAGEREF _Toc11857 \h </w:instrText>
      </w:r>
      <w:r>
        <w:fldChar w:fldCharType="separate"/>
      </w:r>
      <w:r>
        <w:t>38</w:t>
      </w:r>
      <w:r>
        <w:fldChar w:fldCharType="end"/>
      </w:r>
      <w:r>
        <w:rPr>
          <w:rFonts w:asciiTheme="minorEastAsia" w:hAnsiTheme="minorEastAsia" w:eastAsiaTheme="minorEastAsia"/>
        </w:rPr>
        <w:fldChar w:fldCharType="end"/>
      </w:r>
    </w:p>
    <w:p w14:paraId="68627A4A">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_Toc13284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十四、 </w:t>
      </w:r>
      <w:r>
        <w:rPr>
          <w:rFonts w:hint="eastAsia" w:cs="Arial" w:asciiTheme="minorEastAsia" w:hAnsiTheme="minorEastAsia" w:eastAsiaTheme="minorEastAsia"/>
        </w:rPr>
        <w:t>基金管理人和基金托管人的更换</w:t>
      </w:r>
      <w:r>
        <w:tab/>
      </w:r>
      <w:r>
        <w:fldChar w:fldCharType="begin"/>
      </w:r>
      <w:r>
        <w:instrText xml:space="preserve"> PAGEREF _Toc13284 \h </w:instrText>
      </w:r>
      <w:r>
        <w:fldChar w:fldCharType="separate"/>
      </w:r>
      <w:r>
        <w:t>39</w:t>
      </w:r>
      <w:r>
        <w:fldChar w:fldCharType="end"/>
      </w:r>
      <w:r>
        <w:rPr>
          <w:rFonts w:asciiTheme="minorEastAsia" w:hAnsiTheme="minorEastAsia" w:eastAsiaTheme="minorEastAsia"/>
        </w:rPr>
        <w:fldChar w:fldCharType="end"/>
      </w:r>
    </w:p>
    <w:p w14:paraId="089006F5">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_Toc32581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十五、 </w:t>
      </w:r>
      <w:r>
        <w:rPr>
          <w:rFonts w:hint="eastAsia" w:cs="Arial" w:asciiTheme="minorEastAsia" w:hAnsiTheme="minorEastAsia" w:eastAsiaTheme="minorEastAsia"/>
        </w:rPr>
        <w:t>禁止行为</w:t>
      </w:r>
      <w:r>
        <w:tab/>
      </w:r>
      <w:r>
        <w:fldChar w:fldCharType="begin"/>
      </w:r>
      <w:r>
        <w:instrText xml:space="preserve"> PAGEREF _Toc32581 \h </w:instrText>
      </w:r>
      <w:r>
        <w:fldChar w:fldCharType="separate"/>
      </w:r>
      <w:r>
        <w:t>42</w:t>
      </w:r>
      <w:r>
        <w:fldChar w:fldCharType="end"/>
      </w:r>
      <w:r>
        <w:rPr>
          <w:rFonts w:asciiTheme="minorEastAsia" w:hAnsiTheme="minorEastAsia" w:eastAsiaTheme="minorEastAsia"/>
        </w:rPr>
        <w:fldChar w:fldCharType="end"/>
      </w:r>
    </w:p>
    <w:p w14:paraId="7887CC03">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_Toc20811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十六、 </w:t>
      </w:r>
      <w:r>
        <w:rPr>
          <w:rFonts w:hint="eastAsia" w:cs="Arial" w:asciiTheme="minorEastAsia" w:hAnsiTheme="minorEastAsia" w:eastAsiaTheme="minorEastAsia"/>
        </w:rPr>
        <w:t>托管协议的变更、终止与基金财产的清算</w:t>
      </w:r>
      <w:r>
        <w:tab/>
      </w:r>
      <w:r>
        <w:fldChar w:fldCharType="begin"/>
      </w:r>
      <w:r>
        <w:instrText xml:space="preserve"> PAGEREF _Toc20811 \h </w:instrText>
      </w:r>
      <w:r>
        <w:fldChar w:fldCharType="separate"/>
      </w:r>
      <w:r>
        <w:t>44</w:t>
      </w:r>
      <w:r>
        <w:fldChar w:fldCharType="end"/>
      </w:r>
      <w:r>
        <w:rPr>
          <w:rFonts w:asciiTheme="minorEastAsia" w:hAnsiTheme="minorEastAsia" w:eastAsiaTheme="minorEastAsia"/>
        </w:rPr>
        <w:fldChar w:fldCharType="end"/>
      </w:r>
    </w:p>
    <w:p w14:paraId="6882769D">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_Toc9579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十七、 </w:t>
      </w:r>
      <w:r>
        <w:rPr>
          <w:rFonts w:hint="eastAsia" w:cs="Arial" w:asciiTheme="minorEastAsia" w:hAnsiTheme="minorEastAsia" w:eastAsiaTheme="minorEastAsia"/>
        </w:rPr>
        <w:t>违约责任</w:t>
      </w:r>
      <w:r>
        <w:tab/>
      </w:r>
      <w:r>
        <w:fldChar w:fldCharType="begin"/>
      </w:r>
      <w:r>
        <w:instrText xml:space="preserve"> PAGEREF _Toc9579 \h </w:instrText>
      </w:r>
      <w:r>
        <w:fldChar w:fldCharType="separate"/>
      </w:r>
      <w:r>
        <w:t>46</w:t>
      </w:r>
      <w:r>
        <w:fldChar w:fldCharType="end"/>
      </w:r>
      <w:r>
        <w:rPr>
          <w:rFonts w:asciiTheme="minorEastAsia" w:hAnsiTheme="minorEastAsia" w:eastAsiaTheme="minorEastAsia"/>
        </w:rPr>
        <w:fldChar w:fldCharType="end"/>
      </w:r>
    </w:p>
    <w:p w14:paraId="3A7AEF07">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_Toc22116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十八、 </w:t>
      </w:r>
      <w:r>
        <w:rPr>
          <w:rFonts w:hint="eastAsia" w:cs="Arial" w:asciiTheme="minorEastAsia" w:hAnsiTheme="minorEastAsia" w:eastAsiaTheme="minorEastAsia"/>
        </w:rPr>
        <w:t>争议解决方式</w:t>
      </w:r>
      <w:r>
        <w:tab/>
      </w:r>
      <w:r>
        <w:fldChar w:fldCharType="begin"/>
      </w:r>
      <w:r>
        <w:instrText xml:space="preserve"> PAGEREF _Toc22116 \h </w:instrText>
      </w:r>
      <w:r>
        <w:fldChar w:fldCharType="separate"/>
      </w:r>
      <w:r>
        <w:t>47</w:t>
      </w:r>
      <w:r>
        <w:fldChar w:fldCharType="end"/>
      </w:r>
      <w:r>
        <w:rPr>
          <w:rFonts w:asciiTheme="minorEastAsia" w:hAnsiTheme="minorEastAsia" w:eastAsiaTheme="minorEastAsia"/>
        </w:rPr>
        <w:fldChar w:fldCharType="end"/>
      </w:r>
    </w:p>
    <w:p w14:paraId="15890446">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_Toc22429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十九、 </w:t>
      </w:r>
      <w:r>
        <w:rPr>
          <w:rFonts w:hint="eastAsia" w:cs="Arial" w:asciiTheme="minorEastAsia" w:hAnsiTheme="minorEastAsia" w:eastAsiaTheme="minorEastAsia"/>
        </w:rPr>
        <w:t>托管协议的效力</w:t>
      </w:r>
      <w:r>
        <w:tab/>
      </w:r>
      <w:r>
        <w:fldChar w:fldCharType="begin"/>
      </w:r>
      <w:r>
        <w:instrText xml:space="preserve"> PAGEREF _Toc22429 \h </w:instrText>
      </w:r>
      <w:r>
        <w:fldChar w:fldCharType="separate"/>
      </w:r>
      <w:r>
        <w:t>48</w:t>
      </w:r>
      <w:r>
        <w:fldChar w:fldCharType="end"/>
      </w:r>
      <w:r>
        <w:rPr>
          <w:rFonts w:asciiTheme="minorEastAsia" w:hAnsiTheme="minorEastAsia" w:eastAsiaTheme="minorEastAsia"/>
        </w:rPr>
        <w:fldChar w:fldCharType="end"/>
      </w:r>
    </w:p>
    <w:p w14:paraId="4C2800F5">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_Toc758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二十、 </w:t>
      </w:r>
      <w:r>
        <w:rPr>
          <w:rFonts w:hint="eastAsia" w:cs="Arial" w:asciiTheme="minorEastAsia" w:hAnsiTheme="minorEastAsia" w:eastAsiaTheme="minorEastAsia"/>
        </w:rPr>
        <w:t>其他事项</w:t>
      </w:r>
      <w:r>
        <w:tab/>
      </w:r>
      <w:r>
        <w:fldChar w:fldCharType="begin"/>
      </w:r>
      <w:r>
        <w:instrText xml:space="preserve"> PAGEREF _Toc758 \h </w:instrText>
      </w:r>
      <w:r>
        <w:fldChar w:fldCharType="separate"/>
      </w:r>
      <w:r>
        <w:t>49</w:t>
      </w:r>
      <w:r>
        <w:fldChar w:fldCharType="end"/>
      </w:r>
      <w:r>
        <w:rPr>
          <w:rFonts w:asciiTheme="minorEastAsia" w:hAnsiTheme="minorEastAsia" w:eastAsiaTheme="minorEastAsia"/>
        </w:rPr>
        <w:fldChar w:fldCharType="end"/>
      </w:r>
    </w:p>
    <w:p w14:paraId="74146276">
      <w:pPr>
        <w:pStyle w:val="16"/>
        <w:tabs>
          <w:tab w:val="right" w:leader="dot" w:pos="8306"/>
          <w:tab w:val="clear" w:pos="829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_Toc29071 </w:instrText>
      </w:r>
      <w:r>
        <w:rPr>
          <w:rFonts w:asciiTheme="minorEastAsia" w:hAnsiTheme="minorEastAsia" w:eastAsiaTheme="minorEastAsia"/>
        </w:rPr>
        <w:fldChar w:fldCharType="separate"/>
      </w:r>
      <w:r>
        <w:rPr>
          <w:rFonts w:hint="eastAsia" w:cs="Arial" w:asciiTheme="minorEastAsia" w:hAnsiTheme="minorEastAsia" w:eastAsiaTheme="minorEastAsia"/>
          <w:szCs w:val="30"/>
        </w:rPr>
        <w:t xml:space="preserve">二十一、 </w:t>
      </w:r>
      <w:r>
        <w:rPr>
          <w:rFonts w:hint="eastAsia" w:cs="Arial" w:asciiTheme="minorEastAsia" w:hAnsiTheme="minorEastAsia" w:eastAsiaTheme="minorEastAsia"/>
        </w:rPr>
        <w:t>托管协议的签订</w:t>
      </w:r>
      <w:r>
        <w:tab/>
      </w:r>
      <w:r>
        <w:fldChar w:fldCharType="begin"/>
      </w:r>
      <w:r>
        <w:instrText xml:space="preserve"> PAGEREF _Toc29071 \h </w:instrText>
      </w:r>
      <w:r>
        <w:fldChar w:fldCharType="separate"/>
      </w:r>
      <w:r>
        <w:t>50</w:t>
      </w:r>
      <w:r>
        <w:fldChar w:fldCharType="end"/>
      </w:r>
      <w:r>
        <w:rPr>
          <w:rFonts w:asciiTheme="minorEastAsia" w:hAnsiTheme="minorEastAsia" w:eastAsiaTheme="minorEastAsia"/>
        </w:rPr>
        <w:fldChar w:fldCharType="end"/>
      </w:r>
    </w:p>
    <w:p w14:paraId="2694F3FC">
      <w:pPr>
        <w:spacing w:before="100" w:beforeAutospacing="1" w:after="100" w:afterAutospacing="1"/>
        <w:rPr>
          <w:rFonts w:asciiTheme="minorEastAsia" w:hAnsiTheme="minorEastAsia" w:eastAsiaTheme="minorEastAsia"/>
          <w:sz w:val="24"/>
        </w:rPr>
      </w:pPr>
      <w:r>
        <w:rPr>
          <w:rFonts w:asciiTheme="minorEastAsia" w:hAnsiTheme="minorEastAsia" w:eastAsiaTheme="minorEastAsia"/>
          <w:sz w:val="24"/>
        </w:rPr>
        <w:fldChar w:fldCharType="end"/>
      </w:r>
    </w:p>
    <w:p w14:paraId="1E4A74C1">
      <w:pPr>
        <w:rPr>
          <w:rFonts w:asciiTheme="minorEastAsia" w:hAnsiTheme="minorEastAsia" w:eastAsiaTheme="minorEastAsia"/>
          <w:sz w:val="24"/>
        </w:rPr>
      </w:pPr>
    </w:p>
    <w:p w14:paraId="3052CC22">
      <w:pPr>
        <w:tabs>
          <w:tab w:val="left" w:pos="1253"/>
        </w:tabs>
        <w:rPr>
          <w:rFonts w:asciiTheme="minorEastAsia" w:hAnsiTheme="minorEastAsia" w:eastAsiaTheme="minorEastAsia"/>
          <w:sz w:val="24"/>
        </w:rPr>
        <w:sectPr>
          <w:footerReference r:id="rId9" w:type="first"/>
          <w:footerReference r:id="rId8" w:type="default"/>
          <w:pgSz w:w="11906" w:h="16838"/>
          <w:pgMar w:top="1440" w:right="1800" w:bottom="1440" w:left="1800" w:header="851" w:footer="992" w:gutter="0"/>
          <w:pgNumType w:start="1"/>
          <w:cols w:space="720" w:num="1"/>
          <w:titlePg/>
          <w:docGrid w:type="lines" w:linePitch="312" w:charSpace="0"/>
        </w:sectPr>
      </w:pPr>
      <w:r>
        <w:rPr>
          <w:rFonts w:asciiTheme="minorEastAsia" w:hAnsiTheme="minorEastAsia" w:eastAsiaTheme="minorEastAsia"/>
          <w:sz w:val="24"/>
        </w:rPr>
        <w:tab/>
      </w:r>
    </w:p>
    <w:p w14:paraId="76CA9CFE">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4" w:name="_Toc124749225"/>
      <w:bookmarkStart w:id="15" w:name="_Toc48703884"/>
      <w:bookmarkStart w:id="16" w:name="_Toc124749936"/>
      <w:bookmarkStart w:id="17" w:name="_Toc523829992"/>
      <w:bookmarkStart w:id="18" w:name="_Toc22454432"/>
      <w:bookmarkStart w:id="19" w:name="_Toc29668"/>
      <w:bookmarkStart w:id="20" w:name="_Toc86843170"/>
      <w:bookmarkStart w:id="21" w:name="_Toc125361073"/>
      <w:bookmarkStart w:id="22" w:name="_Toc123626167"/>
      <w:r>
        <w:rPr>
          <w:rFonts w:hint="eastAsia" w:cs="Arial" w:asciiTheme="minorEastAsia" w:hAnsiTheme="minorEastAsia" w:eastAsiaTheme="minorEastAsia"/>
          <w:sz w:val="30"/>
        </w:rPr>
        <w:t>基金托管协议当事人</w:t>
      </w:r>
      <w:bookmarkEnd w:id="14"/>
      <w:bookmarkEnd w:id="15"/>
      <w:bookmarkEnd w:id="16"/>
      <w:bookmarkEnd w:id="17"/>
      <w:bookmarkEnd w:id="18"/>
      <w:bookmarkEnd w:id="19"/>
      <w:bookmarkEnd w:id="20"/>
      <w:bookmarkEnd w:id="21"/>
      <w:bookmarkEnd w:id="22"/>
    </w:p>
    <w:p w14:paraId="6F719CE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（一）基金管理人</w:t>
      </w:r>
    </w:p>
    <w:p w14:paraId="6879657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名称：博时基金管理有限公司</w:t>
      </w:r>
    </w:p>
    <w:p w14:paraId="108716D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住所：</w:t>
      </w:r>
      <w:r>
        <w:rPr>
          <w:rFonts w:hint="eastAsia" w:cs="Times New Roman" w:asciiTheme="minorEastAsia" w:hAnsiTheme="minorEastAsia" w:eastAsiaTheme="minorEastAsia"/>
          <w:sz w:val="24"/>
          <w:szCs w:val="20"/>
        </w:rPr>
        <w:t>深圳市福田区莲花街道福新社区益田路5999号基金大厦21层</w:t>
      </w:r>
    </w:p>
    <w:p w14:paraId="01A3C979">
      <w:pPr>
        <w:adjustRightInd/>
        <w:snapToGrid/>
        <w:spacing w:line="360" w:lineRule="auto"/>
        <w:ind w:firstLine="480" w:firstLineChars="200"/>
        <w:rPr>
          <w:rFonts w:hint="eastAsia" w:cs="Times New Roman" w:asciiTheme="minorEastAsia" w:hAnsiTheme="minorEastAsia" w:eastAsiaTheme="minorEastAsia"/>
          <w:sz w:val="24"/>
          <w:szCs w:val="20"/>
          <w:lang w:eastAsia="zh-CN"/>
        </w:rPr>
      </w:pPr>
      <w:r>
        <w:rPr>
          <w:rFonts w:hint="eastAsia" w:asciiTheme="minorEastAsia" w:hAnsiTheme="minorEastAsia" w:eastAsiaTheme="minorEastAsia"/>
          <w:sz w:val="24"/>
        </w:rPr>
        <w:t>法定代表人：</w:t>
      </w:r>
      <w:r>
        <w:rPr>
          <w:rFonts w:hint="eastAsia" w:cs="Times New Roman" w:asciiTheme="minorEastAsia" w:hAnsiTheme="minorEastAsia" w:eastAsiaTheme="minorEastAsia"/>
          <w:sz w:val="24"/>
          <w:szCs w:val="20"/>
          <w:lang w:eastAsia="zh-CN"/>
        </w:rPr>
        <w:t>张东</w:t>
      </w:r>
    </w:p>
    <w:p w14:paraId="3305ADDF">
      <w:pPr>
        <w:adjustRightInd/>
        <w:snapToGrid/>
        <w:spacing w:line="360" w:lineRule="auto"/>
        <w:ind w:firstLine="480" w:firstLineChars="200"/>
        <w:rPr>
          <w:rFonts w:hint="eastAsia" w:cs="Times New Roman" w:asciiTheme="minorEastAsia" w:hAnsiTheme="minorEastAsia" w:eastAsiaTheme="minorEastAsia"/>
          <w:sz w:val="24"/>
          <w:szCs w:val="20"/>
        </w:rPr>
      </w:pPr>
      <w:r>
        <w:rPr>
          <w:rFonts w:hint="eastAsia" w:asciiTheme="minorEastAsia" w:hAnsiTheme="minorEastAsia" w:eastAsiaTheme="minorEastAsia"/>
          <w:sz w:val="24"/>
        </w:rPr>
        <w:t>设立日期：</w:t>
      </w:r>
      <w:r>
        <w:rPr>
          <w:rFonts w:hint="eastAsia" w:cs="Times New Roman" w:asciiTheme="minorEastAsia" w:hAnsiTheme="minorEastAsia" w:eastAsiaTheme="minorEastAsia"/>
          <w:sz w:val="24"/>
          <w:szCs w:val="20"/>
        </w:rPr>
        <w:t>1998年7月13日</w:t>
      </w:r>
    </w:p>
    <w:p w14:paraId="6A63A2F2">
      <w:pPr>
        <w:adjustRightInd/>
        <w:snapToGrid/>
        <w:spacing w:line="360" w:lineRule="auto"/>
        <w:ind w:firstLine="480" w:firstLineChars="200"/>
        <w:rPr>
          <w:rFonts w:hint="eastAsia" w:cs="Times New Roman" w:asciiTheme="minorEastAsia" w:hAnsiTheme="minorEastAsia" w:eastAsiaTheme="minorEastAsia"/>
          <w:sz w:val="24"/>
          <w:szCs w:val="20"/>
        </w:rPr>
      </w:pPr>
      <w:r>
        <w:rPr>
          <w:rFonts w:hint="eastAsia" w:asciiTheme="minorEastAsia" w:hAnsiTheme="minorEastAsia" w:eastAsiaTheme="minorEastAsia"/>
          <w:sz w:val="24"/>
        </w:rPr>
        <w:t>批准设立机关及批准设立文号：</w:t>
      </w:r>
      <w:r>
        <w:rPr>
          <w:rFonts w:hint="eastAsia" w:cs="Times New Roman" w:asciiTheme="minorEastAsia" w:hAnsiTheme="minorEastAsia" w:eastAsiaTheme="minorEastAsia"/>
          <w:sz w:val="24"/>
          <w:szCs w:val="20"/>
        </w:rPr>
        <w:t>中国证监会证监基字【1998】26号</w:t>
      </w:r>
    </w:p>
    <w:p w14:paraId="4BEF2681">
      <w:pPr>
        <w:adjustRightInd/>
        <w:snapToGrid/>
        <w:spacing w:line="360" w:lineRule="auto"/>
        <w:ind w:firstLine="480" w:firstLineChars="200"/>
        <w:rPr>
          <w:rFonts w:hint="eastAsia" w:cs="Times New Roman" w:asciiTheme="minorEastAsia" w:hAnsiTheme="minorEastAsia" w:eastAsiaTheme="minorEastAsia"/>
          <w:sz w:val="24"/>
          <w:szCs w:val="20"/>
        </w:rPr>
      </w:pPr>
      <w:r>
        <w:rPr>
          <w:rFonts w:hint="eastAsia" w:asciiTheme="minorEastAsia" w:hAnsiTheme="minorEastAsia" w:eastAsiaTheme="minorEastAsia"/>
          <w:sz w:val="24"/>
        </w:rPr>
        <w:t>组织形式：</w:t>
      </w:r>
      <w:r>
        <w:rPr>
          <w:rFonts w:hint="eastAsia" w:cs="Times New Roman" w:asciiTheme="minorEastAsia" w:hAnsiTheme="minorEastAsia" w:eastAsiaTheme="minorEastAsia"/>
          <w:sz w:val="24"/>
          <w:szCs w:val="20"/>
        </w:rPr>
        <w:t>有限责任公司</w:t>
      </w:r>
    </w:p>
    <w:p w14:paraId="2D25A0A0">
      <w:pPr>
        <w:adjustRightInd/>
        <w:snapToGrid/>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注册资本：</w:t>
      </w:r>
      <w:r>
        <w:rPr>
          <w:rFonts w:hint="eastAsia" w:cs="Times New Roman" w:asciiTheme="minorEastAsia" w:hAnsiTheme="minorEastAsia" w:eastAsiaTheme="minorEastAsia"/>
          <w:sz w:val="24"/>
          <w:szCs w:val="20"/>
        </w:rPr>
        <w:t>2.5亿元人民币</w:t>
      </w:r>
    </w:p>
    <w:p w14:paraId="1A5B90D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存续期限：</w:t>
      </w:r>
      <w:r>
        <w:rPr>
          <w:rFonts w:hint="eastAsia" w:cs="Times New Roman" w:asciiTheme="minorEastAsia" w:hAnsiTheme="minorEastAsia" w:eastAsiaTheme="minorEastAsia"/>
          <w:sz w:val="24"/>
          <w:szCs w:val="20"/>
        </w:rPr>
        <w:t>持续经营</w:t>
      </w:r>
      <w:r>
        <w:rPr>
          <w:rFonts w:hint="eastAsia" w:asciiTheme="minorEastAsia" w:hAnsiTheme="minorEastAsia" w:eastAsiaTheme="minorEastAsia"/>
          <w:sz w:val="24"/>
        </w:rPr>
        <w:t>联系电话：</w:t>
      </w:r>
      <w:r>
        <w:rPr>
          <w:rFonts w:hint="eastAsia" w:cs="Times New Roman" w:asciiTheme="minorEastAsia" w:hAnsiTheme="minorEastAsia" w:eastAsiaTheme="minorEastAsia"/>
          <w:sz w:val="24"/>
          <w:szCs w:val="20"/>
        </w:rPr>
        <w:t>0755-83169999</w:t>
      </w:r>
    </w:p>
    <w:p w14:paraId="09F31EF4">
      <w:pPr>
        <w:spacing w:line="360" w:lineRule="auto"/>
        <w:ind w:firstLine="480" w:firstLineChars="200"/>
        <w:rPr>
          <w:rFonts w:asciiTheme="minorEastAsia" w:hAnsiTheme="minorEastAsia" w:eastAsiaTheme="minorEastAsia"/>
          <w:sz w:val="24"/>
        </w:rPr>
      </w:pPr>
    </w:p>
    <w:p w14:paraId="23861DD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（二）基金托管人</w:t>
      </w:r>
    </w:p>
    <w:p w14:paraId="3F0E682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名称：财通证券股份有限公司</w:t>
      </w:r>
    </w:p>
    <w:p w14:paraId="58A0C4B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住所：浙江省杭州市西湖区天目山路198号财通双冠大厦西楼</w:t>
      </w:r>
    </w:p>
    <w:p w14:paraId="4136B02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注册资本：人民币</w:t>
      </w:r>
      <w:r>
        <w:rPr>
          <w:rFonts w:asciiTheme="minorEastAsia" w:hAnsiTheme="minorEastAsia" w:eastAsiaTheme="minorEastAsia"/>
          <w:sz w:val="24"/>
        </w:rPr>
        <w:t>46.</w:t>
      </w:r>
      <w:r>
        <w:rPr>
          <w:rFonts w:hint="eastAsia" w:asciiTheme="minorEastAsia" w:hAnsiTheme="minorEastAsia" w:eastAsiaTheme="minorEastAsia"/>
          <w:sz w:val="24"/>
        </w:rPr>
        <w:t xml:space="preserve">44亿元 </w:t>
      </w:r>
    </w:p>
    <w:p w14:paraId="75DB244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法定代表人：章启诚</w:t>
      </w:r>
    </w:p>
    <w:p w14:paraId="2621DC0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成立日期：2003年06月11日</w:t>
      </w:r>
    </w:p>
    <w:p w14:paraId="2B32C94A">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批准设立机关和批准设立文号：中国证券监督管理委员会证监许可〔2013〕968号《关于核准财通证券有限责任公司变更为股份有限公司的批复》</w:t>
      </w:r>
    </w:p>
    <w:p w14:paraId="0971CFA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基金托管业务批准文号：证监许可〔2020〕2829号</w:t>
      </w:r>
    </w:p>
    <w:p w14:paraId="4F1F685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组织形式：其他股份有限公司（上市）</w:t>
      </w:r>
    </w:p>
    <w:p w14:paraId="60ED87F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存续期间：长期</w:t>
      </w:r>
    </w:p>
    <w:p w14:paraId="4DD8161A">
      <w:pPr>
        <w:spacing w:line="360" w:lineRule="auto"/>
        <w:ind w:firstLine="480" w:firstLineChars="200"/>
        <w:rPr>
          <w:rFonts w:asciiTheme="minorEastAsia" w:hAnsiTheme="minorEastAsia" w:eastAsiaTheme="minorEastAsia"/>
          <w:sz w:val="24"/>
        </w:rPr>
        <w:sectPr>
          <w:headerReference r:id="rId10" w:type="default"/>
          <w:footerReference r:id="rId11" w:type="default"/>
          <w:pgSz w:w="11906" w:h="16838"/>
          <w:pgMar w:top="1440" w:right="1797" w:bottom="1440" w:left="1797" w:header="851" w:footer="992" w:gutter="0"/>
          <w:pgNumType w:fmt="decimal" w:start="1"/>
          <w:cols w:space="720" w:num="1"/>
          <w:docGrid w:type="lines" w:linePitch="312" w:charSpace="0"/>
        </w:sectPr>
      </w:pPr>
      <w:r>
        <w:rPr>
          <w:rFonts w:hint="eastAsia" w:asciiTheme="minorEastAsia" w:hAnsiTheme="minorEastAsia" w:eastAsiaTheme="minorEastAsia"/>
          <w:sz w:val="24"/>
        </w:rPr>
        <w:t>经营范围：许可项目：证券业务；公募证券投资基金销售；证券投资基金托管。（依法须经批准的项目，经相关部门批准后方可开展经营活动，具体经营项目以相关部门批准文件或许可证件为准）。</w:t>
      </w:r>
    </w:p>
    <w:p w14:paraId="4C047BDF">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23" w:name="_Toc442"/>
      <w:bookmarkStart w:id="24" w:name="_Toc123626168"/>
      <w:bookmarkStart w:id="25" w:name="_Toc124749937"/>
      <w:bookmarkStart w:id="26" w:name="_Toc48703887"/>
      <w:bookmarkStart w:id="27" w:name="_Toc22454435"/>
      <w:bookmarkStart w:id="28" w:name="_Toc466788852"/>
      <w:bookmarkStart w:id="29" w:name="_Toc86843171"/>
      <w:bookmarkStart w:id="30" w:name="_Toc124749226"/>
      <w:bookmarkStart w:id="31" w:name="_Toc125361074"/>
      <w:bookmarkStart w:id="32" w:name="_Toc523829993"/>
      <w:r>
        <w:rPr>
          <w:rFonts w:hint="eastAsia" w:cs="Arial" w:asciiTheme="minorEastAsia" w:hAnsiTheme="minorEastAsia" w:eastAsiaTheme="minorEastAsia"/>
          <w:sz w:val="30"/>
        </w:rPr>
        <w:t>基金托管协议的依据、目的和原则</w:t>
      </w:r>
      <w:bookmarkEnd w:id="23"/>
      <w:bookmarkEnd w:id="24"/>
      <w:bookmarkEnd w:id="25"/>
      <w:bookmarkEnd w:id="26"/>
      <w:bookmarkEnd w:id="27"/>
      <w:bookmarkEnd w:id="28"/>
      <w:bookmarkEnd w:id="29"/>
      <w:bookmarkEnd w:id="30"/>
      <w:bookmarkEnd w:id="31"/>
      <w:bookmarkEnd w:id="32"/>
    </w:p>
    <w:p w14:paraId="6BD8C07E">
      <w:pPr>
        <w:spacing w:line="360" w:lineRule="auto"/>
        <w:ind w:firstLine="480" w:firstLineChars="200"/>
        <w:rPr>
          <w:rFonts w:asciiTheme="minorEastAsia" w:hAnsiTheme="minorEastAsia" w:eastAsiaTheme="minorEastAsia"/>
          <w:sz w:val="24"/>
        </w:rPr>
      </w:pPr>
      <w:bookmarkStart w:id="33" w:name="_Hlk41929486"/>
      <w:r>
        <w:rPr>
          <w:rFonts w:hint="eastAsia" w:asciiTheme="minorEastAsia" w:hAnsiTheme="minorEastAsia" w:eastAsiaTheme="minorEastAsia"/>
          <w:sz w:val="24"/>
        </w:rPr>
        <w:t>（一）订立托管协议的依据</w:t>
      </w:r>
    </w:p>
    <w:p w14:paraId="2AC85DB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协议依据《中华人民共和国证券投资基金法》（以下简称“《基金法》”）、《公开募集证券投资基金运作管理办法》（以下简称“《运作办法》”）、《公开募集证券投资基金信息披露管理办法》（以下简称“《信息披露办法》”）、《公开募集开放式证券投资基金流动性风险管理规定》（以下简称“《流动性风险管理规定》”）、《证券投资基金信息披露内容与格式准则第7号&lt;托管协议的内容与格式&gt;》、《公开募集证券投资基金运作指引第3号——指数基金指引》等有关法律法规、《博时恒生港股通科技主题交易型开放式指数证券投资基金基金合同》（以下简称“基金合同”或“《基金合同》”）及其他有关规定制订。</w:t>
      </w:r>
    </w:p>
    <w:p w14:paraId="0E0AA21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（二）订立托管协议的目的</w:t>
      </w:r>
    </w:p>
    <w:p w14:paraId="4DCB358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订立本协议的目的是明确基金管理人与基金托管人之间在基金财产的保管、投资运作、净值计算、收益分配、信息披露及相互监督等相关事宜中的权利义务及职责，确保基金财产的安全，保护基金份额持有人的合法权益。</w:t>
      </w:r>
    </w:p>
    <w:p w14:paraId="28CF957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（三）订立托管协议的原则</w:t>
      </w:r>
    </w:p>
    <w:p w14:paraId="013B625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基金管理人和基金托管人本着平等自愿、诚实信用、充分保护基金份额持有人合法权益的原则，经协商一致，签订本协议。</w:t>
      </w:r>
    </w:p>
    <w:p w14:paraId="0507A32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（四）解释</w:t>
      </w:r>
    </w:p>
    <w:p w14:paraId="28B8C87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除非文义另有所指，本协议所使用的所有术语与基金合同的相应术语具有相同含义。若有抵触应以基金合同为准，并依其条款解释。</w:t>
      </w:r>
    </w:p>
    <w:p w14:paraId="0B2F4AD8">
      <w:pPr>
        <w:spacing w:line="360" w:lineRule="auto"/>
        <w:ind w:firstLine="480" w:firstLineChars="200"/>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sz w:val="24"/>
        </w:rPr>
        <w:t>若本基金实施侧袋机制的，侧袋机制实施期间的相关安排见基金合同和招募说明书的规定。</w:t>
      </w:r>
    </w:p>
    <w:bookmarkEnd w:id="0"/>
    <w:bookmarkEnd w:id="1"/>
    <w:bookmarkEnd w:id="2"/>
    <w:bookmarkEnd w:id="3"/>
    <w:p w14:paraId="2EB2BB33">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34" w:name="_Toc86843172"/>
      <w:bookmarkStart w:id="35" w:name="_Toc3112"/>
      <w:bookmarkStart w:id="36" w:name="_Toc124749938"/>
      <w:bookmarkStart w:id="37" w:name="_Toc125361075"/>
      <w:bookmarkStart w:id="38" w:name="_Toc124749227"/>
      <w:r>
        <w:rPr>
          <w:rFonts w:hint="eastAsia" w:cs="Arial" w:asciiTheme="minorEastAsia" w:hAnsiTheme="minorEastAsia" w:eastAsiaTheme="minorEastAsia"/>
          <w:sz w:val="30"/>
        </w:rPr>
        <w:t>基金托管人对基金</w:t>
      </w:r>
      <w:bookmarkEnd w:id="33"/>
      <w:r>
        <w:rPr>
          <w:rFonts w:hint="eastAsia" w:cs="Arial" w:asciiTheme="minorEastAsia" w:hAnsiTheme="minorEastAsia" w:eastAsiaTheme="minorEastAsia"/>
          <w:sz w:val="30"/>
        </w:rPr>
        <w:t>管理人的业务监督和核查</w:t>
      </w:r>
      <w:bookmarkEnd w:id="34"/>
      <w:bookmarkEnd w:id="35"/>
      <w:bookmarkEnd w:id="36"/>
      <w:bookmarkEnd w:id="37"/>
      <w:bookmarkEnd w:id="38"/>
    </w:p>
    <w:p w14:paraId="17F826D5">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（一）基金托管人对基金管理人的投资行为行使监督权</w:t>
      </w:r>
    </w:p>
    <w:p w14:paraId="02736AE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基金托管人根据有关法律法规的规定及基金合同的约定，对基金投资范围、投资对象进行监督。</w:t>
      </w:r>
    </w:p>
    <w:p w14:paraId="5579F1AC">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39" w:name="_Toc229474061"/>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本基金主要投资于标的指数成份股和备选成份股（含存托凭证）。 </w:t>
      </w:r>
    </w:p>
    <w:p w14:paraId="43D8FDB8">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为更好地实现基金的投资目标，本基金可少量投资于依法发行上市的非成份股（包括港股通标的股票、主板、创业板及其他经中国证监会核准或注册上市的股票和存托凭证）、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7A7C8EC7">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本基金可根据法律法规的规定参与融资和转融通证券出借业务。 </w:t>
      </w:r>
    </w:p>
    <w:p w14:paraId="70E41036">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如法律法规或中国证监会以后允许基金投资其他品种，本基金管理人在履行适当程序后，可以将其纳入本基金的投资范围。</w:t>
      </w:r>
    </w:p>
    <w:p w14:paraId="58089185">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和应收申购款等；股指期货、股票期权、国债期货及其他金融工具的投资比例依照法律法规或监管机构的规定执行。 </w:t>
      </w:r>
    </w:p>
    <w:p w14:paraId="70C7C24F">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bookmarkEnd w:id="39"/>
    </w:p>
    <w:p w14:paraId="0C04AAB9">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（二）基金托管人根据有关法律法规的规定及基金合同的约定，对基金投资比例进行监督。基金托管人按下述比例和调整期限进行监督：</w:t>
      </w:r>
    </w:p>
    <w:p w14:paraId="3DCED742">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1、组合限制</w:t>
      </w:r>
    </w:p>
    <w:p w14:paraId="3915B6F9">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基金的投资组合应遵循以下限制：</w:t>
      </w:r>
    </w:p>
    <w:p w14:paraId="52050020">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40" w:name="OLE_LINK5"/>
      <w:bookmarkStart w:id="41" w:name="OLE_LINK6"/>
      <w:bookmarkStart w:id="42" w:name="OLE_LINK4"/>
      <w:bookmarkStart w:id="43" w:name="OLE_LINK3"/>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（1）本基金投资于标的指数成份股和备选成份股（含存托凭证）的资产比例不低于基金资产净值的90%，且不低于非现金基金资产的80%； </w:t>
      </w:r>
    </w:p>
    <w:p w14:paraId="1C33DF8F">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（2）本基金每个交易日日终在扣除国债期货、股指期货和股票期权合约需缴纳的交易保证金后，应当保持不低于交易保证金一倍的现金，其中现金不包括结算备付金、存出保证金和应收申购款等； </w:t>
      </w:r>
    </w:p>
    <w:p w14:paraId="71B3746C">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（3）本基金参与股指期货、国债期货交易依据下列标准建构组合： </w:t>
      </w:r>
    </w:p>
    <w:p w14:paraId="2FFD8B43">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  </w:t>
      </w:r>
    </w:p>
    <w:p w14:paraId="3EFBDED7">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 </w:t>
      </w:r>
    </w:p>
    <w:p w14:paraId="13A46501">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6658A4C3">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（4）本基金持有的全部资产支持证券，其市值不得超过基金资产净值的20％； </w:t>
      </w:r>
    </w:p>
    <w:p w14:paraId="13B0A795">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（5）本基金投资于同一原始权益人的各类资产支持证券的比例，不得超过基金资产净值的10％； </w:t>
      </w:r>
    </w:p>
    <w:p w14:paraId="7DFE3CA6">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（6）本基金持有的同一(指同一信用级别)资产支持证券的比例，不得超过该资产支持证券规模的10％； </w:t>
      </w:r>
    </w:p>
    <w:p w14:paraId="1B9B21BF">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（7）本基金管理人管理的全部基金投资于同一原始权益人的各类资产支持证券，不得超过其各类资产支持证券合计规模的10％； </w:t>
      </w:r>
    </w:p>
    <w:p w14:paraId="0E8A53E3">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（8）本基金应投资于信用级别评级为BBB以上(含BBB)的资产支持证券。基金持有资产支持证券期间，如果其信用等级下降、不再符合投资标准，应在评级报告发布之日起3个月内予以全部卖出； </w:t>
      </w:r>
    </w:p>
    <w:p w14:paraId="7C96F04B">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（9）基金财产参与股票发行申购，本基金所申报的金额不超过本基金的总资产，本基金所申报的股票数量不超过拟发行股票公司本次发行股票的总量； </w:t>
      </w:r>
    </w:p>
    <w:p w14:paraId="6FE86190">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（10）本基金资产总值不得超过基金资产净值的140%； </w:t>
      </w:r>
    </w:p>
    <w:p w14:paraId="3C029908">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（11）本基金参与融资的，在任何交易日日终，本基金持有的融资买入股票与其他有价证券市值之和，不得超过基金资产净值的95%； </w:t>
      </w:r>
    </w:p>
    <w:p w14:paraId="64DA4730">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（12）本基金参与转融通证券出借交易应当符合以下要求： </w:t>
      </w:r>
    </w:p>
    <w:p w14:paraId="0A39B1A3">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1）出借证券资产不得超过基金资产净值的30%，出借期限在10个交易日以上的出借证券应纳入《流动性风险管理规定》所述流动性受限证券的范围； </w:t>
      </w:r>
    </w:p>
    <w:p w14:paraId="635DB8E6">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2）参与出借业务的单只证券不得超过基金持有该证券总量的30%； </w:t>
      </w:r>
    </w:p>
    <w:p w14:paraId="20537AA8">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3）最近6个月内日均基金资产净值不得低于2亿元； </w:t>
      </w:r>
    </w:p>
    <w:p w14:paraId="002E5AA4">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4）证券出借的平均剩余期限不得超过30天，平均剩余期限按照市值加权平均计算； </w:t>
      </w:r>
    </w:p>
    <w:p w14:paraId="6E9BC5B1">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因证券市场波动、上市公司合并、基金规模变动等基金管理人之外的因素致使基金投资不符合本条规定的，基金管理人不得新增出借业务； </w:t>
      </w:r>
    </w:p>
    <w:p w14:paraId="03A6B93A">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13）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 </w:t>
      </w:r>
    </w:p>
    <w:p w14:paraId="05CF54FA">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05EC6906">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（15）本基金与私募类证券资管产品及中国证监会认定的其他主体为交易对手开展逆回购交易的，可接受质押品的资质要求应当与基金合同约定的投资范围保持一致； </w:t>
      </w:r>
    </w:p>
    <w:p w14:paraId="55325397">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（16）本基金投资存托凭证的比例限制依照境内上市交易的股票执行，与境内上市交易的股票合并计算；</w:t>
      </w:r>
    </w:p>
    <w:p w14:paraId="3C498796">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7）法律法规及中国证监会规定的和《基金合同》约定的其他投资限制。 </w:t>
      </w:r>
    </w:p>
    <w:p w14:paraId="362E0E46">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除第（2）、（8）、（12）、（14）、（15）条外，因证券/期货市场波动、证券发行人合并、基金规模变动、标的指数成份股调整、标的指数成份股流动性限制、港股通额度不足等基金管理人之外的因素致使基金投资比例不符合上述规定投资比例的，基金管理人应当在10个交易日内进行调整，但中国证监会规定的特殊情形除外。</w:t>
      </w:r>
    </w:p>
    <w:p w14:paraId="5753041D">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bookmarkEnd w:id="40"/>
    <w:bookmarkEnd w:id="41"/>
    <w:p w14:paraId="14A7A523">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如果法律法规或监管部门对基金合同约定投资组合比例限制进行变更的，以变更后的规定为准。法律法规或监管部门取消上述限制，如适用于本基金，基金管理人在履行适当程序后，则本基金投资不再受相关限制</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，自动遵守届时有效的法律法规或监管规定</w:t>
      </w:r>
      <w:r>
        <w:rPr>
          <w:rFonts w:hint="eastAsia" w:asciiTheme="minorEastAsia" w:hAnsiTheme="minorEastAsia" w:eastAsiaTheme="minorEastAsia"/>
          <w:sz w:val="24"/>
          <w:szCs w:val="21"/>
        </w:rPr>
        <w:t>。</w:t>
      </w:r>
    </w:p>
    <w:bookmarkEnd w:id="42"/>
    <w:bookmarkEnd w:id="43"/>
    <w:p w14:paraId="129FC212">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三）基金托管人根据有关法律法规的规定及基金合同的约定，对本托管协议项下的基金投资禁止行为进行监督。基金托管人通过事后监督方式对基金管理人基金投资禁止行为进行监督。基金财产不得用于下列投资或者活动。</w:t>
      </w:r>
    </w:p>
    <w:p w14:paraId="62A22488">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（1）承销证券；</w:t>
      </w:r>
    </w:p>
    <w:p w14:paraId="66FD1B5F">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（2）违反规定向他人贷款或者提供担保；</w:t>
      </w:r>
    </w:p>
    <w:p w14:paraId="14B3EC35">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（3）从事承担无限责任的投资；</w:t>
      </w:r>
    </w:p>
    <w:p w14:paraId="20A7CD08">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（4）买卖其他基金份额，但是 中国证监会 另有规定的除外；</w:t>
      </w:r>
    </w:p>
    <w:p w14:paraId="1BEDD4E3">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（5）向基金管理人、基金托管人出资；</w:t>
      </w:r>
    </w:p>
    <w:p w14:paraId="2F638BC2">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（6）从事内幕交易、操纵证券交易价格及其他不正当的证券交易活动；</w:t>
      </w:r>
    </w:p>
    <w:p w14:paraId="29543F41">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（7）法律、行政法规和中国证监会规定禁止的其他活动。</w:t>
      </w:r>
    </w:p>
    <w:p w14:paraId="5107188C">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5C99559">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法律、行政法规或监管部门取消或调整上述限制，如适用于本基金，基金管理人在履行适当程序后，则本基金投资不再受相关限制或按照调整后的规定执行。</w:t>
      </w:r>
    </w:p>
    <w:p w14:paraId="14D28758">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根据法律法规有关基金从事的关联交易的规定，基金管理人和基金托管人应事先相互提供与本机构有控股关系的股东或与本机构有其他重大利害关系的公司名单及其更新，并以电子邮件或双方约定的其他方式提交，确保所提供的关联交易名单的真实性、完整性、全面性，并负责及时将更新后的名单发送给对方。</w:t>
      </w:r>
    </w:p>
    <w:p w14:paraId="3E3525F2">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（四）基金托管人根据有关法律法规的规定及基金合同的约定，对基金管理人参与银行间债券市场进行监督。</w:t>
      </w:r>
    </w:p>
    <w:p w14:paraId="39FA92D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管理人参与银行间市场交易，应按照审慎的风险控制原则评估交易对手资信风险，并自主选择交易对手。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有权向相关交易对手追偿，基金托管人应予以必要的协助与配合。</w:t>
      </w:r>
    </w:p>
    <w:p w14:paraId="0E9A0E1D">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五）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63C7CA13">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（六）基金托管人对基金投资银行存款进行监督。</w:t>
      </w:r>
    </w:p>
    <w:p w14:paraId="4B15CC8C">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本基金投资银行存款应符合如下规定：</w:t>
      </w:r>
    </w:p>
    <w:p w14:paraId="60461BD7">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1、基金管理人、基金托管人应当与存款银行建立定期对账机制，确保基金银行存款业务账目及核算的真实、准确。</w:t>
      </w:r>
    </w:p>
    <w:p w14:paraId="793F663B">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基金管理人应当按照有关法规规定，与基金托管人、存款机构签订相关书面协议。基金托管人应根据有关相关法规及协议对基金银行存款业务进行监督与核查，严格审查、复核相关协议、账户资料、投资指令、存款证实书等有关文件，切实履行托管职责。</w:t>
      </w:r>
    </w:p>
    <w:p w14:paraId="4316339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3、基金管理人与基金托管人在开展基金存款业务时，应严格遵守《基金法》、《运作办法》等有关法律法规，以及国家有关账户管理、利率管理、支付结算等的各项规定。</w:t>
      </w:r>
    </w:p>
    <w:p w14:paraId="3F45C4BE">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4、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基金管理人未根据有关法律法规的规定及基金合同的约定对定期存款提前支取的，损失由其承担。</w:t>
      </w:r>
    </w:p>
    <w:p w14:paraId="1447EFE7">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（七）基金托管人根据有关法律法规的规定及《基金合同》的约定，对基金管理人投资流通受限证券进行监督。</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lang w:val="en-US" w:eastAsia="zh-CN"/>
        </w:rPr>
        <w:t xml:space="preserve">    </w:t>
      </w:r>
      <w:bookmarkStart w:id="177" w:name="_GoBack"/>
      <w:bookmarkEnd w:id="177"/>
      <w:r>
        <w:rPr>
          <w:rFonts w:hint="eastAsia" w:asciiTheme="minorEastAsia" w:hAnsiTheme="minorEastAsia" w:eastAsiaTheme="minorEastAsia"/>
          <w:sz w:val="24"/>
          <w:szCs w:val="21"/>
        </w:rPr>
        <w:t>1、基金管理人投资流通受限证券，应遵守等有关法律法规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2、流通受限证券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14:paraId="5E550DEF">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基金管理人应保证本基金投资的流通受限证券登记存管在本基金名下，并确保基金托管人能够正常查询。因基金管理人原因产生的流通受限证券登记存管问题，造成基金托管人无法安全保管本基金资产的责任与损失，及基金财产的损失，由基金管理人承担。</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4、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基金管理人对本基金投资流通受限证券的流动性风险负责，确保对相关风险采取积极有效的措施，在合理的时间内有效解决基金运作的流动性问题。如因市场发生剧烈变动等原因而导致基金现金周转困难时，基金管理人应保证提供足额现金确保基金的支付结算。对本基金因投资流通受限证券导致的流动性风险，基金托管人不承担任何责任。如因基金管理人原因导致本基金出现损失致使基金托管人承担连带赔偿责任的，基金管理人应赔偿基金托管人由此遭受的损失。</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5、在投资流通受限证券之前，基金管理人应至少提前一个交易日向基金托管人提供有关流通受限证券的相关信息，具体应当包括但不限于如下文件（如有）：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6、基金管理人应在本基金投资非公开发行股票后两个交易日内，在中国证监会规定媒介披露所投资非公开发行股票的名称、数量、总成本、账面价值，以及总成本和账面价值占基金资产净值的比例、锁定期等信息。</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8、基金托管人根据有关规定有权对基金管理人进行以下事项监督：</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（1）本基金投资流通受限证券时的法律法规遵守情况。 </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（2）在基金投资流通受限证券管理工作方面有关制度、流动性风险处置预案的建立与完善情况。 </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（3）有关比例限制的执行情况。 </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（4）信息披露情况。 </w:t>
      </w:r>
      <w:r>
        <w:rPr>
          <w:rFonts w:asciiTheme="minorEastAsia" w:hAnsiTheme="minorEastAsia" w:eastAsiaTheme="minorEastAsia"/>
          <w:sz w:val="24"/>
          <w:szCs w:val="21"/>
        </w:rPr>
        <w:br w:type="textWrapping"/>
      </w:r>
      <w:r>
        <w:rPr>
          <w:rFonts w:hint="eastAsia" w:asciiTheme="minorEastAsia" w:hAnsiTheme="minorEastAsia" w:eastAsiaTheme="minorEastAsia"/>
          <w:sz w:val="24"/>
          <w:szCs w:val="21"/>
        </w:rPr>
        <w:t xml:space="preserve">    </w:t>
      </w:r>
      <w:r>
        <w:rPr>
          <w:rFonts w:asciiTheme="minorEastAsia" w:hAnsiTheme="minorEastAsia" w:eastAsiaTheme="minorEastAsia"/>
          <w:sz w:val="24"/>
          <w:szCs w:val="21"/>
        </w:rPr>
        <w:t>9</w:t>
      </w:r>
      <w:r>
        <w:rPr>
          <w:rFonts w:hint="eastAsia" w:asciiTheme="minorEastAsia" w:hAnsiTheme="minorEastAsia" w:eastAsiaTheme="minorEastAsia"/>
          <w:sz w:val="24"/>
          <w:szCs w:val="21"/>
        </w:rPr>
        <w:t>、相关法律法规对基金投资流通受限证券有新规定的，从其规定。</w:t>
      </w:r>
    </w:p>
    <w:p w14:paraId="5BB71985">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八）基金托管人发现基金管理人的上述事项及投资指令或实际投资运作违反法律法规、基金合同和本托管协议的规定，应及时以电话提醒、邮件提醒或书面提示等方式通知基金管理人限期纠正。基金管理人应积极配合和协助基金托管人的监督和核查。基金管理人收到书面通知后应在下一工作日前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14:paraId="627967FC">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九）基金管理人有义务配合和协助基金托管人依照法律法规、基金合同和本托管协议对基金业务执行核查。对基金托管人发出的书面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w:t>
      </w:r>
    </w:p>
    <w:p w14:paraId="1513502A">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（十）若基金托管人发现基金管理人依据交易程序已经生效的指令违反法律、行政法规和其他有关规定，或者违反基金合同约定的，应当立即以书面或以双方认可的其他方式通知基金管理人，</w:t>
      </w:r>
      <w:r>
        <w:rPr>
          <w:rFonts w:asciiTheme="minorEastAsia" w:hAnsiTheme="minorEastAsia" w:eastAsiaTheme="minorEastAsia"/>
          <w:sz w:val="24"/>
          <w:szCs w:val="21"/>
        </w:rPr>
        <w:t>并及时向中国证监会报告</w:t>
      </w:r>
      <w:r>
        <w:rPr>
          <w:rFonts w:hint="eastAsia" w:asciiTheme="minorEastAsia" w:hAnsiTheme="minorEastAsia" w:eastAsiaTheme="minorEastAsia"/>
          <w:sz w:val="24"/>
          <w:szCs w:val="21"/>
        </w:rPr>
        <w:t>。</w:t>
      </w:r>
    </w:p>
    <w:p w14:paraId="715439DB">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14:paraId="52EF95F4">
      <w:pPr>
        <w:pStyle w:val="2"/>
        <w:keepNext w:val="0"/>
        <w:keepLines w:val="0"/>
        <w:numPr>
          <w:ilvl w:val="0"/>
          <w:numId w:val="1"/>
        </w:numPr>
        <w:autoSpaceDE w:val="0"/>
        <w:autoSpaceDN w:val="0"/>
        <w:adjustRightInd w:val="0"/>
        <w:spacing w:before="360" w:after="360"/>
        <w:jc w:val="center"/>
        <w:textAlignment w:val="baseline"/>
        <w:rPr>
          <w:rFonts w:asciiTheme="minorEastAsia" w:hAnsiTheme="minorEastAsia" w:eastAsiaTheme="minorEastAsia"/>
          <w:szCs w:val="21"/>
        </w:rPr>
        <w:sectPr>
          <w:pgSz w:w="11906" w:h="16838"/>
          <w:pgMar w:top="1440" w:right="1797" w:bottom="1440" w:left="1797" w:header="851" w:footer="992" w:gutter="0"/>
          <w:pgNumType w:fmt="decimal"/>
          <w:cols w:space="720" w:num="1"/>
          <w:docGrid w:type="lines" w:linePitch="312" w:charSpace="0"/>
        </w:sectPr>
      </w:pPr>
    </w:p>
    <w:p w14:paraId="04BD0DD5">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44" w:name="_Toc125361076"/>
      <w:bookmarkStart w:id="45" w:name="_Toc124749939"/>
      <w:bookmarkStart w:id="46" w:name="_Toc124749228"/>
      <w:bookmarkStart w:id="47" w:name="_Toc86843173"/>
      <w:bookmarkStart w:id="48" w:name="_Toc123705448"/>
      <w:bookmarkStart w:id="49" w:name="_Toc5229"/>
      <w:r>
        <w:rPr>
          <w:rFonts w:hint="eastAsia" w:cs="Arial" w:asciiTheme="minorEastAsia" w:hAnsiTheme="minorEastAsia" w:eastAsiaTheme="minorEastAsia"/>
          <w:sz w:val="30"/>
        </w:rPr>
        <w:t>基金管理人对基金托管人的业务核查</w:t>
      </w:r>
      <w:bookmarkEnd w:id="44"/>
      <w:bookmarkEnd w:id="45"/>
      <w:bookmarkEnd w:id="46"/>
      <w:bookmarkEnd w:id="47"/>
      <w:bookmarkEnd w:id="48"/>
      <w:bookmarkEnd w:id="49"/>
    </w:p>
    <w:p w14:paraId="237D2370">
      <w:pPr>
        <w:spacing w:line="440" w:lineRule="exact"/>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一）基金管理人对基金托管人履行托管职责情况进行核查，核查事项包括但不限于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14:paraId="5B1BC8F8">
      <w:pPr>
        <w:spacing w:line="440" w:lineRule="exact"/>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二）基金管理人发现基金托管人擅自挪用基金财产、未对基金财产实行分账管理、未执行或无故延迟执行基金管理人资金划拨指令、泄露基金投资信息等违反《基金法》、基金合同、本托管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基金托管人对基金管理人通知的违规事项未能在限期内纠正或未在合理期限内确认的，基金管理人应报告中国证监会。基金管理人有权要求基金托管人赔偿基金管理人及基金财产因此所遭受的损失。</w:t>
      </w:r>
    </w:p>
    <w:p w14:paraId="255375F1">
      <w:pPr>
        <w:spacing w:line="440" w:lineRule="exact"/>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（三）基金管理人发现基金托管人有重大违规行为，应及时报告中国证监会，同时通知基金托管人限期纠正，并将纠正结果报告中国证监会。</w:t>
      </w:r>
    </w:p>
    <w:p w14:paraId="0E4D7CB0">
      <w:pPr>
        <w:spacing w:line="440" w:lineRule="exact"/>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管理人基于正当合理理由可定期和不定期地对基金托管人保管的基金财产进行核查。基金托管人应积极配合基金管理人的核查行为，包括但不限于：交相关资料以供基金管理人核查托管财产的完整性和真实性。</w:t>
      </w:r>
    </w:p>
    <w:p w14:paraId="2BE81AB6">
      <w:pPr>
        <w:spacing w:line="440" w:lineRule="exact"/>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基金托管人无正当理由，拒绝、阻挠对方根据本协议规定行使监督权，或采取拖延、欺诈等手段妨碍对方进行有效监督，情节严重或经基金管理人提出警告仍不改正的，基金管理人应报告中国证监会。</w:t>
      </w:r>
    </w:p>
    <w:p w14:paraId="7F6CFD0A">
      <w:pPr>
        <w:spacing w:line="440" w:lineRule="exact"/>
        <w:ind w:firstLine="480" w:firstLineChars="200"/>
        <w:rPr>
          <w:rFonts w:asciiTheme="minorEastAsia" w:hAnsiTheme="minorEastAsia" w:eastAsiaTheme="minorEastAsia"/>
          <w:sz w:val="24"/>
          <w:szCs w:val="21"/>
        </w:rPr>
        <w:sectPr>
          <w:pgSz w:w="11906" w:h="16838"/>
          <w:pgMar w:top="1440" w:right="1797" w:bottom="1440" w:left="1797" w:header="851" w:footer="992" w:gutter="0"/>
          <w:pgNumType w:fmt="decimal"/>
          <w:cols w:space="720" w:num="1"/>
          <w:docGrid w:type="lines" w:linePitch="312" w:charSpace="0"/>
        </w:sectPr>
      </w:pPr>
    </w:p>
    <w:p w14:paraId="720792A8">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50" w:name="_Hlt88903324"/>
      <w:bookmarkEnd w:id="50"/>
      <w:bookmarkStart w:id="51" w:name="_Toc22454437"/>
      <w:bookmarkStart w:id="52" w:name="_Toc48703889"/>
      <w:bookmarkStart w:id="53" w:name="_Toc523829995"/>
      <w:bookmarkStart w:id="54" w:name="_Toc125361077"/>
      <w:bookmarkStart w:id="55" w:name="_Toc123626171"/>
      <w:bookmarkStart w:id="56" w:name="_Toc5457"/>
      <w:bookmarkStart w:id="57" w:name="_Toc124749940"/>
      <w:bookmarkStart w:id="58" w:name="_Toc86843174"/>
      <w:bookmarkStart w:id="59" w:name="_Toc124749229"/>
      <w:bookmarkStart w:id="60" w:name="_Toc466788854"/>
      <w:r>
        <w:rPr>
          <w:rFonts w:hint="eastAsia" w:cs="Arial" w:asciiTheme="minorEastAsia" w:hAnsiTheme="minorEastAsia" w:eastAsiaTheme="minorEastAsia"/>
          <w:sz w:val="30"/>
        </w:rPr>
        <w:t>基金财产的保管</w:t>
      </w:r>
      <w:bookmarkEnd w:id="51"/>
      <w:bookmarkEnd w:id="52"/>
      <w:bookmarkEnd w:id="53"/>
      <w:bookmarkEnd w:id="54"/>
      <w:bookmarkEnd w:id="55"/>
      <w:bookmarkEnd w:id="56"/>
      <w:bookmarkEnd w:id="57"/>
      <w:bookmarkEnd w:id="58"/>
      <w:bookmarkEnd w:id="59"/>
      <w:bookmarkEnd w:id="60"/>
    </w:p>
    <w:p w14:paraId="4C0300FD">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（一）基金财产保管的原则</w:t>
      </w:r>
    </w:p>
    <w:p w14:paraId="661CAF88">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1、基金财产应独立于基金管理人、基金托管人的固有财产。</w:t>
      </w:r>
    </w:p>
    <w:p w14:paraId="32A214C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2、基金托管人应安全保管基金财产。</w:t>
      </w:r>
    </w:p>
    <w:p w14:paraId="3CAF40EC">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3、基金托管人按照规定开设基金财产的资金账户、证券账户等投资所需账户。</w:t>
      </w:r>
    </w:p>
    <w:p w14:paraId="40B8C782">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4、基金托管人对所托管的不同基金财产分别设置账户，独立运作，分开核算，确保基金财产的完整与独立。</w:t>
      </w:r>
    </w:p>
    <w:p w14:paraId="2150A42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5、基金托管人按照基金合同和本协议的约定保管基金财产，如有特殊情况双方可另行协商解决。基金托管人未经基金管理人的合法合规指令，不得自行运用、处分、分配本基金的任何资产（不包含托管资产开户银行扣收结算费和账户维护费等费用）。</w:t>
      </w:r>
    </w:p>
    <w:p w14:paraId="1DEB6858">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应予以必要的协助与配合，但对此不承担相应责任。</w:t>
      </w:r>
    </w:p>
    <w:p w14:paraId="4739A26B">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7、</w:t>
      </w:r>
      <w:r>
        <w:rPr>
          <w:rFonts w:asciiTheme="minorEastAsia" w:hAnsiTheme="minorEastAsia" w:eastAsiaTheme="minorEastAsia"/>
          <w:sz w:val="24"/>
          <w:szCs w:val="21"/>
        </w:rPr>
        <w:t>对因为基金管理人投资产生的存放或存管在基金托管人以外机构的基金财产，或交由期货公司负责清算交收的基金财产（包括但不限于期货保证金账户内的资金、期货合约等）及其收益，若由于该等机构或该机构会员单位等本协议当事人外第三方的原因给基金财产造成的损失等，基金托管人不承担责任。</w:t>
      </w:r>
    </w:p>
    <w:p w14:paraId="455FBAF5">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8、除依据法律法规和基金合同的规定外，基金托管人不得委托第三人托管基金财产。</w:t>
      </w:r>
    </w:p>
    <w:p w14:paraId="304524EB">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（二）基金募集期间及募集资金的验资</w:t>
      </w:r>
    </w:p>
    <w:p w14:paraId="62257499">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1、基金募集期间募集的资金应存于基金管理人开立的“基金募集专户”。该账户由基金管理人开立并管理。</w:t>
      </w:r>
    </w:p>
    <w:p w14:paraId="49C728EF">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基金募集期满或基金提前结束募集时，募集的基金份额总额、基金募集金额、基金份额持有人人数符合《基金法》、《运作办法》、基金合同等有关规定后，基金管理人应将属于基金财产的全部资金划入基金托管人为本基金开立的基金银行账户，同时在规定时间内，聘请符合《中华人民共和国证券法》规定的会计师事务所进行验资，出具验资报告。出具的验资报告由参加验资的2名或2名以上中国注册会计师签字方为有效。</w:t>
      </w:r>
    </w:p>
    <w:p w14:paraId="697FF381">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3、若基金募集期限届满或基金停止募集时，未能达到基金备案的条件，由基金管理人按规定办理退款等事宜，基金托管人应提供充分协助。</w:t>
      </w:r>
    </w:p>
    <w:p w14:paraId="2DC8137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（三）基金银行账户的开立和管理</w:t>
      </w:r>
    </w:p>
    <w:p w14:paraId="6CA25057">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基金托管人以基金托管人的名义开设本基金的基金托管专户，也称为资金账户，保管基金财产的银行存款。该账户的开设和管理由基金托管人承担。本基金的一切货币收支活动，均需通过基金托管人的基金托管专户进行。</w:t>
      </w:r>
    </w:p>
    <w:p w14:paraId="1CC31B5B">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2、基金托管人可根据实际情况需要，为本基金开立资金清算辅助账户，以办理相关的资金汇划业务。</w:t>
      </w:r>
    </w:p>
    <w:p w14:paraId="38FA1CB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3、基金托管专户的开立和使用，限于满足开展本基金业务的需要。基金托管人和基金管理人不得假借本基金的名义开立任何其他银行账户；亦不得使用基金的任何账户进行本基金业务以外的活动。</w:t>
      </w:r>
    </w:p>
    <w:p w14:paraId="6248B590">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4、基金托管专户的开立和管理应符合银行业监督管理机构的有关规定。</w:t>
      </w:r>
    </w:p>
    <w:p w14:paraId="34A9575F">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5、在符合法律法规规定的条件下，基金托管人可以通过基金托管专户办理基金资产的支付。</w:t>
      </w:r>
    </w:p>
    <w:p w14:paraId="4B5BD6C3">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（四）定期存款账户</w:t>
      </w:r>
    </w:p>
    <w:p w14:paraId="6930192F">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财产投资定期存款在存款机构开立的银行账户，包括实体或虚拟账户，其预留印鉴经各方商议后预留。在取得存款证实书后，基金托管人保管证实书正本。基金管理人应该在合理的时间内进行定期存款的投资和支取事宜，若基金管理人提前支取或部分提前支取定期存款，若产生息差（即本基金已计提的资金利息和提前支取时收到的资金利息差额），该息差的处理方法由基金管理人和基金托管人双方协商解决。</w:t>
      </w:r>
    </w:p>
    <w:p w14:paraId="43B0128B">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对于任何的定期存款投资，基金管理人都必须和存款机构签订定期存款协议，约定双方的权利和义务，该协议作为划款指令附件。该协议中必须有如下明确条款：“存款证实书不得被质押或以任何方式被抵押，并不得用于转让和背书；本息到期归还或提前支取的所有款项必须划至托管专户（明确户名、开户行、账号等），不得划入其他任何账户”。如定期存款协议中未体现前述条款，基金托管人有权拒绝定期存款投资的划款指令。</w:t>
      </w:r>
    </w:p>
    <w:p w14:paraId="315647B7">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（五）债券托管账户的开设和管理 </w:t>
      </w:r>
    </w:p>
    <w:p w14:paraId="56AC8F52">
      <w:pPr>
        <w:spacing w:line="360" w:lineRule="auto"/>
        <w:ind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基金合同生效后，基金管理人根据投资需要在中国人民银行完成全国银行间债券市场准入备案，基金托管人应配合提供相关材料。根据银行间市场登记结算机构的有关规定，基金托管人协助基金管理人以本基金的名义在银行间市场登记结算机构开立债券托管账户和资金结算账户，并代表本基金进行银行间市场债券的结算。</w:t>
      </w:r>
    </w:p>
    <w:p w14:paraId="4D67B9E0">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（六）基金证券账户和证券交易资金账户的开立和管理</w:t>
      </w:r>
    </w:p>
    <w:p w14:paraId="57FB403D">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1、基金托管人在中国证券登记结算有限责任公司（以下简称“中登公司”）为基金开立基金托管人与本基金联名的证券账户。</w:t>
      </w:r>
    </w:p>
    <w:p w14:paraId="56EFE2EF">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152B5CAB">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3、基金证券账户的开立和证券账户卡的保管由基金托管人负责，账户资产的管理和运用由基金管理人负责。</w:t>
      </w:r>
    </w:p>
    <w:p w14:paraId="3CF3D49C">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4、基金管理人为基金财产在证券经纪机构开立证券交易资金账户，用于基金财产证券交易结算资金的存管、记载交易结算资金的变动明细以及场内证券交易清算，并与基金托管人开立的托管账户建立第三方存管关系。</w:t>
      </w:r>
    </w:p>
    <w:p w14:paraId="265207A6">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5、若中国证监会或其他监管机构在本托管协议生效日之后允许基金从事其他投资品种的投资业务，涉及相关账户的开立、使用的，若无相关规定，则基金托管人比照上述关于账户开立、使用的规定执行。</w:t>
      </w:r>
    </w:p>
    <w:p w14:paraId="15767111">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（七）其他账户的开立和管理</w:t>
      </w:r>
    </w:p>
    <w:p w14:paraId="0E37A191">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1、因业务发展需要而开立的其他账户，可以根据法律法规和基金合同的规定，由基金管理人与基金托管人协商后由基金托管人负责办理。新账户按有关规定使用并管理。</w:t>
      </w:r>
    </w:p>
    <w:p w14:paraId="740B0D4A">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2、法律法规等有关规定对相关账户的开立和管理另有规定的，从其规定。</w:t>
      </w:r>
    </w:p>
    <w:p w14:paraId="1BECDA4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（八）基金财产投资的有关有价凭证等的保管</w:t>
      </w:r>
    </w:p>
    <w:p w14:paraId="3EA75C0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财产投资的有关实物证券、银行存款开户证实书等有价凭证由基金托管人存放于基金托管人的保管库，也可存入中央国债登记结算有限责任公司、中登公司上海分公司/深圳分公司/北京分公司、银行间市场清算所股份有限公司或票据营业中心的代保管库，保管凭证由基金托管人持有。实物证券、银行存款开户证实书等有价凭证的购买和转让，由基金托管人根据基金管理人的指令办理。属于基金托管人控制下的实物证券在基金托管人保管期间的损坏、灭失，由此产生的责任应由基金托管人承担。基金托管人对由基金托管人以外机构实际有效控制的资产不承担保管责任。</w:t>
      </w:r>
    </w:p>
    <w:p w14:paraId="54EAE375">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（九）与基金财产有关的重大合同的保管</w:t>
      </w:r>
    </w:p>
    <w:p w14:paraId="63EF8FBF">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三十个工作日内将正本送达基金托管人处。重大合同的保管期限不低于法律法规规定的最低期限。</w:t>
      </w:r>
    </w:p>
    <w:p w14:paraId="02C11045">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对于无法取得二份以上的正本的，基金管理人应向基金托管人提供加盖公章的合同传真件或复印件，未经双方协商一致或未在合同约定范围内，合同原件不得转移，由基金管理人保管。</w:t>
      </w:r>
    </w:p>
    <w:p w14:paraId="4D188142">
      <w:pPr>
        <w:spacing w:line="360" w:lineRule="auto"/>
        <w:ind w:firstLine="480" w:firstLineChars="200"/>
        <w:rPr>
          <w:rFonts w:asciiTheme="minorEastAsia" w:hAnsiTheme="minorEastAsia" w:eastAsiaTheme="minorEastAsia"/>
          <w:sz w:val="24"/>
          <w:szCs w:val="21"/>
        </w:rPr>
        <w:sectPr>
          <w:pgSz w:w="11906" w:h="16838"/>
          <w:pgMar w:top="1440" w:right="1797" w:bottom="1440" w:left="1797" w:header="851" w:footer="992" w:gutter="0"/>
          <w:pgNumType w:fmt="decimal"/>
          <w:cols w:space="720" w:num="1"/>
          <w:docGrid w:type="lines" w:linePitch="312" w:charSpace="0"/>
        </w:sectPr>
      </w:pPr>
    </w:p>
    <w:p w14:paraId="62CEE20D">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61" w:name="_Toc124749230"/>
      <w:bookmarkStart w:id="62" w:name="_Toc124749941"/>
      <w:bookmarkStart w:id="63" w:name="_Toc123626172"/>
      <w:bookmarkStart w:id="64" w:name="_Toc86843175"/>
      <w:bookmarkStart w:id="65" w:name="_Toc28173"/>
      <w:bookmarkStart w:id="66" w:name="_Toc125361078"/>
      <w:r>
        <w:rPr>
          <w:rFonts w:hint="eastAsia" w:cs="Arial" w:asciiTheme="minorEastAsia" w:hAnsiTheme="minorEastAsia" w:eastAsiaTheme="minorEastAsia"/>
          <w:sz w:val="30"/>
        </w:rPr>
        <w:t>指令的发送、确认及执行</w:t>
      </w:r>
      <w:bookmarkEnd w:id="4"/>
      <w:bookmarkEnd w:id="5"/>
      <w:bookmarkEnd w:id="6"/>
      <w:bookmarkEnd w:id="61"/>
      <w:bookmarkEnd w:id="62"/>
      <w:bookmarkEnd w:id="63"/>
      <w:bookmarkEnd w:id="64"/>
      <w:bookmarkEnd w:id="65"/>
      <w:bookmarkEnd w:id="66"/>
    </w:p>
    <w:p w14:paraId="4A285F1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基金管理人在运用基金财产时向基金托管人发送资金划拨及其他款项付款指令，基金托管人执行基金管理人的指令、办理基金名下的资金往来等有关事项。</w:t>
      </w:r>
    </w:p>
    <w:p w14:paraId="2B99794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（一）基金管理人对发送指令人员的书面授权</w:t>
      </w:r>
    </w:p>
    <w:p w14:paraId="6B5003C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1、基金管理人应指定专人向基金托管人发送指令。</w:t>
      </w:r>
    </w:p>
    <w:p w14:paraId="28C5D0B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2、基金管理人应向基金托管人提供加盖公章的书面授权文件，内容包括被授权人名单、预留印鉴及被授权人签字样本，授权文件应注明被授权人相应的权限及有效时限。</w:t>
      </w:r>
    </w:p>
    <w:p w14:paraId="661620A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3、基金托管人在收到授权文件并经</w:t>
      </w:r>
      <w:r>
        <w:rPr>
          <w:rFonts w:hint="eastAsia" w:cs="瀹嬩綋" w:asciiTheme="minorEastAsia" w:hAnsiTheme="minorEastAsia" w:eastAsiaTheme="minorEastAsia"/>
          <w:kern w:val="0"/>
          <w:sz w:val="24"/>
          <w:szCs w:val="24"/>
        </w:rPr>
        <w:t>电话、电子邮件或双方认可的其他方式</w:t>
      </w:r>
      <w:r>
        <w:rPr>
          <w:rFonts w:hint="eastAsia" w:asciiTheme="minorEastAsia" w:hAnsiTheme="minorEastAsia" w:eastAsiaTheme="minorEastAsia"/>
          <w:sz w:val="24"/>
        </w:rPr>
        <w:t>确认后，授权文件即生效。如果授权文件中载明具体生效时间的，则以授权文件中载明的生效时间为准，但该生效时间不得早于基金托管人收到授权文件并经</w:t>
      </w:r>
      <w:r>
        <w:rPr>
          <w:rFonts w:hint="eastAsia" w:cs="瀹嬩綋" w:asciiTheme="minorEastAsia" w:hAnsiTheme="minorEastAsia" w:eastAsiaTheme="minorEastAsia"/>
          <w:kern w:val="0"/>
          <w:sz w:val="24"/>
          <w:szCs w:val="24"/>
        </w:rPr>
        <w:t>电话或双方认可的其他方式</w:t>
      </w:r>
      <w:r>
        <w:rPr>
          <w:rFonts w:hint="eastAsia" w:asciiTheme="minorEastAsia" w:hAnsiTheme="minorEastAsia" w:eastAsiaTheme="minorEastAsia"/>
          <w:sz w:val="24"/>
        </w:rPr>
        <w:t>确认的时点。如早于前述时间，则以基金托管人收到授权文件并经电话、电子邮件或双方认可的其他方式确认的时点为授权文件的生效时间。</w:t>
      </w:r>
    </w:p>
    <w:p w14:paraId="025B70B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对于基金管理人拟通过基金托管人电子服务平台发送划款指令的，基金管理人需与基金托管人签署相关服务协议，并提供授权文件及其他基金托管人要求的材料，由基金托管人为基金管理人的被授权人在电子服务平台配置相关操作权限。</w:t>
      </w:r>
    </w:p>
    <w:p w14:paraId="6A7AED1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4、基金管理人和基金托管人对授权文件负有保密义务，其内容不得向被授权人及相关操作人员以外的任何人泄露。但法律法规规定或有权机关要求的除外。</w:t>
      </w:r>
    </w:p>
    <w:p w14:paraId="0E0AE32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（二）指令的内容</w:t>
      </w:r>
    </w:p>
    <w:p w14:paraId="2872C2B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1、指令包括赎回、分红付款指令、回购到期付款指令、与投资有关的付款指令、实物债券出入库指令以及其他资金划拨指令等。</w:t>
      </w:r>
    </w:p>
    <w:p w14:paraId="34E3057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2、基金管理人发给基金托管人的指令应写明款项事由、支付时间、到账时间、金额、账户等，加盖预留印鉴并由被授权人签字。</w:t>
      </w:r>
    </w:p>
    <w:p w14:paraId="390F467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（三）指令的发送、确认及执行的时间和程序</w:t>
      </w:r>
    </w:p>
    <w:p w14:paraId="69F0556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1、指令的发送</w:t>
      </w:r>
    </w:p>
    <w:p w14:paraId="08B7491F">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基金管理人发送指令应采用电子指令、</w:t>
      </w:r>
      <w:r>
        <w:rPr>
          <w:rFonts w:hint="eastAsia" w:asciiTheme="minorEastAsia" w:hAnsiTheme="minorEastAsia" w:eastAsiaTheme="minorEastAsia"/>
          <w:sz w:val="24"/>
        </w:rPr>
        <w:t>电子邮件、</w:t>
      </w:r>
      <w:r>
        <w:rPr>
          <w:rFonts w:asciiTheme="minorEastAsia" w:hAnsiTheme="minorEastAsia" w:eastAsiaTheme="minorEastAsia"/>
          <w:sz w:val="24"/>
        </w:rPr>
        <w:t>传真方式或双方协商一致的其他方式。</w:t>
      </w:r>
    </w:p>
    <w:p w14:paraId="106F9EC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应按照法律法规和基金合同的规定，在其合法的经营权限和交易权限内发送指令；被授权人应严格按照其授权权限发送指令。对于被授权人依约定程序发出的指令，基金管理人不得否认其效力。但如果基金管理人已经撤销或更改对交易指令发送人员的授权，并且基金托管人根据本协议确认后，则对于此后该交易指令发送人员无权发送的指令，或超权限发送的指令，基金管理人不承担责任，授权已更改但未经基金托管人确认的情况除外。</w:t>
      </w:r>
    </w:p>
    <w:p w14:paraId="384A769E">
      <w:pPr>
        <w:autoSpaceDE w:val="0"/>
        <w:autoSpaceDN w:val="0"/>
        <w:adjustRightInd w:val="0"/>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指令发出后，基金管理人应及时与基金托管人以电话或双方认可的其他方式确认。对于通过传真或电子邮件发送扫描件方式发送的划款指令，基金管理人有义务在发送划款指令后及时与基金托管人以电话或双方认可的其他方式确认。因基金管理人未能及时与基金托管人进行指令确认，致使资金未能及时出账所造成的损失不由基金托管人承担。对于通过电子服务平台发送的划款指令，基金管理人需在划款指令跟踪界面查看划款指令是否完成。如果由于基金托管人自身过错影响资金未能及时出账所造成的损失由基金托管人承担。</w:t>
      </w:r>
    </w:p>
    <w:p w14:paraId="337823DE">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基金管理人收到银行间业务交易成交单，加盖印章后及时发送给基金托管人，并与基金托管人以电话或</w:t>
      </w:r>
      <w:r>
        <w:rPr>
          <w:rFonts w:hint="eastAsia" w:asciiTheme="minorEastAsia" w:hAnsiTheme="minorEastAsia" w:eastAsiaTheme="minorEastAsia"/>
          <w:sz w:val="24"/>
        </w:rPr>
        <w:t>双方认可</w:t>
      </w:r>
      <w:r>
        <w:rPr>
          <w:rFonts w:asciiTheme="minorEastAsia" w:hAnsiTheme="minorEastAsia" w:eastAsiaTheme="minorEastAsia"/>
          <w:sz w:val="24"/>
        </w:rPr>
        <w:t>的</w:t>
      </w:r>
      <w:r>
        <w:rPr>
          <w:rFonts w:hint="eastAsia" w:asciiTheme="minorEastAsia" w:hAnsiTheme="minorEastAsia" w:eastAsiaTheme="minorEastAsia"/>
          <w:sz w:val="24"/>
        </w:rPr>
        <w:t>其他</w:t>
      </w:r>
      <w:r>
        <w:rPr>
          <w:rFonts w:asciiTheme="minorEastAsia" w:hAnsiTheme="minorEastAsia" w:eastAsiaTheme="minorEastAsia"/>
          <w:sz w:val="24"/>
        </w:rPr>
        <w:t>方式确认。如果银行间簿记系统已经生成的交易需要取消或终止，基金管理人需通知基金托管人。</w:t>
      </w:r>
    </w:p>
    <w:p w14:paraId="12954FB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应于划款前一日向基金托管人发送投资划款指令并确认，如需在划款当日下达投资划款指令，在发送指令时，应留有2个工作小时的复核和审批时间。基金管理人在每个工作日的15:00以后发送的要求当日支付的划款指令，基金托管人不保证当天能够执行。有效划款指令是指指令要素（包括付款人、付款账号、收款人、收款账号、金额（大、小写）、款项事由、支付时间）准确无误、预留印鉴相符、相关的指令附件齐全且头寸充足的划款指令。因基金管理人自身原因造成的指令传输不及时、未能留出足够的划款时间，致使资金未能及时到账所造成的损失由基金管理人承担。</w:t>
      </w:r>
    </w:p>
    <w:p w14:paraId="78D3FED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2、指令的确认</w:t>
      </w:r>
    </w:p>
    <w:p w14:paraId="77B22C5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基金托管人应指定专人接收基金管理人的指令，预先通知基金管理人其名单，并与基金管理人商定指令发送和接收方式。</w:t>
      </w:r>
      <w:r>
        <w:rPr>
          <w:rFonts w:asciiTheme="minorEastAsia" w:hAnsiTheme="minorEastAsia" w:eastAsiaTheme="minorEastAsia"/>
          <w:sz w:val="24"/>
        </w:rPr>
        <w:t>指令到达基金托管人后，基金托管人根据基金管理人提供的授权文件进行表面相符的形式审查，及时审慎验证有关内容及印鉴，如有疑问必须及时通知基金管理人。基金托管人有权要求基金管理人提供相关交易凭证、合同或其他有效会计资料，以确保基金托管人有足够的资料来判断指令的有效性。基金管理人应保证所提供的文件资料的真实、有效、完整、准确、合法，没有任何重大遗漏或误导；基金托管人对此类文件资料仅进行形式审查。基金托管人对执行基金管理人的合法、有效指令对基金财产造成的损失不承担赔偿责任。</w:t>
      </w:r>
    </w:p>
    <w:p w14:paraId="210BB97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3、指令的时间和执行</w:t>
      </w:r>
    </w:p>
    <w:p w14:paraId="23F0766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基金托管人对指令验证后，应在规定期限内执行，不得延误。</w:t>
      </w:r>
    </w:p>
    <w:p w14:paraId="7F2EAD0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向基金托管人下达指令时，应确保基金资金账户有足够的资金余额，对基金管理人在没有充足资金的情况下向基金托管人发出的指令，基金托管人可不予执行，但应立即通知基金管理人，由基金管理人审核、查明原因，并以出具书面文件或双方认可的其他方式确认此交易指令无效。</w:t>
      </w:r>
    </w:p>
    <w:p w14:paraId="4FE10332">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4、电子化指令处理</w:t>
      </w:r>
    </w:p>
    <w:p w14:paraId="11AAF4C1">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若基金管理人通过基金托管人提供的</w:t>
      </w:r>
      <w:r>
        <w:rPr>
          <w:rFonts w:hint="eastAsia" w:asciiTheme="minorEastAsia" w:hAnsiTheme="minorEastAsia" w:eastAsiaTheme="minorEastAsia"/>
          <w:sz w:val="24"/>
        </w:rPr>
        <w:t>电子</w:t>
      </w:r>
      <w:r>
        <w:rPr>
          <w:rFonts w:asciiTheme="minorEastAsia" w:hAnsiTheme="minorEastAsia" w:eastAsiaTheme="minorEastAsia"/>
          <w:sz w:val="24"/>
        </w:rPr>
        <w:t>服务平台等电子渠道进行指令及其他业务处理时，相关业务流程及规则以相应电子渠道协议</w:t>
      </w:r>
      <w:r>
        <w:rPr>
          <w:rFonts w:hint="eastAsia" w:asciiTheme="minorEastAsia" w:hAnsiTheme="minorEastAsia" w:eastAsiaTheme="minorEastAsia"/>
          <w:sz w:val="24"/>
        </w:rPr>
        <w:t>、申请文件</w:t>
      </w:r>
      <w:r>
        <w:rPr>
          <w:rFonts w:asciiTheme="minorEastAsia" w:hAnsiTheme="minorEastAsia" w:eastAsiaTheme="minorEastAsia"/>
          <w:sz w:val="24"/>
        </w:rPr>
        <w:t>内容为准，未约定的内容，以本协议的约定为准。</w:t>
      </w:r>
    </w:p>
    <w:p w14:paraId="27C336E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（四）基金管理人发送错误指令的情形和处理程序</w:t>
      </w:r>
    </w:p>
    <w:p w14:paraId="737A547A">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rPr>
        <w:t>基金管理人发送错误指令的情形包括指令违反法律法规和基金合同的约定，</w:t>
      </w:r>
      <w:r>
        <w:rPr>
          <w:rFonts w:hint="eastAsia" w:asciiTheme="minorEastAsia" w:hAnsiTheme="minorEastAsia" w:eastAsiaTheme="minorEastAsia"/>
          <w:sz w:val="24"/>
          <w:szCs w:val="24"/>
        </w:rPr>
        <w:t>指令发送人员无权或超越权限发送指令。</w:t>
      </w:r>
    </w:p>
    <w:p w14:paraId="616192F7">
      <w:pPr>
        <w:autoSpaceDE w:val="0"/>
        <w:autoSpaceDN w:val="0"/>
        <w:adjustRightInd w:val="0"/>
        <w:spacing w:line="360" w:lineRule="auto"/>
        <w:ind w:firstLine="420"/>
        <w:jc w:val="left"/>
        <w:rPr>
          <w:rFonts w:cs="瀹嬩綋" w:asciiTheme="minorEastAsia" w:hAnsiTheme="minorEastAsia" w:eastAsiaTheme="minorEastAsia"/>
          <w:kern w:val="0"/>
          <w:sz w:val="24"/>
          <w:szCs w:val="24"/>
        </w:rPr>
      </w:pPr>
      <w:r>
        <w:rPr>
          <w:rFonts w:hint="eastAsia" w:asciiTheme="minorEastAsia" w:hAnsiTheme="minorEastAsia" w:eastAsiaTheme="minorEastAsia"/>
          <w:sz w:val="24"/>
          <w:szCs w:val="24"/>
        </w:rPr>
        <w:t>基金托管人在履行监督职能时，发现基金管理人的指令错误时，有权视情况暂缓或拒绝执行，并及时以书面或以双方认可的其他方式通知基金管理人改正。如需撤销指令，基金管理人应出具书面说明或在原指令上注明“作废”，并加盖预留印鉴</w:t>
      </w:r>
      <w:r>
        <w:rPr>
          <w:rFonts w:hint="eastAsia" w:cs="瀹嬩綋" w:asciiTheme="minorEastAsia" w:hAnsiTheme="minorEastAsia" w:eastAsiaTheme="minorEastAsia"/>
          <w:kern w:val="0"/>
          <w:sz w:val="24"/>
          <w:szCs w:val="24"/>
        </w:rPr>
        <w:t>发送给基金托管人，并与基金托管人以电话或双方认可的其他方式确认，基金托管人确认后，该书面撤回的说明或指令生效。如果基金托管人在收到书面撤销的说明或指令前已执行原指令，由此造成的损失由基金管理人承担</w:t>
      </w:r>
      <w:r>
        <w:rPr>
          <w:rFonts w:hint="eastAsia" w:asciiTheme="minorEastAsia" w:hAnsiTheme="minorEastAsia" w:eastAsiaTheme="minorEastAsia"/>
          <w:sz w:val="24"/>
          <w:szCs w:val="24"/>
        </w:rPr>
        <w:t xml:space="preserve">。 </w:t>
      </w:r>
    </w:p>
    <w:p w14:paraId="10F950D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（五）基金托管人依照法律法规拒绝执行指令的情形和处理程序</w:t>
      </w:r>
    </w:p>
    <w:p w14:paraId="0FF38185">
      <w:pPr>
        <w:autoSpaceDE w:val="0"/>
        <w:autoSpaceDN w:val="0"/>
        <w:adjustRightInd w:val="0"/>
        <w:spacing w:line="360" w:lineRule="auto"/>
        <w:ind w:firstLine="420"/>
        <w:jc w:val="left"/>
        <w:rPr>
          <w:rFonts w:asciiTheme="minorEastAsia" w:hAnsiTheme="minorEastAsia" w:eastAsiaTheme="minorEastAsia"/>
          <w:sz w:val="24"/>
          <w:szCs w:val="24"/>
        </w:rPr>
      </w:pPr>
      <w:r>
        <w:rPr>
          <w:rFonts w:asciiTheme="minorEastAsia" w:hAnsiTheme="minorEastAsia" w:eastAsiaTheme="minorEastAsia"/>
          <w:sz w:val="24"/>
          <w:szCs w:val="24"/>
        </w:rPr>
        <w:t>基金托管人发现基金管理人的投资指令违反法律、行政法规和其他有关规定，或者违反《基金合同》约定的，应当拒绝执行，立即通知基金管理人，并及时向中国证监会报告。</w:t>
      </w:r>
    </w:p>
    <w:p w14:paraId="50B10BE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（六）基金托管人未按照基金管理人指令执行的处理方法</w:t>
      </w:r>
    </w:p>
    <w:p w14:paraId="0AAE5A2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基金托管人由于自身原因，未按照基金管理人发送的指令执行，应在发现后及时采取措施予以弥补；若对基金管理人、基金财产或投资人造成直接损失，由基金托管人赔偿由此造成的损失。</w:t>
      </w:r>
    </w:p>
    <w:p w14:paraId="6C19331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（七）更换被授权人员的程序</w:t>
      </w:r>
    </w:p>
    <w:p w14:paraId="200AC19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基金管理人更换被授权人、更改或终止对被授权人的授权，应立即将新的授权文件以传真或双方认可的其他方式通知基金托管人，并经</w:t>
      </w:r>
      <w:r>
        <w:rPr>
          <w:rFonts w:hint="eastAsia" w:cs="瀹嬩綋" w:asciiTheme="minorEastAsia" w:hAnsiTheme="minorEastAsia" w:eastAsiaTheme="minorEastAsia"/>
          <w:kern w:val="0"/>
          <w:sz w:val="24"/>
          <w:szCs w:val="24"/>
        </w:rPr>
        <w:t>电话或双方认可的其他方式</w:t>
      </w:r>
      <w:r>
        <w:rPr>
          <w:rFonts w:hint="eastAsia" w:asciiTheme="minorEastAsia" w:hAnsiTheme="minorEastAsia" w:eastAsiaTheme="minorEastAsia"/>
          <w:sz w:val="24"/>
        </w:rPr>
        <w:t>确认后生效，原授权文件同时废止。新的授权文件在生效后七个工作日内送达文件正本。新的授权文件生效之后，正本送达之前，基金托管人按照新的授权文件传真件内容执行有关业务，如果新的授权文件正本与传真件内容不同，基金托管人应及时与基金管理人联系予以确认，在确认前基金托管人以传真件为准执行指令，由此产生的责任由基金管理人承担。基金管理人更换被授权人通知生效后，对于已被撤换的人员无权发送的指令，或被改变授权人员超权限发送的指令，基金托管人不予执行。如因基金托管人过错造成损失的，由基金托管人承担责任。</w:t>
      </w:r>
    </w:p>
    <w:p w14:paraId="6BD0C6F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（八）其他事项</w:t>
      </w:r>
    </w:p>
    <w:p w14:paraId="38132E0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基金参与认购未上市债券时，基金管理人应代表本基金与对手方签署相关合同或协议，明确约定债券过户具体事宜。否则，基金管理人需对所认购债券的过户事宜承担相应责任。</w:t>
      </w:r>
    </w:p>
    <w:p w14:paraId="09AD26E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本基金资金账户发生的银行结算费用等银行费用，由基金托管人直接从资金账户中扣划，无须基金管理人出具指令。</w:t>
      </w:r>
    </w:p>
    <w:p w14:paraId="438BB40F">
      <w:pPr>
        <w:spacing w:line="360" w:lineRule="auto"/>
        <w:ind w:firstLine="480" w:firstLineChars="200"/>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p w14:paraId="56934FBD">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67" w:name="_Toc123626173"/>
      <w:bookmarkStart w:id="68" w:name="_Toc466788856"/>
      <w:bookmarkStart w:id="69" w:name="_Toc125361079"/>
      <w:bookmarkStart w:id="70" w:name="_Toc124749942"/>
      <w:bookmarkStart w:id="71" w:name="_Toc48703903"/>
      <w:bookmarkStart w:id="72" w:name="_Toc124749231"/>
      <w:bookmarkStart w:id="73" w:name="_Toc8396"/>
      <w:bookmarkStart w:id="74" w:name="_Toc523829997"/>
      <w:bookmarkStart w:id="75" w:name="_Toc86843176"/>
      <w:bookmarkStart w:id="76" w:name="_Toc22454451"/>
      <w:r>
        <w:rPr>
          <w:rFonts w:hint="eastAsia" w:cs="Arial" w:asciiTheme="minorEastAsia" w:hAnsiTheme="minorEastAsia" w:eastAsiaTheme="minorEastAsia"/>
          <w:sz w:val="30"/>
        </w:rPr>
        <w:t>交易及清算交收安排</w:t>
      </w:r>
      <w:bookmarkEnd w:id="67"/>
      <w:bookmarkEnd w:id="68"/>
      <w:bookmarkEnd w:id="69"/>
      <w:bookmarkEnd w:id="70"/>
      <w:bookmarkEnd w:id="71"/>
      <w:bookmarkEnd w:id="72"/>
      <w:bookmarkEnd w:id="73"/>
      <w:bookmarkEnd w:id="74"/>
      <w:bookmarkEnd w:id="75"/>
      <w:bookmarkEnd w:id="76"/>
    </w:p>
    <w:p w14:paraId="360EECF1">
      <w:pPr>
        <w:spacing w:line="360" w:lineRule="auto"/>
        <w:ind w:right="28" w:firstLine="480" w:firstLineChars="200"/>
        <w:rPr>
          <w:rFonts w:asciiTheme="minorEastAsia" w:hAnsiTheme="minorEastAsia" w:eastAsiaTheme="minorEastAsia"/>
          <w:sz w:val="24"/>
          <w:szCs w:val="21"/>
        </w:rPr>
      </w:pPr>
      <w:bookmarkStart w:id="77" w:name="_Toc123626174"/>
      <w:bookmarkStart w:id="78" w:name="_Toc124749943"/>
      <w:bookmarkStart w:id="79" w:name="_Toc124749232"/>
      <w:r>
        <w:rPr>
          <w:rFonts w:hint="eastAsia" w:asciiTheme="minorEastAsia" w:hAnsiTheme="minorEastAsia" w:eastAsiaTheme="minorEastAsia"/>
          <w:sz w:val="24"/>
          <w:szCs w:val="21"/>
        </w:rPr>
        <w:t>（一）选择代理证券、期货买卖的证券经营机构、期货经纪机构的程序</w:t>
      </w:r>
    </w:p>
    <w:p w14:paraId="2D2F9DD8">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1、基金管理人负责选择代理本基金财产证券买卖的证券经纪机构，并与其签订证券经纪合同，基金管理人、基金托管人和证券经纪机构可就本基金参与证券交易的具体事项另行签订协议。</w:t>
      </w:r>
    </w:p>
    <w:p w14:paraId="5B74EC53">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基金管理人负责选择代理本基金期货交易的期货经纪机构，并与期货经纪机构、基金托管人共同签订期货经纪合同，其他事宜根据法律法规、《基金合同》的相关规定执行，若无明确规定的，可参照有关证券买卖、证券经纪机构选择的规则执行。</w:t>
      </w:r>
    </w:p>
    <w:p w14:paraId="671971CE">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（二）投资证券后的清算交收安排</w:t>
      </w:r>
    </w:p>
    <w:p w14:paraId="3D0B4833">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1、本基金通过证券经纪机构进行的交易由证券经纪机构作为结算参与人代理本基金进行结算；</w:t>
      </w:r>
    </w:p>
    <w:p w14:paraId="0B7DD057">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2、证券交易所证券资金结算</w:t>
      </w:r>
    </w:p>
    <w:p w14:paraId="2488C892">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基金托管人、基金管理人应共同遵守中登公司制定的相关业务规则和规定，该等规则和规定自动成为本条款约定的内容。</w:t>
      </w:r>
    </w:p>
    <w:p w14:paraId="343BFEC0">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基金管理人在投资前，应充分知晓与理解中登公司针对各类交易品种制定结算业务规则和规定。</w:t>
      </w:r>
    </w:p>
    <w:p w14:paraId="63AE5987">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证券经纪机构代理本基金财产与中登公司完成证券交易及非交易涉及的证券资金结算业务，并承担由证券经纪机构原因造成的正常结算、交收业务无法完成的责任；若由于基金管理人原因造成的正常结算业务无法完成，责任由基金管理人承担。</w:t>
      </w:r>
    </w:p>
    <w:p w14:paraId="1329B570">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如证券经纪机构及托管资金账户开立银行的业务规则允许且技术支持，基金管理人可以通过自助转账方式，自行完成托管账户与证券交易资金账户、衍生品账户之间的资金划拨，而无需事前经基金托管人同意或向基金托管人出具任何形式的指令。基金管理人选择通过自助转账方式进行资金划转的，应自行监控并保障资金划转安全，因此对基金资产造成损失的，由基金管理人承担。</w:t>
      </w:r>
    </w:p>
    <w:p w14:paraId="61C4D0AE">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（三）银行间债券交易的清算交收安排</w:t>
      </w:r>
    </w:p>
    <w:p w14:paraId="0B5C71A3">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1、基金管理人应在交易结束后将银行间同业市场债券交易成交单加盖预留印鉴后及时以传真或双方认可的其他方式发送给基金托管人，并与基金托管人以电话</w:t>
      </w:r>
      <w:r>
        <w:rPr>
          <w:rFonts w:hint="eastAsia" w:asciiTheme="minorEastAsia" w:hAnsiTheme="minorEastAsia" w:eastAsiaTheme="minorEastAsia"/>
          <w:sz w:val="24"/>
        </w:rPr>
        <w:t>或双方认可的其他方式</w:t>
      </w:r>
      <w:r>
        <w:rPr>
          <w:rFonts w:hint="eastAsia" w:asciiTheme="minorEastAsia" w:hAnsiTheme="minorEastAsia" w:eastAsiaTheme="minorEastAsia"/>
          <w:sz w:val="24"/>
          <w:szCs w:val="21"/>
        </w:rPr>
        <w:t>确认。如果银行间中债综合业务平台或上海清算所客户终端系统已经生成的交易需要取消或终止，基金管理人需书面通知基金托管人。</w:t>
      </w:r>
    </w:p>
    <w:p w14:paraId="7FB2F718">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2、基金管理人发送有效指令（包括原指令被撤销、变更后再次发送的新指令）的截止时间为当天的15:00。如基金管理人要求当天某一时点到账，则交易结算指令需提前2个工作小时发送，并与基金托管人以电话</w:t>
      </w:r>
      <w:r>
        <w:rPr>
          <w:rFonts w:hint="eastAsia" w:asciiTheme="minorEastAsia" w:hAnsiTheme="minorEastAsia" w:eastAsiaTheme="minorEastAsia"/>
          <w:sz w:val="24"/>
        </w:rPr>
        <w:t>或双方认可的其他方式</w:t>
      </w:r>
      <w:r>
        <w:rPr>
          <w:rFonts w:hint="eastAsia" w:asciiTheme="minorEastAsia" w:hAnsiTheme="minorEastAsia" w:eastAsiaTheme="minorEastAsia"/>
          <w:sz w:val="24"/>
          <w:szCs w:val="21"/>
        </w:rPr>
        <w:t>确认。指令、成交单传输不及时、未能留出足够的操作时间，致使资金未能及时到账、债券未能及时交割所造成的损失由基金管理人承担。</w:t>
      </w:r>
    </w:p>
    <w:p w14:paraId="065CB816">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基金管理人向基金托管人下达指令时，应确保基金财产托管专户有足够的资金余额，对基金管理人在没有充足资金的情况下向基金托管人发出的指令，基金托管人可不予执行，并立即通知基金管理人，基金托管人不承担因为不执行该指令而造成损失的责任。基金管理人确认该指令不予取消的，资金备足并通知基金托管人的时间视为指令收到时间。</w:t>
      </w:r>
    </w:p>
    <w:p w14:paraId="434B5500">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4、银行间交易结算方式采用券款对付的，托管专户与本基金在登记结算机构开立的DVP资金账户之间的资金调拨，除了登记结算机构系统自动将DVP资金账户资金退回至托管专户的之外，应当由基金管理人出具资金划款指令，基金托管人审核无误后执行。由于基金管理人未及时出具指令导致本基金在托管专户的头寸不足或者DVP资金账户头寸不足导致的损失，基金托管人不承担责任。</w:t>
      </w:r>
    </w:p>
    <w:p w14:paraId="149D6DA2">
      <w:pPr>
        <w:spacing w:line="360" w:lineRule="auto"/>
        <w:ind w:right="28" w:firstLine="480" w:firstLineChars="200"/>
        <w:rPr>
          <w:rFonts w:asciiTheme="minorEastAsia" w:hAnsiTheme="minorEastAsia" w:eastAsiaTheme="minorEastAsia"/>
          <w:sz w:val="24"/>
          <w:szCs w:val="21"/>
        </w:rPr>
      </w:pPr>
      <w:r>
        <w:rPr>
          <w:rFonts w:asciiTheme="minorEastAsia" w:hAnsiTheme="minorEastAsia" w:eastAsiaTheme="minorEastAsia"/>
          <w:sz w:val="24"/>
          <w:szCs w:val="21"/>
        </w:rPr>
        <w:t>5</w:t>
      </w:r>
      <w:r>
        <w:rPr>
          <w:rFonts w:hint="eastAsia" w:asciiTheme="minorEastAsia" w:hAnsiTheme="minorEastAsia" w:eastAsiaTheme="minorEastAsia"/>
          <w:sz w:val="24"/>
          <w:szCs w:val="21"/>
        </w:rPr>
        <w:t>、基金管理人负责对交易对手的资信进行控制，按银行间债券市场的交易规则进行交易，并负责在交易对手不履行合同或不及时履行合同而造成的纠纷及损失时向交易对手进行追偿，基金托管人予以配合和协助。</w:t>
      </w:r>
    </w:p>
    <w:p w14:paraId="01084CC7">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（四）期货投资资金清算安排</w:t>
      </w:r>
    </w:p>
    <w:p w14:paraId="16AB8265">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本基金投资于期货发生的资金交割清算由基金管理人选定的期货经纪公司负责办理。</w:t>
      </w:r>
    </w:p>
    <w:p w14:paraId="699CB971">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如期货经纪机构及托管资金账户开立银行的业务规则允许且技术支持，基金管理人可以通过自助转账方式，自行完成托管账户与期货保证金账户之间的资金划拨，而无需事前经基金托管人同意或向基金托管人出具任何形式的指令。基金管理人选择通过自助转账方式进行资金划转的，应自行监控并保障资金划转安全，因此对基金资产造成损失的，由基金管理人承担。</w:t>
      </w:r>
    </w:p>
    <w:p w14:paraId="4F1FF1B1">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（五）交易记录、资金和证券账目核对的时间和方式</w:t>
      </w:r>
    </w:p>
    <w:p w14:paraId="215F4DD6">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1、交易记录的核对</w:t>
      </w:r>
    </w:p>
    <w:p w14:paraId="1895FAB9">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对基金的交易记录，由基金管理人与基金托管人按日进行核对。每日对外披露基金份额净值之前，必须保证当天所有实际交易记录与基金会计账簿上的交易记录完全一致。如果实际交易记录与会计账簿记录不一致，造成基金会计核算不完整或不真实，由此导致的损失由基金的会计责任方承担。</w:t>
      </w:r>
    </w:p>
    <w:p w14:paraId="2292A2B3">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2、资金账目的核对</w:t>
      </w:r>
    </w:p>
    <w:p w14:paraId="6BC800CA">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资金账目由基金管理人和基金托管人按日核实，账实相符。</w:t>
      </w:r>
    </w:p>
    <w:p w14:paraId="739C8473">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3、证券账目的核对</w:t>
      </w:r>
    </w:p>
    <w:p w14:paraId="03A8551D">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基金管理人和基金托管人每交易日结束后根据第三方存管机构发送的对账数据进行证券对账，确保账实相符。</w:t>
      </w:r>
    </w:p>
    <w:p w14:paraId="7EB217FB">
      <w:pPr>
        <w:spacing w:line="360" w:lineRule="auto"/>
        <w:ind w:right="28" w:firstLine="480" w:firstLineChars="200"/>
        <w:rPr>
          <w:rFonts w:asciiTheme="minorEastAsia" w:hAnsiTheme="minorEastAsia" w:eastAsiaTheme="minorEastAsia"/>
          <w:sz w:val="24"/>
          <w:szCs w:val="28"/>
        </w:rPr>
      </w:pPr>
      <w:r>
        <w:rPr>
          <w:rFonts w:hint="eastAsia" w:asciiTheme="minorEastAsia" w:hAnsiTheme="minorEastAsia" w:eastAsiaTheme="minorEastAsia"/>
          <w:sz w:val="24"/>
          <w:szCs w:val="28"/>
        </w:rPr>
        <w:t>（六）基金申购、赎回业务处理的基本规定</w:t>
      </w:r>
    </w:p>
    <w:p w14:paraId="1FA1675A">
      <w:pPr>
        <w:spacing w:line="360" w:lineRule="auto"/>
        <w:ind w:right="28" w:firstLine="480" w:firstLineChars="200"/>
        <w:rPr>
          <w:rFonts w:asciiTheme="minorEastAsia" w:hAnsiTheme="minorEastAsia" w:eastAsiaTheme="minorEastAsia"/>
          <w:sz w:val="24"/>
          <w:szCs w:val="28"/>
        </w:rPr>
      </w:pPr>
      <w:r>
        <w:rPr>
          <w:rFonts w:hint="eastAsia" w:asciiTheme="minorEastAsia" w:hAnsiTheme="minorEastAsia" w:eastAsiaTheme="minorEastAsia"/>
          <w:sz w:val="24"/>
          <w:szCs w:val="28"/>
        </w:rPr>
        <w:t>1、基金管理人和基金托管人应当按照《基金合同》、《招募说明书》的约定，在基金申购、赎回的时间、场所、方式、程序、价格、费用、收款或付款等各方面相互配合，积极履行各自的义务，保证基金的申购、赎回工作能够顺利进行。</w:t>
      </w:r>
    </w:p>
    <w:p w14:paraId="09AA38CD">
      <w:pPr>
        <w:spacing w:line="360" w:lineRule="auto"/>
        <w:ind w:right="28" w:firstLine="480" w:firstLineChars="200"/>
        <w:rPr>
          <w:rFonts w:asciiTheme="minorEastAsia" w:hAnsiTheme="minorEastAsia" w:eastAsiaTheme="minorEastAsia"/>
          <w:sz w:val="24"/>
          <w:szCs w:val="28"/>
        </w:rPr>
      </w:pPr>
      <w:r>
        <w:rPr>
          <w:rFonts w:hint="eastAsia" w:asciiTheme="minorEastAsia" w:hAnsiTheme="minorEastAsia" w:eastAsiaTheme="minorEastAsia"/>
          <w:sz w:val="24"/>
          <w:szCs w:val="28"/>
        </w:rPr>
        <w:t>2、申购赎回发生的现金替代款、现金差额、现金替代的退款和补款由基金管理人按相关业务规则及基金合同办理。对于基金申购、赎回过程中产生的应收款，应由基金管理人负责与有关当事人确定到账日期并通知基金托管人，到账日应收款没有到达托管账户的，基金管理人应采取措施进行催收，由此给基金造成损失的，基金管理人负责向责任方追偿基金的损失，基金托管人应提供必要的协助。拨付净应付款时，如基金托管账户有足够的资金，基金托管人应按时拨付；因基金托管账户没有足够的资金，导致基金托管人不能按时拨付，托管人不承担责任，但应及时通知基金管理人；如系基金管理人的原因造成，责任由基金管理人承担，基金托管人不承担垫款义务。</w:t>
      </w:r>
    </w:p>
    <w:p w14:paraId="797D14F6">
      <w:pPr>
        <w:spacing w:line="360" w:lineRule="auto"/>
        <w:ind w:right="28" w:firstLine="480" w:firstLineChars="200"/>
        <w:rPr>
          <w:rFonts w:asciiTheme="minorEastAsia" w:hAnsiTheme="minorEastAsia" w:eastAsiaTheme="minorEastAsia"/>
          <w:sz w:val="24"/>
          <w:szCs w:val="28"/>
        </w:rPr>
      </w:pPr>
      <w:r>
        <w:rPr>
          <w:rFonts w:hint="eastAsia" w:asciiTheme="minorEastAsia" w:hAnsiTheme="minorEastAsia" w:eastAsiaTheme="minorEastAsia"/>
          <w:sz w:val="24"/>
          <w:szCs w:val="28"/>
        </w:rPr>
        <w:t>3.资金指令</w:t>
      </w:r>
    </w:p>
    <w:p w14:paraId="41E71D8B">
      <w:pPr>
        <w:spacing w:line="360" w:lineRule="auto"/>
        <w:ind w:right="28" w:firstLine="480" w:firstLineChars="200"/>
        <w:rPr>
          <w:rFonts w:asciiTheme="minorEastAsia" w:hAnsiTheme="minorEastAsia" w:eastAsiaTheme="minorEastAsia"/>
          <w:sz w:val="24"/>
          <w:szCs w:val="28"/>
        </w:rPr>
      </w:pPr>
      <w:r>
        <w:rPr>
          <w:rFonts w:hint="eastAsia" w:asciiTheme="minorEastAsia" w:hAnsiTheme="minorEastAsia" w:eastAsiaTheme="minorEastAsia"/>
          <w:sz w:val="24"/>
          <w:szCs w:val="28"/>
        </w:rPr>
        <w:t>除申购款项到达基金资金账户需双方按约定方式对账外，与投资有关的付款和分红资金划拨时，基金管理人需向基金托管人下达指令。</w:t>
      </w:r>
    </w:p>
    <w:p w14:paraId="79C83B9D">
      <w:pPr>
        <w:spacing w:line="360" w:lineRule="auto"/>
        <w:ind w:right="28" w:firstLine="480" w:firstLineChars="200"/>
        <w:rPr>
          <w:rFonts w:asciiTheme="minorEastAsia" w:hAnsiTheme="minorEastAsia" w:eastAsiaTheme="minorEastAsia"/>
          <w:sz w:val="24"/>
          <w:szCs w:val="28"/>
        </w:rPr>
      </w:pPr>
      <w:r>
        <w:rPr>
          <w:rFonts w:hint="eastAsia" w:asciiTheme="minorEastAsia" w:hAnsiTheme="minorEastAsia" w:eastAsiaTheme="minorEastAsia"/>
          <w:sz w:val="24"/>
          <w:szCs w:val="28"/>
        </w:rPr>
        <w:t>资金指令的格式、内容、发送、接收和确认方式等与投资指令相同。</w:t>
      </w:r>
    </w:p>
    <w:p w14:paraId="6A3BCF96">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w:t>
      </w:r>
      <w:r>
        <w:rPr>
          <w:rFonts w:hint="eastAsia" w:asciiTheme="minorEastAsia" w:hAnsiTheme="minorEastAsia" w:eastAsiaTheme="minorEastAsia"/>
          <w:sz w:val="24"/>
          <w:szCs w:val="21"/>
          <w:lang w:val="en-US" w:eastAsia="zh-CN"/>
        </w:rPr>
        <w:t>七</w:t>
      </w:r>
      <w:r>
        <w:rPr>
          <w:rFonts w:hint="eastAsia" w:asciiTheme="minorEastAsia" w:hAnsiTheme="minorEastAsia" w:eastAsiaTheme="minorEastAsia"/>
          <w:sz w:val="24"/>
          <w:szCs w:val="21"/>
        </w:rPr>
        <w:t>）基金现金分红</w:t>
      </w:r>
    </w:p>
    <w:p w14:paraId="084A5B55">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1、基金管理人确定分红方案通知基金托管人，双方核定后依照《信息披露办法》的有关规定在中国证监会规定媒介上公告。</w:t>
      </w:r>
    </w:p>
    <w:p w14:paraId="6FCB27CB">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2、基金托管人和基金管理人对基金分红进行账务处理并核对后，基金管理人向基金托管人发送现金红利的划款指令，基金托管人应及时将资金划入专用账户。</w:t>
      </w:r>
    </w:p>
    <w:p w14:paraId="4901FA44">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3、基金管理人在下达指令时，应给基金托管人留出必需的划款时间。</w:t>
      </w:r>
    </w:p>
    <w:p w14:paraId="35C58343">
      <w:pPr>
        <w:spacing w:line="360" w:lineRule="auto"/>
        <w:ind w:right="28"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w:t>
      </w:r>
      <w:r>
        <w:rPr>
          <w:rFonts w:hint="eastAsia" w:asciiTheme="minorEastAsia" w:hAnsiTheme="minorEastAsia" w:eastAsiaTheme="minorEastAsia"/>
          <w:sz w:val="24"/>
          <w:szCs w:val="21"/>
          <w:lang w:val="en-US" w:eastAsia="zh-CN"/>
        </w:rPr>
        <w:t>八</w:t>
      </w:r>
      <w:r>
        <w:rPr>
          <w:rFonts w:hint="eastAsia" w:asciiTheme="minorEastAsia" w:hAnsiTheme="minorEastAsia" w:eastAsiaTheme="minorEastAsia"/>
          <w:sz w:val="24"/>
          <w:szCs w:val="21"/>
        </w:rPr>
        <w:t>）关于交易及清算交易安排应当按照本部分的规定或其他基金管理人和基金托管人双方书面共同确认的方式执行。基金清算交收过程中，出现基金财产中资金或证券不足以交收的，基金托管人应当及时通知基金管理人，督促基金管理人积极采取措施、最大程度控制违约交收风险与相关损失，并报告中国证监会。</w:t>
      </w:r>
    </w:p>
    <w:p w14:paraId="6E86B148">
      <w:pPr>
        <w:spacing w:line="360" w:lineRule="auto"/>
        <w:ind w:right="28" w:firstLine="480" w:firstLineChars="200"/>
        <w:rPr>
          <w:rFonts w:asciiTheme="minorEastAsia" w:hAnsiTheme="minorEastAsia" w:eastAsiaTheme="minorEastAsia"/>
          <w:sz w:val="24"/>
          <w:szCs w:val="21"/>
        </w:rPr>
        <w:sectPr>
          <w:pgSz w:w="11906" w:h="16838"/>
          <w:pgMar w:top="1440" w:right="1797" w:bottom="1440" w:left="1797" w:header="851" w:footer="992" w:gutter="0"/>
          <w:pgNumType w:fmt="decimal"/>
          <w:cols w:space="720" w:num="1"/>
          <w:docGrid w:type="lines" w:linePitch="312" w:charSpace="0"/>
        </w:sectPr>
      </w:pPr>
    </w:p>
    <w:p w14:paraId="347D3205">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80" w:name="_Toc86843177"/>
      <w:bookmarkStart w:id="81" w:name="_Toc125361080"/>
      <w:bookmarkStart w:id="82" w:name="_Toc9257"/>
      <w:r>
        <w:rPr>
          <w:rFonts w:hint="eastAsia" w:cs="Arial" w:asciiTheme="minorEastAsia" w:hAnsiTheme="minorEastAsia" w:eastAsiaTheme="minorEastAsia"/>
          <w:sz w:val="30"/>
        </w:rPr>
        <w:t>基金资产净值计算和会计核算</w:t>
      </w:r>
      <w:bookmarkEnd w:id="7"/>
      <w:bookmarkEnd w:id="8"/>
      <w:bookmarkEnd w:id="9"/>
      <w:bookmarkEnd w:id="77"/>
      <w:bookmarkEnd w:id="78"/>
      <w:bookmarkEnd w:id="79"/>
      <w:bookmarkEnd w:id="80"/>
      <w:bookmarkEnd w:id="81"/>
      <w:bookmarkEnd w:id="82"/>
      <w:bookmarkStart w:id="83" w:name="_Toc48703909"/>
    </w:p>
    <w:bookmarkEnd w:id="83"/>
    <w:p w14:paraId="5F2A9D08">
      <w:pPr>
        <w:spacing w:line="360" w:lineRule="auto"/>
        <w:ind w:firstLine="480" w:firstLineChars="200"/>
        <w:rPr>
          <w:rFonts w:asciiTheme="minorEastAsia" w:hAnsiTheme="minorEastAsia" w:eastAsiaTheme="minorEastAsia"/>
          <w:sz w:val="24"/>
        </w:rPr>
      </w:pPr>
      <w:bookmarkStart w:id="84" w:name="_Toc523830000"/>
      <w:bookmarkStart w:id="85" w:name="_Toc48703912"/>
      <w:bookmarkStart w:id="86" w:name="_Toc466788859"/>
      <w:bookmarkStart w:id="87" w:name="_Toc22454461"/>
      <w:r>
        <w:rPr>
          <w:rFonts w:hint="eastAsia" w:asciiTheme="minorEastAsia" w:hAnsiTheme="minorEastAsia" w:eastAsiaTheme="minorEastAsia"/>
          <w:sz w:val="24"/>
        </w:rPr>
        <w:t>（一）基金资产净值的计算、复核与完成的时间及程序</w:t>
      </w:r>
    </w:p>
    <w:p w14:paraId="51AA8D5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1、基金资产净值</w:t>
      </w:r>
    </w:p>
    <w:p w14:paraId="1D7F94C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基金资产净值是指基金资产总值减去基金负债后的价值。</w:t>
      </w:r>
    </w:p>
    <w:p w14:paraId="500D2CC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份额净值是按照每个估值日，基金资产净值除以对应日期的基金份额的余额数量计算，精确到0.0001元，小数点后第5位四舍五入。基金管理人可以设立大额赎回情形下的净值精度应急调整机制。国家另有规定的，从其规定。</w:t>
      </w:r>
    </w:p>
    <w:p w14:paraId="76CB9E2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基金管理人于每个估值日计算基金资产净值及基金份额净值，并按规定公告。</w:t>
      </w:r>
    </w:p>
    <w:p w14:paraId="1C3EBAD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2、复核程序</w:t>
      </w:r>
    </w:p>
    <w:p w14:paraId="7C98D9E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应每个估值日对基金资产估值，但基金管理人根据法律法规或基金合同的规定暂停估值时除外。基金管理人每个估值日对基金资产估值后，将基金净值信息结果发送基金托管人，经基金托管人复核无误后，由基金管理人对外公布。</w:t>
      </w:r>
    </w:p>
    <w:p w14:paraId="6E09866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A05415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（二）基金资产估值方法和特殊情形的处理</w:t>
      </w:r>
    </w:p>
    <w:p w14:paraId="55EBBA8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1、估值对象</w:t>
      </w:r>
    </w:p>
    <w:p w14:paraId="240F52E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基金所拥有的股票（含存托凭证）、债券、资产支持证券、股指期货合约、国债期货合约、股票期权合约、</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资产支持证券、</w:t>
      </w:r>
      <w:r>
        <w:rPr>
          <w:rFonts w:hint="eastAsia" w:asciiTheme="minorEastAsia" w:hAnsiTheme="minorEastAsia" w:eastAsiaTheme="minorEastAsia"/>
          <w:sz w:val="24"/>
        </w:rPr>
        <w:t>银行存款本息、应收款项、其它投资等资产及负债。</w:t>
      </w:r>
    </w:p>
    <w:p w14:paraId="074E047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2、估值方法</w:t>
      </w:r>
    </w:p>
    <w:p w14:paraId="52D50FAD">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88" w:name="_Hlk207544510"/>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A489633">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（2）对于已上市或已挂牌转让的不含权固定收益品种，选取估值日第三方估值基准服务机构提供的相应品种当日的估值全价进行估值。</w:t>
      </w:r>
    </w:p>
    <w:p w14:paraId="2B2E856F">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（3）对于已上市或已挂牌转让的含权固定收益品种，选取估值日第三方估值基准服务机构提供的相应品种当日的唯一估值全价或推荐估值全价进行估值。</w:t>
      </w:r>
    </w:p>
    <w:p w14:paraId="504F9C2A">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735DADC8">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208E665">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（5）对于未上市或未挂牌转让且不存在活跃市场的固定收益品种，应采用在当前情况下适用并且有足够可利用数据和其他信息支持的估值技术确定其公允价值。</w:t>
      </w:r>
    </w:p>
    <w:p w14:paraId="4B09C10B">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（6）处于未上市期间的有价证券应区分如下情况处理：</w:t>
      </w:r>
    </w:p>
    <w:p w14:paraId="4DD34E32">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5B65CB63">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2）首次公开发行未上市的股票，采用估值技术确定公允价值，在估值技术难以可靠计量公允价值的情况下，按成本估值；</w:t>
      </w:r>
    </w:p>
    <w:p w14:paraId="35B698D4">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70DC3660">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（7）本基金投资存托凭证的估值核算，依照境内上市交易的股票执行。</w:t>
      </w:r>
    </w:p>
    <w:p w14:paraId="32E7E37A">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（8）同一证券同时在两个或两个以上市场交易的，按证券所处的市场分别估值。</w:t>
      </w:r>
    </w:p>
    <w:p w14:paraId="78B6BC0F">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（9）本基金投资股指期货、国债期货合约，一般以估值当日结算价确定公允价值，估值当日无结算价的，且最近交易日后未发生影响公允价值计量的重大事件的，采用最近交易日结算价估值。</w:t>
      </w:r>
    </w:p>
    <w:p w14:paraId="0766521C">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（10）本基金投资股票期权，根据相关法律法规以及监管部门的规定估值。</w:t>
      </w:r>
    </w:p>
    <w:p w14:paraId="3F09F318">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（11）本基金参与融资及转融通证券出借业务的，应参照法律法规及行业协会的相关规定进行估值。</w:t>
      </w:r>
    </w:p>
    <w:p w14:paraId="4E0FAB25">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（12）汇率</w:t>
      </w:r>
    </w:p>
    <w:p w14:paraId="7DF6C75C">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本基金外币资产价值计算中，涉及主要货币对人民币汇率的，应当以基金估值日中国人民银行或其授权机构公布的人民币汇率中间价或其他可以反映公允价值的汇率进行估值。</w:t>
      </w:r>
    </w:p>
    <w:p w14:paraId="715DC6BA">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（13）如有确凿证据表明按上述方法进行估值不能客观反映其公允价值的，基金管理人可根据具体情况与基金托管人商定后，按最能反映公允价值的方法估值。</w:t>
      </w:r>
    </w:p>
    <w:p w14:paraId="5DEEDEAF">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（14）相关法律法规以及监管部门有强制规定的，从其规定。如有新增事项，按国家最新规定估值。</w:t>
      </w:r>
    </w:p>
    <w:p w14:paraId="3918EA3F">
      <w:pPr>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5F4D2787">
      <w:pPr>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bookmarkEnd w:id="88"/>
    <w:p w14:paraId="0CFC5EF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（三）基金份额净值错误的处理方式</w:t>
      </w:r>
    </w:p>
    <w:p w14:paraId="246B5A94">
      <w:pPr>
        <w:spacing w:line="360" w:lineRule="auto"/>
        <w:ind w:firstLine="480" w:firstLineChars="200"/>
        <w:rPr>
          <w:rFonts w:asciiTheme="minorEastAsia" w:hAnsiTheme="minorEastAsia" w:eastAsiaTheme="minorEastAsia"/>
          <w:sz w:val="24"/>
        </w:rPr>
      </w:pPr>
      <w:bookmarkStart w:id="89" w:name="_Hlk207544655"/>
      <w:r>
        <w:rPr>
          <w:rFonts w:hint="eastAsia" w:asciiTheme="minorEastAsia" w:hAnsiTheme="minorEastAsia" w:eastAsiaTheme="minorEastAsia"/>
          <w:sz w:val="24"/>
        </w:rPr>
        <w:t>基金管理人和基金托管人将采取必要、适当、合理的措施确保基金资产估值的准确性、及时性。当基金份额净值小数点后4位以内（含第4位）发生估值错误时，视为基金份额净值错误。</w:t>
      </w:r>
    </w:p>
    <w:p w14:paraId="4E743D4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基金合同的当事人应按照以下约定处理：</w:t>
      </w:r>
    </w:p>
    <w:p w14:paraId="4F7EE04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1、估值错误类型</w:t>
      </w:r>
    </w:p>
    <w:p w14:paraId="3AD0914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0E1068D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上述估值错误的主要类型包括但不限于：资料申报差错、数据传输差错、数据计算差错、系统故障差错、下达指令差错等。</w:t>
      </w:r>
    </w:p>
    <w:p w14:paraId="1B42E93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2、估值错误处理原则</w:t>
      </w:r>
    </w:p>
    <w:p w14:paraId="664628F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2D6A76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（2）估值错误的责任方对有关当事人的直接损失负责，不对间接损失负责，并且仅对估值错误的有关直接当事人负责，不对第三方负责。</w:t>
      </w:r>
    </w:p>
    <w:p w14:paraId="10B9913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71172A3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（4）估值错误调整采用尽量恢复至假设未发生估值错误的正确情形的方式。</w:t>
      </w:r>
    </w:p>
    <w:p w14:paraId="58BCDE2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3、估值错误处理程序</w:t>
      </w:r>
    </w:p>
    <w:p w14:paraId="6C7C46D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估值错误被发现后，有关的当事人应当及时进行处理，处理的程序如下：</w:t>
      </w:r>
    </w:p>
    <w:p w14:paraId="38B782B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（1）查明估值错误发生的原因，列明所有的当事人，并根据估值错误发生的原因确定估值错误的责任方；</w:t>
      </w:r>
    </w:p>
    <w:p w14:paraId="67120EA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（2）根据估值错误处理原则或当事人协商的方法对因估值错误造成的损失进行评估；</w:t>
      </w:r>
    </w:p>
    <w:p w14:paraId="2AFC786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（3）根据估值错误处理原则或当事人协商的方法由估值错误的责任方进行更正和赔偿损失；</w:t>
      </w:r>
    </w:p>
    <w:p w14:paraId="5031EC8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（4）根据估值错误处理的方法，需要修改基金登记机构交易数据的，由基金登记机构进行更正，并就估值错误的更正向有关当事人进行确认。</w:t>
      </w:r>
    </w:p>
    <w:p w14:paraId="2E2328A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4、基金份额净值估值错误处理的方法如下：</w:t>
      </w:r>
    </w:p>
    <w:p w14:paraId="4547E17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（1）基金份额净值计算出现错误时，基金管理人应当立即予以纠正，通报基金托管人，并采取合理的措施防止损失进一步扩大。</w:t>
      </w:r>
    </w:p>
    <w:p w14:paraId="2C4518E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（2）错误偏差达到基金份额净值的0.25%时，基金管理人应当通报基金托管人并报中国证监会备案；错误偏差达到基金份额净值的0.5%时，基金管理人应当公告，并报中国证监会备案。</w:t>
      </w:r>
    </w:p>
    <w:p w14:paraId="3ABC712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（3）前述内容如法律法规或者监管部门另有规定的，从其规定。如果行业另有通行做法，基金管理人和基金托管人应本着平等和保护基金份额持有人利益的原则进行协商。</w:t>
      </w:r>
    </w:p>
    <w:bookmarkEnd w:id="89"/>
    <w:p w14:paraId="1C589AE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5、特殊情况的处理</w:t>
      </w:r>
    </w:p>
    <w:p w14:paraId="66608D95">
      <w:pPr>
        <w:spacing w:line="360" w:lineRule="auto"/>
        <w:ind w:firstLine="480" w:firstLineChars="200"/>
        <w:rPr>
          <w:rFonts w:asciiTheme="minorEastAsia" w:hAnsiTheme="minorEastAsia" w:eastAsiaTheme="minorEastAsia"/>
          <w:sz w:val="24"/>
        </w:rPr>
      </w:pPr>
      <w:bookmarkStart w:id="90" w:name="_Hlk207544816"/>
      <w:r>
        <w:rPr>
          <w:rFonts w:hint="eastAsia" w:asciiTheme="minorEastAsia" w:hAnsiTheme="minorEastAsia" w:eastAsiaTheme="minorEastAsia"/>
          <w:sz w:val="24"/>
        </w:rPr>
        <w:t>（1）基金管理人或基金托管人按估值方法的第（1</w:t>
      </w:r>
      <w:r>
        <w:rPr>
          <w:rFonts w:asciiTheme="minorEastAsia" w:hAnsiTheme="minorEastAsia" w:eastAsiaTheme="minorEastAsia"/>
          <w:sz w:val="24"/>
        </w:rPr>
        <w:t>3</w:t>
      </w:r>
      <w:r>
        <w:rPr>
          <w:rFonts w:hint="eastAsia" w:asciiTheme="minorEastAsia" w:hAnsiTheme="minorEastAsia" w:eastAsiaTheme="minorEastAsia"/>
          <w:sz w:val="24"/>
        </w:rPr>
        <w:t>）项进行估值时，所造成的误差不作为基金资产估值错误处理。</w:t>
      </w:r>
    </w:p>
    <w:p w14:paraId="1E60766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（2）由于不可抗力原因，或证券/期货交易所、指数编制机构及登记结算公司</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、证券、期货经营机构</w:t>
      </w:r>
      <w:r>
        <w:rPr>
          <w:rFonts w:hint="eastAsia" w:asciiTheme="minorEastAsia" w:hAnsiTheme="minorEastAsia" w:eastAsiaTheme="minorEastAsia"/>
          <w:sz w:val="24"/>
        </w:rPr>
        <w:t>等第三方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bookmarkEnd w:id="90"/>
    <w:p w14:paraId="386DA3C4">
      <w:pPr>
        <w:spacing w:line="360" w:lineRule="auto"/>
        <w:ind w:firstLine="480" w:firstLineChars="200"/>
        <w:rPr>
          <w:rFonts w:asciiTheme="minorEastAsia" w:hAnsiTheme="minorEastAsia" w:eastAsiaTheme="minorEastAsia"/>
          <w:sz w:val="24"/>
        </w:rPr>
      </w:pPr>
      <w:bookmarkStart w:id="91" w:name="_Hlk207544893"/>
      <w:r>
        <w:rPr>
          <w:rFonts w:hint="eastAsia" w:asciiTheme="minorEastAsia" w:hAnsiTheme="minorEastAsia" w:eastAsiaTheme="minorEastAsia"/>
          <w:sz w:val="24"/>
        </w:rPr>
        <w:t>（四）暂停估值的情形</w:t>
      </w:r>
    </w:p>
    <w:p w14:paraId="75845877">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、基金投资所涉及的证券、期货交易市场或外汇市场遇法定节假日或因其他原因暂停营业时；</w:t>
      </w:r>
    </w:p>
    <w:p w14:paraId="0491121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2、因不可抗力或其他情形致使基金管理人、基金托管人无法准确评估基金资产价值时；</w:t>
      </w:r>
    </w:p>
    <w:p w14:paraId="012BA94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3、当前一估值日基金资产净值50%以上的资产出现无可参考的活跃市场价格且采用估值技术仍导致公允价值存在重大不确定性时，经与基金托管人协商确认后，基金管理人应当暂停估值；</w:t>
      </w:r>
    </w:p>
    <w:p w14:paraId="78ABFB9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4、法律法规、中国证监会和基金合同认定的其它情形。</w:t>
      </w:r>
    </w:p>
    <w:bookmarkEnd w:id="91"/>
    <w:p w14:paraId="373B913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（五）基金会计制度</w:t>
      </w:r>
    </w:p>
    <w:p w14:paraId="6C025A1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按国家有关部门规定的会计制度执行。</w:t>
      </w:r>
    </w:p>
    <w:p w14:paraId="1A0DE3A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（六）基金账册的建立</w:t>
      </w:r>
    </w:p>
    <w:p w14:paraId="2E484AF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w:t>
      </w:r>
    </w:p>
    <w:p w14:paraId="4B7321A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（七）基金财务报表与报告的编制和复核</w:t>
      </w:r>
    </w:p>
    <w:p w14:paraId="6A409CB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1、财务报表的编制</w:t>
      </w:r>
    </w:p>
    <w:p w14:paraId="75DC936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基金财务报表由基金管理人编制，基金托管人复核。</w:t>
      </w:r>
    </w:p>
    <w:p w14:paraId="03309E7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2、报表复核</w:t>
      </w:r>
    </w:p>
    <w:p w14:paraId="02359BB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基金托管人在收到基金管理人编制的基金财务报表后，进行独立的复核。核对不符时，应及时通知基金管理人共同查出原因，进行调整，直至双方数据完全一致。</w:t>
      </w:r>
    </w:p>
    <w:p w14:paraId="6B1B2E6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3、财务报表的编制与复核时间安排</w:t>
      </w:r>
    </w:p>
    <w:p w14:paraId="33AF4B0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（1）报表的编制</w:t>
      </w:r>
    </w:p>
    <w:p w14:paraId="1A447F6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应当在每月结束后5个工作日内完成月度报表的编制；在每个季度结束之日起15个工作日内完成基金季度报告的编制；在上半年结束之日起两个月内完成基金中期报告的编制；在每年结束之日起三个月内完成基金年度报告的编制。基金年度报告的财务会计报告应当经过审计。基金合同生效不足两个月的，基金管理人可以不编制当期季度报告、中期报告或者年度报告。</w:t>
      </w:r>
    </w:p>
    <w:p w14:paraId="65E4817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（2）报表的复核 </w:t>
      </w:r>
    </w:p>
    <w:p w14:paraId="268FCAE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14:paraId="5924719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基金管理人应留足充分的时间，便于基金托管人复核相关报表及报告。</w:t>
      </w:r>
    </w:p>
    <w:p w14:paraId="0FEBBAC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（九）基金管理人应在编制季度报告、中期报告或者年度报告之前及时向基金托管人提供基金业绩比较基准的基础数据和编制结果。</w:t>
      </w:r>
    </w:p>
    <w:p w14:paraId="059CC711">
      <w:pPr>
        <w:spacing w:line="360" w:lineRule="auto"/>
        <w:ind w:firstLine="480" w:firstLineChars="200"/>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bookmarkEnd w:id="84"/>
    <w:bookmarkEnd w:id="85"/>
    <w:bookmarkEnd w:id="86"/>
    <w:bookmarkEnd w:id="87"/>
    <w:p w14:paraId="692E4302">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92" w:name="_Toc124749944"/>
      <w:bookmarkStart w:id="93" w:name="_Toc4085"/>
      <w:bookmarkStart w:id="94" w:name="_Toc123626175"/>
      <w:bookmarkStart w:id="95" w:name="_Toc125361081"/>
      <w:bookmarkStart w:id="96" w:name="_Toc124749233"/>
      <w:bookmarkStart w:id="97" w:name="_Toc86843178"/>
      <w:r>
        <w:rPr>
          <w:rFonts w:hint="eastAsia" w:cs="Arial" w:asciiTheme="minorEastAsia" w:hAnsiTheme="minorEastAsia" w:eastAsiaTheme="minorEastAsia"/>
          <w:sz w:val="30"/>
        </w:rPr>
        <w:t>基金收益分配</w:t>
      </w:r>
      <w:bookmarkEnd w:id="92"/>
      <w:bookmarkEnd w:id="93"/>
      <w:bookmarkEnd w:id="94"/>
      <w:bookmarkEnd w:id="95"/>
      <w:bookmarkEnd w:id="96"/>
      <w:bookmarkEnd w:id="97"/>
    </w:p>
    <w:p w14:paraId="392D144C">
      <w:pPr>
        <w:spacing w:line="360" w:lineRule="auto"/>
        <w:ind w:firstLine="480" w:firstLineChars="200"/>
        <w:rPr>
          <w:rFonts w:asciiTheme="minorEastAsia" w:hAnsiTheme="minorEastAsia" w:eastAsiaTheme="minorEastAsia"/>
          <w:sz w:val="24"/>
        </w:rPr>
      </w:pPr>
      <w:bookmarkStart w:id="98" w:name="_Hlk207544953"/>
      <w:r>
        <w:rPr>
          <w:rFonts w:hint="eastAsia" w:asciiTheme="minorEastAsia" w:hAnsiTheme="minorEastAsia" w:eastAsiaTheme="minorEastAsia"/>
          <w:sz w:val="24"/>
        </w:rPr>
        <w:t>（一）基金收益分配的原则</w:t>
      </w:r>
    </w:p>
    <w:p w14:paraId="4511F33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1、本基金基金份额的收益分配方式采用现金分红；</w:t>
      </w:r>
    </w:p>
    <w:p w14:paraId="66E87D2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2、当收益评价日核定的基金份额净值增长率超过标的指数同期增长率达到0.01%以上时，可进行收益分配；</w:t>
      </w:r>
    </w:p>
    <w:p w14:paraId="38DBF7B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本基金以使收益分配后基金份额净值增长率尽可能贴近标的指数同期增长率为原则进行收益分配。基于本基金的性质和特点，本基金收益分配不须以弥补亏损为前提，收益分配后有可能使除息后的基金份额净值低于面值；</w:t>
      </w:r>
    </w:p>
    <w:p w14:paraId="15778D8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4、若《基金合同》生效不满3个月可不进行收益分配；</w:t>
      </w:r>
    </w:p>
    <w:p w14:paraId="478CABF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5、每一基金份额享有同等分配权；</w:t>
      </w:r>
    </w:p>
    <w:p w14:paraId="5CDC205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6、法律法规或监管机关、证券交易所、登记机构另有规定的，从其规定。</w:t>
      </w:r>
    </w:p>
    <w:p w14:paraId="5272F92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在不违反法律法规且对基金份额持有人利益无实质性不利影响的前提下，基金管理人经与基金托管人协商一致后可对基金收益分配原则进行调整，并及时公告。</w:t>
      </w:r>
    </w:p>
    <w:p w14:paraId="6F95270A">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基金收益分配比例及金额的确定原则</w:t>
      </w:r>
    </w:p>
    <w:p w14:paraId="3285E929">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1、在收益评价日，基金管理人计算基金份额净值增长率、标的指数同期增长率。</w:t>
      </w:r>
    </w:p>
    <w:p w14:paraId="50F2928A">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基金收益评价日本基金相对标的指数的超额收益率＝基金份额净值增长率－标的指数同期增长率。</w:t>
      </w:r>
    </w:p>
    <w:p w14:paraId="5E54D752">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70D94D55">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期间如发生基金份额折算、拆分或合并，则以基金份额折算、经拆分或合并调整后的基金份额折算日为初始日重新计算上述指标。</w:t>
      </w:r>
    </w:p>
    <w:p w14:paraId="36E7C028">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收益评价日日期以本基金日后相关公告为准。</w:t>
      </w:r>
    </w:p>
    <w:p w14:paraId="433FFDB6">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2、根据前述收益分配原则计算截至基金收益评价日本基金的份额可分配收益，并确定收益分配比例。</w:t>
      </w:r>
    </w:p>
    <w:p w14:paraId="1E813D4D">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3、根据前述可供分配利润及收益分配比例计算收益分配金额。</w:t>
      </w:r>
    </w:p>
    <w:p w14:paraId="0FCA905C">
      <w:pPr>
        <w:adjustRightInd w:val="0"/>
        <w:snapToGrid w:val="0"/>
        <w:spacing w:line="360" w:lineRule="auto"/>
        <w:ind w:firstLine="480" w:firstLineChars="200"/>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（三）收益分配方案</w:t>
      </w:r>
    </w:p>
    <w:p w14:paraId="0A791C1A">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基金收益分配方案中应载明基金收益分配对象、分配时间、分配数额及比例、分配方式等内容。</w:t>
      </w:r>
    </w:p>
    <w:p w14:paraId="237E0E6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（四）收益分配方案的确定、公告与实施</w:t>
      </w:r>
    </w:p>
    <w:p w14:paraId="3BF45B6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本基金收益分配方案由基金管理人拟定，并由基金托管人复核，依照《信息披露办法》的有关规定在规定媒介公告。</w:t>
      </w:r>
    </w:p>
    <w:p w14:paraId="2570AB7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（五）基金收益分配中发生的费用</w:t>
      </w:r>
    </w:p>
    <w:p w14:paraId="4EE3CC1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基金收益分配时所发生的银行转账或其他手续费用由投资者自行承担。</w:t>
      </w:r>
    </w:p>
    <w:bookmarkEnd w:id="98"/>
    <w:p w14:paraId="2DEA7590">
      <w:pPr>
        <w:spacing w:line="360" w:lineRule="auto"/>
        <w:ind w:firstLine="480" w:firstLineChars="200"/>
        <w:rPr>
          <w:rFonts w:asciiTheme="minorEastAsia" w:hAnsiTheme="minorEastAsia" w:eastAsiaTheme="minorEastAsia"/>
          <w:sz w:val="24"/>
        </w:rPr>
      </w:pPr>
    </w:p>
    <w:p w14:paraId="66CBF7BD">
      <w:pPr>
        <w:spacing w:line="360" w:lineRule="auto"/>
        <w:ind w:firstLine="480" w:firstLineChars="200"/>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p w14:paraId="1CB2E7C1">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99" w:name="_Toc124749945"/>
      <w:bookmarkStart w:id="100" w:name="_Toc86843179"/>
      <w:bookmarkStart w:id="101" w:name="_Toc48703916"/>
      <w:bookmarkStart w:id="102" w:name="_Toc20702"/>
      <w:bookmarkStart w:id="103" w:name="_Toc123626176"/>
      <w:bookmarkStart w:id="104" w:name="_Toc466788861"/>
      <w:bookmarkStart w:id="105" w:name="_Toc125361082"/>
      <w:bookmarkStart w:id="106" w:name="_Toc22454465"/>
      <w:bookmarkStart w:id="107" w:name="_Toc523830002"/>
      <w:bookmarkStart w:id="108" w:name="_Toc124749234"/>
      <w:r>
        <w:rPr>
          <w:rFonts w:hint="eastAsia" w:cs="Arial" w:asciiTheme="minorEastAsia" w:hAnsiTheme="minorEastAsia" w:eastAsiaTheme="minorEastAsia"/>
          <w:sz w:val="30"/>
        </w:rPr>
        <w:t>基金信息披露</w:t>
      </w:r>
      <w:bookmarkEnd w:id="99"/>
      <w:bookmarkEnd w:id="100"/>
      <w:bookmarkEnd w:id="101"/>
      <w:bookmarkEnd w:id="102"/>
      <w:bookmarkEnd w:id="103"/>
      <w:bookmarkEnd w:id="104"/>
      <w:bookmarkEnd w:id="105"/>
      <w:bookmarkEnd w:id="106"/>
      <w:bookmarkEnd w:id="107"/>
      <w:bookmarkEnd w:id="108"/>
      <w:bookmarkStart w:id="109" w:name="_Hlt89687670"/>
      <w:bookmarkEnd w:id="109"/>
    </w:p>
    <w:p w14:paraId="75444E45">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（一）保密义务</w:t>
      </w:r>
    </w:p>
    <w:p w14:paraId="66FB43FD">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基金托管人和基金管理人应按法律法规、基金合同的有关规定进行信息披露，拟公开披露的信息在公开披露之前应予保密。除按《基金法》、《信息披露办法》、《流动性风险管理规定》、基金合同及其他有关规定进行信息披露外，基金管理人和基金托管人对基金运作中产生的信息以及从对方获得的业务信息应予保密。但是，如下情况不应视为基金管理人或基金托管人违反保密义务：</w:t>
      </w:r>
    </w:p>
    <w:p w14:paraId="5950AF59">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1、非因基金管理人和基金托管人的原因导致保密信息被披露、泄露或公开；</w:t>
      </w:r>
    </w:p>
    <w:p w14:paraId="706EA2DD">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2、基金管理人和基金托管人为遵守和服从法院判决或裁定、仲裁裁决或中国证监会等监管机构的命令、决定所做出的信息披露或公开。</w:t>
      </w:r>
    </w:p>
    <w:p w14:paraId="2B411B1E">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（二）信息披露的内容</w:t>
      </w:r>
    </w:p>
    <w:p w14:paraId="3051C417">
      <w:pPr>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基金的信息披露内容主要包括基金招募说明书、《基金合同》、基金托管协议、基金产品资料概要、基金份额发售公告、《基金合同》生效公告、基金开始申购、赎回公告、基金净值信息、</w:t>
      </w:r>
      <w:r>
        <w:rPr>
          <w:rFonts w:hint="eastAsia" w:asciiTheme="minorEastAsia" w:hAnsiTheme="minorEastAsia" w:eastAsiaTheme="minorEastAsia"/>
          <w:sz w:val="24"/>
          <w:szCs w:val="24"/>
        </w:rPr>
        <w:t>基金份额</w:t>
      </w:r>
      <w:r>
        <w:rPr>
          <w:rFonts w:asciiTheme="minorEastAsia" w:hAnsiTheme="minorEastAsia" w:eastAsiaTheme="minorEastAsia"/>
          <w:sz w:val="24"/>
          <w:szCs w:val="24"/>
        </w:rPr>
        <w:t>上市交易公告书</w:t>
      </w:r>
      <w:r>
        <w:rPr>
          <w:rFonts w:hint="eastAsia" w:asciiTheme="minorEastAsia" w:hAnsiTheme="minorEastAsia" w:eastAsiaTheme="minorEastAsia"/>
          <w:sz w:val="24"/>
          <w:szCs w:val="24"/>
        </w:rPr>
        <w:t>、基金份额折算日和折算结果公告、</w:t>
      </w:r>
      <w:r>
        <w:rPr>
          <w:rFonts w:asciiTheme="minorEastAsia" w:hAnsiTheme="minorEastAsia" w:eastAsiaTheme="minorEastAsia"/>
          <w:sz w:val="24"/>
          <w:szCs w:val="24"/>
        </w:rPr>
        <w:t>申购赎回清单</w:t>
      </w:r>
      <w:r>
        <w:rPr>
          <w:rFonts w:hint="eastAsia" w:asciiTheme="minorEastAsia" w:hAnsiTheme="minorEastAsia" w:eastAsiaTheme="minorEastAsia"/>
          <w:sz w:val="24"/>
          <w:szCs w:val="24"/>
        </w:rPr>
        <w:t>、</w:t>
      </w:r>
      <w:r>
        <w:rPr>
          <w:rFonts w:hint="eastAsia" w:asciiTheme="minorEastAsia" w:hAnsiTheme="minorEastAsia" w:eastAsiaTheme="minorEastAsia"/>
          <w:sz w:val="24"/>
        </w:rPr>
        <w:t>基金定期报告（包括年度报告、中期报告和季度报告（含资产组合季度报告））、临时报告、澄清公告、基金份额持有人大会决议、清算报告、参与股指期货交易的信息披露、</w:t>
      </w:r>
      <w:r>
        <w:rPr>
          <w:rFonts w:hint="eastAsia"/>
          <w:bCs/>
          <w:sz w:val="24"/>
        </w:rPr>
        <w:t>参与国债期货交易的</w:t>
      </w:r>
      <w:r>
        <w:rPr>
          <w:rFonts w:hint="eastAsia" w:asciiTheme="minorEastAsia" w:hAnsiTheme="minorEastAsia" w:eastAsiaTheme="minorEastAsia"/>
          <w:sz w:val="24"/>
        </w:rPr>
        <w:t>信息披露</w:t>
      </w:r>
      <w:r>
        <w:rPr>
          <w:rFonts w:hint="eastAsia"/>
          <w:bCs/>
          <w:sz w:val="24"/>
        </w:rPr>
        <w:t>、投资资产支持证券的信息披露、</w:t>
      </w:r>
      <w:r>
        <w:rPr>
          <w:rFonts w:hint="eastAsia" w:asciiTheme="minorEastAsia" w:hAnsiTheme="minorEastAsia" w:eastAsiaTheme="minorEastAsia"/>
          <w:sz w:val="24"/>
          <w:szCs w:val="24"/>
        </w:rPr>
        <w:t>投资股票期权的</w:t>
      </w:r>
      <w:bookmarkStart w:id="110" w:name="_Hlk44365386"/>
      <w:r>
        <w:rPr>
          <w:rFonts w:hint="eastAsia" w:asciiTheme="minorEastAsia" w:hAnsiTheme="minorEastAsia" w:eastAsiaTheme="minorEastAsia"/>
          <w:sz w:val="24"/>
          <w:szCs w:val="24"/>
        </w:rPr>
        <w:t>信息披露</w:t>
      </w:r>
      <w:bookmarkEnd w:id="110"/>
      <w:r>
        <w:rPr>
          <w:rFonts w:hint="eastAsia" w:asciiTheme="minorEastAsia" w:hAnsiTheme="minorEastAsia" w:eastAsiaTheme="minorEastAsia"/>
          <w:sz w:val="24"/>
          <w:szCs w:val="24"/>
        </w:rPr>
        <w:t>、</w:t>
      </w:r>
      <w:r>
        <w:rPr>
          <w:rFonts w:hint="eastAsia"/>
          <w:bCs/>
          <w:sz w:val="24"/>
        </w:rPr>
        <w:t>投资港股通标的股票的</w:t>
      </w:r>
      <w:r>
        <w:rPr>
          <w:rFonts w:hint="eastAsia" w:asciiTheme="minorEastAsia" w:hAnsiTheme="minorEastAsia" w:eastAsiaTheme="minorEastAsia"/>
          <w:sz w:val="24"/>
          <w:szCs w:val="24"/>
        </w:rPr>
        <w:t>信息披露</w:t>
      </w:r>
      <w:r>
        <w:rPr>
          <w:rFonts w:hint="eastAsia"/>
          <w:bCs/>
          <w:sz w:val="24"/>
        </w:rPr>
        <w:t>、</w:t>
      </w:r>
      <w:bookmarkStart w:id="111" w:name="_Hlk44365407"/>
      <w:r>
        <w:rPr>
          <w:rFonts w:hint="eastAsia" w:asciiTheme="minorEastAsia" w:hAnsiTheme="minorEastAsia" w:eastAsiaTheme="minorEastAsia"/>
          <w:sz w:val="24"/>
          <w:szCs w:val="24"/>
        </w:rPr>
        <w:t>基金投资非公开发行股票的信息披露</w:t>
      </w:r>
      <w:bookmarkEnd w:id="111"/>
      <w:r>
        <w:rPr>
          <w:rFonts w:hint="eastAsia"/>
          <w:sz w:val="24"/>
        </w:rPr>
        <w:t>、</w:t>
      </w:r>
      <w:r>
        <w:rPr>
          <w:rFonts w:hint="eastAsia"/>
          <w:bCs/>
          <w:sz w:val="24"/>
        </w:rPr>
        <w:t>参与融资和转融通证券出借业务的信息披露</w:t>
      </w:r>
      <w:r>
        <w:rPr>
          <w:rFonts w:hint="eastAsia" w:asciiTheme="minorEastAsia" w:hAnsiTheme="minorEastAsia" w:eastAsiaTheme="minorEastAsia"/>
          <w:sz w:val="24"/>
        </w:rPr>
        <w:t>以及中国证监会规定的其他信息。基金年度报告</w:t>
      </w:r>
      <w:r>
        <w:rPr>
          <w:rFonts w:hint="eastAsia" w:asciiTheme="minorEastAsia" w:hAnsiTheme="minorEastAsia" w:eastAsiaTheme="minorEastAsia"/>
          <w:sz w:val="24"/>
          <w:szCs w:val="24"/>
        </w:rPr>
        <w:t>中的财务会计报告</w:t>
      </w:r>
      <w:r>
        <w:rPr>
          <w:rFonts w:hint="eastAsia" w:asciiTheme="minorEastAsia" w:hAnsiTheme="minorEastAsia" w:eastAsiaTheme="minorEastAsia"/>
          <w:sz w:val="24"/>
        </w:rPr>
        <w:t>需经符合《中华人民共和国证券法》规定的会计师事务所审计后，方可披露。</w:t>
      </w:r>
    </w:p>
    <w:p w14:paraId="0B6378AA">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（三）基金托管人和基金管理人在信息披露中的职责和信息披露程序</w:t>
      </w:r>
    </w:p>
    <w:p w14:paraId="68DB0E76">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1、职责</w:t>
      </w:r>
    </w:p>
    <w:p w14:paraId="24362C4C">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基金托管人和基金管理人在信息披露过程中应以保护基金份额持有人利益为宗旨，诚实信用，严守秘密。基金管理人负责办理与基金有关的信息披露事宜，基金托管人应当按照相关法律法规和基金合同的约定，对于本章第（二）条中应由基金托管人复核的事项进行复核，基金托管人复核无误后，由基金管理人予以公布。</w:t>
      </w:r>
    </w:p>
    <w:p w14:paraId="1B2A46E4">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基金管理人和基金托管人应积极配合、互相监督，保证其履行按照法定方式和时限披露的义务。</w:t>
      </w:r>
    </w:p>
    <w:p w14:paraId="0C54FBC4">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基金管理人应当在中国证监会规定的时间内，将应予披露的基金信息通过中国证监会规定媒介披露。根据法律法规应由基金托管人公开披露的信息，基金托管人将通过规定媒介公开披露。</w:t>
      </w:r>
    </w:p>
    <w:p w14:paraId="38CB1335">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当出现下述情况时，基金管理人和基金托管人可暂停或延迟披露基金相关信息：</w:t>
      </w:r>
    </w:p>
    <w:p w14:paraId="0E2A9B1F">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（1）因不可抗力或其他情形致使基金管理人、基金托管人无法准确评估基金资产价值时；</w:t>
      </w:r>
    </w:p>
    <w:p w14:paraId="5CF167CE">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w:t>
      </w:r>
      <w:r>
        <w:rPr>
          <w:rFonts w:hint="eastAsia" w:asciiTheme="minorEastAsia" w:hAnsiTheme="minorEastAsia" w:eastAsiaTheme="minorEastAsia"/>
          <w:sz w:val="24"/>
        </w:rPr>
        <w:t>）发生基金合同约定的暂停估值的情形；</w:t>
      </w:r>
    </w:p>
    <w:p w14:paraId="2E5D644F">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3</w:t>
      </w:r>
      <w:r>
        <w:rPr>
          <w:rFonts w:hint="eastAsia" w:asciiTheme="minorEastAsia" w:hAnsiTheme="minorEastAsia" w:eastAsiaTheme="minorEastAsia"/>
          <w:sz w:val="24"/>
        </w:rPr>
        <w:t>）法律法规、基金合同认定的或中国证监会规定的</w:t>
      </w:r>
      <w:r>
        <w:rPr>
          <w:rFonts w:hint="eastAsia"/>
          <w:sz w:val="24"/>
        </w:rPr>
        <w:t>其他情形</w:t>
      </w:r>
      <w:r>
        <w:rPr>
          <w:rFonts w:hint="eastAsia" w:asciiTheme="minorEastAsia" w:hAnsiTheme="minorEastAsia" w:eastAsiaTheme="minorEastAsia"/>
          <w:sz w:val="24"/>
        </w:rPr>
        <w:t>。</w:t>
      </w:r>
    </w:p>
    <w:p w14:paraId="1B550D8D">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2、程序</w:t>
      </w:r>
    </w:p>
    <w:p w14:paraId="15A415D3">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按有关规定须经基金托管人复核的信息披露文件，由基金管理人起草、并经基金托管人复核后由基金管理人公告。发生基金合同中规定需要披露的事项时，按基金合同规定公布。</w:t>
      </w:r>
    </w:p>
    <w:p w14:paraId="4CFA5970">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3、信息文本的存放</w:t>
      </w:r>
    </w:p>
    <w:p w14:paraId="1C129583">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依法必须披露的信息发布后，基金管理人、基金托管人应当按照相关法律法规规定将信息置备于各自住所和基金上市交易的证券交易所，供社会公众查阅、复制。</w:t>
      </w:r>
    </w:p>
    <w:p w14:paraId="1DEA6C9D">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（四）基金托管人报告</w:t>
      </w:r>
    </w:p>
    <w:p w14:paraId="3C159C9D">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基金托管人应按《基金法》、《运作办法》、《信息披露办法》和其他有关法律法规的规定于每个上半年度结束后两个月内、每个会计年度结束后三个月内在基金中期报告及年度报告中分别出具基金托管人报告。</w:t>
      </w:r>
    </w:p>
    <w:p w14:paraId="5AD4C417">
      <w:pPr>
        <w:spacing w:line="360" w:lineRule="auto"/>
        <w:ind w:firstLine="480"/>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p w14:paraId="5AAFE895">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12" w:name="_Toc124749946"/>
      <w:bookmarkStart w:id="113" w:name="_Toc86843180"/>
      <w:bookmarkStart w:id="114" w:name="_Toc124749235"/>
      <w:bookmarkStart w:id="115" w:name="_Toc3945"/>
      <w:bookmarkStart w:id="116" w:name="_Toc125361083"/>
      <w:bookmarkStart w:id="117" w:name="_Toc123626177"/>
      <w:r>
        <w:rPr>
          <w:rFonts w:hint="eastAsia" w:cs="Arial" w:asciiTheme="minorEastAsia" w:hAnsiTheme="minorEastAsia" w:eastAsiaTheme="minorEastAsia"/>
          <w:sz w:val="30"/>
        </w:rPr>
        <w:t>基金费用</w:t>
      </w:r>
      <w:bookmarkEnd w:id="10"/>
      <w:bookmarkEnd w:id="112"/>
      <w:bookmarkEnd w:id="113"/>
      <w:bookmarkEnd w:id="114"/>
      <w:bookmarkEnd w:id="115"/>
      <w:bookmarkEnd w:id="116"/>
      <w:bookmarkEnd w:id="117"/>
    </w:p>
    <w:p w14:paraId="69C06F5B">
      <w:pPr>
        <w:spacing w:line="360" w:lineRule="auto"/>
        <w:ind w:firstLine="480" w:firstLineChars="200"/>
        <w:rPr>
          <w:rFonts w:asciiTheme="minorEastAsia" w:hAnsiTheme="minorEastAsia" w:eastAsiaTheme="minorEastAsia"/>
          <w:sz w:val="24"/>
        </w:rPr>
      </w:pPr>
      <w:bookmarkStart w:id="118" w:name="_Hlk207545425"/>
      <w:r>
        <w:rPr>
          <w:rFonts w:hint="eastAsia" w:asciiTheme="minorEastAsia" w:hAnsiTheme="minorEastAsia" w:eastAsiaTheme="minorEastAsia"/>
          <w:sz w:val="24"/>
        </w:rPr>
        <w:t>（一）基金费用的种类</w:t>
      </w:r>
    </w:p>
    <w:p w14:paraId="5E5F39D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1、基金管理人的管理费；</w:t>
      </w:r>
    </w:p>
    <w:p w14:paraId="1AE7344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2、基金托管人的托管费；</w:t>
      </w:r>
    </w:p>
    <w:p w14:paraId="479CE31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3、基金的证券、期货、期权交易费用；</w:t>
      </w:r>
    </w:p>
    <w:p w14:paraId="5A745C1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4、《基金合同》生效后与基金相关的信息披露费用，但法律法规、中国证监会另有规定的除外；</w:t>
      </w:r>
    </w:p>
    <w:p w14:paraId="155B0DA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5、《基金合同》生效后与基金相关的会计师费、律师费、仲裁费和诉讼费；</w:t>
      </w:r>
    </w:p>
    <w:p w14:paraId="2D9C8F5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6、基金份额持有人大会费用；</w:t>
      </w:r>
    </w:p>
    <w:p w14:paraId="7CD956C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7、基金银行汇划费用、账户开户及维护费用；</w:t>
      </w:r>
    </w:p>
    <w:p w14:paraId="642411E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8、基金上市费及年费、场内注册登记费用、IOPV计算与发布费用；</w:t>
      </w:r>
    </w:p>
    <w:p w14:paraId="56B2B89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9、收益分配中发生的费用（银行转账或其他手续费用除外）；</w:t>
      </w:r>
    </w:p>
    <w:p w14:paraId="12B72C6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10、因投资港股通标的股票而产生的各项合理费用；</w:t>
      </w:r>
    </w:p>
    <w:p w14:paraId="11F4086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11、基金依照有关法律法规应当缴纳的，购买或处置证券有关的任何税收、征费、关税、印花税、预扣提税（以及与前述各项有关的任何利息及费用）（简称“税收”）及基金缴纳税收有关的手续费、汇款费、顾问费等；</w:t>
      </w:r>
    </w:p>
    <w:p w14:paraId="0E9056E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12、按照国家有关规定和《基金合同》约定，可以在基金财产中列支的其他费用。</w:t>
      </w:r>
    </w:p>
    <w:p w14:paraId="27CE8F7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（二）基金费用计提方法、计提标准和支付方式</w:t>
      </w:r>
    </w:p>
    <w:p w14:paraId="405A25E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1、基金管理人的管理费</w:t>
      </w:r>
    </w:p>
    <w:p w14:paraId="10D5CE4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本基金的管理费按前一日基金资产净值的0.50%年费率计提。管理费的计算方法如下：</w:t>
      </w:r>
    </w:p>
    <w:p w14:paraId="0F2E730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H＝E×0.50%÷当年天数</w:t>
      </w:r>
    </w:p>
    <w:p w14:paraId="51ACF02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H为每日应计提的基金管理费</w:t>
      </w:r>
    </w:p>
    <w:p w14:paraId="74D6A2E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E为前一日的基金资产净值</w:t>
      </w:r>
    </w:p>
    <w:p w14:paraId="7D74EC1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w:t>
      </w:r>
    </w:p>
    <w:p w14:paraId="3F375C9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2、基金托管人的托管费</w:t>
      </w:r>
    </w:p>
    <w:p w14:paraId="210C5D5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本基金的托管费按前一日基金资产净值的0.10%年费率计提。托管费的计算方法如下：</w:t>
      </w:r>
    </w:p>
    <w:p w14:paraId="255E07B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H＝E×0.10%÷当年天数</w:t>
      </w:r>
    </w:p>
    <w:p w14:paraId="46FA700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H为每日应计提的基金托管费</w:t>
      </w:r>
    </w:p>
    <w:p w14:paraId="057550B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E为前一日的基金资产净值</w:t>
      </w:r>
    </w:p>
    <w:p w14:paraId="653624A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w:t>
      </w:r>
    </w:p>
    <w:p w14:paraId="33C264C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上述“（一）基金费用的种类”中第</w:t>
      </w:r>
      <w:r>
        <w:rPr>
          <w:rFonts w:asciiTheme="minorEastAsia" w:hAnsiTheme="minorEastAsia" w:eastAsiaTheme="minorEastAsia"/>
          <w:sz w:val="24"/>
        </w:rPr>
        <w:t>3</w:t>
      </w:r>
      <w:r>
        <w:rPr>
          <w:rFonts w:hint="eastAsia" w:asciiTheme="minorEastAsia" w:hAnsiTheme="minorEastAsia" w:eastAsiaTheme="minorEastAsia"/>
          <w:sz w:val="24"/>
        </w:rPr>
        <w:t>－</w:t>
      </w:r>
      <w:r>
        <w:rPr>
          <w:rFonts w:asciiTheme="minorEastAsia" w:hAnsiTheme="minorEastAsia" w:eastAsiaTheme="minorEastAsia"/>
          <w:sz w:val="24"/>
        </w:rPr>
        <w:t>12</w:t>
      </w:r>
      <w:r>
        <w:rPr>
          <w:rFonts w:hint="eastAsia" w:asciiTheme="minorEastAsia" w:hAnsiTheme="minorEastAsia" w:eastAsiaTheme="minorEastAsia"/>
          <w:sz w:val="24"/>
        </w:rPr>
        <w:t>项费用，根据有关法规、《基金合同》及相应协议规定</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，由基金托管人按基金管理人的划款指令或者托管协议的约定并根据费用实际支出金额支付，列入当期基金费用</w:t>
      </w:r>
      <w:r>
        <w:rPr>
          <w:rFonts w:hint="eastAsia" w:asciiTheme="minorEastAsia" w:hAnsiTheme="minorEastAsia" w:eastAsiaTheme="minorEastAsia"/>
          <w:sz w:val="24"/>
        </w:rPr>
        <w:t>。</w:t>
      </w:r>
    </w:p>
    <w:p w14:paraId="1787EBE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（三）不列入基金费用的项目</w:t>
      </w:r>
    </w:p>
    <w:p w14:paraId="100ED18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下列费用不列入基金费用：</w:t>
      </w:r>
    </w:p>
    <w:p w14:paraId="1F56DA1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1、基金管理人和基金托管人因未履行或未完全履行义务导致的费用支出或基金财产的损失；</w:t>
      </w:r>
    </w:p>
    <w:p w14:paraId="29D5F72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2、基金管理人和基金托管人处理与基金运作无关的事项发生的费用；</w:t>
      </w:r>
    </w:p>
    <w:p w14:paraId="706714D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3、《基金合同》生效前的相关费用；</w:t>
      </w:r>
    </w:p>
    <w:p w14:paraId="4B41EFA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4、指数许可使用费，该指数许可使用费由基金管理人承担，不得从基金财产中列支；</w:t>
      </w:r>
    </w:p>
    <w:p w14:paraId="6FC9EB81">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、其他根据相关法律法规及中国证监会的有关规定不得列入基金费用的项目。</w:t>
      </w:r>
    </w:p>
    <w:p w14:paraId="2E82F2D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（五）基金税收</w:t>
      </w:r>
    </w:p>
    <w:p w14:paraId="4358D670">
      <w:pPr>
        <w:spacing w:line="360" w:lineRule="auto"/>
        <w:ind w:firstLine="480" w:firstLineChars="200"/>
        <w:rPr>
          <w:rFonts w:ascii="宋体" w:hAnsi="宋体"/>
          <w:kern w:val="0"/>
          <w:sz w:val="24"/>
        </w:rPr>
      </w:pPr>
      <w:r>
        <w:rPr>
          <w:rFonts w:hint="eastAsia"/>
          <w:bCs/>
          <w:sz w:val="24"/>
        </w:rPr>
        <w:t>本基金支付给基金管理人、基金托管人的各项费用均为含税价格，具体税率适用中国税务主管机关的规定。</w:t>
      </w:r>
    </w:p>
    <w:p w14:paraId="73B0944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bookmarkEnd w:id="118"/>
    <w:p w14:paraId="592B64ED">
      <w:pPr>
        <w:spacing w:line="360" w:lineRule="auto"/>
        <w:ind w:firstLine="480" w:firstLineChars="200"/>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p w14:paraId="7C017EDF">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19" w:name="_Toc86843181"/>
      <w:bookmarkStart w:id="120" w:name="_Toc25955"/>
      <w:bookmarkStart w:id="121" w:name="_Toc125361084"/>
      <w:bookmarkStart w:id="122" w:name="_Toc124749947"/>
      <w:r>
        <w:rPr>
          <w:rFonts w:hint="eastAsia" w:cs="Arial" w:asciiTheme="minorEastAsia" w:hAnsiTheme="minorEastAsia" w:eastAsiaTheme="minorEastAsia"/>
          <w:sz w:val="30"/>
        </w:rPr>
        <w:t>基金份额持有人名册的保管</w:t>
      </w:r>
      <w:bookmarkEnd w:id="119"/>
      <w:bookmarkEnd w:id="120"/>
      <w:bookmarkEnd w:id="121"/>
      <w:bookmarkEnd w:id="122"/>
    </w:p>
    <w:p w14:paraId="237E5DA1">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份额持有人名册至少应包括基金份额持有人的名称和持有的基金份额。基金份额持有人名册由基金登记机构根据基金管理人的指令编制和保管，保存期自基金账户销户之日起不少于20年。基金管理人和基金托管人应分别保管基金份额持有人名册，保存期限不低于法律法规规定的最低期限。开放式基金的管理人应定期或不定期向基金托管人提供基金份额持有人名册。如不能妥善保管，则按相关法规承担责任。</w:t>
      </w:r>
    </w:p>
    <w:p w14:paraId="353FC537">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14:paraId="0F85531D">
      <w:pPr>
        <w:spacing w:line="360" w:lineRule="auto"/>
        <w:ind w:firstLine="480" w:firstLineChars="200"/>
        <w:rPr>
          <w:rFonts w:cs="Arial"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p w14:paraId="73FF0E0B">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23" w:name="_Toc86843182"/>
      <w:bookmarkStart w:id="124" w:name="_Toc125361085"/>
      <w:bookmarkStart w:id="125" w:name="_Toc124749948"/>
      <w:bookmarkStart w:id="126" w:name="_Toc11857"/>
      <w:r>
        <w:rPr>
          <w:rFonts w:hint="eastAsia" w:cs="Arial" w:asciiTheme="minorEastAsia" w:hAnsiTheme="minorEastAsia" w:eastAsiaTheme="minorEastAsia"/>
          <w:sz w:val="30"/>
        </w:rPr>
        <w:t>基金有关文件档案的保存</w:t>
      </w:r>
      <w:bookmarkEnd w:id="123"/>
      <w:bookmarkEnd w:id="124"/>
      <w:bookmarkEnd w:id="125"/>
      <w:bookmarkEnd w:id="126"/>
    </w:p>
    <w:p w14:paraId="5FAF0A54">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（一）档案保存</w:t>
      </w:r>
    </w:p>
    <w:p w14:paraId="21B340D7">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基金管理人应保存基金财产管理业务活动的记录、账册、报表和其他相关资料。基金托管人应保存基金托管业务活动的记录、账册、报表和其他相关资料。</w:t>
      </w:r>
    </w:p>
    <w:p w14:paraId="26F9E282">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基金管理人和基金托管人都应当按规定的期限保管，保存期限不低于法律法规规定的最低期限。</w:t>
      </w:r>
    </w:p>
    <w:p w14:paraId="7081AF9A">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（二）合同档案的建立</w:t>
      </w:r>
    </w:p>
    <w:p w14:paraId="3E8901F9">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1、基金管理人签署重大合同文本后，应及时将合同文本正本送达基金托管人处。</w:t>
      </w:r>
    </w:p>
    <w:p w14:paraId="39AC0FF6">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2、基金管理人应及时将与本基金账务处理、资金划拨等有关的合同、协议传真基金托管人。</w:t>
      </w:r>
    </w:p>
    <w:p w14:paraId="22B93C17">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（三）变更与协助</w:t>
      </w:r>
    </w:p>
    <w:p w14:paraId="6641BCA6">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若基金管理人/基金托管人发生变更，未变更的一方有义务协助变更后的接任人接收相应文件。</w:t>
      </w:r>
    </w:p>
    <w:p w14:paraId="7381B642">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（四）基金管理人和基金托管人应按各自职责完整保存原始凭证、记账凭证、基金账册、交易记录和重要合同等，承担保密义务，保存期限不低于法律法规规定的最低期限。</w:t>
      </w:r>
    </w:p>
    <w:p w14:paraId="56F2A974">
      <w:pPr>
        <w:spacing w:line="360" w:lineRule="auto"/>
        <w:ind w:firstLine="480" w:firstLineChars="200"/>
        <w:rPr>
          <w:rFonts w:asciiTheme="minorEastAsia" w:hAnsiTheme="minorEastAsia" w:eastAsiaTheme="minorEastAsia"/>
          <w:sz w:val="24"/>
          <w:szCs w:val="21"/>
        </w:rPr>
        <w:sectPr>
          <w:pgSz w:w="11906" w:h="16838"/>
          <w:pgMar w:top="1440" w:right="1797" w:bottom="1440" w:left="1797" w:header="851" w:footer="992" w:gutter="0"/>
          <w:pgNumType w:fmt="decimal"/>
          <w:cols w:space="720" w:num="1"/>
          <w:docGrid w:type="lines" w:linePitch="312" w:charSpace="0"/>
        </w:sectPr>
      </w:pPr>
    </w:p>
    <w:p w14:paraId="10C85A5A">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27" w:name="_Toc123626180"/>
      <w:bookmarkStart w:id="128" w:name="_Toc125361086"/>
      <w:bookmarkStart w:id="129" w:name="_Toc13284"/>
      <w:bookmarkStart w:id="130" w:name="_Toc86843183"/>
      <w:bookmarkStart w:id="131" w:name="_Toc124749949"/>
      <w:bookmarkStart w:id="132" w:name="_Toc124749236"/>
      <w:r>
        <w:rPr>
          <w:rFonts w:hint="eastAsia" w:cs="Arial" w:asciiTheme="minorEastAsia" w:hAnsiTheme="minorEastAsia" w:eastAsiaTheme="minorEastAsia"/>
          <w:sz w:val="30"/>
        </w:rPr>
        <w:t>基金管理人和基金托管</w:t>
      </w:r>
      <w:bookmarkEnd w:id="127"/>
      <w:r>
        <w:rPr>
          <w:rFonts w:hint="eastAsia" w:cs="Arial" w:asciiTheme="minorEastAsia" w:hAnsiTheme="minorEastAsia" w:eastAsiaTheme="minorEastAsia"/>
          <w:sz w:val="30"/>
        </w:rPr>
        <w:t>人的更换</w:t>
      </w:r>
      <w:bookmarkEnd w:id="128"/>
      <w:bookmarkEnd w:id="129"/>
      <w:bookmarkEnd w:id="130"/>
      <w:bookmarkEnd w:id="131"/>
      <w:bookmarkEnd w:id="132"/>
    </w:p>
    <w:p w14:paraId="44E4ECA3">
      <w:pPr>
        <w:spacing w:line="360" w:lineRule="auto"/>
        <w:ind w:firstLine="540" w:firstLineChars="225"/>
        <w:rPr>
          <w:rFonts w:asciiTheme="minorEastAsia" w:hAnsiTheme="minorEastAsia" w:eastAsiaTheme="minorEastAsia"/>
          <w:sz w:val="24"/>
          <w:szCs w:val="21"/>
        </w:rPr>
      </w:pPr>
      <w:bookmarkStart w:id="133" w:name="_Hlk207545644"/>
      <w:bookmarkStart w:id="134" w:name="_Toc79392594"/>
      <w:bookmarkStart w:id="135" w:name="_Toc15118246"/>
      <w:bookmarkStart w:id="136" w:name="_Toc57530253"/>
      <w:r>
        <w:rPr>
          <w:rFonts w:hint="eastAsia" w:asciiTheme="minorEastAsia" w:hAnsiTheme="minorEastAsia" w:eastAsiaTheme="minorEastAsia"/>
          <w:sz w:val="24"/>
          <w:szCs w:val="21"/>
        </w:rPr>
        <w:t>（一）基金管理人和基金托管人职责终止的情形</w:t>
      </w:r>
    </w:p>
    <w:p w14:paraId="05287632">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1、基金管理人职责终止的情形</w:t>
      </w:r>
    </w:p>
    <w:p w14:paraId="441F0100">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有下列情形之一的，基金管理人职责终止：</w:t>
      </w:r>
    </w:p>
    <w:p w14:paraId="4FDBE796">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（1）被依法取消基金管理资格；</w:t>
      </w:r>
    </w:p>
    <w:p w14:paraId="0316036E">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（2）被基金份额持有人大会解任；</w:t>
      </w:r>
    </w:p>
    <w:p w14:paraId="4A97D849">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（3）依法解散、被依法撤销或被依法宣告破产；</w:t>
      </w:r>
    </w:p>
    <w:p w14:paraId="6ACB429C">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（4）法律法规及中国证监会规定的和《基金合同》约定的其他情形。</w:t>
      </w:r>
    </w:p>
    <w:p w14:paraId="74DA6610">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2、基金托管人职责终止的情形</w:t>
      </w:r>
    </w:p>
    <w:p w14:paraId="39449837">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有下列情形之一的，基金托管人职责终止：</w:t>
      </w:r>
    </w:p>
    <w:p w14:paraId="41A42D5A">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（1）被依法取消基金托管资格；</w:t>
      </w:r>
    </w:p>
    <w:p w14:paraId="5923F3B5">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（2）被基金份额持有人大会解任；</w:t>
      </w:r>
    </w:p>
    <w:p w14:paraId="56EB4007">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（3）依法解散、被依法撤销或被依法宣告破产；</w:t>
      </w:r>
    </w:p>
    <w:p w14:paraId="0627D628">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（4）法律法规及中国证监会规定的和《基金合同》约定的其他情形。</w:t>
      </w:r>
    </w:p>
    <w:p w14:paraId="36B34225">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（二）基金管理人和基金托管人的更换程序</w:t>
      </w:r>
    </w:p>
    <w:p w14:paraId="3A1DC28F">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1、基金管理人的更换程序</w:t>
      </w:r>
    </w:p>
    <w:p w14:paraId="05C4BAE8">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（1）提名：新任基金管理人由基金托管人或由单独或合计持有10%以上（含10%）基金份额的基金份额持有人提名；</w:t>
      </w:r>
    </w:p>
    <w:p w14:paraId="72621D31">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1591929F">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（3）临时基金管理人：新任基金管理人产生之前，由中国证监会指定临时基金管理人；</w:t>
      </w:r>
    </w:p>
    <w:p w14:paraId="5CC30366">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（4）备案：基金份额持有人大会更换基金管理人的决议须报中国证监会备案；</w:t>
      </w:r>
    </w:p>
    <w:p w14:paraId="26F6151E">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（5）公告：基金管理人更换后，由基金托管人在更换基金管理人的基金份额持有人大会决议生效后依照《信息披露办法》在规定媒介公告；</w:t>
      </w:r>
    </w:p>
    <w:p w14:paraId="1EB0E3CC">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6）交接：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和净值；</w:t>
      </w:r>
    </w:p>
    <w:p w14:paraId="79880455">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（7）审计：基金管理人职责终止的，应当按照法律法规规定聘请会计师事务所对基金财产进行审计，并将审计结果予以公告，同时报中国证监会备案，审计费用从基金财产中列支；</w:t>
      </w:r>
    </w:p>
    <w:p w14:paraId="5F596DB0">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（8）基金名称变更：基金管理人更换后，如果原任或新任基金管理人要求，应按其要求替换或删除基金名称中与原任基金管理人有关的名称字样。</w:t>
      </w:r>
    </w:p>
    <w:p w14:paraId="03F4E91C">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2、基金托管人的更换程序</w:t>
      </w:r>
    </w:p>
    <w:p w14:paraId="7C013D3E">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（1）提名：新任基金托管人由基金管理人或由单独或合计持有10%以上（含10%）基金份额的基金份额持有人提名；</w:t>
      </w:r>
    </w:p>
    <w:p w14:paraId="5EDF0516">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2）决议：基金份额持有人大会在基金托管人职责终止后6个月内对被提名的基金托管人形成决议，该决议需经参加大会的基金份额持有人所持表决权的三分之二以上（含三分之二）表决通过，决议自表决通过之日起生效；</w:t>
      </w:r>
    </w:p>
    <w:p w14:paraId="59ED02A6">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（3）临时基金托管人：新任基金托管人产生之前，由中国证监会指定临时基金托管人；</w:t>
      </w:r>
    </w:p>
    <w:p w14:paraId="4CBD74E2">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（4）备案：基金份额持有人大会更换基金托管人的决议须报中国证监会备案；</w:t>
      </w:r>
    </w:p>
    <w:p w14:paraId="7814EACE">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（5）公告：基金托管人更换后，由基金管理人在更换基金托管人的基金份额持有人大会决议生效后依照《信息披露办法》在规定媒介公告；</w:t>
      </w:r>
    </w:p>
    <w:p w14:paraId="68BAE9A8">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6）交接：基金托管人职责终止的，应当妥善保管基金财产和基金托管业务资料，及时办理基金财产和基金托管业务的移交手续，新任基金托管人或者临时基金托管人应当及时接收。新任基金托管人或者临时基金托管人应与基金管理人核对基金资产总值和净值； </w:t>
      </w:r>
    </w:p>
    <w:p w14:paraId="7F86DF7B">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（7）审计：基金托管人职责终止的，应当按照法律法规规定聘请会计师事务所对基金财产进行审计，并将审计结果予以公告，同时报中国证监会备案，审计费用从基金财产中列支。</w:t>
      </w:r>
    </w:p>
    <w:p w14:paraId="46948D81">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3、基金管理人与基金托管人同时更换的条件和程序</w:t>
      </w:r>
    </w:p>
    <w:p w14:paraId="201E00D4">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（1）提名：如果基金管理人和基金托管人同时更换，由单独或合计持有基金总份额10%以上（含10%）的基金份额持有人提名新的基金管理人和基金托管人；</w:t>
      </w:r>
    </w:p>
    <w:p w14:paraId="09CCF4EF">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（2）基金管理人和基金托管人的更换分别按上述程序进行；</w:t>
      </w:r>
    </w:p>
    <w:p w14:paraId="375B7EDD">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（3）公告：新任基金管理人和新任基金托管人应在更换基金管理人和基金托管人的基金份额持有人大会决议生效后依照《信息披露办法》在规定媒介上联合公告。</w:t>
      </w:r>
    </w:p>
    <w:p w14:paraId="6468EE5E">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三）新任或临时基金管理人接收基金管理业务，或新任或临时基金托管人接收基金财产和基金托管业务前，原基金管理人或原基金托管人应依据法律法规和基金合同的规定继续履行相关职责，并保证不做出对基金份额持有人的利益造成损害的行为。原基金管理人或原基金托管人在继续履行相关职责期间，仍有权按照基金合同的规定收取基金管理费或基金托管费。</w:t>
      </w:r>
    </w:p>
    <w:p w14:paraId="0C794959">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四）本部分关于基金管理人、基金托管人更换条件和程序的约定，凡是直接引用法律法规的部分，如将来法律法规修改导致相关内容被取消或变更的，基金管理人与基金托管人协商一致并提前公告后，可直接对相应内容进行修改和调整，无需召开基金份额持有人大会审议。</w:t>
      </w:r>
    </w:p>
    <w:bookmarkEnd w:id="133"/>
    <w:p w14:paraId="1D188C5B">
      <w:pPr>
        <w:spacing w:line="360" w:lineRule="auto"/>
        <w:ind w:firstLine="540" w:firstLineChars="225"/>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bookmarkEnd w:id="134"/>
    <w:bookmarkEnd w:id="135"/>
    <w:bookmarkEnd w:id="136"/>
    <w:p w14:paraId="4398D243">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37" w:name="_Toc86843184"/>
      <w:bookmarkStart w:id="138" w:name="_Toc124749237"/>
      <w:bookmarkStart w:id="139" w:name="_Toc124749950"/>
      <w:bookmarkStart w:id="140" w:name="_Toc123626181"/>
      <w:bookmarkStart w:id="141" w:name="_Toc125361087"/>
      <w:bookmarkStart w:id="142" w:name="_Toc32581"/>
      <w:r>
        <w:rPr>
          <w:rFonts w:hint="eastAsia" w:cs="Arial" w:asciiTheme="minorEastAsia" w:hAnsiTheme="minorEastAsia" w:eastAsiaTheme="minorEastAsia"/>
          <w:sz w:val="30"/>
        </w:rPr>
        <w:t>禁止行为</w:t>
      </w:r>
      <w:bookmarkEnd w:id="137"/>
      <w:bookmarkEnd w:id="138"/>
      <w:bookmarkEnd w:id="139"/>
      <w:bookmarkEnd w:id="140"/>
      <w:bookmarkEnd w:id="141"/>
      <w:bookmarkEnd w:id="142"/>
    </w:p>
    <w:p w14:paraId="4DC167EA">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本协议当事人禁止从事的行为，包括但不限于：</w:t>
      </w:r>
    </w:p>
    <w:p w14:paraId="266C0CEB">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（一）基金管理人、基金托管人将其固有财产或者他人财产混同于基金财产从事证券投资。</w:t>
      </w:r>
    </w:p>
    <w:p w14:paraId="3D2CA8F1">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（二）基金管理人不公平地对待其管理的不同基金财产，基金托管人不公平地对待其托管的不同基金财产。</w:t>
      </w:r>
    </w:p>
    <w:p w14:paraId="2530CE63">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（三）基金管理人、基金托管人利用基金财产为基金份额持有人以外的第三人牟取利益。</w:t>
      </w:r>
    </w:p>
    <w:p w14:paraId="628AF23A">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（四）基金管理人、基金托管人向基金份额持有人违规承诺收益或者承担损失。</w:t>
      </w:r>
    </w:p>
    <w:p w14:paraId="56C2AFA6">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（五）基金管理人、基金托管人侵占、挪用基金财产；</w:t>
      </w:r>
    </w:p>
    <w:p w14:paraId="7EAFC29E">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（六）基金管理人、基金托管人泄露因职务便利获取的未公开信息、利用该信息从事或者明示、暗示他人从事相关的交易活动； </w:t>
      </w:r>
    </w:p>
    <w:p w14:paraId="4602CC20">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（七）基金管理人、基金托管人玩忽职守，不按照规定履行职责；</w:t>
      </w:r>
    </w:p>
    <w:p w14:paraId="159B06FB">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（八）基金管理人、基金托管人对他人泄露基金运作和管理过程中任何尚未按法律法规规定的方式公开披露的信息。</w:t>
      </w:r>
    </w:p>
    <w:p w14:paraId="57ECBDDA">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（九）基金管理人在没有充足资金的情况下向基金托管人发出投资指令和赎回、分红资金的划拨指令，或违规向基金托管人发出指令。</w:t>
      </w:r>
    </w:p>
    <w:p w14:paraId="06F464BE">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（十）基金托管人对基金管理人的正常有效指令拖延或拒绝执行。</w:t>
      </w:r>
    </w:p>
    <w:p w14:paraId="78DEFA6B">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（十一）基金管理人、基金托管人在行政上、财务上不独立，其高级管理人员和其他从业人员相互兼职。</w:t>
      </w:r>
    </w:p>
    <w:p w14:paraId="0610C2BD">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（十二）基金托管人私自动用或处分基金财产，根据基金管理人的合法指令、基金合同或托管协议的规定进行处分的除外。</w:t>
      </w:r>
    </w:p>
    <w:p w14:paraId="1BD96A4A">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（十三）基金财产用于下列投资或者活动：</w:t>
      </w:r>
    </w:p>
    <w:p w14:paraId="57E5BBFE">
      <w:pPr>
        <w:spacing w:line="360" w:lineRule="auto"/>
        <w:ind w:firstLine="540" w:firstLineChars="225"/>
        <w:rPr>
          <w:rFonts w:asciiTheme="minorEastAsia" w:hAnsiTheme="minorEastAsia" w:eastAsiaTheme="minorEastAsia"/>
          <w:sz w:val="24"/>
          <w:szCs w:val="21"/>
        </w:rPr>
      </w:pPr>
      <w:bookmarkStart w:id="143" w:name="_Hlk207545851"/>
      <w:r>
        <w:rPr>
          <w:rFonts w:hint="eastAsia" w:asciiTheme="minorEastAsia" w:hAnsiTheme="minorEastAsia" w:eastAsiaTheme="minorEastAsia"/>
          <w:sz w:val="24"/>
          <w:szCs w:val="21"/>
        </w:rPr>
        <w:t>（1）承销证券；</w:t>
      </w:r>
    </w:p>
    <w:p w14:paraId="58D6C949">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（2）违反规定向他人贷款或者提供担保；</w:t>
      </w:r>
    </w:p>
    <w:p w14:paraId="7ACE9ECE">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（3）从事承担无限责任的投资；</w:t>
      </w:r>
    </w:p>
    <w:p w14:paraId="04956066">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（4）买卖其他基金份额，但是中国证监会另有规定的除外；</w:t>
      </w:r>
    </w:p>
    <w:p w14:paraId="2E8F7A25">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（5）向其基金管理人、基金托管人出资；</w:t>
      </w:r>
    </w:p>
    <w:p w14:paraId="0EAA6282">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（6）从事内幕交易、操纵证券交易价格及其他不正当的证券交易活动；</w:t>
      </w:r>
    </w:p>
    <w:p w14:paraId="18284FA1">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（7）法律、行政法规和中国证监会规定禁止的其他活动。</w:t>
      </w:r>
    </w:p>
    <w:p w14:paraId="435FCD71">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4A905CF">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法律、行政法规或监管部门取消或调整上述限制，如适用于本基金，基金管理人在履行适当程序后，则本基金投资不再受相关限制或按照调整后的规定执行。</w:t>
      </w:r>
    </w:p>
    <w:bookmarkEnd w:id="143"/>
    <w:p w14:paraId="56630BFA">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（十四）基金管理人、基金托管人的高级管理人员和其他从业人员相互兼职。</w:t>
      </w:r>
    </w:p>
    <w:p w14:paraId="3A3C7F43">
      <w:pPr>
        <w:spacing w:line="360" w:lineRule="auto"/>
        <w:ind w:firstLine="540" w:firstLineChars="225"/>
        <w:rPr>
          <w:rFonts w:asciiTheme="minorEastAsia" w:hAnsiTheme="minorEastAsia" w:eastAsiaTheme="minorEastAsia"/>
          <w:sz w:val="24"/>
          <w:szCs w:val="21"/>
        </w:rPr>
      </w:pPr>
      <w:r>
        <w:rPr>
          <w:rFonts w:hint="eastAsia" w:asciiTheme="minorEastAsia" w:hAnsiTheme="minorEastAsia" w:eastAsiaTheme="minorEastAsia"/>
          <w:sz w:val="24"/>
          <w:szCs w:val="21"/>
        </w:rPr>
        <w:t>（十五）法律法规和基金合同禁止的其他行为，以及法律法规和中国证监会规定禁止基金管理人、基金托管人从事的其他行为。</w:t>
      </w:r>
    </w:p>
    <w:p w14:paraId="4FEE9B20">
      <w:pPr>
        <w:spacing w:line="360" w:lineRule="auto"/>
        <w:ind w:firstLine="540" w:firstLineChars="225"/>
        <w:rPr>
          <w:rFonts w:asciiTheme="minorEastAsia" w:hAnsiTheme="minorEastAsia" w:eastAsiaTheme="minorEastAsia"/>
          <w:sz w:val="24"/>
          <w:szCs w:val="21"/>
        </w:rPr>
        <w:sectPr>
          <w:pgSz w:w="11906" w:h="16838"/>
          <w:pgMar w:top="1440" w:right="1797" w:bottom="1440" w:left="1797" w:header="851" w:footer="992" w:gutter="0"/>
          <w:pgNumType w:fmt="decimal"/>
          <w:cols w:space="720" w:num="1"/>
          <w:docGrid w:type="lines" w:linePitch="312" w:charSpace="0"/>
        </w:sectPr>
      </w:pPr>
    </w:p>
    <w:p w14:paraId="44B93561">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44" w:name="_Toc125361088"/>
      <w:bookmarkStart w:id="145" w:name="_Toc123626182"/>
      <w:bookmarkStart w:id="146" w:name="_Toc124749238"/>
      <w:bookmarkStart w:id="147" w:name="_Toc86843185"/>
      <w:bookmarkStart w:id="148" w:name="_Toc124749951"/>
      <w:bookmarkStart w:id="149" w:name="_Toc20811"/>
      <w:r>
        <w:rPr>
          <w:rFonts w:hint="eastAsia" w:cs="Arial" w:asciiTheme="minorEastAsia" w:hAnsiTheme="minorEastAsia" w:eastAsiaTheme="minorEastAsia"/>
          <w:sz w:val="30"/>
        </w:rPr>
        <w:t>托管协议的变更、终止与基金财产的清算</w:t>
      </w:r>
      <w:bookmarkEnd w:id="144"/>
      <w:bookmarkEnd w:id="145"/>
      <w:bookmarkEnd w:id="146"/>
      <w:bookmarkEnd w:id="147"/>
      <w:bookmarkEnd w:id="148"/>
      <w:bookmarkEnd w:id="149"/>
    </w:p>
    <w:p w14:paraId="2D5CCD2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（一）托管协议的变更程序</w:t>
      </w:r>
    </w:p>
    <w:p w14:paraId="2F17C0E6">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本协议双方当事人经协商一致，可以对协议进行修改。修改后的新协议，其</w:t>
      </w:r>
    </w:p>
    <w:p w14:paraId="486C0A1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内容不得与基金合同的规定有任何冲突。基金托管协议的变更应按法律法规或监管规定报中国证监会备案。</w:t>
      </w:r>
    </w:p>
    <w:p w14:paraId="5A9990B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（二）基金托管协议终止的情形</w:t>
      </w:r>
    </w:p>
    <w:p w14:paraId="5705801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1、基金合同终止；</w:t>
      </w:r>
    </w:p>
    <w:p w14:paraId="56588B1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2、基金托管人解散、依法被撤销、破产或由其他基金托管人接管基金资产；</w:t>
      </w:r>
    </w:p>
    <w:p w14:paraId="6AAFEEF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3、基金管理人解散、依法被撤销、破产或由其他基金管理人接管基金管理权；</w:t>
      </w:r>
    </w:p>
    <w:p w14:paraId="62BE1AA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4、发生法律法规或基金合同规定的终止事项。</w:t>
      </w:r>
    </w:p>
    <w:p w14:paraId="3E91146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（三）基金财产的清算</w:t>
      </w:r>
    </w:p>
    <w:p w14:paraId="1A173583">
      <w:pPr>
        <w:spacing w:line="360" w:lineRule="auto"/>
        <w:ind w:firstLine="480" w:firstLineChars="200"/>
        <w:rPr>
          <w:rFonts w:asciiTheme="minorEastAsia" w:hAnsiTheme="minorEastAsia" w:eastAsiaTheme="minorEastAsia"/>
          <w:sz w:val="24"/>
        </w:rPr>
      </w:pPr>
      <w:bookmarkStart w:id="150" w:name="_Hlk207546003"/>
      <w:bookmarkStart w:id="151" w:name="_Hlk207545897"/>
      <w:r>
        <w:rPr>
          <w:rFonts w:hint="eastAsia" w:asciiTheme="minorEastAsia" w:hAnsiTheme="minorEastAsia" w:eastAsiaTheme="minorEastAsia"/>
          <w:sz w:val="24"/>
        </w:rPr>
        <w:t>1、基金财产清算小组：自出现《基金合同》终止事由之日起30个工作日内成立基金财产清算小组，基金管理人组织基金财产清算小组并在中国证监会的监督下进行基金清算。</w:t>
      </w:r>
    </w:p>
    <w:p w14:paraId="784529A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2、在基金财产清算小组接管基金财产之前，基金管理人和基金托管人应按照《基金合同》和托管协议的规定继续履行保护基金财产安全的职责。</w:t>
      </w:r>
    </w:p>
    <w:p w14:paraId="04FA7C21">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基金财产清算小组组成：基金财产清算小组成员由基金管理人、基金托管人、符合《中华人民共和国证券法》规定的注册会计师、律师以及中国证监会指定的人员组成。基金财产清算小组可以聘用必要的工作人员。</w:t>
      </w:r>
    </w:p>
    <w:p w14:paraId="1CC6B8F6">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、基金财产清算小组职责：基金财产清算小组负责基金财产的保管、清理、估价、变现和分配。基金财产清算小组可以依法进行必要的民事活动。</w:t>
      </w:r>
    </w:p>
    <w:p w14:paraId="0A0462D4">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、基金财产清算程序：</w:t>
      </w:r>
    </w:p>
    <w:p w14:paraId="609E92B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（1）《基金合同》终止情形出现时，由基金财产清算小组统一接管基金；</w:t>
      </w:r>
    </w:p>
    <w:p w14:paraId="092D3F2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（2）对基金财产和债权债务进行清理和确认；</w:t>
      </w:r>
    </w:p>
    <w:p w14:paraId="6364FBC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（3）对基金财产进行估值和变现；</w:t>
      </w:r>
    </w:p>
    <w:p w14:paraId="471D40C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（4）制作清算报告；</w:t>
      </w:r>
    </w:p>
    <w:p w14:paraId="03CCB60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（5）聘请会计师事务所对清算报告进行外部审计，聘请律师事务所对清算报告出具法律意见书；</w:t>
      </w:r>
    </w:p>
    <w:p w14:paraId="1DC2A8D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（6）将清算报告报中国证监会备案并公告；</w:t>
      </w:r>
    </w:p>
    <w:p w14:paraId="0A876B5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（7）对基金剩余财产进行分配。</w:t>
      </w:r>
    </w:p>
    <w:p w14:paraId="20BF0414">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、基金财产清算的期限为6个月，但因本基金所持证券的流动性受到限制而不能及时变现的，清算期限相应顺延。</w:t>
      </w:r>
    </w:p>
    <w:p w14:paraId="4F25BD55">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、清算费用</w:t>
      </w:r>
    </w:p>
    <w:p w14:paraId="54A40FE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清算费用是指基金财产清算小组在进行基金财产清算过程中发生的所有合理费用，清算费用由基金财产清算小组优先从基金剩余财产中支付。</w:t>
      </w:r>
    </w:p>
    <w:p w14:paraId="4593DAB0">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8</w:t>
      </w:r>
      <w:r>
        <w:rPr>
          <w:rFonts w:hint="eastAsia" w:asciiTheme="minorEastAsia" w:hAnsiTheme="minorEastAsia" w:eastAsiaTheme="minorEastAsia"/>
          <w:sz w:val="24"/>
        </w:rPr>
        <w:t>、基金财产清算剩余资产的分配</w:t>
      </w:r>
    </w:p>
    <w:p w14:paraId="74FB804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依据基金财产清算的分配方案，将基金财产清算后的全部剩余资产扣除基金财产清算费用、交纳所欠税款并清偿基金债务后，按基金份额持有人持有的基金份额比例进行分配。</w:t>
      </w:r>
    </w:p>
    <w:p w14:paraId="6D70936E">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9</w:t>
      </w:r>
      <w:r>
        <w:rPr>
          <w:rFonts w:hint="eastAsia" w:asciiTheme="minorEastAsia" w:hAnsiTheme="minorEastAsia" w:eastAsiaTheme="minorEastAsia"/>
          <w:sz w:val="24"/>
        </w:rPr>
        <w:t>、基金财产清算的公告</w:t>
      </w:r>
    </w:p>
    <w:p w14:paraId="2EFE3E1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5C75E0A">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10</w:t>
      </w:r>
      <w:r>
        <w:rPr>
          <w:rFonts w:hint="eastAsia" w:asciiTheme="minorEastAsia" w:hAnsiTheme="minorEastAsia" w:eastAsiaTheme="minorEastAsia"/>
          <w:sz w:val="24"/>
        </w:rPr>
        <w:t>、基金财产清算账册及文件的保存</w:t>
      </w:r>
    </w:p>
    <w:p w14:paraId="20D9725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基金财产清算账册及有关文件由基金托管人保存，保存期限不低于法定最低期限。</w:t>
      </w:r>
    </w:p>
    <w:bookmarkEnd w:id="150"/>
    <w:p w14:paraId="0E9A290D">
      <w:pPr>
        <w:spacing w:line="360" w:lineRule="auto"/>
        <w:ind w:firstLine="480" w:firstLineChars="200"/>
        <w:rPr>
          <w:rFonts w:asciiTheme="minorEastAsia" w:hAnsiTheme="minorEastAsia" w:eastAsiaTheme="minorEastAsia"/>
          <w:sz w:val="24"/>
        </w:rPr>
      </w:pPr>
    </w:p>
    <w:bookmarkEnd w:id="151"/>
    <w:p w14:paraId="58D818C8">
      <w:pPr>
        <w:spacing w:line="360" w:lineRule="auto"/>
        <w:ind w:firstLine="480" w:firstLineChars="200"/>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p w14:paraId="7670B43A">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52" w:name="_Toc9579"/>
      <w:bookmarkStart w:id="153" w:name="_Toc125361089"/>
      <w:bookmarkStart w:id="154" w:name="_Toc86843186"/>
      <w:bookmarkStart w:id="155" w:name="_Toc124749239"/>
      <w:bookmarkStart w:id="156" w:name="_Toc123626183"/>
      <w:bookmarkStart w:id="157" w:name="_Toc124749952"/>
      <w:r>
        <w:rPr>
          <w:rFonts w:hint="eastAsia" w:cs="Arial" w:asciiTheme="minorEastAsia" w:hAnsiTheme="minorEastAsia" w:eastAsiaTheme="minorEastAsia"/>
          <w:sz w:val="30"/>
        </w:rPr>
        <w:t>违约责任</w:t>
      </w:r>
      <w:bookmarkEnd w:id="152"/>
      <w:bookmarkEnd w:id="153"/>
      <w:bookmarkEnd w:id="154"/>
      <w:bookmarkEnd w:id="155"/>
      <w:bookmarkEnd w:id="156"/>
      <w:bookmarkEnd w:id="157"/>
    </w:p>
    <w:p w14:paraId="2FA83B2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但是发生下列情况的，当事人免责：</w:t>
      </w:r>
    </w:p>
    <w:p w14:paraId="2BB1C03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1、不可抗力；</w:t>
      </w:r>
    </w:p>
    <w:p w14:paraId="2194835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2、基金管理人和/或基金托管人按照届时有效的法律法规或中国证监会的规定作为或不作为而造成的损失等；</w:t>
      </w:r>
    </w:p>
    <w:p w14:paraId="3455DCE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3、基金管理人由于按照基金合同规定行使或不行使其投资权而造成的损失等。</w:t>
      </w:r>
    </w:p>
    <w:p w14:paraId="3A04B55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在发生一方或多方违约的情况下，在最大限度地保护基金份额持有人利益的前提下，托管协议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41053D1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14:paraId="6F2E61A6">
      <w:pPr>
        <w:spacing w:line="360" w:lineRule="auto"/>
        <w:ind w:firstLine="480" w:firstLineChars="200"/>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p w14:paraId="5FDC299C">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58" w:name="_Toc22116"/>
      <w:bookmarkStart w:id="159" w:name="_Toc86843187"/>
      <w:bookmarkStart w:id="160" w:name="_Toc123626184"/>
      <w:bookmarkStart w:id="161" w:name="_Toc125361090"/>
      <w:bookmarkStart w:id="162" w:name="_Toc124749240"/>
      <w:bookmarkStart w:id="163" w:name="_Toc124749953"/>
      <w:r>
        <w:rPr>
          <w:rFonts w:hint="eastAsia" w:cs="Arial" w:asciiTheme="minorEastAsia" w:hAnsiTheme="minorEastAsia" w:eastAsiaTheme="minorEastAsia"/>
          <w:sz w:val="30"/>
        </w:rPr>
        <w:t>争议解决方式</w:t>
      </w:r>
      <w:bookmarkEnd w:id="158"/>
      <w:bookmarkEnd w:id="159"/>
      <w:bookmarkEnd w:id="160"/>
      <w:bookmarkEnd w:id="161"/>
      <w:bookmarkEnd w:id="162"/>
      <w:bookmarkEnd w:id="163"/>
    </w:p>
    <w:p w14:paraId="112C073F">
      <w:pPr>
        <w:spacing w:line="360" w:lineRule="auto"/>
        <w:ind w:firstLine="482" w:firstLineChars="200"/>
        <w:rPr>
          <w:rFonts w:asciiTheme="minorEastAsia" w:hAnsiTheme="minorEastAsia" w:eastAsiaTheme="minorEastAsia"/>
          <w:b/>
          <w:bCs/>
          <w:i/>
          <w:iCs/>
          <w:sz w:val="24"/>
          <w:szCs w:val="21"/>
        </w:rPr>
      </w:pPr>
      <w:r>
        <w:rPr>
          <w:rFonts w:hint="eastAsia" w:asciiTheme="minorEastAsia" w:hAnsiTheme="minorEastAsia" w:eastAsiaTheme="minorEastAsia"/>
          <w:b/>
          <w:bCs/>
          <w:i/>
          <w:iCs/>
          <w:sz w:val="24"/>
          <w:szCs w:val="21"/>
        </w:rPr>
        <w:t>因本协议产生或与之相关的争议，双方当事人应通过协商、调解解决，协商、调解不能解决的，任何一方均有权将争议提交深圳国际仲裁院（深圳仲裁委员会），仲裁地点为深圳市，按照深圳国际仲裁院（深圳仲裁委员会）届时有效的仲裁规则进行仲裁。仲裁裁决是终局的，对当事人均有约束力，仲裁费用</w:t>
      </w:r>
      <w:r>
        <w:rPr>
          <w:rFonts w:hint="eastAsia"/>
          <w:b/>
          <w:bCs/>
          <w:i/>
          <w:iCs/>
          <w:sz w:val="24"/>
        </w:rPr>
        <w:t>和律师费用</w:t>
      </w:r>
      <w:r>
        <w:rPr>
          <w:rFonts w:hint="eastAsia" w:asciiTheme="minorEastAsia" w:hAnsiTheme="minorEastAsia" w:eastAsiaTheme="minorEastAsia"/>
          <w:b/>
          <w:bCs/>
          <w:i/>
          <w:iCs/>
          <w:sz w:val="24"/>
          <w:szCs w:val="21"/>
        </w:rPr>
        <w:t>由败诉方承担。</w:t>
      </w:r>
    </w:p>
    <w:p w14:paraId="6FD1726B">
      <w:pPr>
        <w:spacing w:line="360" w:lineRule="auto"/>
        <w:ind w:firstLine="482" w:firstLineChars="200"/>
        <w:rPr>
          <w:rFonts w:asciiTheme="minorEastAsia" w:hAnsiTheme="minorEastAsia" w:eastAsiaTheme="minorEastAsia"/>
          <w:b/>
          <w:bCs/>
          <w:i/>
          <w:iCs/>
          <w:sz w:val="24"/>
          <w:szCs w:val="21"/>
        </w:rPr>
      </w:pPr>
      <w:r>
        <w:rPr>
          <w:rFonts w:hint="eastAsia" w:asciiTheme="minorEastAsia" w:hAnsiTheme="minorEastAsia" w:eastAsiaTheme="minorEastAsia"/>
          <w:b/>
          <w:bCs/>
          <w:i/>
          <w:iCs/>
          <w:sz w:val="24"/>
          <w:szCs w:val="21"/>
        </w:rPr>
        <w:t>争议处理期间，双方当事人应恪守基金管理人和基金托管人职责，各自继续忠实、勤勉、尽责地履行基金合同和本托管协议规定的义务，维护基金份额持有人的合法权益。</w:t>
      </w:r>
    </w:p>
    <w:p w14:paraId="3C7B55F4">
      <w:pPr>
        <w:spacing w:line="360" w:lineRule="auto"/>
        <w:ind w:firstLine="482" w:firstLineChars="200"/>
        <w:rPr>
          <w:rFonts w:asciiTheme="minorEastAsia" w:hAnsiTheme="minorEastAsia" w:eastAsiaTheme="minorEastAsia"/>
          <w:b/>
          <w:bCs/>
          <w:i/>
          <w:iCs/>
          <w:sz w:val="24"/>
          <w:szCs w:val="21"/>
        </w:rPr>
      </w:pPr>
      <w:r>
        <w:rPr>
          <w:rFonts w:hint="eastAsia" w:asciiTheme="minorEastAsia" w:hAnsiTheme="minorEastAsia" w:eastAsiaTheme="minorEastAsia"/>
          <w:b/>
          <w:bCs/>
          <w:i/>
          <w:iCs/>
          <w:sz w:val="24"/>
          <w:szCs w:val="21"/>
        </w:rPr>
        <w:t>本协议受中国法律（为本协议之目的，在此不包括香港特别行政区、澳门特别行政区法律和台湾地区的有关规定）管辖。</w:t>
      </w:r>
    </w:p>
    <w:p w14:paraId="39BE692B">
      <w:pPr>
        <w:spacing w:line="360" w:lineRule="auto"/>
        <w:ind w:firstLine="480" w:firstLineChars="200"/>
        <w:rPr>
          <w:rFonts w:asciiTheme="minorEastAsia" w:hAnsiTheme="minorEastAsia" w:eastAsiaTheme="minorEastAsia"/>
          <w:sz w:val="24"/>
          <w:szCs w:val="21"/>
        </w:rPr>
        <w:sectPr>
          <w:pgSz w:w="11906" w:h="16838"/>
          <w:pgMar w:top="1440" w:right="1797" w:bottom="1440" w:left="1797" w:header="851" w:footer="992" w:gutter="0"/>
          <w:pgNumType w:fmt="decimal"/>
          <w:cols w:space="720" w:num="1"/>
          <w:docGrid w:type="lines" w:linePitch="312" w:charSpace="0"/>
        </w:sectPr>
      </w:pPr>
    </w:p>
    <w:p w14:paraId="34EF7648">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64" w:name="_Toc86843188"/>
      <w:bookmarkStart w:id="165" w:name="_Toc22429"/>
      <w:bookmarkStart w:id="166" w:name="_Toc124749954"/>
      <w:bookmarkStart w:id="167" w:name="_Toc125361091"/>
      <w:bookmarkStart w:id="168" w:name="_Toc124749241"/>
      <w:bookmarkStart w:id="169" w:name="_Toc123626185"/>
      <w:r>
        <w:rPr>
          <w:rFonts w:hint="eastAsia" w:cs="Arial" w:asciiTheme="minorEastAsia" w:hAnsiTheme="minorEastAsia" w:eastAsiaTheme="minorEastAsia"/>
          <w:sz w:val="30"/>
        </w:rPr>
        <w:t>托管协议的效力</w:t>
      </w:r>
      <w:bookmarkEnd w:id="164"/>
      <w:bookmarkEnd w:id="165"/>
      <w:bookmarkEnd w:id="166"/>
      <w:bookmarkEnd w:id="167"/>
      <w:bookmarkEnd w:id="168"/>
      <w:bookmarkEnd w:id="169"/>
    </w:p>
    <w:p w14:paraId="3C8C336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双方对托管协议的效力约定如下：</w:t>
      </w:r>
    </w:p>
    <w:p w14:paraId="4DD9E44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基金管理人在向中国证监会申请注册本基金时提交的托管协议草案，应经托管协议当事人双方盖章以及双方法定代表人或授权代表签章，协议当事人双方根据中国证监会的意见修改托管协议草案。托管协议以中国证监会注册的文本为正式文本。</w:t>
      </w:r>
    </w:p>
    <w:p w14:paraId="2EB023DD">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（二）托管协议自基金合同成立之日起成立，自基金合同生效之日起生效。托管协议的有效期自其生效之日起至基金财产清算结果报中国证监会备案并公告之日止。</w:t>
      </w:r>
    </w:p>
    <w:p w14:paraId="3CD6FB1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（三）托管协议自生效之日起对托管协议当事人具有同等的法律约束力。</w:t>
      </w:r>
    </w:p>
    <w:p w14:paraId="53022E4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（四）本协议一式叁份，协议双方各持一份，上报中国证监会一份，每份具有同等法律效力。</w:t>
      </w:r>
    </w:p>
    <w:p w14:paraId="69951965">
      <w:pPr>
        <w:spacing w:line="360" w:lineRule="auto"/>
        <w:ind w:firstLine="480" w:firstLineChars="200"/>
        <w:rPr>
          <w:rFonts w:asciiTheme="minorEastAsia" w:hAnsiTheme="minorEastAsia" w:eastAsiaTheme="minorEastAsia"/>
          <w:sz w:val="24"/>
        </w:rPr>
      </w:pPr>
    </w:p>
    <w:p w14:paraId="0B66767B">
      <w:pPr>
        <w:spacing w:line="360" w:lineRule="auto"/>
        <w:ind w:firstLine="480" w:firstLineChars="200"/>
        <w:rPr>
          <w:rFonts w:asciiTheme="minorEastAsia" w:hAnsiTheme="minorEastAsia" w:eastAsiaTheme="minorEastAsia"/>
          <w:sz w:val="24"/>
        </w:rPr>
        <w:sectPr>
          <w:pgSz w:w="11906" w:h="16838"/>
          <w:pgMar w:top="1440" w:right="1797" w:bottom="1440" w:left="1797" w:header="851" w:footer="992" w:gutter="0"/>
          <w:pgNumType w:fmt="decimal"/>
          <w:cols w:space="720" w:num="1"/>
          <w:docGrid w:type="lines" w:linePitch="312" w:charSpace="0"/>
        </w:sectPr>
      </w:pPr>
    </w:p>
    <w:p w14:paraId="4BD6CB5D">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r>
        <w:rPr>
          <w:rFonts w:asciiTheme="minorEastAsia" w:hAnsiTheme="minorEastAsia" w:eastAsiaTheme="minorEastAsia"/>
        </w:rPr>
        <w:tab/>
      </w:r>
      <w:bookmarkStart w:id="170" w:name="_Toc758"/>
      <w:r>
        <w:rPr>
          <w:rFonts w:hint="eastAsia" w:cs="Arial" w:asciiTheme="minorEastAsia" w:hAnsiTheme="minorEastAsia" w:eastAsiaTheme="minorEastAsia"/>
          <w:sz w:val="30"/>
        </w:rPr>
        <w:t>其他事项</w:t>
      </w:r>
      <w:bookmarkEnd w:id="170"/>
    </w:p>
    <w:p w14:paraId="6EB8D3DB">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如发生有权司法机关依法冻结基金份额持有人的基金份额时，基金管理人应予以配合，承担司法协助义务。</w:t>
      </w:r>
    </w:p>
    <w:p w14:paraId="69BAF575">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除本协议有明确定义外，本协议的用语定义适用基金合同的约定。本协议未尽事宜，当事人依据基金合同、有关法律法规等规定协商办理。</w:t>
      </w:r>
    </w:p>
    <w:p w14:paraId="62B2758D">
      <w:pPr>
        <w:tabs>
          <w:tab w:val="left" w:pos="2820"/>
        </w:tabs>
        <w:rPr>
          <w:rFonts w:asciiTheme="minorEastAsia" w:hAnsiTheme="minorEastAsia" w:eastAsiaTheme="minorEastAsia"/>
          <w:sz w:val="24"/>
          <w:szCs w:val="21"/>
        </w:rPr>
      </w:pPr>
      <w:r>
        <w:rPr>
          <w:rFonts w:asciiTheme="minorEastAsia" w:hAnsiTheme="minorEastAsia" w:eastAsiaTheme="minorEastAsia"/>
          <w:sz w:val="24"/>
          <w:szCs w:val="21"/>
        </w:rPr>
        <w:tab/>
      </w:r>
    </w:p>
    <w:p w14:paraId="0984BB67">
      <w:pPr>
        <w:tabs>
          <w:tab w:val="left" w:pos="2820"/>
        </w:tabs>
        <w:rPr>
          <w:rFonts w:asciiTheme="minorEastAsia" w:hAnsiTheme="minorEastAsia" w:eastAsiaTheme="minorEastAsia"/>
          <w:sz w:val="24"/>
          <w:szCs w:val="21"/>
        </w:rPr>
        <w:sectPr>
          <w:pgSz w:w="11906" w:h="16838"/>
          <w:pgMar w:top="1440" w:right="1797" w:bottom="1440" w:left="1797" w:header="851" w:footer="992" w:gutter="0"/>
          <w:pgNumType w:fmt="decimal"/>
          <w:cols w:space="720" w:num="1"/>
          <w:docGrid w:type="lines" w:linePitch="312" w:charSpace="0"/>
        </w:sectPr>
      </w:pPr>
    </w:p>
    <w:p w14:paraId="62A839C1">
      <w:pPr>
        <w:pStyle w:val="2"/>
        <w:keepNext w:val="0"/>
        <w:keepLines w:val="0"/>
        <w:numPr>
          <w:ilvl w:val="0"/>
          <w:numId w:val="1"/>
        </w:numPr>
        <w:autoSpaceDE w:val="0"/>
        <w:autoSpaceDN w:val="0"/>
        <w:adjustRightInd w:val="0"/>
        <w:spacing w:before="360" w:after="360"/>
        <w:jc w:val="center"/>
        <w:textAlignment w:val="baseline"/>
        <w:rPr>
          <w:rFonts w:cs="Arial" w:asciiTheme="minorEastAsia" w:hAnsiTheme="minorEastAsia" w:eastAsiaTheme="minorEastAsia"/>
          <w:sz w:val="30"/>
        </w:rPr>
      </w:pPr>
      <w:bookmarkStart w:id="171" w:name="_Toc123626186"/>
      <w:bookmarkStart w:id="172" w:name="_Toc125361092"/>
      <w:bookmarkStart w:id="173" w:name="_Toc86843189"/>
      <w:bookmarkStart w:id="174" w:name="_Toc124749955"/>
      <w:bookmarkStart w:id="175" w:name="_Toc124749242"/>
      <w:bookmarkStart w:id="176" w:name="_Toc29071"/>
      <w:r>
        <w:rPr>
          <w:rFonts w:hint="eastAsia" w:cs="Arial" w:asciiTheme="minorEastAsia" w:hAnsiTheme="minorEastAsia" w:eastAsiaTheme="minorEastAsia"/>
          <w:sz w:val="30"/>
        </w:rPr>
        <w:t>托管协议的签订</w:t>
      </w:r>
      <w:bookmarkEnd w:id="171"/>
      <w:bookmarkEnd w:id="172"/>
      <w:bookmarkEnd w:id="173"/>
      <w:bookmarkEnd w:id="174"/>
      <w:bookmarkEnd w:id="175"/>
      <w:bookmarkEnd w:id="176"/>
    </w:p>
    <w:p w14:paraId="37BD7617">
      <w:pPr>
        <w:spacing w:line="360" w:lineRule="auto"/>
        <w:ind w:firstLine="480" w:firstLineChars="200"/>
        <w:rPr>
          <w:rFonts w:asciiTheme="minorEastAsia" w:hAnsiTheme="minorEastAsia" w:eastAsiaTheme="minorEastAsia"/>
          <w:sz w:val="24"/>
          <w:szCs w:val="21"/>
        </w:rPr>
      </w:pPr>
      <w:r>
        <w:rPr>
          <w:rFonts w:hint="eastAsia" w:asciiTheme="minorEastAsia" w:hAnsiTheme="minorEastAsia" w:eastAsiaTheme="minorEastAsia"/>
          <w:sz w:val="24"/>
          <w:szCs w:val="21"/>
        </w:rPr>
        <w:t>本托管协议经基金管理人和基金托管人认可后，由该双方当事人在基金托管协议上盖章，并由各自的法定代表人或授权代表签名，并注明基金托管协议的签订地点和签订日期。</w:t>
      </w:r>
    </w:p>
    <w:p w14:paraId="6231A114">
      <w:pPr>
        <w:spacing w:line="360" w:lineRule="auto"/>
        <w:ind w:firstLine="480" w:firstLineChars="200"/>
        <w:rPr>
          <w:rFonts w:asciiTheme="minorEastAsia" w:hAnsiTheme="minorEastAsia" w:eastAsiaTheme="minorEastAsia"/>
          <w:sz w:val="24"/>
          <w:szCs w:val="21"/>
        </w:rPr>
      </w:pPr>
    </w:p>
    <w:p w14:paraId="30CC71AD"/>
    <w:sectPr>
      <w:footerReference r:id="rId12"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瀹嬩綋">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E415E">
    <w:pPr>
      <w:pStyle w:val="14"/>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074E5">
    <w:pPr>
      <w:pStyle w:val="14"/>
      <w:framePr w:wrap="around" w:vAnchor="text" w:hAnchor="margin" w:xAlign="right" w:y="1"/>
      <w:rPr>
        <w:rStyle w:val="23"/>
      </w:rPr>
    </w:pPr>
    <w:r>
      <w:fldChar w:fldCharType="begin"/>
    </w:r>
    <w:r>
      <w:rPr>
        <w:rStyle w:val="23"/>
      </w:rPr>
      <w:instrText xml:space="preserve">PAGE  </w:instrText>
    </w:r>
    <w:r>
      <w:fldChar w:fldCharType="end"/>
    </w:r>
  </w:p>
  <w:p w14:paraId="3D8F63C6">
    <w:pPr>
      <w:pStyle w:val="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0B228">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27E05">
    <w:pPr>
      <w:pStyle w:val="14"/>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288C1">
    <w:pPr>
      <w:pStyle w:val="14"/>
      <w:tabs>
        <w:tab w:val="left" w:pos="4661"/>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AF05D">
    <w:pPr>
      <w:pStyle w:val="1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6F5A0">
                          <w:pPr>
                            <w:pStyle w:val="14"/>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A56F5A0">
                    <w:pPr>
                      <w:pStyle w:val="14"/>
                    </w:pPr>
                    <w:r>
                      <w:fldChar w:fldCharType="begin"/>
                    </w:r>
                    <w:r>
                      <w:instrText xml:space="preserve"> PAGE  \* MERGEFORMAT </w:instrText>
                    </w:r>
                    <w:r>
                      <w:fldChar w:fldCharType="separate"/>
                    </w:r>
                    <w:r>
                      <w:t>0</w:t>
                    </w:r>
                    <w:r>
                      <w:fldChar w:fldCharType="end"/>
                    </w:r>
                  </w:p>
                </w:txbxContent>
              </v:textbox>
            </v:shape>
          </w:pict>
        </mc:Fallback>
      </mc:AlternateContent>
    </w:r>
    <w:sdt>
      <w:sdtPr>
        <w:id w:val="850524299"/>
      </w:sdtPr>
      <w:sdtContent/>
    </w:sdt>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ECE1D">
    <w:pPr>
      <w:pStyle w:val="1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823732">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3823732">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7A5BB55C">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7B0F4">
    <w:pPr>
      <w:pStyle w:val="15"/>
      <w:jc w:val="both"/>
    </w:pPr>
    <w:r>
      <w:rPr>
        <w:rFonts w:hint="eastAsia"/>
      </w:rPr>
      <w:t xml:space="preserve">招商瑞联1年持有期混合型证券投资基金       </w:t>
    </w:r>
    <w:r>
      <w:t xml:space="preserve">     </w:t>
    </w:r>
    <w:r>
      <w:rPr>
        <w:rFonts w:hint="eastAsia"/>
      </w:rPr>
      <w:t xml:space="preserve">          </w:t>
    </w:r>
    <w:r>
      <w:t xml:space="preserve">            </w:t>
    </w:r>
    <w:r>
      <w:rPr>
        <w:rFonts w:hint="eastAsia"/>
      </w:rPr>
      <w:t xml:space="preserve">      </w:t>
    </w:r>
    <w:r>
      <w:t xml:space="preserve">      </w:t>
    </w:r>
    <w:r>
      <w:rPr>
        <w:rFonts w:hint="eastAsia"/>
      </w:rPr>
      <w:t xml:space="preserve"> 托管协议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BF55C">
    <w:pPr>
      <w:pStyle w:val="15"/>
      <w:jc w:val="right"/>
    </w:pPr>
    <w:r>
      <w:rPr>
        <w:rFonts w:hint="eastAsia"/>
      </w:rPr>
      <w:t>博时恒生港股通科技主题交易型开放式指数证券投资基金托管协议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53388">
    <w:pPr>
      <w:pStyle w:val="15"/>
      <w:jc w:val="right"/>
    </w:pPr>
    <w:r>
      <w:rPr>
        <w:rFonts w:hint="eastAsia"/>
      </w:rPr>
      <w:t>博时恒生港股通科技主题交易型开放式指数证券投资基金托管协议</w:t>
    </w:r>
  </w:p>
  <w:p w14:paraId="108E0338">
    <w:pPr>
      <w:pStyle w:val="15"/>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952C2D"/>
    <w:multiLevelType w:val="multilevel"/>
    <w:tmpl w:val="5F952C2D"/>
    <w:lvl w:ilvl="0" w:tentative="0">
      <w:start w:val="1"/>
      <w:numFmt w:val="chineseCountingThousand"/>
      <w:suff w:val="nothing"/>
      <w:lvlText w:val="%1、"/>
      <w:lvlJc w:val="center"/>
      <w:pPr>
        <w:ind w:left="0" w:firstLine="288"/>
      </w:pPr>
      <w:rPr>
        <w:rFonts w:hint="eastAsia"/>
        <w:sz w:val="30"/>
        <w:szCs w:val="30"/>
      </w:rPr>
    </w:lvl>
    <w:lvl w:ilvl="1" w:tentative="0">
      <w:start w:val="1"/>
      <w:numFmt w:val="japaneseCounting"/>
      <w:lvlText w:val="（%2）"/>
      <w:lvlJc w:val="left"/>
      <w:pPr>
        <w:tabs>
          <w:tab w:val="left" w:pos="720"/>
        </w:tabs>
        <w:ind w:left="720" w:hanging="720"/>
      </w:pPr>
      <w:rPr>
        <w:rFonts w:hint="default"/>
      </w:rPr>
    </w:lvl>
    <w:lvl w:ilvl="2" w:tentative="0">
      <w:start w:val="1"/>
      <w:numFmt w:val="decimal"/>
      <w:lvlText w:val="%3."/>
      <w:lvlJc w:val="left"/>
      <w:pPr>
        <w:tabs>
          <w:tab w:val="left" w:pos="360"/>
        </w:tabs>
        <w:ind w:left="0" w:firstLine="0"/>
      </w:pPr>
      <w:rPr>
        <w:rFonts w:hint="eastAsia"/>
      </w:rPr>
    </w:lvl>
    <w:lvl w:ilvl="3" w:tentative="0">
      <w:start w:val="1"/>
      <w:numFmt w:val="decimal"/>
      <w:lvlText w:val="（%4）"/>
      <w:lvlJc w:val="left"/>
      <w:pPr>
        <w:tabs>
          <w:tab w:val="left" w:pos="720"/>
        </w:tabs>
        <w:ind w:left="0" w:firstLine="0"/>
      </w:pPr>
      <w:rPr>
        <w:rFonts w:hint="default" w:ascii="Times New Roman" w:hAnsi="Times New Roman" w:eastAsia="宋体"/>
        <w:sz w:val="21"/>
      </w:rPr>
    </w:lvl>
    <w:lvl w:ilvl="4" w:tentative="0">
      <w:start w:val="1"/>
      <w:numFmt w:val="none"/>
      <w:lvlText w:val=""/>
      <w:lvlJc w:val="left"/>
      <w:pPr>
        <w:tabs>
          <w:tab w:val="left" w:pos="360"/>
        </w:tabs>
        <w:ind w:left="0" w:firstLine="0"/>
      </w:pPr>
      <w:rPr>
        <w:rFonts w:hint="eastAsia"/>
        <w:sz w:val="24"/>
      </w:rPr>
    </w:lvl>
    <w:lvl w:ilvl="5" w:tentative="0">
      <w:start w:val="1"/>
      <w:numFmt w:val="upperLetter"/>
      <w:lvlText w:val="%6."/>
      <w:lvlJc w:val="left"/>
      <w:pPr>
        <w:tabs>
          <w:tab w:val="left" w:pos="927"/>
        </w:tabs>
        <w:ind w:left="0" w:firstLine="567"/>
      </w:pPr>
      <w:rPr>
        <w:rFonts w:hint="eastAsia"/>
        <w:sz w:val="24"/>
      </w:rPr>
    </w:lvl>
    <w:lvl w:ilvl="6" w:tentative="0">
      <w:start w:val="1"/>
      <w:numFmt w:val="none"/>
      <w:lvlText w:val=""/>
      <w:lvlJc w:val="left"/>
      <w:pPr>
        <w:tabs>
          <w:tab w:val="left" w:pos="3827"/>
        </w:tabs>
        <w:ind w:left="3827" w:hanging="1276"/>
      </w:pPr>
      <w:rPr>
        <w:rFonts w:hint="eastAsia"/>
      </w:rPr>
    </w:lvl>
    <w:lvl w:ilvl="7" w:tentative="0">
      <w:start w:val="1"/>
      <w:numFmt w:val="none"/>
      <w:lvlText w:val=""/>
      <w:lvlJc w:val="left"/>
      <w:pPr>
        <w:tabs>
          <w:tab w:val="left" w:pos="4394"/>
        </w:tabs>
        <w:ind w:left="4394" w:hanging="1418"/>
      </w:pPr>
      <w:rPr>
        <w:rFonts w:hint="eastAsia"/>
      </w:rPr>
    </w:lvl>
    <w:lvl w:ilvl="8" w:tentative="0">
      <w:start w:val="1"/>
      <w:numFmt w:val="none"/>
      <w:lvlText w:val=""/>
      <w:lvlJc w:val="left"/>
      <w:pPr>
        <w:tabs>
          <w:tab w:val="left"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294"/>
    <w:rsid w:val="00012335"/>
    <w:rsid w:val="00020A89"/>
    <w:rsid w:val="000217FD"/>
    <w:rsid w:val="00023721"/>
    <w:rsid w:val="0003037E"/>
    <w:rsid w:val="00031AB2"/>
    <w:rsid w:val="00035B73"/>
    <w:rsid w:val="0004030A"/>
    <w:rsid w:val="00041B9B"/>
    <w:rsid w:val="0004209B"/>
    <w:rsid w:val="00045D86"/>
    <w:rsid w:val="00052FE7"/>
    <w:rsid w:val="00053FB7"/>
    <w:rsid w:val="000572B1"/>
    <w:rsid w:val="000709CC"/>
    <w:rsid w:val="00073FAC"/>
    <w:rsid w:val="0007738F"/>
    <w:rsid w:val="00082509"/>
    <w:rsid w:val="00087E46"/>
    <w:rsid w:val="00094D59"/>
    <w:rsid w:val="000A1266"/>
    <w:rsid w:val="000A3AC6"/>
    <w:rsid w:val="000A77A0"/>
    <w:rsid w:val="000C0747"/>
    <w:rsid w:val="000C1277"/>
    <w:rsid w:val="000C4159"/>
    <w:rsid w:val="000C45FF"/>
    <w:rsid w:val="000C71ED"/>
    <w:rsid w:val="000D359F"/>
    <w:rsid w:val="000D3EB7"/>
    <w:rsid w:val="000D7766"/>
    <w:rsid w:val="000D7994"/>
    <w:rsid w:val="000D7CB2"/>
    <w:rsid w:val="000F23CB"/>
    <w:rsid w:val="000F6C2E"/>
    <w:rsid w:val="001044C8"/>
    <w:rsid w:val="001113A1"/>
    <w:rsid w:val="0011266B"/>
    <w:rsid w:val="00113AA3"/>
    <w:rsid w:val="00113B34"/>
    <w:rsid w:val="001172A6"/>
    <w:rsid w:val="0012597A"/>
    <w:rsid w:val="00126512"/>
    <w:rsid w:val="0012767D"/>
    <w:rsid w:val="00134BA6"/>
    <w:rsid w:val="0013602E"/>
    <w:rsid w:val="00146718"/>
    <w:rsid w:val="00150758"/>
    <w:rsid w:val="001531C0"/>
    <w:rsid w:val="00162205"/>
    <w:rsid w:val="0018228D"/>
    <w:rsid w:val="00187973"/>
    <w:rsid w:val="001927C1"/>
    <w:rsid w:val="001B2EC7"/>
    <w:rsid w:val="001C2F87"/>
    <w:rsid w:val="001C75BE"/>
    <w:rsid w:val="001D60D2"/>
    <w:rsid w:val="001E0219"/>
    <w:rsid w:val="001E0732"/>
    <w:rsid w:val="001E1655"/>
    <w:rsid w:val="001F178E"/>
    <w:rsid w:val="001F216D"/>
    <w:rsid w:val="001F51E1"/>
    <w:rsid w:val="001F5863"/>
    <w:rsid w:val="001F6EF8"/>
    <w:rsid w:val="001F7878"/>
    <w:rsid w:val="0020605B"/>
    <w:rsid w:val="002115E1"/>
    <w:rsid w:val="00215672"/>
    <w:rsid w:val="00220435"/>
    <w:rsid w:val="00223513"/>
    <w:rsid w:val="002241C4"/>
    <w:rsid w:val="0022687A"/>
    <w:rsid w:val="00226E18"/>
    <w:rsid w:val="002444DA"/>
    <w:rsid w:val="0025161B"/>
    <w:rsid w:val="002518B4"/>
    <w:rsid w:val="00261305"/>
    <w:rsid w:val="00262CA7"/>
    <w:rsid w:val="002812D4"/>
    <w:rsid w:val="00285145"/>
    <w:rsid w:val="00287ACB"/>
    <w:rsid w:val="00291C8C"/>
    <w:rsid w:val="002950FE"/>
    <w:rsid w:val="002A206B"/>
    <w:rsid w:val="002A3326"/>
    <w:rsid w:val="002B019B"/>
    <w:rsid w:val="002B13F3"/>
    <w:rsid w:val="002B6D88"/>
    <w:rsid w:val="002C0070"/>
    <w:rsid w:val="002C73F7"/>
    <w:rsid w:val="002D0600"/>
    <w:rsid w:val="002D3144"/>
    <w:rsid w:val="002D3DBC"/>
    <w:rsid w:val="002E6C26"/>
    <w:rsid w:val="002E7014"/>
    <w:rsid w:val="0030101F"/>
    <w:rsid w:val="00302EC5"/>
    <w:rsid w:val="0033053D"/>
    <w:rsid w:val="00344990"/>
    <w:rsid w:val="0034619F"/>
    <w:rsid w:val="00347725"/>
    <w:rsid w:val="003546D6"/>
    <w:rsid w:val="003548C8"/>
    <w:rsid w:val="0035526F"/>
    <w:rsid w:val="003562B7"/>
    <w:rsid w:val="00362074"/>
    <w:rsid w:val="00362294"/>
    <w:rsid w:val="00365315"/>
    <w:rsid w:val="0037073B"/>
    <w:rsid w:val="00375679"/>
    <w:rsid w:val="003768F5"/>
    <w:rsid w:val="00382346"/>
    <w:rsid w:val="00382ACC"/>
    <w:rsid w:val="003831C2"/>
    <w:rsid w:val="00392260"/>
    <w:rsid w:val="0039255E"/>
    <w:rsid w:val="00392C3A"/>
    <w:rsid w:val="0039379E"/>
    <w:rsid w:val="0039752A"/>
    <w:rsid w:val="00397CB8"/>
    <w:rsid w:val="003A2846"/>
    <w:rsid w:val="003A44DF"/>
    <w:rsid w:val="003A608F"/>
    <w:rsid w:val="003A7536"/>
    <w:rsid w:val="003A760A"/>
    <w:rsid w:val="003A7C57"/>
    <w:rsid w:val="003B1B4D"/>
    <w:rsid w:val="003B5A24"/>
    <w:rsid w:val="003B61C6"/>
    <w:rsid w:val="003C1BFE"/>
    <w:rsid w:val="003C29DC"/>
    <w:rsid w:val="003D02EB"/>
    <w:rsid w:val="003D1BFE"/>
    <w:rsid w:val="003D3734"/>
    <w:rsid w:val="003D43FC"/>
    <w:rsid w:val="003D7F8E"/>
    <w:rsid w:val="003E2A49"/>
    <w:rsid w:val="003E3C20"/>
    <w:rsid w:val="003F0BBD"/>
    <w:rsid w:val="003F263A"/>
    <w:rsid w:val="003F3A95"/>
    <w:rsid w:val="004014C4"/>
    <w:rsid w:val="00405C6B"/>
    <w:rsid w:val="00407287"/>
    <w:rsid w:val="00421050"/>
    <w:rsid w:val="00423DDA"/>
    <w:rsid w:val="00437FCC"/>
    <w:rsid w:val="00441F55"/>
    <w:rsid w:val="00443EB9"/>
    <w:rsid w:val="00446B0A"/>
    <w:rsid w:val="004603F2"/>
    <w:rsid w:val="00460BA8"/>
    <w:rsid w:val="0046380F"/>
    <w:rsid w:val="00463928"/>
    <w:rsid w:val="00467043"/>
    <w:rsid w:val="00467487"/>
    <w:rsid w:val="00470AAC"/>
    <w:rsid w:val="00471473"/>
    <w:rsid w:val="004728F5"/>
    <w:rsid w:val="00473E65"/>
    <w:rsid w:val="00482186"/>
    <w:rsid w:val="00490034"/>
    <w:rsid w:val="0049150E"/>
    <w:rsid w:val="00491E51"/>
    <w:rsid w:val="00492AEE"/>
    <w:rsid w:val="004932F1"/>
    <w:rsid w:val="004A31DC"/>
    <w:rsid w:val="004A79AD"/>
    <w:rsid w:val="004B34EF"/>
    <w:rsid w:val="004B5B12"/>
    <w:rsid w:val="004B7C4E"/>
    <w:rsid w:val="004B7F9B"/>
    <w:rsid w:val="004C7810"/>
    <w:rsid w:val="004D0F76"/>
    <w:rsid w:val="004D55B4"/>
    <w:rsid w:val="004D6185"/>
    <w:rsid w:val="004E2CB4"/>
    <w:rsid w:val="004E4162"/>
    <w:rsid w:val="004F6AE8"/>
    <w:rsid w:val="004F75AB"/>
    <w:rsid w:val="0050768F"/>
    <w:rsid w:val="00515978"/>
    <w:rsid w:val="005203D8"/>
    <w:rsid w:val="00523959"/>
    <w:rsid w:val="005250B0"/>
    <w:rsid w:val="00537812"/>
    <w:rsid w:val="0054386F"/>
    <w:rsid w:val="00544073"/>
    <w:rsid w:val="00544103"/>
    <w:rsid w:val="005445D3"/>
    <w:rsid w:val="00550A8F"/>
    <w:rsid w:val="005618C5"/>
    <w:rsid w:val="00565FDC"/>
    <w:rsid w:val="0057079F"/>
    <w:rsid w:val="00571EED"/>
    <w:rsid w:val="00572407"/>
    <w:rsid w:val="00576993"/>
    <w:rsid w:val="00580533"/>
    <w:rsid w:val="0058208D"/>
    <w:rsid w:val="0058274F"/>
    <w:rsid w:val="005829E6"/>
    <w:rsid w:val="00587719"/>
    <w:rsid w:val="00587A85"/>
    <w:rsid w:val="00591A49"/>
    <w:rsid w:val="005A2C76"/>
    <w:rsid w:val="005B0A02"/>
    <w:rsid w:val="005B0CD2"/>
    <w:rsid w:val="005B3A51"/>
    <w:rsid w:val="005B71DE"/>
    <w:rsid w:val="005C17E4"/>
    <w:rsid w:val="005C26CD"/>
    <w:rsid w:val="005C5853"/>
    <w:rsid w:val="005D6088"/>
    <w:rsid w:val="005D7707"/>
    <w:rsid w:val="005F5DA9"/>
    <w:rsid w:val="00601570"/>
    <w:rsid w:val="006016DA"/>
    <w:rsid w:val="00607663"/>
    <w:rsid w:val="00620797"/>
    <w:rsid w:val="00631441"/>
    <w:rsid w:val="00632411"/>
    <w:rsid w:val="00636957"/>
    <w:rsid w:val="00640E29"/>
    <w:rsid w:val="006418A1"/>
    <w:rsid w:val="00644786"/>
    <w:rsid w:val="00646562"/>
    <w:rsid w:val="00653883"/>
    <w:rsid w:val="00654215"/>
    <w:rsid w:val="00656656"/>
    <w:rsid w:val="00657D18"/>
    <w:rsid w:val="00663249"/>
    <w:rsid w:val="00670995"/>
    <w:rsid w:val="00680848"/>
    <w:rsid w:val="00682405"/>
    <w:rsid w:val="0069120F"/>
    <w:rsid w:val="00696ED4"/>
    <w:rsid w:val="006B1C48"/>
    <w:rsid w:val="006B27AC"/>
    <w:rsid w:val="006B7CB8"/>
    <w:rsid w:val="006C00B9"/>
    <w:rsid w:val="006C104A"/>
    <w:rsid w:val="006D1EE8"/>
    <w:rsid w:val="006D6BDC"/>
    <w:rsid w:val="006E7BB0"/>
    <w:rsid w:val="006F025F"/>
    <w:rsid w:val="006F7C23"/>
    <w:rsid w:val="007026CA"/>
    <w:rsid w:val="00707BD5"/>
    <w:rsid w:val="00710246"/>
    <w:rsid w:val="007119DB"/>
    <w:rsid w:val="00717E45"/>
    <w:rsid w:val="007266B9"/>
    <w:rsid w:val="0072701C"/>
    <w:rsid w:val="007275F9"/>
    <w:rsid w:val="007335C7"/>
    <w:rsid w:val="0073416B"/>
    <w:rsid w:val="00737D21"/>
    <w:rsid w:val="007429C1"/>
    <w:rsid w:val="007448B8"/>
    <w:rsid w:val="00744EF5"/>
    <w:rsid w:val="00745786"/>
    <w:rsid w:val="00756BE2"/>
    <w:rsid w:val="00757D6B"/>
    <w:rsid w:val="00760E80"/>
    <w:rsid w:val="0076434A"/>
    <w:rsid w:val="00772EE5"/>
    <w:rsid w:val="00773B3E"/>
    <w:rsid w:val="00774F26"/>
    <w:rsid w:val="00776A79"/>
    <w:rsid w:val="00782119"/>
    <w:rsid w:val="007835EE"/>
    <w:rsid w:val="00790FF6"/>
    <w:rsid w:val="00792517"/>
    <w:rsid w:val="00793CAE"/>
    <w:rsid w:val="00797246"/>
    <w:rsid w:val="007A029C"/>
    <w:rsid w:val="007A1C97"/>
    <w:rsid w:val="007B1EC7"/>
    <w:rsid w:val="007C05D7"/>
    <w:rsid w:val="007C1E5C"/>
    <w:rsid w:val="007C2FD7"/>
    <w:rsid w:val="007C3451"/>
    <w:rsid w:val="007D36E0"/>
    <w:rsid w:val="007E5A67"/>
    <w:rsid w:val="007F4559"/>
    <w:rsid w:val="007F5C7B"/>
    <w:rsid w:val="007F68E8"/>
    <w:rsid w:val="00801774"/>
    <w:rsid w:val="008018FB"/>
    <w:rsid w:val="00802C7D"/>
    <w:rsid w:val="00813FC6"/>
    <w:rsid w:val="00815AC1"/>
    <w:rsid w:val="008230EE"/>
    <w:rsid w:val="00825E10"/>
    <w:rsid w:val="008277EE"/>
    <w:rsid w:val="008324FA"/>
    <w:rsid w:val="008332BA"/>
    <w:rsid w:val="00835BBD"/>
    <w:rsid w:val="00840DA9"/>
    <w:rsid w:val="00843A6A"/>
    <w:rsid w:val="008461B4"/>
    <w:rsid w:val="0084791C"/>
    <w:rsid w:val="008507D2"/>
    <w:rsid w:val="00852CA2"/>
    <w:rsid w:val="0085395A"/>
    <w:rsid w:val="0085672D"/>
    <w:rsid w:val="00861041"/>
    <w:rsid w:val="00862DC8"/>
    <w:rsid w:val="0086470E"/>
    <w:rsid w:val="00867A36"/>
    <w:rsid w:val="00867FAA"/>
    <w:rsid w:val="0087419B"/>
    <w:rsid w:val="00874423"/>
    <w:rsid w:val="00877667"/>
    <w:rsid w:val="0088094F"/>
    <w:rsid w:val="008819F8"/>
    <w:rsid w:val="008927AC"/>
    <w:rsid w:val="008A0C30"/>
    <w:rsid w:val="008A0D50"/>
    <w:rsid w:val="008A2080"/>
    <w:rsid w:val="008A318E"/>
    <w:rsid w:val="008A535E"/>
    <w:rsid w:val="008A6837"/>
    <w:rsid w:val="008B7547"/>
    <w:rsid w:val="008C3BC3"/>
    <w:rsid w:val="008C5BE3"/>
    <w:rsid w:val="008C78FC"/>
    <w:rsid w:val="008D0A2E"/>
    <w:rsid w:val="008E0218"/>
    <w:rsid w:val="008E10D2"/>
    <w:rsid w:val="008E1781"/>
    <w:rsid w:val="008F49E8"/>
    <w:rsid w:val="009028C7"/>
    <w:rsid w:val="00912C64"/>
    <w:rsid w:val="009141CD"/>
    <w:rsid w:val="00920E61"/>
    <w:rsid w:val="00920F53"/>
    <w:rsid w:val="00922AA8"/>
    <w:rsid w:val="00924203"/>
    <w:rsid w:val="009249D4"/>
    <w:rsid w:val="009259D5"/>
    <w:rsid w:val="009319C7"/>
    <w:rsid w:val="0093481F"/>
    <w:rsid w:val="009362F7"/>
    <w:rsid w:val="0094086C"/>
    <w:rsid w:val="00943900"/>
    <w:rsid w:val="0094544D"/>
    <w:rsid w:val="009471CF"/>
    <w:rsid w:val="00954596"/>
    <w:rsid w:val="00962102"/>
    <w:rsid w:val="00964EDE"/>
    <w:rsid w:val="009802EA"/>
    <w:rsid w:val="00981406"/>
    <w:rsid w:val="00987634"/>
    <w:rsid w:val="0099019E"/>
    <w:rsid w:val="00994C3B"/>
    <w:rsid w:val="009975FB"/>
    <w:rsid w:val="00997C68"/>
    <w:rsid w:val="009A01DC"/>
    <w:rsid w:val="009A4F27"/>
    <w:rsid w:val="009A4F8E"/>
    <w:rsid w:val="009A5EE5"/>
    <w:rsid w:val="009A737E"/>
    <w:rsid w:val="009B2C9B"/>
    <w:rsid w:val="009B7922"/>
    <w:rsid w:val="009C35B2"/>
    <w:rsid w:val="009D188F"/>
    <w:rsid w:val="009E1362"/>
    <w:rsid w:val="009E2B93"/>
    <w:rsid w:val="009E4310"/>
    <w:rsid w:val="009E6A4C"/>
    <w:rsid w:val="00A02A09"/>
    <w:rsid w:val="00A051E1"/>
    <w:rsid w:val="00A06FB9"/>
    <w:rsid w:val="00A16421"/>
    <w:rsid w:val="00A260C3"/>
    <w:rsid w:val="00A26C0C"/>
    <w:rsid w:val="00A30BB7"/>
    <w:rsid w:val="00A32686"/>
    <w:rsid w:val="00A326B7"/>
    <w:rsid w:val="00A33A61"/>
    <w:rsid w:val="00A34501"/>
    <w:rsid w:val="00A51DBE"/>
    <w:rsid w:val="00A652F8"/>
    <w:rsid w:val="00A65A1A"/>
    <w:rsid w:val="00A70A0C"/>
    <w:rsid w:val="00A745F1"/>
    <w:rsid w:val="00A75877"/>
    <w:rsid w:val="00A7609E"/>
    <w:rsid w:val="00A806B3"/>
    <w:rsid w:val="00A81DF1"/>
    <w:rsid w:val="00A94279"/>
    <w:rsid w:val="00A95E5F"/>
    <w:rsid w:val="00AA4756"/>
    <w:rsid w:val="00AA7048"/>
    <w:rsid w:val="00AB5685"/>
    <w:rsid w:val="00AC44FD"/>
    <w:rsid w:val="00AC7166"/>
    <w:rsid w:val="00AD096A"/>
    <w:rsid w:val="00AD29C0"/>
    <w:rsid w:val="00AD6807"/>
    <w:rsid w:val="00AD7021"/>
    <w:rsid w:val="00AE1ECB"/>
    <w:rsid w:val="00AE2357"/>
    <w:rsid w:val="00AE7404"/>
    <w:rsid w:val="00AF1C8C"/>
    <w:rsid w:val="00B05614"/>
    <w:rsid w:val="00B16487"/>
    <w:rsid w:val="00B176A6"/>
    <w:rsid w:val="00B24C89"/>
    <w:rsid w:val="00B3220E"/>
    <w:rsid w:val="00B3595B"/>
    <w:rsid w:val="00B37440"/>
    <w:rsid w:val="00B42AD3"/>
    <w:rsid w:val="00B4319D"/>
    <w:rsid w:val="00B44474"/>
    <w:rsid w:val="00B45567"/>
    <w:rsid w:val="00B46376"/>
    <w:rsid w:val="00B47342"/>
    <w:rsid w:val="00B501D9"/>
    <w:rsid w:val="00B57244"/>
    <w:rsid w:val="00B64654"/>
    <w:rsid w:val="00B64C7D"/>
    <w:rsid w:val="00B654BC"/>
    <w:rsid w:val="00B65802"/>
    <w:rsid w:val="00B7097A"/>
    <w:rsid w:val="00B71DAD"/>
    <w:rsid w:val="00B739C4"/>
    <w:rsid w:val="00B8114B"/>
    <w:rsid w:val="00B8213D"/>
    <w:rsid w:val="00B90856"/>
    <w:rsid w:val="00B90DAB"/>
    <w:rsid w:val="00B91F80"/>
    <w:rsid w:val="00B943C3"/>
    <w:rsid w:val="00BA36E1"/>
    <w:rsid w:val="00BB01B6"/>
    <w:rsid w:val="00BB2D08"/>
    <w:rsid w:val="00BB3FC5"/>
    <w:rsid w:val="00BB7782"/>
    <w:rsid w:val="00BC2651"/>
    <w:rsid w:val="00BC59A7"/>
    <w:rsid w:val="00BE5A0D"/>
    <w:rsid w:val="00BF0DBE"/>
    <w:rsid w:val="00BF7413"/>
    <w:rsid w:val="00C01ADD"/>
    <w:rsid w:val="00C04247"/>
    <w:rsid w:val="00C0497E"/>
    <w:rsid w:val="00C13B7B"/>
    <w:rsid w:val="00C13E5E"/>
    <w:rsid w:val="00C15503"/>
    <w:rsid w:val="00C2051F"/>
    <w:rsid w:val="00C20E2D"/>
    <w:rsid w:val="00C24DC5"/>
    <w:rsid w:val="00C25CC8"/>
    <w:rsid w:val="00C30BFD"/>
    <w:rsid w:val="00C317FA"/>
    <w:rsid w:val="00C33BCE"/>
    <w:rsid w:val="00C36E05"/>
    <w:rsid w:val="00C41C0C"/>
    <w:rsid w:val="00C4387F"/>
    <w:rsid w:val="00C53A0F"/>
    <w:rsid w:val="00C57EB6"/>
    <w:rsid w:val="00C57EE5"/>
    <w:rsid w:val="00C63A85"/>
    <w:rsid w:val="00C640CF"/>
    <w:rsid w:val="00C74A4F"/>
    <w:rsid w:val="00C767C6"/>
    <w:rsid w:val="00C77A74"/>
    <w:rsid w:val="00C81320"/>
    <w:rsid w:val="00C87F94"/>
    <w:rsid w:val="00C90948"/>
    <w:rsid w:val="00C95FC8"/>
    <w:rsid w:val="00CA0D13"/>
    <w:rsid w:val="00CA79AE"/>
    <w:rsid w:val="00CB1826"/>
    <w:rsid w:val="00CC55C2"/>
    <w:rsid w:val="00CC5F9D"/>
    <w:rsid w:val="00CC683A"/>
    <w:rsid w:val="00CD3EB7"/>
    <w:rsid w:val="00CD77C1"/>
    <w:rsid w:val="00CE719D"/>
    <w:rsid w:val="00CF04ED"/>
    <w:rsid w:val="00CF653B"/>
    <w:rsid w:val="00CF751A"/>
    <w:rsid w:val="00D0023F"/>
    <w:rsid w:val="00D00580"/>
    <w:rsid w:val="00D00D0D"/>
    <w:rsid w:val="00D02749"/>
    <w:rsid w:val="00D03D1E"/>
    <w:rsid w:val="00D069A8"/>
    <w:rsid w:val="00D07BEC"/>
    <w:rsid w:val="00D1214B"/>
    <w:rsid w:val="00D1773C"/>
    <w:rsid w:val="00D20113"/>
    <w:rsid w:val="00D218F1"/>
    <w:rsid w:val="00D2240F"/>
    <w:rsid w:val="00D23DC3"/>
    <w:rsid w:val="00D25413"/>
    <w:rsid w:val="00D33BFD"/>
    <w:rsid w:val="00D40304"/>
    <w:rsid w:val="00D40BC5"/>
    <w:rsid w:val="00D42368"/>
    <w:rsid w:val="00D45DF7"/>
    <w:rsid w:val="00D53900"/>
    <w:rsid w:val="00D675A7"/>
    <w:rsid w:val="00D70ACE"/>
    <w:rsid w:val="00D7379B"/>
    <w:rsid w:val="00D73F73"/>
    <w:rsid w:val="00D74D4E"/>
    <w:rsid w:val="00D75DB5"/>
    <w:rsid w:val="00D80744"/>
    <w:rsid w:val="00D83B63"/>
    <w:rsid w:val="00D8655F"/>
    <w:rsid w:val="00D93AA8"/>
    <w:rsid w:val="00DA58F7"/>
    <w:rsid w:val="00DA5E26"/>
    <w:rsid w:val="00DB35B3"/>
    <w:rsid w:val="00DC00A8"/>
    <w:rsid w:val="00DC25B7"/>
    <w:rsid w:val="00DC324E"/>
    <w:rsid w:val="00DC672C"/>
    <w:rsid w:val="00DD50C1"/>
    <w:rsid w:val="00DE1B22"/>
    <w:rsid w:val="00DE5B69"/>
    <w:rsid w:val="00DE7DD7"/>
    <w:rsid w:val="00DF16DA"/>
    <w:rsid w:val="00DF174C"/>
    <w:rsid w:val="00DF5654"/>
    <w:rsid w:val="00E1017E"/>
    <w:rsid w:val="00E12350"/>
    <w:rsid w:val="00E2509F"/>
    <w:rsid w:val="00E26E92"/>
    <w:rsid w:val="00E27B3A"/>
    <w:rsid w:val="00E35337"/>
    <w:rsid w:val="00E364D2"/>
    <w:rsid w:val="00E446FF"/>
    <w:rsid w:val="00E448EC"/>
    <w:rsid w:val="00E46E57"/>
    <w:rsid w:val="00E54B04"/>
    <w:rsid w:val="00E56D15"/>
    <w:rsid w:val="00E56EDD"/>
    <w:rsid w:val="00E5726D"/>
    <w:rsid w:val="00E600EC"/>
    <w:rsid w:val="00E62263"/>
    <w:rsid w:val="00E629E2"/>
    <w:rsid w:val="00E70979"/>
    <w:rsid w:val="00E71BFD"/>
    <w:rsid w:val="00E71E93"/>
    <w:rsid w:val="00E726F3"/>
    <w:rsid w:val="00E72AD0"/>
    <w:rsid w:val="00E82ED3"/>
    <w:rsid w:val="00E87454"/>
    <w:rsid w:val="00E94546"/>
    <w:rsid w:val="00EB0B2B"/>
    <w:rsid w:val="00EC1A45"/>
    <w:rsid w:val="00EC20C6"/>
    <w:rsid w:val="00EC5EC0"/>
    <w:rsid w:val="00ED03DD"/>
    <w:rsid w:val="00ED2606"/>
    <w:rsid w:val="00ED2BBB"/>
    <w:rsid w:val="00ED5E58"/>
    <w:rsid w:val="00EE4FB1"/>
    <w:rsid w:val="00EF492E"/>
    <w:rsid w:val="00EF6F58"/>
    <w:rsid w:val="00EF7E3D"/>
    <w:rsid w:val="00F0573E"/>
    <w:rsid w:val="00F110FB"/>
    <w:rsid w:val="00F1371E"/>
    <w:rsid w:val="00F2051D"/>
    <w:rsid w:val="00F243F7"/>
    <w:rsid w:val="00F25AED"/>
    <w:rsid w:val="00F41FA6"/>
    <w:rsid w:val="00F4252E"/>
    <w:rsid w:val="00F42D53"/>
    <w:rsid w:val="00F51E06"/>
    <w:rsid w:val="00F53A42"/>
    <w:rsid w:val="00F60654"/>
    <w:rsid w:val="00F607B4"/>
    <w:rsid w:val="00F6674C"/>
    <w:rsid w:val="00F66C79"/>
    <w:rsid w:val="00F71A70"/>
    <w:rsid w:val="00F7217A"/>
    <w:rsid w:val="00F77797"/>
    <w:rsid w:val="00F80777"/>
    <w:rsid w:val="00F811CD"/>
    <w:rsid w:val="00F85B7B"/>
    <w:rsid w:val="00F86672"/>
    <w:rsid w:val="00F90229"/>
    <w:rsid w:val="00F92505"/>
    <w:rsid w:val="00F93B0B"/>
    <w:rsid w:val="00F93CD6"/>
    <w:rsid w:val="00F9682C"/>
    <w:rsid w:val="00FA5C7E"/>
    <w:rsid w:val="00FB1D0C"/>
    <w:rsid w:val="00FB5B5F"/>
    <w:rsid w:val="00FB7887"/>
    <w:rsid w:val="00FC10E2"/>
    <w:rsid w:val="00FC44CE"/>
    <w:rsid w:val="00FC6A51"/>
    <w:rsid w:val="00FD34CB"/>
    <w:rsid w:val="00FD4AB2"/>
    <w:rsid w:val="00FD6FAD"/>
    <w:rsid w:val="00FE1560"/>
    <w:rsid w:val="00FF0D63"/>
    <w:rsid w:val="01070A14"/>
    <w:rsid w:val="034D3180"/>
    <w:rsid w:val="07DD523A"/>
    <w:rsid w:val="0DEC3966"/>
    <w:rsid w:val="101C40DF"/>
    <w:rsid w:val="136B3628"/>
    <w:rsid w:val="14742D0E"/>
    <w:rsid w:val="14CF7E31"/>
    <w:rsid w:val="18150C7D"/>
    <w:rsid w:val="18875183"/>
    <w:rsid w:val="18AF588E"/>
    <w:rsid w:val="1E9736C0"/>
    <w:rsid w:val="1F0B5BFD"/>
    <w:rsid w:val="203565E4"/>
    <w:rsid w:val="20A47F1D"/>
    <w:rsid w:val="260B6A7A"/>
    <w:rsid w:val="2B226752"/>
    <w:rsid w:val="2C2A3701"/>
    <w:rsid w:val="2D924176"/>
    <w:rsid w:val="2E101CC7"/>
    <w:rsid w:val="35F75AE4"/>
    <w:rsid w:val="3DE06791"/>
    <w:rsid w:val="3E197BF0"/>
    <w:rsid w:val="3E9165B5"/>
    <w:rsid w:val="3F453ADA"/>
    <w:rsid w:val="41B70124"/>
    <w:rsid w:val="42831D2D"/>
    <w:rsid w:val="43D97719"/>
    <w:rsid w:val="44AA2582"/>
    <w:rsid w:val="48C71FBA"/>
    <w:rsid w:val="4D4344CF"/>
    <w:rsid w:val="58C6475B"/>
    <w:rsid w:val="59B06044"/>
    <w:rsid w:val="5B6466FE"/>
    <w:rsid w:val="5F5C1802"/>
    <w:rsid w:val="69026EDF"/>
    <w:rsid w:val="6B344DF0"/>
    <w:rsid w:val="75F52E16"/>
    <w:rsid w:val="77161841"/>
    <w:rsid w:val="78486717"/>
    <w:rsid w:val="78FD0B8F"/>
    <w:rsid w:val="79232FCD"/>
    <w:rsid w:val="7BEF23E2"/>
    <w:rsid w:val="7C5B5073"/>
    <w:rsid w:val="7D462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0"/>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link w:val="3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32"/>
    <w:qFormat/>
    <w:uiPriority w:val="0"/>
    <w:pPr>
      <w:keepNext/>
      <w:keepLines/>
      <w:spacing w:before="260" w:after="260" w:line="413" w:lineRule="auto"/>
      <w:outlineLvl w:val="2"/>
    </w:pPr>
    <w:rPr>
      <w:b/>
      <w:sz w:val="32"/>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link w:val="35"/>
    <w:qFormat/>
    <w:uiPriority w:val="0"/>
    <w:pPr>
      <w:shd w:val="clear" w:color="auto" w:fill="000080"/>
    </w:pPr>
  </w:style>
  <w:style w:type="paragraph" w:styleId="7">
    <w:name w:val="annotation text"/>
    <w:basedOn w:val="1"/>
    <w:link w:val="33"/>
    <w:unhideWhenUsed/>
    <w:qFormat/>
    <w:uiPriority w:val="0"/>
    <w:pPr>
      <w:jc w:val="left"/>
    </w:pPr>
  </w:style>
  <w:style w:type="paragraph" w:styleId="8">
    <w:name w:val="Body Text"/>
    <w:basedOn w:val="1"/>
    <w:link w:val="36"/>
    <w:qFormat/>
    <w:uiPriority w:val="0"/>
    <w:pPr>
      <w:autoSpaceDE w:val="0"/>
      <w:autoSpaceDN w:val="0"/>
      <w:adjustRightInd w:val="0"/>
      <w:spacing w:line="360" w:lineRule="auto"/>
      <w:jc w:val="left"/>
    </w:pPr>
    <w:rPr>
      <w:rFonts w:ascii="宋体"/>
      <w:kern w:val="0"/>
    </w:rPr>
  </w:style>
  <w:style w:type="paragraph" w:styleId="9">
    <w:name w:val="Body Text Indent"/>
    <w:basedOn w:val="1"/>
    <w:link w:val="70"/>
    <w:unhideWhenUsed/>
    <w:qFormat/>
    <w:uiPriority w:val="0"/>
    <w:pPr>
      <w:spacing w:after="120"/>
      <w:ind w:left="420" w:leftChars="200"/>
    </w:pPr>
  </w:style>
  <w:style w:type="paragraph" w:styleId="10">
    <w:name w:val="toc 3"/>
    <w:basedOn w:val="1"/>
    <w:next w:val="1"/>
    <w:qFormat/>
    <w:uiPriority w:val="0"/>
    <w:pPr>
      <w:ind w:left="840" w:leftChars="400"/>
    </w:pPr>
  </w:style>
  <w:style w:type="paragraph" w:styleId="11">
    <w:name w:val="Plain Text"/>
    <w:basedOn w:val="1"/>
    <w:link w:val="37"/>
    <w:qFormat/>
    <w:uiPriority w:val="0"/>
    <w:pPr>
      <w:adjustRightInd w:val="0"/>
      <w:spacing w:line="312" w:lineRule="atLeast"/>
      <w:textAlignment w:val="baseline"/>
    </w:pPr>
    <w:rPr>
      <w:rFonts w:ascii="宋体" w:hAnsi="Courier New"/>
      <w:kern w:val="0"/>
    </w:rPr>
  </w:style>
  <w:style w:type="paragraph" w:styleId="12">
    <w:name w:val="Body Text Indent 2"/>
    <w:basedOn w:val="1"/>
    <w:link w:val="38"/>
    <w:qFormat/>
    <w:uiPriority w:val="0"/>
    <w:pPr>
      <w:spacing w:line="360" w:lineRule="auto"/>
      <w:ind w:firstLine="425"/>
    </w:pPr>
    <w:rPr>
      <w:rFonts w:ascii="仿宋_GB2312" w:eastAsia="仿宋_GB2312"/>
      <w:sz w:val="28"/>
    </w:rPr>
  </w:style>
  <w:style w:type="paragraph" w:styleId="13">
    <w:name w:val="Balloon Text"/>
    <w:basedOn w:val="1"/>
    <w:link w:val="39"/>
    <w:qFormat/>
    <w:uiPriority w:val="0"/>
    <w:rPr>
      <w:sz w:val="18"/>
    </w:rPr>
  </w:style>
  <w:style w:type="paragraph" w:styleId="14">
    <w:name w:val="footer"/>
    <w:basedOn w:val="1"/>
    <w:link w:val="29"/>
    <w:unhideWhenUsed/>
    <w:qFormat/>
    <w:uiPriority w:val="99"/>
    <w:pPr>
      <w:tabs>
        <w:tab w:val="center" w:pos="4153"/>
        <w:tab w:val="right" w:pos="8306"/>
      </w:tabs>
      <w:snapToGrid w:val="0"/>
      <w:jc w:val="left"/>
    </w:pPr>
    <w:rPr>
      <w:sz w:val="18"/>
      <w:szCs w:val="18"/>
    </w:rPr>
  </w:style>
  <w:style w:type="paragraph" w:styleId="15">
    <w:name w:val="header"/>
    <w:basedOn w:val="1"/>
    <w:link w:val="28"/>
    <w:unhideWhenUsed/>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tabs>
        <w:tab w:val="right" w:leader="dot" w:pos="8296"/>
      </w:tabs>
      <w:spacing w:line="360" w:lineRule="auto"/>
    </w:pPr>
  </w:style>
  <w:style w:type="paragraph" w:styleId="17">
    <w:name w:val="footnote text"/>
    <w:basedOn w:val="1"/>
    <w:link w:val="40"/>
    <w:qFormat/>
    <w:uiPriority w:val="0"/>
    <w:pPr>
      <w:snapToGrid w:val="0"/>
      <w:jc w:val="left"/>
    </w:pPr>
    <w:rPr>
      <w:sz w:val="18"/>
    </w:rPr>
  </w:style>
  <w:style w:type="paragraph" w:styleId="18">
    <w:name w:val="Body Text Indent 3"/>
    <w:basedOn w:val="1"/>
    <w:link w:val="41"/>
    <w:qFormat/>
    <w:uiPriority w:val="0"/>
    <w:pPr>
      <w:autoSpaceDE w:val="0"/>
      <w:autoSpaceDN w:val="0"/>
      <w:adjustRightInd w:val="0"/>
      <w:spacing w:line="360" w:lineRule="auto"/>
      <w:ind w:left="420" w:firstLine="435"/>
    </w:pPr>
    <w:rPr>
      <w:color w:val="0000FF"/>
    </w:rPr>
  </w:style>
  <w:style w:type="paragraph" w:styleId="19">
    <w:name w:val="Title"/>
    <w:basedOn w:val="1"/>
    <w:next w:val="1"/>
    <w:link w:val="42"/>
    <w:qFormat/>
    <w:uiPriority w:val="0"/>
    <w:pPr>
      <w:spacing w:before="240" w:after="60"/>
      <w:jc w:val="center"/>
      <w:outlineLvl w:val="0"/>
    </w:pPr>
    <w:rPr>
      <w:rFonts w:ascii="Cambria" w:hAnsi="Cambria"/>
      <w:b/>
      <w:sz w:val="32"/>
    </w:rPr>
  </w:style>
  <w:style w:type="paragraph" w:styleId="20">
    <w:name w:val="annotation subject"/>
    <w:basedOn w:val="7"/>
    <w:next w:val="7"/>
    <w:link w:val="34"/>
    <w:qFormat/>
    <w:uiPriority w:val="0"/>
    <w:rPr>
      <w:b/>
    </w:r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color w:val="0000FF"/>
      <w:u w:val="single"/>
    </w:rPr>
  </w:style>
  <w:style w:type="character" w:styleId="26">
    <w:name w:val="annotation reference"/>
    <w:qFormat/>
    <w:uiPriority w:val="0"/>
    <w:rPr>
      <w:sz w:val="21"/>
    </w:rPr>
  </w:style>
  <w:style w:type="character" w:styleId="27">
    <w:name w:val="footnote reference"/>
    <w:qFormat/>
    <w:uiPriority w:val="0"/>
    <w:rPr>
      <w:vertAlign w:val="superscript"/>
    </w:rPr>
  </w:style>
  <w:style w:type="character" w:customStyle="1" w:styleId="28">
    <w:name w:val="页眉 字符"/>
    <w:basedOn w:val="22"/>
    <w:link w:val="15"/>
    <w:qFormat/>
    <w:uiPriority w:val="0"/>
    <w:rPr>
      <w:sz w:val="18"/>
      <w:szCs w:val="18"/>
    </w:rPr>
  </w:style>
  <w:style w:type="character" w:customStyle="1" w:styleId="29">
    <w:name w:val="页脚 字符"/>
    <w:basedOn w:val="22"/>
    <w:link w:val="14"/>
    <w:qFormat/>
    <w:uiPriority w:val="99"/>
    <w:rPr>
      <w:sz w:val="18"/>
      <w:szCs w:val="18"/>
    </w:rPr>
  </w:style>
  <w:style w:type="character" w:customStyle="1" w:styleId="30">
    <w:name w:val="标题 1 字符"/>
    <w:basedOn w:val="22"/>
    <w:link w:val="2"/>
    <w:qFormat/>
    <w:uiPriority w:val="0"/>
    <w:rPr>
      <w:rFonts w:ascii="宋体" w:hAnsi="Times New Roman" w:eastAsia="宋体" w:cs="Times New Roman"/>
      <w:b/>
      <w:color w:val="000000"/>
      <w:kern w:val="0"/>
      <w:sz w:val="24"/>
      <w:szCs w:val="20"/>
    </w:rPr>
  </w:style>
  <w:style w:type="character" w:customStyle="1" w:styleId="31">
    <w:name w:val="标题 2 字符"/>
    <w:basedOn w:val="22"/>
    <w:link w:val="3"/>
    <w:qFormat/>
    <w:uiPriority w:val="0"/>
    <w:rPr>
      <w:rFonts w:ascii="Arial" w:hAnsi="Arial" w:eastAsia="黑体" w:cs="Times New Roman"/>
      <w:b/>
      <w:sz w:val="32"/>
      <w:szCs w:val="20"/>
    </w:rPr>
  </w:style>
  <w:style w:type="character" w:customStyle="1" w:styleId="32">
    <w:name w:val="标题 3 字符"/>
    <w:basedOn w:val="22"/>
    <w:link w:val="4"/>
    <w:qFormat/>
    <w:uiPriority w:val="0"/>
    <w:rPr>
      <w:rFonts w:ascii="Times New Roman" w:hAnsi="Times New Roman" w:eastAsia="宋体" w:cs="Times New Roman"/>
      <w:b/>
      <w:sz w:val="32"/>
      <w:szCs w:val="20"/>
    </w:rPr>
  </w:style>
  <w:style w:type="character" w:customStyle="1" w:styleId="33">
    <w:name w:val="批注文字 字符"/>
    <w:basedOn w:val="22"/>
    <w:link w:val="7"/>
    <w:qFormat/>
    <w:uiPriority w:val="0"/>
    <w:rPr>
      <w:rFonts w:ascii="Times New Roman" w:hAnsi="Times New Roman" w:eastAsia="宋体" w:cs="Times New Roman"/>
      <w:szCs w:val="20"/>
    </w:rPr>
  </w:style>
  <w:style w:type="character" w:customStyle="1" w:styleId="34">
    <w:name w:val="批注主题 字符"/>
    <w:basedOn w:val="33"/>
    <w:link w:val="20"/>
    <w:qFormat/>
    <w:uiPriority w:val="0"/>
    <w:rPr>
      <w:rFonts w:ascii="Times New Roman" w:hAnsi="Times New Roman" w:eastAsia="宋体" w:cs="Times New Roman"/>
      <w:b/>
      <w:szCs w:val="20"/>
    </w:rPr>
  </w:style>
  <w:style w:type="character" w:customStyle="1" w:styleId="35">
    <w:name w:val="文档结构图 字符"/>
    <w:basedOn w:val="22"/>
    <w:link w:val="6"/>
    <w:qFormat/>
    <w:uiPriority w:val="0"/>
    <w:rPr>
      <w:rFonts w:ascii="Times New Roman" w:hAnsi="Times New Roman" w:eastAsia="宋体" w:cs="Times New Roman"/>
      <w:szCs w:val="20"/>
      <w:shd w:val="clear" w:color="auto" w:fill="000080"/>
    </w:rPr>
  </w:style>
  <w:style w:type="character" w:customStyle="1" w:styleId="36">
    <w:name w:val="正文文本 字符"/>
    <w:basedOn w:val="22"/>
    <w:link w:val="8"/>
    <w:qFormat/>
    <w:uiPriority w:val="0"/>
    <w:rPr>
      <w:rFonts w:ascii="宋体" w:hAnsi="Times New Roman" w:eastAsia="宋体" w:cs="Times New Roman"/>
      <w:kern w:val="0"/>
      <w:szCs w:val="20"/>
    </w:rPr>
  </w:style>
  <w:style w:type="character" w:customStyle="1" w:styleId="37">
    <w:name w:val="纯文本 字符"/>
    <w:basedOn w:val="22"/>
    <w:link w:val="11"/>
    <w:qFormat/>
    <w:uiPriority w:val="0"/>
    <w:rPr>
      <w:rFonts w:ascii="宋体" w:hAnsi="Courier New" w:eastAsia="宋体" w:cs="Times New Roman"/>
      <w:kern w:val="0"/>
      <w:szCs w:val="20"/>
    </w:rPr>
  </w:style>
  <w:style w:type="character" w:customStyle="1" w:styleId="38">
    <w:name w:val="正文文本缩进 2 字符"/>
    <w:basedOn w:val="22"/>
    <w:link w:val="12"/>
    <w:qFormat/>
    <w:uiPriority w:val="0"/>
    <w:rPr>
      <w:rFonts w:ascii="仿宋_GB2312" w:hAnsi="Times New Roman" w:eastAsia="仿宋_GB2312" w:cs="Times New Roman"/>
      <w:sz w:val="28"/>
      <w:szCs w:val="20"/>
    </w:rPr>
  </w:style>
  <w:style w:type="character" w:customStyle="1" w:styleId="39">
    <w:name w:val="批注框文本 字符"/>
    <w:basedOn w:val="22"/>
    <w:link w:val="13"/>
    <w:qFormat/>
    <w:uiPriority w:val="0"/>
    <w:rPr>
      <w:rFonts w:ascii="Times New Roman" w:hAnsi="Times New Roman" w:eastAsia="宋体" w:cs="Times New Roman"/>
      <w:sz w:val="18"/>
      <w:szCs w:val="20"/>
    </w:rPr>
  </w:style>
  <w:style w:type="character" w:customStyle="1" w:styleId="40">
    <w:name w:val="脚注文本 字符"/>
    <w:basedOn w:val="22"/>
    <w:link w:val="17"/>
    <w:qFormat/>
    <w:uiPriority w:val="0"/>
    <w:rPr>
      <w:rFonts w:ascii="Times New Roman" w:hAnsi="Times New Roman" w:eastAsia="宋体" w:cs="Times New Roman"/>
      <w:sz w:val="18"/>
      <w:szCs w:val="20"/>
    </w:rPr>
  </w:style>
  <w:style w:type="character" w:customStyle="1" w:styleId="41">
    <w:name w:val="正文文本缩进 3 字符"/>
    <w:basedOn w:val="22"/>
    <w:link w:val="18"/>
    <w:qFormat/>
    <w:uiPriority w:val="0"/>
    <w:rPr>
      <w:rFonts w:ascii="Times New Roman" w:hAnsi="Times New Roman" w:eastAsia="宋体" w:cs="Times New Roman"/>
      <w:color w:val="0000FF"/>
      <w:szCs w:val="20"/>
    </w:rPr>
  </w:style>
  <w:style w:type="character" w:customStyle="1" w:styleId="42">
    <w:name w:val="标题 字符"/>
    <w:basedOn w:val="22"/>
    <w:link w:val="19"/>
    <w:qFormat/>
    <w:uiPriority w:val="0"/>
    <w:rPr>
      <w:rFonts w:ascii="Cambria" w:hAnsi="Cambria" w:eastAsia="宋体" w:cs="Times New Roman"/>
      <w:b/>
      <w:sz w:val="32"/>
      <w:szCs w:val="20"/>
    </w:rPr>
  </w:style>
  <w:style w:type="character" w:customStyle="1" w:styleId="43">
    <w:name w:val="read"/>
    <w:basedOn w:val="22"/>
    <w:qFormat/>
    <w:uiPriority w:val="0"/>
  </w:style>
  <w:style w:type="character" w:customStyle="1" w:styleId="44">
    <w:name w:val="unnamed11"/>
    <w:qFormat/>
    <w:uiPriority w:val="0"/>
    <w:rPr>
      <w:rFonts w:hint="eastAsia" w:ascii="宋体" w:hAnsi="宋体" w:eastAsia="宋体"/>
      <w:sz w:val="18"/>
    </w:rPr>
  </w:style>
  <w:style w:type="paragraph" w:customStyle="1" w:styleId="45">
    <w:name w:val="List_bullet"/>
    <w:basedOn w:val="1"/>
    <w:qFormat/>
    <w:uiPriority w:val="0"/>
    <w:pPr>
      <w:widowControl/>
      <w:tabs>
        <w:tab w:val="left" w:pos="360"/>
      </w:tabs>
      <w:ind w:left="360" w:hanging="360"/>
      <w:jc w:val="left"/>
    </w:pPr>
    <w:rPr>
      <w:kern w:val="0"/>
      <w:sz w:val="24"/>
    </w:rPr>
  </w:style>
  <w:style w:type="paragraph" w:customStyle="1" w:styleId="46">
    <w:name w:val="_Style 6"/>
    <w:basedOn w:val="1"/>
    <w:qFormat/>
    <w:uiPriority w:val="0"/>
  </w:style>
  <w:style w:type="paragraph" w:customStyle="1" w:styleId="4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8">
    <w:name w:val="unnamed1"/>
    <w:basedOn w:val="1"/>
    <w:qFormat/>
    <w:uiPriority w:val="0"/>
    <w:pPr>
      <w:spacing w:before="60" w:after="60"/>
      <w:ind w:left="15" w:right="15"/>
    </w:pPr>
    <w:rPr>
      <w:rFonts w:hint="eastAsia" w:ascii="宋体" w:hAnsi="宋体"/>
      <w:color w:val="000000"/>
      <w:sz w:val="18"/>
      <w:szCs w:val="18"/>
    </w:rPr>
  </w:style>
  <w:style w:type="paragraph" w:customStyle="1" w:styleId="49">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0">
    <w:name w:val="正文正文"/>
    <w:basedOn w:val="1"/>
    <w:qFormat/>
    <w:uiPriority w:val="0"/>
    <w:pPr>
      <w:spacing w:after="78" w:afterLines="25" w:line="360" w:lineRule="auto"/>
      <w:ind w:firstLine="200" w:firstLineChars="200"/>
    </w:pPr>
    <w:rPr>
      <w:sz w:val="24"/>
    </w:rPr>
  </w:style>
  <w:style w:type="paragraph" w:customStyle="1" w:styleId="51">
    <w:name w:val="Char"/>
    <w:basedOn w:val="1"/>
    <w:qFormat/>
    <w:uiPriority w:val="0"/>
  </w:style>
  <w:style w:type="paragraph" w:customStyle="1" w:styleId="52">
    <w:name w:val="Char Char Char Char"/>
    <w:basedOn w:val="1"/>
    <w:qFormat/>
    <w:uiPriority w:val="0"/>
    <w:pPr>
      <w:tabs>
        <w:tab w:val="left" w:pos="360"/>
      </w:tabs>
    </w:pPr>
  </w:style>
  <w:style w:type="paragraph" w:customStyle="1" w:styleId="53">
    <w:name w:val="Char1"/>
    <w:basedOn w:val="1"/>
    <w:qFormat/>
    <w:uiPriority w:val="0"/>
  </w:style>
  <w:style w:type="paragraph" w:customStyle="1" w:styleId="54">
    <w:name w:val="Char Char Char"/>
    <w:basedOn w:val="1"/>
    <w:qFormat/>
    <w:uiPriority w:val="0"/>
  </w:style>
  <w:style w:type="paragraph" w:customStyle="1" w:styleId="55">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56">
    <w:name w:val="Char Char1"/>
    <w:basedOn w:val="1"/>
    <w:qFormat/>
    <w:uiPriority w:val="0"/>
  </w:style>
  <w:style w:type="paragraph" w:customStyle="1" w:styleId="57">
    <w:name w:val="_Style 61"/>
    <w:basedOn w:val="1"/>
    <w:qFormat/>
    <w:uiPriority w:val="0"/>
    <w:rPr>
      <w:rFonts w:ascii="仿宋_GB2312" w:eastAsia="仿宋_GB2312"/>
      <w:sz w:val="32"/>
    </w:rPr>
  </w:style>
  <w:style w:type="paragraph" w:customStyle="1" w:styleId="58">
    <w:name w:val="正文所"/>
    <w:basedOn w:val="1"/>
    <w:qFormat/>
    <w:uiPriority w:val="0"/>
    <w:pPr>
      <w:spacing w:line="360" w:lineRule="auto"/>
      <w:ind w:firstLine="420" w:firstLineChars="200"/>
    </w:pPr>
    <w:rPr>
      <w:rFonts w:ascii="宋体"/>
    </w:rPr>
  </w:style>
  <w:style w:type="paragraph" w:customStyle="1" w:styleId="59">
    <w:name w:val="xl22"/>
    <w:basedOn w:val="1"/>
    <w:qFormat/>
    <w:uiPriority w:val="0"/>
    <w:pPr>
      <w:widowControl/>
      <w:spacing w:before="100" w:beforeAutospacing="1" w:after="100" w:afterAutospacing="1"/>
    </w:pPr>
    <w:rPr>
      <w:rFonts w:ascii="宋体" w:hAnsi="宋体" w:cs="Arial Unicode MS"/>
      <w:kern w:val="0"/>
      <w:sz w:val="18"/>
      <w:szCs w:val="18"/>
    </w:rPr>
  </w:style>
  <w:style w:type="paragraph" w:customStyle="1" w:styleId="60">
    <w:name w:val="style11"/>
    <w:basedOn w:val="1"/>
    <w:qFormat/>
    <w:uiPriority w:val="0"/>
    <w:pPr>
      <w:widowControl/>
      <w:spacing w:before="100" w:beforeAutospacing="1" w:after="100" w:afterAutospacing="1"/>
      <w:jc w:val="left"/>
    </w:pPr>
    <w:rPr>
      <w:rFonts w:ascii="Arial Unicode MS" w:hAnsi="Arial Unicode MS" w:eastAsia="Arial Unicode MS" w:cs="Arial Unicode MS"/>
      <w:color w:val="555555"/>
      <w:kern w:val="0"/>
      <w:sz w:val="24"/>
      <w:szCs w:val="24"/>
    </w:rPr>
  </w:style>
  <w:style w:type="paragraph" w:customStyle="1" w:styleId="61">
    <w:name w:val="修订1"/>
    <w:semiHidden/>
    <w:qFormat/>
    <w:uiPriority w:val="99"/>
    <w:rPr>
      <w:rFonts w:ascii="Times New Roman" w:hAnsi="Times New Roman" w:eastAsia="宋体" w:cs="Times New Roman"/>
      <w:kern w:val="2"/>
      <w:sz w:val="21"/>
      <w:lang w:val="en-US" w:eastAsia="zh-CN" w:bidi="ar-SA"/>
    </w:rPr>
  </w:style>
  <w:style w:type="paragraph" w:customStyle="1" w:styleId="62">
    <w:name w:val="Char Char"/>
    <w:basedOn w:val="1"/>
    <w:qFormat/>
    <w:uiPriority w:val="0"/>
  </w:style>
  <w:style w:type="paragraph" w:customStyle="1" w:styleId="63">
    <w:name w:val="Char Char2"/>
    <w:basedOn w:val="1"/>
    <w:qFormat/>
    <w:uiPriority w:val="0"/>
  </w:style>
  <w:style w:type="paragraph" w:customStyle="1" w:styleId="64">
    <w:name w:val="修订2"/>
    <w:hidden/>
    <w:semiHidden/>
    <w:qFormat/>
    <w:uiPriority w:val="99"/>
    <w:rPr>
      <w:rFonts w:ascii="Times New Roman" w:hAnsi="Times New Roman" w:eastAsia="宋体" w:cs="Times New Roman"/>
      <w:kern w:val="2"/>
      <w:sz w:val="21"/>
      <w:lang w:val="en-US" w:eastAsia="zh-CN" w:bidi="ar-SA"/>
    </w:rPr>
  </w:style>
  <w:style w:type="character" w:customStyle="1" w:styleId="65">
    <w:name w:val="批注文字 Char1"/>
    <w:qFormat/>
    <w:uiPriority w:val="99"/>
    <w:rPr>
      <w:kern w:val="2"/>
      <w:sz w:val="21"/>
    </w:rPr>
  </w:style>
  <w:style w:type="paragraph" w:customStyle="1" w:styleId="66">
    <w:name w:val="Char Char Char Char2"/>
    <w:basedOn w:val="1"/>
    <w:qFormat/>
    <w:uiPriority w:val="0"/>
    <w:pPr>
      <w:tabs>
        <w:tab w:val="left" w:pos="360"/>
      </w:tabs>
    </w:pPr>
    <w:rPr>
      <w:sz w:val="24"/>
      <w:szCs w:val="24"/>
    </w:rPr>
  </w:style>
  <w:style w:type="paragraph" w:customStyle="1" w:styleId="67">
    <w:name w:val="Char Char4"/>
    <w:basedOn w:val="1"/>
    <w:qFormat/>
    <w:uiPriority w:val="0"/>
  </w:style>
  <w:style w:type="paragraph" w:customStyle="1" w:styleId="68">
    <w:name w:val="Char Char Char Char1"/>
    <w:basedOn w:val="1"/>
    <w:qFormat/>
    <w:uiPriority w:val="0"/>
    <w:pPr>
      <w:tabs>
        <w:tab w:val="left" w:pos="360"/>
      </w:tabs>
    </w:pPr>
    <w:rPr>
      <w:sz w:val="24"/>
      <w:szCs w:val="24"/>
    </w:rPr>
  </w:style>
  <w:style w:type="paragraph" w:customStyle="1" w:styleId="69">
    <w:name w:val="Char Char3"/>
    <w:basedOn w:val="1"/>
    <w:qFormat/>
    <w:uiPriority w:val="0"/>
  </w:style>
  <w:style w:type="character" w:customStyle="1" w:styleId="70">
    <w:name w:val="正文文本缩进 字符"/>
    <w:basedOn w:val="22"/>
    <w:link w:val="9"/>
    <w:qFormat/>
    <w:uiPriority w:val="0"/>
    <w:rPr>
      <w:rFonts w:ascii="Times New Roman" w:hAnsi="Times New Roman" w:eastAsia="宋体" w:cs="Times New Roman"/>
      <w:szCs w:val="20"/>
    </w:rPr>
  </w:style>
  <w:style w:type="paragraph" w:customStyle="1" w:styleId="71">
    <w:name w:val="修订3"/>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0E9765-D806-4D11-9790-A58A1D884AA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31345</Words>
  <Characters>31557</Characters>
  <Lines>244</Lines>
  <Paragraphs>68</Paragraphs>
  <TotalTime>7</TotalTime>
  <ScaleCrop>false</ScaleCrop>
  <LinksUpToDate>false</LinksUpToDate>
  <CharactersWithSpaces>31765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2021-12-27T07:16:00Z</dcterms:created>
  <dc:creator>黄梦莹</dc:creator>
  <cp:lastModifiedBy>tangl</cp:lastModifiedBy>
  <dcterms:modified xsi:type="dcterms:W3CDTF">2026-04-03T08:09:43Z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9F24B08F70454B63A0A014046FC314FF</vt:lpwstr>
  </property>
</Properties>
</file>