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B9D53">
      <w:pPr>
        <w:pStyle w:val="186"/>
        <w:spacing w:after="156" w:line="500" w:lineRule="exact"/>
        <w:jc w:val="center"/>
        <w:rPr>
          <w:rFonts w:ascii="宋体"/>
          <w:b/>
          <w:bCs/>
          <w:sz w:val="48"/>
          <w:szCs w:val="48"/>
        </w:rPr>
      </w:pPr>
    </w:p>
    <w:p w14:paraId="4F12B3E7">
      <w:pPr>
        <w:pStyle w:val="186"/>
        <w:spacing w:after="156" w:line="500" w:lineRule="exact"/>
        <w:jc w:val="center"/>
        <w:rPr>
          <w:rFonts w:ascii="宋体"/>
          <w:b/>
          <w:bCs/>
          <w:sz w:val="48"/>
          <w:szCs w:val="48"/>
        </w:rPr>
      </w:pPr>
    </w:p>
    <w:p w14:paraId="791CB46E">
      <w:pPr>
        <w:pStyle w:val="186"/>
        <w:spacing w:after="156" w:line="500" w:lineRule="exact"/>
        <w:jc w:val="center"/>
        <w:rPr>
          <w:rFonts w:ascii="宋体"/>
          <w:b/>
          <w:bCs/>
          <w:sz w:val="48"/>
          <w:szCs w:val="48"/>
        </w:rPr>
      </w:pPr>
    </w:p>
    <w:p w14:paraId="42E3BBA5">
      <w:pPr>
        <w:pStyle w:val="186"/>
        <w:spacing w:after="156" w:line="500" w:lineRule="exact"/>
        <w:jc w:val="center"/>
        <w:rPr>
          <w:rFonts w:ascii="宋体"/>
          <w:b/>
          <w:bCs/>
          <w:sz w:val="48"/>
          <w:szCs w:val="48"/>
        </w:rPr>
      </w:pPr>
    </w:p>
    <w:p w14:paraId="6CC50D82">
      <w:pPr>
        <w:pStyle w:val="186"/>
        <w:spacing w:after="156" w:line="500" w:lineRule="exact"/>
        <w:jc w:val="center"/>
        <w:rPr>
          <w:rFonts w:ascii="宋体"/>
          <w:b/>
          <w:bCs/>
          <w:sz w:val="48"/>
          <w:szCs w:val="48"/>
        </w:rPr>
      </w:pPr>
    </w:p>
    <w:p w14:paraId="6957B2B6">
      <w:pPr>
        <w:pStyle w:val="186"/>
        <w:spacing w:after="156" w:line="500" w:lineRule="exact"/>
        <w:jc w:val="center"/>
        <w:rPr>
          <w:rFonts w:ascii="宋体"/>
          <w:b/>
          <w:bCs/>
          <w:sz w:val="48"/>
          <w:szCs w:val="48"/>
        </w:rPr>
      </w:pPr>
      <w:r>
        <w:rPr>
          <w:b/>
          <w:sz w:val="48"/>
        </w:rPr>
        <w:t>博时</w:t>
      </w:r>
      <w:r>
        <w:rPr>
          <w:rFonts w:hint="eastAsia"/>
          <w:b/>
          <w:sz w:val="48"/>
          <w:lang w:eastAsia="zh-CN"/>
        </w:rPr>
        <w:t>国证储能电池</w:t>
      </w:r>
      <w:r>
        <w:rPr>
          <w:b/>
          <w:sz w:val="48"/>
        </w:rPr>
        <w:t>指数型证券投资基金</w:t>
      </w:r>
    </w:p>
    <w:p w14:paraId="294DC275">
      <w:pPr>
        <w:pStyle w:val="186"/>
        <w:spacing w:after="156" w:line="500" w:lineRule="exact"/>
        <w:jc w:val="center"/>
        <w:rPr>
          <w:rFonts w:ascii="宋体"/>
          <w:b/>
          <w:bCs/>
          <w:sz w:val="48"/>
          <w:szCs w:val="48"/>
        </w:rPr>
      </w:pPr>
    </w:p>
    <w:p w14:paraId="08395675">
      <w:pPr>
        <w:pStyle w:val="186"/>
        <w:spacing w:after="156" w:line="500" w:lineRule="exact"/>
        <w:jc w:val="center"/>
        <w:rPr>
          <w:rFonts w:ascii="宋体"/>
          <w:b/>
          <w:bCs/>
          <w:sz w:val="44"/>
        </w:rPr>
      </w:pPr>
      <w:r>
        <w:rPr>
          <w:rFonts w:ascii="宋体" w:hAnsi="宋体"/>
          <w:b/>
          <w:bCs/>
          <w:sz w:val="44"/>
        </w:rPr>
        <w:t>托管协议</w:t>
      </w:r>
    </w:p>
    <w:p w14:paraId="262F0F35">
      <w:pPr>
        <w:pStyle w:val="186"/>
        <w:spacing w:after="156" w:line="500" w:lineRule="exact"/>
        <w:jc w:val="center"/>
        <w:rPr>
          <w:rFonts w:ascii="宋体"/>
          <w:bCs/>
          <w:sz w:val="44"/>
          <w:szCs w:val="44"/>
        </w:rPr>
      </w:pPr>
    </w:p>
    <w:p w14:paraId="750C3D1A">
      <w:pPr>
        <w:pStyle w:val="186"/>
        <w:autoSpaceDE w:val="0"/>
        <w:autoSpaceDN w:val="0"/>
        <w:spacing w:line="360" w:lineRule="auto"/>
        <w:ind w:left="4709" w:right="24" w:rightChars="12" w:hanging="4709" w:hangingChars="1066"/>
        <w:jc w:val="center"/>
        <w:rPr>
          <w:rFonts w:ascii="宋体"/>
          <w:b/>
          <w:bCs/>
          <w:sz w:val="44"/>
        </w:rPr>
      </w:pPr>
      <w:bookmarkStart w:id="124" w:name="_GoBack"/>
      <w:bookmarkEnd w:id="124"/>
    </w:p>
    <w:p w14:paraId="7C59B7D8">
      <w:pPr>
        <w:pStyle w:val="186"/>
        <w:spacing w:line="360" w:lineRule="auto"/>
        <w:jc w:val="center"/>
        <w:rPr>
          <w:rFonts w:ascii="宋体"/>
          <w:b/>
          <w:sz w:val="30"/>
          <w:szCs w:val="30"/>
        </w:rPr>
      </w:pPr>
    </w:p>
    <w:p w14:paraId="7131F6E4">
      <w:pPr>
        <w:pStyle w:val="186"/>
        <w:spacing w:line="360" w:lineRule="auto"/>
        <w:jc w:val="center"/>
        <w:rPr>
          <w:rFonts w:ascii="宋体"/>
          <w:b/>
          <w:sz w:val="30"/>
          <w:szCs w:val="30"/>
        </w:rPr>
      </w:pPr>
    </w:p>
    <w:p w14:paraId="45BCCF2C">
      <w:pPr>
        <w:pStyle w:val="186"/>
        <w:spacing w:line="360" w:lineRule="auto"/>
        <w:jc w:val="center"/>
        <w:rPr>
          <w:rFonts w:ascii="宋体"/>
          <w:b/>
          <w:sz w:val="30"/>
          <w:szCs w:val="30"/>
        </w:rPr>
      </w:pPr>
    </w:p>
    <w:p w14:paraId="0C6FEBA6">
      <w:pPr>
        <w:pStyle w:val="186"/>
        <w:spacing w:line="360" w:lineRule="auto"/>
        <w:jc w:val="center"/>
        <w:rPr>
          <w:rFonts w:ascii="宋体"/>
          <w:b/>
          <w:sz w:val="30"/>
          <w:szCs w:val="30"/>
        </w:rPr>
      </w:pPr>
    </w:p>
    <w:p w14:paraId="10D91594">
      <w:pPr>
        <w:pStyle w:val="186"/>
        <w:spacing w:line="360" w:lineRule="auto"/>
        <w:jc w:val="center"/>
        <w:rPr>
          <w:rFonts w:ascii="宋体"/>
          <w:b/>
          <w:sz w:val="30"/>
          <w:szCs w:val="30"/>
        </w:rPr>
      </w:pPr>
    </w:p>
    <w:p w14:paraId="274F7F78">
      <w:pPr>
        <w:pStyle w:val="186"/>
        <w:spacing w:line="360" w:lineRule="auto"/>
        <w:jc w:val="center"/>
        <w:rPr>
          <w:rFonts w:ascii="宋体"/>
          <w:b/>
          <w:sz w:val="30"/>
          <w:szCs w:val="30"/>
        </w:rPr>
      </w:pPr>
    </w:p>
    <w:p w14:paraId="2A946233">
      <w:pPr>
        <w:pStyle w:val="186"/>
        <w:spacing w:line="360" w:lineRule="auto"/>
        <w:rPr>
          <w:rFonts w:ascii="宋体"/>
          <w:b/>
          <w:sz w:val="30"/>
          <w:szCs w:val="30"/>
        </w:rPr>
      </w:pPr>
    </w:p>
    <w:p w14:paraId="3348CC08">
      <w:pPr>
        <w:pStyle w:val="186"/>
        <w:spacing w:after="156" w:line="500" w:lineRule="exact"/>
        <w:ind w:left="1028" w:leftChars="514"/>
        <w:rPr>
          <w:rFonts w:ascii="宋体"/>
          <w:b/>
          <w:bCs/>
          <w:sz w:val="36"/>
          <w:szCs w:val="36"/>
        </w:rPr>
      </w:pPr>
      <w:r>
        <w:rPr>
          <w:rFonts w:ascii="宋体" w:hAnsi="宋体"/>
          <w:b/>
          <w:bCs/>
          <w:sz w:val="36"/>
          <w:szCs w:val="36"/>
        </w:rPr>
        <w:t>基金管理人：博时基金管理有限公司</w:t>
      </w:r>
    </w:p>
    <w:p w14:paraId="59E68A06">
      <w:pPr>
        <w:pStyle w:val="186"/>
        <w:ind w:left="1028" w:leftChars="514"/>
        <w:rPr>
          <w:rFonts w:ascii="宋体"/>
        </w:rPr>
      </w:pPr>
      <w:r>
        <w:rPr>
          <w:rFonts w:ascii="宋体" w:hAnsi="宋体"/>
          <w:b/>
          <w:bCs/>
          <w:sz w:val="36"/>
          <w:szCs w:val="36"/>
        </w:rPr>
        <w:t>基金托管人：交通银行股份有限公司</w:t>
      </w:r>
    </w:p>
    <w:p w14:paraId="2F6ED718">
      <w:pPr>
        <w:pStyle w:val="186"/>
        <w:ind w:left="1028" w:leftChars="514"/>
        <w:sectPr>
          <w:headerReference r:id="rId4" w:type="first"/>
          <w:footerReference r:id="rId6" w:type="first"/>
          <w:headerReference r:id="rId3" w:type="default"/>
          <w:footerReference r:id="rId5" w:type="even"/>
          <w:pgSz w:w="11906" w:h="16838"/>
          <w:pgMar w:top="1440" w:right="1800" w:bottom="1440" w:left="1800" w:header="851" w:footer="992" w:gutter="0"/>
          <w:pgNumType w:start="1"/>
          <w:cols w:space="1701" w:num="1"/>
          <w:docGrid w:type="lines" w:linePitch="312" w:charSpace="0"/>
        </w:sectPr>
      </w:pPr>
    </w:p>
    <w:p w14:paraId="565C15C1">
      <w:pPr>
        <w:pStyle w:val="186"/>
        <w:spacing w:before="312" w:after="156" w:line="360" w:lineRule="auto"/>
        <w:jc w:val="center"/>
        <w:rPr>
          <w:rFonts w:ascii="宋体"/>
          <w:b/>
          <w:sz w:val="44"/>
          <w:szCs w:val="44"/>
        </w:rPr>
      </w:pPr>
      <w:r>
        <w:rPr>
          <w:rFonts w:ascii="宋体" w:hAnsi="宋体"/>
          <w:b/>
          <w:sz w:val="44"/>
          <w:szCs w:val="44"/>
        </w:rPr>
        <w:t>目  录</w:t>
      </w:r>
    </w:p>
    <w:p w14:paraId="4FBBA26F">
      <w:pPr>
        <w:pStyle w:val="213"/>
        <w:rPr>
          <w:rFonts w:ascii="Calibri" w:hAnsi="Calibri"/>
          <w:b w:val="0"/>
          <w:caps w:val="0"/>
          <w:sz w:val="21"/>
          <w:szCs w:val="22"/>
        </w:rPr>
      </w:pPr>
      <w:r>
        <w:rPr>
          <w:rFonts w:ascii="宋体" w:hAnsi="宋体"/>
          <w:bCs/>
          <w:color w:val="000000"/>
          <w:sz w:val="24"/>
          <w:szCs w:val="24"/>
        </w:rPr>
        <w:fldChar w:fldCharType="begin"/>
      </w:r>
      <w:r>
        <w:rPr>
          <w:rStyle w:val="223"/>
          <w:rFonts w:ascii="宋体" w:hAnsi="宋体"/>
          <w:bCs/>
          <w:color w:val="000000"/>
          <w:sz w:val="24"/>
          <w:szCs w:val="24"/>
        </w:rPr>
        <w:instrText xml:space="preserve"> TOC \h \z \t "标题 1,1" </w:instrText>
      </w:r>
      <w:r>
        <w:rPr>
          <w:rFonts w:ascii="宋体" w:hAnsi="宋体"/>
          <w:bCs/>
          <w:color w:val="000000"/>
          <w:sz w:val="24"/>
          <w:szCs w:val="24"/>
        </w:rPr>
        <w:fldChar w:fldCharType="separate"/>
      </w:r>
      <w:r>
        <w:fldChar w:fldCharType="begin"/>
      </w:r>
      <w:r>
        <w:instrText xml:space="preserve"> HYPERLINK \l "_Toc65162000" </w:instrText>
      </w:r>
      <w:r>
        <w:fldChar w:fldCharType="separate"/>
      </w:r>
      <w:r>
        <w:rPr>
          <w:rStyle w:val="223"/>
        </w:rPr>
        <w:t>一、基金托管协议当事人</w:t>
      </w:r>
      <w:r>
        <w:tab/>
      </w:r>
      <w:r>
        <w:fldChar w:fldCharType="begin"/>
      </w:r>
      <w:r>
        <w:instrText xml:space="preserve"> PAGEREF _Toc65162000 \h </w:instrText>
      </w:r>
      <w:r>
        <w:fldChar w:fldCharType="separate"/>
      </w:r>
      <w:r>
        <w:t>4</w:t>
      </w:r>
      <w:r>
        <w:fldChar w:fldCharType="end"/>
      </w:r>
      <w:r>
        <w:fldChar w:fldCharType="end"/>
      </w:r>
    </w:p>
    <w:p w14:paraId="0C974D9D">
      <w:pPr>
        <w:pStyle w:val="213"/>
        <w:rPr>
          <w:rFonts w:ascii="Calibri" w:hAnsi="Calibri"/>
          <w:b w:val="0"/>
          <w:caps w:val="0"/>
          <w:sz w:val="21"/>
          <w:szCs w:val="22"/>
        </w:rPr>
      </w:pPr>
      <w:r>
        <w:fldChar w:fldCharType="begin"/>
      </w:r>
      <w:r>
        <w:instrText xml:space="preserve"> HYPERLINK \l "_Toc65162001" </w:instrText>
      </w:r>
      <w:r>
        <w:fldChar w:fldCharType="separate"/>
      </w:r>
      <w:r>
        <w:rPr>
          <w:rStyle w:val="223"/>
        </w:rPr>
        <w:t>二、基金托管协议的依据、目的和原则</w:t>
      </w:r>
      <w:r>
        <w:tab/>
      </w:r>
      <w:r>
        <w:fldChar w:fldCharType="begin"/>
      </w:r>
      <w:r>
        <w:instrText xml:space="preserve"> PAGEREF _Toc65162001 \h </w:instrText>
      </w:r>
      <w:r>
        <w:fldChar w:fldCharType="separate"/>
      </w:r>
      <w:r>
        <w:t>5</w:t>
      </w:r>
      <w:r>
        <w:fldChar w:fldCharType="end"/>
      </w:r>
      <w:r>
        <w:fldChar w:fldCharType="end"/>
      </w:r>
    </w:p>
    <w:p w14:paraId="4B2166F2">
      <w:pPr>
        <w:pStyle w:val="213"/>
        <w:rPr>
          <w:rFonts w:ascii="Calibri" w:hAnsi="Calibri"/>
          <w:b w:val="0"/>
          <w:caps w:val="0"/>
          <w:sz w:val="21"/>
          <w:szCs w:val="22"/>
        </w:rPr>
      </w:pPr>
      <w:r>
        <w:fldChar w:fldCharType="begin"/>
      </w:r>
      <w:r>
        <w:instrText xml:space="preserve"> HYPERLINK \l "_Toc65162002" </w:instrText>
      </w:r>
      <w:r>
        <w:fldChar w:fldCharType="separate"/>
      </w:r>
      <w:r>
        <w:rPr>
          <w:rStyle w:val="223"/>
        </w:rPr>
        <w:t>三、基金托管人对基金管理人的业务监督和核查</w:t>
      </w:r>
      <w:r>
        <w:tab/>
      </w:r>
      <w:r>
        <w:fldChar w:fldCharType="begin"/>
      </w:r>
      <w:r>
        <w:instrText xml:space="preserve"> PAGEREF _Toc65162002 \h </w:instrText>
      </w:r>
      <w:r>
        <w:fldChar w:fldCharType="separate"/>
      </w:r>
      <w:r>
        <w:t>5</w:t>
      </w:r>
      <w:r>
        <w:fldChar w:fldCharType="end"/>
      </w:r>
      <w:r>
        <w:fldChar w:fldCharType="end"/>
      </w:r>
    </w:p>
    <w:p w14:paraId="2E6DCFCA">
      <w:pPr>
        <w:pStyle w:val="213"/>
        <w:rPr>
          <w:rFonts w:ascii="Calibri" w:hAnsi="Calibri"/>
          <w:b w:val="0"/>
          <w:caps w:val="0"/>
          <w:sz w:val="21"/>
          <w:szCs w:val="22"/>
        </w:rPr>
      </w:pPr>
      <w:r>
        <w:fldChar w:fldCharType="begin"/>
      </w:r>
      <w:r>
        <w:instrText xml:space="preserve"> HYPERLINK \l "_Toc65162003" </w:instrText>
      </w:r>
      <w:r>
        <w:fldChar w:fldCharType="separate"/>
      </w:r>
      <w:r>
        <w:rPr>
          <w:rStyle w:val="223"/>
        </w:rPr>
        <w:t>四、基金管理人对基金托管人的业务核查</w:t>
      </w:r>
      <w:r>
        <w:tab/>
      </w:r>
      <w:r>
        <w:fldChar w:fldCharType="begin"/>
      </w:r>
      <w:r>
        <w:instrText xml:space="preserve"> PAGEREF _Toc65162003 \h </w:instrText>
      </w:r>
      <w:r>
        <w:fldChar w:fldCharType="separate"/>
      </w:r>
      <w:r>
        <w:t>12</w:t>
      </w:r>
      <w:r>
        <w:fldChar w:fldCharType="end"/>
      </w:r>
      <w:r>
        <w:fldChar w:fldCharType="end"/>
      </w:r>
    </w:p>
    <w:p w14:paraId="356944A7">
      <w:pPr>
        <w:pStyle w:val="213"/>
        <w:rPr>
          <w:rFonts w:ascii="Calibri" w:hAnsi="Calibri"/>
          <w:b w:val="0"/>
          <w:caps w:val="0"/>
          <w:sz w:val="21"/>
          <w:szCs w:val="22"/>
        </w:rPr>
      </w:pPr>
      <w:r>
        <w:fldChar w:fldCharType="begin"/>
      </w:r>
      <w:r>
        <w:instrText xml:space="preserve"> HYPERLINK \l "_Toc65162004" </w:instrText>
      </w:r>
      <w:r>
        <w:fldChar w:fldCharType="separate"/>
      </w:r>
      <w:r>
        <w:rPr>
          <w:rStyle w:val="223"/>
        </w:rPr>
        <w:t>五、基金财产的保管</w:t>
      </w:r>
      <w:r>
        <w:tab/>
      </w:r>
      <w:r>
        <w:fldChar w:fldCharType="begin"/>
      </w:r>
      <w:r>
        <w:instrText xml:space="preserve"> PAGEREF _Toc65162004 \h </w:instrText>
      </w:r>
      <w:r>
        <w:fldChar w:fldCharType="separate"/>
      </w:r>
      <w:r>
        <w:t>13</w:t>
      </w:r>
      <w:r>
        <w:fldChar w:fldCharType="end"/>
      </w:r>
      <w:r>
        <w:fldChar w:fldCharType="end"/>
      </w:r>
    </w:p>
    <w:p w14:paraId="137E4885">
      <w:pPr>
        <w:pStyle w:val="213"/>
        <w:rPr>
          <w:rFonts w:ascii="Calibri" w:hAnsi="Calibri"/>
          <w:b w:val="0"/>
          <w:caps w:val="0"/>
          <w:sz w:val="21"/>
          <w:szCs w:val="22"/>
        </w:rPr>
      </w:pPr>
      <w:r>
        <w:fldChar w:fldCharType="begin"/>
      </w:r>
      <w:r>
        <w:instrText xml:space="preserve"> HYPERLINK \l "_Toc65162005" </w:instrText>
      </w:r>
      <w:r>
        <w:fldChar w:fldCharType="separate"/>
      </w:r>
      <w:r>
        <w:rPr>
          <w:rStyle w:val="223"/>
        </w:rPr>
        <w:t>六、指令的发送、确认和执行</w:t>
      </w:r>
      <w:r>
        <w:tab/>
      </w:r>
      <w:r>
        <w:fldChar w:fldCharType="begin"/>
      </w:r>
      <w:r>
        <w:instrText xml:space="preserve"> PAGEREF _Toc65162005 \h </w:instrText>
      </w:r>
      <w:r>
        <w:fldChar w:fldCharType="separate"/>
      </w:r>
      <w:r>
        <w:t>17</w:t>
      </w:r>
      <w:r>
        <w:fldChar w:fldCharType="end"/>
      </w:r>
      <w:r>
        <w:fldChar w:fldCharType="end"/>
      </w:r>
    </w:p>
    <w:p w14:paraId="6E56F7F2">
      <w:pPr>
        <w:pStyle w:val="213"/>
        <w:rPr>
          <w:rFonts w:ascii="Calibri" w:hAnsi="Calibri"/>
          <w:b w:val="0"/>
          <w:caps w:val="0"/>
          <w:sz w:val="21"/>
          <w:szCs w:val="22"/>
        </w:rPr>
      </w:pPr>
      <w:r>
        <w:fldChar w:fldCharType="begin"/>
      </w:r>
      <w:r>
        <w:instrText xml:space="preserve"> HYPERLINK \l "_Toc65162006" </w:instrText>
      </w:r>
      <w:r>
        <w:fldChar w:fldCharType="separate"/>
      </w:r>
      <w:r>
        <w:rPr>
          <w:rStyle w:val="223"/>
        </w:rPr>
        <w:t>七、交易及清算交收安排</w:t>
      </w:r>
      <w:r>
        <w:tab/>
      </w:r>
      <w:r>
        <w:fldChar w:fldCharType="begin"/>
      </w:r>
      <w:r>
        <w:instrText xml:space="preserve"> PAGEREF _Toc65162006 \h </w:instrText>
      </w:r>
      <w:r>
        <w:fldChar w:fldCharType="separate"/>
      </w:r>
      <w:r>
        <w:t>19</w:t>
      </w:r>
      <w:r>
        <w:fldChar w:fldCharType="end"/>
      </w:r>
      <w:r>
        <w:fldChar w:fldCharType="end"/>
      </w:r>
    </w:p>
    <w:p w14:paraId="620D0651">
      <w:pPr>
        <w:pStyle w:val="213"/>
        <w:rPr>
          <w:rFonts w:ascii="Calibri" w:hAnsi="Calibri"/>
          <w:b w:val="0"/>
          <w:caps w:val="0"/>
          <w:sz w:val="21"/>
          <w:szCs w:val="22"/>
        </w:rPr>
      </w:pPr>
      <w:r>
        <w:fldChar w:fldCharType="begin"/>
      </w:r>
      <w:r>
        <w:instrText xml:space="preserve"> HYPERLINK \l "_Toc65162007" </w:instrText>
      </w:r>
      <w:r>
        <w:fldChar w:fldCharType="separate"/>
      </w:r>
      <w:r>
        <w:rPr>
          <w:rStyle w:val="223"/>
        </w:rPr>
        <w:t>八、基金资产净值计算和会计核算</w:t>
      </w:r>
      <w:r>
        <w:tab/>
      </w:r>
      <w:r>
        <w:fldChar w:fldCharType="begin"/>
      </w:r>
      <w:r>
        <w:instrText xml:space="preserve"> PAGEREF _Toc65162007 \h </w:instrText>
      </w:r>
      <w:r>
        <w:fldChar w:fldCharType="separate"/>
      </w:r>
      <w:r>
        <w:t>23</w:t>
      </w:r>
      <w:r>
        <w:fldChar w:fldCharType="end"/>
      </w:r>
      <w:r>
        <w:fldChar w:fldCharType="end"/>
      </w:r>
    </w:p>
    <w:p w14:paraId="2E781160">
      <w:pPr>
        <w:pStyle w:val="213"/>
        <w:rPr>
          <w:rFonts w:ascii="Calibri" w:hAnsi="Calibri"/>
          <w:b w:val="0"/>
          <w:caps w:val="0"/>
          <w:sz w:val="21"/>
          <w:szCs w:val="22"/>
        </w:rPr>
      </w:pPr>
      <w:r>
        <w:fldChar w:fldCharType="begin"/>
      </w:r>
      <w:r>
        <w:instrText xml:space="preserve"> HYPERLINK \l "_Toc65162008" </w:instrText>
      </w:r>
      <w:r>
        <w:fldChar w:fldCharType="separate"/>
      </w:r>
      <w:r>
        <w:rPr>
          <w:rStyle w:val="223"/>
        </w:rPr>
        <w:t>九、基金收益分配</w:t>
      </w:r>
      <w:r>
        <w:tab/>
      </w:r>
      <w:r>
        <w:fldChar w:fldCharType="begin"/>
      </w:r>
      <w:r>
        <w:instrText xml:space="preserve"> PAGEREF _Toc65162008 \h </w:instrText>
      </w:r>
      <w:r>
        <w:fldChar w:fldCharType="separate"/>
      </w:r>
      <w:r>
        <w:t>27</w:t>
      </w:r>
      <w:r>
        <w:fldChar w:fldCharType="end"/>
      </w:r>
      <w:r>
        <w:fldChar w:fldCharType="end"/>
      </w:r>
    </w:p>
    <w:p w14:paraId="36B71867">
      <w:pPr>
        <w:pStyle w:val="213"/>
        <w:rPr>
          <w:rFonts w:ascii="Calibri" w:hAnsi="Calibri"/>
          <w:b w:val="0"/>
          <w:caps w:val="0"/>
          <w:sz w:val="21"/>
          <w:szCs w:val="22"/>
        </w:rPr>
      </w:pPr>
      <w:r>
        <w:fldChar w:fldCharType="begin"/>
      </w:r>
      <w:r>
        <w:instrText xml:space="preserve"> HYPERLINK \l "_Toc65162009" </w:instrText>
      </w:r>
      <w:r>
        <w:fldChar w:fldCharType="separate"/>
      </w:r>
      <w:r>
        <w:rPr>
          <w:rStyle w:val="223"/>
        </w:rPr>
        <w:t>十、基金信息披露</w:t>
      </w:r>
      <w:r>
        <w:tab/>
      </w:r>
      <w:r>
        <w:fldChar w:fldCharType="begin"/>
      </w:r>
      <w:r>
        <w:instrText xml:space="preserve"> PAGEREF _Toc65162009 \h </w:instrText>
      </w:r>
      <w:r>
        <w:fldChar w:fldCharType="separate"/>
      </w:r>
      <w:r>
        <w:t>28</w:t>
      </w:r>
      <w:r>
        <w:fldChar w:fldCharType="end"/>
      </w:r>
      <w:r>
        <w:fldChar w:fldCharType="end"/>
      </w:r>
    </w:p>
    <w:p w14:paraId="26540C78">
      <w:pPr>
        <w:pStyle w:val="213"/>
        <w:rPr>
          <w:rFonts w:ascii="Calibri" w:hAnsi="Calibri"/>
          <w:b w:val="0"/>
          <w:caps w:val="0"/>
          <w:sz w:val="21"/>
          <w:szCs w:val="22"/>
        </w:rPr>
      </w:pPr>
      <w:r>
        <w:fldChar w:fldCharType="begin"/>
      </w:r>
      <w:r>
        <w:instrText xml:space="preserve"> HYPERLINK \l "_Toc65162010" </w:instrText>
      </w:r>
      <w:r>
        <w:fldChar w:fldCharType="separate"/>
      </w:r>
      <w:r>
        <w:rPr>
          <w:rStyle w:val="223"/>
        </w:rPr>
        <w:t>十一、基金费用</w:t>
      </w:r>
      <w:r>
        <w:tab/>
      </w:r>
      <w:r>
        <w:fldChar w:fldCharType="begin"/>
      </w:r>
      <w:r>
        <w:instrText xml:space="preserve"> PAGEREF _Toc65162010 \h </w:instrText>
      </w:r>
      <w:r>
        <w:fldChar w:fldCharType="separate"/>
      </w:r>
      <w:r>
        <w:t>29</w:t>
      </w:r>
      <w:r>
        <w:fldChar w:fldCharType="end"/>
      </w:r>
      <w:r>
        <w:fldChar w:fldCharType="end"/>
      </w:r>
    </w:p>
    <w:p w14:paraId="7F29AA0F">
      <w:pPr>
        <w:pStyle w:val="213"/>
        <w:rPr>
          <w:rFonts w:ascii="Calibri" w:hAnsi="Calibri"/>
          <w:b w:val="0"/>
          <w:caps w:val="0"/>
          <w:sz w:val="21"/>
          <w:szCs w:val="22"/>
        </w:rPr>
      </w:pPr>
      <w:r>
        <w:fldChar w:fldCharType="begin"/>
      </w:r>
      <w:r>
        <w:instrText xml:space="preserve"> HYPERLINK \l "_Toc65162011" </w:instrText>
      </w:r>
      <w:r>
        <w:fldChar w:fldCharType="separate"/>
      </w:r>
      <w:r>
        <w:rPr>
          <w:rStyle w:val="223"/>
        </w:rPr>
        <w:t>十二、基金份额持有人名册的保管</w:t>
      </w:r>
      <w:r>
        <w:tab/>
      </w:r>
      <w:r>
        <w:fldChar w:fldCharType="begin"/>
      </w:r>
      <w:r>
        <w:instrText xml:space="preserve"> PAGEREF _Toc65162011 \h </w:instrText>
      </w:r>
      <w:r>
        <w:fldChar w:fldCharType="separate"/>
      </w:r>
      <w:r>
        <w:t>32</w:t>
      </w:r>
      <w:r>
        <w:fldChar w:fldCharType="end"/>
      </w:r>
      <w:r>
        <w:fldChar w:fldCharType="end"/>
      </w:r>
    </w:p>
    <w:p w14:paraId="62FAB136">
      <w:pPr>
        <w:pStyle w:val="213"/>
        <w:rPr>
          <w:rFonts w:ascii="Calibri" w:hAnsi="Calibri"/>
          <w:b w:val="0"/>
          <w:caps w:val="0"/>
          <w:sz w:val="21"/>
          <w:szCs w:val="22"/>
        </w:rPr>
      </w:pPr>
      <w:r>
        <w:fldChar w:fldCharType="begin"/>
      </w:r>
      <w:r>
        <w:instrText xml:space="preserve"> HYPERLINK \l "_Toc65162012" </w:instrText>
      </w:r>
      <w:r>
        <w:fldChar w:fldCharType="separate"/>
      </w:r>
      <w:r>
        <w:rPr>
          <w:rStyle w:val="223"/>
        </w:rPr>
        <w:t>十三、基金有关文件档案的保存</w:t>
      </w:r>
      <w:r>
        <w:tab/>
      </w:r>
      <w:r>
        <w:fldChar w:fldCharType="begin"/>
      </w:r>
      <w:r>
        <w:instrText xml:space="preserve"> PAGEREF _Toc65162012 \h </w:instrText>
      </w:r>
      <w:r>
        <w:fldChar w:fldCharType="separate"/>
      </w:r>
      <w:r>
        <w:t>32</w:t>
      </w:r>
      <w:r>
        <w:fldChar w:fldCharType="end"/>
      </w:r>
      <w:r>
        <w:fldChar w:fldCharType="end"/>
      </w:r>
    </w:p>
    <w:p w14:paraId="047C8D73">
      <w:pPr>
        <w:pStyle w:val="213"/>
        <w:rPr>
          <w:rFonts w:ascii="Calibri" w:hAnsi="Calibri"/>
          <w:b w:val="0"/>
          <w:caps w:val="0"/>
          <w:sz w:val="21"/>
          <w:szCs w:val="22"/>
        </w:rPr>
      </w:pPr>
      <w:r>
        <w:fldChar w:fldCharType="begin"/>
      </w:r>
      <w:r>
        <w:instrText xml:space="preserve"> HYPERLINK \l "_Toc65162013" </w:instrText>
      </w:r>
      <w:r>
        <w:fldChar w:fldCharType="separate"/>
      </w:r>
      <w:r>
        <w:rPr>
          <w:rStyle w:val="223"/>
        </w:rPr>
        <w:t>十四、基金管理人和基金托管人的更换</w:t>
      </w:r>
      <w:r>
        <w:tab/>
      </w:r>
      <w:r>
        <w:fldChar w:fldCharType="begin"/>
      </w:r>
      <w:r>
        <w:instrText xml:space="preserve"> PAGEREF _Toc65162013 \h </w:instrText>
      </w:r>
      <w:r>
        <w:fldChar w:fldCharType="separate"/>
      </w:r>
      <w:r>
        <w:t>33</w:t>
      </w:r>
      <w:r>
        <w:fldChar w:fldCharType="end"/>
      </w:r>
      <w:r>
        <w:fldChar w:fldCharType="end"/>
      </w:r>
    </w:p>
    <w:p w14:paraId="739957CC">
      <w:pPr>
        <w:pStyle w:val="213"/>
        <w:rPr>
          <w:rFonts w:ascii="Calibri" w:hAnsi="Calibri"/>
          <w:b w:val="0"/>
          <w:caps w:val="0"/>
          <w:sz w:val="21"/>
          <w:szCs w:val="22"/>
        </w:rPr>
      </w:pPr>
      <w:r>
        <w:fldChar w:fldCharType="begin"/>
      </w:r>
      <w:r>
        <w:instrText xml:space="preserve"> HYPERLINK \l "_Toc65162014" </w:instrText>
      </w:r>
      <w:r>
        <w:fldChar w:fldCharType="separate"/>
      </w:r>
      <w:r>
        <w:rPr>
          <w:rStyle w:val="223"/>
        </w:rPr>
        <w:t>十五、禁止行为</w:t>
      </w:r>
      <w:r>
        <w:tab/>
      </w:r>
      <w:r>
        <w:fldChar w:fldCharType="begin"/>
      </w:r>
      <w:r>
        <w:instrText xml:space="preserve"> PAGEREF _Toc65162014 \h </w:instrText>
      </w:r>
      <w:r>
        <w:fldChar w:fldCharType="separate"/>
      </w:r>
      <w:r>
        <w:t>35</w:t>
      </w:r>
      <w:r>
        <w:fldChar w:fldCharType="end"/>
      </w:r>
      <w:r>
        <w:fldChar w:fldCharType="end"/>
      </w:r>
    </w:p>
    <w:p w14:paraId="4D3791BA">
      <w:pPr>
        <w:pStyle w:val="213"/>
        <w:rPr>
          <w:rFonts w:ascii="Calibri" w:hAnsi="Calibri"/>
          <w:b w:val="0"/>
          <w:caps w:val="0"/>
          <w:sz w:val="21"/>
          <w:szCs w:val="22"/>
        </w:rPr>
      </w:pPr>
      <w:r>
        <w:fldChar w:fldCharType="begin"/>
      </w:r>
      <w:r>
        <w:instrText xml:space="preserve"> HYPERLINK \l "_Toc65162015" </w:instrText>
      </w:r>
      <w:r>
        <w:fldChar w:fldCharType="separate"/>
      </w:r>
      <w:r>
        <w:rPr>
          <w:rStyle w:val="223"/>
        </w:rPr>
        <w:t>十六、基金托管协议的变更、终止与基金财产的清算</w:t>
      </w:r>
      <w:r>
        <w:tab/>
      </w:r>
      <w:r>
        <w:fldChar w:fldCharType="begin"/>
      </w:r>
      <w:r>
        <w:instrText xml:space="preserve"> PAGEREF _Toc65162015 \h </w:instrText>
      </w:r>
      <w:r>
        <w:fldChar w:fldCharType="separate"/>
      </w:r>
      <w:r>
        <w:t>36</w:t>
      </w:r>
      <w:r>
        <w:fldChar w:fldCharType="end"/>
      </w:r>
      <w:r>
        <w:fldChar w:fldCharType="end"/>
      </w:r>
    </w:p>
    <w:p w14:paraId="50C38C51">
      <w:pPr>
        <w:pStyle w:val="213"/>
        <w:rPr>
          <w:rFonts w:ascii="Calibri" w:hAnsi="Calibri"/>
          <w:b w:val="0"/>
          <w:caps w:val="0"/>
          <w:sz w:val="21"/>
          <w:szCs w:val="22"/>
        </w:rPr>
      </w:pPr>
      <w:r>
        <w:fldChar w:fldCharType="begin"/>
      </w:r>
      <w:r>
        <w:instrText xml:space="preserve"> HYPERLINK \l "_Toc65162016" </w:instrText>
      </w:r>
      <w:r>
        <w:fldChar w:fldCharType="separate"/>
      </w:r>
      <w:r>
        <w:rPr>
          <w:rStyle w:val="223"/>
        </w:rPr>
        <w:t>十七、违约责任</w:t>
      </w:r>
      <w:r>
        <w:tab/>
      </w:r>
      <w:r>
        <w:fldChar w:fldCharType="begin"/>
      </w:r>
      <w:r>
        <w:instrText xml:space="preserve"> PAGEREF _Toc65162016 \h </w:instrText>
      </w:r>
      <w:r>
        <w:fldChar w:fldCharType="separate"/>
      </w:r>
      <w:r>
        <w:t>38</w:t>
      </w:r>
      <w:r>
        <w:fldChar w:fldCharType="end"/>
      </w:r>
      <w:r>
        <w:fldChar w:fldCharType="end"/>
      </w:r>
    </w:p>
    <w:p w14:paraId="57028D77">
      <w:pPr>
        <w:pStyle w:val="213"/>
        <w:rPr>
          <w:rFonts w:ascii="Calibri" w:hAnsi="Calibri"/>
          <w:b w:val="0"/>
          <w:caps w:val="0"/>
          <w:sz w:val="21"/>
          <w:szCs w:val="22"/>
        </w:rPr>
      </w:pPr>
      <w:r>
        <w:fldChar w:fldCharType="begin"/>
      </w:r>
      <w:r>
        <w:instrText xml:space="preserve"> HYPERLINK \l "_Toc65162017" </w:instrText>
      </w:r>
      <w:r>
        <w:fldChar w:fldCharType="separate"/>
      </w:r>
      <w:r>
        <w:rPr>
          <w:rStyle w:val="223"/>
        </w:rPr>
        <w:t>十八、争议解决方式</w:t>
      </w:r>
      <w:r>
        <w:tab/>
      </w:r>
      <w:r>
        <w:fldChar w:fldCharType="begin"/>
      </w:r>
      <w:r>
        <w:instrText xml:space="preserve"> PAGEREF _Toc65162017 \h </w:instrText>
      </w:r>
      <w:r>
        <w:fldChar w:fldCharType="separate"/>
      </w:r>
      <w:r>
        <w:t>39</w:t>
      </w:r>
      <w:r>
        <w:fldChar w:fldCharType="end"/>
      </w:r>
      <w:r>
        <w:fldChar w:fldCharType="end"/>
      </w:r>
    </w:p>
    <w:p w14:paraId="3436B6A7">
      <w:pPr>
        <w:pStyle w:val="213"/>
        <w:rPr>
          <w:rFonts w:ascii="Calibri" w:hAnsi="Calibri"/>
          <w:b w:val="0"/>
          <w:caps w:val="0"/>
          <w:sz w:val="21"/>
          <w:szCs w:val="22"/>
        </w:rPr>
      </w:pPr>
      <w:r>
        <w:fldChar w:fldCharType="begin"/>
      </w:r>
      <w:r>
        <w:instrText xml:space="preserve"> HYPERLINK \l "_Toc65162018" </w:instrText>
      </w:r>
      <w:r>
        <w:fldChar w:fldCharType="separate"/>
      </w:r>
      <w:r>
        <w:rPr>
          <w:rStyle w:val="223"/>
        </w:rPr>
        <w:t>十九、基金托管协议的效力</w:t>
      </w:r>
      <w:r>
        <w:tab/>
      </w:r>
      <w:r>
        <w:fldChar w:fldCharType="begin"/>
      </w:r>
      <w:r>
        <w:instrText xml:space="preserve"> PAGEREF _Toc65162018 \h </w:instrText>
      </w:r>
      <w:r>
        <w:fldChar w:fldCharType="separate"/>
      </w:r>
      <w:r>
        <w:t>39</w:t>
      </w:r>
      <w:r>
        <w:fldChar w:fldCharType="end"/>
      </w:r>
      <w:r>
        <w:fldChar w:fldCharType="end"/>
      </w:r>
    </w:p>
    <w:p w14:paraId="705C14C7">
      <w:pPr>
        <w:pStyle w:val="213"/>
        <w:rPr>
          <w:rFonts w:ascii="Calibri" w:hAnsi="Calibri"/>
          <w:b w:val="0"/>
          <w:caps w:val="0"/>
          <w:sz w:val="21"/>
          <w:szCs w:val="22"/>
        </w:rPr>
      </w:pPr>
      <w:r>
        <w:fldChar w:fldCharType="begin"/>
      </w:r>
      <w:r>
        <w:instrText xml:space="preserve"> HYPERLINK \l "_Toc65162019" </w:instrText>
      </w:r>
      <w:r>
        <w:fldChar w:fldCharType="separate"/>
      </w:r>
      <w:r>
        <w:rPr>
          <w:rStyle w:val="223"/>
        </w:rPr>
        <w:t>二十、其他事项</w:t>
      </w:r>
      <w:r>
        <w:tab/>
      </w:r>
      <w:r>
        <w:fldChar w:fldCharType="begin"/>
      </w:r>
      <w:r>
        <w:instrText xml:space="preserve"> PAGEREF _Toc65162019 \h </w:instrText>
      </w:r>
      <w:r>
        <w:fldChar w:fldCharType="separate"/>
      </w:r>
      <w:r>
        <w:t>40</w:t>
      </w:r>
      <w:r>
        <w:fldChar w:fldCharType="end"/>
      </w:r>
      <w:r>
        <w:fldChar w:fldCharType="end"/>
      </w:r>
    </w:p>
    <w:p w14:paraId="20BCBD27">
      <w:pPr>
        <w:pStyle w:val="213"/>
        <w:rPr>
          <w:rFonts w:ascii="Calibri" w:hAnsi="Calibri"/>
          <w:b w:val="0"/>
          <w:caps w:val="0"/>
          <w:sz w:val="21"/>
          <w:szCs w:val="22"/>
        </w:rPr>
      </w:pPr>
      <w:r>
        <w:fldChar w:fldCharType="begin"/>
      </w:r>
      <w:r>
        <w:instrText xml:space="preserve"> HYPERLINK \l "_Toc65162020" </w:instrText>
      </w:r>
      <w:r>
        <w:fldChar w:fldCharType="separate"/>
      </w:r>
      <w:r>
        <w:rPr>
          <w:rStyle w:val="223"/>
        </w:rPr>
        <w:t>二十一、基金托管协议的签订</w:t>
      </w:r>
      <w:r>
        <w:tab/>
      </w:r>
      <w:r>
        <w:fldChar w:fldCharType="begin"/>
      </w:r>
      <w:r>
        <w:instrText xml:space="preserve"> PAGEREF _Toc65162020 \h </w:instrText>
      </w:r>
      <w:r>
        <w:fldChar w:fldCharType="separate"/>
      </w:r>
      <w:r>
        <w:t>40</w:t>
      </w:r>
      <w:r>
        <w:fldChar w:fldCharType="end"/>
      </w:r>
      <w:r>
        <w:fldChar w:fldCharType="end"/>
      </w:r>
    </w:p>
    <w:p w14:paraId="3214C5C7">
      <w:pPr>
        <w:pStyle w:val="213"/>
        <w:tabs>
          <w:tab w:val="right" w:leader="dot" w:pos="8296"/>
        </w:tabs>
        <w:spacing w:before="0"/>
        <w:ind w:firstLine="0"/>
        <w:rPr>
          <w:rStyle w:val="223"/>
          <w:rFonts w:ascii="宋体"/>
          <w:bCs/>
          <w:color w:val="000000"/>
        </w:rPr>
      </w:pPr>
      <w:r>
        <w:rPr>
          <w:rFonts w:ascii="宋体" w:hAnsi="宋体"/>
          <w:bCs/>
          <w:color w:val="000000"/>
          <w:sz w:val="24"/>
          <w:szCs w:val="24"/>
        </w:rPr>
        <w:fldChar w:fldCharType="end"/>
      </w:r>
    </w:p>
    <w:p w14:paraId="41BDF003">
      <w:pPr>
        <w:pStyle w:val="186"/>
        <w:spacing w:line="360" w:lineRule="auto"/>
        <w:ind w:firstLine="420" w:firstLineChars="200"/>
        <w:rPr>
          <w:rFonts w:ascii="宋体"/>
          <w:sz w:val="24"/>
        </w:rPr>
      </w:pPr>
      <w:r>
        <w:rPr>
          <w:rStyle w:val="223"/>
          <w:rFonts w:ascii="宋体"/>
          <w:bCs/>
          <w:color w:val="000000"/>
        </w:rPr>
        <w:br w:type="page"/>
      </w:r>
      <w:bookmarkStart w:id="0" w:name="_Toc125892432"/>
      <w:bookmarkStart w:id="1" w:name="_Toc125892437"/>
      <w:bookmarkStart w:id="2" w:name="_Toc22454432"/>
      <w:bookmarkStart w:id="3" w:name="_Toc523829992"/>
      <w:r>
        <w:rPr>
          <w:rStyle w:val="33"/>
          <w:rFonts w:hint="default" w:ascii="宋体" w:hAnsi="宋体"/>
          <w:bCs w:val="0"/>
          <w:color w:val="000000"/>
          <w:sz w:val="24"/>
          <w:u w:val="none"/>
        </w:rPr>
        <w:t>博时国证储能电池指数型证券投资基金</w:t>
      </w:r>
      <w:r>
        <w:rPr>
          <w:rFonts w:ascii="宋体" w:hAnsi="宋体"/>
          <w:sz w:val="24"/>
        </w:rPr>
        <w:t>（以下简称“本基金”或“基金”）</w:t>
      </w:r>
      <w:r>
        <w:rPr>
          <w:rStyle w:val="33"/>
          <w:rFonts w:hint="default" w:ascii="宋体" w:hAnsi="宋体"/>
          <w:bCs w:val="0"/>
          <w:color w:val="000000"/>
          <w:sz w:val="24"/>
          <w:u w:val="none"/>
        </w:rPr>
        <w:t>由博时国证</w:t>
      </w:r>
      <w:r>
        <w:rPr>
          <w:rStyle w:val="33"/>
          <w:rFonts w:hint="default" w:ascii="宋体" w:hAnsi="宋体"/>
          <w:bCs w:val="0"/>
          <w:color w:val="000000"/>
          <w:sz w:val="24"/>
          <w:u w:val="none"/>
          <w:lang w:val="en-US" w:eastAsia="zh-CN"/>
        </w:rPr>
        <w:t>新</w:t>
      </w:r>
      <w:r>
        <w:rPr>
          <w:rStyle w:val="33"/>
          <w:rFonts w:hint="default" w:ascii="宋体" w:hAnsi="宋体"/>
          <w:bCs w:val="0"/>
          <w:color w:val="000000"/>
          <w:sz w:val="24"/>
          <w:u w:val="none"/>
        </w:rPr>
        <w:t>能源电池指数型证券投资基金更名而来。</w:t>
      </w:r>
      <w:r>
        <w:rPr>
          <w:rFonts w:ascii="宋体" w:hAnsi="宋体"/>
          <w:sz w:val="24"/>
          <w:u w:val="none"/>
        </w:rPr>
        <w:t>鉴</w:t>
      </w:r>
      <w:r>
        <w:rPr>
          <w:rFonts w:ascii="宋体" w:hAnsi="宋体"/>
          <w:sz w:val="24"/>
        </w:rPr>
        <w:t>于博时基金管理有限公司系一家依照中国法律合法成立并有效存续的有限责任公司，拟募集博时国证新能源电池指数型证券投资基金；</w:t>
      </w:r>
      <w:bookmarkEnd w:id="0"/>
    </w:p>
    <w:p w14:paraId="20B2A630">
      <w:pPr>
        <w:pStyle w:val="186"/>
        <w:spacing w:line="360" w:lineRule="auto"/>
        <w:ind w:firstLine="480" w:firstLineChars="200"/>
        <w:rPr>
          <w:rFonts w:ascii="宋体"/>
          <w:sz w:val="24"/>
        </w:rPr>
      </w:pPr>
      <w:bookmarkStart w:id="4" w:name="_Toc125892433"/>
      <w:r>
        <w:rPr>
          <w:rFonts w:ascii="宋体" w:hAnsi="宋体"/>
          <w:sz w:val="24"/>
        </w:rPr>
        <w:t>鉴于交通银行股份有限公司系一家依照中国法律合法成立并有效存续的银行，按照相关法律法规的规定具备担任基金托管人的资格和能力；</w:t>
      </w:r>
      <w:bookmarkEnd w:id="4"/>
    </w:p>
    <w:p w14:paraId="2CF2FB04">
      <w:pPr>
        <w:pStyle w:val="186"/>
        <w:spacing w:line="360" w:lineRule="auto"/>
        <w:ind w:firstLine="480" w:firstLineChars="200"/>
        <w:rPr>
          <w:rFonts w:ascii="宋体"/>
          <w:sz w:val="24"/>
        </w:rPr>
      </w:pPr>
      <w:bookmarkStart w:id="5" w:name="_Toc125892434"/>
      <w:r>
        <w:rPr>
          <w:rFonts w:ascii="宋体" w:hAnsi="宋体"/>
          <w:sz w:val="24"/>
        </w:rPr>
        <w:t>鉴于博时基金管理有限公司拟担任博时</w:t>
      </w:r>
      <w:r>
        <w:rPr>
          <w:rFonts w:hint="eastAsia" w:ascii="宋体" w:hAnsi="宋体"/>
          <w:sz w:val="24"/>
          <w:lang w:eastAsia="zh-CN"/>
        </w:rPr>
        <w:t>国证储能电池</w:t>
      </w:r>
      <w:r>
        <w:rPr>
          <w:rFonts w:ascii="宋体" w:hAnsi="宋体"/>
          <w:sz w:val="24"/>
        </w:rPr>
        <w:t>指数型证券投资基金的基金管理人，交通银行股份有限公司拟担任博时</w:t>
      </w:r>
      <w:r>
        <w:rPr>
          <w:rFonts w:hint="eastAsia" w:ascii="宋体" w:hAnsi="宋体"/>
          <w:sz w:val="24"/>
          <w:lang w:eastAsia="zh-CN"/>
        </w:rPr>
        <w:t>国证储能电池</w:t>
      </w:r>
      <w:r>
        <w:rPr>
          <w:rFonts w:ascii="宋体" w:hAnsi="宋体"/>
          <w:sz w:val="24"/>
        </w:rPr>
        <w:t>指数型证券投资基金的基金托管人；</w:t>
      </w:r>
      <w:bookmarkEnd w:id="5"/>
    </w:p>
    <w:p w14:paraId="64A495E0">
      <w:pPr>
        <w:pBdr>
          <w:top w:val="none" w:color="000000" w:sz="0" w:space="0"/>
          <w:left w:val="none" w:color="000000" w:sz="0" w:space="0"/>
          <w:bottom w:val="none" w:color="000000" w:sz="0" w:space="0"/>
          <w:right w:val="none" w:color="000000" w:sz="0" w:space="0"/>
        </w:pBdr>
        <w:spacing w:line="360" w:lineRule="auto"/>
        <w:ind w:firstLine="480" w:firstLineChars="200"/>
      </w:pPr>
      <w:r>
        <w:rPr>
          <w:rFonts w:ascii="宋体" w:hAnsi="宋体" w:cs="宋体"/>
          <w:color w:val="000000"/>
          <w:sz w:val="24"/>
        </w:rPr>
        <w:t>基金管理人承诺其知悉《中华人民共和国反洗钱法》、《金融机构客户尽职调查和客户身份资料及交易记录保存管理办法》、《金融机构大额交易和可疑交易报告管理办法》、《金融机构客户受益所有人识别管理办法》等反洗钱相关法律法规、监管规定，将严格遵守上述规定，不会违反任何前述规定；承诺其已建立和健全洗钱风险管理体系，已建立客户尽职调查、客户身份资料和交易记录保存、大额交易和可疑交易报告等方面的内部操作规程，反洗钱和反恐怖融资体系健全并能有效履行反洗钱和反恐怖融资义务，并按照监管要求履行反洗钱职责；承诺用于投资的资金来源不属于违法犯罪所得及其收益；承诺投资的资金来源和去向不涉及洗钱、恐怖融资和逃税等行为；承诺向托管人出示真实有效的身份证件或者其他身份证明文件，提供真实有效的业务性质与股权或者控制权结构、提供产品受益所有人的信息和资料，并在产品受益所有人发生变化时，及时告知</w:t>
      </w:r>
      <w:r>
        <w:rPr>
          <w:rFonts w:hint="eastAsia" w:ascii="宋体" w:hAnsi="宋体" w:cs="宋体"/>
          <w:color w:val="000000"/>
          <w:sz w:val="24"/>
        </w:rPr>
        <w:t>基金</w:t>
      </w:r>
      <w:r>
        <w:rPr>
          <w:rFonts w:ascii="宋体" w:hAnsi="宋体" w:cs="宋体"/>
          <w:color w:val="000000"/>
          <w:sz w:val="24"/>
        </w:rPr>
        <w:t>托管人并按</w:t>
      </w:r>
      <w:r>
        <w:rPr>
          <w:rFonts w:hint="eastAsia" w:ascii="宋体" w:hAnsi="宋体" w:cs="宋体"/>
          <w:color w:val="000000"/>
          <w:sz w:val="24"/>
        </w:rPr>
        <w:t>基金</w:t>
      </w:r>
      <w:r>
        <w:rPr>
          <w:rFonts w:ascii="宋体" w:hAnsi="宋体" w:cs="宋体"/>
          <w:color w:val="000000"/>
          <w:sz w:val="24"/>
        </w:rPr>
        <w:t>托管人要求完成更新；承诺积极履行反洗钱职责，不借助本业务进行洗钱等违法犯罪活动。</w:t>
      </w:r>
    </w:p>
    <w:p w14:paraId="6A136059">
      <w:pPr>
        <w:pBdr>
          <w:top w:val="none" w:color="000000" w:sz="0" w:space="0"/>
          <w:left w:val="none" w:color="000000" w:sz="0" w:space="0"/>
          <w:bottom w:val="none" w:color="000000" w:sz="0" w:space="0"/>
          <w:right w:val="none" w:color="000000" w:sz="0" w:space="0"/>
        </w:pBdr>
        <w:spacing w:line="360" w:lineRule="auto"/>
        <w:ind w:firstLine="480" w:firstLineChars="200"/>
      </w:pPr>
      <w:r>
        <w:rPr>
          <w:rFonts w:ascii="宋体" w:hAnsi="宋体" w:cs="宋体"/>
          <w:color w:val="000000"/>
          <w:sz w:val="24"/>
        </w:rPr>
        <w:t>基金管理人承诺基金管理人及其关联方均不属于联合国及</w:t>
      </w:r>
      <w:r>
        <w:rPr>
          <w:rFonts w:hint="eastAsia" w:ascii="宋体" w:hAnsi="宋体" w:cs="宋体"/>
          <w:color w:val="000000"/>
          <w:sz w:val="24"/>
        </w:rPr>
        <w:t>经中国政府或有权机关认可的</w:t>
      </w:r>
      <w:r>
        <w:rPr>
          <w:rFonts w:ascii="宋体" w:hAnsi="宋体" w:cs="宋体"/>
          <w:color w:val="000000"/>
          <w:sz w:val="24"/>
        </w:rPr>
        <w:t>相关国家、组织、机构发布的制裁名单，及中国政府部门或有权机关发布的涉恐及洗钱、反制裁相关风险名单内的企业或个人；不位于被联合国及</w:t>
      </w:r>
      <w:r>
        <w:rPr>
          <w:rFonts w:hint="eastAsia" w:ascii="宋体" w:hAnsi="宋体" w:cs="宋体"/>
          <w:color w:val="000000"/>
          <w:sz w:val="24"/>
        </w:rPr>
        <w:t>经中国政府或有权机关认可的</w:t>
      </w:r>
      <w:r>
        <w:rPr>
          <w:rFonts w:ascii="宋体" w:hAnsi="宋体" w:cs="宋体"/>
          <w:color w:val="000000"/>
          <w:sz w:val="24"/>
        </w:rPr>
        <w:t>相关国家、组织、机构制裁的国家和地区。</w:t>
      </w:r>
    </w:p>
    <w:p w14:paraId="410529ED">
      <w:pPr>
        <w:pStyle w:val="239"/>
        <w:spacing w:line="360" w:lineRule="auto"/>
        <w:ind w:firstLine="480"/>
        <w:rPr>
          <w:rFonts w:ascii="宋体" w:hAnsi="宋体"/>
          <w:sz w:val="24"/>
        </w:rPr>
      </w:pPr>
      <w:r>
        <w:rPr>
          <w:rFonts w:ascii="宋体" w:hAnsi="宋体"/>
          <w:sz w:val="24"/>
        </w:rPr>
        <w:t>基金管理人承诺，其已根据《中华人民共和国个人信息保护法》等适用的现行法律法规、监管规定的要求，履行了个人信息处理者应承担的义务。对于向托管人提供的自然人个人信息，其已按照相关法律法规、监管规定的要求，履行了必需的手续，并已取得了自然人的同意或者授权。</w:t>
      </w:r>
    </w:p>
    <w:p w14:paraId="7CA5834B">
      <w:pPr>
        <w:pBdr>
          <w:top w:val="none" w:color="000000" w:sz="0" w:space="0"/>
          <w:left w:val="none" w:color="000000" w:sz="0" w:space="0"/>
          <w:bottom w:val="none" w:color="000000" w:sz="0" w:space="0"/>
          <w:right w:val="none" w:color="000000" w:sz="0" w:space="0"/>
        </w:pBdr>
        <w:spacing w:line="360" w:lineRule="auto"/>
        <w:ind w:firstLine="480" w:firstLineChars="200"/>
      </w:pPr>
      <w:r>
        <w:rPr>
          <w:rFonts w:ascii="宋体" w:hAnsi="宋体" w:cs="宋体"/>
          <w:color w:val="000000"/>
          <w:sz w:val="24"/>
        </w:rPr>
        <w:t>基金托管人根据基金托管人需要遵循的监管要求，将对基金管理人开展洗钱、恐怖融资、逃税等风险动态评估，认为基金管理人及基金管理人所涉业务涉嫌洗钱、恐怖融资、逃税风险较高的，有权</w:t>
      </w:r>
      <w:r>
        <w:rPr>
          <w:rFonts w:hint="eastAsia" w:ascii="宋体" w:hAnsi="宋体" w:cs="宋体"/>
          <w:color w:val="000000"/>
          <w:sz w:val="24"/>
        </w:rPr>
        <w:t>在法律法规及监管机构允许及遵循基金份额持有人利益优先原则的前提下</w:t>
      </w:r>
      <w:r>
        <w:rPr>
          <w:rFonts w:ascii="宋体" w:hAnsi="宋体" w:cs="宋体"/>
          <w:color w:val="000000"/>
          <w:sz w:val="24"/>
        </w:rPr>
        <w:t>采取终止</w:t>
      </w:r>
      <w:r>
        <w:rPr>
          <w:rFonts w:hint="eastAsia" w:ascii="宋体" w:hAnsi="宋体" w:cs="宋体"/>
          <w:color w:val="000000"/>
          <w:sz w:val="24"/>
        </w:rPr>
        <w:t>协议</w:t>
      </w:r>
      <w:r>
        <w:rPr>
          <w:rFonts w:ascii="宋体" w:hAnsi="宋体" w:cs="宋体"/>
          <w:color w:val="000000"/>
          <w:sz w:val="24"/>
        </w:rPr>
        <w:t>等救济措施。</w:t>
      </w:r>
    </w:p>
    <w:p w14:paraId="24CC43D6">
      <w:pPr>
        <w:pStyle w:val="186"/>
        <w:spacing w:line="360" w:lineRule="auto"/>
        <w:ind w:firstLine="480" w:firstLineChars="200"/>
        <w:rPr>
          <w:rFonts w:ascii="宋体"/>
          <w:sz w:val="24"/>
        </w:rPr>
      </w:pPr>
      <w:r>
        <w:rPr>
          <w:rFonts w:ascii="宋体" w:hAnsi="宋体"/>
          <w:sz w:val="24"/>
        </w:rPr>
        <w:t>为明确博时</w:t>
      </w:r>
      <w:r>
        <w:rPr>
          <w:rFonts w:hint="eastAsia" w:ascii="宋体" w:hAnsi="宋体"/>
          <w:sz w:val="24"/>
          <w:lang w:eastAsia="zh-CN"/>
        </w:rPr>
        <w:t>国证储能电池</w:t>
      </w:r>
      <w:r>
        <w:rPr>
          <w:rFonts w:ascii="宋体" w:hAnsi="宋体"/>
          <w:sz w:val="24"/>
        </w:rPr>
        <w:t>指数型证券投资基金的基金管理人和基金托管人之间的权利义务关系，特制订本协议；</w:t>
      </w:r>
    </w:p>
    <w:p w14:paraId="4EA2BAE9">
      <w:pPr>
        <w:pStyle w:val="186"/>
        <w:spacing w:line="360" w:lineRule="auto"/>
        <w:ind w:firstLine="480" w:firstLineChars="200"/>
        <w:rPr>
          <w:rFonts w:ascii="宋体"/>
          <w:sz w:val="24"/>
        </w:rPr>
      </w:pPr>
      <w:bookmarkStart w:id="6" w:name="_Toc125892436"/>
      <w:r>
        <w:rPr>
          <w:rFonts w:ascii="宋体" w:hAnsi="宋体"/>
          <w:sz w:val="24"/>
        </w:rPr>
        <w:t>除非文义另有所指，本协议的所有术语与《博时</w:t>
      </w:r>
      <w:r>
        <w:rPr>
          <w:rFonts w:hint="eastAsia" w:ascii="宋体" w:hAnsi="宋体"/>
          <w:sz w:val="24"/>
          <w:lang w:eastAsia="zh-CN"/>
        </w:rPr>
        <w:t>国证储能电池</w:t>
      </w:r>
      <w:r>
        <w:rPr>
          <w:rFonts w:ascii="宋体" w:hAnsi="宋体"/>
          <w:sz w:val="24"/>
        </w:rPr>
        <w:t>指数型证券投资基金基金合同》（以下简称“《基金合同》”或“基金合同”）中定义的相应术语具有相同的含义。若有抵触应以《基金合同》为准，并依其条款解释。</w:t>
      </w:r>
      <w:bookmarkEnd w:id="6"/>
    </w:p>
    <w:p w14:paraId="62F9A5E3">
      <w:pPr>
        <w:pStyle w:val="186"/>
        <w:spacing w:line="360" w:lineRule="auto"/>
        <w:ind w:firstLine="480" w:firstLineChars="200"/>
        <w:rPr>
          <w:rFonts w:ascii="宋体"/>
          <w:sz w:val="24"/>
        </w:rPr>
      </w:pPr>
    </w:p>
    <w:p w14:paraId="3FE30C0B">
      <w:pPr>
        <w:pStyle w:val="187"/>
      </w:pPr>
      <w:r>
        <w:br w:type="page"/>
      </w:r>
      <w:bookmarkStart w:id="7" w:name="_Toc65162000"/>
      <w:r>
        <w:t>一、基金托管协议当事人</w:t>
      </w:r>
      <w:bookmarkEnd w:id="1"/>
      <w:bookmarkEnd w:id="2"/>
      <w:bookmarkEnd w:id="3"/>
      <w:bookmarkEnd w:id="7"/>
    </w:p>
    <w:p w14:paraId="56231359">
      <w:pPr>
        <w:pStyle w:val="186"/>
        <w:tabs>
          <w:tab w:val="left" w:pos="3780"/>
        </w:tabs>
        <w:autoSpaceDE w:val="0"/>
        <w:autoSpaceDN w:val="0"/>
        <w:spacing w:before="156" w:after="156" w:line="360" w:lineRule="auto"/>
        <w:outlineLvl w:val="0"/>
        <w:rPr>
          <w:rFonts w:ascii="宋体"/>
          <w:b/>
          <w:bCs/>
          <w:sz w:val="24"/>
        </w:rPr>
      </w:pPr>
      <w:bookmarkStart w:id="8" w:name="_Toc77662992"/>
      <w:bookmarkStart w:id="9" w:name="_Toc22454433"/>
      <w:r>
        <w:rPr>
          <w:rFonts w:ascii="宋体" w:hAnsi="宋体"/>
          <w:b/>
          <w:bCs/>
          <w:sz w:val="24"/>
        </w:rPr>
        <w:t>（一）基金管理人</w:t>
      </w:r>
      <w:bookmarkEnd w:id="8"/>
      <w:bookmarkEnd w:id="9"/>
    </w:p>
    <w:p w14:paraId="091C6F8E">
      <w:pPr>
        <w:pStyle w:val="186"/>
        <w:spacing w:line="360" w:lineRule="auto"/>
        <w:ind w:firstLine="480" w:firstLineChars="200"/>
        <w:rPr>
          <w:rFonts w:ascii="宋体" w:hAnsi="宋体"/>
          <w:sz w:val="24"/>
        </w:rPr>
      </w:pPr>
      <w:r>
        <w:rPr>
          <w:rFonts w:ascii="宋体" w:hAnsi="宋体"/>
          <w:sz w:val="24"/>
        </w:rPr>
        <w:t>名称：博时基金管理有限公司</w:t>
      </w:r>
    </w:p>
    <w:p w14:paraId="7A93F69B">
      <w:pPr>
        <w:pStyle w:val="186"/>
        <w:spacing w:line="360" w:lineRule="auto"/>
        <w:ind w:firstLine="480" w:firstLineChars="200"/>
        <w:rPr>
          <w:rFonts w:ascii="宋体" w:hAnsi="宋体"/>
          <w:sz w:val="24"/>
        </w:rPr>
      </w:pPr>
      <w:r>
        <w:rPr>
          <w:rFonts w:ascii="宋体" w:hAnsi="宋体"/>
          <w:sz w:val="24"/>
        </w:rPr>
        <w:t>住所：深圳市福田区莲花街道福新社区益田路5999号基金大厦21层</w:t>
      </w:r>
    </w:p>
    <w:p w14:paraId="616051E3">
      <w:pPr>
        <w:pStyle w:val="186"/>
        <w:spacing w:line="360" w:lineRule="auto"/>
        <w:ind w:firstLine="480" w:firstLineChars="200"/>
        <w:rPr>
          <w:rFonts w:ascii="宋体" w:hAnsi="宋体"/>
          <w:sz w:val="24"/>
        </w:rPr>
      </w:pPr>
      <w:r>
        <w:rPr>
          <w:rFonts w:ascii="宋体" w:hAnsi="宋体"/>
          <w:sz w:val="24"/>
        </w:rPr>
        <w:t>办公地址：广东省深圳市福田区益田路5999号基金大厦21层</w:t>
      </w:r>
    </w:p>
    <w:p w14:paraId="18A6F513">
      <w:pPr>
        <w:pStyle w:val="186"/>
        <w:spacing w:line="360" w:lineRule="auto"/>
        <w:ind w:firstLine="480" w:firstLineChars="200"/>
        <w:rPr>
          <w:rFonts w:ascii="宋体" w:hAnsi="宋体"/>
          <w:sz w:val="24"/>
        </w:rPr>
      </w:pPr>
      <w:r>
        <w:rPr>
          <w:rFonts w:ascii="宋体" w:hAnsi="宋体"/>
          <w:sz w:val="24"/>
        </w:rPr>
        <w:t>邮政编码：518040</w:t>
      </w:r>
    </w:p>
    <w:p w14:paraId="0288F45C">
      <w:pPr>
        <w:pStyle w:val="186"/>
        <w:spacing w:line="360" w:lineRule="auto"/>
        <w:ind w:firstLine="480" w:firstLineChars="200"/>
        <w:rPr>
          <w:rFonts w:ascii="宋体" w:hAnsi="宋体"/>
          <w:sz w:val="24"/>
        </w:rPr>
      </w:pPr>
      <w:r>
        <w:rPr>
          <w:rFonts w:ascii="宋体" w:hAnsi="宋体"/>
          <w:sz w:val="24"/>
        </w:rPr>
        <w:t>法定代表人：张东</w:t>
      </w:r>
    </w:p>
    <w:p w14:paraId="3A713689">
      <w:pPr>
        <w:pStyle w:val="186"/>
        <w:spacing w:line="360" w:lineRule="auto"/>
        <w:ind w:firstLine="480" w:firstLineChars="200"/>
        <w:rPr>
          <w:rFonts w:ascii="宋体" w:hAnsi="宋体"/>
          <w:sz w:val="24"/>
        </w:rPr>
      </w:pPr>
      <w:r>
        <w:rPr>
          <w:rFonts w:ascii="宋体" w:hAnsi="宋体"/>
          <w:sz w:val="24"/>
        </w:rPr>
        <w:t>成立时间：1998年7月13日</w:t>
      </w:r>
    </w:p>
    <w:p w14:paraId="64B815D4">
      <w:pPr>
        <w:pStyle w:val="186"/>
        <w:spacing w:line="360" w:lineRule="auto"/>
        <w:ind w:firstLine="480" w:firstLineChars="200"/>
        <w:rPr>
          <w:rFonts w:ascii="宋体" w:hAnsi="宋体"/>
          <w:sz w:val="24"/>
        </w:rPr>
      </w:pPr>
      <w:r>
        <w:rPr>
          <w:rFonts w:ascii="宋体" w:hAnsi="宋体"/>
          <w:sz w:val="24"/>
        </w:rPr>
        <w:t>批准设立机关：中国证券监督管理委员会</w:t>
      </w:r>
    </w:p>
    <w:p w14:paraId="38CBC124">
      <w:pPr>
        <w:pStyle w:val="186"/>
        <w:spacing w:line="360" w:lineRule="auto"/>
        <w:ind w:firstLine="480" w:firstLineChars="200"/>
        <w:rPr>
          <w:rFonts w:ascii="宋体" w:hAnsi="宋体"/>
          <w:sz w:val="24"/>
        </w:rPr>
      </w:pPr>
      <w:r>
        <w:rPr>
          <w:rFonts w:ascii="宋体" w:hAnsi="宋体"/>
          <w:sz w:val="24"/>
        </w:rPr>
        <w:t>批准设立文号：中国证监会证监基字【1998】26号</w:t>
      </w:r>
    </w:p>
    <w:p w14:paraId="025435E9">
      <w:pPr>
        <w:pStyle w:val="186"/>
        <w:spacing w:line="360" w:lineRule="auto"/>
        <w:ind w:firstLine="480" w:firstLineChars="200"/>
        <w:rPr>
          <w:rFonts w:ascii="宋体" w:hAnsi="宋体"/>
          <w:sz w:val="24"/>
        </w:rPr>
      </w:pPr>
      <w:r>
        <w:rPr>
          <w:rFonts w:ascii="宋体" w:hAnsi="宋体"/>
          <w:sz w:val="24"/>
        </w:rPr>
        <w:t>组织形式：有限责任公司</w:t>
      </w:r>
    </w:p>
    <w:p w14:paraId="15B2F7D3">
      <w:pPr>
        <w:pStyle w:val="186"/>
        <w:spacing w:line="360" w:lineRule="auto"/>
        <w:ind w:firstLine="480" w:firstLineChars="200"/>
        <w:rPr>
          <w:rFonts w:ascii="宋体" w:hAnsi="宋体"/>
          <w:sz w:val="24"/>
        </w:rPr>
      </w:pPr>
      <w:r>
        <w:rPr>
          <w:rFonts w:ascii="宋体" w:hAnsi="宋体"/>
          <w:sz w:val="24"/>
        </w:rPr>
        <w:t>注册资本：2.5亿元人民币</w:t>
      </w:r>
    </w:p>
    <w:p w14:paraId="0ABA645F">
      <w:pPr>
        <w:pStyle w:val="186"/>
        <w:spacing w:line="360" w:lineRule="auto"/>
        <w:ind w:firstLine="480" w:firstLineChars="200"/>
        <w:rPr>
          <w:rFonts w:ascii="宋体" w:hAnsi="宋体"/>
          <w:sz w:val="24"/>
        </w:rPr>
      </w:pPr>
      <w:r>
        <w:rPr>
          <w:rFonts w:ascii="宋体" w:hAnsi="宋体"/>
          <w:sz w:val="24"/>
        </w:rPr>
        <w:t>存续期间：持续经营</w:t>
      </w:r>
    </w:p>
    <w:p w14:paraId="3D894E63">
      <w:pPr>
        <w:pStyle w:val="186"/>
        <w:spacing w:line="360" w:lineRule="auto"/>
        <w:ind w:firstLine="480" w:firstLineChars="200"/>
        <w:rPr>
          <w:rFonts w:ascii="宋体"/>
          <w:sz w:val="24"/>
        </w:rPr>
      </w:pPr>
      <w:r>
        <w:rPr>
          <w:rFonts w:ascii="宋体" w:hAnsi="宋体"/>
          <w:sz w:val="24"/>
        </w:rPr>
        <w:t>经营范围：基金募集；基金销售；资产管理以及中国证监会许可的其它业务。</w:t>
      </w:r>
      <w:bookmarkStart w:id="10" w:name="_Toc77662993"/>
      <w:bookmarkStart w:id="11" w:name="_Toc22454434"/>
    </w:p>
    <w:p w14:paraId="64F812C2">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（二）基金托管人</w:t>
      </w:r>
      <w:bookmarkEnd w:id="10"/>
      <w:bookmarkEnd w:id="11"/>
    </w:p>
    <w:p w14:paraId="6F7A438F">
      <w:pPr>
        <w:pStyle w:val="186"/>
        <w:spacing w:line="360" w:lineRule="auto"/>
        <w:ind w:firstLine="480" w:firstLineChars="200"/>
        <w:rPr>
          <w:rFonts w:ascii="宋体"/>
          <w:sz w:val="24"/>
        </w:rPr>
      </w:pPr>
      <w:r>
        <w:rPr>
          <w:rFonts w:ascii="宋体" w:hAnsi="宋体"/>
          <w:sz w:val="24"/>
        </w:rPr>
        <w:t>名称：交通银行股份有限公司（简称：交通银行）</w:t>
      </w:r>
    </w:p>
    <w:p w14:paraId="1FE9937B">
      <w:pPr>
        <w:pStyle w:val="186"/>
        <w:spacing w:line="360" w:lineRule="auto"/>
        <w:ind w:firstLine="480" w:firstLineChars="200"/>
        <w:rPr>
          <w:rFonts w:ascii="宋体"/>
          <w:sz w:val="24"/>
        </w:rPr>
      </w:pPr>
      <w:r>
        <w:rPr>
          <w:rFonts w:ascii="宋体" w:hAnsi="宋体"/>
          <w:sz w:val="24"/>
        </w:rPr>
        <w:t>住所：中国（上海）自由贸易试验区银城中路188号（邮政编码：200120）</w:t>
      </w:r>
    </w:p>
    <w:p w14:paraId="2F28DC00">
      <w:pPr>
        <w:pStyle w:val="186"/>
        <w:spacing w:line="360" w:lineRule="auto"/>
        <w:ind w:firstLine="480" w:firstLineChars="200"/>
        <w:rPr>
          <w:rFonts w:ascii="宋体"/>
          <w:sz w:val="24"/>
        </w:rPr>
      </w:pPr>
      <w:r>
        <w:rPr>
          <w:rFonts w:ascii="宋体" w:hAnsi="宋体"/>
          <w:sz w:val="24"/>
        </w:rPr>
        <w:t>办公地址：上海市长宁区仙霞路18号（邮政编码：200336）</w:t>
      </w:r>
    </w:p>
    <w:p w14:paraId="351C6BF0">
      <w:pPr>
        <w:pStyle w:val="186"/>
        <w:spacing w:line="360" w:lineRule="auto"/>
        <w:ind w:firstLine="480" w:firstLineChars="200"/>
        <w:rPr>
          <w:rFonts w:ascii="宋体"/>
          <w:sz w:val="24"/>
        </w:rPr>
      </w:pPr>
      <w:r>
        <w:rPr>
          <w:rFonts w:ascii="宋体" w:hAnsi="宋体"/>
          <w:sz w:val="24"/>
        </w:rPr>
        <w:t>法定代表人：任德奇</w:t>
      </w:r>
    </w:p>
    <w:p w14:paraId="48420BC0">
      <w:pPr>
        <w:pStyle w:val="186"/>
        <w:spacing w:line="360" w:lineRule="auto"/>
        <w:ind w:firstLine="480" w:firstLineChars="200"/>
        <w:rPr>
          <w:rFonts w:ascii="宋体"/>
          <w:sz w:val="24"/>
        </w:rPr>
      </w:pPr>
      <w:r>
        <w:rPr>
          <w:rFonts w:ascii="宋体" w:hAnsi="宋体"/>
          <w:sz w:val="24"/>
        </w:rPr>
        <w:t>成立时间：1987年3月30日</w:t>
      </w:r>
    </w:p>
    <w:p w14:paraId="176C9D69">
      <w:pPr>
        <w:pStyle w:val="186"/>
        <w:spacing w:line="360" w:lineRule="auto"/>
        <w:ind w:firstLine="480" w:firstLineChars="200"/>
        <w:rPr>
          <w:rFonts w:ascii="宋体"/>
          <w:sz w:val="24"/>
        </w:rPr>
      </w:pPr>
      <w:r>
        <w:rPr>
          <w:rFonts w:ascii="宋体" w:hAnsi="宋体"/>
          <w:sz w:val="24"/>
        </w:rPr>
        <w:t>批准设立机关及批准设立文号：国务院国发(1986)字第81 号文和中国人民银行银发［1987］40号文</w:t>
      </w:r>
    </w:p>
    <w:p w14:paraId="7380DD7A">
      <w:pPr>
        <w:pStyle w:val="186"/>
        <w:spacing w:line="360" w:lineRule="auto"/>
        <w:ind w:firstLine="480" w:firstLineChars="200"/>
        <w:rPr>
          <w:rFonts w:ascii="宋体"/>
          <w:sz w:val="24"/>
        </w:rPr>
      </w:pPr>
      <w:r>
        <w:rPr>
          <w:rFonts w:ascii="宋体" w:hAnsi="宋体"/>
          <w:sz w:val="24"/>
        </w:rPr>
        <w:t>基金托管业务批准文号：中国证监会证监基字［1998］25号</w:t>
      </w:r>
    </w:p>
    <w:p w14:paraId="5FC90F44">
      <w:pPr>
        <w:pStyle w:val="186"/>
        <w:spacing w:line="360" w:lineRule="auto"/>
        <w:ind w:firstLine="480" w:firstLineChars="200"/>
        <w:rPr>
          <w:rFonts w:ascii="宋体"/>
          <w:sz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业务；提供保管箱服务；经国务院银行业监督管理机构批准的其他业务；经营结汇、售汇业务。</w:t>
      </w:r>
    </w:p>
    <w:p w14:paraId="4EE2DEA5">
      <w:pPr>
        <w:pStyle w:val="186"/>
        <w:spacing w:line="360" w:lineRule="auto"/>
        <w:ind w:firstLine="480" w:firstLineChars="200"/>
        <w:rPr>
          <w:rFonts w:ascii="宋体"/>
          <w:sz w:val="24"/>
        </w:rPr>
      </w:pPr>
      <w:r>
        <w:rPr>
          <w:rFonts w:ascii="宋体" w:hAnsi="宋体"/>
          <w:sz w:val="24"/>
        </w:rPr>
        <w:t>注册资本：</w:t>
      </w:r>
      <w:r>
        <w:rPr>
          <w:rFonts w:hint="eastAsia" w:ascii="宋体" w:hAnsi="宋体"/>
          <w:sz w:val="24"/>
        </w:rPr>
        <w:t>883.64</w:t>
      </w:r>
      <w:r>
        <w:rPr>
          <w:rFonts w:ascii="宋体" w:hAnsi="宋体"/>
          <w:sz w:val="24"/>
        </w:rPr>
        <w:t>亿元人民币</w:t>
      </w:r>
    </w:p>
    <w:p w14:paraId="587D0661">
      <w:pPr>
        <w:pStyle w:val="186"/>
        <w:spacing w:line="360" w:lineRule="auto"/>
        <w:ind w:firstLine="480" w:firstLineChars="200"/>
        <w:rPr>
          <w:rFonts w:ascii="宋体"/>
          <w:sz w:val="24"/>
        </w:rPr>
      </w:pPr>
      <w:r>
        <w:rPr>
          <w:rFonts w:ascii="宋体" w:hAnsi="宋体"/>
          <w:sz w:val="24"/>
        </w:rPr>
        <w:t>组织形式：股份有限公司</w:t>
      </w:r>
    </w:p>
    <w:p w14:paraId="4390573F">
      <w:pPr>
        <w:pStyle w:val="186"/>
        <w:spacing w:line="360" w:lineRule="auto"/>
        <w:ind w:firstLine="480" w:firstLineChars="200"/>
        <w:rPr>
          <w:rFonts w:ascii="宋体"/>
          <w:sz w:val="24"/>
        </w:rPr>
      </w:pPr>
      <w:r>
        <w:rPr>
          <w:rFonts w:ascii="宋体" w:hAnsi="宋体"/>
          <w:sz w:val="24"/>
        </w:rPr>
        <w:t>存续期间：持续经营</w:t>
      </w:r>
    </w:p>
    <w:p w14:paraId="40B38372">
      <w:pPr>
        <w:pStyle w:val="187"/>
      </w:pPr>
      <w:bookmarkStart w:id="12" w:name="_Toc523829993"/>
      <w:bookmarkStart w:id="13" w:name="_Toc22454435"/>
      <w:bookmarkStart w:id="14" w:name="_Toc466788852"/>
      <w:bookmarkStart w:id="15" w:name="_Toc65162001"/>
      <w:bookmarkStart w:id="16" w:name="_Toc125892438"/>
      <w:r>
        <w:t>二、基金托管协议的依据、目的和原则</w:t>
      </w:r>
      <w:bookmarkEnd w:id="12"/>
      <w:bookmarkEnd w:id="13"/>
      <w:bookmarkEnd w:id="14"/>
      <w:bookmarkEnd w:id="15"/>
      <w:bookmarkEnd w:id="16"/>
    </w:p>
    <w:p w14:paraId="30FB7781">
      <w:pPr>
        <w:pStyle w:val="186"/>
        <w:spacing w:line="360" w:lineRule="auto"/>
        <w:ind w:firstLine="480" w:firstLineChars="200"/>
        <w:rPr>
          <w:rFonts w:ascii="宋体"/>
          <w:sz w:val="24"/>
        </w:rPr>
      </w:pPr>
      <w:r>
        <w:rPr>
          <w:rFonts w:ascii="宋体" w:hAnsi="宋体"/>
          <w:sz w:val="24"/>
        </w:rPr>
        <w:t>本协议依据《中华人民共和国证券投资基金法》（以下简称《基金法》）、《公开募集证券投资基金销售机构监督管理办法》（以下简称《销售办法》）、《公开募集证券投资基金运作管理办法》（以下简称《运作办法》）、《公开募集证券投资基金信息披露管理办法》（以下简称《信息披露办法》）、《公开募集开放式证券投资基金流动性风险管理规定》(以下简称《流动性风险管理规定》)、《博时</w:t>
      </w:r>
      <w:r>
        <w:rPr>
          <w:rFonts w:hint="eastAsia" w:ascii="宋体" w:hAnsi="宋体"/>
          <w:sz w:val="24"/>
          <w:lang w:eastAsia="zh-CN"/>
        </w:rPr>
        <w:t>国证储能电池</w:t>
      </w:r>
      <w:r>
        <w:rPr>
          <w:rFonts w:ascii="宋体" w:hAnsi="宋体"/>
          <w:sz w:val="24"/>
        </w:rPr>
        <w:t>指数型证券投资基金基金合同》（以下简称《基金合同》）及其他有关规定订立。</w:t>
      </w:r>
    </w:p>
    <w:p w14:paraId="57452DFB">
      <w:pPr>
        <w:pStyle w:val="186"/>
        <w:spacing w:line="360" w:lineRule="auto"/>
        <w:ind w:firstLine="480" w:firstLineChars="200"/>
        <w:rPr>
          <w:rFonts w:ascii="宋体"/>
          <w:sz w:val="24"/>
        </w:rPr>
      </w:pPr>
      <w:r>
        <w:rPr>
          <w:rFonts w:ascii="宋体" w:hAnsi="宋体"/>
          <w:sz w:val="24"/>
        </w:rPr>
        <w:t>本协议的目的是明确基金管理人和基金托管人之间在基金财产的保管、投资运作、净值计算、收益分配、信息披露及相互监督等有关事宜中的权利、义务及职责，以确保基金财产的安全，保护基金份额持有人的合法权益。</w:t>
      </w:r>
    </w:p>
    <w:p w14:paraId="5D3DAC15">
      <w:pPr>
        <w:pStyle w:val="186"/>
        <w:spacing w:line="360" w:lineRule="auto"/>
        <w:ind w:firstLine="480" w:firstLineChars="200"/>
        <w:rPr>
          <w:rFonts w:ascii="宋体"/>
          <w:sz w:val="24"/>
        </w:rPr>
      </w:pPr>
      <w:r>
        <w:rPr>
          <w:rFonts w:ascii="宋体" w:hAnsi="宋体"/>
          <w:sz w:val="24"/>
        </w:rPr>
        <w:t>基金管理人和基金托管人遵循平等自愿、诚实信用、充分保护投资者合法利益的原则，经协商一致，签订本协议。</w:t>
      </w:r>
    </w:p>
    <w:p w14:paraId="12DD9DDF">
      <w:pPr>
        <w:pStyle w:val="187"/>
        <w:rPr>
          <w:rFonts w:hAnsi="宋体"/>
          <w:b w:val="0"/>
          <w:bCs/>
        </w:rPr>
      </w:pPr>
      <w:bookmarkStart w:id="17" w:name="_Toc466788853"/>
      <w:bookmarkStart w:id="18" w:name="_Toc125892439"/>
      <w:bookmarkStart w:id="19" w:name="_Toc523829994"/>
      <w:bookmarkStart w:id="20" w:name="_Toc65162002"/>
      <w:bookmarkStart w:id="21" w:name="_Toc22454436"/>
      <w:r>
        <w:t>三、基金托管人对基金管理人</w:t>
      </w:r>
      <w:bookmarkEnd w:id="17"/>
      <w:r>
        <w:t>的业务监督和核查</w:t>
      </w:r>
      <w:bookmarkEnd w:id="18"/>
      <w:bookmarkEnd w:id="19"/>
      <w:bookmarkEnd w:id="20"/>
      <w:bookmarkEnd w:id="21"/>
    </w:p>
    <w:p w14:paraId="53A01E73">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（一）基金托管人对基金管理人的投资行为行使监督权</w:t>
      </w:r>
    </w:p>
    <w:p w14:paraId="0B2F21B9">
      <w:pPr>
        <w:pStyle w:val="186"/>
        <w:tabs>
          <w:tab w:val="left" w:pos="3780"/>
        </w:tabs>
        <w:autoSpaceDE w:val="0"/>
        <w:autoSpaceDN w:val="0"/>
        <w:spacing w:before="156" w:after="156" w:line="360" w:lineRule="auto"/>
        <w:ind w:firstLine="470" w:firstLineChars="196"/>
        <w:outlineLvl w:val="0"/>
        <w:rPr>
          <w:rFonts w:ascii="宋体"/>
          <w:b/>
          <w:bCs/>
          <w:sz w:val="24"/>
        </w:rPr>
      </w:pPr>
      <w:r>
        <w:rPr>
          <w:rFonts w:ascii="宋体" w:hAnsi="宋体"/>
          <w:b/>
          <w:bCs/>
          <w:sz w:val="24"/>
        </w:rPr>
        <w:t>1.基金托管人根据有关法律法规的规定及《基金合同》和本协议的约定，对基金的投资范围、投资对象进行监督。</w:t>
      </w:r>
    </w:p>
    <w:p w14:paraId="73DCA461">
      <w:pPr>
        <w:pStyle w:val="186"/>
        <w:spacing w:line="360" w:lineRule="auto"/>
        <w:ind w:firstLine="480" w:firstLineChars="200"/>
        <w:rPr>
          <w:rFonts w:ascii="宋体" w:hAnsi="宋体"/>
          <w:sz w:val="24"/>
        </w:rPr>
      </w:pPr>
      <w:r>
        <w:rPr>
          <w:rFonts w:ascii="宋体" w:hAnsi="宋体"/>
          <w:sz w:val="24"/>
        </w:rPr>
        <w:t xml:space="preserve">本基金的投资范围如下：本基金主要投资于标的指数成份股和备选成份股（含存托凭证）。 </w:t>
      </w:r>
    </w:p>
    <w:p w14:paraId="0F1C8EF2">
      <w:pPr>
        <w:pStyle w:val="186"/>
        <w:spacing w:line="360" w:lineRule="auto"/>
        <w:ind w:firstLine="480" w:firstLineChars="200"/>
        <w:rPr>
          <w:rFonts w:ascii="宋体" w:hAnsi="宋体"/>
          <w:sz w:val="24"/>
        </w:rPr>
      </w:pPr>
      <w:r>
        <w:rPr>
          <w:rFonts w:ascii="宋体" w:hAnsi="宋体"/>
          <w:sz w:val="24"/>
        </w:rPr>
        <w:t xml:space="preserve">为更好地实现基金的投资目标，本基金可能会少量投资于依法发行上市的非成份股（包括创业板及其他经中国证监会核准或注册上市的股票、存托凭证）、债券（包括国债、金融债、地方政府债、政府支持机构债券、企业债、公司债、公开发行的次级债、可转换债券（含分离交易可转债的纯债部分）、可交换债券、央行票据、短期融资券、超短期融资券、中期票据等）、资产支持证券、衍生工具（包括股指期货、国债期货、股票期权）、债券回购、货币市场工具（包括银行存款、同业存单等）以及法律法规或中国证监会允许基金投资的其他金融工具（但须符合中国证监会的相关规定）。 </w:t>
      </w:r>
    </w:p>
    <w:p w14:paraId="5B91A0B8">
      <w:pPr>
        <w:pStyle w:val="186"/>
        <w:spacing w:line="360" w:lineRule="auto"/>
        <w:ind w:firstLine="480" w:firstLineChars="200"/>
        <w:rPr>
          <w:rFonts w:ascii="宋体" w:hAnsi="宋体"/>
          <w:sz w:val="24"/>
        </w:rPr>
      </w:pPr>
      <w:r>
        <w:rPr>
          <w:rFonts w:ascii="宋体" w:hAnsi="宋体"/>
          <w:sz w:val="24"/>
        </w:rPr>
        <w:t xml:space="preserve">本基金可根据法律法规的规定参与融资及转融通证券出借业务。未来在法律法规允许的前提下，本基金可根据相关法律法规规定参与融券业务。 </w:t>
      </w:r>
    </w:p>
    <w:p w14:paraId="51884FD6">
      <w:pPr>
        <w:pStyle w:val="186"/>
        <w:spacing w:line="360" w:lineRule="auto"/>
        <w:ind w:firstLine="480" w:firstLineChars="200"/>
        <w:rPr>
          <w:rFonts w:ascii="宋体" w:hAnsi="宋体"/>
          <w:sz w:val="24"/>
        </w:rPr>
      </w:pPr>
      <w:r>
        <w:rPr>
          <w:rFonts w:ascii="宋体" w:hAnsi="宋体"/>
          <w:sz w:val="24"/>
        </w:rPr>
        <w:t xml:space="preserve">本基金根据相关法律法规或中国证监会要求履行适当程序后，还可以投资于法律法规或中国证监会未来允许基金投资的其他金融工具。 </w:t>
      </w:r>
    </w:p>
    <w:p w14:paraId="6CDB63A7">
      <w:pPr>
        <w:pStyle w:val="186"/>
        <w:spacing w:line="360" w:lineRule="auto"/>
        <w:ind w:firstLine="480" w:firstLineChars="200"/>
        <w:rPr>
          <w:rFonts w:ascii="宋体" w:hAnsi="宋体"/>
          <w:sz w:val="24"/>
        </w:rPr>
      </w:pPr>
      <w:r>
        <w:rPr>
          <w:rFonts w:ascii="宋体" w:hAnsi="宋体"/>
          <w:sz w:val="24"/>
        </w:rPr>
        <w:t xml:space="preserve">本基金的股票资产投资比例不低于基金资产的90%，其中投资于标的指数成份股和备选成份股的资产不低于非现金基金资产的80%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52D1C0F0">
      <w:pPr>
        <w:pStyle w:val="186"/>
        <w:spacing w:line="360" w:lineRule="auto"/>
        <w:ind w:firstLine="480" w:firstLineChars="200"/>
        <w:rPr>
          <w:bCs/>
        </w:rPr>
      </w:pPr>
      <w:r>
        <w:rPr>
          <w:rFonts w:ascii="宋体" w:hAnsi="宋体"/>
          <w:sz w:val="24"/>
        </w:rPr>
        <w:t>若法律法规的相关规定发生变更或监管机构允许，本基金管理人在履行适当程序后，可对上述资产配置比例进行调整。</w:t>
      </w:r>
    </w:p>
    <w:p w14:paraId="6B1E63F3">
      <w:pPr>
        <w:pStyle w:val="186"/>
        <w:tabs>
          <w:tab w:val="left" w:pos="3780"/>
        </w:tabs>
        <w:autoSpaceDE w:val="0"/>
        <w:autoSpaceDN w:val="0"/>
        <w:spacing w:before="156" w:after="156" w:line="360" w:lineRule="auto"/>
        <w:ind w:firstLine="352" w:firstLineChars="147"/>
        <w:outlineLvl w:val="0"/>
        <w:rPr>
          <w:rFonts w:ascii="宋体"/>
          <w:b/>
          <w:bCs/>
          <w:sz w:val="24"/>
        </w:rPr>
      </w:pPr>
      <w:r>
        <w:rPr>
          <w:rFonts w:ascii="宋体" w:hAnsi="宋体"/>
          <w:b/>
          <w:bCs/>
          <w:sz w:val="24"/>
        </w:rPr>
        <w:t>2.基金托管人根据有关法律法规的规定及《基金合同》和本协议的约定，对基金投资、融资比例进行监督。</w:t>
      </w:r>
    </w:p>
    <w:p w14:paraId="10A269B0">
      <w:pPr>
        <w:pStyle w:val="186"/>
        <w:tabs>
          <w:tab w:val="left" w:pos="1260"/>
        </w:tabs>
        <w:spacing w:line="336" w:lineRule="auto"/>
        <w:ind w:firstLine="480" w:firstLineChars="200"/>
        <w:rPr>
          <w:rFonts w:ascii="宋体"/>
          <w:sz w:val="24"/>
        </w:rPr>
      </w:pPr>
      <w:r>
        <w:rPr>
          <w:rFonts w:ascii="宋体" w:hAnsi="宋体"/>
          <w:sz w:val="24"/>
        </w:rPr>
        <w:t>根据《基金合同》的约定，本基金投资组合比例应符合以下规定：</w:t>
      </w:r>
    </w:p>
    <w:p w14:paraId="69D1F32A">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（1）本基金的股票资产投资比例不低于基金资产的90%，其中投资于标的指数成份股和备选成份股的资产不低于非现金基金资产的80%；  </w:t>
      </w:r>
    </w:p>
    <w:p w14:paraId="5D437D28">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69CF3BB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（3）本基金持有一家公司发行的证券，其市值不超过基金资产净值的10%，但完全按照标的指数的构成比例进行投资的部分不受此限制；  </w:t>
      </w:r>
    </w:p>
    <w:p w14:paraId="241BDD79">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（4）本基金管理人管理的全部基金持有一家公司发行的证券，不超过该证券的10%，但完全按照标的指数的构成比例进行投资的部分不受此限制；  </w:t>
      </w:r>
    </w:p>
    <w:p w14:paraId="24005C49">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（5）本基金资产总值不得超过基金资产净值的140%；  </w:t>
      </w:r>
    </w:p>
    <w:p w14:paraId="5D6E710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（6）本基金投资于同一原始权益人的各类资产支持证券的比例，不得超过基金资产净值的10%；  </w:t>
      </w:r>
    </w:p>
    <w:p w14:paraId="77ADE0F1">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（7）本基金持有的全部资产支持证券，其市值不得超过基金资产净值的20%；  </w:t>
      </w:r>
    </w:p>
    <w:p w14:paraId="1B7EF31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（8）本基金持有的同一(指同一信用级别)资产支持证券的比例，不得超过该资产支持证券规模的10%；  </w:t>
      </w:r>
    </w:p>
    <w:p w14:paraId="44230F31">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（9）本基金管理人管理的全部基金投资于同一原始权益人的各类资产支持证券，不得超过其各类资产支持证券合计规模的10%；  </w:t>
      </w:r>
    </w:p>
    <w:p w14:paraId="2CDB59AE">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（10）本基金应投资于信用级别评级为BBB以上(含BBB)的资产支持证券。基金持有资产支持证券期间，如果其信用等级下降、不再符合投资标准，应在评级报告发布之日起3个月内予以全部卖出；  </w:t>
      </w:r>
    </w:p>
    <w:p w14:paraId="77715CA7">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（11）基金财产参与股票发行申购，本基金所申报的金额不超过本基金的总资产，本基金所申报的股票数量不超过拟发行股票公司本次发行股票的总量；  </w:t>
      </w:r>
    </w:p>
    <w:p w14:paraId="1C62E3D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（12）本基金参与融资的，在任何交易日日终，本基金融资买入股票与其他有价证券市值之和，不得超过基金资产净值的95%；  </w:t>
      </w:r>
    </w:p>
    <w:p w14:paraId="5CBE2F8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（13）本基金投资于股指期货和国债期货，还应遵循如下投资组合限制：  </w:t>
      </w:r>
    </w:p>
    <w:p w14:paraId="7F42C435">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1）在任何交易日日终，本基金持有的买入股指期货合约价值不超过基金资产净值的10%；在任何交易日日终，持有的买入国债期货合约价值，不得超过基金资产净值15%； </w:t>
      </w:r>
    </w:p>
    <w:p w14:paraId="2906F0D9">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2）在任何交易日日终，持有的卖出股指期货合约价值不超过基金持有的股票总市值的20%；在任何交易日日终，持有的卖出国债期货合约价值不得超过基金持有的债券总市值的30%； </w:t>
      </w:r>
    </w:p>
    <w:p w14:paraId="35AE55EF">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19203093">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032D3585">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7E041884">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（14）本基金投资于股票期权，还应遵循如下投资组合限制：  </w:t>
      </w:r>
    </w:p>
    <w:p w14:paraId="68692747">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1）因未平仓的期权合约支付和收取的权利金总额不得超过基金资产净值的10%； </w:t>
      </w:r>
    </w:p>
    <w:p w14:paraId="094DACE5">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2）开仓卖出认购期权的，应持有足额标的证券；开仓卖出认沽期权的，应持有合约行权所需的全额现金或交易所规则认可的可冲抵期权保证金的现金等价物； </w:t>
      </w:r>
    </w:p>
    <w:p w14:paraId="69F64EB6">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3）未平仓的期权合约面值不得超过基金资产净值的20%。其中，合约面值按照行权价乘以合约乘数计算； </w:t>
      </w:r>
    </w:p>
    <w:p w14:paraId="2F8D725D">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（15）本基金参与转融通证券出借业务，需遵守下列投资限制：  </w:t>
      </w:r>
    </w:p>
    <w:p w14:paraId="4F57C94D">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1）出借证券资产不得超过基金资产净值的30%，出借期限在10 个交易日以上的出借证券应纳入《流动性风险管理规定》所述流动性受限证券的范围； </w:t>
      </w:r>
    </w:p>
    <w:p w14:paraId="1C6205D2">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2）参与出借业务的单只证券不得超过本基金持有该证券总量的50%； </w:t>
      </w:r>
    </w:p>
    <w:p w14:paraId="5A6A6801">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3）最近6个月内日均基金资产净值不得低于2亿元； </w:t>
      </w:r>
    </w:p>
    <w:p w14:paraId="043F18D8">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4）证券出借的平均剩余期限不得超过30天，平均剩余期限按照市值加权平均计算； </w:t>
      </w:r>
    </w:p>
    <w:p w14:paraId="64CBE65D">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因证券市场波动、上市公司合并、基金规模变动等基金管理人之外的因素致使基金投资不符合上述规定的，基金管理人不得新增出借业务； </w:t>
      </w:r>
    </w:p>
    <w:p w14:paraId="156864D1">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（16）本基金主动投资于流动性受限资产的市值合计不得超过本基金资产净值的15%；  </w:t>
      </w:r>
    </w:p>
    <w:p w14:paraId="606D4B04">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因证券市场波动、上市公司股票停牌、基金规模变动等基金管理人之外的因素致使基金不符合该比例限制的，基金管理人不得主动新增流动性受限资产的投资； </w:t>
      </w:r>
    </w:p>
    <w:p w14:paraId="11A0CE81">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（17）本基金与私募类证券资管产品及中国证监会认定的其他主体为交易对手开展逆回购交易的，可接受质押品的资质要求应当与基金合同约定的投资范围保持一致；  </w:t>
      </w:r>
    </w:p>
    <w:p w14:paraId="02F5DD63">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（18）本基金投资存托凭证的比例限制依照境内上市交易的股票执行，与境内上市交易的股票合并计算；  </w:t>
      </w:r>
    </w:p>
    <w:p w14:paraId="1973ED9F">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（19）相关法律法规以及监管部门规定的和基金合同约定的其它投资比例限制。  </w:t>
      </w:r>
    </w:p>
    <w:p w14:paraId="1FF120D1">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除上述第（2）、（10）、（15）、（16）、（17）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  </w:t>
      </w:r>
    </w:p>
    <w:p w14:paraId="12C47CDD">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4699CB7">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 xml:space="preserve">法律法规或监管部门取消或变更上述限制，如适用于本基金，基金管理人在履行适当程序后，则本基金投资不再受相关限制，或以变更后的规定为准。 </w:t>
      </w:r>
    </w:p>
    <w:p w14:paraId="16C65E1A">
      <w:pPr>
        <w:pStyle w:val="186"/>
        <w:tabs>
          <w:tab w:val="left" w:pos="1260"/>
        </w:tabs>
        <w:spacing w:line="336" w:lineRule="auto"/>
        <w:ind w:firstLine="480" w:firstLineChars="200"/>
        <w:rPr>
          <w:rFonts w:ascii="宋体" w:hAnsi="宋体"/>
          <w:color w:val="000000"/>
          <w:sz w:val="24"/>
        </w:rPr>
      </w:pPr>
      <w:r>
        <w:rPr>
          <w:rFonts w:ascii="宋体" w:hAnsi="宋体"/>
          <w:color w:val="000000"/>
          <w:sz w:val="24"/>
        </w:rPr>
        <w:t>基金托管人依照上述规定对本基金的投资组合限制及调整期限进行监督。</w:t>
      </w:r>
    </w:p>
    <w:p w14:paraId="56B9A00E">
      <w:pPr>
        <w:pStyle w:val="186"/>
        <w:spacing w:line="360" w:lineRule="auto"/>
        <w:ind w:firstLine="480" w:firstLineChars="200"/>
        <w:rPr>
          <w:rFonts w:ascii="宋体"/>
          <w:b/>
          <w:bCs/>
          <w:sz w:val="24"/>
        </w:rPr>
      </w:pPr>
      <w:r>
        <w:rPr>
          <w:rFonts w:ascii="宋体" w:hAnsi="宋体"/>
          <w:b/>
          <w:bCs/>
          <w:sz w:val="24"/>
        </w:rPr>
        <w:t>3.基金托管人</w:t>
      </w:r>
      <w:bookmarkStart w:id="22" w:name="OLE_LINK1"/>
      <w:r>
        <w:rPr>
          <w:rFonts w:ascii="宋体" w:hAnsi="宋体"/>
          <w:b/>
          <w:bCs/>
          <w:sz w:val="24"/>
        </w:rPr>
        <w:t>根据有关法律法规的规定及基金合同和本协议的约定，</w:t>
      </w:r>
      <w:bookmarkEnd w:id="22"/>
      <w:r>
        <w:rPr>
          <w:rFonts w:ascii="宋体" w:hAnsi="宋体"/>
          <w:b/>
          <w:bCs/>
          <w:sz w:val="24"/>
        </w:rPr>
        <w:t>对基金投资禁止行为进行监督。基金财产不得用于下列投资或者活动。</w:t>
      </w:r>
    </w:p>
    <w:p w14:paraId="6CF53A0B">
      <w:pPr>
        <w:pStyle w:val="186"/>
        <w:tabs>
          <w:tab w:val="left" w:pos="1260"/>
        </w:tabs>
        <w:spacing w:line="360" w:lineRule="auto"/>
        <w:ind w:firstLine="480" w:firstLineChars="200"/>
        <w:rPr>
          <w:rFonts w:ascii="宋体" w:hAnsi="宋体"/>
          <w:sz w:val="24"/>
        </w:rPr>
      </w:pPr>
      <w:r>
        <w:rPr>
          <w:rFonts w:ascii="宋体" w:hAnsi="宋体"/>
          <w:sz w:val="24"/>
        </w:rPr>
        <w:t>（1）承销证券；</w:t>
      </w:r>
    </w:p>
    <w:p w14:paraId="1795A81C">
      <w:pPr>
        <w:pStyle w:val="186"/>
        <w:tabs>
          <w:tab w:val="left" w:pos="1260"/>
        </w:tabs>
        <w:spacing w:line="360" w:lineRule="auto"/>
        <w:ind w:firstLine="480" w:firstLineChars="200"/>
        <w:rPr>
          <w:rFonts w:ascii="宋体" w:hAnsi="宋体"/>
          <w:sz w:val="24"/>
        </w:rPr>
      </w:pPr>
      <w:r>
        <w:rPr>
          <w:rFonts w:ascii="宋体" w:hAnsi="宋体"/>
          <w:sz w:val="24"/>
        </w:rPr>
        <w:t>（2）违反规定向他人贷款或者提供担保；</w:t>
      </w:r>
    </w:p>
    <w:p w14:paraId="443BC827">
      <w:pPr>
        <w:pStyle w:val="186"/>
        <w:tabs>
          <w:tab w:val="left" w:pos="1260"/>
        </w:tabs>
        <w:spacing w:line="360" w:lineRule="auto"/>
        <w:ind w:firstLine="480" w:firstLineChars="200"/>
        <w:rPr>
          <w:rFonts w:ascii="宋体" w:hAnsi="宋体"/>
          <w:sz w:val="24"/>
        </w:rPr>
      </w:pPr>
      <w:r>
        <w:rPr>
          <w:rFonts w:ascii="宋体" w:hAnsi="宋体"/>
          <w:sz w:val="24"/>
        </w:rPr>
        <w:t>（3）从事承担无限责任的投资；</w:t>
      </w:r>
    </w:p>
    <w:p w14:paraId="16ACD3C6">
      <w:pPr>
        <w:pStyle w:val="186"/>
        <w:tabs>
          <w:tab w:val="left" w:pos="1260"/>
        </w:tabs>
        <w:spacing w:line="360" w:lineRule="auto"/>
        <w:ind w:firstLine="480" w:firstLineChars="200"/>
        <w:rPr>
          <w:rFonts w:ascii="宋体" w:hAnsi="宋体"/>
          <w:sz w:val="24"/>
        </w:rPr>
      </w:pPr>
      <w:r>
        <w:rPr>
          <w:rFonts w:ascii="宋体" w:hAnsi="宋体"/>
          <w:sz w:val="24"/>
        </w:rPr>
        <w:t>（4）买卖其他基金份额，但是中国证监会另有规定的除外；</w:t>
      </w:r>
    </w:p>
    <w:p w14:paraId="369F5142">
      <w:pPr>
        <w:pStyle w:val="186"/>
        <w:tabs>
          <w:tab w:val="left" w:pos="1260"/>
        </w:tabs>
        <w:spacing w:line="360" w:lineRule="auto"/>
        <w:ind w:firstLine="480" w:firstLineChars="200"/>
        <w:rPr>
          <w:rFonts w:ascii="宋体" w:hAnsi="宋体"/>
          <w:sz w:val="24"/>
        </w:rPr>
      </w:pPr>
      <w:r>
        <w:rPr>
          <w:rFonts w:ascii="宋体" w:hAnsi="宋体"/>
          <w:sz w:val="24"/>
        </w:rPr>
        <w:t>（5）向其基金管理人、基金托管人出资；</w:t>
      </w:r>
    </w:p>
    <w:p w14:paraId="7E27022B">
      <w:pPr>
        <w:pStyle w:val="186"/>
        <w:tabs>
          <w:tab w:val="left" w:pos="1260"/>
        </w:tabs>
        <w:spacing w:line="360" w:lineRule="auto"/>
        <w:ind w:firstLine="480" w:firstLineChars="200"/>
        <w:rPr>
          <w:rFonts w:ascii="宋体" w:hAnsi="宋体"/>
          <w:sz w:val="24"/>
        </w:rPr>
      </w:pPr>
      <w:r>
        <w:rPr>
          <w:rFonts w:ascii="宋体" w:hAnsi="宋体"/>
          <w:sz w:val="24"/>
        </w:rPr>
        <w:t>（6）从事内幕交易、操纵证券交易价格及其他不正当的证券交易活动；</w:t>
      </w:r>
    </w:p>
    <w:p w14:paraId="133FD029">
      <w:pPr>
        <w:pStyle w:val="186"/>
        <w:tabs>
          <w:tab w:val="left" w:pos="1260"/>
        </w:tabs>
        <w:spacing w:line="360" w:lineRule="auto"/>
        <w:ind w:firstLine="480" w:firstLineChars="200"/>
        <w:rPr>
          <w:rFonts w:ascii="宋体" w:hAnsi="宋体"/>
          <w:sz w:val="24"/>
        </w:rPr>
      </w:pPr>
      <w:r>
        <w:rPr>
          <w:rFonts w:ascii="宋体" w:hAnsi="宋体"/>
          <w:sz w:val="24"/>
        </w:rPr>
        <w:t>（7）法律、行政法规和中国证监会规定禁止的其他活动。</w:t>
      </w:r>
    </w:p>
    <w:p w14:paraId="2CD25B5B">
      <w:pPr>
        <w:pStyle w:val="186"/>
        <w:tabs>
          <w:tab w:val="left" w:pos="1260"/>
        </w:tabs>
        <w:spacing w:line="360" w:lineRule="auto"/>
        <w:ind w:firstLine="480" w:firstLineChars="200"/>
        <w:rPr>
          <w:rFonts w:ascii="宋体" w:hAnsi="宋体"/>
          <w:sz w:val="24"/>
        </w:rPr>
      </w:pPr>
      <w:r>
        <w:rPr>
          <w:rFonts w:ascii="宋体" w:hAnsi="宋体"/>
          <w:sz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5751D3F9">
      <w:pPr>
        <w:pStyle w:val="186"/>
        <w:tabs>
          <w:tab w:val="left" w:pos="3780"/>
        </w:tabs>
        <w:autoSpaceDE w:val="0"/>
        <w:autoSpaceDN w:val="0"/>
        <w:spacing w:before="156" w:after="156" w:line="360" w:lineRule="auto"/>
        <w:outlineLvl w:val="0"/>
        <w:rPr>
          <w:rFonts w:ascii="宋体" w:hAnsi="宋体"/>
          <w:b/>
          <w:bCs/>
          <w:sz w:val="24"/>
        </w:rPr>
      </w:pPr>
      <w:r>
        <w:rPr>
          <w:rFonts w:ascii="宋体" w:hAnsi="宋体"/>
          <w:sz w:val="24"/>
        </w:rPr>
        <w:t>法律、行政法规或监管部门变更或取消上述规定，在履行适当程序后，本基金可按变更后的规定执行或不受上述规定的限制。</w:t>
      </w:r>
      <w:bookmarkStart w:id="23" w:name="OLE_LINK2"/>
      <w:bookmarkStart w:id="24" w:name="OLE_LINK4"/>
    </w:p>
    <w:p w14:paraId="54CB53E9">
      <w:pPr>
        <w:pStyle w:val="186"/>
        <w:tabs>
          <w:tab w:val="left" w:pos="3780"/>
        </w:tabs>
        <w:autoSpaceDE w:val="0"/>
        <w:autoSpaceDN w:val="0"/>
        <w:spacing w:before="156" w:after="156" w:line="360" w:lineRule="auto"/>
        <w:ind w:firstLine="480" w:firstLineChars="200"/>
        <w:outlineLvl w:val="0"/>
        <w:rPr>
          <w:rFonts w:ascii="宋体"/>
          <w:b/>
          <w:bCs/>
          <w:sz w:val="24"/>
        </w:rPr>
      </w:pPr>
      <w:r>
        <w:rPr>
          <w:rFonts w:ascii="宋体" w:hAnsi="宋体"/>
          <w:b/>
          <w:bCs/>
          <w:sz w:val="24"/>
        </w:rPr>
        <w:t>4.基金托管人根据有关法律法规的规定及基金合同和本协议的约定，对基金管理人参与银行间债券市场进行监督。</w:t>
      </w:r>
    </w:p>
    <w:bookmarkEnd w:id="23"/>
    <w:bookmarkEnd w:id="24"/>
    <w:p w14:paraId="6F08664F">
      <w:pPr>
        <w:pStyle w:val="186"/>
        <w:tabs>
          <w:tab w:val="left" w:pos="1260"/>
        </w:tabs>
        <w:spacing w:line="360" w:lineRule="auto"/>
        <w:ind w:firstLine="480" w:firstLineChars="200"/>
        <w:rPr>
          <w:rFonts w:ascii="宋体"/>
          <w:sz w:val="24"/>
        </w:rPr>
      </w:pPr>
      <w:r>
        <w:rPr>
          <w:rFonts w:ascii="宋体" w:hAnsi="宋体"/>
          <w:sz w:val="24"/>
        </w:rPr>
        <w:t>（1）基金托管人依据有关法律法规的规定和《基金合同》的约定对于基金管理人参与银行间市场交易时面临的交易对手资信风险进行监督。</w:t>
      </w:r>
    </w:p>
    <w:p w14:paraId="65306768">
      <w:pPr>
        <w:pStyle w:val="186"/>
        <w:tabs>
          <w:tab w:val="left" w:pos="1260"/>
        </w:tabs>
        <w:spacing w:line="360" w:lineRule="auto"/>
        <w:ind w:firstLine="480" w:firstLineChars="200"/>
        <w:rPr>
          <w:rFonts w:ascii="宋体" w:hAnsi="宋体"/>
          <w:sz w:val="24"/>
        </w:rPr>
      </w:pPr>
      <w:r>
        <w:rPr>
          <w:rFonts w:ascii="宋体" w:hAnsi="宋体"/>
          <w:sz w:val="24"/>
        </w:rPr>
        <w:t>基金管理人应向基金托管人提供符合法律法规及行业标准的银行间市场交易对手的名单。基金托管人在收到名单后2个工作日内电话或回函确认收到该名单。基金管理人应定期和不定期对银行间市场现券及回购交易对手的名单进行更新。基金托管人在收到名单后2个工作日内电话或书面回函确认，新名单自基金托管人确认当日生效。新名单生效前已与本次剔除的交易对手所进行但尚未结算的交易，仍应按照协议进行结算。</w:t>
      </w:r>
    </w:p>
    <w:p w14:paraId="4F251485">
      <w:pPr>
        <w:pStyle w:val="186"/>
        <w:tabs>
          <w:tab w:val="left" w:pos="1260"/>
        </w:tabs>
        <w:spacing w:line="360" w:lineRule="auto"/>
        <w:ind w:firstLine="480" w:firstLineChars="200"/>
        <w:rPr>
          <w:rFonts w:ascii="宋体"/>
          <w:sz w:val="24"/>
        </w:rPr>
      </w:pPr>
      <w:r>
        <w:rPr>
          <w:rFonts w:ascii="宋体" w:hAnsi="宋体"/>
          <w:sz w:val="24"/>
        </w:rPr>
        <w:t>（2）基金管理人参与银行间市场交易时，有责任控制交易对手的资信风险，由于交易对手资信风险引起的损失</w:t>
      </w:r>
      <w:r>
        <w:rPr>
          <w:rFonts w:ascii="宋体"/>
          <w:sz w:val="24"/>
        </w:rPr>
        <w:t>,</w:t>
      </w:r>
      <w:r>
        <w:rPr>
          <w:rFonts w:ascii="宋体" w:hAnsi="宋体"/>
          <w:sz w:val="24"/>
        </w:rPr>
        <w:t>基金管理人应当负责向相关责任人追偿。</w:t>
      </w:r>
    </w:p>
    <w:p w14:paraId="028507C7">
      <w:pPr>
        <w:pStyle w:val="186"/>
        <w:tabs>
          <w:tab w:val="left" w:pos="3780"/>
        </w:tabs>
        <w:autoSpaceDE w:val="0"/>
        <w:autoSpaceDN w:val="0"/>
        <w:spacing w:before="156" w:after="156" w:line="360" w:lineRule="auto"/>
        <w:ind w:firstLine="480" w:firstLineChars="200"/>
        <w:outlineLvl w:val="0"/>
        <w:rPr>
          <w:rFonts w:ascii="宋体"/>
          <w:b/>
          <w:bCs/>
          <w:sz w:val="24"/>
        </w:rPr>
      </w:pPr>
      <w:r>
        <w:rPr>
          <w:rFonts w:ascii="宋体" w:hAnsi="宋体"/>
          <w:b/>
          <w:bCs/>
          <w:sz w:val="24"/>
        </w:rPr>
        <w:t>5.基金托管人根据有关法律法规的规定及基金合同和本协议的约定，对基金管理人银行存款业务进行监督。</w:t>
      </w:r>
    </w:p>
    <w:p w14:paraId="55F00E14">
      <w:pPr>
        <w:pStyle w:val="186"/>
        <w:tabs>
          <w:tab w:val="left" w:pos="1260"/>
        </w:tabs>
        <w:spacing w:line="360" w:lineRule="auto"/>
        <w:ind w:firstLine="480" w:firstLineChars="200"/>
        <w:rPr>
          <w:rFonts w:ascii="宋体"/>
          <w:sz w:val="24"/>
        </w:rPr>
      </w:pPr>
      <w:r>
        <w:rPr>
          <w:rFonts w:ascii="宋体" w:hAnsi="宋体"/>
          <w:sz w:val="24"/>
        </w:rPr>
        <w:t>本基金投资银行存款应符合如下规定：</w:t>
      </w:r>
    </w:p>
    <w:p w14:paraId="2DDC8E7E">
      <w:pPr>
        <w:pStyle w:val="186"/>
        <w:tabs>
          <w:tab w:val="left" w:pos="1260"/>
        </w:tabs>
        <w:spacing w:line="360" w:lineRule="auto"/>
        <w:ind w:firstLine="480" w:firstLineChars="200"/>
        <w:rPr>
          <w:rFonts w:ascii="宋体" w:hAnsi="宋体"/>
          <w:sz w:val="24"/>
        </w:rPr>
      </w:pPr>
      <w:r>
        <w:rPr>
          <w:rFonts w:ascii="宋体" w:hAnsi="宋体"/>
          <w:sz w:val="24"/>
        </w:rPr>
        <w:t>（1）基金管理人、基金托管人应当与存款银行建立对账机制，确保基金银行存款业务账目及核算的真实、准确。</w:t>
      </w:r>
    </w:p>
    <w:p w14:paraId="571ABC31">
      <w:pPr>
        <w:pStyle w:val="186"/>
        <w:tabs>
          <w:tab w:val="left" w:pos="1260"/>
        </w:tabs>
        <w:spacing w:line="360" w:lineRule="auto"/>
        <w:ind w:firstLine="480" w:firstLineChars="200"/>
        <w:rPr>
          <w:rFonts w:ascii="宋体"/>
          <w:sz w:val="24"/>
        </w:rPr>
      </w:pPr>
      <w:r>
        <w:rPr>
          <w:rFonts w:ascii="宋体" w:hAnsi="宋体"/>
          <w:sz w:val="24"/>
        </w:rPr>
        <w:t>（2）基金托管人应加强对基金银行存款业务的监督与核查，严格审查、复核相关协议、账户资料、投资指令、存款证实书等有关文件，切实履行托管职责。</w:t>
      </w:r>
    </w:p>
    <w:p w14:paraId="4639E18A">
      <w:pPr>
        <w:pStyle w:val="186"/>
        <w:tabs>
          <w:tab w:val="left" w:pos="1260"/>
        </w:tabs>
        <w:spacing w:line="360" w:lineRule="auto"/>
        <w:ind w:firstLine="480" w:firstLineChars="200"/>
        <w:rPr>
          <w:rFonts w:ascii="宋体"/>
          <w:sz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14:paraId="4373D14F">
      <w:pPr>
        <w:pStyle w:val="186"/>
        <w:tabs>
          <w:tab w:val="left" w:pos="1260"/>
        </w:tabs>
        <w:spacing w:line="360" w:lineRule="auto"/>
        <w:ind w:firstLine="480" w:firstLineChars="200"/>
        <w:rPr>
          <w:rFonts w:ascii="宋体"/>
          <w:b/>
          <w:sz w:val="24"/>
        </w:rPr>
      </w:pPr>
      <w:r>
        <w:rPr>
          <w:rFonts w:ascii="宋体" w:hAnsi="宋体"/>
          <w:b/>
          <w:sz w:val="24"/>
        </w:rPr>
        <w:t>6.基金托管人对基金投资流通受限证券的监督。</w:t>
      </w:r>
    </w:p>
    <w:p w14:paraId="6AE9197A">
      <w:pPr>
        <w:pStyle w:val="186"/>
        <w:spacing w:before="156" w:line="360" w:lineRule="auto"/>
        <w:ind w:left="105" w:firstLine="480" w:firstLineChars="200"/>
        <w:rPr>
          <w:rFonts w:ascii="宋体"/>
          <w:color w:val="000000"/>
          <w:sz w:val="24"/>
        </w:rPr>
      </w:pPr>
      <w:r>
        <w:rPr>
          <w:rFonts w:ascii="宋体" w:hAnsi="宋体"/>
          <w:color w:val="000000"/>
          <w:sz w:val="24"/>
        </w:rPr>
        <w:t>（1）基金投资流通受限证券</w:t>
      </w:r>
      <w:r>
        <w:rPr>
          <w:rFonts w:ascii="宋体"/>
          <w:color w:val="000000"/>
          <w:sz w:val="24"/>
        </w:rPr>
        <w:t>,</w:t>
      </w:r>
      <w:r>
        <w:rPr>
          <w:rFonts w:ascii="宋体" w:hAnsi="宋体"/>
          <w:color w:val="000000"/>
          <w:sz w:val="24"/>
        </w:rPr>
        <w:t>应遵守《关于基金投资非公开发行股票等流通受限证券有关问题的通知》等有关法律法规规定。</w:t>
      </w:r>
    </w:p>
    <w:p w14:paraId="790904D5">
      <w:pPr>
        <w:pStyle w:val="186"/>
        <w:spacing w:before="156" w:line="360" w:lineRule="auto"/>
        <w:ind w:left="105" w:firstLine="480" w:firstLineChars="200"/>
        <w:rPr>
          <w:sz w:val="24"/>
        </w:rPr>
      </w:pPr>
      <w:r>
        <w:rPr>
          <w:rFonts w:ascii="宋体" w:hAnsi="宋体"/>
          <w:color w:val="000000"/>
          <w:sz w:val="24"/>
        </w:rPr>
        <w:t>（2）流通受限证券</w:t>
      </w:r>
      <w:r>
        <w:rPr>
          <w:rFonts w:ascii="宋体"/>
          <w:color w:val="000000"/>
          <w:sz w:val="24"/>
        </w:rPr>
        <w:t>,</w:t>
      </w:r>
      <w:r>
        <w:rPr>
          <w:rFonts w:ascii="宋体" w:hAnsi="宋体"/>
          <w:color w:val="000000"/>
          <w:sz w:val="24"/>
        </w:rPr>
        <w:t>包括由《上市公司证券发行管理办法》规范的非公开发行股票、公开发行股票网下配售部分等在发行时明确一定期限锁定期的可交易证券</w:t>
      </w:r>
      <w:r>
        <w:rPr>
          <w:rFonts w:ascii="宋体"/>
          <w:color w:val="000000"/>
          <w:sz w:val="24"/>
        </w:rPr>
        <w:t>,</w:t>
      </w:r>
      <w:r>
        <w:rPr>
          <w:rFonts w:ascii="宋体" w:hAnsi="宋体"/>
          <w:color w:val="000000"/>
          <w:sz w:val="24"/>
        </w:rPr>
        <w:t>不包括由于发布重大消息或其他原因而临时停牌的证券、已发行未上市证券、回购交易中的质押券等流通受限证券。</w:t>
      </w:r>
      <w:r>
        <w:rPr>
          <w:rFonts w:ascii="宋体"/>
          <w:color w:val="000000"/>
          <w:sz w:val="24"/>
        </w:rPr>
        <w:t> </w:t>
      </w:r>
    </w:p>
    <w:p w14:paraId="0ECD473F">
      <w:pPr>
        <w:pStyle w:val="186"/>
        <w:spacing w:before="156" w:line="360" w:lineRule="auto"/>
        <w:ind w:firstLine="480" w:firstLineChars="200"/>
        <w:rPr>
          <w:sz w:val="24"/>
        </w:rPr>
      </w:pPr>
      <w:r>
        <w:rPr>
          <w:rFonts w:ascii="宋体" w:hAnsi="宋体"/>
          <w:color w:val="000000"/>
          <w:sz w:val="24"/>
        </w:rPr>
        <w:t>（3）基金管理人应在基金首次投资流通受限证券前</w:t>
      </w:r>
      <w:r>
        <w:rPr>
          <w:rFonts w:ascii="宋体"/>
          <w:color w:val="000000"/>
          <w:sz w:val="24"/>
        </w:rPr>
        <w:t>,</w:t>
      </w:r>
      <w:r>
        <w:rPr>
          <w:rFonts w:ascii="宋体" w:hAnsi="宋体"/>
          <w:color w:val="000000"/>
          <w:sz w:val="24"/>
        </w:rPr>
        <w:t>向基金托管人提供经基金管理人董事会批准的有关基金投资流通受限证券的投资决策流程、风险控制制度。基金投资非公开发行股票</w:t>
      </w:r>
      <w:r>
        <w:rPr>
          <w:rFonts w:ascii="宋体"/>
          <w:color w:val="000000"/>
          <w:sz w:val="24"/>
        </w:rPr>
        <w:t>,</w:t>
      </w:r>
      <w:r>
        <w:rPr>
          <w:rFonts w:ascii="宋体" w:hAnsi="宋体"/>
          <w:color w:val="000000"/>
          <w:sz w:val="24"/>
        </w:rPr>
        <w:t>基金管理人还应提供基金管理人董事会批准的流动性风险处置预案。上述资料应包括但不限于基金投资流通受限证券的投资额度和投资比例控制情况。</w:t>
      </w:r>
      <w:r>
        <w:rPr>
          <w:rFonts w:ascii="宋体"/>
          <w:color w:val="000000"/>
          <w:sz w:val="24"/>
        </w:rPr>
        <w:t> </w:t>
      </w:r>
      <w:r>
        <w:rPr>
          <w:rFonts w:ascii="宋体" w:hAnsi="宋体"/>
          <w:color w:val="000000"/>
          <w:sz w:val="24"/>
        </w:rPr>
        <w:t>基金管理人应至少于首次执行投资指令之前两个工作日将上述资料书面发至基金托管人</w:t>
      </w:r>
      <w:r>
        <w:rPr>
          <w:rFonts w:ascii="宋体"/>
          <w:color w:val="000000"/>
          <w:sz w:val="24"/>
        </w:rPr>
        <w:t>,</w:t>
      </w:r>
      <w:r>
        <w:rPr>
          <w:rFonts w:ascii="宋体" w:hAnsi="宋体"/>
          <w:color w:val="000000"/>
          <w:sz w:val="24"/>
        </w:rPr>
        <w:t>保证基金托管人有足够的时间进行审核。基金托管人应在收到上述资料后两个工作日内</w:t>
      </w:r>
      <w:r>
        <w:rPr>
          <w:rFonts w:ascii="宋体"/>
          <w:color w:val="000000"/>
          <w:sz w:val="24"/>
        </w:rPr>
        <w:t>,</w:t>
      </w:r>
      <w:r>
        <w:rPr>
          <w:rFonts w:ascii="宋体" w:hAnsi="宋体"/>
          <w:color w:val="000000"/>
          <w:sz w:val="24"/>
        </w:rPr>
        <w:t xml:space="preserve">以书面或其他双方认可的方式确认收到上述资料。 </w:t>
      </w:r>
    </w:p>
    <w:p w14:paraId="24AC967E">
      <w:pPr>
        <w:pStyle w:val="186"/>
        <w:spacing w:before="156" w:line="360" w:lineRule="auto"/>
        <w:ind w:left="105" w:firstLine="480" w:firstLineChars="200"/>
        <w:rPr>
          <w:sz w:val="24"/>
        </w:rPr>
      </w:pPr>
      <w:r>
        <w:rPr>
          <w:rFonts w:ascii="宋体" w:hAnsi="宋体"/>
          <w:color w:val="000000"/>
          <w:sz w:val="24"/>
        </w:rPr>
        <w:t>（4）基金投资流通受限证券前</w:t>
      </w:r>
      <w:r>
        <w:rPr>
          <w:rFonts w:ascii="宋体"/>
          <w:color w:val="000000"/>
          <w:sz w:val="24"/>
        </w:rPr>
        <w:t>,</w:t>
      </w:r>
      <w:r>
        <w:rPr>
          <w:rFonts w:ascii="宋体" w:hAnsi="宋体"/>
          <w:color w:val="000000"/>
          <w:sz w:val="24"/>
        </w:rPr>
        <w:t>基金管理人应向基金托管人提供符合法律法规要求的有关书面信息</w:t>
      </w:r>
      <w:r>
        <w:rPr>
          <w:rFonts w:ascii="宋体"/>
          <w:color w:val="000000"/>
          <w:sz w:val="24"/>
        </w:rPr>
        <w:t>,</w:t>
      </w:r>
      <w:r>
        <w:rPr>
          <w:rFonts w:ascii="宋体" w:hAnsi="宋体"/>
          <w:color w:val="000000"/>
          <w:sz w:val="24"/>
        </w:rPr>
        <w:t>包括但不限于拟发行证券主体的中国证监会批准文件、发行证券数量、发行价格、锁定期</w:t>
      </w:r>
      <w:r>
        <w:rPr>
          <w:rFonts w:ascii="宋体"/>
          <w:color w:val="000000"/>
          <w:sz w:val="24"/>
        </w:rPr>
        <w:t>,</w:t>
      </w:r>
      <w:r>
        <w:rPr>
          <w:rFonts w:ascii="宋体" w:hAnsi="宋体"/>
          <w:color w:val="000000"/>
          <w:sz w:val="24"/>
        </w:rPr>
        <w:t>基金拟认购的数量、价格、总成本、总成本占基金资产净值的比例、已持有流通受限证券市值占资产净值的比例、资金划付时间等。基金管理人应保证上述信息的真实、完整</w:t>
      </w:r>
      <w:r>
        <w:rPr>
          <w:rFonts w:ascii="宋体"/>
          <w:color w:val="000000"/>
          <w:sz w:val="24"/>
        </w:rPr>
        <w:t>,</w:t>
      </w:r>
      <w:r>
        <w:rPr>
          <w:rFonts w:ascii="宋体" w:hAnsi="宋体"/>
          <w:color w:val="000000"/>
          <w:sz w:val="24"/>
        </w:rPr>
        <w:t>并应至少于拟执行投资指令前两个工作日将上述信息书面发至基金托管人</w:t>
      </w:r>
      <w:r>
        <w:rPr>
          <w:rFonts w:ascii="宋体"/>
          <w:color w:val="000000"/>
          <w:sz w:val="24"/>
        </w:rPr>
        <w:t>,</w:t>
      </w:r>
      <w:r>
        <w:rPr>
          <w:rFonts w:ascii="宋体" w:hAnsi="宋体"/>
          <w:color w:val="000000"/>
          <w:sz w:val="24"/>
        </w:rPr>
        <w:t>保证基金托管人有足够的时间进行审核。</w:t>
      </w:r>
    </w:p>
    <w:p w14:paraId="74F47C84">
      <w:pPr>
        <w:pStyle w:val="186"/>
        <w:spacing w:before="156" w:line="360" w:lineRule="auto"/>
        <w:ind w:left="105" w:firstLine="480" w:firstLineChars="200"/>
        <w:rPr>
          <w:sz w:val="24"/>
        </w:rPr>
      </w:pPr>
      <w:r>
        <w:rPr>
          <w:rFonts w:ascii="宋体" w:hAnsi="宋体"/>
          <w:color w:val="000000"/>
          <w:sz w:val="24"/>
        </w:rPr>
        <w:t>（5）基金托管人应对基金管理人提供的有关书面信息进行审核，基金托管人认为上述资料可能导致基金投资出现风险的</w:t>
      </w:r>
      <w:r>
        <w:rPr>
          <w:rFonts w:ascii="宋体"/>
          <w:color w:val="000000"/>
          <w:sz w:val="24"/>
        </w:rPr>
        <w:t>,</w:t>
      </w:r>
      <w:r>
        <w:rPr>
          <w:rFonts w:ascii="宋体" w:hAnsi="宋体"/>
          <w:color w:val="000000"/>
          <w:sz w:val="24"/>
        </w:rPr>
        <w:t>有权要求基金管理人在投资流通受限证券前就该风险的消除或防范措施进行补充书面说明</w:t>
      </w:r>
      <w:r>
        <w:rPr>
          <w:rFonts w:ascii="宋体"/>
          <w:color w:val="000000"/>
          <w:sz w:val="24"/>
        </w:rPr>
        <w:t>,</w:t>
      </w:r>
      <w:r>
        <w:rPr>
          <w:rFonts w:ascii="宋体" w:hAnsi="宋体"/>
          <w:color w:val="000000"/>
          <w:sz w:val="24"/>
        </w:rPr>
        <w:t>并保留查看基金管理人风险管理部门就基金投资流通受限证券出具的风险评估报告等备查资料的权利。否则</w:t>
      </w:r>
      <w:r>
        <w:rPr>
          <w:rFonts w:ascii="宋体"/>
          <w:color w:val="000000"/>
          <w:sz w:val="24"/>
        </w:rPr>
        <w:t>,</w:t>
      </w:r>
      <w:r>
        <w:rPr>
          <w:rFonts w:ascii="宋体" w:hAnsi="宋体"/>
          <w:color w:val="000000"/>
          <w:sz w:val="24"/>
        </w:rPr>
        <w:t>基金托管人有权拒绝执行有关指令。因拒绝执行该指令造成基金财产损失的</w:t>
      </w:r>
      <w:r>
        <w:rPr>
          <w:rFonts w:ascii="宋体"/>
          <w:color w:val="000000"/>
          <w:sz w:val="24"/>
        </w:rPr>
        <w:t>,</w:t>
      </w:r>
      <w:r>
        <w:rPr>
          <w:rFonts w:ascii="宋体" w:hAnsi="宋体"/>
          <w:color w:val="000000"/>
          <w:sz w:val="24"/>
        </w:rPr>
        <w:t>基金托管人不承担任何责任</w:t>
      </w:r>
      <w:r>
        <w:rPr>
          <w:rFonts w:ascii="宋体"/>
          <w:color w:val="000000"/>
          <w:sz w:val="24"/>
        </w:rPr>
        <w:t>,</w:t>
      </w:r>
      <w:r>
        <w:rPr>
          <w:rFonts w:ascii="宋体" w:hAnsi="宋体"/>
          <w:color w:val="000000"/>
          <w:sz w:val="24"/>
        </w:rPr>
        <w:t>并有权报告中国证监会。</w:t>
      </w:r>
      <w:r>
        <w:rPr>
          <w:rFonts w:ascii="宋体"/>
          <w:color w:val="000000"/>
          <w:sz w:val="24"/>
        </w:rPr>
        <w:t> </w:t>
      </w:r>
    </w:p>
    <w:p w14:paraId="11D5D6B6">
      <w:pPr>
        <w:pStyle w:val="186"/>
        <w:tabs>
          <w:tab w:val="left" w:pos="1260"/>
        </w:tabs>
        <w:spacing w:before="156" w:line="360" w:lineRule="auto"/>
        <w:ind w:firstLine="480" w:firstLineChars="200"/>
        <w:rPr>
          <w:rFonts w:ascii="宋体"/>
          <w:b/>
          <w:sz w:val="24"/>
        </w:rPr>
      </w:pPr>
      <w:r>
        <w:rPr>
          <w:rFonts w:ascii="宋体" w:hAnsi="宋体"/>
          <w:color w:val="000000"/>
          <w:sz w:val="24"/>
        </w:rPr>
        <w:t>如基金管理人和基金托管人无法达成一致</w:t>
      </w:r>
      <w:r>
        <w:rPr>
          <w:rFonts w:ascii="宋体"/>
          <w:color w:val="000000"/>
          <w:sz w:val="24"/>
        </w:rPr>
        <w:t>,</w:t>
      </w:r>
      <w:r>
        <w:rPr>
          <w:rFonts w:ascii="宋体" w:hAnsi="宋体"/>
          <w:color w:val="000000"/>
          <w:sz w:val="24"/>
        </w:rPr>
        <w:t>应及时上报中国证监会请求解决。如果基金托管人切实履行监督职责</w:t>
      </w:r>
      <w:r>
        <w:rPr>
          <w:rFonts w:ascii="宋体"/>
          <w:color w:val="000000"/>
          <w:sz w:val="24"/>
        </w:rPr>
        <w:t>,</w:t>
      </w:r>
      <w:r>
        <w:rPr>
          <w:rFonts w:ascii="宋体" w:hAnsi="宋体"/>
          <w:color w:val="000000"/>
          <w:sz w:val="24"/>
        </w:rPr>
        <w:t>则不承担任何责任。</w:t>
      </w:r>
    </w:p>
    <w:p w14:paraId="0660F8EC">
      <w:pPr>
        <w:pStyle w:val="186"/>
        <w:tabs>
          <w:tab w:val="left" w:pos="3780"/>
        </w:tabs>
        <w:autoSpaceDE w:val="0"/>
        <w:autoSpaceDN w:val="0"/>
        <w:spacing w:before="156" w:after="156" w:line="360" w:lineRule="auto"/>
        <w:ind w:firstLine="480" w:firstLineChars="200"/>
        <w:outlineLvl w:val="0"/>
        <w:rPr>
          <w:rFonts w:ascii="宋体" w:hAnsi="宋体"/>
          <w:b/>
          <w:bCs/>
          <w:sz w:val="24"/>
        </w:rPr>
      </w:pPr>
      <w:r>
        <w:rPr>
          <w:rFonts w:ascii="宋体" w:hAnsi="宋体"/>
          <w:b/>
          <w:bCs/>
          <w:sz w:val="24"/>
        </w:rPr>
        <w:t>7.基金托管人根据法律法规的规定及《基金合同》和本协议的约定，对基金投资其他方面进行监督。</w:t>
      </w:r>
    </w:p>
    <w:p w14:paraId="4D4DF537">
      <w:pPr>
        <w:pStyle w:val="186"/>
        <w:tabs>
          <w:tab w:val="left" w:pos="3780"/>
        </w:tabs>
        <w:autoSpaceDE w:val="0"/>
        <w:autoSpaceDN w:val="0"/>
        <w:spacing w:before="156" w:after="156" w:line="360" w:lineRule="auto"/>
        <w:ind w:firstLine="480" w:firstLineChars="200"/>
        <w:outlineLvl w:val="0"/>
        <w:rPr>
          <w:rFonts w:ascii="宋体"/>
          <w:b/>
          <w:bCs/>
          <w:sz w:val="24"/>
        </w:rPr>
      </w:pPr>
      <w:r>
        <w:rPr>
          <w:rFonts w:ascii="宋体" w:hAnsi="宋体"/>
          <w:b/>
          <w:bCs/>
          <w:sz w:val="24"/>
        </w:rPr>
        <w:t>（二）基金托管人应根据有关法律法规的规定及《基金合同》的约定，对基金资产净值计算、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14:paraId="6637587D">
      <w:pPr>
        <w:pStyle w:val="186"/>
        <w:tabs>
          <w:tab w:val="left" w:pos="3780"/>
        </w:tabs>
        <w:autoSpaceDE w:val="0"/>
        <w:autoSpaceDN w:val="0"/>
        <w:spacing w:before="156" w:after="156" w:line="360" w:lineRule="auto"/>
        <w:ind w:firstLine="480" w:firstLineChars="200"/>
        <w:outlineLvl w:val="0"/>
        <w:rPr>
          <w:rFonts w:ascii="宋体"/>
          <w:b/>
          <w:bCs/>
          <w:sz w:val="24"/>
        </w:rPr>
      </w:pPr>
      <w:r>
        <w:rPr>
          <w:rFonts w:ascii="宋体" w:hAnsi="宋体"/>
          <w:b/>
          <w:bCs/>
          <w:sz w:val="24"/>
        </w:rPr>
        <w:t>（三）基金管理人应积极配合和协助基金托管人的监督和核查，在规定时间内答复并改正，就基金托管人的疑义进行解释或举证。对基金托管人按照法规要求需向中国证监会报送基金监督报告的，基金管理人应积极配合提供相关数据资料和制度等。</w:t>
      </w:r>
    </w:p>
    <w:p w14:paraId="00BE014C">
      <w:pPr>
        <w:pStyle w:val="186"/>
        <w:tabs>
          <w:tab w:val="left" w:pos="1260"/>
        </w:tabs>
        <w:spacing w:line="360" w:lineRule="auto"/>
        <w:ind w:firstLine="480" w:firstLineChars="200"/>
        <w:rPr>
          <w:rFonts w:ascii="宋体"/>
          <w:sz w:val="24"/>
        </w:rPr>
      </w:pPr>
      <w:r>
        <w:rPr>
          <w:rFonts w:ascii="宋体" w:hAnsi="宋体"/>
          <w:sz w:val="24"/>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14:paraId="42FEBFD2">
      <w:pPr>
        <w:pStyle w:val="186"/>
        <w:tabs>
          <w:tab w:val="left" w:pos="1260"/>
        </w:tabs>
        <w:spacing w:line="360" w:lineRule="auto"/>
        <w:ind w:firstLine="480" w:firstLineChars="200"/>
        <w:rPr>
          <w:rFonts w:ascii="宋体"/>
          <w:sz w:val="24"/>
        </w:rPr>
      </w:pPr>
      <w:r>
        <w:rPr>
          <w:rFonts w:ascii="宋体" w:hAnsi="宋体"/>
          <w:sz w:val="24"/>
        </w:rPr>
        <w:t>基金托管人发现基金管理人有重大违规行为，应立即报告中国证监会，同时通知基金管理人在限期内纠正。</w:t>
      </w:r>
    </w:p>
    <w:p w14:paraId="737820EE">
      <w:pPr>
        <w:pStyle w:val="186"/>
        <w:tabs>
          <w:tab w:val="left" w:pos="1260"/>
        </w:tabs>
        <w:spacing w:line="360" w:lineRule="auto"/>
        <w:ind w:firstLine="480" w:firstLineChars="200"/>
        <w:rPr>
          <w:rFonts w:ascii="宋体"/>
          <w:sz w:val="24"/>
        </w:rPr>
      </w:pPr>
      <w:r>
        <w:rPr>
          <w:rFonts w:ascii="宋体" w:hAnsi="宋体"/>
          <w:sz w:val="24"/>
        </w:rPr>
        <w:t>基金托管人发现基金管理人的指令违反法律、行政法规和其他有关规定，或者违反《基金合同》约定的，应当拒绝执行，立即通知基金管理人，并有权向中国证监会报告。</w:t>
      </w:r>
    </w:p>
    <w:p w14:paraId="0C2DADFF">
      <w:pPr>
        <w:pStyle w:val="186"/>
        <w:tabs>
          <w:tab w:val="left" w:pos="1260"/>
        </w:tabs>
        <w:spacing w:line="360" w:lineRule="auto"/>
        <w:ind w:firstLine="480" w:firstLineChars="200"/>
        <w:rPr>
          <w:rFonts w:ascii="宋体"/>
          <w:sz w:val="24"/>
        </w:rPr>
      </w:pPr>
      <w:r>
        <w:rPr>
          <w:rFonts w:ascii="宋体" w:hAnsi="宋体"/>
          <w:sz w:val="24"/>
        </w:rPr>
        <w:t>基金托管人发现基金管理人依据交易程序已经生效的指令违反法律、行政法规和其他有关规定，或者违反《基金合同》约定的，应当立即通知基金管理人，并有权向中国证监会报告。</w:t>
      </w:r>
      <w:bookmarkStart w:id="25" w:name="_Toc125892440"/>
    </w:p>
    <w:p w14:paraId="05BF5E21">
      <w:pPr>
        <w:pStyle w:val="187"/>
      </w:pPr>
      <w:bookmarkStart w:id="26" w:name="_Toc65162003"/>
      <w:r>
        <w:t>四、基金管理人对基金托管人的业务核查</w:t>
      </w:r>
      <w:bookmarkEnd w:id="25"/>
      <w:bookmarkEnd w:id="26"/>
    </w:p>
    <w:p w14:paraId="29BA574D">
      <w:pPr>
        <w:pStyle w:val="186"/>
        <w:tabs>
          <w:tab w:val="left" w:pos="1260"/>
        </w:tabs>
        <w:spacing w:line="360" w:lineRule="auto"/>
        <w:ind w:firstLine="480" w:firstLineChars="200"/>
        <w:rPr>
          <w:rFonts w:ascii="宋体"/>
          <w:sz w:val="24"/>
        </w:rPr>
      </w:pPr>
      <w:r>
        <w:rPr>
          <w:rFonts w:ascii="宋体" w:hAnsi="宋体"/>
          <w:sz w:val="24"/>
        </w:rPr>
        <w:t>根据《基金法》及其他有关法规、《基金合同》和本协议规定，基金管理人对基金托管人履行托管职责的情况进行核查，核查事项包括但不限于基金托管人是否安全保管基金财产、开立基金财产的资金账户、证券账户及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14:paraId="26905138">
      <w:pPr>
        <w:pStyle w:val="186"/>
        <w:tabs>
          <w:tab w:val="left" w:pos="1260"/>
        </w:tabs>
        <w:spacing w:line="360" w:lineRule="auto"/>
        <w:ind w:firstLine="480" w:firstLineChars="200"/>
        <w:rPr>
          <w:rFonts w:ascii="宋体"/>
          <w:sz w:val="24"/>
        </w:rPr>
      </w:pPr>
      <w:r>
        <w:rPr>
          <w:rFonts w:ascii="宋体" w:hAnsi="宋体"/>
          <w:sz w:val="24"/>
        </w:rPr>
        <w:t>基金管理人定期和不定期地对基金托管人保管的基金资产进行核查。基金托管人应积极配合基金管理人的核查行为，包括但不限于：提交相关资料以供基金管理人核查托管财产的完整性和真实性，在规定时间内答复并改正。</w:t>
      </w:r>
    </w:p>
    <w:p w14:paraId="17B863EE">
      <w:pPr>
        <w:pStyle w:val="186"/>
        <w:tabs>
          <w:tab w:val="left" w:pos="1260"/>
        </w:tabs>
        <w:spacing w:line="360" w:lineRule="auto"/>
        <w:ind w:firstLine="480" w:firstLineChars="200"/>
        <w:rPr>
          <w:rFonts w:ascii="宋体"/>
          <w:sz w:val="24"/>
        </w:rPr>
      </w:pPr>
      <w:r>
        <w:rPr>
          <w:rFonts w:ascii="宋体" w:hAnsi="宋体"/>
          <w:sz w:val="24"/>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14:paraId="34C63536">
      <w:pPr>
        <w:pStyle w:val="186"/>
        <w:tabs>
          <w:tab w:val="left" w:pos="1260"/>
        </w:tabs>
        <w:spacing w:line="360" w:lineRule="auto"/>
        <w:ind w:firstLine="480" w:firstLineChars="200"/>
        <w:rPr>
          <w:rFonts w:ascii="宋体"/>
          <w:sz w:val="24"/>
        </w:rPr>
      </w:pPr>
      <w:r>
        <w:rPr>
          <w:rFonts w:ascii="宋体" w:hAnsi="宋体"/>
          <w:sz w:val="24"/>
        </w:rPr>
        <w:t>基金管理人发现基金托管人有重大违规行为，应立即报告中国证监会，同时通知基金托管人在限期内纠正。</w:t>
      </w:r>
    </w:p>
    <w:p w14:paraId="70B05C7E">
      <w:pPr>
        <w:pStyle w:val="187"/>
      </w:pPr>
      <w:bookmarkStart w:id="27" w:name="_Toc466788854"/>
      <w:bookmarkStart w:id="28" w:name="_Toc523829995"/>
      <w:bookmarkStart w:id="29" w:name="_Toc125892441"/>
      <w:bookmarkStart w:id="30" w:name="_Toc22454437"/>
      <w:bookmarkStart w:id="31" w:name="_Toc65162004"/>
      <w:r>
        <w:t>五、基金财产的保管</w:t>
      </w:r>
      <w:bookmarkEnd w:id="27"/>
      <w:bookmarkEnd w:id="28"/>
      <w:bookmarkEnd w:id="29"/>
      <w:bookmarkEnd w:id="30"/>
      <w:bookmarkEnd w:id="31"/>
    </w:p>
    <w:p w14:paraId="657815B7">
      <w:pPr>
        <w:pStyle w:val="186"/>
        <w:tabs>
          <w:tab w:val="left" w:pos="3780"/>
        </w:tabs>
        <w:autoSpaceDE w:val="0"/>
        <w:autoSpaceDN w:val="0"/>
        <w:spacing w:before="156" w:after="156" w:line="360" w:lineRule="auto"/>
        <w:outlineLvl w:val="0"/>
        <w:rPr>
          <w:rFonts w:ascii="宋体"/>
          <w:b/>
          <w:bCs/>
          <w:sz w:val="24"/>
        </w:rPr>
      </w:pPr>
      <w:bookmarkStart w:id="32" w:name="_Toc37159173"/>
      <w:bookmarkStart w:id="33" w:name="_Toc77662997"/>
      <w:r>
        <w:rPr>
          <w:rFonts w:ascii="宋体" w:hAnsi="宋体"/>
          <w:b/>
          <w:bCs/>
          <w:sz w:val="24"/>
        </w:rPr>
        <w:t>（一）基金财产保管的原则</w:t>
      </w:r>
      <w:bookmarkEnd w:id="32"/>
      <w:bookmarkEnd w:id="33"/>
    </w:p>
    <w:p w14:paraId="6EA99914">
      <w:pPr>
        <w:pStyle w:val="186"/>
        <w:tabs>
          <w:tab w:val="left" w:pos="1260"/>
        </w:tabs>
        <w:spacing w:line="360" w:lineRule="auto"/>
        <w:ind w:firstLine="480" w:firstLineChars="200"/>
        <w:rPr>
          <w:rFonts w:ascii="宋体"/>
          <w:sz w:val="24"/>
        </w:rPr>
      </w:pPr>
      <w:r>
        <w:rPr>
          <w:rFonts w:ascii="宋体" w:hAnsi="宋体"/>
          <w:sz w:val="24"/>
        </w:rPr>
        <w:t>1.基金托管人应安全保管基金财产，未经基金管理人的指令，不得自行运用、处分、分配基金的任何资产，非因基金财产本身承担的债务，不得对基金财产强制执行。</w:t>
      </w:r>
    </w:p>
    <w:p w14:paraId="1AFDF6EB">
      <w:pPr>
        <w:pStyle w:val="186"/>
        <w:tabs>
          <w:tab w:val="left" w:pos="1260"/>
        </w:tabs>
        <w:spacing w:line="360" w:lineRule="auto"/>
        <w:ind w:firstLine="480" w:firstLineChars="200"/>
        <w:rPr>
          <w:rFonts w:ascii="宋体"/>
          <w:sz w:val="24"/>
        </w:rPr>
      </w:pPr>
      <w:r>
        <w:rPr>
          <w:rFonts w:ascii="宋体" w:hAnsi="宋体"/>
          <w:sz w:val="24"/>
        </w:rPr>
        <w:t>2.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14:paraId="302BAD06">
      <w:pPr>
        <w:pStyle w:val="186"/>
        <w:tabs>
          <w:tab w:val="left" w:pos="1260"/>
        </w:tabs>
        <w:spacing w:line="360" w:lineRule="auto"/>
        <w:ind w:firstLine="480" w:firstLineChars="200"/>
        <w:rPr>
          <w:rFonts w:ascii="宋体"/>
          <w:sz w:val="24"/>
        </w:rPr>
      </w:pPr>
      <w:r>
        <w:rPr>
          <w:rFonts w:ascii="宋体" w:hAnsi="宋体"/>
          <w:sz w:val="24"/>
        </w:rPr>
        <w:t>3.基金托管人按照规定开立基金财产的银行存款账户、证券账户和债券托管账户等投资所需账户</w:t>
      </w:r>
      <w:r>
        <w:rPr>
          <w:spacing w:val="-4"/>
          <w:sz w:val="24"/>
        </w:rPr>
        <w:t>，基金管理人和基金托管人按照规定</w:t>
      </w:r>
      <w:r>
        <w:rPr>
          <w:rFonts w:ascii="宋体" w:hAnsi="宋体"/>
          <w:sz w:val="24"/>
        </w:rPr>
        <w:t>开立期货资金账户。</w:t>
      </w:r>
    </w:p>
    <w:p w14:paraId="3B4EB39F">
      <w:pPr>
        <w:pStyle w:val="186"/>
        <w:tabs>
          <w:tab w:val="left" w:pos="1260"/>
        </w:tabs>
        <w:spacing w:line="360" w:lineRule="auto"/>
        <w:ind w:firstLine="480" w:firstLineChars="200"/>
        <w:rPr>
          <w:rFonts w:ascii="宋体"/>
          <w:sz w:val="24"/>
        </w:rPr>
      </w:pPr>
      <w:r>
        <w:rPr>
          <w:rFonts w:ascii="宋体" w:hAnsi="宋体"/>
          <w:sz w:val="24"/>
        </w:rPr>
        <w:t>4.基金托管人对所托管的不同基金财产分别设置账户，与基金托管人的其他业务和其他基金的托管业务实行严格的分账管理，独立核算，确保基金财产的完整和独立。</w:t>
      </w:r>
    </w:p>
    <w:p w14:paraId="476C8A57">
      <w:pPr>
        <w:pStyle w:val="186"/>
        <w:tabs>
          <w:tab w:val="left" w:pos="1260"/>
        </w:tabs>
        <w:spacing w:line="360" w:lineRule="auto"/>
        <w:ind w:firstLine="480" w:firstLineChars="200"/>
        <w:rPr>
          <w:rFonts w:ascii="宋体" w:hAnsi="宋体"/>
          <w:sz w:val="24"/>
        </w:rPr>
      </w:pPr>
      <w:r>
        <w:rPr>
          <w:rFonts w:ascii="宋体" w:hAnsi="宋体"/>
          <w:sz w:val="24"/>
        </w:rPr>
        <w:t>5.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w:t>
      </w:r>
      <w:bookmarkStart w:id="34" w:name="_Toc77662998"/>
      <w:bookmarkStart w:id="35" w:name="_Toc37159174"/>
      <w:r>
        <w:rPr>
          <w:rFonts w:ascii="宋体" w:hAnsi="宋体"/>
          <w:sz w:val="24"/>
        </w:rPr>
        <w:t>基金托管人对此不承担任何责任。</w:t>
      </w:r>
    </w:p>
    <w:p w14:paraId="1FC0F82E">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（二）基金募集资产的验证</w:t>
      </w:r>
      <w:bookmarkEnd w:id="34"/>
      <w:bookmarkEnd w:id="35"/>
    </w:p>
    <w:p w14:paraId="4EF8AEC9">
      <w:pPr>
        <w:pStyle w:val="186"/>
        <w:tabs>
          <w:tab w:val="left" w:pos="1260"/>
        </w:tabs>
        <w:spacing w:line="360" w:lineRule="auto"/>
        <w:ind w:firstLine="480" w:firstLineChars="200"/>
        <w:rPr>
          <w:rFonts w:ascii="宋体"/>
          <w:sz w:val="24"/>
        </w:rPr>
      </w:pPr>
      <w:r>
        <w:rPr>
          <w:rFonts w:ascii="宋体" w:hAnsi="宋体"/>
          <w:sz w:val="24"/>
        </w:rPr>
        <w:t>基金募集期满或基金提前结束募集之日起10日内，由基金管理人聘请符合《中华人民共和国证券法》规定的会计师事务所进行验资，出具验资报告，出具的验资报告应由参加验资的2名以上（含2名）中国注册会计师签字有效。验资完成，基金管理人应将募集到的全部资金存入基金托管人为基金开立的基金银行存款账户中，基金托管人在收到资金当日出具相关证明文件。</w:t>
      </w:r>
      <w:bookmarkStart w:id="36" w:name="_Toc77663000"/>
      <w:bookmarkStart w:id="37" w:name="_Toc37159176"/>
    </w:p>
    <w:p w14:paraId="421942A5">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（三）基金的银行存款账户的开立和管理</w:t>
      </w:r>
      <w:bookmarkEnd w:id="36"/>
      <w:bookmarkEnd w:id="37"/>
    </w:p>
    <w:p w14:paraId="7093AA19">
      <w:pPr>
        <w:pStyle w:val="186"/>
        <w:tabs>
          <w:tab w:val="left" w:pos="1260"/>
        </w:tabs>
        <w:spacing w:line="360" w:lineRule="auto"/>
        <w:ind w:firstLine="480" w:firstLineChars="200"/>
        <w:rPr>
          <w:rFonts w:ascii="宋体"/>
          <w:sz w:val="24"/>
        </w:rPr>
      </w:pPr>
      <w:r>
        <w:rPr>
          <w:rFonts w:ascii="宋体" w:hAnsi="宋体"/>
          <w:sz w:val="24"/>
        </w:rPr>
        <w:t>1.基金托管人应负责本基金银行存款账户的开立和管理。</w:t>
      </w:r>
    </w:p>
    <w:p w14:paraId="26478CB3">
      <w:pPr>
        <w:pStyle w:val="186"/>
        <w:tabs>
          <w:tab w:val="left" w:pos="1260"/>
        </w:tabs>
        <w:spacing w:line="360" w:lineRule="auto"/>
        <w:ind w:firstLine="480" w:firstLineChars="200"/>
        <w:rPr>
          <w:rFonts w:ascii="宋体"/>
          <w:sz w:val="24"/>
        </w:rPr>
      </w:pPr>
      <w:r>
        <w:rPr>
          <w:rFonts w:ascii="宋体" w:hAnsi="宋体"/>
          <w:sz w:val="24"/>
        </w:rPr>
        <w:t>2.基金托管人以本基金的名义在其营业机构开立基金的银行存款账户，并根据基金管理人合法合规的指令办理资金收付。本基金的银行预留印鉴由基金托管人保管和使用。本基金的一切货币收支活动，包括但不限于投资、支付赎回金额、支付基金收益，均需通过本基金的银行存款账户进行。</w:t>
      </w:r>
    </w:p>
    <w:p w14:paraId="1B994658">
      <w:pPr>
        <w:pStyle w:val="186"/>
        <w:tabs>
          <w:tab w:val="left" w:pos="1260"/>
        </w:tabs>
        <w:spacing w:line="360" w:lineRule="auto"/>
        <w:ind w:firstLine="480" w:firstLineChars="200"/>
        <w:rPr>
          <w:rFonts w:ascii="宋体"/>
          <w:sz w:val="24"/>
        </w:rPr>
      </w:pPr>
      <w:r>
        <w:rPr>
          <w:rFonts w:ascii="宋体" w:hAnsi="宋体"/>
          <w:sz w:val="24"/>
        </w:rPr>
        <w:t>3.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14:paraId="4B1E0E23">
      <w:pPr>
        <w:pStyle w:val="186"/>
        <w:tabs>
          <w:tab w:val="left" w:pos="1260"/>
        </w:tabs>
        <w:spacing w:line="360" w:lineRule="auto"/>
        <w:ind w:firstLine="480" w:firstLineChars="200"/>
        <w:rPr>
          <w:rFonts w:ascii="宋体"/>
          <w:sz w:val="24"/>
        </w:rPr>
      </w:pPr>
      <w:r>
        <w:rPr>
          <w:rFonts w:ascii="宋体" w:hAnsi="宋体"/>
          <w:sz w:val="24"/>
        </w:rPr>
        <w:t>4.基金托管人可以通过申请开通本基金银行账户的企业网上银行业务进行资金支付，并使用交通银行企业网上银行（简称“交通银行网银”）办理托管资产的资金结算汇划业务。</w:t>
      </w:r>
    </w:p>
    <w:p w14:paraId="4A070445">
      <w:pPr>
        <w:pStyle w:val="186"/>
        <w:tabs>
          <w:tab w:val="left" w:pos="1260"/>
        </w:tabs>
        <w:spacing w:line="360" w:lineRule="auto"/>
        <w:ind w:firstLine="480" w:firstLineChars="200"/>
        <w:rPr>
          <w:rFonts w:ascii="宋体"/>
          <w:sz w:val="24"/>
        </w:rPr>
      </w:pPr>
      <w:r>
        <w:rPr>
          <w:rFonts w:ascii="宋体" w:hAnsi="宋体"/>
          <w:sz w:val="24"/>
        </w:rPr>
        <w:t>5.基金银行存款账户的管理应符合银行业监督管理机构的有关规定。</w:t>
      </w:r>
      <w:bookmarkStart w:id="38" w:name="_Toc77663001"/>
      <w:bookmarkStart w:id="39" w:name="_Toc37159177"/>
    </w:p>
    <w:p w14:paraId="5363DDB3">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（四）基金证券交收账户、证券资金账户的开立和管理</w:t>
      </w:r>
      <w:bookmarkEnd w:id="38"/>
      <w:bookmarkEnd w:id="39"/>
    </w:p>
    <w:p w14:paraId="60D6198F">
      <w:pPr>
        <w:pStyle w:val="186"/>
        <w:tabs>
          <w:tab w:val="left" w:pos="1260"/>
        </w:tabs>
        <w:spacing w:line="360" w:lineRule="auto"/>
        <w:ind w:firstLine="480" w:firstLineChars="200"/>
        <w:rPr>
          <w:rFonts w:ascii="宋体" w:hAnsi="宋体"/>
          <w:sz w:val="24"/>
        </w:rPr>
      </w:pPr>
      <w:bookmarkStart w:id="40" w:name="_Toc466788855"/>
      <w:bookmarkStart w:id="41" w:name="_Toc125892442"/>
      <w:bookmarkStart w:id="42" w:name="_Toc523829996"/>
      <w:r>
        <w:rPr>
          <w:rFonts w:ascii="宋体" w:hAnsi="宋体"/>
          <w:sz w:val="24"/>
        </w:rPr>
        <w:t>1.基金托管人应当代表本基金，以基金托管人和本基金联名的方式在中国证券登记结算有限责任公司开设证券账户。</w:t>
      </w:r>
    </w:p>
    <w:p w14:paraId="68A2CA07">
      <w:pPr>
        <w:pStyle w:val="186"/>
        <w:tabs>
          <w:tab w:val="left" w:pos="1260"/>
        </w:tabs>
        <w:spacing w:line="360" w:lineRule="auto"/>
        <w:ind w:firstLine="480" w:firstLineChars="200"/>
        <w:rPr>
          <w:rFonts w:ascii="宋体" w:hAnsi="宋体"/>
          <w:sz w:val="24"/>
        </w:rPr>
      </w:pPr>
      <w:r>
        <w:rPr>
          <w:rFonts w:ascii="宋体" w:hAnsi="宋体"/>
          <w:sz w:val="24"/>
        </w:rPr>
        <w:t>2.基金证券账户资产的管理和运用由基金管理人负责。</w:t>
      </w:r>
    </w:p>
    <w:p w14:paraId="29D041CE">
      <w:pPr>
        <w:pStyle w:val="186"/>
        <w:tabs>
          <w:tab w:val="left" w:pos="1260"/>
        </w:tabs>
        <w:spacing w:line="360" w:lineRule="auto"/>
        <w:ind w:firstLine="480" w:firstLineChars="200"/>
        <w:rPr>
          <w:rFonts w:ascii="宋体" w:hAnsi="宋体"/>
          <w:sz w:val="24"/>
        </w:rPr>
      </w:pPr>
      <w:r>
        <w:rPr>
          <w:rFonts w:ascii="宋体" w:hAnsi="宋体"/>
          <w:sz w:val="24"/>
        </w:rPr>
        <w:t>3.证券账户开立后，基金管理人以本基金名义在基金管理人选择的证券经纪机构营业网点开立对应的证券资金账户，并通知基金托管人。证券资金账户用于本基金证券交易的结算以及证券交易结算资金的记录，并与本基金银行存款账户之间建立唯一银证转账对应关系, 证券经纪机构对开立的证券资金账户内存放的资金的安全承担责任, 基金托管人不负责保管证券资金账户内存放的资金。</w:t>
      </w:r>
    </w:p>
    <w:p w14:paraId="5840B0C9">
      <w:pPr>
        <w:pStyle w:val="186"/>
        <w:tabs>
          <w:tab w:val="left" w:pos="1260"/>
        </w:tabs>
        <w:spacing w:line="360" w:lineRule="auto"/>
        <w:ind w:firstLine="480" w:firstLineChars="200"/>
        <w:rPr>
          <w:rFonts w:ascii="宋体" w:hAnsi="宋体"/>
          <w:sz w:val="24"/>
        </w:rPr>
      </w:pPr>
      <w:r>
        <w:rPr>
          <w:rFonts w:ascii="宋体" w:hAnsi="宋体"/>
          <w:sz w:val="24"/>
        </w:rPr>
        <w:t>4.由基金托管人持基金管理人与证券经纪机构签订的三方存管相关协议办理证券资金账户与本基金银行存款账户的银证签约手续，未经基金托管人书面同意，基金管理人不得将银证签约的指定银行结算账户（即本基金银行存款账户）变更为其他账户，否则，因此引起的法律后果及给本基金造成的损失全部由基金管理人承担。</w:t>
      </w:r>
    </w:p>
    <w:p w14:paraId="2B331EAE">
      <w:pPr>
        <w:pStyle w:val="186"/>
        <w:tabs>
          <w:tab w:val="left" w:pos="1260"/>
        </w:tabs>
        <w:spacing w:line="360" w:lineRule="auto"/>
        <w:ind w:firstLine="480" w:firstLineChars="200"/>
        <w:rPr>
          <w:rFonts w:ascii="宋体" w:hAnsi="宋体"/>
          <w:sz w:val="24"/>
        </w:rPr>
      </w:pPr>
      <w:r>
        <w:rPr>
          <w:rFonts w:ascii="宋体" w:hAnsi="宋体"/>
          <w:sz w:val="24"/>
        </w:rPr>
        <w:t>5.本基金证券账户和证券资金账户的开立和使用，限于满足开展本基金业务的需要。基金托管人和基金管理人不得出借或未经另一方同意擅自转让本基金的证券账户和证券资金账户；亦不得使用本基金的证券账户和证券资金账户进行本基金业务以外的活动。</w:t>
      </w:r>
    </w:p>
    <w:p w14:paraId="1EC24EF8">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（五）债券托管账户的开立和管理</w:t>
      </w:r>
    </w:p>
    <w:p w14:paraId="6F4BFEAC">
      <w:pPr>
        <w:pStyle w:val="186"/>
        <w:tabs>
          <w:tab w:val="left" w:pos="1260"/>
        </w:tabs>
        <w:spacing w:line="360" w:lineRule="auto"/>
        <w:ind w:firstLine="480" w:firstLineChars="200"/>
        <w:rPr>
          <w:rFonts w:ascii="宋体"/>
          <w:sz w:val="24"/>
        </w:rPr>
      </w:pPr>
      <w:r>
        <w:rPr>
          <w:rFonts w:ascii="宋体" w:hAnsi="宋体"/>
          <w:sz w:val="24"/>
        </w:rPr>
        <w:t>1.基金合同生效后，基金管理人负责向中国人民银行进行报备，基金托管人在备案通过后在中央国债登记结算有限责任公司及银行间市场清算所股份有限公司以本基金的名义开立债券托管账户，并由基金托管人负责基金的债券及资金的清算。</w:t>
      </w:r>
      <w:r>
        <w:rPr>
          <w:rFonts w:ascii="宋体" w:hAnsi="宋体"/>
          <w:sz w:val="24"/>
          <w:szCs w:val="21"/>
        </w:rPr>
        <w:t>基金管理人负责申请基金进入全国银行间同业拆借市场进行交易，由基金管理人在中国外汇交易中心开设同业拆借市场交易</w:t>
      </w:r>
      <w:r>
        <w:rPr>
          <w:rFonts w:ascii="宋体" w:hAnsi="宋体"/>
          <w:sz w:val="24"/>
        </w:rPr>
        <w:t>账户</w:t>
      </w:r>
      <w:r>
        <w:rPr>
          <w:rFonts w:ascii="宋体" w:hAnsi="宋体"/>
          <w:sz w:val="24"/>
          <w:szCs w:val="21"/>
        </w:rPr>
        <w:t>。</w:t>
      </w:r>
    </w:p>
    <w:p w14:paraId="1FFF387A">
      <w:pPr>
        <w:pStyle w:val="186"/>
        <w:tabs>
          <w:tab w:val="left" w:pos="1260"/>
        </w:tabs>
        <w:spacing w:line="360" w:lineRule="auto"/>
        <w:ind w:firstLine="480" w:firstLineChars="200"/>
        <w:rPr>
          <w:rFonts w:ascii="宋体" w:hAnsi="宋体"/>
          <w:sz w:val="24"/>
        </w:rPr>
      </w:pPr>
      <w:r>
        <w:rPr>
          <w:rFonts w:ascii="宋体" w:hAnsi="宋体"/>
          <w:sz w:val="24"/>
        </w:rPr>
        <w:t>2.基金管理人代表基金签订全国银行间债券市场债券回购主协议，协议正本由基金管理人保存。</w:t>
      </w:r>
    </w:p>
    <w:p w14:paraId="3D513EBE">
      <w:pPr>
        <w:pStyle w:val="186"/>
        <w:tabs>
          <w:tab w:val="left" w:pos="1260"/>
        </w:tabs>
        <w:spacing w:line="360" w:lineRule="auto"/>
        <w:ind w:firstLine="480" w:firstLineChars="200"/>
        <w:rPr>
          <w:rFonts w:ascii="宋体" w:hAnsi="宋体"/>
          <w:sz w:val="24"/>
          <w:highlight w:val="none"/>
        </w:rPr>
      </w:pPr>
      <w:r>
        <w:rPr>
          <w:rFonts w:ascii="宋体" w:hAnsi="宋体"/>
          <w:sz w:val="24"/>
          <w:highlight w:val="none"/>
        </w:rPr>
        <w:t>3.基金管理人代表基金签订中国银行间市场金融衍生产品交易主协议（凭证特别版），协议正本由基金管理人保存。</w:t>
      </w:r>
    </w:p>
    <w:p w14:paraId="799476ED">
      <w:pPr>
        <w:pStyle w:val="186"/>
        <w:tabs>
          <w:tab w:val="left" w:pos="3780"/>
        </w:tabs>
        <w:autoSpaceDE w:val="0"/>
        <w:autoSpaceDN w:val="0"/>
        <w:spacing w:before="156" w:after="156" w:line="360" w:lineRule="auto"/>
        <w:outlineLvl w:val="0"/>
        <w:rPr>
          <w:rFonts w:ascii="宋体" w:hAnsi="宋体"/>
          <w:b/>
          <w:bCs/>
          <w:sz w:val="24"/>
        </w:rPr>
      </w:pPr>
      <w:r>
        <w:rPr>
          <w:rFonts w:ascii="宋体" w:hAnsi="宋体"/>
          <w:b/>
          <w:bCs/>
          <w:sz w:val="24"/>
        </w:rPr>
        <w:t>（六）</w:t>
      </w:r>
      <w:bookmarkStart w:id="43" w:name="_Toc17996120"/>
      <w:r>
        <w:rPr>
          <w:rFonts w:ascii="宋体" w:hAnsi="宋体"/>
          <w:b/>
          <w:bCs/>
          <w:sz w:val="24"/>
        </w:rPr>
        <w:t>期货相关账户的开立和管理</w:t>
      </w:r>
      <w:bookmarkEnd w:id="43"/>
    </w:p>
    <w:p w14:paraId="40B6AAFE">
      <w:pPr>
        <w:pStyle w:val="186"/>
        <w:spacing w:line="360" w:lineRule="auto"/>
        <w:ind w:firstLine="480" w:firstLineChars="200"/>
        <w:rPr>
          <w:rFonts w:ascii="宋体" w:hAnsi="宋体"/>
          <w:sz w:val="24"/>
        </w:rPr>
      </w:pPr>
      <w:r>
        <w:rPr>
          <w:rFonts w:ascii="宋体" w:hAnsi="宋体"/>
          <w:sz w:val="24"/>
        </w:rPr>
        <w:t>基金管理人、基金托管人应当按照相关规定开立期货资金账户，在中国金融期货交易所获取交易编码。期货资金账户名称及交易编码对应名称应按照有关规定设立。</w:t>
      </w:r>
    </w:p>
    <w:p w14:paraId="61AEBA70">
      <w:pPr>
        <w:pStyle w:val="186"/>
        <w:tabs>
          <w:tab w:val="left" w:pos="1260"/>
        </w:tabs>
        <w:spacing w:before="156" w:after="156" w:line="360" w:lineRule="auto"/>
        <w:ind w:firstLine="480" w:firstLineChars="200"/>
        <w:rPr>
          <w:rFonts w:ascii="宋体" w:hAnsi="宋体"/>
          <w:sz w:val="24"/>
        </w:rPr>
      </w:pPr>
      <w:r>
        <w:rPr>
          <w:rFonts w:ascii="宋体" w:hAnsi="宋体"/>
          <w:sz w:val="24"/>
        </w:rPr>
        <w:t>基金托管人已取得期货保证金存管银行资格，基金管理人授权基金托管人办理相关银期转账业务。</w:t>
      </w:r>
    </w:p>
    <w:p w14:paraId="1536465E">
      <w:pPr>
        <w:pStyle w:val="186"/>
        <w:tabs>
          <w:tab w:val="left" w:pos="3780"/>
        </w:tabs>
        <w:autoSpaceDE w:val="0"/>
        <w:autoSpaceDN w:val="0"/>
        <w:spacing w:before="156" w:after="156" w:line="360" w:lineRule="auto"/>
        <w:outlineLvl w:val="0"/>
        <w:rPr>
          <w:rFonts w:ascii="宋体" w:hAnsi="宋体"/>
          <w:b/>
          <w:bCs/>
          <w:sz w:val="24"/>
        </w:rPr>
      </w:pPr>
      <w:r>
        <w:rPr>
          <w:rFonts w:ascii="宋体" w:hAnsi="宋体"/>
          <w:b/>
          <w:bCs/>
          <w:sz w:val="24"/>
        </w:rPr>
        <w:t>（七）</w:t>
      </w:r>
      <w:bookmarkStart w:id="44" w:name="_Toc17996121"/>
      <w:r>
        <w:rPr>
          <w:rFonts w:ascii="宋体" w:hAnsi="宋体"/>
          <w:b/>
          <w:bCs/>
          <w:sz w:val="24"/>
        </w:rPr>
        <w:t>基金投资银行存款账户的开立和管理</w:t>
      </w:r>
      <w:bookmarkEnd w:id="44"/>
    </w:p>
    <w:p w14:paraId="5CA470B5">
      <w:pPr>
        <w:pStyle w:val="186"/>
        <w:spacing w:line="360" w:lineRule="auto"/>
        <w:ind w:firstLine="464" w:firstLineChars="200"/>
        <w:rPr>
          <w:spacing w:val="-4"/>
          <w:sz w:val="24"/>
        </w:rPr>
      </w:pPr>
      <w:r>
        <w:rPr>
          <w:spacing w:val="-4"/>
          <w:sz w:val="24"/>
        </w:rPr>
        <w:t>存款账户必须以基金名义开立，账户名称为基金名称，存款账户开户文件上加盖预留印鉴（须包括托管人印章）及基金管理人公章。</w:t>
      </w:r>
    </w:p>
    <w:p w14:paraId="67A4B783">
      <w:pPr>
        <w:pStyle w:val="186"/>
        <w:spacing w:line="360" w:lineRule="auto"/>
        <w:ind w:firstLine="464" w:firstLineChars="200"/>
        <w:rPr>
          <w:spacing w:val="-4"/>
          <w:sz w:val="24"/>
        </w:rPr>
      </w:pPr>
      <w:r>
        <w:rPr>
          <w:spacing w:val="-4"/>
          <w:sz w:val="24"/>
        </w:rPr>
        <w:t>本基金投资银行存款时，基金管理人应当与存款银行签订具体存款协议/存款确认单据，明确存款的类型、期限、利率、金额、账号、对账方式、支取方式、</w:t>
      </w:r>
      <w:r>
        <w:rPr>
          <w:spacing w:val="6"/>
          <w:sz w:val="24"/>
        </w:rPr>
        <w:t>存款到期指定收款账户</w:t>
      </w:r>
      <w:r>
        <w:rPr>
          <w:spacing w:val="-4"/>
          <w:sz w:val="24"/>
        </w:rPr>
        <w:t>等细则。</w:t>
      </w:r>
    </w:p>
    <w:p w14:paraId="3671345E">
      <w:pPr>
        <w:pStyle w:val="186"/>
        <w:spacing w:line="360" w:lineRule="auto"/>
        <w:ind w:firstLine="464" w:firstLineChars="200"/>
        <w:rPr>
          <w:spacing w:val="-4"/>
          <w:sz w:val="24"/>
        </w:rPr>
      </w:pPr>
      <w:r>
        <w:rPr>
          <w:spacing w:val="-4"/>
          <w:sz w:val="24"/>
        </w:rPr>
        <w:t>为防范特殊情况下的流动性风险，存款协议中应当约定提前支取条款。</w:t>
      </w:r>
    </w:p>
    <w:p w14:paraId="5213047A">
      <w:pPr>
        <w:pStyle w:val="186"/>
        <w:tabs>
          <w:tab w:val="left" w:pos="3780"/>
        </w:tabs>
        <w:autoSpaceDE w:val="0"/>
        <w:autoSpaceDN w:val="0"/>
        <w:spacing w:before="156" w:after="156" w:line="360" w:lineRule="auto"/>
        <w:outlineLvl w:val="0"/>
        <w:rPr>
          <w:rFonts w:ascii="宋体" w:hAnsi="宋体"/>
          <w:b/>
          <w:bCs/>
          <w:sz w:val="24"/>
        </w:rPr>
      </w:pPr>
      <w:r>
        <w:rPr>
          <w:rFonts w:ascii="宋体" w:hAnsi="宋体"/>
          <w:b/>
          <w:bCs/>
          <w:sz w:val="24"/>
        </w:rPr>
        <w:t>（八）其他账户的开立和管理</w:t>
      </w:r>
    </w:p>
    <w:p w14:paraId="24F82D63">
      <w:pPr>
        <w:pStyle w:val="205"/>
      </w:pPr>
      <w: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14:paraId="72DBD36E">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（九）基金财产投资的有关实物证券、银行存款定期存单等有价凭证的保管</w:t>
      </w:r>
    </w:p>
    <w:p w14:paraId="19E8B713">
      <w:pPr>
        <w:pStyle w:val="186"/>
        <w:tabs>
          <w:tab w:val="left" w:pos="1260"/>
        </w:tabs>
        <w:spacing w:line="360" w:lineRule="auto"/>
        <w:ind w:firstLine="480" w:firstLineChars="200"/>
        <w:rPr>
          <w:rFonts w:ascii="宋体"/>
          <w:color w:val="000000"/>
          <w:sz w:val="24"/>
        </w:rPr>
      </w:pPr>
      <w:r>
        <w:rPr>
          <w:rFonts w:ascii="宋体" w:hAnsi="宋体"/>
          <w:sz w:val="24"/>
        </w:rPr>
        <w:t>实物证券由基金托管人存放于基金托管人的保管库。实物证券的购买和转让，由基金托管人根据基金管理人的指令办理。</w:t>
      </w:r>
      <w:r>
        <w:rPr>
          <w:rFonts w:ascii="宋体" w:hAnsi="宋体"/>
          <w:color w:val="000000"/>
          <w:sz w:val="24"/>
        </w:rPr>
        <w:t>基金托管人对由基金托管人以外机构实际有效控制的本基金资产不承担保管责任。</w:t>
      </w:r>
    </w:p>
    <w:p w14:paraId="70A78AD4">
      <w:pPr>
        <w:pStyle w:val="186"/>
        <w:tabs>
          <w:tab w:val="left" w:pos="1260"/>
        </w:tabs>
        <w:spacing w:line="360" w:lineRule="auto"/>
        <w:ind w:firstLine="480" w:firstLineChars="200"/>
        <w:rPr>
          <w:rFonts w:ascii="宋体" w:hAnsi="宋体"/>
          <w:sz w:val="24"/>
        </w:rPr>
      </w:pPr>
      <w:r>
        <w:rPr>
          <w:rFonts w:ascii="宋体" w:hAnsi="宋体"/>
          <w:sz w:val="24"/>
        </w:rPr>
        <w:t>银行存款定期存单等有价凭证由基金托管人负责保管。</w:t>
      </w:r>
    </w:p>
    <w:p w14:paraId="6A0A9A45">
      <w:pPr>
        <w:pStyle w:val="186"/>
        <w:spacing w:line="360" w:lineRule="auto"/>
        <w:ind w:firstLine="480" w:firstLineChars="200"/>
        <w:rPr>
          <w:spacing w:val="-4"/>
          <w:sz w:val="24"/>
        </w:rPr>
      </w:pPr>
      <w:r>
        <w:rPr>
          <w:rFonts w:ascii="宋体" w:hAnsi="宋体"/>
          <w:sz w:val="24"/>
        </w:rPr>
        <w:t>基金托管人只负责对存款证实书进行保管，不负责对存款证实书真伪的辨别，不承担存款证实书对应存款的本金及收益的安全保管责任。</w:t>
      </w:r>
    </w:p>
    <w:p w14:paraId="06DDAAAE">
      <w:pPr>
        <w:pStyle w:val="186"/>
        <w:tabs>
          <w:tab w:val="left" w:pos="3780"/>
        </w:tabs>
        <w:autoSpaceDE w:val="0"/>
        <w:autoSpaceDN w:val="0"/>
        <w:spacing w:before="156" w:after="156" w:line="360" w:lineRule="auto"/>
        <w:outlineLvl w:val="0"/>
        <w:rPr>
          <w:rFonts w:ascii="宋体"/>
          <w:b/>
          <w:bCs/>
          <w:sz w:val="24"/>
        </w:rPr>
      </w:pPr>
      <w:bookmarkStart w:id="45" w:name="_Toc37159180"/>
      <w:bookmarkStart w:id="46" w:name="_Toc77663004"/>
      <w:r>
        <w:rPr>
          <w:rFonts w:ascii="宋体" w:hAnsi="宋体"/>
          <w:b/>
          <w:bCs/>
          <w:sz w:val="24"/>
        </w:rPr>
        <w:t>（十）与基金财产有关的重大合同的保管</w:t>
      </w:r>
      <w:bookmarkEnd w:id="45"/>
      <w:bookmarkEnd w:id="46"/>
    </w:p>
    <w:p w14:paraId="1D432BF8">
      <w:pPr>
        <w:pStyle w:val="186"/>
        <w:tabs>
          <w:tab w:val="left" w:pos="1260"/>
        </w:tabs>
        <w:spacing w:line="360" w:lineRule="auto"/>
        <w:ind w:firstLine="480" w:firstLineChars="200"/>
        <w:rPr>
          <w:rFonts w:ascii="宋体"/>
          <w:sz w:val="24"/>
        </w:rPr>
      </w:pPr>
      <w:r>
        <w:rPr>
          <w:rFonts w:ascii="宋体" w:hAnsi="宋体"/>
          <w:sz w:val="24"/>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w:t>
      </w:r>
    </w:p>
    <w:p w14:paraId="13CD26AD">
      <w:pPr>
        <w:pStyle w:val="186"/>
        <w:tabs>
          <w:tab w:val="left" w:pos="1260"/>
        </w:tabs>
        <w:spacing w:line="360" w:lineRule="auto"/>
        <w:ind w:firstLine="480" w:firstLineChars="200"/>
        <w:rPr>
          <w:rFonts w:ascii="宋体"/>
          <w:sz w:val="24"/>
        </w:rPr>
      </w:pPr>
      <w:r>
        <w:rPr>
          <w:rFonts w:ascii="宋体" w:hAnsi="宋体"/>
          <w:sz w:val="24"/>
        </w:rPr>
        <w:t>对于无法取得二份以上的正本的，基金管理人应向基金托管人提供加盖授权业务章的合同传真件，未经双方协商或未在合同约定范围内，合同原件不得转移。</w:t>
      </w:r>
    </w:p>
    <w:p w14:paraId="6C84B792">
      <w:pPr>
        <w:pStyle w:val="187"/>
      </w:pPr>
      <w:bookmarkStart w:id="47" w:name="_Toc65162005"/>
      <w:r>
        <w:t>六、指令的发送、确认和执行</w:t>
      </w:r>
      <w:bookmarkEnd w:id="40"/>
      <w:bookmarkEnd w:id="41"/>
      <w:bookmarkEnd w:id="42"/>
      <w:bookmarkEnd w:id="47"/>
    </w:p>
    <w:p w14:paraId="75D47786">
      <w:pPr>
        <w:pStyle w:val="186"/>
        <w:tabs>
          <w:tab w:val="left" w:pos="1260"/>
        </w:tabs>
        <w:spacing w:line="360" w:lineRule="auto"/>
        <w:ind w:firstLine="480"/>
        <w:rPr>
          <w:rFonts w:ascii="宋体" w:hAnsi="宋体"/>
          <w:sz w:val="24"/>
        </w:rPr>
      </w:pPr>
      <w:r>
        <w:rPr>
          <w:rFonts w:ascii="宋体" w:hAnsi="宋体"/>
          <w:sz w:val="24"/>
        </w:rPr>
        <w:t xml:space="preserve">基金管理人在运用基金财产时，开展场内证券交易前，由基金托管人根据基金管理人的划款指令执行银证互转。 </w:t>
      </w:r>
    </w:p>
    <w:p w14:paraId="075B0E8D">
      <w:pPr>
        <w:pStyle w:val="186"/>
        <w:tabs>
          <w:tab w:val="left" w:pos="1260"/>
        </w:tabs>
        <w:spacing w:line="360" w:lineRule="auto"/>
        <w:ind w:firstLine="480"/>
        <w:rPr>
          <w:rFonts w:ascii="宋体" w:hAnsi="宋体"/>
          <w:sz w:val="24"/>
        </w:rPr>
      </w:pPr>
      <w:r>
        <w:rPr>
          <w:rFonts w:ascii="宋体" w:hAnsi="宋体"/>
          <w:sz w:val="24"/>
        </w:rPr>
        <w:t>基金管理人在运用基金财产时向基金托管人发送场外资金划拨及其他款项收付指令，基金托管人执行基金管理人的指令、办理基金名下的资金往来等有关事项。基金管理人发送指令应采用电子传真、邮件、电子指令或双方认可的其他方式。</w:t>
      </w:r>
    </w:p>
    <w:p w14:paraId="4AA916A6">
      <w:pPr>
        <w:pStyle w:val="186"/>
        <w:tabs>
          <w:tab w:val="left" w:pos="3780"/>
        </w:tabs>
        <w:autoSpaceDE w:val="0"/>
        <w:autoSpaceDN w:val="0"/>
        <w:spacing w:before="156" w:after="156" w:line="360" w:lineRule="auto"/>
        <w:outlineLvl w:val="0"/>
        <w:rPr>
          <w:rFonts w:ascii="宋体"/>
          <w:b/>
          <w:bCs/>
          <w:sz w:val="24"/>
        </w:rPr>
      </w:pPr>
      <w:bookmarkStart w:id="48" w:name="_Toc77663006"/>
      <w:r>
        <w:rPr>
          <w:rFonts w:ascii="宋体" w:hAnsi="宋体"/>
          <w:b/>
          <w:bCs/>
          <w:sz w:val="24"/>
        </w:rPr>
        <w:t>（一）基金管理人对发送指令人员的书面授权</w:t>
      </w:r>
      <w:bookmarkEnd w:id="48"/>
    </w:p>
    <w:p w14:paraId="428B5316">
      <w:pPr>
        <w:pStyle w:val="186"/>
        <w:tabs>
          <w:tab w:val="left" w:pos="1260"/>
        </w:tabs>
        <w:spacing w:line="360" w:lineRule="auto"/>
        <w:ind w:firstLine="480" w:firstLineChars="200"/>
        <w:rPr>
          <w:rFonts w:ascii="宋体"/>
          <w:sz w:val="24"/>
        </w:rPr>
      </w:pPr>
      <w:r>
        <w:rPr>
          <w:rFonts w:ascii="宋体" w:hAnsi="宋体"/>
          <w:sz w:val="24"/>
        </w:rPr>
        <w:t>基金管理人应事先书面通知（以下简称“授权通知”）基金托管人有权发送指令的人员名单、签字样本、预留印鉴和启用日期，注明相应的权限，并规定基金管理人向基金托管人发送指令时基金托管人确认有权发送人员（以下简称“被授权人”）身份的方法。基金管理人向基金托管人发出的授权通知应加盖公章。基金管理人发出授权通知后，以电话形式向基金托管人确认，授权通知自其上面注明的启用日期开始生效，在此后三个工作日内基金管理人应将授权通知的正本送交基金托管人。</w:t>
      </w:r>
    </w:p>
    <w:p w14:paraId="050DBE35">
      <w:pPr>
        <w:pStyle w:val="186"/>
        <w:tabs>
          <w:tab w:val="left" w:pos="1260"/>
        </w:tabs>
        <w:spacing w:line="360" w:lineRule="auto"/>
        <w:ind w:firstLine="480" w:firstLineChars="200"/>
        <w:rPr>
          <w:rFonts w:ascii="宋体"/>
          <w:sz w:val="24"/>
        </w:rPr>
      </w:pPr>
      <w:r>
        <w:rPr>
          <w:rFonts w:ascii="宋体" w:hAnsi="宋体"/>
          <w:sz w:val="24"/>
        </w:rPr>
        <w:t>基金托管人收到授权通知后，将签字和印鉴与预留样本核对无误后，应在收到授权通知当日电话向基金管理人确认。</w:t>
      </w:r>
    </w:p>
    <w:p w14:paraId="27AD3585">
      <w:pPr>
        <w:pStyle w:val="186"/>
        <w:tabs>
          <w:tab w:val="left" w:pos="1260"/>
        </w:tabs>
        <w:spacing w:line="360" w:lineRule="auto"/>
        <w:ind w:firstLine="480" w:firstLineChars="200"/>
        <w:rPr>
          <w:rFonts w:ascii="宋体"/>
          <w:sz w:val="24"/>
        </w:rPr>
      </w:pPr>
      <w:r>
        <w:rPr>
          <w:rFonts w:ascii="宋体" w:hAnsi="宋体"/>
          <w:sz w:val="24"/>
        </w:rPr>
        <w:t>基金管理人和基金托管人对授权文件负有保密义务，其内容不得向授权人及相关操作人员以外的任何人泄露。</w:t>
      </w:r>
      <w:bookmarkStart w:id="49" w:name="_Toc77663007"/>
    </w:p>
    <w:p w14:paraId="1963F2C4">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（二）指令的内容</w:t>
      </w:r>
      <w:bookmarkEnd w:id="49"/>
    </w:p>
    <w:p w14:paraId="4BDCEE11">
      <w:pPr>
        <w:pStyle w:val="186"/>
        <w:tabs>
          <w:tab w:val="left" w:pos="1260"/>
        </w:tabs>
        <w:spacing w:line="360" w:lineRule="auto"/>
        <w:ind w:firstLine="480" w:firstLineChars="200"/>
        <w:rPr>
          <w:rFonts w:ascii="宋体"/>
          <w:sz w:val="24"/>
        </w:rPr>
      </w:pPr>
      <w:r>
        <w:rPr>
          <w:rFonts w:ascii="宋体" w:hAnsi="宋体"/>
          <w:sz w:val="24"/>
        </w:rPr>
        <w:t>指令是基金管理人在运用基金资产时，向基金托管人发出的资金划拨及其他款项收付的指令。</w:t>
      </w:r>
      <w:bookmarkStart w:id="50" w:name="_Toc77663008"/>
      <w:r>
        <w:rPr>
          <w:rFonts w:ascii="宋体" w:hAnsi="宋体"/>
          <w:sz w:val="24"/>
        </w:rPr>
        <w:t>指令应写明款项事由、支付时间、到账时间、金额、收款账户、大额支付号等执行支付所需内容，加盖预留印鉴。</w:t>
      </w:r>
    </w:p>
    <w:p w14:paraId="33B86D26">
      <w:pPr>
        <w:pStyle w:val="186"/>
        <w:tabs>
          <w:tab w:val="left" w:pos="1260"/>
        </w:tabs>
        <w:spacing w:line="360" w:lineRule="auto"/>
        <w:rPr>
          <w:rFonts w:ascii="宋体"/>
          <w:b/>
          <w:bCs/>
          <w:sz w:val="24"/>
        </w:rPr>
      </w:pPr>
      <w:r>
        <w:rPr>
          <w:rFonts w:ascii="宋体" w:hAnsi="宋体"/>
          <w:b/>
          <w:bCs/>
          <w:sz w:val="24"/>
        </w:rPr>
        <w:t>（三）指令的发送、确认和执行</w:t>
      </w:r>
      <w:bookmarkEnd w:id="50"/>
      <w:r>
        <w:rPr>
          <w:rFonts w:ascii="宋体" w:hAnsi="宋体"/>
          <w:b/>
          <w:bCs/>
          <w:sz w:val="24"/>
        </w:rPr>
        <w:t>的时间和程序</w:t>
      </w:r>
    </w:p>
    <w:p w14:paraId="5B864DDA">
      <w:pPr>
        <w:pStyle w:val="186"/>
        <w:tabs>
          <w:tab w:val="left" w:pos="1260"/>
        </w:tabs>
        <w:spacing w:line="360" w:lineRule="auto"/>
        <w:ind w:firstLine="480" w:firstLineChars="200"/>
        <w:rPr>
          <w:rFonts w:ascii="宋体"/>
          <w:sz w:val="24"/>
        </w:rPr>
      </w:pPr>
      <w:r>
        <w:rPr>
          <w:rFonts w:ascii="宋体" w:hAnsi="宋体"/>
          <w:sz w:val="24"/>
        </w:rPr>
        <w:t>基金管理人应按照《基金法》及其他有关法规、《基金合同》和本协议的规定，在其合法的经营权限和交易权限内发送指令，被授权人应按照其授权权限发送指令。指令由“授权通知”确定的被授权人代表基金管理人向基金托管人发送。发送后基金管理人及时通过电话与基金托管人确认指令内容。</w:t>
      </w:r>
      <w:r>
        <w:rPr>
          <w:rFonts w:hAnsi="宋体"/>
          <w:sz w:val="24"/>
        </w:rPr>
        <w:t>基金管理人必须在15:00之前向基金托管人发送付款指令并确保基金银行账户有足够的资金余额，15:00之后发送付款指令或截止15:00时账户资金不足的，基金托管人不能保证在当日完成划付。对基金管理人在没有充足资金的情况下向基金托管人发出的指令，基金托管人可不予执行，基金托管人不承担因为不执行该指令而造成损失的责任。如基金管理人要求当天某一时点到账，必须至少提前2个工作小时向基金托管人发送付款指令并与基金托管人电话确认。基金管理人指令传输及确认不及时或账户资金不足，未能留出足够的执行时间，致使指令未能及时执行的，基金托管人不承担由此导致的损失。基金管理人应将银行间市场成交单加盖预留印鉴后传真给基金托管人。</w:t>
      </w:r>
      <w:r>
        <w:rPr>
          <w:rFonts w:ascii="宋体" w:hAnsi="宋体"/>
          <w:sz w:val="24"/>
        </w:rPr>
        <w:t>对于被授权人发出的指令，基金管理人不得否认其效力。基金托管人依照“授权通知”规定的方法确认指令的有效后，方可执行指令。基金托管人仅根据基金管理人的授权文件对指令进行表面相符性的形式审查，对其真实性不承担责任。</w:t>
      </w:r>
    </w:p>
    <w:p w14:paraId="1994F8C9">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（四）基金管理人发送错误指令的情形和处理程序</w:t>
      </w:r>
    </w:p>
    <w:p w14:paraId="533F1139">
      <w:pPr>
        <w:pStyle w:val="186"/>
        <w:tabs>
          <w:tab w:val="left" w:pos="1260"/>
        </w:tabs>
        <w:spacing w:line="360" w:lineRule="auto"/>
        <w:ind w:firstLine="480" w:firstLineChars="200"/>
        <w:rPr>
          <w:rFonts w:ascii="宋体"/>
          <w:sz w:val="24"/>
        </w:rPr>
      </w:pPr>
      <w:r>
        <w:rPr>
          <w:rFonts w:ascii="宋体" w:hAnsi="宋体"/>
          <w:sz w:val="24"/>
        </w:rPr>
        <w:t xml:space="preserve">基金管理人发送错误指令的情形包括指令发送人员无权或超越权限发送指令及交割信息错误，指令中重要信息模糊不清或不全等。基金托管人在履行监督职能时，发现基金管理人的指令错误时，有权拒绝执行，并及时通知基金管理人改正。 </w:t>
      </w:r>
    </w:p>
    <w:p w14:paraId="2A7B2F17">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（五）基金托管人依照法律法规暂缓、拒绝执行指令的情形和处理程序</w:t>
      </w:r>
    </w:p>
    <w:p w14:paraId="0996DDAB">
      <w:pPr>
        <w:pStyle w:val="186"/>
        <w:tabs>
          <w:tab w:val="left" w:pos="1260"/>
        </w:tabs>
        <w:spacing w:line="360" w:lineRule="auto"/>
        <w:ind w:firstLine="480" w:firstLineChars="200"/>
        <w:rPr>
          <w:rFonts w:ascii="宋体"/>
          <w:sz w:val="24"/>
        </w:rPr>
      </w:pPr>
      <w:r>
        <w:rPr>
          <w:rFonts w:ascii="宋体" w:hAnsi="宋体"/>
          <w:sz w:val="24"/>
        </w:rPr>
        <w:t>基金托管人在对基金场外投资指令进行审核时，如发现基金管理人的投资指令违反有关基金的法律法规、《基金合同》、本协议的规定，如交易未生效，则不予执行并立即通知基金管理人；如交易已生效，则以书面形式通知基金管理人限期纠正。基金管理人收到通知后应及时核对，并以约定形式向基金托管人反馈，由此造成的损失由基金管理人承担。</w:t>
      </w:r>
    </w:p>
    <w:p w14:paraId="6A1D7EBF">
      <w:pPr>
        <w:pStyle w:val="186"/>
        <w:tabs>
          <w:tab w:val="left" w:pos="1260"/>
        </w:tabs>
        <w:spacing w:line="360" w:lineRule="auto"/>
        <w:ind w:firstLine="480" w:firstLineChars="200"/>
        <w:rPr>
          <w:rFonts w:ascii="宋体"/>
          <w:sz w:val="24"/>
        </w:rPr>
      </w:pPr>
      <w:r>
        <w:rPr>
          <w:rFonts w:ascii="宋体" w:hAnsi="宋体"/>
          <w:sz w:val="24"/>
        </w:rPr>
        <w:t>基金托管人在对基金场外投资指令进行审核时，如发现投资指令有可能违反法律法规、《基金合同》、本协议的规定，应暂缓执行指令，通知基金管理人改正。如果基金管理人拒不改正，基金托管人有权向中国证监会报告。</w:t>
      </w:r>
    </w:p>
    <w:p w14:paraId="472C5C48">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（六）基金托管人未按照基金管理人指令执行的处理方法</w:t>
      </w:r>
    </w:p>
    <w:p w14:paraId="6597312F">
      <w:pPr>
        <w:pStyle w:val="186"/>
        <w:tabs>
          <w:tab w:val="left" w:pos="1260"/>
        </w:tabs>
        <w:spacing w:line="360" w:lineRule="auto"/>
        <w:ind w:firstLine="480" w:firstLineChars="200"/>
        <w:rPr>
          <w:rFonts w:ascii="宋体"/>
          <w:sz w:val="24"/>
        </w:rPr>
      </w:pPr>
      <w:r>
        <w:rPr>
          <w:rFonts w:ascii="宋体" w:hAnsi="宋体"/>
          <w:sz w:val="24"/>
        </w:rPr>
        <w:t>基金托管人由于自身原因造成未按照基金管理人发送的正常指令执行，应在发现后及时采取措施予以弥补，给基金份额持有人造成损失的，对由此造成的直接经济损失负赔偿责任。</w:t>
      </w:r>
      <w:bookmarkStart w:id="51" w:name="_Toc77663009"/>
    </w:p>
    <w:p w14:paraId="5AA2D318">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（七）被授权人</w:t>
      </w:r>
      <w:bookmarkEnd w:id="51"/>
      <w:r>
        <w:rPr>
          <w:rFonts w:ascii="宋体" w:hAnsi="宋体"/>
          <w:b/>
          <w:bCs/>
          <w:sz w:val="24"/>
        </w:rPr>
        <w:t>员的更换</w:t>
      </w:r>
    </w:p>
    <w:p w14:paraId="361D6A5F">
      <w:pPr>
        <w:pStyle w:val="186"/>
        <w:tabs>
          <w:tab w:val="left" w:pos="1260"/>
        </w:tabs>
        <w:spacing w:line="360" w:lineRule="auto"/>
        <w:ind w:firstLine="480" w:firstLineChars="200"/>
        <w:rPr>
          <w:rFonts w:ascii="宋体"/>
          <w:sz w:val="24"/>
        </w:rPr>
      </w:pPr>
      <w:r>
        <w:rPr>
          <w:rFonts w:ascii="宋体" w:hAnsi="宋体"/>
          <w:sz w:val="24"/>
        </w:rPr>
        <w:t>基金管理人撤换被授权人员或改变被授权人员的权限，必须提前至少三个工作日，使用传真向基金托管人发出加盖公章的被授权人变更通知，注明启用日期，同时电话通知基金托管人。被授权人变更通知自其上面注明的启用日期起开始生效。基金管理人对授权通知的内容的修改自启用日期起生效。基金管理人在此后三个工作日内将被授权人变更通知的正本送交基金托管人。</w:t>
      </w:r>
    </w:p>
    <w:p w14:paraId="595ED947">
      <w:pPr>
        <w:pStyle w:val="186"/>
        <w:tabs>
          <w:tab w:val="left" w:pos="1260"/>
        </w:tabs>
        <w:spacing w:line="360" w:lineRule="auto"/>
        <w:ind w:firstLine="480" w:firstLineChars="200"/>
        <w:rPr>
          <w:rFonts w:ascii="宋体"/>
          <w:sz w:val="24"/>
        </w:rPr>
      </w:pPr>
      <w:r>
        <w:rPr>
          <w:rFonts w:ascii="宋体" w:hAnsi="宋体"/>
          <w:sz w:val="24"/>
        </w:rPr>
        <w:t>如果基金管理人已经撤销或更改对指令发送人员的授权，并且书面通知基金托管人，则对于在变更通知的启用日期后该指令发送人员无权发送的指令，或超权限发送的指令，基金管理人不承担责任。</w:t>
      </w:r>
    </w:p>
    <w:p w14:paraId="69DB5BF8">
      <w:pPr>
        <w:pStyle w:val="187"/>
      </w:pPr>
      <w:bookmarkStart w:id="52" w:name="_Toc523829997"/>
      <w:bookmarkStart w:id="53" w:name="_Toc65162006"/>
      <w:bookmarkStart w:id="54" w:name="_Toc466788856"/>
      <w:bookmarkStart w:id="55" w:name="_Toc22454451"/>
      <w:bookmarkStart w:id="56" w:name="_Toc125892443"/>
      <w:r>
        <w:t>七、交易及清算交收安排</w:t>
      </w:r>
      <w:bookmarkEnd w:id="52"/>
      <w:bookmarkEnd w:id="53"/>
      <w:bookmarkEnd w:id="54"/>
      <w:bookmarkEnd w:id="55"/>
      <w:bookmarkEnd w:id="56"/>
    </w:p>
    <w:p w14:paraId="4FB13B8B">
      <w:pPr>
        <w:pStyle w:val="186"/>
        <w:tabs>
          <w:tab w:val="left" w:pos="3780"/>
        </w:tabs>
        <w:autoSpaceDE w:val="0"/>
        <w:autoSpaceDN w:val="0"/>
        <w:spacing w:before="156" w:after="156" w:line="360" w:lineRule="auto"/>
        <w:outlineLvl w:val="0"/>
        <w:rPr>
          <w:rFonts w:ascii="宋体"/>
          <w:b/>
          <w:bCs/>
          <w:sz w:val="24"/>
        </w:rPr>
      </w:pPr>
      <w:bookmarkStart w:id="57" w:name="_Toc77663011"/>
      <w:bookmarkStart w:id="58" w:name="_Toc22454452"/>
      <w:bookmarkStart w:id="59" w:name="_Toc77663012"/>
      <w:r>
        <w:rPr>
          <w:rFonts w:ascii="宋体" w:hAnsi="宋体"/>
          <w:b/>
          <w:bCs/>
          <w:sz w:val="24"/>
        </w:rPr>
        <w:t>（一）选择代理证券、期货买卖的证券、期货经纪机构的标准和程序</w:t>
      </w:r>
      <w:bookmarkEnd w:id="57"/>
      <w:bookmarkEnd w:id="58"/>
    </w:p>
    <w:p w14:paraId="5D387A9E">
      <w:pPr>
        <w:pStyle w:val="186"/>
        <w:tabs>
          <w:tab w:val="left" w:pos="1260"/>
        </w:tabs>
        <w:snapToGrid/>
        <w:spacing w:line="360" w:lineRule="auto"/>
        <w:ind w:firstLine="480" w:firstLineChars="200"/>
        <w:rPr>
          <w:rFonts w:ascii="宋体" w:hAnsi="宋体"/>
          <w:sz w:val="24"/>
        </w:rPr>
      </w:pPr>
      <w:r>
        <w:rPr>
          <w:rFonts w:ascii="宋体" w:hAnsi="宋体"/>
          <w:sz w:val="24"/>
        </w:rPr>
        <w:t>基金管理人负责选择代理本基金证券交易所证券买卖的证券经纪机构，</w:t>
      </w:r>
      <w:r>
        <w:rPr>
          <w:rFonts w:ascii="宋体" w:hAnsi="宋体" w:eastAsia="宋体"/>
          <w:bCs/>
          <w:color w:val="000000"/>
          <w:sz w:val="24"/>
        </w:rPr>
        <w:t>基金管理人、基金托管人和证券经纪机构</w:t>
      </w:r>
      <w:r>
        <w:rPr>
          <w:rFonts w:ascii="宋体" w:hAnsi="宋体" w:eastAsia="宋体"/>
          <w:bCs/>
          <w:color w:val="000000"/>
          <w:sz w:val="24"/>
          <w:lang w:val="en-US" w:eastAsia="zh-CN"/>
        </w:rPr>
        <w:t>应</w:t>
      </w:r>
      <w:r>
        <w:rPr>
          <w:rFonts w:ascii="宋体" w:hAnsi="宋体" w:eastAsia="宋体"/>
          <w:bCs/>
          <w:color w:val="000000"/>
          <w:sz w:val="24"/>
        </w:rPr>
        <w:t>就本基金参与证券交易的具体事项签订证券经纪服务协议，明确三方在本基金参与场内证券交易、证券交收及相关资金交收过程中的职责和义务。</w:t>
      </w:r>
      <w:r>
        <w:rPr>
          <w:rFonts w:ascii="宋体" w:hAnsi="宋体" w:eastAsia="宋体" w:cs="宋体"/>
          <w:color w:val="000000"/>
          <w:sz w:val="24"/>
        </w:rPr>
        <w:t>基金管理人应及时将基金交易单元号、佣金费率等基本信息以及变更情况及时以书面形式通知基</w:t>
      </w:r>
      <w:r>
        <w:rPr>
          <w:rFonts w:ascii="宋体" w:hAnsi="宋体" w:eastAsia="宋体" w:cs="宋体"/>
          <w:color w:val="000000"/>
          <w:sz w:val="24"/>
          <w:highlight w:val="none"/>
        </w:rPr>
        <w:t>金托管人。</w:t>
      </w:r>
    </w:p>
    <w:p w14:paraId="593566B8">
      <w:pPr>
        <w:pStyle w:val="186"/>
        <w:tabs>
          <w:tab w:val="left" w:pos="1260"/>
        </w:tabs>
        <w:snapToGrid/>
        <w:spacing w:line="360" w:lineRule="auto"/>
        <w:ind w:firstLine="480" w:firstLineChars="200"/>
        <w:rPr>
          <w:rFonts w:ascii="宋体"/>
          <w:sz w:val="24"/>
        </w:rPr>
      </w:pPr>
      <w:r>
        <w:rPr>
          <w:rFonts w:ascii="宋体"/>
          <w:sz w:val="24"/>
        </w:rPr>
        <w:t>基金管理人负责选择代理本基金期货交易的期货经纪机构，并与其签订期货经纪合同，其他事宜根据法律法规、基金合同的相关规定执行，若无明确规定的，可参照有关证券买卖、证券经纪机构选择的规则执行。</w:t>
      </w:r>
    </w:p>
    <w:p w14:paraId="6DC7CE62">
      <w:pPr>
        <w:pStyle w:val="186"/>
        <w:tabs>
          <w:tab w:val="left" w:pos="3780"/>
        </w:tabs>
        <w:autoSpaceDE w:val="0"/>
        <w:autoSpaceDN w:val="0"/>
        <w:spacing w:before="156" w:after="156" w:line="360" w:lineRule="auto"/>
        <w:outlineLvl w:val="0"/>
        <w:rPr>
          <w:rFonts w:ascii="宋体" w:hAnsi="宋体"/>
          <w:b/>
          <w:bCs/>
          <w:sz w:val="24"/>
        </w:rPr>
      </w:pPr>
      <w:r>
        <w:rPr>
          <w:rFonts w:ascii="宋体" w:hAnsi="宋体"/>
          <w:b/>
          <w:bCs/>
          <w:sz w:val="24"/>
        </w:rPr>
        <w:t>（二）基金投资证券后的清算</w:t>
      </w:r>
      <w:bookmarkEnd w:id="59"/>
      <w:r>
        <w:rPr>
          <w:rFonts w:ascii="宋体" w:hAnsi="宋体"/>
          <w:b/>
          <w:bCs/>
          <w:sz w:val="24"/>
        </w:rPr>
        <w:t>交收安排</w:t>
      </w:r>
    </w:p>
    <w:p w14:paraId="097B4481">
      <w:pPr>
        <w:pStyle w:val="186"/>
        <w:tabs>
          <w:tab w:val="left" w:pos="1260"/>
        </w:tabs>
        <w:spacing w:line="360" w:lineRule="auto"/>
        <w:ind w:firstLine="480" w:firstLineChars="200"/>
        <w:rPr>
          <w:rFonts w:ascii="宋体"/>
          <w:sz w:val="24"/>
        </w:rPr>
      </w:pPr>
      <w:r>
        <w:rPr>
          <w:rFonts w:ascii="宋体" w:hAnsi="宋体"/>
          <w:sz w:val="24"/>
        </w:rPr>
        <w:t>1.资金划拨</w:t>
      </w:r>
    </w:p>
    <w:p w14:paraId="6714F94D">
      <w:pPr>
        <w:pStyle w:val="186"/>
        <w:tabs>
          <w:tab w:val="left" w:pos="1260"/>
        </w:tabs>
        <w:spacing w:line="360" w:lineRule="auto"/>
        <w:ind w:firstLine="480" w:firstLineChars="200"/>
        <w:rPr>
          <w:rFonts w:ascii="宋体"/>
          <w:sz w:val="24"/>
        </w:rPr>
      </w:pPr>
      <w:r>
        <w:rPr>
          <w:rFonts w:ascii="宋体" w:hAnsi="宋体"/>
          <w:sz w:val="24"/>
        </w:rPr>
        <w:t>对于基金管理人的资金划拨指令，基金托管人在复核无误后应在规定期限内执行，不得延误。基金管理人应保证基金托管人在执行基金管理人发送的资金划拨指令时，基金银行账户或资金交收账户上有充足的资金。基金的资金头寸不足时，基金托管人有权拒绝基金管理人发送的划款指令。基金管理人在发送划款指令时应充分考虑基金托管人的划款处理时间和在途时间。在基金资金头寸充足的情况下，基金托管人对基金管理人符合法律法规、《基金合同》、本协议的指令不得拖延或拒绝执行。对超头寸的划款指令，基金托管人有权止付但应及时电话通知基金管理人，由此造成的损失由基金管理人承担。</w:t>
      </w:r>
    </w:p>
    <w:p w14:paraId="6431B722">
      <w:pPr>
        <w:pStyle w:val="186"/>
        <w:tabs>
          <w:tab w:val="left" w:pos="1260"/>
        </w:tabs>
        <w:spacing w:line="360" w:lineRule="auto"/>
        <w:ind w:firstLine="480" w:firstLineChars="200"/>
        <w:rPr>
          <w:rFonts w:ascii="宋体"/>
          <w:sz w:val="24"/>
        </w:rPr>
      </w:pPr>
      <w:r>
        <w:rPr>
          <w:rFonts w:ascii="宋体" w:hAnsi="宋体"/>
          <w:sz w:val="24"/>
        </w:rPr>
        <w:t>2.结算方式</w:t>
      </w:r>
    </w:p>
    <w:p w14:paraId="06A92453">
      <w:pPr>
        <w:pStyle w:val="186"/>
        <w:tabs>
          <w:tab w:val="left" w:pos="1260"/>
        </w:tabs>
        <w:spacing w:line="360" w:lineRule="auto"/>
        <w:ind w:firstLine="480" w:firstLineChars="200"/>
        <w:rPr>
          <w:rFonts w:ascii="宋体"/>
          <w:sz w:val="24"/>
        </w:rPr>
      </w:pPr>
      <w:r>
        <w:rPr>
          <w:rFonts w:ascii="宋体" w:hAnsi="宋体"/>
          <w:sz w:val="24"/>
        </w:rPr>
        <w:t>支付结算以转账形式进行。如中国人民银行有更快捷、安全、可行的结算方式，基金托管人可根据需要进行调整。</w:t>
      </w:r>
    </w:p>
    <w:p w14:paraId="58E79F69">
      <w:pPr>
        <w:pStyle w:val="186"/>
        <w:tabs>
          <w:tab w:val="left" w:pos="1260"/>
        </w:tabs>
        <w:snapToGrid/>
        <w:spacing w:line="360" w:lineRule="auto"/>
        <w:ind w:firstLine="480"/>
        <w:rPr>
          <w:rFonts w:ascii="宋体" w:hAnsi="宋体"/>
          <w:sz w:val="24"/>
        </w:rPr>
      </w:pPr>
      <w:bookmarkStart w:id="60" w:name="_Toc523829999"/>
      <w:bookmarkStart w:id="61" w:name="_Toc466788858"/>
      <w:r>
        <w:rPr>
          <w:rFonts w:ascii="宋体" w:hAnsi="宋体"/>
          <w:sz w:val="24"/>
        </w:rPr>
        <w:t>3.证券交易所资金结算</w:t>
      </w:r>
    </w:p>
    <w:p w14:paraId="77DDA301">
      <w:pPr>
        <w:pStyle w:val="186"/>
        <w:tabs>
          <w:tab w:val="left" w:pos="1260"/>
        </w:tabs>
        <w:snapToGrid/>
        <w:spacing w:line="360" w:lineRule="auto"/>
        <w:ind w:firstLine="480" w:firstLineChars="200"/>
        <w:rPr>
          <w:rFonts w:ascii="宋体" w:hAnsi="宋体"/>
          <w:color w:val="000000"/>
          <w:sz w:val="24"/>
        </w:rPr>
      </w:pPr>
      <w:r>
        <w:rPr>
          <w:rFonts w:ascii="宋体" w:hAnsi="宋体"/>
          <w:color w:val="000000"/>
          <w:sz w:val="24"/>
        </w:rPr>
        <w:t>本基金的证券交易所证券交易资金结算模式为券商结算模式。证券经纪机构负责根据中国证券登记结算有限责任公司（以下简称中国结算）的相关规则，作为结算参与人与中国结算办理本基金投资于证券交易所证券交易及非交易涉及的证券资金的清算交收。管理人应遵守有关登记结算机构制定的相关业务规则和规定，该等规则和规定自动成为本条款约定的内容。</w:t>
      </w:r>
    </w:p>
    <w:p w14:paraId="123E4C98">
      <w:pPr>
        <w:pStyle w:val="186"/>
        <w:tabs>
          <w:tab w:val="left" w:pos="1260"/>
        </w:tabs>
        <w:snapToGrid/>
        <w:spacing w:line="360" w:lineRule="auto"/>
        <w:ind w:firstLine="480" w:firstLineChars="200"/>
        <w:rPr>
          <w:rFonts w:ascii="宋体" w:hAnsi="宋体"/>
          <w:color w:val="000000"/>
          <w:sz w:val="24"/>
        </w:rPr>
      </w:pPr>
      <w:r>
        <w:rPr>
          <w:rFonts w:ascii="宋体" w:hAnsi="宋体"/>
          <w:color w:val="000000"/>
          <w:sz w:val="24"/>
        </w:rPr>
        <w:t>基金管理人、基金托管人和证券经纪机构就本基金参与证券交易所证券交易的具体事项另行签订协议，明确三方在本基金参与证券交易所证券买卖中的各类证券交易、证券交收及相关资金交收过程中的职责和义务。证券经纪机构负责证券资金账户的资金安全和完整，并承担因证券经纪机构原因导致本基金清算交收业务无法完成给本基金造成的损失；若由于基金管理人</w:t>
      </w:r>
      <w:r>
        <w:rPr>
          <w:rFonts w:ascii="宋体" w:hAnsi="宋体"/>
          <w:sz w:val="24"/>
        </w:rPr>
        <w:t>的投资行为造成基金投资清算困难和风险的</w:t>
      </w:r>
      <w:r>
        <w:rPr>
          <w:rFonts w:ascii="宋体" w:hAnsi="宋体"/>
          <w:color w:val="000000"/>
          <w:sz w:val="24"/>
        </w:rPr>
        <w:t>，</w:t>
      </w:r>
      <w:r>
        <w:rPr>
          <w:rFonts w:ascii="宋体" w:hAnsi="宋体"/>
          <w:sz w:val="24"/>
        </w:rPr>
        <w:t>由基金管理人负责解决，由此给</w:t>
      </w:r>
      <w:r>
        <w:rPr>
          <w:rFonts w:hint="eastAsia" w:ascii="宋体" w:hAnsi="宋体"/>
          <w:sz w:val="24"/>
          <w:lang w:val="en-US" w:eastAsia="zh-CN"/>
        </w:rPr>
        <w:t>本基金</w:t>
      </w:r>
      <w:r>
        <w:rPr>
          <w:rFonts w:ascii="宋体" w:hAnsi="宋体"/>
          <w:sz w:val="24"/>
        </w:rPr>
        <w:t>造成的损失由基金管理人承担</w:t>
      </w:r>
      <w:r>
        <w:rPr>
          <w:rFonts w:ascii="宋体" w:hAnsi="宋体"/>
          <w:color w:val="000000"/>
          <w:sz w:val="24"/>
        </w:rPr>
        <w:t>。</w:t>
      </w:r>
    </w:p>
    <w:p w14:paraId="1D91D8B4">
      <w:pPr>
        <w:pStyle w:val="186"/>
        <w:tabs>
          <w:tab w:val="left" w:pos="1260"/>
        </w:tabs>
        <w:snapToGrid/>
        <w:spacing w:line="360" w:lineRule="auto"/>
        <w:ind w:firstLine="480" w:firstLineChars="200"/>
        <w:rPr>
          <w:rFonts w:ascii="宋体" w:hAnsi="宋体"/>
          <w:color w:val="000000"/>
          <w:sz w:val="24"/>
        </w:rPr>
      </w:pPr>
      <w:r>
        <w:rPr>
          <w:rFonts w:ascii="宋体" w:hAnsi="宋体"/>
          <w:color w:val="000000"/>
          <w:sz w:val="24"/>
        </w:rPr>
        <w:t>基金管理人应根据证券交易的资金需求，向基金托管人发送银证/证银转账指令，将资金从本基金银行存款账户划至证券资金账户，或将资金从证券资金账户划至本基金银行存款账户。基金托管人对基金管理人的指令根据本协议约定核对无误后，通过银证转账方式执行指令。</w:t>
      </w:r>
    </w:p>
    <w:p w14:paraId="05240302">
      <w:pPr>
        <w:pStyle w:val="186"/>
        <w:tabs>
          <w:tab w:val="left" w:pos="1260"/>
        </w:tabs>
        <w:spacing w:line="360" w:lineRule="auto"/>
        <w:ind w:firstLine="480" w:firstLineChars="200"/>
        <w:rPr>
          <w:rFonts w:ascii="宋体" w:hAnsi="宋体"/>
          <w:color w:val="000000"/>
          <w:sz w:val="24"/>
        </w:rPr>
      </w:pPr>
      <w:r>
        <w:rPr>
          <w:rFonts w:ascii="宋体" w:hAnsi="宋体"/>
          <w:color w:val="000000"/>
          <w:sz w:val="24"/>
        </w:rPr>
        <w:t>4.场外交易资金结算</w:t>
      </w:r>
    </w:p>
    <w:p w14:paraId="41CAA33E">
      <w:pPr>
        <w:pStyle w:val="186"/>
        <w:tabs>
          <w:tab w:val="left" w:pos="1260"/>
        </w:tabs>
        <w:spacing w:line="360" w:lineRule="auto"/>
        <w:ind w:firstLine="480" w:firstLineChars="200"/>
        <w:rPr>
          <w:rFonts w:ascii="宋体"/>
          <w:sz w:val="24"/>
        </w:rPr>
      </w:pPr>
      <w:r>
        <w:rPr>
          <w:rFonts w:ascii="宋体" w:hAnsi="宋体"/>
          <w:color w:val="000000"/>
          <w:sz w:val="24"/>
        </w:rPr>
        <w:t>本基金场外证券投资的清算交割，由基金托</w:t>
      </w:r>
      <w:r>
        <w:rPr>
          <w:rFonts w:ascii="宋体" w:hAnsi="宋体"/>
          <w:sz w:val="24"/>
        </w:rPr>
        <w:t>管人根据基金管理人的指令通过登记结算机构办理。如因基金托管人的自身原因在清算上造成基金资产的损失，应由基金托管人负责赔偿基金的损失；如果因为基金管理人的投资运作行为而造成基金投资清算困难和风险的，基金托管人发现后应立即通知基金管理人，由基金管理人负责解决，基金托管人应给予必要的配合，由此给基金托管人、本基金和基金托管人托管的其他资产造成的损失由基金管理人承担。</w:t>
      </w:r>
    </w:p>
    <w:p w14:paraId="79DDA87B">
      <w:pPr>
        <w:pStyle w:val="186"/>
        <w:tabs>
          <w:tab w:val="left" w:pos="3780"/>
        </w:tabs>
        <w:autoSpaceDE w:val="0"/>
        <w:autoSpaceDN w:val="0"/>
        <w:spacing w:before="156" w:after="156" w:line="360" w:lineRule="auto"/>
        <w:outlineLvl w:val="0"/>
        <w:rPr>
          <w:rFonts w:ascii="宋体" w:hAnsi="宋体"/>
          <w:b/>
          <w:bCs/>
          <w:sz w:val="24"/>
        </w:rPr>
      </w:pPr>
      <w:bookmarkStart w:id="62" w:name="_Toc77663013"/>
      <w:r>
        <w:rPr>
          <w:rFonts w:ascii="宋体" w:hAnsi="宋体"/>
          <w:b/>
          <w:bCs/>
          <w:sz w:val="24"/>
        </w:rPr>
        <w:t>（三）基金投资期货后的清算交收安排</w:t>
      </w:r>
    </w:p>
    <w:p w14:paraId="40654260">
      <w:pPr>
        <w:pStyle w:val="186"/>
        <w:spacing w:line="360" w:lineRule="auto"/>
        <w:ind w:firstLine="480" w:firstLineChars="200"/>
        <w:jc w:val="left"/>
        <w:rPr>
          <w:rFonts w:ascii="宋体" w:hAnsi="宋体"/>
          <w:sz w:val="24"/>
        </w:rPr>
      </w:pPr>
      <w:r>
        <w:rPr>
          <w:rFonts w:ascii="宋体" w:hAnsi="宋体"/>
          <w:sz w:val="24"/>
        </w:rPr>
        <w:t>本基金</w:t>
      </w:r>
      <w:r>
        <w:rPr>
          <w:spacing w:val="-4"/>
          <w:sz w:val="24"/>
        </w:rPr>
        <w:t>通过</w:t>
      </w:r>
      <w:r>
        <w:rPr>
          <w:rFonts w:ascii="宋体" w:hAnsi="宋体"/>
          <w:sz w:val="24"/>
        </w:rPr>
        <w:t>期货经纪机构</w:t>
      </w:r>
      <w:r>
        <w:rPr>
          <w:spacing w:val="-4"/>
          <w:sz w:val="24"/>
        </w:rPr>
        <w:t>进行的交易</w:t>
      </w:r>
      <w:r>
        <w:rPr>
          <w:rFonts w:ascii="宋体" w:hAnsi="宋体"/>
          <w:sz w:val="24"/>
        </w:rPr>
        <w:t>由期货经纪机构作为结算参与人代理本基金进行结算，</w:t>
      </w:r>
      <w:r>
        <w:rPr>
          <w:rFonts w:ascii="宋体"/>
          <w:sz w:val="24"/>
        </w:rPr>
        <w:t>并承担由期货经纪机构原因造成的正常结算、交收业务无法完成的责任</w:t>
      </w:r>
      <w:r>
        <w:rPr>
          <w:rFonts w:ascii="宋体" w:hAnsi="宋体"/>
          <w:sz w:val="24"/>
        </w:rPr>
        <w:t>。</w:t>
      </w:r>
    </w:p>
    <w:p w14:paraId="754DE732">
      <w:pPr>
        <w:pStyle w:val="186"/>
        <w:spacing w:line="360" w:lineRule="auto"/>
        <w:ind w:firstLine="480" w:firstLineChars="200"/>
        <w:jc w:val="left"/>
        <w:rPr>
          <w:rFonts w:ascii="宋体" w:hAnsi="宋体"/>
          <w:sz w:val="24"/>
        </w:rPr>
      </w:pPr>
      <w:r>
        <w:rPr>
          <w:rFonts w:ascii="宋体" w:hAnsi="宋体"/>
          <w:sz w:val="24"/>
        </w:rPr>
        <w:t>基金管理人、基金托管人和期货经纪机构可就基金参与期货交易的具体事项另行签订协议，明确三方在基金参与期货交易中的账户开立、资金划拨、期货交易、交易费用、数据传输，以及风控控制与监督等方面的职责和义务。</w:t>
      </w:r>
    </w:p>
    <w:p w14:paraId="18C7CA3C">
      <w:pPr>
        <w:pStyle w:val="186"/>
        <w:spacing w:line="360" w:lineRule="auto"/>
        <w:ind w:firstLine="480" w:firstLineChars="200"/>
        <w:jc w:val="left"/>
        <w:rPr>
          <w:rFonts w:ascii="宋体" w:hAnsi="宋体"/>
          <w:b/>
          <w:bCs/>
          <w:sz w:val="24"/>
        </w:rPr>
      </w:pPr>
      <w:r>
        <w:rPr>
          <w:rFonts w:ascii="宋体" w:hAnsi="宋体"/>
          <w:sz w:val="24"/>
        </w:rPr>
        <w:t>基金管理人应责成其选择的期货公司对发送的数据的准确性、完整性、真实性负责。由于交易结算报告的记载事项出现与实际交易结果和权益不符造成本产品估值计算错误的，应由基金管理人负责向数据发送方追偿，基金托管人不承担责任。</w:t>
      </w:r>
    </w:p>
    <w:p w14:paraId="77C20B81">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（四）基金管理人与基金托管人进行资金、证券账目和交易记录的核对</w:t>
      </w:r>
      <w:bookmarkEnd w:id="62"/>
    </w:p>
    <w:p w14:paraId="02622790">
      <w:pPr>
        <w:pStyle w:val="186"/>
        <w:tabs>
          <w:tab w:val="left" w:pos="1260"/>
        </w:tabs>
        <w:spacing w:line="360" w:lineRule="auto"/>
        <w:ind w:firstLine="480" w:firstLineChars="200"/>
        <w:rPr>
          <w:rFonts w:ascii="宋体"/>
          <w:sz w:val="24"/>
        </w:rPr>
      </w:pPr>
      <w:r>
        <w:rPr>
          <w:rFonts w:ascii="宋体" w:hAnsi="宋体"/>
          <w:sz w:val="24"/>
        </w:rPr>
        <w:t>对基金的交易记录，由基金管理人按日进行核对。对外披露基金份额净值之前，必须保证当天所有实际交易记录与基金会计账簿上的交易记录完全一致。如果交易记录与会计账簿记录不一致，造成基金会计核算不完整或不真实，由此导致的损失由基金的会计责任方承担。基金管理人每一交易日以双方认可的方式在当日全部交易结束后，将编制的基金资金、证券账目传送给基金托管人，基金托管人按日进行账目核对。</w:t>
      </w:r>
    </w:p>
    <w:p w14:paraId="0ADD7E43">
      <w:pPr>
        <w:pStyle w:val="186"/>
        <w:tabs>
          <w:tab w:val="left" w:pos="1260"/>
        </w:tabs>
        <w:spacing w:line="360" w:lineRule="auto"/>
        <w:ind w:firstLine="480" w:firstLineChars="200"/>
        <w:rPr>
          <w:rFonts w:ascii="宋体"/>
          <w:sz w:val="24"/>
        </w:rPr>
      </w:pPr>
      <w:r>
        <w:rPr>
          <w:rFonts w:ascii="宋体" w:hAnsi="宋体"/>
          <w:sz w:val="24"/>
        </w:rPr>
        <w:t>对实物券账目，相关各方定期进行账实核对。</w:t>
      </w:r>
    </w:p>
    <w:p w14:paraId="2ED5A3F4">
      <w:pPr>
        <w:pStyle w:val="186"/>
        <w:tabs>
          <w:tab w:val="left" w:pos="1260"/>
        </w:tabs>
        <w:spacing w:line="360" w:lineRule="auto"/>
        <w:ind w:firstLine="480" w:firstLineChars="200"/>
        <w:rPr>
          <w:rFonts w:ascii="宋体"/>
          <w:b/>
          <w:bCs/>
          <w:sz w:val="24"/>
        </w:rPr>
      </w:pPr>
      <w:r>
        <w:rPr>
          <w:rFonts w:ascii="宋体" w:hAnsi="宋体"/>
          <w:sz w:val="24"/>
        </w:rPr>
        <w:t>基金托管人应定期核对证券账户中的证券数量和种类。</w:t>
      </w:r>
    </w:p>
    <w:p w14:paraId="71F3CDE1">
      <w:pPr>
        <w:pStyle w:val="186"/>
        <w:tabs>
          <w:tab w:val="left" w:pos="1260"/>
        </w:tabs>
        <w:spacing w:line="360" w:lineRule="auto"/>
        <w:ind w:firstLine="480" w:firstLineChars="200"/>
        <w:rPr>
          <w:rFonts w:ascii="宋体" w:hAnsi="宋体"/>
          <w:sz w:val="24"/>
        </w:rPr>
      </w:pPr>
      <w:r>
        <w:rPr>
          <w:rFonts w:ascii="宋体" w:hAnsi="宋体"/>
          <w:sz w:val="24"/>
        </w:rPr>
        <w:t>双方可协商采用电子对账方式进行账目核对。</w:t>
      </w:r>
    </w:p>
    <w:p w14:paraId="5A324CD6">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（五）申购、赎回、转换开放式基金的资金清算和数据传递的时间、程序及托管协议当事人的责任界定</w:t>
      </w:r>
    </w:p>
    <w:p w14:paraId="0A930C3C">
      <w:pPr>
        <w:pStyle w:val="186"/>
        <w:tabs>
          <w:tab w:val="left" w:pos="1260"/>
        </w:tabs>
        <w:snapToGrid/>
        <w:spacing w:line="360" w:lineRule="auto"/>
        <w:ind w:firstLine="480" w:firstLineChars="200"/>
        <w:rPr>
          <w:rFonts w:ascii="宋体"/>
          <w:sz w:val="24"/>
        </w:rPr>
      </w:pPr>
      <w:r>
        <w:rPr>
          <w:rFonts w:ascii="宋体" w:hAnsi="宋体"/>
          <w:sz w:val="24"/>
        </w:rPr>
        <w:t>1.基金份额申购、赎回的确认，清算由基金管理人指定的登记机构负责。</w:t>
      </w:r>
    </w:p>
    <w:p w14:paraId="60A62FAB">
      <w:pPr>
        <w:pStyle w:val="186"/>
        <w:tabs>
          <w:tab w:val="left" w:pos="1260"/>
        </w:tabs>
        <w:snapToGrid/>
        <w:spacing w:line="360" w:lineRule="auto"/>
        <w:ind w:firstLine="480" w:firstLineChars="200"/>
        <w:rPr>
          <w:rFonts w:ascii="宋体"/>
          <w:sz w:val="24"/>
        </w:rPr>
      </w:pPr>
      <w:r>
        <w:rPr>
          <w:rFonts w:ascii="宋体" w:hAnsi="宋体"/>
          <w:sz w:val="24"/>
        </w:rPr>
        <w:t>2.基金管理人应将每个开放日的申购、赎回、转换开放式基金的数据传送给基金托管人。基金管理人应对传递的申购、赎回、转换开放式基金的数据真实性、准确性、完整性负责。基金托管人应及时查收申购资金的到账情况并根据基金管理人指令及时划付赎回及转换款项。</w:t>
      </w:r>
    </w:p>
    <w:p w14:paraId="4746E5C3">
      <w:pPr>
        <w:pStyle w:val="186"/>
        <w:tabs>
          <w:tab w:val="left" w:pos="1260"/>
        </w:tabs>
        <w:snapToGrid/>
        <w:spacing w:line="360" w:lineRule="auto"/>
        <w:ind w:firstLine="480" w:firstLineChars="200"/>
        <w:rPr>
          <w:rFonts w:hint="eastAsia" w:ascii="宋体" w:hAnsi="宋体"/>
          <w:sz w:val="24"/>
        </w:rPr>
      </w:pPr>
      <w:r>
        <w:rPr>
          <w:rFonts w:ascii="宋体" w:hAnsi="宋体"/>
          <w:sz w:val="24"/>
        </w:rPr>
        <w:t>3.基金托管账户与“基金清算账户”间的资金结算遵循“全额清算、净额交收”的原则，每日按照托管账户应收资金（申购申请对应申购净额与基金转换转入申请对应净额之和）与应付资金（赎回申请对应赎回金额扣除归基金资产的费用与基金转换转出申请对应金额扣除归基金资产的费用之和）的差额来确定托管账户净应收额或净应付额，以此确定资金交收额。如存在托管账户净应收额时，基金管理人应在交收日 15:00之前从基金清算账户划往基金托管账户；如存在托管账户净应付额时，</w:t>
      </w:r>
      <w:r>
        <w:rPr>
          <w:rFonts w:hint="eastAsia" w:ascii="宋体" w:hAnsi="宋体"/>
          <w:sz w:val="24"/>
        </w:rPr>
        <w:t>基金托管人按基金管理人的划款指令在资金足额、且托管人在交收日9:00之前收到TA数据、划款指令提前两个工作小时发送的前提下将托管账户净应付额在交收日</w:t>
      </w:r>
      <w:r>
        <w:rPr>
          <w:rFonts w:hint="eastAsia" w:ascii="宋体" w:hAnsi="宋体"/>
          <w:sz w:val="24"/>
          <w:lang w:val="en-US" w:eastAsia="zh-CN"/>
        </w:rPr>
        <w:t>15</w:t>
      </w:r>
      <w:r>
        <w:rPr>
          <w:rFonts w:hint="eastAsia" w:ascii="宋体" w:hAnsi="宋体"/>
          <w:sz w:val="24"/>
        </w:rPr>
        <w:t>:00之前及时划往总清算账户。</w:t>
      </w:r>
      <w:r>
        <w:rPr>
          <w:rFonts w:ascii="宋体" w:hAnsi="宋体"/>
          <w:sz w:val="24"/>
        </w:rPr>
        <w:t>基金托管人在资金划出后立即通知基金管理人，并将有关凭证传给基金管理人进行账务管理。</w:t>
      </w:r>
    </w:p>
    <w:p w14:paraId="6F44A26A">
      <w:pPr>
        <w:pStyle w:val="186"/>
        <w:tabs>
          <w:tab w:val="left" w:pos="1260"/>
        </w:tabs>
        <w:snapToGrid/>
        <w:spacing w:line="360" w:lineRule="auto"/>
        <w:ind w:firstLine="480" w:firstLineChars="200"/>
        <w:rPr>
          <w:rFonts w:ascii="宋体"/>
          <w:sz w:val="24"/>
        </w:rPr>
      </w:pPr>
      <w:r>
        <w:rPr>
          <w:rFonts w:ascii="宋体" w:hAnsi="宋体"/>
          <w:sz w:val="24"/>
        </w:rPr>
        <w:t>如果当日基金为净应收款，基金托管人应及时查收资金是否到账，对于因基金管理人的原因未准时到账的资金，应及时通知基金管理人划付，由此产生的责任应由基金管理人承担。</w:t>
      </w:r>
      <w:r>
        <w:rPr>
          <w:rFonts w:ascii="宋体" w:hAnsi="宋体"/>
          <w:color w:val="000000"/>
          <w:sz w:val="24"/>
          <w:szCs w:val="24"/>
        </w:rPr>
        <w:t>如果当日基金为净应付款，基金托管人应根据基金管理人的指令及时进行划付。对于因基金托管人的原因未准时划付的资金，基金管理人应及时通知基金托管人划付，由此产生的责任应由基金托管人承担。</w:t>
      </w:r>
    </w:p>
    <w:p w14:paraId="5F3F6F84">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（六）基金收益分配的清算交收安排</w:t>
      </w:r>
    </w:p>
    <w:p w14:paraId="367E4908">
      <w:pPr>
        <w:pStyle w:val="186"/>
        <w:tabs>
          <w:tab w:val="left" w:pos="1260"/>
        </w:tabs>
        <w:spacing w:line="360" w:lineRule="auto"/>
        <w:ind w:firstLine="480" w:firstLineChars="200"/>
        <w:rPr>
          <w:rFonts w:ascii="宋体" w:hAnsi="宋体"/>
          <w:sz w:val="24"/>
        </w:rPr>
      </w:pPr>
      <w:r>
        <w:rPr>
          <w:rFonts w:ascii="宋体" w:hAnsi="宋体"/>
          <w:sz w:val="24"/>
        </w:rPr>
        <w:t>1.基金管理人决定收益分配方案并通知基金托管人，经基金托管人复核后依照《信息披露办法》的有关规定在规定媒介公告。</w:t>
      </w:r>
    </w:p>
    <w:p w14:paraId="73E13E10">
      <w:pPr>
        <w:pStyle w:val="186"/>
        <w:tabs>
          <w:tab w:val="left" w:pos="1260"/>
        </w:tabs>
        <w:spacing w:line="360" w:lineRule="auto"/>
        <w:ind w:firstLine="480" w:firstLineChars="200"/>
        <w:rPr>
          <w:rFonts w:ascii="宋体" w:hAnsi="宋体"/>
          <w:sz w:val="24"/>
        </w:rPr>
      </w:pPr>
      <w:r>
        <w:rPr>
          <w:rFonts w:ascii="宋体" w:hAnsi="宋体"/>
          <w:sz w:val="24"/>
        </w:rPr>
        <w:t xml:space="preserve">2.基金托管人和基金管理人对基金收益分配进行账务处理并核对后，基金管理人应及时向基金托管人发送分发现金红利的划款指令，基金托管人依据划款指令在指定划付日及时将资金划至基金管理人指定账户。 </w:t>
      </w:r>
    </w:p>
    <w:p w14:paraId="74C90D8D">
      <w:pPr>
        <w:pStyle w:val="186"/>
        <w:tabs>
          <w:tab w:val="left" w:pos="1260"/>
        </w:tabs>
        <w:spacing w:line="360" w:lineRule="auto"/>
        <w:ind w:firstLine="480" w:firstLineChars="200"/>
        <w:rPr>
          <w:rFonts w:ascii="宋体"/>
          <w:sz w:val="24"/>
        </w:rPr>
      </w:pPr>
      <w:r>
        <w:rPr>
          <w:rFonts w:ascii="宋体" w:hAnsi="宋体"/>
          <w:sz w:val="24"/>
        </w:rPr>
        <w:t>3.基金管理人在下达分红款支付指令时，应给基金托管人留出必需的划款时间。</w:t>
      </w:r>
      <w:bookmarkStart w:id="63" w:name="_Toc125892444"/>
    </w:p>
    <w:p w14:paraId="0BB96A2D">
      <w:pPr>
        <w:pStyle w:val="187"/>
      </w:pPr>
      <w:bookmarkStart w:id="64" w:name="_Toc65162007"/>
      <w:r>
        <w:t>八、基金资产净值计算和会计核算</w:t>
      </w:r>
      <w:bookmarkEnd w:id="60"/>
      <w:bookmarkEnd w:id="61"/>
      <w:bookmarkEnd w:id="63"/>
      <w:bookmarkEnd w:id="64"/>
    </w:p>
    <w:p w14:paraId="349D8522">
      <w:pPr>
        <w:pStyle w:val="186"/>
        <w:tabs>
          <w:tab w:val="left" w:pos="3780"/>
        </w:tabs>
        <w:autoSpaceDE w:val="0"/>
        <w:autoSpaceDN w:val="0"/>
        <w:spacing w:before="156" w:after="156" w:line="360" w:lineRule="auto"/>
        <w:outlineLvl w:val="0"/>
        <w:rPr>
          <w:rFonts w:ascii="宋体"/>
          <w:b/>
          <w:bCs/>
          <w:sz w:val="24"/>
        </w:rPr>
      </w:pPr>
      <w:bookmarkStart w:id="65" w:name="_Toc77663017"/>
      <w:r>
        <w:rPr>
          <w:rFonts w:ascii="宋体" w:hAnsi="宋体"/>
          <w:b/>
          <w:bCs/>
          <w:sz w:val="24"/>
        </w:rPr>
        <w:t>（一）基金资产净值及基金份额净值的计算与复核</w:t>
      </w:r>
      <w:bookmarkEnd w:id="65"/>
    </w:p>
    <w:p w14:paraId="46BE4DEC">
      <w:pPr>
        <w:pStyle w:val="186"/>
        <w:autoSpaceDE w:val="0"/>
        <w:autoSpaceDN w:val="0"/>
        <w:spacing w:line="360" w:lineRule="auto"/>
        <w:ind w:firstLine="420"/>
        <w:jc w:val="left"/>
        <w:rPr>
          <w:rFonts w:ascii="宋体"/>
          <w:sz w:val="24"/>
        </w:rPr>
      </w:pPr>
      <w:r>
        <w:rPr>
          <w:rFonts w:ascii="宋体" w:hAnsi="宋体"/>
          <w:sz w:val="24"/>
        </w:rPr>
        <w:t>基金资产净值是指基金资产总值减去负债后的价值。</w:t>
      </w:r>
    </w:p>
    <w:p w14:paraId="041F7C1B">
      <w:pPr>
        <w:pStyle w:val="186"/>
        <w:tabs>
          <w:tab w:val="left" w:pos="1260"/>
        </w:tabs>
        <w:spacing w:line="360" w:lineRule="auto"/>
        <w:ind w:firstLine="480" w:firstLineChars="200"/>
        <w:rPr>
          <w:rFonts w:ascii="宋体"/>
          <w:sz w:val="24"/>
        </w:rPr>
      </w:pPr>
      <w:r>
        <w:rPr>
          <w:rFonts w:ascii="宋体" w:hAnsi="宋体"/>
          <w:sz w:val="24"/>
        </w:rPr>
        <w:t>基金管理人应每工作日对基金资产估值。估值原则应符合《基金合同》、</w:t>
      </w:r>
      <w:r>
        <w:rPr>
          <w:rFonts w:ascii="宋体"/>
          <w:sz w:val="24"/>
        </w:rPr>
        <w:t>《中国证监会关于证券投资基金估值业务的指导意见》</w:t>
      </w:r>
      <w:r>
        <w:rPr>
          <w:rFonts w:ascii="宋体" w:hAnsi="宋体"/>
          <w:sz w:val="24"/>
        </w:rPr>
        <w:t>及其他法律、法规的规定。用于基金信息披露的基金资产净值和基金份额净值由基金管理人负责计算，基金托管人复核。基金管理人应于每个工作日交易结束后计算当日的各类基金份额的基金资产净值和基金份额净值，以约定方式发送给基金托管人。基金托管人对净值计算结果复核后，将复核结果反馈给基金管理人，由基金管理人对基金份额净值予以公布。</w:t>
      </w:r>
    </w:p>
    <w:p w14:paraId="220B7EE5">
      <w:pPr>
        <w:pStyle w:val="186"/>
        <w:tabs>
          <w:tab w:val="left" w:pos="1260"/>
        </w:tabs>
        <w:spacing w:line="360" w:lineRule="auto"/>
        <w:ind w:firstLine="480" w:firstLineChars="200"/>
        <w:rPr>
          <w:rFonts w:ascii="宋体"/>
          <w:sz w:val="24"/>
        </w:rPr>
      </w:pPr>
      <w:r>
        <w:rPr>
          <w:rFonts w:ascii="宋体" w:hAnsi="宋体"/>
          <w:sz w:val="24"/>
        </w:rPr>
        <w:t xml:space="preserve">本基金按以下方法估值： </w:t>
      </w:r>
    </w:p>
    <w:p w14:paraId="6BDA6F7A">
      <w:pPr>
        <w:pStyle w:val="186"/>
        <w:spacing w:line="360" w:lineRule="auto"/>
        <w:ind w:firstLine="480" w:firstLineChars="200"/>
        <w:rPr>
          <w:bCs/>
          <w:sz w:val="24"/>
        </w:rPr>
      </w:pPr>
      <w:r>
        <w:rPr>
          <w:bCs/>
          <w:sz w:val="24"/>
        </w:rPr>
        <w:t>1、交易所上市</w:t>
      </w:r>
      <w:r>
        <w:rPr>
          <w:rFonts w:hint="eastAsia"/>
          <w:bCs/>
          <w:sz w:val="24"/>
        </w:rPr>
        <w:t>或挂牌转让的</w:t>
      </w:r>
      <w:r>
        <w:rPr>
          <w:bCs/>
          <w:sz w:val="24"/>
        </w:rPr>
        <w:t>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7B546CA0">
      <w:pPr>
        <w:pStyle w:val="186"/>
        <w:spacing w:line="360" w:lineRule="auto"/>
        <w:ind w:firstLine="480" w:firstLineChars="200"/>
        <w:rPr>
          <w:bCs/>
          <w:sz w:val="24"/>
        </w:rPr>
      </w:pPr>
      <w:r>
        <w:rPr>
          <w:rFonts w:hint="eastAsia"/>
          <w:bCs/>
          <w:sz w:val="24"/>
        </w:rPr>
        <w:t>2、</w:t>
      </w:r>
      <w:r>
        <w:rPr>
          <w:bCs/>
          <w:sz w:val="24"/>
        </w:rPr>
        <w:t>对于已上市或已挂牌转让的不含权固定收益品种，选取估值日第三方估值基准服务机构提供的相应品种当日的估值全价进行估值。</w:t>
      </w:r>
    </w:p>
    <w:p w14:paraId="3171F67E">
      <w:pPr>
        <w:pStyle w:val="186"/>
        <w:spacing w:line="360" w:lineRule="auto"/>
        <w:ind w:firstLine="480" w:firstLineChars="200"/>
        <w:rPr>
          <w:bCs/>
          <w:sz w:val="24"/>
        </w:rPr>
      </w:pPr>
      <w:r>
        <w:rPr>
          <w:rFonts w:hint="eastAsia"/>
          <w:bCs/>
          <w:sz w:val="24"/>
        </w:rPr>
        <w:t>3、</w:t>
      </w:r>
      <w:r>
        <w:rPr>
          <w:bCs/>
          <w:sz w:val="24"/>
        </w:rPr>
        <w:t>对于已上市或已挂牌转让的含权固定收益品种，选取估值日第三方估值基准服务机构提供的相应品种当日的唯一估值全价或推荐估值全价进行估值；</w:t>
      </w:r>
    </w:p>
    <w:p w14:paraId="4586CEE1">
      <w:pPr>
        <w:pStyle w:val="186"/>
        <w:spacing w:line="360" w:lineRule="auto"/>
        <w:ind w:firstLine="480" w:firstLineChars="200"/>
        <w:rPr>
          <w:bCs/>
          <w:sz w:val="24"/>
        </w:rPr>
      </w:pPr>
      <w:r>
        <w:rPr>
          <w:bCs/>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000B3999">
      <w:pPr>
        <w:pStyle w:val="186"/>
        <w:spacing w:line="360" w:lineRule="auto"/>
        <w:ind w:firstLine="480" w:firstLineChars="200"/>
        <w:rPr>
          <w:bCs/>
          <w:sz w:val="24"/>
        </w:rPr>
      </w:pPr>
      <w:r>
        <w:rPr>
          <w:rFonts w:hint="eastAsia"/>
          <w:bCs/>
          <w:sz w:val="24"/>
        </w:rPr>
        <w:t>4、</w:t>
      </w:r>
      <w:r>
        <w:rPr>
          <w:bCs/>
          <w:sz w:val="24"/>
        </w:rPr>
        <w:t>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5F264576">
      <w:pPr>
        <w:pStyle w:val="186"/>
        <w:spacing w:line="360" w:lineRule="auto"/>
        <w:ind w:firstLine="480" w:firstLineChars="200"/>
        <w:rPr>
          <w:bCs/>
          <w:sz w:val="24"/>
        </w:rPr>
      </w:pPr>
      <w:r>
        <w:rPr>
          <w:rFonts w:hint="eastAsia"/>
          <w:bCs/>
          <w:sz w:val="24"/>
        </w:rPr>
        <w:t>5、</w:t>
      </w:r>
      <w:r>
        <w:rPr>
          <w:bCs/>
          <w:sz w:val="24"/>
        </w:rPr>
        <w:t>对于未上市或未挂牌转让且不存在活跃市场的固定收益品种，应采用在当前情况下适用并且有足够可利用数据和其他信息支持的估值技术确定其公允价值。</w:t>
      </w:r>
    </w:p>
    <w:p w14:paraId="10276C4F">
      <w:pPr>
        <w:pStyle w:val="186"/>
        <w:spacing w:line="360" w:lineRule="auto"/>
        <w:ind w:firstLine="480" w:firstLineChars="200"/>
        <w:rPr>
          <w:bCs/>
          <w:sz w:val="24"/>
        </w:rPr>
      </w:pPr>
      <w:r>
        <w:rPr>
          <w:bCs/>
          <w:sz w:val="24"/>
        </w:rPr>
        <w:t>6</w:t>
      </w:r>
      <w:r>
        <w:rPr>
          <w:rFonts w:hint="eastAsia"/>
          <w:bCs/>
          <w:sz w:val="24"/>
        </w:rPr>
        <w:t>、</w:t>
      </w:r>
      <w:r>
        <w:rPr>
          <w:bCs/>
          <w:sz w:val="24"/>
        </w:rPr>
        <w:t>处于未上市期间的有价证券应区分如下情况处理：</w:t>
      </w:r>
    </w:p>
    <w:p w14:paraId="0583C3C4">
      <w:pPr>
        <w:pStyle w:val="186"/>
        <w:spacing w:line="360" w:lineRule="auto"/>
        <w:ind w:firstLine="480" w:firstLineChars="200"/>
        <w:rPr>
          <w:bCs/>
          <w:sz w:val="24"/>
        </w:rPr>
      </w:pPr>
      <w:r>
        <w:rPr>
          <w:bCs/>
          <w:sz w:val="24"/>
        </w:rPr>
        <w:t>（1）送股、转增股、配股和公开增发的新股，按估值日在证券交易所挂牌的同一股票的估值方法估值；该日无交易的，以最近一日的市价（收盘价）估值；</w:t>
      </w:r>
    </w:p>
    <w:p w14:paraId="6BBA92C6">
      <w:pPr>
        <w:pStyle w:val="186"/>
        <w:spacing w:line="360" w:lineRule="auto"/>
        <w:ind w:firstLine="480" w:firstLineChars="200"/>
        <w:rPr>
          <w:bCs/>
          <w:sz w:val="24"/>
        </w:rPr>
      </w:pPr>
      <w:r>
        <w:rPr>
          <w:bCs/>
          <w:sz w:val="24"/>
        </w:rPr>
        <w:t>（2）首次公开发行未上市的股票，采用估值技术确定公允价值；</w:t>
      </w:r>
    </w:p>
    <w:p w14:paraId="07442F91">
      <w:pPr>
        <w:pStyle w:val="186"/>
        <w:spacing w:line="360" w:lineRule="auto"/>
        <w:ind w:firstLine="480" w:firstLineChars="200"/>
        <w:rPr>
          <w:bCs/>
          <w:sz w:val="24"/>
        </w:rPr>
      </w:pPr>
      <w:r>
        <w:rPr>
          <w:bCs/>
          <w:sz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681CDA64">
      <w:pPr>
        <w:pStyle w:val="186"/>
        <w:spacing w:line="360" w:lineRule="auto"/>
        <w:ind w:firstLine="480" w:firstLineChars="200"/>
        <w:rPr>
          <w:bCs/>
          <w:sz w:val="24"/>
        </w:rPr>
      </w:pPr>
      <w:r>
        <w:rPr>
          <w:rFonts w:hint="eastAsia"/>
          <w:bCs/>
          <w:sz w:val="24"/>
        </w:rPr>
        <w:t>7、本基金投资存托凭证的估值核算，依照境内上市交易的股票执行。</w:t>
      </w:r>
    </w:p>
    <w:p w14:paraId="1DA1D014">
      <w:pPr>
        <w:pStyle w:val="186"/>
        <w:spacing w:line="360" w:lineRule="auto"/>
        <w:ind w:firstLine="480" w:firstLineChars="200"/>
        <w:rPr>
          <w:bCs/>
          <w:sz w:val="24"/>
        </w:rPr>
      </w:pPr>
      <w:r>
        <w:rPr>
          <w:bCs/>
          <w:sz w:val="24"/>
        </w:rPr>
        <w:t>8、同一证券同时在两个或两个以上市场交易的，按证券所处的市场分别估值。</w:t>
      </w:r>
    </w:p>
    <w:p w14:paraId="0DE1B914">
      <w:pPr>
        <w:pStyle w:val="186"/>
        <w:spacing w:line="360" w:lineRule="auto"/>
        <w:ind w:firstLine="480" w:firstLineChars="200"/>
        <w:rPr>
          <w:bCs/>
          <w:sz w:val="24"/>
        </w:rPr>
      </w:pPr>
      <w:r>
        <w:rPr>
          <w:rFonts w:hint="eastAsia"/>
          <w:bCs/>
          <w:sz w:val="24"/>
        </w:rPr>
        <w:t>9、本基金参与股指期货合约、国债期货合约交易，一般以估值当日结算价进行估值，估值当日无结算价的，且最近交易日后经济环境未发生重大变化的，采用最近交易日结算价估值。</w:t>
      </w:r>
      <w:r>
        <w:rPr>
          <w:bCs/>
          <w:sz w:val="24"/>
        </w:rPr>
        <w:t xml:space="preserve"> </w:t>
      </w:r>
    </w:p>
    <w:p w14:paraId="6C522C2B">
      <w:pPr>
        <w:pStyle w:val="186"/>
        <w:spacing w:line="360" w:lineRule="auto"/>
        <w:ind w:firstLine="480" w:firstLineChars="200"/>
        <w:rPr>
          <w:bCs/>
          <w:sz w:val="24"/>
        </w:rPr>
      </w:pPr>
      <w:r>
        <w:rPr>
          <w:rFonts w:hint="eastAsia"/>
          <w:bCs/>
          <w:sz w:val="24"/>
        </w:rPr>
        <w:t>10、本基金投资股票期权，根据相关法律法规以及监管部门的规定估值。</w:t>
      </w:r>
    </w:p>
    <w:p w14:paraId="5B3838C5">
      <w:pPr>
        <w:pStyle w:val="186"/>
        <w:spacing w:line="360" w:lineRule="auto"/>
        <w:ind w:firstLine="480" w:firstLineChars="200"/>
        <w:rPr>
          <w:bCs/>
          <w:sz w:val="24"/>
        </w:rPr>
      </w:pPr>
      <w:r>
        <w:rPr>
          <w:rFonts w:hint="eastAsia"/>
          <w:bCs/>
          <w:sz w:val="24"/>
        </w:rPr>
        <w:t>11、本基金参与融资或转融通证券出借业务的，应参照行业协会的相关规定进行估值，确保估值的公允性。</w:t>
      </w:r>
    </w:p>
    <w:p w14:paraId="00B9B166">
      <w:pPr>
        <w:pStyle w:val="186"/>
        <w:spacing w:line="360" w:lineRule="auto"/>
        <w:ind w:firstLine="480" w:firstLineChars="200"/>
        <w:rPr>
          <w:bCs/>
          <w:sz w:val="24"/>
        </w:rPr>
      </w:pPr>
      <w:r>
        <w:rPr>
          <w:bCs/>
          <w:sz w:val="24"/>
        </w:rPr>
        <w:t>12、如有确凿证据表明按上述方法进行估值不能客观反映其公允价值的，基金管理人可根据具体情况与基金托管人商定后，按最能反映公允价值的价格估值。</w:t>
      </w:r>
    </w:p>
    <w:p w14:paraId="448B6292">
      <w:pPr>
        <w:pStyle w:val="186"/>
        <w:spacing w:line="360" w:lineRule="auto"/>
        <w:ind w:firstLine="480" w:firstLineChars="200"/>
        <w:rPr>
          <w:bCs/>
          <w:sz w:val="24"/>
        </w:rPr>
      </w:pPr>
      <w:r>
        <w:rPr>
          <w:bCs/>
          <w:sz w:val="24"/>
        </w:rPr>
        <w:t>13、当发生大额申购或赎回情形时，基金管理人可以采用摆动定价机制，以确保基金估值的公平性。</w:t>
      </w:r>
      <w:r>
        <w:rPr>
          <w:rFonts w:hint="eastAsia"/>
          <w:bCs/>
          <w:sz w:val="24"/>
        </w:rPr>
        <w:t>具体处理原则与操作规范遵循相关法律法规以及监管部门、自律规则的规定。</w:t>
      </w:r>
    </w:p>
    <w:p w14:paraId="3BB93A9E">
      <w:pPr>
        <w:pStyle w:val="186"/>
        <w:spacing w:line="360" w:lineRule="auto"/>
        <w:ind w:firstLine="480" w:firstLineChars="200"/>
        <w:rPr>
          <w:bCs/>
          <w:sz w:val="24"/>
        </w:rPr>
      </w:pPr>
      <w:r>
        <w:rPr>
          <w:bCs/>
          <w:sz w:val="24"/>
        </w:rPr>
        <w:t>14、相关法律法规以及监管部门有强制规定的，从其规定。如有新增事项，按国家最新规定估值。</w:t>
      </w:r>
    </w:p>
    <w:p w14:paraId="097532FF">
      <w:pPr>
        <w:pStyle w:val="186"/>
        <w:spacing w:line="360" w:lineRule="auto"/>
        <w:ind w:firstLine="480" w:firstLineChars="200"/>
        <w:rPr>
          <w:bCs/>
          <w:sz w:val="24"/>
        </w:rPr>
      </w:pPr>
      <w:r>
        <w:rPr>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5CFEA723">
      <w:pPr>
        <w:pStyle w:val="186"/>
        <w:spacing w:line="360" w:lineRule="auto"/>
        <w:ind w:firstLine="480" w:firstLineChars="20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由此给基金份额持有人和基金造成的损失以及因该交易日基金资产净值计算顺延错误而引起的损失，由基金管理人负责赔付，基金托管人不负责赔付。</w:t>
      </w:r>
    </w:p>
    <w:p w14:paraId="2804125F">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（二）净值差错处理</w:t>
      </w:r>
    </w:p>
    <w:p w14:paraId="52585412">
      <w:pPr>
        <w:pStyle w:val="186"/>
        <w:autoSpaceDE w:val="0"/>
        <w:autoSpaceDN w:val="0"/>
        <w:spacing w:line="360" w:lineRule="auto"/>
        <w:ind w:firstLine="420"/>
        <w:jc w:val="left"/>
        <w:rPr>
          <w:rFonts w:ascii="宋体" w:hAnsi="宋体"/>
          <w:sz w:val="24"/>
        </w:rPr>
      </w:pPr>
      <w:r>
        <w:rPr>
          <w:rFonts w:ascii="宋体" w:hAnsi="宋体"/>
          <w:sz w:val="24"/>
        </w:rPr>
        <w:t xml:space="preserve">当发生净值计算错误时，由基金管理人负责处理，由此给基金份额持有人和基金造成损失的，由基金管理人对基金份额持有人或者基金先行支付赔偿金。基金管理人和基金托管人应根据实际情况界定双方承担的责任，经确认后按以下条款进行赔偿。 </w:t>
      </w:r>
    </w:p>
    <w:p w14:paraId="474AF043">
      <w:pPr>
        <w:pStyle w:val="186"/>
        <w:tabs>
          <w:tab w:val="left" w:pos="1260"/>
        </w:tabs>
        <w:spacing w:line="360" w:lineRule="auto"/>
        <w:ind w:firstLine="480" w:firstLineChars="200"/>
        <w:rPr>
          <w:rFonts w:ascii="宋体"/>
          <w:sz w:val="24"/>
        </w:rPr>
      </w:pPr>
      <w:r>
        <w:rPr>
          <w:rFonts w:ascii="宋体" w:hAnsi="宋体"/>
          <w:sz w:val="24"/>
        </w:rPr>
        <w:t>1.如采用本协议第八章</w:t>
      </w:r>
      <w:r>
        <w:rPr>
          <w:rFonts w:ascii="宋体"/>
          <w:sz w:val="24"/>
        </w:rPr>
        <w:t>“</w:t>
      </w:r>
      <w:r>
        <w:rPr>
          <w:rFonts w:ascii="宋体" w:hAnsi="宋体"/>
          <w:sz w:val="24"/>
        </w:rPr>
        <w:t>基金资产净值及基金份额净值的计算与复核</w:t>
      </w:r>
      <w:r>
        <w:rPr>
          <w:rFonts w:ascii="宋体"/>
          <w:sz w:val="24"/>
        </w:rPr>
        <w:t>”</w:t>
      </w:r>
      <w:r>
        <w:rPr>
          <w:rFonts w:ascii="宋体" w:hAnsi="宋体"/>
          <w:sz w:val="24"/>
        </w:rPr>
        <w:t>中估值方法的第1－8、12、13进行处理时，若基金管理人净值计算出错，基金托管人在复核过程中没有发现，且造成基金份额持有人损失的，应根据法律法规的规定对投资者或基金支付赔偿金，就实际向投资者或基金支付的赔偿金额，由基金管理人与基金托管人按照管理费率和托管费率的比例各自承担相应的责任</w:t>
      </w:r>
      <w:r>
        <w:rPr>
          <w:rFonts w:ascii="宋体" w:hAnsi="宋体"/>
          <w:color w:val="000000"/>
          <w:sz w:val="24"/>
        </w:rPr>
        <w:t xml:space="preserve">； </w:t>
      </w:r>
    </w:p>
    <w:p w14:paraId="2A7D1913">
      <w:pPr>
        <w:pStyle w:val="186"/>
        <w:tabs>
          <w:tab w:val="left" w:pos="1260"/>
        </w:tabs>
        <w:spacing w:line="360" w:lineRule="auto"/>
        <w:ind w:firstLine="480" w:firstLineChars="200"/>
        <w:rPr>
          <w:rFonts w:ascii="宋体" w:hAnsi="宋体"/>
          <w:sz w:val="24"/>
        </w:rPr>
      </w:pPr>
      <w:r>
        <w:rPr>
          <w:rFonts w:ascii="宋体" w:hAnsi="宋体"/>
          <w:sz w:val="24"/>
        </w:rPr>
        <w:t xml:space="preserve">2.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以及因该交易日基金资产净值计算顺延错误而引起的损失，由基金管理人负责赔付，基金托管人不负赔偿责任； </w:t>
      </w:r>
    </w:p>
    <w:p w14:paraId="054E8AC5">
      <w:pPr>
        <w:pStyle w:val="186"/>
        <w:tabs>
          <w:tab w:val="left" w:pos="1260"/>
        </w:tabs>
        <w:spacing w:line="360" w:lineRule="auto"/>
        <w:ind w:firstLine="480" w:firstLineChars="200"/>
        <w:rPr>
          <w:rFonts w:ascii="宋体" w:hAnsi="宋体"/>
          <w:sz w:val="24"/>
        </w:rPr>
      </w:pPr>
      <w:r>
        <w:rPr>
          <w:rFonts w:ascii="宋体"/>
          <w:sz w:val="24"/>
        </w:rPr>
        <w:t>3.</w:t>
      </w:r>
      <w:r>
        <w:rPr>
          <w:rFonts w:ascii="宋体" w:hAnsi="宋体"/>
          <w:sz w:val="24"/>
        </w:rPr>
        <w:t>基金管理人、基金托管人按估值方法的第12项进行估值时，所造成的误差不作为基金资产估值错误处理。</w:t>
      </w:r>
    </w:p>
    <w:p w14:paraId="5E7AA81D">
      <w:pPr>
        <w:pStyle w:val="186"/>
        <w:tabs>
          <w:tab w:val="left" w:pos="1260"/>
        </w:tabs>
        <w:spacing w:line="360" w:lineRule="auto"/>
        <w:ind w:firstLine="480" w:firstLineChars="200"/>
        <w:rPr>
          <w:rFonts w:ascii="宋体"/>
          <w:sz w:val="24"/>
        </w:rPr>
      </w:pPr>
      <w:r>
        <w:rPr>
          <w:rFonts w:ascii="宋体" w:hAnsi="宋体"/>
          <w:sz w:val="24"/>
        </w:rPr>
        <w:t>由于不可抗力原因，或由于证券、期货交易所或登记结算公司</w:t>
      </w:r>
      <w:r>
        <w:rPr>
          <w:rFonts w:hint="eastAsia" w:ascii="宋体" w:hAnsi="宋体"/>
          <w:sz w:val="24"/>
        </w:rPr>
        <w:t>、指数编制机构及存款银行等第三方机构</w:t>
      </w:r>
      <w:r>
        <w:rPr>
          <w:rFonts w:ascii="宋体" w:hAnsi="宋体"/>
          <w:sz w:val="24"/>
        </w:rPr>
        <w:t>发送的数据错误、遗漏</w:t>
      </w:r>
      <w:r>
        <w:rPr>
          <w:rFonts w:hint="eastAsia" w:ascii="宋体" w:hAnsi="宋体"/>
          <w:sz w:val="24"/>
        </w:rPr>
        <w:t>、市场规则变更等非基金管理人与基金托管人</w:t>
      </w:r>
      <w:r>
        <w:rPr>
          <w:rFonts w:ascii="宋体" w:hAnsi="宋体"/>
          <w:sz w:val="24"/>
        </w:rPr>
        <w:t>原因，基金管理人和基金托管人虽然已经采取必要、适当、合理的措施进行检查，但未能发现错误的，由此造成的基金资产估值错误，基金管理人和基金托管人免除赔偿责任。但基金管理人、基金托管人应当积极采取必要的措施减轻或消除由此造成的影响。</w:t>
      </w:r>
    </w:p>
    <w:p w14:paraId="583DB6D3">
      <w:pPr>
        <w:pStyle w:val="186"/>
        <w:tabs>
          <w:tab w:val="left" w:pos="1260"/>
        </w:tabs>
        <w:spacing w:line="360" w:lineRule="auto"/>
        <w:ind w:firstLine="480" w:firstLineChars="200"/>
        <w:rPr>
          <w:rFonts w:ascii="宋体" w:hAnsi="宋体"/>
          <w:sz w:val="24"/>
        </w:rPr>
      </w:pPr>
      <w:r>
        <w:rPr>
          <w:rFonts w:ascii="宋体" w:hAnsi="宋体"/>
          <w:sz w:val="24"/>
        </w:rPr>
        <w:t>针对净值差错处理，如果法律法规或证监会有新的规定，则按新的规定执行；如果行业有通行做法，在不违背法律法规且不损害投资者利益的前提下，双方应本着</w:t>
      </w:r>
      <w:r>
        <w:rPr>
          <w:rFonts w:ascii="宋体"/>
          <w:sz w:val="24"/>
        </w:rPr>
        <w:t>平等和保护基金份额持有人利益的</w:t>
      </w:r>
      <w:r>
        <w:rPr>
          <w:rFonts w:ascii="宋体" w:hAnsi="宋体"/>
          <w:sz w:val="24"/>
        </w:rPr>
        <w:t>原则重新协商确定处理原则。</w:t>
      </w:r>
    </w:p>
    <w:p w14:paraId="7EB5F1B6">
      <w:pPr>
        <w:pStyle w:val="186"/>
        <w:tabs>
          <w:tab w:val="left" w:pos="1260"/>
        </w:tabs>
        <w:spacing w:line="360" w:lineRule="auto"/>
        <w:ind w:firstLine="480" w:firstLineChars="200"/>
        <w:rPr>
          <w:rFonts w:ascii="宋体"/>
          <w:sz w:val="24"/>
        </w:rPr>
      </w:pPr>
      <w:r>
        <w:rPr>
          <w:rFonts w:ascii="宋体"/>
          <w:sz w:val="24"/>
        </w:rPr>
        <w:t>4、实施侧袋机制期间的基金资产估值</w:t>
      </w:r>
    </w:p>
    <w:p w14:paraId="78DB2B10">
      <w:pPr>
        <w:pStyle w:val="186"/>
        <w:tabs>
          <w:tab w:val="left" w:pos="1260"/>
        </w:tabs>
        <w:spacing w:line="360" w:lineRule="auto"/>
        <w:ind w:firstLine="480" w:firstLineChars="200"/>
        <w:rPr>
          <w:rFonts w:ascii="宋体"/>
          <w:sz w:val="24"/>
        </w:rPr>
      </w:pPr>
      <w:r>
        <w:rPr>
          <w:rFonts w:ascii="宋体"/>
          <w:sz w:val="24"/>
        </w:rPr>
        <w:t>本基金实施侧袋机制的，应根据本部分的约定对主袋账户资产进行估值并披露主袋账户的基金净值信息，暂停披露侧袋账户基金净值信息。</w:t>
      </w:r>
    </w:p>
    <w:p w14:paraId="74EBC80F">
      <w:pPr>
        <w:pStyle w:val="186"/>
        <w:tabs>
          <w:tab w:val="left" w:pos="3780"/>
        </w:tabs>
        <w:autoSpaceDE w:val="0"/>
        <w:autoSpaceDN w:val="0"/>
        <w:spacing w:before="156" w:after="156" w:line="360" w:lineRule="auto"/>
        <w:outlineLvl w:val="0"/>
        <w:rPr>
          <w:rFonts w:ascii="宋体"/>
          <w:b/>
          <w:sz w:val="24"/>
        </w:rPr>
      </w:pPr>
      <w:r>
        <w:rPr>
          <w:rFonts w:ascii="宋体"/>
          <w:b/>
          <w:sz w:val="24"/>
        </w:rPr>
        <w:t>（三）基金</w:t>
      </w:r>
      <w:r>
        <w:rPr>
          <w:rFonts w:ascii="宋体" w:hAnsi="宋体"/>
          <w:b/>
          <w:bCs/>
          <w:sz w:val="24"/>
        </w:rPr>
        <w:t>会计制度</w:t>
      </w:r>
    </w:p>
    <w:p w14:paraId="596A851F">
      <w:pPr>
        <w:pStyle w:val="186"/>
        <w:autoSpaceDE w:val="0"/>
        <w:autoSpaceDN w:val="0"/>
        <w:spacing w:line="360" w:lineRule="auto"/>
        <w:ind w:firstLine="420"/>
        <w:jc w:val="left"/>
        <w:rPr>
          <w:rFonts w:ascii="宋体"/>
          <w:sz w:val="24"/>
        </w:rPr>
      </w:pPr>
      <w:r>
        <w:rPr>
          <w:rFonts w:ascii="宋体"/>
          <w:sz w:val="24"/>
        </w:rPr>
        <w:t>按国家有关部门制定的会计制度执行。</w:t>
      </w:r>
    </w:p>
    <w:p w14:paraId="1AE93089">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（四）基金账册的建立</w:t>
      </w:r>
    </w:p>
    <w:p w14:paraId="183EDE33">
      <w:pPr>
        <w:pStyle w:val="186"/>
        <w:tabs>
          <w:tab w:val="left" w:pos="1260"/>
        </w:tabs>
        <w:spacing w:line="360" w:lineRule="auto"/>
        <w:ind w:firstLine="480" w:firstLineChars="200"/>
        <w:rPr>
          <w:rFonts w:ascii="宋体"/>
          <w:sz w:val="24"/>
        </w:rPr>
      </w:pPr>
      <w:r>
        <w:rPr>
          <w:rFonts w:ascii="宋体" w:hAnsi="宋体"/>
          <w:sz w:val="24"/>
        </w:rPr>
        <w:t>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w:t>
      </w:r>
    </w:p>
    <w:p w14:paraId="718504E1">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（五）会计数据和财务指标的核对</w:t>
      </w:r>
    </w:p>
    <w:p w14:paraId="3B73B0A2">
      <w:pPr>
        <w:pStyle w:val="186"/>
        <w:tabs>
          <w:tab w:val="left" w:pos="1260"/>
        </w:tabs>
        <w:spacing w:line="360" w:lineRule="auto"/>
        <w:ind w:firstLine="480" w:firstLineChars="200"/>
        <w:rPr>
          <w:rFonts w:ascii="宋体"/>
          <w:sz w:val="24"/>
        </w:rPr>
      </w:pPr>
      <w:r>
        <w:rPr>
          <w:rFonts w:ascii="宋体" w:hAnsi="宋体"/>
          <w:sz w:val="24"/>
        </w:rPr>
        <w:t>双方应每个交易日核对账目，如发现双方的账目存在不符的，基金管理人和基金托管人必须及时查明原因并纠正，确保核对一致。若当日核对不符，暂时无法查找到错账的原因而影响到基金资产净值的计算和公告的，以基金管理人的账册为准。</w:t>
      </w:r>
    </w:p>
    <w:p w14:paraId="5D823BB2">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（六）基金定期报告的编制和复核</w:t>
      </w:r>
    </w:p>
    <w:p w14:paraId="02667920">
      <w:pPr>
        <w:pStyle w:val="186"/>
        <w:tabs>
          <w:tab w:val="left" w:pos="1260"/>
        </w:tabs>
        <w:spacing w:line="360" w:lineRule="auto"/>
        <w:ind w:firstLine="480" w:firstLineChars="200"/>
        <w:rPr>
          <w:rFonts w:ascii="宋体"/>
          <w:sz w:val="24"/>
        </w:rPr>
      </w:pPr>
      <w:r>
        <w:rPr>
          <w:rFonts w:ascii="宋体" w:hAnsi="宋体"/>
          <w:sz w:val="24"/>
        </w:rPr>
        <w:t>基金财务报表由基金管理人和基金托管人每月分别独立编制。月度报表的编制，应于每月终了后5个工作日内完成。定期报告文件应按中国证监会的要求公告。季度报表的编制，应于每季度终了后15个工作日内完成；</w:t>
      </w:r>
      <w:r>
        <w:rPr>
          <w:sz w:val="24"/>
        </w:rPr>
        <w:t>基金招募说明书、基金产品资料概要的信息发生重大变更的，基金管理人应当在3个工作日内，更新基金招募说明书和基金产品资料概要并登载在规定网站上；基金招募说明书、基金产品资料概要的其他信息发生变更的，基金管理人至少每年更新一次。</w:t>
      </w:r>
      <w:r>
        <w:rPr>
          <w:rFonts w:ascii="宋体" w:hAnsi="宋体"/>
          <w:sz w:val="24"/>
        </w:rPr>
        <w:t>中期报告在基金会计年度前6个月结束后的2个月内公告；年度报告在会计年度结束后3个月内公告。如果基金合同生效不足2个月的，基金管理人可以不编制当期季度报告、中期报告或者年度报告。</w:t>
      </w:r>
    </w:p>
    <w:p w14:paraId="4EEA0377">
      <w:pPr>
        <w:pStyle w:val="186"/>
        <w:tabs>
          <w:tab w:val="left" w:pos="1260"/>
        </w:tabs>
        <w:spacing w:line="360" w:lineRule="auto"/>
        <w:ind w:firstLine="480" w:firstLineChars="200"/>
        <w:rPr>
          <w:rFonts w:ascii="宋体"/>
          <w:sz w:val="24"/>
        </w:rPr>
      </w:pPr>
      <w:r>
        <w:rPr>
          <w:rFonts w:ascii="宋体" w:hAnsi="宋体"/>
          <w:sz w:val="24"/>
        </w:rPr>
        <w:t>基金管理人在月初3个工作日内完成上月度报表的编制，以约定方式将有关报表提供基金托管人；基金托管人收到后在2个工作日内进行复核，并将复核结果及时书面或以双方约定的其他方式通知基金管理人。对于季度报告、中期报告、年度报告、更新招募说明书、基金产品资料概要等，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证监会备案。</w:t>
      </w:r>
    </w:p>
    <w:p w14:paraId="18C2DC26">
      <w:pPr>
        <w:pStyle w:val="186"/>
        <w:tabs>
          <w:tab w:val="left" w:pos="1260"/>
        </w:tabs>
        <w:spacing w:line="360" w:lineRule="auto"/>
        <w:ind w:firstLine="480" w:firstLineChars="200"/>
        <w:rPr>
          <w:rFonts w:ascii="宋体"/>
          <w:sz w:val="24"/>
        </w:rPr>
      </w:pPr>
      <w:r>
        <w:rPr>
          <w:rFonts w:ascii="宋体" w:hAnsi="宋体"/>
          <w:sz w:val="24"/>
        </w:rPr>
        <w:t>基金托管人对上述报告复核完毕后，可以出具复核确认书（盖章）或以其他双方约定的方式确认，以备有权机构对相关文件审核检查。</w:t>
      </w:r>
      <w:bookmarkStart w:id="66" w:name="_Toc466788859"/>
      <w:bookmarkStart w:id="67" w:name="_Toc125892445"/>
      <w:bookmarkStart w:id="68" w:name="_Toc523830000"/>
      <w:bookmarkStart w:id="69" w:name="_Toc22454461"/>
    </w:p>
    <w:p w14:paraId="7E8AB98B">
      <w:pPr>
        <w:pStyle w:val="187"/>
      </w:pPr>
      <w:bookmarkStart w:id="70" w:name="_Toc65162008"/>
      <w:r>
        <w:t>九、基金收益分配</w:t>
      </w:r>
      <w:bookmarkEnd w:id="66"/>
      <w:bookmarkEnd w:id="67"/>
      <w:bookmarkEnd w:id="68"/>
      <w:bookmarkEnd w:id="69"/>
      <w:bookmarkEnd w:id="70"/>
    </w:p>
    <w:p w14:paraId="05BDB597">
      <w:pPr>
        <w:pStyle w:val="186"/>
        <w:tabs>
          <w:tab w:val="left" w:pos="1260"/>
        </w:tabs>
        <w:spacing w:line="360" w:lineRule="auto"/>
        <w:ind w:firstLine="480" w:firstLineChars="200"/>
        <w:rPr>
          <w:rFonts w:ascii="宋体" w:hAnsi="宋体"/>
          <w:sz w:val="24"/>
        </w:rPr>
      </w:pPr>
      <w:r>
        <w:rPr>
          <w:rFonts w:ascii="宋体" w:hAnsi="宋体"/>
          <w:sz w:val="24"/>
        </w:rPr>
        <w:t>基金收益分配是指将本基金的可分配收益根据持有基金份额的数量按比例向基金份额持有人进行分配。</w:t>
      </w:r>
    </w:p>
    <w:p w14:paraId="7223D837">
      <w:pPr>
        <w:pStyle w:val="186"/>
        <w:tabs>
          <w:tab w:val="left" w:pos="1260"/>
        </w:tabs>
        <w:spacing w:line="360" w:lineRule="auto"/>
        <w:ind w:firstLine="480" w:firstLineChars="200"/>
        <w:rPr>
          <w:rFonts w:ascii="宋体"/>
          <w:sz w:val="24"/>
        </w:rPr>
      </w:pPr>
      <w:r>
        <w:rPr>
          <w:rFonts w:ascii="宋体" w:hAnsi="宋体"/>
          <w:sz w:val="24"/>
        </w:rPr>
        <w:t>基金可供分配利润指截至收益分配基准日基金未分配利润与未分配利润中已实现收益的孰低数。</w:t>
      </w:r>
    </w:p>
    <w:p w14:paraId="4518294D">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（一）基金收益分配应符合基金合同中收益分配原则的规定，具体规定如下：</w:t>
      </w:r>
    </w:p>
    <w:p w14:paraId="6990D84F">
      <w:pPr>
        <w:pStyle w:val="186"/>
        <w:tabs>
          <w:tab w:val="left" w:pos="1260"/>
        </w:tabs>
        <w:spacing w:line="360" w:lineRule="auto"/>
        <w:ind w:firstLine="480" w:firstLineChars="200"/>
        <w:rPr>
          <w:rFonts w:ascii="宋体" w:hAnsi="宋体"/>
          <w:sz w:val="24"/>
        </w:rPr>
      </w:pPr>
      <w:r>
        <w:rPr>
          <w:rFonts w:ascii="宋体" w:hAnsi="宋体"/>
          <w:sz w:val="24"/>
        </w:rPr>
        <w:t>1、由于各类基金份额类别的收费方式不同，各基金份额类别对应的可供分配利润将有所不同，本基金同一类别的每一基金份额享有同等分配权；</w:t>
      </w:r>
    </w:p>
    <w:p w14:paraId="1265F7E9">
      <w:pPr>
        <w:pStyle w:val="186"/>
        <w:tabs>
          <w:tab w:val="left" w:pos="1260"/>
        </w:tabs>
        <w:spacing w:line="360" w:lineRule="auto"/>
        <w:ind w:firstLine="480" w:firstLineChars="200"/>
        <w:rPr>
          <w:rFonts w:ascii="宋体" w:hAnsi="宋体"/>
          <w:sz w:val="24"/>
        </w:rPr>
      </w:pPr>
      <w:r>
        <w:rPr>
          <w:rFonts w:ascii="宋体" w:hAnsi="宋体"/>
          <w:sz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00F3FCA9">
      <w:pPr>
        <w:pStyle w:val="186"/>
        <w:tabs>
          <w:tab w:val="left" w:pos="1260"/>
        </w:tabs>
        <w:spacing w:line="360" w:lineRule="auto"/>
        <w:ind w:firstLine="480" w:firstLineChars="200"/>
        <w:rPr>
          <w:rFonts w:ascii="宋体" w:hAnsi="宋体"/>
          <w:sz w:val="24"/>
        </w:rPr>
      </w:pPr>
      <w:r>
        <w:rPr>
          <w:rFonts w:hint="eastAsia" w:ascii="宋体" w:hAnsi="宋体"/>
          <w:sz w:val="24"/>
          <w:lang w:val="en-US" w:eastAsia="zh-CN"/>
        </w:rPr>
        <w:t>3</w:t>
      </w:r>
      <w:r>
        <w:rPr>
          <w:rFonts w:ascii="宋体" w:hAnsi="宋体"/>
          <w:sz w:val="24"/>
        </w:rPr>
        <w:t>、若《基金合同》生效不满3个月可不进行收益分配；</w:t>
      </w:r>
    </w:p>
    <w:p w14:paraId="67C0BA1E">
      <w:pPr>
        <w:pStyle w:val="186"/>
        <w:tabs>
          <w:tab w:val="left" w:pos="1260"/>
        </w:tabs>
        <w:spacing w:line="360" w:lineRule="auto"/>
        <w:ind w:firstLine="480" w:firstLineChars="200"/>
        <w:rPr>
          <w:rFonts w:ascii="宋体" w:hAnsi="宋体"/>
          <w:sz w:val="24"/>
        </w:rPr>
      </w:pPr>
      <w:r>
        <w:rPr>
          <w:rFonts w:hint="eastAsia" w:ascii="宋体" w:hAnsi="宋体"/>
          <w:sz w:val="24"/>
          <w:lang w:val="en-US" w:eastAsia="zh-CN"/>
        </w:rPr>
        <w:t>4</w:t>
      </w:r>
      <w:r>
        <w:rPr>
          <w:rFonts w:ascii="宋体" w:hAnsi="宋体"/>
          <w:sz w:val="24"/>
        </w:rPr>
        <w:t>、法律法规或监管机关另有规定的，从其规定。</w:t>
      </w:r>
    </w:p>
    <w:p w14:paraId="67300DE6">
      <w:pPr>
        <w:pStyle w:val="186"/>
        <w:tabs>
          <w:tab w:val="left" w:pos="1260"/>
        </w:tabs>
        <w:spacing w:line="360" w:lineRule="auto"/>
        <w:ind w:firstLine="480" w:firstLineChars="200"/>
        <w:rPr>
          <w:rFonts w:ascii="宋体" w:hAnsi="宋体"/>
          <w:sz w:val="24"/>
        </w:rPr>
      </w:pPr>
      <w:r>
        <w:rPr>
          <w:rFonts w:ascii="宋体" w:hAnsi="宋体"/>
          <w:sz w:val="24"/>
        </w:rPr>
        <w:t>在不违反法律法规且对基金份额持有人利益无实质性不利影响的前提下，基金管理人经与基金托管人协商一致，并履行适当程序后，基金管理人可对基金收益分配的有关业务规则进行调整。</w:t>
      </w:r>
    </w:p>
    <w:p w14:paraId="08607B11">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（二）基金收益分配方案的确定与公告</w:t>
      </w:r>
    </w:p>
    <w:p w14:paraId="635D162B">
      <w:pPr>
        <w:pStyle w:val="186"/>
        <w:spacing w:line="360" w:lineRule="auto"/>
        <w:ind w:firstLine="540" w:firstLineChars="225"/>
        <w:rPr>
          <w:bCs/>
          <w:sz w:val="24"/>
          <w:szCs w:val="20"/>
        </w:rPr>
      </w:pPr>
      <w:bookmarkStart w:id="71" w:name="_Toc22454465"/>
      <w:bookmarkStart w:id="72" w:name="_Toc466788861"/>
      <w:bookmarkStart w:id="73" w:name="_Toc523830002"/>
      <w:r>
        <w:rPr>
          <w:bCs/>
          <w:sz w:val="24"/>
          <w:szCs w:val="20"/>
        </w:rPr>
        <w:t>本基金收益分配方案由基金管理人拟定，并由基金托管人复核，基金管理人应依照《信息披露办法》的有关规定在规定媒介公告。</w:t>
      </w:r>
    </w:p>
    <w:p w14:paraId="5BE78A27">
      <w:pPr>
        <w:pStyle w:val="186"/>
        <w:tabs>
          <w:tab w:val="left" w:pos="1260"/>
        </w:tabs>
        <w:spacing w:line="360" w:lineRule="auto"/>
        <w:ind w:firstLine="480" w:firstLineChars="200"/>
        <w:rPr>
          <w:rFonts w:ascii="宋体"/>
          <w:sz w:val="24"/>
        </w:rPr>
      </w:pPr>
      <w:r>
        <w:rPr>
          <w:bCs/>
          <w:sz w:val="24"/>
          <w:szCs w:val="20"/>
        </w:rPr>
        <w:t>基金收益分配时所发生的银行转账或其他手续费用由投资者自行承担。当投资者的现金红利小于一定金额，不足以支付银行转账或其他手续费用时，基金份额登记机构可将基金份额持有人的现金红利自动转为相应类别的基金份额。红利再投资的计算方法，依照《业务规则》执行。</w:t>
      </w:r>
      <w:bookmarkStart w:id="74" w:name="_Toc125892446"/>
    </w:p>
    <w:p w14:paraId="7A31A859">
      <w:pPr>
        <w:pStyle w:val="187"/>
      </w:pPr>
      <w:bookmarkStart w:id="75" w:name="_Toc65162009"/>
      <w:r>
        <w:t>十、基金信息披露</w:t>
      </w:r>
      <w:bookmarkEnd w:id="71"/>
      <w:bookmarkEnd w:id="72"/>
      <w:bookmarkEnd w:id="73"/>
      <w:bookmarkEnd w:id="74"/>
      <w:bookmarkEnd w:id="75"/>
    </w:p>
    <w:p w14:paraId="0F17C576">
      <w:pPr>
        <w:pStyle w:val="186"/>
        <w:tabs>
          <w:tab w:val="left" w:pos="3780"/>
        </w:tabs>
        <w:autoSpaceDE w:val="0"/>
        <w:autoSpaceDN w:val="0"/>
        <w:spacing w:before="156" w:after="156" w:line="360" w:lineRule="auto"/>
        <w:outlineLvl w:val="0"/>
        <w:rPr>
          <w:rFonts w:ascii="宋体"/>
          <w:b/>
          <w:bCs/>
          <w:sz w:val="24"/>
        </w:rPr>
      </w:pPr>
      <w:bookmarkStart w:id="76" w:name="_Toc22454466"/>
      <w:bookmarkStart w:id="77" w:name="_Toc77663026"/>
      <w:r>
        <w:rPr>
          <w:rFonts w:ascii="宋体" w:hAnsi="宋体"/>
          <w:b/>
          <w:bCs/>
          <w:sz w:val="24"/>
        </w:rPr>
        <w:t>（一）保密义务</w:t>
      </w:r>
      <w:bookmarkEnd w:id="76"/>
      <w:bookmarkEnd w:id="77"/>
    </w:p>
    <w:p w14:paraId="6CE33F4D">
      <w:pPr>
        <w:pStyle w:val="186"/>
        <w:tabs>
          <w:tab w:val="left" w:pos="1260"/>
        </w:tabs>
        <w:spacing w:line="360" w:lineRule="auto"/>
        <w:ind w:firstLine="480" w:firstLineChars="200"/>
        <w:rPr>
          <w:rFonts w:ascii="宋体"/>
          <w:sz w:val="24"/>
        </w:rPr>
      </w:pPr>
      <w:r>
        <w:rPr>
          <w:rFonts w:ascii="宋体" w:hAnsi="宋体"/>
          <w:sz w:val="24"/>
        </w:rPr>
        <w:t>除按照《基金法》、《基金合同》、《信息披露办法》及中国证监会关于基金信息披露的有关规定进行披露以外，基金管理人和基金托管人对公开披露前的基金信息、从对方获得的业务信息及其他不宜公开披露的基金信息应予保密，不得向任何第三方泄露。法律法规另有规定的以及审计需要的除外。</w:t>
      </w:r>
    </w:p>
    <w:p w14:paraId="33412BDF">
      <w:pPr>
        <w:pStyle w:val="186"/>
        <w:tabs>
          <w:tab w:val="left" w:pos="1260"/>
        </w:tabs>
        <w:spacing w:line="360" w:lineRule="auto"/>
        <w:ind w:firstLine="480" w:firstLineChars="200"/>
        <w:rPr>
          <w:rFonts w:ascii="宋体"/>
          <w:sz w:val="24"/>
        </w:rPr>
      </w:pPr>
      <w:r>
        <w:rPr>
          <w:rFonts w:ascii="宋体" w:hAnsi="宋体"/>
          <w:sz w:val="24"/>
        </w:rPr>
        <w:t>如下情况不应视为基金管理人或基金托管人违反保密义务：</w:t>
      </w:r>
    </w:p>
    <w:p w14:paraId="62CF4345">
      <w:pPr>
        <w:pStyle w:val="186"/>
        <w:tabs>
          <w:tab w:val="left" w:pos="1260"/>
        </w:tabs>
        <w:spacing w:line="360" w:lineRule="auto"/>
        <w:ind w:firstLine="480" w:firstLineChars="200"/>
        <w:rPr>
          <w:rFonts w:ascii="宋体"/>
          <w:sz w:val="24"/>
        </w:rPr>
      </w:pPr>
      <w:r>
        <w:rPr>
          <w:rFonts w:ascii="宋体" w:hAnsi="宋体"/>
          <w:sz w:val="24"/>
        </w:rPr>
        <w:t>1.非因基金管理人和基金托管人的原因导致保密信息被披露、泄露或公开；</w:t>
      </w:r>
    </w:p>
    <w:p w14:paraId="1282D666">
      <w:pPr>
        <w:pStyle w:val="186"/>
        <w:tabs>
          <w:tab w:val="left" w:pos="1260"/>
        </w:tabs>
        <w:spacing w:line="360" w:lineRule="auto"/>
        <w:ind w:firstLine="480" w:firstLineChars="200"/>
        <w:rPr>
          <w:rFonts w:ascii="宋体"/>
          <w:sz w:val="24"/>
        </w:rPr>
      </w:pPr>
      <w:r>
        <w:rPr>
          <w:rFonts w:ascii="宋体" w:hAnsi="宋体"/>
          <w:sz w:val="24"/>
        </w:rPr>
        <w:t>2.基金管理人和基金托管人为遵守和服从法院判决、仲裁裁决或中国证监会等监管机构的命令决定所做出的信息披露或公开。</w:t>
      </w:r>
      <w:bookmarkStart w:id="78" w:name="_Toc77663027"/>
      <w:bookmarkStart w:id="79" w:name="_Toc22454467"/>
    </w:p>
    <w:p w14:paraId="75531EA7">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（二）基金管理人和基金托管人在基金信息披露中的职责和信息披露程序</w:t>
      </w:r>
      <w:bookmarkEnd w:id="78"/>
      <w:bookmarkEnd w:id="79"/>
    </w:p>
    <w:p w14:paraId="11DF8C17">
      <w:pPr>
        <w:pStyle w:val="186"/>
        <w:tabs>
          <w:tab w:val="left" w:pos="1260"/>
        </w:tabs>
        <w:spacing w:line="360" w:lineRule="auto"/>
        <w:ind w:firstLine="480" w:firstLineChars="200"/>
        <w:rPr>
          <w:rFonts w:ascii="宋体"/>
          <w:sz w:val="24"/>
        </w:rPr>
      </w:pPr>
      <w:r>
        <w:rPr>
          <w:rFonts w:ascii="宋体" w:hAnsi="宋体"/>
          <w:sz w:val="24"/>
        </w:rPr>
        <w:t>基金管理人和基金托管人应根据相关法律法规、《基金合同》的规定各自承担相应的信息披露职责。基金管理人和基金托管人负有积极配合、互相督促、彼此监督、保证其履行按照法定方式和时限披露的义务。</w:t>
      </w:r>
    </w:p>
    <w:p w14:paraId="30D15F2E">
      <w:pPr>
        <w:pStyle w:val="186"/>
        <w:tabs>
          <w:tab w:val="left" w:pos="1260"/>
        </w:tabs>
        <w:spacing w:line="360" w:lineRule="auto"/>
        <w:ind w:firstLine="480" w:firstLineChars="200"/>
        <w:rPr>
          <w:rFonts w:ascii="宋体"/>
          <w:sz w:val="24"/>
        </w:rPr>
      </w:pPr>
      <w:r>
        <w:rPr>
          <w:rFonts w:ascii="宋体" w:hAnsi="宋体"/>
          <w:sz w:val="24"/>
        </w:rPr>
        <w:t>本基金信息披露的文件，包括基金招募说明书、基金合同、基金托管协议、基金产品资料概要、基金份额发售公告、</w:t>
      </w:r>
      <w:r>
        <w:rPr>
          <w:rFonts w:hint="eastAsia" w:ascii="宋体" w:hAnsi="宋体"/>
          <w:sz w:val="24"/>
        </w:rPr>
        <w:t>《基金合同》生效公告、基金净值信息、基金份额申购、赎回价格、</w:t>
      </w:r>
      <w:r>
        <w:rPr>
          <w:rFonts w:ascii="宋体" w:hAnsi="宋体"/>
          <w:sz w:val="24"/>
        </w:rPr>
        <w:t>基金定期报告</w:t>
      </w:r>
      <w:r>
        <w:rPr>
          <w:rFonts w:hint="eastAsia" w:ascii="宋体" w:hAnsi="宋体"/>
          <w:sz w:val="24"/>
        </w:rPr>
        <w:t>（包括基金年度报告、基金中期报告和基金季度报告（含资产组合季度报告））</w:t>
      </w:r>
      <w:r>
        <w:rPr>
          <w:rFonts w:ascii="宋体" w:hAnsi="宋体"/>
          <w:sz w:val="24"/>
        </w:rPr>
        <w:t>、临时报告、澄清公告、基金份额持有人大会决议、清算报告</w:t>
      </w:r>
      <w:r>
        <w:rPr>
          <w:rFonts w:hint="eastAsia" w:ascii="宋体" w:hAnsi="宋体"/>
          <w:sz w:val="24"/>
        </w:rPr>
        <w:t>、参与股指期货、国债期货交易、投资股票期权的信息披露、投资资产支持证券的信息披露、投资非公开发行股票的信息披露、参与融资和转融通证券出借业务的信息披露、实施侧袋机制期间的信息披露</w:t>
      </w:r>
      <w:r>
        <w:rPr>
          <w:rFonts w:ascii="宋体" w:hAnsi="宋体"/>
          <w:sz w:val="24"/>
        </w:rPr>
        <w:t>及中国证监会规定的其他必要的公告文件，由基金管理人拟定并公布。</w:t>
      </w:r>
    </w:p>
    <w:p w14:paraId="307F8229">
      <w:pPr>
        <w:pStyle w:val="186"/>
        <w:tabs>
          <w:tab w:val="left" w:pos="1260"/>
        </w:tabs>
        <w:spacing w:line="360" w:lineRule="auto"/>
        <w:ind w:firstLine="480" w:firstLineChars="200"/>
        <w:rPr>
          <w:rFonts w:ascii="宋体"/>
          <w:sz w:val="24"/>
        </w:rPr>
      </w:pPr>
      <w:r>
        <w:rPr>
          <w:rFonts w:ascii="宋体" w:hAnsi="宋体"/>
          <w:sz w:val="24"/>
        </w:rPr>
        <w:t>基金托管人应按本协议第八条第（六）款的规定对相关报告进行复核。基金年报应当经过符合《中华人民共和国证券法》规定的会计师事务所审计后方可披露。</w:t>
      </w:r>
    </w:p>
    <w:p w14:paraId="38CF55B3">
      <w:pPr>
        <w:pStyle w:val="186"/>
        <w:tabs>
          <w:tab w:val="left" w:pos="1260"/>
        </w:tabs>
        <w:spacing w:line="360" w:lineRule="auto"/>
        <w:ind w:firstLine="480" w:firstLineChars="200"/>
        <w:rPr>
          <w:rFonts w:ascii="宋体"/>
          <w:sz w:val="24"/>
        </w:rPr>
      </w:pPr>
      <w:r>
        <w:rPr>
          <w:rFonts w:ascii="宋体" w:hAnsi="宋体"/>
          <w:sz w:val="24"/>
        </w:rPr>
        <w:t>本基金的信息披露公告，必须在证监会规定的媒介发布。</w:t>
      </w:r>
      <w:bookmarkStart w:id="80" w:name="_Toc466788862"/>
    </w:p>
    <w:p w14:paraId="1318A222">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（三）暂停或延迟信息披露的情形</w:t>
      </w:r>
    </w:p>
    <w:p w14:paraId="0D96CD9B">
      <w:pPr>
        <w:pStyle w:val="186"/>
        <w:tabs>
          <w:tab w:val="left" w:pos="1260"/>
        </w:tabs>
        <w:spacing w:line="360" w:lineRule="auto"/>
        <w:ind w:firstLine="480" w:firstLineChars="200"/>
        <w:rPr>
          <w:rFonts w:ascii="宋体"/>
          <w:sz w:val="24"/>
        </w:rPr>
      </w:pPr>
      <w:r>
        <w:rPr>
          <w:rFonts w:ascii="宋体" w:hAnsi="宋体"/>
          <w:sz w:val="24"/>
        </w:rPr>
        <w:t>1.不可抗力；</w:t>
      </w:r>
    </w:p>
    <w:p w14:paraId="73A0C598">
      <w:pPr>
        <w:pStyle w:val="186"/>
        <w:tabs>
          <w:tab w:val="left" w:pos="1260"/>
        </w:tabs>
        <w:spacing w:line="360" w:lineRule="auto"/>
        <w:ind w:firstLine="480" w:firstLineChars="200"/>
        <w:rPr>
          <w:rFonts w:ascii="宋体" w:hAnsi="宋体"/>
          <w:sz w:val="24"/>
        </w:rPr>
      </w:pPr>
      <w:r>
        <w:rPr>
          <w:rFonts w:ascii="宋体" w:hAnsi="宋体"/>
          <w:sz w:val="24"/>
        </w:rPr>
        <w:t>2.</w:t>
      </w:r>
      <w:r>
        <w:t xml:space="preserve"> </w:t>
      </w:r>
      <w:r>
        <w:rPr>
          <w:rFonts w:hint="eastAsia" w:ascii="宋体" w:hAnsi="宋体"/>
          <w:sz w:val="24"/>
        </w:rPr>
        <w:t>发生</w:t>
      </w:r>
      <w:r>
        <w:rPr>
          <w:rFonts w:ascii="宋体" w:hAnsi="宋体"/>
          <w:sz w:val="24"/>
        </w:rPr>
        <w:t>《基金合同》约定的暂停估值的情形；</w:t>
      </w:r>
    </w:p>
    <w:p w14:paraId="0B194417">
      <w:pPr>
        <w:pStyle w:val="186"/>
        <w:tabs>
          <w:tab w:val="left" w:pos="1260"/>
        </w:tabs>
        <w:spacing w:line="360" w:lineRule="auto"/>
        <w:ind w:firstLine="480" w:firstLineChars="200"/>
        <w:rPr>
          <w:rFonts w:ascii="宋体" w:hAnsi="宋体"/>
          <w:sz w:val="24"/>
        </w:rPr>
      </w:pPr>
      <w:r>
        <w:rPr>
          <w:rFonts w:ascii="宋体" w:hAnsi="宋体"/>
          <w:sz w:val="24"/>
        </w:rPr>
        <w:t>3.法律法规规定、中国证监会或基金合同认定的其他情形。</w:t>
      </w:r>
    </w:p>
    <w:p w14:paraId="05678F0D">
      <w:pPr>
        <w:pStyle w:val="186"/>
        <w:tabs>
          <w:tab w:val="left" w:pos="1260"/>
        </w:tabs>
        <w:spacing w:line="360" w:lineRule="auto"/>
        <w:rPr>
          <w:rFonts w:ascii="宋体"/>
          <w:b/>
          <w:sz w:val="24"/>
        </w:rPr>
      </w:pPr>
      <w:r>
        <w:rPr>
          <w:rFonts w:ascii="宋体"/>
          <w:b/>
          <w:sz w:val="24"/>
        </w:rPr>
        <w:t>（四）实施侧袋机制期间的信息披露</w:t>
      </w:r>
    </w:p>
    <w:p w14:paraId="26253D97">
      <w:pPr>
        <w:pStyle w:val="186"/>
        <w:tabs>
          <w:tab w:val="left" w:pos="1260"/>
        </w:tabs>
        <w:spacing w:line="360" w:lineRule="auto"/>
        <w:ind w:firstLine="480" w:firstLineChars="200"/>
        <w:rPr>
          <w:rFonts w:ascii="宋体"/>
          <w:sz w:val="24"/>
        </w:rPr>
      </w:pPr>
      <w:r>
        <w:rPr>
          <w:rFonts w:ascii="宋体"/>
          <w:sz w:val="24"/>
        </w:rPr>
        <w:t>本基金实施侧袋机制的，相关信息披露义务人应当根据法律法规、基金合同和招募说明书的规定进行信息披露，详见招募说明书的规定。</w:t>
      </w:r>
    </w:p>
    <w:p w14:paraId="75059F4D">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（五）基金托管人报告</w:t>
      </w:r>
    </w:p>
    <w:p w14:paraId="17F20BCB">
      <w:pPr>
        <w:pStyle w:val="186"/>
        <w:tabs>
          <w:tab w:val="left" w:pos="1260"/>
        </w:tabs>
        <w:spacing w:line="360" w:lineRule="auto"/>
        <w:ind w:firstLine="480" w:firstLineChars="200"/>
        <w:rPr>
          <w:rFonts w:ascii="宋体"/>
          <w:sz w:val="24"/>
        </w:rPr>
      </w:pPr>
      <w:r>
        <w:rPr>
          <w:rFonts w:ascii="宋体" w:hAnsi="宋体"/>
          <w:sz w:val="24"/>
        </w:rPr>
        <w:t>基金托管人应按《基金法》和中国证监会的有关规定出具基金托管情况报告。基金托管人报告说明该半年度/年度基金托管人和基金管理人履行《基金合同》的情况，是基金中期报告和年度报告的组成部分。</w:t>
      </w:r>
      <w:bookmarkStart w:id="81" w:name="_Toc125892447"/>
    </w:p>
    <w:p w14:paraId="3BA49B62">
      <w:pPr>
        <w:pStyle w:val="187"/>
      </w:pPr>
      <w:bookmarkStart w:id="82" w:name="_Toc65162010"/>
      <w:r>
        <w:t>十一、基金费用</w:t>
      </w:r>
      <w:bookmarkEnd w:id="81"/>
      <w:bookmarkEnd w:id="82"/>
    </w:p>
    <w:p w14:paraId="3E5A9A56">
      <w:pPr>
        <w:pStyle w:val="186"/>
        <w:tabs>
          <w:tab w:val="left" w:pos="1260"/>
        </w:tabs>
        <w:spacing w:line="360" w:lineRule="auto"/>
        <w:ind w:firstLine="480" w:firstLineChars="200"/>
        <w:rPr>
          <w:rFonts w:ascii="宋体"/>
          <w:b/>
          <w:sz w:val="24"/>
        </w:rPr>
      </w:pPr>
      <w:r>
        <w:rPr>
          <w:rFonts w:ascii="宋体" w:hAnsi="宋体"/>
          <w:b/>
          <w:sz w:val="24"/>
        </w:rPr>
        <w:t>（一）基金管理人的管理费</w:t>
      </w:r>
    </w:p>
    <w:p w14:paraId="5B059782">
      <w:pPr>
        <w:pStyle w:val="186"/>
        <w:tabs>
          <w:tab w:val="left" w:pos="1260"/>
        </w:tabs>
        <w:spacing w:line="360" w:lineRule="auto"/>
        <w:ind w:firstLine="480" w:firstLineChars="200"/>
        <w:rPr>
          <w:rFonts w:ascii="宋体" w:hAnsi="宋体"/>
          <w:sz w:val="24"/>
        </w:rPr>
      </w:pPr>
      <w:r>
        <w:rPr>
          <w:rFonts w:ascii="宋体" w:hAnsi="宋体"/>
          <w:sz w:val="24"/>
        </w:rPr>
        <w:t xml:space="preserve">本基金的管理费率为年费率0.50%。 </w:t>
      </w:r>
    </w:p>
    <w:p w14:paraId="632AEB0F">
      <w:pPr>
        <w:pStyle w:val="186"/>
        <w:tabs>
          <w:tab w:val="left" w:pos="1260"/>
        </w:tabs>
        <w:spacing w:line="360" w:lineRule="auto"/>
        <w:ind w:firstLine="480" w:firstLineChars="200"/>
        <w:rPr>
          <w:rFonts w:ascii="宋体"/>
          <w:sz w:val="24"/>
        </w:rPr>
      </w:pPr>
      <w:r>
        <w:rPr>
          <w:rFonts w:ascii="宋体" w:hAnsi="宋体"/>
          <w:sz w:val="24"/>
        </w:rPr>
        <w:t>基金管理费按前一日基金资产净值的年费率计提。计算方法如下：</w:t>
      </w:r>
    </w:p>
    <w:p w14:paraId="31A173DB">
      <w:pPr>
        <w:pStyle w:val="186"/>
        <w:spacing w:line="360" w:lineRule="auto"/>
        <w:ind w:left="780" w:firstLine="480" w:firstLineChars="200"/>
        <w:rPr>
          <w:sz w:val="24"/>
        </w:rPr>
      </w:pPr>
      <w:r>
        <w:rPr>
          <w:sz w:val="24"/>
        </w:rPr>
        <w:t>H＝E×年管理费率÷当年天数</w:t>
      </w:r>
    </w:p>
    <w:p w14:paraId="1CFFC687">
      <w:pPr>
        <w:pStyle w:val="186"/>
        <w:spacing w:line="360" w:lineRule="auto"/>
        <w:ind w:left="780" w:firstLine="480" w:firstLineChars="200"/>
        <w:rPr>
          <w:sz w:val="24"/>
        </w:rPr>
      </w:pPr>
      <w:r>
        <w:rPr>
          <w:sz w:val="24"/>
        </w:rPr>
        <w:t>H为每日应计提的基金管理费</w:t>
      </w:r>
    </w:p>
    <w:p w14:paraId="290B96EA">
      <w:pPr>
        <w:pStyle w:val="186"/>
        <w:spacing w:line="360" w:lineRule="auto"/>
        <w:ind w:left="780" w:firstLine="480" w:firstLineChars="200"/>
        <w:rPr>
          <w:sz w:val="24"/>
        </w:rPr>
      </w:pPr>
      <w:r>
        <w:rPr>
          <w:sz w:val="24"/>
        </w:rPr>
        <w:t>E为前一日基金资产净值</w:t>
      </w:r>
    </w:p>
    <w:p w14:paraId="0AB0A677">
      <w:pPr>
        <w:pStyle w:val="186"/>
        <w:tabs>
          <w:tab w:val="left" w:pos="1260"/>
        </w:tabs>
        <w:spacing w:line="360" w:lineRule="auto"/>
        <w:ind w:firstLine="480" w:firstLineChars="200"/>
        <w:rPr>
          <w:rFonts w:ascii="宋体" w:hAnsi="宋体"/>
          <w:b/>
          <w:sz w:val="24"/>
        </w:rPr>
      </w:pPr>
      <w:r>
        <w:rPr>
          <w:rFonts w:ascii="宋体" w:hAnsi="宋体"/>
          <w:sz w:val="24"/>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14:paraId="201E70AF">
      <w:pPr>
        <w:pStyle w:val="186"/>
        <w:tabs>
          <w:tab w:val="left" w:pos="1260"/>
        </w:tabs>
        <w:spacing w:line="360" w:lineRule="auto"/>
        <w:ind w:firstLine="480" w:firstLineChars="200"/>
        <w:rPr>
          <w:rFonts w:ascii="宋体"/>
          <w:b/>
          <w:sz w:val="24"/>
        </w:rPr>
      </w:pPr>
      <w:r>
        <w:rPr>
          <w:rFonts w:ascii="宋体" w:hAnsi="宋体"/>
          <w:b/>
          <w:sz w:val="24"/>
        </w:rPr>
        <w:t>（二）基金托管人的托管费</w:t>
      </w:r>
    </w:p>
    <w:p w14:paraId="45BE0D68">
      <w:pPr>
        <w:pStyle w:val="186"/>
        <w:tabs>
          <w:tab w:val="left" w:pos="1260"/>
        </w:tabs>
        <w:spacing w:line="360" w:lineRule="auto"/>
        <w:ind w:firstLine="480" w:firstLineChars="200"/>
        <w:rPr>
          <w:rFonts w:ascii="宋体"/>
          <w:sz w:val="24"/>
        </w:rPr>
      </w:pPr>
      <w:r>
        <w:rPr>
          <w:rFonts w:ascii="宋体" w:hAnsi="宋体"/>
          <w:sz w:val="24"/>
        </w:rPr>
        <w:t>本基金的托管费率为年费率0.10%。</w:t>
      </w:r>
    </w:p>
    <w:p w14:paraId="44985807">
      <w:pPr>
        <w:pStyle w:val="186"/>
        <w:tabs>
          <w:tab w:val="left" w:pos="1260"/>
        </w:tabs>
        <w:spacing w:line="360" w:lineRule="auto"/>
        <w:ind w:firstLine="480" w:firstLineChars="200"/>
        <w:rPr>
          <w:rFonts w:ascii="宋体"/>
          <w:sz w:val="24"/>
        </w:rPr>
      </w:pPr>
      <w:r>
        <w:rPr>
          <w:rFonts w:ascii="宋体" w:hAnsi="宋体"/>
          <w:sz w:val="24"/>
        </w:rPr>
        <w:t>基金托管费按前一日基金资产净值的年费率计提。计算方法如下：</w:t>
      </w:r>
    </w:p>
    <w:p w14:paraId="69E85C48">
      <w:pPr>
        <w:pStyle w:val="186"/>
        <w:spacing w:line="360" w:lineRule="auto"/>
        <w:ind w:left="780" w:firstLine="480" w:firstLineChars="200"/>
        <w:rPr>
          <w:sz w:val="24"/>
        </w:rPr>
      </w:pPr>
      <w:r>
        <w:rPr>
          <w:sz w:val="24"/>
        </w:rPr>
        <w:t>H=E×年托管费率÷当年天数</w:t>
      </w:r>
    </w:p>
    <w:p w14:paraId="0E7DABE7">
      <w:pPr>
        <w:pStyle w:val="186"/>
        <w:spacing w:line="360" w:lineRule="auto"/>
        <w:ind w:left="780" w:firstLine="480" w:firstLineChars="200"/>
        <w:rPr>
          <w:sz w:val="24"/>
        </w:rPr>
      </w:pPr>
      <w:r>
        <w:rPr>
          <w:sz w:val="24"/>
        </w:rPr>
        <w:t>H为每日应计提的基金托管费</w:t>
      </w:r>
    </w:p>
    <w:p w14:paraId="2022DDEF">
      <w:pPr>
        <w:pStyle w:val="186"/>
        <w:spacing w:line="360" w:lineRule="auto"/>
        <w:ind w:left="780" w:firstLine="480" w:firstLineChars="200"/>
        <w:rPr>
          <w:sz w:val="24"/>
        </w:rPr>
      </w:pPr>
      <w:r>
        <w:rPr>
          <w:sz w:val="24"/>
        </w:rPr>
        <w:t>E为前一日基金资产净值</w:t>
      </w:r>
    </w:p>
    <w:p w14:paraId="6977141F">
      <w:pPr>
        <w:pStyle w:val="186"/>
        <w:spacing w:line="360" w:lineRule="auto"/>
        <w:ind w:firstLine="480" w:firstLineChars="200"/>
        <w:rPr>
          <w:rFonts w:ascii="宋体" w:hAnsi="宋体"/>
          <w:b/>
          <w:bCs/>
          <w:sz w:val="24"/>
        </w:rPr>
      </w:pPr>
      <w:r>
        <w:rPr>
          <w:rFonts w:ascii="宋体" w:hAnsi="宋体"/>
          <w:sz w:val="24"/>
        </w:rPr>
        <w:t>基金托管费每日计提，逐日累计至每月月末，按月支付，经基金管理人与基金托管人双方核对无误后，基金托管人按照与基金管理人协商一致的方式于次月月初5个工作日内从基金财产中一次性支取。若遇法定节假日、公休假或不可抗力等，支付日期顺延。</w:t>
      </w:r>
    </w:p>
    <w:p w14:paraId="0245D851">
      <w:pPr>
        <w:pStyle w:val="186"/>
        <w:spacing w:line="360" w:lineRule="auto"/>
        <w:ind w:firstLine="480" w:firstLineChars="200"/>
        <w:rPr>
          <w:rFonts w:ascii="宋体" w:hAnsi="宋体"/>
          <w:b/>
          <w:bCs/>
          <w:sz w:val="24"/>
        </w:rPr>
      </w:pPr>
      <w:r>
        <w:rPr>
          <w:rFonts w:ascii="宋体" w:hAnsi="宋体"/>
          <w:b/>
          <w:bCs/>
          <w:sz w:val="24"/>
        </w:rPr>
        <w:t>（三）C类基金份额的销售服务费</w:t>
      </w:r>
    </w:p>
    <w:p w14:paraId="0E8702CF">
      <w:pPr>
        <w:pStyle w:val="186"/>
        <w:spacing w:line="360" w:lineRule="auto"/>
        <w:ind w:firstLine="480" w:firstLineChars="200"/>
        <w:rPr>
          <w:bCs/>
          <w:sz w:val="24"/>
        </w:rPr>
      </w:pPr>
      <w:r>
        <w:rPr>
          <w:bCs/>
          <w:sz w:val="24"/>
        </w:rPr>
        <w:t>通过直销机构保有本基金C类基金份额不收取销售服务费，在直销机构以外的其他销售机构保有的且持续持有期限一年以内的C类基金份额的销售服务费按前一日C类基金份额的基金资产净值的0.20%年费率计提。对于在直销机构以外的其他销售机构保有的且持续持有期限超过一年的C类基金份额，不继续收取销售服务费。计算方法如下：</w:t>
      </w:r>
    </w:p>
    <w:p w14:paraId="5688C292">
      <w:pPr>
        <w:pStyle w:val="186"/>
        <w:spacing w:line="360" w:lineRule="auto"/>
        <w:ind w:firstLine="480" w:firstLineChars="200"/>
        <w:rPr>
          <w:bCs/>
          <w:sz w:val="24"/>
        </w:rPr>
      </w:pPr>
      <w:r>
        <w:rPr>
          <w:bCs/>
          <w:sz w:val="24"/>
        </w:rPr>
        <w:t>H＝E×年销售服务费率÷当年天数</w:t>
      </w:r>
    </w:p>
    <w:p w14:paraId="33C7AF80">
      <w:pPr>
        <w:pStyle w:val="186"/>
        <w:spacing w:line="360" w:lineRule="auto"/>
        <w:ind w:firstLine="480" w:firstLineChars="200"/>
        <w:rPr>
          <w:bCs/>
          <w:sz w:val="24"/>
        </w:rPr>
      </w:pPr>
      <w:r>
        <w:rPr>
          <w:bCs/>
          <w:sz w:val="24"/>
        </w:rPr>
        <w:t>H为C类基金份额每日应计提的销售服务费</w:t>
      </w:r>
    </w:p>
    <w:p w14:paraId="3B7128B9">
      <w:pPr>
        <w:pStyle w:val="186"/>
        <w:spacing w:line="360" w:lineRule="auto"/>
        <w:ind w:firstLine="480" w:firstLineChars="200"/>
        <w:rPr>
          <w:bCs/>
          <w:sz w:val="24"/>
        </w:rPr>
      </w:pPr>
      <w:r>
        <w:rPr>
          <w:bCs/>
          <w:sz w:val="24"/>
        </w:rPr>
        <w:t>E为C类基金份额前一日基金资产净值</w:t>
      </w:r>
    </w:p>
    <w:p w14:paraId="5F01175A">
      <w:pPr>
        <w:pStyle w:val="186"/>
        <w:spacing w:line="360" w:lineRule="auto"/>
        <w:ind w:firstLine="480" w:firstLineChars="200"/>
        <w:rPr>
          <w:bCs/>
          <w:sz w:val="24"/>
        </w:rPr>
      </w:pPr>
      <w:r>
        <w:rPr>
          <w:bCs/>
          <w:sz w:val="24"/>
        </w:rPr>
        <w:t>基金销售服务费每日计算。</w:t>
      </w:r>
    </w:p>
    <w:p w14:paraId="1AA07624">
      <w:pPr>
        <w:pStyle w:val="186"/>
        <w:spacing w:line="360" w:lineRule="auto"/>
        <w:ind w:firstLine="480" w:firstLineChars="200"/>
        <w:rPr>
          <w:bCs/>
          <w:sz w:val="24"/>
        </w:rPr>
      </w:pPr>
      <w:r>
        <w:rPr>
          <w:bCs/>
          <w:sz w:val="24"/>
        </w:rPr>
        <w:t>（1）基金管理人直销渠道：</w:t>
      </w:r>
    </w:p>
    <w:p w14:paraId="177C2047">
      <w:pPr>
        <w:pStyle w:val="186"/>
        <w:spacing w:line="360" w:lineRule="auto"/>
        <w:ind w:firstLine="480" w:firstLineChars="200"/>
        <w:rPr>
          <w:bCs/>
          <w:sz w:val="24"/>
        </w:rPr>
      </w:pPr>
      <w:r>
        <w:rPr>
          <w:bCs/>
          <w:sz w:val="24"/>
        </w:rPr>
        <w:t>对于基金份额计提的销售服务费，在投资者赎回基金份额或基金合同终止时，随赎回款或清算款一并返还给投资者；基金管理人的销售子公司销售本基金的，参照直销机构相关规则执行。</w:t>
      </w:r>
    </w:p>
    <w:p w14:paraId="78E37FA3">
      <w:pPr>
        <w:pStyle w:val="186"/>
        <w:spacing w:line="360" w:lineRule="auto"/>
        <w:ind w:firstLine="480" w:firstLineChars="200"/>
        <w:rPr>
          <w:bCs/>
          <w:sz w:val="24"/>
        </w:rPr>
      </w:pPr>
      <w:r>
        <w:rPr>
          <w:bCs/>
          <w:sz w:val="24"/>
        </w:rPr>
        <w:t>（2）其他销售机构的销售渠道：</w:t>
      </w:r>
    </w:p>
    <w:p w14:paraId="23D794B0">
      <w:pPr>
        <w:pStyle w:val="186"/>
        <w:spacing w:line="360" w:lineRule="auto"/>
        <w:ind w:firstLine="480" w:firstLineChars="200"/>
        <w:rPr>
          <w:bCs/>
          <w:sz w:val="24"/>
        </w:rPr>
      </w:pPr>
      <w:r>
        <w:rPr>
          <w:bCs/>
          <w:sz w:val="24"/>
        </w:rPr>
        <w:t>对于投资者在其他销售机构保有的且持续持有期限未超过一年的C类基金份额收取的销售服务费，逐日累计至每月月末，按月支付，对于确认为基金财产支付的销售服务费，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2DDB2A65">
      <w:pPr>
        <w:pStyle w:val="186"/>
        <w:spacing w:line="360" w:lineRule="auto"/>
        <w:ind w:firstLine="480" w:firstLineChars="200"/>
        <w:rPr>
          <w:bCs/>
          <w:sz w:val="24"/>
        </w:rPr>
      </w:pPr>
      <w:r>
        <w:rPr>
          <w:bCs/>
          <w:sz w:val="24"/>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14:paraId="203AC629">
      <w:pPr>
        <w:pStyle w:val="186"/>
        <w:spacing w:line="360" w:lineRule="auto"/>
        <w:ind w:firstLine="480" w:firstLineChars="200"/>
        <w:rPr>
          <w:rFonts w:ascii="宋体"/>
          <w:b/>
          <w:vanish/>
          <w:sz w:val="24"/>
        </w:rPr>
      </w:pPr>
    </w:p>
    <w:p w14:paraId="60694726">
      <w:pPr>
        <w:pStyle w:val="186"/>
        <w:spacing w:line="360" w:lineRule="auto"/>
        <w:ind w:firstLine="480" w:firstLineChars="200"/>
        <w:rPr>
          <w:rFonts w:ascii="宋体"/>
          <w:b/>
          <w:vanish/>
          <w:sz w:val="24"/>
        </w:rPr>
      </w:pPr>
    </w:p>
    <w:p w14:paraId="46663088">
      <w:pPr>
        <w:pStyle w:val="186"/>
        <w:spacing w:line="360" w:lineRule="auto"/>
        <w:ind w:firstLine="480" w:firstLineChars="200"/>
        <w:rPr>
          <w:rFonts w:ascii="宋体"/>
          <w:b/>
          <w:vanish/>
          <w:sz w:val="24"/>
        </w:rPr>
      </w:pPr>
    </w:p>
    <w:p w14:paraId="16A8724F">
      <w:pPr>
        <w:pStyle w:val="186"/>
        <w:spacing w:line="360" w:lineRule="auto"/>
        <w:ind w:firstLine="480" w:firstLineChars="200"/>
        <w:rPr>
          <w:rFonts w:ascii="宋体"/>
          <w:b/>
          <w:vanish/>
          <w:sz w:val="24"/>
        </w:rPr>
      </w:pPr>
    </w:p>
    <w:p w14:paraId="12031F78">
      <w:pPr>
        <w:pStyle w:val="186"/>
        <w:spacing w:line="360" w:lineRule="auto"/>
        <w:ind w:firstLine="480" w:firstLineChars="200"/>
        <w:rPr>
          <w:rFonts w:ascii="宋体"/>
          <w:b/>
          <w:vanish/>
          <w:sz w:val="24"/>
        </w:rPr>
      </w:pPr>
    </w:p>
    <w:p w14:paraId="5920B9ED">
      <w:pPr>
        <w:pStyle w:val="186"/>
        <w:autoSpaceDE w:val="0"/>
        <w:autoSpaceDN w:val="0"/>
        <w:spacing w:line="360" w:lineRule="auto"/>
        <w:ind w:firstLine="480" w:firstLineChars="200"/>
        <w:jc w:val="left"/>
        <w:rPr>
          <w:rFonts w:ascii="宋体" w:hAnsi="宋体"/>
          <w:sz w:val="24"/>
        </w:rPr>
      </w:pPr>
      <w:r>
        <w:rPr>
          <w:rFonts w:ascii="宋体" w:hAnsi="宋体"/>
          <w:b/>
          <w:sz w:val="24"/>
        </w:rPr>
        <w:t>（四）</w:t>
      </w:r>
      <w:r>
        <w:rPr>
          <w:rFonts w:ascii="宋体" w:hAnsi="宋体"/>
          <w:sz w:val="24"/>
        </w:rPr>
        <w:t>从基金资产中列支基金管理人的管理费、基金托管人的托管费、销售服务费之外的其他基金费用，应当依据有关法律法规、《基金合同》的规定；基金管理人和基金托管人因未履行或未完全履行义务导致的费用支出或基金财产的损失，</w:t>
      </w:r>
      <w:r>
        <w:rPr>
          <w:rFonts w:hint="eastAsia" w:ascii="宋体" w:hAnsi="宋体"/>
          <w:sz w:val="24"/>
        </w:rPr>
        <w:t>标的指数许可使用费</w:t>
      </w:r>
      <w:r>
        <w:rPr>
          <w:rFonts w:ascii="宋体" w:hAnsi="宋体"/>
          <w:sz w:val="24"/>
        </w:rPr>
        <w:t>以及处理与基金运作无关的事项发生的费用等不列入基金费用。基金合同生效之前的律师费、会计师费和信息披露费用等不得从基金财产中列支；基金管理人、基金托管人除按法律法规要求披露信息外自主披露如产生信息披露费用，该费用不得从基金财产中列支；基金托管人对不符合《基金法》、《运作办法》等有关规定以及《基金合同》的其他费用有权拒绝执行。如果基金托管人发现基金管理人违反有关法律法规的有关规定和《基金合同》、本协议的约定，从基金财产中列支费用，有权要求基金管理人做出书面解释，如果基金托管人认为基金管理人无正当或合理的理由，可以拒绝支付。</w:t>
      </w:r>
    </w:p>
    <w:p w14:paraId="685A3F41">
      <w:pPr>
        <w:pStyle w:val="186"/>
        <w:autoSpaceDE w:val="0"/>
        <w:autoSpaceDN w:val="0"/>
        <w:spacing w:line="360" w:lineRule="auto"/>
        <w:ind w:firstLine="480" w:firstLineChars="200"/>
        <w:jc w:val="left"/>
        <w:rPr>
          <w:rFonts w:ascii="宋体"/>
          <w:sz w:val="24"/>
        </w:rPr>
      </w:pPr>
      <w:r>
        <w:rPr>
          <w:rFonts w:ascii="宋体"/>
          <w:sz w:val="24"/>
        </w:rPr>
        <w:t>（五）实施侧袋机制期间的基金费用</w:t>
      </w:r>
    </w:p>
    <w:p w14:paraId="7DFB83A5">
      <w:pPr>
        <w:pStyle w:val="186"/>
        <w:autoSpaceDE w:val="0"/>
        <w:autoSpaceDN w:val="0"/>
        <w:spacing w:line="360" w:lineRule="auto"/>
        <w:ind w:firstLine="480" w:firstLineChars="200"/>
        <w:jc w:val="left"/>
        <w:rPr>
          <w:rFonts w:ascii="宋体"/>
          <w:sz w:val="24"/>
        </w:rPr>
      </w:pPr>
      <w:r>
        <w:rPr>
          <w:rFonts w:ascii="宋体"/>
          <w:sz w:val="24"/>
        </w:rPr>
        <w:t>本基金实施侧袋机制的，与侧袋账户有关的费用可以从侧袋账户中列支，但应待侧袋账户资产变现后方可列支，有关费用可酌情收取或减免，但不得收取管理费，详见招募说明书的规定。</w:t>
      </w:r>
    </w:p>
    <w:p w14:paraId="58DBDBBB">
      <w:pPr>
        <w:pStyle w:val="186"/>
        <w:spacing w:line="360" w:lineRule="auto"/>
        <w:ind w:firstLine="480" w:firstLineChars="200"/>
        <w:rPr>
          <w:rFonts w:ascii="宋体"/>
          <w:b/>
          <w:vanish/>
          <w:sz w:val="24"/>
        </w:rPr>
      </w:pPr>
    </w:p>
    <w:p w14:paraId="29BE07AA">
      <w:pPr>
        <w:pStyle w:val="187"/>
      </w:pPr>
      <w:bookmarkStart w:id="83" w:name="_Toc125892448"/>
      <w:bookmarkStart w:id="84" w:name="_Toc65162011"/>
      <w:r>
        <w:t>十二、基金份额持有人名册的保管</w:t>
      </w:r>
      <w:bookmarkEnd w:id="83"/>
      <w:bookmarkEnd w:id="84"/>
    </w:p>
    <w:p w14:paraId="6BEBCA1B">
      <w:pPr>
        <w:pStyle w:val="186"/>
        <w:tabs>
          <w:tab w:val="left" w:pos="1260"/>
        </w:tabs>
        <w:spacing w:line="360" w:lineRule="auto"/>
        <w:ind w:firstLine="480" w:firstLineChars="200"/>
        <w:rPr>
          <w:rFonts w:ascii="宋体" w:hAnsi="宋体"/>
          <w:sz w:val="24"/>
        </w:rPr>
      </w:pPr>
      <w:bookmarkStart w:id="85" w:name="_Toc523830003"/>
      <w:bookmarkStart w:id="86" w:name="_Toc125892449"/>
      <w:bookmarkStart w:id="87" w:name="_Toc22454468"/>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基金登记机构保存期不低于法律法规规定的最低期限，法律法规另有规定或有权机关另有要求的除外。如不能妥善保管，则按相关法规承担责任。</w:t>
      </w:r>
    </w:p>
    <w:p w14:paraId="62D41DD7">
      <w:pPr>
        <w:pStyle w:val="186"/>
        <w:tabs>
          <w:tab w:val="left" w:pos="1260"/>
        </w:tabs>
        <w:spacing w:line="360" w:lineRule="auto"/>
        <w:ind w:firstLine="480" w:firstLineChars="200"/>
        <w:rPr>
          <w:rFonts w:ascii="宋体"/>
          <w:sz w:val="24"/>
        </w:rPr>
      </w:pPr>
      <w:r>
        <w:rPr>
          <w:rFonts w:ascii="宋体" w:hAnsi="宋体"/>
          <w:sz w:val="24"/>
        </w:rPr>
        <w:t>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14:paraId="76F14EC2">
      <w:pPr>
        <w:pStyle w:val="187"/>
      </w:pPr>
      <w:bookmarkStart w:id="88" w:name="_Toc65162012"/>
      <w:r>
        <w:t>十三、基金有关文件档案的保存</w:t>
      </w:r>
      <w:bookmarkEnd w:id="80"/>
      <w:bookmarkEnd w:id="85"/>
      <w:bookmarkEnd w:id="86"/>
      <w:bookmarkEnd w:id="87"/>
      <w:bookmarkEnd w:id="88"/>
    </w:p>
    <w:p w14:paraId="0198120B">
      <w:pPr>
        <w:pStyle w:val="186"/>
        <w:tabs>
          <w:tab w:val="left" w:pos="1260"/>
        </w:tabs>
        <w:spacing w:line="360" w:lineRule="auto"/>
        <w:ind w:firstLine="480" w:firstLineChars="200"/>
        <w:rPr>
          <w:rFonts w:ascii="宋体"/>
          <w:sz w:val="24"/>
        </w:rPr>
      </w:pPr>
      <w:r>
        <w:rPr>
          <w:rFonts w:ascii="宋体" w:hAnsi="宋体"/>
          <w:sz w:val="24"/>
        </w:rPr>
        <w:t>基金管理人应保存基金财产管理业务活动的记录、账册、报表和其他相关资料，基金托管人应保存基金托管业务活动的记录、账册、报表和其他相关资料。</w:t>
      </w:r>
    </w:p>
    <w:p w14:paraId="25BCFF25">
      <w:pPr>
        <w:pStyle w:val="186"/>
        <w:tabs>
          <w:tab w:val="left" w:pos="1260"/>
        </w:tabs>
        <w:spacing w:line="360" w:lineRule="auto"/>
        <w:ind w:firstLine="480" w:firstLineChars="200"/>
        <w:rPr>
          <w:rFonts w:ascii="宋体"/>
          <w:sz w:val="24"/>
        </w:rPr>
      </w:pPr>
      <w:r>
        <w:rPr>
          <w:rFonts w:ascii="宋体" w:hAnsi="宋体"/>
          <w:sz w:val="24"/>
        </w:rPr>
        <w:t>基金管理人和基金托管人应按各自职责完整保存原始凭证、记账凭证、基金账册、会计报告、交易记录和重要合同等，保存期限不低于法律法规规定的最低期限。</w:t>
      </w:r>
    </w:p>
    <w:p w14:paraId="770421F6">
      <w:pPr>
        <w:pStyle w:val="186"/>
        <w:tabs>
          <w:tab w:val="left" w:pos="1260"/>
        </w:tabs>
        <w:spacing w:line="360" w:lineRule="auto"/>
        <w:ind w:firstLine="480" w:firstLineChars="200"/>
        <w:rPr>
          <w:rFonts w:ascii="宋体"/>
          <w:sz w:val="24"/>
        </w:rPr>
      </w:pPr>
      <w:r>
        <w:rPr>
          <w:rFonts w:ascii="宋体" w:hAnsi="宋体"/>
          <w:sz w:val="24"/>
        </w:rPr>
        <w:t>基金管理人签署重大合同文本后，应及时将合同文本正本送达基金托管人处。基金管理人应及时将与本基金账务处理、资金划拨等有关的合同、协议传真给基金托管人。</w:t>
      </w:r>
    </w:p>
    <w:p w14:paraId="108CF72C">
      <w:pPr>
        <w:pStyle w:val="186"/>
        <w:tabs>
          <w:tab w:val="left" w:pos="1260"/>
        </w:tabs>
        <w:spacing w:line="360" w:lineRule="auto"/>
        <w:ind w:firstLine="480" w:firstLineChars="200"/>
        <w:rPr>
          <w:rFonts w:ascii="宋体"/>
          <w:sz w:val="24"/>
        </w:rPr>
      </w:pPr>
      <w:r>
        <w:rPr>
          <w:rFonts w:ascii="宋体" w:hAnsi="宋体"/>
          <w:sz w:val="24"/>
        </w:rPr>
        <w:t>基金管理人或基金托管人变更后，未变更的一方有义务协助接任人接收基金的有关文件。</w:t>
      </w:r>
      <w:bookmarkStart w:id="89" w:name="_Toc125892450"/>
      <w:bookmarkStart w:id="90" w:name="_Toc22454470"/>
      <w:bookmarkStart w:id="91" w:name="_Toc523830005"/>
      <w:bookmarkStart w:id="92" w:name="_Toc466788864"/>
    </w:p>
    <w:p w14:paraId="309B2A63">
      <w:pPr>
        <w:pStyle w:val="187"/>
      </w:pPr>
      <w:bookmarkStart w:id="93" w:name="_Toc65162013"/>
      <w:r>
        <w:t>十四、基金管理人和基金托管人的更换</w:t>
      </w:r>
      <w:bookmarkEnd w:id="89"/>
      <w:bookmarkEnd w:id="90"/>
      <w:bookmarkEnd w:id="91"/>
      <w:bookmarkEnd w:id="92"/>
      <w:bookmarkEnd w:id="93"/>
    </w:p>
    <w:p w14:paraId="586A4544">
      <w:pPr>
        <w:pStyle w:val="186"/>
        <w:tabs>
          <w:tab w:val="left" w:pos="3780"/>
        </w:tabs>
        <w:autoSpaceDE w:val="0"/>
        <w:autoSpaceDN w:val="0"/>
        <w:spacing w:before="156" w:after="156" w:line="360" w:lineRule="auto"/>
        <w:outlineLvl w:val="0"/>
        <w:rPr>
          <w:rFonts w:ascii="宋体"/>
          <w:b/>
          <w:bCs/>
          <w:sz w:val="24"/>
        </w:rPr>
      </w:pPr>
      <w:bookmarkStart w:id="94" w:name="_Toc77663031"/>
      <w:bookmarkStart w:id="95" w:name="_Toc22454471"/>
      <w:r>
        <w:rPr>
          <w:rFonts w:ascii="宋体" w:hAnsi="宋体"/>
          <w:b/>
          <w:bCs/>
          <w:sz w:val="24"/>
        </w:rPr>
        <w:t>（一）基金管理人的更换</w:t>
      </w:r>
    </w:p>
    <w:p w14:paraId="2ECE41A8">
      <w:pPr>
        <w:pStyle w:val="186"/>
        <w:tabs>
          <w:tab w:val="left" w:pos="1260"/>
        </w:tabs>
        <w:spacing w:line="360" w:lineRule="auto"/>
        <w:ind w:firstLine="480" w:firstLineChars="200"/>
        <w:rPr>
          <w:rFonts w:ascii="宋体"/>
          <w:sz w:val="24"/>
        </w:rPr>
      </w:pPr>
      <w:r>
        <w:rPr>
          <w:rFonts w:ascii="宋体" w:hAnsi="宋体"/>
          <w:sz w:val="24"/>
        </w:rPr>
        <w:t>1.基金管理人职责终止的条件</w:t>
      </w:r>
    </w:p>
    <w:p w14:paraId="2187174E">
      <w:pPr>
        <w:pStyle w:val="186"/>
        <w:spacing w:line="360" w:lineRule="auto"/>
        <w:ind w:firstLine="480" w:firstLineChars="200"/>
        <w:rPr>
          <w:rFonts w:ascii="宋体"/>
          <w:sz w:val="24"/>
        </w:rPr>
      </w:pPr>
      <w:r>
        <w:rPr>
          <w:rFonts w:ascii="宋体" w:hAnsi="宋体"/>
          <w:sz w:val="24"/>
        </w:rPr>
        <w:t>有下列情形之一的，基金管理人职责终止：</w:t>
      </w:r>
    </w:p>
    <w:p w14:paraId="2A69FC97">
      <w:pPr>
        <w:pStyle w:val="226"/>
        <w:ind w:firstLine="480"/>
        <w:rPr>
          <w:szCs w:val="24"/>
        </w:rPr>
      </w:pPr>
      <w:r>
        <w:rPr>
          <w:szCs w:val="24"/>
        </w:rPr>
        <w:t>（1）基金管理人被依法取消基金管理资格；</w:t>
      </w:r>
    </w:p>
    <w:p w14:paraId="23E576C6">
      <w:pPr>
        <w:pStyle w:val="226"/>
        <w:ind w:firstLine="480"/>
        <w:rPr>
          <w:szCs w:val="24"/>
        </w:rPr>
      </w:pPr>
      <w:r>
        <w:rPr>
          <w:szCs w:val="24"/>
        </w:rPr>
        <w:t>（2）基金管理人依法解散、被依法撤销或被依法宣告破产；</w:t>
      </w:r>
    </w:p>
    <w:p w14:paraId="7193B073">
      <w:pPr>
        <w:pStyle w:val="226"/>
        <w:ind w:firstLine="480"/>
        <w:rPr>
          <w:szCs w:val="24"/>
        </w:rPr>
      </w:pPr>
      <w:r>
        <w:rPr>
          <w:szCs w:val="24"/>
        </w:rPr>
        <w:t xml:space="preserve">（3）基金管理人被基金份额持有人大会解任； </w:t>
      </w:r>
    </w:p>
    <w:p w14:paraId="4AEE8985">
      <w:pPr>
        <w:pStyle w:val="226"/>
        <w:ind w:firstLine="480"/>
        <w:rPr>
          <w:szCs w:val="24"/>
        </w:rPr>
      </w:pPr>
      <w:r>
        <w:rPr>
          <w:szCs w:val="24"/>
        </w:rPr>
        <w:t>（4）法律法规及中国证监会规定的和《基金合同》约定的其他情形</w:t>
      </w:r>
    </w:p>
    <w:p w14:paraId="4613C00E">
      <w:pPr>
        <w:pStyle w:val="186"/>
        <w:spacing w:line="360" w:lineRule="auto"/>
        <w:ind w:firstLine="480" w:firstLineChars="200"/>
        <w:rPr>
          <w:rFonts w:ascii="宋体"/>
          <w:sz w:val="24"/>
        </w:rPr>
      </w:pPr>
      <w:r>
        <w:rPr>
          <w:rFonts w:ascii="宋体" w:hAnsi="宋体"/>
          <w:sz w:val="24"/>
        </w:rPr>
        <w:t>2.基金管理人的更换程序</w:t>
      </w:r>
    </w:p>
    <w:p w14:paraId="353F2AEA">
      <w:pPr>
        <w:pStyle w:val="186"/>
        <w:spacing w:line="360" w:lineRule="auto"/>
        <w:ind w:firstLine="480" w:firstLineChars="200"/>
        <w:rPr>
          <w:rFonts w:ascii="宋体" w:hAnsi="宋体"/>
          <w:bCs/>
          <w:sz w:val="24"/>
          <w:szCs w:val="20"/>
        </w:rPr>
      </w:pPr>
      <w:r>
        <w:rPr>
          <w:rFonts w:ascii="宋体" w:hAnsi="宋体"/>
          <w:bCs/>
          <w:sz w:val="24"/>
          <w:szCs w:val="20"/>
        </w:rPr>
        <w:t>（1）提名：新任基金管理人由基金托管人或由单独或合计持有10%以上（含10%）基金份额的基金份额持有人提名；</w:t>
      </w:r>
    </w:p>
    <w:p w14:paraId="7B8F9680">
      <w:pPr>
        <w:pStyle w:val="186"/>
        <w:spacing w:line="360" w:lineRule="auto"/>
        <w:ind w:firstLine="480" w:firstLineChars="200"/>
        <w:rPr>
          <w:rFonts w:ascii="宋体" w:hAnsi="宋体"/>
          <w:bCs/>
          <w:sz w:val="24"/>
          <w:szCs w:val="20"/>
        </w:rPr>
      </w:pPr>
      <w:r>
        <w:rPr>
          <w:rFonts w:ascii="宋体" w:hAnsi="宋体"/>
          <w:bCs/>
          <w:sz w:val="24"/>
          <w:szCs w:val="20"/>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0A39B2E7">
      <w:pPr>
        <w:pStyle w:val="186"/>
        <w:spacing w:line="360" w:lineRule="auto"/>
        <w:ind w:firstLine="480" w:firstLineChars="200"/>
        <w:rPr>
          <w:rFonts w:ascii="宋体" w:hAnsi="宋体"/>
          <w:bCs/>
          <w:sz w:val="24"/>
          <w:szCs w:val="20"/>
        </w:rPr>
      </w:pPr>
      <w:r>
        <w:rPr>
          <w:rFonts w:ascii="宋体" w:hAnsi="宋体"/>
          <w:bCs/>
          <w:sz w:val="24"/>
          <w:szCs w:val="20"/>
        </w:rPr>
        <w:t>（3）临时基金管理人：新任基金管理人产生之前，由中国证监会指定临时基金管理人；</w:t>
      </w:r>
    </w:p>
    <w:p w14:paraId="552A047F">
      <w:pPr>
        <w:pStyle w:val="186"/>
        <w:spacing w:line="360" w:lineRule="auto"/>
        <w:ind w:firstLine="480" w:firstLineChars="200"/>
        <w:rPr>
          <w:rFonts w:ascii="宋体" w:hAnsi="宋体"/>
          <w:bCs/>
          <w:sz w:val="24"/>
          <w:szCs w:val="20"/>
        </w:rPr>
      </w:pPr>
      <w:r>
        <w:rPr>
          <w:rFonts w:ascii="宋体" w:hAnsi="宋体"/>
          <w:bCs/>
          <w:sz w:val="24"/>
          <w:szCs w:val="20"/>
        </w:rPr>
        <w:t>（4）备案：基金份额持有人大会更换基金管理人的决议须报中国证监会备案；</w:t>
      </w:r>
    </w:p>
    <w:p w14:paraId="1EDC1A6A">
      <w:pPr>
        <w:pStyle w:val="186"/>
        <w:spacing w:line="360" w:lineRule="auto"/>
        <w:ind w:firstLine="480" w:firstLineChars="200"/>
        <w:rPr>
          <w:rFonts w:ascii="宋体" w:hAnsi="宋体"/>
          <w:bCs/>
          <w:sz w:val="24"/>
          <w:szCs w:val="20"/>
        </w:rPr>
      </w:pPr>
      <w:r>
        <w:rPr>
          <w:rFonts w:ascii="宋体" w:hAnsi="宋体"/>
          <w:bCs/>
          <w:sz w:val="24"/>
          <w:szCs w:val="20"/>
        </w:rPr>
        <w:t>（5）公告：基金管理人更换后，由基金托管人在更换基金管理人的基金份额持有人大会决议生效后依照《信息披露办法》的有关规定在中国证监会规定媒介公告；</w:t>
      </w:r>
    </w:p>
    <w:p w14:paraId="5E32A121">
      <w:pPr>
        <w:pStyle w:val="186"/>
        <w:spacing w:line="360" w:lineRule="auto"/>
        <w:ind w:firstLine="480" w:firstLineChars="200"/>
        <w:rPr>
          <w:rFonts w:ascii="宋体" w:hAnsi="宋体"/>
          <w:bCs/>
          <w:sz w:val="24"/>
          <w:szCs w:val="20"/>
        </w:rPr>
      </w:pPr>
      <w:r>
        <w:rPr>
          <w:rFonts w:ascii="宋体" w:hAnsi="宋体"/>
          <w:bCs/>
          <w:sz w:val="24"/>
          <w:szCs w:val="20"/>
        </w:rPr>
        <w:t>（6）交接：基金管理人职责终止的，基金管理人应妥善保管基金管理业务资料，及时向临时基金管理人或新任基金管理人办理基金管理业务的移交手续，临时基金管理人或新任基金管理人应及时接收。临时基金管理人或新任基金管理人应与基金托管人核对基金资产总值</w:t>
      </w:r>
      <w:r>
        <w:rPr>
          <w:bCs/>
          <w:sz w:val="24"/>
        </w:rPr>
        <w:t>和基金资产净值</w:t>
      </w:r>
      <w:r>
        <w:rPr>
          <w:rFonts w:ascii="宋体" w:hAnsi="宋体"/>
          <w:bCs/>
          <w:sz w:val="24"/>
          <w:szCs w:val="20"/>
        </w:rPr>
        <w:t>；</w:t>
      </w:r>
    </w:p>
    <w:p w14:paraId="5A47545F">
      <w:pPr>
        <w:pStyle w:val="186"/>
        <w:spacing w:line="360" w:lineRule="auto"/>
        <w:ind w:firstLine="480" w:firstLineChars="200"/>
        <w:rPr>
          <w:rFonts w:ascii="宋体" w:hAnsi="宋体"/>
          <w:bCs/>
          <w:sz w:val="24"/>
          <w:szCs w:val="20"/>
        </w:rPr>
      </w:pPr>
      <w:r>
        <w:rPr>
          <w:rFonts w:ascii="宋体" w:hAnsi="宋体"/>
          <w:bCs/>
          <w:sz w:val="24"/>
          <w:szCs w:val="20"/>
        </w:rPr>
        <w:t>（7）审计：基金管理人职责终止的，应当按照法律法规规定聘请会计师事务所对基金财产进行审计，并将审计结果予以公告，同时报中国证监会备案，审计费用从基金财产中列支；</w:t>
      </w:r>
    </w:p>
    <w:p w14:paraId="4E4D373C">
      <w:pPr>
        <w:pStyle w:val="226"/>
        <w:ind w:firstLine="480"/>
        <w:rPr>
          <w:szCs w:val="24"/>
        </w:rPr>
      </w:pPr>
      <w:r>
        <w:rPr>
          <w:rFonts w:ascii="宋体" w:hAnsi="宋体"/>
        </w:rPr>
        <w:t>（8）基金名称变更：基金管理人更换后，如果原任或新任基金管理人要求，应按其要求替换或删除基金名称中与原基金管理人有关的名称字样。</w:t>
      </w:r>
    </w:p>
    <w:p w14:paraId="52D10B94">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（二）基金托管人的更换</w:t>
      </w:r>
    </w:p>
    <w:p w14:paraId="28670F8D">
      <w:pPr>
        <w:pStyle w:val="186"/>
        <w:spacing w:line="360" w:lineRule="auto"/>
        <w:ind w:firstLine="480" w:firstLineChars="200"/>
        <w:rPr>
          <w:rFonts w:ascii="宋体" w:hAnsi="宋体"/>
          <w:sz w:val="24"/>
        </w:rPr>
      </w:pPr>
      <w:r>
        <w:rPr>
          <w:rFonts w:ascii="宋体" w:hAnsi="宋体"/>
          <w:sz w:val="24"/>
        </w:rPr>
        <w:t>1.基金托管人职责终止的条件</w:t>
      </w:r>
    </w:p>
    <w:p w14:paraId="6D1382CA">
      <w:pPr>
        <w:pStyle w:val="186"/>
        <w:spacing w:line="360" w:lineRule="auto"/>
        <w:ind w:firstLine="480" w:firstLineChars="200"/>
        <w:rPr>
          <w:rFonts w:ascii="宋体" w:hAnsi="宋体"/>
          <w:sz w:val="24"/>
        </w:rPr>
      </w:pPr>
      <w:r>
        <w:rPr>
          <w:rFonts w:ascii="宋体" w:hAnsi="宋体"/>
          <w:sz w:val="24"/>
        </w:rPr>
        <w:t>有下列情形之一的，基金托管人职责终止：</w:t>
      </w:r>
    </w:p>
    <w:p w14:paraId="32393733">
      <w:pPr>
        <w:pStyle w:val="186"/>
        <w:spacing w:line="360" w:lineRule="auto"/>
        <w:ind w:firstLine="480" w:firstLineChars="200"/>
        <w:rPr>
          <w:rFonts w:ascii="宋体" w:hAnsi="宋体"/>
          <w:sz w:val="24"/>
        </w:rPr>
      </w:pPr>
      <w:r>
        <w:rPr>
          <w:rFonts w:ascii="宋体" w:hAnsi="宋体"/>
          <w:sz w:val="24"/>
        </w:rPr>
        <w:t>（1）基金托管人被依法取消基金托管资格；</w:t>
      </w:r>
    </w:p>
    <w:p w14:paraId="211BE0D8">
      <w:pPr>
        <w:pStyle w:val="186"/>
        <w:spacing w:line="360" w:lineRule="auto"/>
        <w:ind w:firstLine="480" w:firstLineChars="200"/>
        <w:rPr>
          <w:rFonts w:ascii="宋体" w:hAnsi="宋体"/>
          <w:sz w:val="24"/>
        </w:rPr>
      </w:pPr>
      <w:r>
        <w:rPr>
          <w:rFonts w:ascii="宋体" w:hAnsi="宋体"/>
          <w:sz w:val="24"/>
        </w:rPr>
        <w:t>（2）基金托管人依法解散、依法被撤销或被依法宣告破产；</w:t>
      </w:r>
    </w:p>
    <w:p w14:paraId="553A9DF9">
      <w:pPr>
        <w:pStyle w:val="186"/>
        <w:spacing w:line="360" w:lineRule="auto"/>
        <w:ind w:firstLine="480" w:firstLineChars="200"/>
        <w:rPr>
          <w:rFonts w:ascii="宋体" w:hAnsi="宋体"/>
          <w:sz w:val="24"/>
        </w:rPr>
      </w:pPr>
      <w:r>
        <w:rPr>
          <w:rFonts w:ascii="宋体" w:hAnsi="宋体"/>
          <w:sz w:val="24"/>
        </w:rPr>
        <w:t>（3）基金托管人被基金份额持有人大会解任；</w:t>
      </w:r>
    </w:p>
    <w:p w14:paraId="4E342674">
      <w:pPr>
        <w:pStyle w:val="186"/>
        <w:spacing w:line="360" w:lineRule="auto"/>
        <w:ind w:firstLine="480" w:firstLineChars="200"/>
        <w:rPr>
          <w:rFonts w:ascii="宋体" w:hAnsi="宋体"/>
          <w:sz w:val="24"/>
        </w:rPr>
      </w:pPr>
      <w:r>
        <w:rPr>
          <w:rFonts w:ascii="宋体" w:hAnsi="宋体"/>
          <w:sz w:val="24"/>
        </w:rPr>
        <w:t>（4）法律法规及中国证监会规定的和《基金合同》约定的其他情形</w:t>
      </w:r>
    </w:p>
    <w:p w14:paraId="57F63C22">
      <w:pPr>
        <w:pStyle w:val="186"/>
        <w:spacing w:line="360" w:lineRule="auto"/>
        <w:ind w:firstLine="480" w:firstLineChars="200"/>
        <w:rPr>
          <w:rFonts w:ascii="宋体" w:hAnsi="宋体"/>
          <w:sz w:val="24"/>
        </w:rPr>
      </w:pPr>
      <w:r>
        <w:rPr>
          <w:rFonts w:ascii="宋体" w:hAnsi="宋体"/>
          <w:sz w:val="24"/>
        </w:rPr>
        <w:t>2.基金托管人的更换程序</w:t>
      </w:r>
    </w:p>
    <w:bookmarkEnd w:id="94"/>
    <w:bookmarkEnd w:id="95"/>
    <w:p w14:paraId="6194CA27">
      <w:pPr>
        <w:pStyle w:val="186"/>
        <w:spacing w:line="360" w:lineRule="auto"/>
        <w:ind w:firstLine="480" w:firstLineChars="200"/>
        <w:rPr>
          <w:rFonts w:ascii="宋体" w:hAnsi="宋体"/>
          <w:sz w:val="24"/>
        </w:rPr>
      </w:pPr>
      <w:r>
        <w:rPr>
          <w:rFonts w:ascii="宋体" w:hAnsi="宋体"/>
          <w:sz w:val="24"/>
        </w:rPr>
        <w:t>（1）提名：新任基金托管人由基金管理人或由单独或合计持有10%以上（含10%）基金份额的基金份额持有人提名；</w:t>
      </w:r>
    </w:p>
    <w:p w14:paraId="02EEC370">
      <w:pPr>
        <w:pStyle w:val="186"/>
        <w:spacing w:line="360" w:lineRule="auto"/>
        <w:ind w:firstLine="480" w:firstLineChars="200"/>
        <w:rPr>
          <w:rFonts w:ascii="宋体" w:hAnsi="宋体"/>
          <w:sz w:val="24"/>
        </w:rPr>
      </w:pPr>
      <w:r>
        <w:rPr>
          <w:rFonts w:ascii="宋体" w:hAnsi="宋体"/>
          <w:sz w:val="24"/>
        </w:rPr>
        <w:t>（2）决议：基金份额持有人大会在基金托管人职责终止后6个月内对被提名的基金托管人形成决议，该决议需经参加大会的基金份额持有人所持表决权的三分之二以上（含三分之二）表决通过，并自表决通过之日起生效；</w:t>
      </w:r>
    </w:p>
    <w:p w14:paraId="1C9A91D3">
      <w:pPr>
        <w:pStyle w:val="186"/>
        <w:spacing w:line="360" w:lineRule="auto"/>
        <w:ind w:firstLine="480" w:firstLineChars="200"/>
        <w:rPr>
          <w:rFonts w:ascii="宋体" w:hAnsi="宋体"/>
          <w:sz w:val="24"/>
        </w:rPr>
      </w:pPr>
      <w:r>
        <w:rPr>
          <w:rFonts w:ascii="宋体" w:hAnsi="宋体"/>
          <w:sz w:val="24"/>
        </w:rPr>
        <w:t>（3）临时基金托管人：新任基金托管人产生之前，由中国证监会指定临时基金托管人；</w:t>
      </w:r>
    </w:p>
    <w:p w14:paraId="57BC45F4">
      <w:pPr>
        <w:pStyle w:val="186"/>
        <w:spacing w:line="360" w:lineRule="auto"/>
        <w:ind w:firstLine="480" w:firstLineChars="200"/>
        <w:rPr>
          <w:rFonts w:ascii="宋体" w:hAnsi="宋体"/>
          <w:sz w:val="24"/>
        </w:rPr>
      </w:pPr>
      <w:r>
        <w:rPr>
          <w:rFonts w:ascii="宋体" w:hAnsi="宋体"/>
          <w:sz w:val="24"/>
        </w:rPr>
        <w:t>（4）备案：基金份额持有人大会更换基金托管人的决议须报中国证监会备案；</w:t>
      </w:r>
    </w:p>
    <w:p w14:paraId="3299B722">
      <w:pPr>
        <w:pStyle w:val="186"/>
        <w:spacing w:line="360" w:lineRule="auto"/>
        <w:ind w:firstLine="480" w:firstLineChars="200"/>
        <w:rPr>
          <w:rFonts w:ascii="宋体" w:hAnsi="宋体"/>
          <w:sz w:val="24"/>
        </w:rPr>
      </w:pPr>
      <w:r>
        <w:rPr>
          <w:rFonts w:ascii="宋体" w:hAnsi="宋体"/>
          <w:sz w:val="24"/>
        </w:rPr>
        <w:t>（5）公告：基金托管人更换后，由基金管理人在更换基金托管人的基金份额持有人大会决议生效后依照《信息披露办法》的有关规定在中国证监会规定媒介公告；</w:t>
      </w:r>
    </w:p>
    <w:p w14:paraId="50E9C51A">
      <w:pPr>
        <w:pStyle w:val="186"/>
        <w:spacing w:line="360" w:lineRule="auto"/>
        <w:ind w:firstLine="480" w:firstLineChars="200"/>
        <w:rPr>
          <w:rFonts w:ascii="宋体" w:hAnsi="宋体"/>
          <w:sz w:val="24"/>
        </w:rPr>
      </w:pPr>
      <w:r>
        <w:rPr>
          <w:rFonts w:ascii="宋体" w:hAnsi="宋体"/>
          <w:sz w:val="24"/>
        </w:rPr>
        <w:t>（6）交接：基金托管人职责终止的，应当妥善保管基金财产和基金托管业务资料，及时办理基金财产和基金托管业务的移交手续，新任基金托管人或者临时基金托管人应当及时接收。临时基金托管人或新任基金托管人与基金管理人核对基金资产总值和基金资产净值；</w:t>
      </w:r>
    </w:p>
    <w:p w14:paraId="19BE7D32">
      <w:pPr>
        <w:pStyle w:val="186"/>
        <w:spacing w:line="360" w:lineRule="auto"/>
        <w:ind w:firstLine="480" w:firstLineChars="200"/>
        <w:rPr>
          <w:rFonts w:ascii="宋体" w:hAnsi="宋体"/>
          <w:sz w:val="24"/>
        </w:rPr>
      </w:pPr>
      <w:r>
        <w:rPr>
          <w:rFonts w:ascii="宋体" w:hAnsi="宋体"/>
          <w:sz w:val="24"/>
        </w:rPr>
        <w:t>（7）审计：基金托管人职责终止的，应当按照法律法规规定聘请会计师事务所对基金财产进行审计，并将审计结果予以公告，同时报中国证监会备案，审计费用从基金财产中列支。</w:t>
      </w:r>
    </w:p>
    <w:p w14:paraId="379A296B">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（三）基金管理人与基金托管人同时更换</w:t>
      </w:r>
    </w:p>
    <w:p w14:paraId="234FDB75">
      <w:pPr>
        <w:pStyle w:val="186"/>
        <w:spacing w:line="360" w:lineRule="auto"/>
        <w:ind w:firstLine="480" w:firstLineChars="200"/>
        <w:rPr>
          <w:rFonts w:ascii="宋体" w:hAnsi="宋体"/>
          <w:sz w:val="24"/>
        </w:rPr>
      </w:pPr>
      <w:bookmarkStart w:id="96" w:name="_Toc523830007"/>
      <w:bookmarkStart w:id="97" w:name="_Toc22454478"/>
      <w:bookmarkStart w:id="98" w:name="_Toc125892451"/>
      <w:bookmarkStart w:id="99" w:name="_Toc466788866"/>
      <w:r>
        <w:rPr>
          <w:rFonts w:ascii="宋体" w:hAnsi="宋体"/>
          <w:sz w:val="24"/>
        </w:rPr>
        <w:t>1、提名：如果基金管理人和基金托管人同时更换，由单独或合计持有基金总份额10%以上（含10%）的基金份额持有人提名新的基金管理人和基金托管人；</w:t>
      </w:r>
    </w:p>
    <w:p w14:paraId="11D8C0DB">
      <w:pPr>
        <w:pStyle w:val="186"/>
        <w:spacing w:line="360" w:lineRule="auto"/>
        <w:ind w:firstLine="480" w:firstLineChars="200"/>
        <w:rPr>
          <w:rFonts w:ascii="宋体" w:hAnsi="宋体"/>
          <w:sz w:val="24"/>
        </w:rPr>
      </w:pPr>
      <w:r>
        <w:rPr>
          <w:rFonts w:ascii="宋体" w:hAnsi="宋体"/>
          <w:sz w:val="24"/>
        </w:rPr>
        <w:t>2、基金管理人和基金托管人的更换分别按上述程序进行；</w:t>
      </w:r>
    </w:p>
    <w:p w14:paraId="1A29170A">
      <w:pPr>
        <w:pStyle w:val="186"/>
        <w:spacing w:line="360" w:lineRule="auto"/>
        <w:ind w:left="1" w:firstLine="388" w:firstLineChars="162"/>
        <w:rPr>
          <w:rFonts w:ascii="宋体" w:hAnsi="宋体"/>
          <w:sz w:val="24"/>
        </w:rPr>
      </w:pPr>
      <w:r>
        <w:rPr>
          <w:rFonts w:ascii="宋体" w:hAnsi="宋体"/>
          <w:sz w:val="24"/>
        </w:rPr>
        <w:t>3、公告：新任基金管理人和新任基金托管人应在更换基金管理人和基金托管人的基金份额持有人大会决议生效后依照《信息披露办法》的有关规定在规定媒介上联合公告。</w:t>
      </w:r>
    </w:p>
    <w:p w14:paraId="107386AC">
      <w:pPr>
        <w:pStyle w:val="186"/>
        <w:spacing w:line="360" w:lineRule="auto"/>
        <w:ind w:left="1" w:firstLine="388" w:firstLineChars="162"/>
        <w:rPr>
          <w:rFonts w:ascii="宋体"/>
          <w:bCs/>
          <w:sz w:val="24"/>
        </w:rPr>
      </w:pPr>
      <w:r>
        <w:rPr>
          <w:rFonts w:ascii="宋体"/>
          <w:b/>
          <w:bCs/>
          <w:sz w:val="24"/>
        </w:rPr>
        <w:t xml:space="preserve">（四） 新任基金管理人或临时基金管理人接收基金管理业务或新任基金托管人或临时基金托管人接收基金财产和基金托管业务前，原基金管理人或基金托管人应依据法律法规和《基金合同》的规定继续履行相关职责，并保证不对基金份额持有人的利益造成损害。原基金管理人或基金托管人在继续履行相关职责期间，仍有权按照《基金合同》的规定收取基金管理费或基金托管费。 </w:t>
      </w:r>
    </w:p>
    <w:p w14:paraId="5300FA04">
      <w:pPr>
        <w:pStyle w:val="187"/>
      </w:pPr>
      <w:bookmarkStart w:id="100" w:name="_Toc65162014"/>
      <w:r>
        <w:t>十五、禁止行为</w:t>
      </w:r>
      <w:bookmarkEnd w:id="96"/>
      <w:bookmarkEnd w:id="97"/>
      <w:bookmarkEnd w:id="98"/>
      <w:bookmarkEnd w:id="99"/>
      <w:bookmarkEnd w:id="100"/>
    </w:p>
    <w:p w14:paraId="592140FA">
      <w:pPr>
        <w:pStyle w:val="186"/>
        <w:spacing w:line="360" w:lineRule="auto"/>
        <w:ind w:firstLine="480" w:firstLineChars="200"/>
        <w:rPr>
          <w:rFonts w:ascii="宋体"/>
          <w:sz w:val="24"/>
        </w:rPr>
      </w:pPr>
      <w:r>
        <w:rPr>
          <w:rFonts w:ascii="宋体" w:hAnsi="宋体"/>
          <w:sz w:val="24"/>
        </w:rPr>
        <w:t>本协议项下的基金管理人和基金托管人禁止行为如下：</w:t>
      </w:r>
    </w:p>
    <w:p w14:paraId="69EE6602">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（一）《基金法》禁止的行为。</w:t>
      </w:r>
    </w:p>
    <w:p w14:paraId="23D92D2D">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（二）除非法律法规及中国证监会另有规定，托管协议当事人用基金财产从事《基金法》禁止的投资或活动。</w:t>
      </w:r>
    </w:p>
    <w:p w14:paraId="19A863A4">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（三）除《基金法》及其他有关法规、《基金合同》及中国证监会另有规定，基金管理人、基金托管人利用基金财产为自身和任何第三人谋取利益。</w:t>
      </w:r>
    </w:p>
    <w:p w14:paraId="785E7490">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（四）基金管理人与基金托管人对基金运作过程中任何尚未按有关法规规定的方式公开披露的信息，对他人泄露。</w:t>
      </w:r>
    </w:p>
    <w:p w14:paraId="181CF749">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（五）基金管理人在资金头寸不足的情况下，向基金托管人发送划款指令。</w:t>
      </w:r>
    </w:p>
    <w:p w14:paraId="090F7B69">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（六）在资金头寸充足且为基金托管人执行指令留出足够时间的情况下，基金托管人对基金管理人符合法律法规、《基金合同》、本协议的指令拖延或拒绝执行。</w:t>
      </w:r>
    </w:p>
    <w:p w14:paraId="72EC4A93">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（七）除根据基金管理人指令或《基金合同》另有规定的，基金托管人动用或处分基金财产。</w:t>
      </w:r>
    </w:p>
    <w:p w14:paraId="3E0DC807">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（八）基金管理人与基金托管人为同一机构，或相互出资或者持有股份。基金托管人、基金管理人在行政上、财务上不独立，其高级基金管理人员或其他从业人员相互兼职。</w:t>
      </w:r>
    </w:p>
    <w:p w14:paraId="50A8D6B0">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（九）《基金合同》投资限制中禁止投资的行为。</w:t>
      </w:r>
    </w:p>
    <w:p w14:paraId="1DAC48AB">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（十）法律法规、《基金合同》和本协议禁止的其他行为。</w:t>
      </w:r>
    </w:p>
    <w:p w14:paraId="2664CA58">
      <w:pPr>
        <w:pStyle w:val="186"/>
        <w:spacing w:line="360" w:lineRule="auto"/>
        <w:ind w:firstLine="480" w:firstLineChars="200"/>
        <w:rPr>
          <w:rFonts w:ascii="宋体" w:hAnsi="宋体"/>
          <w:sz w:val="24"/>
        </w:rPr>
      </w:pPr>
      <w:r>
        <w:rPr>
          <w:rFonts w:ascii="宋体" w:hAnsi="宋体"/>
          <w:sz w:val="24"/>
        </w:rPr>
        <w:t>法律法规和监管部门取消或变更上述禁止性规定的，则本基金不受上述相关限制或按照变更后的规定执行。</w:t>
      </w:r>
    </w:p>
    <w:p w14:paraId="4BA704F8">
      <w:pPr>
        <w:pStyle w:val="187"/>
      </w:pPr>
      <w:bookmarkStart w:id="101" w:name="_Toc125892452"/>
      <w:bookmarkStart w:id="102" w:name="_Toc65162015"/>
      <w:bookmarkStart w:id="103" w:name="_Toc466788867"/>
      <w:bookmarkStart w:id="104" w:name="_Toc523830008"/>
      <w:bookmarkStart w:id="105" w:name="_Toc22454479"/>
      <w:r>
        <w:t>十六、基金托管协议的变更、终止与基金财产的清算</w:t>
      </w:r>
      <w:bookmarkEnd w:id="101"/>
      <w:bookmarkEnd w:id="102"/>
    </w:p>
    <w:p w14:paraId="30634533">
      <w:pPr>
        <w:pStyle w:val="186"/>
        <w:tabs>
          <w:tab w:val="left" w:pos="3780"/>
        </w:tabs>
        <w:autoSpaceDE w:val="0"/>
        <w:autoSpaceDN w:val="0"/>
        <w:spacing w:before="156" w:after="156" w:line="360" w:lineRule="auto"/>
        <w:outlineLvl w:val="0"/>
        <w:rPr>
          <w:rFonts w:ascii="宋体"/>
          <w:b/>
          <w:bCs/>
          <w:sz w:val="24"/>
        </w:rPr>
      </w:pPr>
      <w:bookmarkStart w:id="106" w:name="_Toc510842757"/>
      <w:r>
        <w:rPr>
          <w:rFonts w:ascii="宋体" w:hAnsi="宋体"/>
          <w:b/>
          <w:bCs/>
          <w:sz w:val="24"/>
        </w:rPr>
        <w:t>（一）基金托管协议的变更</w:t>
      </w:r>
    </w:p>
    <w:bookmarkEnd w:id="106"/>
    <w:p w14:paraId="51A81B88">
      <w:pPr>
        <w:pStyle w:val="186"/>
        <w:spacing w:line="360" w:lineRule="auto"/>
        <w:ind w:firstLine="480" w:firstLineChars="200"/>
        <w:rPr>
          <w:rFonts w:ascii="宋体"/>
          <w:sz w:val="24"/>
        </w:rPr>
      </w:pPr>
      <w:r>
        <w:rPr>
          <w:rFonts w:ascii="宋体" w:hAnsi="宋体"/>
          <w:sz w:val="24"/>
        </w:rPr>
        <w:t>本协议双方当事人经协商一致，可以对协议进行修改。修改后的新协议，其内容不得与《基金合同》的规定有任何冲突。修改后的新协议，应</w:t>
      </w:r>
      <w:r>
        <w:rPr>
          <w:rFonts w:hint="eastAsia" w:ascii="宋体" w:hAnsi="宋体"/>
          <w:sz w:val="24"/>
        </w:rPr>
        <w:t>按法律法规或监管规则</w:t>
      </w:r>
      <w:r>
        <w:rPr>
          <w:rFonts w:ascii="宋体" w:hAnsi="宋体"/>
          <w:sz w:val="24"/>
        </w:rPr>
        <w:t>报中国证监会备案。</w:t>
      </w:r>
    </w:p>
    <w:p w14:paraId="0C5E2C5C">
      <w:pPr>
        <w:pStyle w:val="186"/>
        <w:tabs>
          <w:tab w:val="left" w:pos="3780"/>
        </w:tabs>
        <w:autoSpaceDE w:val="0"/>
        <w:autoSpaceDN w:val="0"/>
        <w:spacing w:before="156" w:after="156" w:line="360" w:lineRule="auto"/>
        <w:outlineLvl w:val="0"/>
        <w:rPr>
          <w:rFonts w:ascii="宋体"/>
          <w:b/>
          <w:bCs/>
          <w:sz w:val="24"/>
        </w:rPr>
      </w:pPr>
      <w:r>
        <w:rPr>
          <w:rFonts w:ascii="宋体" w:hAnsi="宋体"/>
          <w:b/>
          <w:bCs/>
          <w:sz w:val="24"/>
        </w:rPr>
        <w:t>（二）基金托管协议的终止</w:t>
      </w:r>
    </w:p>
    <w:p w14:paraId="4292A77C">
      <w:pPr>
        <w:pStyle w:val="186"/>
        <w:spacing w:line="360" w:lineRule="auto"/>
        <w:ind w:firstLine="480" w:firstLineChars="200"/>
        <w:rPr>
          <w:rFonts w:ascii="宋体"/>
          <w:sz w:val="24"/>
        </w:rPr>
      </w:pPr>
      <w:r>
        <w:rPr>
          <w:rFonts w:ascii="宋体" w:hAnsi="宋体"/>
          <w:sz w:val="24"/>
        </w:rPr>
        <w:t>1.《基金合同》终止；</w:t>
      </w:r>
    </w:p>
    <w:p w14:paraId="2FC9B478">
      <w:pPr>
        <w:pStyle w:val="186"/>
        <w:spacing w:line="360" w:lineRule="auto"/>
        <w:ind w:firstLine="480" w:firstLineChars="200"/>
        <w:rPr>
          <w:rFonts w:ascii="宋体"/>
          <w:sz w:val="24"/>
        </w:rPr>
      </w:pPr>
      <w:r>
        <w:rPr>
          <w:rFonts w:ascii="宋体" w:hAnsi="宋体"/>
          <w:sz w:val="24"/>
        </w:rPr>
        <w:t>2.基金托管人解散、依法被撤销、破产，被依法取消基金托管资格或因其他事由造成其他基金托管人接管基金财产；</w:t>
      </w:r>
    </w:p>
    <w:p w14:paraId="43FCF787">
      <w:pPr>
        <w:pStyle w:val="186"/>
        <w:spacing w:line="360" w:lineRule="auto"/>
        <w:ind w:firstLine="480" w:firstLineChars="200"/>
        <w:rPr>
          <w:rFonts w:ascii="宋体" w:hAnsi="宋体"/>
          <w:sz w:val="24"/>
        </w:rPr>
      </w:pPr>
      <w:r>
        <w:rPr>
          <w:rFonts w:ascii="宋体" w:hAnsi="宋体"/>
          <w:sz w:val="24"/>
        </w:rPr>
        <w:t>3.基金管理人解散、依法被撤销、破产，被依法取消基金管理资格或因其他事由造成其他基金管理人接管基金管理权；</w:t>
      </w:r>
    </w:p>
    <w:p w14:paraId="21A91555">
      <w:pPr>
        <w:pStyle w:val="186"/>
        <w:spacing w:line="360" w:lineRule="auto"/>
        <w:ind w:firstLine="480" w:firstLineChars="200"/>
        <w:rPr>
          <w:rFonts w:ascii="宋体" w:hAnsi="宋体"/>
          <w:sz w:val="24"/>
        </w:rPr>
      </w:pPr>
      <w:r>
        <w:rPr>
          <w:rFonts w:hint="eastAsia" w:ascii="宋体" w:hAnsi="宋体"/>
          <w:sz w:val="24"/>
          <w:lang w:val="en-US" w:eastAsia="zh-CN"/>
        </w:rPr>
        <w:t>4</w:t>
      </w:r>
      <w:r>
        <w:rPr>
          <w:rFonts w:ascii="宋体" w:hAnsi="宋体"/>
          <w:sz w:val="24"/>
        </w:rPr>
        <w:t>.发生《基金法》、《销售办法》、《运作办法》或其他法律法规规定的终止事项。</w:t>
      </w:r>
    </w:p>
    <w:p w14:paraId="660718D5">
      <w:pPr>
        <w:pStyle w:val="186"/>
        <w:tabs>
          <w:tab w:val="left" w:pos="3780"/>
        </w:tabs>
        <w:autoSpaceDE w:val="0"/>
        <w:autoSpaceDN w:val="0"/>
        <w:spacing w:before="156" w:after="156" w:line="360" w:lineRule="auto"/>
        <w:outlineLvl w:val="0"/>
        <w:rPr>
          <w:b/>
          <w:sz w:val="24"/>
        </w:rPr>
      </w:pPr>
      <w:r>
        <w:rPr>
          <w:b/>
          <w:sz w:val="24"/>
        </w:rPr>
        <w:t>（三）基金财产的清算</w:t>
      </w:r>
    </w:p>
    <w:p w14:paraId="357DBD99">
      <w:pPr>
        <w:pStyle w:val="186"/>
        <w:spacing w:line="360" w:lineRule="auto"/>
        <w:ind w:firstLine="480" w:firstLineChars="200"/>
        <w:rPr>
          <w:bCs/>
          <w:sz w:val="24"/>
          <w:szCs w:val="20"/>
        </w:rPr>
      </w:pPr>
      <w:r>
        <w:rPr>
          <w:bCs/>
          <w:sz w:val="24"/>
          <w:szCs w:val="20"/>
        </w:rPr>
        <w:t>1.基金财产清算小组：自出现《基金合同》终止事由之日起30个工作日内成立基金财产清算小组，基金管理人组织基金财产清算小组并在中国证监会的监督下进行基金清算。</w:t>
      </w:r>
    </w:p>
    <w:p w14:paraId="022F75DF">
      <w:pPr>
        <w:pStyle w:val="186"/>
        <w:spacing w:line="360" w:lineRule="auto"/>
        <w:ind w:firstLine="480" w:firstLineChars="200"/>
        <w:rPr>
          <w:bCs/>
          <w:sz w:val="24"/>
          <w:szCs w:val="20"/>
        </w:rPr>
      </w:pPr>
      <w:r>
        <w:rPr>
          <w:bCs/>
          <w:sz w:val="24"/>
          <w:szCs w:val="20"/>
        </w:rPr>
        <w:t>2.基金财产清算小组组成：基金财产清算小组成员由基金管理人、基金托管人、具有从事证券相关业务资格的注册会计师、律师以及中国证监会指定的人员组成。基金财产清算小组可以聘用必要的工作人员。</w:t>
      </w:r>
    </w:p>
    <w:p w14:paraId="55559B13">
      <w:pPr>
        <w:pStyle w:val="186"/>
        <w:spacing w:line="360" w:lineRule="auto"/>
        <w:ind w:firstLine="480" w:firstLineChars="200"/>
        <w:rPr>
          <w:bCs/>
          <w:sz w:val="24"/>
          <w:szCs w:val="20"/>
        </w:rPr>
      </w:pPr>
      <w:r>
        <w:rPr>
          <w:bCs/>
          <w:sz w:val="24"/>
          <w:szCs w:val="20"/>
        </w:rPr>
        <w:t>3.基金财产清算小组职责：基金财产清算小组负责基金财产的保管、清理、估价、变现和分配。基金财产清算小组可以依法进行必要的民事活动。</w:t>
      </w:r>
    </w:p>
    <w:p w14:paraId="70BB9208">
      <w:pPr>
        <w:pStyle w:val="186"/>
        <w:spacing w:line="360" w:lineRule="auto"/>
        <w:ind w:firstLine="480" w:firstLineChars="200"/>
        <w:rPr>
          <w:bCs/>
          <w:sz w:val="24"/>
          <w:szCs w:val="20"/>
        </w:rPr>
      </w:pPr>
      <w:r>
        <w:rPr>
          <w:bCs/>
          <w:sz w:val="24"/>
          <w:szCs w:val="20"/>
        </w:rPr>
        <w:t>4.基金财产清算程序：</w:t>
      </w:r>
    </w:p>
    <w:p w14:paraId="7F907ADB">
      <w:pPr>
        <w:pStyle w:val="186"/>
        <w:spacing w:line="360" w:lineRule="auto"/>
        <w:ind w:firstLine="480" w:firstLineChars="200"/>
        <w:rPr>
          <w:bCs/>
          <w:sz w:val="24"/>
          <w:szCs w:val="20"/>
        </w:rPr>
      </w:pPr>
      <w:r>
        <w:rPr>
          <w:bCs/>
          <w:sz w:val="24"/>
          <w:szCs w:val="20"/>
        </w:rPr>
        <w:t>（1）《基金合同》终止情形出现时，由基金财产清算小组统一接管基金财产；</w:t>
      </w:r>
    </w:p>
    <w:p w14:paraId="6E8FE164">
      <w:pPr>
        <w:pStyle w:val="186"/>
        <w:spacing w:line="360" w:lineRule="auto"/>
        <w:ind w:firstLine="480" w:firstLineChars="200"/>
        <w:rPr>
          <w:bCs/>
          <w:sz w:val="24"/>
          <w:szCs w:val="20"/>
        </w:rPr>
      </w:pPr>
      <w:r>
        <w:rPr>
          <w:bCs/>
          <w:sz w:val="24"/>
          <w:szCs w:val="20"/>
        </w:rPr>
        <w:t>（2）对基金财产和债权债务进行清理和确认；</w:t>
      </w:r>
    </w:p>
    <w:p w14:paraId="69E187DD">
      <w:pPr>
        <w:pStyle w:val="186"/>
        <w:spacing w:line="360" w:lineRule="auto"/>
        <w:ind w:firstLine="480" w:firstLineChars="200"/>
        <w:rPr>
          <w:bCs/>
          <w:sz w:val="24"/>
          <w:szCs w:val="20"/>
        </w:rPr>
      </w:pPr>
      <w:r>
        <w:rPr>
          <w:bCs/>
          <w:sz w:val="24"/>
          <w:szCs w:val="20"/>
        </w:rPr>
        <w:t>（3）对基金财产进行估值和变现；</w:t>
      </w:r>
    </w:p>
    <w:p w14:paraId="7DBB28DD">
      <w:pPr>
        <w:pStyle w:val="186"/>
        <w:spacing w:line="360" w:lineRule="auto"/>
        <w:ind w:firstLine="480" w:firstLineChars="200"/>
        <w:rPr>
          <w:bCs/>
          <w:sz w:val="24"/>
          <w:szCs w:val="20"/>
        </w:rPr>
      </w:pPr>
      <w:r>
        <w:rPr>
          <w:bCs/>
          <w:sz w:val="24"/>
          <w:szCs w:val="20"/>
        </w:rPr>
        <w:t>（4）制作清算报告；</w:t>
      </w:r>
    </w:p>
    <w:p w14:paraId="0D7A3F18">
      <w:pPr>
        <w:pStyle w:val="186"/>
        <w:spacing w:line="360" w:lineRule="auto"/>
        <w:ind w:firstLine="480" w:firstLineChars="200"/>
        <w:rPr>
          <w:bCs/>
          <w:sz w:val="24"/>
          <w:szCs w:val="20"/>
        </w:rPr>
      </w:pPr>
      <w:r>
        <w:rPr>
          <w:bCs/>
          <w:sz w:val="24"/>
          <w:szCs w:val="20"/>
        </w:rPr>
        <w:t>（5）聘请会计师事务所对清算报告进行外部审计，聘请律师事务所对清算报告出具法律意见书；</w:t>
      </w:r>
    </w:p>
    <w:p w14:paraId="6B36711E">
      <w:pPr>
        <w:pStyle w:val="186"/>
        <w:spacing w:line="360" w:lineRule="auto"/>
        <w:ind w:firstLine="480" w:firstLineChars="200"/>
        <w:rPr>
          <w:bCs/>
          <w:sz w:val="24"/>
          <w:szCs w:val="20"/>
        </w:rPr>
      </w:pPr>
      <w:r>
        <w:rPr>
          <w:bCs/>
          <w:sz w:val="24"/>
          <w:szCs w:val="20"/>
        </w:rPr>
        <w:t>（6）将清算报告报中国证监会备案并公告；</w:t>
      </w:r>
    </w:p>
    <w:p w14:paraId="6B3D83B6">
      <w:pPr>
        <w:pStyle w:val="186"/>
        <w:spacing w:line="360" w:lineRule="auto"/>
        <w:ind w:firstLine="480" w:firstLineChars="200"/>
        <w:rPr>
          <w:bCs/>
          <w:sz w:val="24"/>
          <w:szCs w:val="20"/>
        </w:rPr>
      </w:pPr>
      <w:r>
        <w:rPr>
          <w:bCs/>
          <w:sz w:val="24"/>
          <w:szCs w:val="20"/>
        </w:rPr>
        <w:t>（7）对基金剩余财产进行分配。</w:t>
      </w:r>
    </w:p>
    <w:p w14:paraId="10C970DE">
      <w:pPr>
        <w:pStyle w:val="186"/>
        <w:spacing w:line="360" w:lineRule="auto"/>
        <w:ind w:firstLine="480" w:firstLineChars="200"/>
        <w:rPr>
          <w:bCs/>
          <w:sz w:val="24"/>
          <w:szCs w:val="20"/>
        </w:rPr>
      </w:pPr>
      <w:r>
        <w:rPr>
          <w:bCs/>
          <w:sz w:val="24"/>
          <w:szCs w:val="20"/>
        </w:rPr>
        <w:t>5.基金财产清算的期限为6个月，但因本基金所持证券的流动性受到限制而不能及时变现的，清算期限可相应顺延。</w:t>
      </w:r>
    </w:p>
    <w:p w14:paraId="3D4F1640">
      <w:pPr>
        <w:pStyle w:val="186"/>
        <w:spacing w:line="360" w:lineRule="auto"/>
        <w:ind w:firstLine="480" w:firstLineChars="200"/>
        <w:rPr>
          <w:bCs/>
          <w:sz w:val="24"/>
          <w:szCs w:val="20"/>
        </w:rPr>
      </w:pPr>
      <w:r>
        <w:rPr>
          <w:bCs/>
          <w:sz w:val="24"/>
          <w:szCs w:val="20"/>
        </w:rPr>
        <w:t>6.清算费用</w:t>
      </w:r>
    </w:p>
    <w:p w14:paraId="78F77D4D">
      <w:pPr>
        <w:pStyle w:val="186"/>
        <w:spacing w:line="360" w:lineRule="auto"/>
        <w:ind w:firstLine="480" w:firstLineChars="200"/>
        <w:rPr>
          <w:bCs/>
          <w:sz w:val="24"/>
          <w:szCs w:val="20"/>
        </w:rPr>
      </w:pPr>
      <w:r>
        <w:rPr>
          <w:bCs/>
          <w:sz w:val="24"/>
          <w:szCs w:val="20"/>
        </w:rPr>
        <w:t>清算费用是指基金财产清算小组在进行基金清算过程中发生的所有合理费用，清算费用由基金财产清算小组优先从基金剩余财产中支付。</w:t>
      </w:r>
    </w:p>
    <w:p w14:paraId="727EC084">
      <w:pPr>
        <w:pStyle w:val="186"/>
        <w:spacing w:line="360" w:lineRule="auto"/>
        <w:ind w:firstLine="480" w:firstLineChars="200"/>
        <w:rPr>
          <w:bCs/>
          <w:sz w:val="24"/>
          <w:szCs w:val="20"/>
        </w:rPr>
      </w:pPr>
      <w:r>
        <w:rPr>
          <w:bCs/>
          <w:sz w:val="24"/>
          <w:szCs w:val="20"/>
        </w:rPr>
        <w:t>7.基金财产清算剩余资产的分配</w:t>
      </w:r>
    </w:p>
    <w:p w14:paraId="3BE2CA63">
      <w:pPr>
        <w:pStyle w:val="186"/>
        <w:spacing w:line="360" w:lineRule="auto"/>
        <w:ind w:firstLine="480" w:firstLineChars="200"/>
        <w:rPr>
          <w:bCs/>
          <w:sz w:val="24"/>
          <w:szCs w:val="20"/>
        </w:rPr>
      </w:pPr>
      <w:r>
        <w:rPr>
          <w:bCs/>
          <w:sz w:val="24"/>
          <w:szCs w:val="20"/>
        </w:rPr>
        <w:t>依据基金财产清算的分配方案，将基金财产清算后的全部剩余资产扣除基金财产清算费用、交纳所欠税款并清偿基金债务后，按基金份额持有人持有的各类基金份额比例进行分配。</w:t>
      </w:r>
    </w:p>
    <w:p w14:paraId="3838398D">
      <w:pPr>
        <w:pStyle w:val="186"/>
        <w:spacing w:line="360" w:lineRule="auto"/>
        <w:ind w:firstLine="480" w:firstLineChars="200"/>
        <w:rPr>
          <w:bCs/>
          <w:sz w:val="24"/>
          <w:szCs w:val="20"/>
        </w:rPr>
      </w:pPr>
      <w:r>
        <w:rPr>
          <w:bCs/>
          <w:sz w:val="24"/>
          <w:szCs w:val="20"/>
        </w:rPr>
        <w:t>其中，对于投资者在直销机构保有的C类基金份额计提的销售服务费，或者在其他销售机构保有且持续持有期限超过一年的C类基金份额继续计提的销售服务费，将在基金合同终止时随剩余资产分配款项一并返还给投资者。</w:t>
      </w:r>
    </w:p>
    <w:p w14:paraId="68704D75">
      <w:pPr>
        <w:pStyle w:val="186"/>
        <w:spacing w:line="360" w:lineRule="auto"/>
        <w:ind w:firstLine="480" w:firstLineChars="200"/>
        <w:rPr>
          <w:bCs/>
          <w:sz w:val="24"/>
          <w:szCs w:val="20"/>
        </w:rPr>
      </w:pPr>
      <w:r>
        <w:rPr>
          <w:bCs/>
          <w:sz w:val="24"/>
          <w:szCs w:val="20"/>
        </w:rPr>
        <w:t>8.基金财产清算的公告</w:t>
      </w:r>
    </w:p>
    <w:p w14:paraId="6CDE85D5">
      <w:pPr>
        <w:pStyle w:val="186"/>
        <w:spacing w:line="360" w:lineRule="auto"/>
        <w:ind w:firstLine="480" w:firstLineChars="200"/>
        <w:rPr>
          <w:bCs/>
          <w:sz w:val="24"/>
          <w:szCs w:val="20"/>
        </w:rPr>
      </w:pPr>
      <w:r>
        <w:rPr>
          <w:bCs/>
          <w:sz w:val="24"/>
          <w:szCs w:val="20"/>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1E87A826">
      <w:pPr>
        <w:pStyle w:val="186"/>
        <w:spacing w:line="360" w:lineRule="auto"/>
        <w:ind w:firstLine="480" w:firstLineChars="200"/>
        <w:rPr>
          <w:bCs/>
          <w:sz w:val="24"/>
          <w:szCs w:val="20"/>
        </w:rPr>
      </w:pPr>
      <w:r>
        <w:rPr>
          <w:bCs/>
          <w:sz w:val="24"/>
          <w:szCs w:val="20"/>
        </w:rPr>
        <w:t>9.基金财产清算账册及文件的保存</w:t>
      </w:r>
    </w:p>
    <w:p w14:paraId="218CAFD9">
      <w:pPr>
        <w:pStyle w:val="186"/>
        <w:spacing w:line="360" w:lineRule="auto"/>
        <w:ind w:firstLine="480" w:firstLineChars="200"/>
        <w:rPr>
          <w:rFonts w:ascii="宋体"/>
          <w:sz w:val="24"/>
        </w:rPr>
      </w:pPr>
      <w:r>
        <w:rPr>
          <w:bCs/>
          <w:sz w:val="24"/>
          <w:szCs w:val="20"/>
        </w:rPr>
        <w:t>基金财产清算账册及有关文件由基金托管人保存，保存年限不低于法律法规规定的最低期限。</w:t>
      </w:r>
      <w:bookmarkStart w:id="107" w:name="_Toc125892453"/>
    </w:p>
    <w:p w14:paraId="50623B36">
      <w:pPr>
        <w:pStyle w:val="187"/>
      </w:pPr>
      <w:bookmarkStart w:id="108" w:name="_Toc65162016"/>
      <w:r>
        <w:t>十七、违约责任</w:t>
      </w:r>
      <w:bookmarkEnd w:id="103"/>
      <w:bookmarkEnd w:id="104"/>
      <w:bookmarkEnd w:id="105"/>
      <w:bookmarkEnd w:id="107"/>
      <w:bookmarkEnd w:id="108"/>
    </w:p>
    <w:p w14:paraId="0EFFE258">
      <w:pPr>
        <w:pStyle w:val="186"/>
        <w:tabs>
          <w:tab w:val="left" w:pos="3780"/>
        </w:tabs>
        <w:autoSpaceDE w:val="0"/>
        <w:autoSpaceDN w:val="0"/>
        <w:spacing w:before="156" w:after="156" w:line="360" w:lineRule="auto"/>
        <w:outlineLvl w:val="0"/>
        <w:rPr>
          <w:b/>
          <w:sz w:val="24"/>
        </w:rPr>
      </w:pPr>
      <w:r>
        <w:rPr>
          <w:b/>
          <w:sz w:val="24"/>
        </w:rPr>
        <w:t>（一）基金管理人或基金托管人不履行本协议或履行本协议不符合约定的，应当承担违约责任。</w:t>
      </w:r>
    </w:p>
    <w:p w14:paraId="3D6D4F97">
      <w:pPr>
        <w:pStyle w:val="186"/>
        <w:tabs>
          <w:tab w:val="left" w:pos="3780"/>
        </w:tabs>
        <w:autoSpaceDE w:val="0"/>
        <w:autoSpaceDN w:val="0"/>
        <w:spacing w:before="156" w:after="156" w:line="360" w:lineRule="auto"/>
        <w:outlineLvl w:val="0"/>
        <w:rPr>
          <w:b/>
          <w:sz w:val="24"/>
        </w:rPr>
      </w:pPr>
      <w:r>
        <w:rPr>
          <w:b/>
          <w:sz w:val="24"/>
        </w:rPr>
        <w:t>（二）</w:t>
      </w:r>
      <w:bookmarkStart w:id="109" w:name="OLE_LINK3"/>
      <w:r>
        <w:rPr>
          <w:b/>
          <w:sz w:val="24"/>
        </w:rPr>
        <w:t>基金管理人、基金托管人在履行各自职责的过程中，违反《基金法》规定或者本托管协议</w:t>
      </w:r>
      <w:r>
        <w:rPr>
          <w:rFonts w:ascii="宋体" w:hAnsi="宋体"/>
          <w:b/>
          <w:bCs/>
          <w:sz w:val="24"/>
        </w:rPr>
        <w:t>约定</w:t>
      </w:r>
      <w:r>
        <w:rPr>
          <w:b/>
          <w:sz w:val="24"/>
        </w:rPr>
        <w:t>，给基金财产或者基金份额持有人造成损害的，应当分别对各自的行为依法承担赔偿责任；因共同行为给基金财产或者基金份额持有人造成损害的，应当承担连带赔偿责任，对损失的赔偿，仅限于直接损失。</w:t>
      </w:r>
      <w:bookmarkEnd w:id="109"/>
      <w:r>
        <w:rPr>
          <w:b/>
          <w:sz w:val="24"/>
        </w:rPr>
        <w:t>但是发生下列情况，当事人应当免责：</w:t>
      </w:r>
    </w:p>
    <w:p w14:paraId="4A132F90">
      <w:pPr>
        <w:pStyle w:val="186"/>
        <w:spacing w:line="360" w:lineRule="auto"/>
        <w:ind w:firstLine="480" w:firstLineChars="200"/>
        <w:rPr>
          <w:rFonts w:ascii="宋体"/>
          <w:sz w:val="24"/>
        </w:rPr>
      </w:pPr>
      <w:r>
        <w:rPr>
          <w:rFonts w:ascii="宋体" w:hAnsi="宋体"/>
          <w:sz w:val="24"/>
        </w:rPr>
        <w:t>1.基金管理人和/或基金托管人按照</w:t>
      </w:r>
      <w:r>
        <w:rPr>
          <w:rFonts w:hint="eastAsia" w:ascii="宋体" w:hAnsi="宋体"/>
          <w:sz w:val="24"/>
        </w:rPr>
        <w:t>当时有效的法律法规、市场交易规则或</w:t>
      </w:r>
      <w:r>
        <w:rPr>
          <w:rFonts w:ascii="宋体" w:hAnsi="宋体"/>
          <w:sz w:val="24"/>
        </w:rPr>
        <w:t>中国证监会</w:t>
      </w:r>
      <w:r>
        <w:rPr>
          <w:rFonts w:hint="eastAsia" w:ascii="宋体" w:hAnsi="宋体"/>
          <w:sz w:val="24"/>
        </w:rPr>
        <w:t>、银行业监督管理机构等监管机构</w:t>
      </w:r>
      <w:r>
        <w:rPr>
          <w:rFonts w:ascii="宋体" w:hAnsi="宋体"/>
          <w:sz w:val="24"/>
        </w:rPr>
        <w:t>的规定作为或不作为而造成的损失等；</w:t>
      </w:r>
    </w:p>
    <w:p w14:paraId="06B87611">
      <w:pPr>
        <w:pStyle w:val="186"/>
        <w:spacing w:line="360" w:lineRule="auto"/>
        <w:ind w:firstLine="480" w:firstLineChars="200"/>
        <w:rPr>
          <w:rFonts w:ascii="宋体"/>
          <w:sz w:val="24"/>
        </w:rPr>
      </w:pPr>
      <w:r>
        <w:rPr>
          <w:rFonts w:ascii="宋体" w:hAnsi="宋体"/>
          <w:sz w:val="24"/>
        </w:rPr>
        <w:t>2.基金管理人由于按照《基金合同》规定的</w:t>
      </w:r>
      <w:r>
        <w:rPr>
          <w:rFonts w:hint="eastAsia" w:ascii="宋体" w:hAnsi="宋体"/>
          <w:sz w:val="24"/>
        </w:rPr>
        <w:t>投资原则行使或不行使其投资权</w:t>
      </w:r>
      <w:r>
        <w:rPr>
          <w:rFonts w:ascii="宋体" w:hAnsi="宋体"/>
          <w:sz w:val="24"/>
        </w:rPr>
        <w:t>而造成的损失等；</w:t>
      </w:r>
    </w:p>
    <w:p w14:paraId="7F7EBDF4">
      <w:pPr>
        <w:pStyle w:val="186"/>
        <w:spacing w:line="360" w:lineRule="auto"/>
        <w:ind w:firstLine="480" w:firstLineChars="200"/>
        <w:rPr>
          <w:rFonts w:ascii="宋体"/>
          <w:sz w:val="24"/>
        </w:rPr>
      </w:pPr>
      <w:r>
        <w:rPr>
          <w:rFonts w:ascii="宋体" w:hAnsi="宋体"/>
          <w:sz w:val="24"/>
        </w:rPr>
        <w:t>3.不可抗力。</w:t>
      </w:r>
    </w:p>
    <w:p w14:paraId="1DB8DE6F">
      <w:pPr>
        <w:pStyle w:val="186"/>
        <w:spacing w:line="360" w:lineRule="auto"/>
        <w:ind w:firstLine="480" w:firstLineChars="200"/>
        <w:rPr>
          <w:rFonts w:ascii="宋体"/>
          <w:sz w:val="24"/>
        </w:rPr>
      </w:pPr>
      <w:r>
        <w:rPr>
          <w:rFonts w:ascii="宋体" w:hAnsi="宋体"/>
          <w:sz w:val="24"/>
        </w:rPr>
        <w:t>如果由于本协议一方当事人（“违约方”）的违约行为给基金资产或基金投资者造成损失，而另一方当事人（“守约方”）赔偿了基金资产或基金投资者的损失，则守约方有权向违约方追索由此遭受的所有直接损失。</w:t>
      </w:r>
    </w:p>
    <w:p w14:paraId="083C1B73">
      <w:pPr>
        <w:pStyle w:val="186"/>
        <w:spacing w:line="360" w:lineRule="auto"/>
        <w:ind w:firstLine="480" w:firstLineChars="200"/>
        <w:rPr>
          <w:rFonts w:ascii="宋体"/>
          <w:sz w:val="24"/>
        </w:rPr>
      </w:pPr>
      <w:r>
        <w:rPr>
          <w:rFonts w:ascii="宋体" w:hAnsi="宋体"/>
          <w:sz w:val="24"/>
        </w:rPr>
        <w:t>当事人一方违约，另一方在职责范围内有义务及时采取必要的措施，尽力防止损失的扩大。没有采取适当措施致使损失进一步扩大的，不得就扩大的损失要求赔偿。非违约方因防止损失扩大而支出的合理费用由违约方承担。</w:t>
      </w:r>
    </w:p>
    <w:p w14:paraId="472B6656">
      <w:pPr>
        <w:pStyle w:val="186"/>
        <w:spacing w:line="360" w:lineRule="auto"/>
        <w:ind w:firstLine="480" w:firstLineChars="200"/>
        <w:rPr>
          <w:rFonts w:ascii="宋体" w:hAnsi="宋体"/>
          <w:sz w:val="24"/>
        </w:rPr>
      </w:pPr>
      <w:r>
        <w:rPr>
          <w:rFonts w:ascii="宋体" w:hAnsi="宋体"/>
          <w:sz w:val="24"/>
        </w:rPr>
        <w:t>由于基金管理人、基金托管人不可控制的因素导致业务出现差错，基金管理人和基金托管人虽然已经采取必要、适当、合理的措施进行检查，但是未能发现该错误的，由此造成基金资产或基金投资者损失，基金管理人和基金托管人可以免除赔偿责任。但基金管理人和基金托管人应当积极采取必要的措施消除或降低由此造成的影响。</w:t>
      </w:r>
    </w:p>
    <w:p w14:paraId="7E736D37">
      <w:pPr>
        <w:pStyle w:val="186"/>
        <w:tabs>
          <w:tab w:val="left" w:pos="3780"/>
        </w:tabs>
        <w:autoSpaceDE w:val="0"/>
        <w:autoSpaceDN w:val="0"/>
        <w:spacing w:before="156" w:after="156" w:line="360" w:lineRule="auto"/>
        <w:outlineLvl w:val="0"/>
        <w:rPr>
          <w:b/>
          <w:sz w:val="24"/>
        </w:rPr>
      </w:pPr>
      <w:r>
        <w:rPr>
          <w:b/>
          <w:sz w:val="24"/>
        </w:rPr>
        <w:t>（三）托管</w:t>
      </w:r>
      <w:r>
        <w:rPr>
          <w:rFonts w:ascii="宋体" w:hAnsi="宋体"/>
          <w:b/>
          <w:bCs/>
          <w:sz w:val="24"/>
        </w:rPr>
        <w:t>协议</w:t>
      </w:r>
      <w:r>
        <w:rPr>
          <w:b/>
          <w:sz w:val="24"/>
        </w:rPr>
        <w:t>当事人违反托管协议，给另一方当事人造成损失的，应承担赔偿责任。</w:t>
      </w:r>
    </w:p>
    <w:p w14:paraId="2C48B86A">
      <w:pPr>
        <w:pStyle w:val="186"/>
        <w:tabs>
          <w:tab w:val="left" w:pos="3780"/>
        </w:tabs>
        <w:autoSpaceDE w:val="0"/>
        <w:autoSpaceDN w:val="0"/>
        <w:spacing w:before="156" w:after="156" w:line="360" w:lineRule="auto"/>
        <w:outlineLvl w:val="0"/>
        <w:rPr>
          <w:b/>
          <w:sz w:val="24"/>
        </w:rPr>
      </w:pPr>
      <w:r>
        <w:rPr>
          <w:b/>
          <w:sz w:val="24"/>
        </w:rPr>
        <w:t>（四）违约行为虽已发生，但本托管协议能够继续履行的，在最大限度地保护基金份额持有人</w:t>
      </w:r>
      <w:r>
        <w:rPr>
          <w:rFonts w:ascii="宋体" w:hAnsi="宋体"/>
          <w:b/>
          <w:bCs/>
          <w:sz w:val="24"/>
        </w:rPr>
        <w:t>利益</w:t>
      </w:r>
      <w:r>
        <w:rPr>
          <w:b/>
          <w:sz w:val="24"/>
        </w:rPr>
        <w:t>的前提下，基金管理人和基金托管人应当继续履行本协议。</w:t>
      </w:r>
      <w:bookmarkStart w:id="110" w:name="_Toc466788868"/>
      <w:bookmarkStart w:id="111" w:name="_Toc523830010"/>
      <w:bookmarkStart w:id="112" w:name="_Toc22454480"/>
      <w:bookmarkStart w:id="113" w:name="_Toc125892454"/>
    </w:p>
    <w:p w14:paraId="187736E2">
      <w:pPr>
        <w:pStyle w:val="186"/>
        <w:tabs>
          <w:tab w:val="left" w:pos="3780"/>
        </w:tabs>
        <w:autoSpaceDE w:val="0"/>
        <w:autoSpaceDN w:val="0"/>
        <w:spacing w:before="156" w:after="156" w:line="360" w:lineRule="auto"/>
        <w:outlineLvl w:val="0"/>
        <w:rPr>
          <w:b/>
          <w:sz w:val="24"/>
        </w:rPr>
      </w:pPr>
      <w:r>
        <w:rPr>
          <w:b/>
          <w:sz w:val="24"/>
        </w:rPr>
        <w:t>（五）本协议所指损失均为直接损失。</w:t>
      </w:r>
    </w:p>
    <w:p w14:paraId="1D64C469">
      <w:pPr>
        <w:pStyle w:val="187"/>
      </w:pPr>
      <w:bookmarkStart w:id="114" w:name="_Toc65162017"/>
      <w:r>
        <w:t>十八、争议</w:t>
      </w:r>
      <w:bookmarkEnd w:id="110"/>
      <w:bookmarkEnd w:id="111"/>
      <w:bookmarkEnd w:id="112"/>
      <w:r>
        <w:t>解决方式</w:t>
      </w:r>
      <w:bookmarkEnd w:id="113"/>
      <w:bookmarkEnd w:id="114"/>
    </w:p>
    <w:p w14:paraId="4F9D4A17">
      <w:pPr>
        <w:pStyle w:val="186"/>
        <w:spacing w:line="360" w:lineRule="auto"/>
        <w:ind w:firstLine="480" w:firstLineChars="200"/>
      </w:pPr>
      <w:r>
        <w:rPr>
          <w:rFonts w:hint="eastAsia" w:ascii="宋体" w:hAnsi="宋体"/>
          <w:sz w:val="24"/>
        </w:rPr>
        <w:t>双方当事人同意，因本协议而产生的或与本协议有关的一切争议，应通过友好协商解决。托管协议当事人不愿通过协商解决或者协商不成的，任何一方当事人均有权将争议提交深圳国际仲裁院（深圳仲裁委员会），根据该会当时有效的仲裁规则进行仲裁，仲裁的地点在深圳市，仲裁裁决是终局的，并对相关各方当事人均有约束力。除非仲裁裁决另有决定，仲裁费用、律师费由败诉方承担。</w:t>
      </w:r>
    </w:p>
    <w:p w14:paraId="0EBEEEDB">
      <w:pPr>
        <w:pStyle w:val="186"/>
        <w:spacing w:line="360" w:lineRule="auto"/>
        <w:ind w:firstLine="480" w:firstLineChars="200"/>
        <w:rPr>
          <w:rFonts w:ascii="宋体"/>
          <w:sz w:val="24"/>
        </w:rPr>
      </w:pPr>
      <w:r>
        <w:rPr>
          <w:rFonts w:ascii="宋体" w:hAnsi="宋体"/>
          <w:sz w:val="24"/>
        </w:rPr>
        <w:t>争议处理期间，双方当事人应恪守基金管理人和基金托管人职责，继续忠实、勤勉、尽责地履行《基金合同》和本协议规定的义务，维护基金份额持有人的合法权益。</w:t>
      </w:r>
    </w:p>
    <w:p w14:paraId="4B80592D">
      <w:pPr>
        <w:pStyle w:val="186"/>
        <w:spacing w:line="360" w:lineRule="auto"/>
        <w:ind w:firstLine="480" w:firstLineChars="200"/>
        <w:rPr>
          <w:rFonts w:ascii="宋体"/>
          <w:sz w:val="24"/>
        </w:rPr>
      </w:pPr>
      <w:r>
        <w:rPr>
          <w:rFonts w:ascii="宋体" w:hAnsi="宋体"/>
          <w:sz w:val="24"/>
        </w:rPr>
        <w:t>本协议受中华人民共和国法律（为本协议之目的，在此不包括香港特别行政区、澳门特别行政区法律和台湾地区</w:t>
      </w:r>
      <w:r>
        <w:rPr>
          <w:rFonts w:hint="eastAsia" w:ascii="宋体" w:hAnsi="宋体"/>
          <w:sz w:val="24"/>
        </w:rPr>
        <w:t>的有关规定</w:t>
      </w:r>
      <w:r>
        <w:rPr>
          <w:rFonts w:ascii="宋体" w:hAnsi="宋体"/>
          <w:sz w:val="24"/>
        </w:rPr>
        <w:t>）管辖。</w:t>
      </w:r>
      <w:bookmarkStart w:id="115" w:name="_Toc523830011"/>
      <w:bookmarkStart w:id="116" w:name="_Toc125892455"/>
      <w:bookmarkStart w:id="117" w:name="_Toc22454481"/>
      <w:bookmarkStart w:id="118" w:name="_Toc466788869"/>
    </w:p>
    <w:p w14:paraId="36C8CBA3">
      <w:pPr>
        <w:pStyle w:val="187"/>
      </w:pPr>
      <w:bookmarkStart w:id="119" w:name="_Toc65162018"/>
      <w:r>
        <w:t>十九、基金托管协议的效力</w:t>
      </w:r>
      <w:bookmarkEnd w:id="115"/>
      <w:bookmarkEnd w:id="116"/>
      <w:bookmarkEnd w:id="117"/>
      <w:bookmarkEnd w:id="118"/>
      <w:bookmarkEnd w:id="119"/>
    </w:p>
    <w:p w14:paraId="11925A8B">
      <w:pPr>
        <w:pStyle w:val="186"/>
        <w:tabs>
          <w:tab w:val="left" w:pos="3780"/>
        </w:tabs>
        <w:autoSpaceDE w:val="0"/>
        <w:autoSpaceDN w:val="0"/>
        <w:spacing w:before="156" w:after="156" w:line="360" w:lineRule="auto"/>
        <w:outlineLvl w:val="0"/>
        <w:rPr>
          <w:b/>
          <w:sz w:val="24"/>
        </w:rPr>
      </w:pPr>
      <w:r>
        <w:rPr>
          <w:b/>
          <w:sz w:val="24"/>
        </w:rPr>
        <w:t>（一）基金管理人在向中国证监会申请募集注册时提交的基金托管协议草案，应经托管协议当事人双方盖章以及双方法定代表人或授权代表签字或盖章，协议当事人双方根据中国证监会的意见修改托管协议草案。托管协议以报中国证监会注册的文本为正式文本。</w:t>
      </w:r>
    </w:p>
    <w:p w14:paraId="2EF120EE">
      <w:pPr>
        <w:pStyle w:val="186"/>
        <w:tabs>
          <w:tab w:val="left" w:pos="3780"/>
        </w:tabs>
        <w:autoSpaceDE w:val="0"/>
        <w:autoSpaceDN w:val="0"/>
        <w:spacing w:before="156" w:after="156" w:line="360" w:lineRule="auto"/>
        <w:outlineLvl w:val="0"/>
        <w:rPr>
          <w:b/>
          <w:sz w:val="24"/>
        </w:rPr>
      </w:pPr>
      <w:r>
        <w:rPr>
          <w:b/>
          <w:sz w:val="24"/>
        </w:rPr>
        <w:t>（二）基金托管协议自《基金合同》成立之日起成立，自《基金合同》生效之日起生效。基金</w:t>
      </w:r>
      <w:r>
        <w:rPr>
          <w:rFonts w:ascii="宋体" w:hAnsi="宋体"/>
          <w:b/>
          <w:bCs/>
          <w:sz w:val="24"/>
        </w:rPr>
        <w:t>托管</w:t>
      </w:r>
      <w:r>
        <w:rPr>
          <w:b/>
          <w:sz w:val="24"/>
        </w:rPr>
        <w:t>协议的有效期自其生效之日起至基金财产清算结果报中国证监会备案并公告之日止。</w:t>
      </w:r>
    </w:p>
    <w:p w14:paraId="176CB429">
      <w:pPr>
        <w:pStyle w:val="186"/>
        <w:tabs>
          <w:tab w:val="left" w:pos="3780"/>
        </w:tabs>
        <w:autoSpaceDE w:val="0"/>
        <w:autoSpaceDN w:val="0"/>
        <w:spacing w:before="156" w:after="156" w:line="360" w:lineRule="auto"/>
        <w:outlineLvl w:val="0"/>
        <w:rPr>
          <w:b/>
          <w:sz w:val="24"/>
        </w:rPr>
      </w:pPr>
      <w:r>
        <w:rPr>
          <w:b/>
          <w:sz w:val="24"/>
        </w:rPr>
        <w:t>（三）基金托管</w:t>
      </w:r>
      <w:r>
        <w:rPr>
          <w:rFonts w:ascii="宋体" w:hAnsi="宋体"/>
          <w:b/>
          <w:bCs/>
          <w:sz w:val="24"/>
        </w:rPr>
        <w:t>协议</w:t>
      </w:r>
      <w:r>
        <w:rPr>
          <w:b/>
          <w:sz w:val="24"/>
        </w:rPr>
        <w:t>自生效之日起对托管协议当事人具有同等的法律约束力。</w:t>
      </w:r>
    </w:p>
    <w:p w14:paraId="40AADEEF">
      <w:pPr>
        <w:pStyle w:val="186"/>
        <w:tabs>
          <w:tab w:val="left" w:pos="3780"/>
        </w:tabs>
        <w:autoSpaceDE w:val="0"/>
        <w:autoSpaceDN w:val="0"/>
        <w:spacing w:before="156" w:after="156" w:line="360" w:lineRule="auto"/>
        <w:outlineLvl w:val="0"/>
        <w:rPr>
          <w:b/>
          <w:sz w:val="24"/>
        </w:rPr>
      </w:pPr>
      <w:r>
        <w:rPr>
          <w:b/>
          <w:sz w:val="24"/>
        </w:rPr>
        <w:t>（四）基金托管</w:t>
      </w:r>
      <w:r>
        <w:rPr>
          <w:rFonts w:ascii="宋体" w:hAnsi="宋体"/>
          <w:b/>
          <w:bCs/>
          <w:sz w:val="24"/>
        </w:rPr>
        <w:t>协议正本</w:t>
      </w:r>
      <w:r>
        <w:rPr>
          <w:b/>
          <w:sz w:val="24"/>
        </w:rPr>
        <w:t>一式3份，除上报有关监管机构一式1份外，基金管理人和基金托管人各持有1份，每份具有同等的法律效力。</w:t>
      </w:r>
    </w:p>
    <w:p w14:paraId="3A575457">
      <w:pPr>
        <w:pStyle w:val="187"/>
      </w:pPr>
      <w:bookmarkStart w:id="120" w:name="_Toc65162019"/>
      <w:r>
        <w:t>二十、其他事项</w:t>
      </w:r>
      <w:bookmarkEnd w:id="120"/>
    </w:p>
    <w:p w14:paraId="6917E614">
      <w:pPr>
        <w:pStyle w:val="186"/>
        <w:spacing w:line="360" w:lineRule="auto"/>
        <w:ind w:firstLine="480" w:firstLineChars="200"/>
        <w:rPr>
          <w:rFonts w:ascii="宋体" w:hAnsi="宋体"/>
          <w:sz w:val="24"/>
        </w:rPr>
      </w:pPr>
      <w:r>
        <w:rPr>
          <w:rFonts w:ascii="宋体" w:hAnsi="宋体"/>
          <w:sz w:val="24"/>
        </w:rPr>
        <w:t>本协议未尽事宜，当事人依据基金合同、有关法律法规等规定协商办理。</w:t>
      </w:r>
    </w:p>
    <w:p w14:paraId="7465AEB4">
      <w:pPr>
        <w:pStyle w:val="187"/>
      </w:pPr>
      <w:bookmarkStart w:id="121" w:name="_Toc523830014"/>
      <w:bookmarkStart w:id="122" w:name="_Toc22454484"/>
      <w:bookmarkStart w:id="123" w:name="_Toc65162020"/>
      <w:r>
        <w:t>二十一、基金托管协议的签订</w:t>
      </w:r>
      <w:bookmarkEnd w:id="121"/>
      <w:bookmarkEnd w:id="122"/>
      <w:bookmarkEnd w:id="123"/>
    </w:p>
    <w:p w14:paraId="4C7F4E4F">
      <w:pPr>
        <w:pStyle w:val="186"/>
      </w:pPr>
    </w:p>
    <w:p w14:paraId="2897651C">
      <w:pPr>
        <w:pStyle w:val="186"/>
      </w:pPr>
    </w:p>
    <w:p w14:paraId="0FFE5326">
      <w:pPr>
        <w:pStyle w:val="186"/>
      </w:pPr>
    </w:p>
    <w:p w14:paraId="4F07AAFE">
      <w:pPr>
        <w:pStyle w:val="186"/>
      </w:pPr>
    </w:p>
    <w:p w14:paraId="0D71066A">
      <w:pPr>
        <w:pStyle w:val="186"/>
      </w:pPr>
    </w:p>
    <w:p w14:paraId="7280390E">
      <w:pPr>
        <w:pStyle w:val="186"/>
      </w:pPr>
    </w:p>
    <w:p w14:paraId="70E93801">
      <w:pPr>
        <w:pStyle w:val="186"/>
      </w:pPr>
    </w:p>
    <w:p w14:paraId="75AAD7FC">
      <w:pPr>
        <w:pStyle w:val="186"/>
      </w:pPr>
    </w:p>
    <w:p w14:paraId="1FF69ADB">
      <w:pPr>
        <w:pStyle w:val="186"/>
      </w:pPr>
    </w:p>
    <w:p w14:paraId="646DF0FF">
      <w:pPr>
        <w:pStyle w:val="186"/>
      </w:pPr>
    </w:p>
    <w:p w14:paraId="42BB2915">
      <w:pPr>
        <w:pStyle w:val="186"/>
        <w:widowControl/>
        <w:jc w:val="left"/>
        <w:rPr>
          <w:sz w:val="24"/>
        </w:rPr>
      </w:pPr>
    </w:p>
    <w:sectPr>
      <w:headerReference r:id="rId7" w:type="default"/>
      <w:footerReference r:id="rId8" w:type="default"/>
      <w:pgSz w:w="11906" w:h="16838"/>
      <w:pgMar w:top="1440" w:right="1797" w:bottom="1440" w:left="1797" w:header="851" w:footer="992" w:gutter="0"/>
      <w:pgNumType w:start="1"/>
      <w:cols w:space="1701"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99FB3">
    <w:pPr>
      <w:pStyle w:val="209"/>
      <w:snapToGrid/>
      <w:rPr>
        <w:rStyle w:val="222"/>
      </w:rPr>
    </w:pPr>
    <w:r>
      <w:fldChar w:fldCharType="begin"/>
    </w:r>
    <w:r>
      <w:rPr>
        <w:rStyle w:val="222"/>
      </w:rPr>
      <w:instrText xml:space="preserve">PAGE  </w:instrText>
    </w:r>
    <w:r>
      <w:fldChar w:fldCharType="end"/>
    </w:r>
  </w:p>
  <w:p w14:paraId="1D3E63E1">
    <w:pPr>
      <w:pStyle w:val="209"/>
      <w:snapToGri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F480F">
    <w:pPr>
      <w:pStyle w:val="209"/>
      <w:snapToGrid/>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AC33C">
    <w:pPr>
      <w:pStyle w:val="209"/>
      <w:snapToGrid/>
      <w:jc w:val="center"/>
      <w:rPr>
        <w:rStyle w:val="222"/>
      </w:rPr>
    </w:pPr>
    <w:r>
      <w:fldChar w:fldCharType="begin"/>
    </w:r>
    <w:r>
      <w:rPr>
        <w:rStyle w:val="222"/>
      </w:rPr>
      <w:instrText xml:space="preserve">PAGE  </w:instrText>
    </w:r>
    <w:r>
      <w:fldChar w:fldCharType="separate"/>
    </w:r>
    <w:r>
      <w:rPr>
        <w:rStyle w:val="222"/>
      </w:rPr>
      <w:t>4</w:t>
    </w:r>
    <w:r>
      <w:fldChar w:fldCharType="end"/>
    </w:r>
  </w:p>
  <w:p w14:paraId="11B40EA5">
    <w:pPr>
      <w:pStyle w:val="209"/>
      <w:snapToGrid/>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E0A27">
    <w:pPr>
      <w:pStyle w:val="211"/>
      <w:snapToGrid/>
      <w:jc w:val="left"/>
    </w:pPr>
    <w:r>
      <w:rPr>
        <w:rFonts w:hint="eastAsia" w:ascii="宋体" w:hAnsi="宋体"/>
        <w:szCs w:val="21"/>
      </w:rPr>
      <w:t>博时国证</w:t>
    </w:r>
    <w:r>
      <w:rPr>
        <w:rFonts w:hint="eastAsia" w:ascii="宋体" w:hAnsi="宋体"/>
        <w:szCs w:val="21"/>
        <w:lang w:val="en-US" w:eastAsia="zh-CN"/>
      </w:rPr>
      <w:t>储能</w:t>
    </w:r>
    <w:r>
      <w:rPr>
        <w:rFonts w:hint="eastAsia" w:ascii="宋体" w:hAnsi="宋体"/>
        <w:szCs w:val="21"/>
      </w:rPr>
      <w:t>电池指数型</w:t>
    </w:r>
    <w:r>
      <w:rPr>
        <w:rFonts w:ascii="宋体" w:hAnsi="宋体"/>
        <w:szCs w:val="21"/>
      </w:rPr>
      <w:t>证券投资基金</w:t>
    </w:r>
    <w:r>
      <w:t xml:space="preserve">                                    托管协议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723A8">
    <w:pPr>
      <w:pStyle w:val="211"/>
      <w:snapToGrid/>
      <w:jc w:val="left"/>
    </w:pPr>
    <w:r>
      <w:rPr>
        <w:rFonts w:hint="eastAsia" w:ascii="宋体" w:hAnsi="宋体"/>
        <w:szCs w:val="21"/>
      </w:rPr>
      <w:t>博时国证</w:t>
    </w:r>
    <w:r>
      <w:rPr>
        <w:rFonts w:hint="eastAsia" w:ascii="宋体" w:hAnsi="宋体"/>
        <w:szCs w:val="21"/>
        <w:lang w:val="en-US" w:eastAsia="zh-CN"/>
      </w:rPr>
      <w:t>储能</w:t>
    </w:r>
    <w:r>
      <w:rPr>
        <w:rFonts w:hint="eastAsia" w:ascii="宋体" w:hAnsi="宋体"/>
        <w:szCs w:val="21"/>
      </w:rPr>
      <w:t>电池指数型</w:t>
    </w:r>
    <w:r>
      <w:rPr>
        <w:rFonts w:ascii="宋体" w:hAnsi="宋体"/>
        <w:szCs w:val="21"/>
      </w:rPr>
      <w:t>证券投资基金</w:t>
    </w:r>
    <w:r>
      <w:t xml:space="preserve">                                    托管协议</w:t>
    </w:r>
  </w:p>
  <w:p w14:paraId="7645E525">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F5160">
    <w:pPr>
      <w:pStyle w:val="211"/>
      <w:snapToGrid/>
      <w:jc w:val="left"/>
    </w:pPr>
    <w:r>
      <w:rPr>
        <w:rFonts w:hint="eastAsia" w:ascii="宋体" w:hAnsi="宋体"/>
        <w:szCs w:val="21"/>
      </w:rPr>
      <w:t>博时国证</w:t>
    </w:r>
    <w:r>
      <w:rPr>
        <w:rFonts w:hint="eastAsia" w:ascii="宋体" w:hAnsi="宋体"/>
        <w:szCs w:val="21"/>
        <w:lang w:val="en-US" w:eastAsia="zh-CN"/>
      </w:rPr>
      <w:t>储能</w:t>
    </w:r>
    <w:r>
      <w:rPr>
        <w:rFonts w:hint="eastAsia" w:ascii="宋体" w:hAnsi="宋体"/>
        <w:szCs w:val="21"/>
      </w:rPr>
      <w:t>电池指数型</w:t>
    </w:r>
    <w:r>
      <w:rPr>
        <w:rFonts w:ascii="宋体" w:hAnsi="宋体"/>
        <w:szCs w:val="21"/>
      </w:rPr>
      <w:t>证券投资基金</w:t>
    </w:r>
    <w:r>
      <w:t xml:space="preserve">                                    托管协议</w:t>
    </w:r>
  </w:p>
  <w:p w14:paraId="2829CED5">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37"/>
      <w:lvlText w:val="(%1)"/>
      <w:lvlJc w:val="left"/>
      <w:pPr>
        <w:tabs>
          <w:tab w:val="left" w:pos="1941"/>
        </w:tabs>
        <w:ind w:left="1941" w:hanging="681"/>
      </w:pPr>
      <w:rPr>
        <w:rFonts w:ascii="Arial" w:hAnsi="Arial"/>
        <w:b w:val="0"/>
        <w:i w:val="0"/>
        <w:sz w:val="20"/>
      </w:rPr>
    </w:lvl>
    <w:lvl w:ilvl="1" w:tentative="0">
      <w:start w:val="1"/>
      <w:numFmt w:val="lowerLetter"/>
      <w:lvlText w:val="%2."/>
      <w:lvlJc w:val="left"/>
      <w:pPr>
        <w:tabs>
          <w:tab w:val="left" w:pos="1620"/>
        </w:tabs>
        <w:ind w:left="1620" w:hanging="360"/>
      </w:pPr>
    </w:lvl>
    <w:lvl w:ilvl="2" w:tentative="0">
      <w:start w:val="1"/>
      <w:numFmt w:val="lowerRoman"/>
      <w:lvlText w:val="%3."/>
      <w:lvlJc w:val="right"/>
      <w:pPr>
        <w:tabs>
          <w:tab w:val="left" w:pos="2340"/>
        </w:tabs>
        <w:ind w:left="2340" w:hanging="180"/>
      </w:pPr>
    </w:lvl>
    <w:lvl w:ilvl="3" w:tentative="0">
      <w:start w:val="1"/>
      <w:numFmt w:val="decimal"/>
      <w:lvlText w:val="%4."/>
      <w:lvlJc w:val="left"/>
      <w:pPr>
        <w:tabs>
          <w:tab w:val="left" w:pos="3060"/>
        </w:tabs>
        <w:ind w:left="3060" w:hanging="360"/>
      </w:pPr>
    </w:lvl>
    <w:lvl w:ilvl="4" w:tentative="0">
      <w:start w:val="1"/>
      <w:numFmt w:val="lowerLetter"/>
      <w:lvlText w:val="%5."/>
      <w:lvlJc w:val="left"/>
      <w:pPr>
        <w:tabs>
          <w:tab w:val="left" w:pos="3780"/>
        </w:tabs>
        <w:ind w:left="3780" w:hanging="360"/>
      </w:pPr>
    </w:lvl>
    <w:lvl w:ilvl="5" w:tentative="0">
      <w:start w:val="1"/>
      <w:numFmt w:val="lowerRoman"/>
      <w:lvlText w:val="%6."/>
      <w:lvlJc w:val="right"/>
      <w:pPr>
        <w:tabs>
          <w:tab w:val="left" w:pos="4500"/>
        </w:tabs>
        <w:ind w:left="4500" w:hanging="180"/>
      </w:pPr>
    </w:lvl>
    <w:lvl w:ilvl="6" w:tentative="0">
      <w:start w:val="1"/>
      <w:numFmt w:val="decimal"/>
      <w:lvlText w:val="%7."/>
      <w:lvlJc w:val="left"/>
      <w:pPr>
        <w:tabs>
          <w:tab w:val="left" w:pos="5220"/>
        </w:tabs>
        <w:ind w:left="5220" w:hanging="360"/>
      </w:pPr>
    </w:lvl>
    <w:lvl w:ilvl="7" w:tentative="0">
      <w:start w:val="1"/>
      <w:numFmt w:val="lowerLetter"/>
      <w:lvlText w:val="%8."/>
      <w:lvlJc w:val="left"/>
      <w:pPr>
        <w:tabs>
          <w:tab w:val="left" w:pos="5940"/>
        </w:tabs>
        <w:ind w:left="5940" w:hanging="360"/>
      </w:pPr>
    </w:lvl>
    <w:lvl w:ilvl="8" w:tentative="0">
      <w:start w:val="1"/>
      <w:numFmt w:val="lowerRoman"/>
      <w:lvlText w:val="%9."/>
      <w:lvlJc w:val="right"/>
      <w:pPr>
        <w:tabs>
          <w:tab w:val="left" w:pos="6660"/>
        </w:tabs>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noPunctuationKerning w:val="1"/>
  <w:characterSpacingControl w:val="compressPunctuation"/>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D1B"/>
    <w:rsid w:val="00064FED"/>
    <w:rsid w:val="001B79D6"/>
    <w:rsid w:val="00381F2F"/>
    <w:rsid w:val="00430349"/>
    <w:rsid w:val="00490B99"/>
    <w:rsid w:val="005B2AFD"/>
    <w:rsid w:val="006A27E2"/>
    <w:rsid w:val="007A6437"/>
    <w:rsid w:val="009C59CE"/>
    <w:rsid w:val="00A83486"/>
    <w:rsid w:val="00A913A7"/>
    <w:rsid w:val="00B528FB"/>
    <w:rsid w:val="00BD7B58"/>
    <w:rsid w:val="00CB6950"/>
    <w:rsid w:val="00D24656"/>
    <w:rsid w:val="00DB2D1B"/>
    <w:rsid w:val="00FE7275"/>
    <w:rsid w:val="03F91E91"/>
    <w:rsid w:val="046F0BD1"/>
    <w:rsid w:val="05FC6694"/>
    <w:rsid w:val="086C4B76"/>
    <w:rsid w:val="0D805252"/>
    <w:rsid w:val="13987125"/>
    <w:rsid w:val="19BF7BEE"/>
    <w:rsid w:val="19F61E7D"/>
    <w:rsid w:val="1D6E3D1F"/>
    <w:rsid w:val="206837FE"/>
    <w:rsid w:val="215A3E4D"/>
    <w:rsid w:val="285A39D9"/>
    <w:rsid w:val="2DEF7DBF"/>
    <w:rsid w:val="329C26FF"/>
    <w:rsid w:val="332E1534"/>
    <w:rsid w:val="394732E8"/>
    <w:rsid w:val="3FD84874"/>
    <w:rsid w:val="41EA6318"/>
    <w:rsid w:val="47061B7C"/>
    <w:rsid w:val="4E10338B"/>
    <w:rsid w:val="4E123109"/>
    <w:rsid w:val="51935169"/>
    <w:rsid w:val="53241A90"/>
    <w:rsid w:val="53400519"/>
    <w:rsid w:val="67A35D6A"/>
    <w:rsid w:val="6B2913CD"/>
    <w:rsid w:val="6E8623AE"/>
    <w:rsid w:val="6F7D2257"/>
    <w:rsid w:val="76EE57F9"/>
    <w:rsid w:val="795C2037"/>
    <w:rsid w:val="7AE45F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next w:val="1"/>
    <w:link w:val="38"/>
    <w:qFormat/>
    <w:uiPriority w:val="9"/>
    <w:pPr>
      <w:keepNext/>
      <w:keepLines/>
      <w:spacing w:before="480" w:after="200"/>
      <w:outlineLvl w:val="0"/>
    </w:pPr>
    <w:rPr>
      <w:rFonts w:ascii="Arial" w:hAnsi="Arial" w:eastAsia="宋体" w:cs="Arial"/>
      <w:sz w:val="40"/>
      <w:szCs w:val="40"/>
      <w:lang w:val="en-US" w:eastAsia="zh-CN" w:bidi="ar-SA"/>
    </w:rPr>
  </w:style>
  <w:style w:type="paragraph" w:styleId="3">
    <w:name w:val="heading 2"/>
    <w:next w:val="1"/>
    <w:link w:val="39"/>
    <w:unhideWhenUsed/>
    <w:qFormat/>
    <w:uiPriority w:val="9"/>
    <w:pPr>
      <w:keepNext/>
      <w:keepLines/>
      <w:spacing w:before="360" w:after="200"/>
      <w:outlineLvl w:val="1"/>
    </w:pPr>
    <w:rPr>
      <w:rFonts w:ascii="Arial" w:hAnsi="Arial" w:eastAsia="宋体" w:cs="Arial"/>
      <w:sz w:val="34"/>
      <w:lang w:val="en-US" w:eastAsia="zh-CN" w:bidi="ar-SA"/>
    </w:rPr>
  </w:style>
  <w:style w:type="paragraph" w:styleId="4">
    <w:name w:val="heading 3"/>
    <w:next w:val="1"/>
    <w:link w:val="40"/>
    <w:unhideWhenUsed/>
    <w:qFormat/>
    <w:uiPriority w:val="9"/>
    <w:pPr>
      <w:keepNext/>
      <w:keepLines/>
      <w:spacing w:before="320" w:after="200"/>
      <w:outlineLvl w:val="2"/>
    </w:pPr>
    <w:rPr>
      <w:rFonts w:ascii="Arial" w:hAnsi="Arial" w:eastAsia="宋体" w:cs="Arial"/>
      <w:sz w:val="30"/>
      <w:szCs w:val="30"/>
      <w:lang w:val="en-US" w:eastAsia="zh-CN" w:bidi="ar-SA"/>
    </w:rPr>
  </w:style>
  <w:style w:type="paragraph" w:styleId="5">
    <w:name w:val="heading 4"/>
    <w:next w:val="1"/>
    <w:link w:val="41"/>
    <w:unhideWhenUsed/>
    <w:qFormat/>
    <w:uiPriority w:val="9"/>
    <w:pPr>
      <w:keepNext/>
      <w:keepLines/>
      <w:spacing w:before="320" w:after="200"/>
      <w:outlineLvl w:val="3"/>
    </w:pPr>
    <w:rPr>
      <w:rFonts w:ascii="Arial" w:hAnsi="Arial" w:eastAsia="宋体" w:cs="Arial"/>
      <w:b/>
      <w:bCs/>
      <w:sz w:val="26"/>
      <w:szCs w:val="26"/>
      <w:lang w:val="en-US" w:eastAsia="zh-CN" w:bidi="ar-SA"/>
    </w:rPr>
  </w:style>
  <w:style w:type="paragraph" w:styleId="6">
    <w:name w:val="heading 5"/>
    <w:next w:val="1"/>
    <w:link w:val="42"/>
    <w:unhideWhenUsed/>
    <w:qFormat/>
    <w:uiPriority w:val="9"/>
    <w:pPr>
      <w:keepNext/>
      <w:keepLines/>
      <w:spacing w:before="320" w:after="200"/>
      <w:outlineLvl w:val="4"/>
    </w:pPr>
    <w:rPr>
      <w:rFonts w:ascii="Arial" w:hAnsi="Arial" w:eastAsia="宋体" w:cs="Arial"/>
      <w:b/>
      <w:bCs/>
      <w:sz w:val="24"/>
      <w:szCs w:val="24"/>
      <w:lang w:val="en-US" w:eastAsia="zh-CN" w:bidi="ar-SA"/>
    </w:rPr>
  </w:style>
  <w:style w:type="paragraph" w:styleId="7">
    <w:name w:val="heading 6"/>
    <w:next w:val="1"/>
    <w:link w:val="43"/>
    <w:unhideWhenUsed/>
    <w:qFormat/>
    <w:uiPriority w:val="9"/>
    <w:pPr>
      <w:keepNext/>
      <w:keepLines/>
      <w:spacing w:before="320" w:after="200"/>
      <w:outlineLvl w:val="5"/>
    </w:pPr>
    <w:rPr>
      <w:rFonts w:ascii="Arial" w:hAnsi="Arial" w:eastAsia="宋体" w:cs="Arial"/>
      <w:b/>
      <w:bCs/>
      <w:sz w:val="22"/>
      <w:szCs w:val="22"/>
      <w:lang w:val="en-US" w:eastAsia="zh-CN" w:bidi="ar-SA"/>
    </w:rPr>
  </w:style>
  <w:style w:type="paragraph" w:styleId="8">
    <w:name w:val="heading 7"/>
    <w:next w:val="1"/>
    <w:link w:val="44"/>
    <w:unhideWhenUsed/>
    <w:qFormat/>
    <w:uiPriority w:val="9"/>
    <w:pPr>
      <w:keepNext/>
      <w:keepLines/>
      <w:spacing w:before="320" w:after="200"/>
      <w:outlineLvl w:val="6"/>
    </w:pPr>
    <w:rPr>
      <w:rFonts w:ascii="Arial" w:hAnsi="Arial" w:eastAsia="宋体" w:cs="Arial"/>
      <w:b/>
      <w:bCs/>
      <w:i/>
      <w:iCs/>
      <w:sz w:val="22"/>
      <w:szCs w:val="22"/>
      <w:lang w:val="en-US" w:eastAsia="zh-CN" w:bidi="ar-SA"/>
    </w:rPr>
  </w:style>
  <w:style w:type="paragraph" w:styleId="9">
    <w:name w:val="heading 8"/>
    <w:next w:val="1"/>
    <w:link w:val="45"/>
    <w:unhideWhenUsed/>
    <w:qFormat/>
    <w:uiPriority w:val="9"/>
    <w:pPr>
      <w:keepNext/>
      <w:keepLines/>
      <w:spacing w:before="320" w:after="200"/>
      <w:outlineLvl w:val="7"/>
    </w:pPr>
    <w:rPr>
      <w:rFonts w:ascii="Arial" w:hAnsi="Arial" w:eastAsia="宋体" w:cs="Arial"/>
      <w:i/>
      <w:iCs/>
      <w:sz w:val="22"/>
      <w:szCs w:val="22"/>
      <w:lang w:val="en-US" w:eastAsia="zh-CN" w:bidi="ar-SA"/>
    </w:rPr>
  </w:style>
  <w:style w:type="paragraph" w:styleId="10">
    <w:name w:val="heading 9"/>
    <w:next w:val="1"/>
    <w:link w:val="46"/>
    <w:unhideWhenUsed/>
    <w:qFormat/>
    <w:uiPriority w:val="9"/>
    <w:pPr>
      <w:keepNext/>
      <w:keepLines/>
      <w:spacing w:before="320" w:after="200"/>
      <w:outlineLvl w:val="8"/>
    </w:pPr>
    <w:rPr>
      <w:rFonts w:ascii="Arial" w:hAnsi="Arial" w:eastAsia="宋体" w:cs="Arial"/>
      <w:i/>
      <w:iCs/>
      <w:sz w:val="21"/>
      <w:szCs w:val="21"/>
      <w:lang w:val="en-US" w:eastAsia="zh-CN" w:bidi="ar-SA"/>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pPr>
    <w:rPr>
      <w:rFonts w:ascii="Times New Roman" w:hAnsi="Times New Roman" w:eastAsia="宋体" w:cs="Times New Roman"/>
      <w:lang w:val="en-US" w:eastAsia="zh-CN" w:bidi="ar-SA"/>
    </w:rPr>
  </w:style>
  <w:style w:type="paragraph" w:styleId="12">
    <w:name w:val="caption"/>
    <w:next w:val="1"/>
    <w:semiHidden/>
    <w:unhideWhenUsed/>
    <w:qFormat/>
    <w:uiPriority w:val="35"/>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13">
    <w:name w:val="annotation text"/>
    <w:basedOn w:val="1"/>
    <w:link w:val="241"/>
    <w:semiHidden/>
    <w:unhideWhenUsed/>
    <w:qFormat/>
    <w:uiPriority w:val="99"/>
  </w:style>
  <w:style w:type="paragraph" w:styleId="14">
    <w:name w:val="toc 5"/>
    <w:next w:val="1"/>
    <w:unhideWhenUsed/>
    <w:qFormat/>
    <w:uiPriority w:val="39"/>
    <w:pPr>
      <w:spacing w:after="57"/>
      <w:ind w:left="1134"/>
    </w:pPr>
    <w:rPr>
      <w:rFonts w:ascii="Times New Roman" w:hAnsi="Times New Roman" w:eastAsia="宋体" w:cs="Times New Roman"/>
      <w:lang w:val="en-US" w:eastAsia="zh-CN" w:bidi="ar-SA"/>
    </w:rPr>
  </w:style>
  <w:style w:type="paragraph" w:styleId="15">
    <w:name w:val="toc 3"/>
    <w:next w:val="1"/>
    <w:unhideWhenUsed/>
    <w:qFormat/>
    <w:uiPriority w:val="39"/>
    <w:pPr>
      <w:spacing w:after="57"/>
      <w:ind w:left="567"/>
    </w:pPr>
    <w:rPr>
      <w:rFonts w:ascii="Times New Roman" w:hAnsi="Times New Roman" w:eastAsia="宋体" w:cs="Times New Roman"/>
      <w:lang w:val="en-US" w:eastAsia="zh-CN" w:bidi="ar-SA"/>
    </w:rPr>
  </w:style>
  <w:style w:type="paragraph" w:styleId="16">
    <w:name w:val="toc 8"/>
    <w:next w:val="1"/>
    <w:unhideWhenUsed/>
    <w:qFormat/>
    <w:uiPriority w:val="39"/>
    <w:pPr>
      <w:spacing w:after="57"/>
      <w:ind w:left="1984"/>
    </w:pPr>
    <w:rPr>
      <w:rFonts w:ascii="Times New Roman" w:hAnsi="Times New Roman" w:eastAsia="宋体" w:cs="Times New Roman"/>
      <w:lang w:val="en-US" w:eastAsia="zh-CN" w:bidi="ar-SA"/>
    </w:rPr>
  </w:style>
  <w:style w:type="paragraph" w:styleId="17">
    <w:name w:val="endnote text"/>
    <w:link w:val="184"/>
    <w:semiHidden/>
    <w:unhideWhenUsed/>
    <w:qFormat/>
    <w:uiPriority w:val="99"/>
    <w:rPr>
      <w:rFonts w:ascii="Times New Roman" w:hAnsi="Times New Roman" w:eastAsia="宋体" w:cs="Times New Roman"/>
      <w:lang w:val="en-US" w:eastAsia="zh-CN" w:bidi="ar-SA"/>
    </w:rPr>
  </w:style>
  <w:style w:type="paragraph" w:styleId="18">
    <w:name w:val="Balloon Text"/>
    <w:basedOn w:val="1"/>
    <w:link w:val="240"/>
    <w:semiHidden/>
    <w:unhideWhenUsed/>
    <w:qFormat/>
    <w:uiPriority w:val="99"/>
    <w:rPr>
      <w:sz w:val="18"/>
      <w:szCs w:val="18"/>
    </w:rPr>
  </w:style>
  <w:style w:type="paragraph" w:styleId="19">
    <w:name w:val="footer"/>
    <w:link w:val="57"/>
    <w:unhideWhenUsed/>
    <w:qFormat/>
    <w:uiPriority w:val="99"/>
    <w:pPr>
      <w:tabs>
        <w:tab w:val="center" w:pos="7143"/>
        <w:tab w:val="right" w:pos="14287"/>
      </w:tabs>
    </w:pPr>
    <w:rPr>
      <w:rFonts w:ascii="Times New Roman" w:hAnsi="Times New Roman" w:eastAsia="宋体" w:cs="Times New Roman"/>
      <w:lang w:val="en-US" w:eastAsia="zh-CN" w:bidi="ar-SA"/>
    </w:rPr>
  </w:style>
  <w:style w:type="paragraph" w:styleId="20">
    <w:name w:val="header"/>
    <w:link w:val="55"/>
    <w:unhideWhenUsed/>
    <w:qFormat/>
    <w:uiPriority w:val="99"/>
    <w:pPr>
      <w:tabs>
        <w:tab w:val="center" w:pos="7143"/>
        <w:tab w:val="right" w:pos="14287"/>
      </w:tabs>
    </w:pPr>
    <w:rPr>
      <w:rFonts w:ascii="Times New Roman" w:hAnsi="Times New Roman" w:eastAsia="宋体" w:cs="Times New Roman"/>
      <w:lang w:val="en-US" w:eastAsia="zh-CN" w:bidi="ar-SA"/>
    </w:rPr>
  </w:style>
  <w:style w:type="paragraph" w:styleId="21">
    <w:name w:val="toc 1"/>
    <w:next w:val="1"/>
    <w:unhideWhenUsed/>
    <w:qFormat/>
    <w:uiPriority w:val="39"/>
    <w:pPr>
      <w:spacing w:after="57"/>
    </w:pPr>
    <w:rPr>
      <w:rFonts w:ascii="Times New Roman" w:hAnsi="Times New Roman" w:eastAsia="宋体" w:cs="Times New Roman"/>
      <w:lang w:val="en-US" w:eastAsia="zh-CN" w:bidi="ar-SA"/>
    </w:rPr>
  </w:style>
  <w:style w:type="paragraph" w:styleId="22">
    <w:name w:val="toc 4"/>
    <w:next w:val="1"/>
    <w:unhideWhenUsed/>
    <w:qFormat/>
    <w:uiPriority w:val="39"/>
    <w:pPr>
      <w:spacing w:after="57"/>
      <w:ind w:left="850"/>
    </w:pPr>
    <w:rPr>
      <w:rFonts w:ascii="Times New Roman" w:hAnsi="Times New Roman" w:eastAsia="宋体" w:cs="Times New Roman"/>
      <w:lang w:val="en-US" w:eastAsia="zh-CN" w:bidi="ar-SA"/>
    </w:rPr>
  </w:style>
  <w:style w:type="paragraph" w:styleId="23">
    <w:name w:val="Subtitle"/>
    <w:link w:val="50"/>
    <w:qFormat/>
    <w:uiPriority w:val="11"/>
    <w:pPr>
      <w:spacing w:before="200" w:after="200"/>
    </w:pPr>
    <w:rPr>
      <w:rFonts w:ascii="Times New Roman" w:hAnsi="Times New Roman" w:eastAsia="宋体" w:cs="Times New Roman"/>
      <w:sz w:val="24"/>
      <w:szCs w:val="24"/>
      <w:lang w:val="en-US" w:eastAsia="zh-CN" w:bidi="ar-SA"/>
    </w:rPr>
  </w:style>
  <w:style w:type="paragraph" w:styleId="24">
    <w:name w:val="footnote text"/>
    <w:link w:val="183"/>
    <w:semiHidden/>
    <w:unhideWhenUsed/>
    <w:qFormat/>
    <w:uiPriority w:val="99"/>
    <w:pPr>
      <w:spacing w:after="40"/>
    </w:pPr>
    <w:rPr>
      <w:rFonts w:ascii="Times New Roman" w:hAnsi="Times New Roman" w:eastAsia="宋体" w:cs="Times New Roman"/>
      <w:sz w:val="18"/>
      <w:lang w:val="en-US" w:eastAsia="zh-CN" w:bidi="ar-SA"/>
    </w:rPr>
  </w:style>
  <w:style w:type="paragraph" w:styleId="25">
    <w:name w:val="toc 6"/>
    <w:next w:val="1"/>
    <w:unhideWhenUsed/>
    <w:qFormat/>
    <w:uiPriority w:val="39"/>
    <w:pPr>
      <w:spacing w:after="57"/>
      <w:ind w:left="1417"/>
    </w:pPr>
    <w:rPr>
      <w:rFonts w:ascii="Times New Roman" w:hAnsi="Times New Roman" w:eastAsia="宋体" w:cs="Times New Roman"/>
      <w:lang w:val="en-US" w:eastAsia="zh-CN" w:bidi="ar-SA"/>
    </w:rPr>
  </w:style>
  <w:style w:type="paragraph" w:styleId="26">
    <w:name w:val="table of figures"/>
    <w:next w:val="1"/>
    <w:unhideWhenUsed/>
    <w:qFormat/>
    <w:uiPriority w:val="99"/>
    <w:rPr>
      <w:rFonts w:ascii="Times New Roman" w:hAnsi="Times New Roman" w:eastAsia="宋体" w:cs="Times New Roman"/>
      <w:lang w:val="en-US" w:eastAsia="zh-CN" w:bidi="ar-SA"/>
    </w:rPr>
  </w:style>
  <w:style w:type="paragraph" w:styleId="27">
    <w:name w:val="toc 2"/>
    <w:next w:val="1"/>
    <w:unhideWhenUsed/>
    <w:qFormat/>
    <w:uiPriority w:val="39"/>
    <w:pPr>
      <w:spacing w:after="57"/>
      <w:ind w:left="283"/>
    </w:pPr>
    <w:rPr>
      <w:rFonts w:ascii="Times New Roman" w:hAnsi="Times New Roman" w:eastAsia="宋体" w:cs="Times New Roman"/>
      <w:lang w:val="en-US" w:eastAsia="zh-CN" w:bidi="ar-SA"/>
    </w:rPr>
  </w:style>
  <w:style w:type="paragraph" w:styleId="28">
    <w:name w:val="toc 9"/>
    <w:next w:val="1"/>
    <w:unhideWhenUsed/>
    <w:qFormat/>
    <w:uiPriority w:val="39"/>
    <w:pPr>
      <w:spacing w:after="57"/>
      <w:ind w:left="2268"/>
    </w:pPr>
    <w:rPr>
      <w:rFonts w:ascii="Times New Roman" w:hAnsi="Times New Roman" w:eastAsia="宋体" w:cs="Times New Roman"/>
      <w:lang w:val="en-US" w:eastAsia="zh-CN" w:bidi="ar-SA"/>
    </w:rPr>
  </w:style>
  <w:style w:type="paragraph" w:styleId="29">
    <w:name w:val="Title"/>
    <w:link w:val="49"/>
    <w:qFormat/>
    <w:uiPriority w:val="10"/>
    <w:pPr>
      <w:spacing w:before="300" w:after="200"/>
      <w:contextualSpacing/>
    </w:pPr>
    <w:rPr>
      <w:rFonts w:ascii="Times New Roman" w:hAnsi="Times New Roman" w:eastAsia="宋体" w:cs="Times New Roman"/>
      <w:sz w:val="48"/>
      <w:szCs w:val="48"/>
      <w:lang w:val="en-US" w:eastAsia="zh-CN" w:bidi="ar-SA"/>
    </w:rPr>
  </w:style>
  <w:style w:type="paragraph" w:styleId="30">
    <w:name w:val="annotation subject"/>
    <w:basedOn w:val="13"/>
    <w:next w:val="13"/>
    <w:link w:val="242"/>
    <w:semiHidden/>
    <w:unhideWhenUsed/>
    <w:qFormat/>
    <w:uiPriority w:val="99"/>
    <w:rPr>
      <w:b/>
      <w:bCs/>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annotation reference"/>
    <w:basedOn w:val="33"/>
    <w:semiHidden/>
    <w:unhideWhenUsed/>
    <w:qFormat/>
    <w:uiPriority w:val="99"/>
    <w:rPr>
      <w:sz w:val="21"/>
      <w:szCs w:val="21"/>
    </w:rPr>
  </w:style>
  <w:style w:type="character" w:styleId="37">
    <w:name w:val="footnote reference"/>
    <w:unhideWhenUsed/>
    <w:qFormat/>
    <w:uiPriority w:val="99"/>
    <w:rPr>
      <w:vertAlign w:val="superscript"/>
    </w:rPr>
  </w:style>
  <w:style w:type="character" w:customStyle="1" w:styleId="38">
    <w:name w:val="标题 1 字符"/>
    <w:link w:val="2"/>
    <w:qFormat/>
    <w:uiPriority w:val="9"/>
    <w:rPr>
      <w:rFonts w:ascii="Arial" w:hAnsi="Arial" w:cs="Arial"/>
      <w:sz w:val="40"/>
      <w:szCs w:val="40"/>
    </w:rPr>
  </w:style>
  <w:style w:type="character" w:customStyle="1" w:styleId="39">
    <w:name w:val="标题 2 字符"/>
    <w:link w:val="3"/>
    <w:qFormat/>
    <w:uiPriority w:val="9"/>
    <w:rPr>
      <w:rFonts w:ascii="Arial" w:hAnsi="Arial" w:cs="Arial"/>
      <w:sz w:val="34"/>
    </w:rPr>
  </w:style>
  <w:style w:type="character" w:customStyle="1" w:styleId="40">
    <w:name w:val="标题 3 字符"/>
    <w:link w:val="4"/>
    <w:qFormat/>
    <w:uiPriority w:val="9"/>
    <w:rPr>
      <w:rFonts w:ascii="Arial" w:hAnsi="Arial" w:cs="Arial"/>
      <w:sz w:val="30"/>
      <w:szCs w:val="30"/>
    </w:rPr>
  </w:style>
  <w:style w:type="character" w:customStyle="1" w:styleId="41">
    <w:name w:val="标题 4 字符"/>
    <w:link w:val="5"/>
    <w:qFormat/>
    <w:uiPriority w:val="9"/>
    <w:rPr>
      <w:rFonts w:ascii="Arial" w:hAnsi="Arial" w:cs="Arial"/>
      <w:b/>
      <w:bCs/>
      <w:sz w:val="26"/>
      <w:szCs w:val="26"/>
    </w:rPr>
  </w:style>
  <w:style w:type="character" w:customStyle="1" w:styleId="42">
    <w:name w:val="标题 5 字符"/>
    <w:link w:val="6"/>
    <w:qFormat/>
    <w:uiPriority w:val="9"/>
    <w:rPr>
      <w:rFonts w:ascii="Arial" w:hAnsi="Arial" w:cs="Arial"/>
      <w:b/>
      <w:bCs/>
      <w:sz w:val="24"/>
      <w:szCs w:val="24"/>
    </w:rPr>
  </w:style>
  <w:style w:type="character" w:customStyle="1" w:styleId="43">
    <w:name w:val="标题 6 字符"/>
    <w:link w:val="7"/>
    <w:qFormat/>
    <w:uiPriority w:val="9"/>
    <w:rPr>
      <w:rFonts w:ascii="Arial" w:hAnsi="Arial" w:cs="Arial"/>
      <w:b/>
      <w:bCs/>
      <w:sz w:val="22"/>
      <w:szCs w:val="22"/>
    </w:rPr>
  </w:style>
  <w:style w:type="character" w:customStyle="1" w:styleId="44">
    <w:name w:val="标题 7 字符"/>
    <w:link w:val="8"/>
    <w:qFormat/>
    <w:uiPriority w:val="9"/>
    <w:rPr>
      <w:rFonts w:ascii="Arial" w:hAnsi="Arial" w:cs="Arial"/>
      <w:b/>
      <w:bCs/>
      <w:i/>
      <w:iCs/>
      <w:sz w:val="22"/>
      <w:szCs w:val="22"/>
    </w:rPr>
  </w:style>
  <w:style w:type="character" w:customStyle="1" w:styleId="45">
    <w:name w:val="标题 8 字符"/>
    <w:link w:val="9"/>
    <w:qFormat/>
    <w:uiPriority w:val="9"/>
    <w:rPr>
      <w:rFonts w:ascii="Arial" w:hAnsi="Arial" w:cs="Arial"/>
      <w:i/>
      <w:iCs/>
      <w:sz w:val="22"/>
      <w:szCs w:val="22"/>
    </w:rPr>
  </w:style>
  <w:style w:type="character" w:customStyle="1" w:styleId="46">
    <w:name w:val="标题 9 字符"/>
    <w:link w:val="10"/>
    <w:qFormat/>
    <w:uiPriority w:val="9"/>
    <w:rPr>
      <w:rFonts w:ascii="Arial" w:hAnsi="Arial" w:cs="Arial"/>
      <w:i/>
      <w:iCs/>
      <w:sz w:val="21"/>
      <w:szCs w:val="21"/>
    </w:rPr>
  </w:style>
  <w:style w:type="paragraph" w:styleId="47">
    <w:name w:val="List Paragraph"/>
    <w:qFormat/>
    <w:uiPriority w:val="34"/>
    <w:pPr>
      <w:ind w:left="720"/>
      <w:contextualSpacing/>
    </w:pPr>
    <w:rPr>
      <w:rFonts w:ascii="Times New Roman" w:hAnsi="Times New Roman" w:eastAsia="宋体" w:cs="Times New Roman"/>
      <w:lang w:val="en-US" w:eastAsia="zh-CN" w:bidi="ar-SA"/>
    </w:rPr>
  </w:style>
  <w:style w:type="paragraph" w:styleId="48">
    <w:name w:val="No Spacing"/>
    <w:qFormat/>
    <w:uiPriority w:val="1"/>
    <w:rPr>
      <w:rFonts w:ascii="Times New Roman" w:hAnsi="Times New Roman" w:eastAsia="宋体" w:cs="Times New Roman"/>
      <w:lang w:val="en-US" w:eastAsia="zh-CN" w:bidi="ar-SA"/>
    </w:rPr>
  </w:style>
  <w:style w:type="character" w:customStyle="1" w:styleId="49">
    <w:name w:val="标题 字符"/>
    <w:link w:val="29"/>
    <w:qFormat/>
    <w:uiPriority w:val="10"/>
    <w:rPr>
      <w:sz w:val="48"/>
      <w:szCs w:val="48"/>
    </w:rPr>
  </w:style>
  <w:style w:type="character" w:customStyle="1" w:styleId="50">
    <w:name w:val="副标题 字符"/>
    <w:link w:val="23"/>
    <w:qFormat/>
    <w:uiPriority w:val="11"/>
    <w:rPr>
      <w:sz w:val="24"/>
      <w:szCs w:val="24"/>
    </w:rPr>
  </w:style>
  <w:style w:type="paragraph" w:styleId="51">
    <w:name w:val="Quote"/>
    <w:link w:val="52"/>
    <w:qFormat/>
    <w:uiPriority w:val="29"/>
    <w:pPr>
      <w:ind w:left="720" w:right="720"/>
    </w:pPr>
    <w:rPr>
      <w:rFonts w:ascii="Times New Roman" w:hAnsi="Times New Roman" w:eastAsia="宋体" w:cs="Times New Roman"/>
      <w:i/>
      <w:lang w:val="en-US" w:eastAsia="zh-CN" w:bidi="ar-SA"/>
    </w:rPr>
  </w:style>
  <w:style w:type="character" w:customStyle="1" w:styleId="52">
    <w:name w:val="引用 字符"/>
    <w:link w:val="51"/>
    <w:qFormat/>
    <w:uiPriority w:val="29"/>
    <w:rPr>
      <w:i/>
    </w:rPr>
  </w:style>
  <w:style w:type="paragraph" w:styleId="53">
    <w:name w:val="Intense Quote"/>
    <w:link w:val="54"/>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rFonts w:ascii="Times New Roman" w:hAnsi="Times New Roman" w:eastAsia="宋体" w:cs="Times New Roman"/>
      <w:i/>
      <w:lang w:val="en-US" w:eastAsia="zh-CN" w:bidi="ar-SA"/>
    </w:rPr>
  </w:style>
  <w:style w:type="character" w:customStyle="1" w:styleId="54">
    <w:name w:val="明显引用 字符"/>
    <w:link w:val="53"/>
    <w:qFormat/>
    <w:uiPriority w:val="30"/>
    <w:rPr>
      <w:i/>
    </w:rPr>
  </w:style>
  <w:style w:type="character" w:customStyle="1" w:styleId="55">
    <w:name w:val="页眉 字符"/>
    <w:link w:val="20"/>
    <w:qFormat/>
    <w:uiPriority w:val="99"/>
  </w:style>
  <w:style w:type="character" w:customStyle="1" w:styleId="56">
    <w:name w:val="Footer Char"/>
    <w:qFormat/>
    <w:uiPriority w:val="99"/>
  </w:style>
  <w:style w:type="character" w:customStyle="1" w:styleId="57">
    <w:name w:val="页脚 字符"/>
    <w:link w:val="19"/>
    <w:qFormat/>
    <w:uiPriority w:val="99"/>
  </w:style>
  <w:style w:type="table" w:customStyle="1" w:styleId="5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5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pPr>
        <w:snapToGrid/>
      </w:pPr>
      <w:rPr>
        <w:rFonts w:ascii="Arial" w:hAnsi="Arial"/>
        <w:b/>
        <w:color w:val="404040"/>
        <w:sz w:val="22"/>
      </w:r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shd w:val="clear" w:color="FFFFFF" w:fill="F1F1F1" w:themeFill="text1" w:themeFillTint="0D"/>
      </w:tcPr>
    </w:tblStylePr>
    <w:tblStylePr w:type="band2Vert">
      <w:pPr>
        <w:snapToGrid/>
      </w:pPr>
    </w:tblStylePr>
    <w:tblStylePr w:type="band1Horz">
      <w:pPr>
        <w:snapToGrid/>
      </w:p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pPr>
        <w:snapToGrid/>
      </w:pPr>
      <w:rPr>
        <w:rFonts w:ascii="Arial" w:hAnsi="Arial"/>
        <w:b/>
        <w:color w:val="404040"/>
        <w:sz w:val="22"/>
      </w:rPr>
      <w:tcPr>
        <w:tcBorders>
          <w:top w:val="single" w:color="000000" w:themeColor="text1" w:sz="4" w:space="0"/>
          <w:bottom w:val="single" w:color="000000" w:themeColor="text1" w:sz="4" w:space="0"/>
        </w:tcBorders>
      </w:tc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tcBorders>
          <w:left w:val="single" w:color="000000" w:themeColor="text1" w:sz="4" w:space="0"/>
          <w:right w:val="single" w:color="000000" w:themeColor="text1" w:sz="4" w:space="0"/>
        </w:tcBorders>
      </w:tcPr>
    </w:tblStylePr>
    <w:tblStylePr w:type="band2Vert">
      <w:pPr>
        <w:snapToGrid/>
      </w:pPr>
      <w:tcPr>
        <w:tcBorders>
          <w:left w:val="single" w:color="000000" w:themeColor="text1" w:sz="4" w:space="0"/>
          <w:right w:val="single" w:color="000000" w:themeColor="text1" w:sz="4" w:space="0"/>
        </w:tcBorders>
      </w:tcPr>
    </w:tblStylePr>
    <w:tblStylePr w:type="band1Horz">
      <w:pPr>
        <w:snapToGrid/>
      </w:p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1">
    <w:name w:val="无格式表格 31"/>
    <w:qFormat/>
    <w:uiPriority w:val="99"/>
    <w:tblPr>
      <w:tblCellMar>
        <w:top w:w="0" w:type="dxa"/>
        <w:left w:w="0" w:type="dxa"/>
        <w:bottom w:w="0" w:type="dxa"/>
        <w:right w:w="0" w:type="dxa"/>
      </w:tblCellMar>
    </w:tblPr>
    <w:tblStylePr w:type="firstRow">
      <w:pPr>
        <w:snapToGrid/>
      </w:pPr>
      <w:rPr>
        <w:b/>
        <w:caps/>
        <w:color w:val="404040"/>
      </w:rPr>
      <w:tcPr>
        <w:tcBorders>
          <w:top w:val="nil"/>
          <w:left w:val="nil"/>
          <w:bottom w:val="single" w:color="404040" w:sz="4" w:space="0"/>
          <w:right w:val="nil"/>
        </w:tcBorders>
      </w:tcPr>
    </w:tblStylePr>
    <w:tblStylePr w:type="lastRow">
      <w:pPr>
        <w:snapToGrid/>
      </w:pPr>
      <w:rPr>
        <w:b/>
        <w:caps/>
        <w:color w:val="404040"/>
      </w:rPr>
    </w:tblStylePr>
    <w:tblStylePr w:type="firstCol">
      <w:pPr>
        <w:snapToGrid/>
      </w:pPr>
      <w:rPr>
        <w:b/>
        <w:caps/>
        <w:color w:val="404040"/>
      </w:rPr>
      <w:tcPr>
        <w:tcBorders>
          <w:top w:val="nil"/>
          <w:left w:val="nil"/>
          <w:bottom w:val="nil"/>
          <w:right w:val="single" w:color="404040" w:sz="4" w:space="0"/>
        </w:tcBorders>
      </w:tcPr>
    </w:tblStylePr>
    <w:tblStylePr w:type="lastCol">
      <w:pPr>
        <w:snapToGrid/>
      </w:pPr>
      <w:rPr>
        <w:b/>
        <w:caps/>
        <w:color w:val="404040"/>
      </w:r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2">
    <w:name w:val="无格式表格 41"/>
    <w:qFormat/>
    <w:uiPriority w:val="99"/>
    <w:tblPr>
      <w:tblCellMar>
        <w:top w:w="0" w:type="dxa"/>
        <w:left w:w="0" w:type="dxa"/>
        <w:bottom w:w="0" w:type="dxa"/>
        <w:right w:w="0" w:type="dxa"/>
      </w:tblCellMar>
    </w:tblPr>
    <w:tblStylePr w:type="firstRow">
      <w:pPr>
        <w:snapToGrid/>
      </w:pPr>
      <w:rPr>
        <w:b/>
        <w:color w:val="404040"/>
      </w:r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3">
    <w:name w:val="无格式表格 51"/>
    <w:qFormat/>
    <w:uiPriority w:val="99"/>
    <w:tblPr>
      <w:tblCellMar>
        <w:top w:w="0" w:type="dxa"/>
        <w:left w:w="0" w:type="dxa"/>
        <w:bottom w:w="0" w:type="dxa"/>
        <w:right w:w="0" w:type="dxa"/>
      </w:tblCellMar>
    </w:tblPr>
    <w:tblStylePr w:type="firstRow">
      <w:pPr>
        <w:snapToGrid/>
      </w:pPr>
      <w:rPr>
        <w:i/>
        <w:color w:val="404040"/>
      </w:rPr>
      <w:tcPr>
        <w:tcBorders>
          <w:left w:val="nil"/>
          <w:bottom w:val="single" w:color="404040" w:sz="4" w:space="0"/>
          <w:right w:val="nil"/>
        </w:tcBorders>
        <w:shd w:val="clear" w:color="FFFFFF" w:fill="FFFFFF"/>
      </w:tcPr>
    </w:tblStylePr>
    <w:tblStylePr w:type="lastRow">
      <w:pPr>
        <w:snapToGrid/>
      </w:pPr>
      <w:rPr>
        <w:i/>
        <w:color w:val="404040"/>
      </w:rPr>
      <w:tcPr>
        <w:tcBorders>
          <w:top w:val="single" w:color="404040" w:sz="4" w:space="0"/>
          <w:left w:val="nil"/>
          <w:right w:val="nil"/>
        </w:tcBorders>
        <w:shd w:val="clear" w:color="FFFFFF" w:fill="FFFFFF"/>
      </w:tcPr>
    </w:tblStylePr>
    <w:tblStylePr w:type="firstCol">
      <w:pPr>
        <w:snapToGrid/>
        <w:jc w:val="right"/>
      </w:pPr>
      <w:rPr>
        <w:i/>
        <w:color w:val="404040"/>
      </w:rPr>
      <w:tcPr>
        <w:tcBorders>
          <w:right w:val="single" w:color="404040" w:sz="4" w:space="0"/>
        </w:tcBorders>
        <w:shd w:val="clear" w:color="FFFFFF" w:fill="FFFFFF"/>
      </w:tcPr>
    </w:tblStylePr>
    <w:tblStylePr w:type="lastCol">
      <w:pPr>
        <w:snapToGrid/>
      </w:pPr>
      <w:rPr>
        <w:i/>
        <w:color w:val="404040"/>
      </w:rPr>
      <w:tcPr>
        <w:tcBorders>
          <w:left w:val="single" w:color="404040" w:sz="4" w:space="0"/>
        </w:tcBorders>
        <w:shd w:val="clear" w:color="FFFFFF" w:fill="FFFFFF"/>
      </w:tcPr>
    </w:tblStylePr>
    <w:tblStylePr w:type="band1Vert">
      <w:pPr>
        <w:snapToGrid/>
      </w:pPr>
      <w:rPr>
        <w:rFonts w:ascii="Arial" w:hAnsi="Arial"/>
        <w:color w:val="404040"/>
        <w:sz w:val="22"/>
      </w:rPr>
      <w:tcPr>
        <w:shd w:val="clear" w:color="FFFFFF" w:fill="F1F1F1" w:themeFill="text1" w:themeFillTint="0D"/>
      </w:tcPr>
    </w:tblStylePr>
    <w:tblStylePr w:type="band2Vert">
      <w:pPr>
        <w:snapToGrid/>
      </w:pPr>
    </w:tblStylePr>
    <w:tblStylePr w:type="band1Horz">
      <w:pPr>
        <w:snapToGrid/>
      </w:pPr>
      <w:rPr>
        <w:rFonts w:ascii="Arial" w:hAnsi="Arial"/>
        <w:color w:val="404040"/>
        <w:sz w:val="22"/>
      </w:rPr>
      <w:tcPr>
        <w:shd w:val="clear" w:color="FFFFFF"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pPr>
        <w:snapToGrid/>
      </w:pPr>
      <w:rPr>
        <w:b/>
        <w:color w:val="404040"/>
      </w:rPr>
      <w:tcPr>
        <w:tcBorders>
          <w:bottom w:val="single" w:color="696969" w:themeColor="tex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pPr>
        <w:snapToGrid/>
      </w:pPr>
      <w:rPr>
        <w:b/>
        <w:color w:val="404040"/>
      </w:rPr>
      <w:tcPr>
        <w:tcBorders>
          <w:bottom w:val="single" w:color="98B5D8" w:themeColor="accen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pPr>
        <w:snapToGrid/>
      </w:pPr>
      <w:rPr>
        <w:b/>
        <w:color w:val="404040"/>
      </w:rPr>
      <w:tcPr>
        <w:tcBorders>
          <w:bottom w:val="single" w:color="DA9896" w:themeColor="accent2"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pPr>
        <w:snapToGrid/>
      </w:pPr>
      <w:rPr>
        <w:b/>
        <w:color w:val="404040"/>
      </w:rPr>
      <w:tcPr>
        <w:tcBorders>
          <w:bottom w:val="single" w:color="C4D79E" w:themeColor="accent3"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pPr>
        <w:snapToGrid/>
      </w:pPr>
      <w:rPr>
        <w:b/>
        <w:color w:val="404040"/>
      </w:rPr>
      <w:tcPr>
        <w:tcBorders>
          <w:bottom w:val="single" w:color="B4A4C8" w:themeColor="accent4"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pPr>
        <w:snapToGrid/>
      </w:pPr>
      <w:rPr>
        <w:b/>
        <w:color w:val="404040"/>
      </w:rPr>
      <w:tcPr>
        <w:tcBorders>
          <w:bottom w:val="single" w:color="95CEDD" w:themeColor="accent5"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pPr>
        <w:snapToGrid/>
      </w:pPr>
      <w:rPr>
        <w:b/>
        <w:color w:val="404040"/>
      </w:rPr>
      <w:tcPr>
        <w:tcBorders>
          <w:bottom w:val="single" w:color="FAC192" w:themeColor="accent6"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696969" w:themeColor="text1" w:themeTint="95" w:sz="12" w:space="0"/>
          <w:right w:val="nil"/>
        </w:tcBorders>
        <w:shd w:val="clear" w:color="FFFFFF" w:fill="FFFFFF"/>
      </w:tcPr>
    </w:tblStylePr>
    <w:tblStylePr w:type="lastRow">
      <w:pPr>
        <w:snapToGrid/>
      </w:pPr>
      <w:rPr>
        <w:b/>
        <w:color w:val="404040"/>
      </w:rPr>
      <w:tcPr>
        <w:tcBorders>
          <w:top w:val="single" w:color="696969" w:themeColor="text1" w:themeTint="9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5D8BC2" w:themeColor="accent1" w:themeTint="EA" w:sz="12" w:space="0"/>
          <w:right w:val="nil"/>
        </w:tcBorders>
        <w:shd w:val="clear" w:color="FFFFFF" w:fill="FFFFFF"/>
      </w:tcPr>
    </w:tblStylePr>
    <w:tblStylePr w:type="lastRow">
      <w:pPr>
        <w:snapToGrid/>
      </w:pPr>
      <w:rPr>
        <w:b/>
        <w:color w:val="404040"/>
      </w:rPr>
      <w:tcPr>
        <w:tcBorders>
          <w:top w:val="single" w:color="5D8BC2" w:themeColor="accent1" w:themeTint="E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BE5F1" w:themeFill="accent1" w:themeFillTint="34"/>
      </w:tcPr>
    </w:tblStylePr>
    <w:tblStylePr w:type="band2Vert">
      <w:pPr>
        <w:snapToGrid/>
      </w:pPr>
    </w:tblStylePr>
    <w:tblStylePr w:type="band1Horz">
      <w:pPr>
        <w:snapToGrid/>
      </w:pPr>
      <w:rPr>
        <w:rFonts w:ascii="Arial" w:hAnsi="Arial"/>
        <w:color w:val="404040"/>
        <w:sz w:val="22"/>
      </w:rPr>
      <w:tcPr>
        <w:shd w:val="clear" w:color="FFFFFF"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D99795" w:themeColor="accent2" w:themeTint="97" w:sz="12" w:space="0"/>
          <w:right w:val="nil"/>
        </w:tcBorders>
        <w:shd w:val="clear" w:color="FFFFFF" w:fill="FFFFFF"/>
      </w:tcPr>
    </w:tblStylePr>
    <w:tblStylePr w:type="lastRow">
      <w:pPr>
        <w:snapToGrid/>
      </w:pPr>
      <w:rPr>
        <w:b/>
        <w:color w:val="404040"/>
      </w:rPr>
      <w:tcPr>
        <w:tcBorders>
          <w:top w:val="single" w:color="D99795" w:themeColor="accent2" w:themeTint="97"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9BBB59" w:themeColor="accent3" w:themeTint="FE" w:sz="12" w:space="0"/>
          <w:right w:val="nil"/>
        </w:tcBorders>
        <w:shd w:val="clear" w:color="FFFFFF" w:fill="FFFFFF"/>
      </w:tcPr>
    </w:tblStylePr>
    <w:tblStylePr w:type="lastRow">
      <w:pPr>
        <w:snapToGrid/>
      </w:pPr>
      <w:rPr>
        <w:b/>
        <w:color w:val="404040"/>
      </w:rPr>
      <w:tcPr>
        <w:tcBorders>
          <w:top w:val="single" w:color="9BBB59" w:themeColor="accent3" w:themeTint="FE"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B2A1C6" w:themeColor="accent4" w:themeTint="9A" w:sz="12" w:space="0"/>
          <w:right w:val="nil"/>
        </w:tcBorders>
        <w:shd w:val="clear" w:color="FFFFFF" w:fill="FFFFFF"/>
      </w:tcPr>
    </w:tblStylePr>
    <w:tblStylePr w:type="lastRow">
      <w:pPr>
        <w:snapToGrid/>
      </w:pPr>
      <w:rPr>
        <w:b/>
        <w:color w:val="404040"/>
      </w:rPr>
      <w:tcPr>
        <w:tcBorders>
          <w:top w:val="single" w:color="B2A1C6" w:themeColor="accent4" w:themeTint="9A"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4BACC6" w:themeColor="accent5" w:sz="12" w:space="0"/>
          <w:right w:val="nil"/>
        </w:tcBorders>
        <w:shd w:val="clear" w:color="FFFFFF" w:fill="FFFFFF"/>
      </w:tcPr>
    </w:tblStylePr>
    <w:tblStylePr w:type="lastRow">
      <w:pPr>
        <w:snapToGrid/>
      </w:pPr>
      <w:rPr>
        <w:b/>
        <w:color w:val="404040"/>
      </w:rPr>
      <w:tcPr>
        <w:tcBorders>
          <w:top w:val="single" w:color="4BACC6" w:themeColor="accent5"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pPr>
        <w:snapToGrid/>
      </w:pPr>
      <w:rPr>
        <w:b/>
        <w:color w:val="404040"/>
      </w:rPr>
      <w:tcPr>
        <w:tcBorders>
          <w:top w:val="nil"/>
          <w:left w:val="nil"/>
          <w:bottom w:val="single" w:color="F79646" w:themeColor="accent6" w:sz="12" w:space="0"/>
          <w:right w:val="nil"/>
        </w:tcBorders>
        <w:shd w:val="clear" w:color="FFFFFF" w:fill="FFFFFF"/>
      </w:tcPr>
    </w:tblStylePr>
    <w:tblStylePr w:type="lastRow">
      <w:pPr>
        <w:snapToGrid/>
      </w:pPr>
      <w:rPr>
        <w:b/>
        <w:color w:val="404040"/>
      </w:rPr>
      <w:tcPr>
        <w:tcBorders>
          <w:top w:val="single" w:color="F79646" w:themeColor="accent6" w:sz="4" w:space="0"/>
          <w:left w:val="nil"/>
          <w:bottom w:val="nil"/>
          <w:right w:val="nil"/>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DBE5F1" w:themeFill="accent1" w:themeFillTint="34"/>
      </w:tcPr>
    </w:tblStylePr>
    <w:tblStylePr w:type="band2Vert">
      <w:pPr>
        <w:snapToGrid/>
      </w:pPr>
    </w:tblStylePr>
    <w:tblStylePr w:type="band1Horz">
      <w:pPr>
        <w:snapToGrid/>
      </w:pPr>
      <w:rPr>
        <w:rFonts w:ascii="Arial" w:hAnsi="Arial"/>
        <w:color w:val="404040"/>
        <w:sz w:val="22"/>
      </w:rPr>
      <w:tcPr>
        <w:shd w:val="clear" w:color="FFFFFF" w:fill="DBE5F1"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pPr>
        <w:snapToGrid/>
      </w:pPr>
      <w:rPr>
        <w:b/>
        <w:color w:val="404040"/>
      </w:rPr>
      <w:tcPr>
        <w:tcBorders>
          <w:top w:val="nil"/>
          <w:left w:val="nil"/>
          <w:bottom w:val="nil"/>
          <w:right w:val="nil"/>
        </w:tcBorders>
        <w:shd w:val="clear" w:color="FFFFFF" w:fill="FFFFFF"/>
      </w:tcPr>
    </w:tblStylePr>
    <w:tblStylePr w:type="lastRow">
      <w:pPr>
        <w:snapToGrid/>
      </w:pPr>
      <w:rPr>
        <w:b/>
        <w:color w:val="404040"/>
      </w:rPr>
      <w:tcPr>
        <w:tcBorders>
          <w:top w:val="nil"/>
          <w:left w:val="nil"/>
          <w:bottom w:val="nil"/>
          <w:right w:val="nil"/>
        </w:tcBorders>
        <w:shd w:val="clear" w:color="FFFFFF" w:fill="FFFFFF"/>
      </w:tcPr>
    </w:tblStylePr>
    <w:tblStylePr w:type="firstCol">
      <w:pPr>
        <w:snapToGrid/>
        <w:jc w:val="right"/>
      </w:pPr>
      <w:rPr>
        <w:i/>
        <w:color w:val="404040"/>
      </w:rPr>
      <w:tcPr>
        <w:tcBorders>
          <w:top w:val="nil"/>
          <w:left w:val="nil"/>
          <w:bottom w:val="nil"/>
          <w:right w:val="nil"/>
        </w:tcBorders>
        <w:shd w:val="clear" w:color="FFFFFF" w:fill="FFFFFF"/>
      </w:tcPr>
    </w:tblStylePr>
    <w:tblStylePr w:type="lastCol">
      <w:pPr>
        <w:snapToGrid/>
      </w:pPr>
      <w:rPr>
        <w:i/>
        <w:color w:val="404040"/>
      </w:rPr>
      <w:tcPr>
        <w:tcBorders>
          <w:top w:val="nil"/>
          <w:left w:val="nil"/>
          <w:bottom w:val="nil"/>
          <w:right w:val="nil"/>
        </w:tcBorders>
        <w:shd w:val="clear" w:color="FFFFFF" w:fill="FFFFFF"/>
      </w:tc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fill="000000" w:themeFill="text1"/>
      </w:tcPr>
    </w:tblStylePr>
    <w:tblStylePr w:type="lastRow">
      <w:pPr>
        <w:snapToGrid/>
      </w:pPr>
      <w:rPr>
        <w:b/>
        <w:color w:val="404040"/>
      </w:rPr>
      <w:tcPr>
        <w:tcBorders>
          <w:top w:val="single" w:color="000000" w:themeColor="text1"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CACACA" w:themeFill="text1" w:themeFillTint="34"/>
      </w:tcPr>
    </w:tblStylePr>
    <w:tblStylePr w:type="band2Vert">
      <w:pPr>
        <w:snapToGrid/>
      </w:pPr>
    </w:tblStylePr>
    <w:tblStylePr w:type="band1Horz">
      <w:pPr>
        <w:snapToGrid/>
      </w:pPr>
      <w:rPr>
        <w:rFonts w:ascii="Arial" w:hAnsi="Arial"/>
        <w:color w:val="404040"/>
        <w:sz w:val="22"/>
      </w:rPr>
      <w:tcPr>
        <w:shd w:val="clear" w:color="FFFFFF"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FFFFFF" w:fill="5D8BC2" w:themeFill="accent1" w:themeFillTint="EA"/>
      </w:tcPr>
    </w:tblStylePr>
    <w:tblStylePr w:type="lastRow">
      <w:pPr>
        <w:snapToGrid/>
      </w:pPr>
      <w:rPr>
        <w:b/>
        <w:color w:val="404040"/>
      </w:rPr>
      <w:tcPr>
        <w:tcBorders>
          <w:top w:val="single" w:color="5D8BC2" w:themeColor="accent1" w:themeTint="E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CE6F2" w:themeFill="accent1" w:themeFillTint="32"/>
      </w:tcPr>
    </w:tblStylePr>
    <w:tblStylePr w:type="band2Vert">
      <w:pPr>
        <w:snapToGrid/>
      </w:pPr>
    </w:tblStylePr>
    <w:tblStylePr w:type="band1Horz">
      <w:pPr>
        <w:snapToGrid/>
      </w:pPr>
      <w:rPr>
        <w:rFonts w:ascii="Arial" w:hAnsi="Arial"/>
        <w:color w:val="404040"/>
        <w:sz w:val="22"/>
      </w:rPr>
      <w:tcPr>
        <w:shd w:val="clear" w:color="FFFFFF" w:fill="DCE6F2" w:themeFill="accent1"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FFFFFF" w:fill="D99795" w:themeFill="accent2" w:themeFillTint="97"/>
      </w:tcPr>
    </w:tblStylePr>
    <w:tblStylePr w:type="lastRow">
      <w:pPr>
        <w:snapToGrid/>
      </w:pPr>
      <w:rPr>
        <w:b/>
        <w:color w:val="404040"/>
      </w:rPr>
      <w:tcPr>
        <w:tcBorders>
          <w:top w:val="single" w:color="D99795" w:themeColor="accent2" w:themeTint="97"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2DCDC" w:themeFill="accent2" w:themeFillTint="32"/>
      </w:tcPr>
    </w:tblStylePr>
    <w:tblStylePr w:type="band2Vert">
      <w:pPr>
        <w:snapToGrid/>
      </w:pPr>
    </w:tblStylePr>
    <w:tblStylePr w:type="band1Horz">
      <w:pPr>
        <w:snapToGrid/>
      </w:pPr>
      <w:rPr>
        <w:rFonts w:ascii="Arial" w:hAnsi="Arial"/>
        <w:color w:val="404040"/>
        <w:sz w:val="22"/>
      </w:rPr>
      <w:tcPr>
        <w:shd w:val="clear" w:color="FFFFFF" w:fill="F2DCDC"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FFFFFF" w:fill="9BBB59" w:themeFill="accent3" w:themeFillTint="FE"/>
      </w:tcPr>
    </w:tblStylePr>
    <w:tblStylePr w:type="lastRow">
      <w:pPr>
        <w:snapToGrid/>
      </w:pPr>
      <w:rPr>
        <w:b/>
        <w:color w:val="404040"/>
      </w:rPr>
      <w:tcPr>
        <w:tcBorders>
          <w:top w:val="single" w:color="9BBB59" w:themeColor="accent3" w:themeTint="FE"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AF1DD" w:themeFill="accent3" w:themeFillTint="34"/>
      </w:tcPr>
    </w:tblStylePr>
    <w:tblStylePr w:type="band2Vert">
      <w:pPr>
        <w:snapToGrid/>
      </w:pPr>
    </w:tblStylePr>
    <w:tblStylePr w:type="band1Horz">
      <w:pPr>
        <w:snapToGrid/>
      </w:pPr>
      <w:rPr>
        <w:rFonts w:ascii="Arial" w:hAnsi="Arial"/>
        <w:color w:val="404040"/>
        <w:sz w:val="22"/>
      </w:rPr>
      <w:tcPr>
        <w:shd w:val="clear" w:color="FFFFFF" w:fill="EAF1DD"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FFFFFF" w:fill="B2A1C6" w:themeFill="accent4" w:themeFillTint="9A"/>
      </w:tcPr>
    </w:tblStylePr>
    <w:tblStylePr w:type="lastRow">
      <w:pPr>
        <w:snapToGrid/>
      </w:pPr>
      <w:rPr>
        <w:b/>
        <w:color w:val="404040"/>
      </w:rPr>
      <w:tcPr>
        <w:tcBorders>
          <w:top w:val="single" w:color="B2A1C6" w:themeColor="accent4" w:themeTint="9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DFEC" w:themeFill="accent4" w:themeFillTint="34"/>
      </w:tcPr>
    </w:tblStylePr>
    <w:tblStylePr w:type="band2Vert">
      <w:pPr>
        <w:snapToGrid/>
      </w:pPr>
    </w:tblStylePr>
    <w:tblStylePr w:type="band1Horz">
      <w:pPr>
        <w:snapToGrid/>
      </w:pPr>
      <w:rPr>
        <w:rFonts w:ascii="Arial" w:hAnsi="Arial"/>
        <w:color w:val="404040"/>
        <w:sz w:val="22"/>
      </w:rPr>
      <w:tcPr>
        <w:shd w:val="clear" w:color="FFFFFF" w:fill="E5DFEC"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FFFFFF" w:fill="4BACC6" w:themeFill="accent5"/>
      </w:tcPr>
    </w:tblStylePr>
    <w:tblStylePr w:type="lastRow">
      <w:pPr>
        <w:snapToGrid/>
      </w:pPr>
      <w:rPr>
        <w:b/>
        <w:color w:val="404040"/>
      </w:rPr>
      <w:tcPr>
        <w:tcBorders>
          <w:top w:val="single" w:color="4BACC6" w:themeColor="accent5"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AEEF3" w:themeFill="accent5" w:themeFillTint="34"/>
      </w:tcPr>
    </w:tblStylePr>
    <w:tblStylePr w:type="band2Vert">
      <w:pPr>
        <w:snapToGrid/>
      </w:pPr>
    </w:tblStylePr>
    <w:tblStylePr w:type="band1Horz">
      <w:pPr>
        <w:snapToGrid/>
      </w:pPr>
      <w:rPr>
        <w:rFonts w:ascii="Arial" w:hAnsi="Arial"/>
        <w:color w:val="404040"/>
        <w:sz w:val="22"/>
      </w:rPr>
      <w:tcPr>
        <w:shd w:val="clear" w:color="FFFFFF" w:fill="DAEEF3"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pPr>
        <w:snapToGrid/>
      </w:pPr>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FFFFF" w:fill="F79646" w:themeFill="accent6"/>
      </w:tcPr>
    </w:tblStylePr>
    <w:tblStylePr w:type="lastRow">
      <w:pPr>
        <w:snapToGrid/>
      </w:pPr>
      <w:rPr>
        <w:b/>
        <w:color w:val="404040"/>
      </w:rPr>
      <w:tcPr>
        <w:tcBorders>
          <w:top w:val="single" w:color="F79646" w:themeColor="accent6"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DE9D9" w:themeFill="accent6" w:themeFillTint="34"/>
      </w:tcPr>
    </w:tblStylePr>
    <w:tblStylePr w:type="band2Vert">
      <w:pPr>
        <w:snapToGrid/>
      </w:pPr>
    </w:tblStylePr>
    <w:tblStylePr w:type="band1Horz">
      <w:pPr>
        <w:snapToGrid/>
      </w:pPr>
      <w:rPr>
        <w:rFonts w:ascii="Arial" w:hAnsi="Arial"/>
        <w:color w:val="404040"/>
        <w:sz w:val="22"/>
      </w:rPr>
      <w:tcPr>
        <w:shd w:val="clear" w:color="FFFFFF" w:fill="FDE9D9"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000000" w:themeFill="text1"/>
      </w:tcPr>
    </w:tblStylePr>
    <w:tblStylePr w:type="lastRow">
      <w:pPr>
        <w:snapToGrid/>
      </w:pPr>
      <w:rPr>
        <w:rFonts w:ascii="Arial" w:hAnsi="Arial"/>
        <w:b/>
        <w:color w:val="FFFFFF"/>
        <w:sz w:val="22"/>
      </w:rPr>
      <w:tcPr>
        <w:tcBorders>
          <w:top w:val="single" w:color="FFFFFF" w:themeColor="light1" w:sz="4" w:space="0"/>
        </w:tcBorders>
        <w:shd w:val="clear" w:color="FFFFFF" w:fill="000000" w:themeFill="text1"/>
      </w:tcPr>
    </w:tblStylePr>
    <w:tblStylePr w:type="firstCol">
      <w:pPr>
        <w:snapToGrid/>
      </w:pPr>
      <w:rPr>
        <w:rFonts w:ascii="Arial" w:hAnsi="Arial"/>
        <w:b/>
        <w:color w:val="FFFFFF"/>
        <w:sz w:val="22"/>
      </w:rPr>
      <w:tcPr>
        <w:shd w:val="clear" w:color="FFFFFF" w:fill="000000" w:themeFill="text1"/>
      </w:tcPr>
    </w:tblStylePr>
    <w:tblStylePr w:type="lastCol">
      <w:pPr>
        <w:snapToGrid/>
      </w:pPr>
      <w:rPr>
        <w:rFonts w:ascii="Arial" w:hAnsi="Arial"/>
        <w:b/>
        <w:color w:val="FFFFFF"/>
        <w:sz w:val="22"/>
      </w:rPr>
      <w:tcPr>
        <w:shd w:val="clear" w:color="FFFFFF" w:fill="000000" w:themeFill="text1"/>
      </w:tcPr>
    </w:tblStylePr>
    <w:tblStylePr w:type="band1Vert">
      <w:pPr>
        <w:snapToGrid/>
      </w:pPr>
      <w:tcPr>
        <w:shd w:val="clear" w:color="FFFFFF" w:fill="898989" w:themeFill="text1" w:themeFillTint="75"/>
      </w:tcPr>
    </w:tblStylePr>
    <w:tblStylePr w:type="band2Vert">
      <w:pPr>
        <w:snapToGrid/>
      </w:pPr>
    </w:tblStylePr>
    <w:tblStylePr w:type="band1Horz">
      <w:pPr>
        <w:snapToGrid/>
      </w:pPr>
      <w:tcPr>
        <w:shd w:val="clear" w:color="FFFFFF" w:fill="898989" w:themeFill="tex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4F81BD" w:themeFill="accent1"/>
      </w:tcPr>
    </w:tblStylePr>
    <w:tblStylePr w:type="lastRow">
      <w:pPr>
        <w:snapToGrid/>
      </w:pPr>
      <w:rPr>
        <w:rFonts w:ascii="Arial" w:hAnsi="Arial"/>
        <w:b/>
        <w:color w:val="FFFFFF"/>
        <w:sz w:val="22"/>
      </w:rPr>
      <w:tcPr>
        <w:tcBorders>
          <w:top w:val="single" w:color="FFFFFF" w:themeColor="light1" w:sz="4" w:space="0"/>
        </w:tcBorders>
        <w:shd w:val="clear" w:color="FFFFFF" w:fill="4F81BD" w:themeFill="accent1"/>
      </w:tcPr>
    </w:tblStylePr>
    <w:tblStylePr w:type="firstCol">
      <w:pPr>
        <w:snapToGrid/>
      </w:pPr>
      <w:rPr>
        <w:rFonts w:ascii="Arial" w:hAnsi="Arial"/>
        <w:b/>
        <w:color w:val="FFFFFF"/>
        <w:sz w:val="22"/>
      </w:rPr>
      <w:tcPr>
        <w:shd w:val="clear" w:color="FFFFFF" w:fill="4F81BD" w:themeFill="accent1"/>
      </w:tcPr>
    </w:tblStylePr>
    <w:tblStylePr w:type="lastCol">
      <w:pPr>
        <w:snapToGrid/>
      </w:pPr>
      <w:rPr>
        <w:rFonts w:ascii="Arial" w:hAnsi="Arial"/>
        <w:b/>
        <w:color w:val="FFFFFF"/>
        <w:sz w:val="22"/>
      </w:rPr>
      <w:tcPr>
        <w:shd w:val="clear" w:color="FFFFFF" w:fill="4F81BD" w:themeFill="accent1"/>
      </w:tcPr>
    </w:tblStylePr>
    <w:tblStylePr w:type="band1Vert">
      <w:pPr>
        <w:snapToGrid/>
      </w:pPr>
      <w:tcPr>
        <w:shd w:val="clear" w:color="FFFFFF" w:fill="AEC5E0" w:themeFill="accent1" w:themeFillTint="75"/>
      </w:tcPr>
    </w:tblStylePr>
    <w:tblStylePr w:type="band2Vert">
      <w:pPr>
        <w:snapToGrid/>
      </w:pPr>
    </w:tblStylePr>
    <w:tblStylePr w:type="band1Horz">
      <w:pPr>
        <w:snapToGrid/>
      </w:pPr>
      <w:tcPr>
        <w:shd w:val="clear" w:color="FFFFFF" w:fill="AEC5E0" w:themeFill="accen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C0504D" w:themeFill="accent2"/>
      </w:tcPr>
    </w:tblStylePr>
    <w:tblStylePr w:type="lastRow">
      <w:pPr>
        <w:snapToGrid/>
      </w:pPr>
      <w:rPr>
        <w:rFonts w:ascii="Arial" w:hAnsi="Arial"/>
        <w:b/>
        <w:color w:val="FFFFFF"/>
        <w:sz w:val="22"/>
      </w:rPr>
      <w:tcPr>
        <w:tcBorders>
          <w:top w:val="single" w:color="FFFFFF" w:themeColor="light1" w:sz="4" w:space="0"/>
        </w:tcBorders>
        <w:shd w:val="clear" w:color="FFFFFF" w:fill="C0504D" w:themeFill="accent2"/>
      </w:tcPr>
    </w:tblStylePr>
    <w:tblStylePr w:type="firstCol">
      <w:pPr>
        <w:snapToGrid/>
      </w:pPr>
      <w:rPr>
        <w:rFonts w:ascii="Arial" w:hAnsi="Arial"/>
        <w:b/>
        <w:color w:val="FFFFFF"/>
        <w:sz w:val="22"/>
      </w:rPr>
      <w:tcPr>
        <w:shd w:val="clear" w:color="FFFFFF" w:fill="C0504D" w:themeFill="accent2"/>
      </w:tcPr>
    </w:tblStylePr>
    <w:tblStylePr w:type="lastCol">
      <w:pPr>
        <w:snapToGrid/>
      </w:pPr>
      <w:rPr>
        <w:rFonts w:ascii="Arial" w:hAnsi="Arial"/>
        <w:b/>
        <w:color w:val="FFFFFF"/>
        <w:sz w:val="22"/>
      </w:rPr>
      <w:tcPr>
        <w:shd w:val="clear" w:color="FFFFFF" w:fill="C0504D" w:themeFill="accent2"/>
      </w:tcPr>
    </w:tblStylePr>
    <w:tblStylePr w:type="band1Vert">
      <w:pPr>
        <w:snapToGrid/>
      </w:pPr>
      <w:tcPr>
        <w:shd w:val="clear" w:color="FFFFFF" w:fill="E2AEAD" w:themeFill="accent2" w:themeFillTint="75"/>
      </w:tcPr>
    </w:tblStylePr>
    <w:tblStylePr w:type="band2Vert">
      <w:pPr>
        <w:snapToGrid/>
      </w:pPr>
    </w:tblStylePr>
    <w:tblStylePr w:type="band1Horz">
      <w:pPr>
        <w:snapToGrid/>
      </w:pPr>
      <w:tcPr>
        <w:shd w:val="clear" w:color="FFFFFF" w:fill="E2AEAD" w:themeFill="accent2"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9BBB59" w:themeFill="accent3"/>
      </w:tcPr>
    </w:tblStylePr>
    <w:tblStylePr w:type="lastRow">
      <w:pPr>
        <w:snapToGrid/>
      </w:pPr>
      <w:rPr>
        <w:rFonts w:ascii="Arial" w:hAnsi="Arial"/>
        <w:b/>
        <w:color w:val="FFFFFF"/>
        <w:sz w:val="22"/>
      </w:rPr>
      <w:tcPr>
        <w:tcBorders>
          <w:top w:val="single" w:color="FFFFFF" w:themeColor="light1" w:sz="4" w:space="0"/>
        </w:tcBorders>
        <w:shd w:val="clear" w:color="FFFFFF" w:fill="9BBB59" w:themeFill="accent3"/>
      </w:tcPr>
    </w:tblStylePr>
    <w:tblStylePr w:type="firstCol">
      <w:pPr>
        <w:snapToGrid/>
      </w:pPr>
      <w:rPr>
        <w:rFonts w:ascii="Arial" w:hAnsi="Arial"/>
        <w:b/>
        <w:color w:val="FFFFFF"/>
        <w:sz w:val="22"/>
      </w:rPr>
      <w:tcPr>
        <w:shd w:val="clear" w:color="FFFFFF" w:fill="9BBB59" w:themeFill="accent3"/>
      </w:tcPr>
    </w:tblStylePr>
    <w:tblStylePr w:type="lastCol">
      <w:pPr>
        <w:snapToGrid/>
      </w:pPr>
      <w:rPr>
        <w:rFonts w:ascii="Arial" w:hAnsi="Arial"/>
        <w:b/>
        <w:color w:val="FFFFFF"/>
        <w:sz w:val="22"/>
      </w:rPr>
      <w:tcPr>
        <w:shd w:val="clear" w:color="FFFFFF" w:fill="9BBB59" w:themeFill="accent3"/>
      </w:tcPr>
    </w:tblStylePr>
    <w:tblStylePr w:type="band1Vert">
      <w:pPr>
        <w:snapToGrid/>
      </w:pPr>
      <w:tcPr>
        <w:shd w:val="clear" w:color="FFFFFF" w:fill="D1DFB2" w:themeFill="accent3" w:themeFillTint="75"/>
      </w:tcPr>
    </w:tblStylePr>
    <w:tblStylePr w:type="band2Vert">
      <w:pPr>
        <w:snapToGrid/>
      </w:pPr>
    </w:tblStylePr>
    <w:tblStylePr w:type="band1Horz">
      <w:pPr>
        <w:snapToGrid/>
      </w:pPr>
      <w:tcPr>
        <w:shd w:val="clear" w:color="FFFFFF" w:fill="D1DFB2" w:themeFill="accent3"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8064A2" w:themeFill="accent4"/>
      </w:tcPr>
    </w:tblStylePr>
    <w:tblStylePr w:type="lastRow">
      <w:pPr>
        <w:snapToGrid/>
      </w:pPr>
      <w:rPr>
        <w:rFonts w:ascii="Arial" w:hAnsi="Arial"/>
        <w:b/>
        <w:color w:val="FFFFFF"/>
        <w:sz w:val="22"/>
      </w:rPr>
      <w:tcPr>
        <w:tcBorders>
          <w:top w:val="single" w:color="FFFFFF" w:themeColor="light1" w:sz="4" w:space="0"/>
        </w:tcBorders>
        <w:shd w:val="clear" w:color="FFFFFF" w:fill="8064A2" w:themeFill="accent4"/>
      </w:tcPr>
    </w:tblStylePr>
    <w:tblStylePr w:type="firstCol">
      <w:pPr>
        <w:snapToGrid/>
      </w:pPr>
      <w:rPr>
        <w:rFonts w:ascii="Arial" w:hAnsi="Arial"/>
        <w:b/>
        <w:color w:val="FFFFFF"/>
        <w:sz w:val="22"/>
      </w:rPr>
      <w:tcPr>
        <w:shd w:val="clear" w:color="FFFFFF" w:fill="8064A2" w:themeFill="accent4"/>
      </w:tcPr>
    </w:tblStylePr>
    <w:tblStylePr w:type="lastCol">
      <w:pPr>
        <w:snapToGrid/>
      </w:pPr>
      <w:rPr>
        <w:rFonts w:ascii="Arial" w:hAnsi="Arial"/>
        <w:b/>
        <w:color w:val="FFFFFF"/>
        <w:sz w:val="22"/>
      </w:rPr>
      <w:tcPr>
        <w:shd w:val="clear" w:color="FFFFFF" w:fill="8064A2" w:themeFill="accent4"/>
      </w:tcPr>
    </w:tblStylePr>
    <w:tblStylePr w:type="band1Vert">
      <w:pPr>
        <w:snapToGrid/>
      </w:pPr>
      <w:tcPr>
        <w:shd w:val="clear" w:color="FFFFFF" w:fill="C4B7D4" w:themeFill="accent4" w:themeFillTint="75"/>
      </w:tcPr>
    </w:tblStylePr>
    <w:tblStylePr w:type="band2Vert">
      <w:pPr>
        <w:snapToGrid/>
      </w:pPr>
    </w:tblStylePr>
    <w:tblStylePr w:type="band1Horz">
      <w:pPr>
        <w:snapToGrid/>
      </w:pPr>
      <w:tcPr>
        <w:shd w:val="clear" w:color="FFFFFF" w:fill="C4B7D4" w:themeFill="accent4"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4BACC6" w:themeFill="accent5"/>
      </w:tcPr>
    </w:tblStylePr>
    <w:tblStylePr w:type="lastRow">
      <w:pPr>
        <w:snapToGrid/>
      </w:pPr>
      <w:rPr>
        <w:rFonts w:ascii="Arial" w:hAnsi="Arial"/>
        <w:b/>
        <w:color w:val="FFFFFF"/>
        <w:sz w:val="22"/>
      </w:rPr>
      <w:tcPr>
        <w:tcBorders>
          <w:top w:val="single" w:color="FFFFFF" w:themeColor="light1" w:sz="4" w:space="0"/>
        </w:tcBorders>
        <w:shd w:val="clear" w:color="FFFFFF" w:fill="4BACC6" w:themeFill="accent5"/>
      </w:tcPr>
    </w:tblStylePr>
    <w:tblStylePr w:type="firstCol">
      <w:pPr>
        <w:snapToGrid/>
      </w:pPr>
      <w:rPr>
        <w:rFonts w:ascii="Arial" w:hAnsi="Arial"/>
        <w:b/>
        <w:color w:val="FFFFFF"/>
        <w:sz w:val="22"/>
      </w:rPr>
      <w:tcPr>
        <w:shd w:val="clear" w:color="FFFFFF" w:fill="4BACC6" w:themeFill="accent5"/>
      </w:tcPr>
    </w:tblStylePr>
    <w:tblStylePr w:type="lastCol">
      <w:pPr>
        <w:snapToGrid/>
      </w:pPr>
      <w:rPr>
        <w:rFonts w:ascii="Arial" w:hAnsi="Arial"/>
        <w:b/>
        <w:color w:val="FFFFFF"/>
        <w:sz w:val="22"/>
      </w:rPr>
      <w:tcPr>
        <w:shd w:val="clear" w:color="FFFFFF" w:fill="4BACC6" w:themeFill="accent5"/>
      </w:tcPr>
    </w:tblStylePr>
    <w:tblStylePr w:type="band1Vert">
      <w:pPr>
        <w:snapToGrid/>
      </w:pPr>
      <w:tcPr>
        <w:shd w:val="clear" w:color="FFFFFF" w:fill="ACD8E4" w:themeFill="accent5" w:themeFillTint="75"/>
      </w:tcPr>
    </w:tblStylePr>
    <w:tblStylePr w:type="band2Vert">
      <w:pPr>
        <w:snapToGrid/>
      </w:pPr>
    </w:tblStylePr>
    <w:tblStylePr w:type="band1Horz">
      <w:pPr>
        <w:snapToGrid/>
      </w:pPr>
      <w:tcPr>
        <w:shd w:val="clear" w:color="FFFFFF" w:fill="ACD8E4" w:themeFill="accent5"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F79646" w:themeFill="accent6"/>
      </w:tcPr>
    </w:tblStylePr>
    <w:tblStylePr w:type="lastRow">
      <w:pPr>
        <w:snapToGrid/>
      </w:pPr>
      <w:rPr>
        <w:rFonts w:ascii="Arial" w:hAnsi="Arial"/>
        <w:b/>
        <w:color w:val="FFFFFF"/>
        <w:sz w:val="22"/>
      </w:rPr>
      <w:tcPr>
        <w:tcBorders>
          <w:top w:val="single" w:color="FFFFFF" w:themeColor="light1" w:sz="4" w:space="0"/>
        </w:tcBorders>
        <w:shd w:val="clear" w:color="FFFFFF" w:fill="F79646" w:themeFill="accent6"/>
      </w:tcPr>
    </w:tblStylePr>
    <w:tblStylePr w:type="firstCol">
      <w:pPr>
        <w:snapToGrid/>
      </w:pPr>
      <w:rPr>
        <w:rFonts w:ascii="Arial" w:hAnsi="Arial"/>
        <w:b/>
        <w:color w:val="FFFFFF"/>
        <w:sz w:val="22"/>
      </w:rPr>
      <w:tcPr>
        <w:shd w:val="clear" w:color="FFFFFF" w:fill="F79646" w:themeFill="accent6"/>
      </w:tcPr>
    </w:tblStylePr>
    <w:tblStylePr w:type="lastCol">
      <w:pPr>
        <w:snapToGrid/>
      </w:pPr>
      <w:rPr>
        <w:rFonts w:ascii="Arial" w:hAnsi="Arial"/>
        <w:b/>
        <w:color w:val="FFFFFF"/>
        <w:sz w:val="22"/>
      </w:rPr>
      <w:tcPr>
        <w:shd w:val="clear" w:color="FFFFFF" w:fill="F79646" w:themeFill="accent6"/>
      </w:tcPr>
    </w:tblStylePr>
    <w:tblStylePr w:type="band1Vert">
      <w:pPr>
        <w:snapToGrid/>
      </w:pPr>
      <w:tcPr>
        <w:shd w:val="clear" w:color="FFFFFF" w:fill="FBCEAA" w:themeFill="accent6" w:themeFillTint="75"/>
      </w:tcPr>
    </w:tblStylePr>
    <w:tblStylePr w:type="band2Vert">
      <w:pPr>
        <w:snapToGrid/>
      </w:pPr>
    </w:tblStylePr>
    <w:tblStylePr w:type="band1Horz">
      <w:pPr>
        <w:snapToGrid/>
      </w:pPr>
      <w:tcPr>
        <w:shd w:val="clear" w:color="FFFFFF" w:fill="FBCEAA" w:themeFill="accent6"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pPr>
        <w:snapToGrid/>
      </w:pPr>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pPr>
        <w:snapToGrid/>
      </w:pPr>
      <w:rPr>
        <w:b/>
        <w:color w:val="808080" w:themeColor="text1" w:themeTint="80"/>
        <w14:textFill>
          <w14:solidFill>
            <w14:schemeClr w14:val="tx1">
              <w14:lumMod w14:val="50000"/>
              <w14:lumOff w14:val="50000"/>
            </w14:schemeClr>
          </w14:solidFill>
        </w14:textFill>
      </w:rPr>
    </w:tblStylePr>
    <w:tblStylePr w:type="firstCol">
      <w:pPr>
        <w:snapToGrid/>
      </w:pPr>
      <w:rPr>
        <w:b/>
        <w:color w:val="808080" w:themeColor="text1" w:themeTint="80"/>
        <w14:textFill>
          <w14:solidFill>
            <w14:schemeClr w14:val="tx1">
              <w14:lumMod w14:val="50000"/>
              <w14:lumOff w14:val="50000"/>
            </w14:schemeClr>
          </w14:solidFill>
        </w14:textFill>
      </w:rPr>
    </w:tblStylePr>
    <w:tblStylePr w:type="lastCol">
      <w:pPr>
        <w:snapToGrid/>
      </w:pPr>
      <w:rPr>
        <w:b/>
        <w:color w:val="808080" w:themeColor="text1" w:themeTint="80"/>
        <w14:textFill>
          <w14:solidFill>
            <w14:schemeClr w14:val="tx1">
              <w14:lumMod w14:val="50000"/>
              <w14:lumOff w14:val="50000"/>
            </w14:schemeClr>
          </w14:solidFill>
        </w14:textFill>
      </w:rPr>
    </w:tblStylePr>
    <w:tblStylePr w:type="band1Vert">
      <w:pPr>
        <w:snapToGrid/>
      </w:pPr>
      <w:tcPr>
        <w:shd w:val="clear" w:color="FFFFFF" w:fill="CACACA" w:themeFill="text1" w:themeFillTint="34"/>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CACACA" w:themeFill="text1" w:themeFillTint="34"/>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pPr>
        <w:snapToGrid/>
      </w:pPr>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pPr>
        <w:snapToGrid/>
      </w:pPr>
      <w:rPr>
        <w:b/>
        <w:color w:val="A7C0DE" w:themeColor="accent1" w:themeTint="80"/>
        <w14:textFill>
          <w14:solidFill>
            <w14:schemeClr w14:val="accent1">
              <w14:lumMod w14:val="50000"/>
              <w14:lumOff w14:val="50000"/>
            </w14:schemeClr>
          </w14:solidFill>
        </w14:textFill>
      </w:rPr>
    </w:tblStylePr>
    <w:tblStylePr w:type="firstCol">
      <w:pPr>
        <w:snapToGrid/>
      </w:pPr>
      <w:rPr>
        <w:b/>
        <w:color w:val="A7C0DE" w:themeColor="accent1" w:themeTint="80"/>
        <w14:textFill>
          <w14:solidFill>
            <w14:schemeClr w14:val="accent1">
              <w14:lumMod w14:val="50000"/>
              <w14:lumOff w14:val="50000"/>
            </w14:schemeClr>
          </w14:solidFill>
        </w14:textFill>
      </w:rPr>
    </w:tblStylePr>
    <w:tblStylePr w:type="lastCol">
      <w:pPr>
        <w:snapToGrid/>
      </w:pPr>
      <w:rPr>
        <w:b/>
        <w:color w:val="A7C0DE" w:themeColor="accent1" w:themeTint="80"/>
        <w14:textFill>
          <w14:solidFill>
            <w14:schemeClr w14:val="accent1">
              <w14:lumMod w14:val="50000"/>
              <w14:lumOff w14:val="50000"/>
            </w14:schemeClr>
          </w14:solidFill>
        </w14:textFill>
      </w:rPr>
    </w:tblStylePr>
    <w:tblStylePr w:type="band1Vert">
      <w:pPr>
        <w:snapToGrid/>
      </w:pPr>
      <w:tcPr>
        <w:shd w:val="clear" w:color="FFFFFF"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FFFFFF"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FFFFF"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pPr>
        <w:snapToGrid/>
      </w:pPr>
      <w:rPr>
        <w:b/>
        <w:color w:val="9BBB59" w:themeColor="accent3"/>
        <w14:textFill>
          <w14:solidFill>
            <w14:schemeClr w14:val="accent3"/>
          </w14:solidFill>
        </w14:textFill>
      </w:rPr>
      <w:tcPr>
        <w:tcBorders>
          <w:bottom w:val="single" w:color="9BBB59" w:themeColor="accent3" w:themeTint="FE" w:sz="12" w:space="0"/>
        </w:tcBorders>
      </w:tcPr>
    </w:tblStylePr>
    <w:tblStylePr w:type="lastRow">
      <w:pPr>
        <w:snapToGrid/>
      </w:pPr>
      <w:rPr>
        <w:b/>
        <w:color w:val="9BBB59" w:themeColor="accent3"/>
        <w14:textFill>
          <w14:solidFill>
            <w14:schemeClr w14:val="accent3"/>
          </w14:solidFill>
        </w14:textFill>
      </w:rPr>
    </w:tblStylePr>
    <w:tblStylePr w:type="firstCol">
      <w:pPr>
        <w:snapToGrid/>
      </w:pPr>
      <w:rPr>
        <w:b/>
        <w:color w:val="9BBB59" w:themeColor="accent3"/>
        <w14:textFill>
          <w14:solidFill>
            <w14:schemeClr w14:val="accent3"/>
          </w14:solidFill>
        </w14:textFill>
      </w:rPr>
    </w:tblStylePr>
    <w:tblStylePr w:type="lastCol">
      <w:pPr>
        <w:snapToGrid/>
      </w:pPr>
      <w:rPr>
        <w:b/>
        <w:color w:val="9BBB59" w:themeColor="accent3"/>
        <w14:textFill>
          <w14:solidFill>
            <w14:schemeClr w14:val="accent3"/>
          </w14:solidFill>
        </w14:textFill>
      </w:rPr>
    </w:tblStylePr>
    <w:tblStylePr w:type="band1Vert">
      <w:pPr>
        <w:snapToGrid/>
      </w:pPr>
      <w:tcPr>
        <w:shd w:val="clear" w:color="FFFFFF"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FFFFFF"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FFFFFF"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pPr>
        <w:snapToGrid/>
      </w:pPr>
      <w:rPr>
        <w:b/>
        <w:color w:val="266778" w:themeColor="accent5" w:themeShade="94"/>
      </w:rPr>
      <w:tcPr>
        <w:tcBorders>
          <w:bottom w:val="single" w:color="4BACC6" w:themeColor="accent5"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FFFFF"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pPr>
        <w:snapToGrid/>
      </w:pPr>
      <w:rPr>
        <w:b/>
        <w:color w:val="266778" w:themeColor="accent5" w:themeShade="94"/>
      </w:rPr>
      <w:tcPr>
        <w:tcBorders>
          <w:bottom w:val="single" w:color="F79646" w:themeColor="accent6" w:sz="12" w:space="0"/>
        </w:tcBorders>
      </w:tcPr>
    </w:tblStylePr>
    <w:tblStylePr w:type="lastRow">
      <w:pPr>
        <w:snapToGrid/>
      </w:pPr>
      <w:rPr>
        <w:b/>
        <w:color w:val="266778" w:themeColor="accent5" w:themeShade="94"/>
      </w:rPr>
    </w:tblStylePr>
    <w:tblStylePr w:type="firstCol">
      <w:pPr>
        <w:snapToGrid/>
      </w:pPr>
      <w:rPr>
        <w:b/>
        <w:color w:val="266778" w:themeColor="accent5" w:themeShade="94"/>
      </w:rPr>
    </w:tblStylePr>
    <w:tblStylePr w:type="lastCol">
      <w:pPr>
        <w:snapToGrid/>
      </w:pPr>
      <w:rPr>
        <w:b/>
        <w:color w:val="266778" w:themeColor="accent5" w:themeShade="94"/>
      </w:rPr>
    </w:tblStylePr>
    <w:tblStylePr w:type="band1Vert">
      <w:pPr>
        <w:snapToGrid/>
      </w:pPr>
      <w:tcPr>
        <w:shd w:val="clear" w:color="FFFFFF" w:fill="FDE9D9" w:themeFill="accent6"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FDE9D9" w:themeFill="accent6"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FFFFF" w:fill="F1F1F1" w:themeFill="text1" w:themeFillTint="0D"/>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F1F1F1" w:themeFill="text1" w:themeFillTint="0D"/>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fill="FFFFFF" w:themeFill="light1"/>
      </w:tcPr>
    </w:tblStylePr>
    <w:tblStylePr w:type="lastRow">
      <w:pPr>
        <w:snapToGrid/>
      </w:pPr>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fill="FFFFFF" w:themeFill="light1"/>
      </w:tcPr>
    </w:tblStylePr>
    <w:tblStylePr w:type="firstCol">
      <w:pPr>
        <w:snapToGrid/>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FFFFFF"/>
      </w:tcPr>
    </w:tblStylePr>
    <w:tblStylePr w:type="lastCol">
      <w:pPr>
        <w:snapToGrid/>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FFFFFF"/>
      </w:tcPr>
    </w:tblStylePr>
    <w:tblStylePr w:type="band1Vert">
      <w:pPr>
        <w:snapToGrid/>
      </w:pPr>
      <w:tcPr>
        <w:shd w:val="clear" w:color="FFFFFF" w:fill="DBE5F1" w:themeFill="accent1" w:themeFillTint="34"/>
      </w:tcPr>
    </w:tblStylePr>
    <w:tblStylePr w:type="band2Vert">
      <w:pPr>
        <w:snapToGrid/>
      </w:pPr>
    </w:tblStylePr>
    <w:tblStylePr w:type="band1Horz">
      <w:pPr>
        <w:snapToGrid/>
      </w:pPr>
      <w:rPr>
        <w:rFonts w:ascii="Arial" w:hAnsi="Arial"/>
        <w:color w:val="A7C0DE" w:themeColor="accent1" w:themeTint="80"/>
        <w:sz w:val="22"/>
        <w14:textFill>
          <w14:solidFill>
            <w14:schemeClr w14:val="accent1">
              <w14:lumMod w14:val="50000"/>
              <w14:lumOff w14:val="50000"/>
            </w14:schemeClr>
          </w14:solidFill>
        </w14:textFill>
      </w:rPr>
      <w:tcPr>
        <w:shd w:val="clear" w:color="FFFFFF" w:fill="DBE5F1" w:themeFill="accent1" w:themeFillTint="34"/>
      </w:tcPr>
    </w:tblStylePr>
    <w:tblStylePr w:type="band2Horz">
      <w:pPr>
        <w:snapToGrid/>
      </w:pPr>
      <w:rPr>
        <w:rFonts w:ascii="Arial" w:hAnsi="Arial"/>
        <w:color w:val="A7C0DE" w:themeColor="accent1" w:themeTint="80"/>
        <w:sz w:val="22"/>
        <w14:textFill>
          <w14:solidFill>
            <w14:schemeClr w14:val="accent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FFFFF" w:fill="F2DCDC" w:themeFill="accent2" w:themeFillTint="32"/>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F2DCDC" w:themeFill="accent2" w:themeFillTint="32"/>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pPr>
        <w:snapToGrid/>
      </w:pPr>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fill="FFFFFF" w:themeFill="light1"/>
      </w:tcPr>
    </w:tblStylePr>
    <w:tblStylePr w:type="lastRow">
      <w:pPr>
        <w:snapToGrid/>
      </w:pPr>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fill="FFFFFF" w:themeFill="light1"/>
      </w:tcPr>
    </w:tblStylePr>
    <w:tblStylePr w:type="firstCol">
      <w:pPr>
        <w:snapToGrid/>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FFFFFF"/>
      </w:tcPr>
    </w:tblStylePr>
    <w:tblStylePr w:type="lastCol">
      <w:pPr>
        <w:snapToGrid/>
      </w:pPr>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FFFFFF"/>
      </w:tcPr>
    </w:tblStylePr>
    <w:tblStylePr w:type="band1Vert">
      <w:pPr>
        <w:snapToGrid/>
      </w:pPr>
      <w:tcPr>
        <w:shd w:val="clear" w:color="FFFFFF" w:fill="EAF1DD" w:themeFill="accent3" w:themeFillTint="34"/>
      </w:tcPr>
    </w:tblStylePr>
    <w:tblStylePr w:type="band2Vert">
      <w:pPr>
        <w:snapToGrid/>
      </w:pPr>
    </w:tblStylePr>
    <w:tblStylePr w:type="band1Horz">
      <w:pPr>
        <w:snapToGrid/>
      </w:pPr>
      <w:rPr>
        <w:rFonts w:ascii="Arial" w:hAnsi="Arial"/>
        <w:color w:val="9BBB59" w:themeColor="accent3"/>
        <w:sz w:val="22"/>
        <w14:textFill>
          <w14:solidFill>
            <w14:schemeClr w14:val="accent3"/>
          </w14:solidFill>
        </w14:textFill>
      </w:rPr>
      <w:tcPr>
        <w:shd w:val="clear" w:color="FFFFFF" w:fill="EAF1DD" w:themeFill="accent3" w:themeFillTint="34"/>
      </w:tcPr>
    </w:tblStylePr>
    <w:tblStylePr w:type="band2Horz">
      <w:pPr>
        <w:snapToGrid/>
      </w:pPr>
      <w:rPr>
        <w:rFonts w:ascii="Arial" w:hAnsi="Arial"/>
        <w:color w:val="9BBB59" w:themeColor="accent3"/>
        <w:sz w:val="22"/>
        <w14:textFill>
          <w14:solidFill>
            <w14:schemeClr w14:val="accent3"/>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FFFFFF" w:fill="E5DFEC" w:themeFill="accent4" w:themeFillTint="34"/>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E5DFEC" w:themeFill="accent4" w:themeFillTint="34"/>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pPr>
        <w:snapToGrid/>
      </w:pPr>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fill="FFFFFF" w:themeFill="light1"/>
      </w:tcPr>
    </w:tblStylePr>
    <w:tblStylePr w:type="lastRow">
      <w:pPr>
        <w:snapToGrid/>
      </w:pPr>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fill="FFFFFF" w:themeFill="light1"/>
      </w:tcPr>
    </w:tblStylePr>
    <w:tblStylePr w:type="firstCol">
      <w:pPr>
        <w:snapToGrid/>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FFFFFF"/>
      </w:tcPr>
    </w:tblStylePr>
    <w:tblStylePr w:type="lastCol">
      <w:pPr>
        <w:snapToGrid/>
      </w:pPr>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FFFFFF"/>
      </w:tcPr>
    </w:tblStylePr>
    <w:tblStylePr w:type="band1Vert">
      <w:pPr>
        <w:snapToGrid/>
      </w:pPr>
      <w:tcPr>
        <w:shd w:val="clear" w:color="FFFFFF" w:fill="DAEEF3" w:themeFill="accent5" w:themeFillTint="34"/>
      </w:tcPr>
    </w:tblStylePr>
    <w:tblStylePr w:type="band2Vert">
      <w:pPr>
        <w:snapToGrid/>
      </w:pPr>
    </w:tblStylePr>
    <w:tblStylePr w:type="band1Horz">
      <w:pPr>
        <w:snapToGrid/>
      </w:pPr>
      <w:rPr>
        <w:rFonts w:ascii="Arial" w:hAnsi="Arial"/>
        <w:color w:val="266778" w:themeColor="accent5" w:themeShade="94"/>
        <w:sz w:val="22"/>
      </w:rPr>
      <w:tcPr>
        <w:shd w:val="clear" w:color="FFFFFF" w:fill="DAEEF3" w:themeFill="accent5" w:themeFillTint="34"/>
      </w:tcPr>
    </w:tblStylePr>
    <w:tblStylePr w:type="band2Horz">
      <w:pPr>
        <w:snapToGrid/>
      </w:pPr>
      <w:rPr>
        <w:rFonts w:ascii="Arial" w:hAnsi="Arial"/>
        <w:color w:val="266778" w:themeColor="accent5"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pPr>
        <w:snapToGrid/>
      </w:pPr>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fill="FFFFFF" w:themeFill="light1"/>
      </w:tcPr>
    </w:tblStylePr>
    <w:tblStylePr w:type="lastRow">
      <w:pPr>
        <w:snapToGrid/>
      </w:pPr>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fill="FFFFFF" w:themeFill="light1"/>
      </w:tcPr>
    </w:tblStylePr>
    <w:tblStylePr w:type="firstCol">
      <w:pPr>
        <w:snapToGrid/>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FFFFFF"/>
      </w:tcPr>
    </w:tblStylePr>
    <w:tblStylePr w:type="lastCol">
      <w:pPr>
        <w:snapToGrid/>
      </w:pPr>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FFFFFF"/>
      </w:tcPr>
    </w:tblStylePr>
    <w:tblStylePr w:type="band1Vert">
      <w:pPr>
        <w:snapToGrid/>
      </w:pPr>
      <w:tcPr>
        <w:shd w:val="clear" w:color="FFFFFF" w:fill="FDE9D9" w:themeFill="accent6" w:themeFillTint="34"/>
      </w:tcPr>
    </w:tblStylePr>
    <w:tblStylePr w:type="band2Vert">
      <w:pPr>
        <w:snapToGrid/>
      </w:pPr>
    </w:tblStylePr>
    <w:tblStylePr w:type="band1Horz">
      <w:pPr>
        <w:snapToGrid/>
      </w:pPr>
      <w:rPr>
        <w:rFonts w:ascii="Arial" w:hAnsi="Arial"/>
        <w:color w:val="B05408" w:themeColor="accent6" w:themeShade="94"/>
        <w:sz w:val="22"/>
      </w:rPr>
      <w:tcPr>
        <w:shd w:val="clear" w:color="FFFFFF" w:fill="FDE9D9" w:themeFill="accent6" w:themeFillTint="34"/>
      </w:tcPr>
    </w:tblStylePr>
    <w:tblStylePr w:type="band2Horz">
      <w:pPr>
        <w:snapToGrid/>
      </w:pPr>
      <w:rPr>
        <w:rFonts w:ascii="Arial" w:hAnsi="Arial"/>
        <w:color w:val="B05408" w:themeColor="accent6"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3">
    <w:name w:val="清单表 1 浅色1"/>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000000" w:themeColor="text1" w:sz="4" w:space="0"/>
          <w:right w:val="nil"/>
        </w:tcBorders>
      </w:tcPr>
    </w:tblStylePr>
    <w:tblStylePr w:type="lastRow">
      <w:pPr>
        <w:snapToGrid/>
      </w:pPr>
      <w:rPr>
        <w:b/>
        <w:color w:val="404040"/>
      </w:rPr>
      <w:tcPr>
        <w:tcBorders>
          <w:top w:val="single" w:color="000000" w:themeColor="tex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BEBEBE" w:themeFill="text1" w:themeFillTint="40"/>
      </w:tcPr>
    </w:tblStylePr>
    <w:tblStylePr w:type="band2Vert">
      <w:pPr>
        <w:snapToGrid/>
      </w:pPr>
    </w:tblStylePr>
    <w:tblStylePr w:type="band1Horz">
      <w:pPr>
        <w:snapToGrid/>
      </w:p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4">
    <w:name w:val="List Table 1 Light - Accent 1"/>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4F81BD" w:themeColor="accent1" w:sz="4" w:space="0"/>
          <w:right w:val="nil"/>
        </w:tcBorders>
      </w:tcPr>
    </w:tblStylePr>
    <w:tblStylePr w:type="lastRow">
      <w:pPr>
        <w:snapToGrid/>
      </w:pPr>
      <w:rPr>
        <w:b/>
        <w:color w:val="404040"/>
      </w:rPr>
      <w:tcPr>
        <w:tcBorders>
          <w:top w:val="single" w:color="4F81BD" w:themeColor="accen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2DFEE" w:themeFill="accent1" w:themeFillTint="40"/>
      </w:tcPr>
    </w:tblStylePr>
    <w:tblStylePr w:type="band2Vert">
      <w:pPr>
        <w:snapToGrid/>
      </w:pPr>
    </w:tblStylePr>
    <w:tblStylePr w:type="band1Horz">
      <w:pPr>
        <w:snapToGrid/>
      </w:p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5">
    <w:name w:val="List Table 1 Light - Accent 2"/>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C0504D" w:themeColor="accent2" w:sz="4" w:space="0"/>
          <w:right w:val="nil"/>
        </w:tcBorders>
      </w:tcPr>
    </w:tblStylePr>
    <w:tblStylePr w:type="lastRow">
      <w:pPr>
        <w:snapToGrid/>
      </w:pPr>
      <w:rPr>
        <w:b/>
        <w:color w:val="404040"/>
      </w:rPr>
      <w:tcPr>
        <w:tcBorders>
          <w:top w:val="single" w:color="C0504D" w:themeColor="accent2"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EFD3D2" w:themeFill="accent2" w:themeFillTint="40"/>
      </w:tcPr>
    </w:tblStylePr>
    <w:tblStylePr w:type="band2Vert">
      <w:pPr>
        <w:snapToGrid/>
      </w:pPr>
    </w:tblStylePr>
    <w:tblStylePr w:type="band1Horz">
      <w:pPr>
        <w:snapToGrid/>
      </w:p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6">
    <w:name w:val="List Table 1 Light - Accent 3"/>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9BBB59" w:themeColor="accent3" w:sz="4" w:space="0"/>
          <w:right w:val="nil"/>
        </w:tcBorders>
      </w:tcPr>
    </w:tblStylePr>
    <w:tblStylePr w:type="lastRow">
      <w:pPr>
        <w:snapToGrid/>
      </w:pPr>
      <w:rPr>
        <w:b/>
        <w:color w:val="404040"/>
      </w:rPr>
      <w:tcPr>
        <w:tcBorders>
          <w:top w:val="single" w:color="9BBB59" w:themeColor="accent3"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E5EDD5" w:themeFill="accent3" w:themeFillTint="40"/>
      </w:tcPr>
    </w:tblStylePr>
    <w:tblStylePr w:type="band2Vert">
      <w:pPr>
        <w:snapToGrid/>
      </w:pPr>
    </w:tblStylePr>
    <w:tblStylePr w:type="band1Horz">
      <w:pPr>
        <w:snapToGrid/>
      </w:p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7">
    <w:name w:val="List Table 1 Light - Accent 4"/>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8064A2" w:themeColor="accent4" w:sz="4" w:space="0"/>
          <w:right w:val="nil"/>
        </w:tcBorders>
      </w:tcPr>
    </w:tblStylePr>
    <w:tblStylePr w:type="lastRow">
      <w:pPr>
        <w:snapToGrid/>
      </w:pPr>
      <w:rPr>
        <w:b/>
        <w:color w:val="404040"/>
      </w:rPr>
      <w:tcPr>
        <w:tcBorders>
          <w:top w:val="single" w:color="8064A2" w:themeColor="accent4"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FD8E7" w:themeFill="accent4" w:themeFillTint="40"/>
      </w:tcPr>
    </w:tblStylePr>
    <w:tblStylePr w:type="band2Vert">
      <w:pPr>
        <w:snapToGrid/>
      </w:pPr>
    </w:tblStylePr>
    <w:tblStylePr w:type="band1Horz">
      <w:pPr>
        <w:snapToGrid/>
      </w:p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8">
    <w:name w:val="List Table 1 Light - Accent 5"/>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4BACC6" w:themeColor="accent5" w:sz="4" w:space="0"/>
          <w:right w:val="nil"/>
        </w:tcBorders>
      </w:tcPr>
    </w:tblStylePr>
    <w:tblStylePr w:type="lastRow">
      <w:pPr>
        <w:snapToGrid/>
      </w:pPr>
      <w:rPr>
        <w:b/>
        <w:color w:val="404040"/>
      </w:rPr>
      <w:tcPr>
        <w:tcBorders>
          <w:top w:val="single" w:color="4BACC6" w:themeColor="accent5"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D1EAF0" w:themeFill="accent5" w:themeFillTint="40"/>
      </w:tcPr>
    </w:tblStylePr>
    <w:tblStylePr w:type="band2Vert">
      <w:pPr>
        <w:snapToGrid/>
      </w:pPr>
    </w:tblStylePr>
    <w:tblStylePr w:type="band1Horz">
      <w:pPr>
        <w:snapToGrid/>
      </w:p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9">
    <w:name w:val="List Table 1 Light - Accent 6"/>
    <w:qFormat/>
    <w:uiPriority w:val="99"/>
    <w:tblPr>
      <w:tblCellMar>
        <w:top w:w="0" w:type="dxa"/>
        <w:left w:w="0" w:type="dxa"/>
        <w:bottom w:w="0" w:type="dxa"/>
        <w:right w:w="0" w:type="dxa"/>
      </w:tblCellMar>
    </w:tblPr>
    <w:tblStylePr w:type="firstRow">
      <w:pPr>
        <w:snapToGrid/>
      </w:pPr>
      <w:rPr>
        <w:b/>
        <w:color w:val="404040"/>
      </w:rPr>
      <w:tcPr>
        <w:tcBorders>
          <w:top w:val="nil"/>
          <w:left w:val="nil"/>
          <w:bottom w:val="single" w:color="F79646" w:themeColor="accent6" w:sz="4" w:space="0"/>
          <w:right w:val="nil"/>
        </w:tcBorders>
      </w:tcPr>
    </w:tblStylePr>
    <w:tblStylePr w:type="lastRow">
      <w:pPr>
        <w:snapToGrid/>
      </w:pPr>
      <w:rPr>
        <w:b/>
        <w:color w:val="404040"/>
      </w:rPr>
      <w:tcPr>
        <w:tcBorders>
          <w:top w:val="single" w:color="F79646" w:themeColor="accent6"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FFFFFF" w:fill="FCE4D0" w:themeFill="accent6" w:themeFillTint="40"/>
      </w:tcPr>
    </w:tblStylePr>
    <w:tblStylePr w:type="band2Vert">
      <w:pPr>
        <w:snapToGrid/>
      </w:pPr>
    </w:tblStylePr>
    <w:tblStylePr w:type="band1Horz">
      <w:pPr>
        <w:snapToGrid/>
      </w:p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BEBEBE" w:themeFill="text1" w:themeFillTint="40"/>
      </w:tcPr>
    </w:tblStylePr>
    <w:tblStylePr w:type="band2Vert">
      <w:pPr>
        <w:snapToGrid/>
      </w:pPr>
    </w:tblStylePr>
    <w:tblStylePr w:type="band1Horz">
      <w:pPr>
        <w:snapToGrid/>
      </w:pPr>
      <w:rPr>
        <w:rFonts w:ascii="Arial" w:hAnsi="Arial"/>
        <w:color w:val="404040"/>
        <w:sz w:val="22"/>
      </w:r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pPr>
        <w:snapToGrid/>
      </w:pPr>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2DFEE" w:themeFill="accent1" w:themeFillTint="40"/>
      </w:tcPr>
    </w:tblStylePr>
    <w:tblStylePr w:type="band2Vert">
      <w:pPr>
        <w:snapToGrid/>
      </w:pPr>
    </w:tblStylePr>
    <w:tblStylePr w:type="band1Horz">
      <w:pPr>
        <w:snapToGrid/>
      </w:pPr>
      <w:rPr>
        <w:rFonts w:ascii="Arial" w:hAnsi="Arial"/>
        <w:color w:val="404040"/>
        <w:sz w:val="22"/>
      </w:r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pPr>
        <w:snapToGrid/>
      </w:pPr>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EFD3D2" w:themeFill="accent2" w:themeFillTint="40"/>
      </w:tcPr>
    </w:tblStylePr>
    <w:tblStylePr w:type="band2Vert">
      <w:pPr>
        <w:snapToGrid/>
      </w:pPr>
    </w:tblStylePr>
    <w:tblStylePr w:type="band1Horz">
      <w:pPr>
        <w:snapToGrid/>
      </w:pPr>
      <w:rPr>
        <w:rFonts w:ascii="Arial" w:hAnsi="Arial"/>
        <w:color w:val="404040"/>
        <w:sz w:val="22"/>
      </w:r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pPr>
        <w:snapToGrid/>
      </w:pPr>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E5EDD5" w:themeFill="accent3" w:themeFillTint="40"/>
      </w:tcPr>
    </w:tblStylePr>
    <w:tblStylePr w:type="band2Vert">
      <w:pPr>
        <w:snapToGrid/>
      </w:pPr>
    </w:tblStylePr>
    <w:tblStylePr w:type="band1Horz">
      <w:pPr>
        <w:snapToGrid/>
      </w:pPr>
      <w:rPr>
        <w:rFonts w:ascii="Arial" w:hAnsi="Arial"/>
        <w:color w:val="404040"/>
        <w:sz w:val="22"/>
      </w:r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pPr>
        <w:snapToGrid/>
      </w:pPr>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FD8E7" w:themeFill="accent4" w:themeFillTint="40"/>
      </w:tcPr>
    </w:tblStylePr>
    <w:tblStylePr w:type="band2Vert">
      <w:pPr>
        <w:snapToGrid/>
      </w:pPr>
    </w:tblStylePr>
    <w:tblStylePr w:type="band1Horz">
      <w:pPr>
        <w:snapToGrid/>
      </w:pPr>
      <w:rPr>
        <w:rFonts w:ascii="Arial" w:hAnsi="Arial"/>
        <w:color w:val="404040"/>
        <w:sz w:val="22"/>
      </w:r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pPr>
        <w:snapToGrid/>
      </w:pPr>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D1EAF0" w:themeFill="accent5" w:themeFillTint="40"/>
      </w:tcPr>
    </w:tblStylePr>
    <w:tblStylePr w:type="band2Vert">
      <w:pPr>
        <w:snapToGrid/>
      </w:pPr>
    </w:tblStylePr>
    <w:tblStylePr w:type="band1Horz">
      <w:pPr>
        <w:snapToGrid/>
      </w:pPr>
      <w:rPr>
        <w:rFonts w:ascii="Arial" w:hAnsi="Arial"/>
        <w:color w:val="404040"/>
        <w:sz w:val="22"/>
      </w:r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pPr>
        <w:snapToGrid/>
      </w:pPr>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FFFFFF" w:fill="FCE4D0" w:themeFill="accent6" w:themeFillTint="40"/>
      </w:tcPr>
    </w:tblStylePr>
    <w:tblStylePr w:type="band2Vert">
      <w:pPr>
        <w:snapToGrid/>
      </w:pPr>
    </w:tblStylePr>
    <w:tblStylePr w:type="band1Horz">
      <w:pPr>
        <w:snapToGrid/>
      </w:pPr>
      <w:rPr>
        <w:rFonts w:ascii="Arial" w:hAnsi="Arial"/>
        <w:color w:val="404040"/>
        <w:sz w:val="22"/>
      </w:r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000000" w:themeColor="text1" w:sz="4" w:space="0"/>
          <w:right w:val="single" w:color="000000" w:themeColor="text1" w:sz="4" w:space="0"/>
        </w:tcBorders>
      </w:tcPr>
    </w:tblStylePr>
    <w:tblStylePr w:type="band2Vert">
      <w:pPr>
        <w:snapToGrid/>
      </w:pPr>
    </w:tblStylePr>
    <w:tblStylePr w:type="band1Horz">
      <w:pPr>
        <w:snapToGrid/>
      </w:pPr>
      <w:rPr>
        <w:rFonts w:ascii="Arial" w:hAnsi="Arial"/>
        <w:color w:val="404040"/>
        <w:sz w:val="22"/>
      </w:r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4F81BD" w:themeColor="accent1" w:sz="4" w:space="0"/>
          <w:right w:val="single" w:color="4F81BD" w:themeColor="accent1" w:sz="4" w:space="0"/>
        </w:tcBorders>
      </w:tcPr>
    </w:tblStylePr>
    <w:tblStylePr w:type="band2Vert">
      <w:pPr>
        <w:snapToGrid/>
      </w:pPr>
    </w:tblStylePr>
    <w:tblStylePr w:type="band1Horz">
      <w:pPr>
        <w:snapToGrid/>
      </w:pPr>
      <w:rPr>
        <w:rFonts w:ascii="Arial" w:hAnsi="Arial"/>
        <w:color w:val="404040"/>
        <w:sz w:val="22"/>
      </w:rPr>
      <w:tcPr>
        <w:tcBorders>
          <w:top w:val="single" w:color="4F81BD" w:themeColor="accent1" w:sz="4" w:space="0"/>
          <w:bottom w:val="single" w:color="4F81BD" w:themeColor="accen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D99795" w:themeFill="accent2" w:themeFillTint="97"/>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pPr>
        <w:snapToGrid/>
      </w:pPr>
    </w:tblStylePr>
    <w:tblStylePr w:type="band1Horz">
      <w:pPr>
        <w:snapToGrid/>
      </w:pPr>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C3D69C" w:themeFill="accent3"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pPr>
        <w:snapToGrid/>
      </w:pPr>
    </w:tblStylePr>
    <w:tblStylePr w:type="band1Horz">
      <w:pPr>
        <w:snapToGrid/>
      </w:pPr>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B2A1C6" w:themeFill="accent4"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pPr>
        <w:snapToGrid/>
      </w:pPr>
    </w:tblStylePr>
    <w:tblStylePr w:type="band1Horz">
      <w:pPr>
        <w:snapToGrid/>
      </w:pPr>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92CCDC" w:themeFill="accent5"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pPr>
        <w:snapToGrid/>
      </w:pPr>
    </w:tblStylePr>
    <w:tblStylePr w:type="band1Horz">
      <w:pPr>
        <w:snapToGrid/>
      </w:pPr>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FAC090" w:themeFill="accent6"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pPr>
        <w:snapToGrid/>
      </w:pPr>
    </w:tblStylePr>
    <w:tblStylePr w:type="band1Horz">
      <w:pPr>
        <w:snapToGrid/>
      </w:pPr>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BEBEBE" w:themeFill="text1" w:themeFillTint="40"/>
      </w:tcPr>
    </w:tblStylePr>
    <w:tblStylePr w:type="band2Vert">
      <w:pPr>
        <w:snapToGrid/>
      </w:pPr>
    </w:tblStylePr>
    <w:tblStylePr w:type="band1Horz">
      <w:pPr>
        <w:snapToGrid/>
      </w:pPr>
      <w:rPr>
        <w:rFonts w:ascii="Arial" w:hAnsi="Arial"/>
        <w:color w:val="404040"/>
        <w:sz w:val="22"/>
      </w:rPr>
      <w:tcPr>
        <w:shd w:val="clear" w:color="FFFFFF"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4F81BD"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2DFEE" w:themeFill="accent1" w:themeFillTint="40"/>
      </w:tcPr>
    </w:tblStylePr>
    <w:tblStylePr w:type="band2Vert">
      <w:pPr>
        <w:snapToGrid/>
      </w:pPr>
    </w:tblStylePr>
    <w:tblStylePr w:type="band1Horz">
      <w:pPr>
        <w:snapToGrid/>
      </w:pPr>
      <w:rPr>
        <w:rFonts w:ascii="Arial" w:hAnsi="Arial"/>
        <w:color w:val="404040"/>
        <w:sz w:val="22"/>
      </w:rPr>
      <w:tcPr>
        <w:shd w:val="clear" w:color="FFFFFF" w:fill="D2DFEE"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C0504D" w:themeFill="accent2"/>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FD3D2" w:themeFill="accent2" w:themeFillTint="40"/>
      </w:tcPr>
    </w:tblStylePr>
    <w:tblStylePr w:type="band2Vert">
      <w:pPr>
        <w:snapToGrid/>
      </w:pPr>
    </w:tblStylePr>
    <w:tblStylePr w:type="band1Horz">
      <w:pPr>
        <w:snapToGrid/>
      </w:pPr>
      <w:rPr>
        <w:rFonts w:ascii="Arial" w:hAnsi="Arial"/>
        <w:color w:val="404040"/>
        <w:sz w:val="22"/>
      </w:rPr>
      <w:tcPr>
        <w:shd w:val="clear" w:color="FFFFFF" w:fill="EFD3D2"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9BBB59" w:themeFill="accent3"/>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E5EDD5" w:themeFill="accent3" w:themeFillTint="40"/>
      </w:tcPr>
    </w:tblStylePr>
    <w:tblStylePr w:type="band2Vert">
      <w:pPr>
        <w:snapToGrid/>
      </w:pPr>
    </w:tblStylePr>
    <w:tblStylePr w:type="band1Horz">
      <w:pPr>
        <w:snapToGrid/>
      </w:pPr>
      <w:rPr>
        <w:rFonts w:ascii="Arial" w:hAnsi="Arial"/>
        <w:color w:val="404040"/>
        <w:sz w:val="22"/>
      </w:rPr>
      <w:tcPr>
        <w:shd w:val="clear" w:color="FFFFFF" w:fill="E5EDD5"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8064A2" w:themeFill="accent4"/>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FD8E7" w:themeFill="accent4" w:themeFillTint="40"/>
      </w:tcPr>
    </w:tblStylePr>
    <w:tblStylePr w:type="band2Vert">
      <w:pPr>
        <w:snapToGrid/>
      </w:pPr>
    </w:tblStylePr>
    <w:tblStylePr w:type="band1Horz">
      <w:pPr>
        <w:snapToGrid/>
      </w:pPr>
      <w:rPr>
        <w:rFonts w:ascii="Arial" w:hAnsi="Arial"/>
        <w:color w:val="404040"/>
        <w:sz w:val="22"/>
      </w:rPr>
      <w:tcPr>
        <w:shd w:val="clear" w:color="FFFFFF" w:fill="DFD8E7"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4BACC6" w:themeFill="accent5"/>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D1EAF0" w:themeFill="accent5" w:themeFillTint="40"/>
      </w:tcPr>
    </w:tblStylePr>
    <w:tblStylePr w:type="band2Vert">
      <w:pPr>
        <w:snapToGrid/>
      </w:pPr>
    </w:tblStylePr>
    <w:tblStylePr w:type="band1Horz">
      <w:pPr>
        <w:snapToGrid/>
      </w:pPr>
      <w:rPr>
        <w:rFonts w:ascii="Arial" w:hAnsi="Arial"/>
        <w:color w:val="404040"/>
        <w:sz w:val="22"/>
      </w:rPr>
      <w:tcPr>
        <w:shd w:val="clear" w:color="FFFFFF" w:fill="D1EA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pPr>
        <w:snapToGrid/>
      </w:pPr>
      <w:rPr>
        <w:rFonts w:ascii="Arial" w:hAnsi="Arial"/>
        <w:b/>
        <w:color w:val="FFFFFF"/>
        <w:sz w:val="22"/>
      </w:rPr>
      <w:tcPr>
        <w:shd w:val="clear" w:color="FFFFFF" w:fill="F79646" w:themeFill="accent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FFFFFF" w:fill="FCE4D0" w:themeFill="accent6" w:themeFillTint="40"/>
      </w:tcPr>
    </w:tblStylePr>
    <w:tblStylePr w:type="band2Vert">
      <w:pPr>
        <w:snapToGrid/>
      </w:pPr>
    </w:tblStylePr>
    <w:tblStylePr w:type="band1Horz">
      <w:pPr>
        <w:snapToGrid/>
      </w:pPr>
      <w:rPr>
        <w:rFonts w:ascii="Arial" w:hAnsi="Arial"/>
        <w:color w:val="404040"/>
        <w:sz w:val="22"/>
      </w:rPr>
      <w:tcPr>
        <w:shd w:val="clear" w:color="FFFFFF" w:fill="FCE4D0"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FFFFFF" w:fill="7E7E7E" w:themeFill="text1" w:themeFillTint="80"/>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pPr>
        <w:snapToGrid/>
      </w:pPr>
      <w:tcPr>
        <w:tcBorders>
          <w:left w:val="single" w:color="FFFFFF" w:themeColor="light1" w:sz="4" w:space="0"/>
          <w:right w:val="single" w:color="7E7E7E" w:themeColor="text1" w:themeTint="80" w:sz="32" w:space="0"/>
        </w:tcBorders>
      </w:tcPr>
    </w:tblStylePr>
    <w:tblStylePr w:type="band1Vert">
      <w:pPr>
        <w:snapToGrid/>
      </w:pPr>
      <w:tcPr>
        <w:tcBorders>
          <w:left w:val="single" w:color="FFFFFF" w:themeColor="light1" w:sz="4" w:space="0"/>
          <w:right w:val="single" w:color="FFFFFF" w:themeColor="light1" w:sz="4" w:space="0"/>
        </w:tcBorders>
        <w:shd w:val="clear" w:color="FFFFFF" w:fill="7E7E7E" w:themeFill="text1" w:themeFillTint="80"/>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7E7E7E" w:themeFill="text1" w:themeFillTint="80"/>
      </w:tcPr>
    </w:tblStylePr>
    <w:tblStylePr w:type="band2Horz">
      <w:pPr>
        <w:snapToGrid/>
      </w:pPr>
      <w:tcPr>
        <w:tcBorders>
          <w:top w:val="single" w:color="FFFFFF" w:themeColor="light1" w:sz="4" w:space="0"/>
          <w:bottom w:val="single" w:color="FFFFFF" w:themeColor="light1" w:sz="4" w:space="0"/>
        </w:tcBorders>
        <w:shd w:val="clear" w:color="FFFFFF" w:fill="7E7E7E" w:themeFill="text1" w:themeFillTint="8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FFFFFF" w:fill="4F81BD" w:themeFill="accent1"/>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pPr>
        <w:snapToGrid/>
      </w:pPr>
      <w:tcPr>
        <w:tcBorders>
          <w:left w:val="single" w:color="FFFFFF" w:themeColor="light1" w:sz="4" w:space="0"/>
          <w:right w:val="single" w:color="4F81BD" w:themeColor="accent1" w:sz="32" w:space="0"/>
        </w:tcBorders>
      </w:tcPr>
    </w:tblStylePr>
    <w:tblStylePr w:type="band1Vert">
      <w:pPr>
        <w:snapToGrid/>
      </w:pPr>
      <w:tcPr>
        <w:tcBorders>
          <w:left w:val="single" w:color="FFFFFF" w:themeColor="light1" w:sz="4" w:space="0"/>
          <w:right w:val="single" w:color="FFFFFF" w:themeColor="light1" w:sz="4" w:space="0"/>
        </w:tcBorders>
        <w:shd w:val="clear" w:color="FFFFFF" w:fill="4F81BD" w:themeFill="accent1"/>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4F81BD" w:themeFill="accent1"/>
      </w:tcPr>
    </w:tblStylePr>
    <w:tblStylePr w:type="band2Horz">
      <w:pPr>
        <w:snapToGrid/>
      </w:pPr>
      <w:tcPr>
        <w:tcBorders>
          <w:top w:val="single" w:color="FFFFFF" w:themeColor="light1" w:sz="4" w:space="0"/>
          <w:bottom w:val="single" w:color="FFFFFF" w:themeColor="light1" w:sz="4" w:space="0"/>
        </w:tcBorders>
        <w:shd w:val="clear" w:color="FFFFFF" w:fill="4F81BD" w:themeFill="accent1"/>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FFFFFF" w:fill="D99795" w:themeFill="accent2" w:themeFillTint="97"/>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pPr>
        <w:snapToGrid/>
      </w:pPr>
      <w:tcPr>
        <w:tcBorders>
          <w:left w:val="single" w:color="FFFFFF" w:themeColor="light1" w:sz="4" w:space="0"/>
          <w:right w:val="single" w:color="D99795" w:themeColor="accent2" w:themeTint="97" w:sz="32" w:space="0"/>
        </w:tcBorders>
      </w:tcPr>
    </w:tblStylePr>
    <w:tblStylePr w:type="band1Vert">
      <w:pPr>
        <w:snapToGrid/>
      </w:pPr>
      <w:tcPr>
        <w:tcBorders>
          <w:left w:val="single" w:color="FFFFFF" w:themeColor="light1" w:sz="4" w:space="0"/>
          <w:right w:val="single" w:color="FFFFFF" w:themeColor="light1" w:sz="4" w:space="0"/>
        </w:tcBorders>
        <w:shd w:val="clear" w:color="FFFFFF" w:fill="D99795" w:themeFill="accent2" w:themeFillTint="97"/>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D99795" w:themeFill="accent2" w:themeFillTint="97"/>
      </w:tcPr>
    </w:tblStylePr>
    <w:tblStylePr w:type="band2Horz">
      <w:pPr>
        <w:snapToGrid/>
      </w:pPr>
      <w:tcPr>
        <w:tcBorders>
          <w:top w:val="single" w:color="FFFFFF" w:themeColor="light1" w:sz="4" w:space="0"/>
          <w:bottom w:val="single" w:color="FFFFFF" w:themeColor="light1" w:sz="4" w:space="0"/>
        </w:tcBorders>
        <w:shd w:val="clear" w:color="FFFFFF" w:fill="D99795" w:themeFill="accent2" w:themeFillTint="97"/>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FFFFFF" w:fill="C3D69C" w:themeFill="accent3"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pPr>
        <w:snapToGrid/>
      </w:pPr>
      <w:tcPr>
        <w:tcBorders>
          <w:left w:val="single" w:color="FFFFFF" w:themeColor="light1" w:sz="4" w:space="0"/>
          <w:right w:val="single" w:color="C3D69C" w:themeColor="accent3" w:themeTint="98" w:sz="32" w:space="0"/>
        </w:tcBorders>
      </w:tcPr>
    </w:tblStylePr>
    <w:tblStylePr w:type="band1Vert">
      <w:pPr>
        <w:snapToGrid/>
      </w:pPr>
      <w:tcPr>
        <w:tcBorders>
          <w:left w:val="single" w:color="FFFFFF" w:themeColor="light1" w:sz="4" w:space="0"/>
          <w:right w:val="single" w:color="FFFFFF" w:themeColor="light1" w:sz="4" w:space="0"/>
        </w:tcBorders>
        <w:shd w:val="clear" w:color="FFFFFF" w:fill="C3D69C" w:themeFill="accent3"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C3D69C" w:themeFill="accent3" w:themeFillTint="98"/>
      </w:tcPr>
    </w:tblStylePr>
    <w:tblStylePr w:type="band2Horz">
      <w:pPr>
        <w:snapToGrid/>
      </w:pPr>
      <w:tcPr>
        <w:tcBorders>
          <w:top w:val="single" w:color="FFFFFF" w:themeColor="light1" w:sz="4" w:space="0"/>
          <w:bottom w:val="single" w:color="FFFFFF" w:themeColor="light1" w:sz="4" w:space="0"/>
        </w:tcBorders>
        <w:shd w:val="clear" w:color="FFFFFF" w:fill="C3D69C" w:themeFill="accent3"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FFFFFF" w:fill="B2A1C6" w:themeFill="accent4"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pPr>
        <w:snapToGrid/>
      </w:pPr>
      <w:tcPr>
        <w:tcBorders>
          <w:left w:val="single" w:color="FFFFFF" w:themeColor="light1" w:sz="4" w:space="0"/>
          <w:right w:val="single" w:color="B2A1C6" w:themeColor="accent4" w:themeTint="9A" w:sz="32" w:space="0"/>
        </w:tcBorders>
      </w:tcPr>
    </w:tblStylePr>
    <w:tblStylePr w:type="band1Vert">
      <w:pPr>
        <w:snapToGrid/>
      </w:pPr>
      <w:tcPr>
        <w:tcBorders>
          <w:left w:val="single" w:color="FFFFFF" w:themeColor="light1" w:sz="4" w:space="0"/>
          <w:right w:val="single" w:color="FFFFFF" w:themeColor="light1" w:sz="4" w:space="0"/>
        </w:tcBorders>
        <w:shd w:val="clear" w:color="FFFFFF" w:fill="B2A1C6" w:themeFill="accent4"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B2A1C6" w:themeFill="accent4" w:themeFillTint="9A"/>
      </w:tcPr>
    </w:tblStylePr>
    <w:tblStylePr w:type="band2Horz">
      <w:pPr>
        <w:snapToGrid/>
      </w:pPr>
      <w:tcPr>
        <w:tcBorders>
          <w:top w:val="single" w:color="FFFFFF" w:themeColor="light1" w:sz="4" w:space="0"/>
          <w:bottom w:val="single" w:color="FFFFFF" w:themeColor="light1" w:sz="4" w:space="0"/>
        </w:tcBorders>
        <w:shd w:val="clear" w:color="FFFFFF" w:fill="B2A1C6" w:themeFill="accent4"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FFFFFF" w:fill="92CCDC" w:themeFill="accent5" w:themeFillTint="9A"/>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pPr>
        <w:snapToGrid/>
      </w:pPr>
      <w:tcPr>
        <w:tcBorders>
          <w:left w:val="single" w:color="FFFFFF" w:themeColor="light1" w:sz="4" w:space="0"/>
          <w:right w:val="single" w:color="92CCDC" w:themeColor="accent5" w:themeTint="9A" w:sz="32" w:space="0"/>
        </w:tcBorders>
      </w:tcPr>
    </w:tblStylePr>
    <w:tblStylePr w:type="band1Vert">
      <w:pPr>
        <w:snapToGrid/>
      </w:pPr>
      <w:tcPr>
        <w:tcBorders>
          <w:left w:val="single" w:color="FFFFFF" w:themeColor="light1" w:sz="4" w:space="0"/>
          <w:right w:val="single" w:color="FFFFFF" w:themeColor="light1" w:sz="4" w:space="0"/>
        </w:tcBorders>
        <w:shd w:val="clear" w:color="FFFFFF" w:fill="92CCDC" w:themeFill="accent5"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92CCDC" w:themeFill="accent5" w:themeFillTint="9A"/>
      </w:tcPr>
    </w:tblStylePr>
    <w:tblStylePr w:type="band2Horz">
      <w:pPr>
        <w:snapToGrid/>
      </w:pPr>
      <w:tcPr>
        <w:tcBorders>
          <w:top w:val="single" w:color="FFFFFF" w:themeColor="light1" w:sz="4" w:space="0"/>
          <w:bottom w:val="single" w:color="FFFFFF" w:themeColor="light1" w:sz="4" w:space="0"/>
        </w:tcBorders>
        <w:shd w:val="clear" w:color="FFFFFF" w:fill="92CCDC" w:themeFill="accent5"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pPr>
        <w:snapToGrid/>
      </w:pPr>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FFFFF" w:fill="FAC090" w:themeFill="accent6" w:themeFillTint="98"/>
      </w:tcPr>
    </w:tblStylePr>
    <w:tblStylePr w:type="lastRow">
      <w:pPr>
        <w:snapToGrid/>
      </w:pPr>
      <w:rPr>
        <w:rFonts w:ascii="Arial" w:hAnsi="Arial"/>
        <w:b/>
        <w:color w:val="FFFFFF" w:themeColor="light1"/>
        <w:sz w:val="22"/>
        <w14:textFill>
          <w14:solidFill>
            <w14:schemeClr w14:val="lt1"/>
          </w14:solidFill>
        </w14:textFill>
      </w:rPr>
    </w:tblStylePr>
    <w:tblStylePr w:type="firstCol">
      <w:pPr>
        <w:snapToGrid/>
      </w:pPr>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pPr>
        <w:snapToGrid/>
      </w:pPr>
      <w:tcPr>
        <w:tcBorders>
          <w:left w:val="single" w:color="FFFFFF" w:themeColor="light1" w:sz="4" w:space="0"/>
          <w:right w:val="single" w:color="FAC090" w:themeColor="accent6" w:themeTint="98" w:sz="32" w:space="0"/>
        </w:tcBorders>
      </w:tcPr>
    </w:tblStylePr>
    <w:tblStylePr w:type="band1Vert">
      <w:pPr>
        <w:snapToGrid/>
      </w:pPr>
      <w:tcPr>
        <w:tcBorders>
          <w:left w:val="single" w:color="FFFFFF" w:themeColor="light1" w:sz="4" w:space="0"/>
          <w:right w:val="single" w:color="FFFFFF" w:themeColor="light1" w:sz="4" w:space="0"/>
        </w:tcBorders>
        <w:shd w:val="clear" w:color="FFFFFF" w:fill="FAC090" w:themeFill="accent6"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FFFFFF" w:fill="FAC090" w:themeFill="accent6" w:themeFillTint="98"/>
      </w:tcPr>
    </w:tblStylePr>
    <w:tblStylePr w:type="band2Horz">
      <w:pPr>
        <w:snapToGrid/>
      </w:pPr>
      <w:tcPr>
        <w:tcBorders>
          <w:top w:val="single" w:color="FFFFFF" w:themeColor="light1" w:sz="4" w:space="0"/>
          <w:bottom w:val="single" w:color="FFFFFF" w:themeColor="light1" w:sz="4" w:space="0"/>
        </w:tcBorders>
        <w:shd w:val="clear" w:color="FFFFFF" w:fill="FAC090" w:themeFill="accent6"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pPr>
        <w:snapToGrid/>
      </w:pPr>
      <w:rPr>
        <w:b/>
        <w:color w:val="000000" w:themeColor="text1"/>
        <w14:textFill>
          <w14:solidFill>
            <w14:schemeClr w14:val="tx1"/>
          </w14:solidFill>
        </w14:textFill>
      </w:rPr>
      <w:tcPr>
        <w:tcBorders>
          <w:bottom w:val="single" w:color="7E7E7E" w:themeColor="text1" w:themeTint="80" w:sz="4" w:space="0"/>
        </w:tcBorders>
      </w:tcPr>
    </w:tblStylePr>
    <w:tblStylePr w:type="lastRow">
      <w:pPr>
        <w:snapToGrid/>
      </w:pPr>
      <w:rPr>
        <w:b/>
        <w:color w:val="000000" w:themeColor="text1"/>
        <w14:textFill>
          <w14:solidFill>
            <w14:schemeClr w14:val="tx1"/>
          </w14:solidFill>
        </w14:textFill>
      </w:rPr>
      <w:tcPr>
        <w:tcBorders>
          <w:top w:val="single" w:color="7E7E7E" w:themeColor="text1" w:themeTint="80" w:sz="4" w:space="0"/>
        </w:tcBorders>
      </w:tcPr>
    </w:tblStylePr>
    <w:tblStylePr w:type="firstCol">
      <w:pPr>
        <w:snapToGrid/>
      </w:pPr>
      <w:rPr>
        <w:b/>
        <w:color w:val="000000" w:themeColor="text1"/>
        <w14:textFill>
          <w14:solidFill>
            <w14:schemeClr w14:val="tx1"/>
          </w14:solidFill>
        </w14:textFill>
      </w:rPr>
    </w:tblStylePr>
    <w:tblStylePr w:type="lastCol">
      <w:pPr>
        <w:snapToGrid/>
      </w:pPr>
      <w:rPr>
        <w:b/>
        <w:color w:val="000000" w:themeColor="text1"/>
        <w14:textFill>
          <w14:solidFill>
            <w14:schemeClr w14:val="tx1"/>
          </w14:solidFill>
        </w14:textFill>
      </w:rPr>
    </w:tblStylePr>
    <w:tblStylePr w:type="band1Vert">
      <w:pPr>
        <w:snapToGrid/>
      </w:pPr>
      <w:tcPr>
        <w:shd w:val="clear" w:color="FFFFFF" w:fill="BEBEBE" w:themeFill="text1" w:themeFillTint="40"/>
      </w:tcPr>
    </w:tblStylePr>
    <w:tblStylePr w:type="band2Vert">
      <w:pPr>
        <w:snapToGrid/>
      </w:pPr>
    </w:tblStylePr>
    <w:tblStylePr w:type="band1Horz">
      <w:pPr>
        <w:snapToGrid/>
      </w:pPr>
      <w:rPr>
        <w:rFonts w:ascii="Arial" w:hAnsi="Arial"/>
        <w:color w:val="000000" w:themeColor="text1"/>
        <w:sz w:val="22"/>
        <w14:textFill>
          <w14:solidFill>
            <w14:schemeClr w14:val="tx1"/>
          </w14:solidFill>
        </w14:textFill>
      </w:rPr>
      <w:tcPr>
        <w:shd w:val="clear" w:color="FFFFFF" w:fill="BEBEBE" w:themeFill="text1" w:themeFillTint="40"/>
      </w:tcPr>
    </w:tblStylePr>
    <w:tblStylePr w:type="band2Horz">
      <w:pPr>
        <w:snapToGrid/>
      </w:pPr>
      <w:rPr>
        <w:rFonts w:ascii="Arial" w:hAnsi="Arial"/>
        <w:color w:val="000000" w:themeColor="text1"/>
        <w:sz w:val="22"/>
        <w14:textFill>
          <w14:solidFill>
            <w14:schemeClr w14:val="tx1"/>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pPr>
        <w:snapToGrid/>
      </w:pPr>
      <w:rPr>
        <w:b/>
        <w:color w:val="2A4B71" w:themeColor="accent1" w:themeShade="94"/>
      </w:rPr>
      <w:tcPr>
        <w:tcBorders>
          <w:bottom w:val="single" w:color="4F81BD" w:themeColor="accent1" w:sz="4" w:space="0"/>
        </w:tcBorders>
      </w:tcPr>
    </w:tblStylePr>
    <w:tblStylePr w:type="lastRow">
      <w:pPr>
        <w:snapToGrid/>
      </w:pPr>
      <w:rPr>
        <w:b/>
        <w:color w:val="2A4B71" w:themeColor="accent1" w:themeShade="94"/>
      </w:rPr>
      <w:tcPr>
        <w:tcBorders>
          <w:top w:val="single" w:color="4F81BD" w:themeColor="accent1" w:sz="4" w:space="0"/>
        </w:tcBorders>
      </w:tcPr>
    </w:tblStylePr>
    <w:tblStylePr w:type="firstCol">
      <w:pPr>
        <w:snapToGrid/>
      </w:pPr>
      <w:rPr>
        <w:b/>
        <w:color w:val="2A4B71" w:themeColor="accent1" w:themeShade="94"/>
      </w:rPr>
    </w:tblStylePr>
    <w:tblStylePr w:type="lastCol">
      <w:pPr>
        <w:snapToGrid/>
      </w:pPr>
      <w:rPr>
        <w:b/>
        <w:color w:val="2A4B71" w:themeColor="accent1" w:themeShade="94"/>
      </w:rPr>
    </w:tblStylePr>
    <w:tblStylePr w:type="band1Vert">
      <w:pPr>
        <w:snapToGrid/>
      </w:pPr>
      <w:tcPr>
        <w:shd w:val="clear" w:color="FFFFFF"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FFFFFF"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pPr>
        <w:snapToGrid/>
      </w:pPr>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pPr>
        <w:snapToGrid/>
      </w:pPr>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pPr>
        <w:snapToGrid/>
      </w:pPr>
      <w:rPr>
        <w:b/>
        <w:color w:val="DA9896" w:themeColor="accent2" w:themeTint="96"/>
        <w14:textFill>
          <w14:solidFill>
            <w14:schemeClr w14:val="accent2">
              <w14:lumMod w14:val="59000"/>
              <w14:lumOff w14:val="41000"/>
            </w14:schemeClr>
          </w14:solidFill>
        </w14:textFill>
      </w:rPr>
    </w:tblStylePr>
    <w:tblStylePr w:type="lastCol">
      <w:pPr>
        <w:snapToGrid/>
      </w:pPr>
      <w:rPr>
        <w:b/>
        <w:color w:val="DA9896" w:themeColor="accent2" w:themeTint="96"/>
        <w14:textFill>
          <w14:solidFill>
            <w14:schemeClr w14:val="accent2">
              <w14:lumMod w14:val="59000"/>
              <w14:lumOff w14:val="41000"/>
            </w14:schemeClr>
          </w14:solidFill>
        </w14:textFill>
      </w:rPr>
    </w:tblStylePr>
    <w:tblStylePr w:type="band1Vert">
      <w:pPr>
        <w:snapToGrid/>
      </w:pPr>
      <w:tcPr>
        <w:shd w:val="clear" w:color="FFFFFF"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pPr>
        <w:snapToGrid/>
      </w:pPr>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pPr>
        <w:snapToGrid/>
      </w:pPr>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pPr>
        <w:snapToGrid/>
      </w:pPr>
      <w:rPr>
        <w:b/>
        <w:color w:val="C3D69B" w:themeColor="accent3" w:themeTint="99"/>
        <w14:textFill>
          <w14:solidFill>
            <w14:schemeClr w14:val="accent3">
              <w14:lumMod w14:val="60000"/>
              <w14:lumOff w14:val="40000"/>
            </w14:schemeClr>
          </w14:solidFill>
        </w14:textFill>
      </w:rPr>
    </w:tblStylePr>
    <w:tblStylePr w:type="lastCol">
      <w:pPr>
        <w:snapToGrid/>
      </w:pPr>
      <w:rPr>
        <w:b/>
        <w:color w:val="C3D69B" w:themeColor="accent3" w:themeTint="99"/>
        <w14:textFill>
          <w14:solidFill>
            <w14:schemeClr w14:val="accent3">
              <w14:lumMod w14:val="60000"/>
              <w14:lumOff w14:val="40000"/>
            </w14:schemeClr>
          </w14:solidFill>
        </w14:textFill>
      </w:rPr>
    </w:tblStylePr>
    <w:tblStylePr w:type="band1Vert">
      <w:pPr>
        <w:snapToGrid/>
      </w:pPr>
      <w:tcPr>
        <w:shd w:val="clear" w:color="FFFFFF"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FFFFFF"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pPr>
        <w:snapToGrid/>
      </w:pPr>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pPr>
        <w:snapToGrid/>
      </w:pPr>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pPr>
        <w:snapToGrid/>
      </w:pPr>
      <w:rPr>
        <w:b/>
        <w:color w:val="B3A2C7" w:themeColor="accent4" w:themeTint="99"/>
        <w14:textFill>
          <w14:solidFill>
            <w14:schemeClr w14:val="accent4">
              <w14:lumMod w14:val="60000"/>
              <w14:lumOff w14:val="40000"/>
            </w14:schemeClr>
          </w14:solidFill>
        </w14:textFill>
      </w:rPr>
    </w:tblStylePr>
    <w:tblStylePr w:type="lastCol">
      <w:pPr>
        <w:snapToGrid/>
      </w:pPr>
      <w:rPr>
        <w:b/>
        <w:color w:val="B3A2C7" w:themeColor="accent4" w:themeTint="99"/>
        <w14:textFill>
          <w14:solidFill>
            <w14:schemeClr w14:val="accent4">
              <w14:lumMod w14:val="60000"/>
              <w14:lumOff w14:val="40000"/>
            </w14:schemeClr>
          </w14:solidFill>
        </w14:textFill>
      </w:rPr>
    </w:tblStylePr>
    <w:tblStylePr w:type="band1Vert">
      <w:pPr>
        <w:snapToGrid/>
      </w:pPr>
      <w:tcPr>
        <w:shd w:val="clear" w:color="FFFFFF"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pPr>
        <w:snapToGrid/>
      </w:pPr>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pPr>
        <w:snapToGrid/>
      </w:pPr>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pPr>
        <w:snapToGrid/>
      </w:pPr>
      <w:rPr>
        <w:b/>
        <w:color w:val="93CDDD" w:themeColor="accent5" w:themeTint="99"/>
        <w14:textFill>
          <w14:solidFill>
            <w14:schemeClr w14:val="accent5">
              <w14:lumMod w14:val="60000"/>
              <w14:lumOff w14:val="40000"/>
            </w14:schemeClr>
          </w14:solidFill>
        </w14:textFill>
      </w:rPr>
    </w:tblStylePr>
    <w:tblStylePr w:type="lastCol">
      <w:pPr>
        <w:snapToGrid/>
      </w:pPr>
      <w:rPr>
        <w:b/>
        <w:color w:val="93CDDD" w:themeColor="accent5" w:themeTint="99"/>
        <w14:textFill>
          <w14:solidFill>
            <w14:schemeClr w14:val="accent5">
              <w14:lumMod w14:val="60000"/>
              <w14:lumOff w14:val="40000"/>
            </w14:schemeClr>
          </w14:solidFill>
        </w14:textFill>
      </w:rPr>
    </w:tblStylePr>
    <w:tblStylePr w:type="band1Vert">
      <w:pPr>
        <w:snapToGrid/>
      </w:pPr>
      <w:tcPr>
        <w:shd w:val="clear" w:color="FFFFFF"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FFFFFF"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pPr>
        <w:snapToGrid/>
      </w:pPr>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pPr>
        <w:snapToGrid/>
      </w:pPr>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pPr>
        <w:snapToGrid/>
      </w:pPr>
      <w:rPr>
        <w:b/>
        <w:color w:val="FAC090" w:themeColor="accent6" w:themeTint="99"/>
        <w14:textFill>
          <w14:solidFill>
            <w14:schemeClr w14:val="accent6">
              <w14:lumMod w14:val="60000"/>
              <w14:lumOff w14:val="40000"/>
            </w14:schemeClr>
          </w14:solidFill>
        </w14:textFill>
      </w:rPr>
    </w:tblStylePr>
    <w:tblStylePr w:type="lastCol">
      <w:pPr>
        <w:snapToGrid/>
      </w:pPr>
      <w:rPr>
        <w:b/>
        <w:color w:val="FAC090" w:themeColor="accent6" w:themeTint="99"/>
        <w14:textFill>
          <w14:solidFill>
            <w14:schemeClr w14:val="accent6">
              <w14:lumMod w14:val="60000"/>
              <w14:lumOff w14:val="40000"/>
            </w14:schemeClr>
          </w14:solidFill>
        </w14:textFill>
      </w:rPr>
    </w:tblStylePr>
    <w:tblStylePr w:type="band1Vert">
      <w:pPr>
        <w:snapToGrid/>
      </w:pPr>
      <w:tcPr>
        <w:shd w:val="clear" w:color="FFFFFF"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FFFFF"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hemeFill="light1"/>
      </w:tcPr>
    </w:tblStylePr>
    <w:tblStylePr w:type="lastRow">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hemeFill="light1"/>
      </w:tcPr>
    </w:tblStylePr>
    <w:tblStylePr w:type="firstCol">
      <w:pPr>
        <w:snapToGrid/>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FFFFFF"/>
      </w:tcPr>
    </w:tblStylePr>
    <w:tblStylePr w:type="lastCol">
      <w:pPr>
        <w:snapToGrid/>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FFFFFF"/>
      </w:tcPr>
    </w:tblStylePr>
    <w:tblStylePr w:type="band1Vert">
      <w:pPr>
        <w:snapToGrid/>
      </w:pPr>
      <w:tcPr>
        <w:shd w:val="clear" w:color="FFFFFF" w:fill="BEBEBE" w:themeFill="text1" w:themeFillTint="40"/>
      </w:tcPr>
    </w:tblStylePr>
    <w:tblStylePr w:type="band2Vert">
      <w:pPr>
        <w:snapToGrid/>
      </w:pPr>
    </w:tblStylePr>
    <w:tblStylePr w:type="band1Horz">
      <w:pPr>
        <w:snapToGrid/>
      </w:pPr>
      <w:rPr>
        <w:rFonts w:ascii="Arial" w:hAnsi="Arial"/>
        <w:color w:val="808080" w:themeColor="text1" w:themeTint="80"/>
        <w:sz w:val="22"/>
        <w14:textFill>
          <w14:solidFill>
            <w14:schemeClr w14:val="tx1">
              <w14:lumMod w14:val="50000"/>
              <w14:lumOff w14:val="50000"/>
            </w14:schemeClr>
          </w14:solidFill>
        </w14:textFill>
      </w:rPr>
      <w:tcPr>
        <w:shd w:val="clear" w:color="FFFFFF" w:fill="BEBEBE" w:themeFill="text1" w:themeFillTint="40"/>
      </w:tcPr>
    </w:tblStylePr>
    <w:tblStylePr w:type="band2Horz">
      <w:pPr>
        <w:snapToGrid/>
      </w:pPr>
      <w:rPr>
        <w:rFonts w:ascii="Arial" w:hAnsi="Arial"/>
        <w:color w:val="808080" w:themeColor="text1" w:themeTint="80"/>
        <w:sz w:val="22"/>
        <w14:textFill>
          <w14:solidFill>
            <w14:schemeClr w14:val="tx1">
              <w14:lumMod w14:val="50000"/>
              <w14:lumOff w14:val="5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pPr>
        <w:snapToGrid/>
      </w:pPr>
      <w:rPr>
        <w:rFonts w:ascii="Arial" w:hAnsi="Arial"/>
        <w:i/>
        <w:color w:val="2A4B71" w:themeColor="accent1" w:themeShade="94"/>
        <w:sz w:val="22"/>
      </w:rPr>
      <w:tcPr>
        <w:tcBorders>
          <w:top w:val="nil"/>
          <w:left w:val="nil"/>
          <w:bottom w:val="single" w:color="4F81BD" w:themeColor="accent1" w:sz="4" w:space="0"/>
          <w:right w:val="nil"/>
        </w:tcBorders>
        <w:shd w:val="clear" w:color="FFFFFF" w:fill="FFFFFF" w:themeFill="light1"/>
      </w:tcPr>
    </w:tblStylePr>
    <w:tblStylePr w:type="lastRow">
      <w:pPr>
        <w:snapToGrid/>
      </w:pPr>
      <w:rPr>
        <w:rFonts w:ascii="Arial" w:hAnsi="Arial"/>
        <w:i/>
        <w:color w:val="2A4B71" w:themeColor="accent1" w:themeShade="94"/>
        <w:sz w:val="22"/>
      </w:rPr>
      <w:tcPr>
        <w:tcBorders>
          <w:top w:val="single" w:color="4F81BD" w:themeColor="accent1" w:sz="4" w:space="0"/>
          <w:left w:val="nil"/>
          <w:bottom w:val="nil"/>
          <w:right w:val="nil"/>
        </w:tcBorders>
        <w:shd w:val="clear" w:color="FFFFFF" w:fill="FFFFFF" w:themeFill="light1"/>
      </w:tcPr>
    </w:tblStylePr>
    <w:tblStylePr w:type="firstCol">
      <w:pPr>
        <w:snapToGrid/>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FFFFFF"/>
      </w:tcPr>
    </w:tblStylePr>
    <w:tblStylePr w:type="lastCol">
      <w:pPr>
        <w:snapToGrid/>
      </w:pPr>
      <w:rPr>
        <w:rFonts w:ascii="Arial" w:hAnsi="Arial"/>
        <w:i/>
        <w:color w:val="2A4B71" w:themeColor="accent1" w:themeShade="94"/>
        <w:sz w:val="22"/>
      </w:rPr>
      <w:tcPr>
        <w:tcBorders>
          <w:top w:val="nil"/>
          <w:left w:val="single" w:color="4F81BD" w:themeColor="accent1" w:sz="4" w:space="0"/>
          <w:bottom w:val="nil"/>
          <w:right w:val="nil"/>
        </w:tcBorders>
        <w:shd w:val="clear" w:color="FFFFFF" w:fill="FFFFFF"/>
      </w:tcPr>
    </w:tblStylePr>
    <w:tblStylePr w:type="band1Vert">
      <w:pPr>
        <w:snapToGrid/>
      </w:pPr>
      <w:tcPr>
        <w:shd w:val="clear" w:color="FFFFFF" w:fill="D2DFEE" w:themeFill="accent1" w:themeFillTint="40"/>
      </w:tcPr>
    </w:tblStylePr>
    <w:tblStylePr w:type="band2Vert">
      <w:pPr>
        <w:snapToGrid/>
      </w:pPr>
    </w:tblStylePr>
    <w:tblStylePr w:type="band1Horz">
      <w:pPr>
        <w:snapToGrid/>
      </w:pPr>
      <w:rPr>
        <w:rFonts w:ascii="Arial" w:hAnsi="Arial"/>
        <w:color w:val="2A4B71" w:themeColor="accent1" w:themeShade="94"/>
        <w:sz w:val="22"/>
      </w:rPr>
      <w:tcPr>
        <w:shd w:val="clear" w:color="FFFFFF" w:fill="D2DFEE" w:themeFill="accent1" w:themeFillTint="40"/>
      </w:tcPr>
    </w:tblStylePr>
    <w:tblStylePr w:type="band2Horz">
      <w:pPr>
        <w:snapToGrid/>
      </w:pPr>
      <w:rPr>
        <w:rFonts w:ascii="Arial" w:hAnsi="Arial"/>
        <w:color w:val="2A4B71" w:themeColor="accent1" w:themeShade="94"/>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fill="FFFFFF" w:themeFill="light1"/>
      </w:tcPr>
    </w:tblStylePr>
    <w:tblStylePr w:type="lastRow">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fill="FFFFFF" w:themeFill="light1"/>
      </w:tcPr>
    </w:tblStylePr>
    <w:tblStylePr w:type="firstCol">
      <w:pPr>
        <w:snapToGrid/>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FFFFFF"/>
      </w:tcPr>
    </w:tblStylePr>
    <w:tblStylePr w:type="lastCol">
      <w:pPr>
        <w:snapToGrid/>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FFFFFF"/>
      </w:tcPr>
    </w:tblStylePr>
    <w:tblStylePr w:type="band1Vert">
      <w:pPr>
        <w:snapToGrid/>
      </w:pPr>
      <w:tcPr>
        <w:shd w:val="clear" w:color="FFFFFF" w:fill="EFD3D2" w:themeFill="accent2" w:themeFillTint="40"/>
      </w:tcPr>
    </w:tblStylePr>
    <w:tblStylePr w:type="band2Vert">
      <w:pPr>
        <w:snapToGrid/>
      </w:pPr>
    </w:tblStylePr>
    <w:tblStylePr w:type="band1Horz">
      <w:pPr>
        <w:snapToGrid/>
      </w:pPr>
      <w:rPr>
        <w:rFonts w:ascii="Arial" w:hAnsi="Arial"/>
        <w:color w:val="DA9896" w:themeColor="accent2" w:themeTint="96"/>
        <w:sz w:val="22"/>
        <w14:textFill>
          <w14:solidFill>
            <w14:schemeClr w14:val="accent2">
              <w14:lumMod w14:val="59000"/>
              <w14:lumOff w14:val="41000"/>
            </w14:schemeClr>
          </w14:solidFill>
        </w14:textFill>
      </w:rPr>
      <w:tcPr>
        <w:shd w:val="clear" w:color="FFFFFF" w:fill="EFD3D2" w:themeFill="accent2" w:themeFillTint="40"/>
      </w:tcPr>
    </w:tblStylePr>
    <w:tblStylePr w:type="band2Horz">
      <w:pPr>
        <w:snapToGrid/>
      </w:pPr>
      <w:rPr>
        <w:rFonts w:ascii="Arial" w:hAnsi="Arial"/>
        <w:color w:val="DA9896" w:themeColor="accent2" w:themeTint="96"/>
        <w:sz w:val="22"/>
        <w14:textFill>
          <w14:solidFill>
            <w14:schemeClr w14:val="accent2">
              <w14:lumMod w14:val="59000"/>
              <w14:lumOff w14:val="41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fill="FFFFFF" w:themeFill="light1"/>
      </w:tcPr>
    </w:tblStylePr>
    <w:tblStylePr w:type="lastRow">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fill="FFFFFF" w:themeFill="light1"/>
      </w:tcPr>
    </w:tblStylePr>
    <w:tblStylePr w:type="firstCol">
      <w:pPr>
        <w:snapToGrid/>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FFFFFF"/>
      </w:tcPr>
    </w:tblStylePr>
    <w:tblStylePr w:type="lastCol">
      <w:pPr>
        <w:snapToGrid/>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FFFFFF"/>
      </w:tcPr>
    </w:tblStylePr>
    <w:tblStylePr w:type="band1Vert">
      <w:pPr>
        <w:snapToGrid/>
      </w:pPr>
      <w:tcPr>
        <w:shd w:val="clear" w:color="FFFFFF" w:fill="E5EDD5" w:themeFill="accent3" w:themeFillTint="40"/>
      </w:tcPr>
    </w:tblStylePr>
    <w:tblStylePr w:type="band2Vert">
      <w:pPr>
        <w:snapToGrid/>
      </w:pPr>
    </w:tblStylePr>
    <w:tblStylePr w:type="band1Horz">
      <w:pPr>
        <w:snapToGrid/>
      </w:pPr>
      <w:rPr>
        <w:rFonts w:ascii="Arial" w:hAnsi="Arial"/>
        <w:color w:val="C3D69B" w:themeColor="accent3" w:themeTint="99"/>
        <w:sz w:val="22"/>
        <w14:textFill>
          <w14:solidFill>
            <w14:schemeClr w14:val="accent3">
              <w14:lumMod w14:val="60000"/>
              <w14:lumOff w14:val="40000"/>
            </w14:schemeClr>
          </w14:solidFill>
        </w14:textFill>
      </w:rPr>
      <w:tcPr>
        <w:shd w:val="clear" w:color="FFFFFF" w:fill="E5EDD5" w:themeFill="accent3" w:themeFillTint="40"/>
      </w:tcPr>
    </w:tblStylePr>
    <w:tblStylePr w:type="band2Horz">
      <w:pPr>
        <w:snapToGrid/>
      </w:pPr>
      <w:rPr>
        <w:rFonts w:ascii="Arial" w:hAnsi="Arial"/>
        <w:color w:val="C3D69B" w:themeColor="accent3" w:themeTint="99"/>
        <w:sz w:val="22"/>
        <w14:textFill>
          <w14:solidFill>
            <w14:schemeClr w14:val="accent3">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fill="FFFFFF" w:themeFill="light1"/>
      </w:tcPr>
    </w:tblStylePr>
    <w:tblStylePr w:type="lastRow">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fill="FFFFFF" w:themeFill="light1"/>
      </w:tcPr>
    </w:tblStylePr>
    <w:tblStylePr w:type="firstCol">
      <w:pPr>
        <w:snapToGrid/>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FFFFFF"/>
      </w:tcPr>
    </w:tblStylePr>
    <w:tblStylePr w:type="lastCol">
      <w:pPr>
        <w:snapToGrid/>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FFFFFF"/>
      </w:tcPr>
    </w:tblStylePr>
    <w:tblStylePr w:type="band1Vert">
      <w:pPr>
        <w:snapToGrid/>
      </w:pPr>
      <w:tcPr>
        <w:shd w:val="clear" w:color="FFFFFF" w:fill="DFD8E7" w:themeFill="accent4" w:themeFillTint="40"/>
      </w:tcPr>
    </w:tblStylePr>
    <w:tblStylePr w:type="band2Vert">
      <w:pPr>
        <w:snapToGrid/>
      </w:pPr>
    </w:tblStylePr>
    <w:tblStylePr w:type="band1Horz">
      <w:pPr>
        <w:snapToGrid/>
      </w:pPr>
      <w:rPr>
        <w:rFonts w:ascii="Arial" w:hAnsi="Arial"/>
        <w:color w:val="B3A2C7" w:themeColor="accent4" w:themeTint="99"/>
        <w:sz w:val="22"/>
        <w14:textFill>
          <w14:solidFill>
            <w14:schemeClr w14:val="accent4">
              <w14:lumMod w14:val="60000"/>
              <w14:lumOff w14:val="40000"/>
            </w14:schemeClr>
          </w14:solidFill>
        </w14:textFill>
      </w:rPr>
      <w:tcPr>
        <w:shd w:val="clear" w:color="FFFFFF" w:fill="DFD8E7" w:themeFill="accent4" w:themeFillTint="40"/>
      </w:tcPr>
    </w:tblStylePr>
    <w:tblStylePr w:type="band2Horz">
      <w:pPr>
        <w:snapToGrid/>
      </w:pPr>
      <w:rPr>
        <w:rFonts w:ascii="Arial" w:hAnsi="Arial"/>
        <w:color w:val="B3A2C7" w:themeColor="accent4" w:themeTint="99"/>
        <w:sz w:val="22"/>
        <w14:textFill>
          <w14:solidFill>
            <w14:schemeClr w14:val="accent4">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fill="FFFFFF" w:themeFill="light1"/>
      </w:tcPr>
    </w:tblStylePr>
    <w:tblStylePr w:type="lastRow">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fill="FFFFFF" w:themeFill="light1"/>
      </w:tcPr>
    </w:tblStylePr>
    <w:tblStylePr w:type="firstCol">
      <w:pPr>
        <w:snapToGrid/>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FFFFFF"/>
      </w:tcPr>
    </w:tblStylePr>
    <w:tblStylePr w:type="lastCol">
      <w:pPr>
        <w:snapToGrid/>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FFFFFF"/>
      </w:tcPr>
    </w:tblStylePr>
    <w:tblStylePr w:type="band1Vert">
      <w:pPr>
        <w:snapToGrid/>
      </w:pPr>
      <w:tcPr>
        <w:shd w:val="clear" w:color="FFFFFF" w:fill="D1EAF0" w:themeFill="accent5" w:themeFillTint="40"/>
      </w:tcPr>
    </w:tblStylePr>
    <w:tblStylePr w:type="band2Vert">
      <w:pPr>
        <w:snapToGrid/>
      </w:pPr>
    </w:tblStylePr>
    <w:tblStylePr w:type="band1Horz">
      <w:pPr>
        <w:snapToGrid/>
      </w:pPr>
      <w:rPr>
        <w:rFonts w:ascii="Arial" w:hAnsi="Arial"/>
        <w:color w:val="93CDDD" w:themeColor="accent5" w:themeTint="99"/>
        <w:sz w:val="22"/>
        <w14:textFill>
          <w14:solidFill>
            <w14:schemeClr w14:val="accent5">
              <w14:lumMod w14:val="60000"/>
              <w14:lumOff w14:val="40000"/>
            </w14:schemeClr>
          </w14:solidFill>
        </w14:textFill>
      </w:rPr>
      <w:tcPr>
        <w:shd w:val="clear" w:color="FFFFFF" w:fill="D1EAF0" w:themeFill="accent5" w:themeFillTint="40"/>
      </w:tcPr>
    </w:tblStylePr>
    <w:tblStylePr w:type="band2Horz">
      <w:pPr>
        <w:snapToGrid/>
      </w:pPr>
      <w:rPr>
        <w:rFonts w:ascii="Arial" w:hAnsi="Arial"/>
        <w:color w:val="93CDDD" w:themeColor="accent5" w:themeTint="99"/>
        <w:sz w:val="22"/>
        <w14:textFill>
          <w14:solidFill>
            <w14:schemeClr w14:val="accent5">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fill="FFFFFF" w:themeFill="light1"/>
      </w:tcPr>
    </w:tblStylePr>
    <w:tblStylePr w:type="lastRow">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fill="FFFFFF" w:themeFill="light1"/>
      </w:tcPr>
    </w:tblStylePr>
    <w:tblStylePr w:type="firstCol">
      <w:pPr>
        <w:snapToGrid/>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FFFFFF"/>
      </w:tcPr>
    </w:tblStylePr>
    <w:tblStylePr w:type="lastCol">
      <w:pPr>
        <w:snapToGrid/>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FFFFFF"/>
      </w:tcPr>
    </w:tblStylePr>
    <w:tblStylePr w:type="band1Vert">
      <w:pPr>
        <w:snapToGrid/>
      </w:pPr>
      <w:tcPr>
        <w:shd w:val="clear" w:color="FFFFFF" w:fill="FCE4D0" w:themeFill="accent6" w:themeFillTint="40"/>
      </w:tcPr>
    </w:tblStylePr>
    <w:tblStylePr w:type="band2Vert">
      <w:pPr>
        <w:snapToGrid/>
      </w:pPr>
    </w:tblStylePr>
    <w:tblStylePr w:type="band1Horz">
      <w:pPr>
        <w:snapToGrid/>
      </w:pPr>
      <w:rPr>
        <w:rFonts w:ascii="Arial" w:hAnsi="Arial"/>
        <w:color w:val="FAC090" w:themeColor="accent6" w:themeTint="99"/>
        <w:sz w:val="22"/>
        <w14:textFill>
          <w14:solidFill>
            <w14:schemeClr w14:val="accent6">
              <w14:lumMod w14:val="60000"/>
              <w14:lumOff w14:val="40000"/>
            </w14:schemeClr>
          </w14:solidFill>
        </w14:textFill>
      </w:rPr>
      <w:tcPr>
        <w:shd w:val="clear" w:color="FFFFFF" w:fill="FCE4D0" w:themeFill="accent6" w:themeFillTint="40"/>
      </w:tcPr>
    </w:tblStylePr>
    <w:tblStylePr w:type="band2Horz">
      <w:pPr>
        <w:snapToGrid/>
      </w:pPr>
      <w:rPr>
        <w:rFonts w:ascii="Arial" w:hAnsi="Arial"/>
        <w:color w:val="FAC090" w:themeColor="accent6" w:themeTint="99"/>
        <w:sz w:val="22"/>
        <w14:textFill>
          <w14:solidFill>
            <w14:schemeClr w14:val="accent6">
              <w14:lumMod w14:val="60000"/>
              <w14:lumOff w14:val="40000"/>
            </w14:schemeClr>
          </w14:solidFill>
        </w14:textFill>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2">
    <w:name w:val="Lined - Accent"/>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7E7E7E" w:themeFill="text1" w:themeFillTint="80"/>
      </w:tcPr>
    </w:tblStylePr>
    <w:tblStylePr w:type="lastRow">
      <w:pPr>
        <w:snapToGrid/>
      </w:pPr>
      <w:rPr>
        <w:rFonts w:ascii="Arial" w:hAnsi="Arial"/>
        <w:color w:val="F2F2F2"/>
        <w:sz w:val="22"/>
      </w:rPr>
      <w:tcPr>
        <w:shd w:val="clear" w:color="FFFFFF" w:fill="7E7E7E" w:themeFill="text1" w:themeFillTint="80"/>
      </w:tcPr>
    </w:tblStylePr>
    <w:tblStylePr w:type="firstCol">
      <w:pPr>
        <w:snapToGrid/>
      </w:pPr>
      <w:rPr>
        <w:rFonts w:ascii="Arial" w:hAnsi="Arial"/>
        <w:color w:val="F2F2F2"/>
        <w:sz w:val="22"/>
      </w:rPr>
      <w:tcPr>
        <w:shd w:val="clear" w:color="FFFFFF" w:fill="7E7E7E" w:themeFill="text1" w:themeFillTint="80"/>
      </w:tcPr>
    </w:tblStylePr>
    <w:tblStylePr w:type="lastCol">
      <w:pPr>
        <w:snapToGrid/>
      </w:pPr>
      <w:rPr>
        <w:rFonts w:ascii="Arial" w:hAnsi="Arial"/>
        <w:color w:val="F2F2F2"/>
        <w:sz w:val="22"/>
      </w:rPr>
      <w:tcPr>
        <w:shd w:val="clear" w:color="FFFFFF"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3">
    <w:name w:val="Lined - Accent 1"/>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5D8BC2" w:themeFill="accent1" w:themeFillTint="EA"/>
      </w:tcPr>
    </w:tblStylePr>
    <w:tblStylePr w:type="lastRow">
      <w:pPr>
        <w:snapToGrid/>
      </w:pPr>
      <w:rPr>
        <w:rFonts w:ascii="Arial" w:hAnsi="Arial"/>
        <w:color w:val="F2F2F2"/>
        <w:sz w:val="22"/>
      </w:rPr>
      <w:tcPr>
        <w:shd w:val="clear" w:color="FFFFFF" w:fill="5D8BC2" w:themeFill="accent1" w:themeFillTint="EA"/>
      </w:tcPr>
    </w:tblStylePr>
    <w:tblStylePr w:type="firstCol">
      <w:pPr>
        <w:snapToGrid/>
      </w:pPr>
      <w:rPr>
        <w:rFonts w:ascii="Arial" w:hAnsi="Arial"/>
        <w:color w:val="F2F2F2"/>
        <w:sz w:val="22"/>
      </w:rPr>
      <w:tcPr>
        <w:shd w:val="clear" w:color="FFFFFF" w:fill="5D8BC2" w:themeFill="accent1" w:themeFillTint="EA"/>
      </w:tcPr>
    </w:tblStylePr>
    <w:tblStylePr w:type="lastCol">
      <w:pPr>
        <w:snapToGrid/>
      </w:pPr>
      <w:rPr>
        <w:rFonts w:ascii="Arial" w:hAnsi="Arial"/>
        <w:color w:val="F2F2F2"/>
        <w:sz w:val="22"/>
      </w:rPr>
      <w:tcPr>
        <w:shd w:val="clear" w:color="FFFFFF"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4">
    <w:name w:val="Lined - Accent 2"/>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D99795" w:themeFill="accent2" w:themeFillTint="97"/>
      </w:tcPr>
    </w:tblStylePr>
    <w:tblStylePr w:type="lastRow">
      <w:pPr>
        <w:snapToGrid/>
      </w:pPr>
      <w:rPr>
        <w:rFonts w:ascii="Arial" w:hAnsi="Arial"/>
        <w:color w:val="F2F2F2"/>
        <w:sz w:val="22"/>
      </w:rPr>
      <w:tcPr>
        <w:shd w:val="clear" w:color="FFFFFF" w:fill="D99795" w:themeFill="accent2" w:themeFillTint="97"/>
      </w:tcPr>
    </w:tblStylePr>
    <w:tblStylePr w:type="firstCol">
      <w:pPr>
        <w:snapToGrid/>
      </w:pPr>
      <w:rPr>
        <w:rFonts w:ascii="Arial" w:hAnsi="Arial"/>
        <w:color w:val="F2F2F2"/>
        <w:sz w:val="22"/>
      </w:rPr>
      <w:tcPr>
        <w:shd w:val="clear" w:color="FFFFFF" w:fill="D99795" w:themeFill="accent2" w:themeFillTint="97"/>
      </w:tcPr>
    </w:tblStylePr>
    <w:tblStylePr w:type="lastCol">
      <w:pPr>
        <w:snapToGrid/>
      </w:pPr>
      <w:rPr>
        <w:rFonts w:ascii="Arial" w:hAnsi="Arial"/>
        <w:color w:val="F2F2F2"/>
        <w:sz w:val="22"/>
      </w:rPr>
      <w:tcPr>
        <w:shd w:val="clear" w:color="FFFFFF"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5">
    <w:name w:val="Lined - Accent 3"/>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9BBB59" w:themeFill="accent3" w:themeFillTint="FE"/>
      </w:tcPr>
    </w:tblStylePr>
    <w:tblStylePr w:type="lastRow">
      <w:pPr>
        <w:snapToGrid/>
      </w:pPr>
      <w:rPr>
        <w:rFonts w:ascii="Arial" w:hAnsi="Arial"/>
        <w:color w:val="F2F2F2"/>
        <w:sz w:val="22"/>
      </w:rPr>
      <w:tcPr>
        <w:shd w:val="clear" w:color="FFFFFF" w:fill="9BBB59" w:themeFill="accent3" w:themeFillTint="FE"/>
      </w:tcPr>
    </w:tblStylePr>
    <w:tblStylePr w:type="firstCol">
      <w:pPr>
        <w:snapToGrid/>
      </w:pPr>
      <w:rPr>
        <w:rFonts w:ascii="Arial" w:hAnsi="Arial"/>
        <w:color w:val="F2F2F2"/>
        <w:sz w:val="22"/>
      </w:rPr>
      <w:tcPr>
        <w:shd w:val="clear" w:color="FFFFFF" w:fill="9BBB59" w:themeFill="accent3" w:themeFillTint="FE"/>
      </w:tcPr>
    </w:tblStylePr>
    <w:tblStylePr w:type="lastCol">
      <w:pPr>
        <w:snapToGrid/>
      </w:pPr>
      <w:rPr>
        <w:rFonts w:ascii="Arial" w:hAnsi="Arial"/>
        <w:color w:val="F2F2F2"/>
        <w:sz w:val="22"/>
      </w:rPr>
      <w:tcPr>
        <w:shd w:val="clear" w:color="FFFFFF"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6">
    <w:name w:val="Lined - Accent 4"/>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B2A1C6" w:themeFill="accent4" w:themeFillTint="9A"/>
      </w:tcPr>
    </w:tblStylePr>
    <w:tblStylePr w:type="lastRow">
      <w:pPr>
        <w:snapToGrid/>
      </w:pPr>
      <w:rPr>
        <w:rFonts w:ascii="Arial" w:hAnsi="Arial"/>
        <w:color w:val="F2F2F2"/>
        <w:sz w:val="22"/>
      </w:rPr>
      <w:tcPr>
        <w:shd w:val="clear" w:color="FFFFFF" w:fill="B2A1C6" w:themeFill="accent4" w:themeFillTint="9A"/>
      </w:tcPr>
    </w:tblStylePr>
    <w:tblStylePr w:type="firstCol">
      <w:pPr>
        <w:snapToGrid/>
      </w:pPr>
      <w:rPr>
        <w:rFonts w:ascii="Arial" w:hAnsi="Arial"/>
        <w:color w:val="F2F2F2"/>
        <w:sz w:val="22"/>
      </w:rPr>
      <w:tcPr>
        <w:shd w:val="clear" w:color="FFFFFF" w:fill="B2A1C6" w:themeFill="accent4" w:themeFillTint="9A"/>
      </w:tcPr>
    </w:tblStylePr>
    <w:tblStylePr w:type="lastCol">
      <w:pPr>
        <w:snapToGrid/>
      </w:pPr>
      <w:rPr>
        <w:rFonts w:ascii="Arial" w:hAnsi="Arial"/>
        <w:color w:val="F2F2F2"/>
        <w:sz w:val="22"/>
      </w:rPr>
      <w:tcPr>
        <w:shd w:val="clear" w:color="FFFFFF"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7">
    <w:name w:val="Lined - Accent 5"/>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4BACC6" w:themeFill="accent5"/>
      </w:tcPr>
    </w:tblStylePr>
    <w:tblStylePr w:type="lastRow">
      <w:pPr>
        <w:snapToGrid/>
      </w:pPr>
      <w:rPr>
        <w:rFonts w:ascii="Arial" w:hAnsi="Arial"/>
        <w:color w:val="F2F2F2"/>
        <w:sz w:val="22"/>
      </w:rPr>
      <w:tcPr>
        <w:shd w:val="clear" w:color="FFFFFF" w:fill="4BACC6" w:themeFill="accent5"/>
      </w:tcPr>
    </w:tblStylePr>
    <w:tblStylePr w:type="firstCol">
      <w:pPr>
        <w:snapToGrid/>
      </w:pPr>
      <w:rPr>
        <w:rFonts w:ascii="Arial" w:hAnsi="Arial"/>
        <w:color w:val="F2F2F2"/>
        <w:sz w:val="22"/>
      </w:rPr>
      <w:tcPr>
        <w:shd w:val="clear" w:color="FFFFFF" w:fill="4BACC6" w:themeFill="accent5"/>
      </w:tcPr>
    </w:tblStylePr>
    <w:tblStylePr w:type="lastCol">
      <w:pPr>
        <w:snapToGrid/>
      </w:pPr>
      <w:rPr>
        <w:rFonts w:ascii="Arial" w:hAnsi="Arial"/>
        <w:color w:val="F2F2F2"/>
        <w:sz w:val="22"/>
      </w:rPr>
      <w:tcPr>
        <w:shd w:val="clear" w:color="FFFFFF"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8">
    <w:name w:val="Lined - Accent 6"/>
    <w:qFormat/>
    <w:uiPriority w:val="99"/>
    <w:rPr>
      <w:color w:val="404040"/>
    </w:rPr>
    <w:tblPr>
      <w:tblCellMar>
        <w:top w:w="0" w:type="dxa"/>
        <w:left w:w="0" w:type="dxa"/>
        <w:bottom w:w="0" w:type="dxa"/>
        <w:right w:w="0" w:type="dxa"/>
      </w:tblCellMar>
    </w:tblPr>
    <w:tblStylePr w:type="firstRow">
      <w:pPr>
        <w:snapToGrid/>
      </w:pPr>
      <w:rPr>
        <w:rFonts w:ascii="Arial" w:hAnsi="Arial"/>
        <w:color w:val="F2F2F2"/>
        <w:sz w:val="22"/>
      </w:rPr>
      <w:tcPr>
        <w:shd w:val="clear" w:color="FFFFFF" w:fill="F79646" w:themeFill="accent6"/>
      </w:tcPr>
    </w:tblStylePr>
    <w:tblStylePr w:type="lastRow">
      <w:pPr>
        <w:snapToGrid/>
      </w:pPr>
      <w:rPr>
        <w:rFonts w:ascii="Arial" w:hAnsi="Arial"/>
        <w:color w:val="F2F2F2"/>
        <w:sz w:val="22"/>
      </w:rPr>
      <w:tcPr>
        <w:shd w:val="clear" w:color="FFFFFF" w:fill="F79646" w:themeFill="accent6"/>
      </w:tcPr>
    </w:tblStylePr>
    <w:tblStylePr w:type="firstCol">
      <w:pPr>
        <w:snapToGrid/>
      </w:pPr>
      <w:rPr>
        <w:rFonts w:ascii="Arial" w:hAnsi="Arial"/>
        <w:color w:val="F2F2F2"/>
        <w:sz w:val="22"/>
      </w:rPr>
      <w:tcPr>
        <w:shd w:val="clear" w:color="FFFFFF" w:fill="F79646" w:themeFill="accent6"/>
      </w:tcPr>
    </w:tblStylePr>
    <w:tblStylePr w:type="lastCol">
      <w:pPr>
        <w:snapToGrid/>
      </w:pPr>
      <w:rPr>
        <w:rFonts w:ascii="Arial" w:hAnsi="Arial"/>
        <w:color w:val="F2F2F2"/>
        <w:sz w:val="22"/>
      </w:rPr>
      <w:tcPr>
        <w:shd w:val="clear" w:color="FFFFFF"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7E7E7E" w:themeFill="text1" w:themeFillTint="80"/>
      </w:tcPr>
    </w:tblStylePr>
    <w:tblStylePr w:type="lastRow">
      <w:pPr>
        <w:snapToGrid/>
      </w:pPr>
      <w:rPr>
        <w:rFonts w:ascii="Arial" w:hAnsi="Arial"/>
        <w:color w:val="F2F2F2"/>
        <w:sz w:val="22"/>
      </w:rPr>
      <w:tcPr>
        <w:shd w:val="clear" w:color="FFFFFF" w:fill="7E7E7E" w:themeFill="text1" w:themeFillTint="80"/>
      </w:tcPr>
    </w:tblStylePr>
    <w:tblStylePr w:type="firstCol">
      <w:pPr>
        <w:snapToGrid/>
      </w:pPr>
      <w:rPr>
        <w:rFonts w:ascii="Arial" w:hAnsi="Arial"/>
        <w:color w:val="F2F2F2"/>
        <w:sz w:val="22"/>
      </w:rPr>
      <w:tcPr>
        <w:shd w:val="clear" w:color="FFFFFF" w:fill="7E7E7E" w:themeFill="text1" w:themeFillTint="80"/>
      </w:tcPr>
    </w:tblStylePr>
    <w:tblStylePr w:type="lastCol">
      <w:pPr>
        <w:snapToGrid/>
      </w:pPr>
      <w:rPr>
        <w:rFonts w:ascii="Arial" w:hAnsi="Arial"/>
        <w:color w:val="F2F2F2"/>
        <w:sz w:val="22"/>
      </w:rPr>
      <w:tcPr>
        <w:shd w:val="clear" w:color="FFFFFF"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5D8BC2" w:themeFill="accent1" w:themeFillTint="EA"/>
      </w:tcPr>
    </w:tblStylePr>
    <w:tblStylePr w:type="lastRow">
      <w:pPr>
        <w:snapToGrid/>
      </w:pPr>
      <w:rPr>
        <w:rFonts w:ascii="Arial" w:hAnsi="Arial"/>
        <w:color w:val="F2F2F2"/>
        <w:sz w:val="22"/>
      </w:rPr>
      <w:tcPr>
        <w:shd w:val="clear" w:color="FFFFFF" w:fill="5D8BC2" w:themeFill="accent1" w:themeFillTint="EA"/>
      </w:tcPr>
    </w:tblStylePr>
    <w:tblStylePr w:type="firstCol">
      <w:pPr>
        <w:snapToGrid/>
      </w:pPr>
      <w:rPr>
        <w:rFonts w:ascii="Arial" w:hAnsi="Arial"/>
        <w:color w:val="F2F2F2"/>
        <w:sz w:val="22"/>
      </w:rPr>
      <w:tcPr>
        <w:shd w:val="clear" w:color="FFFFFF" w:fill="5D8BC2" w:themeFill="accent1" w:themeFillTint="EA"/>
      </w:tcPr>
    </w:tblStylePr>
    <w:tblStylePr w:type="lastCol">
      <w:pPr>
        <w:snapToGrid/>
      </w:pPr>
      <w:rPr>
        <w:rFonts w:ascii="Arial" w:hAnsi="Arial"/>
        <w:color w:val="F2F2F2"/>
        <w:sz w:val="22"/>
      </w:rPr>
      <w:tcPr>
        <w:shd w:val="clear" w:color="FFFFFF" w:fill="5D8BC2"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C7D7EA"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C7D7EA"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D99795" w:themeFill="accent2" w:themeFillTint="97"/>
      </w:tcPr>
    </w:tblStylePr>
    <w:tblStylePr w:type="lastRow">
      <w:pPr>
        <w:snapToGrid/>
      </w:pPr>
      <w:rPr>
        <w:rFonts w:ascii="Arial" w:hAnsi="Arial"/>
        <w:color w:val="F2F2F2"/>
        <w:sz w:val="22"/>
      </w:rPr>
      <w:tcPr>
        <w:shd w:val="clear" w:color="FFFFFF" w:fill="D99795" w:themeFill="accent2" w:themeFillTint="97"/>
      </w:tcPr>
    </w:tblStylePr>
    <w:tblStylePr w:type="firstCol">
      <w:pPr>
        <w:snapToGrid/>
      </w:pPr>
      <w:rPr>
        <w:rFonts w:ascii="Arial" w:hAnsi="Arial"/>
        <w:color w:val="F2F2F2"/>
        <w:sz w:val="22"/>
      </w:rPr>
      <w:tcPr>
        <w:shd w:val="clear" w:color="FFFFFF" w:fill="D99795" w:themeFill="accent2" w:themeFillTint="97"/>
      </w:tcPr>
    </w:tblStylePr>
    <w:tblStylePr w:type="lastCol">
      <w:pPr>
        <w:snapToGrid/>
      </w:pPr>
      <w:rPr>
        <w:rFonts w:ascii="Arial" w:hAnsi="Arial"/>
        <w:color w:val="F2F2F2"/>
        <w:sz w:val="22"/>
      </w:rPr>
      <w:tcPr>
        <w:shd w:val="clear" w:color="FFFFFF" w:fill="D9979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2DCDC"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2DCDC"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9BBB59" w:themeFill="accent3" w:themeFillTint="FE"/>
      </w:tcPr>
    </w:tblStylePr>
    <w:tblStylePr w:type="lastRow">
      <w:pPr>
        <w:snapToGrid/>
      </w:pPr>
      <w:rPr>
        <w:rFonts w:ascii="Arial" w:hAnsi="Arial"/>
        <w:color w:val="F2F2F2"/>
        <w:sz w:val="22"/>
      </w:rPr>
      <w:tcPr>
        <w:shd w:val="clear" w:color="FFFFFF" w:fill="9BBB59" w:themeFill="accent3" w:themeFillTint="FE"/>
      </w:tcPr>
    </w:tblStylePr>
    <w:tblStylePr w:type="firstCol">
      <w:pPr>
        <w:snapToGrid/>
      </w:pPr>
      <w:rPr>
        <w:rFonts w:ascii="Arial" w:hAnsi="Arial"/>
        <w:color w:val="F2F2F2"/>
        <w:sz w:val="22"/>
      </w:rPr>
      <w:tcPr>
        <w:shd w:val="clear" w:color="FFFFFF" w:fill="9BBB59" w:themeFill="accent3" w:themeFillTint="FE"/>
      </w:tcPr>
    </w:tblStylePr>
    <w:tblStylePr w:type="lastCol">
      <w:pPr>
        <w:snapToGrid/>
      </w:pPr>
      <w:rPr>
        <w:rFonts w:ascii="Arial" w:hAnsi="Arial"/>
        <w:color w:val="F2F2F2"/>
        <w:sz w:val="22"/>
      </w:rPr>
      <w:tcPr>
        <w:shd w:val="clear" w:color="FFFFFF" w:fill="9BBB59"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AF1DD"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AF1DD"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B2A1C6" w:themeFill="accent4" w:themeFillTint="9A"/>
      </w:tcPr>
    </w:tblStylePr>
    <w:tblStylePr w:type="lastRow">
      <w:pPr>
        <w:snapToGrid/>
      </w:pPr>
      <w:rPr>
        <w:rFonts w:ascii="Arial" w:hAnsi="Arial"/>
        <w:color w:val="F2F2F2"/>
        <w:sz w:val="22"/>
      </w:rPr>
      <w:tcPr>
        <w:shd w:val="clear" w:color="FFFFFF" w:fill="B2A1C6" w:themeFill="accent4" w:themeFillTint="9A"/>
      </w:tcPr>
    </w:tblStylePr>
    <w:tblStylePr w:type="firstCol">
      <w:pPr>
        <w:snapToGrid/>
      </w:pPr>
      <w:rPr>
        <w:rFonts w:ascii="Arial" w:hAnsi="Arial"/>
        <w:color w:val="F2F2F2"/>
        <w:sz w:val="22"/>
      </w:rPr>
      <w:tcPr>
        <w:shd w:val="clear" w:color="FFFFFF" w:fill="B2A1C6" w:themeFill="accent4" w:themeFillTint="9A"/>
      </w:tcPr>
    </w:tblStylePr>
    <w:tblStylePr w:type="lastCol">
      <w:pPr>
        <w:snapToGrid/>
      </w:pPr>
      <w:rPr>
        <w:rFonts w:ascii="Arial" w:hAnsi="Arial"/>
        <w:color w:val="F2F2F2"/>
        <w:sz w:val="22"/>
      </w:rPr>
      <w:tcPr>
        <w:shd w:val="clear" w:color="FFFFFF" w:fill="B2A1C6"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E5DFEC"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E5DFEC"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4BACC6" w:themeFill="accent5"/>
      </w:tcPr>
    </w:tblStylePr>
    <w:tblStylePr w:type="lastRow">
      <w:pPr>
        <w:snapToGrid/>
      </w:pPr>
      <w:rPr>
        <w:rFonts w:ascii="Arial" w:hAnsi="Arial"/>
        <w:color w:val="F2F2F2"/>
        <w:sz w:val="22"/>
      </w:rPr>
      <w:tcPr>
        <w:shd w:val="clear" w:color="FFFFFF" w:fill="4BACC6" w:themeFill="accent5"/>
      </w:tcPr>
    </w:tblStylePr>
    <w:tblStylePr w:type="firstCol">
      <w:pPr>
        <w:snapToGrid/>
      </w:pPr>
      <w:rPr>
        <w:rFonts w:ascii="Arial" w:hAnsi="Arial"/>
        <w:color w:val="F2F2F2"/>
        <w:sz w:val="22"/>
      </w:rPr>
      <w:tcPr>
        <w:shd w:val="clear" w:color="FFFFFF" w:fill="4BACC6" w:themeFill="accent5"/>
      </w:tcPr>
    </w:tblStylePr>
    <w:tblStylePr w:type="lastCol">
      <w:pPr>
        <w:snapToGrid/>
      </w:pPr>
      <w:rPr>
        <w:rFonts w:ascii="Arial" w:hAnsi="Arial"/>
        <w:color w:val="F2F2F2"/>
        <w:sz w:val="22"/>
      </w:rPr>
      <w:tcPr>
        <w:shd w:val="clear" w:color="FFFFFF" w:fill="4BACC6"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DAEEF3"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DAEEF3"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pPr>
        <w:snapToGrid/>
      </w:pPr>
      <w:rPr>
        <w:rFonts w:ascii="Arial" w:hAnsi="Arial"/>
        <w:color w:val="F2F2F2"/>
        <w:sz w:val="22"/>
      </w:rPr>
      <w:tcPr>
        <w:shd w:val="clear" w:color="FFFFFF" w:fill="F79646" w:themeFill="accent6"/>
      </w:tcPr>
    </w:tblStylePr>
    <w:tblStylePr w:type="lastRow">
      <w:pPr>
        <w:snapToGrid/>
      </w:pPr>
      <w:rPr>
        <w:rFonts w:ascii="Arial" w:hAnsi="Arial"/>
        <w:color w:val="F2F2F2"/>
        <w:sz w:val="22"/>
      </w:rPr>
      <w:tcPr>
        <w:shd w:val="clear" w:color="FFFFFF" w:fill="F79646" w:themeFill="accent6"/>
      </w:tcPr>
    </w:tblStylePr>
    <w:tblStylePr w:type="firstCol">
      <w:pPr>
        <w:snapToGrid/>
      </w:pPr>
      <w:rPr>
        <w:rFonts w:ascii="Arial" w:hAnsi="Arial"/>
        <w:color w:val="F2F2F2"/>
        <w:sz w:val="22"/>
      </w:rPr>
      <w:tcPr>
        <w:shd w:val="clear" w:color="FFFFFF" w:fill="F79646" w:themeFill="accent6"/>
      </w:tcPr>
    </w:tblStylePr>
    <w:tblStylePr w:type="lastCol">
      <w:pPr>
        <w:snapToGrid/>
      </w:pPr>
      <w:rPr>
        <w:rFonts w:ascii="Arial" w:hAnsi="Arial"/>
        <w:color w:val="F2F2F2"/>
        <w:sz w:val="22"/>
      </w:rPr>
      <w:tcPr>
        <w:shd w:val="clear" w:color="FFFFFF" w:fill="F79646"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FFFFFF" w:fill="FDE9D9"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FFFFFF" w:fill="FDE9D9"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7E7E7E" w:themeColor="text1" w:themeTint="80" w:sz="12" w:space="0"/>
        </w:tcBorders>
      </w:tcPr>
    </w:tblStylePr>
    <w:tblStylePr w:type="lastRow">
      <w:pPr>
        <w:snapToGrid/>
      </w:pPr>
      <w:rPr>
        <w:rFonts w:ascii="Arial" w:hAnsi="Arial"/>
        <w:color w:val="404040"/>
        <w:sz w:val="22"/>
      </w:rPr>
      <w:tcPr>
        <w:tcBorders>
          <w:top w:val="single" w:color="7E7E7E" w:themeColor="text1" w:themeTint="80"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7E7E7E" w:themeColor="text1" w:themeTint="80"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4F81BD" w:themeColor="accent1" w:sz="12" w:space="0"/>
        </w:tcBorders>
      </w:tcPr>
    </w:tblStylePr>
    <w:tblStylePr w:type="lastRow">
      <w:pPr>
        <w:snapToGrid/>
      </w:pPr>
      <w:rPr>
        <w:rFonts w:ascii="Arial" w:hAnsi="Arial"/>
        <w:color w:val="404040"/>
        <w:sz w:val="22"/>
      </w:rPr>
      <w:tcPr>
        <w:tcBorders>
          <w:top w:val="single" w:color="4F81BD" w:themeColor="accent1"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4F81BD" w:themeColor="accent1"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D99795" w:themeColor="accent2" w:themeTint="97" w:sz="12" w:space="0"/>
        </w:tcBorders>
      </w:tcPr>
    </w:tblStylePr>
    <w:tblStylePr w:type="lastRow">
      <w:pPr>
        <w:snapToGrid/>
      </w:pPr>
      <w:rPr>
        <w:rFonts w:ascii="Arial" w:hAnsi="Arial"/>
        <w:color w:val="404040"/>
        <w:sz w:val="22"/>
      </w:rPr>
      <w:tcPr>
        <w:tcBorders>
          <w:top w:val="single" w:color="D99795" w:themeColor="accent2" w:themeTint="97"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D99795" w:themeColor="accent2" w:themeTint="97"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C3D69C" w:themeColor="accent3" w:themeTint="98" w:sz="12" w:space="0"/>
        </w:tcBorders>
      </w:tcPr>
    </w:tblStylePr>
    <w:tblStylePr w:type="lastRow">
      <w:pPr>
        <w:snapToGrid/>
      </w:pPr>
      <w:rPr>
        <w:rFonts w:ascii="Arial" w:hAnsi="Arial"/>
        <w:color w:val="404040"/>
        <w:sz w:val="22"/>
      </w:rPr>
      <w:tcPr>
        <w:tcBorders>
          <w:top w:val="single" w:color="C3D69C" w:themeColor="accent3"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C3D69C" w:themeColor="accent3"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B2A1C6" w:themeColor="accent4" w:themeTint="9A" w:sz="12" w:space="0"/>
        </w:tcBorders>
      </w:tcPr>
    </w:tblStylePr>
    <w:tblStylePr w:type="lastRow">
      <w:pPr>
        <w:snapToGrid/>
      </w:pPr>
      <w:rPr>
        <w:rFonts w:ascii="Arial" w:hAnsi="Arial"/>
        <w:color w:val="404040"/>
        <w:sz w:val="22"/>
      </w:rPr>
      <w:tcPr>
        <w:tcBorders>
          <w:top w:val="single" w:color="B2A1C6" w:themeColor="accent4"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B2A1C6" w:themeColor="accent4"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92CCDC" w:themeColor="accent5" w:themeTint="9A" w:sz="12" w:space="0"/>
        </w:tcBorders>
      </w:tcPr>
    </w:tblStylePr>
    <w:tblStylePr w:type="lastRow">
      <w:pPr>
        <w:snapToGrid/>
      </w:pPr>
      <w:rPr>
        <w:rFonts w:ascii="Arial" w:hAnsi="Arial"/>
        <w:color w:val="404040"/>
        <w:sz w:val="22"/>
      </w:rPr>
      <w:tcPr>
        <w:tcBorders>
          <w:top w:val="single" w:color="92CCDC" w:themeColor="accent5"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92CCDC" w:themeColor="accent5"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pPr>
        <w:snapToGrid/>
      </w:pPr>
      <w:rPr>
        <w:rFonts w:ascii="Arial" w:hAnsi="Arial"/>
        <w:color w:val="404040"/>
        <w:sz w:val="22"/>
      </w:rPr>
      <w:tcPr>
        <w:tcBorders>
          <w:bottom w:val="single" w:color="FAC090" w:themeColor="accent6" w:themeTint="98" w:sz="12" w:space="0"/>
        </w:tcBorders>
      </w:tcPr>
    </w:tblStylePr>
    <w:tblStylePr w:type="lastRow">
      <w:pPr>
        <w:snapToGrid/>
      </w:pPr>
      <w:rPr>
        <w:rFonts w:ascii="Arial" w:hAnsi="Arial"/>
        <w:color w:val="404040"/>
        <w:sz w:val="22"/>
      </w:rPr>
      <w:tcPr>
        <w:tcBorders>
          <w:top w:val="single" w:color="FAC090" w:themeColor="accent6"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FAC090" w:themeColor="accent6"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183">
    <w:name w:val="脚注文本 字符"/>
    <w:link w:val="24"/>
    <w:qFormat/>
    <w:uiPriority w:val="99"/>
    <w:rPr>
      <w:sz w:val="18"/>
    </w:rPr>
  </w:style>
  <w:style w:type="character" w:customStyle="1" w:styleId="184">
    <w:name w:val="尾注文本 字符"/>
    <w:link w:val="17"/>
    <w:qFormat/>
    <w:uiPriority w:val="99"/>
    <w:rPr>
      <w:sz w:val="20"/>
    </w:rPr>
  </w:style>
  <w:style w:type="paragraph" w:customStyle="1" w:styleId="185">
    <w:name w:val="TOC 标题1"/>
    <w:unhideWhenUsed/>
    <w:qFormat/>
    <w:uiPriority w:val="39"/>
    <w:rPr>
      <w:rFonts w:ascii="Times New Roman" w:hAnsi="Times New Roman" w:eastAsia="宋体" w:cs="Times New Roman"/>
      <w:lang w:val="en-US" w:eastAsia="zh-CN" w:bidi="ar-SA"/>
    </w:rPr>
  </w:style>
  <w:style w:type="paragraph" w:customStyle="1" w:styleId="186">
    <w:name w:val="正文12"/>
    <w:link w:val="22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7">
    <w:name w:val="标题 11"/>
    <w:basedOn w:val="186"/>
    <w:next w:val="186"/>
    <w:link w:val="191"/>
    <w:qFormat/>
    <w:uiPriority w:val="0"/>
    <w:pPr>
      <w:keepNext/>
      <w:keepLines/>
      <w:spacing w:before="120" w:after="120" w:line="360" w:lineRule="auto"/>
      <w:outlineLvl w:val="0"/>
    </w:pPr>
    <w:rPr>
      <w:rFonts w:ascii="宋体"/>
      <w:b/>
      <w:color w:val="000000"/>
      <w:sz w:val="24"/>
      <w:szCs w:val="20"/>
    </w:rPr>
  </w:style>
  <w:style w:type="paragraph" w:customStyle="1" w:styleId="188">
    <w:name w:val="标题 21"/>
    <w:basedOn w:val="186"/>
    <w:next w:val="186"/>
    <w:link w:val="192"/>
    <w:qFormat/>
    <w:uiPriority w:val="0"/>
    <w:pPr>
      <w:keepNext/>
      <w:keepLines/>
      <w:spacing w:before="120" w:after="120" w:line="360" w:lineRule="auto"/>
      <w:outlineLvl w:val="1"/>
    </w:pPr>
    <w:rPr>
      <w:rFonts w:ascii="宋体" w:hAnsi="Arial"/>
      <w:b/>
      <w:szCs w:val="20"/>
    </w:rPr>
  </w:style>
  <w:style w:type="character" w:customStyle="1" w:styleId="189">
    <w:name w:val="默认段落字体1"/>
    <w:qFormat/>
    <w:uiPriority w:val="0"/>
  </w:style>
  <w:style w:type="table" w:customStyle="1" w:styleId="190">
    <w:name w:val="普通表格1"/>
    <w:qFormat/>
    <w:uiPriority w:val="0"/>
    <w:tblPr>
      <w:tblCellMar>
        <w:top w:w="0" w:type="dxa"/>
        <w:left w:w="0" w:type="dxa"/>
        <w:bottom w:w="0" w:type="dxa"/>
        <w:right w:w="0" w:type="dxa"/>
      </w:tblCellMar>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191">
    <w:name w:val="标题 1 Char"/>
    <w:basedOn w:val="189"/>
    <w:link w:val="187"/>
    <w:qFormat/>
    <w:uiPriority w:val="0"/>
    <w:rPr>
      <w:b/>
      <w:bCs/>
      <w:sz w:val="44"/>
      <w:szCs w:val="44"/>
    </w:rPr>
  </w:style>
  <w:style w:type="character" w:customStyle="1" w:styleId="192">
    <w:name w:val="标题 2 Char"/>
    <w:basedOn w:val="189"/>
    <w:link w:val="188"/>
    <w:semiHidden/>
    <w:qFormat/>
    <w:uiPriority w:val="0"/>
    <w:rPr>
      <w:rFonts w:ascii="Cambria" w:hAnsi="Cambria" w:eastAsia="宋体"/>
      <w:b/>
      <w:bCs/>
      <w:sz w:val="32"/>
      <w:szCs w:val="32"/>
    </w:rPr>
  </w:style>
  <w:style w:type="paragraph" w:customStyle="1" w:styleId="193">
    <w:name w:val="目录 71"/>
    <w:basedOn w:val="186"/>
    <w:next w:val="186"/>
    <w:semiHidden/>
    <w:qFormat/>
    <w:uiPriority w:val="0"/>
    <w:pPr>
      <w:ind w:left="2520" w:leftChars="1200"/>
    </w:pPr>
  </w:style>
  <w:style w:type="paragraph" w:customStyle="1" w:styleId="194">
    <w:name w:val="文档结构图1"/>
    <w:basedOn w:val="186"/>
    <w:link w:val="195"/>
    <w:semiHidden/>
    <w:qFormat/>
    <w:uiPriority w:val="0"/>
    <w:pPr>
      <w:shd w:val="clear" w:color="000080" w:fill="000080"/>
    </w:pPr>
  </w:style>
  <w:style w:type="character" w:customStyle="1" w:styleId="195">
    <w:name w:val="文档结构图 Char"/>
    <w:basedOn w:val="189"/>
    <w:link w:val="194"/>
    <w:semiHidden/>
    <w:qFormat/>
    <w:uiPriority w:val="0"/>
    <w:rPr>
      <w:sz w:val="2"/>
    </w:rPr>
  </w:style>
  <w:style w:type="paragraph" w:customStyle="1" w:styleId="196">
    <w:name w:val="批注文字1"/>
    <w:basedOn w:val="186"/>
    <w:link w:val="197"/>
    <w:semiHidden/>
    <w:qFormat/>
    <w:uiPriority w:val="0"/>
    <w:pPr>
      <w:jc w:val="left"/>
    </w:pPr>
  </w:style>
  <w:style w:type="character" w:customStyle="1" w:styleId="197">
    <w:name w:val="批注文字 Char"/>
    <w:basedOn w:val="189"/>
    <w:link w:val="196"/>
    <w:semiHidden/>
    <w:qFormat/>
    <w:uiPriority w:val="0"/>
    <w:rPr>
      <w:sz w:val="24"/>
      <w:szCs w:val="24"/>
    </w:rPr>
  </w:style>
  <w:style w:type="paragraph" w:customStyle="1" w:styleId="198">
    <w:name w:val="正文文本1"/>
    <w:basedOn w:val="186"/>
    <w:link w:val="199"/>
    <w:qFormat/>
    <w:uiPriority w:val="0"/>
    <w:pPr>
      <w:tabs>
        <w:tab w:val="left" w:pos="3780"/>
      </w:tabs>
      <w:autoSpaceDE w:val="0"/>
      <w:autoSpaceDN w:val="0"/>
      <w:spacing w:line="360" w:lineRule="auto"/>
      <w:outlineLvl w:val="0"/>
    </w:pPr>
    <w:rPr>
      <w:rFonts w:ascii="宋体" w:hAnsi="宋体"/>
      <w:b/>
      <w:bCs/>
      <w:color w:val="FF0000"/>
      <w:sz w:val="24"/>
    </w:rPr>
  </w:style>
  <w:style w:type="character" w:customStyle="1" w:styleId="199">
    <w:name w:val="正文文本 Char"/>
    <w:basedOn w:val="189"/>
    <w:link w:val="198"/>
    <w:semiHidden/>
    <w:qFormat/>
    <w:uiPriority w:val="0"/>
    <w:rPr>
      <w:sz w:val="24"/>
      <w:szCs w:val="24"/>
    </w:rPr>
  </w:style>
  <w:style w:type="paragraph" w:customStyle="1" w:styleId="200">
    <w:name w:val="正文文本缩进1"/>
    <w:basedOn w:val="186"/>
    <w:link w:val="201"/>
    <w:qFormat/>
    <w:uiPriority w:val="0"/>
    <w:pPr>
      <w:spacing w:line="360" w:lineRule="auto"/>
      <w:ind w:firstLine="420"/>
    </w:pPr>
    <w:rPr>
      <w:szCs w:val="20"/>
    </w:rPr>
  </w:style>
  <w:style w:type="character" w:customStyle="1" w:styleId="201">
    <w:name w:val="正文文本缩进 Char"/>
    <w:basedOn w:val="189"/>
    <w:link w:val="200"/>
    <w:qFormat/>
    <w:uiPriority w:val="0"/>
    <w:rPr>
      <w:sz w:val="24"/>
      <w:szCs w:val="24"/>
    </w:rPr>
  </w:style>
  <w:style w:type="paragraph" w:customStyle="1" w:styleId="202">
    <w:name w:val="目录 51"/>
    <w:basedOn w:val="186"/>
    <w:next w:val="186"/>
    <w:semiHidden/>
    <w:qFormat/>
    <w:uiPriority w:val="0"/>
    <w:pPr>
      <w:ind w:left="1680" w:leftChars="800"/>
    </w:pPr>
  </w:style>
  <w:style w:type="paragraph" w:customStyle="1" w:styleId="203">
    <w:name w:val="目录 31"/>
    <w:basedOn w:val="186"/>
    <w:next w:val="186"/>
    <w:semiHidden/>
    <w:qFormat/>
    <w:uiPriority w:val="0"/>
    <w:pPr>
      <w:ind w:left="840" w:leftChars="400"/>
    </w:pPr>
  </w:style>
  <w:style w:type="paragraph" w:customStyle="1" w:styleId="204">
    <w:name w:val="目录 81"/>
    <w:basedOn w:val="186"/>
    <w:next w:val="186"/>
    <w:semiHidden/>
    <w:qFormat/>
    <w:uiPriority w:val="0"/>
    <w:pPr>
      <w:ind w:left="2940" w:leftChars="1400"/>
    </w:pPr>
  </w:style>
  <w:style w:type="paragraph" w:customStyle="1" w:styleId="205">
    <w:name w:val="正文文本缩进 21"/>
    <w:basedOn w:val="186"/>
    <w:link w:val="206"/>
    <w:qFormat/>
    <w:uiPriority w:val="0"/>
    <w:pPr>
      <w:tabs>
        <w:tab w:val="left" w:pos="1260"/>
      </w:tabs>
      <w:spacing w:line="360" w:lineRule="auto"/>
      <w:ind w:firstLine="480" w:firstLineChars="200"/>
    </w:pPr>
    <w:rPr>
      <w:rFonts w:ascii="宋体" w:hAnsi="宋体"/>
      <w:sz w:val="24"/>
    </w:rPr>
  </w:style>
  <w:style w:type="character" w:customStyle="1" w:styleId="206">
    <w:name w:val="正文文本缩进 2 Char"/>
    <w:basedOn w:val="189"/>
    <w:link w:val="205"/>
    <w:semiHidden/>
    <w:qFormat/>
    <w:uiPriority w:val="0"/>
    <w:rPr>
      <w:sz w:val="24"/>
      <w:szCs w:val="24"/>
    </w:rPr>
  </w:style>
  <w:style w:type="paragraph" w:customStyle="1" w:styleId="207">
    <w:name w:val="批注框文本1"/>
    <w:basedOn w:val="186"/>
    <w:link w:val="208"/>
    <w:semiHidden/>
    <w:qFormat/>
    <w:uiPriority w:val="0"/>
    <w:rPr>
      <w:sz w:val="18"/>
      <w:szCs w:val="18"/>
    </w:rPr>
  </w:style>
  <w:style w:type="character" w:customStyle="1" w:styleId="208">
    <w:name w:val="批注框文本 Char"/>
    <w:basedOn w:val="189"/>
    <w:link w:val="207"/>
    <w:semiHidden/>
    <w:qFormat/>
    <w:uiPriority w:val="0"/>
    <w:rPr>
      <w:sz w:val="2"/>
    </w:rPr>
  </w:style>
  <w:style w:type="paragraph" w:customStyle="1" w:styleId="209">
    <w:name w:val="页脚1"/>
    <w:basedOn w:val="186"/>
    <w:link w:val="210"/>
    <w:qFormat/>
    <w:uiPriority w:val="0"/>
    <w:pPr>
      <w:tabs>
        <w:tab w:val="center" w:pos="4153"/>
        <w:tab w:val="right" w:pos="8306"/>
      </w:tabs>
      <w:snapToGrid w:val="0"/>
      <w:jc w:val="left"/>
    </w:pPr>
    <w:rPr>
      <w:sz w:val="18"/>
      <w:szCs w:val="18"/>
    </w:rPr>
  </w:style>
  <w:style w:type="character" w:customStyle="1" w:styleId="210">
    <w:name w:val="页脚 Char"/>
    <w:basedOn w:val="189"/>
    <w:link w:val="209"/>
    <w:semiHidden/>
    <w:qFormat/>
    <w:uiPriority w:val="0"/>
    <w:rPr>
      <w:sz w:val="18"/>
      <w:szCs w:val="18"/>
    </w:rPr>
  </w:style>
  <w:style w:type="paragraph" w:customStyle="1" w:styleId="211">
    <w:name w:val="页眉1"/>
    <w:basedOn w:val="186"/>
    <w:link w:val="212"/>
    <w:qFormat/>
    <w:uiPriority w:val="0"/>
    <w:pPr>
      <w:pBdr>
        <w:bottom w:val="single" w:color="000000" w:sz="6" w:space="1"/>
      </w:pBdr>
      <w:tabs>
        <w:tab w:val="center" w:pos="4153"/>
        <w:tab w:val="right" w:pos="8306"/>
      </w:tabs>
      <w:snapToGrid w:val="0"/>
      <w:jc w:val="center"/>
    </w:pPr>
    <w:rPr>
      <w:sz w:val="18"/>
      <w:szCs w:val="18"/>
    </w:rPr>
  </w:style>
  <w:style w:type="character" w:customStyle="1" w:styleId="212">
    <w:name w:val="页眉 Char"/>
    <w:basedOn w:val="189"/>
    <w:link w:val="211"/>
    <w:semiHidden/>
    <w:qFormat/>
    <w:uiPriority w:val="0"/>
    <w:rPr>
      <w:sz w:val="18"/>
      <w:szCs w:val="18"/>
    </w:rPr>
  </w:style>
  <w:style w:type="paragraph" w:customStyle="1" w:styleId="213">
    <w:name w:val="目录 11"/>
    <w:basedOn w:val="186"/>
    <w:next w:val="186"/>
    <w:qFormat/>
    <w:uiPriority w:val="0"/>
    <w:pPr>
      <w:tabs>
        <w:tab w:val="right" w:leader="dot" w:pos="8455"/>
      </w:tabs>
      <w:spacing w:before="120" w:line="360" w:lineRule="auto"/>
      <w:ind w:firstLine="425"/>
      <w:jc w:val="left"/>
    </w:pPr>
    <w:rPr>
      <w:b/>
      <w:caps/>
      <w:sz w:val="20"/>
      <w:szCs w:val="20"/>
    </w:rPr>
  </w:style>
  <w:style w:type="paragraph" w:customStyle="1" w:styleId="214">
    <w:name w:val="目录 41"/>
    <w:basedOn w:val="186"/>
    <w:next w:val="186"/>
    <w:semiHidden/>
    <w:qFormat/>
    <w:uiPriority w:val="0"/>
    <w:pPr>
      <w:ind w:left="1260" w:leftChars="600"/>
    </w:pPr>
  </w:style>
  <w:style w:type="paragraph" w:customStyle="1" w:styleId="215">
    <w:name w:val="目录 61"/>
    <w:basedOn w:val="186"/>
    <w:next w:val="186"/>
    <w:semiHidden/>
    <w:qFormat/>
    <w:uiPriority w:val="0"/>
    <w:pPr>
      <w:ind w:left="2100" w:leftChars="1000"/>
    </w:pPr>
  </w:style>
  <w:style w:type="paragraph" w:customStyle="1" w:styleId="216">
    <w:name w:val="目录 21"/>
    <w:basedOn w:val="186"/>
    <w:next w:val="186"/>
    <w:semiHidden/>
    <w:qFormat/>
    <w:uiPriority w:val="0"/>
    <w:pPr>
      <w:ind w:left="420" w:leftChars="200"/>
    </w:pPr>
  </w:style>
  <w:style w:type="paragraph" w:customStyle="1" w:styleId="217">
    <w:name w:val="目录 91"/>
    <w:basedOn w:val="186"/>
    <w:next w:val="186"/>
    <w:semiHidden/>
    <w:qFormat/>
    <w:uiPriority w:val="0"/>
    <w:pPr>
      <w:ind w:left="3360" w:leftChars="1600"/>
    </w:pPr>
  </w:style>
  <w:style w:type="paragraph" w:customStyle="1" w:styleId="218">
    <w:name w:val="正文文本 21"/>
    <w:basedOn w:val="186"/>
    <w:link w:val="219"/>
    <w:qFormat/>
    <w:uiPriority w:val="0"/>
    <w:pPr>
      <w:tabs>
        <w:tab w:val="left" w:pos="3780"/>
      </w:tabs>
      <w:autoSpaceDE w:val="0"/>
      <w:autoSpaceDN w:val="0"/>
      <w:spacing w:line="300" w:lineRule="auto"/>
      <w:outlineLvl w:val="0"/>
    </w:pPr>
    <w:rPr>
      <w:rFonts w:ascii="宋体" w:hAnsi="宋体"/>
      <w:b/>
      <w:bCs/>
      <w:sz w:val="24"/>
    </w:rPr>
  </w:style>
  <w:style w:type="character" w:customStyle="1" w:styleId="219">
    <w:name w:val="正文文本 2 Char"/>
    <w:basedOn w:val="189"/>
    <w:link w:val="218"/>
    <w:semiHidden/>
    <w:qFormat/>
    <w:uiPriority w:val="0"/>
    <w:rPr>
      <w:sz w:val="24"/>
      <w:szCs w:val="24"/>
    </w:rPr>
  </w:style>
  <w:style w:type="paragraph" w:customStyle="1" w:styleId="220">
    <w:name w:val="批注主题1"/>
    <w:basedOn w:val="196"/>
    <w:next w:val="196"/>
    <w:link w:val="221"/>
    <w:semiHidden/>
    <w:qFormat/>
    <w:uiPriority w:val="0"/>
    <w:rPr>
      <w:b/>
      <w:bCs/>
    </w:rPr>
  </w:style>
  <w:style w:type="character" w:customStyle="1" w:styleId="221">
    <w:name w:val="批注主题 Char"/>
    <w:basedOn w:val="197"/>
    <w:link w:val="220"/>
    <w:semiHidden/>
    <w:qFormat/>
    <w:uiPriority w:val="0"/>
    <w:rPr>
      <w:b/>
      <w:bCs/>
      <w:sz w:val="24"/>
      <w:szCs w:val="24"/>
    </w:rPr>
  </w:style>
  <w:style w:type="character" w:customStyle="1" w:styleId="222">
    <w:name w:val="页码1"/>
    <w:basedOn w:val="189"/>
    <w:qFormat/>
    <w:uiPriority w:val="0"/>
  </w:style>
  <w:style w:type="character" w:customStyle="1" w:styleId="223">
    <w:name w:val="超链接1"/>
    <w:basedOn w:val="189"/>
    <w:qFormat/>
    <w:uiPriority w:val="0"/>
    <w:rPr>
      <w:color w:val="0000FF"/>
      <w:u w:val="single"/>
    </w:rPr>
  </w:style>
  <w:style w:type="character" w:customStyle="1" w:styleId="224">
    <w:name w:val="批注引用1"/>
    <w:basedOn w:val="189"/>
    <w:semiHidden/>
    <w:qFormat/>
    <w:uiPriority w:val="0"/>
    <w:rPr>
      <w:sz w:val="21"/>
    </w:rPr>
  </w:style>
  <w:style w:type="character" w:customStyle="1" w:styleId="225">
    <w:name w:val="合同正文 Char"/>
    <w:link w:val="226"/>
    <w:qFormat/>
    <w:uiPriority w:val="0"/>
    <w:rPr>
      <w:bCs/>
      <w:sz w:val="24"/>
      <w:szCs w:val="20"/>
    </w:rPr>
  </w:style>
  <w:style w:type="paragraph" w:customStyle="1" w:styleId="226">
    <w:name w:val="合同正文"/>
    <w:basedOn w:val="186"/>
    <w:link w:val="225"/>
    <w:qFormat/>
    <w:uiPriority w:val="0"/>
    <w:pPr>
      <w:spacing w:line="360" w:lineRule="auto"/>
      <w:ind w:firstLine="200" w:firstLineChars="200"/>
    </w:pPr>
    <w:rPr>
      <w:bCs/>
      <w:sz w:val="24"/>
      <w:szCs w:val="20"/>
    </w:rPr>
  </w:style>
  <w:style w:type="character" w:customStyle="1" w:styleId="227">
    <w:name w:val="read"/>
    <w:basedOn w:val="189"/>
    <w:link w:val="186"/>
    <w:qFormat/>
    <w:uiPriority w:val="0"/>
  </w:style>
  <w:style w:type="paragraph" w:customStyle="1" w:styleId="228">
    <w:name w:val="Char Char"/>
    <w:basedOn w:val="186"/>
    <w:qFormat/>
    <w:uiPriority w:val="0"/>
    <w:rPr>
      <w:szCs w:val="20"/>
    </w:rPr>
  </w:style>
  <w:style w:type="paragraph" w:customStyle="1" w:styleId="229">
    <w:name w:val="列出段落"/>
    <w:basedOn w:val="186"/>
    <w:qFormat/>
    <w:uiPriority w:val="0"/>
    <w:pPr>
      <w:ind w:firstLine="420" w:firstLineChars="200"/>
    </w:pPr>
    <w:rPr>
      <w:rFonts w:ascii="Calibri" w:hAnsi="Calibri"/>
      <w:szCs w:val="22"/>
    </w:rPr>
  </w:style>
  <w:style w:type="paragraph" w:customStyle="1" w:styleId="230">
    <w:name w:val="Char Char1"/>
    <w:basedOn w:val="186"/>
    <w:qFormat/>
    <w:uiPriority w:val="0"/>
    <w:rPr>
      <w:szCs w:val="20"/>
    </w:rPr>
  </w:style>
  <w:style w:type="paragraph" w:customStyle="1" w:styleId="231">
    <w:name w:val="修订1"/>
    <w:semiHidden/>
    <w:qFormat/>
    <w:uiPriority w:val="0"/>
    <w:rPr>
      <w:rFonts w:ascii="Times New Roman" w:hAnsi="Times New Roman" w:eastAsia="宋体" w:cs="Times New Roman"/>
      <w:sz w:val="21"/>
      <w:szCs w:val="24"/>
      <w:lang w:val="en-US" w:eastAsia="zh-CN" w:bidi="ar-SA"/>
    </w:rPr>
  </w:style>
  <w:style w:type="paragraph" w:customStyle="1" w:styleId="232">
    <w:name w:val="正文所"/>
    <w:basedOn w:val="186"/>
    <w:qFormat/>
    <w:uiPriority w:val="0"/>
    <w:pPr>
      <w:spacing w:line="360" w:lineRule="auto"/>
      <w:ind w:firstLine="420"/>
    </w:pPr>
  </w:style>
  <w:style w:type="paragraph" w:customStyle="1" w:styleId="233">
    <w:name w:val="Char"/>
    <w:basedOn w:val="186"/>
    <w:qFormat/>
    <w:uiPriority w:val="0"/>
  </w:style>
  <w:style w:type="paragraph" w:customStyle="1" w:styleId="234">
    <w:name w:val="样式 首行缩进:  2 字符 段前: 0.25 行 段后: 0.25 行"/>
    <w:basedOn w:val="186"/>
    <w:qFormat/>
    <w:uiPriority w:val="0"/>
    <w:pPr>
      <w:spacing w:line="300" w:lineRule="auto"/>
      <w:ind w:firstLine="420" w:firstLineChars="200"/>
    </w:pPr>
    <w:rPr>
      <w:szCs w:val="21"/>
    </w:rPr>
  </w:style>
  <w:style w:type="paragraph" w:customStyle="1" w:styleId="235">
    <w:name w:val="Default"/>
    <w:qFormat/>
    <w:uiPriority w:val="0"/>
    <w:pPr>
      <w:widowControl w:val="0"/>
      <w:autoSpaceDE w:val="0"/>
      <w:autoSpaceDN w:val="0"/>
    </w:pPr>
    <w:rPr>
      <w:rFonts w:ascii="宋体" w:hAnsi="Times New Roman" w:eastAsia="宋体" w:cs="Times New Roman"/>
      <w:color w:val="000000"/>
      <w:sz w:val="24"/>
      <w:szCs w:val="24"/>
      <w:lang w:val="en-US" w:eastAsia="zh-CN" w:bidi="ar-SA"/>
    </w:rPr>
  </w:style>
  <w:style w:type="paragraph" w:customStyle="1" w:styleId="236">
    <w:name w:val="默认段落字体 Para Char"/>
    <w:basedOn w:val="186"/>
    <w:qFormat/>
    <w:uiPriority w:val="0"/>
  </w:style>
  <w:style w:type="paragraph" w:customStyle="1" w:styleId="237">
    <w:name w:val="UCAlpha 2"/>
    <w:basedOn w:val="186"/>
    <w:qFormat/>
    <w:uiPriority w:val="0"/>
    <w:pPr>
      <w:widowControl/>
      <w:numPr>
        <w:ilvl w:val="0"/>
        <w:numId w:val="1"/>
      </w:numPr>
      <w:spacing w:after="140" w:line="290" w:lineRule="auto"/>
    </w:pPr>
    <w:rPr>
      <w:rFonts w:ascii="Arial" w:hAnsi="Arial"/>
      <w:sz w:val="20"/>
      <w:lang w:val="en-GB" w:eastAsia="en-US"/>
    </w:rPr>
  </w:style>
  <w:style w:type="paragraph" w:customStyle="1" w:styleId="238">
    <w:name w:val="正文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39">
    <w:name w:val="正文1"/>
    <w:qFormat/>
    <w:uiPriority w:val="0"/>
    <w:pPr>
      <w:widowControl w:val="0"/>
      <w:spacing w:after="200" w:line="276" w:lineRule="auto"/>
      <w:jc w:val="both"/>
    </w:pPr>
    <w:rPr>
      <w:rFonts w:ascii="Arial" w:hAnsi="Arial" w:eastAsia="宋体" w:cs="Times New Roman"/>
      <w:sz w:val="21"/>
      <w:szCs w:val="24"/>
      <w:lang w:val="en-US" w:eastAsia="zh-CN" w:bidi="ar-SA"/>
    </w:rPr>
  </w:style>
  <w:style w:type="character" w:customStyle="1" w:styleId="240">
    <w:name w:val="批注框文本 字符"/>
    <w:basedOn w:val="33"/>
    <w:link w:val="18"/>
    <w:semiHidden/>
    <w:qFormat/>
    <w:uiPriority w:val="99"/>
    <w:rPr>
      <w:sz w:val="18"/>
      <w:szCs w:val="18"/>
    </w:rPr>
  </w:style>
  <w:style w:type="character" w:customStyle="1" w:styleId="241">
    <w:name w:val="批注文字 字符"/>
    <w:basedOn w:val="33"/>
    <w:link w:val="13"/>
    <w:semiHidden/>
    <w:qFormat/>
    <w:uiPriority w:val="99"/>
  </w:style>
  <w:style w:type="character" w:customStyle="1" w:styleId="242">
    <w:name w:val="批注主题 字符"/>
    <w:basedOn w:val="241"/>
    <w:link w:val="30"/>
    <w:semiHidden/>
    <w:qFormat/>
    <w:uiPriority w:val="99"/>
    <w:rPr>
      <w:b/>
      <w:bC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16814</Words>
  <Characters>16814</Characters>
  <Lines>672</Lines>
  <Paragraphs>525</Paragraphs>
  <TotalTime>5</TotalTime>
  <ScaleCrop>false</ScaleCrop>
  <LinksUpToDate>false</LinksUpToDate>
  <CharactersWithSpaces>33103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2026-02-09T00:33:00Z</dcterms:created>
  <dc:creator>白杭改</dc:creator>
  <cp:lastModifiedBy>liwen</cp:lastModifiedBy>
  <dcterms:modified xsi:type="dcterms:W3CDTF">2026-09-17T07:46:30Z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1CDB2230C86D46C8AEAFF9F232B9C22B</vt:lpwstr>
  </property>
</Properties>
</file>