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themeColor="background1"/>
  <w:body>
    <w:p w14:paraId="0FFD6DBF">
      <w:pPr>
        <w:autoSpaceDE w:val="0"/>
        <w:autoSpaceDN w:val="0"/>
        <w:adjustRightInd w:val="0"/>
        <w:spacing w:line="360" w:lineRule="auto"/>
        <w:ind w:firstLine="480" w:firstLineChars="200"/>
        <w:jc w:val="left"/>
        <w:rPr>
          <w:rFonts w:cs="宋体" w:asciiTheme="minorEastAsia" w:hAnsiTheme="minorEastAsia"/>
          <w:kern w:val="0"/>
          <w:sz w:val="24"/>
          <w:szCs w:val="24"/>
        </w:rPr>
      </w:pPr>
    </w:p>
    <w:p w14:paraId="5299C48A">
      <w:pPr>
        <w:ind w:firstLine="200"/>
        <w:jc w:val="center"/>
        <w:rPr>
          <w:rFonts w:ascii="Times New Roman" w:hAnsi="Times New Roman" w:eastAsia="宋体" w:cs="Times New Roman"/>
          <w:b/>
          <w:sz w:val="44"/>
          <w:szCs w:val="20"/>
        </w:rPr>
      </w:pPr>
    </w:p>
    <w:p w14:paraId="4B2A6F74">
      <w:pPr>
        <w:ind w:firstLine="200"/>
        <w:jc w:val="center"/>
        <w:rPr>
          <w:rFonts w:ascii="Times New Roman" w:hAnsi="Times New Roman" w:eastAsia="宋体" w:cs="Times New Roman"/>
          <w:b/>
          <w:sz w:val="44"/>
          <w:szCs w:val="20"/>
        </w:rPr>
      </w:pPr>
      <w:r>
        <w:rPr>
          <w:rFonts w:hint="eastAsia" w:ascii="Times New Roman" w:hAnsi="Times New Roman" w:eastAsia="宋体" w:cs="Times New Roman"/>
          <w:b/>
          <w:sz w:val="44"/>
          <w:szCs w:val="20"/>
        </w:rPr>
        <w:t>博时基金管理有限公司</w:t>
      </w:r>
    </w:p>
    <w:p w14:paraId="7A80E55D">
      <w:pPr>
        <w:ind w:firstLine="200"/>
        <w:jc w:val="center"/>
        <w:rPr>
          <w:rFonts w:ascii="Times New Roman" w:hAnsi="Times New Roman" w:eastAsia="宋体" w:cs="Times New Roman"/>
          <w:b/>
          <w:sz w:val="44"/>
          <w:szCs w:val="20"/>
        </w:rPr>
      </w:pPr>
    </w:p>
    <w:p w14:paraId="1C5C25E7">
      <w:pPr>
        <w:ind w:firstLine="200"/>
        <w:jc w:val="center"/>
        <w:rPr>
          <w:rFonts w:ascii="Times New Roman" w:hAnsi="Times New Roman" w:eastAsia="宋体" w:cs="Times New Roman"/>
          <w:b/>
          <w:sz w:val="44"/>
          <w:szCs w:val="20"/>
        </w:rPr>
      </w:pPr>
    </w:p>
    <w:p w14:paraId="62FD8026">
      <w:pPr>
        <w:ind w:firstLine="200"/>
        <w:jc w:val="center"/>
        <w:rPr>
          <w:rFonts w:ascii="Times New Roman" w:hAnsi="Times New Roman" w:eastAsia="宋体" w:cs="Times New Roman"/>
          <w:b/>
          <w:sz w:val="44"/>
          <w:szCs w:val="20"/>
        </w:rPr>
      </w:pPr>
      <w:r>
        <w:rPr>
          <w:rFonts w:hint="eastAsia" w:ascii="Times New Roman" w:hAnsi="Times New Roman" w:eastAsia="宋体" w:cs="Times New Roman"/>
          <w:b/>
          <w:sz w:val="44"/>
          <w:szCs w:val="20"/>
        </w:rPr>
        <w:t>博时中证有色金属矿业主题交易型开放式指数证券投资基金联接基金</w:t>
      </w:r>
    </w:p>
    <w:p w14:paraId="55469F2B">
      <w:pPr>
        <w:ind w:firstLine="200"/>
        <w:jc w:val="center"/>
        <w:rPr>
          <w:rFonts w:ascii="Times New Roman" w:hAnsi="Times New Roman" w:eastAsia="宋体" w:cs="Times New Roman"/>
          <w:b/>
          <w:sz w:val="44"/>
          <w:szCs w:val="20"/>
        </w:rPr>
      </w:pPr>
      <w:r>
        <w:rPr>
          <w:rFonts w:hint="eastAsia" w:ascii="Times New Roman" w:hAnsi="Times New Roman" w:eastAsia="宋体" w:cs="Times New Roman"/>
          <w:b/>
          <w:sz w:val="44"/>
          <w:szCs w:val="20"/>
        </w:rPr>
        <w:t>基金合同</w:t>
      </w:r>
    </w:p>
    <w:p w14:paraId="0D7971FE">
      <w:pPr>
        <w:ind w:firstLine="200"/>
        <w:jc w:val="center"/>
        <w:rPr>
          <w:rFonts w:ascii="Times New Roman" w:hAnsi="Times New Roman" w:cs="Times New Roman" w:eastAsiaTheme="minorEastAsia"/>
          <w:b/>
          <w:sz w:val="36"/>
          <w:szCs w:val="36"/>
        </w:rPr>
      </w:pPr>
      <w:r>
        <w:rPr>
          <w:rFonts w:hint="eastAsia" w:ascii="Times New Roman" w:hAnsi="Times New Roman" w:cs="Times New Roman"/>
          <w:b/>
          <w:sz w:val="36"/>
          <w:szCs w:val="36"/>
        </w:rPr>
        <w:t>（由</w:t>
      </w:r>
      <w:r>
        <w:rPr>
          <w:rFonts w:hint="eastAsia" w:ascii="Times New Roman" w:hAnsi="Times New Roman" w:cs="Times New Roman" w:eastAsiaTheme="minorEastAsia"/>
          <w:b/>
          <w:sz w:val="36"/>
          <w:szCs w:val="36"/>
        </w:rPr>
        <w:t>博时中证有色金属矿业主题指数证券投资基金</w:t>
      </w:r>
      <w:r>
        <w:rPr>
          <w:rFonts w:hint="eastAsia" w:ascii="Times New Roman" w:hAnsi="Times New Roman" w:cs="Times New Roman"/>
          <w:b/>
          <w:sz w:val="36"/>
          <w:szCs w:val="36"/>
        </w:rPr>
        <w:t>变更而来）</w:t>
      </w:r>
    </w:p>
    <w:p w14:paraId="7039C88A">
      <w:pPr>
        <w:ind w:firstLine="0"/>
        <w:jc w:val="both"/>
        <w:rPr>
          <w:rFonts w:ascii="Times New Roman" w:hAnsi="Times New Roman" w:eastAsia="宋体" w:cs="Times New Roman"/>
          <w:b/>
          <w:sz w:val="44"/>
          <w:szCs w:val="20"/>
        </w:rPr>
      </w:pPr>
    </w:p>
    <w:p w14:paraId="0BA633DB">
      <w:pPr>
        <w:ind w:firstLine="200"/>
        <w:jc w:val="center"/>
        <w:rPr>
          <w:rFonts w:ascii="Times New Roman" w:hAnsi="Times New Roman" w:eastAsia="宋体" w:cs="Times New Roman"/>
          <w:b/>
          <w:sz w:val="44"/>
          <w:szCs w:val="20"/>
        </w:rPr>
      </w:pPr>
    </w:p>
    <w:p w14:paraId="50C3E36E">
      <w:pPr>
        <w:ind w:firstLine="200"/>
        <w:jc w:val="center"/>
        <w:rPr>
          <w:rFonts w:ascii="Times New Roman" w:hAnsi="Times New Roman" w:eastAsia="宋体" w:cs="Times New Roman"/>
          <w:b/>
          <w:sz w:val="44"/>
          <w:szCs w:val="20"/>
        </w:rPr>
      </w:pPr>
    </w:p>
    <w:p w14:paraId="4874F14A">
      <w:pPr>
        <w:ind w:firstLine="200"/>
        <w:jc w:val="center"/>
        <w:rPr>
          <w:rFonts w:ascii="Times New Roman" w:hAnsi="Times New Roman" w:eastAsia="宋体" w:cs="Times New Roman"/>
          <w:b/>
          <w:sz w:val="44"/>
          <w:szCs w:val="20"/>
        </w:rPr>
      </w:pPr>
    </w:p>
    <w:p w14:paraId="1139B65D">
      <w:pPr>
        <w:ind w:firstLine="200"/>
        <w:jc w:val="center"/>
        <w:rPr>
          <w:rFonts w:ascii="Times New Roman" w:hAnsi="Times New Roman" w:eastAsia="宋体" w:cs="Times New Roman"/>
          <w:b/>
          <w:sz w:val="44"/>
          <w:szCs w:val="20"/>
        </w:rPr>
      </w:pPr>
    </w:p>
    <w:p w14:paraId="70DD3838">
      <w:pPr>
        <w:ind w:firstLine="200"/>
        <w:jc w:val="center"/>
        <w:rPr>
          <w:rFonts w:ascii="Times New Roman" w:hAnsi="Times New Roman" w:eastAsia="宋体" w:cs="Times New Roman"/>
          <w:b/>
          <w:sz w:val="44"/>
          <w:szCs w:val="20"/>
        </w:rPr>
      </w:pPr>
      <w:r>
        <w:rPr>
          <w:rFonts w:hint="eastAsia" w:ascii="Times New Roman" w:hAnsi="Times New Roman" w:eastAsia="宋体" w:cs="Times New Roman"/>
          <w:b/>
          <w:sz w:val="44"/>
          <w:szCs w:val="20"/>
        </w:rPr>
        <w:t>基金管理人：</w:t>
      </w:r>
      <w:r>
        <w:rPr>
          <w:rFonts w:ascii="Times New Roman" w:hAnsi="Times New Roman" w:eastAsia="宋体" w:cs="Times New Roman"/>
          <w:b/>
          <w:sz w:val="44"/>
          <w:szCs w:val="20"/>
        </w:rPr>
        <w:t xml:space="preserve"> </w:t>
      </w:r>
      <w:r>
        <w:rPr>
          <w:rFonts w:hint="eastAsia" w:ascii="Times New Roman" w:hAnsi="Times New Roman" w:eastAsia="宋体" w:cs="Times New Roman"/>
          <w:b/>
          <w:sz w:val="44"/>
          <w:szCs w:val="20"/>
        </w:rPr>
        <w:t>博时基金管理有限公司</w:t>
      </w:r>
    </w:p>
    <w:p w14:paraId="766FB092">
      <w:pPr>
        <w:ind w:firstLine="200"/>
        <w:jc w:val="center"/>
        <w:rPr>
          <w:rFonts w:ascii="Times New Roman" w:hAnsi="Times New Roman" w:eastAsia="宋体" w:cs="Times New Roman"/>
          <w:b/>
          <w:sz w:val="44"/>
          <w:szCs w:val="20"/>
        </w:rPr>
      </w:pPr>
      <w:r>
        <w:rPr>
          <w:rFonts w:hint="eastAsia" w:ascii="Times New Roman" w:hAnsi="Times New Roman" w:eastAsia="宋体" w:cs="Times New Roman"/>
          <w:b/>
          <w:sz w:val="44"/>
          <w:szCs w:val="20"/>
        </w:rPr>
        <w:t>基金托管人：</w:t>
      </w:r>
      <w:r>
        <w:rPr>
          <w:rFonts w:ascii="Times New Roman" w:hAnsi="Times New Roman" w:eastAsia="宋体" w:cs="Times New Roman"/>
          <w:b/>
          <w:sz w:val="44"/>
          <w:szCs w:val="20"/>
        </w:rPr>
        <w:t xml:space="preserve"> </w:t>
      </w:r>
      <w:r>
        <w:rPr>
          <w:rFonts w:hint="eastAsia" w:ascii="Times New Roman" w:hAnsi="Times New Roman" w:eastAsia="宋体" w:cs="Times New Roman"/>
          <w:b/>
          <w:sz w:val="44"/>
          <w:szCs w:val="20"/>
        </w:rPr>
        <w:t>交通银行股份有限公司</w:t>
      </w:r>
    </w:p>
    <w:p w14:paraId="24588BBA">
      <w:pPr>
        <w:autoSpaceDE w:val="0"/>
        <w:autoSpaceDN w:val="0"/>
        <w:adjustRightInd w:val="0"/>
        <w:spacing w:line="360" w:lineRule="auto"/>
        <w:ind w:firstLine="480" w:firstLineChars="200"/>
        <w:jc w:val="left"/>
        <w:rPr>
          <w:rFonts w:cs="宋体" w:asciiTheme="minorEastAsia" w:hAnsiTheme="minorEastAsia"/>
          <w:kern w:val="0"/>
          <w:sz w:val="24"/>
          <w:szCs w:val="24"/>
        </w:rPr>
      </w:pPr>
    </w:p>
    <w:p w14:paraId="316EE021">
      <w:pPr>
        <w:autoSpaceDE w:val="0"/>
        <w:autoSpaceDN w:val="0"/>
        <w:adjustRightInd w:val="0"/>
        <w:spacing w:line="360" w:lineRule="auto"/>
        <w:ind w:firstLine="480" w:firstLineChars="200"/>
        <w:jc w:val="left"/>
        <w:rPr>
          <w:rFonts w:cs="宋体" w:asciiTheme="minorEastAsia" w:hAnsiTheme="minorEastAsia"/>
          <w:kern w:val="0"/>
          <w:sz w:val="24"/>
          <w:szCs w:val="24"/>
        </w:rPr>
      </w:pPr>
    </w:p>
    <w:p w14:paraId="26689A9A">
      <w:pPr>
        <w:autoSpaceDE w:val="0"/>
        <w:autoSpaceDN w:val="0"/>
        <w:adjustRightInd w:val="0"/>
        <w:spacing w:line="360" w:lineRule="auto"/>
        <w:ind w:firstLine="480" w:firstLineChars="200"/>
        <w:jc w:val="left"/>
        <w:rPr>
          <w:rFonts w:cs="宋体" w:asciiTheme="minorEastAsia" w:hAnsiTheme="minorEastAsia"/>
          <w:kern w:val="0"/>
          <w:sz w:val="24"/>
          <w:szCs w:val="24"/>
        </w:rPr>
      </w:pPr>
    </w:p>
    <w:p w14:paraId="1855203D">
      <w:pPr>
        <w:autoSpaceDE w:val="0"/>
        <w:autoSpaceDN w:val="0"/>
        <w:adjustRightInd w:val="0"/>
        <w:spacing w:line="360" w:lineRule="auto"/>
        <w:ind w:firstLine="723" w:firstLineChars="200"/>
        <w:jc w:val="center"/>
        <w:rPr>
          <w:rFonts w:ascii="宋体" w:hAnsi="宋体" w:eastAsia="宋体" w:cs="宋体"/>
          <w:b/>
          <w:kern w:val="0"/>
          <w:sz w:val="36"/>
          <w:szCs w:val="36"/>
        </w:rPr>
      </w:pPr>
      <w:r>
        <w:rPr>
          <w:rFonts w:hint="eastAsia" w:ascii="宋体" w:hAnsi="宋体" w:eastAsia="宋体" w:cs="宋体"/>
          <w:b/>
          <w:kern w:val="0"/>
          <w:sz w:val="36"/>
          <w:szCs w:val="36"/>
        </w:rPr>
        <w:t>二零二六年九月</w:t>
      </w:r>
    </w:p>
    <w:p w14:paraId="2E79FF51">
      <w:pPr>
        <w:autoSpaceDE w:val="0"/>
        <w:autoSpaceDN w:val="0"/>
        <w:adjustRightInd w:val="0"/>
        <w:spacing w:line="360" w:lineRule="auto"/>
        <w:ind w:firstLine="480" w:firstLineChars="200"/>
        <w:jc w:val="left"/>
        <w:rPr>
          <w:rFonts w:cs="宋体" w:asciiTheme="minorEastAsia" w:hAnsiTheme="minorEastAsia"/>
          <w:kern w:val="0"/>
          <w:sz w:val="24"/>
          <w:szCs w:val="24"/>
        </w:rPr>
      </w:pPr>
    </w:p>
    <w:p w14:paraId="26668254">
      <w:pPr>
        <w:autoSpaceDE w:val="0"/>
        <w:autoSpaceDN w:val="0"/>
        <w:adjustRightInd w:val="0"/>
        <w:spacing w:line="360" w:lineRule="auto"/>
        <w:ind w:firstLine="480" w:firstLineChars="200"/>
        <w:jc w:val="left"/>
        <w:rPr>
          <w:rFonts w:cs="宋体" w:asciiTheme="minorEastAsia" w:hAnsiTheme="minorEastAsia"/>
          <w:kern w:val="0"/>
          <w:sz w:val="24"/>
          <w:szCs w:val="24"/>
        </w:rPr>
      </w:pPr>
    </w:p>
    <w:p w14:paraId="0407352A">
      <w:pPr>
        <w:autoSpaceDE w:val="0"/>
        <w:autoSpaceDN w:val="0"/>
        <w:adjustRightInd w:val="0"/>
        <w:spacing w:line="360" w:lineRule="auto"/>
        <w:jc w:val="left"/>
        <w:rPr>
          <w:rFonts w:cs="宋体" w:asciiTheme="minorEastAsia" w:hAnsiTheme="minorEastAsia"/>
          <w:kern w:val="0"/>
          <w:sz w:val="24"/>
          <w:szCs w:val="24"/>
        </w:rPr>
      </w:pPr>
      <w:r>
        <w:rPr>
          <w:rFonts w:hint="eastAsia" w:cs="宋体" w:asciiTheme="minorEastAsia" w:hAnsiTheme="minorEastAsia"/>
          <w:kern w:val="0"/>
          <w:sz w:val="24"/>
          <w:szCs w:val="24"/>
        </w:rPr>
        <w:t xml:space="preserve"> </w:t>
      </w:r>
      <w:r>
        <w:rPr>
          <w:rFonts w:cs="宋体" w:asciiTheme="minorEastAsia" w:hAnsiTheme="minorEastAsia"/>
          <w:kern w:val="0"/>
          <w:sz w:val="24"/>
          <w:szCs w:val="24"/>
        </w:rPr>
        <w:t xml:space="preserve">   </w:t>
      </w:r>
    </w:p>
    <w:sdt>
      <w:sdtPr>
        <w:rPr>
          <w:rFonts w:asciiTheme="minorHAnsi" w:hAnsiTheme="minorHAnsi" w:eastAsiaTheme="minorEastAsia" w:cstheme="minorBidi"/>
          <w:b w:val="0"/>
          <w:bCs w:val="0"/>
          <w:color w:val="auto"/>
          <w:kern w:val="2"/>
          <w:sz w:val="21"/>
          <w:szCs w:val="22"/>
          <w:lang w:val="zh-CN"/>
        </w:rPr>
        <w:id w:val="1012728692"/>
      </w:sdtPr>
      <w:sdtEndPr>
        <w:rPr>
          <w:rFonts w:asciiTheme="minorHAnsi" w:hAnsiTheme="minorHAnsi" w:eastAsiaTheme="minorEastAsia" w:cstheme="minorBidi"/>
          <w:b w:val="0"/>
          <w:bCs w:val="0"/>
          <w:color w:val="auto"/>
          <w:kern w:val="2"/>
          <w:sz w:val="21"/>
          <w:szCs w:val="22"/>
          <w:lang w:val="zh-CN"/>
        </w:rPr>
      </w:sdtEndPr>
      <w:sdtContent>
        <w:p w14:paraId="1C2EAF39">
          <w:pPr>
            <w:pStyle w:val="32"/>
            <w:jc w:val="center"/>
            <w:rPr>
              <w:color w:val="000000" w:themeColor="text1"/>
              <w14:textFill>
                <w14:solidFill>
                  <w14:schemeClr w14:val="tx1"/>
                </w14:solidFill>
              </w14:textFill>
            </w:rPr>
          </w:pPr>
          <w:r>
            <w:rPr>
              <w:color w:val="000000" w:themeColor="text1"/>
              <w:lang w:val="zh-CN"/>
              <w14:textFill>
                <w14:solidFill>
                  <w14:schemeClr w14:val="tx1"/>
                </w14:solidFill>
              </w14:textFill>
            </w:rPr>
            <w:t>目录</w:t>
          </w:r>
        </w:p>
        <w:p w14:paraId="3260DC14">
          <w:pPr>
            <w:pStyle w:val="11"/>
            <w:rPr>
              <w:kern w:val="2"/>
              <w:sz w:val="21"/>
            </w:rPr>
          </w:pPr>
          <w:r>
            <w:fldChar w:fldCharType="begin"/>
          </w:r>
          <w:r>
            <w:instrText xml:space="preserve"> TOC \o "1-3" \h \z \u </w:instrText>
          </w:r>
          <w:r>
            <w:fldChar w:fldCharType="separate"/>
          </w:r>
          <w:r>
            <w:fldChar w:fldCharType="begin"/>
          </w:r>
          <w:r>
            <w:instrText xml:space="preserve"> HYPERLINK \l "_Toc471235838" </w:instrText>
          </w:r>
          <w:r>
            <w:fldChar w:fldCharType="separate"/>
          </w:r>
          <w:r>
            <w:rPr>
              <w:rStyle w:val="18"/>
              <w:rFonts w:hint="eastAsia"/>
            </w:rPr>
            <w:t>第一部分</w:t>
          </w:r>
          <w:r>
            <w:rPr>
              <w:rStyle w:val="18"/>
            </w:rPr>
            <w:t xml:space="preserve"> </w:t>
          </w:r>
          <w:r>
            <w:rPr>
              <w:rStyle w:val="18"/>
              <w:rFonts w:hint="eastAsia"/>
            </w:rPr>
            <w:t>前言</w:t>
          </w:r>
          <w:r>
            <w:tab/>
          </w:r>
          <w:r>
            <w:rPr>
              <w:rFonts w:hint="eastAsia"/>
            </w:rPr>
            <w:t>1-</w:t>
          </w:r>
          <w:r>
            <w:fldChar w:fldCharType="begin"/>
          </w:r>
          <w:r>
            <w:instrText xml:space="preserve"> PAGEREF _Toc471235838 \h </w:instrText>
          </w:r>
          <w:r>
            <w:fldChar w:fldCharType="separate"/>
          </w:r>
          <w:r>
            <w:t>1</w:t>
          </w:r>
          <w:r>
            <w:fldChar w:fldCharType="end"/>
          </w:r>
          <w:r>
            <w:fldChar w:fldCharType="end"/>
          </w:r>
        </w:p>
        <w:p w14:paraId="7CE051E2">
          <w:pPr>
            <w:pStyle w:val="11"/>
            <w:rPr>
              <w:kern w:val="2"/>
              <w:sz w:val="21"/>
            </w:rPr>
          </w:pPr>
          <w:r>
            <w:fldChar w:fldCharType="begin"/>
          </w:r>
          <w:r>
            <w:instrText xml:space="preserve"> HYPERLINK \l "_Toc471235839" </w:instrText>
          </w:r>
          <w:r>
            <w:fldChar w:fldCharType="separate"/>
          </w:r>
          <w:r>
            <w:rPr>
              <w:rStyle w:val="18"/>
              <w:rFonts w:hint="eastAsia"/>
            </w:rPr>
            <w:t>第二部分</w:t>
          </w:r>
          <w:r>
            <w:rPr>
              <w:rStyle w:val="18"/>
            </w:rPr>
            <w:t xml:space="preserve"> </w:t>
          </w:r>
          <w:r>
            <w:rPr>
              <w:rStyle w:val="18"/>
              <w:rFonts w:hint="eastAsia"/>
            </w:rPr>
            <w:t>释义</w:t>
          </w:r>
          <w:r>
            <w:tab/>
          </w:r>
          <w:r>
            <w:rPr>
              <w:rFonts w:hint="eastAsia"/>
            </w:rPr>
            <w:t>2-</w:t>
          </w:r>
          <w:r>
            <w:fldChar w:fldCharType="begin"/>
          </w:r>
          <w:r>
            <w:instrText xml:space="preserve"> PAGEREF _Toc471235839 \h </w:instrText>
          </w:r>
          <w:r>
            <w:fldChar w:fldCharType="separate"/>
          </w:r>
          <w:r>
            <w:t>1</w:t>
          </w:r>
          <w:r>
            <w:fldChar w:fldCharType="end"/>
          </w:r>
          <w:r>
            <w:fldChar w:fldCharType="end"/>
          </w:r>
        </w:p>
        <w:p w14:paraId="7D7E9074">
          <w:pPr>
            <w:pStyle w:val="11"/>
            <w:rPr>
              <w:kern w:val="2"/>
              <w:sz w:val="21"/>
            </w:rPr>
          </w:pPr>
          <w:r>
            <w:fldChar w:fldCharType="begin"/>
          </w:r>
          <w:r>
            <w:instrText xml:space="preserve"> HYPERLINK \l "_Toc471235840" </w:instrText>
          </w:r>
          <w:r>
            <w:fldChar w:fldCharType="separate"/>
          </w:r>
          <w:r>
            <w:rPr>
              <w:rStyle w:val="18"/>
              <w:rFonts w:hint="eastAsia"/>
            </w:rPr>
            <w:t>第三部分</w:t>
          </w:r>
          <w:r>
            <w:rPr>
              <w:rStyle w:val="18"/>
            </w:rPr>
            <w:t xml:space="preserve"> </w:t>
          </w:r>
          <w:r>
            <w:rPr>
              <w:rStyle w:val="18"/>
              <w:rFonts w:hint="eastAsia"/>
            </w:rPr>
            <w:t>基金的基本情况</w:t>
          </w:r>
          <w:r>
            <w:tab/>
          </w:r>
          <w:r>
            <w:rPr>
              <w:rFonts w:hint="eastAsia"/>
            </w:rPr>
            <w:t>3-</w:t>
          </w:r>
          <w:r>
            <w:fldChar w:fldCharType="begin"/>
          </w:r>
          <w:r>
            <w:instrText xml:space="preserve"> PAGEREF _Toc471235840 \h </w:instrText>
          </w:r>
          <w:r>
            <w:fldChar w:fldCharType="separate"/>
          </w:r>
          <w:r>
            <w:t>1</w:t>
          </w:r>
          <w:r>
            <w:fldChar w:fldCharType="end"/>
          </w:r>
          <w:r>
            <w:fldChar w:fldCharType="end"/>
          </w:r>
        </w:p>
        <w:p w14:paraId="1B2F4881">
          <w:pPr>
            <w:pStyle w:val="11"/>
            <w:rPr>
              <w:kern w:val="2"/>
              <w:sz w:val="21"/>
            </w:rPr>
          </w:pPr>
          <w:r>
            <w:fldChar w:fldCharType="begin"/>
          </w:r>
          <w:r>
            <w:instrText xml:space="preserve"> HYPERLINK \l "_Toc471235841" </w:instrText>
          </w:r>
          <w:r>
            <w:fldChar w:fldCharType="separate"/>
          </w:r>
          <w:r>
            <w:rPr>
              <w:rStyle w:val="18"/>
              <w:rFonts w:hint="eastAsia"/>
            </w:rPr>
            <w:t>第四部分</w:t>
          </w:r>
          <w:r>
            <w:rPr>
              <w:rStyle w:val="18"/>
            </w:rPr>
            <w:t xml:space="preserve"> </w:t>
          </w:r>
          <w:r>
            <w:rPr>
              <w:rStyle w:val="18"/>
              <w:rFonts w:hint="eastAsia"/>
            </w:rPr>
            <w:t>基金份额的</w:t>
          </w:r>
          <w:r>
            <w:rPr>
              <w:rFonts w:hint="eastAsia"/>
            </w:rPr>
            <w:t>历史沿革</w:t>
          </w:r>
          <w:r>
            <w:tab/>
          </w:r>
          <w:r>
            <w:rPr>
              <w:rFonts w:hint="eastAsia"/>
            </w:rPr>
            <w:t>4-</w:t>
          </w:r>
          <w:r>
            <w:fldChar w:fldCharType="begin"/>
          </w:r>
          <w:r>
            <w:instrText xml:space="preserve"> PAGEREF _Toc471235841 \h </w:instrText>
          </w:r>
          <w:r>
            <w:fldChar w:fldCharType="separate"/>
          </w:r>
          <w:r>
            <w:t>1</w:t>
          </w:r>
          <w:r>
            <w:fldChar w:fldCharType="end"/>
          </w:r>
          <w:r>
            <w:fldChar w:fldCharType="end"/>
          </w:r>
        </w:p>
        <w:p w14:paraId="45ABFF3D">
          <w:pPr>
            <w:pStyle w:val="11"/>
            <w:rPr>
              <w:kern w:val="2"/>
              <w:sz w:val="21"/>
            </w:rPr>
          </w:pPr>
          <w:r>
            <w:fldChar w:fldCharType="begin"/>
          </w:r>
          <w:r>
            <w:instrText xml:space="preserve"> HYPERLINK \l "_Toc471235842" </w:instrText>
          </w:r>
          <w:r>
            <w:fldChar w:fldCharType="separate"/>
          </w:r>
          <w:r>
            <w:rPr>
              <w:rStyle w:val="18"/>
              <w:rFonts w:hint="eastAsia"/>
            </w:rPr>
            <w:t>第五部分</w:t>
          </w:r>
          <w:r>
            <w:rPr>
              <w:rStyle w:val="18"/>
            </w:rPr>
            <w:t xml:space="preserve"> </w:t>
          </w:r>
          <w:r>
            <w:rPr>
              <w:rStyle w:val="18"/>
              <w:rFonts w:hint="eastAsia"/>
            </w:rPr>
            <w:t>基金</w:t>
          </w:r>
          <w:r>
            <w:rPr>
              <w:rFonts w:hint="eastAsia"/>
            </w:rPr>
            <w:t>的存续</w:t>
          </w:r>
          <w:r>
            <w:tab/>
          </w:r>
          <w:r>
            <w:rPr>
              <w:rFonts w:hint="eastAsia"/>
            </w:rPr>
            <w:t>5-</w:t>
          </w:r>
          <w:r>
            <w:fldChar w:fldCharType="begin"/>
          </w:r>
          <w:r>
            <w:instrText xml:space="preserve"> PAGEREF _Toc471235842 \h </w:instrText>
          </w:r>
          <w:r>
            <w:fldChar w:fldCharType="separate"/>
          </w:r>
          <w:r>
            <w:t>1</w:t>
          </w:r>
          <w:r>
            <w:fldChar w:fldCharType="end"/>
          </w:r>
          <w:r>
            <w:fldChar w:fldCharType="end"/>
          </w:r>
        </w:p>
        <w:p w14:paraId="411330BA">
          <w:pPr>
            <w:pStyle w:val="11"/>
            <w:rPr>
              <w:kern w:val="2"/>
              <w:sz w:val="21"/>
            </w:rPr>
          </w:pPr>
          <w:r>
            <w:fldChar w:fldCharType="begin"/>
          </w:r>
          <w:r>
            <w:instrText xml:space="preserve"> HYPERLINK \l "_Toc471235843" </w:instrText>
          </w:r>
          <w:r>
            <w:fldChar w:fldCharType="separate"/>
          </w:r>
          <w:r>
            <w:rPr>
              <w:rStyle w:val="18"/>
              <w:rFonts w:hint="eastAsia"/>
            </w:rPr>
            <w:t>第六部分</w:t>
          </w:r>
          <w:r>
            <w:rPr>
              <w:rStyle w:val="18"/>
            </w:rPr>
            <w:t xml:space="preserve"> </w:t>
          </w:r>
          <w:r>
            <w:rPr>
              <w:rStyle w:val="18"/>
              <w:rFonts w:hint="eastAsia"/>
            </w:rPr>
            <w:t>基金份额的申购与赎回</w:t>
          </w:r>
          <w:r>
            <w:tab/>
          </w:r>
          <w:r>
            <w:rPr>
              <w:rFonts w:hint="eastAsia"/>
            </w:rPr>
            <w:t>6-</w:t>
          </w:r>
          <w:r>
            <w:fldChar w:fldCharType="begin"/>
          </w:r>
          <w:r>
            <w:instrText xml:space="preserve"> PAGEREF _Toc471235843 \h </w:instrText>
          </w:r>
          <w:r>
            <w:fldChar w:fldCharType="separate"/>
          </w:r>
          <w:r>
            <w:t>1</w:t>
          </w:r>
          <w:r>
            <w:fldChar w:fldCharType="end"/>
          </w:r>
          <w:r>
            <w:fldChar w:fldCharType="end"/>
          </w:r>
        </w:p>
        <w:p w14:paraId="20528107">
          <w:pPr>
            <w:pStyle w:val="11"/>
            <w:rPr>
              <w:kern w:val="2"/>
              <w:sz w:val="21"/>
            </w:rPr>
          </w:pPr>
          <w:r>
            <w:fldChar w:fldCharType="begin"/>
          </w:r>
          <w:r>
            <w:instrText xml:space="preserve"> HYPERLINK \l "_Toc471235844" </w:instrText>
          </w:r>
          <w:r>
            <w:fldChar w:fldCharType="separate"/>
          </w:r>
          <w:r>
            <w:rPr>
              <w:rStyle w:val="18"/>
              <w:rFonts w:hint="eastAsia"/>
            </w:rPr>
            <w:t>第七部分</w:t>
          </w:r>
          <w:r>
            <w:rPr>
              <w:rStyle w:val="18"/>
            </w:rPr>
            <w:t xml:space="preserve"> </w:t>
          </w:r>
          <w:r>
            <w:rPr>
              <w:rStyle w:val="18"/>
              <w:rFonts w:hint="eastAsia"/>
            </w:rPr>
            <w:t>基金合同当事人及权利义务</w:t>
          </w:r>
          <w:r>
            <w:tab/>
          </w:r>
          <w:r>
            <w:rPr>
              <w:rFonts w:hint="eastAsia"/>
            </w:rPr>
            <w:t>7-</w:t>
          </w:r>
          <w:r>
            <w:fldChar w:fldCharType="begin"/>
          </w:r>
          <w:r>
            <w:instrText xml:space="preserve"> PAGEREF _Toc471235844 \h </w:instrText>
          </w:r>
          <w:r>
            <w:fldChar w:fldCharType="separate"/>
          </w:r>
          <w:r>
            <w:t>1</w:t>
          </w:r>
          <w:r>
            <w:fldChar w:fldCharType="end"/>
          </w:r>
          <w:r>
            <w:fldChar w:fldCharType="end"/>
          </w:r>
        </w:p>
        <w:p w14:paraId="5A59E1E7">
          <w:pPr>
            <w:pStyle w:val="11"/>
            <w:rPr>
              <w:kern w:val="2"/>
              <w:sz w:val="21"/>
            </w:rPr>
          </w:pPr>
          <w:r>
            <w:fldChar w:fldCharType="begin"/>
          </w:r>
          <w:r>
            <w:instrText xml:space="preserve"> HYPERLINK \l "_Toc471235845" </w:instrText>
          </w:r>
          <w:r>
            <w:fldChar w:fldCharType="separate"/>
          </w:r>
          <w:r>
            <w:rPr>
              <w:rStyle w:val="18"/>
              <w:rFonts w:hint="eastAsia"/>
            </w:rPr>
            <w:t>第八部分</w:t>
          </w:r>
          <w:r>
            <w:rPr>
              <w:rStyle w:val="18"/>
            </w:rPr>
            <w:t xml:space="preserve"> </w:t>
          </w:r>
          <w:r>
            <w:rPr>
              <w:rStyle w:val="18"/>
              <w:rFonts w:hint="eastAsia"/>
            </w:rPr>
            <w:t>基金份额持有人大会</w:t>
          </w:r>
          <w:r>
            <w:tab/>
          </w:r>
          <w:r>
            <w:rPr>
              <w:rFonts w:hint="eastAsia"/>
            </w:rPr>
            <w:t>8-</w:t>
          </w:r>
          <w:r>
            <w:fldChar w:fldCharType="begin"/>
          </w:r>
          <w:r>
            <w:instrText xml:space="preserve"> PAGEREF _Toc471235845 \h </w:instrText>
          </w:r>
          <w:r>
            <w:fldChar w:fldCharType="separate"/>
          </w:r>
          <w:r>
            <w:t>1</w:t>
          </w:r>
          <w:r>
            <w:fldChar w:fldCharType="end"/>
          </w:r>
          <w:r>
            <w:fldChar w:fldCharType="end"/>
          </w:r>
        </w:p>
        <w:p w14:paraId="7DCD8A1F">
          <w:pPr>
            <w:pStyle w:val="11"/>
            <w:rPr>
              <w:kern w:val="2"/>
              <w:sz w:val="21"/>
            </w:rPr>
          </w:pPr>
          <w:r>
            <w:fldChar w:fldCharType="begin"/>
          </w:r>
          <w:r>
            <w:instrText xml:space="preserve"> HYPERLINK \l "_Toc471235846" </w:instrText>
          </w:r>
          <w:r>
            <w:fldChar w:fldCharType="separate"/>
          </w:r>
          <w:r>
            <w:rPr>
              <w:rStyle w:val="18"/>
              <w:rFonts w:hint="eastAsia"/>
            </w:rPr>
            <w:t>第九部分</w:t>
          </w:r>
          <w:r>
            <w:rPr>
              <w:rStyle w:val="18"/>
            </w:rPr>
            <w:t xml:space="preserve"> </w:t>
          </w:r>
          <w:r>
            <w:rPr>
              <w:rStyle w:val="18"/>
              <w:rFonts w:hint="eastAsia"/>
            </w:rPr>
            <w:t>基金管理人、基金托管人的更换条件和程序</w:t>
          </w:r>
          <w:r>
            <w:tab/>
          </w:r>
          <w:r>
            <w:rPr>
              <w:rFonts w:hint="eastAsia"/>
            </w:rPr>
            <w:t>9-</w:t>
          </w:r>
          <w:r>
            <w:fldChar w:fldCharType="begin"/>
          </w:r>
          <w:r>
            <w:instrText xml:space="preserve"> PAGEREF _Toc471235846 \h </w:instrText>
          </w:r>
          <w:r>
            <w:fldChar w:fldCharType="separate"/>
          </w:r>
          <w:r>
            <w:t>1</w:t>
          </w:r>
          <w:r>
            <w:fldChar w:fldCharType="end"/>
          </w:r>
          <w:r>
            <w:fldChar w:fldCharType="end"/>
          </w:r>
        </w:p>
        <w:p w14:paraId="781B12A0">
          <w:pPr>
            <w:pStyle w:val="11"/>
            <w:rPr>
              <w:kern w:val="2"/>
              <w:sz w:val="21"/>
            </w:rPr>
          </w:pPr>
          <w:r>
            <w:fldChar w:fldCharType="begin"/>
          </w:r>
          <w:r>
            <w:instrText xml:space="preserve"> HYPERLINK \l "_Toc471235847" </w:instrText>
          </w:r>
          <w:r>
            <w:fldChar w:fldCharType="separate"/>
          </w:r>
          <w:r>
            <w:rPr>
              <w:rStyle w:val="18"/>
              <w:rFonts w:hint="eastAsia"/>
            </w:rPr>
            <w:t>第十部分</w:t>
          </w:r>
          <w:r>
            <w:rPr>
              <w:rStyle w:val="18"/>
            </w:rPr>
            <w:t xml:space="preserve"> </w:t>
          </w:r>
          <w:r>
            <w:rPr>
              <w:rStyle w:val="18"/>
              <w:rFonts w:hint="eastAsia"/>
            </w:rPr>
            <w:t>基金的托管</w:t>
          </w:r>
          <w:r>
            <w:tab/>
          </w:r>
          <w:r>
            <w:rPr>
              <w:rFonts w:hint="eastAsia"/>
            </w:rPr>
            <w:t>10-</w:t>
          </w:r>
          <w:r>
            <w:fldChar w:fldCharType="begin"/>
          </w:r>
          <w:r>
            <w:instrText xml:space="preserve"> PAGEREF _Toc471235847 \h </w:instrText>
          </w:r>
          <w:r>
            <w:fldChar w:fldCharType="separate"/>
          </w:r>
          <w:r>
            <w:t>1</w:t>
          </w:r>
          <w:r>
            <w:fldChar w:fldCharType="end"/>
          </w:r>
          <w:r>
            <w:fldChar w:fldCharType="end"/>
          </w:r>
        </w:p>
        <w:p w14:paraId="1B4D1166">
          <w:pPr>
            <w:pStyle w:val="11"/>
            <w:rPr>
              <w:kern w:val="2"/>
              <w:sz w:val="21"/>
            </w:rPr>
          </w:pPr>
          <w:r>
            <w:fldChar w:fldCharType="begin"/>
          </w:r>
          <w:r>
            <w:instrText xml:space="preserve"> HYPERLINK \l "_Toc471235848" </w:instrText>
          </w:r>
          <w:r>
            <w:fldChar w:fldCharType="separate"/>
          </w:r>
          <w:r>
            <w:rPr>
              <w:rStyle w:val="18"/>
              <w:rFonts w:hint="eastAsia"/>
            </w:rPr>
            <w:t>第十一部分</w:t>
          </w:r>
          <w:r>
            <w:rPr>
              <w:rStyle w:val="18"/>
            </w:rPr>
            <w:t xml:space="preserve"> </w:t>
          </w:r>
          <w:r>
            <w:rPr>
              <w:rStyle w:val="18"/>
              <w:rFonts w:hint="eastAsia"/>
            </w:rPr>
            <w:t>基金份额的登记</w:t>
          </w:r>
          <w:r>
            <w:tab/>
          </w:r>
          <w:r>
            <w:rPr>
              <w:rFonts w:hint="eastAsia"/>
            </w:rPr>
            <w:t>11-</w:t>
          </w:r>
          <w:r>
            <w:fldChar w:fldCharType="begin"/>
          </w:r>
          <w:r>
            <w:instrText xml:space="preserve"> PAGEREF _Toc471235848 \h </w:instrText>
          </w:r>
          <w:r>
            <w:fldChar w:fldCharType="separate"/>
          </w:r>
          <w:r>
            <w:t>1</w:t>
          </w:r>
          <w:r>
            <w:fldChar w:fldCharType="end"/>
          </w:r>
          <w:r>
            <w:fldChar w:fldCharType="end"/>
          </w:r>
        </w:p>
        <w:p w14:paraId="3E1F0826">
          <w:pPr>
            <w:pStyle w:val="11"/>
            <w:rPr>
              <w:kern w:val="2"/>
              <w:sz w:val="21"/>
            </w:rPr>
          </w:pPr>
          <w:r>
            <w:fldChar w:fldCharType="begin"/>
          </w:r>
          <w:r>
            <w:instrText xml:space="preserve"> HYPERLINK \l "_Toc471235849" </w:instrText>
          </w:r>
          <w:r>
            <w:fldChar w:fldCharType="separate"/>
          </w:r>
          <w:r>
            <w:rPr>
              <w:rStyle w:val="18"/>
              <w:rFonts w:hint="eastAsia"/>
            </w:rPr>
            <w:t>第十二部分</w:t>
          </w:r>
          <w:r>
            <w:rPr>
              <w:rStyle w:val="18"/>
            </w:rPr>
            <w:t xml:space="preserve"> </w:t>
          </w:r>
          <w:r>
            <w:rPr>
              <w:rStyle w:val="18"/>
              <w:rFonts w:hint="eastAsia"/>
            </w:rPr>
            <w:t>基金的投资</w:t>
          </w:r>
          <w:r>
            <w:tab/>
          </w:r>
          <w:r>
            <w:rPr>
              <w:rFonts w:hint="eastAsia"/>
            </w:rPr>
            <w:t>12-</w:t>
          </w:r>
          <w:r>
            <w:fldChar w:fldCharType="begin"/>
          </w:r>
          <w:r>
            <w:instrText xml:space="preserve"> PAGEREF _Toc471235849 \h </w:instrText>
          </w:r>
          <w:r>
            <w:fldChar w:fldCharType="separate"/>
          </w:r>
          <w:r>
            <w:t>1</w:t>
          </w:r>
          <w:r>
            <w:fldChar w:fldCharType="end"/>
          </w:r>
          <w:r>
            <w:fldChar w:fldCharType="end"/>
          </w:r>
        </w:p>
        <w:p w14:paraId="5156E102">
          <w:pPr>
            <w:pStyle w:val="11"/>
            <w:rPr>
              <w:kern w:val="2"/>
              <w:sz w:val="21"/>
            </w:rPr>
          </w:pPr>
          <w:r>
            <w:fldChar w:fldCharType="begin"/>
          </w:r>
          <w:r>
            <w:instrText xml:space="preserve"> HYPERLINK \l "_Toc471235850" </w:instrText>
          </w:r>
          <w:r>
            <w:fldChar w:fldCharType="separate"/>
          </w:r>
          <w:r>
            <w:rPr>
              <w:rStyle w:val="18"/>
              <w:rFonts w:hint="eastAsia"/>
            </w:rPr>
            <w:t>第十三部分</w:t>
          </w:r>
          <w:r>
            <w:rPr>
              <w:rStyle w:val="18"/>
            </w:rPr>
            <w:t xml:space="preserve"> </w:t>
          </w:r>
          <w:r>
            <w:rPr>
              <w:rStyle w:val="18"/>
              <w:rFonts w:hint="eastAsia"/>
            </w:rPr>
            <w:t>基金的财产</w:t>
          </w:r>
          <w:r>
            <w:tab/>
          </w:r>
          <w:r>
            <w:rPr>
              <w:rFonts w:hint="eastAsia"/>
            </w:rPr>
            <w:t>13-</w:t>
          </w:r>
          <w:r>
            <w:fldChar w:fldCharType="begin"/>
          </w:r>
          <w:r>
            <w:instrText xml:space="preserve"> PAGEREF _Toc471235850 \h </w:instrText>
          </w:r>
          <w:r>
            <w:fldChar w:fldCharType="separate"/>
          </w:r>
          <w:r>
            <w:t>1</w:t>
          </w:r>
          <w:r>
            <w:fldChar w:fldCharType="end"/>
          </w:r>
          <w:r>
            <w:fldChar w:fldCharType="end"/>
          </w:r>
        </w:p>
        <w:p w14:paraId="1167C7E6">
          <w:pPr>
            <w:pStyle w:val="11"/>
            <w:rPr>
              <w:kern w:val="2"/>
              <w:sz w:val="21"/>
            </w:rPr>
          </w:pPr>
          <w:r>
            <w:fldChar w:fldCharType="begin"/>
          </w:r>
          <w:r>
            <w:instrText xml:space="preserve"> HYPERLINK \l "_Toc471235851" </w:instrText>
          </w:r>
          <w:r>
            <w:fldChar w:fldCharType="separate"/>
          </w:r>
          <w:r>
            <w:rPr>
              <w:rStyle w:val="18"/>
              <w:rFonts w:hint="eastAsia"/>
            </w:rPr>
            <w:t>第十四部分</w:t>
          </w:r>
          <w:r>
            <w:rPr>
              <w:rStyle w:val="18"/>
            </w:rPr>
            <w:t xml:space="preserve"> </w:t>
          </w:r>
          <w:r>
            <w:rPr>
              <w:rStyle w:val="18"/>
              <w:rFonts w:hint="eastAsia"/>
            </w:rPr>
            <w:t>基金资产估值</w:t>
          </w:r>
          <w:r>
            <w:tab/>
          </w:r>
          <w:r>
            <w:rPr>
              <w:rFonts w:hint="eastAsia"/>
            </w:rPr>
            <w:t>14-</w:t>
          </w:r>
          <w:r>
            <w:fldChar w:fldCharType="begin"/>
          </w:r>
          <w:r>
            <w:instrText xml:space="preserve"> PAGEREF _Toc471235851 \h </w:instrText>
          </w:r>
          <w:r>
            <w:fldChar w:fldCharType="separate"/>
          </w:r>
          <w:r>
            <w:t>1</w:t>
          </w:r>
          <w:r>
            <w:fldChar w:fldCharType="end"/>
          </w:r>
          <w:r>
            <w:fldChar w:fldCharType="end"/>
          </w:r>
        </w:p>
        <w:p w14:paraId="7AEF8F20">
          <w:pPr>
            <w:pStyle w:val="11"/>
            <w:rPr>
              <w:kern w:val="2"/>
              <w:sz w:val="21"/>
            </w:rPr>
          </w:pPr>
          <w:r>
            <w:fldChar w:fldCharType="begin"/>
          </w:r>
          <w:r>
            <w:instrText xml:space="preserve"> HYPERLINK \l "_Toc471235852" </w:instrText>
          </w:r>
          <w:r>
            <w:fldChar w:fldCharType="separate"/>
          </w:r>
          <w:r>
            <w:rPr>
              <w:rStyle w:val="18"/>
              <w:rFonts w:hint="eastAsia"/>
            </w:rPr>
            <w:t>第十五部分</w:t>
          </w:r>
          <w:r>
            <w:rPr>
              <w:rStyle w:val="18"/>
            </w:rPr>
            <w:t xml:space="preserve"> </w:t>
          </w:r>
          <w:r>
            <w:rPr>
              <w:rStyle w:val="18"/>
              <w:rFonts w:hint="eastAsia"/>
            </w:rPr>
            <w:t>基金费用与税收</w:t>
          </w:r>
          <w:r>
            <w:tab/>
          </w:r>
          <w:r>
            <w:rPr>
              <w:rFonts w:hint="eastAsia"/>
            </w:rPr>
            <w:t>15-</w:t>
          </w:r>
          <w:r>
            <w:fldChar w:fldCharType="begin"/>
          </w:r>
          <w:r>
            <w:instrText xml:space="preserve"> PAGEREF _Toc471235852 \h </w:instrText>
          </w:r>
          <w:r>
            <w:fldChar w:fldCharType="separate"/>
          </w:r>
          <w:r>
            <w:t>1</w:t>
          </w:r>
          <w:r>
            <w:fldChar w:fldCharType="end"/>
          </w:r>
          <w:r>
            <w:fldChar w:fldCharType="end"/>
          </w:r>
        </w:p>
        <w:p w14:paraId="64DE6840">
          <w:pPr>
            <w:pStyle w:val="11"/>
            <w:rPr>
              <w:kern w:val="2"/>
              <w:sz w:val="21"/>
            </w:rPr>
          </w:pPr>
          <w:r>
            <w:fldChar w:fldCharType="begin"/>
          </w:r>
          <w:r>
            <w:instrText xml:space="preserve"> HYPERLINK \l "_Toc471235853" </w:instrText>
          </w:r>
          <w:r>
            <w:fldChar w:fldCharType="separate"/>
          </w:r>
          <w:r>
            <w:rPr>
              <w:rStyle w:val="18"/>
              <w:rFonts w:hint="eastAsia"/>
            </w:rPr>
            <w:t>第十六部分</w:t>
          </w:r>
          <w:r>
            <w:rPr>
              <w:rStyle w:val="18"/>
            </w:rPr>
            <w:t xml:space="preserve"> </w:t>
          </w:r>
          <w:r>
            <w:rPr>
              <w:rStyle w:val="18"/>
              <w:rFonts w:hint="eastAsia"/>
            </w:rPr>
            <w:t>基金的收益与分配</w:t>
          </w:r>
          <w:r>
            <w:tab/>
          </w:r>
          <w:r>
            <w:rPr>
              <w:rFonts w:hint="eastAsia"/>
            </w:rPr>
            <w:t>16-</w:t>
          </w:r>
          <w:r>
            <w:fldChar w:fldCharType="begin"/>
          </w:r>
          <w:r>
            <w:instrText xml:space="preserve"> PAGEREF _Toc471235853 \h </w:instrText>
          </w:r>
          <w:r>
            <w:fldChar w:fldCharType="separate"/>
          </w:r>
          <w:r>
            <w:t>1</w:t>
          </w:r>
          <w:r>
            <w:fldChar w:fldCharType="end"/>
          </w:r>
          <w:r>
            <w:fldChar w:fldCharType="end"/>
          </w:r>
        </w:p>
        <w:p w14:paraId="0184B3EB">
          <w:pPr>
            <w:pStyle w:val="11"/>
            <w:rPr>
              <w:kern w:val="2"/>
              <w:sz w:val="21"/>
            </w:rPr>
          </w:pPr>
          <w:r>
            <w:fldChar w:fldCharType="begin"/>
          </w:r>
          <w:r>
            <w:instrText xml:space="preserve"> HYPERLINK \l "_Toc471235854" </w:instrText>
          </w:r>
          <w:r>
            <w:fldChar w:fldCharType="separate"/>
          </w:r>
          <w:r>
            <w:rPr>
              <w:rStyle w:val="18"/>
              <w:rFonts w:hint="eastAsia"/>
            </w:rPr>
            <w:t>第十七部分</w:t>
          </w:r>
          <w:r>
            <w:rPr>
              <w:rStyle w:val="18"/>
            </w:rPr>
            <w:t xml:space="preserve"> </w:t>
          </w:r>
          <w:r>
            <w:rPr>
              <w:rStyle w:val="18"/>
              <w:rFonts w:hint="eastAsia"/>
            </w:rPr>
            <w:t>基金的会计与审计</w:t>
          </w:r>
          <w:r>
            <w:tab/>
          </w:r>
          <w:r>
            <w:rPr>
              <w:rFonts w:hint="eastAsia"/>
            </w:rPr>
            <w:t>17-</w:t>
          </w:r>
          <w:r>
            <w:fldChar w:fldCharType="begin"/>
          </w:r>
          <w:r>
            <w:instrText xml:space="preserve"> PAGEREF _Toc471235854 \h </w:instrText>
          </w:r>
          <w:r>
            <w:fldChar w:fldCharType="separate"/>
          </w:r>
          <w:r>
            <w:t>1</w:t>
          </w:r>
          <w:r>
            <w:fldChar w:fldCharType="end"/>
          </w:r>
          <w:r>
            <w:fldChar w:fldCharType="end"/>
          </w:r>
        </w:p>
        <w:p w14:paraId="150BDF21">
          <w:pPr>
            <w:pStyle w:val="11"/>
            <w:rPr>
              <w:kern w:val="2"/>
              <w:sz w:val="21"/>
            </w:rPr>
          </w:pPr>
          <w:r>
            <w:fldChar w:fldCharType="begin"/>
          </w:r>
          <w:r>
            <w:instrText xml:space="preserve"> HYPERLINK \l "_Toc471235855" </w:instrText>
          </w:r>
          <w:r>
            <w:fldChar w:fldCharType="separate"/>
          </w:r>
          <w:r>
            <w:rPr>
              <w:rStyle w:val="18"/>
              <w:rFonts w:hint="eastAsia"/>
            </w:rPr>
            <w:t>第十八部分</w:t>
          </w:r>
          <w:r>
            <w:rPr>
              <w:rStyle w:val="18"/>
            </w:rPr>
            <w:t xml:space="preserve"> </w:t>
          </w:r>
          <w:r>
            <w:rPr>
              <w:rStyle w:val="18"/>
              <w:rFonts w:hint="eastAsia"/>
            </w:rPr>
            <w:t>基金的信息披露</w:t>
          </w:r>
          <w:r>
            <w:tab/>
          </w:r>
          <w:r>
            <w:rPr>
              <w:rFonts w:hint="eastAsia"/>
            </w:rPr>
            <w:t>18-</w:t>
          </w:r>
          <w:r>
            <w:fldChar w:fldCharType="begin"/>
          </w:r>
          <w:r>
            <w:instrText xml:space="preserve"> PAGEREF _Toc471235855 \h </w:instrText>
          </w:r>
          <w:r>
            <w:fldChar w:fldCharType="separate"/>
          </w:r>
          <w:r>
            <w:t>1</w:t>
          </w:r>
          <w:r>
            <w:fldChar w:fldCharType="end"/>
          </w:r>
          <w:r>
            <w:fldChar w:fldCharType="end"/>
          </w:r>
        </w:p>
        <w:p w14:paraId="7AC0ED80">
          <w:pPr>
            <w:pStyle w:val="11"/>
            <w:rPr>
              <w:kern w:val="2"/>
              <w:sz w:val="21"/>
            </w:rPr>
          </w:pPr>
          <w:r>
            <w:fldChar w:fldCharType="begin"/>
          </w:r>
          <w:r>
            <w:instrText xml:space="preserve"> HYPERLINK \l "_Toc471235856" </w:instrText>
          </w:r>
          <w:r>
            <w:fldChar w:fldCharType="separate"/>
          </w:r>
          <w:r>
            <w:rPr>
              <w:rStyle w:val="18"/>
              <w:rFonts w:hint="eastAsia"/>
            </w:rPr>
            <w:t>第十九部分</w:t>
          </w:r>
          <w:r>
            <w:rPr>
              <w:rStyle w:val="18"/>
            </w:rPr>
            <w:t xml:space="preserve"> </w:t>
          </w:r>
          <w:r>
            <w:rPr>
              <w:rStyle w:val="18"/>
              <w:rFonts w:hint="eastAsia"/>
            </w:rPr>
            <w:t>基金合同的变更、终止与基金财产的清算</w:t>
          </w:r>
          <w:r>
            <w:tab/>
          </w:r>
          <w:r>
            <w:rPr>
              <w:rFonts w:hint="eastAsia"/>
            </w:rPr>
            <w:t>19-</w:t>
          </w:r>
          <w:r>
            <w:fldChar w:fldCharType="begin"/>
          </w:r>
          <w:r>
            <w:instrText xml:space="preserve"> PAGEREF _Toc471235856 \h </w:instrText>
          </w:r>
          <w:r>
            <w:fldChar w:fldCharType="separate"/>
          </w:r>
          <w:r>
            <w:t>1</w:t>
          </w:r>
          <w:r>
            <w:fldChar w:fldCharType="end"/>
          </w:r>
          <w:r>
            <w:fldChar w:fldCharType="end"/>
          </w:r>
        </w:p>
        <w:p w14:paraId="62A58255">
          <w:pPr>
            <w:pStyle w:val="11"/>
            <w:rPr>
              <w:kern w:val="2"/>
              <w:sz w:val="21"/>
            </w:rPr>
          </w:pPr>
          <w:r>
            <w:fldChar w:fldCharType="begin"/>
          </w:r>
          <w:r>
            <w:instrText xml:space="preserve"> HYPERLINK \l "_Toc471235857" </w:instrText>
          </w:r>
          <w:r>
            <w:fldChar w:fldCharType="separate"/>
          </w:r>
          <w:r>
            <w:rPr>
              <w:rStyle w:val="18"/>
              <w:rFonts w:hint="eastAsia"/>
            </w:rPr>
            <w:t>第二十部分</w:t>
          </w:r>
          <w:r>
            <w:rPr>
              <w:rStyle w:val="18"/>
            </w:rPr>
            <w:t xml:space="preserve"> </w:t>
          </w:r>
          <w:r>
            <w:rPr>
              <w:rStyle w:val="18"/>
              <w:rFonts w:hint="eastAsia"/>
            </w:rPr>
            <w:t>违约责任</w:t>
          </w:r>
          <w:r>
            <w:tab/>
          </w:r>
          <w:r>
            <w:rPr>
              <w:rFonts w:hint="eastAsia"/>
            </w:rPr>
            <w:t>20-</w:t>
          </w:r>
          <w:r>
            <w:fldChar w:fldCharType="begin"/>
          </w:r>
          <w:r>
            <w:instrText xml:space="preserve"> PAGEREF _Toc471235857 \h </w:instrText>
          </w:r>
          <w:r>
            <w:fldChar w:fldCharType="separate"/>
          </w:r>
          <w:r>
            <w:t>1</w:t>
          </w:r>
          <w:r>
            <w:fldChar w:fldCharType="end"/>
          </w:r>
          <w:r>
            <w:fldChar w:fldCharType="end"/>
          </w:r>
        </w:p>
        <w:p w14:paraId="742C3BB5">
          <w:pPr>
            <w:pStyle w:val="11"/>
            <w:rPr>
              <w:kern w:val="2"/>
              <w:sz w:val="21"/>
            </w:rPr>
          </w:pPr>
          <w:r>
            <w:fldChar w:fldCharType="begin"/>
          </w:r>
          <w:r>
            <w:instrText xml:space="preserve"> HYPERLINK \l "_Toc471235858" </w:instrText>
          </w:r>
          <w:r>
            <w:fldChar w:fldCharType="separate"/>
          </w:r>
          <w:r>
            <w:rPr>
              <w:rStyle w:val="18"/>
              <w:rFonts w:hint="eastAsia"/>
            </w:rPr>
            <w:t>第二十一部分</w:t>
          </w:r>
          <w:r>
            <w:rPr>
              <w:rStyle w:val="18"/>
            </w:rPr>
            <w:t xml:space="preserve"> </w:t>
          </w:r>
          <w:r>
            <w:rPr>
              <w:rStyle w:val="18"/>
              <w:rFonts w:hint="eastAsia"/>
            </w:rPr>
            <w:t>争议的处理和适用的法律</w:t>
          </w:r>
          <w:r>
            <w:tab/>
          </w:r>
          <w:r>
            <w:rPr>
              <w:rFonts w:hint="eastAsia"/>
            </w:rPr>
            <w:t>21-</w:t>
          </w:r>
          <w:r>
            <w:fldChar w:fldCharType="begin"/>
          </w:r>
          <w:r>
            <w:instrText xml:space="preserve"> PAGEREF _Toc471235858 \h </w:instrText>
          </w:r>
          <w:r>
            <w:fldChar w:fldCharType="separate"/>
          </w:r>
          <w:r>
            <w:t>1</w:t>
          </w:r>
          <w:r>
            <w:fldChar w:fldCharType="end"/>
          </w:r>
          <w:r>
            <w:fldChar w:fldCharType="end"/>
          </w:r>
        </w:p>
        <w:p w14:paraId="584C09C4">
          <w:pPr>
            <w:pStyle w:val="11"/>
            <w:rPr>
              <w:kern w:val="2"/>
              <w:sz w:val="21"/>
            </w:rPr>
          </w:pPr>
          <w:r>
            <w:fldChar w:fldCharType="begin"/>
          </w:r>
          <w:r>
            <w:instrText xml:space="preserve"> HYPERLINK \l "_Toc471235859" </w:instrText>
          </w:r>
          <w:r>
            <w:fldChar w:fldCharType="separate"/>
          </w:r>
          <w:r>
            <w:rPr>
              <w:rStyle w:val="18"/>
              <w:rFonts w:hint="eastAsia"/>
            </w:rPr>
            <w:t>第二十二部分</w:t>
          </w:r>
          <w:r>
            <w:rPr>
              <w:rStyle w:val="18"/>
            </w:rPr>
            <w:t xml:space="preserve"> </w:t>
          </w:r>
          <w:r>
            <w:rPr>
              <w:rStyle w:val="18"/>
              <w:rFonts w:hint="eastAsia"/>
            </w:rPr>
            <w:t>基金合同的效力</w:t>
          </w:r>
          <w:r>
            <w:tab/>
          </w:r>
          <w:r>
            <w:rPr>
              <w:rFonts w:hint="eastAsia"/>
            </w:rPr>
            <w:t>22-</w:t>
          </w:r>
          <w:r>
            <w:fldChar w:fldCharType="begin"/>
          </w:r>
          <w:r>
            <w:instrText xml:space="preserve"> PAGEREF _Toc471235859 \h </w:instrText>
          </w:r>
          <w:r>
            <w:fldChar w:fldCharType="separate"/>
          </w:r>
          <w:r>
            <w:t>1</w:t>
          </w:r>
          <w:r>
            <w:fldChar w:fldCharType="end"/>
          </w:r>
          <w:r>
            <w:fldChar w:fldCharType="end"/>
          </w:r>
        </w:p>
        <w:p w14:paraId="7B71CC9F">
          <w:pPr>
            <w:pStyle w:val="11"/>
            <w:rPr>
              <w:kern w:val="2"/>
              <w:sz w:val="21"/>
            </w:rPr>
          </w:pPr>
          <w:r>
            <w:fldChar w:fldCharType="begin"/>
          </w:r>
          <w:r>
            <w:instrText xml:space="preserve"> HYPERLINK \l "_Toc471235860" </w:instrText>
          </w:r>
          <w:r>
            <w:fldChar w:fldCharType="separate"/>
          </w:r>
          <w:r>
            <w:rPr>
              <w:rStyle w:val="18"/>
              <w:rFonts w:hint="eastAsia"/>
            </w:rPr>
            <w:t>第二十三部分</w:t>
          </w:r>
          <w:r>
            <w:rPr>
              <w:rStyle w:val="18"/>
            </w:rPr>
            <w:t xml:space="preserve"> </w:t>
          </w:r>
          <w:r>
            <w:rPr>
              <w:rStyle w:val="18"/>
              <w:rFonts w:hint="eastAsia"/>
            </w:rPr>
            <w:t>其他事项</w:t>
          </w:r>
          <w:r>
            <w:tab/>
          </w:r>
          <w:r>
            <w:rPr>
              <w:rFonts w:hint="eastAsia"/>
            </w:rPr>
            <w:t>23-</w:t>
          </w:r>
          <w:r>
            <w:fldChar w:fldCharType="begin"/>
          </w:r>
          <w:r>
            <w:instrText xml:space="preserve"> PAGEREF _Toc471235860 \h </w:instrText>
          </w:r>
          <w:r>
            <w:fldChar w:fldCharType="separate"/>
          </w:r>
          <w:r>
            <w:t>1</w:t>
          </w:r>
          <w:r>
            <w:fldChar w:fldCharType="end"/>
          </w:r>
          <w:r>
            <w:fldChar w:fldCharType="end"/>
          </w:r>
        </w:p>
        <w:p w14:paraId="183FBDEB">
          <w:pPr>
            <w:pStyle w:val="11"/>
            <w:rPr>
              <w:kern w:val="2"/>
              <w:sz w:val="21"/>
            </w:rPr>
          </w:pPr>
          <w:r>
            <w:fldChar w:fldCharType="begin"/>
          </w:r>
          <w:r>
            <w:instrText xml:space="preserve"> HYPERLINK \l "_Toc471235861" </w:instrText>
          </w:r>
          <w:r>
            <w:fldChar w:fldCharType="separate"/>
          </w:r>
          <w:r>
            <w:rPr>
              <w:rStyle w:val="18"/>
              <w:rFonts w:hint="eastAsia"/>
            </w:rPr>
            <w:t>第二十四部分</w:t>
          </w:r>
          <w:r>
            <w:rPr>
              <w:rStyle w:val="18"/>
            </w:rPr>
            <w:t xml:space="preserve">  </w:t>
          </w:r>
          <w:r>
            <w:rPr>
              <w:rStyle w:val="18"/>
              <w:rFonts w:hint="eastAsia"/>
            </w:rPr>
            <w:t>基金合同的内容摘要</w:t>
          </w:r>
          <w:r>
            <w:tab/>
          </w:r>
          <w:r>
            <w:rPr>
              <w:rStyle w:val="18"/>
              <w:rFonts w:hint="eastAsia"/>
            </w:rPr>
            <w:t>24-</w:t>
          </w:r>
          <w:r>
            <w:rPr>
              <w:rStyle w:val="18"/>
            </w:rPr>
            <w:t>1</w:t>
          </w:r>
          <w:r>
            <w:rPr>
              <w:rStyle w:val="18"/>
            </w:rPr>
            <w:fldChar w:fldCharType="end"/>
          </w:r>
        </w:p>
        <w:p w14:paraId="4270236F">
          <w:r>
            <w:rPr>
              <w:b/>
              <w:bCs/>
              <w:lang w:val="zh-CN"/>
            </w:rPr>
            <w:fldChar w:fldCharType="end"/>
          </w:r>
        </w:p>
      </w:sdtContent>
    </w:sdt>
    <w:p w14:paraId="3A584D50">
      <w:pPr>
        <w:autoSpaceDE w:val="0"/>
        <w:autoSpaceDN w:val="0"/>
        <w:adjustRightInd w:val="0"/>
        <w:spacing w:line="360" w:lineRule="auto"/>
        <w:ind w:firstLine="480" w:firstLineChars="200"/>
        <w:jc w:val="left"/>
        <w:rPr>
          <w:rFonts w:cs="宋体" w:asciiTheme="minorEastAsia" w:hAnsiTheme="minorEastAsia"/>
          <w:kern w:val="0"/>
          <w:sz w:val="24"/>
          <w:szCs w:val="24"/>
        </w:rPr>
      </w:pPr>
    </w:p>
    <w:p w14:paraId="0A630078">
      <w:pPr>
        <w:autoSpaceDE w:val="0"/>
        <w:autoSpaceDN w:val="0"/>
        <w:adjustRightInd w:val="0"/>
        <w:spacing w:line="360" w:lineRule="auto"/>
        <w:ind w:firstLine="480" w:firstLineChars="200"/>
        <w:jc w:val="left"/>
        <w:rPr>
          <w:rFonts w:cs="宋体" w:asciiTheme="minorEastAsia" w:hAnsiTheme="minorEastAsia"/>
          <w:kern w:val="0"/>
          <w:sz w:val="24"/>
          <w:szCs w:val="24"/>
        </w:rPr>
        <w:sectPr>
          <w:headerReference r:id="rId3" w:type="default"/>
          <w:pgSz w:w="11906" w:h="16838"/>
          <w:pgMar w:top="1440" w:right="1800" w:bottom="1440" w:left="1800" w:header="851" w:footer="992" w:gutter="0"/>
          <w:cols w:space="425" w:num="1"/>
          <w:docGrid w:type="lines" w:linePitch="312" w:charSpace="0"/>
        </w:sectPr>
      </w:pPr>
    </w:p>
    <w:p w14:paraId="43948D17">
      <w:pPr>
        <w:pStyle w:val="2"/>
        <w:spacing w:before="0" w:after="0" w:line="360" w:lineRule="auto"/>
        <w:ind w:firstLine="602" w:firstLineChars="200"/>
        <w:jc w:val="center"/>
        <w:rPr>
          <w:rFonts w:ascii="Times New Roman" w:hAnsi="Times New Roman"/>
          <w:kern w:val="0"/>
          <w:sz w:val="30"/>
          <w:lang w:val="zh-CN"/>
        </w:rPr>
      </w:pPr>
      <w:bookmarkStart w:id="0" w:name="_Toc471235838"/>
      <w:r>
        <w:rPr>
          <w:rFonts w:hint="eastAsia" w:ascii="Times New Roman" w:hAnsi="Times New Roman"/>
          <w:kern w:val="0"/>
          <w:sz w:val="30"/>
          <w:lang w:val="zh-CN"/>
        </w:rPr>
        <w:t>第一部分</w:t>
      </w:r>
      <w:r>
        <w:rPr>
          <w:rFonts w:ascii="Times New Roman" w:hAnsi="Times New Roman"/>
          <w:kern w:val="0"/>
          <w:sz w:val="30"/>
          <w:lang w:val="zh-CN"/>
        </w:rPr>
        <w:t xml:space="preserve"> </w:t>
      </w:r>
      <w:r>
        <w:rPr>
          <w:rFonts w:hint="eastAsia" w:ascii="Times New Roman" w:hAnsi="Times New Roman"/>
          <w:kern w:val="0"/>
          <w:sz w:val="30"/>
          <w:lang w:val="zh-CN"/>
        </w:rPr>
        <w:t>前言</w:t>
      </w:r>
      <w:bookmarkEnd w:id="0"/>
    </w:p>
    <w:p w14:paraId="11E05DF8">
      <w:pPr>
        <w:autoSpaceDE w:val="0"/>
        <w:autoSpaceDN w:val="0"/>
        <w:adjustRightInd w:val="0"/>
        <w:spacing w:line="360" w:lineRule="auto"/>
        <w:ind w:firstLine="480" w:firstLineChars="200"/>
        <w:jc w:val="left"/>
        <w:rPr>
          <w:rFonts w:cs="宋体" w:asciiTheme="minorEastAsia" w:hAnsiTheme="minorEastAsia"/>
          <w:kern w:val="0"/>
          <w:sz w:val="24"/>
          <w:szCs w:val="24"/>
        </w:rPr>
      </w:pPr>
    </w:p>
    <w:p w14:paraId="7CAE99EE">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一、订立本基金合同的目的、依据和原则</w:t>
      </w:r>
    </w:p>
    <w:p w14:paraId="1FB082BB">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cs="Times New Roman" w:asciiTheme="minorEastAsia" w:hAnsiTheme="minorEastAsia"/>
          <w:kern w:val="0"/>
          <w:sz w:val="24"/>
          <w:szCs w:val="24"/>
        </w:rPr>
        <w:t>1</w:t>
      </w:r>
      <w:r>
        <w:rPr>
          <w:rFonts w:hint="eastAsia" w:cs="宋体" w:asciiTheme="minorEastAsia" w:hAnsiTheme="minorEastAsia"/>
          <w:kern w:val="0"/>
          <w:sz w:val="24"/>
          <w:szCs w:val="24"/>
        </w:rPr>
        <w:t>、订立本基金合同的目的是保护投资人合法权益，明确基金合同当事人的权利义务，规范基金运作。</w:t>
      </w:r>
    </w:p>
    <w:p w14:paraId="40AB0975">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cs="Times New Roman" w:asciiTheme="minorEastAsia" w:hAnsiTheme="minorEastAsia"/>
          <w:kern w:val="0"/>
          <w:sz w:val="24"/>
          <w:szCs w:val="24"/>
        </w:rPr>
        <w:t>2</w:t>
      </w:r>
      <w:r>
        <w:rPr>
          <w:rFonts w:hint="eastAsia" w:cs="宋体" w:asciiTheme="minorEastAsia" w:hAnsiTheme="minorEastAsia"/>
          <w:kern w:val="0"/>
          <w:sz w:val="24"/>
          <w:szCs w:val="24"/>
        </w:rPr>
        <w:t>、订立本基金合同的依据是《中华人民共和国民法典》、《中华人民共和国证券投资基金法》（以下简称“《基金法》”）、《公开募集证券投资基金运作管理办法》（以下简称“《运作办法》”）、《公开募集证券投资基金销售机构监督管理办法》（以下简称“《销售办法》”）、《公开募集证券投资基金信息披露管理办法》（以下简称“《信息披露办法》”）、《公开募集开放式证券投资基金流动性风险管理规定》（以下简称“《流动性风险管理规定》”）、《公开募集证券投资基金运作指引第2号——基金中基金指引》、《公开募集证券投资基金运作指引第3号——指数基金指引》（以下简称“《指数基金指引》”）和其他有关法律法规。</w:t>
      </w:r>
    </w:p>
    <w:p w14:paraId="2F3604D4">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cs="Times New Roman" w:asciiTheme="minorEastAsia" w:hAnsiTheme="minorEastAsia"/>
          <w:kern w:val="0"/>
          <w:sz w:val="24"/>
          <w:szCs w:val="24"/>
        </w:rPr>
        <w:t>3</w:t>
      </w:r>
      <w:r>
        <w:rPr>
          <w:rFonts w:hint="eastAsia" w:cs="宋体" w:asciiTheme="minorEastAsia" w:hAnsiTheme="minorEastAsia"/>
          <w:kern w:val="0"/>
          <w:sz w:val="24"/>
          <w:szCs w:val="24"/>
        </w:rPr>
        <w:t>、订立本基金合同的原则是平等自愿、诚实信用、充分保护投资人合法权益。</w:t>
      </w:r>
    </w:p>
    <w:p w14:paraId="517F7760">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二、基金合同是规定基金合同当事人之间权利义务关系的基本法律文件，其他与基金相关的涉及基金合同当事人之间权利义务关系的任何文件或表述，如与基金合同有冲突，均以基金合同为准。基金合同当事人按照《基金法》、基金合同及其他有关规定享有权利、承担义务。</w:t>
      </w:r>
    </w:p>
    <w:p w14:paraId="14ACC3F2">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基金合同的当事人包括基金管理人、基金托管人和基金份额持有人。基金管理人和基金托管人自本基金合同签订并生效之日起成为本基金合同的当事人。基金投资人自依本基金合同取得基金份额，即成为基金份额持有人和本基金合同的当事人，其持有基金份额的行为本身即表明其对基金合同的承认和接受。</w:t>
      </w:r>
    </w:p>
    <w:p w14:paraId="6ACF8FC7">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三、博时中证有色金属矿业主题交易型开放式指数证券投资基金联接基金（以下简称“本基金”）由博时中证有色金属矿业主题指数证券投资基金变更而来,博时中证有色金属矿业主题指数证券投资基金由基金管理人依照《基金法》、基金合同及其他有关规定募集，并经中国证券监督管理委员会(以下简称“中国证监会”)注册。</w:t>
      </w:r>
    </w:p>
    <w:p w14:paraId="49F2FF1C">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中国证监会对博时中证有色金属矿业主题指数证券投资基金募集的注册，并不表明其对本基金的投资价值、市场前景和收益做出实质性判断或保证，也不表明投资于本基金没有风险。</w:t>
      </w:r>
    </w:p>
    <w:p w14:paraId="38624E86">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基金管理人依照恪尽职守、诚实信用、谨慎勤勉的原则管理和运用基金财产，但不保证投资于本基金一定盈利，也不保证最低收益。</w:t>
      </w:r>
    </w:p>
    <w:p w14:paraId="51DE87D6">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投资者应当认真阅读基金招募说明书、基金合同、基金产品资料概要等信息披露文件，自主判断基金的投资价值，自主做出投资决策，自行承担投资风险。</w:t>
      </w:r>
    </w:p>
    <w:p w14:paraId="7261E639">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四、基金管理人、基金托管人在本基金合同之外披露涉及本基金的信息，其内容涉及界定基金合同当事人之间权利义务关系的，如与基金合同有冲突，以基金合同为准。</w:t>
      </w:r>
    </w:p>
    <w:p w14:paraId="6F834533">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五、本基金按照中国法律法规成立并运作，若基金合同的内容与届时有效的法律法规的强制性规定不一致，应当以届时有效的法律法规的规定为准。</w:t>
      </w:r>
    </w:p>
    <w:p w14:paraId="3BCAFE58">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六、本基金因特殊情况（比如流动性不足等）导致本基金无法有效复制和跟踪标的指数时，为更好地实现基金的投资目标，本基金可能会少量投资于依法发行上市的非成份股（包括创业板及其他经中国证监会核准或注册上市的股票、存托凭证）、</w:t>
      </w:r>
      <w:r>
        <w:rPr>
          <w:rFonts w:hint="eastAsia" w:ascii="Arial" w:hAnsi="Arial" w:eastAsia="宋体" w:cs="Arial"/>
          <w:sz w:val="24"/>
          <w:szCs w:val="24"/>
        </w:rPr>
        <w:t>内地与香港股票市场交易互联互通机制下允许买卖的香港联合交易所上市股票（以下简称“</w:t>
      </w:r>
      <w:r>
        <w:rPr>
          <w:rFonts w:hint="eastAsia" w:cs="宋体" w:asciiTheme="minorEastAsia" w:hAnsiTheme="minorEastAsia"/>
          <w:kern w:val="0"/>
          <w:sz w:val="24"/>
          <w:szCs w:val="24"/>
        </w:rPr>
        <w:t>港股通标的股票”）。</w:t>
      </w:r>
    </w:p>
    <w:p w14:paraId="76A9E089">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七、若本基金资产投资于港股通标的股票，会面临港股通机制下因投资环境、投资标的、市场制度以及交易规则等差异带来的特有风险，包括港股市场股价波动较大的风险（港股市场实行T+0回转交易，且对个股不设涨跌幅限制，港股股价可能表现出比A股更为剧烈的股价波动）、汇率风险（汇率波动可能对基金的投资收益造成损失）、港股通机制下交易日不连贯可能带来的风险（在内地开市香港休市的情形下，港股通不能正常交易，港股不能及时卖出，可能带来一定的流动性风险）等。因此本基金可能会选择将部分基金资产投资于港股通标的股票，但基金资产并非必然投资港股通标的股票。</w:t>
      </w:r>
    </w:p>
    <w:p w14:paraId="55C32600">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八、本基金主要投资于目标ETF、标的指数成份股和备选成份股（含存托凭证），投资者投资于本基金面临跟踪误差控制未达约定目标、指数编制机构停止服务、成份股停牌或退市等潜在风险，具体风险详见本基金招募说明书。</w:t>
      </w:r>
    </w:p>
    <w:p w14:paraId="2BC7033B">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九、本基金的投资范围包括存托凭证，除与其他仅投资于境内市场股票的基金所面临的共同风险外，本基金还将面临存托凭证价格大幅波动甚至出现较大亏损的风险，以及与存托凭证发行机制相关的风险。</w:t>
      </w:r>
    </w:p>
    <w:p w14:paraId="76C8A69C">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十、当本基金持有特定资产且存在或潜在大额赎回申请时，基金管理人履行相应程序后，可以启用侧袋机制，具体详见基金合同和招募说明书的有关章节。侧袋机制实施期间，基金管理人将对基金简称进行特殊标识，投资者不得办理侧袋账户份额的申购赎回等业务。请基金份额持有人仔细阅读相关内容并关注本基金启用侧袋机制时的特定风险。</w:t>
      </w:r>
    </w:p>
    <w:p w14:paraId="6ED69918">
      <w:pPr>
        <w:autoSpaceDE w:val="0"/>
        <w:autoSpaceDN w:val="0"/>
        <w:adjustRightInd w:val="0"/>
        <w:spacing w:line="360" w:lineRule="auto"/>
        <w:ind w:firstLine="480" w:firstLineChars="200"/>
        <w:jc w:val="left"/>
        <w:rPr>
          <w:rFonts w:cs="宋体" w:asciiTheme="minorEastAsia" w:hAnsiTheme="minorEastAsia"/>
          <w:kern w:val="0"/>
          <w:sz w:val="24"/>
          <w:szCs w:val="24"/>
        </w:rPr>
      </w:pPr>
    </w:p>
    <w:p w14:paraId="4F15B562">
      <w:pPr>
        <w:autoSpaceDE w:val="0"/>
        <w:autoSpaceDN w:val="0"/>
        <w:adjustRightInd w:val="0"/>
        <w:spacing w:line="360" w:lineRule="auto"/>
        <w:ind w:firstLine="480" w:firstLineChars="200"/>
        <w:jc w:val="left"/>
        <w:rPr>
          <w:rFonts w:cs="宋体" w:asciiTheme="minorEastAsia" w:hAnsiTheme="minorEastAsia"/>
          <w:kern w:val="0"/>
          <w:sz w:val="24"/>
          <w:szCs w:val="24"/>
        </w:rPr>
        <w:sectPr>
          <w:footerReference r:id="rId4" w:type="default"/>
          <w:pgSz w:w="11906" w:h="16838"/>
          <w:pgMar w:top="1440" w:right="1800" w:bottom="1440" w:left="1800" w:header="851" w:footer="992" w:gutter="0"/>
          <w:pgNumType w:start="1"/>
          <w:cols w:space="425" w:num="1"/>
          <w:docGrid w:type="lines" w:linePitch="312" w:charSpace="0"/>
        </w:sectPr>
      </w:pPr>
    </w:p>
    <w:p w14:paraId="40D7AAB5">
      <w:pPr>
        <w:pStyle w:val="2"/>
        <w:spacing w:before="0" w:after="0" w:line="360" w:lineRule="auto"/>
        <w:ind w:firstLine="602" w:firstLineChars="200"/>
        <w:jc w:val="center"/>
        <w:rPr>
          <w:rFonts w:ascii="Times New Roman" w:hAnsi="Times New Roman"/>
          <w:kern w:val="0"/>
          <w:sz w:val="30"/>
          <w:lang w:val="zh-CN"/>
        </w:rPr>
      </w:pPr>
      <w:bookmarkStart w:id="1" w:name="_Toc471235839"/>
      <w:r>
        <w:rPr>
          <w:rFonts w:hint="eastAsia" w:ascii="Times New Roman" w:hAnsi="Times New Roman"/>
          <w:kern w:val="0"/>
          <w:sz w:val="30"/>
          <w:lang w:val="zh-CN"/>
        </w:rPr>
        <w:t>第二部分</w:t>
      </w:r>
      <w:r>
        <w:rPr>
          <w:rFonts w:ascii="Times New Roman" w:hAnsi="Times New Roman"/>
          <w:kern w:val="0"/>
          <w:sz w:val="30"/>
          <w:lang w:val="zh-CN"/>
        </w:rPr>
        <w:t xml:space="preserve"> </w:t>
      </w:r>
      <w:r>
        <w:rPr>
          <w:rFonts w:hint="eastAsia" w:ascii="Times New Roman" w:hAnsi="Times New Roman"/>
          <w:kern w:val="0"/>
          <w:sz w:val="30"/>
          <w:lang w:val="zh-CN"/>
        </w:rPr>
        <w:t>释义</w:t>
      </w:r>
      <w:bookmarkEnd w:id="1"/>
    </w:p>
    <w:p w14:paraId="7B6424B8">
      <w:pPr>
        <w:autoSpaceDE w:val="0"/>
        <w:autoSpaceDN w:val="0"/>
        <w:adjustRightInd w:val="0"/>
        <w:spacing w:line="360" w:lineRule="auto"/>
        <w:ind w:firstLine="480" w:firstLineChars="200"/>
        <w:jc w:val="left"/>
        <w:rPr>
          <w:rFonts w:cs="宋体" w:asciiTheme="minorEastAsia" w:hAnsiTheme="minorEastAsia"/>
          <w:kern w:val="0"/>
          <w:sz w:val="24"/>
          <w:szCs w:val="24"/>
        </w:rPr>
      </w:pPr>
    </w:p>
    <w:p w14:paraId="6FA04EFE">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在本基金合同中，除非文意另有所指，下列词语或简称具有如下含义：</w:t>
      </w:r>
    </w:p>
    <w:p w14:paraId="6C16ECE3">
      <w:pPr>
        <w:numPr>
          <w:ilvl w:val="0"/>
          <w:numId w:val="1"/>
        </w:num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基金或本基金：指博时中证有色金属矿业主题交易型开放式指数证券投资基金联接基金,本基金由博时中证有色金属矿业主题指数证券投资基金变更而来</w:t>
      </w:r>
    </w:p>
    <w:p w14:paraId="14C56D94">
      <w:pPr>
        <w:numPr>
          <w:ilvl w:val="0"/>
          <w:numId w:val="1"/>
        </w:num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基金管理人：指博时基金管理有限公司</w:t>
      </w:r>
    </w:p>
    <w:p w14:paraId="49176970">
      <w:pPr>
        <w:numPr>
          <w:ilvl w:val="0"/>
          <w:numId w:val="1"/>
        </w:num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基金托管人：指交通银行股份有限公司</w:t>
      </w:r>
    </w:p>
    <w:p w14:paraId="1B83F473">
      <w:pPr>
        <w:numPr>
          <w:ilvl w:val="0"/>
          <w:numId w:val="1"/>
        </w:num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基金合同或本基金合同：指《博时中证有色金属矿业主题交易型开放式指数证券投资基金联接基金基金合同》及对本基金合同的任何有效修订和补充</w:t>
      </w:r>
    </w:p>
    <w:p w14:paraId="6F3D26A3">
      <w:pPr>
        <w:numPr>
          <w:ilvl w:val="0"/>
          <w:numId w:val="1"/>
        </w:num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托管协议：指基金管理人与基金托管人就本基金签订之《博时中证有色金属矿业主题交易型开放式指数证券投资基金联接基金托管协议》及对该托管协议的任何有效修订和补充</w:t>
      </w:r>
    </w:p>
    <w:p w14:paraId="77A3FD1B">
      <w:pPr>
        <w:numPr>
          <w:ilvl w:val="0"/>
          <w:numId w:val="1"/>
        </w:num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招募说明书：指《博时中证有色金属矿业主题交易型开放式指数证券投资基金联接基金招募说明书》及其更新</w:t>
      </w:r>
    </w:p>
    <w:p w14:paraId="1F4DF979">
      <w:pPr>
        <w:numPr>
          <w:ilvl w:val="0"/>
          <w:numId w:val="1"/>
        </w:num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基金产品资料概要：指《博时中证有色金属矿业主题交易型开放式指数证券投资基金联接基金基金产品资料概要》及其更新</w:t>
      </w:r>
    </w:p>
    <w:p w14:paraId="220B72B1">
      <w:pPr>
        <w:numPr>
          <w:ilvl w:val="0"/>
          <w:numId w:val="1"/>
        </w:num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法律法规：指中国现行有效并公布实施的法律、行政法规、规范性文件司法解释、行政规章以及其他对基金合同当事人有约束力的决定、决议、通知等</w:t>
      </w:r>
    </w:p>
    <w:p w14:paraId="0CC2325D">
      <w:pPr>
        <w:numPr>
          <w:ilvl w:val="0"/>
          <w:numId w:val="1"/>
        </w:num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《基金法》：指</w:t>
      </w:r>
      <w:r>
        <w:rPr>
          <w:rFonts w:cs="Times New Roman" w:asciiTheme="minorEastAsia" w:hAnsiTheme="minorEastAsia"/>
          <w:kern w:val="0"/>
          <w:sz w:val="24"/>
          <w:szCs w:val="24"/>
        </w:rPr>
        <w:t>2003</w:t>
      </w:r>
      <w:r>
        <w:rPr>
          <w:rFonts w:hint="eastAsia" w:cs="宋体" w:asciiTheme="minorEastAsia" w:hAnsiTheme="minorEastAsia"/>
          <w:kern w:val="0"/>
          <w:sz w:val="24"/>
          <w:szCs w:val="24"/>
        </w:rPr>
        <w:t>年</w:t>
      </w:r>
      <w:r>
        <w:rPr>
          <w:rFonts w:cs="Times New Roman" w:asciiTheme="minorEastAsia" w:hAnsiTheme="minorEastAsia"/>
          <w:kern w:val="0"/>
          <w:sz w:val="24"/>
          <w:szCs w:val="24"/>
        </w:rPr>
        <w:t>10</w:t>
      </w:r>
      <w:r>
        <w:rPr>
          <w:rFonts w:hint="eastAsia" w:cs="宋体" w:asciiTheme="minorEastAsia" w:hAnsiTheme="minorEastAsia"/>
          <w:kern w:val="0"/>
          <w:sz w:val="24"/>
          <w:szCs w:val="24"/>
        </w:rPr>
        <w:t>月</w:t>
      </w:r>
      <w:r>
        <w:rPr>
          <w:rFonts w:cs="Times New Roman" w:asciiTheme="minorEastAsia" w:hAnsiTheme="minorEastAsia"/>
          <w:kern w:val="0"/>
          <w:sz w:val="24"/>
          <w:szCs w:val="24"/>
        </w:rPr>
        <w:t>28</w:t>
      </w:r>
      <w:r>
        <w:rPr>
          <w:rFonts w:hint="eastAsia" w:cs="宋体" w:asciiTheme="minorEastAsia" w:hAnsiTheme="minorEastAsia"/>
          <w:kern w:val="0"/>
          <w:sz w:val="24"/>
          <w:szCs w:val="24"/>
        </w:rPr>
        <w:t>日经第十届全国人民代表大会常务委员会第五次会议通过，经</w:t>
      </w:r>
      <w:r>
        <w:rPr>
          <w:rFonts w:cs="Times New Roman" w:asciiTheme="minorEastAsia" w:hAnsiTheme="minorEastAsia"/>
          <w:kern w:val="0"/>
          <w:sz w:val="24"/>
          <w:szCs w:val="24"/>
        </w:rPr>
        <w:t>2012</w:t>
      </w:r>
      <w:r>
        <w:rPr>
          <w:rFonts w:hint="eastAsia" w:cs="宋体" w:asciiTheme="minorEastAsia" w:hAnsiTheme="minorEastAsia"/>
          <w:kern w:val="0"/>
          <w:sz w:val="24"/>
          <w:szCs w:val="24"/>
        </w:rPr>
        <w:t>年</w:t>
      </w:r>
      <w:r>
        <w:rPr>
          <w:rFonts w:cs="Times New Roman" w:asciiTheme="minorEastAsia" w:hAnsiTheme="minorEastAsia"/>
          <w:kern w:val="0"/>
          <w:sz w:val="24"/>
          <w:szCs w:val="24"/>
        </w:rPr>
        <w:t>12</w:t>
      </w:r>
      <w:r>
        <w:rPr>
          <w:rFonts w:hint="eastAsia" w:cs="宋体" w:asciiTheme="minorEastAsia" w:hAnsiTheme="minorEastAsia"/>
          <w:kern w:val="0"/>
          <w:sz w:val="24"/>
          <w:szCs w:val="24"/>
        </w:rPr>
        <w:t>月</w:t>
      </w:r>
      <w:r>
        <w:rPr>
          <w:rFonts w:cs="Times New Roman" w:asciiTheme="minorEastAsia" w:hAnsiTheme="minorEastAsia"/>
          <w:kern w:val="0"/>
          <w:sz w:val="24"/>
          <w:szCs w:val="24"/>
        </w:rPr>
        <w:t>28</w:t>
      </w:r>
      <w:r>
        <w:rPr>
          <w:rFonts w:hint="eastAsia" w:cs="宋体" w:asciiTheme="minorEastAsia" w:hAnsiTheme="minorEastAsia"/>
          <w:kern w:val="0"/>
          <w:sz w:val="24"/>
          <w:szCs w:val="24"/>
        </w:rPr>
        <w:t>日第十一届全国人民代表大会常务委员会第</w:t>
      </w:r>
      <w:r>
        <w:rPr>
          <w:rFonts w:cs="Times New Roman" w:asciiTheme="minorEastAsia" w:hAnsiTheme="minorEastAsia"/>
          <w:kern w:val="0"/>
          <w:sz w:val="24"/>
          <w:szCs w:val="24"/>
        </w:rPr>
        <w:t xml:space="preserve">30 </w:t>
      </w:r>
      <w:r>
        <w:rPr>
          <w:rFonts w:hint="eastAsia" w:cs="宋体" w:asciiTheme="minorEastAsia" w:hAnsiTheme="minorEastAsia"/>
          <w:kern w:val="0"/>
          <w:sz w:val="24"/>
          <w:szCs w:val="24"/>
        </w:rPr>
        <w:t>次会议修订，自</w:t>
      </w:r>
      <w:r>
        <w:rPr>
          <w:rFonts w:cs="Times New Roman" w:asciiTheme="minorEastAsia" w:hAnsiTheme="minorEastAsia"/>
          <w:kern w:val="0"/>
          <w:sz w:val="24"/>
          <w:szCs w:val="24"/>
        </w:rPr>
        <w:t>2013</w:t>
      </w:r>
      <w:r>
        <w:rPr>
          <w:rFonts w:hint="eastAsia" w:cs="宋体" w:asciiTheme="minorEastAsia" w:hAnsiTheme="minorEastAsia"/>
          <w:kern w:val="0"/>
          <w:sz w:val="24"/>
          <w:szCs w:val="24"/>
        </w:rPr>
        <w:t>年</w:t>
      </w:r>
      <w:r>
        <w:rPr>
          <w:rFonts w:cs="Times New Roman" w:asciiTheme="minorEastAsia" w:hAnsiTheme="minorEastAsia"/>
          <w:kern w:val="0"/>
          <w:sz w:val="24"/>
          <w:szCs w:val="24"/>
        </w:rPr>
        <w:t>6</w:t>
      </w:r>
      <w:r>
        <w:rPr>
          <w:rFonts w:hint="eastAsia" w:cs="宋体" w:asciiTheme="minorEastAsia" w:hAnsiTheme="minorEastAsia"/>
          <w:kern w:val="0"/>
          <w:sz w:val="24"/>
          <w:szCs w:val="24"/>
        </w:rPr>
        <w:t>月</w:t>
      </w:r>
      <w:r>
        <w:rPr>
          <w:rFonts w:cs="Times New Roman" w:asciiTheme="minorEastAsia" w:hAnsiTheme="minorEastAsia"/>
          <w:kern w:val="0"/>
          <w:sz w:val="24"/>
          <w:szCs w:val="24"/>
        </w:rPr>
        <w:t>1</w:t>
      </w:r>
      <w:r>
        <w:rPr>
          <w:rFonts w:hint="eastAsia" w:cs="宋体" w:asciiTheme="minorEastAsia" w:hAnsiTheme="minorEastAsia"/>
          <w:kern w:val="0"/>
          <w:sz w:val="24"/>
          <w:szCs w:val="24"/>
        </w:rPr>
        <w:t>日起实施，并经</w:t>
      </w:r>
      <w:r>
        <w:rPr>
          <w:rFonts w:cs="Times New Roman" w:asciiTheme="minorEastAsia" w:hAnsiTheme="minorEastAsia"/>
          <w:kern w:val="0"/>
          <w:sz w:val="24"/>
          <w:szCs w:val="24"/>
        </w:rPr>
        <w:t>2015</w:t>
      </w:r>
      <w:r>
        <w:rPr>
          <w:rFonts w:hint="eastAsia" w:cs="宋体" w:asciiTheme="minorEastAsia" w:hAnsiTheme="minorEastAsia"/>
          <w:kern w:val="0"/>
          <w:sz w:val="24"/>
          <w:szCs w:val="24"/>
        </w:rPr>
        <w:t>年</w:t>
      </w:r>
      <w:r>
        <w:rPr>
          <w:rFonts w:cs="Times New Roman" w:asciiTheme="minorEastAsia" w:hAnsiTheme="minorEastAsia"/>
          <w:kern w:val="0"/>
          <w:sz w:val="24"/>
          <w:szCs w:val="24"/>
        </w:rPr>
        <w:t>4</w:t>
      </w:r>
      <w:r>
        <w:rPr>
          <w:rFonts w:hint="eastAsia" w:cs="宋体" w:asciiTheme="minorEastAsia" w:hAnsiTheme="minorEastAsia"/>
          <w:kern w:val="0"/>
          <w:sz w:val="24"/>
          <w:szCs w:val="24"/>
        </w:rPr>
        <w:t>月</w:t>
      </w:r>
      <w:r>
        <w:rPr>
          <w:rFonts w:cs="Times New Roman" w:asciiTheme="minorEastAsia" w:hAnsiTheme="minorEastAsia"/>
          <w:kern w:val="0"/>
          <w:sz w:val="24"/>
          <w:szCs w:val="24"/>
        </w:rPr>
        <w:t>24</w:t>
      </w:r>
      <w:r>
        <w:rPr>
          <w:rFonts w:hint="eastAsia" w:cs="宋体" w:asciiTheme="minorEastAsia" w:hAnsiTheme="minorEastAsia"/>
          <w:kern w:val="0"/>
          <w:sz w:val="24"/>
          <w:szCs w:val="24"/>
        </w:rPr>
        <w:t>日第十二届全国人民代表大会常务委员会第十四次会议《全国人民代表大会常务委员会关于修改</w:t>
      </w:r>
      <w:r>
        <w:rPr>
          <w:rFonts w:cs="Times New Roman" w:asciiTheme="minorEastAsia" w:hAnsiTheme="minorEastAsia"/>
          <w:kern w:val="0"/>
          <w:sz w:val="24"/>
          <w:szCs w:val="24"/>
        </w:rPr>
        <w:t>&lt;</w:t>
      </w:r>
      <w:r>
        <w:rPr>
          <w:rFonts w:hint="eastAsia" w:cs="宋体" w:asciiTheme="minorEastAsia" w:hAnsiTheme="minorEastAsia"/>
          <w:kern w:val="0"/>
          <w:sz w:val="24"/>
          <w:szCs w:val="24"/>
        </w:rPr>
        <w:t>中华人民共和国港口法</w:t>
      </w:r>
      <w:r>
        <w:rPr>
          <w:rFonts w:cs="Times New Roman" w:asciiTheme="minorEastAsia" w:hAnsiTheme="minorEastAsia"/>
          <w:kern w:val="0"/>
          <w:sz w:val="24"/>
          <w:szCs w:val="24"/>
        </w:rPr>
        <w:t>&gt;</w:t>
      </w:r>
      <w:r>
        <w:rPr>
          <w:rFonts w:hint="eastAsia" w:cs="宋体" w:asciiTheme="minorEastAsia" w:hAnsiTheme="minorEastAsia"/>
          <w:kern w:val="0"/>
          <w:sz w:val="24"/>
          <w:szCs w:val="24"/>
        </w:rPr>
        <w:t>等七部法律的决定》修正的《中华人民共和国证券投资基金法》及颁布机关对其不时做出的修订</w:t>
      </w:r>
    </w:p>
    <w:p w14:paraId="6DC231EF">
      <w:pPr>
        <w:numPr>
          <w:ilvl w:val="0"/>
          <w:numId w:val="1"/>
        </w:num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《销售办法》：指中国证监会</w:t>
      </w:r>
      <w:r>
        <w:rPr>
          <w:rFonts w:cs="Times New Roman" w:asciiTheme="minorEastAsia" w:hAnsiTheme="minorEastAsia"/>
          <w:kern w:val="0"/>
          <w:sz w:val="24"/>
          <w:szCs w:val="24"/>
        </w:rPr>
        <w:t>2020</w:t>
      </w:r>
      <w:r>
        <w:rPr>
          <w:rFonts w:hint="eastAsia" w:cs="宋体" w:asciiTheme="minorEastAsia" w:hAnsiTheme="minorEastAsia"/>
          <w:kern w:val="0"/>
          <w:sz w:val="24"/>
          <w:szCs w:val="24"/>
        </w:rPr>
        <w:t>年</w:t>
      </w:r>
      <w:r>
        <w:rPr>
          <w:rFonts w:cs="Times New Roman" w:asciiTheme="minorEastAsia" w:hAnsiTheme="minorEastAsia"/>
          <w:kern w:val="0"/>
          <w:sz w:val="24"/>
          <w:szCs w:val="24"/>
        </w:rPr>
        <w:t>8</w:t>
      </w:r>
      <w:r>
        <w:rPr>
          <w:rFonts w:hint="eastAsia" w:cs="宋体" w:asciiTheme="minorEastAsia" w:hAnsiTheme="minorEastAsia"/>
          <w:kern w:val="0"/>
          <w:sz w:val="24"/>
          <w:szCs w:val="24"/>
        </w:rPr>
        <w:t>月</w:t>
      </w:r>
      <w:r>
        <w:rPr>
          <w:rFonts w:cs="Times New Roman" w:asciiTheme="minorEastAsia" w:hAnsiTheme="minorEastAsia"/>
          <w:kern w:val="0"/>
          <w:sz w:val="24"/>
          <w:szCs w:val="24"/>
        </w:rPr>
        <w:t>28</w:t>
      </w:r>
      <w:r>
        <w:rPr>
          <w:rFonts w:hint="eastAsia" w:cs="宋体" w:asciiTheme="minorEastAsia" w:hAnsiTheme="minorEastAsia"/>
          <w:kern w:val="0"/>
          <w:sz w:val="24"/>
          <w:szCs w:val="24"/>
        </w:rPr>
        <w:t>日颁布、同年</w:t>
      </w:r>
      <w:r>
        <w:rPr>
          <w:rFonts w:cs="Times New Roman" w:asciiTheme="minorEastAsia" w:hAnsiTheme="minorEastAsia"/>
          <w:kern w:val="0"/>
          <w:sz w:val="24"/>
          <w:szCs w:val="24"/>
        </w:rPr>
        <w:t>10</w:t>
      </w:r>
      <w:r>
        <w:rPr>
          <w:rFonts w:hint="eastAsia" w:cs="宋体" w:asciiTheme="minorEastAsia" w:hAnsiTheme="minorEastAsia"/>
          <w:kern w:val="0"/>
          <w:sz w:val="24"/>
          <w:szCs w:val="24"/>
        </w:rPr>
        <w:t>月</w:t>
      </w:r>
      <w:r>
        <w:rPr>
          <w:rFonts w:cs="Times New Roman" w:asciiTheme="minorEastAsia" w:hAnsiTheme="minorEastAsia"/>
          <w:kern w:val="0"/>
          <w:sz w:val="24"/>
          <w:szCs w:val="24"/>
        </w:rPr>
        <w:t>1</w:t>
      </w:r>
      <w:r>
        <w:rPr>
          <w:rFonts w:hint="eastAsia" w:cs="宋体" w:asciiTheme="minorEastAsia" w:hAnsiTheme="minorEastAsia"/>
          <w:kern w:val="0"/>
          <w:sz w:val="24"/>
          <w:szCs w:val="24"/>
        </w:rPr>
        <w:t>日实施的《公开募集证券投资基金销售机构监督管理办法》及颁布机关对其不时做出的修订</w:t>
      </w:r>
    </w:p>
    <w:p w14:paraId="4E540716">
      <w:pPr>
        <w:numPr>
          <w:ilvl w:val="0"/>
          <w:numId w:val="1"/>
        </w:num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《信息披露办法》：指中国证监会</w:t>
      </w:r>
      <w:r>
        <w:rPr>
          <w:rFonts w:cs="Times New Roman" w:asciiTheme="minorEastAsia" w:hAnsiTheme="minorEastAsia"/>
          <w:kern w:val="0"/>
          <w:sz w:val="24"/>
          <w:szCs w:val="24"/>
        </w:rPr>
        <w:t>2019年7月26日颁布</w:t>
      </w:r>
      <w:r>
        <w:rPr>
          <w:rFonts w:hint="eastAsia" w:cs="宋体" w:asciiTheme="minorEastAsia" w:hAnsiTheme="minorEastAsia"/>
          <w:kern w:val="0"/>
          <w:sz w:val="24"/>
          <w:szCs w:val="24"/>
        </w:rPr>
        <w:t>、同年9月1日实施，并经2020年3月20日中国证监会《关于修改部分证券期货规章的决定》修改的《公开募集证券投资基金信息披露管理办法》及颁布机关对其不时做出的修订</w:t>
      </w:r>
    </w:p>
    <w:p w14:paraId="18BDF6B4">
      <w:pPr>
        <w:numPr>
          <w:ilvl w:val="0"/>
          <w:numId w:val="1"/>
        </w:numPr>
        <w:autoSpaceDE w:val="0"/>
        <w:autoSpaceDN w:val="0"/>
        <w:adjustRightInd w:val="0"/>
        <w:spacing w:line="360" w:lineRule="auto"/>
        <w:ind w:firstLine="480" w:firstLineChars="200"/>
        <w:jc w:val="left"/>
        <w:rPr>
          <w:rFonts w:cs="Times New Roman" w:asciiTheme="minorEastAsia" w:hAnsiTheme="minorEastAsia"/>
          <w:kern w:val="0"/>
          <w:sz w:val="24"/>
          <w:szCs w:val="24"/>
        </w:rPr>
      </w:pPr>
      <w:r>
        <w:rPr>
          <w:rFonts w:hint="eastAsia" w:cs="宋体" w:asciiTheme="minorEastAsia" w:hAnsiTheme="minorEastAsia"/>
          <w:kern w:val="0"/>
          <w:sz w:val="24"/>
          <w:szCs w:val="24"/>
        </w:rPr>
        <w:t>《运作办法》：指中国证监会</w:t>
      </w:r>
      <w:r>
        <w:rPr>
          <w:rFonts w:cs="Times New Roman" w:asciiTheme="minorEastAsia" w:hAnsiTheme="minorEastAsia"/>
          <w:kern w:val="0"/>
          <w:sz w:val="24"/>
          <w:szCs w:val="24"/>
        </w:rPr>
        <w:t>2014</w:t>
      </w:r>
      <w:r>
        <w:rPr>
          <w:rFonts w:hint="eastAsia" w:cs="宋体" w:asciiTheme="minorEastAsia" w:hAnsiTheme="minorEastAsia"/>
          <w:kern w:val="0"/>
          <w:sz w:val="24"/>
          <w:szCs w:val="24"/>
        </w:rPr>
        <w:t>年</w:t>
      </w:r>
      <w:r>
        <w:rPr>
          <w:rFonts w:cs="Times New Roman" w:asciiTheme="minorEastAsia" w:hAnsiTheme="minorEastAsia"/>
          <w:kern w:val="0"/>
          <w:sz w:val="24"/>
          <w:szCs w:val="24"/>
        </w:rPr>
        <w:t>7</w:t>
      </w:r>
      <w:r>
        <w:rPr>
          <w:rFonts w:hint="eastAsia" w:cs="宋体" w:asciiTheme="minorEastAsia" w:hAnsiTheme="minorEastAsia"/>
          <w:kern w:val="0"/>
          <w:sz w:val="24"/>
          <w:szCs w:val="24"/>
        </w:rPr>
        <w:t>月</w:t>
      </w:r>
      <w:r>
        <w:rPr>
          <w:rFonts w:cs="Times New Roman" w:asciiTheme="minorEastAsia" w:hAnsiTheme="minorEastAsia"/>
          <w:kern w:val="0"/>
          <w:sz w:val="24"/>
          <w:szCs w:val="24"/>
        </w:rPr>
        <w:t>7</w:t>
      </w:r>
      <w:r>
        <w:rPr>
          <w:rFonts w:hint="eastAsia" w:cs="宋体" w:asciiTheme="minorEastAsia" w:hAnsiTheme="minorEastAsia"/>
          <w:kern w:val="0"/>
          <w:sz w:val="24"/>
          <w:szCs w:val="24"/>
        </w:rPr>
        <w:t>日颁布、同年</w:t>
      </w:r>
      <w:r>
        <w:rPr>
          <w:rFonts w:cs="Times New Roman" w:asciiTheme="minorEastAsia" w:hAnsiTheme="minorEastAsia"/>
          <w:kern w:val="0"/>
          <w:sz w:val="24"/>
          <w:szCs w:val="24"/>
        </w:rPr>
        <w:t>8</w:t>
      </w:r>
      <w:r>
        <w:rPr>
          <w:rFonts w:hint="eastAsia" w:cs="宋体" w:asciiTheme="minorEastAsia" w:hAnsiTheme="minorEastAsia"/>
          <w:kern w:val="0"/>
          <w:sz w:val="24"/>
          <w:szCs w:val="24"/>
        </w:rPr>
        <w:t>月</w:t>
      </w:r>
      <w:r>
        <w:rPr>
          <w:rFonts w:cs="Times New Roman" w:asciiTheme="minorEastAsia" w:hAnsiTheme="minorEastAsia"/>
          <w:kern w:val="0"/>
          <w:sz w:val="24"/>
          <w:szCs w:val="24"/>
        </w:rPr>
        <w:t>8</w:t>
      </w:r>
      <w:r>
        <w:rPr>
          <w:rFonts w:hint="eastAsia" w:cs="宋体" w:asciiTheme="minorEastAsia" w:hAnsiTheme="minorEastAsia"/>
          <w:kern w:val="0"/>
          <w:sz w:val="24"/>
          <w:szCs w:val="24"/>
        </w:rPr>
        <w:t>日实施的《公开募集证券投资基金运作管理办法》及颁布机关对其不时做出的修订</w:t>
      </w:r>
    </w:p>
    <w:p w14:paraId="6993EB91">
      <w:pPr>
        <w:numPr>
          <w:ilvl w:val="0"/>
          <w:numId w:val="1"/>
        </w:numPr>
        <w:autoSpaceDE w:val="0"/>
        <w:autoSpaceDN w:val="0"/>
        <w:adjustRightInd w:val="0"/>
        <w:spacing w:line="360" w:lineRule="auto"/>
        <w:ind w:firstLine="480" w:firstLineChars="200"/>
        <w:jc w:val="left"/>
        <w:rPr>
          <w:rFonts w:cs="Times New Roman" w:asciiTheme="minorEastAsia" w:hAnsiTheme="minorEastAsia"/>
          <w:kern w:val="0"/>
          <w:sz w:val="24"/>
          <w:szCs w:val="24"/>
        </w:rPr>
      </w:pPr>
      <w:r>
        <w:rPr>
          <w:rFonts w:hint="eastAsia" w:cs="Times New Roman" w:asciiTheme="minorEastAsia" w:hAnsiTheme="minorEastAsia"/>
          <w:kern w:val="0"/>
          <w:sz w:val="24"/>
          <w:szCs w:val="24"/>
        </w:rPr>
        <w:t>《流动性风险管理规定》：指中国证监会2017年8月31日颁布、同年10月1日实施的《公开募集开放式证券投资基金流动性风险管理规定》及颁布机关对其不时做出的修订</w:t>
      </w:r>
    </w:p>
    <w:p w14:paraId="3D054CCC">
      <w:pPr>
        <w:numPr>
          <w:ilvl w:val="0"/>
          <w:numId w:val="1"/>
        </w:num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中国证监会：指中国证券监督管理委员会</w:t>
      </w:r>
    </w:p>
    <w:p w14:paraId="4EC67F4D">
      <w:pPr>
        <w:numPr>
          <w:ilvl w:val="0"/>
          <w:numId w:val="1"/>
        </w:num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银行业监督管理机构：指中国人民银行和</w:t>
      </w:r>
      <w:r>
        <w:rPr>
          <w:rFonts w:cs="Times New Roman" w:asciiTheme="minorEastAsia" w:hAnsiTheme="minorEastAsia"/>
          <w:kern w:val="0"/>
          <w:sz w:val="24"/>
          <w:szCs w:val="24"/>
        </w:rPr>
        <w:t>/</w:t>
      </w:r>
      <w:r>
        <w:rPr>
          <w:rFonts w:hint="eastAsia" w:cs="宋体" w:asciiTheme="minorEastAsia" w:hAnsiTheme="minorEastAsia"/>
          <w:kern w:val="0"/>
          <w:sz w:val="24"/>
          <w:szCs w:val="24"/>
        </w:rPr>
        <w:t>或中国银行保险监督管理委员会</w:t>
      </w:r>
    </w:p>
    <w:p w14:paraId="7B31E125">
      <w:pPr>
        <w:numPr>
          <w:ilvl w:val="0"/>
          <w:numId w:val="1"/>
        </w:num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基金合同当事人：指受基金合同约束，根据基金合同享有权利并承担义务的法律主体，包括基金管理人、基金托管人和基金份额持有人</w:t>
      </w:r>
    </w:p>
    <w:p w14:paraId="0199411B">
      <w:pPr>
        <w:numPr>
          <w:ilvl w:val="0"/>
          <w:numId w:val="1"/>
        </w:num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个人投资者：指依据有关法律法规规定可投资于证券投资基金的自然人</w:t>
      </w:r>
    </w:p>
    <w:p w14:paraId="4C5ED55E">
      <w:pPr>
        <w:numPr>
          <w:ilvl w:val="0"/>
          <w:numId w:val="1"/>
        </w:num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机构投资者：指依法可以投资证券投资基金的、在中华人民共和国境内合法登记并存续或经有关政府部门批准设立并存续的企业法人、事业法人、社会团体或其他组织</w:t>
      </w:r>
    </w:p>
    <w:p w14:paraId="4CE3B2FB">
      <w:pPr>
        <w:numPr>
          <w:ilvl w:val="0"/>
          <w:numId w:val="1"/>
        </w:num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合格境外机构投资者：指符合《合格境外机构投资者和人民币合格境外机构投资者境内证券期货投资管理办法》及相关法律法规规定可以投资于在中国境内依法募集的证券投资基金的中国境外的机构投资者</w:t>
      </w:r>
    </w:p>
    <w:p w14:paraId="25EFB4B4">
      <w:pPr>
        <w:numPr>
          <w:ilvl w:val="0"/>
          <w:numId w:val="1"/>
        </w:num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人民币合格境外机构投资者：指按照《合格境外机构投资者和人民币合格境外机构投资者境内证券期货投资管理办法》及相关法律法规规定，运用来自境外的人民币资金进行境内证券投资的境外法人</w:t>
      </w:r>
    </w:p>
    <w:p w14:paraId="3E8B40E8">
      <w:pPr>
        <w:numPr>
          <w:ilvl w:val="0"/>
          <w:numId w:val="1"/>
        </w:num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投资人、投资者：指个人投资者、机构投资者、合格境外机构投资者和人民币合格境外机构投资者以及法律法规或中国证监会允许购买证券投资基金的其他投资人的合称</w:t>
      </w:r>
    </w:p>
    <w:p w14:paraId="3E4BE9B8">
      <w:pPr>
        <w:numPr>
          <w:ilvl w:val="0"/>
          <w:numId w:val="1"/>
        </w:num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基金份额持有人：指依基金合同和招募说明书合法取得基金份额的投资人</w:t>
      </w:r>
    </w:p>
    <w:p w14:paraId="0EA89B14">
      <w:pPr>
        <w:numPr>
          <w:ilvl w:val="0"/>
          <w:numId w:val="1"/>
        </w:num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基金销售业务：指基金管理人或销售机构宣传推介基金，办理基金份额的申购、赎回、转换、转托管及定期定额投资等业务</w:t>
      </w:r>
    </w:p>
    <w:p w14:paraId="58F6EA5D">
      <w:pPr>
        <w:numPr>
          <w:ilvl w:val="0"/>
          <w:numId w:val="1"/>
        </w:num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销售机构：指博时基金管理有限公司以及符合《销售办法》和中国证监会规定的其他条件，取得基金销售业务资格并与基金管理人签订了基金销售服务协议，办理基金销售业务的机构</w:t>
      </w:r>
    </w:p>
    <w:p w14:paraId="191D52DB">
      <w:pPr>
        <w:numPr>
          <w:ilvl w:val="0"/>
          <w:numId w:val="1"/>
        </w:num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登记业务：指基金登记、存管、过户、清算和结算业务，具体内容包括投资人基金账户的建立和管理、基金份额登记、基金销售业务的确认、清算和结算、代理发放红利、建立并保管基金份额持有人名册和办理非交易过户等</w:t>
      </w:r>
    </w:p>
    <w:p w14:paraId="024D350C">
      <w:pPr>
        <w:numPr>
          <w:ilvl w:val="0"/>
          <w:numId w:val="1"/>
        </w:num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登记机构：指办理登记业务的机构。本基金的登记机构为博时基金管理有限公司</w:t>
      </w:r>
    </w:p>
    <w:p w14:paraId="5C5010E2">
      <w:pPr>
        <w:numPr>
          <w:ilvl w:val="0"/>
          <w:numId w:val="1"/>
        </w:num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基金账户：指登记机构为投资人开立的、记录其持有的、基金管理人所管理的基金份额余额及其变动情况的账户</w:t>
      </w:r>
    </w:p>
    <w:p w14:paraId="6BDD73C3">
      <w:pPr>
        <w:numPr>
          <w:ilvl w:val="0"/>
          <w:numId w:val="1"/>
        </w:num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基金交易账户：指销售机构为投资人开立的、记录投资人通过该销售机构办理申购、赎回</w:t>
      </w:r>
      <w:r>
        <w:rPr>
          <w:rFonts w:hint="eastAsia" w:ascii="宋体" w:hAnsi="宋体" w:cs="宋体"/>
          <w:kern w:val="0"/>
          <w:sz w:val="24"/>
          <w:szCs w:val="24"/>
        </w:rPr>
        <w:t>、转换、转托管及定期定额投资等业务而</w:t>
      </w:r>
      <w:r>
        <w:rPr>
          <w:rFonts w:hint="eastAsia" w:cs="宋体" w:asciiTheme="minorEastAsia" w:hAnsiTheme="minorEastAsia"/>
          <w:kern w:val="0"/>
          <w:sz w:val="24"/>
          <w:szCs w:val="24"/>
        </w:rPr>
        <w:t>引起的基金份额变动及结余情况的账户</w:t>
      </w:r>
    </w:p>
    <w:p w14:paraId="6C1E4491">
      <w:pPr>
        <w:numPr>
          <w:ilvl w:val="0"/>
          <w:numId w:val="1"/>
        </w:numPr>
        <w:autoSpaceDE w:val="0"/>
        <w:autoSpaceDN w:val="0"/>
        <w:adjustRightInd w:val="0"/>
        <w:spacing w:line="360" w:lineRule="auto"/>
        <w:ind w:firstLine="480" w:firstLineChars="200"/>
        <w:jc w:val="left"/>
        <w:rPr>
          <w:rFonts w:asciiTheme="minorEastAsia" w:hAnsiTheme="minorEastAsia"/>
          <w:kern w:val="0"/>
          <w:sz w:val="24"/>
          <w:szCs w:val="24"/>
        </w:rPr>
      </w:pPr>
      <w:r>
        <w:rPr>
          <w:rFonts w:hint="eastAsia" w:cs="宋体" w:asciiTheme="minorEastAsia" w:hAnsiTheme="minorEastAsia"/>
          <w:kern w:val="0"/>
          <w:sz w:val="24"/>
          <w:szCs w:val="24"/>
        </w:rPr>
        <w:t>基金合同生效日：指《博时中证有色金属矿业主题指数证券投资基金基金合同》生效日</w:t>
      </w:r>
    </w:p>
    <w:p w14:paraId="53BF1DCB">
      <w:pPr>
        <w:numPr>
          <w:ilvl w:val="0"/>
          <w:numId w:val="1"/>
        </w:num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基金合同终止日：指基金合同规定的基金合同终止事由出现后，基金财产清算完毕，清算结果报中国证监会备案并予以公告的日期</w:t>
      </w:r>
    </w:p>
    <w:p w14:paraId="0988BB48">
      <w:pPr>
        <w:numPr>
          <w:ilvl w:val="0"/>
          <w:numId w:val="1"/>
        </w:num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存续期：指《博时中证有色金属矿业主题指数证券投资基金基金合同》生效至本基金基金合同终止之间的不定期期限</w:t>
      </w:r>
    </w:p>
    <w:p w14:paraId="6C856934">
      <w:pPr>
        <w:numPr>
          <w:ilvl w:val="0"/>
          <w:numId w:val="1"/>
        </w:num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工作日：指上海证券交易所、深圳证券交易所及相关期货交易所的正常交易日</w:t>
      </w:r>
    </w:p>
    <w:p w14:paraId="5C2A8BFC">
      <w:pPr>
        <w:numPr>
          <w:ilvl w:val="0"/>
          <w:numId w:val="1"/>
        </w:num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cs="Times New Roman" w:asciiTheme="minorEastAsia" w:hAnsiTheme="minorEastAsia"/>
          <w:kern w:val="0"/>
          <w:sz w:val="24"/>
          <w:szCs w:val="24"/>
        </w:rPr>
        <w:t>T</w:t>
      </w:r>
      <w:r>
        <w:rPr>
          <w:rFonts w:hint="eastAsia" w:cs="宋体" w:asciiTheme="minorEastAsia" w:hAnsiTheme="minorEastAsia"/>
          <w:kern w:val="0"/>
          <w:sz w:val="24"/>
          <w:szCs w:val="24"/>
        </w:rPr>
        <w:t>日：指销售机构在规定时间受理投资人申购、赎回或其他业务申请的开放日</w:t>
      </w:r>
    </w:p>
    <w:p w14:paraId="00BE4009">
      <w:pPr>
        <w:numPr>
          <w:ilvl w:val="0"/>
          <w:numId w:val="1"/>
        </w:num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cs="Times New Roman" w:asciiTheme="minorEastAsia" w:hAnsiTheme="minorEastAsia"/>
          <w:kern w:val="0"/>
          <w:sz w:val="24"/>
          <w:szCs w:val="24"/>
        </w:rPr>
        <w:t>T+n</w:t>
      </w:r>
      <w:r>
        <w:rPr>
          <w:rFonts w:hint="eastAsia" w:cs="宋体" w:asciiTheme="minorEastAsia" w:hAnsiTheme="minorEastAsia"/>
          <w:kern w:val="0"/>
          <w:sz w:val="24"/>
          <w:szCs w:val="24"/>
        </w:rPr>
        <w:t>日：指自</w:t>
      </w:r>
      <w:r>
        <w:rPr>
          <w:rFonts w:cs="Times New Roman" w:asciiTheme="minorEastAsia" w:hAnsiTheme="minorEastAsia"/>
          <w:kern w:val="0"/>
          <w:sz w:val="24"/>
          <w:szCs w:val="24"/>
        </w:rPr>
        <w:t>T</w:t>
      </w:r>
      <w:r>
        <w:rPr>
          <w:rFonts w:hint="eastAsia" w:cs="宋体" w:asciiTheme="minorEastAsia" w:hAnsiTheme="minorEastAsia"/>
          <w:kern w:val="0"/>
          <w:sz w:val="24"/>
          <w:szCs w:val="24"/>
        </w:rPr>
        <w:t>日起第</w:t>
      </w:r>
      <w:r>
        <w:rPr>
          <w:rFonts w:cs="Times New Roman" w:asciiTheme="minorEastAsia" w:hAnsiTheme="minorEastAsia"/>
          <w:kern w:val="0"/>
          <w:sz w:val="24"/>
          <w:szCs w:val="24"/>
        </w:rPr>
        <w:t>n</w:t>
      </w:r>
      <w:r>
        <w:rPr>
          <w:rFonts w:hint="eastAsia" w:cs="宋体" w:asciiTheme="minorEastAsia" w:hAnsiTheme="minorEastAsia"/>
          <w:kern w:val="0"/>
          <w:sz w:val="24"/>
          <w:szCs w:val="24"/>
        </w:rPr>
        <w:t>个工作日（不包含</w:t>
      </w:r>
      <w:r>
        <w:rPr>
          <w:rFonts w:cs="Times New Roman" w:asciiTheme="minorEastAsia" w:hAnsiTheme="minorEastAsia"/>
          <w:kern w:val="0"/>
          <w:sz w:val="24"/>
          <w:szCs w:val="24"/>
        </w:rPr>
        <w:t>T</w:t>
      </w:r>
      <w:r>
        <w:rPr>
          <w:rFonts w:hint="eastAsia" w:cs="宋体" w:asciiTheme="minorEastAsia" w:hAnsiTheme="minorEastAsia"/>
          <w:kern w:val="0"/>
          <w:sz w:val="24"/>
          <w:szCs w:val="24"/>
        </w:rPr>
        <w:t>日），</w:t>
      </w:r>
      <w:r>
        <w:rPr>
          <w:rFonts w:cs="Times New Roman" w:asciiTheme="minorEastAsia" w:hAnsiTheme="minorEastAsia"/>
          <w:kern w:val="0"/>
          <w:sz w:val="24"/>
          <w:szCs w:val="24"/>
        </w:rPr>
        <w:t>n</w:t>
      </w:r>
      <w:r>
        <w:rPr>
          <w:rFonts w:hint="eastAsia" w:cs="宋体" w:asciiTheme="minorEastAsia" w:hAnsiTheme="minorEastAsia"/>
          <w:kern w:val="0"/>
          <w:sz w:val="24"/>
          <w:szCs w:val="24"/>
        </w:rPr>
        <w:t>为自然数</w:t>
      </w:r>
    </w:p>
    <w:p w14:paraId="12F1BE76">
      <w:pPr>
        <w:numPr>
          <w:ilvl w:val="0"/>
          <w:numId w:val="1"/>
        </w:num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开放日：指为投资人办理基金份额申购、赎回或其他业务的工作日（若本基金参与港股通交易且该工作日为非港股通交易日时，则基金管理人可根据实际情况决定本基金是否开放申购、赎回及转换业务，具体以届时提前发布的公告为准）</w:t>
      </w:r>
    </w:p>
    <w:p w14:paraId="3DF5F285">
      <w:pPr>
        <w:numPr>
          <w:ilvl w:val="0"/>
          <w:numId w:val="1"/>
        </w:num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开放时间：指开放日基金接受申购、赎回或其他交易的时间段</w:t>
      </w:r>
    </w:p>
    <w:p w14:paraId="54B230DE">
      <w:pPr>
        <w:numPr>
          <w:ilvl w:val="0"/>
          <w:numId w:val="1"/>
        </w:num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《业务规则》：指《博时基金管理有限公司开放式基金业务规则》，是规范基金管理人所管理的开放式证券投资基金登记方面的业务规则，由基金管理人、销售机构和投资人共同遵守</w:t>
      </w:r>
    </w:p>
    <w:p w14:paraId="44808735">
      <w:pPr>
        <w:numPr>
          <w:ilvl w:val="0"/>
          <w:numId w:val="1"/>
        </w:num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申购：指基金合同生效后，投资人根据基金合同和招募说明书的规定，申请购买基金份额的行为</w:t>
      </w:r>
    </w:p>
    <w:p w14:paraId="5B3D8E0A">
      <w:pPr>
        <w:numPr>
          <w:ilvl w:val="0"/>
          <w:numId w:val="1"/>
        </w:num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赎回：指基金合同生效后，基金份额持有人按基金合同和招募说明书规定的条件，要求将基金份额兑换为现金的行为</w:t>
      </w:r>
    </w:p>
    <w:p w14:paraId="0D9960DD">
      <w:pPr>
        <w:numPr>
          <w:ilvl w:val="0"/>
          <w:numId w:val="1"/>
        </w:num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基金转换：指基金份额持有人按照本基金合同和基金管理人届时有效公告规定的条件，申请将其持有基金管理人管理的、某一基金的基金份额转换为基金管理人管理的其他基金基金份额的行为</w:t>
      </w:r>
    </w:p>
    <w:p w14:paraId="3D4A422E">
      <w:pPr>
        <w:numPr>
          <w:ilvl w:val="0"/>
          <w:numId w:val="1"/>
        </w:num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转托管：指基金份额持有人在本基金的不同销售机构之间实施的变更所持基金份额销售机构的操作</w:t>
      </w:r>
    </w:p>
    <w:p w14:paraId="4E8EFCBE">
      <w:pPr>
        <w:numPr>
          <w:ilvl w:val="0"/>
          <w:numId w:val="1"/>
        </w:num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定期定额投资计划：指投资人通过有关销售机构提出申请，约定每期申购日、扣款金额及扣款方式，由销售机构于每期约定扣款日在投资人指定银行账户内自动完成扣款及受理基金申购申请的一种投资方式</w:t>
      </w:r>
    </w:p>
    <w:p w14:paraId="01B0A537">
      <w:pPr>
        <w:numPr>
          <w:ilvl w:val="0"/>
          <w:numId w:val="1"/>
        </w:num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巨额赎回：指本基金单个开放日，基金净赎回申请（赎回申请份额总数加上基金转换中转出申请份额总数后扣除申购申请份额总数及基金转换中转入申请份额总数后的余额）超过上一开放日基金总份额的</w:t>
      </w:r>
      <w:r>
        <w:rPr>
          <w:rFonts w:cs="Times New Roman" w:asciiTheme="minorEastAsia" w:hAnsiTheme="minorEastAsia"/>
          <w:kern w:val="0"/>
          <w:sz w:val="24"/>
          <w:szCs w:val="24"/>
        </w:rPr>
        <w:t>10%</w:t>
      </w:r>
    </w:p>
    <w:p w14:paraId="258969A7">
      <w:pPr>
        <w:numPr>
          <w:ilvl w:val="0"/>
          <w:numId w:val="1"/>
        </w:num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元：指人民币元</w:t>
      </w:r>
    </w:p>
    <w:p w14:paraId="54DB92C6">
      <w:pPr>
        <w:numPr>
          <w:ilvl w:val="0"/>
          <w:numId w:val="1"/>
        </w:num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基金收益：指基金投资所得红利、股息、债券利息、买卖证券价差、证券持有期间的公允价值变动、投资目标ETF基金份额所得收益、银行存款利息、已实现的其他合法收入及因运用基金财产带来的成本和费用的节约</w:t>
      </w:r>
    </w:p>
    <w:p w14:paraId="39104C51">
      <w:pPr>
        <w:numPr>
          <w:ilvl w:val="0"/>
          <w:numId w:val="1"/>
        </w:numPr>
        <w:autoSpaceDE w:val="0"/>
        <w:autoSpaceDN w:val="0"/>
        <w:adjustRightInd w:val="0"/>
        <w:spacing w:line="360" w:lineRule="auto"/>
        <w:ind w:firstLine="480" w:firstLineChars="200"/>
        <w:jc w:val="left"/>
        <w:rPr>
          <w:rFonts w:cs="宋体" w:asciiTheme="minorEastAsia" w:hAnsiTheme="minorEastAsia"/>
          <w:kern w:val="0"/>
          <w:sz w:val="24"/>
          <w:szCs w:val="24"/>
        </w:rPr>
      </w:pPr>
      <w:bookmarkStart w:id="2" w:name="_Hlk38272810"/>
      <w:r>
        <w:rPr>
          <w:rFonts w:hint="eastAsia" w:cs="宋体" w:asciiTheme="minorEastAsia" w:hAnsiTheme="minorEastAsia"/>
          <w:kern w:val="0"/>
          <w:sz w:val="24"/>
          <w:szCs w:val="24"/>
        </w:rPr>
        <w:t>基金资产总值：指基金拥有的各类有价证券、目标ETF基金份额、银行存款本息、基金应收款项及其他资产的价值总和</w:t>
      </w:r>
      <w:bookmarkEnd w:id="2"/>
    </w:p>
    <w:p w14:paraId="62ED9C83">
      <w:pPr>
        <w:numPr>
          <w:ilvl w:val="0"/>
          <w:numId w:val="1"/>
        </w:num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基金资产净值：指基金资产总值减去基金负债后的价值</w:t>
      </w:r>
    </w:p>
    <w:p w14:paraId="6C942B53">
      <w:pPr>
        <w:numPr>
          <w:ilvl w:val="0"/>
          <w:numId w:val="1"/>
        </w:num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基金份额净值：指计算日基金资产净值除以计算日基金份额总数</w:t>
      </w:r>
    </w:p>
    <w:p w14:paraId="0818D500">
      <w:pPr>
        <w:numPr>
          <w:ilvl w:val="0"/>
          <w:numId w:val="1"/>
        </w:num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基金资产估值：指计算评估基金资产和负债的价值，以确定基金资产净值和基金份额净值的过程</w:t>
      </w:r>
    </w:p>
    <w:p w14:paraId="112B30B5">
      <w:pPr>
        <w:numPr>
          <w:ilvl w:val="0"/>
          <w:numId w:val="1"/>
        </w:numPr>
        <w:autoSpaceDE w:val="0"/>
        <w:autoSpaceDN w:val="0"/>
        <w:adjustRightInd w:val="0"/>
        <w:spacing w:line="360" w:lineRule="auto"/>
        <w:ind w:firstLine="480" w:firstLineChars="200"/>
        <w:jc w:val="left"/>
        <w:rPr>
          <w:rFonts w:cs="Times New Roman" w:asciiTheme="minorEastAsia" w:hAnsiTheme="minorEastAsia"/>
          <w:kern w:val="0"/>
          <w:sz w:val="24"/>
          <w:szCs w:val="24"/>
        </w:rPr>
      </w:pPr>
      <w:r>
        <w:rPr>
          <w:rFonts w:hint="eastAsia" w:cs="Times New Roman" w:asciiTheme="minorEastAsia" w:hAnsiTheme="minorEastAsia"/>
          <w:kern w:val="0"/>
          <w:sz w:val="24"/>
          <w:szCs w:val="24"/>
        </w:rPr>
        <w:t>基金份额分类：指本基金分设两类基金份额：A类基金份额和C类基金份额。两类基金份额分设不同的基金代码，分别计算基金份额净值，计算公式为计算日各类别基金资产净值除以计算日发售在外的该类别基金份额总数</w:t>
      </w:r>
    </w:p>
    <w:p w14:paraId="6614D6BD">
      <w:pPr>
        <w:numPr>
          <w:ilvl w:val="0"/>
          <w:numId w:val="1"/>
        </w:numPr>
        <w:autoSpaceDE w:val="0"/>
        <w:autoSpaceDN w:val="0"/>
        <w:adjustRightInd w:val="0"/>
        <w:spacing w:line="360" w:lineRule="auto"/>
        <w:ind w:firstLine="480" w:firstLineChars="200"/>
        <w:jc w:val="left"/>
        <w:rPr>
          <w:rFonts w:cs="Times New Roman" w:asciiTheme="minorEastAsia" w:hAnsiTheme="minorEastAsia"/>
          <w:kern w:val="0"/>
          <w:sz w:val="24"/>
          <w:szCs w:val="24"/>
        </w:rPr>
      </w:pPr>
      <w:r>
        <w:rPr>
          <w:rFonts w:hint="eastAsia" w:cs="Times New Roman" w:asciiTheme="minorEastAsia" w:hAnsiTheme="minorEastAsia"/>
          <w:kern w:val="0"/>
          <w:sz w:val="24"/>
          <w:szCs w:val="24"/>
        </w:rPr>
        <w:t>A类基金份额：指在投资者申购时收取申购费用，在赎回时根据持有期限收取赎回费用，但不从本类别基金资产中计提销售服务费的基金份额类别</w:t>
      </w:r>
    </w:p>
    <w:p w14:paraId="0485FAB1">
      <w:pPr>
        <w:numPr>
          <w:ilvl w:val="0"/>
          <w:numId w:val="1"/>
        </w:num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C类基金份额：指在投资者申购时不收取申购费用，在赎回时根据持有期限收取赎回费用，且从本类别基金资产中计提销售服务费的基金份额类别</w:t>
      </w:r>
    </w:p>
    <w:p w14:paraId="51B0093E">
      <w:pPr>
        <w:numPr>
          <w:ilvl w:val="0"/>
          <w:numId w:val="1"/>
        </w:num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销售服务费：指从基金财产中计提的，用于本基金市场推广、销售以及基金份额持有人服务的费用</w:t>
      </w:r>
    </w:p>
    <w:p w14:paraId="5EBE80FE">
      <w:pPr>
        <w:numPr>
          <w:ilvl w:val="0"/>
          <w:numId w:val="1"/>
        </w:num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内地与香港股票市场交易互联互通机制：指上海证券交易所、深圳证券交易所分别和香港联合交易所有限公司（以下简称香港联合交易所）建立技术连接，使内地和香港投资者可以通过当地证券公司或经纪商买卖规定范围内的对方交易所上市的股票。内地与香港股票市场交易互联互通机制包括沪港股票市场交易互联互通机制（以下简称沪港通）和深港股票市场交易互联互通机制（以下简称深港通）</w:t>
      </w:r>
    </w:p>
    <w:p w14:paraId="3BB5F58A">
      <w:pPr>
        <w:numPr>
          <w:ilvl w:val="0"/>
          <w:numId w:val="1"/>
        </w:num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港股通：指内地投资者委托内地证券公司，经由上海证券交易所、深圳证券交易所或经中国证监会认可的机构设立的证券交易服务公司，向香港联合交易所有限公司进行申报，买卖沪港通、深港通规定范围内的香港联合交易所上市的股票</w:t>
      </w:r>
    </w:p>
    <w:p w14:paraId="0B21AD9B">
      <w:pPr>
        <w:numPr>
          <w:ilvl w:val="0"/>
          <w:numId w:val="1"/>
        </w:num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14:paraId="2ACFDD03">
      <w:pPr>
        <w:numPr>
          <w:ilvl w:val="0"/>
          <w:numId w:val="1"/>
        </w:num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摆动定价机制：指当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w:t>
      </w:r>
    </w:p>
    <w:p w14:paraId="2AF7ADF8">
      <w:pPr>
        <w:numPr>
          <w:ilvl w:val="0"/>
          <w:numId w:val="1"/>
        </w:num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转融通证券出借业务：指基金以一定的费率通过证券交易所综合业务平台向中国证券金融股份有限公司（以下简称证券金融公司）出借证券，证券金融公司到期归还所借证券及相应权益补偿并支付费用的业务</w:t>
      </w:r>
    </w:p>
    <w:p w14:paraId="6AC5F230">
      <w:pPr>
        <w:numPr>
          <w:ilvl w:val="0"/>
          <w:numId w:val="1"/>
        </w:num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规定媒介：指符合中国证监会规定条件的用以进行信息披露的全国性报刊及《信息披露办法》规定的互联网网站（包括基金管理人网站、基金托管人网站、中国证监会基金电子披露网站）等媒介</w:t>
      </w:r>
    </w:p>
    <w:p w14:paraId="497BB299">
      <w:pPr>
        <w:numPr>
          <w:ilvl w:val="0"/>
          <w:numId w:val="1"/>
        </w:num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中国法律：指中华人民共和国法律，就本基金合同而言，不包括香港特别行政区、澳门特别行政区和台湾地区法律</w:t>
      </w:r>
    </w:p>
    <w:p w14:paraId="29A6AF26">
      <w:pPr>
        <w:numPr>
          <w:ilvl w:val="0"/>
          <w:numId w:val="1"/>
        </w:num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不可抗力：指本基金合同当事人不能预见、不能避免且不能克服的客观事件</w:t>
      </w:r>
    </w:p>
    <w:p w14:paraId="1E805AAC">
      <w:pPr>
        <w:numPr>
          <w:ilvl w:val="0"/>
          <w:numId w:val="1"/>
        </w:num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《指数基金指引》：指中国证监会2021年1月22日颁布、同年2月1日实施的《公开募集证券投资基金运作指引第3号——指数基金指引》及颁布机关对其不时做出的修订</w:t>
      </w:r>
    </w:p>
    <w:p w14:paraId="1D237B5E">
      <w:pPr>
        <w:numPr>
          <w:ilvl w:val="0"/>
          <w:numId w:val="1"/>
        </w:num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联接基金：指本基金，即将绝大部分基金财产投资于博时中证有色金属矿业主题交易型开放式指数证券投资基金（目标ETF），紧密跟踪标的指数表现，追求跟踪偏离度和跟踪误差最小化，采用开放式运作方式的基金</w:t>
      </w:r>
    </w:p>
    <w:p w14:paraId="42EC38E6">
      <w:pPr>
        <w:numPr>
          <w:ilvl w:val="0"/>
          <w:numId w:val="1"/>
        </w:num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目标ETF：博时中证有色金属矿业主题交易型开放式指数证券投资基金</w:t>
      </w:r>
    </w:p>
    <w:p w14:paraId="6FB09027">
      <w:pPr>
        <w:numPr>
          <w:ilvl w:val="0"/>
          <w:numId w:val="1"/>
        </w:num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侧袋机制：指将基金投资组合中的特定资产从原有账户分离至专门账户进行处置清算，目的在于有效隔离并化解风险，确保投资者得到公平对待，属于流动性风险管理工具。侧袋机制实施期间，原有账户称为主袋账户，专门账户称为侧袋账户</w:t>
      </w:r>
    </w:p>
    <w:p w14:paraId="5AB1C206">
      <w:pPr>
        <w:numPr>
          <w:ilvl w:val="0"/>
          <w:numId w:val="1"/>
        </w:num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特定资产：包括：（1）无可参考的活跃市场价格且采用估值技术仍导致公允价值存在重大不确定性的资产；（2）按摊余成本计量且计提资产减值准备仍导致资产价值存在重大不确定性的资产；（3）其他资产价值存在重大不确定性的资产</w:t>
      </w:r>
    </w:p>
    <w:p w14:paraId="44CCD9E9">
      <w:pPr>
        <w:autoSpaceDE w:val="0"/>
        <w:autoSpaceDN w:val="0"/>
        <w:adjustRightInd w:val="0"/>
        <w:spacing w:line="360" w:lineRule="auto"/>
        <w:ind w:firstLine="480" w:firstLineChars="200"/>
        <w:jc w:val="left"/>
        <w:rPr>
          <w:rFonts w:cs="宋体" w:asciiTheme="minorEastAsia" w:hAnsiTheme="minorEastAsia"/>
          <w:kern w:val="0"/>
          <w:sz w:val="24"/>
          <w:szCs w:val="24"/>
        </w:rPr>
      </w:pPr>
    </w:p>
    <w:p w14:paraId="7F5312A1">
      <w:pPr>
        <w:autoSpaceDE w:val="0"/>
        <w:autoSpaceDN w:val="0"/>
        <w:adjustRightInd w:val="0"/>
        <w:spacing w:line="360" w:lineRule="auto"/>
        <w:ind w:firstLine="480" w:firstLineChars="200"/>
        <w:jc w:val="left"/>
        <w:rPr>
          <w:rFonts w:cs="宋体" w:asciiTheme="minorEastAsia" w:hAnsiTheme="minorEastAsia"/>
          <w:kern w:val="0"/>
          <w:sz w:val="24"/>
          <w:szCs w:val="24"/>
        </w:rPr>
        <w:sectPr>
          <w:footerReference r:id="rId5" w:type="default"/>
          <w:pgSz w:w="11906" w:h="16838"/>
          <w:pgMar w:top="1440" w:right="1800" w:bottom="1440" w:left="1800" w:header="851" w:footer="992" w:gutter="0"/>
          <w:pgNumType w:start="1"/>
          <w:cols w:space="425" w:num="1"/>
          <w:docGrid w:type="lines" w:linePitch="312" w:charSpace="0"/>
        </w:sectPr>
      </w:pPr>
    </w:p>
    <w:p w14:paraId="66C8E9B5">
      <w:pPr>
        <w:pStyle w:val="2"/>
        <w:spacing w:before="0" w:after="0" w:line="360" w:lineRule="auto"/>
        <w:ind w:firstLine="602" w:firstLineChars="200"/>
        <w:jc w:val="center"/>
        <w:rPr>
          <w:rFonts w:ascii="Times New Roman" w:hAnsi="Times New Roman"/>
          <w:kern w:val="0"/>
          <w:sz w:val="30"/>
          <w:lang w:val="zh-CN"/>
        </w:rPr>
      </w:pPr>
      <w:bookmarkStart w:id="3" w:name="_Toc471235840"/>
      <w:r>
        <w:rPr>
          <w:rFonts w:hint="eastAsia" w:ascii="Times New Roman" w:hAnsi="Times New Roman"/>
          <w:kern w:val="0"/>
          <w:sz w:val="30"/>
          <w:lang w:val="zh-CN"/>
        </w:rPr>
        <w:t>第三部分</w:t>
      </w:r>
      <w:r>
        <w:rPr>
          <w:rFonts w:ascii="Times New Roman" w:hAnsi="Times New Roman"/>
          <w:kern w:val="0"/>
          <w:sz w:val="30"/>
          <w:lang w:val="zh-CN"/>
        </w:rPr>
        <w:t xml:space="preserve"> </w:t>
      </w:r>
      <w:r>
        <w:rPr>
          <w:rFonts w:hint="eastAsia" w:ascii="Times New Roman" w:hAnsi="Times New Roman"/>
          <w:kern w:val="0"/>
          <w:sz w:val="30"/>
          <w:lang w:val="zh-CN"/>
        </w:rPr>
        <w:t>基金的基本情况</w:t>
      </w:r>
      <w:bookmarkEnd w:id="3"/>
    </w:p>
    <w:p w14:paraId="2B26AA46">
      <w:pPr>
        <w:spacing w:line="360" w:lineRule="auto"/>
        <w:ind w:firstLine="480" w:firstLineChars="200"/>
        <w:rPr>
          <w:rFonts w:ascii="宋体" w:hAnsi="Times New Roman" w:eastAsia="宋体" w:cs="宋体"/>
          <w:kern w:val="0"/>
          <w:sz w:val="24"/>
          <w:szCs w:val="24"/>
        </w:rPr>
      </w:pPr>
    </w:p>
    <w:p w14:paraId="49257CAC">
      <w:pPr>
        <w:spacing w:line="360" w:lineRule="auto"/>
        <w:ind w:firstLine="480" w:firstLineChars="200"/>
        <w:rPr>
          <w:rFonts w:ascii="宋体" w:hAnsi="Times New Roman" w:eastAsia="宋体" w:cs="宋体"/>
          <w:kern w:val="0"/>
          <w:sz w:val="24"/>
          <w:szCs w:val="24"/>
        </w:rPr>
      </w:pPr>
      <w:r>
        <w:rPr>
          <w:rFonts w:hint="eastAsia" w:ascii="宋体" w:hAnsi="Times New Roman" w:eastAsia="宋体" w:cs="宋体"/>
          <w:kern w:val="0"/>
          <w:sz w:val="24"/>
          <w:szCs w:val="24"/>
        </w:rPr>
        <w:t>一、基金名称</w:t>
      </w:r>
    </w:p>
    <w:p w14:paraId="04B1C00E">
      <w:pPr>
        <w:spacing w:line="360" w:lineRule="auto"/>
        <w:ind w:firstLine="480" w:firstLineChars="200"/>
        <w:rPr>
          <w:rFonts w:ascii="宋体" w:hAnsi="Times New Roman" w:eastAsia="宋体" w:cs="宋体"/>
          <w:kern w:val="0"/>
          <w:sz w:val="24"/>
          <w:szCs w:val="24"/>
        </w:rPr>
      </w:pPr>
      <w:r>
        <w:rPr>
          <w:rFonts w:hint="eastAsia" w:ascii="宋体" w:hAnsi="Times New Roman" w:eastAsia="宋体" w:cs="宋体"/>
          <w:kern w:val="0"/>
          <w:sz w:val="24"/>
          <w:szCs w:val="24"/>
        </w:rPr>
        <w:t>博时中证有色金属矿业主题交易型开放式指数证券投资基金联接基金</w:t>
      </w:r>
    </w:p>
    <w:p w14:paraId="3ADDC59A">
      <w:pPr>
        <w:spacing w:line="360" w:lineRule="auto"/>
        <w:ind w:firstLine="480" w:firstLineChars="200"/>
        <w:rPr>
          <w:rFonts w:ascii="宋体" w:hAnsi="Times New Roman" w:eastAsia="宋体" w:cs="宋体"/>
          <w:kern w:val="0"/>
          <w:sz w:val="24"/>
          <w:szCs w:val="24"/>
        </w:rPr>
      </w:pPr>
    </w:p>
    <w:p w14:paraId="658B971A">
      <w:pPr>
        <w:spacing w:line="360" w:lineRule="auto"/>
        <w:ind w:firstLine="480" w:firstLineChars="200"/>
        <w:rPr>
          <w:rFonts w:ascii="宋体" w:hAnsi="Times New Roman" w:eastAsia="宋体" w:cs="宋体"/>
          <w:kern w:val="0"/>
          <w:sz w:val="24"/>
          <w:szCs w:val="24"/>
        </w:rPr>
      </w:pPr>
      <w:r>
        <w:rPr>
          <w:rFonts w:hint="eastAsia" w:ascii="宋体" w:hAnsi="Times New Roman" w:eastAsia="宋体" w:cs="宋体"/>
          <w:kern w:val="0"/>
          <w:sz w:val="24"/>
          <w:szCs w:val="24"/>
        </w:rPr>
        <w:t>二、基金的类别</w:t>
      </w:r>
    </w:p>
    <w:p w14:paraId="11C1F7D1">
      <w:pPr>
        <w:spacing w:line="360" w:lineRule="auto"/>
        <w:ind w:firstLine="480" w:firstLineChars="200"/>
        <w:rPr>
          <w:rFonts w:ascii="宋体" w:hAnsi="Times New Roman" w:eastAsia="宋体" w:cs="宋体"/>
          <w:kern w:val="0"/>
          <w:sz w:val="24"/>
          <w:szCs w:val="24"/>
        </w:rPr>
      </w:pPr>
      <w:r>
        <w:rPr>
          <w:rFonts w:hint="eastAsia" w:ascii="宋体" w:hAnsi="Times New Roman" w:cs="宋体"/>
          <w:sz w:val="24"/>
          <w:szCs w:val="24"/>
        </w:rPr>
        <w:t>ETF联接</w:t>
      </w:r>
      <w:r>
        <w:rPr>
          <w:rFonts w:hint="eastAsia" w:ascii="宋体" w:hAnsi="Times New Roman" w:eastAsia="宋体" w:cs="宋体"/>
          <w:kern w:val="0"/>
          <w:sz w:val="24"/>
          <w:szCs w:val="24"/>
        </w:rPr>
        <w:t>基金</w:t>
      </w:r>
    </w:p>
    <w:p w14:paraId="62557E7A">
      <w:pPr>
        <w:spacing w:line="360" w:lineRule="auto"/>
        <w:ind w:firstLine="480" w:firstLineChars="200"/>
        <w:rPr>
          <w:rFonts w:ascii="宋体" w:hAnsi="Times New Roman" w:eastAsia="宋体" w:cs="宋体"/>
          <w:kern w:val="0"/>
          <w:sz w:val="24"/>
          <w:szCs w:val="24"/>
        </w:rPr>
      </w:pPr>
    </w:p>
    <w:p w14:paraId="0BB05431">
      <w:pPr>
        <w:spacing w:line="360" w:lineRule="auto"/>
        <w:ind w:firstLine="480" w:firstLineChars="200"/>
        <w:rPr>
          <w:rFonts w:ascii="宋体" w:hAnsi="Times New Roman" w:eastAsia="宋体" w:cs="宋体"/>
          <w:kern w:val="0"/>
          <w:sz w:val="24"/>
          <w:szCs w:val="24"/>
        </w:rPr>
      </w:pPr>
      <w:r>
        <w:rPr>
          <w:rFonts w:hint="eastAsia" w:ascii="宋体" w:hAnsi="Times New Roman" w:eastAsia="宋体" w:cs="宋体"/>
          <w:kern w:val="0"/>
          <w:sz w:val="24"/>
          <w:szCs w:val="24"/>
        </w:rPr>
        <w:t>三、基金的运作方式</w:t>
      </w:r>
    </w:p>
    <w:p w14:paraId="62489B6E">
      <w:pPr>
        <w:spacing w:line="360" w:lineRule="auto"/>
        <w:ind w:firstLine="480" w:firstLineChars="200"/>
        <w:rPr>
          <w:rFonts w:ascii="宋体" w:hAnsi="Times New Roman" w:eastAsia="宋体" w:cs="宋体"/>
          <w:kern w:val="0"/>
          <w:sz w:val="24"/>
          <w:szCs w:val="24"/>
        </w:rPr>
      </w:pPr>
      <w:r>
        <w:rPr>
          <w:rFonts w:hint="eastAsia" w:ascii="宋体" w:hAnsi="Times New Roman" w:eastAsia="宋体" w:cs="宋体"/>
          <w:kern w:val="0"/>
          <w:sz w:val="24"/>
          <w:szCs w:val="24"/>
        </w:rPr>
        <w:t>契约型开放式</w:t>
      </w:r>
    </w:p>
    <w:p w14:paraId="38032DDD">
      <w:pPr>
        <w:spacing w:line="360" w:lineRule="auto"/>
        <w:ind w:firstLine="480" w:firstLineChars="200"/>
        <w:rPr>
          <w:rFonts w:ascii="宋体" w:hAnsi="Times New Roman" w:eastAsia="宋体" w:cs="宋体"/>
          <w:kern w:val="0"/>
          <w:sz w:val="24"/>
          <w:szCs w:val="24"/>
        </w:rPr>
      </w:pPr>
    </w:p>
    <w:p w14:paraId="32A14B36">
      <w:pPr>
        <w:spacing w:line="360" w:lineRule="auto"/>
        <w:ind w:firstLine="480" w:firstLineChars="200"/>
        <w:rPr>
          <w:rFonts w:ascii="宋体" w:hAnsi="Times New Roman" w:eastAsia="宋体" w:cs="宋体"/>
          <w:kern w:val="0"/>
          <w:sz w:val="24"/>
          <w:szCs w:val="24"/>
        </w:rPr>
      </w:pPr>
      <w:r>
        <w:rPr>
          <w:rFonts w:hint="eastAsia" w:ascii="宋体" w:hAnsi="Times New Roman" w:eastAsia="宋体" w:cs="宋体"/>
          <w:kern w:val="0"/>
          <w:sz w:val="24"/>
          <w:szCs w:val="24"/>
        </w:rPr>
        <w:t>四、基金的投资目标</w:t>
      </w:r>
    </w:p>
    <w:p w14:paraId="61723EE8">
      <w:pPr>
        <w:spacing w:line="360" w:lineRule="auto"/>
        <w:ind w:firstLine="480" w:firstLineChars="200"/>
        <w:rPr>
          <w:rFonts w:ascii="宋体" w:hAnsi="Times New Roman" w:eastAsia="宋体" w:cs="宋体"/>
          <w:kern w:val="0"/>
          <w:sz w:val="24"/>
          <w:szCs w:val="24"/>
        </w:rPr>
      </w:pPr>
      <w:r>
        <w:rPr>
          <w:rFonts w:hint="eastAsia" w:ascii="宋体" w:hAnsi="Times New Roman" w:cs="宋体"/>
          <w:sz w:val="24"/>
          <w:szCs w:val="24"/>
        </w:rPr>
        <w:t>通过主要投资于目标ETF，</w:t>
      </w:r>
      <w:r>
        <w:rPr>
          <w:rFonts w:hint="eastAsia" w:ascii="宋体" w:hAnsi="Times New Roman" w:eastAsia="宋体" w:cs="宋体"/>
          <w:kern w:val="0"/>
          <w:sz w:val="24"/>
          <w:szCs w:val="24"/>
        </w:rPr>
        <w:t>紧密跟踪标的指数</w:t>
      </w:r>
      <w:r>
        <w:rPr>
          <w:rFonts w:hint="eastAsia" w:ascii="宋体" w:hAnsi="Times New Roman" w:cs="宋体"/>
          <w:sz w:val="24"/>
          <w:szCs w:val="24"/>
        </w:rPr>
        <w:t>即</w:t>
      </w:r>
      <w:r>
        <w:rPr>
          <w:rFonts w:hint="eastAsia" w:ascii="宋体" w:hAnsi="Times New Roman" w:eastAsia="宋体" w:cs="宋体"/>
          <w:kern w:val="0"/>
          <w:sz w:val="24"/>
          <w:szCs w:val="24"/>
        </w:rPr>
        <w:t>中证有色金属矿业主题</w:t>
      </w:r>
      <w:r>
        <w:rPr>
          <w:rFonts w:hint="eastAsia" w:ascii="宋体" w:hAnsi="Times New Roman" w:cs="宋体"/>
          <w:sz w:val="24"/>
          <w:szCs w:val="24"/>
        </w:rPr>
        <w:t>指数的表现</w:t>
      </w:r>
      <w:r>
        <w:rPr>
          <w:rFonts w:hint="eastAsia" w:ascii="宋体" w:hAnsi="Times New Roman" w:eastAsia="宋体" w:cs="宋体"/>
          <w:kern w:val="0"/>
          <w:sz w:val="24"/>
          <w:szCs w:val="24"/>
        </w:rPr>
        <w:t>，追求跟踪偏离度和跟踪误差的最小化。</w:t>
      </w:r>
    </w:p>
    <w:p w14:paraId="17251D3D">
      <w:pPr>
        <w:spacing w:line="360" w:lineRule="auto"/>
        <w:ind w:firstLine="480" w:firstLineChars="200"/>
        <w:rPr>
          <w:rFonts w:ascii="宋体" w:hAnsi="Times New Roman" w:eastAsia="宋体" w:cs="宋体"/>
          <w:kern w:val="0"/>
          <w:sz w:val="24"/>
          <w:szCs w:val="24"/>
        </w:rPr>
      </w:pPr>
    </w:p>
    <w:p w14:paraId="50F398F7">
      <w:pPr>
        <w:spacing w:line="360" w:lineRule="auto"/>
        <w:ind w:firstLine="480" w:firstLineChars="200"/>
        <w:rPr>
          <w:rFonts w:ascii="宋体" w:hAnsi="Times New Roman" w:eastAsia="宋体" w:cs="宋体"/>
          <w:kern w:val="0"/>
          <w:sz w:val="24"/>
          <w:szCs w:val="24"/>
        </w:rPr>
      </w:pPr>
      <w:r>
        <w:rPr>
          <w:rFonts w:hint="eastAsia" w:ascii="宋体" w:hAnsi="Times New Roman" w:eastAsia="宋体" w:cs="宋体"/>
          <w:kern w:val="0"/>
          <w:sz w:val="24"/>
          <w:szCs w:val="24"/>
        </w:rPr>
        <w:t>五、标的指数</w:t>
      </w:r>
    </w:p>
    <w:p w14:paraId="20B1AE79">
      <w:pPr>
        <w:spacing w:line="360" w:lineRule="auto"/>
        <w:ind w:firstLine="480" w:firstLineChars="200"/>
        <w:rPr>
          <w:rFonts w:ascii="宋体" w:hAnsi="Times New Roman" w:eastAsia="宋体" w:cs="宋体"/>
          <w:kern w:val="0"/>
          <w:sz w:val="24"/>
          <w:szCs w:val="24"/>
        </w:rPr>
      </w:pPr>
      <w:r>
        <w:rPr>
          <w:rFonts w:hint="eastAsia" w:ascii="宋体" w:hAnsi="Times New Roman" w:eastAsia="宋体" w:cs="宋体"/>
          <w:kern w:val="0"/>
          <w:sz w:val="24"/>
          <w:szCs w:val="24"/>
        </w:rPr>
        <w:t>本基金的标的指数为中证有色金属矿业主题指数</w:t>
      </w:r>
    </w:p>
    <w:p w14:paraId="53503900">
      <w:pPr>
        <w:spacing w:line="360" w:lineRule="auto"/>
        <w:ind w:firstLine="0" w:firstLineChars="0"/>
        <w:rPr>
          <w:rFonts w:ascii="宋体" w:hAnsi="Times New Roman" w:eastAsia="宋体" w:cs="宋体"/>
          <w:kern w:val="0"/>
          <w:sz w:val="24"/>
          <w:szCs w:val="24"/>
        </w:rPr>
      </w:pPr>
    </w:p>
    <w:p w14:paraId="5D581392">
      <w:pPr>
        <w:spacing w:line="360" w:lineRule="auto"/>
        <w:ind w:firstLine="480" w:firstLineChars="200"/>
        <w:rPr>
          <w:rFonts w:ascii="宋体" w:hAnsi="Times New Roman" w:eastAsia="宋体" w:cs="宋体"/>
          <w:kern w:val="0"/>
          <w:sz w:val="24"/>
          <w:szCs w:val="24"/>
        </w:rPr>
      </w:pPr>
      <w:r>
        <w:rPr>
          <w:rFonts w:hint="eastAsia" w:ascii="宋体" w:hAnsi="Times New Roman" w:eastAsia="宋体" w:cs="宋体"/>
          <w:kern w:val="0"/>
          <w:sz w:val="24"/>
          <w:szCs w:val="24"/>
        </w:rPr>
        <w:t>六、基金存续期限</w:t>
      </w:r>
    </w:p>
    <w:p w14:paraId="1B908482">
      <w:pPr>
        <w:spacing w:line="360" w:lineRule="auto"/>
        <w:ind w:firstLine="480" w:firstLineChars="200"/>
        <w:rPr>
          <w:rFonts w:ascii="宋体" w:hAnsi="Times New Roman" w:eastAsia="宋体" w:cs="宋体"/>
          <w:kern w:val="0"/>
          <w:sz w:val="24"/>
          <w:szCs w:val="24"/>
        </w:rPr>
      </w:pPr>
      <w:r>
        <w:rPr>
          <w:rFonts w:hint="eastAsia" w:ascii="宋体" w:hAnsi="Times New Roman" w:eastAsia="宋体" w:cs="宋体"/>
          <w:kern w:val="0"/>
          <w:sz w:val="24"/>
          <w:szCs w:val="24"/>
        </w:rPr>
        <w:t>不定期</w:t>
      </w:r>
    </w:p>
    <w:p w14:paraId="3C51812B">
      <w:pPr>
        <w:spacing w:line="360" w:lineRule="auto"/>
        <w:ind w:firstLine="480" w:firstLineChars="200"/>
        <w:rPr>
          <w:rFonts w:ascii="宋体" w:hAnsi="Times New Roman" w:eastAsia="宋体" w:cs="宋体"/>
          <w:kern w:val="0"/>
          <w:sz w:val="24"/>
          <w:szCs w:val="24"/>
        </w:rPr>
      </w:pPr>
    </w:p>
    <w:p w14:paraId="17E42C52">
      <w:pPr>
        <w:spacing w:line="360" w:lineRule="auto"/>
        <w:ind w:firstLine="480" w:firstLineChars="200"/>
        <w:rPr>
          <w:rFonts w:ascii="Times New Roman" w:hAnsi="Times New Roman" w:eastAsia="宋体" w:cs="Times New Roman"/>
          <w:bCs/>
          <w:color w:val="000000"/>
          <w:sz w:val="24"/>
          <w:szCs w:val="20"/>
        </w:rPr>
      </w:pPr>
      <w:r>
        <w:rPr>
          <w:rFonts w:hint="eastAsia" w:ascii="Times New Roman" w:hAnsi="Times New Roman" w:eastAsia="宋体" w:cs="Times New Roman"/>
          <w:bCs/>
          <w:color w:val="000000"/>
          <w:sz w:val="24"/>
          <w:szCs w:val="20"/>
        </w:rPr>
        <w:t>七、基金份额类别设置</w:t>
      </w:r>
      <w:r>
        <w:rPr>
          <w:rFonts w:ascii="Times New Roman" w:hAnsi="Times New Roman" w:eastAsia="宋体" w:cs="Times New Roman"/>
          <w:bCs/>
          <w:color w:val="000000"/>
          <w:sz w:val="24"/>
          <w:szCs w:val="20"/>
        </w:rPr>
        <w:t xml:space="preserve"> </w:t>
      </w:r>
    </w:p>
    <w:p w14:paraId="48E20E22">
      <w:pPr>
        <w:spacing w:line="360" w:lineRule="auto"/>
        <w:ind w:firstLine="480" w:firstLineChars="200"/>
        <w:rPr>
          <w:rFonts w:ascii="宋体" w:hAnsi="Times New Roman" w:eastAsia="宋体" w:cs="宋体"/>
          <w:kern w:val="0"/>
          <w:sz w:val="24"/>
          <w:szCs w:val="24"/>
        </w:rPr>
      </w:pPr>
      <w:r>
        <w:rPr>
          <w:rFonts w:hint="eastAsia" w:ascii="宋体" w:hAnsi="Times New Roman" w:eastAsia="宋体" w:cs="宋体"/>
          <w:kern w:val="0"/>
          <w:sz w:val="24"/>
          <w:szCs w:val="24"/>
        </w:rPr>
        <w:t>本基金根据申购费用、销售服务费收取方式的不同，将基金份额分为不同的类别。在投资者申购时收取申购费用，在赎回时根据持有期限收取赎回费用，但不从本类别基金资产中计提销售服务费的基金份额，称为A类基金份额；在投资者申购时不收取申购费用，在赎回时根据持有期限收取赎回费用，且从本类别基金资产中计提销售服务费的基金份额，称为C类基金份额。</w:t>
      </w:r>
    </w:p>
    <w:p w14:paraId="52DAD9D0">
      <w:pPr>
        <w:spacing w:line="360" w:lineRule="auto"/>
        <w:ind w:firstLine="480" w:firstLineChars="200"/>
        <w:rPr>
          <w:rFonts w:ascii="宋体" w:hAnsi="Times New Roman" w:eastAsia="宋体" w:cs="宋体"/>
          <w:kern w:val="0"/>
          <w:sz w:val="24"/>
          <w:szCs w:val="24"/>
        </w:rPr>
      </w:pPr>
      <w:r>
        <w:rPr>
          <w:rFonts w:hint="eastAsia" w:ascii="宋体" w:hAnsi="Times New Roman" w:eastAsia="宋体" w:cs="宋体"/>
          <w:kern w:val="0"/>
          <w:sz w:val="24"/>
          <w:szCs w:val="24"/>
        </w:rPr>
        <w:t>本基金A类基金份额和C类基金份额分别设置代码。本基金A类基金份额和C类基金份额将分别计算基金份额净值，计算公式为计算日各类别基金资产净值除以计算日发售在外的该类别基金份额总数。</w:t>
      </w:r>
    </w:p>
    <w:p w14:paraId="4A8912B0">
      <w:pPr>
        <w:spacing w:line="360" w:lineRule="auto"/>
        <w:ind w:firstLine="480" w:firstLineChars="200"/>
        <w:rPr>
          <w:rFonts w:ascii="宋体" w:hAnsi="Times New Roman" w:eastAsia="宋体" w:cs="宋体"/>
          <w:kern w:val="0"/>
          <w:sz w:val="24"/>
          <w:szCs w:val="24"/>
        </w:rPr>
      </w:pPr>
      <w:r>
        <w:rPr>
          <w:rFonts w:hint="eastAsia" w:ascii="宋体" w:hAnsi="Times New Roman" w:eastAsia="宋体" w:cs="宋体"/>
          <w:kern w:val="0"/>
          <w:sz w:val="24"/>
          <w:szCs w:val="24"/>
        </w:rPr>
        <w:t>投资者可自行选择申购的基金份额类别。</w:t>
      </w:r>
    </w:p>
    <w:p w14:paraId="44C7BA10">
      <w:pPr>
        <w:spacing w:line="360" w:lineRule="auto"/>
        <w:ind w:firstLine="480" w:firstLineChars="200"/>
        <w:rPr>
          <w:rFonts w:ascii="宋体" w:hAnsi="Times New Roman" w:eastAsia="宋体" w:cs="宋体"/>
          <w:kern w:val="0"/>
          <w:sz w:val="24"/>
          <w:szCs w:val="24"/>
        </w:rPr>
      </w:pPr>
      <w:r>
        <w:rPr>
          <w:rFonts w:hint="eastAsia" w:ascii="宋体" w:hAnsi="Times New Roman" w:eastAsia="宋体" w:cs="宋体"/>
          <w:kern w:val="0"/>
          <w:sz w:val="24"/>
          <w:szCs w:val="24"/>
        </w:rPr>
        <w:t>在不违反法律法规、基金合同的约定以及对基金份额持有人利益无实质性不利影响的情况下，经与基金托管人协商一致，基金管理人可调整基金份额类别设置、对基金份额分类办法及规则进行调整并在调整实施之日前依照《信息披露办法》的有关规定在规定媒介上公告，不需要召开基金份额持有人大会。</w:t>
      </w:r>
    </w:p>
    <w:p w14:paraId="221081A4">
      <w:pPr>
        <w:spacing w:line="360" w:lineRule="auto"/>
        <w:ind w:firstLine="480" w:firstLineChars="200"/>
        <w:rPr>
          <w:rFonts w:ascii="宋体" w:hAnsi="Times New Roman" w:eastAsia="宋体" w:cs="宋体"/>
          <w:kern w:val="0"/>
          <w:sz w:val="24"/>
          <w:szCs w:val="24"/>
        </w:rPr>
      </w:pPr>
    </w:p>
    <w:p w14:paraId="62DA632A">
      <w:pPr>
        <w:spacing w:line="360" w:lineRule="auto"/>
        <w:ind w:firstLine="480" w:firstLineChars="200"/>
        <w:rPr>
          <w:rFonts w:ascii="宋体" w:hAnsi="Times New Roman" w:eastAsia="宋体" w:cs="宋体"/>
          <w:kern w:val="0"/>
          <w:sz w:val="24"/>
          <w:szCs w:val="24"/>
        </w:rPr>
      </w:pPr>
      <w:r>
        <w:rPr>
          <w:rFonts w:hint="eastAsia" w:ascii="宋体" w:hAnsi="Times New Roman" w:eastAsia="宋体" w:cs="宋体"/>
          <w:kern w:val="0"/>
          <w:sz w:val="24"/>
          <w:szCs w:val="24"/>
        </w:rPr>
        <w:t>八、本基金与</w:t>
      </w:r>
      <w:r>
        <w:rPr>
          <w:rFonts w:hint="eastAsia" w:cs="宋体" w:asciiTheme="minorEastAsia" w:hAnsiTheme="minorEastAsia"/>
          <w:kern w:val="0"/>
          <w:sz w:val="24"/>
          <w:szCs w:val="24"/>
        </w:rPr>
        <w:t>博时中证有色金属矿业主题交易型开放式指数证券投资基金</w:t>
      </w:r>
      <w:r>
        <w:rPr>
          <w:rFonts w:hint="eastAsia" w:ascii="宋体" w:hAnsi="Times New Roman" w:eastAsia="宋体" w:cs="宋体"/>
          <w:kern w:val="0"/>
          <w:sz w:val="24"/>
          <w:szCs w:val="24"/>
        </w:rPr>
        <w:t>（目标ETF）的联系与区别</w:t>
      </w:r>
    </w:p>
    <w:p w14:paraId="6F1B2BE7">
      <w:pPr>
        <w:spacing w:line="360" w:lineRule="auto"/>
        <w:ind w:firstLine="480" w:firstLineChars="200"/>
        <w:rPr>
          <w:rFonts w:ascii="宋体" w:hAnsi="Times New Roman" w:eastAsia="宋体" w:cs="宋体"/>
          <w:kern w:val="0"/>
          <w:sz w:val="24"/>
          <w:szCs w:val="24"/>
        </w:rPr>
      </w:pPr>
      <w:r>
        <w:rPr>
          <w:rFonts w:hint="eastAsia" w:ascii="宋体" w:hAnsi="Times New Roman" w:eastAsia="宋体" w:cs="宋体"/>
          <w:kern w:val="0"/>
          <w:sz w:val="24"/>
          <w:szCs w:val="24"/>
        </w:rPr>
        <w:t>在投资方法和交易方式等方面，本基金与</w:t>
      </w:r>
      <w:r>
        <w:rPr>
          <w:rFonts w:hint="eastAsia" w:cs="宋体" w:asciiTheme="minorEastAsia" w:hAnsiTheme="minorEastAsia"/>
          <w:kern w:val="0"/>
          <w:sz w:val="24"/>
          <w:szCs w:val="24"/>
        </w:rPr>
        <w:t>博时中证有色金属矿业主题交易型开放式指数证券投资基金</w:t>
      </w:r>
      <w:r>
        <w:rPr>
          <w:rFonts w:hint="eastAsia" w:ascii="宋体" w:hAnsi="Times New Roman" w:eastAsia="宋体" w:cs="宋体"/>
          <w:kern w:val="0"/>
          <w:sz w:val="24"/>
          <w:szCs w:val="24"/>
        </w:rPr>
        <w:t>（目标ETF）的联系与区别主要体现在以下几个方面：</w:t>
      </w:r>
    </w:p>
    <w:p w14:paraId="00704178">
      <w:pPr>
        <w:spacing w:line="360" w:lineRule="auto"/>
        <w:ind w:firstLine="480" w:firstLineChars="200"/>
        <w:rPr>
          <w:rFonts w:ascii="宋体" w:hAnsi="Times New Roman" w:eastAsia="宋体" w:cs="宋体"/>
          <w:kern w:val="0"/>
          <w:sz w:val="24"/>
          <w:szCs w:val="24"/>
        </w:rPr>
      </w:pPr>
      <w:r>
        <w:rPr>
          <w:rFonts w:hint="eastAsia" w:ascii="宋体" w:hAnsi="Times New Roman" w:eastAsia="宋体" w:cs="宋体"/>
          <w:kern w:val="0"/>
          <w:sz w:val="24"/>
          <w:szCs w:val="24"/>
        </w:rPr>
        <w:t>联系：</w:t>
      </w:r>
    </w:p>
    <w:p w14:paraId="6D8C5881">
      <w:pPr>
        <w:spacing w:line="360" w:lineRule="auto"/>
        <w:ind w:firstLine="480" w:firstLineChars="200"/>
        <w:rPr>
          <w:rFonts w:ascii="宋体" w:hAnsi="Times New Roman" w:eastAsia="宋体" w:cs="宋体"/>
          <w:kern w:val="0"/>
          <w:sz w:val="24"/>
          <w:szCs w:val="24"/>
        </w:rPr>
      </w:pPr>
      <w:r>
        <w:rPr>
          <w:rFonts w:hint="eastAsia" w:ascii="宋体" w:hAnsi="Times New Roman" w:eastAsia="宋体" w:cs="宋体"/>
          <w:kern w:val="0"/>
          <w:sz w:val="24"/>
          <w:szCs w:val="24"/>
        </w:rPr>
        <w:t>1.两只基金跟踪同一个标的指数即中证有色金属矿业主题指数。</w:t>
      </w:r>
    </w:p>
    <w:p w14:paraId="3C2C4ABF">
      <w:pPr>
        <w:spacing w:line="360" w:lineRule="auto"/>
        <w:ind w:firstLine="480" w:firstLineChars="200"/>
        <w:rPr>
          <w:rFonts w:ascii="宋体" w:hAnsi="Times New Roman" w:eastAsia="宋体" w:cs="宋体"/>
          <w:kern w:val="0"/>
          <w:sz w:val="24"/>
          <w:szCs w:val="24"/>
        </w:rPr>
      </w:pPr>
      <w:r>
        <w:rPr>
          <w:rFonts w:hint="eastAsia" w:ascii="宋体" w:hAnsi="Times New Roman" w:eastAsia="宋体" w:cs="宋体"/>
          <w:kern w:val="0"/>
          <w:sz w:val="24"/>
          <w:szCs w:val="24"/>
        </w:rPr>
        <w:t>2.两只基金的投资目标均为紧密跟踪标的指数即中证有色金属矿业主题指数的表现，追求跟踪偏离度和跟踪误差的最小化。</w:t>
      </w:r>
    </w:p>
    <w:p w14:paraId="0A3C4666">
      <w:pPr>
        <w:spacing w:line="360" w:lineRule="auto"/>
        <w:ind w:firstLine="480" w:firstLineChars="200"/>
        <w:rPr>
          <w:rFonts w:ascii="宋体" w:hAnsi="Times New Roman" w:eastAsia="宋体" w:cs="宋体"/>
          <w:kern w:val="0"/>
          <w:sz w:val="24"/>
          <w:szCs w:val="24"/>
        </w:rPr>
      </w:pPr>
      <w:r>
        <w:rPr>
          <w:rFonts w:hint="eastAsia" w:ascii="宋体" w:hAnsi="Times New Roman" w:eastAsia="宋体" w:cs="宋体"/>
          <w:kern w:val="0"/>
          <w:sz w:val="24"/>
          <w:szCs w:val="24"/>
        </w:rPr>
        <w:t>3.两只基金具有相似的风险收益特征。</w:t>
      </w:r>
    </w:p>
    <w:p w14:paraId="456575B2">
      <w:pPr>
        <w:spacing w:line="360" w:lineRule="auto"/>
        <w:ind w:firstLine="480" w:firstLineChars="200"/>
        <w:rPr>
          <w:rFonts w:ascii="宋体" w:hAnsi="Times New Roman" w:eastAsia="宋体" w:cs="宋体"/>
          <w:kern w:val="0"/>
          <w:sz w:val="24"/>
          <w:szCs w:val="24"/>
        </w:rPr>
      </w:pPr>
      <w:r>
        <w:rPr>
          <w:rFonts w:hint="eastAsia" w:ascii="宋体" w:hAnsi="Times New Roman" w:eastAsia="宋体" w:cs="宋体"/>
          <w:kern w:val="0"/>
          <w:sz w:val="24"/>
          <w:szCs w:val="24"/>
        </w:rPr>
        <w:t>4.</w:t>
      </w:r>
      <w:r>
        <w:rPr>
          <w:rFonts w:hint="eastAsia" w:cs="宋体" w:asciiTheme="minorEastAsia" w:hAnsiTheme="minorEastAsia"/>
          <w:kern w:val="0"/>
          <w:sz w:val="24"/>
          <w:szCs w:val="24"/>
        </w:rPr>
        <w:t>博时中证有色金属矿业主题交易型开放式指数证券投资基金</w:t>
      </w:r>
      <w:r>
        <w:rPr>
          <w:rFonts w:hint="eastAsia" w:ascii="宋体" w:hAnsi="Times New Roman" w:eastAsia="宋体" w:cs="宋体"/>
          <w:kern w:val="0"/>
          <w:sz w:val="24"/>
          <w:szCs w:val="24"/>
        </w:rPr>
        <w:t>是本基金的主要投资对象。</w:t>
      </w:r>
    </w:p>
    <w:p w14:paraId="606101CF">
      <w:pPr>
        <w:spacing w:line="360" w:lineRule="auto"/>
        <w:ind w:firstLine="480" w:firstLineChars="200"/>
        <w:rPr>
          <w:rFonts w:ascii="宋体" w:hAnsi="Times New Roman" w:eastAsia="宋体" w:cs="宋体"/>
          <w:kern w:val="0"/>
          <w:sz w:val="24"/>
          <w:szCs w:val="24"/>
        </w:rPr>
      </w:pPr>
      <w:r>
        <w:rPr>
          <w:rFonts w:hint="eastAsia" w:ascii="宋体" w:hAnsi="Times New Roman" w:eastAsia="宋体" w:cs="宋体"/>
          <w:kern w:val="0"/>
          <w:sz w:val="24"/>
          <w:szCs w:val="24"/>
        </w:rPr>
        <w:t>区别：</w:t>
      </w:r>
    </w:p>
    <w:p w14:paraId="048F3B5E">
      <w:pPr>
        <w:spacing w:line="360" w:lineRule="auto"/>
        <w:ind w:firstLine="480" w:firstLineChars="200"/>
        <w:rPr>
          <w:rFonts w:ascii="宋体" w:hAnsi="Times New Roman" w:eastAsia="宋体" w:cs="宋体"/>
          <w:kern w:val="0"/>
          <w:sz w:val="24"/>
          <w:szCs w:val="24"/>
        </w:rPr>
      </w:pPr>
      <w:r>
        <w:rPr>
          <w:rFonts w:hint="eastAsia" w:ascii="宋体" w:hAnsi="Times New Roman" w:eastAsia="宋体" w:cs="宋体"/>
          <w:kern w:val="0"/>
          <w:sz w:val="24"/>
          <w:szCs w:val="24"/>
        </w:rPr>
        <w:t>1.基金的投资管理方式不同：</w:t>
      </w:r>
      <w:r>
        <w:rPr>
          <w:rFonts w:hint="eastAsia" w:cs="宋体" w:asciiTheme="minorEastAsia" w:hAnsiTheme="minorEastAsia"/>
          <w:kern w:val="0"/>
          <w:sz w:val="24"/>
          <w:szCs w:val="24"/>
        </w:rPr>
        <w:t>博时中证有色金属矿业主题交易型开放式指数证券投资基金</w:t>
      </w:r>
      <w:r>
        <w:rPr>
          <w:rFonts w:hint="eastAsia" w:ascii="宋体" w:hAnsi="Times New Roman" w:eastAsia="宋体" w:cs="宋体"/>
          <w:kern w:val="0"/>
          <w:sz w:val="24"/>
          <w:szCs w:val="24"/>
        </w:rPr>
        <w:t>通过直接买卖标的指数成份股和备选成份股等，直接跟踪复制标的指数的表现；而本基金则是通过买卖目标ETF基金（包括在目标ETF的一级市场进行股票篮子组合的申购与赎回，也包括在目标ETF的二级市场以现金直接买卖ETF份额），间接跟踪标的指数的表现。</w:t>
      </w:r>
    </w:p>
    <w:p w14:paraId="05E53E79">
      <w:pPr>
        <w:spacing w:line="360" w:lineRule="auto"/>
        <w:ind w:firstLine="480" w:firstLineChars="200"/>
        <w:rPr>
          <w:rFonts w:ascii="宋体" w:hAnsi="Times New Roman" w:eastAsia="宋体" w:cs="宋体"/>
          <w:kern w:val="0"/>
          <w:sz w:val="24"/>
          <w:szCs w:val="24"/>
        </w:rPr>
      </w:pPr>
      <w:r>
        <w:rPr>
          <w:rFonts w:hint="eastAsia" w:ascii="宋体" w:hAnsi="Times New Roman" w:eastAsia="宋体" w:cs="宋体"/>
          <w:kern w:val="0"/>
          <w:sz w:val="24"/>
          <w:szCs w:val="24"/>
        </w:rPr>
        <w:t>2.基金的申购赎回不同：</w:t>
      </w:r>
      <w:r>
        <w:rPr>
          <w:rFonts w:hint="eastAsia" w:cs="宋体" w:asciiTheme="minorEastAsia" w:hAnsiTheme="minorEastAsia"/>
          <w:kern w:val="0"/>
          <w:sz w:val="24"/>
          <w:szCs w:val="24"/>
        </w:rPr>
        <w:t>博时中证有色金属矿业主题交易型开放式指数证券投资基金</w:t>
      </w:r>
      <w:r>
        <w:rPr>
          <w:rFonts w:hint="eastAsia" w:ascii="宋体" w:hAnsi="Times New Roman" w:eastAsia="宋体" w:cs="宋体"/>
          <w:kern w:val="0"/>
          <w:sz w:val="24"/>
          <w:szCs w:val="24"/>
        </w:rPr>
        <w:t>采用股票篮子组合的方式进行基金份额的申购与赎回，而本基金的申购和赎回均采用现金方式。</w:t>
      </w:r>
    </w:p>
    <w:p w14:paraId="469A59B6">
      <w:pPr>
        <w:spacing w:line="360" w:lineRule="auto"/>
        <w:ind w:firstLine="480" w:firstLineChars="200"/>
        <w:rPr>
          <w:rFonts w:ascii="宋体" w:hAnsi="Times New Roman" w:eastAsia="宋体" w:cs="宋体"/>
          <w:kern w:val="0"/>
          <w:sz w:val="24"/>
          <w:szCs w:val="24"/>
        </w:rPr>
      </w:pPr>
      <w:r>
        <w:rPr>
          <w:rFonts w:hint="eastAsia" w:ascii="宋体" w:hAnsi="Times New Roman" w:eastAsia="宋体" w:cs="宋体"/>
          <w:kern w:val="0"/>
          <w:sz w:val="24"/>
          <w:szCs w:val="24"/>
        </w:rPr>
        <w:t>3.基金是否挂牌交易不同：</w:t>
      </w:r>
      <w:r>
        <w:rPr>
          <w:rFonts w:hint="eastAsia" w:cs="宋体" w:asciiTheme="minorEastAsia" w:hAnsiTheme="minorEastAsia"/>
          <w:kern w:val="0"/>
          <w:sz w:val="24"/>
          <w:szCs w:val="24"/>
        </w:rPr>
        <w:t>博时中证有色金属矿业主题交易型开放式指数证券投资基金</w:t>
      </w:r>
      <w:r>
        <w:rPr>
          <w:rFonts w:hint="eastAsia" w:ascii="宋体" w:hAnsi="Times New Roman" w:eastAsia="宋体" w:cs="宋体"/>
          <w:kern w:val="0"/>
          <w:sz w:val="24"/>
          <w:szCs w:val="24"/>
        </w:rPr>
        <w:t>在上海证券交易所挂牌交易；而本基金则不上市交易。</w:t>
      </w:r>
    </w:p>
    <w:p w14:paraId="2A7065F9">
      <w:pPr>
        <w:spacing w:line="360" w:lineRule="auto"/>
        <w:ind w:firstLine="480" w:firstLineChars="200"/>
        <w:rPr>
          <w:rFonts w:ascii="宋体" w:hAnsi="Times New Roman" w:eastAsia="宋体" w:cs="宋体"/>
          <w:kern w:val="0"/>
          <w:sz w:val="24"/>
          <w:szCs w:val="24"/>
        </w:rPr>
      </w:pPr>
      <w:r>
        <w:rPr>
          <w:rFonts w:hint="eastAsia" w:ascii="宋体" w:hAnsi="Times New Roman" w:eastAsia="宋体" w:cs="宋体"/>
          <w:kern w:val="0"/>
          <w:sz w:val="24"/>
          <w:szCs w:val="24"/>
        </w:rPr>
        <w:t>4.价格揭示机制不同：</w:t>
      </w:r>
      <w:r>
        <w:rPr>
          <w:rFonts w:hint="eastAsia" w:cs="宋体" w:asciiTheme="minorEastAsia" w:hAnsiTheme="minorEastAsia"/>
          <w:kern w:val="0"/>
          <w:sz w:val="24"/>
          <w:szCs w:val="24"/>
        </w:rPr>
        <w:t>博时中证有色金属矿业主题交易型开放式指数证券投资基金</w:t>
      </w:r>
      <w:r>
        <w:rPr>
          <w:rFonts w:hint="eastAsia" w:ascii="宋体" w:hAnsi="Times New Roman" w:eastAsia="宋体" w:cs="宋体"/>
          <w:kern w:val="0"/>
          <w:sz w:val="24"/>
          <w:szCs w:val="24"/>
        </w:rPr>
        <w:t>有实时市场交易价格和每日基金份额净值；而本基金只揭示每日基金份额净值。</w:t>
      </w:r>
    </w:p>
    <w:p w14:paraId="3504C68B">
      <w:pPr>
        <w:spacing w:line="360" w:lineRule="auto"/>
        <w:ind w:firstLine="480" w:firstLineChars="200"/>
        <w:rPr>
          <w:rFonts w:ascii="宋体" w:hAnsi="Times New Roman" w:eastAsia="宋体" w:cs="宋体"/>
          <w:kern w:val="0"/>
          <w:sz w:val="24"/>
          <w:szCs w:val="24"/>
        </w:rPr>
      </w:pPr>
      <w:r>
        <w:rPr>
          <w:rFonts w:hint="eastAsia" w:ascii="宋体" w:hAnsi="Times New Roman" w:eastAsia="宋体" w:cs="宋体"/>
          <w:kern w:val="0"/>
          <w:sz w:val="24"/>
          <w:szCs w:val="24"/>
        </w:rPr>
        <w:t>5.投资人申购赎回基金的程序不同：</w:t>
      </w:r>
      <w:r>
        <w:rPr>
          <w:rFonts w:hint="eastAsia" w:cs="宋体" w:asciiTheme="minorEastAsia" w:hAnsiTheme="minorEastAsia"/>
          <w:kern w:val="0"/>
          <w:sz w:val="24"/>
          <w:szCs w:val="24"/>
        </w:rPr>
        <w:t>博时中证有色金属矿业主题交易型开放式指数证券投资基金</w:t>
      </w:r>
      <w:r>
        <w:rPr>
          <w:rFonts w:hint="eastAsia" w:ascii="宋体" w:hAnsi="Times New Roman" w:eastAsia="宋体" w:cs="宋体"/>
          <w:kern w:val="0"/>
          <w:sz w:val="24"/>
          <w:szCs w:val="24"/>
        </w:rPr>
        <w:t>通过指定场内申购赎回代理券商办理基金的申购与赎回；而本基金则通过场外销售机构办理基金的申购与赎回。</w:t>
      </w:r>
    </w:p>
    <w:p w14:paraId="1341881C">
      <w:pPr>
        <w:spacing w:line="360" w:lineRule="auto"/>
        <w:ind w:firstLine="480" w:firstLineChars="200"/>
        <w:rPr>
          <w:rFonts w:ascii="宋体" w:hAnsi="Times New Roman" w:eastAsia="宋体" w:cs="宋体"/>
          <w:kern w:val="0"/>
          <w:sz w:val="24"/>
          <w:szCs w:val="24"/>
        </w:rPr>
      </w:pPr>
    </w:p>
    <w:p w14:paraId="540F43D5">
      <w:pPr>
        <w:spacing w:line="360" w:lineRule="auto"/>
        <w:ind w:firstLine="480" w:firstLineChars="200"/>
        <w:rPr>
          <w:rFonts w:ascii="宋体" w:hAnsi="Times New Roman" w:eastAsia="宋体" w:cs="宋体"/>
          <w:kern w:val="0"/>
          <w:sz w:val="24"/>
          <w:szCs w:val="24"/>
        </w:rPr>
      </w:pPr>
      <w:r>
        <w:rPr>
          <w:rFonts w:hint="eastAsia" w:ascii="宋体" w:hAnsi="Times New Roman" w:eastAsia="宋体" w:cs="宋体"/>
          <w:kern w:val="0"/>
          <w:sz w:val="24"/>
          <w:szCs w:val="24"/>
        </w:rPr>
        <w:t>九、本基金与</w:t>
      </w:r>
      <w:r>
        <w:rPr>
          <w:rFonts w:hint="eastAsia" w:cs="宋体" w:asciiTheme="minorEastAsia" w:hAnsiTheme="minorEastAsia"/>
          <w:kern w:val="0"/>
          <w:sz w:val="24"/>
          <w:szCs w:val="24"/>
        </w:rPr>
        <w:t>博时中证有色金属矿业主题交易型开放式指数证券投资基金</w:t>
      </w:r>
      <w:r>
        <w:rPr>
          <w:rFonts w:hint="eastAsia" w:ascii="宋体" w:hAnsi="Times New Roman" w:eastAsia="宋体" w:cs="宋体"/>
          <w:kern w:val="0"/>
          <w:sz w:val="24"/>
          <w:szCs w:val="24"/>
        </w:rPr>
        <w:t>业绩表现的差异</w:t>
      </w:r>
    </w:p>
    <w:p w14:paraId="68AA1BEB">
      <w:pPr>
        <w:spacing w:line="360" w:lineRule="auto"/>
        <w:ind w:firstLine="480" w:firstLineChars="200"/>
        <w:rPr>
          <w:rFonts w:ascii="宋体" w:hAnsi="Times New Roman" w:eastAsia="宋体" w:cs="宋体"/>
          <w:kern w:val="0"/>
          <w:sz w:val="24"/>
          <w:szCs w:val="24"/>
        </w:rPr>
      </w:pPr>
      <w:r>
        <w:rPr>
          <w:rFonts w:hint="eastAsia" w:ascii="宋体" w:hAnsi="Times New Roman" w:eastAsia="宋体" w:cs="宋体"/>
          <w:kern w:val="0"/>
          <w:sz w:val="24"/>
          <w:szCs w:val="24"/>
        </w:rPr>
        <w:t>本基金的业绩表现与</w:t>
      </w:r>
      <w:r>
        <w:rPr>
          <w:rFonts w:hint="eastAsia" w:cs="宋体" w:asciiTheme="minorEastAsia" w:hAnsiTheme="minorEastAsia"/>
          <w:kern w:val="0"/>
          <w:sz w:val="24"/>
          <w:szCs w:val="24"/>
        </w:rPr>
        <w:t>博时中证有色金属矿业主题交易型开放式指数证券投资基金</w:t>
      </w:r>
      <w:r>
        <w:rPr>
          <w:rFonts w:hint="eastAsia" w:ascii="宋体" w:hAnsi="Times New Roman" w:eastAsia="宋体" w:cs="宋体"/>
          <w:kern w:val="0"/>
          <w:sz w:val="24"/>
          <w:szCs w:val="24"/>
        </w:rPr>
        <w:t>的业绩表现可能会出现差异，差异产生的主要原因有以下几个方面：</w:t>
      </w:r>
    </w:p>
    <w:p w14:paraId="60FDE288">
      <w:pPr>
        <w:spacing w:line="360" w:lineRule="auto"/>
        <w:ind w:firstLine="480" w:firstLineChars="200"/>
        <w:rPr>
          <w:rFonts w:ascii="宋体" w:hAnsi="Times New Roman" w:eastAsia="宋体" w:cs="宋体"/>
          <w:kern w:val="0"/>
          <w:sz w:val="24"/>
          <w:szCs w:val="24"/>
        </w:rPr>
      </w:pPr>
      <w:r>
        <w:rPr>
          <w:rFonts w:hint="eastAsia" w:ascii="宋体" w:hAnsi="Times New Roman" w:eastAsia="宋体" w:cs="宋体"/>
          <w:kern w:val="0"/>
          <w:sz w:val="24"/>
          <w:szCs w:val="24"/>
        </w:rPr>
        <w:t>1.投资对象和投资范围的不同，会导致两只基金的业绩有差异。</w:t>
      </w:r>
    </w:p>
    <w:p w14:paraId="06E86549">
      <w:pPr>
        <w:spacing w:line="360" w:lineRule="auto"/>
        <w:ind w:firstLine="480" w:firstLineChars="200"/>
        <w:rPr>
          <w:rFonts w:ascii="宋体" w:hAnsi="Times New Roman" w:eastAsia="宋体" w:cs="宋体"/>
          <w:kern w:val="0"/>
          <w:sz w:val="24"/>
          <w:szCs w:val="24"/>
        </w:rPr>
      </w:pPr>
      <w:r>
        <w:rPr>
          <w:rFonts w:hint="eastAsia" w:ascii="宋体" w:hAnsi="Times New Roman" w:eastAsia="宋体" w:cs="宋体"/>
          <w:kern w:val="0"/>
          <w:sz w:val="24"/>
          <w:szCs w:val="24"/>
        </w:rPr>
        <w:t>2.投资管理方式的不同，如在指数化投资过程中，不同的管理方式会导致跟踪指数的水平、技术手段、买入卖出的时机选择等的不同，会导致两只基金的业绩有差异。</w:t>
      </w:r>
    </w:p>
    <w:p w14:paraId="1C8247E3">
      <w:pPr>
        <w:spacing w:line="360" w:lineRule="auto"/>
        <w:ind w:firstLine="480" w:firstLineChars="200"/>
        <w:rPr>
          <w:rFonts w:ascii="宋体" w:hAnsi="Times New Roman" w:eastAsia="宋体" w:cs="宋体"/>
          <w:kern w:val="0"/>
          <w:sz w:val="24"/>
          <w:szCs w:val="24"/>
        </w:rPr>
      </w:pPr>
      <w:r>
        <w:rPr>
          <w:rFonts w:hint="eastAsia" w:ascii="宋体" w:hAnsi="Times New Roman" w:eastAsia="宋体" w:cs="宋体"/>
          <w:kern w:val="0"/>
          <w:sz w:val="24"/>
          <w:szCs w:val="24"/>
        </w:rPr>
        <w:t>3.基金规模、投资成本、各种费用与税收的不同，会导致两只基金的业绩有差异。由于两只基金的投资对象和投资范围不同，投资管理方式不同，基金规模也可能不同，所以，本基金的投资成本、各种费用及税收可能不同于</w:t>
      </w:r>
      <w:r>
        <w:rPr>
          <w:rFonts w:hint="eastAsia" w:cs="宋体" w:asciiTheme="minorEastAsia" w:hAnsiTheme="minorEastAsia"/>
          <w:kern w:val="0"/>
          <w:sz w:val="24"/>
          <w:szCs w:val="24"/>
        </w:rPr>
        <w:t>博时中证有色金属矿业主题交易型开放式指数证券投资基金</w:t>
      </w:r>
      <w:r>
        <w:rPr>
          <w:rFonts w:hint="eastAsia" w:ascii="宋体" w:hAnsi="Times New Roman" w:eastAsia="宋体" w:cs="宋体"/>
          <w:kern w:val="0"/>
          <w:sz w:val="24"/>
          <w:szCs w:val="24"/>
        </w:rPr>
        <w:t>。</w:t>
      </w:r>
    </w:p>
    <w:p w14:paraId="4D0C82F1">
      <w:pPr>
        <w:spacing w:line="360" w:lineRule="auto"/>
        <w:ind w:firstLine="480" w:firstLineChars="200"/>
        <w:rPr>
          <w:rFonts w:ascii="宋体" w:hAnsi="Times New Roman" w:eastAsia="宋体" w:cs="宋体"/>
          <w:kern w:val="0"/>
          <w:sz w:val="24"/>
          <w:szCs w:val="24"/>
        </w:rPr>
      </w:pPr>
      <w:r>
        <w:rPr>
          <w:rFonts w:hint="eastAsia" w:ascii="宋体" w:hAnsi="Times New Roman" w:eastAsia="宋体" w:cs="宋体"/>
          <w:kern w:val="0"/>
          <w:sz w:val="24"/>
          <w:szCs w:val="24"/>
        </w:rPr>
        <w:t>4.现金比例及现金管理方式的不同，会导致两只基金的业绩有差异。本基金须每个交易日日终在扣除国债期货、股指期货和股票期权合约需缴纳的交易保证金后，对现金或者到期日在一年以内的政府债券的投资比例不低于基金资产净值的5%，而</w:t>
      </w:r>
      <w:r>
        <w:rPr>
          <w:rFonts w:hint="eastAsia" w:cs="宋体" w:asciiTheme="minorEastAsia" w:hAnsiTheme="minorEastAsia"/>
          <w:kern w:val="0"/>
          <w:sz w:val="24"/>
          <w:szCs w:val="24"/>
        </w:rPr>
        <w:t>博时中证有色金属矿业主题交易型开放式指数证券投资基金</w:t>
      </w:r>
      <w:r>
        <w:rPr>
          <w:rFonts w:hint="eastAsia" w:ascii="宋体" w:hAnsi="Times New Roman" w:eastAsia="宋体" w:cs="宋体"/>
          <w:kern w:val="0"/>
          <w:sz w:val="24"/>
          <w:szCs w:val="24"/>
        </w:rPr>
        <w:t>仅规定在每个交易日日终在扣除股指期货、股票期权和国债期货合约需缴纳的交易保证金后，应当保持不低于交易保证金一倍的现金。</w:t>
      </w:r>
    </w:p>
    <w:p w14:paraId="29C1F428">
      <w:pPr>
        <w:spacing w:line="360" w:lineRule="auto"/>
        <w:ind w:firstLine="480" w:firstLineChars="200"/>
        <w:rPr>
          <w:rFonts w:ascii="宋体" w:hAnsi="Times New Roman" w:eastAsia="宋体" w:cs="宋体"/>
          <w:kern w:val="0"/>
          <w:sz w:val="24"/>
          <w:szCs w:val="24"/>
        </w:rPr>
      </w:pPr>
    </w:p>
    <w:p w14:paraId="4632EBEC">
      <w:pPr>
        <w:spacing w:line="360" w:lineRule="auto"/>
        <w:ind w:firstLine="480" w:firstLineChars="200"/>
        <w:rPr>
          <w:rFonts w:ascii="宋体" w:hAnsi="Times New Roman" w:eastAsia="宋体" w:cs="宋体"/>
          <w:kern w:val="0"/>
          <w:sz w:val="24"/>
          <w:szCs w:val="24"/>
        </w:rPr>
        <w:sectPr>
          <w:footerReference r:id="rId6" w:type="default"/>
          <w:pgSz w:w="11906" w:h="16838"/>
          <w:pgMar w:top="1440" w:right="1800" w:bottom="1440" w:left="1800" w:header="851" w:footer="992" w:gutter="0"/>
          <w:pgNumType w:start="1"/>
          <w:cols w:space="425" w:num="1"/>
          <w:docGrid w:type="lines" w:linePitch="312" w:charSpace="0"/>
        </w:sectPr>
      </w:pPr>
    </w:p>
    <w:p w14:paraId="65F4AE7C">
      <w:pPr>
        <w:pStyle w:val="2"/>
        <w:spacing w:before="0" w:after="0" w:line="360" w:lineRule="auto"/>
        <w:ind w:firstLine="602" w:firstLineChars="200"/>
        <w:jc w:val="center"/>
        <w:rPr>
          <w:rFonts w:ascii="Times New Roman" w:hAnsi="Times New Roman"/>
          <w:kern w:val="0"/>
          <w:sz w:val="30"/>
          <w:lang w:val="zh-CN"/>
        </w:rPr>
      </w:pPr>
      <w:bookmarkStart w:id="4" w:name="_Toc471235841"/>
      <w:r>
        <w:rPr>
          <w:rFonts w:hint="eastAsia" w:ascii="Times New Roman" w:hAnsi="Times New Roman"/>
          <w:kern w:val="0"/>
          <w:sz w:val="30"/>
          <w:lang w:val="zh-CN"/>
        </w:rPr>
        <w:t>第四部分</w:t>
      </w:r>
      <w:r>
        <w:rPr>
          <w:rFonts w:ascii="Times New Roman" w:hAnsi="Times New Roman"/>
          <w:kern w:val="0"/>
          <w:sz w:val="30"/>
          <w:lang w:val="zh-CN"/>
        </w:rPr>
        <w:t xml:space="preserve"> </w:t>
      </w:r>
      <w:r>
        <w:rPr>
          <w:rFonts w:hint="eastAsia" w:ascii="Times New Roman" w:hAnsi="Times New Roman"/>
          <w:kern w:val="0"/>
          <w:sz w:val="30"/>
          <w:lang w:val="zh-CN"/>
        </w:rPr>
        <w:t>基金的历史沿革</w:t>
      </w:r>
      <w:bookmarkEnd w:id="4"/>
    </w:p>
    <w:p w14:paraId="7FBA5F3A">
      <w:pPr>
        <w:autoSpaceDE w:val="0"/>
        <w:autoSpaceDN w:val="0"/>
        <w:adjustRightInd w:val="0"/>
        <w:spacing w:line="360" w:lineRule="auto"/>
        <w:ind w:firstLine="480" w:firstLineChars="200"/>
        <w:jc w:val="left"/>
        <w:rPr>
          <w:rFonts w:cs="宋体" w:asciiTheme="minorEastAsia" w:hAnsiTheme="minorEastAsia"/>
          <w:kern w:val="0"/>
          <w:sz w:val="24"/>
          <w:szCs w:val="24"/>
        </w:rPr>
      </w:pPr>
    </w:p>
    <w:p w14:paraId="23CC71C0">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博时中证有色金属矿业主题交易型开放式指数证券投资基金联接基金由博时中证有色金属矿业主题指数证券投资基金变更而来。博时中证有色金属矿业主题指数证券投资基金经中国证监会《关于准予博时中证有色金属矿业主题指数证券投资基金注册的批复》（证监许可[2023]231</w:t>
      </w:r>
      <w:r>
        <w:rPr>
          <w:rFonts w:hint="eastAsia" w:cs="宋体" w:asciiTheme="minorEastAsia" w:hAnsiTheme="minorEastAsia"/>
          <w:kern w:val="0"/>
          <w:sz w:val="24"/>
          <w:szCs w:val="24"/>
          <w:lang w:eastAsia="zh-CN"/>
        </w:rPr>
        <w:t>号文</w:t>
      </w:r>
      <w:r>
        <w:rPr>
          <w:rFonts w:hint="eastAsia" w:cs="宋体" w:asciiTheme="minorEastAsia" w:hAnsiTheme="minorEastAsia"/>
          <w:kern w:val="0"/>
          <w:sz w:val="24"/>
          <w:szCs w:val="24"/>
        </w:rPr>
        <w:t>）准予募集注册，基金管理人为博时基金管理有限公司，基金托管人为交通银行股份有限公司。</w:t>
      </w:r>
    </w:p>
    <w:p w14:paraId="75349BBA">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博时中证有色金属矿业主题指数证券投资基金自2023年4月3日至2023年5月12日进行公开募集，募集结束后基金管理人向中国证监会办理备案手续。经中国证监会书面确认，《博时中证有色金属矿业主题指数证券投资基金基金合同》于2023年5月16日生效。</w:t>
      </w:r>
    </w:p>
    <w:p w14:paraId="7E472B9F">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根据《博时中证有色金属矿业主题指数证券投资基金基金合同》的约定：“若将来本基金管理人推出投资同一标的指数的交易型开放式指数证券投资基金（ETF），则基金管理人有权在履行适当程序后使本基金转换为该基金的联接基金，并相应修改基金合同，届时无须召开基金份额持有人大会但须报中国证监会备案并提前公告。”，基金管理人经与基金托管人协商一致，决定将博时中证有色金属矿业主题指数证券投资基金变更为博时中证有色金属矿业主题交易型开放式指数证券投资基金联接基金，并据此修订《博时中证有色金属矿业主题指数证券投资基金基金合同》。</w:t>
      </w:r>
    </w:p>
    <w:p w14:paraId="77065BF0">
      <w:pPr>
        <w:autoSpaceDE w:val="0"/>
        <w:autoSpaceDN w:val="0"/>
        <w:adjustRightInd w:val="0"/>
        <w:spacing w:line="360" w:lineRule="auto"/>
        <w:ind w:firstLine="480" w:firstLineChars="200"/>
        <w:jc w:val="left"/>
        <w:rPr>
          <w:rFonts w:cs="Times New Roman" w:asciiTheme="minorEastAsia" w:hAnsiTheme="minorEastAsia"/>
          <w:kern w:val="0"/>
          <w:sz w:val="24"/>
          <w:szCs w:val="24"/>
        </w:rPr>
        <w:sectPr>
          <w:footerReference r:id="rId7" w:type="default"/>
          <w:pgSz w:w="11906" w:h="16838"/>
          <w:pgMar w:top="1440" w:right="1800" w:bottom="1440" w:left="1800" w:header="851" w:footer="992" w:gutter="0"/>
          <w:pgNumType w:start="1"/>
          <w:cols w:space="425" w:num="1"/>
          <w:docGrid w:type="lines" w:linePitch="312" w:charSpace="0"/>
        </w:sectPr>
      </w:pPr>
      <w:r>
        <w:rPr>
          <w:rFonts w:hint="eastAsia" w:cs="宋体" w:asciiTheme="minorEastAsia" w:hAnsiTheme="minorEastAsia"/>
          <w:kern w:val="0"/>
          <w:sz w:val="24"/>
          <w:szCs w:val="24"/>
          <w:highlight w:val="none"/>
        </w:rPr>
        <w:t>自</w:t>
      </w:r>
      <w:r>
        <w:rPr>
          <w:rFonts w:cs="宋体" w:asciiTheme="minorEastAsia" w:hAnsiTheme="minorEastAsia"/>
          <w:kern w:val="0"/>
          <w:sz w:val="24"/>
          <w:szCs w:val="24"/>
          <w:highlight w:val="none"/>
        </w:rPr>
        <w:t>2026</w:t>
      </w:r>
      <w:r>
        <w:rPr>
          <w:rFonts w:hint="eastAsia" w:cs="宋体" w:asciiTheme="minorEastAsia" w:hAnsiTheme="minorEastAsia"/>
          <w:kern w:val="0"/>
          <w:sz w:val="24"/>
          <w:szCs w:val="24"/>
          <w:highlight w:val="none"/>
        </w:rPr>
        <w:t>年</w:t>
      </w:r>
      <w:r>
        <w:rPr>
          <w:rFonts w:hint="eastAsia" w:cs="宋体" w:asciiTheme="minorEastAsia" w:hAnsiTheme="minorEastAsia"/>
          <w:kern w:val="0"/>
          <w:sz w:val="24"/>
          <w:szCs w:val="24"/>
          <w:highlight w:val="none"/>
          <w:lang w:val="en-US" w:eastAsia="zh-CN"/>
        </w:rPr>
        <w:t>9</w:t>
      </w:r>
      <w:r>
        <w:rPr>
          <w:rFonts w:hint="eastAsia" w:cs="宋体" w:asciiTheme="minorEastAsia" w:hAnsiTheme="minorEastAsia"/>
          <w:kern w:val="0"/>
          <w:sz w:val="24"/>
          <w:szCs w:val="24"/>
          <w:highlight w:val="none"/>
        </w:rPr>
        <w:t>月</w:t>
      </w:r>
      <w:r>
        <w:rPr>
          <w:rFonts w:hint="eastAsia" w:cs="宋体" w:asciiTheme="minorEastAsia" w:hAnsiTheme="minorEastAsia"/>
          <w:kern w:val="0"/>
          <w:sz w:val="24"/>
          <w:szCs w:val="24"/>
          <w:highlight w:val="none"/>
          <w:lang w:val="en-US" w:eastAsia="zh-CN"/>
        </w:rPr>
        <w:t>29</w:t>
      </w:r>
      <w:r>
        <w:rPr>
          <w:rFonts w:hint="eastAsia" w:cs="宋体" w:asciiTheme="minorEastAsia" w:hAnsiTheme="minorEastAsia"/>
          <w:kern w:val="0"/>
          <w:sz w:val="24"/>
          <w:szCs w:val="24"/>
          <w:highlight w:val="none"/>
        </w:rPr>
        <w:t>日起</w:t>
      </w:r>
      <w:r>
        <w:rPr>
          <w:rFonts w:hint="eastAsia" w:cs="宋体" w:asciiTheme="minorEastAsia" w:hAnsiTheme="minorEastAsia"/>
          <w:kern w:val="0"/>
          <w:sz w:val="24"/>
          <w:szCs w:val="24"/>
        </w:rPr>
        <w:t>，博时中证有色金属矿业主题指数证券投资基金正式变更为博时中证有色金属矿业主题交易型开放式指数证券投资基金联接基金，《博时中证有色金属矿业主题交易型开放式指数证券投资基金联接基金基金合同》生效，《博时中证有色金属矿业主题指数证券投资基金基金合同》失效。</w:t>
      </w:r>
    </w:p>
    <w:p w14:paraId="2B245227">
      <w:pPr>
        <w:pStyle w:val="2"/>
        <w:spacing w:before="0" w:after="0" w:line="360" w:lineRule="auto"/>
        <w:ind w:firstLine="602" w:firstLineChars="200"/>
        <w:jc w:val="center"/>
        <w:rPr>
          <w:rFonts w:ascii="Times New Roman" w:hAnsi="Times New Roman"/>
          <w:kern w:val="0"/>
          <w:sz w:val="30"/>
          <w:lang w:val="zh-CN"/>
        </w:rPr>
      </w:pPr>
      <w:bookmarkStart w:id="5" w:name="_Toc471235842"/>
      <w:r>
        <w:rPr>
          <w:rFonts w:hint="eastAsia" w:ascii="Times New Roman" w:hAnsi="Times New Roman"/>
          <w:kern w:val="0"/>
          <w:sz w:val="30"/>
          <w:lang w:val="zh-CN"/>
        </w:rPr>
        <w:t>第五部分</w:t>
      </w:r>
      <w:r>
        <w:rPr>
          <w:rFonts w:ascii="Times New Roman" w:hAnsi="Times New Roman"/>
          <w:kern w:val="0"/>
          <w:sz w:val="30"/>
          <w:lang w:val="zh-CN"/>
        </w:rPr>
        <w:t xml:space="preserve"> </w:t>
      </w:r>
      <w:r>
        <w:rPr>
          <w:rFonts w:hint="eastAsia" w:ascii="Times New Roman" w:hAnsi="Times New Roman"/>
          <w:kern w:val="0"/>
          <w:sz w:val="30"/>
          <w:lang w:val="zh-CN"/>
        </w:rPr>
        <w:t>基金的存续</w:t>
      </w:r>
      <w:bookmarkEnd w:id="5"/>
    </w:p>
    <w:p w14:paraId="73D9BB84">
      <w:pPr>
        <w:autoSpaceDE w:val="0"/>
        <w:autoSpaceDN w:val="0"/>
        <w:adjustRightInd w:val="0"/>
        <w:spacing w:line="360" w:lineRule="auto"/>
        <w:ind w:firstLine="0" w:firstLineChars="0"/>
        <w:jc w:val="left"/>
        <w:rPr>
          <w:rFonts w:cs="宋体" w:asciiTheme="minorEastAsia" w:hAnsiTheme="minorEastAsia"/>
          <w:kern w:val="0"/>
          <w:sz w:val="24"/>
          <w:szCs w:val="24"/>
        </w:rPr>
      </w:pPr>
    </w:p>
    <w:p w14:paraId="50ECA401">
      <w:pPr>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基金合同》生效后，连续20个工作日出现基金份额持有人数量不满200人或者基金资产净值低于5000万元情形的，基金管理人应当在定期报告中予以披露；连续60个工作日出现前述情形的，基金管理人应当在十个工作日内向中国证监会报告并提出解决方案，如持续运作、转换运作方式、与其他基金合并或者终止基金合同等，并在六个月内召开基金份额持有人大会进行表决。</w:t>
      </w:r>
    </w:p>
    <w:p w14:paraId="74B8EBC8">
      <w:pPr>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法律法规或中国证监会另有规定时，从其规定。</w:t>
      </w:r>
    </w:p>
    <w:p w14:paraId="76E80803">
      <w:pPr>
        <w:spacing w:line="360" w:lineRule="auto"/>
        <w:ind w:firstLine="480" w:firstLineChars="200"/>
        <w:rPr>
          <w:rFonts w:ascii="Times New Roman" w:hAnsi="Times New Roman" w:eastAsia="宋体" w:cs="Times New Roman"/>
          <w:bCs/>
          <w:sz w:val="24"/>
          <w:szCs w:val="20"/>
        </w:rPr>
      </w:pPr>
    </w:p>
    <w:p w14:paraId="02CD40B2">
      <w:pPr>
        <w:widowControl/>
        <w:ind w:firstLine="200"/>
        <w:jc w:val="left"/>
        <w:rPr>
          <w:rFonts w:cs="宋体" w:asciiTheme="minorEastAsia" w:hAnsiTheme="minorEastAsia"/>
          <w:kern w:val="0"/>
          <w:sz w:val="24"/>
          <w:szCs w:val="24"/>
        </w:rPr>
        <w:sectPr>
          <w:footerReference r:id="rId8" w:type="default"/>
          <w:pgSz w:w="11906" w:h="16838"/>
          <w:pgMar w:top="1440" w:right="1800" w:bottom="1440" w:left="1800" w:header="851" w:footer="992" w:gutter="0"/>
          <w:pgNumType w:start="1"/>
          <w:cols w:space="425" w:num="1"/>
          <w:docGrid w:type="lines" w:linePitch="312" w:charSpace="0"/>
        </w:sectPr>
      </w:pPr>
    </w:p>
    <w:p w14:paraId="674EC361">
      <w:pPr>
        <w:pStyle w:val="2"/>
        <w:spacing w:before="0" w:after="0" w:line="360" w:lineRule="auto"/>
        <w:ind w:firstLine="602" w:firstLineChars="200"/>
        <w:jc w:val="center"/>
        <w:rPr>
          <w:rFonts w:ascii="Times New Roman" w:hAnsi="Times New Roman"/>
          <w:kern w:val="0"/>
          <w:sz w:val="30"/>
          <w:lang w:val="zh-CN"/>
        </w:rPr>
      </w:pPr>
      <w:bookmarkStart w:id="6" w:name="_Toc471235843"/>
      <w:r>
        <w:rPr>
          <w:rFonts w:hint="eastAsia" w:ascii="Times New Roman" w:hAnsi="Times New Roman"/>
          <w:kern w:val="0"/>
          <w:sz w:val="30"/>
          <w:lang w:val="zh-CN"/>
        </w:rPr>
        <w:t>第六部分</w:t>
      </w:r>
      <w:r>
        <w:rPr>
          <w:rFonts w:ascii="Times New Roman" w:hAnsi="Times New Roman"/>
          <w:kern w:val="0"/>
          <w:sz w:val="30"/>
          <w:lang w:val="zh-CN"/>
        </w:rPr>
        <w:t xml:space="preserve"> </w:t>
      </w:r>
      <w:r>
        <w:rPr>
          <w:rFonts w:hint="eastAsia" w:ascii="Times New Roman" w:hAnsi="Times New Roman"/>
          <w:kern w:val="0"/>
          <w:sz w:val="30"/>
          <w:lang w:val="zh-CN"/>
        </w:rPr>
        <w:t>基金份额的申购与赎回</w:t>
      </w:r>
      <w:bookmarkEnd w:id="6"/>
    </w:p>
    <w:p w14:paraId="41A931FD">
      <w:pPr>
        <w:autoSpaceDE w:val="0"/>
        <w:autoSpaceDN w:val="0"/>
        <w:adjustRightInd w:val="0"/>
        <w:spacing w:line="360" w:lineRule="auto"/>
        <w:ind w:firstLine="480" w:firstLineChars="200"/>
        <w:jc w:val="left"/>
        <w:rPr>
          <w:rFonts w:cs="宋体" w:asciiTheme="minorEastAsia" w:hAnsiTheme="minorEastAsia"/>
          <w:kern w:val="0"/>
          <w:sz w:val="24"/>
          <w:szCs w:val="24"/>
        </w:rPr>
      </w:pPr>
    </w:p>
    <w:p w14:paraId="43EDABE0">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一、申购和赎回场所</w:t>
      </w:r>
    </w:p>
    <w:p w14:paraId="4D34740C">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本基金的申购与赎回将通过销售机构进行。具体的销售</w:t>
      </w:r>
      <w:r>
        <w:rPr>
          <w:rFonts w:cs="宋体" w:asciiTheme="minorEastAsia" w:hAnsiTheme="minorEastAsia"/>
          <w:kern w:val="0"/>
          <w:sz w:val="24"/>
          <w:szCs w:val="24"/>
        </w:rPr>
        <w:t>机构</w:t>
      </w:r>
      <w:r>
        <w:rPr>
          <w:rFonts w:hint="eastAsia" w:cs="宋体" w:asciiTheme="minorEastAsia" w:hAnsiTheme="minorEastAsia"/>
          <w:kern w:val="0"/>
          <w:sz w:val="24"/>
          <w:szCs w:val="24"/>
        </w:rPr>
        <w:t>将由基金管理人在招募说明书或基金管理人网站公示。基金管理人可根据情况变更或增减销售机构。基金投资者应当在销售机构办理基金销售业务的营业场所或按销售机构提供的其他方式办理基金份额的申购与赎回。</w:t>
      </w:r>
    </w:p>
    <w:p w14:paraId="69AAAB7A">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二、申购和赎回的开放日及时间</w:t>
      </w:r>
    </w:p>
    <w:p w14:paraId="78BA180A">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cs="Times New Roman" w:asciiTheme="minorEastAsia" w:hAnsiTheme="minorEastAsia"/>
          <w:kern w:val="0"/>
          <w:sz w:val="24"/>
          <w:szCs w:val="24"/>
        </w:rPr>
        <w:t>1</w:t>
      </w:r>
      <w:r>
        <w:rPr>
          <w:rFonts w:hint="eastAsia" w:cs="宋体" w:asciiTheme="minorEastAsia" w:hAnsiTheme="minorEastAsia"/>
          <w:kern w:val="0"/>
          <w:sz w:val="24"/>
          <w:szCs w:val="24"/>
        </w:rPr>
        <w:t>、开放日及开放时间</w:t>
      </w:r>
    </w:p>
    <w:p w14:paraId="355D1FAD">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投资人在开放日办理基金份额的申购和赎回，具体办理时间为上海证券交易所、深圳证券交易所及相关期货交易所的正常交易日的交易时间（若本基金参与港股通交易且该工作日为非港股通交易日时，则基金管理人可根据实际情况决定本基金是否开放申购、赎回及转换业务，具体以届时提前发布的公告为准），但基金管理人根据法律法规、中国证监会的要求或本基金合同的规定公告暂停申购、赎回时除外。</w:t>
      </w:r>
    </w:p>
    <w:p w14:paraId="34B29DF0">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基金合同生效后，若出现新的证券、期货交易市场、证券、期货交易所交易时间变更或其他特殊情况，基金管理人将视情况对前述开放日及开放时间进行相应的调整，但应在实施日前依照《信息披露办法》的有关规定在规定媒介上公告。</w:t>
      </w:r>
    </w:p>
    <w:p w14:paraId="0C2C710E">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cs="Times New Roman" w:asciiTheme="minorEastAsia" w:hAnsiTheme="minorEastAsia"/>
          <w:kern w:val="0"/>
          <w:sz w:val="24"/>
          <w:szCs w:val="24"/>
        </w:rPr>
        <w:t>2</w:t>
      </w:r>
      <w:r>
        <w:rPr>
          <w:rFonts w:hint="eastAsia" w:cs="宋体" w:asciiTheme="minorEastAsia" w:hAnsiTheme="minorEastAsia"/>
          <w:kern w:val="0"/>
          <w:sz w:val="24"/>
          <w:szCs w:val="24"/>
        </w:rPr>
        <w:t>、申购、赎回开始日及业务办理时间</w:t>
      </w:r>
    </w:p>
    <w:p w14:paraId="2942FEE9">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基金管理人可根据实际情况依法决定本基金开始办理申购的具体日期，具体业务办理时间在申购开始公告中规定。</w:t>
      </w:r>
    </w:p>
    <w:p w14:paraId="1C4846D1">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基金管理人自基金合同生效之日起不超过</w:t>
      </w:r>
      <w:r>
        <w:rPr>
          <w:rFonts w:cs="Times New Roman" w:asciiTheme="minorEastAsia" w:hAnsiTheme="minorEastAsia"/>
          <w:kern w:val="0"/>
          <w:sz w:val="24"/>
          <w:szCs w:val="24"/>
        </w:rPr>
        <w:t>3</w:t>
      </w:r>
      <w:r>
        <w:rPr>
          <w:rFonts w:hint="eastAsia" w:cs="宋体" w:asciiTheme="minorEastAsia" w:hAnsiTheme="minorEastAsia"/>
          <w:kern w:val="0"/>
          <w:sz w:val="24"/>
          <w:szCs w:val="24"/>
        </w:rPr>
        <w:t>个月开始办理赎回，具体业务办理时间在赎回开始公告中规定。</w:t>
      </w:r>
    </w:p>
    <w:p w14:paraId="129EE06A">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在确定申购开始与赎回开始时间后，基金管理人应在申购、赎回开放日前依照《信息披露办法》的有关规定在规定媒介上公告申购与赎回的开始时间。</w:t>
      </w:r>
    </w:p>
    <w:p w14:paraId="2E6F5133">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基金管理人不得在基金合同约定之外的日期或者时间办理基金份额的申购、赎回或者转换。投资人在基金合同约定之外的日期和时间提出申购、赎回或转换申请且登记机构确认接受的，其基金份额申购、赎回价格为下一开放日该类别基金份额申购、赎回的价格。</w:t>
      </w:r>
    </w:p>
    <w:p w14:paraId="53EFC498">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三、申购与赎回的原则</w:t>
      </w:r>
    </w:p>
    <w:p w14:paraId="13127B4A">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cs="Times New Roman" w:asciiTheme="minorEastAsia" w:hAnsiTheme="minorEastAsia"/>
          <w:kern w:val="0"/>
          <w:sz w:val="24"/>
          <w:szCs w:val="24"/>
        </w:rPr>
        <w:t>1</w:t>
      </w:r>
      <w:r>
        <w:rPr>
          <w:rFonts w:hint="eastAsia" w:cs="宋体" w:asciiTheme="minorEastAsia" w:hAnsiTheme="minorEastAsia"/>
          <w:kern w:val="0"/>
          <w:sz w:val="24"/>
          <w:szCs w:val="24"/>
        </w:rPr>
        <w:t>、“未知价”原则，即申购、赎回价格以申请当日收市后计算的该类别基金份额净值为基准进行计算；</w:t>
      </w:r>
    </w:p>
    <w:p w14:paraId="38EFDB06">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cs="Times New Roman" w:asciiTheme="minorEastAsia" w:hAnsiTheme="minorEastAsia"/>
          <w:kern w:val="0"/>
          <w:sz w:val="24"/>
          <w:szCs w:val="24"/>
        </w:rPr>
        <w:t>2</w:t>
      </w:r>
      <w:r>
        <w:rPr>
          <w:rFonts w:hint="eastAsia" w:cs="宋体" w:asciiTheme="minorEastAsia" w:hAnsiTheme="minorEastAsia"/>
          <w:kern w:val="0"/>
          <w:sz w:val="24"/>
          <w:szCs w:val="24"/>
        </w:rPr>
        <w:t>、“金额申购、份额赎回”原则，即申购以金额申请，赎回以份额申请；</w:t>
      </w:r>
    </w:p>
    <w:p w14:paraId="1C081528">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cs="Times New Roman" w:asciiTheme="minorEastAsia" w:hAnsiTheme="minorEastAsia"/>
          <w:kern w:val="0"/>
          <w:sz w:val="24"/>
          <w:szCs w:val="24"/>
        </w:rPr>
        <w:t>3</w:t>
      </w:r>
      <w:r>
        <w:rPr>
          <w:rFonts w:hint="eastAsia" w:cs="宋体" w:asciiTheme="minorEastAsia" w:hAnsiTheme="minorEastAsia"/>
          <w:kern w:val="0"/>
          <w:sz w:val="24"/>
          <w:szCs w:val="24"/>
        </w:rPr>
        <w:t>、当日的申购与赎回申请可以在基金管理人规定的时间以内撤销；</w:t>
      </w:r>
    </w:p>
    <w:p w14:paraId="4CA2433D">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cs="Times New Roman" w:asciiTheme="minorEastAsia" w:hAnsiTheme="minorEastAsia"/>
          <w:kern w:val="0"/>
          <w:sz w:val="24"/>
          <w:szCs w:val="24"/>
        </w:rPr>
        <w:t>4</w:t>
      </w:r>
      <w:r>
        <w:rPr>
          <w:rFonts w:hint="eastAsia" w:cs="宋体" w:asciiTheme="minorEastAsia" w:hAnsiTheme="minorEastAsia"/>
          <w:kern w:val="0"/>
          <w:sz w:val="24"/>
          <w:szCs w:val="24"/>
        </w:rPr>
        <w:t>、赎回遵循“先进先出”原则，即按照投资人认购、申购的先后次序进行顺序赎回；</w:t>
      </w:r>
    </w:p>
    <w:p w14:paraId="185FCBE1">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5、办理申购、赎回业务时，应当遵循基金份额持有人利益优先原则，确保投资者的合法权益不受损害并得到公平对待。</w:t>
      </w:r>
    </w:p>
    <w:p w14:paraId="2DC5DB35">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基金管理人可在法律法规允许的情况下，对上述原则进行调整。基金管理人必须在新规则开始实施前依照《信息披露办法》的有关规定在规定媒介上公告。</w:t>
      </w:r>
    </w:p>
    <w:p w14:paraId="3067B387">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四、申购与赎回的程序</w:t>
      </w:r>
    </w:p>
    <w:p w14:paraId="2C78F48D">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cs="Times New Roman" w:asciiTheme="minorEastAsia" w:hAnsiTheme="minorEastAsia"/>
          <w:kern w:val="0"/>
          <w:sz w:val="24"/>
          <w:szCs w:val="24"/>
        </w:rPr>
        <w:t>1</w:t>
      </w:r>
      <w:r>
        <w:rPr>
          <w:rFonts w:hint="eastAsia" w:cs="宋体" w:asciiTheme="minorEastAsia" w:hAnsiTheme="minorEastAsia"/>
          <w:kern w:val="0"/>
          <w:sz w:val="24"/>
          <w:szCs w:val="24"/>
        </w:rPr>
        <w:t>、申购和赎回的申请方式</w:t>
      </w:r>
    </w:p>
    <w:p w14:paraId="7FB6FA33">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投资人必须根据销售机构规定的程序，在开放日的具体业务办理时间内提出申购或赎回的申请。</w:t>
      </w:r>
    </w:p>
    <w:p w14:paraId="71E55CB9">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cs="Times New Roman" w:asciiTheme="minorEastAsia" w:hAnsiTheme="minorEastAsia"/>
          <w:kern w:val="0"/>
          <w:sz w:val="24"/>
          <w:szCs w:val="24"/>
        </w:rPr>
        <w:t>2</w:t>
      </w:r>
      <w:r>
        <w:rPr>
          <w:rFonts w:hint="eastAsia" w:cs="宋体" w:asciiTheme="minorEastAsia" w:hAnsiTheme="minorEastAsia"/>
          <w:kern w:val="0"/>
          <w:sz w:val="24"/>
          <w:szCs w:val="24"/>
        </w:rPr>
        <w:t>、申购和赎回的款项支付</w:t>
      </w:r>
    </w:p>
    <w:p w14:paraId="222D00C2">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投资人申购基金份额时，必须全额交付申购款项，投资人全额交付申购款项，申购成立；基金份额登记机构确认基金份额时，申购生效。</w:t>
      </w:r>
    </w:p>
    <w:p w14:paraId="07EF7669">
      <w:pPr>
        <w:autoSpaceDE w:val="0"/>
        <w:autoSpaceDN w:val="0"/>
        <w:adjustRightInd w:val="0"/>
        <w:spacing w:line="360" w:lineRule="auto"/>
        <w:ind w:firstLine="480" w:firstLineChars="200"/>
        <w:jc w:val="left"/>
        <w:rPr>
          <w:rFonts w:cs="宋体" w:asciiTheme="minorEastAsia" w:hAnsiTheme="minorEastAsia"/>
          <w:kern w:val="0"/>
          <w:sz w:val="24"/>
          <w:szCs w:val="24"/>
        </w:rPr>
      </w:pPr>
      <w:r>
        <w:rPr>
          <w:sz w:val="24"/>
        </w:rPr>
        <w:t>基金份额持有人递交赎回申请，赎回成立；</w:t>
      </w:r>
      <w:r>
        <w:rPr>
          <w:sz w:val="24"/>
          <w:lang w:val="zh-CN"/>
        </w:rPr>
        <w:t>基金份额</w:t>
      </w:r>
      <w:r>
        <w:rPr>
          <w:rFonts w:hint="eastAsia" w:cs="宋体" w:asciiTheme="minorEastAsia" w:hAnsiTheme="minorEastAsia"/>
          <w:kern w:val="0"/>
          <w:sz w:val="24"/>
          <w:szCs w:val="24"/>
        </w:rPr>
        <w:t>登记机构确认赎回时，赎回生效。</w:t>
      </w:r>
    </w:p>
    <w:p w14:paraId="76DC93C7">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投资者的赎回申请生效后，基金管理人将在</w:t>
      </w:r>
      <w:r>
        <w:rPr>
          <w:rFonts w:cs="Times New Roman" w:asciiTheme="minorEastAsia" w:hAnsiTheme="minorEastAsia"/>
          <w:kern w:val="0"/>
          <w:sz w:val="24"/>
          <w:szCs w:val="24"/>
        </w:rPr>
        <w:t>T</w:t>
      </w:r>
      <w:r>
        <w:rPr>
          <w:rFonts w:hint="eastAsia" w:cs="宋体" w:asciiTheme="minorEastAsia" w:hAnsiTheme="minorEastAsia"/>
          <w:kern w:val="0"/>
          <w:sz w:val="24"/>
          <w:szCs w:val="24"/>
        </w:rPr>
        <w:t>＋</w:t>
      </w:r>
      <w:r>
        <w:rPr>
          <w:rFonts w:cs="Times New Roman" w:asciiTheme="minorEastAsia" w:hAnsiTheme="minorEastAsia"/>
          <w:kern w:val="0"/>
          <w:sz w:val="24"/>
          <w:szCs w:val="24"/>
        </w:rPr>
        <w:t>7</w:t>
      </w:r>
      <w:r>
        <w:rPr>
          <w:rFonts w:hint="eastAsia" w:cs="宋体" w:asciiTheme="minorEastAsia" w:hAnsiTheme="minorEastAsia"/>
          <w:kern w:val="0"/>
          <w:sz w:val="24"/>
          <w:szCs w:val="24"/>
        </w:rPr>
        <w:t>日（包括该日）内支付赎回款项。在发生巨额赎回或本基金合同载明的延缓支付赎回款项的情形时，款项的支付办法参照本基金合同有关条款处理。</w:t>
      </w:r>
    </w:p>
    <w:p w14:paraId="44460B66">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遇</w:t>
      </w:r>
      <w:r>
        <w:rPr>
          <w:rFonts w:hint="eastAsia" w:cs="宋体"/>
          <w:sz w:val="24"/>
          <w:szCs w:val="24"/>
        </w:rPr>
        <w:t>目标ETF的投资市场休市、目标ETF暂停交易或赎回、目标ETF延迟支付赎回对价或延迟交收、</w:t>
      </w:r>
      <w:r>
        <w:rPr>
          <w:rFonts w:hint="eastAsia" w:cs="宋体" w:asciiTheme="minorEastAsia" w:hAnsiTheme="minorEastAsia"/>
          <w:kern w:val="0"/>
          <w:sz w:val="24"/>
          <w:szCs w:val="24"/>
        </w:rPr>
        <w:t>交易所或</w:t>
      </w:r>
      <w:r>
        <w:rPr>
          <w:rFonts w:hint="eastAsia" w:cs="宋体"/>
          <w:sz w:val="24"/>
          <w:szCs w:val="24"/>
        </w:rPr>
        <w:t>登记机构的</w:t>
      </w:r>
      <w:r>
        <w:rPr>
          <w:rFonts w:hint="eastAsia" w:cs="宋体" w:asciiTheme="minorEastAsia" w:hAnsiTheme="minorEastAsia"/>
          <w:kern w:val="0"/>
          <w:sz w:val="24"/>
          <w:szCs w:val="24"/>
        </w:rPr>
        <w:t>交易</w:t>
      </w:r>
      <w:r>
        <w:rPr>
          <w:rFonts w:hint="eastAsia" w:cs="宋体"/>
          <w:sz w:val="24"/>
          <w:szCs w:val="24"/>
        </w:rPr>
        <w:t>结算规则发生较大变化、本基金交易所或交易</w:t>
      </w:r>
      <w:r>
        <w:rPr>
          <w:rFonts w:hint="eastAsia" w:cs="宋体" w:asciiTheme="minorEastAsia" w:hAnsiTheme="minorEastAsia"/>
          <w:kern w:val="0"/>
          <w:sz w:val="24"/>
          <w:szCs w:val="24"/>
        </w:rPr>
        <w:t>市场数据传输延迟、通讯系统故障、银行数据交换系统故障、</w:t>
      </w:r>
      <w:r>
        <w:rPr>
          <w:rFonts w:cs="宋体" w:asciiTheme="minorEastAsia" w:hAnsiTheme="minorEastAsia"/>
          <w:kern w:val="0"/>
          <w:sz w:val="24"/>
          <w:szCs w:val="24"/>
        </w:rPr>
        <w:t>港股通交易系统故障或港股通资金交收规则限制</w:t>
      </w:r>
      <w:r>
        <w:rPr>
          <w:rFonts w:hint="eastAsia" w:cs="宋体" w:asciiTheme="minorEastAsia" w:hAnsiTheme="minorEastAsia"/>
          <w:kern w:val="0"/>
          <w:sz w:val="24"/>
          <w:szCs w:val="24"/>
        </w:rPr>
        <w:t>或其他非基金管理人及基金托管人所能控制的因素影响业务处理流程，则赎回款项划付时间相应顺延。</w:t>
      </w:r>
    </w:p>
    <w:p w14:paraId="72B6C6B1">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cs="Times New Roman" w:asciiTheme="minorEastAsia" w:hAnsiTheme="minorEastAsia"/>
          <w:kern w:val="0"/>
          <w:sz w:val="24"/>
          <w:szCs w:val="24"/>
        </w:rPr>
        <w:t>3</w:t>
      </w:r>
      <w:r>
        <w:rPr>
          <w:rFonts w:hint="eastAsia" w:cs="宋体" w:asciiTheme="minorEastAsia" w:hAnsiTheme="minorEastAsia"/>
          <w:kern w:val="0"/>
          <w:sz w:val="24"/>
          <w:szCs w:val="24"/>
        </w:rPr>
        <w:t>、申购和赎回申请的确认</w:t>
      </w:r>
    </w:p>
    <w:p w14:paraId="3BFBB928">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基金管理人应以交易时间结束前受理有效申购和赎回申请的当天作为申购或赎回申请日（</w:t>
      </w:r>
      <w:r>
        <w:rPr>
          <w:rFonts w:cs="Times New Roman" w:asciiTheme="minorEastAsia" w:hAnsiTheme="minorEastAsia"/>
          <w:kern w:val="0"/>
          <w:sz w:val="24"/>
          <w:szCs w:val="24"/>
        </w:rPr>
        <w:t>T</w:t>
      </w:r>
      <w:r>
        <w:rPr>
          <w:rFonts w:hint="eastAsia" w:cs="宋体" w:asciiTheme="minorEastAsia" w:hAnsiTheme="minorEastAsia"/>
          <w:kern w:val="0"/>
          <w:sz w:val="24"/>
          <w:szCs w:val="24"/>
        </w:rPr>
        <w:t>日），在正常情况下，本基金登记机构在</w:t>
      </w:r>
      <w:r>
        <w:rPr>
          <w:rFonts w:cs="Times New Roman" w:asciiTheme="minorEastAsia" w:hAnsiTheme="minorEastAsia"/>
          <w:kern w:val="0"/>
          <w:sz w:val="24"/>
          <w:szCs w:val="24"/>
        </w:rPr>
        <w:t>T+1</w:t>
      </w:r>
      <w:r>
        <w:rPr>
          <w:rFonts w:hint="eastAsia" w:cs="宋体" w:asciiTheme="minorEastAsia" w:hAnsiTheme="minorEastAsia"/>
          <w:kern w:val="0"/>
          <w:sz w:val="24"/>
          <w:szCs w:val="24"/>
        </w:rPr>
        <w:t>日内对该交易的有效性进行确认。</w:t>
      </w:r>
      <w:r>
        <w:rPr>
          <w:rFonts w:cs="Times New Roman" w:asciiTheme="minorEastAsia" w:hAnsiTheme="minorEastAsia"/>
          <w:kern w:val="0"/>
          <w:sz w:val="24"/>
          <w:szCs w:val="24"/>
        </w:rPr>
        <w:t>T</w:t>
      </w:r>
      <w:r>
        <w:rPr>
          <w:rFonts w:hint="eastAsia" w:cs="宋体" w:asciiTheme="minorEastAsia" w:hAnsiTheme="minorEastAsia"/>
          <w:kern w:val="0"/>
          <w:sz w:val="24"/>
          <w:szCs w:val="24"/>
        </w:rPr>
        <w:t>日提交的有效申请，投资人应在</w:t>
      </w:r>
      <w:r>
        <w:rPr>
          <w:rFonts w:cs="Times New Roman" w:asciiTheme="minorEastAsia" w:hAnsiTheme="minorEastAsia"/>
          <w:kern w:val="0"/>
          <w:sz w:val="24"/>
          <w:szCs w:val="24"/>
        </w:rPr>
        <w:t>T+2</w:t>
      </w:r>
      <w:r>
        <w:rPr>
          <w:rFonts w:hint="eastAsia" w:cs="宋体" w:asciiTheme="minorEastAsia" w:hAnsiTheme="minorEastAsia"/>
          <w:kern w:val="0"/>
          <w:sz w:val="24"/>
          <w:szCs w:val="24"/>
        </w:rPr>
        <w:t>日后（包括该日）及时到销售网点柜台或以销售机构规定的其他方式查询申请的确认情况。若申购不成</w:t>
      </w:r>
      <w:r>
        <w:rPr>
          <w:rFonts w:cs="宋体" w:asciiTheme="minorEastAsia" w:hAnsiTheme="minorEastAsia"/>
          <w:kern w:val="0"/>
          <w:sz w:val="24"/>
          <w:szCs w:val="24"/>
        </w:rPr>
        <w:t>立或无效</w:t>
      </w:r>
      <w:r>
        <w:rPr>
          <w:rFonts w:hint="eastAsia" w:cs="宋体" w:asciiTheme="minorEastAsia" w:hAnsiTheme="minorEastAsia"/>
          <w:kern w:val="0"/>
          <w:sz w:val="24"/>
          <w:szCs w:val="24"/>
        </w:rPr>
        <w:t>，则申购款项本金退还给投资人。</w:t>
      </w:r>
    </w:p>
    <w:p w14:paraId="10DA544B">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基金销售机构受理申请并不代表该申请一定成功，而仅代表销售机构确实接收到该申请。申购和赎回申请的确认以基金登记机构的确认结果为准。对于申购、赎回申请的确认情况，投资者应及时查询。</w:t>
      </w:r>
    </w:p>
    <w:p w14:paraId="123DC1B8">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基金管理人可以在法律法规和基金合同允许的范围内，对上述业务办理时间进行调整，并在调整实施前依照《信息披露办法》的有关规定在规定媒介上公告。</w:t>
      </w:r>
    </w:p>
    <w:p w14:paraId="29B66A6D">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五、申购和赎回的数量限制</w:t>
      </w:r>
    </w:p>
    <w:p w14:paraId="2BE2770C">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cs="Times New Roman" w:asciiTheme="minorEastAsia" w:hAnsiTheme="minorEastAsia"/>
          <w:kern w:val="0"/>
          <w:sz w:val="24"/>
          <w:szCs w:val="24"/>
        </w:rPr>
        <w:t>1</w:t>
      </w:r>
      <w:r>
        <w:rPr>
          <w:rFonts w:hint="eastAsia" w:cs="宋体" w:asciiTheme="minorEastAsia" w:hAnsiTheme="minorEastAsia"/>
          <w:kern w:val="0"/>
          <w:sz w:val="24"/>
          <w:szCs w:val="24"/>
        </w:rPr>
        <w:t>、基金管理人可以规定投资人首次申购和每次申购的最低金额以及每次赎回的最低份额，具体规定请参见招募说明书或相关公告。</w:t>
      </w:r>
    </w:p>
    <w:p w14:paraId="2E58908D">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cs="Times New Roman" w:asciiTheme="minorEastAsia" w:hAnsiTheme="minorEastAsia"/>
          <w:kern w:val="0"/>
          <w:sz w:val="24"/>
          <w:szCs w:val="24"/>
        </w:rPr>
        <w:t>2</w:t>
      </w:r>
      <w:r>
        <w:rPr>
          <w:rFonts w:hint="eastAsia" w:cs="宋体" w:asciiTheme="minorEastAsia" w:hAnsiTheme="minorEastAsia"/>
          <w:kern w:val="0"/>
          <w:sz w:val="24"/>
          <w:szCs w:val="24"/>
        </w:rPr>
        <w:t>、基金管理人可以规定投资人每个基金交易账户的最低基金份额余额，具体规定请参见招募说明书或相关公告。</w:t>
      </w:r>
    </w:p>
    <w:p w14:paraId="557DA342">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cs="Times New Roman" w:asciiTheme="minorEastAsia" w:hAnsiTheme="minorEastAsia"/>
          <w:kern w:val="0"/>
          <w:sz w:val="24"/>
          <w:szCs w:val="24"/>
        </w:rPr>
        <w:t>3</w:t>
      </w:r>
      <w:r>
        <w:rPr>
          <w:rFonts w:hint="eastAsia" w:cs="宋体" w:asciiTheme="minorEastAsia" w:hAnsiTheme="minorEastAsia"/>
          <w:kern w:val="0"/>
          <w:sz w:val="24"/>
          <w:szCs w:val="24"/>
        </w:rPr>
        <w:t>、基金管理人可以规定单个投资人累计持有的基金份额上限</w:t>
      </w:r>
      <w:r>
        <w:rPr>
          <w:rFonts w:hint="eastAsia" w:cs="宋体"/>
          <w:sz w:val="24"/>
          <w:szCs w:val="24"/>
        </w:rPr>
        <w:t>、基金总规模、单日净申购比例上限、单一投资者单日或单笔申购金额上限</w:t>
      </w:r>
      <w:r>
        <w:rPr>
          <w:rFonts w:hint="eastAsia" w:cs="宋体" w:asciiTheme="minorEastAsia" w:hAnsiTheme="minorEastAsia"/>
          <w:kern w:val="0"/>
          <w:sz w:val="24"/>
          <w:szCs w:val="24"/>
        </w:rPr>
        <w:t>，具体规定请参见招募说明书或相关公告。</w:t>
      </w:r>
    </w:p>
    <w:p w14:paraId="177A1477">
      <w:pPr>
        <w:autoSpaceDE w:val="0"/>
        <w:autoSpaceDN w:val="0"/>
        <w:adjustRightInd w:val="0"/>
        <w:spacing w:line="360" w:lineRule="auto"/>
        <w:ind w:firstLine="480" w:firstLineChars="200"/>
        <w:jc w:val="left"/>
        <w:rPr>
          <w:rFonts w:cs="Times New Roman" w:asciiTheme="minorEastAsia" w:hAnsiTheme="minorEastAsia"/>
          <w:kern w:val="0"/>
          <w:sz w:val="24"/>
          <w:szCs w:val="24"/>
        </w:rPr>
      </w:pPr>
      <w:r>
        <w:rPr>
          <w:rFonts w:hint="eastAsia" w:cs="Times New Roman" w:asciiTheme="minorEastAsia" w:hAnsiTheme="minorEastAsia"/>
          <w:kern w:val="0"/>
          <w:sz w:val="24"/>
          <w:szCs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见基金管理人相关公告。</w:t>
      </w:r>
    </w:p>
    <w:p w14:paraId="5C7AFEC4">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Times New Roman" w:asciiTheme="minorEastAsia" w:hAnsiTheme="minorEastAsia"/>
          <w:kern w:val="0"/>
          <w:sz w:val="24"/>
          <w:szCs w:val="24"/>
        </w:rPr>
        <w:t>5</w:t>
      </w:r>
      <w:r>
        <w:rPr>
          <w:rFonts w:hint="eastAsia" w:cs="宋体" w:asciiTheme="minorEastAsia" w:hAnsiTheme="minorEastAsia"/>
          <w:kern w:val="0"/>
          <w:sz w:val="24"/>
          <w:szCs w:val="24"/>
        </w:rPr>
        <w:t>、基金管理人可在法律法规允许的情况下，调整上述规定申购金额和赎回份额等数量限制，或新增基金规模控制措施。基金管理人必须在调整实施前依照《信息披露办法》的有关规定在规定媒介上公告。</w:t>
      </w:r>
    </w:p>
    <w:p w14:paraId="7B815D91">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六、申购和赎回的价格、费用及其用途</w:t>
      </w:r>
    </w:p>
    <w:p w14:paraId="2FB2AA7C">
      <w:pPr>
        <w:autoSpaceDE w:val="0"/>
        <w:autoSpaceDN w:val="0"/>
        <w:adjustRightInd w:val="0"/>
        <w:spacing w:line="360" w:lineRule="auto"/>
        <w:ind w:firstLine="480" w:firstLineChars="200"/>
        <w:jc w:val="left"/>
        <w:rPr>
          <w:rFonts w:cs="Times New Roman" w:asciiTheme="minorEastAsia" w:hAnsiTheme="minorEastAsia"/>
          <w:kern w:val="0"/>
          <w:sz w:val="24"/>
          <w:szCs w:val="24"/>
        </w:rPr>
      </w:pPr>
      <w:r>
        <w:rPr>
          <w:rFonts w:hint="eastAsia" w:cs="Times New Roman" w:asciiTheme="minorEastAsia" w:hAnsiTheme="minorEastAsia"/>
          <w:kern w:val="0"/>
          <w:sz w:val="24"/>
          <w:szCs w:val="24"/>
        </w:rPr>
        <w:t>1、本基金各类基金份额净值的计算，均保留到小数点后4位，小数点后第5位四舍五入，由此产生的收益或损失由基金财产承担。T日的各类基金份额净值在当天收市后计算，并按照基金合同约定公告。遇特殊情况，经履行适当程序，可以适当延迟计算或公告。</w:t>
      </w:r>
    </w:p>
    <w:p w14:paraId="6322BBB9">
      <w:pPr>
        <w:autoSpaceDE w:val="0"/>
        <w:autoSpaceDN w:val="0"/>
        <w:adjustRightInd w:val="0"/>
        <w:spacing w:line="360" w:lineRule="auto"/>
        <w:ind w:firstLine="480" w:firstLineChars="200"/>
        <w:jc w:val="left"/>
        <w:rPr>
          <w:rFonts w:cs="Times New Roman" w:asciiTheme="minorEastAsia" w:hAnsiTheme="minorEastAsia"/>
          <w:kern w:val="0"/>
          <w:sz w:val="24"/>
          <w:szCs w:val="24"/>
        </w:rPr>
      </w:pPr>
      <w:r>
        <w:rPr>
          <w:rFonts w:hint="eastAsia" w:cs="Times New Roman" w:asciiTheme="minorEastAsia" w:hAnsiTheme="minorEastAsia"/>
          <w:kern w:val="0"/>
          <w:sz w:val="24"/>
          <w:szCs w:val="24"/>
        </w:rPr>
        <w:t>2、申购份额的计算及余额的处理方式：本基金申购份额的计算详见《招募说明书》。本基金A类基金份额的申购费率由基金管理人决定，并在招募说明书及基金产品资料概要中列示。申购的有效份额为净申购金额除以当日该类基金份额的基金份额净值，有效份额单位为份，上述计算结果均按四舍五入方法，保留到小数点后2位，由此产生的收益或损失由基金财产承担。</w:t>
      </w:r>
    </w:p>
    <w:p w14:paraId="38633957">
      <w:pPr>
        <w:autoSpaceDE w:val="0"/>
        <w:autoSpaceDN w:val="0"/>
        <w:adjustRightInd w:val="0"/>
        <w:spacing w:line="360" w:lineRule="auto"/>
        <w:ind w:firstLine="480" w:firstLineChars="200"/>
        <w:jc w:val="left"/>
        <w:rPr>
          <w:rFonts w:cs="Times New Roman" w:asciiTheme="minorEastAsia" w:hAnsiTheme="minorEastAsia"/>
          <w:kern w:val="0"/>
          <w:sz w:val="24"/>
          <w:szCs w:val="24"/>
        </w:rPr>
      </w:pPr>
      <w:r>
        <w:rPr>
          <w:rFonts w:hint="eastAsia" w:cs="Times New Roman" w:asciiTheme="minorEastAsia" w:hAnsiTheme="minorEastAsia"/>
          <w:kern w:val="0"/>
          <w:sz w:val="24"/>
          <w:szCs w:val="24"/>
        </w:rPr>
        <w:t>3、赎回金额的计算及处理方式：本基金赎回金额的计算详见《招募说明书》。本基金的赎回费率由基金管理人决定，并在招募说明书及基金产品资料概要中列示。赎回金额为按实际确认的有效赎回份额乘以当日该类基金份额的基金份额净值并扣除相应的费用，赎回金额单位为元。上述计算结果均按四舍五入方法，保留到小数点后2位，由此产生的收益或损失由基金财产承担。</w:t>
      </w:r>
    </w:p>
    <w:p w14:paraId="1D9EA4C4">
      <w:pPr>
        <w:autoSpaceDE w:val="0"/>
        <w:autoSpaceDN w:val="0"/>
        <w:adjustRightInd w:val="0"/>
        <w:spacing w:line="360" w:lineRule="auto"/>
        <w:ind w:firstLine="480" w:firstLineChars="200"/>
        <w:jc w:val="left"/>
        <w:rPr>
          <w:rFonts w:cs="Times New Roman" w:asciiTheme="minorEastAsia" w:hAnsiTheme="minorEastAsia"/>
          <w:kern w:val="0"/>
          <w:sz w:val="24"/>
          <w:szCs w:val="24"/>
        </w:rPr>
      </w:pPr>
      <w:r>
        <w:rPr>
          <w:rFonts w:hint="eastAsia" w:cs="Times New Roman" w:asciiTheme="minorEastAsia" w:hAnsiTheme="minorEastAsia"/>
          <w:kern w:val="0"/>
          <w:sz w:val="24"/>
          <w:szCs w:val="24"/>
        </w:rPr>
        <w:t>4、本基金A类基金份额的申购费用由申购A类基金份额的投资人承担，不列入基金财产；C类基金份额不收取申购费用。</w:t>
      </w:r>
    </w:p>
    <w:p w14:paraId="3EE2A461">
      <w:pPr>
        <w:autoSpaceDE w:val="0"/>
        <w:autoSpaceDN w:val="0"/>
        <w:adjustRightInd w:val="0"/>
        <w:spacing w:line="360" w:lineRule="auto"/>
        <w:ind w:firstLine="480" w:firstLineChars="200"/>
        <w:jc w:val="left"/>
        <w:rPr>
          <w:rFonts w:cs="Times New Roman" w:asciiTheme="minorEastAsia" w:hAnsiTheme="minorEastAsia"/>
          <w:kern w:val="0"/>
          <w:sz w:val="24"/>
          <w:szCs w:val="24"/>
        </w:rPr>
      </w:pPr>
      <w:r>
        <w:rPr>
          <w:rFonts w:hint="eastAsia" w:cs="Times New Roman" w:asciiTheme="minorEastAsia" w:hAnsiTheme="minorEastAsia"/>
          <w:kern w:val="0"/>
          <w:sz w:val="24"/>
          <w:szCs w:val="24"/>
        </w:rPr>
        <w:t>5、赎回费用由赎回基金份额的基金份额持有人承担，在基金份额持有人赎回基金份额时收取。赎回费用归入基金财产的比例依</w:t>
      </w:r>
      <w:r>
        <w:rPr>
          <w:rFonts w:hint="eastAsia"/>
          <w:sz w:val="24"/>
        </w:rPr>
        <w:t>照相关法律法规设定，具体</w:t>
      </w:r>
      <w:r>
        <w:rPr>
          <w:rFonts w:asciiTheme="minorEastAsia" w:hAnsiTheme="minorEastAsia"/>
          <w:kern w:val="0"/>
          <w:sz w:val="24"/>
        </w:rPr>
        <w:t>见招募说明书</w:t>
      </w:r>
      <w:r>
        <w:rPr>
          <w:rFonts w:hint="eastAsia"/>
          <w:sz w:val="24"/>
        </w:rPr>
        <w:t>的规定</w:t>
      </w:r>
      <w:r>
        <w:rPr>
          <w:rFonts w:hint="eastAsia" w:cs="Times New Roman" w:asciiTheme="minorEastAsia" w:hAnsiTheme="minorEastAsia"/>
          <w:kern w:val="0"/>
          <w:sz w:val="24"/>
          <w:szCs w:val="24"/>
        </w:rPr>
        <w:t>，未归入基金财产的部分用于支付登记费和其他必要的手续费。其中，对持续持有期少于7日的投资者收取不低于1.5%的赎回费，并全额计入基金财产。</w:t>
      </w:r>
    </w:p>
    <w:p w14:paraId="31BE59AF">
      <w:pPr>
        <w:autoSpaceDE w:val="0"/>
        <w:autoSpaceDN w:val="0"/>
        <w:adjustRightInd w:val="0"/>
        <w:spacing w:line="360" w:lineRule="auto"/>
        <w:ind w:firstLine="480" w:firstLineChars="200"/>
        <w:jc w:val="left"/>
        <w:rPr>
          <w:rFonts w:cs="Times New Roman" w:asciiTheme="minorEastAsia" w:hAnsiTheme="minorEastAsia"/>
          <w:kern w:val="0"/>
          <w:sz w:val="24"/>
          <w:szCs w:val="24"/>
        </w:rPr>
      </w:pPr>
      <w:r>
        <w:rPr>
          <w:rFonts w:hint="eastAsia" w:cs="Times New Roman" w:asciiTheme="minorEastAsia" w:hAnsiTheme="minorEastAsia"/>
          <w:kern w:val="0"/>
          <w:sz w:val="24"/>
          <w:szCs w:val="24"/>
        </w:rPr>
        <w:t>6、本基金A类基金份额的申购费率、A类基金份额和C类基金份额的申购份额具体的计算方法、赎回费率、赎回金额具体的计算方法和收费方式由基金管理人根据基金合同的规定确定，并在招募说明书中列示。基金管理人可以在基金合同约定的范围内调整费率或收费方式，并最迟应于新的费率或收费方式实施日前依照《信息披露办法》的有关规定在规定媒介上公告。</w:t>
      </w:r>
    </w:p>
    <w:p w14:paraId="1F9BC562">
      <w:pPr>
        <w:autoSpaceDE w:val="0"/>
        <w:autoSpaceDN w:val="0"/>
        <w:adjustRightInd w:val="0"/>
        <w:spacing w:line="360" w:lineRule="auto"/>
        <w:ind w:firstLine="480" w:firstLineChars="200"/>
        <w:jc w:val="left"/>
        <w:rPr>
          <w:rFonts w:cs="Times New Roman" w:asciiTheme="minorEastAsia" w:hAnsiTheme="minorEastAsia"/>
          <w:kern w:val="0"/>
          <w:sz w:val="24"/>
          <w:szCs w:val="24"/>
        </w:rPr>
      </w:pPr>
      <w:r>
        <w:rPr>
          <w:rFonts w:hint="eastAsia" w:cs="Times New Roman" w:asciiTheme="minorEastAsia" w:hAnsiTheme="minorEastAsia"/>
          <w:kern w:val="0"/>
          <w:sz w:val="24"/>
          <w:szCs w:val="24"/>
        </w:rPr>
        <w:t>7、当本基金发生大额申购或赎回情形时，基金管理人可以采用摆动定价机制以确保基金估值的公平性。具体处理原则与操作规范遵循相关法律法规以及监管部门、自律规则的规定。</w:t>
      </w:r>
    </w:p>
    <w:p w14:paraId="24F219B6">
      <w:pPr>
        <w:autoSpaceDE w:val="0"/>
        <w:autoSpaceDN w:val="0"/>
        <w:adjustRightInd w:val="0"/>
        <w:spacing w:line="360" w:lineRule="auto"/>
        <w:ind w:firstLine="480" w:firstLineChars="200"/>
        <w:jc w:val="left"/>
        <w:rPr>
          <w:rFonts w:cs="Times New Roman" w:asciiTheme="minorEastAsia" w:hAnsiTheme="minorEastAsia"/>
          <w:kern w:val="0"/>
          <w:sz w:val="24"/>
          <w:szCs w:val="24"/>
        </w:rPr>
      </w:pPr>
      <w:r>
        <w:rPr>
          <w:rFonts w:cs="Times New Roman" w:asciiTheme="minorEastAsia" w:hAnsiTheme="minorEastAsia"/>
          <w:kern w:val="0"/>
          <w:sz w:val="24"/>
          <w:szCs w:val="24"/>
        </w:rPr>
        <w:t>8</w:t>
      </w:r>
      <w:r>
        <w:rPr>
          <w:rFonts w:hint="eastAsia" w:cs="Times New Roman" w:asciiTheme="minorEastAsia" w:hAnsiTheme="minorEastAsia"/>
          <w:kern w:val="0"/>
          <w:sz w:val="24"/>
          <w:szCs w:val="24"/>
        </w:rPr>
        <w:t>、基金管理人可以在不违背法律法规规定及基金合同约定并对现有份额持有人利益无实质性不利影响的情况下，根据市场情况制定基金促销计划，定期</w:t>
      </w:r>
      <w:r>
        <w:rPr>
          <w:rFonts w:cs="Times New Roman" w:asciiTheme="minorEastAsia" w:hAnsiTheme="minorEastAsia"/>
          <w:kern w:val="0"/>
          <w:sz w:val="24"/>
          <w:szCs w:val="24"/>
        </w:rPr>
        <w:t>或</w:t>
      </w:r>
      <w:r>
        <w:rPr>
          <w:rFonts w:hint="eastAsia" w:cs="Times New Roman" w:asciiTheme="minorEastAsia" w:hAnsiTheme="minorEastAsia"/>
          <w:kern w:val="0"/>
          <w:sz w:val="24"/>
          <w:szCs w:val="24"/>
        </w:rPr>
        <w:t>不定期地开展基金促销活动。在基金促销活动期间，基金管理人可以按中国证监会要求履行必要手续后，对基金投资者适当调低基金申购费率、赎回费率和销售服务费率。</w:t>
      </w:r>
    </w:p>
    <w:p w14:paraId="09CA5471">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七、拒绝或暂停申购的情形</w:t>
      </w:r>
    </w:p>
    <w:p w14:paraId="65852948">
      <w:pPr>
        <w:spacing w:line="360" w:lineRule="auto"/>
        <w:ind w:firstLine="480" w:firstLineChars="200"/>
        <w:rPr>
          <w:rFonts w:ascii="Times New Roman" w:hAnsi="Times New Roman" w:eastAsia="宋体" w:cs="Times New Roman"/>
          <w:bCs/>
          <w:sz w:val="24"/>
          <w:szCs w:val="24"/>
        </w:rPr>
      </w:pPr>
      <w:r>
        <w:rPr>
          <w:rFonts w:ascii="Times New Roman" w:hAnsi="Times New Roman" w:eastAsia="宋体" w:cs="Times New Roman"/>
          <w:bCs/>
          <w:sz w:val="24"/>
          <w:szCs w:val="24"/>
        </w:rPr>
        <w:t>发生下列情况时，</w:t>
      </w:r>
      <w:r>
        <w:rPr>
          <w:rFonts w:hint="eastAsia" w:ascii="Times New Roman" w:hAnsi="Times New Roman" w:eastAsia="宋体" w:cs="Times New Roman"/>
          <w:bCs/>
          <w:sz w:val="24"/>
          <w:szCs w:val="24"/>
        </w:rPr>
        <w:t>基金管理人可拒绝或暂停接受投资人的申购申请</w:t>
      </w:r>
      <w:r>
        <w:rPr>
          <w:rFonts w:ascii="Times New Roman" w:hAnsi="Times New Roman" w:eastAsia="宋体" w:cs="Times New Roman"/>
          <w:bCs/>
          <w:sz w:val="24"/>
          <w:szCs w:val="24"/>
        </w:rPr>
        <w:t>：</w:t>
      </w:r>
    </w:p>
    <w:p w14:paraId="372EC180">
      <w:pPr>
        <w:spacing w:line="360" w:lineRule="auto"/>
        <w:ind w:firstLine="480" w:firstLineChars="200"/>
        <w:rPr>
          <w:rFonts w:ascii="Times New Roman" w:hAnsi="Times New Roman" w:eastAsia="宋体" w:cs="Times New Roman"/>
          <w:bCs/>
          <w:sz w:val="24"/>
          <w:szCs w:val="24"/>
        </w:rPr>
      </w:pPr>
      <w:r>
        <w:rPr>
          <w:rFonts w:ascii="Times New Roman" w:hAnsi="Times New Roman" w:eastAsia="宋体" w:cs="Times New Roman"/>
          <w:bCs/>
          <w:sz w:val="24"/>
          <w:szCs w:val="24"/>
        </w:rPr>
        <w:t>1</w:t>
      </w:r>
      <w:r>
        <w:rPr>
          <w:rFonts w:hint="eastAsia" w:ascii="Times New Roman" w:hAnsi="Times New Roman" w:eastAsia="宋体" w:cs="Times New Roman"/>
          <w:bCs/>
          <w:sz w:val="24"/>
          <w:szCs w:val="24"/>
        </w:rPr>
        <w:t>、</w:t>
      </w:r>
      <w:r>
        <w:rPr>
          <w:rFonts w:ascii="Times New Roman" w:hAnsi="Times New Roman" w:eastAsia="宋体" w:cs="Times New Roman"/>
          <w:bCs/>
          <w:sz w:val="24"/>
          <w:szCs w:val="24"/>
        </w:rPr>
        <w:t>因不可抗力导致基金无法正常运作。</w:t>
      </w:r>
    </w:p>
    <w:p w14:paraId="1E418EA8">
      <w:pPr>
        <w:spacing w:line="360" w:lineRule="auto"/>
        <w:ind w:firstLine="480" w:firstLineChars="200"/>
        <w:rPr>
          <w:rFonts w:ascii="Times New Roman" w:hAnsi="Times New Roman" w:eastAsia="宋体" w:cs="Times New Roman"/>
          <w:sz w:val="24"/>
          <w:szCs w:val="20"/>
        </w:rPr>
      </w:pPr>
      <w:r>
        <w:rPr>
          <w:rFonts w:ascii="Times New Roman" w:hAnsi="Times New Roman" w:eastAsia="宋体" w:cs="Times New Roman"/>
          <w:sz w:val="24"/>
          <w:szCs w:val="20"/>
        </w:rPr>
        <w:t>2</w:t>
      </w:r>
      <w:r>
        <w:rPr>
          <w:rFonts w:hint="eastAsia" w:ascii="Times New Roman" w:hAnsi="Times New Roman" w:eastAsia="宋体" w:cs="Times New Roman"/>
          <w:sz w:val="24"/>
          <w:szCs w:val="20"/>
        </w:rPr>
        <w:t>、发生基金合同规定的暂停基金资产估值情况时。</w:t>
      </w:r>
    </w:p>
    <w:p w14:paraId="0C4E406B">
      <w:pPr>
        <w:spacing w:line="360" w:lineRule="auto"/>
        <w:ind w:firstLine="480" w:firstLineChars="200"/>
        <w:rPr>
          <w:rFonts w:ascii="Times New Roman" w:hAnsi="Times New Roman" w:eastAsia="宋体" w:cs="Times New Roman"/>
          <w:bCs/>
          <w:sz w:val="24"/>
          <w:szCs w:val="24"/>
        </w:rPr>
      </w:pPr>
      <w:r>
        <w:rPr>
          <w:rFonts w:hint="eastAsia" w:ascii="Times New Roman" w:hAnsi="Times New Roman" w:eastAsia="宋体" w:cs="Times New Roman"/>
          <w:bCs/>
          <w:sz w:val="24"/>
          <w:szCs w:val="24"/>
        </w:rPr>
        <w:t>3、</w:t>
      </w:r>
      <w:r>
        <w:rPr>
          <w:rFonts w:ascii="Times New Roman" w:hAnsi="Times New Roman" w:eastAsia="宋体" w:cs="Times New Roman"/>
          <w:bCs/>
          <w:sz w:val="24"/>
          <w:szCs w:val="24"/>
        </w:rPr>
        <w:t>证券</w:t>
      </w:r>
      <w:r>
        <w:rPr>
          <w:rFonts w:hint="eastAsia" w:ascii="Times New Roman" w:hAnsi="Times New Roman" w:eastAsia="宋体" w:cs="Times New Roman"/>
          <w:bCs/>
          <w:sz w:val="24"/>
          <w:szCs w:val="24"/>
        </w:rPr>
        <w:t>、期货</w:t>
      </w:r>
      <w:r>
        <w:rPr>
          <w:rFonts w:ascii="Times New Roman" w:hAnsi="Times New Roman" w:eastAsia="宋体" w:cs="Times New Roman"/>
          <w:bCs/>
          <w:sz w:val="24"/>
          <w:szCs w:val="24"/>
        </w:rPr>
        <w:t>交易所或外汇市场交易时间非正常停市，导致基金管理人无法计算当日基金资产净值</w:t>
      </w:r>
      <w:r>
        <w:rPr>
          <w:rFonts w:hint="eastAsia" w:ascii="Times New Roman" w:hAnsi="Times New Roman" w:cs="Times New Roman"/>
          <w:bCs/>
          <w:sz w:val="24"/>
          <w:szCs w:val="24"/>
        </w:rPr>
        <w:t>或无法进行证券交易</w:t>
      </w:r>
      <w:r>
        <w:rPr>
          <w:rFonts w:ascii="Times New Roman" w:hAnsi="Times New Roman" w:eastAsia="宋体" w:cs="Times New Roman"/>
          <w:bCs/>
          <w:sz w:val="24"/>
          <w:szCs w:val="24"/>
        </w:rPr>
        <w:t>。</w:t>
      </w:r>
    </w:p>
    <w:p w14:paraId="1392C1E2">
      <w:pPr>
        <w:spacing w:line="360" w:lineRule="auto"/>
        <w:ind w:firstLine="480" w:firstLineChars="200"/>
        <w:rPr>
          <w:rFonts w:ascii="Times New Roman" w:hAnsi="Times New Roman" w:eastAsia="宋体" w:cs="Times New Roman"/>
          <w:bCs/>
          <w:sz w:val="24"/>
          <w:szCs w:val="24"/>
        </w:rPr>
      </w:pPr>
      <w:bookmarkStart w:id="7" w:name="_Hlt70481650"/>
      <w:bookmarkEnd w:id="7"/>
      <w:r>
        <w:rPr>
          <w:rFonts w:hint="eastAsia" w:ascii="Times New Roman" w:hAnsi="Times New Roman" w:eastAsia="宋体" w:cs="Times New Roman"/>
          <w:bCs/>
          <w:sz w:val="24"/>
          <w:szCs w:val="24"/>
        </w:rPr>
        <w:t>4、</w:t>
      </w:r>
      <w:r>
        <w:rPr>
          <w:rFonts w:ascii="Times New Roman" w:hAnsi="Times New Roman" w:eastAsia="宋体" w:cs="Times New Roman"/>
          <w:bCs/>
          <w:sz w:val="24"/>
          <w:szCs w:val="24"/>
        </w:rPr>
        <w:t>基金管理人接受某笔或某些申购申请</w:t>
      </w:r>
      <w:r>
        <w:rPr>
          <w:rFonts w:hint="eastAsia" w:ascii="Times New Roman" w:hAnsi="Times New Roman" w:eastAsia="宋体" w:cs="Times New Roman"/>
          <w:bCs/>
          <w:sz w:val="24"/>
          <w:szCs w:val="24"/>
        </w:rPr>
        <w:t>可能</w:t>
      </w:r>
      <w:r>
        <w:rPr>
          <w:rFonts w:ascii="Times New Roman" w:hAnsi="Times New Roman" w:eastAsia="宋体" w:cs="Times New Roman"/>
          <w:bCs/>
          <w:sz w:val="24"/>
          <w:szCs w:val="24"/>
        </w:rPr>
        <w:t>会</w:t>
      </w:r>
      <w:r>
        <w:rPr>
          <w:rFonts w:hint="eastAsia" w:ascii="Times New Roman" w:hAnsi="Times New Roman" w:eastAsia="宋体" w:cs="Times New Roman"/>
          <w:bCs/>
          <w:sz w:val="24"/>
          <w:szCs w:val="24"/>
        </w:rPr>
        <w:t>影响或</w:t>
      </w:r>
      <w:r>
        <w:rPr>
          <w:rFonts w:ascii="Times New Roman" w:hAnsi="Times New Roman" w:eastAsia="宋体" w:cs="Times New Roman"/>
          <w:bCs/>
          <w:sz w:val="24"/>
          <w:szCs w:val="24"/>
        </w:rPr>
        <w:t>损害现有基金份额持有人利益</w:t>
      </w:r>
      <w:r>
        <w:rPr>
          <w:rFonts w:hint="eastAsia" w:ascii="Times New Roman" w:hAnsi="Times New Roman" w:eastAsia="宋体" w:cs="Times New Roman"/>
          <w:bCs/>
          <w:sz w:val="24"/>
          <w:szCs w:val="24"/>
        </w:rPr>
        <w:t>或对存量基金份额持有人利益构成潜在重大不利影响</w:t>
      </w:r>
      <w:r>
        <w:rPr>
          <w:rFonts w:ascii="Times New Roman" w:hAnsi="Times New Roman" w:eastAsia="宋体" w:cs="Times New Roman"/>
          <w:bCs/>
          <w:sz w:val="24"/>
          <w:szCs w:val="24"/>
        </w:rPr>
        <w:t>时。</w:t>
      </w:r>
    </w:p>
    <w:p w14:paraId="4AA06130">
      <w:pPr>
        <w:spacing w:line="360" w:lineRule="auto"/>
        <w:ind w:firstLine="480" w:firstLineChars="200"/>
        <w:rPr>
          <w:rFonts w:ascii="Times New Roman" w:hAnsi="Times New Roman" w:eastAsia="宋体" w:cs="Times New Roman"/>
          <w:bCs/>
          <w:sz w:val="24"/>
          <w:szCs w:val="24"/>
        </w:rPr>
      </w:pPr>
      <w:r>
        <w:rPr>
          <w:rFonts w:hint="eastAsia" w:ascii="Times New Roman" w:hAnsi="Times New Roman" w:eastAsia="宋体" w:cs="Times New Roman"/>
          <w:bCs/>
          <w:sz w:val="24"/>
          <w:szCs w:val="24"/>
        </w:rPr>
        <w:t>5、</w:t>
      </w:r>
      <w:r>
        <w:rPr>
          <w:rFonts w:ascii="Times New Roman" w:hAnsi="Times New Roman" w:eastAsia="宋体" w:cs="Times New Roman"/>
          <w:bCs/>
          <w:sz w:val="24"/>
          <w:szCs w:val="24"/>
        </w:rPr>
        <w:t>基金资产规模过大，使基金管理人无法找到合适的投资品种，或其他可能对基金业绩产生负面影响，</w:t>
      </w:r>
      <w:r>
        <w:rPr>
          <w:rFonts w:hint="eastAsia" w:ascii="Times New Roman" w:hAnsi="Times New Roman" w:eastAsia="宋体" w:cs="Times New Roman"/>
          <w:bCs/>
          <w:sz w:val="24"/>
          <w:szCs w:val="24"/>
        </w:rPr>
        <w:t>或发生其他</w:t>
      </w:r>
      <w:r>
        <w:rPr>
          <w:rFonts w:ascii="Times New Roman" w:hAnsi="Times New Roman" w:eastAsia="宋体" w:cs="Times New Roman"/>
          <w:bCs/>
          <w:sz w:val="24"/>
          <w:szCs w:val="24"/>
        </w:rPr>
        <w:t>损害现有基金份额持有人利益的情形。</w:t>
      </w:r>
    </w:p>
    <w:p w14:paraId="24B8287C">
      <w:pPr>
        <w:spacing w:line="360" w:lineRule="auto"/>
        <w:ind w:firstLine="480" w:firstLineChars="200"/>
        <w:rPr>
          <w:rFonts w:ascii="Times New Roman" w:hAnsi="Times New Roman" w:eastAsia="宋体" w:cs="Times New Roman"/>
          <w:bCs/>
          <w:sz w:val="24"/>
          <w:szCs w:val="24"/>
        </w:rPr>
      </w:pPr>
      <w:r>
        <w:rPr>
          <w:rFonts w:hint="eastAsia" w:ascii="Times New Roman" w:hAnsi="Times New Roman" w:eastAsia="宋体" w:cs="Times New Roman"/>
          <w:bCs/>
          <w:sz w:val="24"/>
          <w:szCs w:val="24"/>
        </w:rPr>
        <w:t>6、基金管理人、基金托管人、销售机构或登记机构的技术故障等异常情况导致基金销售系统、基金注册登记系统或基金会计系统无法正常运行。</w:t>
      </w:r>
    </w:p>
    <w:p w14:paraId="64408FFA">
      <w:pPr>
        <w:spacing w:line="360" w:lineRule="auto"/>
        <w:ind w:firstLine="480" w:firstLineChars="200"/>
        <w:rPr>
          <w:rFonts w:ascii="Times New Roman" w:hAnsi="Times New Roman" w:eastAsia="宋体" w:cs="Times New Roman"/>
          <w:bCs/>
          <w:sz w:val="24"/>
          <w:szCs w:val="24"/>
        </w:rPr>
      </w:pPr>
      <w:r>
        <w:rPr>
          <w:rFonts w:hint="eastAsia" w:ascii="Times New Roman" w:hAnsi="Times New Roman" w:eastAsia="宋体" w:cs="Times New Roman"/>
          <w:bCs/>
          <w:sz w:val="24"/>
          <w:szCs w:val="24"/>
        </w:rPr>
        <w:t>7、当特定资产占前一估值日基金资产净值50%以上的，经与基金托管人协商确认后，基金管理人应当暂停接受基金申购申请。</w:t>
      </w:r>
    </w:p>
    <w:p w14:paraId="1A4AFDE2">
      <w:pPr>
        <w:pStyle w:val="8"/>
        <w:ind w:firstLine="480"/>
        <w:rPr>
          <w:rFonts w:ascii="Times New Roman" w:hAnsi="Times New Roman" w:eastAsia="宋体" w:cs="Times New Roman"/>
          <w:bCs/>
          <w:sz w:val="24"/>
          <w:szCs w:val="24"/>
        </w:rPr>
      </w:pPr>
      <w:r>
        <w:rPr>
          <w:rFonts w:hint="eastAsia" w:ascii="Times New Roman" w:hAnsi="Times New Roman" w:eastAsia="宋体" w:cs="Times New Roman"/>
          <w:bCs/>
          <w:sz w:val="24"/>
          <w:szCs w:val="24"/>
        </w:rPr>
        <w:t>8、所投资的目标ETF暂停估值，导致基金管理人无法计算当日基金资产净值。</w:t>
      </w:r>
    </w:p>
    <w:p w14:paraId="49FA7E53">
      <w:pPr>
        <w:pStyle w:val="8"/>
        <w:ind w:firstLine="480"/>
      </w:pPr>
      <w:r>
        <w:rPr>
          <w:rFonts w:hint="eastAsia" w:ascii="Times New Roman" w:hAnsi="Times New Roman" w:eastAsia="宋体" w:cs="Times New Roman"/>
          <w:bCs/>
          <w:sz w:val="24"/>
          <w:szCs w:val="24"/>
        </w:rPr>
        <w:t>9、所投资的目标ETF暂停申购或二级市场交易停牌。</w:t>
      </w:r>
    </w:p>
    <w:p w14:paraId="52B97741">
      <w:pPr>
        <w:spacing w:line="360" w:lineRule="auto"/>
        <w:ind w:firstLine="480" w:firstLineChars="200"/>
        <w:rPr>
          <w:rFonts w:ascii="Times New Roman" w:hAnsi="Times New Roman" w:eastAsia="宋体" w:cs="Times New Roman"/>
          <w:bCs/>
          <w:sz w:val="24"/>
          <w:szCs w:val="24"/>
        </w:rPr>
      </w:pPr>
      <w:r>
        <w:rPr>
          <w:rFonts w:hint="eastAsia" w:ascii="Times New Roman" w:hAnsi="Times New Roman" w:eastAsia="宋体" w:cs="Times New Roman"/>
          <w:bCs/>
          <w:sz w:val="24"/>
          <w:szCs w:val="24"/>
        </w:rPr>
        <w:t>10、</w:t>
      </w:r>
      <w:r>
        <w:rPr>
          <w:rFonts w:ascii="Times New Roman" w:hAnsi="Times New Roman" w:eastAsia="宋体" w:cs="Times New Roman"/>
          <w:bCs/>
          <w:sz w:val="24"/>
          <w:szCs w:val="24"/>
        </w:rPr>
        <w:t>申请超过基金管理人设定的基金总规模、单日净申购比例上限、单一投资者单日或单笔申购金额上限</w:t>
      </w:r>
      <w:r>
        <w:rPr>
          <w:rFonts w:hint="eastAsia" w:ascii="Times New Roman" w:hAnsi="Times New Roman" w:eastAsia="宋体" w:cs="Times New Roman"/>
          <w:bCs/>
          <w:sz w:val="24"/>
          <w:szCs w:val="24"/>
        </w:rPr>
        <w:t>。</w:t>
      </w:r>
    </w:p>
    <w:p w14:paraId="396534B6">
      <w:pPr>
        <w:spacing w:line="360" w:lineRule="auto"/>
        <w:ind w:firstLine="480" w:firstLineChars="200"/>
        <w:rPr>
          <w:rFonts w:ascii="Times New Roman" w:hAnsi="Times New Roman" w:eastAsia="宋体" w:cs="Times New Roman"/>
          <w:bCs/>
          <w:sz w:val="24"/>
          <w:szCs w:val="24"/>
        </w:rPr>
      </w:pPr>
      <w:r>
        <w:rPr>
          <w:rFonts w:hint="eastAsia" w:ascii="Times New Roman" w:hAnsi="Times New Roman" w:eastAsia="宋体" w:cs="Times New Roman"/>
          <w:bCs/>
          <w:sz w:val="24"/>
          <w:szCs w:val="24"/>
        </w:rPr>
        <w:t>11、</w:t>
      </w:r>
      <w:r>
        <w:rPr>
          <w:rFonts w:ascii="Times New Roman" w:hAnsi="Times New Roman" w:eastAsia="宋体" w:cs="Times New Roman"/>
          <w:bCs/>
          <w:sz w:val="24"/>
          <w:szCs w:val="24"/>
        </w:rPr>
        <w:t>法律法规规定或中国证监会认定的其他情形。</w:t>
      </w:r>
    </w:p>
    <w:p w14:paraId="70471729">
      <w:pPr>
        <w:spacing w:line="360" w:lineRule="auto"/>
        <w:ind w:firstLine="480" w:firstLineChars="200"/>
        <w:rPr>
          <w:rFonts w:ascii="Times New Roman" w:hAnsi="Times New Roman" w:eastAsia="宋体" w:cs="Times New Roman"/>
          <w:sz w:val="24"/>
          <w:szCs w:val="20"/>
        </w:rPr>
      </w:pPr>
      <w:r>
        <w:rPr>
          <w:rFonts w:ascii="Times New Roman" w:hAnsi="Times New Roman" w:eastAsia="宋体" w:cs="Times New Roman"/>
          <w:bCs/>
          <w:sz w:val="24"/>
          <w:szCs w:val="24"/>
        </w:rPr>
        <w:t>发生上述第1、2、</w:t>
      </w:r>
      <w:r>
        <w:rPr>
          <w:rFonts w:hint="eastAsia" w:ascii="Times New Roman" w:hAnsi="Times New Roman" w:eastAsia="宋体" w:cs="Times New Roman"/>
          <w:bCs/>
          <w:sz w:val="24"/>
          <w:szCs w:val="24"/>
        </w:rPr>
        <w:t>3</w:t>
      </w:r>
      <w:r>
        <w:rPr>
          <w:rFonts w:ascii="Times New Roman" w:hAnsi="Times New Roman" w:eastAsia="宋体" w:cs="Times New Roman"/>
          <w:bCs/>
          <w:sz w:val="24"/>
          <w:szCs w:val="24"/>
        </w:rPr>
        <w:t>、5</w:t>
      </w:r>
      <w:r>
        <w:rPr>
          <w:rFonts w:hint="eastAsia" w:ascii="Times New Roman" w:hAnsi="Times New Roman" w:eastAsia="宋体" w:cs="Times New Roman"/>
          <w:bCs/>
          <w:sz w:val="24"/>
          <w:szCs w:val="24"/>
        </w:rPr>
        <w:t>、6、</w:t>
      </w:r>
      <w:r>
        <w:rPr>
          <w:rFonts w:ascii="Times New Roman" w:hAnsi="Times New Roman" w:eastAsia="宋体" w:cs="Times New Roman"/>
          <w:bCs/>
          <w:sz w:val="24"/>
          <w:szCs w:val="24"/>
        </w:rPr>
        <w:t>7</w:t>
      </w:r>
      <w:r>
        <w:rPr>
          <w:rFonts w:hint="eastAsia" w:ascii="Times New Roman" w:hAnsi="Times New Roman" w:eastAsia="宋体" w:cs="Times New Roman"/>
          <w:bCs/>
          <w:sz w:val="24"/>
          <w:szCs w:val="24"/>
        </w:rPr>
        <w:t>、8、9、11</w:t>
      </w:r>
      <w:r>
        <w:rPr>
          <w:rFonts w:ascii="Times New Roman" w:hAnsi="Times New Roman" w:eastAsia="宋体" w:cs="Times New Roman"/>
          <w:bCs/>
          <w:sz w:val="24"/>
          <w:szCs w:val="24"/>
        </w:rPr>
        <w:t>项暂停申购情形</w:t>
      </w:r>
      <w:r>
        <w:rPr>
          <w:rFonts w:hint="eastAsia" w:ascii="Times New Roman" w:hAnsi="Times New Roman" w:eastAsia="宋体" w:cs="Times New Roman"/>
          <w:bCs/>
          <w:sz w:val="24"/>
          <w:szCs w:val="24"/>
        </w:rPr>
        <w:t>之一且基金管理人决定暂停接受投资人的申购申请</w:t>
      </w:r>
      <w:r>
        <w:rPr>
          <w:rFonts w:ascii="Times New Roman" w:hAnsi="Times New Roman" w:eastAsia="宋体" w:cs="Times New Roman"/>
          <w:bCs/>
          <w:sz w:val="24"/>
          <w:szCs w:val="24"/>
        </w:rPr>
        <w:t>时，基金管理人应当根据有关规定在规定媒介上刊登暂停申购公告。如果投资人的申购申请被拒绝，被拒绝的申购款项</w:t>
      </w:r>
      <w:r>
        <w:rPr>
          <w:rFonts w:hint="eastAsia" w:ascii="Times New Roman" w:hAnsi="Times New Roman" w:eastAsia="宋体" w:cs="Times New Roman"/>
          <w:bCs/>
          <w:sz w:val="24"/>
          <w:szCs w:val="24"/>
        </w:rPr>
        <w:t>本金</w:t>
      </w:r>
      <w:r>
        <w:rPr>
          <w:rFonts w:ascii="Times New Roman" w:hAnsi="Times New Roman" w:eastAsia="宋体" w:cs="Times New Roman"/>
          <w:bCs/>
          <w:sz w:val="24"/>
          <w:szCs w:val="24"/>
        </w:rPr>
        <w:t>将退还给投资人。在暂停申购的情况消除时，基金管理人应及时恢复申购业务的办理。</w:t>
      </w:r>
    </w:p>
    <w:p w14:paraId="171524BB">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八、暂停赎回或延缓支付赎回款项的情形</w:t>
      </w:r>
    </w:p>
    <w:p w14:paraId="54D2E802">
      <w:pPr>
        <w:spacing w:line="360" w:lineRule="auto"/>
        <w:ind w:firstLine="480" w:firstLineChars="200"/>
        <w:rPr>
          <w:rFonts w:ascii="Times New Roman" w:hAnsi="Times New Roman" w:eastAsia="宋体" w:cs="Times New Roman"/>
          <w:bCs/>
          <w:sz w:val="24"/>
          <w:szCs w:val="24"/>
        </w:rPr>
      </w:pPr>
      <w:r>
        <w:rPr>
          <w:rFonts w:ascii="Times New Roman" w:hAnsi="Times New Roman" w:eastAsia="宋体" w:cs="Times New Roman"/>
          <w:bCs/>
          <w:sz w:val="24"/>
          <w:szCs w:val="24"/>
        </w:rPr>
        <w:t>发生下列情形时，</w:t>
      </w:r>
      <w:r>
        <w:rPr>
          <w:rFonts w:hint="eastAsia" w:ascii="Times New Roman" w:hAnsi="Times New Roman" w:eastAsia="宋体" w:cs="Times New Roman"/>
          <w:bCs/>
          <w:sz w:val="24"/>
          <w:szCs w:val="24"/>
        </w:rPr>
        <w:t>基金管理人可暂停接受投资人的赎回申请或延缓支付赎回款项</w:t>
      </w:r>
      <w:r>
        <w:rPr>
          <w:rFonts w:ascii="Times New Roman" w:hAnsi="Times New Roman" w:eastAsia="宋体" w:cs="Times New Roman"/>
          <w:bCs/>
          <w:sz w:val="24"/>
          <w:szCs w:val="24"/>
        </w:rPr>
        <w:t>：</w:t>
      </w:r>
    </w:p>
    <w:p w14:paraId="5E193A9C">
      <w:pPr>
        <w:spacing w:line="360" w:lineRule="auto"/>
        <w:ind w:firstLine="480" w:firstLineChars="200"/>
        <w:rPr>
          <w:rFonts w:ascii="Times New Roman" w:hAnsi="Times New Roman" w:eastAsia="宋体" w:cs="Times New Roman"/>
          <w:bCs/>
          <w:sz w:val="24"/>
          <w:szCs w:val="24"/>
        </w:rPr>
      </w:pPr>
      <w:r>
        <w:rPr>
          <w:rFonts w:ascii="Times New Roman" w:hAnsi="Times New Roman" w:eastAsia="宋体" w:cs="Times New Roman"/>
          <w:bCs/>
          <w:sz w:val="24"/>
          <w:szCs w:val="24"/>
        </w:rPr>
        <w:t>1</w:t>
      </w:r>
      <w:r>
        <w:rPr>
          <w:rFonts w:hint="eastAsia" w:ascii="Times New Roman" w:hAnsi="Times New Roman" w:eastAsia="宋体" w:cs="Times New Roman"/>
          <w:bCs/>
          <w:sz w:val="24"/>
          <w:szCs w:val="24"/>
        </w:rPr>
        <w:t>、</w:t>
      </w:r>
      <w:r>
        <w:rPr>
          <w:rFonts w:ascii="Times New Roman" w:hAnsi="Times New Roman" w:eastAsia="宋体" w:cs="Times New Roman"/>
          <w:bCs/>
          <w:sz w:val="24"/>
          <w:szCs w:val="24"/>
        </w:rPr>
        <w:t>因不可抗力导致基金管理人不能支付赎回款项。</w:t>
      </w:r>
    </w:p>
    <w:p w14:paraId="70273A20">
      <w:pPr>
        <w:spacing w:line="360" w:lineRule="auto"/>
        <w:ind w:firstLine="480" w:firstLineChars="200"/>
        <w:rPr>
          <w:rFonts w:ascii="Times New Roman" w:hAnsi="Times New Roman" w:eastAsia="宋体" w:cs="Times New Roman"/>
          <w:sz w:val="24"/>
          <w:szCs w:val="20"/>
        </w:rPr>
      </w:pPr>
      <w:r>
        <w:rPr>
          <w:rFonts w:ascii="Times New Roman" w:hAnsi="Times New Roman" w:eastAsia="宋体" w:cs="Times New Roman"/>
          <w:sz w:val="24"/>
          <w:szCs w:val="20"/>
        </w:rPr>
        <w:t>2</w:t>
      </w:r>
      <w:r>
        <w:rPr>
          <w:rFonts w:hint="eastAsia" w:ascii="Times New Roman" w:hAnsi="Times New Roman" w:eastAsia="宋体" w:cs="Times New Roman"/>
          <w:sz w:val="24"/>
          <w:szCs w:val="20"/>
        </w:rPr>
        <w:t>、发生基金合同规定的暂停基金资产估值情况时。</w:t>
      </w:r>
    </w:p>
    <w:p w14:paraId="070D3370">
      <w:pPr>
        <w:spacing w:line="360" w:lineRule="auto"/>
        <w:ind w:firstLine="480" w:firstLineChars="200"/>
        <w:rPr>
          <w:rFonts w:ascii="Times New Roman" w:hAnsi="Times New Roman" w:eastAsia="宋体" w:cs="Times New Roman"/>
          <w:bCs/>
          <w:sz w:val="24"/>
          <w:szCs w:val="24"/>
        </w:rPr>
      </w:pPr>
      <w:r>
        <w:rPr>
          <w:rFonts w:hint="eastAsia" w:ascii="Times New Roman" w:hAnsi="Times New Roman" w:eastAsia="宋体" w:cs="Times New Roman"/>
          <w:bCs/>
          <w:sz w:val="24"/>
          <w:szCs w:val="24"/>
        </w:rPr>
        <w:t>3、</w:t>
      </w:r>
      <w:r>
        <w:rPr>
          <w:rFonts w:ascii="Times New Roman" w:hAnsi="Times New Roman" w:eastAsia="宋体" w:cs="Times New Roman"/>
          <w:bCs/>
          <w:sz w:val="24"/>
          <w:szCs w:val="24"/>
        </w:rPr>
        <w:t>证券</w:t>
      </w:r>
      <w:r>
        <w:rPr>
          <w:rFonts w:hint="eastAsia" w:ascii="Times New Roman" w:hAnsi="Times New Roman" w:eastAsia="宋体" w:cs="Times New Roman"/>
          <w:bCs/>
          <w:sz w:val="24"/>
          <w:szCs w:val="24"/>
        </w:rPr>
        <w:t>、期货</w:t>
      </w:r>
      <w:r>
        <w:rPr>
          <w:rFonts w:ascii="Times New Roman" w:hAnsi="Times New Roman" w:eastAsia="宋体" w:cs="Times New Roman"/>
          <w:bCs/>
          <w:sz w:val="24"/>
          <w:szCs w:val="24"/>
        </w:rPr>
        <w:t>交易所或外汇市场交易时间非正常停市，导致基金管理人无法计算当日基金资产</w:t>
      </w:r>
      <w:bookmarkStart w:id="8" w:name="_Hlt152500890"/>
      <w:r>
        <w:rPr>
          <w:rFonts w:ascii="Times New Roman" w:hAnsi="Times New Roman" w:eastAsia="宋体" w:cs="Times New Roman"/>
          <w:bCs/>
          <w:sz w:val="24"/>
          <w:szCs w:val="24"/>
        </w:rPr>
        <w:t>净值。</w:t>
      </w:r>
    </w:p>
    <w:p w14:paraId="2FE7150A">
      <w:pPr>
        <w:spacing w:line="360" w:lineRule="auto"/>
        <w:ind w:firstLine="480" w:firstLineChars="200"/>
        <w:rPr>
          <w:rFonts w:ascii="Times New Roman" w:hAnsi="Times New Roman" w:eastAsia="宋体" w:cs="Times New Roman"/>
          <w:bCs/>
          <w:sz w:val="24"/>
          <w:szCs w:val="24"/>
        </w:rPr>
      </w:pPr>
      <w:r>
        <w:rPr>
          <w:rFonts w:hint="eastAsia" w:ascii="Times New Roman" w:hAnsi="Times New Roman" w:eastAsia="宋体" w:cs="Times New Roman"/>
          <w:bCs/>
          <w:sz w:val="24"/>
          <w:szCs w:val="24"/>
        </w:rPr>
        <w:t>4、</w:t>
      </w:r>
      <w:r>
        <w:rPr>
          <w:rFonts w:ascii="Times New Roman" w:hAnsi="Times New Roman" w:eastAsia="宋体" w:cs="Times New Roman"/>
          <w:bCs/>
          <w:sz w:val="24"/>
          <w:szCs w:val="24"/>
        </w:rPr>
        <w:t>连续两个或两个以上开放日发生巨额赎回。</w:t>
      </w:r>
    </w:p>
    <w:p w14:paraId="764CA89A">
      <w:pPr>
        <w:spacing w:line="360" w:lineRule="auto"/>
        <w:ind w:firstLine="480"/>
        <w:rPr>
          <w:rFonts w:ascii="Times New Roman" w:hAnsi="Times New Roman" w:cs="Times New Roman"/>
          <w:bCs/>
          <w:sz w:val="24"/>
          <w:szCs w:val="24"/>
        </w:rPr>
      </w:pPr>
      <w:r>
        <w:rPr>
          <w:rFonts w:hint="eastAsia" w:ascii="Times New Roman" w:hAnsi="Times New Roman" w:cs="Times New Roman"/>
          <w:bCs/>
          <w:sz w:val="24"/>
          <w:szCs w:val="24"/>
        </w:rPr>
        <w:t>5、所投资的目标ETF暂停估值，导致基金管理人无法计算当日基金资产净值。</w:t>
      </w:r>
    </w:p>
    <w:p w14:paraId="75ED14CD">
      <w:pPr>
        <w:spacing w:line="360" w:lineRule="auto"/>
        <w:ind w:firstLine="480" w:firstLineChars="0"/>
        <w:rPr>
          <w:rFonts w:ascii="Times New Roman" w:hAnsi="Times New Roman" w:eastAsia="宋体" w:cs="Times New Roman"/>
          <w:bCs/>
          <w:sz w:val="24"/>
          <w:szCs w:val="24"/>
        </w:rPr>
      </w:pPr>
      <w:r>
        <w:rPr>
          <w:rFonts w:hint="eastAsia" w:ascii="Times New Roman" w:hAnsi="Times New Roman" w:cs="Times New Roman"/>
          <w:bCs/>
          <w:sz w:val="24"/>
          <w:szCs w:val="24"/>
        </w:rPr>
        <w:t>6、所投资的目标ETF暂停赎回、延缓支付赎回对价或二级市场交易停牌。</w:t>
      </w:r>
    </w:p>
    <w:bookmarkEnd w:id="8"/>
    <w:p w14:paraId="1E4DC8EB">
      <w:pPr>
        <w:spacing w:line="360" w:lineRule="auto"/>
        <w:ind w:firstLine="480" w:firstLineChars="200"/>
        <w:rPr>
          <w:rFonts w:ascii="Times New Roman" w:hAnsi="Times New Roman" w:eastAsia="宋体" w:cs="Times New Roman"/>
          <w:bCs/>
          <w:sz w:val="24"/>
          <w:szCs w:val="24"/>
        </w:rPr>
      </w:pPr>
      <w:r>
        <w:rPr>
          <w:rFonts w:hint="eastAsia" w:ascii="Times New Roman" w:hAnsi="Times New Roman" w:eastAsia="宋体" w:cs="Times New Roman"/>
          <w:bCs/>
          <w:sz w:val="24"/>
          <w:szCs w:val="24"/>
        </w:rPr>
        <w:t>7、发生继续接受赎回申请将损害</w:t>
      </w:r>
      <w:r>
        <w:rPr>
          <w:rFonts w:ascii="Times New Roman" w:hAnsi="Times New Roman" w:eastAsia="宋体" w:cs="Times New Roman"/>
          <w:bCs/>
          <w:sz w:val="24"/>
          <w:szCs w:val="24"/>
        </w:rPr>
        <w:t>现有基金份额持有人利益的情形</w:t>
      </w:r>
      <w:r>
        <w:rPr>
          <w:rFonts w:hint="eastAsia" w:ascii="Times New Roman" w:hAnsi="Times New Roman" w:eastAsia="宋体" w:cs="Times New Roman"/>
          <w:bCs/>
          <w:sz w:val="24"/>
          <w:szCs w:val="24"/>
        </w:rPr>
        <w:t>时。</w:t>
      </w:r>
    </w:p>
    <w:p w14:paraId="100835AC">
      <w:pPr>
        <w:spacing w:line="360" w:lineRule="auto"/>
        <w:ind w:firstLine="480" w:firstLineChars="200"/>
        <w:rPr>
          <w:rFonts w:ascii="Times New Roman" w:hAnsi="Times New Roman" w:eastAsia="宋体" w:cs="Times New Roman"/>
          <w:bCs/>
          <w:sz w:val="24"/>
          <w:szCs w:val="24"/>
        </w:rPr>
      </w:pPr>
      <w:r>
        <w:rPr>
          <w:rFonts w:hint="eastAsia" w:ascii="Times New Roman" w:hAnsi="Times New Roman" w:eastAsia="宋体" w:cs="Times New Roman"/>
          <w:bCs/>
          <w:sz w:val="24"/>
          <w:szCs w:val="24"/>
        </w:rPr>
        <w:t>8、当特定资产占前一估值日基金资产净值50%以上的，经与基金托管人协商确认后，基金管理人应当延缓支付赎回款项或暂停接受基金赎回申请。</w:t>
      </w:r>
    </w:p>
    <w:p w14:paraId="3E1B6042">
      <w:pPr>
        <w:spacing w:line="360" w:lineRule="auto"/>
        <w:ind w:firstLine="480" w:firstLineChars="200"/>
        <w:rPr>
          <w:rFonts w:ascii="Times New Roman" w:hAnsi="Times New Roman" w:eastAsia="宋体" w:cs="Times New Roman"/>
          <w:bCs/>
          <w:sz w:val="24"/>
          <w:szCs w:val="24"/>
        </w:rPr>
      </w:pPr>
      <w:r>
        <w:rPr>
          <w:rFonts w:hint="eastAsia" w:ascii="Times New Roman" w:hAnsi="Times New Roman" w:eastAsia="宋体" w:cs="Times New Roman"/>
          <w:bCs/>
          <w:sz w:val="24"/>
          <w:szCs w:val="24"/>
        </w:rPr>
        <w:t>9、</w:t>
      </w:r>
      <w:r>
        <w:rPr>
          <w:rFonts w:ascii="Times New Roman" w:hAnsi="Times New Roman" w:eastAsia="宋体" w:cs="Times New Roman"/>
          <w:bCs/>
          <w:sz w:val="24"/>
          <w:szCs w:val="24"/>
        </w:rPr>
        <w:t>法律法规规定或中国证监会认定的其他情形。</w:t>
      </w:r>
    </w:p>
    <w:p w14:paraId="0F65DDF8">
      <w:pPr>
        <w:spacing w:line="360" w:lineRule="auto"/>
        <w:ind w:firstLine="480" w:firstLineChars="200"/>
        <w:rPr>
          <w:rFonts w:ascii="Times New Roman" w:hAnsi="Times New Roman" w:eastAsia="宋体" w:cs="Times New Roman"/>
          <w:sz w:val="24"/>
          <w:szCs w:val="20"/>
        </w:rPr>
      </w:pPr>
      <w:r>
        <w:rPr>
          <w:rFonts w:ascii="Times New Roman" w:hAnsi="Times New Roman" w:eastAsia="宋体" w:cs="Times New Roman"/>
          <w:bCs/>
          <w:sz w:val="24"/>
          <w:szCs w:val="24"/>
        </w:rPr>
        <w:t>发生上述情形</w:t>
      </w:r>
      <w:r>
        <w:rPr>
          <w:rFonts w:hint="eastAsia" w:ascii="Times New Roman" w:hAnsi="Times New Roman" w:eastAsia="宋体" w:cs="Times New Roman"/>
          <w:bCs/>
          <w:sz w:val="24"/>
          <w:szCs w:val="24"/>
        </w:rPr>
        <w:t>（第4项除外）之一且基金管理人决定暂停赎回或延缓支付赎回款项</w:t>
      </w:r>
      <w:r>
        <w:rPr>
          <w:rFonts w:ascii="Times New Roman" w:hAnsi="Times New Roman" w:eastAsia="宋体" w:cs="Times New Roman"/>
          <w:bCs/>
          <w:sz w:val="24"/>
          <w:szCs w:val="24"/>
        </w:rPr>
        <w:t>时，基金管理人应</w:t>
      </w:r>
      <w:r>
        <w:rPr>
          <w:rFonts w:hint="eastAsia" w:ascii="Times New Roman" w:hAnsi="Times New Roman" w:eastAsia="宋体" w:cs="Times New Roman"/>
          <w:bCs/>
          <w:sz w:val="24"/>
          <w:szCs w:val="24"/>
        </w:rPr>
        <w:t>按规定</w:t>
      </w:r>
      <w:r>
        <w:rPr>
          <w:rFonts w:ascii="Times New Roman" w:hAnsi="Times New Roman" w:eastAsia="宋体" w:cs="Times New Roman"/>
          <w:bCs/>
          <w:sz w:val="24"/>
          <w:szCs w:val="24"/>
        </w:rPr>
        <w:t>报中国证监会备案，已确认的赎回申请，基金管理人应足额支付；如暂时不能足额支付，未支付部分可延期支付。若出现上述第</w:t>
      </w:r>
      <w:r>
        <w:rPr>
          <w:rFonts w:hint="eastAsia" w:ascii="Times New Roman" w:hAnsi="Times New Roman" w:eastAsia="宋体" w:cs="Times New Roman"/>
          <w:bCs/>
          <w:sz w:val="24"/>
          <w:szCs w:val="24"/>
        </w:rPr>
        <w:t>4</w:t>
      </w:r>
      <w:r>
        <w:rPr>
          <w:rFonts w:ascii="Times New Roman" w:hAnsi="Times New Roman" w:eastAsia="宋体" w:cs="Times New Roman"/>
          <w:bCs/>
          <w:sz w:val="24"/>
          <w:szCs w:val="24"/>
        </w:rPr>
        <w:t>项所述情形，按基金合同的相关条款处理。基金份额持有人在申请赎回时可事先选择将当日可能未获受理部分予以撤销。在暂停赎回的情况消除时，基金管理人应及时恢复赎回业务的办理并公告。</w:t>
      </w:r>
    </w:p>
    <w:p w14:paraId="68DF6213">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九、巨额赎回的情形及处理方式</w:t>
      </w:r>
    </w:p>
    <w:p w14:paraId="78FC543C">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cs="Times New Roman" w:asciiTheme="minorEastAsia" w:hAnsiTheme="minorEastAsia"/>
          <w:kern w:val="0"/>
          <w:sz w:val="24"/>
          <w:szCs w:val="24"/>
        </w:rPr>
        <w:t>1</w:t>
      </w:r>
      <w:r>
        <w:rPr>
          <w:rFonts w:hint="eastAsia" w:cs="宋体" w:asciiTheme="minorEastAsia" w:hAnsiTheme="minorEastAsia"/>
          <w:kern w:val="0"/>
          <w:sz w:val="24"/>
          <w:szCs w:val="24"/>
        </w:rPr>
        <w:t>、巨额赎回的认定</w:t>
      </w:r>
    </w:p>
    <w:p w14:paraId="5354C807">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若本基金单个开放日内的基金份额净赎回申请（赎回申请份额总数加上基金转换中转出申请份额总数后扣除申购申请份额总数及基金转换中转入申请份额总数后的余额）超过前一开放日的基金总份额的</w:t>
      </w:r>
      <w:r>
        <w:rPr>
          <w:rFonts w:cs="Times New Roman" w:asciiTheme="minorEastAsia" w:hAnsiTheme="minorEastAsia"/>
          <w:kern w:val="0"/>
          <w:sz w:val="24"/>
          <w:szCs w:val="24"/>
        </w:rPr>
        <w:t>10%</w:t>
      </w:r>
      <w:r>
        <w:rPr>
          <w:rFonts w:hint="eastAsia" w:cs="宋体" w:asciiTheme="minorEastAsia" w:hAnsiTheme="minorEastAsia"/>
          <w:kern w:val="0"/>
          <w:sz w:val="24"/>
          <w:szCs w:val="24"/>
        </w:rPr>
        <w:t>，即认为是发生了巨额赎回。</w:t>
      </w:r>
    </w:p>
    <w:p w14:paraId="41C1BAAB">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cs="Times New Roman" w:asciiTheme="minorEastAsia" w:hAnsiTheme="minorEastAsia"/>
          <w:kern w:val="0"/>
          <w:sz w:val="24"/>
          <w:szCs w:val="24"/>
        </w:rPr>
        <w:t>2</w:t>
      </w:r>
      <w:r>
        <w:rPr>
          <w:rFonts w:hint="eastAsia" w:cs="宋体" w:asciiTheme="minorEastAsia" w:hAnsiTheme="minorEastAsia"/>
          <w:kern w:val="0"/>
          <w:sz w:val="24"/>
          <w:szCs w:val="24"/>
        </w:rPr>
        <w:t>、巨额赎回的处理方式</w:t>
      </w:r>
    </w:p>
    <w:p w14:paraId="36812C98">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当基金出现巨额赎回时，基金管理人可以根据基金当时的资产组合状况决定全额赎回</w:t>
      </w:r>
      <w:r>
        <w:rPr>
          <w:rFonts w:cs="宋体" w:asciiTheme="minorEastAsia" w:hAnsiTheme="minorEastAsia"/>
          <w:kern w:val="0"/>
          <w:sz w:val="24"/>
          <w:szCs w:val="24"/>
        </w:rPr>
        <w:t>、</w:t>
      </w:r>
      <w:r>
        <w:rPr>
          <w:rFonts w:hint="eastAsia" w:cs="宋体" w:asciiTheme="minorEastAsia" w:hAnsiTheme="minorEastAsia"/>
          <w:kern w:val="0"/>
          <w:sz w:val="24"/>
          <w:szCs w:val="24"/>
        </w:rPr>
        <w:t>部分延期赎回或暂停赎回。</w:t>
      </w:r>
    </w:p>
    <w:p w14:paraId="7EC67708">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w:t>
      </w:r>
      <w:r>
        <w:rPr>
          <w:rFonts w:cs="Times New Roman" w:asciiTheme="minorEastAsia" w:hAnsiTheme="minorEastAsia"/>
          <w:kern w:val="0"/>
          <w:sz w:val="24"/>
          <w:szCs w:val="24"/>
        </w:rPr>
        <w:t>1</w:t>
      </w:r>
      <w:r>
        <w:rPr>
          <w:rFonts w:hint="eastAsia" w:cs="宋体" w:asciiTheme="minorEastAsia" w:hAnsiTheme="minorEastAsia"/>
          <w:kern w:val="0"/>
          <w:sz w:val="24"/>
          <w:szCs w:val="24"/>
        </w:rPr>
        <w:t>）全额赎回：当基金管理人认为有能力支付投资人的全部赎回申请时，按正常赎回程序执行。</w:t>
      </w:r>
    </w:p>
    <w:p w14:paraId="149A6B3F">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w:t>
      </w:r>
      <w:r>
        <w:rPr>
          <w:rFonts w:cs="Times New Roman" w:asciiTheme="minorEastAsia" w:hAnsiTheme="minorEastAsia"/>
          <w:kern w:val="0"/>
          <w:sz w:val="24"/>
          <w:szCs w:val="24"/>
        </w:rPr>
        <w:t>2</w:t>
      </w:r>
      <w:r>
        <w:rPr>
          <w:rFonts w:hint="eastAsia" w:cs="宋体" w:asciiTheme="minorEastAsia" w:hAnsiTheme="minorEastAsia"/>
          <w:kern w:val="0"/>
          <w:sz w:val="24"/>
          <w:szCs w:val="24"/>
        </w:rPr>
        <w:t>）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w:t>
      </w:r>
      <w:r>
        <w:rPr>
          <w:rFonts w:cs="Times New Roman" w:asciiTheme="minorEastAsia" w:hAnsiTheme="minorEastAsia"/>
          <w:kern w:val="0"/>
          <w:sz w:val="24"/>
          <w:szCs w:val="24"/>
        </w:rPr>
        <w:t>10%</w:t>
      </w:r>
      <w:r>
        <w:rPr>
          <w:rFonts w:hint="eastAsia" w:cs="宋体" w:asciiTheme="minorEastAsia" w:hAnsiTheme="minorEastAsia"/>
          <w:kern w:val="0"/>
          <w:sz w:val="24"/>
          <w:szCs w:val="24"/>
        </w:rPr>
        <w:t>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部分</w:t>
      </w:r>
      <w:r>
        <w:rPr>
          <w:rFonts w:cs="宋体" w:asciiTheme="minorEastAsia" w:hAnsiTheme="minorEastAsia"/>
          <w:kern w:val="0"/>
          <w:sz w:val="24"/>
          <w:szCs w:val="24"/>
        </w:rPr>
        <w:t>延期</w:t>
      </w:r>
      <w:r>
        <w:rPr>
          <w:rFonts w:hint="eastAsia" w:cs="宋体" w:asciiTheme="minorEastAsia" w:hAnsiTheme="minorEastAsia"/>
          <w:kern w:val="0"/>
          <w:sz w:val="24"/>
          <w:szCs w:val="24"/>
        </w:rPr>
        <w:t>赎回不受单笔赎回最低份额的限制。</w:t>
      </w:r>
    </w:p>
    <w:p w14:paraId="42C0DD23">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3）本基金发生巨额赎回时，对于单个基金份额持有人当日赎回申请超过上一开放日基金总份额10%以上的部分，基金管理人有权对其进行延期办理（被延期赎回的赎回申请，将自动转入下一个开放日继续赎回，延期的赎回申请与下一开放日赎回申请一并处理，无优先权并以下一开放日的该类基金份额净值为基础计算赎回金额，以此类推，直到全部赎回为止）；对于该基金份额持有人申请赎回的份额中未超过上一开放日基金总份额10％的部分，基金管理人根据前段“（1）全额赎回”或“（2）部分延期赎回”的约定方式与其他基金份额持有人的赎回申请一并办理。但是，如该持有人在提交赎回申请时选择取消赎回，则其当日未获受理的部分赎回申请将被撤销。</w:t>
      </w:r>
    </w:p>
    <w:p w14:paraId="307433F3">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w:t>
      </w:r>
      <w:r>
        <w:rPr>
          <w:rFonts w:hint="eastAsia" w:cs="Times New Roman" w:asciiTheme="minorEastAsia" w:hAnsiTheme="minorEastAsia"/>
          <w:kern w:val="0"/>
          <w:sz w:val="24"/>
          <w:szCs w:val="24"/>
        </w:rPr>
        <w:t>4</w:t>
      </w:r>
      <w:r>
        <w:rPr>
          <w:rFonts w:hint="eastAsia" w:cs="宋体" w:asciiTheme="minorEastAsia" w:hAnsiTheme="minorEastAsia"/>
          <w:kern w:val="0"/>
          <w:sz w:val="24"/>
          <w:szCs w:val="24"/>
        </w:rPr>
        <w:t>）暂停赎回：连续</w:t>
      </w:r>
      <w:r>
        <w:rPr>
          <w:rFonts w:cs="Times New Roman" w:asciiTheme="minorEastAsia" w:hAnsiTheme="minorEastAsia"/>
          <w:kern w:val="0"/>
          <w:sz w:val="24"/>
          <w:szCs w:val="24"/>
        </w:rPr>
        <w:t>2</w:t>
      </w:r>
      <w:r>
        <w:rPr>
          <w:rFonts w:hint="eastAsia" w:cs="宋体" w:asciiTheme="minorEastAsia" w:hAnsiTheme="minorEastAsia"/>
          <w:kern w:val="0"/>
          <w:sz w:val="24"/>
          <w:szCs w:val="24"/>
        </w:rPr>
        <w:t>个开放日以上（含</w:t>
      </w:r>
      <w:r>
        <w:rPr>
          <w:rFonts w:cs="Times New Roman" w:asciiTheme="minorEastAsia" w:hAnsiTheme="minorEastAsia"/>
          <w:kern w:val="0"/>
          <w:sz w:val="24"/>
          <w:szCs w:val="24"/>
        </w:rPr>
        <w:t>2</w:t>
      </w:r>
      <w:r>
        <w:rPr>
          <w:rFonts w:hint="eastAsia" w:cs="宋体" w:asciiTheme="minorEastAsia" w:hAnsiTheme="minorEastAsia"/>
          <w:kern w:val="0"/>
          <w:sz w:val="24"/>
          <w:szCs w:val="24"/>
        </w:rPr>
        <w:t>个开放日）发生巨额赎回，如基金管理人认为有必要，可暂停接受基金的赎回申请；已经接受的赎回申请可以延缓支付赎回款项，但不得超过</w:t>
      </w:r>
      <w:r>
        <w:rPr>
          <w:rFonts w:cs="Times New Roman" w:asciiTheme="minorEastAsia" w:hAnsiTheme="minorEastAsia"/>
          <w:kern w:val="0"/>
          <w:sz w:val="24"/>
          <w:szCs w:val="24"/>
        </w:rPr>
        <w:t>20</w:t>
      </w:r>
      <w:r>
        <w:rPr>
          <w:rFonts w:hint="eastAsia" w:cs="宋体" w:asciiTheme="minorEastAsia" w:hAnsiTheme="minorEastAsia"/>
          <w:kern w:val="0"/>
          <w:sz w:val="24"/>
          <w:szCs w:val="24"/>
        </w:rPr>
        <w:t>个工作日，并应当在规定媒介上进行公告。</w:t>
      </w:r>
    </w:p>
    <w:p w14:paraId="74A34087">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cs="Times New Roman" w:asciiTheme="minorEastAsia" w:hAnsiTheme="minorEastAsia"/>
          <w:kern w:val="0"/>
          <w:sz w:val="24"/>
          <w:szCs w:val="24"/>
        </w:rPr>
        <w:t>3</w:t>
      </w:r>
      <w:r>
        <w:rPr>
          <w:rFonts w:hint="eastAsia" w:cs="宋体" w:asciiTheme="minorEastAsia" w:hAnsiTheme="minorEastAsia"/>
          <w:kern w:val="0"/>
          <w:sz w:val="24"/>
          <w:szCs w:val="24"/>
        </w:rPr>
        <w:t>、巨额赎回的公告</w:t>
      </w:r>
    </w:p>
    <w:p w14:paraId="64C33A86">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当发生上述巨额赎回并延期办理时，基金管理人应当通过邮寄、传真或者招募说明书规定的其他方式在</w:t>
      </w:r>
      <w:r>
        <w:rPr>
          <w:rFonts w:cs="Times New Roman" w:asciiTheme="minorEastAsia" w:hAnsiTheme="minorEastAsia"/>
          <w:kern w:val="0"/>
          <w:sz w:val="24"/>
          <w:szCs w:val="24"/>
        </w:rPr>
        <w:t>3</w:t>
      </w:r>
      <w:r>
        <w:rPr>
          <w:rFonts w:hint="eastAsia" w:cs="宋体" w:asciiTheme="minorEastAsia" w:hAnsiTheme="minorEastAsia"/>
          <w:kern w:val="0"/>
          <w:sz w:val="24"/>
          <w:szCs w:val="24"/>
        </w:rPr>
        <w:t>个交易日内通知基金份额持有人，说明有关处理方法，并在2日内在规定媒介上刊登公告。</w:t>
      </w:r>
    </w:p>
    <w:p w14:paraId="4F6F4A82">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十、暂停申购或赎回的公告和重新开放申购或赎回的公告</w:t>
      </w:r>
    </w:p>
    <w:p w14:paraId="2C829755">
      <w:pPr>
        <w:autoSpaceDE w:val="0"/>
        <w:autoSpaceDN w:val="0"/>
        <w:adjustRightInd w:val="0"/>
        <w:spacing w:line="360" w:lineRule="auto"/>
        <w:ind w:firstLine="480" w:firstLineChars="200"/>
        <w:jc w:val="left"/>
        <w:rPr>
          <w:rFonts w:cs="Times New Roman" w:asciiTheme="minorEastAsia" w:hAnsiTheme="minorEastAsia"/>
          <w:kern w:val="0"/>
          <w:sz w:val="24"/>
          <w:szCs w:val="24"/>
        </w:rPr>
      </w:pPr>
      <w:r>
        <w:rPr>
          <w:rFonts w:cs="Times New Roman" w:asciiTheme="minorEastAsia" w:hAnsiTheme="minorEastAsia"/>
          <w:kern w:val="0"/>
          <w:sz w:val="24"/>
          <w:szCs w:val="24"/>
        </w:rPr>
        <w:t>1</w:t>
      </w:r>
      <w:r>
        <w:rPr>
          <w:rFonts w:hint="eastAsia" w:cs="宋体" w:asciiTheme="minorEastAsia" w:hAnsiTheme="minorEastAsia"/>
          <w:kern w:val="0"/>
          <w:sz w:val="24"/>
          <w:szCs w:val="24"/>
        </w:rPr>
        <w:t>、发生上述暂停申购或赎回情况的，基金管理人应在规定期限内在规定媒介上刊登暂停公告。</w:t>
      </w:r>
    </w:p>
    <w:p w14:paraId="5511435B">
      <w:pPr>
        <w:autoSpaceDE w:val="0"/>
        <w:autoSpaceDN w:val="0"/>
        <w:adjustRightInd w:val="0"/>
        <w:spacing w:line="360" w:lineRule="auto"/>
        <w:ind w:firstLine="480" w:firstLineChars="200"/>
        <w:jc w:val="left"/>
        <w:rPr>
          <w:rFonts w:cs="Times New Roman" w:asciiTheme="minorEastAsia" w:hAnsiTheme="minorEastAsia"/>
          <w:kern w:val="0"/>
          <w:sz w:val="24"/>
          <w:szCs w:val="24"/>
        </w:rPr>
      </w:pPr>
      <w:r>
        <w:rPr>
          <w:rFonts w:hint="eastAsia" w:cs="Times New Roman" w:asciiTheme="minorEastAsia" w:hAnsiTheme="minorEastAsia"/>
          <w:kern w:val="0"/>
          <w:sz w:val="24"/>
          <w:szCs w:val="24"/>
        </w:rPr>
        <w:t>2、基金管理人可以根据暂停申购或赎回的时间，依照《信息披露办法》的有关规定，最迟于重新开放日在规定媒介上刊登重新开放申购或赎回的公告；也可以根据实际情况在暂停公告中明确重新开放申购或赎回的时间，届时不再另行发布重新开放的公告。</w:t>
      </w:r>
    </w:p>
    <w:p w14:paraId="3CF688E5">
      <w:pPr>
        <w:autoSpaceDE w:val="0"/>
        <w:autoSpaceDN w:val="0"/>
        <w:adjustRightInd w:val="0"/>
        <w:spacing w:line="360" w:lineRule="auto"/>
        <w:ind w:firstLine="480" w:firstLineChars="200"/>
        <w:jc w:val="left"/>
        <w:rPr>
          <w:rFonts w:cs="Times New Roman" w:asciiTheme="minorEastAsia" w:hAnsiTheme="minorEastAsia"/>
          <w:kern w:val="0"/>
          <w:sz w:val="24"/>
          <w:szCs w:val="24"/>
        </w:rPr>
      </w:pPr>
      <w:r>
        <w:rPr>
          <w:rFonts w:hint="eastAsia" w:cs="Times New Roman" w:asciiTheme="minorEastAsia" w:hAnsiTheme="minorEastAsia"/>
          <w:kern w:val="0"/>
          <w:sz w:val="24"/>
          <w:szCs w:val="24"/>
        </w:rPr>
        <w:t>3、上述暂停申购或赎回情况消除的，基金管理人应于重新开放日公布最近1个开放日各类基金份额净值。</w:t>
      </w:r>
    </w:p>
    <w:p w14:paraId="79C762BF">
      <w:pPr>
        <w:autoSpaceDE w:val="0"/>
        <w:autoSpaceDN w:val="0"/>
        <w:adjustRightInd w:val="0"/>
        <w:spacing w:line="360" w:lineRule="auto"/>
        <w:ind w:firstLine="480" w:firstLineChars="200"/>
        <w:jc w:val="left"/>
        <w:rPr>
          <w:rFonts w:cs="Times New Roman" w:asciiTheme="minorEastAsia" w:hAnsiTheme="minorEastAsia"/>
          <w:kern w:val="0"/>
          <w:sz w:val="24"/>
          <w:szCs w:val="24"/>
        </w:rPr>
      </w:pPr>
      <w:r>
        <w:rPr>
          <w:rFonts w:hint="eastAsia" w:cs="Times New Roman" w:asciiTheme="minorEastAsia" w:hAnsiTheme="minorEastAsia"/>
          <w:kern w:val="0"/>
          <w:sz w:val="24"/>
          <w:szCs w:val="24"/>
        </w:rPr>
        <w:t>十一、基金转换</w:t>
      </w:r>
    </w:p>
    <w:p w14:paraId="6EFA1FEF">
      <w:pPr>
        <w:autoSpaceDE w:val="0"/>
        <w:autoSpaceDN w:val="0"/>
        <w:adjustRightInd w:val="0"/>
        <w:spacing w:line="360" w:lineRule="auto"/>
        <w:ind w:firstLine="480" w:firstLineChars="200"/>
        <w:jc w:val="left"/>
        <w:rPr>
          <w:rFonts w:cs="Times New Roman" w:asciiTheme="minorEastAsia" w:hAnsiTheme="minorEastAsia"/>
          <w:kern w:val="0"/>
          <w:sz w:val="24"/>
          <w:szCs w:val="24"/>
        </w:rPr>
      </w:pPr>
      <w:r>
        <w:rPr>
          <w:rFonts w:hint="eastAsia" w:cs="Times New Roman" w:asciiTheme="minorEastAsia" w:hAnsiTheme="minorEastAsia"/>
          <w:kern w:val="0"/>
          <w:sz w:val="24"/>
          <w:szCs w:val="24"/>
        </w:rPr>
        <w:t>基金管理人可以根据相关法律法规以及本基金合同的规定决定开办本基金与基金管理人管理的其他基金之间的转换业务，基金转换可以收取一定的转换费，相关规则由基金管理人届时根据相关法律法规及本基金合同的规定制定并公告，并提前告知基金托管人与相关机构。</w:t>
      </w:r>
    </w:p>
    <w:p w14:paraId="169BA8DB">
      <w:pPr>
        <w:autoSpaceDE w:val="0"/>
        <w:autoSpaceDN w:val="0"/>
        <w:adjustRightInd w:val="0"/>
        <w:spacing w:line="360" w:lineRule="auto"/>
        <w:ind w:firstLine="480" w:firstLineChars="200"/>
        <w:jc w:val="left"/>
        <w:rPr>
          <w:rFonts w:cs="Times New Roman" w:asciiTheme="minorEastAsia" w:hAnsiTheme="minorEastAsia"/>
          <w:kern w:val="0"/>
          <w:sz w:val="24"/>
          <w:szCs w:val="24"/>
        </w:rPr>
      </w:pPr>
      <w:r>
        <w:rPr>
          <w:rFonts w:hint="eastAsia" w:cs="Times New Roman" w:asciiTheme="minorEastAsia" w:hAnsiTheme="minorEastAsia"/>
          <w:kern w:val="0"/>
          <w:sz w:val="24"/>
          <w:szCs w:val="24"/>
        </w:rPr>
        <w:t>十二、基金份额的转让</w:t>
      </w:r>
    </w:p>
    <w:p w14:paraId="5DBBA511">
      <w:pPr>
        <w:autoSpaceDE w:val="0"/>
        <w:autoSpaceDN w:val="0"/>
        <w:adjustRightInd w:val="0"/>
        <w:spacing w:line="360" w:lineRule="auto"/>
        <w:ind w:firstLine="480" w:firstLineChars="200"/>
        <w:jc w:val="left"/>
        <w:rPr>
          <w:rFonts w:cs="Times New Roman" w:asciiTheme="minorEastAsia" w:hAnsiTheme="minorEastAsia"/>
          <w:kern w:val="0"/>
          <w:sz w:val="24"/>
          <w:szCs w:val="24"/>
        </w:rPr>
      </w:pPr>
      <w:r>
        <w:rPr>
          <w:rFonts w:hint="eastAsia" w:cs="Times New Roman" w:asciiTheme="minorEastAsia" w:hAnsiTheme="minorEastAsia"/>
          <w:kern w:val="0"/>
          <w:sz w:val="24"/>
          <w:szCs w:val="24"/>
        </w:rPr>
        <w:t>对基金份额持有人无实质不利影响，在法律法规允许且条件具备的情况下，基金管理人履行相关程序后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14:paraId="2B8CC3E6">
      <w:pPr>
        <w:autoSpaceDE w:val="0"/>
        <w:autoSpaceDN w:val="0"/>
        <w:adjustRightInd w:val="0"/>
        <w:spacing w:line="360" w:lineRule="auto"/>
        <w:ind w:firstLine="480" w:firstLineChars="200"/>
        <w:jc w:val="left"/>
        <w:rPr>
          <w:rFonts w:cs="Times New Roman" w:asciiTheme="minorEastAsia" w:hAnsiTheme="minorEastAsia"/>
          <w:kern w:val="0"/>
          <w:sz w:val="24"/>
          <w:szCs w:val="24"/>
        </w:rPr>
      </w:pPr>
      <w:r>
        <w:rPr>
          <w:rFonts w:hint="eastAsia" w:cs="Times New Roman" w:asciiTheme="minorEastAsia" w:hAnsiTheme="minorEastAsia"/>
          <w:kern w:val="0"/>
          <w:sz w:val="24"/>
          <w:szCs w:val="24"/>
        </w:rPr>
        <w:t>十三、基金的非交易过户</w:t>
      </w:r>
    </w:p>
    <w:p w14:paraId="0473084B">
      <w:pPr>
        <w:autoSpaceDE w:val="0"/>
        <w:autoSpaceDN w:val="0"/>
        <w:adjustRightInd w:val="0"/>
        <w:spacing w:line="360" w:lineRule="auto"/>
        <w:ind w:firstLine="480" w:firstLineChars="200"/>
        <w:jc w:val="left"/>
        <w:rPr>
          <w:rFonts w:cs="Times New Roman" w:asciiTheme="minorEastAsia" w:hAnsiTheme="minorEastAsia"/>
          <w:kern w:val="0"/>
          <w:sz w:val="24"/>
          <w:szCs w:val="24"/>
        </w:rPr>
      </w:pPr>
      <w:r>
        <w:rPr>
          <w:rFonts w:hint="eastAsia" w:cs="Times New Roman" w:asciiTheme="minorEastAsia" w:hAnsiTheme="minorEastAsia"/>
          <w:kern w:val="0"/>
          <w:sz w:val="24"/>
          <w:szCs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14:paraId="5A248A40">
      <w:pPr>
        <w:autoSpaceDE w:val="0"/>
        <w:autoSpaceDN w:val="0"/>
        <w:adjustRightInd w:val="0"/>
        <w:spacing w:line="360" w:lineRule="auto"/>
        <w:ind w:firstLine="480" w:firstLineChars="200"/>
        <w:jc w:val="left"/>
        <w:rPr>
          <w:rFonts w:cs="Times New Roman" w:asciiTheme="minorEastAsia" w:hAnsiTheme="minorEastAsia"/>
          <w:kern w:val="0"/>
          <w:sz w:val="24"/>
          <w:szCs w:val="24"/>
        </w:rPr>
      </w:pPr>
      <w:r>
        <w:rPr>
          <w:rFonts w:hint="eastAsia" w:cs="Times New Roman" w:asciiTheme="minorEastAsia" w:hAnsiTheme="minorEastAsia"/>
          <w:kern w:val="0"/>
          <w:sz w:val="24"/>
          <w:szCs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14:paraId="481288F4">
      <w:pPr>
        <w:autoSpaceDE w:val="0"/>
        <w:autoSpaceDN w:val="0"/>
        <w:adjustRightInd w:val="0"/>
        <w:spacing w:line="360" w:lineRule="auto"/>
        <w:ind w:firstLine="480" w:firstLineChars="200"/>
        <w:jc w:val="left"/>
        <w:rPr>
          <w:rFonts w:cs="Times New Roman" w:asciiTheme="minorEastAsia" w:hAnsiTheme="minorEastAsia"/>
          <w:kern w:val="0"/>
          <w:sz w:val="24"/>
          <w:szCs w:val="24"/>
        </w:rPr>
      </w:pPr>
      <w:r>
        <w:rPr>
          <w:rFonts w:hint="eastAsia" w:cs="Times New Roman" w:asciiTheme="minorEastAsia" w:hAnsiTheme="minorEastAsia"/>
          <w:kern w:val="0"/>
          <w:sz w:val="24"/>
          <w:szCs w:val="24"/>
        </w:rPr>
        <w:t>十四、基金的转托管</w:t>
      </w:r>
    </w:p>
    <w:p w14:paraId="30792CE2">
      <w:pPr>
        <w:autoSpaceDE w:val="0"/>
        <w:autoSpaceDN w:val="0"/>
        <w:adjustRightInd w:val="0"/>
        <w:spacing w:line="360" w:lineRule="auto"/>
        <w:ind w:firstLine="480" w:firstLineChars="200"/>
        <w:jc w:val="left"/>
        <w:rPr>
          <w:rFonts w:cs="Times New Roman" w:asciiTheme="minorEastAsia" w:hAnsiTheme="minorEastAsia"/>
          <w:kern w:val="0"/>
          <w:sz w:val="24"/>
          <w:szCs w:val="24"/>
        </w:rPr>
      </w:pPr>
      <w:r>
        <w:rPr>
          <w:rFonts w:hint="eastAsia" w:cs="Times New Roman" w:asciiTheme="minorEastAsia" w:hAnsiTheme="minorEastAsia"/>
          <w:kern w:val="0"/>
          <w:sz w:val="24"/>
          <w:szCs w:val="24"/>
        </w:rPr>
        <w:t>基金份额持有人可办理已持有基金份额在不同销售机构之间的转托管，基金销售机构可以按照规定的标准收取转托管费。</w:t>
      </w:r>
    </w:p>
    <w:p w14:paraId="44B33877">
      <w:pPr>
        <w:autoSpaceDE w:val="0"/>
        <w:autoSpaceDN w:val="0"/>
        <w:adjustRightInd w:val="0"/>
        <w:spacing w:line="360" w:lineRule="auto"/>
        <w:ind w:firstLine="480" w:firstLineChars="200"/>
        <w:jc w:val="left"/>
        <w:rPr>
          <w:rFonts w:cs="Times New Roman" w:asciiTheme="minorEastAsia" w:hAnsiTheme="minorEastAsia"/>
          <w:kern w:val="0"/>
          <w:sz w:val="24"/>
          <w:szCs w:val="24"/>
        </w:rPr>
      </w:pPr>
      <w:r>
        <w:rPr>
          <w:rFonts w:hint="eastAsia" w:cs="Times New Roman" w:asciiTheme="minorEastAsia" w:hAnsiTheme="minorEastAsia"/>
          <w:kern w:val="0"/>
          <w:sz w:val="24"/>
          <w:szCs w:val="24"/>
        </w:rPr>
        <w:t>十五、定期定额投资计划</w:t>
      </w:r>
    </w:p>
    <w:p w14:paraId="590F99C7">
      <w:pPr>
        <w:autoSpaceDE w:val="0"/>
        <w:autoSpaceDN w:val="0"/>
        <w:adjustRightInd w:val="0"/>
        <w:spacing w:line="360" w:lineRule="auto"/>
        <w:ind w:firstLine="480" w:firstLineChars="200"/>
        <w:jc w:val="left"/>
        <w:rPr>
          <w:rFonts w:cs="Times New Roman" w:asciiTheme="minorEastAsia" w:hAnsiTheme="minorEastAsia"/>
          <w:kern w:val="0"/>
          <w:sz w:val="24"/>
          <w:szCs w:val="24"/>
        </w:rPr>
      </w:pPr>
      <w:r>
        <w:rPr>
          <w:rFonts w:hint="eastAsia" w:cs="Times New Roman" w:asciiTheme="minorEastAsia" w:hAnsiTheme="minorEastAsia"/>
          <w:kern w:val="0"/>
          <w:sz w:val="24"/>
          <w:szCs w:val="24"/>
        </w:rPr>
        <w:t>基金管理人可以为投资人办理定期定额投资计划，具体规则由基金管理人另行规定。投资人在办理定期定额投资计划时可自行约定每期扣款金额，每期扣款金额必须不低于基金管理人在相关公告或更新的招募说明书中所规定的定期定额投资计划最低申购金额。</w:t>
      </w:r>
    </w:p>
    <w:p w14:paraId="128E6EBA">
      <w:pPr>
        <w:autoSpaceDE w:val="0"/>
        <w:autoSpaceDN w:val="0"/>
        <w:adjustRightInd w:val="0"/>
        <w:spacing w:line="360" w:lineRule="auto"/>
        <w:ind w:firstLine="480" w:firstLineChars="200"/>
        <w:jc w:val="left"/>
        <w:rPr>
          <w:rFonts w:cs="Times New Roman" w:asciiTheme="minorEastAsia" w:hAnsiTheme="minorEastAsia"/>
          <w:kern w:val="0"/>
          <w:sz w:val="24"/>
          <w:szCs w:val="24"/>
        </w:rPr>
      </w:pPr>
      <w:r>
        <w:rPr>
          <w:rFonts w:hint="eastAsia" w:cs="Times New Roman" w:asciiTheme="minorEastAsia" w:hAnsiTheme="minorEastAsia"/>
          <w:kern w:val="0"/>
          <w:sz w:val="24"/>
          <w:szCs w:val="24"/>
        </w:rPr>
        <w:t>十六、基金份额的冻结、解冻与质押</w:t>
      </w:r>
    </w:p>
    <w:p w14:paraId="0B85A152">
      <w:pPr>
        <w:autoSpaceDE w:val="0"/>
        <w:autoSpaceDN w:val="0"/>
        <w:adjustRightInd w:val="0"/>
        <w:spacing w:line="360" w:lineRule="auto"/>
        <w:ind w:firstLine="480" w:firstLineChars="200"/>
        <w:jc w:val="left"/>
        <w:rPr>
          <w:rFonts w:cs="Times New Roman" w:asciiTheme="minorEastAsia" w:hAnsiTheme="minorEastAsia"/>
          <w:kern w:val="0"/>
          <w:sz w:val="24"/>
          <w:szCs w:val="24"/>
        </w:rPr>
      </w:pPr>
      <w:r>
        <w:rPr>
          <w:rFonts w:hint="eastAsia" w:cs="Times New Roman" w:asciiTheme="minorEastAsia" w:hAnsiTheme="minorEastAsia"/>
          <w:kern w:val="0"/>
          <w:sz w:val="24"/>
          <w:szCs w:val="24"/>
        </w:rPr>
        <w:t>基金登记机构只受理国家有权机关依法要求的基金份额的冻结与解冻，以及登记机构认可、符合法律法规的其他情况下的冻结与解冻。基金份额被冻结的，被冻结部分产生的权益一并冻结，被冻结部分份额仍然参与收益分配与支付。法律法规或基金合同另有规定的除外。</w:t>
      </w:r>
    </w:p>
    <w:p w14:paraId="20D0A375">
      <w:pPr>
        <w:autoSpaceDE w:val="0"/>
        <w:autoSpaceDN w:val="0"/>
        <w:adjustRightInd w:val="0"/>
        <w:spacing w:line="360" w:lineRule="auto"/>
        <w:ind w:firstLine="480" w:firstLineChars="200"/>
        <w:jc w:val="left"/>
        <w:rPr>
          <w:rFonts w:cs="Times New Roman" w:asciiTheme="minorEastAsia" w:hAnsiTheme="minorEastAsia"/>
          <w:kern w:val="0"/>
          <w:sz w:val="24"/>
          <w:szCs w:val="24"/>
        </w:rPr>
      </w:pPr>
      <w:r>
        <w:rPr>
          <w:rFonts w:hint="eastAsia" w:cs="Times New Roman" w:asciiTheme="minorEastAsia" w:hAnsiTheme="minorEastAsia"/>
          <w:kern w:val="0"/>
          <w:sz w:val="24"/>
          <w:szCs w:val="24"/>
        </w:rPr>
        <w:t>对基金份额持有人无实质不利影响的前提下，如相关法律法规允许，基金管理人履行相关程序后可办理基金份额的质押业务或其他基金业务，基金管理人将制定和实施相应的业务规则。</w:t>
      </w:r>
    </w:p>
    <w:p w14:paraId="2F79EFC2">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十七、实施侧袋机制期间本基金的申购与赎回</w:t>
      </w:r>
    </w:p>
    <w:p w14:paraId="49FB09F8">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本基金实施侧袋机制的，本基金的申购和赎回安排详见招募说明书或相关公告。</w:t>
      </w:r>
    </w:p>
    <w:p w14:paraId="496E4AB3">
      <w:pPr>
        <w:widowControl/>
        <w:ind w:firstLine="200"/>
        <w:jc w:val="left"/>
        <w:rPr>
          <w:rFonts w:cs="宋体" w:asciiTheme="minorEastAsia" w:hAnsiTheme="minorEastAsia"/>
          <w:kern w:val="0"/>
          <w:sz w:val="24"/>
          <w:szCs w:val="24"/>
        </w:rPr>
        <w:sectPr>
          <w:footerReference r:id="rId9" w:type="default"/>
          <w:pgSz w:w="11906" w:h="16838"/>
          <w:pgMar w:top="1440" w:right="1800" w:bottom="1440" w:left="1800" w:header="851" w:footer="992" w:gutter="0"/>
          <w:pgNumType w:start="1"/>
          <w:cols w:space="425" w:num="1"/>
          <w:docGrid w:type="lines" w:linePitch="312" w:charSpace="0"/>
        </w:sectPr>
      </w:pPr>
    </w:p>
    <w:p w14:paraId="1EACA9A6">
      <w:pPr>
        <w:pStyle w:val="2"/>
        <w:spacing w:before="0" w:after="0" w:line="360" w:lineRule="auto"/>
        <w:ind w:firstLine="602" w:firstLineChars="200"/>
        <w:jc w:val="center"/>
        <w:rPr>
          <w:rFonts w:ascii="Times New Roman" w:hAnsi="Times New Roman"/>
          <w:kern w:val="0"/>
          <w:sz w:val="30"/>
          <w:lang w:val="zh-CN"/>
        </w:rPr>
      </w:pPr>
      <w:bookmarkStart w:id="9" w:name="_Toc471235844"/>
      <w:r>
        <w:rPr>
          <w:rFonts w:hint="eastAsia" w:ascii="Times New Roman" w:hAnsi="Times New Roman"/>
          <w:kern w:val="0"/>
          <w:sz w:val="30"/>
          <w:lang w:val="zh-CN"/>
        </w:rPr>
        <w:t>第七部分</w:t>
      </w:r>
      <w:r>
        <w:rPr>
          <w:rFonts w:ascii="Times New Roman" w:hAnsi="Times New Roman"/>
          <w:kern w:val="0"/>
          <w:sz w:val="30"/>
          <w:lang w:val="zh-CN"/>
        </w:rPr>
        <w:t xml:space="preserve"> </w:t>
      </w:r>
      <w:r>
        <w:rPr>
          <w:rFonts w:hint="eastAsia" w:ascii="Times New Roman" w:hAnsi="Times New Roman"/>
          <w:kern w:val="0"/>
          <w:sz w:val="30"/>
          <w:lang w:val="zh-CN"/>
        </w:rPr>
        <w:t>基金合同当事人及权利义务</w:t>
      </w:r>
      <w:bookmarkEnd w:id="9"/>
    </w:p>
    <w:p w14:paraId="3BF92DEA">
      <w:pPr>
        <w:autoSpaceDE w:val="0"/>
        <w:autoSpaceDN w:val="0"/>
        <w:adjustRightInd w:val="0"/>
        <w:spacing w:line="360" w:lineRule="auto"/>
        <w:ind w:firstLine="480" w:firstLineChars="200"/>
        <w:jc w:val="left"/>
        <w:rPr>
          <w:rFonts w:cs="宋体" w:asciiTheme="minorEastAsia" w:hAnsiTheme="minorEastAsia"/>
          <w:kern w:val="0"/>
          <w:sz w:val="24"/>
          <w:szCs w:val="24"/>
        </w:rPr>
      </w:pPr>
    </w:p>
    <w:p w14:paraId="79D5080E">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一、基金管理人</w:t>
      </w:r>
    </w:p>
    <w:p w14:paraId="11B47CF6">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（一）</w:t>
      </w:r>
      <w:r>
        <w:rPr>
          <w:rFonts w:hint="eastAsia" w:cs="宋体" w:asciiTheme="minorEastAsia" w:hAnsiTheme="minorEastAsia"/>
          <w:kern w:val="0"/>
          <w:sz w:val="24"/>
          <w:szCs w:val="24"/>
        </w:rPr>
        <w:tab/>
      </w:r>
      <w:r>
        <w:rPr>
          <w:rFonts w:hint="eastAsia" w:cs="宋体" w:asciiTheme="minorEastAsia" w:hAnsiTheme="minorEastAsia"/>
          <w:kern w:val="0"/>
          <w:sz w:val="24"/>
          <w:szCs w:val="24"/>
        </w:rPr>
        <w:t>基金管理人简况</w:t>
      </w:r>
    </w:p>
    <w:p w14:paraId="1A3D25E9">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名称：博时基金管理有限公司</w:t>
      </w:r>
    </w:p>
    <w:p w14:paraId="3F5F5186">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住所：深圳市福田区莲花街道福新社区益田路5999号基金大厦21层</w:t>
      </w:r>
    </w:p>
    <w:p w14:paraId="3EAD9119">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法定代表人：张东</w:t>
      </w:r>
    </w:p>
    <w:p w14:paraId="15DA26DB">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设立日期： 1998年7月13日</w:t>
      </w:r>
    </w:p>
    <w:p w14:paraId="05589193">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批准设立机关及批准设立文号：中国证监会证监基字【1998】26号</w:t>
      </w:r>
    </w:p>
    <w:p w14:paraId="29A45496">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组织形式：有限责任公司</w:t>
      </w:r>
    </w:p>
    <w:p w14:paraId="0736EEC9">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注册资本： 2.5亿元人民币</w:t>
      </w:r>
    </w:p>
    <w:p w14:paraId="79A5869B">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存续期限： 持续经营</w:t>
      </w:r>
    </w:p>
    <w:p w14:paraId="0B3FE765">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联系电话：0755-83169999</w:t>
      </w:r>
    </w:p>
    <w:p w14:paraId="5E55119D">
      <w:pPr>
        <w:autoSpaceDE w:val="0"/>
        <w:autoSpaceDN w:val="0"/>
        <w:adjustRightInd w:val="0"/>
        <w:spacing w:line="360" w:lineRule="auto"/>
        <w:ind w:firstLine="480" w:firstLineChars="200"/>
        <w:jc w:val="left"/>
        <w:rPr>
          <w:rFonts w:cs="宋体" w:asciiTheme="minorEastAsia" w:hAnsiTheme="minorEastAsia"/>
          <w:kern w:val="0"/>
          <w:sz w:val="24"/>
          <w:szCs w:val="24"/>
        </w:rPr>
      </w:pPr>
      <w:bookmarkStart w:id="10" w:name="_Hlk92371005"/>
      <w:bookmarkStart w:id="11" w:name="_Hlk92370702"/>
      <w:r>
        <w:rPr>
          <w:rFonts w:hint="eastAsia" w:cs="宋体" w:asciiTheme="minorEastAsia" w:hAnsiTheme="minorEastAsia"/>
          <w:kern w:val="0"/>
          <w:sz w:val="24"/>
          <w:szCs w:val="24"/>
        </w:rPr>
        <w:t>（二）</w:t>
      </w:r>
      <w:r>
        <w:rPr>
          <w:rFonts w:hint="eastAsia" w:cs="宋体" w:asciiTheme="minorEastAsia" w:hAnsiTheme="minorEastAsia"/>
          <w:kern w:val="0"/>
          <w:sz w:val="24"/>
          <w:szCs w:val="24"/>
        </w:rPr>
        <w:tab/>
      </w:r>
      <w:r>
        <w:rPr>
          <w:rFonts w:hint="eastAsia" w:cs="宋体" w:asciiTheme="minorEastAsia" w:hAnsiTheme="minorEastAsia"/>
          <w:kern w:val="0"/>
          <w:sz w:val="24"/>
          <w:szCs w:val="24"/>
        </w:rPr>
        <w:t>基金管理人的权利与义务</w:t>
      </w:r>
    </w:p>
    <w:p w14:paraId="6BD7DBAB">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1、根据《基金法》、《运作办法》及其他有关规定，基金管理人的权利包括但不限于：</w:t>
      </w:r>
    </w:p>
    <w:p w14:paraId="3B81C428">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（1）依法募集资金；</w:t>
      </w:r>
    </w:p>
    <w:p w14:paraId="2A01AA04">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（2）自《基金合同》生效之日起，根据法律法规和《基金合同》独立运用并管理基金财产；</w:t>
      </w:r>
    </w:p>
    <w:p w14:paraId="1073E7D0">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（3）依照《基金合同》收取基金管理费以及法律法规规定或中国证监会批准的其他费用；</w:t>
      </w:r>
    </w:p>
    <w:p w14:paraId="42FAF6FC">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（4）销售基金份额；</w:t>
      </w:r>
    </w:p>
    <w:p w14:paraId="56E5DA5C">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（5）按照规定召集基金份额持有人大会；</w:t>
      </w:r>
    </w:p>
    <w:p w14:paraId="5DD13338">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（6）依据《基金合同》及有关法律规定监督基金托管人，如认为基金托管人违反了《基金合同》及国家有关法律规定，应呈报中国证监会和其他监管部门，并采取必要措施保护基金投资者的利益；</w:t>
      </w:r>
    </w:p>
    <w:p w14:paraId="2B00BBFD">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（7）在基金托管人更换时，提名新的基金托管人；</w:t>
      </w:r>
    </w:p>
    <w:p w14:paraId="5226AF21">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 xml:space="preserve">（8）选择、更换基金销售机构，对基金销售机构的相关行为进行监督和处理； </w:t>
      </w:r>
    </w:p>
    <w:p w14:paraId="446535F9">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 xml:space="preserve">（9）担任或委托其他符合条件的机构担任基金登记机构办理基金登记业务并获得《基金合同》规定的费用； </w:t>
      </w:r>
    </w:p>
    <w:p w14:paraId="499A8C7F">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（10）依据《基金合同》及有关法律规定决定基金收益的分配方案；</w:t>
      </w:r>
      <w:r>
        <w:rPr>
          <w:rFonts w:hint="eastAsia" w:cs="宋体" w:asciiTheme="minorEastAsia" w:hAnsiTheme="minorEastAsia"/>
          <w:kern w:val="0"/>
          <w:sz w:val="24"/>
          <w:szCs w:val="24"/>
        </w:rPr>
        <w:tab/>
      </w:r>
    </w:p>
    <w:p w14:paraId="72E6F46F">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 xml:space="preserve">（11）在《基金合同》约定的范围内，拒绝或暂停受理申购、赎回与转换申请； </w:t>
      </w:r>
    </w:p>
    <w:p w14:paraId="0748C94D">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（12）依照法律法规为基金的利益对被投资公司行使股东权利，为基金的利益行使因基金财产投资于证券所产生的权利；</w:t>
      </w:r>
    </w:p>
    <w:p w14:paraId="6265CF09">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（13）在法律法规允许的前提下，为基金的利益依法为基金进行融资及转融通证券出借业务；</w:t>
      </w:r>
    </w:p>
    <w:p w14:paraId="7D1374E1">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（14）以基金管理人的名义，代表基金份额持有人的利益行使诉讼权利或者实施其他法律行为；</w:t>
      </w:r>
    </w:p>
    <w:p w14:paraId="5EE75F31">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（15）选择、更换律师事务所、会计师事务所、证券、期货经纪商或其他为基金提供服务的外部机构；</w:t>
      </w:r>
    </w:p>
    <w:p w14:paraId="54FD6CA5">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（16）在符合有关法律、法规的前提下，制订和调整有关基金申购、赎回、转换、定期定额投资和非交易过户等业务规则；</w:t>
      </w:r>
    </w:p>
    <w:p w14:paraId="4B9F34E0">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（17）代表基金份额持有人的利益行使因基金财产投资于目标ETF所产生的权利，基金合同另有约定的除外；</w:t>
      </w:r>
    </w:p>
    <w:p w14:paraId="529D2256">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（18）法律法规及中国证监会规定的和《基金合同》约定的其他权利。</w:t>
      </w:r>
    </w:p>
    <w:p w14:paraId="6EFFC873">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2、根据《基金法》、《运作办法》及其他有关规定，基金管理人的义务包括但不限于：</w:t>
      </w:r>
    </w:p>
    <w:p w14:paraId="3949384C">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（1）依法募集资金，办理或者委托经中国证监会认定的其他机构代为办理基金份额的申购、赎回和登记事宜；</w:t>
      </w:r>
    </w:p>
    <w:p w14:paraId="153AAAC9">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（2）办理基金备案手续；</w:t>
      </w:r>
    </w:p>
    <w:p w14:paraId="5B8CC913">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（3）自《基金合同》生效之日起，以诚实信用、谨慎勤勉的原则管理和运用基金财产；</w:t>
      </w:r>
    </w:p>
    <w:p w14:paraId="295DB1D7">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（4）配备足够的具有专业资格的人员进行基金投资分析、决策，以专业化的经营方式管理和运作基金财产；</w:t>
      </w:r>
    </w:p>
    <w:p w14:paraId="4D5C2920">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（5）建立健全内部风险控制、监察与稽核、财务管理及人事管理等制度，保证所管理的基金财产和基金管理人的财产相互独立，对所管理的不同基金分别管理，分别记账，进行证券投资；</w:t>
      </w:r>
    </w:p>
    <w:p w14:paraId="4EBE423A">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（6）除依据《基金法》、《基金合同》及其他有关规定外，不得利用基金财产为自己及任何第三人谋取利益，不得委托第三人运作基金财产；</w:t>
      </w:r>
    </w:p>
    <w:p w14:paraId="0A2C8E1D">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（7）依法接受基金托管人的监督；</w:t>
      </w:r>
    </w:p>
    <w:p w14:paraId="2862074B">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（8）采取适当合理的措施使计算基金份额申购、赎回和注销价格的方法符合《基金合同》等法律文件的规定，按有关规定计算并公告基金净值信息，确定基金份额申购、赎回的价格；</w:t>
      </w:r>
    </w:p>
    <w:p w14:paraId="025C8EEE">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（9）进行基金会计核算并编制基金财务会计报告；</w:t>
      </w:r>
    </w:p>
    <w:p w14:paraId="0EDDA63E">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（10）编制季度报告、中期报告和年度报告；</w:t>
      </w:r>
    </w:p>
    <w:p w14:paraId="54D4F335">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（11）严格按照《基金法》、《基金合同》及其他有关规定，履行信息披露及报告义务；</w:t>
      </w:r>
    </w:p>
    <w:p w14:paraId="0B6FC0C2">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12）保守基金商业秘密，不泄露基金投资计划、投资意向等。除《基金法》、《基金合同》及其他有关规定另有规定外，在基金信息公开披露前应予保密，不向他人泄露，但因监管机构、司法机关等有权机关要求，或因审计、法律等外部专业顾问提供服务需要提供的情况除外；</w:t>
      </w:r>
    </w:p>
    <w:p w14:paraId="78C7B268">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（13）按《基金合同》的约定确定基金收益分配方案，及时向基金份额持有人分配基金收益；</w:t>
      </w:r>
    </w:p>
    <w:p w14:paraId="628EF2AE">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（14）按规定受理申购与赎回申请，及时、足额支付赎回款项；</w:t>
      </w:r>
    </w:p>
    <w:p w14:paraId="0435BF95">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（15）依据《基金法》、《基金合同》及其他有关规定召集基金份额持有人大会或配合基金托管人、基金份额持有人依法召集基金份额持有人大会；</w:t>
      </w:r>
    </w:p>
    <w:p w14:paraId="33E7F675">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（16）按规定保存基金财产管理业务活动的会计账册、报表、记录和其他相关资料不低于法律法规规定的最低期限；</w:t>
      </w:r>
    </w:p>
    <w:p w14:paraId="435E7A12">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14:paraId="4C127404">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（18）组织并参加基金财产清算小组，参与基金财产的保管、清理、估价、变现和分配；</w:t>
      </w:r>
    </w:p>
    <w:p w14:paraId="080B8E53">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（19）面临解散、依法被撤销或者被依法宣告破产时，及时报告中国证监会并通知基金托管人；</w:t>
      </w:r>
    </w:p>
    <w:p w14:paraId="56C90350">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（20）因违反《基金合同》导致基金财产的损失或损害基金份额持有人合法权益时，应当承担赔偿责任，其赔偿责任不因其退任而免除；</w:t>
      </w:r>
    </w:p>
    <w:p w14:paraId="5193DE84">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（21）监督基金托管人按法律法规和《基金合同》规定履行自己的义务，基金托管人违反《基金合同》造成基金财产损失时，基金管理人应为基金份额持有人利益向基金托管人追偿；</w:t>
      </w:r>
    </w:p>
    <w:p w14:paraId="7FD7B588">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（22）当基金管理人将其义务委托第三方处理时，应当对第三方处理有关基金事务的行为承担责任；</w:t>
      </w:r>
    </w:p>
    <w:p w14:paraId="1212D408">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（23）以基金管理人名义，代表基金份额持有人利益行使诉讼权利或实施其他法律行为；</w:t>
      </w:r>
      <w:r>
        <w:rPr>
          <w:rFonts w:hint="eastAsia" w:cs="宋体" w:asciiTheme="minorEastAsia" w:hAnsiTheme="minorEastAsia"/>
          <w:kern w:val="0"/>
          <w:sz w:val="24"/>
          <w:szCs w:val="24"/>
        </w:rPr>
        <w:tab/>
      </w:r>
    </w:p>
    <w:p w14:paraId="091D22BA">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（24）执行生效的基金份额持有人大会的决议；</w:t>
      </w:r>
    </w:p>
    <w:p w14:paraId="046A0E33">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（25）建立并保存基金份额持有人名册；</w:t>
      </w:r>
    </w:p>
    <w:p w14:paraId="482FC01F">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（26）法律法规及中国证监会规定的和《基金合同》约定的其他义务。</w:t>
      </w:r>
    </w:p>
    <w:bookmarkEnd w:id="10"/>
    <w:p w14:paraId="64A0F346">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二、基金托管人</w:t>
      </w:r>
    </w:p>
    <w:p w14:paraId="38F9465B">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（一）</w:t>
      </w:r>
      <w:r>
        <w:rPr>
          <w:rFonts w:hint="eastAsia" w:cs="宋体" w:asciiTheme="minorEastAsia" w:hAnsiTheme="minorEastAsia"/>
          <w:kern w:val="0"/>
          <w:sz w:val="24"/>
          <w:szCs w:val="24"/>
        </w:rPr>
        <w:tab/>
      </w:r>
      <w:r>
        <w:rPr>
          <w:rFonts w:hint="eastAsia" w:cs="宋体" w:asciiTheme="minorEastAsia" w:hAnsiTheme="minorEastAsia"/>
          <w:kern w:val="0"/>
          <w:sz w:val="24"/>
          <w:szCs w:val="24"/>
        </w:rPr>
        <w:t>基金托管人简况</w:t>
      </w:r>
    </w:p>
    <w:p w14:paraId="3B70EA81">
      <w:pPr>
        <w:spacing w:line="360" w:lineRule="auto"/>
        <w:ind w:firstLine="480" w:firstLineChars="200"/>
        <w:rPr>
          <w:rFonts w:cs="宋体" w:asciiTheme="minorEastAsia" w:hAnsiTheme="minorEastAsia"/>
          <w:kern w:val="0"/>
          <w:sz w:val="24"/>
          <w:szCs w:val="24"/>
        </w:rPr>
      </w:pPr>
      <w:bookmarkStart w:id="12" w:name="_Toc382819070"/>
      <w:r>
        <w:rPr>
          <w:rFonts w:hint="eastAsia" w:cs="宋体" w:asciiTheme="minorEastAsia" w:hAnsiTheme="minorEastAsia"/>
          <w:kern w:val="0"/>
          <w:sz w:val="24"/>
          <w:szCs w:val="24"/>
        </w:rPr>
        <w:t>名称：交通银行股份有限公司（简称：交通银行）</w:t>
      </w:r>
    </w:p>
    <w:p w14:paraId="1333ECAA">
      <w:pPr>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住所：中国（上海）自由贸易试验区银城中路188号</w:t>
      </w:r>
    </w:p>
    <w:bookmarkEnd w:id="12"/>
    <w:p w14:paraId="6B95D967">
      <w:pPr>
        <w:spacing w:line="360" w:lineRule="auto"/>
        <w:ind w:firstLine="480" w:firstLineChars="200"/>
        <w:rPr>
          <w:rFonts w:ascii="宋体" w:hAnsi="宋体"/>
          <w:sz w:val="24"/>
        </w:rPr>
      </w:pPr>
      <w:r>
        <w:rPr>
          <w:rFonts w:hint="eastAsia" w:ascii="宋体" w:hAnsi="宋体"/>
          <w:sz w:val="24"/>
        </w:rPr>
        <w:t>办公地址：上海市长宁区仙霞路18号（邮政编码：200336）</w:t>
      </w:r>
    </w:p>
    <w:p w14:paraId="55B207E2">
      <w:pPr>
        <w:spacing w:line="360" w:lineRule="auto"/>
        <w:ind w:firstLine="480" w:firstLineChars="200"/>
        <w:rPr>
          <w:rFonts w:ascii="宋体" w:hAnsi="宋体"/>
          <w:sz w:val="24"/>
        </w:rPr>
      </w:pPr>
      <w:r>
        <w:rPr>
          <w:rFonts w:hint="eastAsia" w:ascii="宋体" w:hAnsi="宋体"/>
          <w:sz w:val="24"/>
        </w:rPr>
        <w:t>法定代表人：任德奇</w:t>
      </w:r>
    </w:p>
    <w:p w14:paraId="5F37E16E">
      <w:pPr>
        <w:spacing w:line="360" w:lineRule="auto"/>
        <w:ind w:firstLine="480" w:firstLineChars="200"/>
        <w:rPr>
          <w:rFonts w:ascii="宋体" w:hAnsi="宋体"/>
          <w:sz w:val="24"/>
        </w:rPr>
      </w:pPr>
      <w:r>
        <w:rPr>
          <w:rFonts w:hint="eastAsia" w:ascii="宋体" w:hAnsi="宋体"/>
          <w:sz w:val="24"/>
        </w:rPr>
        <w:t>成立时间：1987年3月30日</w:t>
      </w:r>
    </w:p>
    <w:p w14:paraId="0D299AFA">
      <w:pPr>
        <w:spacing w:line="360" w:lineRule="auto"/>
        <w:ind w:firstLine="480" w:firstLineChars="200"/>
        <w:rPr>
          <w:rFonts w:ascii="宋体" w:hAnsi="宋体"/>
          <w:sz w:val="24"/>
        </w:rPr>
      </w:pPr>
      <w:r>
        <w:rPr>
          <w:rFonts w:hint="eastAsia" w:ascii="宋体" w:hAnsi="宋体"/>
          <w:sz w:val="24"/>
        </w:rPr>
        <w:t>批准设立机关及批准设立文号：国务院国发(1986)字第81 号文和中国人民银行银发［1987］40号文</w:t>
      </w:r>
    </w:p>
    <w:p w14:paraId="53586280">
      <w:pPr>
        <w:spacing w:line="360" w:lineRule="auto"/>
        <w:ind w:firstLine="480" w:firstLineChars="200"/>
        <w:rPr>
          <w:rFonts w:ascii="宋体" w:hAnsi="宋体"/>
          <w:sz w:val="24"/>
        </w:rPr>
      </w:pPr>
      <w:r>
        <w:rPr>
          <w:rFonts w:hint="eastAsia" w:ascii="宋体" w:hAnsi="宋体"/>
          <w:sz w:val="24"/>
        </w:rPr>
        <w:t>基金托管业务批准文号：中国证监会证监基字［1998］25号</w:t>
      </w:r>
    </w:p>
    <w:p w14:paraId="3B19BBA4">
      <w:pPr>
        <w:spacing w:line="360" w:lineRule="auto"/>
        <w:ind w:firstLine="480" w:firstLineChars="200"/>
        <w:rPr>
          <w:rFonts w:ascii="宋体" w:hAnsi="宋体"/>
          <w:sz w:val="24"/>
        </w:rPr>
      </w:pPr>
      <w:r>
        <w:rPr>
          <w:rFonts w:hint="eastAsia" w:ascii="宋体" w:hAnsi="宋体"/>
          <w:sz w:val="24"/>
        </w:rPr>
        <w:t>注册资本：883.64亿元人民币</w:t>
      </w:r>
    </w:p>
    <w:p w14:paraId="70C5BEBC">
      <w:pPr>
        <w:spacing w:line="360" w:lineRule="auto"/>
        <w:ind w:firstLine="480" w:firstLineChars="200"/>
        <w:rPr>
          <w:rFonts w:ascii="宋体" w:hAnsi="宋体"/>
          <w:sz w:val="24"/>
        </w:rPr>
      </w:pPr>
      <w:r>
        <w:rPr>
          <w:rFonts w:hint="eastAsia" w:ascii="宋体" w:hAnsi="宋体"/>
          <w:sz w:val="24"/>
        </w:rPr>
        <w:t>组织形式：股份有限公司</w:t>
      </w:r>
    </w:p>
    <w:p w14:paraId="1B5D1B50">
      <w:pPr>
        <w:autoSpaceDE w:val="0"/>
        <w:autoSpaceDN w:val="0"/>
        <w:adjustRightInd w:val="0"/>
        <w:spacing w:line="360" w:lineRule="auto"/>
        <w:ind w:firstLine="480" w:firstLineChars="200"/>
        <w:jc w:val="left"/>
        <w:rPr>
          <w:rFonts w:hint="eastAsia" w:ascii="宋体" w:hAnsi="宋体"/>
          <w:sz w:val="24"/>
        </w:rPr>
      </w:pPr>
      <w:r>
        <w:rPr>
          <w:rFonts w:hint="eastAsia" w:ascii="宋体" w:hAnsi="宋体"/>
          <w:sz w:val="24"/>
        </w:rPr>
        <w:t>存续期间：持续经营</w:t>
      </w:r>
    </w:p>
    <w:p w14:paraId="74807B15">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（二）</w:t>
      </w:r>
      <w:r>
        <w:rPr>
          <w:rFonts w:hint="eastAsia" w:cs="宋体" w:asciiTheme="minorEastAsia" w:hAnsiTheme="minorEastAsia"/>
          <w:kern w:val="0"/>
          <w:sz w:val="24"/>
          <w:szCs w:val="24"/>
        </w:rPr>
        <w:tab/>
      </w:r>
      <w:r>
        <w:rPr>
          <w:rFonts w:hint="eastAsia" w:cs="宋体" w:asciiTheme="minorEastAsia" w:hAnsiTheme="minorEastAsia"/>
          <w:kern w:val="0"/>
          <w:sz w:val="24"/>
          <w:szCs w:val="24"/>
        </w:rPr>
        <w:t>基金托管人的权利与义务</w:t>
      </w:r>
    </w:p>
    <w:p w14:paraId="6E8BABCC">
      <w:pPr>
        <w:autoSpaceDE w:val="0"/>
        <w:autoSpaceDN w:val="0"/>
        <w:adjustRightInd w:val="0"/>
        <w:spacing w:line="360" w:lineRule="auto"/>
        <w:ind w:firstLine="480" w:firstLineChars="200"/>
        <w:jc w:val="left"/>
        <w:rPr>
          <w:rFonts w:cs="宋体" w:asciiTheme="minorEastAsia" w:hAnsiTheme="minorEastAsia"/>
          <w:kern w:val="0"/>
          <w:sz w:val="24"/>
          <w:szCs w:val="24"/>
        </w:rPr>
      </w:pPr>
      <w:bookmarkStart w:id="13" w:name="_Hlk92371122"/>
      <w:r>
        <w:rPr>
          <w:rFonts w:hint="eastAsia" w:cs="宋体" w:asciiTheme="minorEastAsia" w:hAnsiTheme="minorEastAsia"/>
          <w:kern w:val="0"/>
          <w:sz w:val="24"/>
          <w:szCs w:val="24"/>
        </w:rPr>
        <w:t>1、根据《基金法》、《运作办法》及其他有关规定，基金托管人的权利包括但不限于：</w:t>
      </w:r>
    </w:p>
    <w:p w14:paraId="1EA97B94">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（1）自《基金合同》生效之日起，依法律法规和《基金合同》的规定安全保管基金财产；</w:t>
      </w:r>
    </w:p>
    <w:p w14:paraId="0EB1DB38">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（2）依《基金合同》约定获得基金托管费以及法律法规规定或监管部门批准的其他费用；</w:t>
      </w:r>
    </w:p>
    <w:p w14:paraId="2EEAF690">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14:paraId="67132EDD">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（4）根据相关市场规则，为基金开设资金账户、证券账户等投资所需账户，为基金办理证券、期货交易资金清算；</w:t>
      </w:r>
    </w:p>
    <w:p w14:paraId="58CC662B">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（5）提议召开或召集基金份额持有人大会；</w:t>
      </w:r>
    </w:p>
    <w:p w14:paraId="36AA8471">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（6）在基金管理人更换时，提名新的基金管理人；</w:t>
      </w:r>
    </w:p>
    <w:p w14:paraId="64DEEA59">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（7）法律法规及中国证监会规定的和《基金合同》约定的其他权利。</w:t>
      </w:r>
    </w:p>
    <w:p w14:paraId="100E971F">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2、根据《基金法》、《运作办法》及其他有关规定，基金托管人的义务包括但不限于：</w:t>
      </w:r>
    </w:p>
    <w:p w14:paraId="1B52A66E">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（1）以诚实信用、勤勉尽责的原则持有并安全保管基金财产；</w:t>
      </w:r>
    </w:p>
    <w:p w14:paraId="09767F51">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（2）设立专门的基金托管部门，具有符合要求的营业场所，配备足够的、合格的熟悉基金托管业务的专职人员，负责基金财产托管事宜；</w:t>
      </w:r>
    </w:p>
    <w:p w14:paraId="12935FC5">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14:paraId="76730A27">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（4）除依据《基金法》、《基金合同》及其他有关规定外，不得利用基金财产为自己及任何第三人谋取利益，不得委托第三人托管基金财产；</w:t>
      </w:r>
    </w:p>
    <w:p w14:paraId="48DEA941">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（5）保管由基金管理人代表基金签订的与基金有关的重大合同及有关凭证；</w:t>
      </w:r>
    </w:p>
    <w:p w14:paraId="6AE4BE14">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（6）按规定开设基金财产的资金账户和证券账户等投资所需账户，按照《基金合同》的约定，根据基金管理人的投资指令，及时办理清算、交割事宜；</w:t>
      </w:r>
    </w:p>
    <w:p w14:paraId="1F183A99">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7）保守基金商业秘密，除《基金法》、《基金合同》及其他有关规定另有规定外，在基金信息公开披露前予以保密，不得向他人泄露，但因监管机构、司法机关等有权机关要求，或因审计、法律等外部专业顾问提供服务需要提供的情况除外；</w:t>
      </w:r>
    </w:p>
    <w:p w14:paraId="4939205B">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（8）复核、审查基金管理人计算的基金资产净值、各类基金份额净值、基金份额申购、赎回价格；</w:t>
      </w:r>
    </w:p>
    <w:p w14:paraId="2354C9AE">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（9）办理与基金托管业务活动有关的信息披露事项；</w:t>
      </w:r>
    </w:p>
    <w:p w14:paraId="069974F2">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14:paraId="566BBAFF">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（11）保存基金托管业务活动的记录、账册、报表和其他相关资料不低于法律法规规定的最低期限；</w:t>
      </w:r>
    </w:p>
    <w:p w14:paraId="409455CC">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（12）从基金管理人或其委托的登记机构处接收并保存基金份额持有人名册；</w:t>
      </w:r>
    </w:p>
    <w:p w14:paraId="20CA8AB3">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（13）按规定制作相关账册并与基金管理人核对；</w:t>
      </w:r>
    </w:p>
    <w:p w14:paraId="42650771">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（14）依据基金管理人的指令或有关规定向基金份额持有人支付基金收益和赎回款项；</w:t>
      </w:r>
    </w:p>
    <w:p w14:paraId="79E77C14">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（15）依据《基金法》、《基金合同》及其他有关规定，召集基金份额持有人大会或配合基金管理人、基金份额持有人依法召集基金份额持有人大会；</w:t>
      </w:r>
    </w:p>
    <w:p w14:paraId="0FDCC857">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（16）按照法律法规和《基金合同》的规定监督基金管理人的投资运作；</w:t>
      </w:r>
    </w:p>
    <w:p w14:paraId="7936E9DD">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（17）参加基金财产清算小组，参与基金财产的保管、清理、估价、变现和分配；</w:t>
      </w:r>
    </w:p>
    <w:p w14:paraId="2182A118">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（18）面临解散、依法被撤销或者被依法宣告破产时，及时报告中国证监会和银行业监督管理机构，并通知基金管理人；</w:t>
      </w:r>
    </w:p>
    <w:p w14:paraId="0DAAC208">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（19）因违反《基金合同》导致基金财产损失时，应承担赔偿责任，其赔偿责任不因其退任而免除；</w:t>
      </w:r>
    </w:p>
    <w:p w14:paraId="10F4CE1B">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（20）按规定监督基金管理人按法律法规和《基金合同》规定履行自己的义务，基金管理人因违反《基金合同》造成基金财产损失时，应为基金份额持有人利益向基金管理人追偿；</w:t>
      </w:r>
    </w:p>
    <w:p w14:paraId="3A7FA4A8">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（21）执行生效的基金份额持有人大会的决议；</w:t>
      </w:r>
    </w:p>
    <w:p w14:paraId="6A2E2CE5">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（22）法律法规及中国证监会规定的和《基金合同》约定的其他义务。</w:t>
      </w:r>
    </w:p>
    <w:bookmarkEnd w:id="13"/>
    <w:p w14:paraId="6A0C4FF1">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三、基金份额持有人</w:t>
      </w:r>
    </w:p>
    <w:p w14:paraId="2B803AC6">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基金投资者持有本基金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w:t>
      </w:r>
    </w:p>
    <w:p w14:paraId="68645EE8">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除法律法规另有规定或本基金合同另有约定外，同一类别每份基金份额具有同等的合法权益。</w:t>
      </w:r>
    </w:p>
    <w:p w14:paraId="451D7F5C">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1、根据《基金法》、《运作办法》及其他有关规定，基金份额持有人的权利包括但不限于：</w:t>
      </w:r>
    </w:p>
    <w:p w14:paraId="27C5B00D">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（1）分享基金财产收益；</w:t>
      </w:r>
    </w:p>
    <w:p w14:paraId="7ED7CA2D">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（2）参与分配清算后的剩余基金财产；</w:t>
      </w:r>
    </w:p>
    <w:p w14:paraId="4DA21C67">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（3）依法转让或者申请赎回其持有的基金份额；</w:t>
      </w:r>
    </w:p>
    <w:p w14:paraId="71D97FE6">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（4）按照规定要求召开基金份额持有人大会或者召集基金份额持有人大会；</w:t>
      </w:r>
    </w:p>
    <w:p w14:paraId="7D5B3E35">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（5）出席或者委派代表出席</w:t>
      </w:r>
      <w:r>
        <w:rPr>
          <w:rFonts w:hint="eastAsia" w:ascii="宋体" w:hAnsi="宋体" w:eastAsia="宋体" w:cs="宋体"/>
          <w:sz w:val="24"/>
          <w:szCs w:val="24"/>
        </w:rPr>
        <w:t>本基金或目标</w:t>
      </w:r>
      <w:r>
        <w:rPr>
          <w:rFonts w:ascii="宋体" w:hAnsi="宋体" w:eastAsia="宋体" w:cs="宋体"/>
          <w:sz w:val="24"/>
          <w:szCs w:val="24"/>
        </w:rPr>
        <w:t>ETF</w:t>
      </w:r>
      <w:r>
        <w:rPr>
          <w:rFonts w:hint="eastAsia" w:ascii="宋体" w:hAnsi="宋体" w:eastAsia="宋体" w:cs="宋体"/>
          <w:sz w:val="24"/>
          <w:szCs w:val="24"/>
        </w:rPr>
        <w:t>的</w:t>
      </w:r>
      <w:r>
        <w:rPr>
          <w:rFonts w:hint="eastAsia" w:cs="宋体" w:asciiTheme="minorEastAsia" w:hAnsiTheme="minorEastAsia"/>
          <w:kern w:val="0"/>
          <w:sz w:val="24"/>
          <w:szCs w:val="24"/>
        </w:rPr>
        <w:t>基金份额持有人大会，对</w:t>
      </w:r>
      <w:r>
        <w:rPr>
          <w:rFonts w:hint="eastAsia" w:cs="宋体"/>
          <w:sz w:val="24"/>
          <w:szCs w:val="24"/>
        </w:rPr>
        <w:t>本</w:t>
      </w:r>
      <w:r>
        <w:rPr>
          <w:rFonts w:hint="eastAsia" w:ascii="宋体" w:hAnsi="宋体" w:eastAsia="宋体" w:cs="宋体"/>
          <w:sz w:val="24"/>
          <w:szCs w:val="24"/>
        </w:rPr>
        <w:t>基金或目标</w:t>
      </w:r>
      <w:r>
        <w:rPr>
          <w:rFonts w:ascii="宋体" w:hAnsi="宋体" w:eastAsia="宋体" w:cs="宋体"/>
          <w:sz w:val="24"/>
          <w:szCs w:val="24"/>
        </w:rPr>
        <w:t>ETF</w:t>
      </w:r>
      <w:r>
        <w:rPr>
          <w:rFonts w:hint="eastAsia" w:ascii="宋体" w:hAnsi="宋体" w:eastAsia="宋体" w:cs="宋体"/>
          <w:sz w:val="24"/>
          <w:szCs w:val="24"/>
        </w:rPr>
        <w:t>的</w:t>
      </w:r>
      <w:r>
        <w:rPr>
          <w:rFonts w:hint="eastAsia" w:cs="宋体" w:asciiTheme="minorEastAsia" w:hAnsiTheme="minorEastAsia"/>
          <w:kern w:val="0"/>
          <w:sz w:val="24"/>
          <w:szCs w:val="24"/>
        </w:rPr>
        <w:t>基金份额持有人大会审议事项行使表决权；</w:t>
      </w:r>
    </w:p>
    <w:p w14:paraId="3AD3E5E7">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（6）查阅或者复制公开披露的基金信息资料；</w:t>
      </w:r>
    </w:p>
    <w:p w14:paraId="41854AFD">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（7）监督基金管理人的投资运作；</w:t>
      </w:r>
    </w:p>
    <w:p w14:paraId="5E631C75">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（8）对基金管理人、基金托管人、基金服务机构损害其合法权益的行为依法提起诉讼或仲裁；</w:t>
      </w:r>
    </w:p>
    <w:p w14:paraId="0BE70A58">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（9）法律法规及中国证监会规定的和《基金合同》约定的其他权利。</w:t>
      </w:r>
    </w:p>
    <w:p w14:paraId="7F8814D9">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2、根据《基金法》、《运作办法》及其他有关规定，基金份额持有人的义务包括但不限于：</w:t>
      </w:r>
    </w:p>
    <w:p w14:paraId="1EE5E545">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（1）认真阅读并遵守《基金合同》、招募说明书等信息披露文件；</w:t>
      </w:r>
    </w:p>
    <w:p w14:paraId="1F46CA90">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（2）了解所投资基金产品，了解自身风险承受能力，自主判断基金的投资价值，自主做出投资决策，自行承担投资风险；</w:t>
      </w:r>
    </w:p>
    <w:p w14:paraId="1B863134">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（3）关注基金信息披露，及时行使权利和履行义务；</w:t>
      </w:r>
    </w:p>
    <w:p w14:paraId="7915854C">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（4）交纳基金申购款项及法律法规和《基金合同》所规定的费用；</w:t>
      </w:r>
    </w:p>
    <w:p w14:paraId="767B6F05">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（5）在其持有的基金份额范围内，承担基金亏损或者《基金合同》终止的有限责任；</w:t>
      </w:r>
    </w:p>
    <w:p w14:paraId="15DB72FC">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（6）不从事任何有损基金及其他《基金合同》当事人合法权益的活动；</w:t>
      </w:r>
    </w:p>
    <w:p w14:paraId="1A0EAC43">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（7）执行生效的基金份额持有人大会的决议；</w:t>
      </w:r>
    </w:p>
    <w:p w14:paraId="603BEDB2">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（8）返还在基金交易过程中因任何原因获得的不当得利；</w:t>
      </w:r>
    </w:p>
    <w:p w14:paraId="528BD144">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（9）法律法规及中国证监会规定的和《基金合同》约定的其他义务。</w:t>
      </w:r>
    </w:p>
    <w:bookmarkEnd w:id="11"/>
    <w:p w14:paraId="627AB599">
      <w:pPr>
        <w:widowControl/>
        <w:ind w:firstLine="200"/>
        <w:jc w:val="left"/>
        <w:rPr>
          <w:rFonts w:cs="宋体" w:asciiTheme="minorEastAsia" w:hAnsiTheme="minorEastAsia"/>
          <w:kern w:val="0"/>
          <w:sz w:val="24"/>
          <w:szCs w:val="24"/>
        </w:rPr>
        <w:sectPr>
          <w:footerReference r:id="rId10" w:type="default"/>
          <w:pgSz w:w="11906" w:h="16838"/>
          <w:pgMar w:top="1440" w:right="1800" w:bottom="1440" w:left="1800" w:header="851" w:footer="992" w:gutter="0"/>
          <w:pgNumType w:start="1"/>
          <w:cols w:space="425" w:num="1"/>
          <w:docGrid w:type="lines" w:linePitch="312" w:charSpace="0"/>
        </w:sectPr>
      </w:pPr>
    </w:p>
    <w:p w14:paraId="37BE78BD">
      <w:pPr>
        <w:pStyle w:val="2"/>
        <w:spacing w:before="0" w:after="0" w:line="360" w:lineRule="auto"/>
        <w:ind w:firstLine="602" w:firstLineChars="200"/>
        <w:jc w:val="center"/>
        <w:rPr>
          <w:rFonts w:ascii="Times New Roman" w:hAnsi="Times New Roman"/>
          <w:kern w:val="0"/>
          <w:sz w:val="30"/>
          <w:lang w:val="zh-CN"/>
        </w:rPr>
      </w:pPr>
      <w:bookmarkStart w:id="14" w:name="_Toc471235845"/>
      <w:r>
        <w:rPr>
          <w:rFonts w:hint="eastAsia" w:ascii="Times New Roman" w:hAnsi="Times New Roman"/>
          <w:kern w:val="0"/>
          <w:sz w:val="30"/>
          <w:lang w:val="zh-CN"/>
        </w:rPr>
        <w:t>第八部分</w:t>
      </w:r>
      <w:r>
        <w:rPr>
          <w:rFonts w:ascii="Times New Roman" w:hAnsi="Times New Roman"/>
          <w:kern w:val="0"/>
          <w:sz w:val="30"/>
          <w:lang w:val="zh-CN"/>
        </w:rPr>
        <w:t xml:space="preserve"> </w:t>
      </w:r>
      <w:r>
        <w:rPr>
          <w:rFonts w:hint="eastAsia" w:ascii="Times New Roman" w:hAnsi="Times New Roman"/>
          <w:kern w:val="0"/>
          <w:sz w:val="30"/>
          <w:lang w:val="zh-CN"/>
        </w:rPr>
        <w:t>基金份额持有人大会</w:t>
      </w:r>
      <w:bookmarkEnd w:id="14"/>
    </w:p>
    <w:p w14:paraId="770EF53D">
      <w:pPr>
        <w:autoSpaceDE w:val="0"/>
        <w:autoSpaceDN w:val="0"/>
        <w:adjustRightInd w:val="0"/>
        <w:spacing w:line="360" w:lineRule="auto"/>
        <w:ind w:firstLine="480" w:firstLineChars="200"/>
        <w:jc w:val="left"/>
        <w:rPr>
          <w:rFonts w:cs="宋体" w:asciiTheme="minorEastAsia" w:hAnsiTheme="minorEastAsia"/>
          <w:kern w:val="0"/>
          <w:sz w:val="24"/>
          <w:szCs w:val="24"/>
        </w:rPr>
      </w:pPr>
    </w:p>
    <w:p w14:paraId="7B6199F0">
      <w:pPr>
        <w:autoSpaceDE w:val="0"/>
        <w:autoSpaceDN w:val="0"/>
        <w:adjustRightInd w:val="0"/>
        <w:spacing w:line="360" w:lineRule="auto"/>
        <w:ind w:firstLine="480" w:firstLineChars="200"/>
        <w:jc w:val="left"/>
        <w:rPr>
          <w:rFonts w:cs="宋体" w:asciiTheme="minorEastAsia" w:hAnsiTheme="minorEastAsia"/>
          <w:kern w:val="0"/>
          <w:sz w:val="24"/>
          <w:szCs w:val="24"/>
        </w:rPr>
      </w:pPr>
      <w:bookmarkStart w:id="15" w:name="_Hlk92371252"/>
      <w:r>
        <w:rPr>
          <w:rFonts w:hint="eastAsia" w:cs="宋体" w:asciiTheme="minorEastAsia" w:hAnsiTheme="minorEastAsia"/>
          <w:kern w:val="0"/>
          <w:sz w:val="24"/>
          <w:szCs w:val="24"/>
        </w:rPr>
        <w:t>基金份额持有人大会由基金份额持有人组成，基金份额持有人的合法授权代表有权代表基金份额持有人出席会议并表决。除法律法规另有规定或本基金合同另有约定外，基金份额持有人持有的每一基金份额拥有平等的投票权。</w:t>
      </w:r>
    </w:p>
    <w:p w14:paraId="3C5D72FB">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本基金份额持有人大会不设日常机构。</w:t>
      </w:r>
    </w:p>
    <w:p w14:paraId="4602CD79">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一、召开事由</w:t>
      </w:r>
    </w:p>
    <w:p w14:paraId="599F2720">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1、除法律法规和中国证监会另有规定或《基金合同》另有约定外，当出现或需要决定下列事由之一的，应当召开基金份额持有人大会：</w:t>
      </w:r>
    </w:p>
    <w:p w14:paraId="15CE2B59">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（1）终止《基金合同》；</w:t>
      </w:r>
    </w:p>
    <w:p w14:paraId="01F3737D">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（2）更换基金管理人；</w:t>
      </w:r>
    </w:p>
    <w:p w14:paraId="100A6622">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（3）更换基金托管人；</w:t>
      </w:r>
    </w:p>
    <w:p w14:paraId="15F1F060">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（4）转换基金运作方式；</w:t>
      </w:r>
    </w:p>
    <w:p w14:paraId="20FF0190">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（5）调整基金管理人、基金托管人的报酬标准或提高销售服务费率；</w:t>
      </w:r>
    </w:p>
    <w:p w14:paraId="3B6DC576">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（6）变更基金类别；</w:t>
      </w:r>
    </w:p>
    <w:p w14:paraId="1039726A">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（7）本基金与其他基金的合并；</w:t>
      </w:r>
    </w:p>
    <w:p w14:paraId="21CF11DE">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（8）变更基金投资目标、范围或策略；</w:t>
      </w:r>
    </w:p>
    <w:p w14:paraId="06C39693">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（9）变更基金份额持有人大会程序；</w:t>
      </w:r>
    </w:p>
    <w:p w14:paraId="6D4FE006">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（10）基金管理人或基金托管人要求召开基金份额持有人大会；</w:t>
      </w:r>
    </w:p>
    <w:p w14:paraId="1FF2533E">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（11）单独或合计持有本基金总份额10%以上（含10%）基金份额的基金份额持有人（以基金管理人收到提议当日的基金份额计算，下同）就同一事项书面要求召开基金份额持有人大会；</w:t>
      </w:r>
    </w:p>
    <w:p w14:paraId="7B2477B3">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（12）对基金合同当事人权利和义务产生重大影响的其他事项；</w:t>
      </w:r>
    </w:p>
    <w:p w14:paraId="7393B162">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（13）基金管理人代表本基金的基金份额持有人提议召开或召集目标ETF基金份额持有人大会；</w:t>
      </w:r>
    </w:p>
    <w:p w14:paraId="566B6DE0">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（14）法律法规、《基金合同》或中国证监会规定的其他应当召开基金份额持有人大会的事项。</w:t>
      </w:r>
    </w:p>
    <w:p w14:paraId="7946061B">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2、在法律法规规定和《基金合同》约定的范围内且对基金份额持有人利益无实质性不利影响的前提下，以下情况可由基金管理人和基金托管人协商后修改，不需召开基金份额持有人大会：</w:t>
      </w:r>
    </w:p>
    <w:p w14:paraId="2D299FC0">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（1）法律法规要求增加的基金费用的收取；</w:t>
      </w:r>
    </w:p>
    <w:p w14:paraId="5A9FF65F">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（2）调整本基金的申购费率、调低赎回费率、调低销售服务费率或变更收费方式，调整基金份额类别设置、对基金份额分类办法及规则进行调整；</w:t>
      </w:r>
    </w:p>
    <w:p w14:paraId="47BCB47F">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（3）因相应的法律法规发生变动而应当对《基金合同》进行修改；</w:t>
      </w:r>
    </w:p>
    <w:p w14:paraId="17B5051F">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（4）对《基金合同》的修改对基金份额持有人利益无实质性不利影响或修改不涉及《基金合同》当事人权利义务关系发生重大变化；</w:t>
      </w:r>
    </w:p>
    <w:p w14:paraId="6105840B">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（5）基金管理人、登记机构、基金销售机构调整有关申购、赎回、转换、基金交易、非交易过户、转托管等业务规则；</w:t>
      </w:r>
    </w:p>
    <w:p w14:paraId="5C5A5D1E">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（6）履行相关程序后，基金推出新业务或服务；</w:t>
      </w:r>
    </w:p>
    <w:p w14:paraId="7266F035">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（7）由于目标ETF交易方式发生重大变更致使本基金的投资策略难以实现、目标ETF终止上市或目标ETF基金合同终止等情形时本基金变更为直接投资该标的指数的指数基金；</w:t>
      </w:r>
    </w:p>
    <w:p w14:paraId="46170230">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（8）按照法律法规和《基金合同》规定不需召开基金份额持有人大会的其他情形。</w:t>
      </w:r>
    </w:p>
    <w:p w14:paraId="1667177E">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二、会议召集人及召集方式</w:t>
      </w:r>
    </w:p>
    <w:p w14:paraId="2100179E">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1、除法律法规规定或《基金合同》另有约定外，基金份额持有人大会由基金管理人召集。</w:t>
      </w:r>
    </w:p>
    <w:p w14:paraId="7088A150">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2、基金管理人未按规定召集或不能召集时，由基金托管人召集。</w:t>
      </w:r>
    </w:p>
    <w:p w14:paraId="5C172D88">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14:paraId="5A259F7D">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14:paraId="4F27B8DD">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14:paraId="13AC9677">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6、基金份额持有人会议的召集人负责选择确定开会时间、地点、方式和权益登记日。</w:t>
      </w:r>
    </w:p>
    <w:p w14:paraId="154BCCC9">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三、召开基金份额持有人大会的通知时间、通知内容、通知方式</w:t>
      </w:r>
    </w:p>
    <w:p w14:paraId="0B097E94">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1、召开基金份额持有人大会，召集人应于会议召开前30日，在规定媒介公告。基金份额持有人大会通知应至少载明以下内容：</w:t>
      </w:r>
    </w:p>
    <w:p w14:paraId="2906E066">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（1）会议召开的时间、地点和会议形式；</w:t>
      </w:r>
    </w:p>
    <w:p w14:paraId="1F2FDDBD">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（2）会议拟审议的事项、议事程序和表决方式；</w:t>
      </w:r>
    </w:p>
    <w:p w14:paraId="5CF69397">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（3）有权出席基金份额持有人大会的基金份额持有人的权益登记日；</w:t>
      </w:r>
    </w:p>
    <w:p w14:paraId="103DE7F7">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（4）授权委托证明的内容要求（包括但不限于代理人身份，代理权限和代理有效期限等）、送达时间和地点；</w:t>
      </w:r>
    </w:p>
    <w:p w14:paraId="5C52CE01">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（5）会务常设联系人姓名及联系电话；</w:t>
      </w:r>
    </w:p>
    <w:p w14:paraId="586B32FF">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（6）出席会议者必须准备的文件和必须履行的手续；</w:t>
      </w:r>
    </w:p>
    <w:p w14:paraId="54306205">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（7）召集人需要通知的其他事项。</w:t>
      </w:r>
    </w:p>
    <w:p w14:paraId="33DE6FEE">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14:paraId="4C824B6A">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14:paraId="218DF4FC">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四、基金份额持有人出席会议的方式</w:t>
      </w:r>
    </w:p>
    <w:p w14:paraId="269D4B97">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基金份额持有人大会可通过现场开会方式、通讯开会方式或法律法规、监管机构允许的其他方式召开，会议的召开方式由会议召集人确定。</w:t>
      </w:r>
    </w:p>
    <w:p w14:paraId="730686F5">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14:paraId="1A1245B0">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14:paraId="2D666022">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14:paraId="602256B7">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2、通讯开会。通讯开会系指基金份额持有人将其对表决事项的投票以书面形式或大会公告载明的其他方式在表决截止日以前送达至召集人指定的地址或系统。通讯开会应以书面方式或大会公告载明的其他方式进行表决。</w:t>
      </w:r>
    </w:p>
    <w:p w14:paraId="3589BD09">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在同时符合以下条件时，通讯开会的方式视为有效：</w:t>
      </w:r>
    </w:p>
    <w:p w14:paraId="0AE327D6">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（1）会议召集人按《基金合同》约定公布会议通知后，在2个工作日内连续公布相关提示性公告；</w:t>
      </w:r>
    </w:p>
    <w:p w14:paraId="4D1074C1">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14:paraId="24D03066">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3）本人直接出具表决意见或授权他人代表出具表决意见的，基金份额持有人所持有的基金份额不小于在权益登记日基金总份额的二分之一（含二分之一）；若本人直接出具表决意见或授权他人代表出具表决意见的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表决意见或授权他人代表出具表决意见；</w:t>
      </w:r>
    </w:p>
    <w:p w14:paraId="046D5B79">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14:paraId="50725302">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3、在不违反法律法规和监管机关规定的情况下，本基金的基金份额持有人亦可采用其他非书面方式授权其代理人出席基金份额持有人大会，授权方式可以采用书面、网络、电话、短信或其他方式，具体方式由会议召集人确定并在会议通知中列明。</w:t>
      </w:r>
    </w:p>
    <w:p w14:paraId="4E77726D">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4、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w:t>
      </w:r>
    </w:p>
    <w:p w14:paraId="4AB63402">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五、议事内容与程序</w:t>
      </w:r>
    </w:p>
    <w:p w14:paraId="3ED8A9D2">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1、议事内容及提案权</w:t>
      </w:r>
    </w:p>
    <w:p w14:paraId="33CF32F6">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14:paraId="5D0434D4">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基金份额持有人大会的召集人发出召集会议的通知后，对原有提案的修改应当在基金份额持有人大会召开前及时公告。</w:t>
      </w:r>
    </w:p>
    <w:p w14:paraId="7BD7FB92">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基金份额持有人大会不得对未事先公告的议事内容进行表决。</w:t>
      </w:r>
    </w:p>
    <w:p w14:paraId="02569202">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2、议事程序</w:t>
      </w:r>
    </w:p>
    <w:p w14:paraId="44E90332">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（1）现场开会</w:t>
      </w:r>
    </w:p>
    <w:p w14:paraId="477A4E62">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w:t>
      </w:r>
    </w:p>
    <w:p w14:paraId="758D99C9">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会议召集人应当制作出席会议人员的签名册。签名册载明参加会议人员姓名（或单位名称）、身份证明文件号码、持有或代表有表决权的基金份额、委托人姓名（或单位名称）和联系方式等事项。</w:t>
      </w:r>
    </w:p>
    <w:p w14:paraId="36167C3A">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（2）通讯开会</w:t>
      </w:r>
    </w:p>
    <w:p w14:paraId="11C2B104">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在通讯开会的情况下，首先由召集人提前30日公布提案，在所通知的表决截止日期后2个工作日内在公证机关监督下由召集人统计全部有效表决，在公证机关监督下形成决议。</w:t>
      </w:r>
    </w:p>
    <w:p w14:paraId="11009BC0">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六、表决</w:t>
      </w:r>
    </w:p>
    <w:p w14:paraId="5787F0AC">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基金份额持有人所持每份基金份额有一票表决权。</w:t>
      </w:r>
    </w:p>
    <w:p w14:paraId="38103272">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基金份额持有人大会决议分为一般决议和特别决议：</w:t>
      </w:r>
    </w:p>
    <w:p w14:paraId="187F4E9F">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14:paraId="0E6C390F">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2、特别决议，特别决议应当经参加大会的基金份额持有人或其代理人所持表决权的三分之二以上（含三分之二）通过方可做出。除法律法规、监管机构另有规定或基金合同另有约定外，转换基金运作方式、更换基金管理人或者基金托管人、终止《基金合同》、本基金与其他基金合并以特别决议通过方为有效。</w:t>
      </w:r>
    </w:p>
    <w:p w14:paraId="25A1A261">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基金份额持有人大会采取记名方式进行投票表决。</w:t>
      </w:r>
    </w:p>
    <w:p w14:paraId="23FA6F59">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采取通讯方式进行表决时，除非在计票时监督员及公证机关均认为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14:paraId="610B29DB">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基金份额持有人大会的各项提案或同一项提案内并列的各项议题应当分开审议、逐项表决。</w:t>
      </w:r>
    </w:p>
    <w:p w14:paraId="58CEA533">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七、计票</w:t>
      </w:r>
    </w:p>
    <w:p w14:paraId="26BE8646">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1、现场开会</w:t>
      </w:r>
    </w:p>
    <w:p w14:paraId="4ACF2E10">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14:paraId="4A299DF7">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（2）监票人应当在基金份额持有人表决后立即进行清点并由大会主持人当场公布计票结果。</w:t>
      </w:r>
    </w:p>
    <w:p w14:paraId="32332455">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14:paraId="42D9DB9B">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（4）计票过程应由公证机关予以公证，基金管理人或基金托管人拒不出席大会的，不影响计票的效力。</w:t>
      </w:r>
    </w:p>
    <w:p w14:paraId="19251E62">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2、通讯开会</w:t>
      </w:r>
    </w:p>
    <w:p w14:paraId="52A7770A">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14:paraId="11178C4B">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八、生效与公告</w:t>
      </w:r>
    </w:p>
    <w:p w14:paraId="24066EBA">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基金份额持有人大会的决议，召集人应当自通过之日起5日内报中国证监会备案。</w:t>
      </w:r>
    </w:p>
    <w:p w14:paraId="72C6C41D">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基金份额持有人大会的决议自表决通过之日起生效。</w:t>
      </w:r>
    </w:p>
    <w:p w14:paraId="4310F096">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基金份额持有人大会决议自生效之日起按规定在规定媒介上公告。如果采用通讯方式进行表决，在公告基金份额持有人大会决议时，必须将公证书全文、公证机构、公证员姓名等一同公告。</w:t>
      </w:r>
    </w:p>
    <w:p w14:paraId="4704C035">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基金管理人、基金托管人和基金份额持有人应当执行生效的基金份额持有人大会的决议。生效的基金份额持有人大会决议对全体基金份额持有人、基金管理人、基金托管人均有约束力。</w:t>
      </w:r>
    </w:p>
    <w:p w14:paraId="1EB9F014">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九、实施侧袋机制期间基金份额持有人大会的特殊约定</w:t>
      </w:r>
    </w:p>
    <w:p w14:paraId="5CCAFD3F">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14:paraId="6EC032B4">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1、基金份额持有人行使提议权、召集权、提名权所需单独或合计代表相关基金份额10%以上（含10%）；</w:t>
      </w:r>
    </w:p>
    <w:p w14:paraId="4522D99B">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2、现场开会的到会者在权益登记日代表的基金份额不少于本基金在权益登记日相关基金份额的二分之一（含二分之一）；</w:t>
      </w:r>
    </w:p>
    <w:p w14:paraId="28EBE5A4">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3、通讯开会的直接出具</w:t>
      </w:r>
      <w:r>
        <w:rPr>
          <w:rFonts w:cs="宋体" w:asciiTheme="minorEastAsia" w:hAnsiTheme="minorEastAsia"/>
          <w:kern w:val="0"/>
          <w:sz w:val="24"/>
          <w:szCs w:val="24"/>
        </w:rPr>
        <w:t>表决</w:t>
      </w:r>
      <w:r>
        <w:rPr>
          <w:rFonts w:hint="eastAsia" w:cs="宋体" w:asciiTheme="minorEastAsia" w:hAnsiTheme="minorEastAsia"/>
          <w:kern w:val="0"/>
          <w:sz w:val="24"/>
          <w:szCs w:val="24"/>
        </w:rPr>
        <w:t>意见或授权他人代表出具</w:t>
      </w:r>
      <w:r>
        <w:rPr>
          <w:rFonts w:cs="宋体" w:asciiTheme="minorEastAsia" w:hAnsiTheme="minorEastAsia"/>
          <w:kern w:val="0"/>
          <w:sz w:val="24"/>
          <w:szCs w:val="24"/>
        </w:rPr>
        <w:t>表决</w:t>
      </w:r>
      <w:r>
        <w:rPr>
          <w:rFonts w:hint="eastAsia" w:cs="宋体" w:asciiTheme="minorEastAsia" w:hAnsiTheme="minorEastAsia"/>
          <w:kern w:val="0"/>
          <w:sz w:val="24"/>
          <w:szCs w:val="24"/>
        </w:rPr>
        <w:t>意见的基金份额持有人所持有的基金份额不小于在权益登记日相关基金份额的二分之一（含二分之一）；</w:t>
      </w:r>
    </w:p>
    <w:p w14:paraId="0715CA17">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4、</w:t>
      </w:r>
      <w:r>
        <w:rPr>
          <w:rFonts w:cs="宋体" w:asciiTheme="minorEastAsia" w:hAnsiTheme="minorEastAsia"/>
          <w:kern w:val="0"/>
          <w:sz w:val="24"/>
          <w:szCs w:val="24"/>
        </w:rPr>
        <w:t>当</w:t>
      </w:r>
      <w:r>
        <w:rPr>
          <w:rFonts w:hint="eastAsia" w:cs="宋体" w:asciiTheme="minorEastAsia" w:hAnsiTheme="minorEastAsia"/>
          <w:kern w:val="0"/>
          <w:sz w:val="24"/>
          <w:szCs w:val="24"/>
        </w:rPr>
        <w:t>参与基金份额持有人大会投票的基金份额持有人所持有的基金份额小于在权益登记日相关基金份额的二分之一</w:t>
      </w:r>
      <w:r>
        <w:rPr>
          <w:rFonts w:cs="宋体" w:asciiTheme="minorEastAsia" w:hAnsiTheme="minorEastAsia"/>
          <w:kern w:val="0"/>
          <w:sz w:val="24"/>
          <w:szCs w:val="24"/>
        </w:rPr>
        <w:t>，</w:t>
      </w:r>
      <w:r>
        <w:rPr>
          <w:rFonts w:hint="eastAsia" w:cs="宋体" w:asciiTheme="minorEastAsia" w:hAnsiTheme="minorEastAsia"/>
          <w:kern w:val="0"/>
          <w:sz w:val="24"/>
          <w:szCs w:val="24"/>
        </w:rPr>
        <w:t>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14:paraId="2481B944">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5、现场开会由出席大会的基金份额持有人和代理人所持表决权的50%以上（含50%）选举产生一名基金份额持有人作为该次基金份额持有人大会的主持人；</w:t>
      </w:r>
    </w:p>
    <w:p w14:paraId="7002BAE0">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6、一般决议须经参加大会的基金份额持有人或其代理人所持表决权的二分之一以上（含二分之一）通过；</w:t>
      </w:r>
    </w:p>
    <w:p w14:paraId="22DF304D">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7、特别决议应当经参加大会的基金份额持有人或其代理人所持表决权的三分之二以上（含三分之二）通过。</w:t>
      </w:r>
    </w:p>
    <w:p w14:paraId="3DA35BA6">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侧袋机制实施期间，基金份额持有人大会审议事项涉及主袋账户和侧袋账户的，应分别由主袋账户、侧袋账户的基金份额持有人进行表决，同一主侧袋账户内的同一类别每份基金份额具有平等的表决权。表决事项未涉及侧袋账户的，侧袋账户份额无表决权。</w:t>
      </w:r>
    </w:p>
    <w:p w14:paraId="5F84CDD2">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侧袋机制实施期间，关于基金份额持有人大会的相关规定以本节特殊约定内容为准，本节没有规定的适用上文相关约定。</w:t>
      </w:r>
    </w:p>
    <w:p w14:paraId="229B439B">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十、鉴于本基金是目标</w:t>
      </w:r>
      <w:r>
        <w:rPr>
          <w:rFonts w:cs="宋体" w:asciiTheme="minorEastAsia" w:hAnsiTheme="minorEastAsia"/>
          <w:kern w:val="0"/>
          <w:sz w:val="24"/>
          <w:szCs w:val="24"/>
        </w:rPr>
        <w:t>ETF</w:t>
      </w:r>
      <w:r>
        <w:rPr>
          <w:rFonts w:hint="eastAsia" w:cs="宋体" w:asciiTheme="minorEastAsia" w:hAnsiTheme="minorEastAsia"/>
          <w:kern w:val="0"/>
          <w:sz w:val="24"/>
          <w:szCs w:val="24"/>
        </w:rPr>
        <w:t>的联接基金，本基金的基金份额持有人可以凭所持有的本基金份额出席或者委派代表出席目标</w:t>
      </w:r>
      <w:r>
        <w:rPr>
          <w:rFonts w:cs="宋体" w:asciiTheme="minorEastAsia" w:hAnsiTheme="minorEastAsia"/>
          <w:kern w:val="0"/>
          <w:sz w:val="24"/>
          <w:szCs w:val="24"/>
        </w:rPr>
        <w:t>ETF</w:t>
      </w:r>
      <w:r>
        <w:rPr>
          <w:rFonts w:hint="eastAsia" w:cs="宋体" w:asciiTheme="minorEastAsia" w:hAnsiTheme="minorEastAsia"/>
          <w:kern w:val="0"/>
          <w:sz w:val="24"/>
          <w:szCs w:val="24"/>
        </w:rPr>
        <w:t>的基金份额持有人大会并参与表决，其持有的享有表决权的基金份额数和表决票数为：在目标</w:t>
      </w:r>
      <w:r>
        <w:rPr>
          <w:rFonts w:cs="宋体" w:asciiTheme="minorEastAsia" w:hAnsiTheme="minorEastAsia"/>
          <w:kern w:val="0"/>
          <w:sz w:val="24"/>
          <w:szCs w:val="24"/>
        </w:rPr>
        <w:t>ETF</w:t>
      </w:r>
      <w:r>
        <w:rPr>
          <w:rFonts w:hint="eastAsia" w:cs="宋体" w:asciiTheme="minorEastAsia" w:hAnsiTheme="minorEastAsia"/>
          <w:kern w:val="0"/>
          <w:sz w:val="24"/>
          <w:szCs w:val="24"/>
        </w:rPr>
        <w:t>基金份额持有人大会的权益登记日，本基金持有目标</w:t>
      </w:r>
      <w:r>
        <w:rPr>
          <w:rFonts w:cs="宋体" w:asciiTheme="minorEastAsia" w:hAnsiTheme="minorEastAsia"/>
          <w:kern w:val="0"/>
          <w:sz w:val="24"/>
          <w:szCs w:val="24"/>
        </w:rPr>
        <w:t>ETF</w:t>
      </w:r>
      <w:r>
        <w:rPr>
          <w:rFonts w:hint="eastAsia" w:cs="宋体" w:asciiTheme="minorEastAsia" w:hAnsiTheme="minorEastAsia"/>
          <w:kern w:val="0"/>
          <w:sz w:val="24"/>
          <w:szCs w:val="24"/>
        </w:rPr>
        <w:t>份额的总数乘以该持有人所持有的本基金份额占本基金总份额的比例，计算结果按照四舍五入的方法，保留到整数位。</w:t>
      </w:r>
    </w:p>
    <w:p w14:paraId="397D636F">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本基金的基金管理人不应以本基金的名义代表本基金的全体基金份额持有人以目标</w:t>
      </w:r>
      <w:r>
        <w:rPr>
          <w:rFonts w:cs="宋体" w:asciiTheme="minorEastAsia" w:hAnsiTheme="minorEastAsia"/>
          <w:kern w:val="0"/>
          <w:sz w:val="24"/>
          <w:szCs w:val="24"/>
        </w:rPr>
        <w:t>ETF</w:t>
      </w:r>
      <w:r>
        <w:rPr>
          <w:rFonts w:hint="eastAsia" w:cs="宋体" w:asciiTheme="minorEastAsia" w:hAnsiTheme="minorEastAsia"/>
          <w:kern w:val="0"/>
          <w:sz w:val="24"/>
          <w:szCs w:val="24"/>
        </w:rPr>
        <w:t>的基金份额持有人的身份行使表决权，但可接受本基金的特定基金份额持有人的委托以本基金的基金份额持有人代理人的身份出席目标</w:t>
      </w:r>
      <w:r>
        <w:rPr>
          <w:rFonts w:cs="宋体" w:asciiTheme="minorEastAsia" w:hAnsiTheme="minorEastAsia"/>
          <w:kern w:val="0"/>
          <w:sz w:val="24"/>
          <w:szCs w:val="24"/>
        </w:rPr>
        <w:t>ETF</w:t>
      </w:r>
      <w:r>
        <w:rPr>
          <w:rFonts w:hint="eastAsia" w:cs="宋体" w:asciiTheme="minorEastAsia" w:hAnsiTheme="minorEastAsia"/>
          <w:kern w:val="0"/>
          <w:sz w:val="24"/>
          <w:szCs w:val="24"/>
        </w:rPr>
        <w:t>的基金份额持有人大会并参与表决。</w:t>
      </w:r>
    </w:p>
    <w:p w14:paraId="1A5C5B4D">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本基金的基金管理人代表本基金的基金份额持有人提议召开或召集目标</w:t>
      </w:r>
      <w:r>
        <w:rPr>
          <w:rFonts w:cs="宋体" w:asciiTheme="minorEastAsia" w:hAnsiTheme="minorEastAsia"/>
          <w:kern w:val="0"/>
          <w:sz w:val="24"/>
          <w:szCs w:val="24"/>
        </w:rPr>
        <w:t>ETF</w:t>
      </w:r>
      <w:r>
        <w:rPr>
          <w:rFonts w:hint="eastAsia" w:cs="宋体" w:asciiTheme="minorEastAsia" w:hAnsiTheme="minorEastAsia"/>
          <w:kern w:val="0"/>
          <w:sz w:val="24"/>
          <w:szCs w:val="24"/>
        </w:rPr>
        <w:t>的基金份额持有人大会的，须先遵照本基金基金合同的约定召开本基金的基金份额持有人大会，本基金的基金份额持有人大会决定提议召开或召集目标</w:t>
      </w:r>
      <w:r>
        <w:rPr>
          <w:rFonts w:cs="宋体" w:asciiTheme="minorEastAsia" w:hAnsiTheme="minorEastAsia"/>
          <w:kern w:val="0"/>
          <w:sz w:val="24"/>
          <w:szCs w:val="24"/>
        </w:rPr>
        <w:t>ETF</w:t>
      </w:r>
      <w:r>
        <w:rPr>
          <w:rFonts w:hint="eastAsia" w:cs="宋体" w:asciiTheme="minorEastAsia" w:hAnsiTheme="minorEastAsia"/>
          <w:kern w:val="0"/>
          <w:sz w:val="24"/>
          <w:szCs w:val="24"/>
        </w:rPr>
        <w:t>的基金份额持有人大会的，由本基金基金管理人代表本基金的基金份额持有人提议召开或召集目标</w:t>
      </w:r>
      <w:r>
        <w:rPr>
          <w:rFonts w:cs="宋体" w:asciiTheme="minorEastAsia" w:hAnsiTheme="minorEastAsia"/>
          <w:kern w:val="0"/>
          <w:sz w:val="24"/>
          <w:szCs w:val="24"/>
        </w:rPr>
        <w:t>ETF</w:t>
      </w:r>
      <w:r>
        <w:rPr>
          <w:rFonts w:hint="eastAsia" w:cs="宋体" w:asciiTheme="minorEastAsia" w:hAnsiTheme="minorEastAsia"/>
          <w:kern w:val="0"/>
          <w:sz w:val="24"/>
          <w:szCs w:val="24"/>
        </w:rPr>
        <w:t>的基金份额持有人大会。</w:t>
      </w:r>
    </w:p>
    <w:p w14:paraId="3F720A82">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十一、本部分关于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w:t>
      </w:r>
    </w:p>
    <w:bookmarkEnd w:id="15"/>
    <w:p w14:paraId="405F4492">
      <w:pPr>
        <w:autoSpaceDE w:val="0"/>
        <w:autoSpaceDN w:val="0"/>
        <w:adjustRightInd w:val="0"/>
        <w:spacing w:line="360" w:lineRule="auto"/>
        <w:ind w:firstLine="480" w:firstLineChars="200"/>
        <w:jc w:val="left"/>
        <w:rPr>
          <w:rFonts w:cs="宋体" w:asciiTheme="minorEastAsia" w:hAnsiTheme="minorEastAsia"/>
          <w:kern w:val="0"/>
          <w:sz w:val="24"/>
          <w:szCs w:val="24"/>
        </w:rPr>
        <w:sectPr>
          <w:footerReference r:id="rId11" w:type="default"/>
          <w:pgSz w:w="11906" w:h="16838"/>
          <w:pgMar w:top="1440" w:right="1800" w:bottom="1440" w:left="1800" w:header="851" w:footer="992" w:gutter="0"/>
          <w:pgNumType w:start="1"/>
          <w:cols w:space="425" w:num="1"/>
          <w:docGrid w:type="lines" w:linePitch="312" w:charSpace="0"/>
        </w:sectPr>
      </w:pPr>
    </w:p>
    <w:p w14:paraId="0D75D9A7">
      <w:pPr>
        <w:pStyle w:val="2"/>
        <w:spacing w:before="0" w:after="0" w:line="360" w:lineRule="auto"/>
        <w:ind w:firstLine="602" w:firstLineChars="200"/>
        <w:jc w:val="center"/>
        <w:rPr>
          <w:rFonts w:ascii="Times New Roman" w:hAnsi="Times New Roman"/>
          <w:kern w:val="0"/>
          <w:sz w:val="30"/>
          <w:lang w:val="zh-CN"/>
        </w:rPr>
      </w:pPr>
      <w:bookmarkStart w:id="16" w:name="_Toc471235846"/>
      <w:r>
        <w:rPr>
          <w:rFonts w:hint="eastAsia" w:ascii="Times New Roman" w:hAnsi="Times New Roman"/>
          <w:kern w:val="0"/>
          <w:sz w:val="30"/>
          <w:lang w:val="zh-CN"/>
        </w:rPr>
        <w:t>第九部分</w:t>
      </w:r>
      <w:r>
        <w:rPr>
          <w:rFonts w:ascii="Times New Roman" w:hAnsi="Times New Roman"/>
          <w:kern w:val="0"/>
          <w:sz w:val="30"/>
          <w:lang w:val="zh-CN"/>
        </w:rPr>
        <w:t xml:space="preserve"> </w:t>
      </w:r>
      <w:r>
        <w:rPr>
          <w:rFonts w:hint="eastAsia" w:ascii="Times New Roman" w:hAnsi="Times New Roman"/>
          <w:kern w:val="0"/>
          <w:sz w:val="30"/>
          <w:lang w:val="zh-CN"/>
        </w:rPr>
        <w:t>基金管理人、基金托管人的更换条件和程序</w:t>
      </w:r>
      <w:bookmarkEnd w:id="16"/>
    </w:p>
    <w:p w14:paraId="0BA5282D">
      <w:pPr>
        <w:autoSpaceDE w:val="0"/>
        <w:autoSpaceDN w:val="0"/>
        <w:adjustRightInd w:val="0"/>
        <w:spacing w:line="360" w:lineRule="auto"/>
        <w:ind w:firstLine="480" w:firstLineChars="200"/>
        <w:jc w:val="left"/>
        <w:rPr>
          <w:rFonts w:cs="宋体" w:asciiTheme="minorEastAsia" w:hAnsiTheme="minorEastAsia"/>
          <w:kern w:val="0"/>
          <w:sz w:val="24"/>
          <w:szCs w:val="24"/>
        </w:rPr>
      </w:pPr>
    </w:p>
    <w:p w14:paraId="798EE9DD">
      <w:pPr>
        <w:autoSpaceDE w:val="0"/>
        <w:autoSpaceDN w:val="0"/>
        <w:adjustRightInd w:val="0"/>
        <w:spacing w:line="360" w:lineRule="auto"/>
        <w:ind w:firstLine="480" w:firstLineChars="200"/>
        <w:jc w:val="left"/>
        <w:rPr>
          <w:rFonts w:cs="宋体" w:asciiTheme="minorEastAsia" w:hAnsiTheme="minorEastAsia"/>
          <w:kern w:val="0"/>
          <w:sz w:val="24"/>
          <w:szCs w:val="24"/>
        </w:rPr>
      </w:pPr>
      <w:bookmarkStart w:id="17" w:name="_Hlk104924733"/>
      <w:r>
        <w:rPr>
          <w:rFonts w:hint="eastAsia" w:cs="宋体" w:asciiTheme="minorEastAsia" w:hAnsiTheme="minorEastAsia"/>
          <w:kern w:val="0"/>
          <w:sz w:val="24"/>
          <w:szCs w:val="24"/>
        </w:rPr>
        <w:t>一、基金管理人和基金托管人职责终止的情形</w:t>
      </w:r>
    </w:p>
    <w:p w14:paraId="39336A26">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（一）</w:t>
      </w:r>
      <w:r>
        <w:rPr>
          <w:rFonts w:hint="eastAsia" w:cs="宋体" w:asciiTheme="minorEastAsia" w:hAnsiTheme="minorEastAsia"/>
          <w:kern w:val="0"/>
          <w:sz w:val="24"/>
          <w:szCs w:val="24"/>
        </w:rPr>
        <w:tab/>
      </w:r>
      <w:r>
        <w:rPr>
          <w:rFonts w:hint="eastAsia" w:cs="宋体" w:asciiTheme="minorEastAsia" w:hAnsiTheme="minorEastAsia"/>
          <w:kern w:val="0"/>
          <w:sz w:val="24"/>
          <w:szCs w:val="24"/>
        </w:rPr>
        <w:t>基金管理人职责终止的情形</w:t>
      </w:r>
    </w:p>
    <w:p w14:paraId="1671165D">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有下列情形之一的，基金管理人职责终止：</w:t>
      </w:r>
    </w:p>
    <w:p w14:paraId="06EDBAE3">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1、被依法取消基金管理资格；</w:t>
      </w:r>
    </w:p>
    <w:p w14:paraId="05997EF2">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2、被基金份额持有人大会解任；</w:t>
      </w:r>
    </w:p>
    <w:p w14:paraId="54BB31AC">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3、依法解散、被依法撤销或被依法宣告破产；</w:t>
      </w:r>
    </w:p>
    <w:p w14:paraId="704ACBC0">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4、法律法规及中国证监会规定的和《基金合同》约定的其他情形。</w:t>
      </w:r>
    </w:p>
    <w:p w14:paraId="5B1C3467">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（二）</w:t>
      </w:r>
      <w:r>
        <w:rPr>
          <w:rFonts w:hint="eastAsia" w:cs="宋体" w:asciiTheme="minorEastAsia" w:hAnsiTheme="minorEastAsia"/>
          <w:kern w:val="0"/>
          <w:sz w:val="24"/>
          <w:szCs w:val="24"/>
        </w:rPr>
        <w:tab/>
      </w:r>
      <w:r>
        <w:rPr>
          <w:rFonts w:hint="eastAsia" w:cs="宋体" w:asciiTheme="minorEastAsia" w:hAnsiTheme="minorEastAsia"/>
          <w:kern w:val="0"/>
          <w:sz w:val="24"/>
          <w:szCs w:val="24"/>
        </w:rPr>
        <w:t>基金托管人职责终止的情形</w:t>
      </w:r>
    </w:p>
    <w:p w14:paraId="25764D05">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有下列情形之一的，基金托管人职责终止：</w:t>
      </w:r>
    </w:p>
    <w:p w14:paraId="78F37BE7">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1、被依法取消基金托管资格；</w:t>
      </w:r>
    </w:p>
    <w:p w14:paraId="34D2D9FC">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2、被基金份额持有人大会解任；</w:t>
      </w:r>
    </w:p>
    <w:p w14:paraId="5F392E0B">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3、依法解散、被依法撤销或被依法宣告破产；</w:t>
      </w:r>
    </w:p>
    <w:p w14:paraId="12C3EE4C">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4、法律法规及中国证监会规定的和《基金合同》约定的其他情形。</w:t>
      </w:r>
    </w:p>
    <w:p w14:paraId="02142211">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二、基金管理人和基金托管人的更换程序</w:t>
      </w:r>
    </w:p>
    <w:p w14:paraId="018B6A04">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（一）</w:t>
      </w:r>
      <w:r>
        <w:rPr>
          <w:rFonts w:hint="eastAsia" w:cs="宋体" w:asciiTheme="minorEastAsia" w:hAnsiTheme="minorEastAsia"/>
          <w:kern w:val="0"/>
          <w:sz w:val="24"/>
          <w:szCs w:val="24"/>
        </w:rPr>
        <w:tab/>
      </w:r>
      <w:r>
        <w:rPr>
          <w:rFonts w:hint="eastAsia" w:cs="宋体" w:asciiTheme="minorEastAsia" w:hAnsiTheme="minorEastAsia"/>
          <w:kern w:val="0"/>
          <w:sz w:val="24"/>
          <w:szCs w:val="24"/>
        </w:rPr>
        <w:t>基金管理人的更换程序</w:t>
      </w:r>
    </w:p>
    <w:p w14:paraId="677E9635">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1、提名：新任基金管理人由基金托管人或由单独或合计持有10%以上（含10%）基金份额的基金份额持有人提名；</w:t>
      </w:r>
    </w:p>
    <w:p w14:paraId="12E9F9C6">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2、决议：基金份额持有人大会在基金管理人职责终止后6个月内对被提名的基金管理人形成决议，该决议需经参加大会的基金份额持有人所持表决权的三分之二以上（含三分之二）表决通过，决议自表决通过之日起生效；</w:t>
      </w:r>
    </w:p>
    <w:p w14:paraId="446E9B73">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3、临时基金管理人：新任基金管理人产生之前，由中国证监会指定临时基金管理人；</w:t>
      </w:r>
    </w:p>
    <w:p w14:paraId="30310D7A">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4、备案：基金份额持有人大会更换基金管理人的决议须报中国证监会备案；</w:t>
      </w:r>
    </w:p>
    <w:p w14:paraId="47D80821">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5、公告：基金管理人更换后，由基金托管人在更换基金管理人的基金份额持有人大会决议生效后按规定在规定媒介公告；</w:t>
      </w:r>
    </w:p>
    <w:p w14:paraId="3762F24C">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6、交接：基金管理人职责终止的，基金管理人应妥善保管基金管理业务资料，及时向临时基金管理人或新任基金管理人办理基金管理业务的移交手续，临时基金管理人或新任基金管理人应及时接收。新任基金管理人或临时基金管理人应与基金托管人核对基金资产总值和净值；</w:t>
      </w:r>
    </w:p>
    <w:p w14:paraId="1B48F262">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7、审计：基金管理人职责终止的，应当按照法律法规规定聘请会计师事务所对基金财产进行审计，并将审计结果予以公告，同时报中国证监会备案，审计费用在基金财产中列支；</w:t>
      </w:r>
    </w:p>
    <w:p w14:paraId="3CB63554">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8、基金名称变更：基金管理人更换后，如果原任或新任基金管理人要求，应按其要求替换或删除基金名称中与原基金管理人有关的名称字样。</w:t>
      </w:r>
    </w:p>
    <w:p w14:paraId="147939B7">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（二）</w:t>
      </w:r>
      <w:r>
        <w:rPr>
          <w:rFonts w:hint="eastAsia" w:cs="宋体" w:asciiTheme="minorEastAsia" w:hAnsiTheme="minorEastAsia"/>
          <w:kern w:val="0"/>
          <w:sz w:val="24"/>
          <w:szCs w:val="24"/>
        </w:rPr>
        <w:tab/>
      </w:r>
      <w:r>
        <w:rPr>
          <w:rFonts w:hint="eastAsia" w:cs="宋体" w:asciiTheme="minorEastAsia" w:hAnsiTheme="minorEastAsia"/>
          <w:kern w:val="0"/>
          <w:sz w:val="24"/>
          <w:szCs w:val="24"/>
        </w:rPr>
        <w:t>基金托管人的更换程序</w:t>
      </w:r>
    </w:p>
    <w:p w14:paraId="41E6DE21">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1、提名：新任基金托管人由基金管理人或由单独或合计持有10%以上（含10%）基金份额的基金份额持有人提名；</w:t>
      </w:r>
    </w:p>
    <w:p w14:paraId="73CEEF49">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2、决议：基金份额持有人大会在基金托管人职责终止后6个月内对被提名的基金托管人形成决议，该决议需经参加大会的基金份额持有人所持表决权的三分之二以上（含三分之二）表决通过，决议自表决通过之日起生效；</w:t>
      </w:r>
    </w:p>
    <w:p w14:paraId="22E7785F">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3、临时基金托管人：新任基金托管人产生之前，由中国证监会指定临时基金托管人；</w:t>
      </w:r>
    </w:p>
    <w:p w14:paraId="3B94AF44">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4、备案：基金份额持有人大会更换基金托管人的决议须报中国证监会备案；</w:t>
      </w:r>
    </w:p>
    <w:p w14:paraId="780DAA55">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5、公告：基金托管人更换后，由基金管理人在更换基金托管人的基金份额持有人大会决议生效后按规定在规定媒介公告；</w:t>
      </w:r>
    </w:p>
    <w:p w14:paraId="013B8C0E">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 xml:space="preserve">6、交接：基金托管人职责终止的，应当妥善保管基金财产和基金托管业务资料，及时办理基金财产和基金托管业务的移交手续，新任基金托管人或者临时基金托管人应当及时接收。新任基金托管人或临时基金托管人与基金管理人核对基金资产总值和净值； </w:t>
      </w:r>
    </w:p>
    <w:p w14:paraId="7DCCE3EB">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7、审计：基金托管人职责终止的，应当按照法律法规规定聘请会计师事务所对基金财产进行审计，并将审计结果予以公告，同时报中国证监会备案，审计费用在基金财产中列支。</w:t>
      </w:r>
    </w:p>
    <w:p w14:paraId="00E14455">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（三）基金管理人与基金托管人同时更换的条件和程序</w:t>
      </w:r>
    </w:p>
    <w:p w14:paraId="5F0E27B6">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1、提名：如果基金管理人和基金托管人同时更换，由单独或合计持有基金总份额10%以上（含10%）的基金份额持有人提名新的基金管理人和基金托管人；</w:t>
      </w:r>
    </w:p>
    <w:p w14:paraId="5061949B">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2、基金管理人和基金托管人的更换分别按上述程序进行；</w:t>
      </w:r>
    </w:p>
    <w:p w14:paraId="00B5CE9B">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3、公告：新任基金管理人和新任基金托管人应在更换基金管理人和基金托管人的基金份额持有人大会决议生效后按规定在规定媒介上联合公告。</w:t>
      </w:r>
    </w:p>
    <w:p w14:paraId="7EBD96D8">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三、新基金管理人或临时基金管理人接收基金管理业务，或新基金托管人或临时基金托管人接收基金财产和基金托管业务前，原基金管理人或原基金托管人应继续履行相关职责，并保证不做出对基金份额持有人的利益造成损害的行为。原基金管理人或原基金托管人在继续履行相关职责期间，仍有权按照本基金合同的规定收取基金管理费或基金托管费。</w:t>
      </w:r>
    </w:p>
    <w:p w14:paraId="70971036">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四、本部分关于基金管理人、基金托管人更换条件和程序的约定，凡是直接引用法律法规的部分，如将来法律法规修改导致相关内容被取消或变更的，基金管理人与基金托管人根据新颁布的法律法规协商一致并提前公告后，可直接对相应内容进行修改和调整，无需召开基金份额持有人大会审议。</w:t>
      </w:r>
    </w:p>
    <w:bookmarkEnd w:id="17"/>
    <w:p w14:paraId="18CFE347">
      <w:pPr>
        <w:autoSpaceDE w:val="0"/>
        <w:autoSpaceDN w:val="0"/>
        <w:adjustRightInd w:val="0"/>
        <w:spacing w:line="360" w:lineRule="auto"/>
        <w:ind w:firstLine="480" w:firstLineChars="200"/>
        <w:jc w:val="left"/>
        <w:rPr>
          <w:rFonts w:cs="宋体" w:asciiTheme="minorEastAsia" w:hAnsiTheme="minorEastAsia"/>
          <w:kern w:val="0"/>
          <w:sz w:val="24"/>
          <w:szCs w:val="24"/>
        </w:rPr>
        <w:sectPr>
          <w:footerReference r:id="rId12" w:type="default"/>
          <w:pgSz w:w="11906" w:h="16838"/>
          <w:pgMar w:top="1440" w:right="1800" w:bottom="1440" w:left="1800" w:header="851" w:footer="992" w:gutter="0"/>
          <w:pgNumType w:start="1"/>
          <w:cols w:space="425" w:num="1"/>
          <w:docGrid w:type="lines" w:linePitch="312" w:charSpace="0"/>
        </w:sectPr>
      </w:pPr>
    </w:p>
    <w:p w14:paraId="0A62297F">
      <w:pPr>
        <w:pStyle w:val="2"/>
        <w:spacing w:before="0" w:after="0" w:line="360" w:lineRule="auto"/>
        <w:ind w:firstLine="602" w:firstLineChars="200"/>
        <w:jc w:val="center"/>
        <w:rPr>
          <w:rFonts w:ascii="Times New Roman" w:hAnsi="Times New Roman"/>
          <w:kern w:val="0"/>
          <w:sz w:val="30"/>
          <w:lang w:val="zh-CN"/>
        </w:rPr>
      </w:pPr>
      <w:bookmarkStart w:id="18" w:name="_Toc471235847"/>
      <w:r>
        <w:rPr>
          <w:rFonts w:hint="eastAsia" w:ascii="Times New Roman" w:hAnsi="Times New Roman"/>
          <w:kern w:val="0"/>
          <w:sz w:val="30"/>
          <w:lang w:val="zh-CN"/>
        </w:rPr>
        <w:t>第十部分</w:t>
      </w:r>
      <w:r>
        <w:rPr>
          <w:rFonts w:ascii="Times New Roman" w:hAnsi="Times New Roman"/>
          <w:kern w:val="0"/>
          <w:sz w:val="30"/>
          <w:lang w:val="zh-CN"/>
        </w:rPr>
        <w:t xml:space="preserve"> </w:t>
      </w:r>
      <w:r>
        <w:rPr>
          <w:rFonts w:hint="eastAsia" w:ascii="Times New Roman" w:hAnsi="Times New Roman"/>
          <w:kern w:val="0"/>
          <w:sz w:val="30"/>
          <w:lang w:val="zh-CN"/>
        </w:rPr>
        <w:t>基金的托管</w:t>
      </w:r>
      <w:bookmarkEnd w:id="18"/>
    </w:p>
    <w:p w14:paraId="6CEE8C6A">
      <w:pPr>
        <w:autoSpaceDE w:val="0"/>
        <w:autoSpaceDN w:val="0"/>
        <w:adjustRightInd w:val="0"/>
        <w:spacing w:line="360" w:lineRule="auto"/>
        <w:ind w:firstLine="480" w:firstLineChars="200"/>
        <w:jc w:val="left"/>
        <w:rPr>
          <w:rFonts w:cs="宋体" w:asciiTheme="minorEastAsia" w:hAnsiTheme="minorEastAsia"/>
          <w:kern w:val="0"/>
          <w:sz w:val="24"/>
          <w:szCs w:val="24"/>
        </w:rPr>
      </w:pPr>
    </w:p>
    <w:p w14:paraId="3288E781">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基金托管人和基金管理人按照《基金法》、《基金合同》及其他有关规定订立托管协议。</w:t>
      </w:r>
    </w:p>
    <w:p w14:paraId="7950EB0A">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订立托管协议的目的是明确基金托管人与基金管理人之间在基金财产的保管、投资运作、净值计算、收益分配、信息披露及相互监督等相关事宜中的权利义务及职责，确保基金财产的安全，保护基金份额持有人的合法权益。</w:t>
      </w:r>
    </w:p>
    <w:p w14:paraId="35CED5C5">
      <w:pPr>
        <w:autoSpaceDE w:val="0"/>
        <w:autoSpaceDN w:val="0"/>
        <w:adjustRightInd w:val="0"/>
        <w:spacing w:line="360" w:lineRule="auto"/>
        <w:ind w:firstLine="480" w:firstLineChars="200"/>
        <w:jc w:val="left"/>
        <w:rPr>
          <w:rFonts w:cs="宋体" w:asciiTheme="minorEastAsia" w:hAnsiTheme="minorEastAsia"/>
          <w:kern w:val="0"/>
          <w:sz w:val="24"/>
          <w:szCs w:val="24"/>
        </w:rPr>
        <w:sectPr>
          <w:footerReference r:id="rId13" w:type="default"/>
          <w:pgSz w:w="11906" w:h="16838"/>
          <w:pgMar w:top="1440" w:right="1800" w:bottom="1440" w:left="1800" w:header="851" w:footer="992" w:gutter="0"/>
          <w:pgNumType w:start="1"/>
          <w:cols w:space="425" w:num="1"/>
          <w:docGrid w:type="lines" w:linePitch="312" w:charSpace="0"/>
        </w:sectPr>
      </w:pPr>
    </w:p>
    <w:p w14:paraId="7DAE3364">
      <w:pPr>
        <w:pStyle w:val="2"/>
        <w:spacing w:before="0" w:after="0" w:line="360" w:lineRule="auto"/>
        <w:ind w:firstLine="602" w:firstLineChars="200"/>
        <w:jc w:val="center"/>
        <w:rPr>
          <w:rFonts w:ascii="Times New Roman" w:hAnsi="Times New Roman"/>
          <w:kern w:val="0"/>
          <w:sz w:val="30"/>
          <w:lang w:val="zh-CN"/>
        </w:rPr>
      </w:pPr>
      <w:bookmarkStart w:id="19" w:name="_Toc471235848"/>
      <w:r>
        <w:rPr>
          <w:rFonts w:hint="eastAsia" w:ascii="Times New Roman" w:hAnsi="Times New Roman"/>
          <w:kern w:val="0"/>
          <w:sz w:val="30"/>
          <w:lang w:val="zh-CN"/>
        </w:rPr>
        <w:t>第十一部分</w:t>
      </w:r>
      <w:r>
        <w:rPr>
          <w:rFonts w:ascii="Times New Roman" w:hAnsi="Times New Roman"/>
          <w:kern w:val="0"/>
          <w:sz w:val="30"/>
          <w:lang w:val="zh-CN"/>
        </w:rPr>
        <w:t xml:space="preserve"> </w:t>
      </w:r>
      <w:r>
        <w:rPr>
          <w:rFonts w:hint="eastAsia" w:ascii="Times New Roman" w:hAnsi="Times New Roman"/>
          <w:kern w:val="0"/>
          <w:sz w:val="30"/>
          <w:lang w:val="zh-CN"/>
        </w:rPr>
        <w:t>基金份额的登记</w:t>
      </w:r>
      <w:bookmarkEnd w:id="19"/>
    </w:p>
    <w:p w14:paraId="3C228892">
      <w:pPr>
        <w:autoSpaceDE w:val="0"/>
        <w:autoSpaceDN w:val="0"/>
        <w:adjustRightInd w:val="0"/>
        <w:spacing w:line="360" w:lineRule="auto"/>
        <w:ind w:firstLine="480" w:firstLineChars="200"/>
        <w:jc w:val="left"/>
        <w:rPr>
          <w:rFonts w:cs="宋体" w:asciiTheme="minorEastAsia" w:hAnsiTheme="minorEastAsia"/>
          <w:kern w:val="0"/>
          <w:sz w:val="24"/>
          <w:szCs w:val="24"/>
        </w:rPr>
      </w:pPr>
    </w:p>
    <w:p w14:paraId="756B820A">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一、基金份额的登记业务</w:t>
      </w:r>
    </w:p>
    <w:p w14:paraId="29294549">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本基金的登记业务指本基金登记、存管、过户、清算和结算业务，具体内容包括投资人基金账户的建立和管理、基金份额登记、基金销售业务的确认、清算和结算、代理发放红利、建立并保管基金份额持有人名册和办理非交易过户等。</w:t>
      </w:r>
    </w:p>
    <w:p w14:paraId="5445789E">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二、基金登记业务办理机构</w:t>
      </w:r>
    </w:p>
    <w:p w14:paraId="77837B15">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本基金的登记业务由基金管理人或基金管理人委托的其他符合条件的机构办理，但基金管理人依法应当承担的责任不因委托而免除。基金管理人委托其他机构办理本基金登记业务的，应与代理人签订委托代理协议，以明确基金管理人和代理机构在投资者基金账户管理、基金份额登记、清算及基金交易确认、发放红利、建立并保管基金份额持有人名册等事宜中的权利和义务，保护基金份额持有人的合法权益。</w:t>
      </w:r>
    </w:p>
    <w:p w14:paraId="4F88BB52">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三、基金登记机构的权利</w:t>
      </w:r>
    </w:p>
    <w:p w14:paraId="27BEA72F">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基金登记机构享有以下权利：</w:t>
      </w:r>
    </w:p>
    <w:p w14:paraId="324D56D0">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1、取得登记费；</w:t>
      </w:r>
    </w:p>
    <w:p w14:paraId="64A6A773">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2、建立和管理投资者基金账户；</w:t>
      </w:r>
    </w:p>
    <w:p w14:paraId="3303436E">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3、保管基金份额持有人开户资料、交易资料、基金份额持有人名册等；</w:t>
      </w:r>
    </w:p>
    <w:p w14:paraId="7C775B76">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4、在法律法规允许的范围内，对登记业务的办理时间进行调整，并依照有关规定于开始实施前在规定媒介上公告；</w:t>
      </w:r>
    </w:p>
    <w:p w14:paraId="2E720913">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5、法律法规及中国证监会规定的和《基金合同》约定的其他权利。</w:t>
      </w:r>
    </w:p>
    <w:p w14:paraId="0456BB70">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四、基金登记机构的义务</w:t>
      </w:r>
    </w:p>
    <w:p w14:paraId="780DC21C">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基金登记机构承担以下义务：</w:t>
      </w:r>
    </w:p>
    <w:p w14:paraId="1929D277">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1、配备足够的专业人员办理本基金份额的登记业务；</w:t>
      </w:r>
    </w:p>
    <w:p w14:paraId="042A6FE6">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2、严格按照法律法规和《基金合同》规定的条件办理本基金份额的登记业务；</w:t>
      </w:r>
    </w:p>
    <w:p w14:paraId="1A562845">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3、妥善保存登记数据，并将基金份额持有人名称、身份信息及基金份额明细等数据备份至中国证监会认定的机构，其保存期限自基金账户销户之日起不得少于20年；</w:t>
      </w:r>
    </w:p>
    <w:p w14:paraId="2F966CF9">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4、对基金份额持有人的基金账户信息负有保密义务，因违反该保密义务对投资者或基金带来的损失，须承担相应的赔偿责任，但司法强制检查情形及法律法规及中国证监会规定的和《基金合同》约定的其他情形除外；</w:t>
      </w:r>
    </w:p>
    <w:p w14:paraId="28072B94">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5、按《基金合同》及招募说明书规定为投资者办理非交易过户业务、提供其他必要的服务；</w:t>
      </w:r>
    </w:p>
    <w:p w14:paraId="4E7A995A">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6、接受基金管理人的监督；</w:t>
      </w:r>
    </w:p>
    <w:p w14:paraId="14C8F3F2">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7、法律法规及中国证监会规定的和《基金合同》约定的其他义务。</w:t>
      </w:r>
    </w:p>
    <w:p w14:paraId="31FF3891">
      <w:pPr>
        <w:autoSpaceDE w:val="0"/>
        <w:autoSpaceDN w:val="0"/>
        <w:adjustRightInd w:val="0"/>
        <w:spacing w:line="360" w:lineRule="auto"/>
        <w:ind w:firstLine="480" w:firstLineChars="200"/>
        <w:jc w:val="left"/>
        <w:rPr>
          <w:rFonts w:cs="宋体" w:asciiTheme="minorEastAsia" w:hAnsiTheme="minorEastAsia"/>
          <w:kern w:val="0"/>
          <w:sz w:val="24"/>
          <w:szCs w:val="24"/>
        </w:rPr>
        <w:sectPr>
          <w:footerReference r:id="rId14" w:type="default"/>
          <w:pgSz w:w="11906" w:h="16838"/>
          <w:pgMar w:top="1440" w:right="1800" w:bottom="1440" w:left="1800" w:header="851" w:footer="992" w:gutter="0"/>
          <w:pgNumType w:start="1"/>
          <w:cols w:space="425" w:num="1"/>
          <w:docGrid w:type="lines" w:linePitch="312" w:charSpace="0"/>
        </w:sectPr>
      </w:pPr>
    </w:p>
    <w:p w14:paraId="64AB1923">
      <w:pPr>
        <w:pStyle w:val="2"/>
        <w:spacing w:before="0" w:after="0" w:line="360" w:lineRule="auto"/>
        <w:ind w:firstLine="602" w:firstLineChars="200"/>
        <w:jc w:val="center"/>
        <w:rPr>
          <w:rFonts w:ascii="Times New Roman" w:hAnsi="Times New Roman"/>
          <w:kern w:val="0"/>
          <w:sz w:val="30"/>
          <w:lang w:val="zh-CN"/>
        </w:rPr>
      </w:pPr>
      <w:bookmarkStart w:id="20" w:name="_Toc471235849"/>
      <w:r>
        <w:rPr>
          <w:rFonts w:hint="eastAsia" w:ascii="Times New Roman" w:hAnsi="Times New Roman"/>
          <w:kern w:val="0"/>
          <w:sz w:val="30"/>
          <w:lang w:val="zh-CN"/>
        </w:rPr>
        <w:t>第十二部分</w:t>
      </w:r>
      <w:r>
        <w:rPr>
          <w:rFonts w:ascii="Times New Roman" w:hAnsi="Times New Roman"/>
          <w:kern w:val="0"/>
          <w:sz w:val="30"/>
          <w:lang w:val="zh-CN"/>
        </w:rPr>
        <w:t xml:space="preserve"> </w:t>
      </w:r>
      <w:r>
        <w:rPr>
          <w:rFonts w:hint="eastAsia" w:ascii="Times New Roman" w:hAnsi="Times New Roman"/>
          <w:kern w:val="0"/>
          <w:sz w:val="30"/>
          <w:lang w:val="zh-CN"/>
        </w:rPr>
        <w:t>基金的投资</w:t>
      </w:r>
      <w:bookmarkEnd w:id="20"/>
    </w:p>
    <w:p w14:paraId="0F10AA29">
      <w:pPr>
        <w:autoSpaceDE w:val="0"/>
        <w:autoSpaceDN w:val="0"/>
        <w:adjustRightInd w:val="0"/>
        <w:spacing w:line="360" w:lineRule="auto"/>
        <w:ind w:firstLine="480" w:firstLineChars="200"/>
        <w:jc w:val="left"/>
        <w:rPr>
          <w:rFonts w:cs="宋体" w:asciiTheme="minorEastAsia" w:hAnsiTheme="minorEastAsia"/>
          <w:kern w:val="0"/>
          <w:sz w:val="24"/>
          <w:szCs w:val="24"/>
        </w:rPr>
      </w:pPr>
    </w:p>
    <w:p w14:paraId="36CFDEC3">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一、投资目标</w:t>
      </w:r>
    </w:p>
    <w:p w14:paraId="747C94AB">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cs="宋体"/>
          <w:sz w:val="24"/>
          <w:szCs w:val="24"/>
        </w:rPr>
        <w:t>通过主要投资于目标ETF，</w:t>
      </w:r>
      <w:r>
        <w:rPr>
          <w:rFonts w:hint="eastAsia" w:ascii="宋体" w:hAnsi="Times New Roman" w:eastAsia="宋体" w:cs="宋体"/>
          <w:kern w:val="0"/>
          <w:sz w:val="24"/>
          <w:szCs w:val="24"/>
        </w:rPr>
        <w:t>紧密跟踪标的指数</w:t>
      </w:r>
      <w:r>
        <w:rPr>
          <w:rFonts w:hint="eastAsia" w:ascii="宋体" w:hAnsi="Times New Roman" w:cs="宋体"/>
          <w:sz w:val="24"/>
          <w:szCs w:val="24"/>
        </w:rPr>
        <w:t>即中证有色金属矿业主题指数的表现</w:t>
      </w:r>
      <w:r>
        <w:rPr>
          <w:rFonts w:hint="eastAsia" w:ascii="宋体" w:hAnsi="Times New Roman" w:eastAsia="宋体" w:cs="宋体"/>
          <w:kern w:val="0"/>
          <w:sz w:val="24"/>
          <w:szCs w:val="24"/>
        </w:rPr>
        <w:t>，追求跟踪偏离度和跟踪误差的最小化。</w:t>
      </w:r>
    </w:p>
    <w:p w14:paraId="2BCC1F99">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二、投资范围</w:t>
      </w:r>
    </w:p>
    <w:p w14:paraId="193EBF91">
      <w:pPr>
        <w:adjustRightInd w:val="0"/>
        <w:snapToGrid w:val="0"/>
        <w:spacing w:line="360" w:lineRule="auto"/>
        <w:ind w:firstLine="480" w:firstLineChars="200"/>
        <w:rPr>
          <w:rFonts w:ascii="Arial" w:hAnsi="Arial" w:eastAsia="宋体" w:cs="Arial"/>
          <w:sz w:val="24"/>
          <w:szCs w:val="24"/>
        </w:rPr>
      </w:pPr>
      <w:bookmarkStart w:id="21" w:name="_Hlk104923600"/>
      <w:r>
        <w:rPr>
          <w:rFonts w:hint="eastAsia" w:ascii="Arial" w:hAnsi="Arial" w:eastAsia="宋体" w:cs="Arial"/>
          <w:sz w:val="24"/>
          <w:szCs w:val="24"/>
        </w:rPr>
        <w:t>本基金主要投资于</w:t>
      </w:r>
      <w:r>
        <w:rPr>
          <w:rFonts w:hint="eastAsia" w:ascii="宋体" w:hAnsi="Times New Roman" w:eastAsia="宋体" w:cs="宋体"/>
          <w:kern w:val="0"/>
          <w:sz w:val="24"/>
          <w:szCs w:val="24"/>
        </w:rPr>
        <w:t>目标ETF、</w:t>
      </w:r>
      <w:r>
        <w:rPr>
          <w:rFonts w:hint="eastAsia" w:ascii="Arial" w:hAnsi="Arial" w:eastAsia="宋体" w:cs="Arial"/>
          <w:sz w:val="24"/>
          <w:szCs w:val="24"/>
        </w:rPr>
        <w:t>标的指数成份股和备选成份股（含存托凭证）。</w:t>
      </w:r>
    </w:p>
    <w:p w14:paraId="00016CA4">
      <w:pPr>
        <w:adjustRightInd w:val="0"/>
        <w:snapToGrid w:val="0"/>
        <w:spacing w:line="360" w:lineRule="auto"/>
        <w:ind w:firstLine="480" w:firstLineChars="200"/>
        <w:rPr>
          <w:rFonts w:ascii="Arial" w:hAnsi="Arial" w:eastAsia="宋体" w:cs="Arial"/>
          <w:sz w:val="24"/>
          <w:szCs w:val="24"/>
        </w:rPr>
      </w:pPr>
      <w:r>
        <w:rPr>
          <w:rFonts w:hint="eastAsia" w:ascii="Arial" w:hAnsi="Arial" w:eastAsia="宋体" w:cs="Arial"/>
          <w:sz w:val="24"/>
          <w:szCs w:val="24"/>
        </w:rPr>
        <w:t>为更好地实现基金的投资目标，本基金可能会少量投资于依法发行上市的非成份股（包括创业板及其他经中国证监会核准或注册上市的股票、存托凭证）、港股通标的股票、债券（包括国债、金融债、地方政府债、政府支持机构债券、</w:t>
      </w:r>
      <w:r>
        <w:rPr>
          <w:rFonts w:hint="eastAsia"/>
          <w:bCs/>
          <w:sz w:val="24"/>
        </w:rPr>
        <w:t>政府支持债券、</w:t>
      </w:r>
      <w:r>
        <w:rPr>
          <w:rFonts w:hint="eastAsia" w:ascii="Arial" w:hAnsi="Arial" w:eastAsia="宋体" w:cs="Arial"/>
          <w:sz w:val="24"/>
          <w:szCs w:val="24"/>
        </w:rPr>
        <w:t>企业债、公司债、可转换债券（含分离交易可转债的纯债部分）、可交换债券、央行票据、短期融资券、超短期融资券、中期票据、公开发行的次级债等）、资产支持证券、衍生工具（股指期货、国债期货、股票期权）、债券回购、货币市场工具（包括银行存款、同业存单等）以及法律法规或中国证监会允许基金投资的其他金融工具（但须符合中国证监会的相关规定）。</w:t>
      </w:r>
    </w:p>
    <w:p w14:paraId="10933532">
      <w:pPr>
        <w:adjustRightInd w:val="0"/>
        <w:snapToGrid w:val="0"/>
        <w:spacing w:line="360" w:lineRule="auto"/>
        <w:ind w:firstLine="480" w:firstLineChars="200"/>
        <w:rPr>
          <w:rFonts w:ascii="Arial" w:hAnsi="Arial" w:eastAsia="宋体" w:cs="Arial"/>
          <w:sz w:val="24"/>
          <w:szCs w:val="24"/>
        </w:rPr>
      </w:pPr>
      <w:r>
        <w:rPr>
          <w:rFonts w:hint="eastAsia" w:ascii="Arial" w:hAnsi="Arial" w:eastAsia="宋体" w:cs="Arial"/>
          <w:sz w:val="24"/>
          <w:szCs w:val="24"/>
        </w:rPr>
        <w:t>本基金将根据法律法规的规定参与融资及转融通证券出借业务。未来在法律法规允许的前提下，本基金可根据相关法律法规规定参与融券业务。</w:t>
      </w:r>
    </w:p>
    <w:p w14:paraId="2BF3B083">
      <w:pPr>
        <w:adjustRightInd w:val="0"/>
        <w:snapToGrid w:val="0"/>
        <w:spacing w:line="360" w:lineRule="auto"/>
        <w:ind w:firstLine="480" w:firstLineChars="200"/>
        <w:rPr>
          <w:rFonts w:ascii="Arial" w:hAnsi="Arial" w:eastAsia="宋体" w:cs="Arial"/>
          <w:sz w:val="24"/>
          <w:szCs w:val="24"/>
        </w:rPr>
      </w:pPr>
      <w:r>
        <w:rPr>
          <w:rFonts w:hint="eastAsia" w:ascii="Arial" w:hAnsi="Arial" w:eastAsia="宋体" w:cs="Arial"/>
          <w:sz w:val="24"/>
          <w:szCs w:val="24"/>
        </w:rPr>
        <w:t>本基金根据相关法律法规或中国证监会要求履行相关手续后，还可以投资于法律法规或中国证监会未来允许基金投资的其他金融工具。</w:t>
      </w:r>
    </w:p>
    <w:p w14:paraId="1FB43CEA">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本基金投资于目标ETF的资产比例不低于基金资产净值的90%，</w:t>
      </w:r>
      <w:r>
        <w:rPr>
          <w:rFonts w:hint="eastAsia" w:ascii="宋体" w:hAnsi="Times New Roman" w:cs="宋体"/>
          <w:sz w:val="24"/>
          <w:szCs w:val="24"/>
        </w:rPr>
        <w:t>且</w:t>
      </w:r>
      <w:r>
        <w:rPr>
          <w:rFonts w:hint="eastAsia" w:ascii="宋体" w:hAnsi="Times New Roman" w:eastAsia="宋体" w:cs="宋体"/>
          <w:kern w:val="0"/>
          <w:sz w:val="24"/>
          <w:szCs w:val="24"/>
        </w:rPr>
        <w:t>不低于非现金基金资产的80%，投资港股通标的股票的比例不超过本基金股票资产的10%；每个交易日日终在扣除股指期货、股票期权和国债期货合约需缴纳的交易保证金后，保持不低于基金资产净值5%的现金或者到期日在一年以内的政府债券，其中现金不包括结算备付金、存出保证金和应收申购款等；股指期货、股票期权、国债期货及其他金融工具的投资比例依照法律法规或监管机构的规定执行。</w:t>
      </w:r>
    </w:p>
    <w:p w14:paraId="18A9946D">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若法律法规的相关规定发生变更或监管机构允许，本基金管理人在履行适当程序后，可对上述资产配置比例进行调整。</w:t>
      </w:r>
    </w:p>
    <w:bookmarkEnd w:id="21"/>
    <w:p w14:paraId="1EFE1702">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三、投资策略</w:t>
      </w:r>
    </w:p>
    <w:p w14:paraId="00E927CF">
      <w:pPr>
        <w:adjustRightInd w:val="0"/>
        <w:snapToGrid w:val="0"/>
        <w:spacing w:line="360" w:lineRule="auto"/>
        <w:ind w:firstLine="480" w:firstLineChars="200"/>
        <w:rPr>
          <w:rFonts w:ascii="Arial" w:hAnsi="Arial" w:eastAsia="宋体" w:cs="Arial"/>
          <w:sz w:val="24"/>
          <w:szCs w:val="24"/>
        </w:rPr>
      </w:pPr>
      <w:r>
        <w:rPr>
          <w:rFonts w:hint="eastAsia" w:ascii="宋体" w:hAnsi="Times New Roman" w:eastAsia="宋体" w:cs="宋体"/>
          <w:kern w:val="0"/>
          <w:sz w:val="24"/>
          <w:szCs w:val="24"/>
        </w:rPr>
        <w:t>本基金主要通过投资于目标ETF，实现对指数的紧密跟踪。在正常情况下，本基金力争控制投资组合的净值增长率与业绩比较基准之间的预期日均跟踪偏离度的绝对值小于0.35%，预期年化跟踪误差不超过4%。如因标的指数编制规则调整等其他原因，导致基金日均跟踪偏离度和跟踪误差变大，基金管理人应采取合理措施，避免日均跟踪偏离度和跟踪误差的进一步扩大。</w:t>
      </w:r>
    </w:p>
    <w:p w14:paraId="0BA8E88C">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1、</w:t>
      </w:r>
      <w:r>
        <w:rPr>
          <w:rFonts w:hint="eastAsia" w:asciiTheme="minorEastAsia" w:hAnsiTheme="minorEastAsia"/>
          <w:sz w:val="24"/>
        </w:rPr>
        <w:t>资产配置策略</w:t>
      </w:r>
    </w:p>
    <w:p w14:paraId="69EE0D1D">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为实现投资目标，本基金将以不低于基金资产净值</w:t>
      </w:r>
      <w:r>
        <w:rPr>
          <w:rFonts w:ascii="宋体" w:hAnsi="Times New Roman" w:eastAsia="宋体" w:cs="宋体"/>
          <w:kern w:val="0"/>
          <w:sz w:val="24"/>
          <w:szCs w:val="24"/>
        </w:rPr>
        <w:t>90%的资产投资于目标ETF。其余资产可投资于标的指数成份股、备选成份股（含存托凭证）、依法发行上市的非成份股（</w:t>
      </w:r>
      <w:r>
        <w:rPr>
          <w:rFonts w:hint="eastAsia" w:ascii="宋体" w:hAnsi="Times New Roman" w:eastAsia="宋体" w:cs="宋体"/>
          <w:kern w:val="0"/>
          <w:sz w:val="24"/>
          <w:szCs w:val="24"/>
        </w:rPr>
        <w:t>包括创业板及其他经中国证监会核准或注册上市的股票、存托凭证）、港股通标的股票、债券、资产支持证券、衍生工具、债券回购、货币市场工具以及法律法规或中国证监会允许基金投资的其他金融工具（但须符合中国证监会相关规定），其目的是为了使本基金在保障日常申购赎回的前提下，更好地跟踪标的指数。</w:t>
      </w:r>
    </w:p>
    <w:p w14:paraId="6C79F719">
      <w:pPr>
        <w:adjustRightInd w:val="0"/>
        <w:snapToGrid w:val="0"/>
        <w:spacing w:line="360" w:lineRule="auto"/>
        <w:ind w:firstLine="422" w:firstLineChars="176"/>
        <w:rPr>
          <w:rFonts w:ascii="宋体" w:hAnsi="Times New Roman" w:eastAsia="宋体" w:cs="宋体"/>
          <w:kern w:val="0"/>
          <w:sz w:val="24"/>
          <w:szCs w:val="24"/>
        </w:rPr>
      </w:pPr>
      <w:r>
        <w:rPr>
          <w:rFonts w:ascii="宋体" w:hAnsi="Times New Roman" w:eastAsia="宋体" w:cs="宋体"/>
          <w:kern w:val="0"/>
          <w:sz w:val="24"/>
          <w:szCs w:val="24"/>
        </w:rPr>
        <w:t>2、基金投资策略</w:t>
      </w:r>
    </w:p>
    <w:p w14:paraId="1E096F46">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本基金投资目标</w:t>
      </w:r>
      <w:r>
        <w:rPr>
          <w:rFonts w:ascii="宋体" w:hAnsi="Times New Roman" w:eastAsia="宋体" w:cs="宋体"/>
          <w:kern w:val="0"/>
          <w:sz w:val="24"/>
          <w:szCs w:val="24"/>
        </w:rPr>
        <w:t>ETF的</w:t>
      </w:r>
      <w:r>
        <w:rPr>
          <w:rFonts w:hint="eastAsia" w:ascii="宋体" w:hAnsi="Times New Roman" w:eastAsia="宋体" w:cs="宋体"/>
          <w:kern w:val="0"/>
          <w:sz w:val="24"/>
          <w:szCs w:val="24"/>
        </w:rPr>
        <w:t>两种方式如下：</w:t>
      </w:r>
    </w:p>
    <w:p w14:paraId="6AFE8733">
      <w:pPr>
        <w:adjustRightInd w:val="0"/>
        <w:snapToGrid w:val="0"/>
        <w:spacing w:line="360" w:lineRule="auto"/>
        <w:ind w:firstLine="422" w:firstLineChars="176"/>
        <w:rPr>
          <w:rFonts w:ascii="宋体" w:hAnsi="Times New Roman" w:eastAsia="宋体" w:cs="宋体"/>
          <w:kern w:val="0"/>
          <w:sz w:val="24"/>
          <w:szCs w:val="24"/>
        </w:rPr>
      </w:pPr>
      <w:r>
        <w:rPr>
          <w:rFonts w:ascii="宋体" w:hAnsi="Times New Roman" w:eastAsia="宋体" w:cs="宋体"/>
          <w:kern w:val="0"/>
          <w:sz w:val="24"/>
          <w:szCs w:val="24"/>
        </w:rPr>
        <w:t>1）申购和赎回：目标ETF开放申购赎回后，按照目标ETF法律文件约定的方式申赎目标ETF。</w:t>
      </w:r>
    </w:p>
    <w:p w14:paraId="4195A743">
      <w:pPr>
        <w:adjustRightInd w:val="0"/>
        <w:snapToGrid w:val="0"/>
        <w:spacing w:line="360" w:lineRule="auto"/>
        <w:ind w:firstLine="422" w:firstLineChars="176"/>
        <w:rPr>
          <w:rFonts w:ascii="宋体" w:hAnsi="Times New Roman" w:eastAsia="宋体" w:cs="宋体"/>
          <w:kern w:val="0"/>
          <w:sz w:val="24"/>
          <w:szCs w:val="24"/>
        </w:rPr>
      </w:pPr>
      <w:r>
        <w:rPr>
          <w:rFonts w:ascii="宋体" w:hAnsi="Times New Roman" w:eastAsia="宋体" w:cs="宋体"/>
          <w:kern w:val="0"/>
          <w:sz w:val="24"/>
          <w:szCs w:val="24"/>
        </w:rPr>
        <w:t>2）二级市场方式：目标ETF上市交易后，在二级市场进行目标ETF份额的交易。</w:t>
      </w:r>
    </w:p>
    <w:p w14:paraId="253E995F">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当目标</w:t>
      </w:r>
      <w:r>
        <w:rPr>
          <w:rFonts w:ascii="宋体" w:hAnsi="Times New Roman" w:eastAsia="宋体" w:cs="宋体"/>
          <w:kern w:val="0"/>
          <w:sz w:val="24"/>
          <w:szCs w:val="24"/>
        </w:rPr>
        <w:t>ETF申购、赎回或交易模式进行了变更或调整，本基金将在履行适当程序后</w:t>
      </w:r>
      <w:r>
        <w:rPr>
          <w:rFonts w:hint="eastAsia" w:ascii="宋体" w:hAnsi="Times New Roman" w:eastAsia="宋体" w:cs="宋体"/>
          <w:kern w:val="0"/>
          <w:sz w:val="24"/>
          <w:szCs w:val="24"/>
        </w:rPr>
        <w:t>，作相应的变更或调整。</w:t>
      </w:r>
    </w:p>
    <w:p w14:paraId="6D8E97CB">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在投资运作过程中，本基金将在综合考虑合规、风险、效率、成本等因素的基础上，灵活选用上述方式进行目标</w:t>
      </w:r>
      <w:r>
        <w:rPr>
          <w:rFonts w:ascii="宋体" w:hAnsi="Times New Roman" w:eastAsia="宋体" w:cs="宋体"/>
          <w:kern w:val="0"/>
          <w:sz w:val="24"/>
          <w:szCs w:val="24"/>
        </w:rPr>
        <w:t>ETF的交易。</w:t>
      </w:r>
    </w:p>
    <w:p w14:paraId="12622F20">
      <w:pPr>
        <w:adjustRightInd w:val="0"/>
        <w:snapToGrid w:val="0"/>
        <w:spacing w:line="360" w:lineRule="auto"/>
        <w:ind w:firstLine="422" w:firstLineChars="176"/>
        <w:rPr>
          <w:rFonts w:ascii="宋体" w:hAnsi="Times New Roman" w:eastAsia="宋体" w:cs="宋体"/>
          <w:kern w:val="0"/>
          <w:sz w:val="24"/>
          <w:szCs w:val="24"/>
        </w:rPr>
      </w:pPr>
      <w:r>
        <w:rPr>
          <w:rFonts w:ascii="宋体" w:hAnsi="Times New Roman" w:eastAsia="宋体" w:cs="宋体"/>
          <w:kern w:val="0"/>
          <w:sz w:val="24"/>
          <w:szCs w:val="24"/>
        </w:rPr>
        <w:t xml:space="preserve">3、成份股、备选成份股投资策略 </w:t>
      </w:r>
    </w:p>
    <w:p w14:paraId="5BB69326">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本基金对成份股、备选成份股的投资目的是为准备构建股票组合以申购目标</w:t>
      </w:r>
      <w:r>
        <w:rPr>
          <w:rFonts w:ascii="宋体" w:hAnsi="Times New Roman" w:eastAsia="宋体" w:cs="宋体"/>
          <w:kern w:val="0"/>
          <w:sz w:val="24"/>
          <w:szCs w:val="24"/>
        </w:rPr>
        <w:t>ETF。因此对可投资于成份股、备选成份股的资金头寸，主要采取完全复制策略，即完全按照标的指数的成份股组成及其权重构建基金股票投资组合，并根据标的指数成份股及其权重的变动而进行相应调整。但在因特殊情况（如流动性不足等）导致无法获得足够数量的股票时，基金管理人将搭配使用其他合理方法进行适当的替代。</w:t>
      </w:r>
    </w:p>
    <w:p w14:paraId="354DBA61">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4、债券（除可转换债券、可交换债券）投资策略</w:t>
      </w:r>
    </w:p>
    <w:p w14:paraId="362710C0">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本基金债券投资组合将着重考虑基金的流动性管理及策略性投资的需要进行配置。债券投资的目的是保证基金资产流动性，有效利用基金资产，提高基金资产的投资收益。</w:t>
      </w:r>
    </w:p>
    <w:p w14:paraId="701D3C24">
      <w:pPr>
        <w:tabs>
          <w:tab w:val="left" w:pos="2520"/>
        </w:tabs>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5、港股通标的股票投资策略</w:t>
      </w:r>
    </w:p>
    <w:p w14:paraId="6EC419D3">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在特殊情况下，本基金将少量投资于港股通标的股票以进行替代复制。对于同时有A股、H股的指数成份公司，如果该公司A股长期停牌，组合无法买入该股票时，可以买入该公司H股进行替代。</w:t>
      </w:r>
    </w:p>
    <w:p w14:paraId="02CF7799">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6、资产支持证券的投资策略</w:t>
      </w:r>
    </w:p>
    <w:p w14:paraId="4F7F2CA9">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本基金投资资产支持证券将综合运用战略资产配置和战术资产配置进行资产支持证券投资组合管理，并根据信用风险、利率风险和流动性风险变化积极调整投资策略，严格遵守法律法规和基金合同，在力争本金安全和基金资产流动性基础上获得长期稳定收益。</w:t>
      </w:r>
    </w:p>
    <w:p w14:paraId="2BD399AC">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7、可转换债券、可交换债券投资策略</w:t>
      </w:r>
    </w:p>
    <w:p w14:paraId="4BCCECD4">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在分析宏观经济运行特征并对各类市场大势做出判断的前提下，本基金着重对可转换债券所对应的基础股票进行分析和研究，从行业选择和个券选择两方面进行全方位的评估，对盈利能力或成长性较好的行业和上市公司的可转换债券进行重点关注，并结合基金管理人可转债评级系统对可转换债券投资价值进行有效的评估，选择投资价值较高的个券进行投资。</w:t>
      </w:r>
    </w:p>
    <w:p w14:paraId="09D32451">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可交换债券在换股期间用于交换的股票是发行人持有的其他上市公司(以下简称“目标公司”)的股票。可交换债券同样兼具股票和债券的特性。其中,债券特性与可转换债券相同,指持有至到期获取的票面利息和票面价值。股票特性则指目标公司的成长能力、盈利能力及目标公司股票价格的成长性等。本基金将通过对可交换债券的纯债价值和目标公司的股票价值进行研究分析,综合开展投资决策。</w:t>
      </w:r>
    </w:p>
    <w:p w14:paraId="3F78E3EF">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8、衍生品投资策略</w:t>
      </w:r>
    </w:p>
    <w:p w14:paraId="41F97FEC">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（1）股指期货、国债期货投资策略</w:t>
      </w:r>
    </w:p>
    <w:p w14:paraId="7718E2A8">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本基金投资股指期货将根据风险管理的原则，以套期保值为目的，力争利用股指期货的杠杆作用，降低股票仓位频繁调整的交易成本和跟踪误差，达到有效跟踪标的指数的目的。</w:t>
      </w:r>
    </w:p>
    <w:p w14:paraId="3E7712F9">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本基金将根据风险管理的原则，以套期保值为目的，在风险可控的前提下，本着谨慎原则，参与国债期货的投资，改善组合的风险收益特性。</w:t>
      </w:r>
    </w:p>
    <w:p w14:paraId="767DA8E6">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（2）股票期权投资策略</w:t>
      </w:r>
    </w:p>
    <w:p w14:paraId="72CC5FFF">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本基金将按照风险管理的原则，以套期保值为主要目的参与股票期权交易。本基金将结合投资目标、比例限制、风险收益特征以及法律法规的相关限定和要求，确定参与股票期权交易的投资时机和投资比例。</w:t>
      </w:r>
    </w:p>
    <w:p w14:paraId="5DCC4182">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9、融资及转融通证券出借业务投资策略</w:t>
      </w:r>
    </w:p>
    <w:p w14:paraId="4E23BA7C">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本基金将在充分考虑风险和收益特征的基础上，审慎参与融资及转融通证券出借业务。本基金将基于对市场行情和组合风险收益的分析，确定投资时机、标的证券以及投资比例。本基金将根据市场情况、投资者类型和结构、本基金的历史申赎情况、出借证券流动性情况等因素，合理确定出借证券的范围和品类。若相关融资及转融通证券出借业务法律法规发生变化，本基金将从其最新规定，以符合上述法律法规和监管要求的变化。未来在法律法规允许的前提下，本基金将依据法律法规的相关规定参与融券业务。</w:t>
      </w:r>
    </w:p>
    <w:p w14:paraId="7FE7D314">
      <w:pPr>
        <w:adjustRightInd w:val="0"/>
        <w:snapToGrid w:val="0"/>
        <w:spacing w:line="360" w:lineRule="auto"/>
        <w:ind w:firstLine="480" w:firstLineChars="200"/>
        <w:rPr>
          <w:rFonts w:ascii="Arial" w:hAnsi="Arial" w:eastAsia="宋体" w:cs="Arial"/>
          <w:sz w:val="24"/>
          <w:szCs w:val="24"/>
        </w:rPr>
      </w:pPr>
      <w:r>
        <w:rPr>
          <w:rFonts w:hint="eastAsia" w:ascii="Arial" w:hAnsi="Arial" w:eastAsia="宋体" w:cs="Arial"/>
          <w:sz w:val="24"/>
          <w:szCs w:val="24"/>
        </w:rPr>
        <w:t>10、存托凭证投资策略</w:t>
      </w:r>
    </w:p>
    <w:p w14:paraId="0A862825">
      <w:pPr>
        <w:adjustRightInd w:val="0"/>
        <w:snapToGrid w:val="0"/>
        <w:spacing w:line="360" w:lineRule="auto"/>
        <w:ind w:firstLine="480" w:firstLineChars="200"/>
        <w:rPr>
          <w:rFonts w:ascii="Arial" w:hAnsi="Arial" w:eastAsia="宋体" w:cs="Arial"/>
          <w:sz w:val="24"/>
          <w:szCs w:val="24"/>
        </w:rPr>
      </w:pPr>
      <w:r>
        <w:rPr>
          <w:rFonts w:hint="eastAsia" w:ascii="Arial" w:hAnsi="Arial" w:eastAsia="宋体" w:cs="Arial"/>
          <w:sz w:val="24"/>
          <w:szCs w:val="24"/>
        </w:rPr>
        <w:t>本基金将根据本基金的投资目标，基于对基础证券投资价值的深入研究判断，进行存托凭证的投资。</w:t>
      </w:r>
    </w:p>
    <w:p w14:paraId="30DD6FE1">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未来，随着投资工具的发展和丰富，本基金可在不改变投资目标的前提下，相应调整和更新相关投资策略，并在招募说明更新中公告。</w:t>
      </w:r>
    </w:p>
    <w:p w14:paraId="7D3DA0C7">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四、投资限制</w:t>
      </w:r>
    </w:p>
    <w:p w14:paraId="6C95C582">
      <w:pPr>
        <w:adjustRightInd w:val="0"/>
        <w:snapToGrid w:val="0"/>
        <w:spacing w:line="360" w:lineRule="auto"/>
        <w:ind w:firstLine="422" w:firstLineChars="176"/>
        <w:rPr>
          <w:rFonts w:ascii="宋体" w:hAnsi="Times New Roman" w:eastAsia="宋体" w:cs="宋体"/>
          <w:kern w:val="0"/>
          <w:sz w:val="24"/>
          <w:szCs w:val="24"/>
        </w:rPr>
      </w:pPr>
      <w:bookmarkStart w:id="22" w:name="_Hlk104923697"/>
      <w:r>
        <w:rPr>
          <w:rFonts w:ascii="宋体" w:hAnsi="Times New Roman" w:eastAsia="宋体" w:cs="宋体"/>
          <w:kern w:val="0"/>
          <w:sz w:val="24"/>
          <w:szCs w:val="24"/>
        </w:rPr>
        <w:t>1</w:t>
      </w:r>
      <w:r>
        <w:rPr>
          <w:rFonts w:hint="eastAsia" w:ascii="宋体" w:hAnsi="Times New Roman" w:eastAsia="宋体" w:cs="宋体"/>
          <w:kern w:val="0"/>
          <w:sz w:val="24"/>
          <w:szCs w:val="24"/>
        </w:rPr>
        <w:t>、组合限制</w:t>
      </w:r>
    </w:p>
    <w:p w14:paraId="003470B6">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基金的投资组合应遵循以下限制：</w:t>
      </w:r>
    </w:p>
    <w:p w14:paraId="5433607D">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w:t>
      </w:r>
      <w:r>
        <w:rPr>
          <w:rFonts w:ascii="宋体" w:hAnsi="Times New Roman" w:eastAsia="宋体" w:cs="宋体"/>
          <w:kern w:val="0"/>
          <w:sz w:val="24"/>
          <w:szCs w:val="24"/>
        </w:rPr>
        <w:t>1</w:t>
      </w:r>
      <w:r>
        <w:rPr>
          <w:rFonts w:hint="eastAsia" w:ascii="宋体" w:hAnsi="Times New Roman" w:eastAsia="宋体" w:cs="宋体"/>
          <w:kern w:val="0"/>
          <w:sz w:val="24"/>
          <w:szCs w:val="24"/>
        </w:rPr>
        <w:t>）本基金投资于目标ETF的资产比例不低于基金资产净值的90%，</w:t>
      </w:r>
      <w:r>
        <w:rPr>
          <w:rFonts w:hint="eastAsia" w:ascii="宋体" w:hAnsi="Times New Roman" w:cs="宋体"/>
          <w:sz w:val="24"/>
          <w:szCs w:val="24"/>
        </w:rPr>
        <w:t>且</w:t>
      </w:r>
      <w:r>
        <w:rPr>
          <w:rFonts w:hint="eastAsia" w:ascii="宋体" w:hAnsi="Times New Roman" w:eastAsia="宋体" w:cs="宋体"/>
          <w:kern w:val="0"/>
          <w:sz w:val="24"/>
          <w:szCs w:val="24"/>
        </w:rPr>
        <w:t>不低于非现金基金资产的80%，投资港股通标的股票的比例不超过本基金股票资产的10%；</w:t>
      </w:r>
    </w:p>
    <w:p w14:paraId="5181F3FC">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w:t>
      </w:r>
      <w:r>
        <w:rPr>
          <w:rFonts w:ascii="宋体" w:hAnsi="Times New Roman" w:eastAsia="宋体" w:cs="宋体"/>
          <w:kern w:val="0"/>
          <w:sz w:val="24"/>
          <w:szCs w:val="24"/>
        </w:rPr>
        <w:t>2</w:t>
      </w:r>
      <w:r>
        <w:rPr>
          <w:rFonts w:hint="eastAsia" w:ascii="宋体" w:hAnsi="Times New Roman" w:eastAsia="宋体" w:cs="宋体"/>
          <w:kern w:val="0"/>
          <w:sz w:val="24"/>
          <w:szCs w:val="24"/>
        </w:rPr>
        <w:t>）每个交易日日终在扣除股指期货、股票期权和国债期货合约需缴纳的交易保证金后，保持不低于基金资产净值5%的现金或者到期日在一年以内的政府债券，其中现金不包括结算备付金、存出保证金和应收申购款等；</w:t>
      </w:r>
    </w:p>
    <w:p w14:paraId="59D6702B">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w:t>
      </w:r>
      <w:r>
        <w:rPr>
          <w:rFonts w:ascii="宋体" w:hAnsi="Times New Roman" w:eastAsia="宋体" w:cs="宋体"/>
          <w:kern w:val="0"/>
          <w:sz w:val="24"/>
          <w:szCs w:val="24"/>
        </w:rPr>
        <w:t>3</w:t>
      </w:r>
      <w:r>
        <w:rPr>
          <w:rFonts w:hint="eastAsia" w:ascii="宋体" w:hAnsi="Times New Roman" w:eastAsia="宋体" w:cs="宋体"/>
          <w:kern w:val="0"/>
          <w:sz w:val="24"/>
          <w:szCs w:val="24"/>
        </w:rPr>
        <w:t>）本基金持有一家公司发行的证券，其市值（若同时持有一家公司发行的A股和H股，则为A股与H股合计市值）不超过基金资产净值的10%，但完全按照标的指数的构成比例进行投资的部分不受此限制；</w:t>
      </w:r>
    </w:p>
    <w:p w14:paraId="32AC0AB3">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w:t>
      </w:r>
      <w:r>
        <w:rPr>
          <w:rFonts w:ascii="宋体" w:hAnsi="Times New Roman" w:eastAsia="宋体" w:cs="宋体"/>
          <w:kern w:val="0"/>
          <w:sz w:val="24"/>
          <w:szCs w:val="24"/>
        </w:rPr>
        <w:t>4</w:t>
      </w:r>
      <w:r>
        <w:rPr>
          <w:rFonts w:hint="eastAsia" w:ascii="宋体" w:hAnsi="Times New Roman" w:eastAsia="宋体" w:cs="宋体"/>
          <w:kern w:val="0"/>
          <w:sz w:val="24"/>
          <w:szCs w:val="24"/>
        </w:rPr>
        <w:t>）本基金管理人管理的全部基金持有一家公司发行的证券，不超过该证券（若同时持有一家公司发行的A股和H股，则为A股与H股合计市值）的10%，但完全按照标的指数的构成比例进行投资的部分不受此限制；</w:t>
      </w:r>
    </w:p>
    <w:p w14:paraId="6AD8135D">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w:t>
      </w:r>
      <w:r>
        <w:rPr>
          <w:rFonts w:ascii="宋体" w:hAnsi="Times New Roman" w:eastAsia="宋体" w:cs="宋体"/>
          <w:kern w:val="0"/>
          <w:sz w:val="24"/>
          <w:szCs w:val="24"/>
        </w:rPr>
        <w:t>5</w:t>
      </w:r>
      <w:r>
        <w:rPr>
          <w:rFonts w:hint="eastAsia" w:ascii="宋体" w:hAnsi="Times New Roman" w:eastAsia="宋体" w:cs="宋体"/>
          <w:kern w:val="0"/>
          <w:sz w:val="24"/>
          <w:szCs w:val="24"/>
        </w:rPr>
        <w:t>）本基金资产总值不得超过基金资产净值的140%；</w:t>
      </w:r>
    </w:p>
    <w:p w14:paraId="44B2C837">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w:t>
      </w:r>
      <w:r>
        <w:rPr>
          <w:rFonts w:ascii="宋体" w:hAnsi="Times New Roman" w:eastAsia="宋体" w:cs="宋体"/>
          <w:kern w:val="0"/>
          <w:sz w:val="24"/>
          <w:szCs w:val="24"/>
        </w:rPr>
        <w:t>6</w:t>
      </w:r>
      <w:r>
        <w:rPr>
          <w:rFonts w:hint="eastAsia" w:ascii="宋体" w:hAnsi="Times New Roman" w:eastAsia="宋体" w:cs="宋体"/>
          <w:kern w:val="0"/>
          <w:sz w:val="24"/>
          <w:szCs w:val="24"/>
        </w:rPr>
        <w:t>）本基金进入全国银行间同业市场进行债券回购的资金余额不得超过基金资产净值的40%，在全国银行间同业市场中进行的债券回购期限不得超过1年，债券回购到期后不得展期；</w:t>
      </w:r>
    </w:p>
    <w:p w14:paraId="5EC5BC9A">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w:t>
      </w:r>
      <w:r>
        <w:rPr>
          <w:rFonts w:ascii="宋体" w:hAnsi="Times New Roman" w:eastAsia="宋体" w:cs="宋体"/>
          <w:kern w:val="0"/>
          <w:sz w:val="24"/>
          <w:szCs w:val="24"/>
        </w:rPr>
        <w:t>7</w:t>
      </w:r>
      <w:r>
        <w:rPr>
          <w:rFonts w:hint="eastAsia" w:ascii="宋体" w:hAnsi="Times New Roman" w:eastAsia="宋体" w:cs="宋体"/>
          <w:kern w:val="0"/>
          <w:sz w:val="24"/>
          <w:szCs w:val="24"/>
        </w:rPr>
        <w:t>）本基金投资于同一原始权益人的各类资产支持证券的比例，不得超过基金资产净值的</w:t>
      </w:r>
      <w:r>
        <w:rPr>
          <w:rFonts w:ascii="宋体" w:hAnsi="Times New Roman" w:eastAsia="宋体" w:cs="宋体"/>
          <w:kern w:val="0"/>
          <w:sz w:val="24"/>
          <w:szCs w:val="24"/>
        </w:rPr>
        <w:t>10%</w:t>
      </w:r>
      <w:r>
        <w:rPr>
          <w:rFonts w:hint="eastAsia" w:ascii="宋体" w:hAnsi="Times New Roman" w:eastAsia="宋体" w:cs="宋体"/>
          <w:kern w:val="0"/>
          <w:sz w:val="24"/>
          <w:szCs w:val="24"/>
        </w:rPr>
        <w:t>；</w:t>
      </w:r>
    </w:p>
    <w:p w14:paraId="52F9DAF0">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w:t>
      </w:r>
      <w:r>
        <w:rPr>
          <w:rFonts w:ascii="宋体" w:hAnsi="Times New Roman" w:eastAsia="宋体" w:cs="宋体"/>
          <w:kern w:val="0"/>
          <w:sz w:val="24"/>
          <w:szCs w:val="24"/>
        </w:rPr>
        <w:t>8</w:t>
      </w:r>
      <w:r>
        <w:rPr>
          <w:rFonts w:hint="eastAsia" w:ascii="宋体" w:hAnsi="Times New Roman" w:eastAsia="宋体" w:cs="宋体"/>
          <w:kern w:val="0"/>
          <w:sz w:val="24"/>
          <w:szCs w:val="24"/>
        </w:rPr>
        <w:t>）本基金持有的全部资产支持证券，其市值不得超过基金资产净值的</w:t>
      </w:r>
      <w:r>
        <w:rPr>
          <w:rFonts w:ascii="宋体" w:hAnsi="Times New Roman" w:eastAsia="宋体" w:cs="宋体"/>
          <w:kern w:val="0"/>
          <w:sz w:val="24"/>
          <w:szCs w:val="24"/>
        </w:rPr>
        <w:t>20%</w:t>
      </w:r>
      <w:r>
        <w:rPr>
          <w:rFonts w:hint="eastAsia" w:ascii="宋体" w:hAnsi="Times New Roman" w:eastAsia="宋体" w:cs="宋体"/>
          <w:kern w:val="0"/>
          <w:sz w:val="24"/>
          <w:szCs w:val="24"/>
        </w:rPr>
        <w:t>；</w:t>
      </w:r>
    </w:p>
    <w:p w14:paraId="33148D32">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w:t>
      </w:r>
      <w:r>
        <w:rPr>
          <w:rFonts w:ascii="宋体" w:hAnsi="Times New Roman" w:eastAsia="宋体" w:cs="宋体"/>
          <w:kern w:val="0"/>
          <w:sz w:val="24"/>
          <w:szCs w:val="24"/>
        </w:rPr>
        <w:t>9</w:t>
      </w:r>
      <w:r>
        <w:rPr>
          <w:rFonts w:hint="eastAsia" w:ascii="宋体" w:hAnsi="Times New Roman" w:eastAsia="宋体" w:cs="宋体"/>
          <w:kern w:val="0"/>
          <w:sz w:val="24"/>
          <w:szCs w:val="24"/>
        </w:rPr>
        <w:t>）本基金持有的同一</w:t>
      </w:r>
      <w:r>
        <w:rPr>
          <w:rFonts w:ascii="宋体" w:hAnsi="Times New Roman" w:eastAsia="宋体" w:cs="宋体"/>
          <w:kern w:val="0"/>
          <w:sz w:val="24"/>
          <w:szCs w:val="24"/>
        </w:rPr>
        <w:t>(</w:t>
      </w:r>
      <w:r>
        <w:rPr>
          <w:rFonts w:hint="eastAsia" w:ascii="宋体" w:hAnsi="Times New Roman" w:eastAsia="宋体" w:cs="宋体"/>
          <w:kern w:val="0"/>
          <w:sz w:val="24"/>
          <w:szCs w:val="24"/>
        </w:rPr>
        <w:t>指同一信用级别</w:t>
      </w:r>
      <w:r>
        <w:rPr>
          <w:rFonts w:ascii="宋体" w:hAnsi="Times New Roman" w:eastAsia="宋体" w:cs="宋体"/>
          <w:kern w:val="0"/>
          <w:sz w:val="24"/>
          <w:szCs w:val="24"/>
        </w:rPr>
        <w:t>)</w:t>
      </w:r>
      <w:r>
        <w:rPr>
          <w:rFonts w:hint="eastAsia" w:ascii="宋体" w:hAnsi="Times New Roman" w:eastAsia="宋体" w:cs="宋体"/>
          <w:kern w:val="0"/>
          <w:sz w:val="24"/>
          <w:szCs w:val="24"/>
        </w:rPr>
        <w:t>资产支持证券的比例，不得超过该资产支持证券规模的</w:t>
      </w:r>
      <w:r>
        <w:rPr>
          <w:rFonts w:ascii="宋体" w:hAnsi="Times New Roman" w:eastAsia="宋体" w:cs="宋体"/>
          <w:kern w:val="0"/>
          <w:sz w:val="24"/>
          <w:szCs w:val="24"/>
        </w:rPr>
        <w:t>10%</w:t>
      </w:r>
      <w:r>
        <w:rPr>
          <w:rFonts w:hint="eastAsia" w:ascii="宋体" w:hAnsi="Times New Roman" w:eastAsia="宋体" w:cs="宋体"/>
          <w:kern w:val="0"/>
          <w:sz w:val="24"/>
          <w:szCs w:val="24"/>
        </w:rPr>
        <w:t>；</w:t>
      </w:r>
    </w:p>
    <w:p w14:paraId="5CD07CC8">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w:t>
      </w:r>
      <w:r>
        <w:rPr>
          <w:rFonts w:ascii="宋体" w:hAnsi="Times New Roman" w:eastAsia="宋体" w:cs="宋体"/>
          <w:kern w:val="0"/>
          <w:sz w:val="24"/>
          <w:szCs w:val="24"/>
        </w:rPr>
        <w:t>10</w:t>
      </w:r>
      <w:r>
        <w:rPr>
          <w:rFonts w:hint="eastAsia" w:ascii="宋体" w:hAnsi="Times New Roman" w:eastAsia="宋体" w:cs="宋体"/>
          <w:kern w:val="0"/>
          <w:sz w:val="24"/>
          <w:szCs w:val="24"/>
        </w:rPr>
        <w:t>）本基金管理人管理的全部基金投资于同一原始权益人的各类资产支持证券，不得超过其各类资产支持证券合计规模的</w:t>
      </w:r>
      <w:r>
        <w:rPr>
          <w:rFonts w:ascii="宋体" w:hAnsi="Times New Roman" w:eastAsia="宋体" w:cs="宋体"/>
          <w:kern w:val="0"/>
          <w:sz w:val="24"/>
          <w:szCs w:val="24"/>
        </w:rPr>
        <w:t>10%</w:t>
      </w:r>
      <w:r>
        <w:rPr>
          <w:rFonts w:hint="eastAsia" w:ascii="宋体" w:hAnsi="Times New Roman" w:eastAsia="宋体" w:cs="宋体"/>
          <w:kern w:val="0"/>
          <w:sz w:val="24"/>
          <w:szCs w:val="24"/>
        </w:rPr>
        <w:t>；</w:t>
      </w:r>
    </w:p>
    <w:p w14:paraId="6E785601">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w:t>
      </w:r>
      <w:r>
        <w:rPr>
          <w:rFonts w:ascii="宋体" w:hAnsi="Times New Roman" w:eastAsia="宋体" w:cs="宋体"/>
          <w:kern w:val="0"/>
          <w:sz w:val="24"/>
          <w:szCs w:val="24"/>
        </w:rPr>
        <w:t>11</w:t>
      </w:r>
      <w:r>
        <w:rPr>
          <w:rFonts w:hint="eastAsia" w:ascii="宋体" w:hAnsi="Times New Roman" w:eastAsia="宋体" w:cs="宋体"/>
          <w:kern w:val="0"/>
          <w:sz w:val="24"/>
          <w:szCs w:val="24"/>
        </w:rPr>
        <w:t>）本基金应投资于信用级别评级为</w:t>
      </w:r>
      <w:r>
        <w:rPr>
          <w:rFonts w:ascii="宋体" w:hAnsi="Times New Roman" w:eastAsia="宋体" w:cs="宋体"/>
          <w:kern w:val="0"/>
          <w:sz w:val="24"/>
          <w:szCs w:val="24"/>
        </w:rPr>
        <w:t>BBB</w:t>
      </w:r>
      <w:r>
        <w:rPr>
          <w:rFonts w:hint="eastAsia" w:ascii="宋体" w:hAnsi="Times New Roman" w:eastAsia="宋体" w:cs="宋体"/>
          <w:kern w:val="0"/>
          <w:sz w:val="24"/>
          <w:szCs w:val="24"/>
        </w:rPr>
        <w:t>以上</w:t>
      </w:r>
      <w:r>
        <w:rPr>
          <w:rFonts w:ascii="宋体" w:hAnsi="Times New Roman" w:eastAsia="宋体" w:cs="宋体"/>
          <w:kern w:val="0"/>
          <w:sz w:val="24"/>
          <w:szCs w:val="24"/>
        </w:rPr>
        <w:t>(</w:t>
      </w:r>
      <w:r>
        <w:rPr>
          <w:rFonts w:hint="eastAsia" w:ascii="宋体" w:hAnsi="Times New Roman" w:eastAsia="宋体" w:cs="宋体"/>
          <w:kern w:val="0"/>
          <w:sz w:val="24"/>
          <w:szCs w:val="24"/>
        </w:rPr>
        <w:t>含</w:t>
      </w:r>
      <w:r>
        <w:rPr>
          <w:rFonts w:ascii="宋体" w:hAnsi="Times New Roman" w:eastAsia="宋体" w:cs="宋体"/>
          <w:kern w:val="0"/>
          <w:sz w:val="24"/>
          <w:szCs w:val="24"/>
        </w:rPr>
        <w:t>BBB)</w:t>
      </w:r>
      <w:r>
        <w:rPr>
          <w:rFonts w:hint="eastAsia" w:ascii="宋体" w:hAnsi="Times New Roman" w:eastAsia="宋体" w:cs="宋体"/>
          <w:kern w:val="0"/>
          <w:sz w:val="24"/>
          <w:szCs w:val="24"/>
        </w:rPr>
        <w:t>的资产支持证券。基金持有资产支持证券期间，如果其信用等级下降、不再符合投资标准，应在评级报告发布之日起</w:t>
      </w:r>
      <w:r>
        <w:rPr>
          <w:rFonts w:ascii="宋体" w:hAnsi="Times New Roman" w:eastAsia="宋体" w:cs="宋体"/>
          <w:kern w:val="0"/>
          <w:sz w:val="24"/>
          <w:szCs w:val="24"/>
        </w:rPr>
        <w:t>3</w:t>
      </w:r>
      <w:r>
        <w:rPr>
          <w:rFonts w:hint="eastAsia" w:ascii="宋体" w:hAnsi="Times New Roman" w:eastAsia="宋体" w:cs="宋体"/>
          <w:kern w:val="0"/>
          <w:sz w:val="24"/>
          <w:szCs w:val="24"/>
        </w:rPr>
        <w:t>个月内予以全部卖出；</w:t>
      </w:r>
    </w:p>
    <w:p w14:paraId="449CDCAA">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w:t>
      </w:r>
      <w:r>
        <w:rPr>
          <w:rFonts w:ascii="宋体" w:hAnsi="Times New Roman" w:eastAsia="宋体" w:cs="宋体"/>
          <w:kern w:val="0"/>
          <w:sz w:val="24"/>
          <w:szCs w:val="24"/>
        </w:rPr>
        <w:t>12</w:t>
      </w:r>
      <w:r>
        <w:rPr>
          <w:rFonts w:hint="eastAsia" w:ascii="宋体" w:hAnsi="Times New Roman" w:eastAsia="宋体" w:cs="宋体"/>
          <w:kern w:val="0"/>
          <w:sz w:val="24"/>
          <w:szCs w:val="24"/>
        </w:rPr>
        <w:t>）基金财产参与股票发行申购，本基金所申报的金额不超过本基金的总资产，本基金所申报的股票数量不超过拟发行股票公司本次发行股票的总量；</w:t>
      </w:r>
    </w:p>
    <w:p w14:paraId="28D6906F">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w:t>
      </w:r>
      <w:r>
        <w:rPr>
          <w:rFonts w:ascii="宋体" w:hAnsi="Times New Roman" w:eastAsia="宋体" w:cs="宋体"/>
          <w:kern w:val="0"/>
          <w:sz w:val="24"/>
          <w:szCs w:val="24"/>
        </w:rPr>
        <w:t>13</w:t>
      </w:r>
      <w:r>
        <w:rPr>
          <w:rFonts w:hint="eastAsia" w:ascii="宋体" w:hAnsi="Times New Roman" w:eastAsia="宋体" w:cs="宋体"/>
          <w:kern w:val="0"/>
          <w:sz w:val="24"/>
          <w:szCs w:val="24"/>
        </w:rPr>
        <w:t>）本基金参与融资的，在任何交易日日终，本基金融资买入股票与其他有价证券市值之和，不得超过基金资产净值的95%；</w:t>
      </w:r>
    </w:p>
    <w:p w14:paraId="10C047AD">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w:t>
      </w:r>
      <w:r>
        <w:rPr>
          <w:rFonts w:ascii="宋体" w:hAnsi="Times New Roman" w:eastAsia="宋体" w:cs="宋体"/>
          <w:kern w:val="0"/>
          <w:sz w:val="24"/>
          <w:szCs w:val="24"/>
        </w:rPr>
        <w:t>14</w:t>
      </w:r>
      <w:r>
        <w:rPr>
          <w:rFonts w:hint="eastAsia" w:ascii="宋体" w:hAnsi="Times New Roman" w:eastAsia="宋体" w:cs="宋体"/>
          <w:kern w:val="0"/>
          <w:sz w:val="24"/>
          <w:szCs w:val="24"/>
        </w:rPr>
        <w:t>）本基金投资于股指期货和国债期货，还应遵循如下投资组合限制：</w:t>
      </w:r>
    </w:p>
    <w:p w14:paraId="58C52EE4">
      <w:pPr>
        <w:adjustRightInd w:val="0"/>
        <w:snapToGrid w:val="0"/>
        <w:spacing w:line="360" w:lineRule="auto"/>
        <w:ind w:firstLine="422" w:firstLineChars="176"/>
        <w:rPr>
          <w:rFonts w:ascii="宋体" w:hAnsi="Times New Roman" w:eastAsia="宋体" w:cs="宋体"/>
          <w:kern w:val="0"/>
          <w:sz w:val="24"/>
          <w:szCs w:val="24"/>
        </w:rPr>
      </w:pPr>
      <w:r>
        <w:rPr>
          <w:rFonts w:ascii="宋体" w:hAnsi="Times New Roman" w:eastAsia="宋体" w:cs="宋体"/>
          <w:kern w:val="0"/>
          <w:sz w:val="24"/>
          <w:szCs w:val="24"/>
        </w:rPr>
        <w:t>1</w:t>
      </w:r>
      <w:r>
        <w:rPr>
          <w:rFonts w:hint="eastAsia" w:ascii="宋体" w:hAnsi="Times New Roman" w:eastAsia="宋体" w:cs="宋体"/>
          <w:kern w:val="0"/>
          <w:sz w:val="24"/>
          <w:szCs w:val="24"/>
        </w:rPr>
        <w:t>）在任何交易日日终，本基金持有的买入股指期货合约价值不超过基金资产净值的</w:t>
      </w:r>
      <w:r>
        <w:rPr>
          <w:rFonts w:ascii="宋体" w:hAnsi="Times New Roman" w:eastAsia="宋体" w:cs="宋体"/>
          <w:kern w:val="0"/>
          <w:sz w:val="24"/>
          <w:szCs w:val="24"/>
        </w:rPr>
        <w:t>10%</w:t>
      </w:r>
      <w:r>
        <w:rPr>
          <w:rFonts w:hint="eastAsia" w:ascii="宋体" w:hAnsi="Times New Roman" w:eastAsia="宋体" w:cs="宋体"/>
          <w:kern w:val="0"/>
          <w:sz w:val="24"/>
          <w:szCs w:val="24"/>
        </w:rPr>
        <w:t>；在任何交易日日终，持有的买入国债期货合约价值，不得超过基金资产净值15%；</w:t>
      </w:r>
    </w:p>
    <w:p w14:paraId="6D892002">
      <w:pPr>
        <w:adjustRightInd w:val="0"/>
        <w:snapToGrid w:val="0"/>
        <w:spacing w:line="360" w:lineRule="auto"/>
        <w:ind w:firstLine="422" w:firstLineChars="176"/>
        <w:rPr>
          <w:rFonts w:ascii="宋体" w:hAnsi="Times New Roman" w:eastAsia="宋体" w:cs="宋体"/>
          <w:kern w:val="0"/>
          <w:sz w:val="24"/>
          <w:szCs w:val="24"/>
        </w:rPr>
      </w:pPr>
      <w:r>
        <w:rPr>
          <w:rFonts w:ascii="宋体" w:hAnsi="Times New Roman" w:eastAsia="宋体" w:cs="宋体"/>
          <w:kern w:val="0"/>
          <w:sz w:val="24"/>
          <w:szCs w:val="24"/>
        </w:rPr>
        <w:t>2</w:t>
      </w:r>
      <w:r>
        <w:rPr>
          <w:rFonts w:hint="eastAsia" w:ascii="宋体" w:hAnsi="Times New Roman" w:eastAsia="宋体" w:cs="宋体"/>
          <w:kern w:val="0"/>
          <w:sz w:val="24"/>
          <w:szCs w:val="24"/>
        </w:rPr>
        <w:t>）在任何交易日日终，持有的卖出股指期货合约价值不超过基金持有的股票总市值的</w:t>
      </w:r>
      <w:r>
        <w:rPr>
          <w:rFonts w:ascii="宋体" w:hAnsi="Times New Roman" w:eastAsia="宋体" w:cs="宋体"/>
          <w:kern w:val="0"/>
          <w:sz w:val="24"/>
          <w:szCs w:val="24"/>
        </w:rPr>
        <w:t>20%</w:t>
      </w:r>
      <w:r>
        <w:rPr>
          <w:rFonts w:hint="eastAsia" w:ascii="宋体" w:hAnsi="Times New Roman" w:eastAsia="宋体" w:cs="宋体"/>
          <w:kern w:val="0"/>
          <w:sz w:val="24"/>
          <w:szCs w:val="24"/>
        </w:rPr>
        <w:t>；在任何交易日日终，持有的卖出国债期货合约价值不得超过基金持有的债券总市值的30%；</w:t>
      </w:r>
    </w:p>
    <w:p w14:paraId="59AC8DA9">
      <w:pPr>
        <w:adjustRightInd w:val="0"/>
        <w:snapToGrid w:val="0"/>
        <w:spacing w:line="360" w:lineRule="auto"/>
        <w:ind w:firstLine="422" w:firstLineChars="176"/>
        <w:rPr>
          <w:rFonts w:ascii="宋体" w:hAnsi="Times New Roman" w:eastAsia="宋体" w:cs="宋体"/>
          <w:kern w:val="0"/>
          <w:sz w:val="24"/>
          <w:szCs w:val="24"/>
        </w:rPr>
      </w:pPr>
      <w:r>
        <w:rPr>
          <w:rFonts w:ascii="宋体" w:hAnsi="Times New Roman" w:eastAsia="宋体" w:cs="宋体"/>
          <w:kern w:val="0"/>
          <w:sz w:val="24"/>
          <w:szCs w:val="24"/>
        </w:rPr>
        <w:t>3</w:t>
      </w:r>
      <w:r>
        <w:rPr>
          <w:rFonts w:hint="eastAsia" w:ascii="宋体" w:hAnsi="Times New Roman" w:eastAsia="宋体" w:cs="宋体"/>
          <w:kern w:val="0"/>
          <w:sz w:val="24"/>
          <w:szCs w:val="24"/>
        </w:rPr>
        <w:t>）本基金所持有的股票市值和买入、卖出股指期货合约价值，合计（轧差计算）应当符合基金合同关于股票投资比例的有关约定；本基金所持有的债券（不含到期日在一年以内的政府债券）市值和买入、卖出国债期货合约价值，合计（轧差计算）应当符合基金合同关于债券投资比例的有关约定；</w:t>
      </w:r>
    </w:p>
    <w:p w14:paraId="6BA27D0C">
      <w:pPr>
        <w:adjustRightInd w:val="0"/>
        <w:snapToGrid w:val="0"/>
        <w:spacing w:line="360" w:lineRule="auto"/>
        <w:ind w:firstLine="422" w:firstLineChars="176"/>
        <w:rPr>
          <w:rFonts w:ascii="宋体" w:hAnsi="Times New Roman" w:eastAsia="宋体" w:cs="宋体"/>
          <w:kern w:val="0"/>
          <w:sz w:val="24"/>
          <w:szCs w:val="24"/>
        </w:rPr>
      </w:pPr>
      <w:r>
        <w:rPr>
          <w:rFonts w:ascii="宋体" w:hAnsi="Times New Roman" w:eastAsia="宋体" w:cs="宋体"/>
          <w:kern w:val="0"/>
          <w:sz w:val="24"/>
          <w:szCs w:val="24"/>
        </w:rPr>
        <w:t>4</w:t>
      </w:r>
      <w:r>
        <w:rPr>
          <w:rFonts w:hint="eastAsia" w:ascii="宋体" w:hAnsi="Times New Roman" w:eastAsia="宋体" w:cs="宋体"/>
          <w:kern w:val="0"/>
          <w:sz w:val="24"/>
          <w:szCs w:val="24"/>
        </w:rPr>
        <w:t>）本基金在任何交易日日终，持有的买入股指期货和国债期货合约价值与有价证券市值之和，不得超过基金资产净值的</w:t>
      </w:r>
      <w:r>
        <w:rPr>
          <w:rFonts w:ascii="宋体" w:hAnsi="Times New Roman" w:eastAsia="宋体" w:cs="宋体"/>
          <w:kern w:val="0"/>
          <w:sz w:val="24"/>
          <w:szCs w:val="24"/>
        </w:rPr>
        <w:t>100%</w:t>
      </w:r>
      <w:r>
        <w:rPr>
          <w:rFonts w:hint="eastAsia" w:ascii="宋体" w:hAnsi="Times New Roman" w:eastAsia="宋体" w:cs="宋体"/>
          <w:kern w:val="0"/>
          <w:sz w:val="24"/>
          <w:szCs w:val="24"/>
        </w:rPr>
        <w:t>。其中，有价证券指股票、债券（不含到期日在一年以内的政府债券）、资产支持证券、买入返售金融资产（不含质押式回购）等；</w:t>
      </w:r>
    </w:p>
    <w:p w14:paraId="7BDBA40F">
      <w:pPr>
        <w:adjustRightInd w:val="0"/>
        <w:snapToGrid w:val="0"/>
        <w:spacing w:line="360" w:lineRule="auto"/>
        <w:ind w:firstLine="422" w:firstLineChars="176"/>
        <w:rPr>
          <w:rFonts w:ascii="宋体" w:hAnsi="Times New Roman" w:eastAsia="宋体" w:cs="宋体"/>
          <w:kern w:val="0"/>
          <w:sz w:val="24"/>
          <w:szCs w:val="24"/>
        </w:rPr>
      </w:pPr>
      <w:r>
        <w:rPr>
          <w:rFonts w:ascii="宋体" w:hAnsi="Times New Roman" w:eastAsia="宋体" w:cs="宋体"/>
          <w:kern w:val="0"/>
          <w:sz w:val="24"/>
          <w:szCs w:val="24"/>
        </w:rPr>
        <w:t>5</w:t>
      </w:r>
      <w:r>
        <w:rPr>
          <w:rFonts w:hint="eastAsia" w:ascii="宋体" w:hAnsi="Times New Roman" w:eastAsia="宋体" w:cs="宋体"/>
          <w:kern w:val="0"/>
          <w:sz w:val="24"/>
          <w:szCs w:val="24"/>
        </w:rPr>
        <w:t>）本基金在任何交易日内交易（不包括平仓）的股指期货合约的成交金额不得超过上一交易日基金资产净值的</w:t>
      </w:r>
      <w:r>
        <w:rPr>
          <w:rFonts w:ascii="宋体" w:hAnsi="Times New Roman" w:eastAsia="宋体" w:cs="宋体"/>
          <w:kern w:val="0"/>
          <w:sz w:val="24"/>
          <w:szCs w:val="24"/>
        </w:rPr>
        <w:t>20%</w:t>
      </w:r>
      <w:r>
        <w:rPr>
          <w:rFonts w:hint="eastAsia" w:ascii="宋体" w:hAnsi="Times New Roman" w:eastAsia="宋体" w:cs="宋体"/>
          <w:kern w:val="0"/>
          <w:sz w:val="24"/>
          <w:szCs w:val="24"/>
        </w:rPr>
        <w:t>；在任何交易日内交易（不包括平仓）的国债期货合约的成交金额不得超过上一交易日基金资产净值的30%；</w:t>
      </w:r>
    </w:p>
    <w:p w14:paraId="0D2DC57F">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w:t>
      </w:r>
      <w:r>
        <w:rPr>
          <w:rFonts w:ascii="宋体" w:hAnsi="Times New Roman" w:eastAsia="宋体" w:cs="宋体"/>
          <w:kern w:val="0"/>
          <w:sz w:val="24"/>
          <w:szCs w:val="24"/>
        </w:rPr>
        <w:t>15</w:t>
      </w:r>
      <w:r>
        <w:rPr>
          <w:rFonts w:hint="eastAsia" w:ascii="宋体" w:hAnsi="Times New Roman" w:eastAsia="宋体" w:cs="宋体"/>
          <w:kern w:val="0"/>
          <w:sz w:val="24"/>
          <w:szCs w:val="24"/>
        </w:rPr>
        <w:t>）本基金投资于股票期权，还应遵循如下投资组合限制：</w:t>
      </w:r>
    </w:p>
    <w:p w14:paraId="1D74E7B8">
      <w:pPr>
        <w:adjustRightInd w:val="0"/>
        <w:snapToGrid w:val="0"/>
        <w:spacing w:line="360" w:lineRule="auto"/>
        <w:ind w:firstLine="480" w:firstLineChars="200"/>
        <w:rPr>
          <w:rFonts w:asciiTheme="minorEastAsia" w:hAnsiTheme="minorEastAsia"/>
          <w:color w:val="0D0D0D" w:themeColor="text1" w:themeTint="F2"/>
          <w:sz w:val="24"/>
          <w14:textFill>
            <w14:solidFill>
              <w14:schemeClr w14:val="tx1">
                <w14:lumMod w14:val="95000"/>
                <w14:lumOff w14:val="5000"/>
              </w14:schemeClr>
            </w14:solidFill>
          </w14:textFill>
        </w:rPr>
      </w:pPr>
      <w:r>
        <w:rPr>
          <w:rFonts w:hint="eastAsia" w:asciiTheme="minorEastAsia" w:hAnsiTheme="minorEastAsia"/>
          <w:color w:val="0D0D0D" w:themeColor="text1" w:themeTint="F2"/>
          <w:sz w:val="24"/>
          <w14:textFill>
            <w14:solidFill>
              <w14:schemeClr w14:val="tx1">
                <w14:lumMod w14:val="95000"/>
                <w14:lumOff w14:val="5000"/>
              </w14:schemeClr>
            </w14:solidFill>
          </w14:textFill>
        </w:rPr>
        <w:t>1）因未平仓的期权合约支付和收取的权利金总额不得超过基金资产净值的10%；</w:t>
      </w:r>
    </w:p>
    <w:p w14:paraId="7EDDC31A">
      <w:pPr>
        <w:adjustRightInd w:val="0"/>
        <w:snapToGrid w:val="0"/>
        <w:spacing w:line="360" w:lineRule="auto"/>
        <w:ind w:firstLine="480" w:firstLineChars="200"/>
        <w:rPr>
          <w:rFonts w:asciiTheme="minorEastAsia" w:hAnsiTheme="minorEastAsia"/>
          <w:color w:val="0D0D0D" w:themeColor="text1" w:themeTint="F2"/>
          <w:sz w:val="24"/>
          <w14:textFill>
            <w14:solidFill>
              <w14:schemeClr w14:val="tx1">
                <w14:lumMod w14:val="95000"/>
                <w14:lumOff w14:val="5000"/>
              </w14:schemeClr>
            </w14:solidFill>
          </w14:textFill>
        </w:rPr>
      </w:pPr>
      <w:r>
        <w:rPr>
          <w:rFonts w:asciiTheme="minorEastAsia" w:hAnsiTheme="minorEastAsia"/>
          <w:color w:val="0D0D0D" w:themeColor="text1" w:themeTint="F2"/>
          <w:sz w:val="24"/>
          <w14:textFill>
            <w14:solidFill>
              <w14:schemeClr w14:val="tx1">
                <w14:lumMod w14:val="95000"/>
                <w14:lumOff w14:val="5000"/>
              </w14:schemeClr>
            </w14:solidFill>
          </w14:textFill>
        </w:rPr>
        <w:t>2</w:t>
      </w:r>
      <w:r>
        <w:rPr>
          <w:rFonts w:hint="eastAsia" w:asciiTheme="minorEastAsia" w:hAnsiTheme="minorEastAsia"/>
          <w:color w:val="0D0D0D" w:themeColor="text1" w:themeTint="F2"/>
          <w:sz w:val="24"/>
          <w14:textFill>
            <w14:solidFill>
              <w14:schemeClr w14:val="tx1">
                <w14:lumMod w14:val="95000"/>
                <w14:lumOff w14:val="5000"/>
              </w14:schemeClr>
            </w14:solidFill>
          </w14:textFill>
        </w:rPr>
        <w:t>）开仓卖出认购期权的，应持有足额标的证券；开仓卖出认沽期权的，应持有合约行权所需的全额现金或交易所规则认可的可冲抵期权保证金的现金等价物；</w:t>
      </w:r>
    </w:p>
    <w:p w14:paraId="0C7E2CC1">
      <w:pPr>
        <w:adjustRightInd w:val="0"/>
        <w:snapToGrid w:val="0"/>
        <w:spacing w:line="360" w:lineRule="auto"/>
        <w:ind w:firstLine="480" w:firstLineChars="200"/>
        <w:rPr>
          <w:rFonts w:asciiTheme="minorEastAsia" w:hAnsiTheme="minorEastAsia"/>
          <w:color w:val="0D0D0D" w:themeColor="text1" w:themeTint="F2"/>
          <w:sz w:val="24"/>
          <w14:textFill>
            <w14:solidFill>
              <w14:schemeClr w14:val="tx1">
                <w14:lumMod w14:val="95000"/>
                <w14:lumOff w14:val="5000"/>
              </w14:schemeClr>
            </w14:solidFill>
          </w14:textFill>
        </w:rPr>
      </w:pPr>
      <w:r>
        <w:rPr>
          <w:rFonts w:hint="eastAsia" w:asciiTheme="minorEastAsia" w:hAnsiTheme="minorEastAsia"/>
          <w:color w:val="0D0D0D" w:themeColor="text1" w:themeTint="F2"/>
          <w:sz w:val="24"/>
          <w14:textFill>
            <w14:solidFill>
              <w14:schemeClr w14:val="tx1">
                <w14:lumMod w14:val="95000"/>
                <w14:lumOff w14:val="5000"/>
              </w14:schemeClr>
            </w14:solidFill>
          </w14:textFill>
        </w:rPr>
        <w:t>3）未平仓的期权合约面值不得超过基金资产净值的20%。其中，合约面值按照行权价乘以合约乘数计算；</w:t>
      </w:r>
    </w:p>
    <w:p w14:paraId="1B087298">
      <w:pPr>
        <w:adjustRightInd w:val="0"/>
        <w:snapToGrid w:val="0"/>
        <w:spacing w:line="360" w:lineRule="auto"/>
        <w:ind w:firstLine="480" w:firstLineChars="200"/>
        <w:rPr>
          <w:rFonts w:asciiTheme="minorEastAsia" w:hAnsiTheme="minorEastAsia"/>
          <w:color w:val="0D0D0D" w:themeColor="text1" w:themeTint="F2"/>
          <w:sz w:val="24"/>
          <w14:textFill>
            <w14:solidFill>
              <w14:schemeClr w14:val="tx1">
                <w14:lumMod w14:val="95000"/>
                <w14:lumOff w14:val="5000"/>
              </w14:schemeClr>
            </w14:solidFill>
          </w14:textFill>
        </w:rPr>
      </w:pPr>
      <w:r>
        <w:rPr>
          <w:rFonts w:hint="eastAsia" w:asciiTheme="minorEastAsia" w:hAnsiTheme="minorEastAsia"/>
          <w:color w:val="0D0D0D" w:themeColor="text1" w:themeTint="F2"/>
          <w:sz w:val="24"/>
          <w14:textFill>
            <w14:solidFill>
              <w14:schemeClr w14:val="tx1">
                <w14:lumMod w14:val="95000"/>
                <w14:lumOff w14:val="5000"/>
              </w14:schemeClr>
            </w14:solidFill>
          </w14:textFill>
        </w:rPr>
        <w:t>（1</w:t>
      </w:r>
      <w:r>
        <w:rPr>
          <w:rFonts w:asciiTheme="minorEastAsia" w:hAnsiTheme="minorEastAsia"/>
          <w:color w:val="0D0D0D" w:themeColor="text1" w:themeTint="F2"/>
          <w:sz w:val="24"/>
          <w14:textFill>
            <w14:solidFill>
              <w14:schemeClr w14:val="tx1">
                <w14:lumMod w14:val="95000"/>
                <w14:lumOff w14:val="5000"/>
              </w14:schemeClr>
            </w14:solidFill>
          </w14:textFill>
        </w:rPr>
        <w:t>6</w:t>
      </w:r>
      <w:r>
        <w:rPr>
          <w:rFonts w:hint="eastAsia" w:asciiTheme="minorEastAsia" w:hAnsiTheme="minorEastAsia"/>
          <w:color w:val="0D0D0D" w:themeColor="text1" w:themeTint="F2"/>
          <w:sz w:val="24"/>
          <w14:textFill>
            <w14:solidFill>
              <w14:schemeClr w14:val="tx1">
                <w14:lumMod w14:val="95000"/>
                <w14:lumOff w14:val="5000"/>
              </w14:schemeClr>
            </w14:solidFill>
          </w14:textFill>
        </w:rPr>
        <w:t>）本基金参与转融通证券出借业务，需遵守下列投资限制：</w:t>
      </w:r>
    </w:p>
    <w:p w14:paraId="6D38BC45">
      <w:pPr>
        <w:adjustRightInd w:val="0"/>
        <w:snapToGrid w:val="0"/>
        <w:spacing w:line="360" w:lineRule="auto"/>
        <w:ind w:firstLine="480" w:firstLineChars="200"/>
        <w:rPr>
          <w:rFonts w:asciiTheme="minorEastAsia" w:hAnsiTheme="minorEastAsia"/>
          <w:color w:val="0D0D0D" w:themeColor="text1" w:themeTint="F2"/>
          <w:sz w:val="24"/>
          <w14:textFill>
            <w14:solidFill>
              <w14:schemeClr w14:val="tx1">
                <w14:lumMod w14:val="95000"/>
                <w14:lumOff w14:val="5000"/>
              </w14:schemeClr>
            </w14:solidFill>
          </w14:textFill>
        </w:rPr>
      </w:pPr>
      <w:r>
        <w:rPr>
          <w:rFonts w:hint="eastAsia" w:asciiTheme="minorEastAsia" w:hAnsiTheme="minorEastAsia"/>
          <w:color w:val="0D0D0D" w:themeColor="text1" w:themeTint="F2"/>
          <w:sz w:val="24"/>
          <w14:textFill>
            <w14:solidFill>
              <w14:schemeClr w14:val="tx1">
                <w14:lumMod w14:val="95000"/>
                <w14:lumOff w14:val="5000"/>
              </w14:schemeClr>
            </w14:solidFill>
          </w14:textFill>
        </w:rPr>
        <w:t>1）出借证券资产不得超过基金资产净值的30%，出借期限在10 个交易日以上的出借证券应纳入《流动性风险管理规定》所述流动性受限证券的范围；</w:t>
      </w:r>
    </w:p>
    <w:p w14:paraId="6C47DE16">
      <w:pPr>
        <w:adjustRightInd w:val="0"/>
        <w:snapToGrid w:val="0"/>
        <w:spacing w:line="360" w:lineRule="auto"/>
        <w:ind w:firstLine="480" w:firstLineChars="200"/>
        <w:rPr>
          <w:rFonts w:asciiTheme="minorEastAsia" w:hAnsiTheme="minorEastAsia"/>
          <w:color w:val="0D0D0D" w:themeColor="text1" w:themeTint="F2"/>
          <w:sz w:val="24"/>
          <w14:textFill>
            <w14:solidFill>
              <w14:schemeClr w14:val="tx1">
                <w14:lumMod w14:val="95000"/>
                <w14:lumOff w14:val="5000"/>
              </w14:schemeClr>
            </w14:solidFill>
          </w14:textFill>
        </w:rPr>
      </w:pPr>
      <w:r>
        <w:rPr>
          <w:rFonts w:hint="eastAsia" w:asciiTheme="minorEastAsia" w:hAnsiTheme="minorEastAsia"/>
          <w:color w:val="0D0D0D" w:themeColor="text1" w:themeTint="F2"/>
          <w:sz w:val="24"/>
          <w14:textFill>
            <w14:solidFill>
              <w14:schemeClr w14:val="tx1">
                <w14:lumMod w14:val="95000"/>
                <w14:lumOff w14:val="5000"/>
              </w14:schemeClr>
            </w14:solidFill>
          </w14:textFill>
        </w:rPr>
        <w:t>2）参与出借业务的单只证券不得超过本基金持有该证券总量的50%；</w:t>
      </w:r>
    </w:p>
    <w:p w14:paraId="38E61FE5">
      <w:pPr>
        <w:adjustRightInd w:val="0"/>
        <w:snapToGrid w:val="0"/>
        <w:spacing w:line="360" w:lineRule="auto"/>
        <w:ind w:firstLine="480" w:firstLineChars="200"/>
        <w:rPr>
          <w:rFonts w:asciiTheme="minorEastAsia" w:hAnsiTheme="minorEastAsia"/>
          <w:color w:val="0D0D0D" w:themeColor="text1" w:themeTint="F2"/>
          <w:sz w:val="24"/>
          <w14:textFill>
            <w14:solidFill>
              <w14:schemeClr w14:val="tx1">
                <w14:lumMod w14:val="95000"/>
                <w14:lumOff w14:val="5000"/>
              </w14:schemeClr>
            </w14:solidFill>
          </w14:textFill>
        </w:rPr>
      </w:pPr>
      <w:r>
        <w:rPr>
          <w:rFonts w:hint="eastAsia" w:asciiTheme="minorEastAsia" w:hAnsiTheme="minorEastAsia"/>
          <w:color w:val="0D0D0D" w:themeColor="text1" w:themeTint="F2"/>
          <w:sz w:val="24"/>
          <w14:textFill>
            <w14:solidFill>
              <w14:schemeClr w14:val="tx1">
                <w14:lumMod w14:val="95000"/>
                <w14:lumOff w14:val="5000"/>
              </w14:schemeClr>
            </w14:solidFill>
          </w14:textFill>
        </w:rPr>
        <w:t>3）最近6个月内日均基金资产净值不得低于2亿元；</w:t>
      </w:r>
    </w:p>
    <w:p w14:paraId="5D223731">
      <w:pPr>
        <w:adjustRightInd w:val="0"/>
        <w:snapToGrid w:val="0"/>
        <w:spacing w:line="360" w:lineRule="auto"/>
        <w:ind w:firstLine="480" w:firstLineChars="200"/>
        <w:rPr>
          <w:rFonts w:asciiTheme="minorEastAsia" w:hAnsiTheme="minorEastAsia"/>
          <w:color w:val="0D0D0D" w:themeColor="text1" w:themeTint="F2"/>
          <w:sz w:val="24"/>
          <w14:textFill>
            <w14:solidFill>
              <w14:schemeClr w14:val="tx1">
                <w14:lumMod w14:val="95000"/>
                <w14:lumOff w14:val="5000"/>
              </w14:schemeClr>
            </w14:solidFill>
          </w14:textFill>
        </w:rPr>
      </w:pPr>
      <w:r>
        <w:rPr>
          <w:rFonts w:hint="eastAsia" w:asciiTheme="minorEastAsia" w:hAnsiTheme="minorEastAsia"/>
          <w:color w:val="0D0D0D" w:themeColor="text1" w:themeTint="F2"/>
          <w:sz w:val="24"/>
          <w14:textFill>
            <w14:solidFill>
              <w14:schemeClr w14:val="tx1">
                <w14:lumMod w14:val="95000"/>
                <w14:lumOff w14:val="5000"/>
              </w14:schemeClr>
            </w14:solidFill>
          </w14:textFill>
        </w:rPr>
        <w:t>4）证券出借的平均剩余期限不得超过30天，平均剩余期限按照市值加权平均计算；</w:t>
      </w:r>
    </w:p>
    <w:p w14:paraId="585570ED">
      <w:pPr>
        <w:adjustRightInd w:val="0"/>
        <w:snapToGrid w:val="0"/>
        <w:spacing w:line="360" w:lineRule="auto"/>
        <w:ind w:firstLine="480" w:firstLineChars="200"/>
        <w:rPr>
          <w:rFonts w:asciiTheme="minorEastAsia" w:hAnsiTheme="minorEastAsia"/>
          <w:color w:val="0D0D0D" w:themeColor="text1" w:themeTint="F2"/>
          <w:sz w:val="24"/>
          <w14:textFill>
            <w14:solidFill>
              <w14:schemeClr w14:val="tx1">
                <w14:lumMod w14:val="95000"/>
                <w14:lumOff w14:val="5000"/>
              </w14:schemeClr>
            </w14:solidFill>
          </w14:textFill>
        </w:rPr>
      </w:pPr>
      <w:r>
        <w:rPr>
          <w:rFonts w:hint="eastAsia" w:asciiTheme="minorEastAsia" w:hAnsiTheme="minorEastAsia"/>
          <w:color w:val="0D0D0D" w:themeColor="text1" w:themeTint="F2"/>
          <w:sz w:val="24"/>
          <w14:textFill>
            <w14:solidFill>
              <w14:schemeClr w14:val="tx1">
                <w14:lumMod w14:val="95000"/>
                <w14:lumOff w14:val="5000"/>
              </w14:schemeClr>
            </w14:solidFill>
          </w14:textFill>
        </w:rPr>
        <w:t>因证券市场波动、上市公司合并、基金规模变动等基金管理人之外的因素致使基金投资不符合上述规定的，基金管理人不得新增出借业务；</w:t>
      </w:r>
    </w:p>
    <w:p w14:paraId="184DA741">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（1</w:t>
      </w:r>
      <w:r>
        <w:rPr>
          <w:rFonts w:ascii="宋体" w:hAnsi="Times New Roman" w:eastAsia="宋体" w:cs="宋体"/>
          <w:kern w:val="0"/>
          <w:sz w:val="24"/>
          <w:szCs w:val="24"/>
        </w:rPr>
        <w:t>7</w:t>
      </w:r>
      <w:r>
        <w:rPr>
          <w:rFonts w:hint="eastAsia" w:ascii="宋体" w:hAnsi="Times New Roman" w:eastAsia="宋体" w:cs="宋体"/>
          <w:kern w:val="0"/>
          <w:sz w:val="24"/>
          <w:szCs w:val="24"/>
        </w:rPr>
        <w:t>）本基金主动投资于流动性受限资产的市值合计不得超过本基金资产净值的15%；</w:t>
      </w:r>
    </w:p>
    <w:p w14:paraId="5FA18795">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因证券市场波动、上市公司股票停牌、基金规模变动等基金管理人之外的因素致使基金不符合该比例限制的，基金管理人不得主动新增流动性受限资产的投资；</w:t>
      </w:r>
    </w:p>
    <w:p w14:paraId="6FA95AC5">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（1</w:t>
      </w:r>
      <w:r>
        <w:rPr>
          <w:rFonts w:ascii="宋体" w:hAnsi="Times New Roman" w:eastAsia="宋体" w:cs="宋体"/>
          <w:kern w:val="0"/>
          <w:sz w:val="24"/>
          <w:szCs w:val="24"/>
        </w:rPr>
        <w:t>8</w:t>
      </w:r>
      <w:r>
        <w:rPr>
          <w:rFonts w:hint="eastAsia" w:ascii="宋体" w:hAnsi="Times New Roman" w:eastAsia="宋体" w:cs="宋体"/>
          <w:kern w:val="0"/>
          <w:sz w:val="24"/>
          <w:szCs w:val="24"/>
        </w:rPr>
        <w:t>）本基金与私募类证券资管产品及中国证监会认定的其他主体为交易对手开展逆回购交易的，可接受质押品的资质要求应当与基金合同约定的投资范围保持一致；</w:t>
      </w:r>
    </w:p>
    <w:p w14:paraId="1198AD76">
      <w:pPr>
        <w:adjustRightInd w:val="0"/>
        <w:snapToGrid w:val="0"/>
        <w:spacing w:line="360" w:lineRule="auto"/>
        <w:ind w:firstLine="422" w:firstLineChars="176"/>
        <w:rPr>
          <w:rFonts w:ascii="宋体" w:hAnsi="Times New Roman" w:eastAsia="宋体" w:cs="宋体"/>
          <w:kern w:val="0"/>
          <w:sz w:val="24"/>
          <w:szCs w:val="24"/>
        </w:rPr>
      </w:pPr>
      <w:r>
        <w:rPr>
          <w:rFonts w:hint="eastAsia" w:asciiTheme="minorEastAsia" w:hAnsiTheme="minorEastAsia"/>
          <w:sz w:val="24"/>
        </w:rPr>
        <w:t>（19）本基金投资存托凭证的比例限制依照境内上市交易的股票执行</w:t>
      </w:r>
      <w:r>
        <w:rPr>
          <w:rFonts w:hint="eastAsia" w:ascii="宋体" w:hAnsi="宋体"/>
          <w:bCs/>
          <w:sz w:val="24"/>
        </w:rPr>
        <w:t>，与境内上市交易的股票合并计算</w:t>
      </w:r>
      <w:r>
        <w:rPr>
          <w:rFonts w:hint="eastAsia" w:asciiTheme="minorEastAsia" w:hAnsiTheme="minorEastAsia"/>
          <w:sz w:val="24"/>
        </w:rPr>
        <w:t>；</w:t>
      </w:r>
    </w:p>
    <w:p w14:paraId="1FC9D449">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（20）相关法律法规以及监管部门规定的和</w:t>
      </w:r>
      <w:r>
        <w:rPr>
          <w:rFonts w:ascii="宋体" w:hAnsi="Times New Roman" w:eastAsia="宋体" w:cs="宋体"/>
          <w:kern w:val="0"/>
          <w:sz w:val="24"/>
          <w:szCs w:val="24"/>
        </w:rPr>
        <w:t>基金合同约定的</w:t>
      </w:r>
      <w:r>
        <w:rPr>
          <w:rFonts w:hint="eastAsia" w:ascii="宋体" w:hAnsi="Times New Roman" w:eastAsia="宋体" w:cs="宋体"/>
          <w:kern w:val="0"/>
          <w:sz w:val="24"/>
          <w:szCs w:val="24"/>
        </w:rPr>
        <w:t>其它投资比例限制。</w:t>
      </w:r>
    </w:p>
    <w:p w14:paraId="184F35C4">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除上述第（1）、（2）、（11）、（1</w:t>
      </w:r>
      <w:r>
        <w:rPr>
          <w:rFonts w:ascii="宋体" w:hAnsi="Times New Roman" w:eastAsia="宋体" w:cs="宋体"/>
          <w:kern w:val="0"/>
          <w:sz w:val="24"/>
          <w:szCs w:val="24"/>
        </w:rPr>
        <w:t>6</w:t>
      </w:r>
      <w:r>
        <w:rPr>
          <w:rFonts w:hint="eastAsia" w:ascii="宋体" w:hAnsi="Times New Roman" w:eastAsia="宋体" w:cs="宋体"/>
          <w:kern w:val="0"/>
          <w:sz w:val="24"/>
          <w:szCs w:val="24"/>
        </w:rPr>
        <w:t>）、（1</w:t>
      </w:r>
      <w:r>
        <w:rPr>
          <w:rFonts w:ascii="宋体" w:hAnsi="Times New Roman" w:eastAsia="宋体" w:cs="宋体"/>
          <w:kern w:val="0"/>
          <w:sz w:val="24"/>
          <w:szCs w:val="24"/>
        </w:rPr>
        <w:t>7</w:t>
      </w:r>
      <w:r>
        <w:rPr>
          <w:rFonts w:hint="eastAsia" w:ascii="宋体" w:hAnsi="Times New Roman" w:eastAsia="宋体" w:cs="宋体"/>
          <w:kern w:val="0"/>
          <w:sz w:val="24"/>
          <w:szCs w:val="24"/>
        </w:rPr>
        <w:t>）、（1</w:t>
      </w:r>
      <w:r>
        <w:rPr>
          <w:rFonts w:ascii="宋体" w:hAnsi="Times New Roman" w:eastAsia="宋体" w:cs="宋体"/>
          <w:kern w:val="0"/>
          <w:sz w:val="24"/>
          <w:szCs w:val="24"/>
        </w:rPr>
        <w:t>8</w:t>
      </w:r>
      <w:r>
        <w:rPr>
          <w:rFonts w:hint="eastAsia" w:ascii="宋体" w:hAnsi="Times New Roman" w:eastAsia="宋体" w:cs="宋体"/>
          <w:kern w:val="0"/>
          <w:sz w:val="24"/>
          <w:szCs w:val="24"/>
        </w:rPr>
        <w:t>）项外，</w:t>
      </w:r>
      <w:r>
        <w:rPr>
          <w:rFonts w:ascii="宋体" w:hAnsi="Times New Roman" w:eastAsia="宋体" w:cs="宋体"/>
          <w:kern w:val="0"/>
          <w:sz w:val="24"/>
          <w:szCs w:val="24"/>
        </w:rPr>
        <w:t>因证券</w:t>
      </w:r>
      <w:r>
        <w:rPr>
          <w:rFonts w:hint="eastAsia" w:ascii="宋体" w:hAnsi="Times New Roman" w:eastAsia="宋体" w:cs="宋体"/>
          <w:kern w:val="0"/>
          <w:sz w:val="24"/>
          <w:szCs w:val="24"/>
        </w:rPr>
        <w:t>、期货</w:t>
      </w:r>
      <w:r>
        <w:rPr>
          <w:rFonts w:ascii="宋体" w:hAnsi="Times New Roman" w:eastAsia="宋体" w:cs="宋体"/>
          <w:kern w:val="0"/>
          <w:sz w:val="24"/>
          <w:szCs w:val="24"/>
        </w:rPr>
        <w:t>市场波动、</w:t>
      </w:r>
      <w:r>
        <w:rPr>
          <w:rFonts w:hint="eastAsia" w:ascii="宋体" w:hAnsi="Times New Roman" w:eastAsia="宋体" w:cs="宋体"/>
          <w:kern w:val="0"/>
          <w:sz w:val="24"/>
          <w:szCs w:val="24"/>
        </w:rPr>
        <w:t>证券发行人</w:t>
      </w:r>
      <w:r>
        <w:rPr>
          <w:rFonts w:ascii="宋体" w:hAnsi="Times New Roman" w:eastAsia="宋体" w:cs="宋体"/>
          <w:kern w:val="0"/>
          <w:sz w:val="24"/>
          <w:szCs w:val="24"/>
        </w:rPr>
        <w:t>合并、基金规模变动</w:t>
      </w:r>
      <w:r>
        <w:rPr>
          <w:rFonts w:hint="eastAsia" w:ascii="宋体" w:hAnsi="Times New Roman" w:eastAsia="宋体" w:cs="宋体"/>
          <w:kern w:val="0"/>
          <w:sz w:val="24"/>
          <w:szCs w:val="24"/>
        </w:rPr>
        <w:t>、标的指数成份股调整、标的指数成份股流动性限制</w:t>
      </w:r>
      <w:r>
        <w:rPr>
          <w:rFonts w:hint="eastAsia" w:ascii="宋体" w:hAnsi="Times New Roman" w:cs="宋体"/>
          <w:sz w:val="24"/>
          <w:szCs w:val="24"/>
        </w:rPr>
        <w:t>、目标ETF暂停申购/赎回或二级市场交易停牌</w:t>
      </w:r>
      <w:r>
        <w:rPr>
          <w:rFonts w:ascii="宋体" w:hAnsi="Times New Roman" w:eastAsia="宋体" w:cs="宋体"/>
          <w:kern w:val="0"/>
          <w:sz w:val="24"/>
          <w:szCs w:val="24"/>
        </w:rPr>
        <w:t>等基金管理人之外的因素致使基金投资比例不符合上述规定投资比例的，基金管理人应当在10个交易日内进行调整</w:t>
      </w:r>
      <w:r>
        <w:rPr>
          <w:rFonts w:hint="eastAsia" w:ascii="宋体" w:hAnsi="Times New Roman" w:eastAsia="宋体" w:cs="宋体"/>
          <w:kern w:val="0"/>
          <w:sz w:val="24"/>
          <w:szCs w:val="24"/>
        </w:rPr>
        <w:t>，但中国证监会规定的特殊情形除外</w:t>
      </w:r>
      <w:r>
        <w:rPr>
          <w:rFonts w:ascii="宋体" w:hAnsi="Times New Roman" w:eastAsia="宋体" w:cs="宋体"/>
          <w:kern w:val="0"/>
          <w:sz w:val="24"/>
          <w:szCs w:val="24"/>
        </w:rPr>
        <w:t>。</w:t>
      </w:r>
      <w:r>
        <w:rPr>
          <w:rFonts w:hint="eastAsia" w:ascii="宋体" w:hAnsi="Times New Roman" w:cs="宋体"/>
          <w:sz w:val="24"/>
          <w:szCs w:val="24"/>
        </w:rPr>
        <w:t>因证券、期货市场波动、证券发行人合并、基金规模变动、标的指数成份股调整、标的指数成份股流动性限制、目标ETF暂停申购/赎回或二级市场交易停牌等基金管理人之外的因素致使基金投资比例不符合上述第（1）项规定的比例的，基金管理人应当在20个交易日内进行调整</w:t>
      </w:r>
      <w:r>
        <w:rPr>
          <w:rFonts w:ascii="宋体" w:hAnsi="Times New Roman" w:eastAsia="宋体" w:cs="宋体"/>
          <w:kern w:val="0"/>
          <w:sz w:val="24"/>
          <w:szCs w:val="24"/>
        </w:rPr>
        <w:t>。</w:t>
      </w:r>
    </w:p>
    <w:p w14:paraId="148CC84A">
      <w:pPr>
        <w:adjustRightInd w:val="0"/>
        <w:snapToGrid w:val="0"/>
        <w:spacing w:line="360" w:lineRule="auto"/>
        <w:ind w:firstLine="422" w:firstLineChars="176"/>
        <w:rPr>
          <w:rFonts w:ascii="宋体" w:hAnsi="Times New Roman" w:eastAsia="宋体" w:cs="宋体"/>
          <w:kern w:val="0"/>
          <w:sz w:val="24"/>
          <w:szCs w:val="24"/>
        </w:rPr>
      </w:pPr>
      <w:r>
        <w:rPr>
          <w:rFonts w:ascii="宋体" w:hAnsi="Times New Roman" w:eastAsia="宋体" w:cs="宋体"/>
          <w:kern w:val="0"/>
          <w:sz w:val="24"/>
          <w:szCs w:val="24"/>
        </w:rPr>
        <w:t>基金管理人应当自基金合同生效之日起</w:t>
      </w:r>
      <w:r>
        <w:rPr>
          <w:rFonts w:hint="eastAsia" w:ascii="宋体" w:hAnsi="Times New Roman" w:eastAsia="宋体" w:cs="宋体"/>
          <w:kern w:val="0"/>
          <w:sz w:val="24"/>
          <w:szCs w:val="24"/>
        </w:rPr>
        <w:t>6</w:t>
      </w:r>
      <w:r>
        <w:rPr>
          <w:rFonts w:ascii="宋体" w:hAnsi="Times New Roman" w:eastAsia="宋体" w:cs="宋体"/>
          <w:kern w:val="0"/>
          <w:sz w:val="24"/>
          <w:szCs w:val="24"/>
        </w:rPr>
        <w:t>个月内使基金的投资组合比例符合基金合同的有关约定。</w:t>
      </w:r>
      <w:r>
        <w:rPr>
          <w:rFonts w:hint="eastAsia" w:ascii="宋体" w:hAnsi="Times New Roman" w:eastAsia="宋体" w:cs="宋体"/>
          <w:kern w:val="0"/>
          <w:sz w:val="24"/>
          <w:szCs w:val="24"/>
        </w:rPr>
        <w:t>在上述期间内，本基金的投资范围、投资策略应当符合基金合同的约定。</w:t>
      </w:r>
      <w:r>
        <w:rPr>
          <w:rFonts w:ascii="宋体" w:hAnsi="Times New Roman" w:eastAsia="宋体" w:cs="宋体"/>
          <w:kern w:val="0"/>
          <w:sz w:val="24"/>
          <w:szCs w:val="24"/>
        </w:rPr>
        <w:t>基金托管人对基金的投资的监督与检查自本基金合同生效之日起开始。</w:t>
      </w:r>
    </w:p>
    <w:p w14:paraId="2A8ED79E">
      <w:pPr>
        <w:adjustRightInd w:val="0"/>
        <w:snapToGrid w:val="0"/>
        <w:spacing w:line="360" w:lineRule="auto"/>
        <w:ind w:firstLine="422" w:firstLineChars="176"/>
        <w:rPr>
          <w:rFonts w:ascii="宋体" w:hAnsi="Times New Roman" w:eastAsia="宋体" w:cs="宋体"/>
          <w:kern w:val="0"/>
          <w:sz w:val="24"/>
          <w:szCs w:val="24"/>
        </w:rPr>
      </w:pPr>
      <w:r>
        <w:rPr>
          <w:rFonts w:ascii="宋体" w:hAnsi="Times New Roman" w:eastAsia="宋体" w:cs="宋体"/>
          <w:kern w:val="0"/>
          <w:sz w:val="24"/>
          <w:szCs w:val="24"/>
        </w:rPr>
        <w:t>法律法规或监管部门取消</w:t>
      </w:r>
      <w:r>
        <w:rPr>
          <w:rFonts w:hint="eastAsia" w:ascii="宋体" w:hAnsi="Times New Roman" w:eastAsia="宋体" w:cs="宋体"/>
          <w:kern w:val="0"/>
          <w:sz w:val="24"/>
          <w:szCs w:val="24"/>
        </w:rPr>
        <w:t>或变更</w:t>
      </w:r>
      <w:r>
        <w:rPr>
          <w:rFonts w:ascii="宋体" w:hAnsi="Times New Roman" w:eastAsia="宋体" w:cs="宋体"/>
          <w:kern w:val="0"/>
          <w:sz w:val="24"/>
          <w:szCs w:val="24"/>
        </w:rPr>
        <w:t>上述限制，如适用于本基金，基金管理人</w:t>
      </w:r>
      <w:r>
        <w:rPr>
          <w:rFonts w:hint="eastAsia" w:ascii="宋体" w:hAnsi="Times New Roman" w:eastAsia="宋体" w:cs="宋体"/>
          <w:kern w:val="0"/>
          <w:sz w:val="24"/>
          <w:szCs w:val="24"/>
        </w:rPr>
        <w:t>在</w:t>
      </w:r>
      <w:r>
        <w:rPr>
          <w:rFonts w:ascii="宋体" w:hAnsi="Times New Roman" w:eastAsia="宋体" w:cs="宋体"/>
          <w:kern w:val="0"/>
          <w:sz w:val="24"/>
          <w:szCs w:val="24"/>
        </w:rPr>
        <w:t>履行适当程序后，则本基金投资不再受相关限制</w:t>
      </w:r>
      <w:r>
        <w:rPr>
          <w:rFonts w:hint="eastAsia" w:ascii="宋体" w:hAnsi="Times New Roman" w:eastAsia="宋体" w:cs="宋体"/>
          <w:kern w:val="0"/>
          <w:sz w:val="24"/>
          <w:szCs w:val="24"/>
        </w:rPr>
        <w:t>，或以变更后的规定为准</w:t>
      </w:r>
      <w:r>
        <w:rPr>
          <w:rFonts w:ascii="宋体" w:hAnsi="Times New Roman" w:eastAsia="宋体" w:cs="宋体"/>
          <w:kern w:val="0"/>
          <w:sz w:val="24"/>
          <w:szCs w:val="24"/>
        </w:rPr>
        <w:t>。</w:t>
      </w:r>
    </w:p>
    <w:bookmarkEnd w:id="22"/>
    <w:p w14:paraId="6FAA3CFC">
      <w:pPr>
        <w:adjustRightInd w:val="0"/>
        <w:snapToGrid w:val="0"/>
        <w:spacing w:line="360" w:lineRule="auto"/>
        <w:ind w:firstLine="422" w:firstLineChars="176"/>
        <w:rPr>
          <w:rFonts w:ascii="宋体" w:hAnsi="Times New Roman" w:eastAsia="宋体" w:cs="宋体"/>
          <w:kern w:val="0"/>
          <w:sz w:val="24"/>
          <w:szCs w:val="24"/>
        </w:rPr>
      </w:pPr>
      <w:r>
        <w:rPr>
          <w:rFonts w:ascii="宋体" w:hAnsi="Times New Roman" w:eastAsia="宋体" w:cs="宋体"/>
          <w:kern w:val="0"/>
          <w:sz w:val="24"/>
          <w:szCs w:val="24"/>
        </w:rPr>
        <w:t>2</w:t>
      </w:r>
      <w:r>
        <w:rPr>
          <w:rFonts w:hint="eastAsia" w:ascii="宋体" w:hAnsi="Times New Roman" w:eastAsia="宋体" w:cs="宋体"/>
          <w:kern w:val="0"/>
          <w:sz w:val="24"/>
          <w:szCs w:val="24"/>
        </w:rPr>
        <w:t>、禁止行为</w:t>
      </w:r>
    </w:p>
    <w:p w14:paraId="3B52D6CE">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为维护基金份额持有人的合法权益，基金财产不得用于下列投资或者活动：</w:t>
      </w:r>
    </w:p>
    <w:p w14:paraId="6DBF76CE">
      <w:pPr>
        <w:adjustRightInd w:val="0"/>
        <w:snapToGrid w:val="0"/>
        <w:spacing w:line="360" w:lineRule="auto"/>
        <w:ind w:firstLine="422" w:firstLineChars="176"/>
        <w:rPr>
          <w:rFonts w:ascii="宋体" w:hAnsi="Times New Roman" w:eastAsia="宋体" w:cs="宋体"/>
          <w:kern w:val="0"/>
          <w:sz w:val="24"/>
          <w:szCs w:val="24"/>
        </w:rPr>
      </w:pPr>
      <w:bookmarkStart w:id="23" w:name="_Hlk104923730"/>
      <w:r>
        <w:rPr>
          <w:rFonts w:hint="eastAsia" w:ascii="宋体" w:hAnsi="Times New Roman" w:eastAsia="宋体" w:cs="宋体"/>
          <w:kern w:val="0"/>
          <w:sz w:val="24"/>
          <w:szCs w:val="24"/>
        </w:rPr>
        <w:t>（</w:t>
      </w:r>
      <w:r>
        <w:rPr>
          <w:rFonts w:ascii="宋体" w:hAnsi="Times New Roman" w:eastAsia="宋体" w:cs="宋体"/>
          <w:kern w:val="0"/>
          <w:sz w:val="24"/>
          <w:szCs w:val="24"/>
        </w:rPr>
        <w:t>1</w:t>
      </w:r>
      <w:r>
        <w:rPr>
          <w:rFonts w:hint="eastAsia" w:ascii="宋体" w:hAnsi="Times New Roman" w:eastAsia="宋体" w:cs="宋体"/>
          <w:kern w:val="0"/>
          <w:sz w:val="24"/>
          <w:szCs w:val="24"/>
        </w:rPr>
        <w:t>）承销证券；</w:t>
      </w:r>
    </w:p>
    <w:p w14:paraId="11D32796">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w:t>
      </w:r>
      <w:r>
        <w:rPr>
          <w:rFonts w:ascii="宋体" w:hAnsi="Times New Roman" w:eastAsia="宋体" w:cs="宋体"/>
          <w:kern w:val="0"/>
          <w:sz w:val="24"/>
          <w:szCs w:val="24"/>
        </w:rPr>
        <w:t>2</w:t>
      </w:r>
      <w:r>
        <w:rPr>
          <w:rFonts w:hint="eastAsia" w:ascii="宋体" w:hAnsi="Times New Roman" w:eastAsia="宋体" w:cs="宋体"/>
          <w:kern w:val="0"/>
          <w:sz w:val="24"/>
          <w:szCs w:val="24"/>
        </w:rPr>
        <w:t>）违反规定向他人贷款或者提供担保；</w:t>
      </w:r>
    </w:p>
    <w:p w14:paraId="524559A2">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w:t>
      </w:r>
      <w:r>
        <w:rPr>
          <w:rFonts w:ascii="宋体" w:hAnsi="Times New Roman" w:eastAsia="宋体" w:cs="宋体"/>
          <w:kern w:val="0"/>
          <w:sz w:val="24"/>
          <w:szCs w:val="24"/>
        </w:rPr>
        <w:t>3</w:t>
      </w:r>
      <w:r>
        <w:rPr>
          <w:rFonts w:hint="eastAsia" w:ascii="宋体" w:hAnsi="Times New Roman" w:eastAsia="宋体" w:cs="宋体"/>
          <w:kern w:val="0"/>
          <w:sz w:val="24"/>
          <w:szCs w:val="24"/>
        </w:rPr>
        <w:t>）从事承担无限责任的投资；</w:t>
      </w:r>
    </w:p>
    <w:p w14:paraId="70E5EBA3">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（4）买卖</w:t>
      </w:r>
      <w:r>
        <w:rPr>
          <w:rFonts w:hint="eastAsia" w:ascii="宋体" w:hAnsi="Times New Roman" w:cs="宋体"/>
          <w:sz w:val="24"/>
          <w:szCs w:val="24"/>
        </w:rPr>
        <w:t>除目标ETF外的</w:t>
      </w:r>
      <w:r>
        <w:rPr>
          <w:rFonts w:hint="eastAsia" w:ascii="宋体" w:hAnsi="Times New Roman" w:eastAsia="宋体" w:cs="宋体"/>
          <w:kern w:val="0"/>
          <w:sz w:val="24"/>
          <w:szCs w:val="24"/>
        </w:rPr>
        <w:t>其他基金份额，但是中国证监会另有规定的除外；</w:t>
      </w:r>
    </w:p>
    <w:p w14:paraId="7DB48059">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（5）向其基金管理人、基金托管人出资；</w:t>
      </w:r>
    </w:p>
    <w:p w14:paraId="53E52AF7">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（6）从事内幕交易、操纵证券交易价格及其他不正当的证券交易活动；</w:t>
      </w:r>
    </w:p>
    <w:p w14:paraId="212B6A93">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（7）法律、行政法规和中国证监会规定禁止的其他活动。</w:t>
      </w:r>
    </w:p>
    <w:p w14:paraId="7B053634">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基金管理人运用基金财产买卖基金管理人、基金托管人及其控股股东、实际控制人或者与其有其他重大利害关系的公司发行的证券或承销期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按法律法规履行信息披露义务。重大关联交易应提交基金管理人董事会审议，并经过三分之二以上的独立董事通过。基金管理人董事会应至少每半年对关联交易事项进行审查。</w:t>
      </w:r>
    </w:p>
    <w:p w14:paraId="13E19F4A">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法律、行政法规或监管部门变更或取消上述规定，在履行适当程序后，本基金可按变更后的规定执行或不受上述规定的限制。</w:t>
      </w:r>
    </w:p>
    <w:bookmarkEnd w:id="23"/>
    <w:p w14:paraId="5F597715">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五、标的指数和业绩比较基准</w:t>
      </w:r>
    </w:p>
    <w:p w14:paraId="6076424D">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本基金的标的指数为：中证有色金属矿业主题指数。</w:t>
      </w:r>
    </w:p>
    <w:p w14:paraId="05CE5D1B">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本基金业绩比较基准为：中证有色金属矿业主题指数收益率×95%+活期存款基准利率×5%。</w:t>
      </w:r>
    </w:p>
    <w:p w14:paraId="50A3F7F7">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1、业绩比较基准设定的原因</w:t>
      </w:r>
    </w:p>
    <w:p w14:paraId="064B9FC8">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本基金为股票型ETF联接基金，主要投资于目标ETF即博时中证有色金属矿业主题交易型开放式指数证券投资基金，以“紧密跟踪标的指数即中证有色金属矿业主题指数的表现，追求跟踪偏离度和跟踪误差的最小化”为投资目标，在投资中将不低于基金资产净值的90%，且不低于非现金基金资产的80%的资产投资于目标ETF，投资港股通标的股票的比例不超过本基金股票资产的10%。本基金的标的指数为中证有色金属矿业主题指数，相应选取中证有色金属矿业主题指数和活期存款基准利率作为基准要素，同时将中证有色金属矿业主题指数的基准要素权重设置为95%；选取活期存款基准利率作为流动性管理部分的业绩比较基准，同时将活期存款基准利率的基准要素权重设置为5%。</w:t>
      </w:r>
    </w:p>
    <w:p w14:paraId="212910E4">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综上，本基金选取的业绩比较基准与基金投资目标、投资范围、投资策略、投资比例限制相匹配。</w:t>
      </w:r>
    </w:p>
    <w:p w14:paraId="0F183DE0">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2、业绩比较基准要素的基本信息</w:t>
      </w:r>
    </w:p>
    <w:p w14:paraId="717655BF">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中证有色金属矿业主题指数由中证指数有限公司编制发布，指数代码为931892，具体信息详见中证指数有限公司网站，网址：https://www.csindex.com.cn/。</w:t>
      </w:r>
    </w:p>
    <w:p w14:paraId="02F35773">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活期存款基准利率由中国人民银行发布，具体信息详见中国人民银行网站，网址：www.pbc.gov.cn。</w:t>
      </w:r>
    </w:p>
    <w:p w14:paraId="65A6EF8C">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3、业绩比较基准的计算方法</w:t>
      </w:r>
    </w:p>
    <w:p w14:paraId="5ADDE06D">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本基金业绩比较基准收益率的计算方法以每日收益率为基础，以时间加权为计算原则。本基金先分别计算业绩比较基准中中证有色金属矿业主题指数和活期存款基准利率的每日收益率，再按照预设权重比例计算当日组合要素基准的日收益率，并连乘每日收益率。</w:t>
      </w:r>
    </w:p>
    <w:p w14:paraId="09192EE6">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4、管理投资偏离业绩比较基准的定性或定量方法</w:t>
      </w:r>
    </w:p>
    <w:p w14:paraId="7AFD9F6B">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本基金主要通过投资于目标ETF，实现对指数的紧密跟踪。在正常市场情况下，本基金力争与业绩比较基准之间的日均跟踪偏离度的绝对值不超过0.35%，年化跟踪误差不超过4%。如因指数编制规则调整或其他因素导致跟踪误差超过上述范围，基金管理人应采取合理措施避免跟踪误差进一步扩大。</w:t>
      </w:r>
    </w:p>
    <w:p w14:paraId="1102E237">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5、未来可能变更业绩比较基准的情况和程序</w:t>
      </w:r>
    </w:p>
    <w:p w14:paraId="373515D9">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若本基金调整业绩比较基准的要素权重，本基金将根据法律法规、中国证监会的规定和基金合同约定履行相关程序。</w:t>
      </w:r>
    </w:p>
    <w:p w14:paraId="3AFF0860">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未来若出现标的指数不符合要求（因成份股价格波动等指数编制方法变动之外的因素致使标的指数不符合要求以及法律法规、监管机构另有规定的情形除外）、指数编制机构退出等情形，基金管理人应当自该情形发生之日起十个工作日内向中国证监会报告并提出解决方案，如转换运作方式、与其他基金合并或者终止基金合同等，并在6个月内召集基金份额持有人大会进行表决</w:t>
      </w:r>
      <w:r>
        <w:rPr>
          <w:rFonts w:hint="eastAsia" w:asciiTheme="minorEastAsia" w:hAnsiTheme="minorEastAsia"/>
          <w:sz w:val="24"/>
        </w:rPr>
        <w:t>，基金份额持有人大会未成功召开或就上述事项表决未通过的，本基金合同终止</w:t>
      </w:r>
      <w:r>
        <w:rPr>
          <w:rFonts w:hint="eastAsia" w:ascii="宋体" w:hAnsi="Times New Roman" w:eastAsia="宋体" w:cs="宋体"/>
          <w:kern w:val="0"/>
          <w:sz w:val="24"/>
          <w:szCs w:val="24"/>
        </w:rPr>
        <w:t>。</w:t>
      </w:r>
    </w:p>
    <w:p w14:paraId="545F0B9A">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自指数编制机构停止标的指数的编制及发布至解决方案确定期间，基金管理人应按照指数编制机构提供的最近一个交易日的指数信息遵循基金份额持有人利益优先原则维持基金投资运作。</w:t>
      </w:r>
    </w:p>
    <w:p w14:paraId="117A0273">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六、风险收益特征</w:t>
      </w:r>
    </w:p>
    <w:p w14:paraId="3561258F">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本基金为ETF联接基金，通过投资于目标ETF跟踪标的指数表现，具有与标的指数以及标的指数所代表的证券市场相似的风险收益特征。同时，本基金为被动式投资的股票型指数基金，跟踪中证有色金属矿业主题指数，其预期风险与预期收益高于债券型基金、混合型基金、货币市场基金。本基金如果投资港股通标的股票，需承担汇率风险以及境外市场的风险。</w:t>
      </w:r>
    </w:p>
    <w:p w14:paraId="54D1B7D8">
      <w:pPr>
        <w:pStyle w:val="8"/>
        <w:spacing w:line="360" w:lineRule="auto"/>
        <w:ind w:firstLine="480" w:firstLineChars="200"/>
        <w:rPr>
          <w:rFonts w:asciiTheme="minorEastAsia" w:hAnsiTheme="minorEastAsia" w:cstheme="minorEastAsia"/>
          <w:sz w:val="24"/>
          <w:szCs w:val="24"/>
        </w:rPr>
      </w:pPr>
      <w:r>
        <w:rPr>
          <w:rFonts w:hint="eastAsia" w:asciiTheme="minorEastAsia" w:hAnsiTheme="minorEastAsia" w:cstheme="minorEastAsia"/>
          <w:sz w:val="24"/>
          <w:szCs w:val="24"/>
        </w:rPr>
        <w:t>七、目标</w:t>
      </w:r>
      <w:r>
        <w:rPr>
          <w:rFonts w:asciiTheme="minorEastAsia" w:hAnsiTheme="minorEastAsia" w:cstheme="minorEastAsia"/>
          <w:sz w:val="24"/>
          <w:szCs w:val="24"/>
        </w:rPr>
        <w:t>ETF</w:t>
      </w:r>
      <w:r>
        <w:rPr>
          <w:rFonts w:hint="eastAsia" w:asciiTheme="minorEastAsia" w:hAnsiTheme="minorEastAsia" w:cstheme="minorEastAsia"/>
          <w:sz w:val="24"/>
          <w:szCs w:val="24"/>
        </w:rPr>
        <w:t>发生相关变更情形时的处理</w:t>
      </w:r>
    </w:p>
    <w:p w14:paraId="0C86CE49">
      <w:pPr>
        <w:pStyle w:val="8"/>
        <w:spacing w:line="360" w:lineRule="auto"/>
        <w:ind w:firstLine="480" w:firstLineChars="200"/>
        <w:rPr>
          <w:rFonts w:asciiTheme="minorEastAsia" w:hAnsiTheme="minorEastAsia" w:cstheme="minorEastAsia"/>
          <w:sz w:val="24"/>
          <w:szCs w:val="24"/>
        </w:rPr>
      </w:pPr>
      <w:r>
        <w:rPr>
          <w:rFonts w:hint="eastAsia" w:asciiTheme="minorEastAsia" w:hAnsiTheme="minorEastAsia" w:cstheme="minorEastAsia"/>
          <w:sz w:val="24"/>
          <w:szCs w:val="24"/>
        </w:rPr>
        <w:t>除标的指数不符合要求（因成份股价格波动等指数编制方法变动之外的因素致使标的指数不符合要求以及法律法规、监管机构另有规定的情形除外）、指数编制机构退出等原因外，目标</w:t>
      </w:r>
      <w:r>
        <w:rPr>
          <w:rFonts w:asciiTheme="minorEastAsia" w:hAnsiTheme="minorEastAsia" w:cstheme="minorEastAsia"/>
          <w:sz w:val="24"/>
          <w:szCs w:val="24"/>
        </w:rPr>
        <w:t>ETF</w:t>
      </w:r>
      <w:r>
        <w:rPr>
          <w:rFonts w:hint="eastAsia" w:asciiTheme="minorEastAsia" w:hAnsiTheme="minorEastAsia" w:cstheme="minorEastAsia"/>
          <w:sz w:val="24"/>
          <w:szCs w:val="24"/>
        </w:rPr>
        <w:t>出现下述情形之一的，本基金将在履行适当程序后由投资于目标</w:t>
      </w:r>
      <w:r>
        <w:rPr>
          <w:rFonts w:asciiTheme="minorEastAsia" w:hAnsiTheme="minorEastAsia" w:cstheme="minorEastAsia"/>
          <w:sz w:val="24"/>
          <w:szCs w:val="24"/>
        </w:rPr>
        <w:t>ETF</w:t>
      </w:r>
      <w:r>
        <w:rPr>
          <w:rFonts w:hint="eastAsia" w:asciiTheme="minorEastAsia" w:hAnsiTheme="minorEastAsia" w:cstheme="minorEastAsia"/>
          <w:sz w:val="24"/>
          <w:szCs w:val="24"/>
        </w:rPr>
        <w:t>的联接基金变更为直接投资标的指数的指数基金，无需召开基金份额持有人大会；若届时本基金管理人已有以该指数作为标的指数的指数基金，基金管理人应本着维护投资人合法权益的原则，提出解决方案，并相应履行适当程序，届时将由基金管理人另行公告。相应地，本基金基金合同中将删除关于目标</w:t>
      </w:r>
      <w:r>
        <w:rPr>
          <w:rFonts w:asciiTheme="minorEastAsia" w:hAnsiTheme="minorEastAsia" w:cstheme="minorEastAsia"/>
          <w:sz w:val="24"/>
          <w:szCs w:val="24"/>
        </w:rPr>
        <w:t>ETF</w:t>
      </w:r>
      <w:r>
        <w:rPr>
          <w:rFonts w:hint="eastAsia" w:asciiTheme="minorEastAsia" w:hAnsiTheme="minorEastAsia" w:cstheme="minorEastAsia"/>
          <w:sz w:val="24"/>
          <w:szCs w:val="24"/>
        </w:rPr>
        <w:t>的表述部分，届时将由基金管理人另行公告。</w:t>
      </w:r>
    </w:p>
    <w:p w14:paraId="2AA480D1">
      <w:pPr>
        <w:pStyle w:val="8"/>
        <w:spacing w:line="360" w:lineRule="auto"/>
        <w:ind w:firstLine="480" w:firstLineChars="200"/>
        <w:rPr>
          <w:rFonts w:asciiTheme="minorEastAsia" w:hAnsiTheme="minorEastAsia" w:cstheme="minorEastAsia"/>
          <w:sz w:val="24"/>
          <w:szCs w:val="24"/>
        </w:rPr>
      </w:pPr>
      <w:r>
        <w:rPr>
          <w:rFonts w:asciiTheme="minorEastAsia" w:hAnsiTheme="minorEastAsia" w:cstheme="minorEastAsia"/>
          <w:sz w:val="24"/>
          <w:szCs w:val="24"/>
        </w:rPr>
        <w:t>1</w:t>
      </w:r>
      <w:r>
        <w:rPr>
          <w:rFonts w:hint="eastAsia" w:asciiTheme="minorEastAsia" w:hAnsiTheme="minorEastAsia" w:cstheme="minorEastAsia"/>
          <w:sz w:val="24"/>
          <w:szCs w:val="24"/>
        </w:rPr>
        <w:t>、目标</w:t>
      </w:r>
      <w:r>
        <w:rPr>
          <w:rFonts w:asciiTheme="minorEastAsia" w:hAnsiTheme="minorEastAsia" w:cstheme="minorEastAsia"/>
          <w:sz w:val="24"/>
          <w:szCs w:val="24"/>
        </w:rPr>
        <w:t>ETF</w:t>
      </w:r>
      <w:r>
        <w:rPr>
          <w:rFonts w:hint="eastAsia" w:asciiTheme="minorEastAsia" w:hAnsiTheme="minorEastAsia" w:cstheme="minorEastAsia"/>
          <w:sz w:val="24"/>
          <w:szCs w:val="24"/>
        </w:rPr>
        <w:t>交易方式发生重大变更致使本基金的投资策略难以实现；</w:t>
      </w:r>
    </w:p>
    <w:p w14:paraId="03EE918B">
      <w:pPr>
        <w:pStyle w:val="8"/>
        <w:spacing w:line="360" w:lineRule="auto"/>
        <w:ind w:firstLine="480" w:firstLineChars="200"/>
        <w:rPr>
          <w:rFonts w:asciiTheme="minorEastAsia" w:hAnsiTheme="minorEastAsia" w:cstheme="minorEastAsia"/>
          <w:sz w:val="24"/>
          <w:szCs w:val="24"/>
        </w:rPr>
      </w:pPr>
      <w:r>
        <w:rPr>
          <w:rFonts w:asciiTheme="minorEastAsia" w:hAnsiTheme="minorEastAsia" w:cstheme="minorEastAsia"/>
          <w:sz w:val="24"/>
          <w:szCs w:val="24"/>
        </w:rPr>
        <w:t>2</w:t>
      </w:r>
      <w:r>
        <w:rPr>
          <w:rFonts w:hint="eastAsia" w:asciiTheme="minorEastAsia" w:hAnsiTheme="minorEastAsia" w:cstheme="minorEastAsia"/>
          <w:sz w:val="24"/>
          <w:szCs w:val="24"/>
        </w:rPr>
        <w:t>、目标</w:t>
      </w:r>
      <w:r>
        <w:rPr>
          <w:rFonts w:asciiTheme="minorEastAsia" w:hAnsiTheme="minorEastAsia" w:cstheme="minorEastAsia"/>
          <w:sz w:val="24"/>
          <w:szCs w:val="24"/>
        </w:rPr>
        <w:t>ETF</w:t>
      </w:r>
      <w:r>
        <w:rPr>
          <w:rFonts w:hint="eastAsia" w:asciiTheme="minorEastAsia" w:hAnsiTheme="minorEastAsia" w:cstheme="minorEastAsia"/>
          <w:sz w:val="24"/>
          <w:szCs w:val="24"/>
        </w:rPr>
        <w:t>终止上市；</w:t>
      </w:r>
    </w:p>
    <w:p w14:paraId="72523D23">
      <w:pPr>
        <w:pStyle w:val="8"/>
        <w:spacing w:line="360" w:lineRule="auto"/>
        <w:ind w:firstLine="480" w:firstLineChars="200"/>
        <w:rPr>
          <w:rFonts w:asciiTheme="minorEastAsia" w:hAnsiTheme="minorEastAsia" w:cstheme="minorEastAsia"/>
          <w:sz w:val="24"/>
          <w:szCs w:val="24"/>
        </w:rPr>
      </w:pPr>
      <w:r>
        <w:rPr>
          <w:rFonts w:asciiTheme="minorEastAsia" w:hAnsiTheme="minorEastAsia" w:cstheme="minorEastAsia"/>
          <w:sz w:val="24"/>
          <w:szCs w:val="24"/>
        </w:rPr>
        <w:t>3</w:t>
      </w:r>
      <w:r>
        <w:rPr>
          <w:rFonts w:hint="eastAsia" w:asciiTheme="minorEastAsia" w:hAnsiTheme="minorEastAsia" w:cstheme="minorEastAsia"/>
          <w:sz w:val="24"/>
          <w:szCs w:val="24"/>
        </w:rPr>
        <w:t>、目标</w:t>
      </w:r>
      <w:r>
        <w:rPr>
          <w:rFonts w:asciiTheme="minorEastAsia" w:hAnsiTheme="minorEastAsia" w:cstheme="minorEastAsia"/>
          <w:sz w:val="24"/>
          <w:szCs w:val="24"/>
        </w:rPr>
        <w:t>ETF</w:t>
      </w:r>
      <w:r>
        <w:rPr>
          <w:rFonts w:hint="eastAsia" w:asciiTheme="minorEastAsia" w:hAnsiTheme="minorEastAsia" w:cstheme="minorEastAsia"/>
          <w:sz w:val="24"/>
          <w:szCs w:val="24"/>
        </w:rPr>
        <w:t>基金合同终止；</w:t>
      </w:r>
    </w:p>
    <w:p w14:paraId="58005808">
      <w:pPr>
        <w:pStyle w:val="8"/>
        <w:spacing w:line="360" w:lineRule="auto"/>
        <w:ind w:firstLine="480" w:firstLineChars="200"/>
        <w:rPr>
          <w:rFonts w:asciiTheme="minorEastAsia" w:hAnsiTheme="minorEastAsia" w:cstheme="minorEastAsia"/>
          <w:sz w:val="24"/>
          <w:szCs w:val="24"/>
        </w:rPr>
      </w:pPr>
      <w:r>
        <w:rPr>
          <w:rFonts w:asciiTheme="minorEastAsia" w:hAnsiTheme="minorEastAsia" w:cstheme="minorEastAsia"/>
          <w:sz w:val="24"/>
          <w:szCs w:val="24"/>
        </w:rPr>
        <w:t>4</w:t>
      </w:r>
      <w:r>
        <w:rPr>
          <w:rFonts w:hint="eastAsia" w:asciiTheme="minorEastAsia" w:hAnsiTheme="minorEastAsia" w:cstheme="minorEastAsia"/>
          <w:sz w:val="24"/>
          <w:szCs w:val="24"/>
        </w:rPr>
        <w:t>、目标</w:t>
      </w:r>
      <w:r>
        <w:rPr>
          <w:rFonts w:asciiTheme="minorEastAsia" w:hAnsiTheme="minorEastAsia" w:cstheme="minorEastAsia"/>
          <w:sz w:val="24"/>
          <w:szCs w:val="24"/>
        </w:rPr>
        <w:t>ETF</w:t>
      </w:r>
      <w:r>
        <w:rPr>
          <w:rFonts w:hint="eastAsia" w:asciiTheme="minorEastAsia" w:hAnsiTheme="minorEastAsia" w:cstheme="minorEastAsia"/>
          <w:sz w:val="24"/>
          <w:szCs w:val="24"/>
        </w:rPr>
        <w:t>与其他基金进行合并；</w:t>
      </w:r>
    </w:p>
    <w:p w14:paraId="203E0F8A">
      <w:pPr>
        <w:pStyle w:val="8"/>
        <w:spacing w:line="360" w:lineRule="auto"/>
        <w:ind w:firstLine="480" w:firstLineChars="200"/>
        <w:rPr>
          <w:rFonts w:asciiTheme="minorEastAsia" w:hAnsiTheme="minorEastAsia" w:cstheme="minorEastAsia"/>
          <w:sz w:val="24"/>
          <w:szCs w:val="24"/>
        </w:rPr>
      </w:pPr>
      <w:r>
        <w:rPr>
          <w:rFonts w:asciiTheme="minorEastAsia" w:hAnsiTheme="minorEastAsia" w:cstheme="minorEastAsia"/>
          <w:sz w:val="24"/>
          <w:szCs w:val="24"/>
        </w:rPr>
        <w:t>5</w:t>
      </w:r>
      <w:r>
        <w:rPr>
          <w:rFonts w:hint="eastAsia" w:asciiTheme="minorEastAsia" w:hAnsiTheme="minorEastAsia" w:cstheme="minorEastAsia"/>
          <w:sz w:val="24"/>
          <w:szCs w:val="24"/>
        </w:rPr>
        <w:t>、目标</w:t>
      </w:r>
      <w:r>
        <w:rPr>
          <w:rFonts w:asciiTheme="minorEastAsia" w:hAnsiTheme="minorEastAsia" w:cstheme="minorEastAsia"/>
          <w:sz w:val="24"/>
          <w:szCs w:val="24"/>
        </w:rPr>
        <w:t>ETF</w:t>
      </w:r>
      <w:r>
        <w:rPr>
          <w:rFonts w:hint="eastAsia" w:asciiTheme="minorEastAsia" w:hAnsiTheme="minorEastAsia" w:cstheme="minorEastAsia"/>
          <w:sz w:val="24"/>
          <w:szCs w:val="24"/>
        </w:rPr>
        <w:t>的基金管理人发生变更（但变更后的本基金与目标</w:t>
      </w:r>
      <w:r>
        <w:rPr>
          <w:rFonts w:asciiTheme="minorEastAsia" w:hAnsiTheme="minorEastAsia" w:cstheme="minorEastAsia"/>
          <w:sz w:val="24"/>
          <w:szCs w:val="24"/>
        </w:rPr>
        <w:t>ETF</w:t>
      </w:r>
      <w:r>
        <w:rPr>
          <w:rFonts w:hint="eastAsia" w:asciiTheme="minorEastAsia" w:hAnsiTheme="minorEastAsia" w:cstheme="minorEastAsia"/>
          <w:sz w:val="24"/>
          <w:szCs w:val="24"/>
        </w:rPr>
        <w:t>的基金管理人相同的除外）；</w:t>
      </w:r>
    </w:p>
    <w:p w14:paraId="07E6D270">
      <w:pPr>
        <w:pStyle w:val="8"/>
        <w:spacing w:line="360" w:lineRule="auto"/>
        <w:ind w:firstLine="480" w:firstLineChars="200"/>
        <w:rPr>
          <w:rFonts w:asciiTheme="minorEastAsia" w:hAnsiTheme="minorEastAsia" w:cstheme="minorEastAsia"/>
          <w:sz w:val="24"/>
          <w:szCs w:val="24"/>
        </w:rPr>
      </w:pPr>
      <w:r>
        <w:rPr>
          <w:rFonts w:asciiTheme="minorEastAsia" w:hAnsiTheme="minorEastAsia" w:cstheme="minorEastAsia"/>
          <w:sz w:val="24"/>
          <w:szCs w:val="24"/>
        </w:rPr>
        <w:t>6</w:t>
      </w:r>
      <w:r>
        <w:rPr>
          <w:rFonts w:hint="eastAsia" w:asciiTheme="minorEastAsia" w:hAnsiTheme="minorEastAsia" w:cstheme="minorEastAsia"/>
          <w:sz w:val="24"/>
          <w:szCs w:val="24"/>
        </w:rPr>
        <w:t>、中国证监会规定的其他情形。</w:t>
      </w:r>
    </w:p>
    <w:p w14:paraId="2A58A17A">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八、基金管理人代表基金行使股东或债权人权利的处理原则及方法</w:t>
      </w:r>
    </w:p>
    <w:p w14:paraId="61601380">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 xml:space="preserve">1、基金管理人按照国家有关规定代表基金独立行使股东或债权人权利，保护基金份额持有人的利益； </w:t>
      </w:r>
    </w:p>
    <w:p w14:paraId="6EF05CDA">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 xml:space="preserve">2、不谋求对上市公司的控股； </w:t>
      </w:r>
    </w:p>
    <w:p w14:paraId="265E4DEF">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 xml:space="preserve">3、有利于基金财产的安全与增值； </w:t>
      </w:r>
    </w:p>
    <w:p w14:paraId="6436077D">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4、不通过关联交易为自身、雇员、授权代理人或任何存在利害关系的第三人牟取任何不当利益。</w:t>
      </w:r>
    </w:p>
    <w:p w14:paraId="79B9A102">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九、侧袋机制的实施和投资运作安排</w:t>
      </w:r>
    </w:p>
    <w:p w14:paraId="6398C320">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无需召开基金份额持有人大会审议。</w:t>
      </w:r>
    </w:p>
    <w:p w14:paraId="6FCDC2FB">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侧袋机制实施期间，本部分约定的投资组合比例、投资策略、组合限制、业绩比较基准、风险收益特征等约定仅适用于主袋账户。</w:t>
      </w:r>
    </w:p>
    <w:p w14:paraId="19F324B5">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侧袋账户的实施条件、实施程序、运作安排、投资安排、特定资产的处置变现和支付等对投资者权益有重大影响的事项详见招募说明书的规定。</w:t>
      </w:r>
    </w:p>
    <w:p w14:paraId="391A6463">
      <w:pPr>
        <w:tabs>
          <w:tab w:val="left" w:pos="3780"/>
        </w:tabs>
        <w:autoSpaceDE w:val="0"/>
        <w:autoSpaceDN w:val="0"/>
        <w:snapToGrid w:val="0"/>
        <w:spacing w:line="360" w:lineRule="auto"/>
        <w:ind w:firstLine="482" w:firstLineChars="201"/>
        <w:textAlignment w:val="bottom"/>
        <w:rPr>
          <w:rFonts w:ascii="Arial" w:hAnsi="宋体" w:eastAsia="宋体" w:cs="Arial"/>
          <w:sz w:val="24"/>
          <w:szCs w:val="24"/>
        </w:rPr>
        <w:sectPr>
          <w:footerReference r:id="rId15" w:type="default"/>
          <w:pgSz w:w="11906" w:h="16838"/>
          <w:pgMar w:top="1440" w:right="1800" w:bottom="1440" w:left="1800" w:header="851" w:footer="992" w:gutter="0"/>
          <w:pgNumType w:start="1"/>
          <w:cols w:space="425" w:num="1"/>
          <w:docGrid w:type="lines" w:linePitch="312" w:charSpace="0"/>
        </w:sectPr>
      </w:pPr>
    </w:p>
    <w:p w14:paraId="38B48826">
      <w:pPr>
        <w:pStyle w:val="2"/>
        <w:spacing w:before="0" w:after="0" w:line="360" w:lineRule="auto"/>
        <w:ind w:firstLine="602" w:firstLineChars="200"/>
        <w:jc w:val="center"/>
        <w:rPr>
          <w:rFonts w:ascii="Times New Roman" w:hAnsi="Times New Roman"/>
          <w:kern w:val="0"/>
          <w:sz w:val="30"/>
          <w:lang w:val="zh-CN"/>
        </w:rPr>
      </w:pPr>
      <w:bookmarkStart w:id="24" w:name="_Toc471235850"/>
      <w:r>
        <w:rPr>
          <w:rFonts w:hint="eastAsia" w:ascii="Times New Roman" w:hAnsi="Times New Roman"/>
          <w:kern w:val="0"/>
          <w:sz w:val="30"/>
          <w:lang w:val="zh-CN"/>
        </w:rPr>
        <w:t>第十三部分</w:t>
      </w:r>
      <w:r>
        <w:rPr>
          <w:rFonts w:ascii="Times New Roman" w:hAnsi="Times New Roman"/>
          <w:kern w:val="0"/>
          <w:sz w:val="30"/>
          <w:lang w:val="zh-CN"/>
        </w:rPr>
        <w:t xml:space="preserve"> </w:t>
      </w:r>
      <w:r>
        <w:rPr>
          <w:rFonts w:hint="eastAsia" w:ascii="Times New Roman" w:hAnsi="Times New Roman"/>
          <w:kern w:val="0"/>
          <w:sz w:val="30"/>
          <w:lang w:val="zh-CN"/>
        </w:rPr>
        <w:t>基金的财产</w:t>
      </w:r>
      <w:bookmarkEnd w:id="24"/>
    </w:p>
    <w:p w14:paraId="389EE66C">
      <w:pPr>
        <w:autoSpaceDE w:val="0"/>
        <w:autoSpaceDN w:val="0"/>
        <w:adjustRightInd w:val="0"/>
        <w:spacing w:line="360" w:lineRule="auto"/>
        <w:ind w:firstLine="480" w:firstLineChars="200"/>
        <w:jc w:val="left"/>
        <w:rPr>
          <w:rFonts w:cs="宋体" w:asciiTheme="minorEastAsia" w:hAnsiTheme="minorEastAsia"/>
          <w:kern w:val="0"/>
          <w:sz w:val="24"/>
          <w:szCs w:val="24"/>
        </w:rPr>
      </w:pPr>
    </w:p>
    <w:p w14:paraId="4178730D">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一、基金资产总值</w:t>
      </w:r>
    </w:p>
    <w:p w14:paraId="6F3AD0F2">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基金资产总值是指基金拥有的目标ETF基金份额、各类有价证券、银行存款本息、基金应收款项及其他资产的价值总和。</w:t>
      </w:r>
    </w:p>
    <w:p w14:paraId="37689EFB">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二、基金资产净值</w:t>
      </w:r>
    </w:p>
    <w:p w14:paraId="1D48A4C3">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基金资产净值是指基金资产总值减去基金负债后的价值。</w:t>
      </w:r>
    </w:p>
    <w:p w14:paraId="51163DC2">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三、基金财产的账户</w:t>
      </w:r>
    </w:p>
    <w:p w14:paraId="05F2D1EA">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w:t>
      </w:r>
    </w:p>
    <w:p w14:paraId="32894CB4">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四、基金财产的保管和处分</w:t>
      </w:r>
    </w:p>
    <w:p w14:paraId="09DE72B4">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14:paraId="186BE15E">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不得对基金财产强制执行。</w:t>
      </w:r>
    </w:p>
    <w:p w14:paraId="1AF16DEE">
      <w:pPr>
        <w:autoSpaceDE w:val="0"/>
        <w:autoSpaceDN w:val="0"/>
        <w:adjustRightInd w:val="0"/>
        <w:spacing w:line="360" w:lineRule="auto"/>
        <w:ind w:firstLine="480" w:firstLineChars="200"/>
        <w:jc w:val="left"/>
        <w:rPr>
          <w:rFonts w:cs="宋体" w:asciiTheme="minorEastAsia" w:hAnsiTheme="minorEastAsia"/>
          <w:kern w:val="0"/>
          <w:sz w:val="24"/>
          <w:szCs w:val="24"/>
        </w:rPr>
        <w:sectPr>
          <w:footerReference r:id="rId16" w:type="default"/>
          <w:pgSz w:w="11906" w:h="16838"/>
          <w:pgMar w:top="1440" w:right="1800" w:bottom="1440" w:left="1800" w:header="851" w:footer="992" w:gutter="0"/>
          <w:pgNumType w:start="1"/>
          <w:cols w:space="425" w:num="1"/>
          <w:docGrid w:type="lines" w:linePitch="312" w:charSpace="0"/>
        </w:sectPr>
      </w:pPr>
    </w:p>
    <w:p w14:paraId="244D0200">
      <w:pPr>
        <w:pStyle w:val="2"/>
        <w:spacing w:before="0" w:after="0" w:line="360" w:lineRule="auto"/>
        <w:ind w:firstLine="602" w:firstLineChars="200"/>
        <w:jc w:val="center"/>
        <w:rPr>
          <w:rFonts w:ascii="Times New Roman" w:hAnsi="Times New Roman"/>
          <w:kern w:val="0"/>
          <w:sz w:val="30"/>
          <w:lang w:val="zh-CN"/>
        </w:rPr>
      </w:pPr>
      <w:bookmarkStart w:id="25" w:name="_Toc471235851"/>
      <w:r>
        <w:rPr>
          <w:rFonts w:hint="eastAsia" w:ascii="Times New Roman" w:hAnsi="Times New Roman"/>
          <w:kern w:val="0"/>
          <w:sz w:val="30"/>
          <w:lang w:val="zh-CN"/>
        </w:rPr>
        <w:t>第十四部分</w:t>
      </w:r>
      <w:r>
        <w:rPr>
          <w:rFonts w:ascii="Times New Roman" w:hAnsi="Times New Roman"/>
          <w:kern w:val="0"/>
          <w:sz w:val="30"/>
          <w:lang w:val="zh-CN"/>
        </w:rPr>
        <w:t xml:space="preserve"> </w:t>
      </w:r>
      <w:r>
        <w:rPr>
          <w:rFonts w:hint="eastAsia" w:ascii="Times New Roman" w:hAnsi="Times New Roman"/>
          <w:kern w:val="0"/>
          <w:sz w:val="30"/>
          <w:lang w:val="zh-CN"/>
        </w:rPr>
        <w:t>基金资产估值</w:t>
      </w:r>
      <w:bookmarkEnd w:id="25"/>
    </w:p>
    <w:p w14:paraId="2671933E">
      <w:pPr>
        <w:autoSpaceDE w:val="0"/>
        <w:autoSpaceDN w:val="0"/>
        <w:adjustRightInd w:val="0"/>
        <w:spacing w:line="360" w:lineRule="auto"/>
        <w:ind w:firstLine="480" w:firstLineChars="200"/>
        <w:jc w:val="left"/>
        <w:rPr>
          <w:rFonts w:cs="宋体" w:asciiTheme="minorEastAsia" w:hAnsiTheme="minorEastAsia"/>
          <w:kern w:val="0"/>
          <w:sz w:val="24"/>
          <w:szCs w:val="24"/>
        </w:rPr>
      </w:pPr>
    </w:p>
    <w:p w14:paraId="734F0D2D">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一、估值日</w:t>
      </w:r>
    </w:p>
    <w:p w14:paraId="12179926">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本基金的估值日为本基金相关的证券交易场所的交易日以及国家法律法规规定需要对外披露基金净值的非交易日。</w:t>
      </w:r>
    </w:p>
    <w:p w14:paraId="50A8274C">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二、估值对象</w:t>
      </w:r>
    </w:p>
    <w:p w14:paraId="25F30CD3">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基金所拥有的目标ETF基金份额、股票（含存托凭证）、股指期货合约、国债期货合约、股票期权合约、债券和银行存款本息、应收款项、资产支持证券、其它投资等资产及负债。</w:t>
      </w:r>
    </w:p>
    <w:p w14:paraId="20F2125F">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三、估值原则</w:t>
      </w:r>
    </w:p>
    <w:p w14:paraId="078AFD6B">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基金管理人在确定相关金融资产和金融负债的公允价值时，应符合</w:t>
      </w:r>
      <w:bookmarkStart w:id="26" w:name="_Hlk104924056"/>
      <w:r>
        <w:rPr>
          <w:rFonts w:hint="eastAsia" w:cs="宋体" w:asciiTheme="minorEastAsia" w:hAnsiTheme="minorEastAsia"/>
          <w:kern w:val="0"/>
          <w:sz w:val="24"/>
          <w:szCs w:val="24"/>
        </w:rPr>
        <w:t>《企业会计准则》</w:t>
      </w:r>
      <w:bookmarkEnd w:id="26"/>
      <w:r>
        <w:rPr>
          <w:rFonts w:hint="eastAsia" w:cs="宋体" w:asciiTheme="minorEastAsia" w:hAnsiTheme="minorEastAsia"/>
          <w:kern w:val="0"/>
          <w:sz w:val="24"/>
          <w:szCs w:val="24"/>
        </w:rPr>
        <w:t>、监管部门有关规定。</w:t>
      </w:r>
    </w:p>
    <w:p w14:paraId="67A1F70B">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一）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14:paraId="66198808">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14:paraId="2DDD054C">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二）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14:paraId="06FD2C2F">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（三）如经济环境发生重大变化或证券发行人发生影响证券价格的重大事件，使潜在估值调整对前一估值日的基金资产净值的影响在0.25%以上的，应对估值进行调整并确定公允价值。</w:t>
      </w:r>
    </w:p>
    <w:p w14:paraId="32118352">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四、估值方法</w:t>
      </w:r>
    </w:p>
    <w:p w14:paraId="6F29A884">
      <w:pPr>
        <w:autoSpaceDE w:val="0"/>
        <w:autoSpaceDN w:val="0"/>
        <w:adjustRightInd w:val="0"/>
        <w:spacing w:line="360" w:lineRule="auto"/>
        <w:ind w:firstLine="480" w:firstLineChars="200"/>
        <w:jc w:val="left"/>
        <w:rPr>
          <w:rFonts w:cs="宋体" w:asciiTheme="minorEastAsia" w:hAnsiTheme="minorEastAsia"/>
          <w:kern w:val="0"/>
          <w:sz w:val="24"/>
          <w:szCs w:val="24"/>
        </w:rPr>
      </w:pPr>
      <w:bookmarkStart w:id="27" w:name="_Hlk104924237"/>
      <w:r>
        <w:rPr>
          <w:rFonts w:hint="eastAsia" w:cs="宋体" w:asciiTheme="minorEastAsia" w:hAnsiTheme="minorEastAsia"/>
          <w:kern w:val="0"/>
          <w:sz w:val="24"/>
          <w:szCs w:val="24"/>
        </w:rPr>
        <w:t>1、本基金持有的目标ETF基金份额以其当日基金份额净值估值，当日无基金份额净值的，以最近工作日的基金份额净值估值。</w:t>
      </w:r>
    </w:p>
    <w:p w14:paraId="258C96B6">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2、交易所上市或挂牌转让的有价证券（包括股票等，本基金合同另有约定的除外），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14:paraId="59324874">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3、对于已上市或已挂牌转让的不含权固定收益品种，选取估值日第三方估值基准服务机构提供的相应品种当日的估值全价进行估值。</w:t>
      </w:r>
    </w:p>
    <w:p w14:paraId="437139C8">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4、对于已上市或已挂牌转让的含权固定收益品种，选取估值日第三方估值基准服务机构提供的相应品种当日的唯一估值全价或推荐估值全价进行估值。</w:t>
      </w:r>
    </w:p>
    <w:p w14:paraId="7C8EF218">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对于含投资者回售权的固定收益品种，行使回售权的，在回售登记日至实际收款日期间选取第三方估值基准服务机构提供的相应品种的唯一估值全价或推荐估值全价。回售登记期截止日（含当日）后未行使回售权的，按照长待偿期所对应的价格进行估值。</w:t>
      </w:r>
    </w:p>
    <w:p w14:paraId="1C29D72D">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5、对于在交易所市场上市交易的公开发行的可转换债券等有活跃市场的含转股权的债券，实行全价交易的债券选取估值日收盘价作为估值全价；实行净价交易的债券选取估值日收盘价并加计每百元税前应计利息作为估值全价。</w:t>
      </w:r>
    </w:p>
    <w:p w14:paraId="3A75323A">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6、对于未上市或未挂牌转让且不存在活跃市场的固定收益品种，应采用在当前情况下适用并且有足够可利用数据和其他信息支持的估值技术确定其公允价值。</w:t>
      </w:r>
    </w:p>
    <w:p w14:paraId="7DF39BB2">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7、处于未上市期间的有价证券应区分如下情况处理：</w:t>
      </w:r>
    </w:p>
    <w:p w14:paraId="05A8F1FB">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（1）送股、转增股、配股和公开增发的新股，按估值日在证券交易所挂牌的同一股票的估值方法估值；该日无交易的，以最近一日的市价（收盘价）估值；</w:t>
      </w:r>
    </w:p>
    <w:p w14:paraId="3D57D677">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（2）首次公开发行未上市的股票，采用估值技术确定公允价值；</w:t>
      </w:r>
    </w:p>
    <w:p w14:paraId="305C4964">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3）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14:paraId="2C360F13">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cs="宋体" w:asciiTheme="minorEastAsia" w:hAnsiTheme="minorEastAsia"/>
          <w:kern w:val="0"/>
          <w:sz w:val="24"/>
          <w:szCs w:val="24"/>
        </w:rPr>
        <w:t>8</w:t>
      </w:r>
      <w:r>
        <w:rPr>
          <w:rFonts w:hint="eastAsia" w:cs="宋体" w:asciiTheme="minorEastAsia" w:hAnsiTheme="minorEastAsia"/>
          <w:kern w:val="0"/>
          <w:sz w:val="24"/>
          <w:szCs w:val="24"/>
        </w:rPr>
        <w:t>、本基金投资存托凭证的估值核算，依照境内上市交易的股票执行。</w:t>
      </w:r>
    </w:p>
    <w:p w14:paraId="4C4E06F2">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cs="宋体" w:asciiTheme="minorEastAsia" w:hAnsiTheme="minorEastAsia"/>
          <w:kern w:val="0"/>
          <w:sz w:val="24"/>
          <w:szCs w:val="24"/>
        </w:rPr>
        <w:t>9</w:t>
      </w:r>
      <w:r>
        <w:rPr>
          <w:rFonts w:hint="eastAsia" w:cs="宋体" w:asciiTheme="minorEastAsia" w:hAnsiTheme="minorEastAsia"/>
          <w:kern w:val="0"/>
          <w:sz w:val="24"/>
          <w:szCs w:val="24"/>
        </w:rPr>
        <w:t>、同一证券同时在两个或两个以上市场交易的，按证券所处的市场分别估值。</w:t>
      </w:r>
    </w:p>
    <w:p w14:paraId="6D7ECCCD">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cs="宋体" w:asciiTheme="minorEastAsia" w:hAnsiTheme="minorEastAsia"/>
          <w:kern w:val="0"/>
          <w:sz w:val="24"/>
          <w:szCs w:val="24"/>
        </w:rPr>
        <w:t>1</w:t>
      </w:r>
      <w:r>
        <w:rPr>
          <w:rFonts w:hint="eastAsia" w:cs="宋体" w:asciiTheme="minorEastAsia" w:hAnsiTheme="minorEastAsia"/>
          <w:kern w:val="0"/>
          <w:sz w:val="24"/>
          <w:szCs w:val="24"/>
        </w:rPr>
        <w:t>0、本基金参与股指期货合约、国债期货合约交易，一般以估值当日结算价进行估值，估值当日无结算价的，且最近交易日后经济环境未发生重大变化的，采用最近交易日结算价估值。</w:t>
      </w:r>
    </w:p>
    <w:p w14:paraId="2A5CB4FA">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cs="宋体" w:asciiTheme="minorEastAsia" w:hAnsiTheme="minorEastAsia"/>
          <w:kern w:val="0"/>
          <w:sz w:val="24"/>
          <w:szCs w:val="24"/>
        </w:rPr>
        <w:t>1</w:t>
      </w:r>
      <w:r>
        <w:rPr>
          <w:rFonts w:hint="eastAsia" w:cs="宋体" w:asciiTheme="minorEastAsia" w:hAnsiTheme="minorEastAsia"/>
          <w:kern w:val="0"/>
          <w:sz w:val="24"/>
          <w:szCs w:val="24"/>
        </w:rPr>
        <w:t>1、本基金投资股票期权，根据相关法律法规以及监管部门的规定估值。</w:t>
      </w:r>
    </w:p>
    <w:p w14:paraId="1D8CBB66">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cs="宋体" w:asciiTheme="minorEastAsia" w:hAnsiTheme="minorEastAsia"/>
          <w:kern w:val="0"/>
          <w:sz w:val="24"/>
          <w:szCs w:val="24"/>
        </w:rPr>
        <w:t>1</w:t>
      </w:r>
      <w:r>
        <w:rPr>
          <w:rFonts w:hint="eastAsia" w:cs="宋体" w:asciiTheme="minorEastAsia" w:hAnsiTheme="minorEastAsia"/>
          <w:kern w:val="0"/>
          <w:sz w:val="24"/>
          <w:szCs w:val="24"/>
        </w:rPr>
        <w:t>2、本基金参与融资及转融通证券出借业务的，应参照行业协会的相关规定进行估值，确保估值的公允性。</w:t>
      </w:r>
    </w:p>
    <w:p w14:paraId="5883AC8C">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cs="宋体" w:asciiTheme="minorEastAsia" w:hAnsiTheme="minorEastAsia"/>
          <w:kern w:val="0"/>
          <w:sz w:val="24"/>
          <w:szCs w:val="24"/>
        </w:rPr>
        <w:t>1</w:t>
      </w:r>
      <w:r>
        <w:rPr>
          <w:rFonts w:hint="eastAsia" w:cs="宋体" w:asciiTheme="minorEastAsia" w:hAnsiTheme="minorEastAsia"/>
          <w:kern w:val="0"/>
          <w:sz w:val="24"/>
          <w:szCs w:val="24"/>
        </w:rPr>
        <w:t>3、汇率</w:t>
      </w:r>
    </w:p>
    <w:p w14:paraId="1A4F2B4E">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本基金外币资产价值计算中，涉及主要货币对人民币汇率的，应当以基金估值日中国人民银行或其授权机构公布的人民币汇率中间价为准。</w:t>
      </w:r>
    </w:p>
    <w:p w14:paraId="49C9D2FC">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cs="宋体" w:asciiTheme="minorEastAsia" w:hAnsiTheme="minorEastAsia"/>
          <w:kern w:val="0"/>
          <w:sz w:val="24"/>
          <w:szCs w:val="24"/>
        </w:rPr>
        <w:t>1</w:t>
      </w:r>
      <w:r>
        <w:rPr>
          <w:rFonts w:hint="eastAsia" w:cs="宋体" w:asciiTheme="minorEastAsia" w:hAnsiTheme="minorEastAsia"/>
          <w:kern w:val="0"/>
          <w:sz w:val="24"/>
          <w:szCs w:val="24"/>
        </w:rPr>
        <w:t>4、如有确凿证据表明按上述方法进行估值不能客观反映其公允价值的，基金管理人可根据具体情况与基金托管人商定后，按最能反映公允价值的价格估值。</w:t>
      </w:r>
    </w:p>
    <w:p w14:paraId="3E648428">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cs="宋体" w:asciiTheme="minorEastAsia" w:hAnsiTheme="minorEastAsia"/>
          <w:kern w:val="0"/>
          <w:sz w:val="24"/>
          <w:szCs w:val="24"/>
        </w:rPr>
        <w:t>1</w:t>
      </w:r>
      <w:r>
        <w:rPr>
          <w:rFonts w:hint="eastAsia" w:cs="宋体" w:asciiTheme="minorEastAsia" w:hAnsiTheme="minorEastAsia"/>
          <w:kern w:val="0"/>
          <w:sz w:val="24"/>
          <w:szCs w:val="24"/>
        </w:rPr>
        <w:t>5、当发生大额申购或赎回情形时，基金管理人可以采用摆动定价机制，以确保基金估值的公平性。具体处理原则与操作规范遵循相关法律法规以及监管部门、自律规则的规定。</w:t>
      </w:r>
    </w:p>
    <w:p w14:paraId="4BB1E39B">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cs="宋体" w:asciiTheme="minorEastAsia" w:hAnsiTheme="minorEastAsia"/>
          <w:kern w:val="0"/>
          <w:sz w:val="24"/>
          <w:szCs w:val="24"/>
        </w:rPr>
        <w:t>1</w:t>
      </w:r>
      <w:r>
        <w:rPr>
          <w:rFonts w:hint="eastAsia" w:cs="宋体" w:asciiTheme="minorEastAsia" w:hAnsiTheme="minorEastAsia"/>
          <w:kern w:val="0"/>
          <w:sz w:val="24"/>
          <w:szCs w:val="24"/>
        </w:rPr>
        <w:t>6、相关法律法规以及监管部门有强制规定的，从其规定。如有新增事项，按国家最新规定估值。</w:t>
      </w:r>
    </w:p>
    <w:p w14:paraId="151961FB">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如基金管理人或基金托管人发现基金估值违反基金合同订明的估值方法、程序及相关法律法规的规定或者未能充分维护基金份额持有人利益时，应立即通知对方，共同查明原因，双方协商解决。</w:t>
      </w:r>
    </w:p>
    <w:p w14:paraId="10B9DB02">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w:t>
      </w:r>
    </w:p>
    <w:bookmarkEnd w:id="27"/>
    <w:p w14:paraId="583FACAA">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五、估值程序</w:t>
      </w:r>
    </w:p>
    <w:p w14:paraId="75C42E17">
      <w:pPr>
        <w:autoSpaceDE w:val="0"/>
        <w:autoSpaceDN w:val="0"/>
        <w:adjustRightInd w:val="0"/>
        <w:spacing w:line="360" w:lineRule="auto"/>
        <w:ind w:firstLine="480" w:firstLineChars="200"/>
        <w:jc w:val="left"/>
        <w:rPr>
          <w:rFonts w:cs="Times New Roman" w:asciiTheme="minorEastAsia" w:hAnsiTheme="minorEastAsia"/>
          <w:kern w:val="0"/>
          <w:sz w:val="24"/>
          <w:szCs w:val="24"/>
        </w:rPr>
      </w:pPr>
      <w:r>
        <w:rPr>
          <w:rFonts w:hint="eastAsia" w:cs="Times New Roman" w:asciiTheme="minorEastAsia" w:hAnsiTheme="minorEastAsia"/>
          <w:kern w:val="0"/>
          <w:sz w:val="24"/>
          <w:szCs w:val="24"/>
        </w:rPr>
        <w:t>1、各类基金份额净值是按照每个工作日闭市后，各类基金份额的基金资产净值除以当日该类基金份额的余额数量计算，均精确到0.0001元，小数点后第5位四舍五入，由此产生的误差计入基金财产。基金管理人可以设立大额赎回情形下的净值精度应急调整机制。国家另有规定的，从其规定。</w:t>
      </w:r>
    </w:p>
    <w:p w14:paraId="6CEFD080">
      <w:pPr>
        <w:autoSpaceDE w:val="0"/>
        <w:autoSpaceDN w:val="0"/>
        <w:adjustRightInd w:val="0"/>
        <w:spacing w:line="360" w:lineRule="auto"/>
        <w:ind w:firstLine="480" w:firstLineChars="200"/>
        <w:jc w:val="left"/>
        <w:rPr>
          <w:rFonts w:cs="Times New Roman" w:asciiTheme="minorEastAsia" w:hAnsiTheme="minorEastAsia"/>
          <w:kern w:val="0"/>
          <w:sz w:val="24"/>
          <w:szCs w:val="24"/>
        </w:rPr>
      </w:pPr>
      <w:r>
        <w:rPr>
          <w:rFonts w:hint="eastAsia" w:cs="Times New Roman" w:asciiTheme="minorEastAsia" w:hAnsiTheme="minorEastAsia"/>
          <w:kern w:val="0"/>
          <w:sz w:val="24"/>
          <w:szCs w:val="24"/>
        </w:rPr>
        <w:t>基金管理人于每个工作日计算基金资产净值及各类基金份额净值，并按规定公告。</w:t>
      </w:r>
    </w:p>
    <w:p w14:paraId="2DCC5F72">
      <w:pPr>
        <w:autoSpaceDE w:val="0"/>
        <w:autoSpaceDN w:val="0"/>
        <w:adjustRightInd w:val="0"/>
        <w:spacing w:line="360" w:lineRule="auto"/>
        <w:ind w:firstLine="480" w:firstLineChars="200"/>
        <w:jc w:val="left"/>
        <w:rPr>
          <w:rFonts w:cs="Times New Roman" w:asciiTheme="minorEastAsia" w:hAnsiTheme="minorEastAsia"/>
          <w:kern w:val="0"/>
          <w:sz w:val="24"/>
          <w:szCs w:val="24"/>
        </w:rPr>
      </w:pPr>
      <w:r>
        <w:rPr>
          <w:rFonts w:hint="eastAsia" w:cs="Times New Roman" w:asciiTheme="minorEastAsia" w:hAnsiTheme="minorEastAsia"/>
          <w:kern w:val="0"/>
          <w:sz w:val="24"/>
          <w:szCs w:val="24"/>
        </w:rPr>
        <w:t>2、基金管理人应每个工作日对基金资产估值。但基金管理人根据法律法规或本基金合同的规定暂停估值时除外。基金管理人每个工作日对基金资产估值后，将各类基金份额净值结果发送基金托管人，经基金托管人复核无误后，由基金管理人按规定对外公布。</w:t>
      </w:r>
    </w:p>
    <w:p w14:paraId="621341EB">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Times New Roman" w:asciiTheme="minorEastAsia" w:hAnsiTheme="minorEastAsia"/>
          <w:kern w:val="0"/>
          <w:sz w:val="24"/>
          <w:szCs w:val="24"/>
        </w:rPr>
        <w:t>六、</w:t>
      </w:r>
      <w:r>
        <w:rPr>
          <w:rFonts w:hint="eastAsia" w:cs="宋体" w:asciiTheme="minorEastAsia" w:hAnsiTheme="minorEastAsia"/>
          <w:kern w:val="0"/>
          <w:sz w:val="24"/>
          <w:szCs w:val="24"/>
        </w:rPr>
        <w:t>估值错误的处理</w:t>
      </w:r>
    </w:p>
    <w:p w14:paraId="41C220DD">
      <w:pPr>
        <w:autoSpaceDE w:val="0"/>
        <w:autoSpaceDN w:val="0"/>
        <w:adjustRightInd w:val="0"/>
        <w:spacing w:line="360" w:lineRule="auto"/>
        <w:ind w:firstLine="480" w:firstLineChars="200"/>
        <w:jc w:val="left"/>
        <w:rPr>
          <w:rFonts w:cs="宋体" w:asciiTheme="minorEastAsia" w:hAnsiTheme="minorEastAsia"/>
          <w:kern w:val="0"/>
          <w:sz w:val="24"/>
          <w:szCs w:val="24"/>
        </w:rPr>
      </w:pPr>
      <w:bookmarkStart w:id="28" w:name="_Hlk104924284"/>
      <w:r>
        <w:rPr>
          <w:rFonts w:hint="eastAsia" w:cs="宋体" w:asciiTheme="minorEastAsia" w:hAnsiTheme="minorEastAsia"/>
          <w:kern w:val="0"/>
          <w:sz w:val="24"/>
          <w:szCs w:val="24"/>
        </w:rPr>
        <w:t>基金管理人和基金托管人将采取必要、适当、合理的措施确保基金资产估值的准确性、及时性。当任一类基金份额净值小数点后4位以内(含第4位)发生估值错误时，视为该类基金份额净值错误。</w:t>
      </w:r>
    </w:p>
    <w:p w14:paraId="0F85BCA7">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本基金合同的当事人应按照以下约定处理：</w:t>
      </w:r>
    </w:p>
    <w:p w14:paraId="6FC578CE">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1、估值错误类型</w:t>
      </w:r>
      <w:r>
        <w:rPr>
          <w:rFonts w:hint="eastAsia" w:cs="宋体" w:asciiTheme="minorEastAsia" w:hAnsiTheme="minorEastAsia"/>
          <w:kern w:val="0"/>
          <w:sz w:val="24"/>
          <w:szCs w:val="24"/>
        </w:rPr>
        <w:tab/>
      </w:r>
    </w:p>
    <w:p w14:paraId="5BD8A88B">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14:paraId="6EE81F3F">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上述估值错误的主要类型包括但不限于：资料申报差错、数据传输差错、数据计算差错、系统故障差错、下达指令差错等。</w:t>
      </w:r>
    </w:p>
    <w:p w14:paraId="144D1A15">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2、估值错误处理原则</w:t>
      </w:r>
    </w:p>
    <w:p w14:paraId="071B3EC7">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14:paraId="4355F0B4">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（2）估值错误的责任方对有关当事人的直接损失负责，不对间接损失负责，并且仅对估值错误的有关直接当事人负责，不对第三方负责。</w:t>
      </w:r>
    </w:p>
    <w:p w14:paraId="0CA9069F">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14:paraId="56CA46D9">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（4）估值错误调整采用尽量恢复至假设未发生估值错误的正确情形的方式。</w:t>
      </w:r>
    </w:p>
    <w:p w14:paraId="6BB6DD1B">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3、估值错误处理程序</w:t>
      </w:r>
    </w:p>
    <w:p w14:paraId="7926354F">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估值错误被发现后，有关的当事人应当及时进行处理，处理的程序如下：</w:t>
      </w:r>
    </w:p>
    <w:p w14:paraId="264DECCA">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（1）查明估值错误发生的原因，列明所有的当事人，并根据估值错误发生的原因确定估值错误的责任方；</w:t>
      </w:r>
    </w:p>
    <w:p w14:paraId="1F75BF09">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（2）根据估值错误处理原则或当事人协商的方法对因估值错误造成的损失进行评估；</w:t>
      </w:r>
    </w:p>
    <w:p w14:paraId="6B959DD4">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（3）根据估值错误处理原则或当事人协商的方法由估值错误的责任方进行更正和赔偿损失；</w:t>
      </w:r>
    </w:p>
    <w:p w14:paraId="3BA5C4E6">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（4）根据估值错误处理的方法，需要修改基金登记机构交易数据的，由基金登记机构进行更正，并就估值错误的更正向有关当事人进行确认。</w:t>
      </w:r>
    </w:p>
    <w:p w14:paraId="5835D650">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4、基金份额净值估值错误处理的方法如下：</w:t>
      </w:r>
    </w:p>
    <w:p w14:paraId="26DA2815">
      <w:pPr>
        <w:spacing w:line="360" w:lineRule="auto"/>
        <w:ind w:firstLine="480" w:firstLineChars="200"/>
        <w:rPr>
          <w:bCs/>
          <w:sz w:val="24"/>
        </w:rPr>
      </w:pPr>
      <w:r>
        <w:rPr>
          <w:bCs/>
          <w:sz w:val="24"/>
        </w:rPr>
        <w:t>（1）基金份额净值计算出现错误时，基金管理人应当立即予以纠正，通报基金托管人，并采取合理的措施防止损失进一步扩大。</w:t>
      </w:r>
    </w:p>
    <w:p w14:paraId="3E3CABC7">
      <w:pPr>
        <w:spacing w:line="360" w:lineRule="auto"/>
        <w:ind w:firstLine="480" w:firstLineChars="200"/>
        <w:rPr>
          <w:bCs/>
          <w:sz w:val="24"/>
        </w:rPr>
      </w:pPr>
      <w:r>
        <w:rPr>
          <w:bCs/>
          <w:sz w:val="24"/>
        </w:rPr>
        <w:t>（</w:t>
      </w:r>
      <w:r>
        <w:rPr>
          <w:rFonts w:hint="eastAsia"/>
          <w:bCs/>
          <w:sz w:val="24"/>
        </w:rPr>
        <w:t>2</w:t>
      </w:r>
      <w:r>
        <w:rPr>
          <w:bCs/>
          <w:sz w:val="24"/>
        </w:rPr>
        <w:t>）错误偏差达到</w:t>
      </w:r>
      <w:r>
        <w:rPr>
          <w:rFonts w:hint="eastAsia"/>
          <w:bCs/>
          <w:sz w:val="24"/>
        </w:rPr>
        <w:t>该类</w:t>
      </w:r>
      <w:r>
        <w:rPr>
          <w:bCs/>
          <w:sz w:val="24"/>
        </w:rPr>
        <w:t>基金份额净值的0.25%时，基金管理人应当通报基金托管人并报中国证监会备案；错误偏差达到</w:t>
      </w:r>
      <w:r>
        <w:rPr>
          <w:rFonts w:hint="eastAsia"/>
          <w:bCs/>
          <w:sz w:val="24"/>
        </w:rPr>
        <w:t>该类</w:t>
      </w:r>
      <w:r>
        <w:rPr>
          <w:bCs/>
          <w:sz w:val="24"/>
        </w:rPr>
        <w:t>基金份额净值的0.5%时，基金管理人应当公告</w:t>
      </w:r>
      <w:r>
        <w:rPr>
          <w:rFonts w:hint="eastAsia"/>
          <w:bCs/>
          <w:sz w:val="24"/>
        </w:rPr>
        <w:t>，并报中国证监会备案</w:t>
      </w:r>
      <w:r>
        <w:rPr>
          <w:bCs/>
          <w:sz w:val="24"/>
        </w:rPr>
        <w:t>。</w:t>
      </w:r>
    </w:p>
    <w:p w14:paraId="05B83A6D">
      <w:pPr>
        <w:spacing w:line="360" w:lineRule="auto"/>
        <w:ind w:firstLine="480" w:firstLineChars="200"/>
        <w:rPr>
          <w:bCs/>
          <w:sz w:val="24"/>
        </w:rPr>
      </w:pPr>
      <w:r>
        <w:rPr>
          <w:rFonts w:hint="eastAsia"/>
          <w:bCs/>
          <w:sz w:val="24"/>
        </w:rPr>
        <w:t>（3）基金管理人和基金托管人由于各自技术系统设置而产生的净值计算尾差，以基金管理人计算结果为准。</w:t>
      </w:r>
    </w:p>
    <w:p w14:paraId="198CE9AD">
      <w:pPr>
        <w:spacing w:line="360" w:lineRule="auto"/>
        <w:ind w:firstLine="480" w:firstLineChars="200"/>
        <w:rPr>
          <w:bCs/>
          <w:sz w:val="24"/>
        </w:rPr>
      </w:pPr>
      <w:r>
        <w:rPr>
          <w:rFonts w:hint="eastAsia"/>
          <w:bCs/>
          <w:sz w:val="24"/>
        </w:rPr>
        <w:t>（4）</w:t>
      </w:r>
      <w:r>
        <w:rPr>
          <w:bCs/>
          <w:sz w:val="24"/>
        </w:rPr>
        <w:t>前述内容如法律法规或监管机关另有规定的，从其规定处理。</w:t>
      </w:r>
      <w:r>
        <w:rPr>
          <w:rFonts w:hint="eastAsia"/>
          <w:bCs/>
          <w:sz w:val="24"/>
        </w:rPr>
        <w:t>如果行业另有通行做法，基金管理人、基金托管人应本着平等和保护基金份额持有人利益的原则进行协商。</w:t>
      </w:r>
      <w:bookmarkEnd w:id="28"/>
    </w:p>
    <w:p w14:paraId="0BB7CEDA">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七、暂停估值的情形</w:t>
      </w:r>
    </w:p>
    <w:p w14:paraId="38B73CAB">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1、基金投资所涉及的证券、期货交易市场或外汇市场遇法定节假日或因其他原因暂停营业时；</w:t>
      </w:r>
    </w:p>
    <w:p w14:paraId="199C3E72">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2、因不可抗力致使基金管理人、基金托管人无法准确评估基金资产价值时；</w:t>
      </w:r>
    </w:p>
    <w:p w14:paraId="633FDE42">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3、所投资的目标ETF暂停估值、暂停公告基金份额净值时；</w:t>
      </w:r>
    </w:p>
    <w:p w14:paraId="1A222EA5">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4、当特定资产占前一估值日基金资产净值50%以上的，经与基金托管人协商确认后，基金管理人应当暂停估值；</w:t>
      </w:r>
    </w:p>
    <w:p w14:paraId="7960064A">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5、法律法规规定、中国证监会和基金合同认定的其它情形。</w:t>
      </w:r>
    </w:p>
    <w:p w14:paraId="57EA329F">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八、基金净值的确认</w:t>
      </w:r>
    </w:p>
    <w:p w14:paraId="77A1CE3D">
      <w:pPr>
        <w:autoSpaceDE w:val="0"/>
        <w:autoSpaceDN w:val="0"/>
        <w:adjustRightInd w:val="0"/>
        <w:spacing w:line="360" w:lineRule="auto"/>
        <w:ind w:firstLine="480" w:firstLineChars="200"/>
        <w:jc w:val="left"/>
        <w:rPr>
          <w:rFonts w:cs="宋体" w:asciiTheme="minorEastAsia" w:hAnsiTheme="minorEastAsia"/>
          <w:kern w:val="0"/>
          <w:sz w:val="24"/>
          <w:szCs w:val="24"/>
        </w:rPr>
      </w:pPr>
      <w:bookmarkStart w:id="29" w:name="_Hlk104924100"/>
      <w:r>
        <w:rPr>
          <w:rFonts w:hint="eastAsia" w:cs="宋体" w:asciiTheme="minorEastAsia" w:hAnsiTheme="minorEastAsia"/>
          <w:kern w:val="0"/>
          <w:sz w:val="24"/>
          <w:szCs w:val="24"/>
        </w:rPr>
        <w:t>基金资产净值和各类基金份额净值由基金管理人负责计算，基金托管人负责进行复核。基金管理人应于每个工作日交易结束后计算当日的</w:t>
      </w:r>
      <w:bookmarkStart w:id="30" w:name="_Hlk104924139"/>
      <w:r>
        <w:rPr>
          <w:rFonts w:hint="eastAsia" w:cs="宋体" w:asciiTheme="minorEastAsia" w:hAnsiTheme="minorEastAsia"/>
          <w:kern w:val="0"/>
          <w:sz w:val="24"/>
          <w:szCs w:val="24"/>
        </w:rPr>
        <w:t>基金资产净值和各类基金份额净值</w:t>
      </w:r>
      <w:bookmarkEnd w:id="30"/>
      <w:r>
        <w:rPr>
          <w:rFonts w:hint="eastAsia" w:cs="宋体" w:asciiTheme="minorEastAsia" w:hAnsiTheme="minorEastAsia"/>
          <w:kern w:val="0"/>
          <w:sz w:val="24"/>
          <w:szCs w:val="24"/>
        </w:rPr>
        <w:t>并发送给基金托管人。基金托管人对净值计算结果复核确认后发送给基金管理人，由基金管理人对基金净值按约定予以公布。</w:t>
      </w:r>
    </w:p>
    <w:bookmarkEnd w:id="29"/>
    <w:p w14:paraId="59379645">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九、特殊情况的处理</w:t>
      </w:r>
    </w:p>
    <w:p w14:paraId="50F3000F">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1、基金管理人或基金托管人按估值方法的第</w:t>
      </w:r>
      <w:r>
        <w:rPr>
          <w:rFonts w:cs="宋体" w:asciiTheme="minorEastAsia" w:hAnsiTheme="minorEastAsia"/>
          <w:kern w:val="0"/>
          <w:sz w:val="24"/>
          <w:szCs w:val="24"/>
        </w:rPr>
        <w:t>1</w:t>
      </w:r>
      <w:r>
        <w:rPr>
          <w:rFonts w:hint="eastAsia" w:cs="宋体" w:asciiTheme="minorEastAsia" w:hAnsiTheme="minorEastAsia"/>
          <w:kern w:val="0"/>
          <w:sz w:val="24"/>
          <w:szCs w:val="24"/>
        </w:rPr>
        <w:t>4项进行估值时，所造成的误差不作为基金资产估值错误处理。</w:t>
      </w:r>
    </w:p>
    <w:p w14:paraId="3FC841FE">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2、由于不可抗力原因，或由于证券、期货交易所或登记结算公司及存款银行等第三方机构发送的数据错误等原因，基金管理人和基金托管人虽然已经采取必要、适当、合理的措施进行检查，但是未能发现该错误的，由此造成的基金资产估值错误，基金管理人和基金托管人免除赔偿责任。但基金管理人和基金托管人应当积极采取必要的措施消除或减轻由此造成的影响。</w:t>
      </w:r>
    </w:p>
    <w:p w14:paraId="3FFDD9E5">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十、实施侧袋机制期间的基金资产估值</w:t>
      </w:r>
    </w:p>
    <w:p w14:paraId="2F948DD7">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本基金实施侧袋机制的，应根据本部分的约定对主袋账户资产进行估值并披露主袋账户的基金净值信息，暂停披露侧袋账户基金净值信息。</w:t>
      </w:r>
    </w:p>
    <w:p w14:paraId="50D44353">
      <w:pPr>
        <w:autoSpaceDE w:val="0"/>
        <w:autoSpaceDN w:val="0"/>
        <w:adjustRightInd w:val="0"/>
        <w:spacing w:line="360" w:lineRule="auto"/>
        <w:ind w:firstLine="480" w:firstLineChars="200"/>
        <w:jc w:val="left"/>
        <w:rPr>
          <w:rFonts w:cs="宋体" w:asciiTheme="minorEastAsia" w:hAnsiTheme="minorEastAsia"/>
          <w:kern w:val="0"/>
          <w:sz w:val="24"/>
          <w:szCs w:val="24"/>
        </w:rPr>
        <w:sectPr>
          <w:footerReference r:id="rId17" w:type="default"/>
          <w:pgSz w:w="11906" w:h="16838"/>
          <w:pgMar w:top="1440" w:right="1800" w:bottom="1440" w:left="1800" w:header="851" w:footer="992" w:gutter="0"/>
          <w:pgNumType w:start="1"/>
          <w:cols w:space="425" w:num="1"/>
          <w:docGrid w:type="lines" w:linePitch="312" w:charSpace="0"/>
        </w:sectPr>
      </w:pPr>
    </w:p>
    <w:p w14:paraId="29BD3AF1">
      <w:pPr>
        <w:pStyle w:val="2"/>
        <w:spacing w:before="0" w:after="0" w:line="360" w:lineRule="auto"/>
        <w:ind w:firstLine="602" w:firstLineChars="200"/>
        <w:jc w:val="center"/>
        <w:rPr>
          <w:rFonts w:ascii="Times New Roman" w:hAnsi="Times New Roman"/>
          <w:kern w:val="0"/>
          <w:sz w:val="30"/>
          <w:lang w:val="zh-CN"/>
        </w:rPr>
      </w:pPr>
      <w:bookmarkStart w:id="31" w:name="_Toc471235852"/>
      <w:r>
        <w:rPr>
          <w:rFonts w:hint="eastAsia" w:ascii="Times New Roman" w:hAnsi="Times New Roman"/>
          <w:kern w:val="0"/>
          <w:sz w:val="30"/>
          <w:lang w:val="zh-CN"/>
        </w:rPr>
        <w:t>第十五部分</w:t>
      </w:r>
      <w:r>
        <w:rPr>
          <w:rFonts w:ascii="Times New Roman" w:hAnsi="Times New Roman"/>
          <w:kern w:val="0"/>
          <w:sz w:val="30"/>
          <w:lang w:val="zh-CN"/>
        </w:rPr>
        <w:t xml:space="preserve"> </w:t>
      </w:r>
      <w:r>
        <w:rPr>
          <w:rFonts w:hint="eastAsia" w:ascii="Times New Roman" w:hAnsi="Times New Roman"/>
          <w:kern w:val="0"/>
          <w:sz w:val="30"/>
          <w:lang w:val="zh-CN"/>
        </w:rPr>
        <w:t>基金费用与税收</w:t>
      </w:r>
      <w:bookmarkEnd w:id="31"/>
    </w:p>
    <w:p w14:paraId="3BF69EB8">
      <w:pPr>
        <w:autoSpaceDE w:val="0"/>
        <w:autoSpaceDN w:val="0"/>
        <w:adjustRightInd w:val="0"/>
        <w:spacing w:line="360" w:lineRule="auto"/>
        <w:ind w:firstLine="480" w:firstLineChars="200"/>
        <w:jc w:val="left"/>
        <w:rPr>
          <w:rFonts w:cs="宋体" w:asciiTheme="minorEastAsia" w:hAnsiTheme="minorEastAsia"/>
          <w:kern w:val="0"/>
          <w:sz w:val="24"/>
          <w:szCs w:val="24"/>
        </w:rPr>
      </w:pPr>
    </w:p>
    <w:p w14:paraId="009F5AE7">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一、基金费用的种类</w:t>
      </w:r>
    </w:p>
    <w:p w14:paraId="48F53A1D">
      <w:pPr>
        <w:tabs>
          <w:tab w:val="left" w:pos="8080"/>
        </w:tabs>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1、基金管理人的管理费；</w:t>
      </w:r>
    </w:p>
    <w:p w14:paraId="3DA55273">
      <w:pPr>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2、基金托管人的托管费；</w:t>
      </w:r>
    </w:p>
    <w:p w14:paraId="1750D283">
      <w:pPr>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3</w:t>
      </w:r>
      <w:r>
        <w:rPr>
          <w:rFonts w:hint="eastAsia" w:ascii="Times New Roman" w:hAnsi="Times New Roman" w:eastAsia="宋体" w:cs="Times New Roman"/>
          <w:bCs/>
          <w:sz w:val="24"/>
          <w:szCs w:val="20"/>
        </w:rPr>
        <w:t>、C类基金份额的销售服务费；</w:t>
      </w:r>
    </w:p>
    <w:p w14:paraId="156035FC">
      <w:pPr>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4、基金合同生效后与基金相关的信息披露费用</w:t>
      </w:r>
      <w:r>
        <w:rPr>
          <w:rFonts w:hint="eastAsia" w:ascii="Times New Roman" w:hAnsi="Times New Roman" w:eastAsia="宋体" w:cs="Times New Roman"/>
          <w:bCs/>
          <w:sz w:val="24"/>
          <w:szCs w:val="20"/>
        </w:rPr>
        <w:t>，法律法规、中国证监会另有规定的除外</w:t>
      </w:r>
      <w:r>
        <w:rPr>
          <w:rFonts w:ascii="Times New Roman" w:hAnsi="Times New Roman" w:eastAsia="宋体" w:cs="Times New Roman"/>
          <w:bCs/>
          <w:sz w:val="24"/>
          <w:szCs w:val="20"/>
        </w:rPr>
        <w:t>；</w:t>
      </w:r>
    </w:p>
    <w:p w14:paraId="33CD00FB">
      <w:pPr>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5、基金合同生效后与基金相关的会计师费、律师费</w:t>
      </w:r>
      <w:r>
        <w:rPr>
          <w:rFonts w:hint="eastAsia" w:ascii="Times New Roman" w:hAnsi="Times New Roman" w:eastAsia="宋体" w:cs="Times New Roman"/>
          <w:bCs/>
          <w:sz w:val="24"/>
          <w:szCs w:val="20"/>
        </w:rPr>
        <w:t>、</w:t>
      </w:r>
      <w:r>
        <w:rPr>
          <w:rFonts w:ascii="Times New Roman" w:hAnsi="Times New Roman" w:eastAsia="宋体" w:cs="Times New Roman"/>
          <w:bCs/>
          <w:sz w:val="24"/>
          <w:szCs w:val="20"/>
        </w:rPr>
        <w:t>诉讼费</w:t>
      </w:r>
      <w:r>
        <w:rPr>
          <w:rFonts w:hint="eastAsia" w:ascii="Times New Roman" w:hAnsi="Times New Roman" w:eastAsia="宋体" w:cs="Times New Roman"/>
          <w:bCs/>
          <w:sz w:val="24"/>
          <w:szCs w:val="20"/>
        </w:rPr>
        <w:t>和仲裁费</w:t>
      </w:r>
      <w:r>
        <w:rPr>
          <w:rFonts w:ascii="Times New Roman" w:hAnsi="Times New Roman" w:eastAsia="宋体" w:cs="Times New Roman"/>
          <w:bCs/>
          <w:sz w:val="24"/>
          <w:szCs w:val="20"/>
        </w:rPr>
        <w:t>；</w:t>
      </w:r>
    </w:p>
    <w:p w14:paraId="7A34D75F">
      <w:pPr>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6、基金份额持有人大会费用；</w:t>
      </w:r>
    </w:p>
    <w:p w14:paraId="4A35D967">
      <w:pPr>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7、基金的证券</w:t>
      </w:r>
      <w:r>
        <w:rPr>
          <w:rFonts w:hint="eastAsia" w:ascii="Times New Roman" w:hAnsi="Times New Roman" w:eastAsia="宋体" w:cs="Times New Roman"/>
          <w:bCs/>
          <w:sz w:val="24"/>
          <w:szCs w:val="20"/>
        </w:rPr>
        <w:t>、期货、期权</w:t>
      </w:r>
      <w:r>
        <w:rPr>
          <w:rFonts w:ascii="Times New Roman" w:hAnsi="Times New Roman" w:eastAsia="宋体" w:cs="Times New Roman"/>
          <w:bCs/>
          <w:sz w:val="24"/>
          <w:szCs w:val="20"/>
        </w:rPr>
        <w:t>交易费用；</w:t>
      </w:r>
    </w:p>
    <w:p w14:paraId="2E097277">
      <w:pPr>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8、基金的银行汇划费用；</w:t>
      </w:r>
    </w:p>
    <w:p w14:paraId="688165DE">
      <w:pPr>
        <w:spacing w:line="360" w:lineRule="auto"/>
        <w:ind w:firstLine="480"/>
        <w:rPr>
          <w:rFonts w:ascii="Times New Roman" w:hAnsi="Times New Roman" w:eastAsia="宋体" w:cs="Times New Roman"/>
          <w:bCs/>
          <w:sz w:val="24"/>
          <w:szCs w:val="20"/>
        </w:rPr>
      </w:pPr>
      <w:r>
        <w:rPr>
          <w:rFonts w:ascii="Times New Roman" w:hAnsi="Times New Roman" w:eastAsia="宋体" w:cs="Times New Roman"/>
          <w:bCs/>
          <w:sz w:val="24"/>
          <w:szCs w:val="20"/>
        </w:rPr>
        <w:t>9</w:t>
      </w:r>
      <w:r>
        <w:rPr>
          <w:rFonts w:hint="eastAsia" w:ascii="Times New Roman" w:hAnsi="Times New Roman" w:eastAsia="宋体" w:cs="Times New Roman"/>
          <w:bCs/>
          <w:sz w:val="24"/>
          <w:szCs w:val="20"/>
        </w:rPr>
        <w:t>、账户开户费用、账户维护费用；</w:t>
      </w:r>
    </w:p>
    <w:p w14:paraId="606FFDFD">
      <w:pPr>
        <w:spacing w:line="360" w:lineRule="auto"/>
        <w:ind w:firstLine="480" w:firstLineChars="0"/>
        <w:rPr>
          <w:rFonts w:ascii="Times New Roman" w:hAnsi="Times New Roman" w:eastAsia="宋体" w:cs="Times New Roman"/>
          <w:bCs/>
          <w:sz w:val="24"/>
          <w:szCs w:val="20"/>
        </w:rPr>
      </w:pPr>
      <w:r>
        <w:rPr>
          <w:rFonts w:hint="eastAsia" w:ascii="Times New Roman" w:hAnsi="Times New Roman" w:cs="Times New Roman"/>
          <w:bCs/>
          <w:sz w:val="24"/>
          <w:szCs w:val="20"/>
        </w:rPr>
        <w:t>10、基金投资目标ETF的相关费用；</w:t>
      </w:r>
    </w:p>
    <w:p w14:paraId="454CAF77">
      <w:pPr>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1</w:t>
      </w:r>
      <w:r>
        <w:rPr>
          <w:rFonts w:hint="eastAsia" w:ascii="Times New Roman" w:hAnsi="Times New Roman" w:eastAsia="宋体" w:cs="Times New Roman"/>
          <w:bCs/>
          <w:sz w:val="24"/>
          <w:szCs w:val="20"/>
        </w:rPr>
        <w:t>1、因投资港股通标的股票而产生的各项合理费用；</w:t>
      </w:r>
    </w:p>
    <w:p w14:paraId="4AA69529">
      <w:pPr>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1</w:t>
      </w:r>
      <w:r>
        <w:rPr>
          <w:rFonts w:hint="eastAsia" w:ascii="Times New Roman" w:hAnsi="Times New Roman" w:eastAsia="宋体" w:cs="Times New Roman"/>
          <w:bCs/>
          <w:sz w:val="24"/>
          <w:szCs w:val="20"/>
        </w:rPr>
        <w:t>2、</w:t>
      </w:r>
      <w:r>
        <w:rPr>
          <w:rFonts w:ascii="Times New Roman" w:hAnsi="Times New Roman" w:eastAsia="宋体" w:cs="Times New Roman"/>
          <w:bCs/>
          <w:sz w:val="24"/>
          <w:szCs w:val="20"/>
        </w:rPr>
        <w:t>按照国家有关规定和基金合同约定，可以在基金财产中列支的其他费用。</w:t>
      </w:r>
    </w:p>
    <w:p w14:paraId="52380409">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二、基金费用计提方法、计提标准和支付方式</w:t>
      </w:r>
    </w:p>
    <w:p w14:paraId="2B0F7756">
      <w:pPr>
        <w:spacing w:line="360" w:lineRule="auto"/>
        <w:ind w:firstLine="480" w:firstLineChars="200"/>
        <w:rPr>
          <w:rFonts w:ascii="Times New Roman" w:hAnsi="Times New Roman" w:eastAsia="宋体" w:cs="Times New Roman"/>
          <w:bCs/>
          <w:sz w:val="24"/>
          <w:szCs w:val="20"/>
        </w:rPr>
      </w:pPr>
      <w:bookmarkStart w:id="32" w:name="_Hlk104924564"/>
      <w:r>
        <w:rPr>
          <w:rFonts w:ascii="Times New Roman" w:hAnsi="Times New Roman" w:eastAsia="宋体" w:cs="Times New Roman"/>
          <w:bCs/>
          <w:sz w:val="24"/>
          <w:szCs w:val="20"/>
        </w:rPr>
        <w:t xml:space="preserve">1、基金管理人的管理费 </w:t>
      </w:r>
    </w:p>
    <w:p w14:paraId="3CD2D8E5">
      <w:pPr>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本基金的管理费按前一日基金资产净值的0.50%年费率计提。管理费的计算方法如下：</w:t>
      </w:r>
    </w:p>
    <w:p w14:paraId="7A6FB142">
      <w:pPr>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H＝E×0.50%÷当年天数</w:t>
      </w:r>
    </w:p>
    <w:p w14:paraId="1BECB0B1">
      <w:pPr>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H为每日应计提的基金管理费</w:t>
      </w:r>
    </w:p>
    <w:p w14:paraId="1E081591">
      <w:pPr>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E为前一日的基金资产净值</w:t>
      </w:r>
    </w:p>
    <w:p w14:paraId="281CCE14">
      <w:pPr>
        <w:spacing w:line="360" w:lineRule="auto"/>
        <w:ind w:firstLine="480"/>
        <w:rPr>
          <w:rFonts w:ascii="Times New Roman" w:hAnsi="Times New Roman" w:cs="Times New Roman"/>
          <w:bCs/>
          <w:sz w:val="24"/>
          <w:szCs w:val="20"/>
        </w:rPr>
      </w:pPr>
      <w:r>
        <w:rPr>
          <w:rFonts w:hint="eastAsia" w:ascii="Times New Roman" w:hAnsi="Times New Roman" w:cs="Times New Roman"/>
          <w:bCs/>
          <w:sz w:val="24"/>
          <w:szCs w:val="20"/>
        </w:rPr>
        <w:t>基金管理人对本基金投资组合中投资于目标ETF部分的基金资产净值不计提基金管理费。</w:t>
      </w:r>
    </w:p>
    <w:p w14:paraId="741A9FD1">
      <w:pPr>
        <w:spacing w:line="360" w:lineRule="auto"/>
        <w:ind w:firstLine="480" w:firstLineChars="0"/>
        <w:rPr>
          <w:rFonts w:ascii="Times New Roman" w:hAnsi="Times New Roman" w:eastAsia="宋体" w:cs="Times New Roman"/>
          <w:bCs/>
          <w:sz w:val="24"/>
          <w:szCs w:val="20"/>
        </w:rPr>
      </w:pPr>
      <w:r>
        <w:rPr>
          <w:rFonts w:hint="eastAsia" w:ascii="Times New Roman" w:hAnsi="Times New Roman" w:cs="Times New Roman"/>
          <w:bCs/>
          <w:sz w:val="24"/>
          <w:szCs w:val="20"/>
        </w:rPr>
        <w:t>前一日的基金资产净值为已扣除本基金投资于目标ETF部分基金资产净值后的净额，金额为负时以零计。</w:t>
      </w:r>
    </w:p>
    <w:p w14:paraId="4C469DAA">
      <w:pPr>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基金管理费每日计</w:t>
      </w:r>
      <w:r>
        <w:rPr>
          <w:rFonts w:ascii="Times New Roman" w:hAnsi="Times New Roman" w:eastAsia="宋体" w:cs="Times New Roman"/>
          <w:bCs/>
          <w:sz w:val="24"/>
          <w:szCs w:val="20"/>
        </w:rPr>
        <w:t>提</w:t>
      </w:r>
      <w:r>
        <w:rPr>
          <w:rFonts w:hint="eastAsia" w:ascii="Times New Roman" w:hAnsi="Times New Roman" w:eastAsia="宋体" w:cs="Times New Roman"/>
          <w:bCs/>
          <w:sz w:val="24"/>
          <w:szCs w:val="20"/>
        </w:rPr>
        <w:t>，逐日累计至每月月末，按月支付。由基金托管人根据与基金管理人核对一致的财务数据，按照基金托管人与基金管理人协商一致的方式在月初3个工作日内、按照指定的账户路径进行资金支付。若遇法定节假日、公休</w:t>
      </w:r>
      <w:r>
        <w:rPr>
          <w:rFonts w:ascii="Times New Roman" w:hAnsi="Times New Roman" w:eastAsia="宋体" w:cs="Times New Roman"/>
          <w:bCs/>
          <w:sz w:val="24"/>
          <w:szCs w:val="20"/>
        </w:rPr>
        <w:t>日</w:t>
      </w:r>
      <w:r>
        <w:rPr>
          <w:rFonts w:hint="eastAsia" w:ascii="Times New Roman" w:hAnsi="Times New Roman" w:eastAsia="宋体" w:cs="Times New Roman"/>
          <w:bCs/>
          <w:sz w:val="24"/>
          <w:szCs w:val="20"/>
        </w:rPr>
        <w:t>或不可抗力等致使无法按时支付的，支付日期顺延。</w:t>
      </w:r>
    </w:p>
    <w:p w14:paraId="59C14F8A">
      <w:pPr>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2、基金托管人的托管费</w:t>
      </w:r>
    </w:p>
    <w:p w14:paraId="12B17970">
      <w:pPr>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本基金的托管费按前一日基金资产净值的0.</w:t>
      </w:r>
      <w:r>
        <w:rPr>
          <w:rFonts w:ascii="Times New Roman" w:hAnsi="Times New Roman" w:eastAsia="宋体" w:cs="Times New Roman"/>
          <w:bCs/>
          <w:sz w:val="24"/>
          <w:szCs w:val="20"/>
        </w:rPr>
        <w:t>10</w:t>
      </w:r>
      <w:r>
        <w:rPr>
          <w:rFonts w:hint="eastAsia" w:ascii="Times New Roman" w:hAnsi="Times New Roman" w:eastAsia="宋体" w:cs="Times New Roman"/>
          <w:bCs/>
          <w:sz w:val="24"/>
          <w:szCs w:val="20"/>
        </w:rPr>
        <w:t>%年费率计提。托管费的计算方法如下：</w:t>
      </w:r>
    </w:p>
    <w:p w14:paraId="0C6CCBBB">
      <w:pPr>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H＝E×0.</w:t>
      </w:r>
      <w:r>
        <w:rPr>
          <w:rFonts w:ascii="Times New Roman" w:hAnsi="Times New Roman" w:eastAsia="宋体" w:cs="Times New Roman"/>
          <w:bCs/>
          <w:sz w:val="24"/>
          <w:szCs w:val="20"/>
        </w:rPr>
        <w:t>10</w:t>
      </w:r>
      <w:r>
        <w:rPr>
          <w:rFonts w:hint="eastAsia" w:ascii="Times New Roman" w:hAnsi="Times New Roman" w:eastAsia="宋体" w:cs="Times New Roman"/>
          <w:bCs/>
          <w:sz w:val="24"/>
          <w:szCs w:val="20"/>
        </w:rPr>
        <w:t>%÷当年天数</w:t>
      </w:r>
    </w:p>
    <w:p w14:paraId="26CF1FC4">
      <w:pPr>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H为每日应计提的基金托管费</w:t>
      </w:r>
    </w:p>
    <w:p w14:paraId="32AECDAE">
      <w:pPr>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E为前一日的基金资产净值</w:t>
      </w:r>
    </w:p>
    <w:p w14:paraId="43913987">
      <w:pPr>
        <w:spacing w:line="360" w:lineRule="auto"/>
        <w:ind w:firstLine="480"/>
        <w:rPr>
          <w:rFonts w:ascii="Times New Roman" w:hAnsi="Times New Roman" w:cs="Times New Roman"/>
          <w:bCs/>
          <w:sz w:val="24"/>
          <w:szCs w:val="20"/>
        </w:rPr>
      </w:pPr>
      <w:r>
        <w:rPr>
          <w:rFonts w:hint="eastAsia" w:ascii="Times New Roman" w:hAnsi="Times New Roman" w:cs="Times New Roman"/>
          <w:bCs/>
          <w:sz w:val="24"/>
          <w:szCs w:val="20"/>
        </w:rPr>
        <w:t>基金托管人对本基金投资组合中投资于目标ETF部分的基金资产净值不计提基金托管费。</w:t>
      </w:r>
    </w:p>
    <w:p w14:paraId="3558BCB3">
      <w:pPr>
        <w:spacing w:line="360" w:lineRule="auto"/>
        <w:ind w:firstLine="480" w:firstLineChars="0"/>
        <w:rPr>
          <w:rFonts w:ascii="Times New Roman" w:hAnsi="Times New Roman" w:eastAsia="宋体" w:cs="Times New Roman"/>
          <w:bCs/>
          <w:sz w:val="24"/>
          <w:szCs w:val="20"/>
        </w:rPr>
      </w:pPr>
      <w:r>
        <w:rPr>
          <w:rFonts w:hint="eastAsia" w:ascii="Times New Roman" w:hAnsi="Times New Roman" w:cs="Times New Roman"/>
          <w:bCs/>
          <w:sz w:val="24"/>
          <w:szCs w:val="20"/>
        </w:rPr>
        <w:t>前一日的基金资产净值为已扣除本基金投资于目标ETF部分基金资产净值后的净额，金额为负时以零计。</w:t>
      </w:r>
    </w:p>
    <w:p w14:paraId="35346FB4">
      <w:pPr>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基金托管费每日计提，逐日累计至每月月末，按月支付。由基金托管人根据与基金管理人核对一致的财务数据，按照基金托管人与基金管理人协商一致的方式在月初3个工作日内、按照指定的账户路径进行资金支付。若遇法定节假日、公休</w:t>
      </w:r>
      <w:r>
        <w:rPr>
          <w:rFonts w:ascii="Times New Roman" w:hAnsi="Times New Roman" w:eastAsia="宋体" w:cs="Times New Roman"/>
          <w:bCs/>
          <w:sz w:val="24"/>
          <w:szCs w:val="20"/>
        </w:rPr>
        <w:t>日</w:t>
      </w:r>
      <w:r>
        <w:rPr>
          <w:rFonts w:hint="eastAsia" w:ascii="Times New Roman" w:hAnsi="Times New Roman" w:eastAsia="宋体" w:cs="Times New Roman"/>
          <w:bCs/>
          <w:sz w:val="24"/>
          <w:szCs w:val="20"/>
        </w:rPr>
        <w:t>或不可抗力等致使无法按时支付的，支付日期顺延。</w:t>
      </w:r>
    </w:p>
    <w:p w14:paraId="5FE2A15B">
      <w:pPr>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3、C类份额的销售服务费</w:t>
      </w:r>
    </w:p>
    <w:p w14:paraId="22267EA9">
      <w:pPr>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本基金A类基金份额不收取销售服务费，C类基金份额的销售服务费年费率为0.30%。</w:t>
      </w:r>
    </w:p>
    <w:p w14:paraId="42D10ED5">
      <w:pPr>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 xml:space="preserve">本基金销售服务费按前一日C类基金资产净值的0.30%年费率计提。计算方法如下： </w:t>
      </w:r>
    </w:p>
    <w:p w14:paraId="764D5A4C">
      <w:pPr>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H＝E×0</w:t>
      </w:r>
      <w:r>
        <w:rPr>
          <w:rFonts w:ascii="Times New Roman" w:hAnsi="Times New Roman" w:eastAsia="宋体" w:cs="Times New Roman"/>
          <w:bCs/>
          <w:sz w:val="24"/>
          <w:szCs w:val="20"/>
        </w:rPr>
        <w:t>.30%</w:t>
      </w:r>
      <w:r>
        <w:rPr>
          <w:rFonts w:hint="eastAsia" w:ascii="Times New Roman" w:hAnsi="Times New Roman" w:eastAsia="宋体" w:cs="Times New Roman"/>
          <w:bCs/>
          <w:sz w:val="24"/>
          <w:szCs w:val="20"/>
        </w:rPr>
        <w:t xml:space="preserve">÷当年天数 </w:t>
      </w:r>
    </w:p>
    <w:p w14:paraId="2E2D7779">
      <w:pPr>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H为C类基金份额每日应计提的销售服务费</w:t>
      </w:r>
    </w:p>
    <w:p w14:paraId="1A9AF7D7">
      <w:pPr>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E为C类基金份额前一日基金资产净值</w:t>
      </w:r>
    </w:p>
    <w:p w14:paraId="62378C4A">
      <w:pPr>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基金销售服务费每日计提，逐日累计至每月月末，按月支付。由基金托管人根据与基金管理人核对一致的财务数据，按照基金托管人与基金管理人协商一致的方式在月初3个工作日内、按照指定的账户路径进行资金支付，由登记机构代付给销售机构。若遇法定节假日、公休</w:t>
      </w:r>
      <w:r>
        <w:rPr>
          <w:rFonts w:ascii="Times New Roman" w:hAnsi="Times New Roman" w:eastAsia="宋体" w:cs="Times New Roman"/>
          <w:bCs/>
          <w:sz w:val="24"/>
          <w:szCs w:val="20"/>
        </w:rPr>
        <w:t>日</w:t>
      </w:r>
      <w:r>
        <w:rPr>
          <w:rFonts w:hint="eastAsia" w:ascii="Times New Roman" w:hAnsi="Times New Roman" w:eastAsia="宋体" w:cs="Times New Roman"/>
          <w:bCs/>
          <w:sz w:val="24"/>
          <w:szCs w:val="20"/>
        </w:rPr>
        <w:t>或不可抗力等致使无法按时支付的，支付日期顺延。</w:t>
      </w:r>
    </w:p>
    <w:bookmarkEnd w:id="32"/>
    <w:p w14:paraId="5D552F7E">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上述“一、基金费用的种类”中第</w:t>
      </w:r>
      <w:r>
        <w:rPr>
          <w:rFonts w:cs="宋体" w:asciiTheme="minorEastAsia" w:hAnsiTheme="minorEastAsia"/>
          <w:kern w:val="0"/>
          <w:sz w:val="24"/>
          <w:szCs w:val="24"/>
        </w:rPr>
        <w:t>4</w:t>
      </w:r>
      <w:r>
        <w:rPr>
          <w:rFonts w:hint="eastAsia" w:cs="宋体" w:asciiTheme="minorEastAsia" w:hAnsiTheme="minorEastAsia"/>
          <w:kern w:val="0"/>
          <w:sz w:val="24"/>
          <w:szCs w:val="24"/>
        </w:rPr>
        <w:t>－12项费用，根据有关法规及相应协议规定，按费用实际支出金额列入当期费用，由基金托管人从基金财产中支付。</w:t>
      </w:r>
    </w:p>
    <w:p w14:paraId="65967D89">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三、不列入基金费用的项目</w:t>
      </w:r>
    </w:p>
    <w:p w14:paraId="7F69E1C3">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下列费用不列入基金费用：</w:t>
      </w:r>
    </w:p>
    <w:p w14:paraId="347E8AE0">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1、基金管理人和基金托管人因未履行或未完全履行义务导致的费用支出或基金财产的损失；</w:t>
      </w:r>
    </w:p>
    <w:p w14:paraId="0AEF5E62">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2、基金管理人和基金托管人处理与基金运作无关的事项发生的费用；</w:t>
      </w:r>
    </w:p>
    <w:p w14:paraId="384FDC28">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3、</w:t>
      </w:r>
      <w:bookmarkStart w:id="33" w:name="_Hlk104924692"/>
      <w:r>
        <w:rPr>
          <w:rFonts w:hint="eastAsia" w:cs="宋体" w:asciiTheme="minorEastAsia" w:hAnsiTheme="minorEastAsia"/>
          <w:kern w:val="0"/>
          <w:sz w:val="24"/>
          <w:szCs w:val="24"/>
        </w:rPr>
        <w:t>指数许可使用费</w:t>
      </w:r>
      <w:bookmarkEnd w:id="33"/>
    </w:p>
    <w:p w14:paraId="4ADC7F6C">
      <w:pPr>
        <w:autoSpaceDE w:val="0"/>
        <w:autoSpaceDN w:val="0"/>
        <w:adjustRightInd w:val="0"/>
        <w:spacing w:line="360" w:lineRule="auto"/>
        <w:ind w:firstLine="480" w:firstLineChars="200"/>
        <w:rPr>
          <w:rFonts w:cs="宋体" w:asciiTheme="minorEastAsia" w:hAnsiTheme="minorEastAsia"/>
          <w:kern w:val="0"/>
          <w:sz w:val="24"/>
          <w:szCs w:val="24"/>
        </w:rPr>
      </w:pPr>
      <w:r>
        <w:rPr>
          <w:rFonts w:hint="eastAsia" w:cs="宋体" w:asciiTheme="minorEastAsia" w:hAnsiTheme="minorEastAsia"/>
          <w:kern w:val="0"/>
          <w:sz w:val="24"/>
          <w:szCs w:val="24"/>
        </w:rPr>
        <w:t>本基金按照基金管理人与标的指数许可方所签订的指数使用许可协议中所规定的指数许可使用费计提方法支付指数许可使用费，该指数许可使用费由基金管理人承担，不得从基金财产中列支。</w:t>
      </w:r>
    </w:p>
    <w:p w14:paraId="7D5D26EB">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如果指数许可使用费的计算方法、费率、支付方式和费用承担方等发生调整，本基金将采用调整后的方法或费率计算指数许可使用费；</w:t>
      </w:r>
    </w:p>
    <w:p w14:paraId="7993871A">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cs="宋体" w:asciiTheme="minorEastAsia" w:hAnsiTheme="minorEastAsia"/>
          <w:kern w:val="0"/>
          <w:sz w:val="24"/>
          <w:szCs w:val="24"/>
        </w:rPr>
        <w:t>4</w:t>
      </w:r>
      <w:r>
        <w:rPr>
          <w:rFonts w:hint="eastAsia" w:cs="宋体" w:asciiTheme="minorEastAsia" w:hAnsiTheme="minorEastAsia"/>
          <w:kern w:val="0"/>
          <w:sz w:val="24"/>
          <w:szCs w:val="24"/>
        </w:rPr>
        <w:t>、《基金合同》生效前的相关费用</w:t>
      </w:r>
      <w:r>
        <w:rPr>
          <w:rFonts w:hint="eastAsia" w:ascii="宋体" w:hAnsi="宋体" w:eastAsia="宋体" w:cs="宋体"/>
          <w:sz w:val="24"/>
          <w:szCs w:val="24"/>
        </w:rPr>
        <w:t>根据《博时中证有色金属矿业主题指数证券投资基金基金合同》的约定执行</w:t>
      </w:r>
      <w:r>
        <w:rPr>
          <w:rFonts w:hint="eastAsia" w:cs="宋体" w:asciiTheme="minorEastAsia" w:hAnsiTheme="minorEastAsia"/>
          <w:kern w:val="0"/>
          <w:sz w:val="24"/>
          <w:szCs w:val="24"/>
        </w:rPr>
        <w:t>；</w:t>
      </w:r>
    </w:p>
    <w:p w14:paraId="75EE966B">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cs="宋体" w:asciiTheme="minorEastAsia" w:hAnsiTheme="minorEastAsia"/>
          <w:kern w:val="0"/>
          <w:sz w:val="24"/>
          <w:szCs w:val="24"/>
        </w:rPr>
        <w:t>5</w:t>
      </w:r>
      <w:r>
        <w:rPr>
          <w:rFonts w:hint="eastAsia" w:cs="宋体" w:asciiTheme="minorEastAsia" w:hAnsiTheme="minorEastAsia"/>
          <w:kern w:val="0"/>
          <w:sz w:val="24"/>
          <w:szCs w:val="24"/>
        </w:rPr>
        <w:t>、其他根据相关法律法规及中国证监会的有关规定不得列入基金费用的项目。</w:t>
      </w:r>
    </w:p>
    <w:p w14:paraId="5511141E">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四、实施侧袋机制期间的基金费用</w:t>
      </w:r>
    </w:p>
    <w:p w14:paraId="1C4D00FE">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本基金实施侧袋机制的，与侧袋账户有关的费用可以从侧袋账户中列支，但应待侧袋账户资产变现后方可列支，有关费用可酌情收取或减免，但不得收取管理费，详见招募说明书的规定。</w:t>
      </w:r>
    </w:p>
    <w:p w14:paraId="49D20742">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五、基金税收</w:t>
      </w:r>
    </w:p>
    <w:p w14:paraId="5F75E9B4">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基金运作过程中涉及的各纳税主体，其纳税义务按国家税收法律、法规执行。基金财产投资的相关税收，由基金份额持有人承担，基金管理人或者其他扣缴义务人按照国家有关税收征收的规定代扣代缴。</w:t>
      </w:r>
    </w:p>
    <w:p w14:paraId="0F6C1C37">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本基金支付给基金管理人、基金托管人的各项费用均为含税价格，具体税率适用中国税务主管机关的规定。</w:t>
      </w:r>
    </w:p>
    <w:p w14:paraId="67230E71">
      <w:pPr>
        <w:widowControl/>
        <w:ind w:firstLine="200"/>
        <w:jc w:val="left"/>
        <w:rPr>
          <w:rFonts w:cs="宋体" w:asciiTheme="minorEastAsia" w:hAnsiTheme="minorEastAsia"/>
          <w:kern w:val="0"/>
          <w:sz w:val="24"/>
          <w:szCs w:val="24"/>
        </w:rPr>
        <w:sectPr>
          <w:footerReference r:id="rId18" w:type="default"/>
          <w:pgSz w:w="11906" w:h="16838"/>
          <w:pgMar w:top="1440" w:right="1800" w:bottom="1440" w:left="1800" w:header="851" w:footer="992" w:gutter="0"/>
          <w:pgNumType w:start="1"/>
          <w:cols w:space="425" w:num="1"/>
          <w:docGrid w:type="lines" w:linePitch="312" w:charSpace="0"/>
        </w:sectPr>
      </w:pPr>
    </w:p>
    <w:p w14:paraId="61EEDB26">
      <w:pPr>
        <w:pStyle w:val="2"/>
        <w:spacing w:before="0" w:after="0" w:line="360" w:lineRule="auto"/>
        <w:ind w:firstLine="602" w:firstLineChars="200"/>
        <w:jc w:val="center"/>
        <w:rPr>
          <w:rFonts w:ascii="Times New Roman" w:hAnsi="Times New Roman"/>
          <w:kern w:val="0"/>
          <w:sz w:val="30"/>
        </w:rPr>
      </w:pPr>
      <w:bookmarkStart w:id="34" w:name="_Toc471235853"/>
      <w:r>
        <w:rPr>
          <w:rFonts w:hint="eastAsia" w:ascii="Times New Roman" w:hAnsi="Times New Roman"/>
          <w:kern w:val="0"/>
          <w:sz w:val="30"/>
          <w:lang w:val="zh-CN"/>
        </w:rPr>
        <w:t>第十六部分</w:t>
      </w:r>
      <w:r>
        <w:rPr>
          <w:rFonts w:ascii="Times New Roman" w:hAnsi="Times New Roman"/>
          <w:kern w:val="0"/>
          <w:sz w:val="30"/>
        </w:rPr>
        <w:t xml:space="preserve"> </w:t>
      </w:r>
      <w:r>
        <w:rPr>
          <w:rFonts w:hint="eastAsia" w:ascii="Times New Roman" w:hAnsi="Times New Roman"/>
          <w:kern w:val="0"/>
          <w:sz w:val="30"/>
          <w:lang w:val="zh-CN"/>
        </w:rPr>
        <w:t>基金的收益与分配</w:t>
      </w:r>
      <w:bookmarkEnd w:id="34"/>
    </w:p>
    <w:p w14:paraId="60FD4B8B">
      <w:pPr>
        <w:autoSpaceDE w:val="0"/>
        <w:autoSpaceDN w:val="0"/>
        <w:adjustRightInd w:val="0"/>
        <w:spacing w:line="360" w:lineRule="auto"/>
        <w:ind w:firstLine="480" w:firstLineChars="200"/>
        <w:jc w:val="left"/>
        <w:rPr>
          <w:rFonts w:cs="宋体" w:asciiTheme="minorEastAsia" w:hAnsiTheme="minorEastAsia"/>
          <w:kern w:val="0"/>
          <w:sz w:val="24"/>
          <w:szCs w:val="24"/>
        </w:rPr>
      </w:pPr>
    </w:p>
    <w:p w14:paraId="2E6EF239">
      <w:pPr>
        <w:autoSpaceDE w:val="0"/>
        <w:autoSpaceDN w:val="0"/>
        <w:adjustRightInd w:val="0"/>
        <w:spacing w:line="360" w:lineRule="auto"/>
        <w:ind w:firstLine="480" w:firstLineChars="200"/>
        <w:jc w:val="left"/>
        <w:rPr>
          <w:rFonts w:cs="宋体" w:asciiTheme="minorEastAsia" w:hAnsiTheme="minorEastAsia"/>
          <w:kern w:val="0"/>
          <w:sz w:val="24"/>
          <w:szCs w:val="24"/>
        </w:rPr>
      </w:pPr>
      <w:bookmarkStart w:id="35" w:name="_Hlk92371281"/>
      <w:r>
        <w:rPr>
          <w:rFonts w:hint="eastAsia" w:cs="宋体" w:asciiTheme="minorEastAsia" w:hAnsiTheme="minorEastAsia"/>
          <w:kern w:val="0"/>
          <w:sz w:val="24"/>
          <w:szCs w:val="24"/>
        </w:rPr>
        <w:t>一、基金利润的构成</w:t>
      </w:r>
    </w:p>
    <w:p w14:paraId="1B6474CC">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基金利润指基金利息收入、投资收益、公允价值变动收益和其他收入扣除相关费用后的余额，基金已实现收益指基金利润减去公允价值变动收益后的余额。</w:t>
      </w:r>
    </w:p>
    <w:p w14:paraId="048FF4D8">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二、基金可供分配利润</w:t>
      </w:r>
    </w:p>
    <w:p w14:paraId="3CBF7A58">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基金可供分配利润指截至收益分配基准日基金未分配利润与未分配利润中已实现收益的孰低数。</w:t>
      </w:r>
    </w:p>
    <w:p w14:paraId="705E7479">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三、基金收益分配原则</w:t>
      </w:r>
    </w:p>
    <w:p w14:paraId="1649A6F8">
      <w:pPr>
        <w:autoSpaceDE w:val="0"/>
        <w:autoSpaceDN w:val="0"/>
        <w:adjustRightInd w:val="0"/>
        <w:spacing w:line="360" w:lineRule="auto"/>
        <w:ind w:firstLine="480" w:firstLineChars="200"/>
        <w:jc w:val="left"/>
        <w:rPr>
          <w:rFonts w:cs="宋体" w:asciiTheme="minorEastAsia" w:hAnsiTheme="minorEastAsia"/>
          <w:kern w:val="0"/>
          <w:sz w:val="24"/>
          <w:szCs w:val="24"/>
        </w:rPr>
      </w:pPr>
      <w:bookmarkStart w:id="36" w:name="_Hlk104924341"/>
      <w:r>
        <w:rPr>
          <w:rFonts w:hint="eastAsia" w:cs="宋体" w:asciiTheme="minorEastAsia" w:hAnsiTheme="minorEastAsia"/>
          <w:kern w:val="0"/>
          <w:sz w:val="24"/>
          <w:szCs w:val="24"/>
        </w:rPr>
        <w:t>1、由于本基金A类基金份额不收取销售服务费，而C类基金份额收取销售服务费，各基金份额类别对应的可供分配利润将有所不同，本基金同一类别的每一基金份额享有同等分配权；</w:t>
      </w:r>
    </w:p>
    <w:p w14:paraId="12AA3867">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2、本基金收益分配方式分两种：现金分红与红利再投资，投资者可选择现金红利或将现金红利自动转为相应类别的基金份额进行再投资，且基金份额持有人可对A类、C类基金份额分别选择不同的分红方式；若投资者不选择，本基金默认的收益分配方式是现金分红；</w:t>
      </w:r>
    </w:p>
    <w:p w14:paraId="4C5A3C4B">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3、基金收益分配后各类基金份额净值不能低于面值，即基金收益分配基准日的各类基金份额净值减去每单位该类基金份额收益分配金额后不能低于面值；</w:t>
      </w:r>
    </w:p>
    <w:p w14:paraId="2AE3D6E4">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4、法律法规或监管机关另有规定的，从其规定。</w:t>
      </w:r>
    </w:p>
    <w:p w14:paraId="2387088F">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在</w:t>
      </w:r>
      <w:r>
        <w:rPr>
          <w:rFonts w:cs="宋体" w:asciiTheme="minorEastAsia" w:hAnsiTheme="minorEastAsia"/>
          <w:kern w:val="0"/>
          <w:sz w:val="24"/>
          <w:szCs w:val="24"/>
        </w:rPr>
        <w:t>不违反</w:t>
      </w:r>
      <w:r>
        <w:rPr>
          <w:rFonts w:hint="eastAsia" w:cs="宋体" w:asciiTheme="minorEastAsia" w:hAnsiTheme="minorEastAsia"/>
          <w:kern w:val="0"/>
          <w:sz w:val="24"/>
          <w:szCs w:val="24"/>
        </w:rPr>
        <w:t>法律法规及基金合同约定，并对基金份额持有人利益无实质不利影响的前提下，基金管理人经与基金托管人协商一致后可对基金收益分配原则和支付方式进行调整，不需召开基金份额持有人大会。</w:t>
      </w:r>
    </w:p>
    <w:bookmarkEnd w:id="35"/>
    <w:bookmarkEnd w:id="36"/>
    <w:p w14:paraId="7CBAF002">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四、收益分配方案</w:t>
      </w:r>
    </w:p>
    <w:p w14:paraId="54B74B2B">
      <w:pPr>
        <w:autoSpaceDE w:val="0"/>
        <w:autoSpaceDN w:val="0"/>
        <w:adjustRightInd w:val="0"/>
        <w:spacing w:line="360" w:lineRule="auto"/>
        <w:ind w:firstLine="480" w:firstLineChars="200"/>
        <w:jc w:val="left"/>
        <w:rPr>
          <w:rFonts w:cs="宋体" w:asciiTheme="minorEastAsia" w:hAnsiTheme="minorEastAsia"/>
          <w:kern w:val="0"/>
          <w:sz w:val="24"/>
          <w:szCs w:val="24"/>
        </w:rPr>
      </w:pPr>
      <w:bookmarkStart w:id="37" w:name="_Hlk104924411"/>
      <w:r>
        <w:rPr>
          <w:rFonts w:hint="eastAsia" w:cs="宋体" w:asciiTheme="minorEastAsia" w:hAnsiTheme="minorEastAsia"/>
          <w:kern w:val="0"/>
          <w:sz w:val="24"/>
          <w:szCs w:val="24"/>
        </w:rPr>
        <w:t>基金收益分配方案中应载明截</w:t>
      </w:r>
      <w:r>
        <w:rPr>
          <w:rFonts w:cs="宋体" w:asciiTheme="minorEastAsia" w:hAnsiTheme="minorEastAsia"/>
          <w:kern w:val="0"/>
          <w:sz w:val="24"/>
          <w:szCs w:val="24"/>
        </w:rPr>
        <w:t>至</w:t>
      </w:r>
      <w:r>
        <w:rPr>
          <w:rFonts w:hint="eastAsia" w:cs="宋体" w:asciiTheme="minorEastAsia" w:hAnsiTheme="minorEastAsia"/>
          <w:kern w:val="0"/>
          <w:sz w:val="24"/>
          <w:szCs w:val="24"/>
        </w:rPr>
        <w:t>收益分配基准日的可供分配利润、基金收益分配对象、分配时间、分配数额及比例、分配方式等内容</w:t>
      </w:r>
      <w:bookmarkEnd w:id="37"/>
      <w:r>
        <w:rPr>
          <w:rFonts w:hint="eastAsia" w:cs="宋体" w:asciiTheme="minorEastAsia" w:hAnsiTheme="minorEastAsia"/>
          <w:kern w:val="0"/>
          <w:sz w:val="24"/>
          <w:szCs w:val="24"/>
        </w:rPr>
        <w:t>。</w:t>
      </w:r>
    </w:p>
    <w:p w14:paraId="4043DE2E">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五、收益分配方案的确定、公告与实施</w:t>
      </w:r>
    </w:p>
    <w:p w14:paraId="557CB638">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本基金收益分配方案由基金管理人拟定，并由基金托管人复核，按规定在规定媒介公告。</w:t>
      </w:r>
    </w:p>
    <w:p w14:paraId="0F2C6FFD">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六、基金收益分配中发生的费用</w:t>
      </w:r>
    </w:p>
    <w:p w14:paraId="2F49240B">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基金收益分配时所发生的银行转账或其他手续费用由投资者自行承担。当投资者的现金红利小于一定金额，不足以支付银行转账或其他手续费用时，基金登记机构可将基金份额持有人的现金红利自动转为相应类别的基金份额。红利再投资的计算方法，依照《业务规则》执行。</w:t>
      </w:r>
    </w:p>
    <w:p w14:paraId="4CA728DC">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七、实施侧袋机制期间的收益分配</w:t>
      </w:r>
    </w:p>
    <w:p w14:paraId="0436C21F">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本基金实施侧袋机制的，侧袋账户不进行收益分配，详见招募说明书的规定。</w:t>
      </w:r>
    </w:p>
    <w:p w14:paraId="677B4017">
      <w:pPr>
        <w:autoSpaceDE w:val="0"/>
        <w:autoSpaceDN w:val="0"/>
        <w:adjustRightInd w:val="0"/>
        <w:spacing w:line="360" w:lineRule="auto"/>
        <w:ind w:firstLine="480" w:firstLineChars="200"/>
        <w:jc w:val="left"/>
        <w:rPr>
          <w:rFonts w:cs="宋体" w:asciiTheme="minorEastAsia" w:hAnsiTheme="minorEastAsia"/>
          <w:kern w:val="0"/>
          <w:sz w:val="24"/>
          <w:szCs w:val="24"/>
        </w:rPr>
        <w:sectPr>
          <w:footerReference r:id="rId19" w:type="default"/>
          <w:pgSz w:w="11906" w:h="16838"/>
          <w:pgMar w:top="1440" w:right="1800" w:bottom="1440" w:left="1800" w:header="851" w:footer="992" w:gutter="0"/>
          <w:pgNumType w:start="1"/>
          <w:cols w:space="425" w:num="1"/>
          <w:docGrid w:type="lines" w:linePitch="312" w:charSpace="0"/>
        </w:sectPr>
      </w:pPr>
    </w:p>
    <w:p w14:paraId="4781C227">
      <w:pPr>
        <w:pStyle w:val="2"/>
        <w:spacing w:before="0" w:after="0" w:line="360" w:lineRule="auto"/>
        <w:ind w:firstLine="602" w:firstLineChars="200"/>
        <w:jc w:val="center"/>
        <w:rPr>
          <w:rFonts w:ascii="Times New Roman" w:hAnsi="Times New Roman"/>
          <w:kern w:val="0"/>
          <w:sz w:val="30"/>
          <w:lang w:val="zh-CN"/>
        </w:rPr>
      </w:pPr>
      <w:bookmarkStart w:id="38" w:name="_Toc471235854"/>
      <w:r>
        <w:rPr>
          <w:rFonts w:hint="eastAsia" w:ascii="Times New Roman" w:hAnsi="Times New Roman"/>
          <w:kern w:val="0"/>
          <w:sz w:val="30"/>
          <w:lang w:val="zh-CN"/>
        </w:rPr>
        <w:t>第十七部分</w:t>
      </w:r>
      <w:r>
        <w:rPr>
          <w:rFonts w:ascii="Times New Roman" w:hAnsi="Times New Roman"/>
          <w:kern w:val="0"/>
          <w:sz w:val="30"/>
          <w:lang w:val="zh-CN"/>
        </w:rPr>
        <w:t xml:space="preserve"> </w:t>
      </w:r>
      <w:r>
        <w:rPr>
          <w:rFonts w:hint="eastAsia" w:ascii="Times New Roman" w:hAnsi="Times New Roman"/>
          <w:kern w:val="0"/>
          <w:sz w:val="30"/>
          <w:lang w:val="zh-CN"/>
        </w:rPr>
        <w:t>基金的会计与审计</w:t>
      </w:r>
      <w:bookmarkEnd w:id="38"/>
    </w:p>
    <w:p w14:paraId="287E5C9B">
      <w:pPr>
        <w:autoSpaceDE w:val="0"/>
        <w:autoSpaceDN w:val="0"/>
        <w:adjustRightInd w:val="0"/>
        <w:spacing w:line="360" w:lineRule="auto"/>
        <w:ind w:firstLine="480" w:firstLineChars="200"/>
        <w:jc w:val="left"/>
        <w:rPr>
          <w:rFonts w:cs="宋体" w:asciiTheme="minorEastAsia" w:hAnsiTheme="minorEastAsia"/>
          <w:kern w:val="0"/>
          <w:sz w:val="24"/>
          <w:szCs w:val="24"/>
        </w:rPr>
      </w:pPr>
    </w:p>
    <w:p w14:paraId="0EC86803">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一、基金会计政策</w:t>
      </w:r>
    </w:p>
    <w:p w14:paraId="0BE432C2">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1、基金管理人为本基金的基金会计责任方；</w:t>
      </w:r>
    </w:p>
    <w:p w14:paraId="43492341">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2、基金的会计年度为公历年度的1月1日至12月31日；</w:t>
      </w:r>
    </w:p>
    <w:p w14:paraId="32A08779">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3、基金核算以人民币为记账本位币，以人民币元为记账单位；</w:t>
      </w:r>
    </w:p>
    <w:p w14:paraId="0183301A">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4、会计制度执行国家有关会计制度；</w:t>
      </w:r>
    </w:p>
    <w:p w14:paraId="63B29F9F">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5、本基金独立建账、独立核算；</w:t>
      </w:r>
    </w:p>
    <w:p w14:paraId="687C05A3">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6、基金管理人及基金托管人各自保留完整的会计账目、凭证并进行日常的会计核算，按照有关规定编制基金会计报表；</w:t>
      </w:r>
    </w:p>
    <w:p w14:paraId="6E943524">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7、基金托管人每月与基金管理人就基金的会计核算、报表编制等进行核对并以书面方式确认。</w:t>
      </w:r>
    </w:p>
    <w:p w14:paraId="1E3F20F5">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二、基金的年度审计</w:t>
      </w:r>
    </w:p>
    <w:p w14:paraId="4705E073">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1、基金管理人聘请与基金管理人、基金托管人相互独立且符合《中华人民共和国证券法》规定的会计师事务所及其注册会计师对本基金的年度财务报表进行审计。</w:t>
      </w:r>
    </w:p>
    <w:p w14:paraId="34522A5B">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2、会计师事务所更换经办注册会计师，应事先征得基金管理人同意。</w:t>
      </w:r>
    </w:p>
    <w:p w14:paraId="0B8BDD02">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3、基金管理人认为有充足理由更换会计师事务所，须通报基金托管人。更换会计师事务所需按规定在规定媒介公告。</w:t>
      </w:r>
    </w:p>
    <w:p w14:paraId="72C40720">
      <w:pPr>
        <w:ind w:firstLine="200"/>
      </w:pPr>
    </w:p>
    <w:p w14:paraId="0AE35043">
      <w:pPr>
        <w:widowControl/>
        <w:ind w:firstLine="200"/>
        <w:jc w:val="left"/>
        <w:rPr>
          <w:rFonts w:ascii="Times New Roman" w:hAnsi="Times New Roman" w:eastAsia="宋体" w:cs="Times New Roman"/>
          <w:b/>
          <w:kern w:val="0"/>
          <w:sz w:val="30"/>
          <w:szCs w:val="30"/>
          <w:lang w:val="zh-CN"/>
        </w:rPr>
        <w:sectPr>
          <w:footerReference r:id="rId20" w:type="default"/>
          <w:pgSz w:w="11906" w:h="16838"/>
          <w:pgMar w:top="1440" w:right="1800" w:bottom="1440" w:left="1800" w:header="851" w:footer="992" w:gutter="0"/>
          <w:pgNumType w:start="1"/>
          <w:cols w:space="425" w:num="1"/>
          <w:docGrid w:type="lines" w:linePitch="312" w:charSpace="0"/>
        </w:sectPr>
      </w:pPr>
    </w:p>
    <w:p w14:paraId="3B4CCBA0">
      <w:pPr>
        <w:pStyle w:val="2"/>
        <w:spacing w:before="0" w:after="0" w:line="360" w:lineRule="auto"/>
        <w:ind w:firstLine="602" w:firstLineChars="200"/>
        <w:jc w:val="center"/>
        <w:rPr>
          <w:rFonts w:ascii="Times New Roman" w:hAnsi="Times New Roman"/>
          <w:kern w:val="0"/>
          <w:sz w:val="30"/>
          <w:lang w:val="zh-CN"/>
        </w:rPr>
      </w:pPr>
      <w:bookmarkStart w:id="39" w:name="_Toc471235855"/>
      <w:r>
        <w:rPr>
          <w:rFonts w:hint="eastAsia" w:ascii="Times New Roman" w:hAnsi="Times New Roman"/>
          <w:kern w:val="0"/>
          <w:sz w:val="30"/>
          <w:lang w:val="zh-CN"/>
        </w:rPr>
        <w:t>第十八部分</w:t>
      </w:r>
      <w:r>
        <w:rPr>
          <w:rFonts w:ascii="Times New Roman" w:hAnsi="Times New Roman"/>
          <w:kern w:val="0"/>
          <w:sz w:val="30"/>
          <w:lang w:val="zh-CN"/>
        </w:rPr>
        <w:t xml:space="preserve"> </w:t>
      </w:r>
      <w:r>
        <w:rPr>
          <w:rFonts w:hint="eastAsia" w:ascii="Times New Roman" w:hAnsi="Times New Roman"/>
          <w:kern w:val="0"/>
          <w:sz w:val="30"/>
          <w:lang w:val="zh-CN"/>
        </w:rPr>
        <w:t>基金的信息披露</w:t>
      </w:r>
      <w:bookmarkEnd w:id="39"/>
    </w:p>
    <w:p w14:paraId="29CC6B6E">
      <w:pPr>
        <w:autoSpaceDE w:val="0"/>
        <w:autoSpaceDN w:val="0"/>
        <w:adjustRightInd w:val="0"/>
        <w:spacing w:line="360" w:lineRule="auto"/>
        <w:ind w:firstLine="480" w:firstLineChars="200"/>
        <w:jc w:val="left"/>
        <w:rPr>
          <w:rFonts w:cs="宋体" w:asciiTheme="minorEastAsia" w:hAnsiTheme="minorEastAsia"/>
          <w:kern w:val="0"/>
          <w:sz w:val="24"/>
          <w:szCs w:val="24"/>
        </w:rPr>
      </w:pPr>
    </w:p>
    <w:p w14:paraId="441626E0">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一、本基金的信息披露应符合《基金法》、《运作办法》、《信息披露办法》、《流动性风险管理规定》、《基金合同》及其他有关规定。相关法律法规关于信息披露的规定发生变化时，本基金从其最新规定。</w:t>
      </w:r>
    </w:p>
    <w:p w14:paraId="641EDC9D">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二、信息披露义务人</w:t>
      </w:r>
    </w:p>
    <w:p w14:paraId="7DC42999">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本基金信息披露义务人包括基金管理人、基金托管人、召集基金份额持有人大会的基金份额持有人等法律、行政法规和中国证监会规定的自然人、法人和非法人组织。</w:t>
      </w:r>
    </w:p>
    <w:p w14:paraId="4FEF42E6">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本基金信息披露义务人以保护基金份额持有人利益为根本出发点，按照法律法规和中国证监会的规定披露基金信息，并保证所披露信息的真实性、准确性、完整性、及时性、简明性和易得性。</w:t>
      </w:r>
    </w:p>
    <w:p w14:paraId="68E02B8B">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本基金信息披露义务人应当在中国证监会规定时间内，将应予披露的基金信息通过符合中国证监会规定条件的全国性报刊（以下简称“规定报刊”）和《信息披露办法》规定的互联网网站（以下简称“规定网站”，包括基金管理人网站、基金托管人网站、中国证监会基金电子披露网站）等媒介披露，并保证基金投资者能够按照《基金合同》约定的时间和方式查阅或者复制公开披露的信息资料。</w:t>
      </w:r>
    </w:p>
    <w:p w14:paraId="581E5F76">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三、本基金信息披露义务人承诺公开披露的基金信息，不得有下列行为：</w:t>
      </w:r>
    </w:p>
    <w:p w14:paraId="61B1D60C">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1、虚假记载、误导性陈述或者重大遗漏；</w:t>
      </w:r>
    </w:p>
    <w:p w14:paraId="692A5D26">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2、对证券投资业绩进行预测；</w:t>
      </w:r>
    </w:p>
    <w:p w14:paraId="4A8147D7">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3、违规承诺收益或者承担损失；</w:t>
      </w:r>
    </w:p>
    <w:p w14:paraId="4998EAFE">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4、诋毁其他基金管理人、基金托管人或者基金销售机构；</w:t>
      </w:r>
    </w:p>
    <w:p w14:paraId="1ED65806">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5、登载任何自然人、法人和非法人组织的祝贺性、恭维性或推荐性文字；</w:t>
      </w:r>
    </w:p>
    <w:p w14:paraId="40F63DF1">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6、中国证监会禁止的其他行为。</w:t>
      </w:r>
    </w:p>
    <w:p w14:paraId="6BE135C2">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四、本基金公开披露的信息应采用中文文本。如同时采用外文文本的，基金信息披露义务人应保证不同文本的内容一致。不同文本之间发生歧义的，以中文文本为准。</w:t>
      </w:r>
    </w:p>
    <w:p w14:paraId="1AC7BC8E">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本基金公开披露的信息采用阿拉伯数字；除特别说明外，货币单位为人民币元。</w:t>
      </w:r>
    </w:p>
    <w:p w14:paraId="2BD0A640">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五、公开披露的基金信息</w:t>
      </w:r>
    </w:p>
    <w:p w14:paraId="588C515F">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公开披露的基金信息包括：</w:t>
      </w:r>
    </w:p>
    <w:p w14:paraId="6EACB1AF">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（一）基金招募说明书、基金产品资料概要、《基金合同》、基金托管协议</w:t>
      </w:r>
    </w:p>
    <w:p w14:paraId="3518E155">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1、《基金合同》是界定《基金合同》当事人的各项权利、义务关系，明确基金份额持有人大会召开的规则及具体程序，说明基金产品的特性等涉及基金投资者重大利益的事项的法律文件。</w:t>
      </w:r>
    </w:p>
    <w:p w14:paraId="04ED51CA">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2、基金招募说明书应当最大限度地披露影响基金投资者决策的全部事项，说明基金申购和赎回安排、基金投资、基金产品特性、风险揭示、信息披露及基金份额持有人服务等内容。</w:t>
      </w:r>
    </w:p>
    <w:p w14:paraId="306674F1">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基金产品资料概要是基金招募说明书的摘要文件，用于向投资者提供简明的基金概要信息。基金管理人应当依照法律法规和中国证监会的规定编制、披露与更新基金产品资料概要。基金合同生效后，基金招募说明书、基金产品资料概要的信息发生重大变更的，基金管理人应当在三个工作日内，更新基金招募说明书和基金产品资料概要，并登载在规定网站上，其中基金产品资料概要还应当登载在基金销售机构网站或营业网点。除此之外，基金招募说明书、基金产品资料概要其他信息发生变更的，基金管理人至少每年更新一次。</w:t>
      </w:r>
    </w:p>
    <w:p w14:paraId="26B7430A">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基金终止运作的，除基金合同另有约定外，基金管理人可以不再更新基金招募说明书和基金产品资料概要。</w:t>
      </w:r>
    </w:p>
    <w:p w14:paraId="5B76E40D">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3、基金托管协议是界定基金托管人和基金管理人在基金财产保管及基金运作监督等活动中的权利、义务关系的法律文件。</w:t>
      </w:r>
    </w:p>
    <w:p w14:paraId="6D588E54">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（二）基金净值信息</w:t>
      </w:r>
    </w:p>
    <w:p w14:paraId="21E80C44">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基金管理人应当在不晚于每个开放日的次日，通过规定网站、基金销售机构网站或者营业网点披露开放日的各类基金份额净值和各类基金份额累计净值。</w:t>
      </w:r>
    </w:p>
    <w:p w14:paraId="0E83B39C">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基金管理人应当在不晚于半年度和年度最后一日的次日， 在规定网站公告半年度和年度最后一日各类基金份额净值和各类基金份额累计净值。</w:t>
      </w:r>
    </w:p>
    <w:p w14:paraId="55B35E03">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（三）基金份额申购、赎回价格</w:t>
      </w:r>
    </w:p>
    <w:p w14:paraId="7C1D3D98">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基金管理人应当在《基金合同》、招募说明书等信息披露文件上载明基金份额申购、赎回价格的计算方式及有关申购、赎回费率，并保证投资者能够在基金销售机构网站或者营业网点查阅或者复制前述信息资料。</w:t>
      </w:r>
    </w:p>
    <w:p w14:paraId="4AD24B35">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（四）基金定期报告，包括基金年度报告、基金中期报告和基金季度报告（含资产组合季度报告）</w:t>
      </w:r>
    </w:p>
    <w:p w14:paraId="27579CE4">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基金管理人应当在每年结束之日起三个月内，编制完成基金年度报告，将年度报告登载于规定网站上，并将年度报告提示性公告登载在规定报刊上。基金年度报告中的财务会计报告应当经过符合《中华人民共和国证券法》规定的会计师事务所审计。</w:t>
      </w:r>
    </w:p>
    <w:p w14:paraId="5EF99BB7">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基金管理人应当在上半年结束之日起两个月内，编制完成基金中期报告，将中期报告登载在规定网站上，并将中期报告提示性公告登载在规定报刊上。</w:t>
      </w:r>
    </w:p>
    <w:p w14:paraId="4FA87E3A">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基金管理人应当在季度结束之日起15个工作日内，编制完成基金季度报告，将季度报告登载在规定网站上，并将季度报告提示性公告登载在规定报刊上。</w:t>
      </w:r>
    </w:p>
    <w:p w14:paraId="3637E758">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14:paraId="51BE3F06">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基金管理人应当在基金年度报告和中期报告中披露基金组合资产情况及其流动性风险分析等。</w:t>
      </w:r>
    </w:p>
    <w:p w14:paraId="53925125">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（五）临时报告</w:t>
      </w:r>
    </w:p>
    <w:p w14:paraId="0341BE1F">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本基金发生重大事件，有关信息披露义务人应当按规定编制临时报告书，并登载在规定报刊和规定网站上。</w:t>
      </w:r>
    </w:p>
    <w:p w14:paraId="25898444">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前款所称重大事件，是指可能对基金份额持有人权益或者基金份额的价格产生重大影响的下列事件：</w:t>
      </w:r>
    </w:p>
    <w:p w14:paraId="53C366B5">
      <w:pPr>
        <w:numPr>
          <w:ilvl w:val="0"/>
          <w:numId w:val="2"/>
        </w:num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基金份额持有人大会的召开及决定的事项；</w:t>
      </w:r>
    </w:p>
    <w:p w14:paraId="35CAD903">
      <w:pPr>
        <w:numPr>
          <w:ilvl w:val="0"/>
          <w:numId w:val="2"/>
        </w:num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《基金合同》终止、基金清算；</w:t>
      </w:r>
    </w:p>
    <w:p w14:paraId="56342BBE">
      <w:pPr>
        <w:numPr>
          <w:ilvl w:val="0"/>
          <w:numId w:val="2"/>
        </w:num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转换基金运作方式、基金合并；</w:t>
      </w:r>
    </w:p>
    <w:p w14:paraId="4D52A63C">
      <w:pPr>
        <w:numPr>
          <w:ilvl w:val="0"/>
          <w:numId w:val="2"/>
        </w:num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更换基金管理人、基金托管人；</w:t>
      </w:r>
    </w:p>
    <w:p w14:paraId="51F820E1">
      <w:pPr>
        <w:numPr>
          <w:ilvl w:val="0"/>
          <w:numId w:val="2"/>
        </w:num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基金管理人委托基金服务机构代为办理基金的份额登记、核算、估值等事项，基金托管人委托基金服务机构代为办理基金的核算、估值、复核等事项；</w:t>
      </w:r>
    </w:p>
    <w:p w14:paraId="24873A29">
      <w:pPr>
        <w:numPr>
          <w:ilvl w:val="0"/>
          <w:numId w:val="2"/>
        </w:num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基金管理人、基金托管人的法定名称、住所发生变更；</w:t>
      </w:r>
    </w:p>
    <w:p w14:paraId="472007E1">
      <w:pPr>
        <w:numPr>
          <w:ilvl w:val="0"/>
          <w:numId w:val="2"/>
        </w:num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基金管理人变更持有百分之五以上股权的股东、变更基金管理人的实际控制人；</w:t>
      </w:r>
    </w:p>
    <w:p w14:paraId="7375B1C1">
      <w:pPr>
        <w:numPr>
          <w:ilvl w:val="0"/>
          <w:numId w:val="2"/>
        </w:num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基金管理人高级管理人员、基金经理和基金托管人专门基金托管部门负责人发生变动；</w:t>
      </w:r>
    </w:p>
    <w:p w14:paraId="0EDAEC54">
      <w:pPr>
        <w:numPr>
          <w:ilvl w:val="0"/>
          <w:numId w:val="2"/>
        </w:num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基金管理人的董事在最近12个月内变更超过百分之五十；</w:t>
      </w:r>
    </w:p>
    <w:p w14:paraId="50A8819A">
      <w:pPr>
        <w:numPr>
          <w:ilvl w:val="0"/>
          <w:numId w:val="2"/>
        </w:num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基金管理人、基金托管人专门基金托管部门的主要业务人员在最近12个月内变动超过百分之三十；</w:t>
      </w:r>
    </w:p>
    <w:p w14:paraId="70187B4D">
      <w:pPr>
        <w:numPr>
          <w:ilvl w:val="0"/>
          <w:numId w:val="2"/>
        </w:num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 xml:space="preserve">涉及基金管理业务、基金财产、基金托管业务的诉讼或仲裁； </w:t>
      </w:r>
    </w:p>
    <w:p w14:paraId="1289ACE6">
      <w:pPr>
        <w:numPr>
          <w:ilvl w:val="0"/>
          <w:numId w:val="2"/>
        </w:num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基金管理人或其高级管理人员、基金经理因基金管理业务相关行为受到重大行政处罚、刑事处罚，基金托管人或其专门基金托管部门负责人因基金托管业务相关行为受到重大行政处罚、刑事处罚；</w:t>
      </w:r>
    </w:p>
    <w:p w14:paraId="5B7A3E33">
      <w:pPr>
        <w:numPr>
          <w:ilvl w:val="0"/>
          <w:numId w:val="2"/>
        </w:num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基金管理人运用基金财产买卖基金管理人、基金托管人及其控股股东、实际控制人或者与其有重大利害关系的公司发行的证券或者承销期内承销的证券，或者从事其他重大关联交易事项，中国证监会另有规定的情形除外；</w:t>
      </w:r>
    </w:p>
    <w:p w14:paraId="441A2778">
      <w:pPr>
        <w:numPr>
          <w:ilvl w:val="0"/>
          <w:numId w:val="2"/>
        </w:num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基金收益分配事项；</w:t>
      </w:r>
    </w:p>
    <w:p w14:paraId="4687F212">
      <w:pPr>
        <w:numPr>
          <w:ilvl w:val="0"/>
          <w:numId w:val="2"/>
        </w:num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管理费、托管费、销售服务费、申购费、赎回费等费用计提标准、计提方式和费率发生变更；</w:t>
      </w:r>
    </w:p>
    <w:p w14:paraId="791BC745">
      <w:pPr>
        <w:numPr>
          <w:ilvl w:val="0"/>
          <w:numId w:val="2"/>
        </w:num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任一类基金份额净值计价错误达该类基金份额净值百分之零点五；</w:t>
      </w:r>
    </w:p>
    <w:p w14:paraId="7B387336">
      <w:pPr>
        <w:numPr>
          <w:ilvl w:val="0"/>
          <w:numId w:val="2"/>
        </w:num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基金改聘会计师事务所；</w:t>
      </w:r>
    </w:p>
    <w:p w14:paraId="598872F6">
      <w:pPr>
        <w:numPr>
          <w:ilvl w:val="0"/>
          <w:numId w:val="2"/>
        </w:num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更换基金登记机构；</w:t>
      </w:r>
    </w:p>
    <w:p w14:paraId="1E94199E">
      <w:pPr>
        <w:numPr>
          <w:ilvl w:val="0"/>
          <w:numId w:val="2"/>
        </w:num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本基金开始办理申购、赎回；</w:t>
      </w:r>
    </w:p>
    <w:p w14:paraId="462E87B1">
      <w:pPr>
        <w:numPr>
          <w:ilvl w:val="0"/>
          <w:numId w:val="2"/>
        </w:num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本基金发生巨额赎回并延期办理；</w:t>
      </w:r>
    </w:p>
    <w:p w14:paraId="70F2F0ED">
      <w:pPr>
        <w:numPr>
          <w:ilvl w:val="0"/>
          <w:numId w:val="2"/>
        </w:num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本基金连续发生巨额赎回并暂停接受赎回申请或延缓支付赎回款项；</w:t>
      </w:r>
    </w:p>
    <w:p w14:paraId="5F1145F9">
      <w:pPr>
        <w:numPr>
          <w:ilvl w:val="0"/>
          <w:numId w:val="2"/>
        </w:num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本基金暂停接受申购、赎回申请或重新接受申购、赎回申请；</w:t>
      </w:r>
    </w:p>
    <w:p w14:paraId="3F0CE15C">
      <w:pPr>
        <w:numPr>
          <w:ilvl w:val="0"/>
          <w:numId w:val="2"/>
        </w:num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发生涉及基金申购、赎回事项调整或潜在影响投资者赎回等重大事项时；</w:t>
      </w:r>
    </w:p>
    <w:p w14:paraId="49A371CA">
      <w:pPr>
        <w:numPr>
          <w:ilvl w:val="0"/>
          <w:numId w:val="2"/>
        </w:num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基金管理人采用摆动定价机制进行估值；</w:t>
      </w:r>
    </w:p>
    <w:p w14:paraId="5E6E0C68">
      <w:pPr>
        <w:numPr>
          <w:ilvl w:val="0"/>
          <w:numId w:val="2"/>
        </w:num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变更目标</w:t>
      </w:r>
      <w:r>
        <w:rPr>
          <w:rFonts w:cs="宋体" w:asciiTheme="minorEastAsia" w:hAnsiTheme="minorEastAsia"/>
          <w:kern w:val="0"/>
          <w:sz w:val="24"/>
          <w:szCs w:val="24"/>
        </w:rPr>
        <w:t>ETF</w:t>
      </w:r>
      <w:r>
        <w:rPr>
          <w:rFonts w:hint="eastAsia" w:cs="宋体" w:asciiTheme="minorEastAsia" w:hAnsiTheme="minorEastAsia"/>
          <w:kern w:val="0"/>
          <w:sz w:val="24"/>
          <w:szCs w:val="24"/>
        </w:rPr>
        <w:t>；</w:t>
      </w:r>
    </w:p>
    <w:p w14:paraId="1AB7A2B8">
      <w:pPr>
        <w:numPr>
          <w:ilvl w:val="0"/>
          <w:numId w:val="2"/>
        </w:num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调整基金份额类别的设置；</w:t>
      </w:r>
    </w:p>
    <w:p w14:paraId="7B3F43F7">
      <w:pPr>
        <w:numPr>
          <w:ilvl w:val="0"/>
          <w:numId w:val="2"/>
        </w:num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基金推出新业务或服务；</w:t>
      </w:r>
    </w:p>
    <w:p w14:paraId="134ADBF6">
      <w:pPr>
        <w:numPr>
          <w:ilvl w:val="0"/>
          <w:numId w:val="2"/>
        </w:num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基金信息披露义务人认为可能对基金份额持有人权益或者基金份额的价格产生重大影响的其他事项或中国证监会规定的和基金合同约定的其他事项。</w:t>
      </w:r>
    </w:p>
    <w:p w14:paraId="0980CD9E">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（六）澄清公告</w:t>
      </w:r>
    </w:p>
    <w:p w14:paraId="403FB4F0">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w:t>
      </w:r>
    </w:p>
    <w:p w14:paraId="3EA43F2A">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（七）清算报告</w:t>
      </w:r>
    </w:p>
    <w:p w14:paraId="5F493AB4">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基金终止运作的，基金管理人应当依法组织基金财产清算小组对基金财产进行清算并作出清算报告。基金财产清算小组应当将清算报告登载在规定网站上，并将清算报告提示性公告登载在规定报刊上。</w:t>
      </w:r>
    </w:p>
    <w:p w14:paraId="05C9E525">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（八）基金份额持有人大会决议</w:t>
      </w:r>
    </w:p>
    <w:p w14:paraId="348ECE10">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基金份额持有人大会决定的事项，应当依法报中国证监会备案，并予以公告。</w:t>
      </w:r>
    </w:p>
    <w:p w14:paraId="09487957">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（九）投资股指期货、国债期货、股票期权的信息披露</w:t>
      </w:r>
    </w:p>
    <w:p w14:paraId="688C9A87">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基金管理人应当在基金季度报告、基金中期报告、基金年度报告等定期报告和招募说明书（更新）等文件中披露股指期货、国债期货、股票期权交易情况，包括投资政策、持仓情况、损益情况、风险指标等，并充分揭示股指期货、国债期货、股票期权交易对基金总体风险的影响以及是否符合既定的投资政策和投资目标等。</w:t>
      </w:r>
    </w:p>
    <w:p w14:paraId="55A3CA41">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（十）投资资产支持证券的信息披露</w:t>
      </w:r>
    </w:p>
    <w:p w14:paraId="0ED51ACC">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基金管理人应在基金年度报告及中期报告中披露其持有的资产支持证券总额、资产支持证券市值占基金净资产的比例和报告期内所有的资产支持证券明细。基金管理人应在基金季度报告中披露其持有的资产支持证券总额、资产支持证券市值占基金净资产的比例和报告期末按市值占基金净资产比例大小排序的前10名资产支持证券明细。</w:t>
      </w:r>
    </w:p>
    <w:p w14:paraId="581BF505">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（十一）投资港股通标的股票的信息披露</w:t>
      </w:r>
    </w:p>
    <w:p w14:paraId="1E335488">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基金管理人应当在季度报告、中期报告、年度报告等定期报告和招募说明书（更新）等文件中按届时有效的法律法规或监管机构的要求披露本基金参与港股通标的股票交易的相关情况。若中国证监会对公开募集证券投资基金投资港股通标的股票的信息披露另有规定的，从其规定。</w:t>
      </w:r>
    </w:p>
    <w:p w14:paraId="38BCA5C0">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（十二）投资非公开发行股票的信息披露</w:t>
      </w:r>
    </w:p>
    <w:p w14:paraId="4F2505A7">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基金管理人应在基金投资非公开发行股票后两个交易日内，在中国证监会规定媒介披露所投资非公开发行股票的名称、数量、总成本、账面价值，以及总成本和账面价值占基金资产净值的比例、锁定期等信息。</w:t>
      </w:r>
    </w:p>
    <w:p w14:paraId="3E9A4654">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（十三）参与融资和转融通证券出借业务的信息披露</w:t>
      </w:r>
    </w:p>
    <w:p w14:paraId="272B50EF">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本基金参与融资和转融通证券出借业务的，基金管理人应当在季度报告、中期报告、年度报告等定期报告和招募说明书（更新）等文件中披露参与融资和转融通证券出借业务情况，包括投资策略、业务开展情况、损益情况、风险及其管理情况等。</w:t>
      </w:r>
    </w:p>
    <w:p w14:paraId="038E9B8C">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本基金参与转融通证券出借业务的，基金管理人应当在基金定期报告等文件中就报告期内发生的重大关联交易事项做详细说明。</w:t>
      </w:r>
    </w:p>
    <w:p w14:paraId="288527CF">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未来在法律法规允许的前提下，本基金可依据法律法规的相关规定参与融券业务，并相应履行信披义务。</w:t>
      </w:r>
    </w:p>
    <w:p w14:paraId="251AFF06">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（十四）投资目标ETF的信息披露</w:t>
      </w:r>
    </w:p>
    <w:p w14:paraId="17B6621F">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本基金在招募说明书（更新）及定期报告等文件中应当设立专门章节披露所持目标ETF以下情况，并揭示相关风险：</w:t>
      </w:r>
    </w:p>
    <w:p w14:paraId="4ADF0A0A">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1、投资策略、持仓情况、损益情况、净值披露时间等；</w:t>
      </w:r>
    </w:p>
    <w:p w14:paraId="6991061C">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2、交易及持有目标ETF产生的费用，包括申购费、赎回费、管理费、托管费等，招募说明书（更新）中应当列明计算方法并举例说明；</w:t>
      </w:r>
    </w:p>
    <w:p w14:paraId="7BA45043">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3、持有的目标ETF发生的重大影响事件，如转换运作方式、与其他基金合并、终止基金合同以及召开基金份额持有人大会等；</w:t>
      </w:r>
    </w:p>
    <w:p w14:paraId="69A8105A">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4、本基金投资于基金管理人以及基金管理人关联方所管理基金的情况。</w:t>
      </w:r>
    </w:p>
    <w:p w14:paraId="5B7007AE">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（十五）实施侧袋机制期间的信息披露</w:t>
      </w:r>
    </w:p>
    <w:p w14:paraId="5FF804BB">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本基金实施侧袋机制的，相关信息披露义务人应当根据法律法规、基金合同和招募说明书的规定进行信息披露，详见招募说明书的规定。</w:t>
      </w:r>
    </w:p>
    <w:p w14:paraId="088A99A0">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（十六）中国证监会规定的其他信息</w:t>
      </w:r>
    </w:p>
    <w:p w14:paraId="01E63C09">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六、信息披露事务管理</w:t>
      </w:r>
    </w:p>
    <w:p w14:paraId="488DD5A2">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基金管理人、基金托管人应当建立健全信息披露管理制度，指定专门部门及高级管理人员负责管理信息披露事务。</w:t>
      </w:r>
    </w:p>
    <w:p w14:paraId="66CA3604">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基金信息披露义务人公开披露基金信息，应当符合中国证监会相关基金信息披露内容与格式准则等法规的规定。</w:t>
      </w:r>
    </w:p>
    <w:p w14:paraId="199DCE3A">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基金托管人应当按照相关法律法规、中国证监会的规定和《基金合同》的约定，对基金管理人编制的基金资产净值、各类基金份额净值、基金份额申购赎回价格、基金定期报告、更新的招募说明书、基金产品资料概要、基金清算报告等公开披露的相关基金信息进行复核、审查，并向基金管理人进行书面或电子确认。</w:t>
      </w:r>
    </w:p>
    <w:p w14:paraId="5BFF21F0">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基金管理人、基金托管人应当在规定</w:t>
      </w:r>
      <w:r>
        <w:rPr>
          <w:rFonts w:cs="宋体" w:asciiTheme="minorEastAsia" w:hAnsiTheme="minorEastAsia"/>
          <w:kern w:val="0"/>
          <w:sz w:val="24"/>
          <w:szCs w:val="24"/>
        </w:rPr>
        <w:t>报刊</w:t>
      </w:r>
      <w:r>
        <w:rPr>
          <w:rFonts w:hint="eastAsia" w:cs="宋体" w:asciiTheme="minorEastAsia" w:hAnsiTheme="minorEastAsia"/>
          <w:kern w:val="0"/>
          <w:sz w:val="24"/>
          <w:szCs w:val="24"/>
        </w:rPr>
        <w:t>中选择披露本基金信息的报刊。</w:t>
      </w:r>
    </w:p>
    <w:p w14:paraId="231158CE">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基金管理人、基金托管人应当向中国证监会基金电子披露网站报送拟披露的基金信息，并保证相关报送信息的真实、准确、完整、及时。</w:t>
      </w:r>
    </w:p>
    <w:p w14:paraId="0B0D1F1C">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基金管理人、基金托管人除依法在规定媒介上披露信息外，还可以根据需要在其他公共媒介披露信息，但是其他公共媒介不得早于规定媒介披露信息，并且在不同媒介上披露同一信息的内容应当一致。</w:t>
      </w:r>
    </w:p>
    <w:p w14:paraId="6A7C1457">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为基金信息披露义务人公开披露的基金信息出具审计报告、法律意见书的专业机构，应当制作工作底稿，并将相关档案至少保存到《基金合同》终止后10年。</w:t>
      </w:r>
    </w:p>
    <w:p w14:paraId="68D6DA68">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七、信息披露文件的存放与查阅</w:t>
      </w:r>
    </w:p>
    <w:p w14:paraId="36C35289">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依法必须披露的信息发布后，基金管理人、基金托管人应当按照相关法律法规规定将信息置备于公司住所，以供社会公众查阅、复制。</w:t>
      </w:r>
    </w:p>
    <w:p w14:paraId="0E706F19">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八、暂停或延迟信息披露的情形</w:t>
      </w:r>
    </w:p>
    <w:p w14:paraId="320CF074">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1、不可抗力；</w:t>
      </w:r>
    </w:p>
    <w:p w14:paraId="32B6CFA4">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2、</w:t>
      </w:r>
      <w:bookmarkStart w:id="40" w:name="_Hlk104924527"/>
      <w:r>
        <w:rPr>
          <w:rFonts w:hint="eastAsia" w:cs="宋体" w:asciiTheme="minorEastAsia" w:hAnsiTheme="minorEastAsia"/>
          <w:kern w:val="0"/>
          <w:sz w:val="24"/>
          <w:szCs w:val="24"/>
        </w:rPr>
        <w:t>发生基金合同约定的暂停估值的情形</w:t>
      </w:r>
      <w:bookmarkEnd w:id="40"/>
      <w:r>
        <w:rPr>
          <w:rFonts w:hint="eastAsia" w:cs="宋体" w:asciiTheme="minorEastAsia" w:hAnsiTheme="minorEastAsia"/>
          <w:kern w:val="0"/>
          <w:sz w:val="24"/>
          <w:szCs w:val="24"/>
        </w:rPr>
        <w:t>；</w:t>
      </w:r>
    </w:p>
    <w:p w14:paraId="41A3BC47">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cs="宋体" w:asciiTheme="minorEastAsia" w:hAnsiTheme="minorEastAsia"/>
          <w:kern w:val="0"/>
          <w:sz w:val="24"/>
          <w:szCs w:val="24"/>
        </w:rPr>
        <w:t>3</w:t>
      </w:r>
      <w:r>
        <w:rPr>
          <w:rFonts w:hint="eastAsia" w:cs="宋体" w:asciiTheme="minorEastAsia" w:hAnsiTheme="minorEastAsia"/>
          <w:kern w:val="0"/>
          <w:sz w:val="24"/>
          <w:szCs w:val="24"/>
        </w:rPr>
        <w:t>、法律法规规定、中国证监会或基金合同认定的其他情形。</w:t>
      </w:r>
    </w:p>
    <w:p w14:paraId="066E092A">
      <w:pPr>
        <w:ind w:firstLine="200"/>
        <w:sectPr>
          <w:footerReference r:id="rId21" w:type="default"/>
          <w:pgSz w:w="11906" w:h="16838"/>
          <w:pgMar w:top="1440" w:right="1800" w:bottom="1440" w:left="1800" w:header="851" w:footer="992" w:gutter="0"/>
          <w:pgNumType w:start="1"/>
          <w:cols w:space="425" w:num="1"/>
          <w:docGrid w:type="lines" w:linePitch="312" w:charSpace="0"/>
        </w:sectPr>
      </w:pPr>
    </w:p>
    <w:p w14:paraId="4C30BC62">
      <w:pPr>
        <w:pStyle w:val="2"/>
        <w:spacing w:before="0" w:after="0" w:line="360" w:lineRule="auto"/>
        <w:ind w:firstLine="602" w:firstLineChars="200"/>
        <w:jc w:val="center"/>
        <w:rPr>
          <w:rFonts w:ascii="Times New Roman" w:hAnsi="Times New Roman"/>
          <w:kern w:val="0"/>
          <w:sz w:val="30"/>
          <w:lang w:val="zh-CN"/>
        </w:rPr>
      </w:pPr>
      <w:bookmarkStart w:id="41" w:name="_Toc471235856"/>
      <w:r>
        <w:rPr>
          <w:rFonts w:hint="eastAsia" w:ascii="Times New Roman" w:hAnsi="Times New Roman"/>
          <w:kern w:val="0"/>
          <w:sz w:val="30"/>
          <w:lang w:val="zh-CN"/>
        </w:rPr>
        <w:t>第十九部分</w:t>
      </w:r>
      <w:r>
        <w:rPr>
          <w:rFonts w:ascii="Times New Roman" w:hAnsi="Times New Roman"/>
          <w:kern w:val="0"/>
          <w:sz w:val="30"/>
          <w:lang w:val="zh-CN"/>
        </w:rPr>
        <w:t xml:space="preserve"> </w:t>
      </w:r>
      <w:r>
        <w:rPr>
          <w:rFonts w:hint="eastAsia" w:ascii="Times New Roman" w:hAnsi="Times New Roman"/>
          <w:kern w:val="0"/>
          <w:sz w:val="30"/>
          <w:lang w:val="zh-CN"/>
        </w:rPr>
        <w:t>基金合同的变更、终止与基金财产的清算</w:t>
      </w:r>
      <w:bookmarkEnd w:id="41"/>
    </w:p>
    <w:p w14:paraId="48226A7B">
      <w:pPr>
        <w:autoSpaceDE w:val="0"/>
        <w:autoSpaceDN w:val="0"/>
        <w:adjustRightInd w:val="0"/>
        <w:spacing w:line="360" w:lineRule="auto"/>
        <w:ind w:firstLine="480" w:firstLineChars="200"/>
        <w:jc w:val="left"/>
        <w:rPr>
          <w:rFonts w:cs="宋体" w:asciiTheme="minorEastAsia" w:hAnsiTheme="minorEastAsia"/>
          <w:kern w:val="0"/>
          <w:sz w:val="24"/>
          <w:szCs w:val="24"/>
        </w:rPr>
      </w:pPr>
    </w:p>
    <w:p w14:paraId="722FC66B">
      <w:pPr>
        <w:autoSpaceDE w:val="0"/>
        <w:autoSpaceDN w:val="0"/>
        <w:adjustRightInd w:val="0"/>
        <w:spacing w:line="360" w:lineRule="auto"/>
        <w:ind w:firstLine="480" w:firstLineChars="200"/>
        <w:jc w:val="left"/>
        <w:rPr>
          <w:rFonts w:cs="宋体" w:asciiTheme="minorEastAsia" w:hAnsiTheme="minorEastAsia"/>
          <w:kern w:val="0"/>
          <w:sz w:val="24"/>
          <w:szCs w:val="24"/>
        </w:rPr>
      </w:pPr>
      <w:bookmarkStart w:id="42" w:name="_Hlk92371719"/>
      <w:r>
        <w:rPr>
          <w:rFonts w:hint="eastAsia" w:cs="宋体" w:asciiTheme="minorEastAsia" w:hAnsiTheme="minorEastAsia"/>
          <w:kern w:val="0"/>
          <w:sz w:val="24"/>
          <w:szCs w:val="24"/>
        </w:rPr>
        <w:t>一、《基金合同》的变更</w:t>
      </w:r>
    </w:p>
    <w:p w14:paraId="4674C3A0">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按法律法规报中国证监会备案。</w:t>
      </w:r>
    </w:p>
    <w:p w14:paraId="782FC2A1">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2、关于《基金合同》变更的基金份额持有人大会决议自生效后方可执行，自决议生效后按规定在规定媒介公告。</w:t>
      </w:r>
    </w:p>
    <w:p w14:paraId="3D2FDB69">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二、《基金合同》的终止事由</w:t>
      </w:r>
    </w:p>
    <w:p w14:paraId="55C55536">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有下列情形之一的，经履行相关程序后，《基金合同》应当终止：</w:t>
      </w:r>
    </w:p>
    <w:p w14:paraId="1EF03F9F">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1、基金份额持有人大会决定终止的；</w:t>
      </w:r>
    </w:p>
    <w:p w14:paraId="7CE6280E">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2、基金管理人、基金托管人职责终止，在6个月内没有新基金管理人、新基金托管人承接的；</w:t>
      </w:r>
    </w:p>
    <w:p w14:paraId="54750861">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cs="宋体" w:asciiTheme="minorEastAsia" w:hAnsiTheme="minorEastAsia"/>
          <w:kern w:val="0"/>
          <w:sz w:val="24"/>
          <w:szCs w:val="24"/>
        </w:rPr>
        <w:t>3</w:t>
      </w:r>
      <w:r>
        <w:rPr>
          <w:rFonts w:hint="eastAsia" w:cs="宋体" w:asciiTheme="minorEastAsia" w:hAnsiTheme="minorEastAsia"/>
          <w:kern w:val="0"/>
          <w:sz w:val="24"/>
          <w:szCs w:val="24"/>
        </w:rPr>
        <w:t>、出现标的指数不符合要求（因成份股价格波动等指数编制方法变动之外的因素致使标的指数不符合要求以及法律法规、监管机构另有规定的情形除外）、指数编制机构退出等情形，基金管理人召集基金份额持有人大会对解决方案进行表决，基金份额持有人大会未成功召开或就上述事项表决未通过的；</w:t>
      </w:r>
    </w:p>
    <w:p w14:paraId="0B7933EF">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cs="宋体" w:asciiTheme="minorEastAsia" w:hAnsiTheme="minorEastAsia"/>
          <w:kern w:val="0"/>
          <w:sz w:val="24"/>
          <w:szCs w:val="24"/>
        </w:rPr>
        <w:t>4</w:t>
      </w:r>
      <w:r>
        <w:rPr>
          <w:rFonts w:hint="eastAsia" w:cs="宋体" w:asciiTheme="minorEastAsia" w:hAnsiTheme="minorEastAsia"/>
          <w:kern w:val="0"/>
          <w:sz w:val="24"/>
          <w:szCs w:val="24"/>
        </w:rPr>
        <w:t>、《基金合同》约定的其他情形；</w:t>
      </w:r>
    </w:p>
    <w:p w14:paraId="534E925F">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cs="宋体" w:asciiTheme="minorEastAsia" w:hAnsiTheme="minorEastAsia"/>
          <w:kern w:val="0"/>
          <w:sz w:val="24"/>
          <w:szCs w:val="24"/>
        </w:rPr>
        <w:t>5</w:t>
      </w:r>
      <w:r>
        <w:rPr>
          <w:rFonts w:hint="eastAsia" w:cs="宋体" w:asciiTheme="minorEastAsia" w:hAnsiTheme="minorEastAsia"/>
          <w:kern w:val="0"/>
          <w:sz w:val="24"/>
          <w:szCs w:val="24"/>
        </w:rPr>
        <w:t>、相关法律法规和中国证监会规定的其他情况。</w:t>
      </w:r>
    </w:p>
    <w:p w14:paraId="6DD48A6D">
      <w:pPr>
        <w:autoSpaceDE w:val="0"/>
        <w:autoSpaceDN w:val="0"/>
        <w:adjustRightInd w:val="0"/>
        <w:spacing w:line="360" w:lineRule="auto"/>
        <w:ind w:firstLine="480" w:firstLineChars="200"/>
        <w:jc w:val="left"/>
        <w:rPr>
          <w:rFonts w:cs="宋体" w:asciiTheme="minorEastAsia" w:hAnsiTheme="minorEastAsia"/>
          <w:kern w:val="0"/>
          <w:sz w:val="24"/>
          <w:szCs w:val="24"/>
        </w:rPr>
      </w:pPr>
      <w:bookmarkStart w:id="43" w:name="_Hlk104924857"/>
      <w:r>
        <w:rPr>
          <w:rFonts w:hint="eastAsia" w:cs="宋体" w:asciiTheme="minorEastAsia" w:hAnsiTheme="minorEastAsia"/>
          <w:kern w:val="0"/>
          <w:sz w:val="24"/>
          <w:szCs w:val="24"/>
        </w:rPr>
        <w:t>三、基金财产的清算</w:t>
      </w:r>
    </w:p>
    <w:p w14:paraId="36FDEE5F">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1、基金财产清算小组：自出现《基金合同》终止事由之日起30个工作日内成立基金财产清算小组，基金管理人组织基金财产清算小组并在中国证监会的监督下进行基金清算。</w:t>
      </w:r>
    </w:p>
    <w:p w14:paraId="39131181">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2、在基金财产清算小组接管基金财产之前，基金管理人和基金托管人应按照《基金合同》和托管协议的规定继续履行保护基金财产安全的职责。</w:t>
      </w:r>
    </w:p>
    <w:p w14:paraId="2DF3D732">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3、基金财产清算小组组成：基金财产清算小组成员由基金管理人、基金托管人、符合《中华人民共和国证券法》规定的注册会计师、律师以及中国证监会指定的人员组成。基金财产清算小组可以聘用必要的工作人员。</w:t>
      </w:r>
    </w:p>
    <w:p w14:paraId="052898C7">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4、基金财产清算小组职责：基金财产清算小组负责基金财产的保管、清理、估价、变现和分配。基金财产清算小组可以依法进行必要的民事活动。</w:t>
      </w:r>
    </w:p>
    <w:p w14:paraId="18A305AB">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5、在基金财产清算过程中，基金管理人和基金托管人应各自履行职责，继续忠实、勤勉、尽责地履行基金合同和托管协议规定的义务，维护基金份额持有人的合法权益。</w:t>
      </w:r>
    </w:p>
    <w:p w14:paraId="18D38977">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6、基金财产清算程序：</w:t>
      </w:r>
    </w:p>
    <w:p w14:paraId="2C4516D7">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（1）《基金合同》终止情形出现时，由基金财产清算小组统一接管基金；</w:t>
      </w:r>
    </w:p>
    <w:p w14:paraId="29B0FBCC">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（2）对基金财产和债权债务进行清理和确认；</w:t>
      </w:r>
    </w:p>
    <w:p w14:paraId="30FE8635">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（3）对基金财产进行估值和变现；</w:t>
      </w:r>
    </w:p>
    <w:p w14:paraId="6BB36011">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（4）制作清算报告；</w:t>
      </w:r>
    </w:p>
    <w:p w14:paraId="084AF966">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（5）聘请会计师事务所对清算报告进行外部审计，聘请律师事务所对清算报告出具法律意见书；</w:t>
      </w:r>
    </w:p>
    <w:p w14:paraId="65A9EAF2">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（6）将清算报告报中国证监会备案并公告；</w:t>
      </w:r>
    </w:p>
    <w:p w14:paraId="6CC26AC9">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（7）对基金剩余财产进行分配。</w:t>
      </w:r>
    </w:p>
    <w:p w14:paraId="5AD05A18">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7、基金财产清算的期限为6个月，但因本基金所持证券的流动性受到限制而不能及时变现的，清算期限可相应顺延。</w:t>
      </w:r>
    </w:p>
    <w:bookmarkEnd w:id="42"/>
    <w:p w14:paraId="083613DD">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四、清算费用</w:t>
      </w:r>
    </w:p>
    <w:p w14:paraId="20381253">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清算费用是指基金财产清算小组在进行基金清算过程中发生的所有合理费用，清算费用由基金财产清算小组优先从基金剩余财产中支付。</w:t>
      </w:r>
    </w:p>
    <w:p w14:paraId="56474860">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五、基金财产清算剩余资产的分配</w:t>
      </w:r>
    </w:p>
    <w:p w14:paraId="599AD312">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依据基金财产清算的分配方案，将基金财产清算后的全部剩余资产扣除基金财产清算费用、交纳所欠税款并清偿基金债务后，按基金份额持有人持有的各类基金份额比例进行分配。</w:t>
      </w:r>
    </w:p>
    <w:p w14:paraId="4448B01E">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六、基金财产清算的公告</w:t>
      </w:r>
    </w:p>
    <w:p w14:paraId="25CCD04D">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14:paraId="383E0762">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七、基金财产清算账册及文件的保存</w:t>
      </w:r>
    </w:p>
    <w:p w14:paraId="5B1B5ABA">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基金财产清算账册及有关文件由基金托管人保存</w:t>
      </w:r>
      <w:bookmarkStart w:id="44" w:name="_Hlk104924901"/>
      <w:r>
        <w:rPr>
          <w:rFonts w:hint="eastAsia" w:cs="宋体" w:asciiTheme="minorEastAsia" w:hAnsiTheme="minorEastAsia"/>
          <w:kern w:val="0"/>
          <w:sz w:val="24"/>
          <w:szCs w:val="24"/>
        </w:rPr>
        <w:t>，保存期限不低于法律法规规定的最低期限</w:t>
      </w:r>
      <w:bookmarkEnd w:id="44"/>
      <w:r>
        <w:rPr>
          <w:rFonts w:hint="eastAsia" w:cs="宋体" w:asciiTheme="minorEastAsia" w:hAnsiTheme="minorEastAsia"/>
          <w:kern w:val="0"/>
          <w:sz w:val="24"/>
          <w:szCs w:val="24"/>
        </w:rPr>
        <w:t>。</w:t>
      </w:r>
    </w:p>
    <w:p w14:paraId="32EDCEAE">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八、基金合并</w:t>
      </w:r>
    </w:p>
    <w:p w14:paraId="1BABA0E9">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本基金与其他基金的合并应当按照法律法规规定的程序进行。</w:t>
      </w:r>
    </w:p>
    <w:bookmarkEnd w:id="43"/>
    <w:p w14:paraId="282E8875">
      <w:pPr>
        <w:ind w:firstLine="200"/>
        <w:sectPr>
          <w:pgSz w:w="11906" w:h="16838"/>
          <w:pgMar w:top="1440" w:right="1800" w:bottom="1440" w:left="1800" w:header="851" w:footer="992" w:gutter="0"/>
          <w:pgNumType w:start="1"/>
          <w:cols w:space="425" w:num="1"/>
          <w:docGrid w:type="lines" w:linePitch="312" w:charSpace="0"/>
        </w:sectPr>
      </w:pPr>
    </w:p>
    <w:p w14:paraId="429D1D0F">
      <w:pPr>
        <w:pStyle w:val="2"/>
        <w:spacing w:before="0" w:after="0" w:line="360" w:lineRule="auto"/>
        <w:ind w:firstLine="602" w:firstLineChars="200"/>
        <w:jc w:val="center"/>
        <w:rPr>
          <w:rFonts w:ascii="Times New Roman" w:hAnsi="Times New Roman"/>
          <w:kern w:val="0"/>
          <w:sz w:val="30"/>
          <w:lang w:val="zh-CN"/>
        </w:rPr>
      </w:pPr>
      <w:bookmarkStart w:id="45" w:name="_Toc471235857"/>
      <w:r>
        <w:rPr>
          <w:rFonts w:hint="eastAsia" w:ascii="Times New Roman" w:hAnsi="Times New Roman"/>
          <w:kern w:val="0"/>
          <w:sz w:val="30"/>
          <w:lang w:val="zh-CN"/>
        </w:rPr>
        <w:t>第二十部分</w:t>
      </w:r>
      <w:r>
        <w:rPr>
          <w:rFonts w:ascii="Times New Roman" w:hAnsi="Times New Roman"/>
          <w:kern w:val="0"/>
          <w:sz w:val="30"/>
          <w:lang w:val="zh-CN"/>
        </w:rPr>
        <w:t xml:space="preserve"> </w:t>
      </w:r>
      <w:r>
        <w:rPr>
          <w:rFonts w:hint="eastAsia" w:ascii="Times New Roman" w:hAnsi="Times New Roman"/>
          <w:kern w:val="0"/>
          <w:sz w:val="30"/>
          <w:lang w:val="zh-CN"/>
        </w:rPr>
        <w:t>违约责任</w:t>
      </w:r>
      <w:bookmarkEnd w:id="45"/>
    </w:p>
    <w:p w14:paraId="482DAEE4">
      <w:pPr>
        <w:autoSpaceDE w:val="0"/>
        <w:autoSpaceDN w:val="0"/>
        <w:adjustRightInd w:val="0"/>
        <w:spacing w:line="360" w:lineRule="auto"/>
        <w:ind w:firstLine="480" w:firstLineChars="200"/>
        <w:jc w:val="left"/>
        <w:rPr>
          <w:rFonts w:cs="宋体" w:asciiTheme="minorEastAsia" w:hAnsiTheme="minorEastAsia"/>
          <w:kern w:val="0"/>
          <w:sz w:val="24"/>
          <w:szCs w:val="24"/>
        </w:rPr>
      </w:pPr>
    </w:p>
    <w:p w14:paraId="568695FD">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一、</w:t>
      </w:r>
      <w:bookmarkStart w:id="46" w:name="_Hlk104924932"/>
      <w:r>
        <w:rPr>
          <w:rFonts w:hint="eastAsia" w:cs="宋体" w:asciiTheme="minorEastAsia" w:hAnsiTheme="minorEastAsia"/>
          <w:kern w:val="0"/>
          <w:sz w:val="24"/>
          <w:szCs w:val="24"/>
        </w:rPr>
        <w:t>基金管理人、基金托管人在履行各自职责的过程中，违反《基金法》等法律法规的规定或者《基金合同》约定，给基金财产或者基金份额持有人造成损害的，应当分别对各自的行为依法承担赔偿责任；因共同行为给基金财产或者基金份额持有人造成损害的，应当承担连带赔偿责任，对损失的赔偿，仅限于直接损失</w:t>
      </w:r>
      <w:bookmarkEnd w:id="46"/>
      <w:r>
        <w:rPr>
          <w:rFonts w:hint="eastAsia" w:cs="宋体" w:asciiTheme="minorEastAsia" w:hAnsiTheme="minorEastAsia"/>
          <w:kern w:val="0"/>
          <w:sz w:val="24"/>
          <w:szCs w:val="24"/>
        </w:rPr>
        <w:t>。</w:t>
      </w:r>
    </w:p>
    <w:p w14:paraId="0BF1FFDA">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但是发生下列情况的，当事人免责：</w:t>
      </w:r>
    </w:p>
    <w:p w14:paraId="14E31993">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1、不可抗力；</w:t>
      </w:r>
    </w:p>
    <w:p w14:paraId="0EB29A1D">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2、基金管理人和/或基金托管人按照</w:t>
      </w:r>
      <w:bookmarkStart w:id="47" w:name="_Hlk104924969"/>
      <w:r>
        <w:rPr>
          <w:rFonts w:hint="eastAsia" w:cs="宋体" w:asciiTheme="minorEastAsia" w:hAnsiTheme="minorEastAsia"/>
          <w:kern w:val="0"/>
          <w:sz w:val="24"/>
          <w:szCs w:val="24"/>
        </w:rPr>
        <w:t>当时有效的</w:t>
      </w:r>
      <w:bookmarkEnd w:id="47"/>
      <w:bookmarkStart w:id="48" w:name="_Hlk104924978"/>
      <w:r>
        <w:rPr>
          <w:rFonts w:hint="eastAsia" w:cs="宋体" w:asciiTheme="minorEastAsia" w:hAnsiTheme="minorEastAsia"/>
          <w:kern w:val="0"/>
          <w:sz w:val="24"/>
          <w:szCs w:val="24"/>
        </w:rPr>
        <w:t>法律法规、市场交易规则或</w:t>
      </w:r>
      <w:bookmarkEnd w:id="48"/>
      <w:r>
        <w:rPr>
          <w:rFonts w:hint="eastAsia" w:cs="宋体" w:asciiTheme="minorEastAsia" w:hAnsiTheme="minorEastAsia"/>
          <w:kern w:val="0"/>
          <w:sz w:val="24"/>
          <w:szCs w:val="24"/>
        </w:rPr>
        <w:t>中国证监会</w:t>
      </w:r>
      <w:bookmarkStart w:id="49" w:name="_Hlk104924985"/>
      <w:r>
        <w:rPr>
          <w:rFonts w:hint="eastAsia" w:cs="宋体" w:asciiTheme="minorEastAsia" w:hAnsiTheme="minorEastAsia"/>
          <w:kern w:val="0"/>
          <w:sz w:val="24"/>
          <w:szCs w:val="24"/>
        </w:rPr>
        <w:t>、银行业监督管理机构等监管机构</w:t>
      </w:r>
      <w:bookmarkEnd w:id="49"/>
      <w:r>
        <w:rPr>
          <w:rFonts w:hint="eastAsia" w:cs="宋体" w:asciiTheme="minorEastAsia" w:hAnsiTheme="minorEastAsia"/>
          <w:kern w:val="0"/>
          <w:sz w:val="24"/>
          <w:szCs w:val="24"/>
        </w:rPr>
        <w:t>的规定作为或不作为而造成的损失等；</w:t>
      </w:r>
    </w:p>
    <w:p w14:paraId="216FA91B">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3、基金管理人由于按照基金合同规定的投资原则行使或不行使其投资权而造成的损失等。</w:t>
      </w:r>
    </w:p>
    <w:p w14:paraId="6F3700FE">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二、在发生一方或多方违约的情况下，在最大限度地保护基金份额持有人利益的前提下，《基金合同》能够继续履行的应当继续履行。</w:t>
      </w:r>
      <w:bookmarkStart w:id="50" w:name="_Hlk104925043"/>
      <w:r>
        <w:rPr>
          <w:rFonts w:hint="eastAsia" w:cs="宋体" w:asciiTheme="minorEastAsia" w:hAnsiTheme="minorEastAsia"/>
          <w:kern w:val="0"/>
          <w:sz w:val="24"/>
          <w:szCs w:val="24"/>
        </w:rPr>
        <w:t xml:space="preserve">非违约方当事人在职责范围内有义务及时采取必要的措施，防止损失的扩大。没有采取适当措施致使损失进一步扩大的，不得就扩大的损失要求赔偿。非违约方因防止损失扩大而支出的合理费用由违约方承担。 </w:t>
      </w:r>
    </w:p>
    <w:bookmarkEnd w:id="50"/>
    <w:p w14:paraId="5414EB76">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三、</w:t>
      </w:r>
      <w:bookmarkStart w:id="51" w:name="_Hlk104925068"/>
      <w:r>
        <w:rPr>
          <w:rFonts w:hint="eastAsia" w:cs="宋体" w:asciiTheme="minorEastAsia" w:hAnsiTheme="minorEastAsia"/>
          <w:kern w:val="0"/>
          <w:sz w:val="24"/>
          <w:szCs w:val="24"/>
        </w:rPr>
        <w:t>由于基金管理人、基金托管人不可控制的因素导致业务出现差错，基金管理人和基金托管人虽然已经采取必要、适当、合理的措施进行检查，但是未能发现错误的，由此造成基金财产或投资人损失，基金管理人和基金托管人免除赔偿责任。但是基金管理人和基金托管人应积极采取必要的措施消除或减轻由此造成的影响。</w:t>
      </w:r>
      <w:bookmarkEnd w:id="51"/>
    </w:p>
    <w:p w14:paraId="2F919545">
      <w:pPr>
        <w:autoSpaceDE w:val="0"/>
        <w:autoSpaceDN w:val="0"/>
        <w:adjustRightInd w:val="0"/>
        <w:spacing w:line="360" w:lineRule="auto"/>
        <w:ind w:firstLine="480" w:firstLineChars="200"/>
        <w:jc w:val="left"/>
        <w:rPr>
          <w:rFonts w:cs="宋体" w:asciiTheme="minorEastAsia" w:hAnsiTheme="minorEastAsia"/>
          <w:kern w:val="0"/>
          <w:sz w:val="24"/>
          <w:szCs w:val="24"/>
        </w:rPr>
      </w:pPr>
    </w:p>
    <w:p w14:paraId="5F414758">
      <w:pPr>
        <w:autoSpaceDE w:val="0"/>
        <w:autoSpaceDN w:val="0"/>
        <w:adjustRightInd w:val="0"/>
        <w:spacing w:line="360" w:lineRule="auto"/>
        <w:ind w:firstLine="200"/>
        <w:jc w:val="left"/>
        <w:rPr>
          <w:rFonts w:cs="宋体" w:asciiTheme="minorEastAsia" w:hAnsiTheme="minorEastAsia"/>
          <w:kern w:val="0"/>
          <w:sz w:val="24"/>
          <w:szCs w:val="24"/>
        </w:rPr>
        <w:sectPr>
          <w:footerReference r:id="rId22" w:type="default"/>
          <w:pgSz w:w="11906" w:h="16838"/>
          <w:pgMar w:top="1440" w:right="1800" w:bottom="1440" w:left="1800" w:header="851" w:footer="992" w:gutter="0"/>
          <w:pgNumType w:start="1"/>
          <w:cols w:space="425" w:num="1"/>
          <w:docGrid w:type="lines" w:linePitch="312" w:charSpace="0"/>
        </w:sectPr>
      </w:pPr>
    </w:p>
    <w:p w14:paraId="6F436004">
      <w:pPr>
        <w:pStyle w:val="2"/>
        <w:spacing w:before="0" w:after="0" w:line="360" w:lineRule="auto"/>
        <w:ind w:firstLine="602" w:firstLineChars="200"/>
        <w:jc w:val="center"/>
        <w:rPr>
          <w:rFonts w:ascii="Times New Roman" w:hAnsi="Times New Roman"/>
          <w:kern w:val="0"/>
          <w:sz w:val="30"/>
          <w:lang w:val="zh-CN"/>
        </w:rPr>
      </w:pPr>
      <w:bookmarkStart w:id="52" w:name="_Toc471235858"/>
      <w:r>
        <w:rPr>
          <w:rFonts w:hint="eastAsia" w:ascii="Times New Roman" w:hAnsi="Times New Roman"/>
          <w:kern w:val="0"/>
          <w:sz w:val="30"/>
          <w:lang w:val="zh-CN"/>
        </w:rPr>
        <w:t>第二十一部分</w:t>
      </w:r>
      <w:r>
        <w:rPr>
          <w:rFonts w:ascii="Times New Roman" w:hAnsi="Times New Roman"/>
          <w:kern w:val="0"/>
          <w:sz w:val="30"/>
          <w:lang w:val="zh-CN"/>
        </w:rPr>
        <w:t xml:space="preserve"> </w:t>
      </w:r>
      <w:r>
        <w:rPr>
          <w:rFonts w:hint="eastAsia" w:ascii="Times New Roman" w:hAnsi="Times New Roman"/>
          <w:kern w:val="0"/>
          <w:sz w:val="30"/>
          <w:lang w:val="zh-CN"/>
        </w:rPr>
        <w:t>争议的处理和适用的法律</w:t>
      </w:r>
      <w:bookmarkEnd w:id="52"/>
    </w:p>
    <w:p w14:paraId="17D025CE">
      <w:pPr>
        <w:autoSpaceDE w:val="0"/>
        <w:autoSpaceDN w:val="0"/>
        <w:adjustRightInd w:val="0"/>
        <w:spacing w:line="360" w:lineRule="auto"/>
        <w:ind w:firstLine="482" w:firstLineChars="200"/>
        <w:jc w:val="left"/>
        <w:rPr>
          <w:rFonts w:cs="宋体" w:asciiTheme="minorEastAsia" w:hAnsiTheme="minorEastAsia"/>
          <w:b/>
          <w:i/>
          <w:kern w:val="0"/>
          <w:sz w:val="24"/>
          <w:szCs w:val="24"/>
        </w:rPr>
      </w:pPr>
    </w:p>
    <w:p w14:paraId="07940874">
      <w:pPr>
        <w:autoSpaceDE w:val="0"/>
        <w:autoSpaceDN w:val="0"/>
        <w:adjustRightInd w:val="0"/>
        <w:spacing w:line="360" w:lineRule="auto"/>
        <w:ind w:firstLine="480" w:firstLineChars="200"/>
        <w:jc w:val="left"/>
        <w:rPr>
          <w:rFonts w:cs="宋体" w:asciiTheme="minorEastAsia" w:hAnsiTheme="minorEastAsia"/>
          <w:bCs/>
          <w:iCs/>
          <w:kern w:val="0"/>
          <w:sz w:val="24"/>
          <w:szCs w:val="24"/>
        </w:rPr>
      </w:pPr>
      <w:r>
        <w:rPr>
          <w:rFonts w:hint="eastAsia" w:cs="宋体" w:asciiTheme="minorEastAsia" w:hAnsiTheme="minorEastAsia"/>
          <w:bCs/>
          <w:iCs/>
          <w:kern w:val="0"/>
          <w:sz w:val="24"/>
          <w:szCs w:val="24"/>
        </w:rPr>
        <w:t>各方当事人同意，因《基金合同》而产生的或与《基金合同》有关的一切争议，如不愿或者不能通过协商、调解解决的，任何一方均有权将争议提交深圳国际仲裁院（深圳仲裁委员会），按照深圳国际仲裁院（深圳仲裁委员会）届时有效的仲裁规则进行仲裁。仲裁地点为深圳市。仲裁裁决是终局的，对</w:t>
      </w:r>
      <w:r>
        <w:rPr>
          <w:rFonts w:cs="宋体" w:asciiTheme="minorEastAsia" w:hAnsiTheme="minorEastAsia"/>
          <w:bCs/>
          <w:iCs/>
          <w:kern w:val="0"/>
          <w:sz w:val="24"/>
          <w:szCs w:val="24"/>
        </w:rPr>
        <w:t>各</w:t>
      </w:r>
      <w:r>
        <w:rPr>
          <w:rFonts w:hint="eastAsia" w:cs="宋体" w:asciiTheme="minorEastAsia" w:hAnsiTheme="minorEastAsia"/>
          <w:bCs/>
          <w:iCs/>
          <w:kern w:val="0"/>
          <w:sz w:val="24"/>
          <w:szCs w:val="24"/>
        </w:rPr>
        <w:t>方当事人均有约束力。除非仲裁裁决另有规定，仲裁费用、律师费用由败诉方承担。</w:t>
      </w:r>
    </w:p>
    <w:p w14:paraId="0A9BD694">
      <w:pPr>
        <w:autoSpaceDE w:val="0"/>
        <w:autoSpaceDN w:val="0"/>
        <w:adjustRightInd w:val="0"/>
        <w:spacing w:line="360" w:lineRule="auto"/>
        <w:ind w:firstLine="480" w:firstLineChars="200"/>
        <w:jc w:val="left"/>
        <w:rPr>
          <w:rFonts w:cs="宋体" w:asciiTheme="minorEastAsia" w:hAnsiTheme="minorEastAsia"/>
          <w:bCs/>
          <w:iCs/>
          <w:kern w:val="0"/>
          <w:sz w:val="24"/>
          <w:szCs w:val="24"/>
        </w:rPr>
      </w:pPr>
      <w:r>
        <w:rPr>
          <w:rFonts w:hint="eastAsia" w:cs="宋体" w:asciiTheme="minorEastAsia" w:hAnsiTheme="minorEastAsia"/>
          <w:bCs/>
          <w:iCs/>
          <w:kern w:val="0"/>
          <w:sz w:val="24"/>
          <w:szCs w:val="24"/>
        </w:rPr>
        <w:t>争议处理期间，基金管理人、基金托管人应恪守基金管理人和基金托管人的职责，各自继续忠实、勤勉、尽责地履行基金合同和基金托管协议规定的义务，维护基金份额持有人的合法权益。</w:t>
      </w:r>
    </w:p>
    <w:p w14:paraId="48E7FDDB">
      <w:pPr>
        <w:autoSpaceDE w:val="0"/>
        <w:autoSpaceDN w:val="0"/>
        <w:adjustRightInd w:val="0"/>
        <w:spacing w:line="360" w:lineRule="auto"/>
        <w:ind w:firstLine="480" w:firstLineChars="200"/>
        <w:jc w:val="left"/>
        <w:rPr>
          <w:rFonts w:cs="宋体" w:asciiTheme="minorEastAsia" w:hAnsiTheme="minorEastAsia"/>
          <w:bCs/>
          <w:iCs/>
          <w:kern w:val="0"/>
          <w:sz w:val="24"/>
          <w:szCs w:val="24"/>
        </w:rPr>
      </w:pPr>
      <w:r>
        <w:rPr>
          <w:rFonts w:hint="eastAsia" w:cs="宋体" w:asciiTheme="minorEastAsia" w:hAnsiTheme="minorEastAsia"/>
          <w:bCs/>
          <w:iCs/>
          <w:kern w:val="0"/>
          <w:sz w:val="24"/>
          <w:szCs w:val="24"/>
        </w:rPr>
        <w:t>《基金合同》受中国法律（为本基金合同之目的，在此不包括香港、澳门特别行政区和台湾地区法律）管辖</w:t>
      </w:r>
      <w:bookmarkStart w:id="53" w:name="_Hlk104925157"/>
      <w:r>
        <w:rPr>
          <w:rFonts w:hint="eastAsia" w:cs="宋体" w:asciiTheme="minorEastAsia" w:hAnsiTheme="minorEastAsia"/>
          <w:bCs/>
          <w:iCs/>
          <w:kern w:val="0"/>
          <w:sz w:val="24"/>
          <w:szCs w:val="24"/>
        </w:rPr>
        <w:t>，并从其解释</w:t>
      </w:r>
      <w:bookmarkEnd w:id="53"/>
      <w:r>
        <w:rPr>
          <w:rFonts w:hint="eastAsia" w:cs="宋体" w:asciiTheme="minorEastAsia" w:hAnsiTheme="minorEastAsia"/>
          <w:bCs/>
          <w:iCs/>
          <w:kern w:val="0"/>
          <w:sz w:val="24"/>
          <w:szCs w:val="24"/>
        </w:rPr>
        <w:t>。</w:t>
      </w:r>
    </w:p>
    <w:p w14:paraId="02FA4570">
      <w:pPr>
        <w:autoSpaceDE w:val="0"/>
        <w:autoSpaceDN w:val="0"/>
        <w:adjustRightInd w:val="0"/>
        <w:spacing w:line="360" w:lineRule="auto"/>
        <w:ind w:firstLine="480" w:firstLineChars="200"/>
        <w:jc w:val="left"/>
        <w:rPr>
          <w:rFonts w:cs="宋体" w:asciiTheme="minorEastAsia" w:hAnsiTheme="minorEastAsia"/>
          <w:kern w:val="0"/>
          <w:sz w:val="24"/>
          <w:szCs w:val="24"/>
        </w:rPr>
      </w:pPr>
    </w:p>
    <w:p w14:paraId="07062C15">
      <w:pPr>
        <w:autoSpaceDE w:val="0"/>
        <w:autoSpaceDN w:val="0"/>
        <w:adjustRightInd w:val="0"/>
        <w:spacing w:line="360" w:lineRule="auto"/>
        <w:ind w:firstLine="480" w:firstLineChars="200"/>
        <w:jc w:val="left"/>
        <w:rPr>
          <w:rFonts w:cs="宋体" w:asciiTheme="minorEastAsia" w:hAnsiTheme="minorEastAsia"/>
          <w:kern w:val="0"/>
          <w:sz w:val="24"/>
          <w:szCs w:val="24"/>
        </w:rPr>
        <w:sectPr>
          <w:footerReference r:id="rId23" w:type="default"/>
          <w:pgSz w:w="11906" w:h="16838"/>
          <w:pgMar w:top="1440" w:right="1800" w:bottom="1440" w:left="1800" w:header="851" w:footer="992" w:gutter="0"/>
          <w:pgNumType w:start="1"/>
          <w:cols w:space="425" w:num="1"/>
          <w:docGrid w:type="lines" w:linePitch="312" w:charSpace="0"/>
        </w:sectPr>
      </w:pPr>
    </w:p>
    <w:p w14:paraId="2D2BD8C0">
      <w:pPr>
        <w:pStyle w:val="2"/>
        <w:spacing w:before="0" w:after="0" w:line="360" w:lineRule="auto"/>
        <w:ind w:firstLine="602" w:firstLineChars="200"/>
        <w:jc w:val="center"/>
        <w:rPr>
          <w:rFonts w:ascii="Times New Roman" w:hAnsi="Times New Roman"/>
          <w:kern w:val="0"/>
          <w:sz w:val="30"/>
        </w:rPr>
      </w:pPr>
      <w:bookmarkStart w:id="54" w:name="_Toc471235859"/>
      <w:r>
        <w:rPr>
          <w:rFonts w:hint="eastAsia" w:ascii="Times New Roman" w:hAnsi="Times New Roman"/>
          <w:kern w:val="0"/>
          <w:sz w:val="30"/>
          <w:lang w:val="zh-CN"/>
        </w:rPr>
        <w:t>第二十二部分</w:t>
      </w:r>
      <w:r>
        <w:rPr>
          <w:rFonts w:ascii="Times New Roman" w:hAnsi="Times New Roman"/>
          <w:kern w:val="0"/>
          <w:sz w:val="30"/>
        </w:rPr>
        <w:t xml:space="preserve"> </w:t>
      </w:r>
      <w:r>
        <w:rPr>
          <w:rFonts w:hint="eastAsia" w:ascii="Times New Roman" w:hAnsi="Times New Roman"/>
          <w:kern w:val="0"/>
          <w:sz w:val="30"/>
          <w:lang w:val="zh-CN"/>
        </w:rPr>
        <w:t>基金合同的效力</w:t>
      </w:r>
      <w:bookmarkEnd w:id="54"/>
    </w:p>
    <w:p w14:paraId="6E2CDCCA">
      <w:pPr>
        <w:autoSpaceDE w:val="0"/>
        <w:autoSpaceDN w:val="0"/>
        <w:adjustRightInd w:val="0"/>
        <w:spacing w:line="360" w:lineRule="auto"/>
        <w:ind w:firstLine="480" w:firstLineChars="200"/>
        <w:jc w:val="left"/>
        <w:rPr>
          <w:rFonts w:cs="宋体" w:asciiTheme="minorEastAsia" w:hAnsiTheme="minorEastAsia"/>
          <w:kern w:val="0"/>
          <w:sz w:val="24"/>
          <w:szCs w:val="24"/>
        </w:rPr>
      </w:pPr>
    </w:p>
    <w:p w14:paraId="2382A624">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《基金合同》是约定基金合同当事人之间权利义务关系的法律文件。</w:t>
      </w:r>
    </w:p>
    <w:p w14:paraId="3967C8E2">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1、《基金合同》由《</w:t>
      </w:r>
      <w:r>
        <w:rPr>
          <w:rFonts w:hint="eastAsia" w:ascii="宋体" w:hAnsi="宋体" w:eastAsia="宋体" w:cs="宋体"/>
          <w:sz w:val="24"/>
          <w:szCs w:val="24"/>
        </w:rPr>
        <w:t>博时中证有色金属矿业主题指数</w:t>
      </w:r>
      <w:r>
        <w:rPr>
          <w:rFonts w:hint="eastAsia" w:cs="宋体"/>
          <w:sz w:val="24"/>
          <w:szCs w:val="24"/>
        </w:rPr>
        <w:t>证券投资基金基金合同</w:t>
      </w:r>
      <w:r>
        <w:rPr>
          <w:rFonts w:hint="eastAsia" w:cs="宋体" w:asciiTheme="minorEastAsia" w:hAnsiTheme="minorEastAsia"/>
          <w:kern w:val="0"/>
          <w:sz w:val="24"/>
          <w:szCs w:val="24"/>
        </w:rPr>
        <w:t>》修订而来。自</w:t>
      </w:r>
      <w:r>
        <w:rPr>
          <w:rFonts w:cs="宋体" w:asciiTheme="minorEastAsia" w:hAnsiTheme="minorEastAsia"/>
          <w:kern w:val="0"/>
          <w:sz w:val="24"/>
          <w:szCs w:val="24"/>
          <w:highlight w:val="none"/>
        </w:rPr>
        <w:t>2026年</w:t>
      </w:r>
      <w:r>
        <w:rPr>
          <w:rFonts w:hint="eastAsia" w:cs="宋体" w:asciiTheme="minorEastAsia" w:hAnsiTheme="minorEastAsia"/>
          <w:kern w:val="0"/>
          <w:sz w:val="24"/>
          <w:szCs w:val="24"/>
          <w:highlight w:val="none"/>
          <w:lang w:val="en-US" w:eastAsia="zh-CN"/>
        </w:rPr>
        <w:t>9</w:t>
      </w:r>
      <w:r>
        <w:rPr>
          <w:rFonts w:hint="eastAsia" w:cs="宋体" w:asciiTheme="minorEastAsia" w:hAnsiTheme="minorEastAsia"/>
          <w:kern w:val="0"/>
          <w:sz w:val="24"/>
          <w:szCs w:val="24"/>
          <w:highlight w:val="none"/>
        </w:rPr>
        <w:t>月</w:t>
      </w:r>
      <w:r>
        <w:rPr>
          <w:rFonts w:hint="eastAsia" w:cs="宋体" w:asciiTheme="minorEastAsia" w:hAnsiTheme="minorEastAsia"/>
          <w:kern w:val="0"/>
          <w:sz w:val="24"/>
          <w:szCs w:val="24"/>
          <w:highlight w:val="none"/>
          <w:lang w:val="en-US" w:eastAsia="zh-CN"/>
        </w:rPr>
        <w:t>29</w:t>
      </w:r>
      <w:r>
        <w:rPr>
          <w:rFonts w:hint="eastAsia" w:cs="宋体" w:asciiTheme="minorEastAsia" w:hAnsiTheme="minorEastAsia"/>
          <w:kern w:val="0"/>
          <w:sz w:val="24"/>
          <w:szCs w:val="24"/>
          <w:highlight w:val="none"/>
        </w:rPr>
        <w:t>日</w:t>
      </w:r>
      <w:r>
        <w:rPr>
          <w:rFonts w:hint="eastAsia" w:cs="宋体" w:asciiTheme="minorEastAsia" w:hAnsiTheme="minorEastAsia"/>
          <w:kern w:val="0"/>
          <w:sz w:val="24"/>
          <w:szCs w:val="24"/>
        </w:rPr>
        <w:t>起，本基金合同生效，《</w:t>
      </w:r>
      <w:r>
        <w:rPr>
          <w:rFonts w:hint="eastAsia" w:ascii="宋体" w:hAnsi="宋体" w:eastAsia="宋体" w:cs="宋体"/>
          <w:sz w:val="24"/>
          <w:szCs w:val="24"/>
        </w:rPr>
        <w:t>博时中证有色金属矿业主题指数</w:t>
      </w:r>
      <w:r>
        <w:rPr>
          <w:rFonts w:hint="eastAsia" w:cs="宋体"/>
          <w:sz w:val="24"/>
          <w:szCs w:val="24"/>
        </w:rPr>
        <w:t>证券投资基金基金合同</w:t>
      </w:r>
      <w:r>
        <w:rPr>
          <w:rFonts w:hint="eastAsia" w:cs="宋体" w:asciiTheme="minorEastAsia" w:hAnsiTheme="minorEastAsia"/>
          <w:kern w:val="0"/>
          <w:sz w:val="24"/>
          <w:szCs w:val="24"/>
        </w:rPr>
        <w:t>》失效。</w:t>
      </w:r>
    </w:p>
    <w:p w14:paraId="12FDFBBE">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2、《基金合同》的有效期自</w:t>
      </w:r>
      <w:r>
        <w:rPr>
          <w:rFonts w:hint="eastAsia" w:cs="宋体"/>
          <w:sz w:val="24"/>
          <w:szCs w:val="24"/>
        </w:rPr>
        <w:t>《</w:t>
      </w:r>
      <w:r>
        <w:rPr>
          <w:rFonts w:hint="eastAsia" w:ascii="宋体" w:hAnsi="宋体" w:eastAsia="宋体" w:cs="宋体"/>
          <w:sz w:val="24"/>
          <w:szCs w:val="24"/>
        </w:rPr>
        <w:t>博时中证有色金属矿业主题指数</w:t>
      </w:r>
      <w:r>
        <w:rPr>
          <w:rFonts w:hint="eastAsia" w:cs="宋体"/>
          <w:sz w:val="24"/>
          <w:szCs w:val="24"/>
        </w:rPr>
        <w:t>证券投资基金基金合同》</w:t>
      </w:r>
      <w:r>
        <w:rPr>
          <w:rFonts w:hint="eastAsia" w:cs="宋体" w:asciiTheme="minorEastAsia" w:hAnsiTheme="minorEastAsia"/>
          <w:kern w:val="0"/>
          <w:sz w:val="24"/>
          <w:szCs w:val="24"/>
        </w:rPr>
        <w:t>生效之日起至基金财产清算结果报中国证监会备案并公告之日止。</w:t>
      </w:r>
    </w:p>
    <w:p w14:paraId="272C4CA6">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3、《基金合同》自生效之日起对包括基金管理人、基金托管人和基金份额持有人在内的《基金合同》各方当事人具有同等的法律约束力。</w:t>
      </w:r>
    </w:p>
    <w:p w14:paraId="5DB8ECB6">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4、《基金合同》正本一式三份，除上报有关监管机构一份外，基金管理人、基金托管人各持有一份，每份具有同等的法律效力。</w:t>
      </w:r>
    </w:p>
    <w:p w14:paraId="3C818796">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5、《基金合同》可印制成册，供投资者在基金管理人、基金托管人、销售机构的办公场所和营业场所查阅。</w:t>
      </w:r>
    </w:p>
    <w:p w14:paraId="4A0B4932">
      <w:pPr>
        <w:ind w:firstLine="200"/>
      </w:pPr>
    </w:p>
    <w:p w14:paraId="28C2B98B">
      <w:pPr>
        <w:widowControl/>
        <w:ind w:firstLine="200"/>
        <w:jc w:val="left"/>
        <w:rPr>
          <w:rFonts w:ascii="Times New Roman" w:hAnsi="Times New Roman" w:eastAsia="宋体" w:cs="Times New Roman"/>
          <w:b/>
          <w:kern w:val="0"/>
          <w:sz w:val="30"/>
          <w:szCs w:val="30"/>
          <w:lang w:val="zh-CN"/>
        </w:rPr>
        <w:sectPr>
          <w:footerReference r:id="rId24" w:type="default"/>
          <w:pgSz w:w="11906" w:h="16838"/>
          <w:pgMar w:top="1440" w:right="1800" w:bottom="1440" w:left="1800" w:header="851" w:footer="992" w:gutter="0"/>
          <w:pgNumType w:start="1"/>
          <w:cols w:space="425" w:num="1"/>
          <w:docGrid w:type="lines" w:linePitch="312" w:charSpace="0"/>
        </w:sectPr>
      </w:pPr>
    </w:p>
    <w:p w14:paraId="3055CDA9">
      <w:pPr>
        <w:pStyle w:val="2"/>
        <w:spacing w:before="0" w:after="0" w:line="360" w:lineRule="auto"/>
        <w:ind w:firstLine="602" w:firstLineChars="200"/>
        <w:jc w:val="center"/>
        <w:rPr>
          <w:rFonts w:ascii="Times New Roman" w:hAnsi="Times New Roman"/>
          <w:kern w:val="0"/>
          <w:sz w:val="30"/>
          <w:lang w:val="zh-CN"/>
        </w:rPr>
      </w:pPr>
      <w:bookmarkStart w:id="55" w:name="_Toc471235860"/>
      <w:r>
        <w:rPr>
          <w:rFonts w:hint="eastAsia" w:ascii="Times New Roman" w:hAnsi="Times New Roman"/>
          <w:kern w:val="0"/>
          <w:sz w:val="30"/>
          <w:lang w:val="zh-CN"/>
        </w:rPr>
        <w:t>第二十三部分</w:t>
      </w:r>
      <w:r>
        <w:rPr>
          <w:rFonts w:ascii="Times New Roman" w:hAnsi="Times New Roman"/>
          <w:kern w:val="0"/>
          <w:sz w:val="30"/>
          <w:lang w:val="zh-CN"/>
        </w:rPr>
        <w:t xml:space="preserve"> </w:t>
      </w:r>
      <w:r>
        <w:rPr>
          <w:rFonts w:hint="eastAsia" w:ascii="Times New Roman" w:hAnsi="Times New Roman"/>
          <w:kern w:val="0"/>
          <w:sz w:val="30"/>
          <w:lang w:val="zh-CN"/>
        </w:rPr>
        <w:t>其他事项</w:t>
      </w:r>
      <w:bookmarkEnd w:id="55"/>
    </w:p>
    <w:p w14:paraId="6FF8D066">
      <w:pPr>
        <w:autoSpaceDE w:val="0"/>
        <w:autoSpaceDN w:val="0"/>
        <w:adjustRightInd w:val="0"/>
        <w:spacing w:line="360" w:lineRule="auto"/>
        <w:ind w:firstLine="480" w:firstLineChars="200"/>
        <w:jc w:val="left"/>
        <w:rPr>
          <w:rFonts w:cs="宋体" w:asciiTheme="minorEastAsia" w:hAnsiTheme="minorEastAsia"/>
          <w:kern w:val="0"/>
          <w:sz w:val="24"/>
          <w:szCs w:val="24"/>
        </w:rPr>
      </w:pPr>
    </w:p>
    <w:p w14:paraId="5A051756">
      <w:pPr>
        <w:autoSpaceDE w:val="0"/>
        <w:autoSpaceDN w:val="0"/>
        <w:adjustRightInd w:val="0"/>
        <w:spacing w:line="360" w:lineRule="auto"/>
        <w:ind w:firstLine="480" w:firstLineChars="200"/>
        <w:jc w:val="left"/>
        <w:rPr>
          <w:rFonts w:ascii="宋体" w:hAnsi="Times New Roman" w:eastAsia="宋体" w:cs="Times New Roman"/>
          <w:szCs w:val="21"/>
        </w:rPr>
      </w:pPr>
      <w:r>
        <w:rPr>
          <w:rFonts w:hint="eastAsia" w:cs="宋体" w:asciiTheme="minorEastAsia" w:hAnsiTheme="minorEastAsia"/>
          <w:kern w:val="0"/>
          <w:sz w:val="24"/>
          <w:szCs w:val="24"/>
        </w:rPr>
        <w:t>《基金合同》如有未尽事宜，由《基金合同》当事人各方按有关法律法规协商解决。</w:t>
      </w:r>
    </w:p>
    <w:p w14:paraId="38C0EF97">
      <w:pPr>
        <w:tabs>
          <w:tab w:val="left" w:pos="979"/>
        </w:tabs>
        <w:rPr>
          <w:rFonts w:ascii="宋体" w:hAnsi="Times New Roman" w:eastAsia="宋体" w:cs="Times New Roman"/>
          <w:szCs w:val="21"/>
        </w:rPr>
        <w:sectPr>
          <w:footerReference r:id="rId25" w:type="default"/>
          <w:pgSz w:w="11906" w:h="16838"/>
          <w:pgMar w:top="1440" w:right="1800" w:bottom="1440" w:left="1800" w:header="851" w:footer="992" w:gutter="0"/>
          <w:pgNumType w:start="1"/>
          <w:cols w:space="425" w:num="1"/>
          <w:docGrid w:type="lines" w:linePitch="312" w:charSpace="0"/>
        </w:sectPr>
      </w:pPr>
      <w:r>
        <w:rPr>
          <w:rFonts w:ascii="宋体" w:hAnsi="Times New Roman" w:eastAsia="宋体" w:cs="Times New Roman"/>
          <w:szCs w:val="21"/>
        </w:rPr>
        <w:tab/>
      </w:r>
    </w:p>
    <w:p w14:paraId="09655275">
      <w:pPr>
        <w:pStyle w:val="2"/>
        <w:spacing w:before="0" w:after="0" w:line="360" w:lineRule="auto"/>
        <w:ind w:firstLine="602" w:firstLineChars="200"/>
        <w:jc w:val="center"/>
        <w:rPr>
          <w:rFonts w:ascii="Times New Roman" w:hAnsi="Times New Roman"/>
          <w:kern w:val="0"/>
          <w:sz w:val="30"/>
        </w:rPr>
      </w:pPr>
      <w:r>
        <w:rPr>
          <w:rFonts w:hint="eastAsia" w:ascii="Times New Roman" w:hAnsi="Times New Roman"/>
          <w:kern w:val="0"/>
          <w:sz w:val="30"/>
          <w:lang w:val="zh-CN"/>
        </w:rPr>
        <w:t>第二十四部分</w:t>
      </w:r>
      <w:r>
        <w:rPr>
          <w:rFonts w:ascii="Times New Roman" w:hAnsi="Times New Roman"/>
          <w:kern w:val="0"/>
          <w:sz w:val="30"/>
        </w:rPr>
        <w:t xml:space="preserve"> </w:t>
      </w:r>
      <w:r>
        <w:rPr>
          <w:rFonts w:hint="eastAsia" w:ascii="Times New Roman" w:hAnsi="Times New Roman"/>
          <w:kern w:val="0"/>
          <w:sz w:val="30"/>
          <w:lang w:val="zh-CN"/>
        </w:rPr>
        <w:t>基金合同摘要</w:t>
      </w:r>
    </w:p>
    <w:p w14:paraId="043FBED6">
      <w:pPr>
        <w:autoSpaceDE w:val="0"/>
        <w:autoSpaceDN w:val="0"/>
        <w:spacing w:line="360" w:lineRule="auto"/>
        <w:textAlignment w:val="bottom"/>
        <w:rPr>
          <w:rFonts w:ascii="Times New Roman" w:hAnsi="Times New Roman" w:eastAsia="宋体" w:cs="Times New Roman"/>
          <w:b/>
          <w:sz w:val="30"/>
          <w:szCs w:val="30"/>
        </w:rPr>
      </w:pPr>
    </w:p>
    <w:p w14:paraId="690BBD18">
      <w:pPr>
        <w:pStyle w:val="33"/>
        <w:numPr>
          <w:ilvl w:val="0"/>
          <w:numId w:val="3"/>
        </w:numPr>
        <w:spacing w:line="360" w:lineRule="auto"/>
        <w:ind w:firstLineChars="0"/>
        <w:rPr>
          <w:rFonts w:ascii="宋体" w:hAnsi="宋体" w:eastAsia="宋体" w:cs="Times New Roman"/>
          <w:b/>
          <w:sz w:val="24"/>
          <w:szCs w:val="20"/>
        </w:rPr>
      </w:pPr>
      <w:r>
        <w:rPr>
          <w:rFonts w:hint="eastAsia" w:ascii="宋体" w:hAnsi="宋体" w:eastAsia="宋体" w:cs="Times New Roman"/>
          <w:b/>
          <w:sz w:val="24"/>
          <w:szCs w:val="20"/>
        </w:rPr>
        <w:t>基金份额持有人、基金管理人和基金托管人的权利、义务</w:t>
      </w:r>
    </w:p>
    <w:p w14:paraId="58AC9FDC">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（一）基金管理人的权利与义务</w:t>
      </w:r>
    </w:p>
    <w:p w14:paraId="4AF4CA9A">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1、根据《基金法》、《运作办法》及其他有关规定，基金管理人的权利包括但不限于：</w:t>
      </w:r>
    </w:p>
    <w:p w14:paraId="37B6988E">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（1）依法募集资金；</w:t>
      </w:r>
    </w:p>
    <w:p w14:paraId="79DA1C52">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（2）自《基金合同》生效之日起，根据法律法规和《基金合同》独立运用并管理基金财产；</w:t>
      </w:r>
    </w:p>
    <w:p w14:paraId="3A06E55D">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（3）依照《基金合同》收取基金管理费以及法律法规规定或中国证监会批准的其他费用；</w:t>
      </w:r>
    </w:p>
    <w:p w14:paraId="592817F6">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（4）销售基金份额；</w:t>
      </w:r>
    </w:p>
    <w:p w14:paraId="30AF3BE4">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（5）按照规定召集基金份额持有人大会；</w:t>
      </w:r>
    </w:p>
    <w:p w14:paraId="0539AFEF">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（6）依据《基金合同》及有关法律规定监督基金托管人，如认为基金托管人违反了《基金合同》及国家有关法律规定，应呈报中国证监会和其他监管部门，并采取必要措施保护基金投资者的利益；</w:t>
      </w:r>
    </w:p>
    <w:p w14:paraId="68CCFB8B">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（7）在基金托管人更换时，提名新的基金托管人；</w:t>
      </w:r>
    </w:p>
    <w:p w14:paraId="3C7ED3DE">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 xml:space="preserve">（8）选择、更换基金销售机构，对基金销售机构的相关行为进行监督和处理； </w:t>
      </w:r>
    </w:p>
    <w:p w14:paraId="011D06B5">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 xml:space="preserve">（9）担任或委托其他符合条件的机构担任基金登记机构办理基金登记业务并获得《基金合同》规定的费用； </w:t>
      </w:r>
    </w:p>
    <w:p w14:paraId="5D6F70C8">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（10）依据《基金合同》及有关法律规定决定基金收益的分配方案；</w:t>
      </w:r>
      <w:r>
        <w:rPr>
          <w:rFonts w:hint="eastAsia" w:cs="宋体" w:asciiTheme="minorEastAsia" w:hAnsiTheme="minorEastAsia"/>
          <w:kern w:val="0"/>
          <w:sz w:val="24"/>
          <w:szCs w:val="24"/>
        </w:rPr>
        <w:tab/>
      </w:r>
    </w:p>
    <w:p w14:paraId="56F1D8DA">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 xml:space="preserve">（11）在《基金合同》约定的范围内，拒绝或暂停受理申购、赎回与转换申请； </w:t>
      </w:r>
    </w:p>
    <w:p w14:paraId="5C8115CD">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（12）依照法律法规为基金的利益对被投资公司行使股东权利，为基金的利益行使因基金财产投资于证券所产生的权利；</w:t>
      </w:r>
    </w:p>
    <w:p w14:paraId="621F0986">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（13）在法律法规允许的前提下，为基金的利益依法为基金进行融资及转融通证券出借业务；</w:t>
      </w:r>
    </w:p>
    <w:p w14:paraId="17332660">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（14）以基金管理人的名义，代表基金份额持有人的利益行使诉讼权利或者实施其他法律行为；</w:t>
      </w:r>
    </w:p>
    <w:p w14:paraId="6E5E2C3B">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（15）选择、更换律师事务所、会计师事务所、证券、期货经纪商或其他为基金提供服务的外部机构；</w:t>
      </w:r>
    </w:p>
    <w:p w14:paraId="723709B0">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（16）在符合有关法律、法规的前提下，制订和调整有关基金申购、赎回、转换、定期定额投资和非交易过户等业务规则；</w:t>
      </w:r>
    </w:p>
    <w:p w14:paraId="7A67DB5D">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（17）代表</w:t>
      </w:r>
      <w:r>
        <w:rPr>
          <w:rFonts w:hint="eastAsia" w:cs="宋体" w:asciiTheme="minorEastAsia" w:hAnsiTheme="minorEastAsia"/>
          <w:kern w:val="0"/>
          <w:sz w:val="24"/>
          <w:szCs w:val="24"/>
          <w:lang w:val="en-US" w:eastAsia="zh-CN"/>
        </w:rPr>
        <w:t>基金份额持有人</w:t>
      </w:r>
      <w:r>
        <w:rPr>
          <w:rFonts w:hint="eastAsia" w:cs="宋体" w:asciiTheme="minorEastAsia" w:hAnsiTheme="minorEastAsia"/>
          <w:kern w:val="0"/>
          <w:sz w:val="24"/>
          <w:szCs w:val="24"/>
        </w:rPr>
        <w:t>的利益行使因基金财产投资于目标ETF所产生的权利，基金合同另有约定的除外；</w:t>
      </w:r>
    </w:p>
    <w:p w14:paraId="5966636B">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（18）法律法规及中国证监会规定的和《基金合同》约定的其他权利。</w:t>
      </w:r>
    </w:p>
    <w:p w14:paraId="6F89294D">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2、根据《基金法》、《运作办法》及其他有关规定，基金管理人的义务包括但不限于：</w:t>
      </w:r>
    </w:p>
    <w:p w14:paraId="6966F0A5">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（1）依法募集资金，办理或者委托经中国证监会认定的其他机构代为办理基金份额的申购、赎回和登记事宜；</w:t>
      </w:r>
    </w:p>
    <w:p w14:paraId="15ACC919">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（2）办理基金备案手续；</w:t>
      </w:r>
    </w:p>
    <w:p w14:paraId="6A4CB4BB">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（3）自《基金合同》生效之日起，以诚实信用、谨慎勤勉的原则管理和运用基金财产；</w:t>
      </w:r>
    </w:p>
    <w:p w14:paraId="3C1210CE">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（4）配备足够的具有专业资格的人员进行基金投资分析、决策，以专业化的经营方式管理和运作基金财产；</w:t>
      </w:r>
    </w:p>
    <w:p w14:paraId="74C7ADA8">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（5）建立健全内部风险控制、监察与稽核、财务管理及人事管理等制度，保证所管理的基金财产和基金管理人的财产相互独立，对所管理的不同基金分别管理，分别记账，进行证券投资；</w:t>
      </w:r>
    </w:p>
    <w:p w14:paraId="45DB9A7A">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（6）除依据《基金法》、《基金合同》及其他有关规定外，不得利用基金财产为自己及任何第三人谋取利益，不得委托第三人运作基金财产；</w:t>
      </w:r>
    </w:p>
    <w:p w14:paraId="0256D512">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（7）依法接受基金托管人的监督；</w:t>
      </w:r>
    </w:p>
    <w:p w14:paraId="4626A8C0">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（8）采取适当合理的措施使计算基金份额申购、赎回和注销价格的方法符合《基金合同》等法律文件的规定，按有关规定计算并公告基金净值信息，确定基金份额申购、赎回的价格；</w:t>
      </w:r>
    </w:p>
    <w:p w14:paraId="52D14A5E">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（9）进行基金会计核算并编制基金财务会计报告；</w:t>
      </w:r>
    </w:p>
    <w:p w14:paraId="5BFC3D0A">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（10）编制季度报告、中期报告和年度报告；</w:t>
      </w:r>
    </w:p>
    <w:p w14:paraId="2CB9BE85">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（11）严格按照《基金法》、《基金合同》及其他有关规定，履行信息披露及报告义务；</w:t>
      </w:r>
    </w:p>
    <w:p w14:paraId="7D66376B">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12）保守基金商业秘密，不泄露基金投资计划、投资意向等。除《基金法》、《基金合同》及其他有关规定另有规定外，在基金信息公开披露前应予保密，不向他人泄露，但因监管机构、司法机关等有权机关要求，或因审计、法律等外部专业顾问提供服务需要提供的情况除外；</w:t>
      </w:r>
    </w:p>
    <w:p w14:paraId="15A09CFE">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（13）按《基金合同》的约定确定基金收益分配方案，及时向基金份额持有人分配基金收益；</w:t>
      </w:r>
    </w:p>
    <w:p w14:paraId="302187C4">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（14）按规定受理申购与赎回申请，及时、足额支付赎回款项；</w:t>
      </w:r>
    </w:p>
    <w:p w14:paraId="07BE52A5">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（15）依据《基金法》、《基金合同》及其他有关规定召集基金份额持有人大会或配合基金托管人、基金份额持有人依法召集基金份额持有人大会；</w:t>
      </w:r>
    </w:p>
    <w:p w14:paraId="559C05AE">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（16）按规定保存基金财产管理业务活动的会计账册、报表、记录和其他相关资料不低于法律法规规定的最低期限；</w:t>
      </w:r>
    </w:p>
    <w:p w14:paraId="481C3392">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14:paraId="79DD985E">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（18）组织并参加基金财产清算小组，参与基金财产的保管、清理、估价、变现和分配；</w:t>
      </w:r>
    </w:p>
    <w:p w14:paraId="0A6B4F8E">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（19）面临解散、依法被撤销或者被依法宣告破产时，及时报告中国证监会并通知基金托管人；</w:t>
      </w:r>
    </w:p>
    <w:p w14:paraId="3601E493">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（20）因违反《基金合同》导致基金财产的损失或损害基金份额持有人合法权益时，应当承担赔偿责任，其赔偿责任不因其退任而免除；</w:t>
      </w:r>
    </w:p>
    <w:p w14:paraId="30C67135">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（21）监督基金托管人按法律法规和《基金合同》规定履行自己的义务，基金托管人违反《基金合同》造成基金财产损失时，基金管理人应为基金份额持有人利益向基金托管人追偿；</w:t>
      </w:r>
    </w:p>
    <w:p w14:paraId="7F6DC0DC">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（22）当基金管理人将其义务委托第三方处理时，应当对第三方处理有关基金事务的行为承担责任；</w:t>
      </w:r>
    </w:p>
    <w:p w14:paraId="3E518883">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（23）以基金管理人名义，代表基金份额持有人利益行使诉讼权利或实施其他法律行为；</w:t>
      </w:r>
      <w:r>
        <w:rPr>
          <w:rFonts w:hint="eastAsia" w:cs="宋体" w:asciiTheme="minorEastAsia" w:hAnsiTheme="minorEastAsia"/>
          <w:kern w:val="0"/>
          <w:sz w:val="24"/>
          <w:szCs w:val="24"/>
        </w:rPr>
        <w:tab/>
      </w:r>
    </w:p>
    <w:p w14:paraId="6C3C74D5">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（24）执行生效的基金份额持有人大会的决议；</w:t>
      </w:r>
    </w:p>
    <w:p w14:paraId="53F390E0">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（25）建立并保存基金份额持有人名册；</w:t>
      </w:r>
    </w:p>
    <w:p w14:paraId="58926990">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（26）法律法规及中国证监会规定的和《基金合同》约定的其他义务。</w:t>
      </w:r>
    </w:p>
    <w:p w14:paraId="55571956">
      <w:pPr>
        <w:spacing w:line="360" w:lineRule="auto"/>
        <w:ind w:firstLine="480" w:firstLineChars="200"/>
        <w:rPr>
          <w:rFonts w:ascii="宋体" w:hAnsi="宋体" w:eastAsia="宋体" w:cs="Times New Roman"/>
          <w:sz w:val="24"/>
          <w:szCs w:val="20"/>
        </w:rPr>
      </w:pPr>
      <w:r>
        <w:rPr>
          <w:rFonts w:hint="eastAsia" w:ascii="宋体" w:hAnsi="宋体" w:eastAsia="宋体" w:cs="Times New Roman"/>
          <w:sz w:val="24"/>
          <w:szCs w:val="20"/>
        </w:rPr>
        <w:t>（二）</w:t>
      </w:r>
      <w:r>
        <w:rPr>
          <w:rFonts w:hint="eastAsia" w:ascii="宋体" w:hAnsi="宋体" w:eastAsia="宋体" w:cs="Times New Roman"/>
          <w:sz w:val="24"/>
          <w:szCs w:val="20"/>
        </w:rPr>
        <w:tab/>
      </w:r>
      <w:r>
        <w:rPr>
          <w:rFonts w:hint="eastAsia" w:ascii="宋体" w:hAnsi="宋体" w:eastAsia="宋体" w:cs="Times New Roman"/>
          <w:sz w:val="24"/>
          <w:szCs w:val="20"/>
        </w:rPr>
        <w:t>基金托管人的权利与义务</w:t>
      </w:r>
    </w:p>
    <w:p w14:paraId="7C0C7896">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1、根据《基金法》、《运作办法》及其他有关规定，基金托管人的权利包括但不限于：</w:t>
      </w:r>
    </w:p>
    <w:p w14:paraId="7F0F60F1">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（1）自《基金合同》生效之日起，依法律法规和《基金合同》的规定安全保管基金财产；</w:t>
      </w:r>
    </w:p>
    <w:p w14:paraId="0A210E60">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（2）依《基金合同》约定获得基金托管费以及法律法规规定或监管部门批准的其他费用；</w:t>
      </w:r>
    </w:p>
    <w:p w14:paraId="430E7AFF">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14:paraId="7CA6915D">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（4）根据相关市场规则，为基金开设资金账户、证券账户等投资所需账户，为基金办理证券、期货交易资金清算；</w:t>
      </w:r>
    </w:p>
    <w:p w14:paraId="325965CA">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（5）提议召开或召集基金份额持有人大会；</w:t>
      </w:r>
    </w:p>
    <w:p w14:paraId="5E92FB56">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（6）在基金管理人更换时，提名新的基金管理人；</w:t>
      </w:r>
    </w:p>
    <w:p w14:paraId="72108A35">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（7）法律法规及中国证监会规定的和《基金合同》约定的其他权利。</w:t>
      </w:r>
    </w:p>
    <w:p w14:paraId="4C9CCBBC">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2、根据《基金法》、《运作办法》及其他有关规定，基金托管人的义务包括但不限于：</w:t>
      </w:r>
    </w:p>
    <w:p w14:paraId="2FCCFAB5">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（1）以诚实信用、勤勉尽责的原则持有并安全保管基金财产；</w:t>
      </w:r>
    </w:p>
    <w:p w14:paraId="4DA85057">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（2）设立专门的基金托管部门，具有符合要求的营业场所，配备足够的、合格的熟悉基金托管业务的专职人员，负责基金财产托管事宜；</w:t>
      </w:r>
    </w:p>
    <w:p w14:paraId="09A5065A">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14:paraId="546FFCFF">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（4）除依据《基金法》、《基金合同》及其他有关规定外，不得利用基金财产为自己及任何第三人谋取利益，不得委托第三人托管基金财产；</w:t>
      </w:r>
    </w:p>
    <w:p w14:paraId="1BC92AD3">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（5）保管由基金管理人代表基金签订的与基金有关的重大合同及有关凭证；</w:t>
      </w:r>
    </w:p>
    <w:p w14:paraId="55BC3832">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（6）按规定开设基金财产的资金账户和证券账户等投资所需账户，按照《基金合同》的约定，根据基金管理人的投资指令，及时办理清算、交割事宜；</w:t>
      </w:r>
    </w:p>
    <w:p w14:paraId="753ABB23">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7）保守基金商业秘密，除《基金法》、《基金合同》及其他有关规定另有规定外，在基金信息公开披露前予以保密，不得向他人泄露，但因监管机构、司法机关等有权机关要求，或因审计、法律等外部专业顾问提供服务需要提供的情况除外；</w:t>
      </w:r>
    </w:p>
    <w:p w14:paraId="0FC8BC6A">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（8）复核、审查基金管理人计算的基金资产净值、各类基金份额净值、基金份额申购、赎回价格；</w:t>
      </w:r>
    </w:p>
    <w:p w14:paraId="477F2009">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（9）办理与基金托管业务活动有关的信息披露事项；</w:t>
      </w:r>
    </w:p>
    <w:p w14:paraId="10285F3F">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14:paraId="2E2179F8">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（11）保存基金托管业务活动的记录、账册、报表和其他相关资料不低于法律法规规定的最低期限；</w:t>
      </w:r>
    </w:p>
    <w:p w14:paraId="6610B02E">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（12）从基金管理人或其委托的登记机构处接收并保存基金份额持有人名册；</w:t>
      </w:r>
    </w:p>
    <w:p w14:paraId="00D7741B">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（13）按规定制作相关账册并与基金管理人核对；</w:t>
      </w:r>
    </w:p>
    <w:p w14:paraId="271EF8A5">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（14）依据基金管理人的指令或有关规定向基金份额持有人支付基金收益和赎回款项；</w:t>
      </w:r>
    </w:p>
    <w:p w14:paraId="27DF2063">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（15）依据《基金法》、《基金合同》及其他有关规定，召集基金份额持有人大会或配合基金管理人、基金份额持有人依法召集基金份额持有人大会；</w:t>
      </w:r>
    </w:p>
    <w:p w14:paraId="6E00980A">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（16）按照法律法规和《基金合同》的规定监督基金管理人的投资运作；</w:t>
      </w:r>
    </w:p>
    <w:p w14:paraId="409929F2">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（17）参加基金财产清算小组，参与基金财产的保管、清理、估价、变现和分配；</w:t>
      </w:r>
    </w:p>
    <w:p w14:paraId="3CE7C5F0">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（18）面临解散、依法被撤销或者被依法宣告破产时，及时报告中国证监会和银行业监督管理机构，并通知基金管理人；</w:t>
      </w:r>
    </w:p>
    <w:p w14:paraId="671A6331">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（19）因违反《基金合同》导致基金财产损失时，应承担赔偿责任，其赔偿责任不因其退任而免除；</w:t>
      </w:r>
    </w:p>
    <w:p w14:paraId="31549C10">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（20）按规定监督基金管理人按法律法规和《基金合同》规定履行自己的义务，基金管理人因违反《基金合同》造成基金财产损失时，应为基金份额持有人利益向基金管理人追偿；</w:t>
      </w:r>
    </w:p>
    <w:p w14:paraId="4CF5933B">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（21）执行生效的基金份额持有人大会的决议；</w:t>
      </w:r>
    </w:p>
    <w:p w14:paraId="1588CC03">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（22）法律法规及中国证监会规定的和《基金合同》约定的其他义务。</w:t>
      </w:r>
    </w:p>
    <w:p w14:paraId="70DF72DA">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（三）基金份额持有人</w:t>
      </w:r>
    </w:p>
    <w:p w14:paraId="24559075">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基金投资者持有本基金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w:t>
      </w:r>
    </w:p>
    <w:p w14:paraId="1981EF4F">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除法律法规另有规定或本基金合同另有约定外，同一类别每份基金份额具有同等的合法权益。</w:t>
      </w:r>
    </w:p>
    <w:p w14:paraId="3DEDF03B">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1、根据《基金法》、《运作办法》及其他有关规定，基金份额持有人的权利包括但不限于：</w:t>
      </w:r>
    </w:p>
    <w:p w14:paraId="5F20D4A1">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（1）分享基金财产收益；</w:t>
      </w:r>
    </w:p>
    <w:p w14:paraId="1BC3B2C0">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（2）参与分配清算后的剩余基金财产；</w:t>
      </w:r>
    </w:p>
    <w:p w14:paraId="6ADE558C">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（3）依法转让或者申请赎回其持有的基金份额；</w:t>
      </w:r>
    </w:p>
    <w:p w14:paraId="28FDD6C2">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（4）按照规定要求召开基金份额持有人大会或者召集基金份额持有人大会；</w:t>
      </w:r>
    </w:p>
    <w:p w14:paraId="5A882C3C">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（5）出席或者委派代表出席</w:t>
      </w:r>
      <w:r>
        <w:rPr>
          <w:rFonts w:hint="eastAsia" w:ascii="宋体" w:hAnsi="宋体" w:eastAsia="宋体" w:cs="宋体"/>
          <w:sz w:val="24"/>
          <w:szCs w:val="24"/>
        </w:rPr>
        <w:t>本基金或目标</w:t>
      </w:r>
      <w:r>
        <w:rPr>
          <w:rFonts w:ascii="宋体" w:hAnsi="宋体" w:eastAsia="宋体" w:cs="宋体"/>
          <w:sz w:val="24"/>
          <w:szCs w:val="24"/>
        </w:rPr>
        <w:t>ETF</w:t>
      </w:r>
      <w:r>
        <w:rPr>
          <w:rFonts w:hint="eastAsia" w:ascii="宋体" w:hAnsi="宋体" w:eastAsia="宋体" w:cs="宋体"/>
          <w:sz w:val="24"/>
          <w:szCs w:val="24"/>
        </w:rPr>
        <w:t>的</w:t>
      </w:r>
      <w:r>
        <w:rPr>
          <w:rFonts w:hint="eastAsia" w:cs="宋体" w:asciiTheme="minorEastAsia" w:hAnsiTheme="minorEastAsia"/>
          <w:kern w:val="0"/>
          <w:sz w:val="24"/>
          <w:szCs w:val="24"/>
        </w:rPr>
        <w:t>基金份额持有人大会，对</w:t>
      </w:r>
      <w:r>
        <w:rPr>
          <w:rFonts w:hint="eastAsia" w:ascii="宋体" w:hAnsi="宋体" w:eastAsia="宋体" w:cs="宋体"/>
          <w:sz w:val="24"/>
          <w:szCs w:val="24"/>
        </w:rPr>
        <w:t>本基金或目标</w:t>
      </w:r>
      <w:r>
        <w:rPr>
          <w:rFonts w:ascii="宋体" w:hAnsi="宋体" w:eastAsia="宋体" w:cs="宋体"/>
          <w:sz w:val="24"/>
          <w:szCs w:val="24"/>
        </w:rPr>
        <w:t>ETF</w:t>
      </w:r>
      <w:r>
        <w:rPr>
          <w:rFonts w:hint="eastAsia" w:ascii="宋体" w:hAnsi="宋体" w:eastAsia="宋体" w:cs="宋体"/>
          <w:sz w:val="24"/>
          <w:szCs w:val="24"/>
        </w:rPr>
        <w:t>的</w:t>
      </w:r>
      <w:r>
        <w:rPr>
          <w:rFonts w:hint="eastAsia" w:cs="宋体" w:asciiTheme="minorEastAsia" w:hAnsiTheme="minorEastAsia"/>
          <w:kern w:val="0"/>
          <w:sz w:val="24"/>
          <w:szCs w:val="24"/>
        </w:rPr>
        <w:t>基金份额持有人大会审议事项行使表决权；</w:t>
      </w:r>
    </w:p>
    <w:p w14:paraId="23D6AC15">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（6）查阅或者复制公开披露的基金信息资料；</w:t>
      </w:r>
    </w:p>
    <w:p w14:paraId="5EFE1C00">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（7）监督基金管理人的投资运作；</w:t>
      </w:r>
    </w:p>
    <w:p w14:paraId="1DA1F8F1">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（8）对基金管理人、基金托管人、基金服务机构损害其合法权益的行为依法提起诉讼或仲裁；</w:t>
      </w:r>
    </w:p>
    <w:p w14:paraId="2AFECD2D">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（9）法律法规及中国证监会规定的和《基金合同》约定的其他权利。</w:t>
      </w:r>
    </w:p>
    <w:p w14:paraId="734B35C7">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2、根据《基金法》、《运作办法》及其他有关规定，基金份额持有人的义务包括但不限于：</w:t>
      </w:r>
    </w:p>
    <w:p w14:paraId="1EE31CF9">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（1）认真阅读并遵守《基金合同》、招募说明书等信息披露文件；</w:t>
      </w:r>
    </w:p>
    <w:p w14:paraId="0DBA00D4">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（2）了解所投资基金产品，了解自身风险承受能力，自主判断基金的投资价值，自主做出投资决策，自行承担投资风险；</w:t>
      </w:r>
    </w:p>
    <w:p w14:paraId="5B7BA402">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（3）关注基金信息披露，及时行使权利和履行义务；</w:t>
      </w:r>
    </w:p>
    <w:p w14:paraId="4C672474">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（4）交纳基金申购款项及法律法规和《基金合同》所规定的费用；</w:t>
      </w:r>
    </w:p>
    <w:p w14:paraId="46E685FB">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（5）在其持有的基金份额范围内，承担基金亏损或者《基金合同》终止的有限责任；</w:t>
      </w:r>
    </w:p>
    <w:p w14:paraId="0FAB2FAD">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（6）不从事任何有损基金及其他《基金合同》当事人合法权益的活动；</w:t>
      </w:r>
    </w:p>
    <w:p w14:paraId="6F86B69F">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（7）执行生效的基金份额持有人大会的决议；</w:t>
      </w:r>
    </w:p>
    <w:p w14:paraId="72599DFB">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（8）返还在基金交易过程中因任何原因获得的不当得利；</w:t>
      </w:r>
    </w:p>
    <w:p w14:paraId="1C133E77">
      <w:pPr>
        <w:spacing w:line="360" w:lineRule="auto"/>
        <w:ind w:firstLine="420"/>
        <w:rPr>
          <w:rFonts w:ascii="宋体" w:hAnsi="宋体" w:eastAsia="宋体" w:cs="Times New Roman"/>
          <w:b/>
          <w:sz w:val="24"/>
          <w:szCs w:val="20"/>
        </w:rPr>
      </w:pPr>
      <w:r>
        <w:rPr>
          <w:rFonts w:hint="eastAsia" w:cs="宋体" w:asciiTheme="minorEastAsia" w:hAnsiTheme="minorEastAsia"/>
          <w:kern w:val="0"/>
          <w:sz w:val="24"/>
          <w:szCs w:val="24"/>
        </w:rPr>
        <w:t>（9）法律法规及中国证监会规定的和《基金合同》约定的其他义务。</w:t>
      </w:r>
    </w:p>
    <w:p w14:paraId="590D9A04">
      <w:pPr>
        <w:spacing w:line="360" w:lineRule="auto"/>
        <w:ind w:firstLine="420"/>
        <w:rPr>
          <w:rFonts w:ascii="宋体" w:hAnsi="宋体" w:eastAsia="宋体" w:cs="Times New Roman"/>
          <w:sz w:val="24"/>
          <w:szCs w:val="20"/>
        </w:rPr>
      </w:pPr>
      <w:r>
        <w:rPr>
          <w:rFonts w:hint="eastAsia" w:ascii="宋体" w:hAnsi="宋体" w:eastAsia="宋体" w:cs="Times New Roman"/>
          <w:b/>
          <w:sz w:val="24"/>
          <w:szCs w:val="20"/>
        </w:rPr>
        <w:t>二、基金份额持有人大会召集、议事及表决的程序和规则</w:t>
      </w:r>
    </w:p>
    <w:p w14:paraId="21461138">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基金份额持有人大会由基金份额持有人组成，基金份额持有人的合法授权代表有权代表基金份额持有人出席会议并表决。除法律法规另有规定或本基金合同另有约定外，基金份额持有人持有的每一基金份额拥有平等的投票权。</w:t>
      </w:r>
    </w:p>
    <w:p w14:paraId="1F53EE61">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本基金份额持有人大会不设日常机构。</w:t>
      </w:r>
    </w:p>
    <w:p w14:paraId="6BED574D">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（一）召开事由</w:t>
      </w:r>
    </w:p>
    <w:p w14:paraId="3317FD65">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1、除法律法规和中国证监会另有规定或《基金合同》另有约定外，当出现或需要决定下列事由之一的，应当召开基金份额持有人大会：</w:t>
      </w:r>
    </w:p>
    <w:p w14:paraId="5B04EDB8">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（1）终止《基金合同》；</w:t>
      </w:r>
    </w:p>
    <w:p w14:paraId="22051C04">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（2）更换基金管理人；</w:t>
      </w:r>
    </w:p>
    <w:p w14:paraId="5358C9D5">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（3）更换基金托管人；</w:t>
      </w:r>
    </w:p>
    <w:p w14:paraId="73C71390">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（4）转换基金运作方式；</w:t>
      </w:r>
    </w:p>
    <w:p w14:paraId="1FE77942">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（5）调整基金管理人、基金托管人的报酬标准或提高销售服务费率；</w:t>
      </w:r>
    </w:p>
    <w:p w14:paraId="1FD91A0B">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（6）变更基金类别；</w:t>
      </w:r>
    </w:p>
    <w:p w14:paraId="0204981E">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（7）本基金与其他基金的合并；</w:t>
      </w:r>
    </w:p>
    <w:p w14:paraId="13409E4A">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（8）变更基金投资目标、范围或策略；</w:t>
      </w:r>
    </w:p>
    <w:p w14:paraId="270D1D85">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（9）变更基金份额持有人大会程序；</w:t>
      </w:r>
    </w:p>
    <w:p w14:paraId="32FBE2CA">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（10）基金管理人或基金托管人要求召开基金份额持有人大会；</w:t>
      </w:r>
    </w:p>
    <w:p w14:paraId="3E1C1AC9">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（11）单独或合计持有本基金总份额10%以上（含10%）基金份额的基金份额持有人（以基金管理人收到提议当日的基金份额计算，下同）就同一事项书面要求召开基金份额持有人大会；</w:t>
      </w:r>
    </w:p>
    <w:p w14:paraId="37F970B6">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（12）对基金合同当事人权利和义务产生重大影响的其他事项；</w:t>
      </w:r>
    </w:p>
    <w:p w14:paraId="44C40C1D">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w:t>
      </w:r>
      <w:r>
        <w:rPr>
          <w:rFonts w:cs="宋体" w:asciiTheme="minorEastAsia" w:hAnsiTheme="minorEastAsia"/>
          <w:kern w:val="0"/>
          <w:sz w:val="24"/>
          <w:szCs w:val="24"/>
        </w:rPr>
        <w:t>13</w:t>
      </w:r>
      <w:r>
        <w:rPr>
          <w:rFonts w:hint="eastAsia" w:cs="宋体" w:asciiTheme="minorEastAsia" w:hAnsiTheme="minorEastAsia"/>
          <w:kern w:val="0"/>
          <w:sz w:val="24"/>
          <w:szCs w:val="24"/>
        </w:rPr>
        <w:t>）基金管理人代表本基金的基金份额持有人提议召开或召集目标</w:t>
      </w:r>
      <w:r>
        <w:rPr>
          <w:rFonts w:cs="宋体" w:asciiTheme="minorEastAsia" w:hAnsiTheme="minorEastAsia"/>
          <w:kern w:val="0"/>
          <w:sz w:val="24"/>
          <w:szCs w:val="24"/>
        </w:rPr>
        <w:t>ETF</w:t>
      </w:r>
      <w:r>
        <w:rPr>
          <w:rFonts w:hint="eastAsia" w:cs="宋体" w:asciiTheme="minorEastAsia" w:hAnsiTheme="minorEastAsia"/>
          <w:kern w:val="0"/>
          <w:sz w:val="24"/>
          <w:szCs w:val="24"/>
        </w:rPr>
        <w:t>基金份额持有人大会；</w:t>
      </w:r>
    </w:p>
    <w:p w14:paraId="3A0838B9">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（14）法律法规、《基金合同》或中国证监会规定的其他应当召开基金份额持有人大会的事项。</w:t>
      </w:r>
    </w:p>
    <w:p w14:paraId="5806221C">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2、在法律法规规定和《基金合同》约定的范围内且对基金份额持有人利益无实质性不利影响的前提下，以下情况可由基金管理人和基金托管人协商后修改，不需召开基金份额持有人大会：</w:t>
      </w:r>
    </w:p>
    <w:p w14:paraId="75C5339F">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（1）法律法规要求增加的基金费用的收取；</w:t>
      </w:r>
    </w:p>
    <w:p w14:paraId="1879C06D">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（2）调整本基金的申购费率、调低赎回费率、调低销售服务费率或变更收费方式，调整基金份额类别设置、对基金份额分类办法及规则进行调整；</w:t>
      </w:r>
    </w:p>
    <w:p w14:paraId="26C80F9F">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（3）因相应的法律法规发生变动而应当对《基金合同》进行修改；</w:t>
      </w:r>
    </w:p>
    <w:p w14:paraId="514238F2">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（4）对《基金合同》的修改对基金份额持有人利益无实质性不利影响或修改不涉及《基金合同》当事人权利义务关系发生重大变化；</w:t>
      </w:r>
    </w:p>
    <w:p w14:paraId="4C0DDF2B">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（5）基金管理人、登记机构、基金销售机构调整有关申购、赎回、转换、基金交易、非交易过户、转托管等业务规则；</w:t>
      </w:r>
    </w:p>
    <w:p w14:paraId="567F2A2C">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（6）履行相关程序后，基金推出新业务或服务；</w:t>
      </w:r>
    </w:p>
    <w:p w14:paraId="067B9273">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w:t>
      </w:r>
      <w:r>
        <w:rPr>
          <w:rFonts w:cs="宋体" w:asciiTheme="minorEastAsia" w:hAnsiTheme="minorEastAsia"/>
          <w:kern w:val="0"/>
          <w:sz w:val="24"/>
          <w:szCs w:val="24"/>
        </w:rPr>
        <w:t>7</w:t>
      </w:r>
      <w:r>
        <w:rPr>
          <w:rFonts w:hint="eastAsia" w:cs="宋体" w:asciiTheme="minorEastAsia" w:hAnsiTheme="minorEastAsia"/>
          <w:kern w:val="0"/>
          <w:sz w:val="24"/>
          <w:szCs w:val="24"/>
        </w:rPr>
        <w:t>）由于目标</w:t>
      </w:r>
      <w:r>
        <w:rPr>
          <w:rFonts w:cs="宋体" w:asciiTheme="minorEastAsia" w:hAnsiTheme="minorEastAsia"/>
          <w:kern w:val="0"/>
          <w:sz w:val="24"/>
          <w:szCs w:val="24"/>
        </w:rPr>
        <w:t>ETF</w:t>
      </w:r>
      <w:r>
        <w:rPr>
          <w:rFonts w:hint="eastAsia" w:cs="宋体" w:asciiTheme="minorEastAsia" w:hAnsiTheme="minorEastAsia"/>
          <w:kern w:val="0"/>
          <w:sz w:val="24"/>
          <w:szCs w:val="24"/>
        </w:rPr>
        <w:t>交易方式发生重大变更致使本基金的投资策略难以实现、目标</w:t>
      </w:r>
      <w:r>
        <w:rPr>
          <w:rFonts w:cs="宋体" w:asciiTheme="minorEastAsia" w:hAnsiTheme="minorEastAsia"/>
          <w:kern w:val="0"/>
          <w:sz w:val="24"/>
          <w:szCs w:val="24"/>
        </w:rPr>
        <w:t>ETF</w:t>
      </w:r>
      <w:r>
        <w:rPr>
          <w:rFonts w:hint="eastAsia" w:cs="宋体" w:asciiTheme="minorEastAsia" w:hAnsiTheme="minorEastAsia"/>
          <w:kern w:val="0"/>
          <w:sz w:val="24"/>
          <w:szCs w:val="24"/>
        </w:rPr>
        <w:t>终止上市或目标</w:t>
      </w:r>
      <w:r>
        <w:rPr>
          <w:rFonts w:cs="宋体" w:asciiTheme="minorEastAsia" w:hAnsiTheme="minorEastAsia"/>
          <w:kern w:val="0"/>
          <w:sz w:val="24"/>
          <w:szCs w:val="24"/>
        </w:rPr>
        <w:t>ETF</w:t>
      </w:r>
      <w:r>
        <w:rPr>
          <w:rFonts w:hint="eastAsia" w:cs="宋体" w:asciiTheme="minorEastAsia" w:hAnsiTheme="minorEastAsia"/>
          <w:kern w:val="0"/>
          <w:sz w:val="24"/>
          <w:szCs w:val="24"/>
        </w:rPr>
        <w:t>基金合同终止等情形时本基金变更为直接投资该标的指数的指数基金；</w:t>
      </w:r>
    </w:p>
    <w:p w14:paraId="3798139D">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（8）按照法律法规和《基金合同》规定不需召开基金份额持有人大会的其他情形。</w:t>
      </w:r>
    </w:p>
    <w:p w14:paraId="444576C9">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（二）会议召集人及召集方式</w:t>
      </w:r>
    </w:p>
    <w:p w14:paraId="0ABF124C">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1、除法律法规规定或《基金合同》另有约定外，基金份额持有人大会由基金管理人召集。</w:t>
      </w:r>
    </w:p>
    <w:p w14:paraId="411F0069">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2、基金管理人未按规定召集或不能召集时，由基金托管人召集。</w:t>
      </w:r>
    </w:p>
    <w:p w14:paraId="5D9AC6FD">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14:paraId="1E4510B4">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14:paraId="4DEB5814">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14:paraId="70E7ED5C">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6、基金份额持有人会议的召集人负责选择确定开会时间、地点、方式和权益登记日。</w:t>
      </w:r>
    </w:p>
    <w:p w14:paraId="14BB1721">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（三）召开基金份额持有人大会的通知时间、通知内容、通知方式</w:t>
      </w:r>
    </w:p>
    <w:p w14:paraId="5B0B3EB0">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1、召开基金份额持有人大会，召集人应于会议召开前30日，在规定媒介公告。基金份额持有人大会通知应至少载明以下内容：</w:t>
      </w:r>
    </w:p>
    <w:p w14:paraId="0A804C8B">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（1）会议召开的时间、地点和会议形式；</w:t>
      </w:r>
    </w:p>
    <w:p w14:paraId="399A45CD">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（2）会议拟审议的事项、议事程序和表决方式；</w:t>
      </w:r>
    </w:p>
    <w:p w14:paraId="3A9E01C8">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（3）有权出席基金份额持有人大会的基金份额持有人的权益登记日；</w:t>
      </w:r>
    </w:p>
    <w:p w14:paraId="43C3AE0A">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（4）授权委托证明的内容要求（包括但不限于代理人身份，代理权限和代理有效期限等）、送达时间和地点；</w:t>
      </w:r>
    </w:p>
    <w:p w14:paraId="724887F2">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（5）会务常设联系人姓名及联系电话；</w:t>
      </w:r>
    </w:p>
    <w:p w14:paraId="4833B23F">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（6）出席会议者必须准备的文件和必须履行的手续；</w:t>
      </w:r>
    </w:p>
    <w:p w14:paraId="3D9E08A7">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（7）召集人需要通知的其他事项。</w:t>
      </w:r>
    </w:p>
    <w:p w14:paraId="25CA397C">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14:paraId="791FF35B">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14:paraId="556DAA18">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（四）基金份额持有人出席会议的方式</w:t>
      </w:r>
    </w:p>
    <w:p w14:paraId="485ED290">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基金份额持有人大会可通过现场开会方式、通讯开会方式或法律法规、监管机构允许的其他方式召开，会议的召开方式由会议召集人确定。</w:t>
      </w:r>
    </w:p>
    <w:p w14:paraId="2E3901C8">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14:paraId="135FA00B">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14:paraId="3A59ECC3">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14:paraId="143920B6">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2、通讯开会。通讯开会系指基金份额持有人将其对表决事项的投票以书面形式或大会公告载明的其他方式在表决截止日以前送达至召集人指定的地址或系统。通讯开会应以书面方式或大会公告载明的其他方式进行表决。</w:t>
      </w:r>
    </w:p>
    <w:p w14:paraId="7BC8BB37">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在同时符合以下条件时，通讯开会的方式视为有效：</w:t>
      </w:r>
    </w:p>
    <w:p w14:paraId="70854596">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（1）会议召集人按《基金合同》约定公布会议通知后，在2个工作日内连续公布相关提示性公告；</w:t>
      </w:r>
    </w:p>
    <w:p w14:paraId="2EC8B573">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14:paraId="5A015DAA">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3）本人直接出具表决意见或授权他人代表出具表决意见的，基金份额持有人所持有的基金份额不小于在权益登记日基金总份额的二分之一（含二分之一）；若本人直接出具表决意见或授权他人代表出具表决意见的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表决意见或授权他人代表出具表决意见；</w:t>
      </w:r>
    </w:p>
    <w:p w14:paraId="4BEF6632">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14:paraId="212F1BA0">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3、在不违反法律法规和监管机关规定的情况下，本基金的基金份额持有人亦可采用其他非书面方式授权其代理人出席基金份额持有人大会，授权方式可以采用书面、网络、电话、短信或其他方式，具体方式由会议召集人确定并在会议通知中列明。</w:t>
      </w:r>
    </w:p>
    <w:p w14:paraId="6D5472A1">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4、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w:t>
      </w:r>
    </w:p>
    <w:p w14:paraId="021BBA6C">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（五）议事内容与程序</w:t>
      </w:r>
    </w:p>
    <w:p w14:paraId="05B04A48">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1、议事内容及提案权</w:t>
      </w:r>
    </w:p>
    <w:p w14:paraId="6CA77F01">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14:paraId="3FF8F0A6">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基金份额持有人大会的召集人发出召集会议的通知后，对原有提案的修改应当在基金份额持有人大会召开前及时公告。</w:t>
      </w:r>
    </w:p>
    <w:p w14:paraId="3A7BE458">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基金份额持有人大会不得对未事先公告的议事内容进行表决。</w:t>
      </w:r>
    </w:p>
    <w:p w14:paraId="3943D2DF">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2、议事程序</w:t>
      </w:r>
    </w:p>
    <w:p w14:paraId="54FEB590">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（1）现场开会</w:t>
      </w:r>
    </w:p>
    <w:p w14:paraId="359986CE">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w:t>
      </w:r>
    </w:p>
    <w:p w14:paraId="05284527">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会议召集人应当制作出席会议人员的签名册。签名册载明参加会议人员姓名（或单位名称）、身份证明文件号码、持有或代表有表决权的基金份额、委托人姓名（或单位名称）和联系方式等事项。</w:t>
      </w:r>
    </w:p>
    <w:p w14:paraId="45991513">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（2）通讯开会</w:t>
      </w:r>
    </w:p>
    <w:p w14:paraId="5E35E7B0">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在通讯开会的情况下，首先由召集人提前30日公布提案，在所通知的表决截止日期后2个工作日内在公证机关监督下由召集人统计全部有效表决，在公证机关监督下形成决议。</w:t>
      </w:r>
    </w:p>
    <w:p w14:paraId="38A09CBD">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（六）表决</w:t>
      </w:r>
    </w:p>
    <w:p w14:paraId="6C21AD15">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基金份额持有人所持每份基金份额有一票表决权。</w:t>
      </w:r>
    </w:p>
    <w:p w14:paraId="396D6D29">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基金份额持有人大会决议分为一般决议和特别决议：</w:t>
      </w:r>
    </w:p>
    <w:p w14:paraId="0411D2E6">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14:paraId="2FD37800">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2、特别决议，特别决议应当经参加大会的基金份额持有人或其代理人所持表决权的三分之二以上（含三分之二）通过方可做出。除法律法规、监管机构另有规定或基金合同另有约定外，转换基金运作方式、更换基金管理人或者基金托管人、终止《基金合同》、本基金与其他基金合并以特别决议通过方为有效。</w:t>
      </w:r>
    </w:p>
    <w:p w14:paraId="6DDE0230">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基金份额持有人大会采取记名方式进行投票表决。</w:t>
      </w:r>
    </w:p>
    <w:p w14:paraId="6DCAFF6D">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采取通讯方式进行表决时，除非在计票时监督员及公证机关均认为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14:paraId="6658CF09">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基金份额持有人大会的各项提案或同一项提案内并列的各项议题应当分开审议、逐项表决。</w:t>
      </w:r>
    </w:p>
    <w:p w14:paraId="292D8E64">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（七）计票</w:t>
      </w:r>
    </w:p>
    <w:p w14:paraId="65AE9A4F">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1、现场开会</w:t>
      </w:r>
    </w:p>
    <w:p w14:paraId="379D8564">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14:paraId="456256F9">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（2）监票人应当在基金份额持有人表决后立即进行清点并由大会主持人当场公布计票结果。</w:t>
      </w:r>
    </w:p>
    <w:p w14:paraId="5A35C4D7">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14:paraId="2F7DA73E">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（4）计票过程应由公证机关予以公证，基金管理人或基金托管人拒不出席大会的，不影响计票的效力。</w:t>
      </w:r>
    </w:p>
    <w:p w14:paraId="6FBE1DA3">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2、通讯开会</w:t>
      </w:r>
    </w:p>
    <w:p w14:paraId="653694A7">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14:paraId="7DCD9704">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（八）生效与公告</w:t>
      </w:r>
    </w:p>
    <w:p w14:paraId="0BEEBBB9">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基金份额持有人大会的决议，召集人应当自通过之日起5日内报中国证监会备案。</w:t>
      </w:r>
    </w:p>
    <w:p w14:paraId="7D1BF63A">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基金份额持有人大会的决议自表决通过之日起生效。</w:t>
      </w:r>
    </w:p>
    <w:p w14:paraId="6D0386D6">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基金份额持有人大会决议自生效之日起按规定在规定媒介上公告。如果采用通讯方式进行表决，在公告基金份额持有人大会决议时，必须将公证书全文、公证机构、公证员姓名等一同公告。</w:t>
      </w:r>
    </w:p>
    <w:p w14:paraId="086FBE3B">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基金管理人、基金托管人和基金份额持有人应当执行生效的基金份额持有人大会的决议。生效的基金份额持有人大会决议对全体基金份额持有人、基金管理人、基金托管人均有约束力。</w:t>
      </w:r>
    </w:p>
    <w:p w14:paraId="50170B0D">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（九）实施侧袋机制期间基金份额持有人大会的特殊约定</w:t>
      </w:r>
    </w:p>
    <w:p w14:paraId="2A47877A">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14:paraId="3FC59C8D">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1、基金份额持有人行使提议权、召集权、提名权所需单独或合计代表相关基金份额10%以上（含10%）；</w:t>
      </w:r>
    </w:p>
    <w:p w14:paraId="3E822747">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2、现场开会的到会者在权益登记日代表的基金份额不少于本基金在权益登记日相关基金份额的二分之一（含二分之一）；</w:t>
      </w:r>
    </w:p>
    <w:p w14:paraId="19352CBE">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3、通讯开会的直接出具</w:t>
      </w:r>
      <w:r>
        <w:rPr>
          <w:rFonts w:cs="宋体" w:asciiTheme="minorEastAsia" w:hAnsiTheme="minorEastAsia"/>
          <w:kern w:val="0"/>
          <w:sz w:val="24"/>
          <w:szCs w:val="24"/>
        </w:rPr>
        <w:t>表决</w:t>
      </w:r>
      <w:r>
        <w:rPr>
          <w:rFonts w:hint="eastAsia" w:cs="宋体" w:asciiTheme="minorEastAsia" w:hAnsiTheme="minorEastAsia"/>
          <w:kern w:val="0"/>
          <w:sz w:val="24"/>
          <w:szCs w:val="24"/>
        </w:rPr>
        <w:t>意见或授权他人代表出具</w:t>
      </w:r>
      <w:r>
        <w:rPr>
          <w:rFonts w:cs="宋体" w:asciiTheme="minorEastAsia" w:hAnsiTheme="minorEastAsia"/>
          <w:kern w:val="0"/>
          <w:sz w:val="24"/>
          <w:szCs w:val="24"/>
        </w:rPr>
        <w:t>表决</w:t>
      </w:r>
      <w:r>
        <w:rPr>
          <w:rFonts w:hint="eastAsia" w:cs="宋体" w:asciiTheme="minorEastAsia" w:hAnsiTheme="minorEastAsia"/>
          <w:kern w:val="0"/>
          <w:sz w:val="24"/>
          <w:szCs w:val="24"/>
        </w:rPr>
        <w:t>意见的基金份额持有人所持有的基金份额不小于在权益登记日相关基金份额的二分之一（含二分之一）；</w:t>
      </w:r>
    </w:p>
    <w:p w14:paraId="467A75E5">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4、</w:t>
      </w:r>
      <w:r>
        <w:rPr>
          <w:rFonts w:cs="宋体" w:asciiTheme="minorEastAsia" w:hAnsiTheme="minorEastAsia"/>
          <w:kern w:val="0"/>
          <w:sz w:val="24"/>
          <w:szCs w:val="24"/>
        </w:rPr>
        <w:t>当</w:t>
      </w:r>
      <w:r>
        <w:rPr>
          <w:rFonts w:hint="eastAsia" w:cs="宋体" w:asciiTheme="minorEastAsia" w:hAnsiTheme="minorEastAsia"/>
          <w:kern w:val="0"/>
          <w:sz w:val="24"/>
          <w:szCs w:val="24"/>
        </w:rPr>
        <w:t>参与基金份额持有人大会投票的基金份额持有人所持有的基金份额小于在权益登记日相关基金份额的二分之一</w:t>
      </w:r>
      <w:r>
        <w:rPr>
          <w:rFonts w:cs="宋体" w:asciiTheme="minorEastAsia" w:hAnsiTheme="minorEastAsia"/>
          <w:kern w:val="0"/>
          <w:sz w:val="24"/>
          <w:szCs w:val="24"/>
        </w:rPr>
        <w:t>，</w:t>
      </w:r>
      <w:r>
        <w:rPr>
          <w:rFonts w:hint="eastAsia" w:cs="宋体" w:asciiTheme="minorEastAsia" w:hAnsiTheme="minorEastAsia"/>
          <w:kern w:val="0"/>
          <w:sz w:val="24"/>
          <w:szCs w:val="24"/>
        </w:rPr>
        <w:t>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14:paraId="286F19E2">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5、现场开会由出席大会的基金份额持有人和代理人所持表决权的50%以上（含50%）选举产生一名基金份额持有人作为该次基金份额持有人大会的主持人；</w:t>
      </w:r>
    </w:p>
    <w:p w14:paraId="2F0D6B63">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6、一般决议须经参加大会的基金份额持有人或其代理人所持表决权的二分之一以上（含二分之一）通过；</w:t>
      </w:r>
    </w:p>
    <w:p w14:paraId="262D361C">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7、特别决议应当经参加大会的基金份额持有人或其代理人所持表决权的三分之二以上（含三分之二）通过。</w:t>
      </w:r>
    </w:p>
    <w:p w14:paraId="76FB62A7">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侧袋机制实施期间，基金份额持有人大会审议事项涉及主袋账户和侧袋账户的，应分别由主袋账户、侧袋账户的基金份额持有人进行表决，同一主侧袋账户内的同一类别每份基金份额具有平等的表决权。表决事项未涉及侧袋账户的，侧袋账户份额无表决权。</w:t>
      </w:r>
    </w:p>
    <w:p w14:paraId="2EEBF237">
      <w:pPr>
        <w:spacing w:line="360" w:lineRule="auto"/>
        <w:ind w:firstLine="480"/>
        <w:rPr>
          <w:rFonts w:cs="宋体" w:asciiTheme="minorEastAsia" w:hAnsiTheme="minorEastAsia"/>
          <w:kern w:val="0"/>
          <w:sz w:val="24"/>
          <w:szCs w:val="24"/>
        </w:rPr>
      </w:pPr>
      <w:r>
        <w:rPr>
          <w:rFonts w:hint="eastAsia" w:cs="宋体" w:asciiTheme="minorEastAsia" w:hAnsiTheme="minorEastAsia"/>
          <w:kern w:val="0"/>
          <w:sz w:val="24"/>
          <w:szCs w:val="24"/>
        </w:rPr>
        <w:t>侧袋机制实施期间，关于基金份额持有人大会的相关规定以本节特殊约定内容为准，本节没有规定的适用上文相关约定。</w:t>
      </w:r>
    </w:p>
    <w:p w14:paraId="77A995AE">
      <w:pPr>
        <w:spacing w:line="360" w:lineRule="auto"/>
        <w:ind w:firstLine="480"/>
        <w:rPr>
          <w:rFonts w:cs="宋体"/>
          <w:sz w:val="24"/>
          <w:szCs w:val="24"/>
        </w:rPr>
      </w:pPr>
      <w:r>
        <w:rPr>
          <w:rFonts w:hint="eastAsia" w:cs="宋体"/>
          <w:sz w:val="24"/>
          <w:szCs w:val="24"/>
        </w:rPr>
        <w:t>（十）鉴于本基金是目标ETF的联接基金，本基金的基金份额持有人可以凭所持有的本基金份额出席或者委派代表出席目标ETF的基金份额持有人大会并参与表决，其持有的享有表决权的基金份额数和表决票数为：在目标ETF基金份额持有人大会的权益登记日，本基金持有目标ETF份额的总数乘以该持有人所持有的本基金份额占本基金总份额的比例，计算结果按照四舍五入的方法，保留到整数位。</w:t>
      </w:r>
    </w:p>
    <w:p w14:paraId="3FE03F21">
      <w:pPr>
        <w:spacing w:line="360" w:lineRule="auto"/>
        <w:ind w:firstLine="480"/>
        <w:rPr>
          <w:rFonts w:cs="宋体"/>
          <w:sz w:val="24"/>
          <w:szCs w:val="24"/>
        </w:rPr>
      </w:pPr>
      <w:r>
        <w:rPr>
          <w:rFonts w:hint="eastAsia" w:cs="宋体"/>
          <w:sz w:val="24"/>
          <w:szCs w:val="24"/>
        </w:rPr>
        <w:t>本基金的基金管理人不应以本基金的名义代表本基金的全体基金份额持有人以目标ETF的基金份额持有人的身份行使表决权，但可接受本基金的特定基金份额持有人的委托以本基金的基金份额持有人代理人的身份出席目标ETF的基金份额持有人大会并参与表决。</w:t>
      </w:r>
    </w:p>
    <w:p w14:paraId="18E2A5D7">
      <w:pPr>
        <w:spacing w:line="360" w:lineRule="auto"/>
        <w:ind w:firstLine="480"/>
        <w:jc w:val="left"/>
        <w:rPr>
          <w:rFonts w:cs="宋体" w:asciiTheme="minorEastAsia" w:hAnsiTheme="minorEastAsia"/>
          <w:kern w:val="0"/>
          <w:sz w:val="24"/>
          <w:szCs w:val="24"/>
        </w:rPr>
      </w:pPr>
      <w:r>
        <w:rPr>
          <w:rFonts w:hint="eastAsia" w:cs="宋体"/>
          <w:sz w:val="24"/>
          <w:szCs w:val="24"/>
        </w:rPr>
        <w:t>本基金的基金管理人代表本基金的基金份额持有人提议召开或召集目标ETF的基金份额持有人大会的，须先遵照本基金基金合同的约定召开本基金的基金份额持有人大会，本基金的基金份额持有人大会决定提议召开或召集目标ETF的基金份额持有人大会的，由本基金基金管理人代表本基金的基金份额持有人提议召开或召集目标ETF的基金份额持有人大会。</w:t>
      </w:r>
    </w:p>
    <w:p w14:paraId="2DFCB35C">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十一）本部分关于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w:t>
      </w:r>
    </w:p>
    <w:p w14:paraId="13BE9357">
      <w:pPr>
        <w:spacing w:line="360" w:lineRule="auto"/>
        <w:ind w:firstLine="482" w:firstLineChars="200"/>
        <w:rPr>
          <w:rFonts w:ascii="Times New Roman" w:hAnsi="Times New Roman" w:eastAsia="宋体" w:cs="Times New Roman"/>
          <w:b/>
          <w:sz w:val="24"/>
          <w:szCs w:val="20"/>
        </w:rPr>
      </w:pPr>
      <w:r>
        <w:rPr>
          <w:rFonts w:hint="eastAsia" w:ascii="Times New Roman" w:hAnsi="Times New Roman" w:eastAsia="宋体" w:cs="Times New Roman"/>
          <w:b/>
          <w:sz w:val="24"/>
          <w:szCs w:val="20"/>
        </w:rPr>
        <w:t>三、基金收益分配原则、执行方式</w:t>
      </w:r>
    </w:p>
    <w:p w14:paraId="42258CB1">
      <w:pPr>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（一）基金利润的构成</w:t>
      </w:r>
    </w:p>
    <w:p w14:paraId="50F3D83A">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基金利润指基金利息收入、投资收益、公允价值变动收益和其他收入扣除相关费用后的余额，基金已实现收益指基金利润减去公允价值变动收益后的余额。</w:t>
      </w:r>
    </w:p>
    <w:p w14:paraId="1135CE34">
      <w:pPr>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（二）基金可供分配利润</w:t>
      </w:r>
    </w:p>
    <w:p w14:paraId="1C8D5C23">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基金可供分配利润指截至收益分配基准日基金未分配利润与未分配利润中已实现收益的孰低数。</w:t>
      </w:r>
    </w:p>
    <w:p w14:paraId="54E97E8D">
      <w:pPr>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（三）基金收益分配原则</w:t>
      </w:r>
    </w:p>
    <w:p w14:paraId="3A59E385">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1、由于本基金A类基金份额不收取销售服务费，而C类基金份额收取销售服务费，各基金份额类别对应的可供分配利润将有所不同，本基金同一类别的每一基金份额享有同等分配权；</w:t>
      </w:r>
    </w:p>
    <w:p w14:paraId="5BC5F0BF">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2、本基金收益分配方式分两种：现金分红与红利再投资，投资者可选择现金红利或将现金红利自动转为相应类别的基金份额进行再投资，且基金份额持有人可对A类、C类基金份额分别选择不同的分红方式；若投资者不选择，本基金默认的收益分配方式是现金分红；</w:t>
      </w:r>
    </w:p>
    <w:p w14:paraId="68867296">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3、基金收益分配后各类基金份额净值不能低于面值，即基金收益分配基准日的各类基金份额净值减去每单位该类基金份额收益分配金额后不能低于面值；</w:t>
      </w:r>
    </w:p>
    <w:p w14:paraId="0FD98B74">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4、法律法规或监管机关另有规定的，从其规定。</w:t>
      </w:r>
    </w:p>
    <w:p w14:paraId="3D0E3197">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在</w:t>
      </w:r>
      <w:r>
        <w:rPr>
          <w:rFonts w:cs="宋体" w:asciiTheme="minorEastAsia" w:hAnsiTheme="minorEastAsia"/>
          <w:kern w:val="0"/>
          <w:sz w:val="24"/>
          <w:szCs w:val="24"/>
        </w:rPr>
        <w:t>不违反</w:t>
      </w:r>
      <w:r>
        <w:rPr>
          <w:rFonts w:hint="eastAsia" w:cs="宋体" w:asciiTheme="minorEastAsia" w:hAnsiTheme="minorEastAsia"/>
          <w:kern w:val="0"/>
          <w:sz w:val="24"/>
          <w:szCs w:val="24"/>
        </w:rPr>
        <w:t>法律法规及基金合同约定，并对基金份额持有人利益无实质不利影响的前提下，基金管理人经与基金托管人协商一致后可对基金收益分配原则和支付方式进行调整，不需召开基金份额持有人大会。</w:t>
      </w:r>
    </w:p>
    <w:p w14:paraId="74EF0C50">
      <w:pPr>
        <w:spacing w:line="360" w:lineRule="auto"/>
        <w:ind w:firstLine="482" w:firstLineChars="200"/>
        <w:rPr>
          <w:rFonts w:ascii="Times New Roman" w:hAnsi="Times New Roman" w:eastAsia="宋体" w:cs="Times New Roman"/>
          <w:b/>
          <w:sz w:val="24"/>
          <w:szCs w:val="20"/>
        </w:rPr>
      </w:pPr>
      <w:r>
        <w:rPr>
          <w:rFonts w:hint="eastAsia" w:ascii="Times New Roman" w:hAnsi="Times New Roman" w:eastAsia="宋体" w:cs="Times New Roman"/>
          <w:b/>
          <w:sz w:val="24"/>
          <w:szCs w:val="20"/>
        </w:rPr>
        <w:t>四、与基金财产管理、运作有关费用的提取、支付方式与比例</w:t>
      </w:r>
    </w:p>
    <w:p w14:paraId="1611506C">
      <w:pPr>
        <w:spacing w:line="360" w:lineRule="auto"/>
        <w:ind w:firstLine="480" w:firstLineChars="200"/>
        <w:rPr>
          <w:rFonts w:ascii="Times New Roman" w:hAnsi="Times New Roman" w:eastAsia="宋体" w:cs="Times New Roman"/>
          <w:bCs/>
          <w:sz w:val="24"/>
          <w:szCs w:val="20"/>
        </w:rPr>
      </w:pPr>
      <w:bookmarkStart w:id="56" w:name="_Hlk92371350"/>
      <w:r>
        <w:rPr>
          <w:rFonts w:hint="eastAsia" w:ascii="Times New Roman" w:hAnsi="Times New Roman" w:eastAsia="宋体" w:cs="Times New Roman"/>
          <w:bCs/>
          <w:sz w:val="24"/>
          <w:szCs w:val="20"/>
        </w:rPr>
        <w:t>（一）基金费用的种类</w:t>
      </w:r>
    </w:p>
    <w:p w14:paraId="3DDEAEFF">
      <w:pPr>
        <w:tabs>
          <w:tab w:val="left" w:pos="8080"/>
        </w:tabs>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1、基金管理人的管理费；</w:t>
      </w:r>
    </w:p>
    <w:p w14:paraId="6B28D474">
      <w:pPr>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2、基金托管人的托管费；</w:t>
      </w:r>
    </w:p>
    <w:p w14:paraId="4F403A08">
      <w:pPr>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3</w:t>
      </w:r>
      <w:r>
        <w:rPr>
          <w:rFonts w:hint="eastAsia" w:ascii="Times New Roman" w:hAnsi="Times New Roman" w:eastAsia="宋体" w:cs="Times New Roman"/>
          <w:bCs/>
          <w:sz w:val="24"/>
          <w:szCs w:val="20"/>
        </w:rPr>
        <w:t>、C类基金份额的销售服务费；</w:t>
      </w:r>
    </w:p>
    <w:p w14:paraId="1E971910">
      <w:pPr>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4、基金合同生效后与基金相关的信息披露费用</w:t>
      </w:r>
      <w:r>
        <w:rPr>
          <w:rFonts w:hint="eastAsia" w:ascii="Times New Roman" w:hAnsi="Times New Roman" w:eastAsia="宋体" w:cs="Times New Roman"/>
          <w:bCs/>
          <w:sz w:val="24"/>
          <w:szCs w:val="20"/>
        </w:rPr>
        <w:t>，法律法规、中国证监会另有规定的除外</w:t>
      </w:r>
      <w:r>
        <w:rPr>
          <w:rFonts w:ascii="Times New Roman" w:hAnsi="Times New Roman" w:eastAsia="宋体" w:cs="Times New Roman"/>
          <w:bCs/>
          <w:sz w:val="24"/>
          <w:szCs w:val="20"/>
        </w:rPr>
        <w:t>；</w:t>
      </w:r>
    </w:p>
    <w:p w14:paraId="79C493BF">
      <w:pPr>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5、基金合同生效后与基金相关的会计师费、律师费</w:t>
      </w:r>
      <w:r>
        <w:rPr>
          <w:rFonts w:hint="eastAsia" w:ascii="Times New Roman" w:hAnsi="Times New Roman" w:eastAsia="宋体" w:cs="Times New Roman"/>
          <w:bCs/>
          <w:sz w:val="24"/>
          <w:szCs w:val="20"/>
        </w:rPr>
        <w:t>、</w:t>
      </w:r>
      <w:r>
        <w:rPr>
          <w:rFonts w:ascii="Times New Roman" w:hAnsi="Times New Roman" w:eastAsia="宋体" w:cs="Times New Roman"/>
          <w:bCs/>
          <w:sz w:val="24"/>
          <w:szCs w:val="20"/>
        </w:rPr>
        <w:t>诉讼费</w:t>
      </w:r>
      <w:r>
        <w:rPr>
          <w:rFonts w:hint="eastAsia" w:ascii="Times New Roman" w:hAnsi="Times New Roman" w:eastAsia="宋体" w:cs="Times New Roman"/>
          <w:bCs/>
          <w:sz w:val="24"/>
          <w:szCs w:val="20"/>
        </w:rPr>
        <w:t>和仲裁费</w:t>
      </w:r>
      <w:r>
        <w:rPr>
          <w:rFonts w:ascii="Times New Roman" w:hAnsi="Times New Roman" w:eastAsia="宋体" w:cs="Times New Roman"/>
          <w:bCs/>
          <w:sz w:val="24"/>
          <w:szCs w:val="20"/>
        </w:rPr>
        <w:t>；</w:t>
      </w:r>
    </w:p>
    <w:p w14:paraId="0CA3412C">
      <w:pPr>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6、基金份额持有人大会费用；</w:t>
      </w:r>
    </w:p>
    <w:p w14:paraId="040DC6DC">
      <w:pPr>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7、基金的证券</w:t>
      </w:r>
      <w:r>
        <w:rPr>
          <w:rFonts w:hint="eastAsia" w:ascii="Times New Roman" w:hAnsi="Times New Roman" w:eastAsia="宋体" w:cs="Times New Roman"/>
          <w:bCs/>
          <w:sz w:val="24"/>
          <w:szCs w:val="20"/>
        </w:rPr>
        <w:t>、期货、期权</w:t>
      </w:r>
      <w:r>
        <w:rPr>
          <w:rFonts w:ascii="Times New Roman" w:hAnsi="Times New Roman" w:eastAsia="宋体" w:cs="Times New Roman"/>
          <w:bCs/>
          <w:sz w:val="24"/>
          <w:szCs w:val="20"/>
        </w:rPr>
        <w:t>交易费用；</w:t>
      </w:r>
    </w:p>
    <w:p w14:paraId="46620BEF">
      <w:pPr>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8、基金的银行汇划费用；</w:t>
      </w:r>
    </w:p>
    <w:p w14:paraId="69488B83">
      <w:pPr>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9</w:t>
      </w:r>
      <w:r>
        <w:rPr>
          <w:rFonts w:hint="eastAsia" w:ascii="Times New Roman" w:hAnsi="Times New Roman" w:eastAsia="宋体" w:cs="Times New Roman"/>
          <w:bCs/>
          <w:sz w:val="24"/>
          <w:szCs w:val="20"/>
        </w:rPr>
        <w:t>、账户开户费用、账户维护费用；</w:t>
      </w:r>
    </w:p>
    <w:p w14:paraId="2366752B">
      <w:pPr>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10</w:t>
      </w:r>
      <w:r>
        <w:rPr>
          <w:rFonts w:hint="eastAsia" w:ascii="Times New Roman" w:hAnsi="Times New Roman" w:eastAsia="宋体" w:cs="Times New Roman"/>
          <w:bCs/>
          <w:sz w:val="24"/>
          <w:szCs w:val="20"/>
        </w:rPr>
        <w:t>、因投资港股通标的股票而产生的各项合理费用；</w:t>
      </w:r>
    </w:p>
    <w:p w14:paraId="5A30C5C7">
      <w:pPr>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1</w:t>
      </w:r>
      <w:r>
        <w:rPr>
          <w:rFonts w:hint="eastAsia" w:ascii="Times New Roman" w:hAnsi="Times New Roman" w:eastAsia="宋体" w:cs="Times New Roman"/>
          <w:bCs/>
          <w:sz w:val="24"/>
          <w:szCs w:val="20"/>
          <w:lang w:val="en-US" w:eastAsia="zh-CN"/>
        </w:rPr>
        <w:t>1</w:t>
      </w:r>
      <w:r>
        <w:rPr>
          <w:rFonts w:hint="eastAsia" w:ascii="Times New Roman" w:hAnsi="Times New Roman" w:eastAsia="宋体" w:cs="Times New Roman"/>
          <w:bCs/>
          <w:sz w:val="24"/>
          <w:szCs w:val="20"/>
        </w:rPr>
        <w:t>、基金投资目标ETF的相关费用；</w:t>
      </w:r>
    </w:p>
    <w:p w14:paraId="22FB7E18">
      <w:pPr>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1</w:t>
      </w:r>
      <w:r>
        <w:rPr>
          <w:rFonts w:hint="eastAsia" w:ascii="Times New Roman" w:hAnsi="Times New Roman" w:eastAsia="宋体" w:cs="Times New Roman"/>
          <w:bCs/>
          <w:sz w:val="24"/>
          <w:szCs w:val="20"/>
        </w:rPr>
        <w:t>2、</w:t>
      </w:r>
      <w:r>
        <w:rPr>
          <w:rFonts w:ascii="Times New Roman" w:hAnsi="Times New Roman" w:eastAsia="宋体" w:cs="Times New Roman"/>
          <w:bCs/>
          <w:sz w:val="24"/>
          <w:szCs w:val="20"/>
        </w:rPr>
        <w:t>按照国家有关规定和基金合同约定，可以在基金财产中列支的其他费用。</w:t>
      </w:r>
    </w:p>
    <w:p w14:paraId="21BD1935">
      <w:pPr>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（二）基金费用计提方法、计提标准和支付方式</w:t>
      </w:r>
    </w:p>
    <w:p w14:paraId="28F4C5C5">
      <w:pPr>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 xml:space="preserve">1、基金管理人的管理费 </w:t>
      </w:r>
    </w:p>
    <w:p w14:paraId="6F437881">
      <w:pPr>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本基金的管理费按前一日基金资产净值的0.50%年费率计提。管理费的计算方法如下：</w:t>
      </w:r>
    </w:p>
    <w:p w14:paraId="096B7490">
      <w:pPr>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H＝E×0.50%÷当年天数</w:t>
      </w:r>
    </w:p>
    <w:p w14:paraId="53BF8EFC">
      <w:pPr>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H为每日应计提的基金管理费</w:t>
      </w:r>
    </w:p>
    <w:p w14:paraId="35C365E2">
      <w:pPr>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E为前一日的基金资产净值</w:t>
      </w:r>
    </w:p>
    <w:p w14:paraId="0F224C09">
      <w:pPr>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基金管理人对本基金投资组合中投资于目标ETF部分的基金资产净值不计提基金管理费。</w:t>
      </w:r>
    </w:p>
    <w:p w14:paraId="31CBC00D">
      <w:pPr>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前一日的基金资产净值为已扣除本基金投资于目标ETF部分基金资产净值后的净额，金额为负时以零计。</w:t>
      </w:r>
    </w:p>
    <w:p w14:paraId="23D4DB2B">
      <w:pPr>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基金管理费每日计</w:t>
      </w:r>
      <w:r>
        <w:rPr>
          <w:rFonts w:ascii="Times New Roman" w:hAnsi="Times New Roman" w:eastAsia="宋体" w:cs="Times New Roman"/>
          <w:bCs/>
          <w:sz w:val="24"/>
          <w:szCs w:val="20"/>
        </w:rPr>
        <w:t>提</w:t>
      </w:r>
      <w:r>
        <w:rPr>
          <w:rFonts w:hint="eastAsia" w:ascii="Times New Roman" w:hAnsi="Times New Roman" w:eastAsia="宋体" w:cs="Times New Roman"/>
          <w:bCs/>
          <w:sz w:val="24"/>
          <w:szCs w:val="20"/>
        </w:rPr>
        <w:t>，逐日累计至每月月末，按月支付。由基金托管人根据与基金管理人核对一致的财务数据，按照基金托管人与基金管理人协商一致的方式在月初3个工作日内、按照指定的账户路径进行资金支付。若遇法定节假日、公休</w:t>
      </w:r>
      <w:r>
        <w:rPr>
          <w:rFonts w:ascii="Times New Roman" w:hAnsi="Times New Roman" w:eastAsia="宋体" w:cs="Times New Roman"/>
          <w:bCs/>
          <w:sz w:val="24"/>
          <w:szCs w:val="20"/>
        </w:rPr>
        <w:t>日</w:t>
      </w:r>
      <w:r>
        <w:rPr>
          <w:rFonts w:hint="eastAsia" w:ascii="Times New Roman" w:hAnsi="Times New Roman" w:eastAsia="宋体" w:cs="Times New Roman"/>
          <w:bCs/>
          <w:sz w:val="24"/>
          <w:szCs w:val="20"/>
        </w:rPr>
        <w:t>或不可抗力等致使无法按时支付的，支付日期顺延。</w:t>
      </w:r>
    </w:p>
    <w:p w14:paraId="655DC0C5">
      <w:pPr>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2、基金托管人的托管费</w:t>
      </w:r>
    </w:p>
    <w:p w14:paraId="3E1DECA5">
      <w:pPr>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本基金的托管费按前一日基金资产净值的0.</w:t>
      </w:r>
      <w:r>
        <w:rPr>
          <w:rFonts w:ascii="Times New Roman" w:hAnsi="Times New Roman" w:eastAsia="宋体" w:cs="Times New Roman"/>
          <w:bCs/>
          <w:sz w:val="24"/>
          <w:szCs w:val="20"/>
        </w:rPr>
        <w:t>10</w:t>
      </w:r>
      <w:r>
        <w:rPr>
          <w:rFonts w:hint="eastAsia" w:ascii="Times New Roman" w:hAnsi="Times New Roman" w:eastAsia="宋体" w:cs="Times New Roman"/>
          <w:bCs/>
          <w:sz w:val="24"/>
          <w:szCs w:val="20"/>
        </w:rPr>
        <w:t>%年费率计提。托管费的计算方法如下：</w:t>
      </w:r>
    </w:p>
    <w:p w14:paraId="330B2E41">
      <w:pPr>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H＝E×0.</w:t>
      </w:r>
      <w:r>
        <w:rPr>
          <w:rFonts w:ascii="Times New Roman" w:hAnsi="Times New Roman" w:eastAsia="宋体" w:cs="Times New Roman"/>
          <w:bCs/>
          <w:sz w:val="24"/>
          <w:szCs w:val="20"/>
        </w:rPr>
        <w:t>10</w:t>
      </w:r>
      <w:r>
        <w:rPr>
          <w:rFonts w:hint="eastAsia" w:ascii="Times New Roman" w:hAnsi="Times New Roman" w:eastAsia="宋体" w:cs="Times New Roman"/>
          <w:bCs/>
          <w:sz w:val="24"/>
          <w:szCs w:val="20"/>
        </w:rPr>
        <w:t>%÷当年天数</w:t>
      </w:r>
    </w:p>
    <w:p w14:paraId="5DBAFF39">
      <w:pPr>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H为每日应计提的基金托管费</w:t>
      </w:r>
    </w:p>
    <w:p w14:paraId="0BC1DD90">
      <w:pPr>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E为前一日的基金资产净值</w:t>
      </w:r>
    </w:p>
    <w:p w14:paraId="4BCFDCF1">
      <w:pPr>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基金托管人对本基金投资组合中投资于目标ETF部分的基金资产净值不计提基金托管费。</w:t>
      </w:r>
    </w:p>
    <w:p w14:paraId="005BD814">
      <w:pPr>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前一日的基金资产净值为已扣除本基金投资于目标ETF部分基金资产净值后的净额，金额为负时以零计。</w:t>
      </w:r>
    </w:p>
    <w:p w14:paraId="62CFF433">
      <w:pPr>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基金托管费每日计提，逐日累计至每月月末，按月支付。由基金托管人根据与基金管理人核对一致的财务数据，按照基金托管人与基金管理人协商一致的方式在月初3个工作日内、按照指定的账户路径进行资金支付。若遇法定节假日、公休</w:t>
      </w:r>
      <w:r>
        <w:rPr>
          <w:rFonts w:ascii="Times New Roman" w:hAnsi="Times New Roman" w:eastAsia="宋体" w:cs="Times New Roman"/>
          <w:bCs/>
          <w:sz w:val="24"/>
          <w:szCs w:val="20"/>
        </w:rPr>
        <w:t>日</w:t>
      </w:r>
      <w:r>
        <w:rPr>
          <w:rFonts w:hint="eastAsia" w:ascii="Times New Roman" w:hAnsi="Times New Roman" w:eastAsia="宋体" w:cs="Times New Roman"/>
          <w:bCs/>
          <w:sz w:val="24"/>
          <w:szCs w:val="20"/>
        </w:rPr>
        <w:t>或不可抗力等致使无法按时支付的，支付日期顺延。</w:t>
      </w:r>
    </w:p>
    <w:p w14:paraId="5092B633">
      <w:pPr>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3、C类份额的销售服务费</w:t>
      </w:r>
    </w:p>
    <w:p w14:paraId="29E5C26D">
      <w:pPr>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本基金A类基金份额不收取销售服务费，C类基金份额的销售服务费年费率为0.30%。</w:t>
      </w:r>
    </w:p>
    <w:p w14:paraId="5A70B91B">
      <w:pPr>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 xml:space="preserve">本基金销售服务费按前一日C类基金资产净值的0.30%年费率计提。计算方法如下： </w:t>
      </w:r>
    </w:p>
    <w:p w14:paraId="489B7F63">
      <w:pPr>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H＝E×0</w:t>
      </w:r>
      <w:r>
        <w:rPr>
          <w:rFonts w:ascii="Times New Roman" w:hAnsi="Times New Roman" w:eastAsia="宋体" w:cs="Times New Roman"/>
          <w:bCs/>
          <w:sz w:val="24"/>
          <w:szCs w:val="20"/>
        </w:rPr>
        <w:t>.30%</w:t>
      </w:r>
      <w:r>
        <w:rPr>
          <w:rFonts w:hint="eastAsia" w:ascii="Times New Roman" w:hAnsi="Times New Roman" w:eastAsia="宋体" w:cs="Times New Roman"/>
          <w:bCs/>
          <w:sz w:val="24"/>
          <w:szCs w:val="20"/>
        </w:rPr>
        <w:t xml:space="preserve">÷当年天数 </w:t>
      </w:r>
    </w:p>
    <w:p w14:paraId="64951449">
      <w:pPr>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H为C类基金份额每日应计提的销售服务费</w:t>
      </w:r>
    </w:p>
    <w:p w14:paraId="2D042C04">
      <w:pPr>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E为C类基金份额前一日基金资产净值</w:t>
      </w:r>
    </w:p>
    <w:p w14:paraId="5965C4F7">
      <w:pPr>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基金销售服务费每日计提，逐日累计至每月月末，按月支付。由基金托管人根据与基金管理人核对一致的财务数据，按照基金托管人与基金管理人协商一致的方式在月初3个工作日内、按照指定的账户路径进行资金支付，由登记机构代付给销售机构。若遇法定节假日、公休</w:t>
      </w:r>
      <w:r>
        <w:rPr>
          <w:rFonts w:ascii="Times New Roman" w:hAnsi="Times New Roman" w:eastAsia="宋体" w:cs="Times New Roman"/>
          <w:bCs/>
          <w:sz w:val="24"/>
          <w:szCs w:val="20"/>
        </w:rPr>
        <w:t>日</w:t>
      </w:r>
      <w:r>
        <w:rPr>
          <w:rFonts w:hint="eastAsia" w:ascii="Times New Roman" w:hAnsi="Times New Roman" w:eastAsia="宋体" w:cs="Times New Roman"/>
          <w:bCs/>
          <w:sz w:val="24"/>
          <w:szCs w:val="20"/>
        </w:rPr>
        <w:t>或不可抗力等致使无法按时支付的，支付日期顺延。</w:t>
      </w:r>
    </w:p>
    <w:p w14:paraId="4B24C449">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上述“（一）基金费用的种类”中第</w:t>
      </w:r>
      <w:r>
        <w:rPr>
          <w:rFonts w:cs="宋体" w:asciiTheme="minorEastAsia" w:hAnsiTheme="minorEastAsia"/>
          <w:kern w:val="0"/>
          <w:sz w:val="24"/>
          <w:szCs w:val="24"/>
        </w:rPr>
        <w:t>4</w:t>
      </w:r>
      <w:r>
        <w:rPr>
          <w:rFonts w:hint="eastAsia" w:cs="宋体" w:asciiTheme="minorEastAsia" w:hAnsiTheme="minorEastAsia"/>
          <w:kern w:val="0"/>
          <w:sz w:val="24"/>
          <w:szCs w:val="24"/>
        </w:rPr>
        <w:t>－1</w:t>
      </w:r>
      <w:r>
        <w:rPr>
          <w:rFonts w:hint="eastAsia" w:cs="宋体" w:asciiTheme="minorEastAsia" w:hAnsiTheme="minorEastAsia"/>
          <w:kern w:val="0"/>
          <w:sz w:val="24"/>
          <w:szCs w:val="24"/>
          <w:lang w:val="en-US" w:eastAsia="zh-CN"/>
        </w:rPr>
        <w:t>2</w:t>
      </w:r>
      <w:r>
        <w:rPr>
          <w:rFonts w:hint="eastAsia" w:cs="宋体" w:asciiTheme="minorEastAsia" w:hAnsiTheme="minorEastAsia"/>
          <w:kern w:val="0"/>
          <w:sz w:val="24"/>
          <w:szCs w:val="24"/>
        </w:rPr>
        <w:t>项费用，根据有关法规及相应协议规定，按费用实际支出金额列入当期费用，由基金托管人从基金财产中支付。</w:t>
      </w:r>
    </w:p>
    <w:bookmarkEnd w:id="56"/>
    <w:p w14:paraId="6FBFA4D7">
      <w:pPr>
        <w:spacing w:line="360" w:lineRule="auto"/>
        <w:ind w:firstLine="482" w:firstLineChars="200"/>
        <w:rPr>
          <w:rFonts w:ascii="Times New Roman" w:hAnsi="Times New Roman" w:eastAsia="宋体" w:cs="Times New Roman"/>
          <w:bCs/>
          <w:sz w:val="24"/>
          <w:szCs w:val="20"/>
        </w:rPr>
      </w:pPr>
      <w:r>
        <w:rPr>
          <w:rFonts w:hint="eastAsia" w:ascii="Times New Roman" w:hAnsi="Times New Roman" w:eastAsia="宋体" w:cs="Times New Roman"/>
          <w:b/>
          <w:bCs/>
          <w:sz w:val="24"/>
          <w:szCs w:val="20"/>
        </w:rPr>
        <w:t>五、基金财产的投资方向和投资限制</w:t>
      </w:r>
    </w:p>
    <w:p w14:paraId="703E69D8">
      <w:pPr>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（一）投资范围</w:t>
      </w:r>
    </w:p>
    <w:p w14:paraId="5D0AF3CC">
      <w:pPr>
        <w:adjustRightInd w:val="0"/>
        <w:snapToGrid w:val="0"/>
        <w:spacing w:line="360" w:lineRule="auto"/>
        <w:ind w:firstLine="480" w:firstLineChars="200"/>
        <w:rPr>
          <w:rFonts w:ascii="Arial" w:hAnsi="Arial" w:eastAsia="宋体" w:cs="Arial"/>
          <w:sz w:val="24"/>
          <w:szCs w:val="24"/>
        </w:rPr>
      </w:pPr>
      <w:r>
        <w:rPr>
          <w:rFonts w:hint="eastAsia" w:ascii="Arial" w:hAnsi="Arial" w:eastAsia="宋体" w:cs="Arial"/>
          <w:sz w:val="24"/>
          <w:szCs w:val="24"/>
        </w:rPr>
        <w:t>本基金主要投资于目标ETF、标的指数成份股和备选成份股（含存托凭证）。</w:t>
      </w:r>
    </w:p>
    <w:p w14:paraId="09F1D5B7">
      <w:pPr>
        <w:adjustRightInd w:val="0"/>
        <w:snapToGrid w:val="0"/>
        <w:spacing w:line="360" w:lineRule="auto"/>
        <w:ind w:firstLine="480" w:firstLineChars="200"/>
        <w:rPr>
          <w:rFonts w:ascii="Arial" w:hAnsi="Arial" w:eastAsia="宋体" w:cs="Arial"/>
          <w:sz w:val="24"/>
          <w:szCs w:val="24"/>
        </w:rPr>
      </w:pPr>
      <w:r>
        <w:rPr>
          <w:rFonts w:hint="eastAsia" w:ascii="Arial" w:hAnsi="Arial" w:eastAsia="宋体" w:cs="Arial"/>
          <w:sz w:val="24"/>
          <w:szCs w:val="24"/>
        </w:rPr>
        <w:t>为更好地实现基金的投资目标，本基金可能会少量投资于依法发行上市的非成份股（包括创业板及其他经中国证监会核准或注册上市的股票、存托凭证）、港股通标的股票、债券（包括国债、金融债、地方政府债、政府支持机构债券、</w:t>
      </w:r>
      <w:r>
        <w:rPr>
          <w:rFonts w:hint="eastAsia"/>
          <w:bCs/>
          <w:sz w:val="24"/>
        </w:rPr>
        <w:t>政府支持债券、</w:t>
      </w:r>
      <w:r>
        <w:rPr>
          <w:rFonts w:hint="eastAsia" w:ascii="Arial" w:hAnsi="Arial" w:eastAsia="宋体" w:cs="Arial"/>
          <w:sz w:val="24"/>
          <w:szCs w:val="24"/>
        </w:rPr>
        <w:t>企业债、公司债、可转换债券（含分离交易可转债的纯债部分）、可交换债券、央行票据、短期融资券、超短期融资券、中期票据、公开发行的次级债等）、资产支持证券、衍生工具（股指期货、国债期货、股票期权）、债券回购、货币市场工具（包括银行存款、同业存单等）以及法律法规或中国证监会允许基金投资的其他金融工具（但须符合中国证监会的相关规定）。</w:t>
      </w:r>
    </w:p>
    <w:p w14:paraId="1D72267C">
      <w:pPr>
        <w:adjustRightInd w:val="0"/>
        <w:snapToGrid w:val="0"/>
        <w:spacing w:line="360" w:lineRule="auto"/>
        <w:ind w:firstLine="480" w:firstLineChars="200"/>
        <w:rPr>
          <w:rFonts w:ascii="Arial" w:hAnsi="Arial" w:eastAsia="宋体" w:cs="Arial"/>
          <w:sz w:val="24"/>
          <w:szCs w:val="24"/>
        </w:rPr>
      </w:pPr>
      <w:r>
        <w:rPr>
          <w:rFonts w:hint="eastAsia" w:ascii="Arial" w:hAnsi="Arial" w:eastAsia="宋体" w:cs="Arial"/>
          <w:sz w:val="24"/>
          <w:szCs w:val="24"/>
        </w:rPr>
        <w:t>本基金将根据法律法规的规定参与融资及转融通证券出借业务。未来在法律法规允许的前提下，本基金可根据相关法律法规规定参与融券业务。</w:t>
      </w:r>
    </w:p>
    <w:p w14:paraId="22E7E507">
      <w:pPr>
        <w:adjustRightInd w:val="0"/>
        <w:snapToGrid w:val="0"/>
        <w:spacing w:line="360" w:lineRule="auto"/>
        <w:ind w:firstLine="480" w:firstLineChars="200"/>
        <w:rPr>
          <w:rFonts w:ascii="Arial" w:hAnsi="Arial" w:eastAsia="宋体" w:cs="Arial"/>
          <w:sz w:val="24"/>
          <w:szCs w:val="24"/>
        </w:rPr>
      </w:pPr>
      <w:r>
        <w:rPr>
          <w:rFonts w:hint="eastAsia" w:ascii="Arial" w:hAnsi="Arial" w:eastAsia="宋体" w:cs="Arial"/>
          <w:sz w:val="24"/>
          <w:szCs w:val="24"/>
        </w:rPr>
        <w:t>本基金根据相关法律法规或中国证监会要求履行相关手续后，还可以投资于法律法规或中国证监会未来允许基金投资的其他金融工具。</w:t>
      </w:r>
    </w:p>
    <w:p w14:paraId="10D0BF0E">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本基金投资于目标ETF的资产比例不低于基金资产净值的90%，</w:t>
      </w:r>
      <w:r>
        <w:rPr>
          <w:rFonts w:hint="eastAsia" w:ascii="宋体" w:hAnsi="Times New Roman" w:cs="宋体"/>
          <w:sz w:val="24"/>
          <w:szCs w:val="24"/>
        </w:rPr>
        <w:t>且</w:t>
      </w:r>
      <w:r>
        <w:rPr>
          <w:rFonts w:hint="eastAsia" w:ascii="宋体" w:hAnsi="Times New Roman" w:eastAsia="宋体" w:cs="宋体"/>
          <w:kern w:val="0"/>
          <w:sz w:val="24"/>
          <w:szCs w:val="24"/>
        </w:rPr>
        <w:t>不低于非现金基金资产的80%，投资港股通标的股票的比例不超过本基金股票资产的10%；每个交易日日终在扣除股指期货、股票期权和国债期货合约需缴纳的交易保证金后，保持不低于基金资产净值5%的现金或者到期日在一年以内的政府债券，其中现金不包括结算备付金、存出保证金和应收申购款等；股指期货、股票期权、国债期货及其他金融工具的投资比例依照法律法规或监管机构的规定执行。</w:t>
      </w:r>
    </w:p>
    <w:p w14:paraId="7CA63DE5">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若法律法规的相关规定发生变更或监管机构允许，本基金管理人在履行适当程序后，可对上述资产配置比例进行调整。</w:t>
      </w:r>
    </w:p>
    <w:p w14:paraId="1C8535DC">
      <w:pPr>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（二）投资限制</w:t>
      </w:r>
    </w:p>
    <w:p w14:paraId="3722602F">
      <w:pPr>
        <w:adjustRightInd w:val="0"/>
        <w:snapToGrid w:val="0"/>
        <w:spacing w:line="360" w:lineRule="auto"/>
        <w:ind w:firstLine="422" w:firstLineChars="176"/>
        <w:rPr>
          <w:rFonts w:ascii="宋体" w:hAnsi="Times New Roman" w:eastAsia="宋体" w:cs="宋体"/>
          <w:kern w:val="0"/>
          <w:sz w:val="24"/>
          <w:szCs w:val="24"/>
        </w:rPr>
      </w:pPr>
      <w:r>
        <w:rPr>
          <w:rFonts w:ascii="宋体" w:hAnsi="Times New Roman" w:eastAsia="宋体" w:cs="宋体"/>
          <w:kern w:val="0"/>
          <w:sz w:val="24"/>
          <w:szCs w:val="24"/>
        </w:rPr>
        <w:t>1</w:t>
      </w:r>
      <w:r>
        <w:rPr>
          <w:rFonts w:hint="eastAsia" w:ascii="宋体" w:hAnsi="Times New Roman" w:eastAsia="宋体" w:cs="宋体"/>
          <w:kern w:val="0"/>
          <w:sz w:val="24"/>
          <w:szCs w:val="24"/>
        </w:rPr>
        <w:t>、组合限制</w:t>
      </w:r>
    </w:p>
    <w:p w14:paraId="13B4EFB8">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基金的投资组合应遵循以下限制：</w:t>
      </w:r>
    </w:p>
    <w:p w14:paraId="1EB3C448">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w:t>
      </w:r>
      <w:r>
        <w:rPr>
          <w:rFonts w:ascii="宋体" w:hAnsi="Times New Roman" w:eastAsia="宋体" w:cs="宋体"/>
          <w:kern w:val="0"/>
          <w:sz w:val="24"/>
          <w:szCs w:val="24"/>
        </w:rPr>
        <w:t>1</w:t>
      </w:r>
      <w:r>
        <w:rPr>
          <w:rFonts w:hint="eastAsia" w:ascii="宋体" w:hAnsi="Times New Roman" w:eastAsia="宋体" w:cs="宋体"/>
          <w:kern w:val="0"/>
          <w:sz w:val="24"/>
          <w:szCs w:val="24"/>
        </w:rPr>
        <w:t>）本基金投资于目标ETF的资产比例不低于基金资产净值的90%，且不低于非现金基金资产的80%，投资港股通标的股票的比例不超过本基金股票资产的10%；</w:t>
      </w:r>
    </w:p>
    <w:p w14:paraId="13417A75">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w:t>
      </w:r>
      <w:r>
        <w:rPr>
          <w:rFonts w:ascii="宋体" w:hAnsi="Times New Roman" w:eastAsia="宋体" w:cs="宋体"/>
          <w:kern w:val="0"/>
          <w:sz w:val="24"/>
          <w:szCs w:val="24"/>
        </w:rPr>
        <w:t>2</w:t>
      </w:r>
      <w:r>
        <w:rPr>
          <w:rFonts w:hint="eastAsia" w:ascii="宋体" w:hAnsi="Times New Roman" w:eastAsia="宋体" w:cs="宋体"/>
          <w:kern w:val="0"/>
          <w:sz w:val="24"/>
          <w:szCs w:val="24"/>
        </w:rPr>
        <w:t>）每个交易日日终在扣除股指期货、股票期权和国债期货合约需缴纳的交易保证金后，保持不低于基金资产净值5%的现金或者到期日在一年以内的政府债券，其中现金不包括结算备付金、存出保证金和应收申购款等；</w:t>
      </w:r>
    </w:p>
    <w:p w14:paraId="352852F2">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w:t>
      </w:r>
      <w:r>
        <w:rPr>
          <w:rFonts w:ascii="宋体" w:hAnsi="Times New Roman" w:eastAsia="宋体" w:cs="宋体"/>
          <w:kern w:val="0"/>
          <w:sz w:val="24"/>
          <w:szCs w:val="24"/>
        </w:rPr>
        <w:t>3</w:t>
      </w:r>
      <w:r>
        <w:rPr>
          <w:rFonts w:hint="eastAsia" w:ascii="宋体" w:hAnsi="Times New Roman" w:eastAsia="宋体" w:cs="宋体"/>
          <w:kern w:val="0"/>
          <w:sz w:val="24"/>
          <w:szCs w:val="24"/>
        </w:rPr>
        <w:t>）本基金持有一家公司发行的证券，其市值（若同时持有一家公司发行的A股和H股，则为A股与H股合计市值）不超过基金资产净值的10%，但完全按照标的指数的构成比例进行投资的部分不受此限制；</w:t>
      </w:r>
    </w:p>
    <w:p w14:paraId="75854F63">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w:t>
      </w:r>
      <w:r>
        <w:rPr>
          <w:rFonts w:ascii="宋体" w:hAnsi="Times New Roman" w:eastAsia="宋体" w:cs="宋体"/>
          <w:kern w:val="0"/>
          <w:sz w:val="24"/>
          <w:szCs w:val="24"/>
        </w:rPr>
        <w:t>4</w:t>
      </w:r>
      <w:r>
        <w:rPr>
          <w:rFonts w:hint="eastAsia" w:ascii="宋体" w:hAnsi="Times New Roman" w:eastAsia="宋体" w:cs="宋体"/>
          <w:kern w:val="0"/>
          <w:sz w:val="24"/>
          <w:szCs w:val="24"/>
        </w:rPr>
        <w:t>）本基金管理人管理的全部基金持有一家公司发行的证券，不超过该证券（若同时持有一家公司发行的A股和H股，则为A股与H股合计市值）的10%，但完全按照标的指数的构成比例进行投资的部分不受此限制；</w:t>
      </w:r>
    </w:p>
    <w:p w14:paraId="7B5E7D30">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w:t>
      </w:r>
      <w:r>
        <w:rPr>
          <w:rFonts w:ascii="宋体" w:hAnsi="Times New Roman" w:eastAsia="宋体" w:cs="宋体"/>
          <w:kern w:val="0"/>
          <w:sz w:val="24"/>
          <w:szCs w:val="24"/>
        </w:rPr>
        <w:t>5</w:t>
      </w:r>
      <w:r>
        <w:rPr>
          <w:rFonts w:hint="eastAsia" w:ascii="宋体" w:hAnsi="Times New Roman" w:eastAsia="宋体" w:cs="宋体"/>
          <w:kern w:val="0"/>
          <w:sz w:val="24"/>
          <w:szCs w:val="24"/>
        </w:rPr>
        <w:t>）本基金资产总值不得超过基金资产净值的140%；</w:t>
      </w:r>
    </w:p>
    <w:p w14:paraId="64809E25">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w:t>
      </w:r>
      <w:r>
        <w:rPr>
          <w:rFonts w:ascii="宋体" w:hAnsi="Times New Roman" w:eastAsia="宋体" w:cs="宋体"/>
          <w:kern w:val="0"/>
          <w:sz w:val="24"/>
          <w:szCs w:val="24"/>
        </w:rPr>
        <w:t>6</w:t>
      </w:r>
      <w:r>
        <w:rPr>
          <w:rFonts w:hint="eastAsia" w:ascii="宋体" w:hAnsi="Times New Roman" w:eastAsia="宋体" w:cs="宋体"/>
          <w:kern w:val="0"/>
          <w:sz w:val="24"/>
          <w:szCs w:val="24"/>
        </w:rPr>
        <w:t>）本基金进入全国银行间同业市场进行债券回购的资金余额不得超过基金资产净值的40%，在全国银行间同业市场中进行的债券回购期限不得超过1年，债券回购到期后不得展期；</w:t>
      </w:r>
    </w:p>
    <w:p w14:paraId="5D12DA0D">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w:t>
      </w:r>
      <w:r>
        <w:rPr>
          <w:rFonts w:ascii="宋体" w:hAnsi="Times New Roman" w:eastAsia="宋体" w:cs="宋体"/>
          <w:kern w:val="0"/>
          <w:sz w:val="24"/>
          <w:szCs w:val="24"/>
        </w:rPr>
        <w:t>7</w:t>
      </w:r>
      <w:r>
        <w:rPr>
          <w:rFonts w:hint="eastAsia" w:ascii="宋体" w:hAnsi="Times New Roman" w:eastAsia="宋体" w:cs="宋体"/>
          <w:kern w:val="0"/>
          <w:sz w:val="24"/>
          <w:szCs w:val="24"/>
        </w:rPr>
        <w:t>）本基金投资于同一原始权益人的各类资产支持证券的比例，不得超过基金资产净值的</w:t>
      </w:r>
      <w:r>
        <w:rPr>
          <w:rFonts w:ascii="宋体" w:hAnsi="Times New Roman" w:eastAsia="宋体" w:cs="宋体"/>
          <w:kern w:val="0"/>
          <w:sz w:val="24"/>
          <w:szCs w:val="24"/>
        </w:rPr>
        <w:t>10%</w:t>
      </w:r>
      <w:r>
        <w:rPr>
          <w:rFonts w:hint="eastAsia" w:ascii="宋体" w:hAnsi="Times New Roman" w:eastAsia="宋体" w:cs="宋体"/>
          <w:kern w:val="0"/>
          <w:sz w:val="24"/>
          <w:szCs w:val="24"/>
        </w:rPr>
        <w:t>；</w:t>
      </w:r>
    </w:p>
    <w:p w14:paraId="33061E0E">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w:t>
      </w:r>
      <w:r>
        <w:rPr>
          <w:rFonts w:ascii="宋体" w:hAnsi="Times New Roman" w:eastAsia="宋体" w:cs="宋体"/>
          <w:kern w:val="0"/>
          <w:sz w:val="24"/>
          <w:szCs w:val="24"/>
        </w:rPr>
        <w:t>8</w:t>
      </w:r>
      <w:r>
        <w:rPr>
          <w:rFonts w:hint="eastAsia" w:ascii="宋体" w:hAnsi="Times New Roman" w:eastAsia="宋体" w:cs="宋体"/>
          <w:kern w:val="0"/>
          <w:sz w:val="24"/>
          <w:szCs w:val="24"/>
        </w:rPr>
        <w:t>）本基金持有的全部资产支持证券，其市值不得超过基金资产净值的</w:t>
      </w:r>
      <w:r>
        <w:rPr>
          <w:rFonts w:ascii="宋体" w:hAnsi="Times New Roman" w:eastAsia="宋体" w:cs="宋体"/>
          <w:kern w:val="0"/>
          <w:sz w:val="24"/>
          <w:szCs w:val="24"/>
        </w:rPr>
        <w:t>20%</w:t>
      </w:r>
      <w:r>
        <w:rPr>
          <w:rFonts w:hint="eastAsia" w:ascii="宋体" w:hAnsi="Times New Roman" w:eastAsia="宋体" w:cs="宋体"/>
          <w:kern w:val="0"/>
          <w:sz w:val="24"/>
          <w:szCs w:val="24"/>
        </w:rPr>
        <w:t>；</w:t>
      </w:r>
    </w:p>
    <w:p w14:paraId="14CA67EF">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w:t>
      </w:r>
      <w:r>
        <w:rPr>
          <w:rFonts w:ascii="宋体" w:hAnsi="Times New Roman" w:eastAsia="宋体" w:cs="宋体"/>
          <w:kern w:val="0"/>
          <w:sz w:val="24"/>
          <w:szCs w:val="24"/>
        </w:rPr>
        <w:t>9</w:t>
      </w:r>
      <w:r>
        <w:rPr>
          <w:rFonts w:hint="eastAsia" w:ascii="宋体" w:hAnsi="Times New Roman" w:eastAsia="宋体" w:cs="宋体"/>
          <w:kern w:val="0"/>
          <w:sz w:val="24"/>
          <w:szCs w:val="24"/>
        </w:rPr>
        <w:t>）本基金持有的同一</w:t>
      </w:r>
      <w:r>
        <w:rPr>
          <w:rFonts w:ascii="宋体" w:hAnsi="Times New Roman" w:eastAsia="宋体" w:cs="宋体"/>
          <w:kern w:val="0"/>
          <w:sz w:val="24"/>
          <w:szCs w:val="24"/>
        </w:rPr>
        <w:t>(</w:t>
      </w:r>
      <w:r>
        <w:rPr>
          <w:rFonts w:hint="eastAsia" w:ascii="宋体" w:hAnsi="Times New Roman" w:eastAsia="宋体" w:cs="宋体"/>
          <w:kern w:val="0"/>
          <w:sz w:val="24"/>
          <w:szCs w:val="24"/>
        </w:rPr>
        <w:t>指同一信用级别</w:t>
      </w:r>
      <w:r>
        <w:rPr>
          <w:rFonts w:ascii="宋体" w:hAnsi="Times New Roman" w:eastAsia="宋体" w:cs="宋体"/>
          <w:kern w:val="0"/>
          <w:sz w:val="24"/>
          <w:szCs w:val="24"/>
        </w:rPr>
        <w:t>)</w:t>
      </w:r>
      <w:r>
        <w:rPr>
          <w:rFonts w:hint="eastAsia" w:ascii="宋体" w:hAnsi="Times New Roman" w:eastAsia="宋体" w:cs="宋体"/>
          <w:kern w:val="0"/>
          <w:sz w:val="24"/>
          <w:szCs w:val="24"/>
        </w:rPr>
        <w:t>资产支持证券的比例，不得超过该资产支持证券规模的</w:t>
      </w:r>
      <w:r>
        <w:rPr>
          <w:rFonts w:ascii="宋体" w:hAnsi="Times New Roman" w:eastAsia="宋体" w:cs="宋体"/>
          <w:kern w:val="0"/>
          <w:sz w:val="24"/>
          <w:szCs w:val="24"/>
        </w:rPr>
        <w:t>10%</w:t>
      </w:r>
      <w:r>
        <w:rPr>
          <w:rFonts w:hint="eastAsia" w:ascii="宋体" w:hAnsi="Times New Roman" w:eastAsia="宋体" w:cs="宋体"/>
          <w:kern w:val="0"/>
          <w:sz w:val="24"/>
          <w:szCs w:val="24"/>
        </w:rPr>
        <w:t>；</w:t>
      </w:r>
    </w:p>
    <w:p w14:paraId="6D80298A">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w:t>
      </w:r>
      <w:r>
        <w:rPr>
          <w:rFonts w:ascii="宋体" w:hAnsi="Times New Roman" w:eastAsia="宋体" w:cs="宋体"/>
          <w:kern w:val="0"/>
          <w:sz w:val="24"/>
          <w:szCs w:val="24"/>
        </w:rPr>
        <w:t>10</w:t>
      </w:r>
      <w:r>
        <w:rPr>
          <w:rFonts w:hint="eastAsia" w:ascii="宋体" w:hAnsi="Times New Roman" w:eastAsia="宋体" w:cs="宋体"/>
          <w:kern w:val="0"/>
          <w:sz w:val="24"/>
          <w:szCs w:val="24"/>
        </w:rPr>
        <w:t>）本基金管理人管理的全部基金投资于同一原始权益人的各类资产支持证券，不得超过其各类资产支持证券合计规模的</w:t>
      </w:r>
      <w:r>
        <w:rPr>
          <w:rFonts w:ascii="宋体" w:hAnsi="Times New Roman" w:eastAsia="宋体" w:cs="宋体"/>
          <w:kern w:val="0"/>
          <w:sz w:val="24"/>
          <w:szCs w:val="24"/>
        </w:rPr>
        <w:t>10%</w:t>
      </w:r>
      <w:r>
        <w:rPr>
          <w:rFonts w:hint="eastAsia" w:ascii="宋体" w:hAnsi="Times New Roman" w:eastAsia="宋体" w:cs="宋体"/>
          <w:kern w:val="0"/>
          <w:sz w:val="24"/>
          <w:szCs w:val="24"/>
        </w:rPr>
        <w:t>；</w:t>
      </w:r>
    </w:p>
    <w:p w14:paraId="21E221F8">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w:t>
      </w:r>
      <w:r>
        <w:rPr>
          <w:rFonts w:ascii="宋体" w:hAnsi="Times New Roman" w:eastAsia="宋体" w:cs="宋体"/>
          <w:kern w:val="0"/>
          <w:sz w:val="24"/>
          <w:szCs w:val="24"/>
        </w:rPr>
        <w:t>11</w:t>
      </w:r>
      <w:r>
        <w:rPr>
          <w:rFonts w:hint="eastAsia" w:ascii="宋体" w:hAnsi="Times New Roman" w:eastAsia="宋体" w:cs="宋体"/>
          <w:kern w:val="0"/>
          <w:sz w:val="24"/>
          <w:szCs w:val="24"/>
        </w:rPr>
        <w:t>）本基金应投资于信用级别评级为</w:t>
      </w:r>
      <w:r>
        <w:rPr>
          <w:rFonts w:ascii="宋体" w:hAnsi="Times New Roman" w:eastAsia="宋体" w:cs="宋体"/>
          <w:kern w:val="0"/>
          <w:sz w:val="24"/>
          <w:szCs w:val="24"/>
        </w:rPr>
        <w:t>BBB</w:t>
      </w:r>
      <w:r>
        <w:rPr>
          <w:rFonts w:hint="eastAsia" w:ascii="宋体" w:hAnsi="Times New Roman" w:eastAsia="宋体" w:cs="宋体"/>
          <w:kern w:val="0"/>
          <w:sz w:val="24"/>
          <w:szCs w:val="24"/>
        </w:rPr>
        <w:t>以上</w:t>
      </w:r>
      <w:r>
        <w:rPr>
          <w:rFonts w:ascii="宋体" w:hAnsi="Times New Roman" w:eastAsia="宋体" w:cs="宋体"/>
          <w:kern w:val="0"/>
          <w:sz w:val="24"/>
          <w:szCs w:val="24"/>
        </w:rPr>
        <w:t>(</w:t>
      </w:r>
      <w:r>
        <w:rPr>
          <w:rFonts w:hint="eastAsia" w:ascii="宋体" w:hAnsi="Times New Roman" w:eastAsia="宋体" w:cs="宋体"/>
          <w:kern w:val="0"/>
          <w:sz w:val="24"/>
          <w:szCs w:val="24"/>
        </w:rPr>
        <w:t>含</w:t>
      </w:r>
      <w:r>
        <w:rPr>
          <w:rFonts w:ascii="宋体" w:hAnsi="Times New Roman" w:eastAsia="宋体" w:cs="宋体"/>
          <w:kern w:val="0"/>
          <w:sz w:val="24"/>
          <w:szCs w:val="24"/>
        </w:rPr>
        <w:t>BBB)</w:t>
      </w:r>
      <w:r>
        <w:rPr>
          <w:rFonts w:hint="eastAsia" w:ascii="宋体" w:hAnsi="Times New Roman" w:eastAsia="宋体" w:cs="宋体"/>
          <w:kern w:val="0"/>
          <w:sz w:val="24"/>
          <w:szCs w:val="24"/>
        </w:rPr>
        <w:t>的资产支持证券。基金持有资产支持证券期间，如果其信用等级下降、不再符合投资标准，应在评级报告发布之日起</w:t>
      </w:r>
      <w:r>
        <w:rPr>
          <w:rFonts w:ascii="宋体" w:hAnsi="Times New Roman" w:eastAsia="宋体" w:cs="宋体"/>
          <w:kern w:val="0"/>
          <w:sz w:val="24"/>
          <w:szCs w:val="24"/>
        </w:rPr>
        <w:t>3</w:t>
      </w:r>
      <w:r>
        <w:rPr>
          <w:rFonts w:hint="eastAsia" w:ascii="宋体" w:hAnsi="Times New Roman" w:eastAsia="宋体" w:cs="宋体"/>
          <w:kern w:val="0"/>
          <w:sz w:val="24"/>
          <w:szCs w:val="24"/>
        </w:rPr>
        <w:t>个月内予以全部卖出；</w:t>
      </w:r>
    </w:p>
    <w:p w14:paraId="3F6AAFE0">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w:t>
      </w:r>
      <w:r>
        <w:rPr>
          <w:rFonts w:ascii="宋体" w:hAnsi="Times New Roman" w:eastAsia="宋体" w:cs="宋体"/>
          <w:kern w:val="0"/>
          <w:sz w:val="24"/>
          <w:szCs w:val="24"/>
        </w:rPr>
        <w:t>12</w:t>
      </w:r>
      <w:r>
        <w:rPr>
          <w:rFonts w:hint="eastAsia" w:ascii="宋体" w:hAnsi="Times New Roman" w:eastAsia="宋体" w:cs="宋体"/>
          <w:kern w:val="0"/>
          <w:sz w:val="24"/>
          <w:szCs w:val="24"/>
        </w:rPr>
        <w:t>）基金财产参与股票发行申购，本基金所申报的金额不超过本基金的总资产，本基金所申报的股票数量不超过拟发行股票公司本次发行股票的总量；</w:t>
      </w:r>
    </w:p>
    <w:p w14:paraId="6721D60C">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w:t>
      </w:r>
      <w:r>
        <w:rPr>
          <w:rFonts w:ascii="宋体" w:hAnsi="Times New Roman" w:eastAsia="宋体" w:cs="宋体"/>
          <w:kern w:val="0"/>
          <w:sz w:val="24"/>
          <w:szCs w:val="24"/>
        </w:rPr>
        <w:t>13</w:t>
      </w:r>
      <w:r>
        <w:rPr>
          <w:rFonts w:hint="eastAsia" w:ascii="宋体" w:hAnsi="Times New Roman" w:eastAsia="宋体" w:cs="宋体"/>
          <w:kern w:val="0"/>
          <w:sz w:val="24"/>
          <w:szCs w:val="24"/>
        </w:rPr>
        <w:t>）本基金参与融资的，在任何交易日日终，本基金融资买入股票与其他有价证券市值之和，不得超过基金资产净值的95%；</w:t>
      </w:r>
    </w:p>
    <w:p w14:paraId="611C3FFD">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w:t>
      </w:r>
      <w:r>
        <w:rPr>
          <w:rFonts w:ascii="宋体" w:hAnsi="Times New Roman" w:eastAsia="宋体" w:cs="宋体"/>
          <w:kern w:val="0"/>
          <w:sz w:val="24"/>
          <w:szCs w:val="24"/>
        </w:rPr>
        <w:t>14</w:t>
      </w:r>
      <w:r>
        <w:rPr>
          <w:rFonts w:hint="eastAsia" w:ascii="宋体" w:hAnsi="Times New Roman" w:eastAsia="宋体" w:cs="宋体"/>
          <w:kern w:val="0"/>
          <w:sz w:val="24"/>
          <w:szCs w:val="24"/>
        </w:rPr>
        <w:t>）本基金投资于股指期货和国债期货，还应遵循如下投资组合限制：</w:t>
      </w:r>
    </w:p>
    <w:p w14:paraId="0CA3057D">
      <w:pPr>
        <w:adjustRightInd w:val="0"/>
        <w:snapToGrid w:val="0"/>
        <w:spacing w:line="360" w:lineRule="auto"/>
        <w:ind w:firstLine="422" w:firstLineChars="176"/>
        <w:rPr>
          <w:rFonts w:ascii="宋体" w:hAnsi="Times New Roman" w:eastAsia="宋体" w:cs="宋体"/>
          <w:kern w:val="0"/>
          <w:sz w:val="24"/>
          <w:szCs w:val="24"/>
        </w:rPr>
      </w:pPr>
      <w:r>
        <w:rPr>
          <w:rFonts w:ascii="宋体" w:hAnsi="Times New Roman" w:eastAsia="宋体" w:cs="宋体"/>
          <w:kern w:val="0"/>
          <w:sz w:val="24"/>
          <w:szCs w:val="24"/>
        </w:rPr>
        <w:t>1</w:t>
      </w:r>
      <w:r>
        <w:rPr>
          <w:rFonts w:hint="eastAsia" w:ascii="宋体" w:hAnsi="Times New Roman" w:eastAsia="宋体" w:cs="宋体"/>
          <w:kern w:val="0"/>
          <w:sz w:val="24"/>
          <w:szCs w:val="24"/>
        </w:rPr>
        <w:t>）在任何交易日日终，本基金持有的买入股指期货合约价值不超过基金资产净值的</w:t>
      </w:r>
      <w:r>
        <w:rPr>
          <w:rFonts w:ascii="宋体" w:hAnsi="Times New Roman" w:eastAsia="宋体" w:cs="宋体"/>
          <w:kern w:val="0"/>
          <w:sz w:val="24"/>
          <w:szCs w:val="24"/>
        </w:rPr>
        <w:t>10%</w:t>
      </w:r>
      <w:r>
        <w:rPr>
          <w:rFonts w:hint="eastAsia" w:ascii="宋体" w:hAnsi="Times New Roman" w:eastAsia="宋体" w:cs="宋体"/>
          <w:kern w:val="0"/>
          <w:sz w:val="24"/>
          <w:szCs w:val="24"/>
        </w:rPr>
        <w:t>；在任何交易日日终，持有的买入国债期货合约价值，不得超过基金资产净值15%；</w:t>
      </w:r>
    </w:p>
    <w:p w14:paraId="5386A944">
      <w:pPr>
        <w:adjustRightInd w:val="0"/>
        <w:snapToGrid w:val="0"/>
        <w:spacing w:line="360" w:lineRule="auto"/>
        <w:ind w:firstLine="422" w:firstLineChars="176"/>
        <w:rPr>
          <w:rFonts w:ascii="宋体" w:hAnsi="Times New Roman" w:eastAsia="宋体" w:cs="宋体"/>
          <w:kern w:val="0"/>
          <w:sz w:val="24"/>
          <w:szCs w:val="24"/>
        </w:rPr>
      </w:pPr>
      <w:r>
        <w:rPr>
          <w:rFonts w:ascii="宋体" w:hAnsi="Times New Roman" w:eastAsia="宋体" w:cs="宋体"/>
          <w:kern w:val="0"/>
          <w:sz w:val="24"/>
          <w:szCs w:val="24"/>
        </w:rPr>
        <w:t>2</w:t>
      </w:r>
      <w:r>
        <w:rPr>
          <w:rFonts w:hint="eastAsia" w:ascii="宋体" w:hAnsi="Times New Roman" w:eastAsia="宋体" w:cs="宋体"/>
          <w:kern w:val="0"/>
          <w:sz w:val="24"/>
          <w:szCs w:val="24"/>
        </w:rPr>
        <w:t>）在任何交易日日终，持有的卖出股指期货合约价值不超过基金持有的股票总市值的</w:t>
      </w:r>
      <w:r>
        <w:rPr>
          <w:rFonts w:ascii="宋体" w:hAnsi="Times New Roman" w:eastAsia="宋体" w:cs="宋体"/>
          <w:kern w:val="0"/>
          <w:sz w:val="24"/>
          <w:szCs w:val="24"/>
        </w:rPr>
        <w:t>20%</w:t>
      </w:r>
      <w:r>
        <w:rPr>
          <w:rFonts w:hint="eastAsia" w:ascii="宋体" w:hAnsi="Times New Roman" w:eastAsia="宋体" w:cs="宋体"/>
          <w:kern w:val="0"/>
          <w:sz w:val="24"/>
          <w:szCs w:val="24"/>
        </w:rPr>
        <w:t>；在任何交易日日终，持有的卖出国债期货合约价值不得超过基金持有的债券总市值的30%；</w:t>
      </w:r>
    </w:p>
    <w:p w14:paraId="1F482FCC">
      <w:pPr>
        <w:adjustRightInd w:val="0"/>
        <w:snapToGrid w:val="0"/>
        <w:spacing w:line="360" w:lineRule="auto"/>
        <w:ind w:firstLine="422" w:firstLineChars="176"/>
        <w:rPr>
          <w:rFonts w:ascii="宋体" w:hAnsi="Times New Roman" w:eastAsia="宋体" w:cs="宋体"/>
          <w:kern w:val="0"/>
          <w:sz w:val="24"/>
          <w:szCs w:val="24"/>
        </w:rPr>
      </w:pPr>
      <w:r>
        <w:rPr>
          <w:rFonts w:ascii="宋体" w:hAnsi="Times New Roman" w:eastAsia="宋体" w:cs="宋体"/>
          <w:kern w:val="0"/>
          <w:sz w:val="24"/>
          <w:szCs w:val="24"/>
        </w:rPr>
        <w:t>3</w:t>
      </w:r>
      <w:r>
        <w:rPr>
          <w:rFonts w:hint="eastAsia" w:ascii="宋体" w:hAnsi="Times New Roman" w:eastAsia="宋体" w:cs="宋体"/>
          <w:kern w:val="0"/>
          <w:sz w:val="24"/>
          <w:szCs w:val="24"/>
        </w:rPr>
        <w:t>）本基金所持有的股票市值和买入、卖出股指期货合约价值，合计（轧差计算）应当符合基金合同关于股票投资比例的有关约定；本基金所持有的债券（不含到期日在一年以内的政府债券）市值和买入、卖出国债期货合约价值，合计（轧差计算）应当符合基金合同关于债券投资比例的有关约定；</w:t>
      </w:r>
    </w:p>
    <w:p w14:paraId="37BFD58D">
      <w:pPr>
        <w:adjustRightInd w:val="0"/>
        <w:snapToGrid w:val="0"/>
        <w:spacing w:line="360" w:lineRule="auto"/>
        <w:ind w:firstLine="422" w:firstLineChars="176"/>
        <w:rPr>
          <w:rFonts w:ascii="宋体" w:hAnsi="Times New Roman" w:eastAsia="宋体" w:cs="宋体"/>
          <w:kern w:val="0"/>
          <w:sz w:val="24"/>
          <w:szCs w:val="24"/>
        </w:rPr>
      </w:pPr>
      <w:r>
        <w:rPr>
          <w:rFonts w:ascii="宋体" w:hAnsi="Times New Roman" w:eastAsia="宋体" w:cs="宋体"/>
          <w:kern w:val="0"/>
          <w:sz w:val="24"/>
          <w:szCs w:val="24"/>
        </w:rPr>
        <w:t>4</w:t>
      </w:r>
      <w:r>
        <w:rPr>
          <w:rFonts w:hint="eastAsia" w:ascii="宋体" w:hAnsi="Times New Roman" w:eastAsia="宋体" w:cs="宋体"/>
          <w:kern w:val="0"/>
          <w:sz w:val="24"/>
          <w:szCs w:val="24"/>
        </w:rPr>
        <w:t>）本基金在任何交易日日终，持有的买入股指期货和国债期货合约价值与有价证券市值之和，不得超过基金资产净值的</w:t>
      </w:r>
      <w:r>
        <w:rPr>
          <w:rFonts w:ascii="宋体" w:hAnsi="Times New Roman" w:eastAsia="宋体" w:cs="宋体"/>
          <w:kern w:val="0"/>
          <w:sz w:val="24"/>
          <w:szCs w:val="24"/>
        </w:rPr>
        <w:t>100%</w:t>
      </w:r>
      <w:r>
        <w:rPr>
          <w:rFonts w:hint="eastAsia" w:ascii="宋体" w:hAnsi="Times New Roman" w:eastAsia="宋体" w:cs="宋体"/>
          <w:kern w:val="0"/>
          <w:sz w:val="24"/>
          <w:szCs w:val="24"/>
        </w:rPr>
        <w:t>。其中，有价证券指股票、债券（不含到期日在一年以内的政府债券）、资产支持证券、买入返售金融资产（不含质押式回购）等；</w:t>
      </w:r>
    </w:p>
    <w:p w14:paraId="1891D07E">
      <w:pPr>
        <w:adjustRightInd w:val="0"/>
        <w:snapToGrid w:val="0"/>
        <w:spacing w:line="360" w:lineRule="auto"/>
        <w:ind w:firstLine="422" w:firstLineChars="176"/>
        <w:rPr>
          <w:rFonts w:ascii="宋体" w:hAnsi="Times New Roman" w:eastAsia="宋体" w:cs="宋体"/>
          <w:kern w:val="0"/>
          <w:sz w:val="24"/>
          <w:szCs w:val="24"/>
        </w:rPr>
      </w:pPr>
      <w:r>
        <w:rPr>
          <w:rFonts w:ascii="宋体" w:hAnsi="Times New Roman" w:eastAsia="宋体" w:cs="宋体"/>
          <w:kern w:val="0"/>
          <w:sz w:val="24"/>
          <w:szCs w:val="24"/>
        </w:rPr>
        <w:t>5</w:t>
      </w:r>
      <w:r>
        <w:rPr>
          <w:rFonts w:hint="eastAsia" w:ascii="宋体" w:hAnsi="Times New Roman" w:eastAsia="宋体" w:cs="宋体"/>
          <w:kern w:val="0"/>
          <w:sz w:val="24"/>
          <w:szCs w:val="24"/>
        </w:rPr>
        <w:t>）本基金在任何交易日内交易（不包括平仓）的股指期货合约的成交金额不得超过上一交易日基金资产净值的</w:t>
      </w:r>
      <w:r>
        <w:rPr>
          <w:rFonts w:ascii="宋体" w:hAnsi="Times New Roman" w:eastAsia="宋体" w:cs="宋体"/>
          <w:kern w:val="0"/>
          <w:sz w:val="24"/>
          <w:szCs w:val="24"/>
        </w:rPr>
        <w:t>20%</w:t>
      </w:r>
      <w:r>
        <w:rPr>
          <w:rFonts w:hint="eastAsia" w:ascii="宋体" w:hAnsi="Times New Roman" w:eastAsia="宋体" w:cs="宋体"/>
          <w:kern w:val="0"/>
          <w:sz w:val="24"/>
          <w:szCs w:val="24"/>
        </w:rPr>
        <w:t>；在任何交易日内交易（不包括平仓）的国债期货合约的成交金额不得超过上一交易日基金资产净值的30%；</w:t>
      </w:r>
    </w:p>
    <w:p w14:paraId="71B99C45">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w:t>
      </w:r>
      <w:r>
        <w:rPr>
          <w:rFonts w:ascii="宋体" w:hAnsi="Times New Roman" w:eastAsia="宋体" w:cs="宋体"/>
          <w:kern w:val="0"/>
          <w:sz w:val="24"/>
          <w:szCs w:val="24"/>
        </w:rPr>
        <w:t>15</w:t>
      </w:r>
      <w:r>
        <w:rPr>
          <w:rFonts w:hint="eastAsia" w:ascii="宋体" w:hAnsi="Times New Roman" w:eastAsia="宋体" w:cs="宋体"/>
          <w:kern w:val="0"/>
          <w:sz w:val="24"/>
          <w:szCs w:val="24"/>
        </w:rPr>
        <w:t>）本基金投资于股票期权，还应遵循如下投资组合限制：</w:t>
      </w:r>
    </w:p>
    <w:p w14:paraId="74EE6D2F">
      <w:pPr>
        <w:adjustRightInd w:val="0"/>
        <w:snapToGrid w:val="0"/>
        <w:spacing w:line="360" w:lineRule="auto"/>
        <w:ind w:firstLine="480" w:firstLineChars="200"/>
        <w:rPr>
          <w:rFonts w:asciiTheme="minorEastAsia" w:hAnsiTheme="minorEastAsia"/>
          <w:color w:val="0D0D0D" w:themeColor="text1" w:themeTint="F2"/>
          <w:sz w:val="24"/>
          <w14:textFill>
            <w14:solidFill>
              <w14:schemeClr w14:val="tx1">
                <w14:lumMod w14:val="95000"/>
                <w14:lumOff w14:val="5000"/>
              </w14:schemeClr>
            </w14:solidFill>
          </w14:textFill>
        </w:rPr>
      </w:pPr>
      <w:r>
        <w:rPr>
          <w:rFonts w:hint="eastAsia" w:asciiTheme="minorEastAsia" w:hAnsiTheme="minorEastAsia"/>
          <w:color w:val="0D0D0D" w:themeColor="text1" w:themeTint="F2"/>
          <w:sz w:val="24"/>
          <w14:textFill>
            <w14:solidFill>
              <w14:schemeClr w14:val="tx1">
                <w14:lumMod w14:val="95000"/>
                <w14:lumOff w14:val="5000"/>
              </w14:schemeClr>
            </w14:solidFill>
          </w14:textFill>
        </w:rPr>
        <w:t>1）因未平仓的期权合约支付和收取的权利金总额不得超过基金资产净值的10%；</w:t>
      </w:r>
    </w:p>
    <w:p w14:paraId="53092C77">
      <w:pPr>
        <w:adjustRightInd w:val="0"/>
        <w:snapToGrid w:val="0"/>
        <w:spacing w:line="360" w:lineRule="auto"/>
        <w:ind w:firstLine="480" w:firstLineChars="200"/>
        <w:rPr>
          <w:rFonts w:asciiTheme="minorEastAsia" w:hAnsiTheme="minorEastAsia"/>
          <w:color w:val="0D0D0D" w:themeColor="text1" w:themeTint="F2"/>
          <w:sz w:val="24"/>
          <w14:textFill>
            <w14:solidFill>
              <w14:schemeClr w14:val="tx1">
                <w14:lumMod w14:val="95000"/>
                <w14:lumOff w14:val="5000"/>
              </w14:schemeClr>
            </w14:solidFill>
          </w14:textFill>
        </w:rPr>
      </w:pPr>
      <w:r>
        <w:rPr>
          <w:rFonts w:asciiTheme="minorEastAsia" w:hAnsiTheme="minorEastAsia"/>
          <w:color w:val="0D0D0D" w:themeColor="text1" w:themeTint="F2"/>
          <w:sz w:val="24"/>
          <w14:textFill>
            <w14:solidFill>
              <w14:schemeClr w14:val="tx1">
                <w14:lumMod w14:val="95000"/>
                <w14:lumOff w14:val="5000"/>
              </w14:schemeClr>
            </w14:solidFill>
          </w14:textFill>
        </w:rPr>
        <w:t>2</w:t>
      </w:r>
      <w:r>
        <w:rPr>
          <w:rFonts w:hint="eastAsia" w:asciiTheme="minorEastAsia" w:hAnsiTheme="minorEastAsia"/>
          <w:color w:val="0D0D0D" w:themeColor="text1" w:themeTint="F2"/>
          <w:sz w:val="24"/>
          <w14:textFill>
            <w14:solidFill>
              <w14:schemeClr w14:val="tx1">
                <w14:lumMod w14:val="95000"/>
                <w14:lumOff w14:val="5000"/>
              </w14:schemeClr>
            </w14:solidFill>
          </w14:textFill>
        </w:rPr>
        <w:t>）开仓卖出认购期权的，应持有足额标的证券；开仓卖出认沽期权的，应持有合约行权所需的全额现金或交易所规则认可的可冲抵期权保证金的现金等价物；</w:t>
      </w:r>
    </w:p>
    <w:p w14:paraId="49757FDD">
      <w:pPr>
        <w:adjustRightInd w:val="0"/>
        <w:snapToGrid w:val="0"/>
        <w:spacing w:line="360" w:lineRule="auto"/>
        <w:ind w:firstLine="480" w:firstLineChars="200"/>
        <w:rPr>
          <w:rFonts w:asciiTheme="minorEastAsia" w:hAnsiTheme="minorEastAsia"/>
          <w:color w:val="0D0D0D" w:themeColor="text1" w:themeTint="F2"/>
          <w:sz w:val="24"/>
          <w14:textFill>
            <w14:solidFill>
              <w14:schemeClr w14:val="tx1">
                <w14:lumMod w14:val="95000"/>
                <w14:lumOff w14:val="5000"/>
              </w14:schemeClr>
            </w14:solidFill>
          </w14:textFill>
        </w:rPr>
      </w:pPr>
      <w:r>
        <w:rPr>
          <w:rFonts w:hint="eastAsia" w:asciiTheme="minorEastAsia" w:hAnsiTheme="minorEastAsia"/>
          <w:color w:val="0D0D0D" w:themeColor="text1" w:themeTint="F2"/>
          <w:sz w:val="24"/>
          <w14:textFill>
            <w14:solidFill>
              <w14:schemeClr w14:val="tx1">
                <w14:lumMod w14:val="95000"/>
                <w14:lumOff w14:val="5000"/>
              </w14:schemeClr>
            </w14:solidFill>
          </w14:textFill>
        </w:rPr>
        <w:t>3）未平仓的期权合约面值不得超过基金资产净值的20%。其中，合约面值按照行权价乘以合约乘数计算；</w:t>
      </w:r>
    </w:p>
    <w:p w14:paraId="75117F04">
      <w:pPr>
        <w:adjustRightInd w:val="0"/>
        <w:snapToGrid w:val="0"/>
        <w:spacing w:line="360" w:lineRule="auto"/>
        <w:ind w:firstLine="480" w:firstLineChars="200"/>
        <w:rPr>
          <w:rFonts w:asciiTheme="minorEastAsia" w:hAnsiTheme="minorEastAsia"/>
          <w:color w:val="0D0D0D" w:themeColor="text1" w:themeTint="F2"/>
          <w:sz w:val="24"/>
          <w14:textFill>
            <w14:solidFill>
              <w14:schemeClr w14:val="tx1">
                <w14:lumMod w14:val="95000"/>
                <w14:lumOff w14:val="5000"/>
              </w14:schemeClr>
            </w14:solidFill>
          </w14:textFill>
        </w:rPr>
      </w:pPr>
      <w:r>
        <w:rPr>
          <w:rFonts w:hint="eastAsia" w:asciiTheme="minorEastAsia" w:hAnsiTheme="minorEastAsia"/>
          <w:color w:val="0D0D0D" w:themeColor="text1" w:themeTint="F2"/>
          <w:sz w:val="24"/>
          <w14:textFill>
            <w14:solidFill>
              <w14:schemeClr w14:val="tx1">
                <w14:lumMod w14:val="95000"/>
                <w14:lumOff w14:val="5000"/>
              </w14:schemeClr>
            </w14:solidFill>
          </w14:textFill>
        </w:rPr>
        <w:t>（1</w:t>
      </w:r>
      <w:r>
        <w:rPr>
          <w:rFonts w:asciiTheme="minorEastAsia" w:hAnsiTheme="minorEastAsia"/>
          <w:color w:val="0D0D0D" w:themeColor="text1" w:themeTint="F2"/>
          <w:sz w:val="24"/>
          <w14:textFill>
            <w14:solidFill>
              <w14:schemeClr w14:val="tx1">
                <w14:lumMod w14:val="95000"/>
                <w14:lumOff w14:val="5000"/>
              </w14:schemeClr>
            </w14:solidFill>
          </w14:textFill>
        </w:rPr>
        <w:t>6</w:t>
      </w:r>
      <w:r>
        <w:rPr>
          <w:rFonts w:hint="eastAsia" w:asciiTheme="minorEastAsia" w:hAnsiTheme="minorEastAsia"/>
          <w:color w:val="0D0D0D" w:themeColor="text1" w:themeTint="F2"/>
          <w:sz w:val="24"/>
          <w14:textFill>
            <w14:solidFill>
              <w14:schemeClr w14:val="tx1">
                <w14:lumMod w14:val="95000"/>
                <w14:lumOff w14:val="5000"/>
              </w14:schemeClr>
            </w14:solidFill>
          </w14:textFill>
        </w:rPr>
        <w:t>）本基金参与转融通证券出借业务，需遵守下列投资限制：</w:t>
      </w:r>
    </w:p>
    <w:p w14:paraId="439C6CFB">
      <w:pPr>
        <w:adjustRightInd w:val="0"/>
        <w:snapToGrid w:val="0"/>
        <w:spacing w:line="360" w:lineRule="auto"/>
        <w:ind w:firstLine="480" w:firstLineChars="200"/>
        <w:rPr>
          <w:rFonts w:asciiTheme="minorEastAsia" w:hAnsiTheme="minorEastAsia"/>
          <w:color w:val="0D0D0D" w:themeColor="text1" w:themeTint="F2"/>
          <w:sz w:val="24"/>
          <w14:textFill>
            <w14:solidFill>
              <w14:schemeClr w14:val="tx1">
                <w14:lumMod w14:val="95000"/>
                <w14:lumOff w14:val="5000"/>
              </w14:schemeClr>
            </w14:solidFill>
          </w14:textFill>
        </w:rPr>
      </w:pPr>
      <w:r>
        <w:rPr>
          <w:rFonts w:hint="eastAsia" w:asciiTheme="minorEastAsia" w:hAnsiTheme="minorEastAsia"/>
          <w:color w:val="0D0D0D" w:themeColor="text1" w:themeTint="F2"/>
          <w:sz w:val="24"/>
          <w14:textFill>
            <w14:solidFill>
              <w14:schemeClr w14:val="tx1">
                <w14:lumMod w14:val="95000"/>
                <w14:lumOff w14:val="5000"/>
              </w14:schemeClr>
            </w14:solidFill>
          </w14:textFill>
        </w:rPr>
        <w:t>1）出借证券资产不得超过基金资产净值的30%，出借期限在10 个交易日以上的出借证券应纳入《流动性风险管理规定》所述流动性受限证券的范围；</w:t>
      </w:r>
    </w:p>
    <w:p w14:paraId="238504C5">
      <w:pPr>
        <w:adjustRightInd w:val="0"/>
        <w:snapToGrid w:val="0"/>
        <w:spacing w:line="360" w:lineRule="auto"/>
        <w:ind w:firstLine="480" w:firstLineChars="200"/>
        <w:rPr>
          <w:rFonts w:asciiTheme="minorEastAsia" w:hAnsiTheme="minorEastAsia"/>
          <w:color w:val="0D0D0D" w:themeColor="text1" w:themeTint="F2"/>
          <w:sz w:val="24"/>
          <w14:textFill>
            <w14:solidFill>
              <w14:schemeClr w14:val="tx1">
                <w14:lumMod w14:val="95000"/>
                <w14:lumOff w14:val="5000"/>
              </w14:schemeClr>
            </w14:solidFill>
          </w14:textFill>
        </w:rPr>
      </w:pPr>
      <w:r>
        <w:rPr>
          <w:rFonts w:hint="eastAsia" w:asciiTheme="minorEastAsia" w:hAnsiTheme="minorEastAsia"/>
          <w:color w:val="0D0D0D" w:themeColor="text1" w:themeTint="F2"/>
          <w:sz w:val="24"/>
          <w14:textFill>
            <w14:solidFill>
              <w14:schemeClr w14:val="tx1">
                <w14:lumMod w14:val="95000"/>
                <w14:lumOff w14:val="5000"/>
              </w14:schemeClr>
            </w14:solidFill>
          </w14:textFill>
        </w:rPr>
        <w:t>2）参与出借业务的单只证券不得超过本基金持有该证券总量的50%；</w:t>
      </w:r>
    </w:p>
    <w:p w14:paraId="60C1194E">
      <w:pPr>
        <w:adjustRightInd w:val="0"/>
        <w:snapToGrid w:val="0"/>
        <w:spacing w:line="360" w:lineRule="auto"/>
        <w:ind w:firstLine="480" w:firstLineChars="200"/>
        <w:rPr>
          <w:rFonts w:asciiTheme="minorEastAsia" w:hAnsiTheme="minorEastAsia"/>
          <w:color w:val="0D0D0D" w:themeColor="text1" w:themeTint="F2"/>
          <w:sz w:val="24"/>
          <w14:textFill>
            <w14:solidFill>
              <w14:schemeClr w14:val="tx1">
                <w14:lumMod w14:val="95000"/>
                <w14:lumOff w14:val="5000"/>
              </w14:schemeClr>
            </w14:solidFill>
          </w14:textFill>
        </w:rPr>
      </w:pPr>
      <w:r>
        <w:rPr>
          <w:rFonts w:hint="eastAsia" w:asciiTheme="minorEastAsia" w:hAnsiTheme="minorEastAsia"/>
          <w:color w:val="0D0D0D" w:themeColor="text1" w:themeTint="F2"/>
          <w:sz w:val="24"/>
          <w14:textFill>
            <w14:solidFill>
              <w14:schemeClr w14:val="tx1">
                <w14:lumMod w14:val="95000"/>
                <w14:lumOff w14:val="5000"/>
              </w14:schemeClr>
            </w14:solidFill>
          </w14:textFill>
        </w:rPr>
        <w:t>3）最近6个月内日均基金资产净值不得低于2亿元；</w:t>
      </w:r>
    </w:p>
    <w:p w14:paraId="5FCB3B3F">
      <w:pPr>
        <w:adjustRightInd w:val="0"/>
        <w:snapToGrid w:val="0"/>
        <w:spacing w:line="360" w:lineRule="auto"/>
        <w:ind w:firstLine="480" w:firstLineChars="200"/>
        <w:rPr>
          <w:rFonts w:asciiTheme="minorEastAsia" w:hAnsiTheme="minorEastAsia"/>
          <w:color w:val="0D0D0D" w:themeColor="text1" w:themeTint="F2"/>
          <w:sz w:val="24"/>
          <w14:textFill>
            <w14:solidFill>
              <w14:schemeClr w14:val="tx1">
                <w14:lumMod w14:val="95000"/>
                <w14:lumOff w14:val="5000"/>
              </w14:schemeClr>
            </w14:solidFill>
          </w14:textFill>
        </w:rPr>
      </w:pPr>
      <w:r>
        <w:rPr>
          <w:rFonts w:hint="eastAsia" w:asciiTheme="minorEastAsia" w:hAnsiTheme="minorEastAsia"/>
          <w:color w:val="0D0D0D" w:themeColor="text1" w:themeTint="F2"/>
          <w:sz w:val="24"/>
          <w14:textFill>
            <w14:solidFill>
              <w14:schemeClr w14:val="tx1">
                <w14:lumMod w14:val="95000"/>
                <w14:lumOff w14:val="5000"/>
              </w14:schemeClr>
            </w14:solidFill>
          </w14:textFill>
        </w:rPr>
        <w:t>4）证券出借的平均剩余期限不得超过30天，平均剩余期限按照市值加权平均计算；</w:t>
      </w:r>
    </w:p>
    <w:p w14:paraId="61E161B0">
      <w:pPr>
        <w:adjustRightInd w:val="0"/>
        <w:snapToGrid w:val="0"/>
        <w:spacing w:line="360" w:lineRule="auto"/>
        <w:ind w:firstLine="480" w:firstLineChars="200"/>
        <w:rPr>
          <w:rFonts w:asciiTheme="minorEastAsia" w:hAnsiTheme="minorEastAsia"/>
          <w:color w:val="0D0D0D" w:themeColor="text1" w:themeTint="F2"/>
          <w:sz w:val="24"/>
          <w14:textFill>
            <w14:solidFill>
              <w14:schemeClr w14:val="tx1">
                <w14:lumMod w14:val="95000"/>
                <w14:lumOff w14:val="5000"/>
              </w14:schemeClr>
            </w14:solidFill>
          </w14:textFill>
        </w:rPr>
      </w:pPr>
      <w:r>
        <w:rPr>
          <w:rFonts w:hint="eastAsia" w:asciiTheme="minorEastAsia" w:hAnsiTheme="minorEastAsia"/>
          <w:color w:val="0D0D0D" w:themeColor="text1" w:themeTint="F2"/>
          <w:sz w:val="24"/>
          <w14:textFill>
            <w14:solidFill>
              <w14:schemeClr w14:val="tx1">
                <w14:lumMod w14:val="95000"/>
                <w14:lumOff w14:val="5000"/>
              </w14:schemeClr>
            </w14:solidFill>
          </w14:textFill>
        </w:rPr>
        <w:t>因证券市场波动、上市公司合并、基金规模变动等基金管理人之外的因素致使基金投资不符合上述规定的，基金管理人不得新增出借业务；</w:t>
      </w:r>
    </w:p>
    <w:p w14:paraId="083AD49A">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（1</w:t>
      </w:r>
      <w:r>
        <w:rPr>
          <w:rFonts w:ascii="宋体" w:hAnsi="Times New Roman" w:eastAsia="宋体" w:cs="宋体"/>
          <w:kern w:val="0"/>
          <w:sz w:val="24"/>
          <w:szCs w:val="24"/>
        </w:rPr>
        <w:t>7</w:t>
      </w:r>
      <w:r>
        <w:rPr>
          <w:rFonts w:hint="eastAsia" w:ascii="宋体" w:hAnsi="Times New Roman" w:eastAsia="宋体" w:cs="宋体"/>
          <w:kern w:val="0"/>
          <w:sz w:val="24"/>
          <w:szCs w:val="24"/>
        </w:rPr>
        <w:t>）本基金主动投资于流动性受限资产的市值合计不得超过本基金资产净值的15%；</w:t>
      </w:r>
    </w:p>
    <w:p w14:paraId="51F9C302">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因证券市场波动、上市公司股票停牌、基金规模变动等基金管理人之外的因素致使基金不符合该比例限制的，基金管理人不得主动新增流动性受限资产的投资；</w:t>
      </w:r>
    </w:p>
    <w:p w14:paraId="1AFEFE49">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（1</w:t>
      </w:r>
      <w:r>
        <w:rPr>
          <w:rFonts w:ascii="宋体" w:hAnsi="Times New Roman" w:eastAsia="宋体" w:cs="宋体"/>
          <w:kern w:val="0"/>
          <w:sz w:val="24"/>
          <w:szCs w:val="24"/>
        </w:rPr>
        <w:t>8</w:t>
      </w:r>
      <w:r>
        <w:rPr>
          <w:rFonts w:hint="eastAsia" w:ascii="宋体" w:hAnsi="Times New Roman" w:eastAsia="宋体" w:cs="宋体"/>
          <w:kern w:val="0"/>
          <w:sz w:val="24"/>
          <w:szCs w:val="24"/>
        </w:rPr>
        <w:t>）本基金与私募类证券资管产品及中国证监会认定的其他主体为交易对手开展逆回购交易的，可接受质押品的资质要求应当与基金合同约定的投资范围保持一致；</w:t>
      </w:r>
    </w:p>
    <w:p w14:paraId="67438E84">
      <w:pPr>
        <w:adjustRightInd w:val="0"/>
        <w:snapToGrid w:val="0"/>
        <w:spacing w:line="360" w:lineRule="auto"/>
        <w:ind w:firstLine="422" w:firstLineChars="176"/>
        <w:rPr>
          <w:rFonts w:ascii="宋体" w:hAnsi="Times New Roman" w:eastAsia="宋体" w:cs="宋体"/>
          <w:kern w:val="0"/>
          <w:sz w:val="24"/>
          <w:szCs w:val="24"/>
        </w:rPr>
      </w:pPr>
      <w:r>
        <w:rPr>
          <w:rFonts w:hint="eastAsia" w:asciiTheme="minorEastAsia" w:hAnsiTheme="minorEastAsia"/>
          <w:sz w:val="24"/>
        </w:rPr>
        <w:t>（19）本基金投资存托凭证的比例限制依照境内上市交易的股票执行</w:t>
      </w:r>
      <w:r>
        <w:rPr>
          <w:rFonts w:hint="eastAsia" w:ascii="宋体" w:hAnsi="宋体"/>
          <w:bCs/>
          <w:sz w:val="24"/>
        </w:rPr>
        <w:t>，与境内上市交易的股票合并计算</w:t>
      </w:r>
      <w:r>
        <w:rPr>
          <w:rFonts w:hint="eastAsia" w:asciiTheme="minorEastAsia" w:hAnsiTheme="minorEastAsia"/>
          <w:sz w:val="24"/>
        </w:rPr>
        <w:t>；</w:t>
      </w:r>
    </w:p>
    <w:p w14:paraId="63293A10">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（20）相关法律法规以及监管部门规定的和</w:t>
      </w:r>
      <w:r>
        <w:rPr>
          <w:rFonts w:ascii="宋体" w:hAnsi="Times New Roman" w:eastAsia="宋体" w:cs="宋体"/>
          <w:kern w:val="0"/>
          <w:sz w:val="24"/>
          <w:szCs w:val="24"/>
        </w:rPr>
        <w:t>基金合同约定的</w:t>
      </w:r>
      <w:r>
        <w:rPr>
          <w:rFonts w:hint="eastAsia" w:ascii="宋体" w:hAnsi="Times New Roman" w:eastAsia="宋体" w:cs="宋体"/>
          <w:kern w:val="0"/>
          <w:sz w:val="24"/>
          <w:szCs w:val="24"/>
        </w:rPr>
        <w:t>其它投资比例限制。</w:t>
      </w:r>
    </w:p>
    <w:p w14:paraId="30EA2AF6">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除上述第（1）、（2）、（11）、（1</w:t>
      </w:r>
      <w:r>
        <w:rPr>
          <w:rFonts w:ascii="宋体" w:hAnsi="Times New Roman" w:eastAsia="宋体" w:cs="宋体"/>
          <w:kern w:val="0"/>
          <w:sz w:val="24"/>
          <w:szCs w:val="24"/>
        </w:rPr>
        <w:t>6</w:t>
      </w:r>
      <w:r>
        <w:rPr>
          <w:rFonts w:hint="eastAsia" w:ascii="宋体" w:hAnsi="Times New Roman" w:eastAsia="宋体" w:cs="宋体"/>
          <w:kern w:val="0"/>
          <w:sz w:val="24"/>
          <w:szCs w:val="24"/>
        </w:rPr>
        <w:t>）、（1</w:t>
      </w:r>
      <w:r>
        <w:rPr>
          <w:rFonts w:ascii="宋体" w:hAnsi="Times New Roman" w:eastAsia="宋体" w:cs="宋体"/>
          <w:kern w:val="0"/>
          <w:sz w:val="24"/>
          <w:szCs w:val="24"/>
        </w:rPr>
        <w:t>7</w:t>
      </w:r>
      <w:r>
        <w:rPr>
          <w:rFonts w:hint="eastAsia" w:ascii="宋体" w:hAnsi="Times New Roman" w:eastAsia="宋体" w:cs="宋体"/>
          <w:kern w:val="0"/>
          <w:sz w:val="24"/>
          <w:szCs w:val="24"/>
        </w:rPr>
        <w:t>）、（1</w:t>
      </w:r>
      <w:r>
        <w:rPr>
          <w:rFonts w:ascii="宋体" w:hAnsi="Times New Roman" w:eastAsia="宋体" w:cs="宋体"/>
          <w:kern w:val="0"/>
          <w:sz w:val="24"/>
          <w:szCs w:val="24"/>
        </w:rPr>
        <w:t>8</w:t>
      </w:r>
      <w:r>
        <w:rPr>
          <w:rFonts w:hint="eastAsia" w:ascii="宋体" w:hAnsi="Times New Roman" w:eastAsia="宋体" w:cs="宋体"/>
          <w:kern w:val="0"/>
          <w:sz w:val="24"/>
          <w:szCs w:val="24"/>
        </w:rPr>
        <w:t>）项外，</w:t>
      </w:r>
      <w:r>
        <w:rPr>
          <w:rFonts w:ascii="宋体" w:hAnsi="Times New Roman" w:eastAsia="宋体" w:cs="宋体"/>
          <w:kern w:val="0"/>
          <w:sz w:val="24"/>
          <w:szCs w:val="24"/>
        </w:rPr>
        <w:t>因证券</w:t>
      </w:r>
      <w:r>
        <w:rPr>
          <w:rFonts w:hint="eastAsia" w:ascii="宋体" w:hAnsi="Times New Roman" w:eastAsia="宋体" w:cs="宋体"/>
          <w:kern w:val="0"/>
          <w:sz w:val="24"/>
          <w:szCs w:val="24"/>
        </w:rPr>
        <w:t>、期货</w:t>
      </w:r>
      <w:r>
        <w:rPr>
          <w:rFonts w:ascii="宋体" w:hAnsi="Times New Roman" w:eastAsia="宋体" w:cs="宋体"/>
          <w:kern w:val="0"/>
          <w:sz w:val="24"/>
          <w:szCs w:val="24"/>
        </w:rPr>
        <w:t>市场波动、</w:t>
      </w:r>
      <w:r>
        <w:rPr>
          <w:rFonts w:hint="eastAsia" w:ascii="宋体" w:hAnsi="Times New Roman" w:eastAsia="宋体" w:cs="宋体"/>
          <w:kern w:val="0"/>
          <w:sz w:val="24"/>
          <w:szCs w:val="24"/>
        </w:rPr>
        <w:t>证券发行人</w:t>
      </w:r>
      <w:r>
        <w:rPr>
          <w:rFonts w:ascii="宋体" w:hAnsi="Times New Roman" w:eastAsia="宋体" w:cs="宋体"/>
          <w:kern w:val="0"/>
          <w:sz w:val="24"/>
          <w:szCs w:val="24"/>
        </w:rPr>
        <w:t>合并、基金规模变动</w:t>
      </w:r>
      <w:r>
        <w:rPr>
          <w:rFonts w:hint="eastAsia" w:ascii="宋体" w:hAnsi="Times New Roman" w:eastAsia="宋体" w:cs="宋体"/>
          <w:kern w:val="0"/>
          <w:sz w:val="24"/>
          <w:szCs w:val="24"/>
        </w:rPr>
        <w:t>、标的指数成份股调整、标的指数成份股流动性限制、目标ETF暂停申购/赎回或二级市场交易停牌</w:t>
      </w:r>
      <w:r>
        <w:rPr>
          <w:rFonts w:ascii="宋体" w:hAnsi="Times New Roman" w:eastAsia="宋体" w:cs="宋体"/>
          <w:kern w:val="0"/>
          <w:sz w:val="24"/>
          <w:szCs w:val="24"/>
        </w:rPr>
        <w:t>等基金管理人之外的因素致使基金投资比例不符合上述规定投资比例的，基金管理人应当在10个交易日内进行调整</w:t>
      </w:r>
      <w:r>
        <w:rPr>
          <w:rFonts w:hint="eastAsia" w:ascii="宋体" w:hAnsi="Times New Roman" w:eastAsia="宋体" w:cs="宋体"/>
          <w:kern w:val="0"/>
          <w:sz w:val="24"/>
          <w:szCs w:val="24"/>
        </w:rPr>
        <w:t>，但中国证监会规定的特殊情形除外</w:t>
      </w:r>
      <w:r>
        <w:rPr>
          <w:rFonts w:ascii="宋体" w:hAnsi="Times New Roman" w:eastAsia="宋体" w:cs="宋体"/>
          <w:kern w:val="0"/>
          <w:sz w:val="24"/>
          <w:szCs w:val="24"/>
        </w:rPr>
        <w:t>。</w:t>
      </w:r>
      <w:r>
        <w:rPr>
          <w:rFonts w:hint="eastAsia" w:ascii="宋体" w:hAnsi="Times New Roman" w:eastAsia="宋体" w:cs="宋体"/>
          <w:kern w:val="0"/>
          <w:sz w:val="24"/>
          <w:szCs w:val="24"/>
        </w:rPr>
        <w:t>因证券、期货市场波动、证券发行人合并、基金规模变动、标的指数成份股调整、标的指数成份股流动性限制、目标ETF暂停申购/赎回或二级市场交易停牌等基金管理人之外的因素致使基金投资比例不符合上述第（1）项规定的比例的，基金管理人应当在20个交易日内进行调整。</w:t>
      </w:r>
    </w:p>
    <w:p w14:paraId="3DE8A962">
      <w:pPr>
        <w:adjustRightInd w:val="0"/>
        <w:snapToGrid w:val="0"/>
        <w:spacing w:line="360" w:lineRule="auto"/>
        <w:ind w:firstLine="422" w:firstLineChars="176"/>
        <w:rPr>
          <w:rFonts w:ascii="宋体" w:hAnsi="Times New Roman" w:eastAsia="宋体" w:cs="宋体"/>
          <w:kern w:val="0"/>
          <w:sz w:val="24"/>
          <w:szCs w:val="24"/>
        </w:rPr>
      </w:pPr>
      <w:r>
        <w:rPr>
          <w:rFonts w:ascii="宋体" w:hAnsi="Times New Roman" w:eastAsia="宋体" w:cs="宋体"/>
          <w:kern w:val="0"/>
          <w:sz w:val="24"/>
          <w:szCs w:val="24"/>
        </w:rPr>
        <w:t>基金管理人应当自基金合同生效之日起</w:t>
      </w:r>
      <w:r>
        <w:rPr>
          <w:rFonts w:hint="eastAsia" w:ascii="宋体" w:hAnsi="Times New Roman" w:eastAsia="宋体" w:cs="宋体"/>
          <w:kern w:val="0"/>
          <w:sz w:val="24"/>
          <w:szCs w:val="24"/>
        </w:rPr>
        <w:t>6</w:t>
      </w:r>
      <w:r>
        <w:rPr>
          <w:rFonts w:ascii="宋体" w:hAnsi="Times New Roman" w:eastAsia="宋体" w:cs="宋体"/>
          <w:kern w:val="0"/>
          <w:sz w:val="24"/>
          <w:szCs w:val="24"/>
        </w:rPr>
        <w:t>个月内使基金的投资组合比例符合基金合同的有关约定。</w:t>
      </w:r>
      <w:r>
        <w:rPr>
          <w:rFonts w:hint="eastAsia" w:ascii="宋体" w:hAnsi="Times New Roman" w:eastAsia="宋体" w:cs="宋体"/>
          <w:kern w:val="0"/>
          <w:sz w:val="24"/>
          <w:szCs w:val="24"/>
        </w:rPr>
        <w:t>在上述期间内，本基金的投资范围、投资策略应当符合基金合同的约定。</w:t>
      </w:r>
      <w:r>
        <w:rPr>
          <w:rFonts w:ascii="宋体" w:hAnsi="Times New Roman" w:eastAsia="宋体" w:cs="宋体"/>
          <w:kern w:val="0"/>
          <w:sz w:val="24"/>
          <w:szCs w:val="24"/>
        </w:rPr>
        <w:t>基金托管人对基金的投资的监督与检查自本基金合同生效之日起开始。</w:t>
      </w:r>
    </w:p>
    <w:p w14:paraId="146E5EA0">
      <w:pPr>
        <w:adjustRightInd w:val="0"/>
        <w:snapToGrid w:val="0"/>
        <w:spacing w:line="360" w:lineRule="auto"/>
        <w:ind w:firstLine="422" w:firstLineChars="176"/>
        <w:rPr>
          <w:rFonts w:ascii="宋体" w:hAnsi="Times New Roman" w:eastAsia="宋体" w:cs="宋体"/>
          <w:kern w:val="0"/>
          <w:sz w:val="24"/>
          <w:szCs w:val="24"/>
        </w:rPr>
      </w:pPr>
      <w:r>
        <w:rPr>
          <w:rFonts w:ascii="宋体" w:hAnsi="Times New Roman" w:eastAsia="宋体" w:cs="宋体"/>
          <w:kern w:val="0"/>
          <w:sz w:val="24"/>
          <w:szCs w:val="24"/>
        </w:rPr>
        <w:t>法律法规或监管部门取消</w:t>
      </w:r>
      <w:r>
        <w:rPr>
          <w:rFonts w:hint="eastAsia" w:ascii="宋体" w:hAnsi="Times New Roman" w:eastAsia="宋体" w:cs="宋体"/>
          <w:kern w:val="0"/>
          <w:sz w:val="24"/>
          <w:szCs w:val="24"/>
        </w:rPr>
        <w:t>或变更</w:t>
      </w:r>
      <w:r>
        <w:rPr>
          <w:rFonts w:ascii="宋体" w:hAnsi="Times New Roman" w:eastAsia="宋体" w:cs="宋体"/>
          <w:kern w:val="0"/>
          <w:sz w:val="24"/>
          <w:szCs w:val="24"/>
        </w:rPr>
        <w:t>上述限制，如适用于本基金，基金管理人</w:t>
      </w:r>
      <w:r>
        <w:rPr>
          <w:rFonts w:hint="eastAsia" w:ascii="宋体" w:hAnsi="Times New Roman" w:eastAsia="宋体" w:cs="宋体"/>
          <w:kern w:val="0"/>
          <w:sz w:val="24"/>
          <w:szCs w:val="24"/>
        </w:rPr>
        <w:t>在</w:t>
      </w:r>
      <w:r>
        <w:rPr>
          <w:rFonts w:ascii="宋体" w:hAnsi="Times New Roman" w:eastAsia="宋体" w:cs="宋体"/>
          <w:kern w:val="0"/>
          <w:sz w:val="24"/>
          <w:szCs w:val="24"/>
        </w:rPr>
        <w:t>履行适当程序后，则本基金投资不再受相关限制</w:t>
      </w:r>
      <w:r>
        <w:rPr>
          <w:rFonts w:hint="eastAsia" w:ascii="宋体" w:hAnsi="Times New Roman" w:eastAsia="宋体" w:cs="宋体"/>
          <w:kern w:val="0"/>
          <w:sz w:val="24"/>
          <w:szCs w:val="24"/>
        </w:rPr>
        <w:t>，或以变更后的规定为准</w:t>
      </w:r>
      <w:r>
        <w:rPr>
          <w:rFonts w:ascii="宋体" w:hAnsi="Times New Roman" w:eastAsia="宋体" w:cs="宋体"/>
          <w:kern w:val="0"/>
          <w:sz w:val="24"/>
          <w:szCs w:val="24"/>
        </w:rPr>
        <w:t>。</w:t>
      </w:r>
    </w:p>
    <w:p w14:paraId="2A0009AE">
      <w:pPr>
        <w:adjustRightInd w:val="0"/>
        <w:snapToGrid w:val="0"/>
        <w:spacing w:line="360" w:lineRule="auto"/>
        <w:ind w:firstLine="422" w:firstLineChars="176"/>
        <w:rPr>
          <w:rFonts w:ascii="宋体" w:hAnsi="Times New Roman" w:eastAsia="宋体" w:cs="宋体"/>
          <w:kern w:val="0"/>
          <w:sz w:val="24"/>
          <w:szCs w:val="24"/>
        </w:rPr>
      </w:pPr>
      <w:r>
        <w:rPr>
          <w:rFonts w:ascii="宋体" w:hAnsi="Times New Roman" w:eastAsia="宋体" w:cs="宋体"/>
          <w:kern w:val="0"/>
          <w:sz w:val="24"/>
          <w:szCs w:val="24"/>
        </w:rPr>
        <w:t>2</w:t>
      </w:r>
      <w:r>
        <w:rPr>
          <w:rFonts w:hint="eastAsia" w:ascii="宋体" w:hAnsi="Times New Roman" w:eastAsia="宋体" w:cs="宋体"/>
          <w:kern w:val="0"/>
          <w:sz w:val="24"/>
          <w:szCs w:val="24"/>
        </w:rPr>
        <w:t>、禁止行为</w:t>
      </w:r>
    </w:p>
    <w:p w14:paraId="204161DF">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为维护基金份额持有人的合法权益，基金财产不得用于下列投资或者活动：</w:t>
      </w:r>
    </w:p>
    <w:p w14:paraId="1686B8EF">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w:t>
      </w:r>
      <w:r>
        <w:rPr>
          <w:rFonts w:ascii="宋体" w:hAnsi="Times New Roman" w:eastAsia="宋体" w:cs="宋体"/>
          <w:kern w:val="0"/>
          <w:sz w:val="24"/>
          <w:szCs w:val="24"/>
        </w:rPr>
        <w:t>1</w:t>
      </w:r>
      <w:r>
        <w:rPr>
          <w:rFonts w:hint="eastAsia" w:ascii="宋体" w:hAnsi="Times New Roman" w:eastAsia="宋体" w:cs="宋体"/>
          <w:kern w:val="0"/>
          <w:sz w:val="24"/>
          <w:szCs w:val="24"/>
        </w:rPr>
        <w:t>）承销证券；</w:t>
      </w:r>
    </w:p>
    <w:p w14:paraId="5C665B11">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w:t>
      </w:r>
      <w:r>
        <w:rPr>
          <w:rFonts w:ascii="宋体" w:hAnsi="Times New Roman" w:eastAsia="宋体" w:cs="宋体"/>
          <w:kern w:val="0"/>
          <w:sz w:val="24"/>
          <w:szCs w:val="24"/>
        </w:rPr>
        <w:t>2</w:t>
      </w:r>
      <w:r>
        <w:rPr>
          <w:rFonts w:hint="eastAsia" w:ascii="宋体" w:hAnsi="Times New Roman" w:eastAsia="宋体" w:cs="宋体"/>
          <w:kern w:val="0"/>
          <w:sz w:val="24"/>
          <w:szCs w:val="24"/>
        </w:rPr>
        <w:t>）违反规定向他人贷款或者提供担保；</w:t>
      </w:r>
    </w:p>
    <w:p w14:paraId="37E44198">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w:t>
      </w:r>
      <w:r>
        <w:rPr>
          <w:rFonts w:ascii="宋体" w:hAnsi="Times New Roman" w:eastAsia="宋体" w:cs="宋体"/>
          <w:kern w:val="0"/>
          <w:sz w:val="24"/>
          <w:szCs w:val="24"/>
        </w:rPr>
        <w:t>3</w:t>
      </w:r>
      <w:r>
        <w:rPr>
          <w:rFonts w:hint="eastAsia" w:ascii="宋体" w:hAnsi="Times New Roman" w:eastAsia="宋体" w:cs="宋体"/>
          <w:kern w:val="0"/>
          <w:sz w:val="24"/>
          <w:szCs w:val="24"/>
        </w:rPr>
        <w:t>）从事承担无限责任的投资；</w:t>
      </w:r>
    </w:p>
    <w:p w14:paraId="72301C2D">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（4）买卖除目标ETF外的其他基金份额，但是中国证监会另有规定的除外；</w:t>
      </w:r>
    </w:p>
    <w:p w14:paraId="6FD7ACCA">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（5）向其基金管理人、基金托管人出资；</w:t>
      </w:r>
    </w:p>
    <w:p w14:paraId="4EC5A091">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（6）从事内幕交易、操纵证券交易价格及其他不正当的证券交易活动；</w:t>
      </w:r>
    </w:p>
    <w:p w14:paraId="723A7B68">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（7）法律、行政法规和中国证监会规定禁止的其他活动。</w:t>
      </w:r>
    </w:p>
    <w:p w14:paraId="09826EDF">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基金管理人运用基金财产买卖基金管理人、基金托管人及其控股股东、实际控制人或者与其有其他重大利害关系的公司发行的证券或承销期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按法律法规履行信息披露义务。重大关联交易应提交基金管理人董事会审议，并经过三分之二以上的独立董事通过。基金管理人董事会应至少每半年对关联交易事项进行审查。</w:t>
      </w:r>
    </w:p>
    <w:p w14:paraId="4C1210F9">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法律、行政法规或监管部门变更或取消上述规定，在履行适当程序后，本基金可按变更后的规定执行或不受上述规定的限制。</w:t>
      </w:r>
    </w:p>
    <w:p w14:paraId="20C11307">
      <w:pPr>
        <w:spacing w:line="360" w:lineRule="auto"/>
        <w:ind w:firstLine="482" w:firstLineChars="200"/>
        <w:rPr>
          <w:rFonts w:ascii="Times New Roman" w:hAnsi="Times New Roman" w:eastAsia="宋体" w:cs="Times New Roman"/>
          <w:b/>
          <w:sz w:val="24"/>
          <w:szCs w:val="20"/>
        </w:rPr>
      </w:pPr>
      <w:r>
        <w:rPr>
          <w:rFonts w:hint="eastAsia" w:ascii="Times New Roman" w:hAnsi="Times New Roman" w:eastAsia="宋体" w:cs="Times New Roman"/>
          <w:b/>
          <w:sz w:val="24"/>
          <w:szCs w:val="20"/>
        </w:rPr>
        <w:t>六、基金资产净值的计算方法和公告方式</w:t>
      </w:r>
    </w:p>
    <w:p w14:paraId="1530BEB5">
      <w:pPr>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（一）基金资产净值的计算方式</w:t>
      </w:r>
    </w:p>
    <w:p w14:paraId="31A9806C">
      <w:pPr>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基金资产净值是指基金资产总值减去基金负债后的价值。</w:t>
      </w:r>
    </w:p>
    <w:p w14:paraId="332D611A">
      <w:pPr>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（二）估值方法</w:t>
      </w:r>
    </w:p>
    <w:p w14:paraId="2FE6E10D">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1、本基金持有的目标ETF基金份额以其当日基金份额净值估值，当日无基金份额净值的，以最近工作日的基金份额净值估值。</w:t>
      </w:r>
    </w:p>
    <w:p w14:paraId="47ECB651">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2、交易所上市或挂牌转让的有价证券（包括股票等，本基金合同另有约定的除外），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14:paraId="148E2814">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3、对于已上市或已挂牌转让的不含权固定收益品种，选取估值日第三方估值基准服务机构提供的相应品种当日的估值全价进行估值。</w:t>
      </w:r>
    </w:p>
    <w:p w14:paraId="7D18BC1D">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4、对于已上市或已挂牌转让的含权固定收益品种，选取估值日第三方估值基准服务机构提供的相应品种当日的唯一估值全价或推荐估值全价进行估值。</w:t>
      </w:r>
    </w:p>
    <w:p w14:paraId="160110DC">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对于含投资者回售权的固定收益品种，行使回售权的，在回售登记日至实际收款日期间选取第三方估值基准服务机构提供的相应品种的唯一估值全价或推荐估值全价。回售登记期截止日（含当日）后未行使回售权的，按照长待偿期所对应的价格进行估值。</w:t>
      </w:r>
    </w:p>
    <w:p w14:paraId="45C2A486">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5、对于在交易所市场上市交易的公开发行的可转换债券等有活跃市场的含转股权的债券，实行全价交易的债券选取估值日收盘价作为估值全价；实行净价交易的债券选取估值日收盘价并加计每百元税前应计利息作为估值全价。</w:t>
      </w:r>
    </w:p>
    <w:p w14:paraId="210BB308">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6、对于未上市或未挂牌转让且不存在活跃市场的固定收益品种，应采用在当前情况下适用并且有足够可利用数据和其他信息支持的估值技术确定其公允价值。</w:t>
      </w:r>
    </w:p>
    <w:p w14:paraId="060B1E65">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7、处于未上市期间的有价证券应区分如下情况处理：</w:t>
      </w:r>
    </w:p>
    <w:p w14:paraId="64D2B651">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（1）送股、转增股、配股和公开增发的新股，按估值日在证券交易所挂牌的同一股票的估值方法估值；该日无交易的，以最近一日的市价（收盘价）估值；</w:t>
      </w:r>
    </w:p>
    <w:p w14:paraId="440F3A03">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（2）首次公开发行未上市的股票，采用估值技术确定公允价值；</w:t>
      </w:r>
    </w:p>
    <w:p w14:paraId="1C97C5CB">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3）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14:paraId="18E1A3B9">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8、本基金投资存托凭证的估值核算，依照境内上市交易的股票执行。</w:t>
      </w:r>
    </w:p>
    <w:p w14:paraId="497982B1">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9、同一证券同时在两个或两个以上市场交易的，按证券所处的市场分别估值。</w:t>
      </w:r>
    </w:p>
    <w:p w14:paraId="0C2B47F8">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10、本基金</w:t>
      </w:r>
      <w:r>
        <w:rPr>
          <w:rFonts w:hint="eastAsia" w:cs="宋体" w:asciiTheme="minorEastAsia" w:hAnsiTheme="minorEastAsia"/>
          <w:kern w:val="0"/>
          <w:sz w:val="24"/>
          <w:szCs w:val="24"/>
          <w:lang w:eastAsia="zh-CN"/>
        </w:rPr>
        <w:t>参与</w:t>
      </w:r>
      <w:r>
        <w:rPr>
          <w:rFonts w:hint="eastAsia" w:cs="宋体" w:asciiTheme="minorEastAsia" w:hAnsiTheme="minorEastAsia"/>
          <w:kern w:val="0"/>
          <w:sz w:val="24"/>
          <w:szCs w:val="24"/>
        </w:rPr>
        <w:t>股指期货合约、国债期货合约</w:t>
      </w:r>
      <w:r>
        <w:rPr>
          <w:rFonts w:hint="eastAsia" w:cs="宋体" w:asciiTheme="minorEastAsia" w:hAnsiTheme="minorEastAsia"/>
          <w:kern w:val="0"/>
          <w:sz w:val="24"/>
          <w:szCs w:val="24"/>
          <w:lang w:eastAsia="zh-CN"/>
        </w:rPr>
        <w:t>交易</w:t>
      </w:r>
      <w:r>
        <w:rPr>
          <w:rFonts w:hint="eastAsia" w:cs="宋体" w:asciiTheme="minorEastAsia" w:hAnsiTheme="minorEastAsia"/>
          <w:kern w:val="0"/>
          <w:sz w:val="24"/>
          <w:szCs w:val="24"/>
        </w:rPr>
        <w:t>，一般以估值当日结算价进行估值，估值当日无结算价的，且最近交易日后经济环境未发生重大变化的，采用最近交易日结算价估值。</w:t>
      </w:r>
    </w:p>
    <w:p w14:paraId="1CC13AC2">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11、本基金投资股票期权，根据相关法律法规以及监管部门的规定估值。</w:t>
      </w:r>
    </w:p>
    <w:p w14:paraId="1CF9A41C">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12、本基金参与融资及转融通证券出借业务的，应参照行业协会的相关规定进行估值，确保估值的公允性。</w:t>
      </w:r>
    </w:p>
    <w:p w14:paraId="3827A4B0">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cs="宋体" w:asciiTheme="minorEastAsia" w:hAnsiTheme="minorEastAsia"/>
          <w:kern w:val="0"/>
          <w:sz w:val="24"/>
          <w:szCs w:val="24"/>
        </w:rPr>
        <w:t>1</w:t>
      </w:r>
      <w:r>
        <w:rPr>
          <w:rFonts w:hint="eastAsia" w:cs="宋体" w:asciiTheme="minorEastAsia" w:hAnsiTheme="minorEastAsia"/>
          <w:kern w:val="0"/>
          <w:sz w:val="24"/>
          <w:szCs w:val="24"/>
        </w:rPr>
        <w:t>3、汇率</w:t>
      </w:r>
    </w:p>
    <w:p w14:paraId="692C0B94">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本基金外币资产价值计算中，涉及主要货币对人民币汇率的，应当以基金估值日中国人民银行或其授权机构公布的人民币汇率中间价为准。</w:t>
      </w:r>
    </w:p>
    <w:p w14:paraId="0271438C">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cs="宋体" w:asciiTheme="minorEastAsia" w:hAnsiTheme="minorEastAsia"/>
          <w:kern w:val="0"/>
          <w:sz w:val="24"/>
          <w:szCs w:val="24"/>
        </w:rPr>
        <w:t>1</w:t>
      </w:r>
      <w:r>
        <w:rPr>
          <w:rFonts w:hint="eastAsia" w:cs="宋体" w:asciiTheme="minorEastAsia" w:hAnsiTheme="minorEastAsia"/>
          <w:kern w:val="0"/>
          <w:sz w:val="24"/>
          <w:szCs w:val="24"/>
        </w:rPr>
        <w:t>4、如有确凿证据表明按上述方法进行估值不能客观反映其公允价值的，基金管理人可根据具体情况与基金托管人商定后，按最能反映公允价值的价格估值。</w:t>
      </w:r>
    </w:p>
    <w:p w14:paraId="535AC563">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15、当发生大额申购或赎回情形时，基金管理人可以采用摆动定价机制，以确保基金估值的公平性。具体处理原则与操作规范遵循相关法律法规以及监管部门、自律规则的规定。</w:t>
      </w:r>
    </w:p>
    <w:p w14:paraId="5CFB71F1">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cs="宋体" w:asciiTheme="minorEastAsia" w:hAnsiTheme="minorEastAsia"/>
          <w:kern w:val="0"/>
          <w:sz w:val="24"/>
          <w:szCs w:val="24"/>
        </w:rPr>
        <w:t>1</w:t>
      </w:r>
      <w:r>
        <w:rPr>
          <w:rFonts w:hint="eastAsia" w:cs="宋体" w:asciiTheme="minorEastAsia" w:hAnsiTheme="minorEastAsia"/>
          <w:kern w:val="0"/>
          <w:sz w:val="24"/>
          <w:szCs w:val="24"/>
        </w:rPr>
        <w:t>6、相关法律法规以及监管部门有强制规定的，从其规定。如有新增事项，按国家最新规定估值。</w:t>
      </w:r>
    </w:p>
    <w:p w14:paraId="0AC18A16">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如基金管理人或基金托管人发现基金估值违反基金合同订明的估值方法、程序及相关法律法规的规定或者未能充分维护基金份额持有人利益时，应立即通知对方，共同查明原因，双方协商解决。</w:t>
      </w:r>
    </w:p>
    <w:p w14:paraId="158878F5">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w:t>
      </w:r>
    </w:p>
    <w:p w14:paraId="428C7405">
      <w:pPr>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（三）基金净值信息</w:t>
      </w:r>
    </w:p>
    <w:p w14:paraId="5613A3B4">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基金管理人应当在不晚于每个开放日的次日，通过规定网站、基金销售机构网站或者营业网点披露开放日的各类基金份额净值和各类基金份额累计净值。</w:t>
      </w:r>
    </w:p>
    <w:p w14:paraId="3D030821">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基金管理人应当在不晚于半年度和年度最后一日的次日， 在规定网站公告半年度和年度最后一日各类基金份额净值和各类基金份额累计净值。</w:t>
      </w:r>
    </w:p>
    <w:p w14:paraId="08F218A0">
      <w:pPr>
        <w:spacing w:line="360" w:lineRule="auto"/>
        <w:ind w:firstLine="482" w:firstLineChars="200"/>
        <w:rPr>
          <w:rFonts w:ascii="Times New Roman" w:hAnsi="Times New Roman" w:eastAsia="宋体" w:cs="Times New Roman"/>
          <w:b/>
          <w:sz w:val="24"/>
          <w:szCs w:val="20"/>
          <w:lang w:val="zh-CN"/>
        </w:rPr>
      </w:pPr>
      <w:r>
        <w:rPr>
          <w:rFonts w:hint="eastAsia" w:ascii="Times New Roman" w:hAnsi="Times New Roman" w:eastAsia="宋体" w:cs="Times New Roman"/>
          <w:b/>
          <w:sz w:val="24"/>
          <w:szCs w:val="20"/>
          <w:lang w:val="zh-CN"/>
        </w:rPr>
        <w:t>七、基金合同的变更、终止与基金财产的清算</w:t>
      </w:r>
    </w:p>
    <w:p w14:paraId="2B14046A">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（一）《基金合同》的变更</w:t>
      </w:r>
    </w:p>
    <w:p w14:paraId="2B082727">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按法律法规报中国证监会备案。</w:t>
      </w:r>
    </w:p>
    <w:p w14:paraId="009C9559">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2、关于《基金合同》变更的基金份额持有人大会决议自生效后方可执行，自决议生效后按规定在规定媒介公告。</w:t>
      </w:r>
    </w:p>
    <w:p w14:paraId="7D7AAE3E">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（二）《基金合同》的终止事由</w:t>
      </w:r>
    </w:p>
    <w:p w14:paraId="6021E887">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有下列情形之一的，经履行相关程序后，《基金合同》应当终止：</w:t>
      </w:r>
    </w:p>
    <w:p w14:paraId="6C9DD0EA">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1、基金份额持有人大会决定终止的；</w:t>
      </w:r>
    </w:p>
    <w:p w14:paraId="2A4106ED">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2、基金管理人、基金托管人职责终止，在6个月内没有新基金管理人、新基金托管人承接的；</w:t>
      </w:r>
    </w:p>
    <w:p w14:paraId="0707DCE0">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cs="宋体" w:asciiTheme="minorEastAsia" w:hAnsiTheme="minorEastAsia"/>
          <w:kern w:val="0"/>
          <w:sz w:val="24"/>
          <w:szCs w:val="24"/>
        </w:rPr>
        <w:t>3</w:t>
      </w:r>
      <w:r>
        <w:rPr>
          <w:rFonts w:hint="eastAsia" w:cs="宋体" w:asciiTheme="minorEastAsia" w:hAnsiTheme="minorEastAsia"/>
          <w:kern w:val="0"/>
          <w:sz w:val="24"/>
          <w:szCs w:val="24"/>
        </w:rPr>
        <w:t>、出现标的指数不符合要求（因成份股价格波动等指数编制方法变动之外的因素致使标的指数不符合要求以及法律法规、监管机构另有规定的情形除外）、指数编制机构退出等情形，基金管理人召集基金份额持有人大会对解决方案进行表决，基金份额持有人大会未成功召开或就上述事项表决未通过的；</w:t>
      </w:r>
    </w:p>
    <w:p w14:paraId="4DFE8088">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cs="宋体" w:asciiTheme="minorEastAsia" w:hAnsiTheme="minorEastAsia"/>
          <w:kern w:val="0"/>
          <w:sz w:val="24"/>
          <w:szCs w:val="24"/>
        </w:rPr>
        <w:t>4</w:t>
      </w:r>
      <w:r>
        <w:rPr>
          <w:rFonts w:hint="eastAsia" w:cs="宋体" w:asciiTheme="minorEastAsia" w:hAnsiTheme="minorEastAsia"/>
          <w:kern w:val="0"/>
          <w:sz w:val="24"/>
          <w:szCs w:val="24"/>
        </w:rPr>
        <w:t>、《基金合同》约定的其他情形；</w:t>
      </w:r>
    </w:p>
    <w:p w14:paraId="7D358B8B">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cs="宋体" w:asciiTheme="minorEastAsia" w:hAnsiTheme="minorEastAsia"/>
          <w:kern w:val="0"/>
          <w:sz w:val="24"/>
          <w:szCs w:val="24"/>
        </w:rPr>
        <w:t>5</w:t>
      </w:r>
      <w:r>
        <w:rPr>
          <w:rFonts w:hint="eastAsia" w:cs="宋体" w:asciiTheme="minorEastAsia" w:hAnsiTheme="minorEastAsia"/>
          <w:kern w:val="0"/>
          <w:sz w:val="24"/>
          <w:szCs w:val="24"/>
        </w:rPr>
        <w:t>、相关法律法规和中国证监会规定的其他情况。</w:t>
      </w:r>
    </w:p>
    <w:p w14:paraId="702067C1">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（三）基金财产的清算</w:t>
      </w:r>
    </w:p>
    <w:p w14:paraId="67DA9A2E">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1、基金财产清算小组：自出现《基金合同》终止事由之日起30个工作日内成立基金财产清算小组，基金管理人组织基金财产清算小组并在中国证监会的监督下进行基金清算。</w:t>
      </w:r>
    </w:p>
    <w:p w14:paraId="7EDEC08B">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2、在基金财产清算小组接管基金财产之前，基金管理人和基金托管人应按照《基金合同》和托管协议的规定继续履行保护基金财产安全的职责。</w:t>
      </w:r>
    </w:p>
    <w:p w14:paraId="4E3B0118">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3、基金财产清算小组组成：基金财产清算小组成员由基金管理人、基金托管人、符合《中华人民共和国证券法》规定的注册会计师、律师以及中国证监会指定的人员组成。基金财产清算小组可以聘用必要的工作人员。</w:t>
      </w:r>
    </w:p>
    <w:p w14:paraId="4A632941">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4、基金财产清算小组职责：基金财产清算小组负责基金财产的保管、清理、估价、变现和分配。基金财产清算小组可以依法进行必要的民事活动。</w:t>
      </w:r>
    </w:p>
    <w:p w14:paraId="3A803511">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5、在基金财产清算过程中，基金管理人和基金托管人应各自履行职责，继续忠实、勤勉、尽责地履行基金合同和托管协议规定的义务，维护基金份额持有人的合法权益。</w:t>
      </w:r>
    </w:p>
    <w:p w14:paraId="669C0AE0">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6、基金财产清算程序：</w:t>
      </w:r>
    </w:p>
    <w:p w14:paraId="43D4C2FD">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（1）《基金合同》终止情形出现时，由基金财产清算小组统一接管基金；</w:t>
      </w:r>
    </w:p>
    <w:p w14:paraId="36AFE092">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（2）对基金财产和债权债务进行清理和确认；</w:t>
      </w:r>
    </w:p>
    <w:p w14:paraId="20F14C15">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（3）对基金财产进行估值和变现；</w:t>
      </w:r>
    </w:p>
    <w:p w14:paraId="68E4044F">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（4）制作清算报告；</w:t>
      </w:r>
    </w:p>
    <w:p w14:paraId="7218A931">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（5）聘请会计师事务所对清算报告进行外部审计，聘请律师事务所对清算报告出具法律意见书；</w:t>
      </w:r>
    </w:p>
    <w:p w14:paraId="4B28A842">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（6）将清算报告报中国证监会备案并公告；</w:t>
      </w:r>
    </w:p>
    <w:p w14:paraId="26EC5059">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（7）对基金剩余财产进行分配。</w:t>
      </w:r>
    </w:p>
    <w:p w14:paraId="3D7C2A7B">
      <w:pPr>
        <w:autoSpaceDE w:val="0"/>
        <w:autoSpaceDN w:val="0"/>
        <w:adjustRightInd w:val="0"/>
        <w:spacing w:line="360" w:lineRule="auto"/>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7、基金财产清算的期限为6个月，但因本基金所持证券的流动性受到限制而不能及时变现的，清算期限可相应顺延。</w:t>
      </w:r>
    </w:p>
    <w:p w14:paraId="7E0045BA">
      <w:pPr>
        <w:spacing w:line="360" w:lineRule="auto"/>
        <w:rPr>
          <w:rFonts w:ascii="Times New Roman" w:hAnsi="Times New Roman" w:eastAsia="宋体" w:cs="Times New Roman"/>
          <w:b/>
          <w:bCs/>
          <w:sz w:val="24"/>
          <w:szCs w:val="20"/>
        </w:rPr>
      </w:pPr>
      <w:r>
        <w:rPr>
          <w:rFonts w:ascii="宋体" w:hAnsi="宋体" w:eastAsia="宋体" w:cs="Times New Roman"/>
          <w:sz w:val="24"/>
          <w:szCs w:val="20"/>
        </w:rPr>
        <w:tab/>
      </w:r>
      <w:r>
        <w:rPr>
          <w:rFonts w:hint="eastAsia" w:ascii="Times New Roman" w:hAnsi="Times New Roman" w:eastAsia="宋体" w:cs="Times New Roman"/>
          <w:b/>
          <w:bCs/>
          <w:sz w:val="24"/>
          <w:szCs w:val="20"/>
        </w:rPr>
        <w:t>八、争议的处理</w:t>
      </w:r>
    </w:p>
    <w:p w14:paraId="4D1771C6">
      <w:pPr>
        <w:autoSpaceDE w:val="0"/>
        <w:autoSpaceDN w:val="0"/>
        <w:adjustRightInd w:val="0"/>
        <w:spacing w:line="360" w:lineRule="auto"/>
        <w:ind w:firstLine="480" w:firstLineChars="200"/>
        <w:jc w:val="left"/>
        <w:rPr>
          <w:rFonts w:cs="宋体" w:asciiTheme="minorEastAsia" w:hAnsiTheme="minorEastAsia"/>
          <w:bCs/>
          <w:iCs/>
          <w:kern w:val="0"/>
          <w:sz w:val="24"/>
          <w:szCs w:val="24"/>
        </w:rPr>
      </w:pPr>
      <w:r>
        <w:rPr>
          <w:rFonts w:hint="eastAsia" w:cs="宋体" w:asciiTheme="minorEastAsia" w:hAnsiTheme="minorEastAsia"/>
          <w:bCs/>
          <w:iCs/>
          <w:kern w:val="0"/>
          <w:sz w:val="24"/>
          <w:szCs w:val="24"/>
        </w:rPr>
        <w:t>各方当事人同意，因《基金合同》而产生的或与《基金合同》有关的一切争议，如不愿或者不能通过协商、调解解决的，任何一方均有权将争议提交深圳国际仲裁院（深圳仲裁委员会），按照深圳国际仲裁院（深圳仲裁委员会）届时有效的仲裁规则进行仲裁。仲裁地点为深圳市。仲裁裁决是终局的，对</w:t>
      </w:r>
      <w:r>
        <w:rPr>
          <w:rFonts w:cs="宋体" w:asciiTheme="minorEastAsia" w:hAnsiTheme="minorEastAsia"/>
          <w:bCs/>
          <w:iCs/>
          <w:kern w:val="0"/>
          <w:sz w:val="24"/>
          <w:szCs w:val="24"/>
        </w:rPr>
        <w:t>各</w:t>
      </w:r>
      <w:r>
        <w:rPr>
          <w:rFonts w:hint="eastAsia" w:cs="宋体" w:asciiTheme="minorEastAsia" w:hAnsiTheme="minorEastAsia"/>
          <w:bCs/>
          <w:iCs/>
          <w:kern w:val="0"/>
          <w:sz w:val="24"/>
          <w:szCs w:val="24"/>
        </w:rPr>
        <w:t>方当事人均有约束力。除非仲裁裁决另有规定，仲裁费用、律师费用由败诉方承担。</w:t>
      </w:r>
    </w:p>
    <w:p w14:paraId="3A8E4230">
      <w:pPr>
        <w:autoSpaceDE w:val="0"/>
        <w:autoSpaceDN w:val="0"/>
        <w:adjustRightInd w:val="0"/>
        <w:spacing w:line="360" w:lineRule="auto"/>
        <w:ind w:firstLine="480" w:firstLineChars="200"/>
        <w:jc w:val="left"/>
        <w:rPr>
          <w:rFonts w:cs="宋体" w:asciiTheme="minorEastAsia" w:hAnsiTheme="minorEastAsia"/>
          <w:bCs/>
          <w:iCs/>
          <w:kern w:val="0"/>
          <w:sz w:val="24"/>
          <w:szCs w:val="24"/>
        </w:rPr>
      </w:pPr>
      <w:r>
        <w:rPr>
          <w:rFonts w:hint="eastAsia" w:cs="宋体" w:asciiTheme="minorEastAsia" w:hAnsiTheme="minorEastAsia"/>
          <w:bCs/>
          <w:iCs/>
          <w:kern w:val="0"/>
          <w:sz w:val="24"/>
          <w:szCs w:val="24"/>
        </w:rPr>
        <w:t>争议处理期间，基金管理人、基金托管人应恪守基金管理人和基金托管人的职责，各自继续忠实、勤勉、尽责地履行基金合同和基金托管协议规定的义务，维护基金份额持有人的合法权益。</w:t>
      </w:r>
    </w:p>
    <w:p w14:paraId="749CFD3A">
      <w:pPr>
        <w:autoSpaceDE w:val="0"/>
        <w:autoSpaceDN w:val="0"/>
        <w:adjustRightInd w:val="0"/>
        <w:spacing w:line="360" w:lineRule="auto"/>
        <w:ind w:firstLine="480" w:firstLineChars="200"/>
        <w:jc w:val="left"/>
        <w:rPr>
          <w:rFonts w:cs="宋体" w:asciiTheme="minorEastAsia" w:hAnsiTheme="minorEastAsia"/>
          <w:bCs/>
          <w:iCs/>
          <w:kern w:val="0"/>
          <w:sz w:val="24"/>
          <w:szCs w:val="24"/>
        </w:rPr>
      </w:pPr>
      <w:r>
        <w:rPr>
          <w:rFonts w:hint="eastAsia" w:cs="宋体" w:asciiTheme="minorEastAsia" w:hAnsiTheme="minorEastAsia"/>
          <w:bCs/>
          <w:iCs/>
          <w:kern w:val="0"/>
          <w:sz w:val="24"/>
          <w:szCs w:val="24"/>
        </w:rPr>
        <w:t>《基金合同》受中国法律（为本基金合同之目的，在此不包括香港、澳门特别行政区和台湾地区法律）管辖，并从其解释。</w:t>
      </w:r>
    </w:p>
    <w:p w14:paraId="0D942772">
      <w:pPr>
        <w:numPr>
          <w:ilvl w:val="0"/>
          <w:numId w:val="4"/>
        </w:numPr>
        <w:spacing w:line="360" w:lineRule="auto"/>
        <w:ind w:firstLine="482" w:firstLineChars="200"/>
        <w:rPr>
          <w:rFonts w:ascii="Times New Roman" w:hAnsi="Times New Roman" w:eastAsia="宋体" w:cs="Times New Roman"/>
          <w:b/>
          <w:sz w:val="24"/>
          <w:szCs w:val="20"/>
        </w:rPr>
      </w:pPr>
      <w:r>
        <w:rPr>
          <w:rFonts w:hint="eastAsia" w:ascii="Times New Roman" w:hAnsi="Times New Roman" w:eastAsia="宋体" w:cs="Times New Roman"/>
          <w:b/>
          <w:sz w:val="24"/>
          <w:szCs w:val="20"/>
        </w:rPr>
        <w:t>基金合同存放地和投资者取得合同的方式</w:t>
      </w:r>
    </w:p>
    <w:p w14:paraId="7AFAC178">
      <w:pPr>
        <w:spacing w:line="360" w:lineRule="auto"/>
        <w:ind w:firstLine="360" w:firstLineChars="150"/>
        <w:rPr>
          <w:rFonts w:ascii="宋体" w:hAnsi="宋体"/>
          <w:sz w:val="24"/>
        </w:rPr>
      </w:pPr>
      <w:r>
        <w:rPr>
          <w:rFonts w:hint="eastAsia" w:cs="宋体" w:asciiTheme="minorEastAsia" w:hAnsiTheme="minorEastAsia"/>
          <w:kern w:val="0"/>
          <w:sz w:val="24"/>
          <w:szCs w:val="24"/>
        </w:rPr>
        <w:t>《基金合同》可印制成册，供投资者在基金管理人、基金托管人、销售机构的办公场所和营业场所查阅。</w:t>
      </w:r>
    </w:p>
    <w:p w14:paraId="2026F0C4">
      <w:pPr>
        <w:rPr>
          <w:lang w:val="zh-CN"/>
        </w:rPr>
      </w:pPr>
      <w:bookmarkStart w:id="57" w:name="_GoBack"/>
      <w:bookmarkEnd w:id="57"/>
    </w:p>
    <w:sectPr>
      <w:footerReference r:id="rId26" w:type="default"/>
      <w:pgSz w:w="11906" w:h="16838"/>
      <w:pgMar w:top="1418" w:right="1701" w:bottom="1418" w:left="1701"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decorative"/>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Microsoft YaHe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64589510"/>
    </w:sdtPr>
    <w:sdtContent>
      <w:p w14:paraId="3B0C7548">
        <w:pPr>
          <w:pStyle w:val="9"/>
          <w:jc w:val="center"/>
        </w:pPr>
        <w:r>
          <w:rPr>
            <w:rFonts w:hint="eastAsia"/>
          </w:rPr>
          <w:t>1-</w:t>
        </w:r>
        <w:r>
          <w:fldChar w:fldCharType="begin"/>
        </w:r>
        <w:r>
          <w:instrText xml:space="preserve">PAGE   \* MERGEFORMAT</w:instrText>
        </w:r>
        <w:r>
          <w:fldChar w:fldCharType="separate"/>
        </w:r>
        <w:r>
          <w:rPr>
            <w:lang w:val="zh-CN"/>
          </w:rPr>
          <w:t>3</w:t>
        </w:r>
        <w:r>
          <w:fldChar w:fldCharType="end"/>
        </w:r>
      </w:p>
    </w:sdtContent>
  </w:sdt>
  <w:p w14:paraId="33D70D51">
    <w:pPr>
      <w:pStyle w:val="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62290991"/>
    </w:sdtPr>
    <w:sdtContent>
      <w:p w14:paraId="2C14DF85">
        <w:pPr>
          <w:pStyle w:val="9"/>
          <w:jc w:val="center"/>
        </w:pPr>
        <w:r>
          <w:rPr>
            <w:rFonts w:hint="eastAsia"/>
          </w:rPr>
          <w:t>2-</w:t>
        </w:r>
        <w:r>
          <w:fldChar w:fldCharType="begin"/>
        </w:r>
        <w:r>
          <w:instrText xml:space="preserve">PAGE   \* MERGEFORMAT</w:instrText>
        </w:r>
        <w:r>
          <w:fldChar w:fldCharType="separate"/>
        </w:r>
        <w:r>
          <w:rPr>
            <w:lang w:val="zh-CN"/>
          </w:rPr>
          <w:t>6</w:t>
        </w:r>
        <w:r>
          <w:fldChar w:fldCharType="end"/>
        </w:r>
      </w:p>
    </w:sdtContent>
  </w:sdt>
  <w:p w14:paraId="419D742F">
    <w:pPr>
      <w:pStyle w:val="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sdtPr>
    <w:sdtContent>
      <w:p w14:paraId="0014CCF4">
        <w:pPr>
          <w:pStyle w:val="9"/>
          <w:jc w:val="center"/>
        </w:pPr>
        <w:r>
          <w:rPr>
            <w:rFonts w:hint="eastAsia"/>
          </w:rPr>
          <w:t>3-</w:t>
        </w:r>
        <w:r>
          <w:fldChar w:fldCharType="begin"/>
        </w:r>
        <w:r>
          <w:instrText xml:space="preserve">PAGE   \* MERGEFORMAT</w:instrText>
        </w:r>
        <w:r>
          <w:fldChar w:fldCharType="separate"/>
        </w:r>
        <w:r>
          <w:rPr>
            <w:lang w:val="zh-CN"/>
          </w:rPr>
          <w:t>2</w:t>
        </w:r>
        <w:r>
          <w:fldChar w:fldCharType="end"/>
        </w:r>
      </w:p>
    </w:sdtContent>
  </w:sdt>
  <w:p w14:paraId="015DD075">
    <w:pPr>
      <w:pStyle w:val="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58107305"/>
    </w:sdtPr>
    <w:sdtContent>
      <w:p w14:paraId="44DFD475">
        <w:pPr>
          <w:pStyle w:val="9"/>
          <w:jc w:val="center"/>
        </w:pPr>
        <w:r>
          <w:rPr>
            <w:rFonts w:hint="eastAsia"/>
          </w:rPr>
          <w:t>4-</w:t>
        </w:r>
        <w:r>
          <w:fldChar w:fldCharType="begin"/>
        </w:r>
        <w:r>
          <w:instrText xml:space="preserve">PAGE   \* MERGEFORMAT</w:instrText>
        </w:r>
        <w:r>
          <w:fldChar w:fldCharType="separate"/>
        </w:r>
        <w:r>
          <w:rPr>
            <w:lang w:val="zh-CN"/>
          </w:rPr>
          <w:t>2</w:t>
        </w:r>
        <w:r>
          <w:fldChar w:fldCharType="end"/>
        </w:r>
      </w:p>
    </w:sdtContent>
  </w:sdt>
  <w:p w14:paraId="26DF5439">
    <w:pPr>
      <w:pStyle w:val="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5708059"/>
    </w:sdtPr>
    <w:sdtContent>
      <w:p w14:paraId="2E53FC51">
        <w:pPr>
          <w:pStyle w:val="9"/>
          <w:jc w:val="center"/>
        </w:pPr>
        <w:r>
          <w:rPr>
            <w:rFonts w:hint="eastAsia"/>
          </w:rPr>
          <w:t>5-</w:t>
        </w:r>
        <w:r>
          <w:fldChar w:fldCharType="begin"/>
        </w:r>
        <w:r>
          <w:instrText xml:space="preserve">PAGE   \* MERGEFORMAT</w:instrText>
        </w:r>
        <w:r>
          <w:fldChar w:fldCharType="separate"/>
        </w:r>
        <w:r>
          <w:rPr>
            <w:lang w:val="zh-CN"/>
          </w:rPr>
          <w:t>1</w:t>
        </w:r>
        <w:r>
          <w:fldChar w:fldCharType="end"/>
        </w:r>
      </w:p>
    </w:sdtContent>
  </w:sdt>
  <w:p w14:paraId="5530C235">
    <w:pPr>
      <w:pStyle w:val="9"/>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810373558"/>
    </w:sdtPr>
    <w:sdtContent>
      <w:p w14:paraId="7EB198D4">
        <w:pPr>
          <w:pStyle w:val="9"/>
          <w:jc w:val="center"/>
        </w:pPr>
        <w:r>
          <w:rPr>
            <w:rFonts w:hint="eastAsia"/>
          </w:rPr>
          <w:t>6-</w:t>
        </w:r>
        <w:r>
          <w:fldChar w:fldCharType="begin"/>
        </w:r>
        <w:r>
          <w:instrText xml:space="preserve">PAGE   \* MERGEFORMAT</w:instrText>
        </w:r>
        <w:r>
          <w:fldChar w:fldCharType="separate"/>
        </w:r>
        <w:r>
          <w:rPr>
            <w:lang w:val="zh-CN"/>
          </w:rPr>
          <w:t>5</w:t>
        </w:r>
        <w:r>
          <w:fldChar w:fldCharType="end"/>
        </w:r>
      </w:p>
    </w:sdtContent>
  </w:sdt>
  <w:p w14:paraId="0188DCB0">
    <w:pPr>
      <w:pStyle w:val="9"/>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80638690"/>
    </w:sdtPr>
    <w:sdtContent>
      <w:p w14:paraId="7C4EF73E">
        <w:pPr>
          <w:pStyle w:val="9"/>
          <w:jc w:val="center"/>
        </w:pPr>
        <w:r>
          <w:rPr>
            <w:rFonts w:hint="eastAsia"/>
          </w:rPr>
          <w:t>7-</w:t>
        </w:r>
        <w:r>
          <w:fldChar w:fldCharType="begin"/>
        </w:r>
        <w:r>
          <w:instrText xml:space="preserve">PAGE   \* MERGEFORMAT</w:instrText>
        </w:r>
        <w:r>
          <w:fldChar w:fldCharType="separate"/>
        </w:r>
        <w:r>
          <w:rPr>
            <w:lang w:val="zh-CN"/>
          </w:rPr>
          <w:t>7</w:t>
        </w:r>
        <w:r>
          <w:fldChar w:fldCharType="end"/>
        </w:r>
      </w:p>
    </w:sdtContent>
  </w:sdt>
  <w:p w14:paraId="4E15E33A">
    <w:pPr>
      <w:pStyle w:val="9"/>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92783646"/>
    </w:sdtPr>
    <w:sdtContent>
      <w:p w14:paraId="7CD3D9BC">
        <w:pPr>
          <w:pStyle w:val="9"/>
          <w:jc w:val="center"/>
        </w:pPr>
        <w:r>
          <w:rPr>
            <w:rFonts w:hint="eastAsia"/>
          </w:rPr>
          <w:t>8-</w:t>
        </w:r>
        <w:r>
          <w:fldChar w:fldCharType="begin"/>
        </w:r>
        <w:r>
          <w:instrText xml:space="preserve">PAGE   \* MERGEFORMAT</w:instrText>
        </w:r>
        <w:r>
          <w:fldChar w:fldCharType="separate"/>
        </w:r>
        <w:r>
          <w:rPr>
            <w:lang w:val="zh-CN"/>
          </w:rPr>
          <w:t>9</w:t>
        </w:r>
        <w:r>
          <w:fldChar w:fldCharType="end"/>
        </w:r>
      </w:p>
    </w:sdtContent>
  </w:sdt>
  <w:p w14:paraId="58A46EE4">
    <w:pPr>
      <w:pStyle w:val="9"/>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57568264"/>
    </w:sdtPr>
    <w:sdtContent>
      <w:p w14:paraId="6C355E19">
        <w:pPr>
          <w:pStyle w:val="9"/>
          <w:jc w:val="center"/>
        </w:pPr>
        <w:r>
          <w:rPr>
            <w:rFonts w:hint="eastAsia"/>
          </w:rPr>
          <w:t>9-</w:t>
        </w:r>
        <w:r>
          <w:fldChar w:fldCharType="begin"/>
        </w:r>
        <w:r>
          <w:instrText xml:space="preserve">PAGE   \* MERGEFORMAT</w:instrText>
        </w:r>
        <w:r>
          <w:fldChar w:fldCharType="separate"/>
        </w:r>
        <w:r>
          <w:rPr>
            <w:lang w:val="zh-CN"/>
          </w:rPr>
          <w:t>3</w:t>
        </w:r>
        <w:r>
          <w:fldChar w:fldCharType="end"/>
        </w:r>
      </w:p>
    </w:sdtContent>
  </w:sdt>
  <w:p w14:paraId="0CB260F0">
    <w:pPr>
      <w:pStyle w:val="9"/>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99049421"/>
    </w:sdtPr>
    <w:sdtContent>
      <w:p w14:paraId="4E0BDA5F">
        <w:pPr>
          <w:pStyle w:val="9"/>
          <w:jc w:val="center"/>
        </w:pPr>
        <w:r>
          <w:rPr>
            <w:rFonts w:hint="eastAsia"/>
          </w:rPr>
          <w:t>10-</w:t>
        </w:r>
        <w:r>
          <w:fldChar w:fldCharType="begin"/>
        </w:r>
        <w:r>
          <w:instrText xml:space="preserve">PAGE   \* MERGEFORMAT</w:instrText>
        </w:r>
        <w:r>
          <w:fldChar w:fldCharType="separate"/>
        </w:r>
        <w:r>
          <w:rPr>
            <w:lang w:val="zh-CN"/>
          </w:rPr>
          <w:t>1</w:t>
        </w:r>
        <w:r>
          <w:fldChar w:fldCharType="end"/>
        </w:r>
      </w:p>
    </w:sdtContent>
  </w:sdt>
  <w:p w14:paraId="22677345">
    <w:pPr>
      <w:pStyle w:val="9"/>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91462335"/>
    </w:sdtPr>
    <w:sdtContent>
      <w:p w14:paraId="1016E7E6">
        <w:pPr>
          <w:pStyle w:val="9"/>
          <w:jc w:val="center"/>
        </w:pPr>
        <w:r>
          <w:rPr>
            <w:rFonts w:hint="eastAsia"/>
          </w:rPr>
          <w:t>11-</w:t>
        </w:r>
        <w:r>
          <w:fldChar w:fldCharType="begin"/>
        </w:r>
        <w:r>
          <w:instrText xml:space="preserve">PAGE   \* MERGEFORMAT</w:instrText>
        </w:r>
        <w:r>
          <w:fldChar w:fldCharType="separate"/>
        </w:r>
        <w:r>
          <w:rPr>
            <w:lang w:val="zh-CN"/>
          </w:rPr>
          <w:t>2</w:t>
        </w:r>
        <w:r>
          <w:fldChar w:fldCharType="end"/>
        </w:r>
      </w:p>
    </w:sdtContent>
  </w:sdt>
  <w:p w14:paraId="534B9AE2">
    <w:pPr>
      <w:pStyle w:val="9"/>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04427333"/>
    </w:sdtPr>
    <w:sdtContent>
      <w:p w14:paraId="452F2BDA">
        <w:pPr>
          <w:pStyle w:val="9"/>
          <w:jc w:val="center"/>
        </w:pPr>
        <w:r>
          <w:rPr>
            <w:rFonts w:hint="eastAsia"/>
          </w:rPr>
          <w:t>12-</w:t>
        </w:r>
        <w:r>
          <w:fldChar w:fldCharType="begin"/>
        </w:r>
        <w:r>
          <w:instrText xml:space="preserve">PAGE   \* MERGEFORMAT</w:instrText>
        </w:r>
        <w:r>
          <w:fldChar w:fldCharType="separate"/>
        </w:r>
        <w:r>
          <w:rPr>
            <w:lang w:val="zh-CN"/>
          </w:rPr>
          <w:t>9</w:t>
        </w:r>
        <w:r>
          <w:fldChar w:fldCharType="end"/>
        </w:r>
      </w:p>
    </w:sdtContent>
  </w:sdt>
  <w:p w14:paraId="2C17F995">
    <w:pPr>
      <w:pStyle w:val="9"/>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98766491"/>
    </w:sdtPr>
    <w:sdtContent>
      <w:p w14:paraId="17C81375">
        <w:pPr>
          <w:pStyle w:val="9"/>
          <w:jc w:val="center"/>
        </w:pPr>
        <w:r>
          <w:rPr>
            <w:rFonts w:hint="eastAsia"/>
          </w:rPr>
          <w:t>13-</w:t>
        </w:r>
        <w:r>
          <w:fldChar w:fldCharType="begin"/>
        </w:r>
        <w:r>
          <w:instrText xml:space="preserve">PAGE   \* MERGEFORMAT</w:instrText>
        </w:r>
        <w:r>
          <w:fldChar w:fldCharType="separate"/>
        </w:r>
        <w:r>
          <w:rPr>
            <w:lang w:val="zh-CN"/>
          </w:rPr>
          <w:t>1</w:t>
        </w:r>
        <w:r>
          <w:fldChar w:fldCharType="end"/>
        </w:r>
      </w:p>
    </w:sdtContent>
  </w:sdt>
  <w:p w14:paraId="65A5A87B">
    <w:pPr>
      <w:pStyle w:val="9"/>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22565797"/>
    </w:sdtPr>
    <w:sdtContent>
      <w:p w14:paraId="07E6022F">
        <w:pPr>
          <w:pStyle w:val="9"/>
          <w:jc w:val="center"/>
        </w:pPr>
        <w:r>
          <w:rPr>
            <w:rFonts w:hint="eastAsia"/>
          </w:rPr>
          <w:t>14-</w:t>
        </w:r>
        <w:r>
          <w:fldChar w:fldCharType="begin"/>
        </w:r>
        <w:r>
          <w:instrText xml:space="preserve">PAGE   \* MERGEFORMAT</w:instrText>
        </w:r>
        <w:r>
          <w:fldChar w:fldCharType="separate"/>
        </w:r>
        <w:r>
          <w:rPr>
            <w:lang w:val="zh-CN"/>
          </w:rPr>
          <w:t>7</w:t>
        </w:r>
        <w:r>
          <w:fldChar w:fldCharType="end"/>
        </w:r>
      </w:p>
    </w:sdtContent>
  </w:sdt>
  <w:p w14:paraId="20669916">
    <w:pPr>
      <w:pStyle w:val="9"/>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347577"/>
    </w:sdtPr>
    <w:sdtContent>
      <w:p w14:paraId="4F575BD4">
        <w:pPr>
          <w:pStyle w:val="9"/>
          <w:jc w:val="center"/>
        </w:pPr>
        <w:r>
          <w:rPr>
            <w:rFonts w:hint="eastAsia"/>
          </w:rPr>
          <w:t>15-</w:t>
        </w:r>
        <w:r>
          <w:fldChar w:fldCharType="begin"/>
        </w:r>
        <w:r>
          <w:instrText xml:space="preserve">PAGE   \* MERGEFORMAT</w:instrText>
        </w:r>
        <w:r>
          <w:fldChar w:fldCharType="separate"/>
        </w:r>
        <w:r>
          <w:rPr>
            <w:lang w:val="zh-CN"/>
          </w:rPr>
          <w:t>3</w:t>
        </w:r>
        <w:r>
          <w:fldChar w:fldCharType="end"/>
        </w:r>
      </w:p>
    </w:sdtContent>
  </w:sdt>
  <w:p w14:paraId="1C053D60">
    <w:pPr>
      <w:pStyle w:val="9"/>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45931259"/>
    </w:sdtPr>
    <w:sdtContent>
      <w:p w14:paraId="1B3B8A5E">
        <w:pPr>
          <w:pStyle w:val="9"/>
          <w:jc w:val="center"/>
        </w:pPr>
        <w:r>
          <w:rPr>
            <w:rFonts w:hint="eastAsia"/>
          </w:rPr>
          <w:t>16-</w:t>
        </w:r>
        <w:r>
          <w:fldChar w:fldCharType="begin"/>
        </w:r>
        <w:r>
          <w:instrText xml:space="preserve">PAGE   \* MERGEFORMAT</w:instrText>
        </w:r>
        <w:r>
          <w:fldChar w:fldCharType="separate"/>
        </w:r>
        <w:r>
          <w:rPr>
            <w:lang w:val="zh-CN"/>
          </w:rPr>
          <w:t>2</w:t>
        </w:r>
        <w:r>
          <w:fldChar w:fldCharType="end"/>
        </w:r>
      </w:p>
    </w:sdtContent>
  </w:sdt>
  <w:p w14:paraId="5DDDFDFC">
    <w:pPr>
      <w:pStyle w:val="9"/>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504279275"/>
    </w:sdtPr>
    <w:sdtContent>
      <w:p w14:paraId="09D1309D">
        <w:pPr>
          <w:pStyle w:val="9"/>
          <w:jc w:val="center"/>
        </w:pPr>
        <w:r>
          <w:rPr>
            <w:rFonts w:hint="eastAsia"/>
          </w:rPr>
          <w:t>17-</w:t>
        </w:r>
        <w:r>
          <w:fldChar w:fldCharType="begin"/>
        </w:r>
        <w:r>
          <w:instrText xml:space="preserve">PAGE   \* MERGEFORMAT</w:instrText>
        </w:r>
        <w:r>
          <w:fldChar w:fldCharType="separate"/>
        </w:r>
        <w:r>
          <w:rPr>
            <w:lang w:val="zh-CN"/>
          </w:rPr>
          <w:t>1</w:t>
        </w:r>
        <w:r>
          <w:fldChar w:fldCharType="end"/>
        </w:r>
      </w:p>
    </w:sdtContent>
  </w:sdt>
  <w:p w14:paraId="341B3479">
    <w:pPr>
      <w:pStyle w:val="9"/>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68794555"/>
    </w:sdtPr>
    <w:sdtContent>
      <w:p w14:paraId="5678C3DF">
        <w:pPr>
          <w:pStyle w:val="9"/>
          <w:jc w:val="center"/>
        </w:pPr>
        <w:r>
          <w:rPr>
            <w:rFonts w:hint="eastAsia"/>
          </w:rPr>
          <w:t>19-</w:t>
        </w:r>
        <w:r>
          <w:fldChar w:fldCharType="begin"/>
        </w:r>
        <w:r>
          <w:instrText xml:space="preserve">PAGE   \* MERGEFORMAT</w:instrText>
        </w:r>
        <w:r>
          <w:fldChar w:fldCharType="separate"/>
        </w:r>
        <w:r>
          <w:rPr>
            <w:lang w:val="zh-CN"/>
          </w:rPr>
          <w:t>8</w:t>
        </w:r>
        <w:r>
          <w:fldChar w:fldCharType="end"/>
        </w:r>
      </w:p>
    </w:sdtContent>
  </w:sdt>
  <w:p w14:paraId="296E04AD">
    <w:pPr>
      <w:pStyle w:val="9"/>
    </w:pP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64824699"/>
    </w:sdtPr>
    <w:sdtContent>
      <w:p w14:paraId="5C9BF1D0">
        <w:pPr>
          <w:pStyle w:val="9"/>
          <w:jc w:val="center"/>
        </w:pPr>
        <w:r>
          <w:rPr>
            <w:rFonts w:hint="eastAsia"/>
          </w:rPr>
          <w:t>20-</w:t>
        </w:r>
        <w:r>
          <w:fldChar w:fldCharType="begin"/>
        </w:r>
        <w:r>
          <w:instrText xml:space="preserve">PAGE   \* MERGEFORMAT</w:instrText>
        </w:r>
        <w:r>
          <w:fldChar w:fldCharType="separate"/>
        </w:r>
        <w:r>
          <w:rPr>
            <w:lang w:val="zh-CN"/>
          </w:rPr>
          <w:t>1</w:t>
        </w:r>
        <w:r>
          <w:fldChar w:fldCharType="end"/>
        </w:r>
      </w:p>
    </w:sdtContent>
  </w:sdt>
  <w:p w14:paraId="16483D19">
    <w:pPr>
      <w:pStyle w:val="9"/>
    </w:pP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68052798"/>
    </w:sdtPr>
    <w:sdtContent>
      <w:p w14:paraId="69BA87DD">
        <w:pPr>
          <w:pStyle w:val="9"/>
          <w:jc w:val="center"/>
        </w:pPr>
        <w:r>
          <w:rPr>
            <w:rFonts w:hint="eastAsia"/>
          </w:rPr>
          <w:t>21-</w:t>
        </w:r>
        <w:r>
          <w:fldChar w:fldCharType="begin"/>
        </w:r>
        <w:r>
          <w:instrText xml:space="preserve">PAGE   \* MERGEFORMAT</w:instrText>
        </w:r>
        <w:r>
          <w:fldChar w:fldCharType="separate"/>
        </w:r>
        <w:r>
          <w:rPr>
            <w:lang w:val="zh-CN"/>
          </w:rPr>
          <w:t>1</w:t>
        </w:r>
        <w:r>
          <w:fldChar w:fldCharType="end"/>
        </w:r>
      </w:p>
    </w:sdtContent>
  </w:sdt>
  <w:p w14:paraId="68F616DB">
    <w:pPr>
      <w:pStyle w:val="9"/>
    </w:pP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265269233"/>
    </w:sdtPr>
    <w:sdtContent>
      <w:p w14:paraId="785B8186">
        <w:pPr>
          <w:pStyle w:val="9"/>
          <w:jc w:val="center"/>
        </w:pPr>
        <w:r>
          <w:rPr>
            <w:rFonts w:hint="eastAsia"/>
          </w:rPr>
          <w:t>22-</w:t>
        </w:r>
        <w:r>
          <w:fldChar w:fldCharType="begin"/>
        </w:r>
        <w:r>
          <w:instrText xml:space="preserve">PAGE   \* MERGEFORMAT</w:instrText>
        </w:r>
        <w:r>
          <w:fldChar w:fldCharType="separate"/>
        </w:r>
        <w:r>
          <w:rPr>
            <w:lang w:val="zh-CN"/>
          </w:rPr>
          <w:t>1</w:t>
        </w:r>
        <w:r>
          <w:fldChar w:fldCharType="end"/>
        </w:r>
      </w:p>
    </w:sdtContent>
  </w:sdt>
  <w:p w14:paraId="04275BF8">
    <w:pPr>
      <w:pStyle w:val="9"/>
    </w:pP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31559662"/>
    </w:sdtPr>
    <w:sdtContent>
      <w:p w14:paraId="17E1DE5C">
        <w:pPr>
          <w:pStyle w:val="9"/>
          <w:jc w:val="center"/>
        </w:pPr>
        <w:r>
          <w:rPr>
            <w:rFonts w:hint="eastAsia"/>
          </w:rPr>
          <w:t>2</w:t>
        </w:r>
        <w:r>
          <w:t>3</w:t>
        </w:r>
        <w:r>
          <w:rPr>
            <w:rFonts w:hint="eastAsia"/>
          </w:rPr>
          <w:t>-</w:t>
        </w:r>
        <w:r>
          <w:fldChar w:fldCharType="begin"/>
        </w:r>
        <w:r>
          <w:instrText xml:space="preserve">PAGE   \* MERGEFORMAT</w:instrText>
        </w:r>
        <w:r>
          <w:fldChar w:fldCharType="separate"/>
        </w:r>
        <w:r>
          <w:rPr>
            <w:lang w:val="zh-CN"/>
          </w:rPr>
          <w:t>1</w:t>
        </w:r>
        <w:r>
          <w:fldChar w:fldCharType="end"/>
        </w:r>
      </w:p>
    </w:sdtContent>
  </w:sdt>
  <w:p w14:paraId="796FE0A1">
    <w:pPr>
      <w:pStyle w:val="9"/>
    </w:pP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B0C670">
    <w:pPr>
      <w:pStyle w:val="9"/>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5" name="文本框 7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99C0AA">
                          <w:pPr>
                            <w:pStyle w:val="9"/>
                          </w:pPr>
                          <w:r>
                            <w:rPr>
                              <w:rFonts w:hint="eastAsia"/>
                            </w:rPr>
                            <w:t>24-</w:t>
                          </w: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K5hCotAgAAVwQAAA4AAABkcnMvZTJvRG9jLnhtbK1UzY7TMBC+I/EO&#10;lu80adEu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r65ok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QrdZFjb6wfII&#10;HcXzdrkPEDDpGkXplThrhX5LlTnPRmzoP/cp6vF/sPgN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DK5hCotAgAAVwQAAA4AAAAAAAAAAQAgAAAAHwEAAGRycy9lMm9Eb2MueG1sUEsFBgAAAAAG&#10;AAYAWQEAAL4FAAAAAA==&#10;">
              <v:fill on="f" focussize="0,0"/>
              <v:stroke on="f" weight="0.5pt"/>
              <v:imagedata o:title=""/>
              <o:lock v:ext="edit" aspectratio="f"/>
              <v:textbox inset="0mm,0mm,0mm,0mm" style="mso-fit-shape-to-text:t;">
                <w:txbxContent>
                  <w:p w14:paraId="2B99C0AA">
                    <w:pPr>
                      <w:pStyle w:val="9"/>
                    </w:pPr>
                    <w:r>
                      <w:rPr>
                        <w:rFonts w:hint="eastAsia"/>
                      </w:rPr>
                      <w:t>24-</w:t>
                    </w: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B6A6D3">
    <w:pPr>
      <w:pStyle w:val="10"/>
      <w:jc w:val="right"/>
    </w:pPr>
    <w:r>
      <w:rPr>
        <w:rFonts w:hint="eastAsia" w:cs="宋体" w:asciiTheme="minorEastAsia" w:hAnsiTheme="minorEastAsia"/>
        <w:kern w:val="0"/>
      </w:rPr>
      <w:t>博时中证有色金属矿业主题交易型开放式指数证券投资基金联接基金基金合同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FAE5E94"/>
    <w:multiLevelType w:val="singleLevel"/>
    <w:tmpl w:val="9FAE5E94"/>
    <w:lvl w:ilvl="0" w:tentative="0">
      <w:start w:val="1"/>
      <w:numFmt w:val="decimal"/>
      <w:suff w:val="nothing"/>
      <w:lvlText w:val="%1、"/>
      <w:lvlJc w:val="left"/>
      <w:pPr>
        <w:tabs>
          <w:tab w:val="left" w:pos="0"/>
        </w:tabs>
        <w:ind w:left="0" w:firstLine="40"/>
      </w:pPr>
      <w:rPr>
        <w:rFonts w:hint="default"/>
      </w:rPr>
    </w:lvl>
  </w:abstractNum>
  <w:abstractNum w:abstractNumId="1">
    <w:nsid w:val="3CC171B9"/>
    <w:multiLevelType w:val="multilevel"/>
    <w:tmpl w:val="3CC171B9"/>
    <w:lvl w:ilvl="0" w:tentative="0">
      <w:start w:val="1"/>
      <w:numFmt w:val="japaneseCounting"/>
      <w:lvlText w:val="%1、"/>
      <w:lvlJc w:val="left"/>
      <w:pPr>
        <w:ind w:left="1140" w:hanging="7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2">
    <w:nsid w:val="74634B3B"/>
    <w:multiLevelType w:val="singleLevel"/>
    <w:tmpl w:val="74634B3B"/>
    <w:lvl w:ilvl="0" w:tentative="0">
      <w:start w:val="9"/>
      <w:numFmt w:val="chineseCounting"/>
      <w:suff w:val="nothing"/>
      <w:lvlText w:val="%1、"/>
      <w:lvlJc w:val="left"/>
      <w:rPr>
        <w:rFonts w:hint="eastAsia"/>
      </w:rPr>
    </w:lvl>
  </w:abstractNum>
  <w:abstractNum w:abstractNumId="3">
    <w:nsid w:val="77F61937"/>
    <w:multiLevelType w:val="singleLevel"/>
    <w:tmpl w:val="77F61937"/>
    <w:lvl w:ilvl="0" w:tentative="0">
      <w:start w:val="1"/>
      <w:numFmt w:val="decimal"/>
      <w:suff w:val="nothing"/>
      <w:lvlText w:val="%1、"/>
      <w:lvlJc w:val="left"/>
      <w:pPr>
        <w:tabs>
          <w:tab w:val="left" w:pos="0"/>
        </w:tabs>
        <w:ind w:left="0" w:firstLine="40"/>
      </w:pPr>
      <w:rPr>
        <w:rFont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hideSpellingErrors/>
  <w:trackRevisions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1354"/>
    <w:rsid w:val="000020B6"/>
    <w:rsid w:val="00002D8B"/>
    <w:rsid w:val="00002EC5"/>
    <w:rsid w:val="00002FD9"/>
    <w:rsid w:val="00004AC4"/>
    <w:rsid w:val="00005022"/>
    <w:rsid w:val="00011814"/>
    <w:rsid w:val="000130ED"/>
    <w:rsid w:val="0001426E"/>
    <w:rsid w:val="0001635D"/>
    <w:rsid w:val="00020300"/>
    <w:rsid w:val="00023846"/>
    <w:rsid w:val="00027D99"/>
    <w:rsid w:val="00030AD7"/>
    <w:rsid w:val="00031665"/>
    <w:rsid w:val="000333DE"/>
    <w:rsid w:val="00034C7C"/>
    <w:rsid w:val="0003557F"/>
    <w:rsid w:val="00037EBD"/>
    <w:rsid w:val="00040DD9"/>
    <w:rsid w:val="0004547B"/>
    <w:rsid w:val="0005107F"/>
    <w:rsid w:val="0005175B"/>
    <w:rsid w:val="0005302E"/>
    <w:rsid w:val="0005379E"/>
    <w:rsid w:val="00053B6E"/>
    <w:rsid w:val="00054EBA"/>
    <w:rsid w:val="000555E5"/>
    <w:rsid w:val="000559FA"/>
    <w:rsid w:val="000608B2"/>
    <w:rsid w:val="00061A24"/>
    <w:rsid w:val="00062F5A"/>
    <w:rsid w:val="00063003"/>
    <w:rsid w:val="000632BD"/>
    <w:rsid w:val="00063D94"/>
    <w:rsid w:val="00064252"/>
    <w:rsid w:val="00064B9C"/>
    <w:rsid w:val="000703EA"/>
    <w:rsid w:val="00070C54"/>
    <w:rsid w:val="000725BE"/>
    <w:rsid w:val="000726B6"/>
    <w:rsid w:val="00073543"/>
    <w:rsid w:val="00074D26"/>
    <w:rsid w:val="00075CA3"/>
    <w:rsid w:val="0008060D"/>
    <w:rsid w:val="00080F95"/>
    <w:rsid w:val="0008175C"/>
    <w:rsid w:val="000846E1"/>
    <w:rsid w:val="0008477A"/>
    <w:rsid w:val="00085AE6"/>
    <w:rsid w:val="0009118C"/>
    <w:rsid w:val="000961DA"/>
    <w:rsid w:val="000A462F"/>
    <w:rsid w:val="000A491E"/>
    <w:rsid w:val="000A5700"/>
    <w:rsid w:val="000A6055"/>
    <w:rsid w:val="000A729C"/>
    <w:rsid w:val="000A7F4A"/>
    <w:rsid w:val="000B2898"/>
    <w:rsid w:val="000B43D2"/>
    <w:rsid w:val="000C430D"/>
    <w:rsid w:val="000C6EF7"/>
    <w:rsid w:val="000D1B4E"/>
    <w:rsid w:val="000D24DD"/>
    <w:rsid w:val="000D29D8"/>
    <w:rsid w:val="000D567F"/>
    <w:rsid w:val="000E3430"/>
    <w:rsid w:val="000E443E"/>
    <w:rsid w:val="000E4712"/>
    <w:rsid w:val="000E5B26"/>
    <w:rsid w:val="000E5B84"/>
    <w:rsid w:val="000F1E27"/>
    <w:rsid w:val="000F354F"/>
    <w:rsid w:val="000F3BA8"/>
    <w:rsid w:val="000F545A"/>
    <w:rsid w:val="000F6900"/>
    <w:rsid w:val="000F6A1E"/>
    <w:rsid w:val="000F6EA4"/>
    <w:rsid w:val="0010162C"/>
    <w:rsid w:val="001018D7"/>
    <w:rsid w:val="00105DBF"/>
    <w:rsid w:val="001064C7"/>
    <w:rsid w:val="00106F14"/>
    <w:rsid w:val="00111F3E"/>
    <w:rsid w:val="001127CC"/>
    <w:rsid w:val="00113A3E"/>
    <w:rsid w:val="00113C12"/>
    <w:rsid w:val="00114B3D"/>
    <w:rsid w:val="0011579F"/>
    <w:rsid w:val="001200E0"/>
    <w:rsid w:val="00120A0C"/>
    <w:rsid w:val="00123CAF"/>
    <w:rsid w:val="00124DF9"/>
    <w:rsid w:val="001267FB"/>
    <w:rsid w:val="0012797D"/>
    <w:rsid w:val="001404C3"/>
    <w:rsid w:val="00142C8C"/>
    <w:rsid w:val="00144211"/>
    <w:rsid w:val="001446FC"/>
    <w:rsid w:val="001469CD"/>
    <w:rsid w:val="0015163B"/>
    <w:rsid w:val="00152E5B"/>
    <w:rsid w:val="0015460A"/>
    <w:rsid w:val="00155218"/>
    <w:rsid w:val="001641AA"/>
    <w:rsid w:val="00166B0E"/>
    <w:rsid w:val="00166D93"/>
    <w:rsid w:val="00170D80"/>
    <w:rsid w:val="00170F5E"/>
    <w:rsid w:val="00173D6C"/>
    <w:rsid w:val="00182349"/>
    <w:rsid w:val="00182C58"/>
    <w:rsid w:val="00184465"/>
    <w:rsid w:val="00184B21"/>
    <w:rsid w:val="0018675F"/>
    <w:rsid w:val="00190440"/>
    <w:rsid w:val="001908A0"/>
    <w:rsid w:val="00192708"/>
    <w:rsid w:val="00192B71"/>
    <w:rsid w:val="001A1256"/>
    <w:rsid w:val="001A2915"/>
    <w:rsid w:val="001A5109"/>
    <w:rsid w:val="001A5683"/>
    <w:rsid w:val="001A7BCE"/>
    <w:rsid w:val="001B14CE"/>
    <w:rsid w:val="001B238A"/>
    <w:rsid w:val="001B5878"/>
    <w:rsid w:val="001B653B"/>
    <w:rsid w:val="001B749B"/>
    <w:rsid w:val="001D166C"/>
    <w:rsid w:val="001D226C"/>
    <w:rsid w:val="001D2338"/>
    <w:rsid w:val="001D2CCB"/>
    <w:rsid w:val="001D54C4"/>
    <w:rsid w:val="001E28B2"/>
    <w:rsid w:val="001E32EF"/>
    <w:rsid w:val="001E4C79"/>
    <w:rsid w:val="001E750B"/>
    <w:rsid w:val="001F41E6"/>
    <w:rsid w:val="001F672D"/>
    <w:rsid w:val="00200E2C"/>
    <w:rsid w:val="00200E35"/>
    <w:rsid w:val="00206DF7"/>
    <w:rsid w:val="00207012"/>
    <w:rsid w:val="00210080"/>
    <w:rsid w:val="002168E4"/>
    <w:rsid w:val="002230E4"/>
    <w:rsid w:val="00223A91"/>
    <w:rsid w:val="002258CE"/>
    <w:rsid w:val="002270D7"/>
    <w:rsid w:val="00230AF7"/>
    <w:rsid w:val="00236299"/>
    <w:rsid w:val="0024041F"/>
    <w:rsid w:val="002404A5"/>
    <w:rsid w:val="00240D1F"/>
    <w:rsid w:val="00245A98"/>
    <w:rsid w:val="00245DEC"/>
    <w:rsid w:val="00246F2E"/>
    <w:rsid w:val="00250289"/>
    <w:rsid w:val="00257782"/>
    <w:rsid w:val="00260CBC"/>
    <w:rsid w:val="0026157F"/>
    <w:rsid w:val="00263FBE"/>
    <w:rsid w:val="00265CBF"/>
    <w:rsid w:val="0026764E"/>
    <w:rsid w:val="002714C5"/>
    <w:rsid w:val="00272948"/>
    <w:rsid w:val="00274747"/>
    <w:rsid w:val="0027501E"/>
    <w:rsid w:val="00280C7E"/>
    <w:rsid w:val="00281E34"/>
    <w:rsid w:val="0028533D"/>
    <w:rsid w:val="00290678"/>
    <w:rsid w:val="00290D9D"/>
    <w:rsid w:val="00291354"/>
    <w:rsid w:val="00291370"/>
    <w:rsid w:val="00291F48"/>
    <w:rsid w:val="0029244B"/>
    <w:rsid w:val="0029514F"/>
    <w:rsid w:val="00295BC5"/>
    <w:rsid w:val="002964E7"/>
    <w:rsid w:val="002A1AEE"/>
    <w:rsid w:val="002A6464"/>
    <w:rsid w:val="002A6781"/>
    <w:rsid w:val="002B1D1D"/>
    <w:rsid w:val="002B29EF"/>
    <w:rsid w:val="002B3979"/>
    <w:rsid w:val="002B401C"/>
    <w:rsid w:val="002C351D"/>
    <w:rsid w:val="002C5FAC"/>
    <w:rsid w:val="002C671E"/>
    <w:rsid w:val="002D0009"/>
    <w:rsid w:val="002D13CA"/>
    <w:rsid w:val="002D3017"/>
    <w:rsid w:val="002D3573"/>
    <w:rsid w:val="002D3620"/>
    <w:rsid w:val="002E0A90"/>
    <w:rsid w:val="002E18AF"/>
    <w:rsid w:val="002E1D8C"/>
    <w:rsid w:val="002E278E"/>
    <w:rsid w:val="002E38A7"/>
    <w:rsid w:val="002F136A"/>
    <w:rsid w:val="002F37B7"/>
    <w:rsid w:val="002F48AD"/>
    <w:rsid w:val="002F4A45"/>
    <w:rsid w:val="00301F2F"/>
    <w:rsid w:val="00302AB0"/>
    <w:rsid w:val="00303FFE"/>
    <w:rsid w:val="00314C62"/>
    <w:rsid w:val="0032097D"/>
    <w:rsid w:val="00320D56"/>
    <w:rsid w:val="0032216A"/>
    <w:rsid w:val="003310CE"/>
    <w:rsid w:val="00331BA0"/>
    <w:rsid w:val="00332C6C"/>
    <w:rsid w:val="00333A10"/>
    <w:rsid w:val="00334BD6"/>
    <w:rsid w:val="00337F17"/>
    <w:rsid w:val="00342DFB"/>
    <w:rsid w:val="0034349C"/>
    <w:rsid w:val="00343D76"/>
    <w:rsid w:val="00347D9E"/>
    <w:rsid w:val="00352806"/>
    <w:rsid w:val="00355146"/>
    <w:rsid w:val="00363272"/>
    <w:rsid w:val="00366AF0"/>
    <w:rsid w:val="00371CE4"/>
    <w:rsid w:val="00372A6E"/>
    <w:rsid w:val="00373B49"/>
    <w:rsid w:val="00374092"/>
    <w:rsid w:val="003757A4"/>
    <w:rsid w:val="003758E2"/>
    <w:rsid w:val="00377456"/>
    <w:rsid w:val="003809E2"/>
    <w:rsid w:val="00386FCF"/>
    <w:rsid w:val="00391FD7"/>
    <w:rsid w:val="003922CC"/>
    <w:rsid w:val="00395243"/>
    <w:rsid w:val="0039686E"/>
    <w:rsid w:val="003A21DC"/>
    <w:rsid w:val="003A39CE"/>
    <w:rsid w:val="003B065C"/>
    <w:rsid w:val="003B0F36"/>
    <w:rsid w:val="003B4874"/>
    <w:rsid w:val="003B6026"/>
    <w:rsid w:val="003B6748"/>
    <w:rsid w:val="003C03B9"/>
    <w:rsid w:val="003C05CF"/>
    <w:rsid w:val="003C11C8"/>
    <w:rsid w:val="003C29E3"/>
    <w:rsid w:val="003D094C"/>
    <w:rsid w:val="003D2420"/>
    <w:rsid w:val="003D2B38"/>
    <w:rsid w:val="003D3441"/>
    <w:rsid w:val="003D37E2"/>
    <w:rsid w:val="003E3444"/>
    <w:rsid w:val="003E41BB"/>
    <w:rsid w:val="003E510C"/>
    <w:rsid w:val="003E5BEB"/>
    <w:rsid w:val="003F4737"/>
    <w:rsid w:val="003F4B12"/>
    <w:rsid w:val="0040039C"/>
    <w:rsid w:val="00404B12"/>
    <w:rsid w:val="00405602"/>
    <w:rsid w:val="00406B6B"/>
    <w:rsid w:val="00415700"/>
    <w:rsid w:val="0042228F"/>
    <w:rsid w:val="004234BA"/>
    <w:rsid w:val="004263E5"/>
    <w:rsid w:val="004302D3"/>
    <w:rsid w:val="004339FE"/>
    <w:rsid w:val="00435580"/>
    <w:rsid w:val="00435F87"/>
    <w:rsid w:val="004404CF"/>
    <w:rsid w:val="00441694"/>
    <w:rsid w:val="00442A3B"/>
    <w:rsid w:val="00442EFA"/>
    <w:rsid w:val="004452E9"/>
    <w:rsid w:val="00447DA7"/>
    <w:rsid w:val="0045101E"/>
    <w:rsid w:val="0045288B"/>
    <w:rsid w:val="004540EB"/>
    <w:rsid w:val="00454237"/>
    <w:rsid w:val="00456E0D"/>
    <w:rsid w:val="004637B3"/>
    <w:rsid w:val="004651EC"/>
    <w:rsid w:val="004671AA"/>
    <w:rsid w:val="0047217D"/>
    <w:rsid w:val="00476F04"/>
    <w:rsid w:val="00481C96"/>
    <w:rsid w:val="00483376"/>
    <w:rsid w:val="00483451"/>
    <w:rsid w:val="0048379F"/>
    <w:rsid w:val="00483AF7"/>
    <w:rsid w:val="00484B1C"/>
    <w:rsid w:val="004850F4"/>
    <w:rsid w:val="00485F47"/>
    <w:rsid w:val="00487889"/>
    <w:rsid w:val="004A20FF"/>
    <w:rsid w:val="004A27BB"/>
    <w:rsid w:val="004A46F8"/>
    <w:rsid w:val="004A6974"/>
    <w:rsid w:val="004A78A3"/>
    <w:rsid w:val="004B0D30"/>
    <w:rsid w:val="004B48AF"/>
    <w:rsid w:val="004B6E91"/>
    <w:rsid w:val="004B7BDD"/>
    <w:rsid w:val="004C0C16"/>
    <w:rsid w:val="004C2C35"/>
    <w:rsid w:val="004C3705"/>
    <w:rsid w:val="004C56BD"/>
    <w:rsid w:val="004C5C4C"/>
    <w:rsid w:val="004C5DD7"/>
    <w:rsid w:val="004D3C52"/>
    <w:rsid w:val="004D5488"/>
    <w:rsid w:val="004D68D2"/>
    <w:rsid w:val="004E2F82"/>
    <w:rsid w:val="004E40DB"/>
    <w:rsid w:val="004E4AB5"/>
    <w:rsid w:val="004E57A8"/>
    <w:rsid w:val="004F236C"/>
    <w:rsid w:val="004F2625"/>
    <w:rsid w:val="004F2AC2"/>
    <w:rsid w:val="004F31ED"/>
    <w:rsid w:val="004F42D0"/>
    <w:rsid w:val="004F5278"/>
    <w:rsid w:val="004F7C16"/>
    <w:rsid w:val="005031CC"/>
    <w:rsid w:val="00506444"/>
    <w:rsid w:val="00507ED1"/>
    <w:rsid w:val="00512B0D"/>
    <w:rsid w:val="0051320C"/>
    <w:rsid w:val="00515FA1"/>
    <w:rsid w:val="0051745D"/>
    <w:rsid w:val="00521662"/>
    <w:rsid w:val="00525C89"/>
    <w:rsid w:val="00526122"/>
    <w:rsid w:val="005275AD"/>
    <w:rsid w:val="005340E6"/>
    <w:rsid w:val="00541154"/>
    <w:rsid w:val="00541930"/>
    <w:rsid w:val="00543B2D"/>
    <w:rsid w:val="00543FEF"/>
    <w:rsid w:val="00550553"/>
    <w:rsid w:val="00553DFA"/>
    <w:rsid w:val="00554979"/>
    <w:rsid w:val="00556F0E"/>
    <w:rsid w:val="0056149A"/>
    <w:rsid w:val="0056191B"/>
    <w:rsid w:val="00570E03"/>
    <w:rsid w:val="00572BD9"/>
    <w:rsid w:val="00573989"/>
    <w:rsid w:val="00580AC4"/>
    <w:rsid w:val="00590246"/>
    <w:rsid w:val="005919E1"/>
    <w:rsid w:val="005923A8"/>
    <w:rsid w:val="0059336D"/>
    <w:rsid w:val="00594234"/>
    <w:rsid w:val="00594502"/>
    <w:rsid w:val="00594F1D"/>
    <w:rsid w:val="00595938"/>
    <w:rsid w:val="00597464"/>
    <w:rsid w:val="005A02CD"/>
    <w:rsid w:val="005A4464"/>
    <w:rsid w:val="005A7829"/>
    <w:rsid w:val="005B2A9A"/>
    <w:rsid w:val="005B7192"/>
    <w:rsid w:val="005C1AC0"/>
    <w:rsid w:val="005C3474"/>
    <w:rsid w:val="005C4A07"/>
    <w:rsid w:val="005C756F"/>
    <w:rsid w:val="005D00C2"/>
    <w:rsid w:val="005D6898"/>
    <w:rsid w:val="005E0704"/>
    <w:rsid w:val="005E1BEE"/>
    <w:rsid w:val="005E23C3"/>
    <w:rsid w:val="005E2429"/>
    <w:rsid w:val="005E3D05"/>
    <w:rsid w:val="005E47F4"/>
    <w:rsid w:val="005E6A3C"/>
    <w:rsid w:val="005E7DC7"/>
    <w:rsid w:val="005F3CA5"/>
    <w:rsid w:val="00600EC0"/>
    <w:rsid w:val="00602F16"/>
    <w:rsid w:val="00603300"/>
    <w:rsid w:val="00603E31"/>
    <w:rsid w:val="00605E5D"/>
    <w:rsid w:val="00612610"/>
    <w:rsid w:val="0061695E"/>
    <w:rsid w:val="00624EAC"/>
    <w:rsid w:val="00631243"/>
    <w:rsid w:val="00634987"/>
    <w:rsid w:val="00636D17"/>
    <w:rsid w:val="00640399"/>
    <w:rsid w:val="00641FE2"/>
    <w:rsid w:val="00642A8B"/>
    <w:rsid w:val="006502F2"/>
    <w:rsid w:val="0065230F"/>
    <w:rsid w:val="0065242A"/>
    <w:rsid w:val="00652F9B"/>
    <w:rsid w:val="00656E74"/>
    <w:rsid w:val="006677E8"/>
    <w:rsid w:val="00667FA2"/>
    <w:rsid w:val="0067211A"/>
    <w:rsid w:val="00674913"/>
    <w:rsid w:val="006752EB"/>
    <w:rsid w:val="006800FF"/>
    <w:rsid w:val="00685EDC"/>
    <w:rsid w:val="00692F18"/>
    <w:rsid w:val="006940EB"/>
    <w:rsid w:val="00694BE7"/>
    <w:rsid w:val="00695CAE"/>
    <w:rsid w:val="00695EB2"/>
    <w:rsid w:val="0069783E"/>
    <w:rsid w:val="006A33A3"/>
    <w:rsid w:val="006A4C5C"/>
    <w:rsid w:val="006B14EE"/>
    <w:rsid w:val="006B341A"/>
    <w:rsid w:val="006B47A7"/>
    <w:rsid w:val="006B4D9E"/>
    <w:rsid w:val="006B53D4"/>
    <w:rsid w:val="006B6B1C"/>
    <w:rsid w:val="006C53D6"/>
    <w:rsid w:val="006C74BD"/>
    <w:rsid w:val="006D211F"/>
    <w:rsid w:val="006E190B"/>
    <w:rsid w:val="006E3D2C"/>
    <w:rsid w:val="006F35D3"/>
    <w:rsid w:val="006F4193"/>
    <w:rsid w:val="006F7839"/>
    <w:rsid w:val="00700242"/>
    <w:rsid w:val="0070058E"/>
    <w:rsid w:val="007014B8"/>
    <w:rsid w:val="00701828"/>
    <w:rsid w:val="00707ABA"/>
    <w:rsid w:val="0071182B"/>
    <w:rsid w:val="00712C20"/>
    <w:rsid w:val="0071405C"/>
    <w:rsid w:val="00715221"/>
    <w:rsid w:val="0072162C"/>
    <w:rsid w:val="00722235"/>
    <w:rsid w:val="007222A3"/>
    <w:rsid w:val="00726299"/>
    <w:rsid w:val="00726770"/>
    <w:rsid w:val="00726903"/>
    <w:rsid w:val="00726A5D"/>
    <w:rsid w:val="00726B0D"/>
    <w:rsid w:val="0073189E"/>
    <w:rsid w:val="00731A54"/>
    <w:rsid w:val="00732EEF"/>
    <w:rsid w:val="00735D22"/>
    <w:rsid w:val="0073650A"/>
    <w:rsid w:val="007369E6"/>
    <w:rsid w:val="00744C2C"/>
    <w:rsid w:val="00744D99"/>
    <w:rsid w:val="007463E7"/>
    <w:rsid w:val="007466CF"/>
    <w:rsid w:val="00747B0A"/>
    <w:rsid w:val="00750084"/>
    <w:rsid w:val="00751CE3"/>
    <w:rsid w:val="00753B28"/>
    <w:rsid w:val="00757A96"/>
    <w:rsid w:val="00763E6E"/>
    <w:rsid w:val="007666F2"/>
    <w:rsid w:val="0076687E"/>
    <w:rsid w:val="00772AE6"/>
    <w:rsid w:val="00774C50"/>
    <w:rsid w:val="00775B59"/>
    <w:rsid w:val="00776CBD"/>
    <w:rsid w:val="00777DBC"/>
    <w:rsid w:val="00781C0A"/>
    <w:rsid w:val="0078321C"/>
    <w:rsid w:val="007853B1"/>
    <w:rsid w:val="00785EE3"/>
    <w:rsid w:val="0078673D"/>
    <w:rsid w:val="0078701F"/>
    <w:rsid w:val="007871E0"/>
    <w:rsid w:val="0078725F"/>
    <w:rsid w:val="00790A51"/>
    <w:rsid w:val="00792AB8"/>
    <w:rsid w:val="00794227"/>
    <w:rsid w:val="007946BD"/>
    <w:rsid w:val="00795B19"/>
    <w:rsid w:val="007A0280"/>
    <w:rsid w:val="007A0BBA"/>
    <w:rsid w:val="007A1520"/>
    <w:rsid w:val="007A2570"/>
    <w:rsid w:val="007A39E4"/>
    <w:rsid w:val="007B16CF"/>
    <w:rsid w:val="007B28D0"/>
    <w:rsid w:val="007B66E5"/>
    <w:rsid w:val="007B7193"/>
    <w:rsid w:val="007C14AF"/>
    <w:rsid w:val="007C240B"/>
    <w:rsid w:val="007C323C"/>
    <w:rsid w:val="007C4954"/>
    <w:rsid w:val="007C5D8D"/>
    <w:rsid w:val="007C60C1"/>
    <w:rsid w:val="007C6215"/>
    <w:rsid w:val="007D0780"/>
    <w:rsid w:val="007D2474"/>
    <w:rsid w:val="007D78DD"/>
    <w:rsid w:val="007E38B9"/>
    <w:rsid w:val="007E4B24"/>
    <w:rsid w:val="007F0001"/>
    <w:rsid w:val="007F1E7D"/>
    <w:rsid w:val="007F3B92"/>
    <w:rsid w:val="00801678"/>
    <w:rsid w:val="008026E6"/>
    <w:rsid w:val="00802D2F"/>
    <w:rsid w:val="00803CBE"/>
    <w:rsid w:val="00804962"/>
    <w:rsid w:val="00810FBA"/>
    <w:rsid w:val="008134E3"/>
    <w:rsid w:val="00813D26"/>
    <w:rsid w:val="008154B2"/>
    <w:rsid w:val="00815E72"/>
    <w:rsid w:val="00817CAA"/>
    <w:rsid w:val="00820B7F"/>
    <w:rsid w:val="00822223"/>
    <w:rsid w:val="00823671"/>
    <w:rsid w:val="00826BE5"/>
    <w:rsid w:val="00826CD8"/>
    <w:rsid w:val="0083140E"/>
    <w:rsid w:val="008331D9"/>
    <w:rsid w:val="0083396E"/>
    <w:rsid w:val="0083477B"/>
    <w:rsid w:val="00841954"/>
    <w:rsid w:val="008423BF"/>
    <w:rsid w:val="00842BF8"/>
    <w:rsid w:val="0084460F"/>
    <w:rsid w:val="00845BEC"/>
    <w:rsid w:val="0085191A"/>
    <w:rsid w:val="00851E92"/>
    <w:rsid w:val="008525FB"/>
    <w:rsid w:val="00857D6F"/>
    <w:rsid w:val="00860CCA"/>
    <w:rsid w:val="0086121E"/>
    <w:rsid w:val="00861DE6"/>
    <w:rsid w:val="0086312B"/>
    <w:rsid w:val="00863F8D"/>
    <w:rsid w:val="00864B44"/>
    <w:rsid w:val="00864FA3"/>
    <w:rsid w:val="00865550"/>
    <w:rsid w:val="008672CA"/>
    <w:rsid w:val="00874A8C"/>
    <w:rsid w:val="00875CF0"/>
    <w:rsid w:val="0087665D"/>
    <w:rsid w:val="008776F2"/>
    <w:rsid w:val="00884417"/>
    <w:rsid w:val="008852EE"/>
    <w:rsid w:val="00885516"/>
    <w:rsid w:val="008867F7"/>
    <w:rsid w:val="00890722"/>
    <w:rsid w:val="00891A23"/>
    <w:rsid w:val="00892107"/>
    <w:rsid w:val="00893AE9"/>
    <w:rsid w:val="008A1333"/>
    <w:rsid w:val="008A1BDC"/>
    <w:rsid w:val="008A2548"/>
    <w:rsid w:val="008A28FB"/>
    <w:rsid w:val="008B147E"/>
    <w:rsid w:val="008C02E6"/>
    <w:rsid w:val="008C0A7B"/>
    <w:rsid w:val="008C3C54"/>
    <w:rsid w:val="008D11E2"/>
    <w:rsid w:val="008D142D"/>
    <w:rsid w:val="008D1E33"/>
    <w:rsid w:val="008D28A9"/>
    <w:rsid w:val="008D4D6A"/>
    <w:rsid w:val="008E2888"/>
    <w:rsid w:val="008E4633"/>
    <w:rsid w:val="008E6C69"/>
    <w:rsid w:val="008F2051"/>
    <w:rsid w:val="008F2BD0"/>
    <w:rsid w:val="008F42A7"/>
    <w:rsid w:val="0090021E"/>
    <w:rsid w:val="00903478"/>
    <w:rsid w:val="009059D4"/>
    <w:rsid w:val="009079B0"/>
    <w:rsid w:val="0091506D"/>
    <w:rsid w:val="009152E7"/>
    <w:rsid w:val="00915410"/>
    <w:rsid w:val="00915436"/>
    <w:rsid w:val="00916193"/>
    <w:rsid w:val="0091688B"/>
    <w:rsid w:val="0091726A"/>
    <w:rsid w:val="00917315"/>
    <w:rsid w:val="00921332"/>
    <w:rsid w:val="00925E4E"/>
    <w:rsid w:val="009260D4"/>
    <w:rsid w:val="00931E8B"/>
    <w:rsid w:val="009366FE"/>
    <w:rsid w:val="00942C4B"/>
    <w:rsid w:val="0094452B"/>
    <w:rsid w:val="00944655"/>
    <w:rsid w:val="00945F24"/>
    <w:rsid w:val="0094693C"/>
    <w:rsid w:val="00947E41"/>
    <w:rsid w:val="00950C3F"/>
    <w:rsid w:val="009512F2"/>
    <w:rsid w:val="009564CF"/>
    <w:rsid w:val="009571EA"/>
    <w:rsid w:val="00957504"/>
    <w:rsid w:val="00957E36"/>
    <w:rsid w:val="009605B5"/>
    <w:rsid w:val="009609B4"/>
    <w:rsid w:val="0096178B"/>
    <w:rsid w:val="0096281D"/>
    <w:rsid w:val="00962F97"/>
    <w:rsid w:val="00964FEF"/>
    <w:rsid w:val="00971C2D"/>
    <w:rsid w:val="0097565F"/>
    <w:rsid w:val="00983480"/>
    <w:rsid w:val="00985454"/>
    <w:rsid w:val="00987B8F"/>
    <w:rsid w:val="00994D15"/>
    <w:rsid w:val="0099530B"/>
    <w:rsid w:val="009955F6"/>
    <w:rsid w:val="009968B0"/>
    <w:rsid w:val="009A3C21"/>
    <w:rsid w:val="009A3FB5"/>
    <w:rsid w:val="009B126F"/>
    <w:rsid w:val="009B14E7"/>
    <w:rsid w:val="009B1C9F"/>
    <w:rsid w:val="009B2981"/>
    <w:rsid w:val="009B459B"/>
    <w:rsid w:val="009B6550"/>
    <w:rsid w:val="009C04AD"/>
    <w:rsid w:val="009C15EA"/>
    <w:rsid w:val="009C3368"/>
    <w:rsid w:val="009C69EC"/>
    <w:rsid w:val="009C6B1C"/>
    <w:rsid w:val="009C6BBC"/>
    <w:rsid w:val="009E46EF"/>
    <w:rsid w:val="009E7E12"/>
    <w:rsid w:val="009F1214"/>
    <w:rsid w:val="009F58A5"/>
    <w:rsid w:val="009F664A"/>
    <w:rsid w:val="00A015D2"/>
    <w:rsid w:val="00A04D4D"/>
    <w:rsid w:val="00A10F6D"/>
    <w:rsid w:val="00A12716"/>
    <w:rsid w:val="00A15283"/>
    <w:rsid w:val="00A15C24"/>
    <w:rsid w:val="00A16178"/>
    <w:rsid w:val="00A20B6C"/>
    <w:rsid w:val="00A21D04"/>
    <w:rsid w:val="00A2758C"/>
    <w:rsid w:val="00A311F8"/>
    <w:rsid w:val="00A359AA"/>
    <w:rsid w:val="00A375E1"/>
    <w:rsid w:val="00A40120"/>
    <w:rsid w:val="00A442FF"/>
    <w:rsid w:val="00A47AC5"/>
    <w:rsid w:val="00A5139A"/>
    <w:rsid w:val="00A51BE0"/>
    <w:rsid w:val="00A51CAE"/>
    <w:rsid w:val="00A52E2C"/>
    <w:rsid w:val="00A54F5F"/>
    <w:rsid w:val="00A64061"/>
    <w:rsid w:val="00A7673A"/>
    <w:rsid w:val="00A8390E"/>
    <w:rsid w:val="00A84B0D"/>
    <w:rsid w:val="00A921BF"/>
    <w:rsid w:val="00A9358E"/>
    <w:rsid w:val="00A95634"/>
    <w:rsid w:val="00A96ADA"/>
    <w:rsid w:val="00AA0972"/>
    <w:rsid w:val="00AA0DA5"/>
    <w:rsid w:val="00AA12C8"/>
    <w:rsid w:val="00AA1B45"/>
    <w:rsid w:val="00AA1BC1"/>
    <w:rsid w:val="00AA2447"/>
    <w:rsid w:val="00AA49C4"/>
    <w:rsid w:val="00AA6408"/>
    <w:rsid w:val="00AB2056"/>
    <w:rsid w:val="00AB2811"/>
    <w:rsid w:val="00AB34B0"/>
    <w:rsid w:val="00AC2D8E"/>
    <w:rsid w:val="00AC769B"/>
    <w:rsid w:val="00AD1296"/>
    <w:rsid w:val="00AD4CE5"/>
    <w:rsid w:val="00AD4E84"/>
    <w:rsid w:val="00AD515D"/>
    <w:rsid w:val="00AD5FBE"/>
    <w:rsid w:val="00AE4043"/>
    <w:rsid w:val="00AF1D77"/>
    <w:rsid w:val="00AF3A8F"/>
    <w:rsid w:val="00AF6572"/>
    <w:rsid w:val="00AF78AA"/>
    <w:rsid w:val="00AF7ED1"/>
    <w:rsid w:val="00B006C6"/>
    <w:rsid w:val="00B009C0"/>
    <w:rsid w:val="00B021AE"/>
    <w:rsid w:val="00B025E4"/>
    <w:rsid w:val="00B03020"/>
    <w:rsid w:val="00B03C63"/>
    <w:rsid w:val="00B04319"/>
    <w:rsid w:val="00B047BF"/>
    <w:rsid w:val="00B0518C"/>
    <w:rsid w:val="00B06CE2"/>
    <w:rsid w:val="00B1203E"/>
    <w:rsid w:val="00B1378A"/>
    <w:rsid w:val="00B174D5"/>
    <w:rsid w:val="00B204AE"/>
    <w:rsid w:val="00B2411A"/>
    <w:rsid w:val="00B251D2"/>
    <w:rsid w:val="00B25E6E"/>
    <w:rsid w:val="00B26C5D"/>
    <w:rsid w:val="00B330C3"/>
    <w:rsid w:val="00B36E00"/>
    <w:rsid w:val="00B40A63"/>
    <w:rsid w:val="00B40D57"/>
    <w:rsid w:val="00B41D6D"/>
    <w:rsid w:val="00B423F1"/>
    <w:rsid w:val="00B43279"/>
    <w:rsid w:val="00B43502"/>
    <w:rsid w:val="00B4477B"/>
    <w:rsid w:val="00B4486E"/>
    <w:rsid w:val="00B46685"/>
    <w:rsid w:val="00B5022D"/>
    <w:rsid w:val="00B54188"/>
    <w:rsid w:val="00B55689"/>
    <w:rsid w:val="00B56E1D"/>
    <w:rsid w:val="00B56E86"/>
    <w:rsid w:val="00B5721A"/>
    <w:rsid w:val="00B63EDB"/>
    <w:rsid w:val="00B64129"/>
    <w:rsid w:val="00B75F4D"/>
    <w:rsid w:val="00B760EF"/>
    <w:rsid w:val="00B77A93"/>
    <w:rsid w:val="00B83B4A"/>
    <w:rsid w:val="00B843D5"/>
    <w:rsid w:val="00B8671F"/>
    <w:rsid w:val="00B926F4"/>
    <w:rsid w:val="00B93072"/>
    <w:rsid w:val="00B971E5"/>
    <w:rsid w:val="00B976D6"/>
    <w:rsid w:val="00BA2C31"/>
    <w:rsid w:val="00BA3862"/>
    <w:rsid w:val="00BA3F14"/>
    <w:rsid w:val="00BA44BB"/>
    <w:rsid w:val="00BA47EB"/>
    <w:rsid w:val="00BA7B64"/>
    <w:rsid w:val="00BB0612"/>
    <w:rsid w:val="00BB1A55"/>
    <w:rsid w:val="00BB3122"/>
    <w:rsid w:val="00BB74A3"/>
    <w:rsid w:val="00BB7A37"/>
    <w:rsid w:val="00BB7CE4"/>
    <w:rsid w:val="00BC08B1"/>
    <w:rsid w:val="00BC1998"/>
    <w:rsid w:val="00BC5A11"/>
    <w:rsid w:val="00BC7660"/>
    <w:rsid w:val="00BC7BD0"/>
    <w:rsid w:val="00BD2F17"/>
    <w:rsid w:val="00BD3DD4"/>
    <w:rsid w:val="00BD5E98"/>
    <w:rsid w:val="00BD61A0"/>
    <w:rsid w:val="00BD7D39"/>
    <w:rsid w:val="00BE14BF"/>
    <w:rsid w:val="00BE2EC9"/>
    <w:rsid w:val="00BE3337"/>
    <w:rsid w:val="00BE3DFF"/>
    <w:rsid w:val="00BE5604"/>
    <w:rsid w:val="00BE5A5D"/>
    <w:rsid w:val="00BE693D"/>
    <w:rsid w:val="00BE6BB3"/>
    <w:rsid w:val="00BF0D22"/>
    <w:rsid w:val="00BF4839"/>
    <w:rsid w:val="00BF6FD2"/>
    <w:rsid w:val="00C02969"/>
    <w:rsid w:val="00C07B0E"/>
    <w:rsid w:val="00C13BE4"/>
    <w:rsid w:val="00C13E4F"/>
    <w:rsid w:val="00C14043"/>
    <w:rsid w:val="00C214EB"/>
    <w:rsid w:val="00C24FCE"/>
    <w:rsid w:val="00C30AF9"/>
    <w:rsid w:val="00C30EB2"/>
    <w:rsid w:val="00C311EA"/>
    <w:rsid w:val="00C31477"/>
    <w:rsid w:val="00C321BD"/>
    <w:rsid w:val="00C32443"/>
    <w:rsid w:val="00C336B6"/>
    <w:rsid w:val="00C33FC9"/>
    <w:rsid w:val="00C34F4F"/>
    <w:rsid w:val="00C350FE"/>
    <w:rsid w:val="00C370FC"/>
    <w:rsid w:val="00C4162A"/>
    <w:rsid w:val="00C444B1"/>
    <w:rsid w:val="00C51313"/>
    <w:rsid w:val="00C5413A"/>
    <w:rsid w:val="00C61CEF"/>
    <w:rsid w:val="00C6211D"/>
    <w:rsid w:val="00C653C7"/>
    <w:rsid w:val="00C65926"/>
    <w:rsid w:val="00C66CE4"/>
    <w:rsid w:val="00C762B9"/>
    <w:rsid w:val="00C77908"/>
    <w:rsid w:val="00C8024D"/>
    <w:rsid w:val="00C80F42"/>
    <w:rsid w:val="00C8561E"/>
    <w:rsid w:val="00C86B78"/>
    <w:rsid w:val="00C9243E"/>
    <w:rsid w:val="00C958EF"/>
    <w:rsid w:val="00CA39BA"/>
    <w:rsid w:val="00CA7B56"/>
    <w:rsid w:val="00CB1AA1"/>
    <w:rsid w:val="00CB3448"/>
    <w:rsid w:val="00CB42B2"/>
    <w:rsid w:val="00CB457D"/>
    <w:rsid w:val="00CB519A"/>
    <w:rsid w:val="00CB6BD2"/>
    <w:rsid w:val="00CC670F"/>
    <w:rsid w:val="00CC684E"/>
    <w:rsid w:val="00CD2333"/>
    <w:rsid w:val="00CE086A"/>
    <w:rsid w:val="00CE0B75"/>
    <w:rsid w:val="00CE5E4C"/>
    <w:rsid w:val="00CE781A"/>
    <w:rsid w:val="00CF3031"/>
    <w:rsid w:val="00CF43E8"/>
    <w:rsid w:val="00CF5B39"/>
    <w:rsid w:val="00CF5E54"/>
    <w:rsid w:val="00CF6AF6"/>
    <w:rsid w:val="00CF70C0"/>
    <w:rsid w:val="00D01A0E"/>
    <w:rsid w:val="00D029FA"/>
    <w:rsid w:val="00D03CB1"/>
    <w:rsid w:val="00D04EC9"/>
    <w:rsid w:val="00D1278A"/>
    <w:rsid w:val="00D148B6"/>
    <w:rsid w:val="00D15C32"/>
    <w:rsid w:val="00D16616"/>
    <w:rsid w:val="00D211FE"/>
    <w:rsid w:val="00D3038B"/>
    <w:rsid w:val="00D31387"/>
    <w:rsid w:val="00D33253"/>
    <w:rsid w:val="00D33EC9"/>
    <w:rsid w:val="00D34156"/>
    <w:rsid w:val="00D355D3"/>
    <w:rsid w:val="00D3563B"/>
    <w:rsid w:val="00D35AD4"/>
    <w:rsid w:val="00D40AC0"/>
    <w:rsid w:val="00D41E70"/>
    <w:rsid w:val="00D42DDE"/>
    <w:rsid w:val="00D45A97"/>
    <w:rsid w:val="00D46A24"/>
    <w:rsid w:val="00D512BB"/>
    <w:rsid w:val="00D5266E"/>
    <w:rsid w:val="00D60CEC"/>
    <w:rsid w:val="00D64170"/>
    <w:rsid w:val="00D64673"/>
    <w:rsid w:val="00D65459"/>
    <w:rsid w:val="00D66F5E"/>
    <w:rsid w:val="00D672B9"/>
    <w:rsid w:val="00D72744"/>
    <w:rsid w:val="00D815D3"/>
    <w:rsid w:val="00D84507"/>
    <w:rsid w:val="00D853F6"/>
    <w:rsid w:val="00D87B0E"/>
    <w:rsid w:val="00D933DD"/>
    <w:rsid w:val="00D9389B"/>
    <w:rsid w:val="00D93B29"/>
    <w:rsid w:val="00D97483"/>
    <w:rsid w:val="00DA2BB1"/>
    <w:rsid w:val="00DA3EF3"/>
    <w:rsid w:val="00DA4D6A"/>
    <w:rsid w:val="00DA5A24"/>
    <w:rsid w:val="00DA6426"/>
    <w:rsid w:val="00DB0750"/>
    <w:rsid w:val="00DB69D5"/>
    <w:rsid w:val="00DB6B70"/>
    <w:rsid w:val="00DB750C"/>
    <w:rsid w:val="00DC3127"/>
    <w:rsid w:val="00DC34AC"/>
    <w:rsid w:val="00DC5594"/>
    <w:rsid w:val="00DC7BE0"/>
    <w:rsid w:val="00DD5260"/>
    <w:rsid w:val="00DD6805"/>
    <w:rsid w:val="00DD685B"/>
    <w:rsid w:val="00DE33CF"/>
    <w:rsid w:val="00DE53CD"/>
    <w:rsid w:val="00DE6433"/>
    <w:rsid w:val="00DF1D74"/>
    <w:rsid w:val="00DF2016"/>
    <w:rsid w:val="00DF5FF4"/>
    <w:rsid w:val="00E00EBB"/>
    <w:rsid w:val="00E01367"/>
    <w:rsid w:val="00E025DE"/>
    <w:rsid w:val="00E044ED"/>
    <w:rsid w:val="00E05136"/>
    <w:rsid w:val="00E06473"/>
    <w:rsid w:val="00E07E31"/>
    <w:rsid w:val="00E10A9E"/>
    <w:rsid w:val="00E10F90"/>
    <w:rsid w:val="00E11419"/>
    <w:rsid w:val="00E11C23"/>
    <w:rsid w:val="00E20815"/>
    <w:rsid w:val="00E22CF3"/>
    <w:rsid w:val="00E2300C"/>
    <w:rsid w:val="00E237AB"/>
    <w:rsid w:val="00E25A51"/>
    <w:rsid w:val="00E26CAC"/>
    <w:rsid w:val="00E276B9"/>
    <w:rsid w:val="00E33193"/>
    <w:rsid w:val="00E3401A"/>
    <w:rsid w:val="00E35D14"/>
    <w:rsid w:val="00E35EB7"/>
    <w:rsid w:val="00E373F5"/>
    <w:rsid w:val="00E42863"/>
    <w:rsid w:val="00E46B00"/>
    <w:rsid w:val="00E56E81"/>
    <w:rsid w:val="00E577CB"/>
    <w:rsid w:val="00E610E2"/>
    <w:rsid w:val="00E65E4B"/>
    <w:rsid w:val="00E65F69"/>
    <w:rsid w:val="00E67E24"/>
    <w:rsid w:val="00E702E2"/>
    <w:rsid w:val="00E745D3"/>
    <w:rsid w:val="00E74F55"/>
    <w:rsid w:val="00E82766"/>
    <w:rsid w:val="00E8635D"/>
    <w:rsid w:val="00E91FEF"/>
    <w:rsid w:val="00E97D3F"/>
    <w:rsid w:val="00EA6566"/>
    <w:rsid w:val="00EB04F6"/>
    <w:rsid w:val="00EB0F6F"/>
    <w:rsid w:val="00EB2859"/>
    <w:rsid w:val="00EB29D3"/>
    <w:rsid w:val="00EB506A"/>
    <w:rsid w:val="00EB71C3"/>
    <w:rsid w:val="00EC03C8"/>
    <w:rsid w:val="00EC0722"/>
    <w:rsid w:val="00EC0CA6"/>
    <w:rsid w:val="00EC12C5"/>
    <w:rsid w:val="00EC4B5E"/>
    <w:rsid w:val="00EC57D1"/>
    <w:rsid w:val="00ED2419"/>
    <w:rsid w:val="00ED3A46"/>
    <w:rsid w:val="00ED454D"/>
    <w:rsid w:val="00ED73FB"/>
    <w:rsid w:val="00ED7D3E"/>
    <w:rsid w:val="00EF28CB"/>
    <w:rsid w:val="00EF39D2"/>
    <w:rsid w:val="00EF4646"/>
    <w:rsid w:val="00EF5EB4"/>
    <w:rsid w:val="00F01A07"/>
    <w:rsid w:val="00F0326A"/>
    <w:rsid w:val="00F04B2E"/>
    <w:rsid w:val="00F06569"/>
    <w:rsid w:val="00F0676C"/>
    <w:rsid w:val="00F14537"/>
    <w:rsid w:val="00F16B5D"/>
    <w:rsid w:val="00F1746F"/>
    <w:rsid w:val="00F20C5A"/>
    <w:rsid w:val="00F2177F"/>
    <w:rsid w:val="00F2595B"/>
    <w:rsid w:val="00F30B51"/>
    <w:rsid w:val="00F31BB5"/>
    <w:rsid w:val="00F33769"/>
    <w:rsid w:val="00F42D55"/>
    <w:rsid w:val="00F4374C"/>
    <w:rsid w:val="00F47B92"/>
    <w:rsid w:val="00F50759"/>
    <w:rsid w:val="00F51DA2"/>
    <w:rsid w:val="00F53F21"/>
    <w:rsid w:val="00F63E55"/>
    <w:rsid w:val="00F70523"/>
    <w:rsid w:val="00F81A9C"/>
    <w:rsid w:val="00F8299B"/>
    <w:rsid w:val="00F844E9"/>
    <w:rsid w:val="00F9131C"/>
    <w:rsid w:val="00F977B4"/>
    <w:rsid w:val="00FA225B"/>
    <w:rsid w:val="00FA4B9C"/>
    <w:rsid w:val="00FA66AC"/>
    <w:rsid w:val="00FA6A5D"/>
    <w:rsid w:val="00FA6C02"/>
    <w:rsid w:val="00FB0D3B"/>
    <w:rsid w:val="00FB178E"/>
    <w:rsid w:val="00FB363F"/>
    <w:rsid w:val="00FB59E7"/>
    <w:rsid w:val="00FC003B"/>
    <w:rsid w:val="00FC1F76"/>
    <w:rsid w:val="00FC56B4"/>
    <w:rsid w:val="00FC64D9"/>
    <w:rsid w:val="00FC6902"/>
    <w:rsid w:val="00FD1C0E"/>
    <w:rsid w:val="00FD4023"/>
    <w:rsid w:val="00FD5B77"/>
    <w:rsid w:val="00FD60D1"/>
    <w:rsid w:val="00FD7C76"/>
    <w:rsid w:val="00FE196F"/>
    <w:rsid w:val="00FE1D33"/>
    <w:rsid w:val="00FE30CA"/>
    <w:rsid w:val="00FE545D"/>
    <w:rsid w:val="00FE636F"/>
    <w:rsid w:val="00FE74D0"/>
    <w:rsid w:val="00FE7C0C"/>
    <w:rsid w:val="00FF18E5"/>
    <w:rsid w:val="00FF20E8"/>
    <w:rsid w:val="00FF2526"/>
    <w:rsid w:val="01DC6AD7"/>
    <w:rsid w:val="04722F71"/>
    <w:rsid w:val="050517A3"/>
    <w:rsid w:val="05A40494"/>
    <w:rsid w:val="062D09FC"/>
    <w:rsid w:val="06402FC4"/>
    <w:rsid w:val="064C31D6"/>
    <w:rsid w:val="07F22E66"/>
    <w:rsid w:val="08660E28"/>
    <w:rsid w:val="09D9568C"/>
    <w:rsid w:val="0CF4086D"/>
    <w:rsid w:val="147FD305"/>
    <w:rsid w:val="1496692E"/>
    <w:rsid w:val="15A77D98"/>
    <w:rsid w:val="176A7597"/>
    <w:rsid w:val="177B38DC"/>
    <w:rsid w:val="18D45BC7"/>
    <w:rsid w:val="197A4A70"/>
    <w:rsid w:val="1B1C66D1"/>
    <w:rsid w:val="1DE107B5"/>
    <w:rsid w:val="1E7103DE"/>
    <w:rsid w:val="1EFF352C"/>
    <w:rsid w:val="1F285634"/>
    <w:rsid w:val="1FDF6021"/>
    <w:rsid w:val="202C70A6"/>
    <w:rsid w:val="209134C4"/>
    <w:rsid w:val="20AE2536"/>
    <w:rsid w:val="21CC1D3D"/>
    <w:rsid w:val="253F7211"/>
    <w:rsid w:val="272F26E5"/>
    <w:rsid w:val="27572F21"/>
    <w:rsid w:val="28C63B99"/>
    <w:rsid w:val="29464923"/>
    <w:rsid w:val="295343A7"/>
    <w:rsid w:val="2AFBC377"/>
    <w:rsid w:val="2D483ED9"/>
    <w:rsid w:val="2D77F31C"/>
    <w:rsid w:val="2FEAD3ED"/>
    <w:rsid w:val="32CF1DDF"/>
    <w:rsid w:val="343B6A4A"/>
    <w:rsid w:val="36BC22C4"/>
    <w:rsid w:val="372D5413"/>
    <w:rsid w:val="373D6078"/>
    <w:rsid w:val="37BF99EA"/>
    <w:rsid w:val="37FD8D46"/>
    <w:rsid w:val="38FF3C95"/>
    <w:rsid w:val="3C4F4BEC"/>
    <w:rsid w:val="3F6809D5"/>
    <w:rsid w:val="3FEEF42D"/>
    <w:rsid w:val="42821E5B"/>
    <w:rsid w:val="44DF43E4"/>
    <w:rsid w:val="48C74968"/>
    <w:rsid w:val="4B64707F"/>
    <w:rsid w:val="4B8D60FF"/>
    <w:rsid w:val="4E4AFAFF"/>
    <w:rsid w:val="4E5C592F"/>
    <w:rsid w:val="4F7C2BD0"/>
    <w:rsid w:val="4FBC4C8E"/>
    <w:rsid w:val="4FF796F4"/>
    <w:rsid w:val="513DD22D"/>
    <w:rsid w:val="55BFB9C1"/>
    <w:rsid w:val="56096318"/>
    <w:rsid w:val="561142AD"/>
    <w:rsid w:val="56297577"/>
    <w:rsid w:val="573F2E1E"/>
    <w:rsid w:val="57E26067"/>
    <w:rsid w:val="58A3551A"/>
    <w:rsid w:val="59D70DBC"/>
    <w:rsid w:val="5BB302D6"/>
    <w:rsid w:val="5BC11EBC"/>
    <w:rsid w:val="5BDB6515"/>
    <w:rsid w:val="5BF7CB1E"/>
    <w:rsid w:val="5D004412"/>
    <w:rsid w:val="5E9D33C1"/>
    <w:rsid w:val="5F8D4882"/>
    <w:rsid w:val="5FF6D663"/>
    <w:rsid w:val="61442F6B"/>
    <w:rsid w:val="63357580"/>
    <w:rsid w:val="64366D37"/>
    <w:rsid w:val="647727BE"/>
    <w:rsid w:val="68815741"/>
    <w:rsid w:val="69BBAC76"/>
    <w:rsid w:val="6C9D4811"/>
    <w:rsid w:val="6D7A3002"/>
    <w:rsid w:val="6DAB34F7"/>
    <w:rsid w:val="6FD3A641"/>
    <w:rsid w:val="6FD61E84"/>
    <w:rsid w:val="6FDB3667"/>
    <w:rsid w:val="6FFF8456"/>
    <w:rsid w:val="70210600"/>
    <w:rsid w:val="71002AA4"/>
    <w:rsid w:val="713F3528"/>
    <w:rsid w:val="72FEF6EC"/>
    <w:rsid w:val="73BB1466"/>
    <w:rsid w:val="760F4128"/>
    <w:rsid w:val="76F51534"/>
    <w:rsid w:val="777D0B59"/>
    <w:rsid w:val="77D729B4"/>
    <w:rsid w:val="7BF55B6B"/>
    <w:rsid w:val="7C4C508A"/>
    <w:rsid w:val="7CB7535B"/>
    <w:rsid w:val="7CD26167"/>
    <w:rsid w:val="7E5F7ACB"/>
    <w:rsid w:val="7E76152A"/>
    <w:rsid w:val="7EDCE43F"/>
    <w:rsid w:val="7EE467ED"/>
    <w:rsid w:val="7EFF44F5"/>
    <w:rsid w:val="7F7F3C45"/>
    <w:rsid w:val="7FBCB753"/>
    <w:rsid w:val="7FDC49B3"/>
    <w:rsid w:val="94F7CEAE"/>
    <w:rsid w:val="977DC162"/>
    <w:rsid w:val="BCEB0840"/>
    <w:rsid w:val="BE7F8D1C"/>
    <w:rsid w:val="CBDCC0E9"/>
    <w:rsid w:val="DDD3BEBA"/>
    <w:rsid w:val="DF1541C9"/>
    <w:rsid w:val="E3AB7A20"/>
    <w:rsid w:val="E3DEDC76"/>
    <w:rsid w:val="E7BB8A1C"/>
    <w:rsid w:val="E7EA101D"/>
    <w:rsid w:val="EB7FC8F4"/>
    <w:rsid w:val="EEF6D0E9"/>
    <w:rsid w:val="EFBE2B0F"/>
    <w:rsid w:val="F6657B51"/>
    <w:rsid w:val="F77FA398"/>
    <w:rsid w:val="F7EE8F53"/>
    <w:rsid w:val="F9BC83D9"/>
    <w:rsid w:val="FCFDD419"/>
    <w:rsid w:val="FEEF81E2"/>
    <w:rsid w:val="FF4E58C2"/>
    <w:rsid w:val="FF6708CF"/>
    <w:rsid w:val="FF8B07F2"/>
    <w:rsid w:val="FFA937D0"/>
    <w:rsid w:val="FFDFA217"/>
    <w:rsid w:val="FFEBE035"/>
    <w:rsid w:val="FFFF03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20"/>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21"/>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2"/>
    <w:unhideWhenUsed/>
    <w:qFormat/>
    <w:uiPriority w:val="9"/>
    <w:pPr>
      <w:keepNext/>
      <w:keepLines/>
      <w:spacing w:before="260" w:after="260" w:line="416" w:lineRule="auto"/>
      <w:outlineLvl w:val="2"/>
    </w:pPr>
    <w:rPr>
      <w:b/>
      <w:bCs/>
      <w:sz w:val="32"/>
      <w:szCs w:val="32"/>
    </w:rPr>
  </w:style>
  <w:style w:type="character" w:default="1" w:styleId="17">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link w:val="27"/>
    <w:unhideWhenUsed/>
    <w:qFormat/>
    <w:uiPriority w:val="99"/>
    <w:pPr>
      <w:jc w:val="left"/>
    </w:pPr>
  </w:style>
  <w:style w:type="paragraph" w:styleId="6">
    <w:name w:val="toc 3"/>
    <w:basedOn w:val="1"/>
    <w:next w:val="1"/>
    <w:unhideWhenUsed/>
    <w:qFormat/>
    <w:uiPriority w:val="39"/>
    <w:pPr>
      <w:widowControl/>
      <w:spacing w:after="100" w:line="276" w:lineRule="auto"/>
      <w:ind w:left="440"/>
      <w:jc w:val="left"/>
    </w:pPr>
    <w:rPr>
      <w:kern w:val="0"/>
      <w:sz w:val="22"/>
    </w:rPr>
  </w:style>
  <w:style w:type="paragraph" w:styleId="7">
    <w:name w:val="Body Text Indent 2"/>
    <w:basedOn w:val="1"/>
    <w:qFormat/>
    <w:uiPriority w:val="0"/>
    <w:pPr>
      <w:autoSpaceDE w:val="0"/>
      <w:autoSpaceDN w:val="0"/>
      <w:adjustRightInd w:val="0"/>
      <w:spacing w:line="360" w:lineRule="auto"/>
      <w:ind w:firstLine="600" w:firstLineChars="200"/>
    </w:pPr>
    <w:rPr>
      <w:rFonts w:ascii="仿宋_GB2312" w:hAnsi="宋体" w:eastAsia="仿宋_GB2312"/>
      <w:color w:val="000000"/>
      <w:sz w:val="30"/>
    </w:rPr>
  </w:style>
  <w:style w:type="paragraph" w:styleId="8">
    <w:name w:val="Balloon Text"/>
    <w:basedOn w:val="1"/>
    <w:link w:val="25"/>
    <w:unhideWhenUsed/>
    <w:qFormat/>
    <w:uiPriority w:val="99"/>
    <w:rPr>
      <w:sz w:val="18"/>
      <w:szCs w:val="18"/>
    </w:rPr>
  </w:style>
  <w:style w:type="paragraph" w:styleId="9">
    <w:name w:val="footer"/>
    <w:basedOn w:val="1"/>
    <w:link w:val="24"/>
    <w:unhideWhenUsed/>
    <w:qFormat/>
    <w:uiPriority w:val="99"/>
    <w:pPr>
      <w:tabs>
        <w:tab w:val="center" w:pos="4153"/>
        <w:tab w:val="right" w:pos="8306"/>
      </w:tabs>
      <w:snapToGrid w:val="0"/>
      <w:jc w:val="left"/>
    </w:pPr>
    <w:rPr>
      <w:sz w:val="18"/>
      <w:szCs w:val="18"/>
    </w:rPr>
  </w:style>
  <w:style w:type="paragraph" w:styleId="10">
    <w:name w:val="header"/>
    <w:basedOn w:val="1"/>
    <w:link w:val="23"/>
    <w:unhideWhenUsed/>
    <w:qFormat/>
    <w:uiPriority w:val="99"/>
    <w:pPr>
      <w:pBdr>
        <w:bottom w:val="single" w:color="auto" w:sz="6" w:space="1"/>
      </w:pBdr>
      <w:tabs>
        <w:tab w:val="center" w:pos="4153"/>
        <w:tab w:val="right" w:pos="8306"/>
      </w:tabs>
      <w:snapToGrid w:val="0"/>
      <w:jc w:val="center"/>
    </w:pPr>
    <w:rPr>
      <w:sz w:val="18"/>
      <w:szCs w:val="18"/>
    </w:rPr>
  </w:style>
  <w:style w:type="paragraph" w:styleId="11">
    <w:name w:val="toc 1"/>
    <w:basedOn w:val="1"/>
    <w:next w:val="1"/>
    <w:unhideWhenUsed/>
    <w:qFormat/>
    <w:uiPriority w:val="39"/>
    <w:pPr>
      <w:widowControl/>
      <w:tabs>
        <w:tab w:val="right" w:leader="dot" w:pos="8296"/>
      </w:tabs>
      <w:spacing w:after="100" w:line="276" w:lineRule="auto"/>
      <w:jc w:val="left"/>
    </w:pPr>
    <w:rPr>
      <w:rFonts w:ascii="Times New Roman" w:hAnsi="Times New Roman" w:eastAsia="宋体" w:cs="Times New Roman"/>
      <w:kern w:val="0"/>
      <w:sz w:val="22"/>
      <w:lang w:val="zh-CN"/>
    </w:rPr>
  </w:style>
  <w:style w:type="paragraph" w:styleId="12">
    <w:name w:val="toc 2"/>
    <w:basedOn w:val="1"/>
    <w:next w:val="1"/>
    <w:unhideWhenUsed/>
    <w:qFormat/>
    <w:uiPriority w:val="39"/>
    <w:pPr>
      <w:widowControl/>
      <w:spacing w:after="100" w:line="276" w:lineRule="auto"/>
      <w:ind w:left="220"/>
      <w:jc w:val="left"/>
    </w:pPr>
    <w:rPr>
      <w:kern w:val="0"/>
      <w:sz w:val="22"/>
    </w:rPr>
  </w:style>
  <w:style w:type="paragraph" w:styleId="13">
    <w:name w:val="Normal (Web)"/>
    <w:basedOn w:val="1"/>
    <w:semiHidden/>
    <w:unhideWhenUsed/>
    <w:qFormat/>
    <w:uiPriority w:val="99"/>
    <w:pPr>
      <w:spacing w:beforeAutospacing="1" w:afterAutospacing="1"/>
      <w:jc w:val="left"/>
    </w:pPr>
    <w:rPr>
      <w:rFonts w:cs="Times New Roman"/>
      <w:kern w:val="0"/>
      <w:sz w:val="24"/>
    </w:rPr>
  </w:style>
  <w:style w:type="paragraph" w:styleId="14">
    <w:name w:val="annotation subject"/>
    <w:basedOn w:val="5"/>
    <w:next w:val="5"/>
    <w:link w:val="28"/>
    <w:unhideWhenUsed/>
    <w:qFormat/>
    <w:uiPriority w:val="99"/>
    <w:rPr>
      <w:b/>
      <w:bCs/>
    </w:rPr>
  </w:style>
  <w:style w:type="table" w:styleId="16">
    <w:name w:val="Table Grid"/>
    <w:basedOn w:val="15"/>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Hyperlink"/>
    <w:basedOn w:val="17"/>
    <w:unhideWhenUsed/>
    <w:qFormat/>
    <w:uiPriority w:val="99"/>
    <w:rPr>
      <w:color w:val="0000FF" w:themeColor="hyperlink"/>
      <w:u w:val="single"/>
      <w14:textFill>
        <w14:solidFill>
          <w14:schemeClr w14:val="hlink"/>
        </w14:solidFill>
      </w14:textFill>
    </w:rPr>
  </w:style>
  <w:style w:type="character" w:styleId="19">
    <w:name w:val="annotation reference"/>
    <w:basedOn w:val="17"/>
    <w:unhideWhenUsed/>
    <w:qFormat/>
    <w:uiPriority w:val="0"/>
    <w:rPr>
      <w:sz w:val="21"/>
      <w:szCs w:val="21"/>
    </w:rPr>
  </w:style>
  <w:style w:type="character" w:customStyle="1" w:styleId="20">
    <w:name w:val="标题 1 字符"/>
    <w:basedOn w:val="17"/>
    <w:link w:val="2"/>
    <w:qFormat/>
    <w:uiPriority w:val="0"/>
    <w:rPr>
      <w:b/>
      <w:bCs/>
      <w:kern w:val="44"/>
      <w:sz w:val="44"/>
      <w:szCs w:val="44"/>
    </w:rPr>
  </w:style>
  <w:style w:type="character" w:customStyle="1" w:styleId="21">
    <w:name w:val="标题 2 字符"/>
    <w:basedOn w:val="17"/>
    <w:link w:val="3"/>
    <w:qFormat/>
    <w:uiPriority w:val="9"/>
    <w:rPr>
      <w:rFonts w:asciiTheme="majorHAnsi" w:hAnsiTheme="majorHAnsi" w:eastAsiaTheme="majorEastAsia" w:cstheme="majorBidi"/>
      <w:b/>
      <w:bCs/>
      <w:sz w:val="32"/>
      <w:szCs w:val="32"/>
    </w:rPr>
  </w:style>
  <w:style w:type="character" w:customStyle="1" w:styleId="22">
    <w:name w:val="标题 3 字符"/>
    <w:basedOn w:val="17"/>
    <w:link w:val="4"/>
    <w:qFormat/>
    <w:uiPriority w:val="9"/>
    <w:rPr>
      <w:b/>
      <w:bCs/>
      <w:sz w:val="32"/>
      <w:szCs w:val="32"/>
    </w:rPr>
  </w:style>
  <w:style w:type="character" w:customStyle="1" w:styleId="23">
    <w:name w:val="页眉 字符"/>
    <w:basedOn w:val="17"/>
    <w:link w:val="10"/>
    <w:qFormat/>
    <w:uiPriority w:val="99"/>
    <w:rPr>
      <w:sz w:val="18"/>
      <w:szCs w:val="18"/>
    </w:rPr>
  </w:style>
  <w:style w:type="character" w:customStyle="1" w:styleId="24">
    <w:name w:val="页脚 字符"/>
    <w:basedOn w:val="17"/>
    <w:link w:val="9"/>
    <w:qFormat/>
    <w:uiPriority w:val="99"/>
    <w:rPr>
      <w:sz w:val="18"/>
      <w:szCs w:val="18"/>
    </w:rPr>
  </w:style>
  <w:style w:type="character" w:customStyle="1" w:styleId="25">
    <w:name w:val="批注框文本 字符"/>
    <w:basedOn w:val="17"/>
    <w:link w:val="8"/>
    <w:semiHidden/>
    <w:qFormat/>
    <w:uiPriority w:val="99"/>
    <w:rPr>
      <w:sz w:val="18"/>
      <w:szCs w:val="18"/>
    </w:rPr>
  </w:style>
  <w:style w:type="paragraph" w:customStyle="1" w:styleId="26">
    <w:name w:val="修订1"/>
    <w:hidden/>
    <w:semiHidden/>
    <w:qFormat/>
    <w:uiPriority w:val="99"/>
    <w:rPr>
      <w:rFonts w:asciiTheme="minorHAnsi" w:hAnsiTheme="minorHAnsi" w:eastAsiaTheme="minorEastAsia" w:cstheme="minorBidi"/>
      <w:kern w:val="2"/>
      <w:sz w:val="21"/>
      <w:szCs w:val="22"/>
      <w:lang w:val="en-US" w:eastAsia="zh-CN" w:bidi="ar-SA"/>
    </w:rPr>
  </w:style>
  <w:style w:type="character" w:customStyle="1" w:styleId="27">
    <w:name w:val="批注文字 字符"/>
    <w:basedOn w:val="17"/>
    <w:link w:val="5"/>
    <w:qFormat/>
    <w:uiPriority w:val="99"/>
  </w:style>
  <w:style w:type="character" w:customStyle="1" w:styleId="28">
    <w:name w:val="批注主题 字符"/>
    <w:basedOn w:val="27"/>
    <w:link w:val="14"/>
    <w:semiHidden/>
    <w:qFormat/>
    <w:uiPriority w:val="99"/>
    <w:rPr>
      <w:b/>
      <w:bCs/>
    </w:rPr>
  </w:style>
  <w:style w:type="paragraph" w:customStyle="1" w:styleId="29">
    <w:name w:val="列出段落1"/>
    <w:basedOn w:val="1"/>
    <w:qFormat/>
    <w:uiPriority w:val="34"/>
    <w:pPr>
      <w:ind w:firstLine="420" w:firstLineChars="200"/>
    </w:pPr>
  </w:style>
  <w:style w:type="paragraph" w:customStyle="1" w:styleId="30">
    <w:name w:val="TOC 标题1"/>
    <w:basedOn w:val="2"/>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paragraph" w:customStyle="1" w:styleId="31">
    <w:name w:val="修订11"/>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32">
    <w:name w:val="TOC 标题11"/>
    <w:basedOn w:val="2"/>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paragraph" w:styleId="33">
    <w:name w:val="List Paragraph"/>
    <w:basedOn w:val="1"/>
    <w:qFormat/>
    <w:uiPriority w:val="34"/>
    <w:pPr>
      <w:ind w:firstLine="420" w:firstLineChars="200"/>
    </w:pPr>
  </w:style>
  <w:style w:type="character" w:customStyle="1" w:styleId="34">
    <w:name w:val="批注文字 Char1"/>
    <w:qFormat/>
    <w:uiPriority w:val="0"/>
    <w:rPr>
      <w:kern w:val="2"/>
      <w:sz w:val="21"/>
    </w:rPr>
  </w:style>
  <w:style w:type="paragraph" w:customStyle="1" w:styleId="35">
    <w:name w:val="修订2"/>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36">
    <w:name w:val="修订3"/>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37">
    <w:name w:val="修订4"/>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38">
    <w:name w:val="修订5"/>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39">
    <w:name w:val="Revision"/>
    <w:hidden/>
    <w:semiHidden/>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1" Type="http://schemas.openxmlformats.org/officeDocument/2006/relationships/fontTable" Target="fontTable.xml"/><Relationship Id="rId30" Type="http://schemas.openxmlformats.org/officeDocument/2006/relationships/customXml" Target="../customXml/item2.xml"/><Relationship Id="rId3" Type="http://schemas.openxmlformats.org/officeDocument/2006/relationships/header" Target="header1.xml"/><Relationship Id="rId29" Type="http://schemas.openxmlformats.org/officeDocument/2006/relationships/numbering" Target="numbering.xml"/><Relationship Id="rId28" Type="http://schemas.openxmlformats.org/officeDocument/2006/relationships/customXml" Target="../customXml/item1.xml"/><Relationship Id="rId27" Type="http://schemas.openxmlformats.org/officeDocument/2006/relationships/theme" Target="theme/theme1.xml"/><Relationship Id="rId26" Type="http://schemas.openxmlformats.org/officeDocument/2006/relationships/footer" Target="footer23.xml"/><Relationship Id="rId25" Type="http://schemas.openxmlformats.org/officeDocument/2006/relationships/footer" Target="footer22.xml"/><Relationship Id="rId24" Type="http://schemas.openxmlformats.org/officeDocument/2006/relationships/footer" Target="footer21.xml"/><Relationship Id="rId23" Type="http://schemas.openxmlformats.org/officeDocument/2006/relationships/footer" Target="footer20.xml"/><Relationship Id="rId22" Type="http://schemas.openxmlformats.org/officeDocument/2006/relationships/footer" Target="footer19.xml"/><Relationship Id="rId21" Type="http://schemas.openxmlformats.org/officeDocument/2006/relationships/footer" Target="footer18.xml"/><Relationship Id="rId20" Type="http://schemas.openxmlformats.org/officeDocument/2006/relationships/footer" Target="footer17.xml"/><Relationship Id="rId2" Type="http://schemas.openxmlformats.org/officeDocument/2006/relationships/settings" Target="settings.xml"/><Relationship Id="rId19" Type="http://schemas.openxmlformats.org/officeDocument/2006/relationships/footer" Target="footer16.xml"/><Relationship Id="rId18" Type="http://schemas.openxmlformats.org/officeDocument/2006/relationships/footer" Target="footer15.xml"/><Relationship Id="rId17" Type="http://schemas.openxmlformats.org/officeDocument/2006/relationships/footer" Target="footer14.xml"/><Relationship Id="rId16" Type="http://schemas.openxmlformats.org/officeDocument/2006/relationships/footer" Target="footer13.xml"/><Relationship Id="rId15" Type="http://schemas.openxmlformats.org/officeDocument/2006/relationships/footer" Target="footer12.xml"/><Relationship Id="rId14" Type="http://schemas.openxmlformats.org/officeDocument/2006/relationships/footer" Target="footer11.xml"/><Relationship Id="rId13" Type="http://schemas.openxmlformats.org/officeDocument/2006/relationships/footer" Target="footer10.xml"/><Relationship Id="rId12" Type="http://schemas.openxmlformats.org/officeDocument/2006/relationships/footer" Target="footer9.xml"/><Relationship Id="rId11" Type="http://schemas.openxmlformats.org/officeDocument/2006/relationships/footer" Target="footer8.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tyleName="APA" SelectedStyle="\APA.XSL"/>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6E1AE17-D632-42F7-9B91-06204EB7FC32}">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113</Pages>
  <Words>12949</Words>
  <Characters>73810</Characters>
  <Lines>615</Lines>
  <Paragraphs>173</Paragraphs>
  <TotalTime>0</TotalTime>
  <ScaleCrop>false</ScaleCrop>
  <LinksUpToDate>false</LinksUpToDate>
  <CharactersWithSpaces>86586</CharactersWithSpaces>
  <Application>WPS Office_12.1.2.26885_F1E327BC-269C-435d-A152-05C5408002CA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2022-06-04T22:54:00Z</dcterms:created>
  <dc:creator>汤玲</dc:creator>
  <cp:lastModifiedBy>chenjy814</cp:lastModifiedBy>
  <cp:lastPrinted>2022-01-06T04:03:00Z</cp:lastPrinted>
  <dcterms:modified xsi:type="dcterms:W3CDTF">2026-09-23T16:18:47Z</dcterms:modified>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2052-12.1.2.26885</vt:lpwstr>
  </property>
  <property fmtid="{D5CDD505-2E9C-101B-9397-08002B2CF9AE}" pid="3" name="ICV">
    <vt:lpwstr>EBCC276E7E5B06CB678BB36A957EDC2B_43</vt:lpwstr>
  </property>
</Properties>
</file>