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3FB6CC">
      <w:pPr>
        <w:snapToGrid w:val="0"/>
        <w:spacing w:line="360" w:lineRule="auto"/>
        <w:jc w:val="center"/>
        <w:outlineLvl w:val="0"/>
        <w:rPr>
          <w:rFonts w:hint="eastAsia" w:ascii="宋体" w:hAnsi="宋体" w:cs="Arial"/>
          <w:sz w:val="32"/>
        </w:rPr>
      </w:pPr>
    </w:p>
    <w:p w14:paraId="6BEEF2AA">
      <w:pPr>
        <w:snapToGrid w:val="0"/>
        <w:spacing w:line="360" w:lineRule="auto"/>
        <w:jc w:val="center"/>
        <w:outlineLvl w:val="0"/>
        <w:rPr>
          <w:rFonts w:hint="eastAsia" w:ascii="宋体" w:hAnsi="宋体" w:cs="Arial"/>
          <w:sz w:val="32"/>
        </w:rPr>
      </w:pPr>
    </w:p>
    <w:p w14:paraId="017D25B7">
      <w:pPr>
        <w:snapToGrid w:val="0"/>
        <w:spacing w:line="360" w:lineRule="auto"/>
        <w:jc w:val="center"/>
        <w:outlineLvl w:val="0"/>
        <w:rPr>
          <w:rFonts w:hint="eastAsia" w:ascii="宋体" w:hAnsi="宋体" w:cs="Arial"/>
          <w:sz w:val="32"/>
        </w:rPr>
      </w:pPr>
    </w:p>
    <w:p w14:paraId="6B946BC1">
      <w:pPr>
        <w:snapToGrid w:val="0"/>
        <w:spacing w:line="360" w:lineRule="auto"/>
        <w:jc w:val="center"/>
        <w:outlineLvl w:val="0"/>
        <w:rPr>
          <w:rFonts w:hint="eastAsia" w:ascii="宋体" w:hAnsi="宋体" w:cs="Arial"/>
          <w:sz w:val="32"/>
        </w:rPr>
      </w:pPr>
    </w:p>
    <w:p w14:paraId="361B9B8E">
      <w:pPr>
        <w:snapToGrid w:val="0"/>
        <w:spacing w:line="360" w:lineRule="auto"/>
        <w:jc w:val="center"/>
        <w:outlineLvl w:val="0"/>
        <w:rPr>
          <w:rFonts w:hint="eastAsia" w:ascii="宋体" w:hAnsi="宋体" w:cs="Arial"/>
          <w:sz w:val="32"/>
        </w:rPr>
      </w:pPr>
    </w:p>
    <w:p w14:paraId="0D65831E">
      <w:pPr>
        <w:snapToGrid w:val="0"/>
        <w:spacing w:line="360" w:lineRule="auto"/>
        <w:jc w:val="center"/>
        <w:outlineLvl w:val="0"/>
        <w:rPr>
          <w:rFonts w:hint="eastAsia" w:ascii="宋体" w:hAnsi="宋体" w:cs="Arial"/>
          <w:b/>
          <w:sz w:val="36"/>
        </w:rPr>
      </w:pPr>
      <w:r>
        <w:rPr>
          <w:rFonts w:hint="eastAsia" w:ascii="宋体" w:hAnsi="宋体" w:cs="Arial"/>
          <w:b/>
          <w:bCs/>
          <w:sz w:val="48"/>
          <w:szCs w:val="48"/>
        </w:rPr>
        <w:t>博时中证细分化工产业主题交易型开放式指数证券投资基金</w:t>
      </w:r>
      <w:r>
        <w:rPr>
          <w:rFonts w:ascii="宋体" w:hAnsi="宋体" w:cs="Arial"/>
          <w:b/>
          <w:sz w:val="48"/>
          <w:szCs w:val="48"/>
        </w:rPr>
        <w:t>招募说明书</w:t>
      </w:r>
    </w:p>
    <w:p w14:paraId="429EFCD7">
      <w:pPr>
        <w:snapToGrid w:val="0"/>
        <w:spacing w:line="360" w:lineRule="auto"/>
        <w:jc w:val="center"/>
        <w:outlineLvl w:val="0"/>
        <w:rPr>
          <w:rFonts w:hint="eastAsia" w:ascii="宋体" w:hAnsi="宋体" w:cs="Arial"/>
          <w:b/>
          <w:sz w:val="36"/>
        </w:rPr>
      </w:pPr>
    </w:p>
    <w:p w14:paraId="4CE1C0E3">
      <w:pPr>
        <w:snapToGrid w:val="0"/>
        <w:spacing w:line="360" w:lineRule="auto"/>
        <w:jc w:val="center"/>
        <w:outlineLvl w:val="0"/>
        <w:rPr>
          <w:rFonts w:hint="eastAsia" w:ascii="宋体" w:hAnsi="宋体" w:cs="Arial"/>
          <w:b/>
          <w:sz w:val="36"/>
        </w:rPr>
      </w:pPr>
    </w:p>
    <w:p w14:paraId="10246782">
      <w:pPr>
        <w:snapToGrid w:val="0"/>
        <w:spacing w:line="360" w:lineRule="auto"/>
        <w:jc w:val="center"/>
        <w:outlineLvl w:val="0"/>
        <w:rPr>
          <w:rFonts w:hint="eastAsia" w:ascii="宋体" w:hAnsi="宋体" w:cs="Arial"/>
        </w:rPr>
      </w:pPr>
    </w:p>
    <w:p w14:paraId="2819FDEC">
      <w:pPr>
        <w:snapToGrid w:val="0"/>
        <w:spacing w:line="360" w:lineRule="auto"/>
        <w:jc w:val="center"/>
        <w:outlineLvl w:val="0"/>
        <w:rPr>
          <w:rFonts w:hint="eastAsia" w:ascii="宋体" w:hAnsi="宋体" w:cs="Arial"/>
        </w:rPr>
      </w:pPr>
    </w:p>
    <w:p w14:paraId="55D66019">
      <w:pPr>
        <w:snapToGrid w:val="0"/>
        <w:spacing w:line="360" w:lineRule="auto"/>
        <w:jc w:val="center"/>
        <w:outlineLvl w:val="0"/>
        <w:rPr>
          <w:rFonts w:hint="eastAsia" w:ascii="宋体" w:hAnsi="宋体" w:cs="Arial"/>
          <w:sz w:val="30"/>
          <w:szCs w:val="30"/>
        </w:rPr>
      </w:pPr>
    </w:p>
    <w:p w14:paraId="549389EA">
      <w:pPr>
        <w:snapToGrid w:val="0"/>
        <w:spacing w:line="360" w:lineRule="auto"/>
        <w:jc w:val="center"/>
        <w:rPr>
          <w:rFonts w:hint="eastAsia" w:ascii="宋体" w:hAnsi="宋体" w:cs="Arial"/>
          <w:b/>
          <w:sz w:val="30"/>
          <w:szCs w:val="30"/>
        </w:rPr>
      </w:pPr>
      <w:r>
        <w:rPr>
          <w:rFonts w:ascii="宋体" w:hAnsi="宋体" w:cs="Arial"/>
          <w:b/>
          <w:sz w:val="30"/>
          <w:szCs w:val="30"/>
        </w:rPr>
        <w:t>基金管理人：博时基金管理有限公司</w:t>
      </w:r>
    </w:p>
    <w:p w14:paraId="00C4FF31">
      <w:pPr>
        <w:snapToGrid w:val="0"/>
        <w:spacing w:line="360" w:lineRule="auto"/>
        <w:jc w:val="center"/>
        <w:rPr>
          <w:rFonts w:hint="eastAsia" w:ascii="宋体" w:hAnsi="宋体" w:cs="Arial"/>
          <w:sz w:val="30"/>
          <w:szCs w:val="30"/>
        </w:rPr>
      </w:pPr>
      <w:r>
        <w:rPr>
          <w:rFonts w:ascii="宋体" w:hAnsi="宋体" w:cs="Arial"/>
          <w:b/>
          <w:sz w:val="30"/>
          <w:szCs w:val="30"/>
        </w:rPr>
        <w:t>基金托管人：</w:t>
      </w:r>
      <w:r>
        <w:rPr>
          <w:rFonts w:hint="eastAsia" w:ascii="宋体" w:hAnsi="宋体" w:cs="Arial"/>
          <w:b/>
          <w:sz w:val="30"/>
          <w:szCs w:val="30"/>
        </w:rPr>
        <w:t>北京银行股份有限公司</w:t>
      </w:r>
    </w:p>
    <w:p w14:paraId="175844B4">
      <w:pPr>
        <w:snapToGrid w:val="0"/>
        <w:spacing w:line="360" w:lineRule="auto"/>
        <w:ind w:firstLine="2240" w:firstLineChars="800"/>
        <w:rPr>
          <w:rFonts w:hint="eastAsia" w:ascii="宋体" w:hAnsi="宋体" w:cs="Arial"/>
          <w:sz w:val="28"/>
        </w:rPr>
      </w:pPr>
      <w:r>
        <w:rPr>
          <w:rFonts w:hint="eastAsia" w:ascii="宋体" w:hAnsi="宋体" w:cs="Arial"/>
          <w:sz w:val="28"/>
        </w:rPr>
        <w:t xml:space="preserve"> </w:t>
      </w:r>
      <w:r>
        <w:rPr>
          <w:rFonts w:ascii="宋体" w:hAnsi="宋体" w:cs="Arial"/>
          <w:sz w:val="28"/>
        </w:rPr>
        <w:t xml:space="preserve">             </w:t>
      </w:r>
    </w:p>
    <w:p w14:paraId="16EEFA8A">
      <w:pPr>
        <w:snapToGrid w:val="0"/>
        <w:spacing w:line="360" w:lineRule="auto"/>
        <w:ind w:firstLine="2240" w:firstLineChars="800"/>
        <w:rPr>
          <w:rFonts w:hint="eastAsia" w:ascii="宋体" w:hAnsi="宋体" w:cs="Arial"/>
          <w:sz w:val="28"/>
        </w:rPr>
      </w:pPr>
      <w:r>
        <w:rPr>
          <w:rFonts w:hint="eastAsia" w:ascii="宋体" w:hAnsi="宋体" w:cs="Arial"/>
          <w:sz w:val="28"/>
        </w:rPr>
        <w:t xml:space="preserve"> </w:t>
      </w:r>
      <w:r>
        <w:rPr>
          <w:rFonts w:ascii="宋体" w:hAnsi="宋体" w:cs="Arial"/>
          <w:sz w:val="28"/>
        </w:rPr>
        <w:t xml:space="preserve">             </w:t>
      </w:r>
    </w:p>
    <w:p w14:paraId="71DE5A12">
      <w:pPr>
        <w:spacing w:line="360" w:lineRule="auto"/>
        <w:ind w:firstLine="1506" w:firstLineChars="500"/>
        <w:rPr>
          <w:rFonts w:hint="eastAsia" w:ascii="宋体" w:hAnsi="宋体" w:cs="Arial"/>
          <w:b/>
          <w:bCs/>
          <w:sz w:val="30"/>
          <w:szCs w:val="30"/>
        </w:rPr>
        <w:sectPr>
          <w:headerReference r:id="rId5" w:type="first"/>
          <w:footerReference r:id="rId7" w:type="first"/>
          <w:headerReference r:id="rId3" w:type="default"/>
          <w:headerReference r:id="rId4" w:type="even"/>
          <w:footerReference r:id="rId6" w:type="even"/>
          <w:type w:val="continuous"/>
          <w:pgSz w:w="11906" w:h="16838"/>
          <w:pgMar w:top="1440" w:right="1800" w:bottom="1440" w:left="1800" w:header="851" w:footer="992" w:gutter="0"/>
          <w:pgNumType w:start="1"/>
          <w:cols w:space="720" w:num="1"/>
          <w:titlePg/>
          <w:docGrid w:linePitch="312" w:charSpace="0"/>
        </w:sectPr>
      </w:pPr>
    </w:p>
    <w:p w14:paraId="32A43BE9">
      <w:pPr>
        <w:autoSpaceDE w:val="0"/>
        <w:autoSpaceDN w:val="0"/>
        <w:adjustRightInd w:val="0"/>
        <w:snapToGrid w:val="0"/>
        <w:spacing w:line="360" w:lineRule="auto"/>
        <w:jc w:val="center"/>
        <w:rPr>
          <w:rFonts w:hint="eastAsia" w:ascii="宋体" w:hAnsi="宋体" w:cs="Arial"/>
          <w:b/>
          <w:bCs/>
          <w:sz w:val="28"/>
          <w:szCs w:val="28"/>
        </w:rPr>
      </w:pPr>
      <w:r>
        <w:rPr>
          <w:rFonts w:ascii="宋体" w:hAnsi="宋体" w:cs="Arial"/>
          <w:b/>
          <w:bCs/>
          <w:sz w:val="28"/>
          <w:szCs w:val="28"/>
        </w:rPr>
        <w:t>【重要提示】</w:t>
      </w:r>
    </w:p>
    <w:p w14:paraId="5DA1C8C8">
      <w:pPr>
        <w:autoSpaceDE w:val="0"/>
        <w:autoSpaceDN w:val="0"/>
        <w:adjustRightInd w:val="0"/>
        <w:snapToGrid w:val="0"/>
        <w:spacing w:line="360" w:lineRule="auto"/>
        <w:jc w:val="center"/>
        <w:rPr>
          <w:rFonts w:hint="eastAsia" w:ascii="宋体" w:hAnsi="宋体" w:cs="Arial"/>
          <w:b/>
          <w:bCs/>
          <w:szCs w:val="21"/>
        </w:rPr>
      </w:pPr>
    </w:p>
    <w:p w14:paraId="78058B3D">
      <w:pPr>
        <w:spacing w:line="360" w:lineRule="auto"/>
        <w:ind w:firstLine="420" w:firstLineChars="200"/>
        <w:rPr>
          <w:rFonts w:hint="eastAsia" w:ascii="宋体" w:hAnsi="宋体" w:cs="Arial"/>
          <w:kern w:val="0"/>
          <w:szCs w:val="21"/>
        </w:rPr>
      </w:pPr>
      <w:r>
        <w:rPr>
          <w:rFonts w:hint="eastAsia"/>
        </w:rPr>
        <w:t>博时中证细分化工产业主题交易型开放式指数证券投资基金</w:t>
      </w:r>
      <w:r>
        <w:rPr>
          <w:rFonts w:hint="eastAsia" w:ascii="宋体" w:hAnsi="宋体" w:cs="Arial"/>
          <w:kern w:val="0"/>
          <w:szCs w:val="21"/>
        </w:rPr>
        <w:t>根据2026年</w:t>
      </w:r>
      <w:r>
        <w:rPr>
          <w:rFonts w:hint="eastAsia" w:ascii="宋体" w:hAnsi="宋体" w:cs="Arial"/>
          <w:kern w:val="0"/>
          <w:szCs w:val="21"/>
          <w:lang w:val="en-US" w:eastAsia="zh-CN"/>
        </w:rPr>
        <w:t>6</w:t>
      </w:r>
      <w:r>
        <w:rPr>
          <w:rFonts w:hint="eastAsia" w:ascii="宋体" w:hAnsi="宋体" w:cs="Arial"/>
          <w:kern w:val="0"/>
          <w:szCs w:val="21"/>
        </w:rPr>
        <w:t>月</w:t>
      </w:r>
      <w:r>
        <w:rPr>
          <w:rFonts w:hint="eastAsia" w:ascii="宋体" w:hAnsi="宋体" w:cs="Arial"/>
          <w:kern w:val="0"/>
          <w:szCs w:val="21"/>
          <w:lang w:val="en-US" w:eastAsia="zh-CN"/>
        </w:rPr>
        <w:t>12</w:t>
      </w:r>
      <w:r>
        <w:rPr>
          <w:rFonts w:hint="eastAsia" w:ascii="宋体" w:hAnsi="宋体" w:cs="Arial"/>
          <w:kern w:val="0"/>
          <w:szCs w:val="21"/>
        </w:rPr>
        <w:t>日中国证券监督管理委员会《关于准予</w:t>
      </w:r>
      <w:r>
        <w:rPr>
          <w:rFonts w:hint="eastAsia"/>
        </w:rPr>
        <w:t>博时中证细分化工产业主题交易型开放式指数证券投资基金</w:t>
      </w:r>
      <w:r>
        <w:rPr>
          <w:rFonts w:hint="eastAsia" w:ascii="宋体" w:hAnsi="宋体" w:cs="Arial"/>
          <w:kern w:val="0"/>
          <w:szCs w:val="21"/>
        </w:rPr>
        <w:t>注册的批复》（</w:t>
      </w:r>
      <w:r>
        <w:rPr>
          <w:rFonts w:hint="eastAsia" w:ascii="宋体" w:hAnsi="宋体" w:cs="Arial"/>
          <w:kern w:val="0"/>
          <w:szCs w:val="21"/>
          <w:lang w:eastAsia="zh-CN"/>
        </w:rPr>
        <w:t>证监许可[2026]1460号</w:t>
      </w:r>
      <w:r>
        <w:rPr>
          <w:rFonts w:hint="eastAsia" w:ascii="宋体" w:hAnsi="宋体" w:cs="Arial"/>
          <w:kern w:val="0"/>
          <w:szCs w:val="21"/>
        </w:rPr>
        <w:t>）准予注册，进行募集。</w:t>
      </w:r>
    </w:p>
    <w:p w14:paraId="3746780D">
      <w:pPr>
        <w:spacing w:line="360" w:lineRule="auto"/>
        <w:ind w:firstLine="420" w:firstLineChars="200"/>
        <w:rPr>
          <w:rFonts w:hint="eastAsia" w:ascii="宋体" w:hAnsi="宋体" w:cs="Arial"/>
        </w:rPr>
      </w:pPr>
      <w:r>
        <w:rPr>
          <w:rFonts w:ascii="宋体" w:hAnsi="宋体" w:cs="Arial"/>
        </w:rPr>
        <w:t>本基金管理人保证招募说明书的内容真实、准确、完整。本招募说明书经中国证监会</w:t>
      </w:r>
      <w:r>
        <w:rPr>
          <w:rFonts w:hint="eastAsia" w:ascii="宋体" w:hAnsi="宋体" w:cs="Arial"/>
        </w:rPr>
        <w:t>注册</w:t>
      </w:r>
      <w:r>
        <w:rPr>
          <w:rFonts w:ascii="宋体" w:hAnsi="宋体" w:cs="Arial"/>
        </w:rPr>
        <w:t>，但中国证监会对本基金募集的</w:t>
      </w:r>
      <w:r>
        <w:rPr>
          <w:rFonts w:hint="eastAsia" w:ascii="宋体" w:hAnsi="宋体" w:cs="Arial"/>
        </w:rPr>
        <w:t>注册</w:t>
      </w:r>
      <w:r>
        <w:rPr>
          <w:rFonts w:ascii="宋体" w:hAnsi="宋体" w:cs="Arial"/>
        </w:rPr>
        <w:t>，并不表明其对本基金的价值和收益作出实质性判断或保证，也不表明投资于本基金没有风险。</w:t>
      </w:r>
      <w:r>
        <w:rPr>
          <w:rFonts w:hint="eastAsia" w:ascii="宋体" w:hAnsi="宋体" w:cs="Arial"/>
        </w:rPr>
        <w:t>中国证监会不对基金的投资价值及市场前景等作出实质性判断或者保证。</w:t>
      </w:r>
    </w:p>
    <w:p w14:paraId="0B6F78C3">
      <w:pPr>
        <w:widowControl/>
        <w:spacing w:line="360" w:lineRule="auto"/>
        <w:ind w:firstLine="420"/>
        <w:jc w:val="left"/>
        <w:rPr>
          <w:rFonts w:hint="eastAsia" w:ascii="宋体" w:hAnsi="宋体" w:cs="宋体"/>
          <w:kern w:val="0"/>
          <w:szCs w:val="21"/>
        </w:rPr>
      </w:pPr>
      <w:r>
        <w:rPr>
          <w:rFonts w:hint="eastAsia" w:ascii="宋体" w:hAnsi="宋体" w:cs="宋体"/>
          <w:kern w:val="0"/>
          <w:szCs w:val="21"/>
        </w:rPr>
        <w:t>本基金的标的指数为中证细分化工产业主题指数，编制方案如下：</w:t>
      </w:r>
    </w:p>
    <w:p w14:paraId="07884859">
      <w:pPr>
        <w:pStyle w:val="37"/>
        <w:spacing w:before="0" w:beforeAutospacing="0" w:after="0" w:afterAutospacing="0" w:line="360" w:lineRule="auto"/>
        <w:ind w:firstLine="420"/>
        <w:rPr>
          <w:rFonts w:hint="eastAsia"/>
          <w:sz w:val="21"/>
          <w:szCs w:val="21"/>
        </w:rPr>
      </w:pPr>
      <w:bookmarkStart w:id="0" w:name="_Hlk106035610"/>
      <w:r>
        <w:rPr>
          <w:rFonts w:hint="eastAsia"/>
          <w:sz w:val="21"/>
          <w:szCs w:val="21"/>
        </w:rPr>
        <w:t>1、指数名称和代码</w:t>
      </w:r>
    </w:p>
    <w:p w14:paraId="5802028F">
      <w:pPr>
        <w:pStyle w:val="37"/>
        <w:spacing w:before="0" w:beforeAutospacing="0" w:after="0" w:afterAutospacing="0" w:line="360" w:lineRule="auto"/>
        <w:ind w:firstLine="420"/>
        <w:rPr>
          <w:rFonts w:hint="eastAsia"/>
          <w:sz w:val="21"/>
          <w:szCs w:val="21"/>
        </w:rPr>
      </w:pPr>
      <w:r>
        <w:rPr>
          <w:rFonts w:hint="eastAsia"/>
          <w:sz w:val="21"/>
          <w:szCs w:val="21"/>
        </w:rPr>
        <w:t>指数名称：中证细分化工产业主题指数</w:t>
      </w:r>
    </w:p>
    <w:p w14:paraId="583C7517">
      <w:pPr>
        <w:pStyle w:val="37"/>
        <w:spacing w:before="0" w:beforeAutospacing="0" w:after="0" w:afterAutospacing="0" w:line="360" w:lineRule="auto"/>
        <w:ind w:firstLine="420"/>
        <w:rPr>
          <w:rFonts w:hint="eastAsia"/>
          <w:sz w:val="21"/>
          <w:szCs w:val="21"/>
        </w:rPr>
      </w:pPr>
      <w:r>
        <w:rPr>
          <w:rFonts w:hint="eastAsia"/>
          <w:sz w:val="21"/>
          <w:szCs w:val="21"/>
        </w:rPr>
        <w:t>指数简称：细分化工</w:t>
      </w:r>
    </w:p>
    <w:p w14:paraId="5E8DA10B">
      <w:pPr>
        <w:pStyle w:val="37"/>
        <w:spacing w:before="0" w:beforeAutospacing="0" w:after="0" w:afterAutospacing="0" w:line="360" w:lineRule="auto"/>
        <w:ind w:firstLine="420"/>
        <w:rPr>
          <w:rFonts w:hint="eastAsia"/>
          <w:sz w:val="21"/>
          <w:szCs w:val="21"/>
        </w:rPr>
      </w:pPr>
      <w:r>
        <w:rPr>
          <w:rFonts w:hint="eastAsia"/>
          <w:sz w:val="21"/>
          <w:szCs w:val="21"/>
        </w:rPr>
        <w:t>英文名称：CSI Chemicals Subindustry Index</w:t>
      </w:r>
    </w:p>
    <w:p w14:paraId="53573D3A">
      <w:pPr>
        <w:pStyle w:val="37"/>
        <w:spacing w:before="0" w:beforeAutospacing="0" w:after="0" w:afterAutospacing="0" w:line="360" w:lineRule="auto"/>
        <w:ind w:firstLine="420"/>
        <w:rPr>
          <w:rFonts w:hint="eastAsia"/>
          <w:sz w:val="21"/>
          <w:szCs w:val="21"/>
        </w:rPr>
      </w:pPr>
      <w:r>
        <w:rPr>
          <w:rFonts w:hint="eastAsia"/>
          <w:sz w:val="21"/>
          <w:szCs w:val="21"/>
        </w:rPr>
        <w:t>英文简称：Chemicals Subindustry</w:t>
      </w:r>
    </w:p>
    <w:p w14:paraId="0F58E322">
      <w:pPr>
        <w:pStyle w:val="37"/>
        <w:spacing w:before="0" w:beforeAutospacing="0" w:after="0" w:afterAutospacing="0" w:line="360" w:lineRule="auto"/>
        <w:ind w:firstLine="420"/>
        <w:rPr>
          <w:rFonts w:hint="eastAsia"/>
          <w:sz w:val="21"/>
          <w:szCs w:val="21"/>
        </w:rPr>
      </w:pPr>
      <w:r>
        <w:rPr>
          <w:rFonts w:hint="eastAsia"/>
          <w:sz w:val="21"/>
          <w:szCs w:val="21"/>
        </w:rPr>
        <w:t>指数代码：000813</w:t>
      </w:r>
    </w:p>
    <w:p w14:paraId="60FBC024">
      <w:pPr>
        <w:pStyle w:val="37"/>
        <w:spacing w:before="0" w:beforeAutospacing="0" w:after="0" w:afterAutospacing="0" w:line="360" w:lineRule="auto"/>
        <w:ind w:firstLine="420"/>
        <w:rPr>
          <w:rFonts w:hint="eastAsia"/>
          <w:sz w:val="21"/>
          <w:szCs w:val="21"/>
        </w:rPr>
      </w:pPr>
      <w:r>
        <w:rPr>
          <w:rFonts w:hint="eastAsia"/>
          <w:sz w:val="21"/>
          <w:szCs w:val="21"/>
        </w:rPr>
        <w:t>2、样本选取方法</w:t>
      </w:r>
    </w:p>
    <w:p w14:paraId="6F264734">
      <w:pPr>
        <w:pStyle w:val="37"/>
        <w:spacing w:before="0" w:beforeAutospacing="0" w:after="0" w:afterAutospacing="0" w:line="360" w:lineRule="auto"/>
        <w:ind w:firstLine="420"/>
        <w:rPr>
          <w:rFonts w:hint="eastAsia"/>
          <w:sz w:val="21"/>
          <w:szCs w:val="21"/>
        </w:rPr>
      </w:pPr>
      <w:r>
        <w:rPr>
          <w:rFonts w:hint="eastAsia"/>
          <w:sz w:val="21"/>
          <w:szCs w:val="21"/>
        </w:rPr>
        <w:t>（1）选样空间</w:t>
      </w:r>
    </w:p>
    <w:p w14:paraId="06CCB65A">
      <w:pPr>
        <w:pStyle w:val="37"/>
        <w:spacing w:before="0" w:beforeAutospacing="0" w:after="0" w:afterAutospacing="0" w:line="360" w:lineRule="auto"/>
        <w:ind w:firstLine="420"/>
        <w:rPr>
          <w:rFonts w:hint="eastAsia"/>
          <w:sz w:val="21"/>
          <w:szCs w:val="21"/>
        </w:rPr>
      </w:pPr>
      <w:r>
        <w:rPr>
          <w:rFonts w:hint="eastAsia"/>
          <w:sz w:val="21"/>
          <w:szCs w:val="21"/>
        </w:rPr>
        <w:t>同中证全指指数的样本空间</w:t>
      </w:r>
    </w:p>
    <w:p w14:paraId="6CDCAD12">
      <w:pPr>
        <w:pStyle w:val="37"/>
        <w:spacing w:before="0" w:beforeAutospacing="0" w:after="0" w:afterAutospacing="0" w:line="360" w:lineRule="auto"/>
        <w:ind w:firstLine="420"/>
        <w:rPr>
          <w:rFonts w:hint="eastAsia"/>
          <w:sz w:val="21"/>
          <w:szCs w:val="21"/>
        </w:rPr>
      </w:pPr>
      <w:r>
        <w:rPr>
          <w:rFonts w:hint="eastAsia"/>
          <w:sz w:val="21"/>
          <w:szCs w:val="21"/>
        </w:rPr>
        <w:t>（2）选样方法</w:t>
      </w:r>
    </w:p>
    <w:p w14:paraId="5E057AAA">
      <w:pPr>
        <w:pStyle w:val="37"/>
        <w:spacing w:before="0" w:beforeAutospacing="0" w:after="0" w:afterAutospacing="0" w:line="360" w:lineRule="auto"/>
        <w:ind w:firstLine="420"/>
        <w:rPr>
          <w:rFonts w:hint="eastAsia"/>
          <w:sz w:val="21"/>
          <w:szCs w:val="21"/>
        </w:rPr>
      </w:pPr>
      <w:r>
        <w:rPr>
          <w:rFonts w:hint="eastAsia"/>
          <w:sz w:val="21"/>
          <w:szCs w:val="21"/>
        </w:rPr>
        <w:t>1）对样本空间内证券按照过去一年的日均成交金额由高到低排名，剔除排名后 20%的证券；</w:t>
      </w:r>
    </w:p>
    <w:p w14:paraId="4597A6D9">
      <w:pPr>
        <w:pStyle w:val="37"/>
        <w:spacing w:before="0" w:beforeAutospacing="0" w:after="0" w:afterAutospacing="0" w:line="360" w:lineRule="auto"/>
        <w:ind w:firstLine="420"/>
        <w:rPr>
          <w:rFonts w:hint="eastAsia"/>
          <w:sz w:val="21"/>
          <w:szCs w:val="21"/>
        </w:rPr>
      </w:pPr>
      <w:r>
        <w:rPr>
          <w:rFonts w:hint="eastAsia"/>
          <w:sz w:val="21"/>
          <w:szCs w:val="21"/>
        </w:rPr>
        <w:t>2）进行主题证券筛选：化学制品等行业归为细分化工主题；</w:t>
      </w:r>
    </w:p>
    <w:p w14:paraId="3B403A64">
      <w:pPr>
        <w:pStyle w:val="37"/>
        <w:spacing w:before="0" w:beforeAutospacing="0" w:after="0" w:afterAutospacing="0" w:line="360" w:lineRule="auto"/>
        <w:ind w:firstLine="420"/>
        <w:rPr>
          <w:rFonts w:hint="eastAsia"/>
          <w:sz w:val="21"/>
          <w:szCs w:val="21"/>
        </w:rPr>
      </w:pPr>
      <w:r>
        <w:rPr>
          <w:rFonts w:hint="eastAsia"/>
          <w:sz w:val="21"/>
          <w:szCs w:val="21"/>
        </w:rPr>
        <w:t>3）选取细分化工主题类别中过去一年日均总市值最大的 50 只证券作为指数样本，若某主题证券数量少于 50 只，则将其全部纳入相应主题指数。</w:t>
      </w:r>
    </w:p>
    <w:p w14:paraId="3CAEAF76">
      <w:pPr>
        <w:pStyle w:val="37"/>
        <w:spacing w:before="0" w:beforeAutospacing="0" w:after="0" w:afterAutospacing="0" w:line="360" w:lineRule="auto"/>
        <w:ind w:firstLine="420"/>
        <w:rPr>
          <w:rFonts w:hint="eastAsia"/>
          <w:sz w:val="21"/>
          <w:szCs w:val="21"/>
        </w:rPr>
      </w:pPr>
      <w:r>
        <w:rPr>
          <w:rFonts w:hint="eastAsia"/>
          <w:sz w:val="21"/>
          <w:szCs w:val="21"/>
        </w:rPr>
        <w:t>（</w:t>
      </w:r>
      <w:r>
        <w:rPr>
          <w:rFonts w:hint="eastAsia"/>
          <w:sz w:val="21"/>
          <w:szCs w:val="21"/>
          <w:lang w:val="en-US" w:eastAsia="zh-CN"/>
        </w:rPr>
        <w:t>3</w:t>
      </w:r>
      <w:bookmarkStart w:id="232" w:name="_GoBack"/>
      <w:bookmarkEnd w:id="232"/>
      <w:r>
        <w:rPr>
          <w:rFonts w:hint="eastAsia"/>
          <w:sz w:val="21"/>
          <w:szCs w:val="21"/>
        </w:rPr>
        <w:t>）指数计算</w:t>
      </w:r>
    </w:p>
    <w:p w14:paraId="6B1EF75A">
      <w:pPr>
        <w:pStyle w:val="37"/>
        <w:spacing w:before="0" w:beforeAutospacing="0" w:after="0" w:afterAutospacing="0" w:line="360" w:lineRule="auto"/>
        <w:ind w:firstLine="420"/>
        <w:rPr>
          <w:rFonts w:hint="eastAsia"/>
          <w:sz w:val="21"/>
          <w:szCs w:val="21"/>
        </w:rPr>
      </w:pPr>
      <w:r>
        <w:rPr>
          <w:rFonts w:hint="eastAsia"/>
          <w:sz w:val="21"/>
          <w:szCs w:val="21"/>
        </w:rPr>
        <w:t>指数计算公式为：报告期指数=报告期样本的调整市值/除数×1000</w:t>
      </w:r>
    </w:p>
    <w:p w14:paraId="3FB4295D">
      <w:pPr>
        <w:pStyle w:val="37"/>
        <w:spacing w:before="0" w:beforeAutospacing="0" w:after="0" w:afterAutospacing="0" w:line="360" w:lineRule="auto"/>
        <w:ind w:firstLine="420"/>
        <w:rPr>
          <w:rFonts w:hint="eastAsia"/>
          <w:sz w:val="21"/>
          <w:szCs w:val="21"/>
        </w:rPr>
      </w:pPr>
      <w:r>
        <w:rPr>
          <w:rFonts w:hint="eastAsia"/>
          <w:sz w:val="21"/>
          <w:szCs w:val="21"/>
        </w:rPr>
        <w:t>其中，调整市值＝ ∑(证券价格×调整股本数×权重因子)。调整股本数的计算方法、除数修正方法参见计算与维护细则。权重因子介于0和1之间，以使单个样本权重不超过 15%。</w:t>
      </w:r>
    </w:p>
    <w:p w14:paraId="075282B5">
      <w:pPr>
        <w:pStyle w:val="37"/>
        <w:spacing w:before="0" w:beforeAutospacing="0" w:after="0" w:afterAutospacing="0" w:line="360" w:lineRule="auto"/>
        <w:ind w:firstLine="420"/>
        <w:rPr>
          <w:rFonts w:hint="eastAsia"/>
          <w:sz w:val="21"/>
          <w:szCs w:val="21"/>
        </w:rPr>
      </w:pPr>
      <w:r>
        <w:rPr>
          <w:rFonts w:hint="eastAsia"/>
          <w:sz w:val="21"/>
          <w:szCs w:val="21"/>
        </w:rPr>
        <w:t>有关标的指数具体编制方案及成份股信息详见中证指数有限公司网站，网址：</w:t>
      </w:r>
      <w:r>
        <w:fldChar w:fldCharType="begin"/>
      </w:r>
      <w:r>
        <w:instrText xml:space="preserve"> HYPERLINK "http://www.csindex.com.cn/。" </w:instrText>
      </w:r>
      <w:r>
        <w:fldChar w:fldCharType="separate"/>
      </w:r>
      <w:r>
        <w:rPr>
          <w:rStyle w:val="55"/>
          <w:rFonts w:hint="eastAsia"/>
          <w:sz w:val="21"/>
          <w:szCs w:val="21"/>
        </w:rPr>
        <w:t>http://www.csindex.com.cn/。</w:t>
      </w:r>
      <w:r>
        <w:rPr>
          <w:rStyle w:val="55"/>
          <w:rFonts w:hint="eastAsia"/>
          <w:sz w:val="21"/>
          <w:szCs w:val="21"/>
        </w:rPr>
        <w:fldChar w:fldCharType="end"/>
      </w:r>
    </w:p>
    <w:bookmarkEnd w:id="0"/>
    <w:p w14:paraId="26392E33">
      <w:pPr>
        <w:spacing w:line="360" w:lineRule="auto"/>
        <w:ind w:firstLine="420" w:firstLineChars="200"/>
        <w:rPr>
          <w:rFonts w:hint="eastAsia" w:ascii="宋体" w:hAnsi="宋体" w:cs="Arial"/>
        </w:rPr>
      </w:pPr>
      <w:r>
        <w:rPr>
          <w:rFonts w:hint="eastAsia" w:ascii="宋体" w:hAnsi="宋体" w:cs="Arial"/>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中证细分化工产业主题指数，其风险收益特征与标的指数所表征的市场组合的风险收益特征相似。</w:t>
      </w:r>
    </w:p>
    <w:p w14:paraId="0E4AC29A">
      <w:pPr>
        <w:spacing w:line="360" w:lineRule="auto"/>
        <w:ind w:firstLine="420" w:firstLineChars="200"/>
        <w:rPr>
          <w:rFonts w:hint="eastAsia" w:ascii="宋体" w:hAnsi="宋体" w:cs="Arial"/>
        </w:rPr>
      </w:pPr>
      <w:r>
        <w:rPr>
          <w:rFonts w:hint="eastAsia" w:ascii="宋体" w:hAnsi="宋体" w:cs="Arial"/>
        </w:rPr>
        <w:t>因折算、分红等行为导致基金份额净值变化，不会改变基金的风险收益特征，不会降低基金投资风险或提高基金投资收益。本基金以</w:t>
      </w:r>
      <w:r>
        <w:rPr>
          <w:rFonts w:ascii="宋体" w:hAnsi="宋体" w:cs="Arial"/>
        </w:rPr>
        <w:t>1</w:t>
      </w:r>
      <w:r>
        <w:rPr>
          <w:rFonts w:hint="eastAsia" w:ascii="宋体" w:hAnsi="宋体" w:cs="Arial"/>
        </w:rPr>
        <w:t>元初始面值开展基金募集，或因折算、分红等行为导致基金份额净值调整至</w:t>
      </w:r>
      <w:r>
        <w:rPr>
          <w:rFonts w:ascii="宋体" w:hAnsi="宋体" w:cs="Arial"/>
        </w:rPr>
        <w:t>1</w:t>
      </w:r>
      <w:r>
        <w:rPr>
          <w:rFonts w:hint="eastAsia" w:ascii="宋体" w:hAnsi="宋体" w:cs="Arial"/>
        </w:rPr>
        <w:t>元初始面值或</w:t>
      </w:r>
      <w:r>
        <w:rPr>
          <w:rFonts w:ascii="宋体" w:hAnsi="宋体" w:cs="Arial"/>
        </w:rPr>
        <w:t>1</w:t>
      </w:r>
      <w:r>
        <w:rPr>
          <w:rFonts w:hint="eastAsia" w:ascii="宋体" w:hAnsi="宋体" w:cs="Arial"/>
        </w:rPr>
        <w:t>元附近，在市场波动等因素的影响下，基金投资仍有可能出现亏损或基金净值仍有可能低于初始面值。</w:t>
      </w:r>
    </w:p>
    <w:p w14:paraId="6412FB71">
      <w:pPr>
        <w:spacing w:line="360" w:lineRule="auto"/>
        <w:ind w:firstLine="420" w:firstLineChars="200"/>
        <w:rPr>
          <w:rFonts w:hint="eastAsia" w:ascii="宋体" w:hAnsi="宋体" w:cs="Arial"/>
        </w:rPr>
      </w:pPr>
      <w:r>
        <w:rPr>
          <w:rFonts w:hint="eastAsia" w:ascii="宋体" w:hAnsi="宋体" w:cs="Arial"/>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管理和操作风险、技术风险、本基金特有风险及不可抗力等。特有风险包括：标的指数回报与股票市场平均回报偏离的风险、标的指数波动的风险、基金投资组合回报与标的指数回报偏离的风险、流动性风险、指数编制机构停止服务的风险</w:t>
      </w:r>
      <w:r>
        <w:rPr>
          <w:rFonts w:ascii="宋体" w:hAnsi="宋体" w:cs="Arial"/>
        </w:rPr>
        <w:t>、</w:t>
      </w:r>
      <w:r>
        <w:rPr>
          <w:rFonts w:hint="eastAsia" w:ascii="宋体" w:hAnsi="宋体" w:cs="Arial"/>
        </w:rPr>
        <w:t>跟踪误差控制未达约定目标的风险</w:t>
      </w:r>
      <w:r>
        <w:rPr>
          <w:rFonts w:ascii="宋体" w:hAnsi="宋体" w:cs="Arial"/>
        </w:rPr>
        <w:t>、</w:t>
      </w:r>
      <w:r>
        <w:rPr>
          <w:rFonts w:hint="eastAsia" w:ascii="宋体" w:hAnsi="宋体" w:cs="Arial"/>
        </w:rPr>
        <w:t>成份股停牌的风险</w:t>
      </w:r>
      <w:r>
        <w:rPr>
          <w:rFonts w:ascii="宋体" w:hAnsi="宋体" w:cs="Arial"/>
        </w:rPr>
        <w:t>、</w:t>
      </w:r>
      <w:r>
        <w:rPr>
          <w:rFonts w:hint="eastAsia" w:ascii="宋体" w:hAnsi="宋体" w:cs="Arial"/>
        </w:rPr>
        <w:t>成份股退市的风险、基金份额二级市场交易价格折溢价的风险</w:t>
      </w:r>
      <w:r>
        <w:rPr>
          <w:rFonts w:ascii="宋体" w:hAnsi="宋体" w:cs="Arial"/>
        </w:rPr>
        <w:t>、</w:t>
      </w:r>
      <w:r>
        <w:rPr>
          <w:rFonts w:hint="eastAsia" w:ascii="宋体" w:hAnsi="宋体" w:cs="Arial"/>
        </w:rPr>
        <w:t>基金份额参考净值决策和基金份额参考净值计算错误的风险</w:t>
      </w:r>
      <w:r>
        <w:rPr>
          <w:rFonts w:ascii="宋体" w:hAnsi="宋体" w:cs="Arial"/>
        </w:rPr>
        <w:t>、</w:t>
      </w:r>
      <w:r>
        <w:rPr>
          <w:rFonts w:hint="eastAsia" w:ascii="宋体" w:hAnsi="宋体" w:cs="Arial"/>
        </w:rPr>
        <w:t>退市风险</w:t>
      </w:r>
      <w:r>
        <w:rPr>
          <w:rFonts w:ascii="宋体" w:hAnsi="宋体" w:cs="Arial"/>
        </w:rPr>
        <w:t>、</w:t>
      </w:r>
      <w:r>
        <w:rPr>
          <w:rFonts w:hint="eastAsia" w:ascii="宋体" w:hAnsi="宋体" w:cs="Arial"/>
        </w:rPr>
        <w:t>投资人申购失败的风险</w:t>
      </w:r>
      <w:r>
        <w:rPr>
          <w:rFonts w:ascii="宋体" w:hAnsi="宋体" w:cs="Arial"/>
        </w:rPr>
        <w:t>、</w:t>
      </w:r>
      <w:r>
        <w:rPr>
          <w:rFonts w:hint="eastAsia" w:ascii="宋体" w:hAnsi="宋体" w:cs="Arial"/>
        </w:rPr>
        <w:t>投资人赎回失败的风险</w:t>
      </w:r>
      <w:r>
        <w:rPr>
          <w:rFonts w:ascii="宋体" w:hAnsi="宋体" w:cs="Arial"/>
        </w:rPr>
        <w:t>、</w:t>
      </w:r>
      <w:r>
        <w:rPr>
          <w:rFonts w:hint="eastAsia" w:ascii="宋体" w:hAnsi="宋体" w:cs="Arial"/>
        </w:rPr>
        <w:t>非深市上市的成份股可以现金替代方式的风险</w:t>
      </w:r>
      <w:r>
        <w:rPr>
          <w:rFonts w:ascii="宋体" w:hAnsi="宋体" w:cs="Arial"/>
        </w:rPr>
        <w:t>、</w:t>
      </w:r>
      <w:r>
        <w:rPr>
          <w:rFonts w:hint="eastAsia" w:ascii="宋体" w:hAnsi="宋体" w:cs="Arial"/>
        </w:rPr>
        <w:t>赎回对价的变现风险</w:t>
      </w:r>
      <w:r>
        <w:rPr>
          <w:rFonts w:ascii="宋体" w:hAnsi="宋体" w:cs="Arial"/>
        </w:rPr>
        <w:t>、</w:t>
      </w:r>
      <w:r>
        <w:rPr>
          <w:rFonts w:hint="eastAsia" w:ascii="宋体" w:hAnsi="宋体" w:cs="Arial"/>
        </w:rPr>
        <w:t>第三方机构服务的风险</w:t>
      </w:r>
      <w:r>
        <w:rPr>
          <w:rFonts w:ascii="宋体" w:hAnsi="宋体" w:cs="Arial"/>
        </w:rPr>
        <w:t>、</w:t>
      </w:r>
      <w:r>
        <w:rPr>
          <w:rFonts w:hint="eastAsia" w:ascii="宋体" w:hAnsi="宋体" w:cs="Arial"/>
        </w:rPr>
        <w:t>参与股指期货交易、国债期货交易和投资股票期权的风险</w:t>
      </w:r>
      <w:r>
        <w:rPr>
          <w:rFonts w:ascii="宋体" w:hAnsi="宋体" w:cs="Arial"/>
        </w:rPr>
        <w:t>、</w:t>
      </w:r>
      <w:r>
        <w:rPr>
          <w:rFonts w:hint="eastAsia" w:ascii="宋体" w:hAnsi="宋体" w:cs="Arial"/>
        </w:rPr>
        <w:t>资产支持证券（ABS）的风险</w:t>
      </w:r>
      <w:r>
        <w:rPr>
          <w:rFonts w:ascii="宋体" w:hAnsi="宋体" w:cs="Arial"/>
        </w:rPr>
        <w:t>、</w:t>
      </w:r>
      <w:r>
        <w:rPr>
          <w:rFonts w:hint="eastAsia" w:ascii="宋体" w:hAnsi="宋体" w:cs="Arial"/>
        </w:rPr>
        <w:t>融资业务的主要风险</w:t>
      </w:r>
      <w:r>
        <w:rPr>
          <w:rFonts w:ascii="宋体" w:hAnsi="宋体" w:cs="Arial"/>
        </w:rPr>
        <w:t>、</w:t>
      </w:r>
      <w:r>
        <w:rPr>
          <w:rFonts w:hint="eastAsia" w:ascii="宋体" w:hAnsi="宋体" w:cs="Arial"/>
        </w:rPr>
        <w:t>转融通证券出借的主要风险</w:t>
      </w:r>
      <w:r>
        <w:rPr>
          <w:rFonts w:ascii="宋体" w:hAnsi="宋体" w:cs="Arial"/>
        </w:rPr>
        <w:t>、</w:t>
      </w:r>
      <w:r>
        <w:rPr>
          <w:rFonts w:hint="eastAsia" w:ascii="宋体" w:hAnsi="宋体" w:cs="Arial"/>
        </w:rPr>
        <w:t>投资于存托凭证的风险、投资北交所股票的风险等，详见本招募说明书“风险揭示”章节。</w:t>
      </w:r>
    </w:p>
    <w:p w14:paraId="4CFD3957">
      <w:pPr>
        <w:spacing w:line="360" w:lineRule="auto"/>
        <w:ind w:firstLine="420" w:firstLineChars="200"/>
        <w:rPr>
          <w:rFonts w:hint="eastAsia" w:ascii="宋体" w:hAnsi="宋体" w:cs="Arial"/>
        </w:rPr>
      </w:pPr>
      <w:r>
        <w:rPr>
          <w:rFonts w:hint="eastAsia" w:ascii="宋体" w:hAnsi="宋体" w:cs="Arial"/>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326EF55A">
      <w:pPr>
        <w:spacing w:line="360" w:lineRule="auto"/>
        <w:ind w:firstLine="420" w:firstLineChars="200"/>
        <w:rPr>
          <w:rFonts w:hint="eastAsia" w:ascii="宋体" w:hAnsi="宋体" w:cs="Arial"/>
        </w:rPr>
      </w:pPr>
      <w:r>
        <w:rPr>
          <w:rFonts w:hint="eastAsia"/>
          <w:szCs w:val="21"/>
        </w:rPr>
        <w:t>本基金的投资范围包括存托凭证，除与其他仅投资于</w:t>
      </w:r>
      <w:r>
        <w:rPr>
          <w:szCs w:val="21"/>
        </w:rPr>
        <w:t>境内</w:t>
      </w:r>
      <w:r>
        <w:rPr>
          <w:rFonts w:hint="eastAsia"/>
          <w:szCs w:val="21"/>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1AB78F5">
      <w:pPr>
        <w:spacing w:line="360" w:lineRule="auto"/>
        <w:ind w:firstLine="420" w:firstLineChars="200"/>
        <w:rPr>
          <w:rFonts w:hint="eastAsia" w:ascii="宋体" w:hAnsi="宋体" w:cs="Arial"/>
        </w:rPr>
      </w:pPr>
      <w:r>
        <w:rPr>
          <w:rFonts w:hint="eastAsia" w:ascii="宋体" w:hAnsi="宋体" w:cs="Arial"/>
        </w:rPr>
        <w:t>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3EF7C313">
      <w:pPr>
        <w:spacing w:line="360" w:lineRule="auto"/>
        <w:ind w:firstLine="420" w:firstLineChars="200"/>
        <w:rPr>
          <w:rFonts w:hint="eastAsia" w:ascii="宋体" w:hAnsi="宋体" w:cs="Arial"/>
        </w:rPr>
      </w:pPr>
      <w:r>
        <w:rPr>
          <w:rFonts w:hint="eastAsia" w:ascii="宋体" w:hAnsi="宋体" w:cs="Arial"/>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w:t>
      </w:r>
      <w:r>
        <w:rPr>
          <w:rFonts w:ascii="宋体" w:hAnsi="宋体" w:cs="Arial"/>
        </w:rPr>
        <w:t>“</w:t>
      </w:r>
      <w:r>
        <w:rPr>
          <w:rFonts w:hint="eastAsia" w:ascii="宋体" w:hAnsi="宋体" w:cs="Arial"/>
        </w:rPr>
        <w:t>买者自负</w:t>
      </w:r>
      <w:r>
        <w:rPr>
          <w:rFonts w:ascii="宋体" w:hAnsi="宋体" w:cs="Arial"/>
        </w:rPr>
        <w:t>”</w:t>
      </w:r>
      <w:r>
        <w:rPr>
          <w:rFonts w:hint="eastAsia" w:ascii="宋体" w:hAnsi="宋体" w:cs="Arial"/>
        </w:rPr>
        <w:t>原则，在做出投资决策后，基金运营状况与基金净值变化引致的投资风险，由投资人自行负担。</w:t>
      </w:r>
    </w:p>
    <w:p w14:paraId="3BDFFE7B">
      <w:pPr>
        <w:spacing w:line="360" w:lineRule="auto"/>
        <w:ind w:firstLine="420" w:firstLineChars="200"/>
        <w:jc w:val="left"/>
        <w:rPr>
          <w:rFonts w:hint="eastAsia" w:ascii="宋体" w:hAnsi="宋体" w:cs="Arial"/>
        </w:rPr>
      </w:pPr>
      <w:r>
        <w:rPr>
          <w:rFonts w:hint="eastAsia" w:ascii="宋体" w:hAnsi="宋体" w:cs="Arial"/>
        </w:rPr>
        <w:t>投资人应当通过申购、赎回代理券商办理基金申购、赎回业务，申购、赎回代理券商名单详见本基金《招募说明书》以及相关公告。</w:t>
      </w:r>
    </w:p>
    <w:p w14:paraId="70C90AD2">
      <w:pPr>
        <w:spacing w:line="360" w:lineRule="auto"/>
        <w:ind w:firstLine="420" w:firstLineChars="200"/>
        <w:jc w:val="left"/>
        <w:rPr>
          <w:rFonts w:hint="eastAsia" w:ascii="宋体" w:hAnsi="宋体" w:cs="Arial"/>
        </w:rPr>
        <w:sectPr>
          <w:headerReference r:id="rId8" w:type="first"/>
          <w:footerReference r:id="rId9" w:type="first"/>
          <w:pgSz w:w="11906" w:h="16838"/>
          <w:pgMar w:top="1440" w:right="1800" w:bottom="1440" w:left="1800" w:header="851" w:footer="992" w:gutter="0"/>
          <w:pgNumType w:start="1"/>
          <w:cols w:space="720" w:num="1"/>
          <w:titlePg/>
          <w:docGrid w:linePitch="312" w:charSpace="0"/>
        </w:sectPr>
      </w:pPr>
    </w:p>
    <w:p w14:paraId="22B5C63C">
      <w:pPr>
        <w:spacing w:line="360" w:lineRule="auto"/>
        <w:ind w:firstLine="420" w:firstLineChars="200"/>
        <w:jc w:val="left"/>
        <w:rPr>
          <w:rFonts w:hint="eastAsia" w:ascii="宋体" w:hAnsi="宋体" w:cs="Arial"/>
        </w:rPr>
      </w:pPr>
    </w:p>
    <w:p w14:paraId="4E43467C">
      <w:pPr>
        <w:spacing w:line="360" w:lineRule="auto"/>
        <w:ind w:firstLine="723" w:firstLineChars="200"/>
        <w:jc w:val="center"/>
        <w:rPr>
          <w:rFonts w:hint="eastAsia" w:ascii="宋体" w:hAnsi="宋体"/>
          <w:b/>
          <w:sz w:val="36"/>
          <w:szCs w:val="36"/>
        </w:rPr>
      </w:pPr>
      <w:r>
        <w:rPr>
          <w:rFonts w:hint="eastAsia" w:ascii="宋体" w:hAnsi="宋体"/>
          <w:b/>
          <w:sz w:val="36"/>
          <w:szCs w:val="36"/>
        </w:rPr>
        <w:t>目录</w:t>
      </w:r>
    </w:p>
    <w:p w14:paraId="24DD75AD">
      <w:pPr>
        <w:pStyle w:val="28"/>
        <w:tabs>
          <w:tab w:val="right" w:leader="dot" w:pos="8306"/>
          <w:tab w:val="clear" w:pos="8295"/>
        </w:tabs>
        <w:rPr>
          <w:rFonts w:hint="eastAsia"/>
        </w:rPr>
      </w:pPr>
      <w:r>
        <w:rPr>
          <w:rFonts w:cs="Arial"/>
          <w:b/>
          <w:bCs/>
          <w:spacing w:val="120"/>
        </w:rPr>
        <w:fldChar w:fldCharType="begin"/>
      </w:r>
      <w:r>
        <w:rPr>
          <w:rFonts w:cs="Arial"/>
          <w:b/>
          <w:bCs/>
          <w:spacing w:val="120"/>
        </w:rPr>
        <w:instrText xml:space="preserve"> TOC \o "1-1" \h \z </w:instrText>
      </w:r>
      <w:r>
        <w:rPr>
          <w:rFonts w:cs="Arial"/>
          <w:b/>
          <w:bCs/>
          <w:spacing w:val="120"/>
        </w:rPr>
        <w:fldChar w:fldCharType="separate"/>
      </w:r>
      <w:r>
        <w:fldChar w:fldCharType="begin"/>
      </w:r>
      <w:r>
        <w:instrText xml:space="preserve"> HYPERLINK \l "_Toc2591" </w:instrText>
      </w:r>
      <w:r>
        <w:fldChar w:fldCharType="separate"/>
      </w:r>
      <w:r>
        <w:rPr>
          <w:rFonts w:cs="Arial"/>
          <w:bCs/>
          <w:szCs w:val="28"/>
        </w:rPr>
        <w:t>第一部分  绪言</w:t>
      </w:r>
      <w:r>
        <w:tab/>
      </w:r>
      <w:r>
        <w:fldChar w:fldCharType="begin"/>
      </w:r>
      <w:r>
        <w:instrText xml:space="preserve"> PAGEREF _Toc2591 \h </w:instrText>
      </w:r>
      <w:r>
        <w:fldChar w:fldCharType="separate"/>
      </w:r>
      <w:r>
        <w:t>1</w:t>
      </w:r>
      <w:r>
        <w:fldChar w:fldCharType="end"/>
      </w:r>
      <w:r>
        <w:fldChar w:fldCharType="end"/>
      </w:r>
    </w:p>
    <w:p w14:paraId="2FE376BC">
      <w:pPr>
        <w:pStyle w:val="28"/>
        <w:tabs>
          <w:tab w:val="right" w:leader="dot" w:pos="8306"/>
          <w:tab w:val="clear" w:pos="8295"/>
        </w:tabs>
        <w:rPr>
          <w:rFonts w:hint="eastAsia"/>
        </w:rPr>
      </w:pPr>
      <w:r>
        <w:fldChar w:fldCharType="begin"/>
      </w:r>
      <w:r>
        <w:instrText xml:space="preserve"> HYPERLINK \l "_Toc19429" </w:instrText>
      </w:r>
      <w:r>
        <w:fldChar w:fldCharType="separate"/>
      </w:r>
      <w:r>
        <w:rPr>
          <w:rFonts w:cs="Arial"/>
          <w:bCs/>
          <w:szCs w:val="28"/>
        </w:rPr>
        <w:t>第二部分  释义</w:t>
      </w:r>
      <w:r>
        <w:tab/>
      </w:r>
      <w:r>
        <w:fldChar w:fldCharType="begin"/>
      </w:r>
      <w:r>
        <w:instrText xml:space="preserve"> PAGEREF _Toc19429 \h </w:instrText>
      </w:r>
      <w:r>
        <w:fldChar w:fldCharType="separate"/>
      </w:r>
      <w:r>
        <w:t>2</w:t>
      </w:r>
      <w:r>
        <w:fldChar w:fldCharType="end"/>
      </w:r>
      <w:r>
        <w:fldChar w:fldCharType="end"/>
      </w:r>
    </w:p>
    <w:p w14:paraId="478EB543">
      <w:pPr>
        <w:pStyle w:val="28"/>
        <w:tabs>
          <w:tab w:val="right" w:leader="dot" w:pos="8306"/>
          <w:tab w:val="clear" w:pos="8295"/>
        </w:tabs>
        <w:rPr>
          <w:rFonts w:hint="eastAsia"/>
        </w:rPr>
      </w:pPr>
      <w:r>
        <w:fldChar w:fldCharType="begin"/>
      </w:r>
      <w:r>
        <w:instrText xml:space="preserve"> HYPERLINK \l "_Toc15122" </w:instrText>
      </w:r>
      <w:r>
        <w:fldChar w:fldCharType="separate"/>
      </w:r>
      <w:r>
        <w:rPr>
          <w:rFonts w:cs="Arial"/>
          <w:bCs/>
          <w:szCs w:val="28"/>
        </w:rPr>
        <w:t>第三部分  基金管理人</w:t>
      </w:r>
      <w:r>
        <w:tab/>
      </w:r>
      <w:r>
        <w:fldChar w:fldCharType="begin"/>
      </w:r>
      <w:r>
        <w:instrText xml:space="preserve"> PAGEREF _Toc15122 \h </w:instrText>
      </w:r>
      <w:r>
        <w:fldChar w:fldCharType="separate"/>
      </w:r>
      <w:r>
        <w:t>7</w:t>
      </w:r>
      <w:r>
        <w:fldChar w:fldCharType="end"/>
      </w:r>
      <w:r>
        <w:fldChar w:fldCharType="end"/>
      </w:r>
    </w:p>
    <w:p w14:paraId="4811A1D1">
      <w:pPr>
        <w:pStyle w:val="28"/>
        <w:tabs>
          <w:tab w:val="right" w:leader="dot" w:pos="8306"/>
          <w:tab w:val="clear" w:pos="8295"/>
        </w:tabs>
        <w:rPr>
          <w:rFonts w:hint="eastAsia"/>
        </w:rPr>
      </w:pPr>
      <w:r>
        <w:fldChar w:fldCharType="begin"/>
      </w:r>
      <w:r>
        <w:instrText xml:space="preserve"> HYPERLINK \l "_Toc16447" </w:instrText>
      </w:r>
      <w:r>
        <w:fldChar w:fldCharType="separate"/>
      </w:r>
      <w:r>
        <w:rPr>
          <w:rFonts w:cs="Arial"/>
          <w:bCs/>
          <w:szCs w:val="28"/>
        </w:rPr>
        <w:t>第四部分  基金托管人</w:t>
      </w:r>
      <w:r>
        <w:tab/>
      </w:r>
      <w:r>
        <w:fldChar w:fldCharType="begin"/>
      </w:r>
      <w:r>
        <w:instrText xml:space="preserve"> PAGEREF _Toc16447 \h </w:instrText>
      </w:r>
      <w:r>
        <w:fldChar w:fldCharType="separate"/>
      </w:r>
      <w:r>
        <w:t>15</w:t>
      </w:r>
      <w:r>
        <w:fldChar w:fldCharType="end"/>
      </w:r>
      <w:r>
        <w:fldChar w:fldCharType="end"/>
      </w:r>
    </w:p>
    <w:p w14:paraId="10DAA36B">
      <w:pPr>
        <w:pStyle w:val="28"/>
        <w:tabs>
          <w:tab w:val="right" w:leader="dot" w:pos="8306"/>
          <w:tab w:val="clear" w:pos="8295"/>
        </w:tabs>
        <w:rPr>
          <w:rFonts w:hint="eastAsia"/>
        </w:rPr>
      </w:pPr>
      <w:r>
        <w:fldChar w:fldCharType="begin"/>
      </w:r>
      <w:r>
        <w:instrText xml:space="preserve"> HYPERLINK \l "_Toc10250" </w:instrText>
      </w:r>
      <w:r>
        <w:fldChar w:fldCharType="separate"/>
      </w:r>
      <w:r>
        <w:rPr>
          <w:rFonts w:cs="Arial"/>
          <w:bCs/>
          <w:szCs w:val="28"/>
        </w:rPr>
        <w:t>第五部分  相关服务机构</w:t>
      </w:r>
      <w:r>
        <w:tab/>
      </w:r>
      <w:r>
        <w:fldChar w:fldCharType="begin"/>
      </w:r>
      <w:r>
        <w:instrText xml:space="preserve"> PAGEREF _Toc10250 \h </w:instrText>
      </w:r>
      <w:r>
        <w:fldChar w:fldCharType="separate"/>
      </w:r>
      <w:r>
        <w:t>18</w:t>
      </w:r>
      <w:r>
        <w:fldChar w:fldCharType="end"/>
      </w:r>
      <w:r>
        <w:fldChar w:fldCharType="end"/>
      </w:r>
    </w:p>
    <w:p w14:paraId="59A76356">
      <w:pPr>
        <w:pStyle w:val="28"/>
        <w:tabs>
          <w:tab w:val="right" w:leader="dot" w:pos="8306"/>
          <w:tab w:val="clear" w:pos="8295"/>
        </w:tabs>
        <w:rPr>
          <w:rFonts w:hint="eastAsia"/>
        </w:rPr>
      </w:pPr>
      <w:r>
        <w:fldChar w:fldCharType="begin"/>
      </w:r>
      <w:r>
        <w:instrText xml:space="preserve"> HYPERLINK \l "_Toc31846" </w:instrText>
      </w:r>
      <w:r>
        <w:fldChar w:fldCharType="separate"/>
      </w:r>
      <w:r>
        <w:rPr>
          <w:rFonts w:cs="Arial"/>
          <w:bCs/>
          <w:szCs w:val="28"/>
        </w:rPr>
        <w:t xml:space="preserve">第六部分  </w:t>
      </w:r>
      <w:r>
        <w:rPr>
          <w:rFonts w:hint="eastAsia" w:cs="Arial"/>
          <w:bCs/>
          <w:szCs w:val="28"/>
        </w:rPr>
        <w:t>基金份额的发售</w:t>
      </w:r>
      <w:r>
        <w:tab/>
      </w:r>
      <w:r>
        <w:fldChar w:fldCharType="begin"/>
      </w:r>
      <w:r>
        <w:instrText xml:space="preserve"> PAGEREF _Toc31846 \h </w:instrText>
      </w:r>
      <w:r>
        <w:fldChar w:fldCharType="separate"/>
      </w:r>
      <w:r>
        <w:t>20</w:t>
      </w:r>
      <w:r>
        <w:fldChar w:fldCharType="end"/>
      </w:r>
      <w:r>
        <w:fldChar w:fldCharType="end"/>
      </w:r>
    </w:p>
    <w:p w14:paraId="75B0D2F8">
      <w:pPr>
        <w:pStyle w:val="28"/>
        <w:tabs>
          <w:tab w:val="right" w:leader="dot" w:pos="8306"/>
          <w:tab w:val="clear" w:pos="8295"/>
        </w:tabs>
        <w:rPr>
          <w:rFonts w:hint="eastAsia"/>
        </w:rPr>
      </w:pPr>
      <w:r>
        <w:fldChar w:fldCharType="begin"/>
      </w:r>
      <w:r>
        <w:instrText xml:space="preserve"> HYPERLINK \l "_Toc18185" </w:instrText>
      </w:r>
      <w:r>
        <w:fldChar w:fldCharType="separate"/>
      </w:r>
      <w:r>
        <w:rPr>
          <w:rFonts w:cs="Arial"/>
          <w:bCs/>
          <w:szCs w:val="28"/>
        </w:rPr>
        <w:t>第</w:t>
      </w:r>
      <w:r>
        <w:rPr>
          <w:rFonts w:hint="eastAsia" w:cs="Arial"/>
          <w:bCs/>
          <w:szCs w:val="28"/>
        </w:rPr>
        <w:t>七</w:t>
      </w:r>
      <w:r>
        <w:rPr>
          <w:rFonts w:cs="Arial"/>
          <w:bCs/>
          <w:szCs w:val="28"/>
        </w:rPr>
        <w:t xml:space="preserve">部分  </w:t>
      </w:r>
      <w:r>
        <w:rPr>
          <w:rFonts w:hint="eastAsia" w:cs="Arial"/>
          <w:bCs/>
          <w:szCs w:val="28"/>
        </w:rPr>
        <w:t>基金合同的生效</w:t>
      </w:r>
      <w:r>
        <w:tab/>
      </w:r>
      <w:r>
        <w:fldChar w:fldCharType="begin"/>
      </w:r>
      <w:r>
        <w:instrText xml:space="preserve"> PAGEREF _Toc18185 \h </w:instrText>
      </w:r>
      <w:r>
        <w:fldChar w:fldCharType="separate"/>
      </w:r>
      <w:r>
        <w:t>28</w:t>
      </w:r>
      <w:r>
        <w:fldChar w:fldCharType="end"/>
      </w:r>
      <w:r>
        <w:fldChar w:fldCharType="end"/>
      </w:r>
    </w:p>
    <w:p w14:paraId="1A7B612F">
      <w:pPr>
        <w:pStyle w:val="28"/>
        <w:tabs>
          <w:tab w:val="right" w:leader="dot" w:pos="8306"/>
          <w:tab w:val="clear" w:pos="8295"/>
        </w:tabs>
        <w:rPr>
          <w:rFonts w:hint="eastAsia"/>
        </w:rPr>
      </w:pPr>
      <w:r>
        <w:fldChar w:fldCharType="begin"/>
      </w:r>
      <w:r>
        <w:instrText xml:space="preserve"> HYPERLINK \l "_Toc3884" </w:instrText>
      </w:r>
      <w:r>
        <w:fldChar w:fldCharType="separate"/>
      </w:r>
      <w:r>
        <w:rPr>
          <w:rFonts w:hint="eastAsia" w:cs="Arial"/>
          <w:bCs/>
          <w:szCs w:val="28"/>
        </w:rPr>
        <w:t>第八部分  基金的份额折算与变更登记</w:t>
      </w:r>
      <w:r>
        <w:tab/>
      </w:r>
      <w:r>
        <w:fldChar w:fldCharType="begin"/>
      </w:r>
      <w:r>
        <w:instrText xml:space="preserve"> PAGEREF _Toc3884 \h </w:instrText>
      </w:r>
      <w:r>
        <w:fldChar w:fldCharType="separate"/>
      </w:r>
      <w:r>
        <w:t>29</w:t>
      </w:r>
      <w:r>
        <w:fldChar w:fldCharType="end"/>
      </w:r>
      <w:r>
        <w:fldChar w:fldCharType="end"/>
      </w:r>
    </w:p>
    <w:p w14:paraId="0431B30C">
      <w:pPr>
        <w:pStyle w:val="28"/>
        <w:tabs>
          <w:tab w:val="right" w:leader="dot" w:pos="8306"/>
          <w:tab w:val="clear" w:pos="8295"/>
        </w:tabs>
        <w:rPr>
          <w:rFonts w:hint="eastAsia"/>
        </w:rPr>
      </w:pPr>
      <w:r>
        <w:fldChar w:fldCharType="begin"/>
      </w:r>
      <w:r>
        <w:instrText xml:space="preserve"> HYPERLINK \l "_Toc265" </w:instrText>
      </w:r>
      <w:r>
        <w:fldChar w:fldCharType="separate"/>
      </w:r>
      <w:r>
        <w:rPr>
          <w:rFonts w:cs="Arial"/>
          <w:bCs/>
          <w:szCs w:val="28"/>
        </w:rPr>
        <w:t>第</w:t>
      </w:r>
      <w:r>
        <w:rPr>
          <w:rFonts w:hint="eastAsia" w:cs="Arial"/>
          <w:bCs/>
          <w:szCs w:val="28"/>
        </w:rPr>
        <w:t>九</w:t>
      </w:r>
      <w:r>
        <w:rPr>
          <w:rFonts w:cs="Arial"/>
          <w:bCs/>
          <w:szCs w:val="28"/>
        </w:rPr>
        <w:t>部分  基金份额的</w:t>
      </w:r>
      <w:r>
        <w:rPr>
          <w:rFonts w:hint="eastAsia" w:cs="Arial"/>
          <w:bCs/>
          <w:szCs w:val="28"/>
        </w:rPr>
        <w:t>上市</w:t>
      </w:r>
      <w:r>
        <w:rPr>
          <w:rFonts w:cs="Arial"/>
          <w:bCs/>
          <w:szCs w:val="28"/>
        </w:rPr>
        <w:t>交易</w:t>
      </w:r>
      <w:r>
        <w:tab/>
      </w:r>
      <w:r>
        <w:fldChar w:fldCharType="begin"/>
      </w:r>
      <w:r>
        <w:instrText xml:space="preserve"> PAGEREF _Toc265 \h </w:instrText>
      </w:r>
      <w:r>
        <w:fldChar w:fldCharType="separate"/>
      </w:r>
      <w:r>
        <w:t>30</w:t>
      </w:r>
      <w:r>
        <w:fldChar w:fldCharType="end"/>
      </w:r>
      <w:r>
        <w:fldChar w:fldCharType="end"/>
      </w:r>
    </w:p>
    <w:p w14:paraId="0E22807A">
      <w:pPr>
        <w:pStyle w:val="28"/>
        <w:tabs>
          <w:tab w:val="right" w:leader="dot" w:pos="8306"/>
          <w:tab w:val="clear" w:pos="8295"/>
        </w:tabs>
        <w:rPr>
          <w:rFonts w:hint="eastAsia"/>
        </w:rPr>
      </w:pPr>
      <w:r>
        <w:fldChar w:fldCharType="begin"/>
      </w:r>
      <w:r>
        <w:instrText xml:space="preserve"> HYPERLINK \l "_Toc17743" </w:instrText>
      </w:r>
      <w:r>
        <w:fldChar w:fldCharType="separate"/>
      </w:r>
      <w:r>
        <w:rPr>
          <w:rFonts w:cs="Arial"/>
          <w:bCs/>
          <w:szCs w:val="28"/>
        </w:rPr>
        <w:t>第</w:t>
      </w:r>
      <w:r>
        <w:rPr>
          <w:rFonts w:hint="eastAsia" w:cs="Arial"/>
          <w:bCs/>
          <w:szCs w:val="28"/>
        </w:rPr>
        <w:t>十</w:t>
      </w:r>
      <w:r>
        <w:rPr>
          <w:rFonts w:cs="Arial"/>
          <w:bCs/>
          <w:szCs w:val="28"/>
        </w:rPr>
        <w:t>部分  基金份额的申购与赎回</w:t>
      </w:r>
      <w:r>
        <w:tab/>
      </w:r>
      <w:r>
        <w:fldChar w:fldCharType="begin"/>
      </w:r>
      <w:r>
        <w:instrText xml:space="preserve"> PAGEREF _Toc17743 \h </w:instrText>
      </w:r>
      <w:r>
        <w:fldChar w:fldCharType="separate"/>
      </w:r>
      <w:r>
        <w:t>32</w:t>
      </w:r>
      <w:r>
        <w:fldChar w:fldCharType="end"/>
      </w:r>
      <w:r>
        <w:fldChar w:fldCharType="end"/>
      </w:r>
    </w:p>
    <w:p w14:paraId="5589C080">
      <w:pPr>
        <w:pStyle w:val="28"/>
        <w:tabs>
          <w:tab w:val="right" w:leader="dot" w:pos="8306"/>
          <w:tab w:val="clear" w:pos="8295"/>
        </w:tabs>
        <w:rPr>
          <w:rFonts w:hint="eastAsia"/>
        </w:rPr>
      </w:pPr>
      <w:r>
        <w:fldChar w:fldCharType="begin"/>
      </w:r>
      <w:r>
        <w:instrText xml:space="preserve"> HYPERLINK \l "_Toc216" </w:instrText>
      </w:r>
      <w:r>
        <w:fldChar w:fldCharType="separate"/>
      </w:r>
      <w:r>
        <w:rPr>
          <w:rFonts w:cs="Arial"/>
          <w:bCs/>
          <w:szCs w:val="28"/>
        </w:rPr>
        <w:t>第十</w:t>
      </w:r>
      <w:r>
        <w:rPr>
          <w:rFonts w:hint="eastAsia" w:cs="Arial"/>
          <w:bCs/>
          <w:szCs w:val="28"/>
        </w:rPr>
        <w:t>一</w:t>
      </w:r>
      <w:r>
        <w:rPr>
          <w:rFonts w:cs="Arial"/>
          <w:bCs/>
          <w:szCs w:val="28"/>
        </w:rPr>
        <w:t>部分  基金的投资</w:t>
      </w:r>
      <w:r>
        <w:tab/>
      </w:r>
      <w:r>
        <w:fldChar w:fldCharType="begin"/>
      </w:r>
      <w:r>
        <w:instrText xml:space="preserve"> PAGEREF _Toc216 \h </w:instrText>
      </w:r>
      <w:r>
        <w:fldChar w:fldCharType="separate"/>
      </w:r>
      <w:r>
        <w:t>45</w:t>
      </w:r>
      <w:r>
        <w:fldChar w:fldCharType="end"/>
      </w:r>
      <w:r>
        <w:fldChar w:fldCharType="end"/>
      </w:r>
    </w:p>
    <w:p w14:paraId="338BB880">
      <w:pPr>
        <w:pStyle w:val="28"/>
        <w:tabs>
          <w:tab w:val="right" w:leader="dot" w:pos="8306"/>
          <w:tab w:val="clear" w:pos="8295"/>
        </w:tabs>
        <w:rPr>
          <w:rFonts w:hint="eastAsia"/>
        </w:rPr>
      </w:pPr>
      <w:r>
        <w:fldChar w:fldCharType="begin"/>
      </w:r>
      <w:r>
        <w:instrText xml:space="preserve"> HYPERLINK \l "_Toc29537" </w:instrText>
      </w:r>
      <w:r>
        <w:fldChar w:fldCharType="separate"/>
      </w:r>
      <w:r>
        <w:rPr>
          <w:rFonts w:cs="Arial"/>
          <w:bCs/>
          <w:szCs w:val="28"/>
        </w:rPr>
        <w:t>第十</w:t>
      </w:r>
      <w:r>
        <w:rPr>
          <w:rFonts w:hint="eastAsia" w:cs="Arial"/>
          <w:bCs/>
          <w:szCs w:val="28"/>
        </w:rPr>
        <w:t>二</w:t>
      </w:r>
      <w:r>
        <w:rPr>
          <w:rFonts w:cs="Arial"/>
          <w:bCs/>
          <w:szCs w:val="28"/>
        </w:rPr>
        <w:t>部分  基金的财产</w:t>
      </w:r>
      <w:r>
        <w:tab/>
      </w:r>
      <w:r>
        <w:fldChar w:fldCharType="begin"/>
      </w:r>
      <w:r>
        <w:instrText xml:space="preserve"> PAGEREF _Toc29537 \h </w:instrText>
      </w:r>
      <w:r>
        <w:fldChar w:fldCharType="separate"/>
      </w:r>
      <w:r>
        <w:t>52</w:t>
      </w:r>
      <w:r>
        <w:fldChar w:fldCharType="end"/>
      </w:r>
      <w:r>
        <w:fldChar w:fldCharType="end"/>
      </w:r>
    </w:p>
    <w:p w14:paraId="1779D160">
      <w:pPr>
        <w:pStyle w:val="28"/>
        <w:tabs>
          <w:tab w:val="right" w:leader="dot" w:pos="8306"/>
          <w:tab w:val="clear" w:pos="8295"/>
        </w:tabs>
        <w:rPr>
          <w:rFonts w:hint="eastAsia"/>
        </w:rPr>
      </w:pPr>
      <w:r>
        <w:fldChar w:fldCharType="begin"/>
      </w:r>
      <w:r>
        <w:instrText xml:space="preserve"> HYPERLINK \l "_Toc12748" </w:instrText>
      </w:r>
      <w:r>
        <w:fldChar w:fldCharType="separate"/>
      </w:r>
      <w:r>
        <w:rPr>
          <w:rFonts w:cs="Arial"/>
          <w:bCs/>
          <w:szCs w:val="28"/>
        </w:rPr>
        <w:t>第十</w:t>
      </w:r>
      <w:r>
        <w:rPr>
          <w:rFonts w:hint="eastAsia" w:cs="Arial"/>
          <w:bCs/>
          <w:szCs w:val="28"/>
        </w:rPr>
        <w:t>三</w:t>
      </w:r>
      <w:r>
        <w:rPr>
          <w:rFonts w:cs="Arial"/>
          <w:bCs/>
          <w:szCs w:val="28"/>
        </w:rPr>
        <w:t>部分  基金资产的估值</w:t>
      </w:r>
      <w:r>
        <w:tab/>
      </w:r>
      <w:r>
        <w:fldChar w:fldCharType="begin"/>
      </w:r>
      <w:r>
        <w:instrText xml:space="preserve"> PAGEREF _Toc12748 \h </w:instrText>
      </w:r>
      <w:r>
        <w:fldChar w:fldCharType="separate"/>
      </w:r>
      <w:r>
        <w:t>53</w:t>
      </w:r>
      <w:r>
        <w:fldChar w:fldCharType="end"/>
      </w:r>
      <w:r>
        <w:fldChar w:fldCharType="end"/>
      </w:r>
    </w:p>
    <w:p w14:paraId="5088B643">
      <w:pPr>
        <w:pStyle w:val="28"/>
        <w:tabs>
          <w:tab w:val="right" w:leader="dot" w:pos="8306"/>
          <w:tab w:val="clear" w:pos="8295"/>
        </w:tabs>
        <w:rPr>
          <w:rFonts w:hint="eastAsia"/>
        </w:rPr>
      </w:pPr>
      <w:r>
        <w:fldChar w:fldCharType="begin"/>
      </w:r>
      <w:r>
        <w:instrText xml:space="preserve"> HYPERLINK \l "_Toc25634" </w:instrText>
      </w:r>
      <w:r>
        <w:fldChar w:fldCharType="separate"/>
      </w:r>
      <w:r>
        <w:rPr>
          <w:rFonts w:cs="Arial"/>
          <w:bCs/>
          <w:szCs w:val="28"/>
        </w:rPr>
        <w:t>第十</w:t>
      </w:r>
      <w:r>
        <w:rPr>
          <w:rFonts w:hint="eastAsia" w:cs="Arial"/>
          <w:bCs/>
          <w:szCs w:val="28"/>
        </w:rPr>
        <w:t>四部分  基金的收益与分配</w:t>
      </w:r>
      <w:r>
        <w:tab/>
      </w:r>
      <w:r>
        <w:fldChar w:fldCharType="begin"/>
      </w:r>
      <w:r>
        <w:instrText xml:space="preserve"> PAGEREF _Toc25634 \h </w:instrText>
      </w:r>
      <w:r>
        <w:fldChar w:fldCharType="separate"/>
      </w:r>
      <w:r>
        <w:t>58</w:t>
      </w:r>
      <w:r>
        <w:fldChar w:fldCharType="end"/>
      </w:r>
      <w:r>
        <w:fldChar w:fldCharType="end"/>
      </w:r>
    </w:p>
    <w:p w14:paraId="138993FA">
      <w:pPr>
        <w:pStyle w:val="28"/>
        <w:tabs>
          <w:tab w:val="right" w:leader="dot" w:pos="8306"/>
          <w:tab w:val="clear" w:pos="8295"/>
        </w:tabs>
        <w:rPr>
          <w:rFonts w:hint="eastAsia"/>
        </w:rPr>
      </w:pPr>
      <w:r>
        <w:fldChar w:fldCharType="begin"/>
      </w:r>
      <w:r>
        <w:instrText xml:space="preserve"> HYPERLINK \l "_Toc13642" </w:instrText>
      </w:r>
      <w:r>
        <w:fldChar w:fldCharType="separate"/>
      </w:r>
      <w:r>
        <w:rPr>
          <w:rFonts w:cs="Arial"/>
          <w:bCs/>
          <w:szCs w:val="28"/>
        </w:rPr>
        <w:t>第十</w:t>
      </w:r>
      <w:r>
        <w:rPr>
          <w:rFonts w:hint="eastAsia" w:cs="Arial"/>
          <w:bCs/>
          <w:szCs w:val="28"/>
        </w:rPr>
        <w:t>五</w:t>
      </w:r>
      <w:r>
        <w:rPr>
          <w:rFonts w:cs="Arial"/>
          <w:bCs/>
          <w:szCs w:val="28"/>
        </w:rPr>
        <w:t>部分  基金费用与税收</w:t>
      </w:r>
      <w:r>
        <w:tab/>
      </w:r>
      <w:r>
        <w:fldChar w:fldCharType="begin"/>
      </w:r>
      <w:r>
        <w:instrText xml:space="preserve"> PAGEREF _Toc13642 \h </w:instrText>
      </w:r>
      <w:r>
        <w:fldChar w:fldCharType="separate"/>
      </w:r>
      <w:r>
        <w:t>60</w:t>
      </w:r>
      <w:r>
        <w:fldChar w:fldCharType="end"/>
      </w:r>
      <w:r>
        <w:fldChar w:fldCharType="end"/>
      </w:r>
    </w:p>
    <w:p w14:paraId="4ED4DCE5">
      <w:pPr>
        <w:pStyle w:val="28"/>
        <w:tabs>
          <w:tab w:val="right" w:leader="dot" w:pos="8306"/>
          <w:tab w:val="clear" w:pos="8295"/>
        </w:tabs>
        <w:rPr>
          <w:rFonts w:hint="eastAsia"/>
        </w:rPr>
      </w:pPr>
      <w:r>
        <w:fldChar w:fldCharType="begin"/>
      </w:r>
      <w:r>
        <w:instrText xml:space="preserve"> HYPERLINK \l "_Toc13959" </w:instrText>
      </w:r>
      <w:r>
        <w:fldChar w:fldCharType="separate"/>
      </w:r>
      <w:r>
        <w:rPr>
          <w:rFonts w:cs="Arial"/>
          <w:bCs/>
          <w:szCs w:val="28"/>
        </w:rPr>
        <w:t>第</w:t>
      </w:r>
      <w:r>
        <w:rPr>
          <w:rFonts w:hint="eastAsia" w:cs="Arial"/>
          <w:bCs/>
          <w:szCs w:val="28"/>
        </w:rPr>
        <w:t>十六</w:t>
      </w:r>
      <w:r>
        <w:rPr>
          <w:rFonts w:cs="Arial"/>
          <w:bCs/>
          <w:szCs w:val="28"/>
        </w:rPr>
        <w:t>部分  基金的会计与审计</w:t>
      </w:r>
      <w:r>
        <w:tab/>
      </w:r>
      <w:r>
        <w:fldChar w:fldCharType="begin"/>
      </w:r>
      <w:r>
        <w:instrText xml:space="preserve"> PAGEREF _Toc13959 \h </w:instrText>
      </w:r>
      <w:r>
        <w:fldChar w:fldCharType="separate"/>
      </w:r>
      <w:r>
        <w:t>62</w:t>
      </w:r>
      <w:r>
        <w:fldChar w:fldCharType="end"/>
      </w:r>
      <w:r>
        <w:fldChar w:fldCharType="end"/>
      </w:r>
    </w:p>
    <w:p w14:paraId="77A1BA2E">
      <w:pPr>
        <w:pStyle w:val="28"/>
        <w:tabs>
          <w:tab w:val="right" w:leader="dot" w:pos="8306"/>
          <w:tab w:val="clear" w:pos="8295"/>
        </w:tabs>
        <w:rPr>
          <w:rFonts w:hint="eastAsia"/>
        </w:rPr>
      </w:pPr>
      <w:r>
        <w:fldChar w:fldCharType="begin"/>
      </w:r>
      <w:r>
        <w:instrText xml:space="preserve"> HYPERLINK \l "_Toc3366" </w:instrText>
      </w:r>
      <w:r>
        <w:fldChar w:fldCharType="separate"/>
      </w:r>
      <w:r>
        <w:rPr>
          <w:rFonts w:cs="Arial"/>
          <w:bCs/>
          <w:szCs w:val="28"/>
        </w:rPr>
        <w:t>第十</w:t>
      </w:r>
      <w:r>
        <w:rPr>
          <w:rFonts w:hint="eastAsia" w:cs="Arial"/>
          <w:bCs/>
          <w:szCs w:val="28"/>
        </w:rPr>
        <w:t>七</w:t>
      </w:r>
      <w:r>
        <w:rPr>
          <w:rFonts w:cs="Arial"/>
          <w:bCs/>
          <w:szCs w:val="28"/>
        </w:rPr>
        <w:t>部分  基金的信息披露</w:t>
      </w:r>
      <w:r>
        <w:tab/>
      </w:r>
      <w:r>
        <w:fldChar w:fldCharType="begin"/>
      </w:r>
      <w:r>
        <w:instrText xml:space="preserve"> PAGEREF _Toc3366 \h </w:instrText>
      </w:r>
      <w:r>
        <w:fldChar w:fldCharType="separate"/>
      </w:r>
      <w:r>
        <w:t>63</w:t>
      </w:r>
      <w:r>
        <w:fldChar w:fldCharType="end"/>
      </w:r>
      <w:r>
        <w:fldChar w:fldCharType="end"/>
      </w:r>
    </w:p>
    <w:p w14:paraId="675EBDF2">
      <w:pPr>
        <w:pStyle w:val="28"/>
        <w:tabs>
          <w:tab w:val="right" w:leader="dot" w:pos="8306"/>
          <w:tab w:val="clear" w:pos="8295"/>
        </w:tabs>
        <w:rPr>
          <w:rFonts w:hint="eastAsia"/>
        </w:rPr>
      </w:pPr>
      <w:r>
        <w:fldChar w:fldCharType="begin"/>
      </w:r>
      <w:r>
        <w:instrText xml:space="preserve"> HYPERLINK \l "_Toc4343" </w:instrText>
      </w:r>
      <w:r>
        <w:fldChar w:fldCharType="separate"/>
      </w:r>
      <w:r>
        <w:rPr>
          <w:rFonts w:cs="Arial"/>
          <w:bCs/>
          <w:szCs w:val="28"/>
        </w:rPr>
        <w:t>第十</w:t>
      </w:r>
      <w:r>
        <w:rPr>
          <w:rFonts w:hint="eastAsia" w:cs="Arial"/>
          <w:bCs/>
          <w:szCs w:val="28"/>
        </w:rPr>
        <w:t>八</w:t>
      </w:r>
      <w:r>
        <w:rPr>
          <w:rFonts w:cs="Arial"/>
          <w:bCs/>
          <w:szCs w:val="28"/>
        </w:rPr>
        <w:t>部分  风险揭示</w:t>
      </w:r>
      <w:r>
        <w:tab/>
      </w:r>
      <w:r>
        <w:fldChar w:fldCharType="begin"/>
      </w:r>
      <w:r>
        <w:instrText xml:space="preserve"> PAGEREF _Toc4343 \h </w:instrText>
      </w:r>
      <w:r>
        <w:fldChar w:fldCharType="separate"/>
      </w:r>
      <w:r>
        <w:t>69</w:t>
      </w:r>
      <w:r>
        <w:fldChar w:fldCharType="end"/>
      </w:r>
      <w:r>
        <w:fldChar w:fldCharType="end"/>
      </w:r>
    </w:p>
    <w:p w14:paraId="31E30E78">
      <w:pPr>
        <w:pStyle w:val="28"/>
        <w:tabs>
          <w:tab w:val="right" w:leader="dot" w:pos="8306"/>
          <w:tab w:val="clear" w:pos="8295"/>
        </w:tabs>
        <w:rPr>
          <w:rFonts w:hint="eastAsia"/>
        </w:rPr>
      </w:pPr>
      <w:r>
        <w:fldChar w:fldCharType="begin"/>
      </w:r>
      <w:r>
        <w:instrText xml:space="preserve"> HYPERLINK \l "_Toc27242" </w:instrText>
      </w:r>
      <w:r>
        <w:fldChar w:fldCharType="separate"/>
      </w:r>
      <w:r>
        <w:rPr>
          <w:rFonts w:cs="Arial"/>
          <w:bCs/>
          <w:szCs w:val="28"/>
        </w:rPr>
        <w:t>第</w:t>
      </w:r>
      <w:r>
        <w:rPr>
          <w:rFonts w:hint="eastAsia" w:cs="Arial"/>
          <w:bCs/>
          <w:szCs w:val="28"/>
        </w:rPr>
        <w:t>十九</w:t>
      </w:r>
      <w:r>
        <w:rPr>
          <w:rFonts w:cs="Arial"/>
          <w:bCs/>
          <w:szCs w:val="28"/>
        </w:rPr>
        <w:t>部分  基金合同的变更、终止与基金财产的清算</w:t>
      </w:r>
      <w:r>
        <w:tab/>
      </w:r>
      <w:r>
        <w:fldChar w:fldCharType="begin"/>
      </w:r>
      <w:r>
        <w:instrText xml:space="preserve"> PAGEREF _Toc27242 \h </w:instrText>
      </w:r>
      <w:r>
        <w:fldChar w:fldCharType="separate"/>
      </w:r>
      <w:r>
        <w:t>76</w:t>
      </w:r>
      <w:r>
        <w:fldChar w:fldCharType="end"/>
      </w:r>
      <w:r>
        <w:fldChar w:fldCharType="end"/>
      </w:r>
    </w:p>
    <w:p w14:paraId="3666B01D">
      <w:pPr>
        <w:pStyle w:val="28"/>
        <w:tabs>
          <w:tab w:val="right" w:leader="dot" w:pos="8306"/>
          <w:tab w:val="clear" w:pos="8295"/>
        </w:tabs>
        <w:rPr>
          <w:rFonts w:hint="eastAsia"/>
        </w:rPr>
      </w:pPr>
      <w:r>
        <w:fldChar w:fldCharType="begin"/>
      </w:r>
      <w:r>
        <w:instrText xml:space="preserve"> HYPERLINK \l "_Toc31631" </w:instrText>
      </w:r>
      <w:r>
        <w:fldChar w:fldCharType="separate"/>
      </w:r>
      <w:r>
        <w:rPr>
          <w:rFonts w:cs="Arial"/>
          <w:bCs/>
          <w:szCs w:val="28"/>
        </w:rPr>
        <w:t>第</w:t>
      </w:r>
      <w:r>
        <w:rPr>
          <w:rFonts w:hint="eastAsia" w:cs="Arial"/>
          <w:bCs/>
          <w:szCs w:val="28"/>
        </w:rPr>
        <w:t>二十</w:t>
      </w:r>
      <w:r>
        <w:rPr>
          <w:rFonts w:cs="Arial"/>
          <w:bCs/>
          <w:szCs w:val="28"/>
        </w:rPr>
        <w:t>部分  基金合同的内容摘要</w:t>
      </w:r>
      <w:r>
        <w:tab/>
      </w:r>
      <w:r>
        <w:fldChar w:fldCharType="begin"/>
      </w:r>
      <w:r>
        <w:instrText xml:space="preserve"> PAGEREF _Toc31631 \h </w:instrText>
      </w:r>
      <w:r>
        <w:fldChar w:fldCharType="separate"/>
      </w:r>
      <w:r>
        <w:t>78</w:t>
      </w:r>
      <w:r>
        <w:fldChar w:fldCharType="end"/>
      </w:r>
      <w:r>
        <w:fldChar w:fldCharType="end"/>
      </w:r>
    </w:p>
    <w:p w14:paraId="422F0ADB">
      <w:pPr>
        <w:pStyle w:val="28"/>
        <w:tabs>
          <w:tab w:val="right" w:leader="dot" w:pos="8306"/>
          <w:tab w:val="clear" w:pos="8295"/>
        </w:tabs>
        <w:rPr>
          <w:rFonts w:hint="eastAsia"/>
        </w:rPr>
      </w:pPr>
      <w:r>
        <w:fldChar w:fldCharType="begin"/>
      </w:r>
      <w:r>
        <w:instrText xml:space="preserve"> HYPERLINK \l "_Toc19216" </w:instrText>
      </w:r>
      <w:r>
        <w:fldChar w:fldCharType="separate"/>
      </w:r>
      <w:r>
        <w:rPr>
          <w:rFonts w:cs="Arial"/>
          <w:bCs/>
          <w:szCs w:val="28"/>
        </w:rPr>
        <w:t>第二十</w:t>
      </w:r>
      <w:r>
        <w:rPr>
          <w:rFonts w:hint="eastAsia" w:cs="Arial"/>
          <w:bCs/>
          <w:szCs w:val="28"/>
        </w:rPr>
        <w:t>一</w:t>
      </w:r>
      <w:r>
        <w:rPr>
          <w:rFonts w:cs="Arial"/>
          <w:bCs/>
          <w:szCs w:val="28"/>
        </w:rPr>
        <w:t>部分  基金托管协议的内容摘要</w:t>
      </w:r>
      <w:r>
        <w:tab/>
      </w:r>
      <w:r>
        <w:fldChar w:fldCharType="begin"/>
      </w:r>
      <w:r>
        <w:instrText xml:space="preserve"> PAGEREF _Toc19216 \h </w:instrText>
      </w:r>
      <w:r>
        <w:fldChar w:fldCharType="separate"/>
      </w:r>
      <w:r>
        <w:t>92</w:t>
      </w:r>
      <w:r>
        <w:fldChar w:fldCharType="end"/>
      </w:r>
      <w:r>
        <w:fldChar w:fldCharType="end"/>
      </w:r>
    </w:p>
    <w:p w14:paraId="693DB853">
      <w:pPr>
        <w:pStyle w:val="28"/>
        <w:tabs>
          <w:tab w:val="right" w:leader="dot" w:pos="8306"/>
          <w:tab w:val="clear" w:pos="8295"/>
        </w:tabs>
        <w:rPr>
          <w:rFonts w:hint="eastAsia"/>
        </w:rPr>
      </w:pPr>
      <w:r>
        <w:fldChar w:fldCharType="begin"/>
      </w:r>
      <w:r>
        <w:instrText xml:space="preserve"> HYPERLINK \l "_Toc365" </w:instrText>
      </w:r>
      <w:r>
        <w:fldChar w:fldCharType="separate"/>
      </w:r>
      <w:r>
        <w:rPr>
          <w:rFonts w:cs="Arial"/>
          <w:bCs/>
          <w:szCs w:val="28"/>
        </w:rPr>
        <w:t>第二十</w:t>
      </w:r>
      <w:r>
        <w:rPr>
          <w:rFonts w:hint="eastAsia" w:cs="Arial"/>
          <w:bCs/>
          <w:szCs w:val="28"/>
        </w:rPr>
        <w:t>二</w:t>
      </w:r>
      <w:r>
        <w:rPr>
          <w:rFonts w:cs="Arial"/>
          <w:bCs/>
          <w:szCs w:val="28"/>
        </w:rPr>
        <w:t>部分  对基金份额持有人的服务</w:t>
      </w:r>
      <w:r>
        <w:tab/>
      </w:r>
      <w:r>
        <w:fldChar w:fldCharType="begin"/>
      </w:r>
      <w:r>
        <w:instrText xml:space="preserve"> PAGEREF _Toc365 \h </w:instrText>
      </w:r>
      <w:r>
        <w:fldChar w:fldCharType="separate"/>
      </w:r>
      <w:r>
        <w:t>110</w:t>
      </w:r>
      <w:r>
        <w:fldChar w:fldCharType="end"/>
      </w:r>
      <w:r>
        <w:fldChar w:fldCharType="end"/>
      </w:r>
    </w:p>
    <w:p w14:paraId="335E48CE">
      <w:pPr>
        <w:pStyle w:val="28"/>
        <w:tabs>
          <w:tab w:val="right" w:leader="dot" w:pos="8306"/>
          <w:tab w:val="clear" w:pos="8295"/>
        </w:tabs>
        <w:rPr>
          <w:rFonts w:hint="eastAsia"/>
        </w:rPr>
      </w:pPr>
      <w:r>
        <w:fldChar w:fldCharType="begin"/>
      </w:r>
      <w:r>
        <w:instrText xml:space="preserve"> HYPERLINK \l "_Toc9892" </w:instrText>
      </w:r>
      <w:r>
        <w:fldChar w:fldCharType="separate"/>
      </w:r>
      <w:r>
        <w:rPr>
          <w:rFonts w:cs="Arial"/>
          <w:bCs/>
          <w:szCs w:val="28"/>
        </w:rPr>
        <w:t>第二十</w:t>
      </w:r>
      <w:r>
        <w:rPr>
          <w:rFonts w:hint="eastAsia" w:cs="Arial"/>
          <w:bCs/>
          <w:szCs w:val="28"/>
        </w:rPr>
        <w:t>三</w:t>
      </w:r>
      <w:r>
        <w:rPr>
          <w:rFonts w:cs="Arial"/>
          <w:bCs/>
          <w:szCs w:val="28"/>
        </w:rPr>
        <w:t>部分  招募说明书存放及查阅方式</w:t>
      </w:r>
      <w:r>
        <w:tab/>
      </w:r>
      <w:r>
        <w:fldChar w:fldCharType="begin"/>
      </w:r>
      <w:r>
        <w:instrText xml:space="preserve"> PAGEREF _Toc9892 \h </w:instrText>
      </w:r>
      <w:r>
        <w:fldChar w:fldCharType="separate"/>
      </w:r>
      <w:r>
        <w:t>111</w:t>
      </w:r>
      <w:r>
        <w:fldChar w:fldCharType="end"/>
      </w:r>
      <w:r>
        <w:fldChar w:fldCharType="end"/>
      </w:r>
    </w:p>
    <w:p w14:paraId="6D411AC8">
      <w:pPr>
        <w:pStyle w:val="28"/>
        <w:tabs>
          <w:tab w:val="right" w:leader="dot" w:pos="8306"/>
          <w:tab w:val="clear" w:pos="8295"/>
        </w:tabs>
        <w:rPr>
          <w:rFonts w:hint="eastAsia"/>
        </w:rPr>
      </w:pPr>
      <w:r>
        <w:fldChar w:fldCharType="begin"/>
      </w:r>
      <w:r>
        <w:instrText xml:space="preserve"> HYPERLINK \l "_Toc31048" </w:instrText>
      </w:r>
      <w:r>
        <w:fldChar w:fldCharType="separate"/>
      </w:r>
      <w:r>
        <w:rPr>
          <w:rFonts w:hint="eastAsia" w:cs="Arial"/>
          <w:bCs/>
          <w:szCs w:val="28"/>
        </w:rPr>
        <w:t xml:space="preserve">第二十四部分  </w:t>
      </w:r>
      <w:r>
        <w:rPr>
          <w:rFonts w:cs="Arial"/>
          <w:bCs/>
          <w:szCs w:val="28"/>
        </w:rPr>
        <w:t>备查文件</w:t>
      </w:r>
      <w:r>
        <w:tab/>
      </w:r>
      <w:r>
        <w:fldChar w:fldCharType="begin"/>
      </w:r>
      <w:r>
        <w:instrText xml:space="preserve"> PAGEREF _Toc31048 \h </w:instrText>
      </w:r>
      <w:r>
        <w:fldChar w:fldCharType="separate"/>
      </w:r>
      <w:r>
        <w:t>112</w:t>
      </w:r>
      <w:r>
        <w:fldChar w:fldCharType="end"/>
      </w:r>
      <w:r>
        <w:fldChar w:fldCharType="end"/>
      </w:r>
    </w:p>
    <w:p w14:paraId="0678C2FF">
      <w:pPr>
        <w:pStyle w:val="28"/>
        <w:rPr>
          <w:rFonts w:hint="eastAsia"/>
        </w:rPr>
        <w:sectPr>
          <w:pgSz w:w="11906" w:h="16838"/>
          <w:pgMar w:top="1440" w:right="1800" w:bottom="1440" w:left="1800" w:header="851" w:footer="992" w:gutter="0"/>
          <w:pgNumType w:start="1"/>
          <w:cols w:space="720" w:num="1"/>
          <w:titlePg/>
          <w:docGrid w:linePitch="312" w:charSpace="0"/>
        </w:sectPr>
      </w:pPr>
      <w:r>
        <w:fldChar w:fldCharType="end"/>
      </w:r>
    </w:p>
    <w:p w14:paraId="5DC7E6CB">
      <w:pPr>
        <w:pStyle w:val="2"/>
        <w:snapToGrid w:val="0"/>
        <w:spacing w:before="0" w:after="0" w:line="360" w:lineRule="auto"/>
        <w:ind w:firstLine="141" w:firstLineChars="50"/>
        <w:rPr>
          <w:rFonts w:hint="eastAsia" w:hAnsi="宋体" w:eastAsia="宋体" w:cs="Arial"/>
          <w:b/>
          <w:bCs/>
          <w:sz w:val="28"/>
          <w:szCs w:val="28"/>
        </w:rPr>
      </w:pPr>
      <w:bookmarkStart w:id="1" w:name="_Toc50661119"/>
      <w:bookmarkStart w:id="2" w:name="_Toc86655811"/>
      <w:bookmarkStart w:id="3" w:name="_Toc2591"/>
      <w:r>
        <w:rPr>
          <w:rFonts w:hAnsi="宋体" w:eastAsia="宋体" w:cs="Arial"/>
          <w:b/>
          <w:bCs/>
          <w:sz w:val="28"/>
          <w:szCs w:val="28"/>
        </w:rPr>
        <w:t>第一部分  绪言</w:t>
      </w:r>
      <w:bookmarkEnd w:id="1"/>
      <w:bookmarkEnd w:id="2"/>
      <w:bookmarkEnd w:id="3"/>
    </w:p>
    <w:p w14:paraId="39D2ED06">
      <w:pPr>
        <w:autoSpaceDE w:val="0"/>
        <w:autoSpaceDN w:val="0"/>
        <w:adjustRightInd w:val="0"/>
        <w:snapToGrid w:val="0"/>
        <w:spacing w:line="360" w:lineRule="auto"/>
        <w:ind w:firstLine="420" w:firstLineChars="200"/>
        <w:rPr>
          <w:rFonts w:hint="eastAsia" w:ascii="宋体" w:hAnsi="宋体" w:cs="Arial"/>
          <w:szCs w:val="21"/>
        </w:rPr>
      </w:pPr>
    </w:p>
    <w:p w14:paraId="798FC35F">
      <w:pPr>
        <w:spacing w:line="360" w:lineRule="auto"/>
        <w:ind w:firstLine="420" w:firstLineChars="200"/>
        <w:rPr>
          <w:rFonts w:hint="eastAsia" w:ascii="宋体" w:hAnsi="宋体" w:cs="Arial"/>
        </w:rPr>
      </w:pPr>
      <w:r>
        <w:rPr>
          <w:rFonts w:ascii="宋体" w:hAnsi="宋体" w:cs="Arial"/>
        </w:rPr>
        <w:t>《</w:t>
      </w:r>
      <w:r>
        <w:rPr>
          <w:rFonts w:hint="eastAsia" w:ascii="宋体" w:hAnsi="宋体" w:cs="Arial"/>
        </w:rPr>
        <w:t>博时中证细分化工产业主题交易型开放式指数证券投资基金</w:t>
      </w:r>
      <w:r>
        <w:rPr>
          <w:rFonts w:ascii="宋体" w:hAnsi="宋体" w:cs="Arial"/>
        </w:rPr>
        <w:t>招募说明书》（以下简称</w:t>
      </w:r>
      <w:r>
        <w:rPr>
          <w:rFonts w:hint="eastAsia" w:ascii="宋体" w:hAnsi="宋体" w:cs="Arial"/>
        </w:rPr>
        <w:t>“</w:t>
      </w:r>
      <w:r>
        <w:rPr>
          <w:rFonts w:ascii="宋体" w:hAnsi="宋体" w:cs="Arial"/>
        </w:rPr>
        <w:t>招募说明书</w:t>
      </w:r>
      <w:r>
        <w:rPr>
          <w:rFonts w:hint="eastAsia" w:ascii="宋体" w:hAnsi="宋体" w:cs="Arial"/>
        </w:rPr>
        <w:t>”</w:t>
      </w:r>
      <w:r>
        <w:rPr>
          <w:rFonts w:ascii="宋体" w:hAnsi="宋体" w:cs="Arial"/>
        </w:rPr>
        <w:t>或</w:t>
      </w:r>
      <w:r>
        <w:rPr>
          <w:rFonts w:hint="eastAsia" w:ascii="宋体" w:hAnsi="宋体" w:cs="Arial"/>
        </w:rPr>
        <w:t>“</w:t>
      </w:r>
      <w:r>
        <w:rPr>
          <w:rFonts w:ascii="宋体" w:hAnsi="宋体" w:cs="Arial"/>
        </w:rPr>
        <w:t>本招募说明书</w:t>
      </w:r>
      <w:r>
        <w:rPr>
          <w:rFonts w:hint="eastAsia" w:ascii="宋体" w:hAnsi="宋体" w:cs="Arial"/>
        </w:rPr>
        <w:t>”</w:t>
      </w:r>
      <w:r>
        <w:rPr>
          <w:rFonts w:ascii="宋体" w:hAnsi="宋体" w:cs="Arial"/>
        </w:rPr>
        <w:t>）依照</w:t>
      </w:r>
      <w:r>
        <w:rPr>
          <w:rFonts w:hint="eastAsia" w:ascii="宋体" w:hAnsi="宋体" w:cs="Arial"/>
        </w:rPr>
        <w:t>《中华人民共和国证券法》(以下简称“《证券法》”)、</w:t>
      </w:r>
      <w:r>
        <w:rPr>
          <w:rFonts w:ascii="宋体" w:hAnsi="宋体" w:cs="Arial"/>
        </w:rPr>
        <w:t>《中华人民共和国证券投资基金法》（以下简称</w:t>
      </w:r>
      <w:r>
        <w:rPr>
          <w:rFonts w:hint="eastAsia" w:ascii="宋体" w:hAnsi="宋体" w:cs="Arial"/>
        </w:rPr>
        <w:t>“</w:t>
      </w:r>
      <w:r>
        <w:rPr>
          <w:rFonts w:ascii="宋体" w:hAnsi="宋体" w:cs="Arial"/>
        </w:rPr>
        <w:t>《基金法》</w:t>
      </w:r>
      <w:r>
        <w:rPr>
          <w:rFonts w:hint="eastAsia" w:ascii="宋体" w:hAnsi="宋体" w:cs="Arial"/>
        </w:rPr>
        <w:t>”</w:t>
      </w:r>
      <w:r>
        <w:rPr>
          <w:rFonts w:ascii="宋体" w:hAnsi="宋体" w:cs="Arial"/>
        </w:rPr>
        <w:t>）、《</w:t>
      </w:r>
      <w:r>
        <w:rPr>
          <w:rFonts w:hint="eastAsia" w:ascii="宋体" w:hAnsi="宋体" w:cs="Arial"/>
        </w:rPr>
        <w:t>公开募集证券投资基金运作管理办法</w:t>
      </w:r>
      <w:r>
        <w:rPr>
          <w:rFonts w:ascii="宋体" w:hAnsi="宋体" w:cs="Arial"/>
        </w:rPr>
        <w:t>》（以下简称</w:t>
      </w:r>
      <w:r>
        <w:rPr>
          <w:rFonts w:hint="eastAsia" w:ascii="宋体" w:hAnsi="宋体" w:cs="Arial"/>
        </w:rPr>
        <w:t>“</w:t>
      </w:r>
      <w:r>
        <w:rPr>
          <w:rFonts w:ascii="宋体" w:hAnsi="宋体" w:cs="Arial"/>
        </w:rPr>
        <w:t>《运作办法》</w:t>
      </w:r>
      <w:r>
        <w:rPr>
          <w:rFonts w:hint="eastAsia" w:ascii="宋体" w:hAnsi="宋体" w:cs="Arial"/>
        </w:rPr>
        <w:t>”</w:t>
      </w:r>
      <w:r>
        <w:rPr>
          <w:rFonts w:ascii="宋体" w:hAnsi="宋体" w:cs="Arial"/>
        </w:rPr>
        <w:t>）、《</w:t>
      </w:r>
      <w:r>
        <w:rPr>
          <w:rFonts w:hint="eastAsia" w:ascii="宋体" w:hAnsi="宋体" w:cs="Arial"/>
        </w:rPr>
        <w:t>公开募集</w:t>
      </w:r>
      <w:r>
        <w:rPr>
          <w:rFonts w:ascii="宋体" w:hAnsi="宋体" w:cs="Arial"/>
        </w:rPr>
        <w:t>证券投资基金销售</w:t>
      </w:r>
      <w:r>
        <w:rPr>
          <w:rFonts w:hint="eastAsia" w:ascii="宋体" w:hAnsi="宋体" w:cs="Arial"/>
        </w:rPr>
        <w:t>机构监督</w:t>
      </w:r>
      <w:r>
        <w:rPr>
          <w:rFonts w:ascii="宋体" w:hAnsi="宋体" w:cs="Arial"/>
        </w:rPr>
        <w:t>管理办法》（以下简称</w:t>
      </w:r>
      <w:r>
        <w:rPr>
          <w:rFonts w:hint="eastAsia" w:ascii="宋体" w:hAnsi="宋体" w:cs="Arial"/>
        </w:rPr>
        <w:t>“</w:t>
      </w:r>
      <w:r>
        <w:rPr>
          <w:rFonts w:ascii="宋体" w:hAnsi="宋体" w:cs="Arial"/>
        </w:rPr>
        <w:t>《销售办法》</w:t>
      </w:r>
      <w:r>
        <w:rPr>
          <w:rFonts w:hint="eastAsia" w:ascii="宋体" w:hAnsi="宋体" w:cs="Arial"/>
        </w:rPr>
        <w:t>”</w:t>
      </w:r>
      <w:r>
        <w:rPr>
          <w:rFonts w:ascii="宋体" w:hAnsi="宋体" w:cs="Arial"/>
        </w:rPr>
        <w:t>）、《</w:t>
      </w:r>
      <w:r>
        <w:rPr>
          <w:rFonts w:hint="eastAsia" w:ascii="宋体" w:hAnsi="宋体"/>
        </w:rPr>
        <w:t>公开募集</w:t>
      </w:r>
      <w:r>
        <w:rPr>
          <w:rFonts w:ascii="宋体" w:hAnsi="宋体" w:cs="Arial"/>
        </w:rPr>
        <w:t>证券投资基金信息披露管理办法》（以下简称</w:t>
      </w:r>
      <w:r>
        <w:rPr>
          <w:rFonts w:hint="eastAsia" w:ascii="宋体" w:hAnsi="宋体" w:cs="Arial"/>
        </w:rPr>
        <w:t>“</w:t>
      </w:r>
      <w:r>
        <w:rPr>
          <w:rFonts w:ascii="宋体" w:hAnsi="宋体" w:cs="Arial"/>
        </w:rPr>
        <w:t>《信息披露办法》</w:t>
      </w:r>
      <w:r>
        <w:rPr>
          <w:rFonts w:hint="eastAsia" w:ascii="宋体" w:hAnsi="宋体" w:cs="Arial"/>
        </w:rPr>
        <w:t>”</w:t>
      </w:r>
      <w:r>
        <w:rPr>
          <w:rFonts w:ascii="宋体" w:hAnsi="宋体" w:cs="Arial"/>
        </w:rPr>
        <w:t>）</w:t>
      </w:r>
      <w:r>
        <w:rPr>
          <w:rFonts w:hint="eastAsia" w:ascii="宋体" w:hAnsi="宋体" w:cs="Arial"/>
        </w:rPr>
        <w:t>、</w:t>
      </w:r>
      <w:r>
        <w:rPr>
          <w:rFonts w:hint="eastAsia" w:ascii="宋体" w:hAnsi="宋体"/>
        </w:rPr>
        <w:t>《公开募集开放式证券投资基金流动性风险管理规定》（以下简称“《流动性风险管理规定》”）、《公开募集证券投资基金运作指引第3号——指数基金指引》（以下简称“《指数基金指引》”）</w:t>
      </w:r>
      <w:r>
        <w:rPr>
          <w:rFonts w:ascii="宋体" w:hAnsi="宋体" w:cs="Arial"/>
        </w:rPr>
        <w:t>以及《</w:t>
      </w:r>
      <w:r>
        <w:rPr>
          <w:rFonts w:hint="eastAsia" w:ascii="宋体" w:hAnsi="宋体" w:cs="Arial"/>
        </w:rPr>
        <w:t>博时中证细分化工产业主题交易型开放式指数证券投资基金</w:t>
      </w:r>
      <w:r>
        <w:rPr>
          <w:rFonts w:ascii="宋体" w:hAnsi="宋体" w:cs="Arial"/>
        </w:rPr>
        <w:t>基金合同》（以下简称</w:t>
      </w:r>
      <w:r>
        <w:rPr>
          <w:rFonts w:hint="eastAsia" w:ascii="宋体" w:hAnsi="宋体" w:cs="Arial"/>
        </w:rPr>
        <w:t>“</w:t>
      </w:r>
      <w:r>
        <w:rPr>
          <w:rFonts w:ascii="宋体" w:hAnsi="宋体" w:cs="Arial"/>
        </w:rPr>
        <w:t>基金合同</w:t>
      </w:r>
      <w:r>
        <w:rPr>
          <w:rFonts w:hint="eastAsia" w:ascii="宋体" w:hAnsi="宋体" w:cs="Arial"/>
        </w:rPr>
        <w:t>”或“《基金合同》”</w:t>
      </w:r>
      <w:r>
        <w:rPr>
          <w:rFonts w:ascii="宋体" w:hAnsi="宋体" w:cs="Arial"/>
        </w:rPr>
        <w:t>）编写。</w:t>
      </w:r>
    </w:p>
    <w:p w14:paraId="564D8553">
      <w:pPr>
        <w:adjustRightInd w:val="0"/>
        <w:snapToGrid w:val="0"/>
        <w:spacing w:line="360" w:lineRule="auto"/>
        <w:ind w:firstLine="420" w:firstLineChars="200"/>
        <w:rPr>
          <w:rFonts w:hint="eastAsia" w:ascii="宋体" w:hAnsi="宋体" w:cs="Arial"/>
        </w:rPr>
      </w:pPr>
      <w:r>
        <w:rPr>
          <w:rFonts w:hint="eastAsia" w:ascii="宋体" w:hAnsi="宋体" w:cs="Arial"/>
        </w:rPr>
        <w:t>本招募说明书阐述了博时中证细分化工产业主题交易型开放式指数证券投资基金的投资目标、策略、风险、费率等与投资人投资决策有关的必要事项，投资人在作出投资决策前应仔细阅读本招募说明书。</w:t>
      </w:r>
    </w:p>
    <w:p w14:paraId="0FE1F062">
      <w:pPr>
        <w:adjustRightInd w:val="0"/>
        <w:snapToGrid w:val="0"/>
        <w:spacing w:line="360" w:lineRule="auto"/>
        <w:ind w:firstLine="420" w:firstLineChars="200"/>
        <w:rPr>
          <w:rFonts w:hint="eastAsia" w:ascii="宋体" w:hAnsi="宋体" w:cs="Arial"/>
        </w:rPr>
      </w:pPr>
      <w:r>
        <w:rPr>
          <w:rFonts w:ascii="宋体" w:hAnsi="宋体" w:cs="Arial"/>
        </w:rPr>
        <w:t>基金管理人承诺本招募说明书不存在任何虚假记载、误导性陈述或重大遗漏，并对其真实性、准确性、完整性承担法律责任。</w:t>
      </w:r>
    </w:p>
    <w:p w14:paraId="65C96FEB">
      <w:pPr>
        <w:adjustRightInd w:val="0"/>
        <w:snapToGrid w:val="0"/>
        <w:spacing w:line="360" w:lineRule="auto"/>
        <w:ind w:firstLine="420" w:firstLineChars="200"/>
        <w:rPr>
          <w:rFonts w:hint="eastAsia" w:ascii="宋体" w:hAnsi="宋体" w:cs="Arial"/>
        </w:rPr>
      </w:pPr>
      <w:r>
        <w:rPr>
          <w:rFonts w:hint="eastAsia" w:ascii="宋体" w:hAnsi="宋体" w:cs="Arial"/>
        </w:rPr>
        <w:t>博时中证细分化工产业主题交易型开放式指数证券投资基金</w:t>
      </w:r>
      <w:r>
        <w:rPr>
          <w:rFonts w:ascii="宋体" w:hAnsi="宋体" w:cs="Arial"/>
        </w:rPr>
        <w:t>（以下简称“基金”或“本基金”）是根据本招募说明书所载明的资料申请募集的。本基金管理人没有委托或授权任何其他人提供未在本招募说明书中载明的信息，或对本招募说明书作任何解释或者说明。</w:t>
      </w:r>
    </w:p>
    <w:p w14:paraId="08FAAABA">
      <w:pPr>
        <w:spacing w:line="360" w:lineRule="auto"/>
        <w:ind w:firstLine="420" w:firstLineChars="200"/>
        <w:rPr>
          <w:rFonts w:hint="eastAsia" w:ascii="宋体" w:hAnsi="宋体" w:cs="Arial"/>
        </w:rPr>
      </w:pPr>
      <w:r>
        <w:rPr>
          <w:rFonts w:ascii="宋体" w:hAnsi="宋体" w:cs="Arial"/>
        </w:rPr>
        <w:t>本招募说明书根据本基金的基金合同编写，并经中国证券监督管理委员会（以下简称</w:t>
      </w:r>
      <w:r>
        <w:rPr>
          <w:rFonts w:hint="eastAsia" w:ascii="宋体" w:hAnsi="宋体" w:cs="Arial"/>
        </w:rPr>
        <w:t>“</w:t>
      </w:r>
      <w:r>
        <w:rPr>
          <w:rFonts w:ascii="宋体" w:hAnsi="宋体" w:cs="Arial"/>
        </w:rPr>
        <w:t>中国证监会</w:t>
      </w:r>
      <w:r>
        <w:rPr>
          <w:rFonts w:hint="eastAsia" w:ascii="宋体" w:hAnsi="宋体" w:cs="Arial"/>
        </w:rPr>
        <w:t>”</w:t>
      </w:r>
      <w:r>
        <w:rPr>
          <w:rFonts w:ascii="宋体" w:hAnsi="宋体" w:cs="Arial"/>
        </w:rPr>
        <w:t>）</w:t>
      </w:r>
      <w:r>
        <w:rPr>
          <w:rFonts w:hint="eastAsia" w:ascii="宋体" w:hAnsi="宋体" w:cs="Arial"/>
        </w:rPr>
        <w:t>注册</w:t>
      </w:r>
      <w:r>
        <w:rPr>
          <w:rFonts w:ascii="宋体" w:hAnsi="宋体" w:cs="Arial"/>
        </w:rPr>
        <w:t>。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567CCA38">
      <w:pPr>
        <w:spacing w:line="360" w:lineRule="auto"/>
        <w:ind w:firstLine="420" w:firstLineChars="200"/>
        <w:rPr>
          <w:rFonts w:hint="eastAsia" w:ascii="宋体" w:hAnsi="宋体" w:cs="Arial"/>
        </w:rPr>
        <w:sectPr>
          <w:footerReference r:id="rId11" w:type="first"/>
          <w:footerReference r:id="rId10" w:type="default"/>
          <w:pgSz w:w="11906" w:h="16838"/>
          <w:pgMar w:top="1440" w:right="1800" w:bottom="1440" w:left="1800" w:header="851" w:footer="992" w:gutter="0"/>
          <w:pgNumType w:start="1"/>
          <w:cols w:space="720" w:num="1"/>
          <w:titlePg/>
          <w:docGrid w:linePitch="312" w:charSpace="0"/>
        </w:sectPr>
      </w:pPr>
    </w:p>
    <w:p w14:paraId="6A3BFCF9">
      <w:pPr>
        <w:spacing w:line="360" w:lineRule="auto"/>
        <w:rPr>
          <w:rFonts w:hint="eastAsia" w:ascii="宋体" w:hAnsi="宋体" w:cs="Arial"/>
        </w:rPr>
      </w:pPr>
    </w:p>
    <w:p w14:paraId="7683E37C">
      <w:pPr>
        <w:pStyle w:val="2"/>
        <w:snapToGrid w:val="0"/>
        <w:spacing w:before="0" w:after="0" w:line="360" w:lineRule="auto"/>
        <w:ind w:firstLine="141" w:firstLineChars="50"/>
        <w:rPr>
          <w:rFonts w:hint="eastAsia" w:hAnsi="宋体" w:eastAsia="宋体" w:cs="Arial"/>
          <w:b/>
          <w:bCs/>
          <w:sz w:val="28"/>
          <w:szCs w:val="28"/>
        </w:rPr>
      </w:pPr>
      <w:bookmarkStart w:id="4" w:name="_Toc86655812"/>
      <w:bookmarkStart w:id="5" w:name="_Toc19429"/>
      <w:bookmarkStart w:id="6" w:name="_Toc214873591"/>
      <w:bookmarkStart w:id="7" w:name="_Toc50661120"/>
      <w:r>
        <w:rPr>
          <w:rFonts w:hAnsi="宋体" w:eastAsia="宋体" w:cs="Arial"/>
          <w:b/>
          <w:bCs/>
          <w:sz w:val="28"/>
          <w:szCs w:val="28"/>
        </w:rPr>
        <w:t>第二部分  释义</w:t>
      </w:r>
      <w:bookmarkEnd w:id="4"/>
      <w:bookmarkEnd w:id="5"/>
      <w:bookmarkEnd w:id="6"/>
      <w:bookmarkEnd w:id="7"/>
    </w:p>
    <w:p w14:paraId="6443E006">
      <w:pPr>
        <w:spacing w:line="360" w:lineRule="auto"/>
        <w:rPr>
          <w:rFonts w:hint="eastAsia" w:ascii="宋体" w:hAnsi="宋体"/>
        </w:rPr>
      </w:pPr>
    </w:p>
    <w:p w14:paraId="09FB9305">
      <w:pPr>
        <w:autoSpaceDE w:val="0"/>
        <w:autoSpaceDN w:val="0"/>
        <w:adjustRightInd w:val="0"/>
        <w:snapToGrid w:val="0"/>
        <w:spacing w:line="360" w:lineRule="auto"/>
        <w:rPr>
          <w:rFonts w:hint="eastAsia" w:ascii="宋体" w:hAnsi="宋体" w:cs="Arial"/>
          <w:szCs w:val="21"/>
        </w:rPr>
      </w:pPr>
      <w:r>
        <w:rPr>
          <w:rFonts w:ascii="宋体" w:hAnsi="宋体" w:cs="Arial"/>
          <w:szCs w:val="21"/>
        </w:rPr>
        <w:t>在本招募说明书中，除非文</w:t>
      </w:r>
      <w:r>
        <w:rPr>
          <w:rFonts w:hint="eastAsia" w:ascii="宋体" w:hAnsi="宋体" w:cs="Arial"/>
          <w:szCs w:val="21"/>
        </w:rPr>
        <w:t>意</w:t>
      </w:r>
      <w:r>
        <w:rPr>
          <w:rFonts w:ascii="宋体" w:hAnsi="宋体" w:cs="Arial"/>
          <w:szCs w:val="21"/>
        </w:rPr>
        <w:t>另有所指，下列词语</w:t>
      </w:r>
      <w:r>
        <w:rPr>
          <w:rFonts w:hint="eastAsia" w:ascii="宋体" w:hAnsi="宋体" w:cs="Arial"/>
          <w:szCs w:val="21"/>
        </w:rPr>
        <w:t>或简称</w:t>
      </w:r>
      <w:r>
        <w:rPr>
          <w:rFonts w:ascii="宋体" w:hAnsi="宋体" w:cs="Arial"/>
          <w:szCs w:val="21"/>
        </w:rPr>
        <w:t>具有</w:t>
      </w:r>
      <w:r>
        <w:rPr>
          <w:rFonts w:hint="eastAsia" w:ascii="宋体" w:hAnsi="宋体" w:cs="Arial"/>
          <w:szCs w:val="21"/>
        </w:rPr>
        <w:t>如下</w:t>
      </w:r>
      <w:r>
        <w:rPr>
          <w:rFonts w:ascii="宋体" w:hAnsi="宋体" w:cs="Arial"/>
          <w:szCs w:val="21"/>
        </w:rPr>
        <w:t>含义：</w:t>
      </w:r>
    </w:p>
    <w:p w14:paraId="4507003C">
      <w:pPr>
        <w:snapToGrid w:val="0"/>
        <w:spacing w:line="360" w:lineRule="auto"/>
        <w:rPr>
          <w:rFonts w:hint="eastAsia" w:ascii="宋体" w:hAnsi="宋体"/>
          <w:color w:val="0C0C0C"/>
          <w:szCs w:val="22"/>
        </w:rPr>
      </w:pPr>
      <w:bookmarkStart w:id="8" w:name="OLE_LINK6"/>
      <w:bookmarkStart w:id="9" w:name="OLE_LINK3"/>
      <w:bookmarkStart w:id="10" w:name="_Toc214873592"/>
      <w:bookmarkStart w:id="11" w:name="_Toc147463120"/>
      <w:bookmarkStart w:id="12" w:name="_Toc12357173"/>
      <w:bookmarkStart w:id="13" w:name="_Toc21073393"/>
      <w:r>
        <w:rPr>
          <w:rFonts w:hint="eastAsia" w:ascii="宋体" w:hAnsi="宋体"/>
          <w:color w:val="0C0C0C"/>
          <w:szCs w:val="22"/>
        </w:rPr>
        <w:t>1.基金或本基金：指博时中证细分化工产业主题交易型开放式指数证券投资基金</w:t>
      </w:r>
    </w:p>
    <w:p w14:paraId="35EACB80">
      <w:pPr>
        <w:snapToGrid w:val="0"/>
        <w:spacing w:line="360" w:lineRule="auto"/>
        <w:rPr>
          <w:rFonts w:hint="eastAsia" w:ascii="宋体" w:hAnsi="宋体"/>
          <w:color w:val="0C0C0C"/>
          <w:szCs w:val="22"/>
        </w:rPr>
      </w:pPr>
      <w:r>
        <w:rPr>
          <w:rFonts w:hint="eastAsia" w:ascii="宋体" w:hAnsi="宋体"/>
          <w:color w:val="0C0C0C"/>
          <w:szCs w:val="22"/>
        </w:rPr>
        <w:t>2.基金管理人：指博时基金管理有限公司</w:t>
      </w:r>
    </w:p>
    <w:p w14:paraId="7E1B97C5">
      <w:pPr>
        <w:snapToGrid w:val="0"/>
        <w:spacing w:line="360" w:lineRule="auto"/>
        <w:rPr>
          <w:rFonts w:hint="eastAsia" w:ascii="宋体" w:hAnsi="宋体"/>
          <w:color w:val="0C0C0C"/>
          <w:szCs w:val="22"/>
        </w:rPr>
      </w:pPr>
      <w:r>
        <w:rPr>
          <w:rFonts w:hint="eastAsia" w:ascii="宋体" w:hAnsi="宋体"/>
          <w:color w:val="0C0C0C"/>
          <w:szCs w:val="22"/>
        </w:rPr>
        <w:t>3.基金托管人：指北京银行股份有限公司</w:t>
      </w:r>
    </w:p>
    <w:p w14:paraId="64A0FDD1">
      <w:pPr>
        <w:snapToGrid w:val="0"/>
        <w:spacing w:line="360" w:lineRule="auto"/>
        <w:rPr>
          <w:rFonts w:hint="eastAsia" w:ascii="宋体" w:hAnsi="宋体"/>
          <w:color w:val="0C0C0C"/>
          <w:szCs w:val="22"/>
        </w:rPr>
      </w:pPr>
      <w:r>
        <w:rPr>
          <w:rFonts w:hint="eastAsia" w:ascii="宋体" w:hAnsi="宋体"/>
          <w:color w:val="0C0C0C"/>
          <w:szCs w:val="22"/>
        </w:rPr>
        <w:t>4.基金合同：指《博时中证细分化工产业主题交易型开放式指数证券投资基金基金合同》及对基金合同的任何有效修订和补充</w:t>
      </w:r>
    </w:p>
    <w:p w14:paraId="4BDAECEC">
      <w:pPr>
        <w:snapToGrid w:val="0"/>
        <w:spacing w:line="360" w:lineRule="auto"/>
        <w:rPr>
          <w:rFonts w:hint="eastAsia" w:ascii="宋体" w:hAnsi="宋体"/>
          <w:color w:val="0C0C0C"/>
          <w:szCs w:val="22"/>
        </w:rPr>
      </w:pPr>
      <w:r>
        <w:rPr>
          <w:rFonts w:hint="eastAsia" w:ascii="宋体" w:hAnsi="宋体"/>
          <w:color w:val="0C0C0C"/>
          <w:szCs w:val="22"/>
        </w:rPr>
        <w:t>5.托管协议：指基金管理人与基金托管人就本基金签订之《博时中证细分化工产业主题交易型开放式指数证券投资基金托管协议》及对该托管协议的任何有效修订和补充</w:t>
      </w:r>
    </w:p>
    <w:p w14:paraId="10FE57D4">
      <w:pPr>
        <w:snapToGrid w:val="0"/>
        <w:spacing w:line="360" w:lineRule="auto"/>
        <w:rPr>
          <w:rFonts w:hint="eastAsia" w:ascii="宋体" w:hAnsi="宋体"/>
          <w:color w:val="0C0C0C"/>
          <w:szCs w:val="22"/>
        </w:rPr>
      </w:pPr>
      <w:r>
        <w:rPr>
          <w:rFonts w:hint="eastAsia" w:ascii="宋体" w:hAnsi="宋体"/>
          <w:color w:val="0C0C0C"/>
          <w:szCs w:val="22"/>
        </w:rPr>
        <w:t>6.招募说明书或者本招募说明书：指《博时中证细分化工产业主题交易型开放式指数证券投资基金招募说明书》及其更新</w:t>
      </w:r>
    </w:p>
    <w:p w14:paraId="58F8545E">
      <w:pPr>
        <w:snapToGrid w:val="0"/>
        <w:spacing w:line="360" w:lineRule="auto"/>
        <w:rPr>
          <w:rFonts w:hint="eastAsia" w:ascii="宋体" w:hAnsi="宋体"/>
          <w:color w:val="0C0C0C"/>
          <w:szCs w:val="22"/>
        </w:rPr>
      </w:pPr>
      <w:r>
        <w:rPr>
          <w:rFonts w:hint="eastAsia" w:ascii="宋体" w:hAnsi="宋体"/>
          <w:color w:val="0C0C0C"/>
          <w:szCs w:val="22"/>
        </w:rPr>
        <w:t>7.基金产品资料概要：指《博时中证细分化工产业主题交易型开放式指数证券投资基金基金产品资料概要》及其更新</w:t>
      </w:r>
    </w:p>
    <w:p w14:paraId="1CE9B7BC">
      <w:pPr>
        <w:snapToGrid w:val="0"/>
        <w:spacing w:line="360" w:lineRule="auto"/>
        <w:rPr>
          <w:rFonts w:hint="eastAsia" w:ascii="宋体" w:hAnsi="宋体"/>
          <w:color w:val="0C0C0C"/>
          <w:szCs w:val="22"/>
        </w:rPr>
      </w:pPr>
      <w:r>
        <w:rPr>
          <w:rFonts w:hint="eastAsia" w:ascii="宋体" w:hAnsi="宋体"/>
          <w:color w:val="0C0C0C"/>
          <w:szCs w:val="22"/>
        </w:rPr>
        <w:t>8.基金份额发售公告：指《博时中证细分化工产业主题交易型开放式指数证券投资基金基金份额发售公告》</w:t>
      </w:r>
    </w:p>
    <w:p w14:paraId="0E54CD4E">
      <w:pPr>
        <w:snapToGrid w:val="0"/>
        <w:spacing w:line="360" w:lineRule="auto"/>
        <w:rPr>
          <w:rFonts w:hint="eastAsia" w:ascii="宋体" w:hAnsi="宋体"/>
          <w:color w:val="0C0C0C"/>
          <w:szCs w:val="22"/>
        </w:rPr>
      </w:pPr>
      <w:r>
        <w:rPr>
          <w:rFonts w:hint="eastAsia" w:ascii="宋体" w:hAnsi="宋体"/>
          <w:color w:val="0C0C0C"/>
          <w:szCs w:val="22"/>
        </w:rPr>
        <w:t>9.上市交易公告书：指《博时中证细分化工产业主题交易型开放式指数证券投资基金上市交易公告书》</w:t>
      </w:r>
    </w:p>
    <w:bookmarkEnd w:id="8"/>
    <w:bookmarkEnd w:id="9"/>
    <w:p w14:paraId="0416B6E5">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10.法律法规：指中国现行有效并公布实施的法律、行政法规、规范性文件、司法解释、行政规章以及其他对基金合同当事人有约束力的决定、决议、通知等</w:t>
      </w:r>
    </w:p>
    <w:p w14:paraId="6FF71FB7">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32414248">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12.《销售办法》：指中国证监会2020年8月28日颁布、同年10月1日实施的《公开募集证券投资基金销售机构监督管理办法》及颁布机关对其不时做出的修订</w:t>
      </w:r>
    </w:p>
    <w:p w14:paraId="3D64C04D">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13.《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5F6F61C6">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14.《运作办法》：指中国证监会2014年7月7日颁布、同年8月8日实施的《公开募集证券投资基金运作管理办法》及颁布机关对其不时做出的修订</w:t>
      </w:r>
    </w:p>
    <w:p w14:paraId="793864D1">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15.《流动性风险管理规定》：指中国证监会2017年8月31日颁布、同年10月1日实施的《公开募集开放式证券投资基金流动性风险管理规定》及颁布机关对其不时做出的修订</w:t>
      </w:r>
    </w:p>
    <w:p w14:paraId="76081393">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16.《指数基金指引》：指中国证监会2021年1月22日颁布、同年2月1日实施的《公开募集证券投资基金运作指引第3号——指数基金指引》及颁布机关对其不时做出的修订</w:t>
      </w:r>
    </w:p>
    <w:p w14:paraId="21998CA3">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17.业务规则：指深圳证券交易所、登记机构等相关机构发布的其他相关规则及其不时做出的修订</w:t>
      </w:r>
    </w:p>
    <w:p w14:paraId="6A99BD86">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18.中国证监会：指中国证券监督管理委员会</w:t>
      </w:r>
    </w:p>
    <w:p w14:paraId="193B1713">
      <w:pPr>
        <w:autoSpaceDE w:val="0"/>
        <w:autoSpaceDN w:val="0"/>
        <w:adjustRightInd w:val="0"/>
        <w:snapToGrid w:val="0"/>
        <w:spacing w:line="360" w:lineRule="auto"/>
        <w:rPr>
          <w:rFonts w:hint="eastAsia" w:ascii="宋体" w:hAnsi="宋体" w:cs="Arial"/>
          <w:bCs/>
          <w:color w:val="0C0C0C"/>
          <w:szCs w:val="21"/>
        </w:rPr>
      </w:pPr>
      <w:r>
        <w:rPr>
          <w:rFonts w:hint="eastAsia" w:ascii="宋体" w:hAnsi="宋体" w:cs="Arial"/>
          <w:bCs/>
          <w:color w:val="0C0C0C"/>
          <w:szCs w:val="21"/>
        </w:rPr>
        <w:t>19.银行业监督管理机构：指中国人民银行和/或国家金融监督管理总局</w:t>
      </w:r>
    </w:p>
    <w:p w14:paraId="74DFEDF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20</w:t>
      </w:r>
      <w:r>
        <w:rPr>
          <w:rFonts w:hint="eastAsia" w:ascii="宋体" w:hAnsi="宋体" w:cs="Arial"/>
          <w:bCs/>
          <w:color w:val="0C0C0C"/>
          <w:szCs w:val="21"/>
        </w:rPr>
        <w:t>.基金合同当事人：指受基金合同约束，根据基金合同享有权利并承担义务的法律主体，包括基金管理人、基金托管人和基金份额持有人</w:t>
      </w:r>
    </w:p>
    <w:p w14:paraId="1447B418">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21</w:t>
      </w:r>
      <w:r>
        <w:rPr>
          <w:rFonts w:hint="eastAsia" w:ascii="宋体" w:hAnsi="宋体" w:cs="Arial"/>
          <w:bCs/>
          <w:color w:val="0C0C0C"/>
          <w:szCs w:val="21"/>
        </w:rPr>
        <w:t>.个人投资者：指依据有关法律法规规定可投资于证券投资基金的自然人</w:t>
      </w:r>
    </w:p>
    <w:p w14:paraId="486E73C8">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22</w:t>
      </w:r>
      <w:r>
        <w:rPr>
          <w:rFonts w:hint="eastAsia" w:ascii="宋体" w:hAnsi="宋体" w:cs="Arial"/>
          <w:bCs/>
          <w:color w:val="0C0C0C"/>
          <w:szCs w:val="21"/>
        </w:rPr>
        <w:t>.机构投资者：指依法可以投资证券投资基金的、在中华人民共和国境内合法登记并存续或经有关政府部门批准设立并存续的企业法人、事业法人、社会团体或其他组织</w:t>
      </w:r>
    </w:p>
    <w:p w14:paraId="3C6DABC6">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23</w:t>
      </w:r>
      <w:r>
        <w:rPr>
          <w:rFonts w:hint="eastAsia" w:ascii="宋体" w:hAnsi="宋体" w:cs="Arial"/>
          <w:bCs/>
          <w:color w:val="0C0C0C"/>
          <w:szCs w:val="21"/>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58977128">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24</w:t>
      </w:r>
      <w:r>
        <w:rPr>
          <w:rFonts w:hint="eastAsia" w:ascii="宋体" w:hAnsi="宋体" w:cs="Arial"/>
          <w:bCs/>
          <w:color w:val="0C0C0C"/>
          <w:szCs w:val="21"/>
        </w:rPr>
        <w:t>.投资人、投资者：指个人投资者、机构投资者、合格境外投资者以及法律法规或中国证监会允许购买证券投资基金的其他投资人的合称</w:t>
      </w:r>
    </w:p>
    <w:p w14:paraId="71712374">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25</w:t>
      </w:r>
      <w:r>
        <w:rPr>
          <w:rFonts w:hint="eastAsia" w:ascii="宋体" w:hAnsi="宋体" w:cs="Arial"/>
          <w:bCs/>
          <w:color w:val="0C0C0C"/>
          <w:szCs w:val="21"/>
        </w:rPr>
        <w:t>.基金份额持有人：指依基金合同和招募说明书合法取得基金份额的投资人</w:t>
      </w:r>
    </w:p>
    <w:p w14:paraId="6A81C8B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26</w:t>
      </w:r>
      <w:r>
        <w:rPr>
          <w:rFonts w:hint="eastAsia" w:ascii="宋体" w:hAnsi="宋体" w:cs="Arial"/>
          <w:bCs/>
          <w:color w:val="0C0C0C"/>
          <w:szCs w:val="21"/>
        </w:rPr>
        <w:t>.发售代理机构：指符合《销售办法》和中国证监会规定的其他条件，由基金管理人指定的代理本基金发售业务的机构</w:t>
      </w:r>
    </w:p>
    <w:p w14:paraId="01478A74">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27</w:t>
      </w:r>
      <w:r>
        <w:rPr>
          <w:rFonts w:hint="eastAsia" w:ascii="宋体" w:hAnsi="宋体" w:cs="Arial"/>
          <w:bCs/>
          <w:color w:val="0C0C0C"/>
          <w:szCs w:val="21"/>
        </w:rPr>
        <w:t>.申购、赎回代理券商：指基金管理人指定的，在基金合同生效后代理办理本基金申购、赎回业务的证券公司，又称为代办证券公司</w:t>
      </w:r>
    </w:p>
    <w:p w14:paraId="597AC2BA">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28</w:t>
      </w:r>
      <w:r>
        <w:rPr>
          <w:rFonts w:hint="eastAsia" w:ascii="宋体" w:hAnsi="宋体" w:cs="Arial"/>
          <w:bCs/>
          <w:color w:val="0C0C0C"/>
          <w:szCs w:val="21"/>
        </w:rPr>
        <w:t>.直销机构：指博时基金管理有限公司</w:t>
      </w:r>
    </w:p>
    <w:p w14:paraId="0675D14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29</w:t>
      </w:r>
      <w:r>
        <w:rPr>
          <w:rFonts w:hint="eastAsia" w:ascii="宋体" w:hAnsi="宋体" w:cs="Arial"/>
          <w:bCs/>
          <w:color w:val="0C0C0C"/>
          <w:szCs w:val="21"/>
        </w:rPr>
        <w:t>.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668ED0F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30</w:t>
      </w:r>
      <w:r>
        <w:rPr>
          <w:rFonts w:hint="eastAsia" w:ascii="宋体" w:hAnsi="宋体" w:cs="Arial"/>
          <w:bCs/>
          <w:color w:val="0C0C0C"/>
          <w:szCs w:val="21"/>
        </w:rPr>
        <w:t xml:space="preserve">.销售机构：指直销机构与代销机构 </w:t>
      </w:r>
    </w:p>
    <w:p w14:paraId="5B7B67A9">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31</w:t>
      </w:r>
      <w:r>
        <w:rPr>
          <w:rFonts w:hint="eastAsia" w:ascii="宋体" w:hAnsi="宋体" w:cs="Arial"/>
          <w:bCs/>
          <w:color w:val="0C0C0C"/>
          <w:szCs w:val="21"/>
        </w:rPr>
        <w:t>.登记机构：指办理登记业务的机构。本基金的登记机构为中国证券登记结算有限责任公司</w:t>
      </w:r>
    </w:p>
    <w:p w14:paraId="7BB8F6A1">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32</w:t>
      </w:r>
      <w:r>
        <w:rPr>
          <w:rFonts w:hint="eastAsia" w:ascii="宋体" w:hAnsi="宋体" w:cs="Arial"/>
          <w:bCs/>
          <w:color w:val="0C0C0C"/>
          <w:szCs w:val="21"/>
        </w:rPr>
        <w:t>.登记业务：指《中国证券登记结算有限责任公司关于交易所交易型开放式证券投资基金登记结算业务实施细则》及其不时修订以及相关业务规则所定义的基金份额的登记、存管、结算及相关业务</w:t>
      </w:r>
    </w:p>
    <w:p w14:paraId="1AE02FA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33</w:t>
      </w:r>
      <w:r>
        <w:rPr>
          <w:rFonts w:hint="eastAsia" w:ascii="宋体" w:hAnsi="宋体" w:cs="Arial"/>
          <w:bCs/>
          <w:color w:val="0C0C0C"/>
          <w:szCs w:val="21"/>
        </w:rPr>
        <w:t>.深圳证券账户：指深圳证券交易所人民币普通股票账户（即A股账户）或深圳证券交易所基金账户</w:t>
      </w:r>
    </w:p>
    <w:p w14:paraId="59A072C5">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34</w:t>
      </w:r>
      <w:r>
        <w:rPr>
          <w:rFonts w:hint="eastAsia" w:ascii="宋体" w:hAnsi="宋体" w:cs="Arial"/>
          <w:bCs/>
          <w:color w:val="0C0C0C"/>
          <w:szCs w:val="21"/>
        </w:rPr>
        <w:t>.基金合同生效日：指基金募集达到法律法规规定及基金合同规定的条件，基金管理人向中国证监会办理基金备案手续完毕，并获得中国证监会书面确认的日期</w:t>
      </w:r>
    </w:p>
    <w:p w14:paraId="296BEB3C">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35</w:t>
      </w:r>
      <w:r>
        <w:rPr>
          <w:rFonts w:hint="eastAsia" w:ascii="宋体" w:hAnsi="宋体" w:cs="Arial"/>
          <w:bCs/>
          <w:color w:val="0C0C0C"/>
          <w:szCs w:val="21"/>
        </w:rPr>
        <w:t>.基金合同终止日：指基金合同规定的基金合同终止事由出现后，基金财产清算完毕，清算结果报中国证监会备案并予以公告的日期</w:t>
      </w:r>
    </w:p>
    <w:p w14:paraId="21D0B01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36</w:t>
      </w:r>
      <w:r>
        <w:rPr>
          <w:rFonts w:hint="eastAsia" w:ascii="宋体" w:hAnsi="宋体" w:cs="Arial"/>
          <w:bCs/>
          <w:color w:val="0C0C0C"/>
          <w:szCs w:val="21"/>
        </w:rPr>
        <w:t>.基金募集期：指自基金份额发售之日起至发售结束之日止的期间，最长不得超过3个月</w:t>
      </w:r>
    </w:p>
    <w:p w14:paraId="3905857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37</w:t>
      </w:r>
      <w:r>
        <w:rPr>
          <w:rFonts w:hint="eastAsia" w:ascii="宋体" w:hAnsi="宋体" w:cs="Arial"/>
          <w:bCs/>
          <w:color w:val="0C0C0C"/>
          <w:szCs w:val="21"/>
        </w:rPr>
        <w:t>.存续期：指基金合同生效至终止之间的不定期期限</w:t>
      </w:r>
    </w:p>
    <w:p w14:paraId="12CEC01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38</w:t>
      </w:r>
      <w:r>
        <w:rPr>
          <w:rFonts w:hint="eastAsia" w:ascii="宋体" w:hAnsi="宋体" w:cs="Arial"/>
          <w:bCs/>
          <w:color w:val="0C0C0C"/>
          <w:szCs w:val="21"/>
        </w:rPr>
        <w:t>.工作日：指上海证券交易所、深圳证券交易所的正常交易日</w:t>
      </w:r>
    </w:p>
    <w:p w14:paraId="0B1CBF09">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39</w:t>
      </w:r>
      <w:r>
        <w:rPr>
          <w:rFonts w:hint="eastAsia" w:ascii="宋体" w:hAnsi="宋体" w:cs="Arial"/>
          <w:bCs/>
          <w:color w:val="0C0C0C"/>
          <w:szCs w:val="21"/>
        </w:rPr>
        <w:t>.T日：指销售机构在规定时间受理投资人申购、赎回或其他业务申请的开放日</w:t>
      </w:r>
    </w:p>
    <w:p w14:paraId="468E85C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40</w:t>
      </w:r>
      <w:r>
        <w:rPr>
          <w:rFonts w:hint="eastAsia" w:ascii="宋体" w:hAnsi="宋体" w:cs="Arial"/>
          <w:bCs/>
          <w:color w:val="0C0C0C"/>
          <w:szCs w:val="21"/>
        </w:rPr>
        <w:t>.T+n日：指自T日起第n个工作日（不包含T日）</w:t>
      </w:r>
    </w:p>
    <w:p w14:paraId="48F3E6C8">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41</w:t>
      </w:r>
      <w:r>
        <w:rPr>
          <w:rFonts w:hint="eastAsia" w:ascii="宋体" w:hAnsi="宋体" w:cs="Arial"/>
          <w:bCs/>
          <w:color w:val="0C0C0C"/>
          <w:szCs w:val="21"/>
        </w:rPr>
        <w:t>.开放日：指为投资人办理基金份额申购、赎回或其他业务的工作日</w:t>
      </w:r>
    </w:p>
    <w:p w14:paraId="085AE11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42</w:t>
      </w:r>
      <w:r>
        <w:rPr>
          <w:rFonts w:hint="eastAsia" w:ascii="宋体" w:hAnsi="宋体" w:cs="Arial"/>
          <w:bCs/>
          <w:color w:val="0C0C0C"/>
          <w:szCs w:val="21"/>
        </w:rPr>
        <w:t>.开放时间：指开放日基金接受申购、赎回或其他交易的时间段</w:t>
      </w:r>
    </w:p>
    <w:p w14:paraId="43DE69FA">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43</w:t>
      </w:r>
      <w:r>
        <w:rPr>
          <w:rFonts w:hint="eastAsia" w:ascii="宋体" w:hAnsi="宋体" w:cs="Arial"/>
          <w:bCs/>
          <w:color w:val="0C0C0C"/>
          <w:szCs w:val="21"/>
        </w:rPr>
        <w:t>.认购：指在基金募集期内，投资人根据基金合同和招募说明书的规定申请购买基金份额的行为</w:t>
      </w:r>
    </w:p>
    <w:p w14:paraId="3F23EF5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44</w:t>
      </w:r>
      <w:r>
        <w:rPr>
          <w:rFonts w:hint="eastAsia" w:ascii="宋体" w:hAnsi="宋体" w:cs="Arial"/>
          <w:bCs/>
          <w:color w:val="0C0C0C"/>
          <w:szCs w:val="21"/>
        </w:rPr>
        <w:t>.申购：指基金合同生效后，投资人根据基金合同和招募说明书的规定，以申购赎回清单规定的申购对价申请购买基金份额的行为</w:t>
      </w:r>
    </w:p>
    <w:p w14:paraId="47CD9BC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45</w:t>
      </w:r>
      <w:r>
        <w:rPr>
          <w:rFonts w:hint="eastAsia" w:ascii="宋体" w:hAnsi="宋体" w:cs="Arial"/>
          <w:bCs/>
          <w:color w:val="0C0C0C"/>
          <w:szCs w:val="21"/>
        </w:rPr>
        <w:t>.赎回：指基金合同生效后，基金份额持有人按基金合同和招募说明书规定的条件要求将本基金份额兑换为申购赎回清单规定的赎回对价的行为</w:t>
      </w:r>
    </w:p>
    <w:p w14:paraId="013E1711">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46</w:t>
      </w:r>
      <w:r>
        <w:rPr>
          <w:rFonts w:hint="eastAsia" w:ascii="宋体" w:hAnsi="宋体" w:cs="Arial"/>
          <w:bCs/>
          <w:color w:val="0C0C0C"/>
          <w:szCs w:val="21"/>
        </w:rPr>
        <w:t xml:space="preserve">.申购赎回清单：指由基金管理人编制的用以公告申购对价、赎回对价等信息的文件 </w:t>
      </w:r>
    </w:p>
    <w:p w14:paraId="26AABB17">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47</w:t>
      </w:r>
      <w:r>
        <w:rPr>
          <w:rFonts w:hint="eastAsia" w:ascii="宋体" w:hAnsi="宋体" w:cs="Arial"/>
          <w:bCs/>
          <w:color w:val="0C0C0C"/>
          <w:szCs w:val="21"/>
        </w:rPr>
        <w:t>.申购对价：指投资人申购基金份额时，按基金合同和招募说明书规定应交付的组合证券、现金替代、现金差额和/或其他对价</w:t>
      </w:r>
    </w:p>
    <w:p w14:paraId="531A9B46">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48</w:t>
      </w:r>
      <w:r>
        <w:rPr>
          <w:rFonts w:hint="eastAsia" w:ascii="宋体" w:hAnsi="宋体" w:cs="Arial"/>
          <w:bCs/>
          <w:color w:val="0C0C0C"/>
          <w:szCs w:val="21"/>
        </w:rPr>
        <w:t>.赎回对价：指投资人赎回基金份额时，基金管理人按基金合同和招募说明书规定应交付给赎回人的组合证券、现金替代、现金差额和/或其他对价</w:t>
      </w:r>
    </w:p>
    <w:p w14:paraId="3C48D34D">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49</w:t>
      </w:r>
      <w:r>
        <w:rPr>
          <w:rFonts w:hint="eastAsia" w:ascii="宋体" w:hAnsi="宋体" w:cs="Arial"/>
          <w:bCs/>
          <w:color w:val="0C0C0C"/>
          <w:szCs w:val="21"/>
        </w:rPr>
        <w:t>.组合证券：指本基金标的指数所包含的全部或部分证券</w:t>
      </w:r>
    </w:p>
    <w:p w14:paraId="430C6381">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50</w:t>
      </w:r>
      <w:r>
        <w:rPr>
          <w:rFonts w:hint="eastAsia" w:ascii="宋体" w:hAnsi="宋体" w:cs="Arial"/>
          <w:bCs/>
          <w:color w:val="0C0C0C"/>
          <w:szCs w:val="21"/>
        </w:rPr>
        <w:t>.标的指数：指中证指数有限公司编制并发布的中证细分化工产业主题指数及其未来可能发生的变更</w:t>
      </w:r>
    </w:p>
    <w:p w14:paraId="7C48018B">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51</w:t>
      </w:r>
      <w:r>
        <w:rPr>
          <w:rFonts w:hint="eastAsia" w:ascii="宋体" w:hAnsi="宋体" w:cs="Arial"/>
          <w:bCs/>
          <w:color w:val="0C0C0C"/>
          <w:szCs w:val="21"/>
        </w:rPr>
        <w:t>.现金替代：指申购、赎回过程中，投资人按基金合同和招募说明书的规定，用于替代组合证券中部分证券的一定数量的现金</w:t>
      </w:r>
    </w:p>
    <w:p w14:paraId="47FE4C32">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52</w:t>
      </w:r>
      <w:r>
        <w:rPr>
          <w:rFonts w:hint="eastAsia" w:ascii="宋体" w:hAnsi="宋体" w:cs="Arial"/>
          <w:bCs/>
          <w:color w:val="0C0C0C"/>
          <w:szCs w:val="21"/>
        </w:rPr>
        <w:t xml:space="preserve">.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3C87357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53</w:t>
      </w:r>
      <w:r>
        <w:rPr>
          <w:rFonts w:hint="eastAsia" w:ascii="宋体" w:hAnsi="宋体" w:cs="Arial"/>
          <w:bCs/>
          <w:color w:val="0C0C0C"/>
          <w:szCs w:val="21"/>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59F37871">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54</w:t>
      </w:r>
      <w:r>
        <w:rPr>
          <w:rFonts w:hint="eastAsia" w:ascii="宋体" w:hAnsi="宋体" w:cs="Arial"/>
          <w:bCs/>
          <w:color w:val="0C0C0C"/>
          <w:szCs w:val="21"/>
        </w:rPr>
        <w:t>.最小申购、赎回单位：指本基金申购、赎回份额的最低数量，投资人申购、赎回的基金份额应为最小申购、赎回单位的整数倍</w:t>
      </w:r>
    </w:p>
    <w:p w14:paraId="6F47B577">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55</w:t>
      </w:r>
      <w:r>
        <w:rPr>
          <w:rFonts w:hint="eastAsia" w:ascii="宋体" w:hAnsi="宋体" w:cs="Arial"/>
          <w:bCs/>
          <w:color w:val="0C0C0C"/>
          <w:szCs w:val="21"/>
        </w:rPr>
        <w:t>.基金份额参考净值：指基金管理人或基金管理人委托其他机构在相关证券交易所交易时间内根据申购赎回清单和组合证券内各只证券的实时成交数据计算并发布的基金份额参考净值，简称IOPV</w:t>
      </w:r>
    </w:p>
    <w:p w14:paraId="6883F7A7">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56</w:t>
      </w:r>
      <w:r>
        <w:rPr>
          <w:rFonts w:hint="eastAsia" w:ascii="宋体" w:hAnsi="宋体" w:cs="Arial"/>
          <w:bCs/>
          <w:color w:val="0C0C0C"/>
          <w:szCs w:val="21"/>
        </w:rPr>
        <w:t>.预估现金差额：指为便于计算基金份额参考净值及申购、赎回代理券商预先冻结申请申购、赎回的投资人的相应资金，由基金管理人计算并公布的现金差额的预估值</w:t>
      </w:r>
    </w:p>
    <w:p w14:paraId="0F04473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57</w:t>
      </w:r>
      <w:r>
        <w:rPr>
          <w:rFonts w:hint="eastAsia" w:ascii="宋体" w:hAnsi="宋体" w:cs="Arial"/>
          <w:bCs/>
          <w:color w:val="0C0C0C"/>
          <w:szCs w:val="21"/>
        </w:rPr>
        <w:t>.元：指人民币元</w:t>
      </w:r>
    </w:p>
    <w:p w14:paraId="78F9A638">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58</w:t>
      </w:r>
      <w:r>
        <w:rPr>
          <w:rFonts w:hint="eastAsia" w:ascii="宋体" w:hAnsi="宋体" w:cs="Arial"/>
          <w:bCs/>
          <w:color w:val="0C0C0C"/>
          <w:szCs w:val="21"/>
        </w:rPr>
        <w:t>.基金收益：指基金投资所得红利、股息、债券利息、买卖证券价差、银行存款利息、已实现的其他合法收入及因运用基金财产带来的成本和费用的节约</w:t>
      </w:r>
    </w:p>
    <w:p w14:paraId="12701C1F">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59</w:t>
      </w:r>
      <w:r>
        <w:rPr>
          <w:rFonts w:hint="eastAsia" w:ascii="宋体" w:hAnsi="宋体" w:cs="Arial"/>
          <w:bCs/>
          <w:color w:val="0C0C0C"/>
          <w:szCs w:val="21"/>
        </w:rPr>
        <w:t>.基金份额折算：指基金管理人根据基金合同规定将投资人的基金份额进行变更登记的行为</w:t>
      </w:r>
    </w:p>
    <w:p w14:paraId="24D16F8F">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60</w:t>
      </w:r>
      <w:r>
        <w:rPr>
          <w:rFonts w:hint="eastAsia" w:ascii="宋体" w:hAnsi="宋体" w:cs="Arial"/>
          <w:bCs/>
          <w:color w:val="0C0C0C"/>
          <w:szCs w:val="21"/>
        </w:rPr>
        <w:t>.收益评价日：指基金管理人计算本基金份额净值增长率与标的指数同期增长率差额之日</w:t>
      </w:r>
    </w:p>
    <w:p w14:paraId="2809934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61</w:t>
      </w:r>
      <w:r>
        <w:rPr>
          <w:rFonts w:hint="eastAsia" w:ascii="宋体" w:hAnsi="宋体" w:cs="Arial"/>
          <w:bCs/>
          <w:color w:val="0C0C0C"/>
          <w:szCs w:val="21"/>
        </w:rPr>
        <w:t>.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14:paraId="0FAA9F16">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62</w:t>
      </w:r>
      <w:r>
        <w:rPr>
          <w:rFonts w:hint="eastAsia" w:ascii="宋体" w:hAnsi="宋体" w:cs="Arial"/>
          <w:bCs/>
          <w:color w:val="0C0C0C"/>
          <w:szCs w:val="21"/>
        </w:rPr>
        <w:t xml:space="preserve">.标的指数同期增长率：指收益评价日标的指数收盘价与基金上市前一交易日标的指数收盘价之比减去1乘以100%（期间发生基金份额折算、拆分或合并，则以基金份额折算日、经拆分或合并调整后的基金份额折算日为初始日重新计算） </w:t>
      </w:r>
    </w:p>
    <w:p w14:paraId="72423546">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63</w:t>
      </w:r>
      <w:r>
        <w:rPr>
          <w:rFonts w:hint="eastAsia" w:ascii="宋体" w:hAnsi="宋体" w:cs="Arial"/>
          <w:bCs/>
          <w:color w:val="0C0C0C"/>
          <w:szCs w:val="21"/>
        </w:rPr>
        <w:t>.基金资产总值：指基金拥有的各类有价证券、银行存款本息、基金应收款项及其他资产的价值总和</w:t>
      </w:r>
    </w:p>
    <w:p w14:paraId="53858065">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64</w:t>
      </w:r>
      <w:r>
        <w:rPr>
          <w:rFonts w:hint="eastAsia" w:ascii="宋体" w:hAnsi="宋体" w:cs="Arial"/>
          <w:bCs/>
          <w:color w:val="0C0C0C"/>
          <w:szCs w:val="21"/>
        </w:rPr>
        <w:t>.基金资产净值：指基金资产总值减去基金负债后的价值</w:t>
      </w:r>
    </w:p>
    <w:p w14:paraId="66AC34AC">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65</w:t>
      </w:r>
      <w:r>
        <w:rPr>
          <w:rFonts w:hint="eastAsia" w:ascii="宋体" w:hAnsi="宋体" w:cs="Arial"/>
          <w:bCs/>
          <w:color w:val="0C0C0C"/>
          <w:szCs w:val="21"/>
        </w:rPr>
        <w:t>.基金份额净值：指计算日基金资产净值除以计算日基金份额总数</w:t>
      </w:r>
    </w:p>
    <w:p w14:paraId="268932E5">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66</w:t>
      </w:r>
      <w:r>
        <w:rPr>
          <w:rFonts w:hint="eastAsia" w:ascii="宋体" w:hAnsi="宋体" w:cs="Arial"/>
          <w:bCs/>
          <w:color w:val="0C0C0C"/>
          <w:szCs w:val="21"/>
        </w:rPr>
        <w:t>.基金资产估值：指计算评估基金资产和负债的价值，以确定基金资产净值和基金份额净值的过程</w:t>
      </w:r>
    </w:p>
    <w:p w14:paraId="72158D09">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67</w:t>
      </w:r>
      <w:r>
        <w:rPr>
          <w:rFonts w:hint="eastAsia" w:ascii="宋体" w:hAnsi="宋体" w:cs="Arial"/>
          <w:bCs/>
          <w:color w:val="0C0C0C"/>
          <w:szCs w:val="21"/>
        </w:rPr>
        <w:t>.规定媒介：指符合中国证监会规定条件的用以进行信息披露的全国性报刊及《信息披露办法》规定的互联网网站（包括基金管理人网站、基金托管人网站、中国证监会基金电子披露网站）等媒介</w:t>
      </w:r>
    </w:p>
    <w:p w14:paraId="062C9D7F">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68</w:t>
      </w:r>
      <w:r>
        <w:rPr>
          <w:rFonts w:hint="eastAsia" w:ascii="宋体" w:hAnsi="宋体" w:cs="Arial"/>
          <w:bCs/>
          <w:color w:val="0C0C0C"/>
          <w:szCs w:val="21"/>
        </w:rPr>
        <w:t>.ETF：指《深圳证券交易所证券投资基金交易和申购赎回实施细则》定义的“交易型开放式基金”</w:t>
      </w:r>
    </w:p>
    <w:p w14:paraId="0209B4AC">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69</w:t>
      </w:r>
      <w:r>
        <w:rPr>
          <w:rFonts w:hint="eastAsia" w:ascii="宋体" w:hAnsi="宋体" w:cs="Arial"/>
          <w:bCs/>
          <w:color w:val="0C0C0C"/>
          <w:szCs w:val="21"/>
        </w:rPr>
        <w:t>.联接基金：指将绝大部分基金财产投资于跟踪同一标的指数的基金（即目标ETF），紧密跟踪标的指数表现，追求跟踪偏离度和跟踪误差最小化，获得与指数收益相似的回报，采用开放式运作方式的基金</w:t>
      </w:r>
    </w:p>
    <w:p w14:paraId="4B8ABF20">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70</w:t>
      </w:r>
      <w:r>
        <w:rPr>
          <w:rFonts w:hint="eastAsia" w:ascii="宋体" w:hAnsi="宋体" w:cs="Arial"/>
          <w:bCs/>
          <w:color w:val="0C0C0C"/>
          <w:szCs w:val="21"/>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9AD679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71</w:t>
      </w:r>
      <w:r>
        <w:rPr>
          <w:rFonts w:hint="eastAsia" w:ascii="宋体" w:hAnsi="宋体" w:cs="Arial"/>
          <w:bCs/>
          <w:color w:val="0C0C0C"/>
          <w:szCs w:val="21"/>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3FFE1744">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72</w:t>
      </w:r>
      <w:r>
        <w:rPr>
          <w:rFonts w:hint="eastAsia" w:ascii="宋体" w:hAnsi="宋体" w:cs="Arial"/>
          <w:bCs/>
          <w:color w:val="0C0C0C"/>
          <w:szCs w:val="21"/>
        </w:rPr>
        <w:t>.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w:t>
      </w:r>
    </w:p>
    <w:p w14:paraId="5E82EA6B">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73</w:t>
      </w:r>
      <w:r>
        <w:rPr>
          <w:rFonts w:hint="eastAsia" w:ascii="宋体" w:hAnsi="宋体" w:cs="Arial"/>
          <w:bCs/>
          <w:color w:val="0C0C0C"/>
          <w:szCs w:val="21"/>
        </w:rPr>
        <w:t>.中国法律：指中华人民共和国法律，就基金合同而言，不包括香港特别行政区、澳门特别行政区法律和台湾地区的有关规定</w:t>
      </w:r>
    </w:p>
    <w:p w14:paraId="04579E53">
      <w:pPr>
        <w:autoSpaceDE w:val="0"/>
        <w:autoSpaceDN w:val="0"/>
        <w:adjustRightInd w:val="0"/>
        <w:snapToGrid w:val="0"/>
        <w:spacing w:line="360" w:lineRule="auto"/>
        <w:rPr>
          <w:rFonts w:hint="eastAsia" w:ascii="宋体" w:hAnsi="宋体" w:cs="Arial"/>
          <w:bCs/>
          <w:color w:val="0C0C0C"/>
          <w:szCs w:val="21"/>
        </w:rPr>
      </w:pPr>
      <w:r>
        <w:rPr>
          <w:rFonts w:ascii="宋体" w:hAnsi="宋体" w:cs="Arial"/>
          <w:bCs/>
          <w:color w:val="0C0C0C"/>
          <w:szCs w:val="21"/>
        </w:rPr>
        <w:t>74</w:t>
      </w:r>
      <w:r>
        <w:rPr>
          <w:rFonts w:hint="eastAsia" w:ascii="宋体" w:hAnsi="宋体" w:cs="Arial"/>
          <w:bCs/>
          <w:color w:val="0C0C0C"/>
          <w:szCs w:val="21"/>
        </w:rPr>
        <w:t>.不可抗力：指基金合同当事人不能预见、不能避免且不能克服的客观事件</w:t>
      </w:r>
    </w:p>
    <w:p w14:paraId="41697A88">
      <w:pPr>
        <w:autoSpaceDE w:val="0"/>
        <w:autoSpaceDN w:val="0"/>
        <w:adjustRightInd w:val="0"/>
        <w:snapToGrid w:val="0"/>
        <w:spacing w:line="360" w:lineRule="auto"/>
        <w:rPr>
          <w:rFonts w:hint="eastAsia" w:ascii="宋体" w:hAnsi="宋体" w:cs="Arial"/>
          <w:bCs/>
          <w:color w:val="0C0C0C"/>
          <w:szCs w:val="21"/>
        </w:rPr>
      </w:pPr>
    </w:p>
    <w:p w14:paraId="1E70BC23">
      <w:pPr>
        <w:autoSpaceDE w:val="0"/>
        <w:autoSpaceDN w:val="0"/>
        <w:adjustRightInd w:val="0"/>
        <w:snapToGrid w:val="0"/>
        <w:spacing w:line="360" w:lineRule="auto"/>
        <w:rPr>
          <w:rFonts w:hint="eastAsia" w:ascii="宋体" w:hAnsi="宋体" w:cs="Arial"/>
          <w:bCs/>
          <w:color w:val="0C0C0C"/>
          <w:szCs w:val="21"/>
        </w:rPr>
      </w:pPr>
      <w:bookmarkStart w:id="14" w:name="_Toc50661121"/>
      <w:bookmarkStart w:id="15" w:name="_Toc86655813"/>
    </w:p>
    <w:p w14:paraId="22BB4F86">
      <w:pPr>
        <w:autoSpaceDE w:val="0"/>
        <w:autoSpaceDN w:val="0"/>
        <w:adjustRightInd w:val="0"/>
        <w:snapToGrid w:val="0"/>
        <w:spacing w:line="360" w:lineRule="auto"/>
        <w:rPr>
          <w:rFonts w:hint="eastAsia" w:ascii="宋体" w:hAnsi="宋体" w:cs="Arial"/>
          <w:bCs/>
          <w:color w:val="0C0C0C"/>
          <w:szCs w:val="21"/>
        </w:rPr>
      </w:pPr>
    </w:p>
    <w:p w14:paraId="302F6284">
      <w:pPr>
        <w:autoSpaceDE w:val="0"/>
        <w:autoSpaceDN w:val="0"/>
        <w:adjustRightInd w:val="0"/>
        <w:snapToGrid w:val="0"/>
        <w:spacing w:line="360" w:lineRule="auto"/>
        <w:rPr>
          <w:rFonts w:hint="eastAsia" w:ascii="宋体" w:hAnsi="宋体" w:cs="Arial"/>
          <w:bCs/>
          <w:color w:val="0C0C0C"/>
          <w:szCs w:val="21"/>
        </w:rPr>
      </w:pPr>
    </w:p>
    <w:p w14:paraId="02DDC07B">
      <w:pPr>
        <w:autoSpaceDE w:val="0"/>
        <w:autoSpaceDN w:val="0"/>
        <w:adjustRightInd w:val="0"/>
        <w:snapToGrid w:val="0"/>
        <w:spacing w:line="360" w:lineRule="auto"/>
        <w:rPr>
          <w:rFonts w:hint="eastAsia" w:ascii="宋体" w:hAnsi="宋体" w:cs="Arial"/>
          <w:bCs/>
          <w:color w:val="0C0C0C"/>
          <w:szCs w:val="21"/>
        </w:rPr>
      </w:pPr>
    </w:p>
    <w:p w14:paraId="0DB3B760">
      <w:pPr>
        <w:autoSpaceDE w:val="0"/>
        <w:autoSpaceDN w:val="0"/>
        <w:adjustRightInd w:val="0"/>
        <w:snapToGrid w:val="0"/>
        <w:spacing w:line="360" w:lineRule="auto"/>
        <w:rPr>
          <w:rFonts w:hint="eastAsia" w:ascii="宋体" w:hAnsi="宋体" w:cs="Arial"/>
          <w:bCs/>
          <w:color w:val="0C0C0C"/>
          <w:szCs w:val="21"/>
        </w:rPr>
      </w:pPr>
    </w:p>
    <w:p w14:paraId="6638DA1B">
      <w:pPr>
        <w:autoSpaceDE w:val="0"/>
        <w:autoSpaceDN w:val="0"/>
        <w:adjustRightInd w:val="0"/>
        <w:snapToGrid w:val="0"/>
        <w:spacing w:line="360" w:lineRule="auto"/>
        <w:rPr>
          <w:rFonts w:hint="eastAsia" w:ascii="宋体" w:hAnsi="宋体" w:cs="Arial"/>
          <w:bCs/>
          <w:color w:val="0C0C0C"/>
          <w:szCs w:val="21"/>
        </w:rPr>
      </w:pPr>
    </w:p>
    <w:p w14:paraId="123952FB">
      <w:pPr>
        <w:autoSpaceDE w:val="0"/>
        <w:autoSpaceDN w:val="0"/>
        <w:adjustRightInd w:val="0"/>
        <w:snapToGrid w:val="0"/>
        <w:spacing w:line="360" w:lineRule="auto"/>
        <w:rPr>
          <w:rFonts w:hint="eastAsia" w:ascii="宋体" w:hAnsi="宋体" w:cs="Arial"/>
          <w:bCs/>
          <w:color w:val="0C0C0C"/>
          <w:szCs w:val="21"/>
        </w:rPr>
      </w:pPr>
    </w:p>
    <w:p w14:paraId="15851A08">
      <w:pPr>
        <w:autoSpaceDE w:val="0"/>
        <w:autoSpaceDN w:val="0"/>
        <w:adjustRightInd w:val="0"/>
        <w:snapToGrid w:val="0"/>
        <w:spacing w:line="360" w:lineRule="auto"/>
        <w:rPr>
          <w:rFonts w:hint="eastAsia" w:ascii="宋体" w:hAnsi="宋体" w:cs="Arial"/>
          <w:bCs/>
          <w:color w:val="0C0C0C"/>
          <w:szCs w:val="21"/>
        </w:rPr>
      </w:pPr>
    </w:p>
    <w:p w14:paraId="31274FE8">
      <w:pPr>
        <w:pStyle w:val="25"/>
        <w:rPr>
          <w:rFonts w:hint="eastAsia" w:hAnsi="宋体" w:cs="Arial"/>
          <w:b/>
          <w:bCs/>
          <w:sz w:val="28"/>
          <w:szCs w:val="28"/>
        </w:rPr>
      </w:pPr>
    </w:p>
    <w:p w14:paraId="3B4EC0C0">
      <w:pPr>
        <w:pStyle w:val="25"/>
        <w:rPr>
          <w:rFonts w:hint="eastAsia" w:hAnsi="宋体" w:cs="Arial"/>
          <w:b/>
          <w:bCs/>
          <w:sz w:val="28"/>
          <w:szCs w:val="28"/>
        </w:rPr>
      </w:pPr>
    </w:p>
    <w:p w14:paraId="42C61647">
      <w:pPr>
        <w:pStyle w:val="25"/>
        <w:rPr>
          <w:rFonts w:hint="eastAsia" w:hAnsi="宋体" w:cs="Arial"/>
          <w:b/>
          <w:bCs/>
          <w:sz w:val="28"/>
          <w:szCs w:val="28"/>
        </w:rPr>
      </w:pPr>
    </w:p>
    <w:p w14:paraId="4E1844F3">
      <w:pPr>
        <w:pStyle w:val="25"/>
        <w:rPr>
          <w:rFonts w:hint="eastAsia" w:hAnsi="宋体" w:cs="Arial"/>
          <w:b/>
          <w:bCs/>
          <w:sz w:val="28"/>
          <w:szCs w:val="28"/>
        </w:rPr>
      </w:pPr>
    </w:p>
    <w:p w14:paraId="0B1652BF">
      <w:pPr>
        <w:pStyle w:val="25"/>
        <w:rPr>
          <w:rFonts w:hint="eastAsia" w:hAnsi="宋体" w:cs="Arial"/>
          <w:b/>
          <w:bCs/>
          <w:sz w:val="28"/>
          <w:szCs w:val="28"/>
        </w:rPr>
      </w:pPr>
    </w:p>
    <w:p w14:paraId="5F8FE515">
      <w:pPr>
        <w:pStyle w:val="25"/>
        <w:rPr>
          <w:rFonts w:hint="eastAsia" w:hAnsi="宋体" w:cs="Arial"/>
          <w:b/>
          <w:bCs/>
          <w:sz w:val="28"/>
          <w:szCs w:val="28"/>
        </w:rPr>
      </w:pPr>
    </w:p>
    <w:p w14:paraId="2F1F31FA">
      <w:pPr>
        <w:pStyle w:val="25"/>
        <w:rPr>
          <w:rFonts w:hint="eastAsia" w:hAnsi="宋体" w:cs="Arial"/>
          <w:b/>
          <w:bCs/>
          <w:sz w:val="28"/>
          <w:szCs w:val="28"/>
        </w:rPr>
      </w:pPr>
    </w:p>
    <w:p w14:paraId="1E4F2F62">
      <w:pPr>
        <w:pStyle w:val="25"/>
        <w:rPr>
          <w:rFonts w:hint="eastAsia" w:hAnsi="宋体" w:cs="Arial"/>
          <w:b/>
          <w:bCs/>
          <w:sz w:val="28"/>
          <w:szCs w:val="28"/>
        </w:rPr>
      </w:pPr>
    </w:p>
    <w:p w14:paraId="1EC042A1">
      <w:pPr>
        <w:pStyle w:val="25"/>
        <w:rPr>
          <w:rFonts w:hint="eastAsia" w:hAnsi="宋体" w:cs="Arial"/>
          <w:b/>
          <w:bCs/>
          <w:sz w:val="28"/>
          <w:szCs w:val="28"/>
        </w:rPr>
      </w:pPr>
    </w:p>
    <w:p w14:paraId="26505313">
      <w:pPr>
        <w:pStyle w:val="25"/>
        <w:rPr>
          <w:rFonts w:hint="eastAsia" w:hAnsi="宋体" w:cs="Arial"/>
          <w:b/>
          <w:bCs/>
          <w:sz w:val="28"/>
          <w:szCs w:val="28"/>
        </w:rPr>
      </w:pPr>
    </w:p>
    <w:p w14:paraId="0FF4697F">
      <w:pPr>
        <w:pStyle w:val="25"/>
        <w:rPr>
          <w:rFonts w:hint="eastAsia" w:hAnsi="宋体" w:cs="Arial"/>
          <w:b/>
          <w:bCs/>
          <w:sz w:val="28"/>
          <w:szCs w:val="28"/>
        </w:rPr>
      </w:pPr>
    </w:p>
    <w:p w14:paraId="145E4C7B">
      <w:pPr>
        <w:pStyle w:val="25"/>
        <w:rPr>
          <w:rFonts w:hint="eastAsia" w:hAnsi="宋体" w:cs="Arial"/>
          <w:b/>
          <w:bCs/>
          <w:sz w:val="28"/>
          <w:szCs w:val="28"/>
        </w:rPr>
      </w:pPr>
    </w:p>
    <w:p w14:paraId="21B564A9">
      <w:pPr>
        <w:pStyle w:val="2"/>
        <w:snapToGrid w:val="0"/>
        <w:spacing w:before="0" w:after="0" w:line="360" w:lineRule="auto"/>
        <w:rPr>
          <w:rFonts w:hint="eastAsia" w:hAnsi="宋体" w:eastAsia="宋体" w:cs="Arial"/>
          <w:b/>
          <w:bCs/>
          <w:sz w:val="28"/>
          <w:szCs w:val="28"/>
        </w:rPr>
      </w:pPr>
      <w:bookmarkStart w:id="16" w:name="_Toc15122"/>
      <w:r>
        <w:rPr>
          <w:rFonts w:hAnsi="宋体" w:eastAsia="宋体" w:cs="Arial"/>
          <w:b/>
          <w:bCs/>
          <w:sz w:val="28"/>
          <w:szCs w:val="28"/>
        </w:rPr>
        <w:t>第三部分  基金管理人</w:t>
      </w:r>
      <w:bookmarkEnd w:id="10"/>
      <w:bookmarkEnd w:id="11"/>
      <w:bookmarkEnd w:id="12"/>
      <w:bookmarkEnd w:id="13"/>
      <w:bookmarkEnd w:id="14"/>
      <w:bookmarkEnd w:id="15"/>
      <w:bookmarkEnd w:id="16"/>
    </w:p>
    <w:p w14:paraId="67D78D39">
      <w:pPr>
        <w:pStyle w:val="37"/>
        <w:spacing w:before="0" w:beforeAutospacing="0" w:after="0" w:afterAutospacing="0" w:line="360" w:lineRule="auto"/>
        <w:ind w:firstLine="420"/>
        <w:rPr>
          <w:rFonts w:hint="eastAsia"/>
          <w:sz w:val="21"/>
          <w:szCs w:val="21"/>
        </w:rPr>
      </w:pPr>
      <w:bookmarkStart w:id="17" w:name="_Toc524923215"/>
      <w:bookmarkStart w:id="18" w:name="_Toc214873593"/>
      <w:r>
        <w:rPr>
          <w:rStyle w:val="49"/>
          <w:rFonts w:hint="eastAsia"/>
          <w:sz w:val="21"/>
          <w:szCs w:val="21"/>
        </w:rPr>
        <w:t>一、基金管理人概况</w:t>
      </w:r>
    </w:p>
    <w:p w14:paraId="30C728C3">
      <w:pPr>
        <w:pStyle w:val="37"/>
        <w:spacing w:before="0" w:beforeAutospacing="0" w:after="0" w:afterAutospacing="0" w:line="360" w:lineRule="auto"/>
        <w:ind w:firstLine="420"/>
        <w:rPr>
          <w:rFonts w:hint="eastAsia"/>
          <w:sz w:val="21"/>
          <w:szCs w:val="21"/>
        </w:rPr>
      </w:pPr>
      <w:bookmarkStart w:id="19" w:name="field_0_managercompanyinfo_1_start"/>
      <w:bookmarkEnd w:id="19"/>
      <w:r>
        <w:rPr>
          <w:rFonts w:hint="eastAsia"/>
          <w:sz w:val="21"/>
          <w:szCs w:val="21"/>
        </w:rPr>
        <w:t>名称：</w:t>
      </w:r>
      <w:r>
        <w:rPr>
          <w:rFonts w:hint="eastAsia"/>
          <w:sz w:val="21"/>
          <w:szCs w:val="21"/>
        </w:rPr>
        <w:tab/>
      </w:r>
      <w:r>
        <w:rPr>
          <w:rFonts w:hint="eastAsia"/>
          <w:sz w:val="21"/>
          <w:szCs w:val="21"/>
        </w:rPr>
        <w:t>博时基金管理有限公司</w:t>
      </w:r>
    </w:p>
    <w:p w14:paraId="35BA52F9">
      <w:pPr>
        <w:pStyle w:val="37"/>
        <w:spacing w:before="0" w:beforeAutospacing="0" w:after="0" w:afterAutospacing="0" w:line="360" w:lineRule="auto"/>
        <w:ind w:firstLine="42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14:paraId="017F09F1">
      <w:pPr>
        <w:pStyle w:val="37"/>
        <w:spacing w:before="0" w:beforeAutospacing="0" w:after="0" w:afterAutospacing="0" w:line="360" w:lineRule="auto"/>
        <w:ind w:firstLine="42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14:paraId="6487E7FC">
      <w:pPr>
        <w:pStyle w:val="37"/>
        <w:spacing w:before="0" w:beforeAutospacing="0" w:after="0" w:afterAutospacing="0" w:line="360" w:lineRule="auto"/>
        <w:ind w:firstLine="420"/>
        <w:rPr>
          <w:rFonts w:hint="eastAsia"/>
          <w:sz w:val="21"/>
          <w:szCs w:val="21"/>
        </w:rPr>
      </w:pPr>
      <w:r>
        <w:rPr>
          <w:rFonts w:hint="eastAsia"/>
          <w:sz w:val="21"/>
          <w:szCs w:val="21"/>
        </w:rPr>
        <w:t>法定代表人：张东</w:t>
      </w:r>
    </w:p>
    <w:p w14:paraId="0C824FC0">
      <w:pPr>
        <w:pStyle w:val="37"/>
        <w:spacing w:before="0" w:beforeAutospacing="0" w:after="0" w:afterAutospacing="0" w:line="360" w:lineRule="auto"/>
        <w:ind w:firstLine="42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14:paraId="3CB4F466">
      <w:pPr>
        <w:pStyle w:val="37"/>
        <w:spacing w:before="0" w:beforeAutospacing="0" w:after="0" w:afterAutospacing="0" w:line="360" w:lineRule="auto"/>
        <w:ind w:firstLine="42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14:paraId="1490195C">
      <w:pPr>
        <w:pStyle w:val="37"/>
        <w:spacing w:before="0" w:beforeAutospacing="0" w:after="0" w:afterAutospacing="0" w:line="360" w:lineRule="auto"/>
        <w:ind w:firstLine="42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14:paraId="5952A78E">
      <w:pPr>
        <w:pStyle w:val="37"/>
        <w:spacing w:before="0" w:beforeAutospacing="0" w:after="0" w:afterAutospacing="0" w:line="360" w:lineRule="auto"/>
        <w:ind w:firstLine="420"/>
        <w:rPr>
          <w:rFonts w:hint="eastAsia"/>
          <w:sz w:val="21"/>
          <w:szCs w:val="21"/>
        </w:rPr>
      </w:pPr>
      <w:r>
        <w:rPr>
          <w:rFonts w:hint="eastAsia"/>
          <w:sz w:val="21"/>
          <w:szCs w:val="21"/>
        </w:rPr>
        <w:t>联系人：    杜松岭</w:t>
      </w:r>
    </w:p>
    <w:p w14:paraId="5DAA38D0">
      <w:pPr>
        <w:pStyle w:val="37"/>
        <w:spacing w:before="0" w:beforeAutospacing="0" w:after="0" w:afterAutospacing="0" w:line="360" w:lineRule="auto"/>
        <w:ind w:firstLine="420"/>
        <w:rPr>
          <w:rFonts w:hint="eastAsia"/>
          <w:sz w:val="21"/>
          <w:szCs w:val="21"/>
        </w:rPr>
      </w:pPr>
      <w:r>
        <w:rPr>
          <w:rFonts w:hint="eastAsia"/>
          <w:sz w:val="21"/>
          <w:szCs w:val="21"/>
        </w:rPr>
        <w:t>联系电话：  （0755）8316 9999</w:t>
      </w:r>
    </w:p>
    <w:p w14:paraId="2C8AA59B">
      <w:pPr>
        <w:pStyle w:val="37"/>
        <w:spacing w:before="0" w:beforeAutospacing="0" w:after="0" w:afterAutospacing="0" w:line="360" w:lineRule="auto"/>
        <w:ind w:firstLine="42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2A6B2046">
      <w:pPr>
        <w:pStyle w:val="37"/>
        <w:spacing w:before="0" w:beforeAutospacing="0" w:after="0" w:afterAutospacing="0" w:line="360" w:lineRule="auto"/>
        <w:ind w:firstLine="420"/>
        <w:rPr>
          <w:rFonts w:hint="eastAsia"/>
          <w:sz w:val="21"/>
          <w:szCs w:val="21"/>
        </w:rPr>
      </w:pPr>
      <w:r>
        <w:rPr>
          <w:rFonts w:hint="eastAsia"/>
          <w:sz w:val="21"/>
          <w:szCs w:val="21"/>
        </w:rPr>
        <w:t>公司设立了投资决策委员会。投资决策委员会负责指导基金资产的运作、确定基本的投资策略和投资组合的原则。</w:t>
      </w:r>
    </w:p>
    <w:p w14:paraId="01603620">
      <w:pPr>
        <w:pStyle w:val="37"/>
        <w:spacing w:before="0" w:beforeAutospacing="0" w:after="0" w:afterAutospacing="0" w:line="360" w:lineRule="auto"/>
        <w:ind w:firstLine="420"/>
        <w:rPr>
          <w:rFonts w:hint="eastAsia"/>
          <w:sz w:val="21"/>
          <w:szCs w:val="21"/>
        </w:rPr>
      </w:pPr>
      <w:r>
        <w:rPr>
          <w:rFonts w:hint="eastAsia"/>
          <w:sz w:val="21"/>
          <w:szCs w:val="21"/>
        </w:rPr>
        <w:t>公司已经建立健全投资管理制度、风险控制制度、内部监察制度、财务管理制度、人事管理制度、信息披露制度和员工行为准则等公司管理制度体系。</w:t>
      </w:r>
    </w:p>
    <w:p w14:paraId="1B0A3811">
      <w:pPr>
        <w:pStyle w:val="37"/>
        <w:spacing w:before="0" w:beforeAutospacing="0" w:after="0" w:afterAutospacing="0" w:line="360" w:lineRule="auto"/>
        <w:ind w:firstLine="420"/>
        <w:rPr>
          <w:rFonts w:hint="eastAsia"/>
          <w:sz w:val="21"/>
          <w:szCs w:val="21"/>
        </w:rPr>
      </w:pPr>
      <w:r>
        <w:rPr>
          <w:rFonts w:hint="eastAsia"/>
          <w:sz w:val="21"/>
          <w:szCs w:val="21"/>
        </w:rPr>
        <w:t xml:space="preserve"> </w:t>
      </w:r>
      <w:r>
        <w:rPr>
          <w:rStyle w:val="49"/>
          <w:rFonts w:hint="eastAsia"/>
          <w:sz w:val="21"/>
          <w:szCs w:val="21"/>
        </w:rPr>
        <w:t>二、主要成员情况</w:t>
      </w:r>
    </w:p>
    <w:p w14:paraId="4AD257CA">
      <w:pPr>
        <w:pStyle w:val="37"/>
        <w:spacing w:before="0" w:beforeAutospacing="0" w:after="0" w:afterAutospacing="0" w:line="360" w:lineRule="auto"/>
        <w:ind w:firstLine="420"/>
        <w:rPr>
          <w:rFonts w:hint="eastAsia"/>
          <w:sz w:val="21"/>
          <w:szCs w:val="21"/>
        </w:rPr>
      </w:pPr>
      <w:bookmarkStart w:id="20" w:name="field_0_managerpersoninfo_1_start"/>
      <w:bookmarkEnd w:id="20"/>
      <w:r>
        <w:rPr>
          <w:rFonts w:hint="eastAsia"/>
          <w:sz w:val="21"/>
          <w:szCs w:val="21"/>
        </w:rPr>
        <w:t>1、基金管理人董事会成员</w:t>
      </w:r>
    </w:p>
    <w:p w14:paraId="43284BEA">
      <w:pPr>
        <w:pStyle w:val="37"/>
        <w:spacing w:before="0" w:beforeAutospacing="0" w:after="0" w:afterAutospacing="0" w:line="360" w:lineRule="auto"/>
        <w:ind w:firstLine="420"/>
        <w:rPr>
          <w:rFonts w:hint="eastAsia"/>
          <w:sz w:val="21"/>
          <w:szCs w:val="21"/>
        </w:rPr>
      </w:pPr>
      <w:r>
        <w:rPr>
          <w:rFonts w:hint="eastAsia"/>
          <w:sz w:val="21"/>
          <w:szCs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0CA27976">
      <w:pPr>
        <w:pStyle w:val="37"/>
        <w:spacing w:before="0" w:beforeAutospacing="0" w:after="0" w:afterAutospacing="0" w:line="360" w:lineRule="auto"/>
        <w:ind w:firstLine="42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6F677C0E">
      <w:pPr>
        <w:pStyle w:val="37"/>
        <w:spacing w:before="0" w:beforeAutospacing="0" w:after="0" w:afterAutospacing="0" w:line="360" w:lineRule="auto"/>
        <w:ind w:firstLine="420"/>
        <w:rPr>
          <w:rFonts w:hint="eastAsia"/>
          <w:sz w:val="21"/>
          <w:szCs w:val="21"/>
        </w:rPr>
      </w:pPr>
      <w:r>
        <w:rPr>
          <w:rFonts w:hint="eastAsia"/>
          <w:sz w:val="21"/>
          <w:szCs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F78331A">
      <w:pPr>
        <w:pStyle w:val="37"/>
        <w:spacing w:before="0" w:beforeAutospacing="0" w:after="0" w:afterAutospacing="0" w:line="360" w:lineRule="auto"/>
        <w:ind w:firstLine="420"/>
        <w:rPr>
          <w:rFonts w:hint="eastAsia"/>
          <w:sz w:val="21"/>
          <w:szCs w:val="21"/>
        </w:rPr>
      </w:pPr>
      <w:r>
        <w:rPr>
          <w:rFonts w:hint="eastAsia"/>
          <w:sz w:val="21"/>
          <w:szCs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E23C44C">
      <w:pPr>
        <w:pStyle w:val="37"/>
        <w:spacing w:before="0" w:beforeAutospacing="0" w:after="0" w:afterAutospacing="0" w:line="360" w:lineRule="auto"/>
        <w:ind w:firstLine="42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348E0063">
      <w:pPr>
        <w:pStyle w:val="37"/>
        <w:spacing w:before="0" w:beforeAutospacing="0" w:after="0" w:afterAutospacing="0" w:line="360" w:lineRule="auto"/>
        <w:ind w:firstLine="42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667C25D6">
      <w:pPr>
        <w:pStyle w:val="37"/>
        <w:spacing w:before="0" w:beforeAutospacing="0" w:after="0" w:afterAutospacing="0" w:line="360" w:lineRule="auto"/>
        <w:ind w:firstLine="42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6DD8C09E">
      <w:pPr>
        <w:pStyle w:val="37"/>
        <w:spacing w:before="0" w:beforeAutospacing="0" w:after="0" w:afterAutospacing="0" w:line="360" w:lineRule="auto"/>
        <w:ind w:firstLine="42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B7713D7">
      <w:pPr>
        <w:pStyle w:val="37"/>
        <w:spacing w:before="0" w:beforeAutospacing="0" w:after="0" w:afterAutospacing="0" w:line="360" w:lineRule="auto"/>
        <w:ind w:firstLine="42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34FA7A03">
      <w:pPr>
        <w:pStyle w:val="37"/>
        <w:spacing w:before="0" w:beforeAutospacing="0" w:after="0" w:afterAutospacing="0" w:line="360" w:lineRule="auto"/>
        <w:ind w:firstLine="420"/>
        <w:rPr>
          <w:rFonts w:hint="eastAsia"/>
          <w:sz w:val="21"/>
          <w:szCs w:val="21"/>
        </w:rPr>
      </w:pPr>
      <w:r>
        <w:rPr>
          <w:rFonts w:hint="eastAsia"/>
          <w:sz w:val="21"/>
          <w:szCs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7DBDFBCE">
      <w:pPr>
        <w:pStyle w:val="37"/>
        <w:spacing w:before="0" w:beforeAutospacing="0" w:after="0" w:afterAutospacing="0" w:line="360" w:lineRule="auto"/>
        <w:ind w:firstLine="420"/>
        <w:rPr>
          <w:rFonts w:hint="eastAsia"/>
          <w:sz w:val="21"/>
          <w:szCs w:val="21"/>
        </w:rPr>
      </w:pPr>
      <w:r>
        <w:rPr>
          <w:rFonts w:hint="eastAsia"/>
          <w:sz w:val="21"/>
          <w:szCs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3D1C9B2A">
      <w:pPr>
        <w:pStyle w:val="37"/>
        <w:spacing w:before="0" w:beforeAutospacing="0" w:after="0" w:afterAutospacing="0" w:line="360" w:lineRule="auto"/>
        <w:ind w:firstLine="420"/>
        <w:rPr>
          <w:rFonts w:hint="eastAsia"/>
          <w:sz w:val="21"/>
          <w:szCs w:val="21"/>
        </w:rPr>
      </w:pPr>
      <w:r>
        <w:rPr>
          <w:rFonts w:hint="eastAsia"/>
          <w:sz w:val="21"/>
          <w:szCs w:val="21"/>
        </w:rPr>
        <w:t>2、高级管理人员</w:t>
      </w:r>
    </w:p>
    <w:p w14:paraId="3C541079">
      <w:pPr>
        <w:pStyle w:val="37"/>
        <w:spacing w:before="0" w:beforeAutospacing="0" w:after="0" w:afterAutospacing="0" w:line="360" w:lineRule="auto"/>
        <w:ind w:firstLine="420"/>
        <w:rPr>
          <w:rFonts w:hint="eastAsia"/>
          <w:sz w:val="21"/>
          <w:szCs w:val="21"/>
        </w:rPr>
      </w:pPr>
      <w:r>
        <w:rPr>
          <w:rFonts w:hint="eastAsia"/>
          <w:sz w:val="21"/>
          <w:szCs w:val="21"/>
        </w:rPr>
        <w:t>张东先生，简历同上。</w:t>
      </w:r>
    </w:p>
    <w:p w14:paraId="752C6E2E">
      <w:pPr>
        <w:pStyle w:val="37"/>
        <w:spacing w:before="0" w:beforeAutospacing="0" w:after="0" w:afterAutospacing="0" w:line="360" w:lineRule="auto"/>
        <w:ind w:firstLine="420"/>
        <w:rPr>
          <w:rFonts w:hint="eastAsia"/>
          <w:sz w:val="21"/>
          <w:szCs w:val="21"/>
        </w:rPr>
      </w:pPr>
      <w:r>
        <w:rPr>
          <w:rFonts w:hint="eastAsia"/>
          <w:sz w:val="21"/>
          <w:szCs w:val="21"/>
        </w:rPr>
        <w:t>陈宇先生，简历同上。</w:t>
      </w:r>
    </w:p>
    <w:p w14:paraId="513C7225">
      <w:pPr>
        <w:pStyle w:val="37"/>
        <w:spacing w:before="0" w:beforeAutospacing="0" w:after="0" w:afterAutospacing="0" w:line="360" w:lineRule="auto"/>
        <w:ind w:firstLine="42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14B420B1">
      <w:pPr>
        <w:pStyle w:val="37"/>
        <w:spacing w:before="0" w:beforeAutospacing="0" w:after="0" w:afterAutospacing="0" w:line="360" w:lineRule="auto"/>
        <w:ind w:firstLine="420"/>
        <w:rPr>
          <w:rFonts w:hint="eastAsia"/>
          <w:sz w:val="21"/>
          <w:szCs w:val="21"/>
        </w:rPr>
      </w:pPr>
      <w:r>
        <w:rPr>
          <w:rFonts w:hint="eastAsia"/>
          <w:sz w:val="21"/>
          <w:szCs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2BA563FD">
      <w:pPr>
        <w:pStyle w:val="37"/>
        <w:spacing w:before="0" w:beforeAutospacing="0" w:after="0" w:afterAutospacing="0" w:line="360" w:lineRule="auto"/>
        <w:ind w:firstLine="420"/>
        <w:rPr>
          <w:rFonts w:hint="eastAsia"/>
          <w:sz w:val="21"/>
          <w:szCs w:val="21"/>
        </w:rPr>
      </w:pPr>
      <w:r>
        <w:rPr>
          <w:rFonts w:hint="eastAsia"/>
          <w:sz w:val="21"/>
          <w:szCs w:val="21"/>
        </w:rPr>
        <w:t>3、本基金基金经理</w:t>
      </w:r>
    </w:p>
    <w:p w14:paraId="1B37BBC0">
      <w:pPr>
        <w:pStyle w:val="37"/>
        <w:spacing w:before="0" w:beforeAutospacing="0" w:after="0" w:afterAutospacing="0" w:line="360" w:lineRule="auto"/>
        <w:ind w:firstLine="420"/>
        <w:rPr>
          <w:rFonts w:hint="eastAsia"/>
          <w:sz w:val="21"/>
          <w:szCs w:val="21"/>
        </w:rPr>
      </w:pPr>
      <w:bookmarkStart w:id="21" w:name="chapter_level1_5_53_section_3"/>
      <w:bookmarkEnd w:id="21"/>
      <w:bookmarkStart w:id="22" w:name="field_0_managerpersoninfo2_1_start"/>
      <w:bookmarkEnd w:id="22"/>
      <w:bookmarkStart w:id="23" w:name="field_0_fundmanagerresume_1_start"/>
      <w:bookmarkEnd w:id="23"/>
      <w:r>
        <w:rPr>
          <w:rFonts w:hint="eastAsia"/>
          <w:sz w:val="21"/>
          <w:szCs w:val="21"/>
        </w:rPr>
        <w:t>王祥先生，硕士。2006年起先后在中粮期货、工商银行总行工作。2015年加入博时基金管理有限公司。历任基金经理助理、博时中证疫苗与生物技术交易型开放式指数证券投资基金(2022年11月8日-2024年9月20日)、博时中证农业主题指数型发起式证券投资基金(2022年12月13日-2026年1月22日)、博时中证光伏产业指数证券投资基金(2022年8月16日-2026年3月8日)的基金经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国证粮食产业指数型发起式证券投资基金(2024年4月9日—至今)、博时中证油气资源交易型开放式指数证券投资基金(2024年4月19日—至今)、博时中证油气资源交易型开放式指数证券投资基金发起式联接基金(2024年9月19日—至今)、博时国证大盘价值交易型开放式指数证券投资基金(2025年4月3日—至今)、博时中证A50交易型开放式指数证券投资基金(2025年5月22日—至今)、博时国证大盘价值交易型开放式指数证券投资基金联接基金(2025年7月29日—至今)、博时中证工业有色金属主题交易型开放式指数证券投资基金(2026年2月13日—至今)、博时中证光伏产业交易型开放式指数证券投资基金联接基金(2026年3月9日—至今)、博时国证粮食产业交易型开放式指数证券投资基金(2026年5月20日—至今)的基金经理。</w:t>
      </w:r>
    </w:p>
    <w:p w14:paraId="50D97EFF">
      <w:pPr>
        <w:pStyle w:val="37"/>
        <w:spacing w:before="0" w:beforeAutospacing="0" w:after="0" w:afterAutospacing="0" w:line="360" w:lineRule="auto"/>
        <w:ind w:firstLine="420"/>
        <w:rPr>
          <w:rFonts w:hint="eastAsia"/>
          <w:sz w:val="21"/>
          <w:szCs w:val="21"/>
        </w:rPr>
      </w:pPr>
      <w:r>
        <w:rPr>
          <w:rFonts w:hint="eastAsia"/>
          <w:sz w:val="21"/>
          <w:szCs w:val="21"/>
        </w:rPr>
        <w:t xml:space="preserve">4、投资决策委员会成员 </w:t>
      </w:r>
    </w:p>
    <w:p w14:paraId="36028959">
      <w:pPr>
        <w:pStyle w:val="3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7F31DBFB">
      <w:pPr>
        <w:pStyle w:val="3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25700568">
      <w:pPr>
        <w:pStyle w:val="3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38FB5370">
      <w:pPr>
        <w:pStyle w:val="3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31F22AE3">
      <w:pPr>
        <w:pStyle w:val="3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3023E9F">
      <w:pPr>
        <w:pStyle w:val="3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61B90E61">
      <w:pPr>
        <w:pStyle w:val="3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CDF67C4">
      <w:pPr>
        <w:pStyle w:val="3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6EF9B96A">
      <w:pPr>
        <w:snapToGrid w:val="0"/>
        <w:spacing w:line="360" w:lineRule="auto"/>
        <w:ind w:firstLine="0" w:firstLineChars="0"/>
        <w:rPr>
          <w:rFonts w:hint="eastAsia" w:ascii="宋体" w:hAnsi="宋体" w:cs="Arial"/>
          <w:bCs/>
          <w:szCs w:val="21"/>
        </w:rPr>
      </w:pPr>
      <w:r>
        <w:rPr>
          <w:rFonts w:hint="eastAsia"/>
          <w:sz w:val="21"/>
          <w:szCs w:val="21"/>
        </w:rPr>
        <w:t>5、上述人员之间均不存在近亲属关系。  </w:t>
      </w:r>
    </w:p>
    <w:p w14:paraId="5C2E67F7">
      <w:pPr>
        <w:snapToGrid w:val="0"/>
        <w:spacing w:line="360" w:lineRule="auto"/>
        <w:rPr>
          <w:rFonts w:hint="eastAsia" w:ascii="宋体" w:hAnsi="宋体" w:cs="Arial"/>
          <w:b/>
          <w:bCs/>
          <w:szCs w:val="21"/>
        </w:rPr>
      </w:pPr>
      <w:r>
        <w:rPr>
          <w:rFonts w:ascii="宋体" w:hAnsi="宋体" w:cs="Arial"/>
          <w:bCs/>
          <w:szCs w:val="21"/>
        </w:rPr>
        <w:t xml:space="preserve"> </w:t>
      </w:r>
      <w:r>
        <w:rPr>
          <w:rFonts w:hint="eastAsia" w:ascii="宋体" w:hAnsi="宋体" w:cs="Arial"/>
          <w:b/>
          <w:bCs/>
          <w:szCs w:val="21"/>
        </w:rPr>
        <w:t>三</w:t>
      </w:r>
      <w:r>
        <w:rPr>
          <w:rFonts w:ascii="宋体" w:hAnsi="宋体" w:cs="Arial"/>
          <w:b/>
          <w:bCs/>
          <w:szCs w:val="21"/>
        </w:rPr>
        <w:t>、基金管理人的职责</w:t>
      </w:r>
    </w:p>
    <w:p w14:paraId="2858BFA7">
      <w:pPr>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依法募集</w:t>
      </w:r>
      <w:r>
        <w:rPr>
          <w:rFonts w:hint="eastAsia" w:ascii="宋体" w:hAnsi="宋体" w:cs="Arial"/>
          <w:bCs/>
          <w:szCs w:val="21"/>
        </w:rPr>
        <w:t>资</w:t>
      </w:r>
      <w:r>
        <w:rPr>
          <w:rFonts w:ascii="宋体" w:hAnsi="宋体" w:cs="Arial"/>
          <w:bCs/>
          <w:szCs w:val="21"/>
        </w:rPr>
        <w:t>金，办理或者委托经中国证监会认定的其他机构代为办理基金份额的</w:t>
      </w:r>
      <w:r>
        <w:rPr>
          <w:rFonts w:hint="eastAsia" w:ascii="宋体" w:hAnsi="宋体" w:cs="Arial"/>
          <w:bCs/>
          <w:szCs w:val="21"/>
        </w:rPr>
        <w:t>发售、</w:t>
      </w:r>
      <w:r>
        <w:rPr>
          <w:rFonts w:ascii="宋体" w:hAnsi="宋体" w:cs="Arial"/>
          <w:bCs/>
          <w:szCs w:val="21"/>
        </w:rPr>
        <w:t>申购、赎回和登记事宜；</w:t>
      </w:r>
    </w:p>
    <w:p w14:paraId="67D64DD2">
      <w:pPr>
        <w:snapToGrid w:val="0"/>
        <w:spacing w:line="360" w:lineRule="auto"/>
        <w:ind w:firstLine="420" w:firstLineChars="200"/>
        <w:rPr>
          <w:rFonts w:hint="eastAsia" w:ascii="宋体" w:hAnsi="宋体" w:cs="Arial"/>
          <w:bCs/>
          <w:szCs w:val="21"/>
        </w:rPr>
      </w:pPr>
      <w:r>
        <w:rPr>
          <w:rFonts w:hint="eastAsia" w:ascii="宋体" w:hAnsi="宋体" w:cs="Arial"/>
          <w:bCs/>
          <w:szCs w:val="21"/>
        </w:rPr>
        <w:t>2、</w:t>
      </w:r>
      <w:r>
        <w:rPr>
          <w:rFonts w:ascii="宋体" w:hAnsi="宋体" w:cs="Arial"/>
          <w:bCs/>
          <w:szCs w:val="21"/>
        </w:rPr>
        <w:t>办理基金备案手续；</w:t>
      </w:r>
    </w:p>
    <w:p w14:paraId="377CB826">
      <w:pPr>
        <w:snapToGrid w:val="0"/>
        <w:spacing w:line="360" w:lineRule="auto"/>
        <w:ind w:firstLine="420" w:firstLineChars="200"/>
        <w:rPr>
          <w:rFonts w:hint="eastAsia" w:ascii="宋体" w:hAnsi="宋体" w:cs="Arial"/>
          <w:bCs/>
          <w:szCs w:val="21"/>
        </w:rPr>
      </w:pPr>
      <w:r>
        <w:rPr>
          <w:rFonts w:hint="eastAsia" w:ascii="宋体" w:hAnsi="宋体" w:cs="Arial"/>
          <w:bCs/>
          <w:szCs w:val="21"/>
        </w:rPr>
        <w:t>3、</w:t>
      </w:r>
      <w:r>
        <w:rPr>
          <w:rFonts w:ascii="宋体" w:hAnsi="宋体" w:cs="Arial"/>
          <w:bCs/>
          <w:szCs w:val="21"/>
        </w:rPr>
        <w:t>自《基金合同》生效之日起</w:t>
      </w:r>
      <w:r>
        <w:rPr>
          <w:rFonts w:hint="eastAsia" w:ascii="宋体" w:hAnsi="宋体" w:cs="Arial"/>
          <w:bCs/>
          <w:szCs w:val="21"/>
        </w:rPr>
        <w:t>，</w:t>
      </w:r>
      <w:r>
        <w:rPr>
          <w:rFonts w:ascii="宋体" w:hAnsi="宋体" w:cs="Arial"/>
          <w:bCs/>
          <w:szCs w:val="21"/>
        </w:rPr>
        <w:t>以诚实信用、谨慎勤勉的原则管理和运用基金财产；</w:t>
      </w:r>
    </w:p>
    <w:p w14:paraId="06764E4E">
      <w:pPr>
        <w:snapToGrid w:val="0"/>
        <w:spacing w:line="360" w:lineRule="auto"/>
        <w:ind w:firstLine="420" w:firstLineChars="200"/>
        <w:rPr>
          <w:rFonts w:hint="eastAsia" w:ascii="宋体" w:hAnsi="宋体" w:cs="Arial"/>
          <w:bCs/>
          <w:szCs w:val="21"/>
        </w:rPr>
      </w:pPr>
      <w:r>
        <w:rPr>
          <w:rFonts w:hint="eastAsia" w:ascii="宋体" w:hAnsi="宋体" w:cs="Arial"/>
          <w:bCs/>
          <w:szCs w:val="21"/>
        </w:rPr>
        <w:t>4、</w:t>
      </w:r>
      <w:r>
        <w:rPr>
          <w:rFonts w:ascii="宋体" w:hAnsi="宋体" w:cs="Arial"/>
          <w:bCs/>
          <w:szCs w:val="21"/>
        </w:rPr>
        <w:t>配备足够的具有专业资格的人员进行基金投资分析、决策，以专业化的经营方式管理和运作基金财产；</w:t>
      </w:r>
    </w:p>
    <w:p w14:paraId="5C1150B8">
      <w:pPr>
        <w:snapToGrid w:val="0"/>
        <w:spacing w:line="360" w:lineRule="auto"/>
        <w:ind w:firstLine="420" w:firstLineChars="200"/>
        <w:rPr>
          <w:rFonts w:hint="eastAsia" w:ascii="宋体" w:hAnsi="宋体" w:cs="Arial"/>
          <w:bCs/>
          <w:szCs w:val="21"/>
        </w:rPr>
      </w:pPr>
      <w:r>
        <w:rPr>
          <w:rFonts w:hint="eastAsia" w:ascii="宋体" w:hAnsi="宋体" w:cs="Arial"/>
          <w:bCs/>
          <w:szCs w:val="21"/>
        </w:rPr>
        <w:t>5、</w:t>
      </w:r>
      <w:r>
        <w:rPr>
          <w:rFonts w:ascii="宋体" w:hAnsi="宋体" w:cs="Arial"/>
          <w:bCs/>
          <w:szCs w:val="21"/>
        </w:rPr>
        <w:t>建立健全内部风险控制、监察与稽核、财务管理及人事管理等制度，保证所管理的基金财产和基金管理人的财产相互独立</w:t>
      </w:r>
      <w:r>
        <w:rPr>
          <w:rFonts w:hint="eastAsia" w:ascii="宋体" w:hAnsi="宋体" w:cs="Arial"/>
          <w:bCs/>
          <w:szCs w:val="21"/>
        </w:rPr>
        <w:t>，</w:t>
      </w:r>
      <w:r>
        <w:rPr>
          <w:rFonts w:ascii="宋体" w:hAnsi="宋体" w:cs="Arial"/>
          <w:bCs/>
          <w:szCs w:val="21"/>
        </w:rPr>
        <w:t>对所管理的不同基金分别管理，分别记账，进行证券投资；</w:t>
      </w:r>
    </w:p>
    <w:p w14:paraId="69084C77">
      <w:pPr>
        <w:snapToGrid w:val="0"/>
        <w:spacing w:line="360" w:lineRule="auto"/>
        <w:ind w:firstLine="420" w:firstLineChars="200"/>
        <w:rPr>
          <w:rFonts w:hint="eastAsia" w:ascii="宋体" w:hAnsi="宋体" w:cs="Arial"/>
          <w:bCs/>
          <w:szCs w:val="21"/>
        </w:rPr>
      </w:pPr>
      <w:r>
        <w:rPr>
          <w:rFonts w:hint="eastAsia" w:ascii="宋体" w:hAnsi="宋体" w:cs="Arial"/>
          <w:bCs/>
          <w:szCs w:val="21"/>
        </w:rPr>
        <w:t>6、</w:t>
      </w:r>
      <w:r>
        <w:rPr>
          <w:rFonts w:ascii="宋体" w:hAnsi="宋体" w:cs="Arial"/>
          <w:bCs/>
          <w:szCs w:val="21"/>
        </w:rPr>
        <w:t>除依据《基金法》、《基金合同》及其他有关规定外</w:t>
      </w:r>
      <w:r>
        <w:rPr>
          <w:rFonts w:hint="eastAsia" w:ascii="宋体" w:hAnsi="宋体" w:cs="Arial"/>
          <w:bCs/>
          <w:szCs w:val="21"/>
        </w:rPr>
        <w:t>，</w:t>
      </w:r>
      <w:r>
        <w:rPr>
          <w:rFonts w:ascii="宋体" w:hAnsi="宋体" w:cs="Arial"/>
          <w:bCs/>
          <w:szCs w:val="21"/>
        </w:rPr>
        <w:t>不得利用基金财产为自己及任何第三人谋取利益，不得委托第三人运作基金财产；</w:t>
      </w:r>
      <w:bookmarkStart w:id="24" w:name="_Hlt88897298"/>
      <w:bookmarkEnd w:id="24"/>
    </w:p>
    <w:p w14:paraId="2A49F8FC">
      <w:pPr>
        <w:snapToGrid w:val="0"/>
        <w:spacing w:line="360" w:lineRule="auto"/>
        <w:ind w:firstLine="420" w:firstLineChars="200"/>
        <w:rPr>
          <w:rFonts w:hint="eastAsia" w:ascii="宋体" w:hAnsi="宋体" w:cs="Arial"/>
          <w:bCs/>
          <w:szCs w:val="21"/>
        </w:rPr>
      </w:pPr>
      <w:r>
        <w:rPr>
          <w:rFonts w:hint="eastAsia" w:ascii="宋体" w:hAnsi="宋体" w:cs="Arial"/>
          <w:bCs/>
          <w:szCs w:val="21"/>
        </w:rPr>
        <w:t>7、</w:t>
      </w:r>
      <w:r>
        <w:rPr>
          <w:rFonts w:ascii="宋体" w:hAnsi="宋体" w:cs="Arial"/>
          <w:bCs/>
          <w:szCs w:val="21"/>
        </w:rPr>
        <w:t>依法接受基金托管人的监督；</w:t>
      </w:r>
    </w:p>
    <w:p w14:paraId="3B34A38E">
      <w:pPr>
        <w:snapToGrid w:val="0"/>
        <w:spacing w:line="360" w:lineRule="auto"/>
        <w:ind w:firstLine="420" w:firstLineChars="200"/>
        <w:rPr>
          <w:rFonts w:hint="eastAsia" w:ascii="宋体" w:hAnsi="宋体" w:cs="Arial"/>
          <w:bCs/>
          <w:szCs w:val="21"/>
        </w:rPr>
      </w:pPr>
      <w:r>
        <w:rPr>
          <w:rFonts w:hint="eastAsia" w:ascii="宋体" w:hAnsi="宋体" w:cs="Arial"/>
          <w:bCs/>
          <w:szCs w:val="21"/>
        </w:rPr>
        <w:t>8、</w:t>
      </w:r>
      <w:r>
        <w:rPr>
          <w:rFonts w:ascii="宋体" w:hAnsi="宋体" w:cs="Arial"/>
          <w:bCs/>
          <w:szCs w:val="21"/>
        </w:rPr>
        <w:t>采取适当合理的措施使计算基金份额</w:t>
      </w:r>
      <w:r>
        <w:rPr>
          <w:rFonts w:hint="eastAsia" w:ascii="宋体" w:hAnsi="宋体" w:cs="Arial"/>
          <w:bCs/>
          <w:szCs w:val="21"/>
        </w:rPr>
        <w:t>认购价格、申购对价、赎回对价</w:t>
      </w:r>
      <w:r>
        <w:rPr>
          <w:rFonts w:ascii="宋体" w:hAnsi="宋体" w:cs="Arial"/>
          <w:bCs/>
          <w:szCs w:val="21"/>
        </w:rPr>
        <w:t>的方法符合《基金合同》等法律文件的规定，按有关规定计算并公告基金净值</w:t>
      </w:r>
      <w:r>
        <w:rPr>
          <w:rFonts w:hint="eastAsia" w:ascii="宋体" w:hAnsi="宋体" w:cs="Arial"/>
          <w:bCs/>
          <w:szCs w:val="21"/>
        </w:rPr>
        <w:t>信息</w:t>
      </w:r>
      <w:r>
        <w:rPr>
          <w:rFonts w:ascii="宋体" w:hAnsi="宋体" w:cs="Arial"/>
          <w:bCs/>
          <w:szCs w:val="21"/>
        </w:rPr>
        <w:t>，确定基金份额申购、赎回</w:t>
      </w:r>
      <w:r>
        <w:rPr>
          <w:rFonts w:hint="eastAsia" w:ascii="宋体" w:hAnsi="宋体" w:cs="Arial"/>
          <w:bCs/>
          <w:szCs w:val="21"/>
        </w:rPr>
        <w:t>对价，编制申购赎回清单</w:t>
      </w:r>
      <w:r>
        <w:rPr>
          <w:rFonts w:ascii="宋体" w:hAnsi="宋体" w:cs="Arial"/>
          <w:bCs/>
          <w:szCs w:val="21"/>
        </w:rPr>
        <w:t>；</w:t>
      </w:r>
    </w:p>
    <w:p w14:paraId="00DD4D5E">
      <w:pPr>
        <w:snapToGrid w:val="0"/>
        <w:spacing w:line="360" w:lineRule="auto"/>
        <w:ind w:firstLine="420" w:firstLineChars="200"/>
        <w:rPr>
          <w:rFonts w:hint="eastAsia" w:ascii="宋体" w:hAnsi="宋体" w:cs="Arial"/>
          <w:bCs/>
          <w:szCs w:val="21"/>
        </w:rPr>
      </w:pPr>
      <w:r>
        <w:rPr>
          <w:rFonts w:hint="eastAsia" w:ascii="宋体" w:hAnsi="宋体" w:cs="Arial"/>
          <w:bCs/>
          <w:szCs w:val="21"/>
        </w:rPr>
        <w:t>9、</w:t>
      </w:r>
      <w:r>
        <w:rPr>
          <w:rFonts w:ascii="宋体" w:hAnsi="宋体" w:cs="Arial"/>
          <w:bCs/>
          <w:szCs w:val="21"/>
        </w:rPr>
        <w:t>进行基金会计核算并编制基金财务会计报告；</w:t>
      </w:r>
    </w:p>
    <w:p w14:paraId="2289AB48">
      <w:pPr>
        <w:snapToGrid w:val="0"/>
        <w:spacing w:line="360" w:lineRule="auto"/>
        <w:ind w:firstLine="420" w:firstLineChars="200"/>
        <w:rPr>
          <w:rFonts w:hint="eastAsia" w:ascii="宋体" w:hAnsi="宋体" w:cs="Arial"/>
          <w:bCs/>
          <w:szCs w:val="21"/>
        </w:rPr>
      </w:pPr>
      <w:r>
        <w:rPr>
          <w:rFonts w:hint="eastAsia" w:ascii="宋体" w:hAnsi="宋体" w:cs="Arial"/>
          <w:bCs/>
          <w:szCs w:val="21"/>
        </w:rPr>
        <w:t>10、</w:t>
      </w:r>
      <w:r>
        <w:rPr>
          <w:rFonts w:ascii="宋体" w:hAnsi="宋体" w:cs="Arial"/>
          <w:bCs/>
          <w:szCs w:val="21"/>
        </w:rPr>
        <w:t>编制季度</w:t>
      </w:r>
      <w:r>
        <w:rPr>
          <w:rFonts w:hint="eastAsia" w:ascii="宋体" w:hAnsi="宋体" w:cs="Arial"/>
          <w:bCs/>
          <w:szCs w:val="21"/>
        </w:rPr>
        <w:t>报告</w:t>
      </w:r>
      <w:r>
        <w:rPr>
          <w:rFonts w:ascii="宋体" w:hAnsi="宋体" w:cs="Arial"/>
          <w:bCs/>
          <w:szCs w:val="21"/>
        </w:rPr>
        <w:t>、</w:t>
      </w:r>
      <w:r>
        <w:rPr>
          <w:rFonts w:hint="eastAsia" w:ascii="宋体" w:hAnsi="宋体" w:cs="Arial"/>
          <w:bCs/>
          <w:szCs w:val="21"/>
        </w:rPr>
        <w:t>中期报告</w:t>
      </w:r>
      <w:r>
        <w:rPr>
          <w:rFonts w:ascii="宋体" w:hAnsi="宋体" w:cs="Arial"/>
          <w:bCs/>
          <w:szCs w:val="21"/>
        </w:rPr>
        <w:t>和年度报告；</w:t>
      </w:r>
    </w:p>
    <w:p w14:paraId="7C052AA6">
      <w:pPr>
        <w:snapToGrid w:val="0"/>
        <w:spacing w:line="360" w:lineRule="auto"/>
        <w:ind w:firstLine="420" w:firstLineChars="200"/>
        <w:rPr>
          <w:rFonts w:hint="eastAsia" w:ascii="宋体" w:hAnsi="宋体" w:cs="Arial"/>
          <w:bCs/>
          <w:szCs w:val="21"/>
        </w:rPr>
      </w:pPr>
      <w:r>
        <w:rPr>
          <w:rFonts w:hint="eastAsia" w:ascii="宋体" w:hAnsi="宋体" w:cs="Arial"/>
          <w:bCs/>
          <w:szCs w:val="21"/>
        </w:rPr>
        <w:t>11、</w:t>
      </w:r>
      <w:r>
        <w:rPr>
          <w:rFonts w:ascii="宋体" w:hAnsi="宋体" w:cs="Arial"/>
          <w:bCs/>
          <w:szCs w:val="21"/>
        </w:rPr>
        <w:t>严格按照《基金法》、《基金合同》及其他有关规定，履行信息披露及报告义务；</w:t>
      </w:r>
    </w:p>
    <w:p w14:paraId="6CFEFA74">
      <w:pPr>
        <w:snapToGrid w:val="0"/>
        <w:spacing w:line="360" w:lineRule="auto"/>
        <w:ind w:firstLine="420" w:firstLineChars="200"/>
        <w:rPr>
          <w:rFonts w:hint="eastAsia" w:ascii="宋体" w:hAnsi="宋体" w:cs="Arial"/>
          <w:bCs/>
          <w:szCs w:val="21"/>
        </w:rPr>
      </w:pPr>
      <w:r>
        <w:rPr>
          <w:rFonts w:hint="eastAsia" w:ascii="宋体" w:hAnsi="宋体" w:cs="Arial"/>
          <w:bCs/>
          <w:szCs w:val="21"/>
        </w:rPr>
        <w:t>12、</w:t>
      </w:r>
      <w:r>
        <w:rPr>
          <w:rFonts w:ascii="宋体" w:hAnsi="宋体" w:cs="Arial"/>
          <w:bCs/>
          <w:szCs w:val="21"/>
        </w:rPr>
        <w:t>保守基金商业秘密，不泄露基金投资计划、投资意向等。除《基金法》、《基金合同》及其他有关规定另有规定外，在基金信息公开披露前应予保密，不向他人泄露</w:t>
      </w:r>
      <w:r>
        <w:rPr>
          <w:rFonts w:hint="eastAsia" w:ascii="宋体" w:hAnsi="宋体" w:cs="Arial"/>
          <w:bCs/>
          <w:szCs w:val="21"/>
        </w:rPr>
        <w:t>，但因监管机构、司法机关等有权机关要求，或因审计、法律等外部专业顾问提供服务需要提供的情况除外</w:t>
      </w:r>
      <w:r>
        <w:rPr>
          <w:rFonts w:ascii="宋体" w:hAnsi="宋体" w:cs="Arial"/>
          <w:bCs/>
          <w:szCs w:val="21"/>
        </w:rPr>
        <w:t>；</w:t>
      </w:r>
    </w:p>
    <w:p w14:paraId="5E9766AA">
      <w:pPr>
        <w:snapToGrid w:val="0"/>
        <w:spacing w:line="360" w:lineRule="auto"/>
        <w:ind w:firstLine="420" w:firstLineChars="200"/>
        <w:rPr>
          <w:rFonts w:hint="eastAsia" w:ascii="宋体" w:hAnsi="宋体" w:cs="Arial"/>
          <w:bCs/>
          <w:szCs w:val="21"/>
        </w:rPr>
      </w:pPr>
      <w:r>
        <w:rPr>
          <w:rFonts w:ascii="宋体" w:hAnsi="宋体" w:cs="Arial"/>
          <w:bCs/>
          <w:szCs w:val="21"/>
        </w:rPr>
        <w:t>13</w:t>
      </w:r>
      <w:r>
        <w:rPr>
          <w:rFonts w:hint="eastAsia" w:ascii="宋体" w:hAnsi="宋体" w:cs="Arial"/>
          <w:bCs/>
          <w:szCs w:val="21"/>
        </w:rPr>
        <w:t>、</w:t>
      </w:r>
      <w:r>
        <w:rPr>
          <w:rFonts w:ascii="宋体" w:hAnsi="宋体" w:cs="Arial"/>
          <w:bCs/>
          <w:szCs w:val="21"/>
        </w:rPr>
        <w:t>按《基金合同》的约定确定基金收益分配方案，及时向基金份额持有人分配基金收益；</w:t>
      </w:r>
    </w:p>
    <w:p w14:paraId="7FA3FB3B">
      <w:pPr>
        <w:snapToGrid w:val="0"/>
        <w:spacing w:line="360" w:lineRule="auto"/>
        <w:ind w:firstLine="420" w:firstLineChars="200"/>
        <w:rPr>
          <w:rFonts w:hint="eastAsia" w:ascii="宋体" w:hAnsi="宋体" w:cs="Arial"/>
          <w:bCs/>
          <w:szCs w:val="21"/>
        </w:rPr>
      </w:pPr>
      <w:r>
        <w:rPr>
          <w:rFonts w:ascii="宋体" w:hAnsi="宋体" w:cs="Arial"/>
          <w:bCs/>
          <w:szCs w:val="21"/>
        </w:rPr>
        <w:t>14</w:t>
      </w:r>
      <w:r>
        <w:rPr>
          <w:rFonts w:hint="eastAsia" w:ascii="宋体" w:hAnsi="宋体" w:cs="Arial"/>
          <w:bCs/>
          <w:szCs w:val="21"/>
        </w:rPr>
        <w:t>、</w:t>
      </w:r>
      <w:r>
        <w:rPr>
          <w:rFonts w:ascii="宋体" w:hAnsi="宋体" w:cs="Arial"/>
          <w:bCs/>
          <w:szCs w:val="21"/>
        </w:rPr>
        <w:t>按规定受理申购与赎回申请，及时、足额支付赎回</w:t>
      </w:r>
      <w:r>
        <w:rPr>
          <w:rFonts w:hint="eastAsia" w:ascii="宋体" w:hAnsi="宋体" w:cs="Arial"/>
          <w:bCs/>
          <w:szCs w:val="21"/>
        </w:rPr>
        <w:t>对价</w:t>
      </w:r>
      <w:r>
        <w:rPr>
          <w:rFonts w:ascii="宋体" w:hAnsi="宋体" w:cs="Arial"/>
          <w:bCs/>
          <w:szCs w:val="21"/>
        </w:rPr>
        <w:t>；</w:t>
      </w:r>
    </w:p>
    <w:p w14:paraId="471F55AA">
      <w:pPr>
        <w:snapToGrid w:val="0"/>
        <w:spacing w:line="360" w:lineRule="auto"/>
        <w:ind w:firstLine="420" w:firstLineChars="200"/>
        <w:rPr>
          <w:rFonts w:hint="eastAsia" w:ascii="宋体" w:hAnsi="宋体" w:cs="Arial"/>
          <w:bCs/>
          <w:szCs w:val="21"/>
        </w:rPr>
      </w:pPr>
      <w:r>
        <w:rPr>
          <w:rFonts w:ascii="宋体" w:hAnsi="宋体" w:cs="Arial"/>
          <w:bCs/>
          <w:szCs w:val="21"/>
        </w:rPr>
        <w:t>15</w:t>
      </w:r>
      <w:r>
        <w:rPr>
          <w:rFonts w:hint="eastAsia" w:ascii="宋体" w:hAnsi="宋体" w:cs="Arial"/>
          <w:bCs/>
          <w:szCs w:val="21"/>
        </w:rPr>
        <w:t>、</w:t>
      </w:r>
      <w:r>
        <w:rPr>
          <w:rFonts w:ascii="宋体" w:hAnsi="宋体" w:cs="Arial"/>
          <w:bCs/>
          <w:szCs w:val="21"/>
        </w:rPr>
        <w:t>依据《基金法》、《基金合同》及其他有关规定召集基金份额持有人大会或配合基金托管人、基金份额持有人依法召集基金份额持有人大会；</w:t>
      </w:r>
    </w:p>
    <w:p w14:paraId="3E4BDDA0">
      <w:pPr>
        <w:snapToGrid w:val="0"/>
        <w:spacing w:line="360" w:lineRule="auto"/>
        <w:ind w:firstLine="420" w:firstLineChars="200"/>
        <w:rPr>
          <w:rFonts w:hint="eastAsia" w:ascii="宋体" w:hAnsi="宋体" w:cs="Arial"/>
          <w:bCs/>
          <w:szCs w:val="21"/>
        </w:rPr>
      </w:pPr>
      <w:r>
        <w:rPr>
          <w:rFonts w:ascii="宋体" w:hAnsi="宋体" w:cs="Arial"/>
          <w:bCs/>
          <w:szCs w:val="21"/>
        </w:rPr>
        <w:t>16</w:t>
      </w:r>
      <w:r>
        <w:rPr>
          <w:rFonts w:hint="eastAsia" w:ascii="宋体" w:hAnsi="宋体" w:cs="Arial"/>
          <w:bCs/>
          <w:szCs w:val="21"/>
        </w:rPr>
        <w:t>、</w:t>
      </w:r>
      <w:r>
        <w:rPr>
          <w:rFonts w:ascii="宋体" w:hAnsi="宋体" w:cs="Arial"/>
          <w:bCs/>
          <w:szCs w:val="21"/>
        </w:rPr>
        <w:t>按规定保存基金财产管理业务活动的会计账册、报表、记录和其他相关资料</w:t>
      </w:r>
      <w:r>
        <w:rPr>
          <w:rFonts w:hint="eastAsia" w:ascii="宋体" w:hAnsi="宋体" w:cs="Arial"/>
          <w:bCs/>
          <w:szCs w:val="21"/>
        </w:rPr>
        <w:t>，保存期限不低于法定最低期限</w:t>
      </w:r>
      <w:r>
        <w:rPr>
          <w:rFonts w:ascii="宋体" w:hAnsi="宋体" w:cs="Arial"/>
          <w:bCs/>
          <w:szCs w:val="21"/>
        </w:rPr>
        <w:t>；</w:t>
      </w:r>
    </w:p>
    <w:p w14:paraId="6595D1A5">
      <w:pPr>
        <w:snapToGrid w:val="0"/>
        <w:spacing w:line="360" w:lineRule="auto"/>
        <w:ind w:firstLine="420" w:firstLineChars="200"/>
        <w:rPr>
          <w:rFonts w:hint="eastAsia" w:ascii="宋体" w:hAnsi="宋体" w:cs="Arial"/>
          <w:bCs/>
          <w:szCs w:val="21"/>
        </w:rPr>
      </w:pPr>
      <w:r>
        <w:rPr>
          <w:rFonts w:ascii="宋体" w:hAnsi="宋体" w:cs="Arial"/>
          <w:bCs/>
          <w:szCs w:val="21"/>
        </w:rPr>
        <w:t>17</w:t>
      </w:r>
      <w:r>
        <w:rPr>
          <w:rFonts w:hint="eastAsia" w:ascii="宋体" w:hAnsi="宋体" w:cs="Arial"/>
          <w:bCs/>
          <w:szCs w:val="21"/>
        </w:rPr>
        <w:t>、</w:t>
      </w:r>
      <w:r>
        <w:rPr>
          <w:rFonts w:ascii="宋体" w:hAnsi="宋体" w:cs="Arial"/>
          <w:bCs/>
          <w:szCs w:val="21"/>
        </w:rPr>
        <w:t>确保需要向基金投资</w:t>
      </w:r>
      <w:r>
        <w:rPr>
          <w:rFonts w:hint="eastAsia" w:ascii="宋体" w:hAnsi="宋体" w:cs="Arial"/>
          <w:bCs/>
          <w:szCs w:val="21"/>
        </w:rPr>
        <w:t>者</w:t>
      </w:r>
      <w:r>
        <w:rPr>
          <w:rFonts w:ascii="宋体" w:hAnsi="宋体" w:cs="Arial"/>
          <w:bCs/>
          <w:szCs w:val="21"/>
        </w:rPr>
        <w:t>提供的各项文件或资料在规定时间发出，并且保证投资</w:t>
      </w:r>
      <w:r>
        <w:rPr>
          <w:rFonts w:hint="eastAsia" w:ascii="宋体" w:hAnsi="宋体" w:cs="Arial"/>
          <w:bCs/>
          <w:szCs w:val="21"/>
        </w:rPr>
        <w:t>者</w:t>
      </w:r>
      <w:r>
        <w:rPr>
          <w:rFonts w:ascii="宋体" w:hAnsi="宋体" w:cs="Arial"/>
          <w:bCs/>
          <w:szCs w:val="21"/>
        </w:rPr>
        <w:t>能够按照《基金合同》规定的时间和方式，随时查阅到与基金有关的公开资料，并在支付合理成本的条件下得到有关资料的复印件；</w:t>
      </w:r>
    </w:p>
    <w:p w14:paraId="7A6D37AE">
      <w:pPr>
        <w:snapToGrid w:val="0"/>
        <w:spacing w:line="360" w:lineRule="auto"/>
        <w:ind w:firstLine="420" w:firstLineChars="200"/>
        <w:rPr>
          <w:rFonts w:hint="eastAsia" w:ascii="宋体" w:hAnsi="宋体" w:cs="Arial"/>
          <w:bCs/>
          <w:szCs w:val="21"/>
        </w:rPr>
      </w:pPr>
      <w:r>
        <w:rPr>
          <w:rFonts w:ascii="宋体" w:hAnsi="宋体" w:cs="Arial"/>
          <w:bCs/>
          <w:szCs w:val="21"/>
        </w:rPr>
        <w:t>18</w:t>
      </w:r>
      <w:r>
        <w:rPr>
          <w:rFonts w:hint="eastAsia" w:ascii="宋体" w:hAnsi="宋体" w:cs="Arial"/>
          <w:bCs/>
          <w:szCs w:val="21"/>
        </w:rPr>
        <w:t>、</w:t>
      </w:r>
      <w:r>
        <w:rPr>
          <w:rFonts w:ascii="宋体" w:hAnsi="宋体" w:cs="Arial"/>
          <w:bCs/>
          <w:szCs w:val="21"/>
        </w:rPr>
        <w:t>组织并参加基金财产清算小组</w:t>
      </w:r>
      <w:r>
        <w:rPr>
          <w:rFonts w:hint="eastAsia" w:ascii="宋体" w:hAnsi="宋体" w:cs="Arial"/>
          <w:bCs/>
          <w:szCs w:val="21"/>
        </w:rPr>
        <w:t>，</w:t>
      </w:r>
      <w:r>
        <w:rPr>
          <w:rFonts w:ascii="宋体" w:hAnsi="宋体" w:cs="Arial"/>
          <w:bCs/>
          <w:szCs w:val="21"/>
        </w:rPr>
        <w:t>参与基金财产的保管、清理、估价、变现和分配；</w:t>
      </w:r>
    </w:p>
    <w:p w14:paraId="204005F8">
      <w:pPr>
        <w:snapToGrid w:val="0"/>
        <w:spacing w:line="360" w:lineRule="auto"/>
        <w:ind w:firstLine="420" w:firstLineChars="200"/>
        <w:rPr>
          <w:rFonts w:hint="eastAsia" w:ascii="宋体" w:hAnsi="宋体" w:cs="Arial"/>
          <w:bCs/>
          <w:szCs w:val="21"/>
        </w:rPr>
      </w:pPr>
      <w:r>
        <w:rPr>
          <w:rFonts w:ascii="宋体" w:hAnsi="宋体" w:cs="Arial"/>
          <w:bCs/>
          <w:szCs w:val="21"/>
        </w:rPr>
        <w:t>19</w:t>
      </w:r>
      <w:r>
        <w:rPr>
          <w:rFonts w:hint="eastAsia" w:ascii="宋体" w:hAnsi="宋体" w:cs="Arial"/>
          <w:bCs/>
          <w:szCs w:val="21"/>
        </w:rPr>
        <w:t>、</w:t>
      </w:r>
      <w:r>
        <w:rPr>
          <w:rFonts w:ascii="宋体" w:hAnsi="宋体" w:cs="Arial"/>
          <w:bCs/>
          <w:szCs w:val="21"/>
        </w:rPr>
        <w:t>面临解散、依法被撤销或者被依法宣告破产时，及时报告中国证监会并通知基金托管人；</w:t>
      </w:r>
    </w:p>
    <w:p w14:paraId="401D5579">
      <w:pPr>
        <w:snapToGrid w:val="0"/>
        <w:spacing w:line="360" w:lineRule="auto"/>
        <w:ind w:firstLine="420" w:firstLineChars="200"/>
        <w:rPr>
          <w:rFonts w:hint="eastAsia" w:ascii="宋体" w:hAnsi="宋体" w:cs="Arial"/>
          <w:bCs/>
          <w:szCs w:val="21"/>
        </w:rPr>
      </w:pPr>
      <w:r>
        <w:rPr>
          <w:rFonts w:ascii="宋体" w:hAnsi="宋体" w:cs="Arial"/>
          <w:bCs/>
          <w:szCs w:val="21"/>
        </w:rPr>
        <w:t>20</w:t>
      </w:r>
      <w:r>
        <w:rPr>
          <w:rFonts w:hint="eastAsia" w:ascii="宋体" w:hAnsi="宋体" w:cs="Arial"/>
          <w:bCs/>
          <w:szCs w:val="21"/>
        </w:rPr>
        <w:t>、</w:t>
      </w:r>
      <w:r>
        <w:rPr>
          <w:rFonts w:ascii="宋体" w:hAnsi="宋体" w:cs="Arial"/>
          <w:bCs/>
          <w:szCs w:val="21"/>
        </w:rPr>
        <w:t>因违反《基金合同》导致基金财产的损失或损害基金份额持有人合法权益时，应当承担赔偿责任，其赔偿责任不因其退任而免除；</w:t>
      </w:r>
    </w:p>
    <w:p w14:paraId="15BFB7E0">
      <w:pPr>
        <w:snapToGrid w:val="0"/>
        <w:spacing w:line="360" w:lineRule="auto"/>
        <w:ind w:firstLine="420" w:firstLineChars="200"/>
        <w:rPr>
          <w:rFonts w:hint="eastAsia" w:ascii="宋体" w:hAnsi="宋体" w:cs="Arial"/>
          <w:bCs/>
          <w:szCs w:val="21"/>
        </w:rPr>
      </w:pPr>
      <w:r>
        <w:rPr>
          <w:rFonts w:ascii="宋体" w:hAnsi="宋体" w:cs="Arial"/>
          <w:bCs/>
          <w:szCs w:val="21"/>
        </w:rPr>
        <w:t>21</w:t>
      </w:r>
      <w:r>
        <w:rPr>
          <w:rFonts w:hint="eastAsia" w:ascii="宋体" w:hAnsi="宋体" w:cs="Arial"/>
          <w:bCs/>
          <w:szCs w:val="21"/>
        </w:rPr>
        <w:t>、</w:t>
      </w:r>
      <w:r>
        <w:rPr>
          <w:rFonts w:ascii="宋体" w:hAnsi="宋体" w:cs="Arial"/>
          <w:bCs/>
          <w:szCs w:val="21"/>
        </w:rPr>
        <w:t>监督基金托管人按法律法规和《基金合同》规定履行自己的义务，基金托管人违反《基金合同》造成基金财产损失时，基金管理人应为基金份额持有人利益向基金托管人追偿；</w:t>
      </w:r>
    </w:p>
    <w:p w14:paraId="2B352B65">
      <w:pPr>
        <w:snapToGrid w:val="0"/>
        <w:spacing w:line="360" w:lineRule="auto"/>
        <w:ind w:firstLine="420" w:firstLineChars="200"/>
        <w:rPr>
          <w:rFonts w:hint="eastAsia" w:ascii="宋体" w:hAnsi="宋体" w:cs="Arial"/>
          <w:bCs/>
          <w:szCs w:val="21"/>
        </w:rPr>
      </w:pPr>
      <w:r>
        <w:rPr>
          <w:rFonts w:ascii="宋体" w:hAnsi="宋体" w:cs="Arial"/>
          <w:bCs/>
          <w:szCs w:val="21"/>
        </w:rPr>
        <w:t>22</w:t>
      </w:r>
      <w:r>
        <w:rPr>
          <w:rFonts w:hint="eastAsia" w:ascii="宋体" w:hAnsi="宋体" w:cs="Arial"/>
          <w:bCs/>
          <w:szCs w:val="21"/>
        </w:rPr>
        <w:t>、</w:t>
      </w:r>
      <w:r>
        <w:rPr>
          <w:rFonts w:ascii="宋体" w:hAnsi="宋体" w:cs="Arial"/>
          <w:bCs/>
          <w:szCs w:val="21"/>
        </w:rPr>
        <w:t>当基金管理人将其义务委托第三方处理时，应当对第三方处理有关基金事务的行为承担责任；</w:t>
      </w:r>
    </w:p>
    <w:p w14:paraId="755D71FE">
      <w:pPr>
        <w:snapToGrid w:val="0"/>
        <w:spacing w:line="360" w:lineRule="auto"/>
        <w:ind w:firstLine="420" w:firstLineChars="200"/>
        <w:rPr>
          <w:rFonts w:hint="eastAsia" w:ascii="宋体" w:hAnsi="宋体" w:cs="Arial"/>
          <w:bCs/>
          <w:szCs w:val="21"/>
        </w:rPr>
      </w:pPr>
      <w:r>
        <w:rPr>
          <w:rFonts w:ascii="宋体" w:hAnsi="宋体" w:cs="Arial"/>
          <w:bCs/>
          <w:szCs w:val="21"/>
        </w:rPr>
        <w:t>23</w:t>
      </w:r>
      <w:r>
        <w:rPr>
          <w:rFonts w:hint="eastAsia" w:ascii="宋体" w:hAnsi="宋体" w:cs="Arial"/>
          <w:bCs/>
          <w:szCs w:val="21"/>
        </w:rPr>
        <w:t>、</w:t>
      </w:r>
      <w:r>
        <w:rPr>
          <w:rFonts w:ascii="宋体" w:hAnsi="宋体" w:cs="Arial"/>
          <w:bCs/>
          <w:szCs w:val="21"/>
        </w:rPr>
        <w:t>以基金管理人名义，代表基金份额持有人利益行使诉讼权利或实施其他法律行为；</w:t>
      </w:r>
    </w:p>
    <w:p w14:paraId="29B61FFB">
      <w:pPr>
        <w:snapToGrid w:val="0"/>
        <w:spacing w:line="360" w:lineRule="auto"/>
        <w:ind w:firstLine="420" w:firstLineChars="200"/>
        <w:rPr>
          <w:rFonts w:hint="eastAsia" w:ascii="宋体" w:hAnsi="宋体" w:cs="Arial"/>
          <w:bCs/>
          <w:szCs w:val="21"/>
        </w:rPr>
      </w:pPr>
      <w:r>
        <w:rPr>
          <w:rFonts w:hint="eastAsia" w:ascii="宋体" w:hAnsi="宋体" w:cs="Arial"/>
          <w:bCs/>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3D3F79A2">
      <w:pPr>
        <w:snapToGrid w:val="0"/>
        <w:spacing w:line="360" w:lineRule="auto"/>
        <w:ind w:firstLine="420" w:firstLineChars="200"/>
        <w:rPr>
          <w:rFonts w:hint="eastAsia" w:ascii="宋体" w:hAnsi="宋体" w:cs="Arial"/>
          <w:bCs/>
          <w:szCs w:val="21"/>
        </w:rPr>
      </w:pPr>
      <w:r>
        <w:rPr>
          <w:rFonts w:ascii="宋体" w:hAnsi="宋体" w:cs="Arial"/>
          <w:bCs/>
          <w:szCs w:val="21"/>
        </w:rPr>
        <w:t>25</w:t>
      </w:r>
      <w:r>
        <w:rPr>
          <w:rFonts w:hint="eastAsia" w:ascii="宋体" w:hAnsi="宋体" w:cs="Arial"/>
          <w:bCs/>
          <w:szCs w:val="21"/>
        </w:rPr>
        <w:t>、</w:t>
      </w:r>
      <w:r>
        <w:rPr>
          <w:rFonts w:ascii="宋体" w:hAnsi="宋体" w:cs="Arial"/>
          <w:bCs/>
          <w:szCs w:val="21"/>
        </w:rPr>
        <w:t>执行生效的基金份额持有人大会的</w:t>
      </w:r>
      <w:r>
        <w:rPr>
          <w:rFonts w:hint="eastAsia" w:ascii="宋体" w:hAnsi="宋体" w:cs="Arial"/>
          <w:bCs/>
          <w:szCs w:val="21"/>
        </w:rPr>
        <w:t>决议</w:t>
      </w:r>
      <w:r>
        <w:rPr>
          <w:rFonts w:ascii="宋体" w:hAnsi="宋体" w:cs="Arial"/>
          <w:bCs/>
          <w:szCs w:val="21"/>
        </w:rPr>
        <w:t>；</w:t>
      </w:r>
    </w:p>
    <w:p w14:paraId="4AFBB95B">
      <w:pPr>
        <w:snapToGrid w:val="0"/>
        <w:spacing w:line="360" w:lineRule="auto"/>
        <w:ind w:firstLine="420" w:firstLineChars="200"/>
        <w:rPr>
          <w:rFonts w:hint="eastAsia" w:ascii="宋体" w:hAnsi="宋体" w:cs="Arial"/>
          <w:bCs/>
          <w:szCs w:val="21"/>
        </w:rPr>
      </w:pPr>
      <w:r>
        <w:rPr>
          <w:rFonts w:ascii="宋体" w:hAnsi="宋体" w:cs="Arial"/>
          <w:bCs/>
          <w:szCs w:val="21"/>
        </w:rPr>
        <w:t>26</w:t>
      </w:r>
      <w:r>
        <w:rPr>
          <w:rFonts w:hint="eastAsia" w:ascii="宋体" w:hAnsi="宋体" w:cs="Arial"/>
          <w:bCs/>
          <w:szCs w:val="21"/>
        </w:rPr>
        <w:t>、</w:t>
      </w:r>
      <w:r>
        <w:rPr>
          <w:rFonts w:ascii="宋体" w:hAnsi="宋体" w:cs="Arial"/>
          <w:bCs/>
          <w:szCs w:val="21"/>
        </w:rPr>
        <w:t>建立并保存基金份额持有人名册；</w:t>
      </w:r>
    </w:p>
    <w:p w14:paraId="3DE8C4EA">
      <w:pPr>
        <w:snapToGrid w:val="0"/>
        <w:spacing w:line="360" w:lineRule="auto"/>
        <w:ind w:firstLine="420" w:firstLineChars="200"/>
        <w:rPr>
          <w:rFonts w:hint="eastAsia" w:ascii="宋体" w:hAnsi="宋体" w:cs="Arial"/>
          <w:kern w:val="0"/>
          <w:szCs w:val="21"/>
        </w:rPr>
      </w:pPr>
      <w:r>
        <w:rPr>
          <w:rFonts w:ascii="宋体" w:hAnsi="宋体" w:cs="Arial"/>
          <w:bCs/>
          <w:szCs w:val="21"/>
        </w:rPr>
        <w:t>27</w:t>
      </w:r>
      <w:r>
        <w:rPr>
          <w:rFonts w:hint="eastAsia" w:ascii="宋体" w:hAnsi="宋体" w:cs="Arial"/>
          <w:bCs/>
          <w:szCs w:val="21"/>
        </w:rPr>
        <w:t>、</w:t>
      </w:r>
      <w:r>
        <w:rPr>
          <w:rFonts w:ascii="宋体" w:hAnsi="宋体" w:cs="Arial"/>
          <w:bCs/>
          <w:szCs w:val="21"/>
        </w:rPr>
        <w:t>法律法规及中国证监会规定的和《基金合同》约定的其他义务。</w:t>
      </w:r>
    </w:p>
    <w:p w14:paraId="3D7E0DAE">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四</w:t>
      </w:r>
      <w:r>
        <w:rPr>
          <w:rFonts w:ascii="宋体" w:hAnsi="宋体" w:cs="Arial"/>
          <w:b/>
          <w:bCs/>
        </w:rPr>
        <w:t>、基金管理人的承诺</w:t>
      </w:r>
    </w:p>
    <w:p w14:paraId="57782810">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1、基金管理人承诺不从事违反</w:t>
      </w:r>
      <w:r>
        <w:rPr>
          <w:rFonts w:hint="eastAsia" w:ascii="宋体" w:hAnsi="宋体" w:cs="Arial"/>
          <w:szCs w:val="21"/>
        </w:rPr>
        <w:t>《证券法》</w:t>
      </w:r>
      <w:r>
        <w:rPr>
          <w:rFonts w:hint="eastAsia" w:ascii="宋体" w:hAnsi="宋体" w:cs="Arial"/>
          <w:kern w:val="0"/>
          <w:szCs w:val="21"/>
        </w:rPr>
        <w:t>的行为，并承诺建立健全内部控制制度，采取有效措施，防止违反</w:t>
      </w:r>
      <w:r>
        <w:rPr>
          <w:rFonts w:hint="eastAsia" w:ascii="宋体" w:hAnsi="宋体" w:cs="Arial"/>
          <w:szCs w:val="21"/>
        </w:rPr>
        <w:t>《证券法》</w:t>
      </w:r>
      <w:r>
        <w:rPr>
          <w:rFonts w:hint="eastAsia" w:ascii="宋体" w:hAnsi="宋体" w:cs="Arial"/>
          <w:kern w:val="0"/>
          <w:szCs w:val="21"/>
        </w:rPr>
        <w:t xml:space="preserve">行为的发生； </w:t>
      </w:r>
    </w:p>
    <w:p w14:paraId="72EBA0E9">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2、基金管理人承诺不从事违反《基金法》的行为，并承诺建立健全内部风险控制制度，采取有效措施，防止下列行为的发生：</w:t>
      </w:r>
    </w:p>
    <w:p w14:paraId="6C62AB1F">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（1）将基金管理人固有财产或者他人财产混同于基金财产从事证券投资；</w:t>
      </w:r>
    </w:p>
    <w:p w14:paraId="4FA3AC6A">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（2）不公平地对待管理的不同基金财产；</w:t>
      </w:r>
    </w:p>
    <w:p w14:paraId="34723012">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（3）利用基金财产或者职务之便为基金份额持有人以外的人牟取利益；</w:t>
      </w:r>
    </w:p>
    <w:p w14:paraId="788332CF">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（4）向基金份额持有人违规承诺收益或者承担损失；</w:t>
      </w:r>
    </w:p>
    <w:p w14:paraId="706B6278">
      <w:pPr>
        <w:tabs>
          <w:tab w:val="left" w:pos="3780"/>
        </w:tabs>
        <w:autoSpaceDE w:val="0"/>
        <w:autoSpaceDN w:val="0"/>
        <w:adjustRightInd w:val="0"/>
        <w:snapToGrid w:val="0"/>
        <w:spacing w:line="360" w:lineRule="auto"/>
        <w:ind w:firstLine="420" w:firstLineChars="200"/>
        <w:textAlignment w:val="bottom"/>
        <w:rPr>
          <w:rFonts w:hint="eastAsia" w:ascii="宋体" w:hAnsi="宋体" w:cs="Arial"/>
          <w:szCs w:val="21"/>
        </w:rPr>
      </w:pPr>
      <w:r>
        <w:rPr>
          <w:rFonts w:hint="eastAsia" w:ascii="宋体" w:hAnsi="宋体" w:cs="Arial"/>
          <w:szCs w:val="21"/>
        </w:rPr>
        <w:t>（5）侵占、挪用基金财产；</w:t>
      </w:r>
    </w:p>
    <w:p w14:paraId="2839F073">
      <w:pPr>
        <w:tabs>
          <w:tab w:val="left" w:pos="3780"/>
        </w:tabs>
        <w:autoSpaceDE w:val="0"/>
        <w:autoSpaceDN w:val="0"/>
        <w:adjustRightInd w:val="0"/>
        <w:snapToGrid w:val="0"/>
        <w:spacing w:line="360" w:lineRule="auto"/>
        <w:ind w:firstLine="420" w:firstLineChars="200"/>
        <w:textAlignment w:val="bottom"/>
        <w:rPr>
          <w:rFonts w:hint="eastAsia" w:ascii="宋体" w:hAnsi="宋体" w:cs="Arial"/>
          <w:szCs w:val="21"/>
        </w:rPr>
      </w:pPr>
      <w:r>
        <w:rPr>
          <w:rFonts w:hint="eastAsia" w:ascii="宋体" w:hAnsi="宋体" w:cs="Arial"/>
          <w:szCs w:val="21"/>
        </w:rPr>
        <w:t>（6）泄露因职务便利获取的未公开信息、利用该信息从事或者明示、暗示他人从事相关的交易活动；</w:t>
      </w:r>
    </w:p>
    <w:p w14:paraId="21F318A5">
      <w:pPr>
        <w:tabs>
          <w:tab w:val="left" w:pos="3780"/>
        </w:tabs>
        <w:autoSpaceDE w:val="0"/>
        <w:autoSpaceDN w:val="0"/>
        <w:adjustRightInd w:val="0"/>
        <w:snapToGrid w:val="0"/>
        <w:spacing w:line="360" w:lineRule="auto"/>
        <w:ind w:firstLine="420" w:firstLineChars="200"/>
        <w:textAlignment w:val="bottom"/>
        <w:rPr>
          <w:rFonts w:hint="eastAsia" w:ascii="宋体" w:hAnsi="宋体" w:cs="Arial"/>
          <w:szCs w:val="21"/>
        </w:rPr>
      </w:pPr>
      <w:r>
        <w:rPr>
          <w:rFonts w:hint="eastAsia" w:ascii="宋体" w:hAnsi="宋体" w:cs="Arial"/>
          <w:szCs w:val="21"/>
        </w:rPr>
        <w:t>（7）玩忽职守，不按照规定履行职责；</w:t>
      </w:r>
    </w:p>
    <w:p w14:paraId="38BE443D">
      <w:pPr>
        <w:tabs>
          <w:tab w:val="left" w:pos="3780"/>
        </w:tabs>
        <w:autoSpaceDE w:val="0"/>
        <w:autoSpaceDN w:val="0"/>
        <w:adjustRightInd w:val="0"/>
        <w:snapToGrid w:val="0"/>
        <w:spacing w:line="360" w:lineRule="auto"/>
        <w:ind w:firstLine="420" w:firstLineChars="200"/>
        <w:textAlignment w:val="bottom"/>
        <w:rPr>
          <w:rFonts w:hint="eastAsia" w:ascii="宋体" w:hAnsi="宋体" w:cs="Arial"/>
          <w:szCs w:val="21"/>
        </w:rPr>
      </w:pPr>
      <w:r>
        <w:rPr>
          <w:rFonts w:hint="eastAsia" w:ascii="宋体" w:hAnsi="宋体" w:cs="Arial"/>
          <w:szCs w:val="21"/>
        </w:rPr>
        <w:t>（8）法律、行政法规和中国证监会规定禁止的其他行为。</w:t>
      </w:r>
    </w:p>
    <w:p w14:paraId="14BC78CD">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 xml:space="preserve">3、基金管理人承诺严格遵守基金合同，并承诺建立健全内部控制制度，采取有效措施，防止违反基金合同行为的发生； </w:t>
      </w:r>
    </w:p>
    <w:p w14:paraId="69A10782">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4、基金管理人承诺加强人员管理，强化职业操守，督促和约束员工遵守国家有关法律法规及行业规范，诚实信用、勤勉尽责；</w:t>
      </w:r>
    </w:p>
    <w:p w14:paraId="1FABF0ED">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 xml:space="preserve">5、基金管理人承诺不从事其他法规规定禁止从事的行为。 </w:t>
      </w:r>
    </w:p>
    <w:p w14:paraId="5FAA0476">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五</w:t>
      </w:r>
      <w:r>
        <w:rPr>
          <w:rFonts w:ascii="宋体" w:hAnsi="宋体" w:cs="Arial"/>
          <w:b/>
          <w:bCs/>
        </w:rPr>
        <w:t>、基金经理承诺</w:t>
      </w:r>
    </w:p>
    <w:p w14:paraId="3C0F71EB">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1、依照有关法律法规和基金合同的规定，本着谨慎的原则为基金份额持有人谋取最大利益；</w:t>
      </w:r>
    </w:p>
    <w:p w14:paraId="7EBA21B4">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 xml:space="preserve">2、不利用职务之便为自己、受雇人或任何第三者谋取利益； </w:t>
      </w:r>
    </w:p>
    <w:p w14:paraId="7C9BA9D7">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3、不泄露在任职期间知悉的有关证券、基金的商业秘密，尚未依法公开的基金投资内容、基金投资计划等信息，</w:t>
      </w:r>
      <w:r>
        <w:rPr>
          <w:rFonts w:hint="eastAsia" w:ascii="宋体" w:hAnsi="宋体" w:cs="Arial"/>
          <w:szCs w:val="21"/>
        </w:rPr>
        <w:t>或利用该信息从事或者明示、暗示他人从事相关的交易活动</w:t>
      </w:r>
      <w:r>
        <w:rPr>
          <w:rFonts w:hint="eastAsia" w:ascii="宋体" w:hAnsi="宋体" w:cs="Arial"/>
          <w:kern w:val="0"/>
          <w:szCs w:val="21"/>
        </w:rPr>
        <w:t>；</w:t>
      </w:r>
    </w:p>
    <w:p w14:paraId="032F77E2">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4、不以任何形式为其他组织或个人进行证券交易。</w:t>
      </w:r>
    </w:p>
    <w:p w14:paraId="69277584">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rPr>
      </w:pPr>
      <w:r>
        <w:rPr>
          <w:rFonts w:hint="eastAsia" w:ascii="宋体" w:hAnsi="宋体" w:cs="Arial"/>
          <w:b/>
          <w:bCs/>
        </w:rPr>
        <w:t>六</w:t>
      </w:r>
      <w:r>
        <w:rPr>
          <w:rFonts w:ascii="宋体" w:hAnsi="宋体" w:cs="Arial"/>
          <w:b/>
          <w:bCs/>
        </w:rPr>
        <w:t>、基金管理人的内部控制制度</w:t>
      </w:r>
    </w:p>
    <w:p w14:paraId="1396DE04">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1、风险管理的原则</w:t>
      </w:r>
    </w:p>
    <w:p w14:paraId="5126E4F4">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（1）全面性原则</w:t>
      </w:r>
    </w:p>
    <w:p w14:paraId="0439F7B3">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公司风险管理必须覆盖公司的所有部门和岗位，渗透各项业务过程和业务环节。</w:t>
      </w:r>
    </w:p>
    <w:p w14:paraId="6AD54C50">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（2）独立性原则</w:t>
      </w:r>
    </w:p>
    <w:p w14:paraId="585D1CCF">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公司设立独立的监察</w:t>
      </w:r>
      <w:r>
        <w:rPr>
          <w:rFonts w:hint="eastAsia" w:ascii="宋体" w:hAnsi="宋体" w:cs="Arial"/>
          <w:szCs w:val="21"/>
        </w:rPr>
        <w:t>法律</w:t>
      </w:r>
      <w:r>
        <w:rPr>
          <w:rFonts w:ascii="宋体" w:hAnsi="宋体" w:cs="Arial"/>
          <w:szCs w:val="21"/>
        </w:rPr>
        <w:t>部，监察</w:t>
      </w:r>
      <w:r>
        <w:rPr>
          <w:rFonts w:hint="eastAsia" w:ascii="宋体" w:hAnsi="宋体" w:cs="Arial"/>
          <w:szCs w:val="21"/>
        </w:rPr>
        <w:t>法律</w:t>
      </w:r>
      <w:r>
        <w:rPr>
          <w:rFonts w:ascii="宋体" w:hAnsi="宋体" w:cs="Arial"/>
          <w:szCs w:val="21"/>
        </w:rPr>
        <w:t>部保持高度的独立性和权威性，负责对公司各部门风险控制工作进行稽核和检查。</w:t>
      </w:r>
    </w:p>
    <w:p w14:paraId="67008FEE">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（3）相互制约原则</w:t>
      </w:r>
    </w:p>
    <w:p w14:paraId="60B51A43">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公司及各部门在内部组织结构的设计上要形成一种相互制约的机制，建立不同岗位之间的制衡体系。</w:t>
      </w:r>
    </w:p>
    <w:p w14:paraId="4EA072FB">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（4）定性和定量相结合原则</w:t>
      </w:r>
    </w:p>
    <w:p w14:paraId="50450C6C">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建立完备的风险管理指标体系，使风险管理更具客观性和操作性。</w:t>
      </w:r>
    </w:p>
    <w:p w14:paraId="00773B09">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2、风险管理和内部风险控制体系结构</w:t>
      </w:r>
    </w:p>
    <w:p w14:paraId="77A08FCA">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公司的风险管理体系结构是一个分工明确、相互牵制的组织结构，由最高管理层对风险管理负最终责任，各个业务部门负责本部门的风险评估和监控，监察</w:t>
      </w:r>
      <w:r>
        <w:rPr>
          <w:rFonts w:hint="eastAsia" w:ascii="宋体" w:hAnsi="宋体" w:cs="Arial"/>
          <w:szCs w:val="21"/>
        </w:rPr>
        <w:t>法律</w:t>
      </w:r>
      <w:r>
        <w:rPr>
          <w:rFonts w:ascii="宋体" w:hAnsi="宋体" w:cs="Arial"/>
          <w:szCs w:val="21"/>
        </w:rPr>
        <w:t>部负责监察公司的风险管理措施的执行。具体而言，包括如下组成部分：</w:t>
      </w:r>
    </w:p>
    <w:p w14:paraId="338A9786">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（1）董事会</w:t>
      </w:r>
    </w:p>
    <w:p w14:paraId="0BF3EC26">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负责制定公司的风险管理政策，对风险管理负完全的和最终的责任。</w:t>
      </w:r>
    </w:p>
    <w:p w14:paraId="15B8992A">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（2）风险管理委员会</w:t>
      </w:r>
    </w:p>
    <w:p w14:paraId="3708551A">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461D4BF5">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（3）督察长</w:t>
      </w:r>
    </w:p>
    <w:p w14:paraId="63989F7C">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独立行使督察权利；直接对董事会负责；按季向风险管理委员会提交独立的风险管理报告和风险管理建议。</w:t>
      </w:r>
    </w:p>
    <w:p w14:paraId="369BB99C">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（4）监察法律部</w:t>
      </w:r>
    </w:p>
    <w:p w14:paraId="1CB0342D">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监察法律部负责对公司风险管理政策和措施的执行情况进行监察，并为每一个部门的风险管理系统的发展提供协助，使公司在一种风险管理和控制的环境中实现业务目标。</w:t>
      </w:r>
    </w:p>
    <w:p w14:paraId="33395C6A">
      <w:pPr>
        <w:adjustRightInd w:val="0"/>
        <w:snapToGrid w:val="0"/>
        <w:spacing w:line="360" w:lineRule="auto"/>
        <w:ind w:firstLine="420" w:firstLineChars="200"/>
        <w:rPr>
          <w:rFonts w:hint="eastAsia" w:ascii="宋体" w:hAnsi="宋体" w:cs="Arial"/>
          <w:szCs w:val="21"/>
        </w:rPr>
      </w:pPr>
      <w:r>
        <w:rPr>
          <w:rFonts w:ascii="宋体" w:hAnsi="宋体" w:cs="Arial"/>
          <w:szCs w:val="21"/>
        </w:rPr>
        <w:t>（5）风险管理部</w:t>
      </w:r>
    </w:p>
    <w:p w14:paraId="5907DDE5">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风险管理部负责建立和完善公司投资风险管理制度与流程，组织实施公司投资风险管理与绩效分析工作，确保公司各类投资风险得到良好监督与控制。</w:t>
      </w:r>
    </w:p>
    <w:p w14:paraId="67EB7CF5">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（6）业务部门</w:t>
      </w:r>
    </w:p>
    <w:p w14:paraId="24CE5796">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风险管理是每一个业务部门最首要的责任。部门经理对本部门的风险负全部责任，负责履行公司的风险管理程序，负责本部门的风险管理系统的开发、执行和维护，用于识别、监控和降低风险。</w:t>
      </w:r>
    </w:p>
    <w:p w14:paraId="4CB53EFA">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3、风险管理和内部风险控制的措施</w:t>
      </w:r>
    </w:p>
    <w:p w14:paraId="4294D4D5">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（1）建立内控结构，完善内控制度</w:t>
      </w:r>
    </w:p>
    <w:p w14:paraId="31DFC1E8">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公司建立、健全了内控结构，高管人员关于内控有明确的分工，确保各项业务活动有恰当的组织和授权，确保监察活动是独立的，并得到高管人员的支持，同时置备操作手册，并定期更新。</w:t>
      </w:r>
    </w:p>
    <w:p w14:paraId="0BD59659">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（2）建立相互分离、相互制衡的内控机制</w:t>
      </w:r>
    </w:p>
    <w:p w14:paraId="17C191B0">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建立、健全了各项制度，做到基金经理分开，投资决策分开，基金交易集中，形成不同部门，不同岗位之间的制衡机制，从制度上减少和防范风险。</w:t>
      </w:r>
    </w:p>
    <w:p w14:paraId="72D85ADB">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（3）建立、健全岗位责任制</w:t>
      </w:r>
    </w:p>
    <w:p w14:paraId="09D4F8F8">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建立、健全了岗位责任制，使每个员工都明确自己的任务、职责，并及时将各自工作领域中的风险隐患上报，以防范和减少风险。</w:t>
      </w:r>
    </w:p>
    <w:p w14:paraId="518A2F0A">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（4）建立风险分类、识别、评估、报告、提示程序</w:t>
      </w:r>
    </w:p>
    <w:p w14:paraId="14BFFBE4">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1D898BF">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（5）建立有效的内部监控系统</w:t>
      </w:r>
    </w:p>
    <w:p w14:paraId="0C98B6D2">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建立了足够、有效的内部监控系统，如电脑预警系统、投资监控系统，对可能出现的各种风险进行全面和实时的监控。</w:t>
      </w:r>
    </w:p>
    <w:p w14:paraId="23AC587B">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（6）使用数量化的风险管理手段</w:t>
      </w:r>
    </w:p>
    <w:p w14:paraId="505F0E94">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采取数量化、技术化的风险控制手段，建立数量化的风险管理模型，用以提示指数趋势、行业及个股的风险，以便公司及时采取有效的措施，对风险进行分散、控制和规避，尽可能地减少损失。</w:t>
      </w:r>
    </w:p>
    <w:p w14:paraId="070E334D">
      <w:pPr>
        <w:widowControl/>
        <w:adjustRightInd w:val="0"/>
        <w:snapToGrid w:val="0"/>
        <w:spacing w:line="360" w:lineRule="auto"/>
        <w:ind w:firstLine="420" w:firstLineChars="200"/>
        <w:rPr>
          <w:rFonts w:hint="eastAsia" w:ascii="宋体" w:hAnsi="宋体" w:cs="Arial"/>
          <w:szCs w:val="21"/>
        </w:rPr>
      </w:pPr>
      <w:r>
        <w:rPr>
          <w:rFonts w:ascii="宋体" w:hAnsi="宋体" w:cs="Arial"/>
          <w:szCs w:val="21"/>
        </w:rPr>
        <w:t>（7）提供足够的培训</w:t>
      </w:r>
    </w:p>
    <w:p w14:paraId="5CD9703D">
      <w:pPr>
        <w:widowControl/>
        <w:adjustRightInd w:val="0"/>
        <w:snapToGrid w:val="0"/>
        <w:spacing w:line="360" w:lineRule="auto"/>
        <w:ind w:firstLine="420" w:firstLineChars="200"/>
        <w:rPr>
          <w:rFonts w:hint="eastAsia" w:ascii="宋体" w:hAnsi="宋体" w:cs="Arial"/>
          <w:szCs w:val="21"/>
        </w:rPr>
        <w:sectPr>
          <w:footerReference r:id="rId13" w:type="first"/>
          <w:footerReference r:id="rId12" w:type="default"/>
          <w:pgSz w:w="11906" w:h="16838"/>
          <w:pgMar w:top="1440" w:right="1800" w:bottom="1440" w:left="1800" w:header="851" w:footer="992" w:gutter="0"/>
          <w:cols w:space="720" w:num="1"/>
          <w:titlePg/>
          <w:docGrid w:linePitch="312" w:charSpace="0"/>
        </w:sectPr>
      </w:pPr>
      <w:r>
        <w:rPr>
          <w:rFonts w:ascii="宋体" w:hAnsi="宋体" w:cs="Arial"/>
          <w:szCs w:val="21"/>
        </w:rPr>
        <w:t>制定了完整的培训计划，为所有员工提供足够和适当的培训，使员工明确其职责所在，控制风险。</w:t>
      </w:r>
    </w:p>
    <w:p w14:paraId="08A16CF3">
      <w:pPr>
        <w:pStyle w:val="2"/>
        <w:snapToGrid w:val="0"/>
        <w:spacing w:before="0" w:after="0" w:line="360" w:lineRule="auto"/>
        <w:ind w:firstLine="422" w:firstLineChars="150"/>
        <w:rPr>
          <w:rFonts w:hint="eastAsia" w:hAnsi="宋体" w:cs="Arial"/>
          <w:b/>
          <w:bCs/>
          <w:sz w:val="28"/>
          <w:szCs w:val="28"/>
        </w:rPr>
      </w:pPr>
      <w:bookmarkStart w:id="25" w:name="_Toc86655814"/>
      <w:bookmarkStart w:id="26" w:name="_Toc50661122"/>
      <w:bookmarkStart w:id="27" w:name="_Toc16447"/>
      <w:r>
        <w:rPr>
          <w:rFonts w:hAnsi="宋体" w:eastAsia="宋体" w:cs="Arial"/>
          <w:b/>
          <w:bCs/>
          <w:sz w:val="28"/>
          <w:szCs w:val="28"/>
        </w:rPr>
        <w:t>第四部分  基金托管人</w:t>
      </w:r>
      <w:bookmarkEnd w:id="17"/>
      <w:bookmarkEnd w:id="18"/>
      <w:bookmarkEnd w:id="25"/>
      <w:bookmarkEnd w:id="26"/>
      <w:bookmarkEnd w:id="27"/>
    </w:p>
    <w:p w14:paraId="0FE11991">
      <w:pPr>
        <w:widowControl/>
        <w:spacing w:line="360" w:lineRule="auto"/>
        <w:jc w:val="left"/>
        <w:rPr>
          <w:rFonts w:hint="eastAsia" w:ascii="宋体" w:hAnsi="宋体" w:cs="宋体"/>
          <w:b/>
          <w:kern w:val="0"/>
          <w:szCs w:val="21"/>
        </w:rPr>
      </w:pPr>
    </w:p>
    <w:p w14:paraId="4899242B">
      <w:pPr>
        <w:adjustRightInd w:val="0"/>
        <w:snapToGrid w:val="0"/>
        <w:spacing w:line="360" w:lineRule="auto"/>
        <w:ind w:firstLine="422" w:firstLineChars="200"/>
        <w:rPr>
          <w:rFonts w:hint="eastAsia" w:ascii="宋体" w:hAnsi="宋体" w:cs="宋体"/>
          <w:b/>
          <w:szCs w:val="21"/>
        </w:rPr>
      </w:pPr>
      <w:bookmarkStart w:id="28" w:name="_Toc313303336"/>
      <w:bookmarkStart w:id="29" w:name="_Toc50661123"/>
      <w:bookmarkStart w:id="30" w:name="_Toc214873594"/>
      <w:r>
        <w:rPr>
          <w:rFonts w:hint="eastAsia" w:ascii="宋体" w:hAnsi="宋体" w:cs="宋体"/>
          <w:b/>
          <w:szCs w:val="21"/>
        </w:rPr>
        <w:t>一、基金托管人情况</w:t>
      </w:r>
    </w:p>
    <w:p w14:paraId="3A34D35D">
      <w:pPr>
        <w:widowControl/>
        <w:adjustRightInd w:val="0"/>
        <w:snapToGrid w:val="0"/>
        <w:spacing w:line="360" w:lineRule="auto"/>
        <w:ind w:firstLine="420" w:firstLineChars="200"/>
        <w:rPr>
          <w:rFonts w:hint="eastAsia" w:ascii="宋体" w:hAnsi="宋体" w:cs="Arial"/>
        </w:rPr>
      </w:pPr>
      <w:r>
        <w:rPr>
          <w:rFonts w:hint="eastAsia" w:ascii="宋体" w:hAnsi="宋体" w:cs="Arial"/>
        </w:rPr>
        <w:t>1、基本情况</w:t>
      </w:r>
    </w:p>
    <w:p w14:paraId="247FB4E9">
      <w:pPr>
        <w:widowControl/>
        <w:adjustRightInd w:val="0"/>
        <w:snapToGrid w:val="0"/>
        <w:spacing w:line="360" w:lineRule="auto"/>
        <w:ind w:firstLine="420" w:firstLineChars="200"/>
        <w:rPr>
          <w:rFonts w:hint="eastAsia" w:ascii="宋体" w:hAnsi="宋体" w:cs="Arial"/>
        </w:rPr>
      </w:pPr>
      <w:r>
        <w:rPr>
          <w:rFonts w:hint="eastAsia" w:ascii="宋体" w:hAnsi="宋体" w:cs="Arial"/>
        </w:rPr>
        <w:t>名称：北京银行股份有限公司(简称：</w:t>
      </w:r>
      <w:bookmarkStart w:id="31" w:name="OLE_LINK1"/>
      <w:r>
        <w:rPr>
          <w:rFonts w:hint="eastAsia" w:ascii="宋体" w:hAnsi="宋体" w:cs="Arial"/>
        </w:rPr>
        <w:t>北京银行</w:t>
      </w:r>
      <w:bookmarkEnd w:id="31"/>
      <w:r>
        <w:rPr>
          <w:rFonts w:hint="eastAsia" w:ascii="宋体" w:hAnsi="宋体" w:cs="Arial"/>
        </w:rPr>
        <w:t>)</w:t>
      </w:r>
    </w:p>
    <w:p w14:paraId="2A678B7A">
      <w:pPr>
        <w:widowControl/>
        <w:adjustRightInd w:val="0"/>
        <w:snapToGrid w:val="0"/>
        <w:spacing w:line="360" w:lineRule="auto"/>
        <w:ind w:firstLine="420" w:firstLineChars="200"/>
        <w:rPr>
          <w:rFonts w:hint="eastAsia" w:ascii="宋体" w:hAnsi="宋体" w:cs="Arial"/>
        </w:rPr>
      </w:pPr>
      <w:r>
        <w:rPr>
          <w:rFonts w:hint="eastAsia" w:ascii="宋体" w:hAnsi="宋体" w:cs="Arial"/>
        </w:rPr>
        <w:t>注册地址：北京市西城区金融大街甲17号首层</w:t>
      </w:r>
    </w:p>
    <w:p w14:paraId="77E0E285">
      <w:pPr>
        <w:widowControl/>
        <w:adjustRightInd w:val="0"/>
        <w:snapToGrid w:val="0"/>
        <w:spacing w:line="360" w:lineRule="auto"/>
        <w:ind w:firstLine="420" w:firstLineChars="200"/>
        <w:rPr>
          <w:rFonts w:hint="eastAsia" w:ascii="宋体" w:hAnsi="宋体" w:cs="Arial"/>
        </w:rPr>
      </w:pPr>
      <w:r>
        <w:rPr>
          <w:rFonts w:hint="eastAsia" w:ascii="宋体" w:hAnsi="宋体" w:cs="Arial"/>
        </w:rPr>
        <w:t>办公地址：北京市西城区金融大街丙17号</w:t>
      </w:r>
    </w:p>
    <w:p w14:paraId="343595E4">
      <w:pPr>
        <w:widowControl/>
        <w:adjustRightInd w:val="0"/>
        <w:snapToGrid w:val="0"/>
        <w:spacing w:line="360" w:lineRule="auto"/>
        <w:ind w:firstLine="420" w:firstLineChars="200"/>
        <w:rPr>
          <w:rFonts w:hint="eastAsia" w:ascii="宋体" w:hAnsi="宋体" w:cs="Arial"/>
        </w:rPr>
      </w:pPr>
      <w:r>
        <w:rPr>
          <w:rFonts w:hint="eastAsia" w:ascii="宋体" w:hAnsi="宋体" w:cs="Arial"/>
        </w:rPr>
        <w:t>法定代表人：关文杰</w:t>
      </w:r>
    </w:p>
    <w:p w14:paraId="4214F991">
      <w:pPr>
        <w:widowControl/>
        <w:adjustRightInd w:val="0"/>
        <w:snapToGrid w:val="0"/>
        <w:spacing w:line="360" w:lineRule="auto"/>
        <w:ind w:firstLine="420" w:firstLineChars="200"/>
        <w:rPr>
          <w:rFonts w:hint="eastAsia" w:ascii="宋体" w:hAnsi="宋体" w:cs="Arial"/>
        </w:rPr>
      </w:pPr>
      <w:r>
        <w:rPr>
          <w:rFonts w:hint="eastAsia" w:ascii="宋体" w:hAnsi="宋体" w:cs="Arial"/>
        </w:rPr>
        <w:t>成立时间：1996年01月29日</w:t>
      </w:r>
    </w:p>
    <w:p w14:paraId="733C4EE6">
      <w:pPr>
        <w:widowControl/>
        <w:adjustRightInd w:val="0"/>
        <w:snapToGrid w:val="0"/>
        <w:spacing w:line="360" w:lineRule="auto"/>
        <w:ind w:firstLine="420" w:firstLineChars="200"/>
        <w:rPr>
          <w:rFonts w:hint="eastAsia" w:ascii="宋体" w:hAnsi="宋体" w:cs="Arial"/>
        </w:rPr>
      </w:pPr>
      <w:r>
        <w:rPr>
          <w:rFonts w:hint="eastAsia" w:ascii="宋体" w:hAnsi="宋体" w:cs="Arial"/>
        </w:rPr>
        <w:t>组织形式：股份有限公司（上市）</w:t>
      </w:r>
    </w:p>
    <w:p w14:paraId="5DB7A0C8">
      <w:pPr>
        <w:widowControl/>
        <w:adjustRightInd w:val="0"/>
        <w:snapToGrid w:val="0"/>
        <w:spacing w:line="360" w:lineRule="auto"/>
        <w:ind w:firstLine="420" w:firstLineChars="200"/>
        <w:rPr>
          <w:rFonts w:hint="eastAsia" w:ascii="宋体" w:hAnsi="宋体" w:cs="Arial"/>
        </w:rPr>
      </w:pPr>
      <w:r>
        <w:rPr>
          <w:rFonts w:hint="eastAsia" w:ascii="宋体" w:hAnsi="宋体" w:cs="Arial"/>
        </w:rPr>
        <w:t>注册资本：人民币2114298.4272万元</w:t>
      </w:r>
    </w:p>
    <w:p w14:paraId="4B66303F">
      <w:pPr>
        <w:widowControl/>
        <w:adjustRightInd w:val="0"/>
        <w:snapToGrid w:val="0"/>
        <w:spacing w:line="360" w:lineRule="auto"/>
        <w:ind w:firstLine="420" w:firstLineChars="200"/>
        <w:rPr>
          <w:rFonts w:hint="eastAsia" w:ascii="宋体" w:hAnsi="宋体" w:cs="Arial"/>
        </w:rPr>
      </w:pPr>
      <w:r>
        <w:rPr>
          <w:rFonts w:hint="eastAsia" w:ascii="宋体" w:hAnsi="宋体" w:cs="Arial"/>
        </w:rPr>
        <w:t>存续期间：持续经营</w:t>
      </w:r>
    </w:p>
    <w:p w14:paraId="46336189">
      <w:pPr>
        <w:widowControl/>
        <w:adjustRightInd w:val="0"/>
        <w:snapToGrid w:val="0"/>
        <w:spacing w:line="360" w:lineRule="auto"/>
        <w:ind w:firstLine="420" w:firstLineChars="200"/>
        <w:rPr>
          <w:rFonts w:hint="eastAsia" w:ascii="宋体" w:hAnsi="宋体" w:cs="Arial"/>
        </w:rPr>
      </w:pPr>
      <w:r>
        <w:rPr>
          <w:rFonts w:hint="eastAsia" w:ascii="宋体" w:hAnsi="宋体" w:cs="Arial"/>
        </w:rPr>
        <w:t>联系人：盖君</w:t>
      </w:r>
    </w:p>
    <w:p w14:paraId="019A4C8E">
      <w:pPr>
        <w:widowControl/>
        <w:adjustRightInd w:val="0"/>
        <w:snapToGrid w:val="0"/>
        <w:spacing w:line="360" w:lineRule="auto"/>
        <w:ind w:firstLine="420" w:firstLineChars="200"/>
        <w:rPr>
          <w:rFonts w:hint="eastAsia" w:ascii="宋体" w:hAnsi="宋体" w:cs="Arial"/>
        </w:rPr>
      </w:pPr>
      <w:r>
        <w:rPr>
          <w:rFonts w:hint="eastAsia" w:ascii="宋体" w:hAnsi="宋体" w:cs="Arial"/>
        </w:rPr>
        <w:t>官方客服电话：95526</w:t>
      </w:r>
    </w:p>
    <w:p w14:paraId="7E8ADCD5">
      <w:pPr>
        <w:widowControl/>
        <w:adjustRightInd w:val="0"/>
        <w:snapToGrid w:val="0"/>
        <w:spacing w:line="360" w:lineRule="auto"/>
        <w:ind w:firstLine="420" w:firstLineChars="200"/>
        <w:rPr>
          <w:rFonts w:hint="eastAsia" w:ascii="宋体" w:hAnsi="宋体" w:cs="Arial"/>
        </w:rPr>
      </w:pPr>
      <w:r>
        <w:rPr>
          <w:rFonts w:hint="eastAsia" w:ascii="宋体" w:hAnsi="宋体" w:cs="Arial"/>
        </w:rPr>
        <w:t>基金托管资格批准文号：中国证监会证监许可[2008]776号</w:t>
      </w:r>
    </w:p>
    <w:p w14:paraId="177F59C6">
      <w:pPr>
        <w:widowControl/>
        <w:adjustRightInd w:val="0"/>
        <w:snapToGrid w:val="0"/>
        <w:spacing w:line="360" w:lineRule="auto"/>
        <w:ind w:firstLine="420" w:firstLineChars="200"/>
        <w:rPr>
          <w:rFonts w:hint="eastAsia" w:ascii="宋体" w:hAnsi="宋体" w:cs="Arial"/>
        </w:rPr>
      </w:pPr>
      <w:r>
        <w:rPr>
          <w:rFonts w:hint="eastAsia" w:ascii="宋体" w:hAnsi="宋体" w:cs="Arial"/>
        </w:rPr>
        <w:t>经营范围：吸收公众存款；发放短期、中期和长期贷款；办理国内结算；办理票据贴现；发行金融债券；代理发行、代理兑付、承销政府债券；买卖政府债券；从事同业拆借；提供担保；代理收付款项及代理保险业务；提供保管箱业务；办理地方财政信用周转使用资金的委托贷款业务；外汇存款；外汇贷款；外汇汇款；外币兑换；同业外汇拆借；国际结算；结汇、售汇；外汇票据的承兑和贴现；外汇担保；资信调查、咨询、见证业务；买卖和代理买卖股票以外的外币有价证券；自营和代客外汇买卖；证券结算业务；开放式证券投资基金代销业务；债券结算代理业务；短期融资券主承销业务；经中国银行业监督管理委员会批准的其它业务。</w:t>
      </w:r>
    </w:p>
    <w:p w14:paraId="04BB0ACD">
      <w:pPr>
        <w:widowControl/>
        <w:adjustRightInd w:val="0"/>
        <w:snapToGrid w:val="0"/>
        <w:spacing w:line="360" w:lineRule="auto"/>
        <w:ind w:firstLine="420" w:firstLineChars="200"/>
        <w:rPr>
          <w:rFonts w:hint="eastAsia" w:ascii="宋体" w:hAnsi="宋体" w:cs="Arial"/>
        </w:rPr>
      </w:pPr>
      <w:r>
        <w:rPr>
          <w:rFonts w:hint="eastAsia" w:ascii="宋体" w:hAnsi="宋体" w:cs="Arial"/>
        </w:rPr>
        <w:t>2、发展概况：</w:t>
      </w:r>
    </w:p>
    <w:p w14:paraId="7E49D66F">
      <w:pPr>
        <w:widowControl/>
        <w:adjustRightInd w:val="0"/>
        <w:snapToGrid w:val="0"/>
        <w:spacing w:line="360" w:lineRule="auto"/>
        <w:ind w:firstLine="420" w:firstLineChars="200"/>
        <w:rPr>
          <w:rFonts w:hint="eastAsia" w:ascii="宋体" w:hAnsi="宋体" w:cs="Arial"/>
        </w:rPr>
      </w:pPr>
      <w:r>
        <w:rPr>
          <w:rFonts w:hint="eastAsia" w:ascii="宋体" w:hAnsi="宋体" w:cs="Arial"/>
        </w:rPr>
        <w:t>北京银行成立于1996年，抢抓时代机遇，相继实现引资、上市、跨区域等发展突破，在北京、天津、上海、西安、深圳、杭州、长沙、南京、济南、南昌、石家庄、乌鲁木齐、青岛、宁波、苏州等十余个中心城市设立630余家分支机构。近年来，全力做好科技金融、绿色金融、普惠金融、养老金融、数字金融“五篇大文章”，着力建设儿童友好型银行、伴您一生的银行、专精特新第一行、成就人才梦想的银行、人工智能驱动的商业银行“五大特色银行”，致力于打造一家不一样、有特色、想得起、记得住、用得上、受尊敬的银行。</w:t>
      </w:r>
    </w:p>
    <w:p w14:paraId="73769900">
      <w:pPr>
        <w:widowControl/>
        <w:adjustRightInd w:val="0"/>
        <w:snapToGrid w:val="0"/>
        <w:spacing w:line="360" w:lineRule="auto"/>
        <w:ind w:firstLine="420" w:firstLineChars="200"/>
        <w:rPr>
          <w:rFonts w:hint="eastAsia" w:ascii="宋体" w:hAnsi="宋体" w:cs="Arial"/>
        </w:rPr>
      </w:pPr>
      <w:r>
        <w:rPr>
          <w:rFonts w:hint="eastAsia" w:ascii="宋体" w:hAnsi="宋体" w:cs="Arial"/>
        </w:rPr>
        <w:t>截至2025年9月末，北京银行资产总额4.89万亿元，2025年前三季度实现归母净利润210.64亿元，成本收入比28.13%，不良贷款率1.29%，拨备覆盖率195.79%，资本充足率12.82%，保持了良好发展态势。品牌价值达1166.39亿元。一级资本排名全球千家大银行49位，连续12年跻身全球银行业百强。</w:t>
      </w:r>
    </w:p>
    <w:p w14:paraId="43140230">
      <w:pPr>
        <w:widowControl/>
        <w:adjustRightInd w:val="0"/>
        <w:snapToGrid w:val="0"/>
        <w:spacing w:line="360" w:lineRule="auto"/>
        <w:ind w:firstLine="420" w:firstLineChars="200"/>
        <w:rPr>
          <w:rFonts w:hint="eastAsia" w:ascii="宋体" w:hAnsi="宋体" w:cs="Arial"/>
        </w:rPr>
      </w:pPr>
      <w:r>
        <w:rPr>
          <w:rFonts w:hint="eastAsia" w:ascii="宋体" w:hAnsi="宋体" w:cs="Arial"/>
        </w:rPr>
        <w:t>北京银行凭借优秀的经营业绩和优质的金融服务，赢得了社会各界的高度赞誉，先后荣获“全国文明单位”“亚洲十大最佳上市银行”“中国最佳城市商业零售银行”“最佳区域性银行”“最佳支持中小企业贡献奖”“中国上市公司百强企业”“中国社会责任优秀企业”“最具持续投资价值上市公司”“中国最受尊敬企业”“最受尊敬银行”“最值得百姓信赖的银行机构”“中国优秀企业公民”“最佳供应链金融银行”“年度最佳科创金融服务银行”“中国人民银行金融科技发展二等奖”等称号。</w:t>
      </w:r>
    </w:p>
    <w:p w14:paraId="1D47F6B7">
      <w:pPr>
        <w:widowControl/>
        <w:adjustRightInd w:val="0"/>
        <w:snapToGrid w:val="0"/>
        <w:spacing w:line="360" w:lineRule="auto"/>
        <w:ind w:firstLine="420" w:firstLineChars="200"/>
        <w:rPr>
          <w:rFonts w:hint="eastAsia" w:ascii="宋体" w:hAnsi="宋体" w:cs="Arial"/>
        </w:rPr>
      </w:pPr>
      <w:r>
        <w:rPr>
          <w:rFonts w:hint="eastAsia" w:ascii="宋体" w:hAnsi="宋体" w:cs="Arial"/>
        </w:rPr>
        <w:t>3、资产托管部主要人员情况</w:t>
      </w:r>
    </w:p>
    <w:p w14:paraId="162856AD">
      <w:pPr>
        <w:widowControl/>
        <w:adjustRightInd w:val="0"/>
        <w:snapToGrid w:val="0"/>
        <w:spacing w:line="360" w:lineRule="auto"/>
        <w:ind w:firstLine="420" w:firstLineChars="200"/>
        <w:rPr>
          <w:rFonts w:hint="eastAsia" w:ascii="宋体" w:hAnsi="宋体" w:cs="Arial"/>
        </w:rPr>
      </w:pPr>
      <w:r>
        <w:rPr>
          <w:rFonts w:hint="eastAsia" w:ascii="宋体" w:hAnsi="宋体" w:cs="Arial"/>
        </w:rPr>
        <w:t>贺凌女士，2003年加入北京银行，具有20余年银行从业经历。历任北京银行公司银行部总经理助理、北京银行公司银行部副总经理，2023年加入总行资产托管部，现任北京银行资产托管部总经理。</w:t>
      </w:r>
    </w:p>
    <w:p w14:paraId="42CB4D0E">
      <w:pPr>
        <w:widowControl/>
        <w:adjustRightInd w:val="0"/>
        <w:snapToGrid w:val="0"/>
        <w:spacing w:line="360" w:lineRule="auto"/>
        <w:ind w:firstLine="420" w:firstLineChars="200"/>
        <w:rPr>
          <w:rFonts w:hint="eastAsia" w:ascii="宋体" w:hAnsi="宋体" w:cs="Arial"/>
        </w:rPr>
      </w:pPr>
      <w:r>
        <w:rPr>
          <w:rFonts w:hint="eastAsia" w:ascii="宋体" w:hAnsi="宋体" w:cs="Arial"/>
        </w:rPr>
        <w:t>北京银行资产托管部充分发挥作为新兴托管银行的高起点优势，搭建了由高素质人才组成的专业团队，内设估值核算岗、资金清算岗、投资监督岗、系统管理岗、内控稽核岗等岗位，各岗位人员均分别具有相应的会计核算、资产估值、资金清算、投资监督、风险控制等方面的专业知识和丰富的业务经验。</w:t>
      </w:r>
    </w:p>
    <w:p w14:paraId="713ECA78">
      <w:pPr>
        <w:widowControl/>
        <w:adjustRightInd w:val="0"/>
        <w:snapToGrid w:val="0"/>
        <w:spacing w:line="360" w:lineRule="auto"/>
        <w:ind w:firstLine="420" w:firstLineChars="200"/>
        <w:rPr>
          <w:rFonts w:hint="eastAsia" w:ascii="宋体" w:hAnsi="宋体" w:cs="Arial"/>
        </w:rPr>
      </w:pPr>
      <w:r>
        <w:rPr>
          <w:rFonts w:hint="eastAsia" w:ascii="宋体" w:hAnsi="宋体" w:cs="Arial"/>
        </w:rPr>
        <w:t>4、基金托管业务经营情况</w:t>
      </w:r>
    </w:p>
    <w:p w14:paraId="3E050536">
      <w:pPr>
        <w:widowControl/>
        <w:adjustRightInd w:val="0"/>
        <w:snapToGrid w:val="0"/>
        <w:spacing w:line="360" w:lineRule="auto"/>
        <w:ind w:firstLine="420" w:firstLineChars="200"/>
        <w:rPr>
          <w:rFonts w:hint="eastAsia" w:ascii="宋体" w:hAnsi="宋体" w:cs="Arial"/>
        </w:rPr>
      </w:pPr>
      <w:bookmarkStart w:id="32" w:name="OLE_LINK2"/>
      <w:r>
        <w:rPr>
          <w:rFonts w:hint="eastAsia" w:ascii="宋体" w:hAnsi="宋体" w:cs="Arial"/>
        </w:rPr>
        <w:t>北京银行资产托管部秉持“严谨、专业、高效”的经营理念，严格履行托管人的各项职责，切实维护基金持有人的合法权益，为基金提供高质量的托管服务。经过多年稳步发展，北京银行托管资产规模不断扩大，托管业务品种不断增加，已形成包括证券投资基金、基金专户理财、证券公司资产管理计划、信托计划、银行理财、保险资金、股权投资基金等产品在内的托管产品体系，北京银行专业高效的托管服务赢得了客户的广泛高度认同。</w:t>
      </w:r>
    </w:p>
    <w:bookmarkEnd w:id="32"/>
    <w:p w14:paraId="2261634E">
      <w:pPr>
        <w:widowControl/>
        <w:adjustRightInd w:val="0"/>
        <w:snapToGrid w:val="0"/>
        <w:spacing w:line="360" w:lineRule="auto"/>
        <w:ind w:firstLine="420" w:firstLineChars="200"/>
        <w:rPr>
          <w:rFonts w:hint="eastAsia" w:ascii="宋体" w:hAnsi="宋体" w:cs="Arial"/>
          <w:b/>
          <w:bCs/>
        </w:rPr>
      </w:pPr>
      <w:r>
        <w:rPr>
          <w:rFonts w:hint="eastAsia" w:ascii="宋体" w:hAnsi="宋体" w:cs="Arial"/>
        </w:rPr>
        <w:t>截至2025年9月末，北京银行共托管证券投资基金106只，规模共计2277.38亿元。</w:t>
      </w:r>
      <w:r>
        <w:rPr>
          <w:rFonts w:hint="eastAsia" w:ascii="宋体" w:hAnsi="宋体" w:cs="Arial"/>
          <w:b/>
          <w:bCs/>
        </w:rPr>
        <w:t>二、基金托管人的内部控制制度</w:t>
      </w:r>
    </w:p>
    <w:p w14:paraId="42D98782">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1、内部控制目标</w:t>
      </w:r>
    </w:p>
    <w:p w14:paraId="79136097">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作为基金托管人，北京银行严格遵守国家有关托管业务的法律法规、行业监管规章和</w:t>
      </w:r>
      <w:r>
        <w:rPr>
          <w:rFonts w:hint="eastAsia" w:ascii="宋体" w:hAnsi="宋体" w:cs="Arial"/>
        </w:rPr>
        <w:t>北京银行</w:t>
      </w:r>
      <w:r>
        <w:rPr>
          <w:rFonts w:hint="eastAsia" w:ascii="宋体" w:hAnsi="宋体" w:cs="宋体"/>
          <w:kern w:val="0"/>
        </w:rPr>
        <w:t>有关管理规定，守法经营、规范运作、严格管理，确保基金托管业务的稳健运行，保证基金财产的安全完整，确保有关信息的真实、准确、完整、及时披露，保护基金份额持有人的合法权益。</w:t>
      </w:r>
    </w:p>
    <w:p w14:paraId="5E34AF5E">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2、内部控制组织结构</w:t>
      </w:r>
    </w:p>
    <w:p w14:paraId="11A94A72">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北京银行总行设立内控与操作风险管理委员会，负责审议总行重要内部控制制度、流程，开展总行内部控制体系建设规划，并组织实施。总行法律合规与内控部作为内部控制管理职能部门，牵头</w:t>
      </w:r>
      <w:r>
        <w:rPr>
          <w:rFonts w:hint="eastAsia" w:ascii="宋体" w:hAnsi="宋体" w:cs="Arial"/>
        </w:rPr>
        <w:t>北京银行</w:t>
      </w:r>
      <w:r>
        <w:rPr>
          <w:rFonts w:hint="eastAsia" w:ascii="宋体" w:hAnsi="宋体" w:cs="宋体"/>
          <w:kern w:val="0"/>
        </w:rPr>
        <w:t>内部控制体系的统筹规划、组织落实和检查评估，总行审计部履行对内部控制的监督职能，负责对北京银行内部控制的充分性和有效性进行审计。资产托管部设有专职内控稽核岗。</w:t>
      </w:r>
    </w:p>
    <w:p w14:paraId="5FCF0D03">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3、内部控制原则</w:t>
      </w:r>
    </w:p>
    <w:p w14:paraId="5DF3BD12">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（1）全覆盖原则。内部控制应当贯穿决策、执行和监督全过程，覆盖各项业务流程和管理活动，覆盖所有部门、岗位和人员，任何决策或操作均应当有案可查。</w:t>
      </w:r>
    </w:p>
    <w:p w14:paraId="7816C55F">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（2）制衡性原则。内部控制在治理结构、机构设置及权责分配、业务流程等方面形成相互制约、相互监督机制。</w:t>
      </w:r>
    </w:p>
    <w:p w14:paraId="39D07D00">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（3）审慎性原则。内部控制应当坚持风险为本、审慎经营的理念，尤其是设立新的机构或开办新的业务，均应当体现“内控优先”的要求。</w:t>
      </w:r>
    </w:p>
    <w:p w14:paraId="658F71C6">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（4）相匹配原则。内部控制应与北京银行管理模式、业务规模、产品复杂程度、风险状况等相适应，并根据情况变化及时进行调整。</w:t>
      </w:r>
    </w:p>
    <w:p w14:paraId="6C2C5BEA">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4、内部控制制度及措施</w:t>
      </w:r>
    </w:p>
    <w:p w14:paraId="3E7626B9">
      <w:pPr>
        <w:widowControl/>
        <w:adjustRightInd w:val="0"/>
        <w:snapToGrid w:val="0"/>
        <w:spacing w:line="360" w:lineRule="auto"/>
        <w:ind w:firstLine="420" w:firstLineChars="200"/>
        <w:rPr>
          <w:rFonts w:hint="eastAsia" w:ascii="宋体" w:hAnsi="宋体" w:cs="宋体"/>
          <w:kern w:val="0"/>
        </w:rPr>
      </w:pPr>
      <w:r>
        <w:rPr>
          <w:rFonts w:hint="eastAsia" w:ascii="宋体" w:hAnsi="宋体" w:cs="宋体"/>
          <w:kern w:val="0"/>
        </w:rPr>
        <w:t>北京银行资产托管部具备系统、完善的内部控制制度体系，建立了业务管理制度、内部控制制度、业务操作流程，可以保证托管业务的规范操作和顺利进行；业务人员均具备从业资格；业务操作严格遵循内部制衡原则，各类经办复核岗位或其他应隔离的岗位间设置岗位隔离，避免岗位兼任或混合操作；授权工作实行集中控制，制约机制严格有效；业务印章按规程保管、存放、使用，账户资料严格保管，未经授权不得查看；业务操作区实行独立封闭管理，配备音像监控；业务信息由专职业务人员负责复核、信息披露，防止泄密；业务实现系统自动化操作，有效预防人为操作风险的发生；技术系统完整、独立。</w:t>
      </w:r>
    </w:p>
    <w:p w14:paraId="3339DA8F">
      <w:pPr>
        <w:widowControl/>
        <w:adjustRightInd w:val="0"/>
        <w:snapToGrid w:val="0"/>
        <w:spacing w:line="360" w:lineRule="auto"/>
        <w:ind w:firstLine="422" w:firstLineChars="200"/>
        <w:rPr>
          <w:rFonts w:hint="eastAsia" w:ascii="宋体" w:hAnsi="宋体" w:cs="Arial"/>
          <w:b/>
          <w:bCs/>
        </w:rPr>
      </w:pPr>
      <w:r>
        <w:rPr>
          <w:rFonts w:hint="eastAsia" w:ascii="宋体" w:hAnsi="宋体" w:cs="Arial"/>
          <w:b/>
          <w:bCs/>
        </w:rPr>
        <w:t>三、基金托管人对基金管理人运作基金进行监督的方法和程序</w:t>
      </w:r>
    </w:p>
    <w:p w14:paraId="617391CA">
      <w:pPr>
        <w:widowControl/>
        <w:adjustRightInd w:val="0"/>
        <w:snapToGrid w:val="0"/>
        <w:spacing w:line="360" w:lineRule="auto"/>
        <w:ind w:firstLine="420" w:firstLineChars="200"/>
        <w:rPr>
          <w:rFonts w:hint="eastAsia" w:ascii="宋体" w:hAnsi="宋体"/>
          <w:szCs w:val="21"/>
        </w:rPr>
      </w:pPr>
      <w:r>
        <w:rPr>
          <w:rFonts w:hint="eastAsia" w:ascii="宋体" w:hAnsi="宋体" w:cs="Arial"/>
        </w:rPr>
        <w:t>根据《中华人民共和国证券投资基金法》、《公开募集证券投资基金运作管理办法》的相关规定，基金托管人发现基金管理人的投资指令违反法律、行政法规和其他有关规定，或者违反基金合同约定的，应当拒绝执行，立即通知基金管理人，并及时向证券监督管理机构报告。基金托管人如发现基金管理人依据交易程序已经生效的投资指令违反法律、行政法规和其他有关规定，或者违反基金合同约定的，应当立即通知基金管理人，并及时向证券监督管理机构报告。</w:t>
      </w:r>
    </w:p>
    <w:bookmarkEnd w:id="28"/>
    <w:p w14:paraId="22331823">
      <w:pPr>
        <w:autoSpaceDE w:val="0"/>
        <w:autoSpaceDN w:val="0"/>
        <w:adjustRightInd w:val="0"/>
        <w:snapToGrid w:val="0"/>
        <w:spacing w:line="360" w:lineRule="auto"/>
        <w:ind w:firstLine="420" w:firstLineChars="200"/>
        <w:rPr>
          <w:rFonts w:cs="Arial"/>
          <w:szCs w:val="21"/>
        </w:rPr>
        <w:sectPr>
          <w:footerReference r:id="rId15" w:type="first"/>
          <w:footerReference r:id="rId14" w:type="default"/>
          <w:pgSz w:w="11906" w:h="16838"/>
          <w:pgMar w:top="1440" w:right="1800" w:bottom="1440" w:left="1800" w:header="851" w:footer="992" w:gutter="0"/>
          <w:cols w:space="720" w:num="1"/>
          <w:titlePg/>
          <w:docGrid w:linePitch="312" w:charSpace="0"/>
        </w:sectPr>
      </w:pPr>
    </w:p>
    <w:p w14:paraId="3E125B85">
      <w:pPr>
        <w:pStyle w:val="2"/>
        <w:snapToGrid w:val="0"/>
        <w:spacing w:before="0" w:after="0" w:line="360" w:lineRule="auto"/>
        <w:ind w:firstLine="422" w:firstLineChars="150"/>
        <w:rPr>
          <w:rFonts w:hint="eastAsia" w:hAnsi="宋体" w:eastAsia="宋体" w:cs="Arial"/>
          <w:b/>
          <w:bCs/>
          <w:sz w:val="28"/>
          <w:szCs w:val="28"/>
        </w:rPr>
      </w:pPr>
      <w:bookmarkStart w:id="33" w:name="_Toc86655815"/>
      <w:bookmarkStart w:id="34" w:name="_Toc10250"/>
      <w:r>
        <w:rPr>
          <w:rFonts w:hAnsi="宋体" w:eastAsia="宋体" w:cs="Arial"/>
          <w:b/>
          <w:bCs/>
          <w:sz w:val="28"/>
          <w:szCs w:val="28"/>
        </w:rPr>
        <w:t>第五部分  相关服务机构</w:t>
      </w:r>
      <w:bookmarkEnd w:id="29"/>
      <w:bookmarkEnd w:id="30"/>
      <w:bookmarkEnd w:id="33"/>
      <w:bookmarkEnd w:id="34"/>
    </w:p>
    <w:p w14:paraId="0DC37912">
      <w:pPr>
        <w:spacing w:line="360" w:lineRule="auto"/>
        <w:rPr>
          <w:rFonts w:hint="eastAsia" w:ascii="宋体" w:hAnsi="宋体"/>
        </w:rPr>
      </w:pPr>
    </w:p>
    <w:p w14:paraId="3F03D6D1">
      <w:pPr>
        <w:snapToGrid w:val="0"/>
        <w:spacing w:line="360" w:lineRule="auto"/>
        <w:ind w:firstLine="422" w:firstLineChars="200"/>
        <w:rPr>
          <w:rFonts w:hint="eastAsia" w:ascii="宋体" w:hAnsi="宋体" w:cs="Arial"/>
          <w:b/>
          <w:szCs w:val="21"/>
        </w:rPr>
      </w:pPr>
      <w:r>
        <w:rPr>
          <w:rFonts w:ascii="宋体" w:hAnsi="宋体" w:cs="Arial"/>
          <w:b/>
          <w:szCs w:val="21"/>
        </w:rPr>
        <w:t>一、基金份额发售机构</w:t>
      </w:r>
    </w:p>
    <w:p w14:paraId="678F3A21">
      <w:pPr>
        <w:snapToGrid w:val="0"/>
        <w:spacing w:line="360" w:lineRule="auto"/>
        <w:ind w:firstLine="420" w:firstLineChars="200"/>
        <w:rPr>
          <w:rFonts w:hint="eastAsia" w:ascii="宋体" w:hAnsi="宋体" w:cs="Arial"/>
        </w:rPr>
      </w:pPr>
      <w:r>
        <w:rPr>
          <w:rFonts w:hint="eastAsia" w:ascii="宋体" w:hAnsi="宋体" w:cs="Arial"/>
        </w:rPr>
        <w:t>1、网下现金发售、网下股票发售直销机构</w:t>
      </w:r>
    </w:p>
    <w:p w14:paraId="0F27EDC8">
      <w:pPr>
        <w:snapToGrid w:val="0"/>
        <w:spacing w:line="360" w:lineRule="auto"/>
        <w:ind w:firstLine="420" w:firstLineChars="200"/>
        <w:rPr>
          <w:rFonts w:hint="eastAsia" w:ascii="宋体" w:hAnsi="宋体" w:cs="Arial"/>
        </w:rPr>
      </w:pPr>
      <w:r>
        <w:rPr>
          <w:rFonts w:hint="eastAsia" w:ascii="宋体" w:hAnsi="宋体" w:cs="Arial"/>
        </w:rPr>
        <w:t>名称：博时基金管理有限公司</w:t>
      </w:r>
    </w:p>
    <w:p w14:paraId="36936DFD">
      <w:pPr>
        <w:snapToGrid w:val="0"/>
        <w:spacing w:line="360" w:lineRule="auto"/>
        <w:ind w:firstLine="420" w:firstLineChars="200"/>
        <w:rPr>
          <w:rFonts w:hint="eastAsia" w:ascii="宋体" w:hAnsi="宋体" w:cs="Arial"/>
        </w:rPr>
      </w:pPr>
      <w:r>
        <w:rPr>
          <w:rFonts w:hint="eastAsia" w:ascii="宋体" w:hAnsi="宋体" w:cs="Arial"/>
        </w:rPr>
        <w:t>住所：深圳市福田区莲花街道福新社区益田路5999号基金大厦21层</w:t>
      </w:r>
    </w:p>
    <w:p w14:paraId="48D04116">
      <w:pPr>
        <w:snapToGrid w:val="0"/>
        <w:spacing w:line="360" w:lineRule="auto"/>
        <w:ind w:firstLine="420" w:firstLineChars="200"/>
        <w:rPr>
          <w:rFonts w:hint="eastAsia" w:ascii="宋体" w:hAnsi="宋体" w:cs="Arial"/>
        </w:rPr>
      </w:pPr>
      <w:r>
        <w:rPr>
          <w:rFonts w:hint="eastAsia" w:ascii="宋体" w:hAnsi="宋体" w:cs="Arial"/>
        </w:rPr>
        <w:t>办公地址：北京市东城区建国门内大街8号中粮广场C座609</w:t>
      </w:r>
    </w:p>
    <w:p w14:paraId="2FB15261">
      <w:pPr>
        <w:snapToGrid w:val="0"/>
        <w:spacing w:line="360" w:lineRule="auto"/>
        <w:ind w:firstLine="420" w:firstLineChars="200"/>
        <w:rPr>
          <w:rFonts w:hint="eastAsia" w:ascii="宋体" w:hAnsi="宋体" w:cs="Arial"/>
        </w:rPr>
      </w:pPr>
      <w:r>
        <w:rPr>
          <w:rFonts w:hint="eastAsia" w:ascii="宋体" w:hAnsi="宋体" w:cs="Arial"/>
        </w:rPr>
        <w:t>电话：010-65187055</w:t>
      </w:r>
    </w:p>
    <w:p w14:paraId="16049EE5">
      <w:pPr>
        <w:snapToGrid w:val="0"/>
        <w:spacing w:line="360" w:lineRule="auto"/>
        <w:ind w:firstLine="420" w:firstLineChars="200"/>
        <w:rPr>
          <w:rFonts w:hint="eastAsia" w:ascii="宋体" w:hAnsi="宋体" w:cs="Arial"/>
        </w:rPr>
      </w:pPr>
      <w:r>
        <w:rPr>
          <w:rFonts w:hint="eastAsia" w:ascii="宋体" w:hAnsi="宋体" w:cs="Arial"/>
        </w:rPr>
        <w:t>传真：010-65187032</w:t>
      </w:r>
    </w:p>
    <w:p w14:paraId="21F86961">
      <w:pPr>
        <w:snapToGrid w:val="0"/>
        <w:spacing w:line="360" w:lineRule="auto"/>
        <w:ind w:firstLine="420" w:firstLineChars="200"/>
        <w:rPr>
          <w:rFonts w:hint="eastAsia" w:ascii="宋体" w:hAnsi="宋体" w:cs="Arial"/>
        </w:rPr>
      </w:pPr>
      <w:r>
        <w:rPr>
          <w:rFonts w:hint="eastAsia" w:ascii="宋体" w:hAnsi="宋体" w:cs="Arial"/>
        </w:rPr>
        <w:t>联系人：韩明亮</w:t>
      </w:r>
    </w:p>
    <w:p w14:paraId="6C7966EF">
      <w:pPr>
        <w:snapToGrid w:val="0"/>
        <w:spacing w:line="360" w:lineRule="auto"/>
        <w:ind w:firstLine="420" w:firstLineChars="200"/>
        <w:rPr>
          <w:rFonts w:hint="eastAsia" w:ascii="宋体" w:hAnsi="宋体" w:cs="Arial"/>
        </w:rPr>
      </w:pPr>
      <w:r>
        <w:rPr>
          <w:rFonts w:hint="eastAsia" w:ascii="宋体" w:hAnsi="宋体" w:cs="Arial"/>
        </w:rPr>
        <w:t>全国统一客服热线：95105568（免长途费）</w:t>
      </w:r>
    </w:p>
    <w:p w14:paraId="51F306A9">
      <w:pPr>
        <w:snapToGrid w:val="0"/>
        <w:spacing w:line="360" w:lineRule="auto"/>
        <w:ind w:firstLine="420" w:firstLineChars="200"/>
        <w:rPr>
          <w:rFonts w:hint="eastAsia" w:ascii="宋体" w:hAnsi="宋体" w:cs="Arial"/>
        </w:rPr>
      </w:pPr>
      <w:r>
        <w:rPr>
          <w:rFonts w:hint="eastAsia" w:ascii="宋体" w:hAnsi="宋体" w:cs="Arial"/>
        </w:rPr>
        <w:t>2、网下现金发售代理机构</w:t>
      </w:r>
    </w:p>
    <w:p w14:paraId="6F07AC48">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3360348F">
      <w:pPr>
        <w:snapToGrid w:val="0"/>
        <w:spacing w:line="360" w:lineRule="auto"/>
        <w:ind w:firstLine="420" w:firstLineChars="200"/>
        <w:rPr>
          <w:rFonts w:hint="eastAsia" w:ascii="宋体" w:hAnsi="宋体" w:cs="Arial"/>
        </w:rPr>
      </w:pPr>
      <w:r>
        <w:rPr>
          <w:rFonts w:hint="eastAsia" w:ascii="宋体" w:hAnsi="宋体" w:cs="Arial"/>
        </w:rPr>
        <w:t>3、网下股票发售代理机构</w:t>
      </w:r>
    </w:p>
    <w:p w14:paraId="17C7B599">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32549EC8">
      <w:pPr>
        <w:snapToGrid w:val="0"/>
        <w:spacing w:line="360" w:lineRule="auto"/>
        <w:ind w:firstLine="420" w:firstLineChars="200"/>
        <w:rPr>
          <w:rFonts w:hint="eastAsia" w:ascii="宋体" w:hAnsi="宋体" w:cs="Arial"/>
        </w:rPr>
      </w:pPr>
      <w:r>
        <w:rPr>
          <w:rFonts w:hint="eastAsia" w:ascii="宋体" w:hAnsi="宋体" w:cs="Arial"/>
        </w:rPr>
        <w:t>4、网上现金发售代理机构</w:t>
      </w:r>
    </w:p>
    <w:p w14:paraId="2AF4178D">
      <w:pPr>
        <w:snapToGrid w:val="0"/>
        <w:spacing w:line="360" w:lineRule="auto"/>
        <w:ind w:firstLine="420" w:firstLineChars="200"/>
        <w:rPr>
          <w:rFonts w:hint="eastAsia" w:ascii="宋体" w:hAnsi="宋体" w:cs="Arial"/>
        </w:rPr>
      </w:pPr>
      <w:r>
        <w:rPr>
          <w:rFonts w:hint="eastAsia" w:ascii="宋体" w:hAnsi="宋体" w:cs="Arial"/>
        </w:rPr>
        <w:t>详见基金份额发售公告。</w:t>
      </w:r>
    </w:p>
    <w:p w14:paraId="568F5A31">
      <w:pPr>
        <w:snapToGrid w:val="0"/>
        <w:spacing w:line="360" w:lineRule="auto"/>
        <w:ind w:firstLine="422" w:firstLineChars="200"/>
        <w:rPr>
          <w:rFonts w:hint="eastAsia" w:ascii="宋体" w:hAnsi="宋体" w:cs="Arial"/>
          <w:b/>
          <w:szCs w:val="21"/>
        </w:rPr>
      </w:pPr>
      <w:r>
        <w:rPr>
          <w:rFonts w:ascii="宋体" w:hAnsi="宋体" w:cs="Arial"/>
          <w:b/>
          <w:szCs w:val="21"/>
        </w:rPr>
        <w:t>二、登记机构</w:t>
      </w:r>
    </w:p>
    <w:p w14:paraId="3F7FEE88">
      <w:pPr>
        <w:snapToGrid w:val="0"/>
        <w:spacing w:line="360" w:lineRule="auto"/>
        <w:ind w:firstLine="420" w:firstLineChars="200"/>
        <w:rPr>
          <w:rFonts w:hint="eastAsia" w:ascii="宋体" w:hAnsi="宋体" w:cs="Arial"/>
        </w:rPr>
      </w:pPr>
      <w:r>
        <w:rPr>
          <w:rFonts w:hint="eastAsia" w:ascii="宋体" w:hAnsi="宋体" w:cs="Arial"/>
        </w:rPr>
        <w:t>名称</w:t>
      </w:r>
      <w:r>
        <w:rPr>
          <w:rFonts w:ascii="宋体" w:hAnsi="宋体" w:cs="Arial"/>
        </w:rPr>
        <w:t>：</w:t>
      </w:r>
      <w:r>
        <w:rPr>
          <w:rFonts w:hint="eastAsia" w:ascii="宋体" w:hAnsi="宋体" w:cs="Arial"/>
        </w:rPr>
        <w:t>中国证券登记结算有限责任公司</w:t>
      </w:r>
    </w:p>
    <w:p w14:paraId="7BCCB278">
      <w:pPr>
        <w:snapToGrid w:val="0"/>
        <w:spacing w:line="360" w:lineRule="auto"/>
        <w:ind w:firstLine="420" w:firstLineChars="200"/>
        <w:rPr>
          <w:rFonts w:hint="eastAsia" w:ascii="宋体" w:hAnsi="宋体" w:cs="Arial"/>
        </w:rPr>
      </w:pPr>
      <w:r>
        <w:rPr>
          <w:rFonts w:hint="eastAsia" w:ascii="宋体" w:hAnsi="宋体" w:cs="Arial"/>
        </w:rPr>
        <w:t xml:space="preserve">注册地址：北京市西城区太平桥大街17号 </w:t>
      </w:r>
    </w:p>
    <w:p w14:paraId="63EC6E0B">
      <w:pPr>
        <w:snapToGrid w:val="0"/>
        <w:spacing w:line="360" w:lineRule="auto"/>
        <w:ind w:firstLine="420" w:firstLineChars="200"/>
        <w:rPr>
          <w:rFonts w:hint="eastAsia" w:ascii="宋体" w:hAnsi="宋体" w:cs="Arial"/>
        </w:rPr>
      </w:pPr>
      <w:r>
        <w:rPr>
          <w:rFonts w:hint="eastAsia" w:ascii="宋体" w:hAnsi="宋体" w:cs="Arial"/>
        </w:rPr>
        <w:t xml:space="preserve">办公地址：北京市西城区太平桥大街17号 </w:t>
      </w:r>
    </w:p>
    <w:p w14:paraId="2E8A88DE">
      <w:pPr>
        <w:snapToGrid w:val="0"/>
        <w:spacing w:line="360" w:lineRule="auto"/>
        <w:ind w:firstLine="420" w:firstLineChars="200"/>
        <w:rPr>
          <w:rFonts w:hint="eastAsia" w:ascii="宋体" w:hAnsi="宋体" w:cs="Arial"/>
        </w:rPr>
      </w:pPr>
      <w:r>
        <w:rPr>
          <w:rFonts w:hint="eastAsia" w:ascii="宋体" w:hAnsi="宋体" w:cs="Arial"/>
        </w:rPr>
        <w:t xml:space="preserve">法定代表人：于文强 </w:t>
      </w:r>
    </w:p>
    <w:p w14:paraId="043E63F2">
      <w:pPr>
        <w:snapToGrid w:val="0"/>
        <w:spacing w:line="360" w:lineRule="auto"/>
        <w:ind w:firstLine="420" w:firstLineChars="200"/>
        <w:rPr>
          <w:rFonts w:hint="eastAsia" w:ascii="宋体" w:hAnsi="宋体" w:cs="Arial"/>
        </w:rPr>
      </w:pPr>
      <w:r>
        <w:rPr>
          <w:rFonts w:hint="eastAsia" w:ascii="宋体" w:hAnsi="宋体" w:cs="Arial"/>
        </w:rPr>
        <w:t xml:space="preserve">电 话：0755-25946013 </w:t>
      </w:r>
    </w:p>
    <w:p w14:paraId="61241ABC">
      <w:pPr>
        <w:snapToGrid w:val="0"/>
        <w:spacing w:line="360" w:lineRule="auto"/>
        <w:ind w:firstLine="420" w:firstLineChars="200"/>
        <w:rPr>
          <w:rFonts w:hint="eastAsia" w:ascii="宋体" w:hAnsi="宋体" w:cs="Arial"/>
        </w:rPr>
      </w:pPr>
      <w:r>
        <w:rPr>
          <w:rFonts w:hint="eastAsia" w:ascii="宋体" w:hAnsi="宋体" w:cs="Arial"/>
        </w:rPr>
        <w:t>传 真：0755-25987122</w:t>
      </w:r>
    </w:p>
    <w:p w14:paraId="3E3324D0">
      <w:pPr>
        <w:adjustRightInd w:val="0"/>
        <w:snapToGrid w:val="0"/>
        <w:spacing w:line="360" w:lineRule="auto"/>
        <w:ind w:firstLine="420" w:firstLineChars="200"/>
        <w:rPr>
          <w:rFonts w:hint="eastAsia" w:ascii="宋体" w:hAnsi="宋体" w:cs="Arial"/>
        </w:rPr>
      </w:pPr>
      <w:r>
        <w:rPr>
          <w:rFonts w:hint="eastAsia" w:ascii="宋体" w:hAnsi="宋体" w:cs="Arial"/>
        </w:rPr>
        <w:t>联系人：严峰</w:t>
      </w:r>
    </w:p>
    <w:p w14:paraId="78F38C6C">
      <w:pPr>
        <w:snapToGrid w:val="0"/>
        <w:spacing w:line="360" w:lineRule="auto"/>
        <w:ind w:firstLine="422" w:firstLineChars="200"/>
        <w:rPr>
          <w:rFonts w:hint="eastAsia" w:ascii="宋体" w:hAnsi="宋体" w:cs="Arial"/>
          <w:b/>
          <w:szCs w:val="21"/>
        </w:rPr>
      </w:pPr>
      <w:r>
        <w:rPr>
          <w:rFonts w:ascii="宋体" w:hAnsi="宋体" w:cs="Arial"/>
          <w:b/>
          <w:szCs w:val="21"/>
        </w:rPr>
        <w:t>三、</w:t>
      </w:r>
      <w:r>
        <w:rPr>
          <w:rFonts w:hint="eastAsia" w:ascii="宋体" w:hAnsi="宋体"/>
          <w:b/>
          <w:bCs/>
        </w:rPr>
        <w:t>出具法律意见书的律师事务所</w:t>
      </w:r>
    </w:p>
    <w:p w14:paraId="1CECA695">
      <w:pPr>
        <w:pStyle w:val="37"/>
        <w:spacing w:before="0" w:beforeAutospacing="0" w:after="0" w:afterAutospacing="0" w:line="360" w:lineRule="auto"/>
        <w:ind w:firstLine="420"/>
        <w:jc w:val="both"/>
        <w:rPr>
          <w:rFonts w:hint="eastAsia"/>
          <w:sz w:val="21"/>
          <w:szCs w:val="21"/>
        </w:rPr>
      </w:pPr>
      <w:r>
        <w:rPr>
          <w:rFonts w:hint="eastAsia"/>
          <w:sz w:val="21"/>
          <w:szCs w:val="21"/>
        </w:rPr>
        <w:t>名称：上海源泰律师事务所</w:t>
      </w:r>
    </w:p>
    <w:p w14:paraId="368B9109">
      <w:pPr>
        <w:pStyle w:val="37"/>
        <w:spacing w:before="0" w:beforeAutospacing="0" w:after="0" w:afterAutospacing="0" w:line="360" w:lineRule="auto"/>
        <w:ind w:firstLine="420"/>
        <w:jc w:val="both"/>
        <w:rPr>
          <w:rFonts w:hint="eastAsia"/>
          <w:sz w:val="21"/>
          <w:szCs w:val="21"/>
        </w:rPr>
      </w:pPr>
      <w:r>
        <w:rPr>
          <w:rFonts w:hint="eastAsia"/>
          <w:sz w:val="21"/>
          <w:szCs w:val="21"/>
        </w:rPr>
        <w:t>住所：上海市浦东新区浦东南路256号华夏银行大厦14楼</w:t>
      </w:r>
    </w:p>
    <w:p w14:paraId="1ECBBD30">
      <w:pPr>
        <w:pStyle w:val="37"/>
        <w:spacing w:before="0" w:beforeAutospacing="0" w:after="0" w:afterAutospacing="0" w:line="360" w:lineRule="auto"/>
        <w:ind w:firstLine="420"/>
        <w:jc w:val="both"/>
        <w:rPr>
          <w:rFonts w:hint="eastAsia"/>
          <w:sz w:val="21"/>
          <w:szCs w:val="21"/>
        </w:rPr>
      </w:pPr>
      <w:r>
        <w:rPr>
          <w:rFonts w:hint="eastAsia"/>
          <w:sz w:val="21"/>
          <w:szCs w:val="21"/>
        </w:rPr>
        <w:t>办公地址：上海市浦东新区浦东南路256号华夏银行大厦14楼</w:t>
      </w:r>
    </w:p>
    <w:p w14:paraId="6FAC79FB">
      <w:pPr>
        <w:pStyle w:val="37"/>
        <w:spacing w:before="0" w:beforeAutospacing="0" w:after="0" w:afterAutospacing="0" w:line="360" w:lineRule="auto"/>
        <w:ind w:firstLine="420"/>
        <w:jc w:val="both"/>
        <w:rPr>
          <w:rFonts w:hint="eastAsia"/>
          <w:sz w:val="21"/>
          <w:szCs w:val="21"/>
        </w:rPr>
      </w:pPr>
      <w:r>
        <w:rPr>
          <w:rFonts w:hint="eastAsia"/>
          <w:sz w:val="21"/>
          <w:szCs w:val="21"/>
        </w:rPr>
        <w:t>负责人：廖海</w:t>
      </w:r>
    </w:p>
    <w:p w14:paraId="71BCF13B">
      <w:pPr>
        <w:pStyle w:val="37"/>
        <w:spacing w:before="0" w:beforeAutospacing="0" w:after="0" w:afterAutospacing="0" w:line="360" w:lineRule="auto"/>
        <w:ind w:firstLine="420"/>
        <w:jc w:val="both"/>
        <w:rPr>
          <w:rFonts w:hint="eastAsia"/>
          <w:sz w:val="21"/>
          <w:szCs w:val="21"/>
        </w:rPr>
      </w:pPr>
      <w:r>
        <w:rPr>
          <w:rFonts w:hint="eastAsia"/>
          <w:sz w:val="21"/>
          <w:szCs w:val="21"/>
        </w:rPr>
        <w:t>联系人：刘佳</w:t>
      </w:r>
    </w:p>
    <w:p w14:paraId="392DF911">
      <w:pPr>
        <w:pStyle w:val="37"/>
        <w:spacing w:before="0" w:beforeAutospacing="0" w:after="0" w:afterAutospacing="0" w:line="360" w:lineRule="auto"/>
        <w:ind w:firstLine="420"/>
        <w:jc w:val="both"/>
        <w:rPr>
          <w:rFonts w:hint="eastAsia"/>
          <w:sz w:val="21"/>
          <w:szCs w:val="21"/>
        </w:rPr>
      </w:pPr>
      <w:r>
        <w:rPr>
          <w:rFonts w:hint="eastAsia"/>
          <w:sz w:val="21"/>
          <w:szCs w:val="21"/>
        </w:rPr>
        <w:t>电话：（021）51150298</w:t>
      </w:r>
    </w:p>
    <w:p w14:paraId="1F370404">
      <w:pPr>
        <w:pStyle w:val="37"/>
        <w:spacing w:before="0" w:beforeAutospacing="0" w:after="0" w:afterAutospacing="0" w:line="360" w:lineRule="auto"/>
        <w:ind w:firstLine="420"/>
        <w:jc w:val="both"/>
        <w:rPr>
          <w:rFonts w:hint="eastAsia"/>
          <w:sz w:val="21"/>
          <w:szCs w:val="21"/>
        </w:rPr>
      </w:pPr>
      <w:r>
        <w:rPr>
          <w:rFonts w:hint="eastAsia"/>
          <w:sz w:val="21"/>
          <w:szCs w:val="21"/>
        </w:rPr>
        <w:t>传真：（021）51150398</w:t>
      </w:r>
    </w:p>
    <w:p w14:paraId="43BBC313">
      <w:pPr>
        <w:snapToGrid w:val="0"/>
        <w:spacing w:line="360" w:lineRule="auto"/>
        <w:ind w:firstLine="420" w:firstLineChars="200"/>
        <w:rPr>
          <w:szCs w:val="21"/>
        </w:rPr>
      </w:pPr>
      <w:r>
        <w:rPr>
          <w:rFonts w:hint="eastAsia"/>
          <w:szCs w:val="21"/>
        </w:rPr>
        <w:t>经办律师：刘佳、张雯倩</w:t>
      </w:r>
    </w:p>
    <w:p w14:paraId="22754F3F">
      <w:pPr>
        <w:snapToGrid w:val="0"/>
        <w:spacing w:line="360" w:lineRule="auto"/>
        <w:ind w:firstLine="422" w:firstLineChars="200"/>
        <w:rPr>
          <w:rFonts w:hint="eastAsia" w:ascii="宋体" w:hAnsi="宋体" w:cs="Arial"/>
          <w:b/>
          <w:szCs w:val="21"/>
        </w:rPr>
      </w:pPr>
      <w:r>
        <w:rPr>
          <w:rFonts w:hint="eastAsia" w:ascii="宋体" w:hAnsi="宋体" w:cs="Arial"/>
          <w:b/>
          <w:szCs w:val="21"/>
        </w:rPr>
        <w:t>四、会计师事务所和经办注册会计师</w:t>
      </w:r>
    </w:p>
    <w:p w14:paraId="30B2E4A0">
      <w:pPr>
        <w:pStyle w:val="155"/>
        <w:rPr>
          <w:rFonts w:hint="eastAsia" w:ascii="宋体" w:hAnsi="宋体" w:cs="Arial"/>
          <w:b w:val="0"/>
          <w:bCs/>
          <w:szCs w:val="21"/>
        </w:rPr>
      </w:pPr>
      <w:r>
        <w:rPr>
          <w:rFonts w:hint="eastAsia" w:ascii="宋体" w:hAnsi="宋体" w:cs="Arial"/>
          <w:b w:val="0"/>
          <w:bCs/>
          <w:szCs w:val="21"/>
        </w:rPr>
        <w:t xml:space="preserve">本基金的法定验资机构为安永华明会计师事务所（特殊普通合伙）  </w:t>
      </w:r>
    </w:p>
    <w:p w14:paraId="55181008">
      <w:pPr>
        <w:pStyle w:val="155"/>
        <w:rPr>
          <w:rFonts w:hint="eastAsia" w:ascii="宋体" w:hAnsi="宋体" w:cs="宋体"/>
          <w:kern w:val="0"/>
        </w:rPr>
      </w:pPr>
      <w:r>
        <w:rPr>
          <w:rFonts w:hint="eastAsia" w:ascii="宋体" w:hAnsi="宋体" w:cs="宋体"/>
          <w:kern w:val="0"/>
        </w:rPr>
        <w:t>名称：安永华明会计师事务所（特殊普通合伙）</w:t>
      </w:r>
    </w:p>
    <w:p w14:paraId="5B80CC23">
      <w:pPr>
        <w:pStyle w:val="155"/>
        <w:rPr>
          <w:rFonts w:hint="eastAsia" w:ascii="宋体" w:hAnsi="宋体" w:cs="宋体"/>
          <w:kern w:val="0"/>
        </w:rPr>
      </w:pPr>
      <w:r>
        <w:rPr>
          <w:rFonts w:hint="eastAsia" w:ascii="宋体" w:hAnsi="宋体" w:cs="宋体"/>
          <w:kern w:val="0"/>
        </w:rPr>
        <w:t>住所：北京市东城区东长安街1号东方广场安永大楼17层01-12室</w:t>
      </w:r>
    </w:p>
    <w:p w14:paraId="20850F0D">
      <w:pPr>
        <w:pStyle w:val="155"/>
        <w:rPr>
          <w:rFonts w:hint="eastAsia" w:ascii="宋体" w:hAnsi="宋体" w:cs="宋体"/>
          <w:kern w:val="0"/>
        </w:rPr>
      </w:pPr>
      <w:r>
        <w:rPr>
          <w:rFonts w:hint="eastAsia" w:ascii="宋体" w:hAnsi="宋体" w:cs="宋体"/>
          <w:kern w:val="0"/>
        </w:rPr>
        <w:t>办公地址：北京市东城区东长安街1号东方广场安永大楼17层01-12室</w:t>
      </w:r>
    </w:p>
    <w:p w14:paraId="15084857">
      <w:pPr>
        <w:pStyle w:val="155"/>
        <w:rPr>
          <w:rFonts w:hint="eastAsia" w:ascii="宋体" w:hAnsi="宋体" w:cs="宋体"/>
          <w:kern w:val="0"/>
        </w:rPr>
      </w:pPr>
      <w:r>
        <w:rPr>
          <w:rFonts w:hint="eastAsia" w:ascii="宋体" w:hAnsi="宋体" w:cs="宋体"/>
          <w:kern w:val="0"/>
        </w:rPr>
        <w:t>执行事务合伙人：毛鞍宁</w:t>
      </w:r>
    </w:p>
    <w:p w14:paraId="31520BB8">
      <w:pPr>
        <w:pStyle w:val="155"/>
        <w:rPr>
          <w:rFonts w:hint="eastAsia" w:ascii="宋体" w:hAnsi="宋体" w:cs="宋体"/>
          <w:kern w:val="0"/>
        </w:rPr>
      </w:pPr>
      <w:r>
        <w:rPr>
          <w:rFonts w:hint="eastAsia" w:ascii="宋体" w:hAnsi="宋体" w:cs="宋体"/>
          <w:kern w:val="0"/>
        </w:rPr>
        <w:t>联系电话：（010）58153000</w:t>
      </w:r>
    </w:p>
    <w:p w14:paraId="0106C33F">
      <w:pPr>
        <w:pStyle w:val="155"/>
        <w:rPr>
          <w:rFonts w:hint="eastAsia" w:ascii="宋体" w:hAnsi="宋体" w:cs="宋体"/>
          <w:kern w:val="0"/>
        </w:rPr>
      </w:pPr>
      <w:r>
        <w:rPr>
          <w:rFonts w:hint="eastAsia" w:ascii="宋体" w:hAnsi="宋体" w:cs="宋体"/>
          <w:kern w:val="0"/>
        </w:rPr>
        <w:t>传真电话：（010）85188298</w:t>
      </w:r>
    </w:p>
    <w:p w14:paraId="28BE3B81">
      <w:pPr>
        <w:pStyle w:val="155"/>
        <w:rPr>
          <w:rFonts w:hint="eastAsia" w:ascii="宋体" w:hAnsi="宋体" w:cs="宋体"/>
          <w:kern w:val="0"/>
        </w:rPr>
      </w:pPr>
      <w:r>
        <w:rPr>
          <w:rFonts w:hint="eastAsia" w:ascii="宋体" w:hAnsi="宋体" w:cs="宋体"/>
          <w:kern w:val="0"/>
        </w:rPr>
        <w:t>经办注册会计师： 高鹤、楼坚、王海彦</w:t>
      </w:r>
    </w:p>
    <w:p w14:paraId="5C2A957B">
      <w:pPr>
        <w:pStyle w:val="155"/>
        <w:rPr>
          <w:rFonts w:hint="eastAsia" w:ascii="宋体" w:hAnsi="宋体" w:cs="宋体"/>
          <w:kern w:val="0"/>
        </w:rPr>
      </w:pPr>
      <w:r>
        <w:rPr>
          <w:rFonts w:hint="eastAsia" w:ascii="宋体" w:hAnsi="宋体" w:cs="宋体"/>
          <w:kern w:val="0"/>
        </w:rPr>
        <w:t>联系人：王海彦</w:t>
      </w:r>
    </w:p>
    <w:p w14:paraId="27240AB0">
      <w:pPr>
        <w:pStyle w:val="155"/>
        <w:rPr>
          <w:rFonts w:hint="eastAsia" w:ascii="宋体" w:hAnsi="宋体" w:cs="宋体"/>
          <w:kern w:val="0"/>
        </w:rPr>
      </w:pPr>
    </w:p>
    <w:p w14:paraId="71DED65E">
      <w:pPr>
        <w:spacing w:line="360" w:lineRule="auto"/>
        <w:ind w:firstLine="420" w:firstLineChars="200"/>
        <w:rPr>
          <w:rFonts w:hint="eastAsia" w:ascii="宋体" w:hAnsi="宋体" w:cs="Arial"/>
        </w:rPr>
      </w:pPr>
      <w:r>
        <w:rPr>
          <w:rFonts w:hint="eastAsia" w:ascii="宋体" w:hAnsi="宋体" w:cs="Arial"/>
        </w:rPr>
        <w:t>本基金的年度财务报表及其他规定事项的审计机构为容诚会计师事务所（特殊普通合伙）</w:t>
      </w:r>
    </w:p>
    <w:p w14:paraId="6FD97848">
      <w:pPr>
        <w:adjustRightInd w:val="0"/>
        <w:snapToGrid w:val="0"/>
        <w:spacing w:line="360" w:lineRule="auto"/>
        <w:ind w:firstLine="420" w:firstLineChars="200"/>
        <w:rPr>
          <w:rFonts w:hint="eastAsia" w:ascii="宋体" w:hAnsi="宋体" w:cs="Arial"/>
        </w:rPr>
      </w:pPr>
      <w:r>
        <w:rPr>
          <w:rFonts w:hint="eastAsia" w:ascii="宋体" w:hAnsi="宋体" w:cs="Arial"/>
        </w:rPr>
        <w:t>名称：容诚会计师事务所（特殊普通合伙）</w:t>
      </w:r>
    </w:p>
    <w:p w14:paraId="4B2D9217">
      <w:pPr>
        <w:adjustRightInd w:val="0"/>
        <w:snapToGrid w:val="0"/>
        <w:spacing w:line="360" w:lineRule="auto"/>
        <w:ind w:firstLine="420" w:firstLineChars="200"/>
        <w:rPr>
          <w:rFonts w:hint="eastAsia" w:ascii="宋体" w:hAnsi="宋体" w:cs="Arial"/>
        </w:rPr>
      </w:pPr>
      <w:r>
        <w:rPr>
          <w:rFonts w:hint="eastAsia" w:ascii="宋体" w:hAnsi="宋体" w:cs="Arial"/>
        </w:rPr>
        <w:t>住所：北京市西城区阜成门外大街22号1幢10层1001-1至1001-26</w:t>
      </w:r>
    </w:p>
    <w:p w14:paraId="661A31F2">
      <w:pPr>
        <w:adjustRightInd w:val="0"/>
        <w:snapToGrid w:val="0"/>
        <w:spacing w:line="360" w:lineRule="auto"/>
        <w:ind w:firstLine="420" w:firstLineChars="200"/>
        <w:rPr>
          <w:rFonts w:hint="eastAsia" w:ascii="宋体" w:hAnsi="宋体" w:cs="Arial"/>
        </w:rPr>
      </w:pPr>
      <w:r>
        <w:rPr>
          <w:rFonts w:hint="eastAsia" w:ascii="宋体" w:hAnsi="宋体" w:cs="Arial"/>
        </w:rPr>
        <w:t>办公地址：北京市西城区阜成门外大街22号1幢10层1001-1至1001-26</w:t>
      </w:r>
    </w:p>
    <w:p w14:paraId="48D0E875">
      <w:pPr>
        <w:adjustRightInd w:val="0"/>
        <w:snapToGrid w:val="0"/>
        <w:spacing w:line="360" w:lineRule="auto"/>
        <w:ind w:firstLine="420" w:firstLineChars="200"/>
        <w:rPr>
          <w:rFonts w:hint="eastAsia" w:ascii="宋体" w:hAnsi="宋体" w:cs="Arial"/>
        </w:rPr>
      </w:pPr>
      <w:r>
        <w:rPr>
          <w:rFonts w:hint="eastAsia" w:ascii="宋体" w:hAnsi="宋体" w:cs="Arial"/>
        </w:rPr>
        <w:t>执行事务合伙人：刘维、肖厚发</w:t>
      </w:r>
    </w:p>
    <w:p w14:paraId="4590157E">
      <w:pPr>
        <w:adjustRightInd w:val="0"/>
        <w:snapToGrid w:val="0"/>
        <w:spacing w:line="360" w:lineRule="auto"/>
        <w:ind w:firstLine="420" w:firstLineChars="200"/>
        <w:rPr>
          <w:rFonts w:hint="eastAsia" w:ascii="宋体" w:hAnsi="宋体" w:cs="Arial"/>
        </w:rPr>
      </w:pPr>
      <w:r>
        <w:rPr>
          <w:rFonts w:hint="eastAsia" w:ascii="宋体" w:hAnsi="宋体" w:cs="Arial"/>
        </w:rPr>
        <w:t>联系电话：010-66001391</w:t>
      </w:r>
    </w:p>
    <w:p w14:paraId="119F4F70">
      <w:pPr>
        <w:adjustRightInd w:val="0"/>
        <w:snapToGrid w:val="0"/>
        <w:spacing w:line="360" w:lineRule="auto"/>
        <w:ind w:firstLine="420" w:firstLineChars="200"/>
        <w:rPr>
          <w:rFonts w:hint="eastAsia" w:ascii="宋体" w:hAnsi="宋体" w:cs="Arial"/>
        </w:rPr>
      </w:pPr>
      <w:r>
        <w:rPr>
          <w:rFonts w:hint="eastAsia" w:ascii="宋体" w:hAnsi="宋体" w:cs="Arial"/>
        </w:rPr>
        <w:t>传真：010-66001392</w:t>
      </w:r>
    </w:p>
    <w:p w14:paraId="776A397C">
      <w:pPr>
        <w:adjustRightInd w:val="0"/>
        <w:snapToGrid w:val="0"/>
        <w:spacing w:line="360" w:lineRule="auto"/>
        <w:ind w:firstLine="420" w:firstLineChars="200"/>
        <w:rPr>
          <w:rFonts w:hint="eastAsia" w:ascii="宋体" w:hAnsi="宋体" w:cs="Arial"/>
        </w:rPr>
      </w:pPr>
      <w:r>
        <w:rPr>
          <w:rFonts w:hint="eastAsia" w:ascii="宋体" w:hAnsi="宋体" w:cs="Arial"/>
        </w:rPr>
        <w:t>联系人：吴琳杰</w:t>
      </w:r>
    </w:p>
    <w:p w14:paraId="786A129F">
      <w:pPr>
        <w:adjustRightInd w:val="0"/>
        <w:snapToGrid w:val="0"/>
        <w:spacing w:line="360" w:lineRule="auto"/>
        <w:ind w:firstLine="420" w:firstLineChars="200"/>
        <w:rPr>
          <w:rFonts w:hint="eastAsia" w:ascii="宋体" w:hAnsi="宋体" w:cs="Arial"/>
        </w:rPr>
      </w:pPr>
      <w:r>
        <w:rPr>
          <w:rFonts w:hint="eastAsia" w:ascii="宋体" w:hAnsi="宋体" w:cs="Arial"/>
        </w:rPr>
        <w:t>经办注册会计师：薛竞 吴琳杰</w:t>
      </w:r>
    </w:p>
    <w:p w14:paraId="4786A9D9">
      <w:pPr>
        <w:adjustRightInd w:val="0"/>
        <w:snapToGrid w:val="0"/>
        <w:spacing w:line="360" w:lineRule="auto"/>
        <w:rPr>
          <w:rFonts w:hint="eastAsia" w:ascii="Arial Unicode MS" w:hAnsi="Arial Unicode MS" w:cs="Arial"/>
          <w:kern w:val="0"/>
          <w:szCs w:val="21"/>
        </w:rPr>
      </w:pPr>
    </w:p>
    <w:p w14:paraId="065EB0C6">
      <w:pPr>
        <w:adjustRightInd w:val="0"/>
        <w:snapToGrid w:val="0"/>
        <w:spacing w:line="360" w:lineRule="auto"/>
        <w:rPr>
          <w:rFonts w:hint="eastAsia" w:ascii="Arial Unicode MS" w:hAnsi="Arial Unicode MS" w:cs="Arial"/>
          <w:kern w:val="0"/>
          <w:szCs w:val="21"/>
        </w:rPr>
        <w:sectPr>
          <w:footerReference r:id="rId17" w:type="first"/>
          <w:footerReference r:id="rId16" w:type="default"/>
          <w:pgSz w:w="11906" w:h="16838"/>
          <w:pgMar w:top="1440" w:right="1800" w:bottom="1440" w:left="1800" w:header="851" w:footer="992" w:gutter="0"/>
          <w:cols w:space="720" w:num="1"/>
          <w:titlePg/>
          <w:docGrid w:linePitch="312" w:charSpace="0"/>
        </w:sectPr>
      </w:pPr>
    </w:p>
    <w:p w14:paraId="0C11D5AC">
      <w:pPr>
        <w:pStyle w:val="2"/>
        <w:snapToGrid w:val="0"/>
        <w:spacing w:before="0" w:after="0" w:line="360" w:lineRule="auto"/>
        <w:ind w:firstLine="141" w:firstLineChars="50"/>
        <w:rPr>
          <w:rFonts w:hint="eastAsia" w:hAnsi="宋体" w:eastAsia="宋体" w:cs="Arial"/>
          <w:b/>
          <w:bCs/>
          <w:sz w:val="28"/>
          <w:szCs w:val="28"/>
        </w:rPr>
      </w:pPr>
      <w:bookmarkStart w:id="35" w:name="_Toc86655816"/>
      <w:bookmarkStart w:id="36" w:name="_Toc408484001"/>
      <w:bookmarkStart w:id="37" w:name="_Toc50661124"/>
      <w:bookmarkStart w:id="38" w:name="_Toc31846"/>
      <w:bookmarkStart w:id="39" w:name="_Toc147463116"/>
      <w:bookmarkStart w:id="40" w:name="_Toc21073389"/>
      <w:bookmarkStart w:id="41" w:name="_Toc12357169"/>
      <w:bookmarkStart w:id="42" w:name="_Toc214873595"/>
      <w:r>
        <w:rPr>
          <w:rFonts w:hAnsi="宋体" w:eastAsia="宋体" w:cs="Arial"/>
          <w:b/>
          <w:bCs/>
          <w:sz w:val="28"/>
          <w:szCs w:val="28"/>
        </w:rPr>
        <w:t xml:space="preserve">第六部分  </w:t>
      </w:r>
      <w:r>
        <w:rPr>
          <w:rFonts w:hint="eastAsia" w:hAnsi="宋体" w:eastAsia="宋体" w:cs="Arial"/>
          <w:b/>
          <w:bCs/>
          <w:sz w:val="28"/>
          <w:szCs w:val="28"/>
        </w:rPr>
        <w:t>基金份额的发售</w:t>
      </w:r>
      <w:bookmarkEnd w:id="35"/>
      <w:bookmarkEnd w:id="36"/>
      <w:bookmarkEnd w:id="37"/>
      <w:bookmarkEnd w:id="38"/>
    </w:p>
    <w:p w14:paraId="602F8CF2">
      <w:pPr>
        <w:spacing w:line="360" w:lineRule="auto"/>
        <w:rPr>
          <w:rFonts w:hint="eastAsia" w:ascii="宋体" w:hAnsi="宋体"/>
        </w:rPr>
      </w:pPr>
    </w:p>
    <w:bookmarkEnd w:id="39"/>
    <w:bookmarkEnd w:id="40"/>
    <w:bookmarkEnd w:id="41"/>
    <w:bookmarkEnd w:id="42"/>
    <w:p w14:paraId="7B55E6DF">
      <w:pPr>
        <w:autoSpaceDE w:val="0"/>
        <w:autoSpaceDN w:val="0"/>
        <w:adjustRightInd w:val="0"/>
        <w:snapToGrid w:val="0"/>
        <w:spacing w:line="360" w:lineRule="auto"/>
        <w:ind w:firstLine="420" w:firstLineChars="200"/>
        <w:rPr>
          <w:rFonts w:hint="eastAsia" w:ascii="宋体" w:hAnsi="宋体" w:cs="Arial"/>
          <w:szCs w:val="21"/>
        </w:rPr>
      </w:pPr>
      <w:bookmarkStart w:id="43" w:name="_Toc355947447"/>
      <w:bookmarkStart w:id="44" w:name="_Toc237176223"/>
      <w:bookmarkStart w:id="45" w:name="_Toc147463118"/>
      <w:bookmarkStart w:id="46" w:name="_Toc21073391"/>
      <w:bookmarkStart w:id="47" w:name="_Toc214873597"/>
      <w:bookmarkStart w:id="48" w:name="_Toc12357171"/>
      <w:r>
        <w:rPr>
          <w:rFonts w:ascii="宋体" w:hAnsi="宋体" w:cs="Arial"/>
          <w:szCs w:val="21"/>
        </w:rPr>
        <w:t>基金管理人按照《基金法》、《运作办法》、《销售办法》、基金合同及其他有关规定募集本基金，并于</w:t>
      </w:r>
      <w:r>
        <w:rPr>
          <w:rFonts w:hint="eastAsia" w:ascii="宋体" w:hAnsi="宋体" w:cs="Arial"/>
          <w:szCs w:val="21"/>
        </w:rPr>
        <w:t>2026年</w:t>
      </w:r>
      <w:r>
        <w:rPr>
          <w:rFonts w:hint="eastAsia" w:ascii="宋体" w:hAnsi="宋体" w:cs="Arial"/>
          <w:szCs w:val="21"/>
          <w:lang w:val="en-US" w:eastAsia="zh-CN"/>
        </w:rPr>
        <w:t>6</w:t>
      </w:r>
      <w:r>
        <w:rPr>
          <w:rFonts w:hint="eastAsia" w:ascii="宋体" w:hAnsi="宋体" w:cs="Arial"/>
          <w:szCs w:val="21"/>
        </w:rPr>
        <w:t>月</w:t>
      </w:r>
      <w:r>
        <w:rPr>
          <w:rFonts w:hint="eastAsia" w:ascii="宋体" w:hAnsi="宋体" w:cs="Arial"/>
          <w:szCs w:val="21"/>
          <w:lang w:val="en-US" w:eastAsia="zh-CN"/>
        </w:rPr>
        <w:t>12</w:t>
      </w:r>
      <w:r>
        <w:rPr>
          <w:rFonts w:hint="eastAsia" w:ascii="宋体" w:hAnsi="宋体" w:cs="Arial"/>
          <w:szCs w:val="21"/>
        </w:rPr>
        <w:t>日</w:t>
      </w:r>
      <w:r>
        <w:rPr>
          <w:rFonts w:ascii="宋体" w:hAnsi="宋体" w:cs="Arial"/>
          <w:szCs w:val="21"/>
        </w:rPr>
        <w:t>经</w:t>
      </w:r>
      <w:r>
        <w:rPr>
          <w:rFonts w:ascii="宋体" w:hAnsi="宋体" w:cs="Arial"/>
          <w:kern w:val="0"/>
          <w:szCs w:val="21"/>
        </w:rPr>
        <w:t>中国证监会</w:t>
      </w:r>
      <w:r>
        <w:rPr>
          <w:rFonts w:hint="eastAsia" w:ascii="宋体" w:hAnsi="宋体" w:cs="Arial"/>
          <w:kern w:val="0"/>
          <w:szCs w:val="21"/>
          <w:lang w:eastAsia="zh-CN"/>
        </w:rPr>
        <w:t>证监许可[2026]1460号</w:t>
      </w:r>
      <w:r>
        <w:rPr>
          <w:rFonts w:ascii="宋体" w:hAnsi="宋体" w:cs="Arial"/>
          <w:kern w:val="0"/>
          <w:szCs w:val="21"/>
        </w:rPr>
        <w:t>文</w:t>
      </w:r>
      <w:r>
        <w:rPr>
          <w:rFonts w:hint="eastAsia" w:ascii="宋体" w:hAnsi="宋体" w:cs="Arial"/>
          <w:szCs w:val="21"/>
        </w:rPr>
        <w:t>准予</w:t>
      </w:r>
      <w:r>
        <w:rPr>
          <w:rFonts w:ascii="宋体" w:hAnsi="宋体" w:cs="Arial"/>
          <w:szCs w:val="21"/>
        </w:rPr>
        <w:t>募集</w:t>
      </w:r>
      <w:r>
        <w:rPr>
          <w:rFonts w:hint="eastAsia" w:ascii="宋体" w:hAnsi="宋体" w:cs="Arial"/>
          <w:szCs w:val="21"/>
        </w:rPr>
        <w:t>注册</w:t>
      </w:r>
      <w:r>
        <w:rPr>
          <w:rFonts w:ascii="宋体" w:hAnsi="宋体" w:cs="Arial"/>
          <w:szCs w:val="21"/>
        </w:rPr>
        <w:t>。</w:t>
      </w:r>
    </w:p>
    <w:p w14:paraId="53A57544">
      <w:pPr>
        <w:spacing w:line="360" w:lineRule="auto"/>
        <w:ind w:firstLine="422" w:firstLineChars="200"/>
        <w:rPr>
          <w:rFonts w:hint="eastAsia" w:ascii="宋体" w:hAnsi="宋体" w:cs="Arial"/>
          <w:b/>
        </w:rPr>
      </w:pPr>
      <w:r>
        <w:rPr>
          <w:rFonts w:ascii="宋体" w:hAnsi="宋体" w:cs="Arial"/>
          <w:b/>
        </w:rPr>
        <w:t>一、基金名称</w:t>
      </w:r>
    </w:p>
    <w:p w14:paraId="3EAACBB2">
      <w:pPr>
        <w:spacing w:line="360" w:lineRule="auto"/>
        <w:ind w:firstLine="420" w:firstLineChars="200"/>
        <w:rPr>
          <w:rFonts w:hint="eastAsia" w:ascii="宋体" w:hAnsi="宋体" w:cs="Arial"/>
        </w:rPr>
      </w:pPr>
      <w:r>
        <w:rPr>
          <w:rFonts w:hint="eastAsia" w:ascii="宋体" w:hAnsi="宋体" w:cs="Arial"/>
        </w:rPr>
        <w:t>博时中证细分化工产业主题交易型开放式指数证券投资基金</w:t>
      </w:r>
    </w:p>
    <w:p w14:paraId="07DADBB4">
      <w:pPr>
        <w:spacing w:line="360" w:lineRule="auto"/>
        <w:ind w:firstLine="422" w:firstLineChars="200"/>
        <w:rPr>
          <w:rFonts w:hint="eastAsia" w:ascii="宋体" w:hAnsi="宋体" w:cs="Arial"/>
          <w:b/>
        </w:rPr>
      </w:pPr>
      <w:r>
        <w:rPr>
          <w:rFonts w:ascii="宋体" w:hAnsi="宋体" w:cs="Arial"/>
          <w:b/>
        </w:rPr>
        <w:t>二、基金类型</w:t>
      </w:r>
    </w:p>
    <w:p w14:paraId="77755451">
      <w:pPr>
        <w:spacing w:line="360" w:lineRule="auto"/>
        <w:ind w:firstLine="420" w:firstLineChars="200"/>
        <w:rPr>
          <w:rFonts w:hint="eastAsia" w:ascii="宋体" w:hAnsi="宋体" w:cs="Arial"/>
        </w:rPr>
      </w:pPr>
      <w:r>
        <w:rPr>
          <w:rFonts w:ascii="宋体" w:hAnsi="宋体" w:cs="Arial"/>
          <w:kern w:val="0"/>
          <w:szCs w:val="21"/>
        </w:rPr>
        <w:t>股票型指数证券投资基金</w:t>
      </w:r>
    </w:p>
    <w:p w14:paraId="0E97AEA5">
      <w:pPr>
        <w:spacing w:line="360" w:lineRule="auto"/>
        <w:ind w:firstLine="422" w:firstLineChars="200"/>
        <w:rPr>
          <w:rFonts w:hint="eastAsia" w:ascii="宋体" w:hAnsi="宋体" w:cs="Arial"/>
          <w:b/>
        </w:rPr>
      </w:pPr>
      <w:r>
        <w:rPr>
          <w:rFonts w:ascii="宋体" w:hAnsi="宋体" w:cs="Arial"/>
          <w:b/>
        </w:rPr>
        <w:t>三、基金存续期限</w:t>
      </w:r>
    </w:p>
    <w:p w14:paraId="7CB43AE7">
      <w:pPr>
        <w:spacing w:line="360" w:lineRule="auto"/>
        <w:ind w:firstLine="420" w:firstLineChars="200"/>
        <w:rPr>
          <w:rFonts w:hint="eastAsia" w:ascii="宋体" w:hAnsi="宋体" w:cs="Arial"/>
        </w:rPr>
      </w:pPr>
      <w:r>
        <w:rPr>
          <w:rFonts w:ascii="宋体" w:hAnsi="宋体" w:cs="Arial"/>
        </w:rPr>
        <w:t>不定期</w:t>
      </w:r>
    </w:p>
    <w:p w14:paraId="3B812EA4">
      <w:pPr>
        <w:snapToGrid w:val="0"/>
        <w:spacing w:line="360" w:lineRule="auto"/>
        <w:ind w:firstLine="420"/>
        <w:rPr>
          <w:rFonts w:hint="eastAsia" w:ascii="宋体" w:hAnsi="宋体" w:cs="Arial"/>
          <w:b/>
        </w:rPr>
      </w:pPr>
      <w:r>
        <w:rPr>
          <w:rFonts w:ascii="宋体" w:hAnsi="宋体" w:cs="Arial"/>
          <w:b/>
        </w:rPr>
        <w:t>四、基金的运作方式</w:t>
      </w:r>
    </w:p>
    <w:p w14:paraId="544FA25B">
      <w:pPr>
        <w:snapToGrid w:val="0"/>
        <w:spacing w:line="360" w:lineRule="auto"/>
        <w:ind w:firstLine="420"/>
        <w:rPr>
          <w:rFonts w:hint="eastAsia" w:ascii="宋体" w:hAnsi="宋体" w:cs="Arial"/>
          <w:bCs/>
        </w:rPr>
      </w:pPr>
      <w:r>
        <w:rPr>
          <w:rFonts w:hint="eastAsia" w:ascii="宋体" w:hAnsi="宋体" w:cs="Arial"/>
          <w:bCs/>
        </w:rPr>
        <w:t>交易型开放式</w:t>
      </w:r>
    </w:p>
    <w:p w14:paraId="497D3EA0">
      <w:pPr>
        <w:snapToGrid w:val="0"/>
        <w:spacing w:line="360" w:lineRule="auto"/>
        <w:ind w:firstLine="420"/>
        <w:rPr>
          <w:rFonts w:hint="eastAsia" w:ascii="宋体" w:hAnsi="宋体" w:cs="Arial"/>
          <w:b/>
        </w:rPr>
      </w:pPr>
      <w:r>
        <w:rPr>
          <w:rFonts w:ascii="宋体" w:hAnsi="宋体" w:cs="Arial"/>
          <w:b/>
        </w:rPr>
        <w:t>五</w:t>
      </w:r>
      <w:r>
        <w:rPr>
          <w:rFonts w:hint="eastAsia" w:ascii="宋体" w:hAnsi="宋体" w:cs="Arial"/>
          <w:b/>
        </w:rPr>
        <w:t>、基金的最低募集份额总额</w:t>
      </w:r>
    </w:p>
    <w:p w14:paraId="7CB5B15E">
      <w:pPr>
        <w:snapToGrid w:val="0"/>
        <w:spacing w:line="360" w:lineRule="auto"/>
        <w:ind w:firstLine="420"/>
        <w:rPr>
          <w:rFonts w:hint="eastAsia" w:ascii="宋体" w:hAnsi="宋体" w:cs="Arial"/>
        </w:rPr>
      </w:pPr>
      <w:r>
        <w:rPr>
          <w:rFonts w:hint="eastAsia" w:ascii="宋体" w:hAnsi="宋体" w:cs="Arial"/>
        </w:rPr>
        <w:t>本基金的最低募集份额总额为</w:t>
      </w:r>
      <w:r>
        <w:rPr>
          <w:rFonts w:ascii="宋体" w:hAnsi="宋体" w:cs="Arial"/>
        </w:rPr>
        <w:t>2亿份。</w:t>
      </w:r>
    </w:p>
    <w:p w14:paraId="580D4C5D">
      <w:pPr>
        <w:snapToGrid w:val="0"/>
        <w:spacing w:line="360" w:lineRule="auto"/>
        <w:ind w:firstLine="420"/>
        <w:rPr>
          <w:rFonts w:hint="eastAsia" w:ascii="宋体" w:hAnsi="宋体" w:cs="Arial"/>
          <w:b/>
        </w:rPr>
      </w:pPr>
      <w:r>
        <w:rPr>
          <w:rFonts w:hint="eastAsia" w:ascii="宋体" w:hAnsi="宋体" w:cs="Arial"/>
          <w:b/>
        </w:rPr>
        <w:t>六、发售时间与发售对象</w:t>
      </w:r>
    </w:p>
    <w:p w14:paraId="6276C690">
      <w:pPr>
        <w:snapToGrid w:val="0"/>
        <w:spacing w:line="360" w:lineRule="auto"/>
        <w:ind w:firstLine="420"/>
        <w:rPr>
          <w:rFonts w:hint="eastAsia" w:ascii="宋体" w:hAnsi="宋体" w:cs="Arial"/>
        </w:rPr>
      </w:pPr>
      <w:r>
        <w:rPr>
          <w:rFonts w:hint="eastAsia" w:ascii="宋体" w:hAnsi="宋体" w:cs="Arial"/>
        </w:rPr>
        <w:t>1、发售时间</w:t>
      </w:r>
    </w:p>
    <w:p w14:paraId="696C8504">
      <w:pPr>
        <w:snapToGrid w:val="0"/>
        <w:spacing w:line="360" w:lineRule="auto"/>
        <w:ind w:firstLine="420"/>
        <w:rPr>
          <w:rFonts w:hint="eastAsia" w:ascii="宋体" w:hAnsi="宋体" w:cs="Arial"/>
        </w:rPr>
      </w:pPr>
      <w:r>
        <w:rPr>
          <w:rFonts w:hint="eastAsia" w:ascii="宋体" w:hAnsi="宋体" w:cs="Arial"/>
        </w:rPr>
        <w:t>自基金份额发售之日起最长不得超过三个月，具体发售时间见基金份额发售公告。</w:t>
      </w:r>
    </w:p>
    <w:p w14:paraId="70B1CD4D">
      <w:pPr>
        <w:snapToGrid w:val="0"/>
        <w:spacing w:line="360" w:lineRule="auto"/>
        <w:ind w:firstLine="420"/>
        <w:rPr>
          <w:rFonts w:hint="eastAsia" w:ascii="宋体" w:hAnsi="宋体" w:cs="Arial"/>
        </w:rPr>
      </w:pPr>
      <w:r>
        <w:rPr>
          <w:rFonts w:hint="eastAsia" w:ascii="宋体" w:hAnsi="宋体" w:cs="Arial"/>
        </w:rPr>
        <w:t>2、发售对象</w:t>
      </w:r>
    </w:p>
    <w:p w14:paraId="23F6C33A">
      <w:pPr>
        <w:snapToGrid w:val="0"/>
        <w:spacing w:line="360" w:lineRule="auto"/>
        <w:ind w:firstLine="420"/>
        <w:rPr>
          <w:rFonts w:hint="eastAsia" w:ascii="宋体" w:hAnsi="宋体" w:cs="Arial"/>
          <w:bCs/>
        </w:rPr>
      </w:pPr>
      <w:r>
        <w:rPr>
          <w:rFonts w:ascii="宋体" w:hAnsi="宋体" w:cs="Arial"/>
          <w:bCs/>
        </w:rPr>
        <w:t>符合法律法规规定的可投资于证券投资基金的个人投资者、机构投资者</w:t>
      </w:r>
      <w:r>
        <w:rPr>
          <w:rFonts w:hint="eastAsia" w:ascii="宋体" w:hAnsi="宋体" w:cs="Arial"/>
          <w:bCs/>
        </w:rPr>
        <w:t>、</w:t>
      </w:r>
      <w:r>
        <w:rPr>
          <w:rFonts w:ascii="宋体" w:hAnsi="宋体" w:cs="Arial"/>
          <w:bCs/>
        </w:rPr>
        <w:t>合格境外投资者以及法律法规或中国证监会允许购买证券投资基金的其他投资人</w:t>
      </w:r>
      <w:r>
        <w:rPr>
          <w:rFonts w:hint="eastAsia" w:ascii="宋体" w:hAnsi="宋体" w:cs="Arial"/>
          <w:bCs/>
        </w:rPr>
        <w:t>。</w:t>
      </w:r>
    </w:p>
    <w:p w14:paraId="5039BDAD">
      <w:pPr>
        <w:snapToGrid w:val="0"/>
        <w:spacing w:line="360" w:lineRule="auto"/>
        <w:ind w:firstLine="420"/>
        <w:rPr>
          <w:rFonts w:hint="eastAsia" w:ascii="宋体" w:hAnsi="宋体" w:cs="Arial"/>
          <w:b/>
          <w:bCs/>
        </w:rPr>
      </w:pPr>
      <w:r>
        <w:rPr>
          <w:rFonts w:hint="eastAsia" w:ascii="宋体" w:hAnsi="宋体" w:cs="Arial"/>
          <w:b/>
          <w:bCs/>
        </w:rPr>
        <w:t>七、募集规模上限</w:t>
      </w:r>
    </w:p>
    <w:p w14:paraId="66375A6B">
      <w:pPr>
        <w:snapToGrid w:val="0"/>
        <w:spacing w:line="360" w:lineRule="auto"/>
        <w:ind w:firstLine="420"/>
        <w:rPr>
          <w:rFonts w:hint="eastAsia" w:ascii="宋体" w:hAnsi="宋体" w:cs="Arial"/>
        </w:rPr>
      </w:pPr>
      <w:r>
        <w:rPr>
          <w:rFonts w:hint="eastAsia" w:ascii="宋体" w:hAnsi="宋体" w:cs="Arial"/>
        </w:rPr>
        <w:t>本基金可设置首次募集规模上限，具体募集上限及规模控制的方案详见基金份额发售公告或其他公告。若本基金设置首次募集规模上限，基金合同生效后不受首次募集规模的限制。</w:t>
      </w:r>
    </w:p>
    <w:p w14:paraId="33B18A98">
      <w:pPr>
        <w:snapToGrid w:val="0"/>
        <w:spacing w:line="360" w:lineRule="auto"/>
        <w:ind w:firstLine="420"/>
        <w:rPr>
          <w:rFonts w:hint="eastAsia" w:ascii="宋体" w:hAnsi="宋体" w:cs="Arial"/>
          <w:b/>
        </w:rPr>
      </w:pPr>
      <w:r>
        <w:rPr>
          <w:rFonts w:hint="eastAsia" w:ascii="宋体" w:hAnsi="宋体" w:cs="Arial"/>
          <w:b/>
        </w:rPr>
        <w:t>八</w:t>
      </w:r>
      <w:r>
        <w:rPr>
          <w:rFonts w:ascii="宋体" w:hAnsi="宋体" w:cs="Arial"/>
          <w:b/>
        </w:rPr>
        <w:t>、</w:t>
      </w:r>
      <w:r>
        <w:rPr>
          <w:rFonts w:hint="eastAsia" w:ascii="宋体" w:hAnsi="宋体" w:cs="Arial"/>
          <w:b/>
        </w:rPr>
        <w:t>发售</w:t>
      </w:r>
      <w:r>
        <w:rPr>
          <w:rFonts w:ascii="宋体" w:hAnsi="宋体" w:cs="Arial"/>
          <w:b/>
        </w:rPr>
        <w:t>方式</w:t>
      </w:r>
      <w:r>
        <w:rPr>
          <w:rFonts w:hint="eastAsia" w:ascii="宋体" w:hAnsi="宋体" w:cs="Arial"/>
          <w:b/>
        </w:rPr>
        <w:t>与发售场所</w:t>
      </w:r>
    </w:p>
    <w:p w14:paraId="68569701">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投资人可选择网上现金认购、网下现金认购和网下股票认购三种方式认购本基金。</w:t>
      </w:r>
    </w:p>
    <w:p w14:paraId="74547E36">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网上现金认购是指投资人通过基金管理人指定的发售代理机构通过深圳证券交易所网上系统以现金进行的认购。</w:t>
      </w:r>
    </w:p>
    <w:p w14:paraId="67DC2FA5">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网下现金认购是指投资人通过基金管理人及其指定的发售代理机构以现金进行的认购。</w:t>
      </w:r>
    </w:p>
    <w:p w14:paraId="1DA1DDF3">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网下股票认购是指投资人通过基金管理人及其指定的发售代理机构以股票进行的认购。</w:t>
      </w:r>
    </w:p>
    <w:p w14:paraId="1DDA51A5">
      <w:pPr>
        <w:autoSpaceDE w:val="0"/>
        <w:autoSpaceDN w:val="0"/>
        <w:adjustRightInd w:val="0"/>
        <w:snapToGrid w:val="0"/>
        <w:spacing w:line="360" w:lineRule="auto"/>
        <w:ind w:firstLine="426"/>
        <w:jc w:val="left"/>
        <w:rPr>
          <w:rFonts w:hint="eastAsia" w:ascii="宋体" w:hAnsi="宋体" w:cs="Arial"/>
          <w:kern w:val="0"/>
          <w:szCs w:val="21"/>
        </w:rPr>
      </w:pPr>
      <w:r>
        <w:rPr>
          <w:rFonts w:hint="eastAsia" w:ascii="宋体" w:hAnsi="宋体" w:cs="Arial"/>
          <w:kern w:val="0"/>
          <w:szCs w:val="21"/>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368B78DF">
      <w:pPr>
        <w:snapToGrid w:val="0"/>
        <w:spacing w:line="360" w:lineRule="auto"/>
        <w:ind w:firstLine="420"/>
        <w:rPr>
          <w:rFonts w:hint="eastAsia" w:ascii="宋体" w:hAnsi="宋体" w:cs="Arial"/>
          <w:kern w:val="0"/>
          <w:szCs w:val="21"/>
        </w:rPr>
      </w:pPr>
      <w:r>
        <w:rPr>
          <w:rFonts w:hint="eastAsia" w:ascii="宋体" w:hAnsi="宋体" w:cs="Arial"/>
          <w:kern w:val="0"/>
          <w:szCs w:val="21"/>
        </w:rPr>
        <w:t>基金管理人可依据实际情况增减、变更发售代理机构，发售代理机构的具体名单见基金份额发售公告以及基金管理人网站。</w:t>
      </w:r>
    </w:p>
    <w:p w14:paraId="1FB83F18">
      <w:pPr>
        <w:snapToGrid w:val="0"/>
        <w:spacing w:line="360" w:lineRule="auto"/>
        <w:ind w:firstLine="420"/>
        <w:rPr>
          <w:rFonts w:hint="eastAsia" w:ascii="宋体" w:hAnsi="宋体" w:cs="Arial"/>
          <w:kern w:val="0"/>
          <w:szCs w:val="21"/>
        </w:rPr>
      </w:pPr>
      <w:r>
        <w:rPr>
          <w:rFonts w:hint="eastAsia" w:ascii="宋体" w:hAnsi="宋体" w:cs="Arial"/>
          <w:kern w:val="0"/>
          <w:szCs w:val="21"/>
        </w:rPr>
        <w:t>若证券交易所、中国证券登记结算有限责任公司对发售方式、发售场所有所调整的，本基金将进行相应调整。</w:t>
      </w:r>
    </w:p>
    <w:p w14:paraId="317A6C1A">
      <w:pPr>
        <w:snapToGrid w:val="0"/>
        <w:spacing w:line="360" w:lineRule="auto"/>
        <w:ind w:firstLine="420"/>
        <w:rPr>
          <w:rFonts w:hint="eastAsia" w:ascii="宋体" w:hAnsi="宋体" w:cs="Arial"/>
          <w:b/>
        </w:rPr>
      </w:pPr>
      <w:r>
        <w:rPr>
          <w:rFonts w:hint="eastAsia" w:ascii="宋体" w:hAnsi="宋体" w:cs="Arial"/>
          <w:b/>
        </w:rPr>
        <w:t>九</w:t>
      </w:r>
      <w:r>
        <w:rPr>
          <w:rFonts w:ascii="宋体" w:hAnsi="宋体" w:cs="Arial"/>
          <w:b/>
        </w:rPr>
        <w:t>、基金份额</w:t>
      </w:r>
      <w:r>
        <w:rPr>
          <w:rFonts w:hint="eastAsia" w:ascii="宋体" w:hAnsi="宋体" w:cs="Arial"/>
          <w:b/>
        </w:rPr>
        <w:t>发售</w:t>
      </w:r>
      <w:r>
        <w:rPr>
          <w:rFonts w:ascii="宋体" w:hAnsi="宋体" w:cs="Arial"/>
          <w:b/>
        </w:rPr>
        <w:t>面值、认购价格</w:t>
      </w:r>
    </w:p>
    <w:p w14:paraId="4E1F7D9C">
      <w:pPr>
        <w:autoSpaceDE w:val="0"/>
        <w:autoSpaceDN w:val="0"/>
        <w:adjustRightInd w:val="0"/>
        <w:snapToGrid w:val="0"/>
        <w:spacing w:line="360" w:lineRule="auto"/>
        <w:ind w:firstLine="420"/>
        <w:rPr>
          <w:rFonts w:hint="eastAsia" w:ascii="宋体" w:hAnsi="宋体" w:cs="Arial"/>
        </w:rPr>
      </w:pPr>
      <w:r>
        <w:rPr>
          <w:rFonts w:ascii="宋体" w:hAnsi="宋体" w:cs="Arial"/>
        </w:rPr>
        <w:t>本基金每份基金份额的</w:t>
      </w:r>
      <w:r>
        <w:rPr>
          <w:rFonts w:hint="eastAsia" w:ascii="宋体" w:hAnsi="宋体" w:cs="Arial"/>
        </w:rPr>
        <w:t>发售</w:t>
      </w:r>
      <w:r>
        <w:rPr>
          <w:rFonts w:ascii="宋体" w:hAnsi="宋体" w:cs="Arial"/>
        </w:rPr>
        <w:t>面值为人民币1.00元，认购价格为人民币1.00元。</w:t>
      </w:r>
    </w:p>
    <w:p w14:paraId="6FA6096C">
      <w:pPr>
        <w:snapToGrid w:val="0"/>
        <w:spacing w:line="360" w:lineRule="auto"/>
        <w:ind w:firstLine="420"/>
        <w:rPr>
          <w:rFonts w:hint="eastAsia" w:ascii="宋体" w:hAnsi="宋体" w:cs="Arial"/>
          <w:b/>
        </w:rPr>
      </w:pPr>
      <w:r>
        <w:rPr>
          <w:rFonts w:hint="eastAsia" w:ascii="宋体" w:hAnsi="宋体" w:cs="Arial"/>
          <w:b/>
        </w:rPr>
        <w:t>十</w:t>
      </w:r>
      <w:r>
        <w:rPr>
          <w:rFonts w:ascii="宋体" w:hAnsi="宋体" w:cs="Arial"/>
          <w:b/>
        </w:rPr>
        <w:t>、</w:t>
      </w:r>
      <w:bookmarkStart w:id="49" w:name="_Toc293495078"/>
      <w:bookmarkStart w:id="50" w:name="_Toc276561307"/>
      <w:r>
        <w:rPr>
          <w:rFonts w:ascii="宋体" w:hAnsi="宋体" w:cs="Arial"/>
          <w:b/>
        </w:rPr>
        <w:t>投资人对基金份额的认购</w:t>
      </w:r>
      <w:bookmarkEnd w:id="49"/>
      <w:bookmarkEnd w:id="50"/>
    </w:p>
    <w:p w14:paraId="742AA773">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1、认购时间安排</w:t>
      </w:r>
    </w:p>
    <w:p w14:paraId="77DFE12F">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本基金的募集期限不超过3个月，自基金份额开始发售之日起计算，具体发售时间见基金份额发售公告。</w:t>
      </w:r>
    </w:p>
    <w:p w14:paraId="782E8CD5">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2、认购开户</w:t>
      </w:r>
    </w:p>
    <w:p w14:paraId="45ADFBCA">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投资人认购本基金时需具有深圳证券交易所A股账户或证券投资基金账户（以下统称“深圳证券账户”）。</w:t>
      </w:r>
    </w:p>
    <w:p w14:paraId="288E331C">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已有深圳证券交易所A股账户或证券投资基金账户的投资人不必再办理开户手续。</w:t>
      </w:r>
    </w:p>
    <w:p w14:paraId="4BE3CF9D">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尚无深圳证券交易所A股账户或证券投资基金账户的投资人，需在认购前持本人身份证到中国证券登记结算有限责任公司深圳分公司的开户代理机构办理深圳证券交易所A股账户或证券投资基金账户的开户手续。有关开设深圳证券交易所A股账户和证券投资基金账户的具体程序和办法，请到各开户网点详细咨询有关规定。</w:t>
      </w:r>
    </w:p>
    <w:p w14:paraId="4C028502">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如投资人需新开立证券账户，则应注意：</w:t>
      </w:r>
    </w:p>
    <w:p w14:paraId="7F6B570D">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①深圳证券交易所证券投资基金账户只能进行基金份额的现金认购和二级市场交易，如投资人需要使用中证细分化工产业主题指数成份股中的深圳证券交易所上市股票参与网下股票认购或基金份额的申购、赎回，则应开立深圳证券交易所A股账户；如投资者需要使用中证细分化工产业主题指数成份股中的上海证券交易所上市股票参与网下股票认购，则还应开立上海证券交易所A股账户。</w:t>
      </w:r>
    </w:p>
    <w:p w14:paraId="641A8D1E">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②如投资人需要通过申购赎回代理券商参与本基金的申购、赎回，应同时持有并使用深圳证券交易所A股账户与上海证券交易所A股账户。</w:t>
      </w:r>
    </w:p>
    <w:p w14:paraId="756DD777">
      <w:pPr>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③如投资人同时使用深圳证券交易所A股账户与上海证券交易所A股账户，该两个账户的证件号码及名称属于同一投资人所有，并注意投资人用以申购、赎回的深圳证券交易所股票的托管证券公司和上海证券交易所A股账户的指定交易证券公司应为同一申购赎回代理券商，否则无法办理本基金的申购和赎回。</w:t>
      </w:r>
    </w:p>
    <w:p w14:paraId="39ACAA53">
      <w:pPr>
        <w:snapToGrid w:val="0"/>
        <w:spacing w:line="360" w:lineRule="auto"/>
        <w:ind w:firstLine="422" w:firstLineChars="200"/>
        <w:rPr>
          <w:rFonts w:hint="eastAsia" w:ascii="宋体" w:hAnsi="宋体" w:cs="Arial"/>
          <w:b/>
        </w:rPr>
      </w:pPr>
      <w:r>
        <w:rPr>
          <w:rFonts w:ascii="宋体" w:hAnsi="宋体" w:cs="Arial"/>
          <w:b/>
        </w:rPr>
        <w:t>十</w:t>
      </w:r>
      <w:r>
        <w:rPr>
          <w:rFonts w:hint="eastAsia" w:ascii="宋体" w:hAnsi="宋体" w:cs="Arial"/>
          <w:b/>
        </w:rPr>
        <w:t>一</w:t>
      </w:r>
      <w:r>
        <w:rPr>
          <w:rFonts w:ascii="宋体" w:hAnsi="宋体" w:cs="Arial"/>
          <w:b/>
        </w:rPr>
        <w:t>、认购费用</w:t>
      </w:r>
    </w:p>
    <w:p w14:paraId="7EFFC51B">
      <w:pPr>
        <w:adjustRightInd w:val="0"/>
        <w:snapToGrid w:val="0"/>
        <w:spacing w:line="360" w:lineRule="auto"/>
        <w:ind w:firstLine="420"/>
        <w:rPr>
          <w:rFonts w:hint="eastAsia" w:ascii="宋体" w:hAnsi="宋体" w:cs="Arial"/>
          <w:kern w:val="3"/>
        </w:rPr>
      </w:pPr>
      <w:r>
        <w:rPr>
          <w:rFonts w:hint="eastAsia" w:ascii="宋体" w:hAnsi="宋体" w:cs="Arial"/>
          <w:kern w:val="3"/>
        </w:rPr>
        <w:t>本基金的认购采用份额认购的原则。认购费用由认购基金份额的投资人承担，认购费用不列入基金财产。认购费率如下表所示：</w:t>
      </w:r>
    </w:p>
    <w:p w14:paraId="51CC7CC9">
      <w:pPr>
        <w:snapToGrid w:val="0"/>
        <w:spacing w:line="360" w:lineRule="auto"/>
        <w:ind w:firstLine="420"/>
        <w:jc w:val="center"/>
        <w:rPr>
          <w:rFonts w:hint="eastAsia" w:ascii="宋体" w:hAnsi="宋体" w:cs="Arial"/>
        </w:rPr>
      </w:pPr>
      <w:r>
        <w:rPr>
          <w:rFonts w:hint="eastAsia" w:ascii="宋体" w:hAnsi="宋体" w:cs="Arial"/>
        </w:rPr>
        <w:t>图表1：认购费率</w:t>
      </w:r>
    </w:p>
    <w:tbl>
      <w:tblPr>
        <w:tblStyle w:val="41"/>
        <w:tblW w:w="5453" w:type="dxa"/>
        <w:jc w:val="center"/>
        <w:tblLayout w:type="autofit"/>
        <w:tblCellMar>
          <w:top w:w="0" w:type="dxa"/>
          <w:left w:w="0" w:type="dxa"/>
          <w:bottom w:w="0" w:type="dxa"/>
          <w:right w:w="0" w:type="dxa"/>
        </w:tblCellMar>
      </w:tblPr>
      <w:tblGrid>
        <w:gridCol w:w="3857"/>
        <w:gridCol w:w="1596"/>
      </w:tblGrid>
      <w:tr w14:paraId="60228BE8">
        <w:tblPrEx>
          <w:tblCellMar>
            <w:top w:w="0" w:type="dxa"/>
            <w:left w:w="0" w:type="dxa"/>
            <w:bottom w:w="0" w:type="dxa"/>
            <w:right w:w="0" w:type="dxa"/>
          </w:tblCellMar>
        </w:tblPrEx>
        <w:trPr>
          <w:jc w:val="center"/>
        </w:trPr>
        <w:tc>
          <w:tcPr>
            <w:tcW w:w="38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285B2A5">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认购份额</w:t>
            </w:r>
          </w:p>
        </w:tc>
        <w:tc>
          <w:tcPr>
            <w:tcW w:w="159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453D4E">
            <w:pPr>
              <w:widowControl/>
              <w:spacing w:before="100" w:beforeAutospacing="1" w:after="100" w:afterAutospacing="1"/>
              <w:jc w:val="center"/>
              <w:rPr>
                <w:rFonts w:ascii="Arial" w:hAnsi="Arial" w:cs="Arial"/>
                <w:kern w:val="0"/>
                <w:szCs w:val="21"/>
              </w:rPr>
            </w:pPr>
            <w:r>
              <w:rPr>
                <w:rFonts w:hint="eastAsia" w:ascii="宋体" w:hAnsi="宋体" w:cs="Arial"/>
                <w:b/>
                <w:bCs/>
                <w:kern w:val="0"/>
                <w:szCs w:val="21"/>
              </w:rPr>
              <w:t>认购费率</w:t>
            </w:r>
          </w:p>
        </w:tc>
      </w:tr>
      <w:tr w14:paraId="45C9E719">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FC297C6">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100万份以下</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45E722D4">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0.30%</w:t>
            </w:r>
          </w:p>
        </w:tc>
      </w:tr>
      <w:tr w14:paraId="51299311">
        <w:tblPrEx>
          <w:tblCellMar>
            <w:top w:w="0" w:type="dxa"/>
            <w:left w:w="0" w:type="dxa"/>
            <w:bottom w:w="0" w:type="dxa"/>
            <w:right w:w="0" w:type="dxa"/>
          </w:tblCellMar>
        </w:tblPrEx>
        <w:trPr>
          <w:jc w:val="center"/>
        </w:trPr>
        <w:tc>
          <w:tcPr>
            <w:tcW w:w="385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FFE0830">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100万份以上（含）</w:t>
            </w:r>
          </w:p>
        </w:tc>
        <w:tc>
          <w:tcPr>
            <w:tcW w:w="1596" w:type="dxa"/>
            <w:tcBorders>
              <w:top w:val="nil"/>
              <w:left w:val="nil"/>
              <w:bottom w:val="single" w:color="auto" w:sz="8" w:space="0"/>
              <w:right w:val="single" w:color="auto" w:sz="8" w:space="0"/>
            </w:tcBorders>
            <w:tcMar>
              <w:top w:w="0" w:type="dxa"/>
              <w:left w:w="108" w:type="dxa"/>
              <w:bottom w:w="0" w:type="dxa"/>
              <w:right w:w="108" w:type="dxa"/>
            </w:tcMar>
            <w:vAlign w:val="center"/>
          </w:tcPr>
          <w:p w14:paraId="5E27D0E6">
            <w:pPr>
              <w:widowControl/>
              <w:spacing w:before="100" w:beforeAutospacing="1" w:after="100" w:afterAutospacing="1"/>
              <w:jc w:val="center"/>
              <w:rPr>
                <w:rFonts w:ascii="Arial" w:hAnsi="Arial" w:cs="Arial"/>
                <w:kern w:val="0"/>
                <w:szCs w:val="21"/>
              </w:rPr>
            </w:pPr>
            <w:r>
              <w:rPr>
                <w:rFonts w:hint="eastAsia" w:ascii="宋体" w:hAnsi="宋体" w:cs="Arial"/>
                <w:kern w:val="0"/>
                <w:szCs w:val="21"/>
              </w:rPr>
              <w:t>每笔1000元</w:t>
            </w:r>
          </w:p>
        </w:tc>
      </w:tr>
    </w:tbl>
    <w:p w14:paraId="1A223B1D">
      <w:pPr>
        <w:snapToGrid w:val="0"/>
        <w:spacing w:line="360" w:lineRule="auto"/>
        <w:ind w:firstLine="420" w:firstLineChars="200"/>
        <w:rPr>
          <w:rFonts w:hint="eastAsia" w:ascii="宋体" w:hAnsi="宋体" w:cs="Arial"/>
        </w:rPr>
      </w:pPr>
      <w:r>
        <w:rPr>
          <w:rFonts w:hint="eastAsia" w:ascii="宋体" w:hAnsi="宋体" w:cs="Arial"/>
        </w:rPr>
        <w:t>基金管理人办理网下现金认购和网下股票认购时不收取认购费用。发售代理机构办理网上现金认购、网下现金认购、网下股票认购时可参照上述费率结构收取一定的佣金。投资人可以多次认购本基金，认购费率按每笔认购申请单独计算。</w:t>
      </w:r>
    </w:p>
    <w:p w14:paraId="30D49E3B">
      <w:pPr>
        <w:snapToGrid w:val="0"/>
        <w:spacing w:line="360" w:lineRule="auto"/>
        <w:ind w:firstLine="420"/>
        <w:rPr>
          <w:rFonts w:hint="eastAsia" w:ascii="宋体" w:hAnsi="宋体" w:cs="Arial"/>
          <w:b/>
        </w:rPr>
      </w:pPr>
      <w:r>
        <w:rPr>
          <w:rFonts w:hint="eastAsia" w:ascii="宋体" w:hAnsi="宋体" w:cs="Arial"/>
          <w:b/>
        </w:rPr>
        <w:t>十二、认购申请的确认</w:t>
      </w:r>
    </w:p>
    <w:p w14:paraId="410AE043">
      <w:pPr>
        <w:autoSpaceDE w:val="0"/>
        <w:autoSpaceDN w:val="0"/>
        <w:adjustRightInd w:val="0"/>
        <w:snapToGrid w:val="0"/>
        <w:spacing w:line="360" w:lineRule="auto"/>
        <w:ind w:firstLine="420" w:firstLineChars="200"/>
        <w:rPr>
          <w:rFonts w:hint="eastAsia" w:ascii="宋体" w:hAnsi="宋体" w:cs="Arial"/>
        </w:rPr>
      </w:pPr>
      <w:r>
        <w:rPr>
          <w:rFonts w:hint="eastAsia" w:ascii="宋体" w:hAnsi="宋体" w:cs="Arial"/>
        </w:rPr>
        <w:t>销售机构对认购申请的受理并不代表该申请一定成功，而仅代表销售机构确实接收到认购申请。认购的确认以登记机构的确认结果为准。对于认购申请及认购份额的确认情况，投资人应及时查询并妥善行使合法权利。</w:t>
      </w:r>
    </w:p>
    <w:p w14:paraId="3C29127C">
      <w:pPr>
        <w:snapToGrid w:val="0"/>
        <w:spacing w:line="360" w:lineRule="auto"/>
        <w:ind w:firstLine="420"/>
        <w:rPr>
          <w:rFonts w:hint="eastAsia" w:ascii="宋体" w:hAnsi="宋体" w:cs="Arial"/>
          <w:b/>
        </w:rPr>
      </w:pPr>
      <w:bookmarkStart w:id="51" w:name="_Toc276561308"/>
      <w:r>
        <w:rPr>
          <w:rFonts w:ascii="宋体" w:hAnsi="宋体" w:cs="Arial"/>
          <w:b/>
        </w:rPr>
        <w:t>十</w:t>
      </w:r>
      <w:r>
        <w:rPr>
          <w:rFonts w:hint="eastAsia" w:ascii="宋体" w:hAnsi="宋体" w:cs="Arial"/>
          <w:b/>
        </w:rPr>
        <w:t>三</w:t>
      </w:r>
      <w:r>
        <w:rPr>
          <w:rFonts w:ascii="宋体" w:hAnsi="宋体" w:cs="Arial"/>
          <w:b/>
        </w:rPr>
        <w:t>、网上现金认购</w:t>
      </w:r>
      <w:bookmarkEnd w:id="51"/>
    </w:p>
    <w:p w14:paraId="5ED564F5">
      <w:pPr>
        <w:adjustRightInd w:val="0"/>
        <w:snapToGrid w:val="0"/>
        <w:spacing w:line="360" w:lineRule="auto"/>
        <w:ind w:left="420"/>
        <w:rPr>
          <w:rFonts w:hint="eastAsia" w:ascii="宋体" w:hAnsi="宋体" w:cs="Arial"/>
        </w:rPr>
      </w:pPr>
      <w:r>
        <w:rPr>
          <w:rFonts w:ascii="宋体" w:hAnsi="宋体" w:cs="Arial"/>
        </w:rPr>
        <w:t>1</w:t>
      </w:r>
      <w:r>
        <w:rPr>
          <w:rFonts w:hint="eastAsia" w:ascii="宋体" w:hAnsi="宋体" w:cs="Arial"/>
          <w:szCs w:val="21"/>
        </w:rPr>
        <w:t>、</w:t>
      </w:r>
      <w:r>
        <w:rPr>
          <w:rFonts w:ascii="宋体" w:hAnsi="宋体" w:cs="Arial"/>
        </w:rPr>
        <w:t>认购时间：</w:t>
      </w:r>
      <w:r>
        <w:rPr>
          <w:rFonts w:hint="eastAsia" w:ascii="宋体" w:hAnsi="宋体" w:cs="Arial"/>
        </w:rPr>
        <w:t>详见基金份额发售公告</w:t>
      </w:r>
      <w:r>
        <w:rPr>
          <w:rFonts w:ascii="宋体" w:hAnsi="宋体" w:cs="Arial"/>
        </w:rPr>
        <w:t>。</w:t>
      </w:r>
    </w:p>
    <w:p w14:paraId="4736B46A">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认购限额：网上现金认购以基金份额申请。单一账户每笔认购份额须为1000份或其整数倍。投资人可多次认购，累计认购份额不设上限。</w:t>
      </w:r>
    </w:p>
    <w:p w14:paraId="5CFB206A">
      <w:pPr>
        <w:adjustRightInd w:val="0"/>
        <w:snapToGrid w:val="0"/>
        <w:spacing w:line="360" w:lineRule="auto"/>
        <w:ind w:left="420"/>
        <w:rPr>
          <w:rFonts w:hint="eastAsia" w:ascii="宋体" w:hAnsi="宋体" w:cs="Arial"/>
        </w:rPr>
      </w:pPr>
      <w:r>
        <w:rPr>
          <w:rFonts w:hint="eastAsia" w:ascii="宋体" w:hAnsi="宋体" w:cs="Arial"/>
        </w:rPr>
        <w:t>3、认购金额、认购佣金的计算：</w:t>
      </w:r>
    </w:p>
    <w:p w14:paraId="44D7065E">
      <w:pPr>
        <w:adjustRightInd w:val="0"/>
        <w:snapToGrid w:val="0"/>
        <w:spacing w:line="360" w:lineRule="auto"/>
        <w:ind w:firstLine="420" w:firstLineChars="200"/>
        <w:rPr>
          <w:rFonts w:hint="eastAsia" w:ascii="宋体" w:hAnsi="宋体" w:cs="Arial"/>
        </w:rPr>
      </w:pPr>
      <w:r>
        <w:rPr>
          <w:rFonts w:hint="eastAsia" w:ascii="宋体" w:hAnsi="宋体" w:cs="Arial"/>
        </w:rPr>
        <w:t>通过发售代理机构进行网上现金认购的投资人，认购以基金份额申请，认购佣金、认购金额的计算公式为：</w:t>
      </w:r>
    </w:p>
    <w:p w14:paraId="7D5D60B8">
      <w:pPr>
        <w:adjustRightInd w:val="0"/>
        <w:snapToGrid w:val="0"/>
        <w:spacing w:line="360" w:lineRule="auto"/>
        <w:ind w:left="420"/>
        <w:rPr>
          <w:rFonts w:hint="eastAsia" w:ascii="宋体" w:hAnsi="宋体" w:cs="Arial"/>
        </w:rPr>
      </w:pPr>
      <w:r>
        <w:rPr>
          <w:rFonts w:hint="eastAsia" w:ascii="宋体" w:hAnsi="宋体" w:cs="Arial"/>
        </w:rPr>
        <w:t>认购佣金＝认购价格×认购份额×佣金比率</w:t>
      </w:r>
      <w:r>
        <w:rPr>
          <w:rFonts w:ascii="宋体" w:hAnsi="宋体" w:cs="Arial"/>
        </w:rPr>
        <w:t xml:space="preserve"> </w:t>
      </w:r>
    </w:p>
    <w:p w14:paraId="555217D2">
      <w:pPr>
        <w:adjustRightInd w:val="0"/>
        <w:snapToGrid w:val="0"/>
        <w:spacing w:line="360" w:lineRule="auto"/>
        <w:ind w:left="420"/>
        <w:rPr>
          <w:rFonts w:hint="eastAsia" w:ascii="宋体" w:hAnsi="宋体" w:cs="Arial"/>
        </w:rPr>
      </w:pPr>
      <w:r>
        <w:rPr>
          <w:rFonts w:hint="eastAsia" w:ascii="宋体" w:hAnsi="宋体" w:cs="Arial"/>
        </w:rPr>
        <w:t>（或若适用固定费用的，认购佣金=固定费用）</w:t>
      </w:r>
    </w:p>
    <w:p w14:paraId="2CE56C57">
      <w:pPr>
        <w:adjustRightInd w:val="0"/>
        <w:snapToGrid w:val="0"/>
        <w:spacing w:line="360" w:lineRule="auto"/>
        <w:ind w:left="420"/>
        <w:rPr>
          <w:rFonts w:hint="eastAsia" w:ascii="宋体" w:hAnsi="宋体" w:cs="Arial"/>
        </w:rPr>
      </w:pPr>
      <w:r>
        <w:rPr>
          <w:rFonts w:hint="eastAsia" w:ascii="宋体" w:hAnsi="宋体" w:cs="Arial"/>
        </w:rPr>
        <w:t>认购金额＝认购价格×认购份额×</w:t>
      </w:r>
      <w:r>
        <w:rPr>
          <w:rFonts w:ascii="宋体" w:hAnsi="宋体" w:cs="Arial"/>
        </w:rPr>
        <w:t>(1</w:t>
      </w:r>
      <w:r>
        <w:rPr>
          <w:rFonts w:hint="eastAsia" w:ascii="宋体" w:hAnsi="宋体" w:cs="Arial"/>
        </w:rPr>
        <w:t>＋佣金比率</w:t>
      </w:r>
      <w:r>
        <w:rPr>
          <w:rFonts w:ascii="宋体" w:hAnsi="宋体" w:cs="Arial"/>
        </w:rPr>
        <w:t xml:space="preserve">) </w:t>
      </w:r>
    </w:p>
    <w:p w14:paraId="4214C66C">
      <w:pPr>
        <w:adjustRightInd w:val="0"/>
        <w:snapToGrid w:val="0"/>
        <w:spacing w:line="360" w:lineRule="auto"/>
        <w:ind w:left="420"/>
        <w:rPr>
          <w:rFonts w:hint="eastAsia" w:ascii="宋体" w:hAnsi="宋体" w:cs="Arial"/>
        </w:rPr>
      </w:pPr>
      <w:r>
        <w:rPr>
          <w:rFonts w:hint="eastAsia" w:ascii="宋体" w:hAnsi="宋体" w:cs="Arial"/>
        </w:rPr>
        <w:t>（或若适用固定费用的，认购金额＝认购价格×认购份额+固定费用）</w:t>
      </w:r>
    </w:p>
    <w:p w14:paraId="2CFBDD0F">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w:t>
      </w:r>
      <w:r>
        <w:rPr>
          <w:rFonts w:ascii="宋体" w:hAnsi="宋体" w:cs="Arial"/>
        </w:rPr>
        <w:t>=</w:t>
      </w:r>
      <w:r>
        <w:rPr>
          <w:rFonts w:hint="eastAsia" w:ascii="宋体" w:hAnsi="宋体" w:cs="Arial"/>
        </w:rPr>
        <w:t>利息</w:t>
      </w:r>
      <w:r>
        <w:rPr>
          <w:rFonts w:ascii="宋体" w:hAnsi="宋体" w:cs="Arial"/>
        </w:rPr>
        <w:t>/</w:t>
      </w:r>
      <w:r>
        <w:rPr>
          <w:rFonts w:hint="eastAsia" w:ascii="宋体" w:hAnsi="宋体" w:cs="Arial"/>
        </w:rPr>
        <w:t>认购价格</w:t>
      </w:r>
    </w:p>
    <w:p w14:paraId="6DC80A51">
      <w:pPr>
        <w:adjustRightInd w:val="0"/>
        <w:snapToGrid w:val="0"/>
        <w:spacing w:line="360" w:lineRule="auto"/>
        <w:ind w:firstLine="420" w:firstLineChars="200"/>
        <w:rPr>
          <w:rFonts w:hint="eastAsia" w:ascii="宋体" w:hAnsi="宋体" w:cs="Arial"/>
        </w:rPr>
      </w:pPr>
      <w:r>
        <w:rPr>
          <w:rFonts w:hint="eastAsia" w:ascii="宋体" w:hAnsi="宋体" w:cs="Arial"/>
        </w:rPr>
        <w:t>总认购份额=认购份额+利息折算的份额</w:t>
      </w:r>
    </w:p>
    <w:p w14:paraId="0F46A60D">
      <w:pPr>
        <w:adjustRightInd w:val="0"/>
        <w:snapToGrid w:val="0"/>
        <w:spacing w:line="360" w:lineRule="auto"/>
        <w:ind w:firstLine="420" w:firstLineChars="200"/>
        <w:rPr>
          <w:rFonts w:hint="eastAsia" w:ascii="宋体" w:hAnsi="宋体" w:cs="Arial"/>
        </w:rPr>
      </w:pPr>
      <w:r>
        <w:rPr>
          <w:rFonts w:hint="eastAsia" w:ascii="宋体" w:hAnsi="宋体" w:cs="Arial"/>
        </w:rPr>
        <w:t>认购佣金由发售代理机构向投资人收取，投资人需以现金方式交纳认购佣金。利息折算的基金份额保留至整数位，小数部分舍去，舍去部分计入基金财产。</w:t>
      </w:r>
    </w:p>
    <w:p w14:paraId="04D52583">
      <w:pPr>
        <w:adjustRightInd w:val="0"/>
        <w:snapToGrid w:val="0"/>
        <w:spacing w:line="360" w:lineRule="auto"/>
        <w:ind w:firstLine="420" w:firstLineChars="200"/>
        <w:rPr>
          <w:rFonts w:hint="eastAsia" w:ascii="宋体" w:hAnsi="宋体" w:cs="Arial"/>
        </w:rPr>
      </w:pPr>
      <w:r>
        <w:rPr>
          <w:rFonts w:hint="eastAsia" w:ascii="宋体" w:hAnsi="宋体" w:cs="Arial"/>
        </w:rPr>
        <w:t>例：某投资人通过某发售代理机构以网上现金认购方式认购</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份本基金份额，该发售代理机构确认的佣金比率为</w:t>
      </w:r>
      <w:r>
        <w:rPr>
          <w:rFonts w:ascii="宋体" w:hAnsi="宋体" w:cs="Arial"/>
        </w:rPr>
        <w:t>0.</w:t>
      </w:r>
      <w:r>
        <w:rPr>
          <w:rFonts w:hint="eastAsia" w:ascii="宋体" w:hAnsi="宋体" w:cs="Arial"/>
        </w:rPr>
        <w:t>30</w:t>
      </w:r>
      <w:r>
        <w:rPr>
          <w:rFonts w:ascii="宋体" w:hAnsi="宋体" w:cs="Arial"/>
        </w:rPr>
        <w:t>%</w:t>
      </w:r>
      <w:r>
        <w:rPr>
          <w:rFonts w:hint="eastAsia" w:ascii="宋体" w:hAnsi="宋体" w:cs="Arial"/>
        </w:rPr>
        <w:t>，假设该笔认购金额产生利息10元，则投资人需支付的认购佣金和需准备的认购金额计算如下：</w:t>
      </w:r>
    </w:p>
    <w:p w14:paraId="72026BE0">
      <w:pPr>
        <w:adjustRightInd w:val="0"/>
        <w:snapToGrid w:val="0"/>
        <w:spacing w:line="360" w:lineRule="auto"/>
        <w:ind w:left="420"/>
        <w:rPr>
          <w:rFonts w:hint="eastAsia" w:ascii="宋体" w:hAnsi="宋体" w:cs="Arial"/>
        </w:rPr>
      </w:pPr>
      <w:r>
        <w:rPr>
          <w:rFonts w:hint="eastAsia" w:ascii="宋体" w:hAnsi="宋体" w:cs="Arial"/>
        </w:rPr>
        <w:t>认购佣金＝</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0.</w:t>
      </w:r>
      <w:r>
        <w:rPr>
          <w:rFonts w:hint="eastAsia" w:ascii="宋体" w:hAnsi="宋体" w:cs="Arial"/>
        </w:rPr>
        <w:t>30</w:t>
      </w:r>
      <w:r>
        <w:rPr>
          <w:rFonts w:ascii="宋体" w:hAnsi="宋体" w:cs="Arial"/>
        </w:rPr>
        <w:t>%</w:t>
      </w:r>
      <w:r>
        <w:rPr>
          <w:rFonts w:hint="eastAsia" w:ascii="宋体" w:hAnsi="宋体" w:cs="Arial"/>
        </w:rPr>
        <w:t>＝3</w:t>
      </w:r>
      <w:r>
        <w:rPr>
          <w:rFonts w:ascii="宋体" w:hAnsi="宋体" w:cs="Arial"/>
        </w:rPr>
        <w:t>0</w:t>
      </w:r>
      <w:r>
        <w:rPr>
          <w:rFonts w:hint="eastAsia" w:ascii="宋体" w:hAnsi="宋体" w:cs="Arial"/>
        </w:rPr>
        <w:t>.00元</w:t>
      </w:r>
      <w:r>
        <w:rPr>
          <w:rFonts w:ascii="宋体" w:hAnsi="宋体" w:cs="Arial"/>
        </w:rPr>
        <w:t xml:space="preserve"> </w:t>
      </w:r>
    </w:p>
    <w:p w14:paraId="05FD5B85">
      <w:pPr>
        <w:adjustRightInd w:val="0"/>
        <w:snapToGrid w:val="0"/>
        <w:spacing w:line="360" w:lineRule="auto"/>
        <w:ind w:left="420"/>
        <w:rPr>
          <w:rFonts w:hint="eastAsia"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w:t>
      </w:r>
      <w:r>
        <w:rPr>
          <w:rFonts w:ascii="宋体" w:hAnsi="宋体" w:cs="Arial"/>
        </w:rPr>
        <w:t>(1+0.</w:t>
      </w:r>
      <w:r>
        <w:rPr>
          <w:rFonts w:hint="eastAsia" w:ascii="宋体" w:hAnsi="宋体" w:cs="Arial"/>
        </w:rPr>
        <w:t>3</w:t>
      </w:r>
      <w:r>
        <w:rPr>
          <w:rFonts w:ascii="宋体" w:hAnsi="宋体" w:cs="Arial"/>
        </w:rPr>
        <w:t>0%)</w:t>
      </w:r>
      <w:r>
        <w:rPr>
          <w:rFonts w:hint="eastAsia" w:ascii="宋体" w:hAnsi="宋体" w:cs="Arial"/>
        </w:rPr>
        <w:t>＝</w:t>
      </w:r>
      <w:r>
        <w:rPr>
          <w:rFonts w:ascii="宋体" w:hAnsi="宋体" w:cs="Arial"/>
        </w:rPr>
        <w:t>1</w:t>
      </w:r>
      <w:r>
        <w:rPr>
          <w:rFonts w:hint="eastAsia" w:ascii="宋体" w:hAnsi="宋体" w:cs="Arial"/>
        </w:rPr>
        <w:t>0</w:t>
      </w:r>
      <w:r>
        <w:rPr>
          <w:rFonts w:ascii="宋体" w:hAnsi="宋体" w:cs="Arial"/>
        </w:rPr>
        <w:t>,0</w:t>
      </w:r>
      <w:r>
        <w:rPr>
          <w:rFonts w:hint="eastAsia" w:ascii="宋体" w:hAnsi="宋体" w:cs="Arial"/>
        </w:rPr>
        <w:t>3</w:t>
      </w:r>
      <w:r>
        <w:rPr>
          <w:rFonts w:ascii="宋体" w:hAnsi="宋体" w:cs="Arial"/>
        </w:rPr>
        <w:t>0</w:t>
      </w:r>
      <w:r>
        <w:rPr>
          <w:rFonts w:hint="eastAsia" w:ascii="宋体" w:hAnsi="宋体" w:cs="Arial"/>
        </w:rPr>
        <w:t>.00元</w:t>
      </w:r>
      <w:r>
        <w:rPr>
          <w:rFonts w:ascii="宋体" w:hAnsi="宋体" w:cs="Arial"/>
        </w:rPr>
        <w:t xml:space="preserve"> </w:t>
      </w:r>
    </w:p>
    <w:p w14:paraId="4C86DAEA">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利息折算的份额=10/1.00=10份</w:t>
      </w:r>
    </w:p>
    <w:p w14:paraId="0AD1CACD">
      <w:pPr>
        <w:adjustRightInd w:val="0"/>
        <w:snapToGrid w:val="0"/>
        <w:spacing w:line="360" w:lineRule="auto"/>
        <w:ind w:firstLine="420" w:firstLineChars="200"/>
        <w:rPr>
          <w:rFonts w:hint="eastAsia" w:ascii="宋体" w:hAnsi="宋体" w:cs="Arial"/>
        </w:rPr>
      </w:pPr>
      <w:r>
        <w:rPr>
          <w:rFonts w:hint="eastAsia" w:ascii="宋体" w:hAnsi="宋体" w:cs="Arial"/>
        </w:rPr>
        <w:t>总认购份额=</w:t>
      </w:r>
      <w:r>
        <w:rPr>
          <w:rFonts w:ascii="宋体" w:hAnsi="宋体" w:cs="Arial"/>
        </w:rPr>
        <w:t>10,000</w:t>
      </w:r>
      <w:r>
        <w:rPr>
          <w:rFonts w:hint="eastAsia" w:ascii="宋体" w:hAnsi="宋体" w:cs="Arial"/>
        </w:rPr>
        <w:t>+10=10</w:t>
      </w:r>
      <w:r>
        <w:rPr>
          <w:rFonts w:ascii="宋体" w:hAnsi="宋体" w:cs="Arial"/>
        </w:rPr>
        <w:t>,</w:t>
      </w:r>
      <w:r>
        <w:rPr>
          <w:rFonts w:hint="eastAsia" w:ascii="宋体" w:hAnsi="宋体" w:cs="Arial"/>
        </w:rPr>
        <w:t>010份</w:t>
      </w:r>
    </w:p>
    <w:p w14:paraId="0F239EAF">
      <w:pPr>
        <w:adjustRightInd w:val="0"/>
        <w:snapToGrid w:val="0"/>
        <w:spacing w:line="360" w:lineRule="auto"/>
        <w:ind w:firstLine="420" w:firstLineChars="200"/>
        <w:rPr>
          <w:rFonts w:hint="eastAsia" w:ascii="宋体" w:hAnsi="宋体" w:cs="Arial"/>
        </w:rPr>
      </w:pPr>
      <w:r>
        <w:rPr>
          <w:rFonts w:hint="eastAsia" w:ascii="宋体" w:hAnsi="宋体" w:cs="Arial"/>
        </w:rPr>
        <w:t>即投资人需准备</w:t>
      </w:r>
      <w:r>
        <w:rPr>
          <w:rFonts w:ascii="宋体" w:hAnsi="宋体" w:cs="Arial"/>
        </w:rPr>
        <w:t>1</w:t>
      </w:r>
      <w:r>
        <w:rPr>
          <w:rFonts w:hint="eastAsia" w:ascii="宋体" w:hAnsi="宋体" w:cs="Arial"/>
        </w:rPr>
        <w:t>0</w:t>
      </w:r>
      <w:r>
        <w:rPr>
          <w:rFonts w:ascii="宋体" w:hAnsi="宋体" w:cs="Arial"/>
        </w:rPr>
        <w:t>,0</w:t>
      </w:r>
      <w:r>
        <w:rPr>
          <w:rFonts w:hint="eastAsia" w:ascii="宋体" w:hAnsi="宋体" w:cs="Arial"/>
        </w:rPr>
        <w:t>3</w:t>
      </w:r>
      <w:r>
        <w:rPr>
          <w:rFonts w:ascii="宋体" w:hAnsi="宋体" w:cs="Arial"/>
        </w:rPr>
        <w:t>0</w:t>
      </w:r>
      <w:r>
        <w:rPr>
          <w:rFonts w:hint="eastAsia" w:ascii="宋体" w:hAnsi="宋体" w:cs="Arial"/>
        </w:rPr>
        <w:t>.00元资金，方可认购到</w:t>
      </w:r>
      <w:r>
        <w:rPr>
          <w:rFonts w:ascii="宋体" w:hAnsi="宋体" w:cs="Arial"/>
        </w:rPr>
        <w:t>1</w:t>
      </w:r>
      <w:r>
        <w:rPr>
          <w:rFonts w:hint="eastAsia" w:ascii="宋体" w:hAnsi="宋体" w:cs="Arial"/>
        </w:rPr>
        <w:t>0</w:t>
      </w:r>
      <w:r>
        <w:rPr>
          <w:rFonts w:ascii="宋体" w:hAnsi="宋体" w:cs="Arial"/>
        </w:rPr>
        <w:t>,000</w:t>
      </w:r>
      <w:r>
        <w:rPr>
          <w:rFonts w:hint="eastAsia" w:ascii="宋体" w:hAnsi="宋体" w:cs="Arial"/>
        </w:rPr>
        <w:t>份本基金基金份额。假设该笔认购金额产生利息10元，则投资者可得到</w:t>
      </w:r>
      <w:r>
        <w:rPr>
          <w:rFonts w:ascii="宋体" w:hAnsi="宋体" w:cs="Arial"/>
        </w:rPr>
        <w:t>10,010</w:t>
      </w:r>
      <w:r>
        <w:rPr>
          <w:rFonts w:hint="eastAsia" w:ascii="宋体" w:hAnsi="宋体" w:cs="Arial"/>
        </w:rPr>
        <w:t>份本基金份额。</w:t>
      </w:r>
    </w:p>
    <w:p w14:paraId="66BE7B2D">
      <w:pPr>
        <w:adjustRightInd w:val="0"/>
        <w:snapToGrid w:val="0"/>
        <w:spacing w:line="360" w:lineRule="auto"/>
        <w:ind w:firstLine="420"/>
        <w:rPr>
          <w:rFonts w:hint="eastAsia" w:ascii="宋体" w:hAnsi="宋体" w:cs="Arial"/>
        </w:rPr>
      </w:pPr>
      <w:r>
        <w:rPr>
          <w:rFonts w:hint="eastAsia" w:ascii="宋体" w:hAnsi="宋体" w:cs="Arial"/>
        </w:rPr>
        <w:t>4、认购手续：投资人在认购本基金时，需按发售代理机构的规定，备足认购资金，办理认购手续。投资者可多次申报，不可撤单，申报一经确认，认购资金即被冻结。</w:t>
      </w:r>
    </w:p>
    <w:p w14:paraId="6789B5CD">
      <w:pPr>
        <w:adjustRightInd w:val="0"/>
        <w:snapToGrid w:val="0"/>
        <w:spacing w:line="360" w:lineRule="auto"/>
        <w:ind w:firstLine="420"/>
        <w:rPr>
          <w:rFonts w:hint="eastAsia" w:ascii="宋体" w:hAnsi="宋体" w:cs="Arial"/>
        </w:rPr>
      </w:pPr>
      <w:r>
        <w:rPr>
          <w:rFonts w:hint="eastAsia" w:ascii="宋体" w:hAnsi="宋体" w:cs="Arial"/>
        </w:rPr>
        <w:t>5、</w:t>
      </w:r>
      <w:r>
        <w:rPr>
          <w:rFonts w:ascii="宋体" w:hAnsi="宋体" w:cs="Arial"/>
        </w:rPr>
        <w:t>清算交收：</w:t>
      </w:r>
      <w:r>
        <w:rPr>
          <w:rFonts w:hint="eastAsia" w:ascii="宋体" w:hAnsi="宋体" w:cs="Arial"/>
        </w:rPr>
        <w:t>投资者提交的认购委托，由登记机构进行有效认购款项的清算交收。</w:t>
      </w:r>
    </w:p>
    <w:p w14:paraId="1909EACF">
      <w:pPr>
        <w:adjustRightInd w:val="0"/>
        <w:snapToGrid w:val="0"/>
        <w:spacing w:line="360" w:lineRule="auto"/>
        <w:ind w:firstLine="420"/>
        <w:rPr>
          <w:rFonts w:hint="eastAsia" w:ascii="宋体" w:hAnsi="宋体" w:cs="Arial"/>
        </w:rPr>
      </w:pPr>
      <w:r>
        <w:rPr>
          <w:rFonts w:hint="eastAsia" w:ascii="宋体" w:hAnsi="宋体" w:cs="Arial"/>
        </w:rPr>
        <w:t>6、认购确认：在基金合同生效后，投资人可通过其办理认购的销售网点或以其提供的其他方式查询认购确认情况。</w:t>
      </w:r>
    </w:p>
    <w:p w14:paraId="5DF857BE">
      <w:pPr>
        <w:snapToGrid w:val="0"/>
        <w:spacing w:line="360" w:lineRule="auto"/>
        <w:ind w:firstLine="420"/>
        <w:rPr>
          <w:rFonts w:hint="eastAsia" w:ascii="宋体" w:hAnsi="宋体" w:cs="Arial"/>
          <w:b/>
        </w:rPr>
      </w:pPr>
      <w:bookmarkStart w:id="52" w:name="_Toc276561309"/>
      <w:r>
        <w:rPr>
          <w:rFonts w:ascii="宋体" w:hAnsi="宋体" w:cs="Arial"/>
          <w:b/>
        </w:rPr>
        <w:t>十</w:t>
      </w:r>
      <w:r>
        <w:rPr>
          <w:rFonts w:hint="eastAsia" w:ascii="宋体" w:hAnsi="宋体" w:cs="Arial"/>
          <w:b/>
        </w:rPr>
        <w:t>四</w:t>
      </w:r>
      <w:r>
        <w:rPr>
          <w:rFonts w:ascii="宋体" w:hAnsi="宋体" w:cs="Arial"/>
          <w:b/>
        </w:rPr>
        <w:t>、网下现金认购</w:t>
      </w:r>
      <w:bookmarkEnd w:id="52"/>
    </w:p>
    <w:p w14:paraId="6FC326C5">
      <w:pPr>
        <w:adjustRightInd w:val="0"/>
        <w:snapToGrid w:val="0"/>
        <w:spacing w:line="360" w:lineRule="auto"/>
        <w:ind w:firstLine="420"/>
        <w:rPr>
          <w:rFonts w:hint="eastAsia" w:ascii="宋体" w:hAnsi="宋体" w:cs="Arial"/>
        </w:rPr>
      </w:pPr>
      <w:r>
        <w:rPr>
          <w:rFonts w:ascii="宋体" w:hAnsi="宋体" w:cs="Arial"/>
        </w:rPr>
        <w:t>1、认购时间：</w:t>
      </w:r>
      <w:r>
        <w:rPr>
          <w:rFonts w:hint="eastAsia" w:ascii="宋体" w:hAnsi="宋体" w:cs="Arial"/>
        </w:rPr>
        <w:t>详见基金份额发售公告</w:t>
      </w:r>
      <w:r>
        <w:rPr>
          <w:rFonts w:ascii="宋体" w:hAnsi="宋体" w:cs="Arial"/>
        </w:rPr>
        <w:t>。</w:t>
      </w:r>
    </w:p>
    <w:p w14:paraId="50AE4F63">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认购限额：网下</w:t>
      </w:r>
      <w:r>
        <w:rPr>
          <w:rFonts w:hint="eastAsia" w:ascii="宋体" w:hAnsi="宋体" w:cs="宋体"/>
        </w:rPr>
        <w:t>现金认购以基金份额申请。</w:t>
      </w:r>
      <w:r>
        <w:rPr>
          <w:rFonts w:hint="eastAsia" w:ascii="宋体" w:hAnsi="宋体" w:cs="宋体"/>
          <w:szCs w:val="21"/>
        </w:rPr>
        <w:t>投资人通过发售代理机构办理网下现金认购，每笔认购份额须为1,000份或其整数倍。</w:t>
      </w:r>
      <w:r>
        <w:rPr>
          <w:rFonts w:hint="eastAsia" w:ascii="宋体" w:hAnsi="宋体" w:cs="宋体"/>
        </w:rPr>
        <w:t>投资人通过基金管理人办理网下现金认购的，每笔认购份额须在5万份以上（含5万份），</w:t>
      </w:r>
      <w:r>
        <w:rPr>
          <w:rFonts w:ascii="宋体" w:hAnsi="宋体" w:cs="Arial"/>
        </w:rPr>
        <w:t>投资人可多次认购，累计认购份额不设上限。</w:t>
      </w:r>
    </w:p>
    <w:p w14:paraId="7334FCF9">
      <w:pPr>
        <w:adjustRightInd w:val="0"/>
        <w:snapToGrid w:val="0"/>
        <w:spacing w:line="360" w:lineRule="auto"/>
        <w:ind w:firstLine="420" w:firstLineChars="200"/>
        <w:rPr>
          <w:rFonts w:hint="eastAsia" w:ascii="宋体" w:hAnsi="宋体" w:cs="Arial"/>
        </w:rPr>
      </w:pPr>
      <w:r>
        <w:rPr>
          <w:rFonts w:hint="eastAsia" w:ascii="宋体" w:hAnsi="宋体" w:cs="Arial"/>
        </w:rPr>
        <w:t>3、认购金额的计算：</w:t>
      </w:r>
    </w:p>
    <w:p w14:paraId="41921C3E">
      <w:pPr>
        <w:adjustRightInd w:val="0"/>
        <w:snapToGrid w:val="0"/>
        <w:spacing w:line="360" w:lineRule="auto"/>
        <w:ind w:firstLine="420" w:firstLineChars="200"/>
        <w:rPr>
          <w:rFonts w:hint="eastAsia" w:ascii="宋体" w:hAnsi="宋体" w:cs="Arial"/>
        </w:rPr>
      </w:pPr>
      <w:r>
        <w:rPr>
          <w:rFonts w:hint="eastAsia" w:ascii="宋体" w:hAnsi="宋体" w:cs="Arial"/>
        </w:rPr>
        <w:t>（1）通过基金管理人进行网下现金认购的投资人，不收取认购费用。认购以基金份额申请，认购金额的计算公式为：</w:t>
      </w:r>
    </w:p>
    <w:p w14:paraId="54E3DFF7">
      <w:pPr>
        <w:adjustRightInd w:val="0"/>
        <w:snapToGrid w:val="0"/>
        <w:spacing w:line="360" w:lineRule="auto"/>
        <w:ind w:firstLine="420" w:firstLineChars="200"/>
        <w:rPr>
          <w:rFonts w:hint="eastAsia" w:ascii="宋体" w:hAnsi="宋体" w:cs="Arial"/>
        </w:rPr>
      </w:pPr>
      <w:r>
        <w:rPr>
          <w:rFonts w:hint="eastAsia" w:ascii="宋体" w:hAnsi="宋体" w:cs="Arial"/>
        </w:rPr>
        <w:t>认购金额＝认购份额×认购价格</w:t>
      </w:r>
    </w:p>
    <w:p w14:paraId="48C2A81C">
      <w:pPr>
        <w:adjustRightInd w:val="0"/>
        <w:snapToGrid w:val="0"/>
        <w:spacing w:line="360" w:lineRule="auto"/>
        <w:ind w:firstLine="420" w:firstLineChars="200"/>
        <w:rPr>
          <w:rFonts w:hint="eastAsia" w:ascii="宋体" w:hAnsi="宋体" w:cs="Arial"/>
        </w:rPr>
      </w:pPr>
      <w:r>
        <w:rPr>
          <w:rFonts w:hint="eastAsia" w:ascii="宋体" w:hAnsi="宋体" w:cs="Arial"/>
        </w:rPr>
        <w:t>利息折算的份额＝利息/认购价格</w:t>
      </w:r>
    </w:p>
    <w:p w14:paraId="19646F58">
      <w:pPr>
        <w:adjustRightInd w:val="0"/>
        <w:snapToGrid w:val="0"/>
        <w:spacing w:line="360" w:lineRule="auto"/>
        <w:ind w:firstLine="420" w:firstLineChars="200"/>
        <w:rPr>
          <w:rFonts w:hint="eastAsia" w:ascii="宋体" w:hAnsi="宋体" w:cs="Arial"/>
        </w:rPr>
      </w:pPr>
      <w:r>
        <w:rPr>
          <w:rFonts w:hint="eastAsia" w:ascii="宋体" w:hAnsi="宋体" w:cs="Arial"/>
        </w:rPr>
        <w:t>总认购份额=认购份额+利息折算的份额</w:t>
      </w:r>
    </w:p>
    <w:p w14:paraId="3E6B69AA">
      <w:pPr>
        <w:adjustRightInd w:val="0"/>
        <w:snapToGrid w:val="0"/>
        <w:spacing w:line="360" w:lineRule="auto"/>
        <w:ind w:firstLine="420" w:firstLineChars="200"/>
        <w:rPr>
          <w:rFonts w:hint="eastAsia" w:ascii="宋体" w:hAnsi="宋体" w:cs="Arial"/>
        </w:rPr>
      </w:pPr>
      <w:r>
        <w:rPr>
          <w:rFonts w:hint="eastAsia" w:ascii="宋体" w:hAnsi="宋体" w:cs="Arial"/>
        </w:rPr>
        <w:t>通过基金管理人进行网下现金认购的有效认购资金在募集期间产生的利息，将折算为基金份额归投资人所有。利息折算的份额四舍五入保留至整数位，由此产生的收益或损失由基金财产承担。网下现金认购的利息和具体份额以基金管理人的记录为准。</w:t>
      </w:r>
    </w:p>
    <w:p w14:paraId="65A87D37">
      <w:pPr>
        <w:adjustRightInd w:val="0"/>
        <w:snapToGrid w:val="0"/>
        <w:spacing w:line="360" w:lineRule="auto"/>
        <w:ind w:firstLine="420" w:firstLineChars="200"/>
        <w:rPr>
          <w:rFonts w:hint="eastAsia" w:ascii="宋体" w:hAnsi="宋体" w:cs="Arial"/>
        </w:rPr>
      </w:pPr>
      <w:r>
        <w:rPr>
          <w:rFonts w:hint="eastAsia" w:ascii="宋体" w:hAnsi="宋体" w:cs="Arial"/>
        </w:rPr>
        <w:t xml:space="preserve">例：某投资人通过基金管理人以网下现金认购方式认购100,000份本基金基金份额，不收取认购费用，假设利息为10元，则投资人需准备的认购金额计算如下： </w:t>
      </w:r>
    </w:p>
    <w:p w14:paraId="7361C42A">
      <w:pPr>
        <w:adjustRightInd w:val="0"/>
        <w:snapToGrid w:val="0"/>
        <w:spacing w:line="360" w:lineRule="auto"/>
        <w:ind w:left="420"/>
        <w:rPr>
          <w:rFonts w:hint="eastAsia" w:ascii="宋体" w:hAnsi="宋体" w:cs="Arial"/>
        </w:rPr>
      </w:pPr>
      <w:r>
        <w:rPr>
          <w:rFonts w:hint="eastAsia" w:ascii="宋体" w:hAnsi="宋体" w:cs="Arial"/>
        </w:rPr>
        <w:t>认购金额＝100,000×1.00＝100,000元</w:t>
      </w:r>
    </w:p>
    <w:p w14:paraId="3383392C">
      <w:pPr>
        <w:adjustRightInd w:val="0"/>
        <w:snapToGrid w:val="0"/>
        <w:spacing w:line="360" w:lineRule="auto"/>
        <w:ind w:left="420"/>
        <w:rPr>
          <w:rFonts w:hint="eastAsia" w:ascii="宋体" w:hAnsi="宋体" w:cs="Arial"/>
        </w:rPr>
      </w:pPr>
      <w:r>
        <w:rPr>
          <w:rFonts w:hint="eastAsia" w:ascii="宋体" w:hAnsi="宋体" w:cs="Arial"/>
        </w:rPr>
        <w:t>利息折算的份额=10/1.00=10份</w:t>
      </w:r>
    </w:p>
    <w:p w14:paraId="6CCE28D5">
      <w:pPr>
        <w:adjustRightInd w:val="0"/>
        <w:snapToGrid w:val="0"/>
        <w:spacing w:line="360" w:lineRule="auto"/>
        <w:ind w:left="420"/>
        <w:rPr>
          <w:rFonts w:hint="eastAsia" w:ascii="宋体" w:hAnsi="宋体" w:cs="Arial"/>
        </w:rPr>
      </w:pPr>
      <w:r>
        <w:rPr>
          <w:rFonts w:hint="eastAsia" w:ascii="宋体" w:hAnsi="宋体" w:cs="Arial"/>
        </w:rPr>
        <w:t>投资人实际可得份额=100,000+10=100,010份</w:t>
      </w:r>
    </w:p>
    <w:p w14:paraId="2455661D">
      <w:pPr>
        <w:adjustRightInd w:val="0"/>
        <w:snapToGrid w:val="0"/>
        <w:spacing w:line="360" w:lineRule="auto"/>
        <w:ind w:firstLine="420"/>
        <w:rPr>
          <w:rFonts w:hint="eastAsia" w:ascii="宋体" w:hAnsi="宋体" w:cs="Arial"/>
        </w:rPr>
      </w:pPr>
      <w:r>
        <w:rPr>
          <w:rFonts w:hint="eastAsia" w:ascii="宋体" w:hAnsi="宋体" w:cs="Arial"/>
        </w:rPr>
        <w:t>即，投资人需准备100,000元资金方可认购到100,000份本基金基金份额，假设利息10元，则其最终实际所得的基金份额为100,010份。</w:t>
      </w:r>
    </w:p>
    <w:p w14:paraId="485CF499">
      <w:pPr>
        <w:adjustRightInd w:val="0"/>
        <w:snapToGrid w:val="0"/>
        <w:spacing w:line="360" w:lineRule="auto"/>
        <w:ind w:firstLine="420"/>
        <w:rPr>
          <w:rFonts w:hint="eastAsia" w:ascii="宋体" w:hAnsi="宋体" w:cs="Arial"/>
        </w:rPr>
      </w:pPr>
      <w:r>
        <w:rPr>
          <w:rFonts w:hint="eastAsia" w:ascii="宋体" w:hAnsi="宋体" w:cs="Arial"/>
        </w:rPr>
        <w:t>（2）通过发售代理机构进行网下现金认购的认购金额的计算同通过发售代理机构进行网上现金认购的认购金额的计算。</w:t>
      </w:r>
    </w:p>
    <w:p w14:paraId="48ABDAFF">
      <w:pPr>
        <w:adjustRightInd w:val="0"/>
        <w:snapToGrid w:val="0"/>
        <w:spacing w:line="360" w:lineRule="auto"/>
        <w:ind w:firstLine="420"/>
        <w:rPr>
          <w:rFonts w:hint="eastAsia" w:ascii="宋体" w:hAnsi="宋体" w:cs="Arial"/>
        </w:rPr>
      </w:pPr>
      <w:r>
        <w:rPr>
          <w:rFonts w:ascii="宋体" w:hAnsi="宋体" w:cs="Arial"/>
        </w:rPr>
        <w:t>4</w:t>
      </w:r>
      <w:r>
        <w:rPr>
          <w:rFonts w:hint="eastAsia" w:ascii="宋体" w:hAnsi="宋体" w:cs="Arial"/>
        </w:rPr>
        <w:t>、</w:t>
      </w:r>
      <w:r>
        <w:rPr>
          <w:rFonts w:ascii="宋体" w:hAnsi="宋体" w:cs="Arial"/>
        </w:rPr>
        <w:t>认购手续：投资人在认购本基金时，需按销售机构的规定，到销售网点办理相关认购手续，并备足认购资金。网下现金认购申请提交后不得</w:t>
      </w:r>
      <w:r>
        <w:rPr>
          <w:rFonts w:hint="eastAsia" w:ascii="宋体" w:hAnsi="宋体" w:cs="Arial"/>
        </w:rPr>
        <w:t>撤销</w:t>
      </w:r>
      <w:r>
        <w:rPr>
          <w:rFonts w:ascii="宋体" w:hAnsi="宋体" w:cs="Arial"/>
        </w:rPr>
        <w:t>。</w:t>
      </w:r>
    </w:p>
    <w:p w14:paraId="5D89F1E2">
      <w:pPr>
        <w:adjustRightInd w:val="0"/>
        <w:snapToGrid w:val="0"/>
        <w:spacing w:line="360" w:lineRule="auto"/>
        <w:ind w:firstLine="420"/>
        <w:rPr>
          <w:rFonts w:hint="eastAsia" w:ascii="宋体" w:hAnsi="宋体" w:cs="Arial"/>
        </w:rPr>
      </w:pPr>
      <w:r>
        <w:rPr>
          <w:rFonts w:ascii="宋体" w:hAnsi="宋体" w:cs="Arial"/>
        </w:rPr>
        <w:t>5</w:t>
      </w:r>
      <w:r>
        <w:rPr>
          <w:rFonts w:hint="eastAsia" w:ascii="宋体" w:hAnsi="宋体" w:cs="Arial"/>
        </w:rPr>
        <w:t>、清算交收：通过基金管理人提交的网下现金认购申请，由基金管理人进行有效认购款项的清算交收。通过发售代理机构提交的网下现金认购申请，根据登记机构相关规定进行有效认购款项的清算交收。</w:t>
      </w:r>
    </w:p>
    <w:p w14:paraId="32F7E685">
      <w:pPr>
        <w:adjustRightInd w:val="0"/>
        <w:snapToGrid w:val="0"/>
        <w:spacing w:line="360" w:lineRule="auto"/>
        <w:ind w:firstLine="420"/>
        <w:rPr>
          <w:rFonts w:hint="eastAsia" w:ascii="宋体" w:hAnsi="宋体" w:cs="Arial"/>
        </w:rPr>
      </w:pPr>
      <w:r>
        <w:rPr>
          <w:rFonts w:ascii="宋体" w:hAnsi="宋体" w:cs="Arial"/>
        </w:rPr>
        <w:t>6</w:t>
      </w:r>
      <w:r>
        <w:rPr>
          <w:rFonts w:hint="eastAsia" w:ascii="宋体" w:hAnsi="宋体" w:cs="Arial"/>
        </w:rPr>
        <w:t>、</w:t>
      </w:r>
      <w:r>
        <w:rPr>
          <w:rFonts w:ascii="宋体" w:hAnsi="宋体" w:cs="Arial"/>
        </w:rPr>
        <w:t>认购确认：</w:t>
      </w:r>
      <w:r>
        <w:rPr>
          <w:rFonts w:hint="eastAsia" w:ascii="宋体" w:hAnsi="宋体" w:cs="Arial"/>
        </w:rPr>
        <w:t>在基金合同生效后</w:t>
      </w:r>
      <w:r>
        <w:rPr>
          <w:rFonts w:ascii="宋体" w:hAnsi="宋体" w:cs="Arial"/>
        </w:rPr>
        <w:t>，投资人可通过其办理认购的销售网点</w:t>
      </w:r>
      <w:r>
        <w:rPr>
          <w:rFonts w:hint="eastAsia" w:ascii="宋体" w:hAnsi="宋体" w:cs="Arial"/>
        </w:rPr>
        <w:t>或以其提供的其他方式</w:t>
      </w:r>
      <w:r>
        <w:rPr>
          <w:rFonts w:ascii="宋体" w:hAnsi="宋体" w:cs="Arial"/>
        </w:rPr>
        <w:t>查询认购确认情况。</w:t>
      </w:r>
    </w:p>
    <w:p w14:paraId="50D33235">
      <w:pPr>
        <w:snapToGrid w:val="0"/>
        <w:spacing w:line="360" w:lineRule="auto"/>
        <w:ind w:firstLine="420"/>
        <w:rPr>
          <w:rFonts w:hint="eastAsia" w:ascii="宋体" w:hAnsi="宋体" w:cs="Arial"/>
          <w:b/>
        </w:rPr>
      </w:pPr>
      <w:bookmarkStart w:id="53" w:name="_Toc276561310"/>
      <w:r>
        <w:rPr>
          <w:rFonts w:ascii="宋体" w:hAnsi="宋体" w:cs="Arial"/>
          <w:b/>
        </w:rPr>
        <w:t>十</w:t>
      </w:r>
      <w:r>
        <w:rPr>
          <w:rFonts w:hint="eastAsia" w:ascii="宋体" w:hAnsi="宋体" w:cs="Arial"/>
          <w:b/>
        </w:rPr>
        <w:t>五</w:t>
      </w:r>
      <w:r>
        <w:rPr>
          <w:rFonts w:ascii="宋体" w:hAnsi="宋体" w:cs="Arial"/>
          <w:b/>
        </w:rPr>
        <w:t>、网下股票认购</w:t>
      </w:r>
      <w:bookmarkEnd w:id="53"/>
    </w:p>
    <w:p w14:paraId="7FE98165">
      <w:pPr>
        <w:adjustRightInd w:val="0"/>
        <w:snapToGrid w:val="0"/>
        <w:spacing w:line="360" w:lineRule="auto"/>
        <w:ind w:firstLine="420" w:firstLineChars="200"/>
        <w:rPr>
          <w:rFonts w:hint="eastAsia" w:ascii="宋体" w:hAnsi="宋体" w:cs="Arial"/>
        </w:rPr>
      </w:pPr>
      <w:r>
        <w:rPr>
          <w:rFonts w:ascii="宋体" w:hAnsi="宋体" w:cs="Arial"/>
        </w:rPr>
        <w:t>1</w:t>
      </w:r>
      <w:r>
        <w:rPr>
          <w:rFonts w:hint="eastAsia" w:ascii="宋体" w:hAnsi="宋体" w:cs="Arial"/>
        </w:rPr>
        <w:t>、</w:t>
      </w:r>
      <w:r>
        <w:rPr>
          <w:rFonts w:ascii="宋体" w:hAnsi="宋体" w:cs="Arial"/>
        </w:rPr>
        <w:t>认购时间：</w:t>
      </w:r>
      <w:r>
        <w:rPr>
          <w:rFonts w:hint="eastAsia" w:ascii="宋体" w:hAnsi="宋体" w:cs="Arial"/>
        </w:rPr>
        <w:t>详见基金份额发售公告</w:t>
      </w:r>
      <w:r>
        <w:rPr>
          <w:rFonts w:ascii="宋体" w:hAnsi="宋体" w:cs="Arial"/>
        </w:rPr>
        <w:t>。</w:t>
      </w:r>
    </w:p>
    <w:p w14:paraId="22235473">
      <w:pPr>
        <w:adjustRightInd w:val="0"/>
        <w:snapToGrid w:val="0"/>
        <w:spacing w:line="360" w:lineRule="auto"/>
        <w:ind w:firstLine="420"/>
        <w:rPr>
          <w:rFonts w:hint="eastAsia" w:ascii="宋体" w:hAnsi="宋体" w:cs="Arial"/>
        </w:rPr>
      </w:pPr>
      <w:r>
        <w:rPr>
          <w:rFonts w:ascii="宋体" w:hAnsi="宋体" w:cs="Arial"/>
        </w:rPr>
        <w:t>2</w:t>
      </w:r>
      <w:r>
        <w:rPr>
          <w:rFonts w:hint="eastAsia" w:ascii="宋体" w:hAnsi="宋体" w:cs="Arial"/>
        </w:rPr>
        <w:t>、</w:t>
      </w:r>
      <w:r>
        <w:rPr>
          <w:rFonts w:ascii="宋体" w:hAnsi="宋体" w:cs="Arial"/>
        </w:rPr>
        <w:t>认购限额：网下股票认购以单只股票股数申报，用于认购的股票必须是</w:t>
      </w:r>
      <w:r>
        <w:rPr>
          <w:rFonts w:hint="eastAsia" w:ascii="宋体" w:hAnsi="宋体" w:cs="Arial"/>
        </w:rPr>
        <w:t>中证细分化工产业主题指数</w:t>
      </w:r>
      <w:r>
        <w:rPr>
          <w:rFonts w:ascii="宋体" w:hAnsi="宋体" w:cs="Arial"/>
        </w:rPr>
        <w:t>的成份股和已经公告的备选成份股。单只股票最低认购申报股数为1</w:t>
      </w:r>
      <w:r>
        <w:rPr>
          <w:rFonts w:hint="eastAsia" w:ascii="宋体" w:hAnsi="宋体" w:cs="Arial"/>
        </w:rPr>
        <w:t>,</w:t>
      </w:r>
      <w:r>
        <w:rPr>
          <w:rFonts w:ascii="宋体" w:hAnsi="宋体" w:cs="Arial"/>
        </w:rPr>
        <w:t>000股，超过1</w:t>
      </w:r>
      <w:r>
        <w:rPr>
          <w:rFonts w:hint="eastAsia" w:ascii="宋体" w:hAnsi="宋体" w:cs="Arial"/>
        </w:rPr>
        <w:t>,</w:t>
      </w:r>
      <w:r>
        <w:rPr>
          <w:rFonts w:ascii="宋体" w:hAnsi="宋体" w:cs="Arial"/>
        </w:rPr>
        <w:t>000股的部分须为100股的整数倍。投资人可多次提交认购申请</w:t>
      </w:r>
      <w:r>
        <w:rPr>
          <w:rFonts w:hint="eastAsia" w:ascii="宋体" w:hAnsi="宋体" w:cs="Arial"/>
        </w:rPr>
        <w:t>，累计申报数不设上限</w:t>
      </w:r>
      <w:r>
        <w:rPr>
          <w:rFonts w:ascii="宋体" w:hAnsi="宋体" w:cs="Arial"/>
        </w:rPr>
        <w:t>。</w:t>
      </w:r>
    </w:p>
    <w:p w14:paraId="2C51173B">
      <w:pPr>
        <w:adjustRightInd w:val="0"/>
        <w:snapToGrid w:val="0"/>
        <w:spacing w:line="360" w:lineRule="auto"/>
        <w:ind w:firstLine="420"/>
        <w:rPr>
          <w:rFonts w:hint="eastAsia" w:ascii="宋体" w:hAnsi="宋体" w:cs="Arial"/>
        </w:rPr>
      </w:pPr>
      <w:r>
        <w:rPr>
          <w:rFonts w:ascii="宋体" w:hAnsi="宋体" w:cs="Arial"/>
        </w:rPr>
        <w:t>3</w:t>
      </w:r>
      <w:r>
        <w:rPr>
          <w:rFonts w:hint="eastAsia" w:ascii="宋体" w:hAnsi="宋体" w:cs="Arial"/>
        </w:rPr>
        <w:t>、</w:t>
      </w:r>
      <w:r>
        <w:rPr>
          <w:rFonts w:ascii="宋体" w:hAnsi="宋体" w:cs="Arial"/>
        </w:rPr>
        <w:t>认购手续：投资人在认购本基金时，需按销售机构的规定，到销售网点办理认购手续，并备足认购股票。</w:t>
      </w:r>
      <w:r>
        <w:rPr>
          <w:rFonts w:hint="eastAsia" w:ascii="宋体" w:hAnsi="宋体" w:cs="Arial"/>
        </w:rPr>
        <w:t>认购申报提交后不得撤销。</w:t>
      </w:r>
    </w:p>
    <w:p w14:paraId="52849223">
      <w:pPr>
        <w:adjustRightInd w:val="0"/>
        <w:snapToGrid w:val="0"/>
        <w:spacing w:line="360" w:lineRule="auto"/>
        <w:ind w:firstLine="420" w:firstLineChars="200"/>
        <w:rPr>
          <w:rFonts w:hint="eastAsia" w:ascii="宋体" w:hAnsi="宋体" w:cs="Arial"/>
        </w:rPr>
      </w:pPr>
      <w:r>
        <w:rPr>
          <w:rFonts w:ascii="宋体" w:hAnsi="宋体" w:cs="Arial"/>
        </w:rPr>
        <w:t>4</w:t>
      </w:r>
      <w:r>
        <w:rPr>
          <w:rFonts w:hint="eastAsia" w:ascii="宋体" w:hAnsi="宋体" w:cs="Arial"/>
        </w:rPr>
        <w:t>、</w:t>
      </w:r>
      <w:r>
        <w:rPr>
          <w:rFonts w:ascii="宋体" w:hAnsi="宋体" w:cs="Arial"/>
        </w:rPr>
        <w:t>特殊情形</w:t>
      </w:r>
    </w:p>
    <w:p w14:paraId="7B68B694">
      <w:pPr>
        <w:adjustRightInd w:val="0"/>
        <w:snapToGrid w:val="0"/>
        <w:spacing w:line="360" w:lineRule="auto"/>
        <w:ind w:firstLine="420"/>
        <w:rPr>
          <w:rFonts w:hint="eastAsia" w:ascii="宋体" w:hAnsi="宋体" w:cs="Arial"/>
        </w:rPr>
      </w:pPr>
      <w:r>
        <w:rPr>
          <w:rFonts w:ascii="宋体" w:hAnsi="宋体" w:cs="Arial"/>
        </w:rPr>
        <w:t>特殊情形包括但不限于以下几种情况：</w:t>
      </w:r>
    </w:p>
    <w:p w14:paraId="135E3CE1">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已经公告的即将被调出</w:t>
      </w:r>
      <w:r>
        <w:rPr>
          <w:rFonts w:hint="eastAsia" w:ascii="宋体" w:hAnsi="宋体" w:cs="Arial"/>
        </w:rPr>
        <w:t>中证细分化工产业主题指数</w:t>
      </w:r>
      <w:r>
        <w:rPr>
          <w:rFonts w:ascii="宋体" w:hAnsi="宋体" w:cs="Arial"/>
        </w:rPr>
        <w:t>的成份股不得用于认购本基金。</w:t>
      </w:r>
    </w:p>
    <w:p w14:paraId="2DCFA9A4">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限制个股认购规模：基金管理人可根据网下股票认购日前3个月的个股的交易量、价格波动及其他异常情况，决定是否对个股认购规模进行限制，并在网下股票认购日前至少3个工作日公告限制认购规模的个股名单。</w:t>
      </w:r>
    </w:p>
    <w:p w14:paraId="464AEBC2">
      <w:pPr>
        <w:numPr>
          <w:ilvl w:val="0"/>
          <w:numId w:val="5"/>
        </w:numPr>
        <w:tabs>
          <w:tab w:val="left" w:pos="993"/>
        </w:tabs>
        <w:adjustRightInd w:val="0"/>
        <w:snapToGrid w:val="0"/>
        <w:spacing w:line="360" w:lineRule="auto"/>
        <w:ind w:left="0" w:firstLine="420"/>
        <w:rPr>
          <w:rFonts w:hint="eastAsia" w:ascii="宋体" w:hAnsi="宋体" w:cs="Arial"/>
        </w:rPr>
      </w:pPr>
      <w:r>
        <w:rPr>
          <w:rFonts w:ascii="宋体" w:hAnsi="宋体" w:cs="Arial"/>
        </w:rPr>
        <w:t>临时拒绝个股认购：对于在网下股票认购期间价格波动异常或认购申报数量异常的个股，基金管理人可不经公告，全部或部分拒绝该股票的认购申报。</w:t>
      </w:r>
    </w:p>
    <w:p w14:paraId="25A73583">
      <w:pPr>
        <w:adjustRightInd w:val="0"/>
        <w:snapToGrid w:val="0"/>
        <w:spacing w:line="360" w:lineRule="auto"/>
        <w:ind w:firstLine="420" w:firstLineChars="200"/>
        <w:rPr>
          <w:rFonts w:hint="eastAsia" w:ascii="宋体" w:hAnsi="宋体" w:cs="Arial"/>
        </w:rPr>
      </w:pPr>
      <w:r>
        <w:rPr>
          <w:rFonts w:hint="eastAsia" w:ascii="宋体" w:hAnsi="宋体" w:cs="Arial"/>
        </w:rPr>
        <w:t>（4）根据法律法规本基金不得持有的标的指数成份股，将不能用于认购本基金。</w:t>
      </w:r>
    </w:p>
    <w:p w14:paraId="7FB5E359">
      <w:pPr>
        <w:adjustRightInd w:val="0"/>
        <w:snapToGrid w:val="0"/>
        <w:spacing w:line="360" w:lineRule="auto"/>
        <w:ind w:firstLine="420" w:firstLineChars="200"/>
        <w:rPr>
          <w:rFonts w:hint="eastAsia" w:ascii="宋体" w:hAnsi="宋体" w:cs="宋体"/>
        </w:rPr>
      </w:pPr>
      <w:r>
        <w:rPr>
          <w:rFonts w:ascii="宋体" w:hAnsi="宋体" w:cs="Arial"/>
        </w:rPr>
        <w:t>5</w:t>
      </w:r>
      <w:r>
        <w:rPr>
          <w:rFonts w:hint="eastAsia" w:ascii="宋体" w:hAnsi="宋体" w:cs="Arial"/>
        </w:rPr>
        <w:t>、</w:t>
      </w:r>
      <w:r>
        <w:rPr>
          <w:rFonts w:ascii="宋体" w:hAnsi="宋体" w:cs="Arial"/>
        </w:rPr>
        <w:t>清算交收</w:t>
      </w:r>
    </w:p>
    <w:p w14:paraId="6FC13EAF">
      <w:pPr>
        <w:adjustRightInd w:val="0"/>
        <w:snapToGrid w:val="0"/>
        <w:spacing w:line="360" w:lineRule="auto"/>
        <w:ind w:firstLine="420" w:firstLineChars="200"/>
        <w:rPr>
          <w:rFonts w:hint="eastAsia" w:ascii="宋体" w:hAnsi="宋体" w:cs="Arial"/>
        </w:rPr>
      </w:pPr>
      <w:r>
        <w:rPr>
          <w:rFonts w:hint="eastAsia" w:ascii="宋体" w:hAnsi="宋体" w:cs="宋体"/>
          <w:szCs w:val="21"/>
        </w:rPr>
        <w:t>T日日终（T日为本基金发售期最后一日），基金管理人初步确认各成份股的有效认购数量。T+1日起，登记机构根据基金管理人提供的确认数据，冻结上海市场网下认购股票，并将深圳市场网下认购股票过户至本基金组合证券认购专户。</w:t>
      </w:r>
      <w:r>
        <w:rPr>
          <w:rFonts w:hint="eastAsia" w:ascii="宋体" w:hAnsi="宋体" w:cs="宋体"/>
        </w:rPr>
        <w:t>基金发售期结束后，基金管理人根据发售代理机构提供的数据计算投资人应以基金份额方式支付的认购佣金，并从投资人的认购份额中扣除，然后将</w:t>
      </w:r>
      <w:r>
        <w:rPr>
          <w:rFonts w:ascii="宋体" w:hAnsi="宋体" w:cs="Arial"/>
        </w:rPr>
        <w:t>扣除的认购</w:t>
      </w:r>
      <w:r>
        <w:rPr>
          <w:rFonts w:hint="eastAsia" w:ascii="宋体" w:hAnsi="宋体" w:cs="Arial"/>
        </w:rPr>
        <w:t>佣金</w:t>
      </w:r>
      <w:r>
        <w:rPr>
          <w:rFonts w:ascii="宋体" w:hAnsi="宋体" w:cs="Arial"/>
        </w:rPr>
        <w:t>以基金份额的形式返还给发售代理机构。登记机构根据基金管理人提供的投资人净认购份额明细数据进行投资人认购份额的初始登记，并根据基金管理人报深圳证券交易所确认的有效认购申请股票数据，将投资人申请认购的股票过户到基金的证券账户。</w:t>
      </w:r>
    </w:p>
    <w:p w14:paraId="5552F5AD">
      <w:pPr>
        <w:adjustRightInd w:val="0"/>
        <w:snapToGrid w:val="0"/>
        <w:spacing w:line="360" w:lineRule="auto"/>
        <w:ind w:firstLine="420" w:firstLineChars="200"/>
        <w:rPr>
          <w:rFonts w:hint="eastAsia" w:ascii="宋体" w:hAnsi="宋体" w:cs="Arial"/>
        </w:rPr>
      </w:pPr>
      <w:r>
        <w:rPr>
          <w:rFonts w:hint="eastAsia" w:ascii="宋体" w:hAnsi="宋体" w:cs="Arial"/>
        </w:rPr>
        <w:t>若深圳证券交易所、登记机构对网下股票认购业务的清算交收流程有所修订或调整的，本基金将进行相应调整。</w:t>
      </w:r>
    </w:p>
    <w:p w14:paraId="17915F00">
      <w:pPr>
        <w:adjustRightInd w:val="0"/>
        <w:snapToGrid w:val="0"/>
        <w:spacing w:line="360" w:lineRule="auto"/>
        <w:ind w:firstLine="420" w:firstLineChars="200"/>
        <w:rPr>
          <w:rFonts w:hint="eastAsia" w:ascii="宋体" w:hAnsi="宋体" w:cs="Arial"/>
        </w:rPr>
      </w:pPr>
      <w:r>
        <w:rPr>
          <w:rFonts w:ascii="宋体" w:hAnsi="宋体" w:cs="Arial"/>
        </w:rPr>
        <w:t>6</w:t>
      </w:r>
      <w:r>
        <w:rPr>
          <w:rFonts w:hint="eastAsia" w:ascii="宋体" w:hAnsi="宋体" w:cs="Arial"/>
        </w:rPr>
        <w:t>、</w:t>
      </w:r>
      <w:r>
        <w:rPr>
          <w:rFonts w:ascii="宋体" w:hAnsi="宋体" w:cs="Arial"/>
        </w:rPr>
        <w:t>网下股票认购份额的计算公式</w:t>
      </w:r>
    </w:p>
    <w:p w14:paraId="6EF77503">
      <w:pPr>
        <w:adjustRightInd w:val="0"/>
        <w:snapToGrid w:val="0"/>
        <w:spacing w:line="360" w:lineRule="auto"/>
        <w:ind w:firstLine="420" w:firstLineChars="200"/>
        <w:rPr>
          <w:rFonts w:hint="eastAsia" w:ascii="宋体" w:hAnsi="宋体" w:cs="Arial"/>
        </w:rPr>
      </w:pPr>
      <w:r>
        <w:rPr>
          <w:rFonts w:hint="eastAsia" w:ascii="宋体" w:hAnsi="宋体" w:cs="Arial"/>
        </w:rPr>
        <w:t>通过发售代理机构进行网下股票认购的投资人，认购以单只股票股数申请，在销售机构允许的条件下，投资人可以现金或基金份额的方式支付佣金。本基金基金管理人办理网下股票认购时不收取认购费用。</w:t>
      </w:r>
    </w:p>
    <w:p w14:paraId="762CFB05">
      <w:pPr>
        <w:adjustRightInd w:val="0"/>
        <w:snapToGrid w:val="0"/>
        <w:spacing w:line="360" w:lineRule="auto"/>
        <w:ind w:firstLine="420" w:firstLineChars="200"/>
        <w:rPr>
          <w:rFonts w:hint="eastAsia" w:ascii="宋体" w:hAnsi="宋体" w:cs="Arial"/>
        </w:rPr>
      </w:pPr>
      <w:r>
        <w:rPr>
          <w:rFonts w:hint="eastAsia" w:ascii="宋体" w:hAnsi="宋体" w:cs="Arial"/>
        </w:rPr>
        <w:t>（1）如投资人选择以现金支付佣金则其可得到的基金份额和需支付的佣金如下：</w:t>
      </w:r>
    </w:p>
    <w:p w14:paraId="6D4AFCDD">
      <w:pPr>
        <w:adjustRightInd w:val="0"/>
        <w:snapToGrid w:val="0"/>
        <w:spacing w:line="360" w:lineRule="auto"/>
        <w:ind w:firstLine="420" w:firstLineChars="200"/>
        <w:rPr>
          <w:rFonts w:hint="eastAsia" w:ascii="宋体" w:hAnsi="宋体" w:cs="Arial"/>
        </w:rPr>
      </w:pPr>
      <w:r>
        <w:rPr>
          <w:rFonts w:ascii="宋体" w:hAnsi="宋体" w:cs="Arial"/>
        </w:rPr>
        <w:t>认购份额＝</w:t>
      </w:r>
      <w:r>
        <w:rPr>
          <w:rFonts w:ascii="宋体" w:hAnsi="宋体" w:cs="Arial"/>
        </w:rPr>
        <w:drawing>
          <wp:inline distT="0" distB="0" distL="114300" distR="114300">
            <wp:extent cx="228600" cy="518160"/>
            <wp:effectExtent l="0" t="0" r="0" b="254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46"/>
                    <a:stretch>
                      <a:fillRect/>
                    </a:stretch>
                  </pic:blipFill>
                  <pic:spPr>
                    <a:xfrm>
                      <a:off x="0" y="0"/>
                      <a:ext cx="228600" cy="518160"/>
                    </a:xfrm>
                    <a:prstGeom prst="rect">
                      <a:avLst/>
                    </a:prstGeom>
                    <a:noFill/>
                    <a:ln>
                      <a:noFill/>
                    </a:ln>
                  </pic:spPr>
                </pic:pic>
              </a:graphicData>
            </a:graphic>
          </wp:inline>
        </w:drawing>
      </w:r>
      <w:r>
        <w:rPr>
          <w:rFonts w:ascii="宋体" w:hAnsi="宋体" w:cs="Arial"/>
        </w:rPr>
        <w:t>（第i只股票在网下股票认购期最后一日的均价×有效认购数量）／</w:t>
      </w:r>
      <w:r>
        <w:rPr>
          <w:rFonts w:hint="eastAsia" w:ascii="宋体" w:hAnsi="宋体" w:cs="Arial"/>
        </w:rPr>
        <w:t>基金份额发售面值</w:t>
      </w:r>
    </w:p>
    <w:p w14:paraId="5F0D8E43">
      <w:pPr>
        <w:adjustRightInd w:val="0"/>
        <w:snapToGrid w:val="0"/>
        <w:spacing w:line="360" w:lineRule="auto"/>
        <w:ind w:firstLine="420" w:firstLineChars="200"/>
        <w:rPr>
          <w:rFonts w:hint="eastAsia" w:ascii="宋体" w:hAnsi="宋体" w:cs="Arial"/>
        </w:rPr>
      </w:pPr>
      <w:r>
        <w:rPr>
          <w:rFonts w:ascii="宋体" w:hAnsi="宋体" w:cs="Arial"/>
          <w:kern w:val="3"/>
        </w:rPr>
        <w:t>佣金</w:t>
      </w:r>
      <w:r>
        <w:rPr>
          <w:rFonts w:hint="eastAsia" w:ascii="宋体" w:hAnsi="宋体" w:cs="Arial"/>
          <w:kern w:val="3"/>
        </w:rPr>
        <w:t>按每笔认购申请单独计算，每笔</w:t>
      </w:r>
      <w:r>
        <w:rPr>
          <w:rFonts w:ascii="宋体" w:hAnsi="宋体" w:cs="Arial"/>
          <w:kern w:val="3"/>
        </w:rPr>
        <w:t>佣金=</w:t>
      </w:r>
      <w:r>
        <w:rPr>
          <w:rFonts w:hint="eastAsia" w:ascii="宋体" w:hAnsi="宋体" w:cs="Arial"/>
          <w:kern w:val="3"/>
        </w:rPr>
        <w:t>每笔股票</w:t>
      </w:r>
      <w:r>
        <w:rPr>
          <w:rFonts w:ascii="宋体" w:hAnsi="宋体" w:cs="Arial"/>
          <w:kern w:val="3"/>
        </w:rPr>
        <w:t>认购份额×</w:t>
      </w:r>
      <w:r>
        <w:rPr>
          <w:rFonts w:ascii="宋体" w:hAnsi="宋体" w:cs="Arial"/>
        </w:rPr>
        <w:t>基金份额</w:t>
      </w:r>
      <w:r>
        <w:rPr>
          <w:rFonts w:hint="eastAsia" w:ascii="宋体" w:hAnsi="宋体" w:cs="Arial"/>
        </w:rPr>
        <w:t>发售</w:t>
      </w:r>
      <w:r>
        <w:rPr>
          <w:rFonts w:ascii="宋体" w:hAnsi="宋体" w:cs="Arial"/>
        </w:rPr>
        <w:t>面值</w:t>
      </w:r>
      <w:r>
        <w:rPr>
          <w:rFonts w:ascii="宋体" w:hAnsi="宋体" w:cs="Arial"/>
          <w:kern w:val="3"/>
        </w:rPr>
        <w:t>×佣金比率</w:t>
      </w:r>
      <w:r>
        <w:rPr>
          <w:rFonts w:hint="eastAsia" w:ascii="宋体" w:hAnsi="宋体" w:cs="Arial"/>
          <w:kern w:val="3"/>
        </w:rPr>
        <w:t>（或若适用固定费用的，佣金=固定费用）</w:t>
      </w:r>
    </w:p>
    <w:p w14:paraId="108442B2">
      <w:pPr>
        <w:adjustRightInd w:val="0"/>
        <w:snapToGrid w:val="0"/>
        <w:spacing w:line="360" w:lineRule="auto"/>
        <w:ind w:firstLine="420" w:firstLineChars="200"/>
        <w:rPr>
          <w:rFonts w:hint="eastAsia" w:ascii="宋体" w:hAnsi="宋体" w:cs="Arial"/>
          <w:kern w:val="3"/>
        </w:rPr>
      </w:pPr>
      <w:r>
        <w:rPr>
          <w:rFonts w:hint="eastAsia" w:ascii="宋体" w:hAnsi="宋体" w:cs="Arial"/>
          <w:kern w:val="3"/>
        </w:rPr>
        <w:t>（2）</w:t>
      </w:r>
      <w:r>
        <w:rPr>
          <w:rFonts w:ascii="宋体" w:hAnsi="宋体" w:cs="Arial"/>
          <w:kern w:val="3"/>
        </w:rPr>
        <w:t>如投资人选择以基金份额的方式交纳佣金则其可得到的基金份额和需支付的佣金如下：</w:t>
      </w:r>
    </w:p>
    <w:p w14:paraId="26F3C057">
      <w:pPr>
        <w:adjustRightInd w:val="0"/>
        <w:snapToGrid w:val="0"/>
        <w:spacing w:line="360" w:lineRule="auto"/>
        <w:ind w:firstLine="420" w:firstLineChars="200"/>
        <w:rPr>
          <w:rFonts w:hint="eastAsia" w:ascii="宋体" w:hAnsi="宋体" w:cs="Arial"/>
        </w:rPr>
      </w:pPr>
      <w:r>
        <w:rPr>
          <w:rFonts w:hint="eastAsia" w:ascii="宋体" w:hAnsi="宋体" w:cs="Arial"/>
        </w:rPr>
        <w:t>每笔股票</w:t>
      </w:r>
      <w:r>
        <w:rPr>
          <w:rFonts w:ascii="宋体" w:hAnsi="宋体" w:cs="Arial"/>
        </w:rPr>
        <w:t>认购份额＝</w:t>
      </w:r>
      <w:r>
        <w:rPr>
          <w:rFonts w:hint="eastAsia" w:ascii="宋体" w:hAnsi="宋体" w:cs="Arial"/>
        </w:rPr>
        <w:t>该</w:t>
      </w:r>
      <w:r>
        <w:rPr>
          <w:rFonts w:ascii="宋体" w:hAnsi="宋体" w:cs="Arial"/>
        </w:rPr>
        <w:t>股票在网下股票认购期最后一日的均价×有效认购数量／基金份额</w:t>
      </w:r>
      <w:r>
        <w:rPr>
          <w:rFonts w:hint="eastAsia" w:ascii="宋体" w:hAnsi="宋体" w:cs="Arial"/>
        </w:rPr>
        <w:t>发售</w:t>
      </w:r>
      <w:r>
        <w:rPr>
          <w:rFonts w:ascii="宋体" w:hAnsi="宋体" w:cs="Arial"/>
        </w:rPr>
        <w:t>面值</w:t>
      </w:r>
    </w:p>
    <w:p w14:paraId="6E774576">
      <w:pPr>
        <w:adjustRightInd w:val="0"/>
        <w:snapToGrid w:val="0"/>
        <w:spacing w:line="360" w:lineRule="auto"/>
        <w:ind w:firstLine="420" w:firstLineChars="200"/>
        <w:rPr>
          <w:rFonts w:hint="eastAsia" w:ascii="宋体" w:hAnsi="宋体" w:cs="Arial"/>
          <w:kern w:val="3"/>
        </w:rPr>
      </w:pPr>
      <w:r>
        <w:rPr>
          <w:rFonts w:ascii="宋体" w:hAnsi="宋体" w:cs="Arial"/>
          <w:kern w:val="3"/>
        </w:rPr>
        <w:t>佣金</w:t>
      </w:r>
      <w:r>
        <w:rPr>
          <w:rFonts w:hint="eastAsia" w:ascii="宋体" w:hAnsi="宋体" w:cs="Arial"/>
          <w:kern w:val="3"/>
        </w:rPr>
        <w:t>按每笔认购申请单独计算，每笔</w:t>
      </w:r>
      <w:r>
        <w:rPr>
          <w:rFonts w:ascii="宋体" w:hAnsi="宋体" w:cs="Arial"/>
          <w:kern w:val="3"/>
        </w:rPr>
        <w:t>佣金=</w:t>
      </w:r>
      <w:r>
        <w:rPr>
          <w:rFonts w:hint="eastAsia" w:ascii="宋体" w:hAnsi="宋体" w:cs="Arial"/>
          <w:kern w:val="3"/>
        </w:rPr>
        <w:t>基金份额发售面值</w:t>
      </w:r>
      <w:r>
        <w:rPr>
          <w:rFonts w:ascii="宋体" w:hAnsi="宋体" w:cs="Arial"/>
          <w:kern w:val="3"/>
        </w:rPr>
        <w:t>×</w:t>
      </w:r>
      <w:r>
        <w:rPr>
          <w:rFonts w:hint="eastAsia" w:ascii="宋体" w:hAnsi="宋体" w:cs="Arial"/>
          <w:kern w:val="3"/>
        </w:rPr>
        <w:t>每笔股票</w:t>
      </w:r>
      <w:r>
        <w:rPr>
          <w:rFonts w:ascii="宋体" w:hAnsi="宋体" w:cs="Arial"/>
          <w:kern w:val="3"/>
        </w:rPr>
        <w:t>认购份额/（1＋佣金比率）×佣金比率</w:t>
      </w:r>
      <w:r>
        <w:rPr>
          <w:rFonts w:hint="eastAsia" w:ascii="宋体" w:hAnsi="宋体" w:cs="Arial"/>
          <w:kern w:val="3"/>
        </w:rPr>
        <w:t>（或若适用固定费用的，佣金=固定费用）</w:t>
      </w:r>
    </w:p>
    <w:p w14:paraId="6613C2F8">
      <w:pPr>
        <w:adjustRightInd w:val="0"/>
        <w:snapToGrid w:val="0"/>
        <w:spacing w:line="360" w:lineRule="auto"/>
        <w:ind w:firstLine="420" w:firstLineChars="200"/>
        <w:rPr>
          <w:rFonts w:hint="eastAsia" w:ascii="宋体" w:hAnsi="宋体" w:cs="Arial"/>
          <w:kern w:val="3"/>
        </w:rPr>
      </w:pPr>
      <w:r>
        <w:rPr>
          <w:rFonts w:hint="eastAsia" w:ascii="宋体" w:hAnsi="宋体" w:cs="Arial"/>
          <w:kern w:val="3"/>
        </w:rPr>
        <w:t>每笔股票</w:t>
      </w:r>
      <w:r>
        <w:rPr>
          <w:rFonts w:ascii="宋体" w:hAnsi="宋体" w:cs="Arial"/>
          <w:kern w:val="3"/>
        </w:rPr>
        <w:t>净认购份额=</w:t>
      </w:r>
      <w:r>
        <w:rPr>
          <w:rFonts w:hint="eastAsia" w:ascii="宋体" w:hAnsi="宋体" w:cs="Arial"/>
          <w:kern w:val="3"/>
        </w:rPr>
        <w:t>（每笔股票</w:t>
      </w:r>
      <w:r>
        <w:rPr>
          <w:rFonts w:ascii="宋体" w:hAnsi="宋体" w:cs="Arial"/>
          <w:kern w:val="3"/>
        </w:rPr>
        <w:t>认购份额－</w:t>
      </w:r>
      <w:r>
        <w:rPr>
          <w:rFonts w:hint="eastAsia" w:ascii="宋体" w:hAnsi="宋体" w:cs="Arial"/>
          <w:kern w:val="3"/>
        </w:rPr>
        <w:t>每笔</w:t>
      </w:r>
      <w:r>
        <w:rPr>
          <w:rFonts w:ascii="宋体" w:hAnsi="宋体" w:cs="Arial"/>
          <w:kern w:val="3"/>
        </w:rPr>
        <w:t>佣金</w:t>
      </w:r>
      <w:r>
        <w:rPr>
          <w:rFonts w:hint="eastAsia" w:ascii="宋体" w:hAnsi="宋体" w:cs="Arial"/>
          <w:kern w:val="3"/>
        </w:rPr>
        <w:t>）/</w:t>
      </w:r>
      <w:r>
        <w:rPr>
          <w:rFonts w:ascii="宋体" w:hAnsi="宋体" w:cs="Arial"/>
        </w:rPr>
        <w:t>基金份额</w:t>
      </w:r>
      <w:r>
        <w:rPr>
          <w:rFonts w:hint="eastAsia" w:ascii="宋体" w:hAnsi="宋体" w:cs="Arial"/>
        </w:rPr>
        <w:t>发售</w:t>
      </w:r>
      <w:r>
        <w:rPr>
          <w:rFonts w:ascii="宋体" w:hAnsi="宋体" w:cs="Arial"/>
        </w:rPr>
        <w:t>面值</w:t>
      </w:r>
    </w:p>
    <w:p w14:paraId="2A34BD08">
      <w:pPr>
        <w:adjustRightInd w:val="0"/>
        <w:snapToGrid w:val="0"/>
        <w:spacing w:line="360" w:lineRule="auto"/>
        <w:ind w:firstLine="420" w:firstLineChars="200"/>
        <w:rPr>
          <w:rFonts w:hint="eastAsia" w:ascii="宋体" w:hAnsi="宋体" w:cs="Arial"/>
          <w:kern w:val="3"/>
        </w:rPr>
      </w:pPr>
      <w:r>
        <w:rPr>
          <w:rFonts w:ascii="宋体" w:hAnsi="宋体" w:cs="Arial"/>
          <w:kern w:val="3"/>
        </w:rPr>
        <w:t>佣金</w:t>
      </w:r>
      <w:r>
        <w:rPr>
          <w:rFonts w:hint="eastAsia" w:ascii="宋体" w:hAnsi="宋体" w:cs="Arial"/>
          <w:kern w:val="3"/>
        </w:rPr>
        <w:t>采用截尾法保留到整数位，</w:t>
      </w:r>
      <w:r>
        <w:rPr>
          <w:rFonts w:ascii="宋体" w:hAnsi="宋体" w:cs="Arial"/>
          <w:kern w:val="3"/>
        </w:rPr>
        <w:t>小数</w:t>
      </w:r>
      <w:r>
        <w:rPr>
          <w:rFonts w:hint="eastAsia" w:ascii="宋体" w:hAnsi="宋体" w:cs="Arial"/>
          <w:kern w:val="3"/>
        </w:rPr>
        <w:t>部分</w:t>
      </w:r>
      <w:r>
        <w:rPr>
          <w:rFonts w:ascii="宋体" w:hAnsi="宋体" w:cs="Arial"/>
          <w:kern w:val="3"/>
        </w:rPr>
        <w:t>舍去。</w:t>
      </w:r>
    </w:p>
    <w:p w14:paraId="14127D41">
      <w:pPr>
        <w:adjustRightInd w:val="0"/>
        <w:snapToGrid w:val="0"/>
        <w:spacing w:line="360" w:lineRule="auto"/>
        <w:ind w:firstLine="420" w:firstLineChars="200"/>
        <w:rPr>
          <w:rFonts w:hint="eastAsia" w:ascii="宋体" w:hAnsi="宋体" w:cs="Arial"/>
        </w:rPr>
      </w:pPr>
      <w:r>
        <w:rPr>
          <w:rFonts w:ascii="宋体" w:hAnsi="宋体" w:cs="Arial"/>
        </w:rPr>
        <w:t>其中：</w:t>
      </w:r>
    </w:p>
    <w:p w14:paraId="6A054148">
      <w:pPr>
        <w:adjustRightInd w:val="0"/>
        <w:snapToGrid w:val="0"/>
        <w:spacing w:line="360" w:lineRule="auto"/>
        <w:ind w:firstLine="420" w:firstLineChars="200"/>
        <w:rPr>
          <w:rFonts w:hint="eastAsia" w:ascii="宋体" w:hAnsi="宋体" w:cs="Arial"/>
        </w:rPr>
      </w:pPr>
      <w:r>
        <w:rPr>
          <w:rFonts w:hint="eastAsia" w:ascii="宋体" w:hAnsi="宋体" w:cs="Arial"/>
        </w:rPr>
        <w:t>（1）</w:t>
      </w:r>
      <w:r>
        <w:rPr>
          <w:rFonts w:ascii="宋体" w:hAnsi="宋体" w:cs="Arial"/>
        </w:rPr>
        <w:t>i代表投资人提交认购申请的第i只股票，</w:t>
      </w:r>
      <w:r>
        <w:rPr>
          <w:rFonts w:hint="eastAsia" w:ascii="宋体" w:hAnsi="宋体" w:cs="Arial"/>
        </w:rPr>
        <w:t>n代表投资人提交的股票总只数，</w:t>
      </w:r>
      <w:r>
        <w:rPr>
          <w:rFonts w:ascii="宋体" w:hAnsi="宋体" w:cs="Arial"/>
        </w:rPr>
        <w:t>如投资人仅提交了1只股票的申请，则n＝1；</w:t>
      </w:r>
    </w:p>
    <w:p w14:paraId="268BB1B5">
      <w:pPr>
        <w:adjustRightInd w:val="0"/>
        <w:snapToGrid w:val="0"/>
        <w:spacing w:line="360" w:lineRule="auto"/>
        <w:ind w:firstLine="420" w:firstLineChars="200"/>
        <w:rPr>
          <w:rFonts w:hint="eastAsia" w:ascii="宋体" w:hAnsi="宋体" w:cs="Arial"/>
        </w:rPr>
      </w:pPr>
      <w:r>
        <w:rPr>
          <w:rFonts w:hint="eastAsia" w:ascii="宋体" w:hAnsi="宋体" w:cs="Arial"/>
        </w:rPr>
        <w:t>（2）“</w:t>
      </w:r>
      <w:r>
        <w:rPr>
          <w:rFonts w:ascii="宋体" w:hAnsi="宋体" w:cs="Arial"/>
        </w:rPr>
        <w:t>第i只股票在网下股票认购期最后一日的均价”由本基金管理人根据证券交易所的当日行情数据，以该股票的总成交金额除以总成交股数计算，以四舍五入的方法保留小数点后两位。若该股票在当日停牌或无成交，则以同样方法计算最近一个交易日的均价作为计算价格。</w:t>
      </w:r>
    </w:p>
    <w:p w14:paraId="78C6712F">
      <w:pPr>
        <w:adjustRightInd w:val="0"/>
        <w:snapToGrid w:val="0"/>
        <w:spacing w:line="360" w:lineRule="auto"/>
        <w:ind w:firstLine="420" w:firstLineChars="200"/>
        <w:rPr>
          <w:rFonts w:hint="eastAsia" w:ascii="宋体" w:hAnsi="宋体" w:cs="Arial"/>
        </w:rPr>
      </w:pPr>
      <w:r>
        <w:rPr>
          <w:rFonts w:ascii="宋体" w:hAnsi="宋体" w:cs="Arial"/>
        </w:rPr>
        <w:t>若某只股票在网下股票认购期最后一日至登记机构进行股票过户日的冻结期间发生了除息、送股（转增）、配股等权益变动，由于投资人获得了相应的权益，基金管理人将按如下方式对该股票在网下股票认购期最后一日的均价进行调整：</w:t>
      </w:r>
    </w:p>
    <w:p w14:paraId="2638D8C5">
      <w:pPr>
        <w:numPr>
          <w:ilvl w:val="0"/>
          <w:numId w:val="6"/>
        </w:numPr>
        <w:adjustRightInd w:val="0"/>
        <w:snapToGrid w:val="0"/>
        <w:spacing w:line="360" w:lineRule="auto"/>
        <w:rPr>
          <w:rFonts w:hint="eastAsia" w:ascii="宋体" w:hAnsi="宋体" w:cs="Arial"/>
        </w:rPr>
      </w:pPr>
      <w:r>
        <w:rPr>
          <w:rFonts w:ascii="宋体" w:hAnsi="宋体" w:cs="Arial"/>
        </w:rPr>
        <w:t>除息：调整后价格＝网下股票认购期最后一日均价－每股现金股利或股息</w:t>
      </w:r>
    </w:p>
    <w:p w14:paraId="5ACD7CA5">
      <w:pPr>
        <w:numPr>
          <w:ilvl w:val="0"/>
          <w:numId w:val="6"/>
        </w:numPr>
        <w:adjustRightInd w:val="0"/>
        <w:snapToGrid w:val="0"/>
        <w:spacing w:line="360" w:lineRule="auto"/>
        <w:rPr>
          <w:rFonts w:hint="eastAsia" w:ascii="宋体" w:hAnsi="宋体" w:cs="Arial"/>
        </w:rPr>
      </w:pPr>
      <w:r>
        <w:rPr>
          <w:rFonts w:ascii="宋体" w:hAnsi="宋体" w:cs="Arial"/>
        </w:rPr>
        <w:t>送股：调整后价格＝网下股票认购期最后一日均价／（1＋每股送股比例）</w:t>
      </w:r>
    </w:p>
    <w:p w14:paraId="524AF347">
      <w:pPr>
        <w:numPr>
          <w:ilvl w:val="0"/>
          <w:numId w:val="6"/>
        </w:numPr>
        <w:adjustRightInd w:val="0"/>
        <w:snapToGrid w:val="0"/>
        <w:spacing w:line="360" w:lineRule="auto"/>
        <w:rPr>
          <w:rFonts w:hint="eastAsia" w:ascii="宋体" w:hAnsi="宋体" w:cs="Arial"/>
        </w:rPr>
      </w:pPr>
      <w:r>
        <w:rPr>
          <w:rFonts w:ascii="宋体" w:hAnsi="宋体" w:cs="Arial"/>
        </w:rPr>
        <w:t>配股：调整后价格＝（网下股票认购期最后一日均价＋配股价×配股比例）／（1＋每股配股比例）</w:t>
      </w:r>
    </w:p>
    <w:p w14:paraId="4D89575C">
      <w:pPr>
        <w:numPr>
          <w:ilvl w:val="0"/>
          <w:numId w:val="6"/>
        </w:numPr>
        <w:adjustRightInd w:val="0"/>
        <w:snapToGrid w:val="0"/>
        <w:spacing w:line="360" w:lineRule="auto"/>
        <w:rPr>
          <w:rFonts w:hint="eastAsia" w:ascii="宋体" w:hAnsi="宋体" w:cs="Arial"/>
        </w:rPr>
      </w:pPr>
      <w:r>
        <w:rPr>
          <w:rFonts w:ascii="宋体" w:hAnsi="宋体" w:cs="Arial"/>
        </w:rPr>
        <w:t>送股且配股：调整后价格＝（网下股票认购期最后一日均价＋配股价×配股比例）／（1＋每股送股比例＋每股配股比例）</w:t>
      </w:r>
    </w:p>
    <w:p w14:paraId="71A4DB1E">
      <w:pPr>
        <w:numPr>
          <w:ilvl w:val="0"/>
          <w:numId w:val="6"/>
        </w:numPr>
        <w:adjustRightInd w:val="0"/>
        <w:snapToGrid w:val="0"/>
        <w:spacing w:line="360" w:lineRule="auto"/>
        <w:rPr>
          <w:rFonts w:hint="eastAsia" w:ascii="宋体" w:hAnsi="宋体" w:cs="Arial"/>
        </w:rPr>
      </w:pPr>
      <w:r>
        <w:rPr>
          <w:rFonts w:hint="eastAsia" w:ascii="宋体" w:hAnsi="宋体" w:cs="Arial"/>
        </w:rPr>
        <w:t>除息且送股：调整后价格＝（网下股票认购期最后一日均价－每股现金股利或股息）/（1＋每股送股比例）</w:t>
      </w:r>
    </w:p>
    <w:p w14:paraId="16006BA7">
      <w:pPr>
        <w:numPr>
          <w:ilvl w:val="0"/>
          <w:numId w:val="6"/>
        </w:numPr>
        <w:adjustRightInd w:val="0"/>
        <w:snapToGrid w:val="0"/>
        <w:spacing w:line="360" w:lineRule="auto"/>
        <w:rPr>
          <w:rFonts w:hint="eastAsia" w:ascii="宋体" w:hAnsi="宋体" w:cs="Arial"/>
        </w:rPr>
      </w:pPr>
      <w:r>
        <w:rPr>
          <w:rFonts w:hint="eastAsia" w:ascii="宋体" w:hAnsi="宋体" w:cs="Arial"/>
        </w:rPr>
        <w:t>除息且配股：调整后价格＝（网下股票认购期最后一日均价＋配股价×配股比例－每股现金股利或股息）/（1＋每股配股比例）</w:t>
      </w:r>
    </w:p>
    <w:p w14:paraId="5D53F54E">
      <w:pPr>
        <w:numPr>
          <w:ilvl w:val="0"/>
          <w:numId w:val="6"/>
        </w:numPr>
        <w:adjustRightInd w:val="0"/>
        <w:snapToGrid w:val="0"/>
        <w:spacing w:line="360" w:lineRule="auto"/>
        <w:rPr>
          <w:rFonts w:hint="eastAsia" w:ascii="宋体" w:hAnsi="宋体" w:cs="Arial"/>
        </w:rPr>
      </w:pPr>
      <w:r>
        <w:rPr>
          <w:rFonts w:ascii="宋体" w:hAnsi="宋体" w:cs="Arial"/>
        </w:rPr>
        <w:t>除息、送股且配股：调整后价格＝（网下股票认购期最后一日均价＋配股价×配股比例－每股现金股利或股息）／（1＋每股送股比例＋每股配股比例）</w:t>
      </w:r>
    </w:p>
    <w:p w14:paraId="5C46FA1C">
      <w:pPr>
        <w:adjustRightInd w:val="0"/>
        <w:snapToGrid w:val="0"/>
        <w:spacing w:line="360" w:lineRule="auto"/>
        <w:ind w:firstLine="420" w:firstLineChars="200"/>
        <w:rPr>
          <w:rFonts w:hint="eastAsia" w:ascii="宋体" w:hAnsi="宋体" w:cs="Arial"/>
        </w:rPr>
      </w:pPr>
      <w:r>
        <w:rPr>
          <w:rFonts w:hint="eastAsia" w:ascii="宋体" w:hAnsi="宋体" w:cs="Arial"/>
        </w:rPr>
        <w:t>（3）“</w:t>
      </w:r>
      <w:r>
        <w:rPr>
          <w:rFonts w:ascii="宋体" w:hAnsi="宋体" w:cs="Arial"/>
        </w:rPr>
        <w:t>有效认购数量</w:t>
      </w:r>
      <w:r>
        <w:rPr>
          <w:rFonts w:hint="eastAsia" w:ascii="宋体" w:hAnsi="宋体" w:cs="Arial"/>
        </w:rPr>
        <w:t>”</w:t>
      </w:r>
      <w:r>
        <w:rPr>
          <w:rFonts w:ascii="宋体" w:hAnsi="宋体" w:cs="Arial"/>
        </w:rPr>
        <w:t>是指由基金管理人确认的并由登记机构完成清算交收的股票股数。其中：</w:t>
      </w:r>
    </w:p>
    <w:p w14:paraId="0A6AA678">
      <w:pPr>
        <w:adjustRightInd w:val="0"/>
        <w:snapToGrid w:val="0"/>
        <w:spacing w:line="360" w:lineRule="auto"/>
        <w:ind w:firstLine="420" w:firstLineChars="200"/>
        <w:rPr>
          <w:rFonts w:hint="eastAsia" w:ascii="宋体" w:hAnsi="宋体" w:cs="Arial"/>
        </w:rPr>
      </w:pPr>
      <w:r>
        <w:rPr>
          <w:rFonts w:hint="eastAsia" w:ascii="宋体" w:hAnsi="宋体" w:cs="Arial"/>
        </w:rPr>
        <w:t>1）</w:t>
      </w:r>
      <w:r>
        <w:rPr>
          <w:rFonts w:ascii="宋体" w:hAnsi="宋体" w:cs="Arial"/>
        </w:rPr>
        <w:t>对于经公告限制认购规模的个股，基金管理人可确认的认购数量上限</w:t>
      </w:r>
      <w:r>
        <w:rPr>
          <w:rFonts w:hint="eastAsia" w:ascii="宋体" w:hAnsi="宋体" w:cs="Arial"/>
        </w:rPr>
        <w:t>的计算方式详见届时相关公告。</w:t>
      </w:r>
    </w:p>
    <w:p w14:paraId="6AE88CA9">
      <w:pPr>
        <w:adjustRightInd w:val="0"/>
        <w:snapToGrid w:val="0"/>
        <w:spacing w:line="360" w:lineRule="auto"/>
        <w:ind w:firstLine="420" w:firstLineChars="200"/>
        <w:rPr>
          <w:rFonts w:hint="eastAsia" w:ascii="宋体" w:hAnsi="宋体" w:cs="Arial"/>
        </w:rPr>
      </w:pPr>
      <w:r>
        <w:rPr>
          <w:rFonts w:hint="eastAsia" w:ascii="宋体" w:hAnsi="宋体" w:cs="Arial"/>
        </w:rPr>
        <w:t>2）某一股票在网下股票认购期最后一日至登记机构进行股票过户日的冻结期间发生司法执行，基金管理人将根据登记机构确认的实际过户数据对投资人的有效认购数量进行相应调整。</w:t>
      </w:r>
    </w:p>
    <w:p w14:paraId="134FC8C2">
      <w:pPr>
        <w:adjustRightInd w:val="0"/>
        <w:snapToGrid w:val="0"/>
        <w:spacing w:line="360" w:lineRule="auto"/>
        <w:ind w:left="420"/>
        <w:rPr>
          <w:rFonts w:hint="eastAsia" w:ascii="宋体" w:hAnsi="宋体" w:cs="Arial"/>
        </w:rPr>
      </w:pPr>
      <w:r>
        <w:rPr>
          <w:rFonts w:hint="eastAsia" w:ascii="宋体" w:hAnsi="宋体" w:cs="Arial"/>
        </w:rPr>
        <w:t>7、网下股票认购计算举例</w:t>
      </w:r>
    </w:p>
    <w:p w14:paraId="447180F7">
      <w:pPr>
        <w:adjustRightInd w:val="0"/>
        <w:snapToGrid w:val="0"/>
        <w:spacing w:line="360" w:lineRule="auto"/>
        <w:ind w:firstLine="420" w:firstLineChars="200"/>
        <w:rPr>
          <w:rFonts w:hint="eastAsia" w:ascii="宋体" w:hAnsi="宋体" w:cs="Arial"/>
          <w:kern w:val="3"/>
        </w:rPr>
      </w:pPr>
      <w:r>
        <w:rPr>
          <w:rFonts w:ascii="宋体" w:hAnsi="宋体" w:cs="Arial"/>
          <w:kern w:val="3"/>
        </w:rPr>
        <w:t>例：某投资人持有</w:t>
      </w:r>
      <w:r>
        <w:rPr>
          <w:rFonts w:hint="eastAsia" w:ascii="宋体" w:hAnsi="宋体" w:cs="Arial"/>
          <w:kern w:val="3"/>
        </w:rPr>
        <w:t>中证细分化工产业主题指数</w:t>
      </w:r>
      <w:r>
        <w:rPr>
          <w:rFonts w:ascii="宋体" w:hAnsi="宋体" w:cs="Arial"/>
          <w:kern w:val="3"/>
        </w:rPr>
        <w:t>成份股中股票A</w:t>
      </w:r>
      <w:r>
        <w:rPr>
          <w:rFonts w:hint="eastAsia" w:ascii="宋体" w:hAnsi="宋体" w:cs="Arial"/>
          <w:kern w:val="3"/>
        </w:rPr>
        <w:t xml:space="preserve"> </w:t>
      </w:r>
      <w:r>
        <w:rPr>
          <w:rFonts w:ascii="宋体" w:hAnsi="宋体" w:cs="Arial"/>
          <w:kern w:val="3"/>
        </w:rPr>
        <w:t>10</w:t>
      </w:r>
      <w:r>
        <w:rPr>
          <w:rFonts w:hint="eastAsia" w:ascii="宋体" w:hAnsi="宋体" w:cs="Arial"/>
          <w:kern w:val="3"/>
        </w:rPr>
        <w:t>,</w:t>
      </w:r>
      <w:r>
        <w:rPr>
          <w:rFonts w:ascii="宋体" w:hAnsi="宋体" w:cs="Arial"/>
          <w:kern w:val="3"/>
        </w:rPr>
        <w:t>000股，至某发售代理机构网点认购本基金，选择以现金支付认购</w:t>
      </w:r>
      <w:r>
        <w:rPr>
          <w:rFonts w:hint="eastAsia" w:ascii="宋体" w:hAnsi="宋体" w:cs="Arial"/>
          <w:kern w:val="3"/>
        </w:rPr>
        <w:t>佣金</w:t>
      </w:r>
      <w:r>
        <w:rPr>
          <w:rFonts w:ascii="宋体" w:hAnsi="宋体" w:cs="Arial"/>
          <w:kern w:val="3"/>
        </w:rPr>
        <w:t>。假设202×年×月×日股票A的均价</w:t>
      </w:r>
      <w:r>
        <w:rPr>
          <w:rFonts w:hint="eastAsia" w:ascii="宋体" w:hAnsi="宋体" w:cs="Arial"/>
          <w:kern w:val="3"/>
        </w:rPr>
        <w:t>为</w:t>
      </w:r>
      <w:r>
        <w:rPr>
          <w:rFonts w:ascii="宋体" w:hAnsi="宋体" w:cs="Arial"/>
          <w:kern w:val="3"/>
        </w:rPr>
        <w:t>25.50元，基金管理人确认的有效认购数量为10,000股股票A，发售代理机构确认的</w:t>
      </w:r>
      <w:r>
        <w:rPr>
          <w:rFonts w:hint="eastAsia" w:ascii="宋体" w:hAnsi="宋体" w:cs="Arial"/>
          <w:kern w:val="3"/>
        </w:rPr>
        <w:t>佣金费率</w:t>
      </w:r>
      <w:r>
        <w:rPr>
          <w:rFonts w:ascii="宋体" w:hAnsi="宋体" w:cs="Arial"/>
          <w:kern w:val="3"/>
        </w:rPr>
        <w:t>为0.</w:t>
      </w:r>
      <w:r>
        <w:rPr>
          <w:rFonts w:hint="eastAsia" w:ascii="宋体" w:hAnsi="宋体" w:cs="Arial"/>
          <w:kern w:val="3"/>
        </w:rPr>
        <w:t>3</w:t>
      </w:r>
      <w:r>
        <w:rPr>
          <w:rFonts w:ascii="宋体" w:hAnsi="宋体" w:cs="Arial"/>
          <w:kern w:val="3"/>
        </w:rPr>
        <w:t>0%，则其可得到的基金份额和需支付的认购佣金如下：</w:t>
      </w:r>
    </w:p>
    <w:p w14:paraId="1B179E9D">
      <w:pPr>
        <w:adjustRightInd w:val="0"/>
        <w:snapToGrid w:val="0"/>
        <w:spacing w:line="360" w:lineRule="auto"/>
        <w:ind w:firstLine="420" w:firstLineChars="200"/>
        <w:rPr>
          <w:rFonts w:hint="eastAsia"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7D7DAA30">
      <w:pPr>
        <w:adjustRightInd w:val="0"/>
        <w:snapToGrid w:val="0"/>
        <w:spacing w:line="360" w:lineRule="auto"/>
        <w:ind w:firstLine="420" w:firstLineChars="200"/>
        <w:rPr>
          <w:rFonts w:hint="eastAsia"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=1.00</w:t>
      </w:r>
      <w:r>
        <w:rPr>
          <w:rFonts w:hint="eastAsia" w:ascii="宋体" w:hAnsi="宋体" w:cs="Arial"/>
          <w:kern w:val="3"/>
        </w:rPr>
        <w:t>×255</w:t>
      </w:r>
      <w:r>
        <w:rPr>
          <w:rFonts w:ascii="宋体" w:hAnsi="宋体" w:cs="Arial"/>
          <w:kern w:val="3"/>
        </w:rPr>
        <w:t>,000×0.</w:t>
      </w:r>
      <w:r>
        <w:rPr>
          <w:rFonts w:hint="eastAsia" w:ascii="宋体" w:hAnsi="宋体" w:cs="Arial"/>
          <w:kern w:val="3"/>
        </w:rPr>
        <w:t>3</w:t>
      </w:r>
      <w:r>
        <w:rPr>
          <w:rFonts w:ascii="宋体" w:hAnsi="宋体" w:cs="Arial"/>
          <w:kern w:val="3"/>
        </w:rPr>
        <w:t>0%＝</w:t>
      </w:r>
      <w:r>
        <w:rPr>
          <w:rFonts w:hint="eastAsia" w:ascii="宋体" w:hAnsi="宋体" w:cs="Arial"/>
          <w:kern w:val="3"/>
        </w:rPr>
        <w:t>765</w:t>
      </w:r>
      <w:r>
        <w:rPr>
          <w:rFonts w:ascii="宋体" w:hAnsi="宋体" w:cs="Arial"/>
          <w:kern w:val="3"/>
        </w:rPr>
        <w:t>元</w:t>
      </w:r>
    </w:p>
    <w:p w14:paraId="33E86A15">
      <w:pPr>
        <w:adjustRightInd w:val="0"/>
        <w:snapToGrid w:val="0"/>
        <w:spacing w:line="360" w:lineRule="auto"/>
        <w:ind w:firstLine="420" w:firstLineChars="200"/>
        <w:rPr>
          <w:rFonts w:hint="eastAsia" w:ascii="宋体" w:hAnsi="宋体" w:cs="Arial"/>
          <w:kern w:val="3"/>
        </w:rPr>
      </w:pPr>
      <w:r>
        <w:rPr>
          <w:rFonts w:ascii="宋体" w:hAnsi="宋体" w:cs="Arial"/>
          <w:kern w:val="3"/>
        </w:rPr>
        <w:t>即投资人可认购到</w:t>
      </w:r>
      <w:r>
        <w:rPr>
          <w:rFonts w:hint="eastAsia" w:ascii="宋体" w:hAnsi="宋体" w:cs="Arial"/>
          <w:kern w:val="3"/>
        </w:rPr>
        <w:t>255</w:t>
      </w:r>
      <w:r>
        <w:rPr>
          <w:rFonts w:ascii="宋体" w:hAnsi="宋体" w:cs="Arial"/>
          <w:kern w:val="3"/>
        </w:rPr>
        <w:t>,000份本基金基金份额，并需另行支付</w:t>
      </w:r>
      <w:r>
        <w:rPr>
          <w:rFonts w:hint="eastAsia" w:ascii="宋体" w:hAnsi="宋体" w:cs="Arial"/>
          <w:kern w:val="3"/>
        </w:rPr>
        <w:t>765</w:t>
      </w:r>
      <w:r>
        <w:rPr>
          <w:rFonts w:ascii="宋体" w:hAnsi="宋体" w:cs="Arial"/>
          <w:kern w:val="3"/>
        </w:rPr>
        <w:t>元的认购佣金。</w:t>
      </w:r>
    </w:p>
    <w:p w14:paraId="3E6C0301">
      <w:pPr>
        <w:adjustRightInd w:val="0"/>
        <w:snapToGrid w:val="0"/>
        <w:spacing w:line="360" w:lineRule="auto"/>
        <w:ind w:firstLine="420" w:firstLineChars="200"/>
        <w:rPr>
          <w:rFonts w:hint="eastAsia" w:ascii="宋体" w:hAnsi="宋体" w:cs="Arial"/>
          <w:kern w:val="3"/>
        </w:rPr>
      </w:pPr>
      <w:r>
        <w:rPr>
          <w:rFonts w:ascii="宋体" w:hAnsi="宋体" w:cs="Arial"/>
          <w:kern w:val="3"/>
        </w:rPr>
        <w:t>续</w:t>
      </w:r>
      <w:r>
        <w:rPr>
          <w:rFonts w:hint="eastAsia" w:ascii="宋体" w:hAnsi="宋体" w:cs="Arial"/>
          <w:kern w:val="3"/>
        </w:rPr>
        <w:t>上</w:t>
      </w:r>
      <w:r>
        <w:rPr>
          <w:rFonts w:ascii="宋体" w:hAnsi="宋体" w:cs="Arial"/>
          <w:kern w:val="3"/>
        </w:rPr>
        <w:t>例</w:t>
      </w:r>
      <w:r>
        <w:rPr>
          <w:rFonts w:hint="eastAsia" w:ascii="宋体" w:hAnsi="宋体" w:cs="Arial"/>
          <w:kern w:val="3"/>
        </w:rPr>
        <w:t>：</w:t>
      </w:r>
      <w:r>
        <w:rPr>
          <w:rFonts w:ascii="宋体" w:hAnsi="宋体" w:cs="Arial"/>
          <w:kern w:val="3"/>
        </w:rPr>
        <w:t>假设该投资人选择以基金份额的方式交纳认购佣金，则投资人最终可得的净认购份额为：</w:t>
      </w:r>
    </w:p>
    <w:p w14:paraId="588044D8">
      <w:pPr>
        <w:adjustRightInd w:val="0"/>
        <w:snapToGrid w:val="0"/>
        <w:spacing w:line="360" w:lineRule="auto"/>
        <w:ind w:firstLine="420" w:firstLineChars="200"/>
        <w:rPr>
          <w:rFonts w:hint="eastAsia" w:ascii="宋体" w:hAnsi="宋体" w:cs="Arial"/>
          <w:kern w:val="3"/>
        </w:rPr>
      </w:pPr>
      <w:r>
        <w:rPr>
          <w:rFonts w:ascii="宋体" w:hAnsi="宋体" w:cs="Arial"/>
          <w:kern w:val="3"/>
        </w:rPr>
        <w:t>认购份额=（10,000×25.50）÷1.00=</w:t>
      </w:r>
      <w:r>
        <w:rPr>
          <w:rFonts w:hint="eastAsia" w:ascii="宋体" w:hAnsi="宋体" w:cs="Arial"/>
          <w:kern w:val="3"/>
        </w:rPr>
        <w:t>255</w:t>
      </w:r>
      <w:r>
        <w:rPr>
          <w:rFonts w:ascii="宋体" w:hAnsi="宋体" w:cs="Arial"/>
          <w:kern w:val="3"/>
        </w:rPr>
        <w:t>,000份</w:t>
      </w:r>
    </w:p>
    <w:p w14:paraId="4C0E87CF">
      <w:pPr>
        <w:adjustRightInd w:val="0"/>
        <w:snapToGrid w:val="0"/>
        <w:spacing w:line="360" w:lineRule="auto"/>
        <w:ind w:firstLine="420" w:firstLineChars="200"/>
        <w:rPr>
          <w:rFonts w:hint="eastAsia" w:ascii="宋体" w:hAnsi="宋体" w:cs="Arial"/>
          <w:kern w:val="3"/>
        </w:rPr>
      </w:pPr>
      <w:r>
        <w:rPr>
          <w:rFonts w:ascii="宋体" w:hAnsi="宋体" w:cs="Arial"/>
          <w:kern w:val="3"/>
        </w:rPr>
        <w:t>认购</w:t>
      </w:r>
      <w:r>
        <w:rPr>
          <w:rFonts w:hint="eastAsia" w:ascii="宋体" w:hAnsi="宋体" w:cs="Arial"/>
          <w:kern w:val="3"/>
        </w:rPr>
        <w:t>佣金</w:t>
      </w:r>
      <w:r>
        <w:rPr>
          <w:rFonts w:ascii="宋体" w:hAnsi="宋体" w:cs="Arial"/>
          <w:kern w:val="3"/>
        </w:rPr>
        <w:t>=</w:t>
      </w:r>
      <w:r>
        <w:rPr>
          <w:rFonts w:hint="eastAsia" w:ascii="宋体" w:hAnsi="宋体" w:cs="Arial"/>
          <w:kern w:val="3"/>
        </w:rPr>
        <w:t>1.00</w:t>
      </w:r>
      <w:r>
        <w:rPr>
          <w:rFonts w:ascii="宋体" w:hAnsi="宋体" w:cs="Arial"/>
          <w:kern w:val="3"/>
        </w:rPr>
        <w:t>×</w:t>
      </w:r>
      <w:r>
        <w:rPr>
          <w:rFonts w:hint="eastAsia" w:ascii="宋体" w:hAnsi="宋体" w:cs="Arial"/>
          <w:kern w:val="3"/>
        </w:rPr>
        <w:t>255</w:t>
      </w:r>
      <w:r>
        <w:rPr>
          <w:rFonts w:ascii="宋体" w:hAnsi="宋体" w:cs="Arial"/>
          <w:kern w:val="3"/>
        </w:rPr>
        <w:t>,000÷（1+0.</w:t>
      </w:r>
      <w:r>
        <w:rPr>
          <w:rFonts w:hint="eastAsia" w:ascii="宋体" w:hAnsi="宋体" w:cs="Arial"/>
          <w:kern w:val="3"/>
        </w:rPr>
        <w:t>3</w:t>
      </w:r>
      <w:r>
        <w:rPr>
          <w:rFonts w:ascii="宋体" w:hAnsi="宋体" w:cs="Arial"/>
          <w:kern w:val="3"/>
        </w:rPr>
        <w:t>0%）×0.</w:t>
      </w:r>
      <w:r>
        <w:rPr>
          <w:rFonts w:hint="eastAsia" w:ascii="宋体" w:hAnsi="宋体" w:cs="Arial"/>
          <w:kern w:val="3"/>
        </w:rPr>
        <w:t>3</w:t>
      </w:r>
      <w:r>
        <w:rPr>
          <w:rFonts w:ascii="宋体" w:hAnsi="宋体" w:cs="Arial"/>
          <w:kern w:val="3"/>
        </w:rPr>
        <w:t>0%=</w:t>
      </w:r>
      <w:r>
        <w:rPr>
          <w:rFonts w:hint="eastAsia" w:ascii="宋体" w:hAnsi="宋体" w:cs="Arial"/>
          <w:kern w:val="3"/>
        </w:rPr>
        <w:t>762元</w:t>
      </w:r>
    </w:p>
    <w:p w14:paraId="6F121C04">
      <w:pPr>
        <w:adjustRightInd w:val="0"/>
        <w:snapToGrid w:val="0"/>
        <w:spacing w:line="360" w:lineRule="auto"/>
        <w:ind w:firstLine="420" w:firstLineChars="200"/>
        <w:rPr>
          <w:rFonts w:hint="eastAsia" w:ascii="宋体" w:hAnsi="宋体" w:cs="Arial"/>
          <w:kern w:val="3"/>
        </w:rPr>
      </w:pPr>
      <w:r>
        <w:rPr>
          <w:rFonts w:ascii="宋体" w:hAnsi="宋体" w:cs="Arial"/>
          <w:kern w:val="3"/>
        </w:rPr>
        <w:t>净认购份额＝</w:t>
      </w:r>
      <w:r>
        <w:rPr>
          <w:rFonts w:hint="eastAsia" w:ascii="宋体" w:hAnsi="宋体" w:cs="Arial"/>
          <w:kern w:val="3"/>
        </w:rPr>
        <w:t>（255</w:t>
      </w:r>
      <w:r>
        <w:rPr>
          <w:rFonts w:ascii="宋体" w:hAnsi="宋体" w:cs="Arial"/>
          <w:kern w:val="3"/>
        </w:rPr>
        <w:t>,000－</w:t>
      </w:r>
      <w:r>
        <w:rPr>
          <w:rFonts w:hint="eastAsia" w:ascii="宋体" w:hAnsi="宋体" w:cs="Arial"/>
          <w:kern w:val="3"/>
        </w:rPr>
        <w:t>762）</w:t>
      </w:r>
      <w:r>
        <w:rPr>
          <w:rFonts w:ascii="宋体" w:hAnsi="宋体" w:cs="Arial"/>
          <w:kern w:val="3"/>
        </w:rPr>
        <w:t>÷1.00＝25</w:t>
      </w:r>
      <w:r>
        <w:rPr>
          <w:rFonts w:hint="eastAsia" w:ascii="宋体" w:hAnsi="宋体" w:cs="Arial"/>
          <w:kern w:val="3"/>
        </w:rPr>
        <w:t>4</w:t>
      </w:r>
      <w:r>
        <w:rPr>
          <w:rFonts w:ascii="宋体" w:hAnsi="宋体" w:cs="Arial"/>
          <w:kern w:val="3"/>
        </w:rPr>
        <w:t>,</w:t>
      </w:r>
      <w:r>
        <w:rPr>
          <w:rFonts w:hint="eastAsia" w:ascii="宋体" w:hAnsi="宋体" w:cs="Arial"/>
          <w:kern w:val="3"/>
        </w:rPr>
        <w:t>238</w:t>
      </w:r>
      <w:r>
        <w:rPr>
          <w:rFonts w:ascii="宋体" w:hAnsi="宋体" w:cs="Arial"/>
          <w:kern w:val="3"/>
        </w:rPr>
        <w:t>份</w:t>
      </w:r>
    </w:p>
    <w:p w14:paraId="292CF566">
      <w:pPr>
        <w:snapToGrid w:val="0"/>
        <w:spacing w:line="360" w:lineRule="auto"/>
        <w:ind w:firstLine="420"/>
        <w:rPr>
          <w:rFonts w:hint="eastAsia" w:ascii="宋体" w:hAnsi="宋体" w:cs="Arial"/>
          <w:kern w:val="3"/>
        </w:rPr>
      </w:pPr>
      <w:bookmarkStart w:id="54" w:name="_Toc276561311"/>
      <w:r>
        <w:rPr>
          <w:rFonts w:hint="eastAsia" w:ascii="宋体" w:hAnsi="宋体" w:cs="Arial"/>
          <w:kern w:val="3"/>
        </w:rPr>
        <w:t>即该投资人可确认得到</w:t>
      </w:r>
      <w:r>
        <w:rPr>
          <w:rFonts w:ascii="宋体" w:hAnsi="宋体" w:cs="Arial"/>
          <w:kern w:val="3"/>
        </w:rPr>
        <w:t>25</w:t>
      </w:r>
      <w:r>
        <w:rPr>
          <w:rFonts w:hint="eastAsia" w:ascii="宋体" w:hAnsi="宋体" w:cs="Arial"/>
          <w:kern w:val="3"/>
        </w:rPr>
        <w:t>4</w:t>
      </w:r>
      <w:r>
        <w:rPr>
          <w:rFonts w:ascii="宋体" w:hAnsi="宋体" w:cs="Arial"/>
          <w:kern w:val="3"/>
        </w:rPr>
        <w:t>,</w:t>
      </w:r>
      <w:r>
        <w:rPr>
          <w:rFonts w:hint="eastAsia" w:ascii="宋体" w:hAnsi="宋体" w:cs="Arial"/>
          <w:kern w:val="3"/>
        </w:rPr>
        <w:t>238份基金份额，并已通过基金份额方式支付了762元的认购佣金。</w:t>
      </w:r>
    </w:p>
    <w:p w14:paraId="7BA94F18">
      <w:pPr>
        <w:snapToGrid w:val="0"/>
        <w:spacing w:line="360" w:lineRule="auto"/>
        <w:ind w:firstLine="420"/>
        <w:rPr>
          <w:rFonts w:hint="eastAsia" w:ascii="宋体" w:hAnsi="宋体" w:cs="Arial"/>
          <w:kern w:val="3"/>
        </w:rPr>
      </w:pPr>
      <w:r>
        <w:rPr>
          <w:rFonts w:hint="eastAsia" w:ascii="宋体" w:hAnsi="宋体" w:cs="Arial"/>
          <w:kern w:val="3"/>
        </w:rPr>
        <w:t>8、认购确认：在基金合同生效后，投资人可通过其办理认购的销售网点或以其提供的其他方式查询认购确认情况。</w:t>
      </w:r>
    </w:p>
    <w:p w14:paraId="07C0190C">
      <w:pPr>
        <w:snapToGrid w:val="0"/>
        <w:spacing w:line="360" w:lineRule="auto"/>
        <w:ind w:firstLine="420"/>
        <w:rPr>
          <w:rFonts w:hint="eastAsia" w:ascii="宋体" w:hAnsi="宋体" w:cs="Arial"/>
          <w:kern w:val="3"/>
        </w:rPr>
      </w:pPr>
      <w:r>
        <w:rPr>
          <w:rFonts w:hint="eastAsia" w:ascii="宋体" w:hAnsi="宋体" w:cs="Arial"/>
          <w:kern w:val="3"/>
        </w:rPr>
        <w:t>9、特别提示：投资人应根据法律法规及证券交易所相关规定进行股票认购，并及时履行因股票认购导致的股份减持所涉及的信息披露等义务。</w:t>
      </w:r>
    </w:p>
    <w:p w14:paraId="38A5A531">
      <w:pPr>
        <w:snapToGrid w:val="0"/>
        <w:spacing w:line="360" w:lineRule="auto"/>
        <w:ind w:firstLine="420"/>
        <w:rPr>
          <w:rFonts w:hint="eastAsia" w:ascii="宋体" w:hAnsi="宋体" w:cs="Arial"/>
          <w:b/>
        </w:rPr>
      </w:pPr>
      <w:r>
        <w:rPr>
          <w:rFonts w:ascii="宋体" w:hAnsi="宋体" w:cs="Arial"/>
          <w:b/>
        </w:rPr>
        <w:t>十</w:t>
      </w:r>
      <w:r>
        <w:rPr>
          <w:rFonts w:hint="eastAsia" w:ascii="宋体" w:hAnsi="宋体" w:cs="Arial"/>
          <w:b/>
        </w:rPr>
        <w:t>六</w:t>
      </w:r>
      <w:r>
        <w:rPr>
          <w:rFonts w:ascii="宋体" w:hAnsi="宋体" w:cs="Arial"/>
          <w:b/>
        </w:rPr>
        <w:t>、募集资金利息与募集股票权益的处理方式</w:t>
      </w:r>
      <w:bookmarkEnd w:id="54"/>
    </w:p>
    <w:p w14:paraId="282124D0">
      <w:pPr>
        <w:adjustRightInd w:val="0"/>
        <w:snapToGrid w:val="0"/>
        <w:spacing w:line="360" w:lineRule="auto"/>
        <w:ind w:firstLine="420" w:firstLineChars="200"/>
        <w:rPr>
          <w:rFonts w:hint="eastAsia" w:ascii="宋体" w:hAnsi="宋体"/>
          <w:szCs w:val="21"/>
        </w:rPr>
      </w:pPr>
      <w:r>
        <w:rPr>
          <w:rFonts w:hint="eastAsia" w:ascii="宋体" w:hAnsi="宋体"/>
          <w:szCs w:val="21"/>
        </w:rPr>
        <w:t>网下现金认购及网上现金认购的有效认购资金在募集期间产生的利息将折算为基金份额归基金份额持有人所有。投资者的认购股票在股票认购日至登记机构进行股票过户日的冻结期间的权益归投资者所有。</w:t>
      </w:r>
    </w:p>
    <w:p w14:paraId="2ADFA819">
      <w:pPr>
        <w:adjustRightInd w:val="0"/>
        <w:snapToGrid w:val="0"/>
        <w:spacing w:line="360" w:lineRule="auto"/>
        <w:ind w:firstLine="420" w:firstLineChars="200"/>
        <w:rPr>
          <w:rFonts w:hint="eastAsia" w:ascii="宋体" w:hAnsi="宋体"/>
          <w:szCs w:val="21"/>
        </w:rPr>
      </w:pPr>
      <w:r>
        <w:rPr>
          <w:rFonts w:hint="eastAsia" w:ascii="宋体" w:hAnsi="宋体"/>
          <w:kern w:val="0"/>
        </w:rPr>
        <w:t>基金管理人应将基金募集期间募集的资金存入专门账户，网下股票认购募集的股票按照交易所和登记机构的规则和流程办理股票的冻结与过户，上述资金及网下股票认购募集的股票在基金募集行为结束前任何人不得动用。</w:t>
      </w:r>
    </w:p>
    <w:p w14:paraId="66D48C8D">
      <w:pPr>
        <w:adjustRightInd w:val="0"/>
        <w:snapToGrid w:val="0"/>
        <w:spacing w:line="360" w:lineRule="auto"/>
        <w:ind w:firstLine="422" w:firstLineChars="200"/>
        <w:rPr>
          <w:rFonts w:hint="eastAsia" w:ascii="宋体" w:hAnsi="宋体" w:cs="Arial"/>
          <w:b/>
          <w:bCs/>
        </w:rPr>
      </w:pPr>
      <w:r>
        <w:rPr>
          <w:rFonts w:hint="eastAsia" w:ascii="宋体" w:hAnsi="宋体" w:cs="Arial"/>
          <w:b/>
          <w:bCs/>
        </w:rPr>
        <w:t>十七、发行联接基金或增设新的份额类别等相关业务</w:t>
      </w:r>
    </w:p>
    <w:p w14:paraId="54F7EB95">
      <w:pPr>
        <w:adjustRightInd w:val="0"/>
        <w:snapToGrid w:val="0"/>
        <w:spacing w:line="360" w:lineRule="auto"/>
        <w:ind w:firstLine="420" w:firstLineChars="200"/>
        <w:rPr>
          <w:rFonts w:hint="eastAsia" w:ascii="宋体" w:hAnsi="宋体" w:cs="Arial"/>
          <w:bCs/>
        </w:rPr>
      </w:pPr>
      <w:r>
        <w:rPr>
          <w:rFonts w:hint="eastAsia" w:ascii="宋体" w:hAnsi="宋体" w:cs="Arial"/>
          <w:bCs/>
        </w:rPr>
        <w:t>在不违反法律法规及对基金份额持有人利益无实质性不利影响的前提下，基金管理人可根据基金发展需要，经与基金托管人协商一致并履行相关程序后，为本基金募集并管理以本基金为目标ETF的联接基金，或增设新的基金份额类别，或开通场外申购、赎回等相关业务并制定、公布相应的交易规则等，无</w:t>
      </w:r>
      <w:r>
        <w:rPr>
          <w:rFonts w:ascii="宋体" w:hAnsi="宋体" w:cs="Arial"/>
          <w:bCs/>
        </w:rPr>
        <w:t>需</w:t>
      </w:r>
      <w:r>
        <w:rPr>
          <w:rFonts w:hint="eastAsia" w:ascii="宋体" w:hAnsi="宋体" w:cs="Arial"/>
          <w:bCs/>
        </w:rPr>
        <w:t>召开基金份额持有人大会审议。</w:t>
      </w:r>
    </w:p>
    <w:p w14:paraId="4B5CBB4E">
      <w:pPr>
        <w:adjustRightInd w:val="0"/>
        <w:snapToGrid w:val="0"/>
        <w:spacing w:line="360" w:lineRule="auto"/>
        <w:ind w:firstLine="420" w:firstLineChars="200"/>
        <w:rPr>
          <w:rFonts w:hint="eastAsia" w:ascii="宋体" w:hAnsi="宋体" w:cs="Arial"/>
          <w:bCs/>
        </w:rPr>
        <w:sectPr>
          <w:footerReference r:id="rId19" w:type="first"/>
          <w:footerReference r:id="rId18" w:type="default"/>
          <w:pgSz w:w="11906" w:h="16838"/>
          <w:pgMar w:top="1440" w:right="1800" w:bottom="1440" w:left="1800" w:header="851" w:footer="992" w:gutter="0"/>
          <w:cols w:space="720" w:num="1"/>
          <w:titlePg/>
          <w:docGrid w:linePitch="312" w:charSpace="0"/>
        </w:sectPr>
      </w:pPr>
    </w:p>
    <w:p w14:paraId="1C5CC5CC">
      <w:pPr>
        <w:pStyle w:val="2"/>
        <w:snapToGrid w:val="0"/>
        <w:spacing w:before="0" w:after="0" w:line="360" w:lineRule="auto"/>
        <w:rPr>
          <w:rFonts w:hint="eastAsia" w:hAnsi="宋体" w:eastAsia="宋体" w:cs="Arial"/>
          <w:b/>
          <w:bCs/>
          <w:sz w:val="28"/>
          <w:szCs w:val="28"/>
        </w:rPr>
      </w:pPr>
      <w:bookmarkStart w:id="55" w:name="_Toc214873596"/>
      <w:bookmarkStart w:id="56" w:name="_Toc408484002"/>
      <w:bookmarkStart w:id="57" w:name="_Toc18185"/>
      <w:bookmarkStart w:id="58" w:name="_Toc50661125"/>
      <w:bookmarkStart w:id="59" w:name="_Toc86655817"/>
      <w:r>
        <w:rPr>
          <w:rFonts w:hAnsi="宋体" w:eastAsia="宋体" w:cs="Arial"/>
          <w:b/>
          <w:bCs/>
          <w:sz w:val="28"/>
          <w:szCs w:val="28"/>
        </w:rPr>
        <w:t>第</w:t>
      </w:r>
      <w:r>
        <w:rPr>
          <w:rFonts w:hint="eastAsia" w:hAnsi="宋体" w:eastAsia="宋体" w:cs="Arial"/>
          <w:b/>
          <w:bCs/>
          <w:sz w:val="28"/>
          <w:szCs w:val="28"/>
        </w:rPr>
        <w:t>七</w:t>
      </w:r>
      <w:r>
        <w:rPr>
          <w:rFonts w:hAnsi="宋体" w:eastAsia="宋体" w:cs="Arial"/>
          <w:b/>
          <w:bCs/>
          <w:sz w:val="28"/>
          <w:szCs w:val="28"/>
        </w:rPr>
        <w:t xml:space="preserve">部分  </w:t>
      </w:r>
      <w:bookmarkEnd w:id="55"/>
      <w:r>
        <w:rPr>
          <w:rFonts w:hint="eastAsia" w:hAnsi="宋体" w:eastAsia="宋体" w:cs="Arial"/>
          <w:b/>
          <w:bCs/>
          <w:sz w:val="28"/>
          <w:szCs w:val="28"/>
        </w:rPr>
        <w:t>基金合同的生效</w:t>
      </w:r>
      <w:bookmarkEnd w:id="56"/>
      <w:bookmarkEnd w:id="57"/>
      <w:bookmarkEnd w:id="58"/>
      <w:bookmarkEnd w:id="59"/>
    </w:p>
    <w:p w14:paraId="0823ECE0">
      <w:pPr>
        <w:spacing w:line="360" w:lineRule="auto"/>
        <w:rPr>
          <w:rFonts w:hint="eastAsia" w:ascii="宋体" w:hAnsi="宋体"/>
        </w:rPr>
      </w:pPr>
    </w:p>
    <w:bookmarkEnd w:id="43"/>
    <w:p w14:paraId="51807D6A">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一、基金备案的条件</w:t>
      </w:r>
    </w:p>
    <w:p w14:paraId="09F95C68">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本基金自基金份额发售之日起3个月内，在基金募集份额总额不少于2亿份，基金募集金额（含网下股票认购所募集的股票按基金合同约定的估值方法计算的价值）不少于2亿元人民币且基金认购人数不少于200人的条件下，基金募集期届满或基金管理人依据法律法规及招募说明书可以决定停止基金发售，并在10日内聘请法定验资机构验资，基金管理人自收到验资报告之日起10日内，向中国证监会办理基金备案手续。</w:t>
      </w:r>
    </w:p>
    <w:p w14:paraId="6651B246">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网下股票认购募集的股票按照交易所和登记机构的规则和流程办理股票的冻结与过户，在基金募集行为结束前任何人不得动用。</w:t>
      </w:r>
    </w:p>
    <w:p w14:paraId="240E4F48">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二、基金合同不能生效时募集资金及股票的处理方式</w:t>
      </w:r>
    </w:p>
    <w:p w14:paraId="417CDD4C">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如果募集期限届满，未满足基金备案条件，基金管理人应当承担下列责任：</w:t>
      </w:r>
    </w:p>
    <w:p w14:paraId="14A893DE">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1、以其固有财产承担因募集行为而产生的债务和费用；</w:t>
      </w:r>
    </w:p>
    <w:p w14:paraId="16559295">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2、在基金募集期限届满后30日内返还投资者已交纳的款项，并加计银行同期活期存款利息；已冻结的股票应根据交易所及登记机构相关规则予以解冻，登记机构及发售代理机构将协助基金管理人完成相关资金和股票的退还工作，基金管理人不承担相关股票冻结期间交易价格波动的责任；</w:t>
      </w:r>
    </w:p>
    <w:p w14:paraId="7BB391EA">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3、如基金募集失败，基金管理人、基金托管人及发售代理机构不得请求报酬。基金管理人、基金托管人和发售代理机构为基金募集支付之一切费用应由各方各自承担。</w:t>
      </w:r>
    </w:p>
    <w:p w14:paraId="74C4F006">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三、基金存续期内的基金份额持有人数量和资产规模</w:t>
      </w:r>
    </w:p>
    <w:p w14:paraId="1E544A1E">
      <w:pPr>
        <w:adjustRightInd w:val="0"/>
        <w:snapToGrid w:val="0"/>
        <w:spacing w:line="360" w:lineRule="auto"/>
        <w:ind w:firstLine="420" w:firstLineChars="200"/>
        <w:rPr>
          <w:rFonts w:hint="eastAsia" w:ascii="宋体" w:hAnsi="宋体"/>
          <w:bCs/>
          <w:color w:val="0C0C0C"/>
          <w:kern w:val="0"/>
          <w:szCs w:val="22"/>
        </w:rPr>
      </w:pPr>
      <w:r>
        <w:rPr>
          <w:rFonts w:hint="eastAsia" w:ascii="宋体" w:hAnsi="宋体"/>
          <w:bCs/>
          <w:color w:val="0C0C0C"/>
          <w:kern w:val="0"/>
          <w:szCs w:val="22"/>
        </w:rPr>
        <w:t>《基金合同》生效后，连续20个工作日出现基金份额持有人数量不满200人或者基金资产净值低于5000 万元情形的，基金管理人应当在定期报告中予以披露；连续60个工作日出现前述情形的，基金管理人应当在10个工作日内向中国证监会报告并提出解决方案，并应及时通知基金托管人，如持续运作、转换运作方式、与其他基金合并或者终止基金合同等，并在6个月内召集基金份额持有人大会。</w:t>
      </w:r>
    </w:p>
    <w:p w14:paraId="3203AFF8">
      <w:pPr>
        <w:adjustRightInd w:val="0"/>
        <w:snapToGrid w:val="0"/>
        <w:spacing w:line="360" w:lineRule="auto"/>
        <w:ind w:firstLine="420" w:firstLineChars="200"/>
        <w:rPr>
          <w:rFonts w:hint="eastAsia" w:ascii="宋体" w:hAnsi="宋体"/>
          <w:bCs/>
          <w:color w:val="0C0C0C"/>
          <w:kern w:val="0"/>
          <w:szCs w:val="21"/>
        </w:rPr>
        <w:sectPr>
          <w:footerReference r:id="rId20" w:type="first"/>
          <w:pgSz w:w="11906" w:h="16838"/>
          <w:pgMar w:top="1440" w:right="1800" w:bottom="1440" w:left="1800" w:header="851" w:footer="992" w:gutter="0"/>
          <w:cols w:space="720" w:num="1"/>
          <w:titlePg/>
          <w:docGrid w:linePitch="312" w:charSpace="0"/>
        </w:sectPr>
      </w:pPr>
      <w:r>
        <w:rPr>
          <w:rFonts w:hint="eastAsia" w:ascii="宋体" w:hAnsi="宋体"/>
          <w:bCs/>
          <w:color w:val="0C0C0C"/>
          <w:kern w:val="0"/>
          <w:szCs w:val="22"/>
        </w:rPr>
        <w:t>法律法规或中国证监会另有规定时，从其规定。</w:t>
      </w:r>
    </w:p>
    <w:p w14:paraId="42F984CC">
      <w:pPr>
        <w:pStyle w:val="2"/>
        <w:snapToGrid w:val="0"/>
        <w:spacing w:before="0" w:after="0" w:line="360" w:lineRule="auto"/>
        <w:rPr>
          <w:rFonts w:hint="eastAsia" w:hAnsi="宋体" w:eastAsia="宋体" w:cs="Arial"/>
          <w:b/>
          <w:bCs/>
          <w:sz w:val="28"/>
          <w:szCs w:val="28"/>
        </w:rPr>
      </w:pPr>
      <w:bookmarkStart w:id="60" w:name="_Toc408484003"/>
      <w:bookmarkStart w:id="61" w:name="_Toc86655818"/>
      <w:bookmarkStart w:id="62" w:name="_Toc3884"/>
      <w:bookmarkStart w:id="63" w:name="_Toc50661126"/>
      <w:r>
        <w:rPr>
          <w:rFonts w:hint="eastAsia" w:hAnsi="宋体" w:eastAsia="宋体" w:cs="Arial"/>
          <w:b/>
          <w:bCs/>
          <w:sz w:val="28"/>
          <w:szCs w:val="28"/>
        </w:rPr>
        <w:t>第八部分  基金的份额折算与变更登记</w:t>
      </w:r>
      <w:bookmarkEnd w:id="60"/>
      <w:bookmarkEnd w:id="61"/>
      <w:bookmarkEnd w:id="62"/>
      <w:bookmarkEnd w:id="63"/>
    </w:p>
    <w:p w14:paraId="41A4F10D">
      <w:pPr>
        <w:adjustRightInd w:val="0"/>
        <w:snapToGrid w:val="0"/>
        <w:spacing w:line="360" w:lineRule="auto"/>
        <w:ind w:firstLine="420" w:firstLineChars="200"/>
        <w:rPr>
          <w:rFonts w:hint="eastAsia" w:ascii="宋体" w:hAnsi="宋体"/>
        </w:rPr>
      </w:pPr>
      <w:r>
        <w:rPr>
          <w:rFonts w:hint="eastAsia" w:ascii="宋体" w:hAnsi="宋体"/>
        </w:rPr>
        <w:t>基金合同生效后，在不违反法律法规且对基金份额持有人的权益无实质性不利影响的前提下，本基金可以进行份额折算。</w:t>
      </w:r>
    </w:p>
    <w:p w14:paraId="3EEC9EF2">
      <w:pPr>
        <w:adjustRightInd w:val="0"/>
        <w:snapToGrid w:val="0"/>
        <w:spacing w:line="360" w:lineRule="auto"/>
        <w:ind w:firstLine="422" w:firstLineChars="200"/>
        <w:rPr>
          <w:rFonts w:hint="eastAsia" w:ascii="宋体" w:hAnsi="宋体"/>
          <w:b/>
          <w:bCs/>
        </w:rPr>
      </w:pPr>
      <w:r>
        <w:rPr>
          <w:rFonts w:hint="eastAsia" w:ascii="宋体" w:hAnsi="宋体"/>
          <w:b/>
          <w:bCs/>
        </w:rPr>
        <w:t>一、基金份额折算的时间</w:t>
      </w:r>
    </w:p>
    <w:p w14:paraId="26329AF2">
      <w:pPr>
        <w:adjustRightInd w:val="0"/>
        <w:snapToGrid w:val="0"/>
        <w:spacing w:line="360" w:lineRule="auto"/>
        <w:ind w:firstLine="420" w:firstLineChars="200"/>
        <w:rPr>
          <w:rFonts w:hint="eastAsia" w:ascii="宋体" w:hAnsi="宋体"/>
        </w:rPr>
      </w:pPr>
      <w:r>
        <w:rPr>
          <w:rFonts w:hint="eastAsia" w:ascii="宋体" w:hAnsi="宋体"/>
        </w:rPr>
        <w:t>基金管理人应事先确定基金份额折算日，并依照《信息披露办法》的有关规定进行公告。</w:t>
      </w:r>
    </w:p>
    <w:p w14:paraId="2C388753">
      <w:pPr>
        <w:adjustRightInd w:val="0"/>
        <w:snapToGrid w:val="0"/>
        <w:spacing w:line="360" w:lineRule="auto"/>
        <w:ind w:firstLine="422" w:firstLineChars="200"/>
        <w:rPr>
          <w:rFonts w:hint="eastAsia" w:ascii="宋体" w:hAnsi="宋体"/>
          <w:b/>
          <w:bCs/>
        </w:rPr>
      </w:pPr>
      <w:r>
        <w:rPr>
          <w:rFonts w:hint="eastAsia" w:ascii="宋体" w:hAnsi="宋体"/>
          <w:b/>
          <w:bCs/>
        </w:rPr>
        <w:t>二、基金份额折算的原则</w:t>
      </w:r>
    </w:p>
    <w:p w14:paraId="41318F8A">
      <w:pPr>
        <w:adjustRightInd w:val="0"/>
        <w:snapToGrid w:val="0"/>
        <w:spacing w:line="360" w:lineRule="auto"/>
        <w:ind w:firstLine="420" w:firstLineChars="200"/>
        <w:rPr>
          <w:rFonts w:hint="eastAsia" w:ascii="宋体" w:hAnsi="宋体"/>
        </w:rPr>
      </w:pPr>
      <w:r>
        <w:rPr>
          <w:rFonts w:hint="eastAsia" w:ascii="宋体" w:hAnsi="宋体"/>
        </w:rPr>
        <w:t>基金份额折算由基金管理人向登记机构申请办理，并由登记机构进行基金份额的变更登记。基金份额折算的比例和具体安排见基金管理人届时发布的相关公告。</w:t>
      </w:r>
    </w:p>
    <w:p w14:paraId="4176995F">
      <w:pPr>
        <w:adjustRightInd w:val="0"/>
        <w:snapToGrid w:val="0"/>
        <w:spacing w:line="360" w:lineRule="auto"/>
        <w:ind w:firstLine="420" w:firstLineChars="200"/>
        <w:rPr>
          <w:rFonts w:hint="eastAsia" w:ascii="宋体" w:hAnsi="宋体"/>
        </w:rPr>
      </w:pPr>
      <w:r>
        <w:rPr>
          <w:rFonts w:hint="eastAsia" w:ascii="宋体" w:hAnsi="宋体"/>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的（因尾数处理而产生的损益不视为实质性影响），无需召开基金份额持有人大会审议。基金份额折算后，基金份额持有人将按照折算后的基金份额享有权利并承担义务。基金管理人应就其具体事宜进行必要公告，并提前以书面形式通知基金托管人。</w:t>
      </w:r>
    </w:p>
    <w:p w14:paraId="21BA09E6">
      <w:pPr>
        <w:adjustRightInd w:val="0"/>
        <w:snapToGrid w:val="0"/>
        <w:spacing w:line="360" w:lineRule="auto"/>
        <w:ind w:firstLine="420" w:firstLineChars="200"/>
        <w:rPr>
          <w:rFonts w:hint="eastAsia" w:ascii="宋体" w:hAnsi="宋体"/>
        </w:rPr>
      </w:pPr>
      <w:r>
        <w:rPr>
          <w:rFonts w:hint="eastAsia" w:ascii="宋体" w:hAnsi="宋体"/>
        </w:rPr>
        <w:t>如果基金份额折算过程中发生不可抗力等特殊情形，基金管理人可延迟办理基金份额折算。</w:t>
      </w:r>
    </w:p>
    <w:p w14:paraId="29AA7E9C">
      <w:pPr>
        <w:adjustRightInd w:val="0"/>
        <w:snapToGrid w:val="0"/>
        <w:spacing w:line="360" w:lineRule="auto"/>
        <w:ind w:firstLine="422" w:firstLineChars="200"/>
        <w:rPr>
          <w:rFonts w:hint="eastAsia" w:ascii="宋体" w:hAnsi="宋体"/>
          <w:b/>
          <w:bCs/>
        </w:rPr>
      </w:pPr>
      <w:r>
        <w:rPr>
          <w:rFonts w:hint="eastAsia" w:ascii="宋体" w:hAnsi="宋体"/>
          <w:b/>
          <w:bCs/>
        </w:rPr>
        <w:t>三、基金份额折算的方法</w:t>
      </w:r>
    </w:p>
    <w:p w14:paraId="5430A4A6">
      <w:pPr>
        <w:adjustRightInd w:val="0"/>
        <w:snapToGrid w:val="0"/>
        <w:spacing w:line="360" w:lineRule="auto"/>
        <w:ind w:firstLine="420" w:firstLineChars="200"/>
        <w:rPr>
          <w:rFonts w:hint="eastAsia" w:ascii="宋体" w:hAnsi="宋体"/>
          <w:color w:val="0C0C0C"/>
          <w:kern w:val="0"/>
          <w:szCs w:val="22"/>
        </w:rPr>
        <w:sectPr>
          <w:footerReference r:id="rId21" w:type="first"/>
          <w:pgSz w:w="11906" w:h="16838"/>
          <w:pgMar w:top="1440" w:right="1800" w:bottom="1440" w:left="1800" w:header="851" w:footer="992" w:gutter="0"/>
          <w:cols w:space="720" w:num="1"/>
          <w:titlePg/>
          <w:docGrid w:linePitch="312" w:charSpace="0"/>
        </w:sectPr>
      </w:pPr>
      <w:r>
        <w:rPr>
          <w:rFonts w:hint="eastAsia" w:ascii="宋体" w:hAnsi="宋体"/>
        </w:rPr>
        <w:t>基金份额折算的具体方法在份额折算公告中列示。</w:t>
      </w:r>
    </w:p>
    <w:p w14:paraId="562CB783">
      <w:pPr>
        <w:spacing w:line="360" w:lineRule="auto"/>
      </w:pPr>
    </w:p>
    <w:p w14:paraId="04A8FDAA">
      <w:pPr>
        <w:pStyle w:val="2"/>
        <w:snapToGrid w:val="0"/>
        <w:spacing w:before="0" w:after="0" w:line="360" w:lineRule="auto"/>
        <w:ind w:firstLine="422" w:firstLineChars="150"/>
        <w:rPr>
          <w:rFonts w:hint="eastAsia" w:hAnsi="宋体" w:eastAsia="宋体" w:cs="Arial"/>
          <w:b/>
          <w:bCs/>
          <w:sz w:val="28"/>
          <w:szCs w:val="28"/>
        </w:rPr>
      </w:pPr>
      <w:bookmarkStart w:id="64" w:name="_Toc265"/>
      <w:bookmarkStart w:id="65" w:name="_Toc50661127"/>
      <w:bookmarkStart w:id="66" w:name="_Toc86655819"/>
      <w:r>
        <w:rPr>
          <w:rFonts w:hAnsi="宋体" w:eastAsia="宋体" w:cs="Arial"/>
          <w:b/>
          <w:bCs/>
          <w:sz w:val="28"/>
          <w:szCs w:val="28"/>
        </w:rPr>
        <w:t>第</w:t>
      </w:r>
      <w:r>
        <w:rPr>
          <w:rFonts w:hint="eastAsia" w:hAnsi="宋体" w:eastAsia="宋体" w:cs="Arial"/>
          <w:b/>
          <w:bCs/>
          <w:sz w:val="28"/>
          <w:szCs w:val="28"/>
        </w:rPr>
        <w:t>九</w:t>
      </w:r>
      <w:r>
        <w:rPr>
          <w:rFonts w:hAnsi="宋体" w:eastAsia="宋体" w:cs="Arial"/>
          <w:b/>
          <w:bCs/>
          <w:sz w:val="28"/>
          <w:szCs w:val="28"/>
        </w:rPr>
        <w:t>部分  基金份额的</w:t>
      </w:r>
      <w:r>
        <w:rPr>
          <w:rFonts w:hint="eastAsia" w:hAnsi="宋体" w:eastAsia="宋体" w:cs="Arial"/>
          <w:b/>
          <w:bCs/>
          <w:sz w:val="28"/>
          <w:szCs w:val="28"/>
        </w:rPr>
        <w:t>上市</w:t>
      </w:r>
      <w:r>
        <w:rPr>
          <w:rFonts w:hAnsi="宋体" w:eastAsia="宋体" w:cs="Arial"/>
          <w:b/>
          <w:bCs/>
          <w:sz w:val="28"/>
          <w:szCs w:val="28"/>
        </w:rPr>
        <w:t>交易</w:t>
      </w:r>
      <w:bookmarkEnd w:id="44"/>
      <w:bookmarkEnd w:id="64"/>
      <w:bookmarkEnd w:id="65"/>
      <w:bookmarkEnd w:id="66"/>
    </w:p>
    <w:p w14:paraId="3A0E03A7">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一、基金上市</w:t>
      </w:r>
    </w:p>
    <w:p w14:paraId="1EB7D1C0">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基金合同生效后，具备以下条件的，基金管理人可依据《深圳证券交易所证券投资基金上市规则》，向深圳证券交易所申请基金份额上市：</w:t>
      </w:r>
    </w:p>
    <w:p w14:paraId="7544791B">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 xml:space="preserve">（1）基金场内募集金额（含网下股票认购所募集的股票市值）不低于2亿元； </w:t>
      </w:r>
    </w:p>
    <w:p w14:paraId="13F5D8A3">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（2）场内基金份额持有人不少于1000人；</w:t>
      </w:r>
    </w:p>
    <w:p w14:paraId="02892525">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（3）法律法规或深圳证券交易所规定的其他条件。</w:t>
      </w:r>
    </w:p>
    <w:p w14:paraId="4A9733A9">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基金上市前，基金管理人应与深圳证券交易所签订上市协议书。基金获准在深圳证券交易所上市的，基金管理人应按照相关规定发布基金上市交易公告书。</w:t>
      </w:r>
    </w:p>
    <w:p w14:paraId="010EAD51">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二、基金份额的上市交易</w:t>
      </w:r>
    </w:p>
    <w:p w14:paraId="1C42EC7B">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基金份额在深圳证券交易所的上市交易应遵照《深圳证券交易所交易规则》、《深圳证券交易所证券投资基金上市规则》、《深圳证券交易所证券投资基金交易和申购赎回实施细则》等有关规定。</w:t>
      </w:r>
    </w:p>
    <w:p w14:paraId="3DC7D959">
      <w:pPr>
        <w:adjustRightInd w:val="0"/>
        <w:snapToGrid w:val="0"/>
        <w:spacing w:line="360" w:lineRule="auto"/>
        <w:ind w:firstLine="422" w:firstLineChars="200"/>
        <w:rPr>
          <w:rFonts w:hint="eastAsia" w:ascii="宋体" w:hAnsi="宋体"/>
          <w:b/>
          <w:color w:val="0C0C0C"/>
          <w:kern w:val="0"/>
          <w:szCs w:val="22"/>
        </w:rPr>
      </w:pPr>
      <w:r>
        <w:rPr>
          <w:rFonts w:ascii="宋体" w:hAnsi="宋体"/>
          <w:b/>
          <w:color w:val="0C0C0C"/>
          <w:kern w:val="0"/>
          <w:szCs w:val="22"/>
        </w:rPr>
        <w:t>三、</w:t>
      </w:r>
      <w:r>
        <w:rPr>
          <w:rFonts w:hint="eastAsia" w:ascii="宋体" w:hAnsi="宋体"/>
          <w:b/>
          <w:color w:val="0C0C0C"/>
          <w:kern w:val="0"/>
          <w:szCs w:val="22"/>
        </w:rPr>
        <w:t>停复牌、</w:t>
      </w:r>
      <w:r>
        <w:rPr>
          <w:rFonts w:ascii="宋体" w:hAnsi="宋体"/>
          <w:b/>
          <w:color w:val="0C0C0C"/>
          <w:kern w:val="0"/>
          <w:szCs w:val="22"/>
        </w:rPr>
        <w:t>暂停上市</w:t>
      </w:r>
      <w:r>
        <w:rPr>
          <w:rFonts w:hint="eastAsia" w:ascii="宋体" w:hAnsi="宋体"/>
          <w:b/>
          <w:color w:val="0C0C0C"/>
          <w:kern w:val="0"/>
          <w:szCs w:val="22"/>
        </w:rPr>
        <w:t>、恢复上市</w:t>
      </w:r>
      <w:r>
        <w:rPr>
          <w:rFonts w:ascii="宋体" w:hAnsi="宋体"/>
          <w:b/>
          <w:color w:val="0C0C0C"/>
          <w:kern w:val="0"/>
          <w:szCs w:val="22"/>
        </w:rPr>
        <w:t>或终止上市的情形和处理方式</w:t>
      </w:r>
    </w:p>
    <w:p w14:paraId="03806398">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本基金份额在深圳证券交易所上市后，如遇停复牌、暂停上市、恢复上市或终止上市的情形，按照《深圳证券交易所证券投资基金上市规则》的相关规定执行。</w:t>
      </w:r>
    </w:p>
    <w:p w14:paraId="4932A2C2">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w:t>
      </w:r>
    </w:p>
    <w:p w14:paraId="5889AF48">
      <w:pPr>
        <w:adjustRightInd w:val="0"/>
        <w:snapToGrid w:val="0"/>
        <w:spacing w:line="360" w:lineRule="auto"/>
        <w:ind w:firstLine="422" w:firstLineChars="200"/>
        <w:rPr>
          <w:rFonts w:hint="eastAsia" w:ascii="宋体" w:hAnsi="宋体"/>
          <w:b/>
          <w:color w:val="0C0C0C"/>
          <w:kern w:val="0"/>
          <w:szCs w:val="22"/>
        </w:rPr>
      </w:pPr>
      <w:r>
        <w:rPr>
          <w:rFonts w:hint="eastAsia" w:ascii="宋体" w:hAnsi="宋体"/>
          <w:b/>
          <w:color w:val="0C0C0C"/>
          <w:kern w:val="0"/>
          <w:szCs w:val="22"/>
        </w:rPr>
        <w:t>四、基金份额参考净值的计算与公告</w:t>
      </w:r>
    </w:p>
    <w:p w14:paraId="38BD99D0">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在每一个交易日开市前向深圳证券交易所提供当日的申购赎回清单。本基金基金份额参考净值（IOPV）由基金管理人或基金管理人委托的机构计算，并交由深圳证券交易所发布，供投资者交易、申购、赎回基金份额时参考。</w:t>
      </w:r>
    </w:p>
    <w:p w14:paraId="55FBC5DC">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（1）基金份额参考净值的计算公式：</w:t>
      </w:r>
    </w:p>
    <w:p w14:paraId="7A83B016">
      <w:pPr>
        <w:adjustRightInd w:val="0"/>
        <w:snapToGrid w:val="0"/>
        <w:spacing w:line="360" w:lineRule="auto"/>
        <w:ind w:left="8" w:firstLine="412"/>
        <w:rPr>
          <w:rFonts w:hint="eastAsia" w:ascii="宋体" w:hAnsi="宋体" w:cs="Arial"/>
          <w:kern w:val="0"/>
          <w:szCs w:val="21"/>
        </w:rPr>
      </w:pPr>
      <w:r>
        <w:rPr>
          <w:rFonts w:hint="eastAsia" w:ascii="宋体" w:hAnsi="宋体" w:cs="Arial"/>
          <w:kern w:val="0"/>
          <w:szCs w:val="21"/>
        </w:rPr>
        <w:t>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差额）／最小申购、赎回单位所对应的基金份额</w:t>
      </w:r>
    </w:p>
    <w:p w14:paraId="7D5916CE">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（2）基金份额参考净值的计算以四舍五入的方法保留小数点后4位，若基金管理人或者基金管理人委托的其他机构调整有关基金份额参考净值保留位数，本基金将进行相应调整。</w:t>
      </w:r>
    </w:p>
    <w:p w14:paraId="2EB7E39A">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（3）</w:t>
      </w:r>
      <w:bookmarkStart w:id="67" w:name="OLE_LINK11"/>
      <w:r>
        <w:rPr>
          <w:rFonts w:hint="eastAsia" w:ascii="宋体" w:hAnsi="宋体" w:cs="Arial"/>
          <w:kern w:val="0"/>
          <w:szCs w:val="21"/>
        </w:rPr>
        <w:t>基金管理人可以调整基金份额参考净值的计算公式，并予以公告。如深圳证券交易所对基金份额参考净值的计算方法另有规定的，从其规定。</w:t>
      </w:r>
    </w:p>
    <w:bookmarkEnd w:id="67"/>
    <w:p w14:paraId="46062217">
      <w:pPr>
        <w:adjustRightInd w:val="0"/>
        <w:snapToGrid w:val="0"/>
        <w:spacing w:line="360" w:lineRule="auto"/>
        <w:ind w:firstLine="422" w:firstLineChars="200"/>
        <w:rPr>
          <w:rFonts w:hint="eastAsia" w:ascii="宋体" w:hAnsi="宋体" w:cs="Arial"/>
          <w:b/>
          <w:kern w:val="0"/>
          <w:szCs w:val="21"/>
        </w:rPr>
      </w:pPr>
      <w:r>
        <w:rPr>
          <w:rFonts w:hint="eastAsia" w:ascii="宋体" w:hAnsi="宋体"/>
          <w:b/>
          <w:color w:val="0C0C0C"/>
          <w:kern w:val="0"/>
          <w:szCs w:val="22"/>
        </w:rPr>
        <w:t>五、</w:t>
      </w:r>
      <w:r>
        <w:rPr>
          <w:rFonts w:hint="eastAsia" w:ascii="宋体" w:hAnsi="宋体" w:cs="Arial"/>
          <w:b/>
          <w:kern w:val="0"/>
          <w:szCs w:val="21"/>
        </w:rPr>
        <w:t>其他</w:t>
      </w:r>
    </w:p>
    <w:p w14:paraId="18BDD5AE">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若深圳证券交易所、中国证券登记结算有限责任公司增加了基金上市交易的新功能，本基金管理人可以在履行适当的程序后增加相应功能。</w:t>
      </w:r>
    </w:p>
    <w:p w14:paraId="00EE3E82">
      <w:pPr>
        <w:adjustRightInd w:val="0"/>
        <w:snapToGrid w:val="0"/>
        <w:spacing w:line="360" w:lineRule="auto"/>
        <w:ind w:firstLine="420" w:firstLineChars="200"/>
        <w:rPr>
          <w:rFonts w:hint="eastAsia" w:ascii="宋体" w:hAnsi="宋体"/>
          <w:color w:val="0C0C0C"/>
          <w:kern w:val="0"/>
          <w:szCs w:val="22"/>
        </w:rPr>
      </w:pPr>
      <w:r>
        <w:rPr>
          <w:rFonts w:hint="eastAsia" w:ascii="宋体" w:hAnsi="宋体"/>
          <w:color w:val="0C0C0C"/>
          <w:kern w:val="0"/>
          <w:szCs w:val="22"/>
        </w:rPr>
        <w:t>相关法律法规、中国证监会、登记机构或深圳证券交易所对基金上市交易的规则等相关规定内容进行调整的，经基金管理人在与基金托管人协商一致并履行适当程序后，本基金按照新规定执行，若由此需要对基金合同进行修订的，无需召开基金份额持有人大会。</w:t>
      </w:r>
    </w:p>
    <w:p w14:paraId="101A1E96">
      <w:pPr>
        <w:adjustRightInd w:val="0"/>
        <w:snapToGrid w:val="0"/>
        <w:spacing w:line="360" w:lineRule="auto"/>
        <w:ind w:firstLine="420" w:firstLineChars="200"/>
        <w:rPr>
          <w:rFonts w:hint="eastAsia" w:ascii="宋体" w:hAnsi="宋体"/>
          <w:bCs/>
          <w:color w:val="0C0C0C"/>
          <w:kern w:val="0"/>
          <w:szCs w:val="22"/>
        </w:rPr>
        <w:sectPr>
          <w:footerReference r:id="rId23" w:type="first"/>
          <w:footerReference r:id="rId22" w:type="default"/>
          <w:pgSz w:w="11906" w:h="16838"/>
          <w:pgMar w:top="1440" w:right="1800" w:bottom="1440" w:left="1800" w:header="851" w:footer="992" w:gutter="0"/>
          <w:cols w:space="720" w:num="1"/>
          <w:titlePg/>
          <w:docGrid w:linePitch="312" w:charSpace="0"/>
        </w:sectPr>
      </w:pPr>
      <w:r>
        <w:rPr>
          <w:rFonts w:hint="eastAsia" w:ascii="宋体" w:hAnsi="宋体"/>
          <w:color w:val="0C0C0C"/>
          <w:kern w:val="0"/>
          <w:szCs w:val="22"/>
        </w:rPr>
        <w:t>在不违反法律法规且对基金份额持有人利益无实质不利影响的前提下，基金管理人在与基金托管人协商一致并履行适当的程序后，本基金可以申请在包括境外交易所在内的其他证券交易所上市交易，而无需召开基金份额持有人大会。</w:t>
      </w:r>
    </w:p>
    <w:p w14:paraId="11CBA6B4">
      <w:pPr>
        <w:adjustRightInd w:val="0"/>
        <w:snapToGrid w:val="0"/>
        <w:spacing w:line="360" w:lineRule="auto"/>
        <w:ind w:firstLine="420" w:firstLineChars="200"/>
        <w:rPr>
          <w:rFonts w:hint="eastAsia" w:ascii="宋体" w:hAnsi="宋体"/>
          <w:color w:val="0C0C0C"/>
          <w:kern w:val="0"/>
          <w:szCs w:val="21"/>
        </w:rPr>
      </w:pPr>
    </w:p>
    <w:p w14:paraId="7673FA99">
      <w:pPr>
        <w:pStyle w:val="2"/>
        <w:snapToGrid w:val="0"/>
        <w:spacing w:before="0" w:after="0" w:line="360" w:lineRule="auto"/>
        <w:ind w:firstLine="422" w:firstLineChars="150"/>
        <w:rPr>
          <w:rFonts w:hint="eastAsia" w:hAnsi="宋体" w:eastAsia="宋体" w:cs="Arial"/>
          <w:b/>
          <w:bCs/>
          <w:sz w:val="28"/>
          <w:szCs w:val="28"/>
        </w:rPr>
      </w:pPr>
      <w:bookmarkStart w:id="68" w:name="_Toc86655820"/>
      <w:bookmarkStart w:id="69" w:name="_Toc17743"/>
      <w:bookmarkStart w:id="70" w:name="_Toc50661129"/>
      <w:r>
        <w:rPr>
          <w:rFonts w:hAnsi="宋体" w:eastAsia="宋体" w:cs="Arial"/>
          <w:b/>
          <w:bCs/>
          <w:sz w:val="28"/>
          <w:szCs w:val="28"/>
        </w:rPr>
        <w:t>第</w:t>
      </w:r>
      <w:r>
        <w:rPr>
          <w:rFonts w:hint="eastAsia" w:hAnsi="宋体" w:eastAsia="宋体" w:cs="Arial"/>
          <w:b/>
          <w:bCs/>
          <w:sz w:val="28"/>
          <w:szCs w:val="28"/>
        </w:rPr>
        <w:t>十</w:t>
      </w:r>
      <w:r>
        <w:rPr>
          <w:rFonts w:hAnsi="宋体" w:eastAsia="宋体" w:cs="Arial"/>
          <w:b/>
          <w:bCs/>
          <w:sz w:val="28"/>
          <w:szCs w:val="28"/>
        </w:rPr>
        <w:t>部分  基金份额的申购与赎回</w:t>
      </w:r>
      <w:bookmarkEnd w:id="45"/>
      <w:bookmarkEnd w:id="46"/>
      <w:bookmarkEnd w:id="47"/>
      <w:bookmarkEnd w:id="48"/>
      <w:bookmarkEnd w:id="68"/>
      <w:bookmarkEnd w:id="69"/>
      <w:bookmarkEnd w:id="70"/>
    </w:p>
    <w:p w14:paraId="40856A3F">
      <w:pPr>
        <w:spacing w:line="360" w:lineRule="auto"/>
        <w:ind w:firstLine="420" w:firstLineChars="200"/>
        <w:rPr>
          <w:rFonts w:hint="eastAsia" w:ascii="宋体" w:hAnsi="宋体"/>
        </w:rPr>
      </w:pPr>
      <w:r>
        <w:rPr>
          <w:rFonts w:hint="eastAsia" w:ascii="宋体" w:hAnsi="宋体"/>
        </w:rPr>
        <w:t>本基金目前仅采取深圳证券交易所跨市场股票ETF场内申赎模式，未来基金管理人可根据基金发展需要，开通场外实物申赎模式（指通过中国证券登记结算有限责任公司基金业务系统办理申购、赎回），届时将发布公告予以披露并对本基金的招募说明书予以更新，无须召开基金份额持有人大会审议。</w:t>
      </w:r>
    </w:p>
    <w:p w14:paraId="303F3096">
      <w:pPr>
        <w:spacing w:line="360" w:lineRule="auto"/>
        <w:ind w:firstLine="422"/>
        <w:rPr>
          <w:rFonts w:hint="eastAsia" w:ascii="宋体" w:hAnsi="宋体" w:cs="Arial"/>
          <w:b/>
          <w:kern w:val="0"/>
          <w:szCs w:val="21"/>
        </w:rPr>
      </w:pPr>
      <w:r>
        <w:rPr>
          <w:rFonts w:ascii="宋体" w:hAnsi="宋体" w:cs="Arial"/>
          <w:b/>
          <w:kern w:val="0"/>
          <w:szCs w:val="21"/>
        </w:rPr>
        <w:t>一</w:t>
      </w:r>
      <w:r>
        <w:rPr>
          <w:rFonts w:hint="eastAsia" w:ascii="宋体" w:hAnsi="宋体" w:cs="Arial"/>
          <w:b/>
          <w:kern w:val="0"/>
          <w:szCs w:val="21"/>
        </w:rPr>
        <w:t>、</w:t>
      </w:r>
      <w:r>
        <w:rPr>
          <w:rFonts w:ascii="宋体" w:hAnsi="宋体" w:cs="Arial"/>
          <w:b/>
          <w:kern w:val="0"/>
          <w:szCs w:val="21"/>
        </w:rPr>
        <w:t>申购和赎回场所</w:t>
      </w:r>
    </w:p>
    <w:p w14:paraId="508879D8">
      <w:pPr>
        <w:adjustRightInd w:val="0"/>
        <w:snapToGrid w:val="0"/>
        <w:spacing w:line="360" w:lineRule="auto"/>
        <w:ind w:firstLine="420" w:firstLineChars="200"/>
        <w:rPr>
          <w:rFonts w:hint="eastAsia" w:ascii="宋体" w:hAnsi="宋体" w:cs="Arial"/>
          <w:kern w:val="0"/>
          <w:szCs w:val="21"/>
        </w:rPr>
      </w:pPr>
      <w:bookmarkStart w:id="71" w:name="_Hlk37986905"/>
      <w:r>
        <w:rPr>
          <w:rFonts w:hint="eastAsia" w:ascii="宋体" w:hAnsi="宋体" w:cs="Arial"/>
          <w:kern w:val="0"/>
          <w:szCs w:val="21"/>
        </w:rPr>
        <w:t>本基金投资人应当通过申购、赎回代理券商办理基金申购、赎回业务的营业场所或按申购、赎回代理券商提供的其他方式办理本基金的申购和赎回。</w:t>
      </w:r>
      <w:bookmarkEnd w:id="71"/>
    </w:p>
    <w:p w14:paraId="348F5C07">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基金管理人在开始申购、赎回业务前公告</w:t>
      </w:r>
      <w:bookmarkStart w:id="72" w:name="_Hlk37986971"/>
      <w:r>
        <w:rPr>
          <w:rFonts w:hint="eastAsia" w:ascii="宋体" w:hAnsi="宋体" w:cs="Arial"/>
          <w:kern w:val="0"/>
          <w:szCs w:val="21"/>
        </w:rPr>
        <w:t>申购、赎回代理券商的名单</w:t>
      </w:r>
      <w:bookmarkEnd w:id="72"/>
      <w:r>
        <w:rPr>
          <w:rFonts w:hint="eastAsia" w:ascii="宋体" w:hAnsi="宋体" w:cs="Arial"/>
          <w:kern w:val="0"/>
          <w:szCs w:val="21"/>
        </w:rPr>
        <w:t>，并可依据实际情况变更申购、赎回代理券商并在基金管理人网站公示。基金管理人在确定、变更申购、赎回代理券商名单时，均应在公告之前报请深圳证券交易所认可。</w:t>
      </w:r>
    </w:p>
    <w:p w14:paraId="48C5A938">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在法律法规、基金合同及未来条件允许的情况下，基金管理人直销机构可以开通申购赎回业务，具体业务的办理时间及办理方式基金管理人将另行公告。</w:t>
      </w:r>
    </w:p>
    <w:p w14:paraId="22E222D1">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kern w:val="0"/>
          <w:szCs w:val="21"/>
        </w:rPr>
      </w:pPr>
      <w:r>
        <w:rPr>
          <w:rFonts w:ascii="宋体" w:hAnsi="宋体" w:cs="Arial"/>
          <w:b/>
          <w:kern w:val="0"/>
          <w:szCs w:val="21"/>
        </w:rPr>
        <w:t>二</w:t>
      </w:r>
      <w:r>
        <w:rPr>
          <w:rFonts w:hint="eastAsia" w:ascii="宋体" w:hAnsi="宋体" w:cs="Arial"/>
          <w:b/>
          <w:kern w:val="0"/>
          <w:szCs w:val="21"/>
        </w:rPr>
        <w:t>、</w:t>
      </w:r>
      <w:r>
        <w:rPr>
          <w:rFonts w:ascii="宋体" w:hAnsi="宋体" w:cs="Arial"/>
          <w:b/>
          <w:kern w:val="0"/>
          <w:szCs w:val="21"/>
        </w:rPr>
        <w:t>申购与赎回的开放日及时间</w:t>
      </w:r>
    </w:p>
    <w:p w14:paraId="2E89054F">
      <w:pPr>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1</w:t>
      </w:r>
      <w:r>
        <w:rPr>
          <w:rFonts w:hint="eastAsia" w:ascii="宋体" w:hAnsi="宋体" w:cs="Arial"/>
          <w:kern w:val="0"/>
          <w:szCs w:val="21"/>
        </w:rPr>
        <w:t>、开放日及开放时间</w:t>
      </w:r>
    </w:p>
    <w:p w14:paraId="13791005">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44D70EBE">
      <w:pPr>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02EBCBCD">
      <w:pPr>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2</w:t>
      </w:r>
      <w:r>
        <w:rPr>
          <w:rFonts w:hint="eastAsia" w:ascii="宋体" w:hAnsi="宋体" w:cs="Arial"/>
          <w:kern w:val="0"/>
          <w:szCs w:val="21"/>
        </w:rPr>
        <w:t>、申购、赎回开始日及业务办理时间</w:t>
      </w:r>
    </w:p>
    <w:p w14:paraId="30BBDDB3">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基金管理人可以根据实际情况依法决定本基金开始办理申购的具体日期，具体业务办理时间在申购开始公告中规定。</w:t>
      </w:r>
    </w:p>
    <w:p w14:paraId="5C3BF89A">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基金管理人自基金合同生效之日起不超过3个月开始办理赎回，具体业务办理时间在赎回开始公告中规定。</w:t>
      </w:r>
    </w:p>
    <w:p w14:paraId="52064195">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在确定申购开始与赎回开始时间后，基金管理人应在申购、赎回开放日前依照《信息披露办法》的有关规定在规定媒介上公告申购与赎回的开始时间。</w:t>
      </w:r>
    </w:p>
    <w:p w14:paraId="268E1A4C">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ascii="宋体" w:hAnsi="宋体" w:cs="Arial"/>
          <w:b/>
          <w:bCs/>
          <w:szCs w:val="21"/>
        </w:rPr>
        <w:t>三</w:t>
      </w:r>
      <w:r>
        <w:rPr>
          <w:rFonts w:hint="eastAsia" w:ascii="宋体" w:hAnsi="宋体" w:cs="Arial"/>
          <w:b/>
          <w:bCs/>
          <w:szCs w:val="21"/>
        </w:rPr>
        <w:t>、</w:t>
      </w:r>
      <w:r>
        <w:rPr>
          <w:rFonts w:ascii="宋体" w:hAnsi="宋体" w:cs="Arial"/>
          <w:b/>
          <w:bCs/>
          <w:szCs w:val="21"/>
        </w:rPr>
        <w:t>申购与赎回的原则</w:t>
      </w:r>
    </w:p>
    <w:p w14:paraId="2DC57A27">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1、“份额申购、份额赎回”原则，即申购、赎回均以份额申请；</w:t>
      </w:r>
    </w:p>
    <w:p w14:paraId="20465642">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2、本基金的申购对价、赎回对价包括组合证券、现金替代、现金差额和/或其他对价；</w:t>
      </w:r>
    </w:p>
    <w:p w14:paraId="5788CD78">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3、申购、赎回申请提交后不得撤销；</w:t>
      </w:r>
    </w:p>
    <w:p w14:paraId="0828BEB0">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4、申购、赎回应遵守业务规则及其他相关规定；</w:t>
      </w:r>
    </w:p>
    <w:p w14:paraId="5B5A6753">
      <w:pPr>
        <w:tabs>
          <w:tab w:val="left" w:pos="3780"/>
        </w:tabs>
        <w:autoSpaceDE w:val="0"/>
        <w:autoSpaceDN w:val="0"/>
        <w:adjustRightInd w:val="0"/>
        <w:snapToGrid w:val="0"/>
        <w:spacing w:line="360" w:lineRule="auto"/>
        <w:ind w:firstLine="420" w:firstLineChars="200"/>
        <w:textAlignment w:val="bottom"/>
        <w:rPr>
          <w:rFonts w:hint="eastAsia" w:ascii="宋体" w:hAnsi="宋体"/>
          <w:color w:val="0C0C0C"/>
          <w:kern w:val="0"/>
          <w:szCs w:val="21"/>
        </w:rPr>
      </w:pPr>
      <w:r>
        <w:rPr>
          <w:rFonts w:hint="eastAsia" w:ascii="宋体" w:hAnsi="宋体"/>
          <w:color w:val="0C0C0C"/>
          <w:kern w:val="0"/>
          <w:szCs w:val="21"/>
        </w:rPr>
        <w:t>5、办理申购、赎回业务时，应当遵循基金份额持有人利益优先原则，确保投资者的合法权益不受损害并得到公平对待。</w:t>
      </w:r>
    </w:p>
    <w:p w14:paraId="61693798">
      <w:pPr>
        <w:tabs>
          <w:tab w:val="left" w:pos="3780"/>
        </w:tabs>
        <w:autoSpaceDE w:val="0"/>
        <w:autoSpaceDN w:val="0"/>
        <w:adjustRightInd w:val="0"/>
        <w:snapToGrid w:val="0"/>
        <w:spacing w:line="360" w:lineRule="auto"/>
        <w:ind w:firstLine="420" w:firstLineChars="200"/>
        <w:textAlignment w:val="bottom"/>
        <w:rPr>
          <w:rFonts w:hint="eastAsia" w:ascii="宋体" w:hAnsi="宋体" w:cs="Arial"/>
          <w:b/>
          <w:bCs/>
          <w:szCs w:val="21"/>
        </w:rPr>
      </w:pPr>
      <w:r>
        <w:rPr>
          <w:rFonts w:hint="eastAsia" w:ascii="宋体" w:hAnsi="宋体"/>
          <w:color w:val="0C0C0C"/>
          <w:kern w:val="0"/>
          <w:szCs w:val="21"/>
        </w:rPr>
        <w:t>基金管理人可在不违反法律法规规定且对基金份额持有人权益无实质性不利影响的情况下，对上述原则进行调整。基金管理人必须在新原则开始实施前依照《信息披露办法》的有关规定在规定媒介上公告。</w:t>
      </w:r>
    </w:p>
    <w:p w14:paraId="3EC82A35">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ascii="宋体" w:hAnsi="宋体" w:cs="Arial"/>
          <w:b/>
          <w:bCs/>
          <w:szCs w:val="21"/>
        </w:rPr>
        <w:t>四</w:t>
      </w:r>
      <w:r>
        <w:rPr>
          <w:rFonts w:hint="eastAsia" w:ascii="宋体" w:hAnsi="宋体" w:cs="Arial"/>
          <w:b/>
          <w:bCs/>
          <w:szCs w:val="21"/>
        </w:rPr>
        <w:t>、</w:t>
      </w:r>
      <w:r>
        <w:rPr>
          <w:rFonts w:ascii="宋体" w:hAnsi="宋体" w:cs="Arial"/>
          <w:b/>
          <w:bCs/>
          <w:szCs w:val="21"/>
        </w:rPr>
        <w:t>申购与赎回的程序</w:t>
      </w:r>
    </w:p>
    <w:p w14:paraId="2A0A37AD">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按照深圳证券交易所及中国证券登记结算有限责任公司的相关规定进行申购、赎回，具体业务的办理时间请参见相关公告。本基金支持通过深圳证券交易所进行申购、赎回，本基金办理相关业务的时间及规定请参见相关公告。</w:t>
      </w:r>
    </w:p>
    <w:p w14:paraId="58D1BC1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1、申购和赎回的申请方式</w:t>
      </w:r>
    </w:p>
    <w:p w14:paraId="0252E06E">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投资人必须根据申购、赎回代理券商或基金管理人规定的程序，在开放日的具体业务办理时间内提出申购或赎回的申请。</w:t>
      </w:r>
    </w:p>
    <w:p w14:paraId="1815A803">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6510BAD2">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2、申购和赎回申请的确认</w:t>
      </w:r>
    </w:p>
    <w:p w14:paraId="03505A77">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2F8A40AB">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62D193CA">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7CE8FFFE">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若深圳证券交易所和中国证券登记结算有限责任公司针对跨市场交易型开放式指数证券投资基金推出新的清算交收与登记模式并引入新的申购、赎回方式，在与基金托管人协商一致并履行适当程序后，本基金管理人将根据新的业务规则新增或调整申购和赎回申请的确认方式，届时将发布公告予以披露并对本基金的招募说明书予以更新，无需召开基金份额持有人大会审议。</w:t>
      </w:r>
    </w:p>
    <w:p w14:paraId="555DF71B">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3、申购和赎回的清算交收与登记</w:t>
      </w:r>
    </w:p>
    <w:p w14:paraId="08FCDF3B">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本基金申购赎回过程中涉及的组合证券和基金份额、现金替代、现金差额、现金替代退补款及其他对价的清算交收适用中国证券登记结算有限责任公司及相关证券交易所最新的相关规则。</w:t>
      </w:r>
    </w:p>
    <w:p w14:paraId="43E379FE">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对于本基金的申购业务采用多边净额结算的方式，即对本基金申购对应的份额、深市组合证券及其现金替代、沪市/北交所市场组合证券的现金替代采用多边净额结算；对于本基金的赎回业务采用多边净额结算的方式，即对本基金赎回对应的份额、深市组合证券及其现金替代、沪市/北交所市场组合证券的现金替代采用多边净额结算；本基金上述申购赎回业务涉及的现金差额和现金替代退补款采用代收代付。</w:t>
      </w:r>
    </w:p>
    <w:p w14:paraId="754D7BE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投资者T日申购成功后，登记机构在T日收市后为投资者办理深圳证券交易所上市的成份股交收与基金份额的交收登记以及现金替代的清算；在T+2日内办理现金替代的交收以及现金差额的清算交收</w:t>
      </w:r>
      <w:r>
        <w:rPr>
          <w:rStyle w:val="57"/>
          <w:rFonts w:hint="eastAsia"/>
          <w:lang w:val="zh-CN"/>
        </w:rPr>
        <w:t>；</w:t>
      </w:r>
      <w:r>
        <w:rPr>
          <w:rFonts w:hint="eastAsia" w:ascii="宋体" w:hAnsi="宋体"/>
          <w:color w:val="0C0C0C"/>
          <w:kern w:val="0"/>
          <w:szCs w:val="21"/>
        </w:rPr>
        <w:t>并将结果发送给申购赎回代理券商、基金管理人和基金托管人。</w:t>
      </w:r>
    </w:p>
    <w:p w14:paraId="59383842">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者T日赎回成功后，登记机构在T日收市后办理深圳证券交易所上市的成份股交收与基金份额的注销以及现金替代的清算；在T+2日内办理现金替代的交收以及现金差额的清算交收；并将结果发送给申购赎回代理券商、基金管理人和基金托管人。</w:t>
      </w:r>
    </w:p>
    <w:p w14:paraId="243020CF">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如果登记机构、基金管理人、申购赎回代理券商之间在清算交收时发现不能正常履约的情形，则依据相关业务规则的有关规定和其他相关约定进行处理。如相关业务规则发生变化，则按最新规定办理。</w:t>
      </w:r>
    </w:p>
    <w:p w14:paraId="49E994D1">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2EEAE884">
      <w:pPr>
        <w:adjustRightInd w:val="0"/>
        <w:snapToGrid w:val="0"/>
        <w:spacing w:line="360" w:lineRule="auto"/>
        <w:ind w:firstLine="420" w:firstLineChars="200"/>
        <w:rPr>
          <w:rFonts w:hint="eastAsia" w:ascii="宋体" w:hAnsi="宋体"/>
          <w:color w:val="0C0C0C"/>
          <w:kern w:val="0"/>
          <w:szCs w:val="21"/>
        </w:rPr>
      </w:pPr>
      <w:r>
        <w:rPr>
          <w:rFonts w:hint="eastAsia" w:ascii="宋体" w:hAnsi="宋体"/>
          <w:color w:val="0C0C0C"/>
          <w:kern w:val="0"/>
          <w:szCs w:val="21"/>
        </w:rPr>
        <w:t>本基金获批后，若深圳证券交易所和中国证券登记结算有限责任公司针对跨市场交易型开放式指数证券投资基金推出新的清算交收与登记模式并引入新的申购、赎回方式，在与基金托管人协商一致并履行适当程序后，本基金管理人有权调整本基金的清算交收与登记模式及申购、赎回方式，或新增本基金的清算交收与登记模式并引入新的申购、赎回方式，详见“十、基金清算交收与登记模式的调整或新增”。</w:t>
      </w:r>
    </w:p>
    <w:p w14:paraId="3E9A5C22">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hint="eastAsia" w:ascii="宋体" w:hAnsi="宋体" w:cs="Arial"/>
          <w:b/>
          <w:bCs/>
          <w:szCs w:val="21"/>
        </w:rPr>
        <w:t>五、</w:t>
      </w:r>
      <w:r>
        <w:rPr>
          <w:rFonts w:ascii="宋体" w:hAnsi="宋体" w:cs="Arial"/>
          <w:b/>
          <w:bCs/>
          <w:szCs w:val="21"/>
        </w:rPr>
        <w:t>申购与赎回的数额限制</w:t>
      </w:r>
    </w:p>
    <w:p w14:paraId="73880B7A">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1、投资者申购、赎回的基金份额需为最小申购、赎回单位的整数倍。</w:t>
      </w:r>
    </w:p>
    <w:p w14:paraId="6C952FE9">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本基金的最小申购、赎回单位为</w:t>
      </w:r>
      <w:r>
        <w:rPr>
          <w:rStyle w:val="57"/>
          <w:rFonts w:hint="eastAsia" w:ascii="宋体" w:hAnsi="宋体" w:cs="Arial"/>
          <w:kern w:val="0"/>
        </w:rPr>
        <w:t>100</w:t>
      </w:r>
      <w:r>
        <w:rPr>
          <w:rFonts w:hint="eastAsia" w:ascii="宋体" w:hAnsi="宋体" w:cs="Arial"/>
          <w:kern w:val="0"/>
          <w:szCs w:val="21"/>
        </w:rPr>
        <w:t>万份。基金管理人可根据基金运作情况、市场变化以及投资者需求等因素对基金的最小申购赎回单位进行调整，并在调整实施前依照《信息披露办法》的有关规定在规定媒介公告。</w:t>
      </w:r>
    </w:p>
    <w:p w14:paraId="4ADFA353">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2、除非证券交易所另有规定，本基金场内申购赎回暂不设置当日申购、赎回份额上限、交易账户最低基金份额余额、单个投资人累计持有的基金份额上限。具体规定详见申购赎回清单。</w:t>
      </w:r>
    </w:p>
    <w:p w14:paraId="120A7622">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722A9D54">
      <w:pPr>
        <w:tabs>
          <w:tab w:val="left" w:pos="3780"/>
        </w:tabs>
        <w:autoSpaceDE w:val="0"/>
        <w:autoSpaceDN w:val="0"/>
        <w:adjustRightInd w:val="0"/>
        <w:snapToGrid w:val="0"/>
        <w:spacing w:line="360" w:lineRule="auto"/>
        <w:ind w:firstLine="420" w:firstLineChars="200"/>
        <w:textAlignment w:val="bottom"/>
        <w:rPr>
          <w:rFonts w:hint="eastAsia" w:ascii="宋体" w:hAnsi="宋体" w:cs="Arial"/>
          <w:kern w:val="0"/>
          <w:szCs w:val="21"/>
        </w:rPr>
      </w:pPr>
      <w:r>
        <w:rPr>
          <w:rFonts w:hint="eastAsia" w:ascii="宋体" w:hAnsi="宋体" w:cs="Arial"/>
          <w:kern w:val="0"/>
          <w:szCs w:val="21"/>
        </w:rPr>
        <w:t>4、基金管理人可根据市场情况，在不违反法律法规规定且对基金份额持有人的权益无实质性不利影响的情况下，调整上述规定数量或比例等限制。基金管理人必须在调整实施前依照《信息披露办法》的有关规定在规定媒介上公告（其中上述第2条可由基金管理人于前一交易日设定并在当日基金申购赎回清单上公布，而不必在规定媒介上公告也无需报中国证监会备案）。</w:t>
      </w:r>
    </w:p>
    <w:p w14:paraId="7AB25E09">
      <w:pPr>
        <w:tabs>
          <w:tab w:val="left" w:pos="3780"/>
        </w:tabs>
        <w:autoSpaceDE w:val="0"/>
        <w:autoSpaceDN w:val="0"/>
        <w:adjustRightInd w:val="0"/>
        <w:snapToGrid w:val="0"/>
        <w:spacing w:line="360" w:lineRule="auto"/>
        <w:ind w:firstLine="422" w:firstLineChars="200"/>
        <w:textAlignment w:val="bottom"/>
        <w:rPr>
          <w:rFonts w:hint="eastAsia" w:ascii="宋体" w:hAnsi="宋体" w:cs="Arial"/>
          <w:b/>
          <w:bCs/>
          <w:szCs w:val="21"/>
        </w:rPr>
      </w:pPr>
      <w:r>
        <w:rPr>
          <w:rFonts w:hint="eastAsia" w:ascii="宋体" w:hAnsi="宋体" w:cs="Arial"/>
          <w:b/>
          <w:bCs/>
          <w:szCs w:val="21"/>
        </w:rPr>
        <w:t>六、</w:t>
      </w:r>
      <w:r>
        <w:rPr>
          <w:rFonts w:ascii="宋体" w:hAnsi="宋体" w:cs="Arial"/>
          <w:b/>
          <w:bCs/>
          <w:szCs w:val="21"/>
        </w:rPr>
        <w:t>申购与赎回的对价和费用</w:t>
      </w:r>
    </w:p>
    <w:p w14:paraId="4000BFE9">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1、申购对价、赎回对价根据申购赎回清单和投资者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p>
    <w:p w14:paraId="289388EF">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2、申购赎回清单由基金管理人编制。T日的申购赎回清单在当日深圳证券交易所开市前公告。如遇特殊情况，可以适当延迟计算或公告。申购赎回清单的内容与格式详见下文“七、申购赎回清单的内容与格式”或相关公告。</w:t>
      </w:r>
    </w:p>
    <w:p w14:paraId="6E6B205F">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3、投资者在申购本基金时，申购赎回代理券商可按照不超过0.3%的标准收取佣金，投资者在赎回本基金份额时，申购赎回代理券商可按照不超过0.5%的标准收取佣金，其中包含证券交易所、登记机构等收取的相关费用。</w:t>
      </w:r>
    </w:p>
    <w:p w14:paraId="07342785">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4、本基金份额净值的计算，保留到小数点后4位，小数点后第5位四舍五入，由此产生的收益或损失由基金财产承担。T日的基金份额净值在当天收市后计算，并在T+1日内公告。遇特殊情况，经履行适当程序，可以适当延迟计算或公告。</w:t>
      </w:r>
    </w:p>
    <w:p w14:paraId="16541B81">
      <w:pPr>
        <w:adjustRightInd w:val="0"/>
        <w:snapToGrid w:val="0"/>
        <w:spacing w:line="360" w:lineRule="auto"/>
        <w:ind w:firstLine="420"/>
        <w:rPr>
          <w:rFonts w:hint="eastAsia" w:ascii="宋体" w:hAnsi="宋体" w:cs="Arial"/>
          <w:kern w:val="0"/>
          <w:szCs w:val="21"/>
        </w:rPr>
      </w:pPr>
      <w:r>
        <w:rPr>
          <w:rFonts w:hint="eastAsia" w:ascii="宋体" w:hAnsi="宋体" w:cs="Arial"/>
          <w:kern w:val="0"/>
          <w:szCs w:val="21"/>
        </w:rPr>
        <w:t>5、基金管理人可以在不违反相关法律法规且对基金份额持有人的权益无实质性不利影响的情况下对基金份额净值、申购赎回清单计算和公告时间进行调整并提前公告。</w:t>
      </w:r>
    </w:p>
    <w:p w14:paraId="47AD793C">
      <w:pPr>
        <w:adjustRightInd w:val="0"/>
        <w:snapToGrid w:val="0"/>
        <w:spacing w:line="360" w:lineRule="auto"/>
        <w:ind w:firstLine="420"/>
        <w:rPr>
          <w:rFonts w:hint="eastAsia" w:ascii="宋体" w:hAnsi="宋体" w:cs="Arial"/>
          <w:b/>
          <w:kern w:val="0"/>
          <w:szCs w:val="21"/>
        </w:rPr>
      </w:pPr>
      <w:r>
        <w:rPr>
          <w:rFonts w:hint="eastAsia" w:ascii="宋体" w:hAnsi="宋体" w:cs="Arial"/>
          <w:b/>
          <w:kern w:val="0"/>
          <w:szCs w:val="21"/>
        </w:rPr>
        <w:t>七、</w:t>
      </w:r>
      <w:r>
        <w:rPr>
          <w:rFonts w:ascii="宋体" w:hAnsi="宋体" w:cs="Arial"/>
          <w:b/>
          <w:kern w:val="0"/>
          <w:szCs w:val="21"/>
        </w:rPr>
        <w:t>申购赎回清单的内容与格式</w:t>
      </w:r>
    </w:p>
    <w:p w14:paraId="15DBBF46">
      <w:pPr>
        <w:adjustRightInd w:val="0"/>
        <w:snapToGrid w:val="0"/>
        <w:spacing w:line="360" w:lineRule="auto"/>
        <w:ind w:firstLine="420"/>
        <w:rPr>
          <w:rFonts w:hint="eastAsia" w:ascii="宋体" w:hAnsi="宋体" w:cs="Arial"/>
        </w:rPr>
      </w:pPr>
      <w:r>
        <w:rPr>
          <w:rFonts w:hint="eastAsia" w:ascii="宋体" w:hAnsi="宋体" w:cs="Arial"/>
        </w:rPr>
        <w:t>1、申购赎回清单的内容</w:t>
      </w:r>
    </w:p>
    <w:p w14:paraId="7086A02C">
      <w:pPr>
        <w:adjustRightInd w:val="0"/>
        <w:snapToGrid w:val="0"/>
        <w:spacing w:line="360" w:lineRule="auto"/>
        <w:ind w:firstLine="420"/>
        <w:rPr>
          <w:rFonts w:hint="eastAsia" w:ascii="宋体" w:hAnsi="宋体" w:cs="Arial"/>
        </w:rPr>
      </w:pPr>
      <w:r>
        <w:rPr>
          <w:rFonts w:hint="eastAsia" w:ascii="宋体" w:hAnsi="宋体" w:cs="Arial"/>
        </w:rPr>
        <w:t>T日申购赎回清单公告内容包括最小申购、赎回单位所对应的组合证券内各成份证券数据、现金替代、T日预估现金部分、T-1日的现金差额、基金份额净值及其他相关内容。</w:t>
      </w:r>
    </w:p>
    <w:p w14:paraId="7855FD9F">
      <w:pPr>
        <w:adjustRightInd w:val="0"/>
        <w:snapToGrid w:val="0"/>
        <w:spacing w:line="360" w:lineRule="auto"/>
        <w:ind w:firstLine="420"/>
        <w:rPr>
          <w:rFonts w:hint="eastAsia" w:ascii="宋体" w:hAnsi="宋体" w:cs="Arial"/>
        </w:rPr>
      </w:pPr>
      <w:r>
        <w:rPr>
          <w:rFonts w:hint="eastAsia" w:ascii="宋体" w:hAnsi="宋体" w:cs="Arial"/>
        </w:rPr>
        <w:t>2、组合证券相关内容</w:t>
      </w:r>
    </w:p>
    <w:p w14:paraId="5AC54F09">
      <w:pPr>
        <w:adjustRightInd w:val="0"/>
        <w:snapToGrid w:val="0"/>
        <w:spacing w:line="360" w:lineRule="auto"/>
        <w:ind w:firstLine="420"/>
        <w:rPr>
          <w:rFonts w:hint="eastAsia" w:ascii="宋体" w:hAnsi="宋体" w:cs="Arial"/>
        </w:rPr>
      </w:pPr>
      <w:r>
        <w:rPr>
          <w:rFonts w:hint="eastAsia" w:ascii="宋体" w:hAnsi="宋体" w:cs="Arial"/>
        </w:rPr>
        <w:t>组合证券是指本基金标的指数所包含的全部或部分证券。申购赎回清单将公告最小申购赎回单位所对应的各成份证券名称、证券代码及数量。</w:t>
      </w:r>
    </w:p>
    <w:p w14:paraId="519C7E2C">
      <w:pPr>
        <w:adjustRightInd w:val="0"/>
        <w:snapToGrid w:val="0"/>
        <w:spacing w:line="360" w:lineRule="auto"/>
        <w:ind w:firstLine="420"/>
        <w:rPr>
          <w:rFonts w:hint="eastAsia" w:ascii="宋体" w:hAnsi="宋体" w:cs="Arial"/>
        </w:rPr>
      </w:pPr>
      <w:r>
        <w:rPr>
          <w:rFonts w:hint="eastAsia" w:ascii="宋体" w:hAnsi="宋体" w:cs="Arial"/>
        </w:rPr>
        <w:t>3、现金替代相关内容</w:t>
      </w:r>
    </w:p>
    <w:p w14:paraId="3C1F884C">
      <w:pPr>
        <w:adjustRightInd w:val="0"/>
        <w:snapToGrid w:val="0"/>
        <w:spacing w:line="360" w:lineRule="auto"/>
        <w:ind w:firstLine="420"/>
        <w:rPr>
          <w:rFonts w:hint="eastAsia" w:ascii="宋体" w:hAnsi="宋体" w:cs="Arial"/>
        </w:rPr>
      </w:pPr>
      <w:r>
        <w:rPr>
          <w:rFonts w:hint="eastAsia" w:ascii="宋体" w:hAnsi="宋体" w:cs="Arial"/>
        </w:rPr>
        <w:t>现金替代是指申购、赎回过程中，投资人按基金合同和招募说明书规定的原则，用于替代组合证券中部分证券的一定数量的现金。</w:t>
      </w:r>
    </w:p>
    <w:p w14:paraId="363797ED">
      <w:pPr>
        <w:adjustRightInd w:val="0"/>
        <w:snapToGrid w:val="0"/>
        <w:spacing w:line="360" w:lineRule="auto"/>
        <w:ind w:firstLine="420"/>
        <w:rPr>
          <w:rFonts w:hint="eastAsia" w:ascii="宋体" w:hAnsi="宋体" w:cs="Arial"/>
        </w:rPr>
      </w:pPr>
      <w:r>
        <w:rPr>
          <w:rFonts w:hint="eastAsia" w:ascii="宋体" w:hAnsi="宋体" w:cs="Arial"/>
        </w:rPr>
        <w:t>现金替代分为3种类型：禁止现金替代（标志为“禁止”）、可以现金替代（标志为“允许”）和必须现金替代（标志为“必须”）。</w:t>
      </w:r>
    </w:p>
    <w:p w14:paraId="7386EBB1">
      <w:pPr>
        <w:adjustRightInd w:val="0"/>
        <w:snapToGrid w:val="0"/>
        <w:spacing w:line="360" w:lineRule="auto"/>
        <w:ind w:firstLine="420"/>
        <w:rPr>
          <w:rFonts w:hint="eastAsia" w:ascii="宋体" w:hAnsi="宋体" w:cs="Arial"/>
        </w:rPr>
      </w:pPr>
      <w:r>
        <w:rPr>
          <w:rFonts w:hint="eastAsia" w:ascii="宋体" w:hAnsi="宋体" w:cs="Arial"/>
        </w:rPr>
        <w:t>对于深市成份证券，现金替代的标志可以设为：“禁止”、“允许”和“必须”。</w:t>
      </w:r>
    </w:p>
    <w:p w14:paraId="3C0F090A">
      <w:pPr>
        <w:adjustRightInd w:val="0"/>
        <w:snapToGrid w:val="0"/>
        <w:spacing w:line="360" w:lineRule="auto"/>
        <w:ind w:firstLine="420"/>
        <w:rPr>
          <w:rFonts w:hint="eastAsia" w:ascii="宋体" w:hAnsi="宋体" w:cs="Arial"/>
        </w:rPr>
      </w:pPr>
      <w:r>
        <w:rPr>
          <w:rFonts w:hint="eastAsia" w:ascii="宋体" w:hAnsi="宋体" w:cs="Arial"/>
        </w:rPr>
        <w:t>对于非深市成份证券，现金替代的标志可以设为：“允许”和“必须”。</w:t>
      </w:r>
    </w:p>
    <w:p w14:paraId="4D5DBD32">
      <w:pPr>
        <w:adjustRightInd w:val="0"/>
        <w:snapToGrid w:val="0"/>
        <w:spacing w:line="360" w:lineRule="auto"/>
        <w:ind w:firstLine="420"/>
        <w:rPr>
          <w:rFonts w:hint="eastAsia" w:ascii="宋体" w:hAnsi="宋体" w:cs="Arial"/>
        </w:rPr>
      </w:pPr>
      <w:r>
        <w:rPr>
          <w:rFonts w:hint="eastAsia" w:ascii="宋体" w:hAnsi="宋体" w:cs="Arial"/>
        </w:rPr>
        <w:t>禁止现金替代适用于深圳证券交易所上市的成份股，是指在申购、赎回基金份额时，该成份证券不允许使用现金作为替代。</w:t>
      </w:r>
    </w:p>
    <w:p w14:paraId="794BAAA1">
      <w:pPr>
        <w:adjustRightInd w:val="0"/>
        <w:snapToGrid w:val="0"/>
        <w:spacing w:line="360" w:lineRule="auto"/>
        <w:ind w:firstLine="420"/>
        <w:rPr>
          <w:rFonts w:hint="eastAsia" w:ascii="宋体" w:hAnsi="宋体" w:cs="Arial"/>
        </w:rPr>
      </w:pPr>
      <w:r>
        <w:rPr>
          <w:rFonts w:hint="eastAsia" w:ascii="宋体" w:hAnsi="宋体" w:cs="Arial"/>
        </w:rPr>
        <w:t>对于标志为可以现金替代的深圳证券交易所上市的成份股，申购基金份额时，允许使用现金作为全部或部分该成份证券的替代，但在赎回基金份额时，该成份证券不允许使用现金作为替代。</w:t>
      </w:r>
    </w:p>
    <w:p w14:paraId="24251CFA">
      <w:pPr>
        <w:adjustRightInd w:val="0"/>
        <w:snapToGrid w:val="0"/>
        <w:spacing w:line="360" w:lineRule="auto"/>
        <w:ind w:firstLine="420"/>
        <w:rPr>
          <w:rFonts w:hint="eastAsia" w:ascii="宋体" w:hAnsi="宋体" w:cs="Arial"/>
        </w:rPr>
      </w:pPr>
      <w:r>
        <w:rPr>
          <w:rFonts w:hint="eastAsia" w:ascii="宋体" w:hAnsi="宋体" w:cs="Arial"/>
        </w:rPr>
        <w:t>对于标志为可以现金替代的上海/北京证券交易所上市的成份股，申购赎回基金份额时，均使用现金作为替代。</w:t>
      </w:r>
    </w:p>
    <w:p w14:paraId="6E0235F5">
      <w:pPr>
        <w:adjustRightInd w:val="0"/>
        <w:snapToGrid w:val="0"/>
        <w:spacing w:line="360" w:lineRule="auto"/>
        <w:ind w:firstLine="420"/>
        <w:rPr>
          <w:rFonts w:hint="eastAsia" w:ascii="宋体" w:hAnsi="宋体" w:cs="Arial"/>
        </w:rPr>
      </w:pPr>
      <w:r>
        <w:rPr>
          <w:rFonts w:hint="eastAsia" w:ascii="宋体" w:hAnsi="宋体" w:cs="Arial"/>
        </w:rPr>
        <w:t>必须现金替代适用于所有成份股，是指在申购、赎回基金份额时，该成份证券必须使用现金作为替代。</w:t>
      </w:r>
    </w:p>
    <w:p w14:paraId="1C0BECEF">
      <w:pPr>
        <w:adjustRightInd w:val="0"/>
        <w:snapToGrid w:val="0"/>
        <w:spacing w:line="360" w:lineRule="auto"/>
        <w:ind w:firstLine="420"/>
        <w:rPr>
          <w:rFonts w:hint="eastAsia" w:ascii="宋体" w:hAnsi="宋体" w:cs="Arial"/>
        </w:rPr>
      </w:pPr>
      <w:r>
        <w:rPr>
          <w:rFonts w:hint="eastAsia" w:ascii="宋体" w:hAnsi="宋体" w:cs="Arial"/>
        </w:rPr>
        <w:t>（1）关于深圳证券交易所成份证券可以现金替代的情形</w:t>
      </w:r>
    </w:p>
    <w:p w14:paraId="0380CED7">
      <w:pPr>
        <w:adjustRightInd w:val="0"/>
        <w:snapToGrid w:val="0"/>
        <w:spacing w:line="360" w:lineRule="auto"/>
        <w:ind w:firstLine="420"/>
        <w:rPr>
          <w:rFonts w:hint="eastAsia" w:ascii="宋体" w:hAnsi="宋体" w:cs="Arial"/>
        </w:rPr>
      </w:pPr>
      <w:r>
        <w:rPr>
          <w:rFonts w:hint="eastAsia" w:ascii="宋体" w:hAnsi="宋体" w:cs="Arial"/>
        </w:rPr>
        <w:t>1）适用情形：一般由于证券停牌等原因导致投资人无法在申购时买入证券或基金管理人认为可以适用的其他情形。</w:t>
      </w:r>
    </w:p>
    <w:p w14:paraId="1CD77BE9">
      <w:pPr>
        <w:adjustRightInd w:val="0"/>
        <w:snapToGrid w:val="0"/>
        <w:spacing w:line="360" w:lineRule="auto"/>
        <w:ind w:firstLine="420"/>
        <w:rPr>
          <w:rFonts w:hint="eastAsia" w:ascii="宋体" w:hAnsi="宋体" w:cs="Arial"/>
        </w:rPr>
      </w:pPr>
      <w:r>
        <w:rPr>
          <w:rFonts w:hint="eastAsia" w:ascii="宋体" w:hAnsi="宋体" w:cs="Arial"/>
        </w:rPr>
        <w:t>2）替代金额：</w:t>
      </w:r>
      <w:r>
        <w:rPr>
          <w:rFonts w:ascii="宋体" w:hAnsi="宋体" w:cs="Arial"/>
        </w:rPr>
        <w:t xml:space="preserve"> </w:t>
      </w:r>
    </w:p>
    <w:p w14:paraId="60F82C23">
      <w:pPr>
        <w:adjustRightInd w:val="0"/>
        <w:snapToGrid w:val="0"/>
        <w:spacing w:line="360" w:lineRule="auto"/>
        <w:ind w:firstLine="420"/>
        <w:rPr>
          <w:rFonts w:hint="eastAsia" w:ascii="宋体" w:hAnsi="宋体" w:cs="Arial"/>
        </w:rPr>
      </w:pPr>
      <w:r>
        <w:rPr>
          <w:rFonts w:hint="eastAsia" w:ascii="宋体" w:hAnsi="宋体" w:cs="Arial"/>
        </w:rPr>
        <w:t>替代金额＝替代证券数量×该证券参考价格×（1＋现金替代保证金率）</w:t>
      </w:r>
    </w:p>
    <w:p w14:paraId="4EE2AE55">
      <w:pPr>
        <w:adjustRightInd w:val="0"/>
        <w:snapToGrid w:val="0"/>
        <w:spacing w:line="360" w:lineRule="auto"/>
        <w:ind w:firstLine="420"/>
        <w:rPr>
          <w:rFonts w:hint="eastAsia" w:ascii="宋体" w:hAnsi="宋体" w:cs="Arial"/>
        </w:rPr>
      </w:pPr>
      <w:r>
        <w:rPr>
          <w:rFonts w:hint="eastAsia" w:ascii="宋体" w:hAnsi="宋体" w:cs="Arial"/>
        </w:rPr>
        <w:t>其中，“该证券参考价格”目前为该证券经除权除息调整的 T-1 日收盘价。如果深圳证券交易所参考价格确定原则发生变化，以深圳证券交易所通知规定的参考价格为准。申购现金替代溢价比例、赎回现金替代折价比例也分别称申购现金替代保证金率、赎回现金替代保证金率。</w:t>
      </w:r>
    </w:p>
    <w:p w14:paraId="5CD4992C">
      <w:pPr>
        <w:adjustRightInd w:val="0"/>
        <w:snapToGrid w:val="0"/>
        <w:spacing w:line="360" w:lineRule="auto"/>
        <w:ind w:firstLine="420"/>
        <w:rPr>
          <w:rFonts w:hint="eastAsia" w:ascii="宋体" w:hAnsi="宋体" w:cs="Arial"/>
        </w:rPr>
      </w:pPr>
      <w:r>
        <w:rPr>
          <w:rFonts w:hint="eastAsia" w:ascii="宋体" w:hAnsi="宋体" w:cs="Arial"/>
        </w:rPr>
        <w:t>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w:t>
      </w:r>
    </w:p>
    <w:p w14:paraId="2F7A5669">
      <w:pPr>
        <w:adjustRightInd w:val="0"/>
        <w:snapToGrid w:val="0"/>
        <w:spacing w:line="360" w:lineRule="auto"/>
        <w:ind w:firstLine="420"/>
        <w:rPr>
          <w:rFonts w:hint="eastAsia" w:ascii="宋体" w:hAnsi="宋体" w:cs="Arial"/>
        </w:rPr>
      </w:pPr>
      <w:r>
        <w:rPr>
          <w:rFonts w:hint="eastAsia" w:ascii="宋体" w:hAnsi="宋体" w:cs="Arial"/>
        </w:rPr>
        <w:t>3）替代金额的处理程序如下：</w:t>
      </w:r>
    </w:p>
    <w:p w14:paraId="19E77D09">
      <w:pPr>
        <w:adjustRightInd w:val="0"/>
        <w:snapToGrid w:val="0"/>
        <w:spacing w:line="360" w:lineRule="auto"/>
        <w:ind w:firstLine="420"/>
        <w:rPr>
          <w:rFonts w:hint="eastAsia" w:ascii="宋体" w:hAnsi="宋体" w:cs="Arial"/>
        </w:rPr>
      </w:pPr>
      <w:r>
        <w:rPr>
          <w:rFonts w:hint="eastAsia" w:ascii="宋体" w:hAnsi="宋体" w:cs="Arial"/>
        </w:rPr>
        <w:t>T日，基金管理人在申购赎回清单中公布现金替代溢价比例，并据此在T+1日收取替代金额。</w:t>
      </w:r>
    </w:p>
    <w:p w14:paraId="087B4B76">
      <w:pPr>
        <w:adjustRightInd w:val="0"/>
        <w:snapToGrid w:val="0"/>
        <w:spacing w:line="360" w:lineRule="auto"/>
        <w:ind w:firstLine="420"/>
        <w:rPr>
          <w:rFonts w:hint="eastAsia" w:ascii="宋体" w:hAnsi="宋体" w:cs="Arial"/>
        </w:rPr>
      </w:pPr>
      <w:r>
        <w:rPr>
          <w:rFonts w:hint="eastAsia" w:ascii="宋体" w:hAnsi="宋体" w:cs="Arial"/>
        </w:rPr>
        <w:t>在T日后被替代的部分证券有正常交易的2个交易日（即T＋2日）内，基金管理人将以收到的替代金额买入被替代的部分证券。</w:t>
      </w:r>
    </w:p>
    <w:p w14:paraId="67F011AE">
      <w:pPr>
        <w:adjustRightInd w:val="0"/>
        <w:snapToGrid w:val="0"/>
        <w:spacing w:line="360" w:lineRule="auto"/>
        <w:ind w:firstLine="420"/>
        <w:rPr>
          <w:rFonts w:hint="eastAsia" w:ascii="宋体" w:hAnsi="宋体" w:cs="Arial"/>
        </w:rPr>
      </w:pPr>
      <w:r>
        <w:rPr>
          <w:rFonts w:hint="eastAsia" w:ascii="宋体" w:hAnsi="宋体" w:cs="Arial"/>
        </w:rPr>
        <w:t>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w:t>
      </w:r>
    </w:p>
    <w:p w14:paraId="3F89AE05">
      <w:pPr>
        <w:adjustRightInd w:val="0"/>
        <w:snapToGrid w:val="0"/>
        <w:spacing w:line="360" w:lineRule="auto"/>
        <w:ind w:firstLine="420"/>
        <w:rPr>
          <w:rFonts w:hint="eastAsia" w:ascii="宋体" w:hAnsi="宋体" w:cs="Arial"/>
        </w:rPr>
      </w:pPr>
      <w:r>
        <w:rPr>
          <w:rFonts w:hint="eastAsia" w:ascii="宋体" w:hAnsi="宋体" w:cs="Arial"/>
        </w:rPr>
        <w:t>特殊情况：若自T日起，深圳证券交易所正常交易日已达20日而该部分证券的正常交易日低于2日，</w:t>
      </w:r>
      <w:r>
        <w:rPr>
          <w:rFonts w:hint="eastAsia"/>
          <w:szCs w:val="21"/>
        </w:rPr>
        <w:t>且该部分证券最近交易日后未发生影响公允价值计量的重大事件的，</w:t>
      </w:r>
      <w:r>
        <w:rPr>
          <w:rFonts w:hint="eastAsia" w:ascii="宋体" w:hAnsi="宋体" w:cs="Arial"/>
        </w:rPr>
        <w:t>则以替代金额与所购入的部分被替代证券的实际购入成本加上按照最近一次收盘价计算的未购入的部分被替代证券价值的差额，确定基金应退还投资人或投资人应补交的款项。</w:t>
      </w:r>
    </w:p>
    <w:p w14:paraId="594A2022">
      <w:pPr>
        <w:adjustRightInd w:val="0"/>
        <w:snapToGrid w:val="0"/>
        <w:spacing w:line="360" w:lineRule="auto"/>
        <w:ind w:firstLine="420"/>
        <w:rPr>
          <w:rFonts w:hint="eastAsia" w:ascii="宋体" w:hAnsi="宋体" w:cs="Arial"/>
        </w:rPr>
      </w:pPr>
      <w:r>
        <w:rPr>
          <w:rFonts w:hint="eastAsia"/>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76F7CD6C">
      <w:pPr>
        <w:adjustRightInd w:val="0"/>
        <w:snapToGrid w:val="0"/>
        <w:spacing w:line="360" w:lineRule="auto"/>
        <w:ind w:firstLine="420"/>
        <w:rPr>
          <w:rFonts w:hint="eastAsia" w:ascii="宋体" w:hAnsi="宋体" w:cs="Arial"/>
        </w:rPr>
      </w:pPr>
      <w:r>
        <w:rPr>
          <w:rFonts w:hint="eastAsia" w:ascii="宋体" w:hAnsi="宋体" w:cs="Arial"/>
        </w:rPr>
        <w:t>T＋2日后的第1个市场交易日（在特殊情况下则为</w:t>
      </w:r>
      <w:r>
        <w:rPr>
          <w:rFonts w:hint="eastAsia"/>
          <w:szCs w:val="21"/>
        </w:rPr>
        <w:t>确定基金应退还投资人或投资人应补交的款项后的第1个</w:t>
      </w:r>
      <w:r>
        <w:rPr>
          <w:rFonts w:hint="eastAsia" w:ascii="宋体" w:hAnsi="宋体" w:cs="Arial"/>
        </w:rPr>
        <w:t>市场交易日），基金管理人将应退款和应补款的明细及汇总数据发送给相关申购赎回代理券商和基金托管人，相关款项的清算交收，将于此后3个工作日内完成。</w:t>
      </w:r>
    </w:p>
    <w:p w14:paraId="6919E44F">
      <w:pPr>
        <w:adjustRightInd w:val="0"/>
        <w:snapToGrid w:val="0"/>
        <w:spacing w:line="360" w:lineRule="auto"/>
        <w:ind w:firstLine="420"/>
        <w:rPr>
          <w:rFonts w:hint="eastAsia" w:ascii="宋体" w:hAnsi="宋体" w:cs="Arial"/>
        </w:rPr>
      </w:pPr>
      <w:r>
        <w:rPr>
          <w:rFonts w:hint="eastAsia" w:ascii="宋体" w:hAnsi="宋体" w:cs="Arial"/>
        </w:rPr>
        <w:t>4）替代限制：为有效控制基金的跟踪偏离度和跟踪误差，基金管理人可规定投资人使用可以现金替代的比例合计不得超过申购基金份额资产净值的一定比例。现金替代比例的计算公式为：</w:t>
      </w:r>
    </w:p>
    <w:p w14:paraId="25732818">
      <w:pPr>
        <w:adjustRightInd w:val="0"/>
        <w:snapToGrid w:val="0"/>
        <w:spacing w:line="360" w:lineRule="auto"/>
        <w:ind w:firstLine="420"/>
        <w:jc w:val="center"/>
        <w:rPr>
          <w:rFonts w:hint="eastAsia" w:ascii="宋体" w:hAnsi="宋体" w:cs="Arial"/>
        </w:rPr>
      </w:pPr>
      <w:r>
        <w:rPr>
          <w:rFonts w:hint="eastAsia" w:ascii="宋体" w:hAnsi="宋体" w:cs="Arial"/>
        </w:rPr>
        <w:t>现金替代比例（%）=</w:t>
      </w:r>
      <m:oMath>
        <m:f>
          <m:fPr>
            <m:ctrlPr>
              <w:rPr>
                <w:rFonts w:ascii="Cambria Math" w:hAnsi="Cambria Math" w:cs="Arial"/>
                <w:sz w:val="24"/>
              </w:rPr>
            </m:ctrlPr>
          </m:fPr>
          <m:num>
            <m:nary>
              <m:naryPr>
                <m:chr m:val="∑"/>
                <m:limLoc m:val="undOvr"/>
                <m:ctrlPr>
                  <w:rPr>
                    <w:rFonts w:ascii="Cambria Math" w:hAnsi="Cambria Math" w:cs="Arial"/>
                    <w:sz w:val="24"/>
                  </w:rPr>
                </m:ctrlPr>
              </m:naryPr>
              <m:sub>
                <m:r>
                  <m:rPr>
                    <m:sty m:val="p"/>
                  </m:rPr>
                  <w:rPr>
                    <w:rFonts w:ascii="Cambria Math" w:hAnsi="Cambria Math" w:cs="Arial"/>
                    <w:sz w:val="24"/>
                  </w:rPr>
                  <m:t>i=1</m:t>
                </m:r>
                <m:ctrlPr>
                  <w:rPr>
                    <w:rFonts w:ascii="Cambria Math" w:hAnsi="Cambria Math" w:cs="Arial"/>
                    <w:sz w:val="24"/>
                  </w:rPr>
                </m:ctrlPr>
              </m:sub>
              <m:sup>
                <m:r>
                  <m:rPr>
                    <m:sty m:val="p"/>
                  </m:rPr>
                  <w:rPr>
                    <w:rFonts w:ascii="Cambria Math" w:hAnsi="Cambria Math" w:cs="Arial"/>
                    <w:sz w:val="24"/>
                  </w:rPr>
                  <m:t>n</m:t>
                </m:r>
                <m:ctrlPr>
                  <w:rPr>
                    <w:rFonts w:ascii="Cambria Math" w:hAnsi="Cambria Math" w:cs="Arial"/>
                    <w:sz w:val="24"/>
                  </w:rPr>
                </m:ctrlPr>
              </m:sup>
              <m:e>
                <m:r>
                  <m:rPr>
                    <m:sty m:val="p"/>
                  </m:rPr>
                  <w:rPr>
                    <w:rFonts w:hint="eastAsia" w:ascii="Cambria Math" w:hAnsi="Cambria Math" w:cs="Arial"/>
                    <w:sz w:val="24"/>
                  </w:rPr>
                  <m:t>第</m:t>
                </m:r>
                <m:r>
                  <m:rPr>
                    <m:sty m:val="p"/>
                  </m:rPr>
                  <w:rPr>
                    <w:rFonts w:ascii="Cambria Math" w:hAnsi="Cambria Math" w:cs="Arial"/>
                    <w:sz w:val="24"/>
                  </w:rPr>
                  <m:t>i</m:t>
                </m:r>
                <m:r>
                  <m:rPr>
                    <m:sty m:val="p"/>
                  </m:rPr>
                  <w:rPr>
                    <w:rFonts w:hint="eastAsia" w:ascii="Cambria Math" w:hAnsi="Cambria Math" w:cs="Arial"/>
                    <w:sz w:val="24"/>
                  </w:rPr>
                  <m:t>只替代证券数量</m:t>
                </m:r>
                <m:r>
                  <m:rPr>
                    <m:sty m:val="p"/>
                  </m:rPr>
                  <w:rPr>
                    <w:rFonts w:ascii="Cambria Math" w:hAnsi="Cambria Math" w:cs="Arial"/>
                    <w:sz w:val="24"/>
                  </w:rPr>
                  <m:t>×</m:t>
                </m:r>
                <m:r>
                  <m:rPr>
                    <m:sty m:val="p"/>
                  </m:rPr>
                  <w:rPr>
                    <w:rFonts w:hint="eastAsia" w:ascii="Cambria Math" w:hAnsi="Cambria Math" w:cs="Arial"/>
                    <w:sz w:val="24"/>
                  </w:rPr>
                  <m:t>该证券参考价格</m:t>
                </m:r>
                <m:ctrlPr>
                  <w:rPr>
                    <w:rFonts w:ascii="Cambria Math" w:hAnsi="Cambria Math" w:cs="Arial"/>
                    <w:sz w:val="24"/>
                  </w:rPr>
                </m:ctrlPr>
              </m:e>
            </m:nary>
            <m:ctrlPr>
              <w:rPr>
                <w:rFonts w:ascii="Cambria Math" w:hAnsi="Cambria Math" w:cs="Arial"/>
                <w:sz w:val="24"/>
              </w:rPr>
            </m:ctrlPr>
          </m:num>
          <m:den>
            <m:r>
              <m:rPr>
                <m:sty m:val="p"/>
              </m:rPr>
              <w:rPr>
                <w:rFonts w:hint="eastAsia" w:ascii="Cambria Math" w:hAnsi="Cambria Math" w:cs="Arial"/>
                <w:sz w:val="24"/>
              </w:rPr>
              <m:t>申购基金份额</m:t>
            </m:r>
            <m:r>
              <m:rPr>
                <m:sty m:val="p"/>
              </m:rPr>
              <w:rPr>
                <w:rFonts w:ascii="Cambria Math" w:hAnsi="Cambria Math" w:cs="Arial"/>
                <w:sz w:val="24"/>
              </w:rPr>
              <m:t>×</m:t>
            </m:r>
            <m:r>
              <m:rPr>
                <m:sty m:val="p"/>
              </m:rPr>
              <w:rPr>
                <w:rFonts w:hint="eastAsia" w:ascii="Cambria Math" w:hAnsi="Cambria Math" w:cs="Arial"/>
                <w:sz w:val="24"/>
              </w:rPr>
              <m:t>参考基金份额净值</m:t>
            </m:r>
            <m:ctrlPr>
              <w:rPr>
                <w:rFonts w:ascii="Cambria Math" w:hAnsi="Cambria Math" w:cs="Arial"/>
                <w:sz w:val="24"/>
              </w:rPr>
            </m:ctrlPr>
          </m:den>
        </m:f>
        <m:r>
          <m:rPr/>
          <w:rPr>
            <w:rFonts w:ascii="Cambria Math" w:hAnsi="Cambria Math" w:cs="Arial"/>
            <w:sz w:val="24"/>
          </w:rPr>
          <m:t>×100%</m:t>
        </m:r>
      </m:oMath>
    </w:p>
    <w:p w14:paraId="429AFF83">
      <w:pPr>
        <w:adjustRightInd w:val="0"/>
        <w:snapToGrid w:val="0"/>
        <w:spacing w:line="360" w:lineRule="auto"/>
        <w:ind w:firstLine="420"/>
        <w:rPr>
          <w:rFonts w:hint="eastAsia" w:ascii="宋体" w:hAnsi="宋体" w:cs="Arial"/>
        </w:rPr>
      </w:pPr>
      <w:r>
        <w:rPr>
          <w:rFonts w:hint="eastAsia" w:ascii="宋体" w:hAnsi="宋体" w:cs="Arial"/>
        </w:rPr>
        <w:t>其中，“该证券参考价格”的确定原则与可以现金替代情况下“替代金额”计算公式中的“该证券参考价格”相同。“</w:t>
      </w:r>
      <w:r>
        <w:rPr>
          <w:rFonts w:hint="eastAsia"/>
          <w:szCs w:val="21"/>
        </w:rPr>
        <w:t>基金份额参考净值</w:t>
      </w:r>
      <w:r>
        <w:rPr>
          <w:rFonts w:hint="eastAsia" w:ascii="宋体" w:hAnsi="宋体" w:cs="Arial"/>
        </w:rPr>
        <w:t>”目前为本基金前一交易日除权除息后的收盘价。</w:t>
      </w:r>
    </w:p>
    <w:p w14:paraId="63401947">
      <w:pPr>
        <w:adjustRightInd w:val="0"/>
        <w:snapToGrid w:val="0"/>
        <w:spacing w:line="360" w:lineRule="auto"/>
        <w:ind w:firstLine="420"/>
        <w:rPr>
          <w:rFonts w:hint="eastAsia" w:ascii="宋体" w:hAnsi="宋体" w:cs="Arial"/>
        </w:rPr>
      </w:pPr>
      <w:r>
        <w:rPr>
          <w:rFonts w:hint="eastAsia" w:ascii="宋体" w:hAnsi="宋体" w:cs="Arial"/>
        </w:rPr>
        <w:t>如果深圳证券交易所对上述计算方式另有规定的，以深圳证券交易所最新规定为准。</w:t>
      </w:r>
    </w:p>
    <w:p w14:paraId="10DA046F">
      <w:pPr>
        <w:adjustRightInd w:val="0"/>
        <w:snapToGrid w:val="0"/>
        <w:spacing w:line="360" w:lineRule="auto"/>
        <w:ind w:firstLine="420"/>
        <w:rPr>
          <w:rFonts w:hint="eastAsia" w:ascii="宋体" w:hAnsi="宋体" w:cs="Arial"/>
        </w:rPr>
      </w:pPr>
      <w:r>
        <w:rPr>
          <w:rFonts w:hint="eastAsia" w:ascii="宋体" w:hAnsi="宋体" w:cs="Arial"/>
        </w:rPr>
        <w:t>（2）关于上海/北京证券交易所成份证券可以现金替代的情形</w:t>
      </w:r>
    </w:p>
    <w:p w14:paraId="21279E74">
      <w:pPr>
        <w:adjustRightInd w:val="0"/>
        <w:snapToGrid w:val="0"/>
        <w:spacing w:line="360" w:lineRule="auto"/>
        <w:ind w:firstLine="420"/>
        <w:rPr>
          <w:rFonts w:hint="eastAsia" w:ascii="宋体" w:hAnsi="宋体" w:cs="Arial"/>
        </w:rPr>
      </w:pPr>
      <w:r>
        <w:rPr>
          <w:rFonts w:hint="eastAsia" w:ascii="宋体" w:hAnsi="宋体" w:cs="Arial"/>
        </w:rPr>
        <w:t>1）适用情形：适用于本基金成份股中上海/北京证券交易所上市的股票。</w:t>
      </w:r>
    </w:p>
    <w:p w14:paraId="75C235E2">
      <w:pPr>
        <w:adjustRightInd w:val="0"/>
        <w:snapToGrid w:val="0"/>
        <w:spacing w:line="360" w:lineRule="auto"/>
        <w:ind w:firstLine="420"/>
        <w:rPr>
          <w:rFonts w:hint="eastAsia" w:ascii="宋体" w:hAnsi="宋体" w:cs="Arial"/>
        </w:rPr>
      </w:pPr>
      <w:r>
        <w:rPr>
          <w:rFonts w:hint="eastAsia" w:ascii="宋体" w:hAnsi="宋体" w:cs="Arial"/>
        </w:rPr>
        <w:t>2）替代金额：</w:t>
      </w:r>
    </w:p>
    <w:p w14:paraId="147206AA">
      <w:pPr>
        <w:adjustRightInd w:val="0"/>
        <w:snapToGrid w:val="0"/>
        <w:spacing w:line="360" w:lineRule="auto"/>
        <w:ind w:firstLine="420"/>
        <w:rPr>
          <w:rFonts w:hint="eastAsia" w:ascii="宋体" w:hAnsi="宋体" w:cs="Arial"/>
        </w:rPr>
      </w:pPr>
      <w:r>
        <w:rPr>
          <w:rFonts w:hint="eastAsia" w:ascii="宋体" w:hAnsi="宋体" w:cs="Arial"/>
        </w:rPr>
        <w:t>申购的替代金额＝替代证券数量×该证券调整后T日开盘参考价×（1+申购现金替代保证金率）。</w:t>
      </w:r>
    </w:p>
    <w:p w14:paraId="1CD70564">
      <w:pPr>
        <w:adjustRightInd w:val="0"/>
        <w:snapToGrid w:val="0"/>
        <w:spacing w:line="360" w:lineRule="auto"/>
        <w:ind w:firstLine="420"/>
        <w:rPr>
          <w:rFonts w:hint="eastAsia" w:ascii="宋体" w:hAnsi="宋体" w:cs="Arial"/>
        </w:rPr>
      </w:pPr>
      <w:r>
        <w:rPr>
          <w:rFonts w:hint="eastAsia" w:ascii="宋体" w:hAnsi="宋体" w:cs="Arial"/>
        </w:rPr>
        <w:t>赎回的替代金额＝替代证券数量×该证券调整后T日开盘参考价×（1-赎回现金替代保证金率）。</w:t>
      </w:r>
    </w:p>
    <w:p w14:paraId="0F7B3085">
      <w:pPr>
        <w:adjustRightInd w:val="0"/>
        <w:snapToGrid w:val="0"/>
        <w:spacing w:line="360" w:lineRule="auto"/>
        <w:ind w:firstLine="420"/>
        <w:rPr>
          <w:rFonts w:hint="eastAsia" w:ascii="宋体" w:hAnsi="宋体" w:cs="Arial"/>
        </w:rPr>
      </w:pPr>
      <w:r>
        <w:rPr>
          <w:rFonts w:hint="eastAsia" w:ascii="宋体" w:hAnsi="宋体" w:cs="Arial"/>
        </w:rPr>
        <w:t>申购时收取申购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包括买入价格与交易费用），则基金管理人将退还多收取的差额；如果预先收取的金额低于基金购入该部分证券的实际成本（包括买入价格与交易费用），则基金管理人将向投资者收取欠缺的差额。</w:t>
      </w:r>
    </w:p>
    <w:p w14:paraId="4CAEF034">
      <w:pPr>
        <w:adjustRightInd w:val="0"/>
        <w:snapToGrid w:val="0"/>
        <w:spacing w:line="360" w:lineRule="auto"/>
        <w:ind w:firstLine="420"/>
        <w:rPr>
          <w:rFonts w:hint="eastAsia" w:ascii="宋体" w:hAnsi="宋体" w:cs="Arial"/>
        </w:rPr>
      </w:pPr>
      <w:r>
        <w:rPr>
          <w:rFonts w:hint="eastAsia" w:ascii="宋体" w:hAnsi="宋体" w:cs="Arial"/>
        </w:rPr>
        <w:t>赎回时扣除赎回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包括买入价格与交易费用），则基金管理人将退还少支付的差额；如果预先支付的金额高于基金卖出该部分证券的实际收入（包括买入价格与交易费用），则基金管理人将向投资者收取多支付的差额。</w:t>
      </w:r>
    </w:p>
    <w:p w14:paraId="78029119">
      <w:pPr>
        <w:adjustRightInd w:val="0"/>
        <w:snapToGrid w:val="0"/>
        <w:spacing w:line="360" w:lineRule="auto"/>
        <w:ind w:firstLine="420"/>
        <w:rPr>
          <w:rFonts w:hint="eastAsia" w:ascii="宋体" w:hAnsi="宋体" w:cs="Arial"/>
        </w:rPr>
      </w:pPr>
      <w:r>
        <w:rPr>
          <w:rFonts w:hint="eastAsia" w:ascii="宋体" w:hAnsi="宋体" w:cs="Arial"/>
        </w:rPr>
        <w:t>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w:t>
      </w:r>
    </w:p>
    <w:p w14:paraId="384C908F">
      <w:pPr>
        <w:adjustRightInd w:val="0"/>
        <w:snapToGrid w:val="0"/>
        <w:spacing w:line="360" w:lineRule="auto"/>
        <w:ind w:firstLine="420"/>
        <w:rPr>
          <w:rFonts w:hint="eastAsia" w:ascii="宋体" w:hAnsi="宋体" w:cs="Arial"/>
        </w:rPr>
      </w:pPr>
      <w:r>
        <w:rPr>
          <w:rFonts w:hint="eastAsia" w:ascii="宋体" w:hAnsi="宋体" w:cs="Arial"/>
        </w:rPr>
        <w:t>时间优先的原则为：申购赎回方向相同的，先确认成交者优先于后确认成交者。先后顺序按照深圳证券交易所确认申购赎回的时间确定。</w:t>
      </w:r>
    </w:p>
    <w:p w14:paraId="05E7637D">
      <w:pPr>
        <w:adjustRightInd w:val="0"/>
        <w:snapToGrid w:val="0"/>
        <w:spacing w:line="360" w:lineRule="auto"/>
        <w:ind w:firstLine="420"/>
        <w:rPr>
          <w:rFonts w:hint="eastAsia" w:ascii="宋体" w:hAnsi="宋体" w:cs="Arial"/>
        </w:rPr>
      </w:pPr>
      <w:r>
        <w:rPr>
          <w:rFonts w:hint="eastAsia" w:ascii="宋体" w:hAnsi="宋体" w:cs="Arial"/>
        </w:rPr>
        <w:t>实时申报的原则为：基金管理人在上海/北京证券交易所连续竞价期间，根据收到的深圳证券交易所申购赎回确认记录，在技术系统允许的情况下实时向上海/北京证券交易所申报被替代证券的交易指令。</w:t>
      </w:r>
    </w:p>
    <w:p w14:paraId="715E81EB">
      <w:pPr>
        <w:adjustRightInd w:val="0"/>
        <w:snapToGrid w:val="0"/>
        <w:spacing w:line="360" w:lineRule="auto"/>
        <w:ind w:firstLine="420"/>
        <w:rPr>
          <w:rFonts w:hint="eastAsia" w:ascii="宋体" w:hAnsi="宋体" w:cs="Arial"/>
        </w:rPr>
      </w:pPr>
      <w:r>
        <w:rPr>
          <w:rFonts w:hint="eastAsia" w:ascii="宋体" w:hAnsi="宋体" w:cs="Arial"/>
        </w:rPr>
        <w:t>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w:t>
      </w:r>
    </w:p>
    <w:p w14:paraId="19685368">
      <w:pPr>
        <w:adjustRightInd w:val="0"/>
        <w:snapToGrid w:val="0"/>
        <w:spacing w:line="360" w:lineRule="auto"/>
        <w:ind w:firstLine="420"/>
        <w:rPr>
          <w:rFonts w:hint="eastAsia" w:ascii="宋体" w:hAnsi="宋体" w:cs="Arial"/>
        </w:rPr>
      </w:pPr>
      <w:r>
        <w:rPr>
          <w:rFonts w:hint="eastAsia" w:ascii="宋体" w:hAnsi="宋体" w:cs="Arial"/>
        </w:rPr>
        <w:t>对于T日因停牌或流动性不足等原因未购入和未卖出的被替代的部分证券，T日后基金管理人可以继续进行被替代证券的买入和卖出，按照前述原则确定基金应退还投资者或投资者应补交的款项。</w:t>
      </w:r>
    </w:p>
    <w:p w14:paraId="3B19D4BD">
      <w:pPr>
        <w:adjustRightInd w:val="0"/>
        <w:snapToGrid w:val="0"/>
        <w:spacing w:line="360" w:lineRule="auto"/>
        <w:ind w:firstLine="420"/>
        <w:rPr>
          <w:rFonts w:hint="eastAsia" w:ascii="宋体" w:hAnsi="宋体" w:cs="Arial"/>
        </w:rPr>
      </w:pPr>
      <w:r>
        <w:rPr>
          <w:rFonts w:hint="eastAsia" w:ascii="宋体" w:hAnsi="宋体" w:cs="Arial"/>
        </w:rPr>
        <w:t>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w:t>
      </w:r>
    </w:p>
    <w:p w14:paraId="02C86691">
      <w:pPr>
        <w:adjustRightInd w:val="0"/>
        <w:snapToGrid w:val="0"/>
        <w:spacing w:line="360" w:lineRule="auto"/>
        <w:ind w:firstLine="420"/>
        <w:rPr>
          <w:rFonts w:hint="eastAsia" w:ascii="宋体" w:hAnsi="宋体" w:cs="Arial"/>
        </w:rPr>
      </w:pPr>
      <w:r>
        <w:rPr>
          <w:rFonts w:hint="eastAsia" w:ascii="宋体" w:hAnsi="宋体" w:cs="Arial"/>
        </w:rPr>
        <w:t>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w:t>
      </w:r>
    </w:p>
    <w:p w14:paraId="0177796A">
      <w:pPr>
        <w:adjustRightInd w:val="0"/>
        <w:snapToGrid w:val="0"/>
        <w:spacing w:line="360" w:lineRule="auto"/>
        <w:ind w:firstLine="420"/>
        <w:rPr>
          <w:rFonts w:hint="eastAsia" w:ascii="宋体" w:hAnsi="宋体" w:cs="Arial"/>
        </w:rPr>
      </w:pPr>
      <w:r>
        <w:rPr>
          <w:rFonts w:hint="eastAsia" w:ascii="宋体" w:hAnsi="宋体" w:cs="Arial"/>
        </w:rPr>
        <w:t>特例情况：若自T日起，上海/北京证券交易所正常交易日已达到20日而该证券正常交易日低于2日，</w:t>
      </w:r>
      <w:r>
        <w:rPr>
          <w:rFonts w:hint="eastAsia"/>
          <w:szCs w:val="21"/>
        </w:rPr>
        <w:t>且该部分证券最近交易日后未发生影响公允价值计量的重大事件的，</w:t>
      </w:r>
      <w:r>
        <w:rPr>
          <w:rFonts w:hint="eastAsia" w:ascii="宋体" w:hAnsi="宋体" w:cs="Arial"/>
        </w:rPr>
        <w:t>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w:t>
      </w:r>
    </w:p>
    <w:p w14:paraId="2AA9CABF">
      <w:pPr>
        <w:adjustRightInd w:val="0"/>
        <w:snapToGrid w:val="0"/>
        <w:spacing w:line="360" w:lineRule="auto"/>
        <w:ind w:firstLine="420"/>
        <w:rPr>
          <w:rFonts w:hint="eastAsia" w:ascii="宋体" w:hAnsi="宋体" w:cs="Arial"/>
        </w:rPr>
      </w:pPr>
      <w:r>
        <w:rPr>
          <w:rFonts w:hint="eastAsia"/>
          <w:szCs w:val="21"/>
        </w:rPr>
        <w:t>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w:t>
      </w:r>
    </w:p>
    <w:p w14:paraId="0CF2930D">
      <w:pPr>
        <w:adjustRightInd w:val="0"/>
        <w:snapToGrid w:val="0"/>
        <w:spacing w:line="360" w:lineRule="auto"/>
        <w:ind w:firstLine="420"/>
        <w:rPr>
          <w:rFonts w:hint="eastAsia" w:ascii="宋体" w:hAnsi="宋体" w:cs="Arial"/>
        </w:rPr>
      </w:pPr>
      <w:r>
        <w:rPr>
          <w:rFonts w:hint="eastAsia" w:ascii="宋体" w:hAnsi="宋体" w:cs="Arial"/>
        </w:rPr>
        <w:t>T+2日后第1个工作日</w:t>
      </w:r>
      <w:r>
        <w:rPr>
          <w:rFonts w:hint="eastAsia"/>
          <w:szCs w:val="21"/>
        </w:rPr>
        <w:t>（在特殊情况下则为确定基金应退还投资人或投资人应补交的款项后的第1个市场交易日）</w:t>
      </w:r>
      <w:r>
        <w:rPr>
          <w:rFonts w:hint="eastAsia" w:ascii="宋体" w:hAnsi="宋体" w:cs="Arial"/>
        </w:rPr>
        <w:t>，基金管理人将应退款和补款的明细及汇总数据通过中国证券登记结算有限责任公司发送给相关申购赎回代理券商和基金托管人，相关款项的清算交收将于此后3个工作日内完成。</w:t>
      </w:r>
    </w:p>
    <w:p w14:paraId="10CEE44E">
      <w:pPr>
        <w:adjustRightInd w:val="0"/>
        <w:snapToGrid w:val="0"/>
        <w:spacing w:line="360" w:lineRule="auto"/>
        <w:ind w:firstLine="420"/>
        <w:rPr>
          <w:rFonts w:hint="eastAsia" w:ascii="宋体" w:hAnsi="宋体" w:cs="Arial"/>
        </w:rPr>
      </w:pPr>
      <w:r>
        <w:rPr>
          <w:rFonts w:hint="eastAsia" w:ascii="宋体" w:hAnsi="宋体" w:cs="Arial"/>
        </w:rPr>
        <w:t>（3）必须现金替代</w:t>
      </w:r>
    </w:p>
    <w:p w14:paraId="481586B4">
      <w:pPr>
        <w:adjustRightInd w:val="0"/>
        <w:snapToGrid w:val="0"/>
        <w:spacing w:line="360" w:lineRule="auto"/>
        <w:ind w:firstLine="420"/>
        <w:rPr>
          <w:rFonts w:hint="eastAsia" w:ascii="宋体" w:hAnsi="宋体" w:cs="Arial"/>
        </w:rPr>
      </w:pPr>
      <w:r>
        <w:rPr>
          <w:rFonts w:hint="eastAsia" w:ascii="宋体" w:hAnsi="宋体" w:cs="Arial"/>
        </w:rPr>
        <w:t>1）适用情形：一般适用于标的指数调整将被剔除的成份证券以及处于停牌的股票，或因法律法规限制投资的成份证券，或出于保护基金持有人利益等原因基金管理人认为有必要实行必须现金替代的成份证券。</w:t>
      </w:r>
    </w:p>
    <w:p w14:paraId="7AE121E8">
      <w:pPr>
        <w:adjustRightInd w:val="0"/>
        <w:snapToGrid w:val="0"/>
        <w:spacing w:line="360" w:lineRule="auto"/>
        <w:ind w:firstLine="420"/>
        <w:rPr>
          <w:rFonts w:hint="eastAsia" w:ascii="宋体" w:hAnsi="宋体" w:cs="Arial"/>
        </w:rPr>
      </w:pPr>
      <w:r>
        <w:rPr>
          <w:rFonts w:hint="eastAsia" w:ascii="宋体" w:hAnsi="宋体" w:cs="Arial"/>
        </w:rPr>
        <w:t>2）替代金额：对于必须现金替代的证券，基金管理人将在申购赎回清单中公告替代的一定数量的现金，即“固定替代金额”。固定替代金额的计算方法为申购赎回清单中该证券的数量乘以其T日预估开盘价。</w:t>
      </w:r>
    </w:p>
    <w:p w14:paraId="27F394FE">
      <w:pPr>
        <w:adjustRightInd w:val="0"/>
        <w:snapToGrid w:val="0"/>
        <w:spacing w:line="360" w:lineRule="auto"/>
        <w:ind w:firstLine="420"/>
        <w:rPr>
          <w:rFonts w:hint="eastAsia" w:ascii="宋体" w:hAnsi="宋体" w:cs="Arial"/>
        </w:rPr>
      </w:pPr>
      <w:r>
        <w:rPr>
          <w:rFonts w:hint="eastAsia" w:ascii="宋体" w:hAnsi="宋体" w:cs="Arial"/>
        </w:rPr>
        <w:t>4、预估现金差额</w:t>
      </w:r>
    </w:p>
    <w:p w14:paraId="6E619624">
      <w:pPr>
        <w:adjustRightInd w:val="0"/>
        <w:snapToGrid w:val="0"/>
        <w:spacing w:line="360" w:lineRule="auto"/>
        <w:ind w:firstLine="420"/>
        <w:rPr>
          <w:rFonts w:hint="eastAsia" w:ascii="宋体" w:hAnsi="宋体" w:cs="Arial"/>
        </w:rPr>
      </w:pPr>
      <w:r>
        <w:rPr>
          <w:rFonts w:hint="eastAsia" w:ascii="宋体" w:hAnsi="宋体" w:cs="Arial"/>
        </w:rPr>
        <w:t>预估现金差额指为便于计算基金份额参考净值及申购、赎回代理券商预先冻结申请申购、赎回的投资人的相应资金，由基金管理人计算并公布的现金差额的预估值。</w:t>
      </w:r>
    </w:p>
    <w:p w14:paraId="4F08BBFF">
      <w:pPr>
        <w:adjustRightInd w:val="0"/>
        <w:snapToGrid w:val="0"/>
        <w:spacing w:line="360" w:lineRule="auto"/>
        <w:ind w:firstLine="420"/>
        <w:rPr>
          <w:rFonts w:hint="eastAsia" w:ascii="宋体" w:hAnsi="宋体" w:cs="Arial"/>
        </w:rPr>
      </w:pPr>
      <w:r>
        <w:rPr>
          <w:rFonts w:hint="eastAsia" w:ascii="宋体" w:hAnsi="宋体" w:cs="Arial"/>
        </w:rPr>
        <w:t>T日预估现金差额在T日申购赎回清单中公告，其计算公式为：</w:t>
      </w:r>
    </w:p>
    <w:p w14:paraId="46AD3D9C">
      <w:pPr>
        <w:adjustRightInd w:val="0"/>
        <w:snapToGrid w:val="0"/>
        <w:spacing w:line="360" w:lineRule="auto"/>
        <w:ind w:firstLine="420"/>
        <w:rPr>
          <w:rFonts w:hint="eastAsia" w:ascii="宋体" w:hAnsi="宋体" w:cs="Arial"/>
        </w:rPr>
      </w:pPr>
      <w:r>
        <w:rPr>
          <w:rFonts w:hint="eastAsia" w:ascii="宋体" w:hAnsi="宋体" w:cs="Arial"/>
        </w:rPr>
        <w:t>T日预估现金差额＝T—1日最小申购、赎回单位的基金资产净值－（申购赎回清单中必须现金替代的固定替代金额总额+申购赎回清单中可以现金替代的所有成份证券的数量与该证券调整后T日开盘参考价乘积之和＋申购赎回清单中禁止现金替代的所有成份证券的数量与该证券调整后T日开盘参考价乘积之和）</w:t>
      </w:r>
    </w:p>
    <w:p w14:paraId="7680F605">
      <w:pPr>
        <w:adjustRightInd w:val="0"/>
        <w:snapToGrid w:val="0"/>
        <w:spacing w:line="360" w:lineRule="auto"/>
        <w:ind w:firstLine="420"/>
        <w:rPr>
          <w:rFonts w:hint="eastAsia" w:ascii="宋体" w:hAnsi="宋体" w:cs="Arial"/>
        </w:rPr>
      </w:pPr>
      <w:r>
        <w:rPr>
          <w:rFonts w:hint="eastAsia" w:ascii="宋体" w:hAnsi="宋体" w:cs="Arial"/>
        </w:rPr>
        <w:t>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若T日为基金最小申购、赎回单位调整生效日，则计算公式中的“T-1日最小申购、赎回单位的基金资产净值”需根据调整前后最小申购、赎回单位进行计算。</w:t>
      </w:r>
    </w:p>
    <w:p w14:paraId="608965B2">
      <w:pPr>
        <w:adjustRightInd w:val="0"/>
        <w:snapToGrid w:val="0"/>
        <w:spacing w:line="360" w:lineRule="auto"/>
        <w:ind w:firstLine="420"/>
        <w:rPr>
          <w:rFonts w:hint="eastAsia" w:ascii="宋体" w:hAnsi="宋体" w:cs="Arial"/>
        </w:rPr>
      </w:pPr>
      <w:r>
        <w:rPr>
          <w:rFonts w:hint="eastAsia" w:ascii="宋体" w:hAnsi="宋体" w:cs="Arial"/>
        </w:rPr>
        <w:t>预估现金差额的数值可能为正、为负或为零。</w:t>
      </w:r>
    </w:p>
    <w:p w14:paraId="41663E0F">
      <w:pPr>
        <w:adjustRightInd w:val="0"/>
        <w:snapToGrid w:val="0"/>
        <w:spacing w:line="360" w:lineRule="auto"/>
        <w:ind w:firstLine="420"/>
        <w:rPr>
          <w:rFonts w:hint="eastAsia" w:ascii="宋体" w:hAnsi="宋体" w:cs="Arial"/>
        </w:rPr>
      </w:pPr>
      <w:r>
        <w:rPr>
          <w:rFonts w:hint="eastAsia" w:ascii="宋体" w:hAnsi="宋体" w:cs="Arial"/>
        </w:rPr>
        <w:t>5、现金差额</w:t>
      </w:r>
    </w:p>
    <w:p w14:paraId="45FA5B03">
      <w:pPr>
        <w:adjustRightInd w:val="0"/>
        <w:snapToGrid w:val="0"/>
        <w:spacing w:line="360" w:lineRule="auto"/>
        <w:ind w:firstLine="420"/>
        <w:rPr>
          <w:rFonts w:hint="eastAsia" w:ascii="宋体" w:hAnsi="宋体" w:cs="Arial"/>
        </w:rPr>
      </w:pPr>
      <w:r>
        <w:rPr>
          <w:rFonts w:hint="eastAsia" w:ascii="宋体" w:hAnsi="宋体" w:cs="Arial"/>
        </w:rPr>
        <w:t>现金差额指最小申购、赎回单位的资产净值与按当日收盘价计算的最小申购、赎回单位中的组合证券市值和现金替代之差。</w:t>
      </w:r>
    </w:p>
    <w:p w14:paraId="0F908C31">
      <w:pPr>
        <w:adjustRightInd w:val="0"/>
        <w:snapToGrid w:val="0"/>
        <w:spacing w:line="360" w:lineRule="auto"/>
        <w:ind w:firstLine="420"/>
        <w:rPr>
          <w:rFonts w:hint="eastAsia" w:ascii="宋体" w:hAnsi="宋体" w:cs="Arial"/>
        </w:rPr>
      </w:pPr>
      <w:r>
        <w:rPr>
          <w:rFonts w:hint="eastAsia" w:ascii="宋体" w:hAnsi="宋体" w:cs="Arial"/>
        </w:rPr>
        <w:t>T日现金差额在T＋1日的申购赎回清单中公告，其计算公式为：</w:t>
      </w:r>
    </w:p>
    <w:p w14:paraId="70C94FB9">
      <w:pPr>
        <w:adjustRightInd w:val="0"/>
        <w:snapToGrid w:val="0"/>
        <w:spacing w:line="360" w:lineRule="auto"/>
        <w:ind w:firstLine="420"/>
        <w:rPr>
          <w:rFonts w:hint="eastAsia" w:ascii="宋体" w:hAnsi="宋体" w:cs="Arial"/>
        </w:rPr>
      </w:pPr>
      <w:r>
        <w:rPr>
          <w:rFonts w:hint="eastAsia" w:ascii="宋体" w:hAnsi="宋体" w:cs="Arial"/>
        </w:rPr>
        <w:t>T日现金差额＝T日最小申购、赎回单位的基金资产净值－（申购赎回清单中必须现金替代的固定替代金额总额＋申购赎回清单中可以现金替代的所有成份证券的数量与该证券T日收盘价乘积之和＋申购赎回清单中禁止现金替代的所有成份证券的数量与该证券T日收盘价乘积之和）</w:t>
      </w:r>
    </w:p>
    <w:p w14:paraId="0FB9FD81">
      <w:pPr>
        <w:adjustRightInd w:val="0"/>
        <w:snapToGrid w:val="0"/>
        <w:spacing w:line="360" w:lineRule="auto"/>
        <w:ind w:firstLine="420"/>
        <w:rPr>
          <w:rFonts w:hint="eastAsia" w:ascii="宋体" w:hAnsi="宋体" w:cs="Arial"/>
        </w:rPr>
      </w:pPr>
      <w:r>
        <w:rPr>
          <w:rFonts w:hint="eastAsia" w:ascii="宋体" w:hAnsi="宋体" w:cs="Arial"/>
        </w:rPr>
        <w:t>T日投资人申购、赎回的基金份额，需按T＋1日公告的T日现金差额进行资金的清算交收。现金差额的数值可能为正、为负或为零。</w:t>
      </w:r>
    </w:p>
    <w:p w14:paraId="3A246193">
      <w:pPr>
        <w:adjustRightInd w:val="0"/>
        <w:snapToGrid w:val="0"/>
        <w:spacing w:line="360" w:lineRule="auto"/>
        <w:ind w:firstLine="420"/>
        <w:rPr>
          <w:rFonts w:hint="eastAsia" w:ascii="宋体" w:hAnsi="宋体" w:cs="Arial"/>
        </w:rPr>
      </w:pPr>
      <w:r>
        <w:rPr>
          <w:rFonts w:hint="eastAsia" w:ascii="宋体" w:hAnsi="宋体" w:cs="Arial"/>
        </w:rPr>
        <w:t>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0F6B4FB8">
      <w:pPr>
        <w:numPr>
          <w:ilvl w:val="0"/>
          <w:numId w:val="7"/>
        </w:numPr>
        <w:adjustRightInd w:val="0"/>
        <w:snapToGrid w:val="0"/>
        <w:spacing w:line="360" w:lineRule="auto"/>
        <w:ind w:firstLine="420"/>
        <w:rPr>
          <w:rFonts w:hint="eastAsia" w:ascii="宋体" w:hAnsi="宋体" w:cs="Arial"/>
        </w:rPr>
      </w:pPr>
      <w:r>
        <w:rPr>
          <w:rFonts w:hint="eastAsia" w:ascii="宋体" w:hAnsi="宋体" w:cs="Arial"/>
        </w:rPr>
        <w:t>申购赎回清单的格式</w:t>
      </w:r>
    </w:p>
    <w:tbl>
      <w:tblPr>
        <w:tblStyle w:val="4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696"/>
        <w:gridCol w:w="696"/>
        <w:gridCol w:w="816"/>
        <w:gridCol w:w="827"/>
        <w:gridCol w:w="814"/>
        <w:gridCol w:w="1641"/>
        <w:gridCol w:w="817"/>
        <w:gridCol w:w="817"/>
        <w:gridCol w:w="696"/>
      </w:tblGrid>
      <w:tr w14:paraId="15AD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6" w:type="dxa"/>
            <w:gridSpan w:val="10"/>
            <w:noWrap w:val="0"/>
            <w:vAlign w:val="top"/>
          </w:tcPr>
          <w:p w14:paraId="5F0EF3F5">
            <w:pPr>
              <w:numPr>
                <w:ilvl w:val="3"/>
                <w:numId w:val="0"/>
              </w:numPr>
              <w:ind w:left="0" w:leftChars="0" w:firstLine="0" w:firstLineChars="0"/>
              <w:jc w:val="center"/>
              <w:rPr>
                <w:rFonts w:ascii="宋体" w:hAnsi="宋体" w:eastAsia="宋体" w:cs="宋体"/>
                <w:sz w:val="24"/>
                <w:szCs w:val="24"/>
              </w:rPr>
            </w:pPr>
            <w:r>
              <w:rPr>
                <w:rStyle w:val="49"/>
                <w:rFonts w:hint="eastAsia" w:ascii="宋体" w:hAnsi="宋体" w:eastAsia="宋体"/>
              </w:rPr>
              <w:t>基本信息</w:t>
            </w:r>
          </w:p>
        </w:tc>
      </w:tr>
      <w:tr w14:paraId="0606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43ED7441">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最新公告日期 </w:t>
            </w:r>
          </w:p>
        </w:tc>
        <w:tc>
          <w:tcPr>
            <w:tcW w:w="4785" w:type="dxa"/>
            <w:gridSpan w:val="5"/>
            <w:noWrap w:val="0"/>
            <w:vAlign w:val="top"/>
          </w:tcPr>
          <w:p w14:paraId="4B08CB6B">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202X年 月   日 </w:t>
            </w:r>
          </w:p>
        </w:tc>
      </w:tr>
      <w:tr w14:paraId="3AA8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66BB2F86">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基金名称 </w:t>
            </w:r>
          </w:p>
        </w:tc>
        <w:tc>
          <w:tcPr>
            <w:tcW w:w="4785" w:type="dxa"/>
            <w:gridSpan w:val="5"/>
            <w:noWrap w:val="0"/>
            <w:vAlign w:val="top"/>
          </w:tcPr>
          <w:p w14:paraId="0A44BFCA">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博时中证细分化工产业主题交易型开放式指数证券投资基金  </w:t>
            </w:r>
          </w:p>
        </w:tc>
      </w:tr>
      <w:tr w14:paraId="7AEE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68661679">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基金管理公司名称 </w:t>
            </w:r>
          </w:p>
        </w:tc>
        <w:tc>
          <w:tcPr>
            <w:tcW w:w="4785" w:type="dxa"/>
            <w:gridSpan w:val="5"/>
            <w:noWrap w:val="0"/>
            <w:vAlign w:val="top"/>
          </w:tcPr>
          <w:p w14:paraId="4035C5D2">
            <w:pPr>
              <w:numPr>
                <w:ilvl w:val="3"/>
                <w:numId w:val="0"/>
              </w:numPr>
              <w:ind w:left="0" w:leftChars="0" w:firstLine="0" w:firstLineChars="0"/>
              <w:rPr>
                <w:rFonts w:ascii="宋体" w:hAnsi="宋体" w:eastAsia="宋体" w:cs="宋体"/>
                <w:sz w:val="24"/>
                <w:szCs w:val="24"/>
              </w:rPr>
            </w:pPr>
            <w:bookmarkStart w:id="73" w:name="field_0_managerorgfullname_3"/>
            <w:r>
              <w:rPr>
                <w:rFonts w:hint="eastAsia" w:ascii="宋体" w:hAnsi="宋体" w:eastAsia="宋体"/>
              </w:rPr>
              <w:t>博时基金管理有限公司</w:t>
            </w:r>
            <w:bookmarkEnd w:id="73"/>
            <w:r>
              <w:rPr>
                <w:rFonts w:hint="eastAsia" w:ascii="宋体" w:hAnsi="宋体" w:eastAsia="宋体"/>
              </w:rPr>
              <w:t xml:space="preserve">  </w:t>
            </w:r>
          </w:p>
        </w:tc>
      </w:tr>
      <w:tr w14:paraId="1D1CE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6EA39A84">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基金代码 </w:t>
            </w:r>
          </w:p>
        </w:tc>
        <w:tc>
          <w:tcPr>
            <w:tcW w:w="4785" w:type="dxa"/>
            <w:gridSpan w:val="5"/>
            <w:noWrap w:val="0"/>
            <w:vAlign w:val="top"/>
          </w:tcPr>
          <w:p w14:paraId="359E9783">
            <w:pPr>
              <w:numPr>
                <w:ilvl w:val="3"/>
                <w:numId w:val="0"/>
              </w:numPr>
              <w:ind w:left="0" w:leftChars="0" w:firstLine="0" w:firstLineChars="0"/>
              <w:rPr>
                <w:rFonts w:hint="default" w:ascii="宋体" w:hAnsi="宋体" w:eastAsia="宋体" w:cs="宋体"/>
                <w:sz w:val="24"/>
                <w:szCs w:val="24"/>
                <w:lang w:val="en-US" w:eastAsia="zh-CN"/>
              </w:rPr>
            </w:pPr>
            <w:r>
              <w:rPr>
                <w:rFonts w:hint="eastAsia" w:ascii="宋体" w:hAnsi="宋体"/>
                <w:lang w:val="en-US" w:eastAsia="zh-CN"/>
              </w:rPr>
              <w:t>xxxxxx</w:t>
            </w:r>
          </w:p>
        </w:tc>
      </w:tr>
      <w:tr w14:paraId="1F7F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40FD89EF">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目标指数代码： </w:t>
            </w:r>
          </w:p>
        </w:tc>
        <w:tc>
          <w:tcPr>
            <w:tcW w:w="4785" w:type="dxa"/>
            <w:gridSpan w:val="5"/>
            <w:noWrap w:val="0"/>
            <w:vAlign w:val="top"/>
          </w:tcPr>
          <w:p w14:paraId="51D8ED33">
            <w:pPr>
              <w:numPr>
                <w:ilvl w:val="3"/>
                <w:numId w:val="0"/>
              </w:numPr>
              <w:ind w:left="0" w:leftChars="0" w:firstLine="0" w:firstLineChars="0"/>
              <w:rPr>
                <w:rFonts w:hint="default" w:ascii="宋体" w:hAnsi="宋体" w:eastAsia="宋体" w:cs="宋体"/>
                <w:sz w:val="24"/>
                <w:szCs w:val="24"/>
                <w:lang w:val="en-US" w:eastAsia="zh-CN"/>
              </w:rPr>
            </w:pPr>
            <w:r>
              <w:rPr>
                <w:rFonts w:hint="eastAsia" w:ascii="宋体" w:hAnsi="宋体" w:cs="Times New Roman"/>
                <w:sz w:val="21"/>
                <w:szCs w:val="24"/>
                <w:lang w:val="en-US" w:eastAsia="zh-CN"/>
              </w:rPr>
              <w:t>000813</w:t>
            </w:r>
          </w:p>
        </w:tc>
      </w:tr>
      <w:tr w14:paraId="1F4FF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453923CA">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基金类型： </w:t>
            </w:r>
          </w:p>
        </w:tc>
        <w:tc>
          <w:tcPr>
            <w:tcW w:w="4785" w:type="dxa"/>
            <w:gridSpan w:val="5"/>
            <w:noWrap w:val="0"/>
            <w:vAlign w:val="top"/>
          </w:tcPr>
          <w:p w14:paraId="00A243CD">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跨市场ETF </w:t>
            </w:r>
          </w:p>
        </w:tc>
      </w:tr>
      <w:tr w14:paraId="7ADF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6" w:type="dxa"/>
            <w:gridSpan w:val="10"/>
            <w:noWrap w:val="0"/>
            <w:vAlign w:val="top"/>
          </w:tcPr>
          <w:p w14:paraId="13A14BA7">
            <w:pPr>
              <w:numPr>
                <w:ilvl w:val="3"/>
                <w:numId w:val="0"/>
              </w:numPr>
              <w:ind w:left="0" w:leftChars="0" w:firstLine="0" w:firstLineChars="0"/>
              <w:jc w:val="center"/>
              <w:rPr>
                <w:rFonts w:ascii="宋体" w:hAnsi="宋体" w:eastAsia="宋体" w:cs="宋体"/>
                <w:sz w:val="24"/>
                <w:szCs w:val="24"/>
              </w:rPr>
            </w:pPr>
            <w:r>
              <w:rPr>
                <w:rStyle w:val="49"/>
                <w:rFonts w:hint="eastAsia" w:ascii="宋体" w:hAnsi="宋体" w:eastAsia="宋体"/>
              </w:rPr>
              <w:t>T－1日信息内容</w:t>
            </w:r>
          </w:p>
        </w:tc>
      </w:tr>
      <w:tr w14:paraId="5B5EB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70BDC5A2">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现金差额（单位：元） </w:t>
            </w:r>
          </w:p>
        </w:tc>
        <w:tc>
          <w:tcPr>
            <w:tcW w:w="4785" w:type="dxa"/>
            <w:gridSpan w:val="5"/>
            <w:noWrap w:val="0"/>
            <w:vAlign w:val="top"/>
          </w:tcPr>
          <w:p w14:paraId="2ED0FC7F">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XXXX.XX </w:t>
            </w:r>
          </w:p>
        </w:tc>
      </w:tr>
      <w:tr w14:paraId="5321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50326B11">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最小申购赎回单位资产净值（单位：元） </w:t>
            </w:r>
          </w:p>
        </w:tc>
        <w:tc>
          <w:tcPr>
            <w:tcW w:w="4785" w:type="dxa"/>
            <w:gridSpan w:val="5"/>
            <w:noWrap w:val="0"/>
            <w:vAlign w:val="top"/>
          </w:tcPr>
          <w:p w14:paraId="36B4CE2D">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XXXX.XX </w:t>
            </w:r>
          </w:p>
        </w:tc>
      </w:tr>
      <w:tr w14:paraId="0C52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41824C5D">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基金份额净值（单位：元） </w:t>
            </w:r>
          </w:p>
        </w:tc>
        <w:tc>
          <w:tcPr>
            <w:tcW w:w="4785" w:type="dxa"/>
            <w:gridSpan w:val="5"/>
            <w:noWrap w:val="0"/>
            <w:vAlign w:val="top"/>
          </w:tcPr>
          <w:p w14:paraId="7E2F1373">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X.XXXX </w:t>
            </w:r>
          </w:p>
        </w:tc>
      </w:tr>
      <w:tr w14:paraId="62E8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6" w:type="dxa"/>
            <w:gridSpan w:val="10"/>
            <w:noWrap w:val="0"/>
            <w:vAlign w:val="top"/>
          </w:tcPr>
          <w:p w14:paraId="4B667721">
            <w:pPr>
              <w:numPr>
                <w:ilvl w:val="3"/>
                <w:numId w:val="0"/>
              </w:numPr>
              <w:ind w:left="0" w:leftChars="0" w:firstLine="0" w:firstLineChars="0"/>
              <w:jc w:val="center"/>
              <w:rPr>
                <w:rFonts w:ascii="宋体" w:hAnsi="宋体" w:eastAsia="宋体" w:cs="宋体"/>
                <w:sz w:val="24"/>
                <w:szCs w:val="24"/>
              </w:rPr>
            </w:pPr>
            <w:r>
              <w:rPr>
                <w:rStyle w:val="49"/>
                <w:rFonts w:hint="eastAsia" w:ascii="宋体" w:hAnsi="宋体" w:eastAsia="宋体"/>
              </w:rPr>
              <w:t>T日信息内容</w:t>
            </w:r>
          </w:p>
        </w:tc>
      </w:tr>
      <w:tr w14:paraId="7E259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73744B41">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预估现金差额（单位：元） </w:t>
            </w:r>
          </w:p>
        </w:tc>
        <w:tc>
          <w:tcPr>
            <w:tcW w:w="4785" w:type="dxa"/>
            <w:gridSpan w:val="5"/>
            <w:noWrap w:val="0"/>
            <w:vAlign w:val="top"/>
          </w:tcPr>
          <w:p w14:paraId="08A6C893">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XXXX.XX </w:t>
            </w:r>
          </w:p>
        </w:tc>
      </w:tr>
      <w:tr w14:paraId="43DDD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5333AA2B">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可以现金替代比例上限 </w:t>
            </w:r>
          </w:p>
        </w:tc>
        <w:tc>
          <w:tcPr>
            <w:tcW w:w="4785" w:type="dxa"/>
            <w:gridSpan w:val="5"/>
            <w:noWrap w:val="0"/>
            <w:vAlign w:val="top"/>
          </w:tcPr>
          <w:p w14:paraId="38A46147">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无 </w:t>
            </w:r>
          </w:p>
        </w:tc>
      </w:tr>
      <w:tr w14:paraId="519F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6CE4AF87">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申购上限 </w:t>
            </w:r>
          </w:p>
        </w:tc>
        <w:tc>
          <w:tcPr>
            <w:tcW w:w="4785" w:type="dxa"/>
            <w:gridSpan w:val="5"/>
            <w:noWrap w:val="0"/>
            <w:vAlign w:val="top"/>
          </w:tcPr>
          <w:p w14:paraId="0BFA1C82">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无 </w:t>
            </w:r>
          </w:p>
        </w:tc>
      </w:tr>
      <w:tr w14:paraId="1948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0FD68042">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赎回上限 </w:t>
            </w:r>
          </w:p>
        </w:tc>
        <w:tc>
          <w:tcPr>
            <w:tcW w:w="4785" w:type="dxa"/>
            <w:gridSpan w:val="5"/>
            <w:noWrap w:val="0"/>
            <w:vAlign w:val="top"/>
          </w:tcPr>
          <w:p w14:paraId="4E0CA2D0">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无 </w:t>
            </w:r>
          </w:p>
        </w:tc>
      </w:tr>
      <w:tr w14:paraId="330A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35D4E48B">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是否需要公布IOPV </w:t>
            </w:r>
          </w:p>
        </w:tc>
        <w:tc>
          <w:tcPr>
            <w:tcW w:w="4785" w:type="dxa"/>
            <w:gridSpan w:val="5"/>
            <w:noWrap w:val="0"/>
            <w:vAlign w:val="top"/>
          </w:tcPr>
          <w:p w14:paraId="2F8DAD85">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是 </w:t>
            </w:r>
          </w:p>
        </w:tc>
      </w:tr>
      <w:tr w14:paraId="7CA4B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1A6C29E1">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最小申购赎回单位（单位：份） </w:t>
            </w:r>
          </w:p>
        </w:tc>
        <w:tc>
          <w:tcPr>
            <w:tcW w:w="4785" w:type="dxa"/>
            <w:gridSpan w:val="5"/>
            <w:noWrap w:val="0"/>
            <w:vAlign w:val="top"/>
          </w:tcPr>
          <w:p w14:paraId="00702E06">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1,000,000 </w:t>
            </w:r>
          </w:p>
        </w:tc>
      </w:tr>
      <w:tr w14:paraId="338F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1" w:type="dxa"/>
            <w:gridSpan w:val="5"/>
            <w:noWrap w:val="0"/>
            <w:vAlign w:val="top"/>
          </w:tcPr>
          <w:p w14:paraId="7A45EEF5">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申购、赎回的允许情况 </w:t>
            </w:r>
          </w:p>
        </w:tc>
        <w:tc>
          <w:tcPr>
            <w:tcW w:w="4785" w:type="dxa"/>
            <w:gridSpan w:val="5"/>
            <w:noWrap w:val="0"/>
            <w:vAlign w:val="top"/>
          </w:tcPr>
          <w:p w14:paraId="31953A9F">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申购、赎回皆允许 </w:t>
            </w:r>
          </w:p>
        </w:tc>
      </w:tr>
      <w:tr w14:paraId="1B12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6" w:type="dxa"/>
            <w:gridSpan w:val="10"/>
            <w:noWrap w:val="0"/>
            <w:vAlign w:val="top"/>
          </w:tcPr>
          <w:p w14:paraId="0A94DB1E">
            <w:pPr>
              <w:numPr>
                <w:ilvl w:val="3"/>
                <w:numId w:val="0"/>
              </w:numPr>
              <w:ind w:left="0" w:leftChars="0" w:firstLine="0" w:firstLineChars="0"/>
              <w:jc w:val="center"/>
              <w:rPr>
                <w:rFonts w:ascii="宋体" w:hAnsi="宋体" w:eastAsia="宋体" w:cs="宋体"/>
                <w:sz w:val="24"/>
                <w:szCs w:val="24"/>
              </w:rPr>
            </w:pPr>
            <w:r>
              <w:rPr>
                <w:rStyle w:val="49"/>
                <w:rFonts w:hint="eastAsia" w:ascii="宋体" w:hAnsi="宋体" w:eastAsia="宋体"/>
              </w:rPr>
              <w:t>T日成份股信息内容</w:t>
            </w:r>
          </w:p>
        </w:tc>
      </w:tr>
      <w:tr w14:paraId="2330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2FAE82CF">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证券代码 </w:t>
            </w:r>
          </w:p>
        </w:tc>
        <w:tc>
          <w:tcPr>
            <w:tcW w:w="696" w:type="dxa"/>
            <w:noWrap w:val="0"/>
            <w:vAlign w:val="top"/>
          </w:tcPr>
          <w:p w14:paraId="063C666E">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证券简称 </w:t>
            </w:r>
          </w:p>
        </w:tc>
        <w:tc>
          <w:tcPr>
            <w:tcW w:w="696" w:type="dxa"/>
            <w:noWrap w:val="0"/>
            <w:vAlign w:val="top"/>
          </w:tcPr>
          <w:p w14:paraId="44E40006">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股份数量 </w:t>
            </w:r>
          </w:p>
        </w:tc>
        <w:tc>
          <w:tcPr>
            <w:tcW w:w="816" w:type="dxa"/>
            <w:noWrap w:val="0"/>
            <w:vAlign w:val="top"/>
          </w:tcPr>
          <w:p w14:paraId="003E6386">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现金替代标志 </w:t>
            </w:r>
          </w:p>
        </w:tc>
        <w:tc>
          <w:tcPr>
            <w:tcW w:w="1641" w:type="dxa"/>
            <w:gridSpan w:val="2"/>
            <w:noWrap w:val="0"/>
            <w:vAlign w:val="top"/>
          </w:tcPr>
          <w:p w14:paraId="7BC576F5">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申购现金替代金额溢价比例（%） </w:t>
            </w:r>
          </w:p>
        </w:tc>
        <w:tc>
          <w:tcPr>
            <w:tcW w:w="1641" w:type="dxa"/>
            <w:noWrap w:val="0"/>
            <w:vAlign w:val="top"/>
          </w:tcPr>
          <w:p w14:paraId="2125954E">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赎回现金替代金额折价比例（%） </w:t>
            </w:r>
          </w:p>
        </w:tc>
        <w:tc>
          <w:tcPr>
            <w:tcW w:w="817" w:type="dxa"/>
            <w:noWrap w:val="0"/>
            <w:vAlign w:val="top"/>
          </w:tcPr>
          <w:p w14:paraId="1C9ED886">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申购替代金额 </w:t>
            </w:r>
          </w:p>
        </w:tc>
        <w:tc>
          <w:tcPr>
            <w:tcW w:w="817" w:type="dxa"/>
            <w:noWrap w:val="0"/>
            <w:vAlign w:val="top"/>
          </w:tcPr>
          <w:p w14:paraId="603680B7">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赎回替代金额 </w:t>
            </w:r>
          </w:p>
        </w:tc>
        <w:tc>
          <w:tcPr>
            <w:tcW w:w="696" w:type="dxa"/>
            <w:noWrap w:val="0"/>
            <w:vAlign w:val="top"/>
          </w:tcPr>
          <w:p w14:paraId="38CF1BA2">
            <w:pPr>
              <w:numPr>
                <w:ilvl w:val="3"/>
                <w:numId w:val="0"/>
              </w:numPr>
              <w:ind w:left="0" w:leftChars="0" w:firstLine="0" w:firstLineChars="0"/>
              <w:rPr>
                <w:rFonts w:ascii="宋体" w:hAnsi="宋体" w:eastAsia="宋体" w:cs="宋体"/>
                <w:sz w:val="24"/>
                <w:szCs w:val="24"/>
              </w:rPr>
            </w:pPr>
            <w:r>
              <w:rPr>
                <w:rFonts w:hint="eastAsia" w:ascii="宋体" w:hAnsi="宋体" w:eastAsia="宋体"/>
              </w:rPr>
              <w:t xml:space="preserve">挂牌市场 </w:t>
            </w:r>
          </w:p>
        </w:tc>
      </w:tr>
      <w:tr w14:paraId="0E7D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noWrap w:val="0"/>
            <w:vAlign w:val="top"/>
          </w:tcPr>
          <w:p w14:paraId="12D0968B">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696" w:type="dxa"/>
            <w:noWrap w:val="0"/>
            <w:vAlign w:val="top"/>
          </w:tcPr>
          <w:p w14:paraId="2F3452D3">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696" w:type="dxa"/>
            <w:noWrap w:val="0"/>
            <w:vAlign w:val="top"/>
          </w:tcPr>
          <w:p w14:paraId="45515483">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816" w:type="dxa"/>
            <w:noWrap w:val="0"/>
            <w:vAlign w:val="top"/>
          </w:tcPr>
          <w:p w14:paraId="3FF203AC">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1641" w:type="dxa"/>
            <w:gridSpan w:val="2"/>
            <w:noWrap w:val="0"/>
            <w:vAlign w:val="top"/>
          </w:tcPr>
          <w:p w14:paraId="055D8A59">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1641" w:type="dxa"/>
            <w:noWrap w:val="0"/>
            <w:vAlign w:val="top"/>
          </w:tcPr>
          <w:p w14:paraId="38FE0392">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817" w:type="dxa"/>
            <w:noWrap w:val="0"/>
            <w:vAlign w:val="top"/>
          </w:tcPr>
          <w:p w14:paraId="16BD9AA5">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817" w:type="dxa"/>
            <w:noWrap w:val="0"/>
            <w:vAlign w:val="top"/>
          </w:tcPr>
          <w:p w14:paraId="788ADCCC">
            <w:pPr>
              <w:numPr>
                <w:ilvl w:val="3"/>
                <w:numId w:val="0"/>
              </w:numPr>
              <w:ind w:left="0" w:leftChars="0" w:firstLine="0" w:firstLineChars="0"/>
              <w:rPr>
                <w:rFonts w:ascii="宋体" w:hAnsi="宋体" w:eastAsia="宋体" w:cs="宋体"/>
                <w:sz w:val="24"/>
                <w:szCs w:val="24"/>
              </w:rPr>
            </w:pPr>
            <w:r>
              <w:rPr>
                <w:rFonts w:hint="eastAsia" w:ascii="宋体" w:hAnsi="宋体" w:cs="宋体"/>
                <w:sz w:val="24"/>
                <w:szCs w:val="24"/>
                <w:lang w:val="en-US" w:eastAsia="zh-CN"/>
              </w:rPr>
              <w:t xml:space="preserve"> </w:t>
            </w:r>
          </w:p>
        </w:tc>
        <w:tc>
          <w:tcPr>
            <w:tcW w:w="696" w:type="dxa"/>
            <w:noWrap w:val="0"/>
            <w:vAlign w:val="top"/>
          </w:tcPr>
          <w:p w14:paraId="2F944EF9">
            <w:pPr>
              <w:numPr>
                <w:ilvl w:val="0"/>
                <w:numId w:val="0"/>
              </w:numPr>
              <w:ind w:leftChars="0"/>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p>
        </w:tc>
      </w:tr>
    </w:tbl>
    <w:p w14:paraId="5671C9EC">
      <w:pPr>
        <w:numPr>
          <w:ilvl w:val="255"/>
          <w:numId w:val="0"/>
        </w:numPr>
        <w:adjustRightInd w:val="0"/>
        <w:snapToGrid w:val="0"/>
        <w:spacing w:line="360" w:lineRule="auto"/>
        <w:ind w:firstLine="420"/>
        <w:rPr>
          <w:rFonts w:hint="eastAsia" w:ascii="宋体" w:hAnsi="宋体" w:cs="Arial"/>
        </w:rPr>
      </w:pPr>
    </w:p>
    <w:p w14:paraId="0DCE4C93">
      <w:pPr>
        <w:widowControl/>
        <w:adjustRightInd w:val="0"/>
        <w:snapToGrid w:val="0"/>
        <w:spacing w:line="360" w:lineRule="auto"/>
        <w:ind w:firstLine="420"/>
        <w:jc w:val="left"/>
        <w:rPr>
          <w:rFonts w:hint="eastAsia" w:ascii="宋体" w:hAnsi="宋体" w:cs="宋体"/>
          <w:kern w:val="0"/>
          <w:szCs w:val="21"/>
        </w:rPr>
      </w:pPr>
      <w:bookmarkStart w:id="74" w:name="OLE_LINK13"/>
      <w:bookmarkStart w:id="75" w:name="OLE_LINK14"/>
      <w:r>
        <w:rPr>
          <w:rFonts w:hint="eastAsia" w:ascii="宋体" w:hAnsi="宋体" w:cs="Arial"/>
        </w:rPr>
        <w:t>若深圳证券交易所或中国证券登记结算有限责任公司对申购赎回清单的格式进行调整，基金管理人将视情况对相关格式进行相应的调整，并依照《信息披露办法》的有关规定在规定媒介上公告。</w:t>
      </w:r>
      <w:bookmarkEnd w:id="74"/>
      <w:bookmarkEnd w:id="75"/>
      <w:r>
        <w:rPr>
          <w:rFonts w:hint="eastAsia" w:ascii="宋体" w:hAnsi="宋体" w:cs="宋体"/>
          <w:kern w:val="0"/>
          <w:szCs w:val="21"/>
        </w:rPr>
        <w:t xml:space="preserve"> </w:t>
      </w:r>
    </w:p>
    <w:p w14:paraId="074089E8">
      <w:pPr>
        <w:adjustRightInd w:val="0"/>
        <w:snapToGrid w:val="0"/>
        <w:spacing w:line="360" w:lineRule="auto"/>
        <w:ind w:firstLine="422" w:firstLineChars="200"/>
        <w:rPr>
          <w:rFonts w:hint="eastAsia" w:ascii="宋体" w:hAnsi="宋体"/>
          <w:b/>
          <w:szCs w:val="21"/>
        </w:rPr>
      </w:pPr>
      <w:bookmarkStart w:id="76" w:name="OLE_LINK18"/>
      <w:bookmarkStart w:id="77" w:name="OLE_LINK17"/>
      <w:bookmarkStart w:id="78" w:name="OLE_LINK15"/>
      <w:bookmarkStart w:id="79" w:name="OLE_LINK16"/>
      <w:r>
        <w:rPr>
          <w:rFonts w:hint="eastAsia" w:ascii="宋体" w:hAnsi="宋体"/>
          <w:b/>
          <w:szCs w:val="21"/>
        </w:rPr>
        <w:t>八、拒绝或暂停申购的情形及处理方式</w:t>
      </w:r>
    </w:p>
    <w:p w14:paraId="3901A68C">
      <w:pPr>
        <w:adjustRightInd w:val="0"/>
        <w:snapToGrid w:val="0"/>
        <w:spacing w:line="360" w:lineRule="auto"/>
        <w:ind w:firstLine="420" w:firstLineChars="200"/>
        <w:rPr>
          <w:rFonts w:hint="eastAsia" w:ascii="宋体" w:hAnsi="宋体"/>
          <w:szCs w:val="21"/>
        </w:rPr>
      </w:pPr>
      <w:r>
        <w:rPr>
          <w:rFonts w:hint="eastAsia" w:ascii="宋体" w:hAnsi="宋体"/>
          <w:szCs w:val="21"/>
        </w:rPr>
        <w:t>发生下列情况时，基金管理人可拒绝或暂停接受投资人的申购申请：</w:t>
      </w:r>
    </w:p>
    <w:p w14:paraId="21DACADE">
      <w:pPr>
        <w:adjustRightInd w:val="0"/>
        <w:snapToGrid w:val="0"/>
        <w:spacing w:line="360" w:lineRule="auto"/>
        <w:ind w:firstLine="420" w:firstLineChars="200"/>
        <w:rPr>
          <w:rFonts w:hint="eastAsia" w:ascii="宋体" w:hAnsi="宋体"/>
          <w:szCs w:val="21"/>
        </w:rPr>
      </w:pPr>
      <w:r>
        <w:rPr>
          <w:rFonts w:hint="eastAsia" w:ascii="宋体" w:hAnsi="宋体"/>
          <w:szCs w:val="21"/>
        </w:rPr>
        <w:t>1、因不可抗力导致基金无法正常运作、基金管理人无法受理或办理基金份额持有人的申购申请；</w:t>
      </w:r>
    </w:p>
    <w:p w14:paraId="57F4B555">
      <w:pPr>
        <w:adjustRightInd w:val="0"/>
        <w:snapToGrid w:val="0"/>
        <w:spacing w:line="360" w:lineRule="auto"/>
        <w:ind w:firstLine="420" w:firstLineChars="200"/>
        <w:rPr>
          <w:rFonts w:hint="eastAsia"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13DC3A18">
      <w:pPr>
        <w:adjustRightInd w:val="0"/>
        <w:snapToGrid w:val="0"/>
        <w:spacing w:line="360" w:lineRule="auto"/>
        <w:ind w:firstLine="420" w:firstLineChars="200"/>
        <w:rPr>
          <w:rFonts w:hint="eastAsia" w:ascii="宋体" w:hAnsi="宋体"/>
          <w:szCs w:val="21"/>
        </w:rPr>
      </w:pPr>
      <w:r>
        <w:rPr>
          <w:rFonts w:hint="eastAsia" w:ascii="宋体" w:hAnsi="宋体"/>
          <w:szCs w:val="21"/>
        </w:rPr>
        <w:t>3、发生基金合同规定的暂停基金资产估值情况时；</w:t>
      </w:r>
    </w:p>
    <w:p w14:paraId="470E129C">
      <w:pPr>
        <w:adjustRightInd w:val="0"/>
        <w:snapToGrid w:val="0"/>
        <w:spacing w:line="360" w:lineRule="auto"/>
        <w:ind w:firstLine="420" w:firstLineChars="200"/>
        <w:rPr>
          <w:rFonts w:hint="eastAsia" w:ascii="宋体" w:hAnsi="宋体"/>
          <w:szCs w:val="21"/>
        </w:rPr>
      </w:pPr>
      <w:r>
        <w:rPr>
          <w:rFonts w:hint="eastAsia" w:ascii="宋体" w:hAnsi="宋体"/>
          <w:szCs w:val="21"/>
        </w:rPr>
        <w:t>4、基金管理人开市前因异常情况无法公布申购、赎回清单、基金份额净值或者IOPV计算错误、申购、赎回清单编制错误；</w:t>
      </w:r>
    </w:p>
    <w:p w14:paraId="36FAEE33">
      <w:pPr>
        <w:adjustRightInd w:val="0"/>
        <w:snapToGrid w:val="0"/>
        <w:spacing w:line="360" w:lineRule="auto"/>
        <w:ind w:firstLine="420" w:firstLineChars="200"/>
        <w:rPr>
          <w:rFonts w:hint="eastAsia" w:ascii="宋体" w:hAnsi="宋体"/>
          <w:szCs w:val="21"/>
        </w:rPr>
      </w:pPr>
      <w:r>
        <w:rPr>
          <w:rFonts w:hint="eastAsia" w:ascii="宋体" w:hAnsi="宋体"/>
          <w:szCs w:val="21"/>
        </w:rPr>
        <w:t>5、接受某笔或某些申购申请可能会影响或损害现有基金份额持有人利益时；</w:t>
      </w:r>
    </w:p>
    <w:p w14:paraId="7E79F18A">
      <w:pPr>
        <w:adjustRightInd w:val="0"/>
        <w:snapToGrid w:val="0"/>
        <w:spacing w:line="360" w:lineRule="auto"/>
        <w:ind w:firstLine="420" w:firstLineChars="200"/>
        <w:rPr>
          <w:rFonts w:hint="eastAsia" w:ascii="宋体" w:hAnsi="宋体"/>
          <w:szCs w:val="21"/>
        </w:rPr>
      </w:pPr>
      <w:r>
        <w:rPr>
          <w:rFonts w:hint="eastAsia" w:ascii="宋体" w:hAnsi="宋体"/>
          <w:szCs w:val="21"/>
        </w:rPr>
        <w:t>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0186C0B1">
      <w:pPr>
        <w:adjustRightInd w:val="0"/>
        <w:snapToGrid w:val="0"/>
        <w:spacing w:line="360" w:lineRule="auto"/>
        <w:ind w:firstLine="420" w:firstLineChars="200"/>
        <w:rPr>
          <w:rFonts w:hint="eastAsia" w:ascii="宋体" w:hAnsi="宋体"/>
          <w:szCs w:val="21"/>
        </w:rPr>
      </w:pPr>
      <w:r>
        <w:rPr>
          <w:rFonts w:hint="eastAsia" w:ascii="宋体" w:hAnsi="宋体"/>
          <w:szCs w:val="21"/>
        </w:rPr>
        <w:t>7、申请超过基金管理人设定的基金总规模、单日净申购比例上限、单一投资者单日或单笔申购份额上限的；</w:t>
      </w:r>
    </w:p>
    <w:p w14:paraId="1B80695C">
      <w:pPr>
        <w:adjustRightInd w:val="0"/>
        <w:snapToGrid w:val="0"/>
        <w:spacing w:line="360" w:lineRule="auto"/>
        <w:ind w:firstLine="420" w:firstLineChars="200"/>
        <w:rPr>
          <w:rFonts w:hint="eastAsia" w:ascii="宋体" w:hAnsi="宋体"/>
          <w:szCs w:val="21"/>
        </w:rPr>
      </w:pPr>
      <w:r>
        <w:rPr>
          <w:rFonts w:hint="eastAsia" w:ascii="宋体" w:hAnsi="宋体"/>
          <w:szCs w:val="21"/>
        </w:rPr>
        <w:t>8、当前一估值日基金资产净值50%以上的资产出现无可参考的活跃市场价格且采用估值技术仍导致公允价值存在重大不确定性时，经与基金托管人协商确认后，基金管理人应当暂停接受基金申购申请；</w:t>
      </w:r>
    </w:p>
    <w:p w14:paraId="24F9058E">
      <w:pPr>
        <w:adjustRightInd w:val="0"/>
        <w:snapToGrid w:val="0"/>
        <w:spacing w:line="360" w:lineRule="auto"/>
        <w:ind w:firstLine="420" w:firstLineChars="200"/>
        <w:rPr>
          <w:rFonts w:hint="eastAsia" w:ascii="宋体" w:hAnsi="宋体"/>
          <w:szCs w:val="21"/>
        </w:rPr>
      </w:pPr>
      <w:r>
        <w:rPr>
          <w:rFonts w:hint="eastAsia" w:ascii="宋体" w:hAnsi="宋体"/>
          <w:szCs w:val="21"/>
        </w:rPr>
        <w:t>9、基金资产规模过大，使基金管理人无法找到合适的投资品种，或其他可能对基金业绩产生负面影响，或发生其他损害现有基金份额持有人利益的情形；</w:t>
      </w:r>
    </w:p>
    <w:p w14:paraId="302DE9FD">
      <w:pPr>
        <w:adjustRightInd w:val="0"/>
        <w:snapToGrid w:val="0"/>
        <w:spacing w:line="360" w:lineRule="auto"/>
        <w:ind w:firstLine="420" w:firstLineChars="200"/>
        <w:rPr>
          <w:rFonts w:hint="eastAsia" w:ascii="宋体" w:hAnsi="宋体"/>
          <w:szCs w:val="21"/>
        </w:rPr>
      </w:pPr>
      <w:r>
        <w:rPr>
          <w:rFonts w:hint="eastAsia" w:ascii="宋体" w:hAnsi="宋体"/>
          <w:szCs w:val="21"/>
        </w:rPr>
        <w:t>10、法律法规、深圳证券交易所规定或中国证监会认定的其他情形。</w:t>
      </w:r>
    </w:p>
    <w:p w14:paraId="6FE90A98">
      <w:pPr>
        <w:adjustRightInd w:val="0"/>
        <w:snapToGrid w:val="0"/>
        <w:spacing w:line="360" w:lineRule="auto"/>
        <w:ind w:firstLine="420" w:firstLineChars="200"/>
        <w:rPr>
          <w:rFonts w:hint="eastAsia" w:ascii="宋体" w:hAnsi="宋体"/>
          <w:szCs w:val="21"/>
        </w:rPr>
      </w:pPr>
      <w:r>
        <w:rPr>
          <w:rFonts w:hint="eastAsia" w:ascii="宋体" w:hAnsi="宋体"/>
          <w:szCs w:val="21"/>
        </w:rPr>
        <w:t>发生上述第1、2、3、4、6、7、8、9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6B2AD55F">
      <w:pPr>
        <w:adjustRightInd w:val="0"/>
        <w:snapToGrid w:val="0"/>
        <w:spacing w:line="360" w:lineRule="auto"/>
        <w:ind w:firstLine="420" w:firstLineChars="200"/>
        <w:rPr>
          <w:rFonts w:hint="eastAsia" w:ascii="宋体" w:hAnsi="宋体"/>
          <w:szCs w:val="21"/>
        </w:rPr>
      </w:pPr>
      <w:r>
        <w:rPr>
          <w:rFonts w:hint="eastAsia" w:ascii="宋体" w:hAnsi="宋体"/>
          <w:szCs w:val="21"/>
        </w:rPr>
        <w:t>在发生暂停申购或赎回的情形之一时，本基金的申购和赎回可能同时暂停。</w:t>
      </w:r>
    </w:p>
    <w:p w14:paraId="36F944C1">
      <w:pPr>
        <w:adjustRightInd w:val="0"/>
        <w:snapToGrid w:val="0"/>
        <w:spacing w:line="360" w:lineRule="auto"/>
        <w:ind w:firstLine="422" w:firstLineChars="200"/>
        <w:rPr>
          <w:rFonts w:hint="eastAsia" w:ascii="宋体" w:hAnsi="宋体"/>
          <w:b/>
          <w:szCs w:val="21"/>
        </w:rPr>
      </w:pPr>
      <w:r>
        <w:rPr>
          <w:rFonts w:hint="eastAsia" w:ascii="宋体" w:hAnsi="宋体"/>
          <w:b/>
          <w:szCs w:val="21"/>
        </w:rPr>
        <w:t>九、</w:t>
      </w:r>
      <w:r>
        <w:rPr>
          <w:rFonts w:ascii="宋体" w:hAnsi="宋体"/>
          <w:b/>
          <w:szCs w:val="21"/>
        </w:rPr>
        <w:t>暂停赎回或延缓支付赎回对价的情形及处理方式</w:t>
      </w:r>
    </w:p>
    <w:p w14:paraId="34A1A561">
      <w:pPr>
        <w:adjustRightInd w:val="0"/>
        <w:snapToGrid w:val="0"/>
        <w:spacing w:line="360" w:lineRule="auto"/>
        <w:ind w:firstLine="422" w:firstLineChars="201"/>
        <w:rPr>
          <w:rFonts w:hint="eastAsia" w:ascii="宋体" w:hAnsi="宋体"/>
          <w:szCs w:val="21"/>
        </w:rPr>
      </w:pPr>
      <w:bookmarkStart w:id="80" w:name="_Hlt70481650"/>
      <w:bookmarkEnd w:id="80"/>
      <w:bookmarkStart w:id="81" w:name="_Toc214873598"/>
      <w:r>
        <w:rPr>
          <w:rFonts w:hint="eastAsia" w:ascii="宋体" w:hAnsi="宋体"/>
          <w:szCs w:val="21"/>
        </w:rPr>
        <w:t>发生下列情形时，基金管理人可暂停接受投资人的赎回申请或延缓支付赎回对价：</w:t>
      </w:r>
    </w:p>
    <w:p w14:paraId="3F16461A">
      <w:pPr>
        <w:adjustRightInd w:val="0"/>
        <w:snapToGrid w:val="0"/>
        <w:spacing w:line="360" w:lineRule="auto"/>
        <w:ind w:firstLine="422" w:firstLineChars="201"/>
        <w:rPr>
          <w:rFonts w:hint="eastAsia" w:ascii="宋体" w:hAnsi="宋体"/>
          <w:szCs w:val="21"/>
        </w:rPr>
      </w:pPr>
      <w:r>
        <w:rPr>
          <w:rFonts w:hint="eastAsia" w:ascii="宋体" w:hAnsi="宋体"/>
          <w:szCs w:val="21"/>
        </w:rPr>
        <w:t>1、因不可抗力导致基金管理人无法受理或办理基金份额持有人的赎回申请；</w:t>
      </w:r>
    </w:p>
    <w:p w14:paraId="605978E7">
      <w:pPr>
        <w:adjustRightInd w:val="0"/>
        <w:snapToGrid w:val="0"/>
        <w:spacing w:line="360" w:lineRule="auto"/>
        <w:ind w:firstLine="422" w:firstLineChars="201"/>
        <w:rPr>
          <w:rFonts w:hint="eastAsia" w:ascii="宋体" w:hAnsi="宋体"/>
          <w:szCs w:val="21"/>
        </w:rPr>
      </w:pPr>
      <w:r>
        <w:rPr>
          <w:rFonts w:hint="eastAsia" w:ascii="宋体" w:hAnsi="宋体"/>
          <w:szCs w:val="21"/>
        </w:rPr>
        <w:t>2、证券/期货交易所交易时间非正常停市，导致基金管理人无法计算当日基金资产净值或无法进行证券交易；</w:t>
      </w:r>
    </w:p>
    <w:p w14:paraId="6F7079B6">
      <w:pPr>
        <w:adjustRightInd w:val="0"/>
        <w:snapToGrid w:val="0"/>
        <w:spacing w:line="360" w:lineRule="auto"/>
        <w:ind w:firstLine="422" w:firstLineChars="201"/>
        <w:rPr>
          <w:rFonts w:hint="eastAsia" w:ascii="宋体" w:hAnsi="宋体"/>
          <w:szCs w:val="21"/>
        </w:rPr>
      </w:pPr>
      <w:r>
        <w:rPr>
          <w:rFonts w:hint="eastAsia" w:ascii="宋体" w:hAnsi="宋体"/>
          <w:szCs w:val="21"/>
        </w:rPr>
        <w:t>3、发生基金合同规定的暂停基金资产估值情况时；</w:t>
      </w:r>
    </w:p>
    <w:p w14:paraId="6D7A2A97">
      <w:pPr>
        <w:adjustRightInd w:val="0"/>
        <w:snapToGrid w:val="0"/>
        <w:spacing w:line="360" w:lineRule="auto"/>
        <w:ind w:firstLine="422" w:firstLineChars="201"/>
        <w:rPr>
          <w:rFonts w:hint="eastAsia" w:ascii="宋体" w:hAnsi="宋体"/>
          <w:szCs w:val="21"/>
        </w:rPr>
      </w:pPr>
      <w:r>
        <w:rPr>
          <w:rFonts w:hint="eastAsia" w:ascii="宋体" w:hAnsi="宋体"/>
          <w:szCs w:val="21"/>
        </w:rPr>
        <w:t>4、发生继续接受赎回申请将损害现有基金份额持有人利益的情形时，基金管理人可暂停接受投资人的赎回申请；</w:t>
      </w:r>
    </w:p>
    <w:p w14:paraId="7A094EE0">
      <w:pPr>
        <w:adjustRightInd w:val="0"/>
        <w:snapToGrid w:val="0"/>
        <w:spacing w:line="360" w:lineRule="auto"/>
        <w:ind w:firstLine="422" w:firstLineChars="201"/>
        <w:rPr>
          <w:rFonts w:hint="eastAsia" w:ascii="宋体" w:hAnsi="宋体"/>
          <w:szCs w:val="21"/>
        </w:rPr>
      </w:pPr>
      <w:r>
        <w:rPr>
          <w:rFonts w:hint="eastAsia" w:ascii="宋体" w:hAnsi="宋体"/>
          <w:szCs w:val="21"/>
        </w:rPr>
        <w:t>5、本基金当日总赎回份额达到基金管理人所设定的上限，基金管理人可拒绝赎回申请；</w:t>
      </w:r>
    </w:p>
    <w:p w14:paraId="79142892">
      <w:pPr>
        <w:adjustRightInd w:val="0"/>
        <w:snapToGrid w:val="0"/>
        <w:spacing w:line="360" w:lineRule="auto"/>
        <w:ind w:firstLine="422" w:firstLineChars="201"/>
        <w:rPr>
          <w:rFonts w:hint="eastAsia" w:ascii="宋体" w:hAnsi="宋体"/>
          <w:szCs w:val="21"/>
        </w:rPr>
      </w:pPr>
      <w:r>
        <w:rPr>
          <w:rFonts w:hint="eastAsia" w:ascii="宋体" w:hAnsi="宋体"/>
          <w:szCs w:val="21"/>
        </w:rPr>
        <w:t>6、当前一估值日基金资产净值50%以上的资产出现无可参考的活跃市场价格且采用估值技术仍导致公允价值存在重大不确定性时，经与基金托管人协商确认后，基金管理人应当延缓支付赎回对价或暂停接受基金赎回申请；</w:t>
      </w:r>
    </w:p>
    <w:p w14:paraId="16B20D4F">
      <w:pPr>
        <w:adjustRightInd w:val="0"/>
        <w:snapToGrid w:val="0"/>
        <w:spacing w:line="360" w:lineRule="auto"/>
        <w:ind w:firstLine="422" w:firstLineChars="201"/>
        <w:rPr>
          <w:rFonts w:hint="eastAsia" w:ascii="宋体" w:hAnsi="宋体"/>
          <w:szCs w:val="21"/>
        </w:rPr>
      </w:pPr>
      <w:r>
        <w:rPr>
          <w:rFonts w:hint="eastAsia" w:ascii="宋体" w:hAnsi="宋体"/>
          <w:szCs w:val="21"/>
        </w:rPr>
        <w:t>7、法律法规、深圳证券交易所规定或中国证监会认定的其他情形。</w:t>
      </w:r>
    </w:p>
    <w:p w14:paraId="0A272CAE">
      <w:pPr>
        <w:adjustRightInd w:val="0"/>
        <w:snapToGrid w:val="0"/>
        <w:spacing w:line="360" w:lineRule="auto"/>
        <w:ind w:firstLine="422" w:firstLineChars="201"/>
        <w:rPr>
          <w:rFonts w:hint="eastAsia" w:ascii="宋体" w:hAnsi="宋体"/>
          <w:szCs w:val="21"/>
        </w:rPr>
      </w:pPr>
      <w:r>
        <w:rPr>
          <w:rFonts w:hint="eastAsia" w:ascii="宋体" w:hAnsi="宋体"/>
          <w:szCs w:val="21"/>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p>
    <w:p w14:paraId="5E68366C">
      <w:pPr>
        <w:adjustRightInd w:val="0"/>
        <w:snapToGrid w:val="0"/>
        <w:spacing w:line="360" w:lineRule="auto"/>
        <w:ind w:firstLine="422" w:firstLineChars="201"/>
        <w:rPr>
          <w:rFonts w:hint="eastAsia" w:ascii="宋体" w:hAnsi="宋体"/>
          <w:szCs w:val="21"/>
        </w:rPr>
      </w:pPr>
      <w:r>
        <w:rPr>
          <w:rFonts w:hint="eastAsia" w:ascii="宋体" w:hAnsi="宋体"/>
          <w:szCs w:val="21"/>
        </w:rPr>
        <w:t>在发生暂停申购或赎回的情形之一时，本基金的申购和赎回可能同时暂停。</w:t>
      </w:r>
    </w:p>
    <w:p w14:paraId="6BCFF5C7">
      <w:pPr>
        <w:adjustRightInd w:val="0"/>
        <w:snapToGrid w:val="0"/>
        <w:spacing w:line="360" w:lineRule="auto"/>
        <w:ind w:firstLine="424" w:firstLineChars="201"/>
        <w:rPr>
          <w:rFonts w:hint="eastAsia" w:ascii="宋体" w:hAnsi="宋体"/>
          <w:b/>
        </w:rPr>
      </w:pPr>
      <w:r>
        <w:rPr>
          <w:rFonts w:hint="eastAsia" w:ascii="宋体" w:hAnsi="宋体"/>
          <w:b/>
        </w:rPr>
        <w:t>十、基金清算交收与登记模式的调整或新增</w:t>
      </w:r>
    </w:p>
    <w:p w14:paraId="5C695406">
      <w:pPr>
        <w:adjustRightInd w:val="0"/>
        <w:snapToGrid w:val="0"/>
        <w:spacing w:line="360" w:lineRule="auto"/>
        <w:ind w:firstLine="422" w:firstLineChars="201"/>
        <w:rPr>
          <w:rFonts w:hint="eastAsia" w:ascii="宋体" w:hAnsi="宋体"/>
          <w:b/>
        </w:rPr>
      </w:pPr>
      <w:r>
        <w:rPr>
          <w:rFonts w:hint="eastAsia" w:ascii="宋体" w:hAnsi="宋体"/>
        </w:rPr>
        <w:t>若深圳证券交易所和中国证券登记结算有限责任公司针对跨市场交易型开放式指数证券投资基金推出新的清算交收与登记模式并引入新的申购、赎回方式，在履行适当程序并与基金托管人协商一致后，本基金管理人有权调整本基金的清算交收与登记模式及申购、赎回方式，或新增本基金的清算交收与登记模式并引入新的申购、赎回方式，届时将发布公告予以披露并对本基金的招募说明书予以更新，无需召开持有人大会审议。</w:t>
      </w:r>
    </w:p>
    <w:p w14:paraId="0478EFC5">
      <w:pPr>
        <w:adjustRightInd w:val="0"/>
        <w:snapToGrid w:val="0"/>
        <w:spacing w:line="360" w:lineRule="auto"/>
        <w:ind w:firstLine="424" w:firstLineChars="201"/>
        <w:rPr>
          <w:rFonts w:hint="eastAsia" w:ascii="宋体" w:hAnsi="宋体"/>
          <w:b/>
        </w:rPr>
      </w:pPr>
      <w:r>
        <w:rPr>
          <w:rFonts w:hint="eastAsia" w:ascii="宋体" w:hAnsi="宋体"/>
          <w:b/>
        </w:rPr>
        <w:t xml:space="preserve">十一、基金份额拆分与合并 </w:t>
      </w:r>
    </w:p>
    <w:p w14:paraId="06F896B1">
      <w:pPr>
        <w:adjustRightInd w:val="0"/>
        <w:snapToGrid w:val="0"/>
        <w:spacing w:line="360" w:lineRule="auto"/>
        <w:ind w:firstLine="422" w:firstLineChars="201"/>
        <w:rPr>
          <w:rFonts w:hint="eastAsia" w:ascii="宋体" w:hAnsi="宋体"/>
        </w:rPr>
      </w:pPr>
      <w:r>
        <w:rPr>
          <w:rFonts w:hint="eastAsia" w:ascii="宋体" w:hAnsi="宋体"/>
        </w:rPr>
        <w:t xml:space="preserve">基金成立后，在法律法规规定的范围内且对基金份额持有人的权益无实质性不利影响的情况下，在履行适当程序并与基金托管人协商一致后，本基金可实施基金份额拆分或合并。 </w:t>
      </w:r>
    </w:p>
    <w:p w14:paraId="2492CE29">
      <w:pPr>
        <w:adjustRightInd w:val="0"/>
        <w:snapToGrid w:val="0"/>
        <w:spacing w:line="360" w:lineRule="auto"/>
        <w:ind w:firstLine="422" w:firstLineChars="201"/>
        <w:rPr>
          <w:rFonts w:hint="eastAsia" w:ascii="宋体" w:hAnsi="宋体"/>
          <w:b/>
        </w:rPr>
      </w:pPr>
      <w:r>
        <w:rPr>
          <w:rFonts w:hint="eastAsia" w:ascii="宋体" w:hAnsi="宋体"/>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4D151BBC">
      <w:pPr>
        <w:adjustRightInd w:val="0"/>
        <w:snapToGrid w:val="0"/>
        <w:spacing w:line="360" w:lineRule="auto"/>
        <w:ind w:firstLine="424" w:firstLineChars="201"/>
        <w:rPr>
          <w:rFonts w:hint="eastAsia" w:ascii="宋体" w:hAnsi="宋体"/>
          <w:b/>
        </w:rPr>
      </w:pPr>
      <w:r>
        <w:rPr>
          <w:rFonts w:hint="eastAsia" w:ascii="宋体" w:hAnsi="宋体"/>
          <w:b/>
        </w:rPr>
        <w:t>十二、基金份额的转让</w:t>
      </w:r>
    </w:p>
    <w:p w14:paraId="44854D21">
      <w:pPr>
        <w:adjustRightInd w:val="0"/>
        <w:snapToGrid w:val="0"/>
        <w:spacing w:line="360" w:lineRule="auto"/>
        <w:ind w:firstLine="422" w:firstLineChars="201"/>
        <w:rPr>
          <w:rFonts w:hint="eastAsia" w:ascii="宋体" w:hAnsi="宋体"/>
          <w:b/>
        </w:rPr>
      </w:pPr>
      <w:r>
        <w:rPr>
          <w:rFonts w:hint="eastAsia" w:ascii="宋体" w:hAnsi="宋体"/>
        </w:rPr>
        <w:t>在法律法规允许且条件具备的情况下，如对存量基金份额持有人利益无实质性不利影响，基金管理人经履行相关程序并与基金托管人协商一致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EFD79DD">
      <w:pPr>
        <w:adjustRightInd w:val="0"/>
        <w:snapToGrid w:val="0"/>
        <w:spacing w:line="360" w:lineRule="auto"/>
        <w:ind w:firstLine="424" w:firstLineChars="201"/>
        <w:rPr>
          <w:rFonts w:hint="eastAsia" w:ascii="宋体" w:hAnsi="宋体"/>
          <w:b/>
        </w:rPr>
      </w:pPr>
      <w:r>
        <w:rPr>
          <w:rFonts w:hint="eastAsia" w:ascii="宋体" w:hAnsi="宋体"/>
          <w:b/>
        </w:rPr>
        <w:t>十三、基金份额的非交易过户、冻结、解冻等其他业务</w:t>
      </w:r>
    </w:p>
    <w:p w14:paraId="03189CD5">
      <w:pPr>
        <w:adjustRightInd w:val="0"/>
        <w:snapToGrid w:val="0"/>
        <w:spacing w:line="360" w:lineRule="auto"/>
        <w:ind w:firstLine="422" w:firstLineChars="201"/>
        <w:rPr>
          <w:rFonts w:hint="eastAsia" w:ascii="宋体" w:hAnsi="宋体"/>
        </w:rPr>
      </w:pPr>
      <w:r>
        <w:rPr>
          <w:rFonts w:hint="eastAsia" w:ascii="宋体" w:hAnsi="宋体"/>
        </w:rPr>
        <w:t>基金份额的登记机构可依据其业务规则，受理基金的非交易过户、冻结与解冻等业务，并收取一定的手续费用。</w:t>
      </w:r>
    </w:p>
    <w:p w14:paraId="2E0B0D4B">
      <w:pPr>
        <w:adjustRightInd w:val="0"/>
        <w:snapToGrid w:val="0"/>
        <w:spacing w:line="360" w:lineRule="auto"/>
        <w:ind w:firstLine="422" w:firstLineChars="201"/>
        <w:rPr>
          <w:rFonts w:hint="eastAsia" w:ascii="宋体" w:hAnsi="宋体"/>
        </w:rPr>
      </w:pPr>
      <w:r>
        <w:rPr>
          <w:rFonts w:hint="eastAsia" w:ascii="宋体" w:hAnsi="宋体"/>
        </w:rPr>
        <w:t>基金份额被冻结的，被冻结部分产生的权益一并冻结，被冻结部分份额仍然参与收益分配。法律法规或监管机构另有规定的除外。</w:t>
      </w:r>
    </w:p>
    <w:p w14:paraId="3EA60D99">
      <w:pPr>
        <w:adjustRightInd w:val="0"/>
        <w:snapToGrid w:val="0"/>
        <w:spacing w:line="360" w:lineRule="auto"/>
        <w:ind w:firstLine="424" w:firstLineChars="201"/>
        <w:rPr>
          <w:rFonts w:hint="eastAsia" w:ascii="宋体" w:hAnsi="宋体"/>
          <w:b/>
        </w:rPr>
      </w:pPr>
      <w:r>
        <w:rPr>
          <w:rFonts w:hint="eastAsia" w:ascii="宋体" w:hAnsi="宋体"/>
          <w:b/>
        </w:rPr>
        <w:t>十四、联接基金的特殊申购</w:t>
      </w:r>
    </w:p>
    <w:p w14:paraId="1D9DF2C1">
      <w:pPr>
        <w:adjustRightInd w:val="0"/>
        <w:snapToGrid w:val="0"/>
        <w:spacing w:line="360" w:lineRule="auto"/>
        <w:ind w:firstLine="422" w:firstLineChars="201"/>
        <w:rPr>
          <w:rFonts w:hint="eastAsia" w:ascii="宋体" w:hAnsi="宋体"/>
        </w:rPr>
      </w:pPr>
      <w:r>
        <w:rPr>
          <w:rFonts w:hint="eastAsia" w:ascii="宋体" w:hAnsi="宋体"/>
        </w:rPr>
        <w:t>若基金管理人推出以本基金为目标ETF的联接基金，本基金可根据实际情况需要向本基金的联接基金开通特殊申购，不收取申购费用。具体见基金管理人相关公告。</w:t>
      </w:r>
    </w:p>
    <w:p w14:paraId="11C0E935">
      <w:pPr>
        <w:adjustRightInd w:val="0"/>
        <w:snapToGrid w:val="0"/>
        <w:spacing w:line="360" w:lineRule="auto"/>
        <w:ind w:firstLine="422" w:firstLineChars="200"/>
        <w:rPr>
          <w:rFonts w:hint="eastAsia" w:ascii="宋体" w:hAnsi="宋体"/>
          <w:b/>
        </w:rPr>
      </w:pPr>
      <w:r>
        <w:rPr>
          <w:rFonts w:hint="eastAsia" w:ascii="宋体" w:hAnsi="宋体"/>
          <w:b/>
        </w:rPr>
        <w:t>十五、基金份额折算</w:t>
      </w:r>
    </w:p>
    <w:p w14:paraId="021A3299">
      <w:pPr>
        <w:adjustRightInd w:val="0"/>
        <w:snapToGrid w:val="0"/>
        <w:spacing w:line="360" w:lineRule="auto"/>
        <w:ind w:firstLine="422" w:firstLineChars="201"/>
        <w:rPr>
          <w:rFonts w:hint="eastAsia" w:ascii="宋体" w:hAnsi="宋体"/>
          <w:b/>
        </w:rPr>
      </w:pPr>
      <w:r>
        <w:rPr>
          <w:rFonts w:hint="eastAsia" w:ascii="宋体" w:hAnsi="宋体"/>
        </w:rPr>
        <w:t>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的，无需召开基金份额持有人大会审议。基金份额折算后，基金份额持有人将按照折算后的基金份额享有权利并承担义务。基金管理人应就其具体事宜进行必要公告，并提前通知基金托管人。</w:t>
      </w:r>
    </w:p>
    <w:p w14:paraId="6F1382B1">
      <w:pPr>
        <w:adjustRightInd w:val="0"/>
        <w:snapToGrid w:val="0"/>
        <w:spacing w:line="360" w:lineRule="auto"/>
        <w:ind w:firstLine="424" w:firstLineChars="201"/>
        <w:rPr>
          <w:rFonts w:hint="eastAsia" w:ascii="宋体" w:hAnsi="宋体"/>
          <w:b/>
        </w:rPr>
      </w:pPr>
      <w:r>
        <w:rPr>
          <w:rFonts w:hint="eastAsia" w:ascii="宋体" w:hAnsi="宋体"/>
          <w:b/>
        </w:rPr>
        <w:t>十六、其他</w:t>
      </w:r>
    </w:p>
    <w:p w14:paraId="2C359C01">
      <w:pPr>
        <w:adjustRightInd w:val="0"/>
        <w:snapToGrid w:val="0"/>
        <w:spacing w:line="360" w:lineRule="auto"/>
        <w:ind w:firstLine="422" w:firstLineChars="201"/>
        <w:rPr>
          <w:rFonts w:hint="eastAsia" w:ascii="宋体" w:hAnsi="宋体"/>
        </w:rPr>
      </w:pPr>
      <w:r>
        <w:rPr>
          <w:rFonts w:hint="eastAsia" w:ascii="宋体" w:hAnsi="宋体"/>
        </w:rPr>
        <w:t>1、在不违反法律法规且对基金份额持有人利益无实质性不利影响的情况下，经履行相关程序并与基金托管人协商一致后，基金管理人可开放集合申购。基金管理人有权制定集合申购业务的相关规则。</w:t>
      </w:r>
    </w:p>
    <w:p w14:paraId="27796A25">
      <w:pPr>
        <w:adjustRightInd w:val="0"/>
        <w:snapToGrid w:val="0"/>
        <w:spacing w:line="360" w:lineRule="auto"/>
        <w:ind w:firstLine="422" w:firstLineChars="201"/>
        <w:rPr>
          <w:rFonts w:hint="eastAsia" w:ascii="宋体" w:hAnsi="宋体"/>
        </w:rPr>
      </w:pPr>
      <w:r>
        <w:rPr>
          <w:rFonts w:hint="eastAsia" w:ascii="宋体" w:hAnsi="宋体"/>
        </w:rPr>
        <w:t>在条件允许时，基金管理人也可采取其他合理的申购方式，并于新的申购方式开始执行前予以公告。</w:t>
      </w:r>
    </w:p>
    <w:p w14:paraId="73AF8307">
      <w:pPr>
        <w:adjustRightInd w:val="0"/>
        <w:snapToGrid w:val="0"/>
        <w:spacing w:line="360" w:lineRule="auto"/>
        <w:ind w:firstLine="422" w:firstLineChars="201"/>
        <w:rPr>
          <w:rFonts w:hint="eastAsia" w:ascii="宋体" w:hAnsi="宋体"/>
        </w:rPr>
      </w:pPr>
      <w:r>
        <w:rPr>
          <w:rFonts w:hint="eastAsia" w:ascii="宋体" w:hAnsi="宋体"/>
        </w:rPr>
        <w:t>2、基金管理人指定的代理机构可依据法律法规和基金合同的规定开展其他服务，双方需签订书面委托代理协议。</w:t>
      </w:r>
    </w:p>
    <w:p w14:paraId="1A563F37">
      <w:pPr>
        <w:adjustRightInd w:val="0"/>
        <w:snapToGrid w:val="0"/>
        <w:spacing w:line="360" w:lineRule="auto"/>
        <w:ind w:firstLine="422" w:firstLineChars="201"/>
        <w:rPr>
          <w:rFonts w:hint="eastAsia" w:ascii="宋体" w:hAnsi="宋体" w:cs="Arial"/>
          <w:b/>
          <w:bCs/>
          <w:sz w:val="28"/>
          <w:szCs w:val="28"/>
        </w:rPr>
        <w:sectPr>
          <w:footerReference r:id="rId25" w:type="first"/>
          <w:footerReference r:id="rId24" w:type="default"/>
          <w:pgSz w:w="11906" w:h="16838"/>
          <w:pgMar w:top="1440" w:right="1800" w:bottom="1440" w:left="1800" w:header="851" w:footer="992" w:gutter="0"/>
          <w:cols w:space="720" w:num="1"/>
          <w:titlePg/>
          <w:docGrid w:linePitch="312" w:charSpace="0"/>
        </w:sectPr>
      </w:pPr>
      <w:r>
        <w:rPr>
          <w:rFonts w:hint="eastAsia" w:ascii="宋体" w:hAnsi="宋体"/>
        </w:rPr>
        <w:t>3、对于符合《中国证券登记结算有限责任公司深圳分公司交易型开放式基金登记结算业务指南》要求的特定投资者，基金管理人可在不违反法律法规且对基金份额持有人利益无实质性不利影响的情况下，安排专门的申购方式。</w:t>
      </w:r>
      <w:bookmarkEnd w:id="76"/>
      <w:bookmarkEnd w:id="77"/>
    </w:p>
    <w:bookmarkEnd w:id="78"/>
    <w:bookmarkEnd w:id="79"/>
    <w:p w14:paraId="04D70418">
      <w:pPr>
        <w:pStyle w:val="2"/>
        <w:snapToGrid w:val="0"/>
        <w:spacing w:before="0" w:after="0" w:line="360" w:lineRule="auto"/>
        <w:ind w:firstLine="141" w:firstLineChars="50"/>
        <w:rPr>
          <w:rFonts w:hint="eastAsia" w:hAnsi="宋体" w:eastAsia="宋体" w:cs="Arial"/>
          <w:b/>
          <w:bCs/>
          <w:sz w:val="28"/>
          <w:szCs w:val="28"/>
        </w:rPr>
      </w:pPr>
      <w:bookmarkStart w:id="82" w:name="_Toc216"/>
      <w:bookmarkStart w:id="83" w:name="_Toc86655821"/>
      <w:bookmarkStart w:id="84" w:name="_Toc50661130"/>
      <w:r>
        <w:rPr>
          <w:rFonts w:hAnsi="宋体" w:eastAsia="宋体" w:cs="Arial"/>
          <w:b/>
          <w:bCs/>
          <w:sz w:val="28"/>
          <w:szCs w:val="28"/>
        </w:rPr>
        <w:t>第十</w:t>
      </w:r>
      <w:r>
        <w:rPr>
          <w:rFonts w:hint="eastAsia" w:hAnsi="宋体" w:eastAsia="宋体" w:cs="Arial"/>
          <w:b/>
          <w:bCs/>
          <w:sz w:val="28"/>
          <w:szCs w:val="28"/>
        </w:rPr>
        <w:t>一</w:t>
      </w:r>
      <w:r>
        <w:rPr>
          <w:rFonts w:hAnsi="宋体" w:eastAsia="宋体" w:cs="Arial"/>
          <w:b/>
          <w:bCs/>
          <w:sz w:val="28"/>
          <w:szCs w:val="28"/>
        </w:rPr>
        <w:t>部分  基金的投资</w:t>
      </w:r>
      <w:bookmarkEnd w:id="81"/>
      <w:bookmarkEnd w:id="82"/>
      <w:bookmarkEnd w:id="83"/>
      <w:bookmarkEnd w:id="84"/>
    </w:p>
    <w:p w14:paraId="670EAE9E">
      <w:pPr>
        <w:adjustRightInd w:val="0"/>
        <w:snapToGrid w:val="0"/>
        <w:spacing w:line="360" w:lineRule="auto"/>
        <w:ind w:firstLine="422" w:firstLineChars="200"/>
        <w:rPr>
          <w:rFonts w:hint="eastAsia" w:ascii="宋体" w:hAnsi="宋体"/>
          <w:b/>
          <w:color w:val="0C0C0C"/>
          <w:szCs w:val="22"/>
        </w:rPr>
      </w:pPr>
      <w:bookmarkStart w:id="85" w:name="OLE_LINK37"/>
      <w:bookmarkStart w:id="86" w:name="OLE_LINK38"/>
      <w:bookmarkStart w:id="87" w:name="_Toc214873599"/>
      <w:r>
        <w:rPr>
          <w:rFonts w:hint="eastAsia" w:ascii="宋体" w:hAnsi="宋体"/>
          <w:b/>
          <w:color w:val="0C0C0C"/>
          <w:szCs w:val="22"/>
        </w:rPr>
        <w:t>一、投资目标</w:t>
      </w:r>
    </w:p>
    <w:p w14:paraId="26186420">
      <w:pPr>
        <w:adjustRightInd w:val="0"/>
        <w:snapToGrid w:val="0"/>
        <w:spacing w:line="360" w:lineRule="auto"/>
        <w:ind w:firstLine="420" w:firstLineChars="200"/>
        <w:rPr>
          <w:rFonts w:hint="eastAsia" w:ascii="宋体" w:hAnsi="宋体"/>
          <w:color w:val="0C0C0C"/>
          <w:szCs w:val="22"/>
        </w:rPr>
      </w:pPr>
      <w:r>
        <w:rPr>
          <w:rFonts w:hint="eastAsia" w:ascii="宋体" w:hAnsi="宋体"/>
          <w:color w:val="0C0C0C"/>
          <w:szCs w:val="22"/>
        </w:rPr>
        <w:t>紧密跟踪标的指数，追求跟踪偏离度和跟踪误差的最小化。</w:t>
      </w:r>
    </w:p>
    <w:p w14:paraId="578F2B1F">
      <w:pPr>
        <w:adjustRightInd w:val="0"/>
        <w:snapToGrid w:val="0"/>
        <w:spacing w:line="360" w:lineRule="auto"/>
        <w:ind w:firstLine="422" w:firstLineChars="200"/>
        <w:rPr>
          <w:rFonts w:hint="eastAsia" w:ascii="宋体" w:hAnsi="宋体"/>
          <w:b/>
          <w:color w:val="0C0C0C"/>
          <w:szCs w:val="22"/>
        </w:rPr>
      </w:pPr>
      <w:r>
        <w:rPr>
          <w:rFonts w:hint="eastAsia" w:ascii="宋体" w:hAnsi="宋体"/>
          <w:b/>
          <w:color w:val="0C0C0C"/>
          <w:szCs w:val="22"/>
        </w:rPr>
        <w:t>二、投资范围</w:t>
      </w:r>
    </w:p>
    <w:p w14:paraId="18C2826B">
      <w:pPr>
        <w:adjustRightInd w:val="0"/>
        <w:snapToGrid w:val="0"/>
        <w:spacing w:line="360" w:lineRule="auto"/>
        <w:ind w:firstLine="420" w:firstLineChars="200"/>
        <w:rPr>
          <w:rFonts w:hint="eastAsia" w:ascii="宋体" w:hAnsi="宋体" w:cs="宋体"/>
          <w:bCs/>
          <w:color w:val="0C0C0C"/>
          <w:szCs w:val="22"/>
        </w:rPr>
      </w:pPr>
      <w:bookmarkStart w:id="88" w:name="OLE_LINK19"/>
      <w:r>
        <w:rPr>
          <w:rFonts w:hint="eastAsia" w:ascii="宋体" w:hAnsi="宋体" w:cs="宋体"/>
          <w:bCs/>
          <w:color w:val="0C0C0C"/>
          <w:szCs w:val="22"/>
        </w:rPr>
        <w:t>本基金主要投资于标的指数成份股和备选成份股(含存托凭证)。</w:t>
      </w:r>
    </w:p>
    <w:p w14:paraId="15DB2FB6">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5C5B9D12">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本基金可根据法律法规的规定参与融资和转融通证券出借业务。未来在法律法规允许的前提下，本基金可根据相关法律法规规定参与融券业务。</w:t>
      </w:r>
    </w:p>
    <w:p w14:paraId="54F724A4">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如法律法规或中国证监会以后允许基金投资其他品种，本基金管理人在履行适当程序后，可以将其纳入本基金的投资范围。</w:t>
      </w:r>
    </w:p>
    <w:p w14:paraId="2C55DE5B">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59D1A6E7">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若法律法规的相关规定发生变更或监管机构允许，本基金管理人在履行适当程序并与基金托管人协商一致后，可对上述资产配置比例进行调整。</w:t>
      </w:r>
    </w:p>
    <w:p w14:paraId="7C22A3C8">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三、投资策略</w:t>
      </w:r>
    </w:p>
    <w:p w14:paraId="5F39F7FB">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1、组合复制策略</w:t>
      </w:r>
    </w:p>
    <w:p w14:paraId="5CA87116">
      <w:pPr>
        <w:spacing w:line="360" w:lineRule="auto"/>
        <w:ind w:firstLine="420" w:firstLineChars="200"/>
        <w:rPr>
          <w:rFonts w:hint="eastAsia" w:ascii="宋体" w:hAnsi="宋体" w:cs="宋体"/>
          <w:bCs/>
          <w:szCs w:val="21"/>
        </w:rPr>
      </w:pPr>
      <w:r>
        <w:rPr>
          <w:rFonts w:hint="eastAsia" w:ascii="宋体" w:hAnsi="宋体" w:cs="宋体"/>
          <w:bCs/>
          <w:szCs w:val="21"/>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02A52687">
      <w:pPr>
        <w:spacing w:line="360" w:lineRule="auto"/>
        <w:ind w:firstLine="420" w:firstLineChars="200"/>
        <w:rPr>
          <w:rFonts w:hint="eastAsia" w:ascii="宋体" w:hAnsi="宋体" w:cs="宋体"/>
          <w:bCs/>
          <w:szCs w:val="21"/>
        </w:rPr>
      </w:pPr>
      <w:r>
        <w:rPr>
          <w:rFonts w:hint="eastAsia" w:ascii="宋体" w:hAnsi="宋体" w:cs="宋体"/>
          <w:bCs/>
          <w:szCs w:val="21"/>
        </w:rPr>
        <w:t>如果标的指数成份股发生明显负面事件面临退市或违约风险，且指数编制机构暂未作出调整的，基金管理人应当按照基金份额持有人利益优先原则，履行内部决策程序后及时对相关成份股进行调整。</w:t>
      </w:r>
    </w:p>
    <w:p w14:paraId="521743BB">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w:t>
      </w:r>
    </w:p>
    <w:p w14:paraId="3F41FD54">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144DCC09">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2、债券（除可转换债券、可交换债券）投资策略</w:t>
      </w:r>
    </w:p>
    <w:p w14:paraId="6431F5F0">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本基金债券投资组合将着重考虑基金的流动性管理及策略性投资的需要进行配置。债券投资的目的是保证基金资产流动性，有效利用基金资产，提高基金资产的投资收益。</w:t>
      </w:r>
    </w:p>
    <w:p w14:paraId="3FAC52FE">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3、资产支持证券投资策略</w:t>
      </w:r>
    </w:p>
    <w:p w14:paraId="3A4D6717">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085F54A5">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4、可转换债券、可交换债券投资策略</w:t>
      </w:r>
    </w:p>
    <w:p w14:paraId="35292DA4">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7998A6D0">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BF6C629">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5、金融衍生品投资策略</w:t>
      </w:r>
    </w:p>
    <w:p w14:paraId="5441B269">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（1）股指期货交易策略</w:t>
      </w:r>
    </w:p>
    <w:p w14:paraId="610269EE">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将在风险可控的前提下，根据风险管理原则，以套期保值为目的适度参与股指期货交易。本基金将根据对现货和期货市场的分析，充分考虑股指期货的风险收益特征进行股指期货交易，以改善交易组合的交易效果。</w:t>
      </w:r>
    </w:p>
    <w:p w14:paraId="1A3121FF">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（2）股票期权投资策略</w:t>
      </w:r>
    </w:p>
    <w:p w14:paraId="169B844A">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5613D886">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（3）国债期货交易策略</w:t>
      </w:r>
    </w:p>
    <w:p w14:paraId="4405F81A">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本基金参与国债期货交易，以套期保值为目的，将根据风险管理的原则，充分考虑国债期货的流动性和风险收益特征，在风险可控的前提下，适度参与国债期货交易。</w:t>
      </w:r>
    </w:p>
    <w:p w14:paraId="64BF90C0">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6、融资和转融通证券出借业务投资策略</w:t>
      </w:r>
    </w:p>
    <w:p w14:paraId="704A3DA2">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可根据相关法律法规规定参与融券业务。</w:t>
      </w:r>
    </w:p>
    <w:p w14:paraId="205193DA">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7、存托凭证投资策略</w:t>
      </w:r>
    </w:p>
    <w:p w14:paraId="0DFC5BBE">
      <w:pPr>
        <w:pStyle w:val="37"/>
        <w:spacing w:before="0" w:beforeAutospacing="0" w:after="0" w:afterAutospacing="0" w:line="360" w:lineRule="auto"/>
        <w:ind w:firstLine="420"/>
        <w:rPr>
          <w:rFonts w:hint="eastAsia" w:cs="宋体"/>
          <w:bCs/>
          <w:sz w:val="21"/>
          <w:szCs w:val="21"/>
          <w:lang w:bidi="ar"/>
        </w:rPr>
      </w:pPr>
      <w:r>
        <w:rPr>
          <w:rFonts w:hint="eastAsia" w:cs="宋体"/>
          <w:bCs/>
          <w:sz w:val="21"/>
          <w:szCs w:val="21"/>
          <w:lang w:bidi="ar"/>
        </w:rPr>
        <w:t>本基金将根据本基金的投资目标和股票投资策略，基于对基础证券投资价值的深入研究判断，进行存托凭证的投资。</w:t>
      </w:r>
    </w:p>
    <w:p w14:paraId="7F3B17F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bCs/>
          <w:color w:val="000000"/>
          <w:szCs w:val="21"/>
          <w:lang w:bidi="ar"/>
        </w:rPr>
        <w:t>未来，随着投资工具的发展和丰富，本基金可在不改变投资目标的前提下，在履行适当程序后，相应调整和更新相关投资策略，并在招募说明书更新中公告。</w:t>
      </w:r>
    </w:p>
    <w:bookmarkEnd w:id="85"/>
    <w:bookmarkEnd w:id="86"/>
    <w:bookmarkEnd w:id="88"/>
    <w:p w14:paraId="0D0EDB86">
      <w:pPr>
        <w:adjustRightInd w:val="0"/>
        <w:snapToGrid w:val="0"/>
        <w:spacing w:line="360" w:lineRule="auto"/>
        <w:ind w:firstLine="422" w:firstLineChars="200"/>
        <w:rPr>
          <w:rFonts w:hint="eastAsia" w:ascii="宋体" w:hAnsi="宋体" w:cs="宋体"/>
          <w:b/>
          <w:color w:val="0C0C0C"/>
          <w:szCs w:val="21"/>
        </w:rPr>
      </w:pPr>
      <w:bookmarkStart w:id="89" w:name="OLE_LINK25"/>
      <w:bookmarkStart w:id="90" w:name="OLE_LINK26"/>
      <w:bookmarkStart w:id="91" w:name="OLE_LINK24"/>
      <w:r>
        <w:rPr>
          <w:rFonts w:hint="eastAsia" w:ascii="宋体" w:hAnsi="宋体" w:cs="宋体"/>
          <w:b/>
          <w:color w:val="0C0C0C"/>
          <w:szCs w:val="21"/>
        </w:rPr>
        <w:t>四、投资组合限制</w:t>
      </w:r>
    </w:p>
    <w:p w14:paraId="1F5E7D7B">
      <w:pPr>
        <w:adjustRightInd w:val="0"/>
        <w:snapToGrid w:val="0"/>
        <w:spacing w:line="360" w:lineRule="auto"/>
        <w:ind w:firstLine="420" w:firstLineChars="200"/>
        <w:rPr>
          <w:rFonts w:hint="eastAsia" w:ascii="宋体" w:hAnsi="宋体" w:cs="宋体"/>
          <w:color w:val="0C0C0C"/>
          <w:szCs w:val="21"/>
        </w:rPr>
      </w:pPr>
      <w:bookmarkStart w:id="92" w:name="OLE_LINK36"/>
      <w:bookmarkStart w:id="93" w:name="OLE_LINK35"/>
      <w:r>
        <w:rPr>
          <w:rFonts w:hint="eastAsia" w:ascii="宋体" w:hAnsi="宋体" w:cs="宋体"/>
          <w:color w:val="0C0C0C"/>
          <w:szCs w:val="21"/>
        </w:rPr>
        <w:t>1、组合限制</w:t>
      </w:r>
    </w:p>
    <w:p w14:paraId="70C42396">
      <w:pPr>
        <w:pStyle w:val="37"/>
        <w:spacing w:before="0" w:beforeAutospacing="0" w:after="0" w:afterAutospacing="0" w:line="360" w:lineRule="auto"/>
        <w:ind w:firstLine="420"/>
        <w:rPr>
          <w:rFonts w:hint="eastAsia"/>
          <w:sz w:val="21"/>
          <w:szCs w:val="21"/>
        </w:rPr>
      </w:pPr>
      <w:r>
        <w:rPr>
          <w:rFonts w:hint="eastAsia" w:cs="宋体"/>
          <w:sz w:val="21"/>
          <w:szCs w:val="21"/>
        </w:rPr>
        <w:t>基金的投资组合应遵循以下</w:t>
      </w:r>
      <w:r>
        <w:rPr>
          <w:rFonts w:hint="eastAsia"/>
          <w:sz w:val="21"/>
          <w:szCs w:val="21"/>
        </w:rPr>
        <w:t>限制：</w:t>
      </w:r>
    </w:p>
    <w:p w14:paraId="352BC9E9">
      <w:pPr>
        <w:pStyle w:val="37"/>
        <w:spacing w:before="0" w:beforeAutospacing="0" w:after="0" w:afterAutospacing="0" w:line="360" w:lineRule="auto"/>
        <w:ind w:firstLine="420"/>
        <w:rPr>
          <w:rFonts w:hint="eastAsia"/>
          <w:sz w:val="21"/>
          <w:szCs w:val="21"/>
        </w:rPr>
      </w:pPr>
      <w:r>
        <w:rPr>
          <w:rFonts w:hint="eastAsia"/>
          <w:sz w:val="21"/>
          <w:szCs w:val="21"/>
        </w:rPr>
        <w:t>（1）本基金投资于标的指数成份股和备选成份股（含存托凭证）的资产比例不低于基金资产净值的90%，且不低于非现金基金资产的80%；</w:t>
      </w:r>
    </w:p>
    <w:p w14:paraId="29EA483C">
      <w:pPr>
        <w:pStyle w:val="37"/>
        <w:spacing w:before="0" w:beforeAutospacing="0" w:after="0" w:afterAutospacing="0" w:line="360" w:lineRule="auto"/>
        <w:ind w:firstLine="420"/>
        <w:rPr>
          <w:rFonts w:hint="eastAsia"/>
          <w:sz w:val="21"/>
          <w:szCs w:val="21"/>
        </w:rPr>
      </w:pPr>
      <w:r>
        <w:rPr>
          <w:rFonts w:hint="eastAsia"/>
          <w:sz w:val="21"/>
          <w:szCs w:val="21"/>
        </w:rPr>
        <w:t>（2）每个交易日日终在扣除股指期货、股票期权和国债期货合约需缴纳的交易保证金后，本基金应当保持不低于交易保证金一倍的现金，其中现金不包括结算备付金、存出保证金和应收申购款等；</w:t>
      </w:r>
    </w:p>
    <w:p w14:paraId="09E0979E">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3</w:t>
      </w:r>
      <w:r>
        <w:rPr>
          <w:rFonts w:hint="eastAsia"/>
          <w:sz w:val="21"/>
          <w:szCs w:val="21"/>
        </w:rPr>
        <w:t>）本基金参与股指期货和国债期货交易，需遵守下列投资比例限制：</w:t>
      </w:r>
    </w:p>
    <w:p w14:paraId="07BAEEF3">
      <w:pPr>
        <w:pStyle w:val="37"/>
        <w:spacing w:before="0" w:beforeAutospacing="0" w:after="0" w:afterAutospacing="0" w:line="360" w:lineRule="auto"/>
        <w:ind w:firstLine="420"/>
        <w:rPr>
          <w:rFonts w:hint="eastAsia"/>
          <w:sz w:val="21"/>
          <w:szCs w:val="21"/>
        </w:rPr>
      </w:pPr>
      <w:r>
        <w:rPr>
          <w:rFonts w:hint="eastAsia"/>
          <w:sz w:val="21"/>
          <w:szCs w:val="21"/>
        </w:rPr>
        <w:t>1）本基金在任何交易日日终，持有的买入股指期货合约价值，不得超过基金资产净值的10%；在任何交易日日终，持有的买入国债期货合约价值，不得超过基金资产净值的15%；</w:t>
      </w:r>
    </w:p>
    <w:p w14:paraId="22F088E6">
      <w:pPr>
        <w:pStyle w:val="37"/>
        <w:spacing w:before="0" w:beforeAutospacing="0" w:after="0" w:afterAutospacing="0" w:line="360" w:lineRule="auto"/>
        <w:ind w:firstLine="420"/>
        <w:rPr>
          <w:rFonts w:hint="eastAsia"/>
          <w:sz w:val="21"/>
          <w:szCs w:val="21"/>
        </w:rPr>
      </w:pPr>
      <w:r>
        <w:rPr>
          <w:rFonts w:hint="eastAsia"/>
          <w:sz w:val="21"/>
          <w:szCs w:val="21"/>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6C82CD42">
      <w:pPr>
        <w:pStyle w:val="37"/>
        <w:spacing w:before="0" w:beforeAutospacing="0" w:after="0" w:afterAutospacing="0" w:line="360" w:lineRule="auto"/>
        <w:ind w:firstLine="420"/>
        <w:rPr>
          <w:rFonts w:hint="eastAsia"/>
          <w:sz w:val="21"/>
          <w:szCs w:val="21"/>
        </w:rPr>
      </w:pPr>
      <w:r>
        <w:rPr>
          <w:rFonts w:hint="eastAsia"/>
          <w:sz w:val="21"/>
          <w:szCs w:val="21"/>
        </w:rPr>
        <w:t xml:space="preserve">3）本基金在任何交易日日终，持有的卖出股指期货合约价值不得超过基金持有的股票总市值的20%；在任何交易日日终，持有的卖出国债期货合约价值不得超过基金持有的债券总市值的30%； </w:t>
      </w:r>
    </w:p>
    <w:p w14:paraId="57CE85A1">
      <w:pPr>
        <w:pStyle w:val="37"/>
        <w:spacing w:before="0" w:beforeAutospacing="0" w:after="0" w:afterAutospacing="0" w:line="360" w:lineRule="auto"/>
        <w:ind w:firstLine="420"/>
        <w:rPr>
          <w:rFonts w:hint="eastAsia"/>
          <w:sz w:val="21"/>
          <w:szCs w:val="21"/>
        </w:rPr>
      </w:pPr>
      <w:r>
        <w:rPr>
          <w:rFonts w:hint="eastAsia"/>
          <w:sz w:val="21"/>
          <w:szCs w:val="21"/>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3911FB37">
      <w:pPr>
        <w:pStyle w:val="37"/>
        <w:spacing w:before="0" w:beforeAutospacing="0" w:after="0" w:afterAutospacing="0" w:line="360" w:lineRule="auto"/>
        <w:ind w:firstLine="420"/>
        <w:rPr>
          <w:rFonts w:hint="eastAsia"/>
          <w:sz w:val="21"/>
          <w:szCs w:val="21"/>
        </w:rPr>
      </w:pPr>
      <w:r>
        <w:rPr>
          <w:rFonts w:hint="eastAsia"/>
          <w:sz w:val="21"/>
          <w:szCs w:val="21"/>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62A66B92">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4</w:t>
      </w:r>
      <w:r>
        <w:rPr>
          <w:rFonts w:hint="eastAsia"/>
          <w:sz w:val="21"/>
          <w:szCs w:val="21"/>
        </w:rPr>
        <w:t>）本基金投资于同一原始权益人的各类资产支持证券的比例，不得超过基金资产净值的10％；</w:t>
      </w:r>
    </w:p>
    <w:p w14:paraId="7FEA67B9">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5</w:t>
      </w:r>
      <w:r>
        <w:rPr>
          <w:rFonts w:hint="eastAsia"/>
          <w:sz w:val="21"/>
          <w:szCs w:val="21"/>
        </w:rPr>
        <w:t>）本基金持有的全部资产支持证券，其市值不得超过基金资产净值的20％；</w:t>
      </w:r>
    </w:p>
    <w:p w14:paraId="063E0AD2">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6</w:t>
      </w:r>
      <w:r>
        <w:rPr>
          <w:rFonts w:hint="eastAsia"/>
          <w:sz w:val="21"/>
          <w:szCs w:val="21"/>
        </w:rPr>
        <w:t>）本基金持有的同一(指同一信用级别)资产支持证券的比例，不得超过该资产支持证券规模的10％；</w:t>
      </w:r>
    </w:p>
    <w:p w14:paraId="39C92D6F">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7</w:t>
      </w:r>
      <w:r>
        <w:rPr>
          <w:rFonts w:hint="eastAsia"/>
          <w:sz w:val="21"/>
          <w:szCs w:val="21"/>
        </w:rPr>
        <w:t>）本基金管理人管理的全部基金投资于同一原始权益人的各类资产支持证券，不得超过其各类资产支持证券合计规模的10％；</w:t>
      </w:r>
    </w:p>
    <w:p w14:paraId="7C07AA9F">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8</w:t>
      </w:r>
      <w:r>
        <w:rPr>
          <w:rFonts w:hint="eastAsia"/>
          <w:sz w:val="21"/>
          <w:szCs w:val="21"/>
        </w:rPr>
        <w:t>）本基金应投资于信用级别评级为BBB以上(含BBB)的资产支持证券。基金持有资产支持证券期间，如果其信用等级下降、不再符合投资标准，应在评级报告发布之日起3个月内予以全部卖出；</w:t>
      </w:r>
    </w:p>
    <w:p w14:paraId="2FD7E01C">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9</w:t>
      </w:r>
      <w:r>
        <w:rPr>
          <w:rFonts w:hint="eastAsia"/>
          <w:sz w:val="21"/>
          <w:szCs w:val="21"/>
        </w:rPr>
        <w:t>）基金财产参与股票发行申购，本基金所申报的金额不超过本基金的总资产，本基金所申报的股票数量不超过拟发行股票公司本次发行股票的总量；</w:t>
      </w:r>
    </w:p>
    <w:p w14:paraId="36FD8891">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10</w:t>
      </w:r>
      <w:r>
        <w:rPr>
          <w:rFonts w:hint="eastAsia"/>
          <w:sz w:val="21"/>
          <w:szCs w:val="21"/>
        </w:rPr>
        <w:t>）本基金参与融资的，在任何交易日日终，本基金持有的融资买入股票与其他有价证券市值之和，不得超过基金资产净值的95%；</w:t>
      </w:r>
    </w:p>
    <w:p w14:paraId="03324EE0">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11</w:t>
      </w:r>
      <w:r>
        <w:rPr>
          <w:rFonts w:hint="eastAsia"/>
          <w:sz w:val="21"/>
          <w:szCs w:val="21"/>
        </w:rPr>
        <w:t>）本基金参与转融通证券出借业务，需遵守下列投资限制：</w:t>
      </w:r>
    </w:p>
    <w:p w14:paraId="7E12E225">
      <w:pPr>
        <w:pStyle w:val="37"/>
        <w:spacing w:before="0" w:beforeAutospacing="0" w:after="0" w:afterAutospacing="0" w:line="360" w:lineRule="auto"/>
        <w:ind w:firstLine="420"/>
        <w:rPr>
          <w:rFonts w:hint="eastAsia"/>
          <w:sz w:val="21"/>
          <w:szCs w:val="21"/>
        </w:rPr>
      </w:pPr>
      <w:r>
        <w:rPr>
          <w:rFonts w:hint="eastAsia"/>
          <w:sz w:val="21"/>
          <w:szCs w:val="21"/>
        </w:rPr>
        <w:t>1）出借证券资产不得超过基金资产净值的30%，出借期限在10个交易日以上的出借证券应纳入《流动性风险管理规定》所述流动性受限证券的范围；</w:t>
      </w:r>
    </w:p>
    <w:p w14:paraId="3CFCB117">
      <w:pPr>
        <w:pStyle w:val="37"/>
        <w:spacing w:before="0" w:beforeAutospacing="0" w:after="0" w:afterAutospacing="0" w:line="360" w:lineRule="auto"/>
        <w:ind w:firstLine="420"/>
        <w:rPr>
          <w:rFonts w:hint="eastAsia"/>
          <w:sz w:val="21"/>
          <w:szCs w:val="21"/>
        </w:rPr>
      </w:pPr>
      <w:r>
        <w:rPr>
          <w:rFonts w:hint="eastAsia"/>
          <w:sz w:val="21"/>
          <w:szCs w:val="21"/>
        </w:rPr>
        <w:t>2）参与出借业务的单只证券不得超过本基金持有该证券总量的30%；</w:t>
      </w:r>
    </w:p>
    <w:p w14:paraId="50E1F696">
      <w:pPr>
        <w:pStyle w:val="37"/>
        <w:spacing w:before="0" w:beforeAutospacing="0" w:after="0" w:afterAutospacing="0" w:line="360" w:lineRule="auto"/>
        <w:ind w:firstLine="420"/>
        <w:rPr>
          <w:rFonts w:hint="eastAsia"/>
          <w:sz w:val="21"/>
          <w:szCs w:val="21"/>
        </w:rPr>
      </w:pPr>
      <w:r>
        <w:rPr>
          <w:rFonts w:hint="eastAsia"/>
          <w:sz w:val="21"/>
          <w:szCs w:val="21"/>
        </w:rPr>
        <w:t>3）最近6个月内日均基金资产净值不得低于2亿元；</w:t>
      </w:r>
    </w:p>
    <w:p w14:paraId="6BA9879F">
      <w:pPr>
        <w:pStyle w:val="37"/>
        <w:spacing w:before="0" w:beforeAutospacing="0" w:after="0" w:afterAutospacing="0" w:line="360" w:lineRule="auto"/>
        <w:ind w:firstLine="420"/>
        <w:rPr>
          <w:rFonts w:hint="eastAsia"/>
          <w:sz w:val="21"/>
          <w:szCs w:val="21"/>
        </w:rPr>
      </w:pPr>
      <w:r>
        <w:rPr>
          <w:rFonts w:hint="eastAsia"/>
          <w:sz w:val="21"/>
          <w:szCs w:val="21"/>
        </w:rPr>
        <w:t>4）证券出借的平均剩余期限不得超过30天，平均剩余期限按照市值加权平均计算；</w:t>
      </w:r>
    </w:p>
    <w:p w14:paraId="6814DD56">
      <w:pPr>
        <w:pStyle w:val="37"/>
        <w:spacing w:before="0" w:beforeAutospacing="0" w:after="0" w:afterAutospacing="0" w:line="360" w:lineRule="auto"/>
        <w:ind w:firstLine="420"/>
        <w:rPr>
          <w:rFonts w:hint="eastAsia"/>
          <w:sz w:val="21"/>
          <w:szCs w:val="21"/>
        </w:rPr>
      </w:pPr>
      <w:r>
        <w:rPr>
          <w:rFonts w:hint="eastAsia"/>
          <w:sz w:val="21"/>
          <w:szCs w:val="21"/>
        </w:rPr>
        <w:t>因证券、期货市场波动、证券发行人合并、基金规模变动等基金管理人之外的因素致使基金投资不符合上述规定的，基金管理人不得新增出借业务；</w:t>
      </w:r>
    </w:p>
    <w:p w14:paraId="12AA9D19">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12</w:t>
      </w:r>
      <w:r>
        <w:rPr>
          <w:rFonts w:hint="eastAsia"/>
          <w:sz w:val="21"/>
          <w:szCs w:val="21"/>
        </w:rPr>
        <w:t>）本基金投资股票期权应当符合以下要求：</w:t>
      </w:r>
    </w:p>
    <w:p w14:paraId="02F5068B">
      <w:pPr>
        <w:pStyle w:val="37"/>
        <w:spacing w:before="0" w:beforeAutospacing="0" w:after="0" w:afterAutospacing="0" w:line="360" w:lineRule="auto"/>
        <w:ind w:firstLine="420"/>
        <w:rPr>
          <w:rFonts w:hint="eastAsia"/>
          <w:sz w:val="21"/>
          <w:szCs w:val="21"/>
        </w:rPr>
      </w:pPr>
      <w:r>
        <w:rPr>
          <w:rFonts w:hint="eastAsia"/>
          <w:sz w:val="21"/>
          <w:szCs w:val="21"/>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4C573118">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13</w:t>
      </w:r>
      <w:r>
        <w:rPr>
          <w:rFonts w:hint="eastAsia"/>
          <w:sz w:val="21"/>
          <w:szCs w:val="21"/>
        </w:rPr>
        <w:t>）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00892B19">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14</w:t>
      </w:r>
      <w:r>
        <w:rPr>
          <w:rFonts w:hint="eastAsia"/>
          <w:sz w:val="21"/>
          <w:szCs w:val="21"/>
        </w:rPr>
        <w:t>）基金管理人承诺本基金与私募类证券资管产品及中国证监会认定的其他主体为交易对手开展逆回购交易的，可接受质押品的资质要求应当与基金合同约定的投资范围保持一致；</w:t>
      </w:r>
    </w:p>
    <w:p w14:paraId="6F37413A">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15</w:t>
      </w:r>
      <w:r>
        <w:rPr>
          <w:rFonts w:hint="eastAsia"/>
          <w:sz w:val="21"/>
          <w:szCs w:val="21"/>
        </w:rPr>
        <w:t>）本基金资产总值不得超过基金资产净值的140%；</w:t>
      </w:r>
    </w:p>
    <w:p w14:paraId="7A9226C0">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16</w:t>
      </w:r>
      <w:r>
        <w:rPr>
          <w:rFonts w:hint="eastAsia"/>
          <w:sz w:val="21"/>
          <w:szCs w:val="21"/>
        </w:rPr>
        <w:t>）本基金投资存托凭证的比例限制依照境内上市交易的股票执行；</w:t>
      </w:r>
    </w:p>
    <w:p w14:paraId="020F62DE">
      <w:pPr>
        <w:pStyle w:val="37"/>
        <w:spacing w:before="0" w:beforeAutospacing="0" w:after="0" w:afterAutospacing="0" w:line="360" w:lineRule="auto"/>
        <w:ind w:firstLine="420"/>
        <w:rPr>
          <w:rFonts w:hint="eastAsia"/>
          <w:sz w:val="21"/>
          <w:szCs w:val="21"/>
        </w:rPr>
      </w:pPr>
      <w:r>
        <w:rPr>
          <w:rFonts w:hint="eastAsia"/>
          <w:sz w:val="21"/>
          <w:szCs w:val="21"/>
        </w:rPr>
        <w:t>（</w:t>
      </w:r>
      <w:r>
        <w:rPr>
          <w:sz w:val="21"/>
          <w:szCs w:val="21"/>
        </w:rPr>
        <w:t>17</w:t>
      </w:r>
      <w:r>
        <w:rPr>
          <w:rFonts w:hint="eastAsia"/>
          <w:sz w:val="21"/>
          <w:szCs w:val="21"/>
        </w:rPr>
        <w:t>）法律法规及中国证监会规定的和《基金合同》约定的其他投资限制。</w:t>
      </w:r>
    </w:p>
    <w:p w14:paraId="5D99EC89">
      <w:pPr>
        <w:pStyle w:val="37"/>
        <w:spacing w:before="0" w:beforeAutospacing="0" w:after="0" w:afterAutospacing="0" w:line="360" w:lineRule="auto"/>
        <w:ind w:firstLine="420"/>
        <w:rPr>
          <w:rFonts w:hint="eastAsia"/>
          <w:sz w:val="21"/>
          <w:szCs w:val="21"/>
        </w:rPr>
      </w:pPr>
      <w:r>
        <w:rPr>
          <w:rFonts w:hint="eastAsia"/>
          <w:sz w:val="21"/>
          <w:szCs w:val="21"/>
        </w:rPr>
        <w:t>除上述（2）、（</w:t>
      </w:r>
      <w:r>
        <w:rPr>
          <w:sz w:val="21"/>
          <w:szCs w:val="21"/>
        </w:rPr>
        <w:t>8</w:t>
      </w:r>
      <w:r>
        <w:rPr>
          <w:rFonts w:hint="eastAsia"/>
          <w:sz w:val="21"/>
          <w:szCs w:val="21"/>
        </w:rPr>
        <w:t>）、（</w:t>
      </w:r>
      <w:r>
        <w:rPr>
          <w:sz w:val="21"/>
          <w:szCs w:val="21"/>
        </w:rPr>
        <w:t>11</w:t>
      </w:r>
      <w:r>
        <w:rPr>
          <w:rFonts w:hint="eastAsia"/>
          <w:sz w:val="21"/>
          <w:szCs w:val="21"/>
        </w:rPr>
        <w:t>）、（</w:t>
      </w:r>
      <w:r>
        <w:rPr>
          <w:sz w:val="21"/>
          <w:szCs w:val="21"/>
        </w:rPr>
        <w:t>13</w:t>
      </w:r>
      <w:r>
        <w:rPr>
          <w:rFonts w:hint="eastAsia"/>
          <w:sz w:val="21"/>
          <w:szCs w:val="21"/>
        </w:rPr>
        <w:t>）、（</w:t>
      </w:r>
      <w:r>
        <w:rPr>
          <w:sz w:val="21"/>
          <w:szCs w:val="21"/>
        </w:rPr>
        <w:t>14</w:t>
      </w:r>
      <w:r>
        <w:rPr>
          <w:rFonts w:hint="eastAsia"/>
          <w:sz w:val="21"/>
          <w:szCs w:val="21"/>
        </w:rPr>
        <w:t>）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455A8446">
      <w:pPr>
        <w:pStyle w:val="37"/>
        <w:spacing w:before="0" w:beforeAutospacing="0" w:after="0" w:afterAutospacing="0" w:line="360" w:lineRule="auto"/>
        <w:ind w:firstLine="420"/>
        <w:rPr>
          <w:rFonts w:hint="eastAsia"/>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基金托管人不因提供监督而对基金管理人的违法违规、违反基金合同约定投资等承担责任。</w:t>
      </w:r>
    </w:p>
    <w:p w14:paraId="404AD55B">
      <w:pPr>
        <w:adjustRightInd w:val="0"/>
        <w:snapToGrid w:val="0"/>
        <w:spacing w:line="360" w:lineRule="auto"/>
        <w:ind w:firstLine="420" w:firstLineChars="200"/>
        <w:rPr>
          <w:szCs w:val="21"/>
        </w:rPr>
      </w:pPr>
      <w:r>
        <w:rPr>
          <w:rFonts w:hint="eastAsia"/>
          <w:szCs w:val="21"/>
        </w:rPr>
        <w:t>法律法规或监管部门取消或调整上述限制，如适用于本基金，基金管理人在与基金托管人协商一致并履行适当程序后，则本基金投资不再受相关限制或按照调整后的规定执行。</w:t>
      </w:r>
    </w:p>
    <w:bookmarkEnd w:id="92"/>
    <w:bookmarkEnd w:id="93"/>
    <w:p w14:paraId="03AEB159">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2、禁止行为</w:t>
      </w:r>
    </w:p>
    <w:p w14:paraId="3CF829E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为维护基金份额持有人的合法权益，基金财产不得用于下列投资或者活动：</w:t>
      </w:r>
    </w:p>
    <w:p w14:paraId="5DACBCF7">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（1）承销证券；</w:t>
      </w:r>
    </w:p>
    <w:p w14:paraId="718018F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（2）违反规定向他人贷款或者提供担保；</w:t>
      </w:r>
    </w:p>
    <w:p w14:paraId="77786E4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（3）从事承担无限责任的投资；</w:t>
      </w:r>
    </w:p>
    <w:p w14:paraId="055C44A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（4）买卖其他基金份额，但是中国证监会另有规定的除外；</w:t>
      </w:r>
    </w:p>
    <w:p w14:paraId="23E5AC4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（5）向其基金管理人、基金托管人出资；</w:t>
      </w:r>
    </w:p>
    <w:p w14:paraId="4C617EE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（6）从事内幕交易、操纵证券交易价格及其他不正当的证券交易活动；</w:t>
      </w:r>
    </w:p>
    <w:p w14:paraId="5503F374">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（7）法律、行政法规和中国证监会规定禁止的其他活动。</w:t>
      </w:r>
    </w:p>
    <w:p w14:paraId="37C6252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基金托管人不对基金管理人的违法违规投资等上述事项和由此造成的损失承担责任。</w:t>
      </w:r>
    </w:p>
    <w:p w14:paraId="79A7A2F4">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法律、行政法规或监管部门取消或调整上述限制，如适用于本基金，基金管理人在履行适当程序并与基金托管人协商一致后，则本基金投资不再受相关限制或按照调整后的规定执行。</w:t>
      </w:r>
    </w:p>
    <w:p w14:paraId="77D4D389">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五、标的指数与业绩比较基准</w:t>
      </w:r>
    </w:p>
    <w:p w14:paraId="232968B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1、标的指数</w:t>
      </w:r>
    </w:p>
    <w:p w14:paraId="292581B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本基金的标的指数：中证细分化工产业主题指数。</w:t>
      </w:r>
    </w:p>
    <w:p w14:paraId="5F1740D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232B181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自指数编制机构停止标的指数的编制及发布至解决方案确定期间，基金管理人应按照指数编制机构提供的最近一个交易日的指数信息遵循基金份额持有人利益优先原则维持基金投资运作。</w:t>
      </w:r>
    </w:p>
    <w:p w14:paraId="3827E48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若业绩比较基准变更对基金投资无实质性影响（包括但不限于编制机构变更、指数更名等），基金管理人在履行适当程序并与基金托管人协商一致后变更基金名称和业绩比较基准，并及时公告。</w:t>
      </w:r>
    </w:p>
    <w:p w14:paraId="280F983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2、业绩比较基准选择</w:t>
      </w:r>
    </w:p>
    <w:p w14:paraId="67CDF1D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本基金的业绩比较基准为标的指数收益率，即中证细分化工产业主题指数收益率。</w:t>
      </w:r>
    </w:p>
    <w:p w14:paraId="13F4F4F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（1）业绩比较基准设定的原因</w:t>
      </w:r>
    </w:p>
    <w:p w14:paraId="4E42291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为股票型ETF,主要采用完全复制法跟踪标的指数，追求跟踪偏离度和跟踪误差的最小化。本基金的标的指数为中证细分化工产业主题指数，相应选取中证细分化工产业主题指数收益率作为基准要素，同时将中证细分化工产业主题指数收益率的基准要素权重设置为100%。</w:t>
      </w:r>
    </w:p>
    <w:p w14:paraId="738BD8C9">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综上，本基金选取的业绩比较基准与基金投资目标、投资范围、投资策略、投资比例限制相匹配。</w:t>
      </w:r>
    </w:p>
    <w:p w14:paraId="76072C60">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（2）业绩比较基准要素的基本信息</w:t>
      </w:r>
    </w:p>
    <w:p w14:paraId="4C0751D0">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中证细分化工产业主题指数由中证指数有限公司编制发布，指数代码为</w:t>
      </w:r>
      <w:r>
        <w:rPr>
          <w:rFonts w:hint="eastAsia" w:ascii="宋体" w:hAnsi="宋体"/>
        </w:rPr>
        <w:t>000813</w:t>
      </w:r>
      <w:r>
        <w:rPr>
          <w:rFonts w:hint="eastAsia" w:ascii="宋体" w:hAnsi="宋体" w:cs="宋体"/>
          <w:color w:val="0C0C0C"/>
          <w:szCs w:val="21"/>
        </w:rPr>
        <w:t>，具体信息详见中证指数有限公司网站，网址：http://www.csindex.com.cn。</w:t>
      </w:r>
    </w:p>
    <w:p w14:paraId="58F430FA">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（3）业绩比较基准的计算方法</w:t>
      </w:r>
    </w:p>
    <w:p w14:paraId="6F68745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本基金业绩比较基准收益率的计算方法以每日收益率为基础，以时间加权为计算原则。</w:t>
      </w:r>
    </w:p>
    <w:p w14:paraId="007BD8F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（4）管理投资偏离业绩比较基准的定性或定量方法</w:t>
      </w:r>
    </w:p>
    <w:p w14:paraId="3759415B">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0.2%以内，年化跟踪误差控制在2%以内。如因标的指数编制规则调整或其他因素导致跟踪误差超过上述范围的，本基金将采取合理措施避免跟踪误差过大。</w:t>
      </w:r>
    </w:p>
    <w:p w14:paraId="551F86C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（5）未来可能变更业绩比较基准的情况和程序</w:t>
      </w:r>
    </w:p>
    <w:p w14:paraId="66500AF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本基金的业绩比较基准与标的指数一致，相关变更情形和程序详见基金合同“基金的投资”章节中“五、标的指数与业绩比较基准”项下“1、标的指数”部分内容。</w:t>
      </w:r>
    </w:p>
    <w:p w14:paraId="17CBD5D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若本基金调整业绩比较基准的要素权重，本基金将根据法律法规、中国证监会的规定和基金合同约定履行相关程序。</w:t>
      </w:r>
    </w:p>
    <w:p w14:paraId="038ADFA7">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六、风险收益特征</w:t>
      </w:r>
    </w:p>
    <w:p w14:paraId="33512B8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本基金属于股票型基金，其预期收益及预期风险水平高于混合型基金、债券型基金与货币市场基金。</w:t>
      </w:r>
    </w:p>
    <w:p w14:paraId="39663BB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本基金为被动式投资的股票型指数基金，跟踪中证细分化工产业主题指数，其风险收益特征与标的指数所表征的市场组合的风险收益特征相似。</w:t>
      </w:r>
    </w:p>
    <w:p w14:paraId="639CF7A9">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七、基金管理人代表基金行使股东或债权人权利的处理原则及方法</w:t>
      </w:r>
    </w:p>
    <w:p w14:paraId="0D143A8F">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 xml:space="preserve">1、基金管理人按照国家有关规定代表基金独立行使股东或债权人权利，保护基金份额持有人的利益； </w:t>
      </w:r>
    </w:p>
    <w:p w14:paraId="320DF07C">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 xml:space="preserve">2、不谋求对上市公司的控股； </w:t>
      </w:r>
    </w:p>
    <w:p w14:paraId="4376D81D">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 xml:space="preserve">3、有利于基金财产的安全与增值； </w:t>
      </w:r>
    </w:p>
    <w:p w14:paraId="2888F854">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4、不通过关联交易为自身、雇员、授权代理人或任何存在利害关系的第三人牟取任何不当利益。</w:t>
      </w:r>
    </w:p>
    <w:p w14:paraId="14EDAF30">
      <w:pPr>
        <w:adjustRightInd w:val="0"/>
        <w:snapToGrid w:val="0"/>
        <w:spacing w:line="360" w:lineRule="auto"/>
        <w:ind w:firstLine="422" w:firstLineChars="200"/>
        <w:rPr>
          <w:rFonts w:hint="eastAsia" w:ascii="宋体" w:hAnsi="宋体"/>
          <w:b/>
          <w:color w:val="0C0C0C"/>
          <w:szCs w:val="22"/>
        </w:rPr>
      </w:pPr>
    </w:p>
    <w:bookmarkEnd w:id="89"/>
    <w:bookmarkEnd w:id="90"/>
    <w:bookmarkEnd w:id="91"/>
    <w:p w14:paraId="2DDB9948">
      <w:pPr>
        <w:adjustRightInd w:val="0"/>
        <w:snapToGrid w:val="0"/>
        <w:spacing w:line="360" w:lineRule="auto"/>
        <w:ind w:firstLine="420" w:firstLineChars="200"/>
        <w:rPr>
          <w:rFonts w:hint="eastAsia" w:ascii="宋体" w:hAnsi="宋体"/>
          <w:color w:val="0C0C0C"/>
          <w:szCs w:val="22"/>
        </w:rPr>
        <w:sectPr>
          <w:footerReference r:id="rId27" w:type="first"/>
          <w:footerReference r:id="rId26" w:type="default"/>
          <w:pgSz w:w="11906" w:h="16838"/>
          <w:pgMar w:top="1440" w:right="1800" w:bottom="1440" w:left="1800" w:header="851" w:footer="992" w:gutter="0"/>
          <w:cols w:space="720" w:num="1"/>
          <w:titlePg/>
          <w:docGrid w:linePitch="312" w:charSpace="0"/>
        </w:sectPr>
      </w:pPr>
    </w:p>
    <w:p w14:paraId="1271086A">
      <w:pPr>
        <w:pStyle w:val="2"/>
        <w:snapToGrid w:val="0"/>
        <w:spacing w:before="0" w:after="0" w:line="360" w:lineRule="auto"/>
        <w:ind w:firstLine="141" w:firstLineChars="50"/>
        <w:rPr>
          <w:rFonts w:hint="eastAsia" w:hAnsi="宋体" w:eastAsia="宋体" w:cs="Arial"/>
          <w:b/>
          <w:bCs/>
          <w:sz w:val="28"/>
          <w:szCs w:val="28"/>
        </w:rPr>
      </w:pPr>
      <w:bookmarkStart w:id="94" w:name="_Toc50661131"/>
      <w:bookmarkStart w:id="95" w:name="_Toc29537"/>
      <w:bookmarkStart w:id="96" w:name="_Toc86655822"/>
      <w:r>
        <w:rPr>
          <w:rFonts w:hAnsi="宋体" w:eastAsia="宋体" w:cs="Arial"/>
          <w:b/>
          <w:bCs/>
          <w:sz w:val="28"/>
          <w:szCs w:val="28"/>
        </w:rPr>
        <w:t>第十</w:t>
      </w:r>
      <w:r>
        <w:rPr>
          <w:rFonts w:hint="eastAsia" w:hAnsi="宋体" w:eastAsia="宋体" w:cs="Arial"/>
          <w:b/>
          <w:bCs/>
          <w:sz w:val="28"/>
          <w:szCs w:val="28"/>
        </w:rPr>
        <w:t>二</w:t>
      </w:r>
      <w:r>
        <w:rPr>
          <w:rFonts w:hAnsi="宋体" w:eastAsia="宋体" w:cs="Arial"/>
          <w:b/>
          <w:bCs/>
          <w:sz w:val="28"/>
          <w:szCs w:val="28"/>
        </w:rPr>
        <w:t>部分  基金的财产</w:t>
      </w:r>
      <w:bookmarkEnd w:id="87"/>
      <w:bookmarkEnd w:id="94"/>
      <w:bookmarkEnd w:id="95"/>
      <w:bookmarkEnd w:id="96"/>
    </w:p>
    <w:p w14:paraId="6167D7DE">
      <w:pPr>
        <w:spacing w:line="360" w:lineRule="auto"/>
        <w:rPr>
          <w:rFonts w:hint="eastAsia" w:ascii="宋体" w:hAnsi="宋体"/>
        </w:rPr>
      </w:pPr>
    </w:p>
    <w:p w14:paraId="4FD913D5">
      <w:pPr>
        <w:spacing w:line="360" w:lineRule="auto"/>
        <w:ind w:firstLine="422" w:firstLineChars="200"/>
        <w:rPr>
          <w:rFonts w:hint="eastAsia" w:ascii="宋体" w:hAnsi="宋体"/>
          <w:b/>
          <w:szCs w:val="21"/>
        </w:rPr>
      </w:pPr>
      <w:bookmarkStart w:id="97" w:name="OLE_LINK28"/>
      <w:bookmarkStart w:id="98" w:name="OLE_LINK27"/>
      <w:bookmarkStart w:id="99" w:name="OLE_LINK23"/>
      <w:bookmarkStart w:id="100" w:name="OLE_LINK22"/>
      <w:r>
        <w:rPr>
          <w:rFonts w:hint="eastAsia" w:ascii="宋体" w:hAnsi="宋体"/>
          <w:b/>
          <w:szCs w:val="21"/>
        </w:rPr>
        <w:t>一、</w:t>
      </w:r>
      <w:r>
        <w:rPr>
          <w:rFonts w:ascii="宋体" w:hAnsi="宋体"/>
          <w:b/>
          <w:szCs w:val="21"/>
        </w:rPr>
        <w:t>基金资产总值</w:t>
      </w:r>
    </w:p>
    <w:p w14:paraId="2A768580">
      <w:pPr>
        <w:spacing w:line="360" w:lineRule="auto"/>
        <w:ind w:firstLine="420" w:firstLineChars="200"/>
        <w:rPr>
          <w:rFonts w:hint="eastAsia" w:ascii="宋体" w:hAnsi="宋体"/>
          <w:szCs w:val="21"/>
        </w:rPr>
      </w:pPr>
      <w:r>
        <w:rPr>
          <w:rFonts w:hint="eastAsia" w:ascii="宋体" w:hAnsi="宋体"/>
          <w:bCs/>
          <w:szCs w:val="21"/>
        </w:rPr>
        <w:t>基金资产总值是指基金拥有的各类有价证券、银行存款本息、基金应收款项及其他资产的价值总和。</w:t>
      </w:r>
    </w:p>
    <w:p w14:paraId="5F200635">
      <w:pPr>
        <w:spacing w:line="360" w:lineRule="auto"/>
        <w:ind w:firstLine="422" w:firstLineChars="200"/>
        <w:rPr>
          <w:rFonts w:hint="eastAsia" w:ascii="宋体" w:hAnsi="宋体"/>
          <w:b/>
          <w:szCs w:val="21"/>
        </w:rPr>
      </w:pPr>
      <w:r>
        <w:rPr>
          <w:rFonts w:hint="eastAsia" w:ascii="宋体" w:hAnsi="宋体"/>
          <w:b/>
          <w:szCs w:val="21"/>
        </w:rPr>
        <w:t>二、</w:t>
      </w:r>
      <w:r>
        <w:rPr>
          <w:rFonts w:ascii="宋体" w:hAnsi="宋体"/>
          <w:b/>
          <w:szCs w:val="21"/>
        </w:rPr>
        <w:t>基金资产净值</w:t>
      </w:r>
    </w:p>
    <w:p w14:paraId="1E919A1B">
      <w:pPr>
        <w:spacing w:line="360" w:lineRule="auto"/>
        <w:ind w:firstLine="420" w:firstLineChars="200"/>
        <w:rPr>
          <w:rFonts w:hint="eastAsia" w:ascii="宋体" w:hAnsi="宋体"/>
          <w:szCs w:val="21"/>
        </w:rPr>
      </w:pPr>
      <w:r>
        <w:rPr>
          <w:rFonts w:ascii="宋体" w:hAnsi="宋体"/>
          <w:bCs/>
          <w:szCs w:val="21"/>
        </w:rPr>
        <w:t>基金资产净值是指基金资产总值减去基金负债后的价值。</w:t>
      </w:r>
    </w:p>
    <w:p w14:paraId="26181B56">
      <w:pPr>
        <w:spacing w:line="360" w:lineRule="auto"/>
        <w:ind w:firstLine="422" w:firstLineChars="200"/>
        <w:rPr>
          <w:rFonts w:hint="eastAsia" w:ascii="宋体" w:hAnsi="宋体"/>
          <w:b/>
          <w:szCs w:val="21"/>
        </w:rPr>
      </w:pPr>
      <w:r>
        <w:rPr>
          <w:rFonts w:hint="eastAsia" w:ascii="宋体" w:hAnsi="宋体"/>
          <w:b/>
          <w:szCs w:val="21"/>
        </w:rPr>
        <w:t>三、</w:t>
      </w:r>
      <w:r>
        <w:rPr>
          <w:rFonts w:ascii="宋体" w:hAnsi="宋体"/>
          <w:b/>
          <w:szCs w:val="21"/>
        </w:rPr>
        <w:t>基金财产的账户</w:t>
      </w:r>
    </w:p>
    <w:p w14:paraId="20F3B325">
      <w:pPr>
        <w:spacing w:line="360" w:lineRule="auto"/>
        <w:ind w:firstLine="420" w:firstLineChars="200"/>
        <w:rPr>
          <w:rFonts w:hint="eastAsia" w:ascii="宋体" w:hAnsi="宋体"/>
          <w:b/>
          <w:szCs w:val="21"/>
        </w:rPr>
      </w:pPr>
      <w:r>
        <w:rPr>
          <w:rFonts w:hint="eastAsia" w:ascii="宋体" w:hAnsi="宋体"/>
          <w:bCs/>
          <w:szCs w:val="21"/>
        </w:rPr>
        <w:t>基金托管人或基金管理人根据相关法律法规、规范性文件为本基金开立资金账户、证券账户以及投资所需的其他专用账户，另一方应进行必要协助。开立的基金专用账户与基金管理人、基金托管人、基金销售机构和基金登记机构自有的财产账户以及其他基金财产账户相独立。</w:t>
      </w:r>
    </w:p>
    <w:p w14:paraId="42CBC3CB">
      <w:pPr>
        <w:spacing w:line="360" w:lineRule="auto"/>
        <w:ind w:firstLine="422" w:firstLineChars="200"/>
        <w:rPr>
          <w:rFonts w:hint="eastAsia" w:ascii="宋体" w:hAnsi="宋体"/>
          <w:b/>
          <w:szCs w:val="21"/>
        </w:rPr>
      </w:pPr>
      <w:r>
        <w:rPr>
          <w:rFonts w:hint="eastAsia" w:ascii="宋体" w:hAnsi="宋体"/>
          <w:b/>
          <w:szCs w:val="21"/>
        </w:rPr>
        <w:t>四、</w:t>
      </w:r>
      <w:r>
        <w:rPr>
          <w:rFonts w:ascii="宋体" w:hAnsi="宋体"/>
          <w:b/>
          <w:szCs w:val="21"/>
        </w:rPr>
        <w:t>基金财产的</w:t>
      </w:r>
      <w:r>
        <w:rPr>
          <w:rFonts w:hint="eastAsia" w:ascii="宋体" w:hAnsi="宋体"/>
          <w:b/>
          <w:szCs w:val="21"/>
        </w:rPr>
        <w:t>保管和</w:t>
      </w:r>
      <w:r>
        <w:rPr>
          <w:rFonts w:ascii="宋体" w:hAnsi="宋体"/>
          <w:b/>
          <w:szCs w:val="21"/>
        </w:rPr>
        <w:t>处分</w:t>
      </w:r>
    </w:p>
    <w:p w14:paraId="77CBCE3D">
      <w:pPr>
        <w:spacing w:line="360" w:lineRule="auto"/>
        <w:ind w:firstLine="420" w:firstLineChars="200"/>
        <w:rPr>
          <w:rFonts w:hint="eastAsia" w:ascii="宋体" w:hAnsi="宋体"/>
          <w:bCs/>
          <w:szCs w:val="21"/>
        </w:rPr>
      </w:pPr>
      <w:r>
        <w:rPr>
          <w:rFonts w:ascii="宋体" w:hAnsi="宋体"/>
          <w:bCs/>
          <w:szCs w:val="21"/>
        </w:rPr>
        <w:t>本基金财产独立于基金管理人、基金托管人和基金</w:t>
      </w:r>
      <w:r>
        <w:rPr>
          <w:rFonts w:hint="eastAsia" w:ascii="宋体" w:hAnsi="宋体"/>
          <w:bCs/>
          <w:szCs w:val="21"/>
        </w:rPr>
        <w:t>销售</w:t>
      </w:r>
      <w:r>
        <w:rPr>
          <w:rFonts w:ascii="宋体" w:hAnsi="宋体"/>
          <w:bCs/>
          <w:szCs w:val="21"/>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31057B8">
      <w:pPr>
        <w:spacing w:line="360" w:lineRule="auto"/>
        <w:ind w:firstLine="420" w:firstLineChars="200"/>
        <w:rPr>
          <w:rFonts w:hint="eastAsia" w:ascii="宋体" w:hAnsi="宋体" w:cs="Arial"/>
          <w:b/>
          <w:bCs/>
          <w:szCs w:val="21"/>
        </w:rPr>
      </w:pPr>
      <w:r>
        <w:rPr>
          <w:rFonts w:hint="eastAsia" w:ascii="宋体" w:hAnsi="宋体"/>
          <w:bCs/>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bookmarkEnd w:id="97"/>
    <w:bookmarkEnd w:id="98"/>
    <w:p w14:paraId="380C6E93">
      <w:pPr>
        <w:snapToGrid w:val="0"/>
        <w:spacing w:line="360" w:lineRule="auto"/>
        <w:rPr>
          <w:rFonts w:hint="eastAsia" w:ascii="宋体" w:hAnsi="宋体" w:cs="Arial"/>
          <w:szCs w:val="21"/>
        </w:rPr>
      </w:pPr>
    </w:p>
    <w:bookmarkEnd w:id="99"/>
    <w:bookmarkEnd w:id="100"/>
    <w:p w14:paraId="16D79A30">
      <w:pPr>
        <w:snapToGrid w:val="0"/>
        <w:spacing w:line="360" w:lineRule="auto"/>
        <w:rPr>
          <w:rFonts w:hint="eastAsia" w:ascii="宋体" w:hAnsi="宋体" w:cs="Arial"/>
          <w:szCs w:val="21"/>
        </w:rPr>
        <w:sectPr>
          <w:footerReference r:id="rId28" w:type="first"/>
          <w:pgSz w:w="11906" w:h="16838"/>
          <w:pgMar w:top="1440" w:right="1800" w:bottom="1440" w:left="1800" w:header="851" w:footer="992" w:gutter="0"/>
          <w:cols w:space="720" w:num="1"/>
          <w:titlePg/>
          <w:docGrid w:linePitch="312" w:charSpace="0"/>
        </w:sectPr>
      </w:pPr>
    </w:p>
    <w:p w14:paraId="1BD058DF">
      <w:pPr>
        <w:pStyle w:val="2"/>
        <w:snapToGrid w:val="0"/>
        <w:spacing w:before="0" w:after="0" w:line="360" w:lineRule="auto"/>
        <w:ind w:firstLine="141" w:firstLineChars="50"/>
        <w:rPr>
          <w:rFonts w:hint="eastAsia" w:hAnsi="宋体" w:eastAsia="宋体" w:cs="Arial"/>
          <w:b/>
          <w:bCs/>
          <w:sz w:val="28"/>
          <w:szCs w:val="28"/>
        </w:rPr>
      </w:pPr>
      <w:bookmarkStart w:id="101" w:name="_Toc50661132"/>
      <w:bookmarkStart w:id="102" w:name="_Toc214873600"/>
      <w:bookmarkStart w:id="103" w:name="_Toc86655823"/>
      <w:bookmarkStart w:id="104" w:name="_Toc12748"/>
      <w:r>
        <w:rPr>
          <w:rFonts w:hAnsi="宋体" w:eastAsia="宋体" w:cs="Arial"/>
          <w:b/>
          <w:bCs/>
          <w:sz w:val="28"/>
          <w:szCs w:val="28"/>
        </w:rPr>
        <w:t>第十</w:t>
      </w:r>
      <w:r>
        <w:rPr>
          <w:rFonts w:hint="eastAsia" w:hAnsi="宋体" w:eastAsia="宋体" w:cs="Arial"/>
          <w:b/>
          <w:bCs/>
          <w:sz w:val="28"/>
          <w:szCs w:val="28"/>
        </w:rPr>
        <w:t>三</w:t>
      </w:r>
      <w:r>
        <w:rPr>
          <w:rFonts w:hAnsi="宋体" w:eastAsia="宋体" w:cs="Arial"/>
          <w:b/>
          <w:bCs/>
          <w:sz w:val="28"/>
          <w:szCs w:val="28"/>
        </w:rPr>
        <w:t>部分  基金资产的估值</w:t>
      </w:r>
      <w:bookmarkEnd w:id="101"/>
      <w:bookmarkEnd w:id="102"/>
      <w:bookmarkEnd w:id="103"/>
      <w:bookmarkEnd w:id="104"/>
    </w:p>
    <w:p w14:paraId="0ECEFA67">
      <w:pPr>
        <w:spacing w:line="360" w:lineRule="auto"/>
        <w:rPr>
          <w:rFonts w:hint="eastAsia" w:ascii="宋体" w:hAnsi="宋体" w:cs="宋体"/>
        </w:rPr>
      </w:pPr>
    </w:p>
    <w:p w14:paraId="55F46333">
      <w:pPr>
        <w:adjustRightInd w:val="0"/>
        <w:snapToGrid w:val="0"/>
        <w:spacing w:line="360" w:lineRule="auto"/>
        <w:ind w:firstLine="422" w:firstLineChars="200"/>
        <w:rPr>
          <w:rFonts w:hint="eastAsia" w:ascii="宋体" w:hAnsi="宋体" w:cs="宋体"/>
          <w:b/>
          <w:color w:val="0C0C0C"/>
          <w:szCs w:val="22"/>
        </w:rPr>
      </w:pPr>
      <w:bookmarkStart w:id="105" w:name="_Toc530223193"/>
      <w:bookmarkStart w:id="106" w:name="_Toc214873601"/>
      <w:r>
        <w:rPr>
          <w:rFonts w:hint="eastAsia" w:ascii="宋体" w:hAnsi="宋体" w:cs="宋体"/>
          <w:b/>
          <w:color w:val="0C0C0C"/>
          <w:szCs w:val="22"/>
        </w:rPr>
        <w:t>一、估值日</w:t>
      </w:r>
    </w:p>
    <w:p w14:paraId="7AD5E81F">
      <w:pPr>
        <w:adjustRightInd w:val="0"/>
        <w:snapToGrid w:val="0"/>
        <w:spacing w:line="360" w:lineRule="auto"/>
        <w:ind w:firstLine="420" w:firstLineChars="200"/>
        <w:rPr>
          <w:rFonts w:hint="eastAsia" w:ascii="宋体" w:hAnsi="宋体" w:cs="宋体"/>
          <w:color w:val="0C0C0C"/>
          <w:szCs w:val="22"/>
        </w:rPr>
      </w:pPr>
      <w:r>
        <w:rPr>
          <w:rFonts w:hint="eastAsia" w:ascii="宋体" w:hAnsi="宋体" w:cs="宋体"/>
          <w:color w:val="0C0C0C"/>
          <w:szCs w:val="22"/>
        </w:rPr>
        <w:t>本基金的估值日为本基金相关的证券、期货交易场所的交易日以及国家法律法规规定需要对外披露基金净值的非交易日。</w:t>
      </w:r>
    </w:p>
    <w:p w14:paraId="4D0349F9">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二、估值对象</w:t>
      </w:r>
    </w:p>
    <w:p w14:paraId="1F9CCD15">
      <w:pPr>
        <w:adjustRightInd w:val="0"/>
        <w:snapToGrid w:val="0"/>
        <w:spacing w:line="360" w:lineRule="auto"/>
        <w:ind w:firstLine="420" w:firstLineChars="200"/>
        <w:rPr>
          <w:rFonts w:hint="eastAsia" w:ascii="宋体" w:hAnsi="宋体" w:cs="宋体"/>
          <w:bCs/>
          <w:color w:val="0C0C0C"/>
          <w:szCs w:val="22"/>
        </w:rPr>
      </w:pPr>
      <w:r>
        <w:rPr>
          <w:rFonts w:hint="eastAsia" w:ascii="宋体" w:hAnsi="宋体" w:cs="宋体"/>
          <w:bCs/>
          <w:color w:val="0C0C0C"/>
          <w:szCs w:val="22"/>
        </w:rPr>
        <w:t>基金所拥有的股票（含存托凭证）、债券、股指期货合约、国债期货合约、股票期权合约和银行存款本息、应收款项、资产支持证券、其它投资等资产及负债。</w:t>
      </w:r>
    </w:p>
    <w:p w14:paraId="062D0423">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三、估值原则</w:t>
      </w:r>
    </w:p>
    <w:p w14:paraId="16EF822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基金管理人在确定相关金融资产和金融负债的公允价值时，应符合《企业会计准则》、监管部门有关规定。</w:t>
      </w:r>
    </w:p>
    <w:p w14:paraId="2C13199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5DDCDF6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155765C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C0273BD">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四、估值方法</w:t>
      </w:r>
    </w:p>
    <w:p w14:paraId="60E47B3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F64E6D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2、对于已上市或已挂牌转让的不含权固定收益品种，选取估值日第三方估值基准服务机构提供的相应品种当日的估值全价进行估值。</w:t>
      </w:r>
    </w:p>
    <w:p w14:paraId="2AFB19A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3、对于已上市或已挂牌转让的含权固定收益品种，选取估值日第三方估值基准服务机构提供的相应品种当日的唯一估值全价或推荐估值全价进行估值。</w:t>
      </w:r>
    </w:p>
    <w:p w14:paraId="18AB7C2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B429AD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0FE78D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5、对于未上市或未挂牌转让且不存在活跃市场的固定收益品种，应采用在当前情况下适用并且有足够可利用数据和其他信息支持的估值技术确定其公允价值。</w:t>
      </w:r>
    </w:p>
    <w:p w14:paraId="7A6A72F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6、处于未上市期间的有价证券应区分如下情况处理：</w:t>
      </w:r>
    </w:p>
    <w:p w14:paraId="44D64DC7">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（1）送股、转增股、配股和公开增发的新股，按估值日在证券交易所挂牌的同一股票的估值方法估值；该日无交易的，以最近一日的市价（收盘价）估值；</w:t>
      </w:r>
    </w:p>
    <w:p w14:paraId="5BCA29F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（2）首次公开发行未上市的股票，采用估值技术确定公允价值；</w:t>
      </w:r>
    </w:p>
    <w:p w14:paraId="0A7ABAB9">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0E575D0">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7、本基金投资存托凭证的估值核算，依照境内上市交易的股票执行。</w:t>
      </w:r>
    </w:p>
    <w:p w14:paraId="43BD0AE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8、同一证券同时在两个或两个以上市场交易的，按证券所处的市场分别估值。</w:t>
      </w:r>
    </w:p>
    <w:p w14:paraId="64F9AF0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9、本基金参与股指期货、国债期货合约交易，一般以估值当日结算价确定公允价值，估值当日无结算价的，且最近交易日后未发生影响公允价值计量的重大事件的，采用最近交易日结算价估值。</w:t>
      </w:r>
    </w:p>
    <w:p w14:paraId="3E6A57B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10、本基金投资股票期权，根据相关法律法规以及监管部门的规定估值。</w:t>
      </w:r>
    </w:p>
    <w:p w14:paraId="3C7AEB00">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11、本基金参与融资及转融通证券出借业务的，应参照法律法规及行业协会的相关规定进行估值。</w:t>
      </w:r>
    </w:p>
    <w:p w14:paraId="502A535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w:t>
      </w:r>
      <w:r>
        <w:rPr>
          <w:rFonts w:ascii="宋体" w:hAnsi="宋体" w:cs="宋体"/>
          <w:color w:val="0C0C0C"/>
          <w:szCs w:val="21"/>
        </w:rPr>
        <w:t>2</w:t>
      </w:r>
      <w:r>
        <w:rPr>
          <w:rFonts w:hint="eastAsia" w:ascii="宋体" w:hAnsi="宋体" w:cs="宋体"/>
          <w:color w:val="0C0C0C"/>
          <w:szCs w:val="21"/>
        </w:rPr>
        <w:t>、银行存款、回购等固定收益工具按照约定利率在持有期内逐日确认利息收入，在利息到账日以实收利息入账。</w:t>
      </w:r>
    </w:p>
    <w:p w14:paraId="764B15AA">
      <w:pPr>
        <w:adjustRightInd w:val="0"/>
        <w:snapToGrid w:val="0"/>
        <w:spacing w:line="360" w:lineRule="auto"/>
        <w:ind w:firstLine="420" w:firstLineChars="200"/>
        <w:rPr>
          <w:rFonts w:hint="eastAsia" w:ascii="宋体" w:hAnsi="宋体" w:cs="宋体"/>
          <w:color w:val="0C0C0C"/>
          <w:szCs w:val="21"/>
        </w:rPr>
      </w:pPr>
      <w:r>
        <w:rPr>
          <w:rFonts w:ascii="宋体" w:hAnsi="宋体" w:cs="宋体"/>
          <w:color w:val="0C0C0C"/>
          <w:szCs w:val="21"/>
        </w:rPr>
        <w:t>13</w:t>
      </w:r>
      <w:r>
        <w:rPr>
          <w:rFonts w:hint="eastAsia" w:ascii="宋体" w:hAnsi="宋体" w:cs="宋体"/>
          <w:color w:val="0C0C0C"/>
          <w:szCs w:val="21"/>
        </w:rPr>
        <w:t>、如有确凿证据表明按上述方法进行估值不能客观反映其公允价值的，基金管理人可根据具体情况与基金托管人商定后，按最能反映公允价值的方法估值。</w:t>
      </w:r>
    </w:p>
    <w:p w14:paraId="440BA3E1">
      <w:pPr>
        <w:adjustRightInd w:val="0"/>
        <w:snapToGrid w:val="0"/>
        <w:spacing w:line="360" w:lineRule="auto"/>
        <w:ind w:firstLine="420" w:firstLineChars="200"/>
        <w:rPr>
          <w:rFonts w:hint="eastAsia" w:ascii="宋体" w:hAnsi="宋体" w:cs="宋体"/>
          <w:color w:val="0C0C0C"/>
          <w:szCs w:val="21"/>
        </w:rPr>
      </w:pPr>
      <w:r>
        <w:rPr>
          <w:rFonts w:ascii="宋体" w:hAnsi="宋体" w:cs="宋体"/>
          <w:color w:val="0C0C0C"/>
          <w:szCs w:val="21"/>
        </w:rPr>
        <w:t>14</w:t>
      </w:r>
      <w:r>
        <w:rPr>
          <w:rFonts w:hint="eastAsia" w:ascii="宋体" w:hAnsi="宋体" w:cs="宋体"/>
          <w:color w:val="0C0C0C"/>
          <w:szCs w:val="21"/>
        </w:rPr>
        <w:t>、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3C8E3A07">
      <w:pPr>
        <w:adjustRightInd w:val="0"/>
        <w:snapToGrid w:val="0"/>
        <w:spacing w:line="360" w:lineRule="auto"/>
        <w:ind w:firstLine="420" w:firstLineChars="200"/>
        <w:rPr>
          <w:rFonts w:hint="eastAsia" w:ascii="宋体" w:hAnsi="宋体" w:cs="宋体"/>
          <w:b/>
          <w:color w:val="0C0C0C"/>
          <w:szCs w:val="22"/>
        </w:rPr>
      </w:pPr>
      <w:r>
        <w:rPr>
          <w:rFonts w:hint="eastAsia" w:ascii="宋体" w:hAnsi="宋体" w:cs="宋体"/>
          <w:color w:val="0C0C0C"/>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基金托管人不承担由此引致的任何责任和损失。</w:t>
      </w:r>
    </w:p>
    <w:p w14:paraId="15606DD1">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五、估值程序</w:t>
      </w:r>
    </w:p>
    <w:p w14:paraId="1C622CD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295470B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基金管理人于每个工作日计算基金资产净值及基金份额净值，并按规定公告。</w:t>
      </w:r>
    </w:p>
    <w:p w14:paraId="3B5DF12E">
      <w:pPr>
        <w:adjustRightInd w:val="0"/>
        <w:snapToGrid w:val="0"/>
        <w:spacing w:line="360" w:lineRule="auto"/>
        <w:ind w:firstLine="420" w:firstLineChars="200"/>
        <w:rPr>
          <w:rFonts w:hint="eastAsia" w:ascii="宋体" w:hAnsi="宋体" w:cs="宋体"/>
          <w:b/>
          <w:color w:val="0C0C0C"/>
          <w:szCs w:val="22"/>
        </w:rPr>
      </w:pPr>
      <w:r>
        <w:rPr>
          <w:rFonts w:hint="eastAsia" w:ascii="宋体" w:hAnsi="宋体" w:cs="宋体"/>
          <w:color w:val="0C0C0C"/>
          <w:szCs w:val="21"/>
        </w:rPr>
        <w:t>2、基金管理人应每个工作日对基金资产估值。但基金管理人根据法律法规或基金合同的规定暂停估值时除外。基金管理人每个工作日对基金资产估值后，将基金份额净值结果以双方认可的方式发送基金托管人，基金托管人复核无误后，将复核结果以双方认可的方式反馈给基金管理人，由基金管理人按规定对外公布。</w:t>
      </w:r>
    </w:p>
    <w:p w14:paraId="45ECD3DE">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六、估值错误的处理</w:t>
      </w:r>
    </w:p>
    <w:p w14:paraId="518DDE14">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基金管理人和基金托管人将采取必要、适当、合理的措施确保基金资产估值的准确性、及时性。当基金份额净值小数点后4位以内(含第4位)发生估值错误时，视为基金份额净值错误。</w:t>
      </w:r>
    </w:p>
    <w:p w14:paraId="2FB08C3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基金合同的当事人应按照以下约定处理：</w:t>
      </w:r>
    </w:p>
    <w:p w14:paraId="1A558DC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1、估值错误类型</w:t>
      </w:r>
    </w:p>
    <w:p w14:paraId="39BEB30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007D75D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上述估值错误的主要类型包括但不限于：资料申报差错、数据传输差错、数据计算差错、系统故障差错、下达指令差错等。对于因技术原因引起的差错，若系同行业现有技术水平不能预见、不能避免、不能克服，则属不可抗力，按照相关规定执行。</w:t>
      </w:r>
    </w:p>
    <w:p w14:paraId="12F6D337">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5024026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2、估值错误处理原则</w:t>
      </w:r>
    </w:p>
    <w:p w14:paraId="679C39E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E8C7EAA">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（2）估值错误的责任方对有关当事人的直接损失负责，不对间接损失负责，并且仅对估值错误的有关直接当事人负责，不对第三方负责。</w:t>
      </w:r>
    </w:p>
    <w:p w14:paraId="6E2AE9A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37669A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（4）估值错误调整采用尽量恢复至假设未发生估值错误的正确情形的方式。</w:t>
      </w:r>
    </w:p>
    <w:p w14:paraId="5ECBC61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3、估值错误处理程序</w:t>
      </w:r>
    </w:p>
    <w:p w14:paraId="157D77E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估值错误被发现后，有关的当事人应当及时进行处理，处理的程序如下：</w:t>
      </w:r>
    </w:p>
    <w:p w14:paraId="22E9E40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（1）查明估值错误发生的原因，列明所有的当事人，并根据估值错误发生的原因确定估值错误的责任方；</w:t>
      </w:r>
    </w:p>
    <w:p w14:paraId="23F0C854">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（2）根据估值错误处理原则或当事人协商的方法对因估值错误造成的损失进行评估；</w:t>
      </w:r>
    </w:p>
    <w:p w14:paraId="54F471F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（3）根据估值错误处理原则或当事人协商的方法由估值错误的责任方进行更正和赔偿损失；</w:t>
      </w:r>
    </w:p>
    <w:p w14:paraId="1E35B67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（4）根据估值错误处理的方法，需要修改基金登记机构交易数据的，由基金登记机构进行更正，并就估值错误的更正向有关当事人进行确认。</w:t>
      </w:r>
    </w:p>
    <w:p w14:paraId="26E1CFB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4、基金份额净值估值错误处理的方法如下：</w:t>
      </w:r>
    </w:p>
    <w:p w14:paraId="3EFEBE8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（1）基金份额净值计算出现错误时，基金管理人应当立即予以纠正，通报基金托管人，并采取合理的措施防止损失进一步扩大。</w:t>
      </w:r>
    </w:p>
    <w:p w14:paraId="55FEC0F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（2）错误偏差达到基金份额净值的0.25%时，基金管理人应当通报基金托管人并报中国证监会备案；错误偏差达到基金份额净值的0.5%时，基金管理人应当公告，及时通知基金托管人并报中国证监会备案。</w:t>
      </w:r>
    </w:p>
    <w:p w14:paraId="10E2D71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（3）前述内容如法律法规或者监管部门另有规定的，从其规定。如果行业另有通行做法，基金管理人和基金托管人应本着平等和保护基金份额持有人利益的原则进行协商。</w:t>
      </w:r>
    </w:p>
    <w:p w14:paraId="0970DA32">
      <w:pPr>
        <w:adjustRightInd w:val="0"/>
        <w:snapToGrid w:val="0"/>
        <w:spacing w:line="360" w:lineRule="auto"/>
        <w:ind w:left="420"/>
        <w:rPr>
          <w:rFonts w:hint="eastAsia" w:ascii="宋体" w:hAnsi="宋体" w:cs="宋体"/>
          <w:b/>
          <w:color w:val="0C0C0C"/>
          <w:szCs w:val="22"/>
        </w:rPr>
      </w:pPr>
      <w:r>
        <w:rPr>
          <w:rFonts w:hint="eastAsia" w:ascii="宋体" w:hAnsi="宋体" w:cs="宋体"/>
          <w:b/>
          <w:color w:val="0C0C0C"/>
          <w:szCs w:val="22"/>
        </w:rPr>
        <w:t>七、暂停估值的情形</w:t>
      </w:r>
    </w:p>
    <w:p w14:paraId="52ACB879">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1、基金投资所涉及的证券/期货交易市场遇法定节假日或因其他原因暂停营业时；</w:t>
      </w:r>
    </w:p>
    <w:p w14:paraId="7D8BB7E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2、因不可抗力或者其他情形致使基金管理人、基金托管人无法准确评估基金资产价值时；</w:t>
      </w:r>
    </w:p>
    <w:p w14:paraId="0F3FBE4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3、当前一估值日基金资产净值50%以上的资产出现无可参考的活跃市场价格且采用估值技术仍导致公允价值存在重大不确定性时，经与基金托管人协商确认后，基金管理人应当暂停估值；</w:t>
      </w:r>
    </w:p>
    <w:p w14:paraId="5B59451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4、法律法规、中国证监会和基金合同认定的其它情形。</w:t>
      </w:r>
    </w:p>
    <w:p w14:paraId="25E76AF1">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八、基金净值的确认</w:t>
      </w:r>
    </w:p>
    <w:p w14:paraId="7CBB3819">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w:t>
      </w:r>
    </w:p>
    <w:p w14:paraId="516E686E">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九、特殊情况的处理</w:t>
      </w:r>
    </w:p>
    <w:p w14:paraId="7FA66D99">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1、基金管理人或基金托管人按估值方法的第</w:t>
      </w:r>
      <w:r>
        <w:rPr>
          <w:rFonts w:ascii="宋体" w:hAnsi="宋体" w:cs="宋体"/>
          <w:color w:val="0C0C0C"/>
          <w:szCs w:val="21"/>
        </w:rPr>
        <w:t>13</w:t>
      </w:r>
      <w:r>
        <w:rPr>
          <w:rFonts w:hint="eastAsia" w:ascii="宋体" w:hAnsi="宋体" w:cs="宋体"/>
          <w:color w:val="0C0C0C"/>
          <w:szCs w:val="21"/>
        </w:rPr>
        <w:t>项进行估值时，所造成的误差不作为基金资产估值错误处理。</w:t>
      </w:r>
    </w:p>
    <w:p w14:paraId="4D8B0D1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由于不可抗力原因，或证券/期货交易所、指数编制机构、第三方估值基准服务机构及存款银行等第三方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18AEA278">
      <w:pPr>
        <w:adjustRightInd w:val="0"/>
        <w:snapToGrid w:val="0"/>
        <w:spacing w:line="360" w:lineRule="auto"/>
        <w:ind w:firstLine="420" w:firstLineChars="200"/>
        <w:rPr>
          <w:rFonts w:hint="eastAsia" w:ascii="宋体" w:hAnsi="宋体"/>
          <w:color w:val="0C0C0C"/>
          <w:szCs w:val="22"/>
        </w:rPr>
        <w:sectPr>
          <w:footerReference r:id="rId30" w:type="first"/>
          <w:footerReference r:id="rId29" w:type="default"/>
          <w:pgSz w:w="11906" w:h="16838"/>
          <w:pgMar w:top="1440" w:right="1800" w:bottom="1440" w:left="1800" w:header="851" w:footer="992" w:gutter="0"/>
          <w:cols w:space="720" w:num="1"/>
          <w:titlePg/>
          <w:docGrid w:type="lines" w:linePitch="312" w:charSpace="0"/>
        </w:sectPr>
      </w:pPr>
    </w:p>
    <w:p w14:paraId="2B88FBC3">
      <w:pPr>
        <w:pStyle w:val="2"/>
        <w:snapToGrid w:val="0"/>
        <w:spacing w:before="0" w:after="0" w:line="360" w:lineRule="auto"/>
        <w:ind w:firstLine="141" w:firstLineChars="50"/>
        <w:rPr>
          <w:rFonts w:hint="eastAsia" w:hAnsi="宋体" w:eastAsia="宋体" w:cs="Arial"/>
          <w:b/>
          <w:bCs/>
          <w:sz w:val="28"/>
          <w:szCs w:val="28"/>
        </w:rPr>
      </w:pPr>
      <w:bookmarkStart w:id="107" w:name="_Toc86655824"/>
      <w:bookmarkStart w:id="108" w:name="_Toc50661133"/>
      <w:bookmarkStart w:id="109" w:name="_Toc25634"/>
      <w:r>
        <w:rPr>
          <w:rFonts w:hAnsi="宋体" w:eastAsia="宋体" w:cs="Arial"/>
          <w:b/>
          <w:bCs/>
          <w:sz w:val="28"/>
          <w:szCs w:val="28"/>
        </w:rPr>
        <w:t>第十</w:t>
      </w:r>
      <w:r>
        <w:rPr>
          <w:rFonts w:hint="eastAsia" w:hAnsi="宋体" w:eastAsia="宋体" w:cs="Arial"/>
          <w:b/>
          <w:bCs/>
          <w:sz w:val="28"/>
          <w:szCs w:val="28"/>
        </w:rPr>
        <w:t xml:space="preserve">四部分 </w:t>
      </w:r>
      <w:bookmarkEnd w:id="105"/>
      <w:r>
        <w:rPr>
          <w:rFonts w:hint="eastAsia" w:hAnsi="宋体" w:eastAsia="宋体" w:cs="Arial"/>
          <w:b/>
          <w:bCs/>
          <w:sz w:val="28"/>
          <w:szCs w:val="28"/>
        </w:rPr>
        <w:t xml:space="preserve"> 基金的收益与分配</w:t>
      </w:r>
      <w:bookmarkEnd w:id="106"/>
      <w:bookmarkEnd w:id="107"/>
      <w:bookmarkEnd w:id="108"/>
      <w:bookmarkEnd w:id="109"/>
    </w:p>
    <w:p w14:paraId="1ABDAA80">
      <w:pPr>
        <w:spacing w:line="360" w:lineRule="auto"/>
        <w:rPr>
          <w:rFonts w:hint="eastAsia" w:ascii="宋体" w:hAnsi="宋体"/>
        </w:rPr>
      </w:pPr>
    </w:p>
    <w:p w14:paraId="0C35D6BA">
      <w:pPr>
        <w:adjustRightInd w:val="0"/>
        <w:snapToGrid w:val="0"/>
        <w:spacing w:line="360" w:lineRule="auto"/>
        <w:ind w:firstLine="422" w:firstLineChars="200"/>
        <w:rPr>
          <w:rFonts w:hint="eastAsia" w:ascii="宋体" w:hAnsi="宋体" w:cs="宋体"/>
          <w:b/>
          <w:bCs/>
          <w:color w:val="000000"/>
          <w:szCs w:val="21"/>
        </w:rPr>
      </w:pPr>
      <w:bookmarkStart w:id="110" w:name="_Toc147463128"/>
      <w:bookmarkStart w:id="111" w:name="_Toc21073401"/>
      <w:bookmarkStart w:id="112" w:name="_Toc12357181"/>
      <w:bookmarkStart w:id="113" w:name="_Toc214873602"/>
      <w:r>
        <w:rPr>
          <w:rFonts w:hint="eastAsia" w:ascii="宋体" w:hAnsi="宋体" w:cs="宋体"/>
          <w:b/>
          <w:bCs/>
          <w:color w:val="000000"/>
          <w:szCs w:val="21"/>
        </w:rPr>
        <w:t>一、基金收益分配原则</w:t>
      </w:r>
    </w:p>
    <w:p w14:paraId="35FC22D7">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1、本基金基金份额的收益分配方式采用现金分红； </w:t>
      </w:r>
    </w:p>
    <w:p w14:paraId="28F9B935">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2、当收益评价日核定的基金份额净值增长率超过标的指数同期增长率达到0.01%以上时，可进行收益分配； </w:t>
      </w:r>
    </w:p>
    <w:p w14:paraId="7979EBCE">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 </w:t>
      </w:r>
    </w:p>
    <w:p w14:paraId="477A9FBC">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4、若《基金合同》生效不满3个月可不进行收益分配； </w:t>
      </w:r>
    </w:p>
    <w:p w14:paraId="57B1CC77">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5、每一基金份额享有同等分配权； </w:t>
      </w:r>
    </w:p>
    <w:p w14:paraId="53DF2AB2">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6、法律法规或监管机关、证券交易所、登记机构另有规定的，从其规定。 </w:t>
      </w:r>
    </w:p>
    <w:p w14:paraId="2CE4D700">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 xml:space="preserve">在不违反法律法规且对基金份额持有人利益无实质性不利影响的前提下，基金管理人经与基金托管人协商一致后可对基金收益分配原则进行调整，并及时公告。 </w:t>
      </w:r>
    </w:p>
    <w:p w14:paraId="0A83405B">
      <w:pPr>
        <w:adjustRightInd w:val="0"/>
        <w:snapToGrid w:val="0"/>
        <w:spacing w:line="360" w:lineRule="auto"/>
        <w:ind w:firstLine="422" w:firstLineChars="200"/>
        <w:rPr>
          <w:rFonts w:hint="eastAsia" w:ascii="宋体" w:hAnsi="宋体" w:cs="宋体"/>
          <w:b/>
          <w:bCs/>
          <w:color w:val="000000"/>
          <w:szCs w:val="21"/>
        </w:rPr>
      </w:pPr>
      <w:r>
        <w:rPr>
          <w:rFonts w:hint="eastAsia" w:ascii="宋体" w:hAnsi="宋体" w:cs="宋体"/>
          <w:b/>
          <w:bCs/>
          <w:color w:val="000000"/>
          <w:szCs w:val="21"/>
        </w:rPr>
        <w:t>二、基金收益分配比例及金额的确定原则</w:t>
      </w:r>
    </w:p>
    <w:p w14:paraId="299A69F7">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1、在收益评价日，基金管理人计算基金份额净值增长率、标的指数同期增长率。</w:t>
      </w:r>
    </w:p>
    <w:p w14:paraId="172A6AC4">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基金收益评价日本基金相对标的指数的超额收益率＝基金份额净值增长率－标的指数同期增长率。</w:t>
      </w:r>
    </w:p>
    <w:p w14:paraId="260B4D4C">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11549B09">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期间如发生基金份额折算、拆分或合并，则以基金份额折算、经拆分或合并调整后的基金份额折算日为初始日重新计算上述指标。</w:t>
      </w:r>
    </w:p>
    <w:p w14:paraId="1556A911">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收益评价日日期以本基金日后相关公告为准。</w:t>
      </w:r>
    </w:p>
    <w:p w14:paraId="2BD52EA2">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2、根据前述收益分配原则计算截至基金收益评价日本基金的份额可分配收益，并确定收益分配比例。</w:t>
      </w:r>
    </w:p>
    <w:p w14:paraId="1AFC1878">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3、根据前述可分配利润及收益分配比例计算收益分配金额。</w:t>
      </w:r>
    </w:p>
    <w:p w14:paraId="35087468">
      <w:pPr>
        <w:adjustRightInd w:val="0"/>
        <w:snapToGrid w:val="0"/>
        <w:spacing w:line="360" w:lineRule="auto"/>
        <w:ind w:firstLine="422" w:firstLineChars="200"/>
        <w:rPr>
          <w:rFonts w:hint="eastAsia" w:ascii="宋体" w:hAnsi="宋体" w:cs="宋体"/>
          <w:b/>
          <w:bCs/>
          <w:color w:val="000000"/>
          <w:szCs w:val="21"/>
        </w:rPr>
      </w:pPr>
      <w:r>
        <w:rPr>
          <w:rFonts w:hint="eastAsia" w:ascii="宋体" w:hAnsi="宋体" w:cs="宋体"/>
          <w:b/>
          <w:bCs/>
          <w:color w:val="000000"/>
          <w:szCs w:val="21"/>
        </w:rPr>
        <w:t>三、收益分配方案</w:t>
      </w:r>
    </w:p>
    <w:p w14:paraId="32D1A2C1">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基金收益分配方案中应载明基金收益分配对象、分配时间、分配数额及比例、分配方式等内容。</w:t>
      </w:r>
    </w:p>
    <w:p w14:paraId="28B03141">
      <w:pPr>
        <w:adjustRightInd w:val="0"/>
        <w:snapToGrid w:val="0"/>
        <w:spacing w:line="360" w:lineRule="auto"/>
        <w:ind w:firstLine="422" w:firstLineChars="200"/>
        <w:rPr>
          <w:rFonts w:hint="eastAsia" w:ascii="宋体" w:hAnsi="宋体" w:cs="宋体"/>
          <w:b/>
          <w:bCs/>
          <w:color w:val="000000"/>
          <w:szCs w:val="21"/>
        </w:rPr>
      </w:pPr>
      <w:r>
        <w:rPr>
          <w:rFonts w:hint="eastAsia" w:ascii="宋体" w:hAnsi="宋体" w:cs="宋体"/>
          <w:b/>
          <w:bCs/>
          <w:color w:val="000000"/>
          <w:szCs w:val="21"/>
        </w:rPr>
        <w:t>四、收益分配方案的确定、公告与实施</w:t>
      </w:r>
    </w:p>
    <w:p w14:paraId="26F8EAD9">
      <w:pPr>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本基金收益分配方案由基金管理人拟定，并由基金托管人复核，依照《信息披露办法》的有关规定在规定媒介公告。</w:t>
      </w:r>
    </w:p>
    <w:p w14:paraId="7DB87CAC">
      <w:pPr>
        <w:adjustRightInd w:val="0"/>
        <w:snapToGrid w:val="0"/>
        <w:spacing w:line="360" w:lineRule="auto"/>
        <w:ind w:firstLine="422" w:firstLineChars="200"/>
        <w:rPr>
          <w:rFonts w:hint="eastAsia" w:ascii="宋体" w:hAnsi="宋体" w:cs="宋体"/>
          <w:b/>
          <w:bCs/>
          <w:color w:val="000000"/>
          <w:szCs w:val="21"/>
        </w:rPr>
      </w:pPr>
      <w:r>
        <w:rPr>
          <w:rFonts w:hint="eastAsia" w:ascii="宋体" w:hAnsi="宋体" w:cs="宋体"/>
          <w:b/>
          <w:bCs/>
          <w:color w:val="000000"/>
          <w:szCs w:val="21"/>
        </w:rPr>
        <w:t>五、基金收益分配中发生的费用</w:t>
      </w:r>
    </w:p>
    <w:p w14:paraId="269DF9E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00000"/>
          <w:szCs w:val="21"/>
        </w:rPr>
        <w:t>基金收益分配时所发生的银行转账或其他手续费用由投资者自行承担。</w:t>
      </w:r>
    </w:p>
    <w:p w14:paraId="1FEC08BC">
      <w:pPr>
        <w:adjustRightInd w:val="0"/>
        <w:snapToGrid w:val="0"/>
        <w:spacing w:line="360" w:lineRule="auto"/>
        <w:ind w:firstLine="420" w:firstLineChars="200"/>
        <w:rPr>
          <w:rFonts w:hint="eastAsia" w:ascii="宋体" w:hAnsi="宋体"/>
          <w:color w:val="0C0C0C"/>
          <w:szCs w:val="22"/>
        </w:rPr>
      </w:pPr>
    </w:p>
    <w:p w14:paraId="50CBA954">
      <w:pPr>
        <w:adjustRightInd w:val="0"/>
        <w:snapToGrid w:val="0"/>
        <w:spacing w:line="360" w:lineRule="auto"/>
        <w:ind w:firstLine="420" w:firstLineChars="200"/>
        <w:rPr>
          <w:rFonts w:hint="eastAsia" w:ascii="宋体" w:hAnsi="宋体"/>
          <w:color w:val="0C0C0C"/>
          <w:szCs w:val="22"/>
        </w:rPr>
        <w:sectPr>
          <w:footerReference r:id="rId32" w:type="first"/>
          <w:footerReference r:id="rId31" w:type="default"/>
          <w:pgSz w:w="11906" w:h="16838"/>
          <w:pgMar w:top="1440" w:right="1800" w:bottom="1440" w:left="1800" w:header="851" w:footer="992" w:gutter="0"/>
          <w:cols w:space="720" w:num="1"/>
          <w:titlePg/>
          <w:docGrid w:type="lines" w:linePitch="312" w:charSpace="0"/>
        </w:sectPr>
      </w:pPr>
    </w:p>
    <w:p w14:paraId="1FB49190">
      <w:pPr>
        <w:pStyle w:val="2"/>
        <w:snapToGrid w:val="0"/>
        <w:spacing w:before="0" w:after="0" w:line="360" w:lineRule="auto"/>
        <w:ind w:firstLine="141" w:firstLineChars="50"/>
        <w:rPr>
          <w:rFonts w:hint="eastAsia" w:hAnsi="宋体" w:eastAsia="宋体" w:cs="Arial"/>
          <w:b/>
          <w:bCs/>
          <w:sz w:val="28"/>
          <w:szCs w:val="28"/>
        </w:rPr>
      </w:pPr>
      <w:bookmarkStart w:id="114" w:name="_Toc86655825"/>
      <w:bookmarkStart w:id="115" w:name="_Toc50661134"/>
      <w:bookmarkStart w:id="116" w:name="_Toc13642"/>
      <w:r>
        <w:rPr>
          <w:rFonts w:hAnsi="宋体" w:eastAsia="宋体" w:cs="Arial"/>
          <w:b/>
          <w:bCs/>
          <w:sz w:val="28"/>
          <w:szCs w:val="28"/>
        </w:rPr>
        <w:t>第十</w:t>
      </w:r>
      <w:r>
        <w:rPr>
          <w:rFonts w:hint="eastAsia" w:hAnsi="宋体" w:eastAsia="宋体" w:cs="Arial"/>
          <w:b/>
          <w:bCs/>
          <w:sz w:val="28"/>
          <w:szCs w:val="28"/>
        </w:rPr>
        <w:t>五</w:t>
      </w:r>
      <w:r>
        <w:rPr>
          <w:rFonts w:hAnsi="宋体" w:eastAsia="宋体" w:cs="Arial"/>
          <w:b/>
          <w:bCs/>
          <w:sz w:val="28"/>
          <w:szCs w:val="28"/>
        </w:rPr>
        <w:t>部分  基金费用与税收</w:t>
      </w:r>
      <w:bookmarkEnd w:id="110"/>
      <w:bookmarkEnd w:id="111"/>
      <w:bookmarkEnd w:id="112"/>
      <w:bookmarkEnd w:id="113"/>
      <w:bookmarkEnd w:id="114"/>
      <w:bookmarkEnd w:id="115"/>
      <w:bookmarkEnd w:id="116"/>
    </w:p>
    <w:p w14:paraId="3A155184">
      <w:pPr>
        <w:spacing w:line="360" w:lineRule="auto"/>
        <w:rPr>
          <w:rFonts w:hint="eastAsia" w:ascii="宋体" w:hAnsi="宋体" w:cs="宋体"/>
          <w:b/>
        </w:rPr>
      </w:pPr>
    </w:p>
    <w:p w14:paraId="49FF37CD">
      <w:pPr>
        <w:adjustRightInd w:val="0"/>
        <w:snapToGrid w:val="0"/>
        <w:spacing w:line="360" w:lineRule="auto"/>
        <w:ind w:firstLine="422" w:firstLineChars="200"/>
        <w:rPr>
          <w:rFonts w:hint="eastAsia" w:ascii="宋体" w:hAnsi="宋体" w:cs="宋体"/>
          <w:b/>
          <w:color w:val="0C0C0C"/>
          <w:szCs w:val="22"/>
        </w:rPr>
      </w:pPr>
      <w:bookmarkStart w:id="117" w:name="_Toc214873603"/>
      <w:r>
        <w:rPr>
          <w:rFonts w:hint="eastAsia" w:ascii="宋体" w:hAnsi="宋体" w:cs="宋体"/>
          <w:b/>
          <w:color w:val="0C0C0C"/>
          <w:szCs w:val="22"/>
        </w:rPr>
        <w:t>一、基金费用的种类</w:t>
      </w:r>
    </w:p>
    <w:p w14:paraId="7D69F5AC">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1、基金管理人的管理费；</w:t>
      </w:r>
    </w:p>
    <w:p w14:paraId="43F366F7">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2、基金托管人的托管费；</w:t>
      </w:r>
    </w:p>
    <w:p w14:paraId="2DB728D7">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3、基金的证券、期货、期权交易费用；</w:t>
      </w:r>
    </w:p>
    <w:p w14:paraId="5D8FB76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4、《基金合同》生效后与基金相关的信息披露费用，但法律法规、中国证监会另有规定的除外；</w:t>
      </w:r>
    </w:p>
    <w:p w14:paraId="5C4399DA">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5、《基金合同》生效后与基金相关的公证费、会计师费、审计费、律师费、仲裁费和诉讼费；</w:t>
      </w:r>
    </w:p>
    <w:p w14:paraId="1626CB0A">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6、基金份额持有人大会费用；</w:t>
      </w:r>
    </w:p>
    <w:p w14:paraId="0F4BC19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7、基金银行汇划费用、账户开户及维护费用、场内注册登记费用、IOPV计算与发布费用、收益分配中发生的费用（银行转账或其他手续费用除外）；</w:t>
      </w:r>
    </w:p>
    <w:p w14:paraId="7A0C5E0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8、基金上市初费及年费；</w:t>
      </w:r>
    </w:p>
    <w:p w14:paraId="6605332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9、按照国家有关规定和《基金合同》约定，可以在基金财产中列支的其他费用。</w:t>
      </w:r>
    </w:p>
    <w:p w14:paraId="0C9FDD9A">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二、基金费用计提方法、计提标准和支付方式</w:t>
      </w:r>
    </w:p>
    <w:p w14:paraId="4FBFB23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1、基金管理人的管理费</w:t>
      </w:r>
    </w:p>
    <w:p w14:paraId="5D05355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本基金的管理费按前一日基金资产净值的0.50%年费率计提。管理费的计算方法如下：</w:t>
      </w:r>
    </w:p>
    <w:p w14:paraId="287496F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H＝E×0.50%÷当年天数</w:t>
      </w:r>
    </w:p>
    <w:p w14:paraId="543625E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H为每日应计提的基金管理费</w:t>
      </w:r>
    </w:p>
    <w:p w14:paraId="78DCCDC3">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E为前一日的基金资产净值</w:t>
      </w:r>
    </w:p>
    <w:p w14:paraId="516C2F2D">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bCs/>
          <w:szCs w:val="21"/>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至最近一个工作日。</w:t>
      </w:r>
    </w:p>
    <w:p w14:paraId="749E64F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2、基金托管人的托管费</w:t>
      </w:r>
    </w:p>
    <w:p w14:paraId="49ED3D5A">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本基金的托管费按前一日基金资产净值的0.10%年费率计提。托管费的计算方法如下：</w:t>
      </w:r>
    </w:p>
    <w:p w14:paraId="36AC239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H＝E×0.10%÷当年天数</w:t>
      </w:r>
    </w:p>
    <w:p w14:paraId="0905BA41">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H为每日应计提的基金托管费</w:t>
      </w:r>
    </w:p>
    <w:p w14:paraId="79AD055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E为前一日的基金资产净值</w:t>
      </w:r>
    </w:p>
    <w:p w14:paraId="43DCDB81">
      <w:pPr>
        <w:adjustRightInd w:val="0"/>
        <w:snapToGrid w:val="0"/>
        <w:spacing w:line="360" w:lineRule="auto"/>
        <w:ind w:firstLine="420" w:firstLineChars="200"/>
        <w:rPr>
          <w:rFonts w:hint="eastAsia" w:ascii="宋体" w:hAnsi="宋体" w:cs="宋体"/>
          <w:bCs/>
          <w:szCs w:val="21"/>
        </w:rPr>
      </w:pPr>
      <w:r>
        <w:rPr>
          <w:rFonts w:hint="eastAsia" w:ascii="宋体" w:hAnsi="宋体" w:cs="宋体"/>
          <w:bCs/>
          <w:szCs w:val="21"/>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至最近一个工作日。</w:t>
      </w:r>
    </w:p>
    <w:p w14:paraId="758581D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bCs/>
          <w:szCs w:val="21"/>
        </w:rPr>
        <w:t>上述“一、基金费用的种类”中第3－9项费用，根据有关法规及相应协议规定，按费用实际支出金额列入当期费用，由基金托管人从基金财产中支付。</w:t>
      </w:r>
    </w:p>
    <w:p w14:paraId="2B678720">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三、不列入基金费用的项目</w:t>
      </w:r>
    </w:p>
    <w:p w14:paraId="2D892C30">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1、基金管理人和基金托管人因未履行或未完全履行义务导致的费用支出或基金财产的损失；</w:t>
      </w:r>
    </w:p>
    <w:p w14:paraId="7F6F1C95">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2、基金管理人和基金托管人处理与基金运作无关的事项发生的费用；</w:t>
      </w:r>
    </w:p>
    <w:p w14:paraId="2370327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3、《基金合同》生效前的相关费用；</w:t>
      </w:r>
    </w:p>
    <w:p w14:paraId="0E3FA66E">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4、指数许可使用费；</w:t>
      </w:r>
    </w:p>
    <w:p w14:paraId="27B1A96F">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5、其他根据相关法律法规及中国证监会的有关规定不得列入基金费用的项目。</w:t>
      </w:r>
    </w:p>
    <w:p w14:paraId="392C9AFB">
      <w:pPr>
        <w:adjustRightInd w:val="0"/>
        <w:snapToGrid w:val="0"/>
        <w:spacing w:line="360" w:lineRule="auto"/>
        <w:ind w:firstLine="422" w:firstLineChars="200"/>
        <w:rPr>
          <w:rFonts w:hint="eastAsia" w:ascii="宋体" w:hAnsi="宋体" w:cs="宋体"/>
          <w:b/>
          <w:color w:val="0C0C0C"/>
          <w:szCs w:val="22"/>
        </w:rPr>
      </w:pPr>
      <w:r>
        <w:rPr>
          <w:rFonts w:hint="eastAsia" w:ascii="宋体" w:hAnsi="宋体" w:cs="宋体"/>
          <w:b/>
          <w:color w:val="0C0C0C"/>
          <w:szCs w:val="22"/>
        </w:rPr>
        <w:t>四、基金税收</w:t>
      </w:r>
    </w:p>
    <w:p w14:paraId="492E0F05">
      <w:pPr>
        <w:adjustRightInd w:val="0"/>
        <w:snapToGrid w:val="0"/>
        <w:spacing w:line="360" w:lineRule="auto"/>
        <w:ind w:firstLine="420" w:firstLineChars="200"/>
        <w:rPr>
          <w:rFonts w:hint="eastAsia" w:ascii="宋体" w:hAnsi="宋体" w:cs="宋体"/>
          <w:color w:val="0C0C0C"/>
          <w:szCs w:val="22"/>
        </w:rPr>
        <w:sectPr>
          <w:footerReference r:id="rId34" w:type="first"/>
          <w:footerReference r:id="rId33" w:type="default"/>
          <w:pgSz w:w="11906" w:h="16838"/>
          <w:pgMar w:top="1440" w:right="1800" w:bottom="1440" w:left="1800" w:header="851" w:footer="992" w:gutter="0"/>
          <w:cols w:space="720" w:num="1"/>
          <w:titlePg/>
          <w:docGrid w:type="lines" w:linePitch="312" w:charSpace="0"/>
        </w:sectPr>
      </w:pPr>
      <w:bookmarkStart w:id="118" w:name="_Hlt70496289"/>
      <w:bookmarkEnd w:id="118"/>
      <w:r>
        <w:rPr>
          <w:rFonts w:hint="eastAsia" w:ascii="宋体" w:hAnsi="宋体" w:cs="宋体"/>
          <w:color w:val="0C0C0C"/>
          <w:szCs w:val="22"/>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26761339">
      <w:pPr>
        <w:pStyle w:val="2"/>
        <w:snapToGrid w:val="0"/>
        <w:spacing w:before="0" w:after="0" w:line="360" w:lineRule="auto"/>
        <w:ind w:firstLine="141" w:firstLineChars="50"/>
        <w:rPr>
          <w:rFonts w:hint="eastAsia" w:hAnsi="宋体" w:eastAsia="宋体" w:cs="Arial"/>
          <w:b/>
          <w:bCs/>
          <w:sz w:val="28"/>
          <w:szCs w:val="28"/>
        </w:rPr>
      </w:pPr>
      <w:bookmarkStart w:id="119" w:name="_Toc86655826"/>
      <w:bookmarkStart w:id="120" w:name="_Toc50661135"/>
      <w:bookmarkStart w:id="121" w:name="_Toc13959"/>
      <w:r>
        <w:rPr>
          <w:rFonts w:hAnsi="宋体" w:eastAsia="宋体" w:cs="Arial"/>
          <w:b/>
          <w:bCs/>
          <w:sz w:val="28"/>
          <w:szCs w:val="28"/>
        </w:rPr>
        <w:t>第</w:t>
      </w:r>
      <w:r>
        <w:rPr>
          <w:rFonts w:hint="eastAsia" w:hAnsi="宋体" w:eastAsia="宋体" w:cs="Arial"/>
          <w:b/>
          <w:bCs/>
          <w:sz w:val="28"/>
          <w:szCs w:val="28"/>
        </w:rPr>
        <w:t>十六</w:t>
      </w:r>
      <w:r>
        <w:rPr>
          <w:rFonts w:hAnsi="宋体" w:eastAsia="宋体" w:cs="Arial"/>
          <w:b/>
          <w:bCs/>
          <w:sz w:val="28"/>
          <w:szCs w:val="28"/>
        </w:rPr>
        <w:t>部分  基金的会计与审计</w:t>
      </w:r>
      <w:bookmarkEnd w:id="117"/>
      <w:bookmarkEnd w:id="119"/>
      <w:bookmarkEnd w:id="120"/>
      <w:bookmarkEnd w:id="121"/>
    </w:p>
    <w:p w14:paraId="5D06F978">
      <w:pPr>
        <w:spacing w:line="360" w:lineRule="auto"/>
        <w:ind w:firstLine="422" w:firstLineChars="200"/>
        <w:rPr>
          <w:rFonts w:hint="eastAsia" w:ascii="宋体" w:hAnsi="宋体" w:cs="Arial"/>
          <w:b/>
          <w:szCs w:val="21"/>
        </w:rPr>
      </w:pPr>
      <w:bookmarkStart w:id="122" w:name="OLE_LINK31"/>
      <w:bookmarkStart w:id="123" w:name="_Toc79978642"/>
      <w:bookmarkStart w:id="124" w:name="_Toc214873604"/>
      <w:r>
        <w:rPr>
          <w:rFonts w:hint="eastAsia" w:ascii="宋体" w:hAnsi="宋体" w:cs="Arial"/>
          <w:b/>
          <w:szCs w:val="21"/>
        </w:rPr>
        <w:t>一、</w:t>
      </w:r>
      <w:r>
        <w:rPr>
          <w:rFonts w:ascii="宋体" w:hAnsi="宋体" w:cs="Arial"/>
          <w:b/>
          <w:szCs w:val="21"/>
        </w:rPr>
        <w:t>基金的会计政策</w:t>
      </w:r>
    </w:p>
    <w:p w14:paraId="29DCAC29">
      <w:pPr>
        <w:spacing w:line="360" w:lineRule="auto"/>
        <w:ind w:firstLine="420" w:firstLineChars="200"/>
        <w:rPr>
          <w:rFonts w:hint="eastAsia" w:ascii="宋体" w:hAnsi="宋体" w:cs="Arial"/>
          <w:bCs/>
          <w:szCs w:val="21"/>
        </w:rPr>
      </w:pPr>
      <w:r>
        <w:rPr>
          <w:rFonts w:hint="eastAsia" w:ascii="宋体" w:hAnsi="宋体" w:cs="Arial"/>
          <w:bCs/>
          <w:szCs w:val="21"/>
        </w:rPr>
        <w:t>1、基金管理人为本基金的基金会计责任方；</w:t>
      </w:r>
    </w:p>
    <w:p w14:paraId="17446AA9">
      <w:pPr>
        <w:spacing w:line="360" w:lineRule="auto"/>
        <w:ind w:firstLine="420" w:firstLineChars="200"/>
        <w:rPr>
          <w:rFonts w:hint="eastAsia" w:ascii="宋体" w:hAnsi="宋体" w:cs="Arial"/>
          <w:bCs/>
          <w:szCs w:val="21"/>
        </w:rPr>
      </w:pPr>
      <w:r>
        <w:rPr>
          <w:rFonts w:hint="eastAsia" w:ascii="宋体" w:hAnsi="宋体" w:cs="Arial"/>
          <w:bCs/>
          <w:szCs w:val="21"/>
        </w:rPr>
        <w:t>2、基金的会计年度为公历年度的1月1日至12月31日；基金首次募集的会计年度按如下原则：如果《基金合同》生效少于2个月，可以并入下一个会计年度披露；</w:t>
      </w:r>
    </w:p>
    <w:p w14:paraId="0FD2154D">
      <w:pPr>
        <w:spacing w:line="360" w:lineRule="auto"/>
        <w:ind w:firstLine="420" w:firstLineChars="200"/>
        <w:rPr>
          <w:rFonts w:hint="eastAsia" w:ascii="宋体" w:hAnsi="宋体" w:cs="Arial"/>
          <w:bCs/>
          <w:szCs w:val="21"/>
        </w:rPr>
      </w:pPr>
      <w:r>
        <w:rPr>
          <w:rFonts w:hint="eastAsia" w:ascii="宋体" w:hAnsi="宋体" w:cs="Arial"/>
          <w:bCs/>
          <w:szCs w:val="21"/>
        </w:rPr>
        <w:t>3、基金核算以人民币为记账本位币，以人民币元为记账单位；</w:t>
      </w:r>
    </w:p>
    <w:p w14:paraId="2E065C6E">
      <w:pPr>
        <w:spacing w:line="360" w:lineRule="auto"/>
        <w:ind w:firstLine="420" w:firstLineChars="200"/>
        <w:rPr>
          <w:rFonts w:hint="eastAsia" w:ascii="宋体" w:hAnsi="宋体" w:cs="Arial"/>
          <w:bCs/>
          <w:szCs w:val="21"/>
        </w:rPr>
      </w:pPr>
      <w:r>
        <w:rPr>
          <w:rFonts w:hint="eastAsia" w:ascii="宋体" w:hAnsi="宋体" w:cs="Arial"/>
          <w:bCs/>
          <w:szCs w:val="21"/>
        </w:rPr>
        <w:t>4、会计制度执行国家有关会计制度；</w:t>
      </w:r>
    </w:p>
    <w:p w14:paraId="0599F294">
      <w:pPr>
        <w:spacing w:line="360" w:lineRule="auto"/>
        <w:ind w:firstLine="420" w:firstLineChars="200"/>
        <w:rPr>
          <w:rFonts w:hint="eastAsia" w:ascii="宋体" w:hAnsi="宋体" w:cs="Arial"/>
          <w:bCs/>
          <w:szCs w:val="21"/>
        </w:rPr>
      </w:pPr>
      <w:r>
        <w:rPr>
          <w:rFonts w:hint="eastAsia" w:ascii="宋体" w:hAnsi="宋体" w:cs="Arial"/>
          <w:bCs/>
          <w:szCs w:val="21"/>
        </w:rPr>
        <w:t>5、本基金独立建账、独立核算；</w:t>
      </w:r>
    </w:p>
    <w:p w14:paraId="727A6145">
      <w:pPr>
        <w:spacing w:line="360" w:lineRule="auto"/>
        <w:ind w:firstLine="420" w:firstLineChars="200"/>
        <w:rPr>
          <w:rFonts w:hint="eastAsia" w:ascii="宋体" w:hAnsi="宋体" w:cs="Arial"/>
          <w:bCs/>
          <w:szCs w:val="21"/>
        </w:rPr>
      </w:pPr>
      <w:r>
        <w:rPr>
          <w:rFonts w:hint="eastAsia" w:ascii="宋体" w:hAnsi="宋体" w:cs="Arial"/>
          <w:bCs/>
          <w:szCs w:val="21"/>
        </w:rPr>
        <w:t>6、基金管理人及基金托管人各自保留完整的会计账目、凭证并进行日常的会计核算，按照有关规定编制基金会计报表；</w:t>
      </w:r>
    </w:p>
    <w:p w14:paraId="716ACC5E">
      <w:pPr>
        <w:spacing w:line="360" w:lineRule="auto"/>
        <w:ind w:firstLine="420" w:firstLineChars="200"/>
        <w:rPr>
          <w:rFonts w:hint="eastAsia" w:ascii="宋体" w:hAnsi="宋体" w:cs="Arial"/>
          <w:b/>
          <w:szCs w:val="21"/>
        </w:rPr>
      </w:pPr>
      <w:r>
        <w:rPr>
          <w:rFonts w:hint="eastAsia" w:ascii="宋体" w:hAnsi="宋体" w:cs="Arial"/>
          <w:bCs/>
          <w:szCs w:val="21"/>
        </w:rPr>
        <w:t>7、基金管理人每月与基金托管人就基金的会计核算、报表编制等进行核对并以书面方式确认。</w:t>
      </w:r>
    </w:p>
    <w:p w14:paraId="1E316D3E">
      <w:pPr>
        <w:spacing w:line="360" w:lineRule="auto"/>
        <w:ind w:firstLine="422" w:firstLineChars="200"/>
        <w:rPr>
          <w:rFonts w:hint="eastAsia" w:ascii="宋体" w:hAnsi="宋体" w:cs="Arial"/>
          <w:b/>
          <w:szCs w:val="21"/>
        </w:rPr>
      </w:pPr>
      <w:r>
        <w:rPr>
          <w:rFonts w:hint="eastAsia" w:ascii="宋体" w:hAnsi="宋体" w:cs="Arial"/>
          <w:b/>
          <w:szCs w:val="21"/>
        </w:rPr>
        <w:t>二、</w:t>
      </w:r>
      <w:r>
        <w:rPr>
          <w:rFonts w:ascii="宋体" w:hAnsi="宋体" w:cs="Arial"/>
          <w:b/>
          <w:szCs w:val="21"/>
        </w:rPr>
        <w:t>基金的</w:t>
      </w:r>
      <w:r>
        <w:rPr>
          <w:rFonts w:hint="eastAsia" w:ascii="宋体" w:hAnsi="宋体" w:cs="Arial"/>
          <w:b/>
          <w:szCs w:val="21"/>
        </w:rPr>
        <w:t>年度</w:t>
      </w:r>
      <w:r>
        <w:rPr>
          <w:rFonts w:ascii="宋体" w:hAnsi="宋体" w:cs="Arial"/>
          <w:b/>
          <w:szCs w:val="21"/>
        </w:rPr>
        <w:t>审计</w:t>
      </w:r>
    </w:p>
    <w:p w14:paraId="66CA8365">
      <w:pPr>
        <w:spacing w:line="360" w:lineRule="auto"/>
        <w:ind w:firstLine="420" w:firstLineChars="200"/>
        <w:rPr>
          <w:rFonts w:hint="eastAsia" w:ascii="宋体" w:hAnsi="宋体" w:cs="Arial"/>
          <w:bCs/>
          <w:szCs w:val="21"/>
        </w:rPr>
      </w:pPr>
      <w:r>
        <w:rPr>
          <w:rFonts w:ascii="宋体" w:hAnsi="宋体" w:cs="Arial"/>
          <w:bCs/>
          <w:szCs w:val="21"/>
        </w:rPr>
        <w:t>1</w:t>
      </w:r>
      <w:r>
        <w:rPr>
          <w:rFonts w:hint="eastAsia" w:ascii="宋体" w:hAnsi="宋体" w:cs="Arial"/>
          <w:bCs/>
          <w:szCs w:val="21"/>
        </w:rPr>
        <w:t>、基金管理人聘请与基金管理人、基金托管人相互独立的符合《证券法》规定的会计师事务所及其注册会计师对本基金的年度财务报表进行审计。</w:t>
      </w:r>
    </w:p>
    <w:p w14:paraId="7CD6EE5D">
      <w:pPr>
        <w:spacing w:line="360" w:lineRule="auto"/>
        <w:ind w:firstLine="420" w:firstLineChars="200"/>
        <w:rPr>
          <w:rFonts w:hint="eastAsia" w:ascii="宋体" w:hAnsi="宋体" w:cs="Arial"/>
          <w:bCs/>
          <w:szCs w:val="21"/>
        </w:rPr>
      </w:pPr>
      <w:r>
        <w:rPr>
          <w:rFonts w:ascii="宋体" w:hAnsi="宋体" w:cs="Arial"/>
          <w:bCs/>
          <w:szCs w:val="21"/>
        </w:rPr>
        <w:t>2</w:t>
      </w:r>
      <w:r>
        <w:rPr>
          <w:rFonts w:hint="eastAsia" w:ascii="宋体" w:hAnsi="宋体" w:cs="Arial"/>
          <w:bCs/>
          <w:szCs w:val="21"/>
        </w:rPr>
        <w:t>、会计师事务所更换经办注册会计师，应事先征得基金管理人同意。</w:t>
      </w:r>
    </w:p>
    <w:p w14:paraId="070E5314">
      <w:pPr>
        <w:spacing w:line="360" w:lineRule="auto"/>
        <w:ind w:firstLine="420" w:firstLineChars="200"/>
        <w:rPr>
          <w:rFonts w:hint="eastAsia" w:ascii="宋体" w:hAnsi="宋体" w:cs="Arial"/>
          <w:bCs/>
          <w:szCs w:val="21"/>
        </w:rPr>
        <w:sectPr>
          <w:footerReference r:id="rId35" w:type="first"/>
          <w:pgSz w:w="11906" w:h="16838"/>
          <w:pgMar w:top="1440" w:right="1800" w:bottom="1440" w:left="1800" w:header="851" w:footer="992" w:gutter="0"/>
          <w:cols w:space="720" w:num="1"/>
          <w:titlePg/>
          <w:docGrid w:type="lines" w:linePitch="312" w:charSpace="0"/>
        </w:sectPr>
      </w:pPr>
      <w:r>
        <w:rPr>
          <w:rFonts w:ascii="宋体" w:hAnsi="宋体" w:cs="Arial"/>
          <w:bCs/>
          <w:szCs w:val="21"/>
        </w:rPr>
        <w:t>3</w:t>
      </w:r>
      <w:r>
        <w:rPr>
          <w:rFonts w:hint="eastAsia" w:ascii="宋体" w:hAnsi="宋体" w:cs="Arial"/>
          <w:bCs/>
          <w:szCs w:val="21"/>
        </w:rPr>
        <w:t>、基金管理人认为有充足理由更换会计师事务所，须通报基金托管人。更换会计师事务所需按照《信息披露办法》的有关规定在规定媒介公告。</w:t>
      </w:r>
      <w:bookmarkEnd w:id="122"/>
    </w:p>
    <w:p w14:paraId="590CE213">
      <w:pPr>
        <w:spacing w:line="360" w:lineRule="auto"/>
        <w:ind w:firstLine="420" w:firstLineChars="200"/>
        <w:rPr>
          <w:rFonts w:hint="eastAsia" w:ascii="宋体" w:hAnsi="宋体" w:cs="Arial"/>
          <w:bCs/>
          <w:szCs w:val="21"/>
        </w:rPr>
      </w:pPr>
    </w:p>
    <w:p w14:paraId="4AF0EFCC">
      <w:pPr>
        <w:pStyle w:val="2"/>
        <w:snapToGrid w:val="0"/>
        <w:spacing w:before="0" w:after="0" w:line="360" w:lineRule="auto"/>
        <w:ind w:firstLine="141" w:firstLineChars="50"/>
        <w:rPr>
          <w:rFonts w:hint="eastAsia" w:hAnsi="宋体" w:eastAsia="宋体" w:cs="Arial"/>
          <w:b/>
          <w:bCs/>
          <w:sz w:val="28"/>
          <w:szCs w:val="28"/>
        </w:rPr>
      </w:pPr>
      <w:bookmarkStart w:id="125" w:name="_Toc86655827"/>
      <w:bookmarkStart w:id="126" w:name="_Toc3366"/>
      <w:bookmarkStart w:id="127" w:name="_Toc50661136"/>
      <w:r>
        <w:rPr>
          <w:rFonts w:hAnsi="宋体" w:eastAsia="宋体" w:cs="Arial"/>
          <w:b/>
          <w:bCs/>
          <w:sz w:val="28"/>
          <w:szCs w:val="28"/>
        </w:rPr>
        <w:t>第十</w:t>
      </w:r>
      <w:r>
        <w:rPr>
          <w:rFonts w:hint="eastAsia" w:hAnsi="宋体" w:eastAsia="宋体" w:cs="Arial"/>
          <w:b/>
          <w:bCs/>
          <w:sz w:val="28"/>
          <w:szCs w:val="28"/>
        </w:rPr>
        <w:t>七</w:t>
      </w:r>
      <w:r>
        <w:rPr>
          <w:rFonts w:hAnsi="宋体" w:eastAsia="宋体" w:cs="Arial"/>
          <w:b/>
          <w:bCs/>
          <w:sz w:val="28"/>
          <w:szCs w:val="28"/>
        </w:rPr>
        <w:t>部分  基金的信息披露</w:t>
      </w:r>
      <w:bookmarkEnd w:id="125"/>
      <w:bookmarkEnd w:id="126"/>
      <w:bookmarkEnd w:id="127"/>
    </w:p>
    <w:bookmarkEnd w:id="123"/>
    <w:bookmarkEnd w:id="124"/>
    <w:p w14:paraId="2F1922DE">
      <w:pPr>
        <w:snapToGrid w:val="0"/>
        <w:spacing w:line="360" w:lineRule="auto"/>
        <w:ind w:firstLine="420" w:firstLineChars="200"/>
        <w:rPr>
          <w:rFonts w:hint="eastAsia" w:ascii="宋体" w:hAnsi="宋体"/>
          <w:szCs w:val="22"/>
        </w:rPr>
      </w:pPr>
      <w:bookmarkStart w:id="128" w:name="_Toc21073398"/>
      <w:bookmarkStart w:id="129" w:name="_Toc12357178"/>
      <w:bookmarkStart w:id="130" w:name="_Toc214873605"/>
      <w:bookmarkStart w:id="131" w:name="_Toc147463125"/>
      <w:r>
        <w:rPr>
          <w:rFonts w:hint="eastAsia" w:ascii="宋体" w:hAnsi="宋体"/>
          <w:szCs w:val="22"/>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6636D9A5">
      <w:pPr>
        <w:snapToGrid w:val="0"/>
        <w:spacing w:line="360" w:lineRule="auto"/>
        <w:ind w:firstLine="420" w:firstLineChars="200"/>
        <w:rPr>
          <w:rFonts w:hint="eastAsia" w:ascii="宋体" w:hAnsi="宋体"/>
          <w:szCs w:val="22"/>
        </w:rPr>
      </w:pPr>
      <w:r>
        <w:rPr>
          <w:rFonts w:hint="eastAsia" w:ascii="宋体" w:hAnsi="宋体"/>
          <w:szCs w:val="22"/>
        </w:rPr>
        <w:t>二、信息披露义务人</w:t>
      </w:r>
    </w:p>
    <w:p w14:paraId="1911F350">
      <w:pPr>
        <w:snapToGrid w:val="0"/>
        <w:spacing w:line="360" w:lineRule="auto"/>
        <w:ind w:firstLine="420" w:firstLineChars="200"/>
        <w:rPr>
          <w:rFonts w:hint="eastAsia" w:ascii="宋体" w:hAnsi="宋体" w:cs="宋体"/>
          <w:szCs w:val="22"/>
        </w:rPr>
      </w:pPr>
      <w:r>
        <w:rPr>
          <w:rFonts w:hint="eastAsia" w:ascii="宋体" w:hAnsi="宋体"/>
          <w:szCs w:val="22"/>
        </w:rPr>
        <w:t>本基金信息披露义务人包括基金管理人、基金托管人、召集基金份额持有人大会的基金份额持有</w:t>
      </w:r>
      <w:r>
        <w:rPr>
          <w:rFonts w:hint="eastAsia" w:ascii="宋体" w:hAnsi="宋体" w:cs="宋体"/>
          <w:szCs w:val="22"/>
        </w:rPr>
        <w:t>人等法律、行政法规和中国证监会规定的自然人、法人和非法人组织。</w:t>
      </w:r>
    </w:p>
    <w:p w14:paraId="59FA1DB9">
      <w:pPr>
        <w:snapToGrid w:val="0"/>
        <w:spacing w:line="360" w:lineRule="auto"/>
        <w:ind w:firstLine="420" w:firstLineChars="200"/>
        <w:rPr>
          <w:rFonts w:hint="eastAsia" w:ascii="宋体" w:hAnsi="宋体" w:cs="宋体"/>
          <w:szCs w:val="22"/>
        </w:rPr>
      </w:pPr>
      <w:r>
        <w:rPr>
          <w:rFonts w:hint="eastAsia" w:ascii="宋体" w:hAnsi="宋体" w:cs="宋体"/>
          <w:szCs w:val="22"/>
        </w:rPr>
        <w:t>本基金信息披露义务人以保护基金份额持有人利益为根本出发点，按照法律法规和中国证监会的规定披露基金信息，并保证所披露信息的真实性、准确性、完整性、及时性、简明性和易得性。</w:t>
      </w:r>
    </w:p>
    <w:p w14:paraId="365DBF0A">
      <w:pPr>
        <w:snapToGrid w:val="0"/>
        <w:spacing w:line="360" w:lineRule="auto"/>
        <w:ind w:firstLine="420" w:firstLineChars="200"/>
        <w:rPr>
          <w:rFonts w:hint="eastAsia" w:ascii="宋体" w:hAnsi="宋体" w:cs="宋体"/>
          <w:szCs w:val="22"/>
        </w:rPr>
      </w:pPr>
      <w:r>
        <w:rPr>
          <w:rFonts w:hint="eastAsia" w:ascii="宋体" w:hAnsi="宋体" w:cs="宋体"/>
          <w:szCs w:val="22"/>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11EDB639">
      <w:pPr>
        <w:snapToGrid w:val="0"/>
        <w:spacing w:line="360" w:lineRule="auto"/>
        <w:ind w:firstLine="420" w:firstLineChars="200"/>
        <w:rPr>
          <w:rFonts w:hint="eastAsia" w:ascii="宋体" w:hAnsi="宋体" w:cs="宋体"/>
          <w:szCs w:val="22"/>
        </w:rPr>
      </w:pPr>
      <w:r>
        <w:rPr>
          <w:rFonts w:hint="eastAsia" w:ascii="宋体" w:hAnsi="宋体" w:cs="宋体"/>
          <w:szCs w:val="22"/>
        </w:rPr>
        <w:t>三、本基金信息披露义务人承诺公开披露的基金信息，不得有下列行为：</w:t>
      </w:r>
    </w:p>
    <w:p w14:paraId="3EB5EE7A">
      <w:pPr>
        <w:snapToGrid w:val="0"/>
        <w:spacing w:line="360" w:lineRule="auto"/>
        <w:ind w:firstLine="420" w:firstLineChars="200"/>
        <w:rPr>
          <w:rFonts w:hint="eastAsia" w:ascii="宋体" w:hAnsi="宋体" w:cs="宋体"/>
          <w:szCs w:val="22"/>
        </w:rPr>
      </w:pPr>
      <w:r>
        <w:rPr>
          <w:rFonts w:hint="eastAsia" w:ascii="宋体" w:hAnsi="宋体" w:cs="宋体"/>
          <w:szCs w:val="22"/>
        </w:rPr>
        <w:t>1、虚假记载、误导性陈述或者重大遗漏；</w:t>
      </w:r>
    </w:p>
    <w:p w14:paraId="17AFF184">
      <w:pPr>
        <w:snapToGrid w:val="0"/>
        <w:spacing w:line="360" w:lineRule="auto"/>
        <w:ind w:firstLine="420" w:firstLineChars="200"/>
        <w:rPr>
          <w:rFonts w:hint="eastAsia" w:ascii="宋体" w:hAnsi="宋体" w:cs="宋体"/>
          <w:szCs w:val="22"/>
        </w:rPr>
      </w:pPr>
      <w:r>
        <w:rPr>
          <w:rFonts w:hint="eastAsia" w:ascii="宋体" w:hAnsi="宋体" w:cs="宋体"/>
          <w:szCs w:val="22"/>
        </w:rPr>
        <w:t>2、对证券投资业绩进行预测；</w:t>
      </w:r>
    </w:p>
    <w:p w14:paraId="7912168D">
      <w:pPr>
        <w:snapToGrid w:val="0"/>
        <w:spacing w:line="360" w:lineRule="auto"/>
        <w:ind w:firstLine="420" w:firstLineChars="200"/>
        <w:rPr>
          <w:rFonts w:hint="eastAsia" w:ascii="宋体" w:hAnsi="宋体" w:cs="宋体"/>
          <w:szCs w:val="22"/>
        </w:rPr>
      </w:pPr>
      <w:r>
        <w:rPr>
          <w:rFonts w:hint="eastAsia" w:ascii="宋体" w:hAnsi="宋体" w:cs="宋体"/>
          <w:szCs w:val="22"/>
        </w:rPr>
        <w:t>3、违规承诺收益或者承担损失；</w:t>
      </w:r>
    </w:p>
    <w:p w14:paraId="2BE57E26">
      <w:pPr>
        <w:snapToGrid w:val="0"/>
        <w:spacing w:line="360" w:lineRule="auto"/>
        <w:ind w:firstLine="420" w:firstLineChars="200"/>
        <w:rPr>
          <w:rFonts w:hint="eastAsia" w:ascii="宋体" w:hAnsi="宋体" w:cs="宋体"/>
          <w:szCs w:val="22"/>
        </w:rPr>
      </w:pPr>
      <w:r>
        <w:rPr>
          <w:rFonts w:hint="eastAsia" w:ascii="宋体" w:hAnsi="宋体" w:cs="宋体"/>
          <w:szCs w:val="22"/>
        </w:rPr>
        <w:t>4、诋毁其他基金管理人、基金托管人或者基金销售机构；</w:t>
      </w:r>
    </w:p>
    <w:p w14:paraId="0110C73E">
      <w:pPr>
        <w:snapToGrid w:val="0"/>
        <w:spacing w:line="360" w:lineRule="auto"/>
        <w:ind w:firstLine="420" w:firstLineChars="200"/>
        <w:rPr>
          <w:rFonts w:hint="eastAsia" w:ascii="宋体" w:hAnsi="宋体" w:cs="宋体"/>
          <w:szCs w:val="22"/>
        </w:rPr>
      </w:pPr>
      <w:r>
        <w:rPr>
          <w:rFonts w:hint="eastAsia" w:ascii="宋体" w:hAnsi="宋体" w:cs="宋体"/>
          <w:szCs w:val="22"/>
        </w:rPr>
        <w:t>5、登载任何自然人、法人和非法人组织的祝贺性、恭维性或推荐性的文字；</w:t>
      </w:r>
    </w:p>
    <w:p w14:paraId="17DC755D">
      <w:pPr>
        <w:snapToGrid w:val="0"/>
        <w:spacing w:line="360" w:lineRule="auto"/>
        <w:ind w:firstLine="420" w:firstLineChars="200"/>
        <w:rPr>
          <w:rFonts w:hint="eastAsia" w:ascii="宋体" w:hAnsi="宋体" w:cs="宋体"/>
          <w:szCs w:val="22"/>
        </w:rPr>
      </w:pPr>
      <w:r>
        <w:rPr>
          <w:rFonts w:hint="eastAsia" w:ascii="宋体" w:hAnsi="宋体" w:cs="宋体"/>
          <w:szCs w:val="22"/>
        </w:rPr>
        <w:t>6、中国证监会禁止的其他行为。</w:t>
      </w:r>
    </w:p>
    <w:p w14:paraId="52AE1A3E">
      <w:pPr>
        <w:snapToGrid w:val="0"/>
        <w:spacing w:line="360" w:lineRule="auto"/>
        <w:ind w:firstLine="420" w:firstLineChars="200"/>
        <w:rPr>
          <w:rFonts w:hint="eastAsia" w:ascii="宋体" w:hAnsi="宋体" w:cs="宋体"/>
          <w:szCs w:val="22"/>
        </w:rPr>
      </w:pPr>
      <w:r>
        <w:rPr>
          <w:rFonts w:hint="eastAsia" w:ascii="宋体" w:hAnsi="宋体" w:cs="宋体"/>
          <w:szCs w:val="22"/>
        </w:rPr>
        <w:t>四、本基金公开披露的信息应采用中文文本。如同时采用外文文本的，基金信息披露义务人应保证不同文本的内容一致。不同文本之间发生歧义的，以中文文本为准。</w:t>
      </w:r>
    </w:p>
    <w:p w14:paraId="2C72046A">
      <w:pPr>
        <w:snapToGrid w:val="0"/>
        <w:spacing w:line="360" w:lineRule="auto"/>
        <w:ind w:firstLine="420" w:firstLineChars="200"/>
        <w:rPr>
          <w:rFonts w:hint="eastAsia" w:ascii="宋体" w:hAnsi="宋体" w:cs="宋体"/>
          <w:szCs w:val="22"/>
        </w:rPr>
      </w:pPr>
      <w:r>
        <w:rPr>
          <w:rFonts w:hint="eastAsia" w:ascii="宋体" w:hAnsi="宋体" w:cs="宋体"/>
          <w:szCs w:val="22"/>
        </w:rPr>
        <w:t>本基金公开披露的信息采用阿拉伯数字；除特别说明外，货币单位为人民币元。</w:t>
      </w:r>
    </w:p>
    <w:p w14:paraId="3ABECFA0">
      <w:pPr>
        <w:snapToGrid w:val="0"/>
        <w:spacing w:line="360" w:lineRule="auto"/>
        <w:ind w:firstLine="420" w:firstLineChars="200"/>
        <w:rPr>
          <w:rFonts w:hint="eastAsia" w:ascii="宋体" w:hAnsi="宋体" w:cs="宋体"/>
          <w:szCs w:val="21"/>
        </w:rPr>
      </w:pPr>
      <w:bookmarkStart w:id="132" w:name="_Toc86655828"/>
      <w:r>
        <w:rPr>
          <w:rFonts w:hint="eastAsia" w:ascii="宋体" w:hAnsi="宋体" w:cs="宋体"/>
          <w:szCs w:val="21"/>
        </w:rPr>
        <w:t>五、公开披露的基金信息</w:t>
      </w:r>
    </w:p>
    <w:p w14:paraId="522ECB74">
      <w:pPr>
        <w:snapToGrid w:val="0"/>
        <w:spacing w:line="360" w:lineRule="auto"/>
        <w:ind w:firstLine="420" w:firstLineChars="200"/>
        <w:rPr>
          <w:rFonts w:hint="eastAsia" w:ascii="宋体" w:hAnsi="宋体" w:cs="宋体"/>
          <w:szCs w:val="21"/>
        </w:rPr>
      </w:pPr>
      <w:r>
        <w:rPr>
          <w:rFonts w:hint="eastAsia" w:ascii="宋体" w:hAnsi="宋体" w:cs="宋体"/>
          <w:szCs w:val="21"/>
        </w:rPr>
        <w:t>公开披露的基金信息包括：</w:t>
      </w:r>
    </w:p>
    <w:p w14:paraId="358030B4">
      <w:pPr>
        <w:snapToGrid w:val="0"/>
        <w:spacing w:line="360" w:lineRule="auto"/>
        <w:ind w:firstLine="420" w:firstLineChars="200"/>
        <w:rPr>
          <w:rFonts w:hint="eastAsia" w:ascii="宋体" w:hAnsi="宋体" w:cs="宋体"/>
          <w:szCs w:val="21"/>
        </w:rPr>
      </w:pPr>
      <w:r>
        <w:rPr>
          <w:rFonts w:hint="eastAsia" w:ascii="宋体" w:hAnsi="宋体" w:cs="宋体"/>
          <w:szCs w:val="21"/>
        </w:rPr>
        <w:t>（一）基金招募说明书、基金合同、基金托管协议、基金产品资料概要</w:t>
      </w:r>
    </w:p>
    <w:p w14:paraId="2B06F113">
      <w:pPr>
        <w:snapToGrid w:val="0"/>
        <w:spacing w:line="360" w:lineRule="auto"/>
        <w:ind w:firstLine="420" w:firstLineChars="200"/>
        <w:rPr>
          <w:rFonts w:hint="eastAsia" w:ascii="宋体" w:hAnsi="宋体" w:cs="宋体"/>
          <w:szCs w:val="21"/>
        </w:rPr>
      </w:pPr>
      <w:r>
        <w:rPr>
          <w:rFonts w:hint="eastAsia" w:ascii="宋体" w:hAnsi="宋体" w:cs="宋体"/>
          <w:szCs w:val="21"/>
        </w:rPr>
        <w:t>1、基金合同是界定基金合同当事人的各项权利、义务关系，明确基金份额持有人大会召开的规则及具体程序，说明基金产品的特性等涉及基金投资者重大利益的事项的法律文件。</w:t>
      </w:r>
    </w:p>
    <w:p w14:paraId="2FD25BB4">
      <w:pPr>
        <w:snapToGrid w:val="0"/>
        <w:spacing w:line="360" w:lineRule="auto"/>
        <w:ind w:firstLine="420" w:firstLineChars="200"/>
        <w:rPr>
          <w:rFonts w:hint="eastAsia" w:ascii="宋体" w:hAnsi="宋体" w:cs="宋体"/>
          <w:szCs w:val="21"/>
        </w:rPr>
      </w:pPr>
      <w:r>
        <w:rPr>
          <w:rFonts w:hint="eastAsia" w:ascii="宋体" w:hAnsi="宋体" w:cs="宋体"/>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0446CAFC">
      <w:pPr>
        <w:snapToGrid w:val="0"/>
        <w:spacing w:line="360" w:lineRule="auto"/>
        <w:ind w:firstLine="420" w:firstLineChars="200"/>
        <w:rPr>
          <w:rFonts w:hint="eastAsia" w:ascii="宋体" w:hAnsi="宋体" w:cs="宋体"/>
          <w:szCs w:val="21"/>
        </w:rPr>
      </w:pPr>
      <w:r>
        <w:rPr>
          <w:rFonts w:hint="eastAsia" w:ascii="宋体" w:hAnsi="宋体" w:cs="宋体"/>
          <w:szCs w:val="21"/>
        </w:rPr>
        <w:t>3、基金托管协议是界定基金托管人和基金管理人在基金财产保管及基金运作监督等活动中的权利、义务关系的法律文件。</w:t>
      </w:r>
    </w:p>
    <w:p w14:paraId="2F819E83">
      <w:pPr>
        <w:snapToGrid w:val="0"/>
        <w:spacing w:line="360" w:lineRule="auto"/>
        <w:ind w:firstLine="420" w:firstLineChars="200"/>
        <w:rPr>
          <w:rFonts w:hint="eastAsia" w:ascii="宋体" w:hAnsi="宋体" w:cs="宋体"/>
          <w:szCs w:val="21"/>
        </w:rPr>
      </w:pPr>
      <w:r>
        <w:rPr>
          <w:rFonts w:hint="eastAsia" w:ascii="宋体" w:hAnsi="宋体" w:cs="宋体"/>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140CF74D">
      <w:pPr>
        <w:snapToGrid w:val="0"/>
        <w:spacing w:line="360" w:lineRule="auto"/>
        <w:ind w:firstLine="420" w:firstLineChars="200"/>
        <w:rPr>
          <w:rFonts w:hint="eastAsia" w:ascii="宋体" w:hAnsi="宋体" w:cs="宋体"/>
          <w:szCs w:val="21"/>
        </w:rPr>
      </w:pPr>
      <w:r>
        <w:rPr>
          <w:rFonts w:hint="eastAsia" w:ascii="宋体" w:hAnsi="宋体" w:cs="宋体"/>
          <w:szCs w:val="21"/>
        </w:rPr>
        <w:t>5、基金募集申请经中国证监会注册后，基金管理人在基金份额发售的3日前，将基金份额发售公告、基金招募说明书</w:t>
      </w:r>
      <w:r>
        <w:rPr>
          <w:rFonts w:hint="eastAsia" w:ascii="宋体" w:hAnsi="宋体" w:cs="宋体"/>
          <w:bCs/>
          <w:szCs w:val="21"/>
        </w:rPr>
        <w:t>提示性公告和</w:t>
      </w:r>
      <w:r>
        <w:rPr>
          <w:rFonts w:hint="eastAsia" w:ascii="宋体" w:hAnsi="宋体" w:cs="宋体"/>
          <w:szCs w:val="21"/>
        </w:rPr>
        <w:t>《基金合同》</w:t>
      </w:r>
      <w:r>
        <w:rPr>
          <w:rFonts w:hint="eastAsia" w:ascii="宋体" w:hAnsi="宋体" w:cs="宋体"/>
          <w:bCs/>
          <w:szCs w:val="21"/>
        </w:rPr>
        <w:t>提示性公告</w:t>
      </w:r>
      <w:r>
        <w:rPr>
          <w:rFonts w:hint="eastAsia" w:ascii="宋体" w:hAnsi="宋体" w:cs="宋体"/>
          <w:szCs w:val="21"/>
        </w:rPr>
        <w:t>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3E2AEA60">
      <w:pPr>
        <w:snapToGrid w:val="0"/>
        <w:spacing w:line="360" w:lineRule="auto"/>
        <w:ind w:firstLine="420" w:firstLineChars="200"/>
        <w:rPr>
          <w:rFonts w:hint="eastAsia" w:ascii="宋体" w:hAnsi="宋体" w:cs="宋体"/>
          <w:szCs w:val="21"/>
        </w:rPr>
      </w:pPr>
      <w:r>
        <w:rPr>
          <w:rFonts w:hint="eastAsia" w:ascii="宋体" w:hAnsi="宋体" w:cs="宋体"/>
          <w:szCs w:val="21"/>
        </w:rPr>
        <w:t>（二）基金份额发售公告</w:t>
      </w:r>
    </w:p>
    <w:p w14:paraId="5D809349">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基金管理人应当就基金份额发售的具体事宜编制基金份额发售公告。</w:t>
      </w:r>
    </w:p>
    <w:p w14:paraId="37B24E92">
      <w:pPr>
        <w:snapToGrid w:val="0"/>
        <w:spacing w:line="360" w:lineRule="auto"/>
        <w:ind w:firstLine="420" w:firstLineChars="200"/>
        <w:rPr>
          <w:rFonts w:hint="eastAsia" w:ascii="宋体" w:hAnsi="宋体" w:cs="宋体"/>
          <w:szCs w:val="21"/>
        </w:rPr>
      </w:pPr>
      <w:r>
        <w:rPr>
          <w:rFonts w:hint="eastAsia" w:ascii="宋体" w:hAnsi="宋体" w:cs="宋体"/>
          <w:szCs w:val="21"/>
        </w:rPr>
        <w:t>（三）《基金合同》生效公告</w:t>
      </w:r>
    </w:p>
    <w:p w14:paraId="60C13E7C">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基金管理人应当在收到中国证监会确认文件的次日在规定媒介上登载《基金合同》生效公告。</w:t>
      </w:r>
    </w:p>
    <w:p w14:paraId="63147E35">
      <w:pPr>
        <w:snapToGrid w:val="0"/>
        <w:spacing w:line="360" w:lineRule="auto"/>
        <w:ind w:firstLine="420" w:firstLineChars="200"/>
        <w:rPr>
          <w:rFonts w:hint="eastAsia" w:ascii="宋体" w:hAnsi="宋体" w:cs="宋体"/>
          <w:szCs w:val="21"/>
        </w:rPr>
      </w:pPr>
      <w:r>
        <w:rPr>
          <w:rFonts w:hint="eastAsia" w:ascii="宋体" w:hAnsi="宋体" w:cs="宋体"/>
          <w:szCs w:val="21"/>
        </w:rPr>
        <w:t>（四）基金开始申购、赎回公告</w:t>
      </w:r>
    </w:p>
    <w:p w14:paraId="3E4DB835">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基金管理人应于申购开始日、赎回开始日前按规定在规定报刊及网站上公告。</w:t>
      </w:r>
    </w:p>
    <w:p w14:paraId="3BE29FF3">
      <w:pPr>
        <w:snapToGrid w:val="0"/>
        <w:spacing w:line="360" w:lineRule="auto"/>
        <w:ind w:firstLine="420" w:firstLineChars="200"/>
        <w:rPr>
          <w:rFonts w:hint="eastAsia" w:ascii="宋体" w:hAnsi="宋体" w:cs="宋体"/>
          <w:szCs w:val="21"/>
        </w:rPr>
      </w:pPr>
      <w:r>
        <w:rPr>
          <w:rFonts w:hint="eastAsia" w:ascii="宋体" w:hAnsi="宋体" w:cs="宋体"/>
          <w:szCs w:val="21"/>
        </w:rPr>
        <w:t>（五）基金份额上市交易公告书</w:t>
      </w:r>
    </w:p>
    <w:p w14:paraId="20E01095">
      <w:pPr>
        <w:snapToGrid w:val="0"/>
        <w:spacing w:line="360" w:lineRule="auto"/>
        <w:ind w:firstLine="420" w:firstLineChars="200"/>
        <w:rPr>
          <w:rFonts w:hint="eastAsia" w:ascii="宋体" w:hAnsi="宋体" w:cs="宋体"/>
          <w:szCs w:val="21"/>
        </w:rPr>
      </w:pPr>
      <w:r>
        <w:rPr>
          <w:rFonts w:hint="eastAsia" w:ascii="宋体" w:hAnsi="宋体" w:cs="宋体"/>
          <w:szCs w:val="21"/>
        </w:rPr>
        <w:t>基金份额获准在证券交易所上市交易的，基金管理人应当在基金份额上市交易三个工作日前，将基金份额上市交易公告书登载在规定网站上，并将上市交易公告书提示性公告登载在规定报刊上。</w:t>
      </w:r>
    </w:p>
    <w:p w14:paraId="4DDA2D89">
      <w:pPr>
        <w:snapToGrid w:val="0"/>
        <w:spacing w:line="360" w:lineRule="auto"/>
        <w:ind w:firstLine="420" w:firstLineChars="200"/>
        <w:rPr>
          <w:rFonts w:hint="eastAsia" w:ascii="宋体" w:hAnsi="宋体" w:cs="宋体"/>
          <w:szCs w:val="21"/>
        </w:rPr>
      </w:pPr>
      <w:r>
        <w:rPr>
          <w:rFonts w:hint="eastAsia" w:ascii="宋体" w:hAnsi="宋体" w:cs="宋体"/>
          <w:szCs w:val="21"/>
        </w:rPr>
        <w:t>（六）基金份额折算日和折算结果公告</w:t>
      </w:r>
    </w:p>
    <w:p w14:paraId="44C11A80">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基金管理人确定基金份额折算日，并依照《信息披露办法》的有关规定将基金份额折算日公告登载于规定媒介上。</w:t>
      </w:r>
    </w:p>
    <w:p w14:paraId="3D552F84">
      <w:pPr>
        <w:snapToGrid w:val="0"/>
        <w:spacing w:line="360" w:lineRule="auto"/>
        <w:ind w:firstLine="420" w:firstLineChars="200"/>
        <w:rPr>
          <w:rFonts w:hint="eastAsia" w:ascii="宋体" w:hAnsi="宋体" w:cs="宋体"/>
          <w:szCs w:val="21"/>
        </w:rPr>
      </w:pPr>
      <w:r>
        <w:rPr>
          <w:rFonts w:hint="eastAsia" w:ascii="宋体" w:hAnsi="宋体" w:cs="宋体"/>
          <w:szCs w:val="21"/>
        </w:rPr>
        <w:t>基金份额进行折算并由登记机构完成基金份额的变更登记后，基金管理人将基金份额折算结果公告登载于规定媒介上。</w:t>
      </w:r>
    </w:p>
    <w:p w14:paraId="5A4634A0">
      <w:pPr>
        <w:snapToGrid w:val="0"/>
        <w:spacing w:line="360" w:lineRule="auto"/>
        <w:ind w:firstLine="420" w:firstLineChars="200"/>
        <w:rPr>
          <w:rFonts w:hint="eastAsia" w:ascii="宋体" w:hAnsi="宋体" w:cs="宋体"/>
          <w:szCs w:val="21"/>
        </w:rPr>
      </w:pPr>
      <w:r>
        <w:rPr>
          <w:rFonts w:hint="eastAsia" w:ascii="宋体" w:hAnsi="宋体" w:cs="宋体"/>
          <w:szCs w:val="21"/>
        </w:rPr>
        <w:t>（七）基金净值信息</w:t>
      </w:r>
    </w:p>
    <w:p w14:paraId="443B29C8">
      <w:pPr>
        <w:snapToGrid w:val="0"/>
        <w:spacing w:line="360" w:lineRule="auto"/>
        <w:ind w:firstLine="420" w:firstLineChars="200"/>
        <w:rPr>
          <w:rFonts w:hint="eastAsia" w:ascii="宋体" w:hAnsi="宋体" w:cs="宋体"/>
          <w:szCs w:val="21"/>
        </w:rPr>
      </w:pPr>
      <w:r>
        <w:rPr>
          <w:rFonts w:hint="eastAsia" w:ascii="宋体" w:hAnsi="宋体" w:cs="宋体"/>
          <w:szCs w:val="21"/>
        </w:rPr>
        <w:t>《基金合同》生效后，在基金份额上市交易或者开始办理基金份额申购或者赎回前，基金管理人应当至少每周在规定网站披露一次基金份额净值和基金份额累计净值。</w:t>
      </w:r>
    </w:p>
    <w:p w14:paraId="37BAD889">
      <w:pPr>
        <w:snapToGrid w:val="0"/>
        <w:spacing w:line="360" w:lineRule="auto"/>
        <w:ind w:firstLine="420" w:firstLineChars="200"/>
        <w:rPr>
          <w:rFonts w:hint="eastAsia" w:ascii="宋体" w:hAnsi="宋体" w:cs="宋体"/>
          <w:szCs w:val="21"/>
        </w:rPr>
      </w:pPr>
      <w:r>
        <w:rPr>
          <w:rFonts w:hint="eastAsia" w:ascii="宋体" w:hAnsi="宋体" w:cs="宋体"/>
          <w:szCs w:val="21"/>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365F2202">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基金管理人应当在不晚于半年度和年度最后一日的次日，在规定网站披露半年度和年度最后一日的基金份额净值和基金份额累计净值。</w:t>
      </w:r>
    </w:p>
    <w:p w14:paraId="5ADE54EE">
      <w:pPr>
        <w:snapToGrid w:val="0"/>
        <w:spacing w:line="360" w:lineRule="auto"/>
        <w:ind w:firstLine="420" w:firstLineChars="200"/>
        <w:rPr>
          <w:rFonts w:hint="eastAsia" w:ascii="宋体" w:hAnsi="宋体" w:cs="宋体"/>
          <w:szCs w:val="21"/>
        </w:rPr>
      </w:pPr>
      <w:r>
        <w:rPr>
          <w:rFonts w:hint="eastAsia" w:ascii="宋体" w:hAnsi="宋体" w:cs="宋体"/>
          <w:szCs w:val="21"/>
        </w:rPr>
        <w:t>（八）申购赎回清单</w:t>
      </w:r>
    </w:p>
    <w:p w14:paraId="5A7C6FB0">
      <w:pPr>
        <w:snapToGrid w:val="0"/>
        <w:spacing w:line="360" w:lineRule="auto"/>
        <w:ind w:firstLine="420" w:firstLineChars="200"/>
        <w:rPr>
          <w:rFonts w:hint="eastAsia" w:ascii="宋体" w:hAnsi="宋体" w:cs="宋体"/>
          <w:szCs w:val="21"/>
        </w:rPr>
      </w:pPr>
      <w:r>
        <w:rPr>
          <w:rFonts w:hint="eastAsia" w:ascii="宋体" w:hAnsi="宋体" w:cs="宋体"/>
          <w:szCs w:val="21"/>
        </w:rPr>
        <w:t>在开始办理基金份额申购或者赎回之后，基金管理人应当在每个开放日，通过规定网站、基金份额申购、赎回代理券商以及其他媒介公告当日的申购赎回清单。</w:t>
      </w:r>
    </w:p>
    <w:p w14:paraId="0D6ACE26">
      <w:pPr>
        <w:snapToGrid w:val="0"/>
        <w:spacing w:line="360" w:lineRule="auto"/>
        <w:ind w:firstLine="420" w:firstLineChars="200"/>
        <w:rPr>
          <w:rFonts w:hint="eastAsia" w:ascii="宋体" w:hAnsi="宋体" w:cs="宋体"/>
          <w:szCs w:val="21"/>
        </w:rPr>
      </w:pPr>
      <w:r>
        <w:rPr>
          <w:rFonts w:hint="eastAsia" w:ascii="宋体" w:hAnsi="宋体" w:cs="宋体"/>
          <w:szCs w:val="21"/>
        </w:rPr>
        <w:t>（九）基金定期报告，包括基金年度报告、基金中期报告和基金季度报告（含资产组合季度报告）</w:t>
      </w:r>
    </w:p>
    <w:p w14:paraId="59587F01">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04EEEB49">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基金管理人应当在上半年结束之日起两个月内，编制完成基金中期报告，将中期报告登载在规定网站上，并将中期报告提示性公告登载在规定报刊上。</w:t>
      </w:r>
    </w:p>
    <w:p w14:paraId="2D07B1E8">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基金管理人应当在季度结束之日起15个工作日内，编制完成基金季度报告，将季度报告登载在规定网站上，并将季度报告提示性公告登载在规定报刊上。</w:t>
      </w:r>
    </w:p>
    <w:p w14:paraId="150FEA4A">
      <w:pPr>
        <w:snapToGrid w:val="0"/>
        <w:spacing w:line="360" w:lineRule="auto"/>
        <w:ind w:firstLine="420" w:firstLineChars="200"/>
        <w:rPr>
          <w:rFonts w:hint="eastAsia" w:ascii="宋体" w:hAnsi="宋体" w:cs="宋体"/>
          <w:szCs w:val="21"/>
        </w:rPr>
      </w:pPr>
      <w:r>
        <w:rPr>
          <w:rFonts w:hint="eastAsia" w:ascii="宋体" w:hAnsi="宋体" w:cs="宋体"/>
          <w:szCs w:val="21"/>
        </w:rPr>
        <w:t>基金合同生效不足2个月的，本基金管理人可以不编制当期季度报告、中期报告或者年度报告。</w:t>
      </w:r>
    </w:p>
    <w:p w14:paraId="36BF9A25">
      <w:pPr>
        <w:snapToGrid w:val="0"/>
        <w:spacing w:line="360" w:lineRule="auto"/>
        <w:ind w:firstLine="420" w:firstLineChars="200"/>
        <w:rPr>
          <w:rFonts w:hint="eastAsia" w:ascii="宋体" w:hAnsi="宋体" w:cs="宋体"/>
          <w:szCs w:val="21"/>
        </w:rPr>
      </w:pPr>
      <w:r>
        <w:rPr>
          <w:rFonts w:hint="eastAsia" w:ascii="宋体" w:hAnsi="宋体" w:cs="宋体"/>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B0DF7CB">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基金管理人应当在基金年度报告和中期报告中披露基金组合资产情况及其流动性风险分析等。</w:t>
      </w:r>
    </w:p>
    <w:p w14:paraId="63C5898F">
      <w:pPr>
        <w:snapToGrid w:val="0"/>
        <w:spacing w:line="360" w:lineRule="auto"/>
        <w:ind w:firstLine="420" w:firstLineChars="200"/>
        <w:rPr>
          <w:rFonts w:hint="eastAsia" w:ascii="宋体" w:hAnsi="宋体" w:cs="宋体"/>
          <w:szCs w:val="21"/>
        </w:rPr>
      </w:pPr>
      <w:r>
        <w:rPr>
          <w:rFonts w:hint="eastAsia" w:ascii="宋体" w:hAnsi="宋体" w:cs="宋体"/>
          <w:szCs w:val="21"/>
        </w:rPr>
        <w:t>（十）临时报告</w:t>
      </w:r>
    </w:p>
    <w:p w14:paraId="059F0F02">
      <w:pPr>
        <w:snapToGrid w:val="0"/>
        <w:spacing w:line="360" w:lineRule="auto"/>
        <w:ind w:firstLine="420" w:firstLineChars="200"/>
        <w:rPr>
          <w:rFonts w:hint="eastAsia" w:ascii="宋体" w:hAnsi="宋体" w:cs="宋体"/>
          <w:szCs w:val="21"/>
        </w:rPr>
      </w:pPr>
      <w:r>
        <w:rPr>
          <w:rFonts w:hint="eastAsia" w:ascii="宋体" w:hAnsi="宋体" w:cs="宋体"/>
          <w:szCs w:val="21"/>
        </w:rPr>
        <w:t>本基金发生重大事件，有关信息披露义务人应当依照《信息披露办法》编制临时报告书，并登载在规定报刊和规定网站上。</w:t>
      </w:r>
    </w:p>
    <w:p w14:paraId="72ADCB86">
      <w:pPr>
        <w:snapToGrid w:val="0"/>
        <w:spacing w:line="360" w:lineRule="auto"/>
        <w:ind w:firstLine="420" w:firstLineChars="200"/>
        <w:rPr>
          <w:rFonts w:hint="eastAsia" w:ascii="宋体" w:hAnsi="宋体" w:cs="宋体"/>
          <w:szCs w:val="21"/>
        </w:rPr>
      </w:pPr>
      <w:r>
        <w:rPr>
          <w:rFonts w:hint="eastAsia" w:ascii="宋体" w:hAnsi="宋体" w:cs="宋体"/>
          <w:szCs w:val="21"/>
        </w:rPr>
        <w:t>前款所称重大事件，是指可能对基金份额持有人权益或者基金份额的价格产生重大影响的下列事件：</w:t>
      </w:r>
    </w:p>
    <w:p w14:paraId="29ADA115">
      <w:pPr>
        <w:snapToGrid w:val="0"/>
        <w:spacing w:line="360" w:lineRule="auto"/>
        <w:ind w:firstLine="420" w:firstLineChars="200"/>
        <w:rPr>
          <w:rFonts w:hint="eastAsia" w:ascii="宋体" w:hAnsi="宋体" w:cs="宋体"/>
          <w:szCs w:val="21"/>
        </w:rPr>
      </w:pPr>
      <w:r>
        <w:rPr>
          <w:rFonts w:hint="eastAsia" w:ascii="宋体" w:hAnsi="宋体" w:cs="宋体"/>
          <w:szCs w:val="21"/>
        </w:rPr>
        <w:t>1、基金份额持有人大会的召开及决定的事项；</w:t>
      </w:r>
    </w:p>
    <w:p w14:paraId="2B28EEBA">
      <w:pPr>
        <w:snapToGrid w:val="0"/>
        <w:spacing w:line="360" w:lineRule="auto"/>
        <w:ind w:firstLine="420" w:firstLineChars="200"/>
        <w:rPr>
          <w:rFonts w:hint="eastAsia" w:ascii="宋体" w:hAnsi="宋体" w:cs="宋体"/>
          <w:szCs w:val="21"/>
        </w:rPr>
      </w:pPr>
      <w:r>
        <w:rPr>
          <w:rFonts w:hint="eastAsia" w:ascii="宋体" w:hAnsi="宋体" w:cs="宋体"/>
          <w:szCs w:val="21"/>
        </w:rPr>
        <w:t>2、《基金合同》终止、基金清算；</w:t>
      </w:r>
    </w:p>
    <w:p w14:paraId="1B7C771E">
      <w:pPr>
        <w:snapToGrid w:val="0"/>
        <w:spacing w:line="360" w:lineRule="auto"/>
        <w:ind w:firstLine="420" w:firstLineChars="200"/>
        <w:rPr>
          <w:rFonts w:hint="eastAsia" w:ascii="宋体" w:hAnsi="宋体" w:cs="宋体"/>
          <w:szCs w:val="21"/>
        </w:rPr>
      </w:pPr>
      <w:r>
        <w:rPr>
          <w:rFonts w:hint="eastAsia" w:ascii="宋体" w:hAnsi="宋体" w:cs="宋体"/>
          <w:szCs w:val="21"/>
        </w:rPr>
        <w:t>3、转换基金运作方式、基金合并；</w:t>
      </w:r>
    </w:p>
    <w:p w14:paraId="152E2B91">
      <w:pPr>
        <w:snapToGrid w:val="0"/>
        <w:spacing w:line="360" w:lineRule="auto"/>
        <w:ind w:firstLine="420" w:firstLineChars="200"/>
        <w:rPr>
          <w:rFonts w:hint="eastAsia" w:ascii="宋体" w:hAnsi="宋体" w:cs="宋体"/>
          <w:szCs w:val="21"/>
        </w:rPr>
      </w:pPr>
      <w:r>
        <w:rPr>
          <w:rFonts w:hint="eastAsia" w:ascii="宋体" w:hAnsi="宋体" w:cs="宋体"/>
          <w:szCs w:val="21"/>
        </w:rPr>
        <w:t>4、更换基金管理人、基金托管人、基金份额登记机构，基金改聘会计师事务所；</w:t>
      </w:r>
    </w:p>
    <w:p w14:paraId="03D42721">
      <w:pPr>
        <w:snapToGrid w:val="0"/>
        <w:spacing w:line="360" w:lineRule="auto"/>
        <w:ind w:firstLine="420" w:firstLineChars="200"/>
        <w:rPr>
          <w:rFonts w:hint="eastAsia" w:ascii="宋体" w:hAnsi="宋体" w:cs="宋体"/>
          <w:szCs w:val="21"/>
        </w:rPr>
      </w:pPr>
      <w:r>
        <w:rPr>
          <w:rFonts w:hint="eastAsia" w:ascii="宋体" w:hAnsi="宋体" w:cs="宋体"/>
          <w:szCs w:val="21"/>
        </w:rPr>
        <w:t>5、基金管理人委托基金服务机构代为办理基金的份额登记、核算、估值等事项，基金托管人委托基金服务机构代为办理基金的核算、估值、复核等事项；</w:t>
      </w:r>
    </w:p>
    <w:p w14:paraId="4307A664">
      <w:pPr>
        <w:snapToGrid w:val="0"/>
        <w:spacing w:line="360" w:lineRule="auto"/>
        <w:ind w:firstLine="420" w:firstLineChars="200"/>
        <w:rPr>
          <w:rFonts w:hint="eastAsia" w:ascii="宋体" w:hAnsi="宋体" w:cs="宋体"/>
          <w:szCs w:val="21"/>
        </w:rPr>
      </w:pPr>
      <w:r>
        <w:rPr>
          <w:rFonts w:hint="eastAsia" w:ascii="宋体" w:hAnsi="宋体" w:cs="宋体"/>
          <w:szCs w:val="21"/>
        </w:rPr>
        <w:t>6、基金管理人、基金托管人的法定名称、住所发生变更；</w:t>
      </w:r>
    </w:p>
    <w:p w14:paraId="74CC45B0">
      <w:pPr>
        <w:snapToGrid w:val="0"/>
        <w:spacing w:line="360" w:lineRule="auto"/>
        <w:ind w:firstLine="420" w:firstLineChars="200"/>
        <w:rPr>
          <w:rFonts w:hint="eastAsia" w:ascii="宋体" w:hAnsi="宋体" w:cs="宋体"/>
          <w:szCs w:val="21"/>
        </w:rPr>
      </w:pPr>
      <w:r>
        <w:rPr>
          <w:rFonts w:hint="eastAsia" w:ascii="宋体" w:hAnsi="宋体" w:cs="宋体"/>
          <w:szCs w:val="21"/>
        </w:rPr>
        <w:t>7、基金管理人变更持有百分之五以上股权的股东、变更基金管理人的实际控制人；</w:t>
      </w:r>
    </w:p>
    <w:p w14:paraId="357548D9">
      <w:pPr>
        <w:snapToGrid w:val="0"/>
        <w:spacing w:line="360" w:lineRule="auto"/>
        <w:ind w:firstLine="420" w:firstLineChars="200"/>
        <w:rPr>
          <w:rFonts w:hint="eastAsia" w:ascii="宋体" w:hAnsi="宋体" w:cs="宋体"/>
          <w:szCs w:val="21"/>
        </w:rPr>
      </w:pPr>
      <w:r>
        <w:rPr>
          <w:rFonts w:hint="eastAsia" w:ascii="宋体" w:hAnsi="宋体" w:cs="宋体"/>
          <w:szCs w:val="21"/>
        </w:rPr>
        <w:t>8、基金募集期延长或提前结束募集；</w:t>
      </w:r>
    </w:p>
    <w:p w14:paraId="55A19F1A">
      <w:pPr>
        <w:snapToGrid w:val="0"/>
        <w:spacing w:line="360" w:lineRule="auto"/>
        <w:ind w:firstLine="420" w:firstLineChars="200"/>
        <w:rPr>
          <w:rFonts w:hint="eastAsia" w:ascii="宋体" w:hAnsi="宋体" w:cs="宋体"/>
          <w:szCs w:val="21"/>
        </w:rPr>
      </w:pPr>
      <w:r>
        <w:rPr>
          <w:rFonts w:hint="eastAsia" w:ascii="宋体" w:hAnsi="宋体" w:cs="宋体"/>
          <w:szCs w:val="21"/>
        </w:rPr>
        <w:t>9、基金管理人的高级管理人员、基金经理和基金托管人专门基金托管部门负责人发生变动；</w:t>
      </w:r>
    </w:p>
    <w:p w14:paraId="5681FC46">
      <w:pPr>
        <w:snapToGrid w:val="0"/>
        <w:spacing w:line="360" w:lineRule="auto"/>
        <w:ind w:firstLine="420" w:firstLineChars="200"/>
        <w:rPr>
          <w:rFonts w:hint="eastAsia" w:ascii="宋体" w:hAnsi="宋体" w:cs="宋体"/>
          <w:szCs w:val="21"/>
        </w:rPr>
      </w:pPr>
      <w:r>
        <w:rPr>
          <w:rFonts w:hint="eastAsia" w:ascii="宋体" w:hAnsi="宋体" w:cs="宋体"/>
          <w:szCs w:val="21"/>
        </w:rPr>
        <w:t>10、基金管理人的董事在最近12个月内变更超过百分之五十；基金管理人、基金托管人专门基金托管部门的主要业务人员在最近12个月内变动超过百分之三十；</w:t>
      </w:r>
    </w:p>
    <w:p w14:paraId="12F175DE">
      <w:pPr>
        <w:snapToGrid w:val="0"/>
        <w:spacing w:line="360" w:lineRule="auto"/>
        <w:ind w:firstLine="420" w:firstLineChars="200"/>
        <w:rPr>
          <w:rFonts w:hint="eastAsia" w:ascii="宋体" w:hAnsi="宋体" w:cs="宋体"/>
          <w:szCs w:val="21"/>
        </w:rPr>
      </w:pPr>
      <w:r>
        <w:rPr>
          <w:rFonts w:hint="eastAsia" w:ascii="宋体" w:hAnsi="宋体" w:cs="宋体"/>
          <w:szCs w:val="21"/>
        </w:rPr>
        <w:t>11、涉及基金财产、基金管理业务、基金托管业务的诉讼或仲裁；</w:t>
      </w:r>
    </w:p>
    <w:p w14:paraId="30060351">
      <w:pPr>
        <w:snapToGrid w:val="0"/>
        <w:spacing w:line="360" w:lineRule="auto"/>
        <w:ind w:firstLine="420" w:firstLineChars="200"/>
        <w:rPr>
          <w:rFonts w:hint="eastAsia" w:ascii="宋体" w:hAnsi="宋体" w:cs="宋体"/>
          <w:szCs w:val="21"/>
        </w:rPr>
      </w:pPr>
      <w:r>
        <w:rPr>
          <w:rFonts w:hint="eastAsia" w:ascii="宋体" w:hAnsi="宋体" w:cs="宋体"/>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40EDBA96">
      <w:pPr>
        <w:snapToGrid w:val="0"/>
        <w:spacing w:line="360" w:lineRule="auto"/>
        <w:ind w:firstLine="420" w:firstLineChars="200"/>
        <w:rPr>
          <w:rFonts w:hint="eastAsia" w:ascii="宋体" w:hAnsi="宋体" w:cs="宋体"/>
          <w:szCs w:val="21"/>
        </w:rPr>
      </w:pPr>
      <w:r>
        <w:rPr>
          <w:rFonts w:hint="eastAsia" w:ascii="宋体" w:hAnsi="宋体" w:cs="宋体"/>
          <w:szCs w:val="21"/>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51AAEF9F">
      <w:pPr>
        <w:snapToGrid w:val="0"/>
        <w:spacing w:line="360" w:lineRule="auto"/>
        <w:ind w:firstLine="420" w:firstLineChars="200"/>
        <w:rPr>
          <w:rFonts w:hint="eastAsia" w:ascii="宋体" w:hAnsi="宋体" w:cs="宋体"/>
          <w:szCs w:val="21"/>
        </w:rPr>
      </w:pPr>
      <w:r>
        <w:rPr>
          <w:rFonts w:hint="eastAsia" w:ascii="宋体" w:hAnsi="宋体" w:cs="宋体"/>
          <w:szCs w:val="21"/>
        </w:rPr>
        <w:t>14、基金收益分配事项；</w:t>
      </w:r>
    </w:p>
    <w:p w14:paraId="789E8B34">
      <w:pPr>
        <w:snapToGrid w:val="0"/>
        <w:spacing w:line="360" w:lineRule="auto"/>
        <w:ind w:firstLine="420" w:firstLineChars="200"/>
        <w:rPr>
          <w:rFonts w:hint="eastAsia" w:ascii="宋体" w:hAnsi="宋体" w:cs="宋体"/>
          <w:szCs w:val="21"/>
        </w:rPr>
      </w:pPr>
      <w:r>
        <w:rPr>
          <w:rFonts w:hint="eastAsia" w:ascii="宋体" w:hAnsi="宋体" w:cs="宋体"/>
          <w:szCs w:val="21"/>
        </w:rPr>
        <w:t>15、管理费、托管费、申购费、赎回费等费用计提标准、计提方式和费率发生变更；</w:t>
      </w:r>
    </w:p>
    <w:p w14:paraId="3280F272">
      <w:pPr>
        <w:snapToGrid w:val="0"/>
        <w:spacing w:line="360" w:lineRule="auto"/>
        <w:ind w:firstLine="420" w:firstLineChars="200"/>
        <w:rPr>
          <w:rFonts w:hint="eastAsia" w:ascii="宋体" w:hAnsi="宋体" w:cs="宋体"/>
          <w:szCs w:val="21"/>
        </w:rPr>
      </w:pPr>
      <w:r>
        <w:rPr>
          <w:rFonts w:hint="eastAsia" w:ascii="宋体" w:hAnsi="宋体" w:cs="宋体"/>
          <w:szCs w:val="21"/>
        </w:rPr>
        <w:t>16、基金份额净值计价错误达基金份额净值0.5%；</w:t>
      </w:r>
    </w:p>
    <w:p w14:paraId="478AFDF4">
      <w:pPr>
        <w:snapToGrid w:val="0"/>
        <w:spacing w:line="360" w:lineRule="auto"/>
        <w:ind w:firstLine="420" w:firstLineChars="200"/>
        <w:rPr>
          <w:rFonts w:hint="eastAsia" w:ascii="宋体" w:hAnsi="宋体" w:cs="宋体"/>
          <w:szCs w:val="21"/>
        </w:rPr>
      </w:pPr>
      <w:r>
        <w:rPr>
          <w:rFonts w:hint="eastAsia" w:ascii="宋体" w:hAnsi="宋体" w:cs="宋体"/>
          <w:szCs w:val="21"/>
        </w:rPr>
        <w:t>17、本基金开始办理申购、赎回；</w:t>
      </w:r>
    </w:p>
    <w:p w14:paraId="618FF674">
      <w:pPr>
        <w:snapToGrid w:val="0"/>
        <w:spacing w:line="360" w:lineRule="auto"/>
        <w:ind w:firstLine="420" w:firstLineChars="200"/>
        <w:rPr>
          <w:rFonts w:hint="eastAsia" w:ascii="宋体" w:hAnsi="宋体" w:cs="宋体"/>
          <w:szCs w:val="21"/>
        </w:rPr>
      </w:pPr>
      <w:r>
        <w:rPr>
          <w:rFonts w:hint="eastAsia" w:ascii="宋体" w:hAnsi="宋体" w:cs="宋体"/>
          <w:szCs w:val="21"/>
        </w:rPr>
        <w:t>18、本基金暂停接受申购、赎回申请或重新接受申购、赎回申请；</w:t>
      </w:r>
    </w:p>
    <w:p w14:paraId="4457F1BD">
      <w:pPr>
        <w:snapToGrid w:val="0"/>
        <w:spacing w:line="360" w:lineRule="auto"/>
        <w:ind w:firstLine="420" w:firstLineChars="200"/>
        <w:rPr>
          <w:rFonts w:hint="eastAsia" w:ascii="宋体" w:hAnsi="宋体" w:cs="宋体"/>
          <w:szCs w:val="21"/>
        </w:rPr>
      </w:pPr>
      <w:r>
        <w:rPr>
          <w:rFonts w:hint="eastAsia" w:ascii="宋体" w:hAnsi="宋体" w:cs="宋体"/>
          <w:szCs w:val="21"/>
        </w:rPr>
        <w:t>19、基金份额停复牌、暂停上市、恢复上市或终止上市交易；</w:t>
      </w:r>
    </w:p>
    <w:p w14:paraId="2744793C">
      <w:pPr>
        <w:snapToGrid w:val="0"/>
        <w:spacing w:line="360" w:lineRule="auto"/>
        <w:ind w:firstLine="420" w:firstLineChars="200"/>
        <w:rPr>
          <w:rFonts w:hint="eastAsia" w:ascii="宋体" w:hAnsi="宋体" w:cs="宋体"/>
          <w:szCs w:val="21"/>
        </w:rPr>
      </w:pPr>
      <w:r>
        <w:rPr>
          <w:rFonts w:hint="eastAsia" w:ascii="宋体" w:hAnsi="宋体" w:cs="宋体"/>
          <w:szCs w:val="21"/>
        </w:rPr>
        <w:t>20、本基金变更标的指数；</w:t>
      </w:r>
    </w:p>
    <w:p w14:paraId="2C91E807">
      <w:pPr>
        <w:snapToGrid w:val="0"/>
        <w:spacing w:line="360" w:lineRule="auto"/>
        <w:ind w:firstLine="420" w:firstLineChars="200"/>
        <w:rPr>
          <w:rFonts w:hint="eastAsia" w:ascii="宋体" w:hAnsi="宋体" w:cs="宋体"/>
          <w:szCs w:val="21"/>
        </w:rPr>
      </w:pPr>
      <w:r>
        <w:rPr>
          <w:rFonts w:hint="eastAsia" w:ascii="宋体" w:hAnsi="宋体" w:cs="宋体"/>
          <w:szCs w:val="21"/>
        </w:rPr>
        <w:t>21、调整基金份额类别的设置；</w:t>
      </w:r>
    </w:p>
    <w:p w14:paraId="3445B5EC">
      <w:pPr>
        <w:snapToGrid w:val="0"/>
        <w:spacing w:line="360" w:lineRule="auto"/>
        <w:ind w:firstLine="420" w:firstLineChars="200"/>
        <w:rPr>
          <w:rFonts w:hint="eastAsia" w:ascii="宋体" w:hAnsi="宋体" w:cs="宋体"/>
          <w:szCs w:val="21"/>
        </w:rPr>
      </w:pPr>
      <w:r>
        <w:rPr>
          <w:rFonts w:hint="eastAsia" w:ascii="宋体" w:hAnsi="宋体" w:cs="宋体"/>
          <w:szCs w:val="21"/>
        </w:rPr>
        <w:t>22、基金推出新业务或服务；</w:t>
      </w:r>
    </w:p>
    <w:p w14:paraId="14ABD16C">
      <w:pPr>
        <w:snapToGrid w:val="0"/>
        <w:spacing w:line="360" w:lineRule="auto"/>
        <w:ind w:firstLine="420" w:firstLineChars="200"/>
        <w:rPr>
          <w:rFonts w:hint="eastAsia" w:ascii="宋体" w:hAnsi="宋体" w:cs="宋体"/>
          <w:szCs w:val="21"/>
        </w:rPr>
      </w:pPr>
      <w:r>
        <w:rPr>
          <w:rFonts w:hint="eastAsia" w:ascii="宋体" w:hAnsi="宋体" w:cs="宋体"/>
          <w:szCs w:val="21"/>
        </w:rPr>
        <w:t>23、调整最小申购赎回单位、申购赎回方式及申购对价、赎回对价组成；</w:t>
      </w:r>
    </w:p>
    <w:p w14:paraId="553FDB87">
      <w:pPr>
        <w:snapToGrid w:val="0"/>
        <w:spacing w:line="360" w:lineRule="auto"/>
        <w:ind w:firstLine="420" w:firstLineChars="200"/>
        <w:rPr>
          <w:rFonts w:hint="eastAsia" w:ascii="宋体" w:hAnsi="宋体" w:cs="宋体"/>
          <w:szCs w:val="21"/>
        </w:rPr>
      </w:pPr>
      <w:r>
        <w:rPr>
          <w:rFonts w:hint="eastAsia" w:ascii="宋体" w:hAnsi="宋体" w:cs="宋体"/>
          <w:szCs w:val="21"/>
        </w:rPr>
        <w:t>2</w:t>
      </w:r>
      <w:r>
        <w:rPr>
          <w:rFonts w:ascii="宋体" w:hAnsi="宋体" w:cs="宋体"/>
          <w:szCs w:val="21"/>
        </w:rPr>
        <w:t>4</w:t>
      </w:r>
      <w:r>
        <w:rPr>
          <w:rFonts w:hint="eastAsia" w:ascii="宋体" w:hAnsi="宋体" w:cs="宋体"/>
          <w:szCs w:val="21"/>
        </w:rPr>
        <w:t>、发生涉及本基金申购、赎回事项调整或潜在影响投资者赎回等重大事项时；</w:t>
      </w:r>
    </w:p>
    <w:p w14:paraId="2F1CFC9D">
      <w:pPr>
        <w:snapToGrid w:val="0"/>
        <w:spacing w:line="360" w:lineRule="auto"/>
        <w:ind w:firstLine="420" w:firstLineChars="200"/>
        <w:rPr>
          <w:rFonts w:hint="eastAsia" w:ascii="宋体" w:hAnsi="宋体" w:cs="宋体"/>
          <w:szCs w:val="21"/>
        </w:rPr>
      </w:pPr>
      <w:r>
        <w:rPr>
          <w:rFonts w:hint="eastAsia" w:ascii="宋体" w:hAnsi="宋体" w:cs="宋体"/>
          <w:szCs w:val="21"/>
        </w:rPr>
        <w:t>2</w:t>
      </w:r>
      <w:r>
        <w:rPr>
          <w:rFonts w:ascii="宋体" w:hAnsi="宋体" w:cs="宋体"/>
          <w:szCs w:val="21"/>
        </w:rPr>
        <w:t>5</w:t>
      </w:r>
      <w:r>
        <w:rPr>
          <w:rFonts w:hint="eastAsia" w:ascii="宋体" w:hAnsi="宋体" w:cs="宋体"/>
          <w:szCs w:val="21"/>
        </w:rPr>
        <w:t>、基金信息披露义务人认为可能对基金份额持有人权益或者基金份额的价格产生重大影响的其他事项、中国证监会或基金合同规定的其他事项。</w:t>
      </w:r>
    </w:p>
    <w:p w14:paraId="1BE3BEFF">
      <w:pPr>
        <w:snapToGrid w:val="0"/>
        <w:spacing w:line="360" w:lineRule="auto"/>
        <w:ind w:firstLine="420" w:firstLineChars="200"/>
        <w:rPr>
          <w:rFonts w:hint="eastAsia" w:ascii="宋体" w:hAnsi="宋体" w:cs="宋体"/>
          <w:szCs w:val="21"/>
        </w:rPr>
      </w:pPr>
      <w:r>
        <w:rPr>
          <w:rFonts w:hint="eastAsia" w:ascii="宋体" w:hAnsi="宋体" w:cs="宋体"/>
          <w:szCs w:val="21"/>
        </w:rPr>
        <w:t>（十一）澄清公告</w:t>
      </w:r>
    </w:p>
    <w:p w14:paraId="2E47809F">
      <w:pPr>
        <w:snapToGrid w:val="0"/>
        <w:spacing w:line="360" w:lineRule="auto"/>
        <w:ind w:firstLine="420" w:firstLineChars="200"/>
        <w:rPr>
          <w:rFonts w:hint="eastAsia" w:ascii="宋体" w:hAnsi="宋体" w:cs="宋体"/>
          <w:szCs w:val="21"/>
        </w:rPr>
      </w:pPr>
      <w:r>
        <w:rPr>
          <w:rFonts w:hint="eastAsia" w:ascii="宋体" w:hAnsi="宋体" w:cs="宋体"/>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17CBF7F5">
      <w:pPr>
        <w:spacing w:line="360" w:lineRule="auto"/>
        <w:ind w:firstLine="420" w:firstLineChars="200"/>
        <w:rPr>
          <w:rFonts w:hint="eastAsia" w:ascii="宋体" w:hAnsi="宋体" w:cs="宋体"/>
          <w:bCs/>
          <w:szCs w:val="21"/>
        </w:rPr>
      </w:pPr>
      <w:r>
        <w:rPr>
          <w:rFonts w:hint="eastAsia" w:ascii="宋体" w:hAnsi="宋体" w:cs="宋体"/>
          <w:bCs/>
          <w:szCs w:val="21"/>
        </w:rPr>
        <w:t>（十二）清算报告</w:t>
      </w:r>
    </w:p>
    <w:p w14:paraId="1C8A9B67">
      <w:pPr>
        <w:spacing w:line="360" w:lineRule="auto"/>
        <w:ind w:firstLine="420" w:firstLineChars="200"/>
        <w:rPr>
          <w:rFonts w:hint="eastAsia" w:ascii="宋体" w:hAnsi="宋体" w:cs="宋体"/>
          <w:bCs/>
          <w:szCs w:val="21"/>
        </w:rPr>
      </w:pPr>
      <w:r>
        <w:rPr>
          <w:rFonts w:hint="eastAsia" w:ascii="宋体" w:hAnsi="宋体" w:cs="宋体"/>
          <w:bCs/>
          <w:szCs w:val="21"/>
        </w:rPr>
        <w:t>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2D16E32B">
      <w:pPr>
        <w:snapToGrid w:val="0"/>
        <w:spacing w:line="360" w:lineRule="auto"/>
        <w:ind w:firstLine="420" w:firstLineChars="200"/>
        <w:rPr>
          <w:rFonts w:hint="eastAsia" w:ascii="宋体" w:hAnsi="宋体" w:cs="宋体"/>
          <w:szCs w:val="21"/>
        </w:rPr>
      </w:pPr>
      <w:r>
        <w:rPr>
          <w:rFonts w:hint="eastAsia" w:ascii="宋体" w:hAnsi="宋体" w:cs="宋体"/>
          <w:szCs w:val="21"/>
        </w:rPr>
        <w:t>（十三）基金份额持有人大会决议</w:t>
      </w:r>
    </w:p>
    <w:p w14:paraId="1F50A1AD">
      <w:pPr>
        <w:snapToGrid w:val="0"/>
        <w:spacing w:line="360" w:lineRule="auto"/>
        <w:ind w:firstLine="420" w:firstLineChars="200"/>
        <w:rPr>
          <w:rFonts w:hint="eastAsia" w:ascii="宋体" w:hAnsi="宋体" w:cs="宋体"/>
          <w:szCs w:val="21"/>
        </w:rPr>
      </w:pPr>
      <w:r>
        <w:rPr>
          <w:rFonts w:hint="eastAsia" w:ascii="宋体" w:hAnsi="宋体" w:cs="宋体"/>
          <w:szCs w:val="21"/>
        </w:rPr>
        <w:t>基金份额持有人大会决定的事项，应当依法报中国证监会备案，并予以公告。</w:t>
      </w:r>
    </w:p>
    <w:p w14:paraId="36F21512">
      <w:pPr>
        <w:snapToGrid w:val="0"/>
        <w:spacing w:line="360" w:lineRule="auto"/>
        <w:ind w:firstLine="420" w:firstLineChars="200"/>
        <w:rPr>
          <w:rFonts w:hint="eastAsia" w:ascii="宋体" w:hAnsi="宋体" w:cs="宋体"/>
          <w:szCs w:val="21"/>
        </w:rPr>
      </w:pPr>
      <w:r>
        <w:rPr>
          <w:rFonts w:hint="eastAsia" w:ascii="宋体" w:hAnsi="宋体" w:cs="宋体"/>
          <w:szCs w:val="21"/>
        </w:rPr>
        <w:t>（十四）基金投资资产支持证券的信息披露</w:t>
      </w:r>
    </w:p>
    <w:p w14:paraId="0086CC1D">
      <w:pPr>
        <w:snapToGrid w:val="0"/>
        <w:spacing w:line="360" w:lineRule="auto"/>
        <w:ind w:firstLine="420" w:firstLineChars="200"/>
        <w:rPr>
          <w:rFonts w:hint="eastAsia" w:ascii="宋体" w:hAnsi="宋体" w:cs="宋体"/>
          <w:szCs w:val="21"/>
        </w:rPr>
      </w:pPr>
      <w:r>
        <w:rPr>
          <w:rFonts w:hint="eastAsia" w:ascii="宋体" w:hAnsi="宋体" w:cs="宋体"/>
          <w:szCs w:val="21"/>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45F249BA">
      <w:pPr>
        <w:snapToGrid w:val="0"/>
        <w:spacing w:line="360" w:lineRule="auto"/>
        <w:ind w:firstLine="420" w:firstLineChars="200"/>
        <w:rPr>
          <w:rFonts w:hint="eastAsia" w:ascii="宋体" w:hAnsi="宋体" w:cs="宋体"/>
          <w:szCs w:val="21"/>
        </w:rPr>
      </w:pPr>
      <w:r>
        <w:rPr>
          <w:rFonts w:hint="eastAsia" w:ascii="宋体" w:hAnsi="宋体" w:cs="宋体"/>
          <w:szCs w:val="21"/>
        </w:rPr>
        <w:t>（十五）基金参与股票期权交易的信息披露</w:t>
      </w:r>
    </w:p>
    <w:p w14:paraId="1F1B0A92">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w:t>
      </w:r>
    </w:p>
    <w:p w14:paraId="7368427B">
      <w:pPr>
        <w:snapToGrid w:val="0"/>
        <w:spacing w:line="360" w:lineRule="auto"/>
        <w:ind w:firstLine="420" w:firstLineChars="200"/>
        <w:rPr>
          <w:rFonts w:hint="eastAsia" w:ascii="宋体" w:hAnsi="宋体" w:cs="宋体"/>
          <w:szCs w:val="21"/>
        </w:rPr>
      </w:pPr>
      <w:r>
        <w:rPr>
          <w:rFonts w:hint="eastAsia" w:ascii="宋体" w:hAnsi="宋体" w:cs="宋体"/>
          <w:szCs w:val="21"/>
        </w:rPr>
        <w:t>（十六）基金参与股指期货、国债期货交易的信息披露</w:t>
      </w:r>
    </w:p>
    <w:p w14:paraId="1AE16137">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w:t>
      </w:r>
    </w:p>
    <w:p w14:paraId="222D5430">
      <w:pPr>
        <w:snapToGrid w:val="0"/>
        <w:spacing w:line="360" w:lineRule="auto"/>
        <w:ind w:firstLine="420" w:firstLineChars="200"/>
        <w:rPr>
          <w:rFonts w:hint="eastAsia" w:ascii="宋体" w:hAnsi="宋体" w:cs="宋体"/>
          <w:szCs w:val="21"/>
        </w:rPr>
      </w:pPr>
      <w:r>
        <w:rPr>
          <w:rFonts w:hint="eastAsia" w:ascii="宋体" w:hAnsi="宋体" w:cs="宋体"/>
          <w:szCs w:val="21"/>
        </w:rPr>
        <w:t>（十七）基金参与融资和转融通证券出借业务的信息披露</w:t>
      </w:r>
    </w:p>
    <w:p w14:paraId="5A59BEB6">
      <w:pPr>
        <w:snapToGrid w:val="0"/>
        <w:spacing w:line="360" w:lineRule="auto"/>
        <w:ind w:firstLine="420" w:firstLineChars="200"/>
        <w:rPr>
          <w:rFonts w:hint="eastAsia" w:ascii="宋体" w:hAnsi="宋体" w:cs="宋体"/>
          <w:szCs w:val="21"/>
        </w:rPr>
      </w:pPr>
      <w:r>
        <w:rPr>
          <w:rFonts w:hint="eastAsia" w:ascii="宋体" w:hAnsi="宋体" w:cs="宋体"/>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w:t>
      </w:r>
    </w:p>
    <w:p w14:paraId="38DED9E0">
      <w:pPr>
        <w:snapToGrid w:val="0"/>
        <w:spacing w:line="360" w:lineRule="auto"/>
        <w:ind w:firstLine="420" w:firstLineChars="200"/>
        <w:rPr>
          <w:rFonts w:hint="eastAsia" w:ascii="宋体" w:hAnsi="宋体" w:cs="宋体"/>
          <w:szCs w:val="21"/>
        </w:rPr>
      </w:pPr>
      <w:r>
        <w:rPr>
          <w:rFonts w:hint="eastAsia" w:ascii="宋体" w:hAnsi="宋体" w:cs="宋体"/>
          <w:szCs w:val="21"/>
        </w:rPr>
        <w:t>（十八）中国证监会规定的其他信息</w:t>
      </w:r>
    </w:p>
    <w:p w14:paraId="685B92C4">
      <w:pPr>
        <w:snapToGrid w:val="0"/>
        <w:spacing w:line="360" w:lineRule="auto"/>
        <w:ind w:firstLine="420" w:firstLineChars="200"/>
        <w:rPr>
          <w:rFonts w:hint="eastAsia" w:ascii="宋体" w:hAnsi="宋体" w:cs="宋体"/>
          <w:szCs w:val="21"/>
        </w:rPr>
      </w:pPr>
      <w:r>
        <w:rPr>
          <w:rFonts w:hint="eastAsia" w:ascii="宋体" w:hAnsi="宋体" w:cs="宋体"/>
          <w:szCs w:val="21"/>
        </w:rPr>
        <w:t>六、信息披露事务管理</w:t>
      </w:r>
    </w:p>
    <w:p w14:paraId="310FE351">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基金管理人、基金托管人应当建立健全信息披露管理制度，指定专门部门及高级管理人员负责管理信息披露事务。</w:t>
      </w:r>
    </w:p>
    <w:p w14:paraId="238D2937">
      <w:pPr>
        <w:snapToGrid w:val="0"/>
        <w:spacing w:line="360" w:lineRule="auto"/>
        <w:ind w:firstLine="420" w:firstLineChars="200"/>
        <w:rPr>
          <w:rFonts w:hint="eastAsia" w:ascii="宋体" w:hAnsi="宋体" w:cs="宋体"/>
          <w:szCs w:val="21"/>
        </w:rPr>
      </w:pPr>
      <w:r>
        <w:rPr>
          <w:rFonts w:hint="eastAsia" w:ascii="宋体" w:hAnsi="宋体" w:cs="宋体"/>
          <w:szCs w:val="21"/>
        </w:rPr>
        <w:t>基金信息披露义务人公开披露基金信息，应当符合中国证监会相关基金信息披露内容与格式准则等法规以及证券交易所的自律管理规则的规定。</w:t>
      </w:r>
    </w:p>
    <w:p w14:paraId="58B24A69">
      <w:pPr>
        <w:snapToGrid w:val="0"/>
        <w:spacing w:line="360" w:lineRule="auto"/>
        <w:ind w:firstLine="420" w:firstLineChars="200"/>
        <w:rPr>
          <w:rFonts w:hint="eastAsia" w:ascii="宋体" w:hAnsi="宋体" w:cs="宋体"/>
          <w:szCs w:val="21"/>
        </w:rPr>
      </w:pPr>
      <w:r>
        <w:rPr>
          <w:rFonts w:hint="eastAsia" w:ascii="宋体" w:hAnsi="宋体" w:cs="宋体"/>
          <w:szCs w:val="21"/>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2B9E4359">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基金管理人、基金托管人应当在规定媒介中选择一家披露信息的媒介。基金管理人、基金托管人应当向中国证监会基金电子披露网站报送拟披露的基金信息，并保证相关报送信息的真实、准确、完整、及时。</w:t>
      </w:r>
    </w:p>
    <w:p w14:paraId="512B1889">
      <w:pPr>
        <w:snapToGrid w:val="0"/>
        <w:spacing w:line="360" w:lineRule="auto"/>
        <w:ind w:firstLine="420" w:firstLineChars="200"/>
        <w:rPr>
          <w:rFonts w:hint="eastAsia" w:ascii="宋体" w:hAnsi="宋体" w:cs="宋体"/>
          <w:szCs w:val="21"/>
        </w:rPr>
      </w:pPr>
      <w:r>
        <w:rPr>
          <w:rFonts w:hint="eastAsia" w:ascii="宋体" w:hAnsi="宋体" w:cs="宋体"/>
          <w:szCs w:val="21"/>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3B9CF143">
      <w:pPr>
        <w:snapToGrid w:val="0"/>
        <w:spacing w:line="360" w:lineRule="auto"/>
        <w:ind w:firstLine="420" w:firstLineChars="200"/>
        <w:rPr>
          <w:rFonts w:hint="eastAsia" w:ascii="宋体" w:hAnsi="宋体" w:cs="宋体"/>
          <w:szCs w:val="21"/>
        </w:rPr>
      </w:pPr>
      <w:r>
        <w:rPr>
          <w:rFonts w:hint="eastAsia" w:ascii="宋体" w:hAnsi="宋体" w:cs="宋体"/>
          <w:szCs w:val="21"/>
        </w:rPr>
        <w:t>为基金信息披露义务人公开披露的基金信息出具审计报告、法律意见书的专业机构，应当制作工作底稿，并将相关档案至少保存到《基金合同》终止后10年。</w:t>
      </w:r>
    </w:p>
    <w:p w14:paraId="753C5767">
      <w:pPr>
        <w:snapToGrid w:val="0"/>
        <w:spacing w:line="360" w:lineRule="auto"/>
        <w:ind w:firstLine="420" w:firstLineChars="200"/>
        <w:rPr>
          <w:rFonts w:hint="eastAsia" w:ascii="宋体" w:hAnsi="宋体" w:cs="宋体"/>
          <w:szCs w:val="21"/>
        </w:rPr>
      </w:pPr>
      <w:r>
        <w:rPr>
          <w:rFonts w:hint="eastAsia" w:ascii="宋体" w:hAnsi="宋体" w:cs="宋体"/>
          <w:szCs w:val="21"/>
        </w:rPr>
        <w:t>七、信息披露文件的存放与查阅</w:t>
      </w:r>
    </w:p>
    <w:p w14:paraId="1C870122">
      <w:pPr>
        <w:spacing w:line="360" w:lineRule="auto"/>
        <w:ind w:firstLine="420" w:firstLineChars="200"/>
        <w:rPr>
          <w:rFonts w:hint="eastAsia" w:ascii="宋体" w:hAnsi="宋体" w:cs="宋体"/>
          <w:szCs w:val="21"/>
        </w:rPr>
      </w:pPr>
      <w:r>
        <w:rPr>
          <w:rFonts w:hint="eastAsia" w:ascii="宋体" w:hAnsi="宋体" w:cs="宋体"/>
          <w:bCs/>
          <w:szCs w:val="21"/>
        </w:rPr>
        <w:t>依法必须披露的信息发布</w:t>
      </w:r>
      <w:r>
        <w:rPr>
          <w:rFonts w:hint="eastAsia" w:ascii="宋体" w:hAnsi="宋体" w:cs="宋体"/>
          <w:szCs w:val="21"/>
        </w:rPr>
        <w:t>后，基金管理人、基金托管</w:t>
      </w:r>
      <w:r>
        <w:rPr>
          <w:rFonts w:hint="eastAsia" w:ascii="宋体" w:hAnsi="宋体" w:cs="宋体"/>
          <w:bCs/>
          <w:szCs w:val="21"/>
        </w:rPr>
        <w:t>人应当按照相关法律法规规定将信息置备于各自住所和</w:t>
      </w:r>
      <w:r>
        <w:rPr>
          <w:rFonts w:hint="eastAsia" w:ascii="宋体" w:hAnsi="宋体" w:cs="宋体"/>
          <w:szCs w:val="21"/>
        </w:rPr>
        <w:t>基金</w:t>
      </w:r>
      <w:r>
        <w:rPr>
          <w:rFonts w:hint="eastAsia" w:ascii="宋体" w:hAnsi="宋体" w:cs="宋体"/>
          <w:bCs/>
          <w:szCs w:val="21"/>
        </w:rPr>
        <w:t>上市交易</w:t>
      </w:r>
      <w:r>
        <w:rPr>
          <w:rFonts w:hint="eastAsia" w:ascii="宋体" w:hAnsi="宋体" w:cs="宋体"/>
          <w:szCs w:val="21"/>
        </w:rPr>
        <w:t>的</w:t>
      </w:r>
      <w:r>
        <w:rPr>
          <w:rFonts w:hint="eastAsia" w:ascii="宋体" w:hAnsi="宋体" w:cs="宋体"/>
          <w:bCs/>
          <w:szCs w:val="21"/>
        </w:rPr>
        <w:t>证券交易所</w:t>
      </w:r>
      <w:r>
        <w:rPr>
          <w:rFonts w:hint="eastAsia" w:ascii="宋体" w:hAnsi="宋体" w:cs="宋体"/>
          <w:szCs w:val="21"/>
        </w:rPr>
        <w:t>，供</w:t>
      </w:r>
      <w:r>
        <w:rPr>
          <w:rFonts w:hint="eastAsia" w:ascii="宋体" w:hAnsi="宋体" w:cs="宋体"/>
          <w:bCs/>
          <w:szCs w:val="21"/>
        </w:rPr>
        <w:t>社会</w:t>
      </w:r>
      <w:r>
        <w:rPr>
          <w:rFonts w:hint="eastAsia" w:ascii="宋体" w:hAnsi="宋体" w:cs="宋体"/>
          <w:szCs w:val="21"/>
        </w:rPr>
        <w:t>公众查阅、复制。</w:t>
      </w:r>
    </w:p>
    <w:p w14:paraId="5D52042B">
      <w:pPr>
        <w:snapToGrid w:val="0"/>
        <w:spacing w:line="360" w:lineRule="auto"/>
        <w:ind w:firstLine="420" w:firstLineChars="200"/>
        <w:rPr>
          <w:rFonts w:hint="eastAsia" w:ascii="宋体" w:hAnsi="宋体" w:cs="宋体"/>
          <w:szCs w:val="21"/>
        </w:rPr>
      </w:pPr>
      <w:r>
        <w:rPr>
          <w:rFonts w:hint="eastAsia" w:ascii="宋体" w:hAnsi="宋体" w:cs="宋体"/>
          <w:szCs w:val="21"/>
        </w:rPr>
        <w:t>八、暂停或延迟披露基金相关信息的情形</w:t>
      </w:r>
    </w:p>
    <w:p w14:paraId="17C1C564">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当出现下述情况时，基金管理人和基金托管人可暂停或延迟披露基金相关信息：</w:t>
      </w:r>
    </w:p>
    <w:p w14:paraId="44C27772">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1、不可抗力；</w:t>
      </w:r>
    </w:p>
    <w:p w14:paraId="14286808">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2、发生暂停基金估值的情形时；</w:t>
      </w:r>
    </w:p>
    <w:p w14:paraId="7B73BF86">
      <w:pPr>
        <w:adjustRightInd w:val="0"/>
        <w:snapToGrid w:val="0"/>
        <w:spacing w:line="360" w:lineRule="auto"/>
        <w:ind w:firstLine="420" w:firstLineChars="200"/>
        <w:rPr>
          <w:rFonts w:hint="eastAsia" w:ascii="宋体" w:hAnsi="宋体" w:cs="宋体"/>
          <w:color w:val="0C0C0C"/>
          <w:szCs w:val="21"/>
        </w:rPr>
      </w:pPr>
      <w:r>
        <w:rPr>
          <w:rFonts w:hint="eastAsia" w:ascii="宋体" w:hAnsi="宋体" w:cs="宋体"/>
          <w:color w:val="0C0C0C"/>
          <w:szCs w:val="21"/>
        </w:rPr>
        <w:t>3、法律法规规定、中国证监会和基金合同认定的其它情形。</w:t>
      </w:r>
    </w:p>
    <w:p w14:paraId="5DA83D24">
      <w:pPr>
        <w:pStyle w:val="2"/>
        <w:snapToGrid w:val="0"/>
        <w:spacing w:before="0" w:after="0" w:line="360" w:lineRule="auto"/>
        <w:ind w:firstLine="141" w:firstLineChars="50"/>
        <w:rPr>
          <w:rFonts w:hint="eastAsia" w:hAnsi="宋体" w:eastAsia="宋体" w:cs="Arial"/>
          <w:b/>
          <w:bCs/>
          <w:sz w:val="28"/>
          <w:szCs w:val="28"/>
        </w:rPr>
      </w:pPr>
    </w:p>
    <w:p w14:paraId="00856251">
      <w:pPr>
        <w:pStyle w:val="2"/>
        <w:snapToGrid w:val="0"/>
        <w:spacing w:before="0" w:after="0" w:line="360" w:lineRule="auto"/>
        <w:ind w:firstLine="141" w:firstLineChars="50"/>
        <w:rPr>
          <w:rFonts w:hint="eastAsia" w:hAnsi="宋体" w:eastAsia="宋体" w:cs="Arial"/>
          <w:b/>
          <w:bCs/>
          <w:sz w:val="28"/>
          <w:szCs w:val="28"/>
        </w:rPr>
      </w:pPr>
    </w:p>
    <w:p w14:paraId="16E0296E">
      <w:pPr>
        <w:pStyle w:val="2"/>
        <w:snapToGrid w:val="0"/>
        <w:spacing w:before="0" w:after="0" w:line="360" w:lineRule="auto"/>
        <w:ind w:firstLine="141" w:firstLineChars="50"/>
        <w:rPr>
          <w:rFonts w:hint="eastAsia" w:hAnsi="宋体" w:eastAsia="宋体" w:cs="Arial"/>
          <w:b/>
          <w:bCs/>
          <w:sz w:val="28"/>
          <w:szCs w:val="28"/>
        </w:rPr>
      </w:pPr>
    </w:p>
    <w:p w14:paraId="02D83AA9">
      <w:pPr>
        <w:pStyle w:val="2"/>
        <w:snapToGrid w:val="0"/>
        <w:spacing w:before="0" w:after="0" w:line="360" w:lineRule="auto"/>
        <w:ind w:firstLine="141" w:firstLineChars="50"/>
        <w:rPr>
          <w:rFonts w:hint="eastAsia" w:hAnsi="宋体" w:eastAsia="宋体" w:cs="Arial"/>
          <w:b/>
          <w:bCs/>
          <w:sz w:val="28"/>
          <w:szCs w:val="28"/>
        </w:rPr>
      </w:pPr>
    </w:p>
    <w:p w14:paraId="1A1334D5">
      <w:pPr>
        <w:pStyle w:val="2"/>
        <w:snapToGrid w:val="0"/>
        <w:spacing w:before="0" w:after="0" w:line="360" w:lineRule="auto"/>
        <w:ind w:firstLine="141" w:firstLineChars="50"/>
        <w:rPr>
          <w:rFonts w:hint="eastAsia" w:hAnsi="宋体" w:eastAsia="宋体" w:cs="Arial"/>
          <w:b/>
          <w:bCs/>
          <w:sz w:val="28"/>
          <w:szCs w:val="28"/>
        </w:rPr>
      </w:pPr>
    </w:p>
    <w:p w14:paraId="0364CA79">
      <w:pPr>
        <w:pStyle w:val="2"/>
        <w:snapToGrid w:val="0"/>
        <w:spacing w:before="0" w:after="0"/>
        <w:jc w:val="both"/>
        <w:rPr>
          <w:rFonts w:hint="eastAsia" w:hAnsi="宋体" w:eastAsia="宋体" w:cs="Arial"/>
          <w:b/>
          <w:bCs/>
          <w:sz w:val="28"/>
          <w:szCs w:val="28"/>
        </w:rPr>
      </w:pPr>
    </w:p>
    <w:p w14:paraId="382CACF4">
      <w:pPr>
        <w:rPr>
          <w:rFonts w:hint="eastAsia" w:hAnsi="宋体" w:cs="Arial"/>
          <w:b/>
          <w:bCs/>
          <w:sz w:val="28"/>
          <w:szCs w:val="28"/>
        </w:rPr>
      </w:pPr>
    </w:p>
    <w:p w14:paraId="21D6FA27">
      <w:pPr>
        <w:pStyle w:val="25"/>
        <w:rPr>
          <w:rFonts w:hint="eastAsia" w:hAnsi="宋体" w:cs="Arial"/>
          <w:b/>
          <w:bCs/>
          <w:sz w:val="28"/>
          <w:szCs w:val="28"/>
        </w:rPr>
      </w:pPr>
    </w:p>
    <w:p w14:paraId="49FAF321">
      <w:pPr>
        <w:pStyle w:val="25"/>
        <w:rPr>
          <w:rFonts w:hint="eastAsia" w:hAnsi="宋体" w:cs="Arial"/>
          <w:b/>
          <w:bCs/>
          <w:sz w:val="28"/>
          <w:szCs w:val="28"/>
        </w:rPr>
      </w:pPr>
    </w:p>
    <w:p w14:paraId="14375AAE">
      <w:pPr>
        <w:pStyle w:val="25"/>
        <w:rPr>
          <w:rFonts w:hint="eastAsia" w:hAnsi="宋体" w:cs="Arial"/>
          <w:b/>
          <w:bCs/>
          <w:sz w:val="28"/>
          <w:szCs w:val="28"/>
        </w:rPr>
      </w:pPr>
    </w:p>
    <w:p w14:paraId="46988768">
      <w:pPr>
        <w:pStyle w:val="25"/>
        <w:rPr>
          <w:rFonts w:hint="eastAsia" w:hAnsi="宋体" w:cs="Arial"/>
          <w:b/>
          <w:bCs/>
          <w:sz w:val="28"/>
          <w:szCs w:val="28"/>
        </w:rPr>
      </w:pPr>
    </w:p>
    <w:p w14:paraId="1B48ABCB">
      <w:pPr>
        <w:pStyle w:val="2"/>
        <w:snapToGrid w:val="0"/>
        <w:spacing w:before="0" w:after="0" w:line="360" w:lineRule="auto"/>
        <w:ind w:firstLine="2811" w:firstLineChars="1000"/>
        <w:jc w:val="both"/>
        <w:rPr>
          <w:rFonts w:hint="eastAsia" w:hAnsi="宋体" w:eastAsia="宋体" w:cs="Arial"/>
          <w:b/>
          <w:bCs/>
          <w:sz w:val="28"/>
          <w:szCs w:val="28"/>
        </w:rPr>
      </w:pPr>
      <w:bookmarkStart w:id="133" w:name="_Toc4343"/>
      <w:r>
        <w:rPr>
          <w:rFonts w:hAnsi="宋体" w:eastAsia="宋体" w:cs="Arial"/>
          <w:b/>
          <w:bCs/>
          <w:sz w:val="28"/>
          <w:szCs w:val="28"/>
        </w:rPr>
        <w:t>第十</w:t>
      </w:r>
      <w:bookmarkStart w:id="134" w:name="_Toc50661138"/>
      <w:r>
        <w:rPr>
          <w:rFonts w:hint="eastAsia" w:hAnsi="宋体" w:eastAsia="宋体" w:cs="Arial"/>
          <w:b/>
          <w:bCs/>
          <w:sz w:val="28"/>
          <w:szCs w:val="28"/>
        </w:rPr>
        <w:t>八</w:t>
      </w:r>
      <w:r>
        <w:rPr>
          <w:rFonts w:hAnsi="宋体" w:eastAsia="宋体" w:cs="Arial"/>
          <w:b/>
          <w:bCs/>
          <w:sz w:val="28"/>
          <w:szCs w:val="28"/>
        </w:rPr>
        <w:t>部分  风险揭示</w:t>
      </w:r>
      <w:bookmarkEnd w:id="128"/>
      <w:bookmarkEnd w:id="129"/>
      <w:bookmarkEnd w:id="130"/>
      <w:bookmarkEnd w:id="131"/>
      <w:bookmarkEnd w:id="132"/>
      <w:bookmarkEnd w:id="133"/>
      <w:bookmarkEnd w:id="134"/>
    </w:p>
    <w:p w14:paraId="45660DD4">
      <w:pPr>
        <w:adjustRightInd w:val="0"/>
        <w:snapToGrid w:val="0"/>
        <w:spacing w:line="360" w:lineRule="auto"/>
        <w:ind w:firstLine="420"/>
        <w:rPr>
          <w:rFonts w:hint="eastAsia" w:ascii="宋体" w:hAnsi="宋体" w:cs="Arial"/>
        </w:rPr>
      </w:pPr>
      <w:bookmarkStart w:id="135" w:name="_Toc454717524"/>
      <w:bookmarkStart w:id="136" w:name="_Toc524923235"/>
      <w:bookmarkStart w:id="137" w:name="_Toc520693901"/>
      <w:bookmarkStart w:id="138" w:name="_Toc520693803"/>
      <w:bookmarkStart w:id="139" w:name="_Toc214873606"/>
      <w:r>
        <w:rPr>
          <w:rFonts w:ascii="宋体" w:hAnsi="宋体" w:cs="Arial"/>
        </w:rPr>
        <w:t>本基金管理人在总结、借鉴</w:t>
      </w:r>
      <w:r>
        <w:rPr>
          <w:rFonts w:hint="eastAsia" w:ascii="宋体" w:hAnsi="宋体" w:cs="Arial"/>
        </w:rPr>
        <w:t>基金管理人</w:t>
      </w:r>
      <w:r>
        <w:rPr>
          <w:rFonts w:ascii="宋体" w:hAnsi="宋体" w:cs="Arial"/>
        </w:rPr>
        <w:t>旗下已有开放式基金</w:t>
      </w:r>
      <w:r>
        <w:rPr>
          <w:rFonts w:hint="eastAsia" w:ascii="宋体" w:hAnsi="宋体" w:cs="Arial"/>
        </w:rPr>
        <w:t>（包括ETF基金）</w:t>
      </w:r>
      <w:r>
        <w:rPr>
          <w:rFonts w:ascii="宋体" w:hAnsi="宋体" w:cs="Arial"/>
        </w:rPr>
        <w:t>风险管理成熟经验的基础上，针对本基金的特点，确立科学的风险管理理念，建立相应的风险管理体系，对本基金整个投资过程进行有效的风险监控，为基金</w:t>
      </w:r>
      <w:r>
        <w:rPr>
          <w:rFonts w:hint="eastAsia" w:ascii="宋体" w:hAnsi="宋体" w:cs="Arial"/>
        </w:rPr>
        <w:t>份额</w:t>
      </w:r>
      <w:r>
        <w:rPr>
          <w:rFonts w:ascii="宋体" w:hAnsi="宋体" w:cs="Arial"/>
        </w:rPr>
        <w:t>持有人谋取标的指数所表征的市场平均水平的投资收益。</w:t>
      </w:r>
    </w:p>
    <w:p w14:paraId="12CECCB6">
      <w:pPr>
        <w:adjustRightInd w:val="0"/>
        <w:snapToGrid w:val="0"/>
        <w:spacing w:line="360" w:lineRule="auto"/>
        <w:ind w:firstLine="420"/>
        <w:rPr>
          <w:rFonts w:hint="eastAsia" w:ascii="宋体" w:hAnsi="宋体" w:cs="Arial"/>
        </w:rPr>
      </w:pPr>
      <w:r>
        <w:rPr>
          <w:rFonts w:ascii="宋体" w:hAnsi="宋体" w:cs="Arial"/>
        </w:rPr>
        <w:t>投资于本基金的主要风险</w:t>
      </w:r>
      <w:r>
        <w:rPr>
          <w:rFonts w:hint="eastAsia" w:ascii="宋体" w:hAnsi="宋体" w:cs="Arial"/>
        </w:rPr>
        <w:t>包括以下几个方面：</w:t>
      </w:r>
    </w:p>
    <w:p w14:paraId="34A21FEB">
      <w:pPr>
        <w:numPr>
          <w:ilvl w:val="0"/>
          <w:numId w:val="8"/>
        </w:numPr>
        <w:tabs>
          <w:tab w:val="left" w:pos="851"/>
          <w:tab w:val="left" w:pos="1134"/>
        </w:tabs>
        <w:adjustRightInd w:val="0"/>
        <w:snapToGrid w:val="0"/>
        <w:spacing w:line="360" w:lineRule="auto"/>
        <w:ind w:left="0" w:firstLine="426"/>
        <w:outlineLvl w:val="0"/>
        <w:rPr>
          <w:rFonts w:hint="eastAsia" w:ascii="宋体" w:hAnsi="宋体" w:cs="Arial"/>
          <w:b/>
        </w:rPr>
      </w:pPr>
      <w:bookmarkStart w:id="140" w:name="_Toc293495053"/>
      <w:r>
        <w:rPr>
          <w:rFonts w:ascii="宋体" w:hAnsi="宋体" w:cs="Arial"/>
          <w:b/>
        </w:rPr>
        <w:t>标的指数回报与股票市场平均回报偏离的风险</w:t>
      </w:r>
      <w:bookmarkEnd w:id="140"/>
      <w:r>
        <w:rPr>
          <w:rFonts w:ascii="宋体" w:hAnsi="宋体" w:cs="Arial"/>
          <w:b/>
        </w:rPr>
        <w:t xml:space="preserve"> </w:t>
      </w:r>
    </w:p>
    <w:p w14:paraId="0F17C5FA">
      <w:pPr>
        <w:adjustRightInd w:val="0"/>
        <w:snapToGrid w:val="0"/>
        <w:spacing w:line="360" w:lineRule="auto"/>
        <w:ind w:firstLine="426"/>
        <w:rPr>
          <w:rFonts w:hint="eastAsia" w:ascii="宋体" w:hAnsi="宋体" w:cs="Arial"/>
        </w:rPr>
      </w:pPr>
      <w:r>
        <w:rPr>
          <w:rFonts w:ascii="宋体" w:hAnsi="宋体" w:cs="Arial"/>
        </w:rPr>
        <w:t xml:space="preserve">标的指数并不能完全代表整个股票市场。标的指数成份股的平均回报率与整个股票市场的平均回报率可能存在偏离。 </w:t>
      </w:r>
    </w:p>
    <w:p w14:paraId="289A2CBF">
      <w:pPr>
        <w:numPr>
          <w:ilvl w:val="0"/>
          <w:numId w:val="8"/>
        </w:numPr>
        <w:tabs>
          <w:tab w:val="left" w:pos="851"/>
          <w:tab w:val="left" w:pos="1134"/>
        </w:tabs>
        <w:adjustRightInd w:val="0"/>
        <w:snapToGrid w:val="0"/>
        <w:spacing w:line="360" w:lineRule="auto"/>
        <w:ind w:left="0" w:firstLine="426"/>
        <w:outlineLvl w:val="0"/>
        <w:rPr>
          <w:rFonts w:hint="eastAsia" w:ascii="宋体" w:hAnsi="宋体" w:cs="Arial"/>
          <w:b/>
        </w:rPr>
      </w:pPr>
      <w:bookmarkStart w:id="141" w:name="_Toc293495054"/>
      <w:r>
        <w:rPr>
          <w:rFonts w:ascii="宋体" w:hAnsi="宋体" w:cs="Arial"/>
          <w:b/>
        </w:rPr>
        <w:t>标的指数波动的风险</w:t>
      </w:r>
      <w:bookmarkEnd w:id="141"/>
      <w:r>
        <w:rPr>
          <w:rFonts w:ascii="宋体" w:hAnsi="宋体" w:cs="Arial"/>
          <w:b/>
        </w:rPr>
        <w:t xml:space="preserve"> </w:t>
      </w:r>
    </w:p>
    <w:p w14:paraId="617CC849">
      <w:pPr>
        <w:adjustRightInd w:val="0"/>
        <w:snapToGrid w:val="0"/>
        <w:spacing w:line="360" w:lineRule="auto"/>
        <w:ind w:firstLine="426"/>
        <w:rPr>
          <w:rFonts w:hint="eastAsia" w:ascii="宋体" w:hAnsi="宋体" w:cs="Arial"/>
        </w:rPr>
      </w:pPr>
      <w:r>
        <w:rPr>
          <w:rFonts w:ascii="宋体" w:hAnsi="宋体" w:cs="Arial"/>
        </w:rPr>
        <w:t xml:space="preserve">标的指数成份股的价格可能受到政治因素、经济因素、上市公司经营状况、投资人心理和交易制度等各种因素的影响而波动，导致指数波动，从而使基金收益水平发生变化，产生风险。 </w:t>
      </w:r>
    </w:p>
    <w:p w14:paraId="13F30368">
      <w:pPr>
        <w:numPr>
          <w:ilvl w:val="0"/>
          <w:numId w:val="8"/>
        </w:numPr>
        <w:tabs>
          <w:tab w:val="left" w:pos="851"/>
          <w:tab w:val="left" w:pos="1134"/>
        </w:tabs>
        <w:adjustRightInd w:val="0"/>
        <w:snapToGrid w:val="0"/>
        <w:spacing w:line="360" w:lineRule="auto"/>
        <w:ind w:left="0" w:firstLine="426"/>
        <w:outlineLvl w:val="0"/>
        <w:rPr>
          <w:rFonts w:hint="eastAsia" w:ascii="宋体" w:hAnsi="宋体" w:cs="Arial"/>
          <w:b/>
        </w:rPr>
      </w:pPr>
      <w:bookmarkStart w:id="142" w:name="_Toc293495055"/>
      <w:r>
        <w:rPr>
          <w:rFonts w:ascii="宋体" w:hAnsi="宋体" w:cs="Arial"/>
          <w:b/>
        </w:rPr>
        <w:t>基金投资组合回报与标的指数回报偏离的风险</w:t>
      </w:r>
      <w:bookmarkEnd w:id="142"/>
      <w:r>
        <w:rPr>
          <w:rFonts w:ascii="宋体" w:hAnsi="宋体" w:cs="Arial"/>
          <w:b/>
        </w:rPr>
        <w:t xml:space="preserve"> </w:t>
      </w:r>
    </w:p>
    <w:p w14:paraId="0FE08288">
      <w:pPr>
        <w:adjustRightInd w:val="0"/>
        <w:snapToGrid w:val="0"/>
        <w:spacing w:line="360" w:lineRule="auto"/>
        <w:ind w:firstLine="426"/>
        <w:rPr>
          <w:rFonts w:hint="eastAsia" w:ascii="宋体" w:hAnsi="宋体" w:cs="Arial"/>
        </w:rPr>
      </w:pPr>
      <w:r>
        <w:rPr>
          <w:rFonts w:ascii="宋体" w:hAnsi="宋体" w:cs="Arial"/>
        </w:rPr>
        <w:t xml:space="preserve">以下因素可能使基金投资组合的收益率与标的指数的收益率发生偏离： </w:t>
      </w:r>
    </w:p>
    <w:p w14:paraId="055D3CDC">
      <w:pPr>
        <w:adjustRightInd w:val="0"/>
        <w:snapToGrid w:val="0"/>
        <w:spacing w:line="360" w:lineRule="auto"/>
        <w:ind w:firstLine="426"/>
        <w:rPr>
          <w:rFonts w:hint="eastAsia" w:ascii="宋体" w:hAnsi="宋体" w:cs="Arial"/>
        </w:rPr>
      </w:pPr>
      <w:r>
        <w:rPr>
          <w:rFonts w:hint="eastAsia" w:ascii="宋体" w:hAnsi="宋体" w:cs="Arial"/>
        </w:rPr>
        <w:t>1、</w:t>
      </w:r>
      <w:r>
        <w:rPr>
          <w:rFonts w:ascii="宋体" w:hAnsi="宋体" w:cs="Arial"/>
        </w:rPr>
        <w:t xml:space="preserve">由于标的指数调整成份股或变更编制方法，使本基金在相应的组合调整中产生跟踪偏离度与跟踪误差。 </w:t>
      </w:r>
    </w:p>
    <w:p w14:paraId="08A9AB4D">
      <w:pPr>
        <w:adjustRightInd w:val="0"/>
        <w:snapToGrid w:val="0"/>
        <w:spacing w:line="360" w:lineRule="auto"/>
        <w:ind w:firstLine="426"/>
        <w:rPr>
          <w:rFonts w:hint="eastAsia" w:ascii="宋体" w:hAnsi="宋体" w:cs="Arial"/>
        </w:rPr>
      </w:pPr>
      <w:r>
        <w:rPr>
          <w:rFonts w:hint="eastAsia" w:ascii="宋体" w:hAnsi="宋体" w:cs="Arial"/>
        </w:rPr>
        <w:t>2、</w:t>
      </w:r>
      <w:r>
        <w:rPr>
          <w:rFonts w:ascii="宋体" w:hAnsi="宋体" w:cs="Arial"/>
        </w:rPr>
        <w:t xml:space="preserve">由于标的指数成份股发生送配股、增发等行为导致成份股在标的指数中的权重发生变化，使本基金在相应的组合调整中产生跟踪偏离度和跟踪误差。 </w:t>
      </w:r>
    </w:p>
    <w:p w14:paraId="3CE8E7CF">
      <w:pPr>
        <w:adjustRightInd w:val="0"/>
        <w:snapToGrid w:val="0"/>
        <w:spacing w:line="360" w:lineRule="auto"/>
        <w:ind w:firstLine="426"/>
        <w:rPr>
          <w:rFonts w:hint="eastAsia" w:ascii="宋体" w:hAnsi="宋体" w:cs="Arial"/>
        </w:rPr>
      </w:pPr>
      <w:r>
        <w:rPr>
          <w:rFonts w:hint="eastAsia" w:ascii="宋体" w:hAnsi="宋体" w:cs="Arial"/>
        </w:rPr>
        <w:t>3、</w:t>
      </w:r>
      <w:r>
        <w:rPr>
          <w:rFonts w:ascii="宋体" w:hAnsi="宋体" w:cs="Arial"/>
        </w:rPr>
        <w:t xml:space="preserve">成份股派发现金红利、成份股增发、送配等所获收益可能导致基金收益率偏离标的指数收益率，从而产生跟踪偏离度。 </w:t>
      </w:r>
    </w:p>
    <w:p w14:paraId="080D06D4">
      <w:pPr>
        <w:adjustRightInd w:val="0"/>
        <w:snapToGrid w:val="0"/>
        <w:spacing w:line="360" w:lineRule="auto"/>
        <w:ind w:firstLine="426"/>
        <w:rPr>
          <w:rFonts w:hint="eastAsia" w:ascii="宋体" w:hAnsi="宋体" w:cs="Arial"/>
        </w:rPr>
      </w:pPr>
      <w:r>
        <w:rPr>
          <w:rFonts w:hint="eastAsia" w:ascii="宋体" w:hAnsi="宋体" w:cs="Arial"/>
        </w:rPr>
        <w:t>4、</w:t>
      </w:r>
      <w:r>
        <w:rPr>
          <w:rFonts w:ascii="宋体" w:hAnsi="宋体" w:cs="Arial"/>
        </w:rPr>
        <w:t xml:space="preserve">由于成份股停牌、摘牌或流动性差等原因使本基金无法及时调整投资组合或承担冲击成本而产生跟踪偏离度和跟踪误差。 </w:t>
      </w:r>
    </w:p>
    <w:p w14:paraId="59F8F681">
      <w:pPr>
        <w:adjustRightInd w:val="0"/>
        <w:snapToGrid w:val="0"/>
        <w:spacing w:line="360" w:lineRule="auto"/>
        <w:ind w:firstLine="426"/>
        <w:rPr>
          <w:rFonts w:hint="eastAsia" w:ascii="宋体" w:hAnsi="宋体" w:cs="Arial"/>
        </w:rPr>
      </w:pPr>
      <w:r>
        <w:rPr>
          <w:rFonts w:hint="eastAsia" w:ascii="宋体" w:hAnsi="宋体" w:cs="Arial"/>
        </w:rPr>
        <w:t>5、</w:t>
      </w:r>
      <w:r>
        <w:rPr>
          <w:rFonts w:ascii="宋体" w:hAnsi="宋体" w:cs="Arial"/>
        </w:rPr>
        <w:t>由于基金投资过程中的证券交易成本，以及基金管理费和托管费等费</w:t>
      </w:r>
      <w:r>
        <w:rPr>
          <w:rFonts w:hint="eastAsia" w:ascii="宋体" w:hAnsi="宋体" w:cs="Arial"/>
        </w:rPr>
        <w:t>用</w:t>
      </w:r>
      <w:r>
        <w:rPr>
          <w:rFonts w:ascii="宋体" w:hAnsi="宋体" w:cs="Arial"/>
        </w:rPr>
        <w:t xml:space="preserve">的存在，使基金投资组合与标的指数产生跟踪偏离度与跟踪误差。 </w:t>
      </w:r>
    </w:p>
    <w:p w14:paraId="214D7102">
      <w:pPr>
        <w:adjustRightInd w:val="0"/>
        <w:snapToGrid w:val="0"/>
        <w:spacing w:line="360" w:lineRule="auto"/>
        <w:ind w:firstLine="426"/>
        <w:rPr>
          <w:rFonts w:hint="eastAsia" w:ascii="宋体" w:hAnsi="宋体" w:cs="Arial"/>
        </w:rPr>
      </w:pPr>
      <w:r>
        <w:rPr>
          <w:rFonts w:hint="eastAsia" w:ascii="宋体" w:hAnsi="宋体" w:cs="Arial"/>
        </w:rPr>
        <w:t>6、</w:t>
      </w:r>
      <w:r>
        <w:rPr>
          <w:rFonts w:ascii="宋体" w:hAnsi="宋体" w:cs="Arial"/>
        </w:rPr>
        <w:t xml:space="preserve">在本基金指数化投资过程中，基金管理人的管理能力，例如跟踪指数的水平、技术手段、买入卖出的时机选择等，都会对本基金的收益产生影响，从而影响本基金对标的指数的跟踪程度。 </w:t>
      </w:r>
    </w:p>
    <w:p w14:paraId="24A36CBE">
      <w:pPr>
        <w:adjustRightInd w:val="0"/>
        <w:snapToGrid w:val="0"/>
        <w:spacing w:line="360" w:lineRule="auto"/>
        <w:ind w:firstLine="426"/>
        <w:rPr>
          <w:rFonts w:hint="eastAsia" w:ascii="宋体" w:hAnsi="宋体" w:cs="Arial"/>
        </w:rPr>
      </w:pPr>
      <w:r>
        <w:rPr>
          <w:rFonts w:hint="eastAsia" w:ascii="宋体" w:hAnsi="宋体" w:cs="Arial"/>
        </w:rPr>
        <w:t>7、</w:t>
      </w:r>
      <w:r>
        <w:rPr>
          <w:rFonts w:ascii="宋体" w:hAnsi="宋体" w:cs="Arial"/>
        </w:rPr>
        <w:t xml:space="preserve">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1E6D2A58">
      <w:pPr>
        <w:numPr>
          <w:ilvl w:val="0"/>
          <w:numId w:val="8"/>
        </w:numPr>
        <w:tabs>
          <w:tab w:val="left" w:pos="851"/>
          <w:tab w:val="left" w:pos="1134"/>
        </w:tabs>
        <w:adjustRightInd w:val="0"/>
        <w:snapToGrid w:val="0"/>
        <w:spacing w:line="360" w:lineRule="auto"/>
        <w:ind w:left="0" w:firstLine="426"/>
        <w:outlineLvl w:val="0"/>
        <w:rPr>
          <w:rFonts w:hint="eastAsia" w:ascii="宋体" w:hAnsi="宋体" w:cs="Arial"/>
          <w:b/>
        </w:rPr>
      </w:pPr>
      <w:bookmarkStart w:id="143" w:name="_Toc293495056"/>
      <w:r>
        <w:rPr>
          <w:rFonts w:hint="eastAsia" w:ascii="宋体" w:hAnsi="宋体" w:cs="Arial"/>
          <w:b/>
        </w:rPr>
        <w:t>流动性风险</w:t>
      </w:r>
    </w:p>
    <w:p w14:paraId="449A5FCF">
      <w:pPr>
        <w:adjustRightInd w:val="0"/>
        <w:snapToGrid w:val="0"/>
        <w:spacing w:line="360" w:lineRule="auto"/>
        <w:ind w:firstLine="426"/>
        <w:rPr>
          <w:rFonts w:hint="eastAsia" w:ascii="宋体" w:hAnsi="宋体" w:cs="Arial"/>
        </w:rPr>
      </w:pPr>
      <w:r>
        <w:rPr>
          <w:rFonts w:ascii="宋体" w:hAnsi="宋体" w:cs="Arial"/>
        </w:rPr>
        <w:t>1</w:t>
      </w:r>
      <w:r>
        <w:rPr>
          <w:rFonts w:hint="eastAsia" w:ascii="宋体" w:hAnsi="宋体" w:cs="Arial"/>
        </w:rPr>
        <w:t>、本基金交易方式带来的流动性风险</w:t>
      </w:r>
    </w:p>
    <w:p w14:paraId="17337731">
      <w:pPr>
        <w:adjustRightInd w:val="0"/>
        <w:snapToGrid w:val="0"/>
        <w:spacing w:line="360" w:lineRule="auto"/>
        <w:ind w:firstLine="426"/>
        <w:rPr>
          <w:rFonts w:hint="eastAsia" w:ascii="宋体" w:hAnsi="宋体" w:cs="Arial"/>
        </w:rPr>
      </w:pPr>
      <w:r>
        <w:rPr>
          <w:rFonts w:hint="eastAsia" w:ascii="宋体" w:hAnsi="宋体" w:cs="Arial"/>
        </w:rPr>
        <w:t>①本基金最小申购、赎回单位设置较高，中小投资者只能在二级市场上按交易价格卖出基金份额。</w:t>
      </w:r>
    </w:p>
    <w:p w14:paraId="2916993B">
      <w:pPr>
        <w:adjustRightInd w:val="0"/>
        <w:snapToGrid w:val="0"/>
        <w:spacing w:line="360" w:lineRule="auto"/>
        <w:ind w:firstLine="426"/>
        <w:rPr>
          <w:rFonts w:hint="eastAsia" w:ascii="宋体" w:hAnsi="宋体" w:cs="Arial"/>
        </w:rPr>
      </w:pPr>
      <w:r>
        <w:rPr>
          <w:rFonts w:hint="eastAsia" w:ascii="宋体" w:hAnsi="宋体" w:cs="Arial"/>
        </w:rPr>
        <w:t>②基金将在深圳证券交易所上市交易，但不保证市场交易一定活跃；基金的交易可能因各种原因</w:t>
      </w:r>
      <w:r>
        <w:rPr>
          <w:rFonts w:ascii="宋体" w:hAnsi="宋体" w:cs="Arial"/>
        </w:rPr>
        <w:t>被</w:t>
      </w:r>
      <w:r>
        <w:rPr>
          <w:rFonts w:hint="eastAsia" w:ascii="宋体" w:hAnsi="宋体" w:cs="Arial"/>
        </w:rPr>
        <w:t>暂停，当基金不再符合相关上市条件时，基金的上市也可能被终止。</w:t>
      </w:r>
    </w:p>
    <w:p w14:paraId="2543F221">
      <w:pPr>
        <w:adjustRightInd w:val="0"/>
        <w:snapToGrid w:val="0"/>
        <w:spacing w:line="360" w:lineRule="auto"/>
        <w:ind w:firstLine="426"/>
        <w:rPr>
          <w:rFonts w:hint="eastAsia" w:ascii="宋体" w:hAnsi="宋体" w:cs="Arial"/>
        </w:rPr>
      </w:pPr>
      <w:r>
        <w:rPr>
          <w:rFonts w:hint="eastAsia" w:ascii="宋体" w:hAnsi="宋体" w:cs="Arial"/>
        </w:rPr>
        <w:t>③尽管由于投资者可以进行申购、赎回，基金一般不会持续出现大幅折溢价情况。但是，基金的二级市场交易价格受市场供求的影响，可能高于（称为溢价）或低于（称为折价）基金份额净值。</w:t>
      </w:r>
    </w:p>
    <w:p w14:paraId="598417F6">
      <w:pPr>
        <w:adjustRightInd w:val="0"/>
        <w:snapToGrid w:val="0"/>
        <w:spacing w:line="360" w:lineRule="auto"/>
        <w:ind w:firstLine="426"/>
        <w:rPr>
          <w:rFonts w:hint="eastAsia" w:ascii="宋体" w:hAnsi="宋体" w:cs="Arial"/>
        </w:rPr>
      </w:pPr>
      <w:r>
        <w:rPr>
          <w:rFonts w:hint="eastAsia" w:ascii="宋体" w:hAnsi="宋体" w:cs="Arial"/>
        </w:rPr>
        <w:t>2、拟投资市场、行业及资产的流动性风险评估</w:t>
      </w:r>
    </w:p>
    <w:p w14:paraId="34E90DC2">
      <w:pPr>
        <w:adjustRightInd w:val="0"/>
        <w:snapToGrid w:val="0"/>
        <w:spacing w:line="360" w:lineRule="auto"/>
        <w:ind w:firstLine="426"/>
        <w:rPr>
          <w:rFonts w:hint="eastAsia" w:ascii="宋体" w:hAnsi="宋体" w:cs="Arial"/>
        </w:rPr>
      </w:pPr>
      <w:r>
        <w:rPr>
          <w:rFonts w:hint="eastAsia" w:ascii="宋体" w:hAnsi="宋体" w:cs="Arial"/>
        </w:rPr>
        <w:t>本基金投资对象是具有良好流动性的金融工具，包括国内依法发行上市的股票（包括创业板及其他经中国证监会核准或注册上市的股票和存托凭证）、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743D11C5">
      <w:pPr>
        <w:adjustRightInd w:val="0"/>
        <w:snapToGrid w:val="0"/>
        <w:spacing w:line="360" w:lineRule="auto"/>
        <w:ind w:firstLine="426"/>
        <w:rPr>
          <w:rFonts w:hint="eastAsia" w:ascii="宋体" w:hAnsi="宋体" w:cs="Arial"/>
        </w:rPr>
      </w:pPr>
      <w:r>
        <w:rPr>
          <w:rFonts w:hint="eastAsia" w:ascii="宋体" w:hAnsi="宋体" w:cs="Arial"/>
        </w:rPr>
        <w:t>3、实施备用的流动性风险管理工具的情形、程序及对投资者的潜在影响</w:t>
      </w:r>
    </w:p>
    <w:p w14:paraId="19982371">
      <w:pPr>
        <w:adjustRightInd w:val="0"/>
        <w:snapToGrid w:val="0"/>
        <w:spacing w:line="360" w:lineRule="auto"/>
        <w:ind w:firstLine="426"/>
        <w:rPr>
          <w:rFonts w:hint="eastAsia" w:ascii="宋体" w:hAnsi="宋体" w:cs="Arial"/>
        </w:rPr>
      </w:pPr>
      <w:r>
        <w:rPr>
          <w:rFonts w:hint="eastAsia" w:ascii="宋体" w:hAnsi="宋体" w:cs="Arial"/>
        </w:rPr>
        <w:t>本基金备用流动性风险管理工具包括但不限于暂停接受赎回申请、延缓支付赎回对价、暂停基金估值以及证监会认定的其他措施。</w:t>
      </w:r>
    </w:p>
    <w:p w14:paraId="126A0367">
      <w:pPr>
        <w:adjustRightInd w:val="0"/>
        <w:snapToGrid w:val="0"/>
        <w:spacing w:line="360" w:lineRule="auto"/>
        <w:ind w:firstLine="426"/>
        <w:rPr>
          <w:rFonts w:hint="eastAsia" w:ascii="宋体" w:hAnsi="宋体" w:cs="Arial"/>
        </w:rPr>
      </w:pPr>
      <w:r>
        <w:rPr>
          <w:rFonts w:hint="eastAsia" w:ascii="宋体" w:hAnsi="宋体" w:cs="Arial"/>
        </w:rPr>
        <w:t>暂停接受赎回申请、延缓支付赎回对价等工具的情形、程序见招募说明书“基金份额的申购</w:t>
      </w:r>
      <w:r>
        <w:rPr>
          <w:rFonts w:ascii="宋体" w:hAnsi="宋体" w:cs="Arial"/>
        </w:rPr>
        <w:t>与</w:t>
      </w:r>
      <w:r>
        <w:rPr>
          <w:rFonts w:hint="eastAsia" w:ascii="宋体" w:hAnsi="宋体" w:cs="Arial"/>
        </w:rPr>
        <w:t>赎回”部分之“暂停赎回或延缓支付赎回对价的情形及处理方式”的相关规定。若本基金暂停赎回申请，投资者在暂停赎回期间将无法赎回其持有的基金份额。若本基金延缓支付赎回对价，赎回对价支付时间将后延，可能对投资者的资金安排带来不利影响。</w:t>
      </w:r>
    </w:p>
    <w:p w14:paraId="41D2D910">
      <w:pPr>
        <w:adjustRightInd w:val="0"/>
        <w:snapToGrid w:val="0"/>
        <w:spacing w:line="360" w:lineRule="auto"/>
        <w:ind w:firstLine="426"/>
        <w:rPr>
          <w:rFonts w:hint="eastAsia" w:ascii="宋体" w:hAnsi="宋体" w:cs="Arial"/>
        </w:rPr>
      </w:pPr>
      <w:r>
        <w:rPr>
          <w:rFonts w:hint="eastAsia" w:ascii="宋体" w:hAnsi="宋体" w:cs="Arial"/>
        </w:rPr>
        <w:t>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w:t>
      </w:r>
    </w:p>
    <w:bookmarkEnd w:id="143"/>
    <w:p w14:paraId="3D59FFE3">
      <w:pPr>
        <w:adjustRightInd w:val="0"/>
        <w:snapToGrid w:val="0"/>
        <w:spacing w:line="360" w:lineRule="auto"/>
        <w:ind w:firstLine="426"/>
        <w:rPr>
          <w:rFonts w:hint="eastAsia" w:ascii="宋体" w:hAnsi="宋体" w:cs="Arial"/>
          <w:b/>
        </w:rPr>
      </w:pPr>
      <w:r>
        <w:rPr>
          <w:rFonts w:hint="eastAsia" w:ascii="宋体" w:hAnsi="宋体" w:cs="Arial"/>
          <w:b/>
        </w:rPr>
        <w:t>五、指数编制机构停止服务的风险</w:t>
      </w:r>
    </w:p>
    <w:p w14:paraId="640F82EE">
      <w:pPr>
        <w:adjustRightInd w:val="0"/>
        <w:snapToGrid w:val="0"/>
        <w:spacing w:line="360" w:lineRule="auto"/>
        <w:ind w:firstLine="426"/>
        <w:rPr>
          <w:rFonts w:hint="eastAsia" w:ascii="宋体" w:hAnsi="宋体" w:cs="Arial"/>
        </w:rPr>
      </w:pPr>
      <w:r>
        <w:rPr>
          <w:rFonts w:hint="eastAsia" w:ascii="宋体" w:hAnsi="宋体" w:cs="Arial"/>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转换运作方式、与其他基金合并或者终止基金合同等，并在6个月内召集基金份额持有人大会。因此，投资人将面临转换运作方式、与其他基金合并或者终止基金合同等风险。</w:t>
      </w:r>
    </w:p>
    <w:p w14:paraId="59588ACF">
      <w:pPr>
        <w:adjustRightInd w:val="0"/>
        <w:snapToGrid w:val="0"/>
        <w:spacing w:line="360" w:lineRule="auto"/>
        <w:ind w:firstLine="426"/>
        <w:rPr>
          <w:rFonts w:hint="eastAsia" w:ascii="宋体" w:hAnsi="宋体" w:cs="Arial"/>
        </w:rPr>
      </w:pPr>
      <w:r>
        <w:rPr>
          <w:rFonts w:hint="eastAsia" w:ascii="宋体" w:hAnsi="宋体" w:cs="Arial"/>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42A087FA">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六、跟踪误差控制未达约定目标的风险</w:t>
      </w:r>
    </w:p>
    <w:p w14:paraId="04DAB54E">
      <w:pPr>
        <w:pStyle w:val="37"/>
        <w:spacing w:before="0" w:beforeAutospacing="0" w:after="0" w:afterAutospacing="0" w:line="360" w:lineRule="auto"/>
        <w:ind w:firstLine="420"/>
        <w:jc w:val="both"/>
        <w:rPr>
          <w:rFonts w:hint="eastAsia"/>
          <w:sz w:val="21"/>
          <w:szCs w:val="21"/>
        </w:rPr>
      </w:pPr>
      <w:r>
        <w:rPr>
          <w:rFonts w:hint="eastAsia"/>
          <w:sz w:val="21"/>
          <w:szCs w:val="21"/>
        </w:rPr>
        <w:t>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14:paraId="631B286E">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七、成份股停牌的风险</w:t>
      </w:r>
    </w:p>
    <w:p w14:paraId="115F9892">
      <w:pPr>
        <w:pStyle w:val="37"/>
        <w:spacing w:before="0" w:beforeAutospacing="0" w:after="0" w:afterAutospacing="0" w:line="360" w:lineRule="auto"/>
        <w:ind w:firstLine="420"/>
        <w:rPr>
          <w:rFonts w:hint="eastAsia"/>
          <w:sz w:val="21"/>
          <w:szCs w:val="21"/>
        </w:rPr>
      </w:pPr>
      <w:r>
        <w:rPr>
          <w:rFonts w:hint="eastAsia"/>
          <w:sz w:val="21"/>
          <w:szCs w:val="21"/>
        </w:rPr>
        <w:t>标的指数成份股可能因各种原因临时或长期停牌，发生成份股停牌时可能面临如下风险：</w:t>
      </w:r>
    </w:p>
    <w:p w14:paraId="047FC1BA">
      <w:pPr>
        <w:pStyle w:val="37"/>
        <w:spacing w:before="0" w:beforeAutospacing="0" w:after="0" w:afterAutospacing="0" w:line="360" w:lineRule="auto"/>
        <w:ind w:firstLine="420"/>
        <w:rPr>
          <w:rFonts w:hint="eastAsia"/>
          <w:sz w:val="21"/>
          <w:szCs w:val="21"/>
        </w:rPr>
      </w:pPr>
      <w:r>
        <w:rPr>
          <w:rFonts w:hint="eastAsia"/>
          <w:sz w:val="21"/>
          <w:szCs w:val="21"/>
        </w:rPr>
        <w:t>1</w:t>
      </w:r>
      <w:r>
        <w:rPr>
          <w:sz w:val="21"/>
          <w:szCs w:val="21"/>
        </w:rPr>
        <w:t>、</w:t>
      </w:r>
      <w:r>
        <w:rPr>
          <w:rFonts w:hint="eastAsia"/>
          <w:sz w:val="21"/>
          <w:szCs w:val="21"/>
        </w:rPr>
        <w:t>基金可能因无法及时调整投资组合而导致跟踪偏离度和跟踪误差扩大。</w:t>
      </w:r>
    </w:p>
    <w:p w14:paraId="31C870A2">
      <w:pPr>
        <w:pStyle w:val="37"/>
        <w:spacing w:before="0" w:beforeAutospacing="0" w:after="0" w:afterAutospacing="0" w:line="360" w:lineRule="auto"/>
        <w:ind w:firstLine="420"/>
        <w:rPr>
          <w:rFonts w:hint="eastAsia"/>
          <w:sz w:val="21"/>
          <w:szCs w:val="21"/>
        </w:rPr>
      </w:pPr>
      <w:r>
        <w:rPr>
          <w:rFonts w:hint="eastAsia"/>
          <w:sz w:val="21"/>
          <w:szCs w:val="21"/>
        </w:rPr>
        <w:t>2</w:t>
      </w:r>
      <w:r>
        <w:rPr>
          <w:sz w:val="21"/>
          <w:szCs w:val="21"/>
        </w:rPr>
        <w:t>、</w:t>
      </w:r>
      <w:r>
        <w:rPr>
          <w:rFonts w:hint="eastAsia"/>
          <w:sz w:val="21"/>
          <w:szCs w:val="21"/>
        </w:rPr>
        <w:t>停牌成份股可能因其权重占比、市场复牌预期、现金替代标识等因素影响本基金二级市场价格的折溢价水平。</w:t>
      </w:r>
    </w:p>
    <w:p w14:paraId="66226BE5">
      <w:pPr>
        <w:pStyle w:val="37"/>
        <w:spacing w:before="0" w:beforeAutospacing="0" w:after="0" w:afterAutospacing="0" w:line="360" w:lineRule="auto"/>
        <w:ind w:firstLine="420"/>
        <w:rPr>
          <w:rFonts w:hint="eastAsia"/>
          <w:sz w:val="21"/>
          <w:szCs w:val="21"/>
        </w:rPr>
      </w:pPr>
      <w:r>
        <w:rPr>
          <w:rFonts w:hint="eastAsia"/>
          <w:sz w:val="21"/>
          <w:szCs w:val="21"/>
        </w:rPr>
        <w:t>3</w:t>
      </w:r>
      <w:r>
        <w:rPr>
          <w:sz w:val="21"/>
          <w:szCs w:val="21"/>
        </w:rPr>
        <w:t>、</w:t>
      </w:r>
      <w:r>
        <w:rPr>
          <w:rFonts w:hint="eastAsia"/>
          <w:sz w:val="21"/>
          <w:szCs w:val="21"/>
        </w:rPr>
        <w:t>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14:paraId="2953345D">
      <w:pPr>
        <w:pStyle w:val="37"/>
        <w:spacing w:before="0" w:beforeAutospacing="0" w:after="0" w:afterAutospacing="0" w:line="360" w:lineRule="auto"/>
        <w:ind w:firstLine="420"/>
        <w:jc w:val="both"/>
        <w:rPr>
          <w:rFonts w:hint="eastAsia"/>
          <w:sz w:val="21"/>
          <w:szCs w:val="21"/>
        </w:rPr>
      </w:pPr>
      <w:r>
        <w:rPr>
          <w:rFonts w:hint="eastAsia"/>
          <w:sz w:val="21"/>
          <w:szCs w:val="21"/>
        </w:rPr>
        <w:t>4</w:t>
      </w:r>
      <w:r>
        <w:rPr>
          <w:sz w:val="21"/>
          <w:szCs w:val="21"/>
        </w:rPr>
        <w:t>、</w:t>
      </w:r>
      <w:r>
        <w:rPr>
          <w:rFonts w:hint="eastAsia"/>
          <w:sz w:val="21"/>
          <w:szCs w:val="21"/>
        </w:rPr>
        <w:t>在极端情况下，标的指数成份股可能大面积停牌，基金可能无法及时卖出成份股以获取足额的符合要求的赎回</w:t>
      </w:r>
      <w:r>
        <w:rPr>
          <w:sz w:val="21"/>
          <w:szCs w:val="21"/>
        </w:rPr>
        <w:t>对价</w:t>
      </w:r>
      <w:r>
        <w:rPr>
          <w:rFonts w:hint="eastAsia"/>
          <w:sz w:val="21"/>
          <w:szCs w:val="21"/>
        </w:rPr>
        <w:t>，由此基金管理人可能在申购赎回清单中设置较低的赎回份额上限或者采取暂停赎回的措施，投资者将面临无法赎回全部或部分基金份额的风险。</w:t>
      </w:r>
    </w:p>
    <w:p w14:paraId="5BAA8828">
      <w:pPr>
        <w:pStyle w:val="37"/>
        <w:spacing w:before="0" w:beforeAutospacing="0" w:after="0" w:afterAutospacing="0" w:line="360" w:lineRule="auto"/>
        <w:ind w:firstLine="420"/>
        <w:rPr>
          <w:rStyle w:val="49"/>
          <w:rFonts w:hint="eastAsia"/>
          <w:sz w:val="21"/>
          <w:szCs w:val="21"/>
        </w:rPr>
      </w:pPr>
      <w:r>
        <w:rPr>
          <w:rStyle w:val="49"/>
          <w:rFonts w:hint="eastAsia"/>
          <w:sz w:val="21"/>
          <w:szCs w:val="21"/>
        </w:rPr>
        <w:t>八、成份股退市的风险</w:t>
      </w:r>
    </w:p>
    <w:p w14:paraId="0699BE20">
      <w:pPr>
        <w:tabs>
          <w:tab w:val="left" w:pos="851"/>
          <w:tab w:val="left" w:pos="1134"/>
        </w:tabs>
        <w:adjustRightInd w:val="0"/>
        <w:snapToGrid w:val="0"/>
        <w:spacing w:line="360" w:lineRule="auto"/>
        <w:ind w:firstLine="420" w:firstLineChars="200"/>
        <w:outlineLvl w:val="0"/>
        <w:rPr>
          <w:szCs w:val="21"/>
        </w:rPr>
      </w:pPr>
      <w:r>
        <w:rPr>
          <w:rFonts w:hint="eastAsia"/>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bookmarkStart w:id="144" w:name="_Toc293495057"/>
    </w:p>
    <w:p w14:paraId="24089BC5">
      <w:pPr>
        <w:tabs>
          <w:tab w:val="left" w:pos="851"/>
          <w:tab w:val="left" w:pos="1134"/>
        </w:tabs>
        <w:adjustRightInd w:val="0"/>
        <w:snapToGrid w:val="0"/>
        <w:spacing w:line="360" w:lineRule="auto"/>
        <w:ind w:left="420"/>
        <w:outlineLvl w:val="0"/>
        <w:rPr>
          <w:rFonts w:hint="eastAsia" w:ascii="宋体" w:hAnsi="宋体" w:cs="Arial"/>
          <w:b/>
        </w:rPr>
      </w:pPr>
      <w:r>
        <w:rPr>
          <w:rFonts w:hint="eastAsia" w:ascii="宋体" w:hAnsi="宋体" w:cs="Arial"/>
          <w:b/>
        </w:rPr>
        <w:t>九</w:t>
      </w:r>
      <w:r>
        <w:rPr>
          <w:rFonts w:ascii="宋体" w:hAnsi="宋体" w:cs="Arial"/>
          <w:b/>
        </w:rPr>
        <w:t>、基金份额二级市场交易价格折溢价的风险</w:t>
      </w:r>
      <w:bookmarkEnd w:id="144"/>
    </w:p>
    <w:p w14:paraId="2FF063E9">
      <w:pPr>
        <w:adjustRightInd w:val="0"/>
        <w:snapToGrid w:val="0"/>
        <w:spacing w:line="360" w:lineRule="auto"/>
        <w:ind w:firstLine="426"/>
        <w:rPr>
          <w:rFonts w:hint="eastAsia" w:ascii="宋体" w:hAnsi="宋体" w:cs="Arial"/>
        </w:rPr>
      </w:pPr>
      <w:r>
        <w:rPr>
          <w:rFonts w:ascii="宋体" w:hAnsi="宋体" w:cs="Arial"/>
        </w:rPr>
        <w:t xml:space="preserve">基金份额在证券交易所的交易价格受诸多因素影响，可能存在不同于基金份额净值的情形，即存在价格折溢价的风险。 </w:t>
      </w:r>
    </w:p>
    <w:p w14:paraId="6EE01594">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45" w:name="_Toc293495058"/>
      <w:r>
        <w:rPr>
          <w:rFonts w:hint="eastAsia" w:ascii="宋体" w:hAnsi="宋体" w:cs="Arial"/>
          <w:b/>
        </w:rPr>
        <w:t>十</w:t>
      </w:r>
      <w:r>
        <w:rPr>
          <w:rFonts w:ascii="宋体" w:hAnsi="宋体" w:cs="Arial"/>
          <w:b/>
        </w:rPr>
        <w:t>、</w:t>
      </w:r>
      <w:r>
        <w:rPr>
          <w:rFonts w:hint="eastAsia" w:ascii="宋体" w:hAnsi="宋体" w:cs="Arial"/>
          <w:b/>
        </w:rPr>
        <w:t>基金份额参考净值</w:t>
      </w:r>
      <w:r>
        <w:rPr>
          <w:rFonts w:ascii="宋体" w:hAnsi="宋体" w:cs="Arial"/>
          <w:b/>
        </w:rPr>
        <w:t>决策和</w:t>
      </w:r>
      <w:r>
        <w:rPr>
          <w:rFonts w:hint="eastAsia" w:ascii="宋体" w:hAnsi="宋体" w:cs="Arial"/>
          <w:b/>
        </w:rPr>
        <w:t>基金份额参考净值</w:t>
      </w:r>
      <w:r>
        <w:rPr>
          <w:rFonts w:ascii="宋体" w:hAnsi="宋体" w:cs="Arial"/>
          <w:b/>
        </w:rPr>
        <w:t>计算错误的风险</w:t>
      </w:r>
      <w:bookmarkEnd w:id="145"/>
      <w:r>
        <w:rPr>
          <w:rFonts w:ascii="宋体" w:hAnsi="宋体" w:cs="Arial"/>
          <w:b/>
        </w:rPr>
        <w:t xml:space="preserve"> </w:t>
      </w:r>
    </w:p>
    <w:p w14:paraId="2590112C">
      <w:pPr>
        <w:adjustRightInd w:val="0"/>
        <w:snapToGrid w:val="0"/>
        <w:spacing w:line="360" w:lineRule="auto"/>
        <w:ind w:firstLine="426"/>
        <w:rPr>
          <w:rFonts w:hint="eastAsia" w:ascii="宋体" w:hAnsi="宋体" w:cs="Arial"/>
        </w:rPr>
      </w:pPr>
      <w:r>
        <w:rPr>
          <w:rFonts w:hint="eastAsia" w:ascii="宋体" w:hAnsi="宋体" w:cs="Arial"/>
        </w:rPr>
        <w:t>本基金基金份额参考净值（IOPV）由基金管理人或基金管理人委托的机构计算，并交由深圳证券交易所对外发布，仅</w:t>
      </w:r>
      <w:r>
        <w:rPr>
          <w:rFonts w:ascii="宋体" w:hAnsi="宋体" w:cs="Arial"/>
        </w:rPr>
        <w:t>供投资人交易、申购、赎回基金份额时参考。</w:t>
      </w:r>
      <w:r>
        <w:rPr>
          <w:rFonts w:hint="eastAsia" w:ascii="宋体" w:hAnsi="宋体" w:cs="Arial"/>
        </w:rPr>
        <w:t>基金份额参考净值</w:t>
      </w:r>
      <w:r>
        <w:rPr>
          <w:rFonts w:ascii="宋体" w:hAnsi="宋体" w:cs="Arial"/>
        </w:rPr>
        <w:t>与实时的基金份额净值可能存在差异，</w:t>
      </w:r>
      <w:r>
        <w:rPr>
          <w:rFonts w:hint="eastAsia" w:ascii="宋体" w:hAnsi="宋体" w:cs="Arial"/>
        </w:rPr>
        <w:t>基金份额参考净值</w:t>
      </w:r>
      <w:r>
        <w:rPr>
          <w:rFonts w:ascii="宋体" w:hAnsi="宋体" w:cs="Arial"/>
        </w:rPr>
        <w:t>计算可能出现错误，投资人若参考</w:t>
      </w:r>
      <w:r>
        <w:rPr>
          <w:rFonts w:hint="eastAsia" w:ascii="宋体" w:hAnsi="宋体" w:cs="Arial"/>
        </w:rPr>
        <w:t>基金份额参考净值</w:t>
      </w:r>
      <w:r>
        <w:rPr>
          <w:rFonts w:ascii="宋体" w:hAnsi="宋体" w:cs="Arial"/>
        </w:rPr>
        <w:t xml:space="preserve">进行投资决策可能导致损失，需投资人自行承担。 </w:t>
      </w:r>
    </w:p>
    <w:p w14:paraId="3D9C8E71">
      <w:pPr>
        <w:tabs>
          <w:tab w:val="left" w:pos="851"/>
          <w:tab w:val="left" w:pos="1134"/>
        </w:tabs>
        <w:adjustRightInd w:val="0"/>
        <w:snapToGrid w:val="0"/>
        <w:spacing w:line="360" w:lineRule="auto"/>
        <w:ind w:left="426"/>
        <w:outlineLvl w:val="0"/>
        <w:rPr>
          <w:rFonts w:hint="eastAsia" w:ascii="宋体" w:hAnsi="宋体" w:cs="Arial"/>
          <w:b/>
        </w:rPr>
      </w:pPr>
      <w:bookmarkStart w:id="146" w:name="_Toc293495059"/>
      <w:r>
        <w:rPr>
          <w:rFonts w:hint="eastAsia" w:ascii="宋体" w:hAnsi="宋体" w:cs="Arial"/>
          <w:b/>
        </w:rPr>
        <w:t>十一</w:t>
      </w:r>
      <w:r>
        <w:rPr>
          <w:rFonts w:ascii="宋体" w:hAnsi="宋体" w:cs="Arial"/>
          <w:b/>
        </w:rPr>
        <w:t>、退市风险</w:t>
      </w:r>
      <w:bookmarkEnd w:id="146"/>
      <w:r>
        <w:rPr>
          <w:rFonts w:ascii="宋体" w:hAnsi="宋体" w:cs="Arial"/>
          <w:b/>
        </w:rPr>
        <w:t xml:space="preserve"> </w:t>
      </w:r>
    </w:p>
    <w:p w14:paraId="2031BA3A">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因本基金不再符合证券交易所上市条件被终止上市，或被基金份额持有人大会决议提前终止上市</w:t>
      </w:r>
      <w:r>
        <w:rPr>
          <w:rFonts w:hint="eastAsia" w:ascii="宋体" w:hAnsi="宋体" w:cs="Arial"/>
          <w:kern w:val="0"/>
          <w:szCs w:val="21"/>
        </w:rPr>
        <w:t>等原因</w:t>
      </w:r>
      <w:r>
        <w:rPr>
          <w:rFonts w:ascii="宋体" w:hAnsi="宋体" w:cs="Arial"/>
          <w:kern w:val="0"/>
          <w:szCs w:val="21"/>
        </w:rPr>
        <w:t xml:space="preserve">，导致基金份额不能继续进行二级市场交易的风险。 </w:t>
      </w:r>
    </w:p>
    <w:p w14:paraId="0E442123">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47" w:name="_Toc293495060"/>
      <w:r>
        <w:rPr>
          <w:rFonts w:hint="eastAsia" w:ascii="宋体" w:hAnsi="宋体" w:cs="Arial"/>
          <w:b/>
        </w:rPr>
        <w:t>十二、</w:t>
      </w:r>
      <w:r>
        <w:rPr>
          <w:rFonts w:ascii="宋体" w:hAnsi="宋体" w:cs="Arial"/>
          <w:b/>
        </w:rPr>
        <w:t>投资人申购失败的风险</w:t>
      </w:r>
      <w:bookmarkEnd w:id="147"/>
      <w:r>
        <w:rPr>
          <w:rFonts w:ascii="宋体" w:hAnsi="宋体" w:cs="Arial"/>
          <w:b/>
        </w:rPr>
        <w:t xml:space="preserve"> </w:t>
      </w:r>
    </w:p>
    <w:p w14:paraId="2F6EF8D3">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14:paraId="7F315F09">
      <w:pPr>
        <w:tabs>
          <w:tab w:val="left" w:pos="851"/>
          <w:tab w:val="left" w:pos="1134"/>
        </w:tabs>
        <w:adjustRightInd w:val="0"/>
        <w:snapToGrid w:val="0"/>
        <w:spacing w:line="360" w:lineRule="auto"/>
        <w:ind w:left="426"/>
        <w:outlineLvl w:val="0"/>
        <w:rPr>
          <w:rFonts w:hint="eastAsia" w:ascii="宋体" w:hAnsi="宋体" w:cs="Arial"/>
          <w:b/>
        </w:rPr>
      </w:pPr>
      <w:bookmarkStart w:id="148" w:name="_Toc293495061"/>
      <w:r>
        <w:rPr>
          <w:rFonts w:hint="eastAsia" w:ascii="宋体" w:hAnsi="宋体" w:cs="Arial"/>
          <w:b/>
        </w:rPr>
        <w:t>十三</w:t>
      </w:r>
      <w:r>
        <w:rPr>
          <w:rFonts w:ascii="宋体" w:hAnsi="宋体" w:cs="Arial"/>
          <w:b/>
        </w:rPr>
        <w:t>、投资人赎回失败的风险</w:t>
      </w:r>
      <w:bookmarkEnd w:id="148"/>
      <w:r>
        <w:rPr>
          <w:rFonts w:ascii="宋体" w:hAnsi="宋体" w:cs="Arial"/>
          <w:b/>
        </w:rPr>
        <w:t xml:space="preserve"> </w:t>
      </w:r>
    </w:p>
    <w:p w14:paraId="4399B4A6">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 xml:space="preserve">投资人提出赎回申请时，如基金组合中不具备足额的符合条件的赎回对价，可能导致赎回失败的情形。 </w:t>
      </w:r>
    </w:p>
    <w:p w14:paraId="58796C7E">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604888C3">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49" w:name="_Toc293495062"/>
      <w:r>
        <w:rPr>
          <w:rFonts w:hint="eastAsia" w:ascii="宋体" w:hAnsi="宋体" w:cs="Arial"/>
          <w:b/>
        </w:rPr>
        <w:t>十四、非深市上市的成份股可以现金替代方式的风险</w:t>
      </w:r>
    </w:p>
    <w:p w14:paraId="5B32F4F8">
      <w:pPr>
        <w:tabs>
          <w:tab w:val="left" w:pos="851"/>
          <w:tab w:val="left" w:pos="1134"/>
        </w:tabs>
        <w:adjustRightInd w:val="0"/>
        <w:snapToGrid w:val="0"/>
        <w:spacing w:line="360" w:lineRule="auto"/>
        <w:ind w:firstLine="420" w:firstLineChars="200"/>
        <w:outlineLvl w:val="0"/>
        <w:rPr>
          <w:rFonts w:hint="eastAsia" w:ascii="宋体" w:hAnsi="宋体" w:cs="Arial"/>
        </w:rPr>
      </w:pPr>
      <w:r>
        <w:rPr>
          <w:rFonts w:hint="eastAsia" w:ascii="宋体" w:hAnsi="宋体" w:cs="Arial"/>
        </w:rPr>
        <w:t>在通过深圳证券交易所申购赎回的模式中，上海/北京证券交易所上市的成份股可以现金替代方式不同于现有其他现金替代方式，可能给申购和赎回投资者带来价格的不确定性，从而间接影响本基金二级市场价格的折溢价水平。极端情况下，如果使用上海/北京证券交易所可以现金替代证券的权重增加，该方式带来的不确定性可能导致本基金的二级市场价格折溢价处于相对较高水平。</w:t>
      </w:r>
    </w:p>
    <w:p w14:paraId="11CD739E">
      <w:pPr>
        <w:tabs>
          <w:tab w:val="left" w:pos="851"/>
          <w:tab w:val="left" w:pos="1134"/>
        </w:tabs>
        <w:adjustRightInd w:val="0"/>
        <w:snapToGrid w:val="0"/>
        <w:spacing w:line="360" w:lineRule="auto"/>
        <w:ind w:firstLine="420" w:firstLineChars="200"/>
        <w:outlineLvl w:val="0"/>
        <w:rPr>
          <w:rFonts w:hint="eastAsia" w:ascii="宋体" w:hAnsi="宋体" w:cs="Arial"/>
        </w:rPr>
      </w:pPr>
      <w:r>
        <w:rPr>
          <w:rFonts w:hint="eastAsia" w:ascii="宋体" w:hAnsi="宋体" w:cs="Arial"/>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北交所可以现金替代的证券进行处理，投资者的利益可能受到影响。</w:t>
      </w:r>
    </w:p>
    <w:p w14:paraId="5F2BABF7">
      <w:pPr>
        <w:tabs>
          <w:tab w:val="left" w:pos="851"/>
          <w:tab w:val="left" w:pos="1134"/>
        </w:tabs>
        <w:adjustRightInd w:val="0"/>
        <w:snapToGrid w:val="0"/>
        <w:spacing w:line="360" w:lineRule="auto"/>
        <w:ind w:firstLine="422" w:firstLineChars="200"/>
        <w:outlineLvl w:val="0"/>
        <w:rPr>
          <w:rFonts w:hint="eastAsia" w:ascii="宋体" w:hAnsi="宋体" w:cs="Arial"/>
          <w:b/>
        </w:rPr>
      </w:pPr>
      <w:r>
        <w:rPr>
          <w:rFonts w:hint="eastAsia" w:ascii="宋体" w:hAnsi="宋体" w:cs="Arial"/>
          <w:b/>
        </w:rPr>
        <w:t>十五、</w:t>
      </w:r>
      <w:r>
        <w:rPr>
          <w:rFonts w:ascii="宋体" w:hAnsi="宋体" w:cs="Arial"/>
          <w:b/>
        </w:rPr>
        <w:t>赎回对价的变现风险</w:t>
      </w:r>
      <w:bookmarkEnd w:id="149"/>
      <w:r>
        <w:rPr>
          <w:rFonts w:ascii="宋体" w:hAnsi="宋体" w:cs="Arial"/>
          <w:b/>
        </w:rPr>
        <w:t xml:space="preserve"> </w:t>
      </w:r>
    </w:p>
    <w:p w14:paraId="7377BCCD">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本基金赎回对价</w:t>
      </w:r>
      <w:r>
        <w:rPr>
          <w:rFonts w:hint="eastAsia" w:ascii="宋体" w:hAnsi="宋体" w:cs="Arial"/>
          <w:kern w:val="0"/>
          <w:szCs w:val="21"/>
        </w:rPr>
        <w:t>包括组合证券、现金替代、现金差额等。</w:t>
      </w:r>
      <w:r>
        <w:rPr>
          <w:rFonts w:ascii="宋体" w:hAnsi="宋体" w:cs="Arial"/>
          <w:kern w:val="0"/>
          <w:szCs w:val="21"/>
        </w:rPr>
        <w:t xml:space="preserve">在组合证券变现过程中，由于市场变化、部分成份股流动性差等因素，导致投资人变现后的价值与赎回时赎回对价的价值有差异，存在变现风险。 </w:t>
      </w:r>
    </w:p>
    <w:p w14:paraId="2D1B745F">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50" w:name="_Toc293495063"/>
      <w:r>
        <w:rPr>
          <w:rFonts w:hint="eastAsia" w:ascii="宋体" w:hAnsi="宋体" w:cs="Arial"/>
          <w:b/>
        </w:rPr>
        <w:t>十六、</w:t>
      </w:r>
      <w:r>
        <w:rPr>
          <w:rFonts w:ascii="宋体" w:hAnsi="宋体" w:cs="Arial"/>
          <w:b/>
        </w:rPr>
        <w:t>第三方机构服务的风险</w:t>
      </w:r>
      <w:bookmarkEnd w:id="150"/>
      <w:r>
        <w:rPr>
          <w:rFonts w:ascii="宋体" w:hAnsi="宋体" w:cs="Arial"/>
          <w:b/>
        </w:rPr>
        <w:t xml:space="preserve"> </w:t>
      </w:r>
    </w:p>
    <w:p w14:paraId="5463F71A">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本基金的多项服务委托第三方机构办理，存在以下风险： </w:t>
      </w:r>
    </w:p>
    <w:p w14:paraId="0AC1CDF8">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1、</w:t>
      </w:r>
      <w:r>
        <w:rPr>
          <w:rFonts w:ascii="宋体" w:hAnsi="宋体" w:cs="Arial"/>
          <w:kern w:val="0"/>
          <w:szCs w:val="21"/>
        </w:rPr>
        <w:t xml:space="preserve">申购赎回代理券商因多种原因，导致代理申购、赎回业务受到限制、暂停或终止，由此影响对投资人申购赎回服务的风险。 </w:t>
      </w:r>
    </w:p>
    <w:p w14:paraId="7C45B926">
      <w:pPr>
        <w:autoSpaceDE w:val="0"/>
        <w:autoSpaceDN w:val="0"/>
        <w:adjustRightInd w:val="0"/>
        <w:snapToGrid w:val="0"/>
        <w:spacing w:line="360" w:lineRule="auto"/>
        <w:ind w:firstLine="420" w:firstLineChars="200"/>
        <w:rPr>
          <w:rFonts w:hint="eastAsia" w:ascii="宋体" w:hAnsi="宋体" w:cs="Arial"/>
          <w:kern w:val="0"/>
          <w:szCs w:val="21"/>
        </w:rPr>
      </w:pPr>
      <w:r>
        <w:rPr>
          <w:rFonts w:hint="eastAsia" w:ascii="宋体" w:hAnsi="宋体" w:cs="Arial"/>
          <w:kern w:val="0"/>
          <w:szCs w:val="21"/>
        </w:rPr>
        <w:t>2、</w:t>
      </w:r>
      <w:r>
        <w:rPr>
          <w:rFonts w:ascii="宋体" w:hAnsi="宋体" w:cs="Arial"/>
          <w:kern w:val="0"/>
          <w:szCs w:val="21"/>
        </w:rPr>
        <w:t xml:space="preserve">登记机构可能调整结算制度，如实施货银对付制度，对投资人基金份额、组合证券及资金的结算方式发生变化，制度调整可能给投资人带来风险。同样的风险还可能来自于证券交易所及其他代理机构。 </w:t>
      </w:r>
    </w:p>
    <w:p w14:paraId="31469762">
      <w:pPr>
        <w:adjustRightInd w:val="0"/>
        <w:snapToGrid w:val="0"/>
        <w:spacing w:line="360" w:lineRule="auto"/>
        <w:ind w:firstLine="420" w:firstLineChars="200"/>
        <w:rPr>
          <w:rFonts w:hint="eastAsia" w:ascii="宋体" w:hAnsi="宋体" w:cs="Arial"/>
        </w:rPr>
      </w:pPr>
      <w:r>
        <w:rPr>
          <w:rFonts w:hint="eastAsia" w:ascii="宋体" w:hAnsi="宋体" w:cs="Arial"/>
          <w:kern w:val="0"/>
          <w:szCs w:val="21"/>
        </w:rPr>
        <w:t>3、</w:t>
      </w:r>
      <w:r>
        <w:rPr>
          <w:rFonts w:ascii="宋体" w:hAnsi="宋体" w:cs="Arial"/>
          <w:kern w:val="0"/>
          <w:szCs w:val="21"/>
        </w:rPr>
        <w:t xml:space="preserve">证券交易所、登记机构、基金托管人及其他代理机构可能违约，导致基金或投资人利益受损的风险。 </w:t>
      </w:r>
    </w:p>
    <w:p w14:paraId="4A5537A5">
      <w:pPr>
        <w:tabs>
          <w:tab w:val="left" w:pos="851"/>
          <w:tab w:val="left" w:pos="1134"/>
        </w:tabs>
        <w:adjustRightInd w:val="0"/>
        <w:snapToGrid w:val="0"/>
        <w:spacing w:line="360" w:lineRule="auto"/>
        <w:ind w:firstLine="422" w:firstLineChars="200"/>
        <w:outlineLvl w:val="0"/>
        <w:rPr>
          <w:rFonts w:hint="eastAsia" w:ascii="宋体" w:hAnsi="宋体" w:cs="Arial"/>
          <w:b/>
        </w:rPr>
      </w:pPr>
      <w:bookmarkStart w:id="151" w:name="_Toc293495064"/>
      <w:r>
        <w:rPr>
          <w:rFonts w:hint="eastAsia" w:ascii="宋体" w:hAnsi="宋体" w:cs="Arial"/>
          <w:b/>
        </w:rPr>
        <w:t>十七、参与股指期货交易风险</w:t>
      </w:r>
    </w:p>
    <w:p w14:paraId="258B42E1">
      <w:pPr>
        <w:adjustRightInd w:val="0"/>
        <w:snapToGrid w:val="0"/>
        <w:spacing w:line="360" w:lineRule="auto"/>
        <w:ind w:firstLine="420" w:firstLineChars="200"/>
        <w:rPr>
          <w:rFonts w:hint="eastAsia" w:ascii="宋体" w:hAnsi="宋体" w:cs="Arial"/>
        </w:rPr>
      </w:pPr>
      <w:r>
        <w:rPr>
          <w:rFonts w:ascii="宋体" w:hAnsi="宋体" w:cs="Arial"/>
        </w:rPr>
        <w:t>1</w:t>
      </w:r>
      <w:r>
        <w:rPr>
          <w:rFonts w:hint="eastAsia" w:ascii="宋体" w:hAnsi="宋体" w:cs="Arial"/>
        </w:rPr>
        <w:t>、杠杆风险</w:t>
      </w:r>
    </w:p>
    <w:p w14:paraId="12DF8D0C">
      <w:pPr>
        <w:adjustRightInd w:val="0"/>
        <w:snapToGrid w:val="0"/>
        <w:spacing w:line="360" w:lineRule="auto"/>
        <w:ind w:firstLine="420" w:firstLineChars="200"/>
        <w:rPr>
          <w:rFonts w:hint="eastAsia" w:ascii="宋体" w:hAnsi="宋体" w:cs="Arial"/>
        </w:rPr>
      </w:pPr>
      <w:r>
        <w:rPr>
          <w:rFonts w:hint="eastAsia" w:ascii="宋体" w:hAnsi="宋体" w:cs="Arial"/>
        </w:rPr>
        <w:t>参与股指期货交易具有高杠杆特性，因此会放大基础资产所产生的盈利或损失，加大本基金收益的波动性。</w:t>
      </w:r>
    </w:p>
    <w:p w14:paraId="605A4271">
      <w:pPr>
        <w:adjustRightInd w:val="0"/>
        <w:snapToGrid w:val="0"/>
        <w:spacing w:line="360" w:lineRule="auto"/>
        <w:ind w:firstLine="420" w:firstLineChars="200"/>
        <w:rPr>
          <w:rFonts w:hint="eastAsia" w:ascii="宋体" w:hAnsi="宋体" w:cs="Arial"/>
        </w:rPr>
      </w:pPr>
      <w:r>
        <w:rPr>
          <w:rFonts w:ascii="宋体" w:hAnsi="宋体" w:cs="Arial"/>
        </w:rPr>
        <w:t>2</w:t>
      </w:r>
      <w:r>
        <w:rPr>
          <w:rFonts w:hint="eastAsia" w:ascii="宋体" w:hAnsi="宋体" w:cs="Arial"/>
        </w:rPr>
        <w:t>、基差风险</w:t>
      </w:r>
    </w:p>
    <w:p w14:paraId="7D274C1C">
      <w:pPr>
        <w:adjustRightInd w:val="0"/>
        <w:snapToGrid w:val="0"/>
        <w:spacing w:line="360" w:lineRule="auto"/>
        <w:ind w:firstLine="420" w:firstLineChars="200"/>
        <w:rPr>
          <w:rFonts w:hint="eastAsia" w:ascii="宋体" w:hAnsi="宋体" w:cs="Arial"/>
        </w:rPr>
      </w:pPr>
      <w:r>
        <w:rPr>
          <w:rFonts w:hint="eastAsia" w:ascii="宋体" w:hAnsi="宋体" w:cs="Arial"/>
        </w:rPr>
        <w:t>基差是指股票指数现货价格与股指期货价格之间的差额。若本基金运作中出现基差波动不确定性加大、基差向不利方向变动等情况，则可能对本基金投资产生影响。</w:t>
      </w:r>
    </w:p>
    <w:p w14:paraId="3824391E">
      <w:pPr>
        <w:adjustRightInd w:val="0"/>
        <w:snapToGrid w:val="0"/>
        <w:spacing w:line="360" w:lineRule="auto"/>
        <w:ind w:firstLine="420" w:firstLineChars="200"/>
        <w:rPr>
          <w:rFonts w:hint="eastAsia" w:ascii="宋体" w:hAnsi="宋体" w:cs="Arial"/>
        </w:rPr>
      </w:pPr>
      <w:r>
        <w:rPr>
          <w:rFonts w:ascii="宋体" w:hAnsi="宋体" w:cs="Arial"/>
        </w:rPr>
        <w:t>3</w:t>
      </w:r>
      <w:r>
        <w:rPr>
          <w:rFonts w:hint="eastAsia" w:ascii="宋体" w:hAnsi="宋体" w:cs="Arial"/>
        </w:rPr>
        <w:t>、合约展期风险</w:t>
      </w:r>
    </w:p>
    <w:p w14:paraId="054B3770">
      <w:pPr>
        <w:adjustRightInd w:val="0"/>
        <w:snapToGrid w:val="0"/>
        <w:spacing w:line="360" w:lineRule="auto"/>
        <w:ind w:firstLine="420" w:firstLineChars="200"/>
        <w:rPr>
          <w:rFonts w:hint="eastAsia" w:ascii="宋体" w:hAnsi="宋体" w:cs="Arial"/>
        </w:rPr>
      </w:pPr>
      <w:r>
        <w:rPr>
          <w:rFonts w:hint="eastAsia" w:ascii="宋体" w:hAnsi="宋体" w:cs="Arial"/>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34FCD53D">
      <w:pPr>
        <w:adjustRightInd w:val="0"/>
        <w:snapToGrid w:val="0"/>
        <w:spacing w:line="360" w:lineRule="auto"/>
        <w:ind w:firstLine="420" w:firstLineChars="200"/>
        <w:rPr>
          <w:rFonts w:hint="eastAsia" w:ascii="宋体" w:hAnsi="宋体" w:cs="Arial"/>
        </w:rPr>
      </w:pPr>
      <w:r>
        <w:rPr>
          <w:rFonts w:ascii="宋体" w:hAnsi="宋体" w:cs="Arial"/>
        </w:rPr>
        <w:t>4</w:t>
      </w:r>
      <w:r>
        <w:rPr>
          <w:rFonts w:hint="eastAsia" w:ascii="宋体" w:hAnsi="宋体" w:cs="Arial"/>
        </w:rPr>
        <w:t>、模型风险</w:t>
      </w:r>
    </w:p>
    <w:p w14:paraId="0CAB13EE">
      <w:pPr>
        <w:adjustRightInd w:val="0"/>
        <w:snapToGrid w:val="0"/>
        <w:spacing w:line="360" w:lineRule="auto"/>
        <w:ind w:firstLine="420" w:firstLineChars="200"/>
        <w:rPr>
          <w:rFonts w:hint="eastAsia" w:ascii="宋体" w:hAnsi="宋体" w:cs="Arial"/>
        </w:rPr>
      </w:pPr>
      <w:r>
        <w:rPr>
          <w:rFonts w:hint="eastAsia" w:ascii="宋体" w:hAnsi="宋体" w:cs="Arial"/>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6C619592">
      <w:pPr>
        <w:tabs>
          <w:tab w:val="left" w:pos="851"/>
          <w:tab w:val="left" w:pos="1134"/>
        </w:tabs>
        <w:adjustRightInd w:val="0"/>
        <w:snapToGrid w:val="0"/>
        <w:spacing w:line="360" w:lineRule="auto"/>
        <w:ind w:firstLine="422" w:firstLineChars="200"/>
        <w:outlineLvl w:val="0"/>
        <w:rPr>
          <w:rFonts w:hint="eastAsia" w:ascii="宋体" w:hAnsi="宋体" w:cs="Arial"/>
          <w:b/>
        </w:rPr>
      </w:pPr>
      <w:r>
        <w:rPr>
          <w:rFonts w:hint="eastAsia" w:ascii="宋体" w:hAnsi="宋体" w:cs="Arial"/>
          <w:b/>
        </w:rPr>
        <w:t>十八、资产支持证券（ABS）的风险</w:t>
      </w:r>
    </w:p>
    <w:p w14:paraId="4FF09DD4">
      <w:pPr>
        <w:adjustRightInd w:val="0"/>
        <w:snapToGrid w:val="0"/>
        <w:spacing w:line="360" w:lineRule="auto"/>
        <w:ind w:firstLine="420" w:firstLineChars="200"/>
        <w:rPr>
          <w:rFonts w:hint="eastAsia" w:ascii="宋体" w:hAnsi="宋体" w:cs="Arial"/>
        </w:rPr>
      </w:pPr>
      <w:r>
        <w:rPr>
          <w:rFonts w:hint="eastAsia" w:ascii="宋体" w:hAnsi="宋体" w:cs="Arial"/>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7DB47519">
      <w:pPr>
        <w:adjustRightInd w:val="0"/>
        <w:snapToGrid w:val="0"/>
        <w:spacing w:line="360" w:lineRule="auto"/>
        <w:ind w:firstLine="422" w:firstLineChars="200"/>
        <w:rPr>
          <w:rFonts w:hint="eastAsia" w:ascii="宋体" w:hAnsi="宋体" w:cs="Arial"/>
          <w:b/>
        </w:rPr>
      </w:pPr>
      <w:r>
        <w:rPr>
          <w:rFonts w:hint="eastAsia" w:ascii="宋体" w:hAnsi="宋体" w:cs="Arial"/>
          <w:b/>
        </w:rPr>
        <w:t>十九、股票期权投资风险</w:t>
      </w:r>
    </w:p>
    <w:p w14:paraId="15EAE3C6">
      <w:pPr>
        <w:spacing w:line="360" w:lineRule="auto"/>
        <w:ind w:firstLine="420" w:firstLineChars="200"/>
        <w:rPr>
          <w:rFonts w:hint="eastAsia" w:ascii="宋体" w:hAnsi="宋体"/>
        </w:rPr>
      </w:pPr>
      <w:r>
        <w:rPr>
          <w:rFonts w:hint="eastAsia" w:ascii="宋体" w:hAnsi="宋体"/>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5D1566A0">
      <w:pPr>
        <w:spacing w:line="360" w:lineRule="auto"/>
        <w:ind w:firstLine="420" w:firstLineChars="200"/>
        <w:rPr>
          <w:rFonts w:hint="eastAsia" w:ascii="宋体" w:hAnsi="宋体"/>
        </w:rPr>
      </w:pPr>
      <w:r>
        <w:rPr>
          <w:rFonts w:hint="eastAsia" w:ascii="宋体" w:hAnsi="宋体"/>
        </w:rPr>
        <w:t>价格风险：股票期权买方的价格风险即为他所付出的权利金，风险具有确定性。股票期权卖方的价格风险不定，不过其所收取的权利金可以提供相应保护，当发生亏损时，可以抵消部分损失。</w:t>
      </w:r>
    </w:p>
    <w:p w14:paraId="54DA029E">
      <w:pPr>
        <w:spacing w:line="360" w:lineRule="auto"/>
        <w:ind w:firstLine="420" w:firstLineChars="200"/>
        <w:rPr>
          <w:rFonts w:hint="eastAsia" w:ascii="宋体" w:hAnsi="宋体"/>
        </w:rPr>
      </w:pPr>
      <w:r>
        <w:rPr>
          <w:rFonts w:hint="eastAsia" w:ascii="宋体" w:hAnsi="宋体"/>
        </w:rPr>
        <w:t>操作风险：操作风险是指由于管理不善或者制度执行出现问题等原因所导致的风险。股票期权作为一种衍生品，虽然可以用来管理风险，但若使用不当，也会产生巨额损失。</w:t>
      </w:r>
    </w:p>
    <w:p w14:paraId="4C0A923A">
      <w:pPr>
        <w:spacing w:line="360" w:lineRule="auto"/>
        <w:ind w:firstLine="422" w:firstLineChars="200"/>
        <w:rPr>
          <w:rFonts w:hint="eastAsia" w:ascii="宋体" w:hAnsi="宋体"/>
          <w:b/>
        </w:rPr>
      </w:pPr>
      <w:r>
        <w:rPr>
          <w:rFonts w:hint="eastAsia" w:ascii="宋体" w:hAnsi="宋体"/>
          <w:b/>
        </w:rPr>
        <w:t>二十、融资业务的主要风险</w:t>
      </w:r>
    </w:p>
    <w:p w14:paraId="64E32124">
      <w:pPr>
        <w:spacing w:line="360" w:lineRule="auto"/>
        <w:ind w:firstLine="420" w:firstLineChars="200"/>
        <w:rPr>
          <w:rFonts w:hint="eastAsia" w:ascii="宋体" w:hAnsi="宋体"/>
        </w:rPr>
      </w:pPr>
      <w:r>
        <w:rPr>
          <w:rFonts w:hint="eastAsia" w:ascii="宋体" w:hAnsi="宋体"/>
        </w:rPr>
        <w:t>1、杠杆效应放大风险</w:t>
      </w:r>
    </w:p>
    <w:p w14:paraId="4B9AB75E">
      <w:pPr>
        <w:spacing w:line="360" w:lineRule="auto"/>
        <w:ind w:firstLine="420" w:firstLineChars="200"/>
        <w:rPr>
          <w:rFonts w:hint="eastAsia" w:ascii="宋体" w:hAnsi="宋体"/>
        </w:rPr>
      </w:pPr>
      <w:r>
        <w:rPr>
          <w:rFonts w:hint="eastAsia" w:ascii="宋体" w:hAnsi="宋体"/>
        </w:rPr>
        <w:t>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55142998">
      <w:pPr>
        <w:spacing w:line="360" w:lineRule="auto"/>
        <w:ind w:firstLine="420" w:firstLineChars="200"/>
        <w:rPr>
          <w:rFonts w:hint="eastAsia" w:ascii="宋体" w:hAnsi="宋体"/>
        </w:rPr>
      </w:pPr>
      <w:r>
        <w:rPr>
          <w:rFonts w:hint="eastAsia" w:ascii="宋体" w:hAnsi="宋体"/>
        </w:rPr>
        <w:t>2、担保能力及限制交易风险</w:t>
      </w:r>
    </w:p>
    <w:p w14:paraId="2FAC5D3C">
      <w:pPr>
        <w:spacing w:line="360" w:lineRule="auto"/>
        <w:ind w:firstLine="420" w:firstLineChars="200"/>
        <w:rPr>
          <w:rFonts w:hint="eastAsia" w:ascii="宋体" w:hAnsi="宋体"/>
        </w:rPr>
      </w:pPr>
      <w:r>
        <w:rPr>
          <w:rFonts w:hint="eastAsia" w:ascii="宋体" w:hAnsi="宋体"/>
        </w:rPr>
        <w:t>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w:t>
      </w:r>
    </w:p>
    <w:p w14:paraId="47D829FA">
      <w:pPr>
        <w:spacing w:line="360" w:lineRule="auto"/>
        <w:ind w:firstLine="420" w:firstLineChars="200"/>
        <w:rPr>
          <w:rFonts w:hint="eastAsia" w:ascii="宋体" w:hAnsi="宋体"/>
        </w:rPr>
      </w:pPr>
      <w:r>
        <w:rPr>
          <w:rFonts w:hint="eastAsia" w:ascii="宋体" w:hAnsi="宋体"/>
        </w:rPr>
        <w:t>3、强制平仓风险</w:t>
      </w:r>
    </w:p>
    <w:p w14:paraId="7CFA3C09">
      <w:pPr>
        <w:spacing w:line="360" w:lineRule="auto"/>
        <w:ind w:firstLine="420" w:firstLineChars="200"/>
        <w:rPr>
          <w:rFonts w:hint="eastAsia" w:ascii="宋体" w:hAnsi="宋体"/>
        </w:rPr>
      </w:pPr>
      <w:r>
        <w:rPr>
          <w:rFonts w:hint="eastAsia" w:ascii="宋体" w:hAnsi="宋体"/>
        </w:rPr>
        <w:t>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53CE4071">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二十一、转融通证券出借的主要风险</w:t>
      </w:r>
    </w:p>
    <w:p w14:paraId="436157FB">
      <w:pPr>
        <w:adjustRightInd w:val="0"/>
        <w:snapToGrid w:val="0"/>
        <w:spacing w:line="360" w:lineRule="auto"/>
        <w:ind w:firstLine="420" w:firstLineChars="200"/>
        <w:outlineLvl w:val="0"/>
        <w:rPr>
          <w:rFonts w:hint="eastAsia" w:ascii="宋体" w:hAnsi="宋体" w:cs="Arial"/>
        </w:rPr>
      </w:pPr>
      <w:r>
        <w:rPr>
          <w:rFonts w:hint="eastAsia" w:ascii="宋体" w:hAnsi="宋体" w:cs="Arial"/>
        </w:rPr>
        <w:t>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14C503A8">
      <w:pPr>
        <w:adjustRightInd w:val="0"/>
        <w:snapToGrid w:val="0"/>
        <w:spacing w:line="360" w:lineRule="auto"/>
        <w:ind w:firstLine="420" w:firstLineChars="200"/>
        <w:outlineLvl w:val="0"/>
        <w:rPr>
          <w:rFonts w:hint="eastAsia" w:ascii="宋体" w:hAnsi="宋体" w:cs="Arial"/>
        </w:rPr>
      </w:pPr>
      <w:r>
        <w:rPr>
          <w:rFonts w:hint="eastAsia" w:ascii="宋体" w:hAnsi="宋体" w:cs="Arial"/>
        </w:rPr>
        <w:t>2、提前或延迟了结风险：证券出借期间，如发生标的证券范围调整、标的证券暂停交易、标的证券对应的上市公司被以终止上市为目的进行收购、终止上市等情况，可能面临合约提前了结或延迟了结的风险。</w:t>
      </w:r>
    </w:p>
    <w:p w14:paraId="02660C6E">
      <w:pPr>
        <w:adjustRightInd w:val="0"/>
        <w:snapToGrid w:val="0"/>
        <w:spacing w:line="360" w:lineRule="auto"/>
        <w:ind w:firstLine="420" w:firstLineChars="200"/>
        <w:outlineLvl w:val="0"/>
        <w:rPr>
          <w:rFonts w:hint="eastAsia" w:ascii="宋体" w:hAnsi="宋体" w:cs="Arial"/>
        </w:rPr>
      </w:pPr>
      <w:r>
        <w:rPr>
          <w:rFonts w:hint="eastAsia" w:ascii="宋体" w:hAnsi="宋体" w:cs="Arial"/>
        </w:rPr>
        <w:t>3、市场风险：转融通出借收益按照证券当日收市后市值、融出日（或展期日）费率和实际出借天数计算，因此可能面临证券市值波动、费率变动而导致的市场风险。</w:t>
      </w:r>
    </w:p>
    <w:p w14:paraId="5A6ABD8E">
      <w:pPr>
        <w:adjustRightInd w:val="0"/>
        <w:snapToGrid w:val="0"/>
        <w:spacing w:line="360" w:lineRule="auto"/>
        <w:ind w:firstLine="420" w:firstLineChars="200"/>
        <w:outlineLvl w:val="0"/>
        <w:rPr>
          <w:rFonts w:hint="eastAsia" w:ascii="宋体" w:hAnsi="宋体" w:cs="Arial"/>
        </w:rPr>
      </w:pPr>
      <w:r>
        <w:rPr>
          <w:rFonts w:hint="eastAsia" w:ascii="宋体" w:hAnsi="宋体" w:cs="Arial"/>
        </w:rPr>
        <w:t>4、跟踪误差风险：对于指数型组合，当组合发生大额赎回或市场大幅波动时，存在由于转融通出借证券无法提前了结并变现，单一股票占比被动上升而导致组合跟踪误差扩大的风险。</w:t>
      </w:r>
    </w:p>
    <w:p w14:paraId="29B60B2C">
      <w:pPr>
        <w:adjustRightInd w:val="0"/>
        <w:snapToGrid w:val="0"/>
        <w:spacing w:line="360" w:lineRule="auto"/>
        <w:ind w:firstLine="420" w:firstLineChars="200"/>
        <w:outlineLvl w:val="0"/>
        <w:rPr>
          <w:rFonts w:hint="eastAsia" w:ascii="宋体" w:hAnsi="宋体" w:cs="Arial"/>
        </w:rPr>
      </w:pPr>
      <w:r>
        <w:rPr>
          <w:rFonts w:hint="eastAsia" w:ascii="宋体" w:hAnsi="宋体" w:cs="Arial"/>
        </w:rPr>
        <w:t>5、交易对手违约风险：存在由于交易对手违约而导致证券到期不能按时或足额归还、相应权益补偿和借券费用不能支付等交易对手违约风险。</w:t>
      </w:r>
    </w:p>
    <w:p w14:paraId="0343F4EF">
      <w:pPr>
        <w:adjustRightInd w:val="0"/>
        <w:snapToGrid w:val="0"/>
        <w:spacing w:line="360" w:lineRule="auto"/>
        <w:ind w:firstLine="420" w:firstLineChars="200"/>
        <w:outlineLvl w:val="0"/>
        <w:rPr>
          <w:rFonts w:hint="eastAsia" w:ascii="宋体" w:hAnsi="宋体" w:cs="Arial"/>
        </w:rPr>
      </w:pPr>
      <w:r>
        <w:rPr>
          <w:rFonts w:hint="eastAsia" w:ascii="宋体" w:hAnsi="宋体" w:cs="Arial"/>
        </w:rPr>
        <w:t>6、操作风险：转融通业务具体实施过程中，在投资决策、交易等环节，可能面临由于操作人员操作失误、系统不完善等原因引发的操作风险。</w:t>
      </w:r>
    </w:p>
    <w:p w14:paraId="04DA3E39">
      <w:pPr>
        <w:adjustRightInd w:val="0"/>
        <w:snapToGrid w:val="0"/>
        <w:spacing w:line="360" w:lineRule="auto"/>
        <w:ind w:firstLine="420" w:firstLineChars="200"/>
        <w:outlineLvl w:val="0"/>
        <w:rPr>
          <w:rFonts w:hint="eastAsia" w:ascii="宋体" w:hAnsi="宋体" w:cs="Arial"/>
        </w:rPr>
      </w:pPr>
      <w:r>
        <w:rPr>
          <w:rFonts w:hint="eastAsia" w:ascii="宋体" w:hAnsi="宋体" w:cs="Arial"/>
        </w:rPr>
        <w:t>7、法律合规风险：在转融通证券出借过程中，存在由于标的证券价格波动导致组合合规指标超标且无法进行调整的风险，以及在证券出借业务中发生操纵价格、利益输送等法律合规风险。</w:t>
      </w:r>
    </w:p>
    <w:p w14:paraId="4E6B3B57">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二十二、参与国债期货交易风险</w:t>
      </w:r>
    </w:p>
    <w:p w14:paraId="6D14DF88">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555D85F9">
      <w:pPr>
        <w:adjustRightInd w:val="0"/>
        <w:snapToGrid w:val="0"/>
        <w:spacing w:line="360" w:lineRule="auto"/>
        <w:ind w:firstLine="422" w:firstLineChars="200"/>
        <w:outlineLvl w:val="0"/>
        <w:rPr>
          <w:rFonts w:hint="eastAsia" w:ascii="宋体" w:hAnsi="宋体" w:cs="Arial"/>
          <w:b/>
          <w:bCs/>
        </w:rPr>
      </w:pPr>
      <w:r>
        <w:rPr>
          <w:rFonts w:hint="eastAsia" w:ascii="宋体" w:hAnsi="宋体" w:cs="Arial"/>
          <w:b/>
          <w:bCs/>
        </w:rPr>
        <w:t>二十三、投资于存托凭证的风险</w:t>
      </w:r>
    </w:p>
    <w:p w14:paraId="6D9E3F92">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本基金的投资范围包括存托凭证，除与其他仅投资于</w:t>
      </w:r>
      <w:r>
        <w:rPr>
          <w:rFonts w:ascii="宋体" w:hAnsi="宋体" w:cs="Arial"/>
          <w:bCs/>
        </w:rPr>
        <w:t>境内</w:t>
      </w:r>
      <w:r>
        <w:rPr>
          <w:rFonts w:hint="eastAsia" w:ascii="宋体" w:hAnsi="宋体" w:cs="Arial"/>
          <w:bCs/>
        </w:rPr>
        <w:t>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FD104C9">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二十四、投资北交所股票的风险</w:t>
      </w:r>
    </w:p>
    <w:p w14:paraId="4FCB4482">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w:t>
      </w:r>
    </w:p>
    <w:p w14:paraId="1A6729A6">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（1）中小企业经营风险</w:t>
      </w:r>
    </w:p>
    <w:p w14:paraId="1FC2B886">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w:t>
      </w:r>
    </w:p>
    <w:p w14:paraId="459A23FE">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（2）股价大幅波动风险</w:t>
      </w:r>
    </w:p>
    <w:p w14:paraId="57047128">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w:t>
      </w:r>
    </w:p>
    <w:p w14:paraId="250954BE">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（3）退市风险</w:t>
      </w:r>
    </w:p>
    <w:p w14:paraId="63B05907">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w:t>
      </w:r>
    </w:p>
    <w:p w14:paraId="5BA8C42E">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（4）企业流动性风险</w:t>
      </w:r>
    </w:p>
    <w:p w14:paraId="4BE78852">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w:t>
      </w:r>
    </w:p>
    <w:p w14:paraId="1725CA07">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（5）监管规则变化的风险</w:t>
      </w:r>
    </w:p>
    <w:p w14:paraId="4324EB45">
      <w:pPr>
        <w:adjustRightInd w:val="0"/>
        <w:snapToGrid w:val="0"/>
        <w:spacing w:line="360" w:lineRule="auto"/>
        <w:ind w:firstLine="420" w:firstLineChars="200"/>
        <w:outlineLvl w:val="0"/>
        <w:rPr>
          <w:rFonts w:hint="eastAsia" w:ascii="宋体" w:hAnsi="宋体" w:cs="Arial"/>
          <w:bCs/>
        </w:rPr>
      </w:pPr>
      <w:r>
        <w:rPr>
          <w:rFonts w:hint="eastAsia" w:ascii="宋体" w:hAnsi="宋体" w:cs="Arial"/>
          <w:bCs/>
        </w:rPr>
        <w:t>北京证券交易所相关法律、行政法规、部门规章、规范性文件和交易所业务规则，可能根据市场情况进行修改完善，或者补充制定新的法律法规和业务规则，可能对基金投资运作产生影响，或导致基金投资运作相应调整变化。</w:t>
      </w:r>
    </w:p>
    <w:p w14:paraId="5B7D565E">
      <w:pPr>
        <w:adjustRightInd w:val="0"/>
        <w:snapToGrid w:val="0"/>
        <w:spacing w:line="360" w:lineRule="auto"/>
        <w:ind w:firstLine="422" w:firstLineChars="200"/>
        <w:outlineLvl w:val="0"/>
        <w:rPr>
          <w:rFonts w:hint="eastAsia" w:ascii="宋体" w:hAnsi="宋体" w:cs="Arial"/>
          <w:b/>
        </w:rPr>
      </w:pPr>
      <w:r>
        <w:rPr>
          <w:rFonts w:hint="eastAsia" w:ascii="宋体" w:hAnsi="宋体" w:cs="Arial"/>
          <w:b/>
        </w:rPr>
        <w:t>二十五、</w:t>
      </w:r>
      <w:r>
        <w:rPr>
          <w:rFonts w:ascii="宋体" w:hAnsi="宋体" w:cs="Arial"/>
          <w:b/>
        </w:rPr>
        <w:t>管理风险与操作风险</w:t>
      </w:r>
      <w:bookmarkEnd w:id="151"/>
      <w:r>
        <w:rPr>
          <w:rFonts w:ascii="宋体" w:hAnsi="宋体" w:cs="Arial"/>
          <w:b/>
        </w:rPr>
        <w:t xml:space="preserve"> </w:t>
      </w:r>
    </w:p>
    <w:p w14:paraId="61FFB337">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598AD1A3">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0D77428B">
      <w:pPr>
        <w:adjustRightInd w:val="0"/>
        <w:snapToGrid w:val="0"/>
        <w:spacing w:line="360" w:lineRule="auto"/>
        <w:ind w:firstLine="422" w:firstLineChars="200"/>
        <w:outlineLvl w:val="0"/>
        <w:rPr>
          <w:rFonts w:hint="eastAsia" w:ascii="宋体" w:hAnsi="宋体" w:cs="Arial"/>
          <w:b/>
        </w:rPr>
      </w:pPr>
      <w:bookmarkStart w:id="152" w:name="_Toc293495065"/>
      <w:r>
        <w:rPr>
          <w:rFonts w:hint="eastAsia" w:ascii="宋体" w:hAnsi="宋体" w:cs="Arial"/>
          <w:b/>
        </w:rPr>
        <w:t>二十六、</w:t>
      </w:r>
      <w:r>
        <w:rPr>
          <w:rFonts w:ascii="宋体" w:hAnsi="宋体" w:cs="Arial"/>
          <w:b/>
        </w:rPr>
        <w:t>技术风险</w:t>
      </w:r>
      <w:bookmarkEnd w:id="152"/>
    </w:p>
    <w:p w14:paraId="56361F69">
      <w:pPr>
        <w:autoSpaceDE w:val="0"/>
        <w:autoSpaceDN w:val="0"/>
        <w:adjustRightInd w:val="0"/>
        <w:snapToGrid w:val="0"/>
        <w:spacing w:line="360" w:lineRule="auto"/>
        <w:ind w:firstLine="420" w:firstLineChars="200"/>
        <w:rPr>
          <w:rFonts w:hint="eastAsia" w:ascii="宋体" w:hAnsi="宋体" w:cs="Arial"/>
          <w:kern w:val="0"/>
          <w:szCs w:val="21"/>
        </w:rPr>
      </w:pPr>
      <w:r>
        <w:rPr>
          <w:rFonts w:ascii="宋体" w:hAnsi="宋体" w:cs="Arial"/>
          <w:kern w:val="0"/>
          <w:szCs w:val="21"/>
        </w:rPr>
        <w:t>在本基金的投资、交易、服务与后台运作等业务过程中，可能因为技术系统的故障或差错导致投资人的利益受到影响。这种技术风险可能来自基金管理人、基金托管人、证券交易所、登记机构及销售代理机构等。</w:t>
      </w:r>
    </w:p>
    <w:p w14:paraId="2458083D">
      <w:pPr>
        <w:adjustRightInd w:val="0"/>
        <w:snapToGrid w:val="0"/>
        <w:spacing w:line="360" w:lineRule="auto"/>
        <w:ind w:firstLine="422" w:firstLineChars="200"/>
        <w:outlineLvl w:val="0"/>
        <w:rPr>
          <w:rFonts w:hint="eastAsia" w:ascii="宋体" w:hAnsi="宋体" w:cs="Arial"/>
          <w:b/>
        </w:rPr>
      </w:pPr>
      <w:bookmarkStart w:id="153" w:name="_Toc293495066"/>
      <w:r>
        <w:rPr>
          <w:rFonts w:hint="eastAsia" w:ascii="宋体" w:hAnsi="宋体" w:cs="Arial"/>
          <w:b/>
        </w:rPr>
        <w:t>二十七、</w:t>
      </w:r>
      <w:r>
        <w:rPr>
          <w:rFonts w:ascii="宋体" w:hAnsi="宋体" w:cs="Arial"/>
          <w:b/>
        </w:rPr>
        <w:t>不可抗力</w:t>
      </w:r>
      <w:bookmarkEnd w:id="153"/>
      <w:r>
        <w:rPr>
          <w:rFonts w:ascii="宋体" w:hAnsi="宋体" w:cs="Arial"/>
          <w:b/>
        </w:rPr>
        <w:t xml:space="preserve"> </w:t>
      </w:r>
    </w:p>
    <w:p w14:paraId="0F55905A">
      <w:pPr>
        <w:adjustRightInd w:val="0"/>
        <w:snapToGrid w:val="0"/>
        <w:spacing w:line="360" w:lineRule="auto"/>
        <w:ind w:firstLine="420" w:firstLineChars="200"/>
        <w:rPr>
          <w:rFonts w:hint="eastAsia" w:ascii="宋体" w:hAnsi="宋体" w:cs="Arial"/>
          <w:kern w:val="0"/>
          <w:szCs w:val="21"/>
        </w:rPr>
        <w:sectPr>
          <w:footerReference r:id="rId37" w:type="first"/>
          <w:footerReference r:id="rId36" w:type="default"/>
          <w:pgSz w:w="11906" w:h="16838"/>
          <w:pgMar w:top="1440" w:right="1800" w:bottom="1440" w:left="1800" w:header="851" w:footer="992" w:gutter="0"/>
          <w:cols w:space="720" w:num="1"/>
          <w:titlePg/>
          <w:docGrid w:type="lines" w:linePitch="312" w:charSpace="0"/>
        </w:sectPr>
      </w:pPr>
      <w:r>
        <w:rPr>
          <w:rFonts w:ascii="宋体" w:hAnsi="宋体" w:cs="Arial"/>
          <w:kern w:val="0"/>
          <w:szCs w:val="21"/>
        </w:rPr>
        <w:t>战争、自然灾害等不可抗力可能导致基金资产有遭受损失的风险。基金管理人、基金托管人、证券交易所、登记机构和销售代理机构等可能因不可抗力无法正常工作，从而影响基金的各项业务按正常时限完成。</w:t>
      </w:r>
    </w:p>
    <w:p w14:paraId="4A8940C5">
      <w:pPr>
        <w:pStyle w:val="2"/>
        <w:snapToGrid w:val="0"/>
        <w:spacing w:before="0" w:after="0" w:line="360" w:lineRule="auto"/>
        <w:ind w:firstLine="422" w:firstLineChars="150"/>
        <w:rPr>
          <w:rFonts w:hint="eastAsia" w:hAnsi="宋体" w:eastAsia="宋体" w:cs="Arial"/>
          <w:b/>
          <w:bCs/>
          <w:sz w:val="28"/>
          <w:szCs w:val="28"/>
        </w:rPr>
      </w:pPr>
      <w:bookmarkStart w:id="154" w:name="_Toc50661139"/>
      <w:bookmarkStart w:id="155" w:name="_Toc86655829"/>
      <w:bookmarkStart w:id="156" w:name="_Toc27242"/>
      <w:r>
        <w:rPr>
          <w:rFonts w:hAnsi="宋体" w:eastAsia="宋体" w:cs="Arial"/>
          <w:b/>
          <w:bCs/>
          <w:sz w:val="28"/>
          <w:szCs w:val="28"/>
        </w:rPr>
        <w:t>第</w:t>
      </w:r>
      <w:r>
        <w:rPr>
          <w:rFonts w:hint="eastAsia" w:hAnsi="宋体" w:eastAsia="宋体" w:cs="Arial"/>
          <w:b/>
          <w:bCs/>
          <w:sz w:val="28"/>
          <w:szCs w:val="28"/>
        </w:rPr>
        <w:t>十九</w:t>
      </w:r>
      <w:r>
        <w:rPr>
          <w:rFonts w:hAnsi="宋体" w:eastAsia="宋体" w:cs="Arial"/>
          <w:b/>
          <w:bCs/>
          <w:sz w:val="28"/>
          <w:szCs w:val="28"/>
        </w:rPr>
        <w:t xml:space="preserve">部分  </w:t>
      </w:r>
      <w:bookmarkEnd w:id="135"/>
      <w:bookmarkEnd w:id="136"/>
      <w:bookmarkEnd w:id="137"/>
      <w:bookmarkEnd w:id="138"/>
      <w:r>
        <w:rPr>
          <w:rFonts w:hAnsi="宋体" w:eastAsia="宋体" w:cs="Arial"/>
          <w:b/>
          <w:bCs/>
          <w:sz w:val="28"/>
          <w:szCs w:val="28"/>
        </w:rPr>
        <w:t>基金合同的变更、终止与基金财产的清算</w:t>
      </w:r>
      <w:bookmarkEnd w:id="139"/>
      <w:bookmarkEnd w:id="154"/>
      <w:bookmarkEnd w:id="155"/>
      <w:bookmarkEnd w:id="156"/>
    </w:p>
    <w:p w14:paraId="52D524AD">
      <w:pPr>
        <w:spacing w:line="360" w:lineRule="auto"/>
        <w:rPr>
          <w:rFonts w:hint="eastAsia" w:ascii="宋体" w:hAnsi="宋体"/>
        </w:rPr>
      </w:pPr>
    </w:p>
    <w:p w14:paraId="762AC610">
      <w:pPr>
        <w:spacing w:line="360" w:lineRule="auto"/>
        <w:ind w:firstLine="422" w:firstLineChars="200"/>
        <w:rPr>
          <w:rFonts w:hint="eastAsia" w:ascii="宋体" w:hAnsi="宋体" w:cs="Arial"/>
          <w:b/>
          <w:szCs w:val="21"/>
        </w:rPr>
      </w:pPr>
      <w:bookmarkStart w:id="157" w:name="OLE_LINK34"/>
      <w:bookmarkStart w:id="158" w:name="_Toc214873607"/>
      <w:r>
        <w:rPr>
          <w:rFonts w:ascii="宋体" w:hAnsi="宋体" w:cs="Arial"/>
          <w:b/>
          <w:szCs w:val="21"/>
        </w:rPr>
        <w:t>一、基金合同的变更</w:t>
      </w:r>
    </w:p>
    <w:p w14:paraId="42FC6851">
      <w:pPr>
        <w:spacing w:line="360" w:lineRule="auto"/>
        <w:ind w:firstLine="420" w:firstLineChars="200"/>
        <w:rPr>
          <w:rFonts w:hint="eastAsia" w:ascii="宋体" w:hAnsi="宋体" w:cs="Arial"/>
          <w:bCs/>
          <w:szCs w:val="21"/>
        </w:rPr>
      </w:pPr>
      <w:r>
        <w:rPr>
          <w:rFonts w:ascii="宋体" w:hAnsi="宋体" w:cs="Arial"/>
          <w:bCs/>
          <w:szCs w:val="21"/>
        </w:rPr>
        <w:t>1</w:t>
      </w:r>
      <w:r>
        <w:rPr>
          <w:rFonts w:hint="eastAsia" w:ascii="宋体" w:hAnsi="宋体" w:cs="Arial"/>
          <w:bCs/>
          <w:szCs w:val="21"/>
        </w:rPr>
        <w:t>、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7A2F5426">
      <w:pPr>
        <w:spacing w:line="360" w:lineRule="auto"/>
        <w:ind w:firstLine="420" w:firstLineChars="200"/>
        <w:rPr>
          <w:rFonts w:hint="eastAsia" w:ascii="宋体" w:hAnsi="宋体" w:cs="Arial"/>
          <w:bCs/>
          <w:szCs w:val="21"/>
        </w:rPr>
      </w:pPr>
      <w:r>
        <w:rPr>
          <w:rFonts w:ascii="宋体" w:hAnsi="宋体" w:cs="Arial"/>
          <w:bCs/>
          <w:szCs w:val="21"/>
        </w:rPr>
        <w:t>2</w:t>
      </w:r>
      <w:r>
        <w:rPr>
          <w:rFonts w:hint="eastAsia" w:ascii="宋体" w:hAnsi="宋体" w:cs="Arial"/>
          <w:bCs/>
          <w:szCs w:val="21"/>
        </w:rPr>
        <w:t>、关于《基金合同》变更的基金份额持有人大会决议自生效后方可执行，自决议生效后按规定在规定媒介公告。</w:t>
      </w:r>
    </w:p>
    <w:p w14:paraId="78E53DA7">
      <w:pPr>
        <w:spacing w:line="360" w:lineRule="auto"/>
        <w:ind w:firstLine="422" w:firstLineChars="200"/>
        <w:rPr>
          <w:rFonts w:hint="eastAsia" w:ascii="宋体" w:hAnsi="宋体" w:cs="Arial"/>
          <w:b/>
          <w:szCs w:val="21"/>
        </w:rPr>
      </w:pPr>
      <w:r>
        <w:rPr>
          <w:rFonts w:ascii="宋体" w:hAnsi="宋体" w:cs="Arial"/>
          <w:b/>
          <w:szCs w:val="21"/>
        </w:rPr>
        <w:t>二、基金合同的终止</w:t>
      </w:r>
      <w:r>
        <w:rPr>
          <w:rFonts w:hint="eastAsia" w:ascii="宋体" w:hAnsi="宋体" w:cs="Arial"/>
          <w:b/>
          <w:szCs w:val="21"/>
        </w:rPr>
        <w:t>事由</w:t>
      </w:r>
    </w:p>
    <w:p w14:paraId="7DFE543E">
      <w:pPr>
        <w:spacing w:line="360" w:lineRule="auto"/>
        <w:ind w:firstLine="420" w:firstLineChars="200"/>
        <w:rPr>
          <w:rFonts w:hint="eastAsia" w:ascii="宋体" w:hAnsi="宋体" w:cs="Arial"/>
          <w:bCs/>
          <w:szCs w:val="21"/>
        </w:rPr>
      </w:pPr>
      <w:r>
        <w:rPr>
          <w:rFonts w:hint="eastAsia" w:ascii="宋体" w:hAnsi="宋体" w:cs="Arial"/>
          <w:bCs/>
          <w:szCs w:val="21"/>
        </w:rPr>
        <w:t>有下列情形之一的，经履行相关程序后，《基金合同》应当终止：</w:t>
      </w:r>
    </w:p>
    <w:p w14:paraId="0763D5CE">
      <w:pPr>
        <w:spacing w:line="360" w:lineRule="auto"/>
        <w:ind w:firstLine="420" w:firstLineChars="200"/>
        <w:rPr>
          <w:rFonts w:hint="eastAsia" w:ascii="宋体" w:hAnsi="宋体" w:cs="Arial"/>
          <w:bCs/>
          <w:szCs w:val="21"/>
        </w:rPr>
      </w:pPr>
      <w:r>
        <w:rPr>
          <w:rFonts w:hint="eastAsia" w:ascii="宋体" w:hAnsi="宋体" w:cs="Arial"/>
          <w:bCs/>
          <w:szCs w:val="21"/>
        </w:rPr>
        <w:t>1、基金份额持有人大会决定终止的；</w:t>
      </w:r>
    </w:p>
    <w:p w14:paraId="02FB8D12">
      <w:pPr>
        <w:spacing w:line="360" w:lineRule="auto"/>
        <w:ind w:firstLine="420" w:firstLineChars="200"/>
        <w:rPr>
          <w:rFonts w:hint="eastAsia" w:ascii="宋体" w:hAnsi="宋体" w:cs="Arial"/>
          <w:bCs/>
          <w:szCs w:val="21"/>
        </w:rPr>
      </w:pPr>
      <w:r>
        <w:rPr>
          <w:rFonts w:hint="eastAsia" w:ascii="宋体" w:hAnsi="宋体" w:cs="Arial"/>
          <w:bCs/>
          <w:szCs w:val="21"/>
        </w:rPr>
        <w:t>2、基金管理人、基金托管人职责终止，在6个月内没有新基金管理人、新基金托管人承接的；</w:t>
      </w:r>
    </w:p>
    <w:p w14:paraId="47324A41">
      <w:pPr>
        <w:spacing w:line="360" w:lineRule="auto"/>
        <w:ind w:firstLine="420" w:firstLineChars="200"/>
        <w:rPr>
          <w:rFonts w:hint="eastAsia" w:ascii="宋体" w:hAnsi="宋体" w:cs="Arial"/>
          <w:bCs/>
          <w:szCs w:val="21"/>
        </w:rPr>
      </w:pPr>
      <w:r>
        <w:rPr>
          <w:rFonts w:ascii="宋体" w:hAnsi="宋体" w:cs="Arial"/>
          <w:bCs/>
          <w:szCs w:val="21"/>
        </w:rPr>
        <w:t>3</w:t>
      </w:r>
      <w:r>
        <w:rPr>
          <w:rFonts w:hint="eastAsia" w:ascii="宋体" w:hAnsi="宋体" w:cs="Arial"/>
          <w:bCs/>
          <w:szCs w:val="21"/>
        </w:rPr>
        <w:t>、《基金合同》约定的其他情形；</w:t>
      </w:r>
    </w:p>
    <w:p w14:paraId="62CB19BE">
      <w:pPr>
        <w:spacing w:line="360" w:lineRule="auto"/>
        <w:ind w:firstLine="420" w:firstLineChars="200"/>
        <w:rPr>
          <w:rFonts w:hint="eastAsia" w:ascii="宋体" w:hAnsi="宋体" w:cs="Arial"/>
          <w:bCs/>
          <w:szCs w:val="21"/>
        </w:rPr>
      </w:pPr>
      <w:r>
        <w:rPr>
          <w:rFonts w:ascii="宋体" w:hAnsi="宋体" w:cs="Arial"/>
          <w:bCs/>
          <w:szCs w:val="21"/>
        </w:rPr>
        <w:t>4</w:t>
      </w:r>
      <w:r>
        <w:rPr>
          <w:rFonts w:hint="eastAsia" w:ascii="宋体" w:hAnsi="宋体" w:cs="Arial"/>
          <w:bCs/>
          <w:szCs w:val="21"/>
        </w:rPr>
        <w:t>、相关法律法规和中国证监会规定的其他情况。</w:t>
      </w:r>
    </w:p>
    <w:p w14:paraId="66BB9E44">
      <w:pPr>
        <w:snapToGrid w:val="0"/>
        <w:spacing w:line="360" w:lineRule="auto"/>
        <w:ind w:firstLine="422" w:firstLineChars="200"/>
        <w:rPr>
          <w:rFonts w:hint="eastAsia" w:ascii="宋体" w:hAnsi="宋体"/>
          <w:b/>
          <w:szCs w:val="21"/>
        </w:rPr>
      </w:pPr>
      <w:bookmarkStart w:id="159" w:name="_Toc50661140"/>
      <w:r>
        <w:rPr>
          <w:rFonts w:hint="eastAsia" w:ascii="宋体" w:hAnsi="宋体"/>
          <w:b/>
          <w:szCs w:val="21"/>
        </w:rPr>
        <w:t>三、基金财产的清算</w:t>
      </w:r>
    </w:p>
    <w:p w14:paraId="5474C942">
      <w:pPr>
        <w:snapToGrid w:val="0"/>
        <w:spacing w:line="360" w:lineRule="auto"/>
        <w:ind w:firstLine="420" w:firstLineChars="200"/>
        <w:rPr>
          <w:rFonts w:hint="eastAsia" w:ascii="宋体" w:hAnsi="宋体" w:cs="宋体"/>
          <w:szCs w:val="21"/>
        </w:rPr>
      </w:pPr>
      <w:r>
        <w:rPr>
          <w:rFonts w:hint="eastAsia" w:ascii="宋体" w:hAnsi="宋体" w:cs="宋体"/>
          <w:szCs w:val="21"/>
        </w:rPr>
        <w:t>1、基金财产清算小组：自出现《基金合同》终止事由之日起30个工作日内成立基金财产清算小组，基金管理人组织基金财产清算小组并在中国证监会的监督下进行基金清算。</w:t>
      </w:r>
    </w:p>
    <w:p w14:paraId="527E8297">
      <w:pPr>
        <w:snapToGrid w:val="0"/>
        <w:spacing w:line="360" w:lineRule="auto"/>
        <w:ind w:firstLine="420" w:firstLineChars="200"/>
        <w:rPr>
          <w:rFonts w:hint="eastAsia" w:ascii="宋体" w:hAnsi="宋体" w:cs="宋体"/>
          <w:szCs w:val="21"/>
        </w:rPr>
      </w:pPr>
      <w:r>
        <w:rPr>
          <w:rFonts w:hint="eastAsia" w:ascii="宋体" w:hAnsi="宋体" w:cs="宋体"/>
          <w:szCs w:val="21"/>
        </w:rPr>
        <w:t>2、在基金财产清算小组接管基金财产之前，基金管理人和基金托管人应按照《基金合同》和托管协议的规定继续履行保护基金财产安全的职责。</w:t>
      </w:r>
    </w:p>
    <w:p w14:paraId="4375304B">
      <w:pPr>
        <w:snapToGrid w:val="0"/>
        <w:spacing w:line="360" w:lineRule="auto"/>
        <w:ind w:firstLine="420" w:firstLineChars="200"/>
        <w:rPr>
          <w:rFonts w:hint="eastAsia" w:ascii="宋体" w:hAnsi="宋体" w:cs="宋体"/>
          <w:szCs w:val="21"/>
        </w:rPr>
      </w:pPr>
      <w:r>
        <w:rPr>
          <w:rFonts w:hint="eastAsia" w:ascii="宋体" w:hAnsi="宋体" w:cs="宋体"/>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6C95E535">
      <w:pPr>
        <w:snapToGrid w:val="0"/>
        <w:spacing w:line="360" w:lineRule="auto"/>
        <w:ind w:firstLine="420" w:firstLineChars="200"/>
        <w:rPr>
          <w:rFonts w:hint="eastAsia" w:ascii="宋体" w:hAnsi="宋体" w:cs="宋体"/>
          <w:szCs w:val="21"/>
        </w:rPr>
      </w:pPr>
      <w:r>
        <w:rPr>
          <w:rFonts w:hint="eastAsia" w:ascii="宋体" w:hAnsi="宋体" w:cs="宋体"/>
          <w:szCs w:val="21"/>
        </w:rPr>
        <w:t>4、基金财产清算小组职责：基金财产清算小组负责基金财产的保管、清理、估价、变现和分配。基金财产清算小组可以依法进行必要的民事活动。</w:t>
      </w:r>
    </w:p>
    <w:p w14:paraId="06B0428E">
      <w:pPr>
        <w:snapToGrid w:val="0"/>
        <w:spacing w:line="360" w:lineRule="auto"/>
        <w:ind w:firstLine="420" w:firstLineChars="200"/>
        <w:rPr>
          <w:rFonts w:hint="eastAsia" w:ascii="宋体" w:hAnsi="宋体" w:cs="宋体"/>
          <w:szCs w:val="21"/>
        </w:rPr>
      </w:pPr>
      <w:r>
        <w:rPr>
          <w:rFonts w:hint="eastAsia" w:ascii="宋体" w:hAnsi="宋体" w:cs="宋体"/>
          <w:szCs w:val="21"/>
        </w:rPr>
        <w:t>5、基金财产清算程序：</w:t>
      </w:r>
    </w:p>
    <w:p w14:paraId="5CD618F0">
      <w:pPr>
        <w:snapToGrid w:val="0"/>
        <w:spacing w:line="360" w:lineRule="auto"/>
        <w:ind w:firstLine="420" w:firstLineChars="200"/>
        <w:rPr>
          <w:rFonts w:hint="eastAsia" w:ascii="宋体" w:hAnsi="宋体" w:cs="宋体"/>
          <w:szCs w:val="21"/>
        </w:rPr>
      </w:pPr>
      <w:r>
        <w:rPr>
          <w:rFonts w:hint="eastAsia" w:ascii="宋体" w:hAnsi="宋体" w:cs="宋体"/>
          <w:szCs w:val="21"/>
        </w:rPr>
        <w:t>（1）《基金合同》终止情形出现时，由基金财产清算小组统一接管基金；</w:t>
      </w:r>
    </w:p>
    <w:p w14:paraId="762B23A7">
      <w:pPr>
        <w:snapToGrid w:val="0"/>
        <w:spacing w:line="360" w:lineRule="auto"/>
        <w:ind w:firstLine="420" w:firstLineChars="200"/>
        <w:rPr>
          <w:rFonts w:hint="eastAsia" w:ascii="宋体" w:hAnsi="宋体" w:cs="宋体"/>
          <w:szCs w:val="21"/>
        </w:rPr>
      </w:pPr>
      <w:r>
        <w:rPr>
          <w:rFonts w:hint="eastAsia" w:ascii="宋体" w:hAnsi="宋体" w:cs="宋体"/>
          <w:szCs w:val="21"/>
        </w:rPr>
        <w:t>（2）对基金财产和债权债务进行清理和确认；</w:t>
      </w:r>
    </w:p>
    <w:p w14:paraId="5518DBA8">
      <w:pPr>
        <w:snapToGrid w:val="0"/>
        <w:spacing w:line="360" w:lineRule="auto"/>
        <w:ind w:firstLine="420" w:firstLineChars="200"/>
        <w:rPr>
          <w:rFonts w:hint="eastAsia" w:ascii="宋体" w:hAnsi="宋体" w:cs="宋体"/>
          <w:szCs w:val="21"/>
        </w:rPr>
      </w:pPr>
      <w:r>
        <w:rPr>
          <w:rFonts w:hint="eastAsia" w:ascii="宋体" w:hAnsi="宋体" w:cs="宋体"/>
          <w:szCs w:val="21"/>
        </w:rPr>
        <w:t>（3）对基金财产进行估值和变现；</w:t>
      </w:r>
    </w:p>
    <w:p w14:paraId="3AE553BD">
      <w:pPr>
        <w:snapToGrid w:val="0"/>
        <w:spacing w:line="360" w:lineRule="auto"/>
        <w:ind w:firstLine="420" w:firstLineChars="200"/>
        <w:rPr>
          <w:rFonts w:hint="eastAsia" w:ascii="宋体" w:hAnsi="宋体" w:cs="宋体"/>
          <w:szCs w:val="21"/>
        </w:rPr>
      </w:pPr>
      <w:r>
        <w:rPr>
          <w:rFonts w:hint="eastAsia" w:ascii="宋体" w:hAnsi="宋体" w:cs="宋体"/>
          <w:szCs w:val="21"/>
        </w:rPr>
        <w:t>（4）制作清算报告；</w:t>
      </w:r>
    </w:p>
    <w:p w14:paraId="65928BF9">
      <w:pPr>
        <w:snapToGrid w:val="0"/>
        <w:spacing w:line="360" w:lineRule="auto"/>
        <w:ind w:firstLine="420" w:firstLineChars="200"/>
        <w:rPr>
          <w:rFonts w:hint="eastAsia" w:ascii="宋体" w:hAnsi="宋体" w:cs="宋体"/>
          <w:szCs w:val="21"/>
        </w:rPr>
      </w:pPr>
      <w:r>
        <w:rPr>
          <w:rFonts w:hint="eastAsia" w:ascii="宋体" w:hAnsi="宋体" w:cs="宋体"/>
          <w:szCs w:val="21"/>
        </w:rPr>
        <w:t>（5）聘请会计师事务所对清算报告进行外部审计，聘请律师事务所对清算报告出具法律意见书；</w:t>
      </w:r>
    </w:p>
    <w:p w14:paraId="1B048576">
      <w:pPr>
        <w:snapToGrid w:val="0"/>
        <w:spacing w:line="360" w:lineRule="auto"/>
        <w:ind w:firstLine="420" w:firstLineChars="200"/>
        <w:rPr>
          <w:rFonts w:hint="eastAsia" w:ascii="宋体" w:hAnsi="宋体" w:cs="宋体"/>
          <w:szCs w:val="21"/>
        </w:rPr>
      </w:pPr>
      <w:r>
        <w:rPr>
          <w:rFonts w:hint="eastAsia" w:ascii="宋体" w:hAnsi="宋体" w:cs="宋体"/>
          <w:szCs w:val="21"/>
        </w:rPr>
        <w:t>（6）将清算报告报中国证监会备案并公告；</w:t>
      </w:r>
    </w:p>
    <w:p w14:paraId="0DD23D0F">
      <w:pPr>
        <w:snapToGrid w:val="0"/>
        <w:spacing w:line="360" w:lineRule="auto"/>
        <w:ind w:firstLine="420" w:firstLineChars="200"/>
        <w:rPr>
          <w:rFonts w:hint="eastAsia" w:ascii="宋体" w:hAnsi="宋体" w:cs="宋体"/>
          <w:szCs w:val="21"/>
        </w:rPr>
      </w:pPr>
      <w:r>
        <w:rPr>
          <w:rFonts w:hint="eastAsia" w:ascii="宋体" w:hAnsi="宋体" w:cs="宋体"/>
          <w:szCs w:val="21"/>
        </w:rPr>
        <w:t>（7）对基金剩余财产进行分配。</w:t>
      </w:r>
    </w:p>
    <w:p w14:paraId="612C4B10">
      <w:pPr>
        <w:snapToGrid w:val="0"/>
        <w:spacing w:line="360" w:lineRule="auto"/>
        <w:ind w:firstLine="420" w:firstLineChars="200"/>
        <w:rPr>
          <w:rFonts w:hint="eastAsia" w:ascii="宋体" w:hAnsi="宋体" w:cs="宋体"/>
          <w:szCs w:val="21"/>
        </w:rPr>
      </w:pPr>
      <w:r>
        <w:rPr>
          <w:rFonts w:hint="eastAsia" w:ascii="宋体" w:hAnsi="宋体" w:cs="宋体"/>
          <w:szCs w:val="21"/>
        </w:rPr>
        <w:t>6、基金财产清算的期限为6个月，但因本基金所持证券的流动性受到限制而不能及时变现的，清算期限相应顺延。</w:t>
      </w:r>
    </w:p>
    <w:p w14:paraId="6DDC5A4F">
      <w:pPr>
        <w:snapToGrid w:val="0"/>
        <w:spacing w:line="360" w:lineRule="auto"/>
        <w:ind w:firstLine="422" w:firstLineChars="200"/>
        <w:rPr>
          <w:rFonts w:hint="eastAsia" w:ascii="宋体" w:hAnsi="宋体"/>
          <w:b/>
          <w:szCs w:val="21"/>
        </w:rPr>
      </w:pPr>
      <w:r>
        <w:rPr>
          <w:rFonts w:hint="eastAsia" w:ascii="宋体" w:hAnsi="宋体"/>
          <w:b/>
          <w:szCs w:val="21"/>
        </w:rPr>
        <w:t>四、清算费用</w:t>
      </w:r>
    </w:p>
    <w:p w14:paraId="7CE831E7">
      <w:pPr>
        <w:snapToGrid w:val="0"/>
        <w:spacing w:line="360" w:lineRule="auto"/>
        <w:ind w:firstLine="420" w:firstLineChars="200"/>
        <w:rPr>
          <w:rFonts w:hint="eastAsia" w:ascii="宋体" w:hAnsi="宋体"/>
          <w:szCs w:val="21"/>
        </w:rPr>
      </w:pPr>
      <w:r>
        <w:rPr>
          <w:rFonts w:hint="eastAsia" w:ascii="宋体" w:hAnsi="宋体"/>
          <w:szCs w:val="21"/>
        </w:rPr>
        <w:t>清算费用是指基金财产清算小组在进行基金财产清算过程中发生的所有合理费用，清算费用由基金财产清算小组优先从基金剩余财产中支付。</w:t>
      </w:r>
    </w:p>
    <w:p w14:paraId="14385093">
      <w:pPr>
        <w:snapToGrid w:val="0"/>
        <w:spacing w:line="360" w:lineRule="auto"/>
        <w:ind w:firstLine="422" w:firstLineChars="200"/>
        <w:rPr>
          <w:rFonts w:hint="eastAsia" w:ascii="宋体" w:hAnsi="宋体"/>
          <w:b/>
          <w:szCs w:val="21"/>
        </w:rPr>
      </w:pPr>
      <w:r>
        <w:rPr>
          <w:rFonts w:hint="eastAsia" w:ascii="宋体" w:hAnsi="宋体"/>
          <w:b/>
          <w:szCs w:val="21"/>
        </w:rPr>
        <w:t>五、基金财产清算剩余资产的分配</w:t>
      </w:r>
    </w:p>
    <w:p w14:paraId="789B1A3A">
      <w:pPr>
        <w:snapToGrid w:val="0"/>
        <w:spacing w:line="360" w:lineRule="auto"/>
        <w:ind w:firstLine="420" w:firstLineChars="200"/>
        <w:rPr>
          <w:rFonts w:hint="eastAsia" w:ascii="宋体" w:hAnsi="宋体"/>
          <w:szCs w:val="21"/>
        </w:rPr>
      </w:pPr>
      <w:r>
        <w:rPr>
          <w:rFonts w:hint="eastAsia" w:ascii="宋体" w:hAnsi="宋体"/>
          <w:szCs w:val="21"/>
        </w:rPr>
        <w:t>依据基金财产清算的分配方案，将基金财产清算后的全部剩余资产扣除基金财产清算费用、交纳所欠税款并清偿基金债务后，按基金份额持有人持有的基金份额比例进行分配。</w:t>
      </w:r>
    </w:p>
    <w:p w14:paraId="44C0967F">
      <w:pPr>
        <w:snapToGrid w:val="0"/>
        <w:spacing w:line="360" w:lineRule="auto"/>
        <w:ind w:firstLine="422" w:firstLineChars="200"/>
        <w:rPr>
          <w:rFonts w:hint="eastAsia" w:ascii="宋体" w:hAnsi="宋体"/>
          <w:b/>
          <w:szCs w:val="21"/>
        </w:rPr>
      </w:pPr>
      <w:r>
        <w:rPr>
          <w:rFonts w:hint="eastAsia" w:ascii="宋体" w:hAnsi="宋体"/>
          <w:b/>
          <w:szCs w:val="21"/>
        </w:rPr>
        <w:t>六、基金财产清算的公告</w:t>
      </w:r>
    </w:p>
    <w:p w14:paraId="668D60DA">
      <w:pPr>
        <w:snapToGrid w:val="0"/>
        <w:spacing w:line="360" w:lineRule="auto"/>
        <w:ind w:firstLine="420" w:firstLineChars="200"/>
        <w:rPr>
          <w:rFonts w:hint="eastAsia" w:ascii="宋体" w:hAnsi="宋体"/>
          <w:szCs w:val="21"/>
        </w:rPr>
      </w:pPr>
      <w:r>
        <w:rPr>
          <w:rFonts w:hint="eastAsia" w:ascii="宋体" w:hAnsi="宋体"/>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3262FC7">
      <w:pPr>
        <w:snapToGrid w:val="0"/>
        <w:spacing w:line="360" w:lineRule="auto"/>
        <w:ind w:firstLine="422" w:firstLineChars="200"/>
        <w:rPr>
          <w:rFonts w:hint="eastAsia" w:ascii="宋体" w:hAnsi="宋体"/>
          <w:b/>
          <w:szCs w:val="21"/>
        </w:rPr>
      </w:pPr>
      <w:r>
        <w:rPr>
          <w:rFonts w:hint="eastAsia" w:ascii="宋体" w:hAnsi="宋体"/>
          <w:b/>
          <w:szCs w:val="21"/>
        </w:rPr>
        <w:t>七、基金财产清算账册及文件的保存</w:t>
      </w:r>
    </w:p>
    <w:p w14:paraId="3D63EFF1">
      <w:pPr>
        <w:snapToGrid w:val="0"/>
        <w:spacing w:line="360" w:lineRule="auto"/>
        <w:ind w:firstLine="420" w:firstLineChars="200"/>
        <w:rPr>
          <w:rFonts w:hint="eastAsia" w:ascii="宋体" w:hAnsi="宋体"/>
          <w:szCs w:val="21"/>
        </w:rPr>
      </w:pPr>
      <w:r>
        <w:rPr>
          <w:rFonts w:hint="eastAsia" w:ascii="宋体" w:hAnsi="宋体"/>
          <w:szCs w:val="21"/>
        </w:rPr>
        <w:t>基金财产清算账册及有关文件由基金托管人保存，保存期限不低于法定最低期限。</w:t>
      </w:r>
    </w:p>
    <w:bookmarkEnd w:id="157"/>
    <w:p w14:paraId="56DBC26C">
      <w:pPr>
        <w:snapToGrid w:val="0"/>
        <w:spacing w:line="360" w:lineRule="auto"/>
        <w:ind w:firstLine="480" w:firstLineChars="200"/>
        <w:rPr>
          <w:rFonts w:hint="eastAsia" w:ascii="宋体" w:hAnsi="宋体"/>
          <w:sz w:val="24"/>
        </w:rPr>
        <w:sectPr>
          <w:footerReference r:id="rId39" w:type="first"/>
          <w:footerReference r:id="rId38" w:type="default"/>
          <w:pgSz w:w="11906" w:h="16838"/>
          <w:pgMar w:top="1440" w:right="1800" w:bottom="1440" w:left="1800" w:header="851" w:footer="992" w:gutter="0"/>
          <w:cols w:space="720" w:num="1"/>
          <w:titlePg/>
          <w:docGrid w:type="lines" w:linePitch="312" w:charSpace="0"/>
        </w:sectPr>
      </w:pPr>
    </w:p>
    <w:p w14:paraId="31EC3768">
      <w:pPr>
        <w:pStyle w:val="2"/>
        <w:snapToGrid w:val="0"/>
        <w:spacing w:before="0" w:after="0" w:line="360" w:lineRule="auto"/>
        <w:rPr>
          <w:rFonts w:hint="eastAsia" w:hAnsi="宋体" w:eastAsia="宋体" w:cs="Arial"/>
          <w:b/>
          <w:bCs/>
          <w:sz w:val="28"/>
          <w:szCs w:val="28"/>
        </w:rPr>
      </w:pPr>
      <w:bookmarkStart w:id="160" w:name="_Toc31631"/>
      <w:bookmarkStart w:id="161" w:name="_Toc86655830"/>
      <w:bookmarkStart w:id="162" w:name="_Hlk169032441"/>
      <w:r>
        <w:rPr>
          <w:rFonts w:hAnsi="宋体" w:eastAsia="宋体" w:cs="Arial"/>
          <w:b/>
          <w:bCs/>
          <w:sz w:val="28"/>
          <w:szCs w:val="28"/>
        </w:rPr>
        <w:t>第</w:t>
      </w:r>
      <w:r>
        <w:rPr>
          <w:rFonts w:hint="eastAsia" w:hAnsi="宋体" w:eastAsia="宋体" w:cs="Arial"/>
          <w:b/>
          <w:bCs/>
          <w:sz w:val="28"/>
          <w:szCs w:val="28"/>
        </w:rPr>
        <w:t>二十</w:t>
      </w:r>
      <w:r>
        <w:rPr>
          <w:rFonts w:hAnsi="宋体" w:eastAsia="宋体" w:cs="Arial"/>
          <w:b/>
          <w:bCs/>
          <w:sz w:val="28"/>
          <w:szCs w:val="28"/>
        </w:rPr>
        <w:t>部分  基金合同的内容摘要</w:t>
      </w:r>
      <w:bookmarkEnd w:id="158"/>
      <w:bookmarkEnd w:id="159"/>
      <w:bookmarkEnd w:id="160"/>
      <w:bookmarkEnd w:id="161"/>
    </w:p>
    <w:p w14:paraId="106141F6">
      <w:pPr>
        <w:adjustRightInd w:val="0"/>
        <w:snapToGrid w:val="0"/>
        <w:spacing w:line="360" w:lineRule="auto"/>
        <w:ind w:firstLine="422" w:firstLineChars="200"/>
        <w:rPr>
          <w:rFonts w:hint="eastAsia" w:ascii="宋体" w:hAnsi="宋体"/>
          <w:b/>
          <w:color w:val="0C0C0C"/>
          <w:szCs w:val="21"/>
        </w:rPr>
      </w:pPr>
      <w:bookmarkStart w:id="163" w:name="_Toc214873614"/>
      <w:r>
        <w:rPr>
          <w:rFonts w:hint="eastAsia" w:ascii="宋体" w:hAnsi="宋体"/>
          <w:b/>
          <w:color w:val="0C0C0C"/>
          <w:szCs w:val="21"/>
        </w:rPr>
        <w:t>一、基金份额持有人、基金管理人和基金托管人的权利、义务</w:t>
      </w:r>
    </w:p>
    <w:p w14:paraId="0AC1822A">
      <w:pPr>
        <w:adjustRightInd w:val="0"/>
        <w:snapToGrid w:val="0"/>
        <w:spacing w:line="360" w:lineRule="auto"/>
        <w:ind w:firstLine="420" w:firstLineChars="200"/>
        <w:rPr>
          <w:rFonts w:hint="eastAsia" w:ascii="宋体" w:hAnsi="宋体"/>
          <w:color w:val="0C0C0C"/>
          <w:szCs w:val="21"/>
        </w:rPr>
      </w:pPr>
      <w:bookmarkStart w:id="164" w:name="OLE_LINK46"/>
      <w:bookmarkStart w:id="165" w:name="OLE_LINK45"/>
      <w:r>
        <w:rPr>
          <w:rFonts w:hint="eastAsia" w:ascii="宋体" w:hAnsi="宋体"/>
          <w:color w:val="0C0C0C"/>
          <w:szCs w:val="21"/>
        </w:rPr>
        <w:t>（一）</w:t>
      </w:r>
      <w:bookmarkStart w:id="166" w:name="OLE_LINK41"/>
      <w:bookmarkStart w:id="167" w:name="OLE_LINK42"/>
      <w:r>
        <w:rPr>
          <w:rFonts w:hint="eastAsia" w:ascii="宋体" w:hAnsi="宋体"/>
          <w:color w:val="0C0C0C"/>
          <w:szCs w:val="21"/>
        </w:rPr>
        <w:t>基金份额持有人的权利与义务</w:t>
      </w:r>
      <w:bookmarkEnd w:id="166"/>
      <w:bookmarkEnd w:id="167"/>
    </w:p>
    <w:p w14:paraId="3C961EB2">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CEE717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每份基金份额具有同等的合法权益。</w:t>
      </w:r>
    </w:p>
    <w:p w14:paraId="1B84665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1、根据《基金法》、《运作办法》及其他有关规定，基金份额持有人的权利包括但不限于：</w:t>
      </w:r>
    </w:p>
    <w:p w14:paraId="5D019AB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（1）分享基金财产收益；</w:t>
      </w:r>
    </w:p>
    <w:p w14:paraId="243CB23D">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（2）参与分配清算后的剩余基金财产；</w:t>
      </w:r>
    </w:p>
    <w:p w14:paraId="738272A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（3）依法转让或者申请赎回其持有的基金份额；</w:t>
      </w:r>
    </w:p>
    <w:p w14:paraId="629BCCD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（4）按照规定要求召开基金份额持有人大会或者召集基金份额持有人大会；</w:t>
      </w:r>
    </w:p>
    <w:p w14:paraId="03CDB1F9">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（5）出席或者委派代表出席基金份额持有人大会，对基金份额持有人大会审议事项行使表决权；</w:t>
      </w:r>
    </w:p>
    <w:p w14:paraId="337941D5">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（6）查阅或者复制公开披露的基金信息资料；</w:t>
      </w:r>
    </w:p>
    <w:p w14:paraId="6A05A651">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（7）监督基金管理人的投资运作；</w:t>
      </w:r>
    </w:p>
    <w:p w14:paraId="4E6F1FC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（8）对基金管理人、基金托管人、基金服务机构损害其合法权益的行为依法提起诉讼或仲裁；</w:t>
      </w:r>
    </w:p>
    <w:p w14:paraId="508DD27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（9）法律法规及中国证监会规定的和《基金合同》约定的其他权利。</w:t>
      </w:r>
    </w:p>
    <w:p w14:paraId="3D2363A7">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2、根据《基金法》、《运作办法》及其他有关规定，基金份额持有人的义务包括但不限于：</w:t>
      </w:r>
    </w:p>
    <w:p w14:paraId="16327411">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（1）认真阅读并遵守《基金合同》、招募说明书及基金产品资料概要等信息披露文件；</w:t>
      </w:r>
    </w:p>
    <w:p w14:paraId="5B79C4A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（2）了解所投资基金产品，了解自身风险承受能力，自主判断基金的投资价值，自主做出投资决策，自行承担投资风险；</w:t>
      </w:r>
    </w:p>
    <w:p w14:paraId="6C2D2305">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（3）关注基金信息披露，及时行使权利和履行义务；</w:t>
      </w:r>
    </w:p>
    <w:p w14:paraId="596882E4">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（4）交纳基金认购款项和认购股票、申购对价及法律法规和《基金合同》所规定的费用；</w:t>
      </w:r>
    </w:p>
    <w:p w14:paraId="0C3B8681">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（5）在其持有的基金份额范围内，承担基金亏损或者《基金合同》终止的有限责任；</w:t>
      </w:r>
    </w:p>
    <w:p w14:paraId="0692C4FB">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（6）不从事任何有损基金及其他《基金合同》当事人合法权益的活动；</w:t>
      </w:r>
    </w:p>
    <w:p w14:paraId="27A89C8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（7）执行生效的基金份额持有人大会的决议；</w:t>
      </w:r>
    </w:p>
    <w:p w14:paraId="5C216448">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（8）返还在基金交易过程中因任何原因获得的不当得利；</w:t>
      </w:r>
    </w:p>
    <w:p w14:paraId="3C37C899">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（9）法律法规及中国证监会规定的和《基金合同》约定的其他义务。</w:t>
      </w:r>
    </w:p>
    <w:p w14:paraId="0665ED28">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（二）基金管理人的权利与义务</w:t>
      </w:r>
    </w:p>
    <w:p w14:paraId="7F094721">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1、根据《基金法》、《运作办法》及其他有关规定，基金管理人的权利包括但不限于：</w:t>
      </w:r>
    </w:p>
    <w:p w14:paraId="514720A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（1）依法募集资金；</w:t>
      </w:r>
    </w:p>
    <w:p w14:paraId="0461A95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（2）自《基金合同》生效之日起，根据法律法规和《基金合同》独立运用并管理基金财产；</w:t>
      </w:r>
    </w:p>
    <w:p w14:paraId="4A8A04B5">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（3）依照《基金合同》收取基金管理费以及法律法规规定或中国证监会批准的其他费用；</w:t>
      </w:r>
    </w:p>
    <w:p w14:paraId="2E5621F4">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（4）销售基金份额；</w:t>
      </w:r>
    </w:p>
    <w:p w14:paraId="50E6020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（5）按照规定召集基金份额持有人大会；</w:t>
      </w:r>
    </w:p>
    <w:p w14:paraId="242EF8F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6）依据《基金合同》及有关法律规定监督基金托管人，如认为基金托管人违反了《基金合同》及国家有关法律规定，应通知基金托管人并呈报中国证监会和其他监管部门，并采取必要措施保护基金投资者的利益；</w:t>
      </w:r>
    </w:p>
    <w:p w14:paraId="17B7EB28">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（7）在基金托管人更换时，提名新的基金托管人；</w:t>
      </w:r>
    </w:p>
    <w:p w14:paraId="6E6FE88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 xml:space="preserve">（8）选择、更换基金销售机构，对基金销售机构的相关行为进行监督和处理； </w:t>
      </w:r>
    </w:p>
    <w:p w14:paraId="493E029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 xml:space="preserve">（9）担任或委托其他符合条件的机构担任基金登记机构办理基金登记业务并获得《基金合同》规定的费用； </w:t>
      </w:r>
    </w:p>
    <w:p w14:paraId="3BAA4F1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（10）依据《基金合同》及有关法律规定决定基金收益的分配方案；</w:t>
      </w:r>
      <w:r>
        <w:rPr>
          <w:rFonts w:hint="eastAsia" w:ascii="宋体" w:hAnsi="宋体"/>
          <w:color w:val="0C0C0C"/>
          <w:szCs w:val="21"/>
        </w:rPr>
        <w:tab/>
      </w:r>
    </w:p>
    <w:p w14:paraId="019355C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 xml:space="preserve">（11）在《基金合同》约定的范围内，拒绝或暂停受理申购与赎回申请； </w:t>
      </w:r>
    </w:p>
    <w:p w14:paraId="312629DD">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（12）依照法律法规为基金的利益对被投资公司行使股东权利，为基金的利益行使因基金财产投资于证券所产生的权利；</w:t>
      </w:r>
    </w:p>
    <w:p w14:paraId="0731AB8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（13）在法律法规允许的前提下，为基金的利益依法为基金进行融资和转融通证券出借业务；</w:t>
      </w:r>
    </w:p>
    <w:p w14:paraId="1A1A8C8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（14）以基金管理人的名义，代表基金份额持有人的利益行使诉讼权利或者实施其他法律行为；</w:t>
      </w:r>
      <w:r>
        <w:rPr>
          <w:rFonts w:hint="eastAsia" w:ascii="宋体" w:hAnsi="宋体"/>
          <w:color w:val="0C0C0C"/>
          <w:szCs w:val="21"/>
        </w:rPr>
        <w:tab/>
      </w:r>
    </w:p>
    <w:p w14:paraId="52DEADC7">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（15）选择、更换律师事务所、会计师事务所、证券、期货经纪商或其他为基金提供服务的外部机构；</w:t>
      </w:r>
      <w:r>
        <w:rPr>
          <w:rFonts w:hint="eastAsia" w:ascii="宋体" w:hAnsi="宋体"/>
          <w:color w:val="0C0C0C"/>
          <w:szCs w:val="21"/>
        </w:rPr>
        <w:tab/>
      </w:r>
    </w:p>
    <w:p w14:paraId="1E41426B">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（16）在符合有关法律、法规的前提下，制订和调整有关基金认购、申购、赎回、非交易过户等业务规则；</w:t>
      </w:r>
    </w:p>
    <w:p w14:paraId="772130C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（17）法律法规及中国证监会规定的和《基金合同》约定的其他权利。</w:t>
      </w:r>
    </w:p>
    <w:p w14:paraId="2B84B4D4">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2、根据《基金法》、《运作办法》及其他有关规定，基金管理人的义务包括但不限于：</w:t>
      </w:r>
    </w:p>
    <w:p w14:paraId="29D6BC27">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（1）依法募集资金，办理或者委托经中国证监会认定的其他机构代为办理基金份额的发售、申购、赎回和登记事宜；</w:t>
      </w:r>
    </w:p>
    <w:p w14:paraId="5DCF6D11">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（2）办理基金备案手续；</w:t>
      </w:r>
    </w:p>
    <w:p w14:paraId="79AC93AD">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（3）自《基金合同》生效之日起，以诚实信用、谨慎勤勉的原则管理和运用基金财产；</w:t>
      </w:r>
    </w:p>
    <w:p w14:paraId="5D918CF4">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（4）配备足够的具有专业资格的人员进行基金投资分析、决策，以专业化的经营方式管理和运作基金财产；</w:t>
      </w:r>
    </w:p>
    <w:p w14:paraId="6125E7AA">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（5）建立健全内部风险控制、监察与稽核、财务管理及人事管理等制度，保证所管理的基金财产和基金管理人的财产相互独立，对所管理的不同基金分别管理，分别记账，进行证券投资；</w:t>
      </w:r>
    </w:p>
    <w:p w14:paraId="34A66FDB">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（6）除依据《基金法》、《基金合同》及其他有关规定外，不得利用基金财产为自己及任何第三人谋取利益，不得委托第三人运作基金财产；</w:t>
      </w:r>
    </w:p>
    <w:p w14:paraId="7ED08E62">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（7）依法接受基金托管人的监督；</w:t>
      </w:r>
    </w:p>
    <w:p w14:paraId="62AC9E9D">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47C7CA2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（9）进行基金会计核算并编制基金财务会计报告；</w:t>
      </w:r>
    </w:p>
    <w:p w14:paraId="4453ED5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（10）编制季度报告、中期报告和年度报告；</w:t>
      </w:r>
    </w:p>
    <w:p w14:paraId="092631A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（11）严格按照《基金法》、《基金合同》及其他有关规定，履行信息披露及报告义务；</w:t>
      </w:r>
    </w:p>
    <w:p w14:paraId="319A7DE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614384FF">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（13）按《基金合同》的约定确定基金收益分配方案，及时向基金份额持有人分配基金收益；</w:t>
      </w:r>
    </w:p>
    <w:p w14:paraId="6C3FFB4F">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（14）按规定受理申购与赎回申请，及时、足额支付赎回对价；</w:t>
      </w:r>
    </w:p>
    <w:p w14:paraId="26F58B12">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（15）依据《基金法》、《基金合同》及其他有关规定召集基金份额持有人大会或配合基金托管人、基金份额持有人依法召集基金份额持有人大会；</w:t>
      </w:r>
    </w:p>
    <w:p w14:paraId="7EB14EA5">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（16）按规定保存基金财产管理业务活动的会计账册、报表、记录和其他相关资料，保存期限不低于法定最低期限；</w:t>
      </w:r>
    </w:p>
    <w:p w14:paraId="2662E60C">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8A06A5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（18）组织并参加基金财产清算小组，参与基金财产的保管、清理、估价、变现和分配；</w:t>
      </w:r>
    </w:p>
    <w:p w14:paraId="0FB72D23">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（19）面临解散、依法被撤销或者被依法宣告破产时，及时报告中国证监会和银行业监督管理机构并通知基金托管人；</w:t>
      </w:r>
    </w:p>
    <w:p w14:paraId="03B2A9DE">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（20）因违反《基金合同》导致基金财产的损失或损害基金份额持有人合法权益时，应当承担赔偿责任，其赔偿责任不因其退任而免除；</w:t>
      </w:r>
    </w:p>
    <w:p w14:paraId="09B777C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（21）监督基金托管人按法律法规和《基金合同》规定履行自己的义务，基金托管人违反《基金合同》造成基金财产损失时，基金管理人应为基金份额持有人利益向基金托管人追偿；</w:t>
      </w:r>
    </w:p>
    <w:p w14:paraId="6935447F">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（22）当基金管理人将其义务委托第三方处理时，应当对第三方处理有关基金事务的行为承担责任；</w:t>
      </w:r>
    </w:p>
    <w:p w14:paraId="39F632EE">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（23）以基金管理人名义，代表基金份额持有人利益行使诉讼权利或实施其他法律行为；</w:t>
      </w:r>
    </w:p>
    <w:p w14:paraId="440F0C1D">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31A8C559">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（25）执行生效的基金份额持有人大会的决议；</w:t>
      </w:r>
    </w:p>
    <w:p w14:paraId="3ED86E00">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（26）建立并保存基金份额持有人名册；</w:t>
      </w:r>
    </w:p>
    <w:p w14:paraId="22845616">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（27）法律法规及中国证监会规定的和《基金合同》约定的其他义务。</w:t>
      </w:r>
    </w:p>
    <w:p w14:paraId="1F12D509">
      <w:pPr>
        <w:adjustRightInd w:val="0"/>
        <w:snapToGrid w:val="0"/>
        <w:spacing w:line="360" w:lineRule="auto"/>
        <w:ind w:firstLine="420" w:firstLineChars="200"/>
        <w:rPr>
          <w:rFonts w:hint="eastAsia" w:ascii="宋体" w:hAnsi="宋体"/>
          <w:color w:val="0C0C0C"/>
          <w:szCs w:val="21"/>
        </w:rPr>
      </w:pPr>
      <w:r>
        <w:rPr>
          <w:rFonts w:hint="eastAsia" w:ascii="宋体" w:hAnsi="宋体"/>
          <w:color w:val="0C0C0C"/>
          <w:szCs w:val="21"/>
        </w:rPr>
        <w:t>（三）</w:t>
      </w:r>
      <w:r>
        <w:rPr>
          <w:rFonts w:hint="eastAsia" w:ascii="宋体" w:hAnsi="宋体"/>
          <w:color w:val="0C0C0C"/>
          <w:szCs w:val="21"/>
        </w:rPr>
        <w:tab/>
      </w:r>
      <w:r>
        <w:rPr>
          <w:rFonts w:hint="eastAsia" w:ascii="宋体" w:hAnsi="宋体"/>
          <w:color w:val="0C0C0C"/>
          <w:szCs w:val="21"/>
        </w:rPr>
        <w:t>基金托管人的权利与义务</w:t>
      </w:r>
    </w:p>
    <w:bookmarkEnd w:id="164"/>
    <w:bookmarkEnd w:id="165"/>
    <w:p w14:paraId="05FC6D1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1、根据《基金法》、《运作办法》及其他有关规定，基金托管人的权利包括但不限于：</w:t>
      </w:r>
    </w:p>
    <w:p w14:paraId="261465F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（1）自《基金合同》生效之日起，依法律法规和《基金合同》的规定安全保管基金财产；</w:t>
      </w:r>
    </w:p>
    <w:p w14:paraId="62AC189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（2）依《基金合同》约定及时、足额获得基金托管费以及法律法规规定或监管部门批准的其他费用；</w:t>
      </w:r>
    </w:p>
    <w:p w14:paraId="7660DFD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监督基金管理人对本基金的投资运作，如发现基金管理人有违反《基金合同》及国家法律法规行为，对基金财产、其他当事人的利益造成重大损失的情形，有权呈报中国证监会，并有权采取必要措施保护基金投资者的利益；</w:t>
      </w:r>
    </w:p>
    <w:p w14:paraId="72B7575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（4）根据相关市场规则，协助基金管理人为基金开设资金账户、证券账户等投资所需账户，根据基金管理人的投资指令，及时办理清算、交割事宜；</w:t>
      </w:r>
    </w:p>
    <w:p w14:paraId="3CC50BE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（5）提议召开或召集基金份额持有人大会；</w:t>
      </w:r>
    </w:p>
    <w:p w14:paraId="0AFFA7E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（6）在基金管理人更换时，提名新的基金管理人；</w:t>
      </w:r>
    </w:p>
    <w:p w14:paraId="61FDF80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（7）法律法规及中国证监会规定的和《基金合同》约定的其他权利。</w:t>
      </w:r>
    </w:p>
    <w:p w14:paraId="600D818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2、根据《基金法》、《运作办法》及其他有关规定，基金托管人的义务包括但不限于：</w:t>
      </w:r>
    </w:p>
    <w:p w14:paraId="6015501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（1）以诚实信用、勤勉尽责的原则持有并安全保管基金财产，但对于已根据基金管理人指令划转出托管账户的财产，以及处于基金托管人实际控制之外的财产不承担保管责任；</w:t>
      </w:r>
    </w:p>
    <w:p w14:paraId="51ABA2D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（2）设立专门的基金托管部门，具有符合要求的营业场所，配备足够的、合格的熟悉基金托管业务的专职人员，负责基金财产托管事宜；</w:t>
      </w:r>
    </w:p>
    <w:p w14:paraId="07E4E74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2378C8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（4）除依据《基金法》、《基金合同》及其他有关规定外，不得利用基金财产为自己及任何第三人谋取非法利益，不得委托第三人托管基金财产；</w:t>
      </w:r>
    </w:p>
    <w:p w14:paraId="58FB759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（5）保管由基金管理人代表基金签订的与基金有关的重大合同及有关凭证；</w:t>
      </w:r>
    </w:p>
    <w:p w14:paraId="4ED8931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（6）按规定协助基金管理人开设基金财产的资金账户、证券账户等投资所需账户，按照《基金合同》的约定，根据基金管理人的投资指令，及时办理清算、交割事宜；</w:t>
      </w:r>
    </w:p>
    <w:p w14:paraId="044D9CD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7）保守基金商业秘密，除《基金法》、《基金合同》及其他有关规定另有规定外，在基金信息公开披露前予以保密，不得向他人泄露，但根据法律法规规定、因监管机构、司法机关等有权机关或任一方上市的证券交易所要求，或因审计、法律等外部专业顾问提供服务需要提供的情况除外；</w:t>
      </w:r>
    </w:p>
    <w:p w14:paraId="11BCFD1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（8）复核、审查基金管理人计算的基金资产净值、基金份额净值、基金份额申购、赎回对价；</w:t>
      </w:r>
    </w:p>
    <w:p w14:paraId="023EA98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（9）办理与基金托管业务活动有关的信息披露事项；</w:t>
      </w:r>
    </w:p>
    <w:p w14:paraId="60F6354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2D7A61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（11）保存基金托管业务活动的记录、账册、报表和其他相关资料，保存期限不低于法定最低期限；</w:t>
      </w:r>
    </w:p>
    <w:p w14:paraId="4BF704B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（12）从基金管理人或其委托的登记机构处接收并保存基金份额持有人名册；</w:t>
      </w:r>
    </w:p>
    <w:p w14:paraId="51C68B6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（13）按规定制作相关账册并与基金管理人核对；</w:t>
      </w:r>
    </w:p>
    <w:p w14:paraId="63483F5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（14）依据基金管理人的指令或有关规定向基金份额持有人支付基金收益和赎回对价的现金部分；</w:t>
      </w:r>
    </w:p>
    <w:p w14:paraId="6FA3884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（15）依据《基金法》、《基金合同》及其他有关规定，召集基金份额持有人大会或配合基金管理人、基金份额持有人依法召集基金份额持有人大会；</w:t>
      </w:r>
    </w:p>
    <w:p w14:paraId="03FDBC5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（16）有权按照《基金合同》、《托管协议》的约定监督基金管理人的投资运作，基金托管人不因提供监督服务而对基金管理人的违法违规投资等承担责任；</w:t>
      </w:r>
    </w:p>
    <w:p w14:paraId="57B016C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（17）参加基金财产清算小组，参与基金财产的保管、清理、估价、变现和分配；</w:t>
      </w:r>
    </w:p>
    <w:p w14:paraId="5CB02B8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（18）面临解散、依法被撤销或者被依法宣告破产时，及时报告中国证监会，并通知基金管理人；</w:t>
      </w:r>
    </w:p>
    <w:p w14:paraId="48116AEE">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（19）因基金托管人过错违反《基金合同》导致基金财产损失时，应对基金财产的直接经济损失承担赔偿责任，其赔偿责任不因其退任而免除；</w:t>
      </w:r>
    </w:p>
    <w:p w14:paraId="00B175A9">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（20）有权按《基金合同》、《托管协议》的约定监督基金管理人的投资运作，基金管理人因违反《基金合同》、《托管协议》造成基金财产损失时，有权为基金份额持有人利益向基金管理人追偿；</w:t>
      </w:r>
    </w:p>
    <w:p w14:paraId="44E4420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（21）执行生效的基金份额持有人大会的决议；</w:t>
      </w:r>
    </w:p>
    <w:p w14:paraId="623B6A6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（22）法律法规及中国证监会规定的和《基金合同》、《托管协议》约定的其他义务。</w:t>
      </w:r>
    </w:p>
    <w:p w14:paraId="7C215453">
      <w:pPr>
        <w:adjustRightInd w:val="0"/>
        <w:snapToGrid w:val="0"/>
        <w:spacing w:line="360" w:lineRule="auto"/>
        <w:ind w:firstLine="422" w:firstLineChars="200"/>
        <w:rPr>
          <w:rFonts w:hint="eastAsia" w:ascii="宋体" w:hAnsi="宋体"/>
          <w:b/>
          <w:color w:val="0C0C0C"/>
          <w:szCs w:val="21"/>
        </w:rPr>
      </w:pPr>
      <w:r>
        <w:rPr>
          <w:rFonts w:hint="eastAsia" w:ascii="宋体" w:hAnsi="宋体"/>
          <w:b/>
          <w:color w:val="0C0C0C"/>
          <w:szCs w:val="21"/>
        </w:rPr>
        <w:t>二、基金份额持有人大会召集、议事及表决的程序和规则</w:t>
      </w:r>
    </w:p>
    <w:p w14:paraId="63C3DD1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基金份额持有人大会由基金份额持有人组成，基金份额持有人的合法授权代表有权代表基金份额持有人出席会议并表决。基金份额持有人持有的每一基金份额拥有平等的投票权。</w:t>
      </w:r>
    </w:p>
    <w:p w14:paraId="49084AB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1D2F46F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6B442C8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6F939EF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法律法规或监管机构对基金份额持有人大会另有规定的，从其规定。</w:t>
      </w:r>
    </w:p>
    <w:p w14:paraId="7344928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本基金份额持有人大会不设日常机构。</w:t>
      </w:r>
    </w:p>
    <w:p w14:paraId="73EC702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（一）召开事由</w:t>
      </w:r>
    </w:p>
    <w:p w14:paraId="0E436BB9">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1、除法律法规、中国证监会和基金合同另有规定外，当出现或需要决定下列事由之一的，应当召开基金份额持有人大会：</w:t>
      </w:r>
    </w:p>
    <w:p w14:paraId="08523EC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（1）终止《基金合同》；</w:t>
      </w:r>
    </w:p>
    <w:p w14:paraId="14355D7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（2）更换基金管理人；</w:t>
      </w:r>
    </w:p>
    <w:p w14:paraId="248ED4A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（3）更换基金托管人；</w:t>
      </w:r>
    </w:p>
    <w:p w14:paraId="2D53F69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（4）转换基金运作方式；</w:t>
      </w:r>
    </w:p>
    <w:p w14:paraId="6198209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（5）调整基金管理人、基金托管人的报酬标准；</w:t>
      </w:r>
    </w:p>
    <w:p w14:paraId="21593E4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（6）变更基金类别；</w:t>
      </w:r>
    </w:p>
    <w:p w14:paraId="3FD5000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（7）本基金与其他基金的合并；</w:t>
      </w:r>
    </w:p>
    <w:p w14:paraId="444A16A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（8）变更基金投资目标、范围或策略；</w:t>
      </w:r>
    </w:p>
    <w:p w14:paraId="67FCEDF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（9）变更基金份额持有人大会程序；</w:t>
      </w:r>
    </w:p>
    <w:p w14:paraId="36D3FB34">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（10）基金管理人或基金托管人要求召开基金份额持有人大会；</w:t>
      </w:r>
    </w:p>
    <w:p w14:paraId="039A714E">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（11）单独或合计持有本基金总份额10%以上（含10%）基金份额的基金份额持有人（以基金管理人收到提议当日的基金份额计算，下同）就同一事项书面要求召开基金份额持有人大会；</w:t>
      </w:r>
    </w:p>
    <w:p w14:paraId="2ADA4604">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（12）对基金合同当事人权利和义务产生重大影响的其他事项；</w:t>
      </w:r>
    </w:p>
    <w:p w14:paraId="06788DF4">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（13）终止基金上市，但因基金不再具备上市条件而被深圳证券交易所终止上市的情形除外；</w:t>
      </w:r>
    </w:p>
    <w:p w14:paraId="59BA8DC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（14）法律法规、《基金合同》或中国证监会规定的其他应当召开基金份额持有人大会的事项。</w:t>
      </w:r>
    </w:p>
    <w:p w14:paraId="2876D01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2、在法律法规规定和《基金合同》约定的范围内且对基金份额持有人利益无实质性不利影响的前提下，以下情况可由基金管理人和基金托管人协商后修改，不需召开基金份额持有人大会：</w:t>
      </w:r>
    </w:p>
    <w:p w14:paraId="412DC02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（1）法律法规要求增加的基金费用的收取；</w:t>
      </w:r>
    </w:p>
    <w:p w14:paraId="308884D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（2）调整本基金的申购费率、变更收费方式或调整基金份额类别设置、对基金份额分类办法及规则进行调整；</w:t>
      </w:r>
    </w:p>
    <w:p w14:paraId="311A9C7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（3）因相应的法律法规、深圳证券交易所或者登记机构的相关业务规则发生变动而应当对《基金合同》进行修改；</w:t>
      </w:r>
    </w:p>
    <w:p w14:paraId="22822AC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（4）对《基金合同》的修改对基金份额持有人利益无实质性不利影响或修改不涉及《基金合同》当事人权利义务关系发生重大变化；</w:t>
      </w:r>
    </w:p>
    <w:p w14:paraId="509BA68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（5）基金管理人、相关证券交易所和登记机构等调整有关基金申购、赎回、交易、转托管、非交易过户等业务的规则（包括申购赎回清单的调整、开放时间的调整等）；</w:t>
      </w:r>
    </w:p>
    <w:p w14:paraId="51C62DC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（6）经履行相关程序后，基金推出新业务或服务；</w:t>
      </w:r>
    </w:p>
    <w:p w14:paraId="57BDCE9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（7）调整基金的申购赎回方式及申购对价、赎回对价组成；调整申购赎回清单的内容，调整申购赎回清单计算和公告时间或频率；</w:t>
      </w:r>
    </w:p>
    <w:p w14:paraId="261EB38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（8）按照法律法规和《基金合同》规定不需召开基金份额持有人大会的其他情形。</w:t>
      </w:r>
    </w:p>
    <w:p w14:paraId="3CEFB18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（二）会议召集人及召集方式</w:t>
      </w:r>
    </w:p>
    <w:p w14:paraId="1A9AB8C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1、除法律法规规定或《基金合同》另有约定外，基金份额持有人大会由基金管理人召集。</w:t>
      </w:r>
    </w:p>
    <w:p w14:paraId="08085FC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2、基金管理人未按规定召集或不能召集时，由基金托管人召集。</w:t>
      </w:r>
    </w:p>
    <w:p w14:paraId="7745DF9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8722419">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1F79993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253F15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6、基金份额持有人会议的召集人负责选择确定开会时间、地点、方式和权益登记日。</w:t>
      </w:r>
    </w:p>
    <w:p w14:paraId="391D186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（三）召开基金份额持有人大会的通知时间、通知内容、通知方式</w:t>
      </w:r>
    </w:p>
    <w:p w14:paraId="7C5FB049">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1、召开基金份额持有人大会，召集人应于会议召开前30日，在规定媒介公告。基金份额持有人大会通知应至少载明以下内容：</w:t>
      </w:r>
    </w:p>
    <w:p w14:paraId="014937C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（1）会议召开的时间、地点和会议形式；</w:t>
      </w:r>
    </w:p>
    <w:p w14:paraId="1BA86EC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（2）会议拟审议的事项、议事程序和表决方式；</w:t>
      </w:r>
    </w:p>
    <w:p w14:paraId="08C3A3F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（3）有权出席基金份额持有人大会的基金份额持有人的权益登记日；</w:t>
      </w:r>
    </w:p>
    <w:p w14:paraId="17594E1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（4）授权委托证明的内容要求（包括但不限于代理人身份，代理权限和代理有效期限等）、送达时间和地点；</w:t>
      </w:r>
    </w:p>
    <w:p w14:paraId="001B57B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（5）会务常设联系人姓名及联系电话；</w:t>
      </w:r>
    </w:p>
    <w:p w14:paraId="5EE387A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（6）出席会议者必须准备的文件和必须履行的手续；</w:t>
      </w:r>
    </w:p>
    <w:p w14:paraId="0F8D6D1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（7）召集人需要通知的其他事项。</w:t>
      </w:r>
    </w:p>
    <w:p w14:paraId="7A0B7F2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5C11259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187DCA4">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（四）基金份额持有人出席会议的方式</w:t>
      </w:r>
    </w:p>
    <w:p w14:paraId="5C69625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基金份额持有人大会可通过现场开会方式、通讯开会方式或法律法规、监管机构允许的其他方式召开，会议的召开方式由会议召集人确定。</w:t>
      </w:r>
    </w:p>
    <w:p w14:paraId="610EFF3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784D2CB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4FD7D7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5D4A32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51B4E95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在同时符合以下条件时，通讯开会的方式视为有效：</w:t>
      </w:r>
    </w:p>
    <w:p w14:paraId="4CB5F19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（1）会议召集人按《基金合同》约定公布会议通知后，在2个工作日内连续公布相关提示性公告；</w:t>
      </w:r>
    </w:p>
    <w:p w14:paraId="474F8DD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B8205F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（3）本人直接出具表决意见或授权他人代表出具表决意见的，基金份额持有人所持有的基金份额不小于在权益登记日基金总份额的二分之一（含二分之一）；</w:t>
      </w:r>
    </w:p>
    <w:p w14:paraId="14F0BBC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613DCDD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DDFDA5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7D32AA6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（五）议事内容与程序</w:t>
      </w:r>
    </w:p>
    <w:p w14:paraId="6133D2E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1、议事内容及提案权</w:t>
      </w:r>
    </w:p>
    <w:p w14:paraId="0A5CD2F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82112F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基金份额持有人大会的召集人发出召集会议的通知后，对原有提案的修改应当在基金份额持有人大会召开前及时公告。</w:t>
      </w:r>
    </w:p>
    <w:p w14:paraId="3A89FCA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基金份额持有人大会不得对未事先公告的议事内容进行表决。</w:t>
      </w:r>
    </w:p>
    <w:p w14:paraId="63305669">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2、议事程序</w:t>
      </w:r>
    </w:p>
    <w:p w14:paraId="14D06A2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（1）现场开会</w:t>
      </w:r>
    </w:p>
    <w:p w14:paraId="70903EC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62E503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会议召集人应当制作出席会议人员的签名册。签名册载明参加会议人员姓名（或单位名称）、身份证明文件号码、持有或代表有表决权的基金份额、委托人姓名（或单位名称）和联系方式等事项。</w:t>
      </w:r>
    </w:p>
    <w:p w14:paraId="17E6BF2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（2）通讯开会</w:t>
      </w:r>
    </w:p>
    <w:p w14:paraId="7C61064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在通讯开会的情况下，首先由召集人提前30日公布提案，在所通知的表决截止日期后2个工作日内在公证机关监督下由召集人统计全部有效表决，在公证机关监督下形成决议。</w:t>
      </w:r>
    </w:p>
    <w:p w14:paraId="371A57A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（六）表决</w:t>
      </w:r>
    </w:p>
    <w:p w14:paraId="13C0C89E">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基金份额持有人所持每份基金份额有一票表决权。</w:t>
      </w:r>
    </w:p>
    <w:p w14:paraId="422BC3F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基金份额持有人大会决议分为一般决议和特别决议：</w:t>
      </w:r>
    </w:p>
    <w:p w14:paraId="5D6F0333">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444A82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45B4E1A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基金份额持有人大会采取记名方式进行投票表决。</w:t>
      </w:r>
    </w:p>
    <w:p w14:paraId="2201D4FD">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4647D52">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基金份额持有人大会的各项提案或同一项提案内并列的各项议题应当分开审议、逐项表决。</w:t>
      </w:r>
    </w:p>
    <w:p w14:paraId="4625965F">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在上述规则的前提下，具体规则以召集人发布的基金份额持有人大会通知为准。</w:t>
      </w:r>
    </w:p>
    <w:p w14:paraId="32BCEB2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（七）计票</w:t>
      </w:r>
    </w:p>
    <w:p w14:paraId="400AE48E">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1、现场开会</w:t>
      </w:r>
    </w:p>
    <w:p w14:paraId="7EC0DD4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5ACA0D7">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（2）监票人应当在基金份额持有人表决后立即进行清点并由大会主持人当场公布计票结果。</w:t>
      </w:r>
    </w:p>
    <w:p w14:paraId="7A76A341">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AAC567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（4）计票过程应由公证机关予以公证，基金管理人或基金托管人拒不出席大会的，不影响计票的效力。</w:t>
      </w:r>
    </w:p>
    <w:p w14:paraId="7EEF91C5">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2、通讯开会</w:t>
      </w:r>
    </w:p>
    <w:p w14:paraId="5B46989C">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4E70FF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（八）生效与公告</w:t>
      </w:r>
    </w:p>
    <w:p w14:paraId="5733EE96">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基金份额持有人大会的决议，召集人应当自通过之日起5日内报中国证监会备案。</w:t>
      </w:r>
    </w:p>
    <w:p w14:paraId="12F97310">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基金份额持有人大会的决议自表决通过之日起生效。</w:t>
      </w:r>
    </w:p>
    <w:p w14:paraId="53FF4A1A">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基金份额持有人大会决议自生效之日起按规定在规定媒介上公告。如果采用通讯方式进行表决，在公告基金份额持有人大会决议时，必须将公证书全文、公证机构、公证员姓名等一同公告。</w:t>
      </w:r>
    </w:p>
    <w:p w14:paraId="5B7E0E18">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基金管理人、基金托管人和基金份额持有人应当执行生效的基金份额持有人大会的决议。生效的基金份额持有人大会决议对全体基金份额持有人、基金管理人、基金托管人均有约束力。</w:t>
      </w:r>
    </w:p>
    <w:p w14:paraId="26D73A3B">
      <w:pPr>
        <w:adjustRightInd w:val="0"/>
        <w:snapToGrid w:val="0"/>
        <w:spacing w:line="360" w:lineRule="auto"/>
        <w:ind w:firstLine="420" w:firstLineChars="200"/>
        <w:rPr>
          <w:rFonts w:hint="eastAsia" w:ascii="宋体" w:hAnsi="宋体"/>
          <w:bCs/>
          <w:color w:val="0C0C0C"/>
          <w:szCs w:val="21"/>
        </w:rPr>
      </w:pPr>
      <w:r>
        <w:rPr>
          <w:rFonts w:hint="eastAsia" w:ascii="宋体" w:hAnsi="宋体"/>
          <w:bCs/>
          <w:color w:val="0C0C0C"/>
          <w:szCs w:val="21"/>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p>
    <w:p w14:paraId="4A2EF5B6">
      <w:pPr>
        <w:adjustRightInd w:val="0"/>
        <w:snapToGrid w:val="0"/>
        <w:spacing w:line="360" w:lineRule="auto"/>
        <w:ind w:firstLine="422" w:firstLineChars="200"/>
        <w:rPr>
          <w:rFonts w:hint="eastAsia" w:ascii="宋体" w:hAnsi="宋体"/>
          <w:b/>
          <w:color w:val="0C0C0C"/>
          <w:szCs w:val="21"/>
        </w:rPr>
      </w:pPr>
      <w:r>
        <w:rPr>
          <w:rFonts w:hint="eastAsia" w:ascii="宋体" w:hAnsi="宋体"/>
          <w:b/>
          <w:color w:val="0C0C0C"/>
          <w:szCs w:val="21"/>
        </w:rPr>
        <w:t>三、基金合同的变更、终止与基金财产的清算</w:t>
      </w:r>
    </w:p>
    <w:p w14:paraId="3E1FB372">
      <w:pPr>
        <w:snapToGrid w:val="0"/>
        <w:spacing w:line="360" w:lineRule="auto"/>
        <w:ind w:firstLine="420" w:firstLineChars="200"/>
        <w:rPr>
          <w:rFonts w:hint="eastAsia" w:ascii="宋体" w:hAnsi="宋体" w:cs="宋体"/>
          <w:szCs w:val="21"/>
        </w:rPr>
      </w:pPr>
      <w:r>
        <w:rPr>
          <w:rFonts w:hint="eastAsia" w:ascii="宋体" w:hAnsi="宋体" w:cs="宋体"/>
          <w:szCs w:val="21"/>
        </w:rPr>
        <w:t>（一）《基金合同》的变更</w:t>
      </w:r>
    </w:p>
    <w:p w14:paraId="495F456B">
      <w:pPr>
        <w:snapToGrid w:val="0"/>
        <w:spacing w:line="360" w:lineRule="auto"/>
        <w:ind w:firstLine="420" w:firstLineChars="200"/>
        <w:rPr>
          <w:rFonts w:hint="eastAsia" w:ascii="宋体" w:hAnsi="宋体" w:cs="宋体"/>
          <w:szCs w:val="21"/>
        </w:rPr>
      </w:pPr>
      <w:r>
        <w:rPr>
          <w:rFonts w:hint="eastAsia" w:ascii="宋体" w:hAnsi="宋体" w:cs="宋体"/>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8B9651D">
      <w:pPr>
        <w:snapToGrid w:val="0"/>
        <w:spacing w:line="360" w:lineRule="auto"/>
        <w:ind w:firstLine="420" w:firstLineChars="200"/>
        <w:rPr>
          <w:rFonts w:hint="eastAsia" w:ascii="宋体" w:hAnsi="宋体" w:cs="宋体"/>
          <w:szCs w:val="21"/>
        </w:rPr>
      </w:pPr>
      <w:r>
        <w:rPr>
          <w:rFonts w:hint="eastAsia" w:ascii="宋体" w:hAnsi="宋体" w:cs="宋体"/>
          <w:szCs w:val="21"/>
        </w:rPr>
        <w:t>2、关于《基金合同》变更的基金份额持有人大会决议自生效后方可执行，自决议生效后按规定在规定媒介公告。</w:t>
      </w:r>
    </w:p>
    <w:p w14:paraId="3FB64AE3">
      <w:pPr>
        <w:snapToGrid w:val="0"/>
        <w:spacing w:line="360" w:lineRule="auto"/>
        <w:ind w:firstLine="420" w:firstLineChars="200"/>
        <w:rPr>
          <w:rFonts w:hint="eastAsia" w:ascii="宋体" w:hAnsi="宋体" w:cs="宋体"/>
          <w:szCs w:val="21"/>
        </w:rPr>
      </w:pPr>
      <w:r>
        <w:rPr>
          <w:rFonts w:hint="eastAsia" w:ascii="宋体" w:hAnsi="宋体" w:cs="宋体"/>
          <w:szCs w:val="21"/>
        </w:rPr>
        <w:t>（二）《基金合同》的终止事由</w:t>
      </w:r>
    </w:p>
    <w:p w14:paraId="65248430">
      <w:pPr>
        <w:snapToGrid w:val="0"/>
        <w:spacing w:line="360" w:lineRule="auto"/>
        <w:ind w:firstLine="420" w:firstLineChars="200"/>
        <w:rPr>
          <w:rFonts w:hint="eastAsia" w:ascii="宋体" w:hAnsi="宋体" w:cs="宋体"/>
          <w:szCs w:val="21"/>
        </w:rPr>
      </w:pPr>
      <w:r>
        <w:rPr>
          <w:rFonts w:hint="eastAsia" w:ascii="宋体" w:hAnsi="宋体" w:cs="宋体"/>
          <w:szCs w:val="21"/>
        </w:rPr>
        <w:t>有下列情形之一的，经履行相关程序后，《基金合同》应当终止：</w:t>
      </w:r>
    </w:p>
    <w:p w14:paraId="6B872717">
      <w:pPr>
        <w:snapToGrid w:val="0"/>
        <w:spacing w:line="360" w:lineRule="auto"/>
        <w:ind w:firstLine="420" w:firstLineChars="200"/>
        <w:rPr>
          <w:rFonts w:hint="eastAsia" w:ascii="宋体" w:hAnsi="宋体" w:cs="宋体"/>
          <w:szCs w:val="21"/>
        </w:rPr>
      </w:pPr>
      <w:r>
        <w:rPr>
          <w:rFonts w:hint="eastAsia" w:ascii="宋体" w:hAnsi="宋体" w:cs="宋体"/>
          <w:szCs w:val="21"/>
        </w:rPr>
        <w:t>1、基金份额持有人大会决定终止的；</w:t>
      </w:r>
    </w:p>
    <w:p w14:paraId="209A8891">
      <w:pPr>
        <w:snapToGrid w:val="0"/>
        <w:spacing w:line="360" w:lineRule="auto"/>
        <w:ind w:firstLine="420" w:firstLineChars="200"/>
        <w:rPr>
          <w:rFonts w:hint="eastAsia" w:ascii="宋体" w:hAnsi="宋体" w:cs="宋体"/>
          <w:szCs w:val="21"/>
        </w:rPr>
      </w:pPr>
      <w:r>
        <w:rPr>
          <w:rFonts w:hint="eastAsia" w:ascii="宋体" w:hAnsi="宋体" w:cs="宋体"/>
          <w:szCs w:val="21"/>
        </w:rPr>
        <w:t>2、基金管理人、基金托管人职责终止，在6个月内没有新基金管理人、新基金托管人承接的；</w:t>
      </w:r>
    </w:p>
    <w:p w14:paraId="476AE099">
      <w:pPr>
        <w:snapToGrid w:val="0"/>
        <w:spacing w:line="360" w:lineRule="auto"/>
        <w:ind w:firstLine="420" w:firstLineChars="200"/>
        <w:rPr>
          <w:rFonts w:hint="eastAsia" w:ascii="宋体" w:hAnsi="宋体" w:cs="宋体"/>
          <w:szCs w:val="21"/>
        </w:rPr>
      </w:pPr>
      <w:r>
        <w:rPr>
          <w:rFonts w:hint="eastAsia" w:ascii="宋体" w:hAnsi="宋体" w:cs="宋体"/>
          <w:szCs w:val="21"/>
        </w:rPr>
        <w:t>3、《基金合同》约定的其他情形；</w:t>
      </w:r>
    </w:p>
    <w:p w14:paraId="39DCD1B1">
      <w:pPr>
        <w:snapToGrid w:val="0"/>
        <w:spacing w:line="360" w:lineRule="auto"/>
        <w:ind w:firstLine="420" w:firstLineChars="200"/>
        <w:rPr>
          <w:rFonts w:hint="eastAsia" w:ascii="宋体" w:hAnsi="宋体" w:cs="宋体"/>
          <w:szCs w:val="21"/>
        </w:rPr>
      </w:pPr>
      <w:r>
        <w:rPr>
          <w:rFonts w:hint="eastAsia" w:ascii="宋体" w:hAnsi="宋体" w:cs="宋体"/>
          <w:szCs w:val="21"/>
        </w:rPr>
        <w:t>4、相关法律法规和中国证监会规定的其他情况。</w:t>
      </w:r>
    </w:p>
    <w:p w14:paraId="77E47715">
      <w:pPr>
        <w:snapToGrid w:val="0"/>
        <w:spacing w:line="360" w:lineRule="auto"/>
        <w:ind w:firstLine="420" w:firstLineChars="200"/>
        <w:rPr>
          <w:rFonts w:hint="eastAsia" w:ascii="宋体" w:hAnsi="宋体" w:cs="宋体"/>
          <w:szCs w:val="21"/>
        </w:rPr>
      </w:pPr>
      <w:r>
        <w:rPr>
          <w:rFonts w:hint="eastAsia" w:ascii="宋体" w:hAnsi="宋体" w:cs="宋体"/>
          <w:szCs w:val="21"/>
        </w:rPr>
        <w:t>（三）基金财产的清算</w:t>
      </w:r>
    </w:p>
    <w:p w14:paraId="36230993">
      <w:pPr>
        <w:snapToGrid w:val="0"/>
        <w:spacing w:line="360" w:lineRule="auto"/>
        <w:ind w:firstLine="420" w:firstLineChars="200"/>
        <w:rPr>
          <w:rFonts w:hint="eastAsia" w:ascii="宋体" w:hAnsi="宋体" w:cs="宋体"/>
          <w:szCs w:val="21"/>
        </w:rPr>
      </w:pPr>
      <w:r>
        <w:rPr>
          <w:rFonts w:hint="eastAsia" w:ascii="宋体" w:hAnsi="宋体" w:cs="宋体"/>
          <w:szCs w:val="21"/>
        </w:rPr>
        <w:t>1、基金财产清算小组：自出现《基金合同》终止事由之日起30个工作日内成立基金财产清算小组，基金管理人组织基金财产清算小组并在中国证监会的监督下进行基金清算。</w:t>
      </w:r>
    </w:p>
    <w:p w14:paraId="704691D9">
      <w:pPr>
        <w:snapToGrid w:val="0"/>
        <w:spacing w:line="360" w:lineRule="auto"/>
        <w:ind w:firstLine="420" w:firstLineChars="200"/>
        <w:rPr>
          <w:rFonts w:hint="eastAsia" w:ascii="宋体" w:hAnsi="宋体" w:cs="宋体"/>
          <w:szCs w:val="21"/>
        </w:rPr>
      </w:pPr>
      <w:r>
        <w:rPr>
          <w:rFonts w:hint="eastAsia" w:ascii="宋体" w:hAnsi="宋体" w:cs="宋体"/>
          <w:szCs w:val="21"/>
        </w:rPr>
        <w:t>2、在基金财产清算小组接管基金财产之前，基金管理人和基金托管人应按照《基金合同》和托管协议的规定继续履行保护基金财产安全的职责。</w:t>
      </w:r>
    </w:p>
    <w:p w14:paraId="30ADFC70">
      <w:pPr>
        <w:snapToGrid w:val="0"/>
        <w:spacing w:line="360" w:lineRule="auto"/>
        <w:ind w:firstLine="420" w:firstLineChars="200"/>
        <w:rPr>
          <w:rFonts w:hint="eastAsia" w:ascii="宋体" w:hAnsi="宋体" w:cs="宋体"/>
          <w:szCs w:val="21"/>
        </w:rPr>
      </w:pPr>
      <w:r>
        <w:rPr>
          <w:rFonts w:hint="eastAsia" w:ascii="宋体" w:hAnsi="宋体" w:cs="宋体"/>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CB324BC">
      <w:pPr>
        <w:snapToGrid w:val="0"/>
        <w:spacing w:line="360" w:lineRule="auto"/>
        <w:ind w:firstLine="420" w:firstLineChars="200"/>
        <w:rPr>
          <w:rFonts w:hint="eastAsia" w:ascii="宋体" w:hAnsi="宋体" w:cs="宋体"/>
          <w:szCs w:val="21"/>
        </w:rPr>
      </w:pPr>
      <w:r>
        <w:rPr>
          <w:rFonts w:hint="eastAsia" w:ascii="宋体" w:hAnsi="宋体" w:cs="宋体"/>
          <w:szCs w:val="21"/>
        </w:rPr>
        <w:t>4、基金财产清算小组职责：基金财产清算小组负责基金财产的保管、清理、估价、变现和分配。基金财产清算小组可以依法进行必要的民事活动。</w:t>
      </w:r>
    </w:p>
    <w:p w14:paraId="03CE6768">
      <w:pPr>
        <w:snapToGrid w:val="0"/>
        <w:spacing w:line="360" w:lineRule="auto"/>
        <w:ind w:firstLine="420" w:firstLineChars="200"/>
        <w:rPr>
          <w:rFonts w:hint="eastAsia" w:ascii="宋体" w:hAnsi="宋体" w:cs="宋体"/>
          <w:szCs w:val="21"/>
        </w:rPr>
      </w:pPr>
      <w:r>
        <w:rPr>
          <w:rFonts w:hint="eastAsia" w:ascii="宋体" w:hAnsi="宋体" w:cs="宋体"/>
          <w:szCs w:val="21"/>
        </w:rPr>
        <w:t>5、基金财产清算程序：</w:t>
      </w:r>
    </w:p>
    <w:p w14:paraId="1A76134B">
      <w:pPr>
        <w:snapToGrid w:val="0"/>
        <w:spacing w:line="360" w:lineRule="auto"/>
        <w:ind w:firstLine="420" w:firstLineChars="200"/>
        <w:rPr>
          <w:rFonts w:hint="eastAsia" w:ascii="宋体" w:hAnsi="宋体" w:cs="宋体"/>
          <w:szCs w:val="21"/>
        </w:rPr>
      </w:pPr>
      <w:r>
        <w:rPr>
          <w:rFonts w:hint="eastAsia" w:ascii="宋体" w:hAnsi="宋体" w:cs="宋体"/>
          <w:szCs w:val="21"/>
        </w:rPr>
        <w:t>（1）《基金合同》终止情形出现时，由基金财产清算小组统一接管基金；</w:t>
      </w:r>
    </w:p>
    <w:p w14:paraId="0C543843">
      <w:pPr>
        <w:snapToGrid w:val="0"/>
        <w:spacing w:line="360" w:lineRule="auto"/>
        <w:ind w:firstLine="420" w:firstLineChars="200"/>
        <w:rPr>
          <w:rFonts w:hint="eastAsia" w:ascii="宋体" w:hAnsi="宋体" w:cs="宋体"/>
          <w:szCs w:val="21"/>
        </w:rPr>
      </w:pPr>
      <w:r>
        <w:rPr>
          <w:rFonts w:hint="eastAsia" w:ascii="宋体" w:hAnsi="宋体" w:cs="宋体"/>
          <w:szCs w:val="21"/>
        </w:rPr>
        <w:t>（2）对基金财产和债权债务进行清理和确认；</w:t>
      </w:r>
    </w:p>
    <w:p w14:paraId="52D9E807">
      <w:pPr>
        <w:snapToGrid w:val="0"/>
        <w:spacing w:line="360" w:lineRule="auto"/>
        <w:ind w:firstLine="420" w:firstLineChars="200"/>
        <w:rPr>
          <w:rFonts w:hint="eastAsia" w:ascii="宋体" w:hAnsi="宋体" w:cs="宋体"/>
          <w:szCs w:val="21"/>
        </w:rPr>
      </w:pPr>
      <w:r>
        <w:rPr>
          <w:rFonts w:hint="eastAsia" w:ascii="宋体" w:hAnsi="宋体" w:cs="宋体"/>
          <w:szCs w:val="21"/>
        </w:rPr>
        <w:t>（3）对基金财产进行估值和变现；</w:t>
      </w:r>
    </w:p>
    <w:p w14:paraId="76C0D807">
      <w:pPr>
        <w:snapToGrid w:val="0"/>
        <w:spacing w:line="360" w:lineRule="auto"/>
        <w:ind w:firstLine="420" w:firstLineChars="200"/>
        <w:rPr>
          <w:rFonts w:hint="eastAsia" w:ascii="宋体" w:hAnsi="宋体" w:cs="宋体"/>
          <w:szCs w:val="21"/>
        </w:rPr>
      </w:pPr>
      <w:r>
        <w:rPr>
          <w:rFonts w:hint="eastAsia" w:ascii="宋体" w:hAnsi="宋体" w:cs="宋体"/>
          <w:szCs w:val="21"/>
        </w:rPr>
        <w:t>（4）制作清算报告；</w:t>
      </w:r>
    </w:p>
    <w:p w14:paraId="2D14D5AE">
      <w:pPr>
        <w:snapToGrid w:val="0"/>
        <w:spacing w:line="360" w:lineRule="auto"/>
        <w:ind w:firstLine="420" w:firstLineChars="200"/>
        <w:rPr>
          <w:rFonts w:hint="eastAsia" w:ascii="宋体" w:hAnsi="宋体" w:cs="宋体"/>
          <w:szCs w:val="21"/>
        </w:rPr>
      </w:pPr>
      <w:r>
        <w:rPr>
          <w:rFonts w:hint="eastAsia" w:ascii="宋体" w:hAnsi="宋体" w:cs="宋体"/>
          <w:szCs w:val="21"/>
        </w:rPr>
        <w:t>（5）聘请会计师事务所对清算报告进行外部审计，聘请律师事务所对清算报告出具法律意见书；</w:t>
      </w:r>
    </w:p>
    <w:p w14:paraId="3B308DF4">
      <w:pPr>
        <w:snapToGrid w:val="0"/>
        <w:spacing w:line="360" w:lineRule="auto"/>
        <w:ind w:firstLine="420" w:firstLineChars="200"/>
        <w:rPr>
          <w:rFonts w:hint="eastAsia" w:ascii="宋体" w:hAnsi="宋体" w:cs="宋体"/>
          <w:szCs w:val="21"/>
        </w:rPr>
      </w:pPr>
      <w:r>
        <w:rPr>
          <w:rFonts w:hint="eastAsia" w:ascii="宋体" w:hAnsi="宋体" w:cs="宋体"/>
          <w:szCs w:val="21"/>
        </w:rPr>
        <w:t>（6）将清算报告报中国证监会备案并公告；</w:t>
      </w:r>
    </w:p>
    <w:p w14:paraId="32C90319">
      <w:pPr>
        <w:snapToGrid w:val="0"/>
        <w:spacing w:line="360" w:lineRule="auto"/>
        <w:ind w:firstLine="420" w:firstLineChars="200"/>
        <w:rPr>
          <w:rFonts w:hint="eastAsia" w:ascii="宋体" w:hAnsi="宋体" w:cs="宋体"/>
          <w:szCs w:val="21"/>
        </w:rPr>
      </w:pPr>
      <w:r>
        <w:rPr>
          <w:rFonts w:hint="eastAsia" w:ascii="宋体" w:hAnsi="宋体" w:cs="宋体"/>
          <w:szCs w:val="21"/>
        </w:rPr>
        <w:t>（7）对基金剩余财产进行分配。</w:t>
      </w:r>
    </w:p>
    <w:p w14:paraId="23F09F90">
      <w:pPr>
        <w:snapToGrid w:val="0"/>
        <w:spacing w:line="360" w:lineRule="auto"/>
        <w:ind w:firstLine="420" w:firstLineChars="200"/>
        <w:rPr>
          <w:rFonts w:hint="eastAsia" w:ascii="宋体" w:hAnsi="宋体" w:cs="宋体"/>
          <w:szCs w:val="21"/>
        </w:rPr>
      </w:pPr>
      <w:r>
        <w:rPr>
          <w:rFonts w:hint="eastAsia" w:ascii="宋体" w:hAnsi="宋体" w:cs="宋体"/>
          <w:szCs w:val="21"/>
        </w:rPr>
        <w:t>6、基金财产清算的期限为6个月，但因本基金所持证券的流动性受到限制而不能及时变现的，清算期限相应顺延。</w:t>
      </w:r>
    </w:p>
    <w:p w14:paraId="01B6F13E">
      <w:pPr>
        <w:snapToGrid w:val="0"/>
        <w:spacing w:line="360" w:lineRule="auto"/>
        <w:ind w:firstLine="420" w:firstLineChars="200"/>
        <w:rPr>
          <w:rFonts w:hint="eastAsia" w:ascii="宋体" w:hAnsi="宋体" w:cs="宋体"/>
          <w:szCs w:val="21"/>
        </w:rPr>
      </w:pPr>
      <w:r>
        <w:rPr>
          <w:rFonts w:hint="eastAsia" w:ascii="宋体" w:hAnsi="宋体" w:cs="宋体"/>
          <w:szCs w:val="21"/>
        </w:rPr>
        <w:t>（四）清算费用</w:t>
      </w:r>
    </w:p>
    <w:p w14:paraId="13D7A2C2">
      <w:pPr>
        <w:snapToGrid w:val="0"/>
        <w:spacing w:line="360" w:lineRule="auto"/>
        <w:ind w:firstLine="420" w:firstLineChars="200"/>
        <w:rPr>
          <w:rFonts w:hint="eastAsia" w:ascii="宋体" w:hAnsi="宋体" w:cs="宋体"/>
          <w:szCs w:val="21"/>
        </w:rPr>
      </w:pPr>
      <w:r>
        <w:rPr>
          <w:rFonts w:hint="eastAsia" w:ascii="宋体" w:hAnsi="宋体" w:cs="宋体"/>
          <w:szCs w:val="21"/>
        </w:rPr>
        <w:t>清算费用是指基金财产清算小组在进行基金财产清算过程中发生的所有合理费用，清算费用由基金财产清算小组优先从基金剩余财产中支付。</w:t>
      </w:r>
    </w:p>
    <w:p w14:paraId="402341F0">
      <w:pPr>
        <w:snapToGrid w:val="0"/>
        <w:spacing w:line="360" w:lineRule="auto"/>
        <w:ind w:firstLine="420" w:firstLineChars="200"/>
        <w:rPr>
          <w:rFonts w:hint="eastAsia" w:ascii="宋体" w:hAnsi="宋体" w:cs="宋体"/>
          <w:szCs w:val="21"/>
        </w:rPr>
      </w:pPr>
      <w:r>
        <w:rPr>
          <w:rFonts w:hint="eastAsia" w:ascii="宋体" w:hAnsi="宋体" w:cs="宋体"/>
          <w:szCs w:val="21"/>
        </w:rPr>
        <w:t>（五）基金财产清算剩余资产的分配</w:t>
      </w:r>
    </w:p>
    <w:p w14:paraId="5E9F1606">
      <w:pPr>
        <w:snapToGrid w:val="0"/>
        <w:spacing w:line="360" w:lineRule="auto"/>
        <w:ind w:firstLine="420" w:firstLineChars="200"/>
        <w:rPr>
          <w:rFonts w:hint="eastAsia" w:ascii="宋体" w:hAnsi="宋体" w:cs="宋体"/>
          <w:szCs w:val="21"/>
        </w:rPr>
      </w:pPr>
      <w:r>
        <w:rPr>
          <w:rFonts w:hint="eastAsia" w:ascii="宋体" w:hAnsi="宋体" w:cs="宋体"/>
          <w:szCs w:val="21"/>
        </w:rPr>
        <w:t>依据基金财产清算的分配方案，将基金财产清算后的全部剩余资产扣除基金财产清算费用、交纳所欠税款并清偿基金债务后，按基金份额持有人持有的基金份额比例进行分配。</w:t>
      </w:r>
    </w:p>
    <w:p w14:paraId="13D0DE3F">
      <w:pPr>
        <w:snapToGrid w:val="0"/>
        <w:spacing w:line="360" w:lineRule="auto"/>
        <w:ind w:firstLine="420" w:firstLineChars="200"/>
        <w:rPr>
          <w:rFonts w:hint="eastAsia" w:ascii="宋体" w:hAnsi="宋体" w:cs="宋体"/>
          <w:szCs w:val="21"/>
        </w:rPr>
      </w:pPr>
      <w:r>
        <w:rPr>
          <w:rFonts w:hint="eastAsia" w:ascii="宋体" w:hAnsi="宋体" w:cs="宋体"/>
          <w:szCs w:val="21"/>
        </w:rPr>
        <w:t>（六）基金财产清算的公告</w:t>
      </w:r>
    </w:p>
    <w:p w14:paraId="240F65E7">
      <w:pPr>
        <w:snapToGrid w:val="0"/>
        <w:spacing w:line="360" w:lineRule="auto"/>
        <w:ind w:firstLine="420" w:firstLineChars="200"/>
        <w:rPr>
          <w:rFonts w:hint="eastAsia" w:ascii="宋体" w:hAnsi="宋体" w:cs="宋体"/>
          <w:szCs w:val="21"/>
        </w:rPr>
      </w:pPr>
      <w:r>
        <w:rPr>
          <w:rFonts w:hint="eastAsia" w:ascii="宋体" w:hAnsi="宋体" w:cs="宋体"/>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4C14C12">
      <w:pPr>
        <w:snapToGrid w:val="0"/>
        <w:spacing w:line="360" w:lineRule="auto"/>
        <w:ind w:firstLine="420" w:firstLineChars="200"/>
        <w:rPr>
          <w:rFonts w:hint="eastAsia" w:ascii="宋体" w:hAnsi="宋体" w:cs="宋体"/>
          <w:szCs w:val="21"/>
        </w:rPr>
      </w:pPr>
      <w:r>
        <w:rPr>
          <w:rFonts w:hint="eastAsia" w:ascii="宋体" w:hAnsi="宋体" w:cs="宋体"/>
          <w:szCs w:val="21"/>
        </w:rPr>
        <w:t>（七）基金财产清算账册及文件的保存</w:t>
      </w:r>
    </w:p>
    <w:p w14:paraId="4372AEA4">
      <w:pPr>
        <w:snapToGrid w:val="0"/>
        <w:spacing w:line="360" w:lineRule="auto"/>
        <w:ind w:firstLine="420" w:firstLineChars="200"/>
        <w:rPr>
          <w:rFonts w:hint="eastAsia" w:ascii="宋体" w:hAnsi="宋体" w:cs="宋体"/>
          <w:szCs w:val="21"/>
        </w:rPr>
      </w:pPr>
      <w:r>
        <w:rPr>
          <w:rFonts w:hint="eastAsia" w:ascii="宋体" w:hAnsi="宋体" w:cs="宋体"/>
          <w:szCs w:val="21"/>
        </w:rPr>
        <w:t>基金财产清算账册及有关文件由基金托管人保存，保存期限不低于法定最低期限。</w:t>
      </w:r>
    </w:p>
    <w:p w14:paraId="663332D8">
      <w:pPr>
        <w:adjustRightInd w:val="0"/>
        <w:snapToGrid w:val="0"/>
        <w:spacing w:line="360" w:lineRule="auto"/>
        <w:ind w:firstLine="422" w:firstLineChars="200"/>
        <w:rPr>
          <w:rFonts w:hint="eastAsia" w:ascii="宋体" w:hAnsi="宋体"/>
          <w:b/>
          <w:color w:val="0C0C0C"/>
          <w:szCs w:val="21"/>
        </w:rPr>
      </w:pPr>
      <w:r>
        <w:rPr>
          <w:rFonts w:hint="eastAsia" w:ascii="宋体" w:hAnsi="宋体"/>
          <w:b/>
          <w:color w:val="0C0C0C"/>
          <w:szCs w:val="21"/>
        </w:rPr>
        <w:t>四、争议的处理</w:t>
      </w:r>
    </w:p>
    <w:p w14:paraId="0D7ECE96">
      <w:pPr>
        <w:snapToGrid w:val="0"/>
        <w:spacing w:line="360" w:lineRule="auto"/>
        <w:ind w:firstLine="422" w:firstLineChars="200"/>
        <w:rPr>
          <w:rFonts w:hint="eastAsia" w:ascii="宋体" w:hAnsi="宋体" w:cs="宋体"/>
          <w:b/>
          <w:bCs/>
          <w:i/>
          <w:iCs/>
          <w:szCs w:val="21"/>
        </w:rPr>
      </w:pPr>
      <w:r>
        <w:rPr>
          <w:rFonts w:hint="eastAsia" w:ascii="宋体" w:hAnsi="宋体" w:cs="宋体"/>
          <w:b/>
          <w:bCs/>
          <w:i/>
          <w:iCs/>
          <w:szCs w:val="21"/>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14:paraId="74D6C7D7">
      <w:pPr>
        <w:snapToGrid w:val="0"/>
        <w:spacing w:line="360" w:lineRule="auto"/>
        <w:ind w:firstLine="422" w:firstLineChars="200"/>
        <w:rPr>
          <w:rFonts w:hint="eastAsia" w:ascii="宋体" w:hAnsi="宋体" w:cs="宋体"/>
          <w:b/>
          <w:bCs/>
          <w:i/>
          <w:iCs/>
          <w:szCs w:val="21"/>
        </w:rPr>
      </w:pPr>
      <w:r>
        <w:rPr>
          <w:rFonts w:hint="eastAsia" w:ascii="宋体" w:hAnsi="宋体" w:cs="宋体"/>
          <w:b/>
          <w:bCs/>
          <w:i/>
          <w:iCs/>
          <w:szCs w:val="21"/>
        </w:rPr>
        <w:t>争议处理期间，基金管理人、基金托管人应恪守基金管理人和基金托管人的职责，各自继续忠实、勤勉、尽责地履行基金合同和基金托管协议规定的义务，维护基金份额持有人的合法权益。</w:t>
      </w:r>
    </w:p>
    <w:p w14:paraId="1CF95F99">
      <w:pPr>
        <w:snapToGrid w:val="0"/>
        <w:spacing w:line="360" w:lineRule="auto"/>
        <w:ind w:firstLine="422" w:firstLineChars="200"/>
        <w:rPr>
          <w:rFonts w:hint="eastAsia" w:ascii="宋体" w:hAnsi="宋体" w:cs="宋体"/>
          <w:szCs w:val="21"/>
        </w:rPr>
      </w:pPr>
      <w:r>
        <w:rPr>
          <w:rFonts w:hint="eastAsia" w:ascii="宋体" w:hAnsi="宋体" w:cs="宋体"/>
          <w:b/>
          <w:bCs/>
          <w:i/>
          <w:iCs/>
          <w:szCs w:val="21"/>
        </w:rPr>
        <w:t>《基金合同》受中国法律（为本基金合同之目的，在此不包括香港特别行政区、澳门特别行政区法律和台湾地区的有关规定）管辖并从其解释。</w:t>
      </w:r>
    </w:p>
    <w:p w14:paraId="15F0E91E">
      <w:pPr>
        <w:adjustRightInd w:val="0"/>
        <w:snapToGrid w:val="0"/>
        <w:spacing w:line="360" w:lineRule="auto"/>
        <w:ind w:firstLine="422" w:firstLineChars="200"/>
        <w:rPr>
          <w:rFonts w:hint="eastAsia" w:ascii="宋体" w:hAnsi="宋体"/>
          <w:b/>
          <w:color w:val="0C0C0C"/>
          <w:szCs w:val="21"/>
        </w:rPr>
      </w:pPr>
      <w:r>
        <w:rPr>
          <w:rFonts w:hint="eastAsia" w:ascii="宋体" w:hAnsi="宋体"/>
          <w:b/>
          <w:color w:val="0C0C0C"/>
          <w:szCs w:val="21"/>
        </w:rPr>
        <w:t>五、基金合同存放地和投资者取得合同的方式</w:t>
      </w:r>
    </w:p>
    <w:p w14:paraId="3566014E">
      <w:pPr>
        <w:adjustRightInd w:val="0"/>
        <w:snapToGrid w:val="0"/>
        <w:spacing w:line="360" w:lineRule="auto"/>
        <w:ind w:firstLine="420" w:firstLineChars="200"/>
        <w:rPr>
          <w:rFonts w:hint="eastAsia" w:ascii="宋体" w:hAnsi="宋体"/>
          <w:b/>
          <w:sz w:val="24"/>
        </w:rPr>
        <w:sectPr>
          <w:footerReference r:id="rId41" w:type="first"/>
          <w:footerReference r:id="rId40" w:type="default"/>
          <w:pgSz w:w="11906" w:h="16838"/>
          <w:pgMar w:top="1440" w:right="1800" w:bottom="1440" w:left="1800" w:header="851" w:footer="992" w:gutter="0"/>
          <w:cols w:space="720" w:num="1"/>
          <w:titlePg/>
          <w:docGrid w:type="lines" w:linePitch="312" w:charSpace="0"/>
        </w:sectPr>
      </w:pPr>
      <w:r>
        <w:rPr>
          <w:rFonts w:hint="eastAsia" w:ascii="宋体" w:hAnsi="宋体"/>
          <w:color w:val="0C0C0C"/>
          <w:szCs w:val="21"/>
        </w:rPr>
        <w:t>本基金合同可印制成册，供投资人在基金管理人、基金托管人、代销机构的办公场所查阅。</w:t>
      </w:r>
    </w:p>
    <w:bookmarkEnd w:id="162"/>
    <w:p w14:paraId="05D2B62B">
      <w:pPr>
        <w:pStyle w:val="2"/>
        <w:snapToGrid w:val="0"/>
        <w:spacing w:before="0" w:after="0" w:line="360" w:lineRule="auto"/>
        <w:ind w:firstLine="422" w:firstLineChars="150"/>
        <w:rPr>
          <w:rFonts w:hint="eastAsia" w:hAnsi="宋体" w:eastAsia="宋体" w:cs="Arial"/>
          <w:b/>
          <w:bCs/>
          <w:sz w:val="28"/>
          <w:szCs w:val="28"/>
        </w:rPr>
      </w:pPr>
      <w:bookmarkStart w:id="168" w:name="_Toc86655831"/>
      <w:bookmarkStart w:id="169" w:name="_Toc19216"/>
      <w:r>
        <w:rPr>
          <w:rFonts w:hAnsi="宋体" w:eastAsia="宋体" w:cs="Arial"/>
          <w:b/>
          <w:bCs/>
          <w:sz w:val="28"/>
          <w:szCs w:val="28"/>
        </w:rPr>
        <w:t>第二十</w:t>
      </w:r>
      <w:bookmarkStart w:id="170" w:name="_Toc50661141"/>
      <w:r>
        <w:rPr>
          <w:rFonts w:hint="eastAsia" w:hAnsi="宋体" w:eastAsia="宋体" w:cs="Arial"/>
          <w:b/>
          <w:bCs/>
          <w:sz w:val="28"/>
          <w:szCs w:val="28"/>
        </w:rPr>
        <w:t>一</w:t>
      </w:r>
      <w:r>
        <w:rPr>
          <w:rFonts w:hAnsi="宋体" w:eastAsia="宋体" w:cs="Arial"/>
          <w:b/>
          <w:bCs/>
          <w:sz w:val="28"/>
          <w:szCs w:val="28"/>
        </w:rPr>
        <w:t>部分  基金托管协议的内容摘要</w:t>
      </w:r>
      <w:bookmarkEnd w:id="163"/>
      <w:bookmarkEnd w:id="168"/>
      <w:bookmarkEnd w:id="169"/>
      <w:bookmarkEnd w:id="170"/>
    </w:p>
    <w:p w14:paraId="5F69D57B">
      <w:pPr>
        <w:numPr>
          <w:ilvl w:val="0"/>
          <w:numId w:val="9"/>
        </w:numPr>
        <w:spacing w:line="360" w:lineRule="auto"/>
        <w:rPr>
          <w:rFonts w:hint="eastAsia" w:ascii="宋体" w:hAnsi="宋体" w:cs="Arial"/>
          <w:b/>
          <w:szCs w:val="21"/>
        </w:rPr>
      </w:pPr>
      <w:bookmarkStart w:id="171" w:name="_Toc278986890"/>
      <w:bookmarkStart w:id="172" w:name="_Toc287014242"/>
      <w:bookmarkStart w:id="173" w:name="_Toc278986830"/>
      <w:bookmarkStart w:id="174" w:name="_Toc252355957"/>
      <w:bookmarkStart w:id="175" w:name="_Toc288639815"/>
      <w:bookmarkStart w:id="176" w:name="_Toc278986605"/>
      <w:bookmarkStart w:id="177" w:name="_Toc116900098"/>
      <w:bookmarkStart w:id="178" w:name="_Toc286319593"/>
      <w:r>
        <w:rPr>
          <w:rFonts w:hint="eastAsia" w:ascii="宋体" w:hAnsi="宋体" w:cs="Arial"/>
          <w:b/>
          <w:szCs w:val="21"/>
        </w:rPr>
        <w:t>基金托管协议当事人</w:t>
      </w:r>
    </w:p>
    <w:p w14:paraId="2410099E">
      <w:pPr>
        <w:spacing w:line="360" w:lineRule="auto"/>
        <w:ind w:left="422"/>
      </w:pPr>
      <w:r>
        <w:rPr>
          <w:rFonts w:hint="eastAsia"/>
        </w:rPr>
        <w:t>（一）基金管理人</w:t>
      </w:r>
    </w:p>
    <w:p w14:paraId="0B0E1DB1">
      <w:pPr>
        <w:spacing w:line="360" w:lineRule="auto"/>
        <w:ind w:left="422"/>
      </w:pPr>
      <w:r>
        <w:rPr>
          <w:rFonts w:hint="eastAsia"/>
        </w:rPr>
        <w:t>名称：博时基金管理有限公司</w:t>
      </w:r>
    </w:p>
    <w:p w14:paraId="599AB5AA">
      <w:pPr>
        <w:spacing w:line="360" w:lineRule="auto"/>
        <w:ind w:left="422"/>
      </w:pPr>
      <w:r>
        <w:rPr>
          <w:rFonts w:hint="eastAsia"/>
        </w:rPr>
        <w:t>住所：深圳市福田区莲花街道福新社区益田路5999号基金大厦21层</w:t>
      </w:r>
    </w:p>
    <w:p w14:paraId="4499C8D2">
      <w:pPr>
        <w:spacing w:line="360" w:lineRule="auto"/>
        <w:ind w:left="422"/>
      </w:pPr>
      <w:r>
        <w:rPr>
          <w:rFonts w:hint="eastAsia"/>
        </w:rPr>
        <w:t>办公地址：深圳市福田区莲花街道福新社区益田路5999号基金大厦21层</w:t>
      </w:r>
    </w:p>
    <w:p w14:paraId="14E3A642">
      <w:pPr>
        <w:spacing w:line="360" w:lineRule="auto"/>
        <w:ind w:left="422"/>
      </w:pPr>
      <w:r>
        <w:rPr>
          <w:rFonts w:hint="eastAsia"/>
        </w:rPr>
        <w:t>邮政编码：518040</w:t>
      </w:r>
    </w:p>
    <w:p w14:paraId="1F7515BC">
      <w:pPr>
        <w:spacing w:line="360" w:lineRule="auto"/>
        <w:ind w:left="422"/>
      </w:pPr>
      <w:r>
        <w:rPr>
          <w:rFonts w:hint="eastAsia"/>
        </w:rPr>
        <w:t>法定代表人：张东</w:t>
      </w:r>
    </w:p>
    <w:p w14:paraId="6FE19D5C">
      <w:pPr>
        <w:spacing w:line="360" w:lineRule="auto"/>
        <w:ind w:left="422"/>
      </w:pPr>
      <w:r>
        <w:rPr>
          <w:rFonts w:hint="eastAsia"/>
        </w:rPr>
        <w:t>成立时间： 1998年7月13日</w:t>
      </w:r>
    </w:p>
    <w:p w14:paraId="24AEA6CD">
      <w:pPr>
        <w:spacing w:line="360" w:lineRule="auto"/>
        <w:ind w:left="422"/>
      </w:pPr>
      <w:r>
        <w:rPr>
          <w:rFonts w:hint="eastAsia"/>
        </w:rPr>
        <w:t>批准设立机关：中国证券监督管理委员会</w:t>
      </w:r>
    </w:p>
    <w:p w14:paraId="17B9AE40">
      <w:pPr>
        <w:spacing w:line="360" w:lineRule="auto"/>
        <w:ind w:left="422"/>
      </w:pPr>
      <w:r>
        <w:rPr>
          <w:rFonts w:hint="eastAsia"/>
        </w:rPr>
        <w:t>批准设立文号：中国证监会证监基字【1998】26号</w:t>
      </w:r>
    </w:p>
    <w:p w14:paraId="73A9041E">
      <w:pPr>
        <w:spacing w:line="360" w:lineRule="auto"/>
        <w:ind w:left="422"/>
      </w:pPr>
      <w:r>
        <w:rPr>
          <w:rFonts w:hint="eastAsia"/>
        </w:rPr>
        <w:t>组织形式：有限责任公司</w:t>
      </w:r>
    </w:p>
    <w:p w14:paraId="3A6C3945">
      <w:pPr>
        <w:spacing w:line="360" w:lineRule="auto"/>
        <w:ind w:left="422"/>
      </w:pPr>
      <w:r>
        <w:rPr>
          <w:rFonts w:hint="eastAsia"/>
        </w:rPr>
        <w:t>注册资本： 2.5亿元人民币</w:t>
      </w:r>
    </w:p>
    <w:p w14:paraId="4D945C7A">
      <w:pPr>
        <w:spacing w:line="360" w:lineRule="auto"/>
        <w:ind w:left="422"/>
      </w:pPr>
      <w:r>
        <w:rPr>
          <w:rFonts w:hint="eastAsia"/>
        </w:rPr>
        <w:t>存续期间：持续经营</w:t>
      </w:r>
    </w:p>
    <w:p w14:paraId="3788255F">
      <w:pPr>
        <w:spacing w:line="360" w:lineRule="auto"/>
        <w:ind w:left="422"/>
      </w:pPr>
      <w:r>
        <w:rPr>
          <w:rFonts w:hint="eastAsia"/>
        </w:rPr>
        <w:t>经营范围：基金募集；基金销售；资产管理以及中国证监会许可的其它业务。</w:t>
      </w:r>
    </w:p>
    <w:p w14:paraId="77C6128B">
      <w:pPr>
        <w:spacing w:line="360" w:lineRule="auto"/>
        <w:ind w:left="422"/>
      </w:pPr>
      <w:r>
        <w:rPr>
          <w:rFonts w:hint="eastAsia"/>
        </w:rPr>
        <w:t>（二）基金托管人</w:t>
      </w:r>
    </w:p>
    <w:p w14:paraId="509B82D2">
      <w:pPr>
        <w:spacing w:line="360" w:lineRule="auto"/>
        <w:ind w:left="422"/>
      </w:pPr>
      <w:r>
        <w:rPr>
          <w:rFonts w:hint="eastAsia"/>
        </w:rPr>
        <w:t>名称：北京银行股份有限公司</w:t>
      </w:r>
    </w:p>
    <w:p w14:paraId="7D620480">
      <w:pPr>
        <w:spacing w:line="360" w:lineRule="auto"/>
        <w:ind w:left="422"/>
      </w:pPr>
      <w:r>
        <w:rPr>
          <w:rFonts w:hint="eastAsia"/>
        </w:rPr>
        <w:t>住所：北京市西城区金融大街甲17号首层</w:t>
      </w:r>
    </w:p>
    <w:p w14:paraId="54EFE756">
      <w:pPr>
        <w:spacing w:line="360" w:lineRule="auto"/>
        <w:ind w:left="422"/>
      </w:pPr>
      <w:r>
        <w:rPr>
          <w:rFonts w:hint="eastAsia"/>
        </w:rPr>
        <w:t>法定代表人：关文杰</w:t>
      </w:r>
    </w:p>
    <w:p w14:paraId="10E0BD66">
      <w:pPr>
        <w:spacing w:line="360" w:lineRule="auto"/>
        <w:ind w:left="422"/>
      </w:pPr>
      <w:r>
        <w:rPr>
          <w:rFonts w:hint="eastAsia"/>
        </w:rPr>
        <w:t>成立时间：1996年1月29日</w:t>
      </w:r>
    </w:p>
    <w:p w14:paraId="19A165ED">
      <w:pPr>
        <w:spacing w:line="360" w:lineRule="auto"/>
        <w:ind w:left="422"/>
      </w:pPr>
      <w:r>
        <w:rPr>
          <w:rFonts w:hint="eastAsia"/>
        </w:rPr>
        <w:t>组织形式：股份有限公司（上市）</w:t>
      </w:r>
    </w:p>
    <w:p w14:paraId="0168A7AE">
      <w:pPr>
        <w:spacing w:line="360" w:lineRule="auto"/>
        <w:ind w:left="422"/>
      </w:pPr>
      <w:r>
        <w:rPr>
          <w:rFonts w:hint="eastAsia"/>
        </w:rPr>
        <w:t>注册资本：2114298.4272万元人民币</w:t>
      </w:r>
    </w:p>
    <w:p w14:paraId="58387C93">
      <w:pPr>
        <w:spacing w:line="360" w:lineRule="auto"/>
        <w:ind w:left="422"/>
      </w:pPr>
      <w:r>
        <w:rPr>
          <w:rFonts w:hint="eastAsia"/>
        </w:rPr>
        <w:t>批准设立机关和设立文号：中国人民银行1995年12月28日《关于北京城市合作银行开业的批复》（银复[1995]470号）</w:t>
      </w:r>
    </w:p>
    <w:p w14:paraId="2DCC7A43">
      <w:pPr>
        <w:spacing w:line="360" w:lineRule="auto"/>
        <w:ind w:left="422"/>
      </w:pPr>
      <w:r>
        <w:rPr>
          <w:rFonts w:hint="eastAsia"/>
        </w:rPr>
        <w:t>基金托管资格批准文号：中国证监会证监许可 [2008]776号</w:t>
      </w:r>
    </w:p>
    <w:p w14:paraId="0C1E7C79">
      <w:pPr>
        <w:spacing w:line="360" w:lineRule="auto"/>
        <w:ind w:left="422"/>
      </w:pPr>
      <w:r>
        <w:rPr>
          <w:rFonts w:hint="eastAsia"/>
        </w:rPr>
        <w:t>存续期间：持续经营</w:t>
      </w:r>
    </w:p>
    <w:p w14:paraId="2D10D1B1">
      <w:pPr>
        <w:spacing w:line="360" w:lineRule="auto"/>
        <w:ind w:left="422"/>
        <w:rPr>
          <w:rFonts w:hint="eastAsia" w:ascii="宋体" w:hAnsi="宋体" w:cs="Arial"/>
          <w:b/>
          <w:szCs w:val="21"/>
        </w:rPr>
      </w:pPr>
      <w:r>
        <w:rPr>
          <w:rFonts w:hint="eastAsia"/>
        </w:rPr>
        <w:t>经营范围：吸收公众存款；发放短期、中期和长期贷款；办理国内结算；办理票据贴现；发行金融债券；代理发行、代理兑付、承销政府债券；买卖政府债券；从事同业拆借；提供担保；代理收付款项及代理保险业务；提供保管箱业务；办理地方财政信用周转使用资金的委托贷款业务；外汇存款；外汇贷款；外汇汇款；外币兑换；同业外汇拆借；国际结算；结汇、售汇；外汇票据的承兑和贴现；外汇担保；资信调查、咨询、见证业务；买卖和代理买卖股票以外的外币有价证券；自营和代客外汇买卖；证券结算业务；开放式证券投资基金代销业务；债券结算代理业务；短期融资券主承销业务；经中国银行业监督管理委员会批准的其它业务。</w:t>
      </w:r>
    </w:p>
    <w:p w14:paraId="57B8888E">
      <w:pPr>
        <w:spacing w:line="360" w:lineRule="auto"/>
        <w:ind w:left="422"/>
        <w:rPr>
          <w:rFonts w:hint="eastAsia" w:ascii="宋体" w:hAnsi="宋体" w:cs="Arial"/>
          <w:szCs w:val="21"/>
        </w:rPr>
      </w:pPr>
      <w:r>
        <w:rPr>
          <w:rFonts w:hint="eastAsia" w:ascii="宋体" w:hAnsi="宋体" w:cs="Arial"/>
          <w:b/>
          <w:szCs w:val="21"/>
        </w:rPr>
        <w:t>二、</w:t>
      </w:r>
      <w:r>
        <w:rPr>
          <w:rFonts w:ascii="宋体" w:hAnsi="宋体" w:cs="Arial"/>
          <w:b/>
          <w:szCs w:val="21"/>
        </w:rPr>
        <w:t>基金托管人对基金管理人的业务监督和核查</w:t>
      </w:r>
      <w:bookmarkEnd w:id="171"/>
      <w:bookmarkEnd w:id="172"/>
      <w:bookmarkEnd w:id="173"/>
      <w:bookmarkEnd w:id="174"/>
      <w:bookmarkEnd w:id="175"/>
      <w:bookmarkEnd w:id="176"/>
      <w:bookmarkEnd w:id="177"/>
      <w:bookmarkEnd w:id="178"/>
    </w:p>
    <w:p w14:paraId="5C869FC3">
      <w:pPr>
        <w:spacing w:line="360" w:lineRule="auto"/>
        <w:ind w:firstLine="420" w:firstLineChars="200"/>
        <w:rPr>
          <w:bCs/>
          <w:color w:val="000000"/>
          <w:szCs w:val="21"/>
        </w:rPr>
      </w:pPr>
      <w:bookmarkStart w:id="179" w:name="_Toc287014244"/>
      <w:bookmarkStart w:id="180" w:name="_Toc286319595"/>
      <w:bookmarkStart w:id="181" w:name="_Toc288639817"/>
      <w:bookmarkStart w:id="182" w:name="_Toc278986607"/>
      <w:bookmarkStart w:id="183" w:name="_Toc278986892"/>
      <w:bookmarkStart w:id="184" w:name="_Toc278986832"/>
      <w:r>
        <w:rPr>
          <w:rFonts w:hint="eastAsia"/>
          <w:bCs/>
          <w:color w:val="000000"/>
          <w:szCs w:val="21"/>
        </w:rPr>
        <w:t>（一）基金托管人对基金管理人的投资行为行使监督权</w:t>
      </w:r>
    </w:p>
    <w:p w14:paraId="33ABF560">
      <w:pPr>
        <w:spacing w:line="360" w:lineRule="auto"/>
        <w:ind w:firstLine="420" w:firstLineChars="200"/>
        <w:rPr>
          <w:bCs/>
          <w:color w:val="000000"/>
          <w:szCs w:val="21"/>
        </w:rPr>
      </w:pPr>
      <w:r>
        <w:rPr>
          <w:rFonts w:hint="eastAsia"/>
          <w:bCs/>
          <w:color w:val="000000"/>
          <w:szCs w:val="21"/>
        </w:rPr>
        <w:t>1、基金托管人根据有关法律法规的规定和《基金合同》的约定，对下述基金投资范围、投资对象进行监督。</w:t>
      </w:r>
    </w:p>
    <w:p w14:paraId="66F12F2D">
      <w:pPr>
        <w:spacing w:line="360" w:lineRule="auto"/>
        <w:ind w:firstLine="420" w:firstLineChars="200"/>
        <w:rPr>
          <w:bCs/>
          <w:color w:val="000000"/>
          <w:szCs w:val="21"/>
        </w:rPr>
      </w:pPr>
      <w:r>
        <w:rPr>
          <w:rFonts w:hint="eastAsia"/>
          <w:bCs/>
          <w:color w:val="000000"/>
          <w:szCs w:val="21"/>
        </w:rPr>
        <w:t>本基金的投资范围如下：</w:t>
      </w:r>
    </w:p>
    <w:p w14:paraId="4DABC03E">
      <w:pPr>
        <w:spacing w:line="360" w:lineRule="auto"/>
        <w:ind w:firstLine="420" w:firstLineChars="200"/>
        <w:rPr>
          <w:bCs/>
          <w:color w:val="000000"/>
          <w:szCs w:val="21"/>
        </w:rPr>
      </w:pPr>
      <w:r>
        <w:rPr>
          <w:rFonts w:hint="eastAsia"/>
          <w:bCs/>
          <w:color w:val="000000"/>
          <w:szCs w:val="21"/>
        </w:rPr>
        <w:t xml:space="preserve">本基金主要投资于标的指数成份股和备选成份股(含存托凭证)。 </w:t>
      </w:r>
    </w:p>
    <w:p w14:paraId="50FADDC5">
      <w:pPr>
        <w:spacing w:line="360" w:lineRule="auto"/>
        <w:ind w:firstLine="420" w:firstLineChars="200"/>
        <w:rPr>
          <w:bCs/>
          <w:color w:val="000000"/>
          <w:szCs w:val="21"/>
        </w:rPr>
      </w:pPr>
      <w:r>
        <w:rPr>
          <w:rFonts w:hint="eastAsia"/>
          <w:bCs/>
          <w:color w:val="000000"/>
          <w:szCs w:val="21"/>
        </w:rPr>
        <w:t xml:space="preserve">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431AA0D6">
      <w:pPr>
        <w:spacing w:line="360" w:lineRule="auto"/>
        <w:ind w:firstLine="420" w:firstLineChars="200"/>
        <w:rPr>
          <w:bCs/>
          <w:color w:val="000000"/>
          <w:szCs w:val="21"/>
        </w:rPr>
      </w:pPr>
      <w:r>
        <w:rPr>
          <w:rFonts w:hint="eastAsia"/>
          <w:bCs/>
          <w:color w:val="000000"/>
          <w:szCs w:val="21"/>
        </w:rPr>
        <w:t xml:space="preserve">本基金可根据法律法规的规定参与融资和转融通证券出借业务。未来在法律法规允许的前提下，本基金可根据相关法律法规规定参与融券业务。 </w:t>
      </w:r>
    </w:p>
    <w:p w14:paraId="6F991C83">
      <w:pPr>
        <w:spacing w:line="360" w:lineRule="auto"/>
        <w:ind w:firstLine="420" w:firstLineChars="200"/>
        <w:rPr>
          <w:bCs/>
          <w:color w:val="000000"/>
          <w:szCs w:val="21"/>
        </w:rPr>
      </w:pPr>
      <w:r>
        <w:rPr>
          <w:rFonts w:hint="eastAsia"/>
          <w:bCs/>
          <w:color w:val="000000"/>
          <w:szCs w:val="21"/>
        </w:rPr>
        <w:t xml:space="preserve">如法律法规或中国证监会以后允许基金投资其他品种，本基金管理人在履行适当程序后，可以将其纳入本基金的投资范围。 </w:t>
      </w:r>
    </w:p>
    <w:p w14:paraId="5FE7C792">
      <w:pPr>
        <w:spacing w:line="360" w:lineRule="auto"/>
        <w:ind w:firstLine="420" w:firstLineChars="200"/>
        <w:rPr>
          <w:bCs/>
          <w:color w:val="000000"/>
          <w:szCs w:val="21"/>
        </w:rPr>
      </w:pPr>
      <w:r>
        <w:rPr>
          <w:rFonts w:hint="eastAsia"/>
          <w:bCs/>
          <w:color w:val="000000"/>
          <w:szCs w:val="21"/>
        </w:rPr>
        <w:t>基金的投资组合比例如下：</w:t>
      </w:r>
    </w:p>
    <w:p w14:paraId="59E02127">
      <w:pPr>
        <w:spacing w:line="360" w:lineRule="auto"/>
        <w:ind w:firstLine="420" w:firstLineChars="200"/>
        <w:rPr>
          <w:bCs/>
          <w:color w:val="000000"/>
          <w:szCs w:val="21"/>
        </w:rPr>
      </w:pPr>
      <w:r>
        <w:rPr>
          <w:rFonts w:hint="eastAsia"/>
          <w:bCs/>
          <w:color w:val="000000"/>
          <w:szCs w:val="21"/>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0664AB57">
      <w:pPr>
        <w:spacing w:line="360" w:lineRule="auto"/>
        <w:ind w:firstLine="420" w:firstLineChars="200"/>
        <w:rPr>
          <w:bCs/>
          <w:color w:val="000000"/>
          <w:szCs w:val="21"/>
        </w:rPr>
      </w:pPr>
      <w:r>
        <w:rPr>
          <w:rFonts w:hint="eastAsia"/>
          <w:bCs/>
          <w:color w:val="000000"/>
          <w:szCs w:val="21"/>
        </w:rPr>
        <w:t xml:space="preserve">若法律法规的相关规定发生变更或监管机构允许，本基金管理人在履行适当程序并与基金托管人协商一致后，可对上述资产配置比例进行调整。  </w:t>
      </w:r>
    </w:p>
    <w:p w14:paraId="5F0DD7BC">
      <w:pPr>
        <w:spacing w:line="360" w:lineRule="auto"/>
        <w:ind w:firstLine="420" w:firstLineChars="200"/>
        <w:rPr>
          <w:bCs/>
          <w:color w:val="000000"/>
          <w:szCs w:val="21"/>
        </w:rPr>
      </w:pPr>
      <w:r>
        <w:rPr>
          <w:rFonts w:hint="eastAsia"/>
          <w:bCs/>
          <w:color w:val="000000"/>
          <w:szCs w:val="21"/>
        </w:rPr>
        <w:t>2、基金托管人根据有关法律法规的规定及《基金合同》的约定对下述基金投资比例进行监督：</w:t>
      </w:r>
    </w:p>
    <w:p w14:paraId="311A2ACE">
      <w:pPr>
        <w:spacing w:line="360" w:lineRule="auto"/>
        <w:ind w:firstLine="420" w:firstLineChars="200"/>
        <w:rPr>
          <w:bCs/>
          <w:color w:val="000000"/>
          <w:szCs w:val="21"/>
        </w:rPr>
      </w:pPr>
      <w:r>
        <w:rPr>
          <w:rFonts w:hint="eastAsia"/>
          <w:bCs/>
          <w:color w:val="000000"/>
          <w:szCs w:val="21"/>
        </w:rPr>
        <w:t>基金的投资组合应遵循以下限制：</w:t>
      </w:r>
    </w:p>
    <w:p w14:paraId="53E8DCB4">
      <w:pPr>
        <w:spacing w:line="360" w:lineRule="auto"/>
        <w:ind w:firstLine="420" w:firstLineChars="200"/>
        <w:rPr>
          <w:bCs/>
          <w:color w:val="000000"/>
          <w:szCs w:val="21"/>
        </w:rPr>
      </w:pPr>
      <w:r>
        <w:rPr>
          <w:rFonts w:hint="eastAsia"/>
          <w:bCs/>
          <w:color w:val="000000"/>
          <w:szCs w:val="21"/>
        </w:rPr>
        <w:t xml:space="preserve">（1）本基金投资于标的指数成份股和备选成份股（含存托凭证）的资产比例不低于基金资产净值的90%，且不低于非现金基金资产的80%； </w:t>
      </w:r>
    </w:p>
    <w:p w14:paraId="2767C440">
      <w:pPr>
        <w:spacing w:line="360" w:lineRule="auto"/>
        <w:ind w:firstLine="420" w:firstLineChars="200"/>
        <w:rPr>
          <w:bCs/>
          <w:color w:val="000000"/>
          <w:szCs w:val="21"/>
        </w:rPr>
      </w:pPr>
      <w:r>
        <w:rPr>
          <w:rFonts w:hint="eastAsia"/>
          <w:bCs/>
          <w:color w:val="000000"/>
          <w:szCs w:val="21"/>
        </w:rPr>
        <w:t xml:space="preserve">（2）每个交易日日终在扣除股指期货、股票期权和国债期货合约需缴纳的交易保证金后，本基金应当保持不低于交易保证金一倍的现金，其中现金不包括结算备付金、存出保证金和应收申购款等； </w:t>
      </w:r>
    </w:p>
    <w:p w14:paraId="52E0A371">
      <w:pPr>
        <w:spacing w:line="360" w:lineRule="auto"/>
        <w:ind w:firstLine="420" w:firstLineChars="200"/>
        <w:rPr>
          <w:bCs/>
          <w:color w:val="000000"/>
          <w:szCs w:val="21"/>
        </w:rPr>
      </w:pPr>
      <w:r>
        <w:rPr>
          <w:rFonts w:hint="eastAsia"/>
          <w:bCs/>
          <w:color w:val="000000"/>
          <w:szCs w:val="21"/>
        </w:rPr>
        <w:t xml:space="preserve">（3）本基金参与股指期货和国债期货交易，需遵守下列投资比例限制： </w:t>
      </w:r>
    </w:p>
    <w:p w14:paraId="0EEAF7E0">
      <w:pPr>
        <w:spacing w:line="360" w:lineRule="auto"/>
        <w:ind w:firstLine="420" w:firstLineChars="200"/>
        <w:rPr>
          <w:bCs/>
          <w:color w:val="000000"/>
          <w:szCs w:val="21"/>
        </w:rPr>
      </w:pPr>
      <w:r>
        <w:rPr>
          <w:rFonts w:hint="eastAsia"/>
          <w:bCs/>
          <w:color w:val="000000"/>
          <w:szCs w:val="21"/>
        </w:rPr>
        <w:t xml:space="preserve">1）本基金在任何交易日日终，持有的买入股指期货合约价值，不得超过基金资产净值的10%；在任何交易日日终，持有的买入国债期货合约价值，不得超过基金资产净值的15%； </w:t>
      </w:r>
    </w:p>
    <w:p w14:paraId="67340D56">
      <w:pPr>
        <w:spacing w:line="360" w:lineRule="auto"/>
        <w:ind w:firstLine="420" w:firstLineChars="200"/>
        <w:rPr>
          <w:bCs/>
          <w:color w:val="000000"/>
          <w:szCs w:val="21"/>
        </w:rPr>
      </w:pPr>
      <w:r>
        <w:rPr>
          <w:rFonts w:hint="eastAsia"/>
          <w:bCs/>
          <w:color w:val="000000"/>
          <w:szCs w:val="21"/>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52F08896">
      <w:pPr>
        <w:spacing w:line="360" w:lineRule="auto"/>
        <w:ind w:firstLine="420" w:firstLineChars="200"/>
        <w:rPr>
          <w:bCs/>
          <w:color w:val="000000"/>
          <w:szCs w:val="21"/>
        </w:rPr>
      </w:pPr>
      <w:r>
        <w:rPr>
          <w:rFonts w:hint="eastAsia"/>
          <w:bCs/>
          <w:color w:val="000000"/>
          <w:szCs w:val="21"/>
        </w:rPr>
        <w:t xml:space="preserve">3）本基金在任何交易日日终，持有的卖出股指期货合约价值不得超过基金持有的股票总市值的20%；在任何交易日日终，持有的卖出国债期货合约价值不得超过基金持有的债券总市值的30%； </w:t>
      </w:r>
    </w:p>
    <w:p w14:paraId="70B4D55B">
      <w:pPr>
        <w:spacing w:line="360" w:lineRule="auto"/>
        <w:ind w:firstLine="420" w:firstLineChars="200"/>
        <w:rPr>
          <w:bCs/>
          <w:color w:val="000000"/>
          <w:szCs w:val="21"/>
        </w:rPr>
      </w:pPr>
      <w:r>
        <w:rPr>
          <w:rFonts w:hint="eastAsia"/>
          <w:bCs/>
          <w:color w:val="000000"/>
          <w:szCs w:val="21"/>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6469EF5B">
      <w:pPr>
        <w:spacing w:line="360" w:lineRule="auto"/>
        <w:ind w:firstLine="420" w:firstLineChars="200"/>
        <w:rPr>
          <w:bCs/>
          <w:color w:val="000000"/>
          <w:szCs w:val="21"/>
        </w:rPr>
      </w:pPr>
      <w:r>
        <w:rPr>
          <w:rFonts w:hint="eastAsia"/>
          <w:bCs/>
          <w:color w:val="000000"/>
          <w:szCs w:val="21"/>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4F105418">
      <w:pPr>
        <w:spacing w:line="360" w:lineRule="auto"/>
        <w:ind w:firstLine="420" w:firstLineChars="200"/>
        <w:rPr>
          <w:bCs/>
          <w:color w:val="000000"/>
          <w:szCs w:val="21"/>
        </w:rPr>
      </w:pPr>
      <w:r>
        <w:rPr>
          <w:rFonts w:hint="eastAsia"/>
          <w:bCs/>
          <w:color w:val="000000"/>
          <w:szCs w:val="21"/>
        </w:rPr>
        <w:t xml:space="preserve">（4）本基金投资于同一原始权益人的各类资产支持证券的比例，不得超过基金资产净值的10％； </w:t>
      </w:r>
    </w:p>
    <w:p w14:paraId="4076F4FC">
      <w:pPr>
        <w:spacing w:line="360" w:lineRule="auto"/>
        <w:ind w:firstLine="420" w:firstLineChars="200"/>
        <w:rPr>
          <w:bCs/>
          <w:color w:val="000000"/>
          <w:szCs w:val="21"/>
        </w:rPr>
      </w:pPr>
      <w:r>
        <w:rPr>
          <w:rFonts w:hint="eastAsia"/>
          <w:bCs/>
          <w:color w:val="000000"/>
          <w:szCs w:val="21"/>
        </w:rPr>
        <w:t xml:space="preserve">（5）本基金持有的全部资产支持证券，其市值不得超过基金资产净值的20％； </w:t>
      </w:r>
    </w:p>
    <w:p w14:paraId="2EA14057">
      <w:pPr>
        <w:spacing w:line="360" w:lineRule="auto"/>
        <w:ind w:firstLine="420" w:firstLineChars="200"/>
        <w:rPr>
          <w:bCs/>
          <w:color w:val="000000"/>
          <w:szCs w:val="21"/>
        </w:rPr>
      </w:pPr>
      <w:r>
        <w:rPr>
          <w:rFonts w:hint="eastAsia"/>
          <w:bCs/>
          <w:color w:val="000000"/>
          <w:szCs w:val="21"/>
        </w:rPr>
        <w:t xml:space="preserve">（6）本基金持有的同一(指同一信用级别)资产支持证券的比例，不得超过该资产支持证券规模的10％； </w:t>
      </w:r>
    </w:p>
    <w:p w14:paraId="7B2E0672">
      <w:pPr>
        <w:spacing w:line="360" w:lineRule="auto"/>
        <w:ind w:firstLine="420" w:firstLineChars="200"/>
        <w:rPr>
          <w:bCs/>
          <w:color w:val="000000"/>
          <w:szCs w:val="21"/>
        </w:rPr>
      </w:pPr>
      <w:r>
        <w:rPr>
          <w:rFonts w:hint="eastAsia"/>
          <w:bCs/>
          <w:color w:val="000000"/>
          <w:szCs w:val="21"/>
        </w:rPr>
        <w:t xml:space="preserve">（7）本基金管理人管理的全部基金投资于同一原始权益人的各类资产支持证券，不得超过其各类资产支持证券合计规模的10％； </w:t>
      </w:r>
    </w:p>
    <w:p w14:paraId="2FBA3023">
      <w:pPr>
        <w:spacing w:line="360" w:lineRule="auto"/>
        <w:ind w:firstLine="420" w:firstLineChars="200"/>
        <w:rPr>
          <w:bCs/>
          <w:color w:val="000000"/>
          <w:szCs w:val="21"/>
        </w:rPr>
      </w:pPr>
      <w:r>
        <w:rPr>
          <w:rFonts w:hint="eastAsia"/>
          <w:bCs/>
          <w:color w:val="000000"/>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14D577C6">
      <w:pPr>
        <w:spacing w:line="360" w:lineRule="auto"/>
        <w:ind w:firstLine="420" w:firstLineChars="200"/>
        <w:rPr>
          <w:bCs/>
          <w:color w:val="000000"/>
          <w:szCs w:val="21"/>
        </w:rPr>
      </w:pPr>
      <w:r>
        <w:rPr>
          <w:rFonts w:hint="eastAsia"/>
          <w:bCs/>
          <w:color w:val="000000"/>
          <w:szCs w:val="21"/>
        </w:rPr>
        <w:t xml:space="preserve">（9）基金财产参与股票发行申购，本基金所申报的金额不超过本基金的总资产，本基金所申报的股票数量不超过拟发行股票公司本次发行股票的总量； </w:t>
      </w:r>
    </w:p>
    <w:p w14:paraId="5C609E3A">
      <w:pPr>
        <w:spacing w:line="360" w:lineRule="auto"/>
        <w:ind w:firstLine="420" w:firstLineChars="200"/>
        <w:rPr>
          <w:bCs/>
          <w:color w:val="000000"/>
          <w:szCs w:val="21"/>
        </w:rPr>
      </w:pPr>
      <w:r>
        <w:rPr>
          <w:rFonts w:hint="eastAsia"/>
          <w:bCs/>
          <w:color w:val="000000"/>
          <w:szCs w:val="21"/>
        </w:rPr>
        <w:t xml:space="preserve">（10）本基金参与融资的，在任何交易日日终，本基金持有的融资买入股票与其他有价证券市值之和，不得超过基金资产净值的95%； </w:t>
      </w:r>
    </w:p>
    <w:p w14:paraId="01A2F2DD">
      <w:pPr>
        <w:spacing w:line="360" w:lineRule="auto"/>
        <w:ind w:firstLine="420" w:firstLineChars="200"/>
        <w:rPr>
          <w:bCs/>
          <w:color w:val="000000"/>
          <w:szCs w:val="21"/>
        </w:rPr>
      </w:pPr>
      <w:r>
        <w:rPr>
          <w:rFonts w:hint="eastAsia"/>
          <w:bCs/>
          <w:color w:val="000000"/>
          <w:szCs w:val="21"/>
        </w:rPr>
        <w:t xml:space="preserve">（11）本基金参与转融通证券出借业务，需遵守下列投资限制： </w:t>
      </w:r>
    </w:p>
    <w:p w14:paraId="634BA8F4">
      <w:pPr>
        <w:spacing w:line="360" w:lineRule="auto"/>
        <w:ind w:firstLine="420" w:firstLineChars="200"/>
        <w:rPr>
          <w:bCs/>
          <w:color w:val="000000"/>
          <w:szCs w:val="21"/>
        </w:rPr>
      </w:pPr>
      <w:r>
        <w:rPr>
          <w:rFonts w:hint="eastAsia"/>
          <w:bCs/>
          <w:color w:val="000000"/>
          <w:szCs w:val="21"/>
        </w:rPr>
        <w:t xml:space="preserve">1）出借证券资产不得超过基金资产净值的30%，出借期限在10个交易日以上的出借证券应纳入《流动性风险管理规定》所述流动性受限证券的范围； </w:t>
      </w:r>
    </w:p>
    <w:p w14:paraId="689D79F9">
      <w:pPr>
        <w:spacing w:line="360" w:lineRule="auto"/>
        <w:ind w:firstLine="420" w:firstLineChars="200"/>
        <w:rPr>
          <w:bCs/>
          <w:color w:val="000000"/>
          <w:szCs w:val="21"/>
        </w:rPr>
      </w:pPr>
      <w:r>
        <w:rPr>
          <w:rFonts w:hint="eastAsia"/>
          <w:bCs/>
          <w:color w:val="000000"/>
          <w:szCs w:val="21"/>
        </w:rPr>
        <w:t xml:space="preserve">2）参与出借业务的单只证券不得超过本基金持有该证券总量的30%； </w:t>
      </w:r>
    </w:p>
    <w:p w14:paraId="7C5D28E2">
      <w:pPr>
        <w:spacing w:line="360" w:lineRule="auto"/>
        <w:ind w:firstLine="420" w:firstLineChars="200"/>
        <w:rPr>
          <w:bCs/>
          <w:color w:val="000000"/>
          <w:szCs w:val="21"/>
        </w:rPr>
      </w:pPr>
      <w:r>
        <w:rPr>
          <w:rFonts w:hint="eastAsia"/>
          <w:bCs/>
          <w:color w:val="000000"/>
          <w:szCs w:val="21"/>
        </w:rPr>
        <w:t xml:space="preserve">3）最近6个月内日均基金资产净值不得低于2亿元； </w:t>
      </w:r>
    </w:p>
    <w:p w14:paraId="1CF667BB">
      <w:pPr>
        <w:spacing w:line="360" w:lineRule="auto"/>
        <w:ind w:firstLine="420" w:firstLineChars="200"/>
        <w:rPr>
          <w:bCs/>
          <w:color w:val="000000"/>
          <w:szCs w:val="21"/>
        </w:rPr>
      </w:pPr>
      <w:r>
        <w:rPr>
          <w:rFonts w:hint="eastAsia"/>
          <w:bCs/>
          <w:color w:val="000000"/>
          <w:szCs w:val="21"/>
        </w:rPr>
        <w:t xml:space="preserve">4）证券出借的平均剩余期限不得超过30天，平均剩余期限按照市值加权平均计算； </w:t>
      </w:r>
    </w:p>
    <w:p w14:paraId="33F62DB4">
      <w:pPr>
        <w:spacing w:line="360" w:lineRule="auto"/>
        <w:ind w:firstLine="420" w:firstLineChars="200"/>
        <w:rPr>
          <w:bCs/>
          <w:color w:val="000000"/>
          <w:szCs w:val="21"/>
        </w:rPr>
      </w:pPr>
      <w:r>
        <w:rPr>
          <w:rFonts w:hint="eastAsia"/>
          <w:bCs/>
          <w:color w:val="000000"/>
          <w:szCs w:val="21"/>
        </w:rPr>
        <w:t xml:space="preserve">因证券、期货市场波动、证券发行人合并、基金规模变动等基金管理人之外的因素致使基金投资不符合上述规定的，基金管理人不得新增出借业务； </w:t>
      </w:r>
    </w:p>
    <w:p w14:paraId="064411C9">
      <w:pPr>
        <w:spacing w:line="360" w:lineRule="auto"/>
        <w:ind w:firstLine="420" w:firstLineChars="200"/>
        <w:rPr>
          <w:bCs/>
          <w:color w:val="000000"/>
          <w:szCs w:val="21"/>
        </w:rPr>
      </w:pPr>
      <w:r>
        <w:rPr>
          <w:rFonts w:hint="eastAsia"/>
          <w:bCs/>
          <w:color w:val="000000"/>
          <w:szCs w:val="21"/>
        </w:rPr>
        <w:t xml:space="preserve">（12）本基金投资股票期权应当符合以下要求： </w:t>
      </w:r>
    </w:p>
    <w:p w14:paraId="7C6AF2C1">
      <w:pPr>
        <w:spacing w:line="360" w:lineRule="auto"/>
        <w:ind w:firstLine="420" w:firstLineChars="200"/>
        <w:rPr>
          <w:bCs/>
          <w:color w:val="000000"/>
          <w:szCs w:val="21"/>
        </w:rPr>
      </w:pPr>
      <w:r>
        <w:rPr>
          <w:rFonts w:hint="eastAsia"/>
          <w:bCs/>
          <w:color w:val="000000"/>
          <w:szCs w:val="21"/>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2DEFD2CC">
      <w:pPr>
        <w:spacing w:line="360" w:lineRule="auto"/>
        <w:ind w:firstLine="420" w:firstLineChars="200"/>
        <w:rPr>
          <w:bCs/>
          <w:color w:val="000000"/>
          <w:szCs w:val="21"/>
        </w:rPr>
      </w:pPr>
      <w:r>
        <w:rPr>
          <w:rFonts w:hint="eastAsia"/>
          <w:bCs/>
          <w:color w:val="000000"/>
          <w:szCs w:val="21"/>
        </w:rPr>
        <w:t xml:space="preserve">（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6476992D">
      <w:pPr>
        <w:spacing w:line="360" w:lineRule="auto"/>
        <w:ind w:firstLine="420" w:firstLineChars="200"/>
        <w:rPr>
          <w:bCs/>
          <w:color w:val="000000"/>
          <w:szCs w:val="21"/>
        </w:rPr>
      </w:pPr>
      <w:r>
        <w:rPr>
          <w:rFonts w:hint="eastAsia"/>
          <w:bCs/>
          <w:color w:val="000000"/>
          <w:szCs w:val="21"/>
        </w:rPr>
        <w:t xml:space="preserve">（14）基金管理人承诺本基金与私募类证券资管产品及中国证监会认定的其他主体为交易对手开展逆回购交易的，可接受质押品的资质要求应当与基金合同约定的投资范围保持一致； </w:t>
      </w:r>
    </w:p>
    <w:p w14:paraId="34DF2E9C">
      <w:pPr>
        <w:spacing w:line="360" w:lineRule="auto"/>
        <w:ind w:firstLine="420" w:firstLineChars="200"/>
        <w:rPr>
          <w:bCs/>
          <w:color w:val="000000"/>
          <w:szCs w:val="21"/>
        </w:rPr>
      </w:pPr>
      <w:r>
        <w:rPr>
          <w:rFonts w:hint="eastAsia"/>
          <w:bCs/>
          <w:color w:val="000000"/>
          <w:szCs w:val="21"/>
        </w:rPr>
        <w:t xml:space="preserve">（15）本基金资产总值不得超过基金资产净值的140%； </w:t>
      </w:r>
    </w:p>
    <w:p w14:paraId="710BF9A6">
      <w:pPr>
        <w:spacing w:line="360" w:lineRule="auto"/>
        <w:ind w:firstLine="420" w:firstLineChars="200"/>
        <w:rPr>
          <w:bCs/>
          <w:color w:val="000000"/>
          <w:szCs w:val="21"/>
        </w:rPr>
      </w:pPr>
      <w:r>
        <w:rPr>
          <w:rFonts w:hint="eastAsia"/>
          <w:bCs/>
          <w:color w:val="000000"/>
          <w:szCs w:val="21"/>
        </w:rPr>
        <w:t xml:space="preserve">（16）本基金投资存托凭证的比例限制依照境内上市交易的股票执行； </w:t>
      </w:r>
    </w:p>
    <w:p w14:paraId="7375537B">
      <w:pPr>
        <w:spacing w:line="360" w:lineRule="auto"/>
        <w:ind w:firstLine="420" w:firstLineChars="200"/>
        <w:rPr>
          <w:bCs/>
          <w:color w:val="000000"/>
          <w:szCs w:val="21"/>
        </w:rPr>
      </w:pPr>
      <w:r>
        <w:rPr>
          <w:rFonts w:hint="eastAsia"/>
          <w:bCs/>
          <w:color w:val="000000"/>
          <w:szCs w:val="21"/>
        </w:rPr>
        <w:t xml:space="preserve">（17）法律法规及中国证监会规定的和《基金合同》约定的其他投资限制。 </w:t>
      </w:r>
    </w:p>
    <w:p w14:paraId="77109163">
      <w:pPr>
        <w:spacing w:line="360" w:lineRule="auto"/>
        <w:ind w:firstLine="420" w:firstLineChars="200"/>
        <w:rPr>
          <w:bCs/>
          <w:color w:val="000000"/>
          <w:szCs w:val="21"/>
        </w:rPr>
      </w:pPr>
      <w:r>
        <w:rPr>
          <w:rFonts w:hint="eastAsia"/>
          <w:bCs/>
          <w:color w:val="000000"/>
          <w:szCs w:val="21"/>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51A67EF8">
      <w:pPr>
        <w:spacing w:line="360" w:lineRule="auto"/>
        <w:ind w:firstLine="420" w:firstLineChars="200"/>
        <w:rPr>
          <w:bCs/>
          <w:color w:val="000000"/>
          <w:szCs w:val="21"/>
        </w:rPr>
      </w:pPr>
      <w:r>
        <w:rPr>
          <w:rFonts w:hint="eastAsia"/>
          <w:bCs/>
          <w:color w:val="000000"/>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基金托管人对上述指标的监督义务，仅限于监督由基金管理人管理且由基金托管人托管的全部证券投资基金是否符合上述比例限制。基金托管人不负责基金的投资管理和风险管理，对基金管理人的投资行为（包括但不限于其投资策略及决定）及其投资回报不承担责任，不因提供监督而对基金管理人的违法违规投资、违反基金合同或本协议约定投资等承担责任。</w:t>
      </w:r>
    </w:p>
    <w:p w14:paraId="7B61E19B">
      <w:pPr>
        <w:spacing w:line="360" w:lineRule="auto"/>
        <w:ind w:firstLine="420" w:firstLineChars="200"/>
        <w:rPr>
          <w:bCs/>
          <w:color w:val="000000"/>
          <w:szCs w:val="21"/>
        </w:rPr>
      </w:pPr>
      <w:r>
        <w:rPr>
          <w:rFonts w:hint="eastAsia"/>
          <w:bCs/>
          <w:color w:val="000000"/>
          <w:szCs w:val="21"/>
        </w:rPr>
        <w:t>法律法规或监管部门取消或调整上述限制，如适用于本基金，基金管理人在与基金托管人协商一致并履行适当程序后，则本基金投资不再受相关限制或按照调整后的规定执行。</w:t>
      </w:r>
    </w:p>
    <w:p w14:paraId="7518FEA0">
      <w:pPr>
        <w:spacing w:line="360" w:lineRule="auto"/>
        <w:ind w:firstLine="420" w:firstLineChars="200"/>
        <w:rPr>
          <w:bCs/>
          <w:color w:val="000000"/>
          <w:szCs w:val="21"/>
        </w:rPr>
      </w:pPr>
      <w:r>
        <w:rPr>
          <w:rFonts w:hint="eastAsia"/>
          <w:bCs/>
          <w:color w:val="000000"/>
          <w:szCs w:val="21"/>
        </w:rPr>
        <w:t xml:space="preserve">3、基金托管人根据有关法律法规的规定及《基金合同》的约定对下述基金投资禁止行为进行监督： </w:t>
      </w:r>
    </w:p>
    <w:p w14:paraId="5AED4220">
      <w:pPr>
        <w:spacing w:line="360" w:lineRule="auto"/>
        <w:ind w:firstLine="420" w:firstLineChars="200"/>
        <w:rPr>
          <w:bCs/>
          <w:color w:val="000000"/>
          <w:szCs w:val="21"/>
        </w:rPr>
      </w:pPr>
      <w:r>
        <w:rPr>
          <w:rFonts w:hint="eastAsia"/>
          <w:bCs/>
          <w:color w:val="000000"/>
          <w:szCs w:val="21"/>
        </w:rPr>
        <w:t>根据法律法规的规定及《基金合同》的约定，本基金禁止从事下列行为：</w:t>
      </w:r>
    </w:p>
    <w:p w14:paraId="5B0EA528">
      <w:pPr>
        <w:spacing w:line="360" w:lineRule="auto"/>
        <w:ind w:firstLine="420" w:firstLineChars="200"/>
        <w:rPr>
          <w:bCs/>
          <w:color w:val="000000"/>
          <w:szCs w:val="21"/>
        </w:rPr>
      </w:pPr>
      <w:r>
        <w:rPr>
          <w:rFonts w:hint="eastAsia"/>
          <w:bCs/>
          <w:color w:val="000000"/>
          <w:szCs w:val="21"/>
        </w:rPr>
        <w:t>（1）承销证券；</w:t>
      </w:r>
    </w:p>
    <w:p w14:paraId="5BE2E012">
      <w:pPr>
        <w:spacing w:line="360" w:lineRule="auto"/>
        <w:ind w:firstLine="420" w:firstLineChars="200"/>
        <w:rPr>
          <w:bCs/>
          <w:color w:val="000000"/>
          <w:szCs w:val="21"/>
        </w:rPr>
      </w:pPr>
      <w:r>
        <w:rPr>
          <w:rFonts w:hint="eastAsia"/>
          <w:bCs/>
          <w:color w:val="000000"/>
          <w:szCs w:val="21"/>
        </w:rPr>
        <w:t>（2）违反规定向他人贷款或者提供担保；</w:t>
      </w:r>
    </w:p>
    <w:p w14:paraId="29BB0C00">
      <w:pPr>
        <w:spacing w:line="360" w:lineRule="auto"/>
        <w:ind w:firstLine="420" w:firstLineChars="200"/>
        <w:rPr>
          <w:bCs/>
          <w:color w:val="000000"/>
          <w:szCs w:val="21"/>
        </w:rPr>
      </w:pPr>
      <w:r>
        <w:rPr>
          <w:rFonts w:hint="eastAsia"/>
          <w:bCs/>
          <w:color w:val="000000"/>
          <w:szCs w:val="21"/>
        </w:rPr>
        <w:t>（3）从事承担无限责任的投资；</w:t>
      </w:r>
    </w:p>
    <w:p w14:paraId="07C82057">
      <w:pPr>
        <w:spacing w:line="360" w:lineRule="auto"/>
        <w:ind w:firstLine="420" w:firstLineChars="200"/>
        <w:rPr>
          <w:bCs/>
          <w:color w:val="000000"/>
          <w:szCs w:val="21"/>
        </w:rPr>
      </w:pPr>
      <w:r>
        <w:rPr>
          <w:rFonts w:hint="eastAsia"/>
          <w:bCs/>
          <w:color w:val="000000"/>
          <w:szCs w:val="21"/>
        </w:rPr>
        <w:t>（4）买卖其他基金份额，但是中国证监会另有规定的除外；</w:t>
      </w:r>
    </w:p>
    <w:p w14:paraId="238D4FE5">
      <w:pPr>
        <w:spacing w:line="360" w:lineRule="auto"/>
        <w:ind w:firstLine="420" w:firstLineChars="200"/>
        <w:rPr>
          <w:bCs/>
          <w:color w:val="000000"/>
          <w:szCs w:val="21"/>
        </w:rPr>
      </w:pPr>
      <w:r>
        <w:rPr>
          <w:rFonts w:hint="eastAsia"/>
          <w:bCs/>
          <w:color w:val="000000"/>
          <w:szCs w:val="21"/>
        </w:rPr>
        <w:t>（5）向其基金管理人、基金托管人出资；</w:t>
      </w:r>
    </w:p>
    <w:p w14:paraId="7F3ED70F">
      <w:pPr>
        <w:spacing w:line="360" w:lineRule="auto"/>
        <w:ind w:firstLine="420" w:firstLineChars="200"/>
        <w:rPr>
          <w:bCs/>
          <w:color w:val="000000"/>
          <w:szCs w:val="21"/>
        </w:rPr>
      </w:pPr>
      <w:r>
        <w:rPr>
          <w:rFonts w:hint="eastAsia"/>
          <w:bCs/>
          <w:color w:val="000000"/>
          <w:szCs w:val="21"/>
        </w:rPr>
        <w:t>（6）从事内幕交易、操纵证券交易价格及其他不正当的证券交易活动；</w:t>
      </w:r>
    </w:p>
    <w:p w14:paraId="28CD569B">
      <w:pPr>
        <w:spacing w:line="360" w:lineRule="auto"/>
        <w:ind w:firstLine="420" w:firstLineChars="200"/>
        <w:rPr>
          <w:bCs/>
          <w:color w:val="000000"/>
          <w:szCs w:val="21"/>
        </w:rPr>
      </w:pPr>
      <w:r>
        <w:rPr>
          <w:rFonts w:hint="eastAsia"/>
          <w:bCs/>
          <w:color w:val="000000"/>
          <w:szCs w:val="21"/>
        </w:rPr>
        <w:t>（7）法律、行政法规和中国证监会规定禁止的其他活动。</w:t>
      </w:r>
    </w:p>
    <w:p w14:paraId="68805165">
      <w:pPr>
        <w:spacing w:line="360" w:lineRule="auto"/>
        <w:ind w:firstLine="420" w:firstLineChars="200"/>
        <w:rPr>
          <w:bCs/>
          <w:color w:val="000000"/>
          <w:szCs w:val="21"/>
        </w:rPr>
      </w:pPr>
      <w:r>
        <w:rPr>
          <w:rFonts w:hint="eastAsia"/>
          <w:bCs/>
          <w:color w:val="000000"/>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DBF8EC6">
      <w:pPr>
        <w:spacing w:line="360" w:lineRule="auto"/>
        <w:ind w:firstLine="420" w:firstLineChars="200"/>
        <w:rPr>
          <w:bCs/>
          <w:color w:val="000000"/>
          <w:szCs w:val="21"/>
        </w:rPr>
      </w:pPr>
      <w:r>
        <w:rPr>
          <w:rFonts w:hint="eastAsia"/>
          <w:bCs/>
          <w:color w:val="000000"/>
          <w:szCs w:val="21"/>
        </w:rPr>
        <w:t>基金管理人应在基金投资运作之前以书面形式向基金托管人提供关联方名单，并在基金存续期内及时更新关联方名单，基金管理人有责任确保及时将关联方名单发送给基金托管人，否则由此造成的损失应由基金管理人承担。如基金管理人未在基金投资运作之前以书面形式向基金托管人提供关联方名单，基金托管人有权不对关联交易进行监督。在基金存续期间基金托管人按照基金年报披露的关联方名单进行监督。基金托管人对基金管理人的违法违规投资等上述事项和由此造成的任何损失不承担任何责任。</w:t>
      </w:r>
    </w:p>
    <w:p w14:paraId="58D4F7CD">
      <w:pPr>
        <w:spacing w:line="360" w:lineRule="auto"/>
        <w:ind w:firstLine="420" w:firstLineChars="200"/>
        <w:rPr>
          <w:bCs/>
          <w:color w:val="000000"/>
          <w:szCs w:val="21"/>
        </w:rPr>
      </w:pPr>
      <w:r>
        <w:rPr>
          <w:rFonts w:hint="eastAsia"/>
          <w:bCs/>
          <w:color w:val="000000"/>
          <w:szCs w:val="21"/>
        </w:rPr>
        <w:t>法律、行政法规或监管部门取消或调整上述限制，如适用于本基金，基金管理人在履行适当程序并与基金托管人协商一致后，则本基金投资不再受相关限制或按照调整后的规定执行。</w:t>
      </w:r>
    </w:p>
    <w:p w14:paraId="7D336450">
      <w:pPr>
        <w:spacing w:line="360" w:lineRule="auto"/>
        <w:ind w:firstLine="420" w:firstLineChars="200"/>
        <w:rPr>
          <w:bCs/>
          <w:color w:val="000000"/>
          <w:szCs w:val="21"/>
        </w:rPr>
      </w:pPr>
      <w:r>
        <w:rPr>
          <w:rFonts w:hint="eastAsia"/>
          <w:bCs/>
          <w:color w:val="000000"/>
          <w:szCs w:val="21"/>
        </w:rPr>
        <w:t>4、基金托管人根据有关法律法规的规定和《基金合同》的约定，对基金管理人参与银行间债券市场进行监督。</w:t>
      </w:r>
    </w:p>
    <w:p w14:paraId="379C4008">
      <w:pPr>
        <w:spacing w:line="360" w:lineRule="auto"/>
        <w:ind w:firstLine="420" w:firstLineChars="200"/>
        <w:rPr>
          <w:bCs/>
          <w:color w:val="000000"/>
          <w:szCs w:val="21"/>
        </w:rPr>
      </w:pPr>
      <w:r>
        <w:rPr>
          <w:rFonts w:hint="eastAsia"/>
          <w:bCs/>
          <w:color w:val="000000"/>
          <w:szCs w:val="21"/>
        </w:rPr>
        <w:t>基金管理人应在基金投资运作之前向基金托管人提供符合法律法规及行业标准的、经慎重选择的、本基金适用的银行间债券市场交易对手名单。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如基金管理人未在基金投资运作前向基金托管人提供交易对手书面名单，基金托管人有权不对交易对手是否在名单内进行监督。在基金存续期间基金管理人可以调整交易对手名单，但应将调整结果至少在与交易对手发生交易前一个工作日书面通知基金托管人。新名单确定前已与本次剔除的交易对手所进行但尚未结算的交易，仍应按照协议进行结算。如基金管理人根据市场需要临时调整银行间债券交易对手名单的，应向基金托管人说明理由，并在与交易对手发生交易前3个交易日内与基金托管人协商解决。</w:t>
      </w:r>
    </w:p>
    <w:p w14:paraId="00514D33">
      <w:pPr>
        <w:spacing w:line="360" w:lineRule="auto"/>
        <w:ind w:firstLine="420" w:firstLineChars="200"/>
        <w:rPr>
          <w:bCs/>
          <w:color w:val="000000"/>
          <w:szCs w:val="21"/>
        </w:rPr>
      </w:pPr>
      <w:r>
        <w:rPr>
          <w:rFonts w:hint="eastAsia"/>
          <w:bCs/>
          <w:color w:val="000000"/>
          <w:szCs w:val="21"/>
        </w:rPr>
        <w:t>基金管理人负责对交易对手的资信控制，按银行间债券市场的交易规则进行交易，并负责处理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向相关交易对手追偿。如基金托管人事后发现基金管理人没有按照事先约定的交易对手进行交易时，基金托管人有权提醒基金管理人，基金托管人不承担由此造成的任何损失和责任。</w:t>
      </w:r>
    </w:p>
    <w:p w14:paraId="4A0B4C48">
      <w:pPr>
        <w:spacing w:line="360" w:lineRule="auto"/>
        <w:ind w:firstLine="420" w:firstLineChars="200"/>
        <w:rPr>
          <w:bCs/>
          <w:color w:val="000000"/>
          <w:szCs w:val="21"/>
        </w:rPr>
      </w:pPr>
      <w:r>
        <w:rPr>
          <w:rFonts w:hint="eastAsia"/>
          <w:bCs/>
          <w:color w:val="000000"/>
          <w:szCs w:val="21"/>
        </w:rPr>
        <w:t>5、基金托管人对基金管理人选择存款银行进行监督。</w:t>
      </w:r>
    </w:p>
    <w:p w14:paraId="2E7A4D2F">
      <w:pPr>
        <w:spacing w:line="360" w:lineRule="auto"/>
        <w:ind w:firstLine="420" w:firstLineChars="200"/>
        <w:rPr>
          <w:bCs/>
          <w:color w:val="000000"/>
          <w:szCs w:val="21"/>
        </w:rPr>
      </w:pPr>
      <w:r>
        <w:rPr>
          <w:rFonts w:hint="eastAsia"/>
          <w:bCs/>
          <w:color w:val="000000"/>
          <w:szCs w:val="21"/>
        </w:rPr>
        <w:t>基金投资银行定期存款的，基金管理人应根据法律法规的规定及基金合同的约定，确定符合条件的所有存款银行的名单，并及时提供给基金托管人，基金托管人应据以对基金投资银行存款的交易对手是否按存款银行名单交易进行监督。如基金管理人在基金投资运作之前未向基金托管人提供符合条件的存款银行名单，基金托管人有权不对基金投资银行存款的交易对手进行监督。</w:t>
      </w:r>
    </w:p>
    <w:p w14:paraId="24EFE2EF">
      <w:pPr>
        <w:spacing w:line="360" w:lineRule="auto"/>
        <w:ind w:firstLine="420" w:firstLineChars="200"/>
        <w:rPr>
          <w:bCs/>
          <w:color w:val="000000"/>
          <w:szCs w:val="21"/>
        </w:rPr>
      </w:pPr>
      <w:r>
        <w:rPr>
          <w:rFonts w:hint="eastAsia"/>
          <w:bCs/>
          <w:color w:val="000000"/>
          <w:szCs w:val="21"/>
        </w:rPr>
        <w:t>6、基金托管人根据有关法律法规的规定及基金合同的约定对基金参与转融通证券出借业务进行监督。</w:t>
      </w:r>
    </w:p>
    <w:p w14:paraId="21E1C304">
      <w:pPr>
        <w:spacing w:line="360" w:lineRule="auto"/>
        <w:ind w:firstLine="420" w:firstLineChars="200"/>
        <w:rPr>
          <w:bCs/>
          <w:color w:val="000000"/>
          <w:szCs w:val="21"/>
        </w:rPr>
      </w:pPr>
      <w:r>
        <w:rPr>
          <w:rFonts w:hint="eastAsia"/>
          <w:bCs/>
          <w:color w:val="000000"/>
          <w:szCs w:val="21"/>
        </w:rPr>
        <w:t>基金管理人运用基金财产参与转融通证券出借业务，应当遵守审慎经营原则，配备技术系统和专业人员，制定科学合理的投资策略和风险管理制度，完善业务流程，有效防范和控制风险，切实维护基金财产的安全和基金份额持有人合法权益。基金托管人根据有关法律法规的规定和《基金合同》、本协议的约定，对基金参与转融通证券出借业务进行监督。</w:t>
      </w:r>
    </w:p>
    <w:p w14:paraId="6D034246">
      <w:pPr>
        <w:spacing w:line="360" w:lineRule="auto"/>
        <w:ind w:firstLine="420" w:firstLineChars="200"/>
        <w:rPr>
          <w:bCs/>
          <w:color w:val="000000"/>
          <w:szCs w:val="21"/>
        </w:rPr>
      </w:pPr>
      <w:r>
        <w:rPr>
          <w:rFonts w:hint="eastAsia"/>
          <w:bCs/>
          <w:color w:val="000000"/>
          <w:szCs w:val="21"/>
        </w:rPr>
        <w:t>（二）基金托管人应根据有关法律法规的规定及《基金合同》的约定，对基金资产净值计算、基金份额净值计算、应收资金到账、基金费用开支及收入确定、基金收益分配、相关信息披露等进行监督和核查。</w:t>
      </w:r>
    </w:p>
    <w:p w14:paraId="31125EC2">
      <w:pPr>
        <w:spacing w:line="360" w:lineRule="auto"/>
        <w:ind w:firstLine="420" w:firstLineChars="200"/>
        <w:rPr>
          <w:bCs/>
          <w:color w:val="000000"/>
          <w:szCs w:val="21"/>
        </w:rPr>
      </w:pPr>
      <w:r>
        <w:rPr>
          <w:rFonts w:hint="eastAsia"/>
          <w:bCs/>
          <w:color w:val="000000"/>
          <w:szCs w:val="21"/>
        </w:rPr>
        <w:t>（三）基金托管人发现基金管理人的投资运作及其他运作违反《基金法》、《基金合同》、本协议及其他有关规定时，有权及时以书面形式通知基金管理人限期纠正，基金管理人收到通知后应在当日及时核对，并以书面形式向基金托管人发出回函，进行解释或举证。</w:t>
      </w:r>
    </w:p>
    <w:p w14:paraId="28C9FE89">
      <w:pPr>
        <w:spacing w:line="360" w:lineRule="auto"/>
        <w:ind w:firstLine="420" w:firstLineChars="200"/>
        <w:rPr>
          <w:bCs/>
          <w:color w:val="000000"/>
          <w:szCs w:val="21"/>
        </w:rPr>
      </w:pPr>
      <w:r>
        <w:rPr>
          <w:rFonts w:hint="eastAsia"/>
          <w:bCs/>
          <w:color w:val="000000"/>
          <w:szCs w:val="21"/>
        </w:rPr>
        <w:t>在限期内，基金托管人有权随时对书面通知事项进行复查，督促基金管理人改正。基金管理人对基金托管人通知的违规事项未能在限期内纠正的，基金托管人有权报告中国证监会。基金管理人有义务赔偿因其违反《基金合同》、本协议而致使投资者遭受的损失。</w:t>
      </w:r>
    </w:p>
    <w:p w14:paraId="6836A13D">
      <w:pPr>
        <w:spacing w:line="360" w:lineRule="auto"/>
        <w:ind w:firstLine="420" w:firstLineChars="200"/>
        <w:rPr>
          <w:bCs/>
          <w:color w:val="000000"/>
          <w:szCs w:val="21"/>
        </w:rPr>
      </w:pPr>
      <w:r>
        <w:rPr>
          <w:rFonts w:hint="eastAsia"/>
          <w:bCs/>
          <w:color w:val="000000"/>
          <w:szCs w:val="21"/>
        </w:rPr>
        <w:t>基金托管人发现基金管理人的投资指令违反有关法律法规规定或者违反《基金合同》、本协议约定的，有权拒绝执行，并有权及时书面通知基金管理人，并向中国证监会报告。</w:t>
      </w:r>
    </w:p>
    <w:p w14:paraId="12D48857">
      <w:pPr>
        <w:spacing w:line="360" w:lineRule="auto"/>
        <w:ind w:firstLine="420" w:firstLineChars="200"/>
        <w:rPr>
          <w:bCs/>
          <w:color w:val="000000"/>
          <w:szCs w:val="21"/>
        </w:rPr>
      </w:pPr>
      <w:r>
        <w:rPr>
          <w:rFonts w:hint="eastAsia"/>
          <w:bCs/>
          <w:color w:val="000000"/>
          <w:szCs w:val="21"/>
        </w:rPr>
        <w:t>基金托管人发现基金管理人依据交易程序已经生效的投资指令违反法律、行政法规和其他有关规定，或者违反《基金合同》、本协议约定的，有权书面通知基金管理人，并报告中国证监会。</w:t>
      </w:r>
    </w:p>
    <w:p w14:paraId="7E7F29A6">
      <w:pPr>
        <w:spacing w:line="360" w:lineRule="auto"/>
        <w:ind w:firstLine="420" w:firstLineChars="200"/>
        <w:rPr>
          <w:bCs/>
          <w:color w:val="000000"/>
          <w:szCs w:val="21"/>
        </w:rPr>
      </w:pPr>
      <w:r>
        <w:rPr>
          <w:rFonts w:hint="eastAsia"/>
          <w:bCs/>
          <w:color w:val="000000"/>
          <w:szCs w:val="21"/>
        </w:rPr>
        <w:t>基金管理人应积极配合和协助基金托管人的监督和核查，必须在规定时间内答复基金托管人并改正，就基金托管人的合理疑义进行解释或举证，对基金托管人按照法律法规要求需向中国证监会报送基金监督报告的，基金管理人应积极配合提供相关数据资料和制度等。</w:t>
      </w:r>
    </w:p>
    <w:p w14:paraId="6F6DC069">
      <w:pPr>
        <w:spacing w:line="360" w:lineRule="auto"/>
        <w:ind w:firstLine="420" w:firstLineChars="200"/>
        <w:rPr>
          <w:bCs/>
          <w:color w:val="000000"/>
          <w:szCs w:val="21"/>
        </w:rPr>
      </w:pPr>
      <w:r>
        <w:rPr>
          <w:rFonts w:hint="eastAsia"/>
          <w:bCs/>
          <w:color w:val="000000"/>
          <w:szCs w:val="21"/>
        </w:rPr>
        <w:t>基金管理人承诺其按照《中华人民共和国反洗钱法》等反洗钱相关法律法规及监管规定的要求履行反洗钱义务，不会实施任何违反前述规定的违法行为。基金管理人或其委托的销售机构应当开展客户尽职调查及交易记录保存工作，在基金存续期间及时更新基金份额持有人信息，基金托管人根据相关法律法规及中国人民银行反洗钱监管规定，有权要求基金管理人向基金托管人提供基金份额持有人的身份证明文件和其他相关资料的复印件或影印件，基金托管人具备合理理由怀疑基金管理人或本基金涉嫌洗钱、恐怖融资的，基金托管人有权按照相关法律法规及中国人民银行反洗钱监管规定采取必要管控措施，并有权向反洗钱监管部门报告。</w:t>
      </w:r>
    </w:p>
    <w:p w14:paraId="607B66C4">
      <w:pPr>
        <w:spacing w:line="360" w:lineRule="auto"/>
        <w:ind w:firstLine="420" w:firstLineChars="200"/>
        <w:rPr>
          <w:bCs/>
          <w:color w:val="000000"/>
          <w:szCs w:val="21"/>
        </w:rPr>
      </w:pPr>
      <w:r>
        <w:rPr>
          <w:rFonts w:hint="eastAsia"/>
          <w:bCs/>
          <w:color w:val="000000"/>
          <w:szCs w:val="21"/>
        </w:rPr>
        <w:t>基金托管人发现基金管理人有重大违规行为，有权及时报告中国证监会，同时有权书面通知基金管理人限期纠正。</w:t>
      </w:r>
    </w:p>
    <w:p w14:paraId="79225952">
      <w:pPr>
        <w:spacing w:line="360" w:lineRule="auto"/>
        <w:ind w:firstLine="420" w:firstLineChars="200"/>
        <w:rPr>
          <w:bCs/>
          <w:color w:val="000000"/>
          <w:szCs w:val="21"/>
        </w:rPr>
      </w:pPr>
      <w:r>
        <w:rPr>
          <w:rFonts w:hint="eastAsia"/>
          <w:bCs/>
          <w:color w:val="000000"/>
          <w:szCs w:val="21"/>
        </w:rPr>
        <w:t>基金管理人无正当理由，拒绝、阻挠基金托管人根据本协议规定行使监督权，或采取拖延、欺诈等手段妨碍基金托管人进行有效监督，情节严重或经基金托管人提出书面警告仍不改正的，基金托管人有权报告中国证监会。基金托管人不因提供监督而对基金管理人违法违规投资等承担责任。</w:t>
      </w:r>
    </w:p>
    <w:p w14:paraId="67035F99">
      <w:pPr>
        <w:spacing w:line="360" w:lineRule="auto"/>
        <w:ind w:firstLine="422" w:firstLineChars="200"/>
        <w:rPr>
          <w:rFonts w:hint="eastAsia" w:ascii="宋体" w:hAnsi="宋体" w:cs="Arial"/>
          <w:b/>
          <w:szCs w:val="21"/>
        </w:rPr>
      </w:pPr>
      <w:r>
        <w:rPr>
          <w:rFonts w:hint="eastAsia" w:ascii="宋体" w:hAnsi="宋体" w:cs="Arial"/>
          <w:b/>
          <w:szCs w:val="21"/>
        </w:rPr>
        <w:t>三、基金管理人对基金托管人的业务核查</w:t>
      </w:r>
    </w:p>
    <w:p w14:paraId="528375F7">
      <w:pPr>
        <w:spacing w:line="360" w:lineRule="auto"/>
        <w:ind w:firstLine="420" w:firstLineChars="200"/>
        <w:rPr>
          <w:color w:val="000000"/>
          <w:szCs w:val="21"/>
        </w:rPr>
      </w:pPr>
      <w:r>
        <w:rPr>
          <w:rFonts w:hint="eastAsia"/>
          <w:color w:val="000000"/>
          <w:szCs w:val="21"/>
        </w:rPr>
        <w:t>根据有关法律法规、《基金合同》及本协议规定，基金管理人对基金托管人履行托管职责情况进行核查，核查事项包括基金托管人安全保管基金财产、开设基金财产的资金账户和证券账户等投资所需账户、复核基金管理人计算的基金资产净值和基金份额净值，根据基金管理人指令办理清算交收、相关信息披露和监督基金投资运作等行为。</w:t>
      </w:r>
    </w:p>
    <w:p w14:paraId="18516551">
      <w:pPr>
        <w:spacing w:line="360" w:lineRule="auto"/>
        <w:ind w:firstLine="420" w:firstLineChars="200"/>
        <w:rPr>
          <w:color w:val="000000"/>
          <w:szCs w:val="21"/>
        </w:rPr>
      </w:pPr>
      <w:r>
        <w:rPr>
          <w:rFonts w:hint="eastAsia"/>
          <w:color w:val="000000"/>
          <w:szCs w:val="21"/>
        </w:rPr>
        <w:t>基金管理人发现基金托管人擅自挪用基金财产、未对基金财产实行分账管理、未执行或无故延迟执行基金管理人的有效资金划拨指令、违反约定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对通知事项进行复查，督促基金托管人改正，并予协助配合。基金托管人对基金管理人通知的违规事项未能在限期内纠正的，基金管理人应报告中国证监会，基金管理人有义务要求基金托管人赔偿基金因基金托管人过错违反本协议约定所遭受的损失。</w:t>
      </w:r>
    </w:p>
    <w:p w14:paraId="05A88D13">
      <w:pPr>
        <w:spacing w:line="360" w:lineRule="auto"/>
        <w:ind w:firstLine="420" w:firstLineChars="200"/>
        <w:rPr>
          <w:color w:val="000000"/>
          <w:szCs w:val="21"/>
        </w:rPr>
      </w:pPr>
      <w:r>
        <w:rPr>
          <w:rFonts w:hint="eastAsia"/>
          <w:color w:val="000000"/>
          <w:szCs w:val="21"/>
        </w:rPr>
        <w:t>基金管理人发现基金托管人有重大违规行为，应立即报告中国证监会和银行业监督管理机构，同时通知基金托管人限期纠正。</w:t>
      </w:r>
    </w:p>
    <w:p w14:paraId="2E38D1AB">
      <w:pPr>
        <w:spacing w:line="360" w:lineRule="auto"/>
        <w:ind w:firstLine="420" w:firstLineChars="200"/>
        <w:rPr>
          <w:color w:val="000000"/>
          <w:szCs w:val="21"/>
        </w:rPr>
      </w:pPr>
      <w:r>
        <w:rPr>
          <w:rFonts w:hint="eastAsia"/>
          <w:color w:val="000000"/>
          <w:szCs w:val="21"/>
        </w:rPr>
        <w:t>基金托管人应积极配合基金管理人的核查行为，包括但不限于：提交相关资料以供基金管理人核查托管财产的完整性和真实性，在规定时间内答复基金管理人并改正。</w:t>
      </w:r>
    </w:p>
    <w:p w14:paraId="7D57FBC8">
      <w:pPr>
        <w:spacing w:line="360" w:lineRule="auto"/>
        <w:ind w:firstLine="420" w:firstLineChars="200"/>
        <w:rPr>
          <w:color w:val="000000"/>
          <w:szCs w:val="21"/>
        </w:rPr>
      </w:pPr>
      <w:r>
        <w:rPr>
          <w:rFonts w:hint="eastAsia"/>
          <w:color w:val="000000"/>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0D2090FF">
      <w:pPr>
        <w:spacing w:line="360" w:lineRule="auto"/>
        <w:ind w:firstLine="422" w:firstLineChars="200"/>
        <w:rPr>
          <w:rFonts w:hint="eastAsia" w:ascii="宋体" w:hAnsi="宋体" w:cs="Arial"/>
          <w:b/>
          <w:szCs w:val="21"/>
        </w:rPr>
      </w:pPr>
      <w:r>
        <w:rPr>
          <w:rFonts w:ascii="宋体" w:hAnsi="宋体" w:cs="Arial"/>
          <w:b/>
          <w:szCs w:val="21"/>
        </w:rPr>
        <w:t>四、基金财产的保管</w:t>
      </w:r>
      <w:bookmarkEnd w:id="179"/>
      <w:bookmarkEnd w:id="180"/>
      <w:bookmarkEnd w:id="181"/>
      <w:bookmarkEnd w:id="182"/>
      <w:bookmarkEnd w:id="183"/>
      <w:bookmarkEnd w:id="184"/>
    </w:p>
    <w:p w14:paraId="32DF31DA">
      <w:pPr>
        <w:adjustRightInd w:val="0"/>
        <w:snapToGrid w:val="0"/>
        <w:spacing w:line="360" w:lineRule="auto"/>
        <w:ind w:firstLine="420" w:firstLineChars="200"/>
        <w:rPr>
          <w:color w:val="000000"/>
          <w:szCs w:val="21"/>
        </w:rPr>
      </w:pPr>
      <w:bookmarkStart w:id="185" w:name="_Toc286319597"/>
      <w:bookmarkStart w:id="186" w:name="_Toc252355966"/>
      <w:bookmarkStart w:id="187" w:name="_Toc278986834"/>
      <w:bookmarkStart w:id="188" w:name="_Toc288639819"/>
      <w:bookmarkStart w:id="189" w:name="_Toc278986609"/>
      <w:bookmarkStart w:id="190" w:name="_Toc278986894"/>
      <w:bookmarkStart w:id="191" w:name="_Toc287014246"/>
      <w:r>
        <w:rPr>
          <w:rFonts w:hint="eastAsia"/>
          <w:color w:val="000000"/>
          <w:szCs w:val="21"/>
        </w:rPr>
        <w:t>（一）基金财产保管的原则</w:t>
      </w:r>
    </w:p>
    <w:p w14:paraId="37884C44">
      <w:pPr>
        <w:adjustRightInd w:val="0"/>
        <w:snapToGrid w:val="0"/>
        <w:spacing w:line="360" w:lineRule="auto"/>
        <w:ind w:firstLine="420" w:firstLineChars="200"/>
        <w:rPr>
          <w:color w:val="000000"/>
          <w:szCs w:val="21"/>
        </w:rPr>
      </w:pPr>
      <w:r>
        <w:rPr>
          <w:rFonts w:hint="eastAsia"/>
          <w:color w:val="000000"/>
          <w:szCs w:val="21"/>
        </w:rPr>
        <w:t>1、基金财产应独立于基金管理人、基金托管人、证券经纪机构的固有财产。</w:t>
      </w:r>
    </w:p>
    <w:p w14:paraId="02E29EE7">
      <w:pPr>
        <w:adjustRightInd w:val="0"/>
        <w:snapToGrid w:val="0"/>
        <w:spacing w:line="360" w:lineRule="auto"/>
        <w:ind w:firstLine="420" w:firstLineChars="200"/>
        <w:rPr>
          <w:color w:val="000000"/>
          <w:szCs w:val="21"/>
        </w:rPr>
      </w:pPr>
      <w:r>
        <w:rPr>
          <w:rFonts w:hint="eastAsia"/>
          <w:color w:val="000000"/>
          <w:szCs w:val="21"/>
        </w:rPr>
        <w:t>2、基金托管人应安全保管基金财产，但对于已根据基金管理人指令划转出托管账户的财产，以及处于基金托管人实际控制之外的财产不承担保管责任。未经基金管理人的正当指令，不得自行运用、处分、分配基金的任何财产。</w:t>
      </w:r>
    </w:p>
    <w:p w14:paraId="4AF6C15C">
      <w:pPr>
        <w:adjustRightInd w:val="0"/>
        <w:snapToGrid w:val="0"/>
        <w:spacing w:line="360" w:lineRule="auto"/>
        <w:ind w:firstLine="420" w:firstLineChars="200"/>
        <w:rPr>
          <w:color w:val="000000"/>
          <w:szCs w:val="21"/>
        </w:rPr>
      </w:pPr>
      <w:r>
        <w:rPr>
          <w:rFonts w:hint="eastAsia"/>
          <w:color w:val="000000"/>
          <w:szCs w:val="21"/>
        </w:rPr>
        <w:t>3、基金托管人协助基金管理人按照规定开设基金财产的资金账户和证券账户等投资所需账户。</w:t>
      </w:r>
    </w:p>
    <w:p w14:paraId="7764BE2A">
      <w:pPr>
        <w:adjustRightInd w:val="0"/>
        <w:snapToGrid w:val="0"/>
        <w:spacing w:line="360" w:lineRule="auto"/>
        <w:ind w:firstLine="420" w:firstLineChars="200"/>
        <w:rPr>
          <w:color w:val="000000"/>
          <w:szCs w:val="21"/>
        </w:rPr>
      </w:pPr>
      <w:r>
        <w:rPr>
          <w:rFonts w:hint="eastAsia"/>
          <w:color w:val="000000"/>
          <w:szCs w:val="21"/>
        </w:rPr>
        <w:t>4、基金托管人对所托管的不同基金财产分别设置账户，与基金托管人的其他业务和其他基金的托管业务实行严格的分账管理，确保基金财产的完整与独立。</w:t>
      </w:r>
    </w:p>
    <w:p w14:paraId="6EE036A2">
      <w:pPr>
        <w:adjustRightInd w:val="0"/>
        <w:snapToGrid w:val="0"/>
        <w:spacing w:line="360" w:lineRule="auto"/>
        <w:ind w:firstLine="420" w:firstLineChars="200"/>
        <w:rPr>
          <w:color w:val="000000"/>
          <w:szCs w:val="21"/>
        </w:rPr>
      </w:pPr>
      <w:r>
        <w:rPr>
          <w:rFonts w:hint="eastAsia"/>
          <w:color w:val="000000"/>
          <w:szCs w:val="21"/>
        </w:rPr>
        <w:t>5、基金托管人根据基金管理人的指令，按照法律法规的规定、基金合同和本协议的约定保管基金财产。</w:t>
      </w:r>
    </w:p>
    <w:p w14:paraId="2A9CDBEA">
      <w:pPr>
        <w:adjustRightInd w:val="0"/>
        <w:snapToGrid w:val="0"/>
        <w:spacing w:line="360" w:lineRule="auto"/>
        <w:ind w:firstLine="420" w:firstLineChars="200"/>
        <w:rPr>
          <w:color w:val="000000"/>
          <w:szCs w:val="21"/>
        </w:rPr>
      </w:pPr>
      <w:r>
        <w:rPr>
          <w:rFonts w:hint="eastAsia"/>
          <w:color w:val="000000"/>
          <w:szCs w:val="21"/>
        </w:rPr>
        <w:t>6、对于因基金认（申）购、基金投资过程中产生的应收财产，应由基金管理人负责与有关当事人确定到账日期并通知基金托管人。由此给基金造成损失的，基金管理人应负责向有关当事人追偿基金的损失，基金托管人应予以必要的协助和配合，但对此不承担责任。</w:t>
      </w:r>
    </w:p>
    <w:p w14:paraId="5EAD6B9C">
      <w:pPr>
        <w:adjustRightInd w:val="0"/>
        <w:snapToGrid w:val="0"/>
        <w:spacing w:line="360" w:lineRule="auto"/>
        <w:ind w:firstLine="420" w:firstLineChars="200"/>
        <w:rPr>
          <w:color w:val="000000"/>
          <w:szCs w:val="21"/>
        </w:rPr>
      </w:pPr>
      <w:r>
        <w:rPr>
          <w:rFonts w:hint="eastAsia"/>
          <w:color w:val="000000"/>
          <w:szCs w:val="21"/>
        </w:rPr>
        <w:t>7、除依据法律法规和基金合同的规定外，基金托管人不得委托第三人托管基金财产。</w:t>
      </w:r>
    </w:p>
    <w:p w14:paraId="3E062414">
      <w:pPr>
        <w:adjustRightInd w:val="0"/>
        <w:snapToGrid w:val="0"/>
        <w:spacing w:line="360" w:lineRule="auto"/>
        <w:ind w:firstLine="420" w:firstLineChars="200"/>
        <w:rPr>
          <w:color w:val="000000"/>
          <w:szCs w:val="21"/>
        </w:rPr>
      </w:pPr>
      <w:r>
        <w:rPr>
          <w:rFonts w:hint="eastAsia"/>
          <w:color w:val="000000"/>
          <w:szCs w:val="21"/>
        </w:rPr>
        <w:t>8、基金托管人不承诺或保证基金财产本金不受损失或取得收益。</w:t>
      </w:r>
    </w:p>
    <w:p w14:paraId="0CA2D608">
      <w:pPr>
        <w:adjustRightInd w:val="0"/>
        <w:snapToGrid w:val="0"/>
        <w:spacing w:line="360" w:lineRule="auto"/>
        <w:ind w:firstLine="420" w:firstLineChars="200"/>
        <w:rPr>
          <w:color w:val="000000"/>
          <w:szCs w:val="21"/>
        </w:rPr>
      </w:pPr>
      <w:r>
        <w:rPr>
          <w:rFonts w:hint="eastAsia"/>
          <w:color w:val="000000"/>
          <w:szCs w:val="21"/>
        </w:rPr>
        <w:t>（二）募集资金与股票的验资</w:t>
      </w:r>
    </w:p>
    <w:p w14:paraId="5DF99E50">
      <w:pPr>
        <w:adjustRightInd w:val="0"/>
        <w:snapToGrid w:val="0"/>
        <w:spacing w:line="360" w:lineRule="auto"/>
        <w:ind w:firstLine="420" w:firstLineChars="200"/>
        <w:rPr>
          <w:color w:val="000000"/>
          <w:szCs w:val="21"/>
        </w:rPr>
      </w:pPr>
      <w:r>
        <w:rPr>
          <w:rFonts w:hint="eastAsia"/>
          <w:color w:val="000000"/>
          <w:szCs w:val="21"/>
        </w:rPr>
        <w:t>募集期内销售机构按销售与服务代理协议的约定，将认购资金划入基金管理人在具有托管资格的商业银行开设的基金认购专户。该账户由基金管理人开立并管理。</w:t>
      </w:r>
    </w:p>
    <w:p w14:paraId="4C3B3FC0">
      <w:pPr>
        <w:adjustRightInd w:val="0"/>
        <w:snapToGrid w:val="0"/>
        <w:spacing w:line="360" w:lineRule="auto"/>
        <w:ind w:firstLine="420" w:firstLineChars="200"/>
        <w:rPr>
          <w:color w:val="000000"/>
          <w:szCs w:val="21"/>
        </w:rPr>
      </w:pPr>
      <w:r>
        <w:rPr>
          <w:rFonts w:hint="eastAsia"/>
          <w:color w:val="000000"/>
          <w:szCs w:val="21"/>
        </w:rPr>
        <w:t>基金募集期满或基金管理人宣布停止募集时，募集的基金份额总额、基金募集金额（含网下股票认购所募集的股票按基金合同约定的估值方法计算的价值）、基金份额持有人人数符合《基金法》、《运作办法》等有关规定后，基金管理人应将募集的属于本基金财产的全部资金划入基金托管人为基金开立的资产托管专户中，由基金管理人聘请符合《证券法》规定的会计师事务所进行验资，出具验资报告，出具的验资报告应由参加验资的2名以上（含2名）中国注册会计师签字有效。</w:t>
      </w:r>
    </w:p>
    <w:p w14:paraId="180976AE">
      <w:pPr>
        <w:adjustRightInd w:val="0"/>
        <w:snapToGrid w:val="0"/>
        <w:spacing w:line="360" w:lineRule="auto"/>
        <w:ind w:firstLine="420" w:firstLineChars="200"/>
        <w:rPr>
          <w:color w:val="000000"/>
          <w:szCs w:val="21"/>
        </w:rPr>
      </w:pPr>
      <w:r>
        <w:rPr>
          <w:rFonts w:hint="eastAsia"/>
          <w:color w:val="000000"/>
          <w:szCs w:val="21"/>
        </w:rPr>
        <w:t>若基金募集期限届满，未能达到《基金合同》生效的条件，由基金管理人按规定办理退款、股票解冻及返还等事宜，基金托管人应当予以必要的协助和配合。</w:t>
      </w:r>
    </w:p>
    <w:p w14:paraId="3E1AA117">
      <w:pPr>
        <w:adjustRightInd w:val="0"/>
        <w:snapToGrid w:val="0"/>
        <w:spacing w:line="360" w:lineRule="auto"/>
        <w:ind w:firstLine="420" w:firstLineChars="200"/>
        <w:rPr>
          <w:color w:val="000000"/>
          <w:szCs w:val="21"/>
        </w:rPr>
      </w:pPr>
      <w:r>
        <w:rPr>
          <w:rFonts w:hint="eastAsia"/>
          <w:color w:val="000000"/>
          <w:szCs w:val="21"/>
        </w:rPr>
        <w:t>（三）基金的资产托管专户（银行账户）的开立和管理</w:t>
      </w:r>
    </w:p>
    <w:p w14:paraId="1EA2CBD2">
      <w:pPr>
        <w:adjustRightInd w:val="0"/>
        <w:snapToGrid w:val="0"/>
        <w:spacing w:line="360" w:lineRule="auto"/>
        <w:ind w:firstLine="420" w:firstLineChars="200"/>
        <w:rPr>
          <w:color w:val="000000"/>
          <w:szCs w:val="21"/>
        </w:rPr>
      </w:pPr>
      <w:r>
        <w:rPr>
          <w:rFonts w:hint="eastAsia"/>
          <w:color w:val="000000"/>
          <w:szCs w:val="21"/>
        </w:rPr>
        <w:t>基金托管人协助基金管理人开立和管理本基金银行账户。基金管理人应及时提供账户业务所需相关资料，基金托管人不承担因基金管理人未提供相关资料而引发的风险。基金托管人协助基金管理人以本基金的名义在其营业机构开设基金资金账户（托管专户）（以实际开立户名为准），并根据基金管理人合法合规的指令办理资金收付，本基金的银行预留印鉴由托管人保管和使用。因托管人原因预留印鉴变更时，管理人应配合提供相关资料。基金管理人保证本基金的一切货币收支活动，包括但不限于投资、支付赎回金额、支付基金收益、收取申购款，均需通过本基金资金账户进行。</w:t>
      </w:r>
    </w:p>
    <w:p w14:paraId="6671F04F">
      <w:pPr>
        <w:adjustRightInd w:val="0"/>
        <w:snapToGrid w:val="0"/>
        <w:spacing w:line="360" w:lineRule="auto"/>
        <w:ind w:firstLine="420" w:firstLineChars="200"/>
        <w:rPr>
          <w:color w:val="000000"/>
          <w:szCs w:val="21"/>
        </w:rPr>
      </w:pPr>
      <w:r>
        <w:rPr>
          <w:rFonts w:hint="eastAsia"/>
          <w:color w:val="000000"/>
          <w:szCs w:val="21"/>
        </w:rPr>
        <w:t>基金托管人和基金管理人不得假借本基金的名义开立其他任何银行账户；亦不得使用基金的任何银行账户进行本基金业务以外的活动。</w:t>
      </w:r>
    </w:p>
    <w:p w14:paraId="3C1CE94E">
      <w:pPr>
        <w:adjustRightInd w:val="0"/>
        <w:snapToGrid w:val="0"/>
        <w:spacing w:line="360" w:lineRule="auto"/>
        <w:ind w:firstLine="420" w:firstLineChars="200"/>
        <w:rPr>
          <w:color w:val="000000"/>
          <w:szCs w:val="21"/>
        </w:rPr>
      </w:pPr>
      <w:r>
        <w:rPr>
          <w:rFonts w:hint="eastAsia"/>
          <w:color w:val="000000"/>
          <w:szCs w:val="21"/>
        </w:rPr>
        <w:t>资产托管专户的管理应符合相关法律法规以及银行业监督管理机构的其他规定。</w:t>
      </w:r>
    </w:p>
    <w:p w14:paraId="3C2F30AD">
      <w:pPr>
        <w:adjustRightInd w:val="0"/>
        <w:snapToGrid w:val="0"/>
        <w:spacing w:line="360" w:lineRule="auto"/>
        <w:ind w:firstLine="420" w:firstLineChars="200"/>
        <w:rPr>
          <w:color w:val="000000"/>
          <w:szCs w:val="21"/>
        </w:rPr>
      </w:pPr>
      <w:r>
        <w:rPr>
          <w:rFonts w:hint="eastAsia"/>
          <w:color w:val="000000"/>
          <w:szCs w:val="21"/>
        </w:rPr>
        <w:t>基金托管人应严格管理基金在基金托管人处开立的资产托管专户、协助基金管理人查询资产托管专户余额，基金托管人对由于基金管理人违反本协议导致账户信息变更不及时而引发的合规风险，不承担责任。</w:t>
      </w:r>
    </w:p>
    <w:p w14:paraId="796B206E">
      <w:pPr>
        <w:adjustRightInd w:val="0"/>
        <w:snapToGrid w:val="0"/>
        <w:spacing w:line="360" w:lineRule="auto"/>
        <w:ind w:firstLine="420" w:firstLineChars="200"/>
        <w:rPr>
          <w:color w:val="000000"/>
          <w:szCs w:val="21"/>
        </w:rPr>
      </w:pPr>
      <w:r>
        <w:rPr>
          <w:rFonts w:hint="eastAsia"/>
          <w:color w:val="000000"/>
          <w:szCs w:val="21"/>
        </w:rPr>
        <w:t>（四）基金证券账户和证券交易资金账户与期货账户的开立和管理</w:t>
      </w:r>
    </w:p>
    <w:p w14:paraId="1DC81606">
      <w:pPr>
        <w:adjustRightInd w:val="0"/>
        <w:snapToGrid w:val="0"/>
        <w:spacing w:line="360" w:lineRule="auto"/>
        <w:ind w:firstLine="420" w:firstLineChars="200"/>
        <w:rPr>
          <w:color w:val="000000"/>
          <w:szCs w:val="21"/>
        </w:rPr>
      </w:pPr>
      <w:r>
        <w:rPr>
          <w:rFonts w:hint="eastAsia"/>
          <w:color w:val="000000"/>
          <w:szCs w:val="21"/>
        </w:rPr>
        <w:t>基金托管人以基金托管人和本基金联名的方式在中国证券登记结算有限责任公司上海分公司/深圳分公司/北京分公司开立证券账户。</w:t>
      </w:r>
    </w:p>
    <w:p w14:paraId="2001939D">
      <w:pPr>
        <w:adjustRightInd w:val="0"/>
        <w:snapToGrid w:val="0"/>
        <w:spacing w:line="360" w:lineRule="auto"/>
        <w:ind w:firstLine="420" w:firstLineChars="200"/>
        <w:rPr>
          <w:color w:val="000000"/>
          <w:szCs w:val="21"/>
        </w:rPr>
      </w:pPr>
      <w:r>
        <w:rPr>
          <w:rFonts w:hint="eastAsia"/>
          <w:color w:val="000000"/>
          <w:szCs w:val="21"/>
        </w:rPr>
        <w:t>基金证券账户的开立和使用，仅限于满足开展本基金业务的需要。基金托管人和基金管理人不得出借或转让基金的任何证券账户，亦不得使用基金的任何证券账户进行本基金业务以外的活动。</w:t>
      </w:r>
    </w:p>
    <w:p w14:paraId="7788A0AF">
      <w:pPr>
        <w:adjustRightInd w:val="0"/>
        <w:snapToGrid w:val="0"/>
        <w:spacing w:line="360" w:lineRule="auto"/>
        <w:ind w:firstLine="420" w:firstLineChars="200"/>
        <w:rPr>
          <w:color w:val="000000"/>
          <w:szCs w:val="21"/>
        </w:rPr>
      </w:pPr>
      <w:r>
        <w:rPr>
          <w:rFonts w:hint="eastAsia"/>
          <w:color w:val="000000"/>
          <w:szCs w:val="21"/>
        </w:rPr>
        <w:t>基金证券账户的开立由基金托管人负责，账户资产的管理和运用由基金管理人负责。证券账户开立后，基金管理人以本基金的名义在代理证券买卖的证券经纪商处开立证券交易资金账户，用于本基金交易所场内证券交易的结算以及现金资产的记录。本基金参与交易所证券交易的交易结算资金应由第三方存管银行存管，本基金在证券经纪商开立的证券交易资金账户、基金管理人以本基金名义在第三方存管银行开立的银行结算账户以及第三方存管银行为本基金建立的交易结算资金管理账户应当一一对应。基金管理人代表本基金与证券经纪商和第三方存管银行签署第三方存管协议及相关协议。本协议生效期间，银证转账密码由基金托管人负责保管和使用。</w:t>
      </w:r>
    </w:p>
    <w:p w14:paraId="4F8951AF">
      <w:pPr>
        <w:adjustRightInd w:val="0"/>
        <w:snapToGrid w:val="0"/>
        <w:spacing w:line="360" w:lineRule="auto"/>
        <w:ind w:firstLine="420" w:firstLineChars="200"/>
        <w:rPr>
          <w:color w:val="000000"/>
          <w:szCs w:val="21"/>
        </w:rPr>
      </w:pPr>
      <w:r>
        <w:rPr>
          <w:rFonts w:hint="eastAsia"/>
          <w:color w:val="000000"/>
          <w:szCs w:val="21"/>
        </w:rPr>
        <w:t>如需开立期货账户，基金管理人应依据相关期货交易所或期货公司的相关规定开立和管理期货账户。</w:t>
      </w:r>
    </w:p>
    <w:p w14:paraId="620F8701">
      <w:pPr>
        <w:adjustRightInd w:val="0"/>
        <w:snapToGrid w:val="0"/>
        <w:spacing w:line="360" w:lineRule="auto"/>
        <w:ind w:firstLine="420" w:firstLineChars="200"/>
        <w:rPr>
          <w:color w:val="000000"/>
          <w:szCs w:val="21"/>
        </w:rPr>
      </w:pPr>
      <w:r>
        <w:rPr>
          <w:rFonts w:hint="eastAsia"/>
          <w:color w:val="000000"/>
          <w:szCs w:val="21"/>
        </w:rPr>
        <w:t>（五）债券托管专户的开设和管理</w:t>
      </w:r>
    </w:p>
    <w:p w14:paraId="08BB28CD">
      <w:pPr>
        <w:adjustRightInd w:val="0"/>
        <w:snapToGrid w:val="0"/>
        <w:spacing w:line="360" w:lineRule="auto"/>
        <w:ind w:firstLine="420" w:firstLineChars="200"/>
        <w:rPr>
          <w:color w:val="000000"/>
          <w:szCs w:val="21"/>
        </w:rPr>
      </w:pPr>
      <w:r>
        <w:rPr>
          <w:rFonts w:hint="eastAsia"/>
          <w:color w:val="000000"/>
          <w:szCs w:val="21"/>
        </w:rPr>
        <w:t>《基金合同》生效后，基金管理人负责以本基金的名义申请并取得进入全国银行间同业拆借市场的交易资格，并代表基金进行交易；基金托管人负责根据中国人民银行、银行间市场登记结算机构的有关规定，以本基金的名义在银行间市场登记结算机构开设银行间债券市场债券托管账户，并由基金托管人负责基金的债券交易的后台确认及资金的清算。基金管理人代表基金对外签订中国银行间市场债券回购交易主协议。</w:t>
      </w:r>
    </w:p>
    <w:p w14:paraId="0F19087B">
      <w:pPr>
        <w:adjustRightInd w:val="0"/>
        <w:snapToGrid w:val="0"/>
        <w:spacing w:line="360" w:lineRule="auto"/>
        <w:ind w:firstLine="420" w:firstLineChars="200"/>
        <w:rPr>
          <w:color w:val="000000"/>
          <w:szCs w:val="21"/>
        </w:rPr>
      </w:pPr>
      <w:r>
        <w:rPr>
          <w:rFonts w:hint="eastAsia"/>
          <w:color w:val="000000"/>
          <w:szCs w:val="21"/>
        </w:rPr>
        <w:t>（六）其他账户的开立和管理</w:t>
      </w:r>
    </w:p>
    <w:p w14:paraId="4E671F83">
      <w:pPr>
        <w:adjustRightInd w:val="0"/>
        <w:snapToGrid w:val="0"/>
        <w:spacing w:line="360" w:lineRule="auto"/>
        <w:ind w:firstLine="420" w:firstLineChars="200"/>
        <w:rPr>
          <w:color w:val="000000"/>
          <w:szCs w:val="21"/>
        </w:rPr>
      </w:pPr>
      <w:r>
        <w:rPr>
          <w:rFonts w:hint="eastAsia"/>
          <w:color w:val="000000"/>
          <w:szCs w:val="21"/>
        </w:rPr>
        <w:t>在本托管协议订立日之后，本基金被允许从事符合法律法规规定和《基金合同》约定的其他投资品种的投资业务时，如果涉及相关账户的开设和使用，由基金管理人或基金管理人协助基金托管人根据有关法律法规的规定和《基金合同》的约定，开立有关账户。该账户按有关规则使用并管理。</w:t>
      </w:r>
    </w:p>
    <w:p w14:paraId="6530D3B5">
      <w:pPr>
        <w:adjustRightInd w:val="0"/>
        <w:snapToGrid w:val="0"/>
        <w:spacing w:line="360" w:lineRule="auto"/>
        <w:ind w:firstLine="420" w:firstLineChars="200"/>
        <w:rPr>
          <w:color w:val="000000"/>
          <w:szCs w:val="21"/>
        </w:rPr>
      </w:pPr>
      <w:r>
        <w:rPr>
          <w:rFonts w:hint="eastAsia"/>
          <w:color w:val="000000"/>
          <w:szCs w:val="21"/>
        </w:rPr>
        <w:t>（七）基金财产投资的有关有价凭证等的保管</w:t>
      </w:r>
    </w:p>
    <w:p w14:paraId="1D36AEE8">
      <w:pPr>
        <w:adjustRightInd w:val="0"/>
        <w:snapToGrid w:val="0"/>
        <w:spacing w:line="360" w:lineRule="auto"/>
        <w:ind w:firstLine="420" w:firstLineChars="200"/>
        <w:rPr>
          <w:color w:val="000000"/>
          <w:szCs w:val="21"/>
        </w:rPr>
      </w:pPr>
      <w:r>
        <w:rPr>
          <w:rFonts w:hint="eastAsia"/>
          <w:color w:val="000000"/>
          <w:szCs w:val="21"/>
        </w:rPr>
        <w:t>有价凭证应由基金托管人保管的，由基金托管人存放于其档案库或保险柜。保管凭证由基金托管人持有，基金托管人承担保管职责。基金托管人对由基金托管人实际有效控制以外的资产不承担保管责任。</w:t>
      </w:r>
    </w:p>
    <w:p w14:paraId="55E0C030">
      <w:pPr>
        <w:adjustRightInd w:val="0"/>
        <w:snapToGrid w:val="0"/>
        <w:spacing w:line="360" w:lineRule="auto"/>
        <w:ind w:firstLine="420" w:firstLineChars="200"/>
        <w:rPr>
          <w:color w:val="000000"/>
          <w:szCs w:val="21"/>
        </w:rPr>
      </w:pPr>
      <w:r>
        <w:rPr>
          <w:rFonts w:hint="eastAsia"/>
          <w:color w:val="000000"/>
          <w:szCs w:val="21"/>
        </w:rPr>
        <w:t>（八）与基金财产有关的重大合同的保管</w:t>
      </w:r>
    </w:p>
    <w:p w14:paraId="2A39DD56">
      <w:pPr>
        <w:adjustRightInd w:val="0"/>
        <w:snapToGrid w:val="0"/>
        <w:spacing w:line="360" w:lineRule="auto"/>
        <w:ind w:firstLine="420" w:firstLineChars="200"/>
        <w:rPr>
          <w:color w:val="000000"/>
          <w:szCs w:val="21"/>
        </w:rPr>
      </w:pPr>
      <w:r>
        <w:rPr>
          <w:rFonts w:hint="eastAsia"/>
          <w:color w:val="000000"/>
          <w:szCs w:val="21"/>
        </w:rPr>
        <w:t>由基金管理人代表基金签署的与基金有关的重大合同的原件分别应由基金托管人、基金管理人保管。除本协议另有约定外，基金管理人在代表基金签署与基金有关的重大合同时应尽量保证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存期限按照法律法规的规定执行。</w:t>
      </w:r>
    </w:p>
    <w:p w14:paraId="22B4870B">
      <w:pPr>
        <w:adjustRightInd w:val="0"/>
        <w:snapToGrid w:val="0"/>
        <w:spacing w:line="360" w:lineRule="auto"/>
        <w:ind w:firstLine="420" w:firstLineChars="200"/>
        <w:rPr>
          <w:color w:val="000000"/>
          <w:szCs w:val="21"/>
        </w:rPr>
      </w:pPr>
      <w:r>
        <w:rPr>
          <w:rFonts w:hint="eastAsia"/>
          <w:color w:val="000000"/>
          <w:szCs w:val="21"/>
        </w:rPr>
        <w:t>对于无法取得二份以上的正本的，基金管理人应向基金托管人提供加盖授权业务章的合同传真件并保证其真实性及其与原件的完全一致性，未经双方协商或未在合同约定范围内，合同原件不得转移。</w:t>
      </w:r>
    </w:p>
    <w:p w14:paraId="4F26A16E">
      <w:pPr>
        <w:spacing w:line="360" w:lineRule="auto"/>
        <w:ind w:firstLine="422" w:firstLineChars="200"/>
        <w:rPr>
          <w:rFonts w:hint="eastAsia" w:ascii="宋体" w:hAnsi="宋体" w:cs="宋体"/>
          <w:b/>
          <w:szCs w:val="21"/>
        </w:rPr>
      </w:pPr>
      <w:r>
        <w:rPr>
          <w:rFonts w:ascii="宋体" w:hAnsi="宋体" w:cs="宋体"/>
          <w:b/>
          <w:szCs w:val="21"/>
        </w:rPr>
        <w:t>五</w:t>
      </w:r>
      <w:r>
        <w:rPr>
          <w:rFonts w:hint="eastAsia" w:ascii="宋体" w:hAnsi="宋体" w:cs="宋体"/>
          <w:b/>
          <w:szCs w:val="21"/>
        </w:rPr>
        <w:t>、</w:t>
      </w:r>
      <w:bookmarkEnd w:id="185"/>
      <w:bookmarkEnd w:id="186"/>
      <w:bookmarkEnd w:id="187"/>
      <w:bookmarkEnd w:id="188"/>
      <w:bookmarkEnd w:id="189"/>
      <w:bookmarkEnd w:id="190"/>
      <w:bookmarkEnd w:id="191"/>
      <w:r>
        <w:rPr>
          <w:rFonts w:hint="eastAsia" w:ascii="宋体" w:hAnsi="宋体" w:cs="宋体"/>
          <w:b/>
          <w:szCs w:val="21"/>
        </w:rPr>
        <w:t>基金资产净值计算和会计核算</w:t>
      </w:r>
    </w:p>
    <w:p w14:paraId="163D89EA">
      <w:pPr>
        <w:adjustRightInd w:val="0"/>
        <w:snapToGrid w:val="0"/>
        <w:spacing w:line="360" w:lineRule="auto"/>
        <w:ind w:firstLine="420" w:firstLineChars="200"/>
        <w:rPr>
          <w:color w:val="000000"/>
          <w:szCs w:val="21"/>
        </w:rPr>
      </w:pPr>
      <w:bookmarkStart w:id="192" w:name="OLE_LINK69"/>
      <w:bookmarkStart w:id="193" w:name="OLE_LINK70"/>
      <w:r>
        <w:rPr>
          <w:rFonts w:hint="eastAsia"/>
          <w:color w:val="000000"/>
          <w:szCs w:val="21"/>
        </w:rPr>
        <w:t>（一）基金资产净值的计算、复核的时间和程序</w:t>
      </w:r>
    </w:p>
    <w:p w14:paraId="51E09492">
      <w:pPr>
        <w:adjustRightInd w:val="0"/>
        <w:snapToGrid w:val="0"/>
        <w:spacing w:line="360" w:lineRule="auto"/>
        <w:ind w:firstLine="420" w:firstLineChars="200"/>
        <w:rPr>
          <w:color w:val="000000"/>
          <w:szCs w:val="21"/>
        </w:rPr>
      </w:pPr>
      <w:r>
        <w:rPr>
          <w:rFonts w:hint="eastAsia"/>
          <w:color w:val="000000"/>
          <w:szCs w:val="21"/>
        </w:rPr>
        <w:t>基金资产净值是指基金资产总值减去基金负债后的价值。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2FB09894">
      <w:pPr>
        <w:adjustRightInd w:val="0"/>
        <w:snapToGrid w:val="0"/>
        <w:spacing w:line="360" w:lineRule="auto"/>
        <w:ind w:firstLine="420" w:firstLineChars="200"/>
        <w:rPr>
          <w:color w:val="000000"/>
          <w:szCs w:val="21"/>
        </w:rPr>
      </w:pPr>
      <w:r>
        <w:rPr>
          <w:rFonts w:hint="eastAsia"/>
          <w:color w:val="000000"/>
          <w:szCs w:val="21"/>
        </w:rPr>
        <w:t>基金管理人应每个工作日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交易结束后计算当日的基金资产净值和基金份额净值并以双方认可的方式发送给基金托管人。基金托管人对净值计算结果复核后将复核结果以双方认可的方式发送给基金管理人，由基金管理人根据基金合同和相关法律法规的规定对基金净值予以公布。</w:t>
      </w:r>
    </w:p>
    <w:p w14:paraId="24DA430E">
      <w:pPr>
        <w:adjustRightInd w:val="0"/>
        <w:snapToGrid w:val="0"/>
        <w:spacing w:line="360" w:lineRule="auto"/>
        <w:ind w:firstLine="420" w:firstLineChars="200"/>
        <w:rPr>
          <w:color w:val="000000"/>
          <w:szCs w:val="21"/>
        </w:rPr>
      </w:pPr>
      <w:r>
        <w:rPr>
          <w:rFonts w:hint="eastAsia"/>
          <w:color w:val="000000"/>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信息的计算结果对外予以公布,基金托管人不承担由此引致的任何责任和损失。</w:t>
      </w:r>
    </w:p>
    <w:p w14:paraId="644B2908">
      <w:pPr>
        <w:adjustRightInd w:val="0"/>
        <w:snapToGrid w:val="0"/>
        <w:spacing w:line="360" w:lineRule="auto"/>
        <w:ind w:firstLine="420" w:firstLineChars="200"/>
        <w:rPr>
          <w:color w:val="000000"/>
          <w:szCs w:val="21"/>
        </w:rPr>
      </w:pPr>
      <w:r>
        <w:rPr>
          <w:rFonts w:hint="eastAsia"/>
          <w:color w:val="000000"/>
          <w:szCs w:val="21"/>
        </w:rPr>
        <w:t>法律法规以及监管部门有强制规定的，从其规定。如有新增事项，按国家最新规定估值。</w:t>
      </w:r>
    </w:p>
    <w:p w14:paraId="3271F38B">
      <w:pPr>
        <w:adjustRightInd w:val="0"/>
        <w:snapToGrid w:val="0"/>
        <w:spacing w:line="360" w:lineRule="auto"/>
        <w:ind w:firstLine="420" w:firstLineChars="200"/>
        <w:rPr>
          <w:color w:val="000000"/>
          <w:szCs w:val="21"/>
        </w:rPr>
      </w:pPr>
      <w:r>
        <w:rPr>
          <w:rFonts w:hint="eastAsia"/>
          <w:color w:val="000000"/>
          <w:szCs w:val="21"/>
        </w:rPr>
        <w:t>（二）基金资产估值方法</w:t>
      </w:r>
    </w:p>
    <w:p w14:paraId="5898FAF4">
      <w:pPr>
        <w:adjustRightInd w:val="0"/>
        <w:snapToGrid w:val="0"/>
        <w:spacing w:line="360" w:lineRule="auto"/>
        <w:ind w:firstLine="420" w:firstLineChars="200"/>
        <w:rPr>
          <w:color w:val="000000"/>
          <w:szCs w:val="21"/>
        </w:rPr>
      </w:pPr>
      <w:r>
        <w:rPr>
          <w:rFonts w:hint="eastAsia"/>
          <w:color w:val="000000"/>
          <w:szCs w:val="21"/>
        </w:rPr>
        <w:t>1、估值对象</w:t>
      </w:r>
    </w:p>
    <w:p w14:paraId="7FE04C36">
      <w:pPr>
        <w:adjustRightInd w:val="0"/>
        <w:snapToGrid w:val="0"/>
        <w:spacing w:line="360" w:lineRule="auto"/>
        <w:ind w:firstLine="420" w:firstLineChars="200"/>
        <w:rPr>
          <w:color w:val="000000"/>
          <w:szCs w:val="21"/>
        </w:rPr>
      </w:pPr>
      <w:r>
        <w:rPr>
          <w:rFonts w:hint="eastAsia"/>
          <w:color w:val="000000"/>
          <w:szCs w:val="21"/>
        </w:rPr>
        <w:t>基金所拥有的股票（含存托凭证）、债券、股指期货合约、国债期货合约、股票期权合约和银行存款本息、应收款项、资产支持证券、其它投资等资产及负债。</w:t>
      </w:r>
    </w:p>
    <w:p w14:paraId="5AD8B132">
      <w:pPr>
        <w:adjustRightInd w:val="0"/>
        <w:snapToGrid w:val="0"/>
        <w:spacing w:line="360" w:lineRule="auto"/>
        <w:ind w:firstLine="420" w:firstLineChars="200"/>
        <w:rPr>
          <w:color w:val="000000"/>
          <w:szCs w:val="21"/>
        </w:rPr>
      </w:pPr>
      <w:r>
        <w:rPr>
          <w:rFonts w:hint="eastAsia"/>
          <w:color w:val="000000"/>
          <w:szCs w:val="21"/>
        </w:rPr>
        <w:t>2、估值方法</w:t>
      </w:r>
    </w:p>
    <w:p w14:paraId="4612B57D">
      <w:pPr>
        <w:adjustRightInd w:val="0"/>
        <w:snapToGrid w:val="0"/>
        <w:spacing w:line="360" w:lineRule="auto"/>
        <w:ind w:firstLine="420" w:firstLineChars="200"/>
        <w:rPr>
          <w:color w:val="000000"/>
          <w:szCs w:val="21"/>
        </w:rPr>
      </w:pPr>
      <w:r>
        <w:rPr>
          <w:rFonts w:hint="eastAsia"/>
          <w:color w:val="000000"/>
          <w:szCs w:val="21"/>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6C94C95">
      <w:pPr>
        <w:adjustRightInd w:val="0"/>
        <w:snapToGrid w:val="0"/>
        <w:spacing w:line="360" w:lineRule="auto"/>
        <w:ind w:firstLine="420" w:firstLineChars="200"/>
        <w:rPr>
          <w:color w:val="000000"/>
          <w:szCs w:val="21"/>
        </w:rPr>
      </w:pPr>
      <w:r>
        <w:rPr>
          <w:rFonts w:hint="eastAsia"/>
          <w:color w:val="000000"/>
          <w:szCs w:val="21"/>
        </w:rPr>
        <w:t>（2）对于已上市或已挂牌转让的不含权固定收益品种，选取估值日第三方估值基准服务机构提供的相应品种当日的估值全价进行估值。</w:t>
      </w:r>
    </w:p>
    <w:p w14:paraId="038BD79C">
      <w:pPr>
        <w:adjustRightInd w:val="0"/>
        <w:snapToGrid w:val="0"/>
        <w:spacing w:line="360" w:lineRule="auto"/>
        <w:ind w:firstLine="420" w:firstLineChars="200"/>
        <w:rPr>
          <w:color w:val="000000"/>
          <w:szCs w:val="21"/>
        </w:rPr>
      </w:pPr>
      <w:r>
        <w:rPr>
          <w:rFonts w:hint="eastAsia"/>
          <w:color w:val="000000"/>
          <w:szCs w:val="21"/>
        </w:rPr>
        <w:t>（3）对于已上市或已挂牌转让的含权固定收益品种，选取估值日第三方估值基准服务机构提供的相应品种当日的唯一估值全价或推荐估值全价进行估值。</w:t>
      </w:r>
    </w:p>
    <w:p w14:paraId="26DB293B">
      <w:pPr>
        <w:adjustRightInd w:val="0"/>
        <w:snapToGrid w:val="0"/>
        <w:spacing w:line="360" w:lineRule="auto"/>
        <w:ind w:firstLine="420" w:firstLineChars="200"/>
        <w:rPr>
          <w:color w:val="000000"/>
          <w:szCs w:val="21"/>
        </w:rPr>
      </w:pPr>
      <w:r>
        <w:rPr>
          <w:rFonts w:hint="eastAsia"/>
          <w:color w:val="000000"/>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0C980B2">
      <w:pPr>
        <w:adjustRightInd w:val="0"/>
        <w:snapToGrid w:val="0"/>
        <w:spacing w:line="360" w:lineRule="auto"/>
        <w:ind w:firstLine="420" w:firstLineChars="200"/>
        <w:rPr>
          <w:color w:val="000000"/>
          <w:szCs w:val="21"/>
        </w:rPr>
      </w:pPr>
      <w:r>
        <w:rPr>
          <w:rFonts w:hint="eastAsia"/>
          <w:color w:val="000000"/>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D5AF25A">
      <w:pPr>
        <w:adjustRightInd w:val="0"/>
        <w:snapToGrid w:val="0"/>
        <w:spacing w:line="360" w:lineRule="auto"/>
        <w:ind w:firstLine="420" w:firstLineChars="200"/>
        <w:rPr>
          <w:color w:val="000000"/>
          <w:szCs w:val="21"/>
        </w:rPr>
      </w:pPr>
      <w:r>
        <w:rPr>
          <w:rFonts w:hint="eastAsia"/>
          <w:color w:val="000000"/>
          <w:szCs w:val="21"/>
        </w:rPr>
        <w:t>（5）对于未上市或未挂牌转让且不存在活跃市场的固定收益品种，应采用在当前情况下适用并且有足够可利用数据和其他信息支持的估值技术确定其公允价值。</w:t>
      </w:r>
    </w:p>
    <w:p w14:paraId="75101752">
      <w:pPr>
        <w:adjustRightInd w:val="0"/>
        <w:snapToGrid w:val="0"/>
        <w:spacing w:line="360" w:lineRule="auto"/>
        <w:ind w:firstLine="420" w:firstLineChars="200"/>
        <w:rPr>
          <w:color w:val="000000"/>
          <w:szCs w:val="21"/>
        </w:rPr>
      </w:pPr>
      <w:r>
        <w:rPr>
          <w:rFonts w:hint="eastAsia"/>
          <w:color w:val="000000"/>
          <w:szCs w:val="21"/>
        </w:rPr>
        <w:t>（6）处于未上市期间的有价证券应区分如下情况处理：</w:t>
      </w:r>
    </w:p>
    <w:p w14:paraId="055BA093">
      <w:pPr>
        <w:adjustRightInd w:val="0"/>
        <w:snapToGrid w:val="0"/>
        <w:spacing w:line="360" w:lineRule="auto"/>
        <w:ind w:firstLine="420" w:firstLineChars="200"/>
        <w:rPr>
          <w:color w:val="000000"/>
          <w:szCs w:val="21"/>
        </w:rPr>
      </w:pPr>
      <w:r>
        <w:rPr>
          <w:rFonts w:hint="eastAsia"/>
          <w:color w:val="000000"/>
          <w:szCs w:val="21"/>
        </w:rPr>
        <w:t>1）送股、转增股、配股和公开增发的新股，按估值日在证券交易所挂牌的同一股票的估值方法估值；该日无交易的，以最近一日的市价（收盘价）估值；</w:t>
      </w:r>
    </w:p>
    <w:p w14:paraId="272BDD94">
      <w:pPr>
        <w:adjustRightInd w:val="0"/>
        <w:snapToGrid w:val="0"/>
        <w:spacing w:line="360" w:lineRule="auto"/>
        <w:ind w:firstLine="420" w:firstLineChars="200"/>
        <w:rPr>
          <w:color w:val="000000"/>
          <w:szCs w:val="21"/>
        </w:rPr>
      </w:pPr>
      <w:r>
        <w:rPr>
          <w:rFonts w:hint="eastAsia"/>
          <w:color w:val="000000"/>
          <w:szCs w:val="21"/>
        </w:rPr>
        <w:t>2）首次公开发行未上市的股票，采用估值技术确定公允价值；</w:t>
      </w:r>
    </w:p>
    <w:p w14:paraId="58E036C1">
      <w:pPr>
        <w:adjustRightInd w:val="0"/>
        <w:snapToGrid w:val="0"/>
        <w:spacing w:line="360" w:lineRule="auto"/>
        <w:ind w:firstLine="420" w:firstLineChars="200"/>
        <w:rPr>
          <w:color w:val="000000"/>
          <w:szCs w:val="21"/>
        </w:rPr>
      </w:pPr>
      <w:r>
        <w:rPr>
          <w:rFonts w:hint="eastAsia"/>
          <w:color w:val="000000"/>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CA16899">
      <w:pPr>
        <w:adjustRightInd w:val="0"/>
        <w:snapToGrid w:val="0"/>
        <w:spacing w:line="360" w:lineRule="auto"/>
        <w:ind w:firstLine="420" w:firstLineChars="200"/>
        <w:rPr>
          <w:color w:val="000000"/>
          <w:szCs w:val="21"/>
        </w:rPr>
      </w:pPr>
      <w:r>
        <w:rPr>
          <w:rFonts w:hint="eastAsia"/>
          <w:color w:val="000000"/>
          <w:szCs w:val="21"/>
        </w:rPr>
        <w:t>（7）本基金投资存托凭证的估值核算，依照境内上市交易的股票执行。</w:t>
      </w:r>
    </w:p>
    <w:p w14:paraId="4736914B">
      <w:pPr>
        <w:adjustRightInd w:val="0"/>
        <w:snapToGrid w:val="0"/>
        <w:spacing w:line="360" w:lineRule="auto"/>
        <w:ind w:firstLine="420" w:firstLineChars="200"/>
        <w:rPr>
          <w:color w:val="000000"/>
          <w:szCs w:val="21"/>
        </w:rPr>
      </w:pPr>
      <w:r>
        <w:rPr>
          <w:rFonts w:hint="eastAsia"/>
          <w:color w:val="000000"/>
          <w:szCs w:val="21"/>
        </w:rPr>
        <w:t>（8）同一证券同时在两个或两个以上市场交易的，按证券所处的市场分别估值。</w:t>
      </w:r>
    </w:p>
    <w:p w14:paraId="1370D0AD">
      <w:pPr>
        <w:adjustRightInd w:val="0"/>
        <w:snapToGrid w:val="0"/>
        <w:spacing w:line="360" w:lineRule="auto"/>
        <w:ind w:firstLine="420" w:firstLineChars="200"/>
        <w:rPr>
          <w:color w:val="000000"/>
          <w:szCs w:val="21"/>
        </w:rPr>
      </w:pPr>
      <w:r>
        <w:rPr>
          <w:rFonts w:hint="eastAsia"/>
          <w:color w:val="000000"/>
          <w:szCs w:val="21"/>
        </w:rPr>
        <w:t>（9）本基金参与股指期货、国债期货合约交易，一般以估值当日结算价确定公允价值，估值当日无结算价的，且最近交易日后未发生影响公允价值计量的重大事件的，采用最近交易日结算价估值。</w:t>
      </w:r>
    </w:p>
    <w:p w14:paraId="6A023BEF">
      <w:pPr>
        <w:adjustRightInd w:val="0"/>
        <w:snapToGrid w:val="0"/>
        <w:spacing w:line="360" w:lineRule="auto"/>
        <w:ind w:firstLine="420" w:firstLineChars="200"/>
        <w:rPr>
          <w:color w:val="000000"/>
          <w:szCs w:val="21"/>
        </w:rPr>
      </w:pPr>
      <w:r>
        <w:rPr>
          <w:rFonts w:hint="eastAsia"/>
          <w:color w:val="000000"/>
          <w:szCs w:val="21"/>
        </w:rPr>
        <w:t>（10）本基金投资股票期权，根据相关法律法规以及监管部门的规定估值。</w:t>
      </w:r>
    </w:p>
    <w:p w14:paraId="72C23DC7">
      <w:pPr>
        <w:adjustRightInd w:val="0"/>
        <w:snapToGrid w:val="0"/>
        <w:spacing w:line="360" w:lineRule="auto"/>
        <w:ind w:firstLine="420" w:firstLineChars="200"/>
        <w:rPr>
          <w:color w:val="000000"/>
          <w:szCs w:val="21"/>
        </w:rPr>
      </w:pPr>
      <w:r>
        <w:rPr>
          <w:rFonts w:hint="eastAsia"/>
          <w:color w:val="000000"/>
          <w:szCs w:val="21"/>
        </w:rPr>
        <w:t>（11）本基金参与融资及转融通证券出借业务的，应参照法律法规及行业协会的相关规定进行估值。</w:t>
      </w:r>
    </w:p>
    <w:p w14:paraId="20C8E219">
      <w:pPr>
        <w:adjustRightInd w:val="0"/>
        <w:snapToGrid w:val="0"/>
        <w:spacing w:line="360" w:lineRule="auto"/>
        <w:ind w:firstLine="420" w:firstLineChars="200"/>
        <w:rPr>
          <w:color w:val="000000"/>
          <w:szCs w:val="21"/>
        </w:rPr>
      </w:pPr>
      <w:r>
        <w:rPr>
          <w:rFonts w:hint="eastAsia"/>
          <w:color w:val="000000"/>
          <w:szCs w:val="21"/>
        </w:rPr>
        <w:t>（12）银行存款、回购等固定收益工具按照约定利率在持有期内逐日确认利息收入，在利息到账日以实收利息入账。</w:t>
      </w:r>
    </w:p>
    <w:p w14:paraId="559694A6">
      <w:pPr>
        <w:adjustRightInd w:val="0"/>
        <w:snapToGrid w:val="0"/>
        <w:spacing w:line="360" w:lineRule="auto"/>
        <w:ind w:firstLine="420" w:firstLineChars="200"/>
        <w:rPr>
          <w:color w:val="000000"/>
          <w:szCs w:val="21"/>
        </w:rPr>
      </w:pPr>
      <w:r>
        <w:rPr>
          <w:rFonts w:hint="eastAsia"/>
          <w:color w:val="000000"/>
          <w:szCs w:val="21"/>
        </w:rPr>
        <w:t>（13）如有确凿证据表明按上述方法进行估值不能客观反映其公允价值的，基金管理人可根据具体情况与基金托管人商定后，按最能反映公允价值的方法估值。</w:t>
      </w:r>
    </w:p>
    <w:p w14:paraId="0CD18DA8">
      <w:pPr>
        <w:adjustRightInd w:val="0"/>
        <w:snapToGrid w:val="0"/>
        <w:spacing w:line="360" w:lineRule="auto"/>
        <w:ind w:firstLine="420" w:firstLineChars="200"/>
        <w:rPr>
          <w:color w:val="000000"/>
          <w:szCs w:val="21"/>
        </w:rPr>
      </w:pPr>
      <w:r>
        <w:rPr>
          <w:rFonts w:hint="eastAsia"/>
          <w:color w:val="000000"/>
          <w:szCs w:val="21"/>
        </w:rPr>
        <w:t>（14）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5E342857">
      <w:pPr>
        <w:adjustRightInd w:val="0"/>
        <w:snapToGrid w:val="0"/>
        <w:spacing w:line="360" w:lineRule="auto"/>
        <w:ind w:firstLine="420" w:firstLineChars="200"/>
        <w:rPr>
          <w:color w:val="000000"/>
          <w:szCs w:val="21"/>
        </w:rPr>
      </w:pPr>
      <w:r>
        <w:rPr>
          <w:rFonts w:hint="eastAsia"/>
          <w:color w:val="000000"/>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基金托管人不承担由此引致的任何责任和损失。</w:t>
      </w:r>
    </w:p>
    <w:p w14:paraId="11FC884C">
      <w:pPr>
        <w:adjustRightInd w:val="0"/>
        <w:snapToGrid w:val="0"/>
        <w:spacing w:line="360" w:lineRule="auto"/>
        <w:ind w:firstLine="420" w:firstLineChars="200"/>
        <w:rPr>
          <w:color w:val="000000"/>
          <w:szCs w:val="21"/>
        </w:rPr>
      </w:pPr>
      <w:r>
        <w:rPr>
          <w:rFonts w:hint="eastAsia"/>
          <w:color w:val="000000"/>
          <w:szCs w:val="21"/>
        </w:rPr>
        <w:t>（三）估值错误的处理</w:t>
      </w:r>
    </w:p>
    <w:p w14:paraId="2005744C">
      <w:pPr>
        <w:adjustRightInd w:val="0"/>
        <w:snapToGrid w:val="0"/>
        <w:spacing w:line="360" w:lineRule="auto"/>
        <w:ind w:firstLine="420" w:firstLineChars="200"/>
        <w:rPr>
          <w:color w:val="000000"/>
          <w:szCs w:val="21"/>
        </w:rPr>
      </w:pPr>
      <w:r>
        <w:rPr>
          <w:rFonts w:hint="eastAsia"/>
          <w:color w:val="000000"/>
          <w:szCs w:val="21"/>
        </w:rPr>
        <w:t>基金管理人和基金托管人将采取必要、适当、合理的措施确保基金资产估值的准确性、及时性。当基金份额净值小数点后4位以内(含第4位)发生估值错误时，视为基金份额净值错误。</w:t>
      </w:r>
    </w:p>
    <w:p w14:paraId="0C4B534A">
      <w:pPr>
        <w:adjustRightInd w:val="0"/>
        <w:snapToGrid w:val="0"/>
        <w:spacing w:line="360" w:lineRule="auto"/>
        <w:ind w:firstLine="420" w:firstLineChars="200"/>
        <w:rPr>
          <w:color w:val="000000"/>
          <w:szCs w:val="21"/>
        </w:rPr>
      </w:pPr>
      <w:r>
        <w:rPr>
          <w:rFonts w:hint="eastAsia"/>
          <w:color w:val="000000"/>
          <w:szCs w:val="21"/>
        </w:rPr>
        <w:t>基金合同的当事人应按照以下约定处理：</w:t>
      </w:r>
    </w:p>
    <w:p w14:paraId="40C702E4">
      <w:pPr>
        <w:adjustRightInd w:val="0"/>
        <w:snapToGrid w:val="0"/>
        <w:spacing w:line="360" w:lineRule="auto"/>
        <w:ind w:firstLine="420" w:firstLineChars="200"/>
        <w:rPr>
          <w:color w:val="000000"/>
          <w:szCs w:val="21"/>
        </w:rPr>
      </w:pPr>
      <w:r>
        <w:rPr>
          <w:rFonts w:hint="eastAsia"/>
          <w:color w:val="000000"/>
          <w:szCs w:val="21"/>
        </w:rPr>
        <w:t>1、估值错误类型</w:t>
      </w:r>
    </w:p>
    <w:p w14:paraId="2DC6C9D5">
      <w:pPr>
        <w:adjustRightInd w:val="0"/>
        <w:snapToGrid w:val="0"/>
        <w:spacing w:line="360" w:lineRule="auto"/>
        <w:ind w:firstLine="420" w:firstLineChars="200"/>
        <w:rPr>
          <w:color w:val="000000"/>
          <w:szCs w:val="21"/>
        </w:rPr>
      </w:pPr>
      <w:r>
        <w:rPr>
          <w:rFonts w:hint="eastAsia"/>
          <w:color w:val="000000"/>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E39C486">
      <w:pPr>
        <w:adjustRightInd w:val="0"/>
        <w:snapToGrid w:val="0"/>
        <w:spacing w:line="360" w:lineRule="auto"/>
        <w:ind w:firstLine="420" w:firstLineChars="200"/>
        <w:rPr>
          <w:color w:val="000000"/>
          <w:szCs w:val="21"/>
        </w:rPr>
      </w:pPr>
      <w:r>
        <w:rPr>
          <w:rFonts w:hint="eastAsia"/>
          <w:color w:val="000000"/>
          <w:szCs w:val="21"/>
        </w:rPr>
        <w:t>上述估值错误的主要类型包括但不限于：资料申报差错、数据传输差错、数据计算差错、系统故障差错、下达指令差错等。对于因技术原因引起的差错，若系同行业现有技术水平不能预见、不能避免、不能克服，则属不可抗力，按照相关规定执行。</w:t>
      </w:r>
    </w:p>
    <w:p w14:paraId="493521D8">
      <w:pPr>
        <w:adjustRightInd w:val="0"/>
        <w:snapToGrid w:val="0"/>
        <w:spacing w:line="360" w:lineRule="auto"/>
        <w:ind w:firstLine="420" w:firstLineChars="200"/>
        <w:rPr>
          <w:color w:val="000000"/>
          <w:szCs w:val="21"/>
        </w:rPr>
      </w:pPr>
      <w:r>
        <w:rPr>
          <w:rFonts w:hint="eastAsia"/>
          <w:color w:val="000000"/>
          <w:szCs w:val="21"/>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16603B28">
      <w:pPr>
        <w:adjustRightInd w:val="0"/>
        <w:snapToGrid w:val="0"/>
        <w:spacing w:line="360" w:lineRule="auto"/>
        <w:ind w:firstLine="420" w:firstLineChars="200"/>
        <w:rPr>
          <w:color w:val="000000"/>
          <w:szCs w:val="21"/>
        </w:rPr>
      </w:pPr>
      <w:r>
        <w:rPr>
          <w:rFonts w:hint="eastAsia"/>
          <w:color w:val="000000"/>
          <w:szCs w:val="21"/>
        </w:rPr>
        <w:t>2、估值错误处理原则</w:t>
      </w:r>
    </w:p>
    <w:p w14:paraId="04CA1F4A">
      <w:pPr>
        <w:adjustRightInd w:val="0"/>
        <w:snapToGrid w:val="0"/>
        <w:spacing w:line="360" w:lineRule="auto"/>
        <w:ind w:firstLine="420" w:firstLineChars="200"/>
        <w:rPr>
          <w:color w:val="000000"/>
          <w:szCs w:val="21"/>
        </w:rPr>
      </w:pPr>
      <w:r>
        <w:rPr>
          <w:rFonts w:hint="eastAsia"/>
          <w:color w:val="000000"/>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91EFE5F">
      <w:pPr>
        <w:adjustRightInd w:val="0"/>
        <w:snapToGrid w:val="0"/>
        <w:spacing w:line="360" w:lineRule="auto"/>
        <w:ind w:firstLine="420" w:firstLineChars="200"/>
        <w:rPr>
          <w:color w:val="000000"/>
          <w:szCs w:val="21"/>
        </w:rPr>
      </w:pPr>
      <w:r>
        <w:rPr>
          <w:rFonts w:hint="eastAsia"/>
          <w:color w:val="000000"/>
          <w:szCs w:val="21"/>
        </w:rPr>
        <w:t>（2）估值错误的责任方对有关当事人的直接损失负责，不对间接损失负责，并且仅对估值错误的有关直接当事人负责，不对第三方负责。</w:t>
      </w:r>
    </w:p>
    <w:p w14:paraId="15116DF6">
      <w:pPr>
        <w:adjustRightInd w:val="0"/>
        <w:snapToGrid w:val="0"/>
        <w:spacing w:line="360" w:lineRule="auto"/>
        <w:ind w:firstLine="420" w:firstLineChars="200"/>
        <w:rPr>
          <w:color w:val="000000"/>
          <w:szCs w:val="21"/>
        </w:rPr>
      </w:pPr>
      <w:r>
        <w:rPr>
          <w:rFonts w:hint="eastAsia"/>
          <w:color w:val="000000"/>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8B43BF9">
      <w:pPr>
        <w:adjustRightInd w:val="0"/>
        <w:snapToGrid w:val="0"/>
        <w:spacing w:line="360" w:lineRule="auto"/>
        <w:ind w:firstLine="420" w:firstLineChars="200"/>
        <w:rPr>
          <w:color w:val="000000"/>
          <w:szCs w:val="21"/>
        </w:rPr>
      </w:pPr>
      <w:r>
        <w:rPr>
          <w:rFonts w:hint="eastAsia"/>
          <w:color w:val="000000"/>
          <w:szCs w:val="21"/>
        </w:rPr>
        <w:t>（4）估值错误调整采用尽量恢复至假设未发生估值错误的正确情形的方式。</w:t>
      </w:r>
    </w:p>
    <w:p w14:paraId="156DB5D9">
      <w:pPr>
        <w:adjustRightInd w:val="0"/>
        <w:snapToGrid w:val="0"/>
        <w:spacing w:line="360" w:lineRule="auto"/>
        <w:ind w:firstLine="420" w:firstLineChars="200"/>
        <w:rPr>
          <w:color w:val="000000"/>
          <w:szCs w:val="21"/>
        </w:rPr>
      </w:pPr>
      <w:r>
        <w:rPr>
          <w:rFonts w:hint="eastAsia"/>
          <w:color w:val="000000"/>
          <w:szCs w:val="21"/>
        </w:rPr>
        <w:t>3、估值错误处理程序</w:t>
      </w:r>
    </w:p>
    <w:p w14:paraId="2CE5F902">
      <w:pPr>
        <w:adjustRightInd w:val="0"/>
        <w:snapToGrid w:val="0"/>
        <w:spacing w:line="360" w:lineRule="auto"/>
        <w:ind w:firstLine="420" w:firstLineChars="200"/>
        <w:rPr>
          <w:color w:val="000000"/>
          <w:szCs w:val="21"/>
        </w:rPr>
      </w:pPr>
      <w:r>
        <w:rPr>
          <w:rFonts w:hint="eastAsia"/>
          <w:color w:val="000000"/>
          <w:szCs w:val="21"/>
        </w:rPr>
        <w:t>估值错误被发现后，有关的当事人应当及时进行处理，处理的程序如下：</w:t>
      </w:r>
    </w:p>
    <w:p w14:paraId="0D8E9DE4">
      <w:pPr>
        <w:adjustRightInd w:val="0"/>
        <w:snapToGrid w:val="0"/>
        <w:spacing w:line="360" w:lineRule="auto"/>
        <w:ind w:firstLine="420" w:firstLineChars="200"/>
        <w:rPr>
          <w:color w:val="000000"/>
          <w:szCs w:val="21"/>
        </w:rPr>
      </w:pPr>
      <w:r>
        <w:rPr>
          <w:rFonts w:hint="eastAsia"/>
          <w:color w:val="000000"/>
          <w:szCs w:val="21"/>
        </w:rPr>
        <w:t>（1）查明估值错误发生的原因，列明所有的当事人，并根据估值错误发生的原因确定估值错误的责任方；</w:t>
      </w:r>
    </w:p>
    <w:p w14:paraId="334BF757">
      <w:pPr>
        <w:adjustRightInd w:val="0"/>
        <w:snapToGrid w:val="0"/>
        <w:spacing w:line="360" w:lineRule="auto"/>
        <w:ind w:firstLine="420" w:firstLineChars="200"/>
        <w:rPr>
          <w:color w:val="000000"/>
          <w:szCs w:val="21"/>
        </w:rPr>
      </w:pPr>
      <w:r>
        <w:rPr>
          <w:rFonts w:hint="eastAsia"/>
          <w:color w:val="000000"/>
          <w:szCs w:val="21"/>
        </w:rPr>
        <w:t>（2）根据估值错误处理原则或当事人协商的方法对因估值错误造成的损失进行评估；</w:t>
      </w:r>
    </w:p>
    <w:p w14:paraId="045C9156">
      <w:pPr>
        <w:adjustRightInd w:val="0"/>
        <w:snapToGrid w:val="0"/>
        <w:spacing w:line="360" w:lineRule="auto"/>
        <w:ind w:firstLine="420" w:firstLineChars="200"/>
        <w:rPr>
          <w:color w:val="000000"/>
          <w:szCs w:val="21"/>
        </w:rPr>
      </w:pPr>
      <w:r>
        <w:rPr>
          <w:rFonts w:hint="eastAsia"/>
          <w:color w:val="000000"/>
          <w:szCs w:val="21"/>
        </w:rPr>
        <w:t>（3）根据估值错误处理原则或当事人协商的方法由估值错误的责任方进行更正和赔偿损失；</w:t>
      </w:r>
    </w:p>
    <w:p w14:paraId="6E4043B7">
      <w:pPr>
        <w:adjustRightInd w:val="0"/>
        <w:snapToGrid w:val="0"/>
        <w:spacing w:line="360" w:lineRule="auto"/>
        <w:ind w:firstLine="420" w:firstLineChars="200"/>
        <w:rPr>
          <w:color w:val="000000"/>
          <w:szCs w:val="21"/>
        </w:rPr>
      </w:pPr>
      <w:r>
        <w:rPr>
          <w:rFonts w:hint="eastAsia"/>
          <w:color w:val="000000"/>
          <w:szCs w:val="21"/>
        </w:rPr>
        <w:t>（4）根据估值错误处理的方法，需要修改基金登记机构交易数据的，由基金登记机构进行更正，并就估值错误的更正向有关当事人进行确认。</w:t>
      </w:r>
    </w:p>
    <w:p w14:paraId="3272BB84">
      <w:pPr>
        <w:adjustRightInd w:val="0"/>
        <w:snapToGrid w:val="0"/>
        <w:spacing w:line="360" w:lineRule="auto"/>
        <w:ind w:firstLine="420" w:firstLineChars="200"/>
        <w:rPr>
          <w:color w:val="000000"/>
          <w:szCs w:val="21"/>
        </w:rPr>
      </w:pPr>
      <w:r>
        <w:rPr>
          <w:rFonts w:hint="eastAsia"/>
          <w:color w:val="000000"/>
          <w:szCs w:val="21"/>
        </w:rPr>
        <w:t>4、基金份额净值估值错误处理的方法如下：</w:t>
      </w:r>
    </w:p>
    <w:p w14:paraId="7690907D">
      <w:pPr>
        <w:adjustRightInd w:val="0"/>
        <w:snapToGrid w:val="0"/>
        <w:spacing w:line="360" w:lineRule="auto"/>
        <w:ind w:firstLine="420" w:firstLineChars="200"/>
        <w:rPr>
          <w:color w:val="000000"/>
          <w:szCs w:val="21"/>
        </w:rPr>
      </w:pPr>
      <w:r>
        <w:rPr>
          <w:rFonts w:hint="eastAsia"/>
          <w:color w:val="000000"/>
          <w:szCs w:val="21"/>
        </w:rPr>
        <w:t>（1）基金份额净值计算出现错误时，基金管理人应当立即予以纠正，通报基金托管人，并采取合理的措施防止损失进一步扩大。</w:t>
      </w:r>
    </w:p>
    <w:p w14:paraId="23040DF0">
      <w:pPr>
        <w:adjustRightInd w:val="0"/>
        <w:snapToGrid w:val="0"/>
        <w:spacing w:line="360" w:lineRule="auto"/>
        <w:ind w:firstLine="420" w:firstLineChars="200"/>
        <w:rPr>
          <w:color w:val="000000"/>
          <w:szCs w:val="21"/>
        </w:rPr>
      </w:pPr>
      <w:r>
        <w:rPr>
          <w:rFonts w:hint="eastAsia"/>
          <w:color w:val="000000"/>
          <w:szCs w:val="21"/>
        </w:rPr>
        <w:t>（2）错误偏差达到基金份额净值的0.25%时，基金管理人应当通报基金托管人并报中国证监会备案；错误偏差达到基金份额净值的0.5%时，基金管理人应当公告，并及时通知基金托管人并报中国证监会备案。</w:t>
      </w:r>
    </w:p>
    <w:p w14:paraId="6D9773D8">
      <w:pPr>
        <w:adjustRightInd w:val="0"/>
        <w:snapToGrid w:val="0"/>
        <w:spacing w:line="360" w:lineRule="auto"/>
        <w:ind w:firstLine="420" w:firstLineChars="200"/>
        <w:rPr>
          <w:color w:val="000000"/>
          <w:szCs w:val="21"/>
        </w:rPr>
      </w:pPr>
      <w:r>
        <w:rPr>
          <w:rFonts w:hint="eastAsia"/>
          <w:color w:val="000000"/>
          <w:szCs w:val="21"/>
        </w:rPr>
        <w:t>（3）前述内容如法律法规或者监管部门另有规定的，从其规定。如果行业另有通行做法，基金管理人和基金托管人应本着平等和保护基金份额持有人利益的原则进行协商。</w:t>
      </w:r>
    </w:p>
    <w:p w14:paraId="6644267E">
      <w:pPr>
        <w:adjustRightInd w:val="0"/>
        <w:snapToGrid w:val="0"/>
        <w:spacing w:line="360" w:lineRule="auto"/>
        <w:ind w:firstLine="420" w:firstLineChars="200"/>
        <w:rPr>
          <w:color w:val="000000"/>
          <w:szCs w:val="21"/>
        </w:rPr>
      </w:pPr>
      <w:r>
        <w:rPr>
          <w:rFonts w:hint="eastAsia"/>
          <w:color w:val="000000"/>
          <w:szCs w:val="21"/>
        </w:rPr>
        <w:t>（四）基金账册的建立</w:t>
      </w:r>
    </w:p>
    <w:p w14:paraId="5F85A7E2">
      <w:pPr>
        <w:adjustRightInd w:val="0"/>
        <w:snapToGrid w:val="0"/>
        <w:spacing w:line="360" w:lineRule="auto"/>
        <w:ind w:firstLine="420" w:firstLineChars="200"/>
        <w:rPr>
          <w:color w:val="000000"/>
          <w:szCs w:val="21"/>
        </w:rPr>
      </w:pPr>
      <w:r>
        <w:rPr>
          <w:rFonts w:hint="eastAsia"/>
          <w:color w:val="000000"/>
          <w:szCs w:val="21"/>
        </w:rPr>
        <w:t>基金管理人和基金托管人在《基金合同》生效后，应按照双方约定的同一记账方法和会计处理原则，分别独立地设置、登录和保管本基金的全套账册，对双方各自的账册定期进行核对，互相监督，以保证基金资产的安全。若双方对会计处理方法存在分歧，应以基金管理人的处理方法为准，对此引致的任何后果基金托管人不承担责任。</w:t>
      </w:r>
    </w:p>
    <w:p w14:paraId="25866976">
      <w:pPr>
        <w:adjustRightInd w:val="0"/>
        <w:snapToGrid w:val="0"/>
        <w:spacing w:line="360" w:lineRule="auto"/>
        <w:ind w:firstLine="420" w:firstLineChars="200"/>
        <w:rPr>
          <w:color w:val="000000"/>
          <w:szCs w:val="21"/>
        </w:rPr>
      </w:pPr>
      <w:r>
        <w:rPr>
          <w:rFonts w:hint="eastAsia"/>
          <w:color w:val="000000"/>
          <w:szCs w:val="21"/>
        </w:rPr>
        <w:t>经对账发现双方的账目存在不符的，基金管理人和基金托管人必须及时查明原因并纠正，保证双方平行登录的账册记录完全相符。若当日核对不符，暂时无法查找到错账的原因而影响到基金净值的计算和公告的，以基金管理人的账册为准，对此引致的任何后果基金托管人不承担责任。</w:t>
      </w:r>
    </w:p>
    <w:p w14:paraId="30889DF9">
      <w:pPr>
        <w:adjustRightInd w:val="0"/>
        <w:snapToGrid w:val="0"/>
        <w:spacing w:line="360" w:lineRule="auto"/>
        <w:ind w:firstLine="420" w:firstLineChars="200"/>
        <w:rPr>
          <w:color w:val="000000"/>
          <w:szCs w:val="21"/>
        </w:rPr>
      </w:pPr>
      <w:r>
        <w:rPr>
          <w:rFonts w:hint="eastAsia"/>
          <w:color w:val="000000"/>
          <w:szCs w:val="21"/>
        </w:rPr>
        <w:t>（五）基金定期报告的编制和复核</w:t>
      </w:r>
    </w:p>
    <w:p w14:paraId="04212597">
      <w:pPr>
        <w:adjustRightInd w:val="0"/>
        <w:snapToGrid w:val="0"/>
        <w:spacing w:line="360" w:lineRule="auto"/>
        <w:ind w:firstLine="420" w:firstLineChars="200"/>
        <w:rPr>
          <w:color w:val="000000"/>
          <w:szCs w:val="21"/>
        </w:rPr>
      </w:pPr>
      <w:r>
        <w:rPr>
          <w:rFonts w:hint="eastAsia"/>
          <w:color w:val="000000"/>
          <w:szCs w:val="21"/>
        </w:rPr>
        <w:t>基金管理人应当在每月结束后5个工作日内完成月度报表的编制；基金管理人在季度结束之日起15个工作日内完成季度报告编制并公告；在上半年结束之日起两个月内完成中期报告编制并公告；在每年结束之日起三个月内完成年度报告编制并公告。基金年度报告的财务会计报告应当经过符合《证券法》规定的会计师事务所审计。基金合同生效不足两个月的，基金管理人可以不编制当期季度报告、中期报告或者年度报告。</w:t>
      </w:r>
    </w:p>
    <w:p w14:paraId="06ABB3F4">
      <w:pPr>
        <w:adjustRightInd w:val="0"/>
        <w:snapToGrid w:val="0"/>
        <w:spacing w:line="360" w:lineRule="auto"/>
        <w:ind w:firstLine="420" w:firstLineChars="200"/>
        <w:rPr>
          <w:color w:val="000000"/>
          <w:szCs w:val="21"/>
        </w:rPr>
      </w:pPr>
      <w:r>
        <w:rPr>
          <w:rFonts w:hint="eastAsia"/>
          <w:color w:val="000000"/>
          <w:szCs w:val="21"/>
        </w:rPr>
        <w:t>基金管理人在季度报告完成当日，将有关报告提供基金托管人复核，基金托管人在收到后7个工作日内进行复核，并将复核结果以书面或电子等双方一致认可的方式通知基金管理人。基金管理人在中期报告完成当日，将有关报告提供基金托管人复核，基金托管人在收到后30日内进行复核，并将复核结果以书面或电子等双方一致认可的方式通知基金管理人。基金管理人在年度报告完成当日，将有关报告提供基金托管人复核，基金托管人在收到后45日内复核，并将复核结果以书面或电子等双方一致认可的方式通知基金管理人。</w:t>
      </w:r>
    </w:p>
    <w:p w14:paraId="04233D8F">
      <w:pPr>
        <w:adjustRightInd w:val="0"/>
        <w:snapToGrid w:val="0"/>
        <w:spacing w:line="360" w:lineRule="auto"/>
        <w:ind w:firstLine="420" w:firstLineChars="200"/>
        <w:rPr>
          <w:color w:val="000000"/>
          <w:szCs w:val="21"/>
        </w:rPr>
      </w:pPr>
      <w:r>
        <w:rPr>
          <w:rFonts w:hint="eastAsia"/>
          <w:color w:val="000000"/>
          <w:szCs w:val="21"/>
        </w:rPr>
        <w:t>基金托管人在复核过程中，发现双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或以双方一致认可的方式进行书面或电子确认。如果基金管理人与基金托管人不能于应当发布公告之日之前就相关报表达成一致，基金管理人有权按照其编制的报表对外发布公告，由此造成的损失由基金管理人承担赔偿责任，基金托管人不负赔偿责任，基金托管人有权就相关情况报证监会备案。</w:t>
      </w:r>
    </w:p>
    <w:p w14:paraId="56FD46FA">
      <w:pPr>
        <w:adjustRightInd w:val="0"/>
        <w:snapToGrid w:val="0"/>
        <w:spacing w:line="360" w:lineRule="auto"/>
        <w:ind w:firstLine="420" w:firstLineChars="200"/>
        <w:rPr>
          <w:color w:val="000000"/>
          <w:szCs w:val="21"/>
        </w:rPr>
      </w:pPr>
      <w:r>
        <w:rPr>
          <w:rFonts w:hint="eastAsia"/>
          <w:color w:val="000000"/>
          <w:szCs w:val="21"/>
        </w:rPr>
        <w:t>基金托管人在对财务会计报告、中期报告或年度报告复核完毕后，需盖章确认或出具相应的复核确认书或以双方认可的方式进行书面或电子确认，以备有权机构对相关文件审核时提示。</w:t>
      </w:r>
    </w:p>
    <w:p w14:paraId="4D98CF38">
      <w:pPr>
        <w:adjustRightInd w:val="0"/>
        <w:snapToGrid w:val="0"/>
        <w:spacing w:line="360" w:lineRule="auto"/>
        <w:ind w:firstLine="420" w:firstLineChars="200"/>
        <w:rPr>
          <w:color w:val="000000"/>
          <w:szCs w:val="21"/>
        </w:rPr>
      </w:pPr>
      <w:r>
        <w:rPr>
          <w:rFonts w:hint="eastAsia"/>
          <w:color w:val="000000"/>
          <w:szCs w:val="21"/>
        </w:rPr>
        <w:t>（六）暂停估值的情形</w:t>
      </w:r>
    </w:p>
    <w:p w14:paraId="7A526E7B">
      <w:pPr>
        <w:adjustRightInd w:val="0"/>
        <w:snapToGrid w:val="0"/>
        <w:spacing w:line="360" w:lineRule="auto"/>
        <w:ind w:firstLine="420" w:firstLineChars="200"/>
        <w:rPr>
          <w:color w:val="000000"/>
          <w:szCs w:val="21"/>
        </w:rPr>
      </w:pPr>
      <w:r>
        <w:rPr>
          <w:rFonts w:hint="eastAsia"/>
          <w:color w:val="000000"/>
          <w:szCs w:val="21"/>
        </w:rPr>
        <w:t>1、基金投资所涉及的证券/期货交易市场遇法定节假日或因其他原因暂停营业时；</w:t>
      </w:r>
    </w:p>
    <w:p w14:paraId="47656E67">
      <w:pPr>
        <w:adjustRightInd w:val="0"/>
        <w:snapToGrid w:val="0"/>
        <w:spacing w:line="360" w:lineRule="auto"/>
        <w:ind w:firstLine="420" w:firstLineChars="200"/>
        <w:rPr>
          <w:color w:val="000000"/>
          <w:szCs w:val="21"/>
        </w:rPr>
      </w:pPr>
      <w:r>
        <w:rPr>
          <w:rFonts w:hint="eastAsia"/>
          <w:color w:val="000000"/>
          <w:szCs w:val="21"/>
        </w:rPr>
        <w:t>2、因不可抗力或者其他情形致使基金管理人、基金托管人无法准确评估基金资产价值时；</w:t>
      </w:r>
    </w:p>
    <w:p w14:paraId="194939DD">
      <w:pPr>
        <w:adjustRightInd w:val="0"/>
        <w:snapToGrid w:val="0"/>
        <w:spacing w:line="360" w:lineRule="auto"/>
        <w:ind w:firstLine="420" w:firstLineChars="200"/>
        <w:rPr>
          <w:color w:val="000000"/>
          <w:szCs w:val="21"/>
        </w:rPr>
      </w:pPr>
      <w:r>
        <w:rPr>
          <w:rFonts w:hint="eastAsia"/>
          <w:color w:val="000000"/>
          <w:szCs w:val="21"/>
        </w:rPr>
        <w:t>3、当前一估值日基金资产净值50%以上的资产出现无可参考的活跃市场价格且采用估值技术仍导致公允价值存在重大不确定性时，经与基金托管人协商确认后，基金管理人应当暂停估值；</w:t>
      </w:r>
    </w:p>
    <w:p w14:paraId="45EBD06C">
      <w:pPr>
        <w:adjustRightInd w:val="0"/>
        <w:snapToGrid w:val="0"/>
        <w:spacing w:line="360" w:lineRule="auto"/>
        <w:ind w:firstLine="420" w:firstLineChars="200"/>
        <w:rPr>
          <w:color w:val="000000"/>
          <w:szCs w:val="21"/>
        </w:rPr>
      </w:pPr>
      <w:r>
        <w:rPr>
          <w:rFonts w:hint="eastAsia"/>
          <w:color w:val="000000"/>
          <w:szCs w:val="21"/>
        </w:rPr>
        <w:t>4、法律法规、中国证监会和基金合同认定的其它情形。</w:t>
      </w:r>
    </w:p>
    <w:bookmarkEnd w:id="192"/>
    <w:bookmarkEnd w:id="193"/>
    <w:p w14:paraId="54D4FFF1">
      <w:pPr>
        <w:spacing w:line="360" w:lineRule="auto"/>
        <w:ind w:firstLine="422" w:firstLineChars="200"/>
        <w:rPr>
          <w:rFonts w:hint="eastAsia" w:ascii="宋体" w:hAnsi="宋体" w:cs="宋体"/>
          <w:b/>
          <w:szCs w:val="21"/>
        </w:rPr>
      </w:pPr>
      <w:r>
        <w:rPr>
          <w:rFonts w:ascii="宋体" w:hAnsi="宋体" w:cs="宋体"/>
          <w:b/>
          <w:szCs w:val="21"/>
        </w:rPr>
        <w:t>六</w:t>
      </w:r>
      <w:r>
        <w:rPr>
          <w:rFonts w:hint="eastAsia" w:ascii="宋体" w:hAnsi="宋体" w:cs="宋体"/>
          <w:b/>
          <w:szCs w:val="21"/>
        </w:rPr>
        <w:t>、基金份额持有人名册的保管</w:t>
      </w:r>
    </w:p>
    <w:p w14:paraId="5099CF2A">
      <w:pPr>
        <w:spacing w:line="360" w:lineRule="auto"/>
        <w:ind w:firstLine="420" w:firstLineChars="200"/>
        <w:rPr>
          <w:color w:val="000000"/>
          <w:szCs w:val="21"/>
        </w:rPr>
      </w:pPr>
      <w:bookmarkStart w:id="194" w:name="_Toc288639820"/>
      <w:bookmarkStart w:id="195" w:name="_Toc278986610"/>
      <w:bookmarkStart w:id="196" w:name="_Toc278986895"/>
      <w:bookmarkStart w:id="197" w:name="_Toc286319598"/>
      <w:bookmarkStart w:id="198" w:name="_Toc287014247"/>
      <w:bookmarkStart w:id="199" w:name="_Toc278986835"/>
      <w:r>
        <w:rPr>
          <w:rFonts w:hint="eastAsia"/>
          <w:color w:val="000000"/>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14:paraId="37AD5121">
      <w:pPr>
        <w:spacing w:line="360" w:lineRule="auto"/>
        <w:ind w:firstLine="420" w:firstLineChars="200"/>
        <w:rPr>
          <w:color w:val="000000"/>
          <w:szCs w:val="21"/>
        </w:rPr>
      </w:pPr>
      <w:r>
        <w:rPr>
          <w:rFonts w:hint="eastAsia"/>
          <w:color w:val="000000"/>
          <w:szCs w:val="21"/>
        </w:rPr>
        <w:t>基金份额持有人名册由基金的基金注册登记机构根据基金管理人的指令编制和保管，基金管理人和基金托管人应按照目前相关规则分别保管基金份额持有人名册。保管方式可以采用电子或文档的形式，保存期限不低于法律法规规定的最低期限。</w:t>
      </w:r>
    </w:p>
    <w:p w14:paraId="0F0E34C9">
      <w:pPr>
        <w:spacing w:line="360" w:lineRule="auto"/>
        <w:ind w:firstLine="420" w:firstLineChars="200"/>
        <w:rPr>
          <w:color w:val="000000"/>
          <w:szCs w:val="21"/>
        </w:rPr>
      </w:pPr>
      <w:r>
        <w:rPr>
          <w:rFonts w:hint="eastAsia"/>
          <w:color w:val="000000"/>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14:paraId="2F0BB5AC">
      <w:pPr>
        <w:spacing w:line="360" w:lineRule="auto"/>
        <w:ind w:firstLine="420" w:firstLineChars="200"/>
        <w:rPr>
          <w:color w:val="000000"/>
          <w:szCs w:val="21"/>
        </w:rPr>
      </w:pPr>
      <w:r>
        <w:rPr>
          <w:rFonts w:hint="eastAsia"/>
          <w:color w:val="000000"/>
          <w:szCs w:val="21"/>
        </w:rPr>
        <w:t>基金托管人以电子版形式妥善保管基金份额持有人名册，并定期备份，保存期限不低于法律法规规定的最低期限。基金托管人不得将所保管的基金份额持有人名册用于基金托管业务以外的其他用途，并应遵守保密义务，法律法规另有规定或有权机关、监管机构、一方上市的证券交易所另有要求的除外。</w:t>
      </w:r>
    </w:p>
    <w:p w14:paraId="4ED26A9D">
      <w:pPr>
        <w:spacing w:line="360" w:lineRule="auto"/>
        <w:ind w:firstLine="420" w:firstLineChars="200"/>
        <w:rPr>
          <w:color w:val="000000"/>
          <w:szCs w:val="21"/>
        </w:rPr>
      </w:pPr>
      <w:r>
        <w:rPr>
          <w:rFonts w:hint="eastAsia"/>
          <w:color w:val="000000"/>
          <w:szCs w:val="21"/>
        </w:rPr>
        <w:t>若基金管理人或基金托管人由于自身原因无法妥善保管基金份额持有人名册，应按有关法规规定各自承担相应的责任。</w:t>
      </w:r>
    </w:p>
    <w:p w14:paraId="0D6D4415">
      <w:pPr>
        <w:spacing w:line="360" w:lineRule="auto"/>
        <w:ind w:firstLine="422" w:firstLineChars="200"/>
        <w:rPr>
          <w:rFonts w:hint="eastAsia" w:ascii="宋体" w:hAnsi="宋体" w:cs="宋体"/>
          <w:b/>
          <w:szCs w:val="21"/>
        </w:rPr>
      </w:pPr>
      <w:r>
        <w:rPr>
          <w:rFonts w:ascii="宋体" w:hAnsi="宋体" w:cs="宋体"/>
          <w:b/>
          <w:szCs w:val="21"/>
        </w:rPr>
        <w:t>七</w:t>
      </w:r>
      <w:r>
        <w:rPr>
          <w:rFonts w:hint="eastAsia" w:ascii="宋体" w:hAnsi="宋体" w:cs="宋体"/>
          <w:b/>
          <w:szCs w:val="21"/>
        </w:rPr>
        <w:t>、争议解决方式</w:t>
      </w:r>
      <w:bookmarkEnd w:id="194"/>
      <w:bookmarkEnd w:id="195"/>
      <w:bookmarkEnd w:id="196"/>
      <w:bookmarkEnd w:id="197"/>
      <w:bookmarkEnd w:id="198"/>
      <w:bookmarkEnd w:id="199"/>
    </w:p>
    <w:p w14:paraId="0C02F820">
      <w:pPr>
        <w:adjustRightInd w:val="0"/>
        <w:snapToGrid w:val="0"/>
        <w:spacing w:line="360" w:lineRule="auto"/>
        <w:ind w:firstLine="422" w:firstLineChars="200"/>
        <w:rPr>
          <w:b/>
          <w:bCs/>
          <w:i/>
          <w:iCs/>
          <w:color w:val="000000"/>
          <w:szCs w:val="21"/>
        </w:rPr>
      </w:pPr>
      <w:bookmarkStart w:id="200" w:name="_Toc278986836"/>
      <w:bookmarkStart w:id="201" w:name="_Toc278986896"/>
      <w:bookmarkStart w:id="202" w:name="_Toc287014248"/>
      <w:bookmarkStart w:id="203" w:name="_Toc278986611"/>
      <w:bookmarkStart w:id="204" w:name="_Toc286319599"/>
      <w:bookmarkStart w:id="205" w:name="_Toc288639821"/>
      <w:bookmarkStart w:id="206" w:name="_Toc252355970"/>
      <w:r>
        <w:rPr>
          <w:rFonts w:hint="eastAsia"/>
          <w:b/>
          <w:bCs/>
          <w:i/>
          <w:iCs/>
          <w:color w:val="000000"/>
          <w:szCs w:val="21"/>
        </w:rPr>
        <w:t>双方当事人同意，因本协议而产生的或与本协议有关的一切争议，如经友好协商未能解决的，应提交中国国际经济贸易仲裁委员会，根据该会届时有效的仲裁规则进行仲裁，仲裁的地点在北京市。仲裁裁决是终局性的并对双方均有约束力，除非仲裁裁决另有决定，仲裁费由败诉方承担。</w:t>
      </w:r>
    </w:p>
    <w:p w14:paraId="68F5A051">
      <w:pPr>
        <w:adjustRightInd w:val="0"/>
        <w:snapToGrid w:val="0"/>
        <w:spacing w:line="360" w:lineRule="auto"/>
        <w:ind w:firstLine="422" w:firstLineChars="200"/>
        <w:rPr>
          <w:b/>
          <w:bCs/>
          <w:i/>
          <w:iCs/>
          <w:color w:val="000000"/>
          <w:szCs w:val="21"/>
        </w:rPr>
      </w:pPr>
      <w:r>
        <w:rPr>
          <w:rFonts w:hint="eastAsia"/>
          <w:b/>
          <w:bCs/>
          <w:i/>
          <w:iCs/>
          <w:color w:val="000000"/>
          <w:szCs w:val="21"/>
        </w:rPr>
        <w:t>争议处理期间，双方当事人应恪守基金管理人和基金托管人职责，继续忠实、勤勉、尽责地履行《基金合同》和托管协议规定的义务，维护基金份额持有人的合法权益。</w:t>
      </w:r>
    </w:p>
    <w:p w14:paraId="57BC6273">
      <w:pPr>
        <w:adjustRightInd w:val="0"/>
        <w:snapToGrid w:val="0"/>
        <w:spacing w:line="360" w:lineRule="auto"/>
        <w:ind w:firstLine="422" w:firstLineChars="200"/>
        <w:rPr>
          <w:b/>
          <w:bCs/>
          <w:i/>
          <w:iCs/>
          <w:color w:val="000000"/>
          <w:szCs w:val="21"/>
        </w:rPr>
      </w:pPr>
      <w:r>
        <w:rPr>
          <w:rFonts w:hint="eastAsia"/>
          <w:b/>
          <w:bCs/>
          <w:i/>
          <w:iCs/>
          <w:color w:val="000000"/>
          <w:szCs w:val="21"/>
        </w:rPr>
        <w:t>本协议受中国法律（为本协议之目的，不包括香港特别行政区、澳门特别行政区法律和台湾地区有关规定）管辖并从其解释。</w:t>
      </w:r>
    </w:p>
    <w:p w14:paraId="776F0CA7">
      <w:pPr>
        <w:spacing w:line="360" w:lineRule="auto"/>
        <w:ind w:firstLine="422" w:firstLineChars="200"/>
        <w:rPr>
          <w:rFonts w:hint="eastAsia" w:ascii="宋体" w:hAnsi="宋体" w:cs="宋体"/>
          <w:b/>
          <w:szCs w:val="21"/>
        </w:rPr>
      </w:pPr>
      <w:r>
        <w:rPr>
          <w:rFonts w:ascii="宋体" w:hAnsi="宋体" w:cs="宋体"/>
          <w:b/>
          <w:szCs w:val="21"/>
        </w:rPr>
        <w:t>八</w:t>
      </w:r>
      <w:r>
        <w:rPr>
          <w:rFonts w:hint="eastAsia" w:ascii="宋体" w:hAnsi="宋体" w:cs="宋体"/>
          <w:b/>
          <w:szCs w:val="21"/>
        </w:rPr>
        <w:t>、</w:t>
      </w:r>
      <w:bookmarkEnd w:id="200"/>
      <w:bookmarkEnd w:id="201"/>
      <w:bookmarkEnd w:id="202"/>
      <w:bookmarkEnd w:id="203"/>
      <w:bookmarkEnd w:id="204"/>
      <w:bookmarkEnd w:id="205"/>
      <w:bookmarkEnd w:id="206"/>
      <w:bookmarkStart w:id="207" w:name="_Toc147463123"/>
      <w:bookmarkStart w:id="208" w:name="_Toc21073396"/>
      <w:bookmarkStart w:id="209" w:name="_Toc12357176"/>
      <w:bookmarkStart w:id="210" w:name="_Toc214873621"/>
      <w:r>
        <w:rPr>
          <w:rFonts w:hint="eastAsia" w:ascii="宋体" w:hAnsi="宋体" w:cs="宋体"/>
          <w:b/>
          <w:szCs w:val="21"/>
        </w:rPr>
        <w:t>托管协议的变更、终止与基金财产的清算</w:t>
      </w:r>
    </w:p>
    <w:p w14:paraId="7DBA9D58">
      <w:pPr>
        <w:adjustRightInd w:val="0"/>
        <w:snapToGrid w:val="0"/>
        <w:spacing w:line="360" w:lineRule="auto"/>
        <w:ind w:firstLine="420" w:firstLineChars="200"/>
        <w:rPr>
          <w:color w:val="000000"/>
          <w:szCs w:val="21"/>
        </w:rPr>
      </w:pPr>
      <w:r>
        <w:rPr>
          <w:rFonts w:hint="eastAsia"/>
          <w:color w:val="000000"/>
          <w:szCs w:val="21"/>
        </w:rPr>
        <w:t>（一）托管协议的变更与终止</w:t>
      </w:r>
    </w:p>
    <w:p w14:paraId="7B332756">
      <w:pPr>
        <w:adjustRightInd w:val="0"/>
        <w:snapToGrid w:val="0"/>
        <w:spacing w:line="360" w:lineRule="auto"/>
        <w:ind w:firstLine="420" w:firstLineChars="200"/>
        <w:rPr>
          <w:color w:val="000000"/>
          <w:szCs w:val="21"/>
        </w:rPr>
      </w:pPr>
      <w:r>
        <w:rPr>
          <w:rFonts w:hint="eastAsia"/>
          <w:color w:val="000000"/>
          <w:szCs w:val="21"/>
        </w:rPr>
        <w:t>1、托管协议的变更程序</w:t>
      </w:r>
    </w:p>
    <w:p w14:paraId="7478FD82">
      <w:pPr>
        <w:adjustRightInd w:val="0"/>
        <w:snapToGrid w:val="0"/>
        <w:spacing w:line="360" w:lineRule="auto"/>
        <w:ind w:firstLine="420" w:firstLineChars="200"/>
        <w:rPr>
          <w:color w:val="000000"/>
          <w:szCs w:val="21"/>
        </w:rPr>
      </w:pPr>
      <w:r>
        <w:rPr>
          <w:rFonts w:hint="eastAsia"/>
          <w:color w:val="000000"/>
          <w:szCs w:val="21"/>
        </w:rPr>
        <w:t>本协议双方当事人经协商一致，可以对协议的内容进行变更。变更后的托管协议，其内容不得与《基金合同》的规定有任何冲突。本协议的变更应按照法律法规规定、监督管理机构要求及《基金合同》约定履行适当程序。</w:t>
      </w:r>
    </w:p>
    <w:p w14:paraId="60A25A63">
      <w:pPr>
        <w:adjustRightInd w:val="0"/>
        <w:snapToGrid w:val="0"/>
        <w:spacing w:line="360" w:lineRule="auto"/>
        <w:ind w:firstLine="420" w:firstLineChars="200"/>
        <w:rPr>
          <w:color w:val="000000"/>
          <w:szCs w:val="21"/>
        </w:rPr>
      </w:pPr>
      <w:r>
        <w:rPr>
          <w:rFonts w:hint="eastAsia"/>
          <w:color w:val="000000"/>
          <w:szCs w:val="21"/>
        </w:rPr>
        <w:t>2、基金托管协议终止的情形</w:t>
      </w:r>
    </w:p>
    <w:p w14:paraId="4F727309">
      <w:pPr>
        <w:adjustRightInd w:val="0"/>
        <w:snapToGrid w:val="0"/>
        <w:spacing w:line="360" w:lineRule="auto"/>
        <w:ind w:firstLine="420" w:firstLineChars="200"/>
        <w:rPr>
          <w:color w:val="000000"/>
          <w:szCs w:val="21"/>
        </w:rPr>
      </w:pPr>
      <w:r>
        <w:rPr>
          <w:rFonts w:hint="eastAsia"/>
          <w:color w:val="000000"/>
          <w:szCs w:val="21"/>
        </w:rPr>
        <w:t>发生以下情况，本托管协议在履行适当程序后终止：</w:t>
      </w:r>
    </w:p>
    <w:p w14:paraId="74B40FC3">
      <w:pPr>
        <w:adjustRightInd w:val="0"/>
        <w:snapToGrid w:val="0"/>
        <w:spacing w:line="360" w:lineRule="auto"/>
        <w:ind w:firstLine="420" w:firstLineChars="200"/>
        <w:rPr>
          <w:color w:val="000000"/>
          <w:szCs w:val="21"/>
        </w:rPr>
      </w:pPr>
      <w:r>
        <w:rPr>
          <w:rFonts w:hint="eastAsia"/>
          <w:color w:val="000000"/>
          <w:szCs w:val="21"/>
        </w:rPr>
        <w:t>（1）《基金合同》终止；</w:t>
      </w:r>
    </w:p>
    <w:p w14:paraId="3ACD9078">
      <w:pPr>
        <w:adjustRightInd w:val="0"/>
        <w:snapToGrid w:val="0"/>
        <w:spacing w:line="360" w:lineRule="auto"/>
        <w:ind w:firstLine="420" w:firstLineChars="200"/>
        <w:rPr>
          <w:color w:val="000000"/>
          <w:szCs w:val="21"/>
        </w:rPr>
      </w:pPr>
      <w:r>
        <w:rPr>
          <w:rFonts w:hint="eastAsia"/>
          <w:color w:val="000000"/>
          <w:szCs w:val="21"/>
        </w:rPr>
        <w:t>（2）基金托管人解散、依法被撤销、破产或有其他基金托管人接管基金资产；</w:t>
      </w:r>
    </w:p>
    <w:p w14:paraId="7B2C2355">
      <w:pPr>
        <w:adjustRightInd w:val="0"/>
        <w:snapToGrid w:val="0"/>
        <w:spacing w:line="360" w:lineRule="auto"/>
        <w:ind w:firstLine="420" w:firstLineChars="200"/>
        <w:rPr>
          <w:color w:val="000000"/>
          <w:szCs w:val="21"/>
        </w:rPr>
      </w:pPr>
      <w:r>
        <w:rPr>
          <w:rFonts w:hint="eastAsia"/>
          <w:color w:val="000000"/>
          <w:szCs w:val="21"/>
        </w:rPr>
        <w:t>（3）基金管理人解散、依法被撤销、破产或有其他基金管理人接管基金管理权；</w:t>
      </w:r>
    </w:p>
    <w:p w14:paraId="6754689D">
      <w:pPr>
        <w:adjustRightInd w:val="0"/>
        <w:snapToGrid w:val="0"/>
        <w:spacing w:line="360" w:lineRule="auto"/>
        <w:ind w:firstLine="420" w:firstLineChars="200"/>
        <w:rPr>
          <w:color w:val="000000"/>
          <w:szCs w:val="21"/>
        </w:rPr>
      </w:pPr>
      <w:r>
        <w:rPr>
          <w:rFonts w:hint="eastAsia"/>
          <w:color w:val="000000"/>
          <w:szCs w:val="21"/>
        </w:rPr>
        <w:t>（4）发生法律法规、中国证监会或《基金合同》规定的终止事项。</w:t>
      </w:r>
    </w:p>
    <w:p w14:paraId="2C3E4F3D">
      <w:pPr>
        <w:adjustRightInd w:val="0"/>
        <w:snapToGrid w:val="0"/>
        <w:spacing w:line="360" w:lineRule="auto"/>
        <w:ind w:firstLine="420" w:firstLineChars="200"/>
        <w:rPr>
          <w:color w:val="000000"/>
          <w:szCs w:val="21"/>
        </w:rPr>
      </w:pPr>
      <w:r>
        <w:rPr>
          <w:rFonts w:hint="eastAsia"/>
          <w:color w:val="000000"/>
          <w:szCs w:val="21"/>
        </w:rPr>
        <w:t>（二）基金财产的清算</w:t>
      </w:r>
    </w:p>
    <w:p w14:paraId="6D72A8D4">
      <w:pPr>
        <w:adjustRightInd w:val="0"/>
        <w:snapToGrid w:val="0"/>
        <w:spacing w:line="360" w:lineRule="auto"/>
        <w:ind w:firstLine="420" w:firstLineChars="200"/>
        <w:rPr>
          <w:color w:val="000000"/>
          <w:szCs w:val="21"/>
        </w:rPr>
      </w:pPr>
      <w:r>
        <w:rPr>
          <w:rFonts w:hint="eastAsia"/>
          <w:color w:val="000000"/>
          <w:szCs w:val="21"/>
        </w:rPr>
        <w:t>1、基金财产清算小组：自出现《基金合同》终止事由之日起30个工作日内成立基金财产清算小组，基金管理人组织基金财产清算小组并在中国证监会的监督下进行基金清算。</w:t>
      </w:r>
    </w:p>
    <w:p w14:paraId="62C3CCC4">
      <w:pPr>
        <w:adjustRightInd w:val="0"/>
        <w:snapToGrid w:val="0"/>
        <w:spacing w:line="360" w:lineRule="auto"/>
        <w:ind w:firstLine="420" w:firstLineChars="200"/>
        <w:rPr>
          <w:color w:val="000000"/>
          <w:szCs w:val="21"/>
        </w:rPr>
      </w:pPr>
      <w:r>
        <w:rPr>
          <w:rFonts w:hint="eastAsia"/>
          <w:color w:val="000000"/>
          <w:szCs w:val="21"/>
        </w:rPr>
        <w:t>2、在基金财产清算小组接管基金财产之前，基金管理人和基金托管人应按照《基金合同》和托管协议的规定继续履行保护基金财产安全的职责。</w:t>
      </w:r>
    </w:p>
    <w:p w14:paraId="0C936FDF">
      <w:pPr>
        <w:adjustRightInd w:val="0"/>
        <w:snapToGrid w:val="0"/>
        <w:spacing w:line="360" w:lineRule="auto"/>
        <w:ind w:firstLine="420" w:firstLineChars="200"/>
        <w:rPr>
          <w:color w:val="000000"/>
          <w:szCs w:val="21"/>
        </w:rPr>
      </w:pPr>
      <w:r>
        <w:rPr>
          <w:rFonts w:hint="eastAsia"/>
          <w:color w:val="000000"/>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F376A5F">
      <w:pPr>
        <w:adjustRightInd w:val="0"/>
        <w:snapToGrid w:val="0"/>
        <w:spacing w:line="360" w:lineRule="auto"/>
        <w:ind w:firstLine="420" w:firstLineChars="200"/>
        <w:rPr>
          <w:color w:val="000000"/>
          <w:szCs w:val="21"/>
        </w:rPr>
      </w:pPr>
      <w:r>
        <w:rPr>
          <w:rFonts w:hint="eastAsia"/>
          <w:color w:val="000000"/>
          <w:szCs w:val="21"/>
        </w:rPr>
        <w:t>4、基金财产清算小组职责：基金财产清算小组负责基金财产的保管、清理、估价、变现和分配。基金财产清算小组可以依法进行必要的民事活动。</w:t>
      </w:r>
    </w:p>
    <w:p w14:paraId="5BF8865E">
      <w:pPr>
        <w:adjustRightInd w:val="0"/>
        <w:snapToGrid w:val="0"/>
        <w:spacing w:line="360" w:lineRule="auto"/>
        <w:ind w:firstLine="420" w:firstLineChars="200"/>
        <w:rPr>
          <w:color w:val="000000"/>
          <w:szCs w:val="21"/>
        </w:rPr>
      </w:pPr>
      <w:r>
        <w:rPr>
          <w:rFonts w:hint="eastAsia"/>
          <w:color w:val="000000"/>
          <w:szCs w:val="21"/>
        </w:rPr>
        <w:t>5、基金财产清算程序：</w:t>
      </w:r>
    </w:p>
    <w:p w14:paraId="6847A567">
      <w:pPr>
        <w:adjustRightInd w:val="0"/>
        <w:snapToGrid w:val="0"/>
        <w:spacing w:line="360" w:lineRule="auto"/>
        <w:ind w:firstLine="420" w:firstLineChars="200"/>
        <w:rPr>
          <w:color w:val="000000"/>
          <w:szCs w:val="21"/>
        </w:rPr>
      </w:pPr>
      <w:r>
        <w:rPr>
          <w:rFonts w:hint="eastAsia"/>
          <w:color w:val="000000"/>
          <w:szCs w:val="21"/>
        </w:rPr>
        <w:t>（1）《基金合同》终止情形出现时，由基金财产清算小组统一接管基金；</w:t>
      </w:r>
    </w:p>
    <w:p w14:paraId="1FA157C8">
      <w:pPr>
        <w:adjustRightInd w:val="0"/>
        <w:snapToGrid w:val="0"/>
        <w:spacing w:line="360" w:lineRule="auto"/>
        <w:ind w:firstLine="420" w:firstLineChars="200"/>
        <w:rPr>
          <w:color w:val="000000"/>
          <w:szCs w:val="21"/>
        </w:rPr>
      </w:pPr>
      <w:r>
        <w:rPr>
          <w:rFonts w:hint="eastAsia"/>
          <w:color w:val="000000"/>
          <w:szCs w:val="21"/>
        </w:rPr>
        <w:t>（2）对基金财产和债权债务进行清理和确认；</w:t>
      </w:r>
    </w:p>
    <w:p w14:paraId="0BB154B3">
      <w:pPr>
        <w:adjustRightInd w:val="0"/>
        <w:snapToGrid w:val="0"/>
        <w:spacing w:line="360" w:lineRule="auto"/>
        <w:ind w:firstLine="420" w:firstLineChars="200"/>
        <w:rPr>
          <w:color w:val="000000"/>
          <w:szCs w:val="21"/>
        </w:rPr>
      </w:pPr>
      <w:r>
        <w:rPr>
          <w:rFonts w:hint="eastAsia"/>
          <w:color w:val="000000"/>
          <w:szCs w:val="21"/>
        </w:rPr>
        <w:t>（3）对基金财产进行估值和变现；</w:t>
      </w:r>
    </w:p>
    <w:p w14:paraId="2D0AFD9E">
      <w:pPr>
        <w:adjustRightInd w:val="0"/>
        <w:snapToGrid w:val="0"/>
        <w:spacing w:line="360" w:lineRule="auto"/>
        <w:ind w:firstLine="420" w:firstLineChars="200"/>
        <w:rPr>
          <w:color w:val="000000"/>
          <w:szCs w:val="21"/>
        </w:rPr>
      </w:pPr>
      <w:r>
        <w:rPr>
          <w:rFonts w:hint="eastAsia"/>
          <w:color w:val="000000"/>
          <w:szCs w:val="21"/>
        </w:rPr>
        <w:t>（4）制作清算报告；</w:t>
      </w:r>
    </w:p>
    <w:p w14:paraId="19B05EC8">
      <w:pPr>
        <w:adjustRightInd w:val="0"/>
        <w:snapToGrid w:val="0"/>
        <w:spacing w:line="360" w:lineRule="auto"/>
        <w:ind w:firstLine="420" w:firstLineChars="200"/>
        <w:rPr>
          <w:color w:val="000000"/>
          <w:szCs w:val="21"/>
        </w:rPr>
      </w:pPr>
      <w:r>
        <w:rPr>
          <w:rFonts w:hint="eastAsia"/>
          <w:color w:val="000000"/>
          <w:szCs w:val="21"/>
        </w:rPr>
        <w:t>（5）聘请符合《证券法》规定的会计师事务所对清算报告进行外部审计，聘请律师事务所对清算报告出具法律意见书；</w:t>
      </w:r>
    </w:p>
    <w:p w14:paraId="1E30E3F8">
      <w:pPr>
        <w:adjustRightInd w:val="0"/>
        <w:snapToGrid w:val="0"/>
        <w:spacing w:line="360" w:lineRule="auto"/>
        <w:ind w:firstLine="420" w:firstLineChars="200"/>
        <w:rPr>
          <w:color w:val="000000"/>
          <w:szCs w:val="21"/>
        </w:rPr>
      </w:pPr>
      <w:r>
        <w:rPr>
          <w:rFonts w:hint="eastAsia"/>
          <w:color w:val="000000"/>
          <w:szCs w:val="21"/>
        </w:rPr>
        <w:t>（6）将清算报告报中国证监会备案并公告；</w:t>
      </w:r>
    </w:p>
    <w:p w14:paraId="54A6553E">
      <w:pPr>
        <w:adjustRightInd w:val="0"/>
        <w:snapToGrid w:val="0"/>
        <w:spacing w:line="360" w:lineRule="auto"/>
        <w:ind w:firstLine="420" w:firstLineChars="200"/>
        <w:rPr>
          <w:color w:val="000000"/>
          <w:szCs w:val="21"/>
        </w:rPr>
      </w:pPr>
      <w:r>
        <w:rPr>
          <w:rFonts w:hint="eastAsia"/>
          <w:color w:val="000000"/>
          <w:szCs w:val="21"/>
        </w:rPr>
        <w:t>（7）对基金剩余财产进行分配。</w:t>
      </w:r>
    </w:p>
    <w:p w14:paraId="0C21158D">
      <w:pPr>
        <w:adjustRightInd w:val="0"/>
        <w:snapToGrid w:val="0"/>
        <w:spacing w:line="360" w:lineRule="auto"/>
        <w:ind w:firstLine="420" w:firstLineChars="200"/>
        <w:rPr>
          <w:color w:val="000000"/>
          <w:szCs w:val="21"/>
        </w:rPr>
      </w:pPr>
      <w:r>
        <w:rPr>
          <w:rFonts w:hint="eastAsia"/>
          <w:color w:val="000000"/>
          <w:szCs w:val="21"/>
        </w:rPr>
        <w:t>基金财产清算的期限为6个月，但因本基金所持证券的流动性受到限制而不能及时变现的，清算期限相应顺延。</w:t>
      </w:r>
    </w:p>
    <w:p w14:paraId="6C447685">
      <w:pPr>
        <w:adjustRightInd w:val="0"/>
        <w:snapToGrid w:val="0"/>
        <w:spacing w:line="360" w:lineRule="auto"/>
        <w:ind w:firstLine="420" w:firstLineChars="200"/>
        <w:rPr>
          <w:color w:val="000000"/>
          <w:szCs w:val="21"/>
        </w:rPr>
      </w:pPr>
      <w:r>
        <w:rPr>
          <w:rFonts w:hint="eastAsia"/>
          <w:color w:val="000000"/>
          <w:szCs w:val="21"/>
        </w:rPr>
        <w:t>6、清算费用</w:t>
      </w:r>
    </w:p>
    <w:p w14:paraId="1983C447">
      <w:pPr>
        <w:adjustRightInd w:val="0"/>
        <w:snapToGrid w:val="0"/>
        <w:spacing w:line="360" w:lineRule="auto"/>
        <w:ind w:firstLine="420" w:firstLineChars="200"/>
        <w:rPr>
          <w:color w:val="000000"/>
          <w:szCs w:val="21"/>
        </w:rPr>
      </w:pPr>
      <w:r>
        <w:rPr>
          <w:rFonts w:hint="eastAsia"/>
          <w:color w:val="000000"/>
          <w:szCs w:val="21"/>
        </w:rPr>
        <w:t>清算费用是指基金财产清算小组在进行基金财产清算过程中发生的所有合理费用，清算费用由基金财产清算小组优先从基金剩余财产中支付。</w:t>
      </w:r>
    </w:p>
    <w:p w14:paraId="6F0DAA49">
      <w:pPr>
        <w:adjustRightInd w:val="0"/>
        <w:snapToGrid w:val="0"/>
        <w:spacing w:line="360" w:lineRule="auto"/>
        <w:ind w:firstLine="420" w:firstLineChars="200"/>
        <w:rPr>
          <w:color w:val="000000"/>
          <w:szCs w:val="21"/>
        </w:rPr>
      </w:pPr>
      <w:r>
        <w:rPr>
          <w:rFonts w:hint="eastAsia"/>
          <w:color w:val="000000"/>
          <w:szCs w:val="21"/>
        </w:rPr>
        <w:t>7、基金财产清算剩余资产的分配</w:t>
      </w:r>
    </w:p>
    <w:p w14:paraId="7A4AB232">
      <w:pPr>
        <w:adjustRightInd w:val="0"/>
        <w:snapToGrid w:val="0"/>
        <w:spacing w:line="360" w:lineRule="auto"/>
        <w:ind w:firstLine="420" w:firstLineChars="200"/>
        <w:rPr>
          <w:color w:val="000000"/>
          <w:szCs w:val="21"/>
        </w:rPr>
      </w:pPr>
      <w:r>
        <w:rPr>
          <w:rFonts w:hint="eastAsia"/>
          <w:color w:val="000000"/>
          <w:szCs w:val="21"/>
        </w:rPr>
        <w:t>依据基金财产清算的分配方案，将基金财产清算后的全部剩余资产扣除基金财产清算费用、交纳所欠税款并清偿基金债务后，按基金份额持有人持有的基金份额比例进行分配。</w:t>
      </w:r>
    </w:p>
    <w:p w14:paraId="1EA315C9">
      <w:pPr>
        <w:adjustRightInd w:val="0"/>
        <w:snapToGrid w:val="0"/>
        <w:spacing w:line="360" w:lineRule="auto"/>
        <w:ind w:firstLine="420" w:firstLineChars="200"/>
        <w:rPr>
          <w:color w:val="000000"/>
          <w:szCs w:val="21"/>
        </w:rPr>
      </w:pPr>
      <w:r>
        <w:rPr>
          <w:rFonts w:hint="eastAsia"/>
          <w:color w:val="000000"/>
          <w:szCs w:val="21"/>
        </w:rPr>
        <w:t>（三）基金财产清算的公告</w:t>
      </w:r>
    </w:p>
    <w:p w14:paraId="71878FF7">
      <w:pPr>
        <w:adjustRightInd w:val="0"/>
        <w:snapToGrid w:val="0"/>
        <w:spacing w:line="360" w:lineRule="auto"/>
        <w:ind w:firstLine="420" w:firstLineChars="200"/>
        <w:rPr>
          <w:color w:val="000000"/>
          <w:szCs w:val="21"/>
        </w:rPr>
      </w:pPr>
      <w:r>
        <w:rPr>
          <w:rFonts w:hint="eastAsia"/>
          <w:color w:val="000000"/>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78AAEFA9">
      <w:pPr>
        <w:adjustRightInd w:val="0"/>
        <w:snapToGrid w:val="0"/>
        <w:spacing w:line="360" w:lineRule="auto"/>
        <w:ind w:firstLine="420" w:firstLineChars="200"/>
        <w:rPr>
          <w:color w:val="000000"/>
          <w:szCs w:val="21"/>
        </w:rPr>
      </w:pPr>
      <w:r>
        <w:rPr>
          <w:rFonts w:hint="eastAsia"/>
          <w:color w:val="000000"/>
          <w:szCs w:val="21"/>
        </w:rPr>
        <w:t>（四）基金财产清算账册及文件的保存</w:t>
      </w:r>
    </w:p>
    <w:p w14:paraId="68EA9671">
      <w:pPr>
        <w:adjustRightInd w:val="0"/>
        <w:snapToGrid w:val="0"/>
        <w:spacing w:line="360" w:lineRule="auto"/>
        <w:ind w:firstLine="420" w:firstLineChars="200"/>
        <w:rPr>
          <w:color w:val="000000"/>
          <w:szCs w:val="21"/>
        </w:rPr>
      </w:pPr>
      <w:r>
        <w:rPr>
          <w:rFonts w:hint="eastAsia"/>
          <w:color w:val="000000"/>
          <w:szCs w:val="21"/>
        </w:rPr>
        <w:t>基金财产清算账册及有关文件由基金托管人保存，保存期限不低于法定最低期限。</w:t>
      </w:r>
    </w:p>
    <w:p w14:paraId="03A794EB">
      <w:pPr>
        <w:adjustRightInd w:val="0"/>
        <w:snapToGrid w:val="0"/>
        <w:spacing w:line="360" w:lineRule="auto"/>
        <w:ind w:firstLine="420" w:firstLineChars="200"/>
        <w:rPr>
          <w:bCs/>
          <w:color w:val="000000"/>
          <w:szCs w:val="21"/>
        </w:rPr>
      </w:pPr>
    </w:p>
    <w:p w14:paraId="14C53E63">
      <w:pPr>
        <w:adjustRightInd w:val="0"/>
        <w:snapToGrid w:val="0"/>
        <w:spacing w:line="360" w:lineRule="auto"/>
        <w:ind w:firstLine="420" w:firstLineChars="200"/>
        <w:rPr>
          <w:bCs/>
          <w:color w:val="000000"/>
          <w:szCs w:val="21"/>
        </w:rPr>
      </w:pPr>
    </w:p>
    <w:p w14:paraId="4994DED1">
      <w:pPr>
        <w:adjustRightInd w:val="0"/>
        <w:snapToGrid w:val="0"/>
        <w:spacing w:line="360" w:lineRule="auto"/>
        <w:ind w:firstLine="420" w:firstLineChars="200"/>
        <w:rPr>
          <w:bCs/>
          <w:color w:val="000000"/>
          <w:szCs w:val="21"/>
        </w:rPr>
      </w:pPr>
    </w:p>
    <w:p w14:paraId="310CCB0F">
      <w:pPr>
        <w:adjustRightInd w:val="0"/>
        <w:snapToGrid w:val="0"/>
        <w:spacing w:line="360" w:lineRule="auto"/>
        <w:ind w:firstLine="420" w:firstLineChars="200"/>
        <w:rPr>
          <w:bCs/>
          <w:color w:val="000000"/>
          <w:szCs w:val="21"/>
        </w:rPr>
      </w:pPr>
    </w:p>
    <w:p w14:paraId="1AA71C88">
      <w:pPr>
        <w:adjustRightInd w:val="0"/>
        <w:snapToGrid w:val="0"/>
        <w:spacing w:line="360" w:lineRule="auto"/>
        <w:ind w:firstLine="420" w:firstLineChars="200"/>
        <w:rPr>
          <w:bCs/>
          <w:color w:val="000000"/>
          <w:szCs w:val="21"/>
        </w:rPr>
      </w:pPr>
    </w:p>
    <w:p w14:paraId="43A493D2">
      <w:pPr>
        <w:adjustRightInd w:val="0"/>
        <w:snapToGrid w:val="0"/>
        <w:spacing w:line="360" w:lineRule="auto"/>
        <w:ind w:firstLine="420" w:firstLineChars="200"/>
        <w:rPr>
          <w:bCs/>
          <w:color w:val="000000"/>
          <w:szCs w:val="21"/>
        </w:rPr>
      </w:pPr>
    </w:p>
    <w:p w14:paraId="77CD2E5F">
      <w:pPr>
        <w:adjustRightInd w:val="0"/>
        <w:snapToGrid w:val="0"/>
        <w:spacing w:line="360" w:lineRule="auto"/>
        <w:ind w:firstLine="420" w:firstLineChars="200"/>
        <w:rPr>
          <w:bCs/>
          <w:color w:val="000000"/>
          <w:szCs w:val="21"/>
        </w:rPr>
      </w:pPr>
    </w:p>
    <w:p w14:paraId="672D22A9">
      <w:pPr>
        <w:adjustRightInd w:val="0"/>
        <w:snapToGrid w:val="0"/>
        <w:spacing w:line="360" w:lineRule="auto"/>
        <w:ind w:firstLine="420" w:firstLineChars="200"/>
        <w:rPr>
          <w:bCs/>
          <w:color w:val="000000"/>
          <w:szCs w:val="21"/>
        </w:rPr>
      </w:pPr>
    </w:p>
    <w:p w14:paraId="1A32CA4C">
      <w:pPr>
        <w:adjustRightInd w:val="0"/>
        <w:snapToGrid w:val="0"/>
        <w:spacing w:line="360" w:lineRule="auto"/>
        <w:ind w:firstLine="420" w:firstLineChars="200"/>
        <w:rPr>
          <w:bCs/>
          <w:color w:val="000000"/>
          <w:szCs w:val="21"/>
        </w:rPr>
      </w:pPr>
    </w:p>
    <w:p w14:paraId="25404A72">
      <w:pPr>
        <w:adjustRightInd w:val="0"/>
        <w:snapToGrid w:val="0"/>
        <w:spacing w:line="360" w:lineRule="auto"/>
        <w:ind w:firstLine="420" w:firstLineChars="200"/>
        <w:rPr>
          <w:bCs/>
          <w:color w:val="000000"/>
          <w:szCs w:val="21"/>
        </w:rPr>
      </w:pPr>
    </w:p>
    <w:p w14:paraId="214A47B5">
      <w:pPr>
        <w:adjustRightInd w:val="0"/>
        <w:snapToGrid w:val="0"/>
        <w:spacing w:line="360" w:lineRule="auto"/>
        <w:ind w:firstLine="420" w:firstLineChars="200"/>
        <w:rPr>
          <w:bCs/>
          <w:color w:val="000000"/>
          <w:szCs w:val="21"/>
        </w:rPr>
      </w:pPr>
    </w:p>
    <w:p w14:paraId="088709F1">
      <w:pPr>
        <w:adjustRightInd w:val="0"/>
        <w:snapToGrid w:val="0"/>
        <w:spacing w:line="360" w:lineRule="auto"/>
        <w:rPr>
          <w:bCs/>
          <w:color w:val="000000"/>
          <w:szCs w:val="21"/>
        </w:rPr>
      </w:pPr>
    </w:p>
    <w:p w14:paraId="54B1F0AA">
      <w:pPr>
        <w:pStyle w:val="2"/>
        <w:snapToGrid w:val="0"/>
        <w:spacing w:before="0" w:after="0" w:line="360" w:lineRule="auto"/>
        <w:ind w:firstLine="422" w:firstLineChars="150"/>
        <w:rPr>
          <w:rFonts w:hint="eastAsia" w:hAnsi="宋体" w:eastAsia="宋体" w:cs="Arial"/>
          <w:b/>
          <w:bCs/>
          <w:sz w:val="28"/>
          <w:szCs w:val="28"/>
        </w:rPr>
      </w:pPr>
      <w:bookmarkStart w:id="211" w:name="_Toc365"/>
      <w:bookmarkStart w:id="212" w:name="_Toc86655832"/>
      <w:r>
        <w:rPr>
          <w:rFonts w:hAnsi="宋体" w:eastAsia="宋体" w:cs="Arial"/>
          <w:b/>
          <w:bCs/>
          <w:sz w:val="28"/>
          <w:szCs w:val="28"/>
        </w:rPr>
        <w:t>第二十</w:t>
      </w:r>
      <w:bookmarkStart w:id="213" w:name="_Toc50661142"/>
      <w:r>
        <w:rPr>
          <w:rFonts w:hint="eastAsia" w:hAnsi="宋体" w:eastAsia="宋体" w:cs="Arial"/>
          <w:b/>
          <w:bCs/>
          <w:sz w:val="28"/>
          <w:szCs w:val="28"/>
        </w:rPr>
        <w:t>二</w:t>
      </w:r>
      <w:r>
        <w:rPr>
          <w:rFonts w:hAnsi="宋体" w:eastAsia="宋体" w:cs="Arial"/>
          <w:b/>
          <w:bCs/>
          <w:sz w:val="28"/>
          <w:szCs w:val="28"/>
        </w:rPr>
        <w:t xml:space="preserve">部分  </w:t>
      </w:r>
      <w:bookmarkEnd w:id="207"/>
      <w:bookmarkEnd w:id="208"/>
      <w:bookmarkEnd w:id="209"/>
      <w:r>
        <w:rPr>
          <w:rFonts w:hAnsi="宋体" w:eastAsia="宋体" w:cs="Arial"/>
          <w:b/>
          <w:bCs/>
          <w:sz w:val="28"/>
          <w:szCs w:val="28"/>
        </w:rPr>
        <w:t>对基金份额持有人的服务</w:t>
      </w:r>
      <w:bookmarkEnd w:id="210"/>
      <w:bookmarkEnd w:id="211"/>
      <w:bookmarkEnd w:id="212"/>
      <w:bookmarkEnd w:id="213"/>
    </w:p>
    <w:p w14:paraId="43513DF1">
      <w:pPr>
        <w:adjustRightInd w:val="0"/>
        <w:snapToGrid w:val="0"/>
        <w:spacing w:line="360" w:lineRule="auto"/>
        <w:ind w:firstLine="420" w:firstLineChars="200"/>
        <w:rPr>
          <w:rFonts w:hint="eastAsia" w:ascii="宋体" w:hAnsi="宋体" w:cs="Arial"/>
        </w:rPr>
      </w:pPr>
    </w:p>
    <w:p w14:paraId="4E61D642">
      <w:pPr>
        <w:adjustRightInd w:val="0"/>
        <w:snapToGrid w:val="0"/>
        <w:spacing w:line="360" w:lineRule="auto"/>
        <w:ind w:firstLine="420" w:firstLineChars="200"/>
        <w:rPr>
          <w:rFonts w:hint="eastAsia" w:ascii="宋体" w:hAnsi="宋体"/>
          <w:kern w:val="0"/>
        </w:rPr>
      </w:pPr>
      <w:r>
        <w:rPr>
          <w:rFonts w:ascii="宋体" w:hAnsi="宋体"/>
          <w:kern w:val="0"/>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23CAD381">
      <w:pPr>
        <w:adjustRightInd w:val="0"/>
        <w:snapToGrid w:val="0"/>
        <w:spacing w:line="360" w:lineRule="auto"/>
        <w:ind w:firstLine="420" w:firstLineChars="200"/>
        <w:rPr>
          <w:rFonts w:hint="eastAsia" w:ascii="宋体" w:hAnsi="宋体"/>
          <w:kern w:val="0"/>
        </w:rPr>
      </w:pPr>
      <w:r>
        <w:rPr>
          <w:rFonts w:ascii="宋体" w:hAnsi="宋体"/>
          <w:kern w:val="0"/>
        </w:rPr>
        <w:t>基金管理人提供的服务内容如下：</w:t>
      </w:r>
    </w:p>
    <w:p w14:paraId="0EA9D159">
      <w:pPr>
        <w:adjustRightInd w:val="0"/>
        <w:snapToGrid w:val="0"/>
        <w:spacing w:line="360" w:lineRule="auto"/>
        <w:ind w:firstLine="422" w:firstLineChars="200"/>
        <w:rPr>
          <w:rFonts w:hint="eastAsia" w:ascii="宋体" w:hAnsi="宋体"/>
          <w:b/>
          <w:kern w:val="0"/>
        </w:rPr>
      </w:pPr>
      <w:r>
        <w:rPr>
          <w:rFonts w:ascii="宋体" w:hAnsi="宋体"/>
          <w:b/>
          <w:kern w:val="0"/>
        </w:rPr>
        <w:t>一、客户服务电话</w:t>
      </w:r>
    </w:p>
    <w:p w14:paraId="6BDFA72E">
      <w:pPr>
        <w:adjustRightInd w:val="0"/>
        <w:snapToGrid w:val="0"/>
        <w:spacing w:line="360" w:lineRule="auto"/>
        <w:ind w:firstLine="420" w:firstLineChars="200"/>
        <w:rPr>
          <w:rFonts w:hint="eastAsia" w:ascii="宋体" w:hAnsi="宋体"/>
          <w:kern w:val="0"/>
        </w:rPr>
      </w:pPr>
      <w:r>
        <w:rPr>
          <w:rFonts w:ascii="宋体" w:hAnsi="宋体"/>
          <w:kern w:val="0"/>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2BFFF1E3">
      <w:pPr>
        <w:adjustRightInd w:val="0"/>
        <w:snapToGrid w:val="0"/>
        <w:spacing w:line="360" w:lineRule="auto"/>
        <w:ind w:firstLine="420" w:firstLineChars="200"/>
        <w:rPr>
          <w:rFonts w:hint="eastAsia" w:ascii="宋体" w:hAnsi="宋体"/>
          <w:kern w:val="0"/>
        </w:rPr>
      </w:pPr>
      <w:r>
        <w:rPr>
          <w:rFonts w:hint="eastAsia" w:ascii="宋体" w:hAnsi="宋体"/>
          <w:kern w:val="0"/>
        </w:rPr>
        <w:t>博时一线通</w:t>
      </w:r>
      <w:r>
        <w:rPr>
          <w:rFonts w:ascii="宋体" w:hAnsi="宋体"/>
          <w:kern w:val="0"/>
        </w:rPr>
        <w:t>：95105568（免长途话费）</w:t>
      </w:r>
    </w:p>
    <w:p w14:paraId="5EEE5436">
      <w:pPr>
        <w:adjustRightInd w:val="0"/>
        <w:snapToGrid w:val="0"/>
        <w:spacing w:line="360" w:lineRule="auto"/>
        <w:ind w:firstLine="422" w:firstLineChars="200"/>
        <w:rPr>
          <w:rFonts w:hint="eastAsia" w:ascii="宋体" w:hAnsi="宋体"/>
          <w:b/>
          <w:kern w:val="0"/>
        </w:rPr>
      </w:pPr>
      <w:r>
        <w:rPr>
          <w:rFonts w:ascii="宋体" w:hAnsi="宋体"/>
          <w:b/>
          <w:kern w:val="0"/>
        </w:rPr>
        <w:t>二、网上客户服务中心</w:t>
      </w:r>
    </w:p>
    <w:p w14:paraId="6500DC2C">
      <w:pPr>
        <w:adjustRightInd w:val="0"/>
        <w:snapToGrid w:val="0"/>
        <w:spacing w:line="360" w:lineRule="auto"/>
        <w:ind w:firstLine="420" w:firstLineChars="200"/>
        <w:rPr>
          <w:rFonts w:hint="eastAsia" w:ascii="宋体" w:hAnsi="宋体"/>
          <w:kern w:val="0"/>
        </w:rPr>
      </w:pPr>
      <w:r>
        <w:rPr>
          <w:rFonts w:ascii="宋体" w:hAnsi="宋体"/>
          <w:kern w:val="0"/>
        </w:rPr>
        <w:t>网上客户服务为投资人提供查询服务、资讯服务以及在线</w:t>
      </w:r>
      <w:r>
        <w:rPr>
          <w:rFonts w:hint="eastAsia" w:ascii="宋体" w:hAnsi="宋体"/>
          <w:kern w:val="0"/>
        </w:rPr>
        <w:t>咨询</w:t>
      </w:r>
      <w:r>
        <w:rPr>
          <w:rFonts w:ascii="宋体" w:hAnsi="宋体"/>
          <w:kern w:val="0"/>
        </w:rPr>
        <w:t>的平台。登陆网站后，投资人可以查询基金相关信息，享受资讯服务；投资人还可以</w:t>
      </w:r>
      <w:r>
        <w:rPr>
          <w:rFonts w:hint="eastAsia" w:ascii="宋体" w:hAnsi="宋体"/>
          <w:kern w:val="0"/>
        </w:rPr>
        <w:t>使用</w:t>
      </w:r>
      <w:r>
        <w:rPr>
          <w:rFonts w:ascii="宋体" w:hAnsi="宋体"/>
          <w:kern w:val="0"/>
        </w:rPr>
        <w:t>“在线客服”</w:t>
      </w:r>
      <w:r>
        <w:rPr>
          <w:rFonts w:hint="eastAsia" w:ascii="宋体" w:hAnsi="宋体"/>
          <w:kern w:val="0"/>
        </w:rPr>
        <w:t>功能</w:t>
      </w:r>
      <w:r>
        <w:rPr>
          <w:rFonts w:ascii="宋体" w:hAnsi="宋体"/>
          <w:kern w:val="0"/>
        </w:rPr>
        <w:t>进行在线咨询</w:t>
      </w:r>
      <w:r>
        <w:rPr>
          <w:rFonts w:hint="eastAsia" w:ascii="宋体" w:hAnsi="宋体"/>
          <w:kern w:val="0"/>
        </w:rPr>
        <w:t>以及</w:t>
      </w:r>
      <w:r>
        <w:rPr>
          <w:rFonts w:ascii="宋体" w:hAnsi="宋体"/>
          <w:kern w:val="0"/>
        </w:rPr>
        <w:t>查询热点问题及其解答，并提交投诉与建议。</w:t>
      </w:r>
    </w:p>
    <w:p w14:paraId="17DC1267">
      <w:pPr>
        <w:adjustRightInd w:val="0"/>
        <w:snapToGrid w:val="0"/>
        <w:spacing w:line="360" w:lineRule="auto"/>
        <w:ind w:firstLine="420" w:firstLineChars="200"/>
        <w:rPr>
          <w:rFonts w:hint="eastAsia" w:ascii="宋体" w:hAnsi="宋体"/>
          <w:kern w:val="0"/>
        </w:rPr>
      </w:pPr>
      <w:r>
        <w:rPr>
          <w:rFonts w:hint="eastAsia" w:ascii="宋体" w:hAnsi="宋体"/>
          <w:kern w:val="0"/>
        </w:rPr>
        <w:t>基金管理人</w:t>
      </w:r>
      <w:r>
        <w:rPr>
          <w:rFonts w:ascii="宋体" w:hAnsi="宋体"/>
          <w:kern w:val="0"/>
        </w:rPr>
        <w:t xml:space="preserve">网址： </w:t>
      </w:r>
      <w:r>
        <w:fldChar w:fldCharType="begin"/>
      </w:r>
      <w:r>
        <w:instrText xml:space="preserve"> HYPERLINK "http://www.bosera.com" </w:instrText>
      </w:r>
      <w:r>
        <w:fldChar w:fldCharType="separate"/>
      </w:r>
      <w:r>
        <w:rPr>
          <w:rFonts w:ascii="宋体" w:hAnsi="宋体"/>
          <w:kern w:val="0"/>
        </w:rPr>
        <w:t>www.bosera.com</w:t>
      </w:r>
      <w:r>
        <w:rPr>
          <w:rFonts w:ascii="宋体" w:hAnsi="宋体"/>
          <w:kern w:val="0"/>
        </w:rPr>
        <w:fldChar w:fldCharType="end"/>
      </w:r>
    </w:p>
    <w:p w14:paraId="723C72C7">
      <w:pPr>
        <w:adjustRightInd w:val="0"/>
        <w:snapToGrid w:val="0"/>
        <w:spacing w:line="360" w:lineRule="auto"/>
        <w:ind w:firstLine="420" w:firstLineChars="200"/>
        <w:rPr>
          <w:rFonts w:hint="eastAsia" w:ascii="宋体" w:hAnsi="宋体"/>
          <w:kern w:val="0"/>
        </w:rPr>
      </w:pPr>
      <w:r>
        <w:rPr>
          <w:rFonts w:ascii="宋体" w:hAnsi="宋体"/>
          <w:kern w:val="0"/>
        </w:rPr>
        <w:t>电子邮箱：</w:t>
      </w:r>
      <w:r>
        <w:fldChar w:fldCharType="begin"/>
      </w:r>
      <w:r>
        <w:instrText xml:space="preserve"> HYPERLINK "mailto:service@bosera.com" </w:instrText>
      </w:r>
      <w:r>
        <w:fldChar w:fldCharType="separate"/>
      </w:r>
      <w:r>
        <w:rPr>
          <w:rFonts w:ascii="宋体" w:hAnsi="宋体"/>
          <w:kern w:val="0"/>
        </w:rPr>
        <w:t>service@bosera.com</w:t>
      </w:r>
      <w:r>
        <w:rPr>
          <w:rFonts w:ascii="宋体" w:hAnsi="宋体"/>
          <w:kern w:val="0"/>
        </w:rPr>
        <w:fldChar w:fldCharType="end"/>
      </w:r>
    </w:p>
    <w:p w14:paraId="74A76665">
      <w:pPr>
        <w:adjustRightInd w:val="0"/>
        <w:snapToGrid w:val="0"/>
        <w:spacing w:line="360" w:lineRule="auto"/>
        <w:ind w:firstLine="422" w:firstLineChars="200"/>
        <w:rPr>
          <w:rFonts w:hint="eastAsia" w:ascii="宋体" w:hAnsi="宋体"/>
          <w:b/>
          <w:kern w:val="0"/>
        </w:rPr>
      </w:pPr>
      <w:r>
        <w:rPr>
          <w:rFonts w:ascii="宋体" w:hAnsi="宋体"/>
          <w:b/>
          <w:kern w:val="0"/>
        </w:rPr>
        <w:t>三、客户投诉处理</w:t>
      </w:r>
    </w:p>
    <w:p w14:paraId="5333BA6E">
      <w:pPr>
        <w:adjustRightInd w:val="0"/>
        <w:snapToGrid w:val="0"/>
        <w:spacing w:line="360" w:lineRule="auto"/>
        <w:ind w:firstLine="420" w:firstLineChars="200"/>
        <w:rPr>
          <w:rFonts w:hint="eastAsia" w:ascii="宋体" w:hAnsi="宋体"/>
          <w:kern w:val="0"/>
        </w:rPr>
      </w:pPr>
      <w:r>
        <w:rPr>
          <w:rFonts w:ascii="宋体" w:hAnsi="宋体"/>
          <w:kern w:val="0"/>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r>
        <w:rPr>
          <w:rFonts w:hint="eastAsia" w:ascii="宋体" w:hAnsi="宋体"/>
          <w:kern w:val="0"/>
        </w:rPr>
        <w:t>。</w:t>
      </w:r>
    </w:p>
    <w:p w14:paraId="53B627C9">
      <w:pPr>
        <w:adjustRightInd w:val="0"/>
        <w:snapToGrid w:val="0"/>
        <w:spacing w:line="360" w:lineRule="auto"/>
        <w:ind w:firstLine="422" w:firstLineChars="200"/>
        <w:rPr>
          <w:rFonts w:hint="eastAsia" w:ascii="宋体" w:hAnsi="宋体"/>
          <w:b/>
          <w:kern w:val="0"/>
        </w:rPr>
        <w:sectPr>
          <w:footerReference r:id="rId43" w:type="first"/>
          <w:footerReference r:id="rId42" w:type="default"/>
          <w:pgSz w:w="11906" w:h="16838"/>
          <w:pgMar w:top="1440" w:right="1800" w:bottom="1440" w:left="1800" w:header="851" w:footer="992" w:gutter="0"/>
          <w:cols w:space="720" w:num="1"/>
          <w:titlePg/>
          <w:docGrid w:type="lines" w:linePitch="312" w:charSpace="0"/>
        </w:sectPr>
      </w:pPr>
      <w:r>
        <w:rPr>
          <w:rFonts w:hint="eastAsia" w:ascii="宋体" w:hAnsi="宋体"/>
          <w:b/>
          <w:kern w:val="0"/>
        </w:rPr>
        <w:t>如本招募说明书存在任何您/贵机构无法理解的内容，请通过上述方式联系基金管理人。请确保投资前，您/贵机构已经全面理解了本招募说明书。</w:t>
      </w:r>
    </w:p>
    <w:p w14:paraId="5A584141">
      <w:pPr>
        <w:adjustRightInd w:val="0"/>
        <w:snapToGrid w:val="0"/>
        <w:spacing w:line="360" w:lineRule="auto"/>
        <w:ind w:firstLine="422" w:firstLineChars="200"/>
        <w:rPr>
          <w:rFonts w:hint="eastAsia" w:ascii="宋体" w:hAnsi="宋体"/>
          <w:b/>
          <w:kern w:val="0"/>
        </w:rPr>
      </w:pPr>
    </w:p>
    <w:p w14:paraId="5088E4BA">
      <w:pPr>
        <w:pStyle w:val="2"/>
        <w:snapToGrid w:val="0"/>
        <w:spacing w:before="0" w:after="0" w:line="360" w:lineRule="auto"/>
        <w:ind w:firstLine="422" w:firstLineChars="150"/>
        <w:rPr>
          <w:rFonts w:hint="eastAsia" w:hAnsi="宋体" w:eastAsia="宋体" w:cs="Arial"/>
          <w:b/>
          <w:bCs/>
          <w:sz w:val="28"/>
          <w:szCs w:val="28"/>
        </w:rPr>
      </w:pPr>
      <w:bookmarkStart w:id="214" w:name="_Toc86655833"/>
      <w:bookmarkStart w:id="215" w:name="_Toc214873622"/>
      <w:bookmarkStart w:id="216" w:name="_Toc9892"/>
      <w:bookmarkStart w:id="217" w:name="_Toc530223198"/>
      <w:bookmarkStart w:id="218" w:name="_Toc484165614"/>
      <w:r>
        <w:rPr>
          <w:rFonts w:hAnsi="宋体" w:eastAsia="宋体" w:cs="Arial"/>
          <w:b/>
          <w:bCs/>
          <w:sz w:val="28"/>
          <w:szCs w:val="28"/>
        </w:rPr>
        <w:t>第二十</w:t>
      </w:r>
      <w:bookmarkStart w:id="219" w:name="_Toc50661143"/>
      <w:r>
        <w:rPr>
          <w:rFonts w:hint="eastAsia" w:hAnsi="宋体" w:eastAsia="宋体" w:cs="Arial"/>
          <w:b/>
          <w:bCs/>
          <w:sz w:val="28"/>
          <w:szCs w:val="28"/>
        </w:rPr>
        <w:t>三</w:t>
      </w:r>
      <w:r>
        <w:rPr>
          <w:rFonts w:hAnsi="宋体" w:eastAsia="宋体" w:cs="Arial"/>
          <w:b/>
          <w:bCs/>
          <w:sz w:val="28"/>
          <w:szCs w:val="28"/>
        </w:rPr>
        <w:t>部分  招募说明书存放及查阅方式</w:t>
      </w:r>
      <w:bookmarkEnd w:id="214"/>
      <w:bookmarkEnd w:id="215"/>
      <w:bookmarkEnd w:id="216"/>
      <w:bookmarkEnd w:id="217"/>
      <w:bookmarkEnd w:id="219"/>
    </w:p>
    <w:p w14:paraId="40FC4748"/>
    <w:p w14:paraId="61E3FEBA">
      <w:pPr>
        <w:adjustRightInd w:val="0"/>
        <w:snapToGrid w:val="0"/>
        <w:spacing w:line="360" w:lineRule="auto"/>
        <w:ind w:firstLine="420" w:firstLineChars="200"/>
        <w:rPr>
          <w:rFonts w:hint="eastAsia" w:ascii="宋体" w:hAnsi="宋体"/>
          <w:kern w:val="0"/>
        </w:rPr>
      </w:pPr>
      <w:r>
        <w:rPr>
          <w:rFonts w:ascii="宋体" w:hAnsi="宋体"/>
          <w:kern w:val="0"/>
        </w:rPr>
        <w:t>招募说明书公布后，应当分别置备于基金管理人、基金托管人的住所</w:t>
      </w:r>
      <w:r>
        <w:rPr>
          <w:rFonts w:hint="eastAsia" w:ascii="宋体" w:hAnsi="宋体"/>
          <w:kern w:val="0"/>
        </w:rPr>
        <w:t>和基金上市交易的证券交易所</w:t>
      </w:r>
      <w:r>
        <w:rPr>
          <w:rFonts w:ascii="宋体" w:hAnsi="宋体"/>
          <w:kern w:val="0"/>
        </w:rPr>
        <w:t>，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01AEAA58">
      <w:pPr>
        <w:spacing w:line="360" w:lineRule="auto"/>
        <w:ind w:firstLine="480"/>
        <w:rPr>
          <w:rFonts w:hint="eastAsia" w:ascii="宋体" w:hAnsi="宋体"/>
          <w:kern w:val="0"/>
        </w:rPr>
      </w:pPr>
      <w:r>
        <w:rPr>
          <w:rFonts w:ascii="宋体" w:hAnsi="宋体"/>
          <w:kern w:val="0"/>
        </w:rPr>
        <w:t>投资人还可以直接登录基金管理人的网站（www.bosera.com）查阅和下载招募说明书</w:t>
      </w:r>
      <w:r>
        <w:rPr>
          <w:rFonts w:hint="eastAsia" w:ascii="宋体" w:hAnsi="宋体"/>
          <w:kern w:val="0"/>
        </w:rPr>
        <w:t>。</w:t>
      </w:r>
    </w:p>
    <w:p w14:paraId="608EAFED">
      <w:pPr>
        <w:pStyle w:val="25"/>
        <w:rPr>
          <w:rFonts w:hint="eastAsia" w:ascii="宋体" w:hAnsi="宋体"/>
          <w:kern w:val="0"/>
        </w:rPr>
      </w:pPr>
    </w:p>
    <w:p w14:paraId="0F0BBBAA">
      <w:pPr>
        <w:pStyle w:val="25"/>
        <w:rPr>
          <w:rFonts w:hint="eastAsia" w:ascii="宋体" w:hAnsi="宋体"/>
          <w:kern w:val="0"/>
        </w:rPr>
      </w:pPr>
    </w:p>
    <w:p w14:paraId="548BBEB0">
      <w:pPr>
        <w:pStyle w:val="25"/>
        <w:rPr>
          <w:rFonts w:hint="eastAsia" w:ascii="宋体" w:hAnsi="宋体"/>
          <w:kern w:val="0"/>
        </w:rPr>
      </w:pPr>
    </w:p>
    <w:p w14:paraId="1037D9E6">
      <w:pPr>
        <w:pStyle w:val="25"/>
        <w:rPr>
          <w:rFonts w:hint="eastAsia" w:ascii="宋体" w:hAnsi="宋体"/>
          <w:kern w:val="0"/>
        </w:rPr>
      </w:pPr>
    </w:p>
    <w:p w14:paraId="6B9F4915">
      <w:pPr>
        <w:pStyle w:val="25"/>
        <w:rPr>
          <w:rFonts w:hint="eastAsia" w:ascii="宋体" w:hAnsi="宋体"/>
          <w:kern w:val="0"/>
        </w:rPr>
      </w:pPr>
    </w:p>
    <w:p w14:paraId="30E03877">
      <w:pPr>
        <w:pStyle w:val="25"/>
        <w:rPr>
          <w:rFonts w:hint="eastAsia" w:ascii="宋体" w:hAnsi="宋体"/>
          <w:kern w:val="0"/>
        </w:rPr>
      </w:pPr>
    </w:p>
    <w:p w14:paraId="6C5E295E">
      <w:pPr>
        <w:pStyle w:val="25"/>
        <w:rPr>
          <w:rFonts w:hint="eastAsia" w:ascii="宋体" w:hAnsi="宋体"/>
          <w:kern w:val="0"/>
        </w:rPr>
      </w:pPr>
    </w:p>
    <w:p w14:paraId="5DD4D411">
      <w:pPr>
        <w:pStyle w:val="25"/>
        <w:rPr>
          <w:rFonts w:hint="eastAsia" w:ascii="宋体" w:hAnsi="宋体"/>
          <w:kern w:val="0"/>
        </w:rPr>
      </w:pPr>
    </w:p>
    <w:p w14:paraId="08678140">
      <w:pPr>
        <w:pStyle w:val="25"/>
        <w:rPr>
          <w:rFonts w:hint="eastAsia" w:ascii="宋体" w:hAnsi="宋体"/>
          <w:kern w:val="0"/>
        </w:rPr>
      </w:pPr>
    </w:p>
    <w:p w14:paraId="09EDAA97">
      <w:pPr>
        <w:pStyle w:val="25"/>
        <w:rPr>
          <w:rFonts w:hint="eastAsia" w:ascii="宋体" w:hAnsi="宋体"/>
          <w:kern w:val="0"/>
        </w:rPr>
      </w:pPr>
    </w:p>
    <w:p w14:paraId="42DD4A71">
      <w:pPr>
        <w:pStyle w:val="25"/>
        <w:rPr>
          <w:rFonts w:hint="eastAsia" w:ascii="宋体" w:hAnsi="宋体"/>
          <w:kern w:val="0"/>
        </w:rPr>
      </w:pPr>
    </w:p>
    <w:p w14:paraId="1C3DAC65">
      <w:pPr>
        <w:pStyle w:val="25"/>
        <w:rPr>
          <w:rFonts w:hint="eastAsia" w:ascii="宋体" w:hAnsi="宋体"/>
          <w:kern w:val="0"/>
        </w:rPr>
      </w:pPr>
    </w:p>
    <w:p w14:paraId="107D5AD2">
      <w:pPr>
        <w:pStyle w:val="25"/>
        <w:rPr>
          <w:rFonts w:hint="eastAsia" w:ascii="宋体" w:hAnsi="宋体"/>
          <w:kern w:val="0"/>
        </w:rPr>
      </w:pPr>
    </w:p>
    <w:p w14:paraId="2DE80C5C">
      <w:pPr>
        <w:pStyle w:val="25"/>
        <w:rPr>
          <w:rFonts w:hint="eastAsia" w:ascii="宋体" w:hAnsi="宋体"/>
          <w:kern w:val="0"/>
        </w:rPr>
      </w:pPr>
    </w:p>
    <w:p w14:paraId="2E23F5EB">
      <w:pPr>
        <w:pStyle w:val="25"/>
        <w:rPr>
          <w:rFonts w:hint="eastAsia" w:ascii="宋体" w:hAnsi="宋体"/>
          <w:kern w:val="0"/>
        </w:rPr>
      </w:pPr>
    </w:p>
    <w:p w14:paraId="02C1CAA4">
      <w:pPr>
        <w:pStyle w:val="25"/>
        <w:rPr>
          <w:rFonts w:hint="eastAsia" w:ascii="宋体" w:hAnsi="宋体"/>
          <w:kern w:val="0"/>
        </w:rPr>
      </w:pPr>
    </w:p>
    <w:p w14:paraId="4E463A12">
      <w:pPr>
        <w:pStyle w:val="25"/>
        <w:rPr>
          <w:rFonts w:hint="eastAsia" w:ascii="宋体" w:hAnsi="宋体"/>
          <w:kern w:val="0"/>
        </w:rPr>
      </w:pPr>
    </w:p>
    <w:p w14:paraId="7314ADD7">
      <w:pPr>
        <w:pStyle w:val="25"/>
        <w:rPr>
          <w:rFonts w:hint="eastAsia" w:ascii="宋体" w:hAnsi="宋体"/>
          <w:kern w:val="0"/>
        </w:rPr>
      </w:pPr>
    </w:p>
    <w:p w14:paraId="22853980">
      <w:pPr>
        <w:pStyle w:val="25"/>
        <w:rPr>
          <w:rFonts w:hint="eastAsia" w:ascii="宋体" w:hAnsi="宋体"/>
          <w:kern w:val="0"/>
        </w:rPr>
      </w:pPr>
    </w:p>
    <w:p w14:paraId="16CA6C2E">
      <w:pPr>
        <w:pStyle w:val="25"/>
        <w:rPr>
          <w:rFonts w:hint="eastAsia" w:ascii="宋体" w:hAnsi="宋体"/>
          <w:kern w:val="0"/>
        </w:rPr>
      </w:pPr>
    </w:p>
    <w:p w14:paraId="0E50333F">
      <w:pPr>
        <w:pStyle w:val="25"/>
        <w:rPr>
          <w:rFonts w:hint="eastAsia" w:ascii="宋体" w:hAnsi="宋体"/>
          <w:kern w:val="0"/>
        </w:rPr>
      </w:pPr>
    </w:p>
    <w:p w14:paraId="121BD9D6">
      <w:pPr>
        <w:pStyle w:val="25"/>
        <w:rPr>
          <w:rFonts w:hint="eastAsia" w:ascii="宋体" w:hAnsi="宋体"/>
          <w:kern w:val="0"/>
        </w:rPr>
      </w:pPr>
    </w:p>
    <w:p w14:paraId="1AA08695">
      <w:pPr>
        <w:pStyle w:val="25"/>
        <w:rPr>
          <w:rFonts w:hint="eastAsia" w:ascii="宋体" w:hAnsi="宋体"/>
          <w:kern w:val="0"/>
        </w:rPr>
      </w:pPr>
    </w:p>
    <w:p w14:paraId="56D8829C">
      <w:pPr>
        <w:pStyle w:val="25"/>
        <w:rPr>
          <w:rFonts w:hint="eastAsia" w:ascii="宋体" w:hAnsi="宋体"/>
          <w:kern w:val="0"/>
        </w:rPr>
      </w:pPr>
    </w:p>
    <w:p w14:paraId="77AADE62">
      <w:pPr>
        <w:pStyle w:val="25"/>
        <w:rPr>
          <w:rFonts w:hint="eastAsia" w:ascii="宋体" w:hAnsi="宋体"/>
          <w:kern w:val="0"/>
        </w:rPr>
      </w:pPr>
    </w:p>
    <w:p w14:paraId="5F4D272E">
      <w:pPr>
        <w:pStyle w:val="25"/>
        <w:rPr>
          <w:rFonts w:hint="eastAsia" w:ascii="宋体" w:hAnsi="宋体"/>
          <w:kern w:val="0"/>
        </w:rPr>
      </w:pPr>
    </w:p>
    <w:p w14:paraId="2FBA4D93">
      <w:pPr>
        <w:pStyle w:val="25"/>
        <w:rPr>
          <w:rFonts w:hint="eastAsia" w:ascii="宋体" w:hAnsi="宋体"/>
          <w:kern w:val="0"/>
        </w:rPr>
      </w:pPr>
    </w:p>
    <w:p w14:paraId="61553D1E">
      <w:pPr>
        <w:pStyle w:val="25"/>
        <w:rPr>
          <w:rFonts w:hint="eastAsia" w:ascii="宋体" w:hAnsi="宋体"/>
          <w:kern w:val="0"/>
        </w:rPr>
      </w:pPr>
    </w:p>
    <w:p w14:paraId="5B5FA424">
      <w:pPr>
        <w:pStyle w:val="25"/>
        <w:rPr>
          <w:rFonts w:hint="eastAsia" w:ascii="宋体" w:hAnsi="宋体"/>
          <w:kern w:val="0"/>
        </w:rPr>
      </w:pPr>
    </w:p>
    <w:p w14:paraId="2BB81AEA">
      <w:pPr>
        <w:pStyle w:val="25"/>
        <w:rPr>
          <w:rFonts w:hint="eastAsia" w:ascii="宋体" w:hAnsi="宋体"/>
          <w:kern w:val="0"/>
        </w:rPr>
      </w:pPr>
    </w:p>
    <w:p w14:paraId="75A71F20">
      <w:pPr>
        <w:pStyle w:val="25"/>
        <w:rPr>
          <w:rFonts w:hint="eastAsia" w:ascii="宋体" w:hAnsi="宋体"/>
          <w:kern w:val="0"/>
        </w:rPr>
      </w:pPr>
    </w:p>
    <w:p w14:paraId="6F5CC1B4">
      <w:pPr>
        <w:pStyle w:val="25"/>
        <w:rPr>
          <w:rFonts w:hint="eastAsia" w:ascii="宋体" w:hAnsi="宋体"/>
          <w:kern w:val="0"/>
        </w:rPr>
      </w:pPr>
    </w:p>
    <w:p w14:paraId="3EA9624B">
      <w:pPr>
        <w:pStyle w:val="25"/>
        <w:rPr>
          <w:rFonts w:hint="eastAsia" w:ascii="宋体" w:hAnsi="宋体"/>
          <w:kern w:val="0"/>
        </w:rPr>
      </w:pPr>
    </w:p>
    <w:p w14:paraId="1AF2DE31">
      <w:pPr>
        <w:pStyle w:val="25"/>
        <w:rPr>
          <w:rFonts w:hint="eastAsia" w:ascii="宋体" w:hAnsi="宋体"/>
          <w:kern w:val="0"/>
        </w:rPr>
      </w:pPr>
    </w:p>
    <w:p w14:paraId="24A60D5B">
      <w:pPr>
        <w:spacing w:line="360" w:lineRule="auto"/>
        <w:rPr>
          <w:rFonts w:hint="eastAsia" w:ascii="宋体" w:hAnsi="宋体"/>
        </w:rPr>
      </w:pPr>
    </w:p>
    <w:bookmarkEnd w:id="218"/>
    <w:p w14:paraId="214BDF7D">
      <w:pPr>
        <w:pStyle w:val="2"/>
        <w:snapToGrid w:val="0"/>
        <w:spacing w:before="0" w:after="0" w:line="360" w:lineRule="auto"/>
        <w:ind w:firstLine="422" w:firstLineChars="150"/>
        <w:rPr>
          <w:rFonts w:hint="eastAsia" w:hAnsi="宋体" w:eastAsia="宋体" w:cs="Arial"/>
          <w:b/>
          <w:bCs/>
          <w:sz w:val="28"/>
          <w:szCs w:val="28"/>
        </w:rPr>
      </w:pPr>
      <w:bookmarkStart w:id="220" w:name="_Toc317088167"/>
      <w:bookmarkStart w:id="221" w:name="_Toc386115319"/>
      <w:bookmarkStart w:id="222" w:name="_Toc320887661"/>
      <w:bookmarkStart w:id="223" w:name="_Toc317088556"/>
      <w:bookmarkStart w:id="224" w:name="_Toc465240490"/>
      <w:bookmarkStart w:id="225" w:name="_Toc86655834"/>
      <w:bookmarkStart w:id="226" w:name="_Toc214873623"/>
      <w:bookmarkStart w:id="227" w:name="_Toc31048"/>
      <w:bookmarkStart w:id="228" w:name="_Toc335232710"/>
      <w:bookmarkStart w:id="229" w:name="_Toc530223199"/>
      <w:bookmarkStart w:id="230" w:name="_Toc517169204"/>
      <w:r>
        <w:rPr>
          <w:rFonts w:hint="eastAsia" w:hAnsi="宋体" w:eastAsia="宋体" w:cs="Arial"/>
          <w:b/>
          <w:bCs/>
          <w:sz w:val="28"/>
          <w:szCs w:val="28"/>
        </w:rPr>
        <w:t>第二十</w:t>
      </w:r>
      <w:bookmarkStart w:id="231" w:name="_Toc50661144"/>
      <w:r>
        <w:rPr>
          <w:rFonts w:hint="eastAsia" w:hAnsi="宋体" w:eastAsia="宋体" w:cs="Arial"/>
          <w:b/>
          <w:bCs/>
          <w:sz w:val="28"/>
          <w:szCs w:val="28"/>
        </w:rPr>
        <w:t xml:space="preserve">四部分  </w:t>
      </w:r>
      <w:r>
        <w:rPr>
          <w:rFonts w:hAnsi="宋体" w:eastAsia="宋体" w:cs="Arial"/>
          <w:b/>
          <w:bCs/>
          <w:sz w:val="28"/>
          <w:szCs w:val="28"/>
        </w:rPr>
        <w:t>备查文件</w:t>
      </w:r>
      <w:bookmarkEnd w:id="220"/>
      <w:bookmarkEnd w:id="221"/>
      <w:bookmarkEnd w:id="222"/>
      <w:bookmarkEnd w:id="223"/>
      <w:bookmarkEnd w:id="224"/>
      <w:bookmarkEnd w:id="225"/>
      <w:bookmarkEnd w:id="226"/>
      <w:bookmarkEnd w:id="227"/>
      <w:bookmarkEnd w:id="228"/>
      <w:bookmarkEnd w:id="229"/>
      <w:bookmarkEnd w:id="230"/>
      <w:bookmarkEnd w:id="231"/>
    </w:p>
    <w:p w14:paraId="55C2D194">
      <w:pPr>
        <w:spacing w:line="360" w:lineRule="auto"/>
        <w:rPr>
          <w:lang w:val="zh-CN"/>
        </w:rPr>
      </w:pPr>
    </w:p>
    <w:p w14:paraId="4036D8FD">
      <w:pPr>
        <w:autoSpaceDE w:val="0"/>
        <w:autoSpaceDN w:val="0"/>
        <w:adjustRightInd w:val="0"/>
        <w:snapToGrid w:val="0"/>
        <w:spacing w:line="360" w:lineRule="auto"/>
        <w:ind w:firstLine="420" w:firstLineChars="200"/>
        <w:rPr>
          <w:kern w:val="0"/>
          <w:szCs w:val="21"/>
        </w:rPr>
      </w:pPr>
      <w:r>
        <w:rPr>
          <w:kern w:val="0"/>
          <w:szCs w:val="21"/>
        </w:rPr>
        <w:t>以下备查文件存放在基金管理人的办公场所，在办公时间可供免费查阅。</w:t>
      </w:r>
    </w:p>
    <w:p w14:paraId="26B62F29">
      <w:pPr>
        <w:autoSpaceDE w:val="0"/>
        <w:autoSpaceDN w:val="0"/>
        <w:adjustRightInd w:val="0"/>
        <w:snapToGrid w:val="0"/>
        <w:spacing w:line="360" w:lineRule="auto"/>
        <w:ind w:firstLine="420" w:firstLineChars="200"/>
        <w:rPr>
          <w:kern w:val="0"/>
          <w:szCs w:val="21"/>
        </w:rPr>
      </w:pPr>
      <w:r>
        <w:rPr>
          <w:kern w:val="0"/>
          <w:szCs w:val="21"/>
        </w:rPr>
        <w:t>（一）</w:t>
      </w:r>
      <w:r>
        <w:rPr>
          <w:rFonts w:hint="eastAsia"/>
          <w:kern w:val="0"/>
          <w:szCs w:val="21"/>
        </w:rPr>
        <w:t>中国证监会准予博时中证细分化工产业主题交易型开放式指数证券投资基金注册的文件</w:t>
      </w:r>
    </w:p>
    <w:p w14:paraId="5A7536F0">
      <w:pPr>
        <w:autoSpaceDE w:val="0"/>
        <w:autoSpaceDN w:val="0"/>
        <w:adjustRightInd w:val="0"/>
        <w:snapToGrid w:val="0"/>
        <w:spacing w:line="360" w:lineRule="auto"/>
        <w:ind w:firstLine="420" w:firstLineChars="200"/>
        <w:rPr>
          <w:kern w:val="0"/>
          <w:szCs w:val="21"/>
        </w:rPr>
      </w:pPr>
      <w:r>
        <w:rPr>
          <w:kern w:val="0"/>
          <w:szCs w:val="21"/>
        </w:rPr>
        <w:t>（二）《</w:t>
      </w:r>
      <w:r>
        <w:rPr>
          <w:rFonts w:hint="eastAsia"/>
          <w:kern w:val="0"/>
          <w:szCs w:val="21"/>
        </w:rPr>
        <w:t>博时中证细分化工产业主题交易型开放式指数证券投资基金</w:t>
      </w:r>
      <w:r>
        <w:rPr>
          <w:kern w:val="0"/>
          <w:szCs w:val="21"/>
        </w:rPr>
        <w:t>基金合同》</w:t>
      </w:r>
    </w:p>
    <w:p w14:paraId="7E06420E">
      <w:pPr>
        <w:autoSpaceDE w:val="0"/>
        <w:autoSpaceDN w:val="0"/>
        <w:adjustRightInd w:val="0"/>
        <w:snapToGrid w:val="0"/>
        <w:spacing w:line="360" w:lineRule="auto"/>
        <w:ind w:firstLine="420" w:firstLineChars="200"/>
        <w:rPr>
          <w:kern w:val="0"/>
          <w:szCs w:val="21"/>
        </w:rPr>
      </w:pPr>
      <w:r>
        <w:rPr>
          <w:kern w:val="0"/>
          <w:szCs w:val="21"/>
        </w:rPr>
        <w:t>（三）《</w:t>
      </w:r>
      <w:r>
        <w:rPr>
          <w:rFonts w:hint="eastAsia"/>
          <w:kern w:val="0"/>
          <w:szCs w:val="21"/>
        </w:rPr>
        <w:t>博时中证细分化工产业主题交易型开放式指数证券投资基金</w:t>
      </w:r>
      <w:r>
        <w:rPr>
          <w:kern w:val="0"/>
          <w:szCs w:val="21"/>
        </w:rPr>
        <w:t>托管协议》</w:t>
      </w:r>
    </w:p>
    <w:p w14:paraId="448B3989">
      <w:pPr>
        <w:autoSpaceDE w:val="0"/>
        <w:autoSpaceDN w:val="0"/>
        <w:adjustRightInd w:val="0"/>
        <w:snapToGrid w:val="0"/>
        <w:spacing w:line="360" w:lineRule="auto"/>
        <w:ind w:firstLine="420" w:firstLineChars="200"/>
        <w:rPr>
          <w:kern w:val="0"/>
          <w:szCs w:val="21"/>
        </w:rPr>
      </w:pPr>
      <w:r>
        <w:rPr>
          <w:kern w:val="0"/>
          <w:szCs w:val="21"/>
        </w:rPr>
        <w:t>（四）基金管理人业务资格批件、营业执照</w:t>
      </w:r>
    </w:p>
    <w:p w14:paraId="5A366C72">
      <w:pPr>
        <w:autoSpaceDE w:val="0"/>
        <w:autoSpaceDN w:val="0"/>
        <w:adjustRightInd w:val="0"/>
        <w:snapToGrid w:val="0"/>
        <w:spacing w:line="360" w:lineRule="auto"/>
        <w:ind w:firstLine="420" w:firstLineChars="200"/>
        <w:rPr>
          <w:kern w:val="0"/>
          <w:szCs w:val="21"/>
        </w:rPr>
      </w:pPr>
      <w:r>
        <w:rPr>
          <w:kern w:val="0"/>
          <w:szCs w:val="21"/>
        </w:rPr>
        <w:t>（五）基金托管人业务资格批件、营业执照</w:t>
      </w:r>
    </w:p>
    <w:p w14:paraId="228A4923">
      <w:pPr>
        <w:autoSpaceDE w:val="0"/>
        <w:autoSpaceDN w:val="0"/>
        <w:adjustRightInd w:val="0"/>
        <w:snapToGrid w:val="0"/>
        <w:spacing w:line="360" w:lineRule="auto"/>
        <w:ind w:firstLine="420" w:firstLineChars="200"/>
        <w:rPr>
          <w:kern w:val="0"/>
          <w:szCs w:val="21"/>
        </w:rPr>
      </w:pPr>
      <w:r>
        <w:rPr>
          <w:kern w:val="0"/>
          <w:szCs w:val="21"/>
        </w:rPr>
        <w:t>（六）法律意见书</w:t>
      </w:r>
    </w:p>
    <w:p w14:paraId="5570A8CB">
      <w:pPr>
        <w:autoSpaceDE w:val="0"/>
        <w:autoSpaceDN w:val="0"/>
        <w:adjustRightInd w:val="0"/>
        <w:snapToGrid w:val="0"/>
        <w:spacing w:line="360" w:lineRule="auto"/>
        <w:ind w:firstLine="420" w:firstLineChars="200"/>
        <w:rPr>
          <w:kern w:val="0"/>
          <w:szCs w:val="21"/>
        </w:rPr>
      </w:pPr>
      <w:r>
        <w:rPr>
          <w:kern w:val="0"/>
          <w:szCs w:val="21"/>
        </w:rPr>
        <w:t>（七）中国证监会要求的其他文件</w:t>
      </w:r>
    </w:p>
    <w:p w14:paraId="7A06433F">
      <w:pPr>
        <w:autoSpaceDE w:val="0"/>
        <w:autoSpaceDN w:val="0"/>
        <w:adjustRightInd w:val="0"/>
        <w:snapToGrid w:val="0"/>
        <w:spacing w:line="360" w:lineRule="auto"/>
        <w:ind w:firstLine="420" w:firstLineChars="200"/>
      </w:pPr>
      <w:r>
        <w:rPr>
          <w:kern w:val="0"/>
          <w:szCs w:val="21"/>
        </w:rPr>
        <w:t>查阅方式：投资者可在营业时间免费查阅，也可按工本费购买复印件。</w:t>
      </w:r>
    </w:p>
    <w:p w14:paraId="07D1ADAB">
      <w:pPr>
        <w:spacing w:line="360" w:lineRule="auto"/>
        <w:jc w:val="right"/>
      </w:pPr>
    </w:p>
    <w:p w14:paraId="072AAF33">
      <w:pPr>
        <w:spacing w:line="360" w:lineRule="auto"/>
        <w:jc w:val="right"/>
      </w:pPr>
    </w:p>
    <w:p w14:paraId="5A9D24A3">
      <w:pPr>
        <w:spacing w:line="360" w:lineRule="auto"/>
        <w:jc w:val="center"/>
      </w:pPr>
      <w:r>
        <w:rPr>
          <w:rFonts w:hint="eastAsia"/>
        </w:rPr>
        <w:t xml:space="preserve">                                           </w:t>
      </w:r>
    </w:p>
    <w:p w14:paraId="3E134C79">
      <w:pPr>
        <w:spacing w:line="360" w:lineRule="auto"/>
        <w:jc w:val="center"/>
      </w:pPr>
    </w:p>
    <w:p w14:paraId="45C8D3CC">
      <w:pPr>
        <w:spacing w:line="360" w:lineRule="auto"/>
        <w:jc w:val="center"/>
      </w:pPr>
    </w:p>
    <w:p w14:paraId="0B3F9E95">
      <w:pPr>
        <w:spacing w:line="360" w:lineRule="auto"/>
        <w:jc w:val="center"/>
      </w:pPr>
    </w:p>
    <w:p w14:paraId="4371FBDA">
      <w:pPr>
        <w:spacing w:line="360" w:lineRule="auto"/>
        <w:jc w:val="center"/>
      </w:pPr>
    </w:p>
    <w:p w14:paraId="79BB07EB">
      <w:pPr>
        <w:spacing w:line="360" w:lineRule="auto"/>
        <w:jc w:val="center"/>
      </w:pPr>
    </w:p>
    <w:p w14:paraId="74AD5F4F">
      <w:pPr>
        <w:spacing w:line="360" w:lineRule="auto"/>
        <w:jc w:val="center"/>
      </w:pPr>
    </w:p>
    <w:p w14:paraId="15F67D0A">
      <w:pPr>
        <w:spacing w:line="360" w:lineRule="auto"/>
        <w:jc w:val="right"/>
      </w:pPr>
      <w:r>
        <w:rPr>
          <w:rFonts w:hint="eastAsia"/>
        </w:rPr>
        <w:t xml:space="preserve"> 博时基金管理有限公司</w:t>
      </w:r>
    </w:p>
    <w:p w14:paraId="7820B44E">
      <w:pPr>
        <w:wordWrap w:val="0"/>
        <w:spacing w:line="360" w:lineRule="auto"/>
        <w:jc w:val="right"/>
      </w:pPr>
      <w:r>
        <w:rPr>
          <w:rFonts w:hint="eastAsia"/>
        </w:rPr>
        <w:t xml:space="preserve">                                                          202</w:t>
      </w:r>
      <w:r>
        <w:rPr>
          <w:rFonts w:hint="eastAsia"/>
          <w:lang w:val="en-US" w:eastAsia="zh-CN"/>
        </w:rPr>
        <w:t>6</w:t>
      </w:r>
      <w:r>
        <w:rPr>
          <w:rFonts w:hint="eastAsia"/>
        </w:rPr>
        <w:t>年</w:t>
      </w:r>
      <w:r>
        <w:rPr>
          <w:rFonts w:hint="eastAsia"/>
          <w:lang w:val="en-US" w:eastAsia="zh-CN"/>
        </w:rPr>
        <w:t>7</w:t>
      </w:r>
      <w:r>
        <w:rPr>
          <w:rFonts w:hint="eastAsia"/>
        </w:rPr>
        <w:t>月</w:t>
      </w:r>
      <w:r>
        <w:rPr>
          <w:rFonts w:hint="eastAsia"/>
          <w:lang w:val="en-US" w:eastAsia="zh-CN"/>
        </w:rPr>
        <w:t>10</w:t>
      </w:r>
      <w:r>
        <w:rPr>
          <w:rFonts w:hint="eastAsia"/>
        </w:rPr>
        <w:t>日</w:t>
      </w:r>
    </w:p>
    <w:p w14:paraId="493ABC2B">
      <w:pPr>
        <w:wordWrap w:val="0"/>
        <w:spacing w:line="360" w:lineRule="auto"/>
        <w:jc w:val="center"/>
      </w:pPr>
    </w:p>
    <w:p w14:paraId="593A2E8E">
      <w:pPr>
        <w:wordWrap w:val="0"/>
        <w:spacing w:line="360" w:lineRule="auto"/>
        <w:jc w:val="center"/>
      </w:pPr>
    </w:p>
    <w:p w14:paraId="31BFA189">
      <w:pPr>
        <w:wordWrap w:val="0"/>
        <w:spacing w:line="360" w:lineRule="auto"/>
        <w:jc w:val="center"/>
      </w:pPr>
    </w:p>
    <w:p w14:paraId="31F74D51">
      <w:pPr>
        <w:wordWrap w:val="0"/>
        <w:spacing w:line="360" w:lineRule="auto"/>
        <w:jc w:val="center"/>
      </w:pPr>
    </w:p>
    <w:p w14:paraId="46569EEE">
      <w:pPr>
        <w:wordWrap w:val="0"/>
        <w:spacing w:line="360" w:lineRule="auto"/>
        <w:jc w:val="center"/>
      </w:pPr>
    </w:p>
    <w:p w14:paraId="57B3B42A">
      <w:pPr>
        <w:wordWrap w:val="0"/>
        <w:spacing w:line="360" w:lineRule="auto"/>
      </w:pPr>
    </w:p>
    <w:sectPr>
      <w:footerReference r:id="rId4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LucidaSans">
    <w:altName w:val="Times New Roman"/>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default"/>
    <w:sig w:usb0="E00006FF" w:usb1="420024FF" w:usb2="02000000" w:usb3="00000000" w:csb0="2000019F"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8C4DD">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8614D">
    <w:pPr>
      <w:pStyle w:val="26"/>
      <w:jc w:val="center"/>
      <w:rPr>
        <w:rFonts w:ascii="Arial" w:hAnsi="Arial" w:cs="Arial"/>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EDEF0">
    <w:pPr>
      <w:pStyle w:val="26"/>
      <w:jc w:val="center"/>
      <w:rPr>
        <w:rFonts w:ascii="Arial" w:hAnsi="Arial" w:cs="Arial"/>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7FF8">
    <w:pPr>
      <w:pStyle w:val="26"/>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BB751B">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i1kc4yAgAAZQ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KLWRzjICAABlBAAADgAAAAAAAAABACAAAAAfAQAAZHJzL2Uyb0RvYy54bWxQSwUG&#10;AAAAAAYABgBZAQAAwwUAAAAA&#10;">
              <v:fill on="f" focussize="0,0"/>
              <v:stroke on="f" weight="0.5pt"/>
              <v:imagedata o:title=""/>
              <o:lock v:ext="edit" aspectratio="f"/>
              <v:textbox inset="0mm,0mm,0mm,0mm" style="mso-fit-shape-to-text:t;">
                <w:txbxContent>
                  <w:p w14:paraId="5ABB751B">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6C562">
    <w:pPr>
      <w:pStyle w:val="26"/>
      <w:jc w:val="both"/>
    </w:pPr>
    <w:r>
      <w:rPr>
        <w:lang w:val="en-US"/>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5E57886">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PVuA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aPVuAzAgAAZQQAAA4AAAAAAAAAAQAgAAAAHwEAAGRycy9lMm9Eb2MueG1sUEsF&#10;BgAAAAAGAAYAWQEAAMQFAAAAAA==&#10;">
              <v:fill on="f" focussize="0,0"/>
              <v:stroke on="f" weight="0.5pt"/>
              <v:imagedata o:title=""/>
              <o:lock v:ext="edit" aspectratio="f"/>
              <v:textbox inset="0mm,0mm,0mm,0mm" style="mso-fit-shape-to-text:t;">
                <w:txbxContent>
                  <w:p w14:paraId="65E57886">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ADCAD">
    <w:pPr>
      <w:pStyle w:val="26"/>
      <w:jc w:val="center"/>
    </w:pPr>
    <w:r>
      <w:rPr>
        <w:lang w:val="en-US"/>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80B54B">
                          <w:pPr>
                            <w:pStyle w:val="26"/>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mFPo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PrK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xmFPozAgAAZQQAAA4AAAAAAAAAAQAgAAAAHwEAAGRycy9lMm9Eb2MueG1sUEsF&#10;BgAAAAAGAAYAWQEAAMQFAAAAAA==&#10;">
              <v:fill on="f" focussize="0,0"/>
              <v:stroke on="f" weight="0.5pt"/>
              <v:imagedata o:title=""/>
              <o:lock v:ext="edit" aspectratio="f"/>
              <v:textbox inset="0mm,0mm,0mm,0mm" style="mso-fit-shape-to-text:t;">
                <w:txbxContent>
                  <w:p w14:paraId="6480B54B">
                    <w:pPr>
                      <w:pStyle w:val="26"/>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65414">
    <w:pPr>
      <w:pStyle w:val="26"/>
      <w:jc w:val="center"/>
    </w:pPr>
    <w:r>
      <w:rPr>
        <w:lang w:val="en-US"/>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49CAEF">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72L0zAgAAZQQAAA4AAABkcnMvZTJvRG9jLnhtbK1UzY7TMBC+I/EO&#10;lu80aWFX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r72L0zAgAAZQQAAA4AAAAAAAAAAQAgAAAAHwEAAGRycy9lMm9Eb2MueG1sUEsF&#10;BgAAAAAGAAYAWQEAAMQFAAAAAA==&#10;">
              <v:fill on="f" focussize="0,0"/>
              <v:stroke on="f" weight="0.5pt"/>
              <v:imagedata o:title=""/>
              <o:lock v:ext="edit" aspectratio="f"/>
              <v:textbox inset="0mm,0mm,0mm,0mm" style="mso-fit-shape-to-text:t;">
                <w:txbxContent>
                  <w:p w14:paraId="7C49CAEF">
                    <w:pPr>
                      <w:pStyle w:val="26"/>
                    </w:pPr>
                    <w:r>
                      <w:fldChar w:fldCharType="begin"/>
                    </w:r>
                    <w:r>
                      <w:instrText xml:space="preserve"> PAGE  \* MERGEFORMAT </w:instrText>
                    </w:r>
                    <w:r>
                      <w:fldChar w:fldCharType="separate"/>
                    </w:r>
                    <w:r>
                      <w:t>2</w:t>
                    </w:r>
                    <w:r>
                      <w:fldChar w:fldCharType="end"/>
                    </w:r>
                  </w:p>
                </w:txbxContent>
              </v:textbox>
            </v:shape>
          </w:pict>
        </mc:Fallback>
      </mc:AlternateContent>
    </w: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8B1F79">
                          <w:pPr>
                            <w:pStyle w:val="26"/>
                            <w:jc w:val="cente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778B1F79">
                    <w:pPr>
                      <w:pStyle w:val="26"/>
                      <w:jc w:val="cente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88F8D">
    <w:pPr>
      <w:pStyle w:val="26"/>
      <w:jc w:val="cente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605E362">
                          <w:pPr>
                            <w:pStyle w:val="26"/>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SmqczAgAAZQ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ASmqczAgAAZQQAAA4AAAAAAAAAAQAgAAAAHwEAAGRycy9lMm9Eb2MueG1sUEsF&#10;BgAAAAAGAAYAWQEAAMQFAAAAAA==&#10;">
              <v:fill on="f" focussize="0,0"/>
              <v:stroke on="f" weight="0.5pt"/>
              <v:imagedata o:title=""/>
              <o:lock v:ext="edit" aspectratio="f"/>
              <v:textbox inset="0mm,0mm,0mm,0mm" style="mso-fit-shape-to-text:t;">
                <w:txbxContent>
                  <w:p w14:paraId="2605E362">
                    <w:pPr>
                      <w:pStyle w:val="26"/>
                    </w:pPr>
                    <w:r>
                      <w:fldChar w:fldCharType="begin"/>
                    </w:r>
                    <w:r>
                      <w:instrText xml:space="preserve"> PAGE  \* MERGEFORMAT </w:instrText>
                    </w:r>
                    <w:r>
                      <w:fldChar w:fldCharType="separate"/>
                    </w:r>
                    <w:r>
                      <w:t>19</w:t>
                    </w:r>
                    <w:r>
                      <w:fldChar w:fldCharType="end"/>
                    </w:r>
                  </w:p>
                </w:txbxContent>
              </v:textbox>
            </v:shape>
          </w:pict>
        </mc:Fallback>
      </mc:AlternateContent>
    </w:r>
  </w:p>
  <w:p w14:paraId="65E204E3">
    <w:pPr>
      <w:pStyle w:val="2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F1483">
    <w:pPr>
      <w:pStyle w:val="2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72AA58">
                          <w:pPr>
                            <w:pStyle w:val="26"/>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oXYkzAgAAZQQAAA4AAABkcnMvZTJvRG9jLnhtbK1UzY7aMBC+V+o7&#10;WL6XANU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4oXYkzAgAAZQQAAA4AAAAAAAAAAQAgAAAAHwEAAGRycy9lMm9Eb2MueG1sUEsF&#10;BgAAAAAGAAYAWQEAAMQFAAAAAA==&#10;">
              <v:fill on="f" focussize="0,0"/>
              <v:stroke on="f" weight="0.5pt"/>
              <v:imagedata o:title=""/>
              <o:lock v:ext="edit" aspectratio="f"/>
              <v:textbox inset="0mm,0mm,0mm,0mm" style="mso-fit-shape-to-text:t;">
                <w:txbxContent>
                  <w:p w14:paraId="2572AA58">
                    <w:pPr>
                      <w:pStyle w:val="26"/>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6F517">
    <w:pPr>
      <w:pStyle w:val="26"/>
      <w:jc w:val="center"/>
      <w:rPr>
        <w:rFonts w:ascii="Arial" w:hAnsi="Arial" w:cs="Arial"/>
        <w:szCs w:val="21"/>
      </w:rP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0702B84">
                          <w:pPr>
                            <w:pStyle w:val="26"/>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BH5MzAgAAZ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BH5MzAgAAZQQAAA4AAAAAAAAAAQAgAAAAHwEAAGRycy9lMm9Eb2MueG1sUEsF&#10;BgAAAAAGAAYAWQEAAMQFAAAAAA==&#10;">
              <v:fill on="f" focussize="0,0"/>
              <v:stroke on="f" weight="0.5pt"/>
              <v:imagedata o:title=""/>
              <o:lock v:ext="edit" aspectratio="f"/>
              <v:textbox inset="0mm,0mm,0mm,0mm" style="mso-fit-shape-to-text:t;">
                <w:txbxContent>
                  <w:p w14:paraId="50702B84">
                    <w:pPr>
                      <w:pStyle w:val="26"/>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E587B">
    <w:pPr>
      <w:pStyle w:val="26"/>
      <w:jc w:val="center"/>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6215"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96215" cy="1828800"/>
                      </a:xfrm>
                      <a:prstGeom prst="rect">
                        <a:avLst/>
                      </a:prstGeom>
                      <a:noFill/>
                      <a:ln w="6350">
                        <a:noFill/>
                      </a:ln>
                      <a:effectLst/>
                    </wps:spPr>
                    <wps:txbx>
                      <w:txbxContent>
                        <w:p w14:paraId="3ED2AF9C">
                          <w:pPr>
                            <w:pStyle w:val="2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5.45pt;mso-position-horizontal:center;mso-position-horizontal-relative:margin;z-index:251662336;mso-width-relative:page;mso-height-relative:page;" filled="f" stroked="f" coordsize="21600,21600" o:gfxdata="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YyLr3TAAAABAEAAA8AAAAAAAAAAQAgAAAAIgAAAGRycy9kb3ducmV2&#10;LnhtbFBLAQIUABQAAAAIAIdO4kCLXiCCOgIAAGYEAAAOAAAAAAAAAAEAIAAAACIBAABkcnMvZTJv&#10;RG9jLnhtbFBLBQYAAAAABgAGAFkBAADOBQAAAAA=&#10;">
              <v:fill on="f" focussize="0,0"/>
              <v:stroke on="f" weight="0.5pt"/>
              <v:imagedata o:title=""/>
              <o:lock v:ext="edit" aspectratio="f"/>
              <v:textbox inset="0mm,0mm,0mm,0mm" style="mso-fit-shape-to-text:t;">
                <w:txbxContent>
                  <w:p w14:paraId="3ED2AF9C">
                    <w:pPr>
                      <w:pStyle w:val="26"/>
                    </w:pPr>
                    <w:r>
                      <w:fldChar w:fldCharType="begin"/>
                    </w:r>
                    <w:r>
                      <w:instrText xml:space="preserve"> PAGE  \* MERGEFORMAT </w:instrText>
                    </w:r>
                    <w:r>
                      <w:fldChar w:fldCharType="separate"/>
                    </w:r>
                    <w:r>
                      <w:t>20</w:t>
                    </w:r>
                    <w:r>
                      <w:fldChar w:fldCharType="end"/>
                    </w:r>
                  </w:p>
                </w:txbxContent>
              </v:textbox>
            </v:shape>
          </w:pict>
        </mc:Fallback>
      </mc:AlternateContent>
    </w:r>
  </w:p>
  <w:p w14:paraId="4F830F31">
    <w:pPr>
      <w:pStyle w:val="2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01BCD">
    <w:pPr>
      <w:pStyle w:val="26"/>
      <w:jc w:val="center"/>
    </w:pPr>
    <w:r>
      <w:rPr>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3204F1">
                          <w:pPr>
                            <w:pStyle w:val="2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7hhwzAgAAZ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oU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7hhwzAgAAZQQAAA4AAAAAAAAAAQAgAAAAHwEAAGRycy9lMm9Eb2MueG1sUEsF&#10;BgAAAAAGAAYAWQEAAMQFAAAAAA==&#10;">
              <v:fill on="f" focussize="0,0"/>
              <v:stroke on="f" weight="0.5pt"/>
              <v:imagedata o:title=""/>
              <o:lock v:ext="edit" aspectratio="f"/>
              <v:textbox inset="0mm,0mm,0mm,0mm" style="mso-fit-shape-to-text:t;">
                <w:txbxContent>
                  <w:p w14:paraId="663204F1">
                    <w:pPr>
                      <w:pStyle w:val="26"/>
                    </w:pPr>
                    <w:r>
                      <w:fldChar w:fldCharType="begin"/>
                    </w:r>
                    <w:r>
                      <w:instrText xml:space="preserve"> PAGE  \* MERGEFORMAT </w:instrText>
                    </w:r>
                    <w:r>
                      <w:fldChar w:fldCharType="separate"/>
                    </w:r>
                    <w:r>
                      <w:t>29</w:t>
                    </w:r>
                    <w:r>
                      <w:fldChar w:fldCharType="end"/>
                    </w:r>
                  </w:p>
                </w:txbxContent>
              </v:textbox>
            </v:shape>
          </w:pict>
        </mc:Fallback>
      </mc:AlternateContent>
    </w:r>
  </w:p>
  <w:p w14:paraId="46A0A3D8">
    <w:pPr>
      <w:pStyle w:val="26"/>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EC62A">
    <w:pPr>
      <w:pStyle w:val="26"/>
      <w:jc w:val="center"/>
    </w:pPr>
    <w:r>
      <w:rPr>
        <w:lang w:val="en-US"/>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CDC78C">
                          <w:pPr>
                            <w:pStyle w:val="2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nLlg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5y5YMQIAAGUEAAAOAAAAAAAAAAEAIAAAAB8BAABkcnMvZTJvRG9jLnhtbFBLBQYA&#10;AAAABgAGAFkBAADCBQAAAAA=&#10;">
              <v:fill on="f" focussize="0,0"/>
              <v:stroke on="f" weight="0.5pt"/>
              <v:imagedata o:title=""/>
              <o:lock v:ext="edit" aspectratio="f"/>
              <v:textbox inset="0mm,0mm,0mm,0mm" style="mso-fit-shape-to-text:t;">
                <w:txbxContent>
                  <w:p w14:paraId="6CCDC78C">
                    <w:pPr>
                      <w:pStyle w:val="2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3FD05">
    <w:pPr>
      <w:pStyle w:val="26"/>
      <w:jc w:val="center"/>
    </w:pPr>
    <w:r>
      <w:rPr>
        <w:lang w:val="en-US"/>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248143">
                          <w:pPr>
                            <w:pStyle w:val="2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EObEI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DmxCMQIAAGUEAAAOAAAAAAAAAAEAIAAAAB8BAABkcnMvZTJvRG9jLnhtbFBLBQYA&#10;AAAABgAGAFkBAADCBQAAAAA=&#10;">
              <v:fill on="f" focussize="0,0"/>
              <v:stroke on="f" weight="0.5pt"/>
              <v:imagedata o:title=""/>
              <o:lock v:ext="edit" aspectratio="f"/>
              <v:textbox inset="0mm,0mm,0mm,0mm" style="mso-fit-shape-to-text:t;">
                <w:txbxContent>
                  <w:p w14:paraId="4A248143">
                    <w:pPr>
                      <w:pStyle w:val="2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C2ACF">
    <w:pPr>
      <w:pStyle w:val="26"/>
      <w:jc w:val="center"/>
    </w:pPr>
    <w:r>
      <w:rPr>
        <w:lang w:val="en-US"/>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069881">
                          <w:pPr>
                            <w:pStyle w:val="2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80q2w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mlGim0PHL92+X&#10;H78uP78S3EGgxvo54nYWkaF9a1qMzXDvcRl5t6VT8ReMCPyQ93yVV7SB8PhoNp3NxnBx+IYD8LPH&#10;59b58E4YRaKRU4f+JVnZaetDFzqExGzabGopUw+lJg1I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NKtsMQIAAGUEAAAOAAAAAAAAAAEAIAAAAB8BAABkcnMvZTJvRG9jLnhtbFBLBQYA&#10;AAAABgAGAFkBAADCBQAAAAA=&#10;">
              <v:fill on="f" focussize="0,0"/>
              <v:stroke on="f" weight="0.5pt"/>
              <v:imagedata o:title=""/>
              <o:lock v:ext="edit" aspectratio="f"/>
              <v:textbox inset="0mm,0mm,0mm,0mm" style="mso-fit-shape-to-text:t;">
                <w:txbxContent>
                  <w:p w14:paraId="67069881">
                    <w:pPr>
                      <w:pStyle w:val="2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94567">
    <w:pPr>
      <w:pStyle w:val="26"/>
      <w:jc w:val="center"/>
    </w:pPr>
    <w:r>
      <w:rPr>
        <w:lang w:val="en-US"/>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6C1DEE">
                          <w:pPr>
                            <w:pStyle w:val="2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Xd6XY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3el2MQIAAGUEAAAOAAAAAAAAAAEAIAAAAB8BAABkcnMvZTJvRG9jLnhtbFBLBQYA&#10;AAAABgAGAFkBAADCBQAAAAA=&#10;">
              <v:fill on="f" focussize="0,0"/>
              <v:stroke on="f" weight="0.5pt"/>
              <v:imagedata o:title=""/>
              <o:lock v:ext="edit" aspectratio="f"/>
              <v:textbox inset="0mm,0mm,0mm,0mm" style="mso-fit-shape-to-text:t;">
                <w:txbxContent>
                  <w:p w14:paraId="496C1DEE">
                    <w:pPr>
                      <w:pStyle w:val="26"/>
                    </w:pPr>
                    <w:r>
                      <w:fldChar w:fldCharType="begin"/>
                    </w:r>
                    <w:r>
                      <w:instrText xml:space="preserve"> PAGE  \* MERGEFORMAT </w:instrText>
                    </w:r>
                    <w:r>
                      <w:fldChar w:fldCharType="separate"/>
                    </w:r>
                    <w:r>
                      <w:t>33</w:t>
                    </w:r>
                    <w:r>
                      <w:fldChar w:fldCharType="end"/>
                    </w:r>
                  </w:p>
                </w:txbxContent>
              </v:textbox>
            </v:shape>
          </w:pict>
        </mc:Fallback>
      </mc:AlternateContent>
    </w:r>
  </w:p>
  <w:p w14:paraId="11F472A0">
    <w:pPr>
      <w:pStyle w:val="26"/>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4245B">
    <w:pPr>
      <w:pStyle w:val="26"/>
      <w:jc w:val="center"/>
    </w:pPr>
    <w:r>
      <w:rPr>
        <w:lang w:val="en-US"/>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E5D656">
                          <w:pPr>
                            <w:pStyle w:val="26"/>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AJTE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69oUQzhY6ffnw/&#10;/Xw4/fpGcAeBWutniLu3iAzdO9NhbIZ7j8vIu6ucir9gROCHvMeLvKILhMdH08l0msPF4RsOwM8e&#10;n1vnw3thFIlGQR36l2Rlh40PfegQErNps26kTD2UmrQg8fpt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0AlMTICAABlBAAADgAAAAAAAAABACAAAAAfAQAAZHJzL2Uyb0RvYy54bWxQSwUG&#10;AAAAAAYABgBZAQAAwwUAAAAA&#10;">
              <v:fill on="f" focussize="0,0"/>
              <v:stroke on="f" weight="0.5pt"/>
              <v:imagedata o:title=""/>
              <o:lock v:ext="edit" aspectratio="f"/>
              <v:textbox inset="0mm,0mm,0mm,0mm" style="mso-fit-shape-to-text:t;">
                <w:txbxContent>
                  <w:p w14:paraId="4BE5D656">
                    <w:pPr>
                      <w:pStyle w:val="26"/>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03130">
    <w:pPr>
      <w:pStyle w:val="26"/>
      <w:jc w:val="center"/>
    </w:pPr>
    <w:r>
      <w:rPr>
        <w:lang w:val="en-US"/>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DD6733">
                          <w:pPr>
                            <w:pStyle w:val="2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mpZys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alnKzICAABlBAAADgAAAAAAAAABACAAAAAfAQAAZHJzL2Uyb0RvYy54bWxQSwUG&#10;AAAAAAYABgBZAQAAwwUAAAAA&#10;">
              <v:fill on="f" focussize="0,0"/>
              <v:stroke on="f" weight="0.5pt"/>
              <v:imagedata o:title=""/>
              <o:lock v:ext="edit" aspectratio="f"/>
              <v:textbox inset="0mm,0mm,0mm,0mm" style="mso-fit-shape-to-text:t;">
                <w:txbxContent>
                  <w:p w14:paraId="1DDD6733">
                    <w:pPr>
                      <w:pStyle w:val="26"/>
                    </w:pPr>
                    <w:r>
                      <w:fldChar w:fldCharType="begin"/>
                    </w:r>
                    <w:r>
                      <w:instrText xml:space="preserve"> PAGE  \* MERGEFORMAT </w:instrText>
                    </w:r>
                    <w:r>
                      <w:fldChar w:fldCharType="separate"/>
                    </w:r>
                    <w:r>
                      <w:t>37</w:t>
                    </w:r>
                    <w:r>
                      <w:fldChar w:fldCharType="end"/>
                    </w:r>
                  </w:p>
                </w:txbxContent>
              </v:textbox>
            </v:shape>
          </w:pict>
        </mc:Fallback>
      </mc:AlternateContent>
    </w:r>
  </w:p>
  <w:p w14:paraId="60DA2587">
    <w:pPr>
      <w:pStyle w:val="2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FDC26">
    <w:pPr>
      <w:pStyle w:val="26"/>
      <w:jc w:val="center"/>
    </w:pPr>
    <w:r>
      <w:rPr>
        <w:lang w:val="en-US"/>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B125F1">
                          <w:pPr>
                            <w:pStyle w:val="2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ToAUy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5OgBTICAABlBAAADgAAAAAAAAABACAAAAAfAQAAZHJzL2Uyb0RvYy54bWxQSwUG&#10;AAAAAAYABgBZAQAAwwUAAAAA&#10;">
              <v:fill on="f" focussize="0,0"/>
              <v:stroke on="f" weight="0.5pt"/>
              <v:imagedata o:title=""/>
              <o:lock v:ext="edit" aspectratio="f"/>
              <v:textbox inset="0mm,0mm,0mm,0mm" style="mso-fit-shape-to-text:t;">
                <w:txbxContent>
                  <w:p w14:paraId="3FB125F1">
                    <w:pPr>
                      <w:pStyle w:val="2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E23B2">
    <w:pPr>
      <w:pStyle w:val="26"/>
      <w:jc w:val="center"/>
    </w:pPr>
    <w:r>
      <w:rPr>
        <w:lang w:val="en-US"/>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CB6C9B">
                          <w:pPr>
                            <w:pStyle w:val="2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164h8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69pUQzhY6ffnw/&#10;/Xw4/fpGcAeBWutniLu3iAzdO9NhbIZ7j8vIu6ucir9gROCHvMeLvKILhMdH08l0msPF4RsOwM8e&#10;n1vnw3thFIlGQR36l2Rlh40PfegQErNps26kTD2UmrQg8fpN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XriHzICAABlBAAADgAAAAAAAAABACAAAAAfAQAAZHJzL2Uyb0RvYy54bWxQSwUG&#10;AAAAAAYABgBZAQAAwwUAAAAA&#10;">
              <v:fill on="f" focussize="0,0"/>
              <v:stroke on="f" weight="0.5pt"/>
              <v:imagedata o:title=""/>
              <o:lock v:ext="edit" aspectratio="f"/>
              <v:textbox inset="0mm,0mm,0mm,0mm" style="mso-fit-shape-to-text:t;">
                <w:txbxContent>
                  <w:p w14:paraId="3CCB6C9B">
                    <w:pPr>
                      <w:pStyle w:val="2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54E46">
    <w:pPr>
      <w:pStyle w:val="26"/>
      <w:jc w:val="center"/>
    </w:pPr>
    <w:r>
      <w:rPr>
        <w:lang w:val="en-US"/>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BEEC9B3">
                          <w:pPr>
                            <w:pStyle w:val="2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OYo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7qTmKMQIAAGUEAAAOAAAAAAAAAAEAIAAAAB8BAABkcnMvZTJvRG9jLnhtbFBLBQYA&#10;AAAABgAGAFkBAADCBQAAAAA=&#10;">
              <v:fill on="f" focussize="0,0"/>
              <v:stroke on="f" weight="0.5pt"/>
              <v:imagedata o:title=""/>
              <o:lock v:ext="edit" aspectratio="f"/>
              <v:textbox inset="0mm,0mm,0mm,0mm" style="mso-fit-shape-to-text:t;">
                <w:txbxContent>
                  <w:p w14:paraId="2BEEC9B3">
                    <w:pPr>
                      <w:pStyle w:val="2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E4EAF">
    <w:pPr>
      <w:pStyle w:val="26"/>
      <w:jc w:val="center"/>
    </w:pPr>
    <w:r>
      <w:rPr>
        <w:lang w:val="en-US"/>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724EB89">
                          <w:pPr>
                            <w:pStyle w:val="2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Ae5A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69pUQzhY6ffnw/&#10;/Xw4/fpGcAeBWutniLu3iAzdO9NhbIZ7j8vIu6ucir9gROCHvMeLvKILhMdH08l0msPF4RsOwM8e&#10;n1vnw3thFIlGQR36l2Rlh40PfegQErNps26kTD2UmrQg8fpN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UB7kDICAABlBAAADgAAAAAAAAABACAAAAAfAQAAZHJzL2Uyb0RvYy54bWxQSwUG&#10;AAAAAAYABgBZAQAAwwUAAAAA&#10;">
              <v:fill on="f" focussize="0,0"/>
              <v:stroke on="f" weight="0.5pt"/>
              <v:imagedata o:title=""/>
              <o:lock v:ext="edit" aspectratio="f"/>
              <v:textbox inset="0mm,0mm,0mm,0mm" style="mso-fit-shape-to-text:t;">
                <w:txbxContent>
                  <w:p w14:paraId="2724EB89">
                    <w:pPr>
                      <w:pStyle w:val="2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A29DA">
    <w:pPr>
      <w:pStyle w:val="26"/>
      <w:jc w:val="center"/>
    </w:pPr>
    <w:r>
      <w:rPr>
        <w:lang w:val="en-US"/>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BC33D6">
                          <w:pPr>
                            <w:pStyle w:val="2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OhSM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FJJopdPz04/vp&#10;58Pp1zeCOwjUWj9D3L1FZOjemQ5jM9x7XEbeXeVU/AUjAj+wjhd5RRcIj4+mk+k0h4vDNxyAnz0+&#10;t86H98IoEo2COvQvycoOGx/60CEkZtNm3UiZeig1aQt69fpN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I6FIzICAABlBAAADgAAAAAAAAABACAAAAAfAQAAZHJzL2Uyb0RvYy54bWxQSwUG&#10;AAAAAAYABgBZAQAAwwUAAAAA&#10;">
              <v:fill on="f" focussize="0,0"/>
              <v:stroke on="f" weight="0.5pt"/>
              <v:imagedata o:title=""/>
              <o:lock v:ext="edit" aspectratio="f"/>
              <v:textbox inset="0mm,0mm,0mm,0mm" style="mso-fit-shape-to-text:t;">
                <w:txbxContent>
                  <w:p w14:paraId="34BC33D6">
                    <w:pPr>
                      <w:pStyle w:val="26"/>
                    </w:pPr>
                    <w:r>
                      <w:fldChar w:fldCharType="begin"/>
                    </w:r>
                    <w:r>
                      <w:instrText xml:space="preserve"> PAGE  \* MERGEFORMAT </w:instrText>
                    </w:r>
                    <w:r>
                      <w:fldChar w:fldCharType="separate"/>
                    </w:r>
                    <w:r>
                      <w:t>60</w:t>
                    </w:r>
                    <w:r>
                      <w:fldChar w:fldCharType="end"/>
                    </w:r>
                  </w:p>
                </w:txbxContent>
              </v:textbox>
            </v:shape>
          </w:pict>
        </mc:Fallback>
      </mc:AlternateContent>
    </w:r>
  </w:p>
  <w:p w14:paraId="0538679D">
    <w:pPr>
      <w:pStyle w:val="26"/>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961BA">
    <w:pPr>
      <w:pStyle w:val="26"/>
      <w:jc w:val="center"/>
    </w:pPr>
    <w:r>
      <w:rPr>
        <w:lang w:val="en-US"/>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43FC260">
                          <w:pPr>
                            <w:pStyle w:val="2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ZnxzkyAgAAZQ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6hgr0jScYSKlvvRohW7b&#10;nXluTXkETWf6SfGWrxuUsmE+3DGH0UD5eDzhFkslDVKas0VJbdzXf53HeHQMXkpajFpBNV4WJfKD&#10;RicBGAbDDcZ2MPRe3RjMLpqDWpKJCy7IwaycUV/wopYxB1xMc2QqaBjMm9CPO14kF8tlCsLsWRY2&#10;+t7yCB3l8Xa5D5AzqRxF6ZVAd+IG05f6dH4pcbz/3Keox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mfHOTICAABlBAAADgAAAAAAAAABACAAAAAfAQAAZHJzL2Uyb0RvYy54bWxQSwUG&#10;AAAAAAYABgBZAQAAwwUAAAAA&#10;">
              <v:fill on="f" focussize="0,0"/>
              <v:stroke on="f" weight="0.5pt"/>
              <v:imagedata o:title=""/>
              <o:lock v:ext="edit" aspectratio="f"/>
              <v:textbox inset="0mm,0mm,0mm,0mm" style="mso-fit-shape-to-text:t;">
                <w:txbxContent>
                  <w:p w14:paraId="243FC260">
                    <w:pPr>
                      <w:pStyle w:val="2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A7E09">
    <w:pPr>
      <w:pStyle w:val="26"/>
      <w:jc w:val="center"/>
    </w:pPr>
    <w:r>
      <w:rPr>
        <w:lang w:val="en-US"/>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E6697B">
                          <w:pPr>
                            <w:pStyle w:val="2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dABc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dUK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hdABczAgAAZQQAAA4AAAAAAAAAAQAgAAAAHwEAAGRycy9lMm9Eb2MueG1sUEsF&#10;BgAAAAAGAAYAWQEAAMQFAAAAAA==&#10;">
              <v:fill on="f" focussize="0,0"/>
              <v:stroke on="f" weight="0.5pt"/>
              <v:imagedata o:title=""/>
              <o:lock v:ext="edit" aspectratio="f"/>
              <v:textbox inset="0mm,0mm,0mm,0mm" style="mso-fit-shape-to-text:t;">
                <w:txbxContent>
                  <w:p w14:paraId="54E6697B">
                    <w:pPr>
                      <w:pStyle w:val="26"/>
                    </w:pPr>
                    <w:r>
                      <w:fldChar w:fldCharType="begin"/>
                    </w:r>
                    <w:r>
                      <w:instrText xml:space="preserve"> PAGE  \* MERGEFORMAT </w:instrText>
                    </w:r>
                    <w:r>
                      <w:fldChar w:fldCharType="separate"/>
                    </w:r>
                    <w:r>
                      <w:t>62</w:t>
                    </w:r>
                    <w:r>
                      <w:fldChar w:fldCharType="end"/>
                    </w:r>
                  </w:p>
                </w:txbxContent>
              </v:textbox>
            </v:shape>
          </w:pict>
        </mc:Fallback>
      </mc:AlternateContent>
    </w:r>
  </w:p>
  <w:p w14:paraId="200710C9">
    <w:pPr>
      <w:pStyle w:val="26"/>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B25A">
    <w:pPr>
      <w:pStyle w:val="26"/>
      <w:jc w:val="center"/>
    </w:pPr>
    <w:r>
      <w:rPr>
        <w:lang w:val="en-US"/>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295ABC">
                          <w:pPr>
                            <w:pStyle w:val="2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0Qg0zAgAAZQ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5ok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K0Qg0zAgAAZQQAAA4AAAAAAAAAAQAgAAAAHwEAAGRycy9lMm9Eb2MueG1sUEsF&#10;BgAAAAAGAAYAWQEAAMQFAAAAAA==&#10;">
              <v:fill on="f" focussize="0,0"/>
              <v:stroke on="f" weight="0.5pt"/>
              <v:imagedata o:title=""/>
              <o:lock v:ext="edit" aspectratio="f"/>
              <v:textbox inset="0mm,0mm,0mm,0mm" style="mso-fit-shape-to-text:t;">
                <w:txbxContent>
                  <w:p w14:paraId="62295ABC">
                    <w:pPr>
                      <w:pStyle w:val="2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11095">
    <w:pPr>
      <w:pStyle w:val="26"/>
      <w:jc w:val="center"/>
    </w:pPr>
    <w:r>
      <w:rPr>
        <w:lang w:val="en-US"/>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97F5526">
                          <w:pPr>
                            <w:pStyle w:val="2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pjkozAgAAZ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JtX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QpjkozAgAAZQQAAA4AAAAAAAAAAQAgAAAAHwEAAGRycy9lMm9Eb2MueG1sUEsF&#10;BgAAAAAGAAYAWQEAAMQFAAAAAA==&#10;">
              <v:fill on="f" focussize="0,0"/>
              <v:stroke on="f" weight="0.5pt"/>
              <v:imagedata o:title=""/>
              <o:lock v:ext="edit" aspectratio="f"/>
              <v:textbox inset="0mm,0mm,0mm,0mm" style="mso-fit-shape-to-text:t;">
                <w:txbxContent>
                  <w:p w14:paraId="097F5526">
                    <w:pPr>
                      <w:pStyle w:val="26"/>
                    </w:pPr>
                    <w:r>
                      <w:fldChar w:fldCharType="begin"/>
                    </w:r>
                    <w:r>
                      <w:instrText xml:space="preserve"> PAGE  \* MERGEFORMAT </w:instrText>
                    </w:r>
                    <w:r>
                      <w:fldChar w:fldCharType="separate"/>
                    </w:r>
                    <w:r>
                      <w:t>64</w:t>
                    </w:r>
                    <w:r>
                      <w:fldChar w:fldCharType="end"/>
                    </w:r>
                  </w:p>
                </w:txbxContent>
              </v:textbox>
            </v:shape>
          </w:pict>
        </mc:Fallback>
      </mc:AlternateContent>
    </w:r>
  </w:p>
  <w:p w14:paraId="18CAEB11">
    <w:pPr>
      <w:pStyle w:val="26"/>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FC9FF">
    <w:pPr>
      <w:pStyle w:val="26"/>
      <w:jc w:val="center"/>
    </w:pPr>
    <w:r>
      <w:rPr>
        <w:lang w:val="en-US"/>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7514D68">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7AzFAzAgAAZQQAAA4AAABkcnMvZTJvRG9jLnhtbK1UzY7TMBC+I/EO&#10;lu80adEu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5ok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7AzFAzAgAAZQQAAA4AAAAAAAAAAQAgAAAAHwEAAGRycy9lMm9Eb2MueG1sUEsF&#10;BgAAAAAGAAYAWQEAAMQFAAAAAA==&#10;">
              <v:fill on="f" focussize="0,0"/>
              <v:stroke on="f" weight="0.5pt"/>
              <v:imagedata o:title=""/>
              <o:lock v:ext="edit" aspectratio="f"/>
              <v:textbox inset="0mm,0mm,0mm,0mm" style="mso-fit-shape-to-text:t;">
                <w:txbxContent>
                  <w:p w14:paraId="37514D68">
                    <w:pPr>
                      <w:pStyle w:val="2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FEC6D">
    <w:pPr>
      <w:pStyle w:val="26"/>
      <w:jc w:val="center"/>
    </w:pPr>
    <w:r>
      <w:rPr>
        <w:lang w:val="en-US"/>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26E62C2">
                          <w:pPr>
                            <w:pStyle w:val="2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6C34zAgAAZQ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D6C34zAgAAZQQAAA4AAAAAAAAAAQAgAAAAHwEAAGRycy9lMm9Eb2MueG1sUEsF&#10;BgAAAAAGAAYAWQEAAMQFAAAAAA==&#10;">
              <v:fill on="f" focussize="0,0"/>
              <v:stroke on="f" weight="0.5pt"/>
              <v:imagedata o:title=""/>
              <o:lock v:ext="edit" aspectratio="f"/>
              <v:textbox inset="0mm,0mm,0mm,0mm" style="mso-fit-shape-to-text:t;">
                <w:txbxContent>
                  <w:p w14:paraId="426E62C2">
                    <w:pPr>
                      <w:pStyle w:val="2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57593">
    <w:pPr>
      <w:pStyle w:val="26"/>
      <w:jc w:val="center"/>
    </w:pPr>
    <w:r>
      <w:rPr>
        <w:lang w:val="en-US"/>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29870" cy="14859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229870" cy="148590"/>
                      </a:xfrm>
                      <a:prstGeom prst="rect">
                        <a:avLst/>
                      </a:prstGeom>
                      <a:noFill/>
                      <a:ln w="6350">
                        <a:noFill/>
                      </a:ln>
                      <a:effectLst/>
                    </wps:spPr>
                    <wps:txbx>
                      <w:txbxContent>
                        <w:p w14:paraId="299E03FA">
                          <w:pPr>
                            <w:pStyle w:val="26"/>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1.7pt;width:18.1pt;mso-position-horizontal:center;mso-position-horizontal-relative:margin;z-index:251681792;mso-width-relative:page;mso-height-relative:page;" filled="f" stroked="f" coordsize="21600,21600" o:gfxdata="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snWqG1AAAAAMBAAAPAAAAAAAAAAEAIAAAACIAAABkcnMvZG93bnJl&#10;di54bWxQSwECFAAUAAAACACHTuJAFLOmhzoCAABlBAAADgAAAAAAAAABACAAAAAjAQAAZHJzL2Uy&#10;b0RvYy54bWxQSwUGAAAAAAYABgBZAQAAzwUAAAAA&#10;">
              <v:fill on="f" focussize="0,0"/>
              <v:stroke on="f" weight="0.5pt"/>
              <v:imagedata o:title=""/>
              <o:lock v:ext="edit" aspectratio="f"/>
              <v:textbox inset="0mm,0mm,0mm,0mm">
                <w:txbxContent>
                  <w:p w14:paraId="299E03FA">
                    <w:pPr>
                      <w:pStyle w:val="26"/>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4D843">
    <w:pPr>
      <w:pStyle w:val="26"/>
      <w:jc w:val="center"/>
    </w:pPr>
    <w:r>
      <w:rPr>
        <w:lang w:val="en-US"/>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A0BD8C">
                          <w:pPr>
                            <w:pStyle w:val="2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QHf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0B3xMQIAAGUEAAAOAAAAAAAAAAEAIAAAAB8BAABkcnMvZTJvRG9jLnhtbFBLBQYA&#10;AAAABgAGAFkBAADCBQAAAAA=&#10;">
              <v:fill on="f" focussize="0,0"/>
              <v:stroke on="f" weight="0.5pt"/>
              <v:imagedata o:title=""/>
              <o:lock v:ext="edit" aspectratio="f"/>
              <v:textbox inset="0mm,0mm,0mm,0mm" style="mso-fit-shape-to-text:t;">
                <w:txbxContent>
                  <w:p w14:paraId="3FA0BD8C">
                    <w:pPr>
                      <w:pStyle w:val="2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7B082">
    <w:pPr>
      <w:pStyle w:val="26"/>
      <w:jc w:val="center"/>
    </w:pPr>
    <w:r>
      <w:rPr>
        <w:lang w:val="en-US"/>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974B22C">
                          <w:pPr>
                            <w:pStyle w:val="26"/>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5X+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IOV/rMQIAAGUEAAAOAAAAAAAAAAEAIAAAAB8BAABkcnMvZTJvRG9jLnhtbFBLBQYA&#10;AAAABgAGAFkBAADCBQAAAAA=&#10;">
              <v:fill on="f" focussize="0,0"/>
              <v:stroke on="f" weight="0.5pt"/>
              <v:imagedata o:title=""/>
              <o:lock v:ext="edit" aspectratio="f"/>
              <v:textbox inset="0mm,0mm,0mm,0mm" style="mso-fit-shape-to-text:t;">
                <w:txbxContent>
                  <w:p w14:paraId="7974B22C">
                    <w:pPr>
                      <w:pStyle w:val="26"/>
                    </w:pPr>
                    <w:r>
                      <w:fldChar w:fldCharType="begin"/>
                    </w:r>
                    <w:r>
                      <w:instrText xml:space="preserve"> PAGE  \* MERGEFORMAT </w:instrText>
                    </w:r>
                    <w:r>
                      <w:fldChar w:fldCharType="separate"/>
                    </w:r>
                    <w:r>
                      <w:t>80</w:t>
                    </w:r>
                    <w:r>
                      <w:fldChar w:fldCharType="end"/>
                    </w:r>
                  </w:p>
                </w:txbxContent>
              </v:textbox>
            </v:shape>
          </w:pict>
        </mc:Fallback>
      </mc:AlternateContent>
    </w:r>
  </w:p>
  <w:p w14:paraId="1613FA58">
    <w:pPr>
      <w:pStyle w:val="26"/>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74876">
    <w:pPr>
      <w:pStyle w:val="26"/>
      <w:jc w:val="center"/>
    </w:pPr>
    <w:r>
      <w:rPr>
        <w:lang w:val="en-US"/>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EC7F03A">
                          <w:pPr>
                            <w:pStyle w:val="26"/>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DmMU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gOYxTICAABlBAAADgAAAAAAAAABACAAAAAfAQAAZHJzL2Uyb0RvYy54bWxQSwUG&#10;AAAAAAYABgBZAQAAwwUAAAAA&#10;">
              <v:fill on="f" focussize="0,0"/>
              <v:stroke on="f" weight="0.5pt"/>
              <v:imagedata o:title=""/>
              <o:lock v:ext="edit" aspectratio="f"/>
              <v:textbox inset="0mm,0mm,0mm,0mm" style="mso-fit-shape-to-text:t;">
                <w:txbxContent>
                  <w:p w14:paraId="2EC7F03A">
                    <w:pPr>
                      <w:pStyle w:val="26"/>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63F4">
    <w:pPr>
      <w:pStyle w:val="26"/>
      <w:jc w:val="center"/>
    </w:pPr>
    <w:r>
      <w:rPr>
        <w:lang w:val="en-US"/>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0F7732">
                          <w:pPr>
                            <w:pStyle w:val="26"/>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q2t8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Z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q2t8zAgAAZQQAAA4AAAAAAAAAAQAgAAAAHwEAAGRycy9lMm9Eb2MueG1sUEsF&#10;BgAAAAAGAAYAWQEAAMQFAAAAAA==&#10;">
              <v:fill on="f" focussize="0,0"/>
              <v:stroke on="f" weight="0.5pt"/>
              <v:imagedata o:title=""/>
              <o:lock v:ext="edit" aspectratio="f"/>
              <v:textbox inset="0mm,0mm,0mm,0mm" style="mso-fit-shape-to-text:t;">
                <w:txbxContent>
                  <w:p w14:paraId="470F7732">
                    <w:pPr>
                      <w:pStyle w:val="26"/>
                    </w:pPr>
                    <w:r>
                      <w:fldChar w:fldCharType="begin"/>
                    </w:r>
                    <w:r>
                      <w:instrText xml:space="preserve"> PAGE  \* MERGEFORMAT </w:instrText>
                    </w:r>
                    <w:r>
                      <w:fldChar w:fldCharType="separate"/>
                    </w:r>
                    <w:r>
                      <w:t>94</w:t>
                    </w:r>
                    <w:r>
                      <w:fldChar w:fldCharType="end"/>
                    </w:r>
                  </w:p>
                </w:txbxContent>
              </v:textbox>
            </v:shape>
          </w:pict>
        </mc:Fallback>
      </mc:AlternateContent>
    </w:r>
  </w:p>
  <w:p w14:paraId="2AF92CCB">
    <w:pPr>
      <w:pStyle w:val="26"/>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01345">
    <w:pPr>
      <w:pStyle w:val="26"/>
      <w:jc w:val="center"/>
    </w:pPr>
    <w:r>
      <w:rPr>
        <w:lang w:val="en-US"/>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612010D">
                          <w:pPr>
                            <w:pStyle w:val="26"/>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Fpg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p3FpgzAgAAZQQAAA4AAAAAAAAAAQAgAAAAHwEAAGRycy9lMm9Eb2MueG1sUEsF&#10;BgAAAAAGAAYAWQEAAMQFAAAAAA==&#10;">
              <v:fill on="f" focussize="0,0"/>
              <v:stroke on="f" weight="0.5pt"/>
              <v:imagedata o:title=""/>
              <o:lock v:ext="edit" aspectratio="f"/>
              <v:textbox inset="0mm,0mm,0mm,0mm" style="mso-fit-shape-to-text:t;">
                <w:txbxContent>
                  <w:p w14:paraId="3612010D">
                    <w:pPr>
                      <w:pStyle w:val="26"/>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86B66">
    <w:pPr>
      <w:pStyle w:val="26"/>
      <w:jc w:val="center"/>
    </w:pPr>
    <w:r>
      <w:rPr>
        <w:lang w:val="en-US"/>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38E596">
                          <w:pPr>
                            <w:pStyle w:val="26"/>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eVII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Z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CeVIIzAgAAZQQAAA4AAAAAAAAAAQAgAAAAHwEAAGRycy9lMm9Eb2MueG1sUEsF&#10;BgAAAAAGAAYAWQEAAMQFAAAAAA==&#10;">
              <v:fill on="f" focussize="0,0"/>
              <v:stroke on="f" weight="0.5pt"/>
              <v:imagedata o:title=""/>
              <o:lock v:ext="edit" aspectratio="f"/>
              <v:textbox inset="0mm,0mm,0mm,0mm" style="mso-fit-shape-to-text:t;">
                <w:txbxContent>
                  <w:p w14:paraId="5E38E596">
                    <w:pPr>
                      <w:pStyle w:val="26"/>
                    </w:pPr>
                    <w:r>
                      <w:fldChar w:fldCharType="begin"/>
                    </w:r>
                    <w:r>
                      <w:instrText xml:space="preserve"> PAGE  \* MERGEFORMAT </w:instrText>
                    </w:r>
                    <w:r>
                      <w:fldChar w:fldCharType="separate"/>
                    </w:r>
                    <w:r>
                      <w:t>114</w:t>
                    </w:r>
                    <w:r>
                      <w:fldChar w:fldCharType="end"/>
                    </w:r>
                  </w:p>
                </w:txbxContent>
              </v:textbox>
            </v:shape>
          </w:pict>
        </mc:Fallback>
      </mc:AlternateContent>
    </w:r>
  </w:p>
  <w:p w14:paraId="7C7F49F8">
    <w:pPr>
      <w:pStyle w:val="26"/>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64632">
    <w:pPr>
      <w:pStyle w:val="26"/>
      <w:jc w:val="center"/>
    </w:pPr>
    <w:r>
      <w:rPr>
        <w:lang w:val="en-US"/>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35F1DAD">
                          <w:pPr>
                            <w:pStyle w:val="26"/>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0bY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RN0bYzAgAAZQQAAA4AAAAAAAAAAQAgAAAAHwEAAGRycy9lMm9Eb2MueG1sUEsF&#10;BgAAAAAGAAYAWQEAAMQFAAAAAA==&#10;">
              <v:fill on="f" focussize="0,0"/>
              <v:stroke on="f" weight="0.5pt"/>
              <v:imagedata o:title=""/>
              <o:lock v:ext="edit" aspectratio="f"/>
              <v:textbox inset="0mm,0mm,0mm,0mm" style="mso-fit-shape-to-text:t;">
                <w:txbxContent>
                  <w:p w14:paraId="535F1DAD">
                    <w:pPr>
                      <w:pStyle w:val="26"/>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738C2">
    <w:pPr>
      <w:pStyle w:val="26"/>
      <w:jc w:val="center"/>
    </w:pPr>
    <w:r>
      <w:fldChar w:fldCharType="begin"/>
    </w:r>
    <w:r>
      <w:instrText xml:space="preserve"> PAGE  \* MERGEFORMAT </w:instrText>
    </w:r>
    <w:r>
      <w:fldChar w:fldCharType="separate"/>
    </w:r>
    <w:r>
      <w:t>117</w:t>
    </w:r>
    <w:r>
      <w:fldChar w:fldCharType="end"/>
    </w:r>
  </w:p>
  <w:p w14:paraId="434750E8">
    <w:pPr>
      <w:pStyle w:val="2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FDB7">
    <w:pPr>
      <w:pStyle w:val="27"/>
      <w:jc w:val="right"/>
      <w:rPr>
        <w:lang w:val="en-US"/>
      </w:rPr>
    </w:pPr>
    <w:r>
      <w:rPr>
        <w:rFonts w:hint="eastAsia"/>
      </w:rPr>
      <w:t>博时中证细分化工产业主题交易型开放式指数证券投资基金</w:t>
    </w:r>
    <w:r>
      <w:t>招募说明书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AA725">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200B2">
    <w:pPr>
      <w:pStyle w:val="2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97599">
    <w:pPr>
      <w:pStyle w:val="27"/>
      <w:jc w:val="right"/>
    </w:pPr>
    <w:r>
      <w:rPr>
        <w:rFonts w:hint="eastAsia"/>
      </w:rPr>
      <w:t>博时</w:t>
    </w:r>
    <w:r>
      <w:rPr>
        <w:rFonts w:hint="eastAsia"/>
        <w:sz w:val="21"/>
        <w:szCs w:val="21"/>
      </w:rPr>
      <w:t>中证细分化工产业主题</w:t>
    </w:r>
    <w:r>
      <w:rPr>
        <w:rFonts w:hint="eastAsia"/>
      </w:rPr>
      <w:t>交易型开放式指数证券投资基金</w:t>
    </w:r>
    <w:r>
      <w:t>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20467E"/>
    <w:multiLevelType w:val="multilevel"/>
    <w:tmpl w:val="0C20467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C931F6B"/>
    <w:multiLevelType w:val="multilevel"/>
    <w:tmpl w:val="0C931F6B"/>
    <w:lvl w:ilvl="0" w:tentative="0">
      <w:start w:val="1"/>
      <w:numFmt w:val="decimal"/>
      <w:pStyle w:val="35"/>
      <w:lvlText w:val="%1、"/>
      <w:lvlJc w:val="left"/>
      <w:pPr>
        <w:tabs>
          <w:tab w:val="left" w:pos="757"/>
        </w:tabs>
        <w:ind w:left="0" w:firstLine="397"/>
      </w:pPr>
      <w:rPr>
        <w:rFonts w:hint="default"/>
      </w:rPr>
    </w:lvl>
    <w:lvl w:ilvl="1" w:tentative="0">
      <w:start w:val="1"/>
      <w:numFmt w:val="bullet"/>
      <w:lvlText w:val=""/>
      <w:lvlJc w:val="left"/>
      <w:pPr>
        <w:tabs>
          <w:tab w:val="left" w:pos="840"/>
        </w:tabs>
        <w:ind w:left="840" w:hanging="420"/>
      </w:pPr>
      <w:rPr>
        <w:rFonts w:hint="default" w:ascii="Wingdings" w:hAnsi="Wingdings"/>
        <w:b w:val="0"/>
        <w:i w:val="0"/>
        <w:sz w:val="15"/>
        <w:szCs w:val="15"/>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A4038FD"/>
    <w:multiLevelType w:val="multilevel"/>
    <w:tmpl w:val="1A4038FD"/>
    <w:lvl w:ilvl="0" w:tentative="0">
      <w:start w:val="1"/>
      <w:numFmt w:val="japaneseCounting"/>
      <w:pStyle w:val="12"/>
      <w:lvlText w:val="%1、"/>
      <w:lvlJc w:val="left"/>
      <w:pPr>
        <w:tabs>
          <w:tab w:val="left" w:pos="3243"/>
        </w:tabs>
        <w:ind w:left="3243"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DAC2829"/>
    <w:multiLevelType w:val="singleLevel"/>
    <w:tmpl w:val="3DAC2829"/>
    <w:lvl w:ilvl="0" w:tentative="0">
      <w:start w:val="1"/>
      <w:numFmt w:val="decimal"/>
      <w:pStyle w:val="17"/>
      <w:lvlText w:val="(%1)"/>
      <w:lvlJc w:val="left"/>
      <w:pPr>
        <w:tabs>
          <w:tab w:val="left" w:pos="907"/>
        </w:tabs>
        <w:ind w:left="907" w:hanging="482"/>
      </w:pPr>
      <w:rPr>
        <w:rFonts w:hint="default"/>
      </w:rPr>
    </w:lvl>
  </w:abstractNum>
  <w:abstractNum w:abstractNumId="4">
    <w:nsid w:val="48DC602A"/>
    <w:multiLevelType w:val="multilevel"/>
    <w:tmpl w:val="48DC602A"/>
    <w:lvl w:ilvl="0" w:tentative="0">
      <w:start w:val="1"/>
      <w:numFmt w:val="none"/>
      <w:suff w:val="nothing"/>
      <w:lvlText w:val=""/>
      <w:lvlJc w:val="left"/>
      <w:pPr>
        <w:ind w:left="0" w:firstLine="0"/>
      </w:pPr>
      <w:rPr>
        <w:rFonts w:hint="eastAsia" w:ascii="楷体_GB2312" w:eastAsia="@楷体_GB2312"/>
        <w:b/>
        <w:i w:val="0"/>
        <w:sz w:val="30"/>
      </w:rPr>
    </w:lvl>
    <w:lvl w:ilvl="1" w:tentative="0">
      <w:start w:val="1"/>
      <w:numFmt w:val="chineseCountingThousand"/>
      <w:suff w:val="nothing"/>
      <w:lvlText w:val="第%2章"/>
      <w:lvlJc w:val="left"/>
      <w:pPr>
        <w:ind w:left="0" w:firstLine="0"/>
      </w:pPr>
      <w:rPr>
        <w:rFonts w:hint="eastAsia" w:ascii="楷体_GB2312" w:eastAsia="@楷体_GB2312"/>
        <w:b/>
        <w:i w:val="0"/>
        <w:sz w:val="30"/>
      </w:rPr>
    </w:lvl>
    <w:lvl w:ilvl="2" w:tentative="0">
      <w:start w:val="1"/>
      <w:numFmt w:val="chineseCountingThousand"/>
      <w:suff w:val="nothing"/>
      <w:lvlText w:val="%3、"/>
      <w:lvlJc w:val="left"/>
      <w:pPr>
        <w:ind w:left="0" w:firstLine="0"/>
      </w:pPr>
      <w:rPr>
        <w:rFonts w:hint="eastAsia" w:ascii="楷体_GB2312" w:eastAsia="@楷体_GB2312"/>
        <w:b w:val="0"/>
        <w:i w:val="0"/>
        <w:sz w:val="28"/>
      </w:rPr>
    </w:lvl>
    <w:lvl w:ilvl="3" w:tentative="0">
      <w:start w:val="1"/>
      <w:numFmt w:val="chineseCountingThousand"/>
      <w:suff w:val="nothing"/>
      <w:lvlText w:val="（%4）"/>
      <w:lvlJc w:val="left"/>
      <w:pPr>
        <w:ind w:left="0" w:firstLine="0"/>
      </w:pPr>
      <w:rPr>
        <w:rFonts w:hint="eastAsia" w:ascii="楷体_GB2312" w:eastAsia="@楷体_GB2312"/>
        <w:b w:val="0"/>
        <w:i w:val="0"/>
        <w:sz w:val="24"/>
      </w:rPr>
    </w:lvl>
    <w:lvl w:ilvl="4" w:tentative="0">
      <w:start w:val="1"/>
      <w:numFmt w:val="decimal"/>
      <w:suff w:val="nothing"/>
      <w:lvlText w:val="%5、"/>
      <w:lvlJc w:val="left"/>
      <w:pPr>
        <w:ind w:left="0" w:firstLine="0"/>
      </w:pPr>
      <w:rPr>
        <w:rFonts w:hint="default" w:ascii="Times New Roman" w:hAnsi="Times New Roman"/>
        <w:b w:val="0"/>
        <w:i w:val="0"/>
        <w:sz w:val="24"/>
      </w:rPr>
    </w:lvl>
    <w:lvl w:ilvl="5" w:tentative="0">
      <w:start w:val="1"/>
      <w:numFmt w:val="decimal"/>
      <w:suff w:val="nothing"/>
      <w:lvlText w:val="（%6）"/>
      <w:lvlJc w:val="left"/>
      <w:pPr>
        <w:ind w:left="0" w:firstLine="0"/>
      </w:pPr>
      <w:rPr>
        <w:rFonts w:hint="default" w:ascii="Times New Roman" w:hAnsi="Times New Roman"/>
        <w:b w:val="0"/>
        <w:i w:val="0"/>
        <w:sz w:val="24"/>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605A246A"/>
    <w:multiLevelType w:val="singleLevel"/>
    <w:tmpl w:val="605A246A"/>
    <w:lvl w:ilvl="0" w:tentative="0">
      <w:start w:val="5"/>
      <w:numFmt w:val="decimal"/>
      <w:suff w:val="nothing"/>
      <w:lvlText w:val="%1、"/>
      <w:lvlJc w:val="left"/>
    </w:lvl>
  </w:abstractNum>
  <w:abstractNum w:abstractNumId="6">
    <w:nsid w:val="6CC472AB"/>
    <w:multiLevelType w:val="multilevel"/>
    <w:tmpl w:val="6CC472AB"/>
    <w:lvl w:ilvl="0" w:tentative="0">
      <w:start w:val="1"/>
      <w:numFmt w:val="decimal"/>
      <w:lvlText w:val="%1）"/>
      <w:lvlJc w:val="left"/>
      <w:pPr>
        <w:ind w:left="780" w:hanging="360"/>
      </w:pPr>
      <w:rPr>
        <w:rFonts w:hint="default" w:ascii="宋体" w:hAnsi="宋体" w:eastAsia="宋体" w:cs="Times New Roman"/>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FBD6257"/>
    <w:multiLevelType w:val="multilevel"/>
    <w:tmpl w:val="6FBD625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8">
    <w:nsid w:val="794E0427"/>
    <w:multiLevelType w:val="multilevel"/>
    <w:tmpl w:val="794E0427"/>
    <w:lvl w:ilvl="0" w:tentative="0">
      <w:start w:val="1"/>
      <w:numFmt w:val="chineseCountingThousand"/>
      <w:lvlText w:val="%1、"/>
      <w:lvlJc w:val="left"/>
      <w:pPr>
        <w:ind w:left="988" w:hanging="420"/>
      </w:pPr>
      <w:rPr>
        <w:rFonts w:hint="default" w:ascii="Arial" w:hAnsi="Arial" w:cs="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3"/>
  </w:num>
  <w:num w:numId="3">
    <w:abstractNumId w:val="1"/>
  </w:num>
  <w:num w:numId="4">
    <w:abstractNumId w:val="4"/>
  </w:num>
  <w:num w:numId="5">
    <w:abstractNumId w:val="0"/>
  </w:num>
  <w:num w:numId="6">
    <w:abstractNumId w:val="6"/>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hODQ0MjhkODU2NjgyODcwODg2OTEwN2FjOTUxNGYifQ=="/>
  </w:docVars>
  <w:rsids>
    <w:rsidRoot w:val="00024E01"/>
    <w:rsid w:val="00024E01"/>
    <w:rsid w:val="00034D7E"/>
    <w:rsid w:val="000530B0"/>
    <w:rsid w:val="00087BFD"/>
    <w:rsid w:val="0009350E"/>
    <w:rsid w:val="000B6FDE"/>
    <w:rsid w:val="000C5D3F"/>
    <w:rsid w:val="001220C4"/>
    <w:rsid w:val="00143805"/>
    <w:rsid w:val="00175BAC"/>
    <w:rsid w:val="001A0A84"/>
    <w:rsid w:val="001A6D72"/>
    <w:rsid w:val="001A7192"/>
    <w:rsid w:val="001A7436"/>
    <w:rsid w:val="001C6642"/>
    <w:rsid w:val="00201B2B"/>
    <w:rsid w:val="002211DD"/>
    <w:rsid w:val="00232AB5"/>
    <w:rsid w:val="00234BBA"/>
    <w:rsid w:val="00257197"/>
    <w:rsid w:val="0027631B"/>
    <w:rsid w:val="002828E9"/>
    <w:rsid w:val="002A4FF5"/>
    <w:rsid w:val="002C55BA"/>
    <w:rsid w:val="002E797F"/>
    <w:rsid w:val="002F6F2B"/>
    <w:rsid w:val="003151DA"/>
    <w:rsid w:val="003376FF"/>
    <w:rsid w:val="00345E88"/>
    <w:rsid w:val="00345F3D"/>
    <w:rsid w:val="00352E8C"/>
    <w:rsid w:val="00354390"/>
    <w:rsid w:val="003B0E10"/>
    <w:rsid w:val="003C07B7"/>
    <w:rsid w:val="00400601"/>
    <w:rsid w:val="00434B54"/>
    <w:rsid w:val="00453105"/>
    <w:rsid w:val="0046625F"/>
    <w:rsid w:val="004B1A8D"/>
    <w:rsid w:val="004B2230"/>
    <w:rsid w:val="004C3014"/>
    <w:rsid w:val="004E452F"/>
    <w:rsid w:val="004E5DF8"/>
    <w:rsid w:val="004F3A38"/>
    <w:rsid w:val="00503A84"/>
    <w:rsid w:val="00506376"/>
    <w:rsid w:val="00516EAC"/>
    <w:rsid w:val="00517098"/>
    <w:rsid w:val="00525C68"/>
    <w:rsid w:val="00535A71"/>
    <w:rsid w:val="005362E3"/>
    <w:rsid w:val="00542BD9"/>
    <w:rsid w:val="00554E74"/>
    <w:rsid w:val="005567DB"/>
    <w:rsid w:val="00560BBB"/>
    <w:rsid w:val="0057688F"/>
    <w:rsid w:val="00590FF7"/>
    <w:rsid w:val="00596BD8"/>
    <w:rsid w:val="005D1909"/>
    <w:rsid w:val="0062365A"/>
    <w:rsid w:val="00641E8D"/>
    <w:rsid w:val="006738EE"/>
    <w:rsid w:val="006B1BC0"/>
    <w:rsid w:val="006B6C62"/>
    <w:rsid w:val="006C65D5"/>
    <w:rsid w:val="006D17F8"/>
    <w:rsid w:val="006E1675"/>
    <w:rsid w:val="00702AB8"/>
    <w:rsid w:val="007155BE"/>
    <w:rsid w:val="007211A1"/>
    <w:rsid w:val="00732611"/>
    <w:rsid w:val="00735156"/>
    <w:rsid w:val="00775A29"/>
    <w:rsid w:val="00775C0D"/>
    <w:rsid w:val="007C2E56"/>
    <w:rsid w:val="007C461F"/>
    <w:rsid w:val="007D3A3C"/>
    <w:rsid w:val="007D772B"/>
    <w:rsid w:val="007E2D7B"/>
    <w:rsid w:val="007E3E59"/>
    <w:rsid w:val="00814DC8"/>
    <w:rsid w:val="00817853"/>
    <w:rsid w:val="00840C43"/>
    <w:rsid w:val="00853EF2"/>
    <w:rsid w:val="00873C8E"/>
    <w:rsid w:val="00897E2E"/>
    <w:rsid w:val="008A2C93"/>
    <w:rsid w:val="008A6BE7"/>
    <w:rsid w:val="009117D4"/>
    <w:rsid w:val="00933548"/>
    <w:rsid w:val="0093664E"/>
    <w:rsid w:val="009515B0"/>
    <w:rsid w:val="00971B8E"/>
    <w:rsid w:val="00971BE5"/>
    <w:rsid w:val="00977A84"/>
    <w:rsid w:val="00987AEF"/>
    <w:rsid w:val="009B3690"/>
    <w:rsid w:val="009B7C05"/>
    <w:rsid w:val="009E702F"/>
    <w:rsid w:val="009F785B"/>
    <w:rsid w:val="00A424CF"/>
    <w:rsid w:val="00A47A97"/>
    <w:rsid w:val="00AA6569"/>
    <w:rsid w:val="00AB3882"/>
    <w:rsid w:val="00AC1D6F"/>
    <w:rsid w:val="00AD7931"/>
    <w:rsid w:val="00AE703C"/>
    <w:rsid w:val="00AF2F49"/>
    <w:rsid w:val="00B514F2"/>
    <w:rsid w:val="00B55DD7"/>
    <w:rsid w:val="00B87260"/>
    <w:rsid w:val="00B94900"/>
    <w:rsid w:val="00BD404A"/>
    <w:rsid w:val="00C06BEB"/>
    <w:rsid w:val="00C146E9"/>
    <w:rsid w:val="00C17DAE"/>
    <w:rsid w:val="00C23073"/>
    <w:rsid w:val="00C25CE3"/>
    <w:rsid w:val="00C43C92"/>
    <w:rsid w:val="00C63BE8"/>
    <w:rsid w:val="00C92664"/>
    <w:rsid w:val="00CA7777"/>
    <w:rsid w:val="00CB01A8"/>
    <w:rsid w:val="00CC4BE1"/>
    <w:rsid w:val="00CF1653"/>
    <w:rsid w:val="00D42706"/>
    <w:rsid w:val="00D9692D"/>
    <w:rsid w:val="00DA4B3B"/>
    <w:rsid w:val="00DE2618"/>
    <w:rsid w:val="00DE7261"/>
    <w:rsid w:val="00DE7FF3"/>
    <w:rsid w:val="00E13F67"/>
    <w:rsid w:val="00E31A92"/>
    <w:rsid w:val="00E644DF"/>
    <w:rsid w:val="00E65B07"/>
    <w:rsid w:val="00E905D0"/>
    <w:rsid w:val="00E96574"/>
    <w:rsid w:val="00EA1A38"/>
    <w:rsid w:val="00EB1A2B"/>
    <w:rsid w:val="00EC4660"/>
    <w:rsid w:val="00F14F6D"/>
    <w:rsid w:val="00F31425"/>
    <w:rsid w:val="00F32B9B"/>
    <w:rsid w:val="00F61B6B"/>
    <w:rsid w:val="00FD297E"/>
    <w:rsid w:val="00FF283D"/>
    <w:rsid w:val="01474B5C"/>
    <w:rsid w:val="03130997"/>
    <w:rsid w:val="0383644D"/>
    <w:rsid w:val="04AF6BB6"/>
    <w:rsid w:val="04C111D3"/>
    <w:rsid w:val="0589297F"/>
    <w:rsid w:val="05FA1D37"/>
    <w:rsid w:val="06350466"/>
    <w:rsid w:val="06702BEF"/>
    <w:rsid w:val="06BD70D2"/>
    <w:rsid w:val="084673C2"/>
    <w:rsid w:val="09342B16"/>
    <w:rsid w:val="0A1322A0"/>
    <w:rsid w:val="0AAA6445"/>
    <w:rsid w:val="0B0B5213"/>
    <w:rsid w:val="0B707595"/>
    <w:rsid w:val="0BAE72C8"/>
    <w:rsid w:val="0BC1450F"/>
    <w:rsid w:val="0CEB44D6"/>
    <w:rsid w:val="0D4E0A0A"/>
    <w:rsid w:val="0DD5781F"/>
    <w:rsid w:val="0E51293D"/>
    <w:rsid w:val="0E64523D"/>
    <w:rsid w:val="0EF04097"/>
    <w:rsid w:val="10CF4DC7"/>
    <w:rsid w:val="11986963"/>
    <w:rsid w:val="12401481"/>
    <w:rsid w:val="133151C2"/>
    <w:rsid w:val="1332122C"/>
    <w:rsid w:val="134E2306"/>
    <w:rsid w:val="156D6C3E"/>
    <w:rsid w:val="15ED1B16"/>
    <w:rsid w:val="168D490F"/>
    <w:rsid w:val="16FD23AE"/>
    <w:rsid w:val="175D4AB7"/>
    <w:rsid w:val="17B25EFE"/>
    <w:rsid w:val="183611CE"/>
    <w:rsid w:val="186C7C76"/>
    <w:rsid w:val="1954416C"/>
    <w:rsid w:val="197C255B"/>
    <w:rsid w:val="1A5765EE"/>
    <w:rsid w:val="1AF5600D"/>
    <w:rsid w:val="1B3308A2"/>
    <w:rsid w:val="1B6D3A51"/>
    <w:rsid w:val="1C255A5E"/>
    <w:rsid w:val="1C8E2418"/>
    <w:rsid w:val="1CC965AD"/>
    <w:rsid w:val="1DDC0179"/>
    <w:rsid w:val="1E33115F"/>
    <w:rsid w:val="1E494F38"/>
    <w:rsid w:val="1E5A478A"/>
    <w:rsid w:val="1EE72DB8"/>
    <w:rsid w:val="1F861224"/>
    <w:rsid w:val="20323BE4"/>
    <w:rsid w:val="2216217B"/>
    <w:rsid w:val="22F9617F"/>
    <w:rsid w:val="23B9535B"/>
    <w:rsid w:val="242227B2"/>
    <w:rsid w:val="24275939"/>
    <w:rsid w:val="255B069D"/>
    <w:rsid w:val="25A54D2B"/>
    <w:rsid w:val="25DC2618"/>
    <w:rsid w:val="25FD42FD"/>
    <w:rsid w:val="270E7A18"/>
    <w:rsid w:val="27723C5D"/>
    <w:rsid w:val="285D1B07"/>
    <w:rsid w:val="28D054D3"/>
    <w:rsid w:val="2C2A2482"/>
    <w:rsid w:val="2CCC4FF2"/>
    <w:rsid w:val="2DC91E29"/>
    <w:rsid w:val="2F822BAC"/>
    <w:rsid w:val="315B68FE"/>
    <w:rsid w:val="319E6688"/>
    <w:rsid w:val="31A7618D"/>
    <w:rsid w:val="31CC1745"/>
    <w:rsid w:val="32877B89"/>
    <w:rsid w:val="33454373"/>
    <w:rsid w:val="33E44205"/>
    <w:rsid w:val="34691200"/>
    <w:rsid w:val="37247728"/>
    <w:rsid w:val="375D334A"/>
    <w:rsid w:val="389A3F81"/>
    <w:rsid w:val="38C103E8"/>
    <w:rsid w:val="3A0500D2"/>
    <w:rsid w:val="3A8A4EB1"/>
    <w:rsid w:val="3AA91933"/>
    <w:rsid w:val="3BE51788"/>
    <w:rsid w:val="3BFB3DC0"/>
    <w:rsid w:val="3C5643BF"/>
    <w:rsid w:val="3CA71B5F"/>
    <w:rsid w:val="3D3B4FEF"/>
    <w:rsid w:val="3DFC0DDD"/>
    <w:rsid w:val="3E325BBA"/>
    <w:rsid w:val="3F194395"/>
    <w:rsid w:val="3FB16685"/>
    <w:rsid w:val="3FCE5D33"/>
    <w:rsid w:val="40D77EDB"/>
    <w:rsid w:val="40FE5AF1"/>
    <w:rsid w:val="411D2756"/>
    <w:rsid w:val="418167B0"/>
    <w:rsid w:val="43353E22"/>
    <w:rsid w:val="44722582"/>
    <w:rsid w:val="45423E2F"/>
    <w:rsid w:val="45D82297"/>
    <w:rsid w:val="469B7F35"/>
    <w:rsid w:val="46A52D57"/>
    <w:rsid w:val="46B02B2B"/>
    <w:rsid w:val="46C17DD9"/>
    <w:rsid w:val="46C74AA6"/>
    <w:rsid w:val="47C04712"/>
    <w:rsid w:val="47FB5FCC"/>
    <w:rsid w:val="48311CEE"/>
    <w:rsid w:val="48785DB2"/>
    <w:rsid w:val="49737A17"/>
    <w:rsid w:val="49AC7921"/>
    <w:rsid w:val="4A713A87"/>
    <w:rsid w:val="4B672A5B"/>
    <w:rsid w:val="4BA10D34"/>
    <w:rsid w:val="4C796FE3"/>
    <w:rsid w:val="4D304EE7"/>
    <w:rsid w:val="4DA54AE5"/>
    <w:rsid w:val="4E3670C4"/>
    <w:rsid w:val="4F185587"/>
    <w:rsid w:val="4F4F6CF0"/>
    <w:rsid w:val="4F6A60DE"/>
    <w:rsid w:val="4FD30F7D"/>
    <w:rsid w:val="505745BD"/>
    <w:rsid w:val="506C5FC3"/>
    <w:rsid w:val="509A5117"/>
    <w:rsid w:val="50E8584F"/>
    <w:rsid w:val="51A6066F"/>
    <w:rsid w:val="521450B8"/>
    <w:rsid w:val="53124FDB"/>
    <w:rsid w:val="53AB5B10"/>
    <w:rsid w:val="53BC3404"/>
    <w:rsid w:val="5401239B"/>
    <w:rsid w:val="54951F4B"/>
    <w:rsid w:val="54AE49FC"/>
    <w:rsid w:val="551D7A2B"/>
    <w:rsid w:val="55804FB5"/>
    <w:rsid w:val="56917D3B"/>
    <w:rsid w:val="56990AD5"/>
    <w:rsid w:val="56F314CF"/>
    <w:rsid w:val="56FA50F5"/>
    <w:rsid w:val="5743565F"/>
    <w:rsid w:val="57785CA9"/>
    <w:rsid w:val="58604BB7"/>
    <w:rsid w:val="59AB240C"/>
    <w:rsid w:val="59B210EA"/>
    <w:rsid w:val="5A595E37"/>
    <w:rsid w:val="5B9313A8"/>
    <w:rsid w:val="5BAF4B4D"/>
    <w:rsid w:val="5BD731BA"/>
    <w:rsid w:val="5C6136DD"/>
    <w:rsid w:val="5CE375BB"/>
    <w:rsid w:val="5E3E4C2D"/>
    <w:rsid w:val="5F6F0822"/>
    <w:rsid w:val="5FE877E1"/>
    <w:rsid w:val="60211E45"/>
    <w:rsid w:val="60A171F2"/>
    <w:rsid w:val="60C55075"/>
    <w:rsid w:val="60E15259"/>
    <w:rsid w:val="62221B58"/>
    <w:rsid w:val="63206830"/>
    <w:rsid w:val="633A5D6C"/>
    <w:rsid w:val="63AA3769"/>
    <w:rsid w:val="64E05BEB"/>
    <w:rsid w:val="653B3A4E"/>
    <w:rsid w:val="65722611"/>
    <w:rsid w:val="657E6B14"/>
    <w:rsid w:val="65F67D9E"/>
    <w:rsid w:val="668402A6"/>
    <w:rsid w:val="66B87627"/>
    <w:rsid w:val="676017FB"/>
    <w:rsid w:val="6A555281"/>
    <w:rsid w:val="6B05032F"/>
    <w:rsid w:val="6C501AAA"/>
    <w:rsid w:val="6C516CAD"/>
    <w:rsid w:val="6CCE6E10"/>
    <w:rsid w:val="6D381AB8"/>
    <w:rsid w:val="6D4D71CE"/>
    <w:rsid w:val="6D7E3640"/>
    <w:rsid w:val="6D920A14"/>
    <w:rsid w:val="6D940517"/>
    <w:rsid w:val="6FF8492F"/>
    <w:rsid w:val="701A4885"/>
    <w:rsid w:val="7026420C"/>
    <w:rsid w:val="70E7773A"/>
    <w:rsid w:val="71F06053"/>
    <w:rsid w:val="7294572E"/>
    <w:rsid w:val="73166260"/>
    <w:rsid w:val="73727874"/>
    <w:rsid w:val="746518D2"/>
    <w:rsid w:val="75143701"/>
    <w:rsid w:val="762D320C"/>
    <w:rsid w:val="76A473E2"/>
    <w:rsid w:val="76EC00BB"/>
    <w:rsid w:val="778A45F2"/>
    <w:rsid w:val="77957D2C"/>
    <w:rsid w:val="77A846EB"/>
    <w:rsid w:val="7840253F"/>
    <w:rsid w:val="7950011E"/>
    <w:rsid w:val="79CD4C81"/>
    <w:rsid w:val="7A074CBE"/>
    <w:rsid w:val="7A7E3F0F"/>
    <w:rsid w:val="7DE64856"/>
    <w:rsid w:val="7E4D2250"/>
    <w:rsid w:val="7E775C81"/>
    <w:rsid w:val="7EA85F02"/>
    <w:rsid w:val="7EB4581D"/>
    <w:rsid w:val="7FAA74D1"/>
    <w:rsid w:val="7FD44726"/>
    <w:rsid w:val="7FFC2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nhideWhenUsed="0" w:uiPriority="0" w:semiHidden="0"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qFormat="1" w:uiPriority="99" w:semiHidden="0"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qFormat="1" w:unhideWhenUsed="0" w:uiPriority="0" w:semiHidden="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autoSpaceDE w:val="0"/>
      <w:autoSpaceDN w:val="0"/>
      <w:adjustRightInd w:val="0"/>
      <w:spacing w:before="360" w:after="360"/>
      <w:jc w:val="center"/>
      <w:textAlignment w:val="baseline"/>
      <w:outlineLvl w:val="0"/>
    </w:pPr>
    <w:rPr>
      <w:rFonts w:ascii="宋体" w:eastAsia="黑体"/>
      <w:kern w:val="0"/>
      <w:sz w:val="24"/>
      <w:szCs w:val="20"/>
    </w:rPr>
  </w:style>
  <w:style w:type="paragraph" w:styleId="3">
    <w:name w:val="heading 2"/>
    <w:basedOn w:val="1"/>
    <w:next w:val="1"/>
    <w:link w:val="62"/>
    <w:qFormat/>
    <w:uiPriority w:val="9"/>
    <w:pPr>
      <w:keepNext/>
      <w:keepLines/>
      <w:autoSpaceDE w:val="0"/>
      <w:autoSpaceDN w:val="0"/>
      <w:adjustRightInd w:val="0"/>
      <w:spacing w:before="240" w:after="240" w:line="360" w:lineRule="auto"/>
      <w:jc w:val="left"/>
      <w:textAlignment w:val="baseline"/>
      <w:outlineLvl w:val="1"/>
    </w:pPr>
    <w:rPr>
      <w:rFonts w:ascii="Arial" w:hAnsi="Arial" w:eastAsia="黑体"/>
      <w:b/>
      <w:kern w:val="0"/>
      <w:sz w:val="32"/>
      <w:szCs w:val="20"/>
      <w:lang w:val="zh-CN"/>
    </w:rPr>
  </w:style>
  <w:style w:type="paragraph" w:styleId="4">
    <w:name w:val="heading 3"/>
    <w:basedOn w:val="1"/>
    <w:next w:val="1"/>
    <w:link w:val="63"/>
    <w:qFormat/>
    <w:uiPriority w:val="0"/>
    <w:pPr>
      <w:keepNext/>
      <w:keepLines/>
      <w:spacing w:before="260" w:after="260" w:line="416" w:lineRule="auto"/>
      <w:outlineLvl w:val="2"/>
    </w:pPr>
    <w:rPr>
      <w:b/>
      <w:bCs/>
      <w:szCs w:val="32"/>
    </w:rPr>
  </w:style>
  <w:style w:type="paragraph" w:styleId="5">
    <w:name w:val="heading 4"/>
    <w:basedOn w:val="1"/>
    <w:next w:val="1"/>
    <w:link w:val="64"/>
    <w:qFormat/>
    <w:uiPriority w:val="0"/>
    <w:pPr>
      <w:keepNext/>
      <w:keepLines/>
      <w:autoSpaceDE w:val="0"/>
      <w:autoSpaceDN w:val="0"/>
      <w:adjustRightInd w:val="0"/>
      <w:spacing w:before="280" w:after="290" w:line="376" w:lineRule="auto"/>
      <w:textAlignment w:val="baseline"/>
      <w:outlineLvl w:val="3"/>
    </w:pPr>
    <w:rPr>
      <w:rFonts w:ascii="Arial" w:hAnsi="Arial" w:eastAsia="黑体"/>
      <w:b/>
      <w:kern w:val="0"/>
      <w:sz w:val="28"/>
      <w:szCs w:val="20"/>
    </w:rPr>
  </w:style>
  <w:style w:type="paragraph" w:styleId="6">
    <w:name w:val="heading 5"/>
    <w:basedOn w:val="1"/>
    <w:next w:val="1"/>
    <w:link w:val="65"/>
    <w:qFormat/>
    <w:uiPriority w:val="0"/>
    <w:pPr>
      <w:keepNext/>
      <w:keepLines/>
      <w:autoSpaceDE w:val="0"/>
      <w:autoSpaceDN w:val="0"/>
      <w:adjustRightInd w:val="0"/>
      <w:spacing w:before="280" w:after="290" w:line="376" w:lineRule="auto"/>
      <w:textAlignment w:val="baseline"/>
      <w:outlineLvl w:val="4"/>
    </w:pPr>
    <w:rPr>
      <w:rFonts w:ascii="宋体"/>
      <w:b/>
      <w:kern w:val="0"/>
      <w:sz w:val="28"/>
      <w:szCs w:val="20"/>
    </w:rPr>
  </w:style>
  <w:style w:type="paragraph" w:styleId="7">
    <w:name w:val="heading 6"/>
    <w:basedOn w:val="1"/>
    <w:next w:val="1"/>
    <w:link w:val="66"/>
    <w:qFormat/>
    <w:uiPriority w:val="0"/>
    <w:pPr>
      <w:keepNext/>
      <w:keepLines/>
      <w:autoSpaceDE w:val="0"/>
      <w:autoSpaceDN w:val="0"/>
      <w:adjustRightInd w:val="0"/>
      <w:spacing w:before="240" w:after="64" w:line="320" w:lineRule="auto"/>
      <w:textAlignment w:val="baseline"/>
      <w:outlineLvl w:val="5"/>
    </w:pPr>
    <w:rPr>
      <w:rFonts w:ascii="Arial" w:hAnsi="Arial" w:eastAsia="黑体"/>
      <w:b/>
      <w:kern w:val="0"/>
      <w:sz w:val="24"/>
      <w:szCs w:val="20"/>
    </w:rPr>
  </w:style>
  <w:style w:type="paragraph" w:styleId="8">
    <w:name w:val="heading 7"/>
    <w:basedOn w:val="1"/>
    <w:next w:val="1"/>
    <w:link w:val="67"/>
    <w:qFormat/>
    <w:uiPriority w:val="0"/>
    <w:pPr>
      <w:keepNext/>
      <w:keepLines/>
      <w:autoSpaceDE w:val="0"/>
      <w:autoSpaceDN w:val="0"/>
      <w:adjustRightInd w:val="0"/>
      <w:spacing w:before="240" w:after="64" w:line="320" w:lineRule="auto"/>
      <w:textAlignment w:val="baseline"/>
      <w:outlineLvl w:val="6"/>
    </w:pPr>
    <w:rPr>
      <w:rFonts w:ascii="宋体"/>
      <w:b/>
      <w:kern w:val="0"/>
      <w:sz w:val="24"/>
      <w:szCs w:val="20"/>
    </w:rPr>
  </w:style>
  <w:style w:type="paragraph" w:styleId="9">
    <w:name w:val="heading 8"/>
    <w:basedOn w:val="1"/>
    <w:next w:val="1"/>
    <w:link w:val="68"/>
    <w:qFormat/>
    <w:uiPriority w:val="0"/>
    <w:pPr>
      <w:keepNext/>
      <w:keepLines/>
      <w:autoSpaceDE w:val="0"/>
      <w:autoSpaceDN w:val="0"/>
      <w:adjustRightInd w:val="0"/>
      <w:spacing w:before="240" w:after="64" w:line="320" w:lineRule="auto"/>
      <w:textAlignment w:val="baseline"/>
      <w:outlineLvl w:val="7"/>
    </w:pPr>
    <w:rPr>
      <w:rFonts w:ascii="Arial" w:hAnsi="Arial" w:eastAsia="黑体"/>
      <w:kern w:val="0"/>
      <w:sz w:val="24"/>
      <w:szCs w:val="20"/>
    </w:rPr>
  </w:style>
  <w:style w:type="paragraph" w:styleId="10">
    <w:name w:val="heading 9"/>
    <w:basedOn w:val="1"/>
    <w:next w:val="1"/>
    <w:link w:val="69"/>
    <w:qFormat/>
    <w:uiPriority w:val="0"/>
    <w:pPr>
      <w:keepNext/>
      <w:keepLines/>
      <w:autoSpaceDE w:val="0"/>
      <w:autoSpaceDN w:val="0"/>
      <w:adjustRightInd w:val="0"/>
      <w:spacing w:before="240" w:after="64" w:line="320" w:lineRule="auto"/>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after="120" w:line="360" w:lineRule="auto"/>
      <w:ind w:left="2520" w:firstLine="480"/>
    </w:pPr>
    <w:rPr>
      <w:rFonts w:ascii="宋体" w:hAnsi="宋体" w:cs="Arial"/>
      <w:bCs/>
      <w:color w:val="000000"/>
      <w:kern w:val="0"/>
      <w:szCs w:val="21"/>
      <w:lang w:val="zh-CN"/>
    </w:rPr>
  </w:style>
  <w:style w:type="paragraph" w:styleId="12">
    <w:name w:val="Normal Indent"/>
    <w:basedOn w:val="1"/>
    <w:qFormat/>
    <w:uiPriority w:val="0"/>
    <w:pPr>
      <w:numPr>
        <w:ilvl w:val="0"/>
        <w:numId w:val="1"/>
      </w:numPr>
      <w:tabs>
        <w:tab w:val="clear" w:pos="3243"/>
      </w:tabs>
      <w:ind w:left="0" w:firstLine="420"/>
    </w:pPr>
    <w:rPr>
      <w:szCs w:val="20"/>
    </w:rPr>
  </w:style>
  <w:style w:type="paragraph" w:styleId="13">
    <w:name w:val="List Bullet"/>
    <w:basedOn w:val="1"/>
    <w:qFormat/>
    <w:uiPriority w:val="0"/>
    <w:pPr>
      <w:tabs>
        <w:tab w:val="left" w:pos="360"/>
      </w:tabs>
      <w:autoSpaceDE w:val="0"/>
      <w:autoSpaceDN w:val="0"/>
      <w:adjustRightInd w:val="0"/>
      <w:spacing w:after="120"/>
      <w:ind w:left="360" w:hanging="360" w:hangingChars="200"/>
      <w:textAlignment w:val="baseline"/>
    </w:pPr>
    <w:rPr>
      <w:rFonts w:ascii="宋体"/>
      <w:kern w:val="0"/>
      <w:sz w:val="28"/>
      <w:szCs w:val="20"/>
    </w:rPr>
  </w:style>
  <w:style w:type="paragraph" w:styleId="14">
    <w:name w:val="Document Map"/>
    <w:basedOn w:val="1"/>
    <w:link w:val="70"/>
    <w:qFormat/>
    <w:uiPriority w:val="0"/>
    <w:pPr>
      <w:shd w:val="clear" w:color="auto" w:fill="000080"/>
      <w:spacing w:after="120" w:line="360" w:lineRule="auto"/>
      <w:ind w:firstLine="480"/>
    </w:pPr>
    <w:rPr>
      <w:rFonts w:ascii="宋体" w:hAnsi="宋体"/>
      <w:bCs/>
      <w:color w:val="000000"/>
      <w:kern w:val="0"/>
      <w:szCs w:val="21"/>
      <w:lang w:val="zh-CN"/>
    </w:rPr>
  </w:style>
  <w:style w:type="paragraph" w:styleId="15">
    <w:name w:val="annotation text"/>
    <w:basedOn w:val="1"/>
    <w:link w:val="71"/>
    <w:qFormat/>
    <w:uiPriority w:val="99"/>
    <w:pPr>
      <w:jc w:val="left"/>
    </w:pPr>
    <w:rPr>
      <w:lang w:val="zh-CN"/>
    </w:rPr>
  </w:style>
  <w:style w:type="paragraph" w:styleId="16">
    <w:name w:val="Body Text"/>
    <w:basedOn w:val="1"/>
    <w:link w:val="72"/>
    <w:qFormat/>
    <w:uiPriority w:val="99"/>
    <w:rPr>
      <w:rFonts w:ascii="宋体" w:hAnsi="宋体"/>
      <w:kern w:val="0"/>
      <w:sz w:val="24"/>
      <w:szCs w:val="21"/>
      <w:lang w:val="zh-CN"/>
    </w:rPr>
  </w:style>
  <w:style w:type="paragraph" w:styleId="17">
    <w:name w:val="Body Text Indent"/>
    <w:basedOn w:val="1"/>
    <w:link w:val="73"/>
    <w:qFormat/>
    <w:uiPriority w:val="0"/>
    <w:pPr>
      <w:numPr>
        <w:ilvl w:val="0"/>
        <w:numId w:val="2"/>
      </w:numPr>
      <w:tabs>
        <w:tab w:val="clear" w:pos="907"/>
      </w:tabs>
      <w:ind w:left="0" w:firstLine="540"/>
    </w:pPr>
    <w:rPr>
      <w:sz w:val="24"/>
      <w:szCs w:val="20"/>
    </w:rPr>
  </w:style>
  <w:style w:type="paragraph" w:styleId="18">
    <w:name w:val="toc 5"/>
    <w:basedOn w:val="1"/>
    <w:next w:val="1"/>
    <w:qFormat/>
    <w:uiPriority w:val="0"/>
    <w:pPr>
      <w:spacing w:after="120" w:line="360" w:lineRule="auto"/>
      <w:ind w:left="1680" w:firstLine="480"/>
    </w:pPr>
    <w:rPr>
      <w:rFonts w:ascii="宋体" w:hAnsi="宋体" w:cs="Arial"/>
      <w:bCs/>
      <w:color w:val="000000"/>
      <w:kern w:val="0"/>
      <w:szCs w:val="21"/>
      <w:lang w:val="zh-CN"/>
    </w:rPr>
  </w:style>
  <w:style w:type="paragraph" w:styleId="19">
    <w:name w:val="toc 3"/>
    <w:basedOn w:val="1"/>
    <w:next w:val="1"/>
    <w:qFormat/>
    <w:uiPriority w:val="39"/>
    <w:pPr>
      <w:spacing w:after="120" w:line="360" w:lineRule="auto"/>
      <w:ind w:left="840" w:firstLine="480"/>
    </w:pPr>
    <w:rPr>
      <w:rFonts w:ascii="宋体" w:hAnsi="宋体" w:cs="Arial"/>
      <w:bCs/>
      <w:color w:val="000000"/>
      <w:kern w:val="0"/>
      <w:szCs w:val="21"/>
      <w:lang w:val="zh-CN"/>
    </w:rPr>
  </w:style>
  <w:style w:type="paragraph" w:styleId="20">
    <w:name w:val="Plain Text"/>
    <w:basedOn w:val="1"/>
    <w:link w:val="74"/>
    <w:qFormat/>
    <w:uiPriority w:val="0"/>
    <w:pPr>
      <w:widowControl/>
      <w:spacing w:before="100" w:beforeAutospacing="1" w:after="100" w:afterAutospacing="1"/>
      <w:jc w:val="left"/>
    </w:pPr>
    <w:rPr>
      <w:rFonts w:ascii="Arial Unicode MS" w:hAnsi="Arial Unicode MS" w:eastAsia="Arial Unicode MS"/>
      <w:kern w:val="0"/>
      <w:sz w:val="24"/>
      <w:lang w:val="zh-CN"/>
    </w:rPr>
  </w:style>
  <w:style w:type="paragraph" w:styleId="21">
    <w:name w:val="toc 8"/>
    <w:basedOn w:val="1"/>
    <w:next w:val="1"/>
    <w:qFormat/>
    <w:uiPriority w:val="0"/>
    <w:pPr>
      <w:spacing w:after="120" w:line="360" w:lineRule="auto"/>
      <w:ind w:left="2940" w:firstLine="480"/>
    </w:pPr>
    <w:rPr>
      <w:rFonts w:ascii="宋体" w:hAnsi="宋体" w:cs="Arial"/>
      <w:bCs/>
      <w:color w:val="000000"/>
      <w:kern w:val="0"/>
      <w:szCs w:val="21"/>
      <w:lang w:val="zh-CN"/>
    </w:rPr>
  </w:style>
  <w:style w:type="paragraph" w:styleId="22">
    <w:name w:val="Date"/>
    <w:basedOn w:val="1"/>
    <w:next w:val="1"/>
    <w:link w:val="75"/>
    <w:qFormat/>
    <w:uiPriority w:val="0"/>
    <w:pPr>
      <w:ind w:left="100" w:leftChars="2500"/>
    </w:pPr>
    <w:rPr>
      <w:rFonts w:ascii="宋体" w:hAnsi="宋体"/>
      <w:kern w:val="0"/>
      <w:sz w:val="24"/>
      <w:szCs w:val="21"/>
      <w:lang w:val="zh-CN"/>
    </w:rPr>
  </w:style>
  <w:style w:type="paragraph" w:styleId="23">
    <w:name w:val="Body Text Indent 2"/>
    <w:basedOn w:val="1"/>
    <w:link w:val="76"/>
    <w:qFormat/>
    <w:uiPriority w:val="0"/>
    <w:pPr>
      <w:tabs>
        <w:tab w:val="left" w:pos="1110"/>
      </w:tabs>
      <w:spacing w:line="360" w:lineRule="auto"/>
      <w:ind w:firstLine="420" w:firstLineChars="200"/>
    </w:pPr>
    <w:rPr>
      <w:rFonts w:ascii="宋体" w:hAnsi="宋体"/>
      <w:color w:val="FF0000"/>
    </w:rPr>
  </w:style>
  <w:style w:type="paragraph" w:styleId="24">
    <w:name w:val="endnote text"/>
    <w:basedOn w:val="1"/>
    <w:link w:val="77"/>
    <w:qFormat/>
    <w:uiPriority w:val="0"/>
    <w:pPr>
      <w:snapToGrid w:val="0"/>
      <w:jc w:val="left"/>
    </w:pPr>
    <w:rPr>
      <w:szCs w:val="20"/>
      <w:lang w:val="zh-CN"/>
    </w:rPr>
  </w:style>
  <w:style w:type="paragraph" w:styleId="25">
    <w:name w:val="Balloon Text"/>
    <w:basedOn w:val="1"/>
    <w:link w:val="78"/>
    <w:semiHidden/>
    <w:qFormat/>
    <w:uiPriority w:val="0"/>
    <w:rPr>
      <w:sz w:val="18"/>
      <w:szCs w:val="18"/>
    </w:rPr>
  </w:style>
  <w:style w:type="paragraph" w:styleId="26">
    <w:name w:val="footer"/>
    <w:basedOn w:val="1"/>
    <w:link w:val="79"/>
    <w:qFormat/>
    <w:uiPriority w:val="99"/>
    <w:pPr>
      <w:tabs>
        <w:tab w:val="center" w:pos="4153"/>
        <w:tab w:val="right" w:pos="8306"/>
      </w:tabs>
      <w:snapToGrid w:val="0"/>
      <w:jc w:val="left"/>
    </w:pPr>
    <w:rPr>
      <w:sz w:val="18"/>
      <w:szCs w:val="18"/>
      <w:lang w:val="zh-CN"/>
    </w:rPr>
  </w:style>
  <w:style w:type="paragraph" w:styleId="27">
    <w:name w:val="header"/>
    <w:basedOn w:val="1"/>
    <w:link w:val="80"/>
    <w:qFormat/>
    <w:uiPriority w:val="99"/>
    <w:pPr>
      <w:pBdr>
        <w:bottom w:val="single" w:color="auto" w:sz="6" w:space="1"/>
      </w:pBdr>
      <w:tabs>
        <w:tab w:val="center" w:pos="4153"/>
        <w:tab w:val="right" w:pos="8306"/>
      </w:tabs>
      <w:snapToGrid w:val="0"/>
      <w:jc w:val="center"/>
    </w:pPr>
    <w:rPr>
      <w:sz w:val="18"/>
      <w:szCs w:val="18"/>
      <w:lang w:val="zh-CN"/>
    </w:rPr>
  </w:style>
  <w:style w:type="paragraph" w:styleId="28">
    <w:name w:val="toc 1"/>
    <w:basedOn w:val="1"/>
    <w:next w:val="1"/>
    <w:qFormat/>
    <w:uiPriority w:val="39"/>
    <w:pPr>
      <w:tabs>
        <w:tab w:val="right" w:leader="dot" w:pos="8295"/>
      </w:tabs>
      <w:snapToGrid w:val="0"/>
      <w:spacing w:line="360" w:lineRule="auto"/>
    </w:pPr>
    <w:rPr>
      <w:rFonts w:ascii="宋体" w:hAnsi="宋体"/>
      <w:caps/>
      <w:sz w:val="24"/>
    </w:rPr>
  </w:style>
  <w:style w:type="paragraph" w:styleId="29">
    <w:name w:val="toc 4"/>
    <w:basedOn w:val="1"/>
    <w:next w:val="1"/>
    <w:qFormat/>
    <w:uiPriority w:val="0"/>
    <w:pPr>
      <w:spacing w:after="120" w:line="360" w:lineRule="auto"/>
      <w:ind w:left="1260" w:firstLine="480"/>
    </w:pPr>
    <w:rPr>
      <w:rFonts w:ascii="宋体" w:hAnsi="宋体" w:cs="Arial"/>
      <w:bCs/>
      <w:color w:val="000000"/>
      <w:kern w:val="0"/>
      <w:szCs w:val="21"/>
      <w:lang w:val="zh-CN"/>
    </w:rPr>
  </w:style>
  <w:style w:type="paragraph" w:styleId="30">
    <w:name w:val="footnote text"/>
    <w:basedOn w:val="1"/>
    <w:link w:val="81"/>
    <w:qFormat/>
    <w:uiPriority w:val="0"/>
    <w:pPr>
      <w:snapToGrid w:val="0"/>
      <w:jc w:val="left"/>
    </w:pPr>
    <w:rPr>
      <w:sz w:val="18"/>
      <w:szCs w:val="18"/>
      <w:lang w:val="zh-CN"/>
    </w:rPr>
  </w:style>
  <w:style w:type="paragraph" w:styleId="31">
    <w:name w:val="toc 6"/>
    <w:basedOn w:val="1"/>
    <w:next w:val="1"/>
    <w:qFormat/>
    <w:uiPriority w:val="0"/>
    <w:pPr>
      <w:spacing w:after="120" w:line="360" w:lineRule="auto"/>
      <w:ind w:left="2100" w:firstLine="480"/>
    </w:pPr>
    <w:rPr>
      <w:rFonts w:ascii="宋体" w:hAnsi="宋体" w:cs="Arial"/>
      <w:bCs/>
      <w:color w:val="000000"/>
      <w:kern w:val="0"/>
      <w:szCs w:val="21"/>
      <w:lang w:val="zh-CN"/>
    </w:rPr>
  </w:style>
  <w:style w:type="paragraph" w:styleId="32">
    <w:name w:val="Body Text Indent 3"/>
    <w:basedOn w:val="1"/>
    <w:link w:val="82"/>
    <w:qFormat/>
    <w:uiPriority w:val="0"/>
    <w:pPr>
      <w:spacing w:line="360" w:lineRule="auto"/>
      <w:ind w:firstLine="425"/>
    </w:pPr>
    <w:rPr>
      <w:rFonts w:ascii="宋体"/>
    </w:rPr>
  </w:style>
  <w:style w:type="paragraph" w:styleId="33">
    <w:name w:val="toc 2"/>
    <w:basedOn w:val="1"/>
    <w:next w:val="1"/>
    <w:qFormat/>
    <w:uiPriority w:val="39"/>
    <w:pPr>
      <w:spacing w:after="120" w:line="360" w:lineRule="auto"/>
      <w:ind w:left="420" w:firstLine="480"/>
    </w:pPr>
    <w:rPr>
      <w:rFonts w:ascii="宋体" w:hAnsi="宋体" w:cs="Arial"/>
      <w:bCs/>
      <w:color w:val="000000"/>
      <w:kern w:val="0"/>
      <w:szCs w:val="21"/>
      <w:lang w:val="zh-CN"/>
    </w:rPr>
  </w:style>
  <w:style w:type="paragraph" w:styleId="34">
    <w:name w:val="toc 9"/>
    <w:basedOn w:val="1"/>
    <w:next w:val="1"/>
    <w:qFormat/>
    <w:uiPriority w:val="0"/>
    <w:pPr>
      <w:spacing w:after="120" w:line="360" w:lineRule="auto"/>
      <w:ind w:left="3360" w:firstLine="480"/>
    </w:pPr>
    <w:rPr>
      <w:rFonts w:ascii="宋体" w:hAnsi="宋体" w:cs="Arial"/>
      <w:bCs/>
      <w:color w:val="000000"/>
      <w:kern w:val="0"/>
      <w:szCs w:val="21"/>
      <w:lang w:val="zh-CN"/>
    </w:rPr>
  </w:style>
  <w:style w:type="paragraph" w:styleId="35">
    <w:name w:val="Body Text 2"/>
    <w:basedOn w:val="1"/>
    <w:link w:val="83"/>
    <w:qFormat/>
    <w:uiPriority w:val="0"/>
    <w:pPr>
      <w:numPr>
        <w:ilvl w:val="0"/>
        <w:numId w:val="3"/>
      </w:numPr>
      <w:tabs>
        <w:tab w:val="clear" w:pos="757"/>
      </w:tabs>
      <w:ind w:firstLine="0"/>
    </w:pPr>
    <w:rPr>
      <w:sz w:val="28"/>
      <w:szCs w:val="20"/>
    </w:rPr>
  </w:style>
  <w:style w:type="paragraph" w:styleId="36">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link w:val="85"/>
    <w:qFormat/>
    <w:uiPriority w:val="0"/>
    <w:pPr>
      <w:autoSpaceDE w:val="0"/>
      <w:autoSpaceDN w:val="0"/>
      <w:adjustRightInd w:val="0"/>
      <w:spacing w:before="240" w:after="60"/>
      <w:jc w:val="center"/>
      <w:textAlignment w:val="baseline"/>
      <w:outlineLvl w:val="0"/>
    </w:pPr>
    <w:rPr>
      <w:rFonts w:ascii="Arial" w:hAnsi="Arial"/>
      <w:b/>
      <w:bCs/>
      <w:kern w:val="0"/>
      <w:sz w:val="32"/>
      <w:szCs w:val="32"/>
      <w:lang w:val="zh-CN"/>
    </w:rPr>
  </w:style>
  <w:style w:type="paragraph" w:styleId="39">
    <w:name w:val="annotation subject"/>
    <w:basedOn w:val="15"/>
    <w:next w:val="15"/>
    <w:link w:val="86"/>
    <w:qFormat/>
    <w:uiPriority w:val="0"/>
    <w:rPr>
      <w:b/>
      <w:bCs/>
    </w:rPr>
  </w:style>
  <w:style w:type="paragraph" w:styleId="40">
    <w:name w:val="Body Text First Indent"/>
    <w:basedOn w:val="16"/>
    <w:link w:val="87"/>
    <w:qFormat/>
    <w:uiPriority w:val="0"/>
    <w:pPr>
      <w:spacing w:after="120"/>
      <w:ind w:firstLine="420" w:firstLineChars="100"/>
    </w:pPr>
    <w:rPr>
      <w:rFonts w:ascii="Times New Roman" w:hAnsi="Times New Roman"/>
      <w:kern w:val="2"/>
      <w:sz w:val="21"/>
      <w:szCs w:val="24"/>
    </w:rPr>
  </w:style>
  <w:style w:type="table" w:styleId="42">
    <w:name w:val="Table Grid"/>
    <w:basedOn w:val="41"/>
    <w:qFormat/>
    <w:uiPriority w:val="59"/>
    <w:pPr>
      <w:numPr>
        <w:ilvl w:val="3"/>
        <w:numId w:val="4"/>
      </w:numP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3">
    <w:name w:val="Table Theme"/>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Colorful 1"/>
    <w:basedOn w:val="41"/>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45">
    <w:name w:val="Table Subtle 1"/>
    <w:basedOn w:val="41"/>
    <w:unhideWhenUsed/>
    <w:qFormat/>
    <w:uiPriority w:val="99"/>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6">
    <w:name w:val="Light List Accent 5"/>
    <w:basedOn w:val="41"/>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47">
    <w:name w:val="Colorful List Accent 2"/>
    <w:basedOn w:val="45"/>
    <w:qFormat/>
    <w:uiPriority w:val="72"/>
    <w:rPr>
      <w:rFonts w:eastAsia="微软雅黑"/>
      <w:color w:val="000000"/>
      <w:sz w:val="16"/>
    </w:rPr>
    <w:tblPr>
      <w:tblStyleRowBandSize w:val="1"/>
      <w:tblStyleColBandSize w:val="1"/>
    </w:tblPr>
    <w:tcPr>
      <w:shd w:val="clear" w:color="auto" w:fill="F8EDED"/>
    </w:tcPr>
    <w:tblStylePr w:type="firstRow">
      <w:rPr>
        <w:rFonts w:eastAsia="Symbol"/>
        <w:b/>
        <w:bCs/>
        <w:color w:val="FFFFFF"/>
      </w:rPr>
      <w:tblPr/>
      <w:tcPr>
        <w:tcBorders>
          <w:top w:val="nil"/>
          <w:left w:val="nil"/>
          <w:bottom w:val="nil"/>
          <w:right w:val="nil"/>
          <w:insideH w:val="nil"/>
          <w:insideV w:val="nil"/>
          <w:tl2br w:val="nil"/>
          <w:tr2bl w:val="nil"/>
        </w:tcBorders>
        <w:shd w:val="clear" w:color="auto" w:fill="C00000"/>
      </w:tcPr>
    </w:tblStylePr>
    <w:tblStylePr w:type="lastRow">
      <w:rPr>
        <w:b/>
        <w:bCs/>
        <w:color w:val="auto"/>
      </w:rPr>
      <w:tblPr/>
      <w:tcPr>
        <w:tcBorders>
          <w:top w:val="nil"/>
          <w:left w:val="nil"/>
          <w:bottom w:val="nil"/>
          <w:right w:val="nil"/>
          <w:insideH w:val="nil"/>
          <w:insideV w:val="nil"/>
          <w:tl2br w:val="nil"/>
          <w:tr2bl w:val="nil"/>
        </w:tcBorders>
        <w:shd w:val="clear" w:color="auto" w:fill="D8D8D8"/>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shd w:val="clear" w:color="auto" w:fill="D8D8D8"/>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single" w:color="F1F1F1" w:sz="4" w:space="0"/>
          <w:left w:val="single" w:color="F1F1F1" w:sz="4" w:space="0"/>
          <w:bottom w:val="nil"/>
          <w:right w:val="nil"/>
          <w:insideH w:val="nil"/>
          <w:insideV w:val="nil"/>
          <w:tl2br w:val="nil"/>
          <w:tr2bl w:val="nil"/>
        </w:tcBorders>
        <w:shd w:val="clear" w:color="auto" w:fill="FFFFFF"/>
      </w:tcPr>
    </w:tblStylePr>
    <w:tblStylePr w:type="band2Horz">
      <w:tcPr>
        <w:tcBorders>
          <w:top w:val="nil"/>
          <w:left w:val="nil"/>
          <w:bottom w:val="nil"/>
          <w:right w:val="nil"/>
          <w:insideH w:val="nil"/>
          <w:insideV w:val="nil"/>
          <w:tl2br w:val="nil"/>
          <w:tr2bl w:val="nil"/>
        </w:tcBorders>
        <w:shd w:val="clear" w:color="auto" w:fill="F1F1F1"/>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character" w:styleId="49">
    <w:name w:val="Strong"/>
    <w:basedOn w:val="48"/>
    <w:qFormat/>
    <w:uiPriority w:val="22"/>
    <w:rPr>
      <w:b/>
      <w:bCs/>
    </w:rPr>
  </w:style>
  <w:style w:type="character" w:styleId="50">
    <w:name w:val="endnote reference"/>
    <w:qFormat/>
    <w:uiPriority w:val="0"/>
    <w:rPr>
      <w:vertAlign w:val="superscript"/>
    </w:rPr>
  </w:style>
  <w:style w:type="character" w:styleId="51">
    <w:name w:val="page number"/>
    <w:qFormat/>
    <w:uiPriority w:val="0"/>
  </w:style>
  <w:style w:type="character" w:styleId="52">
    <w:name w:val="FollowedHyperlink"/>
    <w:unhideWhenUsed/>
    <w:qFormat/>
    <w:uiPriority w:val="99"/>
    <w:rPr>
      <w:color w:val="333333"/>
      <w:u w:val="none"/>
    </w:rPr>
  </w:style>
  <w:style w:type="character" w:styleId="53">
    <w:name w:val="Emphasis"/>
    <w:qFormat/>
    <w:uiPriority w:val="20"/>
    <w:rPr>
      <w:color w:val="D70C19"/>
    </w:rPr>
  </w:style>
  <w:style w:type="character" w:styleId="54">
    <w:name w:val="HTML Definition"/>
    <w:unhideWhenUsed/>
    <w:qFormat/>
    <w:uiPriority w:val="99"/>
    <w:rPr>
      <w:i/>
      <w:iCs/>
    </w:rPr>
  </w:style>
  <w:style w:type="character" w:styleId="55">
    <w:name w:val="Hyperlink"/>
    <w:qFormat/>
    <w:uiPriority w:val="99"/>
    <w:rPr>
      <w:color w:val="333333"/>
      <w:u w:val="none"/>
    </w:rPr>
  </w:style>
  <w:style w:type="character" w:styleId="56">
    <w:name w:val="HTML Code"/>
    <w:unhideWhenUsed/>
    <w:qFormat/>
    <w:uiPriority w:val="99"/>
    <w:rPr>
      <w:rFonts w:hint="default" w:ascii="monospace" w:hAnsi="monospace" w:eastAsia="monospace" w:cs="monospace"/>
      <w:sz w:val="21"/>
      <w:szCs w:val="21"/>
    </w:rPr>
  </w:style>
  <w:style w:type="character" w:styleId="57">
    <w:name w:val="annotation reference"/>
    <w:basedOn w:val="48"/>
    <w:qFormat/>
    <w:uiPriority w:val="0"/>
    <w:rPr>
      <w:sz w:val="21"/>
      <w:szCs w:val="21"/>
    </w:rPr>
  </w:style>
  <w:style w:type="character" w:styleId="58">
    <w:name w:val="footnote reference"/>
    <w:qFormat/>
    <w:uiPriority w:val="0"/>
    <w:rPr>
      <w:vertAlign w:val="superscript"/>
    </w:rPr>
  </w:style>
  <w:style w:type="character" w:styleId="59">
    <w:name w:val="HTML Keyboard"/>
    <w:unhideWhenUsed/>
    <w:qFormat/>
    <w:uiPriority w:val="99"/>
    <w:rPr>
      <w:rFonts w:ascii="monospace" w:hAnsi="monospace" w:eastAsia="monospace" w:cs="monospace"/>
      <w:sz w:val="21"/>
      <w:szCs w:val="21"/>
    </w:rPr>
  </w:style>
  <w:style w:type="character" w:styleId="60">
    <w:name w:val="HTML Sample"/>
    <w:unhideWhenUsed/>
    <w:qFormat/>
    <w:uiPriority w:val="99"/>
    <w:rPr>
      <w:rFonts w:hint="default" w:ascii="monospace" w:hAnsi="monospace" w:eastAsia="monospace" w:cs="monospace"/>
      <w:sz w:val="21"/>
      <w:szCs w:val="21"/>
    </w:rPr>
  </w:style>
  <w:style w:type="character" w:customStyle="1" w:styleId="61">
    <w:name w:val="标题 1 字符"/>
    <w:link w:val="2"/>
    <w:qFormat/>
    <w:uiPriority w:val="0"/>
    <w:rPr>
      <w:rFonts w:ascii="宋体" w:hAnsi="Times New Roman" w:eastAsia="黑体" w:cs="Times New Roman"/>
      <w:kern w:val="0"/>
      <w:sz w:val="24"/>
      <w:szCs w:val="20"/>
    </w:rPr>
  </w:style>
  <w:style w:type="character" w:customStyle="1" w:styleId="62">
    <w:name w:val="标题 2 字符"/>
    <w:link w:val="3"/>
    <w:qFormat/>
    <w:uiPriority w:val="9"/>
    <w:rPr>
      <w:rFonts w:ascii="Arial" w:hAnsi="Arial" w:eastAsia="黑体" w:cs="Times New Roman"/>
      <w:b/>
      <w:kern w:val="0"/>
      <w:sz w:val="32"/>
      <w:szCs w:val="20"/>
      <w:lang w:val="zh-CN" w:eastAsia="zh-CN"/>
    </w:rPr>
  </w:style>
  <w:style w:type="character" w:customStyle="1" w:styleId="63">
    <w:name w:val="标题 3 字符"/>
    <w:link w:val="4"/>
    <w:qFormat/>
    <w:uiPriority w:val="0"/>
    <w:rPr>
      <w:rFonts w:ascii="Times New Roman" w:hAnsi="Times New Roman" w:eastAsia="宋体" w:cs="Times New Roman"/>
      <w:b/>
      <w:bCs/>
      <w:szCs w:val="32"/>
    </w:rPr>
  </w:style>
  <w:style w:type="character" w:customStyle="1" w:styleId="64">
    <w:name w:val="标题 4 字符"/>
    <w:link w:val="5"/>
    <w:qFormat/>
    <w:uiPriority w:val="0"/>
    <w:rPr>
      <w:rFonts w:ascii="Arial" w:hAnsi="Arial" w:eastAsia="黑体" w:cs="Times New Roman"/>
      <w:b/>
      <w:kern w:val="0"/>
      <w:sz w:val="28"/>
      <w:szCs w:val="20"/>
    </w:rPr>
  </w:style>
  <w:style w:type="character" w:customStyle="1" w:styleId="65">
    <w:name w:val="标题 5 字符"/>
    <w:link w:val="6"/>
    <w:qFormat/>
    <w:uiPriority w:val="0"/>
    <w:rPr>
      <w:rFonts w:ascii="宋体" w:hAnsi="Times New Roman" w:eastAsia="宋体" w:cs="Times New Roman"/>
      <w:b/>
      <w:kern w:val="0"/>
      <w:sz w:val="28"/>
      <w:szCs w:val="20"/>
    </w:rPr>
  </w:style>
  <w:style w:type="character" w:customStyle="1" w:styleId="66">
    <w:name w:val="标题 6 字符"/>
    <w:link w:val="7"/>
    <w:qFormat/>
    <w:uiPriority w:val="0"/>
    <w:rPr>
      <w:rFonts w:ascii="Arial" w:hAnsi="Arial" w:eastAsia="黑体" w:cs="Times New Roman"/>
      <w:b/>
      <w:kern w:val="0"/>
      <w:sz w:val="24"/>
      <w:szCs w:val="20"/>
    </w:rPr>
  </w:style>
  <w:style w:type="character" w:customStyle="1" w:styleId="67">
    <w:name w:val="标题 7 字符"/>
    <w:link w:val="8"/>
    <w:qFormat/>
    <w:uiPriority w:val="0"/>
    <w:rPr>
      <w:rFonts w:ascii="宋体" w:hAnsi="Times New Roman" w:eastAsia="宋体" w:cs="Times New Roman"/>
      <w:b/>
      <w:kern w:val="0"/>
      <w:sz w:val="24"/>
      <w:szCs w:val="20"/>
    </w:rPr>
  </w:style>
  <w:style w:type="character" w:customStyle="1" w:styleId="68">
    <w:name w:val="标题 8 字符"/>
    <w:link w:val="9"/>
    <w:qFormat/>
    <w:uiPriority w:val="0"/>
    <w:rPr>
      <w:rFonts w:ascii="Arial" w:hAnsi="Arial" w:eastAsia="黑体" w:cs="Times New Roman"/>
      <w:kern w:val="0"/>
      <w:sz w:val="24"/>
      <w:szCs w:val="20"/>
    </w:rPr>
  </w:style>
  <w:style w:type="character" w:customStyle="1" w:styleId="69">
    <w:name w:val="标题 9 字符"/>
    <w:link w:val="10"/>
    <w:qFormat/>
    <w:uiPriority w:val="0"/>
    <w:rPr>
      <w:rFonts w:ascii="Arial" w:hAnsi="Arial" w:eastAsia="黑体" w:cs="Times New Roman"/>
      <w:kern w:val="0"/>
      <w:szCs w:val="20"/>
    </w:rPr>
  </w:style>
  <w:style w:type="character" w:customStyle="1" w:styleId="70">
    <w:name w:val="文档结构图 字符"/>
    <w:link w:val="14"/>
    <w:qFormat/>
    <w:uiPriority w:val="0"/>
    <w:rPr>
      <w:rFonts w:ascii="宋体" w:hAnsi="宋体" w:eastAsia="宋体" w:cs="Times New Roman"/>
      <w:bCs/>
      <w:color w:val="000000"/>
      <w:kern w:val="0"/>
      <w:szCs w:val="21"/>
      <w:shd w:val="clear" w:color="auto" w:fill="000080"/>
      <w:lang w:val="zh-CN" w:eastAsia="zh-CN"/>
    </w:rPr>
  </w:style>
  <w:style w:type="character" w:customStyle="1" w:styleId="71">
    <w:name w:val="批注文字 字符"/>
    <w:link w:val="15"/>
    <w:qFormat/>
    <w:uiPriority w:val="0"/>
    <w:rPr>
      <w:rFonts w:ascii="Times New Roman" w:hAnsi="Times New Roman" w:eastAsia="宋体" w:cs="Times New Roman"/>
      <w:szCs w:val="24"/>
      <w:lang w:val="zh-CN" w:eastAsia="zh-CN"/>
    </w:rPr>
  </w:style>
  <w:style w:type="character" w:customStyle="1" w:styleId="72">
    <w:name w:val="正文文本 字符"/>
    <w:link w:val="16"/>
    <w:qFormat/>
    <w:uiPriority w:val="99"/>
    <w:rPr>
      <w:rFonts w:ascii="宋体" w:hAnsi="宋体" w:eastAsia="宋体" w:cs="Times New Roman"/>
      <w:kern w:val="0"/>
      <w:sz w:val="24"/>
      <w:szCs w:val="21"/>
      <w:lang w:val="zh-CN" w:eastAsia="zh-CN"/>
    </w:rPr>
  </w:style>
  <w:style w:type="character" w:customStyle="1" w:styleId="73">
    <w:name w:val="正文文本缩进 字符"/>
    <w:link w:val="17"/>
    <w:qFormat/>
    <w:uiPriority w:val="0"/>
    <w:rPr>
      <w:rFonts w:ascii="Times New Roman" w:hAnsi="Times New Roman" w:eastAsia="宋体" w:cs="Times New Roman"/>
      <w:sz w:val="24"/>
      <w:szCs w:val="20"/>
    </w:rPr>
  </w:style>
  <w:style w:type="character" w:customStyle="1" w:styleId="74">
    <w:name w:val="纯文本 字符"/>
    <w:link w:val="20"/>
    <w:qFormat/>
    <w:uiPriority w:val="0"/>
    <w:rPr>
      <w:rFonts w:ascii="Arial Unicode MS" w:hAnsi="Arial Unicode MS" w:eastAsia="Arial Unicode MS" w:cs="Times New Roman"/>
      <w:kern w:val="0"/>
      <w:sz w:val="24"/>
      <w:szCs w:val="24"/>
      <w:lang w:val="zh-CN" w:eastAsia="zh-CN"/>
    </w:rPr>
  </w:style>
  <w:style w:type="character" w:customStyle="1" w:styleId="75">
    <w:name w:val="日期 字符"/>
    <w:link w:val="22"/>
    <w:qFormat/>
    <w:uiPriority w:val="0"/>
    <w:rPr>
      <w:rFonts w:ascii="宋体" w:hAnsi="宋体" w:eastAsia="宋体" w:cs="Times New Roman"/>
      <w:kern w:val="0"/>
      <w:sz w:val="24"/>
      <w:szCs w:val="21"/>
      <w:lang w:val="zh-CN" w:eastAsia="zh-CN"/>
    </w:rPr>
  </w:style>
  <w:style w:type="character" w:customStyle="1" w:styleId="76">
    <w:name w:val="正文文本缩进 2 字符"/>
    <w:link w:val="23"/>
    <w:qFormat/>
    <w:uiPriority w:val="0"/>
    <w:rPr>
      <w:rFonts w:ascii="宋体" w:hAnsi="宋体" w:eastAsia="宋体" w:cs="Times New Roman"/>
      <w:color w:val="FF0000"/>
      <w:szCs w:val="24"/>
    </w:rPr>
  </w:style>
  <w:style w:type="character" w:customStyle="1" w:styleId="77">
    <w:name w:val="尾注文本 字符"/>
    <w:link w:val="24"/>
    <w:qFormat/>
    <w:uiPriority w:val="0"/>
    <w:rPr>
      <w:rFonts w:ascii="Times New Roman" w:hAnsi="Times New Roman" w:eastAsia="宋体" w:cs="Times New Roman"/>
      <w:szCs w:val="20"/>
      <w:lang w:val="zh-CN" w:eastAsia="zh-CN"/>
    </w:rPr>
  </w:style>
  <w:style w:type="character" w:customStyle="1" w:styleId="78">
    <w:name w:val="批注框文本 字符"/>
    <w:link w:val="25"/>
    <w:semiHidden/>
    <w:qFormat/>
    <w:uiPriority w:val="0"/>
    <w:rPr>
      <w:rFonts w:ascii="Times New Roman" w:hAnsi="Times New Roman" w:eastAsia="宋体" w:cs="Times New Roman"/>
      <w:sz w:val="18"/>
      <w:szCs w:val="18"/>
    </w:rPr>
  </w:style>
  <w:style w:type="character" w:customStyle="1" w:styleId="79">
    <w:name w:val="页脚 字符"/>
    <w:link w:val="26"/>
    <w:qFormat/>
    <w:uiPriority w:val="99"/>
    <w:rPr>
      <w:rFonts w:ascii="Times New Roman" w:hAnsi="Times New Roman" w:eastAsia="宋体" w:cs="Times New Roman"/>
      <w:sz w:val="18"/>
      <w:szCs w:val="18"/>
      <w:lang w:val="zh-CN" w:eastAsia="zh-CN"/>
    </w:rPr>
  </w:style>
  <w:style w:type="character" w:customStyle="1" w:styleId="80">
    <w:name w:val="页眉 字符"/>
    <w:link w:val="27"/>
    <w:qFormat/>
    <w:uiPriority w:val="99"/>
    <w:rPr>
      <w:rFonts w:ascii="Times New Roman" w:hAnsi="Times New Roman" w:eastAsia="宋体" w:cs="Times New Roman"/>
      <w:sz w:val="18"/>
      <w:szCs w:val="18"/>
      <w:lang w:val="zh-CN" w:eastAsia="zh-CN"/>
    </w:rPr>
  </w:style>
  <w:style w:type="character" w:customStyle="1" w:styleId="81">
    <w:name w:val="脚注文本 字符"/>
    <w:link w:val="30"/>
    <w:qFormat/>
    <w:uiPriority w:val="0"/>
    <w:rPr>
      <w:rFonts w:ascii="Times New Roman" w:hAnsi="Times New Roman" w:eastAsia="宋体" w:cs="Times New Roman"/>
      <w:sz w:val="18"/>
      <w:szCs w:val="18"/>
      <w:lang w:val="zh-CN" w:eastAsia="zh-CN"/>
    </w:rPr>
  </w:style>
  <w:style w:type="character" w:customStyle="1" w:styleId="82">
    <w:name w:val="正文文本缩进 3 字符"/>
    <w:link w:val="32"/>
    <w:qFormat/>
    <w:uiPriority w:val="0"/>
    <w:rPr>
      <w:rFonts w:ascii="宋体" w:hAnsi="Times New Roman" w:eastAsia="宋体" w:cs="Times New Roman"/>
      <w:szCs w:val="24"/>
    </w:rPr>
  </w:style>
  <w:style w:type="character" w:customStyle="1" w:styleId="83">
    <w:name w:val="正文文本 2 字符"/>
    <w:link w:val="35"/>
    <w:qFormat/>
    <w:uiPriority w:val="0"/>
    <w:rPr>
      <w:rFonts w:ascii="Times New Roman" w:hAnsi="Times New Roman" w:eastAsia="宋体" w:cs="Times New Roman"/>
      <w:sz w:val="28"/>
      <w:szCs w:val="20"/>
    </w:rPr>
  </w:style>
  <w:style w:type="character" w:customStyle="1" w:styleId="84">
    <w:name w:val="HTML 预设格式 字符"/>
    <w:link w:val="36"/>
    <w:qFormat/>
    <w:uiPriority w:val="99"/>
    <w:rPr>
      <w:rFonts w:ascii="宋体" w:hAnsi="宋体" w:cs="宋体"/>
      <w:sz w:val="24"/>
      <w:szCs w:val="24"/>
    </w:rPr>
  </w:style>
  <w:style w:type="character" w:customStyle="1" w:styleId="85">
    <w:name w:val="标题 字符"/>
    <w:link w:val="38"/>
    <w:qFormat/>
    <w:uiPriority w:val="0"/>
    <w:rPr>
      <w:rFonts w:ascii="Arial" w:hAnsi="Arial" w:eastAsia="宋体" w:cs="Times New Roman"/>
      <w:b/>
      <w:bCs/>
      <w:kern w:val="0"/>
      <w:sz w:val="32"/>
      <w:szCs w:val="32"/>
      <w:lang w:val="zh-CN" w:eastAsia="zh-CN"/>
    </w:rPr>
  </w:style>
  <w:style w:type="character" w:customStyle="1" w:styleId="86">
    <w:name w:val="批注主题 字符"/>
    <w:link w:val="39"/>
    <w:qFormat/>
    <w:uiPriority w:val="0"/>
    <w:rPr>
      <w:rFonts w:ascii="Times New Roman" w:hAnsi="Times New Roman" w:eastAsia="宋体" w:cs="Times New Roman"/>
      <w:b/>
      <w:bCs/>
      <w:szCs w:val="24"/>
      <w:lang w:val="zh-CN" w:eastAsia="zh-CN"/>
    </w:rPr>
  </w:style>
  <w:style w:type="character" w:customStyle="1" w:styleId="87">
    <w:name w:val="正文文本首行缩进 字符"/>
    <w:link w:val="40"/>
    <w:qFormat/>
    <w:uiPriority w:val="0"/>
    <w:rPr>
      <w:rFonts w:ascii="Times New Roman" w:hAnsi="Times New Roman" w:eastAsia="宋体" w:cs="Times New Roman"/>
      <w:kern w:val="0"/>
      <w:sz w:val="24"/>
      <w:szCs w:val="24"/>
      <w:lang w:val="zh-CN" w:eastAsia="zh-CN"/>
    </w:rPr>
  </w:style>
  <w:style w:type="paragraph" w:customStyle="1" w:styleId="88">
    <w:name w:val="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9">
    <w:name w:val="tt11"/>
    <w:qFormat/>
    <w:uiPriority w:val="0"/>
    <w:rPr>
      <w:spacing w:val="400"/>
      <w:sz w:val="22"/>
      <w:szCs w:val="22"/>
    </w:rPr>
  </w:style>
  <w:style w:type="paragraph" w:customStyle="1" w:styleId="90">
    <w:name w:val="_Style 3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91">
    <w:name w:val="c"/>
    <w:qFormat/>
    <w:uiPriority w:val="0"/>
  </w:style>
  <w:style w:type="character" w:customStyle="1" w:styleId="92">
    <w:name w:val="read"/>
    <w:qFormat/>
    <w:uiPriority w:val="0"/>
  </w:style>
  <w:style w:type="character" w:customStyle="1" w:styleId="93">
    <w:name w:val="read1"/>
    <w:qFormat/>
    <w:uiPriority w:val="0"/>
    <w:rPr>
      <w:rFonts w:hint="default"/>
      <w:color w:val="000000"/>
      <w:spacing w:val="450"/>
      <w:u w:val="none"/>
    </w:rPr>
  </w:style>
  <w:style w:type="paragraph" w:customStyle="1" w:styleId="94">
    <w:name w:val="列表2"/>
    <w:basedOn w:val="1"/>
    <w:next w:val="38"/>
    <w:qFormat/>
    <w:uiPriority w:val="0"/>
    <w:pPr>
      <w:tabs>
        <w:tab w:val="left" w:pos="907"/>
      </w:tabs>
      <w:spacing w:line="360" w:lineRule="auto"/>
      <w:ind w:left="907" w:hanging="482"/>
    </w:pPr>
    <w:rPr>
      <w:rFonts w:ascii="宋体"/>
      <w:szCs w:val="20"/>
    </w:rPr>
  </w:style>
  <w:style w:type="paragraph" w:customStyle="1" w:styleId="95">
    <w:name w:val="列表1"/>
    <w:basedOn w:val="1"/>
    <w:next w:val="1"/>
    <w:qFormat/>
    <w:uiPriority w:val="0"/>
    <w:pPr>
      <w:tabs>
        <w:tab w:val="left" w:pos="757"/>
      </w:tabs>
      <w:spacing w:line="360" w:lineRule="auto"/>
      <w:ind w:firstLine="397"/>
    </w:pPr>
    <w:rPr>
      <w:szCs w:val="20"/>
    </w:rPr>
  </w:style>
  <w:style w:type="paragraph" w:customStyle="1" w:styleId="9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97">
    <w:name w:val="font21"/>
    <w:qFormat/>
    <w:uiPriority w:val="0"/>
    <w:rPr>
      <w:color w:val="CC6600"/>
      <w:sz w:val="20"/>
      <w:szCs w:val="20"/>
    </w:rPr>
  </w:style>
  <w:style w:type="character" w:customStyle="1" w:styleId="98">
    <w:name w:val="big1"/>
    <w:qFormat/>
    <w:uiPriority w:val="0"/>
    <w:rPr>
      <w:spacing w:val="360"/>
      <w:sz w:val="25"/>
      <w:szCs w:val="25"/>
    </w:rPr>
  </w:style>
  <w:style w:type="paragraph" w:customStyle="1" w:styleId="99">
    <w:name w:val="content"/>
    <w:basedOn w:val="1"/>
    <w:qFormat/>
    <w:uiPriority w:val="0"/>
    <w:pPr>
      <w:widowControl/>
      <w:spacing w:before="100" w:beforeAutospacing="1" w:after="100" w:afterAutospacing="1" w:line="270" w:lineRule="atLeast"/>
      <w:jc w:val="left"/>
    </w:pPr>
    <w:rPr>
      <w:rFonts w:ascii="Arial Unicode MS" w:hAnsi="Arial Unicode MS" w:eastAsia="Arial Unicode MS" w:cs="Arial Unicode MS"/>
      <w:kern w:val="0"/>
      <w:sz w:val="18"/>
      <w:szCs w:val="18"/>
    </w:rPr>
  </w:style>
  <w:style w:type="paragraph" w:customStyle="1" w:styleId="100">
    <w:name w:val="标题4"/>
    <w:basedOn w:val="17"/>
    <w:qFormat/>
    <w:uiPriority w:val="0"/>
    <w:pPr>
      <w:spacing w:line="360" w:lineRule="auto"/>
      <w:ind w:firstLine="0"/>
    </w:pPr>
    <w:rPr>
      <w:szCs w:val="24"/>
    </w:rPr>
  </w:style>
  <w:style w:type="paragraph" w:customStyle="1" w:styleId="101">
    <w:name w:val="样式 标题 2 + 首行缩进:  2 字符 段前: 1 行 段后: 1 行"/>
    <w:basedOn w:val="3"/>
    <w:qFormat/>
    <w:uiPriority w:val="0"/>
    <w:pPr>
      <w:tabs>
        <w:tab w:val="left" w:pos="1276"/>
      </w:tabs>
      <w:autoSpaceDE/>
      <w:autoSpaceDN/>
      <w:adjustRightInd/>
      <w:spacing w:before="100" w:after="100" w:line="240" w:lineRule="auto"/>
      <w:ind w:left="851"/>
      <w:jc w:val="both"/>
      <w:textAlignment w:val="auto"/>
    </w:pPr>
    <w:rPr>
      <w:rFonts w:eastAsia="宋体"/>
      <w:kern w:val="2"/>
      <w:sz w:val="28"/>
    </w:rPr>
  </w:style>
  <w:style w:type="paragraph" w:customStyle="1" w:styleId="102">
    <w:name w:val="1"/>
    <w:basedOn w:val="1"/>
    <w:qFormat/>
    <w:uiPriority w:val="0"/>
    <w:pPr>
      <w:spacing w:before="100" w:beforeAutospacing="1" w:after="100" w:afterAutospacing="1" w:line="360" w:lineRule="auto"/>
      <w:ind w:left="420" w:leftChars="200"/>
    </w:pPr>
  </w:style>
  <w:style w:type="paragraph" w:customStyle="1" w:styleId="103">
    <w:name w:val="样式 宋体 四号 行距: 1.5 倍行距"/>
    <w:basedOn w:val="1"/>
    <w:qFormat/>
    <w:uiPriority w:val="0"/>
    <w:pPr>
      <w:spacing w:line="360" w:lineRule="auto"/>
    </w:pPr>
    <w:rPr>
      <w:rFonts w:ascii="宋体" w:hAnsi="宋体"/>
      <w:sz w:val="24"/>
      <w:szCs w:val="20"/>
    </w:rPr>
  </w:style>
  <w:style w:type="paragraph" w:customStyle="1" w:styleId="104">
    <w:name w:val="正文所"/>
    <w:basedOn w:val="1"/>
    <w:qFormat/>
    <w:uiPriority w:val="0"/>
    <w:pPr>
      <w:spacing w:line="360" w:lineRule="auto"/>
      <w:ind w:firstLine="420" w:firstLineChars="200"/>
    </w:pPr>
    <w:rPr>
      <w:rFonts w:ascii="宋体"/>
      <w:szCs w:val="20"/>
    </w:rPr>
  </w:style>
  <w:style w:type="paragraph" w:customStyle="1" w:styleId="105">
    <w:name w:val="正文正文"/>
    <w:basedOn w:val="1"/>
    <w:qFormat/>
    <w:uiPriority w:val="0"/>
    <w:pPr>
      <w:spacing w:afterLines="25" w:line="360" w:lineRule="auto"/>
      <w:ind w:firstLine="200" w:firstLineChars="200"/>
    </w:pPr>
    <w:rPr>
      <w:sz w:val="24"/>
    </w:rPr>
  </w:style>
  <w:style w:type="paragraph" w:customStyle="1" w:styleId="106">
    <w:name w:val="Char Char Char Char"/>
    <w:basedOn w:val="1"/>
    <w:qFormat/>
    <w:uiPriority w:val="0"/>
    <w:pPr>
      <w:tabs>
        <w:tab w:val="left" w:pos="360"/>
      </w:tabs>
    </w:pPr>
    <w:rPr>
      <w:sz w:val="24"/>
    </w:rPr>
  </w:style>
  <w:style w:type="paragraph" w:customStyle="1" w:styleId="107">
    <w:name w:val="Char2"/>
    <w:basedOn w:val="1"/>
    <w:qFormat/>
    <w:uiPriority w:val="0"/>
  </w:style>
  <w:style w:type="paragraph" w:customStyle="1" w:styleId="108">
    <w:name w:val="Char1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09">
    <w:name w:val="默认段落字体 Para Char"/>
    <w:basedOn w:val="1"/>
    <w:qFormat/>
    <w:uiPriority w:val="0"/>
    <w:pPr>
      <w:tabs>
        <w:tab w:val="left" w:pos="757"/>
      </w:tabs>
      <w:ind w:firstLine="397"/>
    </w:pPr>
    <w:rPr>
      <w:sz w:val="24"/>
    </w:rPr>
  </w:style>
  <w:style w:type="character" w:customStyle="1" w:styleId="110">
    <w:name w:val="msoins"/>
    <w:qFormat/>
    <w:uiPriority w:val="0"/>
  </w:style>
  <w:style w:type="character" w:customStyle="1" w:styleId="111">
    <w:name w:val="unnamed11"/>
    <w:qFormat/>
    <w:uiPriority w:val="0"/>
    <w:rPr>
      <w:rFonts w:hint="eastAsia" w:ascii="宋体" w:hAnsi="宋体" w:eastAsia="宋体"/>
      <w:sz w:val="18"/>
      <w:szCs w:val="18"/>
    </w:rPr>
  </w:style>
  <w:style w:type="paragraph" w:customStyle="1" w:styleId="112">
    <w:name w:val="BS标题8"/>
    <w:basedOn w:val="3"/>
    <w:link w:val="113"/>
    <w:qFormat/>
    <w:uiPriority w:val="0"/>
    <w:pPr>
      <w:keepNext w:val="0"/>
      <w:keepLines w:val="0"/>
      <w:autoSpaceDE/>
      <w:autoSpaceDN/>
      <w:adjustRightInd/>
      <w:spacing w:before="120" w:after="120" w:line="240" w:lineRule="auto"/>
      <w:ind w:left="737" w:hanging="425"/>
      <w:textAlignment w:val="auto"/>
    </w:pPr>
    <w:rPr>
      <w:rFonts w:ascii="Times New Roman" w:hAnsi="Times New Roman" w:eastAsia="宋体"/>
      <w:b w:val="0"/>
      <w:kern w:val="2"/>
      <w:sz w:val="21"/>
      <w:szCs w:val="32"/>
    </w:rPr>
  </w:style>
  <w:style w:type="character" w:customStyle="1" w:styleId="113">
    <w:name w:val="BS标题8 Char"/>
    <w:link w:val="112"/>
    <w:qFormat/>
    <w:uiPriority w:val="0"/>
    <w:rPr>
      <w:rFonts w:ascii="Times New Roman" w:hAnsi="Times New Roman" w:eastAsia="宋体" w:cs="Times New Roman"/>
      <w:szCs w:val="32"/>
      <w:lang w:val="zh-CN" w:eastAsia="zh-CN"/>
    </w:rPr>
  </w:style>
  <w:style w:type="paragraph" w:customStyle="1" w:styleId="114">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15">
    <w:name w:val="编号正文2"/>
    <w:basedOn w:val="1"/>
    <w:qFormat/>
    <w:uiPriority w:val="0"/>
    <w:pPr>
      <w:autoSpaceDE w:val="0"/>
      <w:autoSpaceDN w:val="0"/>
      <w:adjustRightInd w:val="0"/>
      <w:spacing w:after="120" w:line="300" w:lineRule="auto"/>
      <w:ind w:firstLine="480"/>
      <w:textAlignment w:val="baseline"/>
    </w:pPr>
    <w:rPr>
      <w:rFonts w:ascii="宋体"/>
      <w:color w:val="000000"/>
      <w:kern w:val="0"/>
      <w:szCs w:val="21"/>
      <w:lang w:val="zh-CN"/>
    </w:rPr>
  </w:style>
  <w:style w:type="paragraph" w:customStyle="1" w:styleId="116">
    <w:name w:val="项目"/>
    <w:basedOn w:val="5"/>
    <w:qFormat/>
    <w:uiPriority w:val="0"/>
    <w:pPr>
      <w:autoSpaceDE/>
      <w:autoSpaceDN/>
      <w:adjustRightInd/>
      <w:snapToGrid w:val="0"/>
      <w:spacing w:before="120" w:after="120" w:line="360" w:lineRule="auto"/>
      <w:textAlignment w:val="auto"/>
    </w:pPr>
    <w:rPr>
      <w:rFonts w:ascii="Times New Roman" w:hAnsi="Times New Roman" w:eastAsia="楷体_GB2312"/>
      <w:b w:val="0"/>
      <w:bCs/>
      <w:kern w:val="2"/>
      <w:sz w:val="24"/>
    </w:rPr>
  </w:style>
  <w:style w:type="character" w:customStyle="1" w:styleId="117">
    <w:name w:val="txtcontent11"/>
    <w:qFormat/>
    <w:uiPriority w:val="0"/>
    <w:rPr>
      <w:rFonts w:hint="default" w:ascii="ˎ̥" w:hAnsi="ˎ̥"/>
      <w:color w:val="000000"/>
      <w:sz w:val="21"/>
      <w:szCs w:val="21"/>
    </w:rPr>
  </w:style>
  <w:style w:type="paragraph" w:styleId="118">
    <w:name w:val="List Paragraph"/>
    <w:basedOn w:val="1"/>
    <w:qFormat/>
    <w:uiPriority w:val="34"/>
    <w:pPr>
      <w:spacing w:after="120" w:line="360" w:lineRule="auto"/>
      <w:ind w:firstLine="420" w:firstLineChars="200"/>
    </w:pPr>
    <w:rPr>
      <w:rFonts w:ascii="宋体" w:hAnsi="宋体" w:cs="Arial"/>
      <w:bCs/>
      <w:color w:val="000000"/>
      <w:kern w:val="0"/>
      <w:szCs w:val="21"/>
      <w:lang w:val="zh-CN"/>
    </w:rPr>
  </w:style>
  <w:style w:type="character" w:customStyle="1" w:styleId="119">
    <w:name w:val="c1"/>
    <w:qFormat/>
    <w:uiPriority w:val="0"/>
    <w:rPr>
      <w:color w:val="000000"/>
      <w:spacing w:val="257"/>
      <w:sz w:val="15"/>
      <w:szCs w:val="15"/>
    </w:rPr>
  </w:style>
  <w:style w:type="paragraph" w:customStyle="1" w:styleId="120">
    <w:name w:val="Char Char Char Char Char1 Char"/>
    <w:basedOn w:val="1"/>
    <w:qFormat/>
    <w:uiPriority w:val="0"/>
  </w:style>
  <w:style w:type="paragraph" w:customStyle="1" w:styleId="121">
    <w:name w:val="Char Char Char Char1"/>
    <w:basedOn w:val="1"/>
    <w:qFormat/>
    <w:uiPriority w:val="0"/>
    <w:pPr>
      <w:tabs>
        <w:tab w:val="left" w:pos="360"/>
      </w:tabs>
      <w:spacing w:before="312" w:after="312" w:line="360" w:lineRule="auto"/>
    </w:pPr>
    <w:rPr>
      <w:sz w:val="24"/>
    </w:rPr>
  </w:style>
  <w:style w:type="paragraph" w:customStyle="1" w:styleId="122">
    <w:name w:val="列出段落1"/>
    <w:basedOn w:val="1"/>
    <w:qFormat/>
    <w:uiPriority w:val="0"/>
    <w:pPr>
      <w:ind w:firstLine="420" w:firstLineChars="200"/>
    </w:pPr>
    <w:rPr>
      <w:rFonts w:ascii="Calibri" w:hAnsi="Calibri"/>
      <w:szCs w:val="22"/>
    </w:rPr>
  </w:style>
  <w:style w:type="paragraph" w:customStyle="1" w:styleId="123">
    <w:name w:val="正文杨"/>
    <w:basedOn w:val="1"/>
    <w:qFormat/>
    <w:uiPriority w:val="0"/>
    <w:pPr>
      <w:spacing w:line="360" w:lineRule="auto"/>
      <w:ind w:firstLine="425"/>
    </w:pPr>
    <w:rPr>
      <w:sz w:val="24"/>
      <w:szCs w:val="20"/>
    </w:rPr>
  </w:style>
  <w:style w:type="paragraph" w:customStyle="1" w:styleId="124">
    <w:name w:val="TOC 标题1"/>
    <w:basedOn w:val="2"/>
    <w:next w:val="1"/>
    <w:qFormat/>
    <w:uiPriority w:val="39"/>
    <w:pPr>
      <w:widowControl/>
      <w:autoSpaceDE/>
      <w:autoSpaceDN/>
      <w:adjustRightInd/>
      <w:spacing w:before="480" w:after="0" w:line="276" w:lineRule="auto"/>
      <w:jc w:val="left"/>
      <w:textAlignment w:val="auto"/>
      <w:outlineLvl w:val="9"/>
    </w:pPr>
    <w:rPr>
      <w:rFonts w:ascii="Cambria" w:hAnsi="Cambria" w:eastAsia="宋体"/>
      <w:b/>
      <w:bCs/>
      <w:color w:val="365F91"/>
      <w:sz w:val="28"/>
      <w:szCs w:val="28"/>
    </w:rPr>
  </w:style>
  <w:style w:type="paragraph" w:customStyle="1" w:styleId="125">
    <w:name w:val="TitleLargeTable"/>
    <w:next w:val="1"/>
    <w:qFormat/>
    <w:uiPriority w:val="99"/>
    <w:pPr>
      <w:keepNext/>
      <w:suppressAutoHyphens/>
      <w:spacing w:after="40" w:line="200" w:lineRule="atLeast"/>
    </w:pPr>
    <w:rPr>
      <w:rFonts w:ascii="LucidaSans" w:hAnsi="LucidaSans" w:eastAsia="宋体" w:cs="Times New Roman"/>
      <w:sz w:val="16"/>
      <w:lang w:val="en-GB" w:eastAsia="zh-CN" w:bidi="ar-SA"/>
    </w:rPr>
  </w:style>
  <w:style w:type="paragraph" w:customStyle="1" w:styleId="12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E0E0E0"/>
      <w:spacing w:before="100" w:beforeAutospacing="1" w:after="100" w:afterAutospacing="1"/>
      <w:jc w:val="left"/>
    </w:pPr>
    <w:rPr>
      <w:rFonts w:ascii="宋体" w:hAnsi="宋体" w:cs="宋体"/>
      <w:kern w:val="0"/>
      <w:sz w:val="24"/>
    </w:rPr>
  </w:style>
  <w:style w:type="paragraph" w:customStyle="1" w:styleId="127">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29">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kern w:val="0"/>
      <w:sz w:val="24"/>
    </w:rPr>
  </w:style>
  <w:style w:type="paragraph" w:customStyle="1" w:styleId="13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kern w:val="0"/>
      <w:sz w:val="24"/>
    </w:rPr>
  </w:style>
  <w:style w:type="paragraph" w:customStyle="1" w:styleId="13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2">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3">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center"/>
    </w:pPr>
    <w:rPr>
      <w:rFonts w:ascii="宋体" w:hAnsi="宋体" w:cs="宋体"/>
      <w:kern w:val="0"/>
      <w:sz w:val="24"/>
    </w:rPr>
  </w:style>
  <w:style w:type="paragraph" w:customStyle="1" w:styleId="134">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5F5F5"/>
      <w:spacing w:before="100" w:beforeAutospacing="1" w:after="100" w:afterAutospacing="1"/>
      <w:jc w:val="left"/>
    </w:pPr>
    <w:rPr>
      <w:rFonts w:ascii="宋体" w:hAnsi="宋体" w:cs="宋体"/>
      <w:kern w:val="0"/>
      <w:sz w:val="24"/>
    </w:rPr>
  </w:style>
  <w:style w:type="table" w:customStyle="1" w:styleId="135">
    <w:name w:val="浅色底纹 - 强调文字颜色 11"/>
    <w:basedOn w:val="41"/>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character" w:customStyle="1" w:styleId="136">
    <w:name w:val="HTML 预设格式 Char1"/>
    <w:semiHidden/>
    <w:qFormat/>
    <w:uiPriority w:val="99"/>
    <w:rPr>
      <w:rFonts w:ascii="Courier New" w:hAnsi="Courier New" w:eastAsia="宋体" w:cs="Courier New"/>
      <w:sz w:val="20"/>
      <w:szCs w:val="20"/>
    </w:rPr>
  </w:style>
  <w:style w:type="paragraph" w:customStyle="1" w:styleId="137">
    <w:name w:val="正文s"/>
    <w:basedOn w:val="17"/>
    <w:qFormat/>
    <w:uiPriority w:val="0"/>
    <w:pPr>
      <w:spacing w:line="360" w:lineRule="auto"/>
      <w:ind w:firstLine="560" w:firstLineChars="200"/>
    </w:pPr>
    <w:rPr>
      <w:rFonts w:ascii="宋体" w:hAnsi="宋体"/>
      <w:sz w:val="28"/>
      <w:szCs w:val="18"/>
    </w:rPr>
  </w:style>
  <w:style w:type="table" w:customStyle="1" w:styleId="138">
    <w:name w:val="网格型1"/>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9">
    <w:name w:val="Placeholder Text"/>
    <w:semiHidden/>
    <w:qFormat/>
    <w:uiPriority w:val="99"/>
    <w:rPr>
      <w:color w:val="808080"/>
    </w:rPr>
  </w:style>
  <w:style w:type="character" w:customStyle="1" w:styleId="140">
    <w:name w:val="批注文字 Char1"/>
    <w:qFormat/>
    <w:uiPriority w:val="0"/>
    <w:rPr>
      <w:rFonts w:ascii="Times New Roman" w:hAnsi="Times New Roman" w:eastAsia="宋体" w:cs="Times New Roman"/>
      <w:szCs w:val="20"/>
      <w:lang w:val="zh-CN" w:eastAsia="zh-CN"/>
    </w:rPr>
  </w:style>
  <w:style w:type="paragraph" w:customStyle="1" w:styleId="141">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142">
    <w:name w:val="error"/>
    <w:qFormat/>
    <w:uiPriority w:val="0"/>
    <w:rPr>
      <w:color w:val="D70C19"/>
      <w:sz w:val="14"/>
      <w:szCs w:val="14"/>
    </w:rPr>
  </w:style>
  <w:style w:type="character" w:customStyle="1" w:styleId="143">
    <w:name w:val="error1"/>
    <w:qFormat/>
    <w:uiPriority w:val="0"/>
  </w:style>
  <w:style w:type="character" w:customStyle="1" w:styleId="144">
    <w:name w:val="error2"/>
    <w:qFormat/>
    <w:uiPriority w:val="0"/>
  </w:style>
  <w:style w:type="paragraph" w:customStyle="1" w:styleId="145">
    <w:name w:val="修订3"/>
    <w:unhideWhenUsed/>
    <w:qFormat/>
    <w:uiPriority w:val="99"/>
    <w:rPr>
      <w:rFonts w:ascii="Times New Roman" w:hAnsi="Times New Roman" w:eastAsia="宋体" w:cs="Times New Roman"/>
      <w:kern w:val="2"/>
      <w:sz w:val="21"/>
      <w:szCs w:val="24"/>
      <w:lang w:val="en-US" w:eastAsia="zh-CN" w:bidi="ar-SA"/>
    </w:rPr>
  </w:style>
  <w:style w:type="character" w:customStyle="1" w:styleId="146">
    <w:name w:val="批注文字 字符1"/>
    <w:qFormat/>
    <w:uiPriority w:val="0"/>
    <w:rPr>
      <w:kern w:val="2"/>
      <w:sz w:val="21"/>
      <w:szCs w:val="22"/>
    </w:rPr>
  </w:style>
  <w:style w:type="paragraph" w:customStyle="1" w:styleId="147">
    <w:name w:val="修订4"/>
    <w:unhideWhenUsed/>
    <w:qFormat/>
    <w:uiPriority w:val="99"/>
    <w:rPr>
      <w:rFonts w:ascii="Times New Roman" w:hAnsi="Times New Roman" w:eastAsia="宋体" w:cs="Times New Roman"/>
      <w:kern w:val="2"/>
      <w:sz w:val="21"/>
      <w:szCs w:val="24"/>
      <w:lang w:val="en-US" w:eastAsia="zh-CN" w:bidi="ar-SA"/>
    </w:rPr>
  </w:style>
  <w:style w:type="paragraph" w:customStyle="1" w:styleId="148">
    <w:name w:val="修订5"/>
    <w:unhideWhenUsed/>
    <w:qFormat/>
    <w:uiPriority w:val="99"/>
    <w:rPr>
      <w:rFonts w:ascii="Times New Roman" w:hAnsi="Times New Roman" w:eastAsia="宋体" w:cs="Times New Roman"/>
      <w:kern w:val="2"/>
      <w:sz w:val="21"/>
      <w:szCs w:val="24"/>
      <w:lang w:val="en-US" w:eastAsia="zh-CN" w:bidi="ar-SA"/>
    </w:rPr>
  </w:style>
  <w:style w:type="paragraph" w:customStyle="1" w:styleId="149">
    <w:name w:val="修订6"/>
    <w:unhideWhenUsed/>
    <w:qFormat/>
    <w:uiPriority w:val="99"/>
    <w:rPr>
      <w:rFonts w:ascii="Times New Roman" w:hAnsi="Times New Roman" w:eastAsia="宋体" w:cs="Times New Roman"/>
      <w:kern w:val="2"/>
      <w:sz w:val="21"/>
      <w:szCs w:val="24"/>
      <w:lang w:val="en-US" w:eastAsia="zh-CN" w:bidi="ar-SA"/>
    </w:rPr>
  </w:style>
  <w:style w:type="paragraph" w:customStyle="1" w:styleId="150">
    <w:name w:val="修订7"/>
    <w:semiHidden/>
    <w:qFormat/>
    <w:uiPriority w:val="99"/>
    <w:rPr>
      <w:rFonts w:ascii="Times New Roman" w:hAnsi="Times New Roman" w:eastAsia="宋体" w:cs="Times New Roman"/>
      <w:kern w:val="2"/>
      <w:sz w:val="21"/>
      <w:szCs w:val="24"/>
      <w:lang w:val="en-US" w:eastAsia="zh-CN" w:bidi="ar-SA"/>
    </w:rPr>
  </w:style>
  <w:style w:type="paragraph" w:customStyle="1" w:styleId="151">
    <w:name w:val="修订8"/>
    <w:semiHidden/>
    <w:qFormat/>
    <w:uiPriority w:val="99"/>
    <w:rPr>
      <w:rFonts w:ascii="Times New Roman" w:hAnsi="Times New Roman" w:eastAsia="宋体" w:cs="Times New Roman"/>
      <w:kern w:val="2"/>
      <w:sz w:val="21"/>
      <w:szCs w:val="24"/>
      <w:lang w:val="en-US" w:eastAsia="zh-CN" w:bidi="ar-SA"/>
    </w:rPr>
  </w:style>
  <w:style w:type="paragraph" w:customStyle="1" w:styleId="152">
    <w:name w:val="修订9"/>
    <w:semiHidden/>
    <w:qFormat/>
    <w:uiPriority w:val="99"/>
    <w:rPr>
      <w:rFonts w:ascii="Times New Roman" w:hAnsi="Times New Roman" w:eastAsia="宋体" w:cs="Times New Roman"/>
      <w:kern w:val="2"/>
      <w:sz w:val="21"/>
      <w:szCs w:val="24"/>
      <w:lang w:val="en-US" w:eastAsia="zh-CN" w:bidi="ar-SA"/>
    </w:rPr>
  </w:style>
  <w:style w:type="paragraph" w:customStyle="1" w:styleId="153">
    <w:name w:val="修订10"/>
    <w:semiHidden/>
    <w:qFormat/>
    <w:uiPriority w:val="99"/>
    <w:rPr>
      <w:rFonts w:ascii="Times New Roman" w:hAnsi="Times New Roman" w:eastAsia="宋体" w:cs="Times New Roman"/>
      <w:kern w:val="2"/>
      <w:sz w:val="21"/>
      <w:szCs w:val="24"/>
      <w:lang w:val="en-US" w:eastAsia="zh-CN" w:bidi="ar-SA"/>
    </w:rPr>
  </w:style>
  <w:style w:type="paragraph" w:customStyle="1" w:styleId="154">
    <w:name w:val="修订11"/>
    <w:unhideWhenUsed/>
    <w:qFormat/>
    <w:uiPriority w:val="99"/>
    <w:rPr>
      <w:rFonts w:ascii="Times New Roman" w:hAnsi="Times New Roman" w:eastAsia="宋体" w:cs="Times New Roman"/>
      <w:kern w:val="2"/>
      <w:sz w:val="21"/>
      <w:szCs w:val="24"/>
      <w:lang w:val="en-US" w:eastAsia="zh-CN" w:bidi="ar-SA"/>
    </w:rPr>
  </w:style>
  <w:style w:type="paragraph" w:customStyle="1" w:styleId="155">
    <w:name w:val="HD正文"/>
    <w:basedOn w:val="1"/>
    <w:qFormat/>
    <w:uiPriority w:val="0"/>
    <w:pPr>
      <w:snapToGrid w:val="0"/>
      <w:spacing w:line="360" w:lineRule="auto"/>
      <w:ind w:firstLine="420" w:firstLineChars="200"/>
    </w:pPr>
  </w:style>
  <w:style w:type="character" w:customStyle="1" w:styleId="156">
    <w:name w:val="未处理的提及1"/>
    <w:basedOn w:val="48"/>
    <w:unhideWhenUsed/>
    <w:qFormat/>
    <w:uiPriority w:val="99"/>
    <w:rPr>
      <w:color w:val="605E5C"/>
      <w:shd w:val="clear" w:color="auto" w:fill="E1DFDD"/>
    </w:rPr>
  </w:style>
  <w:style w:type="paragraph" w:customStyle="1" w:styleId="157">
    <w:name w:val="修订12"/>
    <w:hidden/>
    <w:unhideWhenUsed/>
    <w:qFormat/>
    <w:uiPriority w:val="99"/>
    <w:rPr>
      <w:rFonts w:ascii="Times New Roman" w:hAnsi="Times New Roman" w:eastAsia="宋体" w:cs="Times New Roman"/>
      <w:kern w:val="2"/>
      <w:sz w:val="21"/>
      <w:szCs w:val="24"/>
      <w:lang w:val="en-US" w:eastAsia="zh-CN" w:bidi="ar-SA"/>
    </w:rPr>
  </w:style>
  <w:style w:type="paragraph" w:customStyle="1" w:styleId="15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1.png"/><Relationship Id="rId45" Type="http://schemas.openxmlformats.org/officeDocument/2006/relationships/theme" Target="theme/theme1.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header" Target="header2.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117</Pages>
  <Words>64456</Words>
  <Characters>64456</Characters>
  <Lines>2387</Lines>
  <Paragraphs>2014</Paragraphs>
  <TotalTime>4</TotalTime>
  <ScaleCrop>false</ScaleCrop>
  <LinksUpToDate>false</LinksUpToDate>
  <CharactersWithSpaces>126898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2026-01-07T03:49:00Z</dcterms:created>
  <dc:creator>符筱</dc:creator>
  <cp:lastModifiedBy>xiaolw</cp:lastModifiedBy>
  <cp:lastPrinted>2025-07-29T05:17:00Z</cp:lastPrinted>
  <dcterms:modified xsi:type="dcterms:W3CDTF">2026-07-08T05:17:46Z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D3201DF82F1643EB8EA0419E2CD407DA_13</vt:lpwstr>
  </property>
  <property fmtid="{D5CDD505-2E9C-101B-9397-08002B2CF9AE}" pid="4" name="KSOTemplateDocerSaveRecord">
    <vt:lpwstr>eyJoZGlkIjoiMGUxNDJkOGFlNmZmMDgzNGYxODFlNDdiYWYyYTNhMDkiLCJ1c2VySWQiOiIxMjU2MzI2MTQ5In0=</vt:lpwstr>
  </property>
</Properties>
</file>