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博时裕盛纯债债券型证券投资基金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南京银行股份有限公司</w:t>
      </w:r>
      <w:r>
        <w:rPr>
          <w:rFonts w:ascii="宋体" w:hAnsi="宋体" w:eastAsia="宋体"/>
          <w:b/>
          <w:sz w:val="30"/>
        </w:rPr>
        <w:br w:type="page"/>
      </w:r>
    </w:p>
    <w:p>
      <w:pPr>
        <w:pStyle w:val="2"/>
        <w:jc w:val="center"/>
        <w:rPr>
          <w:rFonts w:ascii="宋体" w:hAnsi="宋体" w:eastAsia="宋体"/>
          <w:sz w:val="30"/>
        </w:rPr>
      </w:pPr>
      <w:bookmarkStart w:id="0" w:name="_Toc176199380"/>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2016年4月14日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博时裕盛纯债债券型证券投资基金</w:t>
      </w:r>
      <w:bookmarkEnd w:id="2"/>
      <w:r>
        <w:rPr>
          <w:rFonts w:hint="eastAsia"/>
          <w:sz w:val="21"/>
          <w:szCs w:val="21"/>
        </w:rPr>
        <w:t>注册的批复》（证监许可</w:t>
      </w:r>
      <w:bookmarkStart w:id="3" w:name="field_2343_lotnumber_1"/>
      <w:r>
        <w:rPr>
          <w:sz w:val="21"/>
          <w:szCs w:val="21"/>
        </w:rPr>
        <w:t>[2016]802</w:t>
      </w:r>
      <w:bookmarkEnd w:id="3"/>
      <w:r>
        <w:rPr>
          <w:rFonts w:hint="eastAsia"/>
          <w:sz w:val="21"/>
          <w:szCs w:val="21"/>
        </w:rPr>
        <w:t xml:space="preserve">号），进行募集。  </w:t>
      </w:r>
    </w:p>
    <w:p>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 </w:t>
      </w:r>
    </w:p>
    <w:p>
      <w:pPr>
        <w:pStyle w:val="7"/>
        <w:spacing w:before="0" w:beforeAutospacing="0" w:after="0" w:afterAutospacing="0" w:line="360" w:lineRule="auto"/>
        <w:ind w:firstLine="420"/>
        <w:rPr>
          <w:sz w:val="21"/>
          <w:szCs w:val="21"/>
        </w:rPr>
      </w:pPr>
      <w:r>
        <w:rPr>
          <w:rFonts w:hint="eastAsia"/>
          <w:sz w:val="21"/>
          <w:szCs w:val="21"/>
        </w:rPr>
        <w:t xml:space="preserve">类风险，包括：因政治、经济、社会等环境因素对证券价格产生影响而形成的系统性风险、个别证券特有的非系统性风险、基金管理人在基金管理实施过程中产生的基金管理风险、本基金的特定风险等等。 </w:t>
      </w:r>
    </w:p>
    <w:p>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pPr>
        <w:pStyle w:val="7"/>
        <w:spacing w:before="0" w:beforeAutospacing="0" w:after="0" w:afterAutospacing="0" w:line="360" w:lineRule="auto"/>
        <w:ind w:firstLine="420"/>
        <w:rPr>
          <w:sz w:val="21"/>
          <w:szCs w:val="21"/>
        </w:rPr>
      </w:pPr>
      <w:r>
        <w:rPr>
          <w:rFonts w:hint="eastAsia"/>
          <w:sz w:val="21"/>
          <w:szCs w:val="21"/>
        </w:rPr>
        <w:t xml:space="preserve">5、本基金为债券型基金，预期风险和预期收益高于货币市场基金，低于股票型、混合型基金，属于证券投资基金中的中等风险/收益品种。 </w:t>
      </w:r>
    </w:p>
    <w:p>
      <w:pPr>
        <w:pStyle w:val="7"/>
        <w:spacing w:before="0" w:beforeAutospacing="0" w:after="0" w:afterAutospacing="0" w:line="360" w:lineRule="auto"/>
        <w:ind w:firstLine="420"/>
        <w:rPr>
          <w:sz w:val="21"/>
          <w:szCs w:val="21"/>
        </w:rPr>
      </w:pPr>
      <w:r>
        <w:rPr>
          <w:rFonts w:hint="eastAsia"/>
          <w:sz w:val="21"/>
          <w:szCs w:val="21"/>
        </w:rPr>
        <w:t xml:space="preserve">6、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7、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pPr>
        <w:pStyle w:val="7"/>
        <w:spacing w:before="0" w:beforeAutospacing="0" w:after="0" w:afterAutospacing="0" w:line="360" w:lineRule="auto"/>
        <w:ind w:firstLine="420"/>
        <w:rPr>
          <w:sz w:val="21"/>
          <w:szCs w:val="21"/>
        </w:rPr>
      </w:pPr>
      <w:r>
        <w:rPr>
          <w:rFonts w:hint="eastAsia"/>
          <w:sz w:val="21"/>
          <w:szCs w:val="21"/>
        </w:rPr>
        <w:t>9、本基金初始募集面值为人民币</w:t>
      </w:r>
      <w:bookmarkStart w:id="4" w:name="field_2343_facevalue_1"/>
      <w:r>
        <w:rPr>
          <w:sz w:val="21"/>
          <w:szCs w:val="21"/>
        </w:rPr>
        <w:t>1.00</w:t>
      </w:r>
      <w:bookmarkEnd w:id="4"/>
      <w:r>
        <w:rPr>
          <w:rFonts w:hint="eastAsia"/>
          <w:sz w:val="21"/>
          <w:szCs w:val="21"/>
        </w:rPr>
        <w:t xml:space="preserve"> 元。在市场波动因素影响下，本基金净值可能低于初始面值，本基金投资者有可能出现亏损。 </w:t>
      </w:r>
    </w:p>
    <w:p>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pPr>
        <w:pStyle w:val="7"/>
        <w:spacing w:before="0" w:beforeAutospacing="0" w:after="0" w:afterAutospacing="0" w:line="360" w:lineRule="auto"/>
        <w:ind w:firstLine="420"/>
        <w:rPr>
          <w:sz w:val="21"/>
          <w:szCs w:val="21"/>
        </w:rPr>
      </w:pPr>
      <w:r>
        <w:rPr>
          <w:rFonts w:hint="eastAsia"/>
          <w:sz w:val="21"/>
          <w:szCs w:val="21"/>
        </w:rPr>
        <w:t>12、本招募说明书（更新）所载内容截止日为</w:t>
      </w:r>
      <w:bookmarkStart w:id="5" w:name="field_2343_infoendday_1"/>
      <w:r>
        <w:rPr>
          <w:sz w:val="21"/>
          <w:szCs w:val="21"/>
        </w:rPr>
        <w:t>2024年</w:t>
      </w:r>
      <w:r>
        <w:rPr>
          <w:rFonts w:hint="eastAsia"/>
          <w:sz w:val="21"/>
          <w:szCs w:val="21"/>
          <w:lang w:val="en-US" w:eastAsia="zh-CN"/>
        </w:rPr>
        <w:t>10</w:t>
      </w:r>
      <w:r>
        <w:rPr>
          <w:sz w:val="21"/>
          <w:szCs w:val="21"/>
        </w:rPr>
        <w:t>月</w:t>
      </w:r>
      <w:r>
        <w:rPr>
          <w:rFonts w:hint="eastAsia"/>
          <w:sz w:val="21"/>
          <w:szCs w:val="21"/>
          <w:lang w:val="en-US" w:eastAsia="zh-CN"/>
        </w:rPr>
        <w:t>10</w:t>
      </w:r>
      <w:r>
        <w:rPr>
          <w:sz w:val="21"/>
          <w:szCs w:val="21"/>
        </w:rPr>
        <w:t>日</w:t>
      </w:r>
      <w:bookmarkEnd w:id="5"/>
      <w:r>
        <w:rPr>
          <w:rFonts w:hint="eastAsia"/>
          <w:sz w:val="21"/>
          <w:szCs w:val="21"/>
        </w:rPr>
        <w:t>，有关财务数据和净值表现数据截止日为</w:t>
      </w:r>
      <w:bookmarkStart w:id="6" w:name="field_2343_financeendday_1"/>
      <w:r>
        <w:rPr>
          <w:sz w:val="21"/>
          <w:szCs w:val="21"/>
        </w:rPr>
        <w:t>2024年6月30日</w:t>
      </w:r>
      <w:bookmarkEnd w:id="6"/>
      <w:r>
        <w:rPr>
          <w:rFonts w:hint="eastAsia"/>
          <w:sz w:val="21"/>
          <w:szCs w:val="21"/>
        </w:rPr>
        <w:t xml:space="preserve">（财务资料未经审计）。  </w:t>
      </w:r>
      <w:r>
        <w:rPr>
          <w:sz w:val="30"/>
        </w:rPr>
        <w:br w:type="page"/>
      </w:r>
    </w:p>
    <w:p>
      <w:pPr>
        <w:widowControl/>
        <w:jc w:val="center"/>
        <w:rPr>
          <w:rFonts w:ascii="宋体" w:hAnsi="宋体" w:eastAsia="宋体"/>
          <w:b/>
          <w:sz w:val="28"/>
        </w:rPr>
      </w:pPr>
      <w:r>
        <w:rPr>
          <w:rFonts w:hint="eastAsia" w:ascii="宋体" w:hAnsi="宋体" w:eastAsia="宋体"/>
          <w:b/>
          <w:sz w:val="28"/>
        </w:rPr>
        <w:t>目录</w:t>
      </w:r>
    </w:p>
    <w:p>
      <w:pPr>
        <w:pStyle w:val="6"/>
        <w:tabs>
          <w:tab w:val="right" w:leader="dot" w:pos="8290"/>
        </w:tabs>
        <w:spacing w:line="360" w:lineRule="auto"/>
        <w:rPr>
          <w:rFonts w:ascii="宋体" w:hAnsi="宋体" w:eastAsia="宋体"/>
        </w:rPr>
      </w:pPr>
      <w:r>
        <w:rPr>
          <w:rFonts w:ascii="宋体" w:hAnsi="宋体" w:eastAsia="宋体"/>
        </w:rPr>
        <w:fldChar w:fldCharType="begin"/>
      </w:r>
      <w:r>
        <w:rPr>
          <w:rFonts w:ascii="宋体" w:hAnsi="宋体" w:eastAsia="宋体"/>
        </w:rPr>
        <w:instrText xml:space="preserve"> TOC \o "1-2" \f 8 \h \t "2" </w:instrText>
      </w:r>
      <w:r>
        <w:rPr>
          <w:rFonts w:ascii="宋体" w:hAnsi="宋体" w:eastAsia="宋体"/>
        </w:rPr>
        <w:fldChar w:fldCharType="separate"/>
      </w:r>
      <w:r>
        <w:fldChar w:fldCharType="begin"/>
      </w:r>
      <w:r>
        <w:instrText xml:space="preserve"> HYPERLINK \l "_Toc176199380"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_Toc176199380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"_Toc176199406"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_Toc176199406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"_Toc176199407"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_Toc176199407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"_Toc176199408"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_Toc176199408 \h </w:instrText>
      </w:r>
      <w:r>
        <w:rPr>
          <w:rFonts w:ascii="宋体" w:hAnsi="宋体" w:eastAsia="宋体"/>
        </w:rPr>
        <w:fldChar w:fldCharType="separate"/>
      </w:r>
      <w:r>
        <w:rPr>
          <w:rFonts w:ascii="宋体" w:hAnsi="宋体" w:eastAsia="宋体"/>
        </w:rPr>
        <w:t>10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"_Toc176199409"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_Toc176199409 \h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"_Toc176199410"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_Toc176199410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"_Toc176199411"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_Toc176199411 \h </w:instrText>
      </w:r>
      <w:r>
        <w:rPr>
          <w:rFonts w:ascii="宋体" w:hAnsi="宋体" w:eastAsia="宋体"/>
        </w:rPr>
        <w:fldChar w:fldCharType="separate"/>
      </w:r>
      <w:r>
        <w:rPr>
          <w:rFonts w:ascii="宋体" w:hAnsi="宋体" w:eastAsia="宋体"/>
        </w:rPr>
        <w:t>32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"_Toc176199412"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_Toc176199412 \h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"_Toc176199413"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_Toc176199413 \h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"_Toc176199414"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_Toc176199414 \h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"_Toc176199415"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_Toc176199415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"_Toc176199416"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_Toc176199416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"_Toc176199417"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_Toc176199417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"_Toc176199418"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_Toc176199418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"_Toc176199419"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_Toc176199419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"_Toc176199420"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_Toc176199420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"_Toc176199421"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_Toc176199421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"_Toc176199422"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_Toc176199422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"_Toc176199423"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_Toc176199423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"_Toc176199424"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_Toc176199424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"_Toc176199425"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_Toc176199425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"_Toc176199426"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_Toc176199426 \h </w:instrText>
      </w:r>
      <w:r>
        <w:rPr>
          <w:rFonts w:ascii="宋体" w:hAnsi="宋体" w:eastAsia="宋体"/>
        </w:rPr>
        <w:fldChar w:fldCharType="separate"/>
      </w:r>
      <w:r>
        <w:rPr>
          <w:rFonts w:ascii="宋体" w:hAnsi="宋体" w:eastAsia="宋体"/>
        </w:rPr>
        <w:t>113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"_Toc176199427"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_Toc176199427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"_Toc176199428"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_Toc176199428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"_Toc176199429"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_Toc176199429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 w:name="chapter_level1_3_2344"/>
      <w:bookmarkStart w:id="8" w:name="_Toc176199406"/>
      <w:r>
        <w:rPr>
          <w:rFonts w:hint="eastAsia" w:ascii="宋体" w:hAnsi="宋体" w:eastAsia="宋体"/>
          <w:sz w:val="30"/>
        </w:rPr>
        <w:t>第一部分  绪言</w:t>
      </w:r>
      <w:bookmarkEnd w:id="7"/>
      <w:bookmarkEnd w:id="8"/>
    </w:p>
    <w:p>
      <w:pPr>
        <w:pStyle w:val="7"/>
        <w:spacing w:before="0" w:beforeAutospacing="0" w:after="0" w:afterAutospacing="0" w:line="360" w:lineRule="auto"/>
        <w:ind w:firstLine="420"/>
        <w:rPr>
          <w:sz w:val="21"/>
          <w:szCs w:val="21"/>
        </w:rPr>
      </w:pPr>
      <w:bookmarkStart w:id="9" w:name="chapter_level1_3_2344_section_1"/>
      <w:bookmarkEnd w:id="9"/>
      <w:r>
        <w:rPr>
          <w:rFonts w:hint="eastAsia"/>
          <w:sz w:val="21"/>
          <w:szCs w:val="21"/>
        </w:rPr>
        <w:t>《</w:t>
      </w:r>
      <w:bookmarkStart w:id="10" w:name="field_0_productfullname_2"/>
      <w:r>
        <w:rPr>
          <w:rFonts w:hint="eastAsia"/>
          <w:sz w:val="21"/>
          <w:szCs w:val="21"/>
        </w:rPr>
        <w:t>博时裕盛纯债债券型证券投资基金</w:t>
      </w:r>
      <w:bookmarkEnd w:id="10"/>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1" w:name="field_0_productfullname_3"/>
      <w:r>
        <w:rPr>
          <w:rFonts w:hint="eastAsia"/>
          <w:sz w:val="21"/>
          <w:szCs w:val="21"/>
        </w:rPr>
        <w:t>博时裕盛纯债债券型证券投资基金</w:t>
      </w:r>
      <w:bookmarkEnd w:id="11"/>
      <w:r>
        <w:rPr>
          <w:rFonts w:hint="eastAsia"/>
          <w:sz w:val="21"/>
          <w:szCs w:val="21"/>
        </w:rPr>
        <w:t xml:space="preserve">基金合同》（以下简称“基金合同”）编写。  </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12" w:name="field_0_productfullname_4"/>
      <w:r>
        <w:rPr>
          <w:rFonts w:hint="eastAsia"/>
          <w:sz w:val="21"/>
          <w:szCs w:val="21"/>
        </w:rPr>
        <w:t>博时裕盛纯债债券型证券投资基金</w:t>
      </w:r>
      <w:bookmarkEnd w:id="12"/>
      <w:r>
        <w:rPr>
          <w:rFonts w:hint="eastAsia"/>
          <w:sz w:val="21"/>
          <w:szCs w:val="21"/>
        </w:rPr>
        <w:t xml:space="preserve">的投资目标、策略、风险、费率等与投资人投资决策有关的必要事项，投资人在作出投资决策前应仔细阅读本招募说明书。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3" w:name="field_0_productfullname_5"/>
      <w:r>
        <w:rPr>
          <w:rFonts w:hint="eastAsia"/>
          <w:sz w:val="21"/>
          <w:szCs w:val="21"/>
        </w:rPr>
        <w:t>博时裕盛纯债债券型证券投资基金</w:t>
      </w:r>
      <w:bookmarkEnd w:id="13"/>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4" w:name="chapter_level1_3_2344_section_1_end"/>
      <w:bookmarkEnd w:id="14"/>
      <w:r>
        <w:rPr>
          <w:rFonts w:hint="eastAsia"/>
          <w:sz w:val="21"/>
          <w:szCs w:val="21"/>
        </w:rPr>
        <w:t xml:space="preserve">了解基金份额持有人的权利和义务，应详细查阅基金合同。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 w:name="_Toc176199407"/>
      <w:bookmarkStart w:id="16" w:name="chapter_level1_4_49"/>
      <w:r>
        <w:rPr>
          <w:rFonts w:hint="eastAsia" w:ascii="宋体" w:hAnsi="宋体" w:eastAsia="宋体"/>
          <w:sz w:val="30"/>
        </w:rPr>
        <w:t>第二部分  释义</w:t>
      </w:r>
      <w:bookmarkEnd w:id="15"/>
      <w:bookmarkEnd w:id="16"/>
    </w:p>
    <w:p>
      <w:pPr>
        <w:pStyle w:val="7"/>
        <w:spacing w:before="0" w:beforeAutospacing="0" w:after="0" w:afterAutospacing="0" w:line="360" w:lineRule="auto"/>
        <w:ind w:firstLine="420"/>
        <w:rPr>
          <w:sz w:val="21"/>
          <w:szCs w:val="21"/>
        </w:rPr>
      </w:pPr>
      <w:bookmarkStart w:id="17" w:name="chapter_level1_4_49_section_1"/>
      <w:bookmarkEnd w:id="17"/>
      <w:r>
        <w:rPr>
          <w:rFonts w:hint="eastAsia"/>
          <w:sz w:val="21"/>
          <w:szCs w:val="21"/>
        </w:rPr>
        <w:t xml:space="preserve">在本招募说明书中，除非文义另有所指，下列词语具有以下含义：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8" w:name="field_0_productfullname_6"/>
      <w:r>
        <w:rPr>
          <w:rFonts w:hint="eastAsia"/>
          <w:sz w:val="21"/>
          <w:szCs w:val="21"/>
        </w:rPr>
        <w:t>博时裕盛纯债债券型证券投资基金</w:t>
      </w:r>
      <w:bookmarkEnd w:id="1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2、基金管理人：指</w:t>
      </w:r>
      <w:bookmarkStart w:id="19" w:name="field_0_managerorgfullname_1"/>
      <w:r>
        <w:rPr>
          <w:rFonts w:hint="eastAsia"/>
          <w:sz w:val="21"/>
          <w:szCs w:val="21"/>
        </w:rPr>
        <w:t>博时基金管理有限公司</w:t>
      </w:r>
      <w:bookmarkEnd w:id="1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20" w:name="field_0_trustorgfullname_1"/>
      <w:r>
        <w:rPr>
          <w:rFonts w:hint="eastAsia"/>
          <w:sz w:val="21"/>
          <w:szCs w:val="21"/>
        </w:rPr>
        <w:t>南京银行股份有限公司</w:t>
      </w:r>
      <w:bookmarkEnd w:id="20"/>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4、基金合同：指《</w:t>
      </w:r>
      <w:bookmarkStart w:id="21" w:name="field_0_productfullname_7"/>
      <w:r>
        <w:rPr>
          <w:rFonts w:hint="eastAsia"/>
          <w:sz w:val="21"/>
          <w:szCs w:val="21"/>
        </w:rPr>
        <w:t>博时裕盛纯债债券型证券投资基金</w:t>
      </w:r>
      <w:bookmarkEnd w:id="21"/>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2" w:name="field_0_productfullname_8"/>
      <w:r>
        <w:rPr>
          <w:rFonts w:hint="eastAsia"/>
          <w:sz w:val="21"/>
          <w:szCs w:val="21"/>
        </w:rPr>
        <w:t>博时裕盛纯债债券型证券投资基金</w:t>
      </w:r>
      <w:bookmarkEnd w:id="22"/>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3" w:name="field_0_productfullname_9"/>
      <w:r>
        <w:rPr>
          <w:rFonts w:hint="eastAsia"/>
          <w:sz w:val="21"/>
          <w:szCs w:val="21"/>
        </w:rPr>
        <w:t>博时裕盛纯债债券型证券投资基金</w:t>
      </w:r>
      <w:bookmarkEnd w:id="23"/>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4" w:name="field_0_productfullname_10"/>
      <w:r>
        <w:rPr>
          <w:rFonts w:hint="eastAsia"/>
          <w:sz w:val="21"/>
          <w:szCs w:val="21"/>
        </w:rPr>
        <w:t>博时裕盛纯债债券型证券投资基金</w:t>
      </w:r>
      <w:bookmarkEnd w:id="24"/>
      <w:r>
        <w:rPr>
          <w:rFonts w:hint="eastAsia"/>
          <w:sz w:val="21"/>
          <w:szCs w:val="21"/>
        </w:rPr>
        <w:t xml:space="preserve">基金产品资料概要》及其更新  </w:t>
      </w:r>
    </w:p>
    <w:p>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5" w:name="field_0_productfullname_11"/>
      <w:r>
        <w:rPr>
          <w:rFonts w:hint="eastAsia"/>
          <w:sz w:val="21"/>
          <w:szCs w:val="21"/>
        </w:rPr>
        <w:t>博时裕盛纯债债券型证券投资基金</w:t>
      </w:r>
      <w:bookmarkEnd w:id="25"/>
      <w:r>
        <w:rPr>
          <w:rFonts w:hint="eastAsia"/>
          <w:sz w:val="21"/>
          <w:szCs w:val="21"/>
        </w:rPr>
        <w:t xml:space="preserve">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16、银行业监督管理机构：指中国人民银行和/或国家金融监督管理总局 </w:t>
      </w:r>
    </w:p>
    <w:p>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21、投资人：指个人投资者、机构投资者、合格境外机构投资者以及法律法规或中国证监会允许购买证券投资基金的其他投资人的合称 </w:t>
      </w:r>
    </w:p>
    <w:p>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pPr>
        <w:pStyle w:val="7"/>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pPr>
        <w:pStyle w:val="7"/>
        <w:spacing w:before="0" w:beforeAutospacing="0" w:after="0" w:afterAutospacing="0" w:line="360" w:lineRule="auto"/>
        <w:ind w:firstLine="420"/>
        <w:rPr>
          <w:sz w:val="21"/>
          <w:szCs w:val="21"/>
        </w:rPr>
      </w:pPr>
      <w:r>
        <w:rPr>
          <w:rFonts w:hint="eastAsia"/>
          <w:sz w:val="21"/>
          <w:szCs w:val="21"/>
        </w:rPr>
        <w:t>25、直销机构：指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w:t>
      </w:r>
      <w:bookmarkStart w:id="27" w:name="chapter_level1_4_49_section_1_end"/>
      <w:bookmarkEnd w:id="27"/>
      <w:r>
        <w:rPr>
          <w:rFonts w:hint="eastAsia"/>
          <w:sz w:val="21"/>
          <w:szCs w:val="21"/>
        </w:rPr>
        <w:t xml:space="preserve">资格并与基金管理人签订了基金销售服务代理协议，代为办理基金销售业务的机构 </w:t>
      </w:r>
    </w:p>
    <w:p>
      <w:pPr>
        <w:pStyle w:val="7"/>
        <w:spacing w:before="0" w:beforeAutospacing="0" w:after="0" w:afterAutospacing="0" w:line="360" w:lineRule="auto"/>
        <w:ind w:firstLine="420"/>
        <w:rPr>
          <w:sz w:val="21"/>
          <w:szCs w:val="21"/>
        </w:rPr>
      </w:pPr>
      <w:bookmarkStart w:id="28" w:name="chapter_level1_4_49_section_2"/>
      <w:bookmarkEnd w:id="28"/>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pPr>
        <w:pStyle w:val="7"/>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29" w:name="field_0_managerorgfullname_3"/>
      <w:r>
        <w:rPr>
          <w:rFonts w:hint="eastAsia"/>
          <w:sz w:val="21"/>
          <w:szCs w:val="21"/>
        </w:rPr>
        <w:t>博时基金管理有限公司</w:t>
      </w:r>
      <w:bookmarkEnd w:id="29"/>
      <w:r>
        <w:rPr>
          <w:rFonts w:hint="eastAsia"/>
          <w:sz w:val="21"/>
          <w:szCs w:val="21"/>
        </w:rPr>
        <w:t>或接受</w:t>
      </w:r>
      <w:bookmarkStart w:id="30" w:name="field_0_managerorgfullname_4"/>
      <w:r>
        <w:rPr>
          <w:rFonts w:hint="eastAsia"/>
          <w:sz w:val="21"/>
          <w:szCs w:val="21"/>
        </w:rPr>
        <w:t>博时基金管理有限公司</w:t>
      </w:r>
      <w:bookmarkEnd w:id="30"/>
      <w:r>
        <w:rPr>
          <w:rFonts w:hint="eastAsia"/>
          <w:sz w:val="21"/>
          <w:szCs w:val="21"/>
        </w:rPr>
        <w:t xml:space="preserve">委托代为办理登记业务的机构 </w:t>
      </w:r>
    </w:p>
    <w:p>
      <w:pPr>
        <w:pStyle w:val="7"/>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pPr>
        <w:pStyle w:val="7"/>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pPr>
        <w:pStyle w:val="7"/>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pPr>
        <w:pStyle w:val="7"/>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36、T日：指销售机构在规定时间受理投资人申购、赎回或其他业务申请的工作日 </w:t>
      </w:r>
    </w:p>
    <w:p>
      <w:pPr>
        <w:pStyle w:val="7"/>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pPr>
        <w:pStyle w:val="7"/>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 </w:t>
      </w:r>
    </w:p>
    <w:p>
      <w:pPr>
        <w:pStyle w:val="7"/>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39、开放时间：指开放日基金接受申购、赎回或其他业务的时间段 </w:t>
      </w:r>
    </w:p>
    <w:p>
      <w:pPr>
        <w:pStyle w:val="7"/>
        <w:spacing w:before="0" w:beforeAutospacing="0" w:after="0" w:afterAutospacing="0" w:line="360" w:lineRule="auto"/>
        <w:ind w:firstLine="420"/>
        <w:rPr>
          <w:sz w:val="21"/>
          <w:szCs w:val="21"/>
        </w:rPr>
      </w:pPr>
      <w:r>
        <w:rPr>
          <w:rFonts w:hint="eastAsia"/>
          <w:sz w:val="21"/>
          <w:szCs w:val="21"/>
        </w:rPr>
        <w:t>40、《业务规则》：指《</w:t>
      </w:r>
      <w:bookmarkStart w:id="31" w:name="field_0_managerorgfullname_5"/>
      <w:r>
        <w:rPr>
          <w:rFonts w:hint="eastAsia"/>
          <w:sz w:val="21"/>
          <w:szCs w:val="21"/>
        </w:rPr>
        <w:t>博时基金管理有限公司</w:t>
      </w:r>
      <w:bookmarkEnd w:id="31"/>
      <w:r>
        <w:rPr>
          <w:rFonts w:hint="eastAsia"/>
          <w:sz w:val="21"/>
          <w:szCs w:val="21"/>
        </w:rPr>
        <w:t xml:space="preserve">开放式基金业务规则》，是规范基金管理人所管理的开放式证券投资基金登记方面的业务规则，由基金管理人和投资人共同遵守 </w:t>
      </w:r>
    </w:p>
    <w:p>
      <w:pPr>
        <w:pStyle w:val="7"/>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pPr>
        <w:pStyle w:val="7"/>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pPr>
        <w:pStyle w:val="7"/>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pPr>
        <w:pStyle w:val="7"/>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pPr>
        <w:pStyle w:val="7"/>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2" w:name="field_49_mintredeemscale_1"/>
      <w:r>
        <w:rPr>
          <w:sz w:val="21"/>
          <w:szCs w:val="21"/>
        </w:rPr>
        <w:t>10</w:t>
      </w:r>
      <w:bookmarkEnd w:id="32"/>
      <w:r>
        <w:rPr>
          <w:rFonts w:hint="eastAsia"/>
          <w:sz w:val="21"/>
          <w:szCs w:val="21"/>
        </w:rPr>
        <w:t xml:space="preserve"> % </w:t>
      </w:r>
    </w:p>
    <w:p>
      <w:pPr>
        <w:pStyle w:val="7"/>
        <w:spacing w:before="0" w:beforeAutospacing="0" w:after="0" w:afterAutospacing="0" w:line="360" w:lineRule="auto"/>
        <w:ind w:firstLine="420"/>
        <w:rPr>
          <w:sz w:val="21"/>
          <w:szCs w:val="21"/>
        </w:rPr>
      </w:pPr>
      <w:r>
        <w:rPr>
          <w:rFonts w:hint="eastAsia"/>
          <w:sz w:val="21"/>
          <w:szCs w:val="21"/>
        </w:rPr>
        <w:t xml:space="preserve">48、元：指人民币元 </w:t>
      </w:r>
    </w:p>
    <w:p>
      <w:pPr>
        <w:pStyle w:val="7"/>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pPr>
        <w:pStyle w:val="7"/>
        <w:spacing w:before="0" w:beforeAutospacing="0" w:after="0" w:afterAutospacing="0" w:line="360" w:lineRule="auto"/>
        <w:ind w:firstLine="420"/>
        <w:rPr>
          <w:rFonts w:hint="eastAsia"/>
          <w:sz w:val="21"/>
          <w:szCs w:val="21"/>
        </w:rPr>
      </w:pPr>
      <w:r>
        <w:rPr>
          <w:rFonts w:hint="eastAsia"/>
          <w:sz w:val="21"/>
          <w:szCs w:val="21"/>
        </w:rPr>
        <w:t>53、基金资产估值：指计算评估基金资产和负债的价值，以确定基金资产净值和基金份额净值的过程</w:t>
      </w:r>
    </w:p>
    <w:p>
      <w:pPr>
        <w:spacing w:line="360" w:lineRule="auto"/>
        <w:ind w:firstLine="420" w:firstLineChars="200"/>
        <w:rPr>
          <w:rFonts w:ascii="宋体" w:hAnsi="宋体" w:eastAsia="宋体" w:cs="宋体"/>
          <w:kern w:val="0"/>
          <w:szCs w:val="21"/>
        </w:rPr>
      </w:pPr>
      <w:r>
        <w:rPr>
          <w:rFonts w:ascii="宋体" w:hAnsi="宋体" w:eastAsia="宋体" w:cs="宋体"/>
          <w:kern w:val="0"/>
          <w:szCs w:val="21"/>
        </w:rPr>
        <w:t>54</w:t>
      </w:r>
      <w:r>
        <w:rPr>
          <w:rFonts w:hint="eastAsia" w:ascii="宋体" w:hAnsi="宋体" w:eastAsia="宋体" w:cs="宋体"/>
          <w:kern w:val="0"/>
          <w:szCs w:val="21"/>
        </w:rPr>
        <w:t>、基金份额分类：指本基金分设两类基金份额，即</w:t>
      </w:r>
      <w:r>
        <w:rPr>
          <w:rFonts w:ascii="宋体" w:hAnsi="宋体" w:eastAsia="宋体" w:cs="宋体"/>
          <w:kern w:val="0"/>
          <w:szCs w:val="21"/>
        </w:rPr>
        <w:t>A</w:t>
      </w:r>
      <w:r>
        <w:rPr>
          <w:rFonts w:hint="eastAsia" w:ascii="宋体" w:hAnsi="宋体" w:eastAsia="宋体" w:cs="宋体"/>
          <w:kern w:val="0"/>
          <w:szCs w:val="21"/>
        </w:rPr>
        <w:t>类基金份额、</w:t>
      </w:r>
      <w:r>
        <w:rPr>
          <w:rFonts w:ascii="宋体" w:hAnsi="宋体" w:eastAsia="宋体" w:cs="宋体"/>
          <w:kern w:val="0"/>
          <w:szCs w:val="21"/>
        </w:rPr>
        <w:t>C</w:t>
      </w:r>
      <w:r>
        <w:rPr>
          <w:rFonts w:hint="eastAsia" w:ascii="宋体" w:hAnsi="宋体" w:eastAsia="宋体" w:cs="宋体"/>
          <w:kern w:val="0"/>
          <w:szCs w:val="21"/>
        </w:rPr>
        <w:t>类基金份额。两类基金份额分设不同的基金代码，分别计算基金份额净值，计算公式为计算日各类别基金资产净值除以计算日发售在外的该类别基金份额总数</w:t>
      </w:r>
    </w:p>
    <w:p>
      <w:pPr>
        <w:spacing w:line="360" w:lineRule="auto"/>
        <w:ind w:firstLine="420" w:firstLineChars="200"/>
        <w:rPr>
          <w:rFonts w:ascii="宋体" w:hAnsi="宋体" w:eastAsia="宋体" w:cs="宋体"/>
          <w:kern w:val="0"/>
          <w:szCs w:val="21"/>
        </w:rPr>
      </w:pPr>
      <w:r>
        <w:rPr>
          <w:rFonts w:ascii="宋体" w:hAnsi="宋体" w:eastAsia="宋体" w:cs="宋体"/>
          <w:kern w:val="0"/>
          <w:szCs w:val="21"/>
        </w:rPr>
        <w:t>55</w:t>
      </w:r>
      <w:r>
        <w:rPr>
          <w:rFonts w:hint="eastAsia" w:ascii="宋体" w:hAnsi="宋体" w:eastAsia="宋体" w:cs="宋体"/>
          <w:kern w:val="0"/>
          <w:szCs w:val="21"/>
        </w:rPr>
        <w:t>、</w:t>
      </w:r>
      <w:r>
        <w:rPr>
          <w:rFonts w:ascii="宋体" w:hAnsi="宋体" w:eastAsia="宋体" w:cs="宋体"/>
          <w:kern w:val="0"/>
          <w:szCs w:val="21"/>
        </w:rPr>
        <w:t>A</w:t>
      </w:r>
      <w:r>
        <w:rPr>
          <w:rFonts w:hint="eastAsia" w:ascii="宋体" w:hAnsi="宋体" w:eastAsia="宋体" w:cs="宋体"/>
          <w:kern w:val="0"/>
          <w:szCs w:val="21"/>
        </w:rPr>
        <w:t>类基金份额：指在投资者申购时收取申购费用，不从本类别基金资产中计提销售服务费的基金份额</w:t>
      </w:r>
    </w:p>
    <w:p>
      <w:pPr>
        <w:spacing w:line="360" w:lineRule="auto"/>
        <w:ind w:firstLine="420" w:firstLineChars="200"/>
        <w:rPr>
          <w:rFonts w:ascii="宋体" w:hAnsi="宋体" w:eastAsia="宋体" w:cs="宋体"/>
          <w:kern w:val="0"/>
          <w:szCs w:val="21"/>
        </w:rPr>
      </w:pPr>
      <w:r>
        <w:rPr>
          <w:rFonts w:ascii="宋体" w:hAnsi="宋体" w:eastAsia="宋体" w:cs="宋体"/>
          <w:kern w:val="0"/>
          <w:szCs w:val="21"/>
        </w:rPr>
        <w:t>56</w:t>
      </w:r>
      <w:r>
        <w:rPr>
          <w:rFonts w:hint="eastAsia" w:ascii="宋体" w:hAnsi="宋体" w:eastAsia="宋体" w:cs="宋体"/>
          <w:kern w:val="0"/>
          <w:szCs w:val="21"/>
        </w:rPr>
        <w:t>、</w:t>
      </w:r>
      <w:r>
        <w:rPr>
          <w:rFonts w:ascii="宋体" w:hAnsi="宋体" w:eastAsia="宋体" w:cs="宋体"/>
          <w:kern w:val="0"/>
          <w:szCs w:val="21"/>
        </w:rPr>
        <w:t>C</w:t>
      </w:r>
      <w:r>
        <w:rPr>
          <w:rFonts w:hint="eastAsia" w:ascii="宋体" w:hAnsi="宋体" w:eastAsia="宋体" w:cs="宋体"/>
          <w:kern w:val="0"/>
          <w:szCs w:val="21"/>
        </w:rPr>
        <w:t>类基金份额：指在投资者申购时不收取申购费用，但从本类别基金资产中计提销售服务费的基金份额</w:t>
      </w:r>
    </w:p>
    <w:p>
      <w:pPr>
        <w:spacing w:before="0" w:beforeAutospacing="0" w:after="0" w:afterAutospacing="0" w:line="360" w:lineRule="auto"/>
        <w:ind w:firstLine="420" w:firstLineChars="200"/>
        <w:rPr>
          <w:sz w:val="21"/>
          <w:szCs w:val="21"/>
        </w:rPr>
      </w:pPr>
      <w:r>
        <w:rPr>
          <w:rFonts w:ascii="宋体" w:hAnsi="宋体" w:eastAsia="宋体" w:cs="宋体"/>
          <w:bCs/>
          <w:kern w:val="0"/>
          <w:szCs w:val="21"/>
        </w:rPr>
        <w:t>57、销售服务费：指从基金财产中计提的，用于本基金市场推广、销售以及基金份额持有人服务的费用</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8</w:t>
      </w:r>
      <w:r>
        <w:rPr>
          <w:rFonts w:hint="eastAsia"/>
          <w:sz w:val="21"/>
          <w:szCs w:val="21"/>
        </w:rPr>
        <w:t xml:space="preserve">、指定媒介：指中国证监会指定的用以进行信息披露的全国性报刊及指定互联网网站（包括基金管理人网站、基金托管人网站、中国证监会基金电子披露网站）等媒介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9</w:t>
      </w:r>
      <w:r>
        <w:rPr>
          <w:rFonts w:hint="eastAsia"/>
          <w:sz w:val="21"/>
          <w:szCs w:val="21"/>
        </w:rPr>
        <w:t xml:space="preserve">、不可抗力：指基金合同当事人不能预见、不能避免且不能克服的客观事件 </w:t>
      </w:r>
    </w:p>
    <w:p>
      <w:pPr>
        <w:pStyle w:val="7"/>
        <w:spacing w:before="0" w:beforeAutospacing="0" w:after="0" w:afterAutospacing="0" w:line="360" w:lineRule="auto"/>
        <w:ind w:firstLine="420"/>
        <w:rPr>
          <w:sz w:val="21"/>
          <w:szCs w:val="21"/>
        </w:rPr>
      </w:pPr>
      <w:r>
        <w:rPr>
          <w:rFonts w:hint="eastAsia"/>
          <w:sz w:val="21"/>
          <w:szCs w:val="21"/>
          <w:lang w:val="en-US" w:eastAsia="zh-CN"/>
        </w:rPr>
        <w:t>60</w:t>
      </w:r>
      <w:r>
        <w:rPr>
          <w:rFonts w:hint="eastAsia"/>
          <w:sz w:val="21"/>
          <w:szCs w:val="21"/>
        </w:rPr>
        <w:t xml:space="preserve">、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lang w:val="en-US" w:eastAsia="zh-CN"/>
        </w:rPr>
        <w:t>61</w:t>
      </w:r>
      <w:r>
        <w:rPr>
          <w:rFonts w:hint="eastAsia"/>
          <w:sz w:val="21"/>
          <w:szCs w:val="21"/>
        </w:rPr>
        <w:t xml:space="preserve">、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pPr>
        <w:pStyle w:val="7"/>
        <w:spacing w:before="0" w:beforeAutospacing="0" w:after="0" w:afterAutospacing="0" w:line="360" w:lineRule="auto"/>
        <w:ind w:firstLine="420"/>
        <w:rPr>
          <w:sz w:val="21"/>
          <w:szCs w:val="21"/>
        </w:rPr>
      </w:pPr>
      <w:r>
        <w:rPr>
          <w:rFonts w:hint="eastAsia"/>
          <w:sz w:val="21"/>
          <w:szCs w:val="21"/>
          <w:lang w:val="en-US" w:eastAsia="zh-CN"/>
        </w:rPr>
        <w:t>62</w:t>
      </w:r>
      <w:r>
        <w:rPr>
          <w:rFonts w:hint="eastAsia"/>
          <w:sz w:val="21"/>
          <w:szCs w:val="21"/>
        </w:rPr>
        <w:t>、特定资产：包括：（一）无可参考的活跃市场价格且采用估值技术仍导致公允价值存在重大不确定性的资产；（二）按摊余成本计量且计提资产减值准备仍导致资产价值存在</w:t>
      </w:r>
      <w:bookmarkStart w:id="33" w:name="chapter_level1_4_49_section_2_end"/>
      <w:bookmarkEnd w:id="33"/>
      <w:r>
        <w:rPr>
          <w:rFonts w:hint="eastAsia"/>
          <w:sz w:val="21"/>
          <w:szCs w:val="21"/>
        </w:rPr>
        <w:t xml:space="preserve">重大不确定性的资产；（三）其他资产价值存在重大不确定性的资产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4" w:name="chapter_level1_5_53"/>
      <w:bookmarkStart w:id="35" w:name="_Toc176199408"/>
      <w:r>
        <w:rPr>
          <w:rFonts w:hint="eastAsia" w:ascii="宋体" w:hAnsi="宋体" w:eastAsia="宋体"/>
          <w:sz w:val="30"/>
        </w:rPr>
        <w:t>第三部分  基金管理人</w:t>
      </w:r>
      <w:bookmarkEnd w:id="34"/>
      <w:bookmarkEnd w:id="35"/>
    </w:p>
    <w:p>
      <w:pPr>
        <w:pStyle w:val="7"/>
        <w:spacing w:before="0" w:beforeAutospacing="0" w:after="0" w:afterAutospacing="0" w:line="360" w:lineRule="auto"/>
        <w:ind w:firstLine="420"/>
        <w:rPr>
          <w:rStyle w:val="11"/>
          <w:rFonts w:asciiTheme="minorHAnsi" w:hAnsiTheme="minorHAnsi" w:eastAsiaTheme="minorEastAsia" w:cstheme="minorBidi"/>
          <w:sz w:val="21"/>
          <w:szCs w:val="21"/>
        </w:rPr>
      </w:pPr>
      <w:bookmarkStart w:id="36" w:name="chapter_level1_5_53_section_1"/>
      <w:bookmarkEnd w:id="36"/>
      <w:bookmarkStart w:id="37" w:name="field_0_managerpersoninfo_1_end"/>
      <w:bookmarkEnd w:id="37"/>
      <w:r>
        <w:rPr>
          <w:rStyle w:val="11"/>
          <w:rFonts w:hint="eastAsia" w:asciiTheme="minorHAnsi" w:hAnsiTheme="minorHAnsi" w:eastAsiaTheme="minorEastAsia" w:cstheme="minorBidi"/>
          <w:sz w:val="21"/>
          <w:szCs w:val="21"/>
        </w:rPr>
        <w:t>一、基金管理人概况</w:t>
      </w:r>
    </w:p>
    <w:p>
      <w:pPr>
        <w:pStyle w:val="7"/>
        <w:spacing w:before="0" w:beforeAutospacing="0" w:after="0" w:afterAutospacing="0" w:line="360" w:lineRule="auto"/>
        <w:ind w:firstLine="420"/>
        <w:rPr>
          <w:sz w:val="21"/>
          <w:szCs w:val="21"/>
        </w:rPr>
      </w:pPr>
      <w:bookmarkStart w:id="38" w:name="field_0_managercompanyinfo_1_start"/>
      <w:bookmarkEnd w:id="38"/>
      <w:r>
        <w:rPr>
          <w:rFonts w:hint="eastAsia"/>
          <w:sz w:val="21"/>
          <w:szCs w:val="21"/>
        </w:rPr>
        <w:t>名称：</w:t>
      </w:r>
      <w:r>
        <w:rPr>
          <w:rFonts w:hint="eastAsia"/>
          <w:sz w:val="21"/>
          <w:szCs w:val="21"/>
        </w:rPr>
        <w:tab/>
      </w:r>
      <w:r>
        <w:rPr>
          <w:rFonts w:hint="eastAsia"/>
          <w:sz w:val="21"/>
          <w:szCs w:val="21"/>
        </w:rPr>
        <w:t>博时基金管理有限公司</w:t>
      </w:r>
    </w:p>
    <w:p>
      <w:pPr>
        <w:pStyle w:val="7"/>
        <w:spacing w:before="0" w:beforeAutospacing="0" w:after="0" w:afterAutospacing="0" w:line="360" w:lineRule="auto"/>
        <w:ind w:firstLine="420"/>
        <w:rPr>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pPr>
        <w:pStyle w:val="7"/>
        <w:spacing w:before="0" w:beforeAutospacing="0" w:after="0" w:afterAutospacing="0" w:line="360" w:lineRule="auto"/>
        <w:ind w:firstLine="420"/>
        <w:rPr>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pPr>
        <w:pStyle w:val="7"/>
        <w:spacing w:before="0" w:beforeAutospacing="0" w:after="0" w:afterAutospacing="0" w:line="360" w:lineRule="auto"/>
        <w:ind w:firstLine="420"/>
        <w:rPr>
          <w:sz w:val="21"/>
          <w:szCs w:val="21"/>
        </w:rPr>
      </w:pPr>
      <w:r>
        <w:rPr>
          <w:rFonts w:hint="eastAsia"/>
          <w:sz w:val="21"/>
          <w:szCs w:val="21"/>
        </w:rPr>
        <w:t>法定代表人：江向阳</w:t>
      </w:r>
    </w:p>
    <w:p>
      <w:pPr>
        <w:pStyle w:val="7"/>
        <w:spacing w:before="0" w:beforeAutospacing="0" w:after="0" w:afterAutospacing="0" w:line="360" w:lineRule="auto"/>
        <w:ind w:firstLine="420"/>
        <w:rPr>
          <w:sz w:val="21"/>
          <w:szCs w:val="21"/>
        </w:rPr>
      </w:pPr>
      <w:r>
        <w:rPr>
          <w:rFonts w:hint="eastAsia"/>
          <w:sz w:val="21"/>
          <w:szCs w:val="21"/>
        </w:rPr>
        <w:t>成立时间：</w:t>
      </w:r>
      <w:r>
        <w:rPr>
          <w:rFonts w:hint="eastAsia"/>
          <w:sz w:val="21"/>
          <w:szCs w:val="21"/>
        </w:rPr>
        <w:tab/>
      </w:r>
      <w:r>
        <w:rPr>
          <w:rFonts w:hint="eastAsia"/>
          <w:sz w:val="21"/>
          <w:szCs w:val="21"/>
        </w:rPr>
        <w:t>1998年7月13日</w:t>
      </w:r>
    </w:p>
    <w:p>
      <w:pPr>
        <w:pStyle w:val="7"/>
        <w:spacing w:before="0" w:beforeAutospacing="0" w:after="0" w:afterAutospacing="0" w:line="360" w:lineRule="auto"/>
        <w:ind w:firstLine="420"/>
        <w:rPr>
          <w:sz w:val="21"/>
          <w:szCs w:val="21"/>
        </w:rPr>
      </w:pPr>
      <w:r>
        <w:rPr>
          <w:rFonts w:hint="eastAsia"/>
          <w:sz w:val="21"/>
          <w:szCs w:val="21"/>
        </w:rPr>
        <w:t>注册资本：</w:t>
      </w:r>
      <w:r>
        <w:rPr>
          <w:rFonts w:hint="eastAsia"/>
          <w:sz w:val="21"/>
          <w:szCs w:val="21"/>
        </w:rPr>
        <w:tab/>
      </w:r>
      <w:r>
        <w:rPr>
          <w:rFonts w:hint="eastAsia"/>
          <w:sz w:val="21"/>
          <w:szCs w:val="21"/>
        </w:rPr>
        <w:t>2.5亿元人民币</w:t>
      </w:r>
    </w:p>
    <w:p>
      <w:pPr>
        <w:pStyle w:val="7"/>
        <w:spacing w:before="0" w:beforeAutospacing="0" w:after="0" w:afterAutospacing="0" w:line="360" w:lineRule="auto"/>
        <w:ind w:firstLine="420"/>
        <w:rPr>
          <w:sz w:val="21"/>
          <w:szCs w:val="21"/>
        </w:rPr>
      </w:pPr>
      <w:r>
        <w:rPr>
          <w:rFonts w:hint="eastAsia"/>
          <w:sz w:val="21"/>
          <w:szCs w:val="21"/>
        </w:rPr>
        <w:t>存续期间：</w:t>
      </w:r>
      <w:r>
        <w:rPr>
          <w:rFonts w:hint="eastAsia"/>
          <w:sz w:val="21"/>
          <w:szCs w:val="21"/>
        </w:rPr>
        <w:tab/>
      </w:r>
      <w:r>
        <w:rPr>
          <w:rFonts w:hint="eastAsia"/>
          <w:sz w:val="21"/>
          <w:szCs w:val="21"/>
        </w:rPr>
        <w:t>持续经营</w:t>
      </w:r>
    </w:p>
    <w:p>
      <w:pPr>
        <w:pStyle w:val="7"/>
        <w:spacing w:before="0" w:beforeAutospacing="0" w:after="0" w:afterAutospacing="0" w:line="360" w:lineRule="auto"/>
        <w:ind w:firstLine="420"/>
        <w:rPr>
          <w:sz w:val="21"/>
          <w:szCs w:val="21"/>
        </w:rPr>
      </w:pPr>
      <w:r>
        <w:rPr>
          <w:rFonts w:hint="eastAsia"/>
          <w:sz w:val="21"/>
          <w:szCs w:val="21"/>
        </w:rPr>
        <w:t>联系人：    王济帆</w:t>
      </w:r>
    </w:p>
    <w:p>
      <w:pPr>
        <w:pStyle w:val="7"/>
        <w:spacing w:before="0" w:beforeAutospacing="0" w:after="0" w:afterAutospacing="0" w:line="360" w:lineRule="auto"/>
        <w:ind w:firstLine="420"/>
        <w:rPr>
          <w:sz w:val="21"/>
          <w:szCs w:val="21"/>
        </w:rPr>
      </w:pPr>
      <w:r>
        <w:rPr>
          <w:rFonts w:hint="eastAsia"/>
          <w:sz w:val="21"/>
          <w:szCs w:val="21"/>
        </w:rPr>
        <w:t>联系电话：  （0755）8316 9999</w:t>
      </w:r>
    </w:p>
    <w:p>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公司，持有股份25%；天津港（集团）有限公司，持有股份6％；上海汇华实业有限公司，持有股份12％；上海盛业股权投资基金有限公司，持有股份6％；浙江省国贸集团资产经营有限公司，持有股份2%。注册资本为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w:t>
      </w:r>
      <w:r>
        <w:rPr>
          <w:rFonts w:hint="eastAsia"/>
          <w:sz w:val="21"/>
          <w:szCs w:val="21"/>
          <w:highlight w:val="none"/>
          <w:lang w:eastAsia="zh-CN"/>
        </w:rPr>
        <w:t>至</w:t>
      </w:r>
      <w:r>
        <w:rPr>
          <w:rFonts w:hint="eastAsia"/>
          <w:sz w:val="21"/>
          <w:szCs w:val="21"/>
          <w:highlight w:val="none"/>
          <w:lang w:val="en-US" w:eastAsia="zh-CN"/>
        </w:rPr>
        <w:t>2024年5月24日</w:t>
      </w:r>
      <w:r>
        <w:rPr>
          <w:rFonts w:hint="eastAsia"/>
          <w:sz w:val="21"/>
          <w:szCs w:val="21"/>
          <w:highlight w:val="none"/>
        </w:rPr>
        <w:t>代为履行博时基金管理有限公司总经理职务。自2020年4月1日起任博时基金管理有限公司党委书记。自2020年4月15日起，任博时基金管理有限公司董事长。</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张东先生，硕士，总经理。1989年至</w:t>
      </w:r>
      <w:r>
        <w:rPr>
          <w:rFonts w:hint="eastAsia"/>
          <w:sz w:val="21"/>
          <w:szCs w:val="21"/>
          <w:highlight w:val="none"/>
          <w:lang w:val="en-US" w:eastAsia="zh-CN"/>
        </w:rPr>
        <w:t>2024年先后在中国银行、招商银行从事零售金融、财富业务和财务会计等工作。2024年加入博时基金管理有限公司，现任公司总经理。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罗立女士，毕业于中央财经大学经济学院，获经济学硕士学位，美国注册管理会计师，香港证券及投资学会高级从业资格，高级经济师。现任招商局集团财务部（产权部）副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pStyle w:val="7"/>
        <w:spacing w:before="0" w:beforeAutospacing="0" w:after="0" w:afterAutospacing="0" w:line="360" w:lineRule="auto"/>
        <w:ind w:firstLine="420"/>
        <w:rPr>
          <w:sz w:val="21"/>
          <w:szCs w:val="21"/>
          <w:highlight w:val="none"/>
        </w:rPr>
      </w:pPr>
      <w:r>
        <w:rPr>
          <w:rFonts w:hint="eastAsia"/>
          <w:sz w:val="21"/>
          <w:szCs w:val="21"/>
          <w:highlight w:val="none"/>
        </w:rPr>
        <w:t>2、基金管理人监事会成员</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胡艳君女士，经济师。本科毕业于中南财经政法大学财税系，取得学士学位；后取得中国财政科学研究院硕士学位。现任招商局集团有限公司财务部（产权部）副部长。历任招商局集团财务部总监，曾就职国家财政部。</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李兴春先生，硕士，高级经济师，美国注册管理会计师。2007.07--2023.07先后在天津港欧亚国际集装箱码头有限公司、天津港东疆建设开发有限公司、天津港（集团）有限公司、天津港股份有限公司担任科员、副科长、科长、项目投资经理、综合业务经理等岗位（期间2021.07--2022.07任天津泰达投资控股公司投资部挂职干部）；2023.07--今，任天津港（集团）有限公司投发管理部副总经理兼任天津港股份有限公司投资部副总经理。</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严斌先生，硕士。1997年7月起先后在华侨城集团公司、博时基金管理有限公司工作。现任博时基金管理有限公司提质增效办主任。自2015年5月起，任博时基金管理有限公司监事。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至今任登记清算部总经理。2024年3月7日起任审计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3、高级管理人员</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江向阳先生，简历同上。</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w:t>
      </w:r>
      <w:r>
        <w:rPr>
          <w:rFonts w:hint="eastAsia"/>
          <w:sz w:val="21"/>
          <w:szCs w:val="21"/>
          <w:highlight w:val="none"/>
        </w:rPr>
        <w:t>简历同上。</w:t>
      </w:r>
    </w:p>
    <w:p>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p>
    <w:p>
      <w:pPr>
        <w:pStyle w:val="7"/>
        <w:spacing w:before="0" w:beforeAutospacing="0" w:after="0" w:afterAutospacing="0" w:line="360" w:lineRule="auto"/>
        <w:ind w:firstLine="420"/>
        <w:rPr>
          <w:sz w:val="21"/>
          <w:szCs w:val="21"/>
          <w:highlight w:val="none"/>
        </w:rPr>
      </w:pPr>
      <w:r>
        <w:rPr>
          <w:rFonts w:hint="eastAsia"/>
          <w:sz w:val="21"/>
          <w:szCs w:val="21"/>
          <w:highlight w:val="none"/>
        </w:rPr>
        <w:t>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基金零售等工作，兼任博时财富基金销售有限公司董事长</w:t>
      </w:r>
      <w:r>
        <w:rPr>
          <w:rFonts w:hint="eastAsia"/>
          <w:sz w:val="21"/>
          <w:szCs w:val="21"/>
          <w:highlight w:val="none"/>
          <w:lang w:val="en-US" w:eastAsia="zh-CN"/>
        </w:rPr>
        <w:t>和</w:t>
      </w:r>
      <w:r>
        <w:rPr>
          <w:rFonts w:hint="eastAsia"/>
          <w:sz w:val="21"/>
          <w:szCs w:val="21"/>
          <w:highlight w:val="none"/>
        </w:rPr>
        <w:t>博时资本管理有限公司董事</w:t>
      </w:r>
      <w:r>
        <w:rPr>
          <w:rFonts w:hint="eastAsia"/>
          <w:sz w:val="21"/>
          <w:szCs w:val="21"/>
          <w:highlight w:val="none"/>
          <w:lang w:val="en-US" w:eastAsia="zh-CN"/>
        </w:rPr>
        <w:t>长</w:t>
      </w:r>
      <w:r>
        <w:rPr>
          <w:rFonts w:hint="eastAsia"/>
          <w:sz w:val="21"/>
          <w:szCs w:val="21"/>
          <w:highlight w:val="none"/>
        </w:rPr>
        <w:t>。</w:t>
      </w:r>
    </w:p>
    <w:p>
      <w:pPr>
        <w:pStyle w:val="7"/>
        <w:spacing w:before="0" w:beforeAutospacing="0" w:after="0" w:afterAutospacing="0" w:line="360" w:lineRule="auto"/>
        <w:ind w:firstLine="420"/>
        <w:rPr>
          <w:sz w:val="21"/>
          <w:szCs w:val="21"/>
        </w:rPr>
      </w:pPr>
      <w:r>
        <w:rPr>
          <w:rFonts w:hint="eastAsia"/>
          <w:sz w:val="21"/>
          <w:szCs w:val="21"/>
          <w:highlight w:val="none"/>
        </w:rPr>
        <w:t>孙麒清女士，商法学硕士，督察长。曾供职于广东深港律师事务所。2002年加入博时基金管理有限公司，历任监察法律部法律顾问、监察法律部总经理。现任公司督察长，兼任博时财富基金销售有限公司董事。</w:t>
      </w:r>
      <w:r>
        <w:rPr>
          <w:rFonts w:hint="eastAsia"/>
          <w:sz w:val="21"/>
          <w:szCs w:val="21"/>
        </w:rPr>
        <w:t xml:space="preserve">   </w:t>
      </w:r>
    </w:p>
    <w:p>
      <w:pPr>
        <w:pStyle w:val="7"/>
        <w:spacing w:before="0" w:beforeAutospacing="0" w:after="0" w:afterAutospacing="0" w:line="360" w:lineRule="auto"/>
        <w:ind w:firstLine="420"/>
        <w:rPr>
          <w:sz w:val="21"/>
          <w:szCs w:val="21"/>
        </w:rPr>
      </w:pPr>
      <w:bookmarkStart w:id="39" w:name="chapter_level1_5_53_section_2"/>
      <w:bookmarkEnd w:id="39"/>
      <w:r>
        <w:rPr>
          <w:rFonts w:hint="eastAsia"/>
          <w:sz w:val="21"/>
          <w:szCs w:val="21"/>
        </w:rPr>
        <w:t xml:space="preserve">4、本基金基金经理 </w:t>
      </w:r>
    </w:p>
    <w:p>
      <w:pPr>
        <w:pStyle w:val="7"/>
        <w:spacing w:before="0" w:beforeAutospacing="0" w:after="0" w:afterAutospacing="0" w:line="360" w:lineRule="auto"/>
        <w:ind w:firstLine="420"/>
        <w:rPr>
          <w:sz w:val="21"/>
          <w:szCs w:val="21"/>
        </w:rPr>
      </w:pPr>
      <w:bookmarkStart w:id="40" w:name="field_0_fundmanagerresume_1_start"/>
      <w:bookmarkEnd w:id="40"/>
      <w:r>
        <w:rPr>
          <w:rFonts w:hint="eastAsia" w:ascii="宋体" w:hAnsi="宋体" w:eastAsia="宋体" w:cs="宋体"/>
          <w:i w:val="0"/>
          <w:iCs w:val="0"/>
          <w:caps w:val="0"/>
          <w:color w:val="auto"/>
          <w:spacing w:val="0"/>
          <w:sz w:val="21"/>
          <w:szCs w:val="21"/>
          <w:shd w:val="clear" w:fill="auto"/>
        </w:rPr>
        <w:t>李汉楠先生，硕士。2014年至2019年在长城基金工作。2019年加入博时基金管理有限公司。历任博时季季乐三个月持有期债券型证券投资基金(2020年5月27日-2021年8月17日)、博时信用优选债券型证券投资基金(2020年5月22日-2022年5月5日)、博时安瑞18个月定期开放债券型证券投资基金(2019年12月23日-2022年7月1日)、博时富汇纯债3个月定期开放债券型发起式证券投资基金(2021年8月17日-2022年9月9日)、博时富盛纯债一年定期开放债券型发起式证券投资基金(2021年8月17日-2022年9月9日)、博时荣升稳健添利18个月定期开放混合型证券投资基金(2020年4月29日-2023年3月23日)、博时富通纯债一年定期开放债券型发起式证券投资基金(2022年2月17日-2023年7月28日)、博时裕瑞纯债债券型证券投资基金(2022年2月17日-2024年4月3日)、博时富耀纯债一年定期开放债券型发起式证券投资基金(2023年6月7日-2024年6月25日)、博时富元纯债债券型证券投资基金(2023年4月20日-2024年7月23日)、博时安仁一年定期开放债券型发起式证券投资基金(2023年7月26日-2024年8月13日)、博时富华纯债债券型证券投资基金(2023年7月26日-2024年8月27日)的基金经理。现任博时富灿纯债一年定期开放债券型发起式证券投资基金(2021年4月13日—至今)、博时丰庆纯债债券型证券投资基金(2022年2月17日—至今)、博时裕昂纯债债券型证券投资基金(2022年2月17日—至今)、博时裕泰纯债债券型证券投资基金(2022年2月17日—至今)、博时裕创纯债债券型证券投资基金(2022年2月17日—至今)、博时裕盛纯债债券型证券投资基金(2023年7月26日—至今)、博时裕安纯债一年定期开放债券型发起式证券投资基金(2023年7月26日—至今)的基金经理。</w:t>
      </w:r>
      <w:r>
        <w:rPr>
          <w:rFonts w:hint="eastAsia"/>
          <w:sz w:val="21"/>
          <w:szCs w:val="21"/>
        </w:rPr>
        <w:t xml:space="preserve"> </w:t>
      </w:r>
    </w:p>
    <w:p>
      <w:pPr>
        <w:pStyle w:val="7"/>
        <w:spacing w:before="0" w:beforeAutospacing="0" w:after="0" w:afterAutospacing="0" w:line="360" w:lineRule="auto"/>
        <w:ind w:firstLine="420"/>
        <w:rPr>
          <w:sz w:val="21"/>
          <w:szCs w:val="21"/>
        </w:rPr>
      </w:pPr>
      <w:bookmarkStart w:id="41" w:name="field_0_fundmanagershis_1_start"/>
      <w:bookmarkEnd w:id="41"/>
      <w:r>
        <w:rPr>
          <w:rFonts w:hint="eastAsia"/>
          <w:sz w:val="21"/>
          <w:szCs w:val="21"/>
        </w:rPr>
        <w:t>本基金历任基金经理：魏桢（2016年5月20日-2019年3月4日）、陈凯杨（2019年3月4日-2020年5月13日）、郭思洁（2020年5月13日-2021年10月</w:t>
      </w:r>
      <w:bookmarkStart w:id="42" w:name="chapter_level1_5_53_section_2_end"/>
      <w:bookmarkEnd w:id="42"/>
      <w:r>
        <w:rPr>
          <w:rFonts w:hint="eastAsia"/>
          <w:sz w:val="21"/>
          <w:szCs w:val="21"/>
        </w:rPr>
        <w:t>27日）、于渤洋（2021年10月27日-2023年7月26日）。</w:t>
      </w:r>
      <w:bookmarkStart w:id="43" w:name="field_0_fundmanagershis_1_end"/>
      <w:bookmarkEnd w:id="43"/>
      <w:r>
        <w:rPr>
          <w:rFonts w:hint="eastAsia"/>
          <w:sz w:val="21"/>
          <w:szCs w:val="21"/>
        </w:rPr>
        <w:t xml:space="preserve">  </w:t>
      </w:r>
    </w:p>
    <w:p>
      <w:pPr>
        <w:pStyle w:val="7"/>
        <w:spacing w:before="0" w:beforeAutospacing="0" w:after="0" w:afterAutospacing="0" w:line="360" w:lineRule="auto"/>
        <w:ind w:firstLine="420"/>
        <w:rPr>
          <w:sz w:val="21"/>
          <w:szCs w:val="21"/>
        </w:rPr>
      </w:pPr>
      <w:bookmarkStart w:id="44" w:name="field_0_managerpersoninfo2_1_start"/>
      <w:bookmarkEnd w:id="44"/>
      <w:bookmarkStart w:id="45" w:name="chapter_level1_5_53_section_3"/>
      <w:bookmarkEnd w:id="45"/>
      <w:r>
        <w:rPr>
          <w:rFonts w:hint="eastAsia"/>
          <w:sz w:val="21"/>
          <w:szCs w:val="21"/>
        </w:rPr>
        <w:t xml:space="preserve">5、投资决策委员会成员 </w:t>
      </w:r>
    </w:p>
    <w:p>
      <w:pPr>
        <w:spacing w:line="360" w:lineRule="auto"/>
        <w:ind w:firstLine="420" w:firstLineChars="0"/>
        <w:jc w:val="left"/>
        <w:rPr>
          <w:rFonts w:hint="eastAsia" w:ascii="宋体" w:hAnsi="宋体" w:eastAsia="宋体" w:cs="宋体"/>
          <w:kern w:val="0"/>
          <w:szCs w:val="21"/>
          <w:highlight w:val="none"/>
        </w:rPr>
      </w:pPr>
      <w:bookmarkStart w:id="46" w:name="OLE_LINK5"/>
      <w:bookmarkStart w:id="47" w:name="OLE_LINK4"/>
      <w:r>
        <w:rPr>
          <w:rFonts w:hint="eastAsia" w:ascii="宋体" w:hAnsi="宋体" w:eastAsia="宋体" w:cs="宋体"/>
          <w:kern w:val="0"/>
          <w:szCs w:val="21"/>
          <w:highlight w:val="none"/>
        </w:rPr>
        <w:t xml:space="preserve">公司首席资产配置官黄健斌先生。 </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公司投资决策委员会专职委员兼年金投资部总经理于善辉先生。</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首席基金经理过钧先生。 </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首席投资官兼权益投研一体化总监、权益投资四部总经理、境外投资部总经理曾鹏先生。 </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权益投资三部总经理兼权益投资三部投资总监蔡滨先生。 </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行业研究部总经理魏立先生。 </w:t>
      </w:r>
    </w:p>
    <w:p>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宏观策略部总经理兼行业研究部研究总监金晟哲先生。 </w:t>
      </w:r>
    </w:p>
    <w:p>
      <w:pPr>
        <w:spacing w:before="0" w:beforeAutospacing="0" w:after="0" w:afterAutospacing="0" w:line="360" w:lineRule="auto"/>
        <w:ind w:firstLine="420"/>
        <w:rPr>
          <w:sz w:val="21"/>
          <w:szCs w:val="21"/>
        </w:rPr>
      </w:pPr>
      <w:r>
        <w:rPr>
          <w:rFonts w:hint="eastAsia" w:ascii="宋体" w:hAnsi="宋体" w:eastAsia="宋体" w:cs="宋体"/>
          <w:kern w:val="0"/>
          <w:szCs w:val="21"/>
          <w:highlight w:val="none"/>
        </w:rPr>
        <w:t xml:space="preserve">指数与量化投资部总经理兼指数与量化投资部投资总监赵云阳先生。  </w:t>
      </w:r>
      <w:bookmarkEnd w:id="46"/>
      <w:bookmarkEnd w:id="47"/>
    </w:p>
    <w:p>
      <w:pPr>
        <w:pStyle w:val="7"/>
        <w:spacing w:before="0" w:beforeAutospacing="0" w:after="0" w:afterAutospacing="0" w:line="360" w:lineRule="auto"/>
        <w:ind w:firstLine="420"/>
        <w:rPr>
          <w:sz w:val="21"/>
          <w:szCs w:val="21"/>
        </w:rPr>
      </w:pPr>
      <w:bookmarkStart w:id="48" w:name="chapter_level1_5_53_section_3_end"/>
      <w:bookmarkEnd w:id="48"/>
      <w:r>
        <w:rPr>
          <w:rFonts w:hint="eastAsia"/>
          <w:sz w:val="21"/>
          <w:szCs w:val="21"/>
        </w:rPr>
        <w:t xml:space="preserve">6、上述人员之间均不存在近亲属关系。 </w:t>
      </w:r>
      <w:bookmarkStart w:id="49" w:name="field_0_managerpersoninfo2_1_end"/>
      <w:bookmarkEnd w:id="49"/>
      <w:r>
        <w:rPr>
          <w:rFonts w:hint="eastAsia"/>
          <w:sz w:val="21"/>
          <w:szCs w:val="21"/>
        </w:rPr>
        <w:t xml:space="preserve">  </w:t>
      </w:r>
    </w:p>
    <w:p>
      <w:pPr>
        <w:pStyle w:val="7"/>
        <w:spacing w:before="0" w:beforeAutospacing="0" w:after="0" w:afterAutospacing="0" w:line="360" w:lineRule="auto"/>
        <w:ind w:firstLine="420"/>
        <w:rPr>
          <w:sz w:val="21"/>
          <w:szCs w:val="21"/>
        </w:rPr>
      </w:pPr>
      <w:bookmarkStart w:id="50" w:name="chapter_level1_5_53_section_4"/>
      <w:bookmarkEnd w:id="50"/>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8、采取适当合理的措施使计算基金份额认购、申购、赎回和注销价格的方法符合《基金合同》等法律文件的规定，按有关规定计算并公告基金资产净值，确定基金份额申购、赎回的价格；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（5）侵占、挪用基金财产；</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sz w:val="21"/>
          <w:szCs w:val="21"/>
        </w:rPr>
      </w:pPr>
      <w:r>
        <w:rPr>
          <w:rStyle w:val="11"/>
          <w:rFonts w:hint="eastAsia"/>
          <w:sz w:val="21"/>
          <w:szCs w:val="21"/>
        </w:rPr>
        <w:t>六、基金管理人的内部控制制度</w:t>
      </w:r>
    </w:p>
    <w:p>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pPr>
        <w:pStyle w:val="7"/>
        <w:spacing w:before="0" w:beforeAutospacing="0" w:after="0" w:afterAutospacing="0" w:line="360" w:lineRule="auto"/>
        <w:ind w:firstLine="420"/>
        <w:rPr>
          <w:sz w:val="21"/>
          <w:szCs w:val="21"/>
        </w:rPr>
      </w:pPr>
      <w:r>
        <w:rPr>
          <w:rFonts w:hint="eastAsia"/>
          <w:sz w:val="21"/>
          <w:szCs w:val="21"/>
        </w:rPr>
        <w:t xml:space="preserve">（1）全面性原则  </w:t>
      </w:r>
    </w:p>
    <w:p>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pPr>
        <w:pStyle w:val="7"/>
        <w:spacing w:before="0" w:beforeAutospacing="0" w:after="0" w:afterAutospacing="0" w:line="360" w:lineRule="auto"/>
        <w:ind w:firstLine="420"/>
        <w:rPr>
          <w:sz w:val="21"/>
          <w:szCs w:val="21"/>
        </w:rPr>
      </w:pPr>
      <w:r>
        <w:rPr>
          <w:rFonts w:hint="eastAsia"/>
          <w:sz w:val="21"/>
          <w:szCs w:val="21"/>
        </w:rPr>
        <w:t xml:space="preserve">（2）独立性原则  </w:t>
      </w:r>
    </w:p>
    <w:p>
      <w:pPr>
        <w:pStyle w:val="7"/>
        <w:spacing w:before="0" w:beforeAutospacing="0" w:after="0" w:afterAutospacing="0" w:line="360" w:lineRule="auto"/>
        <w:ind w:firstLine="420"/>
        <w:rPr>
          <w:sz w:val="21"/>
          <w:szCs w:val="21"/>
        </w:rPr>
      </w:pPr>
      <w:r>
        <w:rPr>
          <w:rFonts w:hint="eastAsia"/>
          <w:sz w:val="21"/>
          <w:szCs w:val="21"/>
        </w:rPr>
        <w:t xml:space="preserve">公司设立独立的监察部，监察部保持高度的独立性和权威性，负责对公司各部门风险控制工作进行稽核和检查。  </w:t>
      </w:r>
    </w:p>
    <w:p>
      <w:pPr>
        <w:pStyle w:val="7"/>
        <w:spacing w:before="0" w:beforeAutospacing="0" w:after="0" w:afterAutospacing="0" w:line="360" w:lineRule="auto"/>
        <w:ind w:firstLine="420"/>
        <w:rPr>
          <w:sz w:val="21"/>
          <w:szCs w:val="21"/>
        </w:rPr>
      </w:pPr>
      <w:r>
        <w:rPr>
          <w:rFonts w:hint="eastAsia"/>
          <w:sz w:val="21"/>
          <w:szCs w:val="21"/>
        </w:rPr>
        <w:t xml:space="preserve">（3）相互制约原则  </w:t>
      </w:r>
    </w:p>
    <w:p>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监察部负责监察公司的风险管理措施的执行。具体而言，包括如下组成部分：  </w:t>
      </w:r>
    </w:p>
    <w:p>
      <w:pPr>
        <w:pStyle w:val="7"/>
        <w:spacing w:before="0" w:beforeAutospacing="0" w:after="0" w:afterAutospacing="0" w:line="360" w:lineRule="auto"/>
        <w:ind w:firstLine="420"/>
        <w:rPr>
          <w:sz w:val="21"/>
          <w:szCs w:val="21"/>
        </w:rPr>
      </w:pPr>
      <w:r>
        <w:rPr>
          <w:rFonts w:hint="eastAsia"/>
          <w:sz w:val="21"/>
          <w:szCs w:val="21"/>
        </w:rPr>
        <w:t xml:space="preserve">（1）董事会  </w:t>
      </w:r>
    </w:p>
    <w:p>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pPr>
        <w:pStyle w:val="7"/>
        <w:spacing w:before="0" w:beforeAutospacing="0" w:after="0" w:afterAutospacing="0" w:line="360" w:lineRule="auto"/>
        <w:ind w:firstLine="420"/>
        <w:rPr>
          <w:sz w:val="21"/>
          <w:szCs w:val="21"/>
        </w:rPr>
      </w:pPr>
      <w:r>
        <w:rPr>
          <w:rFonts w:hint="eastAsia"/>
          <w:sz w:val="21"/>
          <w:szCs w:val="21"/>
        </w:rPr>
        <w:t xml:space="preserve">（3）督察长  </w:t>
      </w:r>
    </w:p>
    <w:p>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pPr>
        <w:pStyle w:val="7"/>
        <w:spacing w:before="0" w:beforeAutospacing="0" w:after="0" w:afterAutospacing="0" w:line="360" w:lineRule="auto"/>
        <w:ind w:firstLine="420"/>
        <w:rPr>
          <w:sz w:val="21"/>
          <w:szCs w:val="21"/>
        </w:rPr>
      </w:pPr>
      <w:r>
        <w:rPr>
          <w:rFonts w:hint="eastAsia"/>
          <w:sz w:val="21"/>
          <w:szCs w:val="21"/>
        </w:rPr>
        <w:t xml:space="preserve">（4）监察法律部  </w:t>
      </w:r>
    </w:p>
    <w:p>
      <w:pPr>
        <w:pStyle w:val="7"/>
        <w:spacing w:before="0" w:beforeAutospacing="0" w:after="0" w:afterAutospacing="0" w:line="360" w:lineRule="auto"/>
        <w:ind w:firstLine="420"/>
        <w:rPr>
          <w:sz w:val="21"/>
          <w:szCs w:val="21"/>
        </w:rPr>
      </w:pPr>
      <w:r>
        <w:rPr>
          <w:rFonts w:hint="eastAsia"/>
          <w:sz w:val="21"/>
          <w:szCs w:val="21"/>
        </w:rPr>
        <w:t xml:space="preserve">监察法律部负责对公司风险管理政策和措施的执行情况进行监察，并为每一个部门的风险管理系统的发展提供协助，使公司在一种风险管理和控制的环境中实现业务目标。  </w:t>
      </w:r>
    </w:p>
    <w:p>
      <w:pPr>
        <w:pStyle w:val="7"/>
        <w:spacing w:before="0" w:beforeAutospacing="0" w:after="0" w:afterAutospacing="0" w:line="360" w:lineRule="auto"/>
        <w:ind w:firstLine="420"/>
        <w:rPr>
          <w:sz w:val="21"/>
          <w:szCs w:val="21"/>
        </w:rPr>
      </w:pPr>
      <w:r>
        <w:rPr>
          <w:rFonts w:hint="eastAsia"/>
          <w:sz w:val="21"/>
          <w:szCs w:val="21"/>
        </w:rPr>
        <w:t xml:space="preserve">（5）风险管理部  </w:t>
      </w:r>
    </w:p>
    <w:p>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pPr>
        <w:pStyle w:val="7"/>
        <w:spacing w:before="0" w:beforeAutospacing="0" w:after="0" w:afterAutospacing="0" w:line="360" w:lineRule="auto"/>
        <w:ind w:firstLine="420"/>
        <w:rPr>
          <w:sz w:val="21"/>
          <w:szCs w:val="21"/>
        </w:rPr>
      </w:pPr>
      <w:r>
        <w:rPr>
          <w:rFonts w:hint="eastAsia"/>
          <w:sz w:val="21"/>
          <w:szCs w:val="21"/>
        </w:rPr>
        <w:t xml:space="preserve">（6）业务部门  </w:t>
      </w:r>
    </w:p>
    <w:p>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51" w:name="chapter_level1_5_53_section_4_end"/>
      <w:bookmarkEnd w:id="51"/>
      <w:r>
        <w:rPr>
          <w:rFonts w:hint="eastAsia"/>
          <w:sz w:val="21"/>
          <w:szCs w:val="21"/>
        </w:rPr>
        <w:t xml:space="preserve">控制风险。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2" w:name="_Toc176199409"/>
      <w:bookmarkStart w:id="53" w:name="chapter_level1_6_55"/>
      <w:r>
        <w:rPr>
          <w:rFonts w:hint="eastAsia" w:ascii="宋体" w:hAnsi="宋体" w:eastAsia="宋体"/>
          <w:sz w:val="30"/>
        </w:rPr>
        <w:t>第四部分  基金托管人</w:t>
      </w:r>
      <w:bookmarkEnd w:id="52"/>
      <w:bookmarkEnd w:id="53"/>
    </w:p>
    <w:p>
      <w:pPr>
        <w:pStyle w:val="7"/>
        <w:spacing w:before="0" w:beforeAutospacing="0" w:after="0" w:afterAutospacing="0" w:line="360" w:lineRule="auto"/>
        <w:ind w:firstLine="420"/>
        <w:rPr>
          <w:sz w:val="21"/>
          <w:szCs w:val="21"/>
        </w:rPr>
      </w:pPr>
      <w:bookmarkStart w:id="54" w:name="field_0_trustcompanyinfo_1_start"/>
      <w:bookmarkEnd w:id="54"/>
      <w:bookmarkStart w:id="55" w:name="chapter_level1_6_55_section_1"/>
      <w:bookmarkEnd w:id="55"/>
      <w:r>
        <w:rPr>
          <w:rFonts w:hint="eastAsia"/>
          <w:sz w:val="21"/>
          <w:szCs w:val="21"/>
        </w:rPr>
        <w:t xml:space="preserve">一、基本情况 </w:t>
      </w:r>
    </w:p>
    <w:p>
      <w:pPr>
        <w:pStyle w:val="7"/>
        <w:spacing w:before="0" w:beforeAutospacing="0" w:after="0" w:afterAutospacing="0" w:line="360" w:lineRule="auto"/>
        <w:ind w:firstLine="420"/>
        <w:rPr>
          <w:sz w:val="21"/>
          <w:szCs w:val="21"/>
        </w:rPr>
      </w:pPr>
      <w:r>
        <w:rPr>
          <w:rFonts w:hint="eastAsia"/>
          <w:sz w:val="21"/>
          <w:szCs w:val="21"/>
        </w:rPr>
        <w:t xml:space="preserve">名称：南京银行股份有限公司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住所：南京市江山大街88号 </w:t>
      </w:r>
    </w:p>
    <w:p>
      <w:pPr>
        <w:pStyle w:val="7"/>
        <w:spacing w:before="0" w:beforeAutospacing="0" w:after="0" w:afterAutospacing="0" w:line="360" w:lineRule="auto"/>
        <w:ind w:firstLine="420"/>
        <w:rPr>
          <w:sz w:val="21"/>
          <w:szCs w:val="21"/>
        </w:rPr>
      </w:pPr>
      <w:r>
        <w:rPr>
          <w:rFonts w:hint="eastAsia"/>
          <w:sz w:val="21"/>
          <w:szCs w:val="21"/>
        </w:rPr>
        <w:t xml:space="preserve">法定代表人：谢宁 </w:t>
      </w:r>
    </w:p>
    <w:p>
      <w:pPr>
        <w:pStyle w:val="7"/>
        <w:spacing w:before="0" w:beforeAutospacing="0" w:after="0" w:afterAutospacing="0" w:line="360" w:lineRule="auto"/>
        <w:ind w:firstLine="420"/>
        <w:rPr>
          <w:sz w:val="21"/>
          <w:szCs w:val="21"/>
        </w:rPr>
      </w:pPr>
      <w:r>
        <w:rPr>
          <w:rFonts w:hint="eastAsia"/>
          <w:sz w:val="21"/>
          <w:szCs w:val="21"/>
        </w:rPr>
        <w:t xml:space="preserve">成立时间：1996年2月6日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基金托管业务批准文号：中国证监会证监许可〔2014〕405号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注册资本：1000701.6973万元人民币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二、基金托管业务经营情况 </w:t>
      </w:r>
    </w:p>
    <w:p>
      <w:pPr>
        <w:pStyle w:val="7"/>
        <w:spacing w:before="0" w:beforeAutospacing="0" w:after="0" w:afterAutospacing="0" w:line="360" w:lineRule="auto"/>
        <w:ind w:firstLine="420"/>
        <w:rPr>
          <w:sz w:val="21"/>
          <w:szCs w:val="21"/>
        </w:rPr>
      </w:pPr>
      <w:r>
        <w:rPr>
          <w:rFonts w:hint="eastAsia"/>
          <w:sz w:val="21"/>
          <w:szCs w:val="21"/>
        </w:rPr>
        <w:t xml:space="preserve">（一）托管业务概况 </w:t>
      </w:r>
    </w:p>
    <w:p>
      <w:pPr>
        <w:pStyle w:val="7"/>
        <w:spacing w:before="0" w:beforeAutospacing="0" w:after="0" w:afterAutospacing="0" w:line="360" w:lineRule="auto"/>
        <w:ind w:firstLine="420"/>
        <w:rPr>
          <w:sz w:val="21"/>
          <w:szCs w:val="21"/>
        </w:rPr>
      </w:pPr>
      <w:r>
        <w:rPr>
          <w:rFonts w:hint="eastAsia"/>
          <w:sz w:val="21"/>
          <w:szCs w:val="21"/>
        </w:rPr>
        <w:t xml:space="preserve">南京银行成立于1996年2月6日，是一家具有由国有股份、中资法人股份、外资股份及众多个人股份共同组成独立法人资格的股份制商业银行，实行一级法人体制。南京银行历经两次更名，在全国城商行中率先启动上市辅导程序并于2007年成功上市。目前注册资本为100.07亿元，下辖17家分行，员工总数超14000人。 </w:t>
      </w:r>
    </w:p>
    <w:p>
      <w:pPr>
        <w:pStyle w:val="7"/>
        <w:spacing w:before="0" w:beforeAutospacing="0" w:after="0" w:afterAutospacing="0" w:line="360" w:lineRule="auto"/>
        <w:ind w:firstLine="420"/>
        <w:rPr>
          <w:sz w:val="21"/>
          <w:szCs w:val="21"/>
        </w:rPr>
      </w:pPr>
      <w:r>
        <w:rPr>
          <w:rFonts w:hint="eastAsia"/>
          <w:sz w:val="21"/>
          <w:szCs w:val="21"/>
        </w:rPr>
        <w:t xml:space="preserve">2014年4月9日，南京银行获得证监会和银监会联合批复的证券投资基金托管业务资格。2014年12月，南京银行获得保监会批复的保险资金托管业务资格。取得资格后，南京银行充分发挥基金公司、资产管理等牌照齐全的优势，持续加强与金融市场、投资银行等业务的条线联动优势，托管产品种类不断丰富，目前可以开展证券投资基金托管、证券公司客户资产管理计划托管、基金管理公司资产管理计划托管、基金子公司资产管理计划托管、私募投资基金托管、期货公司资产管理计划托管、信托计划保管、银行理财业务托管、保险资金托管、QDII托管等业务。 </w:t>
      </w:r>
    </w:p>
    <w:p>
      <w:pPr>
        <w:pStyle w:val="7"/>
        <w:spacing w:before="0" w:beforeAutospacing="0" w:after="0" w:afterAutospacing="0" w:line="360" w:lineRule="auto"/>
        <w:ind w:firstLine="420"/>
        <w:rPr>
          <w:sz w:val="21"/>
          <w:szCs w:val="21"/>
        </w:rPr>
      </w:pPr>
      <w:r>
        <w:rPr>
          <w:rFonts w:hint="eastAsia"/>
          <w:sz w:val="21"/>
          <w:szCs w:val="21"/>
        </w:rPr>
        <w:t xml:space="preserve">南京银行资产托管规模保持稳定增长，截至2024年6月30日，托管规模达2.65万亿。  </w:t>
      </w:r>
    </w:p>
    <w:p>
      <w:pPr>
        <w:pStyle w:val="7"/>
        <w:spacing w:before="0" w:beforeAutospacing="0" w:after="0" w:afterAutospacing="0" w:line="360" w:lineRule="auto"/>
        <w:ind w:firstLine="420"/>
        <w:rPr>
          <w:sz w:val="21"/>
          <w:szCs w:val="21"/>
        </w:rPr>
      </w:pPr>
      <w:r>
        <w:rPr>
          <w:rFonts w:hint="eastAsia"/>
          <w:sz w:val="21"/>
          <w:szCs w:val="21"/>
        </w:rPr>
        <w:t xml:space="preserve">（二）托管部门及主要人员情况 </w:t>
      </w:r>
    </w:p>
    <w:p>
      <w:pPr>
        <w:pStyle w:val="7"/>
        <w:spacing w:before="0" w:beforeAutospacing="0" w:after="0" w:afterAutospacing="0" w:line="360" w:lineRule="auto"/>
        <w:ind w:firstLine="420"/>
        <w:rPr>
          <w:sz w:val="21"/>
          <w:szCs w:val="21"/>
        </w:rPr>
      </w:pPr>
      <w:r>
        <w:rPr>
          <w:rFonts w:hint="eastAsia"/>
          <w:sz w:val="21"/>
          <w:szCs w:val="21"/>
        </w:rPr>
        <w:t xml:space="preserve">南京银行资产托管部设立于2013年，下设业务运营部、内控稽核部等八个内设部门，其中从事基金清算、核算、投资监督、信息披露、内部稽核监控等业务的执业人员不少于8人，并具有基金从业资格。部分核心业务岗位人员均具备2年以上托管业务从业经验。 </w:t>
      </w:r>
    </w:p>
    <w:p>
      <w:pPr>
        <w:pStyle w:val="7"/>
        <w:spacing w:before="0" w:beforeAutospacing="0" w:after="0" w:afterAutospacing="0" w:line="360" w:lineRule="auto"/>
        <w:ind w:firstLine="420"/>
        <w:rPr>
          <w:sz w:val="21"/>
          <w:szCs w:val="21"/>
        </w:rPr>
      </w:pPr>
      <w:r>
        <w:rPr>
          <w:rFonts w:hint="eastAsia"/>
          <w:sz w:val="21"/>
          <w:szCs w:val="21"/>
        </w:rPr>
        <w:t xml:space="preserve">（三）托管系统情况 </w:t>
      </w:r>
    </w:p>
    <w:p>
      <w:pPr>
        <w:pStyle w:val="7"/>
        <w:spacing w:before="0" w:beforeAutospacing="0" w:after="0" w:afterAutospacing="0" w:line="360" w:lineRule="auto"/>
        <w:ind w:firstLine="420"/>
        <w:rPr>
          <w:sz w:val="21"/>
          <w:szCs w:val="21"/>
        </w:rPr>
      </w:pPr>
      <w:r>
        <w:rPr>
          <w:rFonts w:hint="eastAsia"/>
          <w:sz w:val="21"/>
          <w:szCs w:val="21"/>
        </w:rPr>
        <w:t>南京银行资产托管业务系统建设由深圳市赢时胜信息技术股份有限公司承建，使用的是市场上主流的资产托管业务系统，能支持目前市场上大多数基金托管业务，且与本行的其他</w:t>
      </w:r>
      <w:bookmarkStart w:id="56" w:name="chapter_level1_6_55_section_1_end"/>
      <w:bookmarkEnd w:id="56"/>
      <w:r>
        <w:rPr>
          <w:rFonts w:hint="eastAsia"/>
          <w:sz w:val="21"/>
          <w:szCs w:val="21"/>
        </w:rPr>
        <w:t xml:space="preserve">业务系统严格分离。 </w:t>
      </w:r>
      <w:bookmarkStart w:id="57" w:name="field_0_trustcompanyinfo_1_end"/>
      <w:bookmarkEnd w:id="57"/>
      <w:r>
        <w:rPr>
          <w:rFonts w:hint="eastAsia"/>
          <w:sz w:val="21"/>
          <w:szCs w:val="21"/>
        </w:rPr>
        <w:t xml:space="preserve">  </w:t>
      </w:r>
    </w:p>
    <w:p>
      <w:pPr>
        <w:pStyle w:val="7"/>
        <w:spacing w:before="0" w:beforeAutospacing="0" w:after="0" w:afterAutospacing="0" w:line="360" w:lineRule="auto"/>
        <w:ind w:firstLine="420"/>
        <w:rPr>
          <w:sz w:val="21"/>
          <w:szCs w:val="21"/>
        </w:rPr>
      </w:pPr>
      <w:bookmarkStart w:id="58" w:name="chapter_level1_6_55_section_2"/>
      <w:bookmarkEnd w:id="58"/>
      <w:bookmarkStart w:id="59" w:name="field_0_trustcontrollawinfo_1_start"/>
      <w:bookmarkEnd w:id="59"/>
      <w:r>
        <w:rPr>
          <w:rFonts w:hint="eastAsia"/>
          <w:sz w:val="21"/>
          <w:szCs w:val="21"/>
        </w:rPr>
        <w:t xml:space="preserve">三、基金托管人的内部控制制度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1．内部控制目标 </w:t>
      </w:r>
    </w:p>
    <w:p>
      <w:pPr>
        <w:pStyle w:val="7"/>
        <w:spacing w:before="0" w:beforeAutospacing="0" w:after="0" w:afterAutospacing="0" w:line="360" w:lineRule="auto"/>
        <w:ind w:firstLine="420"/>
        <w:rPr>
          <w:sz w:val="21"/>
          <w:szCs w:val="21"/>
        </w:rPr>
      </w:pPr>
      <w:r>
        <w:rPr>
          <w:rFonts w:hint="eastAsia"/>
          <w:sz w:val="21"/>
          <w:szCs w:val="21"/>
        </w:rPr>
        <w:t xml:space="preserve">作为基金托管人，南京银行严格遵守国家有关托管业务的法律法规、行业监管规章和行内有关管理规定，守法经营、规范运作、严格监察，确保业务的稳健运行，保证基金资产的安全完整，确保有关信息的真实、准确、完整、及时，保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2．内部控制组织结构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南京银行建立了涵盖范围齐全、职责边界较为清晰的全面风险管理治理架构。南京银行资产托管部内设独立、专职的内控稽核部，配备内控稽核人员负责托管业务的内控监督工作，具有独立行使监督稽核工作职权和能力。 </w:t>
      </w:r>
    </w:p>
    <w:p>
      <w:pPr>
        <w:pStyle w:val="7"/>
        <w:spacing w:before="0" w:beforeAutospacing="0" w:after="0" w:afterAutospacing="0" w:line="360" w:lineRule="auto"/>
        <w:ind w:firstLine="420"/>
        <w:rPr>
          <w:sz w:val="21"/>
          <w:szCs w:val="21"/>
        </w:rPr>
      </w:pPr>
      <w:r>
        <w:rPr>
          <w:rFonts w:hint="eastAsia"/>
          <w:sz w:val="21"/>
          <w:szCs w:val="21"/>
        </w:rPr>
        <w:t xml:space="preserve">3．内部控制制度及措施 </w:t>
      </w:r>
    </w:p>
    <w:p>
      <w:pPr>
        <w:pStyle w:val="7"/>
        <w:spacing w:before="0" w:beforeAutospacing="0" w:after="0" w:afterAutospacing="0" w:line="360" w:lineRule="auto"/>
        <w:ind w:firstLine="420"/>
        <w:rPr>
          <w:sz w:val="21"/>
          <w:szCs w:val="21"/>
        </w:rPr>
      </w:pPr>
      <w:r>
        <w:rPr>
          <w:rFonts w:hint="eastAsia"/>
          <w:sz w:val="21"/>
          <w:szCs w:val="21"/>
        </w:rPr>
        <w:t xml:space="preserve">南京银行资产托管部具备系统、完善的制度控制体系，建立了管理制度、控制制度、岗位职责、业务操作流程，可以保证托管业务的规范操作和顺利进行；南京银行资产托管部工作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pPr>
        <w:pStyle w:val="7"/>
        <w:spacing w:before="0" w:beforeAutospacing="0" w:after="0" w:afterAutospacing="0" w:line="360" w:lineRule="auto"/>
        <w:ind w:firstLine="420"/>
        <w:rPr>
          <w:sz w:val="21"/>
          <w:szCs w:val="21"/>
        </w:rPr>
      </w:pPr>
      <w:r>
        <w:rPr>
          <w:rFonts w:hint="eastAsia"/>
          <w:sz w:val="21"/>
          <w:szCs w:val="21"/>
        </w:rPr>
        <w:t xml:space="preserve">四、基金托管人对基金管理人运作基金进行监督的方法和程序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根据《中华人民共和国证券投资基金法》、《公开募集证券投资基金运作管理办法》的相关规定，基金托管人发现基金管理人的投资指令违反法律、行政法规和其他有关规定，或者违反基金合同约定的，应当拒绝执行，及时通知基金管理人，并及时向国务院证券监督管理机构报告。基金托管人如发现基金管理人依据交易程序已经生效的投资指令违反法律、行政法规和其他有关规定，或者违反基金合同约定的,应当及时通知基金管理人，并及时向国</w:t>
      </w:r>
      <w:bookmarkStart w:id="60" w:name="chapter_level1_6_55_section_2_end"/>
      <w:bookmarkEnd w:id="60"/>
      <w:r>
        <w:rPr>
          <w:rFonts w:hint="eastAsia"/>
          <w:sz w:val="21"/>
          <w:szCs w:val="21"/>
        </w:rPr>
        <w:t xml:space="preserve">务院证券监督管理机构报告。 </w:t>
      </w:r>
      <w:bookmarkStart w:id="61" w:name="field_0_trustcontrollawinfo_1_end"/>
      <w:bookmarkEnd w:id="6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62" w:name="chapter_level1_7_56"/>
      <w:bookmarkStart w:id="63" w:name="_Toc176199410"/>
      <w:r>
        <w:rPr>
          <w:rFonts w:hint="eastAsia" w:ascii="宋体" w:hAnsi="宋体" w:eastAsia="宋体"/>
          <w:sz w:val="30"/>
        </w:rPr>
        <w:t>第五部分  相关服务机构</w:t>
      </w:r>
      <w:bookmarkEnd w:id="62"/>
      <w:bookmarkEnd w:id="63"/>
    </w:p>
    <w:p>
      <w:pPr>
        <w:pStyle w:val="7"/>
        <w:spacing w:before="0" w:beforeAutospacing="0" w:after="0" w:afterAutospacing="0" w:line="360" w:lineRule="auto"/>
        <w:ind w:firstLine="420"/>
        <w:rPr>
          <w:sz w:val="21"/>
          <w:szCs w:val="21"/>
        </w:rPr>
      </w:pPr>
      <w:bookmarkStart w:id="64" w:name="chapter_level1_7_56_section_1"/>
      <w:bookmarkEnd w:id="64"/>
      <w:r>
        <w:rPr>
          <w:rFonts w:hint="eastAsia"/>
          <w:b/>
          <w:bCs/>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65" w:name="field_0_marketcompanyinfo_1_start"/>
      <w:bookmarkEnd w:id="65"/>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66" w:name="chapter_level1_7_56_section_1_end"/>
      <w:bookmarkEnd w:id="66"/>
      <w:r>
        <w:rPr>
          <w:rFonts w:hint="eastAsia"/>
          <w:sz w:val="21"/>
          <w:szCs w:val="21"/>
        </w:rPr>
        <w:t xml:space="preserve">博时一线通：95105568（免长途话费） </w:t>
      </w:r>
      <w:bookmarkStart w:id="67" w:name="field_0_marketcompanyinfo_1_end"/>
      <w:bookmarkEnd w:id="67"/>
      <w:r>
        <w:rPr>
          <w:rFonts w:hint="eastAsia"/>
          <w:sz w:val="21"/>
          <w:szCs w:val="21"/>
        </w:rPr>
        <w:t xml:space="preserve">  </w:t>
      </w:r>
    </w:p>
    <w:p>
      <w:pPr>
        <w:pStyle w:val="7"/>
        <w:spacing w:before="0" w:beforeAutospacing="0" w:after="0" w:afterAutospacing="0" w:line="360" w:lineRule="auto"/>
        <w:ind w:firstLine="420"/>
        <w:rPr>
          <w:sz w:val="21"/>
          <w:szCs w:val="21"/>
        </w:rPr>
      </w:pPr>
      <w:bookmarkStart w:id="68" w:name="chapter_level1_7_56_section_2"/>
      <w:bookmarkEnd w:id="68"/>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69" w:name="field_0_allproxysaletables_1_start"/>
      <w:bookmarkEnd w:id="69"/>
      <w:r>
        <w:rPr>
          <w:rFonts w:hint="eastAsia"/>
          <w:b/>
          <w:bCs/>
          <w:sz w:val="21"/>
          <w:szCs w:val="21"/>
        </w:rPr>
        <w:t>(1)南京银行股份有限公司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南京市白下区淮海路50号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南京市玄武区中山路288号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025－86775335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025－86775376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http://www.njcb.com.cn </w:t>
            </w:r>
          </w:p>
        </w:tc>
      </w:tr>
    </w:tbl>
    <w:p>
      <w:pPr>
        <w:pStyle w:val="7"/>
        <w:spacing w:before="0" w:beforeAutospacing="0" w:after="0" w:afterAutospacing="0" w:line="360" w:lineRule="auto"/>
        <w:ind w:firstLine="420"/>
        <w:rPr>
          <w:sz w:val="21"/>
          <w:szCs w:val="21"/>
        </w:rPr>
      </w:pPr>
      <w:r>
        <w:rPr>
          <w:rFonts w:hint="eastAsia"/>
          <w:b/>
          <w:bCs/>
          <w:sz w:val="21"/>
          <w:szCs w:val="21"/>
        </w:rPr>
        <w:t>(2)晋商银行股份有限公司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阎俊生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董嘉文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95105588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http://www.jshbank.com </w:t>
            </w:r>
          </w:p>
        </w:tc>
      </w:tr>
    </w:tbl>
    <w:p>
      <w:pPr>
        <w:pStyle w:val="7"/>
        <w:spacing w:before="0" w:beforeAutospacing="0" w:after="0" w:afterAutospacing="0" w:line="360" w:lineRule="auto"/>
        <w:ind w:firstLine="420"/>
        <w:rPr>
          <w:sz w:val="21"/>
          <w:szCs w:val="21"/>
        </w:rPr>
      </w:pPr>
      <w:r>
        <w:rPr>
          <w:rFonts w:hint="eastAsia"/>
          <w:b/>
          <w:bCs/>
          <w:sz w:val="21"/>
          <w:szCs w:val="21"/>
        </w:rPr>
        <w:t>(3)深圳市新兰德证券投资咨询有限公司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深圳市福田区华强北路赛格科技园4栋10层1006#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北京市西城区宣武门外大街28号富卓大厦A座6层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马勇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010-58325388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010-58325300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400-166-1188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http://8.jrj.com.cn/ </w:t>
            </w:r>
          </w:p>
        </w:tc>
      </w:tr>
    </w:tbl>
    <w:p>
      <w:pPr>
        <w:pStyle w:val="7"/>
        <w:spacing w:before="0" w:beforeAutospacing="0" w:after="0" w:afterAutospacing="0" w:line="360" w:lineRule="auto"/>
        <w:ind w:firstLine="420"/>
        <w:rPr>
          <w:sz w:val="21"/>
          <w:szCs w:val="21"/>
        </w:rPr>
      </w:pPr>
      <w:r>
        <w:rPr>
          <w:rFonts w:hint="eastAsia"/>
          <w:b/>
          <w:bCs/>
          <w:sz w:val="21"/>
          <w:szCs w:val="21"/>
        </w:rPr>
        <w:t>(4)和讯信息科技有限公司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张紫薇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0755-82721122-8625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0755-82029055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400-920-0022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http://Licaike.hexun.com </w:t>
            </w:r>
          </w:p>
        </w:tc>
      </w:tr>
    </w:tbl>
    <w:p>
      <w:pPr>
        <w:pStyle w:val="7"/>
        <w:spacing w:before="0" w:beforeAutospacing="0" w:after="0" w:afterAutospacing="0" w:line="360" w:lineRule="auto"/>
        <w:ind w:firstLine="420"/>
        <w:rPr>
          <w:sz w:val="21"/>
          <w:szCs w:val="21"/>
        </w:rPr>
      </w:pPr>
      <w:r>
        <w:rPr>
          <w:rFonts w:hint="eastAsia"/>
          <w:b/>
          <w:bCs/>
          <w:sz w:val="21"/>
          <w:szCs w:val="21"/>
        </w:rPr>
        <w:t>(5)博时财富基金销售有限公司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(6)诺亚正行基金销售有限公司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http://www.noah-fund.com </w:t>
            </w:r>
          </w:p>
        </w:tc>
      </w:tr>
    </w:tbl>
    <w:p>
      <w:pPr>
        <w:pStyle w:val="7"/>
        <w:spacing w:before="0" w:beforeAutospacing="0" w:after="0" w:afterAutospacing="0" w:line="360" w:lineRule="auto"/>
        <w:ind w:firstLine="420"/>
        <w:rPr>
          <w:sz w:val="21"/>
          <w:szCs w:val="21"/>
        </w:rPr>
      </w:pPr>
      <w:r>
        <w:rPr>
          <w:rFonts w:hint="eastAsia"/>
          <w:b/>
          <w:bCs/>
          <w:sz w:val="21"/>
          <w:szCs w:val="21"/>
        </w:rPr>
        <w:t>(7)深圳众禄基金销售股份有限公司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薛峰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童彩平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0755-33227950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0755-33227951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400-678-8887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https://www.zlfund.cn/ </w:t>
            </w:r>
          </w:p>
        </w:tc>
      </w:tr>
    </w:tbl>
    <w:p>
      <w:pPr>
        <w:pStyle w:val="7"/>
        <w:spacing w:before="0" w:beforeAutospacing="0" w:after="0" w:afterAutospacing="0" w:line="360" w:lineRule="auto"/>
        <w:ind w:firstLine="420"/>
        <w:rPr>
          <w:sz w:val="21"/>
          <w:szCs w:val="21"/>
        </w:rPr>
      </w:pPr>
      <w:r>
        <w:rPr>
          <w:rFonts w:hint="eastAsia"/>
          <w:b/>
          <w:bCs/>
          <w:sz w:val="21"/>
          <w:szCs w:val="21"/>
        </w:rPr>
        <w:t>(8)上海天天基金销售有限公司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(9)上海好买基金销售有限公司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http://www.howbuy.com </w:t>
            </w:r>
          </w:p>
        </w:tc>
      </w:tr>
    </w:tbl>
    <w:p>
      <w:pPr>
        <w:pStyle w:val="7"/>
        <w:spacing w:before="0" w:beforeAutospacing="0" w:after="0" w:afterAutospacing="0" w:line="360" w:lineRule="auto"/>
        <w:ind w:firstLine="420"/>
        <w:rPr>
          <w:sz w:val="21"/>
          <w:szCs w:val="21"/>
        </w:rPr>
      </w:pPr>
      <w:r>
        <w:rPr>
          <w:rFonts w:hint="eastAsia"/>
          <w:b/>
          <w:bCs/>
          <w:sz w:val="21"/>
          <w:szCs w:val="21"/>
        </w:rPr>
        <w:t>(10)蚂蚁（杭州）基金销售有限公司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(11)浙江同花顺基金销售有限公司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(12)上海利得基金销售有限公司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(13)嘉实财富管理有限公司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上海市浦东新区世纪大道8号上海国金中心办公楼二期46层4609-10单元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北京市朝阳区建国门外大街21号北京国际俱乐部C座写字楼11层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赵学军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余永键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010-85097570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010-65215433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400-021-8850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www.harvestwm.cn </w:t>
            </w:r>
          </w:p>
        </w:tc>
      </w:tr>
    </w:tbl>
    <w:p>
      <w:pPr>
        <w:pStyle w:val="7"/>
        <w:spacing w:before="0" w:beforeAutospacing="0" w:after="0" w:afterAutospacing="0" w:line="360" w:lineRule="auto"/>
        <w:ind w:firstLine="420"/>
        <w:rPr>
          <w:sz w:val="21"/>
          <w:szCs w:val="21"/>
        </w:rPr>
      </w:pPr>
      <w:r>
        <w:rPr>
          <w:rFonts w:hint="eastAsia"/>
          <w:b/>
          <w:bCs/>
          <w:sz w:val="21"/>
          <w:szCs w:val="21"/>
        </w:rPr>
        <w:t>(14)深圳腾元基金销售有限公司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曾革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鄢萌莎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0755-33376922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0755-33065516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www.tenyuanfund.com </w:t>
            </w:r>
          </w:p>
        </w:tc>
      </w:tr>
    </w:tbl>
    <w:p>
      <w:pPr>
        <w:pStyle w:val="17"/>
        <w:spacing w:before="0" w:beforeAutospacing="0" w:after="0" w:afterAutospacing="0" w:line="360" w:lineRule="atLeast"/>
        <w:ind w:firstLine="420"/>
        <w:rPr>
          <w:color w:val="000000"/>
        </w:rPr>
      </w:pPr>
      <w:r>
        <w:rPr>
          <w:rFonts w:hint="eastAsia"/>
          <w:b/>
          <w:bCs/>
          <w:sz w:val="21"/>
          <w:szCs w:val="21"/>
        </w:rPr>
        <w:t>(15)</w:t>
      </w:r>
      <w:r>
        <w:rPr>
          <w:rFonts w:hint="eastAsia"/>
          <w:b/>
          <w:bCs/>
          <w:color w:val="000000"/>
          <w:sz w:val="21"/>
          <w:szCs w:val="21"/>
        </w:rPr>
        <w:t>华源证券股份有限公司（鑫理财）</w:t>
      </w:r>
    </w:p>
    <w:tbl>
      <w:tblPr>
        <w:tblStyle w:val="8"/>
        <w:tblW w:w="8340" w:type="dxa"/>
        <w:tblInd w:w="0" w:type="dxa"/>
        <w:tblLayout w:type="autofit"/>
        <w:tblCellMar>
          <w:top w:w="15" w:type="dxa"/>
          <w:left w:w="15" w:type="dxa"/>
          <w:bottom w:w="15" w:type="dxa"/>
          <w:right w:w="15" w:type="dxa"/>
        </w:tblCellMar>
      </w:tblPr>
      <w:tblGrid>
        <w:gridCol w:w="2312"/>
        <w:gridCol w:w="6028"/>
      </w:tblGrid>
      <w:tr>
        <w:tblPrEx>
          <w:tblCellMar>
            <w:top w:w="15" w:type="dxa"/>
            <w:left w:w="15" w:type="dxa"/>
            <w:bottom w:w="15" w:type="dxa"/>
            <w:right w:w="15" w:type="dxa"/>
          </w:tblCellMar>
        </w:tblPrEx>
        <w:tc>
          <w:tcPr>
            <w:tcW w:w="2283" w:type="dxa"/>
            <w:tcBorders>
              <w:top w:val="single" w:color="auto" w:sz="8" w:space="0"/>
              <w:left w:val="single" w:color="auto" w:sz="8" w:space="0"/>
              <w:bottom w:val="single" w:color="auto" w:sz="8" w:space="0"/>
              <w:right w:val="single" w:color="auto" w:sz="8" w:space="0"/>
            </w:tcBorders>
          </w:tcPr>
          <w:p>
            <w:pPr>
              <w:widowControl/>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注册地址：</w:t>
            </w:r>
          </w:p>
        </w:tc>
        <w:tc>
          <w:tcPr>
            <w:tcW w:w="5951" w:type="dxa"/>
            <w:tcBorders>
              <w:top w:val="single" w:color="auto" w:sz="8" w:space="0"/>
              <w:left w:val="single" w:color="auto" w:sz="8" w:space="0"/>
              <w:bottom w:val="single" w:color="auto" w:sz="8" w:space="0"/>
              <w:right w:val="single" w:color="auto" w:sz="8" w:space="0"/>
            </w:tcBorders>
          </w:tcPr>
          <w:p>
            <w:pPr>
              <w:widowControl/>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青海省西宁市南川工业园区创业路108号</w:t>
            </w:r>
          </w:p>
        </w:tc>
      </w:tr>
      <w:tr>
        <w:tblPrEx>
          <w:tblCellMar>
            <w:top w:w="15" w:type="dxa"/>
            <w:left w:w="15" w:type="dxa"/>
            <w:bottom w:w="15" w:type="dxa"/>
            <w:right w:w="15" w:type="dxa"/>
          </w:tblCellMar>
        </w:tblPrEx>
        <w:tc>
          <w:tcPr>
            <w:tcW w:w="2283" w:type="dxa"/>
            <w:tcBorders>
              <w:top w:val="dotted" w:color="AAAAAA" w:sz="4" w:space="0"/>
              <w:left w:val="single" w:color="auto" w:sz="8" w:space="0"/>
              <w:bottom w:val="single" w:color="auto" w:sz="8" w:space="0"/>
              <w:right w:val="single" w:color="auto" w:sz="8" w:space="0"/>
            </w:tcBorders>
          </w:tcPr>
          <w:p>
            <w:pPr>
              <w:widowControl/>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办公地址：</w:t>
            </w:r>
          </w:p>
        </w:tc>
        <w:tc>
          <w:tcPr>
            <w:tcW w:w="5951" w:type="dxa"/>
            <w:tcBorders>
              <w:top w:val="dotted" w:color="AAAAAA" w:sz="4" w:space="0"/>
              <w:left w:val="single" w:color="auto" w:sz="8" w:space="0"/>
              <w:bottom w:val="single" w:color="auto" w:sz="8" w:space="0"/>
              <w:right w:val="single" w:color="auto" w:sz="8" w:space="0"/>
            </w:tcBorders>
          </w:tcPr>
          <w:p>
            <w:pPr>
              <w:widowControl/>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湖北省武汉市江汉区万松街道青年路278号中海中心32F-34F </w:t>
            </w:r>
          </w:p>
        </w:tc>
      </w:tr>
      <w:tr>
        <w:tblPrEx>
          <w:tblCellMar>
            <w:top w:w="15" w:type="dxa"/>
            <w:left w:w="15" w:type="dxa"/>
            <w:bottom w:w="15" w:type="dxa"/>
            <w:right w:w="15" w:type="dxa"/>
          </w:tblCellMar>
        </w:tblPrEx>
        <w:tc>
          <w:tcPr>
            <w:tcW w:w="2283" w:type="dxa"/>
            <w:tcBorders>
              <w:top w:val="dotted" w:color="AAAAAA" w:sz="4" w:space="0"/>
              <w:left w:val="single" w:color="auto" w:sz="8" w:space="0"/>
              <w:bottom w:val="single" w:color="auto" w:sz="8" w:space="0"/>
              <w:right w:val="single" w:color="auto" w:sz="8" w:space="0"/>
            </w:tcBorders>
          </w:tcPr>
          <w:p>
            <w:pPr>
              <w:widowControl/>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法定代表人：</w:t>
            </w:r>
          </w:p>
        </w:tc>
        <w:tc>
          <w:tcPr>
            <w:tcW w:w="5951" w:type="dxa"/>
            <w:tcBorders>
              <w:top w:val="dotted" w:color="AAAAAA" w:sz="4" w:space="0"/>
              <w:left w:val="single" w:color="auto" w:sz="8" w:space="0"/>
              <w:bottom w:val="single" w:color="auto" w:sz="8" w:space="0"/>
              <w:right w:val="single" w:color="auto" w:sz="8" w:space="0"/>
            </w:tcBorders>
          </w:tcPr>
          <w:p>
            <w:pPr>
              <w:widowControl/>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邓晖</w:t>
            </w:r>
          </w:p>
        </w:tc>
      </w:tr>
      <w:tr>
        <w:tc>
          <w:tcPr>
            <w:tcW w:w="2283" w:type="dxa"/>
            <w:tcBorders>
              <w:top w:val="dotted" w:color="AAAAAA" w:sz="4" w:space="0"/>
              <w:left w:val="single" w:color="auto" w:sz="8" w:space="0"/>
              <w:bottom w:val="single" w:color="auto" w:sz="8" w:space="0"/>
              <w:right w:val="single" w:color="auto" w:sz="8" w:space="0"/>
            </w:tcBorders>
          </w:tcPr>
          <w:p>
            <w:pPr>
              <w:widowControl/>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联系人：</w:t>
            </w:r>
          </w:p>
        </w:tc>
        <w:tc>
          <w:tcPr>
            <w:tcW w:w="5951" w:type="dxa"/>
            <w:tcBorders>
              <w:top w:val="dotted" w:color="AAAAAA" w:sz="4" w:space="0"/>
              <w:left w:val="single" w:color="auto" w:sz="8" w:space="0"/>
              <w:bottom w:val="single" w:color="auto" w:sz="8" w:space="0"/>
              <w:right w:val="single" w:color="auto" w:sz="8" w:space="0"/>
            </w:tcBorders>
          </w:tcPr>
          <w:p>
            <w:pPr>
              <w:widowControl/>
              <w:jc w:val="left"/>
              <w:rPr>
                <w:rFonts w:hint="eastAsia" w:ascii="Times New Roman" w:hAnsi="Times New Roman" w:eastAsia="宋体" w:cs="Times New Roman"/>
                <w:color w:val="000000"/>
                <w:kern w:val="0"/>
                <w:sz w:val="20"/>
                <w:szCs w:val="20"/>
              </w:rPr>
            </w:pPr>
            <w:r>
              <w:rPr>
                <w:rFonts w:hint="eastAsia" w:ascii="宋体" w:hAnsi="宋体" w:eastAsia="宋体" w:cs="Times New Roman"/>
                <w:color w:val="000000"/>
                <w:kern w:val="0"/>
                <w:sz w:val="24"/>
                <w:szCs w:val="24"/>
              </w:rPr>
              <w:t>丛瑞丰 </w:t>
            </w:r>
          </w:p>
        </w:tc>
      </w:tr>
      <w:tr>
        <w:tblPrEx>
          <w:tblCellMar>
            <w:top w:w="15" w:type="dxa"/>
            <w:left w:w="15" w:type="dxa"/>
            <w:bottom w:w="15" w:type="dxa"/>
            <w:right w:w="15" w:type="dxa"/>
          </w:tblCellMar>
        </w:tblPrEx>
        <w:tc>
          <w:tcPr>
            <w:tcW w:w="2283" w:type="dxa"/>
            <w:tcBorders>
              <w:top w:val="dotted" w:color="AAAAAA" w:sz="4" w:space="0"/>
              <w:left w:val="single" w:color="auto" w:sz="8" w:space="0"/>
              <w:bottom w:val="single" w:color="auto" w:sz="8" w:space="0"/>
              <w:right w:val="single" w:color="auto" w:sz="8" w:space="0"/>
            </w:tcBorders>
          </w:tcPr>
          <w:p>
            <w:pPr>
              <w:widowControl/>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电话：</w:t>
            </w:r>
          </w:p>
        </w:tc>
        <w:tc>
          <w:tcPr>
            <w:tcW w:w="5951" w:type="dxa"/>
            <w:tcBorders>
              <w:top w:val="dotted" w:color="AAAAAA" w:sz="4" w:space="0"/>
              <w:left w:val="single" w:color="auto" w:sz="8" w:space="0"/>
              <w:bottom w:val="single" w:color="auto" w:sz="8" w:space="0"/>
              <w:right w:val="single" w:color="auto" w:sz="8" w:space="0"/>
            </w:tcBorders>
          </w:tcPr>
          <w:p>
            <w:pPr>
              <w:widowControl/>
              <w:jc w:val="left"/>
              <w:rPr>
                <w:rFonts w:hint="eastAsia" w:ascii="Times New Roman" w:hAnsi="Times New Roman" w:eastAsia="宋体" w:cs="Times New Roman"/>
                <w:color w:val="000000"/>
                <w:kern w:val="0"/>
                <w:sz w:val="20"/>
                <w:szCs w:val="20"/>
              </w:rPr>
            </w:pPr>
            <w:r>
              <w:rPr>
                <w:rFonts w:hint="eastAsia" w:ascii="宋体" w:hAnsi="宋体" w:eastAsia="宋体" w:cs="Times New Roman"/>
                <w:color w:val="000000"/>
                <w:kern w:val="0"/>
                <w:sz w:val="24"/>
                <w:szCs w:val="24"/>
              </w:rPr>
              <w:t>15069421014</w:t>
            </w:r>
          </w:p>
        </w:tc>
      </w:tr>
      <w:tr>
        <w:tblPrEx>
          <w:tblCellMar>
            <w:top w:w="15" w:type="dxa"/>
            <w:left w:w="15" w:type="dxa"/>
            <w:bottom w:w="15" w:type="dxa"/>
            <w:right w:w="15" w:type="dxa"/>
          </w:tblCellMar>
        </w:tblPrEx>
        <w:tc>
          <w:tcPr>
            <w:tcW w:w="2283" w:type="dxa"/>
            <w:tcBorders>
              <w:top w:val="dotted" w:color="AAAAAA" w:sz="4" w:space="0"/>
              <w:left w:val="single" w:color="auto" w:sz="8" w:space="0"/>
              <w:bottom w:val="single" w:color="auto" w:sz="8" w:space="0"/>
              <w:right w:val="single" w:color="auto" w:sz="8" w:space="0"/>
            </w:tcBorders>
          </w:tcPr>
          <w:p>
            <w:pPr>
              <w:widowControl/>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传真：</w:t>
            </w:r>
          </w:p>
        </w:tc>
        <w:tc>
          <w:tcPr>
            <w:tcW w:w="5951" w:type="dxa"/>
            <w:tcBorders>
              <w:top w:val="dotted" w:color="AAAAAA" w:sz="4" w:space="0"/>
              <w:left w:val="single" w:color="auto" w:sz="8" w:space="0"/>
              <w:bottom w:val="single" w:color="auto" w:sz="8" w:space="0"/>
              <w:right w:val="single" w:color="auto" w:sz="8" w:space="0"/>
            </w:tcBorders>
          </w:tcPr>
          <w:p>
            <w:pPr>
              <w:widowControl/>
              <w:jc w:val="left"/>
              <w:rPr>
                <w:rFonts w:hint="eastAsia"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w:t>
            </w:r>
          </w:p>
        </w:tc>
      </w:tr>
      <w:tr>
        <w:tblPrEx>
          <w:tblCellMar>
            <w:top w:w="15" w:type="dxa"/>
            <w:left w:w="15" w:type="dxa"/>
            <w:bottom w:w="15" w:type="dxa"/>
            <w:right w:w="15" w:type="dxa"/>
          </w:tblCellMar>
        </w:tblPrEx>
        <w:tc>
          <w:tcPr>
            <w:tcW w:w="2283" w:type="dxa"/>
            <w:tcBorders>
              <w:top w:val="dotted" w:color="AAAAAA" w:sz="4" w:space="0"/>
              <w:left w:val="single" w:color="auto" w:sz="8" w:space="0"/>
              <w:bottom w:val="single" w:color="auto" w:sz="8" w:space="0"/>
              <w:right w:val="single" w:color="auto" w:sz="8" w:space="0"/>
            </w:tcBorders>
          </w:tcPr>
          <w:p>
            <w:pPr>
              <w:widowControl/>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客户服务电话：</w:t>
            </w:r>
          </w:p>
        </w:tc>
        <w:tc>
          <w:tcPr>
            <w:tcW w:w="5951" w:type="dxa"/>
            <w:tcBorders>
              <w:top w:val="dotted" w:color="AAAAAA" w:sz="4" w:space="0"/>
              <w:left w:val="single" w:color="auto" w:sz="8" w:space="0"/>
              <w:bottom w:val="single" w:color="auto" w:sz="8" w:space="0"/>
              <w:right w:val="single" w:color="auto" w:sz="8" w:space="0"/>
            </w:tcBorders>
          </w:tcPr>
          <w:p>
            <w:pPr>
              <w:widowControl/>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95305</w:t>
            </w:r>
          </w:p>
        </w:tc>
      </w:tr>
      <w:tr>
        <w:tblPrEx>
          <w:tblCellMar>
            <w:top w:w="15" w:type="dxa"/>
            <w:left w:w="15" w:type="dxa"/>
            <w:bottom w:w="15" w:type="dxa"/>
            <w:right w:w="15" w:type="dxa"/>
          </w:tblCellMar>
        </w:tblPrEx>
        <w:tc>
          <w:tcPr>
            <w:tcW w:w="2283" w:type="dxa"/>
            <w:tcBorders>
              <w:top w:val="dotted" w:color="AAAAAA" w:sz="4" w:space="0"/>
              <w:left w:val="single" w:color="auto" w:sz="8" w:space="0"/>
              <w:bottom w:val="single" w:color="auto" w:sz="8" w:space="0"/>
              <w:right w:val="single" w:color="auto" w:sz="8" w:space="0"/>
            </w:tcBorders>
          </w:tcPr>
          <w:p>
            <w:pPr>
              <w:widowControl/>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网址：</w:t>
            </w:r>
          </w:p>
        </w:tc>
        <w:tc>
          <w:tcPr>
            <w:tcW w:w="5951" w:type="dxa"/>
            <w:tcBorders>
              <w:top w:val="dotted" w:color="AAAAAA" w:sz="4" w:space="0"/>
              <w:left w:val="single" w:color="auto" w:sz="8" w:space="0"/>
              <w:bottom w:val="single" w:color="auto" w:sz="8" w:space="0"/>
              <w:right w:val="single" w:color="auto" w:sz="8" w:space="0"/>
            </w:tcBorders>
          </w:tcPr>
          <w:p>
            <w:pPr>
              <w:widowControl/>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www.huayuanstock.com</w:t>
            </w:r>
          </w:p>
        </w:tc>
      </w:tr>
    </w:tbl>
    <w:p>
      <w:pPr>
        <w:pStyle w:val="7"/>
        <w:spacing w:before="0" w:beforeAutospacing="0" w:after="0" w:afterAutospacing="0" w:line="360" w:lineRule="auto"/>
        <w:ind w:firstLine="420"/>
        <w:rPr>
          <w:sz w:val="21"/>
          <w:szCs w:val="21"/>
        </w:rPr>
      </w:pPr>
      <w:r>
        <w:rPr>
          <w:rFonts w:hint="eastAsia"/>
          <w:b/>
          <w:bCs/>
          <w:sz w:val="21"/>
          <w:szCs w:val="21"/>
        </w:rPr>
        <w:t>(16)北京汇成基金销售有限公司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王伟刚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丁向坤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010-56282140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010-62680827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400-055-5728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www.hcjijin.com </w:t>
            </w:r>
          </w:p>
        </w:tc>
      </w:tr>
    </w:tbl>
    <w:p>
      <w:pPr>
        <w:pStyle w:val="7"/>
        <w:spacing w:before="0" w:beforeAutospacing="0" w:after="0" w:afterAutospacing="0" w:line="360" w:lineRule="auto"/>
        <w:ind w:firstLine="420"/>
        <w:rPr>
          <w:sz w:val="21"/>
          <w:szCs w:val="21"/>
        </w:rPr>
      </w:pPr>
      <w:r>
        <w:rPr>
          <w:rFonts w:hint="eastAsia"/>
          <w:b/>
          <w:bCs/>
          <w:sz w:val="21"/>
          <w:szCs w:val="21"/>
        </w:rPr>
        <w:t>(17)北京钱景基金销售有限公司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赵荣春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010-57418829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010-57569671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400-893-6885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www.qianjing.com </w:t>
            </w:r>
          </w:p>
        </w:tc>
      </w:tr>
    </w:tbl>
    <w:p>
      <w:pPr>
        <w:pStyle w:val="7"/>
        <w:spacing w:before="0" w:beforeAutospacing="0" w:after="0" w:afterAutospacing="0" w:line="360" w:lineRule="auto"/>
        <w:ind w:firstLine="420"/>
        <w:rPr>
          <w:sz w:val="21"/>
          <w:szCs w:val="21"/>
        </w:rPr>
      </w:pPr>
      <w:r>
        <w:rPr>
          <w:rFonts w:hint="eastAsia"/>
          <w:b/>
          <w:bCs/>
          <w:sz w:val="21"/>
          <w:szCs w:val="21"/>
        </w:rPr>
        <w:t>(18)海银基金销售有限公司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中国（上海）自由贸易试验区银城中路8号401室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上海市浦东新区银城中路8号4楼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021-60206991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021-80133413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400-808-1016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www.fundhaiyin.com </w:t>
            </w:r>
          </w:p>
        </w:tc>
      </w:tr>
    </w:tbl>
    <w:p>
      <w:pPr>
        <w:pStyle w:val="7"/>
        <w:spacing w:before="0" w:beforeAutospacing="0" w:after="0" w:afterAutospacing="0" w:line="360" w:lineRule="auto"/>
        <w:ind w:firstLine="420"/>
        <w:rPr>
          <w:sz w:val="21"/>
          <w:szCs w:val="21"/>
        </w:rPr>
      </w:pPr>
      <w:r>
        <w:rPr>
          <w:rFonts w:hint="eastAsia"/>
          <w:b/>
          <w:bCs/>
          <w:sz w:val="21"/>
          <w:szCs w:val="21"/>
        </w:rPr>
        <w:t>(19)北京新浪仓石基金销售有限公司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www.xincai.com </w:t>
            </w:r>
          </w:p>
        </w:tc>
      </w:tr>
    </w:tbl>
    <w:p>
      <w:pPr>
        <w:pStyle w:val="7"/>
        <w:spacing w:before="0" w:beforeAutospacing="0" w:after="0" w:afterAutospacing="0" w:line="360" w:lineRule="auto"/>
        <w:ind w:firstLine="420"/>
        <w:rPr>
          <w:sz w:val="21"/>
          <w:szCs w:val="21"/>
        </w:rPr>
      </w:pPr>
      <w:r>
        <w:rPr>
          <w:rFonts w:hint="eastAsia"/>
          <w:b/>
          <w:bCs/>
          <w:sz w:val="21"/>
          <w:szCs w:val="21"/>
        </w:rPr>
        <w:t>(20)上海万得基金销售有限公司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(21)上海基煜基金销售有限公司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(22)上海凯石财富基金销售有限公司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上海市黄浦区西藏南路765号602-115室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上海市黄浦区延安东路1号凯石大厦四楼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陈继武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李晓明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021-63333319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021-63332523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400-643-3389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www.vstonewealth.com </w:t>
            </w:r>
          </w:p>
        </w:tc>
      </w:tr>
    </w:tbl>
    <w:p>
      <w:pPr>
        <w:pStyle w:val="7"/>
        <w:spacing w:before="0" w:beforeAutospacing="0" w:after="0" w:afterAutospacing="0" w:line="360" w:lineRule="auto"/>
        <w:ind w:firstLine="420"/>
        <w:rPr>
          <w:sz w:val="21"/>
          <w:szCs w:val="21"/>
        </w:rPr>
      </w:pPr>
      <w:r>
        <w:rPr>
          <w:rFonts w:hint="eastAsia"/>
          <w:b/>
          <w:bCs/>
          <w:sz w:val="21"/>
          <w:szCs w:val="21"/>
        </w:rPr>
        <w:t>(23)深圳富济基金销售有限公司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祝中村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曾瑶敏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0755-83999926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www.fujifund.cn </w:t>
            </w:r>
          </w:p>
        </w:tc>
      </w:tr>
    </w:tbl>
    <w:p>
      <w:pPr>
        <w:pStyle w:val="7"/>
        <w:spacing w:before="0" w:beforeAutospacing="0" w:after="0" w:afterAutospacing="0" w:line="360" w:lineRule="auto"/>
        <w:ind w:firstLine="420"/>
        <w:rPr>
          <w:sz w:val="21"/>
          <w:szCs w:val="21"/>
        </w:rPr>
      </w:pPr>
      <w:r>
        <w:rPr>
          <w:rFonts w:hint="eastAsia"/>
          <w:b/>
          <w:bCs/>
          <w:sz w:val="21"/>
          <w:szCs w:val="21"/>
        </w:rPr>
        <w:t>(24)上海陆金所基金销售有限公司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(25)珠海盈米基金销售有限公司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(26)和耕传承基金销售有限公司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温丽燕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董亚芳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0371-85518396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0371-85518397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400-0555-671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www.hgccpb.com </w:t>
            </w:r>
          </w:p>
        </w:tc>
      </w:tr>
    </w:tbl>
    <w:p>
      <w:pPr>
        <w:pStyle w:val="7"/>
        <w:spacing w:before="0" w:beforeAutospacing="0" w:after="0" w:afterAutospacing="0" w:line="360" w:lineRule="auto"/>
        <w:ind w:firstLine="420"/>
        <w:rPr>
          <w:sz w:val="21"/>
          <w:szCs w:val="21"/>
        </w:rPr>
      </w:pPr>
      <w:r>
        <w:rPr>
          <w:rFonts w:hint="eastAsia"/>
          <w:b/>
          <w:bCs/>
          <w:sz w:val="21"/>
          <w:szCs w:val="21"/>
        </w:rPr>
        <w:t>(27)北京懒猫基金销售有限公司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北京市石景山区石景山路31号院盛景国际广场3号楼1119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北京市朝阳区呼家楼安联大厦715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许现良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张苗苗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15110085067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010-87723200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400-150-0882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www.lanmao.com </w:t>
            </w:r>
          </w:p>
        </w:tc>
      </w:tr>
    </w:tbl>
    <w:p>
      <w:pPr>
        <w:pStyle w:val="7"/>
        <w:spacing w:before="0" w:beforeAutospacing="0" w:after="0" w:afterAutospacing="0" w:line="360" w:lineRule="auto"/>
        <w:ind w:firstLine="420"/>
        <w:rPr>
          <w:sz w:val="21"/>
          <w:szCs w:val="21"/>
        </w:rPr>
      </w:pPr>
      <w:r>
        <w:rPr>
          <w:rFonts w:hint="eastAsia"/>
          <w:b/>
          <w:bCs/>
          <w:sz w:val="21"/>
          <w:szCs w:val="21"/>
        </w:rPr>
        <w:t>(28)大连网金基金销售有限公司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辽宁省大连市沙河口区体坛路22号2层202室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辽宁省大连市沙河口区体坛路22号2层202室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卜勇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卜勇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0411-39027800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0411-39027888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400-089-9100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http://www.yibaijin.com/ </w:t>
            </w:r>
          </w:p>
        </w:tc>
      </w:tr>
    </w:tbl>
    <w:p>
      <w:pPr>
        <w:pStyle w:val="7"/>
        <w:spacing w:before="0" w:beforeAutospacing="0" w:after="0" w:afterAutospacing="0" w:line="360" w:lineRule="auto"/>
        <w:ind w:firstLine="420"/>
        <w:rPr>
          <w:sz w:val="21"/>
          <w:szCs w:val="21"/>
        </w:rPr>
      </w:pPr>
      <w:r>
        <w:rPr>
          <w:rFonts w:hint="eastAsia"/>
          <w:b/>
          <w:bCs/>
          <w:sz w:val="21"/>
          <w:szCs w:val="21"/>
        </w:rPr>
        <w:t>(29)深圳市金斧子基金销售有限公司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400-822-4888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www.jfzinv.com </w:t>
            </w:r>
          </w:p>
        </w:tc>
      </w:tr>
    </w:tbl>
    <w:p>
      <w:pPr>
        <w:pStyle w:val="7"/>
        <w:spacing w:before="0" w:beforeAutospacing="0" w:after="0" w:afterAutospacing="0" w:line="360" w:lineRule="auto"/>
        <w:ind w:firstLine="420"/>
        <w:rPr>
          <w:sz w:val="21"/>
          <w:szCs w:val="21"/>
        </w:rPr>
      </w:pPr>
      <w:r>
        <w:rPr>
          <w:rFonts w:hint="eastAsia"/>
          <w:b/>
          <w:bCs/>
          <w:sz w:val="21"/>
          <w:szCs w:val="21"/>
        </w:rPr>
        <w:t>(30)北京雪球基金销售有限公司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pStyle w:val="7"/>
        <w:spacing w:before="0" w:beforeAutospacing="0" w:after="0" w:afterAutospacing="0" w:line="360" w:lineRule="auto"/>
        <w:ind w:firstLine="420"/>
        <w:rPr>
          <w:sz w:val="21"/>
          <w:szCs w:val="21"/>
        </w:rPr>
      </w:pPr>
      <w:r>
        <w:rPr>
          <w:rFonts w:hint="eastAsia"/>
          <w:b/>
          <w:bCs/>
          <w:sz w:val="21"/>
          <w:szCs w:val="21"/>
        </w:rPr>
        <w:t>(31)海通证券股份有限公司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上海市淮海中路98号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上海市广东路689号海通证券大厦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周杰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李笑鸣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021-23219275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021－63602722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http://www.htsec.com/ </w:t>
            </w:r>
          </w:p>
        </w:tc>
      </w:tr>
    </w:tbl>
    <w:p>
      <w:pPr>
        <w:pStyle w:val="7"/>
        <w:spacing w:before="0" w:beforeAutospacing="0" w:after="0" w:afterAutospacing="0" w:line="360" w:lineRule="auto"/>
        <w:ind w:firstLine="420"/>
        <w:rPr>
          <w:sz w:val="21"/>
          <w:szCs w:val="21"/>
        </w:rPr>
      </w:pPr>
      <w:r>
        <w:rPr>
          <w:rFonts w:hint="eastAsia"/>
          <w:b/>
          <w:bCs/>
          <w:sz w:val="21"/>
          <w:szCs w:val="21"/>
        </w:rPr>
        <w:t>(32)九州证券股份有限公司 </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青海省西宁市城中区西大街11号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北京市西城区金融大街7号英蓝国际金融中心D座5层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魏先锋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张晓黎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010-57672186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4006543218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http://www.tyzq.com.cn </w:t>
            </w:r>
          </w:p>
        </w:tc>
      </w:tr>
    </w:tbl>
    <w:p>
      <w:pPr>
        <w:rPr>
          <w:rFonts w:ascii="宋体" w:hAnsi="宋体" w:eastAsia="宋体"/>
          <w:sz w:val="24"/>
          <w:szCs w:val="24"/>
        </w:rPr>
      </w:pPr>
      <w:bookmarkStart w:id="70" w:name="field_0_allproxysaletables_1_end"/>
      <w:bookmarkEnd w:id="70"/>
      <w:r>
        <w:rPr>
          <w:rFonts w:ascii="宋体" w:hAnsi="宋体" w:eastAsia="宋体"/>
        </w:rPr>
        <w:t xml:space="preserve">  </w:t>
      </w:r>
    </w:p>
    <w:p>
      <w:pPr>
        <w:pStyle w:val="7"/>
        <w:spacing w:before="0" w:beforeAutospacing="0" w:after="0" w:afterAutospacing="0" w:line="360" w:lineRule="auto"/>
        <w:ind w:firstLine="420"/>
        <w:rPr>
          <w:sz w:val="21"/>
          <w:szCs w:val="21"/>
        </w:rPr>
      </w:pPr>
      <w:bookmarkStart w:id="71" w:name="chapter_level1_7_56_section_2_end"/>
      <w:bookmarkEnd w:id="71"/>
    </w:p>
    <w:p>
      <w:pPr>
        <w:pStyle w:val="7"/>
        <w:spacing w:before="0" w:beforeAutospacing="0" w:after="0" w:afterAutospacing="0" w:line="360" w:lineRule="auto"/>
        <w:ind w:firstLine="420"/>
        <w:rPr>
          <w:sz w:val="21"/>
          <w:szCs w:val="21"/>
        </w:rPr>
      </w:pPr>
      <w:bookmarkStart w:id="72" w:name="chapter_level1_7_56_section_3"/>
      <w:bookmarkEnd w:id="72"/>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73" w:name="field_0_registercompanyinfo_1_start"/>
      <w:bookmarkEnd w:id="73"/>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4" w:name="field_0_registercompanyinfo_1_end"/>
      <w:bookmarkEnd w:id="74"/>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负责人：廖海 </w:t>
      </w:r>
    </w:p>
    <w:p>
      <w:pPr>
        <w:pStyle w:val="7"/>
        <w:spacing w:before="0" w:beforeAutospacing="0" w:after="0" w:afterAutospacing="0" w:line="360" w:lineRule="auto"/>
        <w:ind w:firstLine="420"/>
        <w:rPr>
          <w:sz w:val="21"/>
          <w:szCs w:val="21"/>
        </w:rPr>
      </w:pPr>
      <w:r>
        <w:rPr>
          <w:rFonts w:hint="eastAsia"/>
          <w:sz w:val="21"/>
          <w:szCs w:val="21"/>
        </w:rPr>
        <w:t xml:space="preserve">电话：021- 51150298 </w:t>
      </w:r>
    </w:p>
    <w:p>
      <w:pPr>
        <w:pStyle w:val="7"/>
        <w:spacing w:before="0" w:beforeAutospacing="0" w:after="0" w:afterAutospacing="0" w:line="360" w:lineRule="auto"/>
        <w:ind w:firstLine="420"/>
        <w:rPr>
          <w:sz w:val="21"/>
          <w:szCs w:val="21"/>
        </w:rPr>
      </w:pPr>
      <w:r>
        <w:rPr>
          <w:rFonts w:hint="eastAsia"/>
          <w:sz w:val="21"/>
          <w:szCs w:val="21"/>
        </w:rPr>
        <w:t xml:space="preserve">传真：021- 51150398 </w:t>
      </w:r>
    </w:p>
    <w:p>
      <w:pPr>
        <w:pStyle w:val="7"/>
        <w:spacing w:before="0" w:beforeAutospacing="0" w:after="0" w:afterAutospacing="0" w:line="360" w:lineRule="auto"/>
        <w:ind w:firstLine="420"/>
        <w:rPr>
          <w:sz w:val="21"/>
          <w:szCs w:val="21"/>
        </w:rPr>
      </w:pPr>
      <w:r>
        <w:rPr>
          <w:rFonts w:hint="eastAsia"/>
          <w:sz w:val="21"/>
          <w:szCs w:val="21"/>
        </w:rPr>
        <w:t xml:space="preserve">联系人：刘佳 </w:t>
      </w:r>
    </w:p>
    <w:p>
      <w:pPr>
        <w:pStyle w:val="7"/>
        <w:spacing w:before="0" w:beforeAutospacing="0" w:after="0" w:afterAutospacing="0" w:line="360" w:lineRule="auto"/>
        <w:ind w:firstLine="420"/>
        <w:rPr>
          <w:sz w:val="21"/>
          <w:szCs w:val="21"/>
        </w:rPr>
      </w:pPr>
      <w:r>
        <w:rPr>
          <w:rFonts w:hint="eastAsia"/>
          <w:sz w:val="21"/>
          <w:szCs w:val="21"/>
        </w:rPr>
        <w:t>经办律师：廖海、刘佳</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bookmarkStart w:id="75" w:name="field_0_accountingcompanyinfo_1_start"/>
      <w:bookmarkEnd w:id="75"/>
      <w:r>
        <w:rPr>
          <w:rFonts w:hint="eastAsia"/>
          <w:sz w:val="21"/>
          <w:szCs w:val="21"/>
        </w:rPr>
        <w:t xml:space="preserve">名称：普华永道中天会计师事务所(特殊普通合伙）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住所：中国（上海）自由贸易试验区陆家嘴环路1318号星展银行大厦507单元01室  </w:t>
      </w:r>
    </w:p>
    <w:p>
      <w:pPr>
        <w:pStyle w:val="7"/>
        <w:spacing w:before="0" w:beforeAutospacing="0" w:after="0" w:afterAutospacing="0" w:line="360" w:lineRule="auto"/>
        <w:ind w:firstLine="420"/>
        <w:rPr>
          <w:sz w:val="21"/>
          <w:szCs w:val="21"/>
        </w:rPr>
      </w:pPr>
      <w:r>
        <w:rPr>
          <w:rFonts w:hint="eastAsia"/>
          <w:sz w:val="21"/>
          <w:szCs w:val="21"/>
        </w:rPr>
        <w:t xml:space="preserve">办公地址：上海市黄浦区湖滨路202号普华永道中心11楼  </w:t>
      </w:r>
    </w:p>
    <w:p>
      <w:pPr>
        <w:pStyle w:val="7"/>
        <w:spacing w:before="0" w:beforeAutospacing="0" w:after="0" w:afterAutospacing="0" w:line="360" w:lineRule="auto"/>
        <w:ind w:firstLine="420"/>
        <w:rPr>
          <w:sz w:val="21"/>
          <w:szCs w:val="21"/>
        </w:rPr>
      </w:pPr>
      <w:r>
        <w:rPr>
          <w:rFonts w:hint="eastAsia"/>
          <w:sz w:val="21"/>
          <w:szCs w:val="21"/>
        </w:rPr>
        <w:t xml:space="preserve">执行事务合伙人：李丹  </w:t>
      </w:r>
    </w:p>
    <w:p>
      <w:pPr>
        <w:pStyle w:val="7"/>
        <w:spacing w:before="0" w:beforeAutospacing="0" w:after="0" w:afterAutospacing="0" w:line="360" w:lineRule="auto"/>
        <w:ind w:firstLine="420"/>
        <w:rPr>
          <w:sz w:val="21"/>
          <w:szCs w:val="21"/>
        </w:rPr>
      </w:pPr>
      <w:r>
        <w:rPr>
          <w:rFonts w:hint="eastAsia"/>
          <w:sz w:val="21"/>
          <w:szCs w:val="21"/>
        </w:rPr>
        <w:t xml:space="preserve">联系电话：（021）23238888  </w:t>
      </w:r>
    </w:p>
    <w:p>
      <w:pPr>
        <w:pStyle w:val="7"/>
        <w:spacing w:before="0" w:beforeAutospacing="0" w:after="0" w:afterAutospacing="0" w:line="360" w:lineRule="auto"/>
        <w:ind w:firstLine="420"/>
        <w:rPr>
          <w:sz w:val="21"/>
          <w:szCs w:val="21"/>
        </w:rPr>
      </w:pPr>
      <w:r>
        <w:rPr>
          <w:rFonts w:hint="eastAsia"/>
          <w:sz w:val="21"/>
          <w:szCs w:val="21"/>
        </w:rPr>
        <w:t xml:space="preserve">传真：（021）23238800  </w:t>
      </w:r>
    </w:p>
    <w:p>
      <w:pPr>
        <w:pStyle w:val="7"/>
        <w:spacing w:before="0" w:beforeAutospacing="0" w:after="0" w:afterAutospacing="0" w:line="360" w:lineRule="auto"/>
        <w:ind w:firstLine="420"/>
        <w:rPr>
          <w:sz w:val="21"/>
          <w:szCs w:val="21"/>
        </w:rPr>
      </w:pPr>
      <w:r>
        <w:rPr>
          <w:rFonts w:hint="eastAsia"/>
          <w:sz w:val="21"/>
          <w:szCs w:val="21"/>
        </w:rPr>
        <w:t xml:space="preserve">联系人：陈轶杰 </w:t>
      </w:r>
    </w:p>
    <w:p>
      <w:pPr>
        <w:pStyle w:val="7"/>
        <w:spacing w:before="0" w:beforeAutospacing="0" w:after="0" w:afterAutospacing="0" w:line="360" w:lineRule="auto"/>
        <w:ind w:firstLine="420"/>
        <w:rPr>
          <w:sz w:val="21"/>
          <w:szCs w:val="21"/>
        </w:rPr>
      </w:pPr>
      <w:bookmarkStart w:id="76" w:name="chapter_level1_7_56_section_3_end"/>
      <w:bookmarkEnd w:id="76"/>
      <w:r>
        <w:rPr>
          <w:rFonts w:hint="eastAsia"/>
          <w:sz w:val="21"/>
          <w:szCs w:val="21"/>
        </w:rPr>
        <w:t xml:space="preserve">经办注册会计师：叶尔甸 陈轶杰 </w:t>
      </w:r>
      <w:bookmarkStart w:id="77" w:name="field_0_accountingcompanyinfo_1_end"/>
      <w:bookmarkEnd w:id="77"/>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8" w:name="chapter_level1_9_58"/>
      <w:bookmarkStart w:id="79" w:name="_Toc176199411"/>
      <w:r>
        <w:rPr>
          <w:rFonts w:hint="eastAsia" w:ascii="宋体" w:hAnsi="宋体" w:eastAsia="宋体"/>
          <w:sz w:val="30"/>
        </w:rPr>
        <w:t>第六部分 基金的募集与基金合同的生效</w:t>
      </w:r>
      <w:bookmarkEnd w:id="78"/>
      <w:bookmarkEnd w:id="79"/>
    </w:p>
    <w:p>
      <w:pPr>
        <w:pStyle w:val="7"/>
        <w:spacing w:before="0" w:beforeAutospacing="0" w:after="0" w:afterAutospacing="0" w:line="360" w:lineRule="auto"/>
        <w:ind w:firstLine="420"/>
        <w:rPr>
          <w:sz w:val="21"/>
          <w:szCs w:val="21"/>
        </w:rPr>
      </w:pPr>
      <w:bookmarkStart w:id="80" w:name="chapter_level1_9_58_section_1"/>
      <w:bookmarkEnd w:id="80"/>
      <w:r>
        <w:rPr>
          <w:rStyle w:val="11"/>
          <w:rFonts w:hint="eastAsia"/>
          <w:sz w:val="21"/>
          <w:szCs w:val="21"/>
        </w:rPr>
        <w:t>一、 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81" w:name="field_2343_approveddate_2"/>
      <w:r>
        <w:rPr>
          <w:sz w:val="21"/>
          <w:szCs w:val="21"/>
        </w:rPr>
        <w:t>2016年4月14日</w:t>
      </w:r>
      <w:bookmarkEnd w:id="81"/>
      <w:r>
        <w:rPr>
          <w:rFonts w:hint="eastAsia"/>
          <w:sz w:val="21"/>
          <w:szCs w:val="21"/>
        </w:rPr>
        <w:t>经中国证监会证监许可</w:t>
      </w:r>
      <w:bookmarkStart w:id="82" w:name="field_2343_lotnumber_2"/>
      <w:r>
        <w:rPr>
          <w:sz w:val="21"/>
          <w:szCs w:val="21"/>
        </w:rPr>
        <w:t>[2016]802</w:t>
      </w:r>
      <w:bookmarkEnd w:id="82"/>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本基金募集期从</w:t>
      </w:r>
      <w:bookmarkStart w:id="83" w:name="field_58_raisebegindate_1"/>
      <w:r>
        <w:rPr>
          <w:sz w:val="21"/>
          <w:szCs w:val="21"/>
        </w:rPr>
        <w:t>2016年5月9日</w:t>
      </w:r>
      <w:bookmarkEnd w:id="83"/>
      <w:r>
        <w:rPr>
          <w:rFonts w:hint="eastAsia"/>
          <w:sz w:val="21"/>
          <w:szCs w:val="21"/>
        </w:rPr>
        <w:t>起至</w:t>
      </w:r>
      <w:bookmarkStart w:id="84" w:name="field_58_raiseenddate_1"/>
      <w:r>
        <w:rPr>
          <w:sz w:val="21"/>
          <w:szCs w:val="21"/>
        </w:rPr>
        <w:t>2016年5月16日</w:t>
      </w:r>
      <w:bookmarkEnd w:id="84"/>
      <w:r>
        <w:rPr>
          <w:rFonts w:hint="eastAsia"/>
          <w:sz w:val="21"/>
          <w:szCs w:val="21"/>
        </w:rPr>
        <w:t>止，基金份额共募集</w:t>
      </w:r>
      <w:bookmarkStart w:id="85" w:name="field_58_raisetotal_1"/>
      <w:r>
        <w:rPr>
          <w:sz w:val="21"/>
          <w:szCs w:val="21"/>
        </w:rPr>
        <w:t>210,422,220.70</w:t>
      </w:r>
      <w:bookmarkEnd w:id="85"/>
      <w:r>
        <w:rPr>
          <w:rFonts w:hint="eastAsia"/>
          <w:sz w:val="21"/>
          <w:szCs w:val="21"/>
        </w:rPr>
        <w:t>份（含利息结转的份额），有效认购户数为</w:t>
      </w:r>
      <w:bookmarkStart w:id="86" w:name="field_58_effectivetotal_1"/>
      <w:r>
        <w:rPr>
          <w:sz w:val="21"/>
          <w:szCs w:val="21"/>
        </w:rPr>
        <w:t>287</w:t>
      </w:r>
      <w:bookmarkEnd w:id="86"/>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本基金运作方式为</w:t>
      </w:r>
      <w:bookmarkStart w:id="87" w:name="field_58_operation_1"/>
      <w:r>
        <w:rPr>
          <w:rFonts w:hint="eastAsia"/>
          <w:sz w:val="21"/>
          <w:szCs w:val="21"/>
        </w:rPr>
        <w:t>契约型开放式</w:t>
      </w:r>
      <w:bookmarkEnd w:id="87"/>
      <w:r>
        <w:rPr>
          <w:rFonts w:hint="eastAsia"/>
          <w:sz w:val="21"/>
          <w:szCs w:val="21"/>
        </w:rPr>
        <w:t xml:space="preserve">，存续期间为不定期。 </w:t>
      </w:r>
    </w:p>
    <w:p>
      <w:pPr>
        <w:pStyle w:val="7"/>
        <w:spacing w:before="0" w:beforeAutospacing="0" w:after="0" w:afterAutospacing="0" w:line="360" w:lineRule="auto"/>
        <w:ind w:firstLine="420"/>
        <w:rPr>
          <w:sz w:val="21"/>
          <w:szCs w:val="21"/>
        </w:rPr>
      </w:pPr>
      <w:r>
        <w:rPr>
          <w:rStyle w:val="11"/>
          <w:rFonts w:hint="eastAsia"/>
          <w:sz w:val="21"/>
          <w:szCs w:val="21"/>
        </w:rPr>
        <w:t>二、 基金合同的生效</w:t>
      </w:r>
    </w:p>
    <w:p>
      <w:pPr>
        <w:pStyle w:val="7"/>
        <w:spacing w:before="0" w:beforeAutospacing="0" w:after="0" w:afterAutospacing="0" w:line="360" w:lineRule="auto"/>
        <w:ind w:firstLine="420"/>
        <w:rPr>
          <w:sz w:val="21"/>
          <w:szCs w:val="21"/>
        </w:rPr>
      </w:pPr>
      <w:bookmarkStart w:id="88" w:name="chapter_level1_9_58_section_1_end"/>
      <w:bookmarkEnd w:id="88"/>
      <w:r>
        <w:rPr>
          <w:rFonts w:hint="eastAsia"/>
          <w:sz w:val="21"/>
          <w:szCs w:val="21"/>
        </w:rPr>
        <w:t>本基金的基金合同已于</w:t>
      </w:r>
      <w:bookmarkStart w:id="89" w:name="field_0_foundday_1"/>
      <w:r>
        <w:rPr>
          <w:sz w:val="21"/>
          <w:szCs w:val="21"/>
        </w:rPr>
        <w:t>2016年5月20日</w:t>
      </w:r>
      <w:bookmarkEnd w:id="89"/>
      <w:r>
        <w:rPr>
          <w:rFonts w:hint="eastAsia"/>
          <w:sz w:val="21"/>
          <w:szCs w:val="21"/>
        </w:rPr>
        <w:t xml:space="preserve">生效。 </w:t>
      </w:r>
    </w:p>
    <w:p>
      <w:pPr>
        <w:pStyle w:val="7"/>
        <w:spacing w:before="0" w:beforeAutospacing="0" w:after="0" w:afterAutospacing="0" w:line="360" w:lineRule="auto"/>
        <w:ind w:firstLine="420"/>
        <w:rPr>
          <w:sz w:val="21"/>
          <w:szCs w:val="21"/>
        </w:rPr>
      </w:pPr>
      <w:bookmarkStart w:id="90" w:name="chapter_level1_9_58_section_2"/>
      <w:bookmarkEnd w:id="90"/>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基金合同生效后，连续二十个工作日出现基金份额持有人数量不满</w:t>
      </w:r>
      <w:bookmarkStart w:id="91" w:name="field_58_minsubnumber_1"/>
      <w:r>
        <w:rPr>
          <w:rFonts w:hint="eastAsia"/>
          <w:sz w:val="21"/>
          <w:szCs w:val="21"/>
        </w:rPr>
        <w:t>二百</w:t>
      </w:r>
      <w:bookmarkEnd w:id="91"/>
      <w:r>
        <w:rPr>
          <w:rFonts w:hint="eastAsia"/>
          <w:sz w:val="21"/>
          <w:szCs w:val="21"/>
        </w:rPr>
        <w:t xml:space="preserve">人或者基金资产净值低于五千万元情形的，基金管理人应当在定期报告中予以披露；连续六十个工作日出现前述情形的，基金合同将终止并进行基金财产清算，且无需召开持有人大会，同时基金管理人应履行相关的监管报告和信息披露程序。 </w:t>
      </w:r>
    </w:p>
    <w:p>
      <w:pPr>
        <w:pStyle w:val="7"/>
        <w:spacing w:before="0" w:beforeAutospacing="0" w:after="0" w:afterAutospacing="0" w:line="360" w:lineRule="auto"/>
        <w:ind w:firstLine="420"/>
        <w:rPr>
          <w:sz w:val="21"/>
          <w:szCs w:val="21"/>
        </w:rPr>
      </w:pPr>
      <w:bookmarkStart w:id="92" w:name="chapter_level1_9_58_section_2_end"/>
      <w:bookmarkEnd w:id="92"/>
      <w:r>
        <w:rPr>
          <w:rFonts w:hint="eastAsia"/>
          <w:sz w:val="21"/>
          <w:szCs w:val="21"/>
        </w:rPr>
        <w:t xml:space="preserve">法律法规或监管机构另有规定时，从其规定。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93" w:name="_Toc176199412"/>
      <w:bookmarkStart w:id="94" w:name="chapter_level1_10_59"/>
      <w:r>
        <w:rPr>
          <w:rFonts w:hint="eastAsia" w:ascii="宋体" w:hAnsi="宋体" w:eastAsia="宋体"/>
          <w:sz w:val="30"/>
        </w:rPr>
        <w:t>第七部分  基金份额的申购与赎回</w:t>
      </w:r>
      <w:bookmarkEnd w:id="93"/>
      <w:bookmarkEnd w:id="94"/>
    </w:p>
    <w:p>
      <w:pPr>
        <w:pStyle w:val="7"/>
        <w:spacing w:before="0" w:beforeAutospacing="0" w:after="0" w:afterAutospacing="0" w:line="360" w:lineRule="auto"/>
        <w:ind w:firstLine="420"/>
        <w:rPr>
          <w:sz w:val="21"/>
          <w:szCs w:val="21"/>
        </w:rPr>
      </w:pPr>
      <w:bookmarkStart w:id="95" w:name="chapter_level1_10_59_section_1"/>
      <w:bookmarkEnd w:id="95"/>
      <w:r>
        <w:rPr>
          <w:rStyle w:val="11"/>
          <w:rFonts w:hint="eastAsia"/>
          <w:sz w:val="21"/>
          <w:szCs w:val="21"/>
        </w:rPr>
        <w:t>一、申购与赎回的场所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委托的代销机构。基金管理人可根据情况变更或增减销售机构，并在基金管理人网站公示。基金投资者应当在销售机构办理基金销售业务的营业场所或按销售机构提供的其他方式</w:t>
      </w:r>
      <w:bookmarkStart w:id="96" w:name="chapter_level1_10_59_section_1_end"/>
      <w:bookmarkEnd w:id="96"/>
      <w:r>
        <w:rPr>
          <w:rFonts w:hint="eastAsia"/>
          <w:sz w:val="21"/>
          <w:szCs w:val="21"/>
        </w:rPr>
        <w:t xml:space="preserve">办理基金份额的申购与赎回。 </w:t>
      </w:r>
    </w:p>
    <w:p>
      <w:pPr>
        <w:pStyle w:val="7"/>
        <w:spacing w:before="0" w:beforeAutospacing="0" w:after="0" w:afterAutospacing="0" w:line="360" w:lineRule="auto"/>
        <w:ind w:firstLine="420"/>
        <w:rPr>
          <w:sz w:val="21"/>
          <w:szCs w:val="21"/>
        </w:rPr>
      </w:pPr>
      <w:bookmarkStart w:id="97" w:name="chapter_level1_10_59_section_2"/>
      <w:bookmarkEnd w:id="97"/>
      <w:r>
        <w:rPr>
          <w:rStyle w:val="11"/>
          <w:rFonts w:hint="eastAsia"/>
          <w:sz w:val="21"/>
          <w:szCs w:val="21"/>
        </w:rPr>
        <w:t>二、申购与赎回办理的开放日及时间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r>
        <w:rPr>
          <w:rFonts w:hint="eastAsia"/>
          <w:sz w:val="21"/>
          <w:szCs w:val="21"/>
        </w:rPr>
        <w:t>本基金已于2016年6月6日起开始办理申购赎回业务。基金管理人不得在基金合同约定之外的日期或者时间办理基金份额的申购、赎回或者转换。投资人在基金合同约定之外的日期和时间提出申购、赎回、转换申请且登记机构确认接受的，其基金份额申购、赎回价格</w:t>
      </w:r>
      <w:bookmarkStart w:id="98" w:name="chapter_level1_10_59_section_2_end"/>
      <w:bookmarkEnd w:id="98"/>
      <w:r>
        <w:rPr>
          <w:rFonts w:hint="eastAsia"/>
          <w:sz w:val="21"/>
          <w:szCs w:val="21"/>
        </w:rPr>
        <w:t>为下一开放日</w:t>
      </w:r>
      <w:r>
        <w:rPr>
          <w:rFonts w:hint="eastAsia"/>
          <w:sz w:val="21"/>
          <w:szCs w:val="21"/>
          <w:lang w:val="en-US" w:eastAsia="zh-CN"/>
        </w:rPr>
        <w:t>该类</w:t>
      </w:r>
      <w:r>
        <w:rPr>
          <w:rFonts w:hint="eastAsia"/>
          <w:sz w:val="21"/>
          <w:szCs w:val="21"/>
        </w:rPr>
        <w:t xml:space="preserve">基金份额申购、赎回的价格。 </w:t>
      </w:r>
    </w:p>
    <w:p>
      <w:pPr>
        <w:pStyle w:val="7"/>
        <w:spacing w:before="0" w:beforeAutospacing="0" w:after="0" w:afterAutospacing="0" w:line="360" w:lineRule="auto"/>
        <w:ind w:firstLine="420"/>
        <w:rPr>
          <w:sz w:val="21"/>
          <w:szCs w:val="21"/>
        </w:rPr>
      </w:pPr>
      <w:bookmarkStart w:id="99" w:name="chapter_level1_10_59_section_3"/>
      <w:bookmarkEnd w:id="99"/>
      <w:r>
        <w:rPr>
          <w:rFonts w:hint="eastAsia"/>
          <w:b/>
          <w:bCs/>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1、“未知价”原则，即申购、赎回价格以申请当日收市后计算的</w:t>
      </w:r>
      <w:r>
        <w:rPr>
          <w:rFonts w:hint="eastAsia"/>
          <w:sz w:val="21"/>
          <w:szCs w:val="21"/>
          <w:lang w:val="en-US" w:eastAsia="zh-CN"/>
        </w:rPr>
        <w:t>该类</w:t>
      </w:r>
      <w:r>
        <w:rPr>
          <w:rFonts w:hint="eastAsia"/>
          <w:sz w:val="21"/>
          <w:szCs w:val="21"/>
        </w:rPr>
        <w:t xml:space="preserve">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基金管理人可在法律法规允许的情况下并在对基金份额持有人无实质性不利影响的前提下，对上述原则进行调整。基金管理人必须在新规则开始实施前依照《信息披露办法》的有关规定进行公告。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pPr>
        <w:pStyle w:val="7"/>
        <w:spacing w:before="0" w:beforeAutospacing="0" w:after="0" w:afterAutospacing="0" w:line="360" w:lineRule="auto"/>
        <w:ind w:firstLine="420"/>
        <w:rPr>
          <w:sz w:val="21"/>
          <w:szCs w:val="21"/>
        </w:rPr>
      </w:pPr>
      <w:r>
        <w:rPr>
          <w:rFonts w:hint="eastAsia"/>
          <w:sz w:val="21"/>
          <w:szCs w:val="21"/>
        </w:rPr>
        <w:t>1、首次申购基金份额的最低金额为</w:t>
      </w:r>
      <w:bookmarkStart w:id="100" w:name="field_59_dealerfirstpurminamount_1"/>
      <w:r>
        <w:rPr>
          <w:sz w:val="21"/>
          <w:szCs w:val="21"/>
        </w:rPr>
        <w:t>1.</w:t>
      </w:r>
      <w:r>
        <w:rPr>
          <w:rFonts w:hint="eastAsia"/>
          <w:sz w:val="21"/>
          <w:szCs w:val="21"/>
          <w:lang w:val="en-US" w:eastAsia="zh-CN"/>
        </w:rPr>
        <w:t>0</w:t>
      </w:r>
      <w:r>
        <w:rPr>
          <w:sz w:val="21"/>
          <w:szCs w:val="21"/>
        </w:rPr>
        <w:t>0</w:t>
      </w:r>
      <w:bookmarkEnd w:id="100"/>
      <w:r>
        <w:rPr>
          <w:rFonts w:hint="eastAsia"/>
          <w:sz w:val="21"/>
          <w:szCs w:val="21"/>
        </w:rPr>
        <w:t>元，追加申购最低金额为</w:t>
      </w:r>
      <w:bookmarkStart w:id="101" w:name="field_59_dealerlaterpurminamount_1"/>
      <w:r>
        <w:rPr>
          <w:sz w:val="21"/>
          <w:szCs w:val="21"/>
        </w:rPr>
        <w:t>1.</w:t>
      </w:r>
      <w:r>
        <w:rPr>
          <w:rFonts w:hint="eastAsia"/>
          <w:sz w:val="21"/>
          <w:szCs w:val="21"/>
          <w:lang w:val="en-US" w:eastAsia="zh-CN"/>
        </w:rPr>
        <w:t>0</w:t>
      </w:r>
      <w:r>
        <w:rPr>
          <w:sz w:val="21"/>
          <w:szCs w:val="21"/>
        </w:rPr>
        <w:t>0</w:t>
      </w:r>
      <w:bookmarkEnd w:id="101"/>
      <w:r>
        <w:rPr>
          <w:rFonts w:hint="eastAsia"/>
          <w:sz w:val="21"/>
          <w:szCs w:val="21"/>
        </w:rPr>
        <w:t xml:space="preserve">元；详情请见当地销售机构公告。 </w:t>
      </w:r>
    </w:p>
    <w:p>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102" w:name="field_59_minholdshare_1"/>
      <w:r>
        <w:rPr>
          <w:sz w:val="21"/>
          <w:szCs w:val="21"/>
        </w:rPr>
        <w:t>1</w:t>
      </w:r>
      <w:bookmarkEnd w:id="102"/>
      <w:r>
        <w:rPr>
          <w:rFonts w:hint="eastAsia"/>
          <w:sz w:val="21"/>
          <w:szCs w:val="21"/>
        </w:rPr>
        <w:t>份，若某笔赎回导致单个交易账户的基金份额余额少于</w:t>
      </w:r>
      <w:bookmarkStart w:id="103" w:name="field_59_minholdshare_2"/>
      <w:r>
        <w:rPr>
          <w:sz w:val="21"/>
          <w:szCs w:val="21"/>
        </w:rPr>
        <w:t>1</w:t>
      </w:r>
      <w:bookmarkEnd w:id="103"/>
      <w:r>
        <w:rPr>
          <w:rFonts w:hint="eastAsia"/>
          <w:sz w:val="21"/>
          <w:szCs w:val="21"/>
        </w:rPr>
        <w:t xml:space="preserve">份时，余额部分基金份额必须一同赎回。   </w:t>
      </w:r>
    </w:p>
    <w:p>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未来，基金管理人可以规定单个投资者累计持有的基金份额数量限制，具体规定见更新的招募说明书或相关公告；但需符合法律法规、监管机构的规定或基金合同的约定。 </w:t>
      </w:r>
    </w:p>
    <w:p>
      <w:pPr>
        <w:pStyle w:val="7"/>
        <w:spacing w:before="0" w:beforeAutospacing="0" w:after="0" w:afterAutospacing="0" w:line="360" w:lineRule="auto"/>
        <w:ind w:firstLine="420"/>
        <w:rPr>
          <w:sz w:val="21"/>
          <w:szCs w:val="21"/>
        </w:rPr>
      </w:pPr>
      <w:r>
        <w:rPr>
          <w:rFonts w:hint="eastAsia"/>
          <w:sz w:val="21"/>
          <w:szCs w:val="21"/>
        </w:rPr>
        <w:t xml:space="preserve">4、基金管理人可以对基金的总规模进行限制，具体规定见更新的招募说明书或相关公告。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5、基金管理人可以规定单个投资人当日申购金额上限，具体规定见更新的招募说明书或相关公告。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6、基金管理人可以规定本基金当日的申购金额上限，具体规定见更新的招募说明书或相关公告。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7、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8、基金管理人可在法律法规允许的情况下，调整上述规定申购金额和赎回份额的数量限制。基金管理人必须在调整实施前依照《信息披露办法》的有关规定进行公告。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五、申购与赎回的程序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3日(包括该日)内支付赎回款项。遇证券交易所或交易市场数据传输延迟、通讯系统故障、银行数据交换系统故障或其它非基金管理人及基金托管人所能控制的因素影响业务处理流程时，赎回款项顺延至前述情形消除之日的下一个工作日划出。在发生巨额赎回或基金合同约定的其他暂停赎回或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基金管理人可以在法律法规和基金合同允许的范围内，对上述业务办理时间进行调整，基金管理人必须在调整实施前依照《信息披露办法》的有关规定在指定媒介上公告。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 </w:t>
      </w:r>
    </w:p>
    <w:p>
      <w:pPr>
        <w:pStyle w:val="7"/>
        <w:spacing w:before="0" w:beforeAutospacing="0" w:after="0" w:afterAutospacing="0" w:line="360" w:lineRule="auto"/>
        <w:ind w:firstLine="420"/>
        <w:rPr>
          <w:sz w:val="21"/>
          <w:szCs w:val="21"/>
        </w:rPr>
      </w:pPr>
      <w:r>
        <w:rPr>
          <w:rFonts w:hint="eastAsia"/>
          <w:sz w:val="21"/>
          <w:szCs w:val="21"/>
        </w:rPr>
        <w:t xml:space="preserve">在法律法规允许的范围内，基金管理人或登记机构可根据相关业务规则，对上述业务办理时间进行调整，本基金管理人将于调整实施前按照有关规定予以公告。 </w:t>
      </w:r>
    </w:p>
    <w:p>
      <w:pPr>
        <w:pStyle w:val="7"/>
        <w:spacing w:before="0" w:beforeAutospacing="0" w:after="0" w:afterAutospacing="0" w:line="360" w:lineRule="auto"/>
        <w:ind w:firstLine="420"/>
        <w:rPr>
          <w:sz w:val="21"/>
          <w:szCs w:val="21"/>
        </w:rPr>
      </w:pPr>
      <w:r>
        <w:rPr>
          <w:rFonts w:hint="eastAsia"/>
          <w:b/>
          <w:bCs/>
          <w:sz w:val="21"/>
          <w:szCs w:val="21"/>
        </w:rPr>
        <w:t>六、申购费率、赎回费率</w:t>
      </w:r>
    </w:p>
    <w:p>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本基金A类基金份额采用前端收费模式收取基金申购费用，C类基金份额不收取申购费用。投资者的申购费用如下： </w:t>
      </w:r>
    </w:p>
    <w:p>
      <w:pPr>
        <w:pStyle w:val="7"/>
        <w:spacing w:before="0" w:beforeAutospacing="0" w:after="0" w:afterAutospacing="0" w:line="360" w:lineRule="auto"/>
        <w:ind w:firstLine="420"/>
        <w:jc w:val="center"/>
        <w:rPr>
          <w:sz w:val="21"/>
          <w:szCs w:val="21"/>
        </w:rPr>
      </w:pPr>
      <w:r>
        <w:rPr>
          <w:rFonts w:hint="eastAsia"/>
          <w:sz w:val="21"/>
          <w:szCs w:val="21"/>
        </w:rPr>
        <w:t xml:space="preserve">表1：本基金各类基金份额的申购费率 </w:t>
      </w:r>
    </w:p>
    <w:tbl>
      <w:tblPr>
        <w:tblStyle w:val="9"/>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5"/>
        <w:gridCol w:w="2877"/>
        <w:gridCol w:w="2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shd w:val="clear" w:color="auto" w:fill="auto"/>
          </w:tcPr>
          <w:p>
            <w:pPr>
              <w:pStyle w:val="7"/>
              <w:jc w:val="center"/>
              <w:rPr>
                <w:sz w:val="21"/>
                <w:szCs w:val="21"/>
              </w:rPr>
            </w:pPr>
            <w:r>
              <w:rPr>
                <w:rFonts w:hint="eastAsia"/>
                <w:sz w:val="21"/>
                <w:szCs w:val="21"/>
              </w:rPr>
              <w:t xml:space="preserve">金额（M）  </w:t>
            </w:r>
          </w:p>
        </w:tc>
        <w:tc>
          <w:tcPr>
            <w:tcW w:w="1710" w:type="pct"/>
            <w:shd w:val="clear" w:color="auto" w:fill="auto"/>
          </w:tcPr>
          <w:p>
            <w:pPr>
              <w:pStyle w:val="7"/>
              <w:jc w:val="center"/>
              <w:rPr>
                <w:sz w:val="21"/>
                <w:szCs w:val="21"/>
              </w:rPr>
            </w:pPr>
            <w:r>
              <w:rPr>
                <w:rFonts w:hint="eastAsia"/>
                <w:sz w:val="21"/>
                <w:szCs w:val="21"/>
              </w:rPr>
              <w:t xml:space="preserve">A类基金份额  </w:t>
            </w:r>
          </w:p>
        </w:tc>
        <w:tc>
          <w:tcPr>
            <w:tcW w:w="1710" w:type="pct"/>
            <w:shd w:val="clear" w:color="auto" w:fill="auto"/>
          </w:tcPr>
          <w:p>
            <w:pPr>
              <w:pStyle w:val="7"/>
              <w:jc w:val="center"/>
              <w:rPr>
                <w:sz w:val="21"/>
                <w:szCs w:val="21"/>
              </w:rPr>
            </w:pPr>
            <w:r>
              <w:rPr>
                <w:rFonts w:hint="eastAsia"/>
                <w:sz w:val="21"/>
                <w:szCs w:val="21"/>
              </w:rPr>
              <w:t>C类基金份额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shd w:val="clear" w:color="auto" w:fill="auto"/>
          </w:tcPr>
          <w:p>
            <w:pPr>
              <w:pStyle w:val="7"/>
              <w:jc w:val="center"/>
              <w:rPr>
                <w:sz w:val="21"/>
                <w:szCs w:val="21"/>
              </w:rPr>
            </w:pPr>
            <w:r>
              <w:rPr>
                <w:rFonts w:hint="eastAsia"/>
                <w:sz w:val="21"/>
                <w:szCs w:val="21"/>
              </w:rPr>
              <w:t xml:space="preserve">M＜100万  </w:t>
            </w:r>
          </w:p>
        </w:tc>
        <w:tc>
          <w:tcPr>
            <w:tcW w:w="1710" w:type="pct"/>
            <w:shd w:val="clear" w:color="auto" w:fill="auto"/>
          </w:tcPr>
          <w:p>
            <w:pPr>
              <w:pStyle w:val="7"/>
              <w:jc w:val="center"/>
              <w:rPr>
                <w:sz w:val="21"/>
                <w:szCs w:val="21"/>
              </w:rPr>
            </w:pPr>
            <w:r>
              <w:rPr>
                <w:rFonts w:hint="eastAsia"/>
                <w:sz w:val="21"/>
                <w:szCs w:val="21"/>
              </w:rPr>
              <w:t xml:space="preserve">0.80%  </w:t>
            </w:r>
          </w:p>
        </w:tc>
        <w:tc>
          <w:tcPr>
            <w:tcW w:w="1710" w:type="pct"/>
            <w:vMerge w:val="restart"/>
            <w:shd w:val="clear" w:color="auto" w:fill="auto"/>
          </w:tcPr>
          <w:p>
            <w:pPr>
              <w:pStyle w:val="7"/>
              <w:jc w:val="center"/>
              <w:rPr>
                <w:sz w:val="21"/>
                <w:szCs w:val="21"/>
              </w:rPr>
            </w:pPr>
          </w:p>
          <w:p>
            <w:pPr>
              <w:pStyle w:val="7"/>
              <w:jc w:val="center"/>
              <w:rPr>
                <w:sz w:val="21"/>
                <w:szCs w:val="21"/>
              </w:rPr>
            </w:pPr>
            <w:r>
              <w:rPr>
                <w:rFonts w:hint="eastAsia"/>
                <w:sz w:val="21"/>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shd w:val="clear" w:color="auto" w:fill="auto"/>
          </w:tcPr>
          <w:p>
            <w:pPr>
              <w:pStyle w:val="7"/>
              <w:jc w:val="center"/>
              <w:rPr>
                <w:sz w:val="21"/>
                <w:szCs w:val="21"/>
              </w:rPr>
            </w:pPr>
            <w:r>
              <w:rPr>
                <w:rFonts w:hint="eastAsia"/>
                <w:sz w:val="21"/>
                <w:szCs w:val="21"/>
              </w:rPr>
              <w:t xml:space="preserve">100万≤M＜300万  </w:t>
            </w:r>
          </w:p>
        </w:tc>
        <w:tc>
          <w:tcPr>
            <w:tcW w:w="1710" w:type="pct"/>
            <w:shd w:val="clear" w:color="auto" w:fill="auto"/>
          </w:tcPr>
          <w:p>
            <w:pPr>
              <w:pStyle w:val="7"/>
              <w:jc w:val="center"/>
              <w:rPr>
                <w:sz w:val="21"/>
                <w:szCs w:val="21"/>
              </w:rPr>
            </w:pPr>
            <w:r>
              <w:rPr>
                <w:rFonts w:hint="eastAsia"/>
                <w:sz w:val="21"/>
                <w:szCs w:val="21"/>
              </w:rPr>
              <w:t xml:space="preserve">0.50%  </w:t>
            </w:r>
          </w:p>
        </w:tc>
        <w:tc>
          <w:tcPr>
            <w:tcW w:w="1710" w:type="pct"/>
            <w:vMerge w:val="continue"/>
            <w:shd w:val="clear" w:color="auto" w:fill="auto"/>
          </w:tcPr>
          <w:p>
            <w:pPr>
              <w:pStyle w:val="7"/>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shd w:val="clear" w:color="auto" w:fill="auto"/>
          </w:tcPr>
          <w:p>
            <w:pPr>
              <w:pStyle w:val="7"/>
              <w:jc w:val="center"/>
              <w:rPr>
                <w:sz w:val="21"/>
                <w:szCs w:val="21"/>
              </w:rPr>
            </w:pPr>
            <w:r>
              <w:rPr>
                <w:rFonts w:hint="eastAsia"/>
                <w:sz w:val="21"/>
                <w:szCs w:val="21"/>
              </w:rPr>
              <w:t xml:space="preserve">300万≤M＜500万  </w:t>
            </w:r>
          </w:p>
        </w:tc>
        <w:tc>
          <w:tcPr>
            <w:tcW w:w="1710" w:type="pct"/>
            <w:shd w:val="clear" w:color="auto" w:fill="auto"/>
          </w:tcPr>
          <w:p>
            <w:pPr>
              <w:pStyle w:val="7"/>
              <w:jc w:val="center"/>
              <w:rPr>
                <w:sz w:val="21"/>
                <w:szCs w:val="21"/>
              </w:rPr>
            </w:pPr>
            <w:r>
              <w:rPr>
                <w:rFonts w:hint="eastAsia"/>
                <w:sz w:val="21"/>
                <w:szCs w:val="21"/>
              </w:rPr>
              <w:t xml:space="preserve">0.30%  </w:t>
            </w:r>
          </w:p>
        </w:tc>
        <w:tc>
          <w:tcPr>
            <w:tcW w:w="1710" w:type="pct"/>
            <w:vMerge w:val="continue"/>
            <w:shd w:val="clear" w:color="auto" w:fill="auto"/>
          </w:tcPr>
          <w:p>
            <w:pPr>
              <w:pStyle w:val="7"/>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shd w:val="clear" w:color="auto" w:fill="auto"/>
          </w:tcPr>
          <w:p>
            <w:pPr>
              <w:pStyle w:val="7"/>
              <w:jc w:val="center"/>
              <w:rPr>
                <w:sz w:val="21"/>
                <w:szCs w:val="21"/>
              </w:rPr>
            </w:pPr>
            <w:r>
              <w:rPr>
                <w:rFonts w:hint="eastAsia"/>
                <w:sz w:val="21"/>
                <w:szCs w:val="21"/>
              </w:rPr>
              <w:t xml:space="preserve">M≥500万  </w:t>
            </w:r>
          </w:p>
        </w:tc>
        <w:tc>
          <w:tcPr>
            <w:tcW w:w="1710" w:type="pct"/>
            <w:shd w:val="clear" w:color="auto" w:fill="auto"/>
          </w:tcPr>
          <w:p>
            <w:pPr>
              <w:pStyle w:val="7"/>
              <w:jc w:val="center"/>
              <w:rPr>
                <w:sz w:val="21"/>
                <w:szCs w:val="21"/>
              </w:rPr>
            </w:pPr>
            <w:r>
              <w:rPr>
                <w:rFonts w:hint="eastAsia"/>
                <w:sz w:val="21"/>
                <w:szCs w:val="21"/>
              </w:rPr>
              <w:t xml:space="preserve">每笔1000元  </w:t>
            </w:r>
          </w:p>
        </w:tc>
        <w:tc>
          <w:tcPr>
            <w:tcW w:w="1710" w:type="pct"/>
            <w:vMerge w:val="continue"/>
            <w:shd w:val="clear" w:color="auto" w:fill="auto"/>
          </w:tcPr>
          <w:p>
            <w:pPr>
              <w:pStyle w:val="7"/>
              <w:jc w:val="center"/>
              <w:rPr>
                <w:sz w:val="21"/>
                <w:szCs w:val="21"/>
              </w:rPr>
            </w:pPr>
          </w:p>
        </w:tc>
      </w:tr>
    </w:tbl>
    <w:p>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pPr>
        <w:pStyle w:val="7"/>
        <w:spacing w:before="0" w:beforeAutospacing="0" w:after="0" w:afterAutospacing="0" w:line="360" w:lineRule="auto"/>
        <w:ind w:firstLine="420"/>
        <w:jc w:val="center"/>
        <w:rPr>
          <w:sz w:val="21"/>
          <w:szCs w:val="21"/>
        </w:rPr>
      </w:pPr>
      <w:r>
        <w:rPr>
          <w:rFonts w:hint="eastAsia"/>
          <w:sz w:val="21"/>
          <w:szCs w:val="21"/>
        </w:rPr>
        <w:t xml:space="preserve">表2：本基金各类基金份额的赎回费率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30"/>
        <w:gridCol w:w="2517"/>
        <w:gridCol w:w="2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0" w:type="dxa"/>
            <w:shd w:val="clear" w:color="auto" w:fill="auto"/>
          </w:tcPr>
          <w:p>
            <w:pPr>
              <w:pStyle w:val="7"/>
              <w:jc w:val="center"/>
              <w:rPr>
                <w:sz w:val="21"/>
                <w:szCs w:val="21"/>
              </w:rPr>
            </w:pPr>
            <w:r>
              <w:rPr>
                <w:rFonts w:hint="eastAsia"/>
                <w:sz w:val="21"/>
                <w:szCs w:val="21"/>
              </w:rPr>
              <w:t xml:space="preserve">持有期间（Y）  </w:t>
            </w:r>
          </w:p>
        </w:tc>
        <w:tc>
          <w:tcPr>
            <w:tcW w:w="2517" w:type="dxa"/>
            <w:shd w:val="clear" w:color="auto" w:fill="auto"/>
          </w:tcPr>
          <w:p>
            <w:pPr>
              <w:pStyle w:val="7"/>
              <w:jc w:val="center"/>
              <w:rPr>
                <w:sz w:val="21"/>
                <w:szCs w:val="21"/>
              </w:rPr>
            </w:pPr>
            <w:r>
              <w:rPr>
                <w:rFonts w:hint="eastAsia"/>
                <w:sz w:val="21"/>
                <w:szCs w:val="21"/>
              </w:rPr>
              <w:t xml:space="preserve">A类基金份额 </w:t>
            </w:r>
          </w:p>
        </w:tc>
        <w:tc>
          <w:tcPr>
            <w:tcW w:w="2832" w:type="dxa"/>
            <w:shd w:val="clear" w:color="auto" w:fill="auto"/>
          </w:tcPr>
          <w:p>
            <w:pPr>
              <w:pStyle w:val="7"/>
              <w:jc w:val="center"/>
              <w:rPr>
                <w:sz w:val="21"/>
                <w:szCs w:val="21"/>
              </w:rPr>
            </w:pPr>
            <w:r>
              <w:rPr>
                <w:rFonts w:hint="eastAsia"/>
                <w:sz w:val="21"/>
                <w:szCs w:val="21"/>
              </w:rPr>
              <w:t>C类基金份额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030" w:type="dxa"/>
            <w:shd w:val="clear" w:color="auto" w:fill="auto"/>
          </w:tcPr>
          <w:p>
            <w:pPr>
              <w:pStyle w:val="7"/>
              <w:jc w:val="center"/>
              <w:rPr>
                <w:sz w:val="21"/>
                <w:szCs w:val="21"/>
              </w:rPr>
            </w:pPr>
            <w:r>
              <w:rPr>
                <w:rFonts w:hint="eastAsia"/>
                <w:sz w:val="21"/>
                <w:szCs w:val="21"/>
              </w:rPr>
              <w:t xml:space="preserve">Y＜7日  </w:t>
            </w:r>
          </w:p>
        </w:tc>
        <w:tc>
          <w:tcPr>
            <w:tcW w:w="2517" w:type="dxa"/>
            <w:shd w:val="clear" w:color="auto" w:fill="auto"/>
          </w:tcPr>
          <w:p>
            <w:pPr>
              <w:pStyle w:val="7"/>
              <w:ind w:firstLine="420"/>
              <w:jc w:val="center"/>
              <w:rPr>
                <w:sz w:val="21"/>
                <w:szCs w:val="21"/>
              </w:rPr>
            </w:pPr>
            <w:r>
              <w:rPr>
                <w:rFonts w:hint="eastAsia"/>
                <w:sz w:val="21"/>
                <w:szCs w:val="21"/>
              </w:rPr>
              <w:t xml:space="preserve">1.50%  </w:t>
            </w:r>
          </w:p>
        </w:tc>
        <w:tc>
          <w:tcPr>
            <w:tcW w:w="2832" w:type="dxa"/>
            <w:shd w:val="clear" w:color="auto" w:fill="auto"/>
          </w:tcPr>
          <w:p>
            <w:pPr>
              <w:pStyle w:val="7"/>
              <w:ind w:firstLine="420"/>
              <w:jc w:val="center"/>
              <w:rPr>
                <w:sz w:val="21"/>
                <w:szCs w:val="21"/>
              </w:rPr>
            </w:pPr>
            <w:r>
              <w:rPr>
                <w:rFonts w:hint="eastAsia"/>
                <w:sz w:val="21"/>
                <w:szCs w:val="21"/>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0" w:type="dxa"/>
            <w:shd w:val="clear" w:color="auto" w:fill="auto"/>
          </w:tcPr>
          <w:p>
            <w:pPr>
              <w:pStyle w:val="7"/>
              <w:jc w:val="center"/>
              <w:rPr>
                <w:sz w:val="21"/>
                <w:szCs w:val="21"/>
              </w:rPr>
            </w:pPr>
            <w:r>
              <w:rPr>
                <w:rFonts w:hint="eastAsia"/>
                <w:sz w:val="21"/>
                <w:szCs w:val="21"/>
              </w:rPr>
              <w:t xml:space="preserve">7日≤Y＜1个月  </w:t>
            </w:r>
          </w:p>
        </w:tc>
        <w:tc>
          <w:tcPr>
            <w:tcW w:w="2517" w:type="dxa"/>
            <w:shd w:val="clear" w:color="auto" w:fill="auto"/>
          </w:tcPr>
          <w:p>
            <w:pPr>
              <w:pStyle w:val="7"/>
              <w:ind w:firstLine="420"/>
              <w:jc w:val="center"/>
              <w:rPr>
                <w:sz w:val="21"/>
                <w:szCs w:val="21"/>
              </w:rPr>
            </w:pPr>
            <w:r>
              <w:rPr>
                <w:rFonts w:hint="eastAsia"/>
                <w:sz w:val="21"/>
                <w:szCs w:val="21"/>
              </w:rPr>
              <w:t xml:space="preserve">0.10%  </w:t>
            </w:r>
          </w:p>
        </w:tc>
        <w:tc>
          <w:tcPr>
            <w:tcW w:w="2832" w:type="dxa"/>
            <w:vMerge w:val="restart"/>
            <w:shd w:val="clear" w:color="auto" w:fill="auto"/>
          </w:tcPr>
          <w:p>
            <w:pPr>
              <w:pStyle w:val="7"/>
              <w:ind w:firstLine="420"/>
              <w:jc w:val="center"/>
              <w:rPr>
                <w:sz w:val="21"/>
                <w:szCs w:val="21"/>
              </w:rPr>
            </w:pPr>
            <w:r>
              <w:rPr>
                <w:rFonts w:hint="eastAsia"/>
                <w:sz w:val="21"/>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0" w:type="dxa"/>
            <w:shd w:val="clear" w:color="auto" w:fill="auto"/>
          </w:tcPr>
          <w:p>
            <w:pPr>
              <w:pStyle w:val="7"/>
              <w:jc w:val="center"/>
              <w:rPr>
                <w:sz w:val="21"/>
                <w:szCs w:val="21"/>
              </w:rPr>
            </w:pPr>
            <w:r>
              <w:rPr>
                <w:rFonts w:hint="eastAsia"/>
                <w:sz w:val="21"/>
                <w:szCs w:val="21"/>
              </w:rPr>
              <w:t xml:space="preserve">Y≥1个月  </w:t>
            </w:r>
          </w:p>
        </w:tc>
        <w:tc>
          <w:tcPr>
            <w:tcW w:w="2517" w:type="dxa"/>
            <w:shd w:val="clear" w:color="auto" w:fill="auto"/>
          </w:tcPr>
          <w:p>
            <w:pPr>
              <w:pStyle w:val="7"/>
              <w:ind w:firstLine="420"/>
              <w:jc w:val="center"/>
              <w:rPr>
                <w:sz w:val="21"/>
                <w:szCs w:val="21"/>
              </w:rPr>
            </w:pPr>
            <w:r>
              <w:rPr>
                <w:rFonts w:hint="eastAsia"/>
                <w:sz w:val="21"/>
                <w:szCs w:val="21"/>
              </w:rPr>
              <w:t xml:space="preserve">0.00%  </w:t>
            </w:r>
          </w:p>
        </w:tc>
        <w:tc>
          <w:tcPr>
            <w:tcW w:w="2832" w:type="dxa"/>
            <w:vMerge w:val="continue"/>
            <w:shd w:val="clear" w:color="auto" w:fill="auto"/>
          </w:tcPr>
          <w:p>
            <w:pPr>
              <w:pStyle w:val="7"/>
              <w:ind w:firstLine="420"/>
              <w:jc w:val="center"/>
              <w:rPr>
                <w:sz w:val="21"/>
                <w:szCs w:val="21"/>
              </w:rPr>
            </w:pPr>
          </w:p>
        </w:tc>
      </w:tr>
    </w:tbl>
    <w:p>
      <w:pPr>
        <w:pStyle w:val="7"/>
        <w:spacing w:before="0" w:beforeAutospacing="0" w:after="0" w:afterAutospacing="0" w:line="360" w:lineRule="auto"/>
        <w:ind w:firstLine="420"/>
        <w:rPr>
          <w:sz w:val="21"/>
          <w:szCs w:val="21"/>
        </w:rPr>
      </w:pPr>
      <w:r>
        <w:rPr>
          <w:rFonts w:hint="eastAsia"/>
          <w:sz w:val="21"/>
          <w:szCs w:val="21"/>
        </w:rPr>
        <w:t xml:space="preserve">备注：1个月=30日 </w:t>
      </w:r>
    </w:p>
    <w:p>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在基金份额持有人赎回基金份额时收取。对于A类基金份额，对持续持有期少于7日的投资者收取的赎回费全额计入基金资产，对持续持有期不少于7日的投资者收取的赎回费不低于25%计入基金财产。 对于C类基金份额，对持续持有期少于7日的投资者收取的赎回费全额计入基金资产。  </w:t>
      </w:r>
    </w:p>
    <w:p>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pPr>
        <w:pStyle w:val="7"/>
        <w:spacing w:before="0" w:beforeAutospacing="0" w:after="0" w:afterAutospacing="0" w:line="360" w:lineRule="auto"/>
        <w:ind w:firstLine="420"/>
        <w:rPr>
          <w:rFonts w:hint="eastAsia"/>
          <w:sz w:val="21"/>
          <w:szCs w:val="21"/>
        </w:rPr>
      </w:pPr>
      <w:r>
        <w:rPr>
          <w:rFonts w:hint="eastAsia"/>
          <w:sz w:val="21"/>
          <w:szCs w:val="21"/>
        </w:rPr>
        <w:t xml:space="preserve">1、申购金额的计算方式： </w:t>
      </w:r>
    </w:p>
    <w:p>
      <w:pPr>
        <w:pStyle w:val="7"/>
        <w:spacing w:before="0" w:beforeAutospacing="0" w:after="0" w:afterAutospacing="0" w:line="360" w:lineRule="auto"/>
        <w:ind w:firstLine="420"/>
        <w:rPr>
          <w:rFonts w:hint="eastAsia"/>
          <w:sz w:val="21"/>
          <w:szCs w:val="21"/>
        </w:rPr>
      </w:pPr>
      <w:r>
        <w:rPr>
          <w:rFonts w:hint="eastAsia"/>
          <w:sz w:val="21"/>
          <w:szCs w:val="21"/>
        </w:rPr>
        <w:t>（1）A类基金份额</w:t>
      </w:r>
    </w:p>
    <w:p>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numPr>
          <w:ilvl w:val="0"/>
          <w:numId w:val="1"/>
        </w:numPr>
        <w:spacing w:before="0" w:beforeAutospacing="0" w:after="0" w:afterAutospacing="0" w:line="360" w:lineRule="auto"/>
        <w:ind w:firstLine="420"/>
        <w:rPr>
          <w:sz w:val="21"/>
          <w:szCs w:val="21"/>
        </w:rPr>
      </w:pPr>
      <w:bookmarkStart w:id="104" w:name="_Hlk153654828"/>
      <w:r>
        <w:rPr>
          <w:rFonts w:hint="eastAsia"/>
          <w:sz w:val="21"/>
          <w:szCs w:val="21"/>
        </w:rPr>
        <w:t>C类基金份额</w:t>
      </w:r>
      <w:bookmarkEnd w:id="104"/>
    </w:p>
    <w:p>
      <w:pPr>
        <w:pStyle w:val="7"/>
        <w:spacing w:before="0" w:beforeAutospacing="0" w:after="0" w:afterAutospacing="0" w:line="360" w:lineRule="auto"/>
        <w:ind w:firstLine="420"/>
        <w:rPr>
          <w:rFonts w:hint="eastAsia"/>
          <w:sz w:val="21"/>
          <w:szCs w:val="21"/>
        </w:rPr>
      </w:pPr>
      <w:bookmarkStart w:id="105" w:name="_Hlk153654838"/>
      <w:r>
        <w:rPr>
          <w:rFonts w:hint="eastAsia"/>
          <w:sz w:val="21"/>
          <w:szCs w:val="21"/>
        </w:rPr>
        <w:t>申购份额=申购金额/</w:t>
      </w:r>
      <w:r>
        <w:rPr>
          <w:sz w:val="21"/>
          <w:szCs w:val="21"/>
        </w:rPr>
        <w:t>T</w:t>
      </w:r>
      <w:r>
        <w:rPr>
          <w:rFonts w:hint="eastAsia"/>
          <w:sz w:val="21"/>
          <w:szCs w:val="21"/>
        </w:rPr>
        <w:t>日C类基金份额净值</w:t>
      </w:r>
      <w:bookmarkEnd w:id="105"/>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例1：假定T日A类基金份额净值为1.056</w:t>
      </w:r>
      <w:r>
        <w:rPr>
          <w:rFonts w:hint="eastAsia"/>
          <w:sz w:val="21"/>
          <w:szCs w:val="21"/>
          <w:lang w:val="en-US" w:eastAsia="zh-CN"/>
        </w:rPr>
        <w:t>0</w:t>
      </w:r>
      <w:r>
        <w:rPr>
          <w:rFonts w:hint="eastAsia"/>
          <w:sz w:val="21"/>
          <w:szCs w:val="21"/>
        </w:rPr>
        <w:t xml:space="preserve">元，某投资人本次申购本基金A类基金份额40万元，对应的本次申购费率为0.80%，该投资人可得到的A类基金份额为：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净申购金额=400,000/（1+0.80%）＝396,825.40元 </w:t>
      </w:r>
    </w:p>
    <w:p>
      <w:pPr>
        <w:pStyle w:val="7"/>
        <w:spacing w:before="0" w:beforeAutospacing="0" w:after="0" w:afterAutospacing="0" w:line="360" w:lineRule="auto"/>
        <w:ind w:firstLine="420"/>
        <w:rPr>
          <w:sz w:val="21"/>
          <w:szCs w:val="21"/>
        </w:rPr>
      </w:pPr>
      <w:r>
        <w:rPr>
          <w:rFonts w:hint="eastAsia"/>
          <w:sz w:val="21"/>
          <w:szCs w:val="21"/>
        </w:rPr>
        <w:t xml:space="preserve">申购费用=400,000-396,825.40＝3,174.60元 </w:t>
      </w:r>
    </w:p>
    <w:p>
      <w:pPr>
        <w:pStyle w:val="7"/>
        <w:spacing w:before="0" w:beforeAutospacing="0" w:after="0" w:afterAutospacing="0" w:line="360" w:lineRule="auto"/>
        <w:ind w:firstLine="420"/>
        <w:rPr>
          <w:sz w:val="21"/>
          <w:szCs w:val="21"/>
        </w:rPr>
      </w:pPr>
      <w:r>
        <w:rPr>
          <w:rFonts w:hint="eastAsia"/>
          <w:sz w:val="21"/>
          <w:szCs w:val="21"/>
        </w:rPr>
        <w:t>申购份额=396,825.40/1.056</w:t>
      </w:r>
      <w:r>
        <w:rPr>
          <w:rFonts w:hint="eastAsia"/>
          <w:sz w:val="21"/>
          <w:szCs w:val="21"/>
          <w:lang w:val="en-US" w:eastAsia="zh-CN"/>
        </w:rPr>
        <w:t>0</w:t>
      </w:r>
      <w:r>
        <w:rPr>
          <w:rFonts w:hint="eastAsia"/>
          <w:sz w:val="21"/>
          <w:szCs w:val="21"/>
        </w:rPr>
        <w:t xml:space="preserve">＝375,781.63份 </w:t>
      </w:r>
    </w:p>
    <w:p>
      <w:pPr>
        <w:pStyle w:val="7"/>
        <w:spacing w:before="0" w:beforeAutospacing="0" w:after="0" w:afterAutospacing="0" w:line="360" w:lineRule="auto"/>
        <w:ind w:firstLine="420"/>
        <w:rPr>
          <w:sz w:val="21"/>
          <w:szCs w:val="21"/>
        </w:rPr>
      </w:pPr>
      <w:r>
        <w:rPr>
          <w:rFonts w:hint="eastAsia"/>
          <w:sz w:val="21"/>
          <w:szCs w:val="21"/>
        </w:rPr>
        <w:t>即：投资人投资40万元申购本基金A类基金份额，假定申购当日</w:t>
      </w:r>
      <w:r>
        <w:rPr>
          <w:rFonts w:hint="eastAsia"/>
          <w:sz w:val="21"/>
          <w:szCs w:val="21"/>
          <w:lang w:val="en-US" w:eastAsia="zh-CN"/>
        </w:rPr>
        <w:t>本</w:t>
      </w:r>
      <w:r>
        <w:rPr>
          <w:rFonts w:hint="eastAsia"/>
          <w:sz w:val="21"/>
          <w:szCs w:val="21"/>
        </w:rPr>
        <w:t>基金A类基金份额净值为1.056</w:t>
      </w:r>
      <w:r>
        <w:rPr>
          <w:rFonts w:hint="eastAsia"/>
          <w:sz w:val="21"/>
          <w:szCs w:val="21"/>
          <w:lang w:val="en-US" w:eastAsia="zh-CN"/>
        </w:rPr>
        <w:t>0</w:t>
      </w:r>
      <w:r>
        <w:rPr>
          <w:rFonts w:hint="eastAsia"/>
          <w:sz w:val="21"/>
          <w:szCs w:val="21"/>
        </w:rPr>
        <w:t xml:space="preserve">元，可得到375,781.63份A类基金份额。 </w:t>
      </w:r>
    </w:p>
    <w:p>
      <w:pPr>
        <w:pStyle w:val="7"/>
        <w:spacing w:before="0" w:beforeAutospacing="0" w:after="0" w:afterAutospacing="0" w:line="360" w:lineRule="auto"/>
        <w:ind w:firstLine="420"/>
        <w:rPr>
          <w:sz w:val="21"/>
          <w:szCs w:val="21"/>
        </w:rPr>
      </w:pPr>
      <w:r>
        <w:rPr>
          <w:rFonts w:hint="eastAsia"/>
          <w:sz w:val="21"/>
          <w:szCs w:val="21"/>
        </w:rPr>
        <w:t>例2：假定T日A类基金份额净值为1.056</w:t>
      </w:r>
      <w:r>
        <w:rPr>
          <w:rFonts w:hint="eastAsia"/>
          <w:sz w:val="21"/>
          <w:szCs w:val="21"/>
          <w:lang w:val="en-US" w:eastAsia="zh-CN"/>
        </w:rPr>
        <w:t>0</w:t>
      </w:r>
      <w:r>
        <w:rPr>
          <w:rFonts w:hint="eastAsia"/>
          <w:sz w:val="21"/>
          <w:szCs w:val="21"/>
        </w:rPr>
        <w:t xml:space="preserve">元，某投资人投资600万元申购本基金A类基金份额，其对应的申购费用为1000元，则其可得到的申购份额为：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申购费用＝1000元 </w:t>
      </w:r>
    </w:p>
    <w:p>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pPr>
        <w:pStyle w:val="7"/>
        <w:spacing w:before="0" w:beforeAutospacing="0" w:after="0" w:afterAutospacing="0" w:line="360" w:lineRule="auto"/>
        <w:ind w:firstLine="420"/>
        <w:rPr>
          <w:sz w:val="21"/>
          <w:szCs w:val="21"/>
        </w:rPr>
      </w:pPr>
      <w:r>
        <w:rPr>
          <w:rFonts w:hint="eastAsia"/>
          <w:sz w:val="21"/>
          <w:szCs w:val="21"/>
        </w:rPr>
        <w:t>申购份额＝5,999,000/1.056</w:t>
      </w:r>
      <w:r>
        <w:rPr>
          <w:rFonts w:hint="eastAsia"/>
          <w:sz w:val="21"/>
          <w:szCs w:val="21"/>
          <w:lang w:val="en-US" w:eastAsia="zh-CN"/>
        </w:rPr>
        <w:t>0</w:t>
      </w:r>
      <w:r>
        <w:rPr>
          <w:rFonts w:hint="eastAsia"/>
          <w:sz w:val="21"/>
          <w:szCs w:val="21"/>
        </w:rPr>
        <w:t xml:space="preserve">＝5,680,871.21份 </w:t>
      </w:r>
    </w:p>
    <w:p>
      <w:pPr>
        <w:pStyle w:val="7"/>
        <w:spacing w:before="0" w:beforeAutospacing="0" w:after="0" w:afterAutospacing="0" w:line="360" w:lineRule="auto"/>
        <w:ind w:firstLine="420"/>
        <w:rPr>
          <w:sz w:val="21"/>
          <w:szCs w:val="21"/>
        </w:rPr>
      </w:pPr>
      <w:r>
        <w:rPr>
          <w:rFonts w:hint="eastAsia"/>
          <w:sz w:val="21"/>
          <w:szCs w:val="21"/>
        </w:rPr>
        <w:t>即，投资人投资600万元申购本基金A类基金份额，假定申购当日基金份额净值为1.056</w:t>
      </w:r>
      <w:r>
        <w:rPr>
          <w:rFonts w:hint="eastAsia"/>
          <w:sz w:val="21"/>
          <w:szCs w:val="21"/>
          <w:lang w:val="en-US" w:eastAsia="zh-CN"/>
        </w:rPr>
        <w:t>0</w:t>
      </w:r>
      <w:r>
        <w:rPr>
          <w:rFonts w:hint="eastAsia"/>
          <w:sz w:val="21"/>
          <w:szCs w:val="21"/>
        </w:rPr>
        <w:t xml:space="preserve">元，可得到5,680,871.21份A类基金份额。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例3：某投资者赎回本基金1万份基金份额，持有时间为三年，对应的赎回费率为0%，假设赎回当日基金份额净值是1.250</w:t>
      </w:r>
      <w:r>
        <w:rPr>
          <w:rFonts w:hint="eastAsia"/>
          <w:sz w:val="21"/>
          <w:szCs w:val="21"/>
          <w:lang w:val="en-US" w:eastAsia="zh-CN"/>
        </w:rPr>
        <w:t>0</w:t>
      </w:r>
      <w:r>
        <w:rPr>
          <w:rFonts w:hint="eastAsia"/>
          <w:sz w:val="21"/>
          <w:szCs w:val="21"/>
        </w:rPr>
        <w:t xml:space="preserve">元，则其可得到的赎回金额为： </w:t>
      </w:r>
    </w:p>
    <w:p>
      <w:pPr>
        <w:pStyle w:val="7"/>
        <w:spacing w:before="0" w:beforeAutospacing="0" w:after="0" w:afterAutospacing="0" w:line="360" w:lineRule="auto"/>
        <w:ind w:firstLine="420"/>
        <w:rPr>
          <w:sz w:val="21"/>
          <w:szCs w:val="21"/>
        </w:rPr>
      </w:pPr>
      <w:r>
        <w:rPr>
          <w:rFonts w:hint="eastAsia"/>
          <w:sz w:val="21"/>
          <w:szCs w:val="21"/>
        </w:rPr>
        <w:t>赎回总金额=10,000×1.250</w:t>
      </w:r>
      <w:r>
        <w:rPr>
          <w:rFonts w:hint="eastAsia"/>
          <w:sz w:val="21"/>
          <w:szCs w:val="21"/>
          <w:lang w:val="en-US" w:eastAsia="zh-CN"/>
        </w:rPr>
        <w:t>0</w:t>
      </w:r>
      <w:r>
        <w:rPr>
          <w:rFonts w:hint="eastAsia"/>
          <w:sz w:val="21"/>
          <w:szCs w:val="21"/>
        </w:rPr>
        <w:t xml:space="preserve">=12,500.00 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pPr>
        <w:pStyle w:val="7"/>
        <w:spacing w:before="0" w:beforeAutospacing="0" w:after="0" w:afterAutospacing="0" w:line="360" w:lineRule="auto"/>
        <w:ind w:firstLine="420"/>
        <w:rPr>
          <w:sz w:val="21"/>
          <w:szCs w:val="21"/>
        </w:rPr>
      </w:pPr>
      <w:r>
        <w:rPr>
          <w:rFonts w:hint="eastAsia"/>
          <w:sz w:val="21"/>
          <w:szCs w:val="21"/>
        </w:rPr>
        <w:t>即：投资者赎回本基金1万份A类基金份额，持有时间为三年，假设赎回当日A类基金份额净值是1.25</w:t>
      </w:r>
      <w:r>
        <w:rPr>
          <w:rFonts w:hint="eastAsia"/>
          <w:sz w:val="21"/>
          <w:szCs w:val="21"/>
          <w:lang w:val="en-US" w:eastAsia="zh-CN"/>
        </w:rPr>
        <w:t>00</w:t>
      </w:r>
      <w:r>
        <w:rPr>
          <w:rFonts w:hint="eastAsia"/>
          <w:sz w:val="21"/>
          <w:szCs w:val="21"/>
        </w:rPr>
        <w:t xml:space="preserve">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3、本基金各类基金份额净值的计算，保留到小数点后</w:t>
      </w:r>
      <w:r>
        <w:rPr>
          <w:rFonts w:hint="eastAsia"/>
          <w:sz w:val="21"/>
          <w:szCs w:val="21"/>
          <w:lang w:val="en-US" w:eastAsia="zh-CN"/>
        </w:rPr>
        <w:t>4</w:t>
      </w:r>
      <w:r>
        <w:rPr>
          <w:rFonts w:hint="eastAsia"/>
          <w:sz w:val="21"/>
          <w:szCs w:val="21"/>
        </w:rPr>
        <w:t>位，小数点后第</w:t>
      </w:r>
      <w:r>
        <w:rPr>
          <w:rFonts w:hint="eastAsia"/>
          <w:sz w:val="21"/>
          <w:szCs w:val="21"/>
          <w:lang w:val="en-US" w:eastAsia="zh-CN"/>
        </w:rPr>
        <w:t>5</w:t>
      </w:r>
      <w:r>
        <w:rPr>
          <w:rFonts w:hint="eastAsia"/>
          <w:sz w:val="21"/>
          <w:szCs w:val="21"/>
        </w:rPr>
        <w:t xml:space="preserve">位四舍五入，由此产生的收益或损失由基金财产承担。T日的各类基金份额净值在当天收市后计算，并按照基金合同约定公告。遇特殊情况，经中国证监会同意，可以适当延迟计算或公告。 </w:t>
      </w:r>
    </w:p>
    <w:p>
      <w:pPr>
        <w:pStyle w:val="7"/>
        <w:spacing w:before="0" w:beforeAutospacing="0" w:after="0" w:afterAutospacing="0" w:line="360" w:lineRule="auto"/>
        <w:ind w:firstLine="420"/>
        <w:rPr>
          <w:sz w:val="21"/>
          <w:szCs w:val="21"/>
        </w:rPr>
      </w:pPr>
      <w:r>
        <w:rPr>
          <w:rFonts w:hint="eastAsia"/>
          <w:sz w:val="21"/>
          <w:szCs w:val="21"/>
        </w:rPr>
        <w:t>4、基金管理人可以在不违背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w:t>
      </w:r>
      <w:r>
        <w:rPr>
          <w:rFonts w:hint="eastAsia"/>
          <w:sz w:val="21"/>
          <w:szCs w:val="21"/>
          <w:lang w:eastAsia="zh-CN"/>
        </w:rPr>
        <w:t>、</w:t>
      </w:r>
      <w:r>
        <w:rPr>
          <w:rFonts w:hint="eastAsia"/>
          <w:sz w:val="21"/>
          <w:szCs w:val="21"/>
        </w:rPr>
        <w:t xml:space="preserve">基金赎回费率和销售服务费率，并进行公告。 </w:t>
      </w:r>
    </w:p>
    <w:p>
      <w:pPr>
        <w:pStyle w:val="7"/>
        <w:spacing w:before="0" w:beforeAutospacing="0" w:after="0" w:afterAutospacing="0" w:line="360" w:lineRule="auto"/>
        <w:ind w:firstLine="420"/>
        <w:rPr>
          <w:sz w:val="21"/>
          <w:szCs w:val="21"/>
        </w:rPr>
      </w:pPr>
      <w:r>
        <w:rPr>
          <w:rFonts w:hint="eastAsia"/>
          <w:b/>
          <w:bCs/>
          <w:sz w:val="21"/>
          <w:szCs w:val="21"/>
        </w:rPr>
        <w:t>八、申购与赎回的登记</w:t>
      </w:r>
    </w:p>
    <w:p>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九、拒绝或暂停申购的情形及处理</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Fonts w:hint="eastAsia"/>
          <w:b/>
          <w:bCs/>
          <w:sz w:val="21"/>
          <w:szCs w:val="21"/>
        </w:rPr>
        <w:t>十、暂停赎回或延缓支付赎回款项的情形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Fonts w:hint="eastAsia"/>
          <w:b/>
          <w:bCs/>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6" w:name="field_49_mintredeemscale_2"/>
      <w:r>
        <w:rPr>
          <w:sz w:val="21"/>
          <w:szCs w:val="21"/>
        </w:rPr>
        <w:t>10</w:t>
      </w:r>
      <w:bookmarkEnd w:id="106"/>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107" w:name="field_49_mintredeemscale_3"/>
      <w:r>
        <w:rPr>
          <w:sz w:val="21"/>
          <w:szCs w:val="21"/>
        </w:rPr>
        <w:t>10</w:t>
      </w:r>
      <w:bookmarkEnd w:id="107"/>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8" w:name="field_49_mintredeemscale_4"/>
      <w:r>
        <w:rPr>
          <w:sz w:val="21"/>
          <w:szCs w:val="21"/>
        </w:rPr>
        <w:t>10</w:t>
      </w:r>
      <w:bookmarkEnd w:id="108"/>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pPr>
        <w:pStyle w:val="7"/>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1、发生上述暂停申购或赎回情况的，基金管理人当日应在规定期限内在指定媒介上刊登暂停公告。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pPr>
        <w:pStyle w:val="7"/>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9" w:name="chapter_level1_10_59_section_3_end"/>
      <w:bookmarkEnd w:id="109"/>
      <w:r>
        <w:rPr>
          <w:rFonts w:hint="eastAsia"/>
          <w:sz w:val="21"/>
          <w:szCs w:val="21"/>
        </w:rPr>
        <w:t xml:space="preserve">开放的公告。暂停结束，基金管理人按上述规定公告最近1个工作日的各类基金份额净值。 </w:t>
      </w:r>
    </w:p>
    <w:p>
      <w:pPr>
        <w:pStyle w:val="7"/>
        <w:spacing w:before="0" w:beforeAutospacing="0" w:after="0" w:afterAutospacing="0" w:line="360" w:lineRule="auto"/>
        <w:ind w:firstLine="420"/>
        <w:rPr>
          <w:sz w:val="21"/>
          <w:szCs w:val="21"/>
        </w:rPr>
      </w:pPr>
      <w:bookmarkStart w:id="110" w:name="chapter_level1_10_59_section_4"/>
      <w:bookmarkEnd w:id="110"/>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本基金A类基金份额自2016年8月15日开放日常转换业务。 </w:t>
      </w:r>
    </w:p>
    <w:p>
      <w:pPr>
        <w:pStyle w:val="7"/>
        <w:spacing w:before="0" w:beforeAutospacing="0" w:after="0" w:afterAutospacing="0" w:line="360" w:lineRule="auto"/>
        <w:ind w:firstLine="420"/>
        <w:rPr>
          <w:sz w:val="21"/>
          <w:szCs w:val="21"/>
        </w:rPr>
      </w:pPr>
      <w:r>
        <w:rPr>
          <w:rFonts w:hint="eastAsia"/>
          <w:sz w:val="21"/>
          <w:szCs w:val="21"/>
        </w:rPr>
        <w:t xml:space="preserve">1、转换费用 </w:t>
      </w:r>
    </w:p>
    <w:p>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pPr>
        <w:pStyle w:val="7"/>
        <w:spacing w:before="0" w:beforeAutospacing="0" w:after="0" w:afterAutospacing="0" w:line="360" w:lineRule="auto"/>
        <w:ind w:firstLine="420"/>
        <w:rPr>
          <w:sz w:val="21"/>
          <w:szCs w:val="21"/>
        </w:rPr>
      </w:pPr>
      <w:r>
        <w:rPr>
          <w:rFonts w:hint="eastAsia"/>
          <w:sz w:val="21"/>
          <w:szCs w:val="21"/>
        </w:rPr>
        <w:t xml:space="preserve">1）业务规则 </w:t>
      </w:r>
    </w:p>
    <w:p>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pPr>
        <w:pStyle w:val="7"/>
        <w:spacing w:before="0" w:beforeAutospacing="0" w:after="0" w:afterAutospacing="0" w:line="360" w:lineRule="auto"/>
        <w:ind w:firstLine="420"/>
        <w:rPr>
          <w:sz w:val="21"/>
          <w:szCs w:val="21"/>
        </w:rPr>
      </w:pPr>
      <w:r>
        <w:rPr>
          <w:rFonts w:hint="eastAsia"/>
          <w:sz w:val="21"/>
          <w:szCs w:val="21"/>
        </w:rPr>
        <w:t xml:space="preserve">⑤基金转换以申请当日各类基金份额净值为基础计算。投资者采用“份额转换”的原则提交申请。转出基金份额必须是可用份额，并遵循“先进先出”的原则。 </w:t>
      </w:r>
    </w:p>
    <w:p>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7"/>
        <w:spacing w:before="0" w:beforeAutospacing="0" w:after="0" w:afterAutospacing="0" w:line="360" w:lineRule="auto"/>
        <w:ind w:firstLine="420"/>
        <w:rPr>
          <w:sz w:val="21"/>
          <w:szCs w:val="21"/>
        </w:rPr>
      </w:pPr>
      <w:r>
        <w:rPr>
          <w:rFonts w:hint="eastAsia"/>
          <w:sz w:val="21"/>
          <w:szCs w:val="21"/>
        </w:rPr>
        <w:t xml:space="preserve">3）重要提示 </w:t>
      </w:r>
    </w:p>
    <w:p>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①本基金转换业务适用于可以销售包括博时景兴纯债债券型证券投资基金在内的两只以上（含两只），且基金注册登记机构为同一机构的博时旗下基金的销售机构。 </w:t>
      </w:r>
    </w:p>
    <w:p>
      <w:pPr>
        <w:pStyle w:val="7"/>
        <w:spacing w:before="0" w:beforeAutospacing="0" w:after="0" w:afterAutospacing="0" w:line="360" w:lineRule="auto"/>
        <w:ind w:firstLine="420"/>
        <w:rPr>
          <w:sz w:val="21"/>
          <w:szCs w:val="21"/>
        </w:rPr>
      </w:pPr>
      <w:r>
        <w:rPr>
          <w:rFonts w:hint="eastAsia"/>
          <w:sz w:val="21"/>
          <w:szCs w:val="21"/>
        </w:rPr>
        <w:t>②转换业务的收费计算公式及举例参见2010年3月16日刊登于本公司网站的《</w:t>
      </w:r>
      <w:bookmarkStart w:id="111" w:name="field_0_managerorgfullname_6"/>
      <w:r>
        <w:rPr>
          <w:rFonts w:hint="eastAsia"/>
          <w:sz w:val="21"/>
          <w:szCs w:val="21"/>
        </w:rPr>
        <w:t>博时基金管理有限公司</w:t>
      </w:r>
      <w:bookmarkEnd w:id="111"/>
      <w:r>
        <w:rPr>
          <w:rFonts w:hint="eastAsia"/>
          <w:sz w:val="21"/>
          <w:szCs w:val="21"/>
        </w:rPr>
        <w:t xml:space="preserve">关于旗下开放式基金转换业务的公告》。 </w:t>
      </w:r>
    </w:p>
    <w:p>
      <w:pPr>
        <w:pStyle w:val="7"/>
        <w:spacing w:before="0" w:beforeAutospacing="0" w:after="0" w:afterAutospacing="0" w:line="360" w:lineRule="auto"/>
        <w:ind w:firstLine="420"/>
        <w:rPr>
          <w:sz w:val="21"/>
          <w:szCs w:val="21"/>
        </w:rPr>
      </w:pPr>
      <w:r>
        <w:rPr>
          <w:rFonts w:hint="eastAsia"/>
          <w:sz w:val="21"/>
          <w:szCs w:val="21"/>
        </w:rPr>
        <w:t xml:space="preserve">③本公司管理基金的转换业务的解释权归本公司。 </w:t>
      </w:r>
    </w:p>
    <w:p>
      <w:pPr>
        <w:pStyle w:val="7"/>
        <w:spacing w:before="0" w:beforeAutospacing="0" w:after="0" w:afterAutospacing="0" w:line="360" w:lineRule="auto"/>
        <w:ind w:firstLine="420"/>
        <w:rPr>
          <w:sz w:val="21"/>
          <w:szCs w:val="21"/>
        </w:rPr>
      </w:pPr>
      <w:r>
        <w:rPr>
          <w:rFonts w:hint="eastAsia"/>
          <w:sz w:val="21"/>
          <w:szCs w:val="21"/>
        </w:rPr>
        <w:t xml:space="preserve">3、基金销售机构 </w:t>
      </w:r>
    </w:p>
    <w:p>
      <w:pPr>
        <w:pStyle w:val="7"/>
        <w:spacing w:before="0" w:beforeAutospacing="0" w:after="0" w:afterAutospacing="0" w:line="360" w:lineRule="auto"/>
        <w:ind w:firstLine="420"/>
        <w:rPr>
          <w:sz w:val="21"/>
          <w:szCs w:val="21"/>
        </w:rPr>
      </w:pPr>
      <w:bookmarkStart w:id="112" w:name="field_0_managerorgfullname_7"/>
      <w:r>
        <w:rPr>
          <w:rFonts w:hint="eastAsia"/>
          <w:sz w:val="21"/>
          <w:szCs w:val="21"/>
        </w:rPr>
        <w:t>博时基金管理有限公司</w:t>
      </w:r>
      <w:bookmarkEnd w:id="112"/>
      <w:r>
        <w:rPr>
          <w:rFonts w:hint="eastAsia"/>
          <w:sz w:val="21"/>
          <w:szCs w:val="21"/>
        </w:rPr>
        <w:t>直销机构（含直销中心及直销网上交易）。投资者如需办理直销网上交易，可登录本公司网站www.bosera.com 参阅《</w:t>
      </w:r>
      <w:bookmarkStart w:id="113" w:name="field_0_managerorgfullname_8"/>
      <w:r>
        <w:rPr>
          <w:rFonts w:hint="eastAsia"/>
          <w:sz w:val="21"/>
          <w:szCs w:val="21"/>
        </w:rPr>
        <w:t>博时基金管理有限公司</w:t>
      </w:r>
      <w:bookmarkEnd w:id="113"/>
      <w:r>
        <w:rPr>
          <w:rFonts w:hint="eastAsia"/>
          <w:sz w:val="21"/>
          <w:szCs w:val="21"/>
        </w:rPr>
        <w:t>开放式基金业务规则》、《</w:t>
      </w:r>
      <w:bookmarkStart w:id="114" w:name="field_0_managerorgfullname_9"/>
      <w:r>
        <w:rPr>
          <w:rFonts w:hint="eastAsia"/>
          <w:sz w:val="21"/>
          <w:szCs w:val="21"/>
        </w:rPr>
        <w:t>博时基金管理有限公司</w:t>
      </w:r>
      <w:bookmarkEnd w:id="114"/>
      <w:r>
        <w:rPr>
          <w:rFonts w:hint="eastAsia"/>
          <w:sz w:val="21"/>
          <w:szCs w:val="21"/>
        </w:rPr>
        <w:t>网上交易业务规则》、《</w:t>
      </w:r>
      <w:bookmarkStart w:id="115" w:name="field_0_managerorgfullname_10"/>
      <w:r>
        <w:rPr>
          <w:rFonts w:hint="eastAsia"/>
          <w:sz w:val="21"/>
          <w:szCs w:val="21"/>
        </w:rPr>
        <w:t>博时基金管理有限公司</w:t>
      </w:r>
      <w:bookmarkEnd w:id="115"/>
      <w:r>
        <w:rPr>
          <w:rFonts w:hint="eastAsia"/>
          <w:sz w:val="21"/>
          <w:szCs w:val="21"/>
        </w:rPr>
        <w:t xml:space="preserve">直销定期投资业务规则》等办理相关开户、申购、赎回、基金转换、定期定额投资等业务。 </w:t>
      </w:r>
    </w:p>
    <w:p>
      <w:pPr>
        <w:pStyle w:val="7"/>
        <w:spacing w:before="0" w:beforeAutospacing="0" w:after="0" w:afterAutospacing="0" w:line="360" w:lineRule="auto"/>
        <w:ind w:firstLine="420"/>
        <w:rPr>
          <w:sz w:val="21"/>
          <w:szCs w:val="21"/>
        </w:rPr>
      </w:pPr>
      <w:r>
        <w:rPr>
          <w:rFonts w:hint="eastAsia"/>
          <w:sz w:val="21"/>
          <w:szCs w:val="21"/>
        </w:rPr>
        <w:t xml:space="preserve">4、基金份额净值公告/基金收益公告的披露安排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在开始办理基金份额申购或者赎回后，基金管理人应当在每个开放日的次日，通过网站、基金份额发售网点以及其他媒介，披露开放日的各类基金份额净值和基金份额累计净值。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5、其他需要提示的事项 </w:t>
      </w:r>
    </w:p>
    <w:p>
      <w:pPr>
        <w:pStyle w:val="7"/>
        <w:spacing w:before="0" w:beforeAutospacing="0" w:after="0" w:afterAutospacing="0" w:line="360" w:lineRule="auto"/>
        <w:ind w:firstLine="420"/>
        <w:rPr>
          <w:sz w:val="21"/>
          <w:szCs w:val="21"/>
        </w:rPr>
      </w:pPr>
      <w:r>
        <w:rPr>
          <w:rFonts w:hint="eastAsia"/>
          <w:sz w:val="21"/>
          <w:szCs w:val="21"/>
        </w:rPr>
        <w:t xml:space="preserve">1）上述代销机构和直销机构均受理投资者的开户、日常申购和赎回等业务。本基金若增加、调整直销网点或代销机构，本公司将及时公告，敬请投资者留意。 </w:t>
      </w:r>
    </w:p>
    <w:p>
      <w:pPr>
        <w:pStyle w:val="7"/>
        <w:spacing w:before="0" w:beforeAutospacing="0" w:after="0" w:afterAutospacing="0" w:line="360" w:lineRule="auto"/>
        <w:ind w:firstLine="420"/>
        <w:rPr>
          <w:sz w:val="21"/>
          <w:szCs w:val="21"/>
        </w:rPr>
      </w:pPr>
      <w:r>
        <w:rPr>
          <w:rFonts w:hint="eastAsia"/>
          <w:sz w:val="21"/>
          <w:szCs w:val="21"/>
        </w:rPr>
        <w:t>2）本公告仅对本基金份额发售的有关事项和规定予以说明。投资者欲了解本基金的详细情况，请详细阅读刊登在2016年5月5日的《中国证券报》上的《</w:t>
      </w:r>
      <w:bookmarkStart w:id="116" w:name="field_0_productfullname_12"/>
      <w:r>
        <w:rPr>
          <w:rFonts w:hint="eastAsia"/>
          <w:sz w:val="21"/>
          <w:szCs w:val="21"/>
        </w:rPr>
        <w:t>博时裕盛纯债债券型证券投资基金</w:t>
      </w:r>
      <w:bookmarkEnd w:id="116"/>
      <w:r>
        <w:rPr>
          <w:rFonts w:hint="eastAsia"/>
          <w:sz w:val="21"/>
          <w:szCs w:val="21"/>
        </w:rPr>
        <w:t xml:space="preserve">招募说明书》。 </w:t>
      </w:r>
    </w:p>
    <w:p>
      <w:pPr>
        <w:pStyle w:val="7"/>
        <w:spacing w:before="0" w:beforeAutospacing="0" w:after="0" w:afterAutospacing="0" w:line="360" w:lineRule="auto"/>
        <w:ind w:firstLine="420"/>
        <w:rPr>
          <w:sz w:val="21"/>
          <w:szCs w:val="21"/>
        </w:rPr>
      </w:pPr>
      <w:bookmarkStart w:id="117" w:name="chapter_level1_10_59_section_5"/>
      <w:bookmarkEnd w:id="117"/>
      <w:r>
        <w:rPr>
          <w:rStyle w:val="11"/>
          <w:rFonts w:hint="eastAsia"/>
          <w:sz w:val="21"/>
          <w:szCs w:val="21"/>
        </w:rPr>
        <w:t>十四、基金份额的转让</w:t>
      </w:r>
    </w:p>
    <w:p>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十六、基金的转托管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8" w:name="chapter_level1_10_59_section_5_end"/>
      <w:bookmarkEnd w:id="118"/>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19" w:name="chapter_level1_10_59_section_6"/>
      <w:bookmarkEnd w:id="119"/>
      <w:r>
        <w:rPr>
          <w:rFonts w:hint="eastAsia"/>
          <w:b/>
          <w:bCs/>
          <w:sz w:val="21"/>
          <w:szCs w:val="21"/>
        </w:rPr>
        <w:t>十七、定期定额投资计划</w:t>
      </w:r>
    </w:p>
    <w:p>
      <w:pPr>
        <w:pStyle w:val="7"/>
        <w:spacing w:before="0" w:beforeAutospacing="0" w:after="0" w:afterAutospacing="0" w:line="360" w:lineRule="auto"/>
        <w:ind w:firstLine="420"/>
        <w:rPr>
          <w:sz w:val="21"/>
          <w:szCs w:val="21"/>
        </w:rPr>
      </w:pPr>
      <w:r>
        <w:rPr>
          <w:rFonts w:hint="eastAsia"/>
          <w:sz w:val="21"/>
          <w:szCs w:val="21"/>
        </w:rPr>
        <w:t xml:space="preserve">本基金自2016年8月15日开放日常定期定额投资业务。 </w:t>
      </w:r>
    </w:p>
    <w:p>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pPr>
        <w:pStyle w:val="7"/>
        <w:spacing w:before="0" w:beforeAutospacing="0" w:after="0" w:afterAutospacing="0" w:line="360" w:lineRule="auto"/>
        <w:ind w:firstLine="420"/>
        <w:rPr>
          <w:sz w:val="21"/>
          <w:szCs w:val="21"/>
        </w:rPr>
      </w:pPr>
      <w:r>
        <w:rPr>
          <w:rFonts w:hint="eastAsia"/>
          <w:sz w:val="21"/>
          <w:szCs w:val="21"/>
        </w:rPr>
        <w:t xml:space="preserve">（2）申购费率 </w:t>
      </w:r>
    </w:p>
    <w:p>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pPr>
        <w:pStyle w:val="7"/>
        <w:spacing w:before="0" w:beforeAutospacing="0" w:after="0" w:afterAutospacing="0" w:line="360" w:lineRule="auto"/>
        <w:ind w:firstLine="420"/>
        <w:jc w:val="center"/>
        <w:rPr>
          <w:sz w:val="21"/>
          <w:szCs w:val="21"/>
        </w:rPr>
      </w:pPr>
      <w:r>
        <w:rPr>
          <w:rFonts w:hint="eastAsia"/>
          <w:sz w:val="21"/>
          <w:szCs w:val="21"/>
        </w:rPr>
        <w:t xml:space="preserve">表：本基金的各类基金份额申购费率结构表 </w:t>
      </w:r>
    </w:p>
    <w:tbl>
      <w:tblPr>
        <w:tblStyle w:val="9"/>
        <w:tblpPr w:leftFromText="45" w:rightFromText="45" w:vertAnchor="text"/>
        <w:tblW w:w="49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4"/>
        <w:gridCol w:w="2877"/>
        <w:gridCol w:w="2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shd w:val="clear" w:color="auto" w:fill="auto"/>
          </w:tcPr>
          <w:p>
            <w:pPr>
              <w:pStyle w:val="7"/>
              <w:jc w:val="center"/>
              <w:rPr>
                <w:sz w:val="21"/>
                <w:szCs w:val="21"/>
              </w:rPr>
            </w:pPr>
            <w:r>
              <w:rPr>
                <w:rFonts w:hint="eastAsia"/>
                <w:sz w:val="21"/>
                <w:szCs w:val="21"/>
              </w:rPr>
              <w:t xml:space="preserve">金额（M，元）  </w:t>
            </w:r>
          </w:p>
        </w:tc>
        <w:tc>
          <w:tcPr>
            <w:tcW w:w="1710" w:type="pct"/>
            <w:shd w:val="clear" w:color="auto" w:fill="auto"/>
          </w:tcPr>
          <w:p>
            <w:pPr>
              <w:pStyle w:val="7"/>
              <w:jc w:val="center"/>
              <w:rPr>
                <w:sz w:val="21"/>
                <w:szCs w:val="21"/>
              </w:rPr>
            </w:pPr>
            <w:r>
              <w:rPr>
                <w:rFonts w:hint="eastAsia"/>
                <w:sz w:val="21"/>
                <w:szCs w:val="21"/>
              </w:rPr>
              <w:t xml:space="preserve">A类基金份额 </w:t>
            </w:r>
          </w:p>
        </w:tc>
        <w:tc>
          <w:tcPr>
            <w:tcW w:w="1711" w:type="pct"/>
            <w:shd w:val="clear" w:color="auto" w:fill="auto"/>
          </w:tcPr>
          <w:p>
            <w:pPr>
              <w:pStyle w:val="7"/>
              <w:jc w:val="center"/>
              <w:rPr>
                <w:sz w:val="21"/>
                <w:szCs w:val="21"/>
              </w:rPr>
            </w:pPr>
            <w:r>
              <w:rPr>
                <w:rFonts w:hint="eastAsia"/>
                <w:sz w:val="21"/>
                <w:szCs w:val="21"/>
              </w:rPr>
              <w:t>C类基金份额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shd w:val="clear" w:color="auto" w:fill="auto"/>
          </w:tcPr>
          <w:p>
            <w:pPr>
              <w:pStyle w:val="7"/>
              <w:jc w:val="center"/>
              <w:rPr>
                <w:sz w:val="21"/>
                <w:szCs w:val="21"/>
              </w:rPr>
            </w:pPr>
            <w:r>
              <w:rPr>
                <w:rFonts w:hint="eastAsia"/>
                <w:sz w:val="21"/>
                <w:szCs w:val="21"/>
              </w:rPr>
              <w:t xml:space="preserve">M＜100万  </w:t>
            </w:r>
          </w:p>
        </w:tc>
        <w:tc>
          <w:tcPr>
            <w:tcW w:w="1710" w:type="pct"/>
            <w:shd w:val="clear" w:color="auto" w:fill="auto"/>
          </w:tcPr>
          <w:p>
            <w:pPr>
              <w:pStyle w:val="7"/>
              <w:jc w:val="center"/>
              <w:rPr>
                <w:sz w:val="21"/>
                <w:szCs w:val="21"/>
              </w:rPr>
            </w:pPr>
            <w:r>
              <w:rPr>
                <w:rFonts w:hint="eastAsia"/>
                <w:sz w:val="21"/>
                <w:szCs w:val="21"/>
              </w:rPr>
              <w:t xml:space="preserve">0.80%  </w:t>
            </w:r>
          </w:p>
        </w:tc>
        <w:tc>
          <w:tcPr>
            <w:tcW w:w="1711" w:type="pct"/>
            <w:vMerge w:val="restart"/>
            <w:shd w:val="clear" w:color="auto" w:fill="auto"/>
          </w:tcPr>
          <w:p>
            <w:pPr>
              <w:pStyle w:val="7"/>
              <w:jc w:val="center"/>
              <w:rPr>
                <w:sz w:val="21"/>
                <w:szCs w:val="21"/>
              </w:rPr>
            </w:pPr>
          </w:p>
          <w:p>
            <w:pPr>
              <w:pStyle w:val="7"/>
              <w:jc w:val="center"/>
              <w:rPr>
                <w:sz w:val="21"/>
                <w:szCs w:val="21"/>
              </w:rPr>
            </w:pPr>
            <w:r>
              <w:rPr>
                <w:rFonts w:hint="eastAsia"/>
                <w:sz w:val="21"/>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shd w:val="clear" w:color="auto" w:fill="auto"/>
          </w:tcPr>
          <w:p>
            <w:pPr>
              <w:pStyle w:val="7"/>
              <w:jc w:val="center"/>
              <w:rPr>
                <w:sz w:val="21"/>
                <w:szCs w:val="21"/>
              </w:rPr>
            </w:pPr>
            <w:r>
              <w:rPr>
                <w:rFonts w:hint="eastAsia"/>
                <w:sz w:val="21"/>
                <w:szCs w:val="21"/>
              </w:rPr>
              <w:t xml:space="preserve">100万≤M＜300万  </w:t>
            </w:r>
          </w:p>
        </w:tc>
        <w:tc>
          <w:tcPr>
            <w:tcW w:w="1710" w:type="pct"/>
            <w:shd w:val="clear" w:color="auto" w:fill="auto"/>
          </w:tcPr>
          <w:p>
            <w:pPr>
              <w:pStyle w:val="7"/>
              <w:jc w:val="center"/>
              <w:rPr>
                <w:sz w:val="21"/>
                <w:szCs w:val="21"/>
              </w:rPr>
            </w:pPr>
            <w:r>
              <w:rPr>
                <w:rFonts w:hint="eastAsia"/>
                <w:sz w:val="21"/>
                <w:szCs w:val="21"/>
              </w:rPr>
              <w:t xml:space="preserve">0.50%  </w:t>
            </w:r>
          </w:p>
        </w:tc>
        <w:tc>
          <w:tcPr>
            <w:tcW w:w="1711" w:type="pct"/>
            <w:vMerge w:val="continue"/>
            <w:shd w:val="clear" w:color="auto" w:fill="auto"/>
          </w:tcPr>
          <w:p>
            <w:pPr>
              <w:pStyle w:val="7"/>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shd w:val="clear" w:color="auto" w:fill="auto"/>
          </w:tcPr>
          <w:p>
            <w:pPr>
              <w:pStyle w:val="7"/>
              <w:jc w:val="center"/>
              <w:rPr>
                <w:sz w:val="21"/>
                <w:szCs w:val="21"/>
              </w:rPr>
            </w:pPr>
            <w:r>
              <w:rPr>
                <w:rFonts w:hint="eastAsia"/>
                <w:sz w:val="21"/>
                <w:szCs w:val="21"/>
              </w:rPr>
              <w:t xml:space="preserve">300万≤M＜500万  </w:t>
            </w:r>
          </w:p>
        </w:tc>
        <w:tc>
          <w:tcPr>
            <w:tcW w:w="1710" w:type="pct"/>
            <w:shd w:val="clear" w:color="auto" w:fill="auto"/>
          </w:tcPr>
          <w:p>
            <w:pPr>
              <w:pStyle w:val="7"/>
              <w:jc w:val="center"/>
              <w:rPr>
                <w:sz w:val="21"/>
                <w:szCs w:val="21"/>
              </w:rPr>
            </w:pPr>
            <w:r>
              <w:rPr>
                <w:rFonts w:hint="eastAsia"/>
                <w:sz w:val="21"/>
                <w:szCs w:val="21"/>
              </w:rPr>
              <w:t xml:space="preserve">0.30%  </w:t>
            </w:r>
          </w:p>
        </w:tc>
        <w:tc>
          <w:tcPr>
            <w:tcW w:w="1711" w:type="pct"/>
            <w:vMerge w:val="continue"/>
            <w:shd w:val="clear" w:color="auto" w:fill="auto"/>
          </w:tcPr>
          <w:p>
            <w:pPr>
              <w:pStyle w:val="7"/>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shd w:val="clear" w:color="auto" w:fill="auto"/>
          </w:tcPr>
          <w:p>
            <w:pPr>
              <w:pStyle w:val="7"/>
              <w:jc w:val="center"/>
              <w:rPr>
                <w:sz w:val="21"/>
                <w:szCs w:val="21"/>
              </w:rPr>
            </w:pPr>
            <w:r>
              <w:rPr>
                <w:rFonts w:hint="eastAsia"/>
                <w:sz w:val="21"/>
                <w:szCs w:val="21"/>
              </w:rPr>
              <w:t xml:space="preserve">M≥500万  </w:t>
            </w:r>
          </w:p>
        </w:tc>
        <w:tc>
          <w:tcPr>
            <w:tcW w:w="1710" w:type="pct"/>
            <w:shd w:val="clear" w:color="auto" w:fill="auto"/>
          </w:tcPr>
          <w:p>
            <w:pPr>
              <w:pStyle w:val="7"/>
              <w:jc w:val="center"/>
              <w:rPr>
                <w:sz w:val="21"/>
                <w:szCs w:val="21"/>
              </w:rPr>
            </w:pPr>
            <w:r>
              <w:rPr>
                <w:rFonts w:hint="eastAsia"/>
                <w:sz w:val="21"/>
                <w:szCs w:val="21"/>
              </w:rPr>
              <w:t xml:space="preserve">每笔1000元  </w:t>
            </w:r>
          </w:p>
        </w:tc>
        <w:tc>
          <w:tcPr>
            <w:tcW w:w="1711" w:type="pct"/>
            <w:vMerge w:val="continue"/>
            <w:shd w:val="clear" w:color="auto" w:fill="auto"/>
          </w:tcPr>
          <w:p>
            <w:pPr>
              <w:pStyle w:val="7"/>
              <w:jc w:val="center"/>
              <w:rPr>
                <w:sz w:val="21"/>
                <w:szCs w:val="21"/>
              </w:rPr>
            </w:pPr>
          </w:p>
        </w:tc>
      </w:tr>
    </w:tbl>
    <w:p>
      <w:pPr>
        <w:pStyle w:val="7"/>
        <w:spacing w:before="0" w:beforeAutospacing="0" w:after="0" w:afterAutospacing="0" w:line="360" w:lineRule="auto"/>
        <w:ind w:firstLine="420"/>
        <w:rPr>
          <w:sz w:val="21"/>
          <w:szCs w:val="21"/>
        </w:rPr>
      </w:pPr>
      <w:r>
        <w:rPr>
          <w:rFonts w:hint="eastAsia"/>
          <w:sz w:val="21"/>
          <w:szCs w:val="21"/>
        </w:rPr>
        <w:t xml:space="preserve">来源：博时基金 </w:t>
      </w:r>
    </w:p>
    <w:p>
      <w:pPr>
        <w:pStyle w:val="7"/>
        <w:spacing w:before="0" w:beforeAutospacing="0" w:after="0" w:afterAutospacing="0" w:line="360" w:lineRule="auto"/>
        <w:ind w:firstLine="420"/>
        <w:rPr>
          <w:sz w:val="21"/>
          <w:szCs w:val="21"/>
        </w:rPr>
      </w:pPr>
      <w:r>
        <w:rPr>
          <w:rFonts w:hint="eastAsia"/>
          <w:sz w:val="21"/>
          <w:szCs w:val="21"/>
        </w:rPr>
        <w:t xml:space="preserve">本基金的申购费用由投资者承担，主要用于本基金的市场推广、销售、注册登记等各项费用，不列入基金财产。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投资者须遵循各销售机构有关扣款日期的规定，定投金额每次不少于人民币1元（含1元）。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各类基金份额净值为基准计算申购份额。投资者可以从T+2日起通过本定期定额投资计划办理网点、致电本公司客服电话或登录本公司网站查询其每次申购申请的确认情况。申购份额将</w:t>
      </w:r>
      <w:bookmarkStart w:id="120" w:name="chapter_level1_10_59_section_6_end"/>
      <w:bookmarkEnd w:id="120"/>
      <w:r>
        <w:rPr>
          <w:rFonts w:hint="eastAsia"/>
          <w:sz w:val="21"/>
          <w:szCs w:val="21"/>
        </w:rPr>
        <w:t xml:space="preserve">在确认成功后直接计入投资者的基金账户。 </w:t>
      </w:r>
    </w:p>
    <w:p>
      <w:pPr>
        <w:pStyle w:val="7"/>
        <w:spacing w:before="0" w:beforeAutospacing="0" w:after="0" w:afterAutospacing="0" w:line="360" w:lineRule="auto"/>
        <w:ind w:firstLine="420"/>
        <w:rPr>
          <w:sz w:val="21"/>
          <w:szCs w:val="21"/>
        </w:rPr>
      </w:pPr>
      <w:bookmarkStart w:id="121" w:name="chapter_level1_10_59_section_7"/>
      <w:bookmarkEnd w:id="121"/>
      <w:r>
        <w:rPr>
          <w:rStyle w:val="11"/>
          <w:rFonts w:hint="eastAsia"/>
          <w:sz w:val="21"/>
          <w:szCs w:val="21"/>
        </w:rPr>
        <w:t>十八、基金份额的冻结、解冻和质押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7"/>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pPr>
        <w:rPr>
          <w:rFonts w:ascii="宋体" w:hAnsi="宋体" w:eastAsia="宋体"/>
          <w:sz w:val="24"/>
          <w:szCs w:val="24"/>
        </w:rPr>
      </w:pPr>
      <w:r>
        <w:rPr>
          <w:rFonts w:ascii="宋体" w:hAnsi="宋体" w:eastAsia="宋体"/>
        </w:rPr>
        <w:t>本基金实施侧袋机制的，本基金的申购和赎回安排详见本招募说明书“侧袋机制”章节或届时</w:t>
      </w:r>
      <w:bookmarkStart w:id="122" w:name="chapter_level1_10_59_section_7_end"/>
      <w:bookmarkEnd w:id="122"/>
      <w:r>
        <w:rPr>
          <w:rFonts w:ascii="宋体" w:hAnsi="宋体" w:eastAsia="宋体"/>
        </w:rPr>
        <w:t xml:space="preserve">发布的相关公告。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3" w:name="_Toc176199413"/>
      <w:bookmarkStart w:id="124" w:name="chapter_level1_11_60"/>
      <w:r>
        <w:rPr>
          <w:rFonts w:hint="eastAsia" w:ascii="宋体" w:hAnsi="宋体" w:eastAsia="宋体"/>
          <w:sz w:val="30"/>
        </w:rPr>
        <w:t>第八部分  基金的投资</w:t>
      </w:r>
      <w:bookmarkEnd w:id="123"/>
      <w:bookmarkEnd w:id="124"/>
    </w:p>
    <w:p>
      <w:pPr>
        <w:pStyle w:val="7"/>
        <w:spacing w:before="0" w:beforeAutospacing="0" w:after="0" w:afterAutospacing="0" w:line="360" w:lineRule="auto"/>
        <w:ind w:firstLine="420"/>
        <w:rPr>
          <w:sz w:val="21"/>
          <w:szCs w:val="21"/>
        </w:rPr>
      </w:pPr>
      <w:bookmarkStart w:id="125" w:name="chapter_level1_11_60_section_1"/>
      <w:bookmarkEnd w:id="125"/>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26" w:name="field_60_investmenttarget_1_start"/>
      <w:bookmarkEnd w:id="126"/>
      <w:r>
        <w:rPr>
          <w:rFonts w:hint="eastAsia"/>
          <w:sz w:val="21"/>
          <w:szCs w:val="21"/>
        </w:rPr>
        <w:t xml:space="preserve">本基金在控制组合净值波动率的前提下，力争实现长期超越业绩比较基准的投资回报。  </w:t>
      </w:r>
      <w:bookmarkStart w:id="127" w:name="field_60_investmenttarget_1_end"/>
      <w:bookmarkEnd w:id="127"/>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28" w:name="field_60_investmentrange_1_start"/>
      <w:bookmarkEnd w:id="128"/>
      <w:r>
        <w:rPr>
          <w:rFonts w:hint="eastAsia"/>
          <w:sz w:val="21"/>
          <w:szCs w:val="21"/>
        </w:rPr>
        <w:t xml:space="preserve">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如法律法规或监管机构以后允许基金投资的其他品种，基金管理人在履行适当程序后，可以将其纳入投资范围。  </w:t>
      </w:r>
      <w:bookmarkStart w:id="129" w:name="field_60_investmentrange_1_end"/>
      <w:bookmarkEnd w:id="129"/>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30" w:name="field_60_investmentstrategy_1_start"/>
      <w:bookmarkEnd w:id="130"/>
      <w:r>
        <w:rPr>
          <w:rFonts w:hint="eastAsia"/>
          <w:sz w:val="21"/>
          <w:szCs w:val="21"/>
        </w:rPr>
        <w:t xml:space="preserve">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 </w:t>
      </w:r>
    </w:p>
    <w:p>
      <w:pPr>
        <w:pStyle w:val="7"/>
        <w:spacing w:before="0" w:beforeAutospacing="0" w:after="0" w:afterAutospacing="0" w:line="360" w:lineRule="auto"/>
        <w:ind w:firstLine="420"/>
        <w:rPr>
          <w:sz w:val="21"/>
          <w:szCs w:val="21"/>
        </w:rPr>
      </w:pPr>
      <w:r>
        <w:rPr>
          <w:rFonts w:hint="eastAsia"/>
          <w:sz w:val="21"/>
          <w:szCs w:val="21"/>
        </w:rPr>
        <w:t xml:space="preserve">首先，本组合宏观周期研究的基础上，决定整体组合的久期、杠杆率策略。 </w:t>
      </w:r>
    </w:p>
    <w:p>
      <w:pPr>
        <w:pStyle w:val="7"/>
        <w:spacing w:before="0" w:beforeAutospacing="0" w:after="0" w:afterAutospacing="0" w:line="360" w:lineRule="auto"/>
        <w:ind w:firstLine="420"/>
        <w:rPr>
          <w:sz w:val="21"/>
          <w:szCs w:val="21"/>
        </w:rPr>
      </w:pPr>
      <w:r>
        <w:rPr>
          <w:rFonts w:hint="eastAsia"/>
          <w:sz w:val="21"/>
          <w:szCs w:val="21"/>
        </w:rPr>
        <w:t xml:space="preserve">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整体组合的久期范围以及杠杆率水平。 </w:t>
      </w:r>
    </w:p>
    <w:p>
      <w:pPr>
        <w:pStyle w:val="7"/>
        <w:spacing w:before="0" w:beforeAutospacing="0" w:after="0" w:afterAutospacing="0" w:line="360" w:lineRule="auto"/>
        <w:ind w:firstLine="420"/>
        <w:rPr>
          <w:sz w:val="21"/>
          <w:szCs w:val="21"/>
        </w:rPr>
      </w:pPr>
      <w:r>
        <w:rPr>
          <w:rFonts w:hint="eastAsia"/>
          <w:sz w:val="21"/>
          <w:szCs w:val="21"/>
        </w:rPr>
        <w:t xml:space="preserve">其次，本组合将在期限结构策略、行业轮动策略的基础上获得债券市场整体回报率，通过息差策略、个券挖掘策略获得超额收益。 </w:t>
      </w:r>
    </w:p>
    <w:p>
      <w:pPr>
        <w:pStyle w:val="7"/>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pPr>
        <w:pStyle w:val="7"/>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pPr>
        <w:pStyle w:val="7"/>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pPr>
        <w:pStyle w:val="7"/>
        <w:spacing w:before="0" w:beforeAutospacing="0" w:after="0" w:afterAutospacing="0" w:line="360" w:lineRule="auto"/>
        <w:ind w:firstLine="420"/>
        <w:rPr>
          <w:sz w:val="21"/>
          <w:szCs w:val="21"/>
        </w:rPr>
      </w:pPr>
      <w:r>
        <w:rPr>
          <w:rFonts w:hint="eastAsia"/>
          <w:sz w:val="21"/>
          <w:szCs w:val="21"/>
        </w:rPr>
        <w:t xml:space="preserve">2、行业配置策略。债券市场所涉及行业众多，同样宏观周期背景下不同行业的景气度的发生，本基金分别采用以下的分析策略： </w:t>
      </w:r>
    </w:p>
    <w:p>
      <w:pPr>
        <w:pStyle w:val="7"/>
        <w:spacing w:before="0" w:beforeAutospacing="0" w:after="0" w:afterAutospacing="0" w:line="360" w:lineRule="auto"/>
        <w:ind w:firstLine="420"/>
        <w:rPr>
          <w:sz w:val="21"/>
          <w:szCs w:val="21"/>
        </w:rPr>
      </w:pPr>
      <w:r>
        <w:rPr>
          <w:rFonts w:hint="eastAsia"/>
          <w:sz w:val="21"/>
          <w:szCs w:val="21"/>
        </w:rPr>
        <w:t xml:space="preserve">（1）分散化投资：发行人涉及众多行业，本组合将保持在各行业配置比例上的分散化结构，避免过度集中配置在产业链高度相关的上中下游行业。 </w:t>
      </w:r>
    </w:p>
    <w:p>
      <w:pPr>
        <w:pStyle w:val="7"/>
        <w:spacing w:before="0" w:beforeAutospacing="0" w:after="0" w:afterAutospacing="0" w:line="360" w:lineRule="auto"/>
        <w:ind w:firstLine="420"/>
        <w:rPr>
          <w:sz w:val="21"/>
          <w:szCs w:val="21"/>
        </w:rPr>
      </w:pPr>
      <w:r>
        <w:rPr>
          <w:rFonts w:hint="eastAsia"/>
          <w:sz w:val="21"/>
          <w:szCs w:val="21"/>
        </w:rPr>
        <w:t xml:space="preserve">（2）行业投资：本组合将依据对下一阶段各行业景气度特征的研判，确定在下一阶段在各行业的配置比例，卖出景气度降低行业的债券，提前布局景气度提升行业的债券。 </w:t>
      </w:r>
    </w:p>
    <w:p>
      <w:pPr>
        <w:pStyle w:val="7"/>
        <w:spacing w:before="0" w:beforeAutospacing="0" w:after="0" w:afterAutospacing="0" w:line="360" w:lineRule="auto"/>
        <w:ind w:firstLine="420"/>
        <w:rPr>
          <w:sz w:val="21"/>
          <w:szCs w:val="21"/>
        </w:rPr>
      </w:pPr>
      <w:r>
        <w:rPr>
          <w:rFonts w:hint="eastAsia"/>
          <w:sz w:val="21"/>
          <w:szCs w:val="21"/>
        </w:rPr>
        <w:t xml:space="preserve">3、息差策略。通过正回购，融资买入收益率高于回购成本的债券，从而获得杠杆放大收益。 </w:t>
      </w:r>
    </w:p>
    <w:p>
      <w:pPr>
        <w:pStyle w:val="7"/>
        <w:spacing w:before="0" w:beforeAutospacing="0" w:after="0" w:afterAutospacing="0" w:line="360" w:lineRule="auto"/>
        <w:ind w:firstLine="420"/>
        <w:rPr>
          <w:sz w:val="21"/>
          <w:szCs w:val="21"/>
        </w:rPr>
      </w:pPr>
      <w:r>
        <w:rPr>
          <w:rFonts w:hint="eastAsia"/>
          <w:sz w:val="21"/>
          <w:szCs w:val="21"/>
        </w:rPr>
        <w:t xml:space="preserve">本组合将采取低杠杆、高流动性策略，适当运用杠杆息差方式来获取主动管理回报，选取具有较好流动性的债券作为杠杆买入品种，灵活控制杠杆组合仓位，降低组合波动率。 </w:t>
      </w:r>
    </w:p>
    <w:p>
      <w:pPr>
        <w:pStyle w:val="7"/>
        <w:spacing w:before="0" w:beforeAutospacing="0" w:after="0" w:afterAutospacing="0" w:line="360" w:lineRule="auto"/>
        <w:ind w:firstLine="420"/>
        <w:rPr>
          <w:sz w:val="21"/>
          <w:szCs w:val="21"/>
        </w:rPr>
      </w:pPr>
      <w:r>
        <w:rPr>
          <w:rFonts w:hint="eastAsia"/>
          <w:sz w:val="21"/>
          <w:szCs w:val="21"/>
        </w:rPr>
        <w:t xml:space="preserve">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pPr>
        <w:pStyle w:val="7"/>
        <w:spacing w:before="0" w:beforeAutospacing="0" w:after="0" w:afterAutospacing="0" w:line="360" w:lineRule="auto"/>
        <w:ind w:firstLine="420"/>
        <w:rPr>
          <w:sz w:val="21"/>
          <w:szCs w:val="21"/>
        </w:rPr>
      </w:pPr>
      <w:r>
        <w:rPr>
          <w:rFonts w:hint="eastAsia"/>
          <w:sz w:val="21"/>
          <w:szCs w:val="21"/>
        </w:rPr>
        <w:t>5、资产支持证券投资策略。本基金将在国内资产证券化品种具体政策框架下，通过宏观经济、提前偿还率、资产池结构及所在行业景气变化等因素的研究，对个券进行风险分析和价值评估后选择风险调整收益高的品种进行投资。本基金将严格控制资产支持证券的总体</w:t>
      </w:r>
      <w:bookmarkStart w:id="131" w:name="chapter_level1_11_60_section_1_end"/>
      <w:bookmarkEnd w:id="131"/>
      <w:r>
        <w:rPr>
          <w:rFonts w:hint="eastAsia"/>
          <w:sz w:val="21"/>
          <w:szCs w:val="21"/>
        </w:rPr>
        <w:t xml:space="preserve">投资规模并进行分散，以降低流动性风险。 </w:t>
      </w:r>
      <w:bookmarkStart w:id="132" w:name="field_60_investmentstrategy_1_end"/>
      <w:bookmarkEnd w:id="132"/>
      <w:r>
        <w:rPr>
          <w:rFonts w:hint="eastAsia"/>
          <w:sz w:val="21"/>
          <w:szCs w:val="21"/>
        </w:rPr>
        <w:t xml:space="preserve">  </w:t>
      </w:r>
    </w:p>
    <w:p>
      <w:pPr>
        <w:pStyle w:val="7"/>
        <w:spacing w:before="0" w:beforeAutospacing="0" w:after="0" w:afterAutospacing="0" w:line="360" w:lineRule="auto"/>
        <w:ind w:firstLine="420"/>
        <w:rPr>
          <w:sz w:val="21"/>
          <w:szCs w:val="21"/>
        </w:rPr>
      </w:pPr>
      <w:bookmarkStart w:id="133" w:name="chapter_level1_11_60_section_2"/>
      <w:bookmarkEnd w:id="133"/>
      <w:r>
        <w:rPr>
          <w:rStyle w:val="11"/>
          <w:rFonts w:hint="eastAsia"/>
          <w:sz w:val="21"/>
          <w:szCs w:val="21"/>
        </w:rPr>
        <w:t>四、投资决策流程</w:t>
      </w:r>
    </w:p>
    <w:p>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pPr>
        <w:pStyle w:val="7"/>
        <w:spacing w:before="0" w:beforeAutospacing="0" w:after="0" w:afterAutospacing="0" w:line="360" w:lineRule="auto"/>
        <w:ind w:firstLine="420"/>
        <w:rPr>
          <w:sz w:val="21"/>
          <w:szCs w:val="21"/>
        </w:rPr>
      </w:pPr>
      <w:r>
        <w:rPr>
          <w:rStyle w:val="11"/>
          <w:rFonts w:hint="eastAsia"/>
          <w:sz w:val="21"/>
          <w:szCs w:val="21"/>
        </w:rPr>
        <w:t>五、投资限制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（4）本基金管理人管理的全部基金持有一家公司发行的证券，不超过该证券发行总量的10％；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（8）本基金持有的同一(指同一信用级别)资产支持证券的比例，不得超过该资产支持证券（指同一信用级别）规模的10％；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（12）本基金主动投资于流动性受限资产的市值合计不得超过本基金资产净值的15% ；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（14）法律法规及中国证监会规定的和《基金合同》约定的其他投资限制。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第（2）、（10）、（12）、（13）条之外，因证券市场波动、证券发行人合并、基金规模变动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pPr>
        <w:pStyle w:val="7"/>
        <w:spacing w:before="0" w:beforeAutospacing="0" w:after="0" w:afterAutospacing="0" w:line="360" w:lineRule="auto"/>
        <w:ind w:firstLine="420"/>
        <w:rPr>
          <w:sz w:val="21"/>
          <w:szCs w:val="21"/>
        </w:rPr>
      </w:pPr>
      <w:bookmarkStart w:id="134" w:name="chapter_level1_11_60_section_2_end"/>
      <w:bookmarkEnd w:id="134"/>
      <w:r>
        <w:rPr>
          <w:rStyle w:val="11"/>
          <w:rFonts w:hint="eastAsia"/>
          <w:sz w:val="21"/>
          <w:szCs w:val="21"/>
        </w:rPr>
        <w:t>六、业绩比较基准</w:t>
      </w:r>
    </w:p>
    <w:p>
      <w:pPr>
        <w:pStyle w:val="7"/>
        <w:spacing w:before="0" w:beforeAutospacing="0" w:after="0" w:afterAutospacing="0" w:line="360" w:lineRule="auto"/>
        <w:ind w:firstLine="420"/>
        <w:rPr>
          <w:sz w:val="21"/>
          <w:szCs w:val="21"/>
        </w:rPr>
      </w:pPr>
      <w:bookmarkStart w:id="135" w:name="chapter_level1_11_60_section_3"/>
      <w:bookmarkEnd w:id="135"/>
      <w:r>
        <w:rPr>
          <w:rFonts w:hint="eastAsia"/>
          <w:sz w:val="21"/>
          <w:szCs w:val="21"/>
        </w:rPr>
        <w:t>本基金的业绩比较基准为：</w:t>
      </w:r>
      <w:bookmarkStart w:id="136" w:name="field_60_benchmark_1_start"/>
      <w:bookmarkEnd w:id="136"/>
      <w:r>
        <w:rPr>
          <w:rFonts w:hint="eastAsia"/>
          <w:sz w:val="21"/>
          <w:szCs w:val="21"/>
        </w:rPr>
        <w:t xml:space="preserve">中债综合财富（总值）指数收益率×90%+1年期定期存款利率（税后）×10%。 </w:t>
      </w:r>
      <w:bookmarkStart w:id="137" w:name="field_60_benchmark_1_end"/>
      <w:bookmarkEnd w:id="13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财富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80%，持有现金或者到期日在一年以内的政府债券不低于基金资产净值的5%，采用90%作为业绩比较基准中债券投资所代表的权重，10%作为现金资产所对应的权重可以较好的反映本基金的风险收益特征。  </w:t>
      </w:r>
    </w:p>
    <w:p>
      <w:pPr>
        <w:pStyle w:val="7"/>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38" w:name="chapter_level1_11_60_section_3_end"/>
      <w:bookmarkEnd w:id="138"/>
      <w:r>
        <w:rPr>
          <w:rFonts w:hint="eastAsia"/>
          <w:sz w:val="21"/>
          <w:szCs w:val="21"/>
        </w:rPr>
        <w:t xml:space="preserve">当调整业绩比较基准并及时公告，而无需召开基金份额持有人大会。   </w:t>
      </w:r>
    </w:p>
    <w:p>
      <w:pPr>
        <w:pStyle w:val="7"/>
        <w:spacing w:before="0" w:beforeAutospacing="0" w:after="0" w:afterAutospacing="0" w:line="360" w:lineRule="auto"/>
        <w:ind w:firstLine="420"/>
        <w:rPr>
          <w:sz w:val="21"/>
          <w:szCs w:val="21"/>
        </w:rPr>
      </w:pPr>
      <w:bookmarkStart w:id="139" w:name="chapter_level1_11_60_section_4"/>
      <w:bookmarkEnd w:id="139"/>
      <w:r>
        <w:rPr>
          <w:rStyle w:val="11"/>
          <w:rFonts w:hint="eastAsia"/>
          <w:sz w:val="21"/>
          <w:szCs w:val="21"/>
        </w:rPr>
        <w:t>七、风险收益特征</w:t>
      </w:r>
    </w:p>
    <w:p>
      <w:pPr>
        <w:pStyle w:val="7"/>
        <w:spacing w:before="0" w:beforeAutospacing="0" w:after="0" w:afterAutospacing="0" w:line="360" w:lineRule="auto"/>
        <w:ind w:firstLine="420"/>
        <w:rPr>
          <w:sz w:val="21"/>
          <w:szCs w:val="21"/>
        </w:rPr>
      </w:pPr>
      <w:bookmarkStart w:id="140" w:name="field_60_riskyield_1_start"/>
      <w:bookmarkEnd w:id="140"/>
      <w:r>
        <w:rPr>
          <w:rFonts w:hint="eastAsia"/>
          <w:sz w:val="21"/>
          <w:szCs w:val="21"/>
        </w:rPr>
        <w:t xml:space="preserve">本基金为债券型基金，预期收益和预期风险高于货币市场基金，但低于混合型基金、股票型基金，属于中等风险/收益的产品。  </w:t>
      </w:r>
      <w:bookmarkStart w:id="141" w:name="field_60_riskyield_1_end"/>
      <w:bookmarkEnd w:id="141"/>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八、基金管理人代表基金行使相关权利的处理原则及方法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r>
        <w:rPr>
          <w:rStyle w:val="11"/>
          <w:rFonts w:hint="eastAsia"/>
          <w:sz w:val="21"/>
          <w:szCs w:val="21"/>
        </w:rPr>
        <w:t>九、侧袋机制的实施和投资运作安排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rPr>
          <w:rFonts w:ascii="宋体" w:hAnsi="宋体" w:eastAsia="宋体"/>
          <w:sz w:val="24"/>
          <w:szCs w:val="24"/>
        </w:rPr>
      </w:pPr>
      <w:r>
        <w:rPr>
          <w:rFonts w:ascii="宋体" w:hAnsi="宋体" w:eastAsia="宋体"/>
        </w:rPr>
        <w:t>侧袋账户的实施条件、实施程序、运作安排、投资安排、特定资产的处置变现和支付等对投</w:t>
      </w:r>
      <w:bookmarkStart w:id="142" w:name="chapter_level1_11_60_section_4_end"/>
      <w:bookmarkEnd w:id="142"/>
      <w:r>
        <w:rPr>
          <w:rFonts w:ascii="宋体" w:hAnsi="宋体" w:eastAsia="宋体"/>
        </w:rPr>
        <w:t>资者权益有重大影响的事项详见本招募说明书“侧袋机制”章节的规定。  </w:t>
      </w:r>
    </w:p>
    <w:p>
      <w:pPr>
        <w:pStyle w:val="7"/>
        <w:spacing w:before="0" w:beforeAutospacing="0" w:after="0" w:afterAutospacing="0" w:line="360" w:lineRule="auto"/>
        <w:ind w:firstLine="420"/>
        <w:rPr>
          <w:sz w:val="21"/>
          <w:szCs w:val="21"/>
        </w:rPr>
      </w:pPr>
      <w:bookmarkStart w:id="143" w:name="chapter_level1_11_60_section_5"/>
      <w:bookmarkEnd w:id="143"/>
      <w:bookmarkStart w:id="144" w:name="chapter_level1_11_60_section_5_end"/>
      <w:bookmarkEnd w:id="144"/>
      <w:r>
        <w:rPr>
          <w:rStyle w:val="11"/>
          <w:rFonts w:hint="eastAsia"/>
          <w:sz w:val="21"/>
          <w:szCs w:val="21"/>
        </w:rPr>
        <w:t>十、基金投资组合报告</w:t>
      </w:r>
    </w:p>
    <w:p>
      <w:pPr>
        <w:pStyle w:val="7"/>
        <w:spacing w:before="0" w:beforeAutospacing="0" w:after="0" w:afterAutospacing="0" w:line="360" w:lineRule="auto"/>
        <w:ind w:firstLine="420"/>
        <w:rPr>
          <w:sz w:val="21"/>
          <w:szCs w:val="21"/>
        </w:rPr>
      </w:pPr>
      <w:bookmarkStart w:id="145" w:name="chapter_level1_11_60_section_6"/>
      <w:bookmarkEnd w:id="145"/>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46" w:name="field_2343_financeendday_2"/>
      <w:r>
        <w:rPr>
          <w:sz w:val="21"/>
          <w:szCs w:val="21"/>
        </w:rPr>
        <w:t>2024年6月30日</w:t>
      </w:r>
      <w:bookmarkEnd w:id="146"/>
      <w:r>
        <w:rPr>
          <w:rFonts w:hint="eastAsia"/>
          <w:sz w:val="21"/>
          <w:szCs w:val="21"/>
        </w:rPr>
        <w:t xml:space="preserve">。本报告财务数据未经审计师审计。 </w:t>
      </w:r>
    </w:p>
    <w:p>
      <w:pPr>
        <w:pStyle w:val="7"/>
        <w:spacing w:before="0" w:beforeAutospacing="0" w:after="0" w:afterAutospacing="0" w:line="360" w:lineRule="auto"/>
        <w:ind w:firstLine="420"/>
        <w:rPr>
          <w:sz w:val="21"/>
          <w:szCs w:val="21"/>
        </w:rPr>
      </w:pPr>
      <w:bookmarkStart w:id="147" w:name="field_0_fundportfolio_1_start"/>
      <w:bookmarkEnd w:id="147"/>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466,132,470.08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89.60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466,132,470.08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89.60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3,756,894.31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50,319,683.88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520,209,048.27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 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 报告期末按行业分类的境内股票投资组合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pPr>
        <w:pStyle w:val="7"/>
        <w:spacing w:before="0" w:beforeAutospacing="0" w:after="0" w:afterAutospacing="0" w:line="360" w:lineRule="auto"/>
        <w:ind w:firstLine="420"/>
        <w:rPr>
          <w:sz w:val="21"/>
          <w:szCs w:val="21"/>
        </w:rPr>
      </w:pPr>
      <w:r>
        <w:rPr>
          <w:rStyle w:val="11"/>
          <w:rFonts w:hint="eastAsia"/>
          <w:sz w:val="21"/>
          <w:szCs w:val="21"/>
        </w:rPr>
        <w:t>2.2 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4 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2579"/>
        <w:gridCol w:w="2065"/>
        <w:gridCol w:w="3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112,714,426.16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81,847,709.52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228,131,254.66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125,286,789.26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24.97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466,132,470.08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92.89</w:t>
            </w:r>
          </w:p>
        </w:tc>
      </w:tr>
    </w:tbl>
    <w:p>
      <w:pPr>
        <w:pStyle w:val="7"/>
        <w:spacing w:before="0" w:beforeAutospacing="0" w:after="0" w:afterAutospacing="0" w:line="360" w:lineRule="auto"/>
        <w:ind w:firstLine="420"/>
        <w:rPr>
          <w:sz w:val="21"/>
          <w:szCs w:val="21"/>
        </w:rPr>
      </w:pPr>
      <w:r>
        <w:rPr>
          <w:rStyle w:val="11"/>
          <w:rFonts w:hint="eastAsia"/>
          <w:sz w:val="21"/>
          <w:szCs w:val="21"/>
        </w:rPr>
        <w:t>5 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1161"/>
        <w:gridCol w:w="1848"/>
        <w:gridCol w:w="1042"/>
        <w:gridCol w:w="1581"/>
        <w:gridCol w:w="2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102280662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22嘉善国资MTN001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42,349,884.93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2280290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22虞资债01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41,610,119.45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115881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23金城G2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31,973,334.25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102382754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23海鸿投资MTN001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31,354,967.21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102382801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23汾湖投资MTN001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31,189,750.82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6.22</w:t>
            </w:r>
          </w:p>
        </w:tc>
      </w:tr>
    </w:tbl>
    <w:p>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 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 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 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本基金投资的前十名证券的发行主体中，国家开发银行在报告编制前一年受到国家金融监督管理总局湖北监管局的处罚。本基金对上述证券的投资决策程序符合相关法规及公司制度的要求。</w:t>
      </w:r>
    </w:p>
    <w:p>
      <w:pPr>
        <w:pStyle w:val="7"/>
        <w:spacing w:before="0" w:beforeAutospacing="0" w:after="0" w:afterAutospacing="0" w:line="360" w:lineRule="auto"/>
        <w:ind w:firstLine="420"/>
        <w:rPr>
          <w:sz w:val="21"/>
          <w:szCs w:val="21"/>
        </w:rPr>
      </w:pPr>
      <w:r>
        <w:rPr>
          <w:rFonts w:hint="eastAsia"/>
          <w:sz w:val="21"/>
          <w:szCs w:val="21"/>
        </w:rPr>
        <w:t>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w:t>
      </w:r>
    </w:p>
    <w:p>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50,279,010.41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40,673.47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50,319,683.88</w:t>
            </w:r>
          </w:p>
        </w:tc>
      </w:tr>
    </w:tbl>
    <w:p>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pPr>
        <w:pStyle w:val="7"/>
        <w:spacing w:before="0" w:beforeAutospacing="0" w:after="0" w:afterAutospacing="0" w:line="360" w:lineRule="auto"/>
        <w:ind w:firstLine="420"/>
        <w:rPr>
          <w:sz w:val="21"/>
          <w:szCs w:val="21"/>
        </w:rPr>
      </w:pPr>
      <w:bookmarkStart w:id="148" w:name="chapter_level1_11_60_section_6_end"/>
      <w:bookmarkEnd w:id="148"/>
      <w:r>
        <w:rPr>
          <w:rFonts w:hint="eastAsia"/>
          <w:sz w:val="21"/>
          <w:szCs w:val="21"/>
        </w:rPr>
        <w:t>由于四舍五入的原因，分项之和与合计项之间可能存在尾差。</w:t>
      </w:r>
      <w:bookmarkStart w:id="149" w:name="field_0_fundportfolio_1_end"/>
      <w:bookmarkEnd w:id="14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0" w:name="chapter_level1_12_3500"/>
      <w:bookmarkStart w:id="151" w:name="_Toc176199414"/>
      <w:r>
        <w:rPr>
          <w:rFonts w:hint="eastAsia" w:ascii="宋体" w:hAnsi="宋体" w:eastAsia="宋体"/>
          <w:sz w:val="30"/>
        </w:rPr>
        <w:t>第九部分 基金的业绩</w:t>
      </w:r>
      <w:bookmarkEnd w:id="150"/>
      <w:bookmarkEnd w:id="151"/>
    </w:p>
    <w:p>
      <w:pPr>
        <w:pStyle w:val="7"/>
        <w:spacing w:before="0" w:beforeAutospacing="0" w:after="0" w:afterAutospacing="0" w:line="360" w:lineRule="auto"/>
        <w:ind w:firstLine="420"/>
        <w:rPr>
          <w:sz w:val="21"/>
          <w:szCs w:val="21"/>
        </w:rPr>
      </w:pPr>
      <w:bookmarkStart w:id="152" w:name="chapter_level1_12_3500_section_1"/>
      <w:bookmarkEnd w:id="152"/>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历史各时间段A类基金份额的基金份额净值增长率及其与同期业绩比较基准收益率的比较： </w:t>
      </w:r>
    </w:p>
    <w:p>
      <w:pPr>
        <w:pStyle w:val="7"/>
        <w:spacing w:before="0" w:beforeAutospacing="0" w:after="0" w:afterAutospacing="0" w:line="360" w:lineRule="auto"/>
        <w:ind w:firstLine="420"/>
        <w:rPr>
          <w:sz w:val="21"/>
          <w:szCs w:val="21"/>
        </w:rPr>
      </w:pPr>
      <w:bookmarkStart w:id="153" w:name="field_0_indatatable_1_start"/>
      <w:bookmarkEnd w:id="153"/>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2016.05.20-2016.12.31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2016.05.20-2024.06.30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38.77%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36.44%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bl>
    <w:p>
      <w:pPr>
        <w:pStyle w:val="7"/>
        <w:spacing w:before="0" w:beforeAutospacing="0" w:after="0" w:afterAutospacing="0" w:line="360" w:lineRule="auto"/>
        <w:ind w:firstLine="420"/>
        <w:rPr>
          <w:sz w:val="21"/>
          <w:szCs w:val="21"/>
        </w:rPr>
      </w:pPr>
      <w:bookmarkStart w:id="154" w:name="field_0_indatatable_1_end"/>
      <w:bookmarkEnd w:id="154"/>
      <w:bookmarkStart w:id="155" w:name="chapter_level1_12_3500_section_1_end"/>
      <w:bookmarkEnd w:id="15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6" w:name="_Toc176199415"/>
      <w:bookmarkStart w:id="157" w:name="chapter_level1_13_62"/>
      <w:r>
        <w:rPr>
          <w:rFonts w:hint="eastAsia" w:ascii="宋体" w:hAnsi="宋体" w:eastAsia="宋体"/>
          <w:sz w:val="30"/>
        </w:rPr>
        <w:t>第十部分  基金的财产</w:t>
      </w:r>
      <w:bookmarkEnd w:id="156"/>
      <w:bookmarkEnd w:id="157"/>
    </w:p>
    <w:p>
      <w:pPr>
        <w:pStyle w:val="7"/>
        <w:spacing w:before="0" w:beforeAutospacing="0" w:after="0" w:afterAutospacing="0" w:line="360" w:lineRule="auto"/>
        <w:ind w:firstLine="420"/>
        <w:rPr>
          <w:sz w:val="21"/>
          <w:szCs w:val="21"/>
        </w:rPr>
      </w:pPr>
      <w:bookmarkStart w:id="158" w:name="chapter_level1_13_62_section_1"/>
      <w:bookmarkEnd w:id="158"/>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9" w:name="chapter_level1_13_62_section_1_end"/>
      <w:bookmarkEnd w:id="159"/>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0" w:name="_Toc176199416"/>
      <w:bookmarkStart w:id="161" w:name="chapter_level1_14_63"/>
      <w:r>
        <w:rPr>
          <w:rFonts w:hint="eastAsia" w:ascii="宋体" w:hAnsi="宋体" w:eastAsia="宋体"/>
          <w:sz w:val="30"/>
        </w:rPr>
        <w:t>第十一部分  基金资产的估值</w:t>
      </w:r>
      <w:bookmarkEnd w:id="160"/>
      <w:bookmarkEnd w:id="161"/>
    </w:p>
    <w:p>
      <w:pPr>
        <w:pStyle w:val="7"/>
        <w:spacing w:before="0" w:beforeAutospacing="0" w:after="0" w:afterAutospacing="0" w:line="360" w:lineRule="auto"/>
        <w:ind w:firstLine="420"/>
        <w:rPr>
          <w:sz w:val="21"/>
          <w:szCs w:val="21"/>
        </w:rPr>
      </w:pPr>
      <w:bookmarkStart w:id="162" w:name="chapter_level1_14_63_section_1"/>
      <w:bookmarkEnd w:id="162"/>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（2）交易所上市交易或挂牌转让的固定收益品种，选取估值日第三方估值机构提供的相应品种对应的估值净价估值，具体估值机构由基金管理人与基金托管人另行协商约定；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6、相关法律法规以及监管部门有强制规定的，从其规定。如有新增事项，按国家最新规定估值。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63" w:name="chapter_level1_14_63_section_1_end"/>
      <w:bookmarkEnd w:id="163"/>
      <w:r>
        <w:rPr>
          <w:rFonts w:hint="eastAsia"/>
          <w:sz w:val="21"/>
          <w:szCs w:val="21"/>
        </w:rPr>
        <w:t xml:space="preserve">予以公布。 </w:t>
      </w:r>
    </w:p>
    <w:p>
      <w:pPr>
        <w:pStyle w:val="7"/>
        <w:spacing w:before="0" w:beforeAutospacing="0" w:after="0" w:afterAutospacing="0" w:line="360" w:lineRule="auto"/>
        <w:ind w:firstLine="420"/>
        <w:rPr>
          <w:sz w:val="21"/>
          <w:szCs w:val="21"/>
        </w:rPr>
      </w:pPr>
      <w:bookmarkStart w:id="164" w:name="chapter_level1_14_63_section_2"/>
      <w:bookmarkEnd w:id="164"/>
      <w:r>
        <w:rPr>
          <w:rStyle w:val="11"/>
          <w:rFonts w:hint="eastAsia"/>
          <w:sz w:val="21"/>
          <w:szCs w:val="21"/>
        </w:rPr>
        <w:t>四、估值程序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1、各类基金份额净值是按照每个工作日闭市后，该类基金份额的基金资产净值除以当日</w:t>
      </w:r>
      <w:r>
        <w:rPr>
          <w:rFonts w:hint="eastAsia"/>
          <w:sz w:val="21"/>
          <w:szCs w:val="21"/>
          <w:lang w:val="en-US" w:eastAsia="zh-CN"/>
        </w:rPr>
        <w:t>该类</w:t>
      </w:r>
      <w:r>
        <w:rPr>
          <w:rFonts w:hint="eastAsia"/>
          <w:sz w:val="21"/>
          <w:szCs w:val="21"/>
        </w:rPr>
        <w:t>基金份额的余额数量计算，</w:t>
      </w:r>
      <w:r>
        <w:rPr>
          <w:rFonts w:hint="eastAsia"/>
          <w:sz w:val="21"/>
          <w:szCs w:val="21"/>
          <w:lang w:val="en-US" w:eastAsia="zh-CN"/>
        </w:rPr>
        <w:t>均</w:t>
      </w:r>
      <w:r>
        <w:rPr>
          <w:rFonts w:hint="eastAsia"/>
          <w:sz w:val="21"/>
          <w:szCs w:val="21"/>
        </w:rPr>
        <w:t>精确到</w:t>
      </w:r>
      <w:bookmarkStart w:id="165" w:name="field_63_netdecimalvalue_1"/>
      <w:r>
        <w:rPr>
          <w:sz w:val="21"/>
          <w:szCs w:val="21"/>
        </w:rPr>
        <w:t>0.00</w:t>
      </w:r>
      <w:r>
        <w:rPr>
          <w:rFonts w:hint="eastAsia"/>
          <w:sz w:val="21"/>
          <w:szCs w:val="21"/>
          <w:lang w:val="en-US" w:eastAsia="zh-CN"/>
        </w:rPr>
        <w:t>0</w:t>
      </w:r>
      <w:r>
        <w:rPr>
          <w:sz w:val="21"/>
          <w:szCs w:val="21"/>
        </w:rPr>
        <w:t>1</w:t>
      </w:r>
      <w:bookmarkEnd w:id="165"/>
      <w:r>
        <w:rPr>
          <w:rFonts w:hint="eastAsia"/>
          <w:sz w:val="21"/>
          <w:szCs w:val="21"/>
        </w:rPr>
        <w:t>元，小数点后第</w:t>
      </w:r>
      <w:r>
        <w:rPr>
          <w:rFonts w:hint="eastAsia"/>
          <w:sz w:val="21"/>
          <w:szCs w:val="21"/>
          <w:lang w:val="en-US" w:eastAsia="zh-CN"/>
        </w:rPr>
        <w:t>5</w:t>
      </w:r>
      <w:r>
        <w:rPr>
          <w:rFonts w:hint="eastAsia"/>
          <w:sz w:val="21"/>
          <w:szCs w:val="21"/>
        </w:rPr>
        <w:t xml:space="preserve">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Style w:val="11"/>
          <w:rFonts w:hint="eastAsia"/>
          <w:sz w:val="21"/>
          <w:szCs w:val="21"/>
        </w:rPr>
        <w:t>五、估值错误的处理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66" w:name="field_63_netdecimal_1"/>
      <w:r>
        <w:rPr>
          <w:rFonts w:hint="eastAsia"/>
          <w:sz w:val="21"/>
          <w:szCs w:val="21"/>
          <w:lang w:val="en-US" w:eastAsia="zh-CN"/>
        </w:rPr>
        <w:t>4</w:t>
      </w:r>
      <w:bookmarkEnd w:id="166"/>
      <w:r>
        <w:rPr>
          <w:rFonts w:hint="eastAsia"/>
          <w:sz w:val="21"/>
          <w:szCs w:val="21"/>
        </w:rPr>
        <w:t>位以内(含第</w:t>
      </w:r>
      <w:bookmarkStart w:id="167" w:name="field_63_netdecimal_2"/>
      <w:r>
        <w:rPr>
          <w:rFonts w:hint="eastAsia"/>
          <w:sz w:val="21"/>
          <w:szCs w:val="21"/>
          <w:lang w:val="en-US" w:eastAsia="zh-CN"/>
        </w:rPr>
        <w:t>4</w:t>
      </w:r>
      <w:bookmarkEnd w:id="167"/>
      <w:r>
        <w:rPr>
          <w:rFonts w:hint="eastAsia"/>
          <w:sz w:val="21"/>
          <w:szCs w:val="21"/>
        </w:rPr>
        <w:t xml:space="preserve">位)发生估值错误时，视为该类基金份额净值错误。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（1）当任何一类基金份额净值计算出现错误时，基金管理人应当立即予以纠正，通报基金托管人，并采取合理的措施防止损失进一步扩大。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（2）错误偏差达到该类基金份额净值的0.25%时，基金管理人应当通报基金托管人并报中国证监会备案；错误偏差达到该类基金份额净值的0.50%时，基金管理人应当公告。 </w:t>
      </w:r>
    </w:p>
    <w:p>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而且基金托管人未对计算过程提出疑义或要求基金管理人书面说明，基金份额净值出错，由此给基金份额持有人造成损失的，应根据法律法规的规定对投资者或基金支付赔偿金，就实际向投资者或基金支付的赔偿金额，基金管理人与基金托管人按照过错程度各自承担相应的责任。 </w:t>
      </w:r>
    </w:p>
    <w:p>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④由于一方提供的信息错误（包括但不限于基金申购或赎回金额等），进而导致基金份额净值计算错误而引起的基金份额持有人和基金财产的损失，由提供错误信息的当事人一方负责赔付。 </w:t>
      </w:r>
    </w:p>
    <w:p>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 </w:t>
      </w:r>
    </w:p>
    <w:p>
      <w:pPr>
        <w:pStyle w:val="7"/>
        <w:spacing w:before="0" w:beforeAutospacing="0" w:after="0" w:afterAutospacing="0" w:line="360" w:lineRule="auto"/>
        <w:ind w:firstLine="420"/>
        <w:rPr>
          <w:sz w:val="21"/>
          <w:szCs w:val="21"/>
        </w:rPr>
      </w:pPr>
      <w:r>
        <w:rPr>
          <w:rStyle w:val="11"/>
          <w:rFonts w:hint="eastAsia"/>
          <w:sz w:val="21"/>
          <w:szCs w:val="21"/>
        </w:rPr>
        <w:t>六、暂停估值的情形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七、基金净值的确认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1、基金管理人或基金托管人按估值方法的第5项进行估值时，所造成的误差不作为基金资产估值错误处理。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pPr>
        <w:pStyle w:val="7"/>
        <w:spacing w:before="0" w:beforeAutospacing="0" w:after="0" w:afterAutospacing="0" w:line="360" w:lineRule="auto"/>
        <w:ind w:firstLine="420"/>
        <w:rPr>
          <w:sz w:val="21"/>
          <w:szCs w:val="21"/>
        </w:rPr>
      </w:pPr>
      <w:r>
        <w:rPr>
          <w:rStyle w:val="11"/>
          <w:rFonts w:hint="eastAsia"/>
          <w:sz w:val="21"/>
          <w:szCs w:val="21"/>
        </w:rPr>
        <w:t>九、实施侧袋机制期间的基金资产估值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8" w:name="chapter_level1_14_63_section_2_end"/>
      <w:bookmarkEnd w:id="168"/>
      <w:r>
        <w:rPr>
          <w:rFonts w:hint="eastAsia"/>
          <w:sz w:val="21"/>
          <w:szCs w:val="21"/>
        </w:rPr>
        <w:t xml:space="preserve">的基金净值信息，暂停披露侧袋账户基金净值信息。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9" w:name="chapter_level1_15_64"/>
      <w:bookmarkStart w:id="170" w:name="_Toc176199417"/>
      <w:r>
        <w:rPr>
          <w:rFonts w:hint="eastAsia" w:ascii="宋体" w:hAnsi="宋体" w:eastAsia="宋体"/>
          <w:sz w:val="30"/>
        </w:rPr>
        <w:t>第十二部分  基金的收益与分配</w:t>
      </w:r>
      <w:bookmarkEnd w:id="169"/>
      <w:bookmarkEnd w:id="170"/>
    </w:p>
    <w:p>
      <w:pPr>
        <w:pStyle w:val="7"/>
        <w:spacing w:before="0" w:beforeAutospacing="0" w:after="0" w:afterAutospacing="0" w:line="360" w:lineRule="auto"/>
        <w:ind w:firstLine="420"/>
        <w:rPr>
          <w:sz w:val="21"/>
          <w:szCs w:val="21"/>
        </w:rPr>
      </w:pPr>
      <w:bookmarkStart w:id="171" w:name="chapter_level1_15_64_section_1"/>
      <w:bookmarkEnd w:id="171"/>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在符合有关基金分红条件的前提下，本基金每年收益分配次数最多为4次，每份基金份额每次收益分配比例不得低于该次收益分配基准日每份基金份额可供分配利润的20%，若《基金合同》生效不满3个月可不进行收益分配； </w:t>
      </w:r>
    </w:p>
    <w:p>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4、本基金各类基金份额在费用收取上不同，其对应的可分配收益可能有所不同。本基金同一类别的每一基金份额享有同等分配权；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5、法律法规或监管机关另有规定的，从其规定。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72" w:name="chapter_level1_15_64_section_1_end"/>
      <w:bookmarkEnd w:id="172"/>
      <w:r>
        <w:rPr>
          <w:rFonts w:hint="eastAsia"/>
          <w:sz w:val="21"/>
          <w:szCs w:val="21"/>
        </w:rPr>
        <w:t xml:space="preserve">基金管理人可对基金收益分配原则和支付方式进行调整，不需召开基金份额持有人大会。 </w:t>
      </w:r>
    </w:p>
    <w:p>
      <w:pPr>
        <w:pStyle w:val="7"/>
        <w:spacing w:before="0" w:beforeAutospacing="0" w:after="0" w:afterAutospacing="0" w:line="360" w:lineRule="auto"/>
        <w:ind w:firstLine="420"/>
        <w:rPr>
          <w:sz w:val="21"/>
          <w:szCs w:val="21"/>
        </w:rPr>
      </w:pPr>
      <w:bookmarkStart w:id="173" w:name="chapter_level1_15_64_section_2"/>
      <w:bookmarkEnd w:id="173"/>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执行。 </w:t>
      </w:r>
    </w:p>
    <w:p>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74" w:name="chapter_level1_15_64_section_2_end"/>
      <w:bookmarkEnd w:id="174"/>
      <w:r>
        <w:rPr>
          <w:rFonts w:hint="eastAsia"/>
          <w:sz w:val="21"/>
          <w:szCs w:val="21"/>
        </w:rPr>
        <w:t xml:space="preserve">节的规定。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5" w:name="chapter_level1_16_65"/>
      <w:bookmarkStart w:id="176" w:name="_Toc176199418"/>
      <w:r>
        <w:rPr>
          <w:rFonts w:hint="eastAsia" w:ascii="宋体" w:hAnsi="宋体" w:eastAsia="宋体"/>
          <w:sz w:val="30"/>
        </w:rPr>
        <w:t>第十三部分  基金费用与税收</w:t>
      </w:r>
      <w:bookmarkEnd w:id="175"/>
      <w:bookmarkEnd w:id="176"/>
    </w:p>
    <w:p>
      <w:pPr>
        <w:pStyle w:val="7"/>
        <w:spacing w:before="0" w:beforeAutospacing="0" w:after="0" w:afterAutospacing="0" w:line="360" w:lineRule="auto"/>
        <w:ind w:firstLine="420"/>
        <w:rPr>
          <w:sz w:val="21"/>
          <w:szCs w:val="21"/>
        </w:rPr>
      </w:pPr>
      <w:bookmarkStart w:id="177" w:name="chapter_level1_16_65_section_1"/>
      <w:bookmarkEnd w:id="177"/>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rFonts w:hint="eastAsia"/>
          <w:sz w:val="21"/>
          <w:szCs w:val="21"/>
        </w:rPr>
      </w:pPr>
      <w:r>
        <w:rPr>
          <w:rFonts w:hint="eastAsia"/>
          <w:sz w:val="22"/>
        </w:rPr>
        <w:t>3、C类基金份额的销售服务费；</w:t>
      </w:r>
    </w:p>
    <w:p>
      <w:pPr>
        <w:pStyle w:val="7"/>
        <w:spacing w:before="0" w:beforeAutospacing="0" w:after="0" w:afterAutospacing="0" w:line="360" w:lineRule="auto"/>
        <w:ind w:firstLine="420"/>
        <w:rPr>
          <w:sz w:val="21"/>
          <w:szCs w:val="21"/>
        </w:rPr>
      </w:pPr>
      <w:r>
        <w:rPr>
          <w:rFonts w:hint="eastAsia"/>
          <w:sz w:val="21"/>
          <w:szCs w:val="21"/>
          <w:lang w:val="en-US" w:eastAsia="zh-CN"/>
        </w:rPr>
        <w:t>4</w:t>
      </w:r>
      <w:r>
        <w:rPr>
          <w:rFonts w:hint="eastAsia"/>
          <w:sz w:val="21"/>
          <w:szCs w:val="21"/>
        </w:rPr>
        <w:t xml:space="preserve">、《基金合同》生效后与基金相关的信息披露费用，法律法规、中国证监会另有规定的除外；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lang w:val="en-US" w:eastAsia="zh-CN"/>
        </w:rPr>
        <w:t>5</w:t>
      </w:r>
      <w:r>
        <w:rPr>
          <w:rFonts w:hint="eastAsia"/>
          <w:sz w:val="21"/>
          <w:szCs w:val="21"/>
        </w:rPr>
        <w:t xml:space="preserve">、《基金合同》生效后与基金相关的会计师费、律师费、诉讼费和仲裁费； </w:t>
      </w:r>
    </w:p>
    <w:p>
      <w:pPr>
        <w:pStyle w:val="7"/>
        <w:spacing w:before="0" w:beforeAutospacing="0" w:after="0" w:afterAutospacing="0" w:line="360" w:lineRule="auto"/>
        <w:ind w:firstLine="420"/>
        <w:rPr>
          <w:sz w:val="21"/>
          <w:szCs w:val="21"/>
        </w:rPr>
      </w:pPr>
      <w:r>
        <w:rPr>
          <w:rFonts w:hint="eastAsia"/>
          <w:sz w:val="21"/>
          <w:szCs w:val="21"/>
          <w:lang w:val="en-US" w:eastAsia="zh-CN"/>
        </w:rPr>
        <w:t>6</w:t>
      </w:r>
      <w:r>
        <w:rPr>
          <w:rFonts w:hint="eastAsia"/>
          <w:sz w:val="21"/>
          <w:szCs w:val="21"/>
        </w:rPr>
        <w:t xml:space="preserve">、基金份额持有人大会费用； </w:t>
      </w:r>
    </w:p>
    <w:p>
      <w:pPr>
        <w:pStyle w:val="7"/>
        <w:spacing w:before="0" w:beforeAutospacing="0" w:after="0" w:afterAutospacing="0" w:line="360" w:lineRule="auto"/>
        <w:ind w:firstLine="420"/>
        <w:rPr>
          <w:sz w:val="21"/>
          <w:szCs w:val="21"/>
        </w:rPr>
      </w:pPr>
      <w:r>
        <w:rPr>
          <w:rFonts w:hint="eastAsia"/>
          <w:sz w:val="21"/>
          <w:szCs w:val="21"/>
          <w:lang w:val="en-US" w:eastAsia="zh-CN"/>
        </w:rPr>
        <w:t>7</w:t>
      </w:r>
      <w:r>
        <w:rPr>
          <w:rFonts w:hint="eastAsia"/>
          <w:sz w:val="21"/>
          <w:szCs w:val="21"/>
        </w:rPr>
        <w:t xml:space="preserve">、基金的证券交易费用； </w:t>
      </w:r>
    </w:p>
    <w:p>
      <w:pPr>
        <w:pStyle w:val="7"/>
        <w:spacing w:before="0" w:beforeAutospacing="0" w:after="0" w:afterAutospacing="0" w:line="360" w:lineRule="auto"/>
        <w:ind w:firstLine="420"/>
        <w:rPr>
          <w:sz w:val="21"/>
          <w:szCs w:val="21"/>
        </w:rPr>
      </w:pPr>
      <w:r>
        <w:rPr>
          <w:rFonts w:hint="eastAsia"/>
          <w:sz w:val="21"/>
          <w:szCs w:val="21"/>
          <w:lang w:val="en-US" w:eastAsia="zh-CN"/>
        </w:rPr>
        <w:t>8</w:t>
      </w:r>
      <w:r>
        <w:rPr>
          <w:rFonts w:hint="eastAsia"/>
          <w:sz w:val="21"/>
          <w:szCs w:val="21"/>
        </w:rPr>
        <w:t xml:space="preserve">、基金的银行汇划费用； </w:t>
      </w:r>
    </w:p>
    <w:p>
      <w:pPr>
        <w:pStyle w:val="7"/>
        <w:spacing w:before="0" w:beforeAutospacing="0" w:after="0" w:afterAutospacing="0" w:line="360" w:lineRule="auto"/>
        <w:ind w:firstLine="420"/>
        <w:rPr>
          <w:sz w:val="21"/>
          <w:szCs w:val="21"/>
        </w:rPr>
      </w:pPr>
      <w:r>
        <w:rPr>
          <w:rFonts w:hint="eastAsia"/>
          <w:sz w:val="21"/>
          <w:szCs w:val="21"/>
          <w:lang w:val="en-US" w:eastAsia="zh-CN"/>
        </w:rPr>
        <w:t>9</w:t>
      </w:r>
      <w:r>
        <w:rPr>
          <w:rFonts w:hint="eastAsia"/>
          <w:sz w:val="21"/>
          <w:szCs w:val="21"/>
        </w:rPr>
        <w:t xml:space="preserve">、基金的账户开户费用、账户维护费用； </w:t>
      </w:r>
    </w:p>
    <w:p>
      <w:pPr>
        <w:pStyle w:val="7"/>
        <w:spacing w:before="0" w:beforeAutospacing="0" w:after="0" w:afterAutospacing="0" w:line="360" w:lineRule="auto"/>
        <w:ind w:firstLine="420"/>
        <w:rPr>
          <w:sz w:val="21"/>
          <w:szCs w:val="21"/>
        </w:rPr>
      </w:pPr>
      <w:r>
        <w:rPr>
          <w:rFonts w:hint="eastAsia"/>
          <w:sz w:val="21"/>
          <w:szCs w:val="21"/>
          <w:lang w:val="en-US" w:eastAsia="zh-CN"/>
        </w:rPr>
        <w:t>10</w:t>
      </w:r>
      <w:r>
        <w:rPr>
          <w:rFonts w:hint="eastAsia"/>
          <w:sz w:val="21"/>
          <w:szCs w:val="21"/>
        </w:rPr>
        <w:t xml:space="preserve">、按照国家有关规定和《基金合同》约定，可以在基金财产中列支的其他费用。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8" w:name="field_0_managementrate_1"/>
      <w:r>
        <w:rPr>
          <w:sz w:val="21"/>
          <w:szCs w:val="21"/>
        </w:rPr>
        <w:t>0.30</w:t>
      </w:r>
      <w:bookmarkEnd w:id="178"/>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79" w:name="field_0_managementrate_2"/>
      <w:r>
        <w:rPr>
          <w:sz w:val="21"/>
          <w:szCs w:val="21"/>
        </w:rPr>
        <w:t>0.30</w:t>
      </w:r>
      <w:bookmarkEnd w:id="179"/>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托管人按照与基金管理人协商一致的方式在次月前三个工作日内从基金财产中一次性支付给基金管理人。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80" w:name="field_0_trusteerate_1"/>
      <w:r>
        <w:rPr>
          <w:sz w:val="21"/>
          <w:szCs w:val="21"/>
        </w:rPr>
        <w:t>0.10</w:t>
      </w:r>
      <w:bookmarkEnd w:id="180"/>
      <w:r>
        <w:rPr>
          <w:rFonts w:hint="eastAsia"/>
          <w:sz w:val="21"/>
          <w:szCs w:val="21"/>
        </w:rPr>
        <w:t xml:space="preserve">%的年费率计提。托管费的计算方法如下：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81" w:name="field_0_trusteerate_2"/>
      <w:r>
        <w:rPr>
          <w:sz w:val="21"/>
          <w:szCs w:val="21"/>
        </w:rPr>
        <w:t>0.10</w:t>
      </w:r>
      <w:bookmarkEnd w:id="181"/>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rFonts w:hint="eastAsia"/>
          <w:sz w:val="21"/>
          <w:szCs w:val="21"/>
        </w:rPr>
      </w:pPr>
      <w:r>
        <w:rPr>
          <w:rFonts w:hint="eastAsia"/>
          <w:sz w:val="21"/>
          <w:szCs w:val="21"/>
        </w:rPr>
        <w:t>基金托管费每日计算，逐日累计至每月月末，按月支付，由基金管理人与基金托管人核对一致后，基金托管人按照与基金管理人协商一致的方式于次月前3个工作日内从基金财产中一次性支取。若遇法定节假日、公休假等，支付日期顺延。</w:t>
      </w:r>
    </w:p>
    <w:p>
      <w:pPr>
        <w:pStyle w:val="7"/>
        <w:spacing w:before="0" w:beforeAutospacing="0" w:after="0" w:afterAutospacing="0" w:line="360" w:lineRule="auto"/>
        <w:ind w:firstLine="420"/>
        <w:rPr>
          <w:sz w:val="21"/>
          <w:szCs w:val="21"/>
        </w:rPr>
      </w:pPr>
      <w:r>
        <w:rPr>
          <w:rFonts w:hint="eastAsia"/>
          <w:sz w:val="21"/>
          <w:szCs w:val="21"/>
        </w:rPr>
        <w:t>3、C类基金份额的销售服务费</w:t>
      </w:r>
    </w:p>
    <w:p>
      <w:pPr>
        <w:pStyle w:val="7"/>
        <w:spacing w:before="0" w:beforeAutospacing="0" w:after="0" w:afterAutospacing="0" w:line="360" w:lineRule="auto"/>
        <w:ind w:firstLine="420"/>
        <w:rPr>
          <w:sz w:val="21"/>
          <w:szCs w:val="21"/>
        </w:rPr>
      </w:pPr>
      <w:r>
        <w:rPr>
          <w:rFonts w:hint="eastAsia"/>
          <w:sz w:val="21"/>
          <w:szCs w:val="21"/>
        </w:rPr>
        <w:t>本基金A类基金份额不收取销售服务费，C类基金份额的销售服务费年费率为0.10%。</w:t>
      </w:r>
    </w:p>
    <w:p>
      <w:pPr>
        <w:pStyle w:val="7"/>
        <w:spacing w:before="0" w:beforeAutospacing="0" w:after="0" w:afterAutospacing="0" w:line="360" w:lineRule="auto"/>
        <w:ind w:firstLine="420"/>
        <w:rPr>
          <w:sz w:val="21"/>
          <w:szCs w:val="21"/>
        </w:rPr>
      </w:pPr>
      <w:r>
        <w:rPr>
          <w:rFonts w:hint="eastAsia"/>
          <w:sz w:val="21"/>
          <w:szCs w:val="21"/>
        </w:rPr>
        <w:t>本基金C类基金份额的销售服务费按前一日C类基金份额基金资产净值的0.10%年费率计提。</w:t>
      </w:r>
    </w:p>
    <w:p>
      <w:pPr>
        <w:pStyle w:val="7"/>
        <w:spacing w:before="0" w:beforeAutospacing="0" w:after="0" w:afterAutospacing="0" w:line="360" w:lineRule="auto"/>
        <w:ind w:firstLine="420"/>
        <w:rPr>
          <w:sz w:val="21"/>
          <w:szCs w:val="21"/>
        </w:rPr>
      </w:pPr>
      <w:r>
        <w:rPr>
          <w:rFonts w:hint="eastAsia"/>
          <w:sz w:val="21"/>
          <w:szCs w:val="21"/>
        </w:rPr>
        <w:t xml:space="preserve">计算方法如下： </w:t>
      </w:r>
    </w:p>
    <w:p>
      <w:pPr>
        <w:pStyle w:val="7"/>
        <w:spacing w:before="0" w:beforeAutospacing="0" w:after="0" w:afterAutospacing="0" w:line="360" w:lineRule="auto"/>
        <w:ind w:firstLine="420"/>
        <w:rPr>
          <w:sz w:val="21"/>
          <w:szCs w:val="21"/>
        </w:rPr>
      </w:pPr>
      <w:r>
        <w:rPr>
          <w:rFonts w:hint="eastAsia"/>
          <w:sz w:val="21"/>
          <w:szCs w:val="21"/>
        </w:rPr>
        <w:t>H＝E×0.10%÷当年天数</w:t>
      </w:r>
    </w:p>
    <w:p>
      <w:pPr>
        <w:pStyle w:val="7"/>
        <w:spacing w:before="0" w:beforeAutospacing="0" w:after="0" w:afterAutospacing="0" w:line="360" w:lineRule="auto"/>
        <w:ind w:firstLine="420"/>
        <w:rPr>
          <w:sz w:val="21"/>
          <w:szCs w:val="21"/>
        </w:rPr>
      </w:pPr>
      <w:r>
        <w:rPr>
          <w:rFonts w:hint="eastAsia"/>
          <w:sz w:val="21"/>
          <w:szCs w:val="21"/>
        </w:rPr>
        <w:t>H为C类基金份额每日应计提的销售服务费</w:t>
      </w:r>
    </w:p>
    <w:p>
      <w:pPr>
        <w:pStyle w:val="7"/>
        <w:spacing w:before="0" w:beforeAutospacing="0" w:after="0" w:afterAutospacing="0" w:line="360" w:lineRule="auto"/>
        <w:ind w:firstLine="420"/>
        <w:rPr>
          <w:sz w:val="21"/>
          <w:szCs w:val="21"/>
        </w:rPr>
      </w:pPr>
      <w:r>
        <w:rPr>
          <w:rFonts w:hint="eastAsia"/>
          <w:sz w:val="21"/>
          <w:szCs w:val="21"/>
        </w:rPr>
        <w:t>E为C类基金份额前一日基金资产净值</w:t>
      </w:r>
    </w:p>
    <w:p>
      <w:pPr>
        <w:pStyle w:val="7"/>
        <w:spacing w:before="0" w:beforeAutospacing="0" w:after="0" w:afterAutospacing="0" w:line="360" w:lineRule="auto"/>
        <w:ind w:firstLine="420"/>
        <w:rPr>
          <w:sz w:val="21"/>
          <w:szCs w:val="21"/>
        </w:rPr>
      </w:pPr>
      <w:r>
        <w:rPr>
          <w:rFonts w:hint="eastAsia"/>
          <w:sz w:val="21"/>
          <w:szCs w:val="21"/>
        </w:rPr>
        <w:t xml:space="preserve">C类基金份额的销售服务费每日计算，逐日累计至每月月末，按月支付，由基金管理人与基金托管人核对一致后，基金托管人按照与基金管理人协商一致的方式于次月前3个工作日内从基金财产中一次性支取。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上述“一、基金费用的种类”中第</w:t>
      </w:r>
      <w:r>
        <w:rPr>
          <w:rFonts w:hint="eastAsia"/>
          <w:sz w:val="21"/>
          <w:szCs w:val="21"/>
          <w:lang w:val="en-US" w:eastAsia="zh-CN"/>
        </w:rPr>
        <w:t>4</w:t>
      </w:r>
      <w:r>
        <w:rPr>
          <w:rFonts w:hint="eastAsia"/>
          <w:sz w:val="21"/>
          <w:szCs w:val="21"/>
        </w:rPr>
        <w:t>－</w:t>
      </w:r>
      <w:r>
        <w:rPr>
          <w:rFonts w:hint="eastAsia"/>
          <w:sz w:val="21"/>
          <w:szCs w:val="21"/>
          <w:lang w:val="en-US" w:eastAsia="zh-CN"/>
        </w:rPr>
        <w:t>10</w:t>
      </w:r>
      <w:r>
        <w:rPr>
          <w:rFonts w:hint="eastAsia"/>
          <w:sz w:val="21"/>
          <w:szCs w:val="21"/>
        </w:rPr>
        <w:t xml:space="preserve">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pPr>
        <w:pStyle w:val="7"/>
        <w:spacing w:before="0" w:beforeAutospacing="0" w:after="0" w:afterAutospacing="0" w:line="360" w:lineRule="auto"/>
        <w:ind w:firstLine="420"/>
        <w:rPr>
          <w:sz w:val="21"/>
          <w:szCs w:val="21"/>
        </w:rPr>
      </w:pPr>
      <w:r>
        <w:rPr>
          <w:rStyle w:val="11"/>
          <w:rFonts w:hint="eastAsia"/>
          <w:sz w:val="21"/>
          <w:szCs w:val="21"/>
        </w:rPr>
        <w:t>五、基金税收</w:t>
      </w:r>
    </w:p>
    <w:p>
      <w:pPr>
        <w:pStyle w:val="7"/>
        <w:spacing w:before="0" w:beforeAutospacing="0" w:after="0" w:afterAutospacing="0" w:line="360" w:lineRule="auto"/>
        <w:ind w:firstLine="420"/>
        <w:rPr>
          <w:sz w:val="21"/>
          <w:szCs w:val="21"/>
        </w:rPr>
      </w:pPr>
      <w:bookmarkStart w:id="182" w:name="chapter_level1_16_65_section_1_end"/>
      <w:bookmarkEnd w:id="182"/>
      <w:r>
        <w:rPr>
          <w:rFonts w:hint="eastAsia"/>
          <w:sz w:val="21"/>
          <w:szCs w:val="21"/>
        </w:rPr>
        <w:t xml:space="preserve">本基金运作过程中涉及的各纳税主体，其纳税义务按国家税收法律、法规执行。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3" w:name="_Toc176199419"/>
      <w:bookmarkStart w:id="184" w:name="chapter_level1_17_66"/>
      <w:r>
        <w:rPr>
          <w:rFonts w:hint="eastAsia" w:ascii="宋体" w:hAnsi="宋体" w:eastAsia="宋体"/>
          <w:sz w:val="30"/>
        </w:rPr>
        <w:t>第十四部分  基金的会计与审计</w:t>
      </w:r>
      <w:bookmarkEnd w:id="183"/>
      <w:bookmarkEnd w:id="184"/>
    </w:p>
    <w:p>
      <w:pPr>
        <w:pStyle w:val="7"/>
        <w:spacing w:before="0" w:beforeAutospacing="0" w:after="0" w:afterAutospacing="0" w:line="360" w:lineRule="auto"/>
        <w:ind w:firstLine="420"/>
        <w:rPr>
          <w:sz w:val="21"/>
          <w:szCs w:val="21"/>
        </w:rPr>
      </w:pPr>
      <w:bookmarkStart w:id="185" w:name="chapter_level1_17_66_section_1"/>
      <w:bookmarkEnd w:id="185"/>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86" w:name="chapter_level1_17_66_section_1_end"/>
      <w:bookmarkEnd w:id="186"/>
      <w:r>
        <w:rPr>
          <w:rFonts w:hint="eastAsia"/>
          <w:sz w:val="21"/>
          <w:szCs w:val="21"/>
        </w:rPr>
        <w:t xml:space="preserve">务所需按照《信息披露办法》的有关规定在指定媒介公告。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7" w:name="_Toc176199420"/>
      <w:bookmarkStart w:id="188" w:name="chapter_level1_18_67"/>
      <w:r>
        <w:rPr>
          <w:rFonts w:hint="eastAsia" w:ascii="宋体" w:hAnsi="宋体" w:eastAsia="宋体"/>
          <w:sz w:val="30"/>
        </w:rPr>
        <w:t>第十五部分  基金的信息披露</w:t>
      </w:r>
      <w:bookmarkEnd w:id="187"/>
      <w:bookmarkEnd w:id="188"/>
    </w:p>
    <w:p>
      <w:pPr>
        <w:pStyle w:val="7"/>
        <w:spacing w:before="0" w:beforeAutospacing="0" w:after="0" w:afterAutospacing="0" w:line="360" w:lineRule="auto"/>
        <w:ind w:firstLine="420"/>
        <w:rPr>
          <w:sz w:val="21"/>
          <w:szCs w:val="21"/>
        </w:rPr>
      </w:pPr>
      <w:bookmarkStart w:id="189" w:name="chapter_level1_18_67_section_1"/>
      <w:bookmarkEnd w:id="189"/>
      <w:r>
        <w:rPr>
          <w:rStyle w:val="11"/>
          <w:rFonts w:hint="eastAsia"/>
          <w:sz w:val="21"/>
          <w:szCs w:val="21"/>
        </w:rPr>
        <w:t>一、本基金的信息披露应符合《基金法》、《运作办法》、《信息披露办法》、《基金合同》及其他有关规定。相关法律法规关于信息披露的规定发生变化时，本基金从其最新规定。</w:t>
      </w:r>
    </w:p>
    <w:p>
      <w:pPr>
        <w:pStyle w:val="7"/>
        <w:spacing w:before="0" w:beforeAutospacing="0" w:after="0" w:afterAutospacing="0" w:line="360" w:lineRule="auto"/>
        <w:ind w:firstLine="420"/>
        <w:rPr>
          <w:sz w:val="21"/>
          <w:szCs w:val="21"/>
        </w:rPr>
      </w:pPr>
      <w:r>
        <w:rPr>
          <w:rStyle w:val="11"/>
          <w:rFonts w:hint="eastAsia"/>
          <w:sz w:val="21"/>
          <w:szCs w:val="21"/>
        </w:rPr>
        <w:t>二、信息披露义务人</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本基金信息披露义务人应当在中国证监会规定时间内，将应予披露的基金信息通过中国证监会指定的媒介披露，并保证基金投资者能够按照《基金合同》约定的时间和方式查阅或者复制公开披露的信息资料。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bookmarkStart w:id="190" w:name="chapter_level1_18_67_section_1_end"/>
      <w:bookmarkEnd w:id="190"/>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bookmarkStart w:id="191" w:name="chapter_level1_18_67_section_2"/>
      <w:bookmarkEnd w:id="191"/>
      <w:r>
        <w:rPr>
          <w:rStyle w:val="11"/>
          <w:rFonts w:hint="eastAsia"/>
          <w:sz w:val="21"/>
          <w:szCs w:val="21"/>
        </w:rPr>
        <w:t>五、公开披露的基金信息</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各自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（七）临时报告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11、涉及基金管理业务、基金财产、基金托管业务的诉讼或仲裁；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16、任何一类基金份额净值计价错误达该类基金份额净值百分之零点五；  </w:t>
      </w:r>
    </w:p>
    <w:p>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pPr>
        <w:pStyle w:val="7"/>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pPr>
        <w:pStyle w:val="7"/>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21、基金推出新业务或服务；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22、发生涉及基金申购、赎回事项调整或潜在影响投资者赎回等重大事项时；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23、基金信息披露义务人认为可能对基金份额持有人权益或者基金份额的价格产生重大影响的其他事项或中国证监会规定的其他事项。 </w:t>
      </w:r>
    </w:p>
    <w:p>
      <w:pPr>
        <w:pStyle w:val="7"/>
        <w:spacing w:before="0" w:beforeAutospacing="0" w:after="0" w:afterAutospacing="0" w:line="360" w:lineRule="auto"/>
        <w:ind w:firstLine="420"/>
        <w:rPr>
          <w:sz w:val="21"/>
          <w:szCs w:val="21"/>
        </w:rPr>
      </w:pPr>
      <w:r>
        <w:rPr>
          <w:rFonts w:hint="eastAsia"/>
          <w:sz w:val="21"/>
          <w:szCs w:val="21"/>
        </w:rPr>
        <w:t xml:space="preserve">（八）澄清公告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的，以及可能损害基金份额持有人权益的，相关信息披露义务人知悉后应当立即对该消息进行公开澄清，并将有关情况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（十一）资产支持证券的投资情况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（十二）实施侧袋机制期间的信息披露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pPr>
        <w:pStyle w:val="7"/>
        <w:spacing w:before="0" w:beforeAutospacing="0" w:after="0" w:afterAutospacing="0" w:line="360" w:lineRule="auto"/>
        <w:ind w:firstLine="420"/>
        <w:rPr>
          <w:sz w:val="21"/>
          <w:szCs w:val="21"/>
        </w:rPr>
      </w:pPr>
      <w:bookmarkStart w:id="192" w:name="chapter_level1_18_67_section_2_end"/>
      <w:bookmarkEnd w:id="192"/>
      <w:r>
        <w:rPr>
          <w:rFonts w:hint="eastAsia"/>
          <w:sz w:val="21"/>
          <w:szCs w:val="21"/>
        </w:rPr>
        <w:t xml:space="preserve">（十三）中国证监会规定的其他信息。  </w:t>
      </w:r>
    </w:p>
    <w:p>
      <w:pPr>
        <w:pStyle w:val="7"/>
        <w:spacing w:before="0" w:beforeAutospacing="0" w:after="0" w:afterAutospacing="0" w:line="360" w:lineRule="auto"/>
        <w:ind w:firstLine="420"/>
        <w:rPr>
          <w:sz w:val="21"/>
          <w:szCs w:val="21"/>
        </w:rPr>
      </w:pPr>
      <w:bookmarkStart w:id="193" w:name="chapter_level1_18_67_section_3"/>
      <w:bookmarkEnd w:id="193"/>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依法必须披露的信息发布后，基金管理人、基金托管人应当按照相关法律法规规定将信息置备于公司住所，供社会公众查阅、复制。   </w:t>
      </w:r>
    </w:p>
    <w:p>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pPr>
        <w:pStyle w:val="7"/>
        <w:spacing w:before="0" w:beforeAutospacing="0" w:after="0" w:afterAutospacing="0" w:line="360" w:lineRule="auto"/>
        <w:ind w:firstLine="420"/>
        <w:rPr>
          <w:sz w:val="21"/>
          <w:szCs w:val="21"/>
        </w:rPr>
      </w:pPr>
      <w:r>
        <w:rPr>
          <w:rFonts w:hint="eastAsia"/>
          <w:sz w:val="21"/>
          <w:szCs w:val="21"/>
        </w:rPr>
        <w:t xml:space="preserve">当出现下述情况时，基金管理人和基金托管人可暂停或延迟披露基金相关信息：   </w:t>
      </w:r>
    </w:p>
    <w:p>
      <w:pPr>
        <w:pStyle w:val="7"/>
        <w:spacing w:before="0" w:beforeAutospacing="0" w:after="0" w:afterAutospacing="0" w:line="360" w:lineRule="auto"/>
        <w:ind w:firstLine="420"/>
        <w:rPr>
          <w:sz w:val="21"/>
          <w:szCs w:val="21"/>
        </w:rPr>
      </w:pPr>
      <w:r>
        <w:rPr>
          <w:rFonts w:hint="eastAsia"/>
          <w:sz w:val="21"/>
          <w:szCs w:val="21"/>
        </w:rPr>
        <w:t xml:space="preserve">1、不可抗力；   </w:t>
      </w:r>
    </w:p>
    <w:p>
      <w:pPr>
        <w:pStyle w:val="7"/>
        <w:spacing w:before="0" w:beforeAutospacing="0" w:after="0" w:afterAutospacing="0" w:line="360" w:lineRule="auto"/>
        <w:ind w:firstLine="420"/>
        <w:rPr>
          <w:sz w:val="21"/>
          <w:szCs w:val="21"/>
        </w:rPr>
      </w:pPr>
      <w:r>
        <w:rPr>
          <w:rFonts w:hint="eastAsia"/>
          <w:sz w:val="21"/>
          <w:szCs w:val="21"/>
        </w:rPr>
        <w:t xml:space="preserve">2、发生暂停估值的情形； </w:t>
      </w:r>
    </w:p>
    <w:p>
      <w:pPr>
        <w:pStyle w:val="7"/>
        <w:spacing w:before="0" w:beforeAutospacing="0" w:after="0" w:afterAutospacing="0" w:line="360" w:lineRule="auto"/>
        <w:ind w:firstLine="420"/>
        <w:rPr>
          <w:sz w:val="21"/>
          <w:szCs w:val="21"/>
        </w:rPr>
      </w:pPr>
      <w:bookmarkStart w:id="194" w:name="chapter_level1_18_67_section_3_end"/>
      <w:bookmarkEnd w:id="194"/>
      <w:r>
        <w:rPr>
          <w:rFonts w:hint="eastAsia"/>
          <w:sz w:val="21"/>
          <w:szCs w:val="21"/>
        </w:rPr>
        <w:t xml:space="preserve">3、法律法规、《基金合同》或中国证监会规定的情况。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5" w:name="chapter_level1_19_54314"/>
      <w:bookmarkStart w:id="196" w:name="_Toc176199421"/>
      <w:r>
        <w:rPr>
          <w:rFonts w:hint="eastAsia" w:ascii="宋体" w:hAnsi="宋体" w:eastAsia="宋体"/>
          <w:sz w:val="30"/>
        </w:rPr>
        <w:t>第十六部分  侧袋机制</w:t>
      </w:r>
      <w:bookmarkEnd w:id="195"/>
      <w:bookmarkEnd w:id="196"/>
    </w:p>
    <w:p>
      <w:pPr>
        <w:pStyle w:val="7"/>
        <w:spacing w:before="0" w:beforeAutospacing="0" w:after="0" w:afterAutospacing="0" w:line="360" w:lineRule="auto"/>
        <w:ind w:firstLine="420"/>
        <w:rPr>
          <w:sz w:val="21"/>
          <w:szCs w:val="21"/>
        </w:rPr>
      </w:pPr>
      <w:bookmarkStart w:id="197" w:name="chapter_level1_19_54314_section_1"/>
      <w:bookmarkEnd w:id="197"/>
      <w:r>
        <w:rPr>
          <w:rStyle w:val="11"/>
          <w:rFonts w:hint="eastAsia"/>
          <w:sz w:val="21"/>
          <w:szCs w:val="21"/>
        </w:rPr>
        <w:t>一、侧袋机制的实施条件、实施程序和特定资产范围</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pPr>
        <w:pStyle w:val="7"/>
        <w:spacing w:before="0" w:beforeAutospacing="0" w:after="0" w:afterAutospacing="0" w:line="360" w:lineRule="auto"/>
        <w:ind w:firstLine="420"/>
        <w:rPr>
          <w:sz w:val="21"/>
          <w:szCs w:val="21"/>
        </w:rPr>
      </w:pPr>
      <w:r>
        <w:rPr>
          <w:rFonts w:hint="eastAsia"/>
          <w:sz w:val="21"/>
          <w:szCs w:val="21"/>
        </w:rPr>
        <w:t xml:space="preserve">1、侧袋账户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pPr>
        <w:pStyle w:val="7"/>
        <w:spacing w:before="0" w:beforeAutospacing="0" w:after="0" w:afterAutospacing="0" w:line="360" w:lineRule="auto"/>
        <w:ind w:firstLine="420"/>
        <w:rPr>
          <w:sz w:val="21"/>
          <w:szCs w:val="21"/>
        </w:rPr>
      </w:pPr>
      <w:r>
        <w:rPr>
          <w:rFonts w:hint="eastAsia"/>
          <w:sz w:val="21"/>
          <w:szCs w:val="21"/>
        </w:rPr>
        <w:t xml:space="preserve">2、主袋账户 </w:t>
      </w:r>
    </w:p>
    <w:p>
      <w:pPr>
        <w:pStyle w:val="7"/>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pPr>
        <w:pStyle w:val="7"/>
        <w:spacing w:before="0" w:beforeAutospacing="0" w:after="0" w:afterAutospacing="0" w:line="360" w:lineRule="auto"/>
        <w:ind w:firstLine="420"/>
        <w:rPr>
          <w:sz w:val="21"/>
          <w:szCs w:val="21"/>
        </w:rPr>
      </w:pPr>
      <w:r>
        <w:rPr>
          <w:rFonts w:hint="eastAsia"/>
          <w:sz w:val="21"/>
          <w:szCs w:val="21"/>
        </w:rPr>
        <w:t xml:space="preserve">（四）基金的估值 </w:t>
      </w:r>
    </w:p>
    <w:p>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pPr>
        <w:pStyle w:val="7"/>
        <w:spacing w:before="0" w:beforeAutospacing="0" w:after="0" w:afterAutospacing="0" w:line="360" w:lineRule="auto"/>
        <w:ind w:firstLine="420"/>
        <w:rPr>
          <w:sz w:val="21"/>
          <w:szCs w:val="21"/>
        </w:rPr>
      </w:pPr>
      <w:r>
        <w:rPr>
          <w:rFonts w:hint="eastAsia"/>
          <w:sz w:val="21"/>
          <w:szCs w:val="21"/>
        </w:rPr>
        <w:t xml:space="preserve">（五）基金的费用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pPr>
        <w:pStyle w:val="7"/>
        <w:spacing w:before="0" w:beforeAutospacing="0" w:after="0" w:afterAutospacing="0" w:line="360" w:lineRule="auto"/>
        <w:ind w:firstLine="420"/>
        <w:rPr>
          <w:sz w:val="21"/>
          <w:szCs w:val="21"/>
        </w:rPr>
      </w:pPr>
      <w:r>
        <w:rPr>
          <w:rFonts w:hint="eastAsia"/>
          <w:sz w:val="21"/>
          <w:szCs w:val="21"/>
        </w:rPr>
        <w:t xml:space="preserve">1、基金净值信息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pPr>
        <w:pStyle w:val="7"/>
        <w:spacing w:before="0" w:beforeAutospacing="0" w:after="0" w:afterAutospacing="0" w:line="360" w:lineRule="auto"/>
        <w:ind w:firstLine="420"/>
        <w:rPr>
          <w:sz w:val="21"/>
          <w:szCs w:val="21"/>
        </w:rPr>
      </w:pPr>
      <w:r>
        <w:rPr>
          <w:rFonts w:hint="eastAsia"/>
          <w:sz w:val="21"/>
          <w:szCs w:val="21"/>
        </w:rPr>
        <w:t xml:space="preserve">2、定期报告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pPr>
        <w:pStyle w:val="7"/>
        <w:spacing w:before="0" w:beforeAutospacing="0" w:after="0" w:afterAutospacing="0" w:line="360" w:lineRule="auto"/>
        <w:ind w:firstLine="420"/>
        <w:rPr>
          <w:sz w:val="21"/>
          <w:szCs w:val="21"/>
        </w:rPr>
      </w:pPr>
      <w:r>
        <w:rPr>
          <w:rFonts w:hint="eastAsia"/>
          <w:sz w:val="21"/>
          <w:szCs w:val="21"/>
        </w:rPr>
        <w:t xml:space="preserve">3、临时报告 </w:t>
      </w:r>
    </w:p>
    <w:p>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pPr>
        <w:pStyle w:val="7"/>
        <w:spacing w:before="0" w:beforeAutospacing="0" w:after="0" w:afterAutospacing="0" w:line="360" w:lineRule="auto"/>
        <w:ind w:firstLine="420"/>
        <w:rPr>
          <w:sz w:val="21"/>
          <w:szCs w:val="21"/>
        </w:rPr>
      </w:pPr>
      <w:r>
        <w:rPr>
          <w:rFonts w:hint="eastAsia"/>
          <w:sz w:val="21"/>
          <w:szCs w:val="21"/>
        </w:rPr>
        <w:t xml:space="preserve">（九）侧袋的审计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pPr>
        <w:pStyle w:val="7"/>
        <w:spacing w:before="0" w:beforeAutospacing="0" w:after="0" w:afterAutospacing="0" w:line="360" w:lineRule="auto"/>
        <w:ind w:firstLine="420"/>
        <w:rPr>
          <w:sz w:val="21"/>
          <w:szCs w:val="21"/>
        </w:rPr>
      </w:pPr>
      <w:r>
        <w:rPr>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整，</w:t>
      </w:r>
      <w:bookmarkStart w:id="198" w:name="chapter_level1_19_54314_section_1_end"/>
      <w:bookmarkEnd w:id="198"/>
      <w:r>
        <w:rPr>
          <w:rFonts w:hint="eastAsia"/>
          <w:sz w:val="21"/>
          <w:szCs w:val="21"/>
        </w:rPr>
        <w:t xml:space="preserve">无需召开基金份额持有人大会审议。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9" w:name="_Toc176199422"/>
      <w:bookmarkStart w:id="200" w:name="chapter_level1_20_68"/>
      <w:r>
        <w:rPr>
          <w:rFonts w:hint="eastAsia" w:ascii="宋体" w:hAnsi="宋体" w:eastAsia="宋体"/>
          <w:sz w:val="30"/>
        </w:rPr>
        <w:t>第十七部分  风险揭示</w:t>
      </w:r>
      <w:bookmarkEnd w:id="199"/>
      <w:bookmarkEnd w:id="200"/>
    </w:p>
    <w:p>
      <w:pPr>
        <w:pStyle w:val="7"/>
        <w:spacing w:before="0" w:beforeAutospacing="0" w:after="0" w:afterAutospacing="0" w:line="360" w:lineRule="auto"/>
        <w:ind w:firstLine="420"/>
        <w:rPr>
          <w:sz w:val="21"/>
          <w:szCs w:val="21"/>
        </w:rPr>
      </w:pPr>
      <w:bookmarkStart w:id="201" w:name="chapter_level1_20_68_section_1"/>
      <w:bookmarkEnd w:id="201"/>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pPr>
        <w:pStyle w:val="7"/>
        <w:spacing w:before="0" w:beforeAutospacing="0" w:after="0" w:afterAutospacing="0" w:line="360" w:lineRule="auto"/>
        <w:ind w:firstLine="420"/>
        <w:rPr>
          <w:sz w:val="21"/>
          <w:szCs w:val="21"/>
        </w:rPr>
      </w:pPr>
      <w:r>
        <w:rPr>
          <w:rFonts w:hint="eastAsia"/>
          <w:sz w:val="21"/>
          <w:szCs w:val="21"/>
        </w:rPr>
        <w:t xml:space="preserve">1、市场风险 </w:t>
      </w:r>
    </w:p>
    <w:p>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pPr>
        <w:pStyle w:val="7"/>
        <w:spacing w:before="0" w:beforeAutospacing="0" w:after="0" w:afterAutospacing="0" w:line="360" w:lineRule="auto"/>
        <w:ind w:firstLine="420"/>
        <w:rPr>
          <w:sz w:val="21"/>
          <w:szCs w:val="21"/>
        </w:rPr>
      </w:pPr>
      <w:r>
        <w:rPr>
          <w:rFonts w:hint="eastAsia"/>
          <w:sz w:val="21"/>
          <w:szCs w:val="21"/>
        </w:rPr>
        <w:t xml:space="preserve">2、信用风险 </w:t>
      </w:r>
    </w:p>
    <w:p>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pPr>
        <w:pStyle w:val="7"/>
        <w:spacing w:before="0" w:beforeAutospacing="0" w:after="0" w:afterAutospacing="0" w:line="360" w:lineRule="auto"/>
        <w:ind w:firstLine="420"/>
        <w:rPr>
          <w:sz w:val="21"/>
          <w:szCs w:val="21"/>
        </w:rPr>
      </w:pPr>
      <w:r>
        <w:rPr>
          <w:rFonts w:hint="eastAsia"/>
          <w:sz w:val="21"/>
          <w:szCs w:val="21"/>
        </w:rPr>
        <w:t xml:space="preserve">3、流动性风险 </w:t>
      </w:r>
    </w:p>
    <w:p>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延期办理。同时，如本基金单个基金份额持有人在单个开放日申请赎回基金份额超过基金总份额一定比例以上的，基金管理人有权对其采取延期办理赎回申请的措施。 </w:t>
      </w:r>
    </w:p>
    <w:p>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各类基金份额净值，并不得办理申购、赎回和转换。因特定资产的变现时间具有不确定性，最终变现价格也具有不确定性并且有可能大幅低于启用侧袋机制时的特定资产的估值，基金份额持有人可能因此面临损失。 </w:t>
      </w:r>
    </w:p>
    <w:p>
      <w:pPr>
        <w:pStyle w:val="7"/>
        <w:spacing w:before="0" w:beforeAutospacing="0" w:after="0" w:afterAutospacing="0" w:line="360" w:lineRule="auto"/>
        <w:ind w:firstLine="420"/>
        <w:rPr>
          <w:sz w:val="21"/>
          <w:szCs w:val="21"/>
        </w:rPr>
      </w:pPr>
      <w:r>
        <w:rPr>
          <w:rFonts w:hint="eastAsia"/>
          <w:sz w:val="21"/>
          <w:szCs w:val="21"/>
        </w:rPr>
        <w:t xml:space="preserve">4、操作风险 </w:t>
      </w:r>
    </w:p>
    <w:p>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pPr>
        <w:pStyle w:val="7"/>
        <w:spacing w:before="0" w:beforeAutospacing="0" w:after="0" w:afterAutospacing="0" w:line="360" w:lineRule="auto"/>
        <w:ind w:firstLine="420"/>
        <w:rPr>
          <w:sz w:val="21"/>
          <w:szCs w:val="21"/>
        </w:rPr>
      </w:pPr>
      <w:r>
        <w:rPr>
          <w:rFonts w:hint="eastAsia"/>
          <w:sz w:val="21"/>
          <w:szCs w:val="21"/>
        </w:rPr>
        <w:t xml:space="preserve">5、管理风险 </w:t>
      </w:r>
    </w:p>
    <w:p>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pPr>
        <w:pStyle w:val="7"/>
        <w:spacing w:before="0" w:beforeAutospacing="0" w:after="0" w:afterAutospacing="0" w:line="360" w:lineRule="auto"/>
        <w:ind w:firstLine="420"/>
        <w:rPr>
          <w:sz w:val="21"/>
          <w:szCs w:val="21"/>
        </w:rPr>
      </w:pPr>
      <w:r>
        <w:rPr>
          <w:rFonts w:hint="eastAsia"/>
          <w:sz w:val="21"/>
          <w:szCs w:val="21"/>
        </w:rPr>
        <w:t xml:space="preserve">6、合规风险 </w:t>
      </w:r>
    </w:p>
    <w:p>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pPr>
        <w:pStyle w:val="7"/>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pPr>
        <w:pStyle w:val="7"/>
        <w:spacing w:before="0" w:beforeAutospacing="0" w:after="0" w:afterAutospacing="0" w:line="360" w:lineRule="auto"/>
        <w:ind w:firstLine="420"/>
        <w:rPr>
          <w:sz w:val="21"/>
          <w:szCs w:val="21"/>
        </w:rPr>
      </w:pPr>
      <w:r>
        <w:rPr>
          <w:rStyle w:val="11"/>
          <w:rFonts w:hint="eastAsia"/>
          <w:sz w:val="21"/>
          <w:szCs w:val="21"/>
        </w:rPr>
        <w:t>二、声明</w:t>
      </w:r>
    </w:p>
    <w:p>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2、除基金管理人直接办理本基金的销售外，本基金还通过南京银行等基金代销机构代</w:t>
      </w:r>
      <w:bookmarkStart w:id="202" w:name="chapter_level1_20_68_section_1_end"/>
      <w:bookmarkEnd w:id="202"/>
      <w:r>
        <w:rPr>
          <w:rFonts w:hint="eastAsia"/>
          <w:sz w:val="21"/>
          <w:szCs w:val="21"/>
        </w:rPr>
        <w:t xml:space="preserve">理销售，基金管理人与基金代销机构都不能保证其收益或本金安全。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3" w:name="_Toc176199423"/>
      <w:bookmarkStart w:id="204" w:name="chapter_level1_21_69"/>
      <w:r>
        <w:rPr>
          <w:rFonts w:hint="eastAsia" w:ascii="宋体" w:hAnsi="宋体" w:eastAsia="宋体"/>
          <w:sz w:val="30"/>
        </w:rPr>
        <w:t>第十八部分  基金合同的变更、终止与基金财产的清算</w:t>
      </w:r>
      <w:bookmarkEnd w:id="203"/>
      <w:bookmarkEnd w:id="204"/>
    </w:p>
    <w:p>
      <w:pPr>
        <w:pStyle w:val="7"/>
        <w:spacing w:before="0" w:beforeAutospacing="0" w:after="0" w:afterAutospacing="0" w:line="360" w:lineRule="auto"/>
        <w:ind w:firstLine="420"/>
        <w:rPr>
          <w:sz w:val="21"/>
          <w:szCs w:val="21"/>
        </w:rPr>
      </w:pPr>
      <w:bookmarkStart w:id="205" w:name="chapter_level1_21_69_section_1"/>
      <w:bookmarkEnd w:id="205"/>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3、基金合同生效后，连续六十个工作日出现基金份额持有人数量不满二百人或者基金资产净值低于五千万元情形的，基金合同将终止并进行基金财产清算； </w:t>
      </w:r>
    </w:p>
    <w:p>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bookmarkStart w:id="206" w:name="chapter_level1_21_69_section_1_end"/>
      <w:bookmarkEnd w:id="206"/>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7" w:name="_Toc176199424"/>
      <w:bookmarkStart w:id="208" w:name="chapter_level1_22_71"/>
      <w:r>
        <w:rPr>
          <w:rFonts w:hint="eastAsia" w:ascii="宋体" w:hAnsi="宋体" w:eastAsia="宋体"/>
          <w:sz w:val="30"/>
        </w:rPr>
        <w:t>第十九部分  基金合同的内容摘要</w:t>
      </w:r>
      <w:bookmarkEnd w:id="207"/>
      <w:bookmarkEnd w:id="208"/>
    </w:p>
    <w:p>
      <w:pPr>
        <w:pStyle w:val="7"/>
        <w:spacing w:before="0" w:beforeAutospacing="0" w:after="0" w:afterAutospacing="0" w:line="360" w:lineRule="auto"/>
        <w:ind w:firstLine="420"/>
        <w:rPr>
          <w:sz w:val="21"/>
          <w:szCs w:val="21"/>
        </w:rPr>
      </w:pPr>
      <w:bookmarkStart w:id="209" w:name="chapter_level1_22_71_section_1"/>
      <w:bookmarkEnd w:id="209"/>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（8）复核、审查基金管理人计算的基金资产净值、各类基金份额净值、基金份额申购、赎回价格；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（3）依法转让或申请赎回其持有的基金份额；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pPr>
        <w:pStyle w:val="7"/>
        <w:spacing w:before="0" w:beforeAutospacing="0" w:after="0" w:afterAutospacing="0" w:line="360" w:lineRule="auto"/>
        <w:ind w:firstLine="420"/>
        <w:rPr>
          <w:sz w:val="21"/>
          <w:szCs w:val="21"/>
        </w:rPr>
      </w:pPr>
      <w:r>
        <w:rPr>
          <w:rFonts w:hint="eastAsia"/>
          <w:sz w:val="21"/>
          <w:szCs w:val="21"/>
        </w:rPr>
        <w:t xml:space="preserve">（6）变更基金类别；   </w:t>
      </w:r>
    </w:p>
    <w:p>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2、在不违反法律法规规定、基金合同约定以及在对现有基金份额持有人利益无实质性不利影响的前提下，以下情况可由基金管理人和基金托管人协商后修改，不需召开基金份额持有人大会：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2）在法律法规和《基金合同》规定的范围内调整本基金的申购费率、调低赎回费率、调低销售服务费率或在对现有基金份额持有人利益无实质性不利影响的前提下变更收费方式或调整基金份额类别设置、对基金份额分类办法及规则进行调整；   </w:t>
      </w:r>
    </w:p>
    <w:p>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（4）对《基金合同》的修改对基金份额持有人利益无实质性不利影响或修改不涉及《基金合同》当事人权利义务关系发生变化；   </w:t>
      </w:r>
    </w:p>
    <w:p>
      <w:pPr>
        <w:pStyle w:val="7"/>
        <w:spacing w:before="0" w:beforeAutospacing="0" w:after="0" w:afterAutospacing="0" w:line="360" w:lineRule="auto"/>
        <w:ind w:firstLine="420"/>
        <w:rPr>
          <w:sz w:val="21"/>
          <w:szCs w:val="21"/>
        </w:rPr>
      </w:pPr>
      <w:r>
        <w:rPr>
          <w:rFonts w:hint="eastAsia"/>
          <w:sz w:val="21"/>
          <w:szCs w:val="21"/>
        </w:rPr>
        <w:t xml:space="preserve">（5）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   </w:t>
      </w:r>
    </w:p>
    <w:p>
      <w:pPr>
        <w:pStyle w:val="7"/>
        <w:spacing w:before="0" w:beforeAutospacing="0" w:after="0" w:afterAutospacing="0" w:line="360" w:lineRule="auto"/>
        <w:ind w:firstLine="420"/>
        <w:rPr>
          <w:sz w:val="21"/>
          <w:szCs w:val="21"/>
        </w:rPr>
      </w:pPr>
      <w:r>
        <w:rPr>
          <w:rFonts w:hint="eastAsia"/>
          <w:sz w:val="21"/>
          <w:szCs w:val="21"/>
        </w:rPr>
        <w:t xml:space="preserve">（6）在法律法规或中国证监会允许的范围内、且在对现有基金份额持有人无实质性不利影响的前提下推出新业务或服务；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pPr>
        <w:pStyle w:val="7"/>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（4）授权委托证明的内容要求（包括但不限于代理人身份，代理权限和代理有效期限等）、授权方式、送达时间和地点；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pPr>
        <w:pStyle w:val="7"/>
        <w:spacing w:before="0" w:beforeAutospacing="0" w:after="0" w:afterAutospacing="0" w:line="360" w:lineRule="auto"/>
        <w:ind w:firstLine="420"/>
        <w:rPr>
          <w:sz w:val="21"/>
          <w:szCs w:val="21"/>
        </w:rPr>
      </w:pPr>
      <w:r>
        <w:rPr>
          <w:rFonts w:hint="eastAsia"/>
          <w:sz w:val="21"/>
          <w:szCs w:val="21"/>
        </w:rPr>
        <w:t xml:space="preserve">同一主侧袋账户内同一类别的每份基金份额具有平等的表决权。 </w:t>
      </w:r>
    </w:p>
    <w:p>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3、基金合同生效后，连续六十个工作日出现基金份额持有人数量不满二百人或者基金资产净值低于五千万元情形的，本基金合同将终止并进行基金财产清算；   </w:t>
      </w:r>
    </w:p>
    <w:p>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Style w:val="11"/>
          <w:rFonts w:hint="eastAsia"/>
          <w:sz w:val="21"/>
          <w:szCs w:val="21"/>
        </w:rPr>
        <w:t>四、争议解决方式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10" w:name="chapter_level1_22_71_section_1_end"/>
      <w:bookmarkEnd w:id="210"/>
      <w:r>
        <w:rPr>
          <w:rFonts w:hint="eastAsia"/>
          <w:sz w:val="21"/>
          <w:szCs w:val="21"/>
        </w:rPr>
        <w:t xml:space="preserve">和营业场所查阅。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1" w:name="_Toc176199425"/>
      <w:bookmarkStart w:id="212" w:name="chapter_level1_23_72"/>
      <w:r>
        <w:rPr>
          <w:rFonts w:hint="eastAsia" w:ascii="宋体" w:hAnsi="宋体" w:eastAsia="宋体"/>
          <w:sz w:val="30"/>
        </w:rPr>
        <w:t>第二十部分  基金托管协议的内容摘要</w:t>
      </w:r>
      <w:bookmarkEnd w:id="211"/>
      <w:bookmarkEnd w:id="212"/>
    </w:p>
    <w:p>
      <w:pPr>
        <w:pStyle w:val="7"/>
        <w:spacing w:before="0" w:beforeAutospacing="0" w:after="0" w:afterAutospacing="0" w:line="360" w:lineRule="auto"/>
        <w:ind w:firstLine="420"/>
        <w:rPr>
          <w:sz w:val="21"/>
          <w:szCs w:val="21"/>
        </w:rPr>
      </w:pPr>
      <w:bookmarkStart w:id="213" w:name="chapter_level1_23_72_section_1"/>
      <w:bookmarkEnd w:id="213"/>
      <w:r>
        <w:rPr>
          <w:rStyle w:val="11"/>
          <w:rFonts w:hint="eastAsia"/>
          <w:sz w:val="21"/>
          <w:szCs w:val="21"/>
        </w:rPr>
        <w:t>一、托管协议当事人</w:t>
      </w:r>
    </w:p>
    <w:p>
      <w:pPr>
        <w:pStyle w:val="7"/>
        <w:spacing w:before="0" w:beforeAutospacing="0" w:after="0" w:afterAutospacing="0" w:line="360" w:lineRule="auto"/>
        <w:ind w:firstLine="420"/>
        <w:rPr>
          <w:sz w:val="21"/>
          <w:szCs w:val="21"/>
        </w:rPr>
      </w:pPr>
      <w:r>
        <w:rPr>
          <w:rFonts w:hint="eastAsia"/>
          <w:sz w:val="21"/>
          <w:szCs w:val="21"/>
        </w:rPr>
        <w:t xml:space="preserve">（一）基金管理人 </w:t>
      </w:r>
    </w:p>
    <w:p>
      <w:pPr>
        <w:pStyle w:val="7"/>
        <w:spacing w:before="0" w:beforeAutospacing="0" w:after="0" w:afterAutospacing="0" w:line="360" w:lineRule="auto"/>
        <w:ind w:firstLine="420"/>
        <w:rPr>
          <w:sz w:val="21"/>
          <w:szCs w:val="21"/>
        </w:rPr>
      </w:pPr>
      <w:r>
        <w:rPr>
          <w:rFonts w:hint="eastAsia"/>
          <w:sz w:val="21"/>
          <w:szCs w:val="21"/>
        </w:rPr>
        <w:t>名称：</w:t>
      </w:r>
      <w:bookmarkStart w:id="214" w:name="field_0_managerorgfullname_11"/>
      <w:r>
        <w:rPr>
          <w:rFonts w:hint="eastAsia"/>
          <w:sz w:val="21"/>
          <w:szCs w:val="21"/>
        </w:rPr>
        <w:t>博时基金管理有限公司</w:t>
      </w:r>
      <w:bookmarkEnd w:id="214"/>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设立日期：1998年7月13日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pPr>
        <w:pStyle w:val="7"/>
        <w:spacing w:before="0" w:beforeAutospacing="0" w:after="0" w:afterAutospacing="0" w:line="360" w:lineRule="auto"/>
        <w:ind w:firstLine="420"/>
        <w:rPr>
          <w:sz w:val="21"/>
          <w:szCs w:val="21"/>
        </w:rPr>
      </w:pPr>
      <w:r>
        <w:rPr>
          <w:rFonts w:hint="eastAsia"/>
          <w:sz w:val="21"/>
          <w:szCs w:val="21"/>
        </w:rPr>
        <w:t xml:space="preserve">组织形式： 有限责任公司 </w:t>
      </w:r>
    </w:p>
    <w:p>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存续期限：持续经营 </w:t>
      </w:r>
    </w:p>
    <w:p>
      <w:pPr>
        <w:pStyle w:val="7"/>
        <w:spacing w:before="0" w:beforeAutospacing="0" w:after="0" w:afterAutospacing="0" w:line="360" w:lineRule="auto"/>
        <w:ind w:firstLine="420"/>
        <w:rPr>
          <w:sz w:val="21"/>
          <w:szCs w:val="21"/>
        </w:rPr>
      </w:pPr>
      <w:r>
        <w:rPr>
          <w:rFonts w:hint="eastAsia"/>
          <w:sz w:val="21"/>
          <w:szCs w:val="21"/>
        </w:rPr>
        <w:t xml:space="preserve">联系电话：0755-83169999      </w:t>
      </w:r>
    </w:p>
    <w:p>
      <w:pPr>
        <w:pStyle w:val="7"/>
        <w:spacing w:before="0" w:beforeAutospacing="0" w:after="0" w:afterAutospacing="0" w:line="360" w:lineRule="auto"/>
        <w:ind w:firstLine="420"/>
        <w:rPr>
          <w:sz w:val="21"/>
          <w:szCs w:val="21"/>
        </w:rPr>
      </w:pPr>
      <w:r>
        <w:rPr>
          <w:rFonts w:hint="eastAsia"/>
          <w:sz w:val="21"/>
          <w:szCs w:val="21"/>
        </w:rPr>
        <w:t xml:space="preserve">（二）基金托管人 </w:t>
      </w:r>
    </w:p>
    <w:p>
      <w:pPr>
        <w:pStyle w:val="7"/>
        <w:spacing w:before="0" w:beforeAutospacing="0" w:after="0" w:afterAutospacing="0" w:line="360" w:lineRule="auto"/>
        <w:ind w:firstLine="420"/>
        <w:rPr>
          <w:sz w:val="21"/>
          <w:szCs w:val="21"/>
        </w:rPr>
      </w:pPr>
      <w:r>
        <w:rPr>
          <w:rFonts w:hint="eastAsia"/>
          <w:sz w:val="21"/>
          <w:szCs w:val="21"/>
        </w:rPr>
        <w:t>名称：</w:t>
      </w:r>
      <w:bookmarkStart w:id="215" w:name="field_0_trustorgfullname_2"/>
      <w:r>
        <w:rPr>
          <w:rFonts w:hint="eastAsia"/>
          <w:sz w:val="21"/>
          <w:szCs w:val="21"/>
        </w:rPr>
        <w:t>南京银行股份有限公司</w:t>
      </w:r>
      <w:bookmarkEnd w:id="215"/>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住所：南京市中山路288号 </w:t>
      </w:r>
    </w:p>
    <w:p>
      <w:pPr>
        <w:pStyle w:val="7"/>
        <w:spacing w:before="0" w:beforeAutospacing="0" w:after="0" w:afterAutospacing="0" w:line="360" w:lineRule="auto"/>
        <w:ind w:firstLine="420"/>
        <w:rPr>
          <w:sz w:val="21"/>
          <w:szCs w:val="21"/>
        </w:rPr>
      </w:pPr>
      <w:r>
        <w:rPr>
          <w:rFonts w:hint="eastAsia"/>
          <w:sz w:val="21"/>
          <w:szCs w:val="21"/>
        </w:rPr>
        <w:t xml:space="preserve">法定代表人：胡升荣 </w:t>
      </w:r>
    </w:p>
    <w:p>
      <w:pPr>
        <w:pStyle w:val="7"/>
        <w:spacing w:before="0" w:beforeAutospacing="0" w:after="0" w:afterAutospacing="0" w:line="360" w:lineRule="auto"/>
        <w:ind w:firstLine="420"/>
        <w:rPr>
          <w:sz w:val="21"/>
          <w:szCs w:val="21"/>
        </w:rPr>
      </w:pPr>
      <w:r>
        <w:rPr>
          <w:rFonts w:hint="eastAsia"/>
          <w:sz w:val="21"/>
          <w:szCs w:val="21"/>
        </w:rPr>
        <w:t xml:space="preserve">成立时间：1996年2月6日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基金托管业务批准文号：中国证监会证监许可〔2014〕405号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注册资本：1000701.6973万元人民币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pPr>
        <w:pStyle w:val="7"/>
        <w:spacing w:before="0" w:beforeAutospacing="0" w:after="0" w:afterAutospacing="0" w:line="360" w:lineRule="auto"/>
        <w:ind w:firstLine="420"/>
        <w:rPr>
          <w:sz w:val="21"/>
          <w:szCs w:val="21"/>
        </w:rPr>
      </w:pPr>
      <w:r>
        <w:rPr>
          <w:rFonts w:hint="eastAsia"/>
          <w:sz w:val="21"/>
          <w:szCs w:val="21"/>
        </w:rPr>
        <w:t xml:space="preserve">本基金的投资对象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（4）本基金管理人管理的全部基金持有一家公司发行的证券，不超过该证券发行总量的10％；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（8）本基金持有的同一(指同一信用级别)资产支持证券的比例，不得超过该资产支持证券（指同一信用级别）规模的10％；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（12）本基金主动投资于流动性受限资产的市值合计不得超过本基金资产净值的15% ；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（14）法律法规及中国证监会规定的和《基金合同》约定的其他投资限制。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第（2）、（10）、（12）、（13）条之外，因证券市场波动、证券发行人合并、基金规模变动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在履行适当程序后本基金投资不再受相关限制，但须提前公告，不需要经过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（三）基金托管人根据有关法律法规的规定及基金合同的约定，对本托管协议第十五条第（十二）款基金投资禁止行为进行监督。 </w:t>
      </w:r>
    </w:p>
    <w:p>
      <w:pPr>
        <w:pStyle w:val="7"/>
        <w:spacing w:before="0" w:beforeAutospacing="0" w:after="0" w:afterAutospacing="0" w:line="360" w:lineRule="auto"/>
        <w:ind w:firstLine="420"/>
        <w:rPr>
          <w:sz w:val="21"/>
          <w:szCs w:val="21"/>
        </w:rPr>
      </w:pPr>
      <w:r>
        <w:rPr>
          <w:rFonts w:hint="eastAsia"/>
          <w:sz w:val="21"/>
          <w:szCs w:val="21"/>
        </w:rPr>
        <w:t xml:space="preserve">基金托管人通过事后监督方式对基金管理人基金投资禁止行为进行监督。 </w:t>
      </w:r>
    </w:p>
    <w:p>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和交易结算方式进行交易。基金管理人可以每半年或定期对银行间债券市场交易对手名单及结算方式进行更新，新名单确定前已与本次剔除的交易对手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结算方式进行交易时，基金托管人应及时提醒基金管理人，基金托管人不承担由此造成的任何损失和责任。 </w:t>
      </w:r>
    </w:p>
    <w:p>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（五）基金托管人根据有关法律法规的规定及基金合同和本协议的约定，对基金管理人选择存款银行进行监督。 </w:t>
      </w:r>
    </w:p>
    <w:p>
      <w:pPr>
        <w:pStyle w:val="7"/>
        <w:spacing w:before="0" w:beforeAutospacing="0" w:after="0" w:afterAutospacing="0" w:line="360" w:lineRule="auto"/>
        <w:ind w:firstLine="420"/>
        <w:rPr>
          <w:sz w:val="21"/>
          <w:szCs w:val="21"/>
        </w:rPr>
      </w:pPr>
      <w:r>
        <w:rPr>
          <w:rFonts w:hint="eastAsia"/>
          <w:sz w:val="21"/>
          <w:szCs w:val="21"/>
        </w:rPr>
        <w:t xml:space="preserve">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如基金管理人未向基金托管人提供符合条件的存款银行名单，基金托管人有权不对基金投资银行存款的交易对手进行监督。 </w:t>
      </w:r>
    </w:p>
    <w:p>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pPr>
        <w:pStyle w:val="7"/>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3、基金管理人与基金托管人在开展基金存款业务时，应严格遵守《基金法》、《运作办法》等有关法律法规，以及国家有关账户管理、利率管理、支付结算等的各项规定。 </w:t>
      </w:r>
    </w:p>
    <w:p>
      <w:pPr>
        <w:pStyle w:val="7"/>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（六）基金托管人根据有关法律法规的规定及基金合同的约定，对基金管理人投资流通受限证券进行监督。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 </w:t>
      </w:r>
    </w:p>
    <w:p>
      <w:pPr>
        <w:pStyle w:val="7"/>
        <w:spacing w:before="0" w:beforeAutospacing="0" w:after="0" w:afterAutospacing="0" w:line="360" w:lineRule="auto"/>
        <w:ind w:firstLine="420"/>
        <w:rPr>
          <w:sz w:val="21"/>
          <w:szCs w:val="21"/>
        </w:rPr>
      </w:pPr>
      <w:r>
        <w:rPr>
          <w:rFonts w:hint="eastAsia"/>
          <w:sz w:val="21"/>
          <w:szCs w:val="21"/>
        </w:rPr>
        <w:t xml:space="preserve">1．流通受限证券是指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本基金为纯债债券型基金，不投资于流通受限证券中的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本基金投资的流通受限证券限于可由中国证券登记结算有限责任公司或中央国债登记结算有限责任公司、银行间市场清算所股份有限公司、负责登记和存管，并可在证券交易所或全国银行间债券市场交易的证券。 </w:t>
      </w:r>
    </w:p>
    <w:p>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本基金投资流通受限证券，不得预付任何形式的保证金。 </w:t>
      </w:r>
    </w:p>
    <w:p>
      <w:pPr>
        <w:pStyle w:val="7"/>
        <w:spacing w:before="0" w:beforeAutospacing="0" w:after="0" w:afterAutospacing="0" w:line="360" w:lineRule="auto"/>
        <w:ind w:firstLine="420"/>
        <w:rPr>
          <w:sz w:val="21"/>
          <w:szCs w:val="21"/>
        </w:rPr>
      </w:pPr>
      <w:r>
        <w:rPr>
          <w:rFonts w:hint="eastAsia"/>
          <w:sz w:val="21"/>
          <w:szCs w:val="21"/>
        </w:rPr>
        <w:t xml:space="preserve">2．基金管理人投资流通受限证券，应制订流动性风险处置预案并经其董事会批准。风险处置预案应包括但不限于因投资流通受限证券需要解决的基金投资比例限制失调、基金流动性困难以及相关损失的应对解决措施，以及有关异常情况的处置。 </w:t>
      </w:r>
    </w:p>
    <w:p>
      <w:pPr>
        <w:pStyle w:val="7"/>
        <w:spacing w:before="0" w:beforeAutospacing="0" w:after="0" w:afterAutospacing="0" w:line="360" w:lineRule="auto"/>
        <w:ind w:firstLine="420"/>
        <w:rPr>
          <w:sz w:val="21"/>
          <w:szCs w:val="21"/>
        </w:rPr>
      </w:pPr>
      <w:r>
        <w:rPr>
          <w:rFonts w:hint="eastAsia"/>
          <w:sz w:val="21"/>
          <w:szCs w:val="21"/>
        </w:rPr>
        <w:t xml:space="preserve">对本基金因投资流通受限证券导致的流动性风险，基金托管人不承担任何责任。如因基金管理人原因导致本基金出现损失致使基金托管人承担连带赔偿责任的，基金管理人应赔偿基金托管人由此遭受的损失。 </w:t>
      </w:r>
    </w:p>
    <w:p>
      <w:pPr>
        <w:pStyle w:val="7"/>
        <w:spacing w:before="0" w:beforeAutospacing="0" w:after="0" w:afterAutospacing="0" w:line="360" w:lineRule="auto"/>
        <w:ind w:firstLine="420"/>
        <w:rPr>
          <w:sz w:val="21"/>
          <w:szCs w:val="21"/>
        </w:rPr>
      </w:pPr>
      <w:r>
        <w:rPr>
          <w:rFonts w:hint="eastAsia"/>
          <w:sz w:val="21"/>
          <w:szCs w:val="21"/>
        </w:rPr>
        <w:t xml:space="preserve">3．本基金有关投资流通受限证券比例如违反有关限制规定，在合理期限内未能进行及时调整，基金管理人应依照《信息披露办法》的有关规定编制临时报告书，予以公告。 </w:t>
      </w:r>
    </w:p>
    <w:p>
      <w:pPr>
        <w:pStyle w:val="7"/>
        <w:spacing w:before="0" w:beforeAutospacing="0" w:after="0" w:afterAutospacing="0" w:line="360" w:lineRule="auto"/>
        <w:ind w:firstLine="420"/>
        <w:rPr>
          <w:sz w:val="21"/>
          <w:szCs w:val="21"/>
        </w:rPr>
      </w:pPr>
      <w:r>
        <w:rPr>
          <w:rFonts w:hint="eastAsia"/>
          <w:sz w:val="21"/>
          <w:szCs w:val="21"/>
        </w:rPr>
        <w:t xml:space="preserve">4．基金托管人根据有关规定有权对基金管理人进行以下事项监督： </w:t>
      </w:r>
    </w:p>
    <w:p>
      <w:pPr>
        <w:pStyle w:val="7"/>
        <w:spacing w:before="0" w:beforeAutospacing="0" w:after="0" w:afterAutospacing="0" w:line="360" w:lineRule="auto"/>
        <w:ind w:firstLine="420"/>
        <w:rPr>
          <w:sz w:val="21"/>
          <w:szCs w:val="21"/>
        </w:rPr>
      </w:pPr>
      <w:r>
        <w:rPr>
          <w:rFonts w:hint="eastAsia"/>
          <w:sz w:val="21"/>
          <w:szCs w:val="21"/>
        </w:rPr>
        <w:t xml:space="preserve">（1）本基金投资流通受限证券时的法律法规遵守情况； </w:t>
      </w:r>
    </w:p>
    <w:p>
      <w:pPr>
        <w:pStyle w:val="7"/>
        <w:spacing w:before="0" w:beforeAutospacing="0" w:after="0" w:afterAutospacing="0" w:line="360" w:lineRule="auto"/>
        <w:ind w:firstLine="420"/>
        <w:rPr>
          <w:sz w:val="21"/>
          <w:szCs w:val="21"/>
        </w:rPr>
      </w:pPr>
      <w:r>
        <w:rPr>
          <w:rFonts w:hint="eastAsia"/>
          <w:sz w:val="21"/>
          <w:szCs w:val="21"/>
        </w:rPr>
        <w:t xml:space="preserve">（2）有关比例限制的执行情况； </w:t>
      </w:r>
    </w:p>
    <w:p>
      <w:pPr>
        <w:pStyle w:val="7"/>
        <w:spacing w:before="0" w:beforeAutospacing="0" w:after="0" w:afterAutospacing="0" w:line="360" w:lineRule="auto"/>
        <w:ind w:firstLine="420"/>
        <w:rPr>
          <w:sz w:val="21"/>
          <w:szCs w:val="21"/>
        </w:rPr>
      </w:pPr>
      <w:r>
        <w:rPr>
          <w:rFonts w:hint="eastAsia"/>
          <w:sz w:val="21"/>
          <w:szCs w:val="21"/>
        </w:rPr>
        <w:t xml:space="preserve">（3）信息披露情况。 </w:t>
      </w:r>
    </w:p>
    <w:p>
      <w:pPr>
        <w:pStyle w:val="7"/>
        <w:spacing w:before="0" w:beforeAutospacing="0" w:after="0" w:afterAutospacing="0" w:line="360" w:lineRule="auto"/>
        <w:ind w:firstLine="420"/>
        <w:rPr>
          <w:sz w:val="21"/>
          <w:szCs w:val="21"/>
        </w:rPr>
      </w:pPr>
      <w:r>
        <w:rPr>
          <w:rFonts w:hint="eastAsia"/>
          <w:sz w:val="21"/>
          <w:szCs w:val="21"/>
        </w:rPr>
        <w:t xml:space="preserve">5．相关法律法规对基金投资流通受限证券有新规定的，从其规定。 </w:t>
      </w:r>
    </w:p>
    <w:p>
      <w:pPr>
        <w:pStyle w:val="7"/>
        <w:spacing w:before="0" w:beforeAutospacing="0" w:after="0" w:afterAutospacing="0" w:line="360" w:lineRule="auto"/>
        <w:ind w:firstLine="420"/>
        <w:rPr>
          <w:sz w:val="21"/>
          <w:szCs w:val="21"/>
        </w:rPr>
      </w:pPr>
      <w:r>
        <w:rPr>
          <w:rFonts w:hint="eastAsia"/>
          <w:sz w:val="21"/>
          <w:szCs w:val="21"/>
        </w:rPr>
        <w:t xml:space="preserve">（七）基金托管人对基金投资中期票据的监督 </w:t>
      </w:r>
    </w:p>
    <w:p>
      <w:pPr>
        <w:pStyle w:val="7"/>
        <w:spacing w:before="0" w:beforeAutospacing="0" w:after="0" w:afterAutospacing="0" w:line="360" w:lineRule="auto"/>
        <w:ind w:firstLine="420"/>
        <w:rPr>
          <w:sz w:val="21"/>
          <w:szCs w:val="21"/>
        </w:rPr>
      </w:pPr>
      <w:r>
        <w:rPr>
          <w:rFonts w:hint="eastAsia"/>
          <w:sz w:val="21"/>
          <w:szCs w:val="21"/>
        </w:rPr>
        <w:t xml:space="preserve">1．基金管理在投资中期票据前，须根据法律、法规、监管部门的规定，制定严格的关于投资中期票据的风险控制制度和流动性风险处置预案，并书面提供给基金托管人，基金托管人依据上述文件对基金管理人投资中期票据的比例进行监督。 </w:t>
      </w:r>
    </w:p>
    <w:p>
      <w:pPr>
        <w:pStyle w:val="7"/>
        <w:spacing w:before="0" w:beforeAutospacing="0" w:after="0" w:afterAutospacing="0" w:line="360" w:lineRule="auto"/>
        <w:ind w:firstLine="420"/>
        <w:rPr>
          <w:sz w:val="21"/>
          <w:szCs w:val="21"/>
        </w:rPr>
      </w:pPr>
      <w:r>
        <w:rPr>
          <w:rFonts w:hint="eastAsia"/>
          <w:sz w:val="21"/>
          <w:szCs w:val="21"/>
        </w:rPr>
        <w:t xml:space="preserve">2．如未来有关监管部门发布的法律法规对证券投资基金投资中期票据另有规定的，从其约定，基金管理人应及时书面通知基金托管人。 </w:t>
      </w:r>
    </w:p>
    <w:p>
      <w:pPr>
        <w:pStyle w:val="7"/>
        <w:spacing w:before="0" w:beforeAutospacing="0" w:after="0" w:afterAutospacing="0" w:line="360" w:lineRule="auto"/>
        <w:ind w:firstLine="420"/>
        <w:rPr>
          <w:sz w:val="21"/>
          <w:szCs w:val="21"/>
        </w:rPr>
      </w:pPr>
      <w:r>
        <w:rPr>
          <w:rFonts w:hint="eastAsia"/>
          <w:sz w:val="21"/>
          <w:szCs w:val="21"/>
        </w:rPr>
        <w:t xml:space="preserve">3．基金托管人有权监督基金管理人在相关基金投资中期票据时的法律法规遵守情况，有关制度、信用风险、流动性风险处置预案的完善情况，有关比例限制的执行情况。基金托管人发现基金管理人的上述事项违反法律法规和基金合同以及本协议的规定，有权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有权报告中国证监会。 </w:t>
      </w:r>
    </w:p>
    <w:p>
      <w:pPr>
        <w:pStyle w:val="7"/>
        <w:spacing w:before="0" w:beforeAutospacing="0" w:after="0" w:afterAutospacing="0" w:line="360" w:lineRule="auto"/>
        <w:ind w:firstLine="420"/>
        <w:rPr>
          <w:sz w:val="21"/>
          <w:szCs w:val="21"/>
        </w:rPr>
      </w:pPr>
      <w:r>
        <w:rPr>
          <w:rFonts w:hint="eastAsia"/>
          <w:sz w:val="21"/>
          <w:szCs w:val="21"/>
        </w:rPr>
        <w:t xml:space="preserve">（八）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十）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（十一）若基金托管人发现基金管理人依据交易程序已经生效的指令违反法律、行政法规和其他有关规定，或者违反基金合同约定的，应当立即通知基金管理人，由此造成的损失由基金管理人承担。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十二）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十三）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三、基金管理人对基金托管人的业务监督、核查</w:t>
      </w:r>
    </w:p>
    <w:p>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托管资金专门账户和证券账户等投资所需账户、复核基金管理人计算的基金资产净值和各类基金份额净值、根据管理人指令办理清算交收、相关信息披露和监督基金投资运作等行为。 </w:t>
      </w:r>
    </w:p>
    <w:p>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托管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托管协议规定行使监督权，或采取拖延、欺诈等手段妨碍对方进行有效监督，情节严重或经基金管理人提出警告仍不改正的，基金管理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3．基金托管人按照规定开设基金财产的资金账户、证券账户等投资所需账户； </w:t>
      </w:r>
    </w:p>
    <w:p>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pPr>
        <w:pStyle w:val="7"/>
        <w:spacing w:before="0" w:beforeAutospacing="0" w:after="0" w:afterAutospacing="0" w:line="360" w:lineRule="auto"/>
        <w:ind w:firstLine="420"/>
        <w:rPr>
          <w:sz w:val="21"/>
          <w:szCs w:val="21"/>
        </w:rPr>
      </w:pPr>
      <w:r>
        <w:rPr>
          <w:rFonts w:hint="eastAsia"/>
          <w:sz w:val="21"/>
          <w:szCs w:val="21"/>
        </w:rPr>
        <w:t xml:space="preserve">5．基金托管人按照基金合同和本托管协议的约定保管基金财产，如有特殊情况双方可另行协商解决。基金托管人未经基金管理人的指令，不得自行运用、处分、分配本基金的任何资产（不包含基金托管人依据中国证券登记结算有限责任公司（以下简称“中登公司”）结算数据完成场内交易交收、托管资产开户银行扣收结算费和账户维护费等费用）； </w:t>
      </w:r>
    </w:p>
    <w:p>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应予以必要的协助与配合，但对此不承担相应责任； </w:t>
      </w:r>
    </w:p>
    <w:p>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（二）募集资金的验资 </w:t>
      </w:r>
    </w:p>
    <w:p>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1．基金募集期间募集的资金应存于开立的“基金募集专户”。该账户由登记机构开立并管理。 </w:t>
      </w:r>
    </w:p>
    <w:p>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资金账户，同时在规定时间内，聘请具有从事证券相关业务资格的会计师事务所进行验资，出具验资报告。出具的验资报告由参加验资的2名或2名以上中国注册会计师签字方为有效。 </w:t>
      </w:r>
    </w:p>
    <w:p>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3．若基金募集期限届满，未能达到基金备案的条件，由基金管理人按规定办理退款等事宜。 </w:t>
      </w:r>
    </w:p>
    <w:p>
      <w:pPr>
        <w:pStyle w:val="7"/>
        <w:spacing w:before="0" w:beforeAutospacing="0" w:after="0" w:afterAutospacing="0" w:line="360" w:lineRule="auto"/>
        <w:ind w:firstLine="420"/>
        <w:rPr>
          <w:sz w:val="21"/>
          <w:szCs w:val="21"/>
        </w:rPr>
      </w:pPr>
      <w:r>
        <w:rPr>
          <w:rFonts w:hint="eastAsia"/>
          <w:sz w:val="21"/>
          <w:szCs w:val="21"/>
        </w:rPr>
        <w:t xml:space="preserve">（三）基金资金账户的开立和管理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应以本基金的名义在具有基金托管资格的商业银行开立基金的资金账户（托管账户），并根据基金管理人合法合规的指令办理资金收付。本基金的银行预留印鉴由基金托管人刻制、保管和使用。本基金的一切货币收支活动，包括但不限于投资、付赎回额、支付基金收益取申购款，均需通过本基金资金账户进行。 </w:t>
      </w:r>
    </w:p>
    <w:p>
      <w:pPr>
        <w:pStyle w:val="7"/>
        <w:spacing w:before="0" w:beforeAutospacing="0" w:after="0" w:afterAutospacing="0" w:line="360" w:lineRule="auto"/>
        <w:ind w:firstLine="420"/>
        <w:rPr>
          <w:sz w:val="21"/>
          <w:szCs w:val="21"/>
        </w:rPr>
      </w:pPr>
      <w:r>
        <w:rPr>
          <w:rFonts w:hint="eastAsia"/>
          <w:sz w:val="21"/>
          <w:szCs w:val="21"/>
        </w:rPr>
        <w:t xml:space="preserve">2．基金资金账户的开立和使用，限于满足开展本基金业务的需要。基金托管人和基金管理人不得假借本基金的名义开立任何其他银行账户；亦不得使用基金的任何账户进行本基金业务以外的活动。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3．基金资金账户的开立和管理应符合有关法律法规及银行业监督管理机构的有关规定。 </w:t>
      </w:r>
    </w:p>
    <w:p>
      <w:pPr>
        <w:pStyle w:val="7"/>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pPr>
        <w:pStyle w:val="7"/>
        <w:spacing w:before="0" w:beforeAutospacing="0" w:after="0" w:afterAutospacing="0" w:line="360" w:lineRule="auto"/>
        <w:ind w:firstLine="420"/>
        <w:rPr>
          <w:sz w:val="21"/>
          <w:szCs w:val="21"/>
        </w:rPr>
      </w:pPr>
      <w:r>
        <w:rPr>
          <w:rFonts w:hint="eastAsia"/>
          <w:sz w:val="21"/>
          <w:szCs w:val="21"/>
        </w:rPr>
        <w:t xml:space="preserve">（四）基金证券账户与证券交易资金账户的开立和管理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 </w:t>
      </w:r>
    </w:p>
    <w:p>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银行间市场登记结算机构的有关规定，以本基金的名义在银行间市场登记结算机构开立债券托管账户、持有人账户和资金结算账户，并代表本基金进行银行间市场债券的后台确认及资金结算。基金管理人和基金托管人共同代表本基金签订全国银行间债券市场债券回购主协议。 </w:t>
      </w:r>
    </w:p>
    <w:p>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1．因业务发展需要而开立的其他账户，可以根据法律法规和基金合同的规定，由基金托管人负责开立。新账户按有关规定使用并管理。 </w:t>
      </w:r>
    </w:p>
    <w:p>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其中，实物证券也可存入中央国债登记结算有限责任公司、银行间市场清算所股份有限公司、中国证券登记结算有限责任公司上海分公司/深圳分公司或票据营业中心的代保管库，保管凭证由基金托管人持有。有价凭证的购买和转让，由基金管理人和基金托管人共同办理。基金托管人对由基金托管人以外机构实际有效控制的资产不承担保管责任。 </w:t>
      </w:r>
    </w:p>
    <w:p>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托管协议另有规定外，基金管理人代表本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传真给基金托管人，并在30个工作日内将正本送达基金托管人处。重大合同的保管期限为基金合同终止后15年。 </w:t>
      </w:r>
    </w:p>
    <w:p>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对于无法取得二份以上的正本的，基金管理人应向基金托管人提供加盖授权业务章的合同传真件并保证其真实性及其与原件的完全一致性，未经双方协商或未在合同约定范围内，合同原件不得转移。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pPr>
        <w:pStyle w:val="7"/>
        <w:spacing w:before="0" w:beforeAutospacing="0" w:after="0" w:afterAutospacing="0" w:line="360" w:lineRule="auto"/>
        <w:ind w:firstLine="420"/>
        <w:rPr>
          <w:sz w:val="21"/>
          <w:szCs w:val="21"/>
        </w:rPr>
      </w:pPr>
      <w:r>
        <w:rPr>
          <w:rFonts w:hint="eastAsia"/>
          <w:sz w:val="21"/>
          <w:szCs w:val="21"/>
        </w:rPr>
        <w:t>1．基金资产净值是指基金资产总值减去负债后的价值。各类基金份额净值是按照每个交易日闭市后，该类基金份额的基金资产净值除以当日该类基金份额的余额数量计算，</w:t>
      </w:r>
      <w:r>
        <w:rPr>
          <w:rFonts w:hint="eastAsia"/>
          <w:sz w:val="21"/>
          <w:szCs w:val="21"/>
          <w:lang w:val="en-US" w:eastAsia="zh-CN"/>
        </w:rPr>
        <w:t>均</w:t>
      </w:r>
      <w:r>
        <w:rPr>
          <w:rFonts w:hint="eastAsia"/>
          <w:sz w:val="21"/>
          <w:szCs w:val="21"/>
        </w:rPr>
        <w:t>精确到0.00</w:t>
      </w:r>
      <w:r>
        <w:rPr>
          <w:rFonts w:hint="eastAsia"/>
          <w:sz w:val="21"/>
          <w:szCs w:val="21"/>
          <w:lang w:val="en-US" w:eastAsia="zh-CN"/>
        </w:rPr>
        <w:t>0</w:t>
      </w:r>
      <w:r>
        <w:rPr>
          <w:rFonts w:hint="eastAsia"/>
          <w:sz w:val="21"/>
          <w:szCs w:val="21"/>
        </w:rPr>
        <w:t>1元，小数点后第</w:t>
      </w:r>
      <w:r>
        <w:rPr>
          <w:rFonts w:hint="eastAsia"/>
          <w:sz w:val="21"/>
          <w:szCs w:val="21"/>
          <w:lang w:val="en-US" w:eastAsia="zh-CN"/>
        </w:rPr>
        <w:t>五</w:t>
      </w:r>
      <w:r>
        <w:rPr>
          <w:rFonts w:hint="eastAsia"/>
          <w:sz w:val="21"/>
          <w:szCs w:val="21"/>
        </w:rPr>
        <w:t xml:space="preserve">位四舍五入。法律法规另有规定的，从其规定。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基金管理人每个工作日计算基金资产净值及各类基金份额净值，并按规定公告。 </w:t>
      </w:r>
    </w:p>
    <w:p>
      <w:pPr>
        <w:pStyle w:val="7"/>
        <w:spacing w:before="0" w:beforeAutospacing="0" w:after="0" w:afterAutospacing="0" w:line="360" w:lineRule="auto"/>
        <w:ind w:firstLine="420"/>
        <w:rPr>
          <w:sz w:val="21"/>
          <w:szCs w:val="21"/>
        </w:rPr>
      </w:pPr>
      <w:r>
        <w:rPr>
          <w:rFonts w:hint="eastAsia"/>
          <w:sz w:val="21"/>
          <w:szCs w:val="21"/>
        </w:rPr>
        <w:t>2．基金管理人应每个工作日对基金资产估值。但基金管理人根据法律法规或基金合同的规定暂停估值时除外。基金管理人每个工作日对基金资产估值后，将各类基金份额净值结果以双方约定的方式发送基金托管人，经基金托管人复核无误</w:t>
      </w:r>
      <w:bookmarkStart w:id="242" w:name="_GoBack"/>
      <w:bookmarkEnd w:id="242"/>
      <w:r>
        <w:rPr>
          <w:rFonts w:hint="eastAsia"/>
          <w:sz w:val="21"/>
          <w:szCs w:val="21"/>
        </w:rPr>
        <w:t xml:space="preserve">后，并以双方约定的方式将复核结果传送给基金管理人，由基金管理人依据基金合同和相关法律法规的规定对外公布。 </w:t>
      </w:r>
    </w:p>
    <w:p>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pPr>
        <w:pStyle w:val="7"/>
        <w:spacing w:before="0" w:beforeAutospacing="0" w:after="0" w:afterAutospacing="0" w:line="360" w:lineRule="auto"/>
        <w:ind w:firstLine="420"/>
        <w:rPr>
          <w:sz w:val="21"/>
          <w:szCs w:val="21"/>
        </w:rPr>
      </w:pPr>
      <w:r>
        <w:rPr>
          <w:rFonts w:hint="eastAsia"/>
          <w:sz w:val="21"/>
          <w:szCs w:val="21"/>
        </w:rPr>
        <w:t xml:space="preserve">1．估值对象 </w:t>
      </w:r>
    </w:p>
    <w:p>
      <w:pPr>
        <w:pStyle w:val="7"/>
        <w:spacing w:before="0" w:beforeAutospacing="0" w:after="0" w:afterAutospacing="0" w:line="360" w:lineRule="auto"/>
        <w:ind w:firstLine="420"/>
        <w:rPr>
          <w:sz w:val="21"/>
          <w:szCs w:val="21"/>
        </w:rPr>
      </w:pPr>
      <w:r>
        <w:rPr>
          <w:rFonts w:hint="eastAsia"/>
          <w:sz w:val="21"/>
          <w:szCs w:val="21"/>
        </w:rPr>
        <w:t xml:space="preserve">基金所拥有债券和银行存款本息、应收款项、其它投资等资产和负债。 </w:t>
      </w:r>
    </w:p>
    <w:p>
      <w:pPr>
        <w:pStyle w:val="7"/>
        <w:spacing w:before="0" w:beforeAutospacing="0" w:after="0" w:afterAutospacing="0" w:line="360" w:lineRule="auto"/>
        <w:ind w:firstLine="420"/>
        <w:rPr>
          <w:sz w:val="21"/>
          <w:szCs w:val="21"/>
        </w:rPr>
      </w:pPr>
      <w:r>
        <w:rPr>
          <w:rFonts w:hint="eastAsia"/>
          <w:sz w:val="21"/>
          <w:szCs w:val="21"/>
        </w:rPr>
        <w:t xml:space="preserve">2．估值方法 </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2）交易所上市交易或挂牌转让的固定收益品种，选取估值日第三方估值机构提供的相应品种对应的估值净价估值，具体估值机构由基金管理人与基金托管人另行协商约定；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（6）相关法律法规以及监管部门有强制规定的，从其规定。如有新增事项，按国家最新规定估值。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基金管理人、基金托管人按估值方法的第（5）项进行估值时，所造成的误差不作为基金份额净值错误处理。 </w:t>
      </w:r>
    </w:p>
    <w:p>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pPr>
        <w:pStyle w:val="7"/>
        <w:spacing w:before="0" w:beforeAutospacing="0" w:after="0" w:afterAutospacing="0" w:line="360" w:lineRule="auto"/>
        <w:ind w:firstLine="420"/>
        <w:rPr>
          <w:sz w:val="21"/>
          <w:szCs w:val="21"/>
        </w:rPr>
      </w:pPr>
      <w:r>
        <w:rPr>
          <w:rFonts w:hint="eastAsia"/>
          <w:sz w:val="21"/>
          <w:szCs w:val="21"/>
        </w:rPr>
        <w:t>1．当基金份额净值小数点后</w:t>
      </w:r>
      <w:r>
        <w:rPr>
          <w:rFonts w:hint="eastAsia"/>
          <w:sz w:val="21"/>
          <w:szCs w:val="21"/>
          <w:lang w:val="en-US" w:eastAsia="zh-CN"/>
        </w:rPr>
        <w:t>4</w:t>
      </w:r>
      <w:r>
        <w:rPr>
          <w:rFonts w:hint="eastAsia"/>
          <w:sz w:val="21"/>
          <w:szCs w:val="21"/>
        </w:rPr>
        <w:t>位以内（含第</w:t>
      </w:r>
      <w:r>
        <w:rPr>
          <w:rFonts w:hint="eastAsia"/>
          <w:sz w:val="21"/>
          <w:szCs w:val="21"/>
          <w:lang w:val="en-US" w:eastAsia="zh-CN"/>
        </w:rPr>
        <w:t>4</w:t>
      </w:r>
      <w:r>
        <w:rPr>
          <w:rFonts w:hint="eastAsia"/>
          <w:sz w:val="21"/>
          <w:szCs w:val="21"/>
        </w:rPr>
        <w:t xml:space="preserve">位）发生差错时，视为该类基金份额净值错误；当任何一类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0.50%时，基金管理人应当公告；当发生净值计算错误时，由基金管理人负责处理，由此给基金份额持有人和基金造成损失的，基金管理人有权向其他当事人追偿。 </w:t>
      </w:r>
    </w:p>
    <w:p>
      <w:pPr>
        <w:pStyle w:val="7"/>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过错程度各自承担相应的责任。 </w:t>
      </w:r>
    </w:p>
    <w:p>
      <w:pPr>
        <w:pStyle w:val="7"/>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如果由此给基金份额持有人和基金造成了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（4）由于一方提供的信息错误（包括但不限于基金申购或赎回金额等），进而导致基金份额净值计算错误而引起的基金份额持有人和基金财产的损失，由提供错误信息的当事人一方负责赔付。 </w:t>
      </w:r>
    </w:p>
    <w:p>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4．前述内容如法律法规或者监管部门另有规定的，从其规定。如果行业另有通行做法，双方当事人应本着平等和保护基金份额持有人利益的原则进行协商。 </w:t>
      </w:r>
    </w:p>
    <w:p>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3．法律法规规定、中国证监会和基金合同认定的其他情形。 </w:t>
      </w:r>
    </w:p>
    <w:p>
      <w:pPr>
        <w:pStyle w:val="7"/>
        <w:spacing w:before="0" w:beforeAutospacing="0" w:after="0" w:afterAutospacing="0" w:line="360" w:lineRule="auto"/>
        <w:ind w:firstLine="420"/>
        <w:rPr>
          <w:sz w:val="21"/>
          <w:szCs w:val="21"/>
        </w:rPr>
      </w:pPr>
      <w:r>
        <w:rPr>
          <w:rFonts w:hint="eastAsia"/>
          <w:sz w:val="21"/>
          <w:szCs w:val="21"/>
        </w:rPr>
        <w:t xml:space="preserve">（五）基金会计制度 </w:t>
      </w:r>
    </w:p>
    <w:p>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pPr>
        <w:pStyle w:val="7"/>
        <w:spacing w:before="0" w:beforeAutospacing="0" w:after="0" w:afterAutospacing="0" w:line="360" w:lineRule="auto"/>
        <w:ind w:firstLine="420"/>
        <w:rPr>
          <w:sz w:val="21"/>
          <w:szCs w:val="21"/>
        </w:rPr>
      </w:pPr>
      <w:r>
        <w:rPr>
          <w:rFonts w:hint="eastAsia"/>
          <w:sz w:val="21"/>
          <w:szCs w:val="21"/>
        </w:rPr>
        <w:t xml:space="preserve">2．报表复核 </w:t>
      </w:r>
    </w:p>
    <w:p>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pPr>
        <w:pStyle w:val="7"/>
        <w:spacing w:before="0" w:beforeAutospacing="0" w:after="0" w:afterAutospacing="0" w:line="360" w:lineRule="auto"/>
        <w:ind w:firstLine="420"/>
        <w:rPr>
          <w:sz w:val="21"/>
          <w:szCs w:val="21"/>
        </w:rPr>
      </w:pPr>
      <w:r>
        <w:rPr>
          <w:rFonts w:hint="eastAsia"/>
          <w:sz w:val="21"/>
          <w:szCs w:val="21"/>
        </w:rPr>
        <w:t xml:space="preserve">（1）报表的编制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个季度结束之日起15个工作日内完成基金季度报告的编制；在上半年结束之日起两个月内完成基金中期报告的编制；在每年结束之日起三个月内完成基金年度报告的编制。基金年度报告中的财务会计报告应当经过具有证券、期货相关业务资格的会计师事务所审计。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（2）报表的复核   </w:t>
      </w:r>
    </w:p>
    <w:p>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登记机构根据基金管理人的指令编制和保管，基金管理人和基金托管人应分别保管基金份额持有人名册，保存期不少于15年。如不能妥善保管，则按相关法规承担责任。   </w:t>
      </w:r>
    </w:p>
    <w:p>
      <w:pPr>
        <w:pStyle w:val="7"/>
        <w:spacing w:before="0" w:beforeAutospacing="0" w:after="0" w:afterAutospacing="0" w:line="360" w:lineRule="auto"/>
        <w:ind w:firstLine="420"/>
        <w:rPr>
          <w:sz w:val="21"/>
          <w:szCs w:val="21"/>
        </w:rPr>
      </w:pPr>
      <w:r>
        <w:rPr>
          <w:rFonts w:hint="eastAsia"/>
          <w:sz w:val="21"/>
          <w:szCs w:val="21"/>
        </w:rPr>
        <w:t xml:space="preserve">在基金托管人要求或《基金合同》生效日、《基金合同》终止日、基金份额持有人大会权益登记日、编制中期报告和年报前，基金管理人应将有关资料送交基金托管人，不得无故拒绝或延误提供，并保证其真实性、准确性和完整性。基金托管人不得将所保管的基金份额持有人名册用于基金托管业务以外的其他用途，并应遵守保密义务，除非法律、法规、规章另有规定，有权机关另有要求。   </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Fonts w:hint="eastAsia"/>
          <w:sz w:val="21"/>
          <w:szCs w:val="21"/>
        </w:rPr>
        <w:t xml:space="preserve">因本托管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律师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本托管协议适用于中华人民共和国法律并从其解释（为本协议之目的，在此不包括香港、澳门特别行政区和台湾地区法律）。   </w:t>
      </w:r>
    </w:p>
    <w:p>
      <w:pPr>
        <w:pStyle w:val="7"/>
        <w:spacing w:before="0" w:beforeAutospacing="0" w:after="0" w:afterAutospacing="0" w:line="360" w:lineRule="auto"/>
        <w:ind w:firstLine="420"/>
        <w:rPr>
          <w:sz w:val="21"/>
          <w:szCs w:val="21"/>
        </w:rPr>
      </w:pPr>
      <w:r>
        <w:rPr>
          <w:rStyle w:val="11"/>
          <w:rFonts w:hint="eastAsia"/>
          <w:sz w:val="21"/>
          <w:szCs w:val="21"/>
        </w:rPr>
        <w:t>八、托管协议的修改与终止</w:t>
      </w:r>
    </w:p>
    <w:p>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pPr>
        <w:pStyle w:val="7"/>
        <w:spacing w:before="0" w:beforeAutospacing="0" w:after="0" w:afterAutospacing="0" w:line="360" w:lineRule="auto"/>
        <w:ind w:firstLine="420"/>
        <w:rPr>
          <w:sz w:val="21"/>
          <w:szCs w:val="21"/>
        </w:rPr>
      </w:pPr>
      <w:r>
        <w:rPr>
          <w:rFonts w:hint="eastAsia"/>
          <w:sz w:val="21"/>
          <w:szCs w:val="21"/>
        </w:rPr>
        <w:t xml:space="preserve">本托管协议双方当事人经协商一致，可以对协议进行修改。修改后的新协议，其内容不得与基金合同的规定有任何冲突。基金托管协议的变更报中国证监会备案。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pPr>
        <w:pStyle w:val="7"/>
        <w:spacing w:before="0" w:beforeAutospacing="0" w:after="0" w:afterAutospacing="0" w:line="360" w:lineRule="auto"/>
        <w:ind w:firstLine="420"/>
        <w:rPr>
          <w:sz w:val="21"/>
          <w:szCs w:val="21"/>
        </w:rPr>
      </w:pPr>
      <w:r>
        <w:rPr>
          <w:rFonts w:hint="eastAsia"/>
          <w:sz w:val="21"/>
          <w:szCs w:val="21"/>
        </w:rPr>
        <w:t xml:space="preserve">1．基金合同终止；   </w:t>
      </w:r>
    </w:p>
    <w:p>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pPr>
        <w:pStyle w:val="7"/>
        <w:spacing w:before="0" w:beforeAutospacing="0" w:after="0" w:afterAutospacing="0" w:line="360" w:lineRule="auto"/>
        <w:ind w:firstLine="420"/>
        <w:rPr>
          <w:sz w:val="21"/>
          <w:szCs w:val="21"/>
        </w:rPr>
      </w:pPr>
      <w:r>
        <w:rPr>
          <w:rFonts w:hint="eastAsia"/>
          <w:sz w:val="21"/>
          <w:szCs w:val="21"/>
        </w:rPr>
        <w:t xml:space="preserve">4．发生法律法规、中国证监会或基金合同规定的终止事项。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1．基金财产清算小组：自出现基金合同终止事由之日起30个工作日内成立基金财产清算小组，基金财产清算小组在中国证监会的监督下进行基金清算。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（6）将基金财产清算报告报中国证监会备案并公告；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Fonts w:hint="eastAsia"/>
          <w:sz w:val="21"/>
          <w:szCs w:val="21"/>
        </w:rPr>
        <w:t xml:space="preserve">5．清算费用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6．基金财产清算剩余资产的分配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7．基金财产清算的公告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基金财产清算公告于基金财产清算报告报中国证监会备案后5个工作日内由基金财产清算小组公告；清算过程中的有关重大事项须及时公告；基金财产清算结果经具备证券、期货相关业务资格的会计师事务所审计、律师事务所出具法律意见书后，由基金财产清算小组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8．基金财产清算账册及文件的保存   </w:t>
      </w:r>
    </w:p>
    <w:p>
      <w:pPr>
        <w:pStyle w:val="7"/>
        <w:spacing w:before="0" w:beforeAutospacing="0" w:after="0" w:afterAutospacing="0" w:line="360" w:lineRule="auto"/>
        <w:ind w:firstLine="420"/>
        <w:rPr>
          <w:sz w:val="21"/>
          <w:szCs w:val="21"/>
        </w:rPr>
      </w:pPr>
      <w:bookmarkStart w:id="216" w:name="chapter_level1_23_72_section_1_end"/>
      <w:bookmarkEnd w:id="216"/>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7" w:name="chapter_level1_24_75"/>
      <w:bookmarkStart w:id="218" w:name="_Toc176199426"/>
      <w:r>
        <w:rPr>
          <w:rFonts w:hint="eastAsia" w:ascii="宋体" w:hAnsi="宋体" w:eastAsia="宋体"/>
          <w:sz w:val="30"/>
        </w:rPr>
        <w:t>第二十一部分  对基金份额持有人的服务</w:t>
      </w:r>
      <w:bookmarkEnd w:id="217"/>
      <w:bookmarkEnd w:id="218"/>
    </w:p>
    <w:p>
      <w:pPr>
        <w:pStyle w:val="7"/>
        <w:spacing w:before="0" w:beforeAutospacing="0" w:after="0" w:afterAutospacing="0" w:line="360" w:lineRule="auto"/>
        <w:ind w:firstLine="420"/>
        <w:rPr>
          <w:sz w:val="21"/>
          <w:szCs w:val="21"/>
        </w:rPr>
      </w:pPr>
      <w:bookmarkStart w:id="219" w:name="chapter_level1_24_75_section_1"/>
      <w:bookmarkEnd w:id="219"/>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20" w:name="chapter_level1_24_75_section_1_end"/>
      <w:bookmarkEnd w:id="220"/>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1" w:name="chapter_level1_25_3499"/>
      <w:bookmarkStart w:id="222" w:name="_Toc176199427"/>
      <w:r>
        <w:rPr>
          <w:rFonts w:hint="eastAsia" w:ascii="宋体" w:hAnsi="宋体" w:eastAsia="宋体"/>
          <w:sz w:val="30"/>
        </w:rPr>
        <w:t>第二十二部分 其他应披露的事项</w:t>
      </w:r>
      <w:bookmarkEnd w:id="221"/>
      <w:bookmarkEnd w:id="222"/>
    </w:p>
    <w:p>
      <w:pPr>
        <w:pStyle w:val="7"/>
        <w:spacing w:before="0" w:beforeAutospacing="0" w:after="0" w:afterAutospacing="0" w:line="360" w:lineRule="auto"/>
        <w:ind w:firstLine="420"/>
        <w:rPr>
          <w:sz w:val="21"/>
          <w:szCs w:val="21"/>
        </w:rPr>
      </w:pPr>
      <w:bookmarkStart w:id="223" w:name="chapter_level1_25_3499_section_1"/>
      <w:bookmarkEnd w:id="223"/>
      <w:bookmarkStart w:id="224" w:name="field_0_bsrevealinfo_1_start"/>
      <w:bookmarkEnd w:id="224"/>
      <w:r>
        <w:rPr>
          <w:rFonts w:hint="eastAsia"/>
          <w:sz w:val="21"/>
          <w:szCs w:val="21"/>
        </w:rPr>
        <w:t>（一）、2024年8月30日，我公司公告了《博时裕盛纯债债券型证券投资基金2024年中期报告》；</w:t>
      </w:r>
    </w:p>
    <w:p>
      <w:pPr>
        <w:pStyle w:val="7"/>
        <w:spacing w:before="0" w:beforeAutospacing="0" w:after="0" w:afterAutospacing="0" w:line="360" w:lineRule="auto"/>
        <w:ind w:firstLine="420"/>
        <w:rPr>
          <w:sz w:val="21"/>
          <w:szCs w:val="21"/>
        </w:rPr>
      </w:pPr>
      <w:r>
        <w:rPr>
          <w:rFonts w:hint="eastAsia"/>
          <w:sz w:val="21"/>
          <w:szCs w:val="21"/>
        </w:rPr>
        <w:t>（二）、2024年8月24日，我公司公告了《博时裕盛纯债债券型证券投资基金分红公告》；</w:t>
      </w:r>
    </w:p>
    <w:p>
      <w:pPr>
        <w:pStyle w:val="7"/>
        <w:spacing w:before="0" w:beforeAutospacing="0" w:after="0" w:afterAutospacing="0" w:line="360" w:lineRule="auto"/>
        <w:ind w:firstLine="420"/>
        <w:rPr>
          <w:sz w:val="21"/>
          <w:szCs w:val="21"/>
        </w:rPr>
      </w:pPr>
      <w:r>
        <w:rPr>
          <w:rFonts w:hint="eastAsia"/>
          <w:sz w:val="21"/>
          <w:szCs w:val="21"/>
        </w:rPr>
        <w:t>（三）、2024年8月23日，我公司公告了《博时基金管理有限公司关于终止中民财富基金销售（上海）有限公司办理旗下基金销售业务的公告》；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（四）、2024年8月22日，我公司公告了《博时基金管理有限公司旗下基金在兴业银行钱大掌柜开展费率优惠活动的公告》；</w:t>
      </w:r>
    </w:p>
    <w:p>
      <w:pPr>
        <w:pStyle w:val="7"/>
        <w:spacing w:before="0" w:beforeAutospacing="0" w:after="0" w:afterAutospacing="0" w:line="360" w:lineRule="auto"/>
        <w:ind w:firstLine="420"/>
        <w:rPr>
          <w:sz w:val="21"/>
          <w:szCs w:val="21"/>
        </w:rPr>
      </w:pPr>
      <w:r>
        <w:rPr>
          <w:rFonts w:hint="eastAsia"/>
          <w:sz w:val="21"/>
          <w:szCs w:val="21"/>
        </w:rPr>
        <w:t>（五）、2024年8月17日，我公司公告了《博时基金管理有限公司关于直销网上交易平台基金转换等业务费率优惠的公告》；</w:t>
      </w:r>
    </w:p>
    <w:p>
      <w:pPr>
        <w:pStyle w:val="7"/>
        <w:spacing w:before="0" w:beforeAutospacing="0" w:after="0" w:afterAutospacing="0" w:line="360" w:lineRule="auto"/>
        <w:ind w:firstLine="420"/>
        <w:rPr>
          <w:sz w:val="21"/>
          <w:szCs w:val="21"/>
        </w:rPr>
      </w:pPr>
      <w:r>
        <w:rPr>
          <w:rFonts w:hint="eastAsia"/>
          <w:sz w:val="21"/>
          <w:szCs w:val="21"/>
        </w:rPr>
        <w:t>（六）、2024年7月20日，我公司公告了《博时基金管理有限公司关于暂停使用民生银行基金代收付服务办理直销网上交易部分业务的公告》；</w:t>
      </w:r>
    </w:p>
    <w:p>
      <w:pPr>
        <w:pStyle w:val="7"/>
        <w:spacing w:before="0" w:beforeAutospacing="0" w:after="0" w:afterAutospacing="0" w:line="360" w:lineRule="auto"/>
        <w:ind w:firstLine="420"/>
        <w:rPr>
          <w:sz w:val="21"/>
          <w:szCs w:val="21"/>
        </w:rPr>
      </w:pPr>
      <w:r>
        <w:rPr>
          <w:rFonts w:hint="eastAsia"/>
          <w:sz w:val="21"/>
          <w:szCs w:val="21"/>
        </w:rPr>
        <w:t>（七）、2024年7月19日，我公司公告了《博时裕盛纯债债券型证券投资基金2024年第2季度报告》；</w:t>
      </w:r>
    </w:p>
    <w:p>
      <w:pPr>
        <w:pStyle w:val="7"/>
        <w:spacing w:before="0" w:beforeAutospacing="0" w:after="0" w:afterAutospacing="0" w:line="360" w:lineRule="auto"/>
        <w:ind w:firstLine="420"/>
        <w:rPr>
          <w:sz w:val="21"/>
          <w:szCs w:val="21"/>
        </w:rPr>
      </w:pPr>
      <w:r>
        <w:rPr>
          <w:rFonts w:hint="eastAsia"/>
          <w:sz w:val="21"/>
          <w:szCs w:val="21"/>
        </w:rPr>
        <w:t>（八）、2024年6月26日，我公司公告了《博时裕盛纯债债券型证券投资基金基金产品资料概要更新》；</w:t>
      </w:r>
    </w:p>
    <w:p>
      <w:pPr>
        <w:pStyle w:val="7"/>
        <w:spacing w:before="0" w:beforeAutospacing="0" w:after="0" w:afterAutospacing="0" w:line="360" w:lineRule="auto"/>
        <w:ind w:firstLine="420"/>
        <w:rPr>
          <w:sz w:val="21"/>
          <w:szCs w:val="21"/>
        </w:rPr>
      </w:pPr>
      <w:r>
        <w:rPr>
          <w:rFonts w:hint="eastAsia"/>
          <w:sz w:val="21"/>
          <w:szCs w:val="21"/>
        </w:rPr>
        <w:t>（九）、2024年5月25日，我公司公告了《博时基金管理有限公司关于高级管理人员变更的公告》；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（十）、2024年5月15日，我公司公告了《博时基金管理有限公司关于终止北京中期时代基金销售有限公司办理旗下基金销售业务的公告》；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一）、2024年4月29日，我公司公告了《博时基金管理有限公司关于与通联支付网络服务股份有限公司合作开通北京银行借记卡直销网上交易和费率优惠的公告》、《博时基金管理有限公司关于与上海富友支付服务有限公司合作开通上海银行借记卡直销网上交易和费率优惠的公告》；</w:t>
      </w:r>
    </w:p>
    <w:p>
      <w:pPr>
        <w:pStyle w:val="7"/>
        <w:spacing w:before="0" w:beforeAutospacing="0" w:after="0" w:afterAutospacing="0" w:line="360" w:lineRule="auto"/>
        <w:ind w:firstLine="420"/>
        <w:rPr>
          <w:sz w:val="21"/>
          <w:szCs w:val="21"/>
        </w:rPr>
      </w:pPr>
      <w:r>
        <w:rPr>
          <w:rFonts w:hint="eastAsia"/>
          <w:sz w:val="21"/>
          <w:szCs w:val="21"/>
        </w:rPr>
        <w:t>（十二）、2024年4月22日，我公司公告了《博时裕盛纯债债券型证券投资基金2024年第1季度报告》；</w:t>
      </w:r>
    </w:p>
    <w:p>
      <w:pPr>
        <w:pStyle w:val="7"/>
        <w:spacing w:before="0" w:beforeAutospacing="0" w:after="0" w:afterAutospacing="0" w:line="360" w:lineRule="auto"/>
        <w:ind w:firstLine="420"/>
        <w:rPr>
          <w:sz w:val="21"/>
          <w:szCs w:val="21"/>
        </w:rPr>
      </w:pPr>
      <w:r>
        <w:rPr>
          <w:rFonts w:hint="eastAsia"/>
          <w:sz w:val="21"/>
          <w:szCs w:val="21"/>
        </w:rPr>
        <w:t>（十三）、2024年4月13日，我公司公告了《博时基金管理有限公司关于高级管理人员变更的公告》；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（十四）、2024年3月29日，我公司公告了《博时裕盛纯债债券型证券投资基金2023年年度报告》；</w:t>
      </w:r>
    </w:p>
    <w:p>
      <w:pPr>
        <w:pStyle w:val="7"/>
        <w:spacing w:before="0" w:beforeAutospacing="0" w:after="0" w:afterAutospacing="0" w:line="360" w:lineRule="auto"/>
        <w:ind w:firstLine="420"/>
        <w:rPr>
          <w:sz w:val="21"/>
          <w:szCs w:val="21"/>
        </w:rPr>
      </w:pPr>
      <w:r>
        <w:rPr>
          <w:rFonts w:hint="eastAsia"/>
          <w:sz w:val="21"/>
          <w:szCs w:val="21"/>
        </w:rPr>
        <w:t>（十五）、2024年3月23日，我公司公告了《博时裕盛纯债债券型证券投资基金分红公告》；</w:t>
      </w:r>
    </w:p>
    <w:p>
      <w:pPr>
        <w:pStyle w:val="7"/>
        <w:spacing w:before="0" w:beforeAutospacing="0" w:after="0" w:afterAutospacing="0" w:line="360" w:lineRule="auto"/>
        <w:ind w:firstLine="420"/>
        <w:rPr>
          <w:sz w:val="21"/>
          <w:szCs w:val="21"/>
        </w:rPr>
      </w:pPr>
      <w:r>
        <w:rPr>
          <w:rFonts w:hint="eastAsia"/>
          <w:sz w:val="21"/>
          <w:szCs w:val="21"/>
        </w:rPr>
        <w:t>（十六）、2024年1月22日，我公司公告了《博时裕盛纯债债券型证券投资基金2023年第4季度报告》；</w:t>
      </w:r>
    </w:p>
    <w:p>
      <w:pPr>
        <w:pStyle w:val="7"/>
        <w:spacing w:before="0" w:beforeAutospacing="0" w:after="0" w:afterAutospacing="0" w:line="360" w:lineRule="auto"/>
        <w:ind w:firstLine="420"/>
        <w:rPr>
          <w:sz w:val="21"/>
          <w:szCs w:val="21"/>
        </w:rPr>
      </w:pPr>
      <w:r>
        <w:rPr>
          <w:rFonts w:hint="eastAsia"/>
          <w:sz w:val="21"/>
          <w:szCs w:val="21"/>
        </w:rPr>
        <w:t>（十七）、2023年11月22日，我公司公告了《博时基金管理有限公司关于与上海富友支付服务有限公司合作开通平安银行借记卡直销网上交易和费率优惠的公告》、《博时基金管理有限公司关于暂停使用平安银行直联快捷支付服务办理直销网上交易部分业务的公告》；</w:t>
      </w:r>
    </w:p>
    <w:p>
      <w:pPr>
        <w:pStyle w:val="7"/>
        <w:spacing w:before="0" w:beforeAutospacing="0" w:after="0" w:afterAutospacing="0" w:line="360" w:lineRule="auto"/>
        <w:ind w:firstLine="420"/>
        <w:rPr>
          <w:sz w:val="21"/>
          <w:szCs w:val="21"/>
        </w:rPr>
      </w:pPr>
      <w:r>
        <w:rPr>
          <w:rFonts w:hint="eastAsia"/>
          <w:sz w:val="21"/>
          <w:szCs w:val="21"/>
        </w:rPr>
        <w:t>（十八）、2023年11月11日，我公司公告了《博时基金管理有限公司关于高级管理人员变更的公告》；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（十九）、2023年10月25日，我公司公告了《博时裕盛纯债债券型证券投资基金2023年第3季度报告》；</w:t>
      </w:r>
    </w:p>
    <w:p>
      <w:pPr>
        <w:pStyle w:val="7"/>
        <w:spacing w:before="0" w:beforeAutospacing="0" w:after="0" w:afterAutospacing="0" w:line="360" w:lineRule="auto"/>
        <w:ind w:firstLine="420"/>
        <w:rPr>
          <w:sz w:val="21"/>
          <w:szCs w:val="21"/>
        </w:rPr>
      </w:pPr>
      <w:r>
        <w:rPr>
          <w:rFonts w:hint="eastAsia"/>
          <w:sz w:val="21"/>
          <w:szCs w:val="21"/>
        </w:rPr>
        <w:t>（二十）、2023年9月28日，我公司公告了《博时裕盛纯债债券型证券投资基金更新</w:t>
      </w:r>
      <w:bookmarkStart w:id="225" w:name="chapter_level1_25_3499_section_1_end"/>
      <w:bookmarkEnd w:id="225"/>
      <w:r>
        <w:rPr>
          <w:rFonts w:hint="eastAsia"/>
          <w:sz w:val="21"/>
          <w:szCs w:val="21"/>
        </w:rPr>
        <w:t>招募说明书》。</w:t>
      </w:r>
      <w:bookmarkStart w:id="226" w:name="field_0_bsrevealinfo_1_end"/>
      <w:bookmarkEnd w:id="226"/>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7" w:name="chapter_level1_26_77"/>
      <w:bookmarkStart w:id="228" w:name="_Toc176199428"/>
      <w:r>
        <w:rPr>
          <w:rFonts w:hint="eastAsia" w:ascii="宋体" w:hAnsi="宋体" w:eastAsia="宋体"/>
          <w:sz w:val="30"/>
        </w:rPr>
        <w:t>第二十三部分  招募说明书存放及查阅方式</w:t>
      </w:r>
      <w:bookmarkEnd w:id="227"/>
      <w:bookmarkEnd w:id="228"/>
    </w:p>
    <w:p>
      <w:pPr>
        <w:pStyle w:val="7"/>
        <w:spacing w:before="0" w:beforeAutospacing="0" w:after="0" w:afterAutospacing="0" w:line="360" w:lineRule="auto"/>
        <w:ind w:firstLine="420"/>
        <w:rPr>
          <w:sz w:val="21"/>
          <w:szCs w:val="21"/>
        </w:rPr>
      </w:pPr>
      <w:bookmarkStart w:id="229" w:name="chapter_level1_26_77_section_1"/>
      <w:bookmarkEnd w:id="229"/>
      <w:r>
        <w:rPr>
          <w:rFonts w:hint="eastAsia"/>
          <w:sz w:val="21"/>
          <w:szCs w:val="21"/>
        </w:rPr>
        <w:t xml:space="preserve">依法必须披露的信息发布后，基金管理人、基金托管人应当按照相关法律法规规定将信息置备于各自住所， 供社会公众查阅、复制；投资人在支付工本费后，可在合理时间内取得上述文件复制件或复印件。对投资人按此种方式所获得的文件及其复印件，基金管理人保证文本的内容与所公告的内容完全一致。   </w:t>
      </w:r>
    </w:p>
    <w:p>
      <w:pPr>
        <w:pStyle w:val="7"/>
        <w:spacing w:before="0" w:beforeAutospacing="0" w:after="0" w:afterAutospacing="0" w:line="360" w:lineRule="auto"/>
        <w:ind w:firstLine="420"/>
        <w:rPr>
          <w:sz w:val="21"/>
          <w:szCs w:val="21"/>
        </w:rPr>
      </w:pPr>
      <w:bookmarkStart w:id="230" w:name="chapter_level1_26_77_section_1_end"/>
      <w:bookmarkEnd w:id="230"/>
      <w:r>
        <w:rPr>
          <w:rFonts w:hint="eastAsia"/>
          <w:sz w:val="21"/>
          <w:szCs w:val="21"/>
        </w:rPr>
        <w:t xml:space="preserve">投资人还可以直接登录基金管理人的网站（www.bosera.com）查阅和下载招募说明书。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31" w:name="_Toc176199429"/>
      <w:bookmarkStart w:id="232" w:name="chapter_level1_27_332"/>
      <w:r>
        <w:rPr>
          <w:rFonts w:hint="eastAsia" w:ascii="宋体" w:hAnsi="宋体" w:eastAsia="宋体"/>
          <w:sz w:val="30"/>
        </w:rPr>
        <w:t>第二十四部分  备查文件</w:t>
      </w:r>
      <w:bookmarkEnd w:id="231"/>
      <w:bookmarkEnd w:id="232"/>
    </w:p>
    <w:p>
      <w:pPr>
        <w:pStyle w:val="7"/>
        <w:spacing w:before="0" w:beforeAutospacing="0" w:after="0" w:afterAutospacing="0" w:line="360" w:lineRule="auto"/>
        <w:ind w:firstLine="420"/>
        <w:rPr>
          <w:sz w:val="21"/>
          <w:szCs w:val="21"/>
        </w:rPr>
      </w:pPr>
      <w:bookmarkStart w:id="233" w:name="chapter_level1_27_332_section_1"/>
      <w:bookmarkEnd w:id="233"/>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34" w:name="field_0_productfullname_13"/>
      <w:r>
        <w:rPr>
          <w:rFonts w:hint="eastAsia"/>
          <w:sz w:val="21"/>
          <w:szCs w:val="21"/>
        </w:rPr>
        <w:t>博时裕盛纯债债券型证券投资基金</w:t>
      </w:r>
      <w:bookmarkEnd w:id="234"/>
      <w:r>
        <w:rPr>
          <w:rFonts w:hint="eastAsia"/>
          <w:sz w:val="21"/>
          <w:szCs w:val="21"/>
        </w:rPr>
        <w:t xml:space="preserve">募集的文件 </w:t>
      </w:r>
    </w:p>
    <w:p>
      <w:pPr>
        <w:pStyle w:val="7"/>
        <w:spacing w:before="0" w:beforeAutospacing="0" w:after="0" w:afterAutospacing="0" w:line="360" w:lineRule="auto"/>
        <w:ind w:firstLine="420"/>
        <w:rPr>
          <w:sz w:val="21"/>
          <w:szCs w:val="21"/>
        </w:rPr>
      </w:pPr>
      <w:r>
        <w:rPr>
          <w:rFonts w:hint="eastAsia"/>
          <w:sz w:val="21"/>
          <w:szCs w:val="21"/>
        </w:rPr>
        <w:t>（二）《</w:t>
      </w:r>
      <w:bookmarkStart w:id="235" w:name="field_0_productfullname_14"/>
      <w:r>
        <w:rPr>
          <w:rFonts w:hint="eastAsia"/>
          <w:sz w:val="21"/>
          <w:szCs w:val="21"/>
        </w:rPr>
        <w:t>博时裕盛纯债债券型证券投资基金</w:t>
      </w:r>
      <w:bookmarkEnd w:id="235"/>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36" w:name="field_0_productfullname_15"/>
      <w:r>
        <w:rPr>
          <w:rFonts w:hint="eastAsia"/>
          <w:sz w:val="21"/>
          <w:szCs w:val="21"/>
        </w:rPr>
        <w:t>博时裕盛纯债债券型证券投资基金</w:t>
      </w:r>
      <w:bookmarkEnd w:id="236"/>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（六）关于申请募集注册</w:t>
      </w:r>
      <w:bookmarkStart w:id="237" w:name="field_0_productfullname_16"/>
      <w:r>
        <w:rPr>
          <w:rFonts w:hint="eastAsia"/>
          <w:sz w:val="21"/>
          <w:szCs w:val="21"/>
        </w:rPr>
        <w:t>博时裕盛纯债债券型证券投资基金</w:t>
      </w:r>
      <w:bookmarkEnd w:id="237"/>
      <w:r>
        <w:rPr>
          <w:rFonts w:hint="eastAsia"/>
          <w:sz w:val="21"/>
          <w:szCs w:val="21"/>
        </w:rPr>
        <w:t xml:space="preserve">之法律意见书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38" w:name="field_0_managerorgfullname_12"/>
      <w:r>
        <w:rPr>
          <w:rFonts w:hint="eastAsia"/>
          <w:sz w:val="21"/>
          <w:szCs w:val="21"/>
        </w:rPr>
        <w:t>博时基金管理有限公司</w:t>
      </w:r>
      <w:bookmarkEnd w:id="238"/>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39" w:name="chapter_level1_27_332_section_1_end"/>
      <w:bookmarkEnd w:id="239"/>
      <w:bookmarkStart w:id="240" w:name="field_0_commitmenttime_1"/>
      <w:r>
        <w:rPr>
          <w:sz w:val="21"/>
          <w:szCs w:val="21"/>
        </w:rPr>
        <w:t>2024年</w:t>
      </w:r>
      <w:r>
        <w:rPr>
          <w:rFonts w:hint="eastAsia"/>
          <w:sz w:val="21"/>
          <w:szCs w:val="21"/>
          <w:lang w:val="en-US" w:eastAsia="zh-CN"/>
        </w:rPr>
        <w:t>10</w:t>
      </w:r>
      <w:r>
        <w:rPr>
          <w:sz w:val="21"/>
          <w:szCs w:val="21"/>
        </w:rPr>
        <w:t>月</w:t>
      </w:r>
      <w:r>
        <w:rPr>
          <w:rFonts w:hint="eastAsia"/>
          <w:sz w:val="21"/>
          <w:szCs w:val="21"/>
          <w:lang w:val="en-US" w:eastAsia="zh-CN"/>
        </w:rPr>
        <w:t>10</w:t>
      </w:r>
      <w:r>
        <w:rPr>
          <w:sz w:val="21"/>
          <w:szCs w:val="21"/>
        </w:rPr>
        <w:t>日</w:t>
      </w:r>
      <w:bookmarkEnd w:id="240"/>
      <w:r>
        <w:rPr>
          <w:rFonts w:hint="eastAsia"/>
          <w:sz w:val="21"/>
          <w:szCs w:val="21"/>
        </w:rPr>
        <w:t xml:space="preserve">  </w:t>
      </w:r>
    </w:p>
    <w:p>
      <w:pPr>
        <w:rPr>
          <w:rFonts w:ascii="宋体" w:hAnsi="宋体" w:eastAsia="宋体"/>
        </w:rPr>
      </w:pPr>
      <w:bookmarkStart w:id="241" w:name="end"/>
      <w:bookmarkEnd w:id="241"/>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5</w:t>
    </w:r>
    <w:r>
      <w:fldChar w:fldCharType="end"/>
    </w:r>
    <w:r>
      <w:rPr>
        <w:rFonts w:hint="eastAsia"/>
      </w:rPr>
      <w:t>页 共</w:t>
    </w:r>
    <w:r>
      <w:fldChar w:fldCharType="begin"/>
    </w:r>
    <w:r>
      <w:instrText xml:space="preserve"> NumPages \* MERGEFORMAT </w:instrText>
    </w:r>
    <w:r>
      <w:fldChar w:fldCharType="separate"/>
    </w:r>
    <w:r>
      <w:t>119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博时裕盛纯债债券型证券投资基金更新招募说明书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65B875"/>
    <w:multiLevelType w:val="singleLevel"/>
    <w:tmpl w:val="FF65B875"/>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BD8"/>
    <w:rsid w:val="0011703E"/>
    <w:rsid w:val="0047297F"/>
    <w:rsid w:val="004F7BD8"/>
    <w:rsid w:val="005C61A2"/>
    <w:rsid w:val="00784357"/>
    <w:rsid w:val="007B4DDA"/>
    <w:rsid w:val="00855F52"/>
    <w:rsid w:val="00B700AA"/>
    <w:rsid w:val="00D816A7"/>
    <w:rsid w:val="19A50D53"/>
    <w:rsid w:val="1DDF068E"/>
    <w:rsid w:val="230E380E"/>
    <w:rsid w:val="2E9B7C83"/>
    <w:rsid w:val="349921D7"/>
    <w:rsid w:val="46202199"/>
    <w:rsid w:val="4A8A42D6"/>
    <w:rsid w:val="57455939"/>
    <w:rsid w:val="57AC65E2"/>
    <w:rsid w:val="57AD4064"/>
    <w:rsid w:val="5DA85633"/>
    <w:rsid w:val="723B5267"/>
    <w:rsid w:val="76184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字符"/>
    <w:basedOn w:val="10"/>
    <w:link w:val="2"/>
    <w:uiPriority w:val="9"/>
    <w:rPr>
      <w:rFonts w:asciiTheme="majorHAnsi" w:hAnsiTheme="majorHAnsi" w:eastAsiaTheme="majorEastAsia" w:cstheme="majorBidi"/>
      <w:b/>
      <w:bCs/>
      <w:sz w:val="32"/>
      <w:szCs w:val="32"/>
    </w:rPr>
  </w:style>
  <w:style w:type="character" w:customStyle="1" w:styleId="14">
    <w:name w:val="页眉 字符"/>
    <w:basedOn w:val="10"/>
    <w:link w:val="5"/>
    <w:qFormat/>
    <w:uiPriority w:val="99"/>
    <w:rPr>
      <w:sz w:val="18"/>
      <w:szCs w:val="18"/>
    </w:rPr>
  </w:style>
  <w:style w:type="character" w:customStyle="1" w:styleId="15">
    <w:name w:val="页脚 字符"/>
    <w:basedOn w:val="10"/>
    <w:link w:val="4"/>
    <w:qFormat/>
    <w:uiPriority w:val="99"/>
    <w:rPr>
      <w:sz w:val="18"/>
      <w:szCs w:val="18"/>
    </w:rPr>
  </w:style>
  <w:style w:type="character" w:customStyle="1" w:styleId="16">
    <w:name w:val="批注框文本 字符"/>
    <w:basedOn w:val="10"/>
    <w:link w:val="3"/>
    <w:semiHidden/>
    <w:qFormat/>
    <w:uiPriority w:val="99"/>
    <w:rPr>
      <w:sz w:val="18"/>
      <w:szCs w:val="18"/>
    </w:rPr>
  </w:style>
  <w:style w:type="paragraph" w:customStyle="1" w:styleId="17">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120</Pages>
  <Words>13687</Words>
  <Characters>78017</Characters>
  <Lines>650</Lines>
  <Paragraphs>183</Paragraphs>
  <TotalTime>209</TotalTime>
  <ScaleCrop>false</ScaleCrop>
  <LinksUpToDate>false</LinksUpToDate>
  <CharactersWithSpaces>91521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2024-09-02T11:56:00Z</dcterms:created>
  <dc:creator>BSKMadminDev</dc:creator>
  <cp:lastModifiedBy>fuxj</cp:lastModifiedBy>
  <dcterms:modified xsi:type="dcterms:W3CDTF">2024-10-09T05:46:52Z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99AD69B9BE9D440A81379D1806FC1F18</vt:lpwstr>
  </property>
</Properties>
</file>