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381884"/>
    <w:p w14:paraId="2650F721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关于博时富业纯债3个月定期开放债券型发起式证券投资基金基金合同终止的公告</w:t>
      </w:r>
    </w:p>
    <w:p w14:paraId="6076FF2A">
      <w:pPr>
        <w:jc w:val="center"/>
        <w:rPr>
          <w:rFonts w:ascii="宋体" w:hAnsi="宋体" w:eastAsia="宋体"/>
          <w:b/>
          <w:sz w:val="24"/>
        </w:rPr>
      </w:pPr>
    </w:p>
    <w:p w14:paraId="77090F2F">
      <w:pPr>
        <w:pStyle w:val="3"/>
        <w:spacing w:before="0" w:beforeAutospacing="0" w:after="0" w:afterAutospacing="0" w:line="360" w:lineRule="auto"/>
        <w:ind w:firstLine="420"/>
        <w:rPr>
          <w:rFonts w:hint="eastAsia"/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根据《中华人民共和国证券投资基金法》、《公开募集证券投资基金运作管理办法》、《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博时富业纯债3个月定期开放债券型发起式证券投资基金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基金合同》的有关规定，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博时富业纯债3个月定期开放债券型发起式证券投资基金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（以下简称“本基金”）出现了基金合同终止事由。本基金管理人博时基金管理有限公司（以下简称“本公司”）已依法对基金财产进行清算。现将相关事项公告如下： </w:t>
      </w:r>
    </w:p>
    <w:p w14:paraId="452D4CE2">
      <w:pPr>
        <w:pStyle w:val="2"/>
        <w:rPr>
          <w:rFonts w:hint="eastAsia"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一、本基金基本信息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5888A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67672CCF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基金名称</w:t>
            </w:r>
          </w:p>
        </w:tc>
        <w:tc>
          <w:tcPr>
            <w:tcW w:w="4261" w:type="dxa"/>
            <w:vAlign w:val="center"/>
          </w:tcPr>
          <w:p w14:paraId="5ED167A7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博时富业纯债</w:t>
            </w:r>
            <w:r>
              <w:rPr>
                <w:rFonts w:ascii="宋体" w:hAnsi="宋体" w:eastAsia="宋体"/>
              </w:rPr>
              <w:t>3个月定期开放债券型发起式证券投资基金</w:t>
            </w:r>
          </w:p>
        </w:tc>
      </w:tr>
      <w:tr w14:paraId="66886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755A31BB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基金简称</w:t>
            </w:r>
          </w:p>
        </w:tc>
        <w:tc>
          <w:tcPr>
            <w:tcW w:w="4261" w:type="dxa"/>
            <w:vAlign w:val="center"/>
          </w:tcPr>
          <w:p w14:paraId="0F86D84A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博时富业</w:t>
            </w:r>
            <w:r>
              <w:rPr>
                <w:rFonts w:ascii="宋体" w:hAnsi="宋体" w:eastAsia="宋体"/>
              </w:rPr>
              <w:t>3个月定开债发起式</w:t>
            </w:r>
          </w:p>
        </w:tc>
      </w:tr>
      <w:tr w14:paraId="21DEC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0487773C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基金主代码</w:t>
            </w:r>
          </w:p>
        </w:tc>
        <w:tc>
          <w:tcPr>
            <w:tcW w:w="4261" w:type="dxa"/>
            <w:vAlign w:val="center"/>
          </w:tcPr>
          <w:p w14:paraId="0017AF3A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005462</w:t>
            </w:r>
          </w:p>
        </w:tc>
      </w:tr>
      <w:tr w14:paraId="4DE5B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033ADB09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基金运作方式</w:t>
            </w:r>
          </w:p>
        </w:tc>
        <w:tc>
          <w:tcPr>
            <w:tcW w:w="4261" w:type="dxa"/>
            <w:vAlign w:val="center"/>
          </w:tcPr>
          <w:p w14:paraId="47BCED0F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契约型定期开放式</w:t>
            </w:r>
          </w:p>
        </w:tc>
      </w:tr>
      <w:tr w14:paraId="7B12C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5C37DA5C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基金合同生效日</w:t>
            </w:r>
          </w:p>
        </w:tc>
        <w:tc>
          <w:tcPr>
            <w:tcW w:w="4261" w:type="dxa"/>
            <w:vAlign w:val="center"/>
          </w:tcPr>
          <w:p w14:paraId="3FF8516D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2018年7月2日</w:t>
            </w:r>
          </w:p>
        </w:tc>
      </w:tr>
      <w:tr w14:paraId="1822A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725EACEE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基金管理人名称</w:t>
            </w:r>
          </w:p>
        </w:tc>
        <w:tc>
          <w:tcPr>
            <w:tcW w:w="4261" w:type="dxa"/>
            <w:vAlign w:val="center"/>
          </w:tcPr>
          <w:p w14:paraId="52E10F7C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博时基金管理有限公司</w:t>
            </w:r>
          </w:p>
        </w:tc>
      </w:tr>
      <w:tr w14:paraId="0F1CA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25FA7241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基金托管人名称</w:t>
            </w:r>
          </w:p>
        </w:tc>
        <w:tc>
          <w:tcPr>
            <w:tcW w:w="4261" w:type="dxa"/>
            <w:vAlign w:val="center"/>
          </w:tcPr>
          <w:p w14:paraId="38541E66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兴业银行股份有限公司</w:t>
            </w:r>
          </w:p>
        </w:tc>
      </w:tr>
      <w:tr w14:paraId="64B8D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44F6D0B4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基金注册登记机构名称</w:t>
            </w:r>
          </w:p>
        </w:tc>
        <w:tc>
          <w:tcPr>
            <w:tcW w:w="4261" w:type="dxa"/>
            <w:vAlign w:val="center"/>
          </w:tcPr>
          <w:p w14:paraId="03F34C24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博时基金管理有限公司</w:t>
            </w:r>
          </w:p>
        </w:tc>
      </w:tr>
      <w:tr w14:paraId="5A917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7A7C6CD8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公告依据</w:t>
            </w:r>
          </w:p>
        </w:tc>
        <w:tc>
          <w:tcPr>
            <w:tcW w:w="4261" w:type="dxa"/>
            <w:vAlign w:val="center"/>
          </w:tcPr>
          <w:p w14:paraId="248F9E67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《中华人民共和国证券投资基金法》、《公开募集证券投资基金运作管理办法》等法律法规以及《博时富业纯债</w:t>
            </w:r>
            <w:r>
              <w:rPr>
                <w:rFonts w:ascii="宋体" w:hAnsi="宋体" w:eastAsia="宋体"/>
              </w:rPr>
              <w:t>3个月定期开放债券型发起式证券投资基金基金合同》、《博时富业纯债3个月定期开放债券型发起式证券投资基金招募说明书》等</w:t>
            </w:r>
          </w:p>
        </w:tc>
      </w:tr>
    </w:tbl>
    <w:p w14:paraId="06CFF19C"/>
    <w:p w14:paraId="7EDBB21E">
      <w:pPr>
        <w:pStyle w:val="2"/>
        <w:rPr>
          <w:rFonts w:hint="eastAsia"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二、本基金合同的终止时间</w:t>
      </w:r>
    </w:p>
    <w:p w14:paraId="4358BEAF">
      <w:pPr>
        <w:pStyle w:val="3"/>
        <w:spacing w:before="0" w:beforeAutospacing="0" w:after="0" w:afterAutospacing="0" w:line="360" w:lineRule="auto"/>
        <w:ind w:firstLine="420"/>
        <w:rPr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本基金出现了《基金合同》终止事由后，本公司组织本基金托管人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兴业银行股份有限公司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、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容诚会计师事务所(特殊普通合伙)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和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上海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  <w:lang w:val="en-US" w:eastAsia="zh-CN"/>
        </w:rPr>
        <w:t>源泰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律师事务所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成立基金财产清算小组，对基金财产进行了清算。 </w:t>
      </w:r>
    </w:p>
    <w:p w14:paraId="4EB258B4">
      <w:pPr>
        <w:pStyle w:val="3"/>
        <w:spacing w:before="0" w:beforeAutospacing="0" w:after="0" w:afterAutospacing="0" w:line="360" w:lineRule="auto"/>
        <w:ind w:firstLine="420"/>
        <w:rPr>
          <w:rFonts w:hint="eastAsia"/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根据《中华人民共和国证券投资基金法》、《公开募集证券投资基金运作管理办法》、《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博时富业纯债3个月定期开放债券型发起式证券投资基金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基金合同》的有关规定及本公司于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2026年7月8日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发布的《博时基金管理有限公司关于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博时富业纯债3个月定期开放债券型发起式证券投资基金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基金份额持有人大会表决结果暨决议生效的公告》，《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博时富业纯债3个月定期开放债券型发起式证券投资基金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基金合同》自本公告发布之日起终止。 </w:t>
      </w:r>
    </w:p>
    <w:p w14:paraId="013278C7">
      <w:pPr>
        <w:pStyle w:val="2"/>
        <w:rPr>
          <w:rFonts w:hint="eastAsia"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三、备查文件</w:t>
      </w:r>
    </w:p>
    <w:p w14:paraId="31CA2915">
      <w:pPr>
        <w:pStyle w:val="3"/>
        <w:spacing w:before="0" w:beforeAutospacing="0" w:after="0" w:afterAutospacing="0" w:line="360" w:lineRule="auto"/>
        <w:ind w:firstLine="420"/>
        <w:rPr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1、《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博时富业纯债3个月定期开放债券型发起式证券投资基金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基金合同》 </w:t>
      </w:r>
    </w:p>
    <w:p w14:paraId="083ABD95">
      <w:pPr>
        <w:pStyle w:val="3"/>
        <w:spacing w:before="0" w:beforeAutospacing="0" w:after="0" w:afterAutospacing="0" w:line="360" w:lineRule="auto"/>
        <w:ind w:firstLine="420"/>
        <w:rPr>
          <w:rFonts w:hint="eastAsia"/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2、《博时基金管理有限公司关于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博时富业纯债3个月定期开放债券型发起式证券投资基金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基金份额持有人大会表决结果暨决议生效的公告》 </w:t>
      </w:r>
    </w:p>
    <w:p w14:paraId="69D86F77">
      <w:pPr>
        <w:pStyle w:val="3"/>
        <w:spacing w:before="0" w:beforeAutospacing="0" w:after="0" w:afterAutospacing="0" w:line="360" w:lineRule="auto"/>
        <w:ind w:firstLine="420"/>
        <w:rPr>
          <w:rFonts w:hint="eastAsia"/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3、《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博时富业纯债3个月定期开放债券型发起式证券投资基金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清算报告》 </w:t>
      </w:r>
    </w:p>
    <w:p w14:paraId="1FCA67CC">
      <w:pPr>
        <w:pStyle w:val="3"/>
        <w:spacing w:before="0" w:beforeAutospacing="0" w:after="0" w:afterAutospacing="0" w:line="360" w:lineRule="auto"/>
        <w:ind w:firstLine="420"/>
        <w:rPr>
          <w:rFonts w:hint="eastAsia"/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4、《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博时富业纯债3个月定期开放债券型发起式证券投资基金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清算审计报告》 </w:t>
      </w:r>
    </w:p>
    <w:p w14:paraId="776E8CE8">
      <w:pPr>
        <w:pStyle w:val="3"/>
        <w:spacing w:before="0" w:beforeAutospacing="0" w:after="0" w:afterAutospacing="0" w:line="360" w:lineRule="auto"/>
        <w:ind w:firstLine="420"/>
        <w:rPr>
          <w:rFonts w:hint="eastAsia"/>
          <w:b w:val="0"/>
          <w:bCs w:val="0"/>
          <w:i w:val="0"/>
          <w:iCs w:val="0"/>
          <w:sz w:val="21"/>
          <w:szCs w:val="21"/>
        </w:rPr>
      </w:pPr>
      <w:r>
        <w:rPr>
          <w:rFonts w:hint="eastAsia"/>
          <w:b w:val="0"/>
          <w:bCs w:val="0"/>
          <w:i w:val="0"/>
          <w:iCs w:val="0"/>
          <w:sz w:val="21"/>
          <w:szCs w:val="21"/>
        </w:rPr>
        <w:t>5、《</w:t>
      </w:r>
      <w:r>
        <w:rPr>
          <w:rFonts w:hint="eastAsia"/>
          <w:b w:val="0"/>
          <w:bCs w:val="0"/>
          <w:i w:val="0"/>
          <w:iCs w:val="0"/>
          <w:sz w:val="21"/>
          <w:szCs w:val="21"/>
          <w:lang w:val="en-US" w:eastAsia="zh-CN"/>
        </w:rPr>
        <w:t>关于</w:t>
      </w:r>
      <w:r>
        <w:rPr>
          <w:rStyle w:val="7"/>
          <w:rFonts w:hint="eastAsia"/>
          <w:b w:val="0"/>
          <w:bCs w:val="0"/>
          <w:i w:val="0"/>
          <w:iCs w:val="0"/>
          <w:sz w:val="21"/>
          <w:szCs w:val="21"/>
        </w:rPr>
        <w:t>博时富业纯债3个月定期开放债券型发起式证券投资基金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>清算</w:t>
      </w:r>
      <w:r>
        <w:rPr>
          <w:rFonts w:hint="eastAsia"/>
          <w:b w:val="0"/>
          <w:bCs w:val="0"/>
          <w:i w:val="0"/>
          <w:iCs w:val="0"/>
          <w:sz w:val="21"/>
          <w:szCs w:val="21"/>
          <w:lang w:val="en-US" w:eastAsia="zh-CN"/>
        </w:rPr>
        <w:t>事宜之</w:t>
      </w:r>
      <w:r>
        <w:rPr>
          <w:rFonts w:hint="eastAsia"/>
          <w:b w:val="0"/>
          <w:bCs w:val="0"/>
          <w:i w:val="0"/>
          <w:iCs w:val="0"/>
          <w:sz w:val="21"/>
          <w:szCs w:val="21"/>
        </w:rPr>
        <w:t xml:space="preserve">法律意见》 </w:t>
      </w:r>
      <w:bookmarkStart w:id="0" w:name="_GoBack"/>
      <w:bookmarkEnd w:id="0"/>
    </w:p>
    <w:p w14:paraId="72EC37F7">
      <w:pPr>
        <w:pStyle w:val="2"/>
        <w:rPr>
          <w:rFonts w:hint="eastAsia"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四、特别提示</w:t>
      </w:r>
    </w:p>
    <w:p w14:paraId="27911342">
      <w:pPr>
        <w:pStyle w:val="3"/>
        <w:spacing w:before="0" w:beforeAutospacing="0" w:after="0" w:afterAutospacing="0" w:line="360" w:lineRule="auto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本公告的解释权归博时基金管理有限公司所有。投资者欲了解详情,可拨打本基金管理人的客户服务电话95105568 (免长途话费)进行咨询。 </w:t>
      </w:r>
    </w:p>
    <w:p w14:paraId="0A72F9B1">
      <w:pPr>
        <w:pStyle w:val="3"/>
        <w:spacing w:before="0" w:beforeAutospacing="0" w:after="0" w:afterAutospacing="0" w:line="360" w:lineRule="auto"/>
        <w:ind w:firstLine="42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 xml:space="preserve">特此公告。 </w:t>
      </w:r>
    </w:p>
    <w:p w14:paraId="6892C997">
      <w:pPr>
        <w:pStyle w:val="3"/>
        <w:spacing w:before="0" w:beforeAutospacing="0" w:after="0" w:afterAutospacing="0" w:line="360" w:lineRule="auto"/>
        <w:ind w:firstLine="420"/>
        <w:rPr>
          <w:sz w:val="21"/>
          <w:szCs w:val="21"/>
        </w:rPr>
      </w:pPr>
    </w:p>
    <w:p w14:paraId="466E3D60">
      <w:pPr>
        <w:pStyle w:val="3"/>
        <w:spacing w:before="0" w:beforeAutospacing="0" w:after="0" w:afterAutospacing="0" w:line="360" w:lineRule="auto"/>
        <w:ind w:firstLine="420"/>
        <w:rPr>
          <w:sz w:val="21"/>
          <w:szCs w:val="21"/>
        </w:rPr>
      </w:pPr>
    </w:p>
    <w:p w14:paraId="5E88F170">
      <w:pPr>
        <w:pStyle w:val="3"/>
        <w:spacing w:before="0" w:beforeAutospacing="0" w:after="0" w:afterAutospacing="0" w:line="360" w:lineRule="auto"/>
        <w:ind w:firstLine="420"/>
        <w:rPr>
          <w:sz w:val="21"/>
          <w:szCs w:val="21"/>
        </w:rPr>
      </w:pPr>
    </w:p>
    <w:p w14:paraId="2F40BAAB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博时基金管理有限公司</w:t>
      </w:r>
    </w:p>
    <w:p w14:paraId="5D58DE9E">
      <w:pPr>
        <w:pStyle w:val="3"/>
        <w:spacing w:before="0" w:beforeAutospacing="0" w:after="0" w:afterAutospacing="0" w:line="360" w:lineRule="auto"/>
        <w:ind w:firstLine="420"/>
        <w:jc w:val="right"/>
        <w:rPr>
          <w:sz w:val="21"/>
          <w:szCs w:val="21"/>
        </w:rPr>
      </w:pPr>
      <w:r>
        <w:rPr>
          <w:sz w:val="21"/>
          <w:szCs w:val="21"/>
        </w:rPr>
        <w:t>2026年8月</w:t>
      </w:r>
      <w:r>
        <w:rPr>
          <w:rFonts w:hint="eastAsia"/>
          <w:sz w:val="21"/>
          <w:szCs w:val="21"/>
          <w:lang w:val="en-US" w:eastAsia="zh-CN"/>
        </w:rPr>
        <w:t>25</w:t>
      </w:r>
      <w:r>
        <w:rPr>
          <w:sz w:val="21"/>
          <w:szCs w:val="21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971"/>
    <w:rsid w:val="002C460B"/>
    <w:rsid w:val="00A00971"/>
    <w:rsid w:val="1E4538B6"/>
    <w:rsid w:val="2CF55691"/>
    <w:rsid w:val="45E656A6"/>
    <w:rsid w:val="4C797A94"/>
    <w:rsid w:val="57DA71EA"/>
    <w:rsid w:val="60A95105"/>
    <w:rsid w:val="6B69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Emphasis"/>
    <w:basedOn w:val="6"/>
    <w:qFormat/>
    <w:uiPriority w:val="20"/>
    <w:rPr>
      <w:i/>
      <w:iCs/>
    </w:rPr>
  </w:style>
  <w:style w:type="character" w:customStyle="1" w:styleId="8">
    <w:name w:val="标题 3 Char"/>
    <w:basedOn w:val="6"/>
    <w:link w:val="2"/>
    <w:qFormat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173</Words>
  <Characters>991</Characters>
  <Lines>8</Lines>
  <Paragraphs>2</Paragraphs>
  <TotalTime>4</TotalTime>
  <ScaleCrop>false</ScaleCrop>
  <LinksUpToDate>false</LinksUpToDate>
  <CharactersWithSpaces>1162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2026-08-11T07:45:00Z</dcterms:created>
  <dc:creator>BSKMadminDev</dc:creator>
  <cp:lastModifiedBy>fuxj</cp:lastModifiedBy>
  <dcterms:modified xsi:type="dcterms:W3CDTF">2026-08-24T07:29:09Z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B32763D67DB94A00A9F2F0664A3A059D_12</vt:lpwstr>
  </property>
</Properties>
</file>