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spacing w:line="360" w:lineRule="auto"/>
        <w:jc w:val="center"/>
        <w:rPr>
          <w:rFonts w:eastAsia="黑体"/>
          <w:sz w:val="44"/>
        </w:rPr>
      </w:pPr>
      <w:bookmarkStart w:id="0" w:name="_Toc360787431"/>
      <w:bookmarkStart w:id="1" w:name="_Toc360195350"/>
      <w:bookmarkStart w:id="2" w:name="_Toc360794402"/>
      <w:bookmarkStart w:id="3" w:name="_Toc360786949"/>
      <w:bookmarkStart w:id="4" w:name="_Toc360195006"/>
      <w:bookmarkStart w:id="5" w:name="_Toc360194761"/>
      <w:bookmarkStart w:id="6" w:name="_Toc360192746"/>
      <w:bookmarkStart w:id="7" w:name="_Toc360794094"/>
      <w:bookmarkStart w:id="8" w:name="_Toc360191555"/>
      <w:bookmarkStart w:id="9" w:name="_Toc360793492"/>
    </w:p>
    <w:p>
      <w:pPr>
        <w:spacing w:line="360" w:lineRule="auto"/>
        <w:jc w:val="center"/>
        <w:rPr>
          <w:rFonts w:eastAsia="黑体"/>
          <w:sz w:val="44"/>
        </w:rPr>
      </w:pPr>
    </w:p>
    <w:p>
      <w:pPr>
        <w:spacing w:line="360" w:lineRule="auto"/>
        <w:jc w:val="center"/>
        <w:rPr>
          <w:rFonts w:eastAsia="黑体"/>
          <w:sz w:val="44"/>
        </w:rPr>
      </w:pPr>
    </w:p>
    <w:p>
      <w:pPr>
        <w:spacing w:line="360" w:lineRule="auto"/>
        <w:jc w:val="center"/>
        <w:rPr>
          <w:rFonts w:eastAsia="黑体"/>
          <w:sz w:val="44"/>
        </w:rPr>
      </w:pPr>
    </w:p>
    <w:p>
      <w:pPr>
        <w:spacing w:line="360" w:lineRule="auto"/>
        <w:jc w:val="center"/>
        <w:rPr>
          <w:rFonts w:eastAsia="黑体"/>
          <w:sz w:val="44"/>
        </w:rPr>
      </w:pPr>
    </w:p>
    <w:p>
      <w:pPr>
        <w:spacing w:line="360" w:lineRule="auto"/>
        <w:jc w:val="center"/>
        <w:rPr>
          <w:rFonts w:ascii="宋体" w:hAnsi="宋体"/>
          <w:b/>
          <w:sz w:val="44"/>
        </w:rPr>
      </w:pPr>
      <w:bookmarkStart w:id="10" w:name="_Toc375295971"/>
      <w:r>
        <w:rPr>
          <w:rFonts w:hint="eastAsia" w:ascii="宋体" w:hAnsi="宋体"/>
          <w:b/>
          <w:sz w:val="44"/>
        </w:rPr>
        <w:t>博时国证新能源电池指数型证券投资基金</w:t>
      </w:r>
    </w:p>
    <w:p>
      <w:pPr>
        <w:spacing w:line="360" w:lineRule="auto"/>
        <w:jc w:val="center"/>
        <w:rPr>
          <w:rFonts w:ascii="宋体" w:hAnsi="宋体"/>
          <w:b/>
          <w:sz w:val="44"/>
        </w:rPr>
      </w:pPr>
      <w:r>
        <w:rPr>
          <w:rFonts w:hint="eastAsia" w:ascii="宋体" w:hAnsi="宋体"/>
          <w:b/>
          <w:sz w:val="44"/>
        </w:rPr>
        <w:t>招募说明书</w:t>
      </w:r>
      <w:bookmarkEnd w:id="0"/>
      <w:bookmarkEnd w:id="1"/>
      <w:bookmarkEnd w:id="2"/>
      <w:bookmarkEnd w:id="3"/>
      <w:bookmarkEnd w:id="4"/>
      <w:bookmarkEnd w:id="5"/>
      <w:bookmarkEnd w:id="6"/>
      <w:bookmarkEnd w:id="7"/>
      <w:bookmarkEnd w:id="8"/>
      <w:bookmarkEnd w:id="9"/>
      <w:bookmarkEnd w:id="10"/>
    </w:p>
    <w:p>
      <w:pPr>
        <w:spacing w:line="360" w:lineRule="auto"/>
        <w:jc w:val="center"/>
        <w:rPr>
          <w:rFonts w:ascii="宋体" w:hAnsi="宋体"/>
          <w:b/>
          <w:sz w:val="44"/>
        </w:rPr>
      </w:pPr>
    </w:p>
    <w:p>
      <w:pPr>
        <w:spacing w:line="360" w:lineRule="auto"/>
        <w:rPr>
          <w:rFonts w:ascii="宋体" w:hAnsi="宋体"/>
          <w:b/>
          <w:sz w:val="44"/>
        </w:rPr>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tabs>
          <w:tab w:val="left" w:pos="540"/>
        </w:tabs>
        <w:adjustRightInd w:val="0"/>
        <w:snapToGrid w:val="0"/>
        <w:spacing w:line="360" w:lineRule="auto"/>
        <w:ind w:firstLine="600" w:firstLineChars="200"/>
        <w:jc w:val="center"/>
        <w:rPr>
          <w:rFonts w:ascii="仿宋_GB2312" w:hAnsi="宋体" w:eastAsia="仿宋_GB2312" w:cs="Arial"/>
          <w:sz w:val="30"/>
          <w:szCs w:val="30"/>
        </w:rPr>
      </w:pPr>
    </w:p>
    <w:p>
      <w:pPr>
        <w:tabs>
          <w:tab w:val="left" w:pos="540"/>
        </w:tabs>
        <w:adjustRightInd w:val="0"/>
        <w:snapToGrid w:val="0"/>
        <w:spacing w:line="360" w:lineRule="auto"/>
        <w:jc w:val="center"/>
        <w:rPr>
          <w:rFonts w:ascii="宋体" w:hAnsi="宋体" w:cs="Arial"/>
          <w:b/>
          <w:sz w:val="30"/>
          <w:szCs w:val="30"/>
        </w:rPr>
      </w:pPr>
      <w:r>
        <w:rPr>
          <w:rFonts w:hint="eastAsia" w:ascii="宋体" w:hAnsi="宋体" w:cs="Arial"/>
          <w:b/>
          <w:sz w:val="30"/>
          <w:szCs w:val="30"/>
        </w:rPr>
        <w:t>基金管理人：博时基金管理有限公司</w:t>
      </w:r>
    </w:p>
    <w:p>
      <w:pPr>
        <w:tabs>
          <w:tab w:val="left" w:pos="540"/>
        </w:tabs>
        <w:adjustRightInd w:val="0"/>
        <w:snapToGrid w:val="0"/>
        <w:spacing w:line="360" w:lineRule="auto"/>
        <w:jc w:val="center"/>
        <w:rPr>
          <w:rFonts w:ascii="宋体" w:hAnsi="宋体" w:cs="Arial"/>
          <w:b/>
          <w:sz w:val="30"/>
          <w:szCs w:val="30"/>
        </w:rPr>
      </w:pPr>
      <w:r>
        <w:rPr>
          <w:rFonts w:hint="eastAsia" w:ascii="宋体" w:hAnsi="宋体" w:cs="Arial"/>
          <w:b/>
          <w:sz w:val="30"/>
          <w:szCs w:val="30"/>
        </w:rPr>
        <w:t>基金托管人：交通银行股份有限公司</w:t>
      </w:r>
    </w:p>
    <w:p>
      <w:pPr>
        <w:pStyle w:val="35"/>
        <w:snapToGrid w:val="0"/>
        <w:spacing w:line="360" w:lineRule="auto"/>
        <w:ind w:firstLine="0"/>
        <w:rPr>
          <w:rFonts w:hint="default" w:ascii="Times New Roman"/>
          <w:sz w:val="21"/>
        </w:rPr>
      </w:pPr>
    </w:p>
    <w:p>
      <w:pPr>
        <w:snapToGrid w:val="0"/>
        <w:spacing w:line="360" w:lineRule="auto"/>
        <w:jc w:val="center"/>
        <w:rPr>
          <w:sz w:val="30"/>
        </w:rPr>
      </w:pPr>
      <w:r>
        <w:rPr>
          <w:sz w:val="30"/>
        </w:rPr>
        <w:br w:type="page"/>
      </w:r>
    </w:p>
    <w:p>
      <w:pPr>
        <w:pStyle w:val="3"/>
        <w:numPr>
          <w:ilvl w:val="0"/>
          <w:numId w:val="0"/>
        </w:numPr>
        <w:snapToGrid w:val="0"/>
        <w:spacing w:before="0" w:after="0" w:line="360" w:lineRule="auto"/>
        <w:jc w:val="center"/>
      </w:pPr>
      <w:bookmarkStart w:id="11" w:name="_Toc92740283"/>
      <w:r>
        <w:rPr>
          <w:rFonts w:hint="eastAsia"/>
        </w:rPr>
        <w:t>重要提示</w:t>
      </w:r>
      <w:bookmarkEnd w:id="11"/>
    </w:p>
    <w:p>
      <w:pPr>
        <w:numPr>
          <w:ilvl w:val="12"/>
          <w:numId w:val="0"/>
        </w:numPr>
        <w:snapToGrid w:val="0"/>
        <w:spacing w:line="360" w:lineRule="auto"/>
        <w:ind w:firstLine="411" w:firstLineChars="196"/>
        <w:rPr>
          <w:rFonts w:ascii="宋体"/>
        </w:rPr>
      </w:pPr>
      <w:r>
        <w:rPr>
          <w:rFonts w:hint="eastAsia" w:ascii="宋体" w:hAnsi="宋体" w:cs="宋体"/>
        </w:rPr>
        <w:t>本基金经</w:t>
      </w:r>
      <w:r>
        <w:rPr>
          <w:rFonts w:hint="eastAsia"/>
          <w:szCs w:val="23"/>
        </w:rPr>
        <w:t>中国证券监督管理委员会（以下简称“中国证监会”）</w:t>
      </w:r>
      <w:r>
        <w:rPr>
          <w:rFonts w:hint="eastAsia" w:ascii="宋体" w:hAnsi="宋体" w:cs="宋体"/>
        </w:rPr>
        <w:t>202</w:t>
      </w:r>
      <w:r>
        <w:rPr>
          <w:rFonts w:hint="eastAsia" w:ascii="宋体" w:hAnsi="宋体" w:cs="宋体"/>
          <w:lang w:val="en-US" w:eastAsia="zh-CN"/>
        </w:rPr>
        <w:t>6</w:t>
      </w:r>
      <w:r>
        <w:rPr>
          <w:rFonts w:hint="eastAsia" w:ascii="宋体" w:hAnsi="宋体" w:cs="宋体"/>
        </w:rPr>
        <w:t>年</w:t>
      </w:r>
      <w:r>
        <w:rPr>
          <w:rFonts w:hint="eastAsia" w:ascii="宋体" w:hAnsi="宋体" w:cs="宋体"/>
          <w:lang w:val="en-US" w:eastAsia="zh-CN"/>
        </w:rPr>
        <w:t>4</w:t>
      </w:r>
      <w:r>
        <w:rPr>
          <w:rFonts w:hint="eastAsia" w:ascii="宋体" w:hAnsi="宋体" w:cs="宋体"/>
        </w:rPr>
        <w:t>月</w:t>
      </w:r>
      <w:r>
        <w:rPr>
          <w:rFonts w:hint="eastAsia" w:ascii="宋体" w:hAnsi="宋体" w:cs="宋体"/>
          <w:lang w:val="en-US" w:eastAsia="zh-CN"/>
        </w:rPr>
        <w:t>20</w:t>
      </w:r>
      <w:r>
        <w:rPr>
          <w:rFonts w:hint="eastAsia" w:ascii="宋体" w:hAnsi="宋体" w:cs="宋体"/>
        </w:rPr>
        <w:t>日</w:t>
      </w:r>
      <w:r>
        <w:rPr>
          <w:rFonts w:ascii="宋体" w:hAnsi="宋体" w:cs="Arial"/>
          <w:kern w:val="0"/>
          <w:szCs w:val="21"/>
        </w:rPr>
        <w:t>证监许可[</w:t>
      </w:r>
      <w:r>
        <w:rPr>
          <w:rFonts w:hint="eastAsia" w:ascii="宋体" w:hAnsi="宋体" w:cs="Arial"/>
          <w:kern w:val="0"/>
          <w:szCs w:val="21"/>
        </w:rPr>
        <w:t>202</w:t>
      </w:r>
      <w:r>
        <w:rPr>
          <w:rFonts w:hint="eastAsia" w:ascii="宋体" w:hAnsi="宋体" w:cs="Arial"/>
          <w:kern w:val="0"/>
          <w:szCs w:val="21"/>
          <w:lang w:val="en-US" w:eastAsia="zh-CN"/>
        </w:rPr>
        <w:t>6</w:t>
      </w:r>
      <w:r>
        <w:rPr>
          <w:rFonts w:ascii="宋体" w:hAnsi="宋体" w:cs="Arial"/>
          <w:kern w:val="0"/>
          <w:szCs w:val="21"/>
        </w:rPr>
        <w:t>]</w:t>
      </w:r>
      <w:r>
        <w:rPr>
          <w:rFonts w:hint="eastAsia" w:ascii="宋体" w:hAnsi="宋体" w:cs="Arial"/>
          <w:kern w:val="0"/>
          <w:szCs w:val="21"/>
          <w:lang w:val="en-US" w:eastAsia="zh-CN"/>
        </w:rPr>
        <w:t>898</w:t>
      </w:r>
      <w:r>
        <w:rPr>
          <w:rFonts w:ascii="宋体" w:hAnsi="宋体" w:cs="Arial"/>
          <w:kern w:val="0"/>
          <w:szCs w:val="21"/>
        </w:rPr>
        <w:t>号</w:t>
      </w:r>
      <w:r>
        <w:rPr>
          <w:rFonts w:hint="eastAsia" w:ascii="宋体" w:hAnsi="宋体" w:cs="宋体"/>
        </w:rPr>
        <w:t>文注册募集。基金管理人保证招募说明书的内容真实、准确、完整。本招募说明书经中国证监会注册，但中国证监会对本基金募集的注册，并不表明其对本基金的投资价值、市场前景和收益做出实质性判断或保证，也不表明投资于本基金没有风险。</w:t>
      </w:r>
    </w:p>
    <w:p>
      <w:pPr>
        <w:numPr>
          <w:ilvl w:val="12"/>
          <w:numId w:val="0"/>
        </w:numPr>
        <w:snapToGrid w:val="0"/>
        <w:spacing w:line="360" w:lineRule="auto"/>
        <w:ind w:firstLine="411" w:firstLineChars="196"/>
        <w:rPr>
          <w:rFonts w:ascii="宋体" w:hAnsi="宋体" w:cs="宋体"/>
        </w:rPr>
      </w:pPr>
      <w:r>
        <w:rPr>
          <w:rFonts w:hint="eastAsia" w:ascii="宋体" w:hAnsi="宋体" w:cs="宋体"/>
        </w:rPr>
        <w:t>本基金投资于证券市场，基金净值会因为证券市场波动等因素产生波动，投资人在投资本基金前，应全面了解本基金的产品特性，充分考虑自身的风险承受能力，并承担基金投资中出现的各类风险，包括：市场风险，管理风险，流动性风险，合规性风险，本基金特有的风险（详见招募说明书“风险揭示”章节）等。</w:t>
      </w:r>
    </w:p>
    <w:p>
      <w:pPr>
        <w:numPr>
          <w:ilvl w:val="12"/>
          <w:numId w:val="0"/>
        </w:numPr>
        <w:snapToGrid w:val="0"/>
        <w:spacing w:line="360" w:lineRule="auto"/>
        <w:ind w:firstLine="411" w:firstLineChars="196"/>
        <w:rPr>
          <w:rFonts w:ascii="宋体" w:hAnsi="宋体" w:cs="宋体"/>
        </w:rPr>
      </w:pPr>
      <w:r>
        <w:rPr>
          <w:rFonts w:ascii="宋体" w:hAnsi="宋体" w:cs="宋体"/>
        </w:rPr>
        <w:t>本基金的标的指数为</w:t>
      </w:r>
      <w:r>
        <w:rPr>
          <w:rFonts w:hint="eastAsia" w:ascii="宋体" w:hAnsi="宋体" w:cs="宋体"/>
        </w:rPr>
        <w:t>国证新能源电池指数，编制方案如下：</w:t>
      </w:r>
    </w:p>
    <w:p>
      <w:pPr>
        <w:numPr>
          <w:ilvl w:val="0"/>
          <w:numId w:val="25"/>
        </w:numPr>
        <w:spacing w:line="360" w:lineRule="auto"/>
        <w:ind w:firstLine="420" w:firstLineChars="200"/>
        <w:rPr>
          <w:rFonts w:ascii="宋体" w:hAnsi="宋体" w:cs="Arial"/>
        </w:rPr>
      </w:pPr>
      <w:r>
        <w:rPr>
          <w:rFonts w:hint="eastAsia" w:ascii="宋体" w:hAnsi="宋体" w:cs="Arial"/>
        </w:rPr>
        <w:t>选样空间</w:t>
      </w:r>
    </w:p>
    <w:p>
      <w:pPr>
        <w:numPr>
          <w:ilvl w:val="255"/>
          <w:numId w:val="0"/>
        </w:numPr>
        <w:spacing w:line="360" w:lineRule="auto"/>
        <w:ind w:firstLine="420"/>
        <w:rPr>
          <w:rFonts w:ascii="宋体" w:hAnsi="宋体" w:cs="Arial"/>
        </w:rPr>
      </w:pPr>
      <w:r>
        <w:rPr>
          <w:rFonts w:hint="eastAsia" w:ascii="宋体" w:hAnsi="宋体" w:cs="Arial"/>
        </w:rPr>
        <w:t>满足下列条件的 A 股和红筹企业发行的存托凭证：</w:t>
      </w:r>
    </w:p>
    <w:p>
      <w:pPr>
        <w:numPr>
          <w:ilvl w:val="255"/>
          <w:numId w:val="0"/>
        </w:numPr>
        <w:spacing w:line="360" w:lineRule="auto"/>
        <w:ind w:firstLine="420"/>
        <w:rPr>
          <w:rFonts w:ascii="宋体" w:hAnsi="宋体" w:cs="Arial"/>
        </w:rPr>
      </w:pPr>
      <w:r>
        <w:rPr>
          <w:rFonts w:hint="eastAsia" w:ascii="宋体" w:hAnsi="宋体" w:cs="Arial"/>
        </w:rPr>
        <w:t>1）非 ST、*ST 证券；</w:t>
      </w:r>
    </w:p>
    <w:p>
      <w:pPr>
        <w:numPr>
          <w:ilvl w:val="255"/>
          <w:numId w:val="0"/>
        </w:numPr>
        <w:spacing w:line="360" w:lineRule="auto"/>
        <w:ind w:firstLine="420"/>
        <w:rPr>
          <w:rFonts w:ascii="宋体" w:hAnsi="宋体" w:cs="Arial"/>
        </w:rPr>
      </w:pPr>
      <w:r>
        <w:rPr>
          <w:rFonts w:hint="eastAsia" w:ascii="宋体" w:hAnsi="宋体" w:cs="Arial"/>
        </w:rPr>
        <w:t>2）主板、创业板证券上市时间超过 6 个月，科创板证券、北交所证券上市时间超过 1 年；</w:t>
      </w:r>
    </w:p>
    <w:p>
      <w:pPr>
        <w:numPr>
          <w:ilvl w:val="255"/>
          <w:numId w:val="0"/>
        </w:numPr>
        <w:spacing w:line="360" w:lineRule="auto"/>
        <w:ind w:firstLine="420"/>
        <w:rPr>
          <w:rFonts w:ascii="宋体" w:hAnsi="宋体" w:cs="Arial"/>
        </w:rPr>
      </w:pPr>
      <w:r>
        <w:rPr>
          <w:rFonts w:hint="eastAsia" w:ascii="宋体" w:hAnsi="宋体" w:cs="Arial"/>
        </w:rPr>
        <w:t>3）公司最近一年无重大违规、财务报告无重大问题；</w:t>
      </w:r>
    </w:p>
    <w:p>
      <w:pPr>
        <w:numPr>
          <w:ilvl w:val="255"/>
          <w:numId w:val="0"/>
        </w:numPr>
        <w:spacing w:line="360" w:lineRule="auto"/>
        <w:ind w:firstLine="420"/>
        <w:rPr>
          <w:rFonts w:ascii="宋体" w:hAnsi="宋体" w:cs="Arial"/>
        </w:rPr>
      </w:pPr>
      <w:r>
        <w:rPr>
          <w:rFonts w:hint="eastAsia" w:ascii="宋体" w:hAnsi="宋体" w:cs="Arial"/>
        </w:rPr>
        <w:t>4）公司最近一年经营无异常、无重大亏损；</w:t>
      </w:r>
    </w:p>
    <w:p>
      <w:pPr>
        <w:numPr>
          <w:ilvl w:val="255"/>
          <w:numId w:val="0"/>
        </w:numPr>
        <w:spacing w:line="360" w:lineRule="auto"/>
        <w:ind w:firstLine="420"/>
        <w:rPr>
          <w:rFonts w:ascii="宋体" w:hAnsi="宋体" w:cs="Arial"/>
        </w:rPr>
      </w:pPr>
      <w:r>
        <w:rPr>
          <w:rFonts w:hint="eastAsia" w:ascii="宋体" w:hAnsi="宋体" w:cs="Arial"/>
        </w:rPr>
        <w:t>5）考察期内证券价格无异常波动；</w:t>
      </w:r>
    </w:p>
    <w:p>
      <w:pPr>
        <w:numPr>
          <w:ilvl w:val="255"/>
          <w:numId w:val="0"/>
        </w:numPr>
        <w:spacing w:line="360" w:lineRule="auto"/>
        <w:ind w:firstLine="420"/>
        <w:rPr>
          <w:rFonts w:ascii="宋体" w:hAnsi="宋体" w:cs="Arial"/>
        </w:rPr>
      </w:pPr>
      <w:r>
        <w:rPr>
          <w:rFonts w:hint="eastAsia" w:ascii="宋体" w:hAnsi="宋体" w:cs="Arial"/>
        </w:rPr>
        <w:t>6）公司业务范畴属于新能源储能电池主题，包括电池制造、储能电池逆变器、储能电池系统集成、电池温控消防等相关领域。</w:t>
      </w:r>
    </w:p>
    <w:p>
      <w:pPr>
        <w:numPr>
          <w:ilvl w:val="255"/>
          <w:numId w:val="0"/>
        </w:numPr>
        <w:spacing w:line="360" w:lineRule="auto"/>
        <w:ind w:firstLine="420"/>
        <w:rPr>
          <w:rFonts w:ascii="宋体" w:hAnsi="宋体" w:cs="Arial"/>
        </w:rPr>
      </w:pPr>
      <w:r>
        <w:rPr>
          <w:rFonts w:hint="eastAsia" w:ascii="宋体" w:hAnsi="宋体" w:cs="Arial"/>
        </w:rPr>
        <w:t>2、选样方法</w:t>
      </w:r>
    </w:p>
    <w:p>
      <w:pPr>
        <w:numPr>
          <w:ilvl w:val="255"/>
          <w:numId w:val="0"/>
        </w:numPr>
        <w:spacing w:line="360" w:lineRule="auto"/>
        <w:ind w:firstLine="420"/>
        <w:rPr>
          <w:rFonts w:ascii="宋体" w:hAnsi="宋体" w:cs="Arial"/>
        </w:rPr>
      </w:pPr>
      <w:r>
        <w:rPr>
          <w:rFonts w:hint="eastAsia" w:ascii="宋体" w:hAnsi="宋体" w:cs="Arial"/>
        </w:rPr>
        <w:t>首先，计算入围选样空间证券在最近半年的日均成交金额和日均总市值；</w:t>
      </w:r>
    </w:p>
    <w:p>
      <w:pPr>
        <w:numPr>
          <w:ilvl w:val="255"/>
          <w:numId w:val="0"/>
        </w:numPr>
        <w:spacing w:line="360" w:lineRule="auto"/>
        <w:ind w:firstLine="420"/>
        <w:rPr>
          <w:rFonts w:ascii="宋体" w:hAnsi="宋体" w:cs="Arial"/>
        </w:rPr>
      </w:pPr>
      <w:r>
        <w:rPr>
          <w:rFonts w:hint="eastAsia" w:ascii="宋体" w:hAnsi="宋体" w:cs="Arial"/>
        </w:rPr>
        <w:t>然后，剔除选样空间内最近半年的日均成交金额排名后10%的证券；</w:t>
      </w:r>
    </w:p>
    <w:p>
      <w:pPr>
        <w:numPr>
          <w:ilvl w:val="255"/>
          <w:numId w:val="0"/>
        </w:numPr>
        <w:spacing w:line="360" w:lineRule="auto"/>
        <w:ind w:firstLine="420"/>
        <w:rPr>
          <w:rFonts w:ascii="宋体" w:hAnsi="宋体" w:cs="Arial"/>
        </w:rPr>
      </w:pPr>
      <w:r>
        <w:rPr>
          <w:rFonts w:hint="eastAsia" w:ascii="宋体" w:hAnsi="宋体" w:cs="Arial"/>
        </w:rPr>
        <w:t>最后，对选样空间剩余证券按照最近半年的日均总市值从高到低排序，选取前 50 只证券作为指数样本，样本数量不足时按实际数量纳入。</w:t>
      </w:r>
    </w:p>
    <w:p>
      <w:pPr>
        <w:spacing w:line="360" w:lineRule="auto"/>
        <w:ind w:firstLine="420" w:firstLineChars="200"/>
        <w:rPr>
          <w:rFonts w:ascii="宋体" w:hAnsi="宋体" w:cs="Arial"/>
        </w:rPr>
      </w:pPr>
      <w:r>
        <w:rPr>
          <w:rFonts w:hint="eastAsia" w:ascii="宋体" w:hAnsi="宋体" w:cs="Arial"/>
        </w:rPr>
        <w:t>3、指数计算</w:t>
      </w:r>
    </w:p>
    <w:p>
      <w:pPr>
        <w:spacing w:line="360" w:lineRule="auto"/>
        <w:ind w:firstLine="420" w:firstLineChars="200"/>
        <w:rPr>
          <w:rFonts w:ascii="宋体" w:hAnsi="宋体" w:cs="Arial"/>
        </w:rPr>
      </w:pPr>
      <w:r>
        <w:rPr>
          <w:rFonts w:hint="eastAsia" w:ascii="宋体" w:hAnsi="宋体" w:cs="Arial"/>
        </w:rPr>
        <w:t>指数采用派氏加权法，依据下列公式逐日连锁实时计算：</w:t>
      </w:r>
    </w:p>
    <w:p>
      <w:pPr>
        <w:spacing w:line="360" w:lineRule="auto"/>
        <w:ind w:firstLine="420" w:firstLineChars="200"/>
        <w:rPr>
          <w:rFonts w:ascii="宋体" w:hAnsi="宋体" w:cs="Arial"/>
        </w:rPr>
      </w:pPr>
      <w:r>
        <w:rPr>
          <w:rFonts w:hint="eastAsia" w:ascii="宋体" w:hAnsi="宋体" w:cs="Arial"/>
        </w:rPr>
        <w:t>实时指数 = 上一交易日收市指数×∑（样本实时成交价 × 样本权数 × 权重调整因子）/∑（样本上一交易日收市价 × 样本权数 × 权重调整因子）</w:t>
      </w:r>
    </w:p>
    <w:p>
      <w:pPr>
        <w:spacing w:line="360" w:lineRule="auto"/>
        <w:ind w:firstLine="420" w:firstLineChars="200"/>
        <w:rPr>
          <w:rFonts w:ascii="宋体" w:hAnsi="宋体" w:cs="Arial"/>
        </w:rPr>
      </w:pPr>
      <w:r>
        <w:rPr>
          <w:rFonts w:hint="eastAsia" w:ascii="宋体" w:hAnsi="宋体" w:cs="Arial"/>
        </w:rPr>
        <w:t>其中，样本权数调整方法参见指数计算与维护细则。</w:t>
      </w:r>
    </w:p>
    <w:p>
      <w:pPr>
        <w:numPr>
          <w:ilvl w:val="12"/>
          <w:numId w:val="0"/>
        </w:numPr>
        <w:snapToGrid w:val="0"/>
        <w:spacing w:line="360" w:lineRule="auto"/>
        <w:ind w:firstLine="411" w:firstLineChars="196"/>
        <w:rPr>
          <w:rFonts w:ascii="Arial" w:hAnsi="Arial" w:cs="Arial"/>
          <w:szCs w:val="21"/>
        </w:rPr>
      </w:pPr>
      <w:r>
        <w:rPr>
          <w:rFonts w:hint="eastAsia" w:ascii="宋体" w:hAnsi="宋体" w:cs="Arial"/>
        </w:rPr>
        <w:t>有关标的指数具体编制方案及成份股信息详见深圳证券信息有限公司网站，网址：http</w:t>
      </w:r>
      <w:r>
        <w:rPr>
          <w:rFonts w:hint="eastAsia" w:ascii="宋体" w:hAnsi="宋体" w:cs="Arial"/>
          <w:lang w:val="en-US" w:eastAsia="zh-CN"/>
        </w:rPr>
        <w:t>s</w:t>
      </w:r>
      <w:r>
        <w:rPr>
          <w:rFonts w:hint="eastAsia" w:ascii="宋体" w:hAnsi="宋体" w:cs="Arial"/>
        </w:rPr>
        <w:t>://www.cnindex.com.cn/。</w:t>
      </w:r>
    </w:p>
    <w:p>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本基金主要投资于标的指数成份股和备选成份股（含存托凭证）。</w:t>
      </w:r>
    </w:p>
    <w:p>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w:t>
      </w:r>
    </w:p>
    <w:p>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本基金可根据法律法规的规定参与融资及转融通证券出借业务。未来在法律法规允许的前提下，本基金可根据相关法律法规规定参与融券业</w:t>
      </w:r>
      <w:bookmarkStart w:id="233" w:name="_GoBack"/>
      <w:bookmarkEnd w:id="233"/>
      <w:r>
        <w:rPr>
          <w:rFonts w:hint="eastAsia" w:ascii="Arial" w:hAnsi="Arial" w:cs="Arial"/>
          <w:szCs w:val="21"/>
        </w:rPr>
        <w:t>务。</w:t>
      </w:r>
    </w:p>
    <w:p>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本基金根据相关法律法规或中国证监会要求履行适当程序后，还可以投资于法律法规或中国证监会未来允许基金投资的其他金融工具。</w:t>
      </w:r>
    </w:p>
    <w:p>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pPr>
        <w:numPr>
          <w:ilvl w:val="12"/>
          <w:numId w:val="0"/>
        </w:numPr>
        <w:snapToGrid w:val="0"/>
        <w:spacing w:line="360" w:lineRule="auto"/>
        <w:ind w:firstLine="411" w:firstLineChars="196"/>
        <w:rPr>
          <w:rFonts w:ascii="Arial" w:hAnsi="Arial" w:cs="Arial"/>
          <w:szCs w:val="21"/>
        </w:rPr>
      </w:pPr>
      <w:r>
        <w:rPr>
          <w:rFonts w:hint="eastAsia" w:ascii="Arial" w:hAnsi="Arial" w:cs="Arial"/>
          <w:szCs w:val="21"/>
        </w:rPr>
        <w:t>若法律法规的相关规定发生变更或监管机构允许，本基金管理人在履行适当程序后，可对上述资产配置比例进行调整。 </w:t>
      </w:r>
    </w:p>
    <w:p>
      <w:pPr>
        <w:adjustRightInd w:val="0"/>
        <w:snapToGrid w:val="0"/>
        <w:spacing w:line="360" w:lineRule="auto"/>
        <w:ind w:firstLine="369" w:firstLineChars="176"/>
        <w:rPr>
          <w:rFonts w:ascii="宋体" w:cs="宋体"/>
          <w:kern w:val="0"/>
          <w:szCs w:val="21"/>
        </w:rPr>
      </w:pPr>
      <w:r>
        <w:rPr>
          <w:rFonts w:hint="eastAsia" w:ascii="宋体" w:cs="宋体"/>
          <w:kern w:val="0"/>
          <w:szCs w:val="21"/>
        </w:rPr>
        <w:t>本基金属于股票型基金，其预期收益及预期风险水平高于混合型基金、债券型基金与货币市场基金。本基金为被动式投资的股票型指数基金，跟踪国证新能源电池指数，其风险收益特征与标的指数所表征的市场组合的风险收益特征相似。</w:t>
      </w:r>
    </w:p>
    <w:p>
      <w:pPr>
        <w:adjustRightInd w:val="0"/>
        <w:snapToGrid w:val="0"/>
        <w:spacing w:line="360" w:lineRule="auto"/>
        <w:ind w:firstLine="369" w:firstLineChars="176"/>
        <w:rPr>
          <w:rFonts w:hint="eastAsia" w:ascii="宋体" w:hAnsi="宋体" w:cs="宋体"/>
        </w:rPr>
      </w:pPr>
      <w:r>
        <w:rPr>
          <w:rFonts w:hint="eastAsia" w:ascii="宋体" w:hAnsi="宋体" w:cs="宋体"/>
        </w:rPr>
        <w:t>本基金为指数基金，投资者投资于本基金面临跟踪误差控制未达约定目标、指数编制机构停止服务、成份股停牌或退市等潜在风险，具体风险详见本招募说明书“风险揭示”部分。</w:t>
      </w:r>
    </w:p>
    <w:p>
      <w:pPr>
        <w:adjustRightInd w:val="0"/>
        <w:snapToGrid w:val="0"/>
        <w:spacing w:line="360" w:lineRule="auto"/>
        <w:ind w:firstLine="369" w:firstLineChars="176"/>
        <w:rPr>
          <w:rFonts w:hint="eastAsia" w:ascii="宋体" w:hAnsi="宋体" w:cs="宋体"/>
        </w:rPr>
      </w:pPr>
      <w:r>
        <w:rPr>
          <w:rFonts w:hint="eastAsia" w:ascii="宋体" w:hAnsi="宋体" w:cs="宋体"/>
        </w:rPr>
        <w:t xml:space="preserve">本基金标的指数成份股可能包含北京证券交易所股票。北京证券交易所主要服务于创新型中小企业，在发行、上市、交易、退市等方面的规则与其他交易场所存在差异，本基金须承受与之相关的特有风险，包括但不限于中小企业经营风险、股价大幅波动风险、退市风险、企业流动性风险、投资集中风险、监管规则变化的风险等。 </w:t>
      </w:r>
    </w:p>
    <w:p>
      <w:pPr>
        <w:numPr>
          <w:ilvl w:val="12"/>
          <w:numId w:val="0"/>
        </w:numPr>
        <w:snapToGrid w:val="0"/>
        <w:spacing w:line="360" w:lineRule="auto"/>
        <w:ind w:firstLine="411" w:firstLineChars="196"/>
        <w:rPr>
          <w:rFonts w:ascii="宋体" w:hAnsi="宋体" w:cs="宋体"/>
        </w:rPr>
      </w:pPr>
      <w:r>
        <w:rPr>
          <w:rFonts w:hint="eastAsia" w:ascii="宋体" w:hAnsi="宋体" w:cs="宋体"/>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numPr>
          <w:ilvl w:val="12"/>
          <w:numId w:val="0"/>
        </w:numPr>
        <w:snapToGrid w:val="0"/>
        <w:spacing w:line="360" w:lineRule="auto"/>
        <w:ind w:firstLine="411" w:firstLineChars="196"/>
        <w:rPr>
          <w:rFonts w:ascii="宋体" w:hAnsi="宋体" w:cs="宋体"/>
        </w:rPr>
      </w:pPr>
      <w:r>
        <w:rPr>
          <w:rFonts w:hint="eastAsia" w:ascii="宋体" w:hAnsi="宋体" w:cs="宋体"/>
        </w:rPr>
        <w:t>本基金可参与股指期货、国债期货交易。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w:t>
      </w:r>
    </w:p>
    <w:p>
      <w:pPr>
        <w:numPr>
          <w:ilvl w:val="12"/>
          <w:numId w:val="0"/>
        </w:numPr>
        <w:snapToGrid w:val="0"/>
        <w:spacing w:line="360" w:lineRule="auto"/>
        <w:ind w:firstLine="411" w:firstLineChars="196"/>
        <w:rPr>
          <w:rFonts w:ascii="宋体" w:hAnsi="宋体" w:cs="宋体"/>
        </w:rPr>
      </w:pPr>
      <w:r>
        <w:rPr>
          <w:rFonts w:hint="eastAsia" w:ascii="宋体" w:hAnsi="宋体" w:cs="宋体"/>
        </w:rPr>
        <w:t>本基金可参与股票期权交易，以套期保值为主要目的，若参与股票期权交易，可能面临流动性风险、价格风险、操作风险等。</w:t>
      </w:r>
    </w:p>
    <w:p>
      <w:pPr>
        <w:numPr>
          <w:ilvl w:val="12"/>
          <w:numId w:val="0"/>
        </w:numPr>
        <w:snapToGrid w:val="0"/>
        <w:spacing w:line="360" w:lineRule="auto"/>
        <w:ind w:firstLine="411" w:firstLineChars="196"/>
        <w:rPr>
          <w:rFonts w:ascii="宋体" w:hAnsi="宋体" w:cs="宋体"/>
        </w:rPr>
      </w:pPr>
      <w:r>
        <w:rPr>
          <w:rFonts w:hint="eastAsia" w:ascii="宋体" w:hAnsi="宋体" w:cs="宋体"/>
        </w:rPr>
        <w:t>本基金可根据法律法规的规定参与融资及转融通证券出借业务。本基金将在充分考虑风险和收益特征的基础上，审慎参与融资及转融通证券出借业务。投资者需承担相应的风险。</w:t>
      </w:r>
    </w:p>
    <w:p>
      <w:pPr>
        <w:numPr>
          <w:ilvl w:val="12"/>
          <w:numId w:val="0"/>
        </w:numPr>
        <w:snapToGrid w:val="0"/>
        <w:spacing w:line="360" w:lineRule="auto"/>
        <w:ind w:firstLine="411" w:firstLineChars="196"/>
        <w:rPr>
          <w:rFonts w:ascii="宋体" w:hAnsi="宋体" w:cs="宋体"/>
        </w:rPr>
      </w:pPr>
      <w:r>
        <w:rPr>
          <w:rFonts w:hint="eastAsia" w:ascii="宋体" w:hAnsi="宋体" w:cs="宋体"/>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numPr>
          <w:ilvl w:val="12"/>
          <w:numId w:val="0"/>
        </w:numPr>
        <w:snapToGrid w:val="0"/>
        <w:spacing w:line="360" w:lineRule="auto"/>
        <w:ind w:firstLine="411" w:firstLineChars="196"/>
        <w:rPr>
          <w:rFonts w:ascii="宋体" w:hAnsi="宋体" w:cs="宋体"/>
        </w:rPr>
      </w:pPr>
      <w:r>
        <w:rPr>
          <w:rFonts w:hint="eastAsia" w:ascii="宋体" w:hAnsi="宋体" w:cs="宋体"/>
        </w:rPr>
        <w:t>当本基金持有特定资产且存在或潜在大额赎回申请时，基金管理人履行相应程序后，可以启用侧袋机制，具体详见基金合同和本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pPr>
        <w:numPr>
          <w:ilvl w:val="12"/>
          <w:numId w:val="0"/>
        </w:numPr>
        <w:snapToGrid w:val="0"/>
        <w:spacing w:line="360" w:lineRule="auto"/>
        <w:ind w:firstLine="411" w:firstLineChars="196"/>
        <w:rPr>
          <w:rFonts w:ascii="宋体" w:hAnsi="宋体" w:cs="宋体"/>
        </w:rPr>
      </w:pPr>
      <w:r>
        <w:rPr>
          <w:rFonts w:hint="eastAsia" w:ascii="宋体" w:hAnsi="宋体" w:cs="宋体"/>
        </w:rPr>
        <w:t>本基金以1.00元初始面值募集基金份额，在市场波动等因素的影响下，基金投资有可能出现亏损或基金份额净值低于初始面值。</w:t>
      </w:r>
    </w:p>
    <w:p>
      <w:pPr>
        <w:numPr>
          <w:ilvl w:val="12"/>
          <w:numId w:val="0"/>
        </w:numPr>
        <w:snapToGrid w:val="0"/>
        <w:spacing w:line="360" w:lineRule="auto"/>
        <w:ind w:firstLine="411" w:firstLineChars="196"/>
        <w:rPr>
          <w:rFonts w:ascii="宋体" w:hAnsi="宋体" w:cs="宋体"/>
        </w:rPr>
      </w:pPr>
      <w:r>
        <w:rPr>
          <w:rFonts w:hint="eastAsia" w:ascii="宋体" w:hAnsi="宋体" w:cs="宋体"/>
        </w:rPr>
        <w:t>投资有风险，投资人认购（或申购）基金时应认真阅读基金合同、本招募说明书、基金产品资料概要等信息披露文件，自主判断基金的投资价值，自主做出投资决策，自行承担投资风险。基金的过往业绩并不预示其未来表现。基金管理人管理的其他基金的业绩并不构成新基金业绩表现的保证。</w:t>
      </w:r>
    </w:p>
    <w:p>
      <w:pPr>
        <w:numPr>
          <w:ilvl w:val="12"/>
          <w:numId w:val="0"/>
        </w:numPr>
        <w:snapToGrid w:val="0"/>
        <w:spacing w:line="360" w:lineRule="auto"/>
        <w:ind w:firstLine="411" w:firstLineChars="196"/>
        <w:rPr>
          <w:rFonts w:ascii="宋体" w:hAnsi="宋体" w:cs="宋体"/>
        </w:rPr>
      </w:pPr>
      <w:r>
        <w:rPr>
          <w:rFonts w:hint="eastAsia" w:ascii="宋体" w:hAnsi="宋体" w:cs="宋体"/>
        </w:rPr>
        <w:t>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w:t>
      </w:r>
    </w:p>
    <w:p>
      <w:pPr>
        <w:pStyle w:val="163"/>
        <w:rPr>
          <w:rFonts w:ascii="宋体" w:hAnsi="宋体"/>
        </w:rPr>
        <w:sectPr>
          <w:pgSz w:w="11906" w:h="16838"/>
          <w:pgMar w:top="1440" w:right="1800" w:bottom="1440" w:left="1800" w:header="851" w:footer="992" w:gutter="0"/>
          <w:pgNumType w:start="0"/>
          <w:cols w:space="425" w:num="1"/>
          <w:titlePg/>
          <w:docGrid w:type="lines" w:linePitch="312" w:charSpace="0"/>
        </w:sectPr>
      </w:pPr>
    </w:p>
    <w:p>
      <w:pPr>
        <w:snapToGrid w:val="0"/>
        <w:spacing w:line="360" w:lineRule="auto"/>
        <w:jc w:val="center"/>
        <w:rPr>
          <w:sz w:val="32"/>
        </w:rPr>
      </w:pPr>
      <w:r>
        <w:rPr>
          <w:sz w:val="32"/>
          <w:lang w:val="zh-CN"/>
        </w:rPr>
        <w:t>目</w:t>
      </w:r>
      <w:r>
        <w:rPr>
          <w:rFonts w:hint="eastAsia"/>
          <w:sz w:val="32"/>
          <w:lang w:val="zh-CN"/>
        </w:rPr>
        <w:t xml:space="preserve"> </w:t>
      </w:r>
      <w:r>
        <w:rPr>
          <w:sz w:val="32"/>
          <w:lang w:val="zh-CN"/>
        </w:rPr>
        <w:t>录</w:t>
      </w:r>
    </w:p>
    <w:p>
      <w:pPr>
        <w:pStyle w:val="36"/>
        <w:spacing w:line="360" w:lineRule="auto"/>
        <w:rPr>
          <w:rFonts w:asciiTheme="minorHAnsi" w:hAnsiTheme="minorHAnsi" w:eastAsiaTheme="minorEastAsia" w:cstheme="minorBidi"/>
          <w:szCs w:val="22"/>
        </w:rPr>
      </w:pP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fldChar w:fldCharType="begin"/>
      </w:r>
      <w:r>
        <w:instrText xml:space="preserve"> HYPERLINK \l "_Toc92740284" </w:instrText>
      </w:r>
      <w:r>
        <w:fldChar w:fldCharType="separate"/>
      </w:r>
      <w:r>
        <w:rPr>
          <w:rStyle w:val="49"/>
        </w:rPr>
        <w:t>第一部分</w:t>
      </w:r>
      <w:r>
        <w:rPr>
          <w:rFonts w:asciiTheme="minorHAnsi" w:hAnsiTheme="minorHAnsi" w:eastAsiaTheme="minorEastAsia" w:cstheme="minorBidi"/>
          <w:szCs w:val="22"/>
        </w:rPr>
        <w:tab/>
      </w:r>
      <w:r>
        <w:rPr>
          <w:rStyle w:val="49"/>
        </w:rPr>
        <w:t>绪言</w:t>
      </w:r>
      <w:r>
        <w:tab/>
      </w:r>
      <w:r>
        <w:t>1</w:t>
      </w:r>
      <w:r>
        <w:rPr>
          <w:rFonts w:hint="eastAsia"/>
        </w:rPr>
        <w:t>-</w:t>
      </w:r>
      <w:r>
        <w:fldChar w:fldCharType="begin"/>
      </w:r>
      <w:r>
        <w:instrText xml:space="preserve"> PAGEREF _Toc92740284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"_Toc92740285" </w:instrText>
      </w:r>
      <w:r>
        <w:fldChar w:fldCharType="separate"/>
      </w:r>
      <w:r>
        <w:rPr>
          <w:rStyle w:val="49"/>
        </w:rPr>
        <w:t>第二部分</w:t>
      </w:r>
      <w:r>
        <w:rPr>
          <w:rFonts w:asciiTheme="minorHAnsi" w:hAnsiTheme="minorHAnsi" w:eastAsiaTheme="minorEastAsia" w:cstheme="minorBidi"/>
          <w:szCs w:val="22"/>
        </w:rPr>
        <w:tab/>
      </w:r>
      <w:r>
        <w:rPr>
          <w:rStyle w:val="49"/>
        </w:rPr>
        <w:t>释义</w:t>
      </w:r>
      <w:r>
        <w:tab/>
      </w:r>
      <w:r>
        <w:t>2</w:t>
      </w:r>
      <w:r>
        <w:rPr>
          <w:rFonts w:hint="eastAsia"/>
        </w:rPr>
        <w:t>-</w:t>
      </w:r>
      <w:r>
        <w:fldChar w:fldCharType="begin"/>
      </w:r>
      <w:r>
        <w:instrText xml:space="preserve"> PAGEREF _Toc92740285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"_Toc92740286" </w:instrText>
      </w:r>
      <w:r>
        <w:fldChar w:fldCharType="separate"/>
      </w:r>
      <w:r>
        <w:rPr>
          <w:rStyle w:val="49"/>
        </w:rPr>
        <w:t>第三部分</w:t>
      </w:r>
      <w:r>
        <w:rPr>
          <w:rFonts w:asciiTheme="minorHAnsi" w:hAnsiTheme="minorHAnsi" w:eastAsiaTheme="minorEastAsia" w:cstheme="minorBidi"/>
          <w:szCs w:val="22"/>
        </w:rPr>
        <w:tab/>
      </w:r>
      <w:r>
        <w:rPr>
          <w:rStyle w:val="49"/>
        </w:rPr>
        <w:t>基金管理人</w:t>
      </w:r>
      <w:r>
        <w:tab/>
      </w:r>
      <w:r>
        <w:t>3</w:t>
      </w:r>
      <w:r>
        <w:rPr>
          <w:rFonts w:hint="eastAsia"/>
        </w:rPr>
        <w:t>-</w:t>
      </w:r>
      <w:r>
        <w:fldChar w:fldCharType="begin"/>
      </w:r>
      <w:r>
        <w:instrText xml:space="preserve"> PAGEREF _Toc92740286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"_Toc92740287" </w:instrText>
      </w:r>
      <w:r>
        <w:fldChar w:fldCharType="separate"/>
      </w:r>
      <w:r>
        <w:rPr>
          <w:rStyle w:val="49"/>
        </w:rPr>
        <w:t>第四部分</w:t>
      </w:r>
      <w:r>
        <w:rPr>
          <w:rFonts w:asciiTheme="minorHAnsi" w:hAnsiTheme="minorHAnsi" w:eastAsiaTheme="minorEastAsia" w:cstheme="minorBidi"/>
          <w:szCs w:val="22"/>
        </w:rPr>
        <w:tab/>
      </w:r>
      <w:r>
        <w:rPr>
          <w:rStyle w:val="49"/>
        </w:rPr>
        <w:t>基金托管人</w:t>
      </w:r>
      <w:r>
        <w:tab/>
      </w:r>
      <w:r>
        <w:t>4</w:t>
      </w:r>
      <w:r>
        <w:rPr>
          <w:rFonts w:hint="eastAsia"/>
        </w:rPr>
        <w:t>-</w:t>
      </w:r>
      <w:r>
        <w:fldChar w:fldCharType="begin"/>
      </w:r>
      <w:r>
        <w:instrText xml:space="preserve"> PAGEREF _Toc92740287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"_Toc92740288" </w:instrText>
      </w:r>
      <w:r>
        <w:fldChar w:fldCharType="separate"/>
      </w:r>
      <w:r>
        <w:rPr>
          <w:rStyle w:val="49"/>
        </w:rPr>
        <w:t>第五部分</w:t>
      </w:r>
      <w:r>
        <w:rPr>
          <w:rFonts w:asciiTheme="minorHAnsi" w:hAnsiTheme="minorHAnsi" w:eastAsiaTheme="minorEastAsia" w:cstheme="minorBidi"/>
          <w:szCs w:val="22"/>
        </w:rPr>
        <w:tab/>
      </w:r>
      <w:r>
        <w:rPr>
          <w:rStyle w:val="49"/>
        </w:rPr>
        <w:t>相关服务机构</w:t>
      </w:r>
      <w:r>
        <w:tab/>
      </w:r>
      <w:r>
        <w:t>5</w:t>
      </w:r>
      <w:r>
        <w:rPr>
          <w:rFonts w:hint="eastAsia"/>
        </w:rPr>
        <w:t>-</w:t>
      </w:r>
      <w:r>
        <w:fldChar w:fldCharType="begin"/>
      </w:r>
      <w:r>
        <w:instrText xml:space="preserve"> PAGEREF _Toc92740288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"_Toc92740289" </w:instrText>
      </w:r>
      <w:r>
        <w:fldChar w:fldCharType="separate"/>
      </w:r>
      <w:r>
        <w:rPr>
          <w:rStyle w:val="49"/>
        </w:rPr>
        <w:t>第六部分</w:t>
      </w:r>
      <w:r>
        <w:rPr>
          <w:rFonts w:asciiTheme="minorHAnsi" w:hAnsiTheme="minorHAnsi" w:eastAsiaTheme="minorEastAsia" w:cstheme="minorBidi"/>
          <w:szCs w:val="22"/>
        </w:rPr>
        <w:tab/>
      </w:r>
      <w:r>
        <w:rPr>
          <w:rStyle w:val="49"/>
        </w:rPr>
        <w:t>基金的发售</w:t>
      </w:r>
      <w:r>
        <w:tab/>
      </w:r>
      <w:r>
        <w:t>6</w:t>
      </w:r>
      <w:r>
        <w:rPr>
          <w:rFonts w:hint="eastAsia"/>
        </w:rPr>
        <w:t>-</w:t>
      </w:r>
      <w:r>
        <w:fldChar w:fldCharType="begin"/>
      </w:r>
      <w:r>
        <w:instrText xml:space="preserve"> PAGEREF _Toc92740289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"_Toc92740290" </w:instrText>
      </w:r>
      <w:r>
        <w:fldChar w:fldCharType="separate"/>
      </w:r>
      <w:r>
        <w:rPr>
          <w:rStyle w:val="49"/>
        </w:rPr>
        <w:t>第七部分</w:t>
      </w:r>
      <w:r>
        <w:rPr>
          <w:rFonts w:asciiTheme="minorHAnsi" w:hAnsiTheme="minorHAnsi" w:eastAsiaTheme="minorEastAsia" w:cstheme="minorBidi"/>
          <w:szCs w:val="22"/>
        </w:rPr>
        <w:tab/>
      </w:r>
      <w:r>
        <w:rPr>
          <w:rStyle w:val="49"/>
        </w:rPr>
        <w:t>基金合同的生效</w:t>
      </w:r>
      <w:r>
        <w:tab/>
      </w:r>
      <w:r>
        <w:t>7</w:t>
      </w:r>
      <w:r>
        <w:rPr>
          <w:rFonts w:hint="eastAsia"/>
        </w:rPr>
        <w:t>-</w:t>
      </w:r>
      <w:r>
        <w:fldChar w:fldCharType="begin"/>
      </w:r>
      <w:r>
        <w:instrText xml:space="preserve"> PAGEREF _Toc92740290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"_Toc92740291" </w:instrText>
      </w:r>
      <w:r>
        <w:fldChar w:fldCharType="separate"/>
      </w:r>
      <w:r>
        <w:rPr>
          <w:rStyle w:val="49"/>
        </w:rPr>
        <w:t>第八部分</w:t>
      </w:r>
      <w:r>
        <w:rPr>
          <w:rFonts w:asciiTheme="minorHAnsi" w:hAnsiTheme="minorHAnsi" w:eastAsiaTheme="minorEastAsia" w:cstheme="minorBidi"/>
          <w:szCs w:val="22"/>
        </w:rPr>
        <w:tab/>
      </w:r>
      <w:r>
        <w:rPr>
          <w:rStyle w:val="49"/>
        </w:rPr>
        <w:t>基金份额的申购赎回</w:t>
      </w:r>
      <w:r>
        <w:tab/>
      </w:r>
      <w:r>
        <w:t>8</w:t>
      </w:r>
      <w:r>
        <w:rPr>
          <w:rFonts w:hint="eastAsia"/>
        </w:rPr>
        <w:t>-</w:t>
      </w:r>
      <w:r>
        <w:fldChar w:fldCharType="begin"/>
      </w:r>
      <w:r>
        <w:instrText xml:space="preserve"> PAGEREF _Toc92740291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"_Toc92740292" </w:instrText>
      </w:r>
      <w:r>
        <w:fldChar w:fldCharType="separate"/>
      </w:r>
      <w:r>
        <w:rPr>
          <w:rStyle w:val="49"/>
        </w:rPr>
        <w:t>第九部分</w:t>
      </w:r>
      <w:r>
        <w:rPr>
          <w:rFonts w:asciiTheme="minorHAnsi" w:hAnsiTheme="minorHAnsi" w:eastAsiaTheme="minorEastAsia" w:cstheme="minorBidi"/>
          <w:szCs w:val="22"/>
        </w:rPr>
        <w:tab/>
      </w:r>
      <w:r>
        <w:rPr>
          <w:rStyle w:val="49"/>
        </w:rPr>
        <w:t>基金的投资</w:t>
      </w:r>
      <w:r>
        <w:tab/>
      </w:r>
      <w:r>
        <w:t>9</w:t>
      </w:r>
      <w:r>
        <w:rPr>
          <w:rFonts w:hint="eastAsia"/>
        </w:rPr>
        <w:t>-</w:t>
      </w:r>
      <w:r>
        <w:fldChar w:fldCharType="begin"/>
      </w:r>
      <w:r>
        <w:instrText xml:space="preserve"> PAGEREF _Toc92740292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"_Toc92740293" </w:instrText>
      </w:r>
      <w:r>
        <w:fldChar w:fldCharType="separate"/>
      </w:r>
      <w:r>
        <w:rPr>
          <w:rStyle w:val="49"/>
        </w:rPr>
        <w:t>第十部分</w:t>
      </w:r>
      <w:r>
        <w:rPr>
          <w:rFonts w:asciiTheme="minorHAnsi" w:hAnsiTheme="minorHAnsi" w:eastAsiaTheme="minorEastAsia" w:cstheme="minorBidi"/>
          <w:szCs w:val="22"/>
        </w:rPr>
        <w:tab/>
      </w:r>
      <w:r>
        <w:rPr>
          <w:rStyle w:val="49"/>
        </w:rPr>
        <w:t>基金的财产</w:t>
      </w:r>
      <w:r>
        <w:tab/>
      </w:r>
      <w:r>
        <w:t>10</w:t>
      </w:r>
      <w:r>
        <w:rPr>
          <w:rFonts w:hint="eastAsia"/>
        </w:rPr>
        <w:t>-</w:t>
      </w:r>
      <w:r>
        <w:fldChar w:fldCharType="begin"/>
      </w:r>
      <w:r>
        <w:instrText xml:space="preserve"> PAGEREF _Toc92740293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"_Toc92740294" </w:instrText>
      </w:r>
      <w:r>
        <w:fldChar w:fldCharType="separate"/>
      </w:r>
      <w:r>
        <w:rPr>
          <w:rStyle w:val="49"/>
        </w:rPr>
        <w:t>第十一部分</w:t>
      </w:r>
      <w:r>
        <w:rPr>
          <w:rFonts w:asciiTheme="minorHAnsi" w:hAnsiTheme="minorHAnsi" w:eastAsiaTheme="minorEastAsia" w:cstheme="minorBidi"/>
          <w:szCs w:val="22"/>
        </w:rPr>
        <w:tab/>
      </w:r>
      <w:r>
        <w:rPr>
          <w:rStyle w:val="49"/>
        </w:rPr>
        <w:t>基金资产估值</w:t>
      </w:r>
      <w:r>
        <w:tab/>
      </w:r>
      <w:r>
        <w:t>11</w:t>
      </w:r>
      <w:r>
        <w:rPr>
          <w:rFonts w:hint="eastAsia"/>
        </w:rPr>
        <w:t>-</w:t>
      </w:r>
      <w:r>
        <w:fldChar w:fldCharType="begin"/>
      </w:r>
      <w:r>
        <w:instrText xml:space="preserve"> PAGEREF _Toc92740294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"_Toc92740295" </w:instrText>
      </w:r>
      <w:r>
        <w:fldChar w:fldCharType="separate"/>
      </w:r>
      <w:r>
        <w:rPr>
          <w:rStyle w:val="49"/>
        </w:rPr>
        <w:t>第十二部分</w:t>
      </w:r>
      <w:r>
        <w:rPr>
          <w:rFonts w:asciiTheme="minorHAnsi" w:hAnsiTheme="minorHAnsi" w:eastAsiaTheme="minorEastAsia" w:cstheme="minorBidi"/>
          <w:szCs w:val="22"/>
        </w:rPr>
        <w:tab/>
      </w:r>
      <w:r>
        <w:rPr>
          <w:rStyle w:val="49"/>
        </w:rPr>
        <w:t>基金的收益与分配</w:t>
      </w:r>
      <w:r>
        <w:tab/>
      </w:r>
      <w:r>
        <w:t>12</w:t>
      </w:r>
      <w:r>
        <w:rPr>
          <w:rFonts w:hint="eastAsia"/>
        </w:rPr>
        <w:t>-</w:t>
      </w:r>
      <w:r>
        <w:fldChar w:fldCharType="begin"/>
      </w:r>
      <w:r>
        <w:instrText xml:space="preserve"> PAGEREF _Toc92740295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"_Toc92740296" </w:instrText>
      </w:r>
      <w:r>
        <w:fldChar w:fldCharType="separate"/>
      </w:r>
      <w:r>
        <w:rPr>
          <w:rStyle w:val="49"/>
        </w:rPr>
        <w:t>第十三部分</w:t>
      </w:r>
      <w:r>
        <w:rPr>
          <w:rFonts w:asciiTheme="minorHAnsi" w:hAnsiTheme="minorHAnsi" w:eastAsiaTheme="minorEastAsia" w:cstheme="minorBidi"/>
          <w:szCs w:val="22"/>
        </w:rPr>
        <w:tab/>
      </w:r>
      <w:r>
        <w:rPr>
          <w:rStyle w:val="49"/>
        </w:rPr>
        <w:t>基金的费用与税收</w:t>
      </w:r>
      <w:r>
        <w:tab/>
      </w:r>
      <w:r>
        <w:t>13</w:t>
      </w:r>
      <w:r>
        <w:rPr>
          <w:rFonts w:hint="eastAsia"/>
        </w:rPr>
        <w:t>-</w:t>
      </w:r>
      <w:r>
        <w:fldChar w:fldCharType="begin"/>
      </w:r>
      <w:r>
        <w:instrText xml:space="preserve"> PAGEREF _Toc92740296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"_Toc92740297" </w:instrText>
      </w:r>
      <w:r>
        <w:fldChar w:fldCharType="separate"/>
      </w:r>
      <w:r>
        <w:rPr>
          <w:rStyle w:val="49"/>
        </w:rPr>
        <w:t>第十四部分</w:t>
      </w:r>
      <w:r>
        <w:rPr>
          <w:rFonts w:asciiTheme="minorHAnsi" w:hAnsiTheme="minorHAnsi" w:eastAsiaTheme="minorEastAsia" w:cstheme="minorBidi"/>
          <w:szCs w:val="22"/>
        </w:rPr>
        <w:tab/>
      </w:r>
      <w:r>
        <w:rPr>
          <w:rStyle w:val="49"/>
        </w:rPr>
        <w:t>基金的会计与审计</w:t>
      </w:r>
      <w:r>
        <w:tab/>
      </w:r>
      <w:r>
        <w:t>14</w:t>
      </w:r>
      <w:r>
        <w:rPr>
          <w:rFonts w:hint="eastAsia"/>
        </w:rPr>
        <w:t>-</w:t>
      </w:r>
      <w:r>
        <w:fldChar w:fldCharType="begin"/>
      </w:r>
      <w:r>
        <w:instrText xml:space="preserve"> PAGEREF _Toc92740297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"_Toc92740298" </w:instrText>
      </w:r>
      <w:r>
        <w:fldChar w:fldCharType="separate"/>
      </w:r>
      <w:r>
        <w:rPr>
          <w:rStyle w:val="49"/>
        </w:rPr>
        <w:t>第十五部分</w:t>
      </w:r>
      <w:r>
        <w:rPr>
          <w:rFonts w:asciiTheme="minorHAnsi" w:hAnsiTheme="minorHAnsi" w:eastAsiaTheme="minorEastAsia" w:cstheme="minorBidi"/>
          <w:szCs w:val="22"/>
        </w:rPr>
        <w:tab/>
      </w:r>
      <w:r>
        <w:rPr>
          <w:rStyle w:val="49"/>
        </w:rPr>
        <w:t>基金的信息披露</w:t>
      </w:r>
      <w:r>
        <w:tab/>
      </w:r>
      <w:r>
        <w:t>15</w:t>
      </w:r>
      <w:r>
        <w:rPr>
          <w:rFonts w:hint="eastAsia"/>
        </w:rPr>
        <w:t>-</w:t>
      </w:r>
      <w:r>
        <w:fldChar w:fldCharType="begin"/>
      </w:r>
      <w:r>
        <w:instrText xml:space="preserve"> PAGEREF _Toc92740298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"_Toc92740299" </w:instrText>
      </w:r>
      <w:r>
        <w:fldChar w:fldCharType="separate"/>
      </w:r>
      <w:r>
        <w:rPr>
          <w:rStyle w:val="49"/>
        </w:rPr>
        <w:t>第十六部分</w:t>
      </w:r>
      <w:r>
        <w:rPr>
          <w:rFonts w:asciiTheme="minorHAnsi" w:hAnsiTheme="minorHAnsi" w:eastAsiaTheme="minorEastAsia" w:cstheme="minorBidi"/>
          <w:szCs w:val="22"/>
        </w:rPr>
        <w:tab/>
      </w:r>
      <w:r>
        <w:rPr>
          <w:rStyle w:val="49"/>
        </w:rPr>
        <w:t>侧袋机制</w:t>
      </w:r>
      <w:r>
        <w:tab/>
      </w:r>
      <w:r>
        <w:t>16</w:t>
      </w:r>
      <w:r>
        <w:rPr>
          <w:rFonts w:hint="eastAsia"/>
        </w:rPr>
        <w:t>-</w:t>
      </w:r>
      <w:r>
        <w:fldChar w:fldCharType="begin"/>
      </w:r>
      <w:r>
        <w:instrText xml:space="preserve"> PAGEREF _Toc92740299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"_Toc92740300" </w:instrText>
      </w:r>
      <w:r>
        <w:fldChar w:fldCharType="separate"/>
      </w:r>
      <w:r>
        <w:rPr>
          <w:rStyle w:val="49"/>
        </w:rPr>
        <w:t>第十七部分</w:t>
      </w:r>
      <w:r>
        <w:rPr>
          <w:rFonts w:asciiTheme="minorHAnsi" w:hAnsiTheme="minorHAnsi" w:eastAsiaTheme="minorEastAsia" w:cstheme="minorBidi"/>
          <w:szCs w:val="22"/>
        </w:rPr>
        <w:tab/>
      </w:r>
      <w:r>
        <w:rPr>
          <w:rStyle w:val="49"/>
        </w:rPr>
        <w:t>风险揭示</w:t>
      </w:r>
      <w:r>
        <w:tab/>
      </w:r>
      <w:r>
        <w:t>17</w:t>
      </w:r>
      <w:r>
        <w:rPr>
          <w:rFonts w:hint="eastAsia"/>
        </w:rPr>
        <w:t>-</w:t>
      </w:r>
      <w:r>
        <w:fldChar w:fldCharType="begin"/>
      </w:r>
      <w:r>
        <w:instrText xml:space="preserve"> PAGEREF _Toc92740300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"_Toc92740301" </w:instrText>
      </w:r>
      <w:r>
        <w:fldChar w:fldCharType="separate"/>
      </w:r>
      <w:r>
        <w:rPr>
          <w:rStyle w:val="49"/>
          <w:rFonts w:ascii="黑体"/>
        </w:rPr>
        <w:t>第十八部分</w:t>
      </w:r>
      <w:r>
        <w:rPr>
          <w:rFonts w:asciiTheme="minorHAnsi" w:hAnsiTheme="minorHAnsi" w:eastAsiaTheme="minorEastAsia" w:cstheme="minorBidi"/>
          <w:szCs w:val="22"/>
        </w:rPr>
        <w:tab/>
      </w:r>
      <w:r>
        <w:rPr>
          <w:rStyle w:val="49"/>
        </w:rPr>
        <w:t>基金合同的变更、终止和基金财产的清算</w:t>
      </w:r>
      <w:r>
        <w:tab/>
      </w:r>
      <w:r>
        <w:t>18</w:t>
      </w:r>
      <w:r>
        <w:rPr>
          <w:rFonts w:hint="eastAsia"/>
        </w:rPr>
        <w:t>-</w:t>
      </w:r>
      <w:r>
        <w:fldChar w:fldCharType="begin"/>
      </w:r>
      <w:r>
        <w:instrText xml:space="preserve"> PAGEREF _Toc92740301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"_Toc92740302" </w:instrText>
      </w:r>
      <w:r>
        <w:fldChar w:fldCharType="separate"/>
      </w:r>
      <w:r>
        <w:rPr>
          <w:rStyle w:val="49"/>
        </w:rPr>
        <w:t>第十九部分</w:t>
      </w:r>
      <w:r>
        <w:rPr>
          <w:rFonts w:asciiTheme="minorHAnsi" w:hAnsiTheme="minorHAnsi" w:eastAsiaTheme="minorEastAsia" w:cstheme="minorBidi"/>
          <w:szCs w:val="22"/>
        </w:rPr>
        <w:tab/>
      </w:r>
      <w:r>
        <w:rPr>
          <w:rStyle w:val="49"/>
        </w:rPr>
        <w:t>基金合同的内容摘要</w:t>
      </w:r>
      <w:r>
        <w:tab/>
      </w:r>
      <w:r>
        <w:t>19</w:t>
      </w:r>
      <w:r>
        <w:rPr>
          <w:rFonts w:hint="eastAsia"/>
        </w:rPr>
        <w:t>-</w:t>
      </w:r>
      <w:r>
        <w:fldChar w:fldCharType="begin"/>
      </w:r>
      <w:r>
        <w:instrText xml:space="preserve"> PAGEREF _Toc92740302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"_Toc92740303" </w:instrText>
      </w:r>
      <w:r>
        <w:fldChar w:fldCharType="separate"/>
      </w:r>
      <w:r>
        <w:rPr>
          <w:rStyle w:val="49"/>
        </w:rPr>
        <w:t>第二十部分</w:t>
      </w:r>
      <w:r>
        <w:rPr>
          <w:rFonts w:asciiTheme="minorHAnsi" w:hAnsiTheme="minorHAnsi" w:eastAsiaTheme="minorEastAsia" w:cstheme="minorBidi"/>
          <w:szCs w:val="22"/>
        </w:rPr>
        <w:tab/>
      </w:r>
      <w:r>
        <w:rPr>
          <w:rStyle w:val="49"/>
        </w:rPr>
        <w:t>基金托管协议的内容摘要</w:t>
      </w:r>
      <w:r>
        <w:tab/>
      </w:r>
      <w:r>
        <w:t>20</w:t>
      </w:r>
      <w:r>
        <w:rPr>
          <w:rFonts w:hint="eastAsia"/>
        </w:rPr>
        <w:t>-</w:t>
      </w:r>
      <w:r>
        <w:fldChar w:fldCharType="begin"/>
      </w:r>
      <w:r>
        <w:instrText xml:space="preserve"> PAGEREF _Toc92740303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"_Toc92740304" </w:instrText>
      </w:r>
      <w:r>
        <w:fldChar w:fldCharType="separate"/>
      </w:r>
      <w:r>
        <w:rPr>
          <w:rStyle w:val="49"/>
          <w:rFonts w:asciiTheme="minorEastAsia" w:hAnsiTheme="minorEastAsia"/>
        </w:rPr>
        <w:t>第二十一部分</w:t>
      </w:r>
      <w:r>
        <w:rPr>
          <w:rFonts w:asciiTheme="minorHAnsi" w:hAnsiTheme="minorHAnsi" w:eastAsiaTheme="minorEastAsia" w:cstheme="minorBidi"/>
          <w:szCs w:val="22"/>
        </w:rPr>
        <w:tab/>
      </w:r>
      <w:r>
        <w:rPr>
          <w:rStyle w:val="49"/>
          <w:rFonts w:asciiTheme="minorEastAsia" w:hAnsiTheme="minorEastAsia"/>
        </w:rPr>
        <w:t>基金份额持有人服务</w:t>
      </w:r>
      <w:r>
        <w:tab/>
      </w:r>
      <w:r>
        <w:t>21</w:t>
      </w:r>
      <w:r>
        <w:rPr>
          <w:rFonts w:hint="eastAsia"/>
        </w:rPr>
        <w:t>-</w:t>
      </w:r>
      <w:r>
        <w:fldChar w:fldCharType="begin"/>
      </w:r>
      <w:r>
        <w:instrText xml:space="preserve"> PAGEREF _Toc92740304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"_Toc92740305" </w:instrText>
      </w:r>
      <w:r>
        <w:fldChar w:fldCharType="separate"/>
      </w:r>
      <w:r>
        <w:rPr>
          <w:rStyle w:val="49"/>
        </w:rPr>
        <w:t>第二十二部分</w:t>
      </w:r>
      <w:r>
        <w:rPr>
          <w:rFonts w:asciiTheme="minorHAnsi" w:hAnsiTheme="minorHAnsi" w:eastAsiaTheme="minorEastAsia" w:cstheme="minorBidi"/>
          <w:szCs w:val="22"/>
        </w:rPr>
        <w:tab/>
      </w:r>
      <w:r>
        <w:rPr>
          <w:rStyle w:val="49"/>
        </w:rPr>
        <w:t>其他应披露事项</w:t>
      </w:r>
      <w:r>
        <w:tab/>
      </w:r>
      <w:r>
        <w:t>22</w:t>
      </w:r>
      <w:r>
        <w:rPr>
          <w:rFonts w:hint="eastAsia"/>
        </w:rPr>
        <w:t>-</w:t>
      </w:r>
      <w:r>
        <w:fldChar w:fldCharType="begin"/>
      </w:r>
      <w:r>
        <w:instrText xml:space="preserve"> PAGEREF _Toc92740305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"_Toc92740306" </w:instrText>
      </w:r>
      <w:r>
        <w:fldChar w:fldCharType="separate"/>
      </w:r>
      <w:r>
        <w:rPr>
          <w:rStyle w:val="49"/>
        </w:rPr>
        <w:t>第二十三部分</w:t>
      </w:r>
      <w:r>
        <w:rPr>
          <w:rFonts w:asciiTheme="minorHAnsi" w:hAnsiTheme="minorHAnsi" w:eastAsiaTheme="minorEastAsia" w:cstheme="minorBidi"/>
          <w:szCs w:val="22"/>
        </w:rPr>
        <w:tab/>
      </w:r>
      <w:r>
        <w:rPr>
          <w:rStyle w:val="49"/>
        </w:rPr>
        <w:t>招募说明书存放及其查阅方式</w:t>
      </w:r>
      <w:r>
        <w:tab/>
      </w:r>
      <w:r>
        <w:t>23</w:t>
      </w:r>
      <w:r>
        <w:rPr>
          <w:rFonts w:hint="eastAsia"/>
        </w:rPr>
        <w:t>-</w:t>
      </w:r>
      <w:r>
        <w:fldChar w:fldCharType="begin"/>
      </w:r>
      <w:r>
        <w:instrText xml:space="preserve"> PAGEREF _Toc92740306 \h </w:instrText>
      </w:r>
      <w:r>
        <w:fldChar w:fldCharType="separate"/>
      </w:r>
      <w:r>
        <w:t>1</w:t>
      </w:r>
      <w:r>
        <w:fldChar w:fldCharType="end"/>
      </w:r>
      <w:r>
        <w:fldChar w:fldCharType="end"/>
      </w:r>
    </w:p>
    <w:p>
      <w:pPr>
        <w:pStyle w:val="36"/>
        <w:spacing w:line="360" w:lineRule="auto"/>
        <w:rPr>
          <w:rFonts w:asciiTheme="minorHAnsi" w:hAnsiTheme="minorHAnsi" w:eastAsiaTheme="minorEastAsia" w:cstheme="minorBidi"/>
          <w:szCs w:val="22"/>
        </w:rPr>
      </w:pPr>
      <w:r>
        <w:fldChar w:fldCharType="begin"/>
      </w:r>
      <w:r>
        <w:instrText xml:space="preserve"> HYPERLINK \l "_Toc92740307" </w:instrText>
      </w:r>
      <w:r>
        <w:fldChar w:fldCharType="separate"/>
      </w:r>
      <w:r>
        <w:rPr>
          <w:rStyle w:val="49"/>
        </w:rPr>
        <w:t>第二十四部分</w:t>
      </w:r>
      <w:r>
        <w:rPr>
          <w:rFonts w:asciiTheme="minorHAnsi" w:hAnsiTheme="minorHAnsi" w:eastAsiaTheme="minorEastAsia" w:cstheme="minorBidi"/>
          <w:szCs w:val="22"/>
        </w:rPr>
        <w:tab/>
      </w:r>
      <w:r>
        <w:rPr>
          <w:rStyle w:val="49"/>
        </w:rPr>
        <w:t>备查文件</w:t>
      </w:r>
      <w:r>
        <w:tab/>
      </w:r>
      <w:r>
        <w:t>24</w:t>
      </w:r>
      <w:r>
        <w:rPr>
          <w:rFonts w:hint="eastAsia"/>
        </w:rPr>
        <w:t>-</w:t>
      </w:r>
      <w:r>
        <w:fldChar w:fldCharType="begin"/>
      </w:r>
      <w:r>
        <w:instrText xml:space="preserve"> PAGEREF _Toc92740307 \h </w:instrText>
      </w:r>
      <w:r>
        <w:fldChar w:fldCharType="separate"/>
      </w:r>
      <w:r>
        <w:t>1</w:t>
      </w:r>
      <w:r>
        <w:fldChar w:fldCharType="end"/>
      </w:r>
      <w:r>
        <w:fldChar w:fldCharType="end"/>
      </w:r>
    </w:p>
    <w:p>
      <w:pPr>
        <w:spacing w:line="360" w:lineRule="auto"/>
      </w:pPr>
      <w:r>
        <w:rPr>
          <w:rFonts w:asciiTheme="minorEastAsia" w:hAnsiTheme="minorEastAsia" w:eastAsiaTheme="minorEastAsia"/>
        </w:rPr>
        <w:fldChar w:fldCharType="end"/>
      </w:r>
    </w:p>
    <w:p>
      <w:pPr>
        <w:pStyle w:val="163"/>
        <w:rPr>
          <w:rFonts w:ascii="宋体" w:hAnsi="宋体"/>
        </w:rPr>
        <w:sectPr>
          <w:pgSz w:w="11906" w:h="16838"/>
          <w:pgMar w:top="1440" w:right="1800" w:bottom="1440" w:left="1800" w:header="851" w:footer="992" w:gutter="0"/>
          <w:pgNumType w:start="0"/>
          <w:cols w:space="425" w:num="1"/>
          <w:titlePg/>
          <w:docGrid w:type="lines" w:linePitch="312" w:charSpace="0"/>
        </w:sectPr>
      </w:pPr>
    </w:p>
    <w:p>
      <w:pPr>
        <w:pStyle w:val="3"/>
        <w:numPr>
          <w:ilvl w:val="0"/>
          <w:numId w:val="26"/>
        </w:numPr>
        <w:snapToGrid w:val="0"/>
        <w:spacing w:before="0" w:after="0" w:line="360" w:lineRule="auto"/>
        <w:jc w:val="center"/>
      </w:pPr>
      <w:bookmarkStart w:id="12" w:name="_Toc360793845"/>
      <w:bookmarkStart w:id="13" w:name="_Toc362455178"/>
      <w:bookmarkStart w:id="14" w:name="_Toc215629791"/>
      <w:bookmarkStart w:id="15" w:name="_Toc360794511"/>
      <w:bookmarkStart w:id="16" w:name="_Toc360794403"/>
      <w:bookmarkStart w:id="17" w:name="_Toc360793493"/>
      <w:bookmarkStart w:id="18" w:name="_Toc411872023"/>
      <w:bookmarkStart w:id="19" w:name="_Toc375295972"/>
      <w:bookmarkStart w:id="20" w:name="_Toc360794095"/>
      <w:bookmarkStart w:id="21" w:name="_Toc350789211"/>
      <w:bookmarkStart w:id="22" w:name="_Toc92740284"/>
      <w:bookmarkStart w:id="23" w:name="_Toc454720091"/>
      <w:bookmarkStart w:id="24" w:name="_Toc80103054"/>
      <w:bookmarkStart w:id="25" w:name="_Toc10604981"/>
      <w:bookmarkStart w:id="26" w:name="_Toc4917378"/>
      <w:bookmarkStart w:id="27" w:name="_Toc79132642"/>
      <w:bookmarkStart w:id="28" w:name="_Toc73936074"/>
      <w:r>
        <w:rPr>
          <w:rFonts w:hint="eastAsia"/>
        </w:rPr>
        <w:t>绪言</w:t>
      </w:r>
      <w:bookmarkEnd w:id="12"/>
      <w:bookmarkEnd w:id="13"/>
      <w:bookmarkEnd w:id="14"/>
      <w:bookmarkEnd w:id="15"/>
      <w:bookmarkEnd w:id="16"/>
      <w:bookmarkEnd w:id="17"/>
      <w:bookmarkEnd w:id="18"/>
      <w:bookmarkEnd w:id="19"/>
      <w:bookmarkEnd w:id="20"/>
      <w:bookmarkEnd w:id="21"/>
      <w:bookmarkEnd w:id="22"/>
    </w:p>
    <w:bookmarkEnd w:id="23"/>
    <w:bookmarkEnd w:id="24"/>
    <w:bookmarkEnd w:id="25"/>
    <w:bookmarkEnd w:id="26"/>
    <w:bookmarkEnd w:id="27"/>
    <w:bookmarkEnd w:id="28"/>
    <w:p>
      <w:pPr>
        <w:pStyle w:val="163"/>
      </w:pPr>
      <w:r>
        <w:rPr>
          <w:rFonts w:hint="eastAsia"/>
        </w:rPr>
        <w:t>《博时国证新能源电池指数型证券投资基金招募说明书》（以下简称“招募说明书”或“本招募说明书”）依据</w:t>
      </w:r>
      <w:r>
        <w:rPr>
          <w:rFonts w:hint="eastAsia" w:cs="宋体" w:asciiTheme="minorEastAsia" w:hAnsiTheme="minorEastAsia"/>
          <w:kern w:val="0"/>
        </w:rPr>
        <w:t>《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w:t>
      </w:r>
      <w:r>
        <w:rPr>
          <w:rFonts w:hint="eastAsia"/>
        </w:rPr>
        <w:t>以及《博时国证新能源电池指数型证券投资基金基金合同》（以下简称“《基金合同》”）编写。</w:t>
      </w:r>
    </w:p>
    <w:p>
      <w:pPr>
        <w:pStyle w:val="163"/>
        <w:rPr>
          <w:szCs w:val="23"/>
        </w:rPr>
      </w:pPr>
      <w:r>
        <w:rPr>
          <w:rFonts w:hint="eastAsia"/>
          <w:szCs w:val="23"/>
        </w:rPr>
        <w:t>本招募说明书阐述了</w:t>
      </w:r>
      <w:r>
        <w:rPr>
          <w:rFonts w:hint="eastAsia"/>
        </w:rPr>
        <w:t>博时国证新能源电池指数型证券投资基金（以下简称“基金”或“本基金”）</w:t>
      </w:r>
      <w:r>
        <w:rPr>
          <w:rFonts w:hint="eastAsia"/>
          <w:szCs w:val="23"/>
        </w:rPr>
        <w:t>的投资目标、策略、风险、费率等与投资人投资决策有关的必要事项，投资人在作出投资决策前应仔细阅读本招募说明书。</w:t>
      </w:r>
    </w:p>
    <w:p>
      <w:pPr>
        <w:pStyle w:val="163"/>
        <w:rPr>
          <w:szCs w:val="23"/>
        </w:rPr>
      </w:pPr>
      <w:r>
        <w:rPr>
          <w:rFonts w:hint="eastAsia"/>
          <w:szCs w:val="23"/>
        </w:rPr>
        <w:t>基金管理人承诺本招募说明书不存在任何虚假记载、误导性陈述或者重大遗漏，并对其真实性、准确性、完整性承担法律责任。</w:t>
      </w:r>
    </w:p>
    <w:p>
      <w:pPr>
        <w:pStyle w:val="163"/>
        <w:rPr>
          <w:szCs w:val="23"/>
        </w:rPr>
      </w:pPr>
      <w:r>
        <w:rPr>
          <w:rFonts w:hint="eastAsia"/>
          <w:szCs w:val="23"/>
        </w:rPr>
        <w:t>本基金是根据本招募说明书所载明的资料申请募集的。本基金管理人没有委托或授权任何其他人提供未在本招募说明书中载明的信息，或对本招募说明书作任何解释或者说明。</w:t>
      </w:r>
    </w:p>
    <w:p>
      <w:pPr>
        <w:snapToGrid w:val="0"/>
        <w:spacing w:line="360" w:lineRule="auto"/>
        <w:ind w:firstLine="420" w:firstLineChars="200"/>
        <w:rPr>
          <w:szCs w:val="23"/>
        </w:rPr>
      </w:pPr>
      <w:r>
        <w:rPr>
          <w:rFonts w:hint="eastAsia"/>
          <w:szCs w:val="23"/>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snapToGrid w:val="0"/>
        <w:spacing w:line="360" w:lineRule="auto"/>
        <w:ind w:firstLine="420" w:firstLineChars="200"/>
        <w:rPr>
          <w:color w:val="000000"/>
          <w:szCs w:val="23"/>
        </w:rPr>
        <w:sectPr>
          <w:footerReference r:id="rId3" w:type="firs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29" w:name="_Toc332013110"/>
      <w:bookmarkStart w:id="30" w:name="_Toc327902623"/>
      <w:bookmarkStart w:id="31" w:name="_Toc335899833"/>
      <w:bookmarkStart w:id="32" w:name="_Toc336606227"/>
      <w:bookmarkStart w:id="33" w:name="_Toc411872024"/>
      <w:bookmarkStart w:id="34" w:name="_Toc92740285"/>
      <w:bookmarkStart w:id="35" w:name="_Toc369510008"/>
      <w:bookmarkStart w:id="36" w:name="_Toc375295973"/>
      <w:r>
        <w:rPr>
          <w:rFonts w:hint="eastAsia"/>
        </w:rPr>
        <w:t>释义</w:t>
      </w:r>
      <w:bookmarkEnd w:id="29"/>
      <w:bookmarkEnd w:id="30"/>
      <w:bookmarkEnd w:id="31"/>
      <w:bookmarkEnd w:id="32"/>
      <w:bookmarkEnd w:id="33"/>
      <w:bookmarkEnd w:id="34"/>
      <w:bookmarkEnd w:id="35"/>
      <w:bookmarkEnd w:id="36"/>
    </w:p>
    <w:p>
      <w:pPr>
        <w:pStyle w:val="163"/>
        <w:ind w:left="420" w:firstLine="0" w:firstLineChars="0"/>
        <w:rPr>
          <w:bCs/>
        </w:rPr>
      </w:pPr>
      <w:r>
        <w:t xml:space="preserve">在本招募说明书中，除非文意另有所指，下列词语或简称具有如下含义： </w:t>
      </w:r>
    </w:p>
    <w:p>
      <w:pPr>
        <w:autoSpaceDE w:val="0"/>
        <w:autoSpaceDN w:val="0"/>
        <w:adjustRightInd w:val="0"/>
        <w:spacing w:line="360" w:lineRule="auto"/>
        <w:ind w:firstLine="420" w:firstLineChars="200"/>
        <w:rPr>
          <w:rFonts w:eastAsiaTheme="minorEastAsia"/>
          <w:kern w:val="0"/>
          <w:szCs w:val="21"/>
        </w:rPr>
      </w:pPr>
      <w:r>
        <w:rPr>
          <w:rFonts w:eastAsiaTheme="minorEastAsia"/>
          <w:kern w:val="0"/>
          <w:szCs w:val="21"/>
        </w:rPr>
        <w:t>1、基金或本基金：指</w:t>
      </w:r>
      <w:r>
        <w:rPr>
          <w:rFonts w:hint="eastAsia" w:eastAsiaTheme="minorEastAsia"/>
          <w:kern w:val="0"/>
          <w:szCs w:val="21"/>
        </w:rPr>
        <w:t>博时国证新能源电池指数型证券投资基金</w:t>
      </w:r>
    </w:p>
    <w:p>
      <w:pPr>
        <w:autoSpaceDE w:val="0"/>
        <w:autoSpaceDN w:val="0"/>
        <w:adjustRightInd w:val="0"/>
        <w:spacing w:line="360" w:lineRule="auto"/>
        <w:ind w:firstLine="420" w:firstLineChars="200"/>
        <w:rPr>
          <w:rFonts w:eastAsiaTheme="minorEastAsia"/>
          <w:kern w:val="0"/>
          <w:szCs w:val="21"/>
        </w:rPr>
      </w:pPr>
      <w:r>
        <w:rPr>
          <w:rFonts w:eastAsiaTheme="minorEastAsia"/>
          <w:kern w:val="0"/>
          <w:szCs w:val="21"/>
        </w:rPr>
        <w:t>2、基金管理人：指博时基金管理有限公司</w:t>
      </w:r>
    </w:p>
    <w:p>
      <w:pPr>
        <w:autoSpaceDE w:val="0"/>
        <w:autoSpaceDN w:val="0"/>
        <w:adjustRightInd w:val="0"/>
        <w:spacing w:line="360" w:lineRule="auto"/>
        <w:ind w:firstLine="420" w:firstLineChars="200"/>
        <w:rPr>
          <w:rFonts w:eastAsiaTheme="minorEastAsia"/>
          <w:kern w:val="0"/>
          <w:szCs w:val="21"/>
        </w:rPr>
      </w:pPr>
      <w:r>
        <w:rPr>
          <w:rFonts w:eastAsiaTheme="minorEastAsia"/>
          <w:kern w:val="0"/>
          <w:szCs w:val="21"/>
        </w:rPr>
        <w:t>3、基金托管人：指</w:t>
      </w:r>
      <w:r>
        <w:rPr>
          <w:rFonts w:hint="eastAsia" w:eastAsiaTheme="minorEastAsia"/>
          <w:kern w:val="0"/>
          <w:szCs w:val="21"/>
        </w:rPr>
        <w:t>交通银行股份有限公司</w:t>
      </w:r>
    </w:p>
    <w:p>
      <w:pPr>
        <w:autoSpaceDE w:val="0"/>
        <w:autoSpaceDN w:val="0"/>
        <w:adjustRightInd w:val="0"/>
        <w:spacing w:line="360" w:lineRule="auto"/>
        <w:ind w:firstLine="420" w:firstLineChars="200"/>
        <w:rPr>
          <w:rFonts w:eastAsiaTheme="minorEastAsia"/>
          <w:kern w:val="0"/>
          <w:szCs w:val="21"/>
        </w:rPr>
      </w:pPr>
      <w:r>
        <w:rPr>
          <w:rFonts w:eastAsiaTheme="minorEastAsia"/>
          <w:kern w:val="0"/>
          <w:szCs w:val="21"/>
        </w:rPr>
        <w:t>4、基金合同或《基金合同》：指《</w:t>
      </w:r>
      <w:r>
        <w:rPr>
          <w:rFonts w:hint="eastAsia" w:eastAsiaTheme="minorEastAsia"/>
          <w:kern w:val="0"/>
          <w:szCs w:val="21"/>
        </w:rPr>
        <w:t>博时国证新能源电池指数型证券投资基金</w:t>
      </w:r>
      <w:r>
        <w:rPr>
          <w:rFonts w:eastAsiaTheme="minorEastAsia"/>
          <w:kern w:val="0"/>
          <w:szCs w:val="21"/>
        </w:rPr>
        <w:t>基金合同》及对基金合同的任何有效修订和补充</w:t>
      </w:r>
    </w:p>
    <w:p>
      <w:pPr>
        <w:autoSpaceDE w:val="0"/>
        <w:autoSpaceDN w:val="0"/>
        <w:adjustRightInd w:val="0"/>
        <w:spacing w:line="360" w:lineRule="auto"/>
        <w:ind w:firstLine="420" w:firstLineChars="200"/>
        <w:rPr>
          <w:rFonts w:eastAsiaTheme="minorEastAsia"/>
          <w:kern w:val="0"/>
          <w:szCs w:val="21"/>
        </w:rPr>
      </w:pPr>
      <w:r>
        <w:rPr>
          <w:rFonts w:eastAsiaTheme="minorEastAsia"/>
          <w:kern w:val="0"/>
          <w:szCs w:val="21"/>
        </w:rPr>
        <w:t>5、托管协议：指基金管理人与基金托管人就本基金签订之《</w:t>
      </w:r>
      <w:r>
        <w:rPr>
          <w:rFonts w:hint="eastAsia" w:eastAsiaTheme="minorEastAsia"/>
          <w:kern w:val="0"/>
          <w:szCs w:val="21"/>
        </w:rPr>
        <w:t>博时国证新能源电池指数型证券投资基金</w:t>
      </w:r>
      <w:r>
        <w:rPr>
          <w:rFonts w:eastAsiaTheme="minorEastAsia"/>
          <w:kern w:val="0"/>
          <w:szCs w:val="21"/>
        </w:rPr>
        <w:t>托管协议》及对该托管协议的任何有效修订和补充</w:t>
      </w:r>
    </w:p>
    <w:p>
      <w:pPr>
        <w:autoSpaceDE w:val="0"/>
        <w:autoSpaceDN w:val="0"/>
        <w:adjustRightInd w:val="0"/>
        <w:spacing w:line="360" w:lineRule="auto"/>
        <w:ind w:firstLine="420" w:firstLineChars="200"/>
        <w:rPr>
          <w:rFonts w:eastAsiaTheme="minorEastAsia"/>
          <w:kern w:val="0"/>
          <w:szCs w:val="21"/>
        </w:rPr>
      </w:pPr>
      <w:r>
        <w:rPr>
          <w:rFonts w:eastAsiaTheme="minorEastAsia"/>
          <w:kern w:val="0"/>
          <w:szCs w:val="21"/>
        </w:rPr>
        <w:t>6、招募说明书或本招募说明书：指《</w:t>
      </w:r>
      <w:r>
        <w:rPr>
          <w:rFonts w:hint="eastAsia" w:eastAsiaTheme="minorEastAsia"/>
          <w:kern w:val="0"/>
          <w:szCs w:val="21"/>
        </w:rPr>
        <w:t>博时国证新能源电池指数型证券投资基金</w:t>
      </w:r>
      <w:r>
        <w:rPr>
          <w:rFonts w:eastAsiaTheme="minorEastAsia"/>
          <w:kern w:val="0"/>
          <w:szCs w:val="21"/>
        </w:rPr>
        <w:t>招募说明书》及其更新</w:t>
      </w:r>
    </w:p>
    <w:p>
      <w:pPr>
        <w:autoSpaceDE w:val="0"/>
        <w:autoSpaceDN w:val="0"/>
        <w:adjustRightInd w:val="0"/>
        <w:spacing w:line="360" w:lineRule="auto"/>
        <w:ind w:firstLine="420" w:firstLineChars="200"/>
        <w:rPr>
          <w:rFonts w:eastAsiaTheme="minorEastAsia"/>
          <w:kern w:val="0"/>
          <w:szCs w:val="21"/>
        </w:rPr>
      </w:pPr>
      <w:r>
        <w:rPr>
          <w:rFonts w:eastAsiaTheme="minorEastAsia"/>
          <w:kern w:val="0"/>
          <w:szCs w:val="21"/>
        </w:rPr>
        <w:t>7、基金份额发售公告：指《</w:t>
      </w:r>
      <w:r>
        <w:rPr>
          <w:rFonts w:hint="eastAsia" w:eastAsiaTheme="minorEastAsia"/>
          <w:kern w:val="0"/>
          <w:szCs w:val="21"/>
        </w:rPr>
        <w:t>博时国证新能源电池指数型证券投资基金</w:t>
      </w:r>
      <w:r>
        <w:rPr>
          <w:rFonts w:eastAsiaTheme="minorEastAsia"/>
          <w:kern w:val="0"/>
          <w:szCs w:val="21"/>
        </w:rPr>
        <w:t>基金份额发售公告》</w:t>
      </w:r>
    </w:p>
    <w:p>
      <w:pPr>
        <w:autoSpaceDE w:val="0"/>
        <w:autoSpaceDN w:val="0"/>
        <w:adjustRightInd w:val="0"/>
        <w:spacing w:line="360" w:lineRule="auto"/>
        <w:ind w:firstLine="420" w:firstLineChars="200"/>
        <w:rPr>
          <w:rFonts w:eastAsiaTheme="minorEastAsia"/>
          <w:kern w:val="0"/>
          <w:szCs w:val="21"/>
        </w:rPr>
      </w:pPr>
      <w:r>
        <w:rPr>
          <w:rFonts w:eastAsiaTheme="minorEastAsia"/>
          <w:kern w:val="0"/>
          <w:szCs w:val="21"/>
        </w:rPr>
        <w:t>8、基金产品资料概要：指《</w:t>
      </w:r>
      <w:r>
        <w:rPr>
          <w:rFonts w:hint="eastAsia" w:eastAsiaTheme="minorEastAsia"/>
          <w:kern w:val="0"/>
          <w:szCs w:val="21"/>
        </w:rPr>
        <w:t>博时国证新能源电池指数型证券投资基金</w:t>
      </w:r>
      <w:r>
        <w:rPr>
          <w:rFonts w:eastAsiaTheme="minorEastAsia"/>
          <w:kern w:val="0"/>
          <w:szCs w:val="21"/>
        </w:rPr>
        <w:t>基金产品资料概要》及其更新</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9、法律法规：指中国现行有效并公布实施的法律、行政法规、规范性文件、司法解释、行政规章以及其他对基金合同当事人有约束力的决定、决议、通知等</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11、《销售办法》：指中国证监会2020年8月28日颁布、同年10月1日实施的《公开募集证券投资基金销售机构监督管理办法》及颁布机关对其不时做出的修订</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13、《运作办法》：指中国证监会2014年7月7日颁布、同年8月8日实施的《公开募集证券投资基金运作管理办法》及颁布机关对其不时做出的修订</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14、《流动性风险管理规定》：指中国证监会2017年8月31日颁布、同年10月1日实施的《公开募集开放式证券投资基金流动性风险管理规定》及颁布机关对其不时做出的修订</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15、中国证监会：指中国证券监督管理委员会</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16、银行业监督管理机构：指中国人民银行和/或国家金融监督管理总局</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17、基金合同当事人：指受基金合同约束，根据基金合同享有权利并承担义务的法律主体，包括基金管理人、基金托管人和基金份额持有人</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18、个人投资者：指依据有关法律法规规定可投资于证券投资基金的自然人</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21、投资人、投资者：指个人投资者、机构投资者、合格境外投资者以及法律法规或中国证监会允许购买证券投资基金的其他投资人的合称</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22、基金份额持有人：指依基金合同和招募说明书合法取得基金份额的投资人</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23、基金销售业务：指基金管理人或销售机构宣传推介基金，发售基金份额，办理基金份额的申购、赎回、转换、转托管及定期定额投资等业务</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24、销售机构：指博时基金管理有限公司以及符合《销售办法》和中国证监会规定的其他条件，取得基金销售业务资格并与基金管理人签订了基金销售服务协议，办理基金销售业务的机构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26、登记机构：指办理登记业务的机构。本基金的登记机构为博时基金管理有限公司</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27、基金账户：指登记机构为投资人开立的、记录其持有的、基金管理人所管理的基金份额余额及其变动情况的账户</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28、基金交易账户：指销售机构为投资人开立的、记录投资人通过该销售机构办理认购、申购、赎回、转换、转托管及定期定额投资等业务而引起的基金份额变动及结余情况的账户</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30、基金合同终止日：指基金合同规定的基金合同终止事由出现后，基金财产清算完毕，清算结果报中国证监会备案并予以公告的日期</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31、基金募集期：指自基金份额发售之日起至发售结束之日止的期间，最长不得超过3个月</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32、存续期：指基金合同生效至终止之间的不定期期限</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33、工作日：指上海证券交易所、深圳证券交易所及相关期货交易所的正常交易日</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34、T日：指销售机构在规定时间受理投资人申购、赎回或其他业务申请的开放日</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35、T+n日：指自T日起第n个工作日（不包含T日），n为自然数</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36、开放日：指为投资人办理基金份额申购、赎回或其他业务的工作日</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37、开放时间：指开放日基金接受申购、赎回或其他交易的时间段</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38、《业务规则》：指《博时基金管理有限公司开放式基金业务规则》，是规范基金管理人所管理的开放式证券投资基金登记方面的业务规则，由基金管理人、销售机构和投资人共同遵守</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39、认购：指在基金募集期内，投资人根据基金合同和招募说明书的规定，申请购买基金份额的行为</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40、申购：指基金合同生效后，投资人根据基金合同和招募说明书的规定，申请购买基金份额的行为</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41、赎回：指基金合同生效后，基金份额持有人按基金合同和招募说明书规定的条件，要求将基金份额兑换为现金的行为</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42、基金转换：指基金份额持有人按照基金合同和基金管理人届时有效公告规定的条件，申请将其持有基金管理人管理的、某一基金的基金份额转换为基金管理人管理的其他基金基金份额的行为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43、转托管：指基金份额持有人在本基金的不同销售机构之间实施的变更所持基金份额销售机构的操作</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44、定期定额投资计划：指投资人通过有关销售机构提出申请，约定每期申购日、扣款金额及扣款方式，由销售机构于每期约定扣款日在投资人指定银行账户内自动完成扣款及受理基金申购申请的一种投资方式</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45、巨额赎回：指本基金单个开放日，基金净赎回申请（赎回申请份额总数加上基金转换中转出申请份额总数后扣除申购申请份额总数及基金转换中转入申请份额总数后的余额）超过上一开放日基金总份额的10%</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46、元：指人民币元</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47、基金收益：指基金投资所得红利、股息、债券利息、买卖证券价差、证券持有期间的公允价值变动、银行存款利息、已实现的其他合法收入及因运用基金财产带来的成本和费用的节约</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48、基金资产总值：指基金拥有的各类有价证券、银行存款本息、基金应收款项及其他资产的价值总和</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49、基金资产净值：指基金资产总值减去基金负债后的价值</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50、基金份额净值：指计算日基金资产净值除以计算日基金份额总数</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51、基金资产估值：指计算评估基金资产和负债的价值，以确定基金资产净值和基金份额净值的过程</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52、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53、A类基金份额：在投资者认购、申购基金份额时收取认购、申购费用，不从本类别基金资产中计提销售服务费的，称为A类基金份额；投资者通过直销机构认购/申购A类基金份额时不收取认购/申购费用。基金管理人的销售子公司销售本基金A类基金份额，参照直销机构相关规则执行（下同）</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54、C类基金份额：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基金管理人的销售子公司销售本基金C类基金份额，参照直销机构相关规则执行（下同）</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55、销售服务费：指从基金财产中计提的，用于本基金市场推广、销售以及基金份额持有人服务的费用</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57、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58、转融通证券出借业务：指基金以一定的费率通过证券交易所综合业务平台向中国证券金融股份有限公司（以下简称证券金融公司）出借证券，证券金融公司到期归还所借证券及相应权益补偿并支付费用的业务</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59、规定媒介：指符合中国证监会规定条件的用以进行信息披露的全国性报刊及《信息披露办法》规定的互联网网站（包括基金管理人网站、基金托管人网站、中国证监会基金电子披露网站）等媒介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60、中国法律：指中华人民共和国法律，就基金合同而言，不包括香港特别行政区、澳门特别行政区和台湾地区法律</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61、不可抗力：指基金合同当事人不能预见、不能避免且不能克服的客观事件</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62、《指数基金指引》：指中国证监会2021年1月22日颁布、同年2月1日实施的《公开募集证券投资基金运作指引第3号——指数基金指引》及颁布机关对其不时做出的修订</w:t>
      </w:r>
    </w:p>
    <w:p>
      <w:pPr>
        <w:autoSpaceDE w:val="0"/>
        <w:autoSpaceDN w:val="0"/>
        <w:adjustRightIn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63、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pacing w:line="360" w:lineRule="auto"/>
        <w:ind w:firstLine="420" w:firstLineChars="200"/>
        <w:rPr>
          <w:rFonts w:cs="宋体" w:asciiTheme="minorEastAsia" w:hAnsiTheme="minorEastAsia" w:eastAsiaTheme="minorEastAsia"/>
          <w:kern w:val="0"/>
          <w:szCs w:val="21"/>
        </w:rPr>
        <w:sectPr>
          <w:footerReference r:id="rId5" w:type="first"/>
          <w:footerReference r:id="rId4" w:type="default"/>
          <w:pgSz w:w="11906" w:h="16838"/>
          <w:pgMar w:top="1440" w:right="1800" w:bottom="1440" w:left="1800" w:header="851" w:footer="992" w:gutter="0"/>
          <w:pgNumType w:start="1"/>
          <w:cols w:space="425" w:num="1"/>
          <w:titlePg/>
          <w:docGrid w:type="lines" w:linePitch="312" w:charSpace="0"/>
        </w:sectPr>
      </w:pPr>
      <w:r>
        <w:rPr>
          <w:rFonts w:hint="eastAsia" w:cs="宋体" w:asciiTheme="minorEastAsia" w:hAnsiTheme="minorEastAsia" w:eastAsiaTheme="minorEastAsia"/>
          <w:kern w:val="0"/>
          <w:szCs w:val="21"/>
        </w:rPr>
        <w:t>64、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pPr>
        <w:pStyle w:val="3"/>
        <w:numPr>
          <w:ilvl w:val="0"/>
          <w:numId w:val="26"/>
        </w:numPr>
        <w:snapToGrid w:val="0"/>
        <w:spacing w:before="0" w:after="0" w:line="360" w:lineRule="auto"/>
        <w:jc w:val="center"/>
      </w:pPr>
      <w:bookmarkStart w:id="37" w:name="_Toc375295974"/>
      <w:bookmarkStart w:id="38" w:name="_Toc369510009"/>
      <w:bookmarkStart w:id="39" w:name="_Toc332013111"/>
      <w:bookmarkStart w:id="40" w:name="_Toc335899834"/>
      <w:bookmarkStart w:id="41" w:name="_Toc92740286"/>
      <w:bookmarkStart w:id="42" w:name="_Toc336606228"/>
      <w:bookmarkStart w:id="43" w:name="_Toc327902624"/>
      <w:bookmarkStart w:id="44" w:name="_Toc411872025"/>
      <w:r>
        <w:rPr>
          <w:rFonts w:hint="eastAsia"/>
        </w:rPr>
        <w:t>基金管理人</w:t>
      </w:r>
      <w:bookmarkEnd w:id="37"/>
      <w:bookmarkEnd w:id="38"/>
      <w:bookmarkEnd w:id="39"/>
      <w:bookmarkEnd w:id="40"/>
      <w:bookmarkEnd w:id="41"/>
      <w:bookmarkEnd w:id="42"/>
      <w:bookmarkEnd w:id="43"/>
      <w:bookmarkEnd w:id="44"/>
    </w:p>
    <w:p>
      <w:pPr>
        <w:pStyle w:val="39"/>
        <w:spacing w:before="0" w:beforeAutospacing="0" w:after="0" w:afterAutospacing="0" w:line="360" w:lineRule="auto"/>
        <w:ind w:firstLine="420"/>
        <w:rPr>
          <w:sz w:val="21"/>
          <w:szCs w:val="21"/>
        </w:rPr>
      </w:pPr>
      <w:bookmarkStart w:id="45" w:name="_Toc238013747"/>
      <w:bookmarkEnd w:id="45"/>
      <w:bookmarkStart w:id="46" w:name="_Toc524923215"/>
      <w:bookmarkStart w:id="47" w:name="_Toc214873593"/>
      <w:bookmarkStart w:id="48" w:name="_Toc408483999"/>
      <w:r>
        <w:rPr>
          <w:rStyle w:val="46"/>
          <w:rFonts w:hint="eastAsia"/>
          <w:sz w:val="21"/>
          <w:szCs w:val="21"/>
        </w:rPr>
        <w:t>一、基金管理人概况</w:t>
      </w:r>
    </w:p>
    <w:p>
      <w:pPr>
        <w:pStyle w:val="39"/>
        <w:spacing w:before="0" w:beforeAutospacing="0" w:after="0" w:afterAutospacing="0" w:line="360" w:lineRule="auto"/>
        <w:ind w:firstLine="420"/>
        <w:rPr>
          <w:rFonts w:hint="eastAsia"/>
          <w:sz w:val="21"/>
          <w:szCs w:val="21"/>
        </w:rPr>
      </w:pPr>
      <w:bookmarkStart w:id="49" w:name="field_0_managercompanyinfo_1_start"/>
      <w:bookmarkEnd w:id="49"/>
      <w:r>
        <w:rPr>
          <w:rFonts w:hint="eastAsia"/>
          <w:sz w:val="21"/>
          <w:szCs w:val="21"/>
        </w:rPr>
        <w:t>名称：</w:t>
      </w:r>
      <w:r>
        <w:rPr>
          <w:rFonts w:hint="eastAsia"/>
          <w:sz w:val="21"/>
          <w:szCs w:val="21"/>
        </w:rPr>
        <w:tab/>
      </w:r>
      <w:r>
        <w:rPr>
          <w:rFonts w:hint="eastAsia"/>
          <w:sz w:val="21"/>
          <w:szCs w:val="21"/>
        </w:rPr>
        <w:t>博时基金管理有限公司</w:t>
      </w:r>
    </w:p>
    <w:p>
      <w:pPr>
        <w:pStyle w:val="39"/>
        <w:spacing w:before="0" w:beforeAutospacing="0" w:after="0" w:afterAutospacing="0" w:line="360" w:lineRule="auto"/>
        <w:ind w:firstLine="420"/>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pPr>
        <w:pStyle w:val="39"/>
        <w:spacing w:before="0" w:beforeAutospacing="0" w:after="0" w:afterAutospacing="0" w:line="360" w:lineRule="auto"/>
        <w:ind w:firstLine="420"/>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pPr>
        <w:pStyle w:val="39"/>
        <w:spacing w:before="0" w:beforeAutospacing="0" w:after="0" w:afterAutospacing="0" w:line="360" w:lineRule="auto"/>
        <w:ind w:firstLine="420"/>
        <w:rPr>
          <w:rFonts w:hint="eastAsia"/>
          <w:sz w:val="21"/>
          <w:szCs w:val="21"/>
        </w:rPr>
      </w:pPr>
      <w:r>
        <w:rPr>
          <w:rFonts w:hint="eastAsia"/>
          <w:sz w:val="21"/>
          <w:szCs w:val="21"/>
        </w:rPr>
        <w:t>法定代表人：张东</w:t>
      </w:r>
    </w:p>
    <w:p>
      <w:pPr>
        <w:pStyle w:val="39"/>
        <w:spacing w:before="0" w:beforeAutospacing="0" w:after="0" w:afterAutospacing="0" w:line="360" w:lineRule="auto"/>
        <w:ind w:firstLine="420"/>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pPr>
        <w:pStyle w:val="39"/>
        <w:spacing w:before="0" w:beforeAutospacing="0" w:after="0" w:afterAutospacing="0" w:line="360" w:lineRule="auto"/>
        <w:ind w:firstLine="420"/>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pPr>
        <w:pStyle w:val="39"/>
        <w:spacing w:before="0" w:beforeAutospacing="0" w:after="0" w:afterAutospacing="0" w:line="360" w:lineRule="auto"/>
        <w:ind w:firstLine="420"/>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pPr>
        <w:pStyle w:val="39"/>
        <w:spacing w:before="0" w:beforeAutospacing="0" w:after="0" w:afterAutospacing="0" w:line="360" w:lineRule="auto"/>
        <w:ind w:firstLine="420"/>
        <w:rPr>
          <w:rFonts w:hint="eastAsia"/>
          <w:sz w:val="21"/>
          <w:szCs w:val="21"/>
        </w:rPr>
      </w:pPr>
      <w:r>
        <w:rPr>
          <w:rFonts w:hint="eastAsia"/>
          <w:sz w:val="21"/>
          <w:szCs w:val="21"/>
        </w:rPr>
        <w:t>联系人：    杜松岭</w:t>
      </w:r>
    </w:p>
    <w:p>
      <w:pPr>
        <w:pStyle w:val="39"/>
        <w:spacing w:before="0" w:beforeAutospacing="0" w:after="0" w:afterAutospacing="0" w:line="360" w:lineRule="auto"/>
        <w:ind w:firstLine="420"/>
        <w:rPr>
          <w:rFonts w:hint="eastAsia"/>
          <w:sz w:val="21"/>
          <w:szCs w:val="21"/>
        </w:rPr>
      </w:pPr>
      <w:r>
        <w:rPr>
          <w:rFonts w:hint="eastAsia"/>
          <w:sz w:val="21"/>
          <w:szCs w:val="21"/>
        </w:rPr>
        <w:t>联系电话：  （0755）8316 9999</w:t>
      </w:r>
    </w:p>
    <w:p>
      <w:pPr>
        <w:pStyle w:val="39"/>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39"/>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39"/>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39"/>
        <w:spacing w:before="0" w:beforeAutospacing="0" w:after="0" w:afterAutospacing="0" w:line="360" w:lineRule="auto"/>
        <w:ind w:firstLine="420"/>
        <w:rPr>
          <w:sz w:val="21"/>
          <w:szCs w:val="21"/>
          <w:highlight w:val="none"/>
        </w:rPr>
      </w:pPr>
      <w:r>
        <w:rPr>
          <w:rStyle w:val="46"/>
          <w:rFonts w:hint="eastAsia"/>
          <w:sz w:val="21"/>
          <w:szCs w:val="21"/>
          <w:highlight w:val="none"/>
        </w:rPr>
        <w:t>二、主要成员情况</w:t>
      </w:r>
    </w:p>
    <w:p>
      <w:pPr>
        <w:pStyle w:val="39"/>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39"/>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39"/>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39"/>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spacing w:line="360" w:lineRule="auto"/>
        <w:ind w:firstLine="420" w:firstLineChars="20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39"/>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39"/>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39"/>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39"/>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39"/>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39"/>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39"/>
        <w:spacing w:before="0" w:beforeAutospacing="0" w:after="0" w:afterAutospacing="0" w:line="360" w:lineRule="auto"/>
        <w:ind w:firstLine="420"/>
        <w:rPr>
          <w:rFonts w:hint="eastAsia"/>
          <w:sz w:val="21"/>
          <w:szCs w:val="21"/>
          <w:highlight w:val="none"/>
        </w:rPr>
      </w:pPr>
      <w:bookmarkStart w:id="50" w:name="OLE_LINK3"/>
      <w:r>
        <w:rPr>
          <w:rFonts w:hint="eastAsia"/>
          <w:sz w:val="21"/>
          <w:szCs w:val="21"/>
          <w:highlight w:val="none"/>
          <w:lang w:eastAsia="zh-CN"/>
        </w:rPr>
        <w:t>张东先生，</w:t>
      </w:r>
      <w:r>
        <w:rPr>
          <w:rFonts w:hint="eastAsia"/>
          <w:sz w:val="21"/>
          <w:szCs w:val="21"/>
          <w:highlight w:val="none"/>
        </w:rPr>
        <w:t>简历同上。</w:t>
      </w:r>
    </w:p>
    <w:p>
      <w:pPr>
        <w:pStyle w:val="39"/>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50"/>
    <w:p>
      <w:pPr>
        <w:pStyle w:val="39"/>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39"/>
        <w:spacing w:before="0" w:beforeAutospacing="0" w:after="0" w:afterAutospacing="0" w:line="360" w:lineRule="auto"/>
        <w:ind w:firstLine="420"/>
        <w:rPr>
          <w:rFonts w:hint="eastAsia"/>
          <w:sz w:val="21"/>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xml:space="preserve">  </w:t>
      </w:r>
    </w:p>
    <w:p>
      <w:pPr>
        <w:pStyle w:val="39"/>
        <w:spacing w:before="0" w:beforeAutospacing="0" w:after="0" w:afterAutospacing="0" w:line="360" w:lineRule="auto"/>
        <w:ind w:firstLine="420"/>
        <w:rPr>
          <w:rFonts w:hint="eastAsia" w:cs="宋体"/>
          <w:sz w:val="21"/>
          <w:szCs w:val="21"/>
        </w:rPr>
      </w:pPr>
      <w:r>
        <w:rPr>
          <w:rFonts w:hint="eastAsia" w:cs="宋体"/>
          <w:sz w:val="21"/>
          <w:szCs w:val="21"/>
        </w:rPr>
        <w:t>3、本基金基金经理</w:t>
      </w:r>
    </w:p>
    <w:p>
      <w:pPr>
        <w:widowControl/>
        <w:adjustRightInd w:val="0"/>
        <w:snapToGrid w:val="0"/>
        <w:spacing w:line="360" w:lineRule="auto"/>
        <w:ind w:firstLine="420" w:firstLineChars="200"/>
        <w:rPr>
          <w:rFonts w:hint="eastAsia" w:ascii="宋体" w:hAnsi="宋体" w:cs="宋体"/>
          <w:bCs/>
          <w:kern w:val="0"/>
          <w:szCs w:val="21"/>
        </w:rPr>
      </w:pPr>
      <w:r>
        <w:rPr>
          <w:rFonts w:hint="eastAsia" w:ascii="宋体" w:hAnsi="宋体" w:cs="宋体"/>
          <w:bCs/>
          <w:kern w:val="0"/>
          <w:sz w:val="21"/>
          <w:szCs w:val="21"/>
        </w:rPr>
        <w:t>王萌先生，博士。2016年毕业后加入博时基金管理有限公司。现任博时恒生港股通高股息率交易型开放式指数证券投资基金(2025年4月16日—至今)、博时中证全指自由现金流交易型开放式指数证券投资基金(2025年6月30日—至今)、博时恒生港股通创新药精选交易型开放式指数证券投资基金(2025年7月23日—至今)、博时中证全指自由现金流交易型开放式指数证券投资基金联接基金(2025年9月1日—至今)、博时国证工业软件主题交易型开放式指数证券投资基金(2025年11月12日—至今)、博时中证光伏产业交易型开放式指数证券投资基金(2026年2月11日—至今)的基金经理</w:t>
      </w:r>
      <w:r>
        <w:rPr>
          <w:rFonts w:hint="eastAsia" w:ascii="宋体" w:hAnsi="宋体" w:eastAsia="宋体" w:cs="宋体"/>
          <w:bCs/>
          <w:kern w:val="0"/>
          <w:szCs w:val="21"/>
        </w:rPr>
        <w:t>。</w:t>
      </w:r>
    </w:p>
    <w:p>
      <w:pPr>
        <w:widowControl/>
        <w:adjustRightInd w:val="0"/>
        <w:snapToGrid w:val="0"/>
        <w:spacing w:line="360" w:lineRule="auto"/>
        <w:ind w:firstLine="420" w:firstLineChars="200"/>
        <w:rPr>
          <w:rFonts w:hint="eastAsia" w:ascii="宋体" w:hAnsi="宋体" w:cs="宋体"/>
          <w:bCs w:val="0"/>
          <w:kern w:val="0"/>
          <w:szCs w:val="21"/>
        </w:rPr>
      </w:pPr>
      <w:r>
        <w:rPr>
          <w:rFonts w:hint="eastAsia" w:ascii="宋体" w:hAnsi="宋体" w:cs="宋体"/>
          <w:bCs w:val="0"/>
          <w:kern w:val="0"/>
          <w:szCs w:val="21"/>
        </w:rPr>
        <w:t xml:space="preserve">4、投资决策委员会成员 </w:t>
      </w:r>
    </w:p>
    <w:p>
      <w:pPr>
        <w:spacing w:line="360" w:lineRule="auto"/>
        <w:ind w:firstLine="420" w:firstLineChars="0"/>
        <w:jc w:val="left"/>
        <w:rPr>
          <w:rFonts w:hint="eastAsia" w:ascii="宋体" w:hAnsi="宋体" w:eastAsia="宋体" w:cs="宋体"/>
          <w:kern w:val="0"/>
          <w:szCs w:val="21"/>
          <w:highlight w:val="none"/>
        </w:rPr>
      </w:pPr>
      <w:bookmarkStart w:id="51" w:name="OLE_LINK5"/>
      <w:bookmarkStart w:id="52" w:name="OLE_LINK4"/>
      <w:r>
        <w:rPr>
          <w:rFonts w:hint="eastAsia" w:ascii="宋体" w:hAnsi="宋体" w:eastAsia="宋体" w:cs="宋体"/>
          <w:kern w:val="0"/>
          <w:szCs w:val="21"/>
          <w:highlight w:val="none"/>
        </w:rPr>
        <w:t>公司投资决策委员会专职委员兼年金投资部总经理于善辉先生。</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公司首席资产配置官黄健斌先生。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首席基金经理过钧先生。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首席投资官兼权益投研一体化总监、境外投资部总经理曾鹏先生。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董事总经理兼</w:t>
      </w:r>
      <w:r>
        <w:rPr>
          <w:rFonts w:hint="eastAsia" w:ascii="宋体" w:hAnsi="宋体" w:eastAsia="宋体" w:cs="宋体"/>
          <w:kern w:val="0"/>
          <w:szCs w:val="21"/>
          <w:highlight w:val="none"/>
        </w:rPr>
        <w:t>权益投资三部总经理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 xml:space="preserve">权益投资三部投资总监蔡滨先生。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宏观策略部总经理兼行业研究部研究总监金晟哲先生。 </w:t>
      </w:r>
    </w:p>
    <w:p>
      <w:pPr>
        <w:spacing w:line="360" w:lineRule="auto"/>
        <w:ind w:firstLine="420" w:firstLineChars="0"/>
        <w:jc w:val="left"/>
        <w:rPr>
          <w:rFonts w:ascii="宋体" w:hAnsi="宋体" w:eastAsia="宋体" w:cs="宋体"/>
          <w:kern w:val="0"/>
          <w:szCs w:val="21"/>
          <w:highlight w:val="none"/>
        </w:rPr>
      </w:pPr>
      <w:r>
        <w:rPr>
          <w:rFonts w:hint="eastAsia" w:ascii="宋体" w:hAnsi="宋体" w:eastAsia="宋体" w:cs="宋体"/>
          <w:kern w:val="0"/>
          <w:szCs w:val="21"/>
          <w:highlight w:val="none"/>
        </w:rPr>
        <w:t>指数与量化投资部总经理兼指数与量化投资部投资总监赵云阳先生。</w:t>
      </w:r>
      <w:bookmarkEnd w:id="51"/>
      <w:r>
        <w:rPr>
          <w:rFonts w:hint="eastAsia" w:ascii="宋体" w:hAnsi="宋体" w:eastAsia="宋体" w:cs="宋体"/>
          <w:kern w:val="0"/>
          <w:szCs w:val="21"/>
          <w:highlight w:val="none"/>
        </w:rPr>
        <w:t xml:space="preserve"> </w:t>
      </w:r>
      <w:bookmarkEnd w:id="52"/>
      <w:r>
        <w:rPr>
          <w:rFonts w:hint="eastAsia" w:ascii="宋体" w:hAnsi="宋体" w:eastAsia="宋体" w:cs="宋体"/>
          <w:kern w:val="0"/>
          <w:szCs w:val="21"/>
          <w:highlight w:val="none"/>
        </w:rPr>
        <w:t xml:space="preserve"> </w:t>
      </w:r>
    </w:p>
    <w:p>
      <w:pPr>
        <w:widowControl/>
        <w:adjustRightInd w:val="0"/>
        <w:snapToGrid w:val="0"/>
        <w:spacing w:line="360" w:lineRule="auto"/>
        <w:ind w:firstLine="420" w:firstLineChars="200"/>
        <w:rPr>
          <w:rFonts w:hint="eastAsia" w:ascii="宋体" w:hAnsi="宋体" w:cs="宋体"/>
          <w:bCs/>
          <w:kern w:val="0"/>
          <w:szCs w:val="21"/>
        </w:rPr>
      </w:pPr>
      <w:r>
        <w:rPr>
          <w:rFonts w:hint="eastAsia" w:ascii="宋体" w:hAnsi="宋体" w:cs="宋体"/>
          <w:bCs/>
          <w:kern w:val="0"/>
          <w:szCs w:val="21"/>
        </w:rPr>
        <w:t xml:space="preserve">  </w:t>
      </w:r>
    </w:p>
    <w:p>
      <w:pPr>
        <w:widowControl/>
        <w:numPr>
          <w:ilvl w:val="0"/>
          <w:numId w:val="27"/>
        </w:numPr>
        <w:adjustRightInd w:val="0"/>
        <w:snapToGrid w:val="0"/>
        <w:spacing w:line="360" w:lineRule="auto"/>
        <w:ind w:firstLine="420" w:firstLineChars="200"/>
        <w:rPr>
          <w:rFonts w:hint="eastAsia"/>
          <w:bCs/>
          <w:kern w:val="0"/>
          <w:szCs w:val="21"/>
        </w:rPr>
      </w:pPr>
      <w:r>
        <w:rPr>
          <w:rFonts w:hint="eastAsia"/>
          <w:bCs/>
          <w:kern w:val="0"/>
          <w:szCs w:val="21"/>
        </w:rPr>
        <w:t>上述人员之间均不存在近亲属关系。  </w:t>
      </w:r>
    </w:p>
    <w:p>
      <w:pPr>
        <w:widowControl/>
        <w:numPr>
          <w:ilvl w:val="-1"/>
          <w:numId w:val="0"/>
        </w:numPr>
        <w:adjustRightInd w:val="0"/>
        <w:snapToGrid w:val="0"/>
        <w:spacing w:line="360" w:lineRule="auto"/>
        <w:ind w:firstLine="420" w:firstLineChars="200"/>
        <w:rPr>
          <w:b/>
          <w:kern w:val="0"/>
          <w:szCs w:val="21"/>
        </w:rPr>
      </w:pPr>
      <w:r>
        <w:rPr>
          <w:rFonts w:hint="eastAsia"/>
          <w:bCs/>
          <w:kern w:val="0"/>
          <w:szCs w:val="21"/>
        </w:rPr>
        <w:t xml:space="preserve"> </w:t>
      </w:r>
      <w:r>
        <w:rPr>
          <w:b/>
          <w:kern w:val="0"/>
          <w:szCs w:val="21"/>
        </w:rPr>
        <w:t>三、基金管理人的职责</w:t>
      </w:r>
    </w:p>
    <w:p>
      <w:pPr>
        <w:widowControl/>
        <w:adjustRightInd w:val="0"/>
        <w:snapToGrid w:val="0"/>
        <w:spacing w:line="360" w:lineRule="auto"/>
        <w:ind w:firstLine="420" w:firstLineChars="200"/>
        <w:rPr>
          <w:kern w:val="0"/>
          <w:szCs w:val="21"/>
        </w:rPr>
      </w:pPr>
      <w:r>
        <w:rPr>
          <w:kern w:val="0"/>
          <w:szCs w:val="21"/>
        </w:rPr>
        <w:t>1、依法募集资金，办理或者委托经中国证监会认定的其他机构代为办理基金份额的发售、申购、赎回和登记事宜；</w:t>
      </w:r>
    </w:p>
    <w:p>
      <w:pPr>
        <w:widowControl/>
        <w:adjustRightInd w:val="0"/>
        <w:snapToGrid w:val="0"/>
        <w:spacing w:line="360" w:lineRule="auto"/>
        <w:ind w:firstLine="420" w:firstLineChars="200"/>
        <w:rPr>
          <w:kern w:val="0"/>
          <w:szCs w:val="21"/>
        </w:rPr>
      </w:pPr>
      <w:r>
        <w:rPr>
          <w:kern w:val="0"/>
          <w:szCs w:val="21"/>
        </w:rPr>
        <w:t>2、办理基金备案手续；</w:t>
      </w:r>
    </w:p>
    <w:p>
      <w:pPr>
        <w:widowControl/>
        <w:adjustRightInd w:val="0"/>
        <w:snapToGrid w:val="0"/>
        <w:spacing w:line="360" w:lineRule="auto"/>
        <w:ind w:firstLine="420" w:firstLineChars="200"/>
        <w:rPr>
          <w:kern w:val="0"/>
          <w:szCs w:val="21"/>
        </w:rPr>
      </w:pPr>
      <w:r>
        <w:rPr>
          <w:kern w:val="0"/>
          <w:szCs w:val="21"/>
        </w:rPr>
        <w:t>3、自《基金合同》生效之日起，以诚实信用、谨慎勤勉的原则管理和运用基金财产；</w:t>
      </w:r>
    </w:p>
    <w:p>
      <w:pPr>
        <w:widowControl/>
        <w:adjustRightInd w:val="0"/>
        <w:snapToGrid w:val="0"/>
        <w:spacing w:line="360" w:lineRule="auto"/>
        <w:ind w:firstLine="420" w:firstLineChars="200"/>
        <w:rPr>
          <w:kern w:val="0"/>
          <w:szCs w:val="21"/>
        </w:rPr>
      </w:pPr>
      <w:r>
        <w:rPr>
          <w:kern w:val="0"/>
          <w:szCs w:val="21"/>
        </w:rPr>
        <w:t>4、配备足够的具有专业资格的人员进行基金投资分析、决策，以专业化的经营方式管理和运作基金财产；</w:t>
      </w:r>
    </w:p>
    <w:p>
      <w:pPr>
        <w:widowControl/>
        <w:adjustRightInd w:val="0"/>
        <w:snapToGrid w:val="0"/>
        <w:spacing w:line="360" w:lineRule="auto"/>
        <w:ind w:firstLine="420" w:firstLineChars="200"/>
        <w:rPr>
          <w:kern w:val="0"/>
          <w:szCs w:val="21"/>
        </w:rPr>
      </w:pPr>
      <w:r>
        <w:rPr>
          <w:kern w:val="0"/>
          <w:szCs w:val="21"/>
        </w:rPr>
        <w:t>5、建立健全内部风险控制、监察与稽核、财务管理及人事管理等制度，保证所管理的基金财产和基金管理人的财产相互独立，对所管理的不同基金分别管理，分别记账，进行证券投资；</w:t>
      </w:r>
    </w:p>
    <w:p>
      <w:pPr>
        <w:widowControl/>
        <w:adjustRightInd w:val="0"/>
        <w:snapToGrid w:val="0"/>
        <w:spacing w:line="360" w:lineRule="auto"/>
        <w:ind w:firstLine="420" w:firstLineChars="200"/>
        <w:rPr>
          <w:kern w:val="0"/>
          <w:szCs w:val="21"/>
        </w:rPr>
      </w:pPr>
      <w:r>
        <w:rPr>
          <w:kern w:val="0"/>
          <w:szCs w:val="21"/>
        </w:rPr>
        <w:t>6、除依据《基金法》、《基金合同》及其他有关规定外，不得利用基金财产为自己及任何第三人谋取利益，不得委托第三人运作基金财产；</w:t>
      </w:r>
    </w:p>
    <w:p>
      <w:pPr>
        <w:widowControl/>
        <w:adjustRightInd w:val="0"/>
        <w:snapToGrid w:val="0"/>
        <w:spacing w:line="360" w:lineRule="auto"/>
        <w:ind w:firstLine="420" w:firstLineChars="200"/>
        <w:rPr>
          <w:kern w:val="0"/>
          <w:szCs w:val="21"/>
        </w:rPr>
      </w:pPr>
      <w:r>
        <w:rPr>
          <w:kern w:val="0"/>
          <w:szCs w:val="21"/>
        </w:rPr>
        <w:t>7、依法接受基金托管人的监督；</w:t>
      </w:r>
    </w:p>
    <w:p>
      <w:pPr>
        <w:widowControl/>
        <w:adjustRightInd w:val="0"/>
        <w:snapToGrid w:val="0"/>
        <w:spacing w:line="360" w:lineRule="auto"/>
        <w:ind w:firstLine="420" w:firstLineChars="200"/>
        <w:rPr>
          <w:kern w:val="0"/>
          <w:szCs w:val="21"/>
        </w:rPr>
      </w:pPr>
      <w:r>
        <w:rPr>
          <w:kern w:val="0"/>
          <w:szCs w:val="21"/>
        </w:rPr>
        <w:t>8、采取适当合理的措施使计算基金份额认购、申购、赎回和注销价格的方法符合《基金合同》等法律文件的规定，按有关规定计算并公告基金净值信息，确定基金份额申购、赎回的价格；</w:t>
      </w:r>
    </w:p>
    <w:p>
      <w:pPr>
        <w:widowControl/>
        <w:adjustRightInd w:val="0"/>
        <w:snapToGrid w:val="0"/>
        <w:spacing w:line="360" w:lineRule="auto"/>
        <w:ind w:firstLine="420" w:firstLineChars="200"/>
        <w:rPr>
          <w:kern w:val="0"/>
          <w:szCs w:val="21"/>
        </w:rPr>
      </w:pPr>
      <w:r>
        <w:rPr>
          <w:kern w:val="0"/>
          <w:szCs w:val="21"/>
        </w:rPr>
        <w:t>9、进行基金会计核算并编制基金财务会计报告；</w:t>
      </w:r>
    </w:p>
    <w:p>
      <w:pPr>
        <w:widowControl/>
        <w:adjustRightInd w:val="0"/>
        <w:snapToGrid w:val="0"/>
        <w:spacing w:line="360" w:lineRule="auto"/>
        <w:ind w:firstLine="420" w:firstLineChars="200"/>
        <w:rPr>
          <w:kern w:val="0"/>
          <w:szCs w:val="21"/>
        </w:rPr>
      </w:pPr>
      <w:r>
        <w:rPr>
          <w:kern w:val="0"/>
          <w:szCs w:val="21"/>
        </w:rPr>
        <w:t>10、编制季度报告、中期报告和年度报告；</w:t>
      </w:r>
    </w:p>
    <w:p>
      <w:pPr>
        <w:widowControl/>
        <w:adjustRightInd w:val="0"/>
        <w:snapToGrid w:val="0"/>
        <w:spacing w:line="360" w:lineRule="auto"/>
        <w:ind w:firstLine="420" w:firstLineChars="200"/>
        <w:rPr>
          <w:kern w:val="0"/>
          <w:szCs w:val="21"/>
        </w:rPr>
      </w:pPr>
      <w:r>
        <w:rPr>
          <w:kern w:val="0"/>
          <w:szCs w:val="21"/>
        </w:rPr>
        <w:t>11、严格按照《基金法》、《基金合同》及其他有关规定，履行信息披露及报告义务；</w:t>
      </w:r>
    </w:p>
    <w:p>
      <w:pPr>
        <w:widowControl/>
        <w:adjustRightInd w:val="0"/>
        <w:snapToGrid w:val="0"/>
        <w:spacing w:line="360" w:lineRule="auto"/>
        <w:ind w:firstLine="420" w:firstLineChars="200"/>
        <w:rPr>
          <w:kern w:val="0"/>
          <w:szCs w:val="21"/>
        </w:rPr>
      </w:pPr>
      <w:r>
        <w:rPr>
          <w:kern w:val="0"/>
          <w:szCs w:val="21"/>
        </w:rPr>
        <w:t>12、保守基金商业秘密，不泄露基金投资计划、投资意向等。除《基金法》、《基金合同》及其他有关规定另有规定外，在基金信息公开披露前应予保密，不向他人泄露，但因监管机构、司法机关要求，或因审计、法律等外部专业顾问提供服务需要提供的情况除外；</w:t>
      </w:r>
    </w:p>
    <w:p>
      <w:pPr>
        <w:widowControl/>
        <w:adjustRightInd w:val="0"/>
        <w:snapToGrid w:val="0"/>
        <w:spacing w:line="360" w:lineRule="auto"/>
        <w:ind w:firstLine="420" w:firstLineChars="200"/>
        <w:rPr>
          <w:kern w:val="0"/>
          <w:szCs w:val="21"/>
        </w:rPr>
      </w:pPr>
      <w:r>
        <w:rPr>
          <w:kern w:val="0"/>
          <w:szCs w:val="21"/>
        </w:rPr>
        <w:t>13、按《基金合同》的约定确定基金收益分配方案，及时向基金份额持有人分配基金收益；</w:t>
      </w:r>
    </w:p>
    <w:p>
      <w:pPr>
        <w:widowControl/>
        <w:adjustRightInd w:val="0"/>
        <w:snapToGrid w:val="0"/>
        <w:spacing w:line="360" w:lineRule="auto"/>
        <w:ind w:firstLine="420" w:firstLineChars="200"/>
        <w:rPr>
          <w:kern w:val="0"/>
          <w:szCs w:val="21"/>
        </w:rPr>
      </w:pPr>
      <w:r>
        <w:rPr>
          <w:kern w:val="0"/>
          <w:szCs w:val="21"/>
        </w:rPr>
        <w:t>14、按规定受理申购与赎回申请，及时、足额支付赎回款项；</w:t>
      </w:r>
    </w:p>
    <w:p>
      <w:pPr>
        <w:widowControl/>
        <w:adjustRightInd w:val="0"/>
        <w:snapToGrid w:val="0"/>
        <w:spacing w:line="360" w:lineRule="auto"/>
        <w:ind w:firstLine="420" w:firstLineChars="200"/>
        <w:rPr>
          <w:kern w:val="0"/>
          <w:szCs w:val="21"/>
        </w:rPr>
      </w:pPr>
      <w:r>
        <w:rPr>
          <w:kern w:val="0"/>
          <w:szCs w:val="21"/>
        </w:rPr>
        <w:t>15、依据《基金法》、《基金合同》及其他有关规定召集基金份额持有人大会或配合基金托管人、基金份额持有人依法召集基金份额持有人大会；</w:t>
      </w:r>
    </w:p>
    <w:p>
      <w:pPr>
        <w:widowControl/>
        <w:adjustRightInd w:val="0"/>
        <w:snapToGrid w:val="0"/>
        <w:spacing w:line="360" w:lineRule="auto"/>
        <w:ind w:firstLine="420" w:firstLineChars="200"/>
        <w:rPr>
          <w:kern w:val="0"/>
          <w:szCs w:val="21"/>
        </w:rPr>
      </w:pPr>
      <w:r>
        <w:rPr>
          <w:kern w:val="0"/>
          <w:szCs w:val="21"/>
        </w:rPr>
        <w:t>16、按规定保存基金财产管理业务活动的会计账册、报表、记录和其他相关资料，保存期限不低于法律法规规定的最低期限；</w:t>
      </w:r>
    </w:p>
    <w:p>
      <w:pPr>
        <w:widowControl/>
        <w:adjustRightInd w:val="0"/>
        <w:snapToGrid w:val="0"/>
        <w:spacing w:line="360" w:lineRule="auto"/>
        <w:ind w:firstLine="420" w:firstLineChars="200"/>
        <w:rPr>
          <w:kern w:val="0"/>
          <w:szCs w:val="21"/>
        </w:rPr>
      </w:pPr>
      <w:r>
        <w:rPr>
          <w:kern w:val="0"/>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widowControl/>
        <w:adjustRightInd w:val="0"/>
        <w:snapToGrid w:val="0"/>
        <w:spacing w:line="360" w:lineRule="auto"/>
        <w:ind w:firstLine="420" w:firstLineChars="200"/>
        <w:rPr>
          <w:kern w:val="0"/>
          <w:szCs w:val="21"/>
        </w:rPr>
      </w:pPr>
      <w:r>
        <w:rPr>
          <w:kern w:val="0"/>
          <w:szCs w:val="21"/>
        </w:rPr>
        <w:t>18、组织并参加基金财产清算小组，参与基金财产的保管、清理、估价、变现和分配；</w:t>
      </w:r>
    </w:p>
    <w:p>
      <w:pPr>
        <w:widowControl/>
        <w:adjustRightInd w:val="0"/>
        <w:snapToGrid w:val="0"/>
        <w:spacing w:line="360" w:lineRule="auto"/>
        <w:ind w:firstLine="420" w:firstLineChars="200"/>
        <w:rPr>
          <w:kern w:val="0"/>
          <w:szCs w:val="21"/>
        </w:rPr>
      </w:pPr>
      <w:r>
        <w:rPr>
          <w:kern w:val="0"/>
          <w:szCs w:val="21"/>
        </w:rPr>
        <w:t>19、面临解散、依法被撤销或者被依法宣告破产时，及时报告中国证监会并通知基金托管人；</w:t>
      </w:r>
    </w:p>
    <w:p>
      <w:pPr>
        <w:widowControl/>
        <w:adjustRightInd w:val="0"/>
        <w:snapToGrid w:val="0"/>
        <w:spacing w:line="360" w:lineRule="auto"/>
        <w:ind w:firstLine="420" w:firstLineChars="200"/>
        <w:rPr>
          <w:kern w:val="0"/>
          <w:szCs w:val="21"/>
        </w:rPr>
      </w:pPr>
      <w:r>
        <w:rPr>
          <w:kern w:val="0"/>
          <w:szCs w:val="21"/>
        </w:rPr>
        <w:t>20、因违反《基金合同》导致基金财产的损失或损害基金份额持有人合法权益时，应当承担赔偿责任，其赔偿责任不因其退任而免除；</w:t>
      </w:r>
    </w:p>
    <w:p>
      <w:pPr>
        <w:widowControl/>
        <w:adjustRightInd w:val="0"/>
        <w:snapToGrid w:val="0"/>
        <w:spacing w:line="360" w:lineRule="auto"/>
        <w:ind w:firstLine="420" w:firstLineChars="200"/>
        <w:rPr>
          <w:kern w:val="0"/>
          <w:szCs w:val="21"/>
        </w:rPr>
      </w:pPr>
      <w:r>
        <w:rPr>
          <w:kern w:val="0"/>
          <w:szCs w:val="21"/>
        </w:rPr>
        <w:t>21、监督基金托管人按法律法规和《基金合同》规定履行自己的义务，基金托管人违反《基金合同》造成基金财产损失时，基金管理人应为基金份额持有人利益向基金托管人追偿；</w:t>
      </w:r>
    </w:p>
    <w:p>
      <w:pPr>
        <w:widowControl/>
        <w:adjustRightInd w:val="0"/>
        <w:snapToGrid w:val="0"/>
        <w:spacing w:line="360" w:lineRule="auto"/>
        <w:ind w:firstLine="420" w:firstLineChars="200"/>
        <w:rPr>
          <w:kern w:val="0"/>
          <w:szCs w:val="21"/>
        </w:rPr>
      </w:pPr>
      <w:r>
        <w:rPr>
          <w:kern w:val="0"/>
          <w:szCs w:val="21"/>
        </w:rPr>
        <w:t>22、当基金管理人将其义务委托第三方处理时，应当对第三方处理有关基金事务的行为承担责任；</w:t>
      </w:r>
    </w:p>
    <w:p>
      <w:pPr>
        <w:widowControl/>
        <w:adjustRightInd w:val="0"/>
        <w:snapToGrid w:val="0"/>
        <w:spacing w:line="360" w:lineRule="auto"/>
        <w:ind w:firstLine="420" w:firstLineChars="200"/>
        <w:rPr>
          <w:kern w:val="0"/>
          <w:szCs w:val="21"/>
        </w:rPr>
      </w:pPr>
      <w:r>
        <w:rPr>
          <w:kern w:val="0"/>
          <w:szCs w:val="21"/>
        </w:rPr>
        <w:t>23、以基金管理人名义，代表基金份额持有人利益行使诉讼权利或实施其他法律行为；</w:t>
      </w:r>
    </w:p>
    <w:p>
      <w:pPr>
        <w:widowControl/>
        <w:adjustRightInd w:val="0"/>
        <w:snapToGrid w:val="0"/>
        <w:spacing w:line="360" w:lineRule="auto"/>
        <w:ind w:firstLine="420" w:firstLineChars="200"/>
        <w:rPr>
          <w:kern w:val="0"/>
          <w:szCs w:val="21"/>
        </w:rPr>
      </w:pPr>
      <w:r>
        <w:rPr>
          <w:kern w:val="0"/>
          <w:szCs w:val="21"/>
        </w:rPr>
        <w:t>24、基金在募集期间未能达到基金的备案条件，《基金合同》不能生效，基金管理人承担全部募集费用，将已募集资金并加计银行同期活期存款利息在基金募集期结束后30日内退还基金认购人；</w:t>
      </w:r>
    </w:p>
    <w:p>
      <w:pPr>
        <w:widowControl/>
        <w:adjustRightInd w:val="0"/>
        <w:snapToGrid w:val="0"/>
        <w:spacing w:line="360" w:lineRule="auto"/>
        <w:ind w:firstLine="420" w:firstLineChars="200"/>
        <w:rPr>
          <w:kern w:val="0"/>
          <w:szCs w:val="21"/>
        </w:rPr>
      </w:pPr>
      <w:r>
        <w:rPr>
          <w:kern w:val="0"/>
          <w:szCs w:val="21"/>
        </w:rPr>
        <w:t>25、执行生效的基金份额持有人大会的决议；</w:t>
      </w:r>
    </w:p>
    <w:p>
      <w:pPr>
        <w:widowControl/>
        <w:adjustRightInd w:val="0"/>
        <w:snapToGrid w:val="0"/>
        <w:spacing w:line="360" w:lineRule="auto"/>
        <w:ind w:firstLine="420" w:firstLineChars="200"/>
        <w:rPr>
          <w:kern w:val="0"/>
          <w:szCs w:val="21"/>
        </w:rPr>
      </w:pPr>
      <w:r>
        <w:rPr>
          <w:kern w:val="0"/>
          <w:szCs w:val="21"/>
        </w:rPr>
        <w:t>26、建立并保存基金份额持有人名册；</w:t>
      </w:r>
    </w:p>
    <w:p>
      <w:pPr>
        <w:widowControl/>
        <w:adjustRightInd w:val="0"/>
        <w:snapToGrid w:val="0"/>
        <w:spacing w:line="360" w:lineRule="auto"/>
        <w:ind w:firstLine="420" w:firstLineChars="200"/>
        <w:rPr>
          <w:kern w:val="0"/>
          <w:szCs w:val="21"/>
        </w:rPr>
      </w:pPr>
      <w:r>
        <w:rPr>
          <w:kern w:val="0"/>
          <w:szCs w:val="21"/>
        </w:rPr>
        <w:t>27、法律法规及中国证监会规定的和《基金合同》约定的其他义务。</w:t>
      </w:r>
    </w:p>
    <w:p>
      <w:pPr>
        <w:widowControl/>
        <w:adjustRightInd w:val="0"/>
        <w:snapToGrid w:val="0"/>
        <w:spacing w:line="360" w:lineRule="auto"/>
        <w:ind w:firstLine="422" w:firstLineChars="200"/>
        <w:rPr>
          <w:b/>
          <w:kern w:val="0"/>
          <w:szCs w:val="21"/>
        </w:rPr>
      </w:pPr>
      <w:r>
        <w:rPr>
          <w:b/>
          <w:kern w:val="0"/>
          <w:szCs w:val="21"/>
        </w:rPr>
        <w:t>四、基金管理人的承诺</w:t>
      </w:r>
    </w:p>
    <w:p>
      <w:pPr>
        <w:widowControl/>
        <w:adjustRightInd w:val="0"/>
        <w:snapToGrid w:val="0"/>
        <w:spacing w:line="360" w:lineRule="auto"/>
        <w:ind w:firstLine="420" w:firstLineChars="200"/>
        <w:rPr>
          <w:kern w:val="0"/>
          <w:szCs w:val="21"/>
        </w:rPr>
      </w:pPr>
      <w:r>
        <w:rPr>
          <w:kern w:val="0"/>
          <w:szCs w:val="21"/>
        </w:rPr>
        <w:t xml:space="preserve">1、基金管理人承诺不从事违反《中华人民共和国证券法》的行为，并承诺建立健全内部控制制度，采取有效措施，防止违反《中华人民共和国证券法》行为的发生； </w:t>
      </w:r>
    </w:p>
    <w:p>
      <w:pPr>
        <w:widowControl/>
        <w:adjustRightInd w:val="0"/>
        <w:snapToGrid w:val="0"/>
        <w:spacing w:line="360" w:lineRule="auto"/>
        <w:ind w:firstLine="420" w:firstLineChars="200"/>
        <w:rPr>
          <w:kern w:val="0"/>
          <w:szCs w:val="21"/>
        </w:rPr>
      </w:pPr>
      <w:r>
        <w:rPr>
          <w:kern w:val="0"/>
          <w:szCs w:val="21"/>
        </w:rPr>
        <w:t>2、基金管理人承诺不从事违反《基金法》的行为，并承诺建立健全内部风险控制制度，采取有效措施，防止下列行为的发生：</w:t>
      </w:r>
    </w:p>
    <w:p>
      <w:pPr>
        <w:widowControl/>
        <w:adjustRightInd w:val="0"/>
        <w:snapToGrid w:val="0"/>
        <w:spacing w:line="360" w:lineRule="auto"/>
        <w:ind w:firstLine="420" w:firstLineChars="200"/>
        <w:rPr>
          <w:kern w:val="0"/>
          <w:szCs w:val="21"/>
        </w:rPr>
      </w:pPr>
      <w:r>
        <w:rPr>
          <w:kern w:val="0"/>
          <w:szCs w:val="21"/>
        </w:rPr>
        <w:t>（1）将基金管理人固有财产或者他人财产混同于基金财产从事证券投资；</w:t>
      </w:r>
    </w:p>
    <w:p>
      <w:pPr>
        <w:widowControl/>
        <w:adjustRightInd w:val="0"/>
        <w:snapToGrid w:val="0"/>
        <w:spacing w:line="360" w:lineRule="auto"/>
        <w:ind w:firstLine="420" w:firstLineChars="200"/>
        <w:rPr>
          <w:kern w:val="0"/>
          <w:szCs w:val="21"/>
        </w:rPr>
      </w:pPr>
      <w:r>
        <w:rPr>
          <w:kern w:val="0"/>
          <w:szCs w:val="21"/>
        </w:rPr>
        <w:t>（2）不公平地对待管理的不同基金财产；</w:t>
      </w:r>
    </w:p>
    <w:p>
      <w:pPr>
        <w:widowControl/>
        <w:adjustRightInd w:val="0"/>
        <w:snapToGrid w:val="0"/>
        <w:spacing w:line="360" w:lineRule="auto"/>
        <w:ind w:firstLine="420" w:firstLineChars="200"/>
        <w:rPr>
          <w:kern w:val="0"/>
          <w:szCs w:val="21"/>
        </w:rPr>
      </w:pPr>
      <w:r>
        <w:rPr>
          <w:kern w:val="0"/>
          <w:szCs w:val="21"/>
        </w:rPr>
        <w:t>（3）利用基金财产或者职务之便为基金份额持有人以外的第三人牟取利益；</w:t>
      </w:r>
    </w:p>
    <w:p>
      <w:pPr>
        <w:widowControl/>
        <w:adjustRightInd w:val="0"/>
        <w:snapToGrid w:val="0"/>
        <w:spacing w:line="360" w:lineRule="auto"/>
        <w:ind w:firstLine="420" w:firstLineChars="200"/>
        <w:rPr>
          <w:kern w:val="0"/>
          <w:szCs w:val="21"/>
        </w:rPr>
      </w:pPr>
      <w:r>
        <w:rPr>
          <w:kern w:val="0"/>
          <w:szCs w:val="21"/>
        </w:rPr>
        <w:t>（4）向基金份额持有人违规承诺收益或者承担损失；</w:t>
      </w:r>
    </w:p>
    <w:p>
      <w:pPr>
        <w:widowControl/>
        <w:adjustRightInd w:val="0"/>
        <w:snapToGrid w:val="0"/>
        <w:spacing w:line="360" w:lineRule="auto"/>
        <w:ind w:firstLine="420" w:firstLineChars="200"/>
        <w:rPr>
          <w:kern w:val="0"/>
          <w:szCs w:val="21"/>
        </w:rPr>
      </w:pPr>
      <w:r>
        <w:rPr>
          <w:kern w:val="0"/>
          <w:szCs w:val="21"/>
        </w:rPr>
        <w:t>（5）侵占、挪用基金财产；</w:t>
      </w:r>
    </w:p>
    <w:p>
      <w:pPr>
        <w:widowControl/>
        <w:adjustRightInd w:val="0"/>
        <w:snapToGrid w:val="0"/>
        <w:spacing w:line="360" w:lineRule="auto"/>
        <w:ind w:firstLine="420" w:firstLineChars="200"/>
        <w:rPr>
          <w:kern w:val="0"/>
          <w:szCs w:val="21"/>
        </w:rPr>
      </w:pPr>
      <w:r>
        <w:rPr>
          <w:kern w:val="0"/>
          <w:szCs w:val="21"/>
        </w:rPr>
        <w:t>（6）泄露因职务便利获取的未公开信息、利用该信息从事或者明示、暗示他人从事相关的交易活动；</w:t>
      </w:r>
    </w:p>
    <w:p>
      <w:pPr>
        <w:widowControl/>
        <w:adjustRightInd w:val="0"/>
        <w:snapToGrid w:val="0"/>
        <w:spacing w:line="360" w:lineRule="auto"/>
        <w:ind w:firstLine="420" w:firstLineChars="200"/>
        <w:rPr>
          <w:kern w:val="0"/>
          <w:szCs w:val="21"/>
        </w:rPr>
      </w:pPr>
      <w:r>
        <w:rPr>
          <w:kern w:val="0"/>
          <w:szCs w:val="21"/>
        </w:rPr>
        <w:t>（7）玩忽职守，不按照规定履行职责；</w:t>
      </w:r>
    </w:p>
    <w:p>
      <w:pPr>
        <w:widowControl/>
        <w:adjustRightInd w:val="0"/>
        <w:snapToGrid w:val="0"/>
        <w:spacing w:line="360" w:lineRule="auto"/>
        <w:ind w:firstLine="420" w:firstLineChars="200"/>
        <w:rPr>
          <w:kern w:val="0"/>
          <w:szCs w:val="21"/>
        </w:rPr>
      </w:pPr>
      <w:r>
        <w:rPr>
          <w:kern w:val="0"/>
          <w:szCs w:val="21"/>
        </w:rPr>
        <w:t>（8）法律、行政法规和中国证监会规定禁止的其他行为</w:t>
      </w:r>
      <w:r>
        <w:rPr>
          <w:rFonts w:hint="eastAsia"/>
          <w:kern w:val="0"/>
          <w:szCs w:val="21"/>
        </w:rPr>
        <w:t>；</w:t>
      </w:r>
      <w:r>
        <w:rPr>
          <w:kern w:val="0"/>
          <w:szCs w:val="21"/>
        </w:rPr>
        <w:t xml:space="preserve"> </w:t>
      </w:r>
    </w:p>
    <w:p>
      <w:pPr>
        <w:widowControl/>
        <w:adjustRightInd w:val="0"/>
        <w:snapToGrid w:val="0"/>
        <w:spacing w:line="360" w:lineRule="auto"/>
        <w:ind w:firstLine="420" w:firstLineChars="200"/>
        <w:rPr>
          <w:kern w:val="0"/>
          <w:szCs w:val="21"/>
        </w:rPr>
      </w:pPr>
      <w:r>
        <w:rPr>
          <w:kern w:val="0"/>
          <w:szCs w:val="21"/>
        </w:rPr>
        <w:t xml:space="preserve">3、基金管理人承诺严格遵守基金合同，并承诺建立健全内部控制制度，采取有效措施，防止违反基金合同行为的发生； </w:t>
      </w:r>
    </w:p>
    <w:p>
      <w:pPr>
        <w:widowControl/>
        <w:adjustRightInd w:val="0"/>
        <w:snapToGrid w:val="0"/>
        <w:spacing w:line="360" w:lineRule="auto"/>
        <w:ind w:firstLine="420" w:firstLineChars="200"/>
        <w:rPr>
          <w:kern w:val="0"/>
          <w:szCs w:val="21"/>
        </w:rPr>
      </w:pPr>
      <w:r>
        <w:rPr>
          <w:kern w:val="0"/>
          <w:szCs w:val="21"/>
        </w:rPr>
        <w:t>4、基金管理人承诺加强人员管理，强化职业操守，督促和约束员工遵守国家有关法律法规及行业规范，诚实信用、勤勉尽责；</w:t>
      </w:r>
    </w:p>
    <w:p>
      <w:pPr>
        <w:widowControl/>
        <w:adjustRightInd w:val="0"/>
        <w:snapToGrid w:val="0"/>
        <w:spacing w:line="360" w:lineRule="auto"/>
        <w:ind w:firstLine="420" w:firstLineChars="200"/>
        <w:rPr>
          <w:kern w:val="0"/>
          <w:szCs w:val="21"/>
        </w:rPr>
      </w:pPr>
      <w:r>
        <w:rPr>
          <w:kern w:val="0"/>
          <w:szCs w:val="21"/>
        </w:rPr>
        <w:t>5、基金管理人承诺不从事其他法规规定禁止从事的行为。</w:t>
      </w:r>
    </w:p>
    <w:p>
      <w:pPr>
        <w:widowControl/>
        <w:adjustRightInd w:val="0"/>
        <w:snapToGrid w:val="0"/>
        <w:spacing w:line="360" w:lineRule="auto"/>
        <w:ind w:firstLine="422" w:firstLineChars="200"/>
        <w:rPr>
          <w:b/>
          <w:kern w:val="0"/>
          <w:szCs w:val="21"/>
        </w:rPr>
      </w:pPr>
      <w:r>
        <w:rPr>
          <w:b/>
          <w:kern w:val="0"/>
          <w:szCs w:val="21"/>
        </w:rPr>
        <w:t>五、基金经理承诺</w:t>
      </w:r>
    </w:p>
    <w:p>
      <w:pPr>
        <w:widowControl/>
        <w:adjustRightInd w:val="0"/>
        <w:snapToGrid w:val="0"/>
        <w:spacing w:line="360" w:lineRule="auto"/>
        <w:ind w:firstLine="420" w:firstLineChars="200"/>
        <w:rPr>
          <w:kern w:val="0"/>
          <w:szCs w:val="21"/>
        </w:rPr>
      </w:pPr>
      <w:r>
        <w:rPr>
          <w:kern w:val="0"/>
          <w:szCs w:val="21"/>
        </w:rPr>
        <w:t>1、依照有关法律法规和基金合同的规定，本着谨慎的原则为基金份额持有人谋取最大利益；</w:t>
      </w:r>
    </w:p>
    <w:p>
      <w:pPr>
        <w:widowControl/>
        <w:adjustRightInd w:val="0"/>
        <w:snapToGrid w:val="0"/>
        <w:spacing w:line="360" w:lineRule="auto"/>
        <w:ind w:firstLine="420" w:firstLineChars="200"/>
        <w:rPr>
          <w:kern w:val="0"/>
          <w:szCs w:val="21"/>
        </w:rPr>
      </w:pPr>
      <w:r>
        <w:rPr>
          <w:kern w:val="0"/>
          <w:szCs w:val="21"/>
        </w:rPr>
        <w:t>2、不利用职务之便为自己、受雇人或任何第三者牟取利益；</w:t>
      </w:r>
    </w:p>
    <w:p>
      <w:pPr>
        <w:widowControl/>
        <w:adjustRightInd w:val="0"/>
        <w:snapToGrid w:val="0"/>
        <w:spacing w:line="360" w:lineRule="auto"/>
        <w:ind w:firstLine="420" w:firstLineChars="200"/>
        <w:rPr>
          <w:kern w:val="0"/>
          <w:szCs w:val="21"/>
        </w:rPr>
      </w:pPr>
      <w:r>
        <w:rPr>
          <w:kern w:val="0"/>
          <w:szCs w:val="21"/>
        </w:rPr>
        <w:t>3、不泄露在任职期间知悉的有关证券、基金的商业秘密，尚未依法公开的基金投资内容、基金投资计划等信息，或利用该信息从事或者明示、暗示他人从事相关的交易活动；</w:t>
      </w:r>
    </w:p>
    <w:p>
      <w:pPr>
        <w:widowControl/>
        <w:adjustRightInd w:val="0"/>
        <w:snapToGrid w:val="0"/>
        <w:spacing w:line="360" w:lineRule="auto"/>
        <w:ind w:firstLine="420" w:firstLineChars="200"/>
        <w:rPr>
          <w:kern w:val="0"/>
          <w:szCs w:val="21"/>
        </w:rPr>
      </w:pPr>
      <w:r>
        <w:rPr>
          <w:kern w:val="0"/>
          <w:szCs w:val="21"/>
        </w:rPr>
        <w:t>4、不以任何形式为其他组织或个人进行证券交易。</w:t>
      </w:r>
    </w:p>
    <w:p>
      <w:pPr>
        <w:widowControl/>
        <w:adjustRightInd w:val="0"/>
        <w:snapToGrid w:val="0"/>
        <w:spacing w:line="360" w:lineRule="auto"/>
        <w:ind w:firstLine="422" w:firstLineChars="200"/>
        <w:rPr>
          <w:b/>
          <w:kern w:val="0"/>
          <w:szCs w:val="21"/>
        </w:rPr>
      </w:pPr>
      <w:r>
        <w:rPr>
          <w:b/>
          <w:kern w:val="0"/>
          <w:szCs w:val="21"/>
        </w:rPr>
        <w:t>六、基金管理人的内部控制制度</w:t>
      </w:r>
    </w:p>
    <w:p>
      <w:pPr>
        <w:widowControl/>
        <w:adjustRightInd w:val="0"/>
        <w:snapToGrid w:val="0"/>
        <w:spacing w:line="360" w:lineRule="auto"/>
        <w:ind w:firstLine="420" w:firstLineChars="200"/>
        <w:rPr>
          <w:kern w:val="0"/>
          <w:szCs w:val="21"/>
        </w:rPr>
      </w:pPr>
      <w:r>
        <w:rPr>
          <w:kern w:val="0"/>
          <w:szCs w:val="21"/>
        </w:rPr>
        <w:t>1、风险管理的原则</w:t>
      </w:r>
    </w:p>
    <w:p>
      <w:pPr>
        <w:widowControl/>
        <w:adjustRightInd w:val="0"/>
        <w:snapToGrid w:val="0"/>
        <w:spacing w:line="360" w:lineRule="auto"/>
        <w:ind w:firstLine="420" w:firstLineChars="200"/>
        <w:rPr>
          <w:kern w:val="0"/>
          <w:szCs w:val="21"/>
        </w:rPr>
      </w:pPr>
      <w:r>
        <w:rPr>
          <w:kern w:val="0"/>
          <w:szCs w:val="21"/>
        </w:rPr>
        <w:t>（1）全面性原则</w:t>
      </w:r>
    </w:p>
    <w:p>
      <w:pPr>
        <w:widowControl/>
        <w:adjustRightInd w:val="0"/>
        <w:snapToGrid w:val="0"/>
        <w:spacing w:line="360" w:lineRule="auto"/>
        <w:ind w:firstLine="420" w:firstLineChars="200"/>
        <w:rPr>
          <w:kern w:val="0"/>
          <w:szCs w:val="21"/>
        </w:rPr>
      </w:pPr>
      <w:r>
        <w:rPr>
          <w:kern w:val="0"/>
          <w:szCs w:val="21"/>
        </w:rPr>
        <w:t>公司风险管理必须覆盖公司的所有部门和岗位，渗透各项业务过程和业务环节。</w:t>
      </w:r>
    </w:p>
    <w:p>
      <w:pPr>
        <w:widowControl/>
        <w:adjustRightInd w:val="0"/>
        <w:snapToGrid w:val="0"/>
        <w:spacing w:line="360" w:lineRule="auto"/>
        <w:ind w:firstLine="420" w:firstLineChars="200"/>
        <w:rPr>
          <w:kern w:val="0"/>
          <w:szCs w:val="21"/>
        </w:rPr>
      </w:pPr>
      <w:r>
        <w:rPr>
          <w:kern w:val="0"/>
          <w:szCs w:val="21"/>
        </w:rPr>
        <w:t>（2）独立性原则</w:t>
      </w:r>
    </w:p>
    <w:p>
      <w:pPr>
        <w:widowControl/>
        <w:adjustRightInd w:val="0"/>
        <w:snapToGrid w:val="0"/>
        <w:spacing w:line="360" w:lineRule="auto"/>
        <w:ind w:firstLine="420" w:firstLineChars="200"/>
        <w:rPr>
          <w:kern w:val="0"/>
          <w:szCs w:val="21"/>
        </w:rPr>
      </w:pPr>
      <w:r>
        <w:rPr>
          <w:kern w:val="0"/>
          <w:szCs w:val="21"/>
        </w:rPr>
        <w:t>公司设立独立的监察法律部，监察法律部保持高度的独立性和权威性，负责对公司各部门风险控制工作进行稽核和检查。</w:t>
      </w:r>
    </w:p>
    <w:p>
      <w:pPr>
        <w:widowControl/>
        <w:adjustRightInd w:val="0"/>
        <w:snapToGrid w:val="0"/>
        <w:spacing w:line="360" w:lineRule="auto"/>
        <w:ind w:firstLine="420" w:firstLineChars="200"/>
        <w:rPr>
          <w:kern w:val="0"/>
          <w:szCs w:val="21"/>
        </w:rPr>
      </w:pPr>
      <w:r>
        <w:rPr>
          <w:kern w:val="0"/>
          <w:szCs w:val="21"/>
        </w:rPr>
        <w:t>（3）相互制约原则</w:t>
      </w:r>
    </w:p>
    <w:p>
      <w:pPr>
        <w:widowControl/>
        <w:adjustRightInd w:val="0"/>
        <w:snapToGrid w:val="0"/>
        <w:spacing w:line="360" w:lineRule="auto"/>
        <w:ind w:firstLine="420" w:firstLineChars="200"/>
        <w:rPr>
          <w:kern w:val="0"/>
          <w:szCs w:val="21"/>
        </w:rPr>
      </w:pPr>
      <w:r>
        <w:rPr>
          <w:kern w:val="0"/>
          <w:szCs w:val="21"/>
        </w:rPr>
        <w:t>公司及各部门在内部组织结构的设计上要形成一种相互制约的机制，建立不同岗位之间的制衡体系。</w:t>
      </w:r>
    </w:p>
    <w:p>
      <w:pPr>
        <w:widowControl/>
        <w:adjustRightInd w:val="0"/>
        <w:snapToGrid w:val="0"/>
        <w:spacing w:line="360" w:lineRule="auto"/>
        <w:ind w:firstLine="420" w:firstLineChars="200"/>
        <w:rPr>
          <w:kern w:val="0"/>
          <w:szCs w:val="21"/>
        </w:rPr>
      </w:pPr>
      <w:r>
        <w:rPr>
          <w:kern w:val="0"/>
          <w:szCs w:val="21"/>
        </w:rPr>
        <w:t>（4）定性和定量相结合原则</w:t>
      </w:r>
    </w:p>
    <w:p>
      <w:pPr>
        <w:widowControl/>
        <w:adjustRightInd w:val="0"/>
        <w:snapToGrid w:val="0"/>
        <w:spacing w:line="360" w:lineRule="auto"/>
        <w:ind w:firstLine="420" w:firstLineChars="200"/>
        <w:rPr>
          <w:kern w:val="0"/>
          <w:szCs w:val="21"/>
        </w:rPr>
      </w:pPr>
      <w:r>
        <w:rPr>
          <w:kern w:val="0"/>
          <w:szCs w:val="21"/>
        </w:rPr>
        <w:t>建立完备的风险管理指标体系，使风险管理更具客观性和操作性。</w:t>
      </w:r>
    </w:p>
    <w:p>
      <w:pPr>
        <w:widowControl/>
        <w:adjustRightInd w:val="0"/>
        <w:snapToGrid w:val="0"/>
        <w:spacing w:line="360" w:lineRule="auto"/>
        <w:ind w:firstLine="420" w:firstLineChars="200"/>
        <w:rPr>
          <w:kern w:val="0"/>
          <w:szCs w:val="21"/>
        </w:rPr>
      </w:pPr>
      <w:r>
        <w:rPr>
          <w:kern w:val="0"/>
          <w:szCs w:val="21"/>
        </w:rPr>
        <w:t>2、风险管理和内部风险控制体系结构</w:t>
      </w:r>
    </w:p>
    <w:p>
      <w:pPr>
        <w:widowControl/>
        <w:adjustRightInd w:val="0"/>
        <w:snapToGrid w:val="0"/>
        <w:spacing w:line="360" w:lineRule="auto"/>
        <w:ind w:firstLine="420" w:firstLineChars="200"/>
        <w:rPr>
          <w:kern w:val="0"/>
          <w:szCs w:val="21"/>
        </w:rPr>
      </w:pPr>
      <w:r>
        <w:rPr>
          <w:kern w:val="0"/>
          <w:szCs w:val="21"/>
        </w:rPr>
        <w:t>公司的风险管理体系结构是一个分工明确、相互牵制的组织结构，由最高管理层对风险管理负最终责任，各个业务部门负责本部门的风险评估和监控，监察法律部负责监察公司的风险管理措施的执行。具体而言，包括如下组成部分：</w:t>
      </w:r>
    </w:p>
    <w:p>
      <w:pPr>
        <w:widowControl/>
        <w:adjustRightInd w:val="0"/>
        <w:snapToGrid w:val="0"/>
        <w:spacing w:line="360" w:lineRule="auto"/>
        <w:ind w:firstLine="420" w:firstLineChars="200"/>
        <w:rPr>
          <w:kern w:val="0"/>
          <w:szCs w:val="21"/>
        </w:rPr>
      </w:pPr>
      <w:r>
        <w:rPr>
          <w:kern w:val="0"/>
          <w:szCs w:val="21"/>
        </w:rPr>
        <w:t>（1）董事会</w:t>
      </w:r>
    </w:p>
    <w:p>
      <w:pPr>
        <w:widowControl/>
        <w:adjustRightInd w:val="0"/>
        <w:snapToGrid w:val="0"/>
        <w:spacing w:line="360" w:lineRule="auto"/>
        <w:ind w:firstLine="420" w:firstLineChars="200"/>
        <w:rPr>
          <w:kern w:val="0"/>
          <w:szCs w:val="21"/>
        </w:rPr>
      </w:pPr>
      <w:r>
        <w:rPr>
          <w:kern w:val="0"/>
          <w:szCs w:val="21"/>
        </w:rPr>
        <w:t>负责制定公司的风险管理政策，对风险管理负完全的和最终的责任。</w:t>
      </w:r>
    </w:p>
    <w:p>
      <w:pPr>
        <w:widowControl/>
        <w:adjustRightInd w:val="0"/>
        <w:snapToGrid w:val="0"/>
        <w:spacing w:line="360" w:lineRule="auto"/>
        <w:ind w:firstLine="420" w:firstLineChars="200"/>
        <w:rPr>
          <w:kern w:val="0"/>
          <w:szCs w:val="21"/>
        </w:rPr>
      </w:pPr>
      <w:r>
        <w:rPr>
          <w:kern w:val="0"/>
          <w:szCs w:val="21"/>
        </w:rPr>
        <w:t>（2）风险管理委员会</w:t>
      </w:r>
    </w:p>
    <w:p>
      <w:pPr>
        <w:widowControl/>
        <w:adjustRightInd w:val="0"/>
        <w:snapToGrid w:val="0"/>
        <w:spacing w:line="360" w:lineRule="auto"/>
        <w:ind w:firstLine="420" w:firstLineChars="200"/>
        <w:rPr>
          <w:kern w:val="0"/>
          <w:szCs w:val="21"/>
        </w:rPr>
      </w:pPr>
      <w:r>
        <w:rPr>
          <w:kern w:val="0"/>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widowControl/>
        <w:adjustRightInd w:val="0"/>
        <w:snapToGrid w:val="0"/>
        <w:spacing w:line="360" w:lineRule="auto"/>
        <w:ind w:firstLine="420" w:firstLineChars="200"/>
        <w:rPr>
          <w:kern w:val="0"/>
          <w:szCs w:val="21"/>
        </w:rPr>
      </w:pPr>
      <w:r>
        <w:rPr>
          <w:kern w:val="0"/>
          <w:szCs w:val="21"/>
        </w:rPr>
        <w:t>（3）督察长</w:t>
      </w:r>
    </w:p>
    <w:p>
      <w:pPr>
        <w:widowControl/>
        <w:adjustRightInd w:val="0"/>
        <w:snapToGrid w:val="0"/>
        <w:spacing w:line="360" w:lineRule="auto"/>
        <w:ind w:firstLine="420" w:firstLineChars="200"/>
        <w:rPr>
          <w:kern w:val="0"/>
          <w:szCs w:val="21"/>
        </w:rPr>
      </w:pPr>
      <w:r>
        <w:rPr>
          <w:kern w:val="0"/>
          <w:szCs w:val="21"/>
        </w:rPr>
        <w:t>独立行使督察权利；直接对董事会负责；按季向风险管理委员会提交独立的风险管理报告和风险管理建议。</w:t>
      </w:r>
    </w:p>
    <w:p>
      <w:pPr>
        <w:widowControl/>
        <w:adjustRightInd w:val="0"/>
        <w:snapToGrid w:val="0"/>
        <w:spacing w:line="360" w:lineRule="auto"/>
        <w:ind w:firstLine="420" w:firstLineChars="200"/>
        <w:rPr>
          <w:kern w:val="0"/>
          <w:szCs w:val="21"/>
        </w:rPr>
      </w:pPr>
      <w:r>
        <w:rPr>
          <w:kern w:val="0"/>
          <w:szCs w:val="21"/>
        </w:rPr>
        <w:t>（4）监察法律部</w:t>
      </w:r>
    </w:p>
    <w:p>
      <w:pPr>
        <w:widowControl/>
        <w:adjustRightInd w:val="0"/>
        <w:snapToGrid w:val="0"/>
        <w:spacing w:line="360" w:lineRule="auto"/>
        <w:ind w:firstLine="420" w:firstLineChars="200"/>
        <w:rPr>
          <w:kern w:val="0"/>
          <w:szCs w:val="21"/>
        </w:rPr>
      </w:pPr>
      <w:r>
        <w:rPr>
          <w:kern w:val="0"/>
          <w:szCs w:val="21"/>
        </w:rPr>
        <w:t>监察法律部负责对公司风险管理政策和措施的执行情况进行监察，并为每一个部门的风险管理系统的发展提供协助，使公司在一种风险管理和控制的环境中实现业务目标。</w:t>
      </w:r>
    </w:p>
    <w:p>
      <w:pPr>
        <w:widowControl/>
        <w:adjustRightInd w:val="0"/>
        <w:snapToGrid w:val="0"/>
        <w:spacing w:line="360" w:lineRule="auto"/>
        <w:ind w:firstLine="420" w:firstLineChars="200"/>
        <w:rPr>
          <w:kern w:val="0"/>
          <w:szCs w:val="21"/>
        </w:rPr>
      </w:pPr>
      <w:r>
        <w:rPr>
          <w:kern w:val="0"/>
          <w:szCs w:val="21"/>
        </w:rPr>
        <w:t>（5）风险管理部</w:t>
      </w:r>
    </w:p>
    <w:p>
      <w:pPr>
        <w:widowControl/>
        <w:adjustRightInd w:val="0"/>
        <w:snapToGrid w:val="0"/>
        <w:spacing w:line="360" w:lineRule="auto"/>
        <w:ind w:firstLine="420" w:firstLineChars="200"/>
        <w:rPr>
          <w:kern w:val="0"/>
          <w:szCs w:val="21"/>
        </w:rPr>
      </w:pPr>
      <w:r>
        <w:rPr>
          <w:kern w:val="0"/>
          <w:szCs w:val="21"/>
        </w:rPr>
        <w:t>风险管理部负责建立和完善公司投资风险管理制度与流程，组织实施公司投资风险管理与绩效分析工作，确保公司各类投资风险得到良好监督与控制。</w:t>
      </w:r>
    </w:p>
    <w:p>
      <w:pPr>
        <w:widowControl/>
        <w:adjustRightInd w:val="0"/>
        <w:snapToGrid w:val="0"/>
        <w:spacing w:line="360" w:lineRule="auto"/>
        <w:ind w:firstLine="420" w:firstLineChars="200"/>
        <w:rPr>
          <w:kern w:val="0"/>
          <w:szCs w:val="21"/>
        </w:rPr>
      </w:pPr>
      <w:r>
        <w:rPr>
          <w:kern w:val="0"/>
          <w:szCs w:val="21"/>
        </w:rPr>
        <w:t>（6）业务部门</w:t>
      </w:r>
    </w:p>
    <w:p>
      <w:pPr>
        <w:widowControl/>
        <w:adjustRightInd w:val="0"/>
        <w:snapToGrid w:val="0"/>
        <w:spacing w:line="360" w:lineRule="auto"/>
        <w:ind w:firstLine="420" w:firstLineChars="200"/>
        <w:rPr>
          <w:kern w:val="0"/>
          <w:szCs w:val="21"/>
        </w:rPr>
      </w:pPr>
      <w:r>
        <w:rPr>
          <w:kern w:val="0"/>
          <w:szCs w:val="21"/>
        </w:rPr>
        <w:t>风险管理是每一个业务部门最首要的责任。部门经理对本部门的风险负全部责任，负责履行公司的风险管理程序，负责本部门的风险管理系统的开发、执行和维护，用于识别、监控和降低风险。</w:t>
      </w:r>
    </w:p>
    <w:p>
      <w:pPr>
        <w:widowControl/>
        <w:adjustRightInd w:val="0"/>
        <w:snapToGrid w:val="0"/>
        <w:spacing w:line="360" w:lineRule="auto"/>
        <w:ind w:firstLine="420" w:firstLineChars="200"/>
        <w:rPr>
          <w:kern w:val="0"/>
          <w:szCs w:val="21"/>
        </w:rPr>
      </w:pPr>
      <w:r>
        <w:rPr>
          <w:kern w:val="0"/>
          <w:szCs w:val="21"/>
        </w:rPr>
        <w:t>3、风险管理和内部风险控制的措施</w:t>
      </w:r>
    </w:p>
    <w:p>
      <w:pPr>
        <w:widowControl/>
        <w:adjustRightInd w:val="0"/>
        <w:snapToGrid w:val="0"/>
        <w:spacing w:line="360" w:lineRule="auto"/>
        <w:ind w:firstLine="420" w:firstLineChars="200"/>
        <w:rPr>
          <w:kern w:val="0"/>
          <w:szCs w:val="21"/>
        </w:rPr>
      </w:pPr>
      <w:r>
        <w:rPr>
          <w:kern w:val="0"/>
          <w:szCs w:val="21"/>
        </w:rPr>
        <w:t>（1）建立内控结构，完善内控制度</w:t>
      </w:r>
    </w:p>
    <w:p>
      <w:pPr>
        <w:widowControl/>
        <w:adjustRightInd w:val="0"/>
        <w:snapToGrid w:val="0"/>
        <w:spacing w:line="360" w:lineRule="auto"/>
        <w:ind w:firstLine="420" w:firstLineChars="200"/>
        <w:rPr>
          <w:kern w:val="0"/>
          <w:szCs w:val="21"/>
        </w:rPr>
      </w:pPr>
      <w:r>
        <w:rPr>
          <w:kern w:val="0"/>
          <w:szCs w:val="21"/>
        </w:rPr>
        <w:t>公司建立、健全了内控结构，高管人员关于内控有明确的分工，确保各项业务活动有恰当的组织和授权，确保监察活动是独立的，并得到高管人员的支持，同时置备操作手册，并定期更新。</w:t>
      </w:r>
    </w:p>
    <w:p>
      <w:pPr>
        <w:widowControl/>
        <w:adjustRightInd w:val="0"/>
        <w:snapToGrid w:val="0"/>
        <w:spacing w:line="360" w:lineRule="auto"/>
        <w:ind w:firstLine="420" w:firstLineChars="200"/>
        <w:rPr>
          <w:kern w:val="0"/>
          <w:szCs w:val="21"/>
        </w:rPr>
      </w:pPr>
      <w:r>
        <w:rPr>
          <w:kern w:val="0"/>
          <w:szCs w:val="21"/>
        </w:rPr>
        <w:t>（2）建立相互分离、相互制衡的内控机制</w:t>
      </w:r>
    </w:p>
    <w:p>
      <w:pPr>
        <w:widowControl/>
        <w:adjustRightInd w:val="0"/>
        <w:snapToGrid w:val="0"/>
        <w:spacing w:line="360" w:lineRule="auto"/>
        <w:ind w:firstLine="420" w:firstLineChars="200"/>
        <w:rPr>
          <w:kern w:val="0"/>
          <w:szCs w:val="21"/>
        </w:rPr>
      </w:pPr>
      <w:r>
        <w:rPr>
          <w:kern w:val="0"/>
          <w:szCs w:val="21"/>
        </w:rPr>
        <w:t>建立、健全了各项制度，做到基金经理分开，投资决策分开，基金交易集中，形成不同部门，不同岗位之间的制衡机制，从制度上减少和防范风险。</w:t>
      </w:r>
    </w:p>
    <w:p>
      <w:pPr>
        <w:widowControl/>
        <w:adjustRightInd w:val="0"/>
        <w:snapToGrid w:val="0"/>
        <w:spacing w:line="360" w:lineRule="auto"/>
        <w:ind w:firstLine="420" w:firstLineChars="200"/>
        <w:rPr>
          <w:kern w:val="0"/>
          <w:szCs w:val="21"/>
        </w:rPr>
      </w:pPr>
      <w:r>
        <w:rPr>
          <w:kern w:val="0"/>
          <w:szCs w:val="21"/>
        </w:rPr>
        <w:t>（3）建立、健全岗位责任制</w:t>
      </w:r>
    </w:p>
    <w:p>
      <w:pPr>
        <w:widowControl/>
        <w:adjustRightInd w:val="0"/>
        <w:snapToGrid w:val="0"/>
        <w:spacing w:line="360" w:lineRule="auto"/>
        <w:ind w:firstLine="420" w:firstLineChars="200"/>
        <w:rPr>
          <w:kern w:val="0"/>
          <w:szCs w:val="21"/>
        </w:rPr>
      </w:pPr>
      <w:r>
        <w:rPr>
          <w:kern w:val="0"/>
          <w:szCs w:val="21"/>
        </w:rPr>
        <w:t>建立、健全了岗位责任制，使每个员工都明确自己的任务、职责，并及时将各自工作领域中的风险隐患上报，以防范和减少风险。</w:t>
      </w:r>
    </w:p>
    <w:p>
      <w:pPr>
        <w:widowControl/>
        <w:adjustRightInd w:val="0"/>
        <w:snapToGrid w:val="0"/>
        <w:spacing w:line="360" w:lineRule="auto"/>
        <w:ind w:firstLine="420" w:firstLineChars="200"/>
        <w:rPr>
          <w:kern w:val="0"/>
          <w:szCs w:val="21"/>
        </w:rPr>
      </w:pPr>
      <w:r>
        <w:rPr>
          <w:kern w:val="0"/>
          <w:szCs w:val="21"/>
        </w:rPr>
        <w:t>（4）建立风险分类、识别、评估、报告、提示程序</w:t>
      </w:r>
    </w:p>
    <w:p>
      <w:pPr>
        <w:widowControl/>
        <w:adjustRightInd w:val="0"/>
        <w:snapToGrid w:val="0"/>
        <w:spacing w:line="360" w:lineRule="auto"/>
        <w:ind w:firstLine="420" w:firstLineChars="200"/>
        <w:rPr>
          <w:kern w:val="0"/>
          <w:szCs w:val="21"/>
        </w:rPr>
      </w:pPr>
      <w:r>
        <w:rPr>
          <w:kern w:val="0"/>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widowControl/>
        <w:adjustRightInd w:val="0"/>
        <w:snapToGrid w:val="0"/>
        <w:spacing w:line="360" w:lineRule="auto"/>
        <w:ind w:firstLine="420" w:firstLineChars="200"/>
        <w:rPr>
          <w:kern w:val="0"/>
          <w:szCs w:val="21"/>
        </w:rPr>
      </w:pPr>
      <w:r>
        <w:rPr>
          <w:kern w:val="0"/>
          <w:szCs w:val="21"/>
        </w:rPr>
        <w:t>（5）建立有效的内部监控系统</w:t>
      </w:r>
    </w:p>
    <w:p>
      <w:pPr>
        <w:widowControl/>
        <w:adjustRightInd w:val="0"/>
        <w:snapToGrid w:val="0"/>
        <w:spacing w:line="360" w:lineRule="auto"/>
        <w:ind w:firstLine="420" w:firstLineChars="200"/>
        <w:rPr>
          <w:kern w:val="0"/>
          <w:szCs w:val="21"/>
        </w:rPr>
      </w:pPr>
      <w:r>
        <w:rPr>
          <w:kern w:val="0"/>
          <w:szCs w:val="21"/>
        </w:rPr>
        <w:t>建立了足够、有效的内部监控系统，如电脑预警系统、投资监控系统，对可能出现的各种风险进行全面和实时的监控。</w:t>
      </w:r>
    </w:p>
    <w:p>
      <w:pPr>
        <w:widowControl/>
        <w:adjustRightInd w:val="0"/>
        <w:snapToGrid w:val="0"/>
        <w:spacing w:line="360" w:lineRule="auto"/>
        <w:ind w:firstLine="420" w:firstLineChars="200"/>
        <w:rPr>
          <w:kern w:val="0"/>
          <w:szCs w:val="21"/>
        </w:rPr>
      </w:pPr>
      <w:r>
        <w:rPr>
          <w:kern w:val="0"/>
          <w:szCs w:val="21"/>
        </w:rPr>
        <w:t>（6）使用数量化的风险管理手段</w:t>
      </w:r>
    </w:p>
    <w:p>
      <w:pPr>
        <w:widowControl/>
        <w:adjustRightInd w:val="0"/>
        <w:snapToGrid w:val="0"/>
        <w:spacing w:line="360" w:lineRule="auto"/>
        <w:ind w:firstLine="420" w:firstLineChars="200"/>
        <w:rPr>
          <w:kern w:val="0"/>
          <w:szCs w:val="21"/>
        </w:rPr>
      </w:pPr>
      <w:r>
        <w:rPr>
          <w:kern w:val="0"/>
          <w:szCs w:val="21"/>
        </w:rPr>
        <w:t>采取数量化、技术化的风险控制手段，建立数量化的风险管理模型，用以提示指数趋势、行业及个股的风险，以便公司及时采取有效的措施，对风险进行分散、控制和规避，尽可能地减少损失。</w:t>
      </w:r>
    </w:p>
    <w:p>
      <w:pPr>
        <w:widowControl/>
        <w:adjustRightInd w:val="0"/>
        <w:snapToGrid w:val="0"/>
        <w:spacing w:line="360" w:lineRule="auto"/>
        <w:ind w:firstLine="420" w:firstLineChars="200"/>
        <w:rPr>
          <w:kern w:val="0"/>
          <w:szCs w:val="21"/>
        </w:rPr>
      </w:pPr>
      <w:r>
        <w:rPr>
          <w:kern w:val="0"/>
          <w:szCs w:val="21"/>
        </w:rPr>
        <w:t>（7）提供足够的培训</w:t>
      </w:r>
    </w:p>
    <w:p>
      <w:pPr>
        <w:widowControl/>
        <w:adjustRightInd w:val="0"/>
        <w:snapToGrid w:val="0"/>
        <w:spacing w:line="360" w:lineRule="auto"/>
        <w:ind w:firstLine="420" w:firstLineChars="200"/>
        <w:sectPr>
          <w:footerReference r:id="rId6" w:type="first"/>
          <w:pgSz w:w="11906" w:h="16838"/>
          <w:pgMar w:top="1440" w:right="1800" w:bottom="1440" w:left="1800" w:header="851" w:footer="992" w:gutter="0"/>
          <w:pgNumType w:start="1"/>
          <w:cols w:space="425" w:num="1"/>
          <w:titlePg/>
          <w:docGrid w:type="lines" w:linePitch="312" w:charSpace="0"/>
        </w:sectPr>
      </w:pPr>
      <w:r>
        <w:rPr>
          <w:kern w:val="0"/>
          <w:szCs w:val="21"/>
        </w:rPr>
        <w:t>制定了完整的培训计划，为所有员工提供足够和适当的培训，使员工明确其职责所在，控制风险</w:t>
      </w:r>
      <w:r>
        <w:rPr>
          <w:rFonts w:hint="eastAsia" w:ascii="宋体" w:hAnsi="宋体"/>
          <w:kern w:val="0"/>
          <w:szCs w:val="21"/>
        </w:rPr>
        <w:t>。</w:t>
      </w:r>
    </w:p>
    <w:p>
      <w:pPr>
        <w:pStyle w:val="3"/>
        <w:numPr>
          <w:ilvl w:val="0"/>
          <w:numId w:val="26"/>
        </w:numPr>
        <w:snapToGrid w:val="0"/>
        <w:spacing w:before="0" w:after="0" w:line="360" w:lineRule="auto"/>
        <w:jc w:val="center"/>
      </w:pPr>
      <w:bookmarkStart w:id="53" w:name="_Toc92740287"/>
      <w:r>
        <w:t>基金托管人</w:t>
      </w:r>
      <w:bookmarkEnd w:id="46"/>
      <w:bookmarkEnd w:id="47"/>
      <w:bookmarkEnd w:id="48"/>
      <w:bookmarkEnd w:id="53"/>
    </w:p>
    <w:p>
      <w:pPr>
        <w:widowControl/>
        <w:ind w:firstLine="420"/>
        <w:jc w:val="left"/>
        <w:rPr>
          <w:szCs w:val="21"/>
        </w:rPr>
      </w:pPr>
      <w:r>
        <w:rPr>
          <w:rFonts w:hint="eastAsia"/>
          <w:b/>
          <w:bCs/>
          <w:color w:val="000000"/>
        </w:rPr>
        <w:t>一、基金托管人基本情况</w:t>
      </w:r>
    </w:p>
    <w:p>
      <w:pPr>
        <w:pStyle w:val="39"/>
        <w:numPr>
          <w:ilvl w:val="0"/>
          <w:numId w:val="28"/>
        </w:numPr>
        <w:spacing w:before="0" w:beforeAutospacing="0" w:after="0" w:afterAutospacing="0" w:line="360" w:lineRule="auto"/>
        <w:ind w:firstLine="420"/>
        <w:rPr>
          <w:sz w:val="21"/>
          <w:szCs w:val="21"/>
        </w:rPr>
      </w:pPr>
      <w:r>
        <w:rPr>
          <w:rFonts w:hint="eastAsia"/>
          <w:sz w:val="21"/>
          <w:szCs w:val="21"/>
        </w:rPr>
        <w:t>基金托管人概况</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公司法定中文名称：交通银行股份有限公司（简称：交通银行）</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公司法定英文名称：Bank of Communications Co., Ltd.</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法定代表人：任德奇</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住所：中国（上海）自由贸易试验区银城中路 188 号</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办公地址：上海市长宁区仙霞路 18 号</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邮政编码：200336</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注册时间：1987 年 3 月 30 日</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注册资本：742.63 亿元</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基金托管资格批文及文号：中国证监会证监基字[1998]25 号</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联系人：方圆</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电话：95559</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交通银行始建于 1908 年，是中国历史最悠久的银行之一，也是近代中国的发钞行之一。1987 年重新组建后的交通银行正式对外营业，成为中国第一家全国性的国有股份制商业银行，总部设在上海。2005 年 6 月交通银行在香港联合交易所挂牌上市，2007 年 5 月在上海证券交易所挂牌上市。交通银行连续 17 年跻身《财富》(FORTUNE)世界 500 强，营业收入排名第 168 位；列《银行家》(The Banker)杂志全球千家大银行一级资本排名第 9 位。截至 2025 年 9 月 30 日，交通银行资产总额为人民币 15.50 万亿元。2025 年前三季度，交通银行实现净利润（归属于母公司股东）人民币 699.94 亿元。交通银行总行设资产托管部/资产托管业务发展中心（下文简称“托管部/托管发展中心”）。现有员工具有多年基金、证券和银行的从业经验，具备基金从业资格，以及经济师、会计师、工程师和律师等中高级专业技术职称，员工的学历层次较高，专业分布合理，职业技能优良，职业道德素质过硬，是一支诚实勤勉、积极进取、开拓创新、奋发向上的资产托管从业人员队伍。</w:t>
      </w:r>
    </w:p>
    <w:p>
      <w:pPr>
        <w:pStyle w:val="39"/>
        <w:numPr>
          <w:ilvl w:val="0"/>
          <w:numId w:val="28"/>
        </w:numPr>
        <w:spacing w:before="0" w:beforeAutospacing="0" w:after="0" w:afterAutospacing="0" w:line="360" w:lineRule="auto"/>
        <w:ind w:firstLine="420"/>
        <w:rPr>
          <w:sz w:val="21"/>
          <w:szCs w:val="21"/>
        </w:rPr>
      </w:pPr>
      <w:r>
        <w:rPr>
          <w:rFonts w:hint="eastAsia"/>
          <w:sz w:val="21"/>
          <w:szCs w:val="21"/>
        </w:rPr>
        <w:t>主要人员情况</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任德奇先生，董事长、执行董事，高级经济师。任先生 2020 年 1 月起任本行董事长，2018 年 8 月起任本行执行董事。曾任本行副董事长、执行董事、行长。曾任中国银行执行董事、副行长，期间曾兼任中银香港（控股）有限公司非执行董事，中国银行上海人民币交易业务总部总裁。曾任中国建设银行信贷审批部副总经理、风险监控部总经理、授信管理部总经理、湖北省分行行长、风险管理部总经理。任先生 1988 年于清华大学获工学硕士学位。</w:t>
      </w:r>
    </w:p>
    <w:p>
      <w:pPr>
        <w:pStyle w:val="39"/>
        <w:spacing w:before="0" w:beforeAutospacing="0" w:after="0" w:afterAutospacing="0" w:line="360" w:lineRule="auto"/>
        <w:ind w:firstLine="420"/>
        <w:rPr>
          <w:sz w:val="21"/>
          <w:szCs w:val="21"/>
        </w:rPr>
      </w:pPr>
      <w:r>
        <w:rPr>
          <w:rFonts w:hint="eastAsia"/>
          <w:sz w:val="21"/>
          <w:szCs w:val="21"/>
        </w:rPr>
        <w:t>张宝江先生，副董事长、执行董事、行长，高级经济师。张先生 2024 年 8 月起任本行副董事长、执行董事，2024 年 6 月起任本行行长；曾任中国农业发展银行副行长，安徽省分行行长，总行办公室主任，陕西省分行副行长，总行政策研究室副主任（主持工作）、办公室副主任、研究室副主任等职务。张先生 1998 年于中央党校研究生院获经济学硕士学位，2004 年于中央党校研究生院获经济学博士学位。孟羽先生，资产托管部/资产托管业务发展中心总经理。孟先生 2025 年 9 月起任本行资产托管部/资产托管业务发展中心总经理。曾任本行香港分行行政总裁，交通银行（香港）有限公司副董事长、执行董事、行政总裁，交银国际控股有限公司执行董事、首席执行官，广东省分行副行长，营业部副总经理，深圳分行国际业务部高级经理。曾在中国工商银行十堰分行工作。孟先生 1999 年于复旦大学获工商管理硕士学位。</w:t>
      </w:r>
    </w:p>
    <w:p>
      <w:pPr>
        <w:pStyle w:val="39"/>
        <w:numPr>
          <w:ilvl w:val="0"/>
          <w:numId w:val="28"/>
        </w:numPr>
        <w:spacing w:before="0" w:beforeAutospacing="0" w:after="0" w:afterAutospacing="0" w:line="360" w:lineRule="auto"/>
        <w:ind w:firstLine="420"/>
        <w:rPr>
          <w:sz w:val="21"/>
          <w:szCs w:val="21"/>
        </w:rPr>
      </w:pPr>
      <w:r>
        <w:rPr>
          <w:rFonts w:hint="eastAsia"/>
          <w:sz w:val="21"/>
          <w:szCs w:val="21"/>
        </w:rPr>
        <w:t>基金托管业务经营情况</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截至 2025 年 9 月 30 日，交通银行共托管证券投资基金 892 只。此外，交通银行还托管了基金公司特定客户资产管理计划、证券公司客户资产管理计划、理财产品、信托计划、私募投资基金、保险资金、全国社保基金、基本养老保险基金、划转国有资本充实社保基金、养老保障管理产品、企业年金基金、职业年金基金、企业年金养老金产品、商业养老金产品、期货公司资产管理计划、QFI 证券投资资产、QDII 证券投资资产、RQDII 证券投资资产、QDIE、QDLP 和 QFLP、债券“南向通”等产品。</w:t>
      </w:r>
    </w:p>
    <w:p>
      <w:pPr>
        <w:pStyle w:val="39"/>
        <w:numPr>
          <w:ilvl w:val="0"/>
          <w:numId w:val="29"/>
        </w:numPr>
        <w:spacing w:before="0" w:beforeAutospacing="0" w:after="0" w:afterAutospacing="0" w:line="360" w:lineRule="auto"/>
        <w:ind w:firstLine="420"/>
        <w:rPr>
          <w:sz w:val="21"/>
          <w:szCs w:val="21"/>
        </w:rPr>
      </w:pPr>
      <w:r>
        <w:rPr>
          <w:rFonts w:hint="eastAsia"/>
          <w:sz w:val="21"/>
          <w:szCs w:val="21"/>
        </w:rPr>
        <w:t>基金托管人的内部控制制度</w:t>
      </w:r>
    </w:p>
    <w:p>
      <w:pPr>
        <w:pStyle w:val="39"/>
        <w:spacing w:before="0" w:beforeAutospacing="0" w:after="0" w:afterAutospacing="0" w:line="360" w:lineRule="auto"/>
        <w:ind w:firstLine="420"/>
        <w:rPr>
          <w:sz w:val="21"/>
          <w:szCs w:val="21"/>
        </w:rPr>
      </w:pPr>
      <w:r>
        <w:rPr>
          <w:rFonts w:hint="eastAsia"/>
          <w:sz w:val="21"/>
          <w:szCs w:val="21"/>
        </w:rPr>
        <w:t>（一）内部控制目标</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交通银行严格遵守国家法律法规、行业规章及行内相关管理规定，加强内部管理，托管部/托管发展中心业务制度健全并确保贯彻执行各项规章，通过对各种风险的识别、评估、控制及缓释，有效地实现对各项业务的风险管控，确保业务稳健运行，保护基金持有人的合法权益。</w:t>
      </w:r>
    </w:p>
    <w:p>
      <w:pPr>
        <w:pStyle w:val="39"/>
        <w:spacing w:before="0" w:beforeAutospacing="0" w:after="0" w:afterAutospacing="0" w:line="360" w:lineRule="auto"/>
        <w:ind w:firstLine="420"/>
        <w:rPr>
          <w:sz w:val="21"/>
          <w:szCs w:val="21"/>
        </w:rPr>
      </w:pPr>
      <w:r>
        <w:rPr>
          <w:rFonts w:hint="eastAsia"/>
          <w:sz w:val="21"/>
          <w:szCs w:val="21"/>
        </w:rPr>
        <w:t>（二）内部控制原则</w:t>
      </w:r>
    </w:p>
    <w:p>
      <w:pPr>
        <w:pStyle w:val="39"/>
        <w:spacing w:before="0" w:beforeAutospacing="0" w:after="0" w:afterAutospacing="0" w:line="360" w:lineRule="auto"/>
        <w:ind w:firstLine="420"/>
        <w:rPr>
          <w:sz w:val="21"/>
          <w:szCs w:val="21"/>
        </w:rPr>
      </w:pPr>
      <w:r>
        <w:rPr>
          <w:rFonts w:hint="eastAsia"/>
          <w:sz w:val="21"/>
          <w:szCs w:val="21"/>
        </w:rPr>
        <w:t>1.合法性原则：托管部/托管发展中心制定的各项制度符合国家法律法规及监管机构的监管要求，并贯穿于托管业务经营管理活动始终。</w:t>
      </w:r>
    </w:p>
    <w:p>
      <w:pPr>
        <w:pStyle w:val="39"/>
        <w:spacing w:before="0" w:beforeAutospacing="0" w:after="0" w:afterAutospacing="0" w:line="360" w:lineRule="auto"/>
        <w:ind w:firstLine="420"/>
        <w:rPr>
          <w:sz w:val="21"/>
          <w:szCs w:val="21"/>
        </w:rPr>
      </w:pPr>
      <w:r>
        <w:rPr>
          <w:rFonts w:hint="eastAsia"/>
          <w:sz w:val="21"/>
          <w:szCs w:val="21"/>
        </w:rPr>
        <w:t>2.全面性原则：托管部/托管发展中心建立各二级部自我监控和风险合规部风险管控的内部控制机制，覆盖各项业务、各个部门和各级人员，并渗透到决策、执行、监督、反馈等各个经营环节，建立全面的风险管理监督机制。</w:t>
      </w:r>
    </w:p>
    <w:p>
      <w:pPr>
        <w:pStyle w:val="39"/>
        <w:spacing w:before="0" w:beforeAutospacing="0" w:after="0" w:afterAutospacing="0" w:line="360" w:lineRule="auto"/>
        <w:ind w:firstLine="420"/>
        <w:rPr>
          <w:sz w:val="21"/>
          <w:szCs w:val="21"/>
        </w:rPr>
      </w:pPr>
      <w:r>
        <w:rPr>
          <w:rFonts w:hint="eastAsia"/>
          <w:sz w:val="21"/>
          <w:szCs w:val="21"/>
        </w:rPr>
        <w:t>3.独立性原则：托管部/托管发展中心独立负责受托基金资产的保管，保证基金资产与交通银行的自有资产相互独立，对不同的受托基金资产分别设置账户，独立核算，分账管理。</w:t>
      </w:r>
    </w:p>
    <w:p>
      <w:pPr>
        <w:pStyle w:val="39"/>
        <w:spacing w:before="0" w:beforeAutospacing="0" w:after="0" w:afterAutospacing="0" w:line="360" w:lineRule="auto"/>
        <w:ind w:firstLine="420"/>
        <w:rPr>
          <w:sz w:val="21"/>
          <w:szCs w:val="21"/>
        </w:rPr>
      </w:pPr>
      <w:r>
        <w:rPr>
          <w:rFonts w:hint="eastAsia"/>
          <w:sz w:val="21"/>
          <w:szCs w:val="21"/>
        </w:rPr>
        <w:t>4.制衡性原则：托管部/托管发展中心贯彻适当授权、相互制约的原则，从组织架构的设置上确保各二级部和各岗位权责分明、相互制约，并通过有效的相互制衡措施消除内部控制中的盲点。</w:t>
      </w:r>
    </w:p>
    <w:p>
      <w:pPr>
        <w:pStyle w:val="39"/>
        <w:spacing w:before="0" w:beforeAutospacing="0" w:after="0" w:afterAutospacing="0" w:line="360" w:lineRule="auto"/>
        <w:ind w:firstLine="420"/>
        <w:rPr>
          <w:sz w:val="21"/>
          <w:szCs w:val="21"/>
        </w:rPr>
      </w:pPr>
      <w:r>
        <w:rPr>
          <w:rFonts w:hint="eastAsia"/>
          <w:sz w:val="21"/>
          <w:szCs w:val="21"/>
        </w:rPr>
        <w:t>5.有效性原则：托管部/托管发展中心在岗位、业务二级部和风险合规部三级内控管理模式的基础上，形成科学合理的内部控制决策机制、执行机制和监督机制，通过行之有效的控制流程、控制措施，建立合理的内控程序，保障各项内控管理目标被有效执行。6.效益性原则：托管部/托管发展中心内部控制与基金托管规模、业务范围和业务运作环节的风险控制要求相适应，尽量降低经营运作成本，以合理的控制成本实现最佳的内部控制目标。</w:t>
      </w:r>
    </w:p>
    <w:p>
      <w:pPr>
        <w:pStyle w:val="39"/>
        <w:spacing w:before="0" w:beforeAutospacing="0" w:after="0" w:afterAutospacing="0" w:line="360" w:lineRule="auto"/>
        <w:ind w:firstLine="420"/>
        <w:rPr>
          <w:sz w:val="21"/>
          <w:szCs w:val="21"/>
        </w:rPr>
      </w:pPr>
      <w:r>
        <w:rPr>
          <w:rFonts w:hint="eastAsia"/>
          <w:sz w:val="21"/>
          <w:szCs w:val="21"/>
        </w:rPr>
        <w:t>（三）内部控制制度及措施</w:t>
      </w:r>
    </w:p>
    <w:p>
      <w:pPr>
        <w:pStyle w:val="39"/>
        <w:spacing w:before="0" w:beforeAutospacing="0" w:after="0" w:afterAutospacing="0" w:line="360" w:lineRule="auto"/>
        <w:ind w:firstLine="420"/>
        <w:rPr>
          <w:sz w:val="21"/>
          <w:szCs w:val="21"/>
        </w:rPr>
      </w:pPr>
      <w:r>
        <w:rPr>
          <w:rFonts w:hint="eastAsia"/>
          <w:sz w:val="21"/>
          <w:szCs w:val="21"/>
        </w:rPr>
        <w:t>根据《基金法》、《中华人民共和国商业银行法》、《商业银行资产托管业务指引》等法律法规，托管部/托管发展中心制定了一整套严密、完整的证券投资基金托管管理规章制度，确保基金托管业务运行的规范、安全、高效，包括《交通银行资产托管业务管理办法》、《交通银行资产托管业务风险管理办法》、《交通银行资产托管业务商业秘密管理规定》、《交通银行资产托管业务从业人员行为规范》、《交通银行资产托管业务运营档案管理办法》等，并根据市场变化和基金业务的发展不断加以完善。做到业务分工科学合理，技术系统管理规范，业务管理制度健全，核心作业区实行封闭管理，落实各项安全隔离措施，相关信息披露由专人负责。</w:t>
      </w:r>
    </w:p>
    <w:p>
      <w:pPr>
        <w:pStyle w:val="39"/>
        <w:spacing w:before="0" w:beforeAutospacing="0" w:after="0" w:afterAutospacing="0" w:line="360" w:lineRule="auto"/>
        <w:ind w:firstLine="420"/>
        <w:rPr>
          <w:sz w:val="21"/>
          <w:szCs w:val="21"/>
        </w:rPr>
      </w:pPr>
      <w:r>
        <w:rPr>
          <w:rFonts w:hint="eastAsia"/>
          <w:sz w:val="21"/>
          <w:szCs w:val="21"/>
        </w:rPr>
        <w:t>托管部/托管发展中心通过对基金托管业务各环节的事前揭示、事中控制和事后检查措施实现全流程、全链条的风险管理，聘请会计师事务所对基金托管业务运行进行国际标准的内部控制评审。</w:t>
      </w:r>
    </w:p>
    <w:p>
      <w:pPr>
        <w:pStyle w:val="39"/>
        <w:numPr>
          <w:ilvl w:val="0"/>
          <w:numId w:val="29"/>
        </w:numPr>
        <w:spacing w:before="0" w:beforeAutospacing="0" w:after="0" w:afterAutospacing="0" w:line="360" w:lineRule="auto"/>
        <w:ind w:firstLine="420"/>
        <w:rPr>
          <w:sz w:val="21"/>
          <w:szCs w:val="21"/>
        </w:rPr>
      </w:pPr>
      <w:r>
        <w:rPr>
          <w:rFonts w:hint="eastAsia"/>
          <w:sz w:val="21"/>
          <w:szCs w:val="21"/>
        </w:rPr>
        <w:t>基金托管人对基金管理人运作基金进行监督的方法和程序</w:t>
      </w:r>
    </w:p>
    <w:p>
      <w:pPr>
        <w:pStyle w:val="39"/>
        <w:numPr>
          <w:ilvl w:val="255"/>
          <w:numId w:val="0"/>
        </w:numPr>
        <w:spacing w:before="0" w:beforeAutospacing="0" w:after="0" w:afterAutospacing="0" w:line="360" w:lineRule="auto"/>
        <w:ind w:firstLine="420"/>
        <w:rPr>
          <w:sz w:val="21"/>
          <w:szCs w:val="21"/>
        </w:rPr>
      </w:pPr>
      <w:r>
        <w:rPr>
          <w:rFonts w:hint="eastAsia"/>
          <w:sz w:val="21"/>
          <w:szCs w:val="21"/>
        </w:rPr>
        <w:t>交通银行作为基金托管人，根据《基金法》、《运作办法》和有关证券法规的规定，对基金的投资对象、基金资产的投资组合比例、基金资产的核算、基金资产净值的计算、基金管理人报酬的计提和支付、基金托管人报酬的计提和支付、基金的申购资金的到账与赎回资金的划付、基金收益分配等行为的合规性进行监督和核查。交通银行作为基金托管人，发现基金管理人有违反《基金法》、《运作办法》等有关证券法规和《基金合同》的行为，及时通知基金管理人予以纠正，基金管理人收到通知后及时确认并进行调整。交通银行有权对通知事项进行复查，督促基金管理人改正。基金管理人对交通银行通知的违规事项未能及时纠正的，交通银行按规定报告中国证监会。交通银行作为基金托管人，发现基金管理人有重大违规行为，按规定报告中国证监会，同时通知基金管理人限期纠正。</w:t>
      </w:r>
    </w:p>
    <w:p>
      <w:pPr>
        <w:widowControl/>
        <w:spacing w:line="360" w:lineRule="auto"/>
        <w:ind w:firstLine="420" w:firstLineChars="200"/>
        <w:rPr>
          <w:rFonts w:ascii="宋体" w:hAnsi="宋体" w:cs="Arial"/>
          <w:szCs w:val="21"/>
        </w:rPr>
      </w:pPr>
    </w:p>
    <w:p>
      <w:pPr>
        <w:widowControl/>
        <w:spacing w:line="360" w:lineRule="auto"/>
        <w:jc w:val="left"/>
        <w:rPr>
          <w:color w:val="000000"/>
        </w:rPr>
        <w:sectPr>
          <w:footerReference r:id="rId8" w:type="first"/>
          <w:footerReference r:id="rId7" w:type="defaul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54" w:name="_Toc327902626"/>
      <w:bookmarkStart w:id="55" w:name="_Toc335899836"/>
      <w:bookmarkStart w:id="56" w:name="_Toc369510011"/>
      <w:bookmarkStart w:id="57" w:name="_Toc411872027"/>
      <w:bookmarkStart w:id="58" w:name="_Toc332013113"/>
      <w:bookmarkStart w:id="59" w:name="_Toc375295976"/>
      <w:bookmarkStart w:id="60" w:name="_Toc92740288"/>
      <w:bookmarkStart w:id="61" w:name="_Toc336606230"/>
      <w:r>
        <w:rPr>
          <w:rFonts w:hint="eastAsia"/>
        </w:rPr>
        <w:t>相关服务机构</w:t>
      </w:r>
      <w:bookmarkEnd w:id="54"/>
      <w:bookmarkEnd w:id="55"/>
      <w:bookmarkEnd w:id="56"/>
      <w:bookmarkEnd w:id="57"/>
      <w:bookmarkEnd w:id="58"/>
      <w:bookmarkEnd w:id="59"/>
      <w:bookmarkEnd w:id="60"/>
      <w:bookmarkEnd w:id="61"/>
    </w:p>
    <w:p>
      <w:pPr>
        <w:pStyle w:val="163"/>
        <w:ind w:firstLine="422"/>
        <w:rPr>
          <w:b/>
        </w:rPr>
      </w:pPr>
      <w:r>
        <w:rPr>
          <w:rFonts w:hint="eastAsia"/>
          <w:b/>
        </w:rPr>
        <w:t>一、基金份额销售机构</w:t>
      </w:r>
    </w:p>
    <w:p>
      <w:pPr>
        <w:adjustRightInd w:val="0"/>
        <w:snapToGrid w:val="0"/>
        <w:spacing w:line="360" w:lineRule="auto"/>
        <w:ind w:firstLine="420" w:firstLineChars="200"/>
        <w:rPr>
          <w:rFonts w:eastAsiaTheme="minorEastAsia"/>
        </w:rPr>
      </w:pPr>
      <w:r>
        <w:rPr>
          <w:rFonts w:eastAsiaTheme="minorEastAsia"/>
        </w:rPr>
        <w:t>1、直销机构</w:t>
      </w:r>
    </w:p>
    <w:p>
      <w:pPr>
        <w:adjustRightInd w:val="0"/>
        <w:snapToGrid w:val="0"/>
        <w:spacing w:line="360" w:lineRule="auto"/>
        <w:ind w:firstLine="420" w:firstLineChars="200"/>
        <w:rPr>
          <w:rFonts w:eastAsiaTheme="minorEastAsia"/>
        </w:rPr>
      </w:pPr>
      <w:r>
        <w:rPr>
          <w:rFonts w:eastAsiaTheme="minorEastAsia"/>
        </w:rPr>
        <w:t>博时基金管理有限公司</w:t>
      </w:r>
      <w:bookmarkStart w:id="62" w:name="_Hlk83213314"/>
      <w:r>
        <w:rPr>
          <w:rFonts w:eastAsiaTheme="minorEastAsia"/>
        </w:rPr>
        <w:t>北京直销中心</w:t>
      </w:r>
      <w:bookmarkEnd w:id="62"/>
    </w:p>
    <w:p>
      <w:pPr>
        <w:adjustRightInd w:val="0"/>
        <w:snapToGrid w:val="0"/>
        <w:spacing w:line="360" w:lineRule="auto"/>
        <w:ind w:firstLine="420" w:firstLineChars="200"/>
        <w:rPr>
          <w:rFonts w:eastAsiaTheme="minorEastAsia"/>
        </w:rPr>
      </w:pPr>
      <w:r>
        <w:rPr>
          <w:rFonts w:eastAsiaTheme="minorEastAsia"/>
        </w:rPr>
        <w:t>名称：博时基金管理有限公司北京直销中心</w:t>
      </w:r>
    </w:p>
    <w:p>
      <w:pPr>
        <w:adjustRightInd w:val="0"/>
        <w:snapToGrid w:val="0"/>
        <w:spacing w:line="360" w:lineRule="auto"/>
        <w:ind w:firstLine="420" w:firstLineChars="200"/>
        <w:rPr>
          <w:rFonts w:eastAsiaTheme="minorEastAsia"/>
        </w:rPr>
      </w:pPr>
      <w:r>
        <w:rPr>
          <w:rFonts w:eastAsiaTheme="minorEastAsia"/>
        </w:rPr>
        <w:t>地址：</w:t>
      </w:r>
      <w:r>
        <w:rPr>
          <w:rFonts w:hint="eastAsia" w:eastAsiaTheme="minorEastAsia"/>
        </w:rPr>
        <w:t xml:space="preserve">北京市东城区建国门内大街8号中粮广场C座609 </w:t>
      </w:r>
    </w:p>
    <w:p>
      <w:pPr>
        <w:adjustRightInd w:val="0"/>
        <w:snapToGrid w:val="0"/>
        <w:spacing w:line="360" w:lineRule="auto"/>
        <w:ind w:firstLine="420" w:firstLineChars="200"/>
        <w:rPr>
          <w:rFonts w:eastAsiaTheme="minorEastAsia"/>
        </w:rPr>
      </w:pPr>
      <w:r>
        <w:rPr>
          <w:rFonts w:eastAsiaTheme="minorEastAsia"/>
        </w:rPr>
        <w:t>电话：010-65187055</w:t>
      </w:r>
    </w:p>
    <w:p>
      <w:pPr>
        <w:adjustRightInd w:val="0"/>
        <w:snapToGrid w:val="0"/>
        <w:spacing w:line="360" w:lineRule="auto"/>
        <w:ind w:firstLine="420" w:firstLineChars="200"/>
        <w:rPr>
          <w:rFonts w:eastAsiaTheme="minorEastAsia"/>
        </w:rPr>
      </w:pPr>
      <w:r>
        <w:rPr>
          <w:rFonts w:eastAsiaTheme="minorEastAsia"/>
        </w:rPr>
        <w:t>传真：010-65187032</w:t>
      </w:r>
    </w:p>
    <w:p>
      <w:pPr>
        <w:adjustRightInd w:val="0"/>
        <w:snapToGrid w:val="0"/>
        <w:spacing w:line="360" w:lineRule="auto"/>
        <w:ind w:firstLine="420" w:firstLineChars="200"/>
        <w:rPr>
          <w:rFonts w:eastAsiaTheme="minorEastAsia"/>
        </w:rPr>
      </w:pPr>
      <w:r>
        <w:rPr>
          <w:rFonts w:eastAsiaTheme="minorEastAsia"/>
        </w:rPr>
        <w:t>联系人：韩明亮</w:t>
      </w:r>
    </w:p>
    <w:p>
      <w:pPr>
        <w:adjustRightInd w:val="0"/>
        <w:snapToGrid w:val="0"/>
        <w:spacing w:line="360" w:lineRule="auto"/>
        <w:ind w:firstLine="420" w:firstLineChars="200"/>
        <w:rPr>
          <w:rFonts w:eastAsiaTheme="minorEastAsia"/>
        </w:rPr>
      </w:pPr>
      <w:r>
        <w:rPr>
          <w:rFonts w:eastAsiaTheme="minorEastAsia"/>
        </w:rPr>
        <w:t>博时一线通：95105568（免长途话费）</w:t>
      </w:r>
    </w:p>
    <w:p>
      <w:pPr>
        <w:adjustRightInd w:val="0"/>
        <w:snapToGrid w:val="0"/>
        <w:spacing w:line="360" w:lineRule="auto"/>
        <w:ind w:firstLine="420" w:firstLineChars="200"/>
        <w:rPr>
          <w:rFonts w:eastAsiaTheme="minorEastAsia"/>
        </w:rPr>
      </w:pPr>
      <w:r>
        <w:rPr>
          <w:rFonts w:eastAsiaTheme="minorEastAsia"/>
        </w:rPr>
        <w:t>2、基金管理人可根据有关法律法规的要求，选择其他符合要求的机构销售本基金，并在基金管理人网站公示。</w:t>
      </w:r>
    </w:p>
    <w:p>
      <w:pPr>
        <w:snapToGrid w:val="0"/>
        <w:spacing w:line="360" w:lineRule="auto"/>
        <w:ind w:firstLine="420" w:firstLineChars="200"/>
      </w:pPr>
      <w:r>
        <w:rPr>
          <w:rFonts w:eastAsiaTheme="minorEastAsia"/>
        </w:rPr>
        <w:t>基金销售机构的具体名单见基金份额发售公告及基金管理人网站，基金管理人可依据实际情况增减、变更基金销售机构，并在基金管理人网站公示。</w:t>
      </w:r>
    </w:p>
    <w:p>
      <w:pPr>
        <w:pStyle w:val="163"/>
        <w:ind w:firstLine="422"/>
        <w:rPr>
          <w:b/>
        </w:rPr>
      </w:pPr>
      <w:r>
        <w:rPr>
          <w:b/>
        </w:rPr>
        <w:t>二、登记机构</w:t>
      </w:r>
    </w:p>
    <w:p>
      <w:pPr>
        <w:snapToGrid w:val="0"/>
        <w:spacing w:line="360" w:lineRule="auto"/>
        <w:ind w:firstLine="420" w:firstLineChars="200"/>
      </w:pPr>
      <w:r>
        <w:t>名称：博时基金管理有限公司</w:t>
      </w:r>
    </w:p>
    <w:p>
      <w:pPr>
        <w:snapToGrid w:val="0"/>
        <w:spacing w:line="360" w:lineRule="auto"/>
        <w:ind w:firstLine="420" w:firstLineChars="200"/>
      </w:pPr>
      <w:r>
        <w:t>住所：深圳市福田区莲花街道福新社区益田路5999号基金大厦21层</w:t>
      </w:r>
    </w:p>
    <w:p>
      <w:pPr>
        <w:snapToGrid w:val="0"/>
        <w:spacing w:line="360" w:lineRule="auto"/>
        <w:ind w:firstLine="420" w:firstLineChars="200"/>
      </w:pPr>
      <w:r>
        <w:t>办公地址：北京市东城区建国门内大街8号中粮广场C座6层609</w:t>
      </w:r>
    </w:p>
    <w:p>
      <w:pPr>
        <w:snapToGrid w:val="0"/>
        <w:spacing w:line="360" w:lineRule="auto"/>
        <w:ind w:firstLine="420" w:firstLineChars="200"/>
      </w:pPr>
      <w:r>
        <w:t>法定代表人：</w:t>
      </w:r>
      <w:r>
        <w:rPr>
          <w:rFonts w:hint="eastAsia"/>
        </w:rPr>
        <w:t>张东</w:t>
      </w:r>
    </w:p>
    <w:p>
      <w:pPr>
        <w:adjustRightInd w:val="0"/>
        <w:snapToGrid w:val="0"/>
        <w:spacing w:line="360" w:lineRule="auto"/>
        <w:ind w:firstLine="420" w:firstLineChars="200"/>
      </w:pPr>
      <w:r>
        <w:t>电话：010-65171166</w:t>
      </w:r>
    </w:p>
    <w:p>
      <w:pPr>
        <w:adjustRightInd w:val="0"/>
        <w:snapToGrid w:val="0"/>
        <w:spacing w:line="360" w:lineRule="auto"/>
        <w:ind w:firstLine="420" w:firstLineChars="200"/>
      </w:pPr>
      <w:r>
        <w:t>传真：010-65187068</w:t>
      </w:r>
    </w:p>
    <w:p>
      <w:pPr>
        <w:adjustRightInd w:val="0"/>
        <w:snapToGrid w:val="0"/>
        <w:spacing w:line="360" w:lineRule="auto"/>
        <w:ind w:firstLine="420" w:firstLineChars="200"/>
      </w:pPr>
      <w:r>
        <w:t>联系人：</w:t>
      </w:r>
      <w:r>
        <w:rPr>
          <w:rFonts w:hint="eastAsia"/>
        </w:rPr>
        <w:t>佀方方</w:t>
      </w:r>
    </w:p>
    <w:p>
      <w:pPr>
        <w:pStyle w:val="163"/>
        <w:ind w:firstLine="422"/>
        <w:rPr>
          <w:b/>
        </w:rPr>
      </w:pPr>
      <w:r>
        <w:rPr>
          <w:b/>
        </w:rPr>
        <w:t>三、出具法律意见书的律师事务所</w:t>
      </w:r>
    </w:p>
    <w:p>
      <w:pPr>
        <w:snapToGrid w:val="0"/>
        <w:spacing w:line="360" w:lineRule="auto"/>
        <w:ind w:firstLine="420" w:firstLineChars="200"/>
        <w:rPr>
          <w:rFonts w:eastAsiaTheme="minorEastAsia"/>
          <w:color w:val="000000"/>
          <w:kern w:val="0"/>
          <w:szCs w:val="21"/>
        </w:rPr>
      </w:pPr>
      <w:r>
        <w:rPr>
          <w:rFonts w:hint="eastAsia" w:eastAsiaTheme="minorEastAsia"/>
          <w:color w:val="000000"/>
          <w:kern w:val="0"/>
          <w:szCs w:val="21"/>
        </w:rPr>
        <w:t>名称：上海市通力律师事务所</w:t>
      </w:r>
    </w:p>
    <w:p>
      <w:pPr>
        <w:snapToGrid w:val="0"/>
        <w:spacing w:line="360" w:lineRule="auto"/>
        <w:ind w:firstLine="420" w:firstLineChars="200"/>
        <w:rPr>
          <w:rFonts w:eastAsiaTheme="minorEastAsia"/>
          <w:color w:val="000000"/>
          <w:kern w:val="0"/>
          <w:szCs w:val="21"/>
        </w:rPr>
      </w:pPr>
      <w:r>
        <w:rPr>
          <w:rFonts w:hint="eastAsia" w:eastAsiaTheme="minorEastAsia"/>
          <w:color w:val="000000"/>
          <w:kern w:val="0"/>
          <w:szCs w:val="21"/>
        </w:rPr>
        <w:t>注册地址：上海市银城中路 68 号时代金融中心 19 楼</w:t>
      </w:r>
    </w:p>
    <w:p>
      <w:pPr>
        <w:snapToGrid w:val="0"/>
        <w:spacing w:line="360" w:lineRule="auto"/>
        <w:ind w:firstLine="420" w:firstLineChars="200"/>
        <w:rPr>
          <w:rFonts w:eastAsiaTheme="minorEastAsia"/>
          <w:color w:val="000000"/>
          <w:kern w:val="0"/>
          <w:szCs w:val="21"/>
        </w:rPr>
      </w:pPr>
      <w:r>
        <w:rPr>
          <w:rFonts w:hint="eastAsia" w:eastAsiaTheme="minorEastAsia"/>
          <w:color w:val="000000"/>
          <w:kern w:val="0"/>
          <w:szCs w:val="21"/>
        </w:rPr>
        <w:t>办公地址：上海市银城中路 68 号时代金融中心 19 楼</w:t>
      </w:r>
    </w:p>
    <w:p>
      <w:pPr>
        <w:snapToGrid w:val="0"/>
        <w:spacing w:line="360" w:lineRule="auto"/>
        <w:ind w:firstLine="420" w:firstLineChars="200"/>
        <w:rPr>
          <w:rFonts w:eastAsiaTheme="minorEastAsia"/>
          <w:color w:val="000000"/>
          <w:kern w:val="0"/>
          <w:szCs w:val="21"/>
        </w:rPr>
      </w:pPr>
      <w:r>
        <w:rPr>
          <w:rFonts w:hint="eastAsia" w:eastAsiaTheme="minorEastAsia"/>
          <w:color w:val="000000"/>
          <w:kern w:val="0"/>
          <w:szCs w:val="21"/>
        </w:rPr>
        <w:t>负责人：韩炯</w:t>
      </w:r>
    </w:p>
    <w:p>
      <w:pPr>
        <w:snapToGrid w:val="0"/>
        <w:spacing w:line="360" w:lineRule="auto"/>
        <w:ind w:firstLine="420" w:firstLineChars="200"/>
        <w:rPr>
          <w:rFonts w:eastAsiaTheme="minorEastAsia"/>
          <w:color w:val="000000"/>
          <w:kern w:val="0"/>
          <w:szCs w:val="21"/>
        </w:rPr>
      </w:pPr>
      <w:r>
        <w:rPr>
          <w:rFonts w:hint="eastAsia" w:eastAsiaTheme="minorEastAsia"/>
          <w:color w:val="000000"/>
          <w:kern w:val="0"/>
          <w:szCs w:val="21"/>
        </w:rPr>
        <w:t>电话： 021- 31358666</w:t>
      </w:r>
    </w:p>
    <w:p>
      <w:pPr>
        <w:snapToGrid w:val="0"/>
        <w:spacing w:line="360" w:lineRule="auto"/>
        <w:ind w:firstLine="420" w:firstLineChars="200"/>
        <w:rPr>
          <w:rFonts w:eastAsiaTheme="minorEastAsia"/>
          <w:color w:val="000000"/>
          <w:kern w:val="0"/>
          <w:szCs w:val="21"/>
        </w:rPr>
      </w:pPr>
      <w:r>
        <w:rPr>
          <w:rFonts w:hint="eastAsia" w:eastAsiaTheme="minorEastAsia"/>
          <w:color w:val="000000"/>
          <w:kern w:val="0"/>
          <w:szCs w:val="21"/>
        </w:rPr>
        <w:t>传真： 021- 31358600</w:t>
      </w:r>
    </w:p>
    <w:p>
      <w:pPr>
        <w:snapToGrid w:val="0"/>
        <w:spacing w:line="360" w:lineRule="auto"/>
        <w:ind w:firstLine="420" w:firstLineChars="200"/>
        <w:rPr>
          <w:rFonts w:eastAsiaTheme="minorEastAsia"/>
          <w:color w:val="000000"/>
          <w:kern w:val="0"/>
          <w:szCs w:val="21"/>
        </w:rPr>
      </w:pPr>
      <w:r>
        <w:rPr>
          <w:rFonts w:hint="eastAsia" w:eastAsiaTheme="minorEastAsia"/>
          <w:color w:val="000000"/>
          <w:kern w:val="0"/>
          <w:szCs w:val="21"/>
        </w:rPr>
        <w:t>联系人：陈雅秋</w:t>
      </w:r>
    </w:p>
    <w:p>
      <w:pPr>
        <w:snapToGrid w:val="0"/>
        <w:spacing w:line="360" w:lineRule="auto"/>
        <w:ind w:firstLine="420" w:firstLineChars="200"/>
        <w:rPr>
          <w:rFonts w:eastAsiaTheme="minorEastAsia"/>
          <w:color w:val="000000"/>
          <w:kern w:val="0"/>
          <w:szCs w:val="21"/>
        </w:rPr>
      </w:pPr>
      <w:r>
        <w:rPr>
          <w:rFonts w:hint="eastAsia" w:eastAsiaTheme="minorEastAsia"/>
          <w:color w:val="000000"/>
          <w:kern w:val="0"/>
          <w:szCs w:val="21"/>
        </w:rPr>
        <w:t>经办律师：陆奇、陈雅秋</w:t>
      </w:r>
    </w:p>
    <w:p>
      <w:pPr>
        <w:pStyle w:val="163"/>
        <w:ind w:firstLine="422"/>
        <w:rPr>
          <w:b/>
        </w:rPr>
      </w:pPr>
      <w:r>
        <w:rPr>
          <w:b/>
        </w:rPr>
        <w:t>四、</w:t>
      </w:r>
      <w:r>
        <w:rPr>
          <w:rFonts w:hint="eastAsia"/>
          <w:b/>
        </w:rPr>
        <w:t>会计师事务所和经办注册会计师</w:t>
      </w:r>
    </w:p>
    <w:p>
      <w:pPr>
        <w:pStyle w:val="39"/>
        <w:spacing w:before="0" w:beforeAutospacing="0" w:after="0" w:afterAutospacing="0" w:line="360" w:lineRule="auto"/>
        <w:ind w:firstLine="420"/>
        <w:rPr>
          <w:sz w:val="21"/>
          <w:szCs w:val="21"/>
        </w:rPr>
      </w:pPr>
      <w:r>
        <w:rPr>
          <w:rFonts w:hint="eastAsia"/>
          <w:sz w:val="21"/>
          <w:szCs w:val="21"/>
        </w:rPr>
        <w:t>本基金的法定验资机构为</w:t>
      </w:r>
      <w:bookmarkStart w:id="63" w:name="field_0_verifyaccountorgfullname_1"/>
      <w:r>
        <w:rPr>
          <w:rFonts w:hint="eastAsia"/>
          <w:sz w:val="21"/>
          <w:szCs w:val="21"/>
        </w:rPr>
        <w:t>安永华明会计师事务所（特殊普通合伙）</w:t>
      </w:r>
      <w:bookmarkEnd w:id="63"/>
      <w:r>
        <w:rPr>
          <w:rFonts w:hint="eastAsia"/>
          <w:sz w:val="21"/>
          <w:szCs w:val="21"/>
        </w:rPr>
        <w:t xml:space="preserve">  </w:t>
      </w:r>
    </w:p>
    <w:p>
      <w:pPr>
        <w:pStyle w:val="39"/>
        <w:spacing w:before="0" w:beforeAutospacing="0" w:after="0" w:afterAutospacing="0" w:line="360" w:lineRule="auto"/>
        <w:ind w:firstLine="420"/>
        <w:rPr>
          <w:sz w:val="21"/>
          <w:szCs w:val="21"/>
        </w:rPr>
      </w:pPr>
      <w:bookmarkStart w:id="64" w:name="field_0_verifyaccountcompanyinfo_1_start"/>
      <w:bookmarkEnd w:id="64"/>
      <w:r>
        <w:rPr>
          <w:rFonts w:hint="eastAsia"/>
          <w:sz w:val="21"/>
          <w:szCs w:val="21"/>
        </w:rPr>
        <w:t xml:space="preserve">名称：安永华明会计师事务所（特殊普通合伙） </w:t>
      </w:r>
    </w:p>
    <w:p>
      <w:pPr>
        <w:pStyle w:val="39"/>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39"/>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39"/>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39"/>
        <w:spacing w:before="0" w:beforeAutospacing="0" w:after="0" w:afterAutospacing="0" w:line="360" w:lineRule="auto"/>
        <w:ind w:firstLine="420"/>
        <w:rPr>
          <w:sz w:val="21"/>
          <w:szCs w:val="21"/>
        </w:rPr>
      </w:pPr>
      <w:r>
        <w:rPr>
          <w:rFonts w:hint="eastAsia"/>
          <w:sz w:val="21"/>
          <w:szCs w:val="21"/>
        </w:rPr>
        <w:t xml:space="preserve">联系电话：（010）58153000  </w:t>
      </w:r>
    </w:p>
    <w:p>
      <w:pPr>
        <w:pStyle w:val="39"/>
        <w:spacing w:before="0" w:beforeAutospacing="0" w:after="0" w:afterAutospacing="0" w:line="360" w:lineRule="auto"/>
        <w:ind w:firstLine="420"/>
        <w:rPr>
          <w:sz w:val="21"/>
          <w:szCs w:val="21"/>
        </w:rPr>
      </w:pPr>
      <w:r>
        <w:rPr>
          <w:rFonts w:hint="eastAsia"/>
          <w:sz w:val="21"/>
          <w:szCs w:val="21"/>
        </w:rPr>
        <w:t xml:space="preserve">传真：（010）85188298  </w:t>
      </w:r>
    </w:p>
    <w:p>
      <w:pPr>
        <w:pStyle w:val="39"/>
        <w:spacing w:before="0" w:beforeAutospacing="0" w:after="0" w:afterAutospacing="0" w:line="360" w:lineRule="auto"/>
        <w:ind w:firstLine="420"/>
        <w:rPr>
          <w:sz w:val="21"/>
          <w:szCs w:val="21"/>
        </w:rPr>
      </w:pPr>
      <w:r>
        <w:rPr>
          <w:rFonts w:hint="eastAsia"/>
          <w:sz w:val="21"/>
          <w:szCs w:val="21"/>
        </w:rPr>
        <w:t>经办注册会计师：</w:t>
      </w:r>
      <w:r>
        <w:rPr>
          <w:rFonts w:hint="eastAsia"/>
          <w:sz w:val="21"/>
          <w:szCs w:val="21"/>
          <w:lang w:val="en-US" w:eastAsia="zh-CN"/>
        </w:rPr>
        <w:t>高</w:t>
      </w:r>
      <w:r>
        <w:rPr>
          <w:rFonts w:hint="eastAsia"/>
          <w:sz w:val="21"/>
          <w:szCs w:val="21"/>
        </w:rPr>
        <w:t>鹤、楼坚、王海彦</w:t>
      </w:r>
    </w:p>
    <w:p>
      <w:pPr>
        <w:pStyle w:val="39"/>
        <w:spacing w:before="0" w:beforeAutospacing="0" w:after="0" w:afterAutospacing="0" w:line="360" w:lineRule="auto"/>
        <w:ind w:firstLine="420"/>
        <w:rPr>
          <w:sz w:val="21"/>
          <w:szCs w:val="21"/>
        </w:rPr>
      </w:pPr>
      <w:r>
        <w:rPr>
          <w:rFonts w:hint="eastAsia"/>
          <w:sz w:val="21"/>
          <w:szCs w:val="21"/>
        </w:rPr>
        <w:t>联系人： 王海彦</w:t>
      </w:r>
    </w:p>
    <w:p>
      <w:pPr>
        <w:pStyle w:val="39"/>
        <w:spacing w:before="0" w:beforeAutospacing="0" w:after="0" w:afterAutospacing="0" w:line="360" w:lineRule="auto"/>
        <w:ind w:firstLine="420"/>
        <w:rPr>
          <w:sz w:val="21"/>
          <w:szCs w:val="21"/>
        </w:rPr>
      </w:pPr>
      <w:r>
        <w:rPr>
          <w:rFonts w:hint="eastAsia"/>
          <w:sz w:val="21"/>
          <w:szCs w:val="21"/>
        </w:rPr>
        <w:t>本基金的年度财务报表及其他规定事项的审计机构为</w:t>
      </w:r>
      <w:bookmarkStart w:id="65" w:name="field_0_accountingorgfullname_1"/>
      <w:r>
        <w:rPr>
          <w:rFonts w:hint="eastAsia"/>
          <w:sz w:val="21"/>
          <w:szCs w:val="21"/>
        </w:rPr>
        <w:t>容诚会计师事务所</w:t>
      </w:r>
      <w:r>
        <w:rPr>
          <w:sz w:val="21"/>
          <w:szCs w:val="21"/>
        </w:rPr>
        <w:t>(特殊普通合伙)</w:t>
      </w:r>
      <w:bookmarkEnd w:id="65"/>
      <w:r>
        <w:rPr>
          <w:rFonts w:hint="eastAsia"/>
          <w:sz w:val="21"/>
          <w:szCs w:val="21"/>
        </w:rPr>
        <w:t xml:space="preserve">  </w:t>
      </w:r>
    </w:p>
    <w:p>
      <w:pPr>
        <w:pStyle w:val="39"/>
        <w:spacing w:before="0" w:beforeAutospacing="0" w:after="0" w:afterAutospacing="0" w:line="360" w:lineRule="auto"/>
        <w:ind w:firstLine="420"/>
        <w:rPr>
          <w:sz w:val="21"/>
          <w:szCs w:val="21"/>
        </w:rPr>
      </w:pPr>
      <w:bookmarkStart w:id="66" w:name="field_0_accountingcompanyinfo_1_start"/>
      <w:bookmarkEnd w:id="66"/>
      <w:r>
        <w:rPr>
          <w:rFonts w:hint="eastAsia"/>
          <w:sz w:val="21"/>
          <w:szCs w:val="21"/>
        </w:rPr>
        <w:t xml:space="preserve">名称：容诚会计师事务所（特殊普通合伙） </w:t>
      </w:r>
    </w:p>
    <w:p>
      <w:pPr>
        <w:pStyle w:val="39"/>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39"/>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39"/>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39"/>
        <w:spacing w:before="0" w:beforeAutospacing="0" w:after="0" w:afterAutospacing="0" w:line="360" w:lineRule="auto"/>
        <w:ind w:firstLine="420"/>
        <w:rPr>
          <w:sz w:val="21"/>
          <w:szCs w:val="21"/>
        </w:rPr>
      </w:pPr>
      <w:r>
        <w:rPr>
          <w:rFonts w:hint="eastAsia"/>
          <w:sz w:val="21"/>
          <w:szCs w:val="21"/>
        </w:rPr>
        <w:t xml:space="preserve">联系电话：010-66001391 </w:t>
      </w:r>
    </w:p>
    <w:p>
      <w:pPr>
        <w:pStyle w:val="39"/>
        <w:spacing w:before="0" w:beforeAutospacing="0" w:after="0" w:afterAutospacing="0" w:line="360" w:lineRule="auto"/>
        <w:ind w:firstLine="420"/>
        <w:rPr>
          <w:sz w:val="21"/>
          <w:szCs w:val="21"/>
        </w:rPr>
      </w:pPr>
      <w:r>
        <w:rPr>
          <w:rFonts w:hint="eastAsia"/>
          <w:sz w:val="21"/>
          <w:szCs w:val="21"/>
        </w:rPr>
        <w:t xml:space="preserve">传真：010-66001392 </w:t>
      </w:r>
    </w:p>
    <w:p>
      <w:pPr>
        <w:pStyle w:val="39"/>
        <w:spacing w:before="0" w:beforeAutospacing="0" w:after="0" w:afterAutospacing="0" w:line="360" w:lineRule="auto"/>
        <w:ind w:firstLine="420"/>
        <w:rPr>
          <w:sz w:val="21"/>
          <w:szCs w:val="21"/>
        </w:rPr>
      </w:pPr>
      <w:r>
        <w:rPr>
          <w:rFonts w:hint="eastAsia"/>
          <w:sz w:val="21"/>
          <w:szCs w:val="21"/>
        </w:rPr>
        <w:t xml:space="preserve">联系人：吴琳杰 </w:t>
      </w:r>
    </w:p>
    <w:p>
      <w:pPr>
        <w:pStyle w:val="39"/>
        <w:spacing w:before="0" w:beforeAutospacing="0" w:after="0" w:afterAutospacing="0" w:line="360" w:lineRule="auto"/>
        <w:ind w:firstLine="420"/>
        <w:rPr>
          <w:sz w:val="21"/>
          <w:szCs w:val="21"/>
        </w:rPr>
      </w:pPr>
      <w:bookmarkStart w:id="67" w:name="chapter_level1_7_56_section_3_end"/>
      <w:bookmarkEnd w:id="67"/>
      <w:r>
        <w:rPr>
          <w:rFonts w:hint="eastAsia"/>
          <w:sz w:val="21"/>
          <w:szCs w:val="21"/>
        </w:rPr>
        <w:t>经办注册会计师：薛竞 吴琳杰</w:t>
      </w:r>
    </w:p>
    <w:p>
      <w:pPr>
        <w:pStyle w:val="163"/>
        <w:rPr>
          <w:color w:val="000000"/>
        </w:rPr>
        <w:sectPr>
          <w:footerReference r:id="rId10" w:type="first"/>
          <w:footerReference r:id="rId9" w:type="defaul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68" w:name="_Toc336606232"/>
      <w:bookmarkStart w:id="69" w:name="_Toc411872029"/>
      <w:bookmarkStart w:id="70" w:name="_Toc369510013"/>
      <w:bookmarkStart w:id="71" w:name="_Toc92740289"/>
      <w:bookmarkStart w:id="72" w:name="_Toc327902629"/>
      <w:bookmarkStart w:id="73" w:name="_Toc332013115"/>
      <w:bookmarkStart w:id="74" w:name="_Toc375295978"/>
      <w:bookmarkStart w:id="75" w:name="_Toc335899838"/>
      <w:r>
        <w:rPr>
          <w:rFonts w:hint="eastAsia"/>
        </w:rPr>
        <w:t>基金的发售</w:t>
      </w:r>
      <w:bookmarkEnd w:id="68"/>
      <w:bookmarkEnd w:id="69"/>
      <w:bookmarkEnd w:id="70"/>
      <w:bookmarkEnd w:id="71"/>
      <w:bookmarkEnd w:id="72"/>
      <w:bookmarkEnd w:id="73"/>
      <w:bookmarkEnd w:id="74"/>
      <w:bookmarkEnd w:id="75"/>
    </w:p>
    <w:p>
      <w:pPr>
        <w:autoSpaceDE w:val="0"/>
        <w:autoSpaceDN w:val="0"/>
        <w:adjustRightInd w:val="0"/>
        <w:snapToGrid w:val="0"/>
        <w:spacing w:line="360" w:lineRule="auto"/>
        <w:ind w:firstLine="420" w:firstLineChars="200"/>
        <w:rPr>
          <w:szCs w:val="21"/>
        </w:rPr>
      </w:pPr>
      <w:r>
        <w:rPr>
          <w:szCs w:val="21"/>
        </w:rPr>
        <w:t>基金管理人按照《基金法》、《运作办法》、《销售办法》、基金合同及其他有关规定募集本基金，并于202</w:t>
      </w:r>
      <w:r>
        <w:rPr>
          <w:rFonts w:hint="eastAsia"/>
          <w:szCs w:val="21"/>
          <w:lang w:val="en-US" w:eastAsia="zh-CN"/>
        </w:rPr>
        <w:t>6</w:t>
      </w:r>
      <w:r>
        <w:rPr>
          <w:szCs w:val="21"/>
        </w:rPr>
        <w:t>年</w:t>
      </w:r>
      <w:r>
        <w:rPr>
          <w:rFonts w:hint="eastAsia"/>
          <w:szCs w:val="21"/>
          <w:lang w:val="en-US" w:eastAsia="zh-CN"/>
        </w:rPr>
        <w:t>4</w:t>
      </w:r>
      <w:r>
        <w:rPr>
          <w:szCs w:val="21"/>
        </w:rPr>
        <w:t>月</w:t>
      </w:r>
      <w:r>
        <w:rPr>
          <w:rFonts w:hint="eastAsia"/>
          <w:szCs w:val="21"/>
          <w:lang w:val="en-US" w:eastAsia="zh-CN"/>
        </w:rPr>
        <w:t>20</w:t>
      </w:r>
      <w:r>
        <w:rPr>
          <w:szCs w:val="21"/>
        </w:rPr>
        <w:t>日经</w:t>
      </w:r>
      <w:r>
        <w:rPr>
          <w:kern w:val="0"/>
          <w:szCs w:val="21"/>
        </w:rPr>
        <w:t>中国证监会证监许可[202</w:t>
      </w:r>
      <w:r>
        <w:rPr>
          <w:rFonts w:hint="eastAsia"/>
          <w:kern w:val="0"/>
          <w:szCs w:val="21"/>
          <w:lang w:val="en-US" w:eastAsia="zh-CN"/>
        </w:rPr>
        <w:t>6</w:t>
      </w:r>
      <w:r>
        <w:rPr>
          <w:kern w:val="0"/>
          <w:szCs w:val="21"/>
        </w:rPr>
        <w:t>]</w:t>
      </w:r>
      <w:r>
        <w:rPr>
          <w:rFonts w:hint="eastAsia"/>
          <w:kern w:val="0"/>
          <w:szCs w:val="21"/>
          <w:lang w:val="en-US" w:eastAsia="zh-CN"/>
        </w:rPr>
        <w:t>898</w:t>
      </w:r>
      <w:r>
        <w:rPr>
          <w:kern w:val="0"/>
          <w:szCs w:val="21"/>
        </w:rPr>
        <w:t>号文</w:t>
      </w:r>
      <w:r>
        <w:rPr>
          <w:szCs w:val="21"/>
        </w:rPr>
        <w:t>准予募集注册。</w:t>
      </w:r>
    </w:p>
    <w:p>
      <w:pPr>
        <w:adjustRightInd w:val="0"/>
        <w:snapToGrid w:val="0"/>
        <w:spacing w:line="360" w:lineRule="auto"/>
        <w:ind w:firstLine="424" w:firstLineChars="201"/>
        <w:rPr>
          <w:b/>
          <w:kern w:val="0"/>
        </w:rPr>
      </w:pPr>
      <w:r>
        <w:rPr>
          <w:b/>
          <w:kern w:val="0"/>
        </w:rPr>
        <w:t xml:space="preserve">一、基金的名称 </w:t>
      </w:r>
    </w:p>
    <w:p>
      <w:pPr>
        <w:adjustRightInd w:val="0"/>
        <w:snapToGrid w:val="0"/>
        <w:spacing w:line="360" w:lineRule="auto"/>
        <w:ind w:firstLine="422" w:firstLineChars="201"/>
        <w:rPr>
          <w:kern w:val="0"/>
        </w:rPr>
      </w:pPr>
      <w:r>
        <w:rPr>
          <w:rFonts w:hint="eastAsia"/>
          <w:kern w:val="0"/>
        </w:rPr>
        <w:t>博时国证新能源电池指数型证券投资基金</w:t>
      </w:r>
    </w:p>
    <w:p>
      <w:pPr>
        <w:adjustRightInd w:val="0"/>
        <w:snapToGrid w:val="0"/>
        <w:spacing w:line="360" w:lineRule="auto"/>
        <w:ind w:firstLine="424" w:firstLineChars="201"/>
        <w:rPr>
          <w:b/>
          <w:kern w:val="0"/>
        </w:rPr>
      </w:pPr>
      <w:r>
        <w:rPr>
          <w:b/>
          <w:kern w:val="0"/>
        </w:rPr>
        <w:t xml:space="preserve">二、基金的类别 </w:t>
      </w:r>
    </w:p>
    <w:p>
      <w:pPr>
        <w:adjustRightInd w:val="0"/>
        <w:snapToGrid w:val="0"/>
        <w:spacing w:line="360" w:lineRule="auto"/>
        <w:ind w:firstLine="422" w:firstLineChars="201"/>
        <w:rPr>
          <w:kern w:val="0"/>
        </w:rPr>
      </w:pPr>
      <w:r>
        <w:rPr>
          <w:rFonts w:eastAsiaTheme="minorEastAsia"/>
          <w:szCs w:val="21"/>
        </w:rPr>
        <w:t>股票型证券投资基金</w:t>
      </w:r>
      <w:r>
        <w:rPr>
          <w:kern w:val="0"/>
        </w:rPr>
        <w:t xml:space="preserve"> </w:t>
      </w:r>
    </w:p>
    <w:p>
      <w:pPr>
        <w:adjustRightInd w:val="0"/>
        <w:snapToGrid w:val="0"/>
        <w:spacing w:line="360" w:lineRule="auto"/>
        <w:ind w:firstLine="424" w:firstLineChars="201"/>
        <w:rPr>
          <w:b/>
          <w:kern w:val="0"/>
        </w:rPr>
      </w:pPr>
      <w:r>
        <w:rPr>
          <w:b/>
          <w:kern w:val="0"/>
        </w:rPr>
        <w:t xml:space="preserve">三、基金的运作方式 </w:t>
      </w:r>
    </w:p>
    <w:p>
      <w:pPr>
        <w:adjustRightInd w:val="0"/>
        <w:snapToGrid w:val="0"/>
        <w:spacing w:line="360" w:lineRule="auto"/>
        <w:ind w:firstLine="422" w:firstLineChars="201"/>
        <w:rPr>
          <w:kern w:val="0"/>
        </w:rPr>
      </w:pPr>
      <w:r>
        <w:rPr>
          <w:rFonts w:eastAsiaTheme="minorEastAsia"/>
        </w:rPr>
        <w:t>契约型</w:t>
      </w:r>
      <w:r>
        <w:t>开放式</w:t>
      </w:r>
      <w:r>
        <w:rPr>
          <w:kern w:val="0"/>
        </w:rPr>
        <w:t xml:space="preserve"> </w:t>
      </w:r>
    </w:p>
    <w:p>
      <w:pPr>
        <w:adjustRightInd w:val="0"/>
        <w:snapToGrid w:val="0"/>
        <w:spacing w:line="360" w:lineRule="auto"/>
        <w:ind w:firstLine="424" w:firstLineChars="201"/>
        <w:rPr>
          <w:b/>
          <w:kern w:val="0"/>
        </w:rPr>
      </w:pPr>
      <w:r>
        <w:rPr>
          <w:b/>
          <w:kern w:val="0"/>
        </w:rPr>
        <w:t xml:space="preserve">四、基金的标的指数 </w:t>
      </w:r>
    </w:p>
    <w:p>
      <w:pPr>
        <w:adjustRightInd w:val="0"/>
        <w:snapToGrid w:val="0"/>
        <w:spacing w:line="360" w:lineRule="auto"/>
        <w:ind w:firstLine="422" w:firstLineChars="201"/>
        <w:rPr>
          <w:kern w:val="0"/>
        </w:rPr>
      </w:pPr>
      <w:r>
        <w:rPr>
          <w:kern w:val="0"/>
        </w:rPr>
        <w:t>本基金的标的指数为</w:t>
      </w:r>
      <w:r>
        <w:rPr>
          <w:rFonts w:hint="eastAsia"/>
          <w:kern w:val="0"/>
        </w:rPr>
        <w:t>国证新能源电池指数。</w:t>
      </w:r>
    </w:p>
    <w:p>
      <w:pPr>
        <w:adjustRightInd w:val="0"/>
        <w:snapToGrid w:val="0"/>
        <w:spacing w:line="360" w:lineRule="auto"/>
        <w:ind w:firstLine="424" w:firstLineChars="201"/>
        <w:rPr>
          <w:b/>
          <w:kern w:val="0"/>
        </w:rPr>
      </w:pPr>
      <w:r>
        <w:rPr>
          <w:b/>
          <w:kern w:val="0"/>
        </w:rPr>
        <w:t xml:space="preserve">五、基金存续期限 </w:t>
      </w:r>
    </w:p>
    <w:p>
      <w:pPr>
        <w:adjustRightInd w:val="0"/>
        <w:snapToGrid w:val="0"/>
        <w:spacing w:line="360" w:lineRule="auto"/>
        <w:ind w:firstLine="422" w:firstLineChars="201"/>
        <w:rPr>
          <w:kern w:val="0"/>
        </w:rPr>
      </w:pPr>
      <w:r>
        <w:rPr>
          <w:kern w:val="0"/>
        </w:rPr>
        <w:t xml:space="preserve">不定期 </w:t>
      </w:r>
    </w:p>
    <w:p>
      <w:pPr>
        <w:adjustRightInd w:val="0"/>
        <w:snapToGrid w:val="0"/>
        <w:spacing w:line="360" w:lineRule="auto"/>
        <w:ind w:firstLine="424" w:firstLineChars="201"/>
        <w:rPr>
          <w:b/>
          <w:kern w:val="0"/>
          <w:szCs w:val="21"/>
        </w:rPr>
      </w:pPr>
      <w:r>
        <w:rPr>
          <w:b/>
          <w:kern w:val="0"/>
        </w:rPr>
        <w:t>六、</w:t>
      </w:r>
      <w:r>
        <w:rPr>
          <w:b/>
          <w:kern w:val="0"/>
          <w:szCs w:val="21"/>
        </w:rPr>
        <w:t>基金份额类别设置</w:t>
      </w:r>
    </w:p>
    <w:p>
      <w:pPr>
        <w:spacing w:line="360" w:lineRule="auto"/>
        <w:ind w:firstLine="420" w:firstLineChars="200"/>
        <w:rPr>
          <w:kern w:val="0"/>
          <w:szCs w:val="21"/>
        </w:rPr>
      </w:pPr>
      <w:r>
        <w:rPr>
          <w:rFonts w:hint="eastAsia"/>
          <w:kern w:val="0"/>
          <w:szCs w:val="21"/>
        </w:rPr>
        <w:t>本基金根据认购费、申购费和销售服务费收取方式的不同，将基金份额分为不同的类别。在投资者认购、申购基金份额时收取认购、申购费用，不从本类别基金资产中计提销售服务费的，称为A类基金份额，投资者通过直销机构认购/申购A类基金份额时不收取认购/申购费用。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相关费率的设置及费率水平在招募说明书中列示。</w:t>
      </w:r>
    </w:p>
    <w:p>
      <w:pPr>
        <w:spacing w:line="360" w:lineRule="auto"/>
        <w:ind w:firstLine="420" w:firstLineChars="200"/>
        <w:rPr>
          <w:kern w:val="0"/>
          <w:szCs w:val="21"/>
        </w:rPr>
      </w:pPr>
      <w:r>
        <w:rPr>
          <w:rFonts w:hint="eastAsia"/>
          <w:kern w:val="0"/>
          <w:szCs w:val="21"/>
        </w:rPr>
        <w:t>本基金A类基金份额和C类基金份额分别设置代码。由于基金费用的不同，本基金A类基金份额和C类基金份额将分别计算基金份额净值，计算公式为：计算日某类别基金份额净值＝该计算日该类别基金份额的基金资产净值/该计算日发售在外的该类别基金份额总数。</w:t>
      </w:r>
    </w:p>
    <w:p>
      <w:pPr>
        <w:spacing w:line="360" w:lineRule="auto"/>
        <w:ind w:firstLine="420" w:firstLineChars="200"/>
        <w:rPr>
          <w:kern w:val="0"/>
          <w:szCs w:val="21"/>
        </w:rPr>
      </w:pPr>
      <w:r>
        <w:rPr>
          <w:kern w:val="0"/>
          <w:szCs w:val="21"/>
        </w:rPr>
        <w:t>投资者可自行选择认购、申购的基金份额类别。</w:t>
      </w:r>
    </w:p>
    <w:p>
      <w:pPr>
        <w:spacing w:line="360" w:lineRule="auto"/>
        <w:ind w:firstLine="420" w:firstLineChars="200"/>
        <w:rPr>
          <w:kern w:val="0"/>
          <w:szCs w:val="21"/>
        </w:rPr>
      </w:pPr>
      <w:r>
        <w:rPr>
          <w:kern w:val="0"/>
          <w:szCs w:val="21"/>
        </w:rPr>
        <w:t>在不违反法律法规、基金合同的约定以及对基金份额持有人利益无实质性不利影响的情况下，经与基金托管人协商一致，基金管理人可调整基金份额类别设置、对基金份额分类办法及规则进行调整并在调整实施之日前依照《信息披露办法》的有关规定在规定媒介上公告，不需要召开基金份额持有人大会。</w:t>
      </w:r>
    </w:p>
    <w:p>
      <w:pPr>
        <w:spacing w:line="360" w:lineRule="auto"/>
        <w:ind w:firstLine="420" w:firstLineChars="200"/>
        <w:rPr>
          <w:kern w:val="0"/>
          <w:szCs w:val="21"/>
        </w:rPr>
      </w:pPr>
      <w:r>
        <w:rPr>
          <w:rFonts w:hint="eastAsia"/>
          <w:kern w:val="0"/>
          <w:szCs w:val="21"/>
        </w:rPr>
        <w:t>七、基金的最低募集份额总额和最低募集金额</w:t>
      </w:r>
    </w:p>
    <w:p>
      <w:pPr>
        <w:spacing w:line="360" w:lineRule="auto"/>
        <w:ind w:firstLine="420" w:firstLineChars="200"/>
        <w:rPr>
          <w:kern w:val="0"/>
          <w:szCs w:val="21"/>
        </w:rPr>
      </w:pPr>
      <w:r>
        <w:rPr>
          <w:rFonts w:hint="eastAsia"/>
          <w:kern w:val="0"/>
          <w:szCs w:val="21"/>
        </w:rPr>
        <w:t>本基金的最低募集份额总额为2亿份，基金募集金额不少于2亿元人民币。</w:t>
      </w:r>
    </w:p>
    <w:p>
      <w:pPr>
        <w:adjustRightInd w:val="0"/>
        <w:snapToGrid w:val="0"/>
        <w:spacing w:line="360" w:lineRule="auto"/>
        <w:ind w:firstLine="424" w:firstLineChars="201"/>
        <w:rPr>
          <w:b/>
          <w:kern w:val="0"/>
        </w:rPr>
      </w:pPr>
      <w:r>
        <w:rPr>
          <w:rFonts w:hint="eastAsia"/>
          <w:b/>
          <w:kern w:val="0"/>
        </w:rPr>
        <w:t>八</w:t>
      </w:r>
      <w:r>
        <w:rPr>
          <w:b/>
          <w:kern w:val="0"/>
        </w:rPr>
        <w:t xml:space="preserve">、基金份额的发售时间、发售方式、发售对象 </w:t>
      </w:r>
    </w:p>
    <w:p>
      <w:pPr>
        <w:adjustRightInd w:val="0"/>
        <w:snapToGrid w:val="0"/>
        <w:spacing w:line="360" w:lineRule="auto"/>
        <w:ind w:firstLine="422" w:firstLineChars="201"/>
        <w:rPr>
          <w:rFonts w:eastAsiaTheme="minorEastAsia"/>
          <w:kern w:val="0"/>
        </w:rPr>
      </w:pPr>
      <w:r>
        <w:rPr>
          <w:rFonts w:eastAsiaTheme="minorEastAsia"/>
          <w:kern w:val="0"/>
        </w:rPr>
        <w:t>1、发售时间</w:t>
      </w:r>
    </w:p>
    <w:p>
      <w:pPr>
        <w:adjustRightInd w:val="0"/>
        <w:snapToGrid w:val="0"/>
        <w:spacing w:line="360" w:lineRule="auto"/>
        <w:ind w:firstLine="422" w:firstLineChars="201"/>
        <w:rPr>
          <w:rFonts w:eastAsiaTheme="minorEastAsia"/>
          <w:kern w:val="0"/>
        </w:rPr>
      </w:pPr>
      <w:r>
        <w:rPr>
          <w:rFonts w:eastAsiaTheme="minorEastAsia"/>
          <w:kern w:val="0"/>
        </w:rPr>
        <w:t>自基金份额发售之日起最长不得超过3个月，具体发售时间见基金份额发售公告。</w:t>
      </w:r>
    </w:p>
    <w:p>
      <w:pPr>
        <w:adjustRightInd w:val="0"/>
        <w:snapToGrid w:val="0"/>
        <w:spacing w:line="360" w:lineRule="auto"/>
        <w:ind w:firstLine="422" w:firstLineChars="201"/>
        <w:rPr>
          <w:rFonts w:eastAsiaTheme="minorEastAsia"/>
          <w:kern w:val="0"/>
        </w:rPr>
      </w:pPr>
      <w:r>
        <w:rPr>
          <w:rFonts w:eastAsiaTheme="minorEastAsia"/>
          <w:kern w:val="0"/>
        </w:rPr>
        <w:t>2、发售方式</w:t>
      </w:r>
    </w:p>
    <w:p>
      <w:pPr>
        <w:adjustRightInd w:val="0"/>
        <w:snapToGrid w:val="0"/>
        <w:spacing w:line="360" w:lineRule="auto"/>
        <w:ind w:firstLine="422" w:firstLineChars="201"/>
        <w:rPr>
          <w:rFonts w:eastAsiaTheme="minorEastAsia"/>
          <w:kern w:val="0"/>
        </w:rPr>
      </w:pPr>
      <w:r>
        <w:rPr>
          <w:rFonts w:eastAsiaTheme="minorEastAsia"/>
          <w:kern w:val="0"/>
        </w:rPr>
        <w:t>通过各销售机构的基金销售网点公开发售，各销售机构的具体名单见基金份额发售公告以及基金管理人网站。</w:t>
      </w:r>
    </w:p>
    <w:p>
      <w:pPr>
        <w:adjustRightInd w:val="0"/>
        <w:snapToGrid w:val="0"/>
        <w:spacing w:line="360" w:lineRule="auto"/>
        <w:ind w:firstLine="422" w:firstLineChars="201"/>
        <w:rPr>
          <w:rFonts w:eastAsiaTheme="minorEastAsia"/>
          <w:kern w:val="0"/>
        </w:rPr>
      </w:pPr>
      <w:r>
        <w:rPr>
          <w:rFonts w:eastAsiaTheme="minorEastAsia"/>
          <w:kern w:val="0"/>
        </w:rPr>
        <w:t>3、发售对象</w:t>
      </w:r>
    </w:p>
    <w:p>
      <w:pPr>
        <w:adjustRightInd w:val="0"/>
        <w:snapToGrid w:val="0"/>
        <w:spacing w:line="360" w:lineRule="auto"/>
        <w:ind w:firstLine="422" w:firstLineChars="201"/>
        <w:rPr>
          <w:kern w:val="0"/>
          <w:szCs w:val="21"/>
        </w:rPr>
      </w:pPr>
      <w:r>
        <w:rPr>
          <w:rFonts w:hint="eastAsia"/>
          <w:kern w:val="0"/>
          <w:szCs w:val="21"/>
        </w:rPr>
        <w:t>符合法律法规规定的可投资于证券投资基金的个人投资者、机构投资者、合格境外投资者以及法律法规或中国证监会允许购买证券投资基金的其他投资人。</w:t>
      </w:r>
    </w:p>
    <w:p>
      <w:pPr>
        <w:adjustRightInd w:val="0"/>
        <w:snapToGrid w:val="0"/>
        <w:spacing w:line="360" w:lineRule="auto"/>
        <w:ind w:firstLine="424" w:firstLineChars="201"/>
        <w:rPr>
          <w:b/>
          <w:kern w:val="0"/>
        </w:rPr>
      </w:pPr>
      <w:r>
        <w:rPr>
          <w:rFonts w:hint="eastAsia"/>
          <w:b/>
          <w:kern w:val="0"/>
        </w:rPr>
        <w:t>九</w:t>
      </w:r>
      <w:r>
        <w:rPr>
          <w:b/>
          <w:kern w:val="0"/>
        </w:rPr>
        <w:t xml:space="preserve">、基金的发售面值、认购价格和认购费用 </w:t>
      </w:r>
    </w:p>
    <w:p>
      <w:pPr>
        <w:adjustRightInd w:val="0"/>
        <w:snapToGrid w:val="0"/>
        <w:spacing w:line="360" w:lineRule="auto"/>
        <w:ind w:firstLine="422" w:firstLineChars="201"/>
        <w:rPr>
          <w:kern w:val="0"/>
        </w:rPr>
      </w:pPr>
      <w:r>
        <w:rPr>
          <w:kern w:val="0"/>
        </w:rPr>
        <w:t xml:space="preserve">1．发售面值：人民币1.00元 </w:t>
      </w:r>
    </w:p>
    <w:p>
      <w:pPr>
        <w:adjustRightInd w:val="0"/>
        <w:snapToGrid w:val="0"/>
        <w:spacing w:line="360" w:lineRule="auto"/>
        <w:ind w:firstLine="422" w:firstLineChars="201"/>
        <w:rPr>
          <w:kern w:val="0"/>
        </w:rPr>
      </w:pPr>
      <w:r>
        <w:rPr>
          <w:kern w:val="0"/>
        </w:rPr>
        <w:t>2．认购费用：</w:t>
      </w:r>
    </w:p>
    <w:p>
      <w:pPr>
        <w:adjustRightInd w:val="0"/>
        <w:snapToGrid w:val="0"/>
        <w:spacing w:line="360" w:lineRule="auto"/>
        <w:ind w:firstLine="422" w:firstLineChars="201"/>
        <w:rPr>
          <w:kern w:val="0"/>
        </w:rPr>
      </w:pPr>
      <w:r>
        <w:rPr>
          <w:rFonts w:hint="eastAsia"/>
          <w:kern w:val="0"/>
        </w:rPr>
        <w:t>通过基金管理人直销渠道认购本基金A类基金份额不收取认购费（基金管理人的销售子公司销售本基金的，参照直销机构相关规则执行），通过其他销售机构认购本基金A类基金份额的认购费率按认购金额进行分档。投资人在一天之内如果有多笔认购，适用费率按单笔分别计算。C 类基金份额在认购时不收取认购费。</w:t>
      </w:r>
    </w:p>
    <w:p>
      <w:pPr>
        <w:adjustRightInd w:val="0"/>
        <w:snapToGrid w:val="0"/>
        <w:spacing w:line="360" w:lineRule="auto"/>
        <w:ind w:firstLine="422" w:firstLineChars="201"/>
        <w:jc w:val="center"/>
      </w:pPr>
      <w:r>
        <w:t>表1：本基金认购费率结构</w:t>
      </w:r>
    </w:p>
    <w:tbl>
      <w:tblPr>
        <w:tblStyle w:val="43"/>
        <w:tblW w:w="7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3"/>
        <w:gridCol w:w="1975"/>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123" w:type="dxa"/>
            <w:vAlign w:val="center"/>
          </w:tcPr>
          <w:p>
            <w:pPr>
              <w:jc w:val="center"/>
              <w:rPr>
                <w:color w:val="000000"/>
                <w:szCs w:val="21"/>
              </w:rPr>
            </w:pPr>
            <w:r>
              <w:rPr>
                <w:color w:val="000000"/>
                <w:szCs w:val="21"/>
              </w:rPr>
              <w:t>认购金额（M）</w:t>
            </w:r>
          </w:p>
        </w:tc>
        <w:tc>
          <w:tcPr>
            <w:tcW w:w="1975" w:type="dxa"/>
            <w:vAlign w:val="center"/>
          </w:tcPr>
          <w:p>
            <w:pPr>
              <w:jc w:val="center"/>
              <w:rPr>
                <w:color w:val="000000"/>
                <w:szCs w:val="21"/>
              </w:rPr>
            </w:pPr>
            <w:r>
              <w:rPr>
                <w:color w:val="000000"/>
                <w:szCs w:val="21"/>
              </w:rPr>
              <w:t>A类</w:t>
            </w:r>
            <w:r>
              <w:rPr>
                <w:rFonts w:hint="eastAsia"/>
                <w:color w:val="000000"/>
                <w:szCs w:val="21"/>
              </w:rPr>
              <w:t>基金</w:t>
            </w:r>
            <w:r>
              <w:rPr>
                <w:color w:val="000000"/>
                <w:szCs w:val="21"/>
              </w:rPr>
              <w:t>份额认购费率</w:t>
            </w:r>
          </w:p>
        </w:tc>
        <w:tc>
          <w:tcPr>
            <w:tcW w:w="1985" w:type="dxa"/>
          </w:tcPr>
          <w:p>
            <w:pPr>
              <w:jc w:val="center"/>
              <w:rPr>
                <w:color w:val="000000"/>
                <w:szCs w:val="21"/>
              </w:rPr>
            </w:pPr>
            <w:r>
              <w:rPr>
                <w:color w:val="000000"/>
                <w:szCs w:val="21"/>
              </w:rPr>
              <w:t>C类份额认购费率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123" w:type="dxa"/>
            <w:vAlign w:val="center"/>
          </w:tcPr>
          <w:p>
            <w:pPr>
              <w:pStyle w:val="39"/>
              <w:jc w:val="center"/>
              <w:rPr>
                <w:color w:val="000000"/>
                <w:szCs w:val="21"/>
              </w:rPr>
            </w:pPr>
            <w:r>
              <w:rPr>
                <w:rFonts w:hint="eastAsia" w:asciiTheme="majorEastAsia" w:hAnsiTheme="majorEastAsia" w:eastAsiaTheme="majorEastAsia" w:cstheme="majorEastAsia"/>
                <w:sz w:val="21"/>
                <w:szCs w:val="21"/>
              </w:rPr>
              <w:t xml:space="preserve">M＜500万元 </w:t>
            </w:r>
          </w:p>
        </w:tc>
        <w:tc>
          <w:tcPr>
            <w:tcW w:w="1975" w:type="dxa"/>
            <w:vAlign w:val="center"/>
          </w:tcPr>
          <w:p>
            <w:pPr>
              <w:pStyle w:val="39"/>
              <w:jc w:val="center"/>
              <w:rPr>
                <w:color w:val="000000"/>
                <w:szCs w:val="21"/>
              </w:rPr>
            </w:pPr>
            <w:r>
              <w:rPr>
                <w:rFonts w:hint="eastAsia" w:asciiTheme="majorEastAsia" w:hAnsiTheme="majorEastAsia" w:eastAsiaTheme="majorEastAsia" w:cstheme="majorEastAsia"/>
                <w:sz w:val="21"/>
                <w:szCs w:val="21"/>
              </w:rPr>
              <w:t xml:space="preserve">0.30% </w:t>
            </w:r>
          </w:p>
        </w:tc>
        <w:tc>
          <w:tcPr>
            <w:tcW w:w="1985" w:type="dxa"/>
            <w:vMerge w:val="restart"/>
            <w:vAlign w:val="center"/>
          </w:tcPr>
          <w:p>
            <w:pPr>
              <w:jc w:val="center"/>
              <w:rPr>
                <w:color w:val="000000"/>
                <w:szCs w:val="21"/>
              </w:rPr>
            </w:pPr>
            <w:r>
              <w:rPr>
                <w:color w:val="000000"/>
                <w:szCs w:val="21"/>
              </w:rPr>
              <w:t>0</w:t>
            </w:r>
            <w:r>
              <w:rPr>
                <w:rFonts w:hint="eastAsia"/>
                <w:color w:val="000000"/>
                <w:szCs w:val="21"/>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123" w:type="dxa"/>
            <w:vAlign w:val="center"/>
          </w:tcPr>
          <w:p>
            <w:pPr>
              <w:pStyle w:val="39"/>
              <w:jc w:val="center"/>
              <w:rPr>
                <w:color w:val="000000"/>
                <w:szCs w:val="21"/>
              </w:rPr>
            </w:pPr>
            <w:r>
              <w:rPr>
                <w:rFonts w:hint="eastAsia" w:asciiTheme="majorEastAsia" w:hAnsiTheme="majorEastAsia" w:eastAsiaTheme="majorEastAsia" w:cstheme="majorEastAsia"/>
                <w:sz w:val="21"/>
                <w:szCs w:val="21"/>
              </w:rPr>
              <w:t xml:space="preserve">M≥500万元 </w:t>
            </w:r>
          </w:p>
        </w:tc>
        <w:tc>
          <w:tcPr>
            <w:tcW w:w="1975" w:type="dxa"/>
            <w:vAlign w:val="center"/>
          </w:tcPr>
          <w:p>
            <w:pPr>
              <w:pStyle w:val="39"/>
              <w:jc w:val="center"/>
              <w:rPr>
                <w:color w:val="000000"/>
                <w:szCs w:val="21"/>
              </w:rPr>
            </w:pPr>
            <w:r>
              <w:rPr>
                <w:rFonts w:hint="eastAsia" w:asciiTheme="majorEastAsia" w:hAnsiTheme="majorEastAsia" w:eastAsiaTheme="majorEastAsia" w:cstheme="majorEastAsia"/>
                <w:sz w:val="21"/>
                <w:szCs w:val="21"/>
              </w:rPr>
              <w:t xml:space="preserve">1,000元/笔 </w:t>
            </w:r>
          </w:p>
        </w:tc>
        <w:tc>
          <w:tcPr>
            <w:tcW w:w="1985" w:type="dxa"/>
            <w:vMerge w:val="continue"/>
          </w:tcPr>
          <w:p>
            <w:pPr>
              <w:jc w:val="center"/>
              <w:rPr>
                <w:color w:val="000000"/>
                <w:szCs w:val="21"/>
              </w:rPr>
            </w:pPr>
          </w:p>
        </w:tc>
      </w:tr>
    </w:tbl>
    <w:p>
      <w:pPr>
        <w:adjustRightInd w:val="0"/>
        <w:snapToGrid w:val="0"/>
        <w:spacing w:before="156" w:beforeLines="50" w:line="360" w:lineRule="auto"/>
        <w:ind w:firstLine="420" w:firstLineChars="200"/>
        <w:rPr>
          <w:kern w:val="0"/>
        </w:rPr>
      </w:pPr>
      <w:r>
        <w:rPr>
          <w:kern w:val="0"/>
        </w:rPr>
        <w:t>基金管理人可以针对特定投资人（如养老金客户等）开展费率优惠活动，具体见基金管理人相关公告。</w:t>
      </w:r>
    </w:p>
    <w:p>
      <w:pPr>
        <w:adjustRightInd w:val="0"/>
        <w:snapToGrid w:val="0"/>
        <w:spacing w:before="156" w:beforeLines="50" w:line="360" w:lineRule="auto"/>
        <w:ind w:firstLine="420" w:firstLineChars="200"/>
        <w:rPr>
          <w:kern w:val="0"/>
        </w:rPr>
      </w:pPr>
      <w:r>
        <w:rPr>
          <w:kern w:val="0"/>
        </w:rPr>
        <w:t>3、认购份额的计算</w:t>
      </w:r>
    </w:p>
    <w:p>
      <w:pPr>
        <w:adjustRightInd w:val="0"/>
        <w:snapToGrid w:val="0"/>
        <w:spacing w:line="360" w:lineRule="auto"/>
        <w:ind w:firstLine="420" w:firstLineChars="200"/>
        <w:rPr>
          <w:kern w:val="0"/>
        </w:rPr>
      </w:pPr>
      <w:r>
        <w:rPr>
          <w:kern w:val="0"/>
        </w:rPr>
        <w:t>（1）</w:t>
      </w:r>
      <w:r>
        <w:rPr>
          <w:rFonts w:hint="eastAsia"/>
          <w:kern w:val="0"/>
        </w:rPr>
        <w:t>A类基金份额的计算</w:t>
      </w:r>
    </w:p>
    <w:p>
      <w:pPr>
        <w:adjustRightInd w:val="0"/>
        <w:snapToGrid w:val="0"/>
        <w:spacing w:line="360" w:lineRule="auto"/>
        <w:ind w:firstLine="420" w:firstLineChars="200"/>
        <w:rPr>
          <w:kern w:val="0"/>
        </w:rPr>
      </w:pPr>
      <w:r>
        <w:rPr>
          <w:rFonts w:hint="eastAsia"/>
          <w:kern w:val="0"/>
        </w:rPr>
        <w:t>1）若投资者通过直销机构认购A类基金份额：</w:t>
      </w:r>
    </w:p>
    <w:p>
      <w:pPr>
        <w:adjustRightInd w:val="0"/>
        <w:snapToGrid w:val="0"/>
        <w:spacing w:line="360" w:lineRule="auto"/>
        <w:ind w:firstLine="420" w:firstLineChars="200"/>
        <w:rPr>
          <w:kern w:val="0"/>
        </w:rPr>
      </w:pPr>
      <w:r>
        <w:rPr>
          <w:rFonts w:hint="eastAsia"/>
          <w:kern w:val="0"/>
        </w:rPr>
        <w:t>认购份额＝（认购金额＋认购利息）/1.00元</w:t>
      </w:r>
    </w:p>
    <w:p>
      <w:pPr>
        <w:adjustRightInd w:val="0"/>
        <w:snapToGrid w:val="0"/>
        <w:spacing w:line="360" w:lineRule="auto"/>
        <w:ind w:firstLine="420" w:firstLineChars="200"/>
        <w:rPr>
          <w:kern w:val="0"/>
        </w:rPr>
      </w:pPr>
      <w:r>
        <w:rPr>
          <w:rFonts w:hint="eastAsia"/>
          <w:kern w:val="0"/>
        </w:rPr>
        <w:t>2）若投资者通过其他销售机构认购A类基金份额：</w:t>
      </w:r>
    </w:p>
    <w:p>
      <w:pPr>
        <w:adjustRightInd w:val="0"/>
        <w:snapToGrid w:val="0"/>
        <w:spacing w:line="360" w:lineRule="auto"/>
        <w:ind w:firstLine="420" w:firstLineChars="200"/>
        <w:rPr>
          <w:kern w:val="0"/>
        </w:rPr>
      </w:pPr>
      <w:r>
        <w:rPr>
          <w:rFonts w:hint="eastAsia"/>
          <w:kern w:val="0"/>
        </w:rPr>
        <w:t>认购费用适用比例费率时，认购份额的计算方法如下：</w:t>
      </w:r>
    </w:p>
    <w:p>
      <w:pPr>
        <w:adjustRightInd w:val="0"/>
        <w:snapToGrid w:val="0"/>
        <w:spacing w:line="360" w:lineRule="auto"/>
        <w:ind w:firstLine="420" w:firstLineChars="200"/>
        <w:rPr>
          <w:kern w:val="0"/>
        </w:rPr>
      </w:pPr>
      <w:r>
        <w:rPr>
          <w:rFonts w:hint="eastAsia"/>
          <w:kern w:val="0"/>
        </w:rPr>
        <w:t>净认购金额=认购金额/（1＋认购费率）</w:t>
      </w:r>
    </w:p>
    <w:p>
      <w:pPr>
        <w:adjustRightInd w:val="0"/>
        <w:snapToGrid w:val="0"/>
        <w:spacing w:line="360" w:lineRule="auto"/>
        <w:ind w:firstLine="420" w:firstLineChars="200"/>
        <w:rPr>
          <w:kern w:val="0"/>
        </w:rPr>
      </w:pPr>
      <w:r>
        <w:rPr>
          <w:rFonts w:hint="eastAsia"/>
          <w:kern w:val="0"/>
        </w:rPr>
        <w:t>认购费用＝认购金额－净认购金额</w:t>
      </w:r>
    </w:p>
    <w:p>
      <w:pPr>
        <w:adjustRightInd w:val="0"/>
        <w:snapToGrid w:val="0"/>
        <w:spacing w:line="360" w:lineRule="auto"/>
        <w:ind w:firstLine="420" w:firstLineChars="200"/>
        <w:rPr>
          <w:kern w:val="0"/>
        </w:rPr>
      </w:pPr>
      <w:r>
        <w:rPr>
          <w:rFonts w:hint="eastAsia"/>
          <w:kern w:val="0"/>
        </w:rPr>
        <w:t>认购份额＝（净认购金额＋认购资金利息）/基金份额发售面值</w:t>
      </w:r>
    </w:p>
    <w:p>
      <w:pPr>
        <w:adjustRightInd w:val="0"/>
        <w:snapToGrid w:val="0"/>
        <w:spacing w:line="360" w:lineRule="auto"/>
        <w:ind w:firstLine="420" w:firstLineChars="200"/>
        <w:rPr>
          <w:kern w:val="0"/>
        </w:rPr>
      </w:pPr>
      <w:r>
        <w:rPr>
          <w:rFonts w:hint="eastAsia"/>
          <w:kern w:val="0"/>
        </w:rPr>
        <w:t>认购费用为固定金额时，认购份额的计算方法如下：</w:t>
      </w:r>
    </w:p>
    <w:p>
      <w:pPr>
        <w:adjustRightInd w:val="0"/>
        <w:snapToGrid w:val="0"/>
        <w:spacing w:line="360" w:lineRule="auto"/>
        <w:ind w:firstLine="420" w:firstLineChars="200"/>
        <w:rPr>
          <w:kern w:val="0"/>
        </w:rPr>
      </w:pPr>
      <w:r>
        <w:rPr>
          <w:rFonts w:hint="eastAsia"/>
          <w:kern w:val="0"/>
        </w:rPr>
        <w:t>认购费用＝固定金额</w:t>
      </w:r>
    </w:p>
    <w:p>
      <w:pPr>
        <w:adjustRightInd w:val="0"/>
        <w:snapToGrid w:val="0"/>
        <w:spacing w:line="360" w:lineRule="auto"/>
        <w:ind w:firstLine="420" w:firstLineChars="200"/>
        <w:rPr>
          <w:kern w:val="0"/>
        </w:rPr>
      </w:pPr>
      <w:r>
        <w:rPr>
          <w:rFonts w:hint="eastAsia"/>
          <w:kern w:val="0"/>
        </w:rPr>
        <w:t>净认购金额=认购金额－认购费用</w:t>
      </w:r>
    </w:p>
    <w:p>
      <w:pPr>
        <w:adjustRightInd w:val="0"/>
        <w:snapToGrid w:val="0"/>
        <w:spacing w:line="360" w:lineRule="auto"/>
        <w:ind w:firstLine="420" w:firstLineChars="200"/>
        <w:rPr>
          <w:kern w:val="0"/>
        </w:rPr>
      </w:pPr>
      <w:r>
        <w:rPr>
          <w:rFonts w:hint="eastAsia"/>
          <w:kern w:val="0"/>
        </w:rPr>
        <w:t>认购份额＝（净认购金额＋认购资金利息）/基金份额发售面值</w:t>
      </w:r>
    </w:p>
    <w:p>
      <w:pPr>
        <w:adjustRightInd w:val="0"/>
        <w:snapToGrid w:val="0"/>
        <w:spacing w:line="360" w:lineRule="auto"/>
        <w:ind w:firstLine="420" w:firstLineChars="200"/>
        <w:rPr>
          <w:kern w:val="0"/>
        </w:rPr>
      </w:pPr>
      <w:r>
        <w:rPr>
          <w:rFonts w:hint="eastAsia"/>
          <w:kern w:val="0"/>
        </w:rPr>
        <w:t>（2）C类基金份额的计算</w:t>
      </w:r>
    </w:p>
    <w:p>
      <w:pPr>
        <w:adjustRightInd w:val="0"/>
        <w:snapToGrid w:val="0"/>
        <w:spacing w:line="360" w:lineRule="auto"/>
        <w:ind w:firstLine="420" w:firstLineChars="200"/>
        <w:rPr>
          <w:kern w:val="0"/>
        </w:rPr>
      </w:pPr>
      <w:r>
        <w:rPr>
          <w:rFonts w:hint="eastAsia"/>
          <w:kern w:val="0"/>
        </w:rPr>
        <w:t>认购份额＝（认购金额＋认购资金利息）/基金份额发售面值</w:t>
      </w:r>
    </w:p>
    <w:p>
      <w:pPr>
        <w:adjustRightInd w:val="0"/>
        <w:snapToGrid w:val="0"/>
        <w:spacing w:line="360" w:lineRule="auto"/>
        <w:ind w:firstLine="420" w:firstLineChars="200"/>
        <w:rPr>
          <w:kern w:val="0"/>
        </w:rPr>
      </w:pPr>
      <w:r>
        <w:rPr>
          <w:rFonts w:hint="eastAsia"/>
          <w:kern w:val="0"/>
        </w:rPr>
        <w:t>（3）认购份额的计算保留到小数点后2位，小数点2位以后的部分四舍五入，由此误差产生的收益或损失由基金财产承担。</w:t>
      </w:r>
    </w:p>
    <w:p>
      <w:pPr>
        <w:numPr>
          <w:ilvl w:val="0"/>
          <w:numId w:val="30"/>
        </w:numPr>
        <w:adjustRightInd w:val="0"/>
        <w:snapToGrid w:val="0"/>
        <w:spacing w:line="360" w:lineRule="auto"/>
        <w:ind w:firstLine="420" w:firstLineChars="200"/>
        <w:rPr>
          <w:kern w:val="0"/>
        </w:rPr>
      </w:pPr>
      <w:r>
        <w:rPr>
          <w:kern w:val="0"/>
        </w:rPr>
        <w:t>计算举例</w:t>
      </w:r>
    </w:p>
    <w:p>
      <w:pPr>
        <w:numPr>
          <w:ilvl w:val="255"/>
          <w:numId w:val="0"/>
        </w:numPr>
        <w:adjustRightInd w:val="0"/>
        <w:snapToGrid w:val="0"/>
        <w:spacing w:line="360" w:lineRule="auto"/>
        <w:ind w:firstLine="420"/>
        <w:rPr>
          <w:kern w:val="0"/>
        </w:rPr>
      </w:pPr>
      <w:r>
        <w:rPr>
          <w:rFonts w:hint="eastAsia"/>
          <w:kern w:val="0"/>
        </w:rPr>
        <w:t>例1：某投资人通过直销机构投资1万元认购本基金A类基金份额，且该认购申请被全额确认，假设其认购资金的利息为3元，则其可得到的认购份额为：</w:t>
      </w:r>
    </w:p>
    <w:p>
      <w:pPr>
        <w:numPr>
          <w:ilvl w:val="255"/>
          <w:numId w:val="0"/>
        </w:numPr>
        <w:adjustRightInd w:val="0"/>
        <w:snapToGrid w:val="0"/>
        <w:spacing w:line="360" w:lineRule="auto"/>
        <w:ind w:firstLine="420"/>
        <w:rPr>
          <w:kern w:val="0"/>
        </w:rPr>
      </w:pPr>
      <w:r>
        <w:rPr>
          <w:rFonts w:hint="eastAsia"/>
          <w:kern w:val="0"/>
        </w:rPr>
        <w:t>认购份额＝（10,000＋3.00）/1.00＝10,003.00份</w:t>
      </w:r>
    </w:p>
    <w:p>
      <w:pPr>
        <w:numPr>
          <w:ilvl w:val="255"/>
          <w:numId w:val="0"/>
        </w:numPr>
        <w:adjustRightInd w:val="0"/>
        <w:snapToGrid w:val="0"/>
        <w:spacing w:line="360" w:lineRule="auto"/>
        <w:ind w:firstLine="420"/>
        <w:rPr>
          <w:kern w:val="0"/>
        </w:rPr>
      </w:pPr>
      <w:r>
        <w:rPr>
          <w:rFonts w:hint="eastAsia"/>
          <w:kern w:val="0"/>
        </w:rPr>
        <w:t>即：投资人通过直销机构投资1万元认购本基金A类基金份额，且该认购申请被全额确认，假设其认购资金的利息为3元，则其可得到10,003.00份A类基金份额。</w:t>
      </w:r>
    </w:p>
    <w:p>
      <w:pPr>
        <w:numPr>
          <w:ilvl w:val="255"/>
          <w:numId w:val="0"/>
        </w:numPr>
        <w:adjustRightInd w:val="0"/>
        <w:snapToGrid w:val="0"/>
        <w:spacing w:line="360" w:lineRule="auto"/>
        <w:ind w:firstLine="420"/>
        <w:rPr>
          <w:kern w:val="0"/>
        </w:rPr>
      </w:pPr>
      <w:r>
        <w:rPr>
          <w:rFonts w:hint="eastAsia"/>
          <w:kern w:val="0"/>
        </w:rPr>
        <w:t>例2：某投资人通过其他销售机构投资1万元认购本基金A类基金份额，且该认购申请被全额确认，认购费率为0.30%，假设其认购资金的利息为3元，则其可得到的认购份额为：</w:t>
      </w:r>
    </w:p>
    <w:p>
      <w:pPr>
        <w:numPr>
          <w:ilvl w:val="255"/>
          <w:numId w:val="0"/>
        </w:numPr>
        <w:adjustRightInd w:val="0"/>
        <w:snapToGrid w:val="0"/>
        <w:spacing w:line="360" w:lineRule="auto"/>
        <w:ind w:firstLine="420"/>
        <w:rPr>
          <w:kern w:val="0"/>
        </w:rPr>
      </w:pPr>
      <w:r>
        <w:rPr>
          <w:rFonts w:hint="eastAsia"/>
          <w:kern w:val="0"/>
        </w:rPr>
        <w:t>净认购金额=10,000/(1+0.30%)=9970.09 元</w:t>
      </w:r>
    </w:p>
    <w:p>
      <w:pPr>
        <w:numPr>
          <w:ilvl w:val="255"/>
          <w:numId w:val="0"/>
        </w:numPr>
        <w:adjustRightInd w:val="0"/>
        <w:snapToGrid w:val="0"/>
        <w:spacing w:line="360" w:lineRule="auto"/>
        <w:ind w:firstLine="420"/>
        <w:rPr>
          <w:kern w:val="0"/>
        </w:rPr>
      </w:pPr>
      <w:r>
        <w:rPr>
          <w:rFonts w:hint="eastAsia"/>
          <w:kern w:val="0"/>
        </w:rPr>
        <w:t>认购费用=10,000-9970.09 =29.91 元</w:t>
      </w:r>
    </w:p>
    <w:p>
      <w:pPr>
        <w:numPr>
          <w:ilvl w:val="255"/>
          <w:numId w:val="0"/>
        </w:numPr>
        <w:adjustRightInd w:val="0"/>
        <w:snapToGrid w:val="0"/>
        <w:spacing w:line="360" w:lineRule="auto"/>
        <w:ind w:firstLine="420"/>
        <w:rPr>
          <w:kern w:val="0"/>
        </w:rPr>
      </w:pPr>
      <w:r>
        <w:rPr>
          <w:rFonts w:hint="eastAsia"/>
          <w:kern w:val="0"/>
        </w:rPr>
        <w:t>认购份额＝（9970.09 +3）/1.00＝9973.09份</w:t>
      </w:r>
    </w:p>
    <w:p>
      <w:pPr>
        <w:numPr>
          <w:ilvl w:val="255"/>
          <w:numId w:val="0"/>
        </w:numPr>
        <w:adjustRightInd w:val="0"/>
        <w:snapToGrid w:val="0"/>
        <w:spacing w:line="360" w:lineRule="auto"/>
        <w:ind w:firstLine="420"/>
        <w:rPr>
          <w:kern w:val="0"/>
        </w:rPr>
      </w:pPr>
      <w:r>
        <w:rPr>
          <w:rFonts w:hint="eastAsia"/>
          <w:kern w:val="0"/>
        </w:rPr>
        <w:t>即：投资人通过其他销售机构投资1万元认购本基金A类基金份额，且该认购申请被全额确认，假设其认购资金的利息为3元，则其可得到9973.09份A类基金份额。</w:t>
      </w:r>
    </w:p>
    <w:p>
      <w:pPr>
        <w:pStyle w:val="15"/>
        <w:autoSpaceDE w:val="0"/>
        <w:autoSpaceDN w:val="0"/>
        <w:spacing w:line="360" w:lineRule="auto"/>
        <w:ind w:firstLine="452"/>
        <w:rPr>
          <w:rFonts w:cs="Arial"/>
          <w:szCs w:val="24"/>
        </w:rPr>
      </w:pPr>
      <w:r>
        <w:rPr>
          <w:rFonts w:hint="eastAsia" w:cs="Arial"/>
          <w:szCs w:val="24"/>
        </w:rPr>
        <w:t>例</w:t>
      </w:r>
      <w:r>
        <w:rPr>
          <w:rFonts w:cs="Arial"/>
          <w:szCs w:val="24"/>
        </w:rPr>
        <w:t>3</w:t>
      </w:r>
      <w:r>
        <w:rPr>
          <w:rFonts w:hint="eastAsia" w:cs="Arial"/>
          <w:szCs w:val="24"/>
        </w:rPr>
        <w:t>：</w:t>
      </w:r>
      <w:r>
        <w:rPr>
          <w:rFonts w:cs="Arial"/>
          <w:szCs w:val="24"/>
        </w:rPr>
        <w:t>某投资人投资</w:t>
      </w:r>
      <w:r>
        <w:rPr>
          <w:rFonts w:hint="eastAsia" w:cs="Arial"/>
          <w:szCs w:val="24"/>
        </w:rPr>
        <w:t>1</w:t>
      </w:r>
      <w:r>
        <w:rPr>
          <w:rFonts w:cs="Arial"/>
          <w:szCs w:val="24"/>
        </w:rPr>
        <w:t>万元认购本基金C</w:t>
      </w:r>
      <w:r>
        <w:rPr>
          <w:rFonts w:hint="eastAsia" w:cs="Arial"/>
          <w:szCs w:val="24"/>
        </w:rPr>
        <w:t>类基金份额</w:t>
      </w:r>
      <w:r>
        <w:rPr>
          <w:rFonts w:cs="Arial"/>
          <w:szCs w:val="24"/>
        </w:rPr>
        <w:t>，</w:t>
      </w:r>
      <w:r>
        <w:rPr>
          <w:rFonts w:hint="eastAsia" w:cs="Arial"/>
          <w:szCs w:val="24"/>
        </w:rPr>
        <w:t>且该认购申请被全额确认，</w:t>
      </w:r>
      <w:r>
        <w:rPr>
          <w:rFonts w:cs="Arial"/>
          <w:szCs w:val="24"/>
        </w:rPr>
        <w:t>假设其认购资金的利息为</w:t>
      </w:r>
      <w:r>
        <w:rPr>
          <w:rFonts w:hint="eastAsia" w:cs="Arial"/>
          <w:szCs w:val="24"/>
        </w:rPr>
        <w:t>3</w:t>
      </w:r>
      <w:r>
        <w:rPr>
          <w:rFonts w:cs="Arial"/>
          <w:szCs w:val="24"/>
        </w:rPr>
        <w:t>元，则其可得到的认购份额为</w:t>
      </w:r>
      <w:r>
        <w:rPr>
          <w:rFonts w:hint="eastAsia" w:cs="Arial"/>
          <w:szCs w:val="24"/>
        </w:rPr>
        <w:t>：</w:t>
      </w:r>
    </w:p>
    <w:p>
      <w:pPr>
        <w:pStyle w:val="15"/>
        <w:autoSpaceDE w:val="0"/>
        <w:autoSpaceDN w:val="0"/>
        <w:spacing w:line="360" w:lineRule="auto"/>
        <w:ind w:firstLine="452"/>
        <w:rPr>
          <w:rFonts w:cs="Arial"/>
          <w:szCs w:val="24"/>
        </w:rPr>
      </w:pPr>
      <w:r>
        <w:rPr>
          <w:rFonts w:hint="eastAsia" w:cs="Arial"/>
          <w:szCs w:val="24"/>
        </w:rPr>
        <w:t>认购份额＝（10,000＋3）/1</w:t>
      </w:r>
      <w:r>
        <w:rPr>
          <w:rFonts w:cs="Arial"/>
          <w:szCs w:val="24"/>
        </w:rPr>
        <w:t>.00</w:t>
      </w:r>
      <w:r>
        <w:rPr>
          <w:rFonts w:hint="eastAsia" w:cs="Arial"/>
          <w:szCs w:val="24"/>
        </w:rPr>
        <w:t>＝1</w:t>
      </w:r>
      <w:r>
        <w:rPr>
          <w:rFonts w:cs="Arial"/>
          <w:szCs w:val="24"/>
        </w:rPr>
        <w:t>0</w:t>
      </w:r>
      <w:r>
        <w:rPr>
          <w:rFonts w:hint="eastAsia" w:cs="Arial"/>
          <w:szCs w:val="24"/>
        </w:rPr>
        <w:t>,</w:t>
      </w:r>
      <w:r>
        <w:rPr>
          <w:rFonts w:cs="Arial"/>
          <w:szCs w:val="24"/>
        </w:rPr>
        <w:t>003.00</w:t>
      </w:r>
      <w:r>
        <w:rPr>
          <w:rFonts w:hint="eastAsia" w:cs="Arial"/>
          <w:szCs w:val="24"/>
        </w:rPr>
        <w:t>份</w:t>
      </w:r>
    </w:p>
    <w:p>
      <w:pPr>
        <w:pStyle w:val="15"/>
        <w:autoSpaceDE w:val="0"/>
        <w:autoSpaceDN w:val="0"/>
        <w:spacing w:line="360" w:lineRule="auto"/>
        <w:ind w:firstLine="452"/>
        <w:rPr>
          <w:rFonts w:cs="Arial"/>
          <w:szCs w:val="24"/>
        </w:rPr>
      </w:pPr>
      <w:r>
        <w:rPr>
          <w:rFonts w:cs="Arial"/>
          <w:szCs w:val="24"/>
        </w:rPr>
        <w:t>即：投资人投资</w:t>
      </w:r>
      <w:r>
        <w:rPr>
          <w:rFonts w:hint="eastAsia" w:cs="Arial"/>
          <w:szCs w:val="24"/>
        </w:rPr>
        <w:t>1</w:t>
      </w:r>
      <w:r>
        <w:rPr>
          <w:rFonts w:cs="Arial"/>
          <w:szCs w:val="24"/>
        </w:rPr>
        <w:t>万元认购本基金C</w:t>
      </w:r>
      <w:r>
        <w:rPr>
          <w:rFonts w:hint="eastAsia" w:cs="Arial"/>
          <w:szCs w:val="24"/>
        </w:rPr>
        <w:t>类基金份额</w:t>
      </w:r>
      <w:r>
        <w:rPr>
          <w:rFonts w:cs="Arial"/>
          <w:szCs w:val="24"/>
        </w:rPr>
        <w:t>，</w:t>
      </w:r>
      <w:r>
        <w:rPr>
          <w:rFonts w:hint="eastAsia" w:cs="Arial"/>
          <w:szCs w:val="24"/>
        </w:rPr>
        <w:t>且该认购申请被全额确认，</w:t>
      </w:r>
      <w:r>
        <w:rPr>
          <w:rFonts w:cs="Arial"/>
          <w:szCs w:val="24"/>
        </w:rPr>
        <w:t>假设其认购资金的利息为3元，则其可得到</w:t>
      </w:r>
      <w:r>
        <w:rPr>
          <w:rFonts w:hint="eastAsia" w:cs="Arial"/>
          <w:szCs w:val="24"/>
        </w:rPr>
        <w:t>1</w:t>
      </w:r>
      <w:r>
        <w:rPr>
          <w:rFonts w:cs="Arial"/>
          <w:szCs w:val="24"/>
        </w:rPr>
        <w:t>0</w:t>
      </w:r>
      <w:r>
        <w:rPr>
          <w:rFonts w:hint="eastAsia" w:cs="Arial"/>
          <w:szCs w:val="24"/>
        </w:rPr>
        <w:t>,</w:t>
      </w:r>
      <w:r>
        <w:rPr>
          <w:rFonts w:cs="Arial"/>
          <w:szCs w:val="24"/>
        </w:rPr>
        <w:t>003.00份</w:t>
      </w:r>
      <w:r>
        <w:rPr>
          <w:rFonts w:hint="eastAsia" w:cs="Arial"/>
          <w:szCs w:val="24"/>
        </w:rPr>
        <w:t>C类</w:t>
      </w:r>
      <w:r>
        <w:rPr>
          <w:rFonts w:cs="Arial"/>
          <w:szCs w:val="24"/>
        </w:rPr>
        <w:t>基金份额。</w:t>
      </w:r>
    </w:p>
    <w:p>
      <w:pPr>
        <w:adjustRightInd w:val="0"/>
        <w:snapToGrid w:val="0"/>
        <w:spacing w:line="360" w:lineRule="auto"/>
        <w:ind w:firstLine="420" w:firstLineChars="200"/>
        <w:rPr>
          <w:szCs w:val="21"/>
        </w:rPr>
      </w:pPr>
      <w:r>
        <w:rPr>
          <w:szCs w:val="21"/>
        </w:rPr>
        <w:t>5、募集期利息的处理方式</w:t>
      </w:r>
    </w:p>
    <w:p>
      <w:pPr>
        <w:adjustRightInd w:val="0"/>
        <w:snapToGrid w:val="0"/>
        <w:spacing w:line="360" w:lineRule="auto"/>
        <w:ind w:firstLine="420" w:firstLineChars="200"/>
        <w:rPr>
          <w:szCs w:val="21"/>
        </w:rPr>
      </w:pPr>
      <w:r>
        <w:rPr>
          <w:szCs w:val="21"/>
        </w:rPr>
        <w:t>有效认购款项在募集期间产生的利息将折算为基金份额归基金份额持有人所有，其中利息转份额的具体数额以登记机构的记录为准。</w:t>
      </w:r>
    </w:p>
    <w:p>
      <w:pPr>
        <w:adjustRightInd w:val="0"/>
        <w:snapToGrid w:val="0"/>
        <w:spacing w:line="360" w:lineRule="auto"/>
        <w:ind w:firstLine="420" w:firstLineChars="200"/>
        <w:rPr>
          <w:szCs w:val="21"/>
        </w:rPr>
      </w:pPr>
      <w:r>
        <w:rPr>
          <w:szCs w:val="21"/>
        </w:rPr>
        <w:t>6、认购份额余额的处理方式</w:t>
      </w:r>
    </w:p>
    <w:p>
      <w:pPr>
        <w:adjustRightInd w:val="0"/>
        <w:snapToGrid w:val="0"/>
        <w:spacing w:line="360" w:lineRule="auto"/>
        <w:ind w:firstLine="420" w:firstLineChars="200"/>
        <w:rPr>
          <w:szCs w:val="21"/>
        </w:rPr>
      </w:pPr>
      <w:r>
        <w:rPr>
          <w:szCs w:val="21"/>
        </w:rPr>
        <w:t>认购份额的计算保留到小数点后两位，小数点两位以后的部分四舍五入，由此误差产生的收益或损失由基金财产承担。</w:t>
      </w:r>
    </w:p>
    <w:p>
      <w:pPr>
        <w:adjustRightInd w:val="0"/>
        <w:snapToGrid w:val="0"/>
        <w:spacing w:line="360" w:lineRule="auto"/>
        <w:ind w:firstLine="422" w:firstLineChars="200"/>
        <w:rPr>
          <w:b/>
          <w:szCs w:val="21"/>
        </w:rPr>
      </w:pPr>
      <w:r>
        <w:rPr>
          <w:rFonts w:hint="eastAsia"/>
          <w:b/>
          <w:szCs w:val="21"/>
        </w:rPr>
        <w:t>十</w:t>
      </w:r>
      <w:r>
        <w:rPr>
          <w:b/>
          <w:szCs w:val="21"/>
        </w:rPr>
        <w:t>、首次募集规模上限</w:t>
      </w:r>
    </w:p>
    <w:p>
      <w:pPr>
        <w:adjustRightInd w:val="0"/>
        <w:snapToGrid w:val="0"/>
        <w:spacing w:line="360" w:lineRule="auto"/>
        <w:ind w:firstLine="420" w:firstLineChars="200"/>
        <w:rPr>
          <w:szCs w:val="21"/>
        </w:rPr>
      </w:pPr>
      <w:r>
        <w:rPr>
          <w:szCs w:val="21"/>
        </w:rPr>
        <w:t>本基金可设置首次募集规模上限，具体募集上限及规模控制的方案详见基金份额发售公告或基金管理人届时发布的相关公告。若本基金设置首次募集规模上限，基金合同生效后不受首次募集规模的限制。</w:t>
      </w:r>
    </w:p>
    <w:p>
      <w:pPr>
        <w:adjustRightInd w:val="0"/>
        <w:snapToGrid w:val="0"/>
        <w:spacing w:line="360" w:lineRule="auto"/>
        <w:ind w:firstLine="424" w:firstLineChars="201"/>
        <w:rPr>
          <w:b/>
          <w:kern w:val="0"/>
        </w:rPr>
      </w:pPr>
      <w:r>
        <w:rPr>
          <w:b/>
          <w:kern w:val="0"/>
        </w:rPr>
        <w:t>十</w:t>
      </w:r>
      <w:r>
        <w:rPr>
          <w:rFonts w:hint="eastAsia"/>
          <w:b/>
          <w:kern w:val="0"/>
        </w:rPr>
        <w:t>一</w:t>
      </w:r>
      <w:r>
        <w:rPr>
          <w:b/>
          <w:kern w:val="0"/>
        </w:rPr>
        <w:t xml:space="preserve">、投资人对基金份额的认购 </w:t>
      </w:r>
    </w:p>
    <w:p>
      <w:pPr>
        <w:adjustRightInd w:val="0"/>
        <w:snapToGrid w:val="0"/>
        <w:spacing w:line="360" w:lineRule="auto"/>
        <w:ind w:firstLine="422" w:firstLineChars="201"/>
        <w:rPr>
          <w:kern w:val="0"/>
        </w:rPr>
      </w:pPr>
      <w:r>
        <w:rPr>
          <w:kern w:val="0"/>
        </w:rPr>
        <w:t xml:space="preserve">1．本基金的认购时间安排、认购者认购应提交的文件和办理的手续请详细查阅本基金的基金份额发售公告。 </w:t>
      </w:r>
    </w:p>
    <w:p>
      <w:pPr>
        <w:adjustRightInd w:val="0"/>
        <w:snapToGrid w:val="0"/>
        <w:spacing w:line="360" w:lineRule="auto"/>
        <w:ind w:firstLine="422" w:firstLineChars="201"/>
        <w:rPr>
          <w:kern w:val="0"/>
        </w:rPr>
      </w:pPr>
      <w:r>
        <w:rPr>
          <w:kern w:val="0"/>
        </w:rPr>
        <w:t xml:space="preserve">2．认购方式 </w:t>
      </w:r>
    </w:p>
    <w:p>
      <w:pPr>
        <w:adjustRightInd w:val="0"/>
        <w:snapToGrid w:val="0"/>
        <w:spacing w:line="360" w:lineRule="auto"/>
        <w:ind w:firstLine="422" w:firstLineChars="201"/>
        <w:rPr>
          <w:kern w:val="0"/>
        </w:rPr>
      </w:pPr>
      <w:r>
        <w:rPr>
          <w:kern w:val="0"/>
        </w:rPr>
        <w:t xml:space="preserve">本基金认购采取金额认购的方式。 </w:t>
      </w:r>
    </w:p>
    <w:p>
      <w:pPr>
        <w:adjustRightInd w:val="0"/>
        <w:snapToGrid w:val="0"/>
        <w:spacing w:line="360" w:lineRule="auto"/>
        <w:ind w:firstLine="422" w:firstLineChars="201"/>
        <w:rPr>
          <w:kern w:val="0"/>
        </w:rPr>
      </w:pPr>
      <w:r>
        <w:rPr>
          <w:kern w:val="0"/>
        </w:rPr>
        <w:t xml:space="preserve">（1）投资者认购时，需按销售机构规定的方式全额缴款。 </w:t>
      </w:r>
    </w:p>
    <w:p>
      <w:pPr>
        <w:adjustRightInd w:val="0"/>
        <w:snapToGrid w:val="0"/>
        <w:spacing w:line="360" w:lineRule="auto"/>
        <w:ind w:firstLine="422" w:firstLineChars="201"/>
        <w:rPr>
          <w:kern w:val="0"/>
        </w:rPr>
      </w:pPr>
      <w:r>
        <w:rPr>
          <w:kern w:val="0"/>
        </w:rPr>
        <w:t xml:space="preserve">（2）投资者在募集期内可以多次认购基金份额，A类基金份额的认购费按每笔该类基金份额认购申请单独计算，但已受理的认购申请不允许撤销。 </w:t>
      </w:r>
    </w:p>
    <w:p>
      <w:pPr>
        <w:adjustRightInd w:val="0"/>
        <w:snapToGrid w:val="0"/>
        <w:spacing w:line="360" w:lineRule="auto"/>
        <w:ind w:firstLine="422" w:firstLineChars="201"/>
        <w:rPr>
          <w:kern w:val="0"/>
        </w:rPr>
      </w:pPr>
      <w:r>
        <w:rPr>
          <w:kern w:val="0"/>
        </w:rPr>
        <w:t xml:space="preserve">3．认购确认 </w:t>
      </w:r>
    </w:p>
    <w:p>
      <w:pPr>
        <w:adjustRightInd w:val="0"/>
        <w:snapToGrid w:val="0"/>
        <w:spacing w:line="360" w:lineRule="auto"/>
        <w:ind w:firstLine="422" w:firstLineChars="201"/>
        <w:rPr>
          <w:kern w:val="0"/>
        </w:rPr>
      </w:pPr>
      <w:r>
        <w:rPr>
          <w:kern w:val="0"/>
        </w:rPr>
        <w:t>基金销售机构对认购申请的受理并不代表该申请一定成功，而仅代表销售机构确实接收到认购申请。认购申请的确认以登记机构的确认结果为准。对于认购申请及认购份额的确认情况，投资</w:t>
      </w:r>
      <w:r>
        <w:rPr>
          <w:rFonts w:hint="eastAsia"/>
          <w:kern w:val="0"/>
        </w:rPr>
        <w:t>者</w:t>
      </w:r>
      <w:r>
        <w:rPr>
          <w:kern w:val="0"/>
        </w:rPr>
        <w:t>应及时查询并妥善行使合法权利，否则，由此产生的投资者任何损失由投资者自行承担。</w:t>
      </w:r>
    </w:p>
    <w:p>
      <w:pPr>
        <w:adjustRightInd w:val="0"/>
        <w:snapToGrid w:val="0"/>
        <w:spacing w:line="360" w:lineRule="auto"/>
        <w:ind w:firstLine="422" w:firstLineChars="201"/>
        <w:rPr>
          <w:kern w:val="0"/>
        </w:rPr>
      </w:pPr>
      <w:r>
        <w:rPr>
          <w:kern w:val="0"/>
        </w:rPr>
        <w:t xml:space="preserve">4．认购限制 </w:t>
      </w:r>
    </w:p>
    <w:p>
      <w:pPr>
        <w:tabs>
          <w:tab w:val="left" w:pos="1134"/>
        </w:tabs>
        <w:adjustRightInd w:val="0"/>
        <w:snapToGrid w:val="0"/>
        <w:spacing w:line="360" w:lineRule="auto"/>
        <w:ind w:firstLine="420" w:firstLineChars="200"/>
        <w:rPr>
          <w:color w:val="000000"/>
          <w:szCs w:val="21"/>
        </w:rPr>
      </w:pPr>
      <w:r>
        <w:rPr>
          <w:rFonts w:hint="eastAsia"/>
          <w:color w:val="000000"/>
          <w:szCs w:val="21"/>
        </w:rPr>
        <w:t>通过其他销售机构认购本基金各类基金份额的首次单笔最低认购金额为1.00元（含认购费），追加认购单笔最低金额为1.00元（含认购费），详情请见当地销售机构公告。通过基金管理人认购本基金各类基金份额的首次单笔最低认购金额不低于1.00元，追加认购单笔最低金额为1.00元。各销售机构在不低于上述规定的前提下，可根据自己的情况调整首次最低认购金额和追加单笔最低认购金额限制，具体以销售机构公布的为准。</w:t>
      </w:r>
      <w:r>
        <w:rPr>
          <w:color w:val="000000"/>
          <w:szCs w:val="21"/>
        </w:rPr>
        <w:t>募集期间的单个投资人的累计认购金额不受限制。</w:t>
      </w:r>
    </w:p>
    <w:p>
      <w:pPr>
        <w:tabs>
          <w:tab w:val="left" w:pos="1134"/>
        </w:tabs>
        <w:adjustRightInd w:val="0"/>
        <w:snapToGrid w:val="0"/>
        <w:spacing w:line="360" w:lineRule="auto"/>
        <w:ind w:firstLine="420" w:firstLineChars="200"/>
        <w:rPr>
          <w:color w:val="000000"/>
          <w:szCs w:val="21"/>
        </w:rPr>
      </w:pPr>
      <w:r>
        <w:rPr>
          <w:color w:val="000000"/>
          <w:szCs w:val="21"/>
        </w:rPr>
        <w:t>如发生末日比例确认，认购申请确认不受最低认购数量的限制。</w:t>
      </w:r>
    </w:p>
    <w:p>
      <w:pPr>
        <w:tabs>
          <w:tab w:val="left" w:pos="1134"/>
        </w:tabs>
        <w:adjustRightInd w:val="0"/>
        <w:snapToGrid w:val="0"/>
        <w:spacing w:line="360" w:lineRule="auto"/>
        <w:ind w:firstLine="420" w:firstLineChars="200"/>
        <w:rPr>
          <w:color w:val="000000"/>
          <w:szCs w:val="21"/>
        </w:rPr>
      </w:pPr>
      <w:r>
        <w:rPr>
          <w:color w:val="000000"/>
          <w:szCs w:val="21"/>
        </w:rPr>
        <w:t>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pPr>
        <w:adjustRightInd w:val="0"/>
        <w:snapToGrid w:val="0"/>
        <w:spacing w:line="360" w:lineRule="auto"/>
        <w:ind w:firstLine="424" w:firstLineChars="201"/>
        <w:rPr>
          <w:b/>
          <w:bCs/>
          <w:color w:val="000000"/>
          <w:kern w:val="0"/>
          <w:szCs w:val="21"/>
        </w:rPr>
      </w:pPr>
      <w:r>
        <w:rPr>
          <w:b/>
          <w:bCs/>
          <w:color w:val="000000"/>
          <w:kern w:val="0"/>
          <w:szCs w:val="21"/>
        </w:rPr>
        <w:t>十</w:t>
      </w:r>
      <w:r>
        <w:rPr>
          <w:rFonts w:hint="eastAsia"/>
          <w:b/>
          <w:bCs/>
          <w:color w:val="000000"/>
          <w:kern w:val="0"/>
          <w:szCs w:val="21"/>
        </w:rPr>
        <w:t>二</w:t>
      </w:r>
      <w:r>
        <w:rPr>
          <w:b/>
          <w:bCs/>
          <w:color w:val="000000"/>
          <w:kern w:val="0"/>
          <w:szCs w:val="21"/>
        </w:rPr>
        <w:t>、基金募集期间募集的资金存入专门账户，在基金募集行为结束前，任何人不得动用。</w:t>
      </w:r>
    </w:p>
    <w:p>
      <w:pPr>
        <w:adjustRightInd w:val="0"/>
        <w:snapToGrid w:val="0"/>
        <w:spacing w:line="360" w:lineRule="auto"/>
        <w:ind w:firstLine="424" w:firstLineChars="201"/>
        <w:rPr>
          <w:b/>
          <w:color w:val="000000"/>
          <w:kern w:val="0"/>
          <w:szCs w:val="21"/>
        </w:rPr>
      </w:pPr>
      <w:r>
        <w:rPr>
          <w:b/>
          <w:color w:val="000000"/>
          <w:kern w:val="0"/>
          <w:szCs w:val="21"/>
        </w:rPr>
        <w:t>十</w:t>
      </w:r>
      <w:r>
        <w:rPr>
          <w:rFonts w:hint="eastAsia"/>
          <w:b/>
          <w:color w:val="000000"/>
          <w:kern w:val="0"/>
          <w:szCs w:val="21"/>
        </w:rPr>
        <w:t>三</w:t>
      </w:r>
      <w:r>
        <w:rPr>
          <w:b/>
          <w:color w:val="000000"/>
          <w:kern w:val="0"/>
          <w:szCs w:val="21"/>
        </w:rPr>
        <w:t>、未来条件许可情况下的基金模式转换</w:t>
      </w:r>
    </w:p>
    <w:p>
      <w:pPr>
        <w:adjustRightInd w:val="0"/>
        <w:snapToGrid w:val="0"/>
        <w:spacing w:line="360" w:lineRule="auto"/>
        <w:ind w:firstLine="422" w:firstLineChars="201"/>
        <w:rPr>
          <w:rFonts w:ascii="宋体" w:hAnsi="Arial" w:cs="宋体"/>
          <w:color w:val="000000"/>
          <w:kern w:val="0"/>
          <w:szCs w:val="21"/>
        </w:rPr>
        <w:sectPr>
          <w:footerReference r:id="rId12" w:type="first"/>
          <w:footerReference r:id="rId11" w:type="default"/>
          <w:pgSz w:w="11906" w:h="16838"/>
          <w:pgMar w:top="1440" w:right="1800" w:bottom="1440" w:left="1800" w:header="851" w:footer="992" w:gutter="0"/>
          <w:pgNumType w:start="1"/>
          <w:cols w:space="425" w:num="1"/>
          <w:titlePg/>
          <w:docGrid w:type="lines" w:linePitch="312" w:charSpace="0"/>
        </w:sectPr>
      </w:pPr>
      <w:r>
        <w:rPr>
          <w:color w:val="000000"/>
          <w:kern w:val="0"/>
          <w:szCs w:val="21"/>
        </w:rPr>
        <w:t>若将来本基金管理人推出投资同一标的指数的交易型开放式指数证券投资基金（ETF），则基金管理人有权在履行适当程序后使本基金转换为该基金的联接基金，并相应修改基金合同，届时无需召开基金份额持有人大会但须</w:t>
      </w:r>
      <w:r>
        <w:rPr>
          <w:rFonts w:hint="eastAsia"/>
          <w:color w:val="000000"/>
          <w:kern w:val="0"/>
          <w:szCs w:val="21"/>
        </w:rPr>
        <w:t>履行适当程序</w:t>
      </w:r>
      <w:r>
        <w:rPr>
          <w:color w:val="000000"/>
          <w:kern w:val="0"/>
          <w:szCs w:val="21"/>
        </w:rPr>
        <w:t>并提前公告</w:t>
      </w:r>
      <w:r>
        <w:rPr>
          <w:rFonts w:hint="eastAsia" w:ascii="宋体" w:hAnsi="Arial" w:cs="宋体"/>
          <w:color w:val="000000"/>
          <w:kern w:val="0"/>
          <w:szCs w:val="21"/>
        </w:rPr>
        <w:t>。</w:t>
      </w:r>
    </w:p>
    <w:p>
      <w:pPr>
        <w:pStyle w:val="3"/>
        <w:numPr>
          <w:ilvl w:val="0"/>
          <w:numId w:val="26"/>
        </w:numPr>
        <w:snapToGrid w:val="0"/>
        <w:spacing w:before="0" w:after="0" w:line="360" w:lineRule="auto"/>
        <w:jc w:val="center"/>
      </w:pPr>
      <w:bookmarkStart w:id="76" w:name="_Toc92740290"/>
      <w:r>
        <w:t>基金</w:t>
      </w:r>
      <w:r>
        <w:rPr>
          <w:rFonts w:hint="eastAsia"/>
        </w:rPr>
        <w:t>合同的生效</w:t>
      </w:r>
      <w:bookmarkEnd w:id="76"/>
    </w:p>
    <w:p>
      <w:pPr>
        <w:autoSpaceDE w:val="0"/>
        <w:autoSpaceDN w:val="0"/>
        <w:adjustRightInd w:val="0"/>
        <w:spacing w:line="360" w:lineRule="auto"/>
        <w:ind w:firstLine="422" w:firstLineChars="200"/>
        <w:rPr>
          <w:b/>
          <w:bCs/>
          <w:szCs w:val="21"/>
        </w:rPr>
      </w:pPr>
      <w:r>
        <w:rPr>
          <w:rFonts w:hint="eastAsia"/>
          <w:b/>
          <w:bCs/>
          <w:szCs w:val="21"/>
        </w:rPr>
        <w:t>一、基金备案的条件</w:t>
      </w:r>
    </w:p>
    <w:p>
      <w:pPr>
        <w:autoSpaceDE w:val="0"/>
        <w:autoSpaceDN w:val="0"/>
        <w:adjustRightInd w:val="0"/>
        <w:spacing w:line="360" w:lineRule="auto"/>
        <w:ind w:firstLine="420" w:firstLineChars="200"/>
        <w:rPr>
          <w:bCs/>
          <w:szCs w:val="21"/>
        </w:rPr>
      </w:pPr>
      <w:r>
        <w:rPr>
          <w:rFonts w:hint="eastAsia"/>
          <w:bCs/>
          <w:szCs w:val="21"/>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pPr>
        <w:autoSpaceDE w:val="0"/>
        <w:autoSpaceDN w:val="0"/>
        <w:adjustRightInd w:val="0"/>
        <w:spacing w:line="360" w:lineRule="auto"/>
        <w:ind w:firstLine="420" w:firstLineChars="200"/>
        <w:rPr>
          <w:bCs/>
          <w:szCs w:val="21"/>
        </w:rPr>
      </w:pPr>
      <w:r>
        <w:rPr>
          <w:rFonts w:hint="eastAsia"/>
          <w:bCs/>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pPr>
        <w:autoSpaceDE w:val="0"/>
        <w:autoSpaceDN w:val="0"/>
        <w:adjustRightInd w:val="0"/>
        <w:spacing w:line="360" w:lineRule="auto"/>
        <w:ind w:firstLine="422" w:firstLineChars="200"/>
        <w:rPr>
          <w:b/>
          <w:szCs w:val="21"/>
        </w:rPr>
      </w:pPr>
      <w:r>
        <w:rPr>
          <w:rFonts w:hint="eastAsia"/>
          <w:b/>
          <w:szCs w:val="21"/>
        </w:rPr>
        <w:t>二、基金合同不能生效时募集资金的处理方式</w:t>
      </w:r>
    </w:p>
    <w:p>
      <w:pPr>
        <w:autoSpaceDE w:val="0"/>
        <w:autoSpaceDN w:val="0"/>
        <w:adjustRightInd w:val="0"/>
        <w:spacing w:line="360" w:lineRule="auto"/>
        <w:ind w:firstLine="420" w:firstLineChars="200"/>
        <w:rPr>
          <w:bCs/>
          <w:szCs w:val="21"/>
        </w:rPr>
      </w:pPr>
      <w:r>
        <w:rPr>
          <w:rFonts w:hint="eastAsia"/>
          <w:bCs/>
          <w:szCs w:val="21"/>
        </w:rPr>
        <w:t>如果募集期限届满，未满足基金备案条件，基金管理人应当承担下列责任：</w:t>
      </w:r>
    </w:p>
    <w:p>
      <w:pPr>
        <w:autoSpaceDE w:val="0"/>
        <w:autoSpaceDN w:val="0"/>
        <w:adjustRightInd w:val="0"/>
        <w:spacing w:line="360" w:lineRule="auto"/>
        <w:ind w:firstLine="420" w:firstLineChars="200"/>
        <w:rPr>
          <w:bCs/>
          <w:szCs w:val="21"/>
        </w:rPr>
      </w:pPr>
      <w:r>
        <w:rPr>
          <w:rFonts w:hint="eastAsia"/>
          <w:bCs/>
          <w:szCs w:val="21"/>
        </w:rPr>
        <w:t>1、以其固有财产承担因募集行为而产生的债务和费用；</w:t>
      </w:r>
    </w:p>
    <w:p>
      <w:pPr>
        <w:autoSpaceDE w:val="0"/>
        <w:autoSpaceDN w:val="0"/>
        <w:adjustRightInd w:val="0"/>
        <w:spacing w:line="360" w:lineRule="auto"/>
        <w:ind w:firstLine="420" w:firstLineChars="200"/>
        <w:rPr>
          <w:bCs/>
          <w:szCs w:val="21"/>
        </w:rPr>
      </w:pPr>
      <w:r>
        <w:rPr>
          <w:rFonts w:hint="eastAsia"/>
          <w:bCs/>
          <w:szCs w:val="21"/>
        </w:rPr>
        <w:t>2、在基金募集期限届满后30日内返还投资者已交纳的款项，并加计银行同期活期存款利息；</w:t>
      </w:r>
    </w:p>
    <w:p>
      <w:pPr>
        <w:autoSpaceDE w:val="0"/>
        <w:autoSpaceDN w:val="0"/>
        <w:adjustRightInd w:val="0"/>
        <w:spacing w:line="360" w:lineRule="auto"/>
        <w:ind w:firstLine="420" w:firstLineChars="200"/>
        <w:rPr>
          <w:bCs/>
          <w:szCs w:val="21"/>
        </w:rPr>
      </w:pPr>
      <w:r>
        <w:rPr>
          <w:rFonts w:hint="eastAsia"/>
          <w:bCs/>
          <w:szCs w:val="21"/>
        </w:rPr>
        <w:t>3、如基金募集失败，基金管理人、基金托管人及销售机构不得请求报酬。基金管理人、基金托管人和销售机构为基金募集支付之一切费用应由各方各自承担。</w:t>
      </w:r>
    </w:p>
    <w:p>
      <w:pPr>
        <w:autoSpaceDE w:val="0"/>
        <w:autoSpaceDN w:val="0"/>
        <w:adjustRightInd w:val="0"/>
        <w:spacing w:line="360" w:lineRule="auto"/>
        <w:ind w:firstLine="422" w:firstLineChars="200"/>
        <w:rPr>
          <w:b/>
          <w:szCs w:val="21"/>
        </w:rPr>
      </w:pPr>
      <w:r>
        <w:rPr>
          <w:rFonts w:hint="eastAsia"/>
          <w:b/>
          <w:szCs w:val="21"/>
        </w:rPr>
        <w:t>三、基金存续期内的基金份额持有人数量和资产规模</w:t>
      </w:r>
    </w:p>
    <w:p>
      <w:pPr>
        <w:autoSpaceDE w:val="0"/>
        <w:autoSpaceDN w:val="0"/>
        <w:adjustRightInd w:val="0"/>
        <w:spacing w:line="360" w:lineRule="auto"/>
        <w:ind w:firstLine="420" w:firstLineChars="200"/>
        <w:rPr>
          <w:bCs/>
          <w:szCs w:val="21"/>
        </w:rPr>
      </w:pPr>
      <w:r>
        <w:rPr>
          <w:rFonts w:hint="eastAsia"/>
          <w:bCs/>
          <w:szCs w:val="21"/>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pPr>
        <w:autoSpaceDE w:val="0"/>
        <w:autoSpaceDN w:val="0"/>
        <w:adjustRightInd w:val="0"/>
        <w:spacing w:line="360" w:lineRule="auto"/>
        <w:ind w:firstLine="420" w:firstLineChars="200"/>
        <w:rPr>
          <w:bCs/>
          <w:szCs w:val="21"/>
        </w:rPr>
        <w:sectPr>
          <w:footerReference r:id="rId13" w:type="first"/>
          <w:pgSz w:w="11906" w:h="16838"/>
          <w:pgMar w:top="1440" w:right="1800" w:bottom="1440" w:left="1800" w:header="851" w:footer="992" w:gutter="0"/>
          <w:pgNumType w:start="1"/>
          <w:cols w:space="425" w:num="1"/>
          <w:titlePg/>
          <w:docGrid w:type="lines" w:linePitch="312" w:charSpace="0"/>
        </w:sectPr>
      </w:pPr>
      <w:r>
        <w:rPr>
          <w:rFonts w:hint="eastAsia"/>
          <w:bCs/>
          <w:szCs w:val="21"/>
        </w:rPr>
        <w:t>法律法规或中国证监会另有规定时，从其规定。</w:t>
      </w:r>
    </w:p>
    <w:p>
      <w:pPr>
        <w:pStyle w:val="3"/>
        <w:numPr>
          <w:ilvl w:val="0"/>
          <w:numId w:val="26"/>
        </w:numPr>
        <w:snapToGrid w:val="0"/>
        <w:spacing w:before="0" w:after="0" w:line="360" w:lineRule="auto"/>
        <w:jc w:val="center"/>
      </w:pPr>
      <w:bookmarkStart w:id="77" w:name="_Toc327902631"/>
      <w:bookmarkStart w:id="78" w:name="_Toc92740291"/>
      <w:bookmarkStart w:id="79" w:name="_Toc336606235"/>
      <w:bookmarkStart w:id="80" w:name="_Toc332013118"/>
      <w:bookmarkStart w:id="81" w:name="_Toc335899841"/>
      <w:bookmarkStart w:id="82" w:name="_Toc411872030"/>
      <w:bookmarkStart w:id="83" w:name="_Toc375295981"/>
      <w:bookmarkStart w:id="84" w:name="_Toc369510016"/>
      <w:r>
        <w:rPr>
          <w:rFonts w:hint="eastAsia"/>
        </w:rPr>
        <w:t>基金份额的申购赎回</w:t>
      </w:r>
      <w:bookmarkEnd w:id="77"/>
      <w:bookmarkEnd w:id="78"/>
      <w:bookmarkEnd w:id="79"/>
      <w:bookmarkEnd w:id="80"/>
      <w:bookmarkEnd w:id="81"/>
      <w:bookmarkEnd w:id="82"/>
      <w:bookmarkEnd w:id="83"/>
      <w:bookmarkEnd w:id="84"/>
    </w:p>
    <w:p>
      <w:pPr>
        <w:pStyle w:val="163"/>
        <w:ind w:firstLine="422"/>
        <w:jc w:val="left"/>
        <w:rPr>
          <w:b/>
        </w:rPr>
      </w:pPr>
      <w:r>
        <w:rPr>
          <w:b/>
        </w:rPr>
        <w:t>一、申购和赎回场所</w:t>
      </w:r>
    </w:p>
    <w:p>
      <w:pPr>
        <w:adjustRightInd w:val="0"/>
        <w:snapToGrid w:val="0"/>
        <w:spacing w:line="360" w:lineRule="auto"/>
        <w:ind w:firstLine="420" w:firstLineChars="200"/>
        <w:rPr>
          <w:rFonts w:asciiTheme="minorEastAsia" w:hAnsiTheme="minorEastAsia" w:eastAsiaTheme="minorEastAsia"/>
          <w:szCs w:val="21"/>
        </w:rPr>
      </w:pPr>
      <w:r>
        <w:rPr>
          <w:rFonts w:hint="eastAsia" w:cs="宋体" w:asciiTheme="minorEastAsia" w:hAnsiTheme="minorEastAsia"/>
          <w:kern w:val="0"/>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与赎回。</w:t>
      </w:r>
    </w:p>
    <w:p>
      <w:pPr>
        <w:pStyle w:val="163"/>
        <w:ind w:firstLine="422"/>
        <w:rPr>
          <w:b/>
        </w:rPr>
      </w:pPr>
      <w:r>
        <w:rPr>
          <w:b/>
        </w:rPr>
        <w:t>二、申购和赎回的开放日及时间</w:t>
      </w:r>
    </w:p>
    <w:p>
      <w:pPr>
        <w:pStyle w:val="163"/>
        <w:rPr>
          <w:rFonts w:asciiTheme="minorEastAsia" w:hAnsiTheme="minorEastAsia" w:eastAsiaTheme="minorEastAsia"/>
        </w:rPr>
      </w:pPr>
      <w:r>
        <w:rPr>
          <w:rFonts w:hint="eastAsia" w:asciiTheme="minorEastAsia" w:hAnsiTheme="minorEastAsia" w:eastAsiaTheme="minorEastAsia"/>
        </w:rPr>
        <w:t>1、开放日及开放时间</w:t>
      </w:r>
    </w:p>
    <w:p>
      <w:pPr>
        <w:autoSpaceDE w:val="0"/>
        <w:autoSpaceDN w:val="0"/>
        <w:adjustRightInd w:val="0"/>
        <w:spacing w:line="360" w:lineRule="auto"/>
        <w:ind w:firstLine="420" w:firstLineChars="200"/>
        <w:rPr>
          <w:rFonts w:cs="宋体" w:asciiTheme="minorEastAsia" w:hAnsiTheme="minorEastAsia"/>
          <w:kern w:val="0"/>
          <w:szCs w:val="21"/>
        </w:rPr>
      </w:pPr>
      <w:r>
        <w:rPr>
          <w:rFonts w:hint="eastAsia" w:cs="宋体" w:asciiTheme="minorEastAsia" w:hAnsiTheme="minorEastAsia"/>
          <w:kern w:val="0"/>
          <w:szCs w:val="21"/>
        </w:rPr>
        <w:t>投资人在开放日办理基金份额的申购和赎回，具体办理时间为上海证券交易所、深圳证券交易所及相关期货交易所的正常交易日的交易时间，但基金管理人根据法律法规、中国证监会的要求或基金合同的规定公告暂停申购、赎回时除外。</w:t>
      </w:r>
    </w:p>
    <w:p>
      <w:pPr>
        <w:autoSpaceDE w:val="0"/>
        <w:autoSpaceDN w:val="0"/>
        <w:adjustRightInd w:val="0"/>
        <w:spacing w:line="360" w:lineRule="auto"/>
        <w:ind w:firstLine="420" w:firstLineChars="200"/>
        <w:rPr>
          <w:rFonts w:cs="宋体" w:asciiTheme="minorEastAsia" w:hAnsiTheme="minorEastAsia"/>
          <w:kern w:val="0"/>
          <w:szCs w:val="21"/>
        </w:rPr>
      </w:pPr>
      <w:r>
        <w:rPr>
          <w:rFonts w:hint="eastAsia" w:cs="宋体" w:asciiTheme="minorEastAsia" w:hAnsiTheme="minorEastAsia"/>
          <w:kern w:val="0"/>
          <w:szCs w:val="21"/>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2、申购、赎回开始日及业务办理时间</w:t>
      </w:r>
    </w:p>
    <w:p>
      <w:pPr>
        <w:autoSpaceDE w:val="0"/>
        <w:autoSpaceDN w:val="0"/>
        <w:adjustRightInd w:val="0"/>
        <w:spacing w:line="360" w:lineRule="auto"/>
        <w:ind w:firstLine="420" w:firstLineChars="200"/>
        <w:rPr>
          <w:rFonts w:cs="宋体" w:asciiTheme="minorEastAsia" w:hAnsiTheme="minorEastAsia"/>
          <w:kern w:val="0"/>
          <w:szCs w:val="21"/>
        </w:rPr>
      </w:pPr>
      <w:r>
        <w:rPr>
          <w:rFonts w:hint="eastAsia" w:cs="宋体" w:asciiTheme="minorEastAsia" w:hAnsiTheme="minorEastAsia"/>
          <w:kern w:val="0"/>
          <w:szCs w:val="21"/>
        </w:rPr>
        <w:t>基金管理人可根据实际情况依法决定本基金开始办理申购的具体日期，具体业务办理时间在申购开始公告中规定。</w:t>
      </w:r>
    </w:p>
    <w:p>
      <w:pPr>
        <w:autoSpaceDE w:val="0"/>
        <w:autoSpaceDN w:val="0"/>
        <w:adjustRightInd w:val="0"/>
        <w:spacing w:line="360" w:lineRule="auto"/>
        <w:ind w:firstLine="420" w:firstLineChars="200"/>
        <w:rPr>
          <w:rFonts w:cs="宋体" w:asciiTheme="minorEastAsia" w:hAnsiTheme="minorEastAsia"/>
          <w:kern w:val="0"/>
          <w:szCs w:val="21"/>
        </w:rPr>
      </w:pPr>
      <w:r>
        <w:rPr>
          <w:rFonts w:hint="eastAsia" w:cs="宋体" w:asciiTheme="minorEastAsia" w:hAnsiTheme="minorEastAsia"/>
          <w:kern w:val="0"/>
          <w:szCs w:val="21"/>
        </w:rPr>
        <w:t>基金管理人自基金合同生效之日起不超过3个月开始办理赎回，具体业务办理时间在赎回开始公告中规定。</w:t>
      </w:r>
    </w:p>
    <w:p>
      <w:pPr>
        <w:autoSpaceDE w:val="0"/>
        <w:autoSpaceDN w:val="0"/>
        <w:adjustRightInd w:val="0"/>
        <w:spacing w:line="360" w:lineRule="auto"/>
        <w:ind w:firstLine="420" w:firstLineChars="200"/>
        <w:rPr>
          <w:rFonts w:cs="宋体" w:asciiTheme="minorEastAsia" w:hAnsiTheme="minorEastAsia"/>
          <w:kern w:val="0"/>
          <w:szCs w:val="21"/>
        </w:rPr>
      </w:pPr>
      <w:r>
        <w:rPr>
          <w:rFonts w:hint="eastAsia" w:cs="宋体" w:asciiTheme="minorEastAsia" w:hAnsiTheme="minorEastAsia"/>
          <w:kern w:val="0"/>
          <w:szCs w:val="21"/>
        </w:rPr>
        <w:t>在确定申购开始与赎回开始时间后，基金管理人应在申购、赎回开放日前依照《信息披露办法》的有关规定在规定媒介上公告申购与赎回的开始时间。</w:t>
      </w:r>
    </w:p>
    <w:p>
      <w:pPr>
        <w:autoSpaceDE w:val="0"/>
        <w:autoSpaceDN w:val="0"/>
        <w:adjustRightInd w:val="0"/>
        <w:spacing w:line="360" w:lineRule="auto"/>
        <w:ind w:firstLine="420" w:firstLineChars="200"/>
        <w:rPr>
          <w:rFonts w:cs="宋体" w:asciiTheme="minorEastAsia" w:hAnsiTheme="minorEastAsia"/>
          <w:kern w:val="0"/>
          <w:szCs w:val="21"/>
        </w:rPr>
      </w:pPr>
      <w:r>
        <w:rPr>
          <w:rFonts w:hint="eastAsia" w:cs="宋体" w:asciiTheme="minorEastAsia" w:hAnsiTheme="minorEastAsia"/>
          <w:kern w:val="0"/>
          <w:szCs w:val="21"/>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w:t>
      </w:r>
    </w:p>
    <w:p>
      <w:pPr>
        <w:pStyle w:val="163"/>
        <w:ind w:firstLine="422"/>
        <w:rPr>
          <w:b/>
        </w:rPr>
      </w:pPr>
      <w:r>
        <w:rPr>
          <w:b/>
        </w:rPr>
        <w:t>三、申购与赎回的原则</w:t>
      </w:r>
    </w:p>
    <w:p>
      <w:pPr>
        <w:pStyle w:val="163"/>
        <w:rPr>
          <w:rFonts w:asciiTheme="minorEastAsia" w:hAnsiTheme="minorEastAsia" w:eastAsiaTheme="minorEastAsia"/>
          <w:szCs w:val="24"/>
        </w:rPr>
      </w:pPr>
      <w:r>
        <w:rPr>
          <w:rFonts w:hint="eastAsia" w:asciiTheme="minorEastAsia" w:hAnsiTheme="minorEastAsia" w:eastAsiaTheme="minorEastAsia"/>
          <w:szCs w:val="24"/>
        </w:rPr>
        <w:t>1、“未知价”原则，即申购、赎回价格以申请当日收市后计算的该类别基金份额净值为基准进行计算；</w:t>
      </w:r>
    </w:p>
    <w:p>
      <w:pPr>
        <w:pStyle w:val="163"/>
        <w:rPr>
          <w:rFonts w:asciiTheme="minorEastAsia" w:hAnsiTheme="minorEastAsia" w:eastAsiaTheme="minorEastAsia"/>
          <w:szCs w:val="24"/>
        </w:rPr>
      </w:pPr>
      <w:r>
        <w:rPr>
          <w:rFonts w:hint="eastAsia" w:asciiTheme="minorEastAsia" w:hAnsiTheme="minorEastAsia" w:eastAsiaTheme="minorEastAsia"/>
          <w:szCs w:val="24"/>
        </w:rPr>
        <w:t>2、“金额申购、份额赎回”原则，即申购以金额申请，赎回以份额申请；</w:t>
      </w:r>
    </w:p>
    <w:p>
      <w:pPr>
        <w:pStyle w:val="163"/>
        <w:rPr>
          <w:rFonts w:asciiTheme="minorEastAsia" w:hAnsiTheme="minorEastAsia" w:eastAsiaTheme="minorEastAsia"/>
          <w:szCs w:val="24"/>
        </w:rPr>
      </w:pPr>
      <w:r>
        <w:rPr>
          <w:rFonts w:hint="eastAsia" w:asciiTheme="minorEastAsia" w:hAnsiTheme="minorEastAsia" w:eastAsiaTheme="minorEastAsia"/>
          <w:szCs w:val="24"/>
        </w:rPr>
        <w:t>3、当日的申购与赎回申请可以在基金管理人规定的时间以内撤销；</w:t>
      </w:r>
    </w:p>
    <w:p>
      <w:pPr>
        <w:pStyle w:val="163"/>
        <w:rPr>
          <w:rFonts w:asciiTheme="minorEastAsia" w:hAnsiTheme="minorEastAsia" w:eastAsiaTheme="minorEastAsia"/>
          <w:szCs w:val="24"/>
        </w:rPr>
      </w:pPr>
      <w:r>
        <w:rPr>
          <w:rFonts w:hint="eastAsia" w:asciiTheme="minorEastAsia" w:hAnsiTheme="minorEastAsia" w:eastAsiaTheme="minorEastAsia"/>
          <w:szCs w:val="24"/>
        </w:rPr>
        <w:t>4、赎回遵循“先进先出”原则，即按照投资人认购、申购的先后次序进行顺序赎回；</w:t>
      </w:r>
    </w:p>
    <w:p>
      <w:pPr>
        <w:pStyle w:val="163"/>
        <w:rPr>
          <w:rFonts w:asciiTheme="minorEastAsia" w:hAnsiTheme="minorEastAsia" w:eastAsiaTheme="minorEastAsia"/>
          <w:szCs w:val="24"/>
        </w:rPr>
      </w:pPr>
      <w:r>
        <w:rPr>
          <w:rFonts w:hint="eastAsia" w:asciiTheme="minorEastAsia" w:hAnsiTheme="minorEastAsia" w:eastAsiaTheme="minorEastAsia"/>
          <w:szCs w:val="24"/>
        </w:rPr>
        <w:t>5、办理申购、赎回业务时，应当遵循基金份额持有人利益优先原则，确保投资者的合法权益不受损害并得到公平对待。</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基金管理人可在不违反法律法规的情况下，对上述原则进行调整。基金管理人必须在新规则开始实施前依照《信息披露办法》的有关规定在规定媒介上公告。</w:t>
      </w:r>
    </w:p>
    <w:p>
      <w:pPr>
        <w:pStyle w:val="163"/>
        <w:ind w:firstLine="422"/>
        <w:rPr>
          <w:b/>
        </w:rPr>
      </w:pPr>
      <w:r>
        <w:rPr>
          <w:b/>
        </w:rPr>
        <w:t>四、申购与赎回的程序</w:t>
      </w:r>
    </w:p>
    <w:p>
      <w:pPr>
        <w:pStyle w:val="163"/>
        <w:rPr>
          <w:rFonts w:ascii="宋体" w:hAnsi="宋体"/>
          <w:bCs/>
        </w:rPr>
      </w:pPr>
      <w:r>
        <w:rPr>
          <w:rFonts w:hint="eastAsia" w:ascii="宋体" w:hAnsi="宋体"/>
          <w:bCs/>
        </w:rPr>
        <w:t>1、申购和赎回的申请方式</w:t>
      </w:r>
    </w:p>
    <w:p>
      <w:pPr>
        <w:pStyle w:val="163"/>
        <w:rPr>
          <w:rFonts w:ascii="宋体" w:hAnsi="宋体"/>
          <w:bCs/>
        </w:rPr>
      </w:pPr>
      <w:r>
        <w:rPr>
          <w:rFonts w:hint="eastAsia" w:ascii="宋体" w:hAnsi="宋体"/>
          <w:bCs/>
        </w:rPr>
        <w:t>投资人必须根据销售机构规定的程序，在开放日的具体业务办理时间内提出申购或赎回的申请。</w:t>
      </w:r>
    </w:p>
    <w:p>
      <w:pPr>
        <w:pStyle w:val="163"/>
        <w:rPr>
          <w:rFonts w:ascii="宋体" w:hAnsi="宋体"/>
          <w:bCs/>
        </w:rPr>
      </w:pPr>
      <w:r>
        <w:rPr>
          <w:rFonts w:hint="eastAsia" w:ascii="宋体" w:hAnsi="宋体"/>
          <w:bCs/>
        </w:rPr>
        <w:t>投资人在提交申购申请时须按销售机构规定的方式备足申购资金，投资人在提交赎回申请时须持有足够的基金份额余额，否则所提交的申购、赎回申请不成立。若资金在规定时间内未全额到账则申购不成立，申购款项本金将退回投资人账户，基金管理人、基金托管人和销售机构等不承担由此产生的利息等任何损失。</w:t>
      </w:r>
    </w:p>
    <w:p>
      <w:pPr>
        <w:pStyle w:val="163"/>
        <w:rPr>
          <w:rFonts w:ascii="宋体" w:hAnsi="宋体"/>
          <w:bCs/>
        </w:rPr>
      </w:pPr>
      <w:r>
        <w:rPr>
          <w:rFonts w:hint="eastAsia" w:ascii="宋体" w:hAnsi="宋体"/>
          <w:bCs/>
        </w:rPr>
        <w:t>2、申购和赎回的款项支付</w:t>
      </w:r>
    </w:p>
    <w:p>
      <w:pPr>
        <w:pStyle w:val="163"/>
        <w:rPr>
          <w:rFonts w:ascii="宋体" w:hAnsi="宋体"/>
          <w:bCs/>
        </w:rPr>
      </w:pPr>
      <w:r>
        <w:rPr>
          <w:rFonts w:hint="eastAsia" w:ascii="宋体" w:hAnsi="宋体"/>
          <w:bCs/>
        </w:rPr>
        <w:t>投资人申购基金份额时，必须全额交付申购款项，投资人全额交付申购款项，申购成立；基金份额登记机构确认基金份额时，申购生效。</w:t>
      </w:r>
    </w:p>
    <w:p>
      <w:pPr>
        <w:pStyle w:val="163"/>
        <w:rPr>
          <w:rFonts w:ascii="宋体" w:hAnsi="宋体"/>
          <w:bCs/>
        </w:rPr>
      </w:pPr>
      <w:r>
        <w:rPr>
          <w:rFonts w:hint="eastAsia" w:ascii="宋体" w:hAnsi="宋体"/>
          <w:bCs/>
        </w:rPr>
        <w:t>基金份额持有人递交赎回申请，赎回成立；基金份额登记机构确认赎回时，赎回生效。</w:t>
      </w:r>
    </w:p>
    <w:p>
      <w:pPr>
        <w:pStyle w:val="163"/>
        <w:rPr>
          <w:rFonts w:ascii="宋体" w:hAnsi="宋体"/>
          <w:bCs/>
        </w:rPr>
      </w:pPr>
      <w:r>
        <w:rPr>
          <w:rFonts w:hint="eastAsia" w:ascii="宋体" w:hAnsi="宋体"/>
          <w:bCs/>
        </w:rPr>
        <w:t>投资者的赎回申请生效后，基金管理人将在T＋7日（包括该日）内支付赎回款项。在发生巨额赎回或基金合同载明的延缓支付赎回款项的情形时，款项的支付办法参照基金合同有关条款处理。</w:t>
      </w:r>
    </w:p>
    <w:p>
      <w:pPr>
        <w:pStyle w:val="163"/>
        <w:rPr>
          <w:rFonts w:ascii="宋体" w:hAnsi="宋体"/>
          <w:bCs/>
        </w:rPr>
      </w:pPr>
      <w:r>
        <w:rPr>
          <w:rFonts w:hint="eastAsia" w:ascii="宋体" w:hAnsi="宋体"/>
          <w:bCs/>
        </w:rPr>
        <w:t>遇交易所或交易市场数据传输延迟、通讯系统故障、银行数据交换系统故障或其他非基金管理人及基金托管人所能控制的因素影响业务处理流程，则赎回款项划付时间相应顺延。</w:t>
      </w:r>
    </w:p>
    <w:p>
      <w:pPr>
        <w:pStyle w:val="163"/>
        <w:rPr>
          <w:rFonts w:ascii="宋体" w:hAnsi="宋体"/>
          <w:bCs/>
        </w:rPr>
      </w:pPr>
      <w:r>
        <w:rPr>
          <w:rFonts w:hint="eastAsia" w:ascii="宋体" w:hAnsi="宋体"/>
          <w:bCs/>
        </w:rPr>
        <w:t>3、申购和赎回申请的确认</w:t>
      </w:r>
    </w:p>
    <w:p>
      <w:pPr>
        <w:pStyle w:val="163"/>
        <w:rPr>
          <w:rFonts w:ascii="宋体" w:hAnsi="宋体"/>
          <w:bCs/>
        </w:rPr>
      </w:pPr>
      <w:r>
        <w:rPr>
          <w:rFonts w:hint="eastAsia" w:ascii="宋体" w:hAnsi="宋体"/>
          <w:bCs/>
        </w:rPr>
        <w:t>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退还给投资人。</w:t>
      </w:r>
    </w:p>
    <w:p>
      <w:pPr>
        <w:pStyle w:val="163"/>
        <w:rPr>
          <w:rFonts w:ascii="宋体" w:hAnsi="宋体"/>
          <w:bCs/>
        </w:rPr>
      </w:pPr>
      <w:r>
        <w:rPr>
          <w:rFonts w:hint="eastAsia" w:ascii="宋体" w:hAnsi="宋体"/>
          <w:bCs/>
        </w:rPr>
        <w:t>基金销售机构受理申请并不代表该申请一定成功，而仅代表销售机构确实接收到该申请。申购和赎回申请的确认以基金登记机构的确认结果为准。对于申购、赎回申请的确认情况，投资者应及时查询。</w:t>
      </w:r>
    </w:p>
    <w:p>
      <w:pPr>
        <w:pStyle w:val="163"/>
      </w:pPr>
      <w:r>
        <w:rPr>
          <w:rFonts w:hint="eastAsia" w:ascii="宋体" w:hAnsi="宋体"/>
          <w:bCs/>
        </w:rPr>
        <w:t>基金管理人可以在不违反法律法规和基金合同的范围内，对上述业务办理时间进行调整，并在调整实施前依照《信息披露办法》的有关规定在规定媒介上公告。</w:t>
      </w:r>
    </w:p>
    <w:p>
      <w:pPr>
        <w:pStyle w:val="163"/>
        <w:ind w:firstLine="422"/>
        <w:rPr>
          <w:b/>
        </w:rPr>
      </w:pPr>
      <w:r>
        <w:rPr>
          <w:b/>
        </w:rPr>
        <w:t>五、申购和赎回的数量限制</w:t>
      </w:r>
    </w:p>
    <w:p>
      <w:pPr>
        <w:tabs>
          <w:tab w:val="left" w:pos="1134"/>
        </w:tabs>
        <w:adjustRightInd w:val="0"/>
        <w:snapToGrid w:val="0"/>
        <w:spacing w:line="360" w:lineRule="auto"/>
        <w:ind w:firstLine="420" w:firstLineChars="200"/>
        <w:rPr>
          <w:rFonts w:asciiTheme="minorEastAsia" w:hAnsiTheme="minorEastAsia" w:eastAsiaTheme="minorEastAsia"/>
          <w:highlight w:val="cyan"/>
        </w:rPr>
      </w:pPr>
      <w:r>
        <w:rPr>
          <w:rFonts w:hint="eastAsia" w:asciiTheme="minorEastAsia" w:hAnsiTheme="minorEastAsia" w:eastAsiaTheme="minorEastAsia"/>
        </w:rPr>
        <w:t>1、通过其他销售机构首次申购各类基金份额的单笔最低金额为</w:t>
      </w:r>
      <w:r>
        <w:rPr>
          <w:rFonts w:hint="eastAsia" w:cs="Arial" w:asciiTheme="minorEastAsia" w:hAnsiTheme="minorEastAsia" w:eastAsiaTheme="minorEastAsia"/>
          <w:bCs/>
          <w:szCs w:val="21"/>
        </w:rPr>
        <w:t>1元（含申购费），追加申购的单笔最低金额为1元（含申购费）</w:t>
      </w:r>
      <w:r>
        <w:rPr>
          <w:rFonts w:hint="eastAsia"/>
          <w:color w:val="000000"/>
          <w:szCs w:val="21"/>
        </w:rPr>
        <w:t>，详情请见当地销售机构公告。</w:t>
      </w:r>
      <w:r>
        <w:rPr>
          <w:rFonts w:hint="eastAsia" w:cs="Arial" w:asciiTheme="minorEastAsia" w:hAnsiTheme="minorEastAsia" w:eastAsiaTheme="minorEastAsia"/>
          <w:bCs/>
          <w:szCs w:val="21"/>
        </w:rPr>
        <w:t>通过基金管理人首次申购各类基金份额的单笔最低金额为1元，追加申购的单笔最低金额为1元；</w:t>
      </w:r>
      <w:r>
        <w:rPr>
          <w:rFonts w:hint="eastAsia" w:asciiTheme="minorEastAsia" w:hAnsiTheme="minorEastAsia" w:eastAsiaTheme="minorEastAsia"/>
        </w:rPr>
        <w:t>各销售机构在</w:t>
      </w:r>
      <w:r>
        <w:rPr>
          <w:rFonts w:asciiTheme="minorEastAsia" w:hAnsiTheme="minorEastAsia" w:eastAsiaTheme="minorEastAsia"/>
        </w:rPr>
        <w:t>符合</w:t>
      </w:r>
      <w:r>
        <w:rPr>
          <w:rFonts w:hint="eastAsia" w:asciiTheme="minorEastAsia" w:hAnsiTheme="minorEastAsia" w:eastAsiaTheme="minorEastAsia"/>
        </w:rPr>
        <w:t>上述规定的前提下，可根据情况调高首次申购和单笔追加申购的最低金额，具体以销售机构公布的为准，投资人需遵循销售机构的相关规定。</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2、每个交易账户最低持有A类基金份额或C类基金份额余额为1.00份，若某笔赎回导致单个交易账户的A类基金份额或C类基金份额余额少于1.00份时，该类别基金份额余额部分必须一同赎回。</w:t>
      </w:r>
    </w:p>
    <w:p>
      <w:pPr>
        <w:adjustRightInd w:val="0"/>
        <w:snapToGrid w:val="0"/>
        <w:spacing w:line="360" w:lineRule="auto"/>
        <w:ind w:firstLine="420" w:firstLineChars="200"/>
        <w:rPr>
          <w:rFonts w:asciiTheme="minorEastAsia" w:hAnsiTheme="minorEastAsia" w:eastAsiaTheme="minorEastAsia"/>
          <w:highlight w:val="cyan"/>
        </w:rPr>
      </w:pPr>
      <w:r>
        <w:rPr>
          <w:rFonts w:hint="eastAsia" w:asciiTheme="minorEastAsia" w:hAnsiTheme="minorEastAsia" w:eastAsiaTheme="minorEastAsia"/>
        </w:rPr>
        <w:t>3、投资者通过销售机构赎回基金份额时，本基金单笔赎回申请不得低于1.00份，若投资者单个交易账户持有的基金份额余额不足1.00份，将不受此限制，但投资者在提交赎回申请时须全部赎回。各销售机构在符合上述规定的前提下，可根据自己的情况调高单笔赎回申请限制，具体以销售机构公布的为准，投资者需遵循销售机构的相关规定。</w:t>
      </w:r>
    </w:p>
    <w:p>
      <w:pPr>
        <w:pStyle w:val="163"/>
      </w:pPr>
      <w:r>
        <w:rPr>
          <w:rFonts w:hint="eastAsia"/>
        </w:rPr>
        <w:t>4、本基金不对单个投资人累计持有的基金份额上限进行限制，但需要符合法律法规、监管机构的规定及基金合同的约定。基金管理人可以规定单个投资者累计持有的基金份额数量限制，具体规定见更新的招募说明书或相关公告。</w:t>
      </w:r>
    </w:p>
    <w:p>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w:t>
      </w:r>
    </w:p>
    <w:p>
      <w:pPr>
        <w:adjustRightInd w:val="0"/>
        <w:snapToGrid w:val="0"/>
        <w:spacing w:line="360" w:lineRule="auto"/>
        <w:ind w:firstLine="420" w:firstLineChars="200"/>
      </w:pPr>
      <w:r>
        <w:rPr>
          <w:rFonts w:asciiTheme="minorEastAsia" w:hAnsiTheme="minorEastAsia" w:eastAsiaTheme="minorEastAsia"/>
        </w:rPr>
        <w:t>6</w:t>
      </w:r>
      <w:r>
        <w:rPr>
          <w:rFonts w:hint="eastAsia" w:asciiTheme="minorEastAsia" w:hAnsiTheme="minorEastAsia" w:eastAsiaTheme="minorEastAsia"/>
        </w:rPr>
        <w:t>、基金管理人可在不违反法律法规的情况下，调整上述规定申购金额和赎回份额等数量限制。基金管理人必须在调整实施前依照《信息披露办法》的有关规定在规定媒介上公告。</w:t>
      </w:r>
    </w:p>
    <w:p>
      <w:pPr>
        <w:pStyle w:val="163"/>
        <w:ind w:firstLine="422"/>
        <w:rPr>
          <w:rFonts w:asciiTheme="minorEastAsia" w:hAnsiTheme="minorEastAsia" w:eastAsiaTheme="minorEastAsia"/>
          <w:b/>
        </w:rPr>
      </w:pPr>
      <w:r>
        <w:rPr>
          <w:rFonts w:asciiTheme="minorEastAsia" w:hAnsiTheme="minorEastAsia" w:eastAsiaTheme="minorEastAsia"/>
          <w:b/>
        </w:rPr>
        <w:t>六、</w:t>
      </w:r>
      <w:r>
        <w:rPr>
          <w:rFonts w:hint="eastAsia" w:asciiTheme="minorEastAsia" w:hAnsiTheme="minorEastAsia" w:eastAsiaTheme="minorEastAsia"/>
          <w:b/>
        </w:rPr>
        <w:t>申购费用和赎回费用</w:t>
      </w:r>
    </w:p>
    <w:p>
      <w:pPr>
        <w:pStyle w:val="163"/>
        <w:ind w:firstLine="452"/>
        <w:rPr>
          <w:rFonts w:asciiTheme="minorEastAsia" w:hAnsiTheme="minorEastAsia" w:eastAsiaTheme="minorEastAsia"/>
        </w:rPr>
      </w:pPr>
      <w:r>
        <w:rPr>
          <w:rFonts w:hint="eastAsia" w:asciiTheme="minorEastAsia" w:hAnsiTheme="minorEastAsia" w:eastAsiaTheme="minorEastAsia"/>
          <w:spacing w:val="8"/>
        </w:rPr>
        <w:t>1、</w:t>
      </w:r>
      <w:r>
        <w:rPr>
          <w:rFonts w:hint="eastAsia" w:asciiTheme="minorEastAsia" w:hAnsiTheme="minorEastAsia" w:eastAsiaTheme="minorEastAsia"/>
        </w:rPr>
        <w:t>本基金A类基金份额、C类基金份额申购均采用金额申购方式，通过基金管理人直销渠道申购A类基金份额不收取申购费（基金管理人的销售子公司销售本基金的，参照直销机构相关规则执行），通过其他销售机构申购A类基金份额的申购费率如下表。投资者在一天之内如果有多笔申购，费率按单笔分别计算。C类基金份额不收取申购费用。</w:t>
      </w:r>
    </w:p>
    <w:tbl>
      <w:tblPr>
        <w:tblStyle w:val="43"/>
        <w:tblW w:w="6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1"/>
        <w:gridCol w:w="2085"/>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jc w:val="center"/>
              <w:rPr>
                <w:rFonts w:ascii="宋体" w:hAnsi="宋体" w:cs="Arial"/>
                <w:color w:val="000000"/>
                <w:szCs w:val="21"/>
              </w:rPr>
            </w:pPr>
            <w:r>
              <w:rPr>
                <w:rFonts w:ascii="宋体" w:hAnsi="宋体" w:cs="Arial"/>
                <w:color w:val="000000"/>
                <w:szCs w:val="21"/>
              </w:rPr>
              <w:t>申购金额（M）</w:t>
            </w:r>
          </w:p>
        </w:tc>
        <w:tc>
          <w:tcPr>
            <w:tcW w:w="2085" w:type="dxa"/>
            <w:vAlign w:val="center"/>
          </w:tcPr>
          <w:p>
            <w:pPr>
              <w:jc w:val="center"/>
              <w:rPr>
                <w:rFonts w:ascii="宋体" w:hAnsi="宋体" w:cs="Arial"/>
                <w:color w:val="000000"/>
                <w:szCs w:val="21"/>
              </w:rPr>
            </w:pPr>
            <w:r>
              <w:rPr>
                <w:rFonts w:hint="eastAsia" w:ascii="宋体" w:hAnsi="宋体" w:cs="Arial"/>
                <w:color w:val="000000"/>
                <w:szCs w:val="21"/>
              </w:rPr>
              <w:t>A类份额申购</w:t>
            </w:r>
            <w:r>
              <w:rPr>
                <w:rFonts w:ascii="宋体" w:hAnsi="宋体" w:cs="Arial"/>
                <w:color w:val="000000"/>
                <w:szCs w:val="21"/>
              </w:rPr>
              <w:t>费率</w:t>
            </w:r>
          </w:p>
        </w:tc>
        <w:tc>
          <w:tcPr>
            <w:tcW w:w="2126" w:type="dxa"/>
          </w:tcPr>
          <w:p>
            <w:pPr>
              <w:jc w:val="center"/>
              <w:rPr>
                <w:rFonts w:ascii="宋体" w:hAnsi="宋体" w:cs="Arial"/>
                <w:color w:val="000000"/>
                <w:szCs w:val="21"/>
              </w:rPr>
            </w:pPr>
            <w:r>
              <w:rPr>
                <w:rFonts w:hint="eastAsia" w:ascii="宋体" w:hAnsi="宋体" w:cs="Arial"/>
                <w:color w:val="000000"/>
                <w:szCs w:val="21"/>
              </w:rPr>
              <w:t>C类份额申购费率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M＜500万元 </w:t>
            </w:r>
          </w:p>
        </w:tc>
        <w:tc>
          <w:tcPr>
            <w:tcW w:w="2085"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0.30% </w:t>
            </w:r>
          </w:p>
        </w:tc>
        <w:tc>
          <w:tcPr>
            <w:tcW w:w="2126" w:type="dxa"/>
            <w:vAlign w:val="center"/>
          </w:tcPr>
          <w:p>
            <w:pPr>
              <w:jc w:val="center"/>
              <w:rPr>
                <w:rFonts w:ascii="宋体" w:hAnsi="宋体" w:cs="Arial"/>
                <w:color w:val="000000"/>
                <w:szCs w:val="21"/>
              </w:rPr>
            </w:pPr>
            <w:r>
              <w:rPr>
                <w:rFonts w:hint="eastAsia" w:ascii="宋体" w:hAnsi="宋体" w:cs="Arial"/>
                <w:color w:val="000000"/>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51"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M≥500万元 </w:t>
            </w:r>
          </w:p>
        </w:tc>
        <w:tc>
          <w:tcPr>
            <w:tcW w:w="2085"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1,000元/笔 </w:t>
            </w:r>
          </w:p>
        </w:tc>
        <w:tc>
          <w:tcPr>
            <w:tcW w:w="2126" w:type="dxa"/>
          </w:tcPr>
          <w:p>
            <w:pPr>
              <w:jc w:val="center"/>
              <w:rPr>
                <w:rFonts w:ascii="宋体" w:hAnsi="宋体" w:cs="Arial"/>
                <w:color w:val="000000"/>
                <w:szCs w:val="21"/>
              </w:rPr>
            </w:pPr>
            <w:r>
              <w:rPr>
                <w:rFonts w:hint="eastAsia" w:ascii="宋体" w:hAnsi="宋体" w:cs="Arial"/>
                <w:color w:val="000000"/>
                <w:szCs w:val="21"/>
              </w:rPr>
              <w:t>0</w:t>
            </w:r>
          </w:p>
        </w:tc>
      </w:tr>
    </w:tbl>
    <w:p>
      <w:pPr>
        <w:pStyle w:val="163"/>
        <w:numPr>
          <w:ilvl w:val="0"/>
          <w:numId w:val="25"/>
        </w:numPr>
        <w:spacing w:before="156" w:beforeLines="50"/>
      </w:pPr>
      <w:r>
        <w:rPr>
          <w:rFonts w:hint="eastAsia"/>
        </w:rPr>
        <w:t>赎回费用</w:t>
      </w:r>
    </w:p>
    <w:p>
      <w:pPr>
        <w:pStyle w:val="163"/>
        <w:numPr>
          <w:ilvl w:val="255"/>
          <w:numId w:val="0"/>
        </w:numPr>
        <w:spacing w:before="156" w:beforeLines="50"/>
        <w:ind w:firstLine="420"/>
      </w:pPr>
      <w:r>
        <w:rPr>
          <w:rFonts w:hint="eastAsia"/>
        </w:rPr>
        <w:t>本基金各类基金份额均收取赎回费，赎回费率随申请份额持有时间增加而递减。</w:t>
      </w:r>
    </w:p>
    <w:p>
      <w:pPr>
        <w:pStyle w:val="39"/>
        <w:spacing w:before="0" w:beforeAutospacing="0" w:after="0" w:afterAutospacing="0" w:line="360" w:lineRule="auto"/>
        <w:ind w:firstLine="420"/>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对于个人投资者，适用的赎回费率如下表所示：</w:t>
      </w:r>
    </w:p>
    <w:tbl>
      <w:tblPr>
        <w:tblStyle w:val="43"/>
        <w:tblW w:w="5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1"/>
        <w:gridCol w:w="3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841" w:type="dxa"/>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持有期限 </w:t>
            </w:r>
          </w:p>
        </w:tc>
        <w:tc>
          <w:tcPr>
            <w:tcW w:w="3138" w:type="dxa"/>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841" w:type="dxa"/>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N＜7日 </w:t>
            </w:r>
          </w:p>
        </w:tc>
        <w:tc>
          <w:tcPr>
            <w:tcW w:w="3138" w:type="dxa"/>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841" w:type="dxa"/>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7日≤N </w:t>
            </w:r>
          </w:p>
        </w:tc>
        <w:tc>
          <w:tcPr>
            <w:tcW w:w="3138" w:type="dxa"/>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0.00% </w:t>
            </w:r>
          </w:p>
        </w:tc>
      </w:tr>
    </w:tbl>
    <w:p>
      <w:pPr>
        <w:pStyle w:val="163"/>
        <w:numPr>
          <w:ilvl w:val="255"/>
          <w:numId w:val="0"/>
        </w:numPr>
        <w:spacing w:before="156" w:beforeLines="50"/>
        <w:ind w:firstLine="420"/>
      </w:pPr>
    </w:p>
    <w:p>
      <w:pPr>
        <w:pStyle w:val="39"/>
        <w:spacing w:before="0" w:beforeAutospacing="0" w:after="0" w:afterAutospacing="0" w:line="360" w:lineRule="auto"/>
        <w:ind w:firstLine="420"/>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对于其他投资者，适用的赎回费率如下表所示：</w:t>
      </w:r>
    </w:p>
    <w:tbl>
      <w:tblPr>
        <w:tblStyle w:val="43"/>
        <w:tblW w:w="5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3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802"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持有期限 </w:t>
            </w:r>
          </w:p>
        </w:tc>
        <w:tc>
          <w:tcPr>
            <w:tcW w:w="3150"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802"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N＜7日 </w:t>
            </w:r>
          </w:p>
        </w:tc>
        <w:tc>
          <w:tcPr>
            <w:tcW w:w="3150"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802"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7日≤N＜30日 </w:t>
            </w:r>
          </w:p>
        </w:tc>
        <w:tc>
          <w:tcPr>
            <w:tcW w:w="3150" w:type="dxa"/>
            <w:vAlign w:val="center"/>
          </w:tcPr>
          <w:p>
            <w:pPr>
              <w:pStyle w:val="39"/>
              <w:jc w:val="center"/>
              <w:rPr>
                <w:rFonts w:cs="Arial"/>
                <w:color w:val="000000"/>
                <w:szCs w:val="21"/>
              </w:rPr>
            </w:pPr>
            <w:r>
              <w:rPr>
                <w:rFonts w:hint="eastAsia" w:asciiTheme="majorEastAsia" w:hAnsiTheme="majorEastAsia" w:eastAsiaTheme="majorEastAsia" w:cstheme="majorEastAsia"/>
                <w:sz w:val="21"/>
                <w:szCs w:val="21"/>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802" w:type="dxa"/>
            <w:vAlign w:val="center"/>
          </w:tcPr>
          <w:p>
            <w:pPr>
              <w:pStyle w:val="39"/>
              <w:jc w:val="center"/>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30日≤N&lt;180日</w:t>
            </w:r>
          </w:p>
        </w:tc>
        <w:tc>
          <w:tcPr>
            <w:tcW w:w="3150" w:type="dxa"/>
            <w:vAlign w:val="center"/>
          </w:tcPr>
          <w:p>
            <w:pPr>
              <w:pStyle w:val="39"/>
              <w:jc w:val="center"/>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802" w:type="dxa"/>
            <w:vAlign w:val="center"/>
          </w:tcPr>
          <w:p>
            <w:pPr>
              <w:pStyle w:val="39"/>
              <w:jc w:val="center"/>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180日≤N </w:t>
            </w:r>
          </w:p>
        </w:tc>
        <w:tc>
          <w:tcPr>
            <w:tcW w:w="3150" w:type="dxa"/>
            <w:vAlign w:val="center"/>
          </w:tcPr>
          <w:p>
            <w:pPr>
              <w:pStyle w:val="39"/>
              <w:jc w:val="center"/>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0.00% </w:t>
            </w:r>
          </w:p>
        </w:tc>
      </w:tr>
    </w:tbl>
    <w:p>
      <w:pPr>
        <w:adjustRightInd w:val="0"/>
        <w:snapToGrid w:val="0"/>
        <w:spacing w:before="156" w:beforeLines="50" w:line="360" w:lineRule="auto"/>
        <w:ind w:firstLine="420"/>
        <w:rPr>
          <w:szCs w:val="21"/>
        </w:rPr>
      </w:pPr>
      <w:r>
        <w:rPr>
          <w:rFonts w:hint="eastAsia"/>
          <w:szCs w:val="21"/>
        </w:rPr>
        <w:t>对于每份认购份额，持有期自基金合同生效日至该基金份额赎回确认日（不含该日）；对于每份申购份额，持有期自该基金份额申购确认日至赎回确认日（不含该日）。</w:t>
      </w:r>
    </w:p>
    <w:p>
      <w:pPr>
        <w:pStyle w:val="39"/>
        <w:spacing w:before="0" w:beforeAutospacing="0" w:after="0" w:afterAutospacing="0" w:line="360" w:lineRule="auto"/>
        <w:ind w:firstLine="420"/>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赎回费用由赎回基金份额的基金份额持有人承担，在基金份额持有人赎回基金份额时收取。赎回费全额计入基金财产。</w:t>
      </w:r>
    </w:p>
    <w:p>
      <w:pPr>
        <w:pStyle w:val="163"/>
      </w:pPr>
      <w:r>
        <w:rPr>
          <w:rFonts w:hint="eastAsia"/>
        </w:rPr>
        <w:t>3、基金管理人可以针对特定投资人（如养老金客户等）开展费率优惠活动，具体见基金管理人相关公告。</w:t>
      </w:r>
    </w:p>
    <w:p>
      <w:pPr>
        <w:pStyle w:val="163"/>
      </w:pPr>
      <w:r>
        <w:t>4</w:t>
      </w:r>
      <w:r>
        <w:rPr>
          <w:rFonts w:hint="eastAsia"/>
        </w:rPr>
        <w:t>、基金管理人可以在《基金合同》约定的范围内调整费率或收费方式，并最迟应于新的费率或收费方式实施日前依照《信息披露办法》的有关规定在规定媒介上公告。</w:t>
      </w:r>
    </w:p>
    <w:p>
      <w:pPr>
        <w:pStyle w:val="163"/>
      </w:pPr>
      <w:r>
        <w:t>5</w:t>
      </w:r>
      <w:r>
        <w:rPr>
          <w:rFonts w:hint="eastAsia"/>
        </w:rPr>
        <w:t>、基金管理人可以在不违背法律法规规定及基金合同约定并对现有份额持有人利益无实质性不利影响的情况下，根据市场情况制定基金促销计划，定期</w:t>
      </w:r>
      <w:r>
        <w:t>或</w:t>
      </w:r>
      <w:r>
        <w:rPr>
          <w:rFonts w:hint="eastAsia"/>
        </w:rPr>
        <w:t>不定期地开展基金促销活动。在基金促销活动期间，基金管理人可以按中国证监会要求履行必要手续后，对基金投资者适当调低基金申购费率和销售服务费率。</w:t>
      </w:r>
    </w:p>
    <w:p>
      <w:pPr>
        <w:pStyle w:val="163"/>
      </w:pPr>
      <w:r>
        <w:t>6</w:t>
      </w:r>
      <w:r>
        <w:rPr>
          <w:rFonts w:hint="eastAsia"/>
        </w:rPr>
        <w:t>、当本基金发生大额申购或赎回情形时，基金管理人可以采用摆动定价机制以确保基金估值的公平性。具体处理原则与操作规范遵循相关法律法规以及监管部门、自律规则的规定。</w:t>
      </w:r>
    </w:p>
    <w:p>
      <w:pPr>
        <w:pStyle w:val="163"/>
        <w:ind w:firstLine="422"/>
        <w:rPr>
          <w:b/>
        </w:rPr>
      </w:pPr>
      <w:r>
        <w:rPr>
          <w:rFonts w:hint="eastAsia"/>
          <w:b/>
        </w:rPr>
        <w:t>七、申购份额与赎回金额的计算</w:t>
      </w:r>
    </w:p>
    <w:p>
      <w:pPr>
        <w:pStyle w:val="163"/>
      </w:pPr>
      <w:r>
        <w:t>1、申购份额的计算方式</w:t>
      </w:r>
    </w:p>
    <w:p>
      <w:pPr>
        <w:pStyle w:val="163"/>
      </w:pPr>
      <w:r>
        <w:rPr>
          <w:rFonts w:hint="eastAsia"/>
        </w:rPr>
        <w:t>（1）A类基金份额的计算</w:t>
      </w:r>
    </w:p>
    <w:p>
      <w:pPr>
        <w:pStyle w:val="163"/>
      </w:pPr>
      <w:r>
        <w:rPr>
          <w:rFonts w:hint="eastAsia"/>
        </w:rPr>
        <w:t>若投资者选择通过直销机构申购A类基金份额，则申购份额的计算公式为：</w:t>
      </w:r>
    </w:p>
    <w:p>
      <w:pPr>
        <w:pStyle w:val="163"/>
      </w:pPr>
      <w:r>
        <w:rPr>
          <w:rFonts w:hint="eastAsia"/>
        </w:rPr>
        <w:t>申购份额＝申购金额/申购当日A类基金份额的基金份额净值</w:t>
      </w:r>
    </w:p>
    <w:p>
      <w:pPr>
        <w:pStyle w:val="163"/>
      </w:pPr>
      <w:r>
        <w:rPr>
          <w:rFonts w:hint="eastAsia"/>
        </w:rPr>
        <w:t>若投资者选择通过其他销售机构申购A类基金份额，则申购份额的计算公式为：</w:t>
      </w:r>
    </w:p>
    <w:p>
      <w:pPr>
        <w:pStyle w:val="163"/>
      </w:pPr>
      <w:r>
        <w:rPr>
          <w:rFonts w:hint="eastAsia"/>
        </w:rPr>
        <w:t>1）当申购费适用比例费率时，申购份额的计算公式如下：</w:t>
      </w:r>
    </w:p>
    <w:p>
      <w:pPr>
        <w:pStyle w:val="163"/>
      </w:pPr>
      <w:r>
        <w:rPr>
          <w:rFonts w:hint="eastAsia"/>
        </w:rPr>
        <w:t>净申购金额=申购金额/（1+申购费率）</w:t>
      </w:r>
    </w:p>
    <w:p>
      <w:pPr>
        <w:pStyle w:val="163"/>
      </w:pPr>
      <w:r>
        <w:rPr>
          <w:rFonts w:hint="eastAsia"/>
        </w:rPr>
        <w:t>申购费用=申购金额－净申购金额</w:t>
      </w:r>
    </w:p>
    <w:p>
      <w:pPr>
        <w:pStyle w:val="163"/>
      </w:pPr>
      <w:r>
        <w:rPr>
          <w:rFonts w:hint="eastAsia"/>
        </w:rPr>
        <w:t>申购份额=净申购金额/T日A类基金份额净值</w:t>
      </w:r>
    </w:p>
    <w:p>
      <w:pPr>
        <w:pStyle w:val="163"/>
      </w:pPr>
      <w:r>
        <w:rPr>
          <w:rFonts w:hint="eastAsia"/>
        </w:rPr>
        <w:t>2）当申购费用为固定金额时，申购份额的计算方法如下：</w:t>
      </w:r>
    </w:p>
    <w:p>
      <w:pPr>
        <w:pStyle w:val="163"/>
      </w:pPr>
      <w:r>
        <w:rPr>
          <w:rFonts w:hint="eastAsia"/>
        </w:rPr>
        <w:t>申购费用＝固定费用</w:t>
      </w:r>
    </w:p>
    <w:p>
      <w:pPr>
        <w:pStyle w:val="163"/>
      </w:pPr>
      <w:r>
        <w:rPr>
          <w:rFonts w:hint="eastAsia"/>
        </w:rPr>
        <w:t>净申购金额＝申购金额－申购费用</w:t>
      </w:r>
    </w:p>
    <w:p>
      <w:pPr>
        <w:pStyle w:val="163"/>
      </w:pPr>
      <w:r>
        <w:rPr>
          <w:rFonts w:hint="eastAsia"/>
        </w:rPr>
        <w:t>申购份额＝净申购金额/T日A类基金份额净值</w:t>
      </w:r>
    </w:p>
    <w:p>
      <w:pPr>
        <w:pStyle w:val="163"/>
      </w:pPr>
      <w:r>
        <w:rPr>
          <w:rFonts w:hint="eastAsia"/>
        </w:rPr>
        <w:t>（2）C类基金份额</w:t>
      </w:r>
    </w:p>
    <w:p>
      <w:pPr>
        <w:pStyle w:val="163"/>
      </w:pPr>
      <w:r>
        <w:rPr>
          <w:rFonts w:hint="eastAsia"/>
        </w:rPr>
        <w:t>申购份额＝申购金额/T日C类基金份额净值</w:t>
      </w:r>
    </w:p>
    <w:p>
      <w:pPr>
        <w:pStyle w:val="163"/>
      </w:pPr>
      <w:r>
        <w:rPr>
          <w:rFonts w:hint="eastAsia"/>
        </w:rPr>
        <w:t>（3）上述计算结果按照四舍五入方法，保留小数点后两位，由此产生的收益或损失由基金财产承担。</w:t>
      </w:r>
    </w:p>
    <w:p>
      <w:pPr>
        <w:snapToGrid w:val="0"/>
        <w:spacing w:line="360" w:lineRule="auto"/>
        <w:ind w:firstLine="420" w:firstLineChars="200"/>
        <w:rPr>
          <w:rFonts w:cs="Arial"/>
        </w:rPr>
      </w:pPr>
      <w:r>
        <w:rPr>
          <w:rFonts w:hint="eastAsia" w:cs="Arial"/>
        </w:rPr>
        <w:t>例1：某投资者通过直销机构投资</w:t>
      </w:r>
      <w:r>
        <w:rPr>
          <w:rFonts w:cs="Arial"/>
        </w:rPr>
        <w:t>1</w:t>
      </w:r>
      <w:r>
        <w:rPr>
          <w:rFonts w:hint="eastAsia" w:cs="Arial"/>
        </w:rPr>
        <w:t>0</w:t>
      </w:r>
      <w:r>
        <w:rPr>
          <w:rFonts w:cs="Arial"/>
        </w:rPr>
        <w:t>,</w:t>
      </w:r>
      <w:r>
        <w:rPr>
          <w:rFonts w:hint="eastAsia" w:cs="Arial"/>
        </w:rPr>
        <w:t>0</w:t>
      </w:r>
      <w:r>
        <w:rPr>
          <w:rFonts w:cs="Arial"/>
        </w:rPr>
        <w:t>00</w:t>
      </w:r>
      <w:r>
        <w:rPr>
          <w:rFonts w:hint="eastAsia" w:cs="Arial"/>
        </w:rPr>
        <w:t>元申购本基金</w:t>
      </w:r>
      <w:r>
        <w:rPr>
          <w:rFonts w:cs="Arial"/>
        </w:rPr>
        <w:t>A</w:t>
      </w:r>
      <w:r>
        <w:rPr>
          <w:rFonts w:hint="eastAsia" w:cs="Arial"/>
        </w:rPr>
        <w:t>类基金份额，且该申购申请被全额确认，假定申购当日</w:t>
      </w:r>
      <w:r>
        <w:rPr>
          <w:rFonts w:cs="Arial"/>
        </w:rPr>
        <w:t>A</w:t>
      </w:r>
      <w:r>
        <w:rPr>
          <w:rFonts w:hint="eastAsia" w:cs="Arial"/>
        </w:rPr>
        <w:t>类基金份额净值为</w:t>
      </w:r>
      <w:r>
        <w:rPr>
          <w:rFonts w:cs="Arial"/>
        </w:rPr>
        <w:t>1.</w:t>
      </w:r>
      <w:r>
        <w:rPr>
          <w:rFonts w:hint="eastAsia" w:cs="Arial"/>
        </w:rPr>
        <w:t>15</w:t>
      </w:r>
      <w:r>
        <w:rPr>
          <w:rFonts w:cs="Arial"/>
        </w:rPr>
        <w:t>0</w:t>
      </w:r>
      <w:r>
        <w:rPr>
          <w:rFonts w:hint="eastAsia" w:cs="Arial"/>
        </w:rPr>
        <w:t>0元，则可得到的</w:t>
      </w:r>
      <w:r>
        <w:rPr>
          <w:rFonts w:cs="Arial"/>
        </w:rPr>
        <w:t>A</w:t>
      </w:r>
      <w:r>
        <w:rPr>
          <w:rFonts w:hint="eastAsia" w:cs="Arial"/>
        </w:rPr>
        <w:t>类基金份额为：</w:t>
      </w:r>
    </w:p>
    <w:p>
      <w:pPr>
        <w:snapToGrid w:val="0"/>
        <w:spacing w:line="360" w:lineRule="auto"/>
        <w:ind w:firstLine="420" w:firstLineChars="200"/>
        <w:rPr>
          <w:rFonts w:cs="Arial"/>
        </w:rPr>
      </w:pPr>
      <w:r>
        <w:rPr>
          <w:rFonts w:hint="eastAsia" w:cs="Arial"/>
        </w:rPr>
        <w:t>申购份额＝</w:t>
      </w:r>
      <w:r>
        <w:rPr>
          <w:rFonts w:cs="Arial"/>
        </w:rPr>
        <w:t>1</w:t>
      </w:r>
      <w:r>
        <w:rPr>
          <w:rFonts w:hint="eastAsia" w:cs="Arial"/>
        </w:rPr>
        <w:t>0</w:t>
      </w:r>
      <w:r>
        <w:rPr>
          <w:rFonts w:cs="Arial"/>
        </w:rPr>
        <w:t>,</w:t>
      </w:r>
      <w:r>
        <w:rPr>
          <w:rFonts w:hint="eastAsia" w:cs="Arial"/>
        </w:rPr>
        <w:t>0</w:t>
      </w:r>
      <w:r>
        <w:rPr>
          <w:rFonts w:cs="Arial"/>
        </w:rPr>
        <w:t>00</w:t>
      </w:r>
      <w:r>
        <w:rPr>
          <w:rFonts w:hint="eastAsia" w:cs="Arial"/>
        </w:rPr>
        <w:t>/</w:t>
      </w:r>
      <w:r>
        <w:rPr>
          <w:rFonts w:cs="Arial"/>
        </w:rPr>
        <w:t>1.</w:t>
      </w:r>
      <w:r>
        <w:rPr>
          <w:rFonts w:hint="eastAsia" w:cs="Arial"/>
        </w:rPr>
        <w:t>15</w:t>
      </w:r>
      <w:r>
        <w:rPr>
          <w:rFonts w:cs="Arial"/>
        </w:rPr>
        <w:t>0</w:t>
      </w:r>
      <w:r>
        <w:rPr>
          <w:rFonts w:hint="eastAsia" w:cs="Arial"/>
        </w:rPr>
        <w:t>0＝8</w:t>
      </w:r>
      <w:r>
        <w:rPr>
          <w:rFonts w:cs="Arial"/>
        </w:rPr>
        <w:t>695.65</w:t>
      </w:r>
      <w:r>
        <w:rPr>
          <w:rFonts w:hint="eastAsia" w:cs="Arial"/>
        </w:rPr>
        <w:t>份</w:t>
      </w:r>
    </w:p>
    <w:p>
      <w:pPr>
        <w:snapToGrid w:val="0"/>
        <w:spacing w:line="360" w:lineRule="auto"/>
        <w:ind w:firstLine="420" w:firstLineChars="200"/>
        <w:rPr>
          <w:rFonts w:cs="Arial"/>
        </w:rPr>
      </w:pPr>
      <w:r>
        <w:rPr>
          <w:rFonts w:hint="eastAsia" w:cs="Arial"/>
        </w:rPr>
        <w:t>即：投资者选择通过直销机构投资</w:t>
      </w:r>
      <w:r>
        <w:rPr>
          <w:rFonts w:cs="Arial"/>
        </w:rPr>
        <w:t>10,</w:t>
      </w:r>
      <w:r>
        <w:rPr>
          <w:rFonts w:hint="eastAsia" w:cs="Arial"/>
        </w:rPr>
        <w:t>0</w:t>
      </w:r>
      <w:r>
        <w:rPr>
          <w:rFonts w:cs="Arial"/>
        </w:rPr>
        <w:t>00</w:t>
      </w:r>
      <w:r>
        <w:rPr>
          <w:rFonts w:hint="eastAsia" w:cs="Arial"/>
        </w:rPr>
        <w:t>元申购本基金A类基金份额，假定申购当日A类基金份额净值为</w:t>
      </w:r>
      <w:r>
        <w:rPr>
          <w:rFonts w:cs="Arial"/>
        </w:rPr>
        <w:t>1.</w:t>
      </w:r>
      <w:r>
        <w:rPr>
          <w:rFonts w:hint="eastAsia" w:cs="Arial"/>
        </w:rPr>
        <w:t>15</w:t>
      </w:r>
      <w:r>
        <w:rPr>
          <w:rFonts w:cs="Arial"/>
        </w:rPr>
        <w:t>0</w:t>
      </w:r>
      <w:r>
        <w:rPr>
          <w:rFonts w:hint="eastAsia" w:cs="Arial"/>
        </w:rPr>
        <w:t>0元，可得到8</w:t>
      </w:r>
      <w:r>
        <w:rPr>
          <w:rFonts w:cs="Arial"/>
        </w:rPr>
        <w:t>695.65</w:t>
      </w:r>
      <w:r>
        <w:rPr>
          <w:rFonts w:hint="eastAsia" w:cs="Arial"/>
        </w:rPr>
        <w:t>份A类基金份额。</w:t>
      </w:r>
    </w:p>
    <w:p>
      <w:pPr>
        <w:snapToGrid w:val="0"/>
        <w:spacing w:line="360" w:lineRule="auto"/>
        <w:ind w:firstLine="420" w:firstLineChars="200"/>
        <w:rPr>
          <w:rFonts w:cs="Arial"/>
        </w:rPr>
      </w:pPr>
      <w:r>
        <w:rPr>
          <w:rFonts w:hint="eastAsia" w:cs="Arial"/>
        </w:rPr>
        <w:t>例2：某投资者通过其他销售机构投资</w:t>
      </w:r>
      <w:r>
        <w:rPr>
          <w:rFonts w:cs="Arial"/>
        </w:rPr>
        <w:t>1</w:t>
      </w:r>
      <w:r>
        <w:rPr>
          <w:rFonts w:hint="eastAsia" w:cs="Arial"/>
        </w:rPr>
        <w:t>0</w:t>
      </w:r>
      <w:r>
        <w:rPr>
          <w:rFonts w:cs="Arial"/>
        </w:rPr>
        <w:t>,</w:t>
      </w:r>
      <w:r>
        <w:rPr>
          <w:rFonts w:hint="eastAsia" w:cs="Arial"/>
        </w:rPr>
        <w:t>0</w:t>
      </w:r>
      <w:r>
        <w:rPr>
          <w:rFonts w:cs="Arial"/>
        </w:rPr>
        <w:t>00</w:t>
      </w:r>
      <w:r>
        <w:rPr>
          <w:rFonts w:hint="eastAsia" w:cs="Arial"/>
        </w:rPr>
        <w:t>元申购本基金A类基金份额，且该申购申请被全额确认，对应的申购费率为0</w:t>
      </w:r>
      <w:r>
        <w:rPr>
          <w:rFonts w:cs="Arial"/>
        </w:rPr>
        <w:t>.</w:t>
      </w:r>
      <w:r>
        <w:rPr>
          <w:rFonts w:hint="eastAsia" w:cs="Arial"/>
        </w:rPr>
        <w:t>30%，假定申购当日A类基金份额净值为</w:t>
      </w:r>
      <w:r>
        <w:rPr>
          <w:rFonts w:cs="Arial"/>
        </w:rPr>
        <w:t>1.</w:t>
      </w:r>
      <w:r>
        <w:rPr>
          <w:rFonts w:hint="eastAsia" w:cs="Arial"/>
        </w:rPr>
        <w:t>15</w:t>
      </w:r>
      <w:r>
        <w:rPr>
          <w:rFonts w:cs="Arial"/>
        </w:rPr>
        <w:t>0</w:t>
      </w:r>
      <w:r>
        <w:rPr>
          <w:rFonts w:hint="eastAsia" w:cs="Arial"/>
        </w:rPr>
        <w:t>0元，则可得到的A类基金份额为：</w:t>
      </w:r>
    </w:p>
    <w:p>
      <w:pPr>
        <w:snapToGrid w:val="0"/>
        <w:spacing w:line="360" w:lineRule="auto"/>
        <w:ind w:firstLine="420" w:firstLineChars="200"/>
        <w:rPr>
          <w:rFonts w:cs="Arial"/>
        </w:rPr>
      </w:pPr>
      <w:r>
        <w:rPr>
          <w:rFonts w:hint="eastAsia" w:cs="Arial"/>
        </w:rPr>
        <w:t>净申购金额＝</w:t>
      </w:r>
      <w:r>
        <w:rPr>
          <w:rFonts w:cs="Arial"/>
        </w:rPr>
        <w:t>10,</w:t>
      </w:r>
      <w:r>
        <w:rPr>
          <w:rFonts w:hint="eastAsia" w:cs="Arial"/>
        </w:rPr>
        <w:t>0</w:t>
      </w:r>
      <w:r>
        <w:rPr>
          <w:rFonts w:cs="Arial"/>
        </w:rPr>
        <w:t>00/(1+</w:t>
      </w:r>
      <w:r>
        <w:rPr>
          <w:rFonts w:hint="eastAsia" w:cs="Arial"/>
        </w:rPr>
        <w:t>0</w:t>
      </w:r>
      <w:r>
        <w:rPr>
          <w:rFonts w:cs="Arial"/>
        </w:rPr>
        <w:t>.</w:t>
      </w:r>
      <w:r>
        <w:rPr>
          <w:rFonts w:hint="eastAsia" w:cs="Arial"/>
        </w:rPr>
        <w:t>30</w:t>
      </w:r>
      <w:r>
        <w:rPr>
          <w:rFonts w:cs="Arial"/>
        </w:rPr>
        <w:t>%)</w:t>
      </w:r>
      <w:r>
        <w:rPr>
          <w:rFonts w:hint="eastAsia" w:cs="Arial"/>
        </w:rPr>
        <w:t>＝9,970.09元</w:t>
      </w:r>
    </w:p>
    <w:p>
      <w:pPr>
        <w:snapToGrid w:val="0"/>
        <w:spacing w:line="360" w:lineRule="auto"/>
        <w:ind w:firstLine="420" w:firstLineChars="200"/>
        <w:rPr>
          <w:rFonts w:cs="Arial"/>
        </w:rPr>
      </w:pPr>
      <w:r>
        <w:rPr>
          <w:rFonts w:hint="eastAsia" w:cs="Arial"/>
        </w:rPr>
        <w:t>申购费用＝</w:t>
      </w:r>
      <w:r>
        <w:rPr>
          <w:rFonts w:cs="Arial"/>
        </w:rPr>
        <w:t>10,</w:t>
      </w:r>
      <w:r>
        <w:rPr>
          <w:rFonts w:hint="eastAsia" w:cs="Arial"/>
        </w:rPr>
        <w:t>0</w:t>
      </w:r>
      <w:r>
        <w:rPr>
          <w:rFonts w:cs="Arial"/>
        </w:rPr>
        <w:t>00</w:t>
      </w:r>
      <w:r>
        <w:rPr>
          <w:rFonts w:hint="eastAsia" w:cs="Arial"/>
        </w:rPr>
        <w:t>－9,970.09＝29.91元</w:t>
      </w:r>
    </w:p>
    <w:p>
      <w:pPr>
        <w:snapToGrid w:val="0"/>
        <w:spacing w:line="360" w:lineRule="auto"/>
        <w:ind w:firstLine="420" w:firstLineChars="200"/>
        <w:rPr>
          <w:rFonts w:cs="Arial"/>
        </w:rPr>
      </w:pPr>
      <w:r>
        <w:rPr>
          <w:rFonts w:hint="eastAsia" w:cs="Arial"/>
        </w:rPr>
        <w:t>申购份额＝9,970.09</w:t>
      </w:r>
      <w:r>
        <w:rPr>
          <w:rFonts w:cs="Arial"/>
        </w:rPr>
        <w:t>/1.</w:t>
      </w:r>
      <w:r>
        <w:rPr>
          <w:rFonts w:hint="eastAsia" w:cs="Arial"/>
        </w:rPr>
        <w:t>15</w:t>
      </w:r>
      <w:r>
        <w:rPr>
          <w:rFonts w:cs="Arial"/>
        </w:rPr>
        <w:t>0</w:t>
      </w:r>
      <w:r>
        <w:rPr>
          <w:rFonts w:hint="eastAsia" w:cs="Arial"/>
        </w:rPr>
        <w:t>0</w:t>
      </w:r>
      <w:r>
        <w:rPr>
          <w:rFonts w:cs="Arial"/>
        </w:rPr>
        <w:t>=</w:t>
      </w:r>
      <w:r>
        <w:rPr>
          <w:rFonts w:hint="eastAsia" w:cs="Arial"/>
        </w:rPr>
        <w:t xml:space="preserve"> 8,669.64份</w:t>
      </w:r>
    </w:p>
    <w:p>
      <w:pPr>
        <w:snapToGrid w:val="0"/>
        <w:spacing w:line="360" w:lineRule="auto"/>
        <w:ind w:firstLine="420" w:firstLineChars="200"/>
        <w:rPr>
          <w:rFonts w:cs="Arial"/>
        </w:rPr>
      </w:pPr>
      <w:r>
        <w:rPr>
          <w:rFonts w:hint="eastAsia" w:cs="Arial"/>
        </w:rPr>
        <w:t>即：投资者选择通过其他销售机构投资</w:t>
      </w:r>
      <w:r>
        <w:rPr>
          <w:rFonts w:cs="Arial"/>
        </w:rPr>
        <w:t>10,</w:t>
      </w:r>
      <w:r>
        <w:rPr>
          <w:rFonts w:hint="eastAsia" w:cs="Arial"/>
        </w:rPr>
        <w:t>0</w:t>
      </w:r>
      <w:r>
        <w:rPr>
          <w:rFonts w:cs="Arial"/>
        </w:rPr>
        <w:t>00</w:t>
      </w:r>
      <w:r>
        <w:rPr>
          <w:rFonts w:hint="eastAsia" w:cs="Arial"/>
        </w:rPr>
        <w:t>元申购本基金A类基金份额，假定申购当日A类基金份额净值为</w:t>
      </w:r>
      <w:r>
        <w:rPr>
          <w:rFonts w:cs="Arial"/>
        </w:rPr>
        <w:t>1.</w:t>
      </w:r>
      <w:r>
        <w:rPr>
          <w:rFonts w:hint="eastAsia" w:cs="Arial"/>
        </w:rPr>
        <w:t>15</w:t>
      </w:r>
      <w:r>
        <w:rPr>
          <w:rFonts w:cs="Arial"/>
        </w:rPr>
        <w:t>0</w:t>
      </w:r>
      <w:r>
        <w:rPr>
          <w:rFonts w:hint="eastAsia" w:cs="Arial"/>
        </w:rPr>
        <w:t>0元，可得到8,669.64份A类基金份额。</w:t>
      </w:r>
    </w:p>
    <w:p>
      <w:pPr>
        <w:snapToGrid w:val="0"/>
        <w:spacing w:line="360" w:lineRule="auto"/>
        <w:ind w:firstLine="420" w:firstLineChars="200"/>
        <w:rPr>
          <w:rFonts w:cs="Arial"/>
        </w:rPr>
      </w:pPr>
      <w:r>
        <w:rPr>
          <w:rFonts w:hint="eastAsia" w:cs="Arial"/>
        </w:rPr>
        <w:t>例</w:t>
      </w:r>
      <w:r>
        <w:rPr>
          <w:rFonts w:cs="Arial"/>
        </w:rPr>
        <w:t>3</w:t>
      </w:r>
      <w:r>
        <w:rPr>
          <w:rFonts w:hint="eastAsia" w:cs="Arial"/>
        </w:rPr>
        <w:t>：某投资者投资</w:t>
      </w:r>
      <w:r>
        <w:rPr>
          <w:rFonts w:cs="Arial"/>
        </w:rPr>
        <w:t>1</w:t>
      </w:r>
      <w:r>
        <w:rPr>
          <w:rFonts w:hint="eastAsia" w:cs="Arial"/>
        </w:rPr>
        <w:t>0</w:t>
      </w:r>
      <w:r>
        <w:rPr>
          <w:rFonts w:cs="Arial"/>
        </w:rPr>
        <w:t>,</w:t>
      </w:r>
      <w:r>
        <w:rPr>
          <w:rFonts w:hint="eastAsia" w:cs="Arial"/>
        </w:rPr>
        <w:t>0</w:t>
      </w:r>
      <w:r>
        <w:rPr>
          <w:rFonts w:cs="Arial"/>
        </w:rPr>
        <w:t>00</w:t>
      </w:r>
      <w:r>
        <w:rPr>
          <w:rFonts w:hint="eastAsia" w:cs="Arial"/>
        </w:rPr>
        <w:t>元申购本基金</w:t>
      </w:r>
      <w:r>
        <w:rPr>
          <w:rFonts w:cs="Arial"/>
        </w:rPr>
        <w:t>C</w:t>
      </w:r>
      <w:r>
        <w:rPr>
          <w:rFonts w:hint="eastAsia" w:cs="Arial"/>
        </w:rPr>
        <w:t>类基金份额，且该申购申请被全额确认，假定申购当日C类基金份额净值为</w:t>
      </w:r>
      <w:r>
        <w:rPr>
          <w:rFonts w:cs="Arial"/>
        </w:rPr>
        <w:t>1.</w:t>
      </w:r>
      <w:r>
        <w:rPr>
          <w:rFonts w:hint="eastAsia" w:cs="Arial"/>
        </w:rPr>
        <w:t>15</w:t>
      </w:r>
      <w:r>
        <w:rPr>
          <w:rFonts w:cs="Arial"/>
        </w:rPr>
        <w:t>0</w:t>
      </w:r>
      <w:r>
        <w:rPr>
          <w:rFonts w:hint="eastAsia" w:cs="Arial"/>
        </w:rPr>
        <w:t>0元，则可得到的C类基金份额为：</w:t>
      </w:r>
    </w:p>
    <w:p>
      <w:pPr>
        <w:snapToGrid w:val="0"/>
        <w:spacing w:line="360" w:lineRule="auto"/>
        <w:ind w:firstLine="420" w:firstLineChars="200"/>
        <w:rPr>
          <w:rFonts w:cs="Arial"/>
        </w:rPr>
      </w:pPr>
      <w:r>
        <w:rPr>
          <w:rFonts w:hint="eastAsia" w:cs="Arial"/>
        </w:rPr>
        <w:t>申购份额＝</w:t>
      </w:r>
      <w:r>
        <w:rPr>
          <w:rFonts w:cs="Arial"/>
        </w:rPr>
        <w:t>1</w:t>
      </w:r>
      <w:r>
        <w:rPr>
          <w:rFonts w:hint="eastAsia" w:cs="Arial"/>
        </w:rPr>
        <w:t>0</w:t>
      </w:r>
      <w:r>
        <w:rPr>
          <w:rFonts w:cs="Arial"/>
        </w:rPr>
        <w:t>,</w:t>
      </w:r>
      <w:r>
        <w:rPr>
          <w:rFonts w:hint="eastAsia" w:cs="Arial"/>
        </w:rPr>
        <w:t>0</w:t>
      </w:r>
      <w:r>
        <w:rPr>
          <w:rFonts w:cs="Arial"/>
        </w:rPr>
        <w:t>00</w:t>
      </w:r>
      <w:r>
        <w:rPr>
          <w:rFonts w:hint="eastAsia" w:cs="Arial"/>
        </w:rPr>
        <w:t>/</w:t>
      </w:r>
      <w:r>
        <w:rPr>
          <w:rFonts w:cs="Arial"/>
        </w:rPr>
        <w:t>1.</w:t>
      </w:r>
      <w:r>
        <w:rPr>
          <w:rFonts w:hint="eastAsia" w:cs="Arial"/>
        </w:rPr>
        <w:t>15</w:t>
      </w:r>
      <w:r>
        <w:rPr>
          <w:rFonts w:cs="Arial"/>
        </w:rPr>
        <w:t>0</w:t>
      </w:r>
      <w:r>
        <w:rPr>
          <w:rFonts w:hint="eastAsia" w:cs="Arial"/>
        </w:rPr>
        <w:t>0＝8</w:t>
      </w:r>
      <w:r>
        <w:rPr>
          <w:rFonts w:cs="Arial"/>
        </w:rPr>
        <w:t>695.65</w:t>
      </w:r>
      <w:r>
        <w:rPr>
          <w:rFonts w:hint="eastAsia" w:cs="Arial"/>
        </w:rPr>
        <w:t>份</w:t>
      </w:r>
    </w:p>
    <w:p>
      <w:pPr>
        <w:snapToGrid w:val="0"/>
        <w:spacing w:line="360" w:lineRule="auto"/>
        <w:ind w:firstLine="420" w:firstLineChars="200"/>
        <w:rPr>
          <w:rFonts w:cs="Arial"/>
        </w:rPr>
      </w:pPr>
      <w:r>
        <w:rPr>
          <w:rFonts w:hint="eastAsia" w:cs="Arial"/>
        </w:rPr>
        <w:t>即：投资者选择投资</w:t>
      </w:r>
      <w:r>
        <w:rPr>
          <w:rFonts w:cs="Arial"/>
        </w:rPr>
        <w:t>10,</w:t>
      </w:r>
      <w:r>
        <w:rPr>
          <w:rFonts w:hint="eastAsia" w:cs="Arial"/>
        </w:rPr>
        <w:t>0</w:t>
      </w:r>
      <w:r>
        <w:rPr>
          <w:rFonts w:cs="Arial"/>
        </w:rPr>
        <w:t>00</w:t>
      </w:r>
      <w:r>
        <w:rPr>
          <w:rFonts w:hint="eastAsia" w:cs="Arial"/>
        </w:rPr>
        <w:t>元申购本基金</w:t>
      </w:r>
      <w:r>
        <w:rPr>
          <w:rFonts w:cs="Arial"/>
        </w:rPr>
        <w:t>C</w:t>
      </w:r>
      <w:r>
        <w:rPr>
          <w:rFonts w:hint="eastAsia" w:cs="Arial"/>
        </w:rPr>
        <w:t>类基金份额，假定申购当日</w:t>
      </w:r>
      <w:r>
        <w:rPr>
          <w:rFonts w:cs="Arial"/>
        </w:rPr>
        <w:t>C</w:t>
      </w:r>
      <w:r>
        <w:rPr>
          <w:rFonts w:hint="eastAsia" w:cs="Arial"/>
        </w:rPr>
        <w:t>类基金份额净值为</w:t>
      </w:r>
      <w:r>
        <w:rPr>
          <w:rFonts w:cs="Arial"/>
        </w:rPr>
        <w:t>1.</w:t>
      </w:r>
      <w:r>
        <w:rPr>
          <w:rFonts w:hint="eastAsia" w:cs="Arial"/>
        </w:rPr>
        <w:t>15</w:t>
      </w:r>
      <w:r>
        <w:rPr>
          <w:rFonts w:cs="Arial"/>
        </w:rPr>
        <w:t>0</w:t>
      </w:r>
      <w:r>
        <w:rPr>
          <w:rFonts w:hint="eastAsia" w:cs="Arial"/>
        </w:rPr>
        <w:t>0元，可得到8</w:t>
      </w:r>
      <w:r>
        <w:rPr>
          <w:rFonts w:cs="Arial"/>
        </w:rPr>
        <w:t>695.65</w:t>
      </w:r>
      <w:r>
        <w:rPr>
          <w:rFonts w:hint="eastAsia" w:cs="Arial"/>
        </w:rPr>
        <w:t>份</w:t>
      </w:r>
      <w:r>
        <w:rPr>
          <w:rFonts w:cs="Arial"/>
        </w:rPr>
        <w:t>C</w:t>
      </w:r>
      <w:r>
        <w:rPr>
          <w:rFonts w:hint="eastAsia" w:cs="Arial"/>
        </w:rPr>
        <w:t>类基金份额。</w:t>
      </w:r>
    </w:p>
    <w:p>
      <w:pPr>
        <w:pStyle w:val="163"/>
      </w:pPr>
      <w:r>
        <w:t>2、赎回金额的计算方式：</w:t>
      </w:r>
    </w:p>
    <w:p>
      <w:pPr>
        <w:pStyle w:val="163"/>
      </w:pPr>
      <w:r>
        <w:rPr>
          <w:rFonts w:hint="eastAsia"/>
        </w:rPr>
        <w:t>赎回总金额=赎回份额×T日该类基金份额净值</w:t>
      </w:r>
    </w:p>
    <w:p>
      <w:pPr>
        <w:pStyle w:val="163"/>
      </w:pPr>
      <w:r>
        <w:rPr>
          <w:rFonts w:hint="eastAsia"/>
        </w:rPr>
        <w:t>赎回费用=赎回总金额×赎回费率</w:t>
      </w:r>
    </w:p>
    <w:p>
      <w:pPr>
        <w:pStyle w:val="163"/>
      </w:pPr>
      <w:r>
        <w:rPr>
          <w:rFonts w:hint="eastAsia"/>
        </w:rPr>
        <w:t>净赎回金额=赎回总金额—赎回费用</w:t>
      </w:r>
    </w:p>
    <w:p>
      <w:pPr>
        <w:pStyle w:val="163"/>
      </w:pPr>
      <w:r>
        <w:rPr>
          <w:rFonts w:hint="eastAsia"/>
        </w:rPr>
        <w:t>上述计算结果均按四舍五入方法，保留到小数点后2位，由此产生的收益或损失由基金财产承担。</w:t>
      </w:r>
    </w:p>
    <w:p>
      <w:pPr>
        <w:pStyle w:val="163"/>
      </w:pPr>
      <w:r>
        <w:rPr>
          <w:rFonts w:hint="eastAsia"/>
        </w:rPr>
        <w:t>其中，对于投资者在直销机构保有的C类基金份额计提的销售服务费，或者在其他销售机构保有的且持续持有期限超过一年的C类基金份额继续计提的销售服务费，将在投资者赎回相应基金份额时随赎回款一并返还给投资者。</w:t>
      </w:r>
    </w:p>
    <w:p>
      <w:pPr>
        <w:pStyle w:val="163"/>
        <w:rPr>
          <w:rFonts w:hint="eastAsia"/>
        </w:rPr>
      </w:pPr>
      <w:r>
        <w:rPr>
          <w:rFonts w:hint="eastAsia"/>
        </w:rPr>
        <w:t>例1：某个人投资者赎回本基金A类基金份额1万份，持有时间为60天，对应的赎回费率为0%，假设赎回当日A类基金份额净值是1.2500元，则其可得到的赎回金额为：</w:t>
      </w:r>
    </w:p>
    <w:p>
      <w:pPr>
        <w:pStyle w:val="163"/>
        <w:rPr>
          <w:rFonts w:hint="eastAsia"/>
        </w:rPr>
      </w:pPr>
      <w:r>
        <w:rPr>
          <w:rFonts w:hint="eastAsia"/>
        </w:rPr>
        <w:t>赎回总金额=10,000×1.2500=12,500.00元</w:t>
      </w:r>
    </w:p>
    <w:p>
      <w:pPr>
        <w:pStyle w:val="163"/>
        <w:rPr>
          <w:rFonts w:hint="eastAsia"/>
        </w:rPr>
      </w:pPr>
      <w:r>
        <w:rPr>
          <w:rFonts w:hint="eastAsia"/>
        </w:rPr>
        <w:t>赎回费用=12,500.00×0%=0.00元</w:t>
      </w:r>
    </w:p>
    <w:p>
      <w:pPr>
        <w:pStyle w:val="163"/>
        <w:rPr>
          <w:rFonts w:hint="eastAsia"/>
        </w:rPr>
      </w:pPr>
      <w:r>
        <w:rPr>
          <w:rFonts w:hint="eastAsia"/>
        </w:rPr>
        <w:t>净赎回金额=12,500.00-0.00=12,500.00元</w:t>
      </w:r>
    </w:p>
    <w:p>
      <w:pPr>
        <w:pStyle w:val="163"/>
        <w:rPr>
          <w:rFonts w:hint="eastAsia"/>
        </w:rPr>
      </w:pPr>
      <w:r>
        <w:rPr>
          <w:rFonts w:hint="eastAsia"/>
        </w:rPr>
        <w:t>即：某投资者赎回本基金A类基金份额1万份，持有时间为1年，假设赎回当日A类基金份额净值是1.2500元，则其可得到的赎回金额为12,500.00元。</w:t>
      </w:r>
    </w:p>
    <w:p>
      <w:pPr>
        <w:pStyle w:val="163"/>
        <w:rPr>
          <w:rFonts w:hint="eastAsia"/>
        </w:rPr>
      </w:pPr>
      <w:r>
        <w:rPr>
          <w:rFonts w:hint="eastAsia"/>
        </w:rPr>
        <w:t>例2：某非个人投资者赎回本基金A类基金份额1万份，持有时间为60天，对应的赎回费率为0.50%，假设赎回当日A类基金份额净值是1.2500元，则其可得到的赎回金额为：</w:t>
      </w:r>
    </w:p>
    <w:p>
      <w:pPr>
        <w:pStyle w:val="163"/>
        <w:rPr>
          <w:rFonts w:hint="eastAsia"/>
        </w:rPr>
      </w:pPr>
      <w:r>
        <w:rPr>
          <w:rFonts w:hint="eastAsia"/>
        </w:rPr>
        <w:t>赎回总金额=10,000×1.2500=12,500.00元</w:t>
      </w:r>
    </w:p>
    <w:p>
      <w:pPr>
        <w:pStyle w:val="163"/>
        <w:rPr>
          <w:rFonts w:hint="eastAsia"/>
        </w:rPr>
      </w:pPr>
      <w:r>
        <w:rPr>
          <w:rFonts w:hint="eastAsia"/>
        </w:rPr>
        <w:t>赎回费用=12,500.00×0.50%=62.50元</w:t>
      </w:r>
    </w:p>
    <w:p>
      <w:pPr>
        <w:pStyle w:val="163"/>
        <w:rPr>
          <w:rFonts w:hint="eastAsia"/>
        </w:rPr>
      </w:pPr>
      <w:r>
        <w:rPr>
          <w:rFonts w:hint="eastAsia"/>
        </w:rPr>
        <w:t>净赎回金额=12,500.00-62.50= 12,437.50 元</w:t>
      </w:r>
    </w:p>
    <w:p>
      <w:pPr>
        <w:pStyle w:val="163"/>
      </w:pPr>
      <w:r>
        <w:rPr>
          <w:rFonts w:hint="eastAsia"/>
        </w:rPr>
        <w:t>即：投资者赎回本基金A类基金份额1万份，持有时间为60天，假设赎回当日A类基金份额净值是1.2500元，则其可得到的赎回金额为12,437.50元。</w:t>
      </w:r>
    </w:p>
    <w:p>
      <w:pPr>
        <w:pStyle w:val="163"/>
      </w:pPr>
      <w:r>
        <w:rPr>
          <w:rFonts w:hint="eastAsia"/>
        </w:rPr>
        <w:t>3、</w:t>
      </w:r>
      <w:r>
        <w:rPr>
          <w:rFonts w:hint="eastAsia" w:asciiTheme="minorEastAsia" w:hAnsiTheme="minorEastAsia" w:eastAsiaTheme="minorEastAsia"/>
        </w:rPr>
        <w:t>本基金</w:t>
      </w:r>
      <w:r>
        <w:rPr>
          <w:rFonts w:asciiTheme="minorEastAsia" w:hAnsiTheme="minorEastAsia" w:eastAsiaTheme="minorEastAsia"/>
        </w:rPr>
        <w:t>A</w:t>
      </w:r>
      <w:r>
        <w:rPr>
          <w:rFonts w:hint="eastAsia" w:asciiTheme="minorEastAsia" w:hAnsiTheme="minorEastAsia" w:eastAsiaTheme="minorEastAsia"/>
        </w:rPr>
        <w:t>类基金份额和</w:t>
      </w:r>
      <w:r>
        <w:rPr>
          <w:rFonts w:asciiTheme="minorEastAsia" w:hAnsiTheme="minorEastAsia" w:eastAsiaTheme="minorEastAsia"/>
        </w:rPr>
        <w:t>C</w:t>
      </w:r>
      <w:r>
        <w:rPr>
          <w:rFonts w:hint="eastAsia" w:asciiTheme="minorEastAsia" w:hAnsiTheme="minorEastAsia" w:eastAsiaTheme="minorEastAsia"/>
        </w:rPr>
        <w:t>类基金份额分别设置代码，分别计算和公告各类基金份额净值和基金份额累计净值。</w:t>
      </w:r>
      <w:r>
        <w:rPr>
          <w:rFonts w:hint="eastAsia"/>
        </w:rPr>
        <w:t>本基金</w:t>
      </w:r>
      <w:r>
        <w:rPr>
          <w:rFonts w:hint="eastAsia" w:asciiTheme="minorEastAsia" w:hAnsiTheme="minorEastAsia" w:eastAsiaTheme="minorEastAsia"/>
        </w:rPr>
        <w:t>各类</w:t>
      </w:r>
      <w:r>
        <w:rPr>
          <w:rFonts w:hint="eastAsia"/>
        </w:rPr>
        <w:t>基金份额净值的计算，均保留到小数点后4位，小数点后第5位四舍五入，由此产生的收益或损失由基金财产承担。T日的</w:t>
      </w:r>
      <w:r>
        <w:rPr>
          <w:rFonts w:hint="eastAsia" w:asciiTheme="minorEastAsia" w:hAnsiTheme="minorEastAsia" w:eastAsiaTheme="minorEastAsia"/>
        </w:rPr>
        <w:t>各类</w:t>
      </w:r>
      <w:r>
        <w:rPr>
          <w:rFonts w:hint="eastAsia"/>
        </w:rPr>
        <w:t>基金份额净值在当天收市后计算，并在T+1日内进行公告。遇特殊情况，经履行适当程序，可以适当延迟计算或公告。</w:t>
      </w:r>
    </w:p>
    <w:p>
      <w:pPr>
        <w:pStyle w:val="163"/>
        <w:ind w:firstLine="422"/>
        <w:rPr>
          <w:b/>
        </w:rPr>
      </w:pPr>
      <w:r>
        <w:rPr>
          <w:rFonts w:hint="eastAsia"/>
          <w:b/>
        </w:rPr>
        <w:t>八、申购和赎回的登记</w:t>
      </w:r>
    </w:p>
    <w:p>
      <w:pPr>
        <w:pStyle w:val="163"/>
      </w:pPr>
      <w:r>
        <w:rPr>
          <w:rFonts w:hint="eastAsia"/>
        </w:rPr>
        <w:t>投资人申购基金成功后，基金登记机构在T+1日为投资人登记权益并办理登记手续，投资人自T+2日（含该日）后有权赎回该部分基金份额。</w:t>
      </w:r>
    </w:p>
    <w:p>
      <w:pPr>
        <w:pStyle w:val="163"/>
      </w:pPr>
      <w:r>
        <w:rPr>
          <w:rFonts w:hint="eastAsia"/>
        </w:rPr>
        <w:t>投资人赎回基金成功后，基金登记机构在T+1日为投资人办理扣除权益的登记手续。</w:t>
      </w:r>
    </w:p>
    <w:p>
      <w:pPr>
        <w:pStyle w:val="163"/>
      </w:pPr>
      <w:r>
        <w:rPr>
          <w:rFonts w:hint="eastAsia"/>
        </w:rPr>
        <w:t>基金管理人可以在不违反法律法规的范围内，对上述登记办理时间进行调整，但不得实质影响投资人的合法权益，并最迟于实施前依照《信息披露办法》的有关规定在规定媒介公告。</w:t>
      </w:r>
    </w:p>
    <w:p>
      <w:pPr>
        <w:pStyle w:val="163"/>
        <w:ind w:firstLine="422"/>
        <w:rPr>
          <w:b/>
        </w:rPr>
      </w:pPr>
      <w:r>
        <w:rPr>
          <w:rFonts w:hint="eastAsia"/>
          <w:b/>
        </w:rPr>
        <w:t>九、</w:t>
      </w:r>
      <w:r>
        <w:rPr>
          <w:b/>
        </w:rPr>
        <w:t>拒绝或暂停申购的情形</w:t>
      </w:r>
    </w:p>
    <w:p>
      <w:pPr>
        <w:pStyle w:val="163"/>
        <w:rPr>
          <w:rFonts w:asciiTheme="minorEastAsia" w:hAnsiTheme="minorEastAsia" w:eastAsiaTheme="minorEastAsia"/>
        </w:rPr>
      </w:pPr>
      <w:r>
        <w:rPr>
          <w:rFonts w:hint="eastAsia" w:asciiTheme="minorEastAsia" w:hAnsiTheme="minorEastAsia" w:eastAsiaTheme="minorEastAsia"/>
        </w:rPr>
        <w:t>发生下列情况时，基金管理人可拒绝或暂停接受投资人的申购申请：</w:t>
      </w:r>
    </w:p>
    <w:p>
      <w:pPr>
        <w:pStyle w:val="163"/>
        <w:rPr>
          <w:rFonts w:asciiTheme="minorEastAsia" w:hAnsiTheme="minorEastAsia" w:eastAsiaTheme="minorEastAsia"/>
        </w:rPr>
      </w:pPr>
      <w:r>
        <w:rPr>
          <w:rFonts w:hint="eastAsia" w:asciiTheme="minorEastAsia" w:hAnsiTheme="minorEastAsia" w:eastAsiaTheme="minorEastAsia"/>
        </w:rPr>
        <w:t>1、因不可抗力导致基金无法正常运作。</w:t>
      </w:r>
    </w:p>
    <w:p>
      <w:pPr>
        <w:pStyle w:val="163"/>
        <w:rPr>
          <w:rFonts w:asciiTheme="minorEastAsia" w:hAnsiTheme="minorEastAsia" w:eastAsiaTheme="minorEastAsia"/>
        </w:rPr>
      </w:pPr>
      <w:r>
        <w:rPr>
          <w:rFonts w:hint="eastAsia" w:asciiTheme="minorEastAsia" w:hAnsiTheme="minorEastAsia" w:eastAsiaTheme="minorEastAsia"/>
        </w:rPr>
        <w:t>2、发生基金合同规定的暂停基金资产估值情况时。</w:t>
      </w:r>
    </w:p>
    <w:p>
      <w:pPr>
        <w:pStyle w:val="163"/>
        <w:rPr>
          <w:rFonts w:asciiTheme="minorEastAsia" w:hAnsiTheme="minorEastAsia" w:eastAsiaTheme="minorEastAsia"/>
        </w:rPr>
      </w:pPr>
      <w:r>
        <w:rPr>
          <w:rFonts w:hint="eastAsia" w:asciiTheme="minorEastAsia" w:hAnsiTheme="minorEastAsia" w:eastAsiaTheme="minorEastAsia"/>
        </w:rPr>
        <w:t>3、证券、期货交易所交易时间非正常停市，导致基金管理人无法计算当日基金资产净值。</w:t>
      </w:r>
    </w:p>
    <w:p>
      <w:pPr>
        <w:pStyle w:val="163"/>
        <w:rPr>
          <w:rFonts w:asciiTheme="minorEastAsia" w:hAnsiTheme="minorEastAsia" w:eastAsiaTheme="minorEastAsia"/>
        </w:rPr>
      </w:pPr>
      <w:r>
        <w:rPr>
          <w:rFonts w:hint="eastAsia" w:asciiTheme="minorEastAsia" w:hAnsiTheme="minorEastAsia" w:eastAsiaTheme="minorEastAsia"/>
        </w:rPr>
        <w:t>4、基金管理人接受某笔或某些申购申请可能会影响或损害现有基金份额持有人利益或对存量基金份额持有人利益构成潜在重大不利影响时。</w:t>
      </w:r>
    </w:p>
    <w:p>
      <w:pPr>
        <w:pStyle w:val="163"/>
        <w:rPr>
          <w:rFonts w:asciiTheme="minorEastAsia" w:hAnsiTheme="minorEastAsia" w:eastAsiaTheme="minorEastAsia"/>
        </w:rPr>
      </w:pPr>
      <w:r>
        <w:rPr>
          <w:rFonts w:hint="eastAsia" w:asciiTheme="minorEastAsia" w:hAnsiTheme="minorEastAsia" w:eastAsiaTheme="minorEastAsia"/>
        </w:rPr>
        <w:t>5、基金资产规模过大，使基金管理人无法找到合适的投资品种，或其他可能对基金业绩产生负面影响，或发生其他损害现有基金份额持有人利益的情形。</w:t>
      </w:r>
    </w:p>
    <w:p>
      <w:pPr>
        <w:pStyle w:val="163"/>
        <w:rPr>
          <w:rFonts w:asciiTheme="minorEastAsia" w:hAnsiTheme="minorEastAsia" w:eastAsiaTheme="minorEastAsia"/>
        </w:rPr>
      </w:pPr>
      <w:r>
        <w:rPr>
          <w:rFonts w:hint="eastAsia" w:asciiTheme="minorEastAsia" w:hAnsiTheme="minorEastAsia" w:eastAsiaTheme="minorEastAsia"/>
          <w:lang w:val="en-US" w:eastAsia="zh-CN"/>
        </w:rPr>
        <w:t>6</w:t>
      </w:r>
      <w:r>
        <w:rPr>
          <w:rFonts w:hint="eastAsia" w:asciiTheme="minorEastAsia" w:hAnsiTheme="minorEastAsia" w:eastAsiaTheme="minorEastAsia"/>
        </w:rPr>
        <w:t>、当特定资产占前一估值日基金资产净值50%以上的，经与基金托管人协商确认后，基金管理人应当暂停接受基金申购申请。</w:t>
      </w:r>
    </w:p>
    <w:p>
      <w:pPr>
        <w:pStyle w:val="163"/>
        <w:rPr>
          <w:rFonts w:asciiTheme="minorEastAsia" w:hAnsiTheme="minorEastAsia" w:eastAsiaTheme="minorEastAsia"/>
        </w:rPr>
      </w:pPr>
      <w:r>
        <w:rPr>
          <w:rFonts w:hint="eastAsia" w:asciiTheme="minorEastAsia" w:hAnsiTheme="minorEastAsia" w:eastAsiaTheme="minorEastAsia"/>
          <w:lang w:val="en-US" w:eastAsia="zh-CN"/>
        </w:rPr>
        <w:t>7</w:t>
      </w:r>
      <w:r>
        <w:rPr>
          <w:rFonts w:hint="eastAsia" w:asciiTheme="minorEastAsia" w:hAnsiTheme="minorEastAsia" w:eastAsiaTheme="minorEastAsia"/>
        </w:rPr>
        <w:t>、基金管理人接受某笔或者某些申购申请有可能导致单一投资者持有基金份额的比例达到或者超过50%，或者变相规避50%集中度的情形时。</w:t>
      </w:r>
    </w:p>
    <w:p>
      <w:pPr>
        <w:pStyle w:val="163"/>
        <w:rPr>
          <w:rFonts w:asciiTheme="minorEastAsia" w:hAnsiTheme="minorEastAsia" w:eastAsiaTheme="minorEastAsia"/>
        </w:rPr>
      </w:pPr>
      <w:r>
        <w:rPr>
          <w:rFonts w:hint="eastAsia" w:asciiTheme="minorEastAsia" w:hAnsiTheme="minorEastAsia" w:eastAsiaTheme="minorEastAsia"/>
          <w:lang w:val="en-US" w:eastAsia="zh-CN"/>
        </w:rPr>
        <w:t>8</w:t>
      </w:r>
      <w:r>
        <w:rPr>
          <w:rFonts w:hint="eastAsia" w:asciiTheme="minorEastAsia" w:hAnsiTheme="minorEastAsia" w:eastAsiaTheme="minorEastAsia"/>
        </w:rPr>
        <w:t>、法律法规规定或中国证监会认定的其他情形。</w:t>
      </w:r>
    </w:p>
    <w:p>
      <w:pPr>
        <w:pStyle w:val="163"/>
        <w:rPr>
          <w:rFonts w:asciiTheme="minorEastAsia" w:hAnsiTheme="minorEastAsia" w:eastAsiaTheme="minorEastAsia"/>
        </w:rPr>
      </w:pPr>
      <w:r>
        <w:rPr>
          <w:rFonts w:hint="eastAsia" w:asciiTheme="minorEastAsia" w:hAnsiTheme="minorEastAsia" w:eastAsiaTheme="minorEastAsia"/>
        </w:rPr>
        <w:t>发生上述第1、2、3、5、6、项暂停申购情形之一且基金管理人决定暂停接受投资人的申购申请时，基金管理人应当根据有关规定在规定媒介上刊登暂停申购公告。如果投资人的申购申请被全部或部分拒绝，被拒绝的申购款项将退还给投资人。在暂停申购的情况消除时，基金管理人应及时恢复申购业务的办理。</w:t>
      </w:r>
    </w:p>
    <w:p>
      <w:pPr>
        <w:pStyle w:val="163"/>
        <w:ind w:firstLine="422"/>
        <w:rPr>
          <w:b/>
        </w:rPr>
      </w:pPr>
      <w:bookmarkStart w:id="85" w:name="_Hlt70481650"/>
      <w:bookmarkEnd w:id="85"/>
      <w:r>
        <w:rPr>
          <w:rFonts w:hint="eastAsia"/>
          <w:b/>
        </w:rPr>
        <w:t>十、</w:t>
      </w:r>
      <w:r>
        <w:rPr>
          <w:b/>
        </w:rPr>
        <w:t>暂停赎回或延缓支付赎回款项的情形</w:t>
      </w:r>
    </w:p>
    <w:p>
      <w:pPr>
        <w:pStyle w:val="163"/>
      </w:pPr>
      <w:r>
        <w:rPr>
          <w:rFonts w:hint="eastAsia"/>
        </w:rPr>
        <w:t>发生下列情形时，基金管理人可暂停接受投资人的赎回申请或延缓支付赎回款项：</w:t>
      </w:r>
    </w:p>
    <w:p>
      <w:pPr>
        <w:pStyle w:val="163"/>
      </w:pPr>
      <w:r>
        <w:rPr>
          <w:rFonts w:hint="eastAsia"/>
        </w:rPr>
        <w:t>1、因不可抗力导致基金管理人不能支付赎回款项。</w:t>
      </w:r>
    </w:p>
    <w:p>
      <w:pPr>
        <w:pStyle w:val="163"/>
      </w:pPr>
      <w:r>
        <w:rPr>
          <w:rFonts w:hint="eastAsia"/>
        </w:rPr>
        <w:t>2、发生基金合同规定的暂停基金资产估值情况时。</w:t>
      </w:r>
    </w:p>
    <w:p>
      <w:pPr>
        <w:pStyle w:val="163"/>
      </w:pPr>
      <w:r>
        <w:rPr>
          <w:rFonts w:hint="eastAsia"/>
        </w:rPr>
        <w:t>3、证券、期货交易所交易时间非正常停市，导致基金管理人无法计算当日基金资产净值。</w:t>
      </w:r>
    </w:p>
    <w:p>
      <w:pPr>
        <w:pStyle w:val="163"/>
      </w:pPr>
      <w:r>
        <w:rPr>
          <w:rFonts w:hint="eastAsia"/>
        </w:rPr>
        <w:t>4、连续两个或两个以上开放日发生巨额赎回。</w:t>
      </w:r>
    </w:p>
    <w:p>
      <w:pPr>
        <w:pStyle w:val="163"/>
      </w:pPr>
      <w:r>
        <w:rPr>
          <w:rFonts w:hint="eastAsia"/>
        </w:rPr>
        <w:t>5、发生继续接受赎回申请将损害现有基金份额持有人利益的情形时。</w:t>
      </w:r>
    </w:p>
    <w:p>
      <w:pPr>
        <w:pStyle w:val="163"/>
      </w:pPr>
      <w:r>
        <w:rPr>
          <w:rFonts w:hint="eastAsia"/>
        </w:rPr>
        <w:t>6、当特定资产占前一估值日基金资产净值50%以上的，经与基金托管人协商确认后，基金管理人应当延缓支付赎回款项或暂停接受基金赎回申请。</w:t>
      </w:r>
    </w:p>
    <w:p>
      <w:pPr>
        <w:pStyle w:val="163"/>
      </w:pPr>
      <w:r>
        <w:rPr>
          <w:rFonts w:hint="eastAsia"/>
        </w:rPr>
        <w:t>7、法律法规规定或中国证监会认定的其他情形。</w:t>
      </w:r>
    </w:p>
    <w:p>
      <w:pPr>
        <w:pStyle w:val="163"/>
      </w:pPr>
      <w:r>
        <w:rPr>
          <w:rFonts w:hint="eastAsia"/>
        </w:rPr>
        <w:t>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pStyle w:val="163"/>
        <w:ind w:firstLine="422"/>
        <w:rPr>
          <w:b/>
        </w:rPr>
      </w:pPr>
      <w:r>
        <w:rPr>
          <w:rFonts w:hint="eastAsia"/>
          <w:b/>
        </w:rPr>
        <w:t>十一、</w:t>
      </w:r>
      <w:r>
        <w:rPr>
          <w:b/>
        </w:rPr>
        <w:t>巨额赎回的情形及处理方式</w:t>
      </w:r>
    </w:p>
    <w:p>
      <w:pPr>
        <w:pStyle w:val="163"/>
        <w:rPr>
          <w:rFonts w:ascii="宋体" w:hAnsi="宋体"/>
          <w:bCs/>
        </w:rPr>
      </w:pPr>
      <w:r>
        <w:rPr>
          <w:rFonts w:hint="eastAsia" w:ascii="宋体" w:hAnsi="宋体"/>
          <w:bCs/>
        </w:rPr>
        <w:t>1、巨额赎回的认定</w:t>
      </w:r>
    </w:p>
    <w:p>
      <w:pPr>
        <w:pStyle w:val="163"/>
        <w:rPr>
          <w:rFonts w:ascii="宋体" w:hAnsi="宋体"/>
          <w:bCs/>
        </w:rPr>
      </w:pPr>
      <w:r>
        <w:rPr>
          <w:rFonts w:hint="eastAsia" w:ascii="宋体" w:hAnsi="宋体"/>
          <w:bCs/>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pStyle w:val="163"/>
        <w:rPr>
          <w:rFonts w:ascii="宋体" w:hAnsi="宋体"/>
          <w:bCs/>
        </w:rPr>
      </w:pPr>
      <w:r>
        <w:rPr>
          <w:rFonts w:hint="eastAsia" w:ascii="宋体" w:hAnsi="宋体"/>
          <w:bCs/>
        </w:rPr>
        <w:t>2、巨额赎回的处理方式</w:t>
      </w:r>
    </w:p>
    <w:p>
      <w:pPr>
        <w:pStyle w:val="163"/>
        <w:rPr>
          <w:rFonts w:ascii="宋体" w:hAnsi="宋体"/>
          <w:bCs/>
        </w:rPr>
      </w:pPr>
      <w:r>
        <w:rPr>
          <w:rFonts w:hint="eastAsia" w:ascii="宋体" w:hAnsi="宋体"/>
          <w:bCs/>
        </w:rPr>
        <w:t>当基金出现巨额赎回时，基金管理人可以根据基金当时的资产组合状况决定全额赎回</w:t>
      </w:r>
      <w:r>
        <w:rPr>
          <w:rFonts w:ascii="宋体" w:hAnsi="宋体"/>
          <w:bCs/>
        </w:rPr>
        <w:t>、</w:t>
      </w:r>
      <w:r>
        <w:rPr>
          <w:rFonts w:hint="eastAsia" w:ascii="宋体" w:hAnsi="宋体"/>
          <w:bCs/>
        </w:rPr>
        <w:t>部分延期赎回或暂停赎回。</w:t>
      </w:r>
    </w:p>
    <w:p>
      <w:pPr>
        <w:pStyle w:val="163"/>
        <w:rPr>
          <w:rFonts w:ascii="宋体" w:hAnsi="宋体"/>
          <w:bCs/>
        </w:rPr>
      </w:pPr>
      <w:r>
        <w:rPr>
          <w:rFonts w:hint="eastAsia" w:ascii="宋体" w:hAnsi="宋体"/>
          <w:bCs/>
        </w:rPr>
        <w:t>（1）全额赎回：当基金管理人认为有能力支付投资人的全部赎回申请时，按正常赎回程序执行。</w:t>
      </w:r>
    </w:p>
    <w:p>
      <w:pPr>
        <w:pStyle w:val="163"/>
        <w:rPr>
          <w:rFonts w:ascii="宋体" w:hAnsi="宋体"/>
          <w:bCs/>
        </w:rPr>
      </w:pPr>
      <w:r>
        <w:rPr>
          <w:rFonts w:hint="eastAsia" w:ascii="宋体" w:hAnsi="宋体"/>
          <w:bCs/>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pPr>
        <w:pStyle w:val="163"/>
        <w:rPr>
          <w:rFonts w:ascii="宋体" w:hAnsi="宋体"/>
          <w:bCs/>
        </w:rPr>
      </w:pPr>
      <w:r>
        <w:rPr>
          <w:rFonts w:hint="eastAsia" w:ascii="宋体" w:hAnsi="宋体"/>
          <w:bCs/>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pPr>
        <w:pStyle w:val="163"/>
        <w:rPr>
          <w:rFonts w:ascii="宋体" w:hAnsi="宋体"/>
          <w:bCs/>
        </w:rPr>
      </w:pPr>
      <w:r>
        <w:rPr>
          <w:rFonts w:hint="eastAsia" w:ascii="宋体" w:hAnsi="宋体"/>
          <w:bCs/>
        </w:rPr>
        <w:t>（4）暂停赎回：连续2个开放日以上（含2个开放日）发生巨额赎回，如基金管理人认为有必要，可暂停接受基金的赎回申请；已经接受的赎回申请可以延缓支付赎回款项，但不得超过20个工作日，并应当在规定媒介上进行公告。</w:t>
      </w:r>
    </w:p>
    <w:p>
      <w:pPr>
        <w:pStyle w:val="163"/>
        <w:rPr>
          <w:rFonts w:ascii="宋体" w:hAnsi="宋体"/>
          <w:bCs/>
        </w:rPr>
      </w:pPr>
      <w:r>
        <w:rPr>
          <w:rFonts w:hint="eastAsia" w:ascii="宋体" w:hAnsi="宋体"/>
          <w:bCs/>
        </w:rPr>
        <w:t>3、巨额赎回的公告</w:t>
      </w:r>
    </w:p>
    <w:p>
      <w:pPr>
        <w:pStyle w:val="163"/>
      </w:pPr>
      <w:r>
        <w:rPr>
          <w:rFonts w:hint="eastAsia" w:ascii="宋体" w:hAnsi="宋体"/>
          <w:bCs/>
        </w:rPr>
        <w:t>当发生上述巨额赎回并延期办理时，基金管理人应当通过邮寄、传真或者招募说明书规定的其他方式在3个交易日内通知基金份额持有人，说明有关处理方法，并在2日内在规定媒介上刊登公告。</w:t>
      </w:r>
    </w:p>
    <w:p>
      <w:pPr>
        <w:pStyle w:val="163"/>
        <w:ind w:firstLine="422"/>
        <w:rPr>
          <w:b/>
        </w:rPr>
      </w:pPr>
      <w:r>
        <w:rPr>
          <w:b/>
        </w:rPr>
        <w:t>十</w:t>
      </w:r>
      <w:r>
        <w:rPr>
          <w:rFonts w:hint="eastAsia"/>
          <w:b/>
        </w:rPr>
        <w:t>二、</w:t>
      </w:r>
      <w:r>
        <w:rPr>
          <w:b/>
        </w:rPr>
        <w:t>暂停申购或赎回的公告和重新开放申购或赎回的公告</w:t>
      </w:r>
    </w:p>
    <w:p>
      <w:pPr>
        <w:pStyle w:val="163"/>
        <w:rPr>
          <w:rFonts w:ascii="宋体" w:hAnsi="宋体"/>
          <w:bCs/>
        </w:rPr>
      </w:pPr>
      <w:r>
        <w:rPr>
          <w:rFonts w:ascii="宋体" w:hAnsi="宋体"/>
          <w:bCs/>
        </w:rPr>
        <w:t>1</w:t>
      </w:r>
      <w:r>
        <w:rPr>
          <w:rFonts w:hint="eastAsia" w:ascii="宋体" w:hAnsi="宋体"/>
          <w:bCs/>
        </w:rPr>
        <w:t>、发生上述暂停申购或赎回情况的，基金管理人应在规定期限内在规定媒介上刊登暂停公告。</w:t>
      </w:r>
    </w:p>
    <w:p>
      <w:pPr>
        <w:pStyle w:val="163"/>
        <w:rPr>
          <w:rFonts w:ascii="宋体" w:hAnsi="宋体"/>
          <w:bCs/>
        </w:rPr>
      </w:pPr>
      <w:r>
        <w:rPr>
          <w:rFonts w:hint="eastAsia" w:ascii="宋体" w:hAnsi="宋体"/>
          <w:bCs/>
        </w:rPr>
        <w:t>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pStyle w:val="163"/>
      </w:pPr>
      <w:r>
        <w:rPr>
          <w:rFonts w:hint="eastAsia" w:ascii="宋体" w:hAnsi="宋体"/>
          <w:bCs/>
        </w:rPr>
        <w:t>3、上述暂停申购或赎回情况消除的，基金管理人应于重新开放日公布最近1个开放日各类基金份额净值。</w:t>
      </w:r>
    </w:p>
    <w:p>
      <w:pPr>
        <w:pStyle w:val="163"/>
        <w:ind w:firstLine="422"/>
        <w:rPr>
          <w:b/>
        </w:rPr>
      </w:pPr>
      <w:r>
        <w:rPr>
          <w:b/>
        </w:rPr>
        <w:t>十</w:t>
      </w:r>
      <w:r>
        <w:rPr>
          <w:rFonts w:hint="eastAsia"/>
          <w:b/>
        </w:rPr>
        <w:t>三、</w:t>
      </w:r>
      <w:r>
        <w:rPr>
          <w:b/>
        </w:rPr>
        <w:t>基金转换</w:t>
      </w:r>
    </w:p>
    <w:p>
      <w:pPr>
        <w:pStyle w:val="163"/>
      </w:pPr>
      <w:r>
        <w:rPr>
          <w:rFonts w:hint="eastAsia" w:ascii="宋体" w:hAnsi="宋体"/>
          <w:bCs/>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pPr>
        <w:pStyle w:val="163"/>
        <w:ind w:firstLine="422"/>
        <w:rPr>
          <w:b/>
          <w:szCs w:val="24"/>
        </w:rPr>
      </w:pPr>
      <w:r>
        <w:rPr>
          <w:rFonts w:hint="eastAsia"/>
          <w:b/>
          <w:szCs w:val="24"/>
        </w:rPr>
        <w:t>十四、基金份额的转让</w:t>
      </w:r>
    </w:p>
    <w:p>
      <w:pPr>
        <w:pStyle w:val="163"/>
        <w:rPr>
          <w:szCs w:val="24"/>
        </w:rPr>
      </w:pPr>
      <w:r>
        <w:rPr>
          <w:rFonts w:hint="eastAsia"/>
          <w:szCs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pStyle w:val="163"/>
        <w:ind w:firstLine="422"/>
        <w:rPr>
          <w:b/>
          <w:szCs w:val="24"/>
        </w:rPr>
      </w:pPr>
      <w:r>
        <w:rPr>
          <w:rFonts w:hint="eastAsia"/>
          <w:b/>
          <w:szCs w:val="24"/>
        </w:rPr>
        <w:t>十五、基金的非交易过户</w:t>
      </w:r>
    </w:p>
    <w:p>
      <w:pPr>
        <w:pStyle w:val="163"/>
        <w:rPr>
          <w:szCs w:val="24"/>
        </w:rPr>
      </w:pPr>
      <w:r>
        <w:rPr>
          <w:rFonts w:hint="eastAsia"/>
          <w:szCs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pStyle w:val="163"/>
        <w:rPr>
          <w:szCs w:val="24"/>
        </w:rPr>
      </w:pPr>
      <w:r>
        <w:rPr>
          <w:rFonts w:hint="eastAsia"/>
          <w:szCs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pStyle w:val="163"/>
        <w:ind w:firstLine="422"/>
        <w:rPr>
          <w:b/>
          <w:szCs w:val="24"/>
        </w:rPr>
      </w:pPr>
      <w:r>
        <w:rPr>
          <w:rFonts w:hint="eastAsia"/>
          <w:b/>
          <w:szCs w:val="24"/>
        </w:rPr>
        <w:t>十六、基金的转托管</w:t>
      </w:r>
    </w:p>
    <w:p>
      <w:pPr>
        <w:pStyle w:val="163"/>
        <w:rPr>
          <w:szCs w:val="24"/>
        </w:rPr>
      </w:pPr>
      <w:r>
        <w:rPr>
          <w:rFonts w:hint="eastAsia"/>
          <w:szCs w:val="24"/>
        </w:rPr>
        <w:t>基金份额持有人可办理已持有基金份额在不同销售机构之间的转托管，基金销售机构可以按照规定的标准收取转托管费。</w:t>
      </w:r>
    </w:p>
    <w:p>
      <w:pPr>
        <w:pStyle w:val="163"/>
        <w:ind w:firstLine="422"/>
        <w:rPr>
          <w:b/>
          <w:szCs w:val="24"/>
        </w:rPr>
      </w:pPr>
      <w:r>
        <w:rPr>
          <w:rFonts w:hint="eastAsia"/>
          <w:b/>
          <w:szCs w:val="24"/>
        </w:rPr>
        <w:t>十七、定期定额投资计划</w:t>
      </w:r>
    </w:p>
    <w:p>
      <w:pPr>
        <w:pStyle w:val="163"/>
        <w:rPr>
          <w:szCs w:val="24"/>
        </w:rPr>
      </w:pPr>
      <w:r>
        <w:rPr>
          <w:rFonts w:hint="eastAsia"/>
          <w:szCs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pStyle w:val="163"/>
        <w:ind w:firstLine="422"/>
        <w:rPr>
          <w:b/>
          <w:szCs w:val="24"/>
        </w:rPr>
      </w:pPr>
      <w:r>
        <w:rPr>
          <w:rFonts w:hint="eastAsia"/>
          <w:b/>
          <w:szCs w:val="24"/>
        </w:rPr>
        <w:t>十八、基金份额的冻结、解冻与质押</w:t>
      </w:r>
    </w:p>
    <w:p>
      <w:pPr>
        <w:pStyle w:val="163"/>
        <w:rPr>
          <w:szCs w:val="24"/>
        </w:rPr>
      </w:pPr>
      <w:r>
        <w:rPr>
          <w:rFonts w:hint="eastAsia"/>
          <w:szCs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pPr>
        <w:adjustRightInd w:val="0"/>
        <w:snapToGrid w:val="0"/>
        <w:spacing w:line="360" w:lineRule="auto"/>
        <w:ind w:firstLine="420" w:firstLineChars="200"/>
        <w:rPr>
          <w:rFonts w:asciiTheme="minorEastAsia" w:hAnsiTheme="minorEastAsia" w:eastAsiaTheme="minorEastAsia"/>
        </w:rPr>
      </w:pPr>
      <w:r>
        <w:rPr>
          <w:rFonts w:hint="eastAsia"/>
        </w:rPr>
        <w:t>对基金份额持有人无实质不利影响的前提下，如相关法律法规允许，基金管理人履行相关程序后可办理基金份额的质押业务或其他基金业务，基金管理人将制定和实施相应的业务规则。</w:t>
      </w:r>
    </w:p>
    <w:p>
      <w:pPr>
        <w:pStyle w:val="163"/>
        <w:ind w:firstLine="422"/>
        <w:rPr>
          <w:b/>
          <w:szCs w:val="24"/>
        </w:rPr>
      </w:pPr>
      <w:r>
        <w:rPr>
          <w:rFonts w:hint="eastAsia"/>
          <w:b/>
          <w:szCs w:val="24"/>
        </w:rPr>
        <w:t>十九、实施侧袋机制期间本基金的申购与赎回</w:t>
      </w:r>
    </w:p>
    <w:p>
      <w:pPr>
        <w:pStyle w:val="163"/>
        <w:rPr>
          <w:rFonts w:asciiTheme="minorEastAsia" w:hAnsiTheme="minorEastAsia" w:eastAsiaTheme="minorEastAsia"/>
        </w:rPr>
      </w:pPr>
      <w:r>
        <w:rPr>
          <w:rFonts w:hint="eastAsia"/>
          <w:szCs w:val="24"/>
        </w:rPr>
        <w:t>本基金实施侧袋机制的，本基金的申购和赎回安排详见招募说明书“侧袋机制”部分的规定或相关公告。</w:t>
      </w:r>
    </w:p>
    <w:p>
      <w:pPr>
        <w:snapToGrid w:val="0"/>
        <w:spacing w:line="360" w:lineRule="auto"/>
        <w:ind w:firstLine="420" w:firstLineChars="200"/>
        <w:sectPr>
          <w:footerReference r:id="rId15" w:type="first"/>
          <w:footerReference r:id="rId14" w:type="defaul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86" w:name="_Toc332013119"/>
      <w:bookmarkStart w:id="87" w:name="_Toc92740292"/>
      <w:bookmarkStart w:id="88" w:name="_Toc411872031"/>
      <w:bookmarkStart w:id="89" w:name="_Toc335899842"/>
      <w:bookmarkStart w:id="90" w:name="_Toc375295982"/>
      <w:bookmarkStart w:id="91" w:name="_Toc369510017"/>
      <w:bookmarkStart w:id="92" w:name="_Toc336606236"/>
      <w:r>
        <w:rPr>
          <w:rFonts w:hint="eastAsia"/>
        </w:rPr>
        <w:t>基金的投资</w:t>
      </w:r>
      <w:bookmarkEnd w:id="86"/>
      <w:bookmarkEnd w:id="87"/>
      <w:bookmarkEnd w:id="88"/>
      <w:bookmarkEnd w:id="89"/>
      <w:bookmarkEnd w:id="90"/>
      <w:bookmarkEnd w:id="91"/>
      <w:bookmarkEnd w:id="92"/>
    </w:p>
    <w:p>
      <w:pPr>
        <w:pStyle w:val="163"/>
        <w:ind w:firstLine="422"/>
        <w:rPr>
          <w:b/>
        </w:rPr>
      </w:pPr>
      <w:r>
        <w:rPr>
          <w:b/>
        </w:rPr>
        <w:t>一、投资目标</w:t>
      </w:r>
    </w:p>
    <w:p>
      <w:pPr>
        <w:adjustRightInd w:val="0"/>
        <w:snapToGrid w:val="0"/>
        <w:spacing w:line="360" w:lineRule="auto"/>
        <w:ind w:firstLine="420" w:firstLineChars="200"/>
        <w:rPr>
          <w:rFonts w:asciiTheme="minorEastAsia" w:hAnsiTheme="minorEastAsia" w:eastAsiaTheme="minorEastAsia"/>
          <w:szCs w:val="21"/>
        </w:rPr>
      </w:pPr>
      <w:r>
        <w:rPr>
          <w:rFonts w:hint="eastAsia" w:ascii="宋体" w:cs="宋体" w:eastAsiaTheme="minorEastAsia"/>
          <w:kern w:val="0"/>
          <w:szCs w:val="21"/>
        </w:rPr>
        <w:t>紧密跟踪标的指数，追求跟踪偏离度和跟踪误差的最小化。在正常情况下，本基金力争控制投资组合的净值增长率与业绩比较基准之间的预期日均跟踪偏离度的绝对值小于0.35%，预期年化跟踪误差不超过4%。</w:t>
      </w:r>
    </w:p>
    <w:p>
      <w:pPr>
        <w:pStyle w:val="163"/>
        <w:ind w:firstLine="422"/>
        <w:rPr>
          <w:b/>
        </w:rPr>
      </w:pPr>
      <w:r>
        <w:rPr>
          <w:rFonts w:hint="eastAsia"/>
          <w:b/>
        </w:rPr>
        <w:t xml:space="preserve"> </w:t>
      </w:r>
      <w:r>
        <w:rPr>
          <w:b/>
        </w:rPr>
        <w:t>二、投资范围</w:t>
      </w:r>
    </w:p>
    <w:p>
      <w:pPr>
        <w:adjustRightInd w:val="0"/>
        <w:snapToGrid w:val="0"/>
        <w:spacing w:line="360" w:lineRule="auto"/>
        <w:ind w:firstLine="420" w:firstLineChars="200"/>
      </w:pPr>
      <w:r>
        <w:rPr>
          <w:rFonts w:hint="eastAsia"/>
        </w:rPr>
        <w:t>本基金主要投资于标的指数成份股和备选成份股（含存托凭证）。</w:t>
      </w:r>
    </w:p>
    <w:p>
      <w:pPr>
        <w:adjustRightInd w:val="0"/>
        <w:snapToGrid w:val="0"/>
        <w:spacing w:line="360" w:lineRule="auto"/>
        <w:ind w:firstLine="420" w:firstLineChars="200"/>
      </w:pPr>
      <w:r>
        <w:rPr>
          <w:rFonts w:hint="eastAsia"/>
        </w:rPr>
        <w:t>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w:t>
      </w:r>
    </w:p>
    <w:p>
      <w:pPr>
        <w:adjustRightInd w:val="0"/>
        <w:snapToGrid w:val="0"/>
        <w:spacing w:line="360" w:lineRule="auto"/>
        <w:ind w:firstLine="420" w:firstLineChars="200"/>
      </w:pPr>
      <w:r>
        <w:rPr>
          <w:rFonts w:hint="eastAsia"/>
        </w:rPr>
        <w:t>本基金可根据法律法规的规定参与融资及转融通证券出借业务。未来在法律法规允许的前提下，本基金可根据相关法律法规规定参与融券业务。</w:t>
      </w:r>
    </w:p>
    <w:p>
      <w:pPr>
        <w:adjustRightInd w:val="0"/>
        <w:snapToGrid w:val="0"/>
        <w:spacing w:line="360" w:lineRule="auto"/>
        <w:ind w:firstLine="420" w:firstLineChars="200"/>
      </w:pPr>
      <w:r>
        <w:rPr>
          <w:rFonts w:hint="eastAsia"/>
        </w:rPr>
        <w:t>本基金根据相关法律法规或中国证监会要求履行适当程序后，还可以投资于法律法规或中国证监会未来允许基金投资的其他金融工具。</w:t>
      </w:r>
    </w:p>
    <w:p>
      <w:pPr>
        <w:adjustRightInd w:val="0"/>
        <w:snapToGrid w:val="0"/>
        <w:spacing w:line="360" w:lineRule="auto"/>
        <w:ind w:firstLine="420" w:firstLineChars="200"/>
      </w:pPr>
      <w:r>
        <w:rPr>
          <w:rFonts w:hint="eastAsia"/>
        </w:rPr>
        <w:t>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pPr>
        <w:adjustRightInd w:val="0"/>
        <w:snapToGrid w:val="0"/>
        <w:spacing w:line="360" w:lineRule="auto"/>
        <w:ind w:firstLine="420" w:firstLineChars="200"/>
      </w:pPr>
      <w:r>
        <w:rPr>
          <w:rFonts w:hint="eastAsia"/>
        </w:rPr>
        <w:t>若法律法规的相关规定发生变更或监管机构允许，本基金管理人在履行适当程序后，可对上述资产配置比例进行调整。</w:t>
      </w:r>
    </w:p>
    <w:p>
      <w:pPr>
        <w:pStyle w:val="163"/>
        <w:ind w:firstLine="422"/>
        <w:rPr>
          <w:b/>
        </w:rPr>
      </w:pPr>
      <w:r>
        <w:rPr>
          <w:b/>
        </w:rPr>
        <w:t>三、投资策略</w:t>
      </w:r>
    </w:p>
    <w:p>
      <w:pPr>
        <w:adjustRightInd w:val="0"/>
        <w:snapToGrid w:val="0"/>
        <w:spacing w:line="360" w:lineRule="auto"/>
        <w:ind w:firstLine="420" w:firstLineChars="200"/>
        <w:rPr>
          <w:rFonts w:ascii="宋体" w:hAnsi="宋体"/>
        </w:rPr>
      </w:pPr>
      <w:r>
        <w:rPr>
          <w:rFonts w:hint="eastAsia" w:ascii="宋体" w:hAnsi="宋体"/>
        </w:rPr>
        <w:t>1、组合复制策略</w:t>
      </w:r>
    </w:p>
    <w:p>
      <w:pPr>
        <w:adjustRightInd w:val="0"/>
        <w:snapToGrid w:val="0"/>
        <w:spacing w:line="360" w:lineRule="auto"/>
        <w:ind w:firstLine="420" w:firstLineChars="200"/>
        <w:rPr>
          <w:rFonts w:ascii="宋体" w:hAnsi="宋体"/>
        </w:rPr>
      </w:pPr>
      <w:r>
        <w:rPr>
          <w:rFonts w:hint="eastAsia" w:ascii="宋体" w:hAnsi="宋体"/>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pPr>
        <w:adjustRightInd w:val="0"/>
        <w:snapToGrid w:val="0"/>
        <w:spacing w:line="360" w:lineRule="auto"/>
        <w:ind w:firstLine="420" w:firstLineChars="200"/>
        <w:rPr>
          <w:rFonts w:ascii="宋体" w:hAnsi="宋体"/>
        </w:rPr>
      </w:pPr>
      <w:r>
        <w:rPr>
          <w:rFonts w:hint="eastAsia" w:ascii="宋体" w:hAnsi="宋体"/>
        </w:rPr>
        <w:t>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pPr>
        <w:adjustRightInd w:val="0"/>
        <w:snapToGrid w:val="0"/>
        <w:spacing w:line="360" w:lineRule="auto"/>
        <w:ind w:firstLine="420" w:firstLineChars="200"/>
        <w:rPr>
          <w:rFonts w:ascii="宋体" w:hAnsi="宋体"/>
        </w:rPr>
      </w:pPr>
      <w:r>
        <w:rPr>
          <w:rFonts w:hint="eastAsia" w:ascii="宋体" w:hAnsi="宋体"/>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pPr>
        <w:adjustRightInd w:val="0"/>
        <w:snapToGrid w:val="0"/>
        <w:spacing w:line="360" w:lineRule="auto"/>
        <w:ind w:firstLine="420" w:firstLineChars="200"/>
        <w:rPr>
          <w:rFonts w:ascii="宋体" w:hAnsi="宋体"/>
        </w:rPr>
      </w:pPr>
      <w:r>
        <w:rPr>
          <w:rFonts w:hint="eastAsia" w:ascii="宋体" w:hAnsi="宋体"/>
        </w:rPr>
        <w:t>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 </w:t>
      </w:r>
    </w:p>
    <w:p>
      <w:pPr>
        <w:adjustRightInd w:val="0"/>
        <w:snapToGrid w:val="0"/>
        <w:spacing w:line="360" w:lineRule="auto"/>
        <w:ind w:firstLine="420" w:firstLineChars="200"/>
        <w:rPr>
          <w:rFonts w:ascii="宋体" w:hAnsi="宋体"/>
        </w:rPr>
      </w:pPr>
      <w:r>
        <w:rPr>
          <w:rFonts w:hint="eastAsia" w:ascii="宋体" w:hAnsi="宋体"/>
        </w:rPr>
        <w:t>2、债券（除可转换债券和可交换债券）投资策略</w:t>
      </w:r>
    </w:p>
    <w:p>
      <w:pPr>
        <w:adjustRightInd w:val="0"/>
        <w:snapToGrid w:val="0"/>
        <w:spacing w:line="360" w:lineRule="auto"/>
        <w:ind w:firstLine="420" w:firstLineChars="200"/>
        <w:rPr>
          <w:rFonts w:ascii="宋体" w:hAnsi="宋体"/>
        </w:rPr>
      </w:pPr>
      <w:r>
        <w:rPr>
          <w:rFonts w:hint="eastAsia" w:ascii="宋体" w:hAnsi="宋体"/>
        </w:rPr>
        <w:t>本基金债券投资组合将着重考虑基金的流动性管理及策略性投资的需要进行配置。债券投资的目的是保证基金资产流动性，有效利用基金资产，提高基金资产的投资收益。 </w:t>
      </w:r>
    </w:p>
    <w:p>
      <w:pPr>
        <w:adjustRightInd w:val="0"/>
        <w:snapToGrid w:val="0"/>
        <w:spacing w:line="360" w:lineRule="auto"/>
        <w:ind w:firstLine="420" w:firstLineChars="200"/>
        <w:rPr>
          <w:rFonts w:ascii="宋体" w:hAnsi="宋体"/>
        </w:rPr>
      </w:pPr>
      <w:r>
        <w:rPr>
          <w:rFonts w:hint="eastAsia" w:ascii="宋体" w:hAnsi="宋体"/>
        </w:rPr>
        <w:t>3、资产支持证券的投资策略</w:t>
      </w:r>
    </w:p>
    <w:p>
      <w:pPr>
        <w:adjustRightInd w:val="0"/>
        <w:snapToGrid w:val="0"/>
        <w:spacing w:line="360" w:lineRule="auto"/>
        <w:ind w:firstLine="420" w:firstLineChars="200"/>
        <w:rPr>
          <w:rFonts w:ascii="宋体" w:hAnsi="宋体"/>
        </w:rPr>
      </w:pPr>
      <w:r>
        <w:rPr>
          <w:rFonts w:hint="eastAsia" w:ascii="宋体" w:hAnsi="宋体"/>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pPr>
        <w:adjustRightInd w:val="0"/>
        <w:snapToGrid w:val="0"/>
        <w:spacing w:line="360" w:lineRule="auto"/>
        <w:ind w:firstLine="420" w:firstLineChars="200"/>
        <w:rPr>
          <w:rFonts w:ascii="宋体" w:hAnsi="宋体"/>
        </w:rPr>
      </w:pPr>
      <w:r>
        <w:rPr>
          <w:rFonts w:hint="eastAsia" w:ascii="宋体" w:hAnsi="宋体"/>
        </w:rPr>
        <w:t>4、可转换债券和可交换债券投资策略</w:t>
      </w:r>
    </w:p>
    <w:p>
      <w:pPr>
        <w:adjustRightInd w:val="0"/>
        <w:snapToGrid w:val="0"/>
        <w:spacing w:line="360" w:lineRule="auto"/>
        <w:ind w:firstLine="420" w:firstLineChars="200"/>
        <w:rPr>
          <w:rFonts w:ascii="宋体" w:hAnsi="宋体"/>
        </w:rPr>
      </w:pPr>
      <w:r>
        <w:rPr>
          <w:rFonts w:hint="eastAsia" w:ascii="宋体" w:hAnsi="宋体"/>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pPr>
        <w:adjustRightInd w:val="0"/>
        <w:snapToGrid w:val="0"/>
        <w:spacing w:line="360" w:lineRule="auto"/>
        <w:ind w:firstLine="420" w:firstLineChars="200"/>
        <w:rPr>
          <w:rFonts w:ascii="宋体" w:hAnsi="宋体"/>
        </w:rPr>
      </w:pPr>
      <w:r>
        <w:rPr>
          <w:rFonts w:hint="eastAsia" w:ascii="宋体" w:hAnsi="宋体"/>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pPr>
        <w:adjustRightInd w:val="0"/>
        <w:snapToGrid w:val="0"/>
        <w:spacing w:line="360" w:lineRule="auto"/>
        <w:ind w:firstLine="420" w:firstLineChars="200"/>
        <w:rPr>
          <w:rFonts w:ascii="宋体" w:hAnsi="宋体"/>
        </w:rPr>
      </w:pPr>
      <w:r>
        <w:rPr>
          <w:rFonts w:hint="eastAsia" w:ascii="宋体" w:hAnsi="宋体"/>
        </w:rPr>
        <w:t>5、衍生品投资策略</w:t>
      </w:r>
    </w:p>
    <w:p>
      <w:pPr>
        <w:adjustRightInd w:val="0"/>
        <w:snapToGrid w:val="0"/>
        <w:spacing w:line="360" w:lineRule="auto"/>
        <w:ind w:firstLine="420" w:firstLineChars="200"/>
        <w:rPr>
          <w:rFonts w:ascii="宋体" w:hAnsi="宋体"/>
        </w:rPr>
      </w:pPr>
      <w:r>
        <w:rPr>
          <w:rFonts w:hint="eastAsia" w:ascii="宋体" w:hAnsi="宋体"/>
        </w:rPr>
        <w:t>（1）股指期货、国债期货投资策略 </w:t>
      </w:r>
    </w:p>
    <w:p>
      <w:pPr>
        <w:adjustRightInd w:val="0"/>
        <w:snapToGrid w:val="0"/>
        <w:spacing w:line="360" w:lineRule="auto"/>
        <w:ind w:firstLine="420" w:firstLineChars="200"/>
        <w:rPr>
          <w:rFonts w:ascii="宋体" w:hAnsi="宋体"/>
        </w:rPr>
      </w:pPr>
      <w:r>
        <w:rPr>
          <w:rFonts w:hint="eastAsia" w:ascii="宋体" w:hAnsi="宋体"/>
        </w:rPr>
        <w:t>本基金投资股指期货将根据风险管理的原则，以套期保值为目的，力争利用股指期货的杠杆作用，降低股票仓位频繁调整的交易成本和跟踪误差，达到有效跟踪标的指数的目的。 </w:t>
      </w:r>
    </w:p>
    <w:p>
      <w:pPr>
        <w:adjustRightInd w:val="0"/>
        <w:snapToGrid w:val="0"/>
        <w:spacing w:line="360" w:lineRule="auto"/>
        <w:ind w:firstLine="420" w:firstLineChars="200"/>
        <w:rPr>
          <w:rFonts w:ascii="宋体" w:hAnsi="宋体"/>
        </w:rPr>
      </w:pPr>
      <w:r>
        <w:rPr>
          <w:rFonts w:hint="eastAsia" w:ascii="宋体" w:hAnsi="宋体"/>
        </w:rPr>
        <w:t>本基金将根据风险管理的原则，以套期保值为目的，在风险可控的前提下，本着谨慎原则，参与国债期货的投资，改善组合的风险收益特性。 </w:t>
      </w:r>
    </w:p>
    <w:p>
      <w:pPr>
        <w:adjustRightInd w:val="0"/>
        <w:snapToGrid w:val="0"/>
        <w:spacing w:line="360" w:lineRule="auto"/>
        <w:ind w:firstLine="420" w:firstLineChars="200"/>
        <w:rPr>
          <w:rFonts w:ascii="宋体" w:hAnsi="宋体"/>
        </w:rPr>
      </w:pPr>
      <w:r>
        <w:rPr>
          <w:rFonts w:hint="eastAsia" w:ascii="宋体" w:hAnsi="宋体"/>
        </w:rPr>
        <w:t>（2）股票期权投资策略 </w:t>
      </w:r>
    </w:p>
    <w:p>
      <w:pPr>
        <w:adjustRightInd w:val="0"/>
        <w:snapToGrid w:val="0"/>
        <w:spacing w:line="360" w:lineRule="auto"/>
        <w:ind w:firstLine="420" w:firstLineChars="200"/>
        <w:rPr>
          <w:rFonts w:ascii="宋体" w:hAnsi="宋体"/>
        </w:rPr>
      </w:pPr>
      <w:r>
        <w:rPr>
          <w:rFonts w:hint="eastAsia" w:ascii="宋体" w:hAnsi="宋体"/>
        </w:rPr>
        <w:t>本基金将按照风险管理的原则，以套期保值为主要目的参与股票期权交易。本基金将结合投资目标、比例限制、风险收益特征以及法律法规的相关限定和要求，确定参与股票期权交易的投资时机和投资比例。 </w:t>
      </w:r>
    </w:p>
    <w:p>
      <w:pPr>
        <w:adjustRightInd w:val="0"/>
        <w:snapToGrid w:val="0"/>
        <w:spacing w:line="360" w:lineRule="auto"/>
        <w:ind w:firstLine="420" w:firstLineChars="200"/>
        <w:rPr>
          <w:rFonts w:ascii="宋体" w:hAnsi="宋体"/>
        </w:rPr>
      </w:pPr>
      <w:r>
        <w:rPr>
          <w:rFonts w:hint="eastAsia" w:ascii="宋体" w:hAnsi="宋体"/>
        </w:rPr>
        <w:t>6、融资及转融通证券出借业务投资策略</w:t>
      </w:r>
    </w:p>
    <w:p>
      <w:pPr>
        <w:adjustRightInd w:val="0"/>
        <w:snapToGrid w:val="0"/>
        <w:spacing w:line="360" w:lineRule="auto"/>
        <w:ind w:firstLine="420" w:firstLineChars="200"/>
        <w:rPr>
          <w:rFonts w:ascii="宋体" w:hAnsi="宋体"/>
        </w:rPr>
      </w:pPr>
      <w:r>
        <w:rPr>
          <w:rFonts w:hint="eastAsia" w:ascii="宋体" w:hAnsi="宋体"/>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 </w:t>
      </w:r>
    </w:p>
    <w:p>
      <w:pPr>
        <w:adjustRightInd w:val="0"/>
        <w:snapToGrid w:val="0"/>
        <w:spacing w:line="360" w:lineRule="auto"/>
        <w:ind w:firstLine="420" w:firstLineChars="200"/>
        <w:rPr>
          <w:rFonts w:ascii="宋体" w:hAnsi="宋体"/>
        </w:rPr>
      </w:pPr>
      <w:r>
        <w:rPr>
          <w:rFonts w:hint="eastAsia" w:ascii="宋体" w:hAnsi="宋体"/>
        </w:rPr>
        <w:t>7、存托凭证投资策略</w:t>
      </w:r>
    </w:p>
    <w:p>
      <w:pPr>
        <w:adjustRightInd w:val="0"/>
        <w:snapToGrid w:val="0"/>
        <w:spacing w:line="360" w:lineRule="auto"/>
        <w:ind w:firstLine="420" w:firstLineChars="200"/>
        <w:rPr>
          <w:rFonts w:ascii="宋体" w:hAnsi="宋体"/>
        </w:rPr>
      </w:pPr>
      <w:r>
        <w:rPr>
          <w:rFonts w:hint="eastAsia" w:ascii="宋体" w:hAnsi="宋体"/>
        </w:rPr>
        <w:t>本基金将根据本基金的投资目标，基于对基础证券投资价值的深入研究判断，进行存托凭证的投资。 </w:t>
      </w:r>
    </w:p>
    <w:p>
      <w:pPr>
        <w:adjustRightInd w:val="0"/>
        <w:snapToGrid w:val="0"/>
        <w:spacing w:line="360" w:lineRule="auto"/>
        <w:ind w:firstLine="420" w:firstLineChars="200"/>
        <w:rPr>
          <w:rFonts w:ascii="宋体" w:hAnsi="宋体"/>
        </w:rPr>
      </w:pPr>
      <w:r>
        <w:rPr>
          <w:rFonts w:hint="eastAsia" w:ascii="宋体" w:hAnsi="宋体"/>
        </w:rPr>
        <w:t>未来，随着投资工具的发展和丰富，本基金可在不改变投资目标的前提下，相应调整和更新相关投资策略，并在更新的招募说明书中公告。</w:t>
      </w:r>
    </w:p>
    <w:p>
      <w:pPr>
        <w:pStyle w:val="163"/>
        <w:ind w:firstLine="422"/>
        <w:rPr>
          <w:b/>
        </w:rPr>
      </w:pPr>
      <w:r>
        <w:rPr>
          <w:rFonts w:hint="eastAsia"/>
          <w:b/>
        </w:rPr>
        <w:t>四</w:t>
      </w:r>
      <w:r>
        <w:rPr>
          <w:b/>
        </w:rPr>
        <w:t>、投资限制</w:t>
      </w:r>
    </w:p>
    <w:p>
      <w:pPr>
        <w:pStyle w:val="163"/>
        <w:rPr>
          <w:rFonts w:asciiTheme="minorEastAsia" w:hAnsiTheme="minorEastAsia" w:eastAsiaTheme="minorEastAsia"/>
        </w:rPr>
      </w:pPr>
      <w:r>
        <w:rPr>
          <w:rFonts w:hint="eastAsia" w:asciiTheme="minorEastAsia" w:hAnsiTheme="minorEastAsia" w:eastAsiaTheme="minorEastAsia"/>
        </w:rPr>
        <w:t>1、组合限制</w:t>
      </w:r>
    </w:p>
    <w:p>
      <w:pPr>
        <w:pStyle w:val="163"/>
        <w:rPr>
          <w:rFonts w:asciiTheme="minorEastAsia" w:hAnsiTheme="minorEastAsia" w:eastAsiaTheme="minorEastAsia"/>
        </w:rPr>
      </w:pPr>
      <w:r>
        <w:rPr>
          <w:rFonts w:hint="eastAsia" w:asciiTheme="minorEastAsia" w:hAnsiTheme="minorEastAsia" w:eastAsiaTheme="minorEastAsia"/>
        </w:rPr>
        <w:t>基金的投资组合应遵循以下限制：</w:t>
      </w:r>
    </w:p>
    <w:p>
      <w:pPr>
        <w:pStyle w:val="163"/>
        <w:rPr>
          <w:rFonts w:asciiTheme="minorEastAsia" w:hAnsiTheme="minorEastAsia" w:eastAsiaTheme="minorEastAsia"/>
        </w:rPr>
      </w:pPr>
      <w:r>
        <w:rPr>
          <w:rFonts w:hint="eastAsia" w:asciiTheme="minorEastAsia" w:hAnsiTheme="minorEastAsia" w:eastAsiaTheme="minorEastAsia"/>
        </w:rPr>
        <w:t>（1）本基金的股票资产投资比例不低于基金资产的90%，其中投资于标的指数成份股和备选成份股的资产不低于非现金基金资产的80%；</w:t>
      </w:r>
    </w:p>
    <w:p>
      <w:pPr>
        <w:pStyle w:val="163"/>
        <w:rPr>
          <w:rFonts w:asciiTheme="minorEastAsia" w:hAnsiTheme="minorEastAsia" w:eastAsiaTheme="minorEastAsia"/>
        </w:rPr>
      </w:pPr>
      <w:r>
        <w:rPr>
          <w:rFonts w:hint="eastAsia" w:asciiTheme="minorEastAsia" w:hAnsiTheme="minorEastAsia" w:eastAsiaTheme="minorEastAsia"/>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pPr>
        <w:pStyle w:val="163"/>
        <w:rPr>
          <w:rFonts w:asciiTheme="minorEastAsia" w:hAnsiTheme="minorEastAsia" w:eastAsiaTheme="minorEastAsia"/>
        </w:rPr>
      </w:pPr>
      <w:r>
        <w:rPr>
          <w:rFonts w:hint="eastAsia" w:asciiTheme="minorEastAsia" w:hAnsiTheme="minorEastAsia" w:eastAsiaTheme="minorEastAsia"/>
        </w:rPr>
        <w:t>（3）本基金持有一家公司发行的证券，其市值不超过基金资产净值的10%，但完全按照标的指数的构成比例进行投资的部分不受此限制；</w:t>
      </w:r>
    </w:p>
    <w:p>
      <w:pPr>
        <w:pStyle w:val="163"/>
        <w:rPr>
          <w:rFonts w:asciiTheme="minorEastAsia" w:hAnsiTheme="minorEastAsia" w:eastAsiaTheme="minorEastAsia"/>
        </w:rPr>
      </w:pPr>
      <w:r>
        <w:rPr>
          <w:rFonts w:hint="eastAsia" w:asciiTheme="minorEastAsia" w:hAnsiTheme="minorEastAsia" w:eastAsiaTheme="minorEastAsia"/>
        </w:rPr>
        <w:t>（4）本基金管理人管理的全部基金持有一家公司发行的证券，不超过该证券的10%，但完全按照标的指数的构成比例进行投资的部分不受此限制；</w:t>
      </w:r>
    </w:p>
    <w:p>
      <w:pPr>
        <w:pStyle w:val="163"/>
        <w:rPr>
          <w:rFonts w:asciiTheme="minorEastAsia" w:hAnsiTheme="minorEastAsia" w:eastAsiaTheme="minorEastAsia"/>
        </w:rPr>
      </w:pPr>
      <w:r>
        <w:rPr>
          <w:rFonts w:hint="eastAsia" w:asciiTheme="minorEastAsia" w:hAnsiTheme="minorEastAsia" w:eastAsiaTheme="minorEastAsia"/>
        </w:rPr>
        <w:t>（5）本基金资产总值不得超过基金资产净值的140%；</w:t>
      </w:r>
    </w:p>
    <w:p>
      <w:pPr>
        <w:pStyle w:val="163"/>
        <w:rPr>
          <w:rFonts w:asciiTheme="minorEastAsia" w:hAnsiTheme="minorEastAsia" w:eastAsiaTheme="minorEastAsia"/>
        </w:rPr>
      </w:pPr>
      <w:r>
        <w:rPr>
          <w:rFonts w:hint="eastAsia" w:asciiTheme="minorEastAsia" w:hAnsiTheme="minorEastAsia" w:eastAsiaTheme="minorEastAsia"/>
        </w:rPr>
        <w:t>（6）本基金投资于同一原始权益人的各类资产支持证券的比例，不得超过基金资产净值的10%；</w:t>
      </w:r>
    </w:p>
    <w:p>
      <w:pPr>
        <w:pStyle w:val="163"/>
        <w:rPr>
          <w:rFonts w:asciiTheme="minorEastAsia" w:hAnsiTheme="minorEastAsia" w:eastAsiaTheme="minorEastAsia"/>
        </w:rPr>
      </w:pPr>
      <w:r>
        <w:rPr>
          <w:rFonts w:hint="eastAsia" w:asciiTheme="minorEastAsia" w:hAnsiTheme="minorEastAsia" w:eastAsiaTheme="minorEastAsia"/>
        </w:rPr>
        <w:t>（7）本基金持有的全部资产支持证券，其市值不得超过基金资产净值的20%；</w:t>
      </w:r>
    </w:p>
    <w:p>
      <w:pPr>
        <w:pStyle w:val="163"/>
        <w:rPr>
          <w:rFonts w:asciiTheme="minorEastAsia" w:hAnsiTheme="minorEastAsia" w:eastAsiaTheme="minorEastAsia"/>
        </w:rPr>
      </w:pPr>
      <w:r>
        <w:rPr>
          <w:rFonts w:hint="eastAsia" w:asciiTheme="minorEastAsia" w:hAnsiTheme="minorEastAsia" w:eastAsiaTheme="minorEastAsia"/>
        </w:rPr>
        <w:t>（8）本基金持有的同一(指同一信用级别)资产支持证券的比例，不得超过该资产支持证券规模的10%；</w:t>
      </w:r>
    </w:p>
    <w:p>
      <w:pPr>
        <w:pStyle w:val="163"/>
        <w:rPr>
          <w:rFonts w:asciiTheme="minorEastAsia" w:hAnsiTheme="minorEastAsia" w:eastAsiaTheme="minorEastAsia"/>
        </w:rPr>
      </w:pPr>
      <w:r>
        <w:rPr>
          <w:rFonts w:hint="eastAsia" w:asciiTheme="minorEastAsia" w:hAnsiTheme="minorEastAsia" w:eastAsiaTheme="minorEastAsia"/>
        </w:rPr>
        <w:t>（9）本基金管理人管理的全部基金投资于同一原始权益人的各类资产支持证券，不得超过其各类资产支持证券合计规模的10%；</w:t>
      </w:r>
    </w:p>
    <w:p>
      <w:pPr>
        <w:pStyle w:val="163"/>
        <w:rPr>
          <w:rFonts w:asciiTheme="minorEastAsia" w:hAnsiTheme="minorEastAsia" w:eastAsiaTheme="minorEastAsia"/>
        </w:rPr>
      </w:pPr>
      <w:r>
        <w:rPr>
          <w:rFonts w:hint="eastAsia" w:asciiTheme="minorEastAsia" w:hAnsiTheme="minorEastAsia" w:eastAsiaTheme="minorEastAsia"/>
        </w:rPr>
        <w:t>（10）本基金应投资于信用级别评级为BBB以上(含BBB)的资产支持证券。基金持有资产支持证券期间，如果其信用等级下降、不再符合投资标准，应在评级报告发布之日起3个月内予以全部卖出；</w:t>
      </w:r>
    </w:p>
    <w:p>
      <w:pPr>
        <w:pStyle w:val="163"/>
        <w:rPr>
          <w:rFonts w:asciiTheme="minorEastAsia" w:hAnsiTheme="minorEastAsia" w:eastAsiaTheme="minorEastAsia"/>
        </w:rPr>
      </w:pPr>
      <w:r>
        <w:rPr>
          <w:rFonts w:hint="eastAsia" w:asciiTheme="minorEastAsia" w:hAnsiTheme="minorEastAsia" w:eastAsiaTheme="minorEastAsia"/>
        </w:rPr>
        <w:t>（11）基金财产参与股票发行申购，本基金所申报的金额不超过本基金的总资产，本基金所申报的股票数量不超过拟发行股票公司本次发行股票的总量；</w:t>
      </w:r>
    </w:p>
    <w:p>
      <w:pPr>
        <w:pStyle w:val="163"/>
        <w:rPr>
          <w:rFonts w:asciiTheme="minorEastAsia" w:hAnsiTheme="minorEastAsia" w:eastAsiaTheme="minorEastAsia"/>
        </w:rPr>
      </w:pPr>
      <w:r>
        <w:rPr>
          <w:rFonts w:hint="eastAsia" w:asciiTheme="minorEastAsia" w:hAnsiTheme="minorEastAsia" w:eastAsiaTheme="minorEastAsia"/>
        </w:rPr>
        <w:t>（12）本基金参与融资的，在任何交易日日终，本基金融资买入股票与其他有价证券市值之和，不得超过基金资产净值的95%；</w:t>
      </w:r>
    </w:p>
    <w:p>
      <w:pPr>
        <w:pStyle w:val="163"/>
        <w:rPr>
          <w:rFonts w:asciiTheme="minorEastAsia" w:hAnsiTheme="minorEastAsia" w:eastAsiaTheme="minorEastAsia"/>
        </w:rPr>
      </w:pPr>
      <w:r>
        <w:rPr>
          <w:rFonts w:hint="eastAsia" w:asciiTheme="minorEastAsia" w:hAnsiTheme="minorEastAsia" w:eastAsiaTheme="minorEastAsia"/>
        </w:rPr>
        <w:t>（13）本基金投资于股指期货和国债期货，还应遵循如下投资组合限制：</w:t>
      </w:r>
    </w:p>
    <w:p>
      <w:pPr>
        <w:pStyle w:val="163"/>
        <w:rPr>
          <w:rFonts w:asciiTheme="minorEastAsia" w:hAnsiTheme="minorEastAsia" w:eastAsiaTheme="minorEastAsia"/>
        </w:rPr>
      </w:pPr>
      <w:r>
        <w:rPr>
          <w:rFonts w:hint="eastAsia" w:asciiTheme="minorEastAsia" w:hAnsiTheme="minorEastAsia" w:eastAsiaTheme="minorEastAsia"/>
        </w:rPr>
        <w:t>1）在任何交易日日终，本基金持有的买入股指期货合约价值不超过基金资产净值的10%；在任何交易日日终，持有的买入国债期货合约价值，不得超过基金资产净值15%；</w:t>
      </w:r>
    </w:p>
    <w:p>
      <w:pPr>
        <w:pStyle w:val="163"/>
        <w:rPr>
          <w:rFonts w:asciiTheme="minorEastAsia" w:hAnsiTheme="minorEastAsia" w:eastAsiaTheme="minorEastAsia"/>
        </w:rPr>
      </w:pPr>
      <w:r>
        <w:rPr>
          <w:rFonts w:hint="eastAsia" w:asciiTheme="minorEastAsia" w:hAnsiTheme="minorEastAsia" w:eastAsiaTheme="minorEastAsia"/>
        </w:rPr>
        <w:t>2）在任何交易日日终，持有的卖出股指期货合约价值不超过基金持有的股票总市值的20%；在任何交易日日终，持有的卖出国债期货合约价值不得超过基金持有的债券总市值的30%；</w:t>
      </w:r>
    </w:p>
    <w:p>
      <w:pPr>
        <w:pStyle w:val="163"/>
        <w:rPr>
          <w:rFonts w:asciiTheme="minorEastAsia" w:hAnsiTheme="minorEastAsia" w:eastAsiaTheme="minorEastAsia"/>
        </w:rPr>
      </w:pPr>
      <w:r>
        <w:rPr>
          <w:rFonts w:hint="eastAsia" w:asciiTheme="minorEastAsia" w:hAnsiTheme="minorEastAsia" w:eastAsiaTheme="minorEastAsia"/>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pPr>
        <w:pStyle w:val="163"/>
        <w:rPr>
          <w:rFonts w:asciiTheme="minorEastAsia" w:hAnsiTheme="minorEastAsia" w:eastAsiaTheme="minorEastAsia"/>
        </w:rPr>
      </w:pPr>
      <w:r>
        <w:rPr>
          <w:rFonts w:hint="eastAsia" w:asciiTheme="minorEastAsia" w:hAnsiTheme="minorEastAsia" w:eastAsiaTheme="minorEastAsia"/>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pPr>
        <w:pStyle w:val="163"/>
        <w:rPr>
          <w:rFonts w:asciiTheme="minorEastAsia" w:hAnsiTheme="minorEastAsia" w:eastAsiaTheme="minorEastAsia"/>
        </w:rPr>
      </w:pPr>
      <w:r>
        <w:rPr>
          <w:rFonts w:hint="eastAsia" w:asciiTheme="minorEastAsia" w:hAnsiTheme="minorEastAsia" w:eastAsiaTheme="minorEastAsia"/>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pPr>
        <w:pStyle w:val="163"/>
        <w:rPr>
          <w:rFonts w:asciiTheme="minorEastAsia" w:hAnsiTheme="minorEastAsia" w:eastAsiaTheme="minorEastAsia"/>
        </w:rPr>
      </w:pPr>
      <w:r>
        <w:rPr>
          <w:rFonts w:hint="eastAsia" w:asciiTheme="minorEastAsia" w:hAnsiTheme="minorEastAsia" w:eastAsiaTheme="minorEastAsia"/>
        </w:rPr>
        <w:t>（14）本基金投资于股票期权，还应遵循如下投资组合限制：</w:t>
      </w:r>
    </w:p>
    <w:p>
      <w:pPr>
        <w:pStyle w:val="163"/>
        <w:rPr>
          <w:rFonts w:asciiTheme="minorEastAsia" w:hAnsiTheme="minorEastAsia" w:eastAsiaTheme="minorEastAsia"/>
        </w:rPr>
      </w:pPr>
      <w:r>
        <w:rPr>
          <w:rFonts w:hint="eastAsia" w:asciiTheme="minorEastAsia" w:hAnsiTheme="minorEastAsia" w:eastAsiaTheme="minorEastAsia"/>
        </w:rPr>
        <w:t>1）因未平仓的期权合约支付和收取的权利金总额不得超过基金资产净值的10%；</w:t>
      </w:r>
    </w:p>
    <w:p>
      <w:pPr>
        <w:pStyle w:val="163"/>
        <w:rPr>
          <w:rFonts w:asciiTheme="minorEastAsia" w:hAnsiTheme="minorEastAsia" w:eastAsiaTheme="minorEastAsia"/>
        </w:rPr>
      </w:pPr>
      <w:r>
        <w:rPr>
          <w:rFonts w:hint="eastAsia" w:asciiTheme="minorEastAsia" w:hAnsiTheme="minorEastAsia" w:eastAsiaTheme="minorEastAsia"/>
        </w:rPr>
        <w:t>2）开仓卖出认购期权的，应持有足额标的证券；开仓卖出认沽期权的，应持有合约行权所需的全额现金或交易所规则认可的可冲抵期权保证金的现金等价物；</w:t>
      </w:r>
    </w:p>
    <w:p>
      <w:pPr>
        <w:pStyle w:val="163"/>
        <w:rPr>
          <w:rFonts w:asciiTheme="minorEastAsia" w:hAnsiTheme="minorEastAsia" w:eastAsiaTheme="minorEastAsia"/>
        </w:rPr>
      </w:pPr>
      <w:r>
        <w:rPr>
          <w:rFonts w:hint="eastAsia" w:asciiTheme="minorEastAsia" w:hAnsiTheme="minorEastAsia" w:eastAsiaTheme="minorEastAsia"/>
        </w:rPr>
        <w:t>3）未平仓的期权合约面值不得超过基金资产净值的20%。其中，合约面值按照行权价乘以合约乘数计算；</w:t>
      </w:r>
    </w:p>
    <w:p>
      <w:pPr>
        <w:pStyle w:val="163"/>
        <w:rPr>
          <w:rFonts w:asciiTheme="minorEastAsia" w:hAnsiTheme="minorEastAsia" w:eastAsiaTheme="minorEastAsia"/>
        </w:rPr>
      </w:pPr>
      <w:r>
        <w:rPr>
          <w:rFonts w:hint="eastAsia" w:asciiTheme="minorEastAsia" w:hAnsiTheme="minorEastAsia" w:eastAsiaTheme="minorEastAsia"/>
        </w:rPr>
        <w:t>（15）本基金参与转融通证券出借业务，需遵守下列投资限制：</w:t>
      </w:r>
    </w:p>
    <w:p>
      <w:pPr>
        <w:pStyle w:val="163"/>
        <w:rPr>
          <w:rFonts w:asciiTheme="minorEastAsia" w:hAnsiTheme="minorEastAsia" w:eastAsiaTheme="minorEastAsia"/>
        </w:rPr>
      </w:pPr>
      <w:r>
        <w:rPr>
          <w:rFonts w:hint="eastAsia" w:asciiTheme="minorEastAsia" w:hAnsiTheme="minorEastAsia" w:eastAsiaTheme="minorEastAsia"/>
        </w:rPr>
        <w:t>1）出借证券资产不得超过基金资产净值的30%，出借期限在10 个交易日以上的出借证券应纳入《流动性风险管理规定》所述流动性受限证券的范围；</w:t>
      </w:r>
    </w:p>
    <w:p>
      <w:pPr>
        <w:pStyle w:val="163"/>
        <w:rPr>
          <w:rFonts w:asciiTheme="minorEastAsia" w:hAnsiTheme="minorEastAsia" w:eastAsiaTheme="minorEastAsia"/>
        </w:rPr>
      </w:pPr>
      <w:r>
        <w:rPr>
          <w:rFonts w:hint="eastAsia" w:asciiTheme="minorEastAsia" w:hAnsiTheme="minorEastAsia" w:eastAsiaTheme="minorEastAsia"/>
        </w:rPr>
        <w:t>2）参与出借业务的单只证券不得超过本基金持有该证券总量的50%；</w:t>
      </w:r>
    </w:p>
    <w:p>
      <w:pPr>
        <w:pStyle w:val="163"/>
        <w:rPr>
          <w:rFonts w:asciiTheme="minorEastAsia" w:hAnsiTheme="minorEastAsia" w:eastAsiaTheme="minorEastAsia"/>
        </w:rPr>
      </w:pPr>
      <w:r>
        <w:rPr>
          <w:rFonts w:hint="eastAsia" w:asciiTheme="minorEastAsia" w:hAnsiTheme="minorEastAsia" w:eastAsiaTheme="minorEastAsia"/>
        </w:rPr>
        <w:t>3）最近6个月内日均基金资产净值不得低于2亿元；</w:t>
      </w:r>
    </w:p>
    <w:p>
      <w:pPr>
        <w:pStyle w:val="163"/>
        <w:rPr>
          <w:rFonts w:asciiTheme="minorEastAsia" w:hAnsiTheme="minorEastAsia" w:eastAsiaTheme="minorEastAsia"/>
        </w:rPr>
      </w:pPr>
      <w:r>
        <w:rPr>
          <w:rFonts w:hint="eastAsia" w:asciiTheme="minorEastAsia" w:hAnsiTheme="minorEastAsia" w:eastAsiaTheme="minorEastAsia"/>
        </w:rPr>
        <w:t>4）证券出借的平均剩余期限不得超过30天，平均剩余期限按照市值加权平均计算；</w:t>
      </w:r>
    </w:p>
    <w:p>
      <w:pPr>
        <w:pStyle w:val="163"/>
        <w:rPr>
          <w:rFonts w:asciiTheme="minorEastAsia" w:hAnsiTheme="minorEastAsia" w:eastAsiaTheme="minorEastAsia"/>
        </w:rPr>
      </w:pPr>
      <w:r>
        <w:rPr>
          <w:rFonts w:hint="eastAsia" w:asciiTheme="minorEastAsia" w:hAnsiTheme="minorEastAsia" w:eastAsiaTheme="minorEastAsia"/>
        </w:rPr>
        <w:t>因证券市场波动、上市公司合并、基金规模变动等基金管理人之外的因素致使基金投资不符合上述规定的，基金管理人不得新增出借业务；</w:t>
      </w:r>
    </w:p>
    <w:p>
      <w:pPr>
        <w:pStyle w:val="163"/>
        <w:rPr>
          <w:rFonts w:asciiTheme="minorEastAsia" w:hAnsiTheme="minorEastAsia" w:eastAsiaTheme="minorEastAsia"/>
        </w:rPr>
      </w:pPr>
      <w:r>
        <w:rPr>
          <w:rFonts w:hint="eastAsia" w:asciiTheme="minorEastAsia" w:hAnsiTheme="minorEastAsia" w:eastAsiaTheme="minorEastAsia"/>
        </w:rPr>
        <w:t>（16）本基金主动投资于流动性受限资产的市值合计不得超过本基金资产净值的15%；</w:t>
      </w:r>
    </w:p>
    <w:p>
      <w:pPr>
        <w:pStyle w:val="163"/>
        <w:rPr>
          <w:rFonts w:asciiTheme="minorEastAsia" w:hAnsiTheme="minorEastAsia" w:eastAsiaTheme="minorEastAsia"/>
        </w:rPr>
      </w:pPr>
      <w:r>
        <w:rPr>
          <w:rFonts w:hint="eastAsia" w:asciiTheme="minorEastAsia" w:hAnsiTheme="minorEastAsia" w:eastAsiaTheme="minorEastAsia"/>
        </w:rPr>
        <w:t>因证券市场波动、上市公司股票停牌、基金规模变动等基金管理人之外的因素致使基金不符合该比例限制的，基金管理人不得主动新增流动性受限资产的投资；</w:t>
      </w:r>
    </w:p>
    <w:p>
      <w:pPr>
        <w:pStyle w:val="163"/>
        <w:rPr>
          <w:rFonts w:asciiTheme="minorEastAsia" w:hAnsiTheme="minorEastAsia" w:eastAsiaTheme="minorEastAsia"/>
        </w:rPr>
      </w:pPr>
      <w:r>
        <w:rPr>
          <w:rFonts w:hint="eastAsia" w:asciiTheme="minorEastAsia" w:hAnsiTheme="minorEastAsia" w:eastAsiaTheme="minorEastAsia"/>
        </w:rPr>
        <w:t>（17）本基金与私募类证券资管产品及中国证监会认定的其他主体为交易对手开展逆回购交易的，可接受质押品的资质要求应当与基金合同约定的投资范围保持一致；</w:t>
      </w:r>
    </w:p>
    <w:p>
      <w:pPr>
        <w:pStyle w:val="163"/>
        <w:rPr>
          <w:rFonts w:asciiTheme="minorEastAsia" w:hAnsiTheme="minorEastAsia" w:eastAsiaTheme="minorEastAsia"/>
        </w:rPr>
      </w:pPr>
      <w:r>
        <w:rPr>
          <w:rFonts w:hint="eastAsia" w:asciiTheme="minorEastAsia" w:hAnsiTheme="minorEastAsia" w:eastAsiaTheme="minorEastAsia"/>
        </w:rPr>
        <w:t>（18）本基金投资存托凭证的比例限制依照境内上市交易的股票执行，与境内上市交易的股票合并计算；</w:t>
      </w:r>
    </w:p>
    <w:p>
      <w:pPr>
        <w:pStyle w:val="163"/>
        <w:rPr>
          <w:rFonts w:asciiTheme="minorEastAsia" w:hAnsiTheme="minorEastAsia" w:eastAsiaTheme="minorEastAsia"/>
        </w:rPr>
      </w:pPr>
      <w:r>
        <w:rPr>
          <w:rFonts w:hint="eastAsia" w:asciiTheme="minorEastAsia" w:hAnsiTheme="minorEastAsia" w:eastAsiaTheme="minorEastAsia"/>
        </w:rPr>
        <w:t>（19）相关法律法规以及监管部门规定的和基金合同约定的其它投资比例限制。</w:t>
      </w:r>
    </w:p>
    <w:p>
      <w:pPr>
        <w:pStyle w:val="163"/>
        <w:rPr>
          <w:rFonts w:asciiTheme="minorEastAsia" w:hAnsiTheme="minorEastAsia" w:eastAsiaTheme="minorEastAsia"/>
        </w:rPr>
      </w:pPr>
      <w:r>
        <w:rPr>
          <w:rFonts w:hint="eastAsia" w:asciiTheme="minorEastAsia" w:hAnsiTheme="minorEastAsia" w:eastAsiaTheme="minorEastAsia"/>
        </w:rPr>
        <w:t>除上述第（2）、（10）、（15）、（16）、（17）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pPr>
        <w:pStyle w:val="163"/>
        <w:rPr>
          <w:rFonts w:asciiTheme="minorEastAsia" w:hAnsiTheme="minorEastAsia" w:eastAsiaTheme="minorEastAsia"/>
        </w:rPr>
      </w:pPr>
      <w:r>
        <w:rPr>
          <w:rFonts w:hint="eastAsia" w:asciiTheme="minorEastAsia" w:hAnsiTheme="minorEastAsia" w:eastAsiaTheme="minorEastAsia"/>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pStyle w:val="163"/>
        <w:rPr>
          <w:rFonts w:asciiTheme="minorEastAsia" w:hAnsiTheme="minorEastAsia" w:eastAsiaTheme="minorEastAsia"/>
        </w:rPr>
      </w:pPr>
      <w:r>
        <w:rPr>
          <w:rFonts w:hint="eastAsia" w:asciiTheme="minorEastAsia" w:hAnsiTheme="minorEastAsia" w:eastAsiaTheme="minorEastAsia"/>
        </w:rPr>
        <w:t>法律法规或监管部门取消或变更上述限制，如适用于本基金，基金管理人在履行适当程序后，则本基金投资不再受相关限制，或以变更后的规定为准。</w:t>
      </w:r>
    </w:p>
    <w:p>
      <w:pPr>
        <w:pStyle w:val="163"/>
        <w:rPr>
          <w:rFonts w:asciiTheme="minorEastAsia" w:hAnsiTheme="minorEastAsia" w:eastAsiaTheme="minorEastAsia"/>
        </w:rPr>
      </w:pPr>
      <w:r>
        <w:rPr>
          <w:rFonts w:hint="eastAsia" w:asciiTheme="minorEastAsia" w:hAnsiTheme="minorEastAsia" w:eastAsiaTheme="minorEastAsia"/>
        </w:rPr>
        <w:t>2、禁止行为</w:t>
      </w:r>
    </w:p>
    <w:p>
      <w:pPr>
        <w:pStyle w:val="163"/>
        <w:rPr>
          <w:rFonts w:asciiTheme="minorEastAsia" w:hAnsiTheme="minorEastAsia" w:eastAsiaTheme="minorEastAsia"/>
        </w:rPr>
      </w:pPr>
      <w:r>
        <w:rPr>
          <w:rFonts w:hint="eastAsia" w:asciiTheme="minorEastAsia" w:hAnsiTheme="minorEastAsia" w:eastAsiaTheme="minorEastAsia"/>
        </w:rPr>
        <w:t>为维护基金份额持有人的合法权益，基金财产不得用于下列投资或者活动：</w:t>
      </w:r>
    </w:p>
    <w:p>
      <w:pPr>
        <w:pStyle w:val="163"/>
        <w:rPr>
          <w:rFonts w:asciiTheme="minorEastAsia" w:hAnsiTheme="minorEastAsia" w:eastAsiaTheme="minorEastAsia"/>
        </w:rPr>
      </w:pPr>
      <w:r>
        <w:rPr>
          <w:rFonts w:hint="eastAsia" w:asciiTheme="minorEastAsia" w:hAnsiTheme="minorEastAsia" w:eastAsiaTheme="minorEastAsia"/>
        </w:rPr>
        <w:t>（1）承销证券；</w:t>
      </w:r>
    </w:p>
    <w:p>
      <w:pPr>
        <w:pStyle w:val="163"/>
        <w:rPr>
          <w:rFonts w:asciiTheme="minorEastAsia" w:hAnsiTheme="minorEastAsia" w:eastAsiaTheme="minorEastAsia"/>
        </w:rPr>
      </w:pPr>
      <w:r>
        <w:rPr>
          <w:rFonts w:hint="eastAsia" w:asciiTheme="minorEastAsia" w:hAnsiTheme="minorEastAsia" w:eastAsiaTheme="minorEastAsia"/>
        </w:rPr>
        <w:t>（2）违反规定向他人贷款或者提供担保；</w:t>
      </w:r>
    </w:p>
    <w:p>
      <w:pPr>
        <w:pStyle w:val="163"/>
        <w:rPr>
          <w:rFonts w:asciiTheme="minorEastAsia" w:hAnsiTheme="minorEastAsia" w:eastAsiaTheme="minorEastAsia"/>
        </w:rPr>
      </w:pPr>
      <w:r>
        <w:rPr>
          <w:rFonts w:hint="eastAsia" w:asciiTheme="minorEastAsia" w:hAnsiTheme="minorEastAsia" w:eastAsiaTheme="minorEastAsia"/>
        </w:rPr>
        <w:t>（3）从事承担无限责任的投资；</w:t>
      </w:r>
    </w:p>
    <w:p>
      <w:pPr>
        <w:pStyle w:val="163"/>
        <w:rPr>
          <w:rFonts w:asciiTheme="minorEastAsia" w:hAnsiTheme="minorEastAsia" w:eastAsiaTheme="minorEastAsia"/>
        </w:rPr>
      </w:pPr>
      <w:r>
        <w:rPr>
          <w:rFonts w:hint="eastAsia" w:asciiTheme="minorEastAsia" w:hAnsiTheme="minorEastAsia" w:eastAsiaTheme="minorEastAsia"/>
        </w:rPr>
        <w:t>（4）买卖其他基金份额，但是中国证监会另有规定的除外；</w:t>
      </w:r>
    </w:p>
    <w:p>
      <w:pPr>
        <w:pStyle w:val="163"/>
        <w:rPr>
          <w:rFonts w:asciiTheme="minorEastAsia" w:hAnsiTheme="minorEastAsia" w:eastAsiaTheme="minorEastAsia"/>
        </w:rPr>
      </w:pPr>
      <w:r>
        <w:rPr>
          <w:rFonts w:hint="eastAsia" w:asciiTheme="minorEastAsia" w:hAnsiTheme="minorEastAsia" w:eastAsiaTheme="minorEastAsia"/>
        </w:rPr>
        <w:t>（5）向其基金管理人、基金托管人出资；</w:t>
      </w:r>
    </w:p>
    <w:p>
      <w:pPr>
        <w:pStyle w:val="163"/>
        <w:rPr>
          <w:rFonts w:asciiTheme="minorEastAsia" w:hAnsiTheme="minorEastAsia" w:eastAsiaTheme="minorEastAsia"/>
        </w:rPr>
      </w:pPr>
      <w:r>
        <w:rPr>
          <w:rFonts w:hint="eastAsia" w:asciiTheme="minorEastAsia" w:hAnsiTheme="minorEastAsia" w:eastAsiaTheme="minorEastAsia"/>
        </w:rPr>
        <w:t>（6）从事内幕交易、操纵证券交易价格及其他不正当的证券交易活动；</w:t>
      </w:r>
    </w:p>
    <w:p>
      <w:pPr>
        <w:pStyle w:val="163"/>
        <w:rPr>
          <w:rFonts w:asciiTheme="minorEastAsia" w:hAnsiTheme="minorEastAsia" w:eastAsiaTheme="minorEastAsia"/>
        </w:rPr>
      </w:pPr>
      <w:r>
        <w:rPr>
          <w:rFonts w:hint="eastAsia" w:asciiTheme="minorEastAsia" w:hAnsiTheme="minorEastAsia" w:eastAsiaTheme="minorEastAsia"/>
        </w:rPr>
        <w:t>（7）法律、行政法规和中国证监会规定禁止的其他活动。</w:t>
      </w:r>
    </w:p>
    <w:p>
      <w:pPr>
        <w:pStyle w:val="163"/>
        <w:rPr>
          <w:rFonts w:asciiTheme="minorEastAsia" w:hAnsiTheme="minorEastAsia" w:eastAsiaTheme="minorEastAsia"/>
        </w:rPr>
      </w:pPr>
      <w:r>
        <w:rPr>
          <w:rFonts w:hint="eastAsia" w:asciiTheme="minorEastAsia" w:hAnsiTheme="minorEastAsia" w:eastAsiaTheme="minorEastAsia"/>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pPr>
        <w:pStyle w:val="163"/>
      </w:pPr>
      <w:r>
        <w:rPr>
          <w:rFonts w:hint="eastAsia" w:asciiTheme="minorEastAsia" w:hAnsiTheme="minorEastAsia" w:eastAsiaTheme="minorEastAsia"/>
        </w:rPr>
        <w:t>法律、行政法规或监管部门变更或取消上述规定，在履行适当程序后，本基金可按变更后的规定执行或不受上述规定的限制。</w:t>
      </w:r>
    </w:p>
    <w:p>
      <w:pPr>
        <w:pStyle w:val="163"/>
        <w:ind w:firstLine="422"/>
        <w:rPr>
          <w:b/>
        </w:rPr>
      </w:pPr>
      <w:r>
        <w:rPr>
          <w:rFonts w:hint="eastAsia"/>
          <w:b/>
        </w:rPr>
        <w:t>五</w:t>
      </w:r>
      <w:r>
        <w:rPr>
          <w:b/>
        </w:rPr>
        <w:t>、</w:t>
      </w:r>
      <w:r>
        <w:rPr>
          <w:rFonts w:hint="eastAsia"/>
          <w:b/>
        </w:rPr>
        <w:t>标的指数和</w:t>
      </w:r>
      <w:r>
        <w:rPr>
          <w:b/>
        </w:rPr>
        <w:t>业绩比较基准</w:t>
      </w:r>
    </w:p>
    <w:p>
      <w:pPr>
        <w:adjustRightInd w:val="0"/>
        <w:snapToGrid w:val="0"/>
        <w:spacing w:line="360" w:lineRule="auto"/>
        <w:ind w:firstLine="369" w:firstLineChars="176"/>
        <w:rPr>
          <w:rFonts w:ascii="宋体" w:cs="宋体"/>
          <w:kern w:val="0"/>
          <w:szCs w:val="21"/>
        </w:rPr>
      </w:pPr>
      <w:r>
        <w:rPr>
          <w:rFonts w:hint="eastAsia" w:ascii="宋体" w:cs="宋体"/>
          <w:kern w:val="0"/>
          <w:szCs w:val="21"/>
        </w:rPr>
        <w:t>本基金的标的指数为：国证新能源电池指数。</w:t>
      </w:r>
    </w:p>
    <w:p>
      <w:pPr>
        <w:adjustRightInd w:val="0"/>
        <w:snapToGrid w:val="0"/>
        <w:spacing w:line="360" w:lineRule="auto"/>
        <w:ind w:firstLine="369" w:firstLineChars="176"/>
        <w:rPr>
          <w:rFonts w:ascii="宋体" w:cs="宋体"/>
          <w:kern w:val="0"/>
          <w:szCs w:val="21"/>
        </w:rPr>
      </w:pPr>
      <w:r>
        <w:rPr>
          <w:rFonts w:hint="eastAsia" w:ascii="宋体" w:cs="宋体"/>
          <w:kern w:val="0"/>
          <w:szCs w:val="21"/>
        </w:rPr>
        <w:t>本基金业绩比较基准为：国证新能源电池指数收益率×95%+</w:t>
      </w:r>
      <w:r>
        <w:rPr>
          <w:rFonts w:hint="eastAsia" w:ascii="宋体" w:cs="宋体"/>
          <w:kern w:val="0"/>
          <w:szCs w:val="21"/>
          <w:lang w:eastAsia="zh-CN"/>
        </w:rPr>
        <w:t>活期存款</w:t>
      </w:r>
      <w:r>
        <w:rPr>
          <w:rFonts w:hint="eastAsia" w:ascii="宋体" w:cs="宋体"/>
          <w:kern w:val="0"/>
          <w:szCs w:val="21"/>
          <w:lang w:val="en-US" w:eastAsia="zh-CN"/>
        </w:rPr>
        <w:t>基准</w:t>
      </w:r>
      <w:r>
        <w:rPr>
          <w:rFonts w:hint="eastAsia" w:ascii="宋体" w:cs="宋体"/>
          <w:kern w:val="0"/>
          <w:szCs w:val="21"/>
          <w:lang w:eastAsia="zh-CN"/>
        </w:rPr>
        <w:t>利率</w:t>
      </w:r>
      <w:r>
        <w:rPr>
          <w:rFonts w:hint="eastAsia" w:ascii="宋体" w:cs="宋体"/>
          <w:kern w:val="0"/>
          <w:szCs w:val="21"/>
        </w:rPr>
        <w:t>×5%。</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1、业绩比较基准设定的原因</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本基金为指数基金,主要采用完全复制法跟踪标的指数，以“紧密跟踪标的指数，追求跟踪偏离度和跟踪误差的最小化”作为投资目标，在投资中将不低于基金资产净值90%的资产投资于标的指数成份股及备选成份股。本基金的标的指数为国证新能源电池指数，相应选取国证新能源电池指数作为基准要素，同时将国证新能源电池指数的基准要素权重设置为95%；选取活期存款基准利率作为流动性管理部分的业绩比较基准，同时将活期存款基准利率的基准要素权重设置为5%。</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综上，本基金选取的业绩比较基准与基金投资目标、投资范围、投资策略、投资比例限制相匹配。</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2、业绩比较基准要素的基本信息</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国证新能源电池指数由</w:t>
      </w:r>
      <w:r>
        <w:rPr>
          <w:rFonts w:hint="eastAsia" w:ascii="宋体" w:cs="宋体"/>
          <w:kern w:val="0"/>
          <w:szCs w:val="21"/>
        </w:rPr>
        <w:tab/>
      </w:r>
      <w:r>
        <w:rPr>
          <w:rFonts w:hint="eastAsia" w:ascii="宋体" w:cs="宋体"/>
          <w:kern w:val="0"/>
          <w:szCs w:val="21"/>
        </w:rPr>
        <w:t>深圳证券信息有限公司编制发布，指数代码为980027，具体信息详见深圳证券信息有限公司网站，网址：https://www.cnindex.com.cn。</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3、业绩比较基准的计算方法</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本基金业绩比较基准收益率的计算方法以每日收益率为基础，以时间加权为计算原则。</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4、管理投资偏离业绩比较基准的定性或定量方法</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将日均跟踪偏离度的绝对值控制在0.35%以内，年化跟踪误差控制在4%以内。如因标的指数编制规则调整或其他因素导致跟踪误差超过上述范围的，本基金将采取合理措施避免跟踪误差过大。</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5、未来可能变更业绩比较基准的情况和程序</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如本基金标的指数变化，则业绩比较基准中的标的指数将相应调整。业绩比较基准的调整根据标的指数的变更程序执行。若本基金调整业绩比较基准的要素权重，本基金将根据法律法规、中国证监会的规定和基金合同约定履行相关程序。</w:t>
      </w:r>
    </w:p>
    <w:p>
      <w:pPr>
        <w:adjustRightInd w:val="0"/>
        <w:snapToGrid w:val="0"/>
        <w:spacing w:line="360" w:lineRule="auto"/>
        <w:ind w:firstLine="369" w:firstLineChars="176"/>
        <w:rPr>
          <w:rFonts w:hint="eastAsia" w:ascii="宋体" w:cs="宋体"/>
          <w:kern w:val="0"/>
          <w:szCs w:val="21"/>
        </w:rPr>
      </w:pPr>
      <w:r>
        <w:rPr>
          <w:rFonts w:hint="eastAsia" w:ascii="宋体" w:cs="宋体"/>
          <w:kern w:val="0"/>
          <w:szCs w:val="21"/>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w:t>
      </w:r>
    </w:p>
    <w:p>
      <w:pPr>
        <w:adjustRightInd w:val="0"/>
        <w:snapToGrid w:val="0"/>
        <w:spacing w:line="360" w:lineRule="auto"/>
        <w:ind w:firstLine="369" w:firstLineChars="176"/>
        <w:rPr>
          <w:rFonts w:ascii="宋体" w:cs="宋体"/>
          <w:kern w:val="0"/>
          <w:szCs w:val="21"/>
        </w:rPr>
      </w:pPr>
      <w:r>
        <w:rPr>
          <w:rFonts w:hint="eastAsia" w:ascii="宋体" w:cs="宋体"/>
          <w:kern w:val="0"/>
          <w:szCs w:val="21"/>
        </w:rPr>
        <w:t>自指数编制机构停止标的指数的编制及发布至解决方案确定期间，基金管理人应按照指数编制机构提供的最近一个交易日的指数信息遵循基金份额持有人利益优先原则维持基金投资运作。</w:t>
      </w:r>
    </w:p>
    <w:p>
      <w:pPr>
        <w:pStyle w:val="163"/>
        <w:ind w:firstLine="422"/>
        <w:rPr>
          <w:b/>
        </w:rPr>
      </w:pPr>
      <w:r>
        <w:rPr>
          <w:rFonts w:hint="eastAsia"/>
          <w:b/>
        </w:rPr>
        <w:t>六</w:t>
      </w:r>
      <w:r>
        <w:rPr>
          <w:b/>
        </w:rPr>
        <w:t>、风险收益特征</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本基金属于股票型基金，其预期收益及预期风险水平高于混合型基金、债券型基金与货币市场基金。</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本基金为被动式投资的股票型指数基金，跟踪国证新能源电池指数，其风险收益特征与标的指数所表征的市场组合的风险收益特征相似。</w:t>
      </w:r>
    </w:p>
    <w:p>
      <w:pPr>
        <w:pStyle w:val="163"/>
        <w:ind w:firstLine="422"/>
        <w:rPr>
          <w:b/>
        </w:rPr>
      </w:pPr>
      <w:r>
        <w:rPr>
          <w:rFonts w:hint="eastAsia"/>
          <w:b/>
        </w:rPr>
        <w:t>七、基金管理人代表基金行使股东或债权人权利的处理原则及方法</w:t>
      </w:r>
    </w:p>
    <w:p>
      <w:pPr>
        <w:pStyle w:val="163"/>
      </w:pPr>
      <w:r>
        <w:rPr>
          <w:rFonts w:hint="eastAsia"/>
        </w:rPr>
        <w:t xml:space="preserve">1、基金管理人按照国家有关规定代表基金独立行使股东或债权人权利，保护基金份额持有人的利益； </w:t>
      </w:r>
    </w:p>
    <w:p>
      <w:pPr>
        <w:pStyle w:val="163"/>
      </w:pPr>
      <w:r>
        <w:rPr>
          <w:rFonts w:hint="eastAsia"/>
        </w:rPr>
        <w:t xml:space="preserve">2、不谋求对上市公司的控股； </w:t>
      </w:r>
    </w:p>
    <w:p>
      <w:pPr>
        <w:pStyle w:val="163"/>
      </w:pPr>
      <w:r>
        <w:rPr>
          <w:rFonts w:hint="eastAsia"/>
        </w:rPr>
        <w:t xml:space="preserve">3、有利于基金财产的安全与增值； </w:t>
      </w:r>
    </w:p>
    <w:p>
      <w:pPr>
        <w:pStyle w:val="163"/>
      </w:pPr>
      <w:r>
        <w:rPr>
          <w:rFonts w:hint="eastAsia"/>
        </w:rPr>
        <w:t>4、不通过关联交易为自身、雇员、授权代理人或任何存在利害关系的第三人牟取任何不当利益。</w:t>
      </w:r>
    </w:p>
    <w:p>
      <w:pPr>
        <w:pStyle w:val="163"/>
        <w:ind w:firstLine="422"/>
        <w:rPr>
          <w:rFonts w:asciiTheme="minorEastAsia" w:hAnsiTheme="minorEastAsia" w:eastAsiaTheme="minorEastAsia"/>
          <w:b/>
        </w:rPr>
      </w:pPr>
      <w:r>
        <w:rPr>
          <w:rFonts w:hint="eastAsia" w:asciiTheme="minorEastAsia" w:hAnsiTheme="minorEastAsia" w:eastAsiaTheme="minorEastAsia"/>
          <w:b/>
        </w:rPr>
        <w:t>八、侧袋机制的实施和投资运作安排</w:t>
      </w:r>
    </w:p>
    <w:p>
      <w:pPr>
        <w:pStyle w:val="163"/>
        <w:rPr>
          <w:rFonts w:asciiTheme="minorEastAsia" w:hAnsiTheme="minorEastAsia" w:eastAsiaTheme="minorEastAsia"/>
        </w:rPr>
      </w:pPr>
      <w:bookmarkStart w:id="93" w:name="_Toc327902632"/>
      <w:bookmarkStart w:id="94" w:name="_Toc335899843"/>
      <w:bookmarkStart w:id="95" w:name="_Toc332013120"/>
      <w:bookmarkStart w:id="96" w:name="_Toc336606237"/>
      <w:r>
        <w:rPr>
          <w:rFonts w:hint="eastAsia" w:asciiTheme="minorEastAsia" w:hAnsiTheme="minorEastAsia" w:eastAsiaTheme="minorEastAsia"/>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pPr>
        <w:pStyle w:val="163"/>
        <w:rPr>
          <w:rFonts w:asciiTheme="minorEastAsia" w:hAnsiTheme="minorEastAsia" w:eastAsiaTheme="minorEastAsia"/>
        </w:rPr>
      </w:pPr>
      <w:r>
        <w:rPr>
          <w:rFonts w:hint="eastAsia" w:asciiTheme="minorEastAsia" w:hAnsiTheme="minorEastAsia" w:eastAsiaTheme="minorEastAsia"/>
        </w:rPr>
        <w:t>侧袋机制实施期间，本部分约定的投资组合比例、投资策略、组合限制、业绩比较基准、风险收益特征等约定仅适用于主袋账户。</w:t>
      </w:r>
    </w:p>
    <w:p>
      <w:pPr>
        <w:pStyle w:val="163"/>
        <w:rPr>
          <w:rFonts w:asciiTheme="minorEastAsia" w:hAnsiTheme="minorEastAsia" w:eastAsiaTheme="minorEastAsia"/>
        </w:rPr>
      </w:pPr>
      <w:r>
        <w:rPr>
          <w:rFonts w:hint="eastAsia" w:asciiTheme="minorEastAsia" w:hAnsiTheme="minorEastAsia" w:eastAsiaTheme="minorEastAsia"/>
        </w:rPr>
        <w:t>侧袋账户的实施条件、实施程序、运作安排、投资安排、特定资产的处置变现和支付等对投资者权益有重大影响的事项详见招募说明书的规定。</w:t>
      </w:r>
    </w:p>
    <w:p>
      <w:pPr>
        <w:snapToGrid w:val="0"/>
        <w:spacing w:line="360" w:lineRule="auto"/>
        <w:ind w:firstLine="420" w:firstLineChars="200"/>
        <w:rPr>
          <w:rFonts w:ascii="宋体" w:hAnsi="宋体"/>
          <w:bCs/>
          <w:szCs w:val="21"/>
        </w:rPr>
        <w:sectPr>
          <w:footerReference r:id="rId17" w:type="first"/>
          <w:footerReference r:id="rId16" w:type="defaul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97" w:name="_Toc369510018"/>
      <w:bookmarkStart w:id="98" w:name="_Toc411872032"/>
      <w:bookmarkStart w:id="99" w:name="_Toc375295983"/>
      <w:bookmarkStart w:id="100" w:name="_Toc92740293"/>
      <w:r>
        <w:rPr>
          <w:rFonts w:hint="eastAsia"/>
        </w:rPr>
        <w:t>基金的财产</w:t>
      </w:r>
      <w:bookmarkEnd w:id="93"/>
      <w:bookmarkEnd w:id="94"/>
      <w:bookmarkEnd w:id="95"/>
      <w:bookmarkEnd w:id="96"/>
      <w:bookmarkEnd w:id="97"/>
      <w:bookmarkEnd w:id="98"/>
      <w:bookmarkEnd w:id="99"/>
      <w:bookmarkEnd w:id="100"/>
    </w:p>
    <w:p>
      <w:pPr>
        <w:spacing w:line="360" w:lineRule="auto"/>
        <w:ind w:firstLine="422" w:firstLineChars="200"/>
        <w:rPr>
          <w:rFonts w:ascii="宋体" w:hAnsi="宋体"/>
          <w:b/>
          <w:bCs/>
          <w:szCs w:val="21"/>
        </w:rPr>
      </w:pPr>
      <w:r>
        <w:rPr>
          <w:rFonts w:hint="eastAsia" w:ascii="宋体" w:hAnsi="宋体"/>
          <w:b/>
          <w:bCs/>
          <w:szCs w:val="21"/>
        </w:rPr>
        <w:t>一、基金资产总值</w:t>
      </w:r>
    </w:p>
    <w:p>
      <w:pPr>
        <w:spacing w:line="360" w:lineRule="auto"/>
        <w:ind w:firstLine="420" w:firstLineChars="200"/>
        <w:rPr>
          <w:rFonts w:ascii="宋体" w:hAnsi="宋体"/>
          <w:bCs/>
          <w:szCs w:val="21"/>
        </w:rPr>
      </w:pPr>
      <w:r>
        <w:rPr>
          <w:rFonts w:hint="eastAsia" w:ascii="宋体" w:hAnsi="宋体"/>
          <w:bCs/>
          <w:szCs w:val="21"/>
        </w:rPr>
        <w:t>基金资产总值是指基金拥有的各类有价证券、银行存款本息、基金应收款项及其他资产的价值总和。</w:t>
      </w:r>
    </w:p>
    <w:p>
      <w:pPr>
        <w:spacing w:line="360" w:lineRule="auto"/>
        <w:ind w:firstLine="422" w:firstLineChars="200"/>
        <w:rPr>
          <w:rFonts w:ascii="宋体" w:hAnsi="宋体"/>
          <w:b/>
          <w:bCs/>
          <w:szCs w:val="21"/>
        </w:rPr>
      </w:pPr>
      <w:r>
        <w:rPr>
          <w:rFonts w:hint="eastAsia" w:ascii="宋体" w:hAnsi="宋体"/>
          <w:b/>
          <w:bCs/>
          <w:szCs w:val="21"/>
        </w:rPr>
        <w:t>二、基金资产净值</w:t>
      </w:r>
    </w:p>
    <w:p>
      <w:pPr>
        <w:spacing w:line="360" w:lineRule="auto"/>
        <w:ind w:firstLine="420" w:firstLineChars="200"/>
        <w:rPr>
          <w:rFonts w:ascii="宋体" w:hAnsi="宋体"/>
          <w:bCs/>
          <w:szCs w:val="21"/>
        </w:rPr>
      </w:pPr>
      <w:r>
        <w:rPr>
          <w:rFonts w:hint="eastAsia" w:ascii="宋体" w:hAnsi="宋体"/>
          <w:bCs/>
          <w:szCs w:val="21"/>
        </w:rPr>
        <w:t>基金资产净值是指基金资产总值减去基金负债后的价值。</w:t>
      </w:r>
    </w:p>
    <w:p>
      <w:pPr>
        <w:spacing w:line="360" w:lineRule="auto"/>
        <w:ind w:firstLine="422" w:firstLineChars="200"/>
        <w:rPr>
          <w:rFonts w:ascii="宋体" w:hAnsi="宋体"/>
          <w:b/>
          <w:bCs/>
          <w:szCs w:val="21"/>
        </w:rPr>
      </w:pPr>
      <w:r>
        <w:rPr>
          <w:rFonts w:hint="eastAsia" w:ascii="宋体" w:hAnsi="宋体"/>
          <w:b/>
          <w:bCs/>
          <w:szCs w:val="21"/>
        </w:rPr>
        <w:t>三、基金财产的账户</w:t>
      </w:r>
    </w:p>
    <w:p>
      <w:pPr>
        <w:spacing w:line="360" w:lineRule="auto"/>
        <w:ind w:firstLine="420" w:firstLineChars="200"/>
        <w:rPr>
          <w:rFonts w:ascii="宋体" w:hAnsi="宋体"/>
          <w:bCs/>
          <w:szCs w:val="21"/>
        </w:rPr>
      </w:pPr>
      <w:r>
        <w:rPr>
          <w:rFonts w:hint="eastAsia" w:ascii="宋体" w:hAnsi="宋体"/>
          <w:bCs/>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spacing w:line="360" w:lineRule="auto"/>
        <w:ind w:firstLine="422" w:firstLineChars="200"/>
        <w:rPr>
          <w:rFonts w:ascii="宋体" w:hAnsi="宋体"/>
          <w:b/>
          <w:bCs/>
          <w:szCs w:val="21"/>
        </w:rPr>
      </w:pPr>
      <w:r>
        <w:rPr>
          <w:rFonts w:hint="eastAsia" w:ascii="宋体" w:hAnsi="宋体"/>
          <w:b/>
          <w:bCs/>
          <w:szCs w:val="21"/>
        </w:rPr>
        <w:t>四、基金财产的保管和处分</w:t>
      </w:r>
    </w:p>
    <w:p>
      <w:pPr>
        <w:spacing w:line="360" w:lineRule="auto"/>
        <w:ind w:firstLine="420" w:firstLineChars="200"/>
        <w:rPr>
          <w:rFonts w:asciiTheme="minorEastAsia" w:hAnsiTheme="minorEastAsia" w:eastAsiaTheme="minorEastAsia"/>
        </w:rPr>
      </w:pPr>
      <w:bookmarkStart w:id="101" w:name="_Hlt88841837"/>
      <w:bookmarkEnd w:id="101"/>
      <w:bookmarkStart w:id="102" w:name="_Hlt88900062"/>
      <w:bookmarkEnd w:id="102"/>
      <w:r>
        <w:rPr>
          <w:rFonts w:hint="eastAsia" w:asciiTheme="minorEastAsia" w:hAnsiTheme="minorEastAsia" w:eastAsiaTheme="minorEastAsia"/>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widowControl/>
        <w:snapToGrid w:val="0"/>
        <w:spacing w:line="360" w:lineRule="auto"/>
        <w:ind w:firstLine="420" w:firstLineChars="200"/>
        <w:jc w:val="left"/>
        <w:rPr>
          <w:rFonts w:ascii="宋体"/>
          <w:color w:val="000000"/>
          <w:szCs w:val="21"/>
        </w:rPr>
        <w:sectPr>
          <w:footerReference r:id="rId18" w:type="firs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103" w:name="_Toc336606238"/>
      <w:bookmarkStart w:id="104" w:name="_Toc375295984"/>
      <w:bookmarkStart w:id="105" w:name="_Toc369510019"/>
      <w:bookmarkStart w:id="106" w:name="_Toc411872033"/>
      <w:bookmarkStart w:id="107" w:name="_Toc332013121"/>
      <w:bookmarkStart w:id="108" w:name="_Toc327902633"/>
      <w:bookmarkStart w:id="109" w:name="_Toc92740294"/>
      <w:bookmarkStart w:id="110" w:name="_Toc335899844"/>
      <w:r>
        <w:rPr>
          <w:rFonts w:hint="eastAsia"/>
        </w:rPr>
        <w:t>基金资产估值</w:t>
      </w:r>
      <w:bookmarkEnd w:id="103"/>
      <w:bookmarkEnd w:id="104"/>
      <w:bookmarkEnd w:id="105"/>
      <w:bookmarkEnd w:id="106"/>
      <w:bookmarkEnd w:id="107"/>
      <w:bookmarkEnd w:id="108"/>
      <w:bookmarkEnd w:id="109"/>
      <w:bookmarkEnd w:id="110"/>
    </w:p>
    <w:p>
      <w:pPr>
        <w:adjustRightInd w:val="0"/>
        <w:snapToGrid w:val="0"/>
        <w:spacing w:line="360" w:lineRule="auto"/>
        <w:ind w:firstLine="422" w:firstLineChars="200"/>
        <w:rPr>
          <w:rFonts w:ascii="宋体" w:hAnsi="宋体"/>
          <w:b/>
          <w:bCs/>
          <w:szCs w:val="21"/>
        </w:rPr>
      </w:pPr>
      <w:r>
        <w:rPr>
          <w:rFonts w:ascii="宋体" w:hAnsi="宋体"/>
          <w:b/>
          <w:bCs/>
          <w:szCs w:val="21"/>
        </w:rPr>
        <w:t>一、估值日</w:t>
      </w:r>
    </w:p>
    <w:p>
      <w:pPr>
        <w:adjustRightInd w:val="0"/>
        <w:snapToGrid w:val="0"/>
        <w:spacing w:line="360" w:lineRule="auto"/>
        <w:ind w:firstLine="420" w:firstLineChars="200"/>
        <w:rPr>
          <w:rFonts w:ascii="宋体" w:hAnsi="宋体"/>
          <w:bCs/>
          <w:szCs w:val="21"/>
        </w:rPr>
      </w:pPr>
      <w:r>
        <w:rPr>
          <w:rFonts w:hint="eastAsia" w:ascii="宋体" w:hAnsi="宋体"/>
          <w:bCs/>
          <w:szCs w:val="21"/>
        </w:rPr>
        <w:t>本基金的估值日为本基金相关的证券交易场所的交易日以及国家法律法规规定需要对外披露基金净值的非交易日。</w:t>
      </w:r>
    </w:p>
    <w:p>
      <w:pPr>
        <w:adjustRightInd w:val="0"/>
        <w:snapToGrid w:val="0"/>
        <w:spacing w:line="360" w:lineRule="auto"/>
        <w:ind w:firstLine="422" w:firstLineChars="200"/>
        <w:rPr>
          <w:rFonts w:ascii="宋体" w:hAnsi="宋体"/>
          <w:b/>
          <w:bCs/>
          <w:szCs w:val="21"/>
        </w:rPr>
      </w:pPr>
      <w:r>
        <w:rPr>
          <w:rFonts w:ascii="宋体" w:hAnsi="宋体"/>
          <w:b/>
          <w:bCs/>
          <w:szCs w:val="21"/>
        </w:rPr>
        <w:t>二、估值对象</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基金所拥有的股票（含存托凭证）、股指期货合约、国债期货合约、股票期权合约、债券和银行存款本息、应收款项、资产支持证券、其它投资等资产及负债。</w:t>
      </w:r>
    </w:p>
    <w:p>
      <w:pPr>
        <w:adjustRightInd w:val="0"/>
        <w:snapToGri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三、估值原则</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基金管理人在确定相关金融资产和金融负债的公允价值时，应符合《企业会计准则》、监管部门有关规定。</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djustRightInd w:val="0"/>
        <w:snapToGrid w:val="0"/>
        <w:spacing w:line="360" w:lineRule="auto"/>
        <w:ind w:firstLine="422" w:firstLineChars="201"/>
        <w:rPr>
          <w:rFonts w:ascii="Arial" w:hAnsi="Arial"/>
          <w:kern w:val="0"/>
        </w:rPr>
      </w:pPr>
      <w:r>
        <w:rPr>
          <w:rFonts w:hint="eastAsia" w:asciiTheme="minorEastAsia" w:hAnsiTheme="minorEastAsia" w:eastAsiaTheme="minorEastAsia"/>
        </w:rPr>
        <w:t>（三）如经济环境发生重大变化或证券发行人发生影响证券价格的重大事件，使潜在估值调整对前一估值日的基金资产净值的影响在0.25%以上的，应对估值进行调整并确定公允价值。</w:t>
      </w:r>
    </w:p>
    <w:p>
      <w:pPr>
        <w:adjustRightInd w:val="0"/>
        <w:snapToGrid w:val="0"/>
        <w:spacing w:line="360" w:lineRule="auto"/>
        <w:ind w:firstLine="424" w:firstLineChars="201"/>
        <w:rPr>
          <w:rFonts w:ascii="Arial" w:hAnsi="Arial"/>
          <w:b/>
          <w:kern w:val="0"/>
        </w:rPr>
      </w:pPr>
      <w:r>
        <w:rPr>
          <w:rFonts w:hint="eastAsia" w:ascii="Arial" w:hAnsi="Arial"/>
          <w:b/>
          <w:kern w:val="0"/>
        </w:rPr>
        <w:t>四</w:t>
      </w:r>
      <w:r>
        <w:rPr>
          <w:rFonts w:ascii="Arial" w:hAnsi="Arial"/>
          <w:b/>
          <w:kern w:val="0"/>
        </w:rPr>
        <w:t>、估值方法</w:t>
      </w:r>
    </w:p>
    <w:p>
      <w:pPr>
        <w:adjustRightInd w:val="0"/>
        <w:snapToGrid w:val="0"/>
        <w:spacing w:line="360" w:lineRule="auto"/>
        <w:ind w:firstLine="422" w:firstLineChars="201"/>
        <w:rPr>
          <w:rFonts w:ascii="宋体" w:hAnsi="宋体"/>
          <w:bCs/>
          <w:szCs w:val="21"/>
        </w:rPr>
      </w:pPr>
      <w:r>
        <w:rPr>
          <w:rFonts w:hint="eastAsia" w:ascii="宋体" w:hAnsi="宋体"/>
          <w:bCs/>
          <w:szCs w:val="21"/>
        </w:rPr>
        <w:t>1、交易所上市或挂牌转让的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djustRightInd w:val="0"/>
        <w:snapToGrid w:val="0"/>
        <w:spacing w:line="360" w:lineRule="auto"/>
        <w:ind w:firstLine="422" w:firstLineChars="201"/>
        <w:rPr>
          <w:rFonts w:ascii="宋体" w:hAnsi="宋体"/>
          <w:bCs/>
          <w:szCs w:val="21"/>
        </w:rPr>
      </w:pPr>
      <w:r>
        <w:rPr>
          <w:rFonts w:hint="eastAsia" w:ascii="宋体" w:hAnsi="宋体"/>
          <w:bCs/>
          <w:szCs w:val="21"/>
        </w:rPr>
        <w:t>2、对于已上市或已挂牌转让的不含权固定收益品种，选取估值日第三方估值基准服务机构提供的相应品种当日的估值全价进行估值。</w:t>
      </w:r>
    </w:p>
    <w:p>
      <w:pPr>
        <w:adjustRightInd w:val="0"/>
        <w:snapToGrid w:val="0"/>
        <w:spacing w:line="360" w:lineRule="auto"/>
        <w:ind w:firstLine="422" w:firstLineChars="201"/>
        <w:rPr>
          <w:rFonts w:ascii="宋体" w:hAnsi="宋体"/>
          <w:bCs/>
          <w:szCs w:val="21"/>
        </w:rPr>
      </w:pPr>
      <w:r>
        <w:rPr>
          <w:rFonts w:hint="eastAsia" w:ascii="宋体" w:hAnsi="宋体"/>
          <w:bCs/>
          <w:szCs w:val="21"/>
        </w:rPr>
        <w:t>3、对于已上市或已挂牌转让的含权固定收益品种，选取估值日第三方估值基准服务机构提供的相应品种当日的唯一估值全价或推荐估值全价进行估值；</w:t>
      </w:r>
    </w:p>
    <w:p>
      <w:pPr>
        <w:adjustRightInd w:val="0"/>
        <w:snapToGrid w:val="0"/>
        <w:spacing w:line="360" w:lineRule="auto"/>
        <w:ind w:firstLine="422" w:firstLineChars="201"/>
        <w:rPr>
          <w:rFonts w:ascii="宋体" w:hAnsi="宋体"/>
          <w:bCs/>
          <w:szCs w:val="21"/>
        </w:rPr>
      </w:pPr>
      <w:r>
        <w:rPr>
          <w:rFonts w:hint="eastAsia" w:ascii="宋体" w:hAnsi="宋体"/>
          <w:bCs/>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pPr>
        <w:adjustRightInd w:val="0"/>
        <w:snapToGrid w:val="0"/>
        <w:spacing w:line="360" w:lineRule="auto"/>
        <w:ind w:firstLine="422" w:firstLineChars="201"/>
        <w:rPr>
          <w:rFonts w:ascii="宋体" w:hAnsi="宋体"/>
          <w:bCs/>
          <w:szCs w:val="21"/>
        </w:rPr>
      </w:pPr>
      <w:r>
        <w:rPr>
          <w:rFonts w:hint="eastAsia" w:ascii="宋体" w:hAnsi="宋体"/>
          <w:bCs/>
          <w:szCs w:val="21"/>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adjustRightInd w:val="0"/>
        <w:snapToGrid w:val="0"/>
        <w:spacing w:line="360" w:lineRule="auto"/>
        <w:ind w:firstLine="422" w:firstLineChars="201"/>
        <w:rPr>
          <w:rFonts w:ascii="宋体" w:hAnsi="宋体"/>
          <w:bCs/>
          <w:szCs w:val="21"/>
        </w:rPr>
      </w:pPr>
      <w:r>
        <w:rPr>
          <w:rFonts w:hint="eastAsia" w:ascii="宋体" w:hAnsi="宋体"/>
          <w:bCs/>
          <w:szCs w:val="21"/>
        </w:rPr>
        <w:t>5、对于未上市或未挂牌转让且不存在活跃市场的固定收益品种，应采用在当前情况下适用并且有足够可利用数据和其他信息支持的估值技术确定其公允价值。</w:t>
      </w:r>
    </w:p>
    <w:p>
      <w:pPr>
        <w:adjustRightInd w:val="0"/>
        <w:snapToGrid w:val="0"/>
        <w:spacing w:line="360" w:lineRule="auto"/>
        <w:ind w:firstLine="422" w:firstLineChars="201"/>
        <w:rPr>
          <w:rFonts w:ascii="宋体" w:hAnsi="宋体"/>
          <w:bCs/>
          <w:szCs w:val="21"/>
        </w:rPr>
      </w:pPr>
      <w:r>
        <w:rPr>
          <w:rFonts w:hint="eastAsia" w:ascii="宋体" w:hAnsi="宋体"/>
          <w:bCs/>
          <w:szCs w:val="21"/>
        </w:rPr>
        <w:t>6、处于未上市期间的有价证券应区分如下情况处理：</w:t>
      </w:r>
    </w:p>
    <w:p>
      <w:pPr>
        <w:adjustRightInd w:val="0"/>
        <w:snapToGrid w:val="0"/>
        <w:spacing w:line="360" w:lineRule="auto"/>
        <w:ind w:firstLine="422" w:firstLineChars="201"/>
        <w:rPr>
          <w:rFonts w:ascii="宋体" w:hAnsi="宋体"/>
          <w:bCs/>
          <w:szCs w:val="21"/>
        </w:rPr>
      </w:pPr>
      <w:r>
        <w:rPr>
          <w:rFonts w:hint="eastAsia" w:ascii="宋体" w:hAnsi="宋体"/>
          <w:bCs/>
          <w:szCs w:val="21"/>
        </w:rPr>
        <w:t>（1）送股、转增股、配股和公开增发的新股，按估值日在证券交易所挂牌的同一股票的估值方法估值；该日无交易的，以最近一日的市价（收盘价）估值；</w:t>
      </w:r>
    </w:p>
    <w:p>
      <w:pPr>
        <w:adjustRightInd w:val="0"/>
        <w:snapToGrid w:val="0"/>
        <w:spacing w:line="360" w:lineRule="auto"/>
        <w:ind w:firstLine="422" w:firstLineChars="201"/>
        <w:rPr>
          <w:rFonts w:ascii="宋体" w:hAnsi="宋体"/>
          <w:bCs/>
          <w:szCs w:val="21"/>
        </w:rPr>
      </w:pPr>
      <w:r>
        <w:rPr>
          <w:rFonts w:hint="eastAsia" w:ascii="宋体" w:hAnsi="宋体"/>
          <w:bCs/>
          <w:szCs w:val="21"/>
        </w:rPr>
        <w:t>（2）首次公开发行未上市的股票，采用估值技术确定公允价值；</w:t>
      </w:r>
    </w:p>
    <w:p>
      <w:pPr>
        <w:adjustRightInd w:val="0"/>
        <w:snapToGrid w:val="0"/>
        <w:spacing w:line="360" w:lineRule="auto"/>
        <w:ind w:firstLine="422" w:firstLineChars="201"/>
        <w:rPr>
          <w:rFonts w:ascii="宋体" w:hAnsi="宋体"/>
          <w:bCs/>
          <w:szCs w:val="21"/>
        </w:rPr>
      </w:pPr>
      <w:r>
        <w:rPr>
          <w:rFonts w:hint="eastAsia" w:ascii="宋体" w:hAnsi="宋体"/>
          <w:bCs/>
          <w:szCs w:val="21"/>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djustRightInd w:val="0"/>
        <w:snapToGrid w:val="0"/>
        <w:spacing w:line="360" w:lineRule="auto"/>
        <w:ind w:firstLine="422" w:firstLineChars="201"/>
        <w:rPr>
          <w:rFonts w:ascii="宋体" w:hAnsi="宋体"/>
          <w:bCs/>
          <w:szCs w:val="21"/>
        </w:rPr>
      </w:pPr>
      <w:r>
        <w:rPr>
          <w:rFonts w:hint="eastAsia" w:ascii="宋体" w:hAnsi="宋体"/>
          <w:bCs/>
          <w:szCs w:val="21"/>
        </w:rPr>
        <w:t>7、本基金投资存托凭证的估值核算，依照境内上市交易的股票执行。</w:t>
      </w:r>
    </w:p>
    <w:p>
      <w:pPr>
        <w:adjustRightInd w:val="0"/>
        <w:snapToGrid w:val="0"/>
        <w:spacing w:line="360" w:lineRule="auto"/>
        <w:ind w:firstLine="422" w:firstLineChars="201"/>
        <w:rPr>
          <w:rFonts w:ascii="宋体" w:hAnsi="宋体"/>
          <w:bCs/>
          <w:szCs w:val="21"/>
        </w:rPr>
      </w:pPr>
      <w:r>
        <w:rPr>
          <w:rFonts w:hint="eastAsia" w:ascii="宋体" w:hAnsi="宋体"/>
          <w:bCs/>
          <w:szCs w:val="21"/>
        </w:rPr>
        <w:t>8、同一证券同时在两个或两个以上市场交易的，按证券所处的市场分别估值。</w:t>
      </w:r>
    </w:p>
    <w:p>
      <w:pPr>
        <w:adjustRightInd w:val="0"/>
        <w:snapToGrid w:val="0"/>
        <w:spacing w:line="360" w:lineRule="auto"/>
        <w:ind w:firstLine="422" w:firstLineChars="201"/>
        <w:rPr>
          <w:rFonts w:ascii="宋体" w:hAnsi="宋体"/>
          <w:bCs/>
          <w:szCs w:val="21"/>
        </w:rPr>
      </w:pPr>
      <w:r>
        <w:rPr>
          <w:rFonts w:hint="eastAsia" w:ascii="宋体" w:hAnsi="宋体"/>
          <w:bCs/>
          <w:szCs w:val="21"/>
        </w:rPr>
        <w:t>9、本基金参与股指期货合约、国债期货合约交易，一般以估值当日结算价进行估值，估值当日无结算价的，且最近交易日后经济环境未发生重大变化的，采用最近交易日结算价估值。</w:t>
      </w:r>
    </w:p>
    <w:p>
      <w:pPr>
        <w:adjustRightInd w:val="0"/>
        <w:snapToGrid w:val="0"/>
        <w:spacing w:line="360" w:lineRule="auto"/>
        <w:ind w:firstLine="422" w:firstLineChars="201"/>
        <w:rPr>
          <w:rFonts w:ascii="宋体" w:hAnsi="宋体"/>
          <w:bCs/>
          <w:szCs w:val="21"/>
        </w:rPr>
      </w:pPr>
      <w:r>
        <w:rPr>
          <w:rFonts w:hint="eastAsia" w:ascii="宋体" w:hAnsi="宋体"/>
          <w:bCs/>
          <w:szCs w:val="21"/>
        </w:rPr>
        <w:t>10、本基金投资股票期权，根据相关法律法规以及监管部门的规定估值。</w:t>
      </w:r>
    </w:p>
    <w:p>
      <w:pPr>
        <w:adjustRightInd w:val="0"/>
        <w:snapToGrid w:val="0"/>
        <w:spacing w:line="360" w:lineRule="auto"/>
        <w:ind w:firstLine="422" w:firstLineChars="201"/>
        <w:rPr>
          <w:rFonts w:ascii="宋体" w:hAnsi="宋体"/>
          <w:bCs/>
          <w:szCs w:val="21"/>
        </w:rPr>
      </w:pPr>
      <w:r>
        <w:rPr>
          <w:rFonts w:hint="eastAsia" w:ascii="宋体" w:hAnsi="宋体"/>
          <w:bCs/>
          <w:szCs w:val="21"/>
        </w:rPr>
        <w:t>11、本基金参与融资或转融通证券出借业务的，应参照行业协会的相关规定进行估值，确保估值的公允性。</w:t>
      </w:r>
    </w:p>
    <w:p>
      <w:pPr>
        <w:adjustRightInd w:val="0"/>
        <w:snapToGrid w:val="0"/>
        <w:spacing w:line="360" w:lineRule="auto"/>
        <w:ind w:firstLine="422" w:firstLineChars="201"/>
        <w:rPr>
          <w:rFonts w:ascii="宋体" w:hAnsi="宋体"/>
          <w:bCs/>
          <w:szCs w:val="21"/>
        </w:rPr>
      </w:pPr>
      <w:r>
        <w:rPr>
          <w:rFonts w:hint="eastAsia" w:ascii="宋体" w:hAnsi="宋体"/>
          <w:bCs/>
          <w:szCs w:val="21"/>
        </w:rPr>
        <w:t>12、如有确凿证据表明按上述方法进行估值不能客观反映其公允价值的，基金管理人可根据具体情况与基金托管人商定后，按最能反映公允价值的价格估值。</w:t>
      </w:r>
    </w:p>
    <w:p>
      <w:pPr>
        <w:adjustRightInd w:val="0"/>
        <w:snapToGrid w:val="0"/>
        <w:spacing w:line="360" w:lineRule="auto"/>
        <w:ind w:firstLine="422" w:firstLineChars="201"/>
        <w:rPr>
          <w:rFonts w:ascii="宋体" w:hAnsi="宋体"/>
          <w:bCs/>
          <w:szCs w:val="21"/>
        </w:rPr>
      </w:pPr>
      <w:r>
        <w:rPr>
          <w:rFonts w:hint="eastAsia" w:ascii="宋体" w:hAnsi="宋体"/>
          <w:bCs/>
          <w:szCs w:val="21"/>
        </w:rPr>
        <w:t>13、当发生大额申购或赎回情形时，基金管理人可以采用摆动定价机制，以确保基金估值的公平性。具体处理原则与操作规范遵循相关法律法规以及监管部门、自律规则的规定。</w:t>
      </w:r>
    </w:p>
    <w:p>
      <w:pPr>
        <w:adjustRightInd w:val="0"/>
        <w:snapToGrid w:val="0"/>
        <w:spacing w:line="360" w:lineRule="auto"/>
        <w:ind w:firstLine="422" w:firstLineChars="201"/>
        <w:rPr>
          <w:rFonts w:ascii="宋体" w:hAnsi="宋体"/>
          <w:bCs/>
          <w:szCs w:val="21"/>
        </w:rPr>
      </w:pPr>
      <w:r>
        <w:rPr>
          <w:rFonts w:hint="eastAsia" w:ascii="宋体" w:hAnsi="宋体"/>
          <w:bCs/>
          <w:szCs w:val="21"/>
        </w:rPr>
        <w:t>14、相关法律法规以及监管部门有强制规定的，从其规定。如有新增事项，按国家最新规定估值。</w:t>
      </w:r>
    </w:p>
    <w:p>
      <w:pPr>
        <w:adjustRightInd w:val="0"/>
        <w:snapToGrid w:val="0"/>
        <w:spacing w:line="360" w:lineRule="auto"/>
        <w:ind w:firstLine="422" w:firstLineChars="201"/>
        <w:rPr>
          <w:rFonts w:ascii="宋体" w:hAnsi="宋体"/>
          <w:bCs/>
          <w:szCs w:val="21"/>
        </w:rPr>
      </w:pPr>
      <w:r>
        <w:rPr>
          <w:rFonts w:hint="eastAsia" w:ascii="宋体" w:hAnsi="宋体"/>
          <w:bCs/>
          <w:szCs w:val="21"/>
        </w:rPr>
        <w:t>如基金管理人或基金托管人发现基金估值违反基金合同订明的估值方法、程序及相关法律法规的规定或者未能充分维护基金份额持有人利益时，应立即通知对方，共同查明原因，双方协商解决。</w:t>
      </w:r>
    </w:p>
    <w:p>
      <w:pPr>
        <w:adjustRightInd w:val="0"/>
        <w:snapToGrid w:val="0"/>
        <w:spacing w:line="360" w:lineRule="auto"/>
        <w:ind w:firstLine="422" w:firstLineChars="201"/>
        <w:rPr>
          <w:rFonts w:ascii="宋体" w:hAnsi="宋体"/>
          <w:bCs/>
          <w:szCs w:val="21"/>
        </w:rPr>
      </w:pPr>
      <w:r>
        <w:rPr>
          <w:rFonts w:hint="eastAsia" w:ascii="宋体" w:hAnsi="宋体"/>
          <w:bCs/>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tabs>
          <w:tab w:val="left" w:pos="3780"/>
        </w:tabs>
        <w:autoSpaceDE w:val="0"/>
        <w:autoSpaceDN w:val="0"/>
        <w:adjustRightInd w:val="0"/>
        <w:snapToGrid w:val="0"/>
        <w:spacing w:line="360" w:lineRule="auto"/>
        <w:ind w:firstLine="424" w:firstLineChars="201"/>
        <w:textAlignment w:val="bottom"/>
        <w:rPr>
          <w:rFonts w:ascii="Arial" w:hAnsi="Arial"/>
          <w:b/>
        </w:rPr>
      </w:pPr>
      <w:r>
        <w:rPr>
          <w:rFonts w:hint="eastAsia" w:ascii="Arial" w:hAnsi="Arial"/>
          <w:b/>
        </w:rPr>
        <w:t>五</w:t>
      </w:r>
      <w:r>
        <w:rPr>
          <w:rFonts w:hint="eastAsia" w:ascii="Arial" w:hAnsi="Arial" w:cs="Arial"/>
          <w:b/>
          <w:bCs/>
          <w:szCs w:val="21"/>
        </w:rPr>
        <w:t>、</w:t>
      </w:r>
      <w:r>
        <w:rPr>
          <w:rFonts w:hint="eastAsia" w:ascii="Arial" w:hAnsi="Arial"/>
          <w:b/>
        </w:rPr>
        <w:t>估值程序</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1、各类基金份额净值是按照每个工作日闭市后，各类基金份额的基金资产净值除以当日该类基金份额的余额数量计算，均精确到0.0001元，小数点后第5位四舍五入，由此产生的误差计入基金财产。基金管理人可以设立大额赎回情形下的净值精度应急调整机制。国家另有规定的，从其规定。</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基金管理人于每个工作日计算基金资产净值及各类基金份额净值，并按规定公告。</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w:t>
      </w:r>
    </w:p>
    <w:p>
      <w:pPr>
        <w:adjustRightInd w:val="0"/>
        <w:snapToGrid w:val="0"/>
        <w:spacing w:line="360" w:lineRule="auto"/>
        <w:ind w:firstLine="424" w:firstLineChars="201"/>
        <w:rPr>
          <w:rFonts w:asciiTheme="minorEastAsia" w:hAnsiTheme="minorEastAsia" w:eastAsiaTheme="minorEastAsia"/>
          <w:b/>
        </w:rPr>
      </w:pPr>
      <w:r>
        <w:rPr>
          <w:rFonts w:hint="eastAsia" w:asciiTheme="minorEastAsia" w:hAnsiTheme="minorEastAsia" w:eastAsiaTheme="minorEastAsia"/>
          <w:b/>
        </w:rPr>
        <w:t>六、估值错误的处理</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基金管理人和基金托管人将采取必要、适当、合理的措施确保基金资产估值的准确性、及时性。当任一类基金份额净值小数点后4位以内(含第4位)发生估值错误时，视为该类基金份额净值错误。</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基金合同的当事人应按照以下约定处理：</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1、估值错误类型</w:t>
      </w:r>
      <w:r>
        <w:rPr>
          <w:rFonts w:hint="eastAsia" w:asciiTheme="minorEastAsia" w:hAnsiTheme="minorEastAsia" w:eastAsiaTheme="minorEastAsia"/>
        </w:rPr>
        <w:tab/>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上述估值错误的主要类型包括但不限于：资料申报差错、数据传输差错、数据计算差错、系统故障差错、下达指令差错等。</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2、估值错误处理原则</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（2）估值错误的责任方对有关当事人的直接损失负责，不对间接损失负责，并且仅对估值错误的有关直接当事人负责，不对第三方负责。</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（4）估值错误调整采用尽量恢复至假设未发生估值错误的正确情形的方式。</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3、估值错误处理程序</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估值错误被发现后，有关的当事人应当及时进行处理，处理的程序如下：</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（1）查明估值错误发生的原因，列明所有的当事人，并根据估值错误发生的原因确定估值错误的责任方；</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（2）根据估值错误处理原则或当事人协商的方法对因估值错误造成的损失进行评估；</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（3）根据估值错误处理原则或当事人协商的方法由估值错误的责任方进行更正和赔偿损失；</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（4）根据估值错误处理的方法，需要修改基金登记机构交易数据的，由基金登记机构进行更正，并就估值错误的更正向有关当事人进行确认。</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4、基金份额净值估值错误处理的方法如下：</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（1）基金份额净值计算出现错误时，基金管理人应当立即予以纠正，通报基金托管人，并采取合理的措施防止损失进一步扩大。</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（2）错误偏差达到该类基金份额净值的0.25%时，基金管理人应当通报基金托管人并报中国证监会备案；错误偏差达到该类基金份额净值的0.5%时，基金管理人应当公告，并报中国证监会备案。</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（3）当基金份额净值计算差错给基金和基金份额持有人造成损失需要进行赔偿时，基金管理人和基金托管人应根据实际情况界定双方承担的责任，经确认后按以下条款进行赔偿：</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djustRightInd w:val="0"/>
        <w:snapToGrid w:val="0"/>
        <w:spacing w:line="360" w:lineRule="auto"/>
        <w:ind w:firstLine="422" w:firstLineChars="201"/>
        <w:rPr>
          <w:rFonts w:asciiTheme="minorEastAsia" w:hAnsiTheme="minorEastAsia"/>
          <w:b/>
          <w:kern w:val="0"/>
        </w:rPr>
      </w:pPr>
      <w:r>
        <w:rPr>
          <w:rFonts w:hint="eastAsia" w:asciiTheme="minorEastAsia" w:hAnsiTheme="minorEastAsia" w:eastAsiaTheme="minorEastAsia"/>
        </w:rPr>
        <w:t>④由于基金管理人提供的信息错误（包括但不限于基金申购或赎回金额等），进而导致基金份额净值计算错误而引起的基金份额持有人和基金财产的损失，由基金管理人负责赔付。（4）前述内容如法律法规或监管机关另有规定的，从其规定处理。如果行业另有通行做法，基金管理人、基金托管人应本着平等和保护基金份额持有人利益的原则进行协商。</w:t>
      </w:r>
    </w:p>
    <w:p>
      <w:pPr>
        <w:adjustRightInd w:val="0"/>
        <w:snapToGrid w:val="0"/>
        <w:spacing w:line="360" w:lineRule="auto"/>
        <w:ind w:firstLine="424" w:firstLineChars="201"/>
        <w:rPr>
          <w:rFonts w:asciiTheme="minorEastAsia" w:hAnsiTheme="minorEastAsia"/>
          <w:b/>
          <w:kern w:val="0"/>
        </w:rPr>
      </w:pPr>
      <w:r>
        <w:rPr>
          <w:rFonts w:hint="eastAsia" w:asciiTheme="minorEastAsia" w:hAnsiTheme="minorEastAsia"/>
          <w:b/>
          <w:kern w:val="0"/>
        </w:rPr>
        <w:t>七、暂停估值的情形</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1、基金投资所涉及的证券、期货交易市场遇法定节假日或因其他原因暂停营业时；</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2、因不可抗力致使基金管理人、基金托管人无法准确评估基金资产价值时；</w:t>
      </w:r>
    </w:p>
    <w:p>
      <w:pPr>
        <w:adjustRightInd w:val="0"/>
        <w:snapToGrid w:val="0"/>
        <w:spacing w:line="360" w:lineRule="auto"/>
        <w:ind w:firstLine="422" w:firstLineChars="201"/>
        <w:rPr>
          <w:rFonts w:asciiTheme="minorEastAsia" w:hAnsiTheme="minorEastAsia" w:eastAsiaTheme="minorEastAsia"/>
        </w:rPr>
      </w:pPr>
      <w:r>
        <w:rPr>
          <w:rFonts w:hint="eastAsia" w:asciiTheme="minorEastAsia" w:hAnsiTheme="minorEastAsia" w:eastAsiaTheme="minorEastAsia"/>
        </w:rPr>
        <w:t>3、当特定资产占前一估值日基金资产净值50%以上的，经与基金托管人协商确认后，基金管理人应当暂停估值；</w:t>
      </w:r>
    </w:p>
    <w:p>
      <w:pPr>
        <w:adjustRightInd w:val="0"/>
        <w:snapToGrid w:val="0"/>
        <w:spacing w:line="360" w:lineRule="auto"/>
        <w:ind w:firstLine="422" w:firstLineChars="201"/>
        <w:rPr>
          <w:rFonts w:asciiTheme="minorEastAsia" w:hAnsiTheme="minorEastAsia" w:eastAsiaTheme="minorEastAsia"/>
          <w:kern w:val="0"/>
        </w:rPr>
      </w:pPr>
      <w:r>
        <w:rPr>
          <w:rFonts w:hint="eastAsia" w:asciiTheme="minorEastAsia" w:hAnsiTheme="minorEastAsia" w:eastAsiaTheme="minorEastAsia"/>
        </w:rPr>
        <w:t>4、法律法规规定、中国证监会和基金合同认定的其它情形。</w:t>
      </w:r>
    </w:p>
    <w:p>
      <w:pPr>
        <w:adjustRightInd w:val="0"/>
        <w:snapToGrid w:val="0"/>
        <w:spacing w:line="360" w:lineRule="auto"/>
        <w:ind w:firstLine="424" w:firstLineChars="201"/>
        <w:rPr>
          <w:rFonts w:asciiTheme="minorEastAsia" w:hAnsiTheme="minorEastAsia" w:eastAsiaTheme="minorEastAsia"/>
          <w:b/>
          <w:kern w:val="0"/>
        </w:rPr>
      </w:pPr>
      <w:r>
        <w:rPr>
          <w:rFonts w:hint="eastAsia" w:asciiTheme="minorEastAsia" w:hAnsiTheme="minorEastAsia" w:eastAsiaTheme="minorEastAsia"/>
          <w:b/>
          <w:kern w:val="0"/>
        </w:rPr>
        <w:t>八、基金净值的确认</w:t>
      </w:r>
    </w:p>
    <w:p>
      <w:pPr>
        <w:tabs>
          <w:tab w:val="left" w:pos="3780"/>
        </w:tabs>
        <w:autoSpaceDE w:val="0"/>
        <w:autoSpaceDN w:val="0"/>
        <w:adjustRightInd w:val="0"/>
        <w:snapToGrid w:val="0"/>
        <w:spacing w:line="360" w:lineRule="auto"/>
        <w:ind w:firstLine="422" w:firstLineChars="201"/>
        <w:textAlignment w:val="bottom"/>
        <w:rPr>
          <w:rFonts w:ascii="Arial" w:hAnsi="Arial" w:cs="Arial"/>
          <w:b/>
          <w:bCs/>
          <w:szCs w:val="21"/>
        </w:rPr>
      </w:pPr>
      <w:r>
        <w:rPr>
          <w:rFonts w:hint="eastAsia" w:asciiTheme="minorEastAsia" w:hAnsiTheme="minorEastAsia" w:eastAsiaTheme="minorEastAsia"/>
          <w:kern w:val="0"/>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pPr>
        <w:tabs>
          <w:tab w:val="left" w:pos="3780"/>
        </w:tabs>
        <w:autoSpaceDE w:val="0"/>
        <w:autoSpaceDN w:val="0"/>
        <w:adjustRightInd w:val="0"/>
        <w:snapToGrid w:val="0"/>
        <w:spacing w:line="360" w:lineRule="auto"/>
        <w:ind w:firstLine="424" w:firstLineChars="201"/>
        <w:textAlignment w:val="bottom"/>
        <w:rPr>
          <w:rFonts w:ascii="Arial" w:hAnsi="Arial"/>
          <w:b/>
        </w:rPr>
      </w:pPr>
      <w:r>
        <w:rPr>
          <w:rFonts w:hint="eastAsia" w:ascii="Arial" w:hAnsi="Arial" w:cs="Arial"/>
          <w:b/>
          <w:bCs/>
          <w:szCs w:val="21"/>
        </w:rPr>
        <w:t>九、</w:t>
      </w:r>
      <w:r>
        <w:rPr>
          <w:rFonts w:ascii="Arial" w:hAnsi="Arial" w:cs="Arial"/>
          <w:b/>
          <w:bCs/>
          <w:szCs w:val="21"/>
        </w:rPr>
        <w:t>特殊情</w:t>
      </w:r>
      <w:r>
        <w:rPr>
          <w:rFonts w:hint="eastAsia" w:ascii="Arial" w:hAnsi="Arial" w:cs="Arial"/>
          <w:b/>
          <w:bCs/>
          <w:szCs w:val="21"/>
        </w:rPr>
        <w:t>况</w:t>
      </w:r>
      <w:r>
        <w:rPr>
          <w:rFonts w:hint="eastAsia" w:ascii="Arial" w:hAnsi="Arial"/>
          <w:b/>
        </w:rPr>
        <w:t>的处理</w:t>
      </w:r>
    </w:p>
    <w:p>
      <w:pPr>
        <w:tabs>
          <w:tab w:val="left" w:pos="3780"/>
        </w:tabs>
        <w:autoSpaceDE w:val="0"/>
        <w:autoSpaceDN w:val="0"/>
        <w:adjustRightInd w:val="0"/>
        <w:snapToGrid w:val="0"/>
        <w:spacing w:line="360" w:lineRule="auto"/>
        <w:ind w:firstLine="422" w:firstLineChars="201"/>
        <w:textAlignment w:val="bottom"/>
        <w:rPr>
          <w:rFonts w:asciiTheme="minorEastAsia" w:hAnsiTheme="minorEastAsia" w:eastAsiaTheme="minorEastAsia"/>
          <w:kern w:val="0"/>
        </w:rPr>
      </w:pPr>
      <w:r>
        <w:rPr>
          <w:rFonts w:hint="eastAsia" w:asciiTheme="minorEastAsia" w:hAnsiTheme="minorEastAsia" w:eastAsiaTheme="minorEastAsia"/>
          <w:kern w:val="0"/>
        </w:rPr>
        <w:t>1、基金管理人或基金托管人按估值方法的第</w:t>
      </w:r>
      <w:r>
        <w:rPr>
          <w:rFonts w:asciiTheme="minorEastAsia" w:hAnsiTheme="minorEastAsia" w:eastAsiaTheme="minorEastAsia"/>
          <w:kern w:val="0"/>
        </w:rPr>
        <w:t>1</w:t>
      </w:r>
      <w:r>
        <w:rPr>
          <w:rFonts w:hint="eastAsia" w:asciiTheme="minorEastAsia" w:hAnsiTheme="minorEastAsia" w:eastAsiaTheme="minorEastAsia"/>
          <w:kern w:val="0"/>
        </w:rPr>
        <w:t>2项进行估值时，所造成的误差不作为基金资产估值错误处理。</w:t>
      </w:r>
    </w:p>
    <w:p>
      <w:pPr>
        <w:tabs>
          <w:tab w:val="left" w:pos="3780"/>
        </w:tabs>
        <w:autoSpaceDE w:val="0"/>
        <w:autoSpaceDN w:val="0"/>
        <w:adjustRightInd w:val="0"/>
        <w:snapToGrid w:val="0"/>
        <w:spacing w:line="360" w:lineRule="auto"/>
        <w:ind w:firstLine="422" w:firstLineChars="201"/>
        <w:textAlignment w:val="bottom"/>
        <w:rPr>
          <w:rFonts w:asciiTheme="minorEastAsia" w:hAnsiTheme="minorEastAsia" w:eastAsiaTheme="minorEastAsia"/>
          <w:kern w:val="0"/>
        </w:rPr>
      </w:pPr>
      <w:r>
        <w:rPr>
          <w:rFonts w:hint="eastAsia" w:asciiTheme="minorEastAsia" w:hAnsiTheme="minorEastAsia" w:eastAsiaTheme="minorEastAsia"/>
          <w:kern w:val="0"/>
        </w:rPr>
        <w:t>2、由于不可抗力原因，或由于证券、期货交易所或登记结算公司、指数编制机构及存款银行等第三方机构发送的数据错误、遗漏、市场规则变更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pPr>
        <w:tabs>
          <w:tab w:val="left" w:pos="3780"/>
        </w:tabs>
        <w:autoSpaceDE w:val="0"/>
        <w:autoSpaceDN w:val="0"/>
        <w:adjustRightInd w:val="0"/>
        <w:snapToGrid w:val="0"/>
        <w:spacing w:line="360" w:lineRule="auto"/>
        <w:ind w:firstLine="424" w:firstLineChars="201"/>
        <w:textAlignment w:val="bottom"/>
        <w:rPr>
          <w:rFonts w:ascii="Arial" w:hAnsi="Arial" w:cs="Arial"/>
          <w:b/>
          <w:kern w:val="0"/>
          <w:szCs w:val="21"/>
        </w:rPr>
      </w:pPr>
      <w:r>
        <w:rPr>
          <w:rFonts w:hint="eastAsia" w:ascii="Arial" w:hAnsi="Arial" w:cs="Arial"/>
          <w:b/>
          <w:kern w:val="0"/>
          <w:szCs w:val="21"/>
        </w:rPr>
        <w:t>十、实施侧袋机制期间的基金资产估值</w:t>
      </w:r>
    </w:p>
    <w:p>
      <w:pPr>
        <w:tabs>
          <w:tab w:val="left" w:pos="3780"/>
        </w:tabs>
        <w:autoSpaceDE w:val="0"/>
        <w:autoSpaceDN w:val="0"/>
        <w:adjustRightInd w:val="0"/>
        <w:snapToGrid w:val="0"/>
        <w:spacing w:line="360" w:lineRule="auto"/>
        <w:ind w:firstLine="422" w:firstLineChars="201"/>
        <w:textAlignment w:val="bottom"/>
        <w:rPr>
          <w:rFonts w:ascii="Arial" w:hAnsi="Arial" w:cs="Arial"/>
          <w:kern w:val="0"/>
          <w:szCs w:val="21"/>
        </w:rPr>
      </w:pPr>
      <w:r>
        <w:rPr>
          <w:rFonts w:hint="eastAsia" w:ascii="Arial" w:hAnsi="Arial" w:cs="Arial"/>
          <w:kern w:val="0"/>
          <w:szCs w:val="21"/>
        </w:rPr>
        <w:t>本基金实施侧袋机制的，应根据本部分的约定对主袋账户资产进行估值并披露主袋账户的基金净值信息，暂停披露侧袋账户基金净值信息。</w:t>
      </w:r>
    </w:p>
    <w:p>
      <w:pPr>
        <w:adjustRightInd w:val="0"/>
        <w:snapToGrid w:val="0"/>
        <w:spacing w:line="360" w:lineRule="auto"/>
        <w:ind w:firstLine="422" w:firstLineChars="201"/>
        <w:sectPr>
          <w:footerReference r:id="rId20" w:type="first"/>
          <w:footerReference r:id="rId19" w:type="defaul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111" w:name="_Toc375295985"/>
      <w:bookmarkStart w:id="112" w:name="_Toc92740295"/>
      <w:bookmarkStart w:id="113" w:name="_Toc335899845"/>
      <w:bookmarkStart w:id="114" w:name="_Toc336606239"/>
      <w:bookmarkStart w:id="115" w:name="_Toc369510020"/>
      <w:bookmarkStart w:id="116" w:name="_Toc327902634"/>
      <w:bookmarkStart w:id="117" w:name="_Toc411872034"/>
      <w:bookmarkStart w:id="118" w:name="_Toc332013122"/>
      <w:r>
        <w:rPr>
          <w:rFonts w:hint="eastAsia"/>
        </w:rPr>
        <w:t>基金的收益与分配</w:t>
      </w:r>
      <w:bookmarkEnd w:id="111"/>
      <w:bookmarkEnd w:id="112"/>
      <w:bookmarkEnd w:id="113"/>
      <w:bookmarkEnd w:id="114"/>
      <w:bookmarkEnd w:id="115"/>
      <w:bookmarkEnd w:id="116"/>
      <w:bookmarkEnd w:id="117"/>
      <w:bookmarkEnd w:id="118"/>
    </w:p>
    <w:p>
      <w:pPr>
        <w:snapToGrid w:val="0"/>
        <w:spacing w:line="360" w:lineRule="auto"/>
        <w:ind w:firstLine="474" w:firstLineChars="225"/>
        <w:rPr>
          <w:b/>
          <w:szCs w:val="21"/>
        </w:rPr>
      </w:pPr>
      <w:r>
        <w:rPr>
          <w:rFonts w:hint="eastAsia"/>
          <w:b/>
          <w:szCs w:val="21"/>
        </w:rPr>
        <w:t>一、基金利润的构成</w:t>
      </w:r>
    </w:p>
    <w:p>
      <w:pPr>
        <w:snapToGrid w:val="0"/>
        <w:spacing w:line="360" w:lineRule="auto"/>
        <w:ind w:firstLine="472" w:firstLineChars="225"/>
        <w:rPr>
          <w:bCs/>
          <w:szCs w:val="21"/>
        </w:rPr>
      </w:pPr>
      <w:r>
        <w:rPr>
          <w:rFonts w:hint="eastAsia"/>
          <w:bCs/>
          <w:szCs w:val="21"/>
        </w:rPr>
        <w:t>基金利润指基金利息收入、投资收益、公允价值变动收益和其他收入扣除相关费用后的余额，基金已实现收益指基金利润减去公允价值变动收益后的余额。</w:t>
      </w:r>
    </w:p>
    <w:p>
      <w:pPr>
        <w:snapToGrid w:val="0"/>
        <w:spacing w:line="360" w:lineRule="auto"/>
        <w:ind w:firstLine="474" w:firstLineChars="225"/>
        <w:rPr>
          <w:b/>
          <w:szCs w:val="21"/>
        </w:rPr>
      </w:pPr>
      <w:r>
        <w:rPr>
          <w:rFonts w:hint="eastAsia"/>
          <w:b/>
          <w:szCs w:val="21"/>
        </w:rPr>
        <w:t>二、基金可供分配利润</w:t>
      </w:r>
    </w:p>
    <w:p>
      <w:pPr>
        <w:snapToGrid w:val="0"/>
        <w:spacing w:line="360" w:lineRule="auto"/>
        <w:ind w:firstLine="472" w:firstLineChars="225"/>
        <w:rPr>
          <w:bCs/>
          <w:szCs w:val="21"/>
        </w:rPr>
      </w:pPr>
      <w:r>
        <w:rPr>
          <w:rFonts w:hint="eastAsia"/>
          <w:bCs/>
          <w:szCs w:val="21"/>
        </w:rPr>
        <w:t>基金可供分配利润指截至收益分配基准日基金未分配利润与未分配利润中已实现收益的孰低数。</w:t>
      </w:r>
    </w:p>
    <w:p>
      <w:pPr>
        <w:snapToGrid w:val="0"/>
        <w:spacing w:line="360" w:lineRule="auto"/>
        <w:ind w:firstLine="474" w:firstLineChars="225"/>
        <w:rPr>
          <w:b/>
          <w:szCs w:val="21"/>
        </w:rPr>
      </w:pPr>
      <w:r>
        <w:rPr>
          <w:rFonts w:hint="eastAsia"/>
          <w:b/>
          <w:szCs w:val="21"/>
        </w:rPr>
        <w:t>三、基金收益分配原则</w:t>
      </w:r>
    </w:p>
    <w:p>
      <w:pPr>
        <w:snapToGrid w:val="0"/>
        <w:spacing w:line="360" w:lineRule="auto"/>
        <w:ind w:firstLine="472" w:firstLineChars="225"/>
        <w:rPr>
          <w:bCs/>
          <w:szCs w:val="21"/>
        </w:rPr>
      </w:pPr>
      <w:r>
        <w:rPr>
          <w:rFonts w:hint="eastAsia"/>
          <w:bCs/>
          <w:szCs w:val="21"/>
        </w:rPr>
        <w:t>1、由于各类基金份额类别的收费方式不同，各基金份额类别对应的可供分配利润将有所不同，本基金同一类别的每一基金份额享有同等分配权；</w:t>
      </w:r>
    </w:p>
    <w:p>
      <w:pPr>
        <w:snapToGrid w:val="0"/>
        <w:spacing w:line="360" w:lineRule="auto"/>
        <w:ind w:firstLine="472" w:firstLineChars="225"/>
        <w:rPr>
          <w:bCs/>
          <w:szCs w:val="21"/>
        </w:rPr>
      </w:pPr>
      <w:r>
        <w:rPr>
          <w:rFonts w:hint="eastAsia"/>
          <w:bCs/>
          <w:szCs w:val="21"/>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pPr>
        <w:snapToGrid w:val="0"/>
        <w:spacing w:line="360" w:lineRule="auto"/>
        <w:ind w:firstLine="472" w:firstLineChars="225"/>
        <w:rPr>
          <w:bCs/>
          <w:szCs w:val="21"/>
        </w:rPr>
      </w:pPr>
      <w:r>
        <w:rPr>
          <w:rFonts w:hint="eastAsia"/>
          <w:bCs/>
          <w:szCs w:val="21"/>
          <w:lang w:val="en-US" w:eastAsia="zh-CN"/>
        </w:rPr>
        <w:t>3</w:t>
      </w:r>
      <w:r>
        <w:rPr>
          <w:rFonts w:hint="eastAsia"/>
          <w:bCs/>
          <w:szCs w:val="21"/>
        </w:rPr>
        <w:t>、若《基金合同》生效不满3个月可不进行收益分配；</w:t>
      </w:r>
    </w:p>
    <w:p>
      <w:pPr>
        <w:snapToGrid w:val="0"/>
        <w:spacing w:line="360" w:lineRule="auto"/>
        <w:ind w:firstLine="472" w:firstLineChars="225"/>
        <w:rPr>
          <w:bCs/>
          <w:szCs w:val="21"/>
        </w:rPr>
      </w:pPr>
      <w:r>
        <w:rPr>
          <w:rFonts w:hint="eastAsia"/>
          <w:bCs/>
          <w:szCs w:val="21"/>
          <w:lang w:val="en-US" w:eastAsia="zh-CN"/>
        </w:rPr>
        <w:t>4</w:t>
      </w:r>
      <w:r>
        <w:rPr>
          <w:rFonts w:hint="eastAsia"/>
          <w:bCs/>
          <w:szCs w:val="21"/>
        </w:rPr>
        <w:t>、法律法规或监管机关另有规定的，从其规定。</w:t>
      </w:r>
    </w:p>
    <w:p>
      <w:pPr>
        <w:snapToGrid w:val="0"/>
        <w:spacing w:line="360" w:lineRule="auto"/>
        <w:ind w:firstLine="472" w:firstLineChars="225"/>
        <w:rPr>
          <w:b/>
          <w:szCs w:val="21"/>
        </w:rPr>
      </w:pPr>
      <w:r>
        <w:rPr>
          <w:rFonts w:hint="eastAsia"/>
          <w:bCs/>
          <w:szCs w:val="21"/>
        </w:rPr>
        <w:t xml:space="preserve">在不违反法律法规且对基金份额持有人利益无实质性不利影响的前提下，基金管理人经与基金托管人协商一致，并履行适当程序后，基金管理人可对基金收益分配的有关业务规则进行调整。 </w:t>
      </w:r>
    </w:p>
    <w:p>
      <w:pPr>
        <w:snapToGrid w:val="0"/>
        <w:spacing w:line="360" w:lineRule="auto"/>
        <w:ind w:firstLine="474" w:firstLineChars="225"/>
        <w:rPr>
          <w:b/>
          <w:szCs w:val="21"/>
        </w:rPr>
      </w:pPr>
      <w:r>
        <w:rPr>
          <w:rFonts w:hint="eastAsia"/>
          <w:b/>
          <w:szCs w:val="21"/>
        </w:rPr>
        <w:t>四、收益分配方案</w:t>
      </w:r>
    </w:p>
    <w:p>
      <w:pPr>
        <w:snapToGrid w:val="0"/>
        <w:spacing w:line="360" w:lineRule="auto"/>
        <w:ind w:firstLine="472" w:firstLineChars="225"/>
        <w:rPr>
          <w:bCs/>
          <w:szCs w:val="21"/>
        </w:rPr>
      </w:pPr>
      <w:r>
        <w:rPr>
          <w:rFonts w:hint="eastAsia"/>
          <w:bCs/>
          <w:szCs w:val="21"/>
        </w:rPr>
        <w:t>基金收益分配方案中应载明截至收益分配基准日的可供分配利润、基金收益分配对象、分配时间、分配数额及比例、分配方式等内容。</w:t>
      </w:r>
    </w:p>
    <w:p>
      <w:pPr>
        <w:snapToGrid w:val="0"/>
        <w:spacing w:line="360" w:lineRule="auto"/>
        <w:ind w:firstLine="474" w:firstLineChars="225"/>
        <w:rPr>
          <w:b/>
          <w:szCs w:val="21"/>
        </w:rPr>
      </w:pPr>
      <w:r>
        <w:rPr>
          <w:rFonts w:hint="eastAsia"/>
          <w:b/>
          <w:szCs w:val="21"/>
        </w:rPr>
        <w:t>五、收益分配方案的确定、公告与实施</w:t>
      </w:r>
    </w:p>
    <w:p>
      <w:pPr>
        <w:snapToGrid w:val="0"/>
        <w:spacing w:line="360" w:lineRule="auto"/>
        <w:ind w:firstLine="472" w:firstLineChars="225"/>
        <w:rPr>
          <w:bCs/>
          <w:szCs w:val="21"/>
        </w:rPr>
      </w:pPr>
      <w:r>
        <w:rPr>
          <w:rFonts w:hint="eastAsia"/>
          <w:bCs/>
          <w:szCs w:val="21"/>
        </w:rPr>
        <w:t>本基金收益分配方案由基金管理人拟定，并由基金托管人复核，按规定在规定媒介公告。</w:t>
      </w:r>
    </w:p>
    <w:p>
      <w:pPr>
        <w:snapToGrid w:val="0"/>
        <w:spacing w:line="360" w:lineRule="auto"/>
        <w:ind w:firstLine="474" w:firstLineChars="225"/>
        <w:rPr>
          <w:b/>
          <w:szCs w:val="21"/>
        </w:rPr>
      </w:pPr>
      <w:r>
        <w:rPr>
          <w:rFonts w:hint="eastAsia"/>
          <w:b/>
          <w:szCs w:val="21"/>
        </w:rPr>
        <w:t>六、基金收益分配中发生的费用</w:t>
      </w:r>
    </w:p>
    <w:p>
      <w:pPr>
        <w:snapToGrid w:val="0"/>
        <w:spacing w:line="360" w:lineRule="auto"/>
        <w:ind w:firstLine="472" w:firstLineChars="225"/>
        <w:rPr>
          <w:bCs/>
          <w:szCs w:val="21"/>
        </w:rPr>
      </w:pPr>
      <w:r>
        <w:rPr>
          <w:rFonts w:hint="eastAsia"/>
          <w:bCs/>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snapToGrid w:val="0"/>
        <w:spacing w:line="360" w:lineRule="auto"/>
        <w:ind w:firstLine="474" w:firstLineChars="225"/>
        <w:rPr>
          <w:b/>
          <w:bCs/>
          <w:szCs w:val="21"/>
        </w:rPr>
      </w:pPr>
      <w:r>
        <w:rPr>
          <w:rFonts w:hint="eastAsia"/>
          <w:b/>
          <w:bCs/>
          <w:szCs w:val="21"/>
        </w:rPr>
        <w:t>七、实施侧袋机制期间的收益分配</w:t>
      </w:r>
    </w:p>
    <w:p>
      <w:pPr>
        <w:snapToGrid w:val="0"/>
        <w:spacing w:line="360" w:lineRule="auto"/>
        <w:ind w:firstLine="472" w:firstLineChars="225"/>
        <w:rPr>
          <w:bCs/>
          <w:szCs w:val="21"/>
        </w:rPr>
      </w:pPr>
      <w:r>
        <w:rPr>
          <w:rFonts w:hint="eastAsia"/>
          <w:bCs/>
          <w:szCs w:val="21"/>
        </w:rPr>
        <w:t>本基金实施侧袋机制的，侧袋账户不进行收益分配。</w:t>
      </w:r>
    </w:p>
    <w:p>
      <w:pPr>
        <w:snapToGrid w:val="0"/>
        <w:spacing w:line="360" w:lineRule="auto"/>
        <w:ind w:firstLine="472" w:firstLineChars="225"/>
        <w:rPr>
          <w:rFonts w:ascii="宋体"/>
          <w:bCs/>
          <w:szCs w:val="21"/>
        </w:rPr>
        <w:sectPr>
          <w:footerReference r:id="rId21" w:type="firs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119" w:name="_Toc369510021"/>
      <w:bookmarkStart w:id="120" w:name="_Toc327902635"/>
      <w:bookmarkStart w:id="121" w:name="_Toc332013123"/>
      <w:bookmarkStart w:id="122" w:name="_Toc335899846"/>
      <w:bookmarkStart w:id="123" w:name="_Toc336606240"/>
      <w:bookmarkStart w:id="124" w:name="_Toc92740296"/>
      <w:bookmarkStart w:id="125" w:name="_Toc375295986"/>
      <w:bookmarkStart w:id="126" w:name="_Toc411872035"/>
      <w:r>
        <w:rPr>
          <w:rFonts w:hint="eastAsia"/>
        </w:rPr>
        <w:t>基金的费用与税收</w:t>
      </w:r>
      <w:bookmarkEnd w:id="119"/>
      <w:bookmarkEnd w:id="120"/>
      <w:bookmarkEnd w:id="121"/>
      <w:bookmarkEnd w:id="122"/>
      <w:bookmarkEnd w:id="123"/>
      <w:bookmarkEnd w:id="124"/>
      <w:bookmarkEnd w:id="125"/>
      <w:bookmarkEnd w:id="126"/>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一、基金费用的种类</w:t>
      </w:r>
    </w:p>
    <w:p>
      <w:pPr>
        <w:spacing w:line="360" w:lineRule="auto"/>
        <w:ind w:firstLine="420" w:firstLineChars="200"/>
        <w:rPr>
          <w:bCs/>
          <w:szCs w:val="21"/>
        </w:rPr>
      </w:pPr>
      <w:r>
        <w:rPr>
          <w:rFonts w:hint="eastAsia"/>
          <w:bCs/>
          <w:szCs w:val="21"/>
        </w:rPr>
        <w:t>1、基金管理人的管理费；</w:t>
      </w:r>
    </w:p>
    <w:p>
      <w:pPr>
        <w:spacing w:line="360" w:lineRule="auto"/>
        <w:ind w:firstLine="420" w:firstLineChars="200"/>
        <w:rPr>
          <w:bCs/>
          <w:szCs w:val="21"/>
        </w:rPr>
      </w:pPr>
      <w:r>
        <w:rPr>
          <w:rFonts w:hint="eastAsia"/>
          <w:bCs/>
          <w:szCs w:val="21"/>
        </w:rPr>
        <w:t>2、基金托管人的托管费；</w:t>
      </w:r>
    </w:p>
    <w:p>
      <w:pPr>
        <w:spacing w:line="360" w:lineRule="auto"/>
        <w:ind w:firstLine="420" w:firstLineChars="200"/>
        <w:rPr>
          <w:bCs/>
          <w:szCs w:val="21"/>
        </w:rPr>
      </w:pPr>
      <w:r>
        <w:rPr>
          <w:rFonts w:hint="eastAsia"/>
          <w:bCs/>
          <w:szCs w:val="21"/>
        </w:rPr>
        <w:t>3、C类基金份额的销售服务费；</w:t>
      </w:r>
    </w:p>
    <w:p>
      <w:pPr>
        <w:spacing w:line="360" w:lineRule="auto"/>
        <w:ind w:firstLine="420" w:firstLineChars="200"/>
        <w:rPr>
          <w:bCs/>
          <w:szCs w:val="21"/>
        </w:rPr>
      </w:pPr>
      <w:r>
        <w:rPr>
          <w:rFonts w:hint="eastAsia"/>
          <w:bCs/>
          <w:szCs w:val="21"/>
        </w:rPr>
        <w:t>4、基金合同生效后与基金相关的信息披露费用，法律法规、中国证监会另有规定的除外；</w:t>
      </w:r>
    </w:p>
    <w:p>
      <w:pPr>
        <w:spacing w:line="360" w:lineRule="auto"/>
        <w:ind w:firstLine="420" w:firstLineChars="200"/>
        <w:rPr>
          <w:bCs/>
          <w:szCs w:val="21"/>
        </w:rPr>
      </w:pPr>
      <w:r>
        <w:rPr>
          <w:rFonts w:hint="eastAsia"/>
          <w:bCs/>
          <w:szCs w:val="21"/>
        </w:rPr>
        <w:t>5、基金合同生效后与基金相关的会计师费、公证费、律师费、诉讼费和仲裁费；</w:t>
      </w:r>
    </w:p>
    <w:p>
      <w:pPr>
        <w:spacing w:line="360" w:lineRule="auto"/>
        <w:ind w:firstLine="420" w:firstLineChars="200"/>
        <w:rPr>
          <w:bCs/>
          <w:szCs w:val="21"/>
        </w:rPr>
      </w:pPr>
      <w:r>
        <w:rPr>
          <w:rFonts w:hint="eastAsia"/>
          <w:bCs/>
          <w:szCs w:val="21"/>
        </w:rPr>
        <w:t>6、基金份额持有人大会费用；</w:t>
      </w:r>
    </w:p>
    <w:p>
      <w:pPr>
        <w:spacing w:line="360" w:lineRule="auto"/>
        <w:ind w:firstLine="420" w:firstLineChars="200"/>
        <w:rPr>
          <w:bCs/>
          <w:szCs w:val="21"/>
        </w:rPr>
      </w:pPr>
      <w:r>
        <w:rPr>
          <w:rFonts w:hint="eastAsia"/>
          <w:bCs/>
          <w:szCs w:val="21"/>
        </w:rPr>
        <w:t>7、基金的证券、期货、期权交易费用；</w:t>
      </w:r>
    </w:p>
    <w:p>
      <w:pPr>
        <w:spacing w:line="360" w:lineRule="auto"/>
        <w:ind w:firstLine="420" w:firstLineChars="200"/>
        <w:rPr>
          <w:bCs/>
          <w:szCs w:val="21"/>
        </w:rPr>
      </w:pPr>
      <w:r>
        <w:rPr>
          <w:rFonts w:hint="eastAsia"/>
          <w:bCs/>
          <w:szCs w:val="21"/>
        </w:rPr>
        <w:t>8、基金的银行汇划费用；</w:t>
      </w:r>
    </w:p>
    <w:p>
      <w:pPr>
        <w:spacing w:line="360" w:lineRule="auto"/>
        <w:ind w:firstLine="420" w:firstLineChars="200"/>
        <w:rPr>
          <w:bCs/>
          <w:szCs w:val="21"/>
        </w:rPr>
      </w:pPr>
      <w:r>
        <w:rPr>
          <w:rFonts w:hint="eastAsia"/>
          <w:bCs/>
          <w:szCs w:val="21"/>
        </w:rPr>
        <w:t>9、账户开户费用、账户维护费用；</w:t>
      </w:r>
    </w:p>
    <w:p>
      <w:pPr>
        <w:spacing w:line="360" w:lineRule="auto"/>
        <w:ind w:firstLine="420" w:firstLineChars="200"/>
        <w:rPr>
          <w:bCs/>
          <w:szCs w:val="21"/>
        </w:rPr>
      </w:pPr>
      <w:r>
        <w:rPr>
          <w:rFonts w:hint="eastAsia"/>
          <w:bCs/>
          <w:szCs w:val="21"/>
        </w:rPr>
        <w:t>10、基金财产投资运营过程中的增值税；</w:t>
      </w:r>
    </w:p>
    <w:p>
      <w:pPr>
        <w:spacing w:line="360" w:lineRule="auto"/>
        <w:ind w:firstLine="420" w:firstLineChars="200"/>
        <w:rPr>
          <w:bCs/>
          <w:szCs w:val="21"/>
        </w:rPr>
      </w:pPr>
      <w:r>
        <w:rPr>
          <w:rFonts w:hint="eastAsia"/>
          <w:bCs/>
          <w:szCs w:val="21"/>
        </w:rPr>
        <w:t>11、按照国家有关规定和基金合同约定，可以在基金财产中列支的其他费用。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二、基金费用计提方法、计提标准和支付方式</w:t>
      </w:r>
    </w:p>
    <w:p>
      <w:pPr>
        <w:spacing w:line="360" w:lineRule="auto"/>
        <w:ind w:firstLine="420" w:firstLineChars="200"/>
        <w:rPr>
          <w:bCs/>
          <w:szCs w:val="21"/>
        </w:rPr>
      </w:pPr>
      <w:r>
        <w:rPr>
          <w:rFonts w:hint="eastAsia"/>
          <w:bCs/>
          <w:szCs w:val="21"/>
        </w:rPr>
        <w:t xml:space="preserve">1、基金管理人的管理费 </w:t>
      </w:r>
    </w:p>
    <w:p>
      <w:pPr>
        <w:spacing w:line="360" w:lineRule="auto"/>
        <w:ind w:firstLine="420" w:firstLineChars="200"/>
        <w:rPr>
          <w:bCs/>
          <w:szCs w:val="21"/>
        </w:rPr>
      </w:pPr>
      <w:r>
        <w:rPr>
          <w:rFonts w:hint="eastAsia"/>
          <w:bCs/>
          <w:szCs w:val="21"/>
        </w:rPr>
        <w:t>本基金的管理费按前一日基金资产净值的0.50%年费率计提。管理费的计算方法如下：</w:t>
      </w:r>
    </w:p>
    <w:p>
      <w:pPr>
        <w:spacing w:line="360" w:lineRule="auto"/>
        <w:ind w:firstLine="420" w:firstLineChars="200"/>
        <w:rPr>
          <w:bCs/>
          <w:szCs w:val="21"/>
        </w:rPr>
      </w:pPr>
      <w:r>
        <w:rPr>
          <w:rFonts w:hint="eastAsia"/>
          <w:bCs/>
          <w:szCs w:val="21"/>
        </w:rPr>
        <w:t>H＝E×0.50%÷当年天数</w:t>
      </w:r>
    </w:p>
    <w:p>
      <w:pPr>
        <w:spacing w:line="360" w:lineRule="auto"/>
        <w:ind w:firstLine="420" w:firstLineChars="200"/>
        <w:rPr>
          <w:bCs/>
          <w:szCs w:val="21"/>
        </w:rPr>
      </w:pPr>
      <w:r>
        <w:rPr>
          <w:rFonts w:hint="eastAsia"/>
          <w:bCs/>
          <w:szCs w:val="21"/>
        </w:rPr>
        <w:t>H为每日应计提的基金管理费</w:t>
      </w:r>
    </w:p>
    <w:p>
      <w:pPr>
        <w:spacing w:line="360" w:lineRule="auto"/>
        <w:ind w:firstLine="420" w:firstLineChars="200"/>
        <w:rPr>
          <w:bCs/>
          <w:szCs w:val="21"/>
        </w:rPr>
      </w:pPr>
      <w:r>
        <w:rPr>
          <w:rFonts w:hint="eastAsia"/>
          <w:bCs/>
          <w:szCs w:val="21"/>
        </w:rPr>
        <w:t>E为前一日的基金资产净值</w:t>
      </w:r>
    </w:p>
    <w:p>
      <w:pPr>
        <w:spacing w:line="360" w:lineRule="auto"/>
        <w:ind w:firstLine="420" w:firstLineChars="200"/>
        <w:rPr>
          <w:bCs/>
          <w:szCs w:val="21"/>
        </w:rPr>
      </w:pPr>
      <w:r>
        <w:rPr>
          <w:rFonts w:hint="eastAsia"/>
          <w:bCs/>
          <w:szCs w:val="21"/>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pPr>
        <w:spacing w:line="360" w:lineRule="auto"/>
        <w:ind w:firstLine="420" w:firstLineChars="200"/>
        <w:rPr>
          <w:bCs/>
          <w:szCs w:val="21"/>
        </w:rPr>
      </w:pPr>
      <w:r>
        <w:rPr>
          <w:rFonts w:hint="eastAsia"/>
          <w:bCs/>
          <w:szCs w:val="21"/>
        </w:rPr>
        <w:t>2、基金托管人的托管费</w:t>
      </w:r>
    </w:p>
    <w:p>
      <w:pPr>
        <w:spacing w:line="360" w:lineRule="auto"/>
        <w:ind w:firstLine="420" w:firstLineChars="200"/>
        <w:rPr>
          <w:bCs/>
          <w:szCs w:val="21"/>
        </w:rPr>
      </w:pPr>
      <w:r>
        <w:rPr>
          <w:rFonts w:hint="eastAsia"/>
          <w:bCs/>
          <w:szCs w:val="21"/>
        </w:rPr>
        <w:t>本基金的托管费按前一日基金资产净值的0.10%年费率计提。托管费的计算方法如下：</w:t>
      </w:r>
    </w:p>
    <w:p>
      <w:pPr>
        <w:spacing w:line="360" w:lineRule="auto"/>
        <w:ind w:firstLine="420" w:firstLineChars="200"/>
        <w:rPr>
          <w:bCs/>
          <w:szCs w:val="21"/>
        </w:rPr>
      </w:pPr>
      <w:r>
        <w:rPr>
          <w:rFonts w:hint="eastAsia"/>
          <w:bCs/>
          <w:szCs w:val="21"/>
        </w:rPr>
        <w:t>H＝E×0.10%÷当年天数</w:t>
      </w:r>
    </w:p>
    <w:p>
      <w:pPr>
        <w:spacing w:line="360" w:lineRule="auto"/>
        <w:ind w:firstLine="420" w:firstLineChars="200"/>
        <w:rPr>
          <w:bCs/>
          <w:szCs w:val="21"/>
        </w:rPr>
      </w:pPr>
      <w:r>
        <w:rPr>
          <w:rFonts w:hint="eastAsia"/>
          <w:bCs/>
          <w:szCs w:val="21"/>
        </w:rPr>
        <w:t>H为每日应计提的基金托管费</w:t>
      </w:r>
    </w:p>
    <w:p>
      <w:pPr>
        <w:spacing w:line="360" w:lineRule="auto"/>
        <w:ind w:firstLine="420" w:firstLineChars="200"/>
        <w:rPr>
          <w:bCs/>
          <w:szCs w:val="21"/>
        </w:rPr>
      </w:pPr>
      <w:r>
        <w:rPr>
          <w:rFonts w:hint="eastAsia"/>
          <w:bCs/>
          <w:szCs w:val="21"/>
        </w:rPr>
        <w:t>E为前一日的基金资产净值</w:t>
      </w:r>
    </w:p>
    <w:p>
      <w:pPr>
        <w:spacing w:line="360" w:lineRule="auto"/>
        <w:ind w:firstLine="420" w:firstLineChars="200"/>
        <w:rPr>
          <w:bCs/>
          <w:szCs w:val="21"/>
        </w:rPr>
      </w:pPr>
      <w:r>
        <w:rPr>
          <w:rFonts w:hint="eastAsia"/>
          <w:bCs/>
          <w:szCs w:val="21"/>
        </w:rPr>
        <w:t>基金托管费每日计提，逐日累计至每月月末，按月支付，经基金管理人与基金托管人双方核对无误后，基金托管人按照与基金管理人协商一致的方式于次月月初5个工作日内从基金财产中一次性支取。若遇法定节假日、公休假或不可抗力等，支付日期顺延。</w:t>
      </w:r>
    </w:p>
    <w:p>
      <w:pPr>
        <w:spacing w:line="360" w:lineRule="auto"/>
        <w:ind w:firstLine="420" w:firstLineChars="200"/>
        <w:rPr>
          <w:bCs/>
          <w:szCs w:val="21"/>
        </w:rPr>
      </w:pPr>
      <w:r>
        <w:rPr>
          <w:rFonts w:hint="eastAsia"/>
          <w:bCs/>
          <w:szCs w:val="21"/>
        </w:rPr>
        <w:t>3、C类基金份额的销售服务费</w:t>
      </w:r>
    </w:p>
    <w:p>
      <w:pPr>
        <w:spacing w:line="360" w:lineRule="auto"/>
        <w:ind w:firstLine="420" w:firstLineChars="200"/>
        <w:rPr>
          <w:bCs/>
          <w:szCs w:val="21"/>
        </w:rPr>
      </w:pPr>
      <w:r>
        <w:rPr>
          <w:rFonts w:hint="eastAsia"/>
          <w:bCs/>
          <w:szCs w:val="21"/>
        </w:rPr>
        <w:t>通过直销机构保有本基金C类基金份额不收取销售服务费，在直销机构以外的其他销售机构保有的且持续持有期限一年以内的C类基金份额的销售服务费按前一日C类基金份额的基金资产净值的0.20%年费率计提。对于在直销机构以外的其他销售机构保有的且持续持有期限超过一年的C类基金份额，不继续收取销售服务费。计算方法如下：</w:t>
      </w:r>
    </w:p>
    <w:p>
      <w:pPr>
        <w:spacing w:line="360" w:lineRule="auto"/>
        <w:ind w:firstLine="420" w:firstLineChars="200"/>
        <w:rPr>
          <w:bCs/>
          <w:szCs w:val="21"/>
        </w:rPr>
      </w:pPr>
      <w:r>
        <w:rPr>
          <w:rFonts w:hint="eastAsia"/>
          <w:bCs/>
          <w:szCs w:val="21"/>
        </w:rPr>
        <w:t xml:space="preserve">H＝E×0.20%÷当年天数 </w:t>
      </w:r>
    </w:p>
    <w:p>
      <w:pPr>
        <w:spacing w:line="360" w:lineRule="auto"/>
        <w:ind w:firstLine="420" w:firstLineChars="200"/>
        <w:rPr>
          <w:bCs/>
          <w:szCs w:val="21"/>
        </w:rPr>
      </w:pPr>
      <w:r>
        <w:rPr>
          <w:rFonts w:hint="eastAsia"/>
          <w:bCs/>
          <w:szCs w:val="21"/>
        </w:rPr>
        <w:t>H为C类基金份额每日应计提的销售服务费</w:t>
      </w:r>
    </w:p>
    <w:p>
      <w:pPr>
        <w:spacing w:line="360" w:lineRule="auto"/>
        <w:ind w:firstLine="420" w:firstLineChars="200"/>
        <w:rPr>
          <w:bCs/>
          <w:szCs w:val="21"/>
        </w:rPr>
      </w:pPr>
      <w:r>
        <w:rPr>
          <w:rFonts w:hint="eastAsia"/>
          <w:bCs/>
          <w:szCs w:val="21"/>
        </w:rPr>
        <w:t>E为C类基金份额前一日基金资产净值</w:t>
      </w:r>
    </w:p>
    <w:p>
      <w:pPr>
        <w:spacing w:line="360" w:lineRule="auto"/>
        <w:ind w:firstLine="420" w:firstLineChars="200"/>
        <w:rPr>
          <w:bCs/>
          <w:szCs w:val="21"/>
        </w:rPr>
      </w:pPr>
      <w:r>
        <w:rPr>
          <w:rFonts w:hint="eastAsia"/>
          <w:bCs/>
          <w:szCs w:val="21"/>
        </w:rPr>
        <w:t>基金销售服务费每日计算。</w:t>
      </w:r>
    </w:p>
    <w:p>
      <w:pPr>
        <w:spacing w:line="360" w:lineRule="auto"/>
        <w:ind w:firstLine="420" w:firstLineChars="200"/>
        <w:rPr>
          <w:bCs/>
          <w:szCs w:val="21"/>
        </w:rPr>
      </w:pPr>
      <w:r>
        <w:rPr>
          <w:rFonts w:hint="eastAsia"/>
          <w:bCs/>
          <w:szCs w:val="21"/>
        </w:rPr>
        <w:t>（1）基金管理人直销渠道：</w:t>
      </w:r>
    </w:p>
    <w:p>
      <w:pPr>
        <w:spacing w:line="360" w:lineRule="auto"/>
        <w:ind w:firstLine="420" w:firstLineChars="200"/>
        <w:rPr>
          <w:bCs/>
          <w:szCs w:val="21"/>
        </w:rPr>
      </w:pPr>
      <w:r>
        <w:rPr>
          <w:rFonts w:hint="eastAsia"/>
          <w:bCs/>
          <w:szCs w:val="21"/>
        </w:rPr>
        <w:t>对于基金份额计提的销售服务费，在投资者赎回基金份额或基金合同终止时，随赎回款或清算款一并返还给投资者；基金管理人的销售子公司销售本基金的，参照直销机构相关规则执行。</w:t>
      </w:r>
    </w:p>
    <w:p>
      <w:pPr>
        <w:spacing w:line="360" w:lineRule="auto"/>
        <w:ind w:firstLine="420" w:firstLineChars="200"/>
        <w:rPr>
          <w:bCs/>
          <w:szCs w:val="21"/>
        </w:rPr>
      </w:pPr>
      <w:r>
        <w:rPr>
          <w:rFonts w:hint="eastAsia"/>
          <w:bCs/>
          <w:szCs w:val="21"/>
        </w:rPr>
        <w:t>（2）其他销售机构的销售渠道：</w:t>
      </w:r>
    </w:p>
    <w:p>
      <w:pPr>
        <w:spacing w:line="360" w:lineRule="auto"/>
        <w:ind w:firstLine="420" w:firstLineChars="200"/>
        <w:rPr>
          <w:bCs/>
          <w:szCs w:val="21"/>
        </w:rPr>
      </w:pPr>
      <w:r>
        <w:rPr>
          <w:rFonts w:hint="eastAsia"/>
          <w:bCs/>
          <w:szCs w:val="21"/>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pPr>
        <w:spacing w:line="360" w:lineRule="auto"/>
        <w:ind w:firstLine="420" w:firstLineChars="200"/>
        <w:rPr>
          <w:bCs/>
          <w:szCs w:val="21"/>
        </w:rPr>
      </w:pPr>
      <w:r>
        <w:rPr>
          <w:rFonts w:hint="eastAsia"/>
          <w:bCs/>
          <w:szCs w:val="21"/>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pPr>
        <w:spacing w:line="360" w:lineRule="auto"/>
        <w:ind w:firstLine="420" w:firstLineChars="200"/>
        <w:rPr>
          <w:rFonts w:cs="宋体" w:asciiTheme="minorEastAsia" w:hAnsiTheme="minorEastAsia"/>
          <w:kern w:val="0"/>
          <w:szCs w:val="21"/>
        </w:rPr>
      </w:pPr>
      <w:r>
        <w:rPr>
          <w:rFonts w:hint="eastAsia"/>
          <w:bCs/>
          <w:szCs w:val="21"/>
        </w:rPr>
        <w:t>上述“一、基金费用的种类”中第</w:t>
      </w:r>
      <w:r>
        <w:rPr>
          <w:bCs/>
          <w:szCs w:val="21"/>
        </w:rPr>
        <w:t>4</w:t>
      </w:r>
      <w:r>
        <w:rPr>
          <w:rFonts w:hint="eastAsia"/>
          <w:bCs/>
          <w:szCs w:val="21"/>
        </w:rPr>
        <w:t>－11项费用，根据有关法规及相应协议规定，按费用实际支出金额列入当期费用，由基金托管人从基金财产中支付。</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三、不列入基金费用的项目</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下列费用不列入基金费用：</w:t>
      </w:r>
    </w:p>
    <w:p>
      <w:pPr>
        <w:spacing w:line="360" w:lineRule="auto"/>
        <w:ind w:firstLine="420" w:firstLineChars="200"/>
        <w:rPr>
          <w:bCs/>
          <w:szCs w:val="21"/>
        </w:rPr>
      </w:pPr>
      <w:r>
        <w:rPr>
          <w:rFonts w:hint="eastAsia"/>
          <w:bCs/>
          <w:szCs w:val="21"/>
        </w:rPr>
        <w:t>1、基金管理人和基金托管人因未履行或未完全履行义务导致的费用支出或基金财产的损失；</w:t>
      </w:r>
    </w:p>
    <w:p>
      <w:pPr>
        <w:spacing w:line="360" w:lineRule="auto"/>
        <w:ind w:firstLine="420" w:firstLineChars="200"/>
        <w:rPr>
          <w:bCs/>
          <w:szCs w:val="21"/>
        </w:rPr>
      </w:pPr>
      <w:r>
        <w:rPr>
          <w:rFonts w:hint="eastAsia"/>
          <w:bCs/>
          <w:szCs w:val="21"/>
        </w:rPr>
        <w:t>2、基金管理人和基金托管人处理与基金运作无关的事项发生的费用；</w:t>
      </w:r>
    </w:p>
    <w:p>
      <w:pPr>
        <w:spacing w:line="360" w:lineRule="auto"/>
        <w:ind w:firstLine="420" w:firstLineChars="200"/>
        <w:rPr>
          <w:bCs/>
          <w:szCs w:val="21"/>
        </w:rPr>
      </w:pPr>
      <w:r>
        <w:rPr>
          <w:rFonts w:hint="eastAsia"/>
          <w:bCs/>
          <w:szCs w:val="21"/>
        </w:rPr>
        <w:t>3、标的指数许可使用费。标的指数许可使用费由基金管理人承担，不得从基金财产中列支；</w:t>
      </w:r>
    </w:p>
    <w:p>
      <w:pPr>
        <w:spacing w:line="360" w:lineRule="auto"/>
        <w:ind w:firstLine="420" w:firstLineChars="200"/>
        <w:rPr>
          <w:bCs/>
          <w:szCs w:val="21"/>
        </w:rPr>
      </w:pPr>
      <w:r>
        <w:rPr>
          <w:bCs/>
          <w:szCs w:val="21"/>
        </w:rPr>
        <w:t>4</w:t>
      </w:r>
      <w:r>
        <w:rPr>
          <w:rFonts w:hint="eastAsia"/>
          <w:bCs/>
          <w:szCs w:val="21"/>
        </w:rPr>
        <w:t>、《基金合同》生效前的相关费用；</w:t>
      </w:r>
    </w:p>
    <w:p>
      <w:pPr>
        <w:spacing w:line="360" w:lineRule="auto"/>
        <w:ind w:firstLine="420" w:firstLineChars="200"/>
        <w:rPr>
          <w:rFonts w:cs="宋体" w:asciiTheme="minorEastAsia" w:hAnsiTheme="minorEastAsia"/>
          <w:kern w:val="0"/>
          <w:szCs w:val="21"/>
        </w:rPr>
      </w:pPr>
      <w:r>
        <w:rPr>
          <w:bCs/>
          <w:szCs w:val="21"/>
        </w:rPr>
        <w:t>5</w:t>
      </w:r>
      <w:r>
        <w:rPr>
          <w:rFonts w:hint="eastAsia"/>
          <w:bCs/>
          <w:szCs w:val="21"/>
        </w:rPr>
        <w:t>、其他根据相关法律法规及中国证监会的有关规定不得列入基金费用的项目。</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四、实施侧袋机制期间的基金费用</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本基金实施侧袋机制的，与侧袋账户有关的费用可以从侧袋账户中列支，但应待侧袋账户资产变现后方可列支，有关费用可酌情收取或减免，但不得收取管理费，详见本招募说明书</w:t>
      </w:r>
      <w:r>
        <w:rPr>
          <w:rFonts w:hint="eastAsia"/>
        </w:rPr>
        <w:t>“侧袋机制”部分</w:t>
      </w:r>
      <w:r>
        <w:rPr>
          <w:rFonts w:hint="eastAsia" w:cs="宋体" w:asciiTheme="minorEastAsia" w:hAnsiTheme="minorEastAsia"/>
          <w:kern w:val="0"/>
          <w:szCs w:val="21"/>
        </w:rPr>
        <w:t>的规定。</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五、基金税收</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本基金支付给基金管理人、基金托管人的各项费用均为含税价格，具体税率适用中国税务主管机关的规定。</w:t>
      </w:r>
    </w:p>
    <w:p>
      <w:pPr>
        <w:adjustRightInd w:val="0"/>
        <w:snapToGrid w:val="0"/>
        <w:spacing w:line="360" w:lineRule="auto"/>
        <w:ind w:firstLine="420" w:firstLineChars="200"/>
        <w:rPr>
          <w:rFonts w:asciiTheme="minorEastAsia" w:hAnsiTheme="minorEastAsia" w:eastAsiaTheme="minorEastAsia"/>
        </w:rPr>
        <w:sectPr>
          <w:footerReference r:id="rId23" w:type="first"/>
          <w:footerReference r:id="rId22" w:type="defaul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127" w:name="_Toc375295987"/>
      <w:bookmarkStart w:id="128" w:name="_Toc369510022"/>
      <w:bookmarkStart w:id="129" w:name="_Toc327902636"/>
      <w:bookmarkStart w:id="130" w:name="_Toc332013124"/>
      <w:bookmarkStart w:id="131" w:name="_Toc335899847"/>
      <w:bookmarkStart w:id="132" w:name="_Toc92740297"/>
      <w:bookmarkStart w:id="133" w:name="_Toc336606241"/>
      <w:bookmarkStart w:id="134" w:name="_Toc411872036"/>
      <w:r>
        <w:rPr>
          <w:rFonts w:hint="eastAsia"/>
        </w:rPr>
        <w:t>基金的会计与审计</w:t>
      </w:r>
      <w:bookmarkEnd w:id="127"/>
      <w:bookmarkEnd w:id="128"/>
      <w:bookmarkEnd w:id="129"/>
      <w:bookmarkEnd w:id="130"/>
      <w:bookmarkEnd w:id="131"/>
      <w:bookmarkEnd w:id="132"/>
      <w:bookmarkEnd w:id="133"/>
      <w:bookmarkEnd w:id="134"/>
    </w:p>
    <w:p>
      <w:pPr>
        <w:snapToGrid w:val="0"/>
        <w:spacing w:line="360" w:lineRule="auto"/>
        <w:ind w:firstLine="422" w:firstLineChars="200"/>
        <w:rPr>
          <w:rFonts w:ascii="宋体" w:hAnsi="宋体"/>
          <w:b/>
          <w:bCs/>
          <w:szCs w:val="21"/>
        </w:rPr>
      </w:pPr>
      <w:r>
        <w:rPr>
          <w:rFonts w:hint="eastAsia" w:ascii="宋体" w:hAnsi="宋体"/>
          <w:b/>
          <w:bCs/>
          <w:szCs w:val="21"/>
        </w:rPr>
        <w:t>一、基金会计政策</w:t>
      </w:r>
    </w:p>
    <w:p>
      <w:pPr>
        <w:snapToGrid w:val="0"/>
        <w:spacing w:line="360" w:lineRule="auto"/>
        <w:ind w:firstLine="420" w:firstLineChars="200"/>
        <w:rPr>
          <w:rFonts w:ascii="宋体" w:hAnsi="宋体"/>
          <w:bCs/>
          <w:szCs w:val="21"/>
        </w:rPr>
      </w:pPr>
      <w:r>
        <w:rPr>
          <w:rFonts w:hint="eastAsia" w:ascii="宋体" w:hAnsi="宋体"/>
          <w:bCs/>
          <w:szCs w:val="21"/>
        </w:rPr>
        <w:t>1、基金管理人为本基金的基金会计责任方；</w:t>
      </w:r>
    </w:p>
    <w:p>
      <w:pPr>
        <w:snapToGrid w:val="0"/>
        <w:spacing w:line="360" w:lineRule="auto"/>
        <w:ind w:firstLine="420" w:firstLineChars="200"/>
        <w:rPr>
          <w:rFonts w:ascii="宋体" w:hAnsi="宋体"/>
          <w:bCs/>
          <w:szCs w:val="21"/>
        </w:rPr>
      </w:pPr>
      <w:r>
        <w:rPr>
          <w:rFonts w:hint="eastAsia" w:ascii="宋体" w:hAnsi="宋体"/>
          <w:bCs/>
          <w:szCs w:val="21"/>
        </w:rPr>
        <w:t>2、基金的会计年度为公历年度的1月1日至12月31日；基金首次募集的会计年度按如下原则：如果《基金合同》生效少于2个月，可以并入下一个会计年度披露；</w:t>
      </w:r>
    </w:p>
    <w:p>
      <w:pPr>
        <w:snapToGrid w:val="0"/>
        <w:spacing w:line="360" w:lineRule="auto"/>
        <w:ind w:firstLine="420" w:firstLineChars="200"/>
        <w:rPr>
          <w:rFonts w:ascii="宋体" w:hAnsi="宋体"/>
          <w:bCs/>
          <w:szCs w:val="21"/>
        </w:rPr>
      </w:pPr>
      <w:r>
        <w:rPr>
          <w:rFonts w:hint="eastAsia" w:ascii="宋体" w:hAnsi="宋体"/>
          <w:bCs/>
          <w:szCs w:val="21"/>
        </w:rPr>
        <w:t>3、基金核算以人民币为记账本位币，以人民币元为记账单位；</w:t>
      </w:r>
    </w:p>
    <w:p>
      <w:pPr>
        <w:snapToGrid w:val="0"/>
        <w:spacing w:line="360" w:lineRule="auto"/>
        <w:ind w:firstLine="420" w:firstLineChars="200"/>
        <w:rPr>
          <w:rFonts w:ascii="宋体" w:hAnsi="宋体"/>
          <w:bCs/>
          <w:szCs w:val="21"/>
        </w:rPr>
      </w:pPr>
      <w:r>
        <w:rPr>
          <w:rFonts w:hint="eastAsia" w:ascii="宋体" w:hAnsi="宋体"/>
          <w:bCs/>
          <w:szCs w:val="21"/>
        </w:rPr>
        <w:t>4、会计制度执行国家有关会计制度；</w:t>
      </w:r>
    </w:p>
    <w:p>
      <w:pPr>
        <w:snapToGrid w:val="0"/>
        <w:spacing w:line="360" w:lineRule="auto"/>
        <w:ind w:firstLine="420" w:firstLineChars="200"/>
        <w:rPr>
          <w:rFonts w:ascii="宋体" w:hAnsi="宋体"/>
          <w:bCs/>
          <w:szCs w:val="21"/>
        </w:rPr>
      </w:pPr>
      <w:r>
        <w:rPr>
          <w:rFonts w:hint="eastAsia" w:ascii="宋体" w:hAnsi="宋体"/>
          <w:bCs/>
          <w:szCs w:val="21"/>
        </w:rPr>
        <w:t>5、本基金独立建账、独立核算；</w:t>
      </w:r>
    </w:p>
    <w:p>
      <w:pPr>
        <w:snapToGrid w:val="0"/>
        <w:spacing w:line="360" w:lineRule="auto"/>
        <w:ind w:firstLine="420" w:firstLineChars="200"/>
        <w:rPr>
          <w:rFonts w:ascii="宋体" w:hAnsi="宋体"/>
          <w:bCs/>
          <w:szCs w:val="21"/>
        </w:rPr>
      </w:pPr>
      <w:r>
        <w:rPr>
          <w:rFonts w:hint="eastAsia" w:ascii="宋体" w:hAnsi="宋体"/>
          <w:bCs/>
          <w:szCs w:val="21"/>
        </w:rPr>
        <w:t>6、基金管理人及基金托管人各自保留完整的会计账目、凭证并进行日常的会计核算，按照有关规定编制基金会计报表；</w:t>
      </w:r>
    </w:p>
    <w:p>
      <w:pPr>
        <w:snapToGrid w:val="0"/>
        <w:spacing w:line="360" w:lineRule="auto"/>
        <w:ind w:firstLine="420" w:firstLineChars="200"/>
        <w:rPr>
          <w:rFonts w:ascii="宋体" w:hAnsi="宋体"/>
          <w:bCs/>
          <w:szCs w:val="21"/>
        </w:rPr>
      </w:pPr>
      <w:r>
        <w:rPr>
          <w:rFonts w:hint="eastAsia" w:ascii="宋体" w:hAnsi="宋体"/>
          <w:bCs/>
          <w:szCs w:val="21"/>
        </w:rPr>
        <w:t>7、基金托管人每月与基金管理人就基金的会计核算、报表编制等进行核对并以书面方式确认。</w:t>
      </w:r>
    </w:p>
    <w:p>
      <w:pPr>
        <w:snapToGrid w:val="0"/>
        <w:spacing w:line="360" w:lineRule="auto"/>
        <w:ind w:firstLine="422" w:firstLineChars="200"/>
        <w:rPr>
          <w:rFonts w:ascii="宋体" w:hAnsi="宋体"/>
          <w:b/>
          <w:bCs/>
          <w:szCs w:val="21"/>
        </w:rPr>
      </w:pPr>
      <w:r>
        <w:rPr>
          <w:rFonts w:hint="eastAsia" w:ascii="宋体" w:hAnsi="宋体"/>
          <w:b/>
          <w:bCs/>
          <w:szCs w:val="21"/>
        </w:rPr>
        <w:t>二、基金的年度审计</w:t>
      </w:r>
    </w:p>
    <w:p>
      <w:pPr>
        <w:adjustRightInd w:val="0"/>
        <w:snapToGrid w:val="0"/>
        <w:spacing w:line="360" w:lineRule="auto"/>
        <w:ind w:firstLine="420" w:firstLineChars="200"/>
        <w:rPr>
          <w:rFonts w:ascii="宋体" w:hAnsi="宋体"/>
          <w:bCs/>
          <w:szCs w:val="21"/>
        </w:rPr>
      </w:pPr>
      <w:r>
        <w:rPr>
          <w:rFonts w:hint="eastAsia" w:ascii="宋体" w:hAnsi="宋体"/>
          <w:bCs/>
          <w:szCs w:val="21"/>
        </w:rPr>
        <w:t>1、基金管理人聘请与基金管理人、基金托管人相互独立且符合《中华人民共和国证券法》规定的会计师事务所及其注册会计师对本基金的年度财务报表进行审计。</w:t>
      </w:r>
    </w:p>
    <w:p>
      <w:pPr>
        <w:adjustRightInd w:val="0"/>
        <w:snapToGrid w:val="0"/>
        <w:spacing w:line="360" w:lineRule="auto"/>
        <w:ind w:firstLine="420" w:firstLineChars="200"/>
        <w:rPr>
          <w:rFonts w:ascii="宋体" w:hAnsi="宋体"/>
          <w:bCs/>
          <w:szCs w:val="21"/>
        </w:rPr>
      </w:pPr>
      <w:r>
        <w:rPr>
          <w:rFonts w:hint="eastAsia" w:ascii="宋体" w:hAnsi="宋体"/>
          <w:bCs/>
          <w:szCs w:val="21"/>
        </w:rPr>
        <w:t>2、会计师事务所更换经办注册会计师，应事先征得基金管理人同意。</w:t>
      </w:r>
    </w:p>
    <w:p>
      <w:pPr>
        <w:adjustRightInd w:val="0"/>
        <w:snapToGrid w:val="0"/>
        <w:spacing w:line="360" w:lineRule="auto"/>
        <w:ind w:firstLine="420" w:firstLineChars="200"/>
        <w:rPr>
          <w:rFonts w:asciiTheme="minorEastAsia" w:hAnsiTheme="minorEastAsia" w:eastAsiaTheme="minorEastAsia"/>
        </w:rPr>
      </w:pPr>
      <w:r>
        <w:rPr>
          <w:rFonts w:hint="eastAsia" w:ascii="宋体" w:hAnsi="宋体"/>
          <w:bCs/>
          <w:szCs w:val="21"/>
        </w:rPr>
        <w:t>3、基金管理人认为有充足理由更换会计师事务所，须通报基金托管人。更换会计师事务所需按规定在规定媒介公告。</w:t>
      </w:r>
      <w:bookmarkStart w:id="135" w:name="_Hlt4221115"/>
      <w:bookmarkEnd w:id="135"/>
    </w:p>
    <w:p>
      <w:pPr>
        <w:adjustRightInd w:val="0"/>
        <w:snapToGrid w:val="0"/>
        <w:spacing w:line="360" w:lineRule="auto"/>
        <w:ind w:firstLine="420" w:firstLineChars="200"/>
        <w:rPr>
          <w:color w:val="000000"/>
        </w:rPr>
        <w:sectPr>
          <w:footerReference r:id="rId24" w:type="firs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136" w:name="_Toc336606242"/>
      <w:bookmarkStart w:id="137" w:name="_Toc335899848"/>
      <w:bookmarkStart w:id="138" w:name="_Toc332013125"/>
      <w:bookmarkStart w:id="139" w:name="_Toc369510023"/>
      <w:bookmarkStart w:id="140" w:name="_Toc411872037"/>
      <w:bookmarkStart w:id="141" w:name="_Toc375295988"/>
      <w:bookmarkStart w:id="142" w:name="_Toc92740298"/>
      <w:bookmarkStart w:id="143" w:name="_Toc327902637"/>
      <w:r>
        <w:rPr>
          <w:rFonts w:hint="eastAsia"/>
        </w:rPr>
        <w:t>基金的信息披露</w:t>
      </w:r>
      <w:bookmarkEnd w:id="136"/>
      <w:bookmarkEnd w:id="137"/>
      <w:bookmarkEnd w:id="138"/>
      <w:bookmarkEnd w:id="139"/>
      <w:bookmarkEnd w:id="140"/>
      <w:bookmarkEnd w:id="141"/>
      <w:bookmarkEnd w:id="142"/>
      <w:bookmarkEnd w:id="143"/>
    </w:p>
    <w:p>
      <w:pPr>
        <w:adjustRightInd w:val="0"/>
        <w:snapToGrid w:val="0"/>
        <w:spacing w:line="360" w:lineRule="auto"/>
        <w:ind w:firstLine="422" w:firstLineChars="200"/>
        <w:rPr>
          <w:rFonts w:ascii="宋体" w:hAnsi="宋体"/>
          <w:b/>
          <w:bCs/>
          <w:sz w:val="21"/>
          <w:szCs w:val="21"/>
        </w:rPr>
      </w:pPr>
      <w:r>
        <w:rPr>
          <w:rFonts w:hint="eastAsia" w:ascii="宋体" w:hAnsi="宋体"/>
          <w:b/>
          <w:bCs/>
          <w:sz w:val="21"/>
          <w:szCs w:val="21"/>
        </w:rPr>
        <w:t>一、本基金的信息披露应符合《基金法》、《运作办法》、《信息披露办法》、《流动性风险管理规定》、《基金合同》及其他有关规定。相关法律法规关于信息披露的规定发生变化时，本基金从其最新规定。</w:t>
      </w:r>
    </w:p>
    <w:p>
      <w:pPr>
        <w:adjustRightInd w:val="0"/>
        <w:snapToGrid w:val="0"/>
        <w:spacing w:line="360" w:lineRule="auto"/>
        <w:ind w:firstLine="422" w:firstLineChars="200"/>
        <w:rPr>
          <w:rFonts w:ascii="宋体" w:hAnsi="宋体"/>
          <w:b/>
          <w:bCs/>
          <w:sz w:val="21"/>
          <w:szCs w:val="21"/>
        </w:rPr>
      </w:pPr>
      <w:r>
        <w:rPr>
          <w:rFonts w:hint="eastAsia" w:ascii="宋体" w:hAnsi="宋体"/>
          <w:b/>
          <w:bCs/>
          <w:sz w:val="21"/>
          <w:szCs w:val="21"/>
        </w:rPr>
        <w:t>二、信息披露义务人</w:t>
      </w:r>
    </w:p>
    <w:p>
      <w:pPr>
        <w:autoSpaceDE w:val="0"/>
        <w:autoSpaceDN w:val="0"/>
        <w:adjustRightInd w:val="0"/>
        <w:spacing w:line="360" w:lineRule="auto"/>
        <w:ind w:firstLine="420" w:firstLineChars="200"/>
        <w:jc w:val="left"/>
        <w:rPr>
          <w:rFonts w:cs="宋体" w:asciiTheme="minorEastAsia" w:hAnsiTheme="minorEastAsia"/>
          <w:kern w:val="0"/>
          <w:sz w:val="21"/>
          <w:szCs w:val="21"/>
        </w:rPr>
      </w:pPr>
      <w:r>
        <w:rPr>
          <w:rFonts w:hint="eastAsia" w:cs="宋体" w:asciiTheme="minorEastAsia" w:hAnsiTheme="minorEastAsia"/>
          <w:kern w:val="0"/>
          <w:sz w:val="21"/>
          <w:szCs w:val="21"/>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pacing w:line="360" w:lineRule="auto"/>
        <w:ind w:firstLine="420" w:firstLineChars="200"/>
        <w:jc w:val="left"/>
        <w:rPr>
          <w:rFonts w:cs="宋体" w:asciiTheme="minorEastAsia" w:hAnsiTheme="minorEastAsia"/>
          <w:kern w:val="0"/>
          <w:sz w:val="21"/>
          <w:szCs w:val="21"/>
        </w:rPr>
      </w:pPr>
      <w:r>
        <w:rPr>
          <w:rFonts w:hint="eastAsia" w:cs="宋体" w:asciiTheme="minorEastAsia" w:hAnsiTheme="minorEastAsia"/>
          <w:kern w:val="0"/>
          <w:sz w:val="21"/>
          <w:szCs w:val="21"/>
        </w:rPr>
        <w:t>本基金信息披露义务人以保护基金份额持有人利益为根本出发点，按照法律法规和中国证监会的规定披露基金信息，并保证所披露信息的真实性、准确性、完整性、及时性、简明性和易得性。</w:t>
      </w:r>
    </w:p>
    <w:p>
      <w:pPr>
        <w:adjustRightInd w:val="0"/>
        <w:snapToGrid w:val="0"/>
        <w:spacing w:line="360" w:lineRule="auto"/>
        <w:ind w:firstLine="420" w:firstLineChars="200"/>
        <w:rPr>
          <w:rFonts w:ascii="宋体" w:hAnsi="宋体"/>
          <w:bCs/>
          <w:sz w:val="21"/>
          <w:szCs w:val="21"/>
        </w:rPr>
      </w:pPr>
      <w:r>
        <w:rPr>
          <w:rFonts w:hint="eastAsia" w:cs="宋体" w:asciiTheme="minorEastAsia" w:hAnsiTheme="minorEastAsia"/>
          <w:kern w:val="0"/>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pPr>
        <w:adjustRightInd w:val="0"/>
        <w:snapToGrid w:val="0"/>
        <w:spacing w:line="360" w:lineRule="auto"/>
        <w:ind w:firstLine="422" w:firstLineChars="200"/>
        <w:rPr>
          <w:rFonts w:ascii="宋体" w:hAnsi="宋体"/>
          <w:b/>
          <w:bCs/>
          <w:sz w:val="21"/>
          <w:szCs w:val="21"/>
        </w:rPr>
      </w:pPr>
      <w:r>
        <w:rPr>
          <w:rFonts w:hint="eastAsia" w:ascii="宋体" w:hAnsi="宋体"/>
          <w:b/>
          <w:bCs/>
          <w:sz w:val="21"/>
          <w:szCs w:val="21"/>
        </w:rPr>
        <w:t>三、本基金信息披露义务人承诺公开披露的基金信息，不得有下列行为：</w:t>
      </w:r>
    </w:p>
    <w:p>
      <w:pPr>
        <w:adjustRightInd w:val="0"/>
        <w:snapToGrid w:val="0"/>
        <w:spacing w:line="360" w:lineRule="auto"/>
        <w:ind w:firstLine="420" w:firstLineChars="200"/>
        <w:rPr>
          <w:rFonts w:hint="eastAsia" w:ascii="宋体" w:hAnsi="宋体"/>
          <w:bCs/>
          <w:sz w:val="21"/>
          <w:szCs w:val="21"/>
        </w:rPr>
      </w:pPr>
      <w:r>
        <w:rPr>
          <w:rFonts w:hint="eastAsia" w:ascii="宋体" w:hAnsi="宋体"/>
          <w:bCs/>
          <w:sz w:val="21"/>
          <w:szCs w:val="21"/>
        </w:rPr>
        <w:t>1、虚假记载、误导性陈述或者重大遗漏；</w:t>
      </w:r>
    </w:p>
    <w:p>
      <w:pPr>
        <w:adjustRightInd w:val="0"/>
        <w:snapToGrid w:val="0"/>
        <w:spacing w:line="360" w:lineRule="auto"/>
        <w:ind w:firstLine="420" w:firstLineChars="200"/>
        <w:rPr>
          <w:rFonts w:hint="eastAsia" w:ascii="宋体" w:hAnsi="宋体"/>
          <w:bCs/>
          <w:sz w:val="21"/>
          <w:szCs w:val="21"/>
        </w:rPr>
      </w:pPr>
      <w:r>
        <w:rPr>
          <w:rFonts w:hint="eastAsia" w:ascii="宋体" w:hAnsi="宋体"/>
          <w:bCs/>
          <w:sz w:val="21"/>
          <w:szCs w:val="21"/>
        </w:rPr>
        <w:t>2、对证券投资业绩进行预测；</w:t>
      </w:r>
    </w:p>
    <w:p>
      <w:pPr>
        <w:adjustRightInd w:val="0"/>
        <w:snapToGrid w:val="0"/>
        <w:spacing w:line="360" w:lineRule="auto"/>
        <w:ind w:firstLine="420" w:firstLineChars="200"/>
        <w:rPr>
          <w:rFonts w:hint="eastAsia" w:ascii="宋体" w:hAnsi="宋体"/>
          <w:bCs/>
          <w:sz w:val="21"/>
          <w:szCs w:val="21"/>
        </w:rPr>
      </w:pPr>
      <w:r>
        <w:rPr>
          <w:rFonts w:hint="eastAsia" w:ascii="宋体" w:hAnsi="宋体"/>
          <w:bCs/>
          <w:sz w:val="21"/>
          <w:szCs w:val="21"/>
        </w:rPr>
        <w:t>3、违规承诺收益或者承担损失；</w:t>
      </w:r>
    </w:p>
    <w:p>
      <w:pPr>
        <w:adjustRightInd w:val="0"/>
        <w:snapToGrid w:val="0"/>
        <w:spacing w:line="360" w:lineRule="auto"/>
        <w:ind w:firstLine="420" w:firstLineChars="200"/>
        <w:rPr>
          <w:rFonts w:hint="eastAsia" w:ascii="宋体" w:hAnsi="宋体"/>
          <w:bCs/>
          <w:sz w:val="21"/>
          <w:szCs w:val="21"/>
        </w:rPr>
      </w:pPr>
      <w:r>
        <w:rPr>
          <w:rFonts w:hint="eastAsia" w:ascii="宋体" w:hAnsi="宋体"/>
          <w:bCs/>
          <w:sz w:val="21"/>
          <w:szCs w:val="21"/>
        </w:rPr>
        <w:t>4、诋毁其他基金管理人、基金托管人或者基金销售机构；</w:t>
      </w:r>
    </w:p>
    <w:p>
      <w:pPr>
        <w:adjustRightInd w:val="0"/>
        <w:snapToGrid w:val="0"/>
        <w:spacing w:line="360" w:lineRule="auto"/>
        <w:ind w:firstLine="420" w:firstLineChars="200"/>
        <w:rPr>
          <w:rFonts w:hint="eastAsia" w:ascii="宋体" w:hAnsi="宋体"/>
          <w:bCs/>
          <w:sz w:val="21"/>
          <w:szCs w:val="21"/>
        </w:rPr>
      </w:pPr>
      <w:r>
        <w:rPr>
          <w:rFonts w:hint="eastAsia" w:ascii="宋体" w:hAnsi="宋体"/>
          <w:bCs/>
          <w:sz w:val="21"/>
          <w:szCs w:val="21"/>
        </w:rPr>
        <w:t>5、登载任何自然人、法人和非法人组织的祝贺性、恭维性或推荐性文字；</w:t>
      </w:r>
    </w:p>
    <w:p>
      <w:pPr>
        <w:adjustRightInd w:val="0"/>
        <w:snapToGrid w:val="0"/>
        <w:spacing w:line="360" w:lineRule="auto"/>
        <w:ind w:firstLine="420" w:firstLineChars="200"/>
        <w:rPr>
          <w:rFonts w:hint="eastAsia" w:ascii="宋体" w:hAnsi="宋体"/>
          <w:bCs/>
          <w:sz w:val="21"/>
          <w:szCs w:val="21"/>
        </w:rPr>
      </w:pPr>
      <w:r>
        <w:rPr>
          <w:rFonts w:hint="eastAsia" w:ascii="宋体" w:hAnsi="宋体"/>
          <w:bCs/>
          <w:sz w:val="21"/>
          <w:szCs w:val="21"/>
        </w:rPr>
        <w:t>6、中国证监会禁止的其他行为。</w:t>
      </w:r>
    </w:p>
    <w:p>
      <w:pPr>
        <w:adjustRightInd w:val="0"/>
        <w:snapToGrid w:val="0"/>
        <w:spacing w:line="360" w:lineRule="auto"/>
        <w:ind w:firstLine="422" w:firstLineChars="200"/>
        <w:rPr>
          <w:rFonts w:ascii="宋体" w:hAnsi="宋体"/>
          <w:b/>
          <w:bCs/>
          <w:sz w:val="21"/>
          <w:szCs w:val="21"/>
        </w:rPr>
      </w:pPr>
      <w:r>
        <w:rPr>
          <w:rFonts w:hint="eastAsia" w:ascii="宋体" w:hAnsi="宋体"/>
          <w:b/>
          <w:bCs/>
          <w:sz w:val="21"/>
          <w:szCs w:val="21"/>
        </w:rPr>
        <w:t>四、本基金公开披露的信息应采用中文文本。如同时采用外文文本的，基金信息披露义务人应保证不同文本的内容一致。不同文本之间发生歧义的，以中文文本为准。</w:t>
      </w:r>
    </w:p>
    <w:p>
      <w:pPr>
        <w:adjustRightInd w:val="0"/>
        <w:snapToGrid w:val="0"/>
        <w:spacing w:line="360" w:lineRule="auto"/>
        <w:ind w:firstLine="420" w:firstLineChars="200"/>
        <w:rPr>
          <w:rFonts w:ascii="宋体" w:hAnsi="宋体"/>
          <w:bCs/>
          <w:sz w:val="21"/>
          <w:szCs w:val="21"/>
        </w:rPr>
      </w:pPr>
      <w:r>
        <w:rPr>
          <w:rFonts w:hint="eastAsia" w:ascii="宋体" w:hAnsi="宋体"/>
          <w:bCs/>
          <w:sz w:val="21"/>
          <w:szCs w:val="21"/>
        </w:rPr>
        <w:t>本基金公开披露的信息采用阿拉伯数字；除特别说明外，货币单位为人民币元。</w:t>
      </w:r>
    </w:p>
    <w:p>
      <w:pPr>
        <w:adjustRightInd w:val="0"/>
        <w:snapToGrid w:val="0"/>
        <w:spacing w:line="360" w:lineRule="auto"/>
        <w:ind w:firstLine="422" w:firstLineChars="200"/>
        <w:rPr>
          <w:rFonts w:ascii="宋体" w:hAnsi="宋体"/>
          <w:b/>
          <w:bCs/>
          <w:sz w:val="21"/>
          <w:szCs w:val="21"/>
        </w:rPr>
      </w:pPr>
      <w:r>
        <w:rPr>
          <w:rFonts w:hint="eastAsia" w:ascii="宋体" w:hAnsi="宋体"/>
          <w:b/>
          <w:bCs/>
          <w:sz w:val="21"/>
          <w:szCs w:val="21"/>
        </w:rPr>
        <w:t>五、公开披露的基金信息</w:t>
      </w:r>
    </w:p>
    <w:p>
      <w:pPr>
        <w:adjustRightInd w:val="0"/>
        <w:snapToGrid w:val="0"/>
        <w:spacing w:line="360" w:lineRule="auto"/>
        <w:ind w:firstLine="420" w:firstLineChars="200"/>
        <w:rPr>
          <w:rFonts w:ascii="宋体" w:hAnsi="宋体"/>
          <w:bCs/>
          <w:sz w:val="21"/>
          <w:szCs w:val="21"/>
        </w:rPr>
      </w:pPr>
      <w:r>
        <w:rPr>
          <w:rFonts w:hint="eastAsia" w:ascii="宋体" w:hAnsi="宋体"/>
          <w:bCs/>
          <w:sz w:val="21"/>
          <w:szCs w:val="21"/>
        </w:rPr>
        <w:t>公开披露的基金信息包括：</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（一）基金招募说明书、基金产品资料概要、《基金合同》、基金托管协议</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2、基金招募说明书应当最大限度地披露影响基金投资者决策的全部事项，说明基金认购、申购和赎回安排、基金投资、基金产品特性、风险揭示、信息披露及基金份额持有人服务等内容。</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基金终止运作的，除基金合同另有约定外，基金管理人可以不再更新基金招募说明书和基金产品资料概要。</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3、基金托管协议是界定基金托管人和基金管理人在基金财产保管及基金运作监督等活动中的权利、义务关系的法律文件。</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4、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（二）基金份额发售公告</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基金管理人应当就基金份额发售的具体事宜编制基金份额发售公告，并在披露招募说明书的当日登载于规定媒介上。</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（三）《基金合同》生效公告</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基金管理人应当在收到中国证监会确认文件的次日在规定报刊和规定网站上登载《基金合同》生效公告。</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（四）基金净值信息</w:t>
      </w:r>
    </w:p>
    <w:p>
      <w:pPr>
        <w:autoSpaceDE w:val="0"/>
        <w:autoSpaceDN w:val="0"/>
        <w:adjustRightInd w:val="0"/>
        <w:spacing w:line="360" w:lineRule="auto"/>
        <w:ind w:firstLine="420" w:firstLineChars="200"/>
        <w:jc w:val="left"/>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《基金合同》生效后，在开始办理基金份额申购或者赎回前，基金管理人应当至少每周在规定网站公告一次各类基金份额净值和各类基金份额累计净值。</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 w:val="21"/>
          <w:szCs w:val="21"/>
        </w:rPr>
        <w:t>在开始办理基金份额申购或者赎回后</w:t>
      </w:r>
      <w:r>
        <w:rPr>
          <w:rFonts w:hint="eastAsia" w:cs="宋体" w:asciiTheme="minorEastAsia" w:hAnsiTheme="minorEastAsia" w:eastAsiaTheme="minorEastAsia"/>
          <w:kern w:val="0"/>
          <w:szCs w:val="21"/>
        </w:rPr>
        <w:t>，基金管理人应当在不晚于每个开放日的次日，通过规定网站、基金销售机构网站或者营业网点披露开放日的各类基金份额净值和各类基金份额累计净值。</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基金管理人应当在不晚于半年度和年度最后一日的次日， 在规定网站公告半年度和年度最后一日各类基金份额净值和各类基金份额累计净值。</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（五）基金份额申购、赎回价格</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（六）基金定期报告，包括基金年度报告、基金中期报告和基金季度报告（含资产组合季度报告）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基金管理人应当在上半年结束之日起两个月内，编制完成基金中期报告，将中期报告登载在规定网站上，并将中期报告提示性公告登载在规定报刊上。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基金管理人应当在季度结束之日起15个工作日内，编制完成基金季度报告，将季度报告登载在规定网站上，并将季度报告提示性公告登载在规定报刊上。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《基金合同》生效不足2个月的，基金管理人可以不编制当期季度报告、中期报告或者年度报告。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基金管理人应当在基金年度报告和中期报告中披露基金组合资产情况及其流动性风险分析等。</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基金管理人应当在基金中期报告和年度报告中披露从基金财产中计提的管理费、托管费、销售服务费的金额，以及支付给基金销售机构的客户维护费总额、基金管理人实际收取的管理费净额。</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（七）临时报告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本基金发生重大事件，有关信息披露义务人应当按规定编制临时报告书，并登载在规定报刊和规定网站上。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前款所称重大事件，是指可能对基金份额持有人权益或者基金份额的价格产生重大影响的下列事件：</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1、基金份额持有人大会的召开及决定的事项；</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2、《基金合同》终止、基金清算；</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3、转换基金运作方式、基金合并；</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4、更换基金管理人、基金托管人；</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5、基金管理人委托基金服务机构代为办理基金的份额登记、核算、估值等事项，基金托管人委托基金服务机构代为办理基金的核算、估值、复核等事项；</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6、基金管理人、基金托管人的法定名称、住所发生变更；</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7、基金管理人变更持有百分之五以上股权的股东、变更基金管理人的实际控制人；</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8、基金募集期延长或提前结束募集；</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9、基金管理人高级管理人员、基金经理和基金托管人专门基金托管部门负责人发生变动；</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10、基金管理人的董事在最近12个月内变更超过百分之五十；</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11、基金管理人、基金托管人专门基金托管部门的主要业务人员在最近12个月内变动超过百分之三十；</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12、涉及基金管理业务、基金财产、基金托管业务的诉讼或仲裁； </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15、基金收益分配事项；</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16、管理费、托管费、销售服务费、申购费、赎回费等费用计提标准、计提方式和费率发生变更；</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17、任一类基金份额净值计价错误达该类基金份额净值百分之零点五；</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18、基金改聘会计师事务所；</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19、更换基金登记机构；</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20、本基金开始办理申购、赎回；</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21、本基金发生巨额赎回并延期办理；</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22、本基金连续发生巨额赎回并暂停接受赎回申请或延缓支付赎回款项；</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23、本基金暂停接受申购、赎回申请或重新接受申购、赎回申请；</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24、发生涉及基金申购、赎回事项调整或潜在影响投资者赎回等重大事项时；</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25、基金管理人采用摆动定价机制进行估值；</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26、调整基金份额类别的设置；</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27、基金推出新业务或服务；</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28、连续30个工作日、40个工作日及45个工作日出现基金份额持有人数量不满二百人或者基金资产净值低于五千万元情形的；</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29、基金信息披露义务人认为可能对基金份额持有人权益或者基金份额的价格产生重大影响的其他事项或中国证监会规定的和基金合同约定的其他事项。</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（八）澄清公告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（九）清算报告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（十）基金份额持有人大会决议</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基金份额持有人大会决定的事项，应当依法报中国证监会备案，并予以公告。</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（十一）参与股指期货、国债期货交易、投资股票期权的信息披露</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当在基金季度报告、基金中期报告、基金年度报告等定期报告和招募说明书（更新）等文件中披露股指期货、国债期货、股票期权交易情况，包括投资/交易政策、持仓情况、损益情况、风险指标等，并充分揭示股指期货、国债期货、股票期权交易对基金总体风险的影响以及是否符合既定的投资/交易政策和投资/交易目标等。</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（十二）投资资产支持证券的信息披露</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（十三）投资非公开发行股票的信息披露</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（十四）参与融资和转融通证券出借业务的信息披露</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本基金参与转融通证券出借业务的，基金管理人应当在基金定期报告等文件中就报告期内发生的重大关联交易事项做详细说明。</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未来在法律法规允许的前提下，本基金可依据法律法规的相关规定参与融券业务，并相应履行信息披露义务。</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（十五）实施侧袋机制期间的信息披露</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本基金实施侧袋机制的，相关信息披露义务人应当根据法律法规、基金合同和招募说明书的规定进行信息披露，详见招募说明书的规定。</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（十六）中国证监会规定的其他信息</w:t>
      </w:r>
    </w:p>
    <w:p>
      <w:pPr>
        <w:autoSpaceDE w:val="0"/>
        <w:autoSpaceDN w:val="0"/>
        <w:adjustRightInd w:val="0"/>
        <w:spacing w:line="360" w:lineRule="auto"/>
        <w:ind w:firstLine="422" w:firstLineChars="200"/>
        <w:jc w:val="left"/>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六、信息披露事务管理</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基金管理人、基金托管人应当建立健全信息披露管理制度，指定专门部门及高级管理人员负责管理信息披露事务。</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基金信息披露义务人公开披露基金信息，应当符合中国证监会相关基金信息披露内容与格式准则等法规的规定。</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pStyle w:val="29"/>
        <w:ind w:firstLine="420" w:firstLineChars="200"/>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基金管理人、基金托管人应当在规定媒介中选择披露信息的媒介。</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基金管理人、基金托管人应当向中国证监会基金电子披露网站报送拟披露的基金信息，并保证相关报送信息的真实、准确、完整、及时。</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为基金信息披露义务人公开披露的基金信息出具审计报告、法律意见书的专业机构，应当制作工作底稿，并将相关档案至少保存到《基金合同》终止后10年。</w:t>
      </w:r>
    </w:p>
    <w:p>
      <w:pPr>
        <w:autoSpaceDE w:val="0"/>
        <w:autoSpaceDN w:val="0"/>
        <w:adjustRightInd w:val="0"/>
        <w:spacing w:line="360" w:lineRule="auto"/>
        <w:ind w:firstLine="422" w:firstLineChars="200"/>
        <w:jc w:val="left"/>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七、信息披露文件的存放与查阅</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依法必须披露的信息发布后，基金管理人、基金托管人应当按照相关法律法规规定将信息置备于公司住所，以供社会公众查阅、复制。</w:t>
      </w:r>
    </w:p>
    <w:p>
      <w:pPr>
        <w:autoSpaceDE w:val="0"/>
        <w:autoSpaceDN w:val="0"/>
        <w:adjustRightInd w:val="0"/>
        <w:spacing w:line="360" w:lineRule="auto"/>
        <w:ind w:firstLine="422" w:firstLineChars="200"/>
        <w:jc w:val="left"/>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八、暂停或延迟信息披露的情形</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1、不可抗力；</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2、发生基金合同约定的暂停估值的情形；</w:t>
      </w:r>
    </w:p>
    <w:p>
      <w:pPr>
        <w:autoSpaceDE w:val="0"/>
        <w:autoSpaceDN w:val="0"/>
        <w:adjustRightInd w:val="0"/>
        <w:spacing w:line="360" w:lineRule="auto"/>
        <w:ind w:firstLine="420" w:firstLineChars="200"/>
        <w:jc w:val="left"/>
        <w:rPr>
          <w:rFonts w:cs="宋体" w:asciiTheme="minorEastAsia" w:hAnsiTheme="minorEastAsia" w:eastAsiaTheme="minorEastAsia"/>
          <w:kern w:val="0"/>
          <w:szCs w:val="21"/>
        </w:rPr>
        <w:sectPr>
          <w:footerReference r:id="rId25" w:type="first"/>
          <w:pgSz w:w="11906" w:h="16838"/>
          <w:pgMar w:top="1440" w:right="1800" w:bottom="1440" w:left="1800" w:header="851" w:footer="992" w:gutter="0"/>
          <w:pgNumType w:start="1"/>
          <w:cols w:space="425" w:num="1"/>
          <w:titlePg/>
          <w:docGrid w:type="lines" w:linePitch="312" w:charSpace="0"/>
        </w:sectPr>
      </w:pPr>
      <w:r>
        <w:rPr>
          <w:rFonts w:cs="宋体" w:asciiTheme="minorEastAsia" w:hAnsiTheme="minorEastAsia" w:eastAsiaTheme="minorEastAsia"/>
          <w:kern w:val="0"/>
          <w:szCs w:val="21"/>
        </w:rPr>
        <w:t>3</w:t>
      </w:r>
      <w:r>
        <w:rPr>
          <w:rFonts w:hint="eastAsia" w:cs="宋体" w:asciiTheme="minorEastAsia" w:hAnsiTheme="minorEastAsia" w:eastAsiaTheme="minorEastAsia"/>
          <w:kern w:val="0"/>
          <w:szCs w:val="21"/>
        </w:rPr>
        <w:t>、法律法规规定、中国证监会或基金合同认定的其他情形。</w:t>
      </w:r>
    </w:p>
    <w:p>
      <w:pPr>
        <w:pStyle w:val="3"/>
        <w:numPr>
          <w:ilvl w:val="0"/>
          <w:numId w:val="26"/>
        </w:numPr>
        <w:snapToGrid w:val="0"/>
        <w:spacing w:before="0" w:after="0" w:line="360" w:lineRule="auto"/>
        <w:jc w:val="center"/>
      </w:pPr>
      <w:bookmarkStart w:id="144" w:name="_Toc92740299"/>
      <w:r>
        <w:rPr>
          <w:rFonts w:hint="eastAsia"/>
        </w:rPr>
        <w:t>侧袋机制</w:t>
      </w:r>
      <w:bookmarkEnd w:id="144"/>
    </w:p>
    <w:p>
      <w:pPr>
        <w:autoSpaceDE w:val="0"/>
        <w:autoSpaceDN w:val="0"/>
        <w:adjustRightInd w:val="0"/>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一、侧袋机制的实施条件、实施程序和特定资产范围</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pPr>
        <w:autoSpaceDE w:val="0"/>
        <w:autoSpaceDN w:val="0"/>
        <w:adjustRightInd w:val="0"/>
        <w:spacing w:line="360" w:lineRule="auto"/>
        <w:jc w:val="left"/>
        <w:rPr>
          <w:rFonts w:asciiTheme="minorEastAsia" w:hAnsiTheme="minorEastAsia" w:eastAsiaTheme="minorEastAsia"/>
          <w:bCs/>
          <w:szCs w:val="21"/>
        </w:rPr>
      </w:pPr>
    </w:p>
    <w:p>
      <w:pPr>
        <w:autoSpaceDE w:val="0"/>
        <w:autoSpaceDN w:val="0"/>
        <w:adjustRightInd w:val="0"/>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二、侧袋机制实施期间的基金运作安排</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（一）基金份额的申购与赎回</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1、侧袋机制实施期间，基金管理人不办理侧袋账户份额的申购、赎回和转换。基金份额持有人申请申购、赎回或转换侧袋账户份额的，该申购、赎回或转换申请将被拒绝。</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2、当特定资产占前一估值日基金资产净值50%以上的，经与基金托管人协商确认后，基金管理人应当暂停基金估值，并暂停接受基金申购赎回申请或延缓支付赎回款项。</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3、基金管理人依法保障主袋账户份额持有人享有基金合同约定的赎回权利，并根据主袋账户运作情况合理确定申购事项，具体事项届时由基金管理人在相关公告中规定。</w:t>
      </w:r>
    </w:p>
    <w:p>
      <w:pPr>
        <w:autoSpaceDE w:val="0"/>
        <w:autoSpaceDN w:val="0"/>
        <w:adjustRightIn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（二）基金份额的登记</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启用侧袋机制当日，基金管理人和基金服务机构将以基金份额持有人的原有账户份额为基础，确认相应侧袋账户持有人名册和份额。</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侧袋账户资产完全清算后，基金管理人将注销侧袋账户。</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（三）基金的投资及业绩</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侧袋机制实施期间，本基金的各项投资运作指标和基金业绩指标应当以主袋账户资产为基准。基金管理人不得在侧袋账户中进行除特定资产处置变现以外的其他投资操作。</w:t>
      </w:r>
    </w:p>
    <w:p>
      <w:pPr>
        <w:autoSpaceDE w:val="0"/>
        <w:autoSpaceDN w:val="0"/>
        <w:adjustRightIn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基金管理人、基金服务机构在展示基金业绩时，将就前述情况进行充分的解释说明，避免引起投资者误解。</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基金管理人原则上应当在侧袋机制启用后20个交易日内完成对主袋账户投资组合的调整，但因资产流动性受限等中国证监会规定的情形除外。</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（四）基金的估值</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（五）基金的费用</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侧袋账户资产不收取管理费。如法律法规或监管机构对于侧袋账户基金托管费、销售服务费的收取另有规定的，以法律法规或监管机构最新要求为准。因启用侧袋机制产生的咨询、审计费用等由基金管理人承担。</w:t>
      </w:r>
    </w:p>
    <w:p>
      <w:pPr>
        <w:autoSpaceDE w:val="0"/>
        <w:autoSpaceDN w:val="0"/>
        <w:adjustRightIn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基金管理人可以将与侧袋账户有关的费用从侧袋账户资产中列支，但应待特定资产变现后方可列支。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（六）基金的收益分配</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侧袋机制实施期间，在主袋账户份额满足基金合同收益分配条件的情形下，基金管理人可对主袋账户份额进行收益分配。侧袋账户份额不再适用基金合同的收益与分配条款。</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（七）基金的信息披露</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1、基金净值信息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侧袋机制实施期间，基金管理人应当暂停披露侧袋账户的基金净值信息。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2、定期报告</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侧袋机制实施期间，基金定期报告中的基金会计报表仅需针对主袋账户进行编制。侧袋账户相关信息在定期报告中单独进行披露，包括但不限于：</w:t>
      </w:r>
    </w:p>
    <w:p>
      <w:pPr>
        <w:autoSpaceDE w:val="0"/>
        <w:autoSpaceDN w:val="0"/>
        <w:adjustRightIn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（1）侧袋账户的基金代码、基金名称、侧袋账户成立日期等基本信息；</w:t>
      </w:r>
    </w:p>
    <w:p>
      <w:pPr>
        <w:autoSpaceDE w:val="0"/>
        <w:autoSpaceDN w:val="0"/>
        <w:adjustRightIn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（2）侧袋账户的初始资产、初始负债；</w:t>
      </w:r>
    </w:p>
    <w:p>
      <w:pPr>
        <w:autoSpaceDE w:val="0"/>
        <w:autoSpaceDN w:val="0"/>
        <w:adjustRightIn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（3）特定资产的名称、代码、发行人等基本信息；</w:t>
      </w:r>
    </w:p>
    <w:p>
      <w:pPr>
        <w:autoSpaceDE w:val="0"/>
        <w:autoSpaceDN w:val="0"/>
        <w:adjustRightIn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（4）报告期内的特定资产处置进展情况、与处置特定资产相关的费用情况及其他与特定资产状况相关的信息；</w:t>
      </w:r>
    </w:p>
    <w:p>
      <w:pPr>
        <w:autoSpaceDE w:val="0"/>
        <w:autoSpaceDN w:val="0"/>
        <w:adjustRightIn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（5）可根据特定资产处置进展情况披露特定资产的可变现净值或净值参考区间，该净值或净值区间并不代表特定资产最终的变现价格，不作为基金管理人对特定资产最终变现价格的承诺；</w:t>
      </w:r>
    </w:p>
    <w:p>
      <w:pPr>
        <w:autoSpaceDE w:val="0"/>
        <w:autoSpaceDN w:val="0"/>
        <w:adjustRightIn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（6）可能对投资者利益存在重大影响的其他情况及相关风险提示。</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3、临时报告</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基金管理人在启用侧袋机制、处置特定资产、终止侧袋机制以及发生其他可能对投资者利益产生重大影响的事项后应及时发布临时公告。</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启用侧袋机制的临时公告内容应当包括启用原因及程序、特定资产流动性和估值情况、对投资者申购赎回的影响、风险提示等重要信息。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（八）特定资产处置清算</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（九）侧袋的审计</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基金管理人应当在启用侧袋机制和终止侧袋机制后，及时聘请符合《中华人民共和国证券法》规定的会计师事务所进行审计并披露专项审计意见，具体如下：</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基金管理人应当在启用侧袋机制时，就特定资产认定的相关事宜取得符合《中华人民共和国证券法》规定的会计师事务所的专业意见。</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会计师事务所对基金年度报告进行审计时，应对报告期间基金侧袋机制运行相关的会计核算和年报披露，执行适当程序并发表审计意见。</w:t>
      </w:r>
    </w:p>
    <w:p>
      <w:pPr>
        <w:autoSpaceDE w:val="0"/>
        <w:autoSpaceDN w:val="0"/>
        <w:adjustRightIn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当侧袋账户资产全部完成变现后，基金管理人应参照基金清算报告的相关要求，聘请符合《中华人民共和国证券法》规定的会计师事务所对侧袋账户进行审计并披露专项审计意见。</w:t>
      </w:r>
    </w:p>
    <w:p>
      <w:pPr>
        <w:autoSpaceDE w:val="0"/>
        <w:autoSpaceDN w:val="0"/>
        <w:adjustRightInd w:val="0"/>
        <w:spacing w:line="360" w:lineRule="auto"/>
        <w:jc w:val="left"/>
        <w:rPr>
          <w:rFonts w:asciiTheme="minorEastAsia" w:hAnsiTheme="minorEastAsia" w:eastAsiaTheme="minorEastAsia"/>
          <w:bCs/>
          <w:szCs w:val="21"/>
        </w:rPr>
      </w:pPr>
    </w:p>
    <w:p>
      <w:pPr>
        <w:autoSpaceDE w:val="0"/>
        <w:autoSpaceDN w:val="0"/>
        <w:adjustRightInd w:val="0"/>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额持有人大会审议。</w:t>
      </w:r>
    </w:p>
    <w:p>
      <w:pPr>
        <w:widowControl/>
        <w:snapToGrid w:val="0"/>
        <w:spacing w:line="360" w:lineRule="auto"/>
        <w:sectPr>
          <w:footerReference r:id="rId26" w:type="firs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145" w:name="_Toc336606243"/>
      <w:bookmarkStart w:id="146" w:name="_Toc411872038"/>
      <w:bookmarkStart w:id="147" w:name="_Toc327902638"/>
      <w:bookmarkStart w:id="148" w:name="_Toc92740300"/>
      <w:bookmarkStart w:id="149" w:name="_Toc335899849"/>
      <w:bookmarkStart w:id="150" w:name="_Toc375295989"/>
      <w:bookmarkStart w:id="151" w:name="_Toc332013126"/>
      <w:bookmarkStart w:id="152" w:name="_Toc369510024"/>
      <w:r>
        <w:rPr>
          <w:rFonts w:hint="eastAsia"/>
        </w:rPr>
        <w:t>风险揭示</w:t>
      </w:r>
      <w:bookmarkEnd w:id="145"/>
      <w:bookmarkEnd w:id="146"/>
      <w:bookmarkEnd w:id="147"/>
      <w:bookmarkEnd w:id="148"/>
      <w:bookmarkEnd w:id="149"/>
      <w:bookmarkEnd w:id="150"/>
      <w:bookmarkEnd w:id="151"/>
      <w:bookmarkEnd w:id="152"/>
    </w:p>
    <w:p>
      <w:pPr>
        <w:adjustRightInd w:val="0"/>
        <w:snapToGrid w:val="0"/>
        <w:spacing w:line="360" w:lineRule="auto"/>
        <w:ind w:firstLine="454" w:firstLineChars="200"/>
        <w:rPr>
          <w:rFonts w:ascii="Arial" w:hAnsi="Arial"/>
          <w:b/>
          <w:spacing w:val="8"/>
          <w:szCs w:val="21"/>
        </w:rPr>
      </w:pPr>
      <w:r>
        <w:rPr>
          <w:rFonts w:ascii="Arial" w:hAnsi="Arial"/>
          <w:b/>
          <w:spacing w:val="8"/>
          <w:szCs w:val="21"/>
        </w:rPr>
        <w:t>一、投资于本基金的主要风险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1、市场风险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证券市场价格受到经济因素、政治因素、投资心理和交易制度等各种因素的影响，导致基金收益水平变化而产生风险，主要包括：</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（1）政策风险。因国家宏观政策（如货币政策、财政政策、行业政策、地区发展政策等）发生变化，导致市场价格波动而产生风险。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（2）经济周期风险。随经济运行的周期性变化，证券市场的收益水平也呈周期性变化。</w:t>
      </w:r>
      <w:r>
        <w:rPr>
          <w:rFonts w:hint="eastAsia" w:ascii="宋体" w:hAnsi="宋体"/>
          <w:spacing w:val="8"/>
          <w:szCs w:val="21"/>
        </w:rPr>
        <w:t>本基金主要投资于股票</w:t>
      </w:r>
      <w:r>
        <w:rPr>
          <w:rFonts w:ascii="宋体" w:hAnsi="宋体"/>
          <w:spacing w:val="8"/>
          <w:szCs w:val="21"/>
        </w:rPr>
        <w:t>，收益水平也会随之变化，从而产生风险。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3）利率风险。利率直接影响着债券的价格和收益率，影响着企业的融资成本和利润。基金投资于债券，其收益水平会受到利率变化的影响。在利率上升时，基金持有的债券价格下降，如基金组合久期较长，则将造成基金资产的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w:t>
      </w:r>
      <w:r>
        <w:rPr>
          <w:rFonts w:hint="eastAsia" w:ascii="宋体" w:hAnsi="宋体"/>
          <w:spacing w:val="8"/>
          <w:szCs w:val="21"/>
        </w:rPr>
        <w:t>4</w:t>
      </w:r>
      <w:r>
        <w:rPr>
          <w:rFonts w:ascii="宋体" w:hAnsi="宋体"/>
          <w:spacing w:val="8"/>
          <w:szCs w:val="21"/>
        </w:rPr>
        <w:t>）购买力风险。基金的利润将主要通过现金形式来分配，而现金可能因为通货膨胀的影响而导致购买力下降，从而使基金的实际收益下降。</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w:t>
      </w:r>
      <w:r>
        <w:rPr>
          <w:rFonts w:hint="eastAsia" w:ascii="宋体" w:hAnsi="宋体"/>
          <w:spacing w:val="8"/>
          <w:szCs w:val="21"/>
        </w:rPr>
        <w:t>5</w:t>
      </w:r>
      <w:r>
        <w:rPr>
          <w:rFonts w:ascii="宋体" w:hAnsi="宋体"/>
          <w:spacing w:val="8"/>
          <w:szCs w:val="21"/>
        </w:rPr>
        <w:t>）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w:t>
      </w:r>
      <w:r>
        <w:rPr>
          <w:rFonts w:hint="eastAsia" w:ascii="宋体" w:hAnsi="宋体"/>
          <w:spacing w:val="8"/>
          <w:szCs w:val="21"/>
        </w:rPr>
        <w:t>6</w:t>
      </w:r>
      <w:r>
        <w:rPr>
          <w:rFonts w:ascii="宋体" w:hAnsi="宋体"/>
          <w:spacing w:val="8"/>
          <w:szCs w:val="21"/>
        </w:rPr>
        <w:t>）信用风险。基金所投资债券的发行人如出现违约、无法支付到期本息，或由于债券发行人信用等级降低导致债券价格下降，将造成基金资产损失。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w:t>
      </w:r>
      <w:r>
        <w:rPr>
          <w:rFonts w:hint="eastAsia" w:ascii="宋体" w:hAnsi="宋体"/>
          <w:spacing w:val="8"/>
          <w:szCs w:val="21"/>
        </w:rPr>
        <w:t>7</w:t>
      </w:r>
      <w:r>
        <w:rPr>
          <w:rFonts w:ascii="宋体" w:hAnsi="宋体"/>
          <w:spacing w:val="8"/>
          <w:szCs w:val="21"/>
        </w:rPr>
        <w:t>）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（8）上市公司经营风险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2、管理风险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基金运作过程中由于基金投资策略、人为因素、管理系统设置不当造成操作失误或</w:t>
      </w:r>
      <w:r>
        <w:rPr>
          <w:rFonts w:hint="eastAsia" w:ascii="宋体" w:hAnsi="宋体"/>
          <w:spacing w:val="8"/>
          <w:szCs w:val="21"/>
        </w:rPr>
        <w:t>基金管理人</w:t>
      </w:r>
      <w:r>
        <w:rPr>
          <w:rFonts w:ascii="宋体" w:hAnsi="宋体"/>
          <w:spacing w:val="8"/>
          <w:szCs w:val="21"/>
        </w:rPr>
        <w:t>内部失控而可能产生的损失。管理风险包括：</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（1）决策风险：指基金投资的投资策略制定、投资决策执行和投资绩效监督检查过程中，由于决策失误而给基金资产造成的可能的损失；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（2）操作风险：指基金投资决策执行中，由于投资指令不明晰、交易操作失误等人为因素而可能导致的损失；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（3）技术风险：是指</w:t>
      </w:r>
      <w:r>
        <w:rPr>
          <w:rFonts w:hint="eastAsia" w:ascii="宋体" w:hAnsi="宋体"/>
          <w:spacing w:val="8"/>
          <w:szCs w:val="21"/>
        </w:rPr>
        <w:t>基金管理人</w:t>
      </w:r>
      <w:r>
        <w:rPr>
          <w:rFonts w:ascii="宋体" w:hAnsi="宋体"/>
          <w:spacing w:val="8"/>
          <w:szCs w:val="21"/>
        </w:rPr>
        <w:t>管理信息系统设置不当等因素而可能造成的损失。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3</w:t>
      </w:r>
      <w:r>
        <w:rPr>
          <w:rFonts w:ascii="宋体" w:hAnsi="宋体"/>
          <w:spacing w:val="8"/>
          <w:szCs w:val="21"/>
        </w:rPr>
        <w:t>、流动性风险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流动性风险是指因证券市场交易量不足，导致证券不能迅速、低成本地变现的风险。流动性风险还包括基金出现巨额赎回，致使没有足够的现金应付赎回支付所引致的风险。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（1）基金申购、赎回安排</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（2）拟投资市场、行业及资产的流动性风险评估</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（3）巨额赎回情形下的流动性风险管理措施</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基金出现巨额赎回情形下，基金管理人可以根据基金当时的资产组合状况或巨额赎回份额占比情况决定全额赎回</w:t>
      </w:r>
      <w:r>
        <w:rPr>
          <w:rFonts w:ascii="宋体" w:hAnsi="宋体"/>
          <w:spacing w:val="8"/>
          <w:szCs w:val="21"/>
        </w:rPr>
        <w:t>、</w:t>
      </w:r>
      <w:r>
        <w:rPr>
          <w:rFonts w:hint="eastAsia" w:ascii="宋体" w:hAnsi="宋体"/>
          <w:spacing w:val="8"/>
          <w:szCs w:val="21"/>
        </w:rPr>
        <w:t>部分延期赎回或暂停赎回。同时，如本基金单个基金份额持有人在单个开放日申请赎回基金份额超过基金总份额一定比例以上的，基金管理人有权对其采取延期办理赎回申请的措施。</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（4）实施备用的流动性风险管理工具的情形、程序及对投资者的潜在影响</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机制、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pPr>
        <w:pStyle w:val="15"/>
        <w:autoSpaceDE w:val="0"/>
        <w:autoSpaceDN w:val="0"/>
        <w:adjustRightInd w:val="0"/>
        <w:snapToGrid w:val="0"/>
        <w:spacing w:line="360" w:lineRule="auto"/>
        <w:ind w:firstLine="452" w:firstLineChars="200"/>
        <w:rPr>
          <w:rFonts w:ascii="宋体" w:hAnsi="宋体"/>
          <w:spacing w:val="8"/>
          <w:szCs w:val="21"/>
        </w:rPr>
      </w:pPr>
      <w:r>
        <w:rPr>
          <w:rFonts w:hint="eastAsia" w:ascii="宋体" w:hAnsi="宋体"/>
          <w:spacing w:val="8"/>
          <w:szCs w:val="21"/>
        </w:rPr>
        <w:t>4</w:t>
      </w:r>
      <w:r>
        <w:rPr>
          <w:rFonts w:ascii="宋体" w:hAnsi="宋体"/>
          <w:spacing w:val="8"/>
          <w:szCs w:val="21"/>
        </w:rPr>
        <w:t>、合规性风险</w:t>
      </w:r>
    </w:p>
    <w:p>
      <w:pPr>
        <w:pStyle w:val="15"/>
        <w:autoSpaceDE w:val="0"/>
        <w:autoSpaceDN w:val="0"/>
        <w:adjustRightInd w:val="0"/>
        <w:snapToGrid w:val="0"/>
        <w:spacing w:line="360" w:lineRule="auto"/>
        <w:ind w:firstLine="452" w:firstLineChars="200"/>
        <w:rPr>
          <w:rFonts w:ascii="宋体" w:hAnsi="宋体"/>
          <w:spacing w:val="8"/>
          <w:szCs w:val="21"/>
        </w:rPr>
      </w:pPr>
      <w:r>
        <w:rPr>
          <w:rFonts w:ascii="宋体" w:hAnsi="宋体"/>
          <w:spacing w:val="8"/>
          <w:szCs w:val="21"/>
        </w:rPr>
        <w:t>指基金管理或运作过程中，违反国家法律、法规的规定，或者基金投资违反法规及基金合同有关规定的风险。</w:t>
      </w:r>
    </w:p>
    <w:p>
      <w:pPr>
        <w:pStyle w:val="163"/>
        <w:ind w:firstLine="422"/>
        <w:rPr>
          <w:rFonts w:ascii="宋体" w:hAnsi="宋体"/>
          <w:b/>
        </w:rPr>
      </w:pPr>
      <w:r>
        <w:rPr>
          <w:rFonts w:hint="eastAsia" w:ascii="宋体" w:hAnsi="宋体"/>
          <w:b/>
        </w:rPr>
        <w:t>二、本基金特有的风险</w:t>
      </w:r>
    </w:p>
    <w:p>
      <w:pPr>
        <w:pStyle w:val="163"/>
        <w:rPr>
          <w:rFonts w:hint="eastAsia" w:ascii="宋体" w:hAnsi="宋体"/>
        </w:rPr>
      </w:pPr>
      <w:r>
        <w:rPr>
          <w:rFonts w:hint="eastAsia" w:ascii="宋体" w:hAnsi="宋体"/>
        </w:rPr>
        <w:t>1、投资于北京证券交易所股票所带来的风险</w:t>
      </w:r>
    </w:p>
    <w:p>
      <w:pPr>
        <w:pStyle w:val="163"/>
        <w:rPr>
          <w:rFonts w:hint="eastAsia" w:ascii="宋体" w:hAnsi="宋体"/>
        </w:rPr>
      </w:pPr>
      <w:r>
        <w:rPr>
          <w:rFonts w:hint="eastAsia" w:ascii="宋体" w:hAnsi="宋体"/>
        </w:rPr>
        <w:t>本基金标的指数成份股可能包含北京证券交易所股票。北京证券交易所主要服务于创新型中小企业，在发行、上市、交易、退市等方面的规则与其他交易场所存在差异。本基金如投资北京证券交易所股票，可能面临的风险包括但不限于：</w:t>
      </w:r>
    </w:p>
    <w:p>
      <w:pPr>
        <w:pStyle w:val="163"/>
        <w:rPr>
          <w:rFonts w:hint="eastAsia" w:ascii="宋体" w:hAnsi="宋体"/>
        </w:rPr>
      </w:pPr>
      <w:r>
        <w:rPr>
          <w:rFonts w:hint="eastAsia" w:ascii="宋体" w:hAnsi="宋体"/>
          <w:lang w:eastAsia="zh-CN"/>
        </w:rPr>
        <w:t>（</w:t>
      </w:r>
      <w:r>
        <w:rPr>
          <w:rFonts w:hint="eastAsia" w:ascii="宋体" w:hAnsi="宋体"/>
          <w:lang w:val="en-US" w:eastAsia="zh-CN"/>
        </w:rPr>
        <w:t>1</w:t>
      </w:r>
      <w:r>
        <w:rPr>
          <w:rFonts w:hint="eastAsia" w:ascii="宋体" w:hAnsi="宋体"/>
          <w:lang w:eastAsia="zh-CN"/>
        </w:rPr>
        <w:t>）</w:t>
      </w:r>
      <w:r>
        <w:rPr>
          <w:rFonts w:hint="eastAsia" w:ascii="宋体" w:hAnsi="宋体"/>
        </w:rPr>
        <w:t>中小企业经营风险</w:t>
      </w:r>
    </w:p>
    <w:p>
      <w:pPr>
        <w:pStyle w:val="163"/>
        <w:rPr>
          <w:rFonts w:hint="eastAsia" w:ascii="宋体" w:hAnsi="宋体"/>
        </w:rPr>
      </w:pPr>
      <w:r>
        <w:rPr>
          <w:rFonts w:hint="eastAsia" w:ascii="宋体" w:hAnsi="宋体"/>
        </w:rPr>
        <w:t>北京证券交易所上市企业为创新型中小企业，该类企业往往具有规模小、对技术依赖高、迭代快、议价能力不强等特点，抗市场风险和行业风险能力较弱，存在因产品、经营模式、相关政策变化而出现经营失败的风险；另一方面，部分中小企业可能尚处于初步发展阶段，业务收入、现金流及盈利水平等具有较大不确定性，个股投资风险较大。因此，基金在追求北京证券交易所上市企业带来收益的同时，可能面临相关企业无法盈利甚至产生导致较大亏损的风险。</w:t>
      </w:r>
    </w:p>
    <w:p>
      <w:pPr>
        <w:pStyle w:val="163"/>
        <w:rPr>
          <w:rFonts w:hint="eastAsia" w:ascii="宋体" w:hAnsi="宋体"/>
        </w:rPr>
      </w:pPr>
      <w:r>
        <w:rPr>
          <w:rFonts w:hint="eastAsia" w:ascii="宋体" w:hAnsi="宋体"/>
          <w:lang w:eastAsia="zh-CN"/>
        </w:rPr>
        <w:t>（</w:t>
      </w:r>
      <w:r>
        <w:rPr>
          <w:rFonts w:hint="eastAsia" w:ascii="宋体" w:hAnsi="宋体"/>
          <w:lang w:val="en-US" w:eastAsia="zh-CN"/>
        </w:rPr>
        <w:t>2</w:t>
      </w:r>
      <w:r>
        <w:rPr>
          <w:rFonts w:hint="eastAsia" w:ascii="宋体" w:hAnsi="宋体"/>
          <w:lang w:eastAsia="zh-CN"/>
        </w:rPr>
        <w:t>）</w:t>
      </w:r>
      <w:r>
        <w:rPr>
          <w:rFonts w:hint="eastAsia" w:ascii="宋体" w:hAnsi="宋体"/>
        </w:rPr>
        <w:t>股价大幅波动风险</w:t>
      </w:r>
    </w:p>
    <w:p>
      <w:pPr>
        <w:pStyle w:val="163"/>
        <w:rPr>
          <w:rFonts w:hint="eastAsia" w:ascii="宋体" w:hAnsi="宋体"/>
        </w:rPr>
      </w:pPr>
      <w:r>
        <w:rPr>
          <w:rFonts w:hint="eastAsia" w:ascii="宋体" w:hAnsi="宋体"/>
        </w:rPr>
        <w:t>北京证券交易所在证券发行、交易、投资者适当性等方面与沪深证券交易所的制度规则存在一定差别，包括北京证券交易所竞价交易较沪深证券交易所设置了更宽的涨跌幅限制（上市后的首日不设涨跌幅限制，其后涨跌幅限制为30%），可能导致较大的股票价格波动。</w:t>
      </w:r>
    </w:p>
    <w:p>
      <w:pPr>
        <w:pStyle w:val="163"/>
        <w:rPr>
          <w:rFonts w:hint="eastAsia" w:ascii="宋体" w:hAnsi="宋体"/>
        </w:rPr>
      </w:pPr>
      <w:r>
        <w:rPr>
          <w:rFonts w:hint="eastAsia" w:ascii="宋体" w:hAnsi="宋体"/>
          <w:lang w:eastAsia="zh-CN"/>
        </w:rPr>
        <w:t>（</w:t>
      </w:r>
      <w:r>
        <w:rPr>
          <w:rFonts w:hint="eastAsia" w:ascii="宋体" w:hAnsi="宋体"/>
          <w:lang w:val="en-US" w:eastAsia="zh-CN"/>
        </w:rPr>
        <w:t>3</w:t>
      </w:r>
      <w:r>
        <w:rPr>
          <w:rFonts w:hint="eastAsia" w:ascii="宋体" w:hAnsi="宋体"/>
          <w:lang w:eastAsia="zh-CN"/>
        </w:rPr>
        <w:t>）</w:t>
      </w:r>
      <w:r>
        <w:rPr>
          <w:rFonts w:hint="eastAsia" w:ascii="宋体" w:hAnsi="宋体"/>
        </w:rPr>
        <w:t>退市风险</w:t>
      </w:r>
    </w:p>
    <w:p>
      <w:pPr>
        <w:pStyle w:val="163"/>
        <w:rPr>
          <w:rFonts w:hint="eastAsia" w:ascii="宋体" w:hAnsi="宋体"/>
        </w:rPr>
      </w:pPr>
      <w:r>
        <w:rPr>
          <w:rFonts w:hint="eastAsia" w:ascii="宋体" w:hAnsi="宋体"/>
        </w:rPr>
        <w:t>根据北京证券交易所退市制度，上市企业退市情形较多，一旦所投资的北京证券交易所上市企业进入退市流程，有可能退入新三板创新层或基础层挂牌交易，或转入退市公司板块，基金可能无法及时将该企业调出投资组合，从而面临退出难度较大、流动性变差、变现成本较高以及股价大幅波动的风险，可能对基金净值造成不利影响。</w:t>
      </w:r>
    </w:p>
    <w:p>
      <w:pPr>
        <w:pStyle w:val="163"/>
        <w:rPr>
          <w:rFonts w:hint="eastAsia" w:ascii="宋体" w:hAnsi="宋体"/>
        </w:rPr>
      </w:pPr>
      <w:r>
        <w:rPr>
          <w:rFonts w:hint="eastAsia" w:ascii="宋体" w:hAnsi="宋体"/>
          <w:lang w:eastAsia="zh-CN"/>
        </w:rPr>
        <w:t>（</w:t>
      </w:r>
      <w:r>
        <w:rPr>
          <w:rFonts w:hint="eastAsia" w:ascii="宋体" w:hAnsi="宋体"/>
          <w:lang w:val="en-US" w:eastAsia="zh-CN"/>
        </w:rPr>
        <w:t>4</w:t>
      </w:r>
      <w:r>
        <w:rPr>
          <w:rFonts w:hint="eastAsia" w:ascii="宋体" w:hAnsi="宋体"/>
          <w:lang w:eastAsia="zh-CN"/>
        </w:rPr>
        <w:t>）</w:t>
      </w:r>
      <w:r>
        <w:rPr>
          <w:rFonts w:hint="eastAsia" w:ascii="宋体" w:hAnsi="宋体"/>
        </w:rPr>
        <w:t>企业流动性风险</w:t>
      </w:r>
    </w:p>
    <w:p>
      <w:pPr>
        <w:pStyle w:val="163"/>
        <w:rPr>
          <w:rFonts w:hint="eastAsia" w:ascii="宋体" w:hAnsi="宋体"/>
        </w:rPr>
      </w:pPr>
      <w:r>
        <w:rPr>
          <w:rFonts w:hint="eastAsia" w:ascii="宋体" w:hAnsi="宋体"/>
        </w:rPr>
        <w:t>北京证券交易所投资门槛较高，个人投资者参与度相对较低；此外，由于北京证券交易所上市企业规模小，部分企业股权较为集中，由此可能导致整体流动性相对较弱。若投资者在特定阶段对个券形成一致预期，基金可能面临无法及时变现及其他相关流动性风险。</w:t>
      </w:r>
    </w:p>
    <w:p>
      <w:pPr>
        <w:pStyle w:val="163"/>
        <w:rPr>
          <w:rFonts w:hint="eastAsia" w:ascii="宋体" w:hAnsi="宋体"/>
        </w:rPr>
      </w:pPr>
      <w:r>
        <w:rPr>
          <w:rFonts w:hint="eastAsia" w:ascii="宋体" w:hAnsi="宋体"/>
          <w:lang w:eastAsia="zh-CN"/>
        </w:rPr>
        <w:t>（</w:t>
      </w:r>
      <w:r>
        <w:rPr>
          <w:rFonts w:hint="eastAsia" w:ascii="宋体" w:hAnsi="宋体"/>
          <w:lang w:val="en-US" w:eastAsia="zh-CN"/>
        </w:rPr>
        <w:t>5</w:t>
      </w:r>
      <w:r>
        <w:rPr>
          <w:rFonts w:hint="eastAsia" w:ascii="宋体" w:hAnsi="宋体"/>
          <w:lang w:eastAsia="zh-CN"/>
        </w:rPr>
        <w:t>）</w:t>
      </w:r>
      <w:r>
        <w:rPr>
          <w:rFonts w:hint="eastAsia" w:ascii="宋体" w:hAnsi="宋体"/>
        </w:rPr>
        <w:t>监管规则变化的风险</w:t>
      </w:r>
    </w:p>
    <w:p>
      <w:pPr>
        <w:pStyle w:val="163"/>
        <w:rPr>
          <w:rFonts w:hint="eastAsia" w:ascii="宋体" w:hAnsi="宋体"/>
        </w:rPr>
      </w:pPr>
      <w:r>
        <w:rPr>
          <w:rFonts w:hint="eastAsia" w:ascii="宋体" w:hAnsi="宋体"/>
        </w:rPr>
        <w:t>北京证券交易所相关法律、行政法规、部门规章、规范性文件和交易所业务规则，可能根据市场情况进行修改完善，或者补充制定新的法律法规和业务规则，可能对基金投资运作产生影响，或导致基金投资运作相应调整变化。</w:t>
      </w:r>
    </w:p>
    <w:p>
      <w:pPr>
        <w:pStyle w:val="163"/>
        <w:rPr>
          <w:rFonts w:ascii="宋体" w:hAnsi="宋体"/>
        </w:rPr>
      </w:pPr>
      <w:r>
        <w:rPr>
          <w:rFonts w:hint="eastAsia" w:ascii="宋体" w:hAnsi="宋体"/>
          <w:lang w:val="en-US" w:eastAsia="zh-CN"/>
        </w:rPr>
        <w:t>2</w:t>
      </w:r>
      <w:r>
        <w:rPr>
          <w:rFonts w:hint="eastAsia" w:ascii="宋体" w:hAnsi="宋体"/>
        </w:rPr>
        <w:t>、被动投资的风险</w:t>
      </w:r>
    </w:p>
    <w:p>
      <w:pPr>
        <w:pStyle w:val="163"/>
        <w:rPr>
          <w:rFonts w:ascii="宋体" w:hAnsi="宋体"/>
        </w:rPr>
      </w:pPr>
      <w:r>
        <w:rPr>
          <w:rFonts w:hint="eastAsia" w:ascii="宋体" w:hAnsi="宋体"/>
        </w:rPr>
        <w:t>（1）标的指数的风险</w:t>
      </w:r>
    </w:p>
    <w:p>
      <w:pPr>
        <w:pStyle w:val="163"/>
        <w:rPr>
          <w:rFonts w:ascii="宋体" w:hAnsi="宋体"/>
        </w:rPr>
      </w:pPr>
      <w:r>
        <w:rPr>
          <w:rFonts w:hint="eastAsia" w:ascii="宋体" w:hAnsi="宋体"/>
        </w:rPr>
        <w:t>即标的指数因为编制方法的缺陷有可能导致标的指数的表现与总体市场表现存在差异，因标的指数编制方法的不成熟也可能导致指数调整较大，增加基金投资成本，并有可能因此而增加跟踪误差，影响投资收益。</w:t>
      </w:r>
    </w:p>
    <w:p>
      <w:pPr>
        <w:pStyle w:val="163"/>
        <w:rPr>
          <w:rFonts w:ascii="宋体" w:hAnsi="宋体"/>
        </w:rPr>
      </w:pPr>
      <w:r>
        <w:rPr>
          <w:rFonts w:hint="eastAsia" w:ascii="宋体" w:hAnsi="宋体"/>
        </w:rPr>
        <w:t>（</w:t>
      </w:r>
      <w:r>
        <w:rPr>
          <w:rFonts w:ascii="宋体" w:hAnsi="宋体"/>
        </w:rPr>
        <w:t>2</w:t>
      </w:r>
      <w:r>
        <w:rPr>
          <w:rFonts w:hint="eastAsia" w:ascii="宋体" w:hAnsi="宋体"/>
        </w:rPr>
        <w:t>）标的指数下跌的风险</w:t>
      </w:r>
    </w:p>
    <w:p>
      <w:pPr>
        <w:pStyle w:val="163"/>
        <w:rPr>
          <w:rFonts w:ascii="宋体" w:hAnsi="宋体"/>
        </w:rPr>
      </w:pPr>
      <w:r>
        <w:rPr>
          <w:rFonts w:hint="eastAsia" w:ascii="宋体" w:hAnsi="宋体"/>
        </w:rPr>
        <w:t>本基金绝大部分基金资产将用于跟踪标的指数，业绩表现将会随着标的指数的波动而波动；同时本基金在多数情况下将维持较高的股票仓位，在股票市场下跌的过程中，可能面临基金净值与标的指数同步下跌的风险。</w:t>
      </w:r>
    </w:p>
    <w:p>
      <w:pPr>
        <w:pStyle w:val="163"/>
        <w:rPr>
          <w:rFonts w:ascii="宋体" w:hAnsi="宋体"/>
        </w:rPr>
      </w:pPr>
      <w:r>
        <w:rPr>
          <w:rFonts w:hint="eastAsia" w:ascii="宋体" w:hAnsi="宋体"/>
        </w:rPr>
        <w:t>（3）跟踪偏离的风险</w:t>
      </w:r>
    </w:p>
    <w:p>
      <w:pPr>
        <w:pStyle w:val="163"/>
        <w:rPr>
          <w:rFonts w:ascii="宋体" w:hAnsi="宋体"/>
        </w:rPr>
      </w:pPr>
      <w:r>
        <w:rPr>
          <w:rFonts w:hint="eastAsia" w:ascii="宋体" w:hAnsi="宋体"/>
        </w:rPr>
        <w:t>本基金投资组合收益率可能由于标的指数调整成份股或变更编制方法、成份股派发现金红利、流动性风险（成份股停牌、摘牌或流动性差等原因使本基金无法及时调整投资组合或承担较大的冲击成本）、本基金的运营费用（证券投资中的交易成本、基金管理费、托管费等）、债券投资等原因导致基金的收益率与业绩比较基准收益率发生较大偏离。</w:t>
      </w:r>
    </w:p>
    <w:p>
      <w:pPr>
        <w:pStyle w:val="163"/>
        <w:rPr>
          <w:rFonts w:ascii="宋体" w:hAnsi="宋体"/>
        </w:rPr>
      </w:pPr>
      <w:r>
        <w:rPr>
          <w:rFonts w:hint="eastAsia" w:ascii="宋体" w:hAnsi="宋体"/>
        </w:rPr>
        <w:t>（</w:t>
      </w:r>
      <w:r>
        <w:rPr>
          <w:rFonts w:ascii="宋体" w:hAnsi="宋体"/>
        </w:rPr>
        <w:t>4</w:t>
      </w:r>
      <w:r>
        <w:rPr>
          <w:rFonts w:hint="eastAsia" w:ascii="宋体" w:hAnsi="宋体"/>
        </w:rPr>
        <w:t>）标的指数变更的风险</w:t>
      </w:r>
    </w:p>
    <w:p>
      <w:pPr>
        <w:pStyle w:val="163"/>
        <w:rPr>
          <w:rFonts w:ascii="宋体" w:hAnsi="宋体"/>
        </w:rPr>
      </w:pPr>
      <w:r>
        <w:rPr>
          <w:rFonts w:hint="eastAsia" w:ascii="宋体" w:hAnsi="宋体"/>
        </w:rPr>
        <w:t>根据基金合同的规定，因标的指数的编制与发布等原因，导致原标的指数不宜继续作为本基金的投资标的指数及业绩比较基准，本基金可能变更标的指数，基金的投资组合将随之调整，基金的收益风险特征可能发生变化，投资者还须承担投资组合调整所带来的风险与成本。</w:t>
      </w:r>
    </w:p>
    <w:p>
      <w:pPr>
        <w:pStyle w:val="163"/>
        <w:rPr>
          <w:rFonts w:ascii="宋体" w:hAnsi="宋体"/>
        </w:rPr>
      </w:pPr>
      <w:r>
        <w:rPr>
          <w:rFonts w:hint="eastAsia" w:ascii="宋体" w:hAnsi="宋体"/>
        </w:rPr>
        <w:t>（5）指数编制机构停止服务的风险</w:t>
      </w:r>
    </w:p>
    <w:p>
      <w:pPr>
        <w:pStyle w:val="163"/>
        <w:rPr>
          <w:rFonts w:ascii="宋体" w:hAnsi="宋体"/>
        </w:rPr>
      </w:pPr>
      <w:r>
        <w:rPr>
          <w:rFonts w:hint="eastAsia" w:ascii="宋体" w:hAnsi="宋体"/>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w:t>
      </w:r>
      <w:r>
        <w:rPr>
          <w:rFonts w:ascii="宋体" w:hAnsi="宋体"/>
        </w:rPr>
        <w:t>、</w:t>
      </w:r>
      <w:r>
        <w:rPr>
          <w:rFonts w:hint="eastAsia" w:ascii="宋体" w:hAnsi="宋体"/>
        </w:rPr>
        <w:t>与其他基金合并或者终止基金合同等，并在6个月内召集基金份额持有人大会进行表决。因此，投资人将面临更换基金标的指数、转换运作方式、与其他基金合并或者终止基金合同等风险。</w:t>
      </w:r>
    </w:p>
    <w:p>
      <w:pPr>
        <w:pStyle w:val="163"/>
        <w:rPr>
          <w:rFonts w:ascii="宋体" w:hAnsi="宋体"/>
        </w:rPr>
      </w:pPr>
      <w:r>
        <w:rPr>
          <w:rFonts w:hint="eastAsia" w:ascii="宋体" w:hAnsi="宋体"/>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pStyle w:val="163"/>
        <w:rPr>
          <w:rFonts w:ascii="宋体" w:hAnsi="宋体"/>
        </w:rPr>
      </w:pPr>
      <w:r>
        <w:rPr>
          <w:rFonts w:hint="eastAsia" w:ascii="宋体" w:hAnsi="宋体"/>
        </w:rPr>
        <w:t>（6）成份股停牌的风险</w:t>
      </w:r>
    </w:p>
    <w:p>
      <w:pPr>
        <w:pStyle w:val="163"/>
        <w:rPr>
          <w:rFonts w:ascii="宋体" w:hAnsi="宋体"/>
        </w:rPr>
      </w:pPr>
      <w:r>
        <w:rPr>
          <w:rFonts w:hint="eastAsia" w:ascii="宋体" w:hAnsi="宋体"/>
        </w:rPr>
        <w:t>标的指数成份股可能因各种原因临时或长期停牌，发生成份股停牌时可能面临如下风险：</w:t>
      </w:r>
    </w:p>
    <w:p>
      <w:pPr>
        <w:pStyle w:val="163"/>
        <w:rPr>
          <w:rFonts w:ascii="宋体" w:hAnsi="宋体"/>
        </w:rPr>
      </w:pPr>
      <w:r>
        <w:rPr>
          <w:rFonts w:ascii="宋体" w:hAnsi="宋体"/>
        </w:rPr>
        <w:t>1</w:t>
      </w:r>
      <w:r>
        <w:rPr>
          <w:rFonts w:hint="eastAsia" w:ascii="宋体" w:hAnsi="宋体"/>
        </w:rPr>
        <w:t>）基金可能因无法及时调整投资组合而导致跟踪偏离度和跟踪误差扩大。</w:t>
      </w:r>
    </w:p>
    <w:p>
      <w:pPr>
        <w:pStyle w:val="163"/>
        <w:rPr>
          <w:rFonts w:ascii="宋体" w:hAnsi="宋体"/>
        </w:rPr>
      </w:pPr>
      <w:r>
        <w:rPr>
          <w:rFonts w:ascii="宋体" w:hAnsi="宋体"/>
        </w:rPr>
        <w:t>2</w:t>
      </w:r>
      <w:r>
        <w:rPr>
          <w:rFonts w:hint="eastAsia" w:ascii="宋体" w:hAnsi="宋体"/>
        </w:rPr>
        <w:t>）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w:t>
      </w:r>
    </w:p>
    <w:p>
      <w:pPr>
        <w:pStyle w:val="163"/>
        <w:rPr>
          <w:rFonts w:ascii="宋体" w:hAnsi="宋体"/>
        </w:rPr>
      </w:pPr>
      <w:r>
        <w:rPr>
          <w:rFonts w:hint="eastAsia" w:ascii="宋体" w:hAnsi="宋体"/>
        </w:rPr>
        <w:t>（7）成份股退市的风险</w:t>
      </w:r>
    </w:p>
    <w:p>
      <w:pPr>
        <w:pStyle w:val="163"/>
        <w:rPr>
          <w:rFonts w:ascii="宋体" w:hAnsi="宋体"/>
        </w:rPr>
      </w:pPr>
      <w:r>
        <w:rPr>
          <w:rFonts w:hint="eastAsia" w:ascii="宋体" w:hAnsi="宋体"/>
        </w:rPr>
        <w:t>标的指数成份股发生明显负面事件面临退市风险，且指数编制机构暂未作出调整的，基金管理人将按照基金 份额持有人利益优先的原则，综合考虑成份股的退市风险、其在指数中的权重以及对跟踪误差的影响，据此制定成份股替代策略，并对投资组合进行相应调整。</w:t>
      </w:r>
    </w:p>
    <w:p>
      <w:pPr>
        <w:pStyle w:val="163"/>
        <w:rPr>
          <w:rFonts w:ascii="宋体" w:hAnsi="宋体"/>
        </w:rPr>
      </w:pPr>
      <w:r>
        <w:rPr>
          <w:rFonts w:hint="eastAsia" w:ascii="宋体" w:hAnsi="宋体"/>
        </w:rPr>
        <w:t>（8）跟踪误差控制未达约定目标的风险</w:t>
      </w:r>
    </w:p>
    <w:p>
      <w:pPr>
        <w:pStyle w:val="163"/>
        <w:rPr>
          <w:rFonts w:ascii="宋体" w:hAnsi="宋体"/>
        </w:rPr>
      </w:pPr>
      <w:r>
        <w:rPr>
          <w:rFonts w:hint="eastAsia" w:ascii="宋体" w:hAnsi="宋体"/>
        </w:rPr>
        <w:t>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w:t>
      </w:r>
    </w:p>
    <w:p>
      <w:pPr>
        <w:pStyle w:val="163"/>
        <w:rPr>
          <w:rFonts w:ascii="宋体" w:hAnsi="宋体"/>
        </w:rPr>
      </w:pPr>
      <w:r>
        <w:rPr>
          <w:rFonts w:hint="eastAsia" w:ascii="宋体" w:hAnsi="宋体"/>
          <w:lang w:val="en-US" w:eastAsia="zh-CN"/>
        </w:rPr>
        <w:t>3</w:t>
      </w:r>
      <w:r>
        <w:rPr>
          <w:rFonts w:hint="eastAsia" w:ascii="宋体" w:hAnsi="宋体"/>
        </w:rPr>
        <w:t>、参与股指期货交易风险</w:t>
      </w:r>
    </w:p>
    <w:p>
      <w:pPr>
        <w:pStyle w:val="163"/>
        <w:rPr>
          <w:rFonts w:ascii="宋体" w:hAnsi="宋体"/>
        </w:rPr>
      </w:pPr>
      <w:r>
        <w:rPr>
          <w:rFonts w:hint="eastAsia" w:ascii="宋体" w:hAnsi="宋体"/>
        </w:rPr>
        <w:t>本基金的投资范围包括股指期货，股指期货的主要风险包括，杠杆风险、基差风险、合约展期风险、模型风险和强制平仓风险等。</w:t>
      </w:r>
    </w:p>
    <w:p>
      <w:pPr>
        <w:pStyle w:val="163"/>
        <w:rPr>
          <w:rFonts w:ascii="宋体" w:hAnsi="宋体"/>
        </w:rPr>
      </w:pPr>
      <w:r>
        <w:rPr>
          <w:rFonts w:hint="eastAsia" w:ascii="宋体" w:hAnsi="宋体"/>
        </w:rPr>
        <w:t>（1）杠杆风险</w:t>
      </w:r>
    </w:p>
    <w:p>
      <w:pPr>
        <w:pStyle w:val="163"/>
        <w:rPr>
          <w:rFonts w:ascii="宋体" w:hAnsi="宋体"/>
        </w:rPr>
      </w:pPr>
      <w:r>
        <w:rPr>
          <w:rFonts w:hint="eastAsia" w:ascii="宋体" w:hAnsi="宋体"/>
        </w:rPr>
        <w:t>股指期货投资具有高杠杆特性，因此会放大基础资产所产生的盈利或损失，加大本基金收益的波动性。</w:t>
      </w:r>
    </w:p>
    <w:p>
      <w:pPr>
        <w:pStyle w:val="163"/>
        <w:rPr>
          <w:rFonts w:ascii="宋体" w:hAnsi="宋体"/>
        </w:rPr>
      </w:pPr>
      <w:r>
        <w:rPr>
          <w:rFonts w:hint="eastAsia" w:ascii="宋体" w:hAnsi="宋体"/>
        </w:rPr>
        <w:t>（2）基差风险</w:t>
      </w:r>
    </w:p>
    <w:p>
      <w:pPr>
        <w:pStyle w:val="163"/>
        <w:rPr>
          <w:rFonts w:ascii="宋体" w:hAnsi="宋体"/>
        </w:rPr>
      </w:pPr>
      <w:r>
        <w:rPr>
          <w:rFonts w:hint="eastAsia" w:ascii="宋体" w:hAnsi="宋体"/>
        </w:rPr>
        <w:t>基差是指股票指数现货价格与股指期货价格之间的差额。若本基金运作中出现基差波动不确定性加大、基差向不利方向变动等情况，则可能对本基金投资产生影响。</w:t>
      </w:r>
    </w:p>
    <w:p>
      <w:pPr>
        <w:pStyle w:val="163"/>
        <w:rPr>
          <w:rFonts w:ascii="宋体" w:hAnsi="宋体"/>
        </w:rPr>
      </w:pPr>
      <w:r>
        <w:rPr>
          <w:rFonts w:hint="eastAsia" w:ascii="宋体" w:hAnsi="宋体"/>
        </w:rPr>
        <w:t>（3）合约展期风险</w:t>
      </w:r>
    </w:p>
    <w:p>
      <w:pPr>
        <w:pStyle w:val="163"/>
        <w:rPr>
          <w:rFonts w:ascii="宋体" w:hAnsi="宋体"/>
        </w:rPr>
      </w:pPr>
      <w:r>
        <w:rPr>
          <w:rFonts w:hint="eastAsia" w:ascii="宋体" w:hAnsi="宋体"/>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pPr>
        <w:pStyle w:val="163"/>
        <w:rPr>
          <w:rFonts w:ascii="宋体" w:hAnsi="宋体"/>
        </w:rPr>
      </w:pPr>
      <w:r>
        <w:rPr>
          <w:rFonts w:hint="eastAsia" w:ascii="宋体" w:hAnsi="宋体"/>
        </w:rPr>
        <w:t>（4）模型风险</w:t>
      </w:r>
    </w:p>
    <w:p>
      <w:pPr>
        <w:pStyle w:val="163"/>
        <w:rPr>
          <w:rFonts w:ascii="宋体" w:hAnsi="宋体"/>
        </w:rPr>
      </w:pPr>
      <w:r>
        <w:rPr>
          <w:rFonts w:hint="eastAsia" w:ascii="宋体" w:hAnsi="宋体"/>
        </w:rPr>
        <w:t>股指期货合约属于虚拟投资品种，投资过程中需要通过模型进行风险定价，当投资人员使用了错误模型或者选择了不当的参数，会导致对风险或交易价格的估计错误而造成损失，损害本基金的投资收益。</w:t>
      </w:r>
    </w:p>
    <w:p>
      <w:pPr>
        <w:pStyle w:val="163"/>
        <w:rPr>
          <w:rFonts w:ascii="宋体" w:hAnsi="宋体"/>
        </w:rPr>
      </w:pPr>
      <w:r>
        <w:rPr>
          <w:rFonts w:hint="eastAsia" w:ascii="宋体" w:hAnsi="宋体"/>
        </w:rPr>
        <w:t>（5）强制平仓的风险</w:t>
      </w:r>
    </w:p>
    <w:p>
      <w:pPr>
        <w:pStyle w:val="163"/>
        <w:rPr>
          <w:rFonts w:ascii="宋体" w:hAnsi="宋体"/>
        </w:rPr>
      </w:pPr>
      <w:r>
        <w:rPr>
          <w:rFonts w:hint="eastAsia" w:ascii="宋体" w:hAnsi="宋体"/>
        </w:rPr>
        <w:t>股指期货采用每日无负债结算制度，如果没有在规定的时间内补足保证金，按规定将被强制平仓，可能给投资带来重大损失。</w:t>
      </w:r>
    </w:p>
    <w:p>
      <w:pPr>
        <w:pStyle w:val="163"/>
        <w:rPr>
          <w:rFonts w:ascii="宋体" w:hAnsi="宋体"/>
        </w:rPr>
      </w:pPr>
      <w:r>
        <w:rPr>
          <w:rFonts w:hint="eastAsia" w:ascii="宋体" w:hAnsi="宋体"/>
          <w:lang w:val="en-US" w:eastAsia="zh-CN"/>
        </w:rPr>
        <w:t>4</w:t>
      </w:r>
      <w:r>
        <w:rPr>
          <w:rFonts w:hint="eastAsia" w:ascii="宋体" w:hAnsi="宋体"/>
        </w:rPr>
        <w:t>、参与国债期货交易风险</w:t>
      </w:r>
    </w:p>
    <w:p>
      <w:pPr>
        <w:pStyle w:val="163"/>
        <w:rPr>
          <w:rFonts w:ascii="宋体" w:hAnsi="宋体"/>
        </w:rPr>
      </w:pPr>
      <w:r>
        <w:rPr>
          <w:rFonts w:hint="eastAsia" w:ascii="宋体" w:hAnsi="宋体"/>
        </w:rPr>
        <w:t>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pPr>
        <w:pStyle w:val="163"/>
        <w:rPr>
          <w:rFonts w:ascii="宋体" w:hAnsi="宋体"/>
        </w:rPr>
      </w:pPr>
      <w:r>
        <w:rPr>
          <w:rFonts w:hint="eastAsia" w:ascii="宋体" w:hAnsi="宋体"/>
          <w:lang w:val="en-US" w:eastAsia="zh-CN"/>
        </w:rPr>
        <w:t>5</w:t>
      </w:r>
      <w:r>
        <w:rPr>
          <w:rFonts w:hint="eastAsia" w:ascii="宋体" w:hAnsi="宋体"/>
        </w:rPr>
        <w:t>、股票期权投资风险</w:t>
      </w:r>
    </w:p>
    <w:p>
      <w:pPr>
        <w:pStyle w:val="163"/>
        <w:rPr>
          <w:rFonts w:ascii="宋体" w:hAnsi="宋体"/>
        </w:rPr>
      </w:pPr>
      <w:r>
        <w:rPr>
          <w:rFonts w:hint="eastAsia" w:ascii="宋体" w:hAnsi="宋体"/>
        </w:rPr>
        <w:t>（1）流动性风险：由于股票期权合约众多，交易较为分散，股票期权市场的流动性一般较期货市场要低，尤其是深度实值和虚值的股票期权，成交量稀少，持有这些股票期权的投资者容易遇到无法成交、平仓出局的局面。</w:t>
      </w:r>
    </w:p>
    <w:p>
      <w:pPr>
        <w:pStyle w:val="163"/>
        <w:rPr>
          <w:rFonts w:ascii="宋体" w:hAnsi="宋体"/>
        </w:rPr>
      </w:pPr>
      <w:r>
        <w:rPr>
          <w:rFonts w:hint="eastAsia" w:ascii="宋体" w:hAnsi="宋体"/>
        </w:rPr>
        <w:t>（2）价格风险：股票期权买方的价格风险即为他所付出的权利金，风险具有确定性。股票期权卖方的价格风险不定，不过其所收取的权利金可以提供相应保护，当发生亏损时，可以抵消部分损失。</w:t>
      </w:r>
    </w:p>
    <w:p>
      <w:pPr>
        <w:pStyle w:val="163"/>
        <w:rPr>
          <w:rFonts w:ascii="宋体" w:hAnsi="宋体"/>
        </w:rPr>
      </w:pPr>
      <w:r>
        <w:rPr>
          <w:rFonts w:hint="eastAsia" w:ascii="宋体" w:hAnsi="宋体"/>
        </w:rPr>
        <w:t>（3）操作风险：操作风险是指由于管理不善或者制度执行出现问题等原因所导致的风险。股票期权作为一种衍生品，虽然可以用来管理风险，但若使用不当，也会产生巨额损失。</w:t>
      </w:r>
    </w:p>
    <w:p>
      <w:pPr>
        <w:pStyle w:val="163"/>
        <w:rPr>
          <w:rFonts w:ascii="宋体" w:hAnsi="宋体"/>
        </w:rPr>
      </w:pPr>
      <w:r>
        <w:rPr>
          <w:rFonts w:hint="eastAsia" w:ascii="宋体" w:hAnsi="宋体"/>
          <w:lang w:val="en-US" w:eastAsia="zh-CN"/>
        </w:rPr>
        <w:t>6</w:t>
      </w:r>
      <w:r>
        <w:rPr>
          <w:rFonts w:hint="eastAsia" w:ascii="宋体" w:hAnsi="宋体"/>
        </w:rPr>
        <w:t>、资产支持证券（ABS）的投资风险</w:t>
      </w:r>
    </w:p>
    <w:p>
      <w:pPr>
        <w:pStyle w:val="163"/>
        <w:rPr>
          <w:rFonts w:ascii="宋体" w:hAnsi="宋体"/>
        </w:rPr>
      </w:pPr>
      <w:r>
        <w:rPr>
          <w:rFonts w:hint="eastAsia" w:ascii="宋体" w:hAnsi="宋体"/>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pPr>
        <w:pStyle w:val="163"/>
        <w:rPr>
          <w:rFonts w:ascii="宋体" w:hAnsi="宋体"/>
        </w:rPr>
      </w:pPr>
      <w:r>
        <w:rPr>
          <w:rFonts w:hint="eastAsia" w:ascii="宋体" w:hAnsi="宋体"/>
          <w:lang w:val="en-US" w:eastAsia="zh-CN"/>
        </w:rPr>
        <w:t>7</w:t>
      </w:r>
      <w:r>
        <w:rPr>
          <w:rFonts w:hint="eastAsia" w:ascii="宋体" w:hAnsi="宋体"/>
        </w:rPr>
        <w:t>、新股申购风险</w:t>
      </w:r>
    </w:p>
    <w:p>
      <w:pPr>
        <w:pStyle w:val="163"/>
        <w:rPr>
          <w:rFonts w:ascii="宋体" w:hAnsi="宋体"/>
        </w:rPr>
      </w:pPr>
      <w:r>
        <w:rPr>
          <w:rFonts w:hint="eastAsia" w:ascii="宋体" w:hAnsi="宋体"/>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w:t>
      </w:r>
    </w:p>
    <w:p>
      <w:pPr>
        <w:pStyle w:val="163"/>
        <w:rPr>
          <w:rFonts w:ascii="宋体" w:hAnsi="宋体"/>
        </w:rPr>
      </w:pPr>
      <w:r>
        <w:rPr>
          <w:rFonts w:hint="eastAsia" w:ascii="宋体" w:hAnsi="宋体"/>
          <w:lang w:val="en-US" w:eastAsia="zh-CN"/>
        </w:rPr>
        <w:t>8</w:t>
      </w:r>
      <w:r>
        <w:rPr>
          <w:rFonts w:hint="eastAsia" w:ascii="宋体" w:hAnsi="宋体"/>
        </w:rPr>
        <w:t>、融资及转融通证券出借业务的主要风险</w:t>
      </w:r>
    </w:p>
    <w:p>
      <w:pPr>
        <w:pStyle w:val="163"/>
        <w:rPr>
          <w:rFonts w:ascii="宋体" w:hAnsi="宋体"/>
        </w:rPr>
      </w:pPr>
      <w:r>
        <w:rPr>
          <w:rFonts w:hint="eastAsia" w:ascii="宋体" w:hAnsi="宋体"/>
        </w:rPr>
        <w:t>（1）流动性风险</w:t>
      </w:r>
    </w:p>
    <w:p>
      <w:pPr>
        <w:pStyle w:val="163"/>
        <w:rPr>
          <w:rFonts w:ascii="宋体" w:hAnsi="宋体"/>
        </w:rPr>
      </w:pPr>
      <w:r>
        <w:rPr>
          <w:rFonts w:hint="eastAsia" w:ascii="宋体" w:hAnsi="宋体"/>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pPr>
        <w:pStyle w:val="163"/>
        <w:rPr>
          <w:rFonts w:ascii="宋体" w:hAnsi="宋体"/>
        </w:rPr>
      </w:pPr>
      <w:r>
        <w:rPr>
          <w:rFonts w:hint="eastAsia" w:ascii="宋体" w:hAnsi="宋体"/>
        </w:rPr>
        <w:t>（2）交易对手违约风险</w:t>
      </w:r>
    </w:p>
    <w:p>
      <w:pPr>
        <w:pStyle w:val="163"/>
        <w:rPr>
          <w:rFonts w:ascii="宋体" w:hAnsi="宋体"/>
        </w:rPr>
      </w:pPr>
      <w:r>
        <w:rPr>
          <w:rFonts w:hint="eastAsia" w:ascii="宋体" w:hAnsi="宋体"/>
        </w:rPr>
        <w:t>存在由于交易对手违约而导致证券到期不能按时或足额归还、相应权益补偿和借券费用不能支付等交易对手违约风险。</w:t>
      </w:r>
    </w:p>
    <w:p>
      <w:pPr>
        <w:pStyle w:val="163"/>
        <w:rPr>
          <w:rFonts w:ascii="宋体" w:hAnsi="宋体"/>
        </w:rPr>
      </w:pPr>
      <w:r>
        <w:rPr>
          <w:rFonts w:hint="eastAsia" w:ascii="宋体" w:hAnsi="宋体"/>
        </w:rPr>
        <w:t>（3）市场风险</w:t>
      </w:r>
    </w:p>
    <w:p>
      <w:pPr>
        <w:pStyle w:val="163"/>
        <w:rPr>
          <w:rFonts w:ascii="宋体" w:hAnsi="宋体"/>
        </w:rPr>
      </w:pPr>
      <w:r>
        <w:rPr>
          <w:rFonts w:hint="eastAsia" w:ascii="宋体" w:hAnsi="宋体"/>
        </w:rPr>
        <w:t>转融通出借收益按照证券当日收市后市值、融出日（或展期日）费率和实际出借天数计算，因此可能面临证券市值波动、费率变动而导致的市场风险。</w:t>
      </w:r>
    </w:p>
    <w:p>
      <w:pPr>
        <w:pStyle w:val="163"/>
        <w:rPr>
          <w:rFonts w:ascii="宋体" w:hAnsi="宋体"/>
        </w:rPr>
      </w:pPr>
      <w:r>
        <w:rPr>
          <w:rFonts w:hint="eastAsia" w:ascii="宋体" w:hAnsi="宋体"/>
        </w:rPr>
        <w:t>（4）提前或延迟了结风险</w:t>
      </w:r>
    </w:p>
    <w:p>
      <w:pPr>
        <w:pStyle w:val="163"/>
        <w:rPr>
          <w:rFonts w:ascii="宋体" w:hAnsi="宋体"/>
        </w:rPr>
      </w:pPr>
      <w:r>
        <w:rPr>
          <w:rFonts w:hint="eastAsia" w:ascii="宋体" w:hAnsi="宋体"/>
        </w:rPr>
        <w:t>证券出借期间，如发生标的证券范围调整、标的证券暂停交易、标的证券对应的上市公司被以终止上市为目的进行收购、终止上市等情况，可能面临合约提前了结或延迟了结的风险。</w:t>
      </w:r>
    </w:p>
    <w:p>
      <w:pPr>
        <w:pStyle w:val="163"/>
        <w:rPr>
          <w:rFonts w:ascii="宋体" w:hAnsi="宋体"/>
        </w:rPr>
      </w:pPr>
      <w:r>
        <w:rPr>
          <w:rFonts w:hint="eastAsia" w:ascii="宋体" w:hAnsi="宋体"/>
        </w:rPr>
        <w:t>（5）跟踪误差风险</w:t>
      </w:r>
    </w:p>
    <w:p>
      <w:pPr>
        <w:pStyle w:val="163"/>
        <w:rPr>
          <w:rFonts w:ascii="宋体" w:hAnsi="宋体"/>
        </w:rPr>
      </w:pPr>
      <w:r>
        <w:rPr>
          <w:rFonts w:hint="eastAsia" w:ascii="宋体" w:hAnsi="宋体"/>
        </w:rPr>
        <w:t>对于指数型组合，当组合发生大额赎回或市场大幅波动时，存在由于转融通出借证券无法提前了结并变现，单一股票占比被动上升而导致组合跟踪误差扩大的风险。</w:t>
      </w:r>
    </w:p>
    <w:p>
      <w:pPr>
        <w:pStyle w:val="163"/>
        <w:rPr>
          <w:rFonts w:ascii="宋体" w:hAnsi="宋体"/>
        </w:rPr>
      </w:pPr>
      <w:r>
        <w:rPr>
          <w:rFonts w:hint="eastAsia" w:ascii="宋体" w:hAnsi="宋体"/>
        </w:rPr>
        <w:t>（6）杠杆效应放大风险</w:t>
      </w:r>
    </w:p>
    <w:p>
      <w:pPr>
        <w:pStyle w:val="163"/>
        <w:rPr>
          <w:rFonts w:ascii="宋体" w:hAnsi="宋体"/>
        </w:rPr>
      </w:pPr>
      <w:r>
        <w:rPr>
          <w:rFonts w:hint="eastAsia" w:ascii="宋体" w:hAnsi="宋体"/>
        </w:rPr>
        <w:t>投资者通过融资及转融通证券出借业务可以扩大交易额度，利用较少资本来获取较大利润</w:t>
      </w:r>
      <w:r>
        <w:rPr>
          <w:rFonts w:ascii="宋体" w:hAnsi="宋体"/>
        </w:rPr>
        <w:t>，</w:t>
      </w:r>
      <w:r>
        <w:rPr>
          <w:rFonts w:hint="eastAsia" w:ascii="宋体" w:hAnsi="宋体"/>
        </w:rPr>
        <w:t>这必然也放大了风险。投资者将股票作为担保品进行融资时，既需要承担原有的股票价格变化带来的风险，又得承担新投资股票带来的风险</w:t>
      </w:r>
      <w:r>
        <w:rPr>
          <w:rFonts w:ascii="宋体" w:hAnsi="宋体"/>
        </w:rPr>
        <w:t>，</w:t>
      </w:r>
      <w:r>
        <w:rPr>
          <w:rFonts w:hint="eastAsia" w:ascii="宋体" w:hAnsi="宋体"/>
        </w:rPr>
        <w:t>还得支付相应的利息或费用，如判断失误或操作不当</w:t>
      </w:r>
      <w:r>
        <w:rPr>
          <w:rFonts w:ascii="宋体" w:hAnsi="宋体"/>
        </w:rPr>
        <w:t>，</w:t>
      </w:r>
      <w:r>
        <w:rPr>
          <w:rFonts w:hint="eastAsia" w:ascii="宋体" w:hAnsi="宋体"/>
        </w:rPr>
        <w:t>会加大亏损。</w:t>
      </w:r>
    </w:p>
    <w:p>
      <w:pPr>
        <w:pStyle w:val="163"/>
        <w:rPr>
          <w:rFonts w:ascii="宋体" w:hAnsi="宋体"/>
        </w:rPr>
      </w:pPr>
      <w:r>
        <w:rPr>
          <w:rFonts w:hint="eastAsia" w:ascii="宋体" w:hAnsi="宋体"/>
        </w:rPr>
        <w:t>（7）担保能力及限制交易风险</w:t>
      </w:r>
    </w:p>
    <w:p>
      <w:pPr>
        <w:pStyle w:val="163"/>
        <w:rPr>
          <w:rFonts w:ascii="宋体" w:hAnsi="宋体"/>
        </w:rPr>
      </w:pPr>
      <w:r>
        <w:rPr>
          <w:rFonts w:hint="eastAsia" w:ascii="宋体" w:hAnsi="宋体"/>
        </w:rPr>
        <w:t>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w:t>
      </w:r>
      <w:r>
        <w:rPr>
          <w:rFonts w:ascii="宋体" w:hAnsi="宋体"/>
        </w:rPr>
        <w:t>，</w:t>
      </w:r>
      <w:r>
        <w:rPr>
          <w:rFonts w:hint="eastAsia" w:ascii="宋体" w:hAnsi="宋体"/>
        </w:rPr>
        <w:t>从而造成经济损失。</w:t>
      </w:r>
    </w:p>
    <w:p>
      <w:pPr>
        <w:pStyle w:val="163"/>
        <w:rPr>
          <w:rFonts w:ascii="宋体" w:hAnsi="宋体"/>
        </w:rPr>
      </w:pPr>
      <w:r>
        <w:rPr>
          <w:rFonts w:hint="eastAsia" w:ascii="宋体" w:hAnsi="宋体"/>
        </w:rPr>
        <w:t>（8）强制平仓风险</w:t>
      </w:r>
    </w:p>
    <w:p>
      <w:pPr>
        <w:pStyle w:val="163"/>
        <w:rPr>
          <w:rFonts w:ascii="宋体" w:hAnsi="宋体"/>
        </w:rPr>
      </w:pPr>
      <w:r>
        <w:rPr>
          <w:rFonts w:hint="eastAsia" w:ascii="宋体" w:hAnsi="宋体"/>
        </w:rPr>
        <w:t>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pPr>
        <w:pStyle w:val="163"/>
        <w:rPr>
          <w:rFonts w:ascii="宋体" w:hAnsi="宋体"/>
        </w:rPr>
      </w:pPr>
      <w:r>
        <w:rPr>
          <w:rFonts w:hint="eastAsia" w:ascii="宋体" w:hAnsi="宋体"/>
        </w:rPr>
        <w:t>（9）操作风险</w:t>
      </w:r>
    </w:p>
    <w:p>
      <w:pPr>
        <w:pStyle w:val="163"/>
        <w:rPr>
          <w:rFonts w:ascii="宋体" w:hAnsi="宋体"/>
        </w:rPr>
      </w:pPr>
      <w:r>
        <w:rPr>
          <w:rFonts w:hint="eastAsia" w:ascii="宋体" w:hAnsi="宋体"/>
        </w:rPr>
        <w:t>融资交易和转融通业务具体实施过程中，在投资决策、交易等环节，可能面临由于操作人员操作失误、系统不完善等原因引发的操作风险。</w:t>
      </w:r>
    </w:p>
    <w:p>
      <w:pPr>
        <w:pStyle w:val="163"/>
        <w:rPr>
          <w:rFonts w:ascii="宋体" w:hAnsi="宋体"/>
        </w:rPr>
      </w:pPr>
      <w:r>
        <w:rPr>
          <w:rFonts w:hint="eastAsia" w:ascii="宋体" w:hAnsi="宋体"/>
        </w:rPr>
        <w:t>（10）法律合规风险</w:t>
      </w:r>
    </w:p>
    <w:p>
      <w:pPr>
        <w:pStyle w:val="163"/>
        <w:rPr>
          <w:rFonts w:ascii="宋体" w:hAnsi="宋体"/>
        </w:rPr>
      </w:pPr>
      <w:r>
        <w:rPr>
          <w:rFonts w:hint="eastAsia" w:ascii="宋体" w:hAnsi="宋体"/>
        </w:rPr>
        <w:t>在融资交易和转融通证券出借过程中，存在由于标的证券价格波动导致组合合规指标超标且无法进行调整的风险，以及在业务开展过程中发生操纵价格、利益输送等法律合规风险。</w:t>
      </w:r>
    </w:p>
    <w:p>
      <w:pPr>
        <w:pStyle w:val="163"/>
        <w:rPr>
          <w:rFonts w:ascii="宋体" w:hAnsi="宋体"/>
        </w:rPr>
      </w:pPr>
      <w:r>
        <w:rPr>
          <w:rFonts w:hint="eastAsia" w:ascii="宋体" w:hAnsi="宋体"/>
          <w:lang w:val="en-US" w:eastAsia="zh-CN"/>
        </w:rPr>
        <w:t>9</w:t>
      </w:r>
      <w:r>
        <w:rPr>
          <w:rFonts w:hint="eastAsia" w:ascii="宋体" w:hAnsi="宋体"/>
        </w:rPr>
        <w:t>、投资于存托凭证的风险</w:t>
      </w:r>
    </w:p>
    <w:p>
      <w:pPr>
        <w:pStyle w:val="163"/>
        <w:rPr>
          <w:rFonts w:ascii="宋体" w:hAnsi="宋体"/>
        </w:rPr>
      </w:pPr>
      <w:r>
        <w:rPr>
          <w:rFonts w:hint="eastAsia" w:ascii="宋体" w:hAnsi="宋体"/>
        </w:rPr>
        <w:t>本基金的投资范围包括存托凭证，除与其他仅投资于</w:t>
      </w:r>
      <w:r>
        <w:rPr>
          <w:rFonts w:ascii="宋体" w:hAnsi="宋体"/>
        </w:rPr>
        <w:t>境内</w:t>
      </w:r>
      <w:r>
        <w:rPr>
          <w:rFonts w:hint="eastAsia" w:ascii="宋体" w:hAnsi="宋体"/>
        </w:rPr>
        <w:t>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pStyle w:val="163"/>
        <w:ind w:firstLine="422"/>
        <w:rPr>
          <w:rFonts w:ascii="宋体" w:hAnsi="宋体"/>
          <w:b/>
        </w:rPr>
      </w:pPr>
      <w:r>
        <w:rPr>
          <w:rFonts w:hint="eastAsia" w:ascii="宋体" w:hAnsi="宋体"/>
          <w:b/>
        </w:rPr>
        <w:t>三、本基金法律文件风险收益特征表述与销售机构基金风险评价可能不一致的风险</w:t>
      </w:r>
    </w:p>
    <w:p>
      <w:pPr>
        <w:pStyle w:val="163"/>
        <w:rPr>
          <w:rFonts w:ascii="宋体" w:hAnsi="宋体"/>
        </w:rPr>
      </w:pPr>
      <w:r>
        <w:rPr>
          <w:rFonts w:hint="eastAsia" w:ascii="宋体" w:hAnsi="宋体"/>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等级之间的匹配检验。</w:t>
      </w:r>
    </w:p>
    <w:p>
      <w:pPr>
        <w:pStyle w:val="163"/>
        <w:ind w:firstLine="422"/>
        <w:rPr>
          <w:rFonts w:ascii="宋体" w:hAnsi="宋体"/>
          <w:b/>
        </w:rPr>
      </w:pPr>
      <w:r>
        <w:rPr>
          <w:rFonts w:ascii="宋体" w:hAnsi="宋体"/>
          <w:b/>
        </w:rPr>
        <w:t>四</w:t>
      </w:r>
      <w:r>
        <w:rPr>
          <w:rFonts w:hint="eastAsia" w:ascii="宋体" w:hAnsi="宋体"/>
          <w:b/>
        </w:rPr>
        <w:t>、其他风险</w:t>
      </w:r>
    </w:p>
    <w:p>
      <w:pPr>
        <w:pStyle w:val="163"/>
        <w:rPr>
          <w:rFonts w:ascii="宋体" w:hAnsi="宋体"/>
        </w:rPr>
      </w:pPr>
      <w:r>
        <w:rPr>
          <w:rFonts w:ascii="宋体" w:hAnsi="宋体"/>
        </w:rPr>
        <w:t>1</w:t>
      </w:r>
      <w:r>
        <w:rPr>
          <w:rFonts w:hint="eastAsia" w:ascii="宋体" w:hAnsi="宋体"/>
        </w:rPr>
        <w:t>、因技术因素而产生的风险，如电脑系统不可靠产生的风险；</w:t>
      </w:r>
    </w:p>
    <w:p>
      <w:pPr>
        <w:pStyle w:val="163"/>
        <w:rPr>
          <w:rFonts w:ascii="宋体" w:hAnsi="宋体"/>
        </w:rPr>
      </w:pPr>
      <w:r>
        <w:rPr>
          <w:rFonts w:ascii="宋体" w:hAnsi="宋体"/>
        </w:rPr>
        <w:t>2</w:t>
      </w:r>
      <w:r>
        <w:rPr>
          <w:rFonts w:hint="eastAsia" w:ascii="宋体" w:hAnsi="宋体"/>
        </w:rPr>
        <w:t>、因业务快速发展而在制度建设、人员配备、内控制度建立等不完善而产生的风险；</w:t>
      </w:r>
    </w:p>
    <w:p>
      <w:pPr>
        <w:pStyle w:val="163"/>
        <w:rPr>
          <w:rFonts w:ascii="宋体" w:hAnsi="宋体"/>
        </w:rPr>
      </w:pPr>
      <w:r>
        <w:rPr>
          <w:rFonts w:ascii="宋体" w:hAnsi="宋体"/>
        </w:rPr>
        <w:t>3</w:t>
      </w:r>
      <w:r>
        <w:rPr>
          <w:rFonts w:hint="eastAsia" w:ascii="宋体" w:hAnsi="宋体"/>
        </w:rPr>
        <w:t>、因人为因素而产生的风险、如内幕交易、欺诈行为等产生的风险；</w:t>
      </w:r>
    </w:p>
    <w:p>
      <w:pPr>
        <w:pStyle w:val="163"/>
        <w:rPr>
          <w:rFonts w:ascii="宋体" w:hAnsi="宋体"/>
        </w:rPr>
      </w:pPr>
      <w:r>
        <w:rPr>
          <w:rFonts w:ascii="宋体" w:hAnsi="宋体"/>
        </w:rPr>
        <w:t>4</w:t>
      </w:r>
      <w:r>
        <w:rPr>
          <w:rFonts w:hint="eastAsia" w:ascii="宋体" w:hAnsi="宋体"/>
        </w:rPr>
        <w:t>、对主要业务人员如基金经理的依赖而可能产生的风险；</w:t>
      </w:r>
    </w:p>
    <w:p>
      <w:pPr>
        <w:pStyle w:val="163"/>
        <w:rPr>
          <w:rFonts w:ascii="宋体" w:hAnsi="宋体"/>
        </w:rPr>
      </w:pPr>
      <w:r>
        <w:rPr>
          <w:rFonts w:ascii="宋体" w:hAnsi="宋体"/>
        </w:rPr>
        <w:t>5</w:t>
      </w:r>
      <w:r>
        <w:rPr>
          <w:rFonts w:hint="eastAsia" w:ascii="宋体" w:hAnsi="宋体"/>
        </w:rPr>
        <w:t>、因业务竞争压力可能产生的风险；</w:t>
      </w:r>
    </w:p>
    <w:p>
      <w:pPr>
        <w:pStyle w:val="163"/>
        <w:rPr>
          <w:rFonts w:ascii="宋体" w:hAnsi="宋体"/>
        </w:rPr>
      </w:pPr>
      <w:r>
        <w:rPr>
          <w:rFonts w:ascii="宋体" w:hAnsi="宋体"/>
        </w:rPr>
        <w:t>6</w:t>
      </w:r>
      <w:r>
        <w:rPr>
          <w:rFonts w:hint="eastAsia" w:ascii="宋体" w:hAnsi="宋体"/>
        </w:rPr>
        <w:t>、不可抗力可能导致基金资产的损失，影响基金收益水平，从而带来风险；</w:t>
      </w:r>
    </w:p>
    <w:p>
      <w:pPr>
        <w:pStyle w:val="163"/>
        <w:rPr>
          <w:rFonts w:ascii="宋体" w:hAnsi="宋体"/>
        </w:rPr>
      </w:pPr>
      <w:r>
        <w:rPr>
          <w:rFonts w:ascii="宋体" w:hAnsi="宋体"/>
        </w:rPr>
        <w:t>7</w:t>
      </w:r>
      <w:r>
        <w:rPr>
          <w:rFonts w:hint="eastAsia" w:ascii="宋体" w:hAnsi="宋体"/>
        </w:rPr>
        <w:t>、其他意外导致的风险。</w:t>
      </w:r>
    </w:p>
    <w:p>
      <w:pPr>
        <w:pStyle w:val="163"/>
        <w:ind w:firstLine="422"/>
        <w:rPr>
          <w:rFonts w:ascii="宋体" w:hAnsi="宋体"/>
          <w:b/>
        </w:rPr>
      </w:pPr>
      <w:r>
        <w:rPr>
          <w:rFonts w:hint="eastAsia" w:ascii="宋体" w:hAnsi="宋体"/>
          <w:b/>
        </w:rPr>
        <w:t>五</w:t>
      </w:r>
      <w:r>
        <w:rPr>
          <w:rFonts w:ascii="宋体" w:hAnsi="宋体"/>
          <w:b/>
        </w:rPr>
        <w:t>、声明</w:t>
      </w:r>
    </w:p>
    <w:p>
      <w:pPr>
        <w:pStyle w:val="163"/>
        <w:rPr>
          <w:rFonts w:ascii="宋体" w:hAnsi="宋体"/>
        </w:rPr>
      </w:pPr>
      <w:r>
        <w:rPr>
          <w:rFonts w:ascii="宋体" w:hAnsi="宋体"/>
        </w:rPr>
        <w:t>1、投资者投资于本基金，须自行承担投资风险；</w:t>
      </w:r>
    </w:p>
    <w:p>
      <w:pPr>
        <w:snapToGrid w:val="0"/>
        <w:spacing w:line="360" w:lineRule="auto"/>
        <w:ind w:firstLine="420" w:firstLineChars="200"/>
        <w:rPr>
          <w:rFonts w:hAnsi="宋体"/>
          <w:szCs w:val="21"/>
        </w:rPr>
        <w:sectPr>
          <w:footerReference r:id="rId27" w:type="first"/>
          <w:pgSz w:w="11906" w:h="16838"/>
          <w:pgMar w:top="1440" w:right="1800" w:bottom="1440" w:left="1800" w:header="851" w:footer="992" w:gutter="0"/>
          <w:pgNumType w:start="1"/>
          <w:cols w:space="425" w:num="1"/>
          <w:titlePg/>
          <w:docGrid w:type="lines" w:linePitch="312" w:charSpace="0"/>
        </w:sectPr>
      </w:pPr>
      <w:r>
        <w:rPr>
          <w:rFonts w:ascii="宋体" w:hAnsi="宋体"/>
        </w:rPr>
        <w:t>2、除基金管理人直接办理本基金的销售外，本基金还通过基金</w:t>
      </w:r>
      <w:r>
        <w:rPr>
          <w:rFonts w:hint="eastAsia" w:ascii="宋体" w:hAnsi="宋体"/>
        </w:rPr>
        <w:t>销售</w:t>
      </w:r>
      <w:r>
        <w:rPr>
          <w:rFonts w:ascii="宋体" w:hAnsi="宋体"/>
        </w:rPr>
        <w:t>机构代理销售，基金管理人与基金代销机构都不能保证其收益或本金安全</w:t>
      </w:r>
      <w:r>
        <w:rPr>
          <w:rFonts w:hint="eastAsia" w:ascii="宋体" w:hAnsi="宋体"/>
        </w:rPr>
        <w:t>。</w:t>
      </w:r>
    </w:p>
    <w:p>
      <w:pPr>
        <w:pStyle w:val="3"/>
        <w:numPr>
          <w:ilvl w:val="0"/>
          <w:numId w:val="26"/>
        </w:numPr>
        <w:snapToGrid w:val="0"/>
        <w:spacing w:before="0" w:after="0" w:line="360" w:lineRule="auto"/>
        <w:jc w:val="center"/>
        <w:rPr>
          <w:rFonts w:ascii="黑体"/>
          <w:color w:val="000000"/>
        </w:rPr>
      </w:pPr>
      <w:bookmarkStart w:id="153" w:name="_Toc375295990"/>
      <w:bookmarkStart w:id="154" w:name="_Toc411872039"/>
      <w:bookmarkStart w:id="155" w:name="_Toc336606244"/>
      <w:bookmarkStart w:id="156" w:name="_Toc332013127"/>
      <w:bookmarkStart w:id="157" w:name="_Toc92740301"/>
      <w:bookmarkStart w:id="158" w:name="_Toc327902639"/>
      <w:bookmarkStart w:id="159" w:name="_Toc369510025"/>
      <w:bookmarkStart w:id="160" w:name="_Toc335899850"/>
      <w:r>
        <w:rPr>
          <w:rFonts w:hint="eastAsia"/>
        </w:rPr>
        <w:t>基金合同的变更、终止和基金财产的清算</w:t>
      </w:r>
      <w:bookmarkEnd w:id="153"/>
      <w:bookmarkEnd w:id="154"/>
      <w:bookmarkEnd w:id="155"/>
      <w:bookmarkEnd w:id="156"/>
      <w:bookmarkEnd w:id="157"/>
      <w:bookmarkEnd w:id="158"/>
      <w:bookmarkEnd w:id="159"/>
      <w:bookmarkEnd w:id="160"/>
    </w:p>
    <w:p>
      <w:pPr>
        <w:adjustRightInd w:val="0"/>
        <w:snapToGri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一、《基金合同》的变更</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2、关于《基金合同》变更的基金份额持有人大会决议自生效后方可执行，自决议生效后按规定在规定媒介公告。</w:t>
      </w:r>
    </w:p>
    <w:p>
      <w:pPr>
        <w:adjustRightInd w:val="0"/>
        <w:snapToGri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二、《基金合同》的终止事由</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有下列情形之一的，经履行相关程序后，《基金合同》应当终止：</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1、基金份额持有人大会决定终止的；</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2、基金管理人、基金托管人职责终止，在6个月内没有新基金管理人、新基金托管人承接的；</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3、《基金合同》约定的其他情形；</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4、相关法律法规和中国证监会规定的其他情况。</w:t>
      </w:r>
    </w:p>
    <w:p>
      <w:pPr>
        <w:adjustRightInd w:val="0"/>
        <w:snapToGri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三、基金财产的清算</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1、基金财产清算小组：自出现《基金合同》终止事由之日起30个工作日内成立基金财产清算小组，基金管理人组织基金财产清算小组并在中国证监会的监督下进行基金清算。</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2、在基金财产清算小组接管基金财产之前，基金管理人和基金托管人应按照《基金合同》和托管协议的规定继续履行保护基金财产安全的职责。</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3、基金财产清算小组组成：基金财产清算小组成员由基金管理人、基金托管人、具有从事证券相关业务资格的注册会计师、律师以及中国证监会指定的人员组成。基金财产清算小组可以聘用必要的工作人员。</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4、基金财产清算小组职责：基金财产清算小组负责基金财产的保管、清理、估价、变现和分配。基金财产清算小组可以依法进行必要的民事活动。</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5、在基金财产清算过程中，基金管理人和基金托管人应各自履行职责，继续忠实、勤勉、尽责地履行基金合同和托管协议规定的义务，维护基金份额持有人的合法权益。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6、基金财产清算程序：</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（1）《基金合同》终止情形出现时，由基金财产清算小组统一接管基金财产；</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（2）对基金财产和债权债务进行清理和确认；</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（3）对基金财产进行估值和变现；</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（4）制作清算报告；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（5）聘请会计师事务所对清算报告进行外部审计，聘请律师事务所对清算报告出具法律意见书；</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（6）将清算报告报中国证监会备案并公告；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（7）对基金剩余财产进行分配。</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7、基金财产清算的期限为6个月，但因本基金所持证券的流动性受到限制而不能及时变现的，清算期限可相应顺延。</w:t>
      </w:r>
    </w:p>
    <w:p>
      <w:pPr>
        <w:adjustRightInd w:val="0"/>
        <w:snapToGri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四、清算费用</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清算费用是指基金财产清算小组在进行基金清算过程中发生的所有合理费用，清算费用由基金财产清算小组优先从基金剩余财产中支付。</w:t>
      </w:r>
    </w:p>
    <w:p>
      <w:pPr>
        <w:adjustRightInd w:val="0"/>
        <w:snapToGri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五、基金财产清算剩余资产的分配</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依据基金财产清算的分配方案，将基金财产清算后的全部剩余资产扣除基金财产清算费用、交纳所欠税款并清偿基金债务后，按基金份额持有人持有的各类基金份额比例进行分配。</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其中，对于投资者在直销机构保有的C类基金份额计提的销售服务费，或者在其他销售机构保有且持续持有期限超过一年的C类基金份额继续计提的销售服务费，将在基金合同终止时随剩余资产分配款项一并返还给投资者。</w:t>
      </w:r>
    </w:p>
    <w:p>
      <w:pPr>
        <w:adjustRightInd w:val="0"/>
        <w:snapToGri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六、基金财产清算的公告</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djustRightInd w:val="0"/>
        <w:snapToGri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七、基金财产清算账册及文件的保存</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基金财产清算账册及有关文件由基金托管人保存，保存期限不低于法律法规规定的最低期限。</w:t>
      </w:r>
    </w:p>
    <w:p>
      <w:pPr>
        <w:adjustRightInd w:val="0"/>
        <w:snapToGri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八、基金合并</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本基金与其他基金的合并应当按照法律法规规定的程序进行。</w:t>
      </w:r>
    </w:p>
    <w:p>
      <w:pPr>
        <w:widowControl/>
        <w:snapToGrid w:val="0"/>
        <w:spacing w:line="360" w:lineRule="auto"/>
        <w:jc w:val="left"/>
        <w:rPr>
          <w:color w:val="000000"/>
        </w:rPr>
        <w:sectPr>
          <w:footerReference r:id="rId28" w:type="firs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pPr>
      <w:bookmarkStart w:id="161" w:name="_Toc332013128"/>
      <w:bookmarkStart w:id="162" w:name="_Toc336606245"/>
      <w:bookmarkStart w:id="163" w:name="_Toc375295991"/>
      <w:bookmarkStart w:id="164" w:name="_Toc411872040"/>
      <w:bookmarkStart w:id="165" w:name="_Toc335899851"/>
      <w:bookmarkStart w:id="166" w:name="_Toc327902640"/>
      <w:bookmarkStart w:id="167" w:name="_Toc369510026"/>
      <w:bookmarkStart w:id="168" w:name="_Toc92740302"/>
      <w:r>
        <w:rPr>
          <w:rFonts w:hint="eastAsia"/>
        </w:rPr>
        <w:t>基金合同的内容摘要</w:t>
      </w:r>
      <w:bookmarkEnd w:id="161"/>
      <w:bookmarkEnd w:id="162"/>
      <w:bookmarkEnd w:id="163"/>
      <w:bookmarkEnd w:id="164"/>
      <w:bookmarkEnd w:id="165"/>
      <w:bookmarkEnd w:id="166"/>
      <w:bookmarkEnd w:id="167"/>
      <w:bookmarkEnd w:id="168"/>
    </w:p>
    <w:p>
      <w:pPr>
        <w:adjustRightInd w:val="0"/>
        <w:snapToGrid w:val="0"/>
        <w:spacing w:line="360" w:lineRule="auto"/>
        <w:ind w:firstLine="426" w:firstLineChars="202"/>
        <w:rPr>
          <w:rFonts w:asciiTheme="minorEastAsia" w:hAnsiTheme="minorEastAsia" w:eastAsiaTheme="minorEastAsia"/>
          <w:szCs w:val="21"/>
        </w:rPr>
      </w:pPr>
      <w:r>
        <w:rPr>
          <w:rFonts w:hint="eastAsia" w:asciiTheme="minorEastAsia" w:hAnsiTheme="minorEastAsia" w:eastAsiaTheme="minorEastAsia"/>
          <w:b/>
          <w:bCs/>
          <w:szCs w:val="21"/>
        </w:rPr>
        <w:t>一、基金份额持有人、基金管理人和基金托管人的权利、义务</w:t>
      </w:r>
    </w:p>
    <w:p>
      <w:pPr>
        <w:adjustRightInd w:val="0"/>
        <w:snapToGrid w:val="0"/>
        <w:spacing w:line="360" w:lineRule="auto"/>
        <w:ind w:firstLine="424" w:firstLineChars="202"/>
        <w:rPr>
          <w:rFonts w:asciiTheme="minorEastAsia" w:hAnsiTheme="minorEastAsia" w:eastAsiaTheme="minorEastAsia"/>
          <w:szCs w:val="21"/>
        </w:rPr>
      </w:pPr>
      <w:bookmarkStart w:id="169" w:name="OLE_LINK9"/>
      <w:bookmarkStart w:id="170" w:name="OLE_LINK10"/>
      <w:r>
        <w:rPr>
          <w:rFonts w:hint="eastAsia" w:asciiTheme="minorEastAsia" w:hAnsiTheme="minorEastAsia" w:eastAsiaTheme="minorEastAsia"/>
          <w:szCs w:val="21"/>
        </w:rPr>
        <w:t>（一）基金管理人的权利与义务</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1、根据《基金法》、《运作办法》及其他有关规定，基金管理人的权利包括但不限于：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（1）依法募集资金；</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（2）自《基金合同》生效之日起，根据法律法规和《基金合同》独立运用并管理基金财产；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（3）依照《基金合同》收取基金管理费以及法律法规规定或中国证监会批准的其他费用；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（4）销售基金份额；</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（5）按照规定召集基金份额持有人大会；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（7）在基金托管人更换时，提名新的基金托管人；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（8）选择、更换基金销售机构，对基金销售机构的相关行为进行监督和处理； </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（9）担任或委托其他符合条件的机构担任基金登记机构办理基金登记业务并获得《基金合同》规定的费用； </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（10）依据《基金合同》及有关法律规定决定基金收益的分配方案；</w:t>
      </w:r>
      <w:r>
        <w:rPr>
          <w:rFonts w:hint="eastAsia" w:asciiTheme="minorEastAsia" w:hAnsiTheme="minorEastAsia" w:eastAsiaTheme="minorEastAsia"/>
        </w:rPr>
        <w:tab/>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（11）在《基金合同》约定的范围内，拒绝或暂停受理申购、赎回与转换申请； </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（12）依照法律法规为基金的利益对被投资公司行使股东权利，为基金的利益行使因基金财产投资于证券所产生的权利；</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（13）在法律法规允许的前提下，为基金的利益依法为基金进行融资及转融通证券出借业务；</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（14）以基金管理人的名义，代表基金份额持有人的利益行使诉讼权利或者实施其他法律行为；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（15）选择、更换律师事务所、会计师事务所、证券、期货经纪商或其他为基金提供服务的外部机构；</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（16）在符合有关法律、法规的前提下，制订和调整有关基金认购、申购、赎回、转换、定期定额投资和非交易过户等业务规则；</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（17）法律法规及中国证监会规定的和《基金合同》约定的其他权利。</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2、根据《基金法》、《运作办法》及其他有关规定，基金管理人的义务包括但不限于：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（1）依法募集资金，办理或者委托经中国证监会认定的其他机构代为办理基金份额的发售、申购、赎回和登记事宜；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（2）办理基金备案手续；</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（3）自《基金合同》生效之日起，以诚实信用、谨慎勤勉的原则管理和运用基金财产；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（4）配备足够的具有专业资格的人员进行基金投资分析、决策，以专业化的经营方式管理和运作基金财产；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（6）除依据《基金法》、《基金合同》及其他有关规定外，不得利用基金财产为自己及任何第三人谋取利益，不得委托第三人运作基金财产；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（7）依法接受基金托管人的监督；</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（9）进行基金会计核算并编制基金财务会计报告；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（10）编制季度报告、中期报告和年度报告；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（11）严格按照《基金法》、《基金合同》及其他有关规定，履行信息披露及报告义务；</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保守基金商业秘密，不泄露基金投资计划、投资意向等。除《基金法》、《基金合同》及其他有关规定另有规定外，在基金信息公开披露前应予保密，不向他人泄露，但因监管机构、司法机关要求，或因审计、法律等外部专业顾问提供服务需要提供的情况除外；</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（13）按《基金合同》的约定确定基金收益分配方案，及时向基金份额持有人分配基金收益；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（14）按规定受理申购与赎回申请，及时、足额支付赎回款项；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（15）依据《基金法》、《基金合同》及其他有关规定召集基金份额持有人大会或配合基金托管人、基金份额持有人依法召集基金份额持有人大会；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（16）按规定保存基金财产管理业务活动的会计账册、报表、记录和其他相关资料，保存期限不低于法律法规规定的最低期限；</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（18）组织并参加基金财产清算小组，参与基金财产的保管、清理、估价、变现和分配；</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（19）面临解散、依法被撤销或者被依法宣告破产时，及时报告中国证监会并通知基金托管人；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（20）因违反《基金合同》导致基金财产的损失或损害基金份额持有人合法权益时，应当承担赔偿责任，其赔偿责任不因其退任而免除；</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（22）当基金管理人将其义务委托第三方处理时，应当对第三方处理有关基金事务的行为承担责任；</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（23）以基金管理人名义，代表基金份额持有人利益行使诉讼权利或实施其他法律行为；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（24）基金在募集期间未能达到基金的备案条件，《基金合同》不能生效，基金管理人承担全部募集费用，将已募集资金并加计银行同期活期存款利息在基金募集期结束后30日内退还基金认购人；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（25）执行生效的基金份额持有人大会的决议；</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（26）建立并保存基金份额持有人名册；</w:t>
      </w:r>
    </w:p>
    <w:p>
      <w:pPr>
        <w:adjustRightInd w:val="0"/>
        <w:snapToGrid w:val="0"/>
        <w:spacing w:line="360" w:lineRule="auto"/>
        <w:ind w:firstLine="424" w:firstLineChars="202"/>
        <w:rPr>
          <w:rFonts w:asciiTheme="minorEastAsia" w:hAnsiTheme="minorEastAsia" w:eastAsiaTheme="minorEastAsia"/>
          <w:szCs w:val="21"/>
        </w:rPr>
      </w:pPr>
      <w:r>
        <w:rPr>
          <w:rFonts w:hint="eastAsia" w:asciiTheme="minorEastAsia" w:hAnsiTheme="minorEastAsia" w:eastAsiaTheme="minorEastAsia"/>
        </w:rPr>
        <w:t>（27）法律法规及中国证监会规定的和《基金合同》约定的其他义务。</w:t>
      </w:r>
    </w:p>
    <w:bookmarkEnd w:id="169"/>
    <w:bookmarkEnd w:id="170"/>
    <w:p>
      <w:pPr>
        <w:adjustRightInd w:val="0"/>
        <w:snapToGrid w:val="0"/>
        <w:spacing w:line="360" w:lineRule="auto"/>
        <w:ind w:firstLine="424" w:firstLineChars="202"/>
        <w:rPr>
          <w:rFonts w:asciiTheme="minorEastAsia" w:hAnsiTheme="minorEastAsia" w:eastAsiaTheme="minorEastAsia"/>
          <w:szCs w:val="21"/>
        </w:rPr>
      </w:pPr>
      <w:r>
        <w:rPr>
          <w:rFonts w:hint="eastAsia" w:asciiTheme="minorEastAsia" w:hAnsiTheme="minorEastAsia" w:eastAsiaTheme="minorEastAsia"/>
          <w:szCs w:val="21"/>
        </w:rPr>
        <w:t>（二）基金托管人的权利与义务</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1、根据《基金法》、《运作办法》及其他有关规定，基金托管人的权利包括但不限于：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（1）自《基金合同》生效之日起，依法律法规和《基金合同》的规定安全保管基金财产；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（2）依《基金合同》约定获得基金托管费以及法律法规规定或监管部门批准的其他费用；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（4）根据相关市场规则，为基金开设资金账户、证券账户等投资所需账户，为基金办理证券交易资金清算；</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（5）提议召开或召集基金份额持有人大会；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（6）在基金管理人更换时，提名新的基金管理人；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（7）法律法规及中国证监会规定的和《基金合同》约定的其他权利。</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2、根据《基金法》、《运作办法》及其他有关规定，基金托管人的义务包括但不限于：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（1）以诚实信用、勤勉尽责的原则持有并安全保管基金财产；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（2）设立专门的基金托管部门，具有符合要求的营业场所，配备足够的、合格的熟悉基金托管业务的专职人员，负责基金财产托管事宜；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（4）除依据《基金法》、《基金合同》及其他有关规定外，不得利用基金财产为自己及任何第三人谋取利益，不得委托第三人托管基金财产；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（5）保管由基金管理人代表基金签订的与基金有关的重大合同及有关凭证；</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（6）按规定开设基金财产的资金账户和证券账户等投资所需账户，按照《基金合同》的约定，根据基金管理人的投资指令，及时办理清算、交割事宜；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保守基金商业秘密，除《基金法》、《基金合同》及其他有关规定另有规定外，在基金信息公开披露前予以保密，不得向他人泄露，但因监管机构、司法机关要求，或因审计、法律等外部专业顾问提供服务需要提供的情况除外；</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（8）复核、审查基金管理人计算的基金资产净值、各类基金份额净值；</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（9）办理与基金托管业务活动有关的信息披露事项；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（11）保存基金托管业务活动的记录、账册、报表和其他相关资料不低于法律法规规定的最低期限；</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（12）从基金管理人处接收并保存基金份额持有人名册；</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（13）按规定制作相关账册并与基金管理人核对；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（14）依据基金管理人的指令或有关规定向基金份额持有人支付基金收益和赎回款项；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（15）依据《基金法》、《基金合同》及其他有关规定，召集基金份额持有人大会或配合基金管理人、基金份额持有人依法召集基金份额持有人大会；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（16）按照法律法规和《基金合同》的规定监督基金管理人的投资运作；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（17）参加基金财产清算小组，参与基金财产的保管、清理、估价、变现和分配；</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（18）面临解散、依法被撤销或者被依法宣告破产时，及时报告中国证监会和银行业监督管理机构，并通知基金管理人；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（19）因违反《基金合同》导致基金财产损失时，应承担赔偿责任，其赔偿责任不因其退任而免除；</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（21）执行生效的基金份额持有人大会的决议；</w:t>
      </w:r>
    </w:p>
    <w:p>
      <w:pPr>
        <w:autoSpaceDE w:val="0"/>
        <w:autoSpaceDN w:val="0"/>
        <w:adjustRightIn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rPr>
        <w:t>（22）法律法规及中国证监会规定的和《基金合同》约定的其他义务。</w:t>
      </w:r>
    </w:p>
    <w:p>
      <w:pPr>
        <w:autoSpaceDE w:val="0"/>
        <w:autoSpaceDN w:val="0"/>
        <w:adjustRightInd w:val="0"/>
        <w:spacing w:line="360" w:lineRule="auto"/>
        <w:ind w:firstLine="420" w:firstLineChars="200"/>
        <w:rPr>
          <w:rFonts w:asciiTheme="minorEastAsia" w:hAnsiTheme="minorEastAsia" w:eastAsiaTheme="minorEastAsia"/>
        </w:rPr>
      </w:pPr>
      <w:bookmarkStart w:id="171" w:name="OLE_LINK14"/>
      <w:bookmarkStart w:id="172" w:name="OLE_LINK13"/>
      <w:r>
        <w:rPr>
          <w:rFonts w:hint="eastAsia" w:asciiTheme="minorEastAsia" w:hAnsiTheme="minorEastAsia" w:eastAsiaTheme="minorEastAsia"/>
        </w:rPr>
        <w:t>（三）基金份额持有人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除法律法规另有规定或本基金合同另有约定外，同一类别每份基金份额具有同等的合法权益。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1、根据《基金法》、《运作办法》及其他有关规定，基金份额持有人的权利包括但不限于：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（1）分享基金财产收益；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（2）参与分配清算后的剩余基金财产；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（3）依法转让或者申请赎回其持有的基金份额；</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（4）按照规定要求召开基金份额持有人大会或者召集基金份额持有人大会；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（5）出席或者委派代表出席基金份额持有人大会，对基金份额持有人大会审议事项行使表决权；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（6）查阅或者复制公开披露的基金信息资料；</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（7）监督基金管理人的投资运作；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（8）对基金管理人、基金托管人、基金服务机构损害其合法权益的行为依法提起诉讼或仲裁；</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（9）法律法规及中国证监会规定的和《基金合同》约定的其他权利。</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2、根据《基金法》、《运作办法》及其他有关规定，基金份额持有人的义务包括但不限于：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（1）认真阅读并遵守《基金合同》、招募说明书等信息披露文件；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（2）了解所投资基金产品，了解自身风险承受能力，自主判断基金的投资价值，自主做出投资决策，自行承担投资风险；</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（3）关注基金信息披露，及时行使权利和履行义务；</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（4）交纳基金认购、申购款项及法律法规和《基金合同》所规定的费用；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（5）在其持有的基金份额范围内，承担基金亏损或者《基金合同》终止的有限责任；</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（6）不从事任何有损基金及其他《基金合同》当事人合法权益的活动；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（7）执行生效的基金份额持有人大会的决议；</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（8）返还在基金交易过程中因任何原因获得的不当得利；</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（9）法律法规及中国证监会规定的和《基金合同》约定的其他义务。</w:t>
      </w:r>
    </w:p>
    <w:bookmarkEnd w:id="171"/>
    <w:bookmarkEnd w:id="172"/>
    <w:p>
      <w:pPr>
        <w:autoSpaceDE w:val="0"/>
        <w:autoSpaceDN w:val="0"/>
        <w:adjustRightIn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二、基金份额持有人大会召集、议事及表决的程序和规则</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本基金份额持有人大会不设日常机构。</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（一）召开事由</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1、除法律法规和中国证监会另有规定或《基金合同》另有约定外，当出现或需要决定下列事由之一的，应当召开基金份额持有人大会：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（1）终止《基金合同》；</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（2）更换基金管理人；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（3）更换基金托管人；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（4）转换基金运作方式；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（5）调整基金管理人、基金托管人的报酬标准或提高销售服务费率；</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（6）变更基金类别；</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（7）本基金与其他基金的合并；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（8）变更基金投资目标、范围或策略；</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（9）变更基金份额持有人大会程序；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（10）基金管理人或基金托管人要求召开基金份额持有人大会；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（12）对基金合同当事人权利和义务产生重大影响的其他事项；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（13）法律法规、《基金合同》或中国证监会规定的其他应当召开基金份额持有人大会的事项。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（1）法律法规要求增加的基金费用的收取；</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（2）调整本基金的申购费率、调低销售服务费率或变更收费方式，调整基金份额类别设置、对基金份额分类办法及规则进行调整；</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（3）因相应的法律法规发生变动而应当对《基金合同》进行修改；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（4）对《基金合同》的修改对基金份额持有人利益无实质性不利影响或修改不涉及《基金合同》当事人权利义务关系发生重大变化；</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（5）基金管理人、登记机构、基金销售机构调整有关申购、赎回、转换、基金交易、非交易过户、转托管等业务规则；</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（6）履行相关程序后，基金推出新业务或服务；</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（7）按照法律法规和《基金合同》规定不需召开基金份额持有人大会的其他情形。</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（二）会议召集人及召集方式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1、除法律法规规定或《基金合同》另有约定外，基金份额持有人大会由基金管理人召集。</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2、基金管理人未按规定召集或不能召集时，由基金托管人召集。</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6、基金份额持有人会议的召集人负责选择确定开会时间、地点、方式和权益登记日。</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（三）召开基金份额持有人大会的通知时间、通知内容、通知方式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1、召开基金份额持有人大会，召集人应于会议召开前30日，在规定媒介公告。基金份额持有人大会通知应至少载明以下内容：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（1）会议召开的时间、地点和会议形式；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（2）会议拟审议的事项、议事程序和表决方式；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（3）有权出席基金份额持有人大会的基金份额持有人的权益登记日；</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（4）授权委托证明的内容要求（包括但不限于代理人身份，代理权限和代理有效期限等）、送达时间和地点；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（5）会务常设联系人姓名及联系电话；</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（6）出席会议者必须准备的文件和必须履行的手续；</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（7）召集人需要通知的其他事项。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（四）基金份额持有人出席会议的方式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基金份额持有人大会可通过现场开会方式、通讯开会方式或法律法规、监管机构允许的其他方式召开，会议的召开方式由会议召集人确定。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通讯开会。通讯开会系指基金份额持有人将其对表决事项的投票以书面形式或基金份额持有人大会公告载明的其他方式在表决截止日以前送达至召集人指定的地址或系统。通讯开会应以书面方式或基金份额持有人大会公告载明的其他方式进行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在同时符合以下条件时，通讯开会的方式视为有效：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（1）会议召集人按《基金合同》约定公布会议通知后，在2个工作日内连续公布相关提示性公告；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3、在不违反法律法规和监管机关</w:t>
      </w:r>
      <w:r>
        <w:rPr>
          <w:rFonts w:asciiTheme="minorEastAsia" w:hAnsiTheme="minorEastAsia" w:eastAsiaTheme="minorEastAsia"/>
        </w:rPr>
        <w:t>规定</w:t>
      </w:r>
      <w:r>
        <w:rPr>
          <w:rFonts w:hint="eastAsia" w:asciiTheme="minorEastAsia" w:hAnsiTheme="minorEastAsia" w:eastAsiaTheme="minorEastAsia"/>
        </w:rPr>
        <w:t>的情况下，本基金的基金份额持有人亦可采用其他非书面方式授权其代理人出席基金份额持有人大会，授权方式可以采用书面、网络、电话、短信或其他方式，具体方式由会议召集人确定并在会议通知中列明。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（五）议事内容与程序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1、议事内容及提案权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基金份额持有人大会的召集人发出召集会议的通知后，对原有提案的修改应当在基金份额持有人大会召开前及时公告。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基金份额持有人大会不得对未事先公告的议事内容进行表决。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2、议事程序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（1）现场开会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（2）通讯开会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基金份额持有人所持每份基金份额有一票表决权。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基金份额持有人大会决议分为一般决议和特别决议：</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基金份额持有人大会采取记名方式进行投票表决。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基金份额持有人大会的各项提案或同一项提案内并列的各项议题应当分开审议、逐项表决。</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在上述规则的前提下，具体规则以召集人发布的基金份额持有人大会通知为准。</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（七）计票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1、现场开会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（2）监票人应当在基金份额持有人表决后立即进行清点并由大会主持人当场公布计票结果。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（4）计票过程应由公证机关予以公证，基金管理人或基金托管人拒不出席大会的，不影响计票的效力。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2、通讯开会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（八）生效与公告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基金份额持有人大会的决议，召集人应当自通过之日起5日内报中国证监会备案。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基金份额持有人大会的决议自表决通过之日起生效。</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基金份额持有人大会决议自生效之日起按规定在规定媒介上公告。如果采用通讯方式进行表决，在公告基金份额持有人大会决议时，必须将公证书全文、公证机构、公证员姓名等一同公告。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（九）实施侧袋机制期间基金份额持有人大会的特殊约定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1、基金份额持有人行使提议权、召集权、提名权所需单独或合计代表相关基金份额10%以上（含10%）；</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2、现场开会的到会者在权益登记日代表的基金份额不少于本基金在权益登记日相关基金份额的二分之一（含二分之一）；</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3、通讯开会的直接出具</w:t>
      </w:r>
      <w:r>
        <w:rPr>
          <w:rFonts w:asciiTheme="minorEastAsia" w:hAnsiTheme="minorEastAsia" w:eastAsiaTheme="minorEastAsia"/>
        </w:rPr>
        <w:t>表决</w:t>
      </w:r>
      <w:r>
        <w:rPr>
          <w:rFonts w:hint="eastAsia" w:asciiTheme="minorEastAsia" w:hAnsiTheme="minorEastAsia" w:eastAsiaTheme="minorEastAsia"/>
        </w:rPr>
        <w:t>意见或授权他人代表出具</w:t>
      </w:r>
      <w:r>
        <w:rPr>
          <w:rFonts w:asciiTheme="minorEastAsia" w:hAnsiTheme="minorEastAsia" w:eastAsiaTheme="minorEastAsia"/>
        </w:rPr>
        <w:t>表决</w:t>
      </w:r>
      <w:r>
        <w:rPr>
          <w:rFonts w:hint="eastAsia" w:asciiTheme="minorEastAsia" w:hAnsiTheme="minorEastAsia" w:eastAsiaTheme="minorEastAsia"/>
        </w:rPr>
        <w:t>意见的基金份额持有人所持有的基金份额不小于在权益登记日相关基金份额的二分之一（含二分之一）；</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w:t>
      </w:r>
      <w:r>
        <w:rPr>
          <w:rFonts w:asciiTheme="minorEastAsia" w:hAnsiTheme="minorEastAsia" w:eastAsiaTheme="minorEastAsia"/>
        </w:rPr>
        <w:t>当</w:t>
      </w:r>
      <w:r>
        <w:rPr>
          <w:rFonts w:hint="eastAsia" w:asciiTheme="minorEastAsia" w:hAnsiTheme="minorEastAsia" w:eastAsiaTheme="minorEastAsia"/>
        </w:rPr>
        <w:t>参与基金份额持有人大会投票的基金份额持有人所持有的基金份额小于在权益登记日相关基金份额的二分之一</w:t>
      </w:r>
      <w:r>
        <w:rPr>
          <w:rFonts w:asciiTheme="minorEastAsia" w:hAnsiTheme="minorEastAsia" w:eastAsiaTheme="minorEastAsia"/>
        </w:rPr>
        <w:t>，</w:t>
      </w:r>
      <w:r>
        <w:rPr>
          <w:rFonts w:hint="eastAsia" w:asciiTheme="minorEastAsia" w:hAnsiTheme="minorEastAsia" w:eastAsiaTheme="minorEastAsia"/>
        </w:rPr>
        <w:t>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5、现场开会由出席大会的基金份额持有人和代理人所持表决权的50%以上（含50%）选举产生一名基金份额持有人作为该次基金份额持有人大会的主持人；</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6、一般决议须经参加大会的基金份额持有人或其代理人所持表决权的二分之一以上（含二分之一）通过；</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7、特别决议应当经参加大会的基金份额持有人或其代理人所持表决权的三分之二以上（含三分之二）通过。</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侧袋机制实施期间，关于基金份额持有人大会的相关规定以本节特殊约定内容为准，本节没有规定的适用上文相关约定。</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本部分关于基金份额持有人大会召开事由、召开条件、议事程序、表决条件等规定，凡是直接引用法律法规的部分，如将来法律法规修改导致相关内容被取消或变更的，基金管理人履行适当程序并提前公告后，可直接对本部分内容进行修改和调整，无需召开基金份额持有人大会审议。</w:t>
      </w:r>
    </w:p>
    <w:p>
      <w:pPr>
        <w:autoSpaceDE w:val="0"/>
        <w:autoSpaceDN w:val="0"/>
        <w:adjustRightIn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三、基金合同的变更、终止与基金财产的清算</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（一）《基金合同》的变更</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2、关于《基金合同》变更的基金份额持有人大会决议自生效后方可执行，自决议生效后按规定在规定媒介公告。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（二）《基金合同》的终止事由</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有下列情形之一的，经履行相关程序后，《基金合同》应当终止：</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1、基金份额持有人大会决定终止的；</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2、基金管理人、基金托管人职责终止，在6个月内没有新基金管理人、新基金托管人承接的；</w:t>
      </w:r>
    </w:p>
    <w:p>
      <w:pPr>
        <w:autoSpaceDE w:val="0"/>
        <w:autoSpaceDN w:val="0"/>
        <w:adjustRightIn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、《基金合同》约定的其他情形；</w:t>
      </w:r>
    </w:p>
    <w:p>
      <w:pPr>
        <w:autoSpaceDE w:val="0"/>
        <w:autoSpaceDN w:val="0"/>
        <w:adjustRightIn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、相关法律法规和中国证监会规定的其他情况。</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（三）基金财产的清算</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1、基金财产清算小组：自出现《基金合同》终止事由之日起30个工作日内成立基金财产清算小组，基金管理人组织基金财产清算小组并在中国证监会的监督下进行基金清算。</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2、在基金财产清算小组接管基金财产之前，基金管理人和基金托管人应按照《基金合同》和托管协议的规定继续履行保护基金财产安全的职责。</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4、基金财产清算小组职责：基金财产清算小组负责基金财产的保管、清理、估价、变现和分配。基金财产清算小组可以依法进行必要的民事活动。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5、在基金财产清算过程中，基金管理人和基金托管人应各自履行职责，继续忠实、勤勉、尽责地履行基金合同和托管协议规定的义务，维护基金份额持有人的合法权益。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6、基金财产清算程序：</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（1）《基金合同》终止情形出现时，由基金财产清算小组统一接管基金财产；</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（2）对基金财产和债权债务进行清理和确认；</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（3）对基金财产进行估值和变现；</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（4）制作清算报告；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（5）聘请会计师事务所对清算报告进行外部审计，聘请律师事务所对清算报告出具法律意见书；</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（6）将清算报告报中国证监会备案并公告；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（7）对基金剩余财产进行分配。</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7、基金财产清算的期限为6个月，但因本基金所持证券的流动性受到限制而不能及时变现的，清算期限可相应顺延。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（四）清算费用</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清算费用是指基金财产清算小组在进行基金清算过程中发生的所有合理费用，清算费用由基金财产清算小组优先从基金剩余财产中支付。</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（五）基金财产清算剩余资产的分配</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依据基金财产清算的分配方案，将基金财产清算后的全部剩余资产扣除基金财产清算费用、交纳所欠税款并清偿基金债务后，按基金份额持有人持有的各类基金份额比例进行分配。</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其中，对于投资者在直销机构保有的C类基金份额计提的销售服务费，或者在其他销售机构保有且持续持有期限超过一年的C类基金份额继续计提的销售服务费，将在基金合同终止时随剩余资产分配款项一并返还给投资者。</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（六）基金财产清算的公告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（七）基金财产清算账册及文件的保存</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基金财产清算账册及有关文件由基金托管人保存，保存期限不低于法律法规规定的最低期限。</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（八）基金合并</w:t>
      </w:r>
    </w:p>
    <w:p>
      <w:pPr>
        <w:autoSpaceDE w:val="0"/>
        <w:autoSpaceDN w:val="0"/>
        <w:adjustRightIn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本基金与其他基金的合并应当按照法律法规规定的程序进行。</w:t>
      </w:r>
    </w:p>
    <w:p>
      <w:pPr>
        <w:autoSpaceDE w:val="0"/>
        <w:autoSpaceDN w:val="0"/>
        <w:adjustRightIn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四、争议的处理</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各方当事人同意，因《基金合同》而产生的或与《基金合同》有关的一切争议，如经友好协商未能解决的，应将争议提交深圳国际仲裁院（深圳仲裁委员会），按照深圳国际仲裁院（深圳仲裁委员会）届时有效的仲裁规则进行仲裁，仲裁的地点为深圳市，仲裁裁决是终局的，对各方当事人均有约束力。除非仲裁裁决另有规定，仲裁费、律师费由败诉方承担。</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争议处理期间，基金合同当事人应恪守各自的职责，继续忠实、勤勉、尽责地履行基金合同和托管协议规定的义务，维护基金份额持有人的合法权益。</w:t>
      </w:r>
    </w:p>
    <w:p>
      <w:pPr>
        <w:autoSpaceDE w:val="0"/>
        <w:autoSpaceDN w:val="0"/>
        <w:adjustRightInd w:val="0"/>
        <w:spacing w:line="360" w:lineRule="auto"/>
        <w:ind w:firstLine="420" w:firstLineChars="200"/>
        <w:rPr>
          <w:rFonts w:asciiTheme="minorEastAsia" w:hAnsiTheme="minorEastAsia" w:eastAsiaTheme="minorEastAsia"/>
          <w:b/>
        </w:rPr>
      </w:pPr>
      <w:r>
        <w:rPr>
          <w:rFonts w:hint="eastAsia" w:asciiTheme="minorEastAsia" w:hAnsiTheme="minorEastAsia" w:eastAsiaTheme="minorEastAsia"/>
        </w:rPr>
        <w:t>《基金合同》受中国法律（为本基金合同之目的，在此不包括香港、澳门特别行政区法律和台湾地区的有关规定）管辖，并按其解释。</w:t>
      </w:r>
    </w:p>
    <w:p>
      <w:pPr>
        <w:autoSpaceDE w:val="0"/>
        <w:autoSpaceDN w:val="0"/>
        <w:adjustRightInd w:val="0"/>
        <w:spacing w:line="360" w:lineRule="auto"/>
        <w:ind w:firstLine="422" w:firstLineChars="200"/>
        <w:rPr>
          <w:rFonts w:asciiTheme="minorEastAsia" w:hAnsiTheme="minorEastAsia" w:eastAsiaTheme="minorEastAsia"/>
          <w:b/>
        </w:rPr>
      </w:pPr>
      <w:r>
        <w:rPr>
          <w:rFonts w:hint="eastAsia" w:asciiTheme="minorEastAsia" w:hAnsiTheme="minorEastAsia" w:eastAsiaTheme="minorEastAsia"/>
          <w:b/>
        </w:rPr>
        <w:t>五、基金合同存放地和投资者取得合同的方式</w:t>
      </w:r>
    </w:p>
    <w:p>
      <w:pPr>
        <w:adjustRightInd w:val="0"/>
        <w:snapToGrid w:val="0"/>
        <w:spacing w:before="156" w:beforeLines="50" w:line="360" w:lineRule="auto"/>
        <w:ind w:firstLine="420" w:firstLineChars="200"/>
        <w:rPr>
          <w:rFonts w:ascii="宋体"/>
          <w:color w:val="000000"/>
          <w:szCs w:val="21"/>
        </w:rPr>
        <w:sectPr>
          <w:footerReference r:id="rId29" w:type="first"/>
          <w:pgSz w:w="11906" w:h="16838"/>
          <w:pgMar w:top="1440" w:right="1800" w:bottom="1440" w:left="1800" w:header="851" w:footer="992" w:gutter="0"/>
          <w:pgNumType w:start="1"/>
          <w:cols w:space="425" w:num="1"/>
          <w:titlePg/>
          <w:docGrid w:type="lines" w:linePitch="312" w:charSpace="0"/>
        </w:sectPr>
      </w:pPr>
      <w:r>
        <w:rPr>
          <w:rFonts w:hint="eastAsia" w:asciiTheme="minorEastAsia" w:hAnsiTheme="minorEastAsia" w:eastAsiaTheme="minorEastAsia"/>
        </w:rPr>
        <w:t>《基金合同》可印制成册，供投资者在基金管理人、基金托管人、销售机构的办公场所和营业场所查阅。</w:t>
      </w:r>
    </w:p>
    <w:p>
      <w:pPr>
        <w:pStyle w:val="3"/>
        <w:numPr>
          <w:ilvl w:val="0"/>
          <w:numId w:val="26"/>
        </w:numPr>
        <w:snapToGrid w:val="0"/>
        <w:spacing w:before="0" w:after="0" w:line="360" w:lineRule="auto"/>
        <w:jc w:val="center"/>
      </w:pPr>
      <w:bookmarkStart w:id="173" w:name="_Toc335899852"/>
      <w:bookmarkStart w:id="174" w:name="_Toc336606246"/>
      <w:bookmarkStart w:id="175" w:name="_Toc375295992"/>
      <w:bookmarkStart w:id="176" w:name="_Toc411872041"/>
      <w:bookmarkStart w:id="177" w:name="_Toc327902641"/>
      <w:bookmarkStart w:id="178" w:name="_Toc369510027"/>
      <w:bookmarkStart w:id="179" w:name="_Toc332013129"/>
      <w:bookmarkStart w:id="180" w:name="_Toc92740303"/>
      <w:r>
        <w:rPr>
          <w:rFonts w:hint="eastAsia"/>
        </w:rPr>
        <w:t>基金托管协议的内容摘要</w:t>
      </w:r>
      <w:bookmarkEnd w:id="173"/>
      <w:bookmarkEnd w:id="174"/>
      <w:bookmarkEnd w:id="175"/>
      <w:bookmarkEnd w:id="176"/>
      <w:bookmarkEnd w:id="177"/>
      <w:bookmarkEnd w:id="178"/>
      <w:bookmarkEnd w:id="179"/>
      <w:bookmarkEnd w:id="180"/>
    </w:p>
    <w:p>
      <w:pPr>
        <w:snapToGrid w:val="0"/>
        <w:spacing w:line="360" w:lineRule="auto"/>
        <w:ind w:firstLine="422" w:firstLineChars="200"/>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一、基金托管协议当事人</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（一）基金管理人</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名称：博时基金管理有限公司</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住所：深圳市福田区莲花街道福新社区益田路5999号基金大厦21层</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办公地址：广东省深圳市福田区益田路5999号基金大厦21层</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邮政编码：518040</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法定代表人：张东</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成立时间：1998年7月13日</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批准设立机关：中国证券监督管理委员会</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批准设立文号：中国证监会证监基字【1998】26号</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组织形式：有限责任公司</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注册资本：2.5亿元人民币</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存续期间：持续经营</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经营范围：基金募集；基金销售；资产管理以及中国证监会许可的其它业务。</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（二）基金托管人</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名称：交通银行股份有限公司（简称：交通银行）</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住所：中国（上海）自由贸易试验区银城中路188号（邮政编码：200120）</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办公地址：上海市长宁区仙霞路18号（邮政编码：200336）</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法定代表人：任德奇</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成立时间：1987年3月30日</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批准设立机关及批准设立文号：国务院国发(1986)字第81 号文和中国人民银行银发［1987］40号文</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基金托管业务批准文号：中国证监会证监基字［1998］25号</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注册资本：742.63亿元人民币</w:t>
      </w:r>
    </w:p>
    <w:p>
      <w:pPr>
        <w:adjustRightInd w:val="0"/>
        <w:snapToGrid w:val="0"/>
        <w:spacing w:line="360" w:lineRule="auto"/>
        <w:ind w:firstLine="420" w:firstLineChars="200"/>
        <w:rPr>
          <w:rFonts w:ascii="宋体" w:hAnsi="宋体" w:cs="Arial"/>
          <w:szCs w:val="21"/>
        </w:rPr>
      </w:pPr>
      <w:r>
        <w:rPr>
          <w:rFonts w:hint="eastAsia" w:ascii="宋体" w:hAnsi="宋体" w:cs="Arial"/>
          <w:szCs w:val="21"/>
        </w:rPr>
        <w:t>组织形式：股份有限公司</w:t>
      </w:r>
    </w:p>
    <w:p>
      <w:pPr>
        <w:snapToGrid w:val="0"/>
        <w:spacing w:line="360" w:lineRule="auto"/>
        <w:ind w:firstLine="420" w:firstLineChars="200"/>
        <w:rPr>
          <w:rFonts w:cs="Arial" w:asciiTheme="minorEastAsia" w:hAnsiTheme="minorEastAsia" w:eastAsiaTheme="minorEastAsia"/>
          <w:b/>
          <w:szCs w:val="21"/>
        </w:rPr>
      </w:pPr>
      <w:r>
        <w:rPr>
          <w:rFonts w:hint="eastAsia" w:ascii="宋体" w:hAnsi="宋体" w:cs="Arial"/>
          <w:szCs w:val="21"/>
        </w:rPr>
        <w:t>存续期间：持续经营</w:t>
      </w:r>
    </w:p>
    <w:p>
      <w:pPr>
        <w:snapToGrid w:val="0"/>
        <w:spacing w:line="360" w:lineRule="auto"/>
        <w:ind w:firstLine="422" w:firstLineChars="200"/>
        <w:rPr>
          <w:rFonts w:cs="Arial" w:asciiTheme="minorEastAsia" w:hAnsiTheme="minorEastAsia" w:eastAsiaTheme="minorEastAsia"/>
          <w:b/>
          <w:szCs w:val="21"/>
        </w:rPr>
      </w:pPr>
      <w:r>
        <w:rPr>
          <w:rFonts w:hint="eastAsia" w:cs="Arial" w:asciiTheme="minorEastAsia" w:hAnsiTheme="minorEastAsia" w:eastAsiaTheme="minorEastAsia"/>
          <w:b/>
          <w:szCs w:val="21"/>
        </w:rPr>
        <w:t>二、基金托管人对基金管理人的业务监督、核查</w:t>
      </w:r>
    </w:p>
    <w:p>
      <w:pPr>
        <w:snapToGrid w:val="0"/>
        <w:spacing w:line="360" w:lineRule="auto"/>
        <w:ind w:firstLine="420" w:firstLineChars="200"/>
        <w:rPr>
          <w:rFonts w:ascii="宋体" w:hAnsi="宋体" w:cs="宋体"/>
          <w:bCs/>
          <w:szCs w:val="21"/>
        </w:rPr>
      </w:pPr>
      <w:r>
        <w:rPr>
          <w:rFonts w:hint="eastAsia" w:ascii="宋体" w:hAnsi="宋体" w:cs="宋体"/>
          <w:bCs/>
          <w:szCs w:val="21"/>
        </w:rPr>
        <w:t>（一）基金托管人对基金管理人的投资行为行使监督权</w:t>
      </w:r>
    </w:p>
    <w:p>
      <w:pPr>
        <w:snapToGrid w:val="0"/>
        <w:spacing w:line="360" w:lineRule="auto"/>
        <w:ind w:firstLine="420" w:firstLineChars="200"/>
        <w:rPr>
          <w:rFonts w:ascii="宋体" w:hAnsi="宋体" w:cs="宋体"/>
          <w:bCs/>
          <w:szCs w:val="21"/>
        </w:rPr>
      </w:pPr>
      <w:r>
        <w:rPr>
          <w:rFonts w:hint="eastAsia" w:ascii="宋体" w:hAnsi="宋体" w:cs="宋体"/>
          <w:bCs/>
          <w:szCs w:val="21"/>
        </w:rPr>
        <w:t>1.基金托管人根据有关法律法规的规定及《基金合同》和本协议的约定，对基金的投资范围、投资对象进行监督。</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本基金的投资范围如下：本基金主要投资于标的指数成份股和备选成份股（含存托凭证）。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本基金可根据法律法规的规定参与融资及转融通证券出借业务。未来在法律法规允许的前提下，本基金可根据相关法律法规规定参与融券业务。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本基金根据相关法律法规或中国证监会要求履行适当程序后，还可以投资于法律法规或中国证监会未来允许基金投资的其他金融工具。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pPr>
        <w:snapToGrid w:val="0"/>
        <w:spacing w:line="360" w:lineRule="auto"/>
        <w:ind w:firstLine="420" w:firstLineChars="200"/>
        <w:rPr>
          <w:rFonts w:ascii="宋体" w:hAnsi="宋体" w:cs="宋体"/>
          <w:bCs/>
          <w:szCs w:val="21"/>
        </w:rPr>
      </w:pPr>
      <w:r>
        <w:rPr>
          <w:rFonts w:hint="eastAsia" w:ascii="宋体" w:hAnsi="宋体" w:cs="宋体"/>
          <w:bCs/>
          <w:szCs w:val="21"/>
        </w:rPr>
        <w:t>若法律法规的相关规定发生变更或监管机构允许，本基金管理人在履行适当程序后，可对上述资产配置比例进行调整。</w:t>
      </w:r>
    </w:p>
    <w:p>
      <w:pPr>
        <w:snapToGrid w:val="0"/>
        <w:spacing w:line="360" w:lineRule="auto"/>
        <w:ind w:firstLine="420" w:firstLineChars="200"/>
        <w:rPr>
          <w:rFonts w:ascii="宋体" w:hAnsi="宋体" w:cs="宋体"/>
          <w:bCs/>
          <w:szCs w:val="21"/>
        </w:rPr>
      </w:pPr>
      <w:r>
        <w:rPr>
          <w:rFonts w:hint="eastAsia" w:ascii="宋体" w:hAnsi="宋体" w:cs="宋体"/>
          <w:bCs/>
          <w:szCs w:val="21"/>
        </w:rPr>
        <w:t>2.基金托管人根据有关法律法规的规定及《基金合同》和本协议的约定，对基金投资、融资比例进行监督。</w:t>
      </w:r>
    </w:p>
    <w:p>
      <w:pPr>
        <w:snapToGrid w:val="0"/>
        <w:spacing w:line="360" w:lineRule="auto"/>
        <w:ind w:firstLine="420" w:firstLineChars="200"/>
        <w:rPr>
          <w:rFonts w:ascii="宋体" w:hAnsi="宋体" w:cs="宋体"/>
          <w:bCs/>
          <w:szCs w:val="21"/>
        </w:rPr>
      </w:pPr>
      <w:r>
        <w:rPr>
          <w:rFonts w:hint="eastAsia" w:ascii="宋体" w:hAnsi="宋体" w:cs="宋体"/>
          <w:bCs/>
          <w:szCs w:val="21"/>
        </w:rPr>
        <w:t>根据《基金合同》的约定，本基金投资组合比例应符合以下规定：</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（1）本基金的股票资产投资比例不低于基金资产的90%，其中投资于标的指数成份股和备选成份股的资产不低于非现金基金资产的80%；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（3）本基金持有一家公司发行的证券，其市值不超过基金资产净值的10%，但完全按照标的指数的构成比例进行投资的部分不受此限制；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（4）本基金管理人管理的全部基金持有一家公司发行的证券，不超过该证券的10%，但完全按照标的指数的构成比例进行投资的部分不受此限制；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（5）本基金资产总值不得超过基金资产净值的140%；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（6）本基金投资于同一原始权益人的各类资产支持证券的比例，不得超过基金资产净值的10%；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（7）本基金持有的全部资产支持证券，其市值不得超过基金资产净值的20%；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（8）本基金持有的同一(指同一信用级别)资产支持证券的比例，不得超过该资产支持证券规模的10%；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（9）本基金管理人管理的全部基金投资于同一原始权益人的各类资产支持证券，不得超过其各类资产支持证券合计规模的10%；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（11）基金财产参与股票发行申购，本基金所申报的金额不超过本基金的总资产，本基金所申报的股票数量不超过拟发行股票公司本次发行股票的总量；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（12）本基金参与融资的，在任何交易日日终，本基金融资买入股票与其他有价证券市值之和，不得超过基金资产净值的95%；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（13）本基金投资于股指期货和国债期货，还应遵循如下投资组合限制：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1）在任何交易日日终，本基金持有的买入股指期货合约价值不超过基金资产净值的10%；在任何交易日日终，持有的买入国债期货合约价值，不得超过基金资产净值15%；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2）在任何交易日日终，持有的卖出股指期货合约价值不超过基金持有的股票总市值的20%；在任何交易日日终，持有的卖出国债期货合约价值不得超过基金持有的债券总市值的30%；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（14）本基金投资于股票期权，还应遵循如下投资组合限制：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1）因未平仓的期权合约支付和收取的权利金总额不得超过基金资产净值的10%；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2）开仓卖出认购期权的，应持有足额标的证券；开仓卖出认沽期权的，应持有合约行权所需的全额现金或交易所规则认可的可冲抵期权保证金的现金等价物；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3）未平仓的期权合约面值不得超过基金资产净值的20%。其中，合约面值按照行权价乘以合约乘数计算；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（15）本基金参与转融通证券出借业务，需遵守下列投资限制：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1）出借证券资产不得超过基金资产净值的30%，出借期限在10 个交易日以上的出借证券应纳入《流动性风险管理规定》所述流动性受限证券的范围；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2）参与出借业务的单只证券不得超过本基金持有该证券总量的50%；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3）最近6个月内日均基金资产净值不得低于2亿元；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4）证券出借的平均剩余期限不得超过30天，平均剩余期限按照市值加权平均计算；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因证券市场波动、上市公司合并、基金规模变动等基金管理人之外的因素致使基金投资不符合上述规定的，基金管理人不得新增出借业务；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（16）本基金主动投资于流动性受限资产的市值合计不得超过本基金资产净值的15%；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因证券市场波动、上市公司股票停牌、基金规模变动等基金管理人之外的因素致使基金不符合该比例限制的，基金管理人不得主动新增流动性受限资产的投资；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（17）本基金与私募类证券资管产品及中国证监会认定的其他主体为交易对手开展逆回购交易的，可接受质押品的资质要求应当与基金合同约定的投资范围保持一致；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（18）本基金投资存托凭证的比例限制依照境内上市交易的股票执行，与境内上市交易的股票合并计算；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（19）相关法律法规以及监管部门规定的和基金合同约定的其它投资比例限制。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除上述第（2）、（10）、（15）、（16）、（17）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法律法规或监管部门取消或变更上述限制，如适用于本基金，基金管理人在履行适当程序后，则本基金投资不再受相关限制，或以变更后的规定为准。 </w:t>
      </w:r>
    </w:p>
    <w:p>
      <w:pPr>
        <w:snapToGrid w:val="0"/>
        <w:spacing w:line="360" w:lineRule="auto"/>
        <w:ind w:firstLine="420" w:firstLineChars="200"/>
        <w:rPr>
          <w:rFonts w:ascii="宋体" w:hAnsi="宋体" w:cs="宋体"/>
          <w:bCs/>
          <w:szCs w:val="21"/>
        </w:rPr>
      </w:pPr>
      <w:r>
        <w:rPr>
          <w:rFonts w:hint="eastAsia" w:ascii="宋体" w:hAnsi="宋体" w:cs="宋体"/>
          <w:bCs/>
          <w:szCs w:val="21"/>
        </w:rPr>
        <w:t>基金托管人依照上述规定对本基金的投资组合限制及调整期限进行监督。</w:t>
      </w:r>
    </w:p>
    <w:p>
      <w:pPr>
        <w:snapToGrid w:val="0"/>
        <w:spacing w:line="360" w:lineRule="auto"/>
        <w:ind w:firstLine="420" w:firstLineChars="200"/>
        <w:rPr>
          <w:rFonts w:ascii="宋体" w:hAnsi="宋体" w:cs="宋体"/>
          <w:bCs/>
          <w:szCs w:val="21"/>
        </w:rPr>
      </w:pPr>
      <w:r>
        <w:rPr>
          <w:rFonts w:hint="eastAsia" w:ascii="宋体" w:hAnsi="宋体" w:cs="宋体"/>
          <w:bCs/>
          <w:szCs w:val="21"/>
        </w:rPr>
        <w:t>3.基金托管人根据有关法律法规的规定及基金合同和本协议的约定，对基金投资禁止行为进行监督。基金财产不得用于下列投资或者活动。</w:t>
      </w:r>
    </w:p>
    <w:p>
      <w:pPr>
        <w:snapToGrid w:val="0"/>
        <w:spacing w:line="360" w:lineRule="auto"/>
        <w:ind w:firstLine="420" w:firstLineChars="200"/>
        <w:rPr>
          <w:rFonts w:ascii="宋体" w:hAnsi="宋体" w:cs="宋体"/>
          <w:bCs/>
          <w:szCs w:val="21"/>
        </w:rPr>
      </w:pPr>
      <w:r>
        <w:rPr>
          <w:rFonts w:hint="eastAsia" w:ascii="宋体" w:hAnsi="宋体" w:cs="宋体"/>
          <w:bCs/>
          <w:szCs w:val="21"/>
        </w:rPr>
        <w:t>（1）承销证券；</w:t>
      </w:r>
    </w:p>
    <w:p>
      <w:pPr>
        <w:snapToGrid w:val="0"/>
        <w:spacing w:line="360" w:lineRule="auto"/>
        <w:ind w:firstLine="420" w:firstLineChars="200"/>
        <w:rPr>
          <w:rFonts w:ascii="宋体" w:hAnsi="宋体" w:cs="宋体"/>
          <w:bCs/>
          <w:szCs w:val="21"/>
        </w:rPr>
      </w:pPr>
      <w:r>
        <w:rPr>
          <w:rFonts w:hint="eastAsia" w:ascii="宋体" w:hAnsi="宋体" w:cs="宋体"/>
          <w:bCs/>
          <w:szCs w:val="21"/>
        </w:rPr>
        <w:t>（2）违反规定向他人贷款或者提供担保；</w:t>
      </w:r>
    </w:p>
    <w:p>
      <w:pPr>
        <w:snapToGrid w:val="0"/>
        <w:spacing w:line="360" w:lineRule="auto"/>
        <w:ind w:firstLine="420" w:firstLineChars="200"/>
        <w:rPr>
          <w:rFonts w:ascii="宋体" w:hAnsi="宋体" w:cs="宋体"/>
          <w:bCs/>
          <w:szCs w:val="21"/>
        </w:rPr>
      </w:pPr>
      <w:r>
        <w:rPr>
          <w:rFonts w:hint="eastAsia" w:ascii="宋体" w:hAnsi="宋体" w:cs="宋体"/>
          <w:bCs/>
          <w:szCs w:val="21"/>
        </w:rPr>
        <w:t>（3）从事承担无限责任的投资；</w:t>
      </w:r>
    </w:p>
    <w:p>
      <w:pPr>
        <w:snapToGrid w:val="0"/>
        <w:spacing w:line="360" w:lineRule="auto"/>
        <w:ind w:firstLine="420" w:firstLineChars="200"/>
        <w:rPr>
          <w:rFonts w:ascii="宋体" w:hAnsi="宋体" w:cs="宋体"/>
          <w:bCs/>
          <w:szCs w:val="21"/>
        </w:rPr>
      </w:pPr>
      <w:r>
        <w:rPr>
          <w:rFonts w:hint="eastAsia" w:ascii="宋体" w:hAnsi="宋体" w:cs="宋体"/>
          <w:bCs/>
          <w:szCs w:val="21"/>
        </w:rPr>
        <w:t>（4）买卖其他基金份额，但是中国证监会另有规定的除外；</w:t>
      </w:r>
    </w:p>
    <w:p>
      <w:pPr>
        <w:snapToGrid w:val="0"/>
        <w:spacing w:line="360" w:lineRule="auto"/>
        <w:ind w:firstLine="420" w:firstLineChars="200"/>
        <w:rPr>
          <w:rFonts w:ascii="宋体" w:hAnsi="宋体" w:cs="宋体"/>
          <w:bCs/>
          <w:szCs w:val="21"/>
        </w:rPr>
      </w:pPr>
      <w:r>
        <w:rPr>
          <w:rFonts w:hint="eastAsia" w:ascii="宋体" w:hAnsi="宋体" w:cs="宋体"/>
          <w:bCs/>
          <w:szCs w:val="21"/>
        </w:rPr>
        <w:t>（5）向其基金管理人、基金托管人出资；</w:t>
      </w:r>
    </w:p>
    <w:p>
      <w:pPr>
        <w:snapToGrid w:val="0"/>
        <w:spacing w:line="360" w:lineRule="auto"/>
        <w:ind w:firstLine="420" w:firstLineChars="200"/>
        <w:rPr>
          <w:rFonts w:ascii="宋体" w:hAnsi="宋体" w:cs="宋体"/>
          <w:bCs/>
          <w:szCs w:val="21"/>
        </w:rPr>
      </w:pPr>
      <w:r>
        <w:rPr>
          <w:rFonts w:hint="eastAsia" w:ascii="宋体" w:hAnsi="宋体" w:cs="宋体"/>
          <w:bCs/>
          <w:szCs w:val="21"/>
        </w:rPr>
        <w:t>（6）从事内幕交易、操纵证券交易价格及其他不正当的证券交易活动；</w:t>
      </w:r>
    </w:p>
    <w:p>
      <w:pPr>
        <w:snapToGrid w:val="0"/>
        <w:spacing w:line="360" w:lineRule="auto"/>
        <w:ind w:firstLine="420" w:firstLineChars="200"/>
        <w:rPr>
          <w:rFonts w:ascii="宋体" w:hAnsi="宋体" w:cs="宋体"/>
          <w:bCs/>
          <w:szCs w:val="21"/>
        </w:rPr>
      </w:pPr>
      <w:r>
        <w:rPr>
          <w:rFonts w:hint="eastAsia" w:ascii="宋体" w:hAnsi="宋体" w:cs="宋体"/>
          <w:bCs/>
          <w:szCs w:val="21"/>
        </w:rPr>
        <w:t>（7）法律、行政法规和中国证监会规定禁止的其他活动。</w:t>
      </w:r>
    </w:p>
    <w:p>
      <w:pPr>
        <w:snapToGrid w:val="0"/>
        <w:spacing w:line="360" w:lineRule="auto"/>
        <w:ind w:firstLine="420" w:firstLineChars="200"/>
        <w:rPr>
          <w:rFonts w:ascii="宋体" w:hAnsi="宋体" w:cs="宋体"/>
          <w:bCs/>
          <w:szCs w:val="21"/>
        </w:rPr>
      </w:pPr>
      <w:r>
        <w:rPr>
          <w:rFonts w:hint="eastAsia" w:ascii="宋体" w:hAnsi="宋体" w:cs="宋体"/>
          <w:bCs/>
          <w:szCs w:val="21"/>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pPr>
        <w:snapToGrid w:val="0"/>
        <w:spacing w:line="360" w:lineRule="auto"/>
        <w:ind w:firstLine="420" w:firstLineChars="200"/>
        <w:rPr>
          <w:rFonts w:ascii="宋体" w:hAnsi="宋体" w:cs="宋体"/>
          <w:bCs/>
          <w:szCs w:val="21"/>
        </w:rPr>
      </w:pPr>
      <w:r>
        <w:rPr>
          <w:rFonts w:hint="eastAsia" w:ascii="宋体" w:hAnsi="宋体" w:cs="宋体"/>
          <w:bCs/>
          <w:szCs w:val="21"/>
        </w:rPr>
        <w:t>法律、行政法规或监管部门变更或取消上述规定，在履行适当程序后，本基金可按变更后的规定执行或不受上述规定的限制。</w:t>
      </w:r>
    </w:p>
    <w:p>
      <w:pPr>
        <w:snapToGrid w:val="0"/>
        <w:spacing w:line="360" w:lineRule="auto"/>
        <w:ind w:firstLine="420" w:firstLineChars="200"/>
        <w:rPr>
          <w:rFonts w:ascii="宋体" w:hAnsi="宋体" w:cs="宋体"/>
          <w:bCs/>
          <w:szCs w:val="21"/>
        </w:rPr>
      </w:pPr>
      <w:r>
        <w:rPr>
          <w:rFonts w:hint="eastAsia" w:ascii="宋体" w:hAnsi="宋体" w:cs="宋体"/>
          <w:bCs/>
          <w:szCs w:val="21"/>
        </w:rPr>
        <w:t>4.基金托管人根据有关法律法规的规定及基金合同和本协议的约定，对基金管理人参与银行间债券市场进行监督。</w:t>
      </w:r>
    </w:p>
    <w:p>
      <w:pPr>
        <w:snapToGrid w:val="0"/>
        <w:spacing w:line="360" w:lineRule="auto"/>
        <w:ind w:firstLine="420" w:firstLineChars="200"/>
        <w:rPr>
          <w:rFonts w:ascii="宋体" w:hAnsi="宋体" w:cs="宋体"/>
          <w:bCs/>
          <w:szCs w:val="21"/>
        </w:rPr>
      </w:pPr>
      <w:r>
        <w:rPr>
          <w:rFonts w:hint="eastAsia" w:ascii="宋体" w:hAnsi="宋体" w:cs="宋体"/>
          <w:bCs/>
          <w:szCs w:val="21"/>
        </w:rPr>
        <w:t>（1）基金托管人依据有关法律法规的规定和《基金合同》的约定对于基金管理人参与银行间市场交易时面临的交易对手资信风险进行监督。</w:t>
      </w:r>
    </w:p>
    <w:p>
      <w:pPr>
        <w:snapToGrid w:val="0"/>
        <w:spacing w:line="360" w:lineRule="auto"/>
        <w:ind w:firstLine="420" w:firstLineChars="200"/>
        <w:rPr>
          <w:rFonts w:ascii="宋体" w:hAnsi="宋体" w:cs="宋体"/>
          <w:bCs/>
          <w:szCs w:val="21"/>
        </w:rPr>
      </w:pPr>
      <w:r>
        <w:rPr>
          <w:rFonts w:hint="eastAsia" w:ascii="宋体" w:hAnsi="宋体" w:cs="宋体"/>
          <w:bCs/>
          <w:szCs w:val="21"/>
        </w:rPr>
        <w:t>基金管理人应向基金托管人提供符合法律法规及行业标准的银行间市场交易对手的名单。基金托管人在收到名单后2个工作日内电话或回函确认收到该名单。基金管理人应定期和不定期对银行间市场现券及回购交易对手的名单进行更新。基金托管人在收到名单后2个工作日内电话或书面回函确认，新名单自基金托管人确认当日生效。新名单生效前已与本次剔除的交易对手所进行但尚未结算的交易，仍应按照协议进行结算。</w:t>
      </w:r>
    </w:p>
    <w:p>
      <w:pPr>
        <w:snapToGrid w:val="0"/>
        <w:spacing w:line="360" w:lineRule="auto"/>
        <w:ind w:firstLine="420" w:firstLineChars="200"/>
        <w:rPr>
          <w:rFonts w:ascii="宋体" w:hAnsi="宋体" w:cs="宋体"/>
          <w:bCs/>
          <w:szCs w:val="21"/>
        </w:rPr>
      </w:pPr>
      <w:r>
        <w:rPr>
          <w:rFonts w:hint="eastAsia" w:ascii="宋体" w:hAnsi="宋体" w:cs="宋体"/>
          <w:bCs/>
          <w:szCs w:val="21"/>
        </w:rPr>
        <w:t>（2）基金管理人参与银行间市场交易时，有责任控制交易对手的资信风险，由于交易对手资信风险引起的损失,基金管理人应当负责向相关责任人追偿。</w:t>
      </w:r>
    </w:p>
    <w:p>
      <w:pPr>
        <w:snapToGrid w:val="0"/>
        <w:spacing w:line="360" w:lineRule="auto"/>
        <w:ind w:firstLine="420" w:firstLineChars="200"/>
        <w:rPr>
          <w:rFonts w:ascii="宋体" w:hAnsi="宋体" w:cs="宋体"/>
          <w:bCs/>
          <w:szCs w:val="21"/>
        </w:rPr>
      </w:pPr>
      <w:r>
        <w:rPr>
          <w:rFonts w:hint="eastAsia" w:ascii="宋体" w:hAnsi="宋体" w:cs="宋体"/>
          <w:bCs/>
          <w:szCs w:val="21"/>
        </w:rPr>
        <w:t>5.基金托管人根据有关法律法规的规定及基金合同和本协议的约定，对基金管理人银行存款业务进行监督。</w:t>
      </w:r>
    </w:p>
    <w:p>
      <w:pPr>
        <w:snapToGrid w:val="0"/>
        <w:spacing w:line="360" w:lineRule="auto"/>
        <w:ind w:firstLine="420" w:firstLineChars="200"/>
        <w:rPr>
          <w:rFonts w:ascii="宋体" w:hAnsi="宋体" w:cs="宋体"/>
          <w:bCs/>
          <w:szCs w:val="21"/>
        </w:rPr>
      </w:pPr>
      <w:r>
        <w:rPr>
          <w:rFonts w:hint="eastAsia" w:ascii="宋体" w:hAnsi="宋体" w:cs="宋体"/>
          <w:bCs/>
          <w:szCs w:val="21"/>
        </w:rPr>
        <w:t>本基金投资银行存款应符合如下规定：</w:t>
      </w:r>
    </w:p>
    <w:p>
      <w:pPr>
        <w:snapToGrid w:val="0"/>
        <w:spacing w:line="360" w:lineRule="auto"/>
        <w:ind w:firstLine="420" w:firstLineChars="200"/>
        <w:rPr>
          <w:rFonts w:ascii="宋体" w:hAnsi="宋体" w:cs="宋体"/>
          <w:bCs/>
          <w:szCs w:val="21"/>
        </w:rPr>
      </w:pPr>
      <w:r>
        <w:rPr>
          <w:rFonts w:hint="eastAsia" w:ascii="宋体" w:hAnsi="宋体" w:cs="宋体"/>
          <w:bCs/>
          <w:szCs w:val="21"/>
        </w:rPr>
        <w:t>（1）基金管理人、基金托管人应当与存款银行建立对账机制，确保基金银行存款业务账目及核算的真实、准确。</w:t>
      </w:r>
    </w:p>
    <w:p>
      <w:pPr>
        <w:snapToGrid w:val="0"/>
        <w:spacing w:line="360" w:lineRule="auto"/>
        <w:ind w:firstLine="420" w:firstLineChars="200"/>
        <w:rPr>
          <w:rFonts w:ascii="宋体" w:hAnsi="宋体" w:cs="宋体"/>
          <w:bCs/>
          <w:szCs w:val="21"/>
        </w:rPr>
      </w:pPr>
      <w:r>
        <w:rPr>
          <w:rFonts w:hint="eastAsia" w:ascii="宋体" w:hAnsi="宋体" w:cs="宋体"/>
          <w:bCs/>
          <w:szCs w:val="21"/>
        </w:rPr>
        <w:t>（2）基金托管人应加强对基金银行存款业务的监督与核查，严格审查、复核相关协议、账户资料、投资指令、存款证实书等有关文件，切实履行托管职责。</w:t>
      </w:r>
    </w:p>
    <w:p>
      <w:pPr>
        <w:snapToGrid w:val="0"/>
        <w:spacing w:line="360" w:lineRule="auto"/>
        <w:ind w:firstLine="420" w:firstLineChars="200"/>
        <w:rPr>
          <w:rFonts w:ascii="宋体" w:hAnsi="宋体" w:cs="宋体"/>
          <w:bCs/>
          <w:szCs w:val="21"/>
        </w:rPr>
      </w:pPr>
      <w:r>
        <w:rPr>
          <w:rFonts w:hint="eastAsia" w:ascii="宋体" w:hAnsi="宋体" w:cs="宋体"/>
          <w:bCs/>
          <w:szCs w:val="21"/>
        </w:rPr>
        <w:t>（3）基金管理人与基金托管人在开展基金存款业务时，应严格遵守《基金法》、《运作办法》等有关法律法规，以及国家有关账户管理、利率管理、支付结算等的各项规定。</w:t>
      </w:r>
    </w:p>
    <w:p>
      <w:pPr>
        <w:snapToGrid w:val="0"/>
        <w:spacing w:line="360" w:lineRule="auto"/>
        <w:ind w:firstLine="420" w:firstLineChars="200"/>
        <w:rPr>
          <w:rFonts w:ascii="宋体" w:hAnsi="宋体" w:cs="宋体"/>
          <w:bCs/>
          <w:szCs w:val="21"/>
        </w:rPr>
      </w:pPr>
      <w:r>
        <w:rPr>
          <w:rFonts w:hint="eastAsia" w:ascii="宋体" w:hAnsi="宋体" w:cs="宋体"/>
          <w:bCs/>
          <w:szCs w:val="21"/>
        </w:rPr>
        <w:t>6.基金托管人对基金投资流通受限证券的监督。</w:t>
      </w:r>
    </w:p>
    <w:p>
      <w:pPr>
        <w:snapToGrid w:val="0"/>
        <w:spacing w:line="360" w:lineRule="auto"/>
        <w:ind w:firstLine="420" w:firstLineChars="200"/>
        <w:rPr>
          <w:rFonts w:ascii="宋体" w:hAnsi="宋体" w:cs="宋体"/>
          <w:bCs/>
          <w:szCs w:val="21"/>
        </w:rPr>
      </w:pPr>
      <w:r>
        <w:rPr>
          <w:rFonts w:hint="eastAsia" w:ascii="宋体" w:hAnsi="宋体" w:cs="宋体"/>
          <w:bCs/>
          <w:szCs w:val="21"/>
        </w:rPr>
        <w:t>（1）基金投资流通受限证券,应遵守《关于基金投资非公开发行股票等流通受限证券有关问题的通知》等有关法律法规规定。</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 </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 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 </w:t>
      </w:r>
    </w:p>
    <w:p>
      <w:pPr>
        <w:snapToGrid w:val="0"/>
        <w:spacing w:line="360" w:lineRule="auto"/>
        <w:ind w:firstLine="420" w:firstLineChars="200"/>
        <w:rPr>
          <w:rFonts w:ascii="宋体" w:hAnsi="宋体" w:cs="宋体"/>
          <w:bCs/>
          <w:szCs w:val="21"/>
        </w:rPr>
      </w:pPr>
      <w:r>
        <w:rPr>
          <w:rFonts w:hint="eastAsia" w:ascii="宋体" w:hAnsi="宋体" w:cs="宋体"/>
          <w:bCs/>
          <w:szCs w:val="21"/>
        </w:rPr>
        <w:t>（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应至少于拟执行投资指令前两个工作日将上述信息书面发至基金托管人,保证基金托管人有足够的时间进行审核。</w:t>
      </w:r>
    </w:p>
    <w:p>
      <w:pPr>
        <w:snapToGrid w:val="0"/>
        <w:spacing w:line="360" w:lineRule="auto"/>
        <w:ind w:firstLine="420" w:firstLineChars="200"/>
        <w:rPr>
          <w:rFonts w:ascii="宋体" w:hAnsi="宋体" w:cs="宋体"/>
          <w:bCs/>
          <w:szCs w:val="21"/>
        </w:rPr>
      </w:pPr>
      <w:r>
        <w:rPr>
          <w:rFonts w:hint="eastAsia" w:ascii="宋体" w:hAnsi="宋体" w:cs="宋体"/>
          <w:bCs/>
          <w:szCs w:val="21"/>
        </w:rPr>
        <w:t xml:space="preserve">（5）基金托管人应对基金管理人提供的有关书面信息进行审核，基金托管人认为上述资料可能导致基金投资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 </w:t>
      </w:r>
    </w:p>
    <w:p>
      <w:pPr>
        <w:snapToGrid w:val="0"/>
        <w:spacing w:line="360" w:lineRule="auto"/>
        <w:ind w:firstLine="420" w:firstLineChars="200"/>
        <w:rPr>
          <w:rFonts w:ascii="宋体" w:hAnsi="宋体" w:cs="宋体"/>
          <w:bCs/>
          <w:szCs w:val="21"/>
        </w:rPr>
      </w:pPr>
      <w:r>
        <w:rPr>
          <w:rFonts w:hint="eastAsia" w:ascii="宋体" w:hAnsi="宋体" w:cs="宋体"/>
          <w:bCs/>
          <w:szCs w:val="21"/>
        </w:rPr>
        <w:t>如基金管理人和基金托管人无法达成一致,应及时上报中国证监会请求解决。如果基金托管人切实履行监督职责,则不承担任何责任。</w:t>
      </w:r>
    </w:p>
    <w:p>
      <w:pPr>
        <w:snapToGrid w:val="0"/>
        <w:spacing w:line="360" w:lineRule="auto"/>
        <w:ind w:firstLine="420" w:firstLineChars="200"/>
        <w:rPr>
          <w:rFonts w:ascii="宋体" w:hAnsi="宋体" w:cs="宋体"/>
          <w:bCs/>
          <w:szCs w:val="21"/>
        </w:rPr>
      </w:pPr>
      <w:r>
        <w:rPr>
          <w:rFonts w:hint="eastAsia" w:ascii="宋体" w:hAnsi="宋体" w:cs="宋体"/>
          <w:bCs/>
          <w:szCs w:val="21"/>
        </w:rPr>
        <w:t>7.基金托管人根据法律法规的规定及《基金合同》和本协议的约定，对基金投资其他方面进行监督。</w:t>
      </w:r>
    </w:p>
    <w:p>
      <w:pPr>
        <w:snapToGrid w:val="0"/>
        <w:spacing w:line="360" w:lineRule="auto"/>
        <w:ind w:firstLine="420" w:firstLineChars="200"/>
        <w:rPr>
          <w:rFonts w:ascii="宋体" w:hAnsi="宋体" w:cs="宋体"/>
          <w:bCs/>
          <w:szCs w:val="21"/>
        </w:rPr>
      </w:pPr>
      <w:r>
        <w:rPr>
          <w:rFonts w:hint="eastAsia" w:ascii="宋体" w:hAnsi="宋体" w:cs="宋体"/>
          <w:bCs/>
          <w:szCs w:val="21"/>
        </w:rPr>
        <w:t>（二）基金托管人应根据有关法律法规的规定及《基金合同》的约定，对基金资产净值计算、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pPr>
        <w:snapToGrid w:val="0"/>
        <w:spacing w:line="360" w:lineRule="auto"/>
        <w:ind w:firstLine="420" w:firstLineChars="200"/>
        <w:rPr>
          <w:rFonts w:ascii="宋体" w:hAnsi="宋体" w:cs="宋体"/>
          <w:bCs/>
          <w:szCs w:val="21"/>
        </w:rPr>
      </w:pPr>
      <w:r>
        <w:rPr>
          <w:rFonts w:hint="eastAsia" w:ascii="宋体" w:hAnsi="宋体" w:cs="宋体"/>
          <w:bCs/>
          <w:szCs w:val="21"/>
        </w:rPr>
        <w:t>（三）基金管理人应积极配合和协助基金托管人的监督和核查，在规定时间内答复并改正，就基金托管人的疑义进行解释或举证。对基金托管人按照法规要求需向中国证监会报送基金监督报告的，基金管理人应积极配合提供相关数据资料和制度等。</w:t>
      </w:r>
    </w:p>
    <w:p>
      <w:pPr>
        <w:snapToGrid w:val="0"/>
        <w:spacing w:line="360" w:lineRule="auto"/>
        <w:ind w:firstLine="420" w:firstLineChars="200"/>
        <w:rPr>
          <w:rFonts w:ascii="宋体" w:hAnsi="宋体" w:cs="宋体"/>
          <w:bCs/>
          <w:szCs w:val="21"/>
        </w:rPr>
      </w:pPr>
      <w:r>
        <w:rPr>
          <w:rFonts w:hint="eastAsia" w:ascii="宋体" w:hAnsi="宋体" w:cs="宋体"/>
          <w:bCs/>
          <w:szCs w:val="21"/>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pPr>
        <w:snapToGrid w:val="0"/>
        <w:spacing w:line="360" w:lineRule="auto"/>
        <w:ind w:firstLine="420" w:firstLineChars="200"/>
        <w:rPr>
          <w:rFonts w:ascii="宋体" w:hAnsi="宋体" w:cs="宋体"/>
          <w:bCs/>
          <w:szCs w:val="21"/>
        </w:rPr>
      </w:pPr>
      <w:r>
        <w:rPr>
          <w:rFonts w:hint="eastAsia" w:ascii="宋体" w:hAnsi="宋体" w:cs="宋体"/>
          <w:bCs/>
          <w:szCs w:val="21"/>
        </w:rPr>
        <w:t>基金托管人发现基金管理人有重大违规行为，应立即报告中国证监会，同时通知基金管理人在限期内纠正。</w:t>
      </w:r>
    </w:p>
    <w:p>
      <w:pPr>
        <w:snapToGrid w:val="0"/>
        <w:spacing w:line="360" w:lineRule="auto"/>
        <w:ind w:firstLine="420" w:firstLineChars="200"/>
        <w:rPr>
          <w:rFonts w:ascii="宋体" w:hAnsi="宋体" w:cs="宋体"/>
          <w:bCs/>
          <w:szCs w:val="21"/>
        </w:rPr>
      </w:pPr>
      <w:r>
        <w:rPr>
          <w:rFonts w:hint="eastAsia" w:ascii="宋体" w:hAnsi="宋体" w:cs="宋体"/>
          <w:bCs/>
          <w:szCs w:val="21"/>
        </w:rPr>
        <w:t>基金托管人发现基金管理人的指令违反法律、行政法规和其他有关规定，或者违反《基金合同》约定的，应当拒绝执行，立即通知基金管理人，并有权向中国证监会报告。</w:t>
      </w:r>
    </w:p>
    <w:p>
      <w:pPr>
        <w:snapToGrid w:val="0"/>
        <w:spacing w:line="360" w:lineRule="auto"/>
        <w:ind w:firstLine="420" w:firstLineChars="200"/>
        <w:rPr>
          <w:rFonts w:ascii="宋体" w:hAnsi="宋体" w:cs="宋体"/>
          <w:bCs/>
          <w:szCs w:val="21"/>
        </w:rPr>
      </w:pPr>
      <w:r>
        <w:rPr>
          <w:rFonts w:hint="eastAsia" w:ascii="宋体" w:hAnsi="宋体" w:cs="宋体"/>
          <w:bCs/>
          <w:szCs w:val="21"/>
        </w:rPr>
        <w:t>基金托管人发现基金管理人依据交易程序已经生效的指令违反法律、行政法规和其他有关规定，或者违反《基金合同》约定的，应当立即通知基金管理人，并有权向中国证监会报告。</w:t>
      </w:r>
    </w:p>
    <w:p>
      <w:pPr>
        <w:adjustRightInd w:val="0"/>
        <w:snapToGrid w:val="0"/>
        <w:spacing w:line="360" w:lineRule="auto"/>
        <w:ind w:firstLine="422" w:firstLineChars="200"/>
        <w:rPr>
          <w:rFonts w:cs="Arial" w:asciiTheme="minorEastAsia" w:hAnsiTheme="minorEastAsia" w:eastAsiaTheme="minorEastAsia"/>
          <w:b/>
          <w:szCs w:val="21"/>
        </w:rPr>
      </w:pPr>
      <w:bookmarkStart w:id="181" w:name="OLE_LINK19"/>
      <w:bookmarkStart w:id="182" w:name="OLE_LINK20"/>
      <w:r>
        <w:rPr>
          <w:rFonts w:hint="eastAsia" w:cs="Arial" w:asciiTheme="minorEastAsia" w:hAnsiTheme="minorEastAsia" w:eastAsiaTheme="minorEastAsia"/>
          <w:b/>
          <w:szCs w:val="21"/>
        </w:rPr>
        <w:t>三、基金管理人对基金托管人的业务核查</w:t>
      </w:r>
    </w:p>
    <w:p>
      <w:pPr>
        <w:adjustRightInd w:val="0"/>
        <w:snapToGrid w:val="0"/>
        <w:spacing w:line="360" w:lineRule="auto"/>
        <w:ind w:firstLine="420" w:firstLineChars="200"/>
        <w:rPr>
          <w:rFonts w:cs="Arial" w:asciiTheme="minorEastAsia" w:hAnsiTheme="minorEastAsia" w:eastAsiaTheme="minorEastAsia"/>
          <w:kern w:val="0"/>
          <w:szCs w:val="21"/>
        </w:rPr>
      </w:pPr>
      <w:bookmarkStart w:id="183" w:name="_Toc287014244"/>
      <w:bookmarkStart w:id="184" w:name="_Toc278986832"/>
      <w:bookmarkStart w:id="185" w:name="_Toc278986892"/>
      <w:bookmarkStart w:id="186" w:name="_Toc278986607"/>
      <w:bookmarkStart w:id="187" w:name="_Toc286319595"/>
      <w:bookmarkStart w:id="188" w:name="_Toc288639817"/>
      <w:r>
        <w:rPr>
          <w:rFonts w:hint="eastAsia" w:cs="Arial" w:asciiTheme="minorEastAsia" w:hAnsiTheme="minorEastAsia" w:eastAsiaTheme="minorEastAsia"/>
          <w:kern w:val="0"/>
          <w:szCs w:val="21"/>
        </w:rPr>
        <w:t>根据《基金法》及其他有关法规、《基金合同》和本协议规定，基金管理人对基金托管人履行托管职责的情况进行核查，核查事项包括但不限于基金托管人是否安全保管基金财产、开立基金财产的资金账户、证券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pPr>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定期和不定期地对基金托管人保管的基金资产进行核查。基金托管人应积极配合基金管理人的核查行为，包括但不限于：提交相关资料以供基金管理人核查托管财产的完整性和真实性，在规定时间内答复并改正。</w:t>
      </w:r>
    </w:p>
    <w:p>
      <w:pPr>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pPr>
        <w:adjustRightInd w:val="0"/>
        <w:snapToGrid w:val="0"/>
        <w:spacing w:line="360" w:lineRule="auto"/>
        <w:ind w:firstLine="420" w:firstLineChars="200"/>
        <w:rPr>
          <w:rFonts w:cs="Arial" w:asciiTheme="minorEastAsia" w:hAnsiTheme="minorEastAsia" w:eastAsiaTheme="minorEastAsia"/>
          <w:kern w:val="0"/>
          <w:szCs w:val="21"/>
        </w:rPr>
      </w:pPr>
      <w:r>
        <w:rPr>
          <w:rFonts w:hint="eastAsia" w:cs="Arial" w:asciiTheme="minorEastAsia" w:hAnsiTheme="minorEastAsia" w:eastAsiaTheme="minorEastAsia"/>
          <w:kern w:val="0"/>
          <w:szCs w:val="21"/>
        </w:rPr>
        <w:t>基金管理人发现基金托管人有重大违规行为，应立即报告中国证监会，同时通知基金托管人在限期内纠正。</w:t>
      </w:r>
    </w:p>
    <w:p>
      <w:pPr>
        <w:spacing w:line="360" w:lineRule="auto"/>
        <w:ind w:firstLine="422" w:firstLineChars="200"/>
        <w:rPr>
          <w:rFonts w:ascii="宋体" w:hAnsi="宋体" w:cs="Arial"/>
          <w:szCs w:val="21"/>
        </w:rPr>
      </w:pPr>
      <w:r>
        <w:rPr>
          <w:rFonts w:ascii="Arial" w:hAnsi="Arial" w:cs="Arial"/>
          <w:b/>
          <w:szCs w:val="21"/>
        </w:rPr>
        <w:t>四、基金财产的保管</w:t>
      </w:r>
      <w:bookmarkEnd w:id="183"/>
      <w:bookmarkEnd w:id="184"/>
      <w:bookmarkEnd w:id="185"/>
      <w:bookmarkEnd w:id="186"/>
      <w:bookmarkEnd w:id="187"/>
      <w:bookmarkEnd w:id="188"/>
    </w:p>
    <w:p>
      <w:pPr>
        <w:spacing w:line="360" w:lineRule="auto"/>
        <w:ind w:firstLine="420" w:firstLineChars="200"/>
        <w:rPr>
          <w:rFonts w:ascii="宋体" w:hAnsi="宋体"/>
          <w:bCs/>
          <w:szCs w:val="21"/>
        </w:rPr>
      </w:pPr>
      <w:bookmarkStart w:id="189" w:name="_Toc77662997"/>
      <w:bookmarkStart w:id="190" w:name="_Toc37159173"/>
      <w:r>
        <w:rPr>
          <w:rFonts w:hint="eastAsia" w:ascii="宋体" w:hAnsi="宋体"/>
          <w:bCs/>
          <w:szCs w:val="21"/>
        </w:rPr>
        <w:t>（一）基金财产保管的原则</w:t>
      </w:r>
    </w:p>
    <w:p>
      <w:pPr>
        <w:spacing w:line="360" w:lineRule="auto"/>
        <w:ind w:firstLine="420" w:firstLineChars="200"/>
        <w:rPr>
          <w:rFonts w:ascii="宋体" w:hAnsi="宋体"/>
          <w:bCs/>
          <w:szCs w:val="21"/>
        </w:rPr>
      </w:pPr>
      <w:r>
        <w:rPr>
          <w:rFonts w:hint="eastAsia" w:ascii="宋体" w:hAnsi="宋体"/>
          <w:bCs/>
          <w:szCs w:val="21"/>
        </w:rPr>
        <w:t>1.基金托管人应安全保管基金财产，未经基金管理人的指令，不得自行运用、处分、分配基金的任何资产，非因基金财产本身承担的债务，不得对基金财产强制执行。</w:t>
      </w:r>
    </w:p>
    <w:p>
      <w:pPr>
        <w:spacing w:line="360" w:lineRule="auto"/>
        <w:ind w:firstLine="420" w:firstLineChars="200"/>
        <w:rPr>
          <w:rFonts w:ascii="宋体" w:hAnsi="宋体"/>
          <w:bCs/>
          <w:szCs w:val="21"/>
        </w:rPr>
      </w:pPr>
      <w:r>
        <w:rPr>
          <w:rFonts w:hint="eastAsia" w:ascii="宋体" w:hAnsi="宋体"/>
          <w:bCs/>
          <w:szCs w:val="21"/>
        </w:rPr>
        <w:t>2.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pPr>
        <w:spacing w:line="360" w:lineRule="auto"/>
        <w:ind w:firstLine="420" w:firstLineChars="200"/>
        <w:rPr>
          <w:rFonts w:ascii="宋体" w:hAnsi="宋体"/>
          <w:bCs/>
          <w:szCs w:val="21"/>
        </w:rPr>
      </w:pPr>
      <w:r>
        <w:rPr>
          <w:rFonts w:hint="eastAsia" w:ascii="宋体" w:hAnsi="宋体"/>
          <w:bCs/>
          <w:szCs w:val="21"/>
        </w:rPr>
        <w:t>3.基金托管人按照规定开立基金财产的银行存款账户、证券账户和债券托管账户等投资所需账户，基金管理人和基金托管人按照规定开立期货资金账户。</w:t>
      </w:r>
    </w:p>
    <w:p>
      <w:pPr>
        <w:spacing w:line="360" w:lineRule="auto"/>
        <w:ind w:firstLine="420" w:firstLineChars="200"/>
        <w:rPr>
          <w:rFonts w:ascii="宋体" w:hAnsi="宋体"/>
          <w:bCs/>
          <w:szCs w:val="21"/>
        </w:rPr>
      </w:pPr>
      <w:r>
        <w:rPr>
          <w:rFonts w:hint="eastAsia" w:ascii="宋体" w:hAnsi="宋体"/>
          <w:bCs/>
          <w:szCs w:val="21"/>
        </w:rPr>
        <w:t>4.基金托管人对所托管的不同基金财产分别设置账户，与基金托管人的其他业务和其他基金的托管业务实行严格的分账管理，独立核算，确保基金财产的完整和独立。</w:t>
      </w:r>
    </w:p>
    <w:p>
      <w:pPr>
        <w:spacing w:line="360" w:lineRule="auto"/>
        <w:ind w:firstLine="420" w:firstLineChars="200"/>
        <w:rPr>
          <w:rFonts w:ascii="宋体" w:hAnsi="宋体"/>
          <w:bCs/>
          <w:szCs w:val="21"/>
        </w:rPr>
      </w:pPr>
      <w:r>
        <w:rPr>
          <w:rFonts w:hint="eastAsia" w:ascii="宋体" w:hAnsi="宋体"/>
          <w:bCs/>
          <w:szCs w:val="21"/>
        </w:rPr>
        <w:t>5.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对此不承担任何责任。</w:t>
      </w:r>
    </w:p>
    <w:p>
      <w:pPr>
        <w:spacing w:line="360" w:lineRule="auto"/>
        <w:ind w:firstLine="420" w:firstLineChars="200"/>
        <w:rPr>
          <w:rFonts w:ascii="宋体" w:hAnsi="宋体"/>
          <w:bCs/>
          <w:szCs w:val="21"/>
        </w:rPr>
      </w:pPr>
      <w:r>
        <w:rPr>
          <w:rFonts w:hint="eastAsia" w:ascii="宋体" w:hAnsi="宋体"/>
          <w:bCs/>
          <w:szCs w:val="21"/>
        </w:rPr>
        <w:t>（二）基金募集资产的验证</w:t>
      </w:r>
    </w:p>
    <w:p>
      <w:pPr>
        <w:spacing w:line="360" w:lineRule="auto"/>
        <w:ind w:firstLine="420" w:firstLineChars="200"/>
        <w:rPr>
          <w:rFonts w:ascii="宋体" w:hAnsi="宋体"/>
          <w:bCs/>
          <w:szCs w:val="21"/>
        </w:rPr>
      </w:pPr>
      <w:r>
        <w:rPr>
          <w:rFonts w:hint="eastAsia" w:ascii="宋体" w:hAnsi="宋体"/>
          <w:bCs/>
          <w:szCs w:val="21"/>
        </w:rPr>
        <w:t>基金募集期满或基金提前结束募集之日起10日内，由基金管理人聘请符合《中华人民共和国证券法》规定的会计师事务所进行验资，出具验资报告，出具的验资报告应由参加验资的2名以上（含2名）中国注册会计师签字有效。验资完成，基金管理人应将募集到的全部资金存入基金托管人为基金开立的基金银行存款账户中，基金托管人在收到资金当日出具相关证明文件。</w:t>
      </w:r>
    </w:p>
    <w:p>
      <w:pPr>
        <w:spacing w:line="360" w:lineRule="auto"/>
        <w:ind w:firstLine="420" w:firstLineChars="200"/>
        <w:rPr>
          <w:rFonts w:ascii="宋体" w:hAnsi="宋体"/>
          <w:bCs/>
          <w:szCs w:val="21"/>
        </w:rPr>
      </w:pPr>
      <w:r>
        <w:rPr>
          <w:rFonts w:hint="eastAsia" w:ascii="宋体" w:hAnsi="宋体"/>
          <w:bCs/>
          <w:szCs w:val="21"/>
        </w:rPr>
        <w:t>（三）基金的银行存款账户的开立和管理</w:t>
      </w:r>
    </w:p>
    <w:p>
      <w:pPr>
        <w:spacing w:line="360" w:lineRule="auto"/>
        <w:ind w:firstLine="420" w:firstLineChars="200"/>
        <w:rPr>
          <w:rFonts w:ascii="宋体" w:hAnsi="宋体"/>
          <w:bCs/>
          <w:szCs w:val="21"/>
        </w:rPr>
      </w:pPr>
      <w:r>
        <w:rPr>
          <w:rFonts w:hint="eastAsia" w:ascii="宋体" w:hAnsi="宋体"/>
          <w:bCs/>
          <w:szCs w:val="21"/>
        </w:rPr>
        <w:t>1.基金托管人应负责本基金银行存款账户的开立和管理。</w:t>
      </w:r>
    </w:p>
    <w:p>
      <w:pPr>
        <w:spacing w:line="360" w:lineRule="auto"/>
        <w:ind w:firstLine="420" w:firstLineChars="200"/>
        <w:rPr>
          <w:rFonts w:ascii="宋体" w:hAnsi="宋体"/>
          <w:bCs/>
          <w:szCs w:val="21"/>
        </w:rPr>
      </w:pPr>
      <w:r>
        <w:rPr>
          <w:rFonts w:hint="eastAsia" w:ascii="宋体" w:hAnsi="宋体"/>
          <w:bCs/>
          <w:szCs w:val="21"/>
        </w:rPr>
        <w:t>2.基金托管人以本基金的名义在其营业机构开立基金的银行存款账户，并根据基金管理人合法合规的指令办理资金收付。本基金的银行预留印鉴由基金托管人保管和使用。本基金的一切货币收支活动，包括但不限于投资、支付赎回金额、支付基金收益，均需通过本基金的银行存款账户进行。</w:t>
      </w:r>
    </w:p>
    <w:p>
      <w:pPr>
        <w:spacing w:line="360" w:lineRule="auto"/>
        <w:ind w:firstLine="420" w:firstLineChars="200"/>
        <w:rPr>
          <w:rFonts w:ascii="宋体" w:hAnsi="宋体"/>
          <w:bCs/>
          <w:szCs w:val="21"/>
        </w:rPr>
      </w:pPr>
      <w:r>
        <w:rPr>
          <w:rFonts w:hint="eastAsia" w:ascii="宋体" w:hAnsi="宋体"/>
          <w:bCs/>
          <w:szCs w:val="21"/>
        </w:rPr>
        <w:t>3.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pPr>
        <w:spacing w:line="360" w:lineRule="auto"/>
        <w:ind w:firstLine="420" w:firstLineChars="200"/>
        <w:rPr>
          <w:rFonts w:ascii="宋体" w:hAnsi="宋体"/>
          <w:bCs/>
          <w:szCs w:val="21"/>
        </w:rPr>
      </w:pPr>
      <w:r>
        <w:rPr>
          <w:rFonts w:hint="eastAsia" w:ascii="宋体" w:hAnsi="宋体"/>
          <w:bCs/>
          <w:szCs w:val="21"/>
        </w:rPr>
        <w:t>4.基金托管人可以通过申请开通本基金银行账户的企业网上银行业务进行资金支付，并使用交通银行企业网上银行（简称“交通银行网银”）办理托管资产的资金结算汇划业务。</w:t>
      </w:r>
    </w:p>
    <w:p>
      <w:pPr>
        <w:spacing w:line="360" w:lineRule="auto"/>
        <w:ind w:firstLine="420" w:firstLineChars="200"/>
        <w:rPr>
          <w:rFonts w:ascii="宋体" w:hAnsi="宋体"/>
          <w:bCs/>
          <w:szCs w:val="21"/>
        </w:rPr>
      </w:pPr>
      <w:r>
        <w:rPr>
          <w:rFonts w:hint="eastAsia" w:ascii="宋体" w:hAnsi="宋体"/>
          <w:bCs/>
          <w:szCs w:val="21"/>
        </w:rPr>
        <w:t>5.基金银行存款账户的管理应符合银行业监督管理机构的有关规定。</w:t>
      </w:r>
    </w:p>
    <w:p>
      <w:pPr>
        <w:spacing w:line="360" w:lineRule="auto"/>
        <w:ind w:firstLine="420" w:firstLineChars="200"/>
        <w:rPr>
          <w:rFonts w:ascii="宋体" w:hAnsi="宋体"/>
          <w:bCs/>
          <w:szCs w:val="21"/>
        </w:rPr>
      </w:pPr>
      <w:r>
        <w:rPr>
          <w:rFonts w:hint="eastAsia" w:ascii="宋体" w:hAnsi="宋体"/>
          <w:bCs/>
          <w:szCs w:val="21"/>
        </w:rPr>
        <w:t>（四）基金证券交收账户、证券资金账户的开立和管理</w:t>
      </w:r>
    </w:p>
    <w:p>
      <w:pPr>
        <w:spacing w:line="360" w:lineRule="auto"/>
        <w:ind w:firstLine="420" w:firstLineChars="200"/>
        <w:rPr>
          <w:rFonts w:ascii="宋体" w:hAnsi="宋体"/>
          <w:bCs/>
          <w:szCs w:val="21"/>
        </w:rPr>
      </w:pPr>
      <w:r>
        <w:rPr>
          <w:rFonts w:hint="eastAsia" w:ascii="宋体" w:hAnsi="宋体"/>
          <w:bCs/>
          <w:szCs w:val="21"/>
        </w:rPr>
        <w:t>1.基金托管人应当代表本基金，以基金托管人和本基金联名的方式在中国证券登记结算有限责任公司开设证券账户。</w:t>
      </w:r>
    </w:p>
    <w:p>
      <w:pPr>
        <w:spacing w:line="360" w:lineRule="auto"/>
        <w:ind w:firstLine="420" w:firstLineChars="200"/>
        <w:rPr>
          <w:rFonts w:ascii="宋体" w:hAnsi="宋体"/>
          <w:bCs/>
          <w:szCs w:val="21"/>
        </w:rPr>
      </w:pPr>
      <w:r>
        <w:rPr>
          <w:rFonts w:hint="eastAsia" w:ascii="宋体" w:hAnsi="宋体"/>
          <w:bCs/>
          <w:szCs w:val="21"/>
        </w:rPr>
        <w:t>2.基金证券账户资产的管理和运用由基金管理人负责。</w:t>
      </w:r>
    </w:p>
    <w:p>
      <w:pPr>
        <w:spacing w:line="360" w:lineRule="auto"/>
        <w:ind w:firstLine="420" w:firstLineChars="200"/>
        <w:rPr>
          <w:rFonts w:ascii="宋体" w:hAnsi="宋体"/>
          <w:bCs/>
          <w:szCs w:val="21"/>
        </w:rPr>
      </w:pPr>
      <w:r>
        <w:rPr>
          <w:rFonts w:hint="eastAsia" w:ascii="宋体" w:hAnsi="宋体"/>
          <w:bCs/>
          <w:szCs w:val="21"/>
        </w:rPr>
        <w:t>3.证券账户开立后，基金管理人以本基金名义在基金管理人选择的证券经纪机构营业网点开立对应的证券资金账户，并通知基金托管人。证券资金账户用于本基金证券交易的结算以及证券交易结算资金的记录，并与本基金银行存款账户之间建立唯一银证转账对应关系, 证券经纪机构对开立的证券资金账户内存放的资金的安全承担责任, 基金托管人不负责保管证券资金账户内存放的资金。</w:t>
      </w:r>
    </w:p>
    <w:p>
      <w:pPr>
        <w:spacing w:line="360" w:lineRule="auto"/>
        <w:ind w:firstLine="420" w:firstLineChars="200"/>
        <w:rPr>
          <w:rFonts w:ascii="宋体" w:hAnsi="宋体"/>
          <w:bCs/>
          <w:szCs w:val="21"/>
        </w:rPr>
      </w:pPr>
      <w:r>
        <w:rPr>
          <w:rFonts w:hint="eastAsia" w:ascii="宋体" w:hAnsi="宋体"/>
          <w:bCs/>
          <w:szCs w:val="21"/>
        </w:rPr>
        <w:t>4.由基金托管人持基金管理人与证券经纪机构签订的三方存管相关协议办理证券资金账户与本基金银行存款账户的银证签约手续，未经基金托管人书面同意，基金管理人不得将银证签约的指定银行结算账户（即本基金银行存款账户）变更为其他账户，否则，因此引起的法律后果及给本基金造成的损失全部由基金管理人承担。</w:t>
      </w:r>
    </w:p>
    <w:p>
      <w:pPr>
        <w:spacing w:line="360" w:lineRule="auto"/>
        <w:ind w:firstLine="420" w:firstLineChars="200"/>
        <w:rPr>
          <w:rFonts w:ascii="宋体" w:hAnsi="宋体"/>
          <w:bCs/>
          <w:szCs w:val="21"/>
        </w:rPr>
      </w:pPr>
      <w:r>
        <w:rPr>
          <w:rFonts w:hint="eastAsia" w:ascii="宋体" w:hAnsi="宋体"/>
          <w:bCs/>
          <w:szCs w:val="21"/>
        </w:rPr>
        <w:t>5.本基金证券账户和证券资金账户的开立和使用，限于满足开展本基金业务的需要。基金托管人和基金管理人不得出借或未经另一方同意擅自转让本基金的证券账户和证券资金账户；亦不得使用本基金的证券账户和证券资金账户进行本基金业务以外的活动。</w:t>
      </w:r>
    </w:p>
    <w:p>
      <w:pPr>
        <w:spacing w:line="360" w:lineRule="auto"/>
        <w:ind w:firstLine="420" w:firstLineChars="200"/>
        <w:rPr>
          <w:rFonts w:ascii="宋体" w:hAnsi="宋体"/>
          <w:bCs/>
          <w:szCs w:val="21"/>
        </w:rPr>
      </w:pPr>
      <w:r>
        <w:rPr>
          <w:rFonts w:hint="eastAsia" w:ascii="宋体" w:hAnsi="宋体"/>
          <w:bCs/>
          <w:szCs w:val="21"/>
        </w:rPr>
        <w:t>（五）债券托管账户的开立和管理</w:t>
      </w:r>
    </w:p>
    <w:p>
      <w:pPr>
        <w:spacing w:line="360" w:lineRule="auto"/>
        <w:ind w:firstLine="420" w:firstLineChars="200"/>
        <w:rPr>
          <w:rFonts w:ascii="宋体" w:hAnsi="宋体"/>
          <w:bCs/>
          <w:szCs w:val="21"/>
        </w:rPr>
      </w:pPr>
      <w:r>
        <w:rPr>
          <w:rFonts w:hint="eastAsia" w:ascii="宋体" w:hAnsi="宋体"/>
          <w:bCs/>
          <w:szCs w:val="21"/>
        </w:rPr>
        <w:t>1.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基金管理人负责申请基金进入全国银行间同业拆借市场进行交易，由基金管理人在中国外汇交易中心开设同业拆借市场交易账户。</w:t>
      </w:r>
    </w:p>
    <w:p>
      <w:pPr>
        <w:spacing w:line="360" w:lineRule="auto"/>
        <w:ind w:firstLine="420" w:firstLineChars="200"/>
        <w:rPr>
          <w:rFonts w:ascii="宋体" w:hAnsi="宋体"/>
          <w:bCs/>
          <w:szCs w:val="21"/>
        </w:rPr>
      </w:pPr>
      <w:r>
        <w:rPr>
          <w:rFonts w:hint="eastAsia" w:ascii="宋体" w:hAnsi="宋体"/>
          <w:bCs/>
          <w:szCs w:val="21"/>
        </w:rPr>
        <w:t>2.基金管理人代表基金签订全国银行间债券市场债券回购主协议，协议正本由基金管理人保存。</w:t>
      </w:r>
    </w:p>
    <w:p>
      <w:pPr>
        <w:spacing w:line="360" w:lineRule="auto"/>
        <w:ind w:firstLine="420" w:firstLineChars="200"/>
        <w:rPr>
          <w:rFonts w:ascii="宋体" w:hAnsi="宋体"/>
          <w:bCs/>
          <w:szCs w:val="21"/>
        </w:rPr>
      </w:pPr>
      <w:r>
        <w:rPr>
          <w:rFonts w:hint="eastAsia" w:ascii="宋体" w:hAnsi="宋体"/>
          <w:bCs/>
          <w:szCs w:val="21"/>
        </w:rPr>
        <w:t>3.基金管理人代表基金签订中国银行间市场金融衍生产品交易主协议（凭证特别版），协议正本由基金管理人保存。</w:t>
      </w:r>
    </w:p>
    <w:p>
      <w:pPr>
        <w:spacing w:line="360" w:lineRule="auto"/>
        <w:ind w:firstLine="420" w:firstLineChars="200"/>
        <w:rPr>
          <w:rFonts w:ascii="宋体" w:hAnsi="宋体"/>
          <w:bCs/>
          <w:szCs w:val="21"/>
        </w:rPr>
      </w:pPr>
      <w:r>
        <w:rPr>
          <w:rFonts w:hint="eastAsia" w:ascii="宋体" w:hAnsi="宋体"/>
          <w:bCs/>
          <w:szCs w:val="21"/>
        </w:rPr>
        <w:t>（六）期货相关账户的开立和管理</w:t>
      </w:r>
    </w:p>
    <w:p>
      <w:pPr>
        <w:spacing w:line="360" w:lineRule="auto"/>
        <w:ind w:firstLine="420" w:firstLineChars="200"/>
        <w:rPr>
          <w:rFonts w:ascii="宋体" w:hAnsi="宋体"/>
          <w:bCs/>
          <w:szCs w:val="21"/>
        </w:rPr>
      </w:pPr>
      <w:r>
        <w:rPr>
          <w:rFonts w:hint="eastAsia" w:ascii="宋体" w:hAnsi="宋体"/>
          <w:bCs/>
          <w:szCs w:val="21"/>
        </w:rPr>
        <w:t>基金管理人、基金托管人应当按照相关规定开立期货资金账户，在中国金融期货交易所获取交易编码。期货资金账户名称及交易编码对应名称应按照有关规定设立。</w:t>
      </w:r>
    </w:p>
    <w:p>
      <w:pPr>
        <w:spacing w:line="360" w:lineRule="auto"/>
        <w:ind w:firstLine="420" w:firstLineChars="200"/>
        <w:rPr>
          <w:rFonts w:ascii="宋体" w:hAnsi="宋体"/>
          <w:bCs/>
          <w:szCs w:val="21"/>
        </w:rPr>
      </w:pPr>
      <w:r>
        <w:rPr>
          <w:rFonts w:hint="eastAsia" w:ascii="宋体" w:hAnsi="宋体"/>
          <w:bCs/>
          <w:szCs w:val="21"/>
        </w:rPr>
        <w:t>基金托管人已取得期货保证金存管银行资格，基金管理人授权基金托管人办理相关银期转账业务。</w:t>
      </w:r>
    </w:p>
    <w:p>
      <w:pPr>
        <w:spacing w:line="360" w:lineRule="auto"/>
        <w:ind w:firstLine="420" w:firstLineChars="200"/>
        <w:rPr>
          <w:rFonts w:ascii="宋体" w:hAnsi="宋体"/>
          <w:bCs/>
          <w:szCs w:val="21"/>
        </w:rPr>
      </w:pPr>
      <w:r>
        <w:rPr>
          <w:rFonts w:hint="eastAsia" w:ascii="宋体" w:hAnsi="宋体"/>
          <w:bCs/>
          <w:szCs w:val="21"/>
        </w:rPr>
        <w:t>（七）基金投资银行存款账户的开立和管理</w:t>
      </w:r>
    </w:p>
    <w:p>
      <w:pPr>
        <w:spacing w:line="360" w:lineRule="auto"/>
        <w:ind w:firstLine="420" w:firstLineChars="200"/>
        <w:rPr>
          <w:rFonts w:ascii="宋体" w:hAnsi="宋体"/>
          <w:bCs/>
          <w:szCs w:val="21"/>
        </w:rPr>
      </w:pPr>
      <w:r>
        <w:rPr>
          <w:rFonts w:hint="eastAsia" w:ascii="宋体" w:hAnsi="宋体"/>
          <w:bCs/>
          <w:szCs w:val="21"/>
        </w:rPr>
        <w:t>存款账户必须以基金名义开立，账户名称为基金名称，存款账户开户文件上加盖预留印鉴（须包括托管人印章）及基金管理人公章。</w:t>
      </w:r>
    </w:p>
    <w:p>
      <w:pPr>
        <w:spacing w:line="360" w:lineRule="auto"/>
        <w:ind w:firstLine="420" w:firstLineChars="200"/>
        <w:rPr>
          <w:rFonts w:ascii="宋体" w:hAnsi="宋体"/>
          <w:bCs/>
          <w:szCs w:val="21"/>
        </w:rPr>
      </w:pPr>
      <w:r>
        <w:rPr>
          <w:rFonts w:hint="eastAsia" w:ascii="宋体" w:hAnsi="宋体"/>
          <w:bCs/>
          <w:szCs w:val="21"/>
        </w:rPr>
        <w:t>本基金投资银行存款时，基金管理人应当与存款银行签订具体存款协议/存款确认单据，明确存款的类型、期限、利率、金额、账号、对账方式、支取方式、存款到期指定收款账户等细则。</w:t>
      </w:r>
    </w:p>
    <w:p>
      <w:pPr>
        <w:spacing w:line="360" w:lineRule="auto"/>
        <w:ind w:firstLine="420" w:firstLineChars="200"/>
        <w:rPr>
          <w:rFonts w:ascii="宋体" w:hAnsi="宋体"/>
          <w:bCs/>
          <w:szCs w:val="21"/>
        </w:rPr>
      </w:pPr>
      <w:r>
        <w:rPr>
          <w:rFonts w:hint="eastAsia" w:ascii="宋体" w:hAnsi="宋体"/>
          <w:bCs/>
          <w:szCs w:val="21"/>
        </w:rPr>
        <w:t>为防范特殊情况下的流动性风险，存款协议中应当约定提前支取条款。</w:t>
      </w:r>
    </w:p>
    <w:p>
      <w:pPr>
        <w:spacing w:line="360" w:lineRule="auto"/>
        <w:ind w:firstLine="420" w:firstLineChars="200"/>
        <w:rPr>
          <w:rFonts w:ascii="宋体" w:hAnsi="宋体"/>
          <w:bCs/>
          <w:szCs w:val="21"/>
        </w:rPr>
      </w:pPr>
      <w:r>
        <w:rPr>
          <w:rFonts w:hint="eastAsia" w:ascii="宋体" w:hAnsi="宋体"/>
          <w:bCs/>
          <w:szCs w:val="21"/>
        </w:rPr>
        <w:t>（八）其他账户的开立和管理</w:t>
      </w:r>
    </w:p>
    <w:p>
      <w:pPr>
        <w:spacing w:line="360" w:lineRule="auto"/>
        <w:ind w:firstLine="420" w:firstLineChars="200"/>
        <w:rPr>
          <w:rFonts w:ascii="宋体" w:hAnsi="宋体"/>
          <w:bCs/>
          <w:szCs w:val="21"/>
        </w:rPr>
      </w:pPr>
      <w:r>
        <w:rPr>
          <w:rFonts w:hint="eastAsia" w:ascii="宋体" w:hAnsi="宋体"/>
          <w:bCs/>
          <w:szCs w:val="21"/>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pPr>
        <w:spacing w:line="360" w:lineRule="auto"/>
        <w:ind w:firstLine="420" w:firstLineChars="200"/>
        <w:rPr>
          <w:rFonts w:ascii="宋体" w:hAnsi="宋体"/>
          <w:bCs/>
          <w:szCs w:val="21"/>
        </w:rPr>
      </w:pPr>
      <w:r>
        <w:rPr>
          <w:rFonts w:hint="eastAsia" w:ascii="宋体" w:hAnsi="宋体"/>
          <w:bCs/>
          <w:szCs w:val="21"/>
        </w:rPr>
        <w:t>（九）基金财产投资的有关实物证券、银行存款定期存单等有价凭证的保管</w:t>
      </w:r>
    </w:p>
    <w:p>
      <w:pPr>
        <w:spacing w:line="360" w:lineRule="auto"/>
        <w:ind w:firstLine="420" w:firstLineChars="200"/>
        <w:rPr>
          <w:rFonts w:ascii="宋体" w:hAnsi="宋体"/>
          <w:bCs/>
          <w:szCs w:val="21"/>
        </w:rPr>
      </w:pPr>
      <w:r>
        <w:rPr>
          <w:rFonts w:hint="eastAsia" w:ascii="宋体" w:hAnsi="宋体"/>
          <w:bCs/>
          <w:szCs w:val="21"/>
        </w:rPr>
        <w:t>实物证券由基金托管人存放于基金托管人的保管库。实物证券的购买和转让，由基金托管人根据基金管理人的指令办理。基金托管人对由基金托管人以外机构实际有效控制的本基金资产不承担保管责任。</w:t>
      </w:r>
    </w:p>
    <w:p>
      <w:pPr>
        <w:spacing w:line="360" w:lineRule="auto"/>
        <w:ind w:firstLine="420" w:firstLineChars="200"/>
        <w:rPr>
          <w:rFonts w:ascii="宋体" w:hAnsi="宋体"/>
          <w:bCs/>
          <w:szCs w:val="21"/>
        </w:rPr>
      </w:pPr>
      <w:r>
        <w:rPr>
          <w:rFonts w:hint="eastAsia" w:ascii="宋体" w:hAnsi="宋体"/>
          <w:bCs/>
          <w:szCs w:val="21"/>
        </w:rPr>
        <w:t>银行存款定期存单等有价凭证由基金托管人负责保管。</w:t>
      </w:r>
    </w:p>
    <w:p>
      <w:pPr>
        <w:spacing w:line="360" w:lineRule="auto"/>
        <w:ind w:firstLine="420" w:firstLineChars="200"/>
        <w:rPr>
          <w:rFonts w:ascii="宋体" w:hAnsi="宋体"/>
          <w:bCs/>
          <w:szCs w:val="21"/>
        </w:rPr>
      </w:pPr>
      <w:r>
        <w:rPr>
          <w:rFonts w:hint="eastAsia" w:ascii="宋体" w:hAnsi="宋体"/>
          <w:bCs/>
          <w:szCs w:val="21"/>
        </w:rPr>
        <w:t>基金托管人只负责对存款证实书进行保管，不负责对存款证实书真伪的辨别，不承担存款证实书对应存款的本金及收益的安全保管责任。</w:t>
      </w:r>
    </w:p>
    <w:p>
      <w:pPr>
        <w:spacing w:line="360" w:lineRule="auto"/>
        <w:ind w:firstLine="420" w:firstLineChars="200"/>
        <w:rPr>
          <w:rFonts w:ascii="宋体" w:hAnsi="宋体"/>
          <w:bCs/>
          <w:szCs w:val="21"/>
        </w:rPr>
      </w:pPr>
      <w:r>
        <w:rPr>
          <w:rFonts w:hint="eastAsia" w:ascii="宋体" w:hAnsi="宋体"/>
          <w:bCs/>
          <w:szCs w:val="21"/>
        </w:rPr>
        <w:t>（十）与基金财产有关的重大合同的保管</w:t>
      </w:r>
    </w:p>
    <w:p>
      <w:pPr>
        <w:spacing w:line="360" w:lineRule="auto"/>
        <w:ind w:firstLine="420" w:firstLineChars="200"/>
        <w:rPr>
          <w:rFonts w:ascii="宋体" w:hAnsi="宋体"/>
          <w:bCs/>
          <w:szCs w:val="21"/>
        </w:rPr>
      </w:pPr>
      <w:r>
        <w:rPr>
          <w:rFonts w:hint="eastAsia" w:ascii="宋体" w:hAnsi="宋体"/>
          <w:bCs/>
          <w:szCs w:val="21"/>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w:t>
      </w:r>
    </w:p>
    <w:p>
      <w:pPr>
        <w:tabs>
          <w:tab w:val="left" w:pos="3780"/>
        </w:tabs>
        <w:spacing w:line="360" w:lineRule="auto"/>
        <w:outlineLvl w:val="0"/>
        <w:rPr>
          <w:rFonts w:ascii="宋体"/>
          <w:b/>
          <w:bCs/>
          <w:szCs w:val="21"/>
        </w:rPr>
      </w:pPr>
      <w:r>
        <w:rPr>
          <w:rFonts w:hint="eastAsia" w:ascii="宋体" w:hAnsi="宋体"/>
          <w:bCs/>
          <w:szCs w:val="21"/>
        </w:rPr>
        <w:t>对于无法取得二份以上的正本的，基金管理人应向基金托管人提供加盖授权业务章的合同传真件，未经双方协商或未在合同约定范围内，合同原件不得转移。</w:t>
      </w:r>
      <w:bookmarkEnd w:id="189"/>
      <w:bookmarkEnd w:id="190"/>
    </w:p>
    <w:bookmarkEnd w:id="181"/>
    <w:bookmarkEnd w:id="182"/>
    <w:p>
      <w:pPr>
        <w:adjustRightInd w:val="0"/>
        <w:snapToGrid w:val="0"/>
        <w:spacing w:line="360" w:lineRule="auto"/>
        <w:ind w:firstLine="480"/>
        <w:rPr>
          <w:rFonts w:cs="Arial" w:asciiTheme="minorEastAsia" w:hAnsiTheme="minorEastAsia" w:eastAsiaTheme="minorEastAsia"/>
          <w:b/>
          <w:szCs w:val="21"/>
        </w:rPr>
      </w:pPr>
      <w:r>
        <w:rPr>
          <w:rFonts w:hint="eastAsia" w:cs="Arial" w:asciiTheme="minorEastAsia" w:hAnsiTheme="minorEastAsia" w:eastAsiaTheme="minorEastAsia"/>
          <w:b/>
          <w:szCs w:val="21"/>
        </w:rPr>
        <w:t>五、基金资产净值计算和会计核算</w:t>
      </w:r>
    </w:p>
    <w:p>
      <w:pPr>
        <w:adjustRightInd w:val="0"/>
        <w:snapToGrid w:val="0"/>
        <w:spacing w:line="360" w:lineRule="auto"/>
        <w:ind w:firstLine="480"/>
        <w:rPr>
          <w:rFonts w:ascii="宋体" w:hAnsi="宋体"/>
          <w:bCs/>
          <w:szCs w:val="21"/>
        </w:rPr>
      </w:pPr>
      <w:bookmarkStart w:id="191" w:name="_Toc77663017"/>
      <w:r>
        <w:rPr>
          <w:rFonts w:hint="eastAsia" w:ascii="宋体" w:hAnsi="宋体"/>
          <w:bCs/>
          <w:szCs w:val="21"/>
        </w:rPr>
        <w:t>（一）基金资产净值及基金份额净值的计算与复核</w:t>
      </w:r>
    </w:p>
    <w:p>
      <w:pPr>
        <w:adjustRightInd w:val="0"/>
        <w:snapToGrid w:val="0"/>
        <w:spacing w:line="360" w:lineRule="auto"/>
        <w:ind w:firstLine="480"/>
        <w:rPr>
          <w:rFonts w:ascii="宋体" w:hAnsi="宋体"/>
          <w:bCs/>
          <w:szCs w:val="21"/>
        </w:rPr>
      </w:pPr>
      <w:r>
        <w:rPr>
          <w:rFonts w:hint="eastAsia" w:ascii="宋体" w:hAnsi="宋体"/>
          <w:bCs/>
          <w:szCs w:val="21"/>
        </w:rPr>
        <w:t>基金资产净值是指基金资产总值减去负债后的价值。</w:t>
      </w:r>
    </w:p>
    <w:p>
      <w:pPr>
        <w:adjustRightInd w:val="0"/>
        <w:snapToGrid w:val="0"/>
        <w:spacing w:line="360" w:lineRule="auto"/>
        <w:ind w:firstLine="480"/>
        <w:rPr>
          <w:rFonts w:ascii="宋体" w:hAnsi="宋体"/>
          <w:bCs/>
          <w:szCs w:val="21"/>
        </w:rPr>
      </w:pPr>
      <w:r>
        <w:rPr>
          <w:rFonts w:hint="eastAsia" w:ascii="宋体" w:hAnsi="宋体"/>
          <w:bCs/>
          <w:szCs w:val="21"/>
        </w:rPr>
        <w:t>基金管理人应每工作日对基金资产估值。估值原则应符合《基金合同》、《中国证监会关于证券投资基金估值业务的指导意见》及其他法律、法规的规定。用于基金信息披露的基金资产净值和基金份额净值由基金管理人负责计算，基金托管人复核。基金管理人应于每个工作日交易结束后计算当日的各类基金份额的基金资产净值和基金份额净值，以约定方式发送给基金托管人。基金托管人对净值计算结果复核后，将复核结果反馈给基金管理人，由基金管理人对基金份额净值予以公布。</w:t>
      </w:r>
    </w:p>
    <w:p>
      <w:pPr>
        <w:adjustRightInd w:val="0"/>
        <w:snapToGrid w:val="0"/>
        <w:spacing w:line="360" w:lineRule="auto"/>
        <w:ind w:firstLine="480"/>
        <w:rPr>
          <w:rFonts w:ascii="宋体" w:hAnsi="宋体"/>
          <w:bCs/>
          <w:szCs w:val="21"/>
        </w:rPr>
      </w:pPr>
      <w:r>
        <w:rPr>
          <w:rFonts w:hint="eastAsia" w:ascii="宋体" w:hAnsi="宋体"/>
          <w:bCs/>
          <w:szCs w:val="21"/>
        </w:rPr>
        <w:t xml:space="preserve">本基金按以下方法估值： </w:t>
      </w:r>
    </w:p>
    <w:p>
      <w:pPr>
        <w:adjustRightInd w:val="0"/>
        <w:snapToGrid w:val="0"/>
        <w:spacing w:line="360" w:lineRule="auto"/>
        <w:ind w:firstLine="480"/>
        <w:rPr>
          <w:rFonts w:ascii="宋体" w:hAnsi="宋体"/>
          <w:bCs/>
          <w:szCs w:val="21"/>
        </w:rPr>
      </w:pPr>
      <w:r>
        <w:rPr>
          <w:rFonts w:hint="eastAsia" w:ascii="宋体" w:hAnsi="宋体"/>
          <w:bCs/>
          <w:szCs w:val="21"/>
        </w:rPr>
        <w:t>1、交易所上市或挂牌转让的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djustRightInd w:val="0"/>
        <w:snapToGrid w:val="0"/>
        <w:spacing w:line="360" w:lineRule="auto"/>
        <w:ind w:firstLine="480"/>
        <w:rPr>
          <w:rFonts w:ascii="宋体" w:hAnsi="宋体"/>
          <w:bCs/>
          <w:szCs w:val="21"/>
        </w:rPr>
      </w:pPr>
      <w:r>
        <w:rPr>
          <w:rFonts w:hint="eastAsia" w:ascii="宋体" w:hAnsi="宋体"/>
          <w:bCs/>
          <w:szCs w:val="21"/>
        </w:rPr>
        <w:t>2、对于已上市或已挂牌转让的不含权固定收益品种，选取估值日第三方估值基准服务机构提供的相应品种当日的估值全价进行估值。</w:t>
      </w:r>
    </w:p>
    <w:p>
      <w:pPr>
        <w:adjustRightInd w:val="0"/>
        <w:snapToGrid w:val="0"/>
        <w:spacing w:line="360" w:lineRule="auto"/>
        <w:ind w:firstLine="480"/>
        <w:rPr>
          <w:rFonts w:ascii="宋体" w:hAnsi="宋体"/>
          <w:bCs/>
          <w:szCs w:val="21"/>
        </w:rPr>
      </w:pPr>
      <w:r>
        <w:rPr>
          <w:rFonts w:hint="eastAsia" w:ascii="宋体" w:hAnsi="宋体"/>
          <w:bCs/>
          <w:szCs w:val="21"/>
        </w:rPr>
        <w:t>3、对于已上市或已挂牌转让的含权固定收益品种，选取估值日第三方估值基准服务机构提供的相应品种当日的唯一估值全价或推荐估值全价进行估值；</w:t>
      </w:r>
    </w:p>
    <w:p>
      <w:pPr>
        <w:adjustRightInd w:val="0"/>
        <w:snapToGrid w:val="0"/>
        <w:spacing w:line="360" w:lineRule="auto"/>
        <w:ind w:firstLine="480"/>
        <w:rPr>
          <w:rFonts w:ascii="宋体" w:hAnsi="宋体"/>
          <w:bCs/>
          <w:szCs w:val="21"/>
        </w:rPr>
      </w:pPr>
      <w:r>
        <w:rPr>
          <w:rFonts w:hint="eastAsia" w:ascii="宋体" w:hAnsi="宋体"/>
          <w:bCs/>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pPr>
        <w:adjustRightInd w:val="0"/>
        <w:snapToGrid w:val="0"/>
        <w:spacing w:line="360" w:lineRule="auto"/>
        <w:ind w:firstLine="480"/>
        <w:rPr>
          <w:rFonts w:ascii="宋体" w:hAnsi="宋体"/>
          <w:bCs/>
          <w:szCs w:val="21"/>
        </w:rPr>
      </w:pPr>
      <w:r>
        <w:rPr>
          <w:rFonts w:hint="eastAsia" w:ascii="宋体" w:hAnsi="宋体"/>
          <w:bCs/>
          <w:szCs w:val="21"/>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adjustRightInd w:val="0"/>
        <w:snapToGrid w:val="0"/>
        <w:spacing w:line="360" w:lineRule="auto"/>
        <w:ind w:firstLine="480"/>
        <w:rPr>
          <w:rFonts w:ascii="宋体" w:hAnsi="宋体"/>
          <w:bCs/>
          <w:szCs w:val="21"/>
        </w:rPr>
      </w:pPr>
      <w:r>
        <w:rPr>
          <w:rFonts w:hint="eastAsia" w:ascii="宋体" w:hAnsi="宋体"/>
          <w:bCs/>
          <w:szCs w:val="21"/>
        </w:rPr>
        <w:t>5、对于未上市或未挂牌转让且不存在活跃市场的固定收益品种，应采用在当前情况下适用并且有足够可利用数据和其他信息支持的估值技术确定其公允价值。</w:t>
      </w:r>
    </w:p>
    <w:p>
      <w:pPr>
        <w:adjustRightInd w:val="0"/>
        <w:snapToGrid w:val="0"/>
        <w:spacing w:line="360" w:lineRule="auto"/>
        <w:ind w:firstLine="480"/>
        <w:rPr>
          <w:rFonts w:ascii="宋体" w:hAnsi="宋体"/>
          <w:bCs/>
          <w:szCs w:val="21"/>
        </w:rPr>
      </w:pPr>
      <w:r>
        <w:rPr>
          <w:rFonts w:hint="eastAsia" w:ascii="宋体" w:hAnsi="宋体"/>
          <w:bCs/>
          <w:szCs w:val="21"/>
        </w:rPr>
        <w:t>6、处于未上市期间的有价证券应区分如下情况处理：</w:t>
      </w:r>
    </w:p>
    <w:p>
      <w:pPr>
        <w:adjustRightInd w:val="0"/>
        <w:snapToGrid w:val="0"/>
        <w:spacing w:line="360" w:lineRule="auto"/>
        <w:ind w:firstLine="480"/>
        <w:rPr>
          <w:rFonts w:ascii="宋体" w:hAnsi="宋体"/>
          <w:bCs/>
          <w:szCs w:val="21"/>
        </w:rPr>
      </w:pPr>
      <w:r>
        <w:rPr>
          <w:rFonts w:hint="eastAsia" w:ascii="宋体" w:hAnsi="宋体"/>
          <w:bCs/>
          <w:szCs w:val="21"/>
        </w:rPr>
        <w:t>（1）送股、转增股、配股和公开增发的新股，按估值日在证券交易所挂牌的同一股票的估值方法估值；该日无交易的，以最近一日的市价（收盘价）估值；</w:t>
      </w:r>
    </w:p>
    <w:p>
      <w:pPr>
        <w:adjustRightInd w:val="0"/>
        <w:snapToGrid w:val="0"/>
        <w:spacing w:line="360" w:lineRule="auto"/>
        <w:ind w:firstLine="480"/>
        <w:rPr>
          <w:rFonts w:ascii="宋体" w:hAnsi="宋体"/>
          <w:bCs/>
          <w:szCs w:val="21"/>
        </w:rPr>
      </w:pPr>
      <w:r>
        <w:rPr>
          <w:rFonts w:hint="eastAsia" w:ascii="宋体" w:hAnsi="宋体"/>
          <w:bCs/>
          <w:szCs w:val="21"/>
        </w:rPr>
        <w:t>（2）首次公开发行未上市的股票，采用估值技术确定公允价值；</w:t>
      </w:r>
    </w:p>
    <w:p>
      <w:pPr>
        <w:adjustRightInd w:val="0"/>
        <w:snapToGrid w:val="0"/>
        <w:spacing w:line="360" w:lineRule="auto"/>
        <w:ind w:firstLine="480"/>
        <w:rPr>
          <w:rFonts w:ascii="宋体" w:hAnsi="宋体"/>
          <w:bCs/>
          <w:szCs w:val="21"/>
        </w:rPr>
      </w:pPr>
      <w:r>
        <w:rPr>
          <w:rFonts w:hint="eastAsia" w:ascii="宋体" w:hAnsi="宋体"/>
          <w:bCs/>
          <w:szCs w:val="21"/>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djustRightInd w:val="0"/>
        <w:snapToGrid w:val="0"/>
        <w:spacing w:line="360" w:lineRule="auto"/>
        <w:ind w:firstLine="480"/>
        <w:rPr>
          <w:rFonts w:ascii="宋体" w:hAnsi="宋体"/>
          <w:bCs/>
          <w:szCs w:val="21"/>
        </w:rPr>
      </w:pPr>
      <w:r>
        <w:rPr>
          <w:rFonts w:hint="eastAsia" w:ascii="宋体" w:hAnsi="宋体"/>
          <w:bCs/>
          <w:szCs w:val="21"/>
        </w:rPr>
        <w:t>7、本基金投资存托凭证的估值核算，依照境内上市交易的股票执行。</w:t>
      </w:r>
    </w:p>
    <w:p>
      <w:pPr>
        <w:adjustRightInd w:val="0"/>
        <w:snapToGrid w:val="0"/>
        <w:spacing w:line="360" w:lineRule="auto"/>
        <w:ind w:firstLine="480"/>
        <w:rPr>
          <w:rFonts w:ascii="宋体" w:hAnsi="宋体"/>
          <w:bCs/>
          <w:szCs w:val="21"/>
        </w:rPr>
      </w:pPr>
      <w:r>
        <w:rPr>
          <w:rFonts w:hint="eastAsia" w:ascii="宋体" w:hAnsi="宋体"/>
          <w:bCs/>
          <w:szCs w:val="21"/>
        </w:rPr>
        <w:t>8、同一证券同时在两个或两个以上市场交易的，按证券所处的市场分别估值。</w:t>
      </w:r>
    </w:p>
    <w:p>
      <w:pPr>
        <w:adjustRightInd w:val="0"/>
        <w:snapToGrid w:val="0"/>
        <w:spacing w:line="360" w:lineRule="auto"/>
        <w:ind w:firstLine="480"/>
        <w:rPr>
          <w:rFonts w:ascii="宋体" w:hAnsi="宋体"/>
          <w:bCs/>
          <w:szCs w:val="21"/>
        </w:rPr>
      </w:pPr>
      <w:r>
        <w:rPr>
          <w:rFonts w:hint="eastAsia" w:ascii="宋体" w:hAnsi="宋体"/>
          <w:bCs/>
          <w:szCs w:val="21"/>
        </w:rPr>
        <w:t xml:space="preserve">9、本基金参与股指期货合约、国债期货合约交易，一般以估值当日结算价进行估值，估值当日无结算价的，且最近交易日后经济环境未发生重大变化的，采用最近交易日结算价估值。 </w:t>
      </w:r>
    </w:p>
    <w:p>
      <w:pPr>
        <w:adjustRightInd w:val="0"/>
        <w:snapToGrid w:val="0"/>
        <w:spacing w:line="360" w:lineRule="auto"/>
        <w:ind w:firstLine="480"/>
        <w:rPr>
          <w:rFonts w:ascii="宋体" w:hAnsi="宋体"/>
          <w:bCs/>
          <w:szCs w:val="21"/>
        </w:rPr>
      </w:pPr>
      <w:r>
        <w:rPr>
          <w:rFonts w:hint="eastAsia" w:ascii="宋体" w:hAnsi="宋体"/>
          <w:bCs/>
          <w:szCs w:val="21"/>
        </w:rPr>
        <w:t>10、本基金投资股票期权，根据相关法律法规以及监管部门的规定估值。</w:t>
      </w:r>
    </w:p>
    <w:p>
      <w:pPr>
        <w:adjustRightInd w:val="0"/>
        <w:snapToGrid w:val="0"/>
        <w:spacing w:line="360" w:lineRule="auto"/>
        <w:ind w:firstLine="480"/>
        <w:rPr>
          <w:rFonts w:ascii="宋体" w:hAnsi="宋体"/>
          <w:bCs/>
          <w:szCs w:val="21"/>
        </w:rPr>
      </w:pPr>
      <w:r>
        <w:rPr>
          <w:rFonts w:hint="eastAsia" w:ascii="宋体" w:hAnsi="宋体"/>
          <w:bCs/>
          <w:szCs w:val="21"/>
        </w:rPr>
        <w:t>11、本基金参与融资或转融通证券出借业务的，应参照行业协会的相关规定进行估值，确保估值的公允性。</w:t>
      </w:r>
    </w:p>
    <w:p>
      <w:pPr>
        <w:adjustRightInd w:val="0"/>
        <w:snapToGrid w:val="0"/>
        <w:spacing w:line="360" w:lineRule="auto"/>
        <w:ind w:firstLine="480"/>
        <w:rPr>
          <w:rFonts w:ascii="宋体" w:hAnsi="宋体"/>
          <w:bCs/>
          <w:szCs w:val="21"/>
        </w:rPr>
      </w:pPr>
      <w:r>
        <w:rPr>
          <w:rFonts w:hint="eastAsia" w:ascii="宋体" w:hAnsi="宋体"/>
          <w:bCs/>
          <w:szCs w:val="21"/>
        </w:rPr>
        <w:t>12、如有确凿证据表明按上述方法进行估值不能客观反映其公允价值的，基金管理人可根据具体情况与基金托管人商定后，按最能反映公允价值的价格估值。</w:t>
      </w:r>
    </w:p>
    <w:p>
      <w:pPr>
        <w:adjustRightInd w:val="0"/>
        <w:snapToGrid w:val="0"/>
        <w:spacing w:line="360" w:lineRule="auto"/>
        <w:ind w:firstLine="480"/>
        <w:rPr>
          <w:rFonts w:ascii="宋体" w:hAnsi="宋体"/>
          <w:bCs/>
          <w:szCs w:val="21"/>
        </w:rPr>
      </w:pPr>
      <w:r>
        <w:rPr>
          <w:rFonts w:hint="eastAsia" w:ascii="宋体" w:hAnsi="宋体"/>
          <w:bCs/>
          <w:szCs w:val="21"/>
        </w:rPr>
        <w:t>13、当发生大额申购或赎回情形时，基金管理人可以采用摆动定价机制，以确保基金估值的公平性。具体处理原则与操作规范遵循相关法律法规以及监管部门、自律规则的规定。</w:t>
      </w:r>
    </w:p>
    <w:p>
      <w:pPr>
        <w:adjustRightInd w:val="0"/>
        <w:snapToGrid w:val="0"/>
        <w:spacing w:line="360" w:lineRule="auto"/>
        <w:ind w:firstLine="480"/>
        <w:rPr>
          <w:rFonts w:ascii="宋体" w:hAnsi="宋体"/>
          <w:bCs/>
          <w:szCs w:val="21"/>
        </w:rPr>
      </w:pPr>
      <w:r>
        <w:rPr>
          <w:rFonts w:hint="eastAsia" w:ascii="宋体" w:hAnsi="宋体"/>
          <w:bCs/>
          <w:szCs w:val="21"/>
        </w:rPr>
        <w:t>14、相关法律法规以及监管部门有强制规定的，从其规定。如有新增事项，按国家最新规定估值。</w:t>
      </w:r>
    </w:p>
    <w:p>
      <w:pPr>
        <w:adjustRightInd w:val="0"/>
        <w:snapToGrid w:val="0"/>
        <w:spacing w:line="360" w:lineRule="auto"/>
        <w:ind w:firstLine="480"/>
        <w:rPr>
          <w:rFonts w:ascii="宋体" w:hAnsi="宋体"/>
          <w:bCs/>
          <w:szCs w:val="21"/>
        </w:rPr>
      </w:pPr>
      <w:r>
        <w:rPr>
          <w:rFonts w:hint="eastAsia" w:ascii="宋体" w:hAnsi="宋体"/>
          <w:bCs/>
          <w:szCs w:val="21"/>
        </w:rPr>
        <w:t>如基金管理人或基金托管人发现基金估值违反基金合同订明的估值方法、程序及相关法律法规的规定或者未能充分维护基金份额持有人利益时，应立即通知对方，共同查明原因，双方协商解决。</w:t>
      </w:r>
    </w:p>
    <w:p>
      <w:pPr>
        <w:adjustRightInd w:val="0"/>
        <w:snapToGrid w:val="0"/>
        <w:spacing w:line="360" w:lineRule="auto"/>
        <w:ind w:firstLine="480"/>
        <w:rPr>
          <w:rFonts w:ascii="宋体" w:hAnsi="宋体"/>
          <w:bCs/>
          <w:szCs w:val="21"/>
        </w:rPr>
      </w:pPr>
      <w:r>
        <w:rPr>
          <w:rFonts w:hint="eastAsia" w:ascii="宋体" w:hAnsi="宋体"/>
          <w:bCs/>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由此给基金份额持有人和基金造成的损失以及因该交易日基金资产净值计算顺延错误而引起的损失，由基金管理人负责赔付，基金托管人不负责赔付。</w:t>
      </w:r>
    </w:p>
    <w:p>
      <w:pPr>
        <w:adjustRightInd w:val="0"/>
        <w:snapToGrid w:val="0"/>
        <w:spacing w:line="360" w:lineRule="auto"/>
        <w:ind w:firstLine="480"/>
        <w:rPr>
          <w:rFonts w:ascii="宋体" w:hAnsi="宋体"/>
          <w:bCs/>
          <w:szCs w:val="21"/>
        </w:rPr>
      </w:pPr>
      <w:r>
        <w:rPr>
          <w:rFonts w:hint="eastAsia" w:ascii="宋体" w:hAnsi="宋体"/>
          <w:bCs/>
          <w:szCs w:val="21"/>
        </w:rPr>
        <w:t>（二）净值差错处理</w:t>
      </w:r>
    </w:p>
    <w:p>
      <w:pPr>
        <w:adjustRightInd w:val="0"/>
        <w:snapToGrid w:val="0"/>
        <w:spacing w:line="360" w:lineRule="auto"/>
        <w:ind w:firstLine="480"/>
        <w:rPr>
          <w:rFonts w:ascii="宋体" w:hAnsi="宋体"/>
          <w:bCs/>
          <w:szCs w:val="21"/>
        </w:rPr>
      </w:pPr>
      <w:r>
        <w:rPr>
          <w:rFonts w:hint="eastAsia" w:ascii="宋体" w:hAnsi="宋体"/>
          <w:bCs/>
          <w:szCs w:val="21"/>
        </w:rPr>
        <w:t xml:space="preserve">当发生净值计算错误时，由基金管理人负责处理，由此给基金份额持有人和基金造成损失的，由基金管理人对基金份额持有人或者基金先行支付赔偿金。基金管理人和基金托管人应根据实际情况界定双方承担的责任，经确认后按以下条款进行赔偿。 </w:t>
      </w:r>
    </w:p>
    <w:p>
      <w:pPr>
        <w:adjustRightInd w:val="0"/>
        <w:snapToGrid w:val="0"/>
        <w:spacing w:line="360" w:lineRule="auto"/>
        <w:ind w:firstLine="480"/>
        <w:rPr>
          <w:rFonts w:ascii="宋体" w:hAnsi="宋体"/>
          <w:bCs/>
          <w:szCs w:val="21"/>
        </w:rPr>
      </w:pPr>
      <w:r>
        <w:rPr>
          <w:rFonts w:hint="eastAsia" w:ascii="宋体" w:hAnsi="宋体"/>
          <w:bCs/>
          <w:szCs w:val="21"/>
        </w:rPr>
        <w:t xml:space="preserve">1.如采用本协议第八章“基金资产净值及基金份额净值的计算与复核”中估值方法的第1－8、12、13进行处理时，若基金管理人净值计算出错，基金托管人在复核过程中没有发现，且造成基金份额持有人损失的，应根据法律法规的规定对投资者或基金支付赔偿金，就实际向投资者或基金支付的赔偿金额，由基金管理人与基金托管人按照管理费率和托管费率的比例各自承担相应的责任； </w:t>
      </w:r>
    </w:p>
    <w:p>
      <w:pPr>
        <w:adjustRightInd w:val="0"/>
        <w:snapToGrid w:val="0"/>
        <w:spacing w:line="360" w:lineRule="auto"/>
        <w:ind w:firstLine="480"/>
        <w:rPr>
          <w:rFonts w:ascii="宋体" w:hAnsi="宋体"/>
          <w:bCs/>
          <w:szCs w:val="21"/>
        </w:rPr>
      </w:pPr>
      <w:r>
        <w:rPr>
          <w:rFonts w:hint="eastAsia" w:ascii="宋体" w:hAnsi="宋体"/>
          <w:bCs/>
          <w:szCs w:val="21"/>
        </w:rPr>
        <w:t xml:space="preserve">2.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以及因该交易日基金资产净值计算顺延错误而引起的损失，由基金管理人负责赔付，基金托管人不负赔偿责任； </w:t>
      </w:r>
    </w:p>
    <w:p>
      <w:pPr>
        <w:adjustRightInd w:val="0"/>
        <w:snapToGrid w:val="0"/>
        <w:spacing w:line="360" w:lineRule="auto"/>
        <w:ind w:firstLine="480"/>
        <w:rPr>
          <w:rFonts w:ascii="宋体" w:hAnsi="宋体"/>
          <w:bCs/>
          <w:szCs w:val="21"/>
        </w:rPr>
      </w:pPr>
      <w:r>
        <w:rPr>
          <w:rFonts w:hint="eastAsia" w:ascii="宋体" w:hAnsi="宋体"/>
          <w:bCs/>
          <w:szCs w:val="21"/>
        </w:rPr>
        <w:t>3.基金管理人、基金托管人按估值方法的第12项进行估值时，所造成的误差不作为基金资产估值错误处理。</w:t>
      </w:r>
    </w:p>
    <w:p>
      <w:pPr>
        <w:adjustRightInd w:val="0"/>
        <w:snapToGrid w:val="0"/>
        <w:spacing w:line="360" w:lineRule="auto"/>
        <w:ind w:firstLine="480"/>
        <w:rPr>
          <w:rFonts w:ascii="宋体" w:hAnsi="宋体"/>
          <w:bCs/>
          <w:szCs w:val="21"/>
        </w:rPr>
      </w:pPr>
      <w:r>
        <w:rPr>
          <w:rFonts w:hint="eastAsia" w:ascii="宋体" w:hAnsi="宋体"/>
          <w:bCs/>
          <w:szCs w:val="21"/>
        </w:rPr>
        <w:t>由于不可抗力原因，或由于证券、期货交易所或登记结算公司、指数编制机构及存款银行等第三方机构发送的数据错误、遗漏、市场规则变更等非基金管理人与基金托管人原因，基金管理人和基金托管人虽然已经采取必要、适当、合理的措施进行检查，但未能发现错误的，由此造成的基金资产估值错误，基金管理人和基金托管人免除赔偿责任。但基金管理人、基金托管人应当积极采取必要的措施减轻或消除由此造成的影响。</w:t>
      </w:r>
    </w:p>
    <w:p>
      <w:pPr>
        <w:adjustRightInd w:val="0"/>
        <w:snapToGrid w:val="0"/>
        <w:spacing w:line="360" w:lineRule="auto"/>
        <w:ind w:firstLine="480"/>
        <w:rPr>
          <w:rFonts w:ascii="宋体" w:hAnsi="宋体"/>
          <w:bCs/>
          <w:szCs w:val="21"/>
        </w:rPr>
      </w:pPr>
      <w:r>
        <w:rPr>
          <w:rFonts w:hint="eastAsia" w:ascii="宋体" w:hAnsi="宋体"/>
          <w:bCs/>
          <w:szCs w:val="21"/>
        </w:rPr>
        <w:t>针对净值差错处理，如果法律法规或证监会有新的规定，则按新的规定执行；如果行业有通行做法，在不违背法律法规且不损害投资者利益的前提下，双方应本着平等和保护基金份额持有人利益的原则重新协商确定处理原则。</w:t>
      </w:r>
    </w:p>
    <w:p>
      <w:pPr>
        <w:adjustRightInd w:val="0"/>
        <w:snapToGrid w:val="0"/>
        <w:spacing w:line="360" w:lineRule="auto"/>
        <w:ind w:firstLine="480"/>
        <w:rPr>
          <w:rFonts w:ascii="宋体" w:hAnsi="宋体"/>
          <w:bCs/>
          <w:szCs w:val="21"/>
        </w:rPr>
      </w:pPr>
      <w:r>
        <w:rPr>
          <w:rFonts w:hint="eastAsia" w:ascii="宋体" w:hAnsi="宋体"/>
          <w:bCs/>
          <w:szCs w:val="21"/>
        </w:rPr>
        <w:t>4、实施侧袋机制期间的基金资产估值</w:t>
      </w:r>
    </w:p>
    <w:p>
      <w:pPr>
        <w:adjustRightInd w:val="0"/>
        <w:snapToGrid w:val="0"/>
        <w:spacing w:line="360" w:lineRule="auto"/>
        <w:ind w:firstLine="480"/>
        <w:rPr>
          <w:rFonts w:ascii="宋体" w:hAnsi="宋体"/>
          <w:bCs/>
          <w:szCs w:val="21"/>
        </w:rPr>
      </w:pPr>
      <w:r>
        <w:rPr>
          <w:rFonts w:hint="eastAsia" w:ascii="宋体" w:hAnsi="宋体"/>
          <w:bCs/>
          <w:szCs w:val="21"/>
        </w:rPr>
        <w:t>本基金实施侧袋机制的，应根据本部分的约定对主袋账户资产进行估值并披露主袋账户的基金净值信息，暂停披露侧袋账户基金净值信息。</w:t>
      </w:r>
    </w:p>
    <w:p>
      <w:pPr>
        <w:adjustRightInd w:val="0"/>
        <w:snapToGrid w:val="0"/>
        <w:spacing w:line="360" w:lineRule="auto"/>
        <w:ind w:firstLine="480"/>
        <w:rPr>
          <w:rFonts w:ascii="宋体" w:hAnsi="宋体"/>
          <w:bCs/>
          <w:szCs w:val="21"/>
        </w:rPr>
      </w:pPr>
      <w:r>
        <w:rPr>
          <w:rFonts w:hint="eastAsia" w:ascii="宋体" w:hAnsi="宋体"/>
          <w:bCs/>
          <w:szCs w:val="21"/>
        </w:rPr>
        <w:t>（三）基金会计制度</w:t>
      </w:r>
    </w:p>
    <w:p>
      <w:pPr>
        <w:adjustRightInd w:val="0"/>
        <w:snapToGrid w:val="0"/>
        <w:spacing w:line="360" w:lineRule="auto"/>
        <w:ind w:firstLine="480"/>
        <w:rPr>
          <w:rFonts w:ascii="宋体" w:hAnsi="宋体"/>
          <w:bCs/>
          <w:szCs w:val="21"/>
        </w:rPr>
      </w:pPr>
      <w:r>
        <w:rPr>
          <w:rFonts w:hint="eastAsia" w:ascii="宋体" w:hAnsi="宋体"/>
          <w:bCs/>
          <w:szCs w:val="21"/>
        </w:rPr>
        <w:t>按国家有关部门制定的会计制度执行。</w:t>
      </w:r>
    </w:p>
    <w:p>
      <w:pPr>
        <w:adjustRightInd w:val="0"/>
        <w:snapToGrid w:val="0"/>
        <w:spacing w:line="360" w:lineRule="auto"/>
        <w:ind w:firstLine="480"/>
        <w:rPr>
          <w:rFonts w:ascii="宋体" w:hAnsi="宋体"/>
          <w:bCs/>
          <w:szCs w:val="21"/>
        </w:rPr>
      </w:pPr>
      <w:r>
        <w:rPr>
          <w:rFonts w:hint="eastAsia" w:ascii="宋体" w:hAnsi="宋体"/>
          <w:bCs/>
          <w:szCs w:val="21"/>
        </w:rPr>
        <w:t>（四）基金账册的建立</w:t>
      </w:r>
    </w:p>
    <w:p>
      <w:pPr>
        <w:adjustRightInd w:val="0"/>
        <w:snapToGrid w:val="0"/>
        <w:spacing w:line="360" w:lineRule="auto"/>
        <w:ind w:firstLine="480"/>
        <w:rPr>
          <w:rFonts w:ascii="宋体" w:hAnsi="宋体"/>
          <w:bCs/>
          <w:szCs w:val="21"/>
        </w:rPr>
      </w:pPr>
      <w:r>
        <w:rPr>
          <w:rFonts w:hint="eastAsia" w:ascii="宋体" w:hAnsi="宋体"/>
          <w:bCs/>
          <w:szCs w:val="21"/>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pPr>
        <w:adjustRightInd w:val="0"/>
        <w:snapToGrid w:val="0"/>
        <w:spacing w:line="360" w:lineRule="auto"/>
        <w:ind w:firstLine="480"/>
        <w:rPr>
          <w:rFonts w:ascii="宋体" w:hAnsi="宋体"/>
          <w:bCs/>
          <w:szCs w:val="21"/>
        </w:rPr>
      </w:pPr>
      <w:r>
        <w:rPr>
          <w:rFonts w:hint="eastAsia" w:ascii="宋体" w:hAnsi="宋体"/>
          <w:bCs/>
          <w:szCs w:val="21"/>
        </w:rPr>
        <w:t>（五）会计数据和财务指标的核对</w:t>
      </w:r>
    </w:p>
    <w:p>
      <w:pPr>
        <w:adjustRightInd w:val="0"/>
        <w:snapToGrid w:val="0"/>
        <w:spacing w:line="360" w:lineRule="auto"/>
        <w:ind w:firstLine="480"/>
        <w:rPr>
          <w:rFonts w:ascii="宋体" w:hAnsi="宋体"/>
          <w:bCs/>
          <w:szCs w:val="21"/>
        </w:rPr>
      </w:pPr>
      <w:r>
        <w:rPr>
          <w:rFonts w:hint="eastAsia" w:ascii="宋体" w:hAnsi="宋体"/>
          <w:bCs/>
          <w:szCs w:val="21"/>
        </w:rPr>
        <w:t>双方应每个交易日核对账目，如发现双方的账目存在不符的，基金管理人和基金托管人必须及时查明原因并纠正，确保核对一致。若当日核对不符，暂时无法查找到错账的原因而影响到基金资产净值的计算和公告的，以基金管理人的账册为准。</w:t>
      </w:r>
    </w:p>
    <w:p>
      <w:pPr>
        <w:adjustRightInd w:val="0"/>
        <w:snapToGrid w:val="0"/>
        <w:spacing w:line="360" w:lineRule="auto"/>
        <w:ind w:firstLine="480"/>
        <w:rPr>
          <w:rFonts w:ascii="宋体" w:hAnsi="宋体"/>
          <w:bCs/>
          <w:szCs w:val="21"/>
        </w:rPr>
      </w:pPr>
      <w:r>
        <w:rPr>
          <w:rFonts w:hint="eastAsia" w:ascii="宋体" w:hAnsi="宋体"/>
          <w:bCs/>
          <w:szCs w:val="21"/>
        </w:rPr>
        <w:t>（六）基金定期报告的编制和复核</w:t>
      </w:r>
    </w:p>
    <w:p>
      <w:pPr>
        <w:adjustRightInd w:val="0"/>
        <w:snapToGrid w:val="0"/>
        <w:spacing w:line="360" w:lineRule="auto"/>
        <w:ind w:firstLine="480"/>
        <w:rPr>
          <w:rFonts w:ascii="宋体" w:hAnsi="宋体"/>
          <w:bCs/>
          <w:szCs w:val="21"/>
        </w:rPr>
      </w:pPr>
      <w:r>
        <w:rPr>
          <w:rFonts w:hint="eastAsia" w:ascii="宋体" w:hAnsi="宋体"/>
          <w:bCs/>
          <w:szCs w:val="21"/>
        </w:rPr>
        <w:t>基金财务报表由基金管理人和基金托管人每月分别独立编制。月度报表的编制，应于每月终了后5个工作日内完成。定期报告文件应按中国证监会的要求公告。季度报表的编制，应于每季度终了后15个工作日内完成；基金招募说明书、基金产品资料概要的信息发生重大变更的，基金管理人应当在3个工作日内，更新基金招募说明书和基金产品资料概要并登载在规定网站上；基金招募说明书、基金产品资料概要的其他信息发生变更的，基金管理人至少每年更新一次。中期报告在基金会计年度前6个月结束后的2个月内公告；年度报告在会计年度结束后3个月内公告。如果基金合同生效不足2个月的，基金管理人可以不编制当期季度报告、中期报告或者年度报告。</w:t>
      </w:r>
    </w:p>
    <w:p>
      <w:pPr>
        <w:adjustRightInd w:val="0"/>
        <w:snapToGrid w:val="0"/>
        <w:spacing w:line="360" w:lineRule="auto"/>
        <w:ind w:firstLine="480"/>
        <w:rPr>
          <w:rFonts w:ascii="宋体" w:hAnsi="宋体"/>
          <w:bCs/>
          <w:szCs w:val="21"/>
        </w:rPr>
      </w:pPr>
      <w:r>
        <w:rPr>
          <w:rFonts w:hint="eastAsia" w:ascii="宋体" w:hAnsi="宋体"/>
          <w:bCs/>
          <w:szCs w:val="21"/>
        </w:rPr>
        <w:t>基金管理人在月初3个工作日内完成上月度报表的编制，以约定方式将有关报表提供基金托管人；基金托管人收到后在2个工作日内进行复核，并将复核结果及时书面或以双方约定的其他方式通知基金管理人。对于季度报告、中期报告、年度报告、更新招募说明书、基金产品资料概要等，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证监会备案。</w:t>
      </w:r>
    </w:p>
    <w:p>
      <w:pPr>
        <w:tabs>
          <w:tab w:val="left" w:pos="1260"/>
        </w:tabs>
        <w:spacing w:line="360" w:lineRule="auto"/>
        <w:ind w:firstLine="480"/>
        <w:rPr>
          <w:rFonts w:ascii="宋体" w:hAnsi="宋体"/>
          <w:szCs w:val="21"/>
        </w:rPr>
      </w:pPr>
      <w:r>
        <w:rPr>
          <w:rFonts w:hint="eastAsia" w:ascii="宋体" w:hAnsi="宋体"/>
          <w:bCs/>
          <w:szCs w:val="21"/>
        </w:rPr>
        <w:t>基金托管人对上述报告复核完毕后，可以出具复核确认书（盖章）或以其他双方约定的方式确认，以备有权机构对相关文件审核检查。</w:t>
      </w:r>
      <w:bookmarkEnd w:id="191"/>
    </w:p>
    <w:p>
      <w:pPr>
        <w:autoSpaceDE w:val="0"/>
        <w:autoSpaceDN w:val="0"/>
        <w:adjustRightInd w:val="0"/>
        <w:snapToGrid w:val="0"/>
        <w:spacing w:line="360" w:lineRule="auto"/>
        <w:ind w:firstLine="424" w:firstLineChars="201"/>
        <w:jc w:val="left"/>
        <w:rPr>
          <w:rFonts w:asciiTheme="minorEastAsia" w:hAnsiTheme="minorEastAsia" w:eastAsiaTheme="minorEastAsia"/>
          <w:b/>
          <w:kern w:val="0"/>
          <w:szCs w:val="21"/>
        </w:rPr>
      </w:pPr>
      <w:r>
        <w:rPr>
          <w:rFonts w:hint="eastAsia" w:asciiTheme="minorEastAsia" w:hAnsiTheme="minorEastAsia" w:eastAsiaTheme="minorEastAsia"/>
          <w:b/>
          <w:kern w:val="0"/>
          <w:szCs w:val="21"/>
        </w:rPr>
        <w:t>六、基金份额持有人名册的保管</w:t>
      </w:r>
    </w:p>
    <w:p>
      <w:pPr>
        <w:autoSpaceDE w:val="0"/>
        <w:autoSpaceDN w:val="0"/>
        <w:adjustRightInd w:val="0"/>
        <w:snapToGrid w:val="0"/>
        <w:spacing w:line="360" w:lineRule="auto"/>
        <w:ind w:firstLine="422" w:firstLineChars="201"/>
        <w:jc w:val="left"/>
        <w:rPr>
          <w:rFonts w:ascii="宋体" w:hAnsi="宋体"/>
          <w:szCs w:val="21"/>
        </w:rPr>
      </w:pPr>
      <w:r>
        <w:rPr>
          <w:rFonts w:hint="eastAsia" w:ascii="宋体" w:hAnsi="宋体"/>
          <w:szCs w:val="21"/>
        </w:rPr>
        <w:t>基金份额持有人名册至少应包括基金份额持有人的名称和持有的基金份额。基金份额持有人名册由基金登记机构根据基金管理人的指令编制和保管，基金管理人和基金托管人应分别保管基金份额持有人名册，基金登记机构保存期不低于法律法规规定的最低期限，法律法规另有规定或有权机关另有要求的除外。如不能妥善保管，则按相关法规承担责任。</w:t>
      </w:r>
    </w:p>
    <w:p>
      <w:pPr>
        <w:autoSpaceDE w:val="0"/>
        <w:autoSpaceDN w:val="0"/>
        <w:adjustRightInd w:val="0"/>
        <w:snapToGrid w:val="0"/>
        <w:spacing w:line="360" w:lineRule="auto"/>
        <w:ind w:firstLine="422" w:firstLineChars="201"/>
        <w:jc w:val="left"/>
        <w:rPr>
          <w:rFonts w:ascii="宋体" w:hAnsi="宋体"/>
          <w:szCs w:val="21"/>
        </w:rPr>
      </w:pPr>
      <w:r>
        <w:rPr>
          <w:rFonts w:hint="eastAsia" w:ascii="宋体" w:hAnsi="宋体"/>
          <w:szCs w:val="21"/>
        </w:rPr>
        <w:t>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pPr>
        <w:adjustRightInd w:val="0"/>
        <w:snapToGrid w:val="0"/>
        <w:spacing w:line="360" w:lineRule="auto"/>
        <w:ind w:firstLine="422" w:firstLineChars="200"/>
        <w:rPr>
          <w:rFonts w:hAnsi="宋体"/>
          <w:b/>
          <w:szCs w:val="21"/>
        </w:rPr>
      </w:pPr>
      <w:r>
        <w:rPr>
          <w:rFonts w:hint="eastAsia" w:hAnsi="宋体"/>
          <w:b/>
          <w:szCs w:val="21"/>
        </w:rPr>
        <w:t>七、争议解决方式</w:t>
      </w:r>
    </w:p>
    <w:p>
      <w:pPr>
        <w:adjustRightInd w:val="0"/>
        <w:snapToGrid w:val="0"/>
        <w:spacing w:line="360" w:lineRule="auto"/>
        <w:ind w:firstLine="420" w:firstLineChars="200"/>
        <w:rPr>
          <w:rFonts w:ascii="宋体" w:hAnsi="宋体"/>
          <w:szCs w:val="21"/>
        </w:rPr>
      </w:pPr>
      <w:r>
        <w:rPr>
          <w:rFonts w:hint="eastAsia" w:ascii="宋体" w:hAnsi="宋体"/>
          <w:szCs w:val="21"/>
        </w:rPr>
        <w:t>双方当事人同意，因本协议而产生的或与本协议有关的一切争议，应通过友好协商或者调解解决。托管协议当事人不愿通过协商、调解解决或者协商、调解不成的，任何一方当事人均有权将争议提交深圳国际仲裁院（深圳仲裁委员会），根据该会当时有效的仲裁规则进行仲裁，仲裁的地点在深圳市，仲裁裁决是终局的，并对相关各方当事人均有约束力。除非仲裁裁决另有决定，仲裁费用、律师费由败诉方承担。</w:t>
      </w:r>
    </w:p>
    <w:p>
      <w:pPr>
        <w:adjustRightInd w:val="0"/>
        <w:snapToGrid w:val="0"/>
        <w:spacing w:line="360" w:lineRule="auto"/>
        <w:ind w:firstLine="420" w:firstLineChars="200"/>
        <w:rPr>
          <w:rFonts w:ascii="宋体" w:hAnsi="宋体"/>
          <w:szCs w:val="21"/>
        </w:rPr>
      </w:pPr>
      <w:r>
        <w:rPr>
          <w:rFonts w:hint="eastAsia" w:ascii="宋体" w:hAnsi="宋体"/>
          <w:szCs w:val="21"/>
        </w:rPr>
        <w:t>争议处理期间，双方当事人应恪守基金管理人和基金托管人职责，继续忠实、勤勉、尽责地履行《基金合同》和本协议规定的义务，维护基金份额持有人的合法权益。</w:t>
      </w:r>
    </w:p>
    <w:p>
      <w:pPr>
        <w:spacing w:line="360" w:lineRule="auto"/>
        <w:ind w:firstLine="482"/>
        <w:rPr>
          <w:rFonts w:ascii="宋体"/>
          <w:szCs w:val="21"/>
        </w:rPr>
      </w:pPr>
      <w:r>
        <w:rPr>
          <w:rFonts w:hint="eastAsia" w:ascii="宋体" w:hAnsi="宋体"/>
          <w:szCs w:val="21"/>
        </w:rPr>
        <w:t>本协议受中华人民共和国法律（为本协议之目的，在此不包括香港特别行政区、澳门特别行政区和台湾地区法律）管辖。</w:t>
      </w:r>
    </w:p>
    <w:p>
      <w:pPr>
        <w:adjustRightInd w:val="0"/>
        <w:snapToGrid w:val="0"/>
        <w:spacing w:line="360" w:lineRule="auto"/>
        <w:ind w:firstLine="422" w:firstLineChars="200"/>
        <w:rPr>
          <w:rFonts w:hAnsi="宋体"/>
          <w:b/>
          <w:szCs w:val="21"/>
        </w:rPr>
      </w:pPr>
      <w:r>
        <w:rPr>
          <w:rFonts w:hint="eastAsia" w:hAnsi="宋体"/>
          <w:b/>
          <w:szCs w:val="21"/>
        </w:rPr>
        <w:t>八、托管协议的变更、终止与基金财产的清算</w:t>
      </w:r>
    </w:p>
    <w:p>
      <w:pPr>
        <w:adjustRightInd w:val="0"/>
        <w:snapToGrid w:val="0"/>
        <w:spacing w:line="360" w:lineRule="auto"/>
        <w:ind w:firstLine="420" w:firstLineChars="200"/>
        <w:rPr>
          <w:rFonts w:ascii="宋体" w:hAnsi="宋体"/>
          <w:bCs/>
          <w:szCs w:val="21"/>
        </w:rPr>
      </w:pPr>
      <w:bookmarkStart w:id="192" w:name="_Toc510842757"/>
      <w:r>
        <w:rPr>
          <w:rFonts w:hint="eastAsia" w:ascii="宋体" w:hAnsi="宋体"/>
          <w:bCs/>
          <w:szCs w:val="21"/>
        </w:rPr>
        <w:t>（一）基金托管协议的变更</w:t>
      </w:r>
    </w:p>
    <w:p>
      <w:pPr>
        <w:adjustRightInd w:val="0"/>
        <w:snapToGrid w:val="0"/>
        <w:spacing w:line="360" w:lineRule="auto"/>
        <w:ind w:firstLine="420" w:firstLineChars="200"/>
        <w:rPr>
          <w:rFonts w:ascii="宋体" w:hAnsi="宋体"/>
          <w:bCs/>
          <w:szCs w:val="21"/>
        </w:rPr>
      </w:pPr>
      <w:r>
        <w:rPr>
          <w:rFonts w:hint="eastAsia" w:ascii="宋体" w:hAnsi="宋体"/>
          <w:bCs/>
          <w:szCs w:val="21"/>
        </w:rPr>
        <w:t>本协议双方当事人经协商一致，可以对协议进行修改。修改后的新协议，其内容不得与《基金合同》的规定有任何冲突。修改后的新协议，应按法律法规或监管规则报中国证监会备案。</w:t>
      </w:r>
    </w:p>
    <w:p>
      <w:pPr>
        <w:adjustRightInd w:val="0"/>
        <w:snapToGrid w:val="0"/>
        <w:spacing w:line="360" w:lineRule="auto"/>
        <w:ind w:firstLine="420" w:firstLineChars="200"/>
        <w:rPr>
          <w:rFonts w:ascii="宋体" w:hAnsi="宋体"/>
          <w:bCs/>
          <w:szCs w:val="21"/>
        </w:rPr>
      </w:pPr>
      <w:r>
        <w:rPr>
          <w:rFonts w:hint="eastAsia" w:ascii="宋体" w:hAnsi="宋体"/>
          <w:bCs/>
          <w:szCs w:val="21"/>
        </w:rPr>
        <w:t>（二）基金托管协议的终止</w:t>
      </w:r>
    </w:p>
    <w:p>
      <w:pPr>
        <w:adjustRightInd w:val="0"/>
        <w:snapToGrid w:val="0"/>
        <w:spacing w:line="360" w:lineRule="auto"/>
        <w:ind w:firstLine="420" w:firstLineChars="200"/>
        <w:rPr>
          <w:rFonts w:ascii="宋体" w:hAnsi="宋体"/>
          <w:bCs/>
          <w:szCs w:val="21"/>
        </w:rPr>
      </w:pPr>
      <w:r>
        <w:rPr>
          <w:rFonts w:hint="eastAsia" w:ascii="宋体" w:hAnsi="宋体"/>
          <w:bCs/>
          <w:szCs w:val="21"/>
        </w:rPr>
        <w:t>1.《基金合同》终止；</w:t>
      </w:r>
    </w:p>
    <w:p>
      <w:pPr>
        <w:adjustRightInd w:val="0"/>
        <w:snapToGrid w:val="0"/>
        <w:spacing w:line="360" w:lineRule="auto"/>
        <w:ind w:firstLine="420" w:firstLineChars="200"/>
        <w:rPr>
          <w:rFonts w:ascii="宋体" w:hAnsi="宋体"/>
          <w:bCs/>
          <w:szCs w:val="21"/>
        </w:rPr>
      </w:pPr>
      <w:r>
        <w:rPr>
          <w:rFonts w:hint="eastAsia" w:ascii="宋体" w:hAnsi="宋体"/>
          <w:bCs/>
          <w:szCs w:val="21"/>
        </w:rPr>
        <w:t>2.基金托管人解散、依法被撤销、破产，被依法取消基金托管资格或因其他事由造成其他基金托管人接管基金财产；</w:t>
      </w:r>
    </w:p>
    <w:p>
      <w:pPr>
        <w:adjustRightInd w:val="0"/>
        <w:snapToGrid w:val="0"/>
        <w:spacing w:line="360" w:lineRule="auto"/>
        <w:ind w:firstLine="420" w:firstLineChars="200"/>
        <w:rPr>
          <w:rFonts w:ascii="宋体" w:hAnsi="宋体"/>
          <w:bCs/>
          <w:szCs w:val="21"/>
        </w:rPr>
      </w:pPr>
      <w:r>
        <w:rPr>
          <w:rFonts w:hint="eastAsia" w:ascii="宋体" w:hAnsi="宋体"/>
          <w:bCs/>
          <w:szCs w:val="21"/>
        </w:rPr>
        <w:t>3.基金管理人解散、依法被撤销、破产，被依法取消基金管理资格或因其他事由造成其他基金管理人接管基金管理权；</w:t>
      </w:r>
    </w:p>
    <w:p>
      <w:pPr>
        <w:adjustRightInd w:val="0"/>
        <w:snapToGrid w:val="0"/>
        <w:spacing w:line="360" w:lineRule="auto"/>
        <w:ind w:firstLine="420" w:firstLineChars="200"/>
        <w:rPr>
          <w:rFonts w:ascii="宋体" w:hAnsi="宋体"/>
          <w:bCs/>
          <w:szCs w:val="21"/>
        </w:rPr>
      </w:pPr>
      <w:r>
        <w:rPr>
          <w:rFonts w:hint="eastAsia" w:ascii="宋体" w:hAnsi="宋体"/>
          <w:bCs/>
          <w:szCs w:val="21"/>
        </w:rPr>
        <w:t>4.发生《基金法》、《销售办法》、《运作办法》或其他法律法规规定的终止事项。</w:t>
      </w:r>
    </w:p>
    <w:p>
      <w:pPr>
        <w:adjustRightInd w:val="0"/>
        <w:snapToGrid w:val="0"/>
        <w:spacing w:line="360" w:lineRule="auto"/>
        <w:ind w:firstLine="420" w:firstLineChars="200"/>
        <w:rPr>
          <w:rFonts w:ascii="宋体" w:hAnsi="宋体"/>
          <w:bCs/>
          <w:szCs w:val="21"/>
        </w:rPr>
      </w:pPr>
      <w:r>
        <w:rPr>
          <w:rFonts w:hint="eastAsia" w:ascii="宋体" w:hAnsi="宋体"/>
          <w:bCs/>
          <w:szCs w:val="21"/>
        </w:rPr>
        <w:t>（三）基金财产的清算</w:t>
      </w:r>
    </w:p>
    <w:p>
      <w:pPr>
        <w:adjustRightInd w:val="0"/>
        <w:snapToGrid w:val="0"/>
        <w:spacing w:line="360" w:lineRule="auto"/>
        <w:ind w:firstLine="420" w:firstLineChars="200"/>
        <w:rPr>
          <w:rFonts w:ascii="宋体" w:hAnsi="宋体"/>
          <w:bCs/>
          <w:szCs w:val="21"/>
        </w:rPr>
      </w:pPr>
      <w:r>
        <w:rPr>
          <w:rFonts w:hint="eastAsia" w:ascii="宋体" w:hAnsi="宋体"/>
          <w:bCs/>
          <w:szCs w:val="21"/>
        </w:rPr>
        <w:t>1.基金财产清算小组：自出现《基金合同》终止事由之日起30个工作日内成立基金财产清算小组，基金管理人组织基金财产清算小组并在中国证监会的监督下进行基金清算。</w:t>
      </w:r>
    </w:p>
    <w:p>
      <w:pPr>
        <w:adjustRightInd w:val="0"/>
        <w:snapToGrid w:val="0"/>
        <w:spacing w:line="360" w:lineRule="auto"/>
        <w:ind w:firstLine="420" w:firstLineChars="200"/>
        <w:rPr>
          <w:rFonts w:ascii="宋体" w:hAnsi="宋体"/>
          <w:bCs/>
          <w:szCs w:val="21"/>
        </w:rPr>
      </w:pPr>
      <w:r>
        <w:rPr>
          <w:rFonts w:hint="eastAsia" w:ascii="宋体" w:hAnsi="宋体"/>
          <w:bCs/>
          <w:szCs w:val="21"/>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djustRightInd w:val="0"/>
        <w:snapToGrid w:val="0"/>
        <w:spacing w:line="360" w:lineRule="auto"/>
        <w:ind w:firstLine="420" w:firstLineChars="200"/>
        <w:rPr>
          <w:rFonts w:ascii="宋体" w:hAnsi="宋体"/>
          <w:bCs/>
          <w:szCs w:val="21"/>
        </w:rPr>
      </w:pPr>
      <w:r>
        <w:rPr>
          <w:rFonts w:hint="eastAsia" w:ascii="宋体" w:hAnsi="宋体"/>
          <w:bCs/>
          <w:szCs w:val="21"/>
        </w:rPr>
        <w:t>3.基金财产清算小组职责：基金财产清算小组负责基金财产的保管、清理、估价、变现和分配。基金财产清算小组可以依法进行必要的民事活动。</w:t>
      </w:r>
    </w:p>
    <w:p>
      <w:pPr>
        <w:adjustRightInd w:val="0"/>
        <w:snapToGrid w:val="0"/>
        <w:spacing w:line="360" w:lineRule="auto"/>
        <w:ind w:firstLine="420" w:firstLineChars="200"/>
        <w:rPr>
          <w:rFonts w:ascii="宋体" w:hAnsi="宋体"/>
          <w:bCs/>
          <w:szCs w:val="21"/>
        </w:rPr>
      </w:pPr>
      <w:r>
        <w:rPr>
          <w:rFonts w:hint="eastAsia" w:ascii="宋体" w:hAnsi="宋体"/>
          <w:bCs/>
          <w:szCs w:val="21"/>
        </w:rPr>
        <w:t>4.基金财产清算程序：</w:t>
      </w:r>
    </w:p>
    <w:p>
      <w:pPr>
        <w:adjustRightInd w:val="0"/>
        <w:snapToGrid w:val="0"/>
        <w:spacing w:line="360" w:lineRule="auto"/>
        <w:ind w:firstLine="420" w:firstLineChars="200"/>
        <w:rPr>
          <w:rFonts w:ascii="宋体" w:hAnsi="宋体"/>
          <w:bCs/>
          <w:szCs w:val="21"/>
        </w:rPr>
      </w:pPr>
      <w:r>
        <w:rPr>
          <w:rFonts w:hint="eastAsia" w:ascii="宋体" w:hAnsi="宋体"/>
          <w:bCs/>
          <w:szCs w:val="21"/>
        </w:rPr>
        <w:t>（1）《基金合同》终止情形出现时，由基金财产清算小组统一接管基金财产；</w:t>
      </w:r>
    </w:p>
    <w:p>
      <w:pPr>
        <w:adjustRightInd w:val="0"/>
        <w:snapToGrid w:val="0"/>
        <w:spacing w:line="360" w:lineRule="auto"/>
        <w:ind w:firstLine="420" w:firstLineChars="200"/>
        <w:rPr>
          <w:rFonts w:ascii="宋体" w:hAnsi="宋体"/>
          <w:bCs/>
          <w:szCs w:val="21"/>
        </w:rPr>
      </w:pPr>
      <w:r>
        <w:rPr>
          <w:rFonts w:hint="eastAsia" w:ascii="宋体" w:hAnsi="宋体"/>
          <w:bCs/>
          <w:szCs w:val="21"/>
        </w:rPr>
        <w:t>（2）对基金财产和债权债务进行清理和确认；</w:t>
      </w:r>
    </w:p>
    <w:p>
      <w:pPr>
        <w:adjustRightInd w:val="0"/>
        <w:snapToGrid w:val="0"/>
        <w:spacing w:line="360" w:lineRule="auto"/>
        <w:ind w:firstLine="420" w:firstLineChars="200"/>
        <w:rPr>
          <w:rFonts w:ascii="宋体" w:hAnsi="宋体"/>
          <w:bCs/>
          <w:szCs w:val="21"/>
        </w:rPr>
      </w:pPr>
      <w:r>
        <w:rPr>
          <w:rFonts w:hint="eastAsia" w:ascii="宋体" w:hAnsi="宋体"/>
          <w:bCs/>
          <w:szCs w:val="21"/>
        </w:rPr>
        <w:t>（3）对基金财产进行估值和变现；</w:t>
      </w:r>
    </w:p>
    <w:p>
      <w:pPr>
        <w:adjustRightInd w:val="0"/>
        <w:snapToGrid w:val="0"/>
        <w:spacing w:line="360" w:lineRule="auto"/>
        <w:ind w:firstLine="420" w:firstLineChars="200"/>
        <w:rPr>
          <w:rFonts w:ascii="宋体" w:hAnsi="宋体"/>
          <w:bCs/>
          <w:szCs w:val="21"/>
        </w:rPr>
      </w:pPr>
      <w:r>
        <w:rPr>
          <w:rFonts w:hint="eastAsia" w:ascii="宋体" w:hAnsi="宋体"/>
          <w:bCs/>
          <w:szCs w:val="21"/>
        </w:rPr>
        <w:t>（4）制作清算报告；</w:t>
      </w:r>
    </w:p>
    <w:p>
      <w:pPr>
        <w:adjustRightInd w:val="0"/>
        <w:snapToGrid w:val="0"/>
        <w:spacing w:line="360" w:lineRule="auto"/>
        <w:ind w:firstLine="420" w:firstLineChars="200"/>
        <w:rPr>
          <w:rFonts w:ascii="宋体" w:hAnsi="宋体"/>
          <w:bCs/>
          <w:szCs w:val="21"/>
        </w:rPr>
      </w:pPr>
      <w:r>
        <w:rPr>
          <w:rFonts w:hint="eastAsia" w:ascii="宋体" w:hAnsi="宋体"/>
          <w:bCs/>
          <w:szCs w:val="21"/>
        </w:rPr>
        <w:t>（5）聘请会计师事务所对清算报告进行外部审计，聘请律师事务所对清算报告出具法律意见书；</w:t>
      </w:r>
    </w:p>
    <w:p>
      <w:pPr>
        <w:adjustRightInd w:val="0"/>
        <w:snapToGrid w:val="0"/>
        <w:spacing w:line="360" w:lineRule="auto"/>
        <w:ind w:firstLine="420" w:firstLineChars="200"/>
        <w:rPr>
          <w:rFonts w:ascii="宋体" w:hAnsi="宋体"/>
          <w:bCs/>
          <w:szCs w:val="21"/>
        </w:rPr>
      </w:pPr>
      <w:r>
        <w:rPr>
          <w:rFonts w:hint="eastAsia" w:ascii="宋体" w:hAnsi="宋体"/>
          <w:bCs/>
          <w:szCs w:val="21"/>
        </w:rPr>
        <w:t>（6）将清算报告报中国证监会备案并公告；</w:t>
      </w:r>
    </w:p>
    <w:p>
      <w:pPr>
        <w:adjustRightInd w:val="0"/>
        <w:snapToGrid w:val="0"/>
        <w:spacing w:line="360" w:lineRule="auto"/>
        <w:ind w:firstLine="420" w:firstLineChars="200"/>
        <w:rPr>
          <w:rFonts w:ascii="宋体" w:hAnsi="宋体"/>
          <w:bCs/>
          <w:szCs w:val="21"/>
        </w:rPr>
      </w:pPr>
      <w:r>
        <w:rPr>
          <w:rFonts w:hint="eastAsia" w:ascii="宋体" w:hAnsi="宋体"/>
          <w:bCs/>
          <w:szCs w:val="21"/>
        </w:rPr>
        <w:t>（7）对基金剩余财产进行分配。</w:t>
      </w:r>
    </w:p>
    <w:p>
      <w:pPr>
        <w:adjustRightInd w:val="0"/>
        <w:snapToGrid w:val="0"/>
        <w:spacing w:line="360" w:lineRule="auto"/>
        <w:ind w:firstLine="420" w:firstLineChars="200"/>
        <w:rPr>
          <w:rFonts w:ascii="宋体" w:hAnsi="宋体"/>
          <w:bCs/>
          <w:szCs w:val="21"/>
        </w:rPr>
      </w:pPr>
      <w:r>
        <w:rPr>
          <w:rFonts w:hint="eastAsia" w:ascii="宋体" w:hAnsi="宋体"/>
          <w:bCs/>
          <w:szCs w:val="21"/>
        </w:rPr>
        <w:t>5.基金财产清算的期限为6个月，但因本基金所持证券的流动性受到限制而不能及时变现的，清算期限可相应顺延。</w:t>
      </w:r>
    </w:p>
    <w:p>
      <w:pPr>
        <w:adjustRightInd w:val="0"/>
        <w:snapToGrid w:val="0"/>
        <w:spacing w:line="360" w:lineRule="auto"/>
        <w:ind w:firstLine="420" w:firstLineChars="200"/>
        <w:rPr>
          <w:rFonts w:ascii="宋体" w:hAnsi="宋体"/>
          <w:bCs/>
          <w:szCs w:val="21"/>
        </w:rPr>
      </w:pPr>
      <w:r>
        <w:rPr>
          <w:rFonts w:hint="eastAsia" w:ascii="宋体" w:hAnsi="宋体"/>
          <w:bCs/>
          <w:szCs w:val="21"/>
        </w:rPr>
        <w:t>6.清算费用</w:t>
      </w:r>
    </w:p>
    <w:p>
      <w:pPr>
        <w:adjustRightInd w:val="0"/>
        <w:snapToGrid w:val="0"/>
        <w:spacing w:line="360" w:lineRule="auto"/>
        <w:ind w:firstLine="420" w:firstLineChars="200"/>
        <w:rPr>
          <w:rFonts w:ascii="宋体" w:hAnsi="宋体"/>
          <w:bCs/>
          <w:szCs w:val="21"/>
        </w:rPr>
      </w:pPr>
      <w:r>
        <w:rPr>
          <w:rFonts w:hint="eastAsia" w:ascii="宋体" w:hAnsi="宋体"/>
          <w:bCs/>
          <w:szCs w:val="21"/>
        </w:rPr>
        <w:t>清算费用是指基金财产清算小组在进行基金清算过程中发生的所有合理费用，清算费用由基金财产清算小组优先从基金剩余财产中支付。</w:t>
      </w:r>
    </w:p>
    <w:p>
      <w:pPr>
        <w:adjustRightInd w:val="0"/>
        <w:snapToGrid w:val="0"/>
        <w:spacing w:line="360" w:lineRule="auto"/>
        <w:ind w:firstLine="420" w:firstLineChars="200"/>
        <w:rPr>
          <w:rFonts w:ascii="宋体" w:hAnsi="宋体"/>
          <w:bCs/>
          <w:szCs w:val="21"/>
        </w:rPr>
      </w:pPr>
      <w:r>
        <w:rPr>
          <w:rFonts w:hint="eastAsia" w:ascii="宋体" w:hAnsi="宋体"/>
          <w:bCs/>
          <w:szCs w:val="21"/>
        </w:rPr>
        <w:t>7.基金财产清算剩余资产的分配</w:t>
      </w:r>
    </w:p>
    <w:p>
      <w:pPr>
        <w:adjustRightInd w:val="0"/>
        <w:snapToGrid w:val="0"/>
        <w:spacing w:line="360" w:lineRule="auto"/>
        <w:ind w:firstLine="420" w:firstLineChars="200"/>
        <w:rPr>
          <w:rFonts w:ascii="宋体" w:hAnsi="宋体"/>
          <w:bCs/>
          <w:szCs w:val="21"/>
        </w:rPr>
      </w:pPr>
      <w:r>
        <w:rPr>
          <w:rFonts w:hint="eastAsia" w:ascii="宋体" w:hAnsi="宋体"/>
          <w:bCs/>
          <w:szCs w:val="21"/>
        </w:rPr>
        <w:t>依据基金财产清算的分配方案，将基金财产清算后的全部剩余资产扣除基金财产清算费用、交纳所欠税款并清偿基金债务后，按基金份额持有人持有的各类基金份额比例进行分配。</w:t>
      </w:r>
    </w:p>
    <w:p>
      <w:pPr>
        <w:adjustRightInd w:val="0"/>
        <w:snapToGrid w:val="0"/>
        <w:spacing w:line="360" w:lineRule="auto"/>
        <w:ind w:firstLine="420" w:firstLineChars="200"/>
        <w:rPr>
          <w:rFonts w:ascii="宋体" w:hAnsi="宋体"/>
          <w:bCs/>
          <w:szCs w:val="21"/>
        </w:rPr>
      </w:pPr>
      <w:r>
        <w:rPr>
          <w:rFonts w:hint="eastAsia" w:ascii="宋体" w:hAnsi="宋体"/>
          <w:bCs/>
          <w:szCs w:val="21"/>
        </w:rPr>
        <w:t>其中，对于投资者在直销机构保有的C类基金份额计提的销售服务费，或者在其他销售机构保有且持续持有期限超过一年的C类基金份额继续计提的销售服务费，将在基金合同终止时随剩余资产分配款项一并返还给投资者。</w:t>
      </w:r>
    </w:p>
    <w:p>
      <w:pPr>
        <w:adjustRightInd w:val="0"/>
        <w:snapToGrid w:val="0"/>
        <w:spacing w:line="360" w:lineRule="auto"/>
        <w:ind w:firstLine="420" w:firstLineChars="200"/>
        <w:rPr>
          <w:rFonts w:ascii="宋体" w:hAnsi="宋体"/>
          <w:bCs/>
          <w:szCs w:val="21"/>
        </w:rPr>
      </w:pPr>
      <w:r>
        <w:rPr>
          <w:rFonts w:hint="eastAsia" w:ascii="宋体" w:hAnsi="宋体"/>
          <w:bCs/>
          <w:szCs w:val="21"/>
        </w:rPr>
        <w:t>8.基金财产清算的公告</w:t>
      </w:r>
    </w:p>
    <w:p>
      <w:pPr>
        <w:adjustRightInd w:val="0"/>
        <w:snapToGrid w:val="0"/>
        <w:spacing w:line="360" w:lineRule="auto"/>
        <w:ind w:firstLine="420" w:firstLineChars="200"/>
        <w:rPr>
          <w:rFonts w:ascii="宋体" w:hAnsi="宋体"/>
          <w:bCs/>
          <w:szCs w:val="21"/>
        </w:rPr>
      </w:pPr>
      <w:r>
        <w:rPr>
          <w:rFonts w:hint="eastAsia" w:ascii="宋体" w:hAnsi="宋体"/>
          <w:bCs/>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djustRightInd w:val="0"/>
        <w:snapToGrid w:val="0"/>
        <w:spacing w:line="360" w:lineRule="auto"/>
        <w:ind w:firstLine="420" w:firstLineChars="200"/>
        <w:rPr>
          <w:rFonts w:ascii="宋体" w:hAnsi="宋体"/>
          <w:bCs/>
          <w:szCs w:val="21"/>
        </w:rPr>
      </w:pPr>
      <w:r>
        <w:rPr>
          <w:rFonts w:hint="eastAsia" w:ascii="宋体" w:hAnsi="宋体"/>
          <w:bCs/>
          <w:szCs w:val="21"/>
        </w:rPr>
        <w:t>9.基金财产清算账册及文件的保存</w:t>
      </w:r>
    </w:p>
    <w:p>
      <w:pPr>
        <w:spacing w:line="360" w:lineRule="auto"/>
        <w:ind w:firstLine="480"/>
        <w:rPr>
          <w:rFonts w:ascii="宋体"/>
          <w:szCs w:val="21"/>
        </w:rPr>
      </w:pPr>
      <w:r>
        <w:rPr>
          <w:rFonts w:hint="eastAsia" w:ascii="宋体" w:hAnsi="宋体"/>
          <w:bCs/>
          <w:szCs w:val="21"/>
        </w:rPr>
        <w:t>基金财产清算账册及有关文件由基金托管人保存，保存年限不低于法律法规规定的最低期限。</w:t>
      </w:r>
    </w:p>
    <w:bookmarkEnd w:id="192"/>
    <w:p>
      <w:pPr>
        <w:spacing w:line="360" w:lineRule="auto"/>
        <w:ind w:firstLine="480"/>
        <w:rPr>
          <w:rFonts w:ascii="宋体"/>
          <w:szCs w:val="21"/>
        </w:rPr>
      </w:pPr>
    </w:p>
    <w:p>
      <w:pPr>
        <w:autoSpaceDE w:val="0"/>
        <w:autoSpaceDN w:val="0"/>
        <w:adjustRightInd w:val="0"/>
        <w:snapToGrid w:val="0"/>
        <w:spacing w:line="360" w:lineRule="auto"/>
        <w:ind w:firstLine="422" w:firstLineChars="201"/>
        <w:jc w:val="left"/>
        <w:rPr>
          <w:rFonts w:ascii="宋体" w:hAnsi="宋体"/>
          <w:bCs/>
          <w:szCs w:val="21"/>
        </w:rPr>
        <w:sectPr>
          <w:footerReference r:id="rId30" w:type="first"/>
          <w:pgSz w:w="11906" w:h="16838"/>
          <w:pgMar w:top="1440" w:right="1800" w:bottom="1440" w:left="1800" w:header="851" w:footer="992" w:gutter="0"/>
          <w:pgNumType w:start="1"/>
          <w:cols w:space="425" w:num="1"/>
          <w:titlePg/>
          <w:docGrid w:type="lines" w:linePitch="312" w:charSpace="0"/>
        </w:sectPr>
      </w:pPr>
    </w:p>
    <w:p>
      <w:pPr>
        <w:pStyle w:val="3"/>
        <w:numPr>
          <w:ilvl w:val="0"/>
          <w:numId w:val="26"/>
        </w:numPr>
        <w:snapToGrid w:val="0"/>
        <w:spacing w:before="0" w:after="0" w:line="360" w:lineRule="auto"/>
        <w:jc w:val="center"/>
        <w:rPr>
          <w:rFonts w:asciiTheme="minorEastAsia" w:hAnsiTheme="minorEastAsia" w:eastAsiaTheme="minorEastAsia"/>
        </w:rPr>
      </w:pPr>
      <w:bookmarkStart w:id="193" w:name="_Toc92740304"/>
      <w:bookmarkStart w:id="194" w:name="_Toc369510028"/>
      <w:bookmarkStart w:id="195" w:name="_Toc336606247"/>
      <w:bookmarkStart w:id="196" w:name="_Toc411872042"/>
      <w:bookmarkStart w:id="197" w:name="_Toc332013130"/>
      <w:bookmarkStart w:id="198" w:name="_Toc375295993"/>
      <w:bookmarkStart w:id="199" w:name="_Toc327902642"/>
      <w:bookmarkStart w:id="200" w:name="_Toc335899853"/>
      <w:r>
        <w:rPr>
          <w:rFonts w:hint="eastAsia" w:asciiTheme="minorEastAsia" w:hAnsiTheme="minorEastAsia" w:eastAsiaTheme="minorEastAsia"/>
        </w:rPr>
        <w:t>基金份额持有人服务</w:t>
      </w:r>
      <w:bookmarkEnd w:id="193"/>
      <w:bookmarkEnd w:id="194"/>
      <w:bookmarkEnd w:id="195"/>
      <w:bookmarkEnd w:id="196"/>
      <w:bookmarkEnd w:id="197"/>
      <w:bookmarkEnd w:id="198"/>
      <w:bookmarkEnd w:id="199"/>
      <w:bookmarkEnd w:id="200"/>
    </w:p>
    <w:p>
      <w:pPr>
        <w:autoSpaceDE w:val="0"/>
        <w:autoSpaceDN w:val="0"/>
        <w:adjustRightInd w:val="0"/>
        <w:snapToGrid w:val="0"/>
        <w:spacing w:line="360" w:lineRule="auto"/>
        <w:ind w:firstLine="420" w:firstLineChars="200"/>
        <w:rPr>
          <w:rFonts w:asciiTheme="minorEastAsia" w:hAnsiTheme="minorEastAsia" w:eastAsiaTheme="minorEastAsia"/>
          <w:spacing w:val="8"/>
          <w:szCs w:val="21"/>
        </w:rPr>
      </w:pPr>
      <w:r>
        <w:rPr>
          <w:rFonts w:hint="eastAsia" w:asciiTheme="minorEastAsia" w:hAnsiTheme="minorEastAsia" w:eastAsiaTheme="minorEastAsia"/>
          <w:szCs w:val="21"/>
        </w:rPr>
        <w:t>对本基金份额持有人的服务主要由基金管理人、基金销售机构提供。</w:t>
      </w:r>
      <w:r>
        <w:rPr>
          <w:rFonts w:asciiTheme="minorEastAsia" w:hAnsiTheme="minorEastAsia" w:eastAsiaTheme="minorEastAsia"/>
          <w:spacing w:val="8"/>
          <w:szCs w:val="21"/>
        </w:rPr>
        <w:t>基金管理人承诺为基金份额持有人提供一系列的服务</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根据基金份额持有人的需要和市场的变化，有权增加或变更服务项目</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主要服务内容如下：</w:t>
      </w:r>
    </w:p>
    <w:p>
      <w:pPr>
        <w:adjustRightInd w:val="0"/>
        <w:snapToGrid w:val="0"/>
        <w:spacing w:line="360" w:lineRule="auto"/>
        <w:ind w:firstLine="422" w:firstLineChars="200"/>
        <w:rPr>
          <w:rFonts w:cs="Arial" w:asciiTheme="minorEastAsia" w:hAnsiTheme="minorEastAsia" w:eastAsiaTheme="minorEastAsia"/>
          <w:b/>
          <w:bCs/>
          <w:szCs w:val="21"/>
        </w:rPr>
      </w:pPr>
      <w:r>
        <w:rPr>
          <w:rFonts w:cs="Arial" w:asciiTheme="minorEastAsia" w:hAnsiTheme="minorEastAsia" w:eastAsiaTheme="minorEastAsia"/>
          <w:b/>
          <w:bCs/>
          <w:szCs w:val="21"/>
        </w:rPr>
        <w:t>一、持有人交易资料的寄送服务</w:t>
      </w:r>
    </w:p>
    <w:p>
      <w:pPr>
        <w:autoSpaceDE w:val="0"/>
        <w:autoSpaceDN w:val="0"/>
        <w:adjustRightInd w:val="0"/>
        <w:snapToGrid w:val="0"/>
        <w:spacing w:line="360" w:lineRule="auto"/>
        <w:ind w:firstLine="452" w:firstLineChars="200"/>
        <w:rPr>
          <w:rFonts w:asciiTheme="minorEastAsia" w:hAnsiTheme="minorEastAsia" w:eastAsiaTheme="minorEastAsia"/>
        </w:rPr>
      </w:pPr>
      <w:r>
        <w:rPr>
          <w:rFonts w:asciiTheme="minorEastAsia" w:hAnsiTheme="minorEastAsia" w:eastAsiaTheme="minorEastAsia"/>
          <w:spacing w:val="8"/>
          <w:szCs w:val="21"/>
        </w:rPr>
        <w:t>1、</w:t>
      </w:r>
      <w:r>
        <w:rPr>
          <w:rFonts w:hint="eastAsia" w:asciiTheme="minorEastAsia" w:hAnsiTheme="minorEastAsia" w:eastAsiaTheme="minorEastAsia"/>
        </w:rPr>
        <w:t>交易确认单</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基金合同生效后，</w:t>
      </w:r>
      <w:r>
        <w:rPr>
          <w:rFonts w:asciiTheme="minorEastAsia" w:hAnsiTheme="minorEastAsia" w:eastAsiaTheme="minorEastAsia"/>
          <w:spacing w:val="8"/>
          <w:szCs w:val="21"/>
        </w:rPr>
        <w:t>每次交易结束后，投资者可在T+2个工作日后通过销售机构的</w:t>
      </w:r>
      <w:r>
        <w:rPr>
          <w:rFonts w:hint="eastAsia" w:asciiTheme="minorEastAsia" w:hAnsiTheme="minorEastAsia" w:eastAsiaTheme="minorEastAsia"/>
          <w:szCs w:val="21"/>
        </w:rPr>
        <w:t>网点柜台或以销售机构规定的其他方式</w:t>
      </w:r>
      <w:r>
        <w:rPr>
          <w:rFonts w:asciiTheme="minorEastAsia" w:hAnsiTheme="minorEastAsia" w:eastAsiaTheme="minorEastAsia"/>
          <w:spacing w:val="8"/>
          <w:szCs w:val="21"/>
        </w:rPr>
        <w:t>查询和打印交易确认单，或在T+1个工作日后通</w:t>
      </w:r>
      <w:r>
        <w:rPr>
          <w:rFonts w:hint="eastAsia" w:asciiTheme="minorEastAsia" w:hAnsiTheme="minorEastAsia" w:eastAsiaTheme="minorEastAsia"/>
          <w:spacing w:val="8"/>
          <w:szCs w:val="21"/>
        </w:rPr>
        <w:t>过</w:t>
      </w:r>
      <w:r>
        <w:rPr>
          <w:rFonts w:asciiTheme="minorEastAsia" w:hAnsiTheme="minorEastAsia" w:eastAsiaTheme="minorEastAsia"/>
          <w:spacing w:val="8"/>
          <w:szCs w:val="21"/>
        </w:rPr>
        <w:t>博时一线通电话、博时网</w:t>
      </w:r>
      <w:r>
        <w:rPr>
          <w:rFonts w:hint="eastAsia" w:asciiTheme="minorEastAsia" w:hAnsiTheme="minorEastAsia" w:eastAsiaTheme="minorEastAsia"/>
          <w:spacing w:val="8"/>
          <w:szCs w:val="21"/>
        </w:rPr>
        <w:t>站</w:t>
      </w:r>
      <w:r>
        <w:rPr>
          <w:rFonts w:asciiTheme="minorEastAsia" w:hAnsiTheme="minorEastAsia" w:eastAsiaTheme="minorEastAsia"/>
          <w:spacing w:val="8"/>
          <w:szCs w:val="21"/>
        </w:rPr>
        <w:t>查询交易确认情况。基金管理人不向投资者寄送交易确认单。</w:t>
      </w:r>
    </w:p>
    <w:p>
      <w:pPr>
        <w:autoSpaceDE w:val="0"/>
        <w:autoSpaceDN w:val="0"/>
        <w:adjustRightInd w:val="0"/>
        <w:snapToGrid w:val="0"/>
        <w:spacing w:line="360" w:lineRule="auto"/>
        <w:ind w:firstLine="452" w:firstLineChars="200"/>
        <w:rPr>
          <w:rFonts w:asciiTheme="minorEastAsia" w:hAnsiTheme="minorEastAsia" w:eastAsiaTheme="minorEastAsia"/>
        </w:rPr>
      </w:pPr>
      <w:r>
        <w:rPr>
          <w:rFonts w:asciiTheme="minorEastAsia" w:hAnsiTheme="minorEastAsia" w:eastAsiaTheme="minorEastAsia"/>
          <w:spacing w:val="8"/>
          <w:szCs w:val="21"/>
        </w:rPr>
        <w:t>2、</w:t>
      </w:r>
      <w:r>
        <w:rPr>
          <w:rFonts w:asciiTheme="minorEastAsia" w:hAnsiTheme="minorEastAsia" w:eastAsiaTheme="minorEastAsia"/>
        </w:rPr>
        <w:t>电子</w:t>
      </w:r>
      <w:r>
        <w:rPr>
          <w:rFonts w:hint="eastAsia" w:asciiTheme="minorEastAsia" w:hAnsiTheme="minorEastAsia" w:eastAsiaTheme="minorEastAsia"/>
        </w:rPr>
        <w:t>对账单</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每月结束后，基金管理人向所有订阅电子邮件对账单的投资者发送电子邮件对账单。</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投资者可以登录基金管理人网站（http://www.bosera.com）自助订阅；或发送</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订阅电子对账单</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邮件到客服邮箱</w:t>
      </w:r>
      <w:r>
        <w:fldChar w:fldCharType="begin"/>
      </w:r>
      <w:r>
        <w:instrText xml:space="preserve"> HYPERLINK "mailto:service@bosera.com" </w:instrText>
      </w:r>
      <w:r>
        <w:fldChar w:fldCharType="separate"/>
      </w:r>
      <w:r>
        <w:rPr>
          <w:rFonts w:asciiTheme="minorEastAsia" w:hAnsiTheme="minorEastAsia" w:eastAsiaTheme="minorEastAsia"/>
          <w:spacing w:val="8"/>
          <w:szCs w:val="21"/>
        </w:rPr>
        <w:t>service@bosera</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com</w:t>
      </w:r>
      <w:r>
        <w:rPr>
          <w:rFonts w:asciiTheme="minorEastAsia" w:hAnsiTheme="minorEastAsia" w:eastAsiaTheme="minorEastAsia"/>
          <w:spacing w:val="8"/>
          <w:szCs w:val="21"/>
        </w:rPr>
        <w:fldChar w:fldCharType="end"/>
      </w:r>
      <w:r>
        <w:rPr>
          <w:rFonts w:asciiTheme="minorEastAsia" w:hAnsiTheme="minorEastAsia" w:eastAsiaTheme="minorEastAsia"/>
          <w:spacing w:val="8"/>
          <w:szCs w:val="21"/>
        </w:rPr>
        <w:t>；也可直接拨打博时一线通95105568（免长途话费）订阅。</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由于投资者提供的电子邮箱不详、错误、未及时变更或通讯故障、延误等原因有可能造成对账单无法按时或准确送达。因上述原因无法正常收取对账单的投资者，敬请及时通过本</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网站，或拨打</w:t>
      </w:r>
      <w:r>
        <w:rPr>
          <w:rFonts w:asciiTheme="minorEastAsia" w:hAnsiTheme="minorEastAsia" w:eastAsiaTheme="minorEastAsia"/>
          <w:spacing w:val="8"/>
          <w:szCs w:val="21"/>
        </w:rPr>
        <w:t>博时一线通</w:t>
      </w:r>
      <w:r>
        <w:rPr>
          <w:rFonts w:hint="eastAsia" w:asciiTheme="minorEastAsia" w:hAnsiTheme="minorEastAsia" w:eastAsiaTheme="minorEastAsia"/>
          <w:spacing w:val="8"/>
          <w:szCs w:val="21"/>
        </w:rPr>
        <w:t>客服电话查询、核对、变更您的预留联系方式。</w:t>
      </w:r>
    </w:p>
    <w:p>
      <w:pPr>
        <w:adjustRightInd w:val="0"/>
        <w:snapToGrid w:val="0"/>
        <w:spacing w:line="360" w:lineRule="auto"/>
        <w:ind w:firstLine="420" w:firstLineChars="200"/>
        <w:rPr>
          <w:rFonts w:cs="Arial" w:asciiTheme="minorEastAsia" w:hAnsiTheme="minorEastAsia" w:eastAsiaTheme="minorEastAsia"/>
          <w:b/>
          <w:bCs/>
          <w:szCs w:val="21"/>
        </w:rPr>
      </w:pPr>
      <w:r>
        <w:rPr>
          <w:rFonts w:hint="eastAsia" w:cs="Arial" w:asciiTheme="minorEastAsia" w:hAnsiTheme="minorEastAsia" w:eastAsiaTheme="minorEastAsia"/>
        </w:rPr>
        <w:t>二</w:t>
      </w:r>
      <w:r>
        <w:rPr>
          <w:rFonts w:cs="Arial" w:asciiTheme="minorEastAsia" w:hAnsiTheme="minorEastAsia" w:eastAsiaTheme="minorEastAsia"/>
          <w:b/>
          <w:bCs/>
          <w:szCs w:val="21"/>
        </w:rPr>
        <w:t>、网上</w:t>
      </w:r>
      <w:r>
        <w:rPr>
          <w:rFonts w:hint="eastAsia" w:cs="Arial" w:asciiTheme="minorEastAsia" w:hAnsiTheme="minorEastAsia" w:eastAsiaTheme="minorEastAsia"/>
          <w:b/>
          <w:bCs/>
          <w:szCs w:val="21"/>
        </w:rPr>
        <w:t>理财</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通过基金管理人网站，投资者可获得如下服务：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1、</w:t>
      </w:r>
      <w:r>
        <w:rPr>
          <w:rFonts w:hint="eastAsia" w:asciiTheme="minorEastAsia" w:hAnsiTheme="minorEastAsia" w:eastAsiaTheme="minorEastAsia"/>
          <w:spacing w:val="8"/>
          <w:szCs w:val="21"/>
        </w:rPr>
        <w:t>自助开户交易</w:t>
      </w:r>
    </w:p>
    <w:p>
      <w:pPr>
        <w:autoSpaceDE w:val="0"/>
        <w:autoSpaceDN w:val="0"/>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投资者可</w:t>
      </w:r>
      <w:r>
        <w:rPr>
          <w:rFonts w:hint="eastAsia" w:asciiTheme="minorEastAsia" w:hAnsiTheme="minorEastAsia" w:eastAsiaTheme="minorEastAsia"/>
          <w:spacing w:val="8"/>
          <w:szCs w:val="21"/>
        </w:rPr>
        <w:t>登录</w:t>
      </w:r>
      <w:r>
        <w:rPr>
          <w:rFonts w:hint="eastAsia" w:asciiTheme="minorEastAsia" w:hAnsiTheme="minorEastAsia" w:eastAsiaTheme="minorEastAsia"/>
        </w:rPr>
        <w:t>基金管理人网站网上交易系统，</w:t>
      </w:r>
      <w:r>
        <w:rPr>
          <w:rFonts w:hint="eastAsia" w:asciiTheme="minorEastAsia" w:hAnsiTheme="minorEastAsia" w:eastAsiaTheme="minorEastAsia"/>
          <w:spacing w:val="8"/>
          <w:szCs w:val="21"/>
        </w:rPr>
        <w:t>与基金管理人达成电子交易的相关协议，接受基金管理人有关服务条款并办理相关手续后，即可自助开户并进行网上交易，如</w:t>
      </w:r>
      <w:r>
        <w:rPr>
          <w:rFonts w:hint="eastAsia" w:asciiTheme="minorEastAsia" w:hAnsiTheme="minorEastAsia" w:eastAsiaTheme="minorEastAsia"/>
        </w:rPr>
        <w:t>基金认/申购、定投、转换、赎回、赎回转申购及</w:t>
      </w:r>
      <w:r>
        <w:rPr>
          <w:rFonts w:hint="eastAsia" w:asciiTheme="minorEastAsia" w:hAnsiTheme="minorEastAsia" w:eastAsiaTheme="minorEastAsia"/>
          <w:spacing w:val="8"/>
          <w:szCs w:val="21"/>
        </w:rPr>
        <w:t>分红方式变更</w:t>
      </w:r>
      <w:r>
        <w:rPr>
          <w:rFonts w:hint="eastAsia" w:asciiTheme="minorEastAsia" w:hAnsiTheme="minorEastAsia" w:eastAsiaTheme="minorEastAsia"/>
        </w:rPr>
        <w:t>等。</w:t>
      </w:r>
      <w:r>
        <w:rPr>
          <w:rFonts w:hint="eastAsia" w:asciiTheme="minorEastAsia" w:hAnsiTheme="minorEastAsia" w:eastAsiaTheme="minorEastAsia"/>
          <w:spacing w:val="8"/>
          <w:szCs w:val="21"/>
        </w:rPr>
        <w:t>具体业务办理情况及业务规则请登录基金管理人网站查询。</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2</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查询服务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投资者可以通过</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网站查询所持有基金的基金份额、交易记录等信息，同时可以修改基金账户信息等基本资料。</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3</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信息资讯服务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投资者可</w:t>
      </w:r>
      <w:r>
        <w:rPr>
          <w:rFonts w:hint="eastAsia" w:asciiTheme="minorEastAsia" w:hAnsiTheme="minorEastAsia" w:eastAsiaTheme="minorEastAsia"/>
          <w:spacing w:val="8"/>
          <w:szCs w:val="21"/>
        </w:rPr>
        <w:t>以利用</w:t>
      </w:r>
      <w:r>
        <w:rPr>
          <w:rFonts w:asciiTheme="minorEastAsia" w:hAnsiTheme="minorEastAsia" w:eastAsiaTheme="minorEastAsia"/>
          <w:spacing w:val="8"/>
          <w:szCs w:val="21"/>
        </w:rPr>
        <w:t>基金管理人网站获取基金和基金管理人各类信息，包括基金法律文件、基金管理人最新动态、热点问题等。</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4</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在线客服</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投资者</w:t>
      </w:r>
      <w:r>
        <w:rPr>
          <w:rFonts w:hint="eastAsia" w:asciiTheme="minorEastAsia" w:hAnsiTheme="minorEastAsia" w:eastAsiaTheme="minorEastAsia"/>
          <w:spacing w:val="8"/>
          <w:szCs w:val="21"/>
        </w:rPr>
        <w:t>可以通过</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网站首页</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在线客服</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功能进行在线咨询。也可以</w:t>
      </w:r>
      <w:r>
        <w:rPr>
          <w:rFonts w:asciiTheme="minorEastAsia" w:hAnsiTheme="minorEastAsia" w:eastAsiaTheme="minorEastAsia"/>
          <w:spacing w:val="8"/>
          <w:szCs w:val="21"/>
        </w:rPr>
        <w:t>在</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您问我答</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栏目中，直接提出有关本基金的问题和建议</w:t>
      </w:r>
      <w:r>
        <w:rPr>
          <w:rFonts w:hint="eastAsia" w:asciiTheme="minorEastAsia" w:hAnsiTheme="minorEastAsia" w:eastAsiaTheme="minorEastAsia"/>
          <w:spacing w:val="8"/>
          <w:szCs w:val="21"/>
        </w:rPr>
        <w:t>。</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三</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短信</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基金管理人向订制短信服务的基金份额持有人提供相应短信服务。</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四</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电子邮件</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基金管理人为投资者提供电子邮件方式的业务咨询、投诉受理、</w:t>
      </w:r>
      <w:r>
        <w:rPr>
          <w:rFonts w:asciiTheme="minorEastAsia" w:hAnsiTheme="minorEastAsia" w:eastAsiaTheme="minorEastAsia"/>
          <w:spacing w:val="8"/>
          <w:szCs w:val="21"/>
        </w:rPr>
        <w:t>基金份额净值</w:t>
      </w:r>
      <w:r>
        <w:rPr>
          <w:rFonts w:hint="eastAsia" w:asciiTheme="minorEastAsia" w:hAnsiTheme="minorEastAsia" w:eastAsiaTheme="minorEastAsia"/>
          <w:spacing w:val="8"/>
          <w:szCs w:val="21"/>
        </w:rPr>
        <w:t>等服务。</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五</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手机理财</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投资者通过手机博时移动版直销网上交易系统（</w:t>
      </w:r>
      <w:r>
        <w:rPr>
          <w:rFonts w:asciiTheme="minorEastAsia" w:hAnsiTheme="minorEastAsia" w:eastAsiaTheme="minorEastAsia"/>
          <w:spacing w:val="8"/>
          <w:szCs w:val="21"/>
        </w:rPr>
        <w:t>http://</w:t>
      </w:r>
      <w:r>
        <w:rPr>
          <w:rFonts w:hint="eastAsia" w:asciiTheme="minorEastAsia" w:hAnsiTheme="minorEastAsia" w:eastAsiaTheme="minorEastAsia"/>
          <w:spacing w:val="8"/>
          <w:szCs w:val="21"/>
        </w:rPr>
        <w:t>m</w:t>
      </w:r>
      <w:r>
        <w:rPr>
          <w:rFonts w:asciiTheme="minorEastAsia" w:hAnsiTheme="minorEastAsia" w:eastAsiaTheme="minorEastAsia"/>
          <w:spacing w:val="8"/>
          <w:szCs w:val="21"/>
        </w:rPr>
        <w:t>.bosera.com</w:t>
      </w:r>
      <w:r>
        <w:rPr>
          <w:rFonts w:hint="eastAsia" w:asciiTheme="minorEastAsia" w:hAnsiTheme="minorEastAsia" w:eastAsiaTheme="minorEastAsia"/>
          <w:spacing w:val="8"/>
          <w:szCs w:val="21"/>
        </w:rPr>
        <w:t>）和博时App版直销网上交易系统，可以使用基金理财所需的基金交易、理财查询、账户管理、信息资讯等功能和服务。</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六</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信息订阅</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投资者可以通过</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网站、客服中心提交信息订制的申请，</w:t>
      </w:r>
      <w:r>
        <w:rPr>
          <w:rFonts w:asciiTheme="minorEastAsia" w:hAnsiTheme="minorEastAsia" w:eastAsiaTheme="minorEastAsia"/>
          <w:spacing w:val="8"/>
          <w:szCs w:val="21"/>
        </w:rPr>
        <w:t>基金管理人</w:t>
      </w:r>
      <w:r>
        <w:rPr>
          <w:rFonts w:hint="eastAsia" w:asciiTheme="minorEastAsia" w:hAnsiTheme="minorEastAsia" w:eastAsiaTheme="minorEastAsia"/>
          <w:spacing w:val="8"/>
          <w:szCs w:val="21"/>
        </w:rPr>
        <w:t>将以电子邮件、手机短信的形式定期为投资者发送所订制的信息。</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七</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电话理财</w:t>
      </w:r>
      <w:r>
        <w:rPr>
          <w:rFonts w:cs="Arial" w:asciiTheme="minorEastAsia" w:hAnsiTheme="minorEastAsia" w:eastAsiaTheme="minorEastAsia"/>
          <w:b/>
          <w:bCs/>
          <w:szCs w:val="21"/>
        </w:rPr>
        <w:t>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投资者拨打</w:t>
      </w:r>
      <w:r>
        <w:rPr>
          <w:rFonts w:asciiTheme="minorEastAsia" w:hAnsiTheme="minorEastAsia" w:eastAsiaTheme="minorEastAsia"/>
          <w:spacing w:val="8"/>
          <w:szCs w:val="21"/>
        </w:rPr>
        <w:t>博时一线通：95105568（免长途</w:t>
      </w:r>
      <w:r>
        <w:rPr>
          <w:rFonts w:hint="eastAsia" w:asciiTheme="minorEastAsia" w:hAnsiTheme="minorEastAsia" w:eastAsiaTheme="minorEastAsia"/>
          <w:spacing w:val="8"/>
          <w:szCs w:val="21"/>
        </w:rPr>
        <w:t>话</w:t>
      </w:r>
      <w:r>
        <w:rPr>
          <w:rFonts w:asciiTheme="minorEastAsia" w:hAnsiTheme="minorEastAsia" w:eastAsiaTheme="minorEastAsia"/>
          <w:spacing w:val="8"/>
          <w:szCs w:val="21"/>
        </w:rPr>
        <w:t>费）</w:t>
      </w:r>
      <w:r>
        <w:rPr>
          <w:rFonts w:hint="eastAsia" w:asciiTheme="minorEastAsia" w:hAnsiTheme="minorEastAsia" w:eastAsiaTheme="minorEastAsia"/>
          <w:spacing w:val="8"/>
          <w:szCs w:val="21"/>
        </w:rPr>
        <w:t>可享有</w:t>
      </w:r>
      <w:r>
        <w:rPr>
          <w:rFonts w:asciiTheme="minorEastAsia" w:hAnsiTheme="minorEastAsia" w:eastAsiaTheme="minorEastAsia"/>
          <w:spacing w:val="8"/>
          <w:szCs w:val="21"/>
        </w:rPr>
        <w:t>投资理财交易的一站式</w:t>
      </w:r>
      <w:r>
        <w:rPr>
          <w:rFonts w:hint="eastAsia" w:asciiTheme="minorEastAsia" w:hAnsiTheme="minorEastAsia" w:eastAsiaTheme="minorEastAsia"/>
          <w:spacing w:val="8"/>
          <w:szCs w:val="21"/>
        </w:rPr>
        <w:t>综合服务：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1、自助</w:t>
      </w:r>
      <w:r>
        <w:rPr>
          <w:rFonts w:hint="eastAsia" w:asciiTheme="minorEastAsia" w:hAnsiTheme="minorEastAsia" w:eastAsiaTheme="minorEastAsia"/>
          <w:spacing w:val="8"/>
          <w:szCs w:val="21"/>
        </w:rPr>
        <w:t>语音服务：</w:t>
      </w:r>
      <w:r>
        <w:rPr>
          <w:rFonts w:asciiTheme="minorEastAsia" w:hAnsiTheme="minorEastAsia" w:eastAsiaTheme="minorEastAsia"/>
          <w:spacing w:val="8"/>
          <w:szCs w:val="21"/>
        </w:rPr>
        <w:t>基金管理人自助语音</w:t>
      </w:r>
      <w:r>
        <w:rPr>
          <w:rFonts w:hint="eastAsia" w:asciiTheme="minorEastAsia" w:hAnsiTheme="minorEastAsia" w:eastAsiaTheme="minorEastAsia"/>
          <w:spacing w:val="8"/>
          <w:szCs w:val="21"/>
        </w:rPr>
        <w:t>系统提供</w:t>
      </w:r>
      <w:r>
        <w:rPr>
          <w:rFonts w:asciiTheme="minorEastAsia" w:hAnsiTheme="minorEastAsia" w:eastAsiaTheme="minorEastAsia"/>
          <w:spacing w:val="8"/>
          <w:szCs w:val="21"/>
        </w:rPr>
        <w:t>7</w:t>
      </w:r>
      <w:r>
        <w:rPr>
          <w:rFonts w:hint="eastAsia" w:asciiTheme="minorEastAsia" w:hAnsiTheme="minorEastAsia" w:eastAsiaTheme="minorEastAsia"/>
          <w:spacing w:val="8"/>
          <w:szCs w:val="21"/>
        </w:rPr>
        <w:t>×</w:t>
      </w:r>
      <w:r>
        <w:rPr>
          <w:rFonts w:asciiTheme="minorEastAsia" w:hAnsiTheme="minorEastAsia" w:eastAsiaTheme="minorEastAsia"/>
          <w:spacing w:val="8"/>
          <w:szCs w:val="21"/>
        </w:rPr>
        <w:t>24</w:t>
      </w:r>
      <w:r>
        <w:rPr>
          <w:rFonts w:hint="eastAsia" w:asciiTheme="minorEastAsia" w:hAnsiTheme="minorEastAsia" w:eastAsiaTheme="minorEastAsia"/>
          <w:spacing w:val="8"/>
          <w:szCs w:val="21"/>
        </w:rPr>
        <w:t>小时的全天候服务，投资者可以自助查询账户余额、交易情况、基金净值等信息，也可以进行直销交易、密码修改、传真索取等操作。</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2、电话交易服务：基金管理人直销投资者可通过博时一线通电话交易平台在线办理基金的赎回、变更分红方式、撤单等直销交易业务。</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3</w:t>
      </w:r>
      <w:r>
        <w:rPr>
          <w:rFonts w:asciiTheme="minorEastAsia" w:hAnsiTheme="minorEastAsia" w:eastAsiaTheme="minorEastAsia"/>
          <w:spacing w:val="8"/>
          <w:szCs w:val="21"/>
        </w:rPr>
        <w:t>、</w:t>
      </w:r>
      <w:r>
        <w:rPr>
          <w:rFonts w:hint="eastAsia" w:asciiTheme="minorEastAsia" w:hAnsiTheme="minorEastAsia" w:eastAsiaTheme="minorEastAsia"/>
          <w:spacing w:val="8"/>
          <w:szCs w:val="21"/>
        </w:rPr>
        <w:t>人工电话服务：</w:t>
      </w:r>
      <w:r>
        <w:rPr>
          <w:rFonts w:asciiTheme="minorEastAsia" w:hAnsiTheme="minorEastAsia" w:eastAsiaTheme="minorEastAsia"/>
          <w:spacing w:val="8"/>
          <w:szCs w:val="21"/>
        </w:rPr>
        <w:t>投资者</w:t>
      </w:r>
      <w:r>
        <w:rPr>
          <w:rFonts w:hint="eastAsia" w:asciiTheme="minorEastAsia" w:hAnsiTheme="minorEastAsia" w:eastAsiaTheme="minorEastAsia"/>
          <w:spacing w:val="8"/>
          <w:szCs w:val="21"/>
        </w:rPr>
        <w:t>可以获得</w:t>
      </w:r>
      <w:r>
        <w:rPr>
          <w:rFonts w:asciiTheme="minorEastAsia" w:hAnsiTheme="minorEastAsia" w:eastAsiaTheme="minorEastAsia"/>
          <w:spacing w:val="8"/>
          <w:szCs w:val="21"/>
        </w:rPr>
        <w:t>业务咨询、信息查询、资料修改、投诉受理</w:t>
      </w:r>
      <w:r>
        <w:rPr>
          <w:rFonts w:hint="eastAsia" w:asciiTheme="minorEastAsia" w:hAnsiTheme="minorEastAsia" w:eastAsiaTheme="minorEastAsia"/>
          <w:spacing w:val="8"/>
          <w:szCs w:val="21"/>
        </w:rPr>
        <w:t>、信息订制、账户诊断</w:t>
      </w:r>
      <w:r>
        <w:rPr>
          <w:rFonts w:asciiTheme="minorEastAsia" w:hAnsiTheme="minorEastAsia" w:eastAsiaTheme="minorEastAsia"/>
          <w:spacing w:val="8"/>
          <w:szCs w:val="21"/>
        </w:rPr>
        <w:t>等服务</w:t>
      </w:r>
      <w:r>
        <w:rPr>
          <w:rFonts w:hint="eastAsia" w:asciiTheme="minorEastAsia" w:hAnsiTheme="minorEastAsia" w:eastAsiaTheme="minorEastAsia"/>
          <w:spacing w:val="8"/>
          <w:szCs w:val="21"/>
        </w:rPr>
        <w:t>。</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4、电话留言服务：非人工服务时间或线路繁忙时，投资者可进行电话留言。</w:t>
      </w:r>
    </w:p>
    <w:p>
      <w:pPr>
        <w:adjustRightInd w:val="0"/>
        <w:snapToGrid w:val="0"/>
        <w:spacing w:line="360" w:lineRule="auto"/>
        <w:ind w:firstLine="422" w:firstLineChars="200"/>
        <w:rPr>
          <w:rFonts w:cs="Arial" w:asciiTheme="minorEastAsia" w:hAnsiTheme="minorEastAsia" w:eastAsiaTheme="minorEastAsia"/>
          <w:b/>
          <w:bCs/>
          <w:szCs w:val="21"/>
        </w:rPr>
      </w:pPr>
      <w:r>
        <w:rPr>
          <w:rFonts w:hint="eastAsia" w:cs="Arial" w:asciiTheme="minorEastAsia" w:hAnsiTheme="minorEastAsia" w:eastAsiaTheme="minorEastAsia"/>
          <w:b/>
          <w:bCs/>
          <w:szCs w:val="21"/>
        </w:rPr>
        <w:t>八</w:t>
      </w:r>
      <w:r>
        <w:rPr>
          <w:rFonts w:cs="Arial" w:asciiTheme="minorEastAsia" w:hAnsiTheme="minorEastAsia" w:eastAsiaTheme="minorEastAsia"/>
          <w:b/>
          <w:bCs/>
          <w:szCs w:val="21"/>
        </w:rPr>
        <w:t>、</w:t>
      </w:r>
      <w:r>
        <w:rPr>
          <w:rFonts w:hint="eastAsia" w:cs="Arial" w:asciiTheme="minorEastAsia" w:hAnsiTheme="minorEastAsia" w:eastAsiaTheme="minorEastAsia"/>
          <w:b/>
          <w:bCs/>
          <w:szCs w:val="21"/>
        </w:rPr>
        <w:t>基金管理人联系方式</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hint="eastAsia" w:asciiTheme="minorEastAsia" w:hAnsiTheme="minorEastAsia" w:eastAsiaTheme="minorEastAsia"/>
          <w:spacing w:val="8"/>
          <w:szCs w:val="21"/>
        </w:rPr>
        <w:t>公司</w:t>
      </w:r>
      <w:r>
        <w:rPr>
          <w:rFonts w:asciiTheme="minorEastAsia" w:hAnsiTheme="minorEastAsia" w:eastAsiaTheme="minorEastAsia"/>
          <w:spacing w:val="8"/>
          <w:szCs w:val="21"/>
        </w:rPr>
        <w:t xml:space="preserve">网址： www.bosera.com </w:t>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电子信箱：</w:t>
      </w:r>
      <w:r>
        <w:fldChar w:fldCharType="begin"/>
      </w:r>
      <w:r>
        <w:instrText xml:space="preserve"> HYPERLINK "mailto:service@bosera.com" </w:instrText>
      </w:r>
      <w:r>
        <w:fldChar w:fldCharType="separate"/>
      </w:r>
      <w:r>
        <w:rPr>
          <w:rFonts w:asciiTheme="minorEastAsia" w:hAnsiTheme="minorEastAsia" w:eastAsiaTheme="minorEastAsia"/>
          <w:spacing w:val="8"/>
          <w:szCs w:val="21"/>
        </w:rPr>
        <w:t>service@bosera.com</w:t>
      </w:r>
      <w:r>
        <w:rPr>
          <w:rFonts w:asciiTheme="minorEastAsia" w:hAnsiTheme="minorEastAsia" w:eastAsiaTheme="minorEastAsia"/>
          <w:spacing w:val="8"/>
          <w:szCs w:val="21"/>
        </w:rPr>
        <w:fldChar w:fldCharType="end"/>
      </w:r>
    </w:p>
    <w:p>
      <w:pPr>
        <w:autoSpaceDE w:val="0"/>
        <w:autoSpaceDN w:val="0"/>
        <w:adjustRightInd w:val="0"/>
        <w:snapToGrid w:val="0"/>
        <w:spacing w:line="360" w:lineRule="auto"/>
        <w:ind w:firstLine="452" w:firstLineChars="200"/>
        <w:rPr>
          <w:rFonts w:asciiTheme="minorEastAsia" w:hAnsiTheme="minorEastAsia" w:eastAsiaTheme="minorEastAsia"/>
          <w:spacing w:val="8"/>
          <w:szCs w:val="21"/>
        </w:rPr>
      </w:pPr>
      <w:r>
        <w:rPr>
          <w:rFonts w:asciiTheme="minorEastAsia" w:hAnsiTheme="minorEastAsia" w:eastAsiaTheme="minorEastAsia"/>
          <w:spacing w:val="8"/>
          <w:szCs w:val="21"/>
        </w:rPr>
        <w:t>博时一线通</w:t>
      </w:r>
      <w:r>
        <w:rPr>
          <w:rFonts w:hint="eastAsia" w:asciiTheme="minorEastAsia" w:hAnsiTheme="minorEastAsia" w:eastAsiaTheme="minorEastAsia"/>
          <w:spacing w:val="8"/>
          <w:szCs w:val="21"/>
        </w:rPr>
        <w:t>客服电话：</w:t>
      </w:r>
      <w:r>
        <w:rPr>
          <w:rFonts w:asciiTheme="minorEastAsia" w:hAnsiTheme="minorEastAsia" w:eastAsiaTheme="minorEastAsia"/>
          <w:spacing w:val="8"/>
          <w:szCs w:val="21"/>
        </w:rPr>
        <w:t>95105568（免长途话费）</w:t>
      </w:r>
    </w:p>
    <w:p>
      <w:pPr>
        <w:autoSpaceDE w:val="0"/>
        <w:autoSpaceDN w:val="0"/>
        <w:adjustRightInd w:val="0"/>
        <w:snapToGrid w:val="0"/>
        <w:spacing w:line="360" w:lineRule="auto"/>
        <w:ind w:firstLine="424" w:firstLineChars="201"/>
        <w:jc w:val="left"/>
        <w:rPr>
          <w:rFonts w:cs="Arial" w:asciiTheme="minorEastAsia" w:hAnsiTheme="minorEastAsia" w:eastAsiaTheme="minorEastAsia"/>
          <w:b/>
          <w:bCs/>
          <w:szCs w:val="21"/>
        </w:rPr>
        <w:sectPr>
          <w:footerReference r:id="rId31" w:type="first"/>
          <w:pgSz w:w="11906" w:h="16838"/>
          <w:pgMar w:top="1440" w:right="1800" w:bottom="1440" w:left="1800" w:header="851" w:footer="992" w:gutter="0"/>
          <w:pgNumType w:start="1"/>
          <w:cols w:space="425" w:num="1"/>
          <w:titlePg/>
          <w:docGrid w:type="lines" w:linePitch="312" w:charSpace="0"/>
        </w:sectPr>
      </w:pPr>
      <w:r>
        <w:rPr>
          <w:rFonts w:hint="eastAsia" w:cs="Arial" w:asciiTheme="minorEastAsia" w:hAnsiTheme="minorEastAsia" w:eastAsiaTheme="minorEastAsia"/>
          <w:b/>
          <w:bCs/>
          <w:szCs w:val="21"/>
        </w:rPr>
        <w:t>九、如本招募说明书存在任何您/贵机构无法理解的内容，请通过上述方式联系基金管理人。请确保投资前，您/贵机构已经全面理解了本招募说明书。</w:t>
      </w:r>
    </w:p>
    <w:p>
      <w:pPr>
        <w:pStyle w:val="3"/>
        <w:numPr>
          <w:ilvl w:val="0"/>
          <w:numId w:val="26"/>
        </w:numPr>
        <w:snapToGrid w:val="0"/>
        <w:spacing w:before="0" w:after="0" w:line="360" w:lineRule="auto"/>
        <w:jc w:val="center"/>
      </w:pPr>
      <w:bookmarkStart w:id="201" w:name="_Toc92740305"/>
      <w:bookmarkStart w:id="202" w:name="_Toc335899854"/>
      <w:bookmarkStart w:id="203" w:name="_Toc332013131"/>
      <w:bookmarkStart w:id="204" w:name="_Toc336606248"/>
      <w:bookmarkStart w:id="205" w:name="_Toc375295994"/>
      <w:bookmarkStart w:id="206" w:name="_Toc327902643"/>
      <w:bookmarkStart w:id="207" w:name="_Toc369510029"/>
      <w:bookmarkStart w:id="208" w:name="_Toc411872043"/>
      <w:r>
        <w:rPr>
          <w:rFonts w:hint="eastAsia"/>
        </w:rPr>
        <w:t>其他应披露事项</w:t>
      </w:r>
      <w:bookmarkEnd w:id="201"/>
      <w:bookmarkEnd w:id="202"/>
      <w:bookmarkEnd w:id="203"/>
      <w:bookmarkEnd w:id="204"/>
      <w:bookmarkEnd w:id="205"/>
      <w:bookmarkEnd w:id="206"/>
      <w:bookmarkEnd w:id="207"/>
      <w:bookmarkEnd w:id="208"/>
    </w:p>
    <w:p>
      <w:pPr>
        <w:pStyle w:val="163"/>
        <w:sectPr>
          <w:pgSz w:w="11906" w:h="16838"/>
          <w:pgMar w:top="1440" w:right="1800" w:bottom="1440" w:left="1800" w:header="851" w:footer="992" w:gutter="0"/>
          <w:pgNumType w:start="1"/>
          <w:cols w:space="425" w:num="1"/>
          <w:titlePg/>
          <w:docGrid w:type="lines" w:linePitch="312" w:charSpace="0"/>
        </w:sectPr>
      </w:pPr>
      <w:r>
        <w:rPr>
          <w:rFonts w:hint="eastAsia"/>
        </w:rPr>
        <w:t>本基金暂无其他应披露事项。《基金合同》如有未尽事宜，由《基金合同》当事人各方按有关法律法规协商解决。</w:t>
      </w:r>
    </w:p>
    <w:p>
      <w:pPr>
        <w:pStyle w:val="3"/>
        <w:numPr>
          <w:ilvl w:val="0"/>
          <w:numId w:val="26"/>
        </w:numPr>
        <w:snapToGrid w:val="0"/>
        <w:spacing w:before="0" w:after="0" w:line="360" w:lineRule="auto"/>
        <w:jc w:val="center"/>
      </w:pPr>
      <w:bookmarkStart w:id="209" w:name="_Toc369510065"/>
      <w:bookmarkEnd w:id="209"/>
      <w:bookmarkStart w:id="210" w:name="_Toc369510064"/>
      <w:bookmarkEnd w:id="210"/>
      <w:bookmarkStart w:id="211" w:name="_Toc369510003"/>
      <w:bookmarkEnd w:id="211"/>
      <w:bookmarkStart w:id="212" w:name="_Toc369510004"/>
      <w:bookmarkEnd w:id="212"/>
      <w:bookmarkStart w:id="213" w:name="_Toc369509969"/>
      <w:bookmarkEnd w:id="213"/>
      <w:bookmarkStart w:id="214" w:name="_Toc369510030"/>
      <w:bookmarkEnd w:id="214"/>
      <w:bookmarkStart w:id="215" w:name="_Toc327902644"/>
      <w:bookmarkStart w:id="216" w:name="_Toc411872044"/>
      <w:bookmarkStart w:id="217" w:name="_Toc335899855"/>
      <w:bookmarkStart w:id="218" w:name="_Toc375295995"/>
      <w:bookmarkStart w:id="219" w:name="_Toc332013132"/>
      <w:bookmarkStart w:id="220" w:name="_Toc369510066"/>
      <w:bookmarkStart w:id="221" w:name="_Toc336606249"/>
      <w:bookmarkStart w:id="222" w:name="_Toc92740306"/>
      <w:r>
        <w:rPr>
          <w:rFonts w:hint="eastAsia"/>
        </w:rPr>
        <w:t>招募说明书存放及其查阅方式</w:t>
      </w:r>
      <w:bookmarkEnd w:id="215"/>
      <w:bookmarkEnd w:id="216"/>
      <w:bookmarkEnd w:id="217"/>
      <w:bookmarkEnd w:id="218"/>
      <w:bookmarkEnd w:id="219"/>
      <w:bookmarkEnd w:id="220"/>
      <w:bookmarkEnd w:id="221"/>
      <w:bookmarkEnd w:id="222"/>
    </w:p>
    <w:p>
      <w:pPr>
        <w:pStyle w:val="163"/>
      </w:pPr>
      <w:r>
        <w:rPr>
          <w:rFonts w:hint="eastAsia"/>
        </w:rPr>
        <w:t>本招募说明书存放在本基金管理人、基金托管人、基金销售机构的住所，投资人可在办公时间免费查阅；也可按工本费购买本招募说明书复制件或复印件，但应以招募说明书正本为准。</w:t>
      </w:r>
    </w:p>
    <w:p>
      <w:pPr>
        <w:pStyle w:val="15"/>
        <w:snapToGrid w:val="0"/>
        <w:spacing w:line="360" w:lineRule="auto"/>
        <w:ind w:firstLine="422"/>
        <w:rPr>
          <w:b/>
          <w:bCs/>
          <w:color w:val="000000"/>
          <w:szCs w:val="24"/>
        </w:rPr>
        <w:sectPr>
          <w:footerReference r:id="rId32" w:type="first"/>
          <w:pgSz w:w="11906" w:h="16838"/>
          <w:pgMar w:top="1440" w:right="1800" w:bottom="1440" w:left="1800" w:header="851" w:footer="992" w:gutter="0"/>
          <w:pgNumType w:start="1"/>
          <w:cols w:space="425" w:num="1"/>
          <w:titlePg/>
          <w:docGrid w:type="lines" w:linePitch="312" w:charSpace="0"/>
        </w:sectPr>
      </w:pPr>
      <w:r>
        <w:rPr>
          <w:rFonts w:hint="eastAsia"/>
        </w:rPr>
        <w:t>基金管理人和基金托管人保证文本的内容与所公告的内容完全一致。</w:t>
      </w:r>
    </w:p>
    <w:p>
      <w:pPr>
        <w:pStyle w:val="3"/>
        <w:numPr>
          <w:ilvl w:val="0"/>
          <w:numId w:val="26"/>
        </w:numPr>
        <w:snapToGrid w:val="0"/>
        <w:spacing w:before="0" w:after="0" w:line="360" w:lineRule="auto"/>
        <w:jc w:val="center"/>
      </w:pPr>
      <w:bookmarkStart w:id="223" w:name="_Toc386115319"/>
      <w:bookmarkStart w:id="224" w:name="_Toc530223199"/>
      <w:bookmarkStart w:id="225" w:name="_Toc317088167"/>
      <w:bookmarkStart w:id="226" w:name="_Toc335232710"/>
      <w:bookmarkStart w:id="227" w:name="_Toc214873623"/>
      <w:bookmarkStart w:id="228" w:name="_Toc500791414"/>
      <w:bookmarkStart w:id="229" w:name="_Toc92740307"/>
      <w:bookmarkStart w:id="230" w:name="_Toc465240490"/>
      <w:bookmarkStart w:id="231" w:name="_Toc317088556"/>
      <w:bookmarkStart w:id="232" w:name="_Toc320887661"/>
      <w:r>
        <w:t>备查文件</w:t>
      </w:r>
      <w:bookmarkEnd w:id="223"/>
      <w:bookmarkEnd w:id="224"/>
      <w:bookmarkEnd w:id="225"/>
      <w:bookmarkEnd w:id="226"/>
      <w:bookmarkEnd w:id="227"/>
      <w:bookmarkEnd w:id="228"/>
      <w:bookmarkEnd w:id="229"/>
      <w:bookmarkEnd w:id="230"/>
      <w:bookmarkEnd w:id="231"/>
      <w:bookmarkEnd w:id="232"/>
    </w:p>
    <w:p>
      <w:pPr>
        <w:autoSpaceDE w:val="0"/>
        <w:autoSpaceDN w:val="0"/>
        <w:adjustRightInd w:val="0"/>
        <w:snapToGrid w:val="0"/>
        <w:spacing w:before="156" w:beforeLines="50" w:line="360" w:lineRule="auto"/>
        <w:ind w:firstLine="420" w:firstLineChars="200"/>
        <w:rPr>
          <w:color w:val="000000"/>
          <w:kern w:val="0"/>
          <w:szCs w:val="21"/>
        </w:rPr>
      </w:pPr>
      <w:r>
        <w:rPr>
          <w:color w:val="000000"/>
          <w:kern w:val="0"/>
          <w:szCs w:val="21"/>
        </w:rPr>
        <w:t>以下备查文件存放在基金管理人的办公场所，在办公时间可供免费查阅。</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（一）中国证监会准予</w:t>
      </w:r>
      <w:r>
        <w:rPr>
          <w:rFonts w:hint="eastAsia"/>
          <w:color w:val="000000"/>
          <w:kern w:val="0"/>
          <w:szCs w:val="21"/>
        </w:rPr>
        <w:t>博时国证新能源电池指数型证券投资基金</w:t>
      </w:r>
      <w:r>
        <w:rPr>
          <w:color w:val="000000"/>
          <w:kern w:val="0"/>
          <w:szCs w:val="21"/>
        </w:rPr>
        <w:t>注册的文件</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（二）《</w:t>
      </w:r>
      <w:r>
        <w:rPr>
          <w:rFonts w:hint="eastAsia"/>
          <w:color w:val="000000"/>
          <w:kern w:val="0"/>
          <w:szCs w:val="21"/>
        </w:rPr>
        <w:t>博时国证新能源电池指数型证券投资基金</w:t>
      </w:r>
      <w:r>
        <w:rPr>
          <w:color w:val="000000"/>
          <w:kern w:val="0"/>
          <w:szCs w:val="21"/>
        </w:rPr>
        <w:t>基金合同》</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（三）《</w:t>
      </w:r>
      <w:r>
        <w:rPr>
          <w:rFonts w:hint="eastAsia"/>
          <w:color w:val="000000"/>
          <w:kern w:val="0"/>
          <w:szCs w:val="21"/>
        </w:rPr>
        <w:t>博时国证新能源电池指数型证券投资基金</w:t>
      </w:r>
      <w:r>
        <w:rPr>
          <w:color w:val="000000"/>
          <w:kern w:val="0"/>
          <w:szCs w:val="21"/>
        </w:rPr>
        <w:t>托管协议》</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（四）基金管理人业务资格批件、营业执照</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（五）基金托管人业务资格批件、营业执照</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（六）法律意见书</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（七）中国证监会要求的其他文件</w:t>
      </w:r>
    </w:p>
    <w:p>
      <w:pPr>
        <w:autoSpaceDE w:val="0"/>
        <w:autoSpaceDN w:val="0"/>
        <w:adjustRightInd w:val="0"/>
        <w:snapToGrid w:val="0"/>
        <w:spacing w:line="360" w:lineRule="auto"/>
        <w:ind w:firstLine="420" w:firstLineChars="200"/>
        <w:rPr>
          <w:color w:val="000000"/>
          <w:kern w:val="0"/>
          <w:szCs w:val="21"/>
        </w:rPr>
      </w:pPr>
      <w:r>
        <w:rPr>
          <w:color w:val="000000"/>
          <w:kern w:val="0"/>
          <w:szCs w:val="21"/>
        </w:rPr>
        <w:t>查阅方式：投资者可在营业时间免费查阅，也可按工本费购买复印件。</w:t>
      </w:r>
    </w:p>
    <w:p>
      <w:pPr>
        <w:autoSpaceDE w:val="0"/>
        <w:autoSpaceDN w:val="0"/>
        <w:adjustRightInd w:val="0"/>
        <w:snapToGrid w:val="0"/>
        <w:spacing w:line="360" w:lineRule="auto"/>
        <w:ind w:firstLine="420" w:firstLineChars="200"/>
        <w:rPr>
          <w:color w:val="000000"/>
          <w:kern w:val="0"/>
          <w:szCs w:val="21"/>
        </w:rPr>
      </w:pPr>
    </w:p>
    <w:p>
      <w:pPr>
        <w:pStyle w:val="29"/>
        <w:rPr>
          <w:color w:val="000000"/>
          <w:kern w:val="0"/>
          <w:szCs w:val="21"/>
        </w:rPr>
      </w:pPr>
    </w:p>
    <w:p>
      <w:pPr>
        <w:pStyle w:val="29"/>
        <w:rPr>
          <w:color w:val="000000"/>
          <w:kern w:val="0"/>
          <w:szCs w:val="21"/>
        </w:rPr>
      </w:pPr>
    </w:p>
    <w:p>
      <w:pPr>
        <w:autoSpaceDE w:val="0"/>
        <w:autoSpaceDN w:val="0"/>
        <w:adjustRightInd w:val="0"/>
        <w:snapToGrid w:val="0"/>
        <w:spacing w:line="360" w:lineRule="auto"/>
        <w:ind w:firstLine="420" w:firstLineChars="200"/>
        <w:rPr>
          <w:color w:val="000000"/>
          <w:kern w:val="0"/>
          <w:szCs w:val="21"/>
        </w:rPr>
      </w:pPr>
    </w:p>
    <w:p>
      <w:pPr>
        <w:autoSpaceDE w:val="0"/>
        <w:autoSpaceDN w:val="0"/>
        <w:adjustRightInd w:val="0"/>
        <w:snapToGrid w:val="0"/>
        <w:spacing w:line="360" w:lineRule="auto"/>
        <w:ind w:firstLine="420" w:firstLineChars="200"/>
        <w:jc w:val="right"/>
        <w:rPr>
          <w:rFonts w:hint="eastAsia"/>
          <w:color w:val="000000"/>
          <w:kern w:val="0"/>
          <w:szCs w:val="21"/>
        </w:rPr>
      </w:pPr>
      <w:r>
        <w:rPr>
          <w:szCs w:val="20"/>
        </w:rPr>
        <w:t xml:space="preserve">   </w:t>
      </w:r>
      <w:r>
        <w:rPr>
          <w:rFonts w:hint="eastAsia"/>
          <w:szCs w:val="20"/>
        </w:rPr>
        <w:t xml:space="preserve">                                        </w:t>
      </w:r>
      <w:r>
        <w:rPr>
          <w:szCs w:val="20"/>
        </w:rPr>
        <w:tab/>
      </w:r>
      <w:r>
        <w:rPr>
          <w:rFonts w:hint="eastAsia"/>
          <w:szCs w:val="20"/>
        </w:rPr>
        <w:t xml:space="preserve">     </w:t>
      </w:r>
      <w:r>
        <w:rPr>
          <w:rFonts w:hint="eastAsia"/>
          <w:color w:val="000000"/>
          <w:kern w:val="0"/>
          <w:szCs w:val="21"/>
        </w:rPr>
        <w:t xml:space="preserve">      </w:t>
      </w:r>
      <w:r>
        <w:rPr>
          <w:color w:val="000000"/>
          <w:kern w:val="0"/>
          <w:szCs w:val="21"/>
        </w:rPr>
        <w:t>博时基金管理有限公司</w:t>
      </w:r>
      <w:r>
        <w:rPr>
          <w:rFonts w:hint="eastAsia"/>
          <w:color w:val="000000"/>
          <w:kern w:val="0"/>
          <w:szCs w:val="21"/>
        </w:rPr>
        <w:t>2026年</w:t>
      </w:r>
      <w:r>
        <w:rPr>
          <w:rFonts w:hint="eastAsia"/>
          <w:color w:val="000000"/>
          <w:kern w:val="0"/>
          <w:szCs w:val="21"/>
          <w:lang w:val="en-US" w:eastAsia="zh-CN"/>
        </w:rPr>
        <w:t>5</w:t>
      </w:r>
      <w:r>
        <w:rPr>
          <w:rFonts w:hint="eastAsia"/>
          <w:color w:val="000000"/>
          <w:kern w:val="0"/>
          <w:szCs w:val="21"/>
        </w:rPr>
        <w:t>月</w:t>
      </w:r>
      <w:r>
        <w:rPr>
          <w:rFonts w:hint="eastAsia"/>
          <w:color w:val="000000"/>
          <w:kern w:val="0"/>
          <w:szCs w:val="21"/>
          <w:lang w:val="en-US" w:eastAsia="zh-CN"/>
        </w:rPr>
        <w:t>19</w:t>
      </w:r>
      <w:r>
        <w:rPr>
          <w:rFonts w:hint="eastAsia"/>
          <w:color w:val="000000"/>
          <w:kern w:val="0"/>
          <w:szCs w:val="21"/>
        </w:rPr>
        <w:t>日</w:t>
      </w:r>
    </w:p>
    <w:sectPr>
      <w:footerReference r:id="rId3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方正黑体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五">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7270977"/>
    </w:sdtPr>
    <w:sdtContent>
      <w:p>
        <w:pPr>
          <w:pStyle w:val="30"/>
          <w:jc w:val="center"/>
        </w:pPr>
        <w:r>
          <w:rPr>
            <w:rFonts w:hint="eastAsia"/>
          </w:rPr>
          <w:t>1-</w:t>
        </w:r>
        <w:r>
          <w:fldChar w:fldCharType="begin"/>
        </w:r>
        <w:r>
          <w:instrText xml:space="preserve">PAGE   \* MERGEFORMAT</w:instrText>
        </w:r>
        <w:r>
          <w:fldChar w:fldCharType="separate"/>
        </w:r>
        <w:r>
          <w:rPr>
            <w:lang w:val="zh-CN"/>
          </w:rPr>
          <w:t>1</w:t>
        </w:r>
        <w:r>
          <w:fldChar w:fldCharType="end"/>
        </w:r>
      </w:p>
    </w:sdtContent>
  </w:sdt>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hint="eastAsia"/>
      </w:rPr>
      <w:t>3-</w:t>
    </w:r>
    <w:r>
      <w:fldChar w:fldCharType="begin"/>
    </w:r>
    <w:r>
      <w:instrText xml:space="preserve"> PAGE   \* MERGEFORMAT </w:instrText>
    </w:r>
    <w:r>
      <w:fldChar w:fldCharType="separate"/>
    </w:r>
    <w:r>
      <w:rPr>
        <w:lang w:val="zh-CN"/>
      </w:rPr>
      <w:t>10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90697030"/>
    </w:sdtPr>
    <w:sdtContent>
      <w:p>
        <w:pPr>
          <w:pStyle w:val="30"/>
          <w:jc w:val="center"/>
        </w:pPr>
        <w:r>
          <w:t>2</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45981924"/>
    </w:sdtPr>
    <w:sdtContent>
      <w:p>
        <w:pPr>
          <w:pStyle w:val="30"/>
          <w:jc w:val="center"/>
        </w:pPr>
        <w:r>
          <w:t>3</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hint="eastAsia"/>
      </w:rPr>
      <w:t>4-</w:t>
    </w:r>
    <w:r>
      <w:fldChar w:fldCharType="begin"/>
    </w:r>
    <w:r>
      <w:instrText xml:space="preserve"> PAGE   \* MERGEFORMAT </w:instrText>
    </w:r>
    <w:r>
      <w:fldChar w:fldCharType="separate"/>
    </w:r>
    <w:r>
      <w:rPr>
        <w:lang w:val="zh-CN"/>
      </w:rPr>
      <w:t>6</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3589018"/>
    </w:sdtPr>
    <w:sdtContent>
      <w:p>
        <w:pPr>
          <w:pStyle w:val="30"/>
          <w:jc w:val="center"/>
        </w:pPr>
        <w:r>
          <w:rPr>
            <w:rFonts w:hint="eastAsia"/>
          </w:rPr>
          <w:t>4-</w:t>
        </w:r>
        <w:r>
          <w:fldChar w:fldCharType="begin"/>
        </w:r>
        <w:r>
          <w:instrText xml:space="preserve">PAGE   \* MERGEFORMAT</w:instrText>
        </w:r>
        <w:r>
          <w:fldChar w:fldCharType="separate"/>
        </w:r>
        <w:r>
          <w:rPr>
            <w:lang w:val="zh-CN"/>
          </w:rPr>
          <w:t>1</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hint="eastAsia"/>
      </w:rPr>
      <w:t>5-</w:t>
    </w:r>
    <w:r>
      <w:fldChar w:fldCharType="begin"/>
    </w:r>
    <w:r>
      <w:instrText xml:space="preserve"> PAGE   \* MERGEFORMAT </w:instrText>
    </w:r>
    <w:r>
      <w:fldChar w:fldCharType="separate"/>
    </w:r>
    <w:r>
      <w:rPr>
        <w:lang w:val="zh-CN"/>
      </w:rPr>
      <w:t>2</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8771806"/>
    </w:sdtPr>
    <w:sdtContent>
      <w:p>
        <w:pPr>
          <w:pStyle w:val="30"/>
          <w:jc w:val="center"/>
        </w:pPr>
        <w:r>
          <w:rPr>
            <w:rFonts w:hint="eastAsia"/>
          </w:rPr>
          <w:t>5-</w:t>
        </w:r>
        <w:r>
          <w:fldChar w:fldCharType="begin"/>
        </w:r>
        <w:r>
          <w:instrText xml:space="preserve">PAGE   \* MERGEFORMAT</w:instrText>
        </w:r>
        <w:r>
          <w:fldChar w:fldCharType="separate"/>
        </w:r>
        <w:r>
          <w:rPr>
            <w:lang w:val="zh-CN"/>
          </w:rPr>
          <w:t>1</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hint="eastAsia"/>
      </w:rPr>
      <w:t>6-</w:t>
    </w:r>
    <w:r>
      <w:fldChar w:fldCharType="begin"/>
    </w:r>
    <w:r>
      <w:instrText xml:space="preserve"> PAGE   \* MERGEFORMAT </w:instrText>
    </w:r>
    <w:r>
      <w:fldChar w:fldCharType="separate"/>
    </w:r>
    <w:r>
      <w:rPr>
        <w:lang w:val="zh-CN"/>
      </w:rPr>
      <w:t>4</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3618134"/>
    </w:sdtPr>
    <w:sdtContent>
      <w:p>
        <w:pPr>
          <w:pStyle w:val="30"/>
          <w:jc w:val="center"/>
        </w:pPr>
        <w:r>
          <w:rPr>
            <w:rFonts w:hint="eastAsia"/>
          </w:rPr>
          <w:t>6-</w:t>
        </w:r>
        <w:r>
          <w:fldChar w:fldCharType="begin"/>
        </w:r>
        <w:r>
          <w:instrText xml:space="preserve">PAGE   \* MERGEFORMAT</w:instrText>
        </w:r>
        <w:r>
          <w:fldChar w:fldCharType="separate"/>
        </w:r>
        <w:r>
          <w:rPr>
            <w:lang w:val="zh-CN"/>
          </w:rPr>
          <w:t>1</w:t>
        </w:r>
        <w:r>
          <w:fldChar w:fldCharType="end"/>
        </w:r>
      </w:p>
    </w:sdtContent>
  </w:sdt>
  <w:p>
    <w:pPr>
      <w:pStyle w:val="3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23423081"/>
    </w:sdtPr>
    <w:sdtContent>
      <w:p>
        <w:pPr>
          <w:pStyle w:val="30"/>
          <w:jc w:val="center"/>
        </w:pPr>
        <w:r>
          <w:rPr>
            <w:rFonts w:hint="eastAsia"/>
          </w:rPr>
          <w:t>7-</w:t>
        </w:r>
        <w:r>
          <w:fldChar w:fldCharType="begin"/>
        </w:r>
        <w:r>
          <w:instrText xml:space="preserve">PAGE   \* MERGEFORMAT</w:instrText>
        </w:r>
        <w:r>
          <w:fldChar w:fldCharType="separate"/>
        </w:r>
        <w:r>
          <w:rPr>
            <w:lang w:val="zh-CN"/>
          </w:rPr>
          <w:t>1</w:t>
        </w:r>
        <w: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hint="eastAsia"/>
      </w:rPr>
      <w:t>8-</w:t>
    </w:r>
    <w:r>
      <w:fldChar w:fldCharType="begin"/>
    </w:r>
    <w:r>
      <w:instrText xml:space="preserve"> PAGE   \* MERGEFORMAT </w:instrText>
    </w:r>
    <w:r>
      <w:fldChar w:fldCharType="separate"/>
    </w:r>
    <w:r>
      <w:rPr>
        <w:lang w:val="zh-CN"/>
      </w:rPr>
      <w:t>9</w:t>
    </w:r>
    <w: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4473985"/>
    </w:sdtPr>
    <w:sdtContent>
      <w:p>
        <w:pPr>
          <w:pStyle w:val="30"/>
          <w:jc w:val="center"/>
        </w:pPr>
        <w:r>
          <w:rPr>
            <w:rFonts w:hint="eastAsia"/>
          </w:rPr>
          <w:t>8-</w:t>
        </w:r>
        <w:r>
          <w:fldChar w:fldCharType="begin"/>
        </w:r>
        <w:r>
          <w:instrText xml:space="preserve">PAGE   \* MERGEFORMAT</w:instrText>
        </w:r>
        <w:r>
          <w:fldChar w:fldCharType="separate"/>
        </w:r>
        <w:r>
          <w:rPr>
            <w:lang w:val="zh-CN"/>
          </w:rPr>
          <w:t>1</w:t>
        </w:r>
        <w:r>
          <w:fldChar w:fldCharType="end"/>
        </w:r>
      </w:p>
    </w:sdtContent>
  </w:sdt>
  <w:p>
    <w:pPr>
      <w:pStyle w:val="3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hint="eastAsia"/>
      </w:rPr>
      <w:t>9-</w:t>
    </w:r>
    <w:r>
      <w:fldChar w:fldCharType="begin"/>
    </w:r>
    <w:r>
      <w:instrText xml:space="preserve"> PAGE   \* MERGEFORMAT </w:instrText>
    </w:r>
    <w:r>
      <w:fldChar w:fldCharType="separate"/>
    </w:r>
    <w:r>
      <w:rPr>
        <w:lang w:val="zh-CN"/>
      </w:rPr>
      <w:t>7</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88125424"/>
    </w:sdtPr>
    <w:sdtContent>
      <w:p>
        <w:pPr>
          <w:pStyle w:val="30"/>
          <w:jc w:val="center"/>
        </w:pPr>
        <w:r>
          <w:rPr>
            <w:rFonts w:hint="eastAsia"/>
          </w:rPr>
          <w:t>9-</w:t>
        </w:r>
        <w:r>
          <w:fldChar w:fldCharType="begin"/>
        </w:r>
        <w:r>
          <w:instrText xml:space="preserve">PAGE   \* MERGEFORMAT</w:instrText>
        </w:r>
        <w:r>
          <w:fldChar w:fldCharType="separate"/>
        </w:r>
        <w:r>
          <w:rPr>
            <w:lang w:val="zh-CN"/>
          </w:rPr>
          <w:t>1</w:t>
        </w:r>
        <w:r>
          <w:fldChar w:fldCharType="end"/>
        </w:r>
      </w:p>
    </w:sdtContent>
  </w:sdt>
  <w:p>
    <w:pPr>
      <w:pStyle w:val="3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8468450"/>
    </w:sdtPr>
    <w:sdtContent>
      <w:p>
        <w:pPr>
          <w:pStyle w:val="30"/>
          <w:jc w:val="center"/>
        </w:pPr>
        <w:r>
          <w:rPr>
            <w:rFonts w:hint="eastAsia"/>
          </w:rPr>
          <w:t>10-</w:t>
        </w:r>
        <w:r>
          <w:fldChar w:fldCharType="begin"/>
        </w:r>
        <w:r>
          <w:instrText xml:space="preserve">PAGE   \* MERGEFORMAT</w:instrText>
        </w:r>
        <w:r>
          <w:fldChar w:fldCharType="separate"/>
        </w:r>
        <w:r>
          <w:rPr>
            <w:lang w:val="zh-CN"/>
          </w:rPr>
          <w:t>1</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hint="eastAsia"/>
      </w:rPr>
      <w:t>11-</w:t>
    </w:r>
    <w:r>
      <w:fldChar w:fldCharType="begin"/>
    </w:r>
    <w:r>
      <w:instrText xml:space="preserve"> PAGE   \* MERGEFORMAT </w:instrText>
    </w:r>
    <w:r>
      <w:fldChar w:fldCharType="separate"/>
    </w:r>
    <w:r>
      <w:rPr>
        <w:lang w:val="zh-CN"/>
      </w:rPr>
      <w:t>6</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8434278"/>
    </w:sdtPr>
    <w:sdtContent>
      <w:p>
        <w:pPr>
          <w:pStyle w:val="30"/>
          <w:jc w:val="center"/>
        </w:pPr>
        <w:r>
          <w:rPr>
            <w:rFonts w:hint="eastAsia"/>
          </w:rPr>
          <w:t>11-</w:t>
        </w:r>
        <w:r>
          <w:fldChar w:fldCharType="begin"/>
        </w:r>
        <w:r>
          <w:instrText xml:space="preserve">PAGE   \* MERGEFORMAT</w:instrText>
        </w:r>
        <w:r>
          <w:fldChar w:fldCharType="separate"/>
        </w:r>
        <w:r>
          <w:rPr>
            <w:lang w:val="zh-CN"/>
          </w:rPr>
          <w:t>1</w:t>
        </w:r>
        <w:r>
          <w:fldChar w:fldCharType="end"/>
        </w:r>
      </w:p>
    </w:sdtContent>
  </w:sdt>
  <w:p>
    <w:pPr>
      <w:pStyle w:val="3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9092907"/>
    </w:sdtPr>
    <w:sdtContent>
      <w:p>
        <w:pPr>
          <w:pStyle w:val="30"/>
          <w:jc w:val="center"/>
        </w:pPr>
        <w:r>
          <w:rPr>
            <w:rFonts w:hint="eastAsia"/>
          </w:rPr>
          <w:t>12-</w:t>
        </w:r>
        <w:r>
          <w:fldChar w:fldCharType="begin"/>
        </w:r>
        <w:r>
          <w:instrText xml:space="preserve">PAGE   \* MERGEFORMAT</w:instrText>
        </w:r>
        <w:r>
          <w:fldChar w:fldCharType="separate"/>
        </w:r>
        <w:r>
          <w:rPr>
            <w:lang w:val="zh-CN"/>
          </w:rPr>
          <w:t>1</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t>21</w:t>
    </w:r>
    <w:r>
      <w:rPr>
        <w:rFonts w:hint="eastAsia"/>
      </w:rPr>
      <w:t>-</w:t>
    </w:r>
    <w:r>
      <w:fldChar w:fldCharType="begin"/>
    </w:r>
    <w:r>
      <w:instrText xml:space="preserve"> PAGE   \* MERGEFORMAT </w:instrText>
    </w:r>
    <w:r>
      <w:fldChar w:fldCharType="separate"/>
    </w:r>
    <w:r>
      <w:rPr>
        <w:lang w:val="zh-CN"/>
      </w:rPr>
      <w:t>2</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51269116"/>
    </w:sdtPr>
    <w:sdtContent>
      <w:p>
        <w:pPr>
          <w:pStyle w:val="30"/>
          <w:jc w:val="center"/>
        </w:pPr>
        <w:r>
          <w:rPr>
            <w:rFonts w:hint="eastAsia"/>
          </w:rPr>
          <w:t>13-</w:t>
        </w:r>
        <w:r>
          <w:fldChar w:fldCharType="begin"/>
        </w:r>
        <w:r>
          <w:instrText xml:space="preserve">PAGE   \* MERGEFORMAT</w:instrText>
        </w:r>
        <w:r>
          <w:fldChar w:fldCharType="separate"/>
        </w:r>
        <w:r>
          <w:rPr>
            <w:lang w:val="zh-CN"/>
          </w:rPr>
          <w:t>1</w:t>
        </w:r>
        <w:r>
          <w:fldChar w:fldCharType="end"/>
        </w:r>
      </w:p>
    </w:sdtContent>
  </w:sdt>
  <w:p>
    <w:pPr>
      <w:pStyle w:val="30"/>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42659618"/>
    </w:sdtPr>
    <w:sdtContent>
      <w:p>
        <w:pPr>
          <w:pStyle w:val="30"/>
          <w:jc w:val="center"/>
        </w:pPr>
        <w:r>
          <w:rPr>
            <w:rFonts w:hint="eastAsia"/>
          </w:rPr>
          <w:t>14-</w:t>
        </w:r>
        <w:r>
          <w:fldChar w:fldCharType="begin"/>
        </w:r>
        <w:r>
          <w:instrText xml:space="preserve">PAGE   \* MERGEFORMAT</w:instrText>
        </w:r>
        <w:r>
          <w:fldChar w:fldCharType="separate"/>
        </w:r>
        <w:r>
          <w:rPr>
            <w:lang w:val="zh-CN"/>
          </w:rPr>
          <w:t>1</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432123"/>
    </w:sdtPr>
    <w:sdtContent>
      <w:p>
        <w:pPr>
          <w:pStyle w:val="30"/>
          <w:jc w:val="center"/>
        </w:pPr>
        <w:r>
          <w:t>15</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6027654"/>
    </w:sdtPr>
    <w:sdtContent>
      <w:p>
        <w:pPr>
          <w:pStyle w:val="30"/>
          <w:jc w:val="center"/>
        </w:pPr>
        <w:r>
          <w:t>16</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88779792"/>
    </w:sdtPr>
    <w:sdtContent>
      <w:p>
        <w:pPr>
          <w:pStyle w:val="30"/>
          <w:jc w:val="center"/>
        </w:pPr>
        <w:r>
          <w:t>17</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5894425"/>
    </w:sdtPr>
    <w:sdtContent>
      <w:p>
        <w:pPr>
          <w:pStyle w:val="30"/>
          <w:jc w:val="center"/>
        </w:pPr>
        <w:r>
          <w:rPr>
            <w:rFonts w:hint="eastAsia"/>
          </w:rPr>
          <w:t>1</w:t>
        </w:r>
        <w:r>
          <w:t>8</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5303543"/>
    </w:sdtPr>
    <w:sdtContent>
      <w:p>
        <w:pPr>
          <w:pStyle w:val="30"/>
          <w:jc w:val="center"/>
        </w:pPr>
        <w:r>
          <w:rPr>
            <w:rFonts w:hint="eastAsia"/>
          </w:rPr>
          <w:t>1</w:t>
        </w:r>
        <w:r>
          <w:t>9</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3441287"/>
    </w:sdtPr>
    <w:sdtContent>
      <w:p>
        <w:pPr>
          <w:pStyle w:val="30"/>
          <w:jc w:val="center"/>
        </w:pPr>
        <w:r>
          <w:t>20</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7856026"/>
    </w:sdtPr>
    <w:sdtContent>
      <w:p>
        <w:pPr>
          <w:pStyle w:val="30"/>
          <w:jc w:val="center"/>
        </w:pPr>
        <w:r>
          <w:rPr>
            <w:rFonts w:hint="eastAsia"/>
          </w:rPr>
          <w:t>2</w:t>
        </w:r>
        <w:r>
          <w:t>2</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5364728"/>
    </w:sdtPr>
    <w:sdtContent>
      <w:p>
        <w:pPr>
          <w:pStyle w:val="30"/>
          <w:jc w:val="center"/>
        </w:pPr>
        <w:r>
          <w:rPr>
            <w:rFonts w:hint="eastAsia"/>
          </w:rPr>
          <w:t>2</w:t>
        </w:r>
        <w:r>
          <w:t>3</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FA8D69"/>
    <w:multiLevelType w:val="singleLevel"/>
    <w:tmpl w:val="AFFA8D69"/>
    <w:lvl w:ilvl="0" w:tentative="0">
      <w:start w:val="4"/>
      <w:numFmt w:val="decimal"/>
      <w:suff w:val="nothing"/>
      <w:lvlText w:val="%1、"/>
      <w:lvlJc w:val="left"/>
    </w:lvl>
  </w:abstractNum>
  <w:abstractNum w:abstractNumId="1">
    <w:nsid w:val="EAF3D7F3"/>
    <w:multiLevelType w:val="singleLevel"/>
    <w:tmpl w:val="EAF3D7F3"/>
    <w:lvl w:ilvl="0" w:tentative="0">
      <w:start w:val="5"/>
      <w:numFmt w:val="decimal"/>
      <w:suff w:val="nothing"/>
      <w:lvlText w:val="%1、"/>
      <w:lvlJc w:val="left"/>
    </w:lvl>
  </w:abstractNum>
  <w:abstractNum w:abstractNumId="2">
    <w:nsid w:val="F53187D1"/>
    <w:multiLevelType w:val="singleLevel"/>
    <w:tmpl w:val="F53187D1"/>
    <w:lvl w:ilvl="0" w:tentative="0">
      <w:start w:val="1"/>
      <w:numFmt w:val="decimal"/>
      <w:suff w:val="nothing"/>
      <w:lvlText w:val="%1、"/>
      <w:lvlJc w:val="left"/>
    </w:lvl>
  </w:abstractNum>
  <w:abstractNum w:abstractNumId="3">
    <w:nsid w:val="00000001"/>
    <w:multiLevelType w:val="singleLevel"/>
    <w:tmpl w:val="00000001"/>
    <w:lvl w:ilvl="0" w:tentative="0">
      <w:start w:val="1"/>
      <w:numFmt w:val="bullet"/>
      <w:pStyle w:val="140"/>
      <w:lvlText w:val=""/>
      <w:lvlJc w:val="left"/>
      <w:pPr>
        <w:tabs>
          <w:tab w:val="left" w:pos="360"/>
        </w:tabs>
        <w:ind w:left="360" w:hanging="360"/>
      </w:pPr>
      <w:rPr>
        <w:rFonts w:hint="default" w:ascii="Symbol" w:hAnsi="Symbol"/>
        <w:color w:val="auto"/>
      </w:rPr>
    </w:lvl>
  </w:abstractNum>
  <w:abstractNum w:abstractNumId="4">
    <w:nsid w:val="044209E7"/>
    <w:multiLevelType w:val="multilevel"/>
    <w:tmpl w:val="044209E7"/>
    <w:lvl w:ilvl="0" w:tentative="0">
      <w:start w:val="1"/>
      <w:numFmt w:val="decimal"/>
      <w:pStyle w:val="93"/>
      <w:suff w:val="nothing"/>
      <w:lvlText w:val="Appendix %1"/>
      <w:lvlJc w:val="left"/>
      <w:pPr>
        <w:ind w:left="0" w:firstLine="0"/>
      </w:pPr>
      <w:rPr>
        <w:b/>
        <w:i w:val="0"/>
      </w:rPr>
    </w:lvl>
    <w:lvl w:ilvl="1" w:tentative="0">
      <w:start w:val="1"/>
      <w:numFmt w:val="decimal"/>
      <w:pStyle w:val="95"/>
      <w:suff w:val="nothing"/>
      <w:lvlText w:val="Part %2"/>
      <w:lvlJc w:val="left"/>
      <w:pPr>
        <w:ind w:left="0" w:firstLine="0"/>
      </w:pPr>
      <w:rPr>
        <w:b/>
        <w:i w:val="0"/>
      </w:r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5">
    <w:nsid w:val="096C2ACA"/>
    <w:multiLevelType w:val="singleLevel"/>
    <w:tmpl w:val="096C2ACA"/>
    <w:lvl w:ilvl="0" w:tentative="0">
      <w:start w:val="2"/>
      <w:numFmt w:val="japaneseCounting"/>
      <w:pStyle w:val="60"/>
      <w:lvlText w:val="（%1）"/>
      <w:lvlJc w:val="left"/>
      <w:pPr>
        <w:tabs>
          <w:tab w:val="left" w:pos="870"/>
        </w:tabs>
        <w:ind w:left="870" w:hanging="870"/>
      </w:pPr>
    </w:lvl>
  </w:abstractNum>
  <w:abstractNum w:abstractNumId="6">
    <w:nsid w:val="0B101077"/>
    <w:multiLevelType w:val="singleLevel"/>
    <w:tmpl w:val="0B101077"/>
    <w:lvl w:ilvl="0" w:tentative="0">
      <w:start w:val="1"/>
      <w:numFmt w:val="decimal"/>
      <w:pStyle w:val="12"/>
      <w:lvlText w:val="%1)"/>
      <w:lvlJc w:val="left"/>
      <w:pPr>
        <w:tabs>
          <w:tab w:val="left" w:pos="720"/>
        </w:tabs>
        <w:ind w:left="720" w:hanging="360"/>
      </w:pPr>
    </w:lvl>
  </w:abstractNum>
  <w:abstractNum w:abstractNumId="7">
    <w:nsid w:val="10F37ADE"/>
    <w:multiLevelType w:val="multilevel"/>
    <w:tmpl w:val="10F37ADE"/>
    <w:lvl w:ilvl="0" w:tentative="0">
      <w:start w:val="1"/>
      <w:numFmt w:val="decimal"/>
      <w:pStyle w:val="124"/>
      <w:lvlText w:val="%1."/>
      <w:lvlJc w:val="left"/>
      <w:pPr>
        <w:tabs>
          <w:tab w:val="left" w:pos="720"/>
        </w:tabs>
        <w:ind w:left="720" w:hanging="720"/>
      </w:pPr>
    </w:lvl>
    <w:lvl w:ilvl="1" w:tentative="0">
      <w:start w:val="1"/>
      <w:numFmt w:val="lowerLetter"/>
      <w:lvlText w:val="(%2)"/>
      <w:lvlJc w:val="left"/>
      <w:pPr>
        <w:tabs>
          <w:tab w:val="left" w:pos="720"/>
        </w:tabs>
        <w:ind w:left="720" w:hanging="720"/>
      </w:pPr>
    </w:lvl>
    <w:lvl w:ilvl="2" w:tentative="0">
      <w:start w:val="1"/>
      <w:numFmt w:val="lowerRoman"/>
      <w:lvlText w:val="(%3)"/>
      <w:lvlJc w:val="left"/>
      <w:pPr>
        <w:tabs>
          <w:tab w:val="left" w:pos="1440"/>
        </w:tabs>
        <w:ind w:left="1440" w:hanging="720"/>
      </w:pPr>
    </w:lvl>
    <w:lvl w:ilvl="3" w:tentative="0">
      <w:start w:val="1"/>
      <w:numFmt w:val="upperLetter"/>
      <w:lvlText w:val="(%4)"/>
      <w:lvlJc w:val="left"/>
      <w:pPr>
        <w:tabs>
          <w:tab w:val="left" w:pos="2160"/>
        </w:tabs>
        <w:ind w:left="2160" w:hanging="720"/>
      </w:pPr>
    </w:lvl>
    <w:lvl w:ilvl="4" w:tentative="0">
      <w:start w:val="1"/>
      <w:numFmt w:val="upperRoman"/>
      <w:lvlText w:val="%5."/>
      <w:lvlJc w:val="left"/>
      <w:pPr>
        <w:tabs>
          <w:tab w:val="left" w:pos="2880"/>
        </w:tabs>
        <w:ind w:left="2880" w:hanging="720"/>
      </w:pPr>
    </w:lvl>
    <w:lvl w:ilvl="5" w:tentative="0">
      <w:start w:val="1"/>
      <w:numFmt w:val="lowerLetter"/>
      <w:lvlText w:val="(%6)"/>
      <w:lvlJc w:val="left"/>
      <w:pPr>
        <w:tabs>
          <w:tab w:val="left" w:pos="1440"/>
        </w:tabs>
        <w:ind w:left="1440" w:hanging="720"/>
      </w:pPr>
    </w:lvl>
    <w:lvl w:ilvl="6" w:tentative="0">
      <w:start w:val="1"/>
      <w:numFmt w:val="lowerRoman"/>
      <w:lvlText w:val="(%7)"/>
      <w:lvlJc w:val="left"/>
      <w:pPr>
        <w:tabs>
          <w:tab w:val="left" w:pos="2160"/>
        </w:tabs>
        <w:ind w:left="2160" w:hanging="720"/>
      </w:pPr>
    </w:lvl>
    <w:lvl w:ilvl="7" w:tentative="0">
      <w:start w:val="1"/>
      <w:numFmt w:val="upperLetter"/>
      <w:lvlText w:val="(%8)"/>
      <w:lvlJc w:val="left"/>
      <w:pPr>
        <w:tabs>
          <w:tab w:val="left" w:pos="2880"/>
        </w:tabs>
        <w:ind w:left="2880" w:hanging="720"/>
      </w:pPr>
    </w:lvl>
    <w:lvl w:ilvl="8" w:tentative="0">
      <w:start w:val="1"/>
      <w:numFmt w:val="upperRoman"/>
      <w:lvlText w:val="%9."/>
      <w:lvlJc w:val="left"/>
      <w:pPr>
        <w:tabs>
          <w:tab w:val="left" w:pos="3600"/>
        </w:tabs>
        <w:ind w:left="3600" w:hanging="720"/>
      </w:pPr>
    </w:lvl>
  </w:abstractNum>
  <w:abstractNum w:abstractNumId="8">
    <w:nsid w:val="13B718D4"/>
    <w:multiLevelType w:val="multilevel"/>
    <w:tmpl w:val="13B718D4"/>
    <w:lvl w:ilvl="0" w:tentative="0">
      <w:start w:val="1"/>
      <w:numFmt w:val="decimal"/>
      <w:pStyle w:val="137"/>
      <w:lvlText w:val="（%1）"/>
      <w:lvlJc w:val="center"/>
      <w:pPr>
        <w:tabs>
          <w:tab w:val="left" w:pos="648"/>
        </w:tabs>
        <w:ind w:left="0" w:firstLine="288"/>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1B0661F6"/>
    <w:multiLevelType w:val="singleLevel"/>
    <w:tmpl w:val="1B0661F6"/>
    <w:lvl w:ilvl="0" w:tentative="0">
      <w:start w:val="1"/>
      <w:numFmt w:val="bullet"/>
      <w:pStyle w:val="125"/>
      <w:lvlText w:val=""/>
      <w:lvlJc w:val="left"/>
      <w:pPr>
        <w:tabs>
          <w:tab w:val="left" w:pos="720"/>
        </w:tabs>
        <w:ind w:left="720" w:hanging="720"/>
      </w:pPr>
      <w:rPr>
        <w:rFonts w:hint="default" w:ascii="Symbol" w:hAnsi="Symbol"/>
      </w:rPr>
    </w:lvl>
  </w:abstractNum>
  <w:abstractNum w:abstractNumId="10">
    <w:nsid w:val="31FA6DE9"/>
    <w:multiLevelType w:val="singleLevel"/>
    <w:tmpl w:val="31FA6DE9"/>
    <w:lvl w:ilvl="0" w:tentative="0">
      <w:start w:val="1"/>
      <w:numFmt w:val="bullet"/>
      <w:pStyle w:val="83"/>
      <w:lvlText w:val=""/>
      <w:lvlJc w:val="left"/>
      <w:pPr>
        <w:tabs>
          <w:tab w:val="left" w:pos="720"/>
        </w:tabs>
        <w:ind w:left="720" w:hanging="720"/>
      </w:pPr>
      <w:rPr>
        <w:rFonts w:hint="default" w:ascii="Symbol" w:hAnsi="Symbol"/>
      </w:rPr>
    </w:lvl>
  </w:abstractNum>
  <w:abstractNum w:abstractNumId="11">
    <w:nsid w:val="36063A36"/>
    <w:multiLevelType w:val="singleLevel"/>
    <w:tmpl w:val="36063A36"/>
    <w:lvl w:ilvl="0" w:tentative="0">
      <w:start w:val="1"/>
      <w:numFmt w:val="bullet"/>
      <w:pStyle w:val="17"/>
      <w:lvlText w:val=""/>
      <w:lvlJc w:val="left"/>
      <w:pPr>
        <w:tabs>
          <w:tab w:val="left" w:pos="720"/>
        </w:tabs>
        <w:ind w:left="720" w:hanging="360"/>
      </w:pPr>
      <w:rPr>
        <w:rFonts w:hint="default" w:ascii="Wingdings" w:hAnsi="Wingdings"/>
      </w:rPr>
    </w:lvl>
  </w:abstractNum>
  <w:abstractNum w:abstractNumId="12">
    <w:nsid w:val="38014636"/>
    <w:multiLevelType w:val="multilevel"/>
    <w:tmpl w:val="38014636"/>
    <w:lvl w:ilvl="0" w:tentative="0">
      <w:start w:val="1"/>
      <w:numFmt w:val="chineseCountingThousand"/>
      <w:lvlText w:val="第%1部分"/>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D0E7D39"/>
    <w:multiLevelType w:val="multilevel"/>
    <w:tmpl w:val="3D0E7D39"/>
    <w:lvl w:ilvl="0" w:tentative="0">
      <w:start w:val="1"/>
      <w:numFmt w:val="decimal"/>
      <w:pStyle w:val="97"/>
      <w:suff w:val="nothing"/>
      <w:lvlText w:val="Schedule %1"/>
      <w:lvlJc w:val="left"/>
      <w:pPr>
        <w:ind w:left="0" w:firstLine="0"/>
      </w:pPr>
      <w:rPr>
        <w:b/>
        <w:i w:val="0"/>
      </w:rPr>
    </w:lvl>
    <w:lvl w:ilvl="1" w:tentative="0">
      <w:start w:val="1"/>
      <w:numFmt w:val="decimal"/>
      <w:pStyle w:val="99"/>
      <w:suff w:val="nothing"/>
      <w:lvlText w:val="Part %2"/>
      <w:lvlJc w:val="left"/>
      <w:pPr>
        <w:ind w:left="0" w:firstLine="0"/>
      </w:pPr>
      <w:rPr>
        <w:b/>
        <w:i w:val="0"/>
      </w:r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14">
    <w:nsid w:val="3DAC2829"/>
    <w:multiLevelType w:val="singleLevel"/>
    <w:tmpl w:val="3DAC2829"/>
    <w:lvl w:ilvl="0" w:tentative="0">
      <w:start w:val="1"/>
      <w:numFmt w:val="decimal"/>
      <w:pStyle w:val="75"/>
      <w:lvlText w:val="(%1)"/>
      <w:lvlJc w:val="left"/>
      <w:pPr>
        <w:tabs>
          <w:tab w:val="left" w:pos="907"/>
        </w:tabs>
        <w:ind w:left="907" w:hanging="482"/>
      </w:pPr>
    </w:lvl>
  </w:abstractNum>
  <w:abstractNum w:abstractNumId="15">
    <w:nsid w:val="3E29759A"/>
    <w:multiLevelType w:val="multilevel"/>
    <w:tmpl w:val="3E29759A"/>
    <w:lvl w:ilvl="0" w:tentative="0">
      <w:start w:val="1"/>
      <w:numFmt w:val="decimal"/>
      <w:pStyle w:val="112"/>
      <w:lvlText w:val="%1."/>
      <w:lvlJc w:val="left"/>
      <w:pPr>
        <w:tabs>
          <w:tab w:val="left" w:pos="720"/>
        </w:tabs>
        <w:ind w:left="720" w:hanging="720"/>
      </w:pPr>
    </w:lvl>
    <w:lvl w:ilvl="1" w:tentative="0">
      <w:start w:val="1"/>
      <w:numFmt w:val="decimal"/>
      <w:pStyle w:val="113"/>
      <w:lvlText w:val="%1.%2"/>
      <w:lvlJc w:val="left"/>
      <w:pPr>
        <w:tabs>
          <w:tab w:val="left" w:pos="720"/>
        </w:tabs>
        <w:ind w:left="720" w:hanging="720"/>
      </w:pPr>
    </w:lvl>
    <w:lvl w:ilvl="2" w:tentative="0">
      <w:start w:val="1"/>
      <w:numFmt w:val="lowerLetter"/>
      <w:pStyle w:val="114"/>
      <w:lvlText w:val="(%3)"/>
      <w:lvlJc w:val="left"/>
      <w:pPr>
        <w:tabs>
          <w:tab w:val="left" w:pos="720"/>
        </w:tabs>
        <w:ind w:left="720" w:hanging="720"/>
      </w:pPr>
    </w:lvl>
    <w:lvl w:ilvl="3" w:tentative="0">
      <w:start w:val="1"/>
      <w:numFmt w:val="lowerLetter"/>
      <w:lvlText w:val="(%4)"/>
      <w:lvlJc w:val="left"/>
      <w:pPr>
        <w:tabs>
          <w:tab w:val="left" w:pos="1440"/>
        </w:tabs>
        <w:ind w:left="1440" w:hanging="720"/>
      </w:pPr>
    </w:lvl>
    <w:lvl w:ilvl="4" w:tentative="0">
      <w:start w:val="1"/>
      <w:numFmt w:val="lowerRoman"/>
      <w:lvlText w:val="(%5)"/>
      <w:lvlJc w:val="left"/>
      <w:pPr>
        <w:tabs>
          <w:tab w:val="left" w:pos="1440"/>
        </w:tabs>
        <w:ind w:left="1440" w:hanging="720"/>
      </w:pPr>
    </w:lvl>
    <w:lvl w:ilvl="5" w:tentative="0">
      <w:start w:val="1"/>
      <w:numFmt w:val="lowerRoman"/>
      <w:lvlText w:val="(%6)"/>
      <w:lvlJc w:val="left"/>
      <w:pPr>
        <w:tabs>
          <w:tab w:val="left" w:pos="2160"/>
        </w:tabs>
        <w:ind w:left="2160" w:hanging="720"/>
      </w:pPr>
    </w:lvl>
    <w:lvl w:ilvl="6" w:tentative="0">
      <w:start w:val="1"/>
      <w:numFmt w:val="upperLetter"/>
      <w:lvlText w:val="(%7)"/>
      <w:lvlJc w:val="left"/>
      <w:pPr>
        <w:tabs>
          <w:tab w:val="left" w:pos="2160"/>
        </w:tabs>
        <w:ind w:left="2160" w:hanging="720"/>
      </w:pPr>
    </w:lvl>
    <w:lvl w:ilvl="7" w:tentative="0">
      <w:start w:val="1"/>
      <w:numFmt w:val="upperLetter"/>
      <w:lvlText w:val="(%8)"/>
      <w:lvlJc w:val="left"/>
      <w:pPr>
        <w:tabs>
          <w:tab w:val="left" w:pos="2880"/>
        </w:tabs>
        <w:ind w:left="2880" w:hanging="720"/>
      </w:pPr>
    </w:lvl>
    <w:lvl w:ilvl="8" w:tentative="0">
      <w:start w:val="1"/>
      <w:numFmt w:val="upperRoman"/>
      <w:lvlText w:val="%9."/>
      <w:lvlJc w:val="left"/>
      <w:pPr>
        <w:tabs>
          <w:tab w:val="left" w:pos="3600"/>
        </w:tabs>
        <w:ind w:left="3600" w:hanging="720"/>
      </w:pPr>
    </w:lvl>
  </w:abstractNum>
  <w:abstractNum w:abstractNumId="16">
    <w:nsid w:val="41F230E7"/>
    <w:multiLevelType w:val="singleLevel"/>
    <w:tmpl w:val="41F230E7"/>
    <w:lvl w:ilvl="0" w:tentative="0">
      <w:start w:val="1"/>
      <w:numFmt w:val="bullet"/>
      <w:pStyle w:val="127"/>
      <w:lvlText w:val=""/>
      <w:lvlJc w:val="left"/>
      <w:pPr>
        <w:tabs>
          <w:tab w:val="left" w:pos="720"/>
        </w:tabs>
        <w:ind w:left="720" w:hanging="720"/>
      </w:pPr>
      <w:rPr>
        <w:rFonts w:hint="default" w:ascii="Wingdings" w:hAnsi="Wingdings"/>
      </w:rPr>
    </w:lvl>
  </w:abstractNum>
  <w:abstractNum w:abstractNumId="17">
    <w:nsid w:val="475B3203"/>
    <w:multiLevelType w:val="multilevel"/>
    <w:tmpl w:val="475B3203"/>
    <w:lvl w:ilvl="0" w:tentative="0">
      <w:start w:val="1"/>
      <w:numFmt w:val="none"/>
      <w:pStyle w:val="81"/>
      <w:suff w:val="nothing"/>
      <w:lvlText w:val=""/>
      <w:lvlJc w:val="left"/>
      <w:pPr>
        <w:ind w:left="1260" w:firstLine="0"/>
      </w:pPr>
    </w:lvl>
    <w:lvl w:ilvl="1" w:tentative="0">
      <w:start w:val="1"/>
      <w:numFmt w:val="none"/>
      <w:pStyle w:val="101"/>
      <w:suff w:val="nothing"/>
      <w:lvlText w:val=""/>
      <w:lvlJc w:val="left"/>
      <w:pPr>
        <w:ind w:left="1980" w:firstLine="0"/>
      </w:pPr>
    </w:lvl>
    <w:lvl w:ilvl="2" w:tentative="0">
      <w:start w:val="1"/>
      <w:numFmt w:val="none"/>
      <w:pStyle w:val="102"/>
      <w:suff w:val="nothing"/>
      <w:lvlText w:val=""/>
      <w:lvlJc w:val="left"/>
      <w:pPr>
        <w:ind w:left="2700" w:firstLine="0"/>
      </w:pPr>
    </w:lvl>
    <w:lvl w:ilvl="3" w:tentative="0">
      <w:start w:val="1"/>
      <w:numFmt w:val="none"/>
      <w:pStyle w:val="103"/>
      <w:suff w:val="nothing"/>
      <w:lvlText w:val=""/>
      <w:lvlJc w:val="left"/>
      <w:pPr>
        <w:ind w:left="3420" w:firstLine="0"/>
      </w:pPr>
    </w:lvl>
    <w:lvl w:ilvl="4" w:tentative="0">
      <w:start w:val="1"/>
      <w:numFmt w:val="none"/>
      <w:pStyle w:val="104"/>
      <w:suff w:val="nothing"/>
      <w:lvlText w:val=""/>
      <w:lvlJc w:val="left"/>
      <w:pPr>
        <w:ind w:left="4140" w:firstLine="0"/>
      </w:pPr>
    </w:lvl>
    <w:lvl w:ilvl="5" w:tentative="0">
      <w:start w:val="1"/>
      <w:numFmt w:val="none"/>
      <w:pStyle w:val="105"/>
      <w:suff w:val="nothing"/>
      <w:lvlText w:val=""/>
      <w:lvlJc w:val="left"/>
      <w:pPr>
        <w:ind w:left="4860" w:firstLine="0"/>
      </w:pPr>
    </w:lvl>
    <w:lvl w:ilvl="6" w:tentative="0">
      <w:start w:val="1"/>
      <w:numFmt w:val="none"/>
      <w:pStyle w:val="106"/>
      <w:suff w:val="nothing"/>
      <w:lvlText w:val=""/>
      <w:lvlJc w:val="left"/>
      <w:pPr>
        <w:ind w:left="5580" w:firstLine="0"/>
      </w:pPr>
    </w:lvl>
    <w:lvl w:ilvl="7" w:tentative="0">
      <w:start w:val="1"/>
      <w:numFmt w:val="none"/>
      <w:pStyle w:val="107"/>
      <w:suff w:val="nothing"/>
      <w:lvlText w:val=""/>
      <w:lvlJc w:val="left"/>
      <w:pPr>
        <w:ind w:left="6300" w:firstLine="0"/>
      </w:pPr>
    </w:lvl>
    <w:lvl w:ilvl="8" w:tentative="0">
      <w:start w:val="1"/>
      <w:numFmt w:val="none"/>
      <w:pStyle w:val="108"/>
      <w:suff w:val="nothing"/>
      <w:lvlText w:val=""/>
      <w:lvlJc w:val="left"/>
      <w:pPr>
        <w:ind w:left="7020" w:firstLine="0"/>
      </w:pPr>
    </w:lvl>
  </w:abstractNum>
  <w:abstractNum w:abstractNumId="18">
    <w:nsid w:val="47B238E7"/>
    <w:multiLevelType w:val="multilevel"/>
    <w:tmpl w:val="47B238E7"/>
    <w:lvl w:ilvl="0" w:tentative="0">
      <w:start w:val="1"/>
      <w:numFmt w:val="decimal"/>
      <w:pStyle w:val="115"/>
      <w:lvlText w:val="%1."/>
      <w:lvlJc w:val="left"/>
      <w:pPr>
        <w:tabs>
          <w:tab w:val="left" w:pos="720"/>
        </w:tabs>
        <w:ind w:left="720" w:hanging="720"/>
      </w:pPr>
    </w:lvl>
    <w:lvl w:ilvl="1" w:tentative="0">
      <w:start w:val="1"/>
      <w:numFmt w:val="decimal"/>
      <w:pStyle w:val="116"/>
      <w:lvlText w:val="%1.%2"/>
      <w:lvlJc w:val="left"/>
      <w:pPr>
        <w:tabs>
          <w:tab w:val="left" w:pos="720"/>
        </w:tabs>
        <w:ind w:left="720" w:hanging="720"/>
      </w:pPr>
    </w:lvl>
    <w:lvl w:ilvl="2" w:tentative="0">
      <w:start w:val="1"/>
      <w:numFmt w:val="lowerLetter"/>
      <w:lvlText w:val="(%3)"/>
      <w:lvlJc w:val="left"/>
      <w:pPr>
        <w:tabs>
          <w:tab w:val="left" w:pos="720"/>
        </w:tabs>
        <w:ind w:left="720" w:hanging="720"/>
      </w:pPr>
    </w:lvl>
    <w:lvl w:ilvl="3" w:tentative="0">
      <w:start w:val="1"/>
      <w:numFmt w:val="lowerLetter"/>
      <w:lvlText w:val="(%4)"/>
      <w:lvlJc w:val="left"/>
      <w:pPr>
        <w:tabs>
          <w:tab w:val="left" w:pos="1440"/>
        </w:tabs>
        <w:ind w:left="1440" w:hanging="720"/>
      </w:pPr>
    </w:lvl>
    <w:lvl w:ilvl="4" w:tentative="0">
      <w:start w:val="1"/>
      <w:numFmt w:val="lowerRoman"/>
      <w:lvlText w:val="(%5)"/>
      <w:lvlJc w:val="left"/>
      <w:pPr>
        <w:tabs>
          <w:tab w:val="left" w:pos="1440"/>
        </w:tabs>
        <w:ind w:left="1440" w:hanging="720"/>
      </w:pPr>
    </w:lvl>
    <w:lvl w:ilvl="5" w:tentative="0">
      <w:start w:val="1"/>
      <w:numFmt w:val="lowerRoman"/>
      <w:lvlText w:val="(%6)"/>
      <w:lvlJc w:val="left"/>
      <w:pPr>
        <w:tabs>
          <w:tab w:val="left" w:pos="2160"/>
        </w:tabs>
        <w:ind w:left="2160" w:hanging="720"/>
      </w:pPr>
    </w:lvl>
    <w:lvl w:ilvl="6" w:tentative="0">
      <w:start w:val="1"/>
      <w:numFmt w:val="upperLetter"/>
      <w:lvlText w:val="(%7)"/>
      <w:lvlJc w:val="left"/>
      <w:pPr>
        <w:tabs>
          <w:tab w:val="left" w:pos="2160"/>
        </w:tabs>
        <w:ind w:left="2160" w:hanging="720"/>
      </w:pPr>
    </w:lvl>
    <w:lvl w:ilvl="7" w:tentative="0">
      <w:start w:val="1"/>
      <w:numFmt w:val="upperLetter"/>
      <w:lvlText w:val="(%8)"/>
      <w:lvlJc w:val="left"/>
      <w:pPr>
        <w:tabs>
          <w:tab w:val="left" w:pos="2880"/>
        </w:tabs>
        <w:ind w:left="2880" w:hanging="720"/>
      </w:pPr>
    </w:lvl>
    <w:lvl w:ilvl="8" w:tentative="0">
      <w:start w:val="1"/>
      <w:numFmt w:val="upperRoman"/>
      <w:lvlText w:val="%9."/>
      <w:lvlJc w:val="left"/>
      <w:pPr>
        <w:tabs>
          <w:tab w:val="left" w:pos="3600"/>
        </w:tabs>
        <w:ind w:left="3600" w:hanging="720"/>
      </w:pPr>
    </w:lvl>
  </w:abstractNum>
  <w:abstractNum w:abstractNumId="19">
    <w:nsid w:val="49C66851"/>
    <w:multiLevelType w:val="multilevel"/>
    <w:tmpl w:val="49C66851"/>
    <w:lvl w:ilvl="0" w:tentative="0">
      <w:start w:val="1"/>
      <w:numFmt w:val="decimal"/>
      <w:pStyle w:val="88"/>
      <w:suff w:val="nothing"/>
      <w:lvlText w:val="Annex %1"/>
      <w:lvlJc w:val="left"/>
      <w:pPr>
        <w:ind w:left="0" w:firstLine="0"/>
      </w:pPr>
      <w:rPr>
        <w:b/>
        <w:i w:val="0"/>
      </w:rPr>
    </w:lvl>
    <w:lvl w:ilvl="1" w:tentative="0">
      <w:start w:val="1"/>
      <w:numFmt w:val="decimal"/>
      <w:pStyle w:val="91"/>
      <w:suff w:val="nothing"/>
      <w:lvlText w:val="Part %2"/>
      <w:lvlJc w:val="left"/>
      <w:pPr>
        <w:ind w:left="0" w:firstLine="0"/>
      </w:pPr>
      <w:rPr>
        <w:b/>
        <w:i w:val="0"/>
      </w:r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20">
    <w:nsid w:val="4CFE7B09"/>
    <w:multiLevelType w:val="multilevel"/>
    <w:tmpl w:val="4CFE7B09"/>
    <w:lvl w:ilvl="0" w:tentative="0">
      <w:start w:val="1"/>
      <w:numFmt w:val="decimal"/>
      <w:pStyle w:val="86"/>
      <w:lvlText w:val="(%1)"/>
      <w:lvlJc w:val="left"/>
      <w:pPr>
        <w:tabs>
          <w:tab w:val="left" w:pos="720"/>
        </w:tabs>
        <w:ind w:left="720" w:hanging="720"/>
      </w:pPr>
    </w:lvl>
    <w:lvl w:ilvl="1" w:tentative="0">
      <w:start w:val="1"/>
      <w:numFmt w:val="none"/>
      <w:lvlRestart w:val="0"/>
      <w:suff w:val="nothing"/>
      <w:lvlText w:val=""/>
      <w:lvlJc w:val="left"/>
      <w:pPr>
        <w:ind w:left="0" w:firstLine="0"/>
      </w:p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21">
    <w:nsid w:val="4E4B4E3E"/>
    <w:multiLevelType w:val="multilevel"/>
    <w:tmpl w:val="4E4B4E3E"/>
    <w:lvl w:ilvl="0" w:tentative="0">
      <w:start w:val="1"/>
      <w:numFmt w:val="decimal"/>
      <w:pStyle w:val="117"/>
      <w:lvlText w:val="%1."/>
      <w:lvlJc w:val="left"/>
      <w:pPr>
        <w:tabs>
          <w:tab w:val="left" w:pos="720"/>
        </w:tabs>
        <w:ind w:left="720" w:hanging="720"/>
      </w:pPr>
    </w:lvl>
    <w:lvl w:ilvl="1" w:tentative="0">
      <w:start w:val="1"/>
      <w:numFmt w:val="decimal"/>
      <w:pStyle w:val="119"/>
      <w:lvlText w:val="%1.%2"/>
      <w:lvlJc w:val="left"/>
      <w:pPr>
        <w:tabs>
          <w:tab w:val="left" w:pos="720"/>
        </w:tabs>
        <w:ind w:left="720" w:hanging="720"/>
      </w:pPr>
    </w:lvl>
    <w:lvl w:ilvl="2" w:tentative="0">
      <w:start w:val="1"/>
      <w:numFmt w:val="lowerLetter"/>
      <w:pStyle w:val="120"/>
      <w:lvlText w:val="(%3)"/>
      <w:lvlJc w:val="left"/>
      <w:pPr>
        <w:tabs>
          <w:tab w:val="left" w:pos="1440"/>
        </w:tabs>
        <w:ind w:left="1440" w:hanging="720"/>
      </w:pPr>
    </w:lvl>
    <w:lvl w:ilvl="3" w:tentative="0">
      <w:start w:val="1"/>
      <w:numFmt w:val="lowerRoman"/>
      <w:pStyle w:val="121"/>
      <w:lvlText w:val="(%4)"/>
      <w:lvlJc w:val="left"/>
      <w:pPr>
        <w:tabs>
          <w:tab w:val="left" w:pos="2160"/>
        </w:tabs>
        <w:ind w:left="2160" w:hanging="720"/>
      </w:pPr>
    </w:lvl>
    <w:lvl w:ilvl="4" w:tentative="0">
      <w:start w:val="1"/>
      <w:numFmt w:val="upperLetter"/>
      <w:pStyle w:val="122"/>
      <w:lvlText w:val="(%5)"/>
      <w:lvlJc w:val="left"/>
      <w:pPr>
        <w:tabs>
          <w:tab w:val="left" w:pos="2880"/>
        </w:tabs>
        <w:ind w:left="2880" w:hanging="720"/>
      </w:pPr>
    </w:lvl>
    <w:lvl w:ilvl="5" w:tentative="0">
      <w:start w:val="1"/>
      <w:numFmt w:val="upperRoman"/>
      <w:pStyle w:val="123"/>
      <w:lvlText w:val="%6."/>
      <w:lvlJc w:val="left"/>
      <w:pPr>
        <w:tabs>
          <w:tab w:val="left" w:pos="3600"/>
        </w:tabs>
        <w:ind w:left="3600" w:hanging="72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22">
    <w:nsid w:val="547D73EE"/>
    <w:multiLevelType w:val="multilevel"/>
    <w:tmpl w:val="547D73EE"/>
    <w:lvl w:ilvl="0" w:tentative="0">
      <w:start w:val="1"/>
      <w:numFmt w:val="decimal"/>
      <w:pStyle w:val="156"/>
      <w:suff w:val="space"/>
      <w:lvlText w:val="§%1"/>
      <w:lvlJc w:val="left"/>
      <w:pPr>
        <w:ind w:left="425" w:hanging="425"/>
      </w:pPr>
      <w:rPr>
        <w:rFonts w:hint="eastAsia"/>
      </w:rPr>
    </w:lvl>
    <w:lvl w:ilvl="1" w:tentative="0">
      <w:start w:val="1"/>
      <w:numFmt w:val="decimal"/>
      <w:pStyle w:val="157"/>
      <w:suff w:val="space"/>
      <w:lvlText w:val="%1.%2"/>
      <w:lvlJc w:val="left"/>
      <w:pPr>
        <w:ind w:left="454" w:hanging="454"/>
      </w:pPr>
      <w:rPr>
        <w:rFonts w:hint="eastAsia"/>
      </w:rPr>
    </w:lvl>
    <w:lvl w:ilvl="2" w:tentative="0">
      <w:start w:val="1"/>
      <w:numFmt w:val="decimal"/>
      <w:pStyle w:val="158"/>
      <w:lvlText w:val="%3."/>
      <w:lvlJc w:val="left"/>
      <w:pPr>
        <w:ind w:left="624" w:hanging="624"/>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14:shadow w14:blurRad="0" w14:dist="0" w14:dir="0" w14:sx="0" w14:sy="0" w14:kx="0" w14:ky="0" w14:algn="none">
          <w14:srgbClr w14:val="000000"/>
        </w14:shadow>
      </w:rPr>
    </w:lvl>
    <w:lvl w:ilvl="3" w:tentative="0">
      <w:start w:val="1"/>
      <w:numFmt w:val="decimal"/>
      <w:pStyle w:val="159"/>
      <w:suff w:val="space"/>
      <w:lvlText w:val="%1.%2.%3.%4"/>
      <w:lvlJc w:val="left"/>
      <w:pPr>
        <w:ind w:left="794" w:hanging="794"/>
      </w:pPr>
      <w:rPr>
        <w:rFonts w:hint="eastAsia"/>
      </w:rPr>
    </w:lvl>
    <w:lvl w:ilvl="4" w:tentative="0">
      <w:start w:val="1"/>
      <w:numFmt w:val="decimal"/>
      <w:pStyle w:val="160"/>
      <w:suff w:val="space"/>
      <w:lvlText w:val="%1.%2.%3.%4.%5"/>
      <w:lvlJc w:val="left"/>
      <w:pPr>
        <w:ind w:left="1021" w:hanging="1021"/>
      </w:pPr>
      <w:rPr>
        <w:rFonts w:hint="eastAsia"/>
      </w:rPr>
    </w:lvl>
    <w:lvl w:ilvl="5" w:tentative="0">
      <w:start w:val="1"/>
      <w:numFmt w:val="decimal"/>
      <w:pStyle w:val="16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563C0E5A"/>
    <w:multiLevelType w:val="singleLevel"/>
    <w:tmpl w:val="563C0E5A"/>
    <w:lvl w:ilvl="0" w:tentative="0">
      <w:start w:val="1"/>
      <w:numFmt w:val="chineseCounting"/>
      <w:suff w:val="nothing"/>
      <w:lvlText w:val="（%1）"/>
      <w:lvlJc w:val="left"/>
      <w:rPr>
        <w:rFonts w:hint="eastAsia"/>
      </w:rPr>
    </w:lvl>
  </w:abstractNum>
  <w:abstractNum w:abstractNumId="24">
    <w:nsid w:val="62830D10"/>
    <w:multiLevelType w:val="multilevel"/>
    <w:tmpl w:val="62830D10"/>
    <w:lvl w:ilvl="0" w:tentative="0">
      <w:start w:val="1"/>
      <w:numFmt w:val="upperLetter"/>
      <w:pStyle w:val="87"/>
      <w:lvlText w:val="(%1)"/>
      <w:lvlJc w:val="left"/>
      <w:pPr>
        <w:tabs>
          <w:tab w:val="left" w:pos="720"/>
        </w:tabs>
        <w:ind w:left="720" w:hanging="720"/>
      </w:pPr>
    </w:lvl>
    <w:lvl w:ilvl="1" w:tentative="0">
      <w:start w:val="1"/>
      <w:numFmt w:val="none"/>
      <w:lvlRestart w:val="0"/>
      <w:suff w:val="nothing"/>
      <w:lvlText w:val=""/>
      <w:lvlJc w:val="left"/>
      <w:pPr>
        <w:ind w:left="0" w:firstLine="0"/>
      </w:pPr>
    </w:lvl>
    <w:lvl w:ilvl="2" w:tentative="0">
      <w:start w:val="1"/>
      <w:numFmt w:val="none"/>
      <w:lvlRestart w:val="0"/>
      <w:suff w:val="nothing"/>
      <w:lvlText w:val=""/>
      <w:lvlJc w:val="left"/>
      <w:pPr>
        <w:ind w:left="0" w:firstLine="0"/>
      </w:pPr>
    </w:lvl>
    <w:lvl w:ilvl="3" w:tentative="0">
      <w:start w:val="1"/>
      <w:numFmt w:val="none"/>
      <w:lvlRestart w:val="0"/>
      <w:suff w:val="nothing"/>
      <w:lvlText w:val=""/>
      <w:lvlJc w:val="left"/>
      <w:pPr>
        <w:ind w:left="0" w:firstLine="0"/>
      </w:pPr>
    </w:lvl>
    <w:lvl w:ilvl="4" w:tentative="0">
      <w:start w:val="1"/>
      <w:numFmt w:val="none"/>
      <w:lvlRestart w:val="0"/>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abstractNum w:abstractNumId="25">
    <w:nsid w:val="62887BDA"/>
    <w:multiLevelType w:val="singleLevel"/>
    <w:tmpl w:val="62887BDA"/>
    <w:lvl w:ilvl="0" w:tentative="0">
      <w:start w:val="2"/>
      <w:numFmt w:val="chineseCounting"/>
      <w:suff w:val="nothing"/>
      <w:lvlText w:val="%1、"/>
      <w:lvlJc w:val="left"/>
      <w:rPr>
        <w:rFonts w:hint="eastAsia"/>
      </w:rPr>
    </w:lvl>
  </w:abstractNum>
  <w:abstractNum w:abstractNumId="26">
    <w:nsid w:val="65164B80"/>
    <w:multiLevelType w:val="multilevel"/>
    <w:tmpl w:val="65164B80"/>
    <w:lvl w:ilvl="0" w:tentative="0">
      <w:start w:val="1"/>
      <w:numFmt w:val="decimal"/>
      <w:pStyle w:val="2"/>
      <w:lvlText w:val="%1"/>
      <w:lvlJc w:val="left"/>
      <w:pPr>
        <w:tabs>
          <w:tab w:val="left" w:pos="3835"/>
        </w:tabs>
        <w:ind w:left="3835" w:hanging="432"/>
      </w:pPr>
    </w:lvl>
    <w:lvl w:ilvl="1" w:tentative="0">
      <w:start w:val="1"/>
      <w:numFmt w:val="chineseCountingThousand"/>
      <w:pStyle w:val="3"/>
      <w:lvlText w:val="%2、"/>
      <w:lvlJc w:val="left"/>
      <w:pPr>
        <w:tabs>
          <w:tab w:val="left" w:pos="1002"/>
        </w:tabs>
        <w:ind w:left="1002" w:hanging="576"/>
      </w:pPr>
      <w:rPr>
        <w:b/>
        <w:sz w:val="32"/>
        <w:szCs w:val="32"/>
      </w:rPr>
    </w:lvl>
    <w:lvl w:ilvl="2" w:tentative="0">
      <w:start w:val="1"/>
      <w:numFmt w:val="decimal"/>
      <w:pStyle w:val="4"/>
      <w:lvlText w:val="%1.%2.%3"/>
      <w:lvlJc w:val="left"/>
      <w:pPr>
        <w:tabs>
          <w:tab w:val="left" w:pos="720"/>
        </w:tabs>
        <w:ind w:left="72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27">
    <w:nsid w:val="6F025FAA"/>
    <w:multiLevelType w:val="multilevel"/>
    <w:tmpl w:val="6F025FAA"/>
    <w:lvl w:ilvl="0" w:tentative="0">
      <w:start w:val="1"/>
      <w:numFmt w:val="none"/>
      <w:pStyle w:val="84"/>
      <w:suff w:val="nothing"/>
      <w:lvlText w:val=""/>
      <w:lvlJc w:val="left"/>
      <w:pPr>
        <w:ind w:left="720" w:firstLine="0"/>
      </w:pPr>
      <w:rPr>
        <w:rFonts w:ascii="Times New Roman" w:hAnsi="Times New Roman"/>
        <w:b/>
        <w:i w:val="0"/>
        <w:caps/>
        <w:smallCaps w:val="0"/>
        <w:sz w:val="22"/>
      </w:rPr>
    </w:lvl>
    <w:lvl w:ilvl="1" w:tentative="0">
      <w:start w:val="1"/>
      <w:numFmt w:val="none"/>
      <w:pStyle w:val="85"/>
      <w:suff w:val="nothing"/>
      <w:lvlText w:val=""/>
      <w:lvlJc w:val="left"/>
      <w:pPr>
        <w:ind w:left="720" w:firstLine="0"/>
      </w:pPr>
      <w:rPr>
        <w:rFonts w:ascii="Times New Roman" w:hAnsi="Times New Roman"/>
        <w:b/>
        <w:i w:val="0"/>
        <w:caps w:val="0"/>
        <w:smallCaps w:val="0"/>
        <w:sz w:val="22"/>
      </w:rPr>
    </w:lvl>
    <w:lvl w:ilvl="2" w:tentative="0">
      <w:start w:val="1"/>
      <w:numFmt w:val="lowerLetter"/>
      <w:lvlText w:val="(%3)"/>
      <w:lvlJc w:val="left"/>
      <w:pPr>
        <w:tabs>
          <w:tab w:val="left" w:pos="1440"/>
        </w:tabs>
        <w:ind w:left="1440" w:hanging="720"/>
      </w:pPr>
      <w:rPr>
        <w:rFonts w:ascii="Times New Roman" w:hAnsi="Times New Roman"/>
        <w:b w:val="0"/>
        <w:i w:val="0"/>
        <w:sz w:val="22"/>
      </w:rPr>
    </w:lvl>
    <w:lvl w:ilvl="3" w:tentative="0">
      <w:start w:val="1"/>
      <w:numFmt w:val="lowerRoman"/>
      <w:lvlText w:val="(%4)"/>
      <w:lvlJc w:val="left"/>
      <w:pPr>
        <w:tabs>
          <w:tab w:val="left" w:pos="1440"/>
        </w:tabs>
        <w:ind w:left="1440" w:hanging="720"/>
      </w:pPr>
      <w:rPr>
        <w:rFonts w:ascii="Times New Roman" w:hAnsi="Times New Roman"/>
        <w:b w:val="0"/>
        <w:i w:val="0"/>
        <w:sz w:val="22"/>
      </w:rPr>
    </w:lvl>
    <w:lvl w:ilvl="4" w:tentative="0">
      <w:start w:val="1"/>
      <w:numFmt w:val="lowerLetter"/>
      <w:lvlText w:val="(%5)"/>
      <w:lvlJc w:val="left"/>
      <w:pPr>
        <w:tabs>
          <w:tab w:val="left" w:pos="2160"/>
        </w:tabs>
        <w:ind w:left="2160" w:hanging="720"/>
      </w:pPr>
      <w:rPr>
        <w:rFonts w:ascii="Times New Roman" w:hAnsi="Times New Roman"/>
        <w:b w:val="0"/>
        <w:i w:val="0"/>
        <w:sz w:val="22"/>
      </w:rPr>
    </w:lvl>
    <w:lvl w:ilvl="5" w:tentative="0">
      <w:start w:val="1"/>
      <w:numFmt w:val="lowerRoman"/>
      <w:lvlText w:val="(%6)"/>
      <w:lvlJc w:val="left"/>
      <w:pPr>
        <w:tabs>
          <w:tab w:val="left" w:pos="2160"/>
        </w:tabs>
        <w:ind w:left="2160" w:hanging="720"/>
      </w:pPr>
      <w:rPr>
        <w:rFonts w:ascii="Times New Roman" w:hAnsi="Times New Roman"/>
        <w:b w:val="0"/>
        <w:i w:val="0"/>
        <w:sz w:val="22"/>
      </w:rPr>
    </w:lvl>
    <w:lvl w:ilvl="6" w:tentative="0">
      <w:start w:val="1"/>
      <w:numFmt w:val="upperLetter"/>
      <w:lvlText w:val="(%7)"/>
      <w:lvlJc w:val="left"/>
      <w:pPr>
        <w:tabs>
          <w:tab w:val="left" w:pos="2160"/>
        </w:tabs>
        <w:ind w:left="2160" w:hanging="720"/>
      </w:pPr>
    </w:lvl>
    <w:lvl w:ilvl="7" w:tentative="0">
      <w:start w:val="1"/>
      <w:numFmt w:val="decimal"/>
      <w:lvlText w:val="(%8)"/>
      <w:lvlJc w:val="left"/>
      <w:pPr>
        <w:tabs>
          <w:tab w:val="left" w:pos="1440"/>
        </w:tabs>
        <w:ind w:left="1440" w:hanging="720"/>
      </w:pPr>
      <w:rPr>
        <w:rFonts w:ascii="Times New Roman" w:hAnsi="Times New Roman"/>
        <w:b w:val="0"/>
        <w:i w:val="0"/>
        <w:sz w:val="22"/>
      </w:rPr>
    </w:lvl>
    <w:lvl w:ilvl="8" w:tentative="0">
      <w:start w:val="1"/>
      <w:numFmt w:val="decimal"/>
      <w:lvlText w:val="(%9)"/>
      <w:lvlJc w:val="left"/>
      <w:pPr>
        <w:tabs>
          <w:tab w:val="left" w:pos="2160"/>
        </w:tabs>
        <w:ind w:left="2160" w:hanging="720"/>
      </w:pPr>
      <w:rPr>
        <w:rFonts w:ascii="Times New Roman" w:hAnsi="Times New Roman"/>
        <w:b w:val="0"/>
        <w:i w:val="0"/>
        <w:sz w:val="22"/>
      </w:rPr>
    </w:lvl>
  </w:abstractNum>
  <w:abstractNum w:abstractNumId="28">
    <w:nsid w:val="6F8D3D7A"/>
    <w:multiLevelType w:val="singleLevel"/>
    <w:tmpl w:val="6F8D3D7A"/>
    <w:lvl w:ilvl="0" w:tentative="0">
      <w:start w:val="1"/>
      <w:numFmt w:val="bullet"/>
      <w:pStyle w:val="126"/>
      <w:lvlText w:val=""/>
      <w:lvlJc w:val="left"/>
      <w:pPr>
        <w:tabs>
          <w:tab w:val="left" w:pos="720"/>
        </w:tabs>
        <w:ind w:left="720" w:hanging="720"/>
      </w:pPr>
      <w:rPr>
        <w:rFonts w:hint="default" w:ascii="Symbol" w:hAnsi="Symbol"/>
      </w:rPr>
    </w:lvl>
  </w:abstractNum>
  <w:abstractNum w:abstractNumId="29">
    <w:nsid w:val="761544F7"/>
    <w:multiLevelType w:val="multilevel"/>
    <w:tmpl w:val="761544F7"/>
    <w:lvl w:ilvl="0" w:tentative="0">
      <w:start w:val="1"/>
      <w:numFmt w:val="decimal"/>
      <w:pStyle w:val="109"/>
      <w:lvlText w:val="%1."/>
      <w:lvlJc w:val="left"/>
      <w:pPr>
        <w:tabs>
          <w:tab w:val="left" w:pos="720"/>
        </w:tabs>
        <w:ind w:left="720" w:hanging="720"/>
      </w:pPr>
    </w:lvl>
    <w:lvl w:ilvl="1" w:tentative="0">
      <w:start w:val="1"/>
      <w:numFmt w:val="decimal"/>
      <w:pStyle w:val="110"/>
      <w:lvlText w:val="%1.%2"/>
      <w:lvlJc w:val="left"/>
      <w:pPr>
        <w:tabs>
          <w:tab w:val="left" w:pos="720"/>
        </w:tabs>
        <w:ind w:left="720" w:hanging="720"/>
      </w:pPr>
    </w:lvl>
    <w:lvl w:ilvl="2" w:tentative="0">
      <w:start w:val="1"/>
      <w:numFmt w:val="lowerLetter"/>
      <w:pStyle w:val="111"/>
      <w:lvlText w:val="(%3)"/>
      <w:lvlJc w:val="left"/>
      <w:pPr>
        <w:tabs>
          <w:tab w:val="left" w:pos="720"/>
        </w:tabs>
        <w:ind w:left="720" w:hanging="720"/>
      </w:pPr>
    </w:lvl>
    <w:lvl w:ilvl="3" w:tentative="0">
      <w:start w:val="1"/>
      <w:numFmt w:val="lowerLetter"/>
      <w:lvlText w:val="(%4)"/>
      <w:lvlJc w:val="left"/>
      <w:pPr>
        <w:tabs>
          <w:tab w:val="left" w:pos="1440"/>
        </w:tabs>
        <w:ind w:left="1440" w:hanging="720"/>
      </w:pPr>
    </w:lvl>
    <w:lvl w:ilvl="4" w:tentative="0">
      <w:start w:val="1"/>
      <w:numFmt w:val="lowerRoman"/>
      <w:lvlText w:val="(%5)"/>
      <w:lvlJc w:val="left"/>
      <w:pPr>
        <w:tabs>
          <w:tab w:val="left" w:pos="1440"/>
        </w:tabs>
        <w:ind w:left="1440" w:hanging="720"/>
      </w:pPr>
    </w:lvl>
    <w:lvl w:ilvl="5" w:tentative="0">
      <w:start w:val="1"/>
      <w:numFmt w:val="lowerRoman"/>
      <w:lvlText w:val="(%6)"/>
      <w:lvlJc w:val="left"/>
      <w:pPr>
        <w:tabs>
          <w:tab w:val="left" w:pos="2160"/>
        </w:tabs>
        <w:ind w:left="2160" w:hanging="720"/>
      </w:pPr>
    </w:lvl>
    <w:lvl w:ilvl="6" w:tentative="0">
      <w:start w:val="1"/>
      <w:numFmt w:val="upperLetter"/>
      <w:lvlText w:val="(%7)"/>
      <w:lvlJc w:val="left"/>
      <w:pPr>
        <w:tabs>
          <w:tab w:val="left" w:pos="2160"/>
        </w:tabs>
        <w:ind w:left="2160" w:hanging="720"/>
      </w:pPr>
    </w:lvl>
    <w:lvl w:ilvl="7" w:tentative="0">
      <w:start w:val="1"/>
      <w:numFmt w:val="upperLetter"/>
      <w:lvlText w:val="(%8)"/>
      <w:lvlJc w:val="left"/>
      <w:pPr>
        <w:tabs>
          <w:tab w:val="left" w:pos="2880"/>
        </w:tabs>
        <w:ind w:left="2880" w:hanging="720"/>
      </w:pPr>
    </w:lvl>
    <w:lvl w:ilvl="8" w:tentative="0">
      <w:start w:val="1"/>
      <w:numFmt w:val="upperRoman"/>
      <w:lvlText w:val="%9."/>
      <w:lvlJc w:val="left"/>
      <w:pPr>
        <w:tabs>
          <w:tab w:val="left" w:pos="3600"/>
        </w:tabs>
        <w:ind w:left="3600" w:hanging="720"/>
      </w:pPr>
    </w:lvl>
  </w:abstractNum>
  <w:num w:numId="1">
    <w:abstractNumId w:val="26"/>
  </w:num>
  <w:num w:numId="2">
    <w:abstractNumId w:val="6"/>
  </w:num>
  <w:num w:numId="3">
    <w:abstractNumId w:val="11"/>
  </w:num>
  <w:num w:numId="4">
    <w:abstractNumId w:val="5"/>
    <w:lvlOverride w:ilvl="0">
      <w:startOverride w:val="2"/>
    </w:lvlOverride>
  </w:num>
  <w:num w:numId="5">
    <w:abstractNumId w:val="14"/>
    <w:lvlOverride w:ilvl="0">
      <w:startOverride w:val="1"/>
    </w:lvlOverride>
  </w:num>
  <w:num w:numId="6">
    <w:abstractNumId w:val="17"/>
  </w:num>
  <w:num w:numId="7">
    <w:abstractNumId w:val="10"/>
  </w:num>
  <w:num w:numId="8">
    <w:abstractNumId w:val="27"/>
  </w:num>
  <w:num w:numId="9">
    <w:abstractNumId w:val="20"/>
  </w:num>
  <w:num w:numId="10">
    <w:abstractNumId w:val="24"/>
  </w:num>
  <w:num w:numId="11">
    <w:abstractNumId w:val="19"/>
  </w:num>
  <w:num w:numId="12">
    <w:abstractNumId w:val="4"/>
  </w:num>
  <w:num w:numId="13">
    <w:abstractNumId w:val="13"/>
  </w:num>
  <w:num w:numId="14">
    <w:abstractNumId w:val="29"/>
  </w:num>
  <w:num w:numId="15">
    <w:abstractNumId w:val="15"/>
  </w:num>
  <w:num w:numId="16">
    <w:abstractNumId w:val="18"/>
  </w:num>
  <w:num w:numId="17">
    <w:abstractNumId w:val="21"/>
  </w:num>
  <w:num w:numId="18">
    <w:abstractNumId w:val="7"/>
  </w:num>
  <w:num w:numId="19">
    <w:abstractNumId w:val="9"/>
  </w:num>
  <w:num w:numId="20">
    <w:abstractNumId w:val="28"/>
  </w:num>
  <w:num w:numId="21">
    <w:abstractNumId w:val="16"/>
  </w:num>
  <w:num w:numId="22">
    <w:abstractNumId w:val="8"/>
  </w:num>
  <w:num w:numId="23">
    <w:abstractNumId w:val="3"/>
  </w:num>
  <w:num w:numId="24">
    <w:abstractNumId w:val="22"/>
  </w:num>
  <w:num w:numId="25">
    <w:abstractNumId w:val="2"/>
  </w:num>
  <w:num w:numId="26">
    <w:abstractNumId w:val="12"/>
  </w:num>
  <w:num w:numId="27">
    <w:abstractNumId w:val="1"/>
  </w:num>
  <w:num w:numId="28">
    <w:abstractNumId w:val="23"/>
  </w:num>
  <w:num w:numId="29">
    <w:abstractNumId w:val="25"/>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hideSpellingErrors/>
  <w:doNotTrackFormatting/>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zNGMzZjdmYTI3YjU0Y2FjMTg0OWYzNTQ2YzdhOTUifQ=="/>
  </w:docVars>
  <w:rsids>
    <w:rsidRoot w:val="00F52293"/>
    <w:rsid w:val="00002056"/>
    <w:rsid w:val="0005106A"/>
    <w:rsid w:val="001773D2"/>
    <w:rsid w:val="00181CC4"/>
    <w:rsid w:val="00250220"/>
    <w:rsid w:val="00282E86"/>
    <w:rsid w:val="002D4732"/>
    <w:rsid w:val="002F3973"/>
    <w:rsid w:val="003E42AF"/>
    <w:rsid w:val="00590012"/>
    <w:rsid w:val="00622D94"/>
    <w:rsid w:val="00681FF6"/>
    <w:rsid w:val="006F2A71"/>
    <w:rsid w:val="00761386"/>
    <w:rsid w:val="00784382"/>
    <w:rsid w:val="007B4B7B"/>
    <w:rsid w:val="007D7F45"/>
    <w:rsid w:val="00813F8B"/>
    <w:rsid w:val="00864A7D"/>
    <w:rsid w:val="008A3CEF"/>
    <w:rsid w:val="009A58D8"/>
    <w:rsid w:val="00A14C8C"/>
    <w:rsid w:val="00A97C2B"/>
    <w:rsid w:val="00AC7114"/>
    <w:rsid w:val="00C82763"/>
    <w:rsid w:val="00CA4E67"/>
    <w:rsid w:val="00CD5C56"/>
    <w:rsid w:val="00D002C2"/>
    <w:rsid w:val="00D50461"/>
    <w:rsid w:val="00DB5BA2"/>
    <w:rsid w:val="00E555BB"/>
    <w:rsid w:val="00E73ED6"/>
    <w:rsid w:val="00F52293"/>
    <w:rsid w:val="00F84BBB"/>
    <w:rsid w:val="00FA3093"/>
    <w:rsid w:val="00FD79C9"/>
    <w:rsid w:val="04806DDD"/>
    <w:rsid w:val="04BD63C8"/>
    <w:rsid w:val="06966FE4"/>
    <w:rsid w:val="08041E19"/>
    <w:rsid w:val="08EE58DE"/>
    <w:rsid w:val="09707FFA"/>
    <w:rsid w:val="0ACB7910"/>
    <w:rsid w:val="0E291759"/>
    <w:rsid w:val="141340F8"/>
    <w:rsid w:val="146177FD"/>
    <w:rsid w:val="14C01B79"/>
    <w:rsid w:val="15B52BA2"/>
    <w:rsid w:val="16FB32E2"/>
    <w:rsid w:val="1797251C"/>
    <w:rsid w:val="1AC75EFD"/>
    <w:rsid w:val="1CC1153B"/>
    <w:rsid w:val="1CC142ED"/>
    <w:rsid w:val="1CFF1971"/>
    <w:rsid w:val="245C3AAA"/>
    <w:rsid w:val="266A44DA"/>
    <w:rsid w:val="28C201B3"/>
    <w:rsid w:val="29706C83"/>
    <w:rsid w:val="2DCB6C0F"/>
    <w:rsid w:val="2E022C65"/>
    <w:rsid w:val="303D137E"/>
    <w:rsid w:val="306774AB"/>
    <w:rsid w:val="324D5E95"/>
    <w:rsid w:val="33A06EEA"/>
    <w:rsid w:val="3BE57641"/>
    <w:rsid w:val="3C9F4396"/>
    <w:rsid w:val="3DD812F1"/>
    <w:rsid w:val="417B2974"/>
    <w:rsid w:val="42E11524"/>
    <w:rsid w:val="459116F7"/>
    <w:rsid w:val="47524EAF"/>
    <w:rsid w:val="49061F5C"/>
    <w:rsid w:val="496B7702"/>
    <w:rsid w:val="4C5D58B0"/>
    <w:rsid w:val="4D0E2FCE"/>
    <w:rsid w:val="4E0974F6"/>
    <w:rsid w:val="50547CA8"/>
    <w:rsid w:val="56727E3F"/>
    <w:rsid w:val="57DD0A58"/>
    <w:rsid w:val="580C234A"/>
    <w:rsid w:val="58212A9A"/>
    <w:rsid w:val="5BFB4BD9"/>
    <w:rsid w:val="5E83071A"/>
    <w:rsid w:val="60B644FD"/>
    <w:rsid w:val="61F132C8"/>
    <w:rsid w:val="62BA0B7B"/>
    <w:rsid w:val="64BB2763"/>
    <w:rsid w:val="67504281"/>
    <w:rsid w:val="69033803"/>
    <w:rsid w:val="6961458B"/>
    <w:rsid w:val="6B663041"/>
    <w:rsid w:val="723447A0"/>
    <w:rsid w:val="72764DA8"/>
    <w:rsid w:val="734941D2"/>
    <w:rsid w:val="748D7AAA"/>
    <w:rsid w:val="78E6140A"/>
    <w:rsid w:val="79EB624E"/>
    <w:rsid w:val="7A227438"/>
    <w:rsid w:val="7C22617C"/>
    <w:rsid w:val="7C8C4263"/>
    <w:rsid w:val="7EC230AB"/>
    <w:rsid w:val="7F312AA1"/>
    <w:rsid w:val="7F6C55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0" w:name="envelope address"/>
    <w:lsdException w:uiPriority="0" w:name="envelope return"/>
    <w:lsdException w:uiPriority="0" w:name="footnote reference"/>
    <w:lsdException w:qFormat="1" w:uiPriority="0" w:semiHidden="0" w:name="annotation reference"/>
    <w:lsdException w:uiPriority="99" w:name="line number"/>
    <w:lsdException w:uiPriority="0" w:name="page number"/>
    <w:lsdException w:uiPriority="99" w:name="endnote reference"/>
    <w:lsdException w:qFormat="1" w:unhideWhenUsed="0" w:uiPriority="0" w:semiHidden="0" w:name="endnote text"/>
    <w:lsdException w:uiPriority="0" w:name="table of authorities"/>
    <w:lsdException w:uiPriority="99" w:name="macro"/>
    <w:lsdException w:uiPriority="0" w:name="toa heading"/>
    <w:lsdException w:qFormat="1" w:unhideWhenUsed="0" w:uiPriority="0" w:semiHidden="0"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1"/>
    <w:qFormat/>
    <w:uiPriority w:val="0"/>
    <w:pPr>
      <w:keepNext/>
      <w:keepLines/>
      <w:numPr>
        <w:ilvl w:val="0"/>
        <w:numId w:val="1"/>
      </w:numPr>
      <w:spacing w:before="340" w:after="330" w:line="576" w:lineRule="auto"/>
      <w:outlineLvl w:val="0"/>
    </w:pPr>
    <w:rPr>
      <w:b/>
      <w:bCs/>
      <w:kern w:val="44"/>
      <w:sz w:val="44"/>
      <w:szCs w:val="44"/>
    </w:rPr>
  </w:style>
  <w:style w:type="paragraph" w:styleId="3">
    <w:name w:val="heading 2"/>
    <w:basedOn w:val="1"/>
    <w:next w:val="1"/>
    <w:link w:val="52"/>
    <w:qFormat/>
    <w:uiPriority w:val="0"/>
    <w:pPr>
      <w:keepNext/>
      <w:keepLines/>
      <w:numPr>
        <w:ilvl w:val="1"/>
        <w:numId w:val="1"/>
      </w:numPr>
      <w:spacing w:before="260" w:after="260" w:line="415" w:lineRule="auto"/>
      <w:outlineLvl w:val="1"/>
    </w:pPr>
    <w:rPr>
      <w:rFonts w:ascii="Arial" w:hAnsi="Arial" w:eastAsia="黑体"/>
      <w:b/>
      <w:bCs/>
      <w:sz w:val="32"/>
      <w:szCs w:val="32"/>
    </w:rPr>
  </w:style>
  <w:style w:type="paragraph" w:styleId="4">
    <w:name w:val="heading 3"/>
    <w:basedOn w:val="1"/>
    <w:next w:val="1"/>
    <w:link w:val="53"/>
    <w:qFormat/>
    <w:uiPriority w:val="0"/>
    <w:pPr>
      <w:keepNext/>
      <w:keepLines/>
      <w:numPr>
        <w:ilvl w:val="2"/>
        <w:numId w:val="1"/>
      </w:numPr>
      <w:spacing w:before="260" w:after="260" w:line="415" w:lineRule="auto"/>
      <w:outlineLvl w:val="2"/>
    </w:pPr>
    <w:rPr>
      <w:b/>
      <w:bCs/>
      <w:sz w:val="32"/>
      <w:szCs w:val="32"/>
    </w:rPr>
  </w:style>
  <w:style w:type="paragraph" w:styleId="5">
    <w:name w:val="heading 4"/>
    <w:basedOn w:val="1"/>
    <w:next w:val="1"/>
    <w:link w:val="54"/>
    <w:qFormat/>
    <w:uiPriority w:val="0"/>
    <w:pPr>
      <w:keepNext/>
      <w:keepLines/>
      <w:numPr>
        <w:ilvl w:val="3"/>
        <w:numId w:val="1"/>
      </w:numPr>
      <w:autoSpaceDE w:val="0"/>
      <w:autoSpaceDN w:val="0"/>
      <w:adjustRightInd w:val="0"/>
      <w:spacing w:before="280" w:after="290" w:line="374" w:lineRule="auto"/>
      <w:outlineLvl w:val="3"/>
    </w:pPr>
    <w:rPr>
      <w:rFonts w:ascii="Arial" w:hAnsi="Arial" w:eastAsia="黑体"/>
      <w:b/>
      <w:kern w:val="0"/>
      <w:sz w:val="28"/>
      <w:szCs w:val="20"/>
    </w:rPr>
  </w:style>
  <w:style w:type="paragraph" w:styleId="6">
    <w:name w:val="heading 5"/>
    <w:basedOn w:val="1"/>
    <w:next w:val="1"/>
    <w:link w:val="55"/>
    <w:qFormat/>
    <w:uiPriority w:val="0"/>
    <w:pPr>
      <w:keepNext/>
      <w:keepLines/>
      <w:numPr>
        <w:ilvl w:val="4"/>
        <w:numId w:val="1"/>
      </w:numPr>
      <w:autoSpaceDE w:val="0"/>
      <w:autoSpaceDN w:val="0"/>
      <w:adjustRightInd w:val="0"/>
      <w:spacing w:before="280" w:after="290" w:line="374" w:lineRule="auto"/>
      <w:outlineLvl w:val="4"/>
    </w:pPr>
    <w:rPr>
      <w:rFonts w:hint="eastAsia" w:ascii="宋体"/>
      <w:b/>
      <w:kern w:val="0"/>
      <w:sz w:val="28"/>
      <w:szCs w:val="20"/>
    </w:rPr>
  </w:style>
  <w:style w:type="paragraph" w:styleId="7">
    <w:name w:val="heading 6"/>
    <w:basedOn w:val="1"/>
    <w:next w:val="1"/>
    <w:link w:val="56"/>
    <w:qFormat/>
    <w:uiPriority w:val="0"/>
    <w:pPr>
      <w:keepNext/>
      <w:keepLines/>
      <w:numPr>
        <w:ilvl w:val="5"/>
        <w:numId w:val="1"/>
      </w:numPr>
      <w:autoSpaceDE w:val="0"/>
      <w:autoSpaceDN w:val="0"/>
      <w:adjustRightInd w:val="0"/>
      <w:spacing w:before="240" w:after="64" w:line="319" w:lineRule="auto"/>
      <w:outlineLvl w:val="5"/>
    </w:pPr>
    <w:rPr>
      <w:rFonts w:ascii="Arial" w:hAnsi="Arial" w:eastAsia="黑体"/>
      <w:b/>
      <w:kern w:val="0"/>
      <w:sz w:val="24"/>
      <w:szCs w:val="20"/>
    </w:rPr>
  </w:style>
  <w:style w:type="paragraph" w:styleId="8">
    <w:name w:val="heading 7"/>
    <w:basedOn w:val="1"/>
    <w:next w:val="1"/>
    <w:link w:val="57"/>
    <w:qFormat/>
    <w:uiPriority w:val="0"/>
    <w:pPr>
      <w:keepNext/>
      <w:keepLines/>
      <w:numPr>
        <w:ilvl w:val="6"/>
        <w:numId w:val="1"/>
      </w:numPr>
      <w:autoSpaceDE w:val="0"/>
      <w:autoSpaceDN w:val="0"/>
      <w:adjustRightInd w:val="0"/>
      <w:spacing w:before="240" w:after="64" w:line="319" w:lineRule="auto"/>
      <w:outlineLvl w:val="6"/>
    </w:pPr>
    <w:rPr>
      <w:rFonts w:hint="eastAsia" w:ascii="宋体"/>
      <w:b/>
      <w:kern w:val="0"/>
      <w:sz w:val="24"/>
      <w:szCs w:val="20"/>
    </w:rPr>
  </w:style>
  <w:style w:type="paragraph" w:styleId="9">
    <w:name w:val="heading 8"/>
    <w:basedOn w:val="1"/>
    <w:next w:val="1"/>
    <w:link w:val="58"/>
    <w:qFormat/>
    <w:uiPriority w:val="0"/>
    <w:pPr>
      <w:keepNext/>
      <w:keepLines/>
      <w:numPr>
        <w:ilvl w:val="7"/>
        <w:numId w:val="1"/>
      </w:numPr>
      <w:autoSpaceDE w:val="0"/>
      <w:autoSpaceDN w:val="0"/>
      <w:adjustRightInd w:val="0"/>
      <w:spacing w:before="240" w:after="64" w:line="319" w:lineRule="auto"/>
      <w:outlineLvl w:val="7"/>
    </w:pPr>
    <w:rPr>
      <w:rFonts w:ascii="Arial" w:hAnsi="Arial" w:eastAsia="黑体"/>
      <w:kern w:val="0"/>
      <w:sz w:val="24"/>
      <w:szCs w:val="20"/>
    </w:rPr>
  </w:style>
  <w:style w:type="paragraph" w:styleId="10">
    <w:name w:val="heading 9"/>
    <w:basedOn w:val="1"/>
    <w:next w:val="1"/>
    <w:link w:val="59"/>
    <w:qFormat/>
    <w:uiPriority w:val="0"/>
    <w:pPr>
      <w:keepNext/>
      <w:keepLines/>
      <w:numPr>
        <w:ilvl w:val="8"/>
        <w:numId w:val="1"/>
      </w:numPr>
      <w:autoSpaceDE w:val="0"/>
      <w:autoSpaceDN w:val="0"/>
      <w:adjustRightInd w:val="0"/>
      <w:spacing w:before="240" w:after="64" w:line="319" w:lineRule="auto"/>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E-mail Signature"/>
    <w:basedOn w:val="1"/>
    <w:link w:val="134"/>
    <w:qFormat/>
    <w:uiPriority w:val="0"/>
    <w:pPr>
      <w:widowControl/>
    </w:pPr>
    <w:rPr>
      <w:kern w:val="0"/>
      <w:szCs w:val="21"/>
    </w:rPr>
  </w:style>
  <w:style w:type="paragraph" w:styleId="12">
    <w:name w:val="List Number"/>
    <w:basedOn w:val="13"/>
    <w:qFormat/>
    <w:uiPriority w:val="0"/>
    <w:pPr>
      <w:numPr>
        <w:ilvl w:val="0"/>
        <w:numId w:val="2"/>
      </w:numPr>
      <w:ind w:right="720"/>
    </w:pPr>
  </w:style>
  <w:style w:type="paragraph" w:styleId="13">
    <w:name w:val="List"/>
    <w:basedOn w:val="14"/>
    <w:qFormat/>
    <w:uiPriority w:val="0"/>
    <w:pPr>
      <w:widowControl/>
      <w:spacing w:after="240" w:line="240" w:lineRule="atLeast"/>
      <w:ind w:left="720" w:hanging="360"/>
      <w:jc w:val="left"/>
    </w:pPr>
    <w:rPr>
      <w:rFonts w:eastAsia="PMingLiU"/>
      <w:kern w:val="0"/>
      <w:szCs w:val="20"/>
      <w:lang w:eastAsia="en-US"/>
    </w:rPr>
  </w:style>
  <w:style w:type="paragraph" w:styleId="14">
    <w:name w:val="Body Text"/>
    <w:basedOn w:val="1"/>
    <w:link w:val="66"/>
    <w:qFormat/>
    <w:uiPriority w:val="0"/>
    <w:pPr>
      <w:spacing w:line="360" w:lineRule="auto"/>
    </w:pPr>
    <w:rPr>
      <w:sz w:val="24"/>
    </w:rPr>
  </w:style>
  <w:style w:type="paragraph" w:styleId="15">
    <w:name w:val="Normal Indent"/>
    <w:basedOn w:val="1"/>
    <w:qFormat/>
    <w:uiPriority w:val="0"/>
    <w:pPr>
      <w:ind w:firstLine="420"/>
    </w:pPr>
    <w:rPr>
      <w:szCs w:val="20"/>
    </w:rPr>
  </w:style>
  <w:style w:type="paragraph" w:styleId="16">
    <w:name w:val="caption"/>
    <w:basedOn w:val="1"/>
    <w:next w:val="1"/>
    <w:qFormat/>
    <w:uiPriority w:val="0"/>
    <w:pPr>
      <w:adjustRightInd w:val="0"/>
      <w:spacing w:before="152" w:after="160" w:line="360" w:lineRule="auto"/>
      <w:ind w:firstLine="567" w:firstLineChars="200"/>
    </w:pPr>
    <w:rPr>
      <w:rFonts w:ascii="Arial" w:hAnsi="Arial" w:eastAsia="黑体"/>
      <w:sz w:val="24"/>
      <w:szCs w:val="20"/>
    </w:rPr>
  </w:style>
  <w:style w:type="paragraph" w:styleId="17">
    <w:name w:val="List Bullet"/>
    <w:basedOn w:val="13"/>
    <w:qFormat/>
    <w:uiPriority w:val="0"/>
    <w:pPr>
      <w:numPr>
        <w:ilvl w:val="0"/>
        <w:numId w:val="3"/>
      </w:numPr>
      <w:ind w:right="720"/>
    </w:pPr>
  </w:style>
  <w:style w:type="paragraph" w:styleId="18">
    <w:name w:val="Document Map"/>
    <w:basedOn w:val="1"/>
    <w:link w:val="73"/>
    <w:qFormat/>
    <w:uiPriority w:val="0"/>
    <w:pPr>
      <w:shd w:val="clear" w:color="auto" w:fill="000080"/>
    </w:pPr>
  </w:style>
  <w:style w:type="paragraph" w:styleId="19">
    <w:name w:val="annotation text"/>
    <w:basedOn w:val="1"/>
    <w:link w:val="62"/>
    <w:qFormat/>
    <w:uiPriority w:val="99"/>
    <w:pPr>
      <w:jc w:val="left"/>
    </w:pPr>
    <w:rPr>
      <w:sz w:val="24"/>
      <w:szCs w:val="20"/>
    </w:rPr>
  </w:style>
  <w:style w:type="paragraph" w:styleId="20">
    <w:name w:val="Salutation"/>
    <w:basedOn w:val="1"/>
    <w:next w:val="1"/>
    <w:link w:val="153"/>
    <w:qFormat/>
    <w:uiPriority w:val="0"/>
  </w:style>
  <w:style w:type="paragraph" w:styleId="21">
    <w:name w:val="Body Text 3"/>
    <w:basedOn w:val="1"/>
    <w:link w:val="70"/>
    <w:qFormat/>
    <w:uiPriority w:val="0"/>
    <w:pPr>
      <w:autoSpaceDE w:val="0"/>
      <w:autoSpaceDN w:val="0"/>
      <w:adjustRightInd w:val="0"/>
      <w:spacing w:after="120" w:line="360" w:lineRule="auto"/>
    </w:pPr>
    <w:rPr>
      <w:kern w:val="0"/>
      <w:sz w:val="24"/>
      <w:szCs w:val="20"/>
      <w:u w:val="single"/>
    </w:rPr>
  </w:style>
  <w:style w:type="paragraph" w:styleId="22">
    <w:name w:val="Body Text Indent"/>
    <w:basedOn w:val="1"/>
    <w:link w:val="67"/>
    <w:qFormat/>
    <w:uiPriority w:val="0"/>
    <w:pPr>
      <w:autoSpaceDE w:val="0"/>
      <w:autoSpaceDN w:val="0"/>
      <w:adjustRightInd w:val="0"/>
      <w:spacing w:after="120" w:line="440" w:lineRule="atLeast"/>
      <w:ind w:firstLine="539"/>
    </w:pPr>
    <w:rPr>
      <w:rFonts w:hint="eastAsia" w:ascii="宋体"/>
      <w:kern w:val="0"/>
      <w:sz w:val="24"/>
      <w:szCs w:val="20"/>
    </w:rPr>
  </w:style>
  <w:style w:type="paragraph" w:styleId="23">
    <w:name w:val="toc 3"/>
    <w:basedOn w:val="1"/>
    <w:next w:val="1"/>
    <w:qFormat/>
    <w:uiPriority w:val="39"/>
    <w:pPr>
      <w:ind w:left="420"/>
      <w:jc w:val="left"/>
    </w:pPr>
    <w:rPr>
      <w:szCs w:val="21"/>
    </w:rPr>
  </w:style>
  <w:style w:type="paragraph" w:styleId="24">
    <w:name w:val="Plain Text"/>
    <w:basedOn w:val="1"/>
    <w:link w:val="74"/>
    <w:qFormat/>
    <w:uiPriority w:val="0"/>
    <w:rPr>
      <w:rFonts w:hint="eastAsia" w:ascii="宋体" w:hAnsi="Courier New"/>
      <w:szCs w:val="20"/>
    </w:rPr>
  </w:style>
  <w:style w:type="paragraph" w:styleId="25">
    <w:name w:val="Date"/>
    <w:basedOn w:val="1"/>
    <w:next w:val="1"/>
    <w:link w:val="68"/>
    <w:qFormat/>
    <w:uiPriority w:val="0"/>
    <w:pPr>
      <w:ind w:left="2500" w:leftChars="2500"/>
    </w:pPr>
    <w:rPr>
      <w:rFonts w:hint="eastAsia" w:ascii="宋体" w:hAnsi="宋体" w:eastAsia="仿宋_GB2312"/>
      <w:sz w:val="28"/>
    </w:rPr>
  </w:style>
  <w:style w:type="paragraph" w:styleId="26">
    <w:name w:val="Body Text Indent 2"/>
    <w:basedOn w:val="1"/>
    <w:link w:val="71"/>
    <w:qFormat/>
    <w:uiPriority w:val="0"/>
    <w:pPr>
      <w:spacing w:line="360" w:lineRule="auto"/>
      <w:ind w:firstLine="560" w:firstLineChars="200"/>
    </w:pPr>
    <w:rPr>
      <w:rFonts w:eastAsia="仿宋_GB2312"/>
      <w:sz w:val="28"/>
    </w:rPr>
  </w:style>
  <w:style w:type="paragraph" w:styleId="27">
    <w:name w:val="endnote text"/>
    <w:basedOn w:val="28"/>
    <w:link w:val="129"/>
    <w:qFormat/>
    <w:uiPriority w:val="0"/>
    <w:pPr>
      <w:spacing w:line="240" w:lineRule="auto"/>
      <w:ind w:left="720" w:hanging="720"/>
    </w:pPr>
    <w:rPr>
      <w:sz w:val="16"/>
    </w:rPr>
  </w:style>
  <w:style w:type="paragraph" w:customStyle="1" w:styleId="28">
    <w:name w:val="AONormal"/>
    <w:qFormat/>
    <w:uiPriority w:val="0"/>
    <w:pPr>
      <w:spacing w:line="260" w:lineRule="atLeast"/>
    </w:pPr>
    <w:rPr>
      <w:rFonts w:ascii="Times New Roman" w:hAnsi="Times New Roman" w:eastAsia="宋体" w:cs="Times New Roman"/>
      <w:sz w:val="22"/>
      <w:szCs w:val="22"/>
      <w:lang w:val="en-GB" w:eastAsia="en-US" w:bidi="ar-SA"/>
    </w:rPr>
  </w:style>
  <w:style w:type="paragraph" w:styleId="29">
    <w:name w:val="Balloon Text"/>
    <w:basedOn w:val="1"/>
    <w:link w:val="76"/>
    <w:qFormat/>
    <w:uiPriority w:val="99"/>
    <w:rPr>
      <w:sz w:val="18"/>
      <w:szCs w:val="18"/>
    </w:rPr>
  </w:style>
  <w:style w:type="paragraph" w:styleId="30">
    <w:name w:val="footer"/>
    <w:basedOn w:val="1"/>
    <w:link w:val="64"/>
    <w:qFormat/>
    <w:uiPriority w:val="99"/>
    <w:pPr>
      <w:tabs>
        <w:tab w:val="center" w:pos="4153"/>
        <w:tab w:val="right" w:pos="8306"/>
      </w:tabs>
      <w:snapToGrid w:val="0"/>
      <w:jc w:val="left"/>
    </w:pPr>
    <w:rPr>
      <w:sz w:val="18"/>
      <w:szCs w:val="18"/>
    </w:rPr>
  </w:style>
  <w:style w:type="paragraph" w:styleId="31">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510"/>
        <w:tab w:val="left" w:pos="709"/>
        <w:tab w:val="right" w:leader="dot" w:pos="8296"/>
      </w:tabs>
      <w:spacing w:line="276" w:lineRule="auto"/>
      <w:ind w:firstLine="207" w:firstLineChars="98"/>
      <w:jc w:val="center"/>
    </w:pPr>
    <w:rPr>
      <w:rFonts w:ascii="宋体" w:hAnsi="宋体"/>
      <w:b/>
      <w:bCs/>
      <w:color w:val="000000"/>
    </w:rPr>
  </w:style>
  <w:style w:type="paragraph" w:styleId="33">
    <w:name w:val="Subtitle"/>
    <w:basedOn w:val="3"/>
    <w:next w:val="4"/>
    <w:link w:val="142"/>
    <w:qFormat/>
    <w:uiPriority w:val="0"/>
    <w:pPr>
      <w:numPr>
        <w:ilvl w:val="0"/>
        <w:numId w:val="0"/>
      </w:numPr>
      <w:spacing w:before="240" w:after="60" w:line="312" w:lineRule="auto"/>
      <w:jc w:val="left"/>
    </w:pPr>
    <w:rPr>
      <w:rFonts w:ascii="Cambria" w:hAnsi="Cambria" w:eastAsia="宋体"/>
      <w:bCs w:val="0"/>
      <w:kern w:val="28"/>
      <w:sz w:val="24"/>
    </w:rPr>
  </w:style>
  <w:style w:type="paragraph" w:styleId="34">
    <w:name w:val="footnote text"/>
    <w:basedOn w:val="1"/>
    <w:link w:val="61"/>
    <w:qFormat/>
    <w:uiPriority w:val="0"/>
    <w:pPr>
      <w:snapToGrid w:val="0"/>
      <w:jc w:val="left"/>
    </w:pPr>
    <w:rPr>
      <w:sz w:val="18"/>
      <w:szCs w:val="18"/>
    </w:rPr>
  </w:style>
  <w:style w:type="paragraph" w:styleId="35">
    <w:name w:val="Body Text Indent 3"/>
    <w:basedOn w:val="1"/>
    <w:link w:val="72"/>
    <w:qFormat/>
    <w:uiPriority w:val="0"/>
    <w:pPr>
      <w:spacing w:line="400" w:lineRule="atLeast"/>
      <w:ind w:firstLine="600"/>
    </w:pPr>
    <w:rPr>
      <w:rFonts w:hint="eastAsia" w:ascii="宋体"/>
      <w:sz w:val="28"/>
      <w:szCs w:val="20"/>
    </w:rPr>
  </w:style>
  <w:style w:type="paragraph" w:styleId="36">
    <w:name w:val="toc 2"/>
    <w:basedOn w:val="1"/>
    <w:next w:val="1"/>
    <w:qFormat/>
    <w:uiPriority w:val="39"/>
    <w:pPr>
      <w:tabs>
        <w:tab w:val="left" w:pos="840"/>
        <w:tab w:val="left" w:pos="1560"/>
        <w:tab w:val="right" w:leader="dot" w:pos="8296"/>
      </w:tabs>
      <w:spacing w:line="276" w:lineRule="auto"/>
      <w:ind w:left="210"/>
      <w:jc w:val="left"/>
    </w:pPr>
  </w:style>
  <w:style w:type="paragraph" w:styleId="37">
    <w:name w:val="Body Text 2"/>
    <w:basedOn w:val="1"/>
    <w:link w:val="69"/>
    <w:qFormat/>
    <w:uiPriority w:val="0"/>
    <w:rPr>
      <w:sz w:val="28"/>
      <w:szCs w:val="20"/>
    </w:rPr>
  </w:style>
  <w:style w:type="paragraph" w:styleId="38">
    <w:name w:val="HTML Preformatted"/>
    <w:basedOn w:val="1"/>
    <w:link w:val="13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s="Arial Unicode MS"/>
      <w:kern w:val="0"/>
      <w:sz w:val="20"/>
      <w:szCs w:val="20"/>
    </w:rPr>
  </w:style>
  <w:style w:type="paragraph" w:styleId="39">
    <w:name w:val="Normal (Web)"/>
    <w:basedOn w:val="1"/>
    <w:unhideWhenUsed/>
    <w:qFormat/>
    <w:uiPriority w:val="99"/>
    <w:pPr>
      <w:spacing w:before="100" w:beforeAutospacing="1" w:after="100" w:afterAutospacing="1"/>
    </w:pPr>
    <w:rPr>
      <w:rFonts w:ascii="宋体" w:hAnsi="宋体"/>
      <w:kern w:val="0"/>
      <w:sz w:val="24"/>
    </w:rPr>
  </w:style>
  <w:style w:type="paragraph" w:styleId="40">
    <w:name w:val="Title"/>
    <w:basedOn w:val="1"/>
    <w:link w:val="65"/>
    <w:qFormat/>
    <w:uiPriority w:val="0"/>
    <w:pPr>
      <w:spacing w:before="240" w:after="60" w:line="360" w:lineRule="auto"/>
      <w:ind w:firstLine="425"/>
      <w:jc w:val="center"/>
      <w:outlineLvl w:val="0"/>
    </w:pPr>
    <w:rPr>
      <w:rFonts w:ascii="Arial" w:hAnsi="Arial"/>
      <w:b/>
      <w:sz w:val="32"/>
      <w:szCs w:val="20"/>
    </w:rPr>
  </w:style>
  <w:style w:type="paragraph" w:styleId="41">
    <w:name w:val="annotation subject"/>
    <w:basedOn w:val="19"/>
    <w:next w:val="19"/>
    <w:link w:val="78"/>
    <w:qFormat/>
    <w:uiPriority w:val="0"/>
    <w:rPr>
      <w:b/>
      <w:bCs/>
      <w:sz w:val="21"/>
      <w:szCs w:val="24"/>
    </w:rPr>
  </w:style>
  <w:style w:type="paragraph" w:styleId="42">
    <w:name w:val="Body Text First Indent"/>
    <w:basedOn w:val="14"/>
    <w:link w:val="135"/>
    <w:qFormat/>
    <w:uiPriority w:val="0"/>
    <w:pPr>
      <w:spacing w:after="120" w:line="240" w:lineRule="auto"/>
      <w:ind w:firstLine="420" w:firstLineChars="100"/>
    </w:pPr>
  </w:style>
  <w:style w:type="table" w:styleId="44">
    <w:name w:val="Table Grid"/>
    <w:basedOn w:val="43"/>
    <w:qFormat/>
    <w:uiPriority w:val="5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22"/>
    <w:rPr>
      <w:b/>
      <w:bCs/>
    </w:rPr>
  </w:style>
  <w:style w:type="character" w:styleId="47">
    <w:name w:val="FollowedHyperlink"/>
    <w:basedOn w:val="45"/>
    <w:semiHidden/>
    <w:unhideWhenUsed/>
    <w:qFormat/>
    <w:uiPriority w:val="0"/>
    <w:rPr>
      <w:color w:val="800080" w:themeColor="followedHyperlink"/>
      <w:u w:val="single"/>
      <w14:textFill>
        <w14:solidFill>
          <w14:schemeClr w14:val="folHlink"/>
        </w14:solidFill>
      </w14:textFill>
    </w:rPr>
  </w:style>
  <w:style w:type="character" w:styleId="48">
    <w:name w:val="Emphasis"/>
    <w:basedOn w:val="45"/>
    <w:qFormat/>
    <w:uiPriority w:val="0"/>
    <w:rPr>
      <w:i/>
      <w:iCs/>
    </w:rPr>
  </w:style>
  <w:style w:type="character" w:styleId="49">
    <w:name w:val="Hyperlink"/>
    <w:basedOn w:val="45"/>
    <w:unhideWhenUsed/>
    <w:qFormat/>
    <w:uiPriority w:val="99"/>
    <w:rPr>
      <w:color w:val="0000FF"/>
      <w:u w:val="single"/>
    </w:rPr>
  </w:style>
  <w:style w:type="character" w:styleId="50">
    <w:name w:val="annotation reference"/>
    <w:basedOn w:val="45"/>
    <w:unhideWhenUsed/>
    <w:qFormat/>
    <w:uiPriority w:val="0"/>
    <w:rPr>
      <w:sz w:val="21"/>
      <w:szCs w:val="21"/>
    </w:rPr>
  </w:style>
  <w:style w:type="character" w:customStyle="1" w:styleId="51">
    <w:name w:val="标题 1 字符"/>
    <w:basedOn w:val="45"/>
    <w:link w:val="2"/>
    <w:qFormat/>
    <w:uiPriority w:val="0"/>
    <w:rPr>
      <w:rFonts w:ascii="Times New Roman" w:hAnsi="Times New Roman"/>
      <w:b/>
      <w:bCs/>
      <w:kern w:val="44"/>
      <w:sz w:val="44"/>
      <w:szCs w:val="44"/>
    </w:rPr>
  </w:style>
  <w:style w:type="character" w:customStyle="1" w:styleId="52">
    <w:name w:val="标题 2 字符"/>
    <w:basedOn w:val="45"/>
    <w:link w:val="3"/>
    <w:qFormat/>
    <w:uiPriority w:val="0"/>
    <w:rPr>
      <w:rFonts w:ascii="Arial" w:hAnsi="Arial" w:eastAsia="黑体"/>
      <w:b/>
      <w:bCs/>
      <w:kern w:val="2"/>
      <w:sz w:val="32"/>
      <w:szCs w:val="32"/>
    </w:rPr>
  </w:style>
  <w:style w:type="character" w:customStyle="1" w:styleId="53">
    <w:name w:val="标题 3 字符"/>
    <w:basedOn w:val="45"/>
    <w:link w:val="4"/>
    <w:qFormat/>
    <w:uiPriority w:val="0"/>
    <w:rPr>
      <w:rFonts w:ascii="Times New Roman" w:hAnsi="Times New Roman"/>
      <w:b/>
      <w:bCs/>
      <w:kern w:val="2"/>
      <w:sz w:val="32"/>
      <w:szCs w:val="32"/>
    </w:rPr>
  </w:style>
  <w:style w:type="character" w:customStyle="1" w:styleId="54">
    <w:name w:val="标题 4 字符"/>
    <w:basedOn w:val="45"/>
    <w:link w:val="5"/>
    <w:qFormat/>
    <w:uiPriority w:val="0"/>
    <w:rPr>
      <w:rFonts w:ascii="Arial" w:hAnsi="Arial" w:eastAsia="黑体"/>
      <w:b/>
      <w:sz w:val="28"/>
    </w:rPr>
  </w:style>
  <w:style w:type="character" w:customStyle="1" w:styleId="55">
    <w:name w:val="标题 5 字符"/>
    <w:basedOn w:val="45"/>
    <w:link w:val="6"/>
    <w:qFormat/>
    <w:uiPriority w:val="0"/>
    <w:rPr>
      <w:rFonts w:ascii="宋体" w:hAnsi="Times New Roman"/>
      <w:b/>
      <w:sz w:val="28"/>
    </w:rPr>
  </w:style>
  <w:style w:type="character" w:customStyle="1" w:styleId="56">
    <w:name w:val="标题 6 字符"/>
    <w:basedOn w:val="45"/>
    <w:link w:val="7"/>
    <w:qFormat/>
    <w:uiPriority w:val="0"/>
    <w:rPr>
      <w:rFonts w:ascii="Arial" w:hAnsi="Arial" w:eastAsia="黑体"/>
      <w:b/>
      <w:sz w:val="24"/>
    </w:rPr>
  </w:style>
  <w:style w:type="character" w:customStyle="1" w:styleId="57">
    <w:name w:val="标题 7 字符"/>
    <w:basedOn w:val="45"/>
    <w:link w:val="8"/>
    <w:qFormat/>
    <w:uiPriority w:val="0"/>
    <w:rPr>
      <w:rFonts w:ascii="宋体" w:hAnsi="Times New Roman"/>
      <w:b/>
      <w:sz w:val="24"/>
    </w:rPr>
  </w:style>
  <w:style w:type="character" w:customStyle="1" w:styleId="58">
    <w:name w:val="标题 8 字符"/>
    <w:basedOn w:val="45"/>
    <w:link w:val="9"/>
    <w:qFormat/>
    <w:uiPriority w:val="0"/>
    <w:rPr>
      <w:rFonts w:ascii="Arial" w:hAnsi="Arial" w:eastAsia="黑体"/>
      <w:sz w:val="24"/>
    </w:rPr>
  </w:style>
  <w:style w:type="character" w:customStyle="1" w:styleId="59">
    <w:name w:val="标题 9 字符"/>
    <w:basedOn w:val="45"/>
    <w:link w:val="10"/>
    <w:qFormat/>
    <w:uiPriority w:val="0"/>
    <w:rPr>
      <w:rFonts w:ascii="Arial" w:hAnsi="Arial" w:eastAsia="黑体"/>
      <w:sz w:val="21"/>
    </w:rPr>
  </w:style>
  <w:style w:type="paragraph" w:customStyle="1" w:styleId="60">
    <w:name w:val="默认段落字体 Para Char"/>
    <w:basedOn w:val="1"/>
    <w:qFormat/>
    <w:uiPriority w:val="0"/>
    <w:pPr>
      <w:numPr>
        <w:ilvl w:val="0"/>
        <w:numId w:val="4"/>
      </w:numPr>
      <w:tabs>
        <w:tab w:val="left" w:pos="360"/>
        <w:tab w:val="clear" w:pos="870"/>
      </w:tabs>
      <w:ind w:left="0" w:firstLine="0"/>
    </w:pPr>
    <w:rPr>
      <w:sz w:val="24"/>
    </w:rPr>
  </w:style>
  <w:style w:type="character" w:customStyle="1" w:styleId="61">
    <w:name w:val="脚注文本 字符"/>
    <w:basedOn w:val="45"/>
    <w:link w:val="34"/>
    <w:qFormat/>
    <w:uiPriority w:val="0"/>
    <w:rPr>
      <w:rFonts w:ascii="Times New Roman" w:hAnsi="Times New Roman" w:eastAsia="宋体" w:cs="Times New Roman"/>
      <w:sz w:val="18"/>
      <w:szCs w:val="18"/>
    </w:rPr>
  </w:style>
  <w:style w:type="character" w:customStyle="1" w:styleId="62">
    <w:name w:val="批注文字 字符"/>
    <w:basedOn w:val="45"/>
    <w:link w:val="19"/>
    <w:qFormat/>
    <w:uiPriority w:val="99"/>
    <w:rPr>
      <w:rFonts w:ascii="Times New Roman" w:hAnsi="Times New Roman" w:eastAsia="宋体" w:cs="Times New Roman"/>
      <w:sz w:val="24"/>
      <w:szCs w:val="20"/>
    </w:rPr>
  </w:style>
  <w:style w:type="character" w:customStyle="1" w:styleId="63">
    <w:name w:val="页眉 字符"/>
    <w:basedOn w:val="45"/>
    <w:link w:val="31"/>
    <w:qFormat/>
    <w:uiPriority w:val="0"/>
    <w:rPr>
      <w:rFonts w:ascii="Times New Roman" w:hAnsi="Times New Roman" w:eastAsia="宋体" w:cs="Times New Roman"/>
      <w:sz w:val="18"/>
      <w:szCs w:val="18"/>
    </w:rPr>
  </w:style>
  <w:style w:type="character" w:customStyle="1" w:styleId="64">
    <w:name w:val="页脚 字符"/>
    <w:basedOn w:val="45"/>
    <w:link w:val="30"/>
    <w:qFormat/>
    <w:uiPriority w:val="99"/>
    <w:rPr>
      <w:rFonts w:ascii="Times New Roman" w:hAnsi="Times New Roman" w:eastAsia="宋体" w:cs="Times New Roman"/>
      <w:sz w:val="18"/>
      <w:szCs w:val="18"/>
    </w:rPr>
  </w:style>
  <w:style w:type="character" w:customStyle="1" w:styleId="65">
    <w:name w:val="标题 字符"/>
    <w:basedOn w:val="45"/>
    <w:link w:val="40"/>
    <w:qFormat/>
    <w:uiPriority w:val="0"/>
    <w:rPr>
      <w:rFonts w:ascii="Arial" w:hAnsi="Arial" w:eastAsia="宋体" w:cs="Times New Roman"/>
      <w:b/>
      <w:sz w:val="32"/>
      <w:szCs w:val="20"/>
    </w:rPr>
  </w:style>
  <w:style w:type="character" w:customStyle="1" w:styleId="66">
    <w:name w:val="正文文本 字符"/>
    <w:basedOn w:val="45"/>
    <w:link w:val="14"/>
    <w:qFormat/>
    <w:uiPriority w:val="0"/>
    <w:rPr>
      <w:rFonts w:ascii="Times New Roman" w:hAnsi="Times New Roman" w:eastAsia="宋体" w:cs="Times New Roman"/>
      <w:sz w:val="24"/>
      <w:szCs w:val="24"/>
    </w:rPr>
  </w:style>
  <w:style w:type="character" w:customStyle="1" w:styleId="67">
    <w:name w:val="正文文本缩进 字符"/>
    <w:basedOn w:val="45"/>
    <w:link w:val="22"/>
    <w:qFormat/>
    <w:uiPriority w:val="0"/>
    <w:rPr>
      <w:rFonts w:ascii="宋体" w:hAnsi="Times New Roman" w:eastAsia="宋体" w:cs="Times New Roman"/>
      <w:kern w:val="0"/>
      <w:sz w:val="24"/>
      <w:szCs w:val="20"/>
    </w:rPr>
  </w:style>
  <w:style w:type="character" w:customStyle="1" w:styleId="68">
    <w:name w:val="日期 字符"/>
    <w:basedOn w:val="45"/>
    <w:link w:val="25"/>
    <w:qFormat/>
    <w:uiPriority w:val="0"/>
    <w:rPr>
      <w:rFonts w:ascii="宋体" w:hAnsi="宋体" w:eastAsia="仿宋_GB2312" w:cs="Times New Roman"/>
      <w:sz w:val="28"/>
      <w:szCs w:val="24"/>
    </w:rPr>
  </w:style>
  <w:style w:type="character" w:customStyle="1" w:styleId="69">
    <w:name w:val="正文文本 2 字符"/>
    <w:basedOn w:val="45"/>
    <w:link w:val="37"/>
    <w:qFormat/>
    <w:uiPriority w:val="0"/>
    <w:rPr>
      <w:rFonts w:ascii="Times New Roman" w:hAnsi="Times New Roman" w:eastAsia="宋体" w:cs="Times New Roman"/>
      <w:sz w:val="28"/>
      <w:szCs w:val="20"/>
    </w:rPr>
  </w:style>
  <w:style w:type="character" w:customStyle="1" w:styleId="70">
    <w:name w:val="正文文本 3 字符"/>
    <w:basedOn w:val="45"/>
    <w:link w:val="21"/>
    <w:qFormat/>
    <w:uiPriority w:val="0"/>
    <w:rPr>
      <w:rFonts w:ascii="Times New Roman" w:hAnsi="Times New Roman" w:eastAsia="宋体" w:cs="Times New Roman"/>
      <w:kern w:val="0"/>
      <w:sz w:val="24"/>
      <w:szCs w:val="20"/>
      <w:u w:val="single"/>
    </w:rPr>
  </w:style>
  <w:style w:type="character" w:customStyle="1" w:styleId="71">
    <w:name w:val="正文文本缩进 2 字符"/>
    <w:basedOn w:val="45"/>
    <w:link w:val="26"/>
    <w:qFormat/>
    <w:uiPriority w:val="0"/>
    <w:rPr>
      <w:rFonts w:ascii="Times New Roman" w:hAnsi="Times New Roman" w:eastAsia="仿宋_GB2312" w:cs="Times New Roman"/>
      <w:sz w:val="28"/>
      <w:szCs w:val="24"/>
    </w:rPr>
  </w:style>
  <w:style w:type="character" w:customStyle="1" w:styleId="72">
    <w:name w:val="正文文本缩进 3 字符"/>
    <w:basedOn w:val="45"/>
    <w:link w:val="35"/>
    <w:qFormat/>
    <w:uiPriority w:val="0"/>
    <w:rPr>
      <w:rFonts w:ascii="宋体" w:hAnsi="Times New Roman" w:eastAsia="宋体" w:cs="Times New Roman"/>
      <w:sz w:val="28"/>
      <w:szCs w:val="20"/>
    </w:rPr>
  </w:style>
  <w:style w:type="character" w:customStyle="1" w:styleId="73">
    <w:name w:val="文档结构图 字符"/>
    <w:basedOn w:val="45"/>
    <w:link w:val="18"/>
    <w:qFormat/>
    <w:uiPriority w:val="0"/>
    <w:rPr>
      <w:rFonts w:ascii="Times New Roman" w:hAnsi="Times New Roman" w:eastAsia="宋体" w:cs="Times New Roman"/>
      <w:szCs w:val="24"/>
      <w:shd w:val="clear" w:color="auto" w:fill="000080"/>
    </w:rPr>
  </w:style>
  <w:style w:type="character" w:customStyle="1" w:styleId="74">
    <w:name w:val="纯文本 字符"/>
    <w:basedOn w:val="45"/>
    <w:link w:val="24"/>
    <w:qFormat/>
    <w:uiPriority w:val="0"/>
    <w:rPr>
      <w:rFonts w:ascii="宋体" w:hAnsi="Courier New" w:eastAsia="宋体" w:cs="Times New Roman"/>
      <w:szCs w:val="20"/>
    </w:rPr>
  </w:style>
  <w:style w:type="paragraph" w:customStyle="1" w:styleId="75">
    <w:name w:val="列表2"/>
    <w:basedOn w:val="1"/>
    <w:next w:val="40"/>
    <w:qFormat/>
    <w:uiPriority w:val="0"/>
    <w:pPr>
      <w:numPr>
        <w:ilvl w:val="0"/>
        <w:numId w:val="5"/>
      </w:numPr>
      <w:spacing w:line="360" w:lineRule="auto"/>
    </w:pPr>
    <w:rPr>
      <w:szCs w:val="20"/>
    </w:rPr>
  </w:style>
  <w:style w:type="character" w:customStyle="1" w:styleId="76">
    <w:name w:val="批注框文本 字符"/>
    <w:basedOn w:val="45"/>
    <w:link w:val="29"/>
    <w:qFormat/>
    <w:uiPriority w:val="99"/>
    <w:rPr>
      <w:rFonts w:ascii="Times New Roman" w:hAnsi="Times New Roman" w:eastAsia="宋体" w:cs="Times New Roman"/>
      <w:sz w:val="18"/>
      <w:szCs w:val="18"/>
    </w:rPr>
  </w:style>
  <w:style w:type="paragraph" w:customStyle="1" w:styleId="77">
    <w:name w:val="列表3"/>
    <w:basedOn w:val="1"/>
    <w:qFormat/>
    <w:uiPriority w:val="0"/>
    <w:pPr>
      <w:spacing w:line="360" w:lineRule="auto"/>
    </w:pPr>
    <w:rPr>
      <w:rFonts w:hint="eastAsia" w:ascii="宋体"/>
      <w:szCs w:val="20"/>
    </w:rPr>
  </w:style>
  <w:style w:type="character" w:customStyle="1" w:styleId="78">
    <w:name w:val="批注主题 字符"/>
    <w:basedOn w:val="62"/>
    <w:link w:val="41"/>
    <w:qFormat/>
    <w:uiPriority w:val="0"/>
    <w:rPr>
      <w:rFonts w:ascii="Times New Roman" w:hAnsi="Times New Roman" w:eastAsia="宋体" w:cs="Times New Roman"/>
      <w:b/>
      <w:bCs/>
      <w:sz w:val="24"/>
      <w:szCs w:val="24"/>
    </w:rPr>
  </w:style>
  <w:style w:type="character" w:customStyle="1" w:styleId="79">
    <w:name w:val="read"/>
    <w:basedOn w:val="45"/>
    <w:qFormat/>
    <w:uiPriority w:val="0"/>
  </w:style>
  <w:style w:type="paragraph" w:customStyle="1" w:styleId="80">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81">
    <w:name w:val="AODocTxt"/>
    <w:basedOn w:val="82"/>
    <w:qFormat/>
    <w:uiPriority w:val="0"/>
    <w:pPr>
      <w:numPr>
        <w:ilvl w:val="0"/>
        <w:numId w:val="6"/>
      </w:numPr>
    </w:pPr>
  </w:style>
  <w:style w:type="paragraph" w:customStyle="1" w:styleId="82">
    <w:name w:val="AOBodyTxt"/>
    <w:basedOn w:val="28"/>
    <w:next w:val="81"/>
    <w:qFormat/>
    <w:uiPriority w:val="0"/>
    <w:pPr>
      <w:spacing w:before="240"/>
    </w:pPr>
  </w:style>
  <w:style w:type="paragraph" w:customStyle="1" w:styleId="83">
    <w:name w:val="AOBullet"/>
    <w:basedOn w:val="82"/>
    <w:qFormat/>
    <w:uiPriority w:val="0"/>
    <w:pPr>
      <w:numPr>
        <w:ilvl w:val="0"/>
        <w:numId w:val="7"/>
      </w:numPr>
      <w:tabs>
        <w:tab w:val="clear" w:pos="720"/>
      </w:tabs>
    </w:pPr>
  </w:style>
  <w:style w:type="paragraph" w:customStyle="1" w:styleId="84">
    <w:name w:val="AODefHead"/>
    <w:basedOn w:val="82"/>
    <w:next w:val="85"/>
    <w:qFormat/>
    <w:uiPriority w:val="0"/>
    <w:pPr>
      <w:numPr>
        <w:ilvl w:val="0"/>
        <w:numId w:val="8"/>
      </w:numPr>
      <w:outlineLvl w:val="5"/>
    </w:pPr>
  </w:style>
  <w:style w:type="paragraph" w:customStyle="1" w:styleId="85">
    <w:name w:val="AODefPara"/>
    <w:basedOn w:val="84"/>
    <w:qFormat/>
    <w:uiPriority w:val="0"/>
    <w:pPr>
      <w:numPr>
        <w:ilvl w:val="1"/>
      </w:numPr>
      <w:tabs>
        <w:tab w:val="left" w:pos="992"/>
      </w:tabs>
      <w:ind w:left="992" w:hanging="992"/>
      <w:outlineLvl w:val="6"/>
    </w:pPr>
  </w:style>
  <w:style w:type="paragraph" w:customStyle="1" w:styleId="86">
    <w:name w:val="AO(1)"/>
    <w:basedOn w:val="82"/>
    <w:next w:val="81"/>
    <w:qFormat/>
    <w:uiPriority w:val="0"/>
    <w:pPr>
      <w:numPr>
        <w:ilvl w:val="0"/>
        <w:numId w:val="9"/>
      </w:numPr>
      <w:tabs>
        <w:tab w:val="clear" w:pos="720"/>
      </w:tabs>
    </w:pPr>
  </w:style>
  <w:style w:type="paragraph" w:customStyle="1" w:styleId="87">
    <w:name w:val="AO(A)"/>
    <w:basedOn w:val="82"/>
    <w:next w:val="81"/>
    <w:qFormat/>
    <w:uiPriority w:val="0"/>
    <w:pPr>
      <w:numPr>
        <w:ilvl w:val="0"/>
        <w:numId w:val="10"/>
      </w:numPr>
      <w:tabs>
        <w:tab w:val="clear" w:pos="720"/>
      </w:tabs>
    </w:pPr>
  </w:style>
  <w:style w:type="paragraph" w:customStyle="1" w:styleId="88">
    <w:name w:val="AOAnxHead"/>
    <w:basedOn w:val="89"/>
    <w:next w:val="90"/>
    <w:qFormat/>
    <w:uiPriority w:val="0"/>
    <w:pPr>
      <w:pageBreakBefore/>
      <w:numPr>
        <w:ilvl w:val="0"/>
        <w:numId w:val="11"/>
      </w:numPr>
      <w:outlineLvl w:val="0"/>
    </w:pPr>
  </w:style>
  <w:style w:type="paragraph" w:customStyle="1" w:styleId="89">
    <w:name w:val="AOAttachments"/>
    <w:basedOn w:val="82"/>
    <w:next w:val="81"/>
    <w:qFormat/>
    <w:uiPriority w:val="0"/>
    <w:pPr>
      <w:jc w:val="center"/>
    </w:pPr>
    <w:rPr>
      <w:caps/>
    </w:rPr>
  </w:style>
  <w:style w:type="paragraph" w:customStyle="1" w:styleId="90">
    <w:name w:val="AOAnxTitle"/>
    <w:basedOn w:val="89"/>
    <w:next w:val="81"/>
    <w:qFormat/>
    <w:uiPriority w:val="0"/>
    <w:pPr>
      <w:outlineLvl w:val="1"/>
    </w:pPr>
    <w:rPr>
      <w:b/>
    </w:rPr>
  </w:style>
  <w:style w:type="paragraph" w:customStyle="1" w:styleId="91">
    <w:name w:val="AOAnxPartHead"/>
    <w:basedOn w:val="88"/>
    <w:next w:val="92"/>
    <w:qFormat/>
    <w:uiPriority w:val="0"/>
    <w:pPr>
      <w:pageBreakBefore w:val="0"/>
      <w:numPr>
        <w:ilvl w:val="1"/>
      </w:numPr>
      <w:tabs>
        <w:tab w:val="left" w:pos="1440"/>
      </w:tabs>
      <w:ind w:left="1440" w:hanging="360"/>
    </w:pPr>
  </w:style>
  <w:style w:type="paragraph" w:customStyle="1" w:styleId="92">
    <w:name w:val="AOAnxPartTitle"/>
    <w:basedOn w:val="90"/>
    <w:next w:val="81"/>
    <w:qFormat/>
    <w:uiPriority w:val="0"/>
  </w:style>
  <w:style w:type="paragraph" w:customStyle="1" w:styleId="93">
    <w:name w:val="AOAppHead"/>
    <w:basedOn w:val="89"/>
    <w:next w:val="94"/>
    <w:qFormat/>
    <w:uiPriority w:val="0"/>
    <w:pPr>
      <w:pageBreakBefore/>
      <w:numPr>
        <w:ilvl w:val="0"/>
        <w:numId w:val="12"/>
      </w:numPr>
      <w:outlineLvl w:val="0"/>
    </w:pPr>
  </w:style>
  <w:style w:type="paragraph" w:customStyle="1" w:styleId="94">
    <w:name w:val="AOAppTitle"/>
    <w:basedOn w:val="89"/>
    <w:next w:val="81"/>
    <w:qFormat/>
    <w:uiPriority w:val="0"/>
    <w:pPr>
      <w:outlineLvl w:val="1"/>
    </w:pPr>
    <w:rPr>
      <w:b/>
    </w:rPr>
  </w:style>
  <w:style w:type="paragraph" w:customStyle="1" w:styleId="95">
    <w:name w:val="AOAppPartHead"/>
    <w:basedOn w:val="93"/>
    <w:next w:val="96"/>
    <w:qFormat/>
    <w:uiPriority w:val="0"/>
    <w:pPr>
      <w:pageBreakBefore w:val="0"/>
      <w:numPr>
        <w:ilvl w:val="1"/>
      </w:numPr>
      <w:tabs>
        <w:tab w:val="left" w:pos="840"/>
      </w:tabs>
      <w:ind w:left="840" w:hanging="420"/>
    </w:pPr>
  </w:style>
  <w:style w:type="paragraph" w:customStyle="1" w:styleId="96">
    <w:name w:val="AOAppPartTitle"/>
    <w:basedOn w:val="94"/>
    <w:next w:val="81"/>
    <w:qFormat/>
    <w:uiPriority w:val="0"/>
  </w:style>
  <w:style w:type="paragraph" w:customStyle="1" w:styleId="97">
    <w:name w:val="AOSchHead"/>
    <w:basedOn w:val="89"/>
    <w:next w:val="98"/>
    <w:qFormat/>
    <w:uiPriority w:val="0"/>
    <w:pPr>
      <w:pageBreakBefore/>
      <w:numPr>
        <w:ilvl w:val="0"/>
        <w:numId w:val="13"/>
      </w:numPr>
      <w:outlineLvl w:val="0"/>
    </w:pPr>
  </w:style>
  <w:style w:type="paragraph" w:customStyle="1" w:styleId="98">
    <w:name w:val="AOSchTitle"/>
    <w:basedOn w:val="89"/>
    <w:next w:val="81"/>
    <w:qFormat/>
    <w:uiPriority w:val="0"/>
    <w:pPr>
      <w:outlineLvl w:val="1"/>
    </w:pPr>
    <w:rPr>
      <w:b/>
    </w:rPr>
  </w:style>
  <w:style w:type="paragraph" w:customStyle="1" w:styleId="99">
    <w:name w:val="AOSchPartHead"/>
    <w:basedOn w:val="97"/>
    <w:next w:val="100"/>
    <w:qFormat/>
    <w:uiPriority w:val="0"/>
    <w:pPr>
      <w:pageBreakBefore w:val="0"/>
      <w:numPr>
        <w:ilvl w:val="1"/>
      </w:numPr>
      <w:tabs>
        <w:tab w:val="left" w:pos="780"/>
      </w:tabs>
      <w:ind w:firstLine="420"/>
    </w:pPr>
  </w:style>
  <w:style w:type="paragraph" w:customStyle="1" w:styleId="100">
    <w:name w:val="AOSchPartTitle"/>
    <w:basedOn w:val="98"/>
    <w:next w:val="81"/>
    <w:qFormat/>
    <w:uiPriority w:val="0"/>
  </w:style>
  <w:style w:type="paragraph" w:customStyle="1" w:styleId="101">
    <w:name w:val="AODocTxtL1"/>
    <w:basedOn w:val="81"/>
    <w:qFormat/>
    <w:uiPriority w:val="0"/>
    <w:pPr>
      <w:numPr>
        <w:ilvl w:val="1"/>
      </w:numPr>
      <w:tabs>
        <w:tab w:val="left" w:pos="780"/>
      </w:tabs>
      <w:ind w:left="0" w:firstLine="420"/>
    </w:pPr>
  </w:style>
  <w:style w:type="paragraph" w:customStyle="1" w:styleId="102">
    <w:name w:val="AODocTxtL2"/>
    <w:basedOn w:val="81"/>
    <w:qFormat/>
    <w:uiPriority w:val="0"/>
    <w:pPr>
      <w:numPr>
        <w:ilvl w:val="2"/>
      </w:numPr>
      <w:tabs>
        <w:tab w:val="left" w:pos="2160"/>
      </w:tabs>
      <w:ind w:left="2160" w:hanging="360"/>
    </w:pPr>
  </w:style>
  <w:style w:type="paragraph" w:customStyle="1" w:styleId="103">
    <w:name w:val="AODocTxtL3"/>
    <w:basedOn w:val="81"/>
    <w:qFormat/>
    <w:uiPriority w:val="0"/>
    <w:pPr>
      <w:numPr>
        <w:ilvl w:val="3"/>
      </w:numPr>
      <w:tabs>
        <w:tab w:val="left" w:pos="2880"/>
      </w:tabs>
      <w:ind w:left="2880" w:hanging="360"/>
    </w:pPr>
  </w:style>
  <w:style w:type="paragraph" w:customStyle="1" w:styleId="104">
    <w:name w:val="AODocTxtL4"/>
    <w:basedOn w:val="81"/>
    <w:qFormat/>
    <w:uiPriority w:val="0"/>
    <w:pPr>
      <w:numPr>
        <w:ilvl w:val="4"/>
      </w:numPr>
      <w:tabs>
        <w:tab w:val="left" w:pos="3600"/>
      </w:tabs>
      <w:ind w:left="3600" w:hanging="360"/>
    </w:pPr>
  </w:style>
  <w:style w:type="paragraph" w:customStyle="1" w:styleId="105">
    <w:name w:val="AODocTxtL5"/>
    <w:basedOn w:val="81"/>
    <w:qFormat/>
    <w:uiPriority w:val="0"/>
    <w:pPr>
      <w:numPr>
        <w:ilvl w:val="5"/>
      </w:numPr>
      <w:tabs>
        <w:tab w:val="left" w:pos="4320"/>
      </w:tabs>
      <w:ind w:left="4320" w:hanging="360"/>
    </w:pPr>
  </w:style>
  <w:style w:type="paragraph" w:customStyle="1" w:styleId="106">
    <w:name w:val="AODocTxtL6"/>
    <w:basedOn w:val="81"/>
    <w:qFormat/>
    <w:uiPriority w:val="0"/>
    <w:pPr>
      <w:numPr>
        <w:ilvl w:val="6"/>
      </w:numPr>
      <w:tabs>
        <w:tab w:val="left" w:pos="5040"/>
      </w:tabs>
      <w:ind w:left="5040" w:hanging="360"/>
    </w:pPr>
  </w:style>
  <w:style w:type="paragraph" w:customStyle="1" w:styleId="107">
    <w:name w:val="AODocTxtL7"/>
    <w:basedOn w:val="81"/>
    <w:qFormat/>
    <w:uiPriority w:val="0"/>
    <w:pPr>
      <w:numPr>
        <w:ilvl w:val="7"/>
      </w:numPr>
      <w:tabs>
        <w:tab w:val="left" w:pos="5760"/>
      </w:tabs>
      <w:ind w:left="5760" w:hanging="360"/>
    </w:pPr>
  </w:style>
  <w:style w:type="paragraph" w:customStyle="1" w:styleId="108">
    <w:name w:val="AODocTxtL8"/>
    <w:basedOn w:val="81"/>
    <w:qFormat/>
    <w:uiPriority w:val="0"/>
    <w:pPr>
      <w:numPr>
        <w:ilvl w:val="8"/>
      </w:numPr>
      <w:tabs>
        <w:tab w:val="left" w:pos="6480"/>
      </w:tabs>
      <w:ind w:left="6480" w:hanging="360"/>
    </w:pPr>
  </w:style>
  <w:style w:type="paragraph" w:customStyle="1" w:styleId="109">
    <w:name w:val="AOGenNum1"/>
    <w:basedOn w:val="82"/>
    <w:next w:val="110"/>
    <w:qFormat/>
    <w:uiPriority w:val="0"/>
    <w:pPr>
      <w:keepNext/>
      <w:numPr>
        <w:ilvl w:val="0"/>
        <w:numId w:val="14"/>
      </w:numPr>
    </w:pPr>
    <w:rPr>
      <w:b/>
      <w:caps/>
    </w:rPr>
  </w:style>
  <w:style w:type="paragraph" w:customStyle="1" w:styleId="110">
    <w:name w:val="AOGenNum1Para"/>
    <w:basedOn w:val="109"/>
    <w:next w:val="111"/>
    <w:qFormat/>
    <w:uiPriority w:val="0"/>
    <w:pPr>
      <w:numPr>
        <w:ilvl w:val="1"/>
      </w:numPr>
      <w:tabs>
        <w:tab w:val="left" w:pos="1588"/>
        <w:tab w:val="clear" w:pos="720"/>
      </w:tabs>
      <w:ind w:left="1588" w:hanging="737"/>
    </w:pPr>
    <w:rPr>
      <w:caps w:val="0"/>
    </w:rPr>
  </w:style>
  <w:style w:type="paragraph" w:customStyle="1" w:styleId="111">
    <w:name w:val="AOGenNum1List"/>
    <w:basedOn w:val="109"/>
    <w:qFormat/>
    <w:uiPriority w:val="0"/>
    <w:pPr>
      <w:keepNext w:val="0"/>
      <w:numPr>
        <w:ilvl w:val="2"/>
      </w:numPr>
      <w:tabs>
        <w:tab w:val="left" w:pos="851"/>
        <w:tab w:val="clear" w:pos="720"/>
      </w:tabs>
      <w:ind w:left="851" w:hanging="431"/>
    </w:pPr>
    <w:rPr>
      <w:b w:val="0"/>
      <w:caps w:val="0"/>
    </w:rPr>
  </w:style>
  <w:style w:type="paragraph" w:customStyle="1" w:styleId="112">
    <w:name w:val="AOGenNum2"/>
    <w:basedOn w:val="82"/>
    <w:next w:val="113"/>
    <w:qFormat/>
    <w:uiPriority w:val="0"/>
    <w:pPr>
      <w:keepNext/>
      <w:numPr>
        <w:ilvl w:val="0"/>
        <w:numId w:val="15"/>
      </w:numPr>
    </w:pPr>
    <w:rPr>
      <w:b/>
    </w:rPr>
  </w:style>
  <w:style w:type="paragraph" w:customStyle="1" w:styleId="113">
    <w:name w:val="AOGenNum2Para"/>
    <w:basedOn w:val="112"/>
    <w:next w:val="114"/>
    <w:qFormat/>
    <w:uiPriority w:val="0"/>
    <w:pPr>
      <w:keepNext w:val="0"/>
      <w:numPr>
        <w:ilvl w:val="1"/>
      </w:numPr>
      <w:tabs>
        <w:tab w:val="left" w:pos="1588"/>
        <w:tab w:val="clear" w:pos="720"/>
      </w:tabs>
      <w:ind w:left="1588" w:hanging="737"/>
    </w:pPr>
    <w:rPr>
      <w:b w:val="0"/>
    </w:rPr>
  </w:style>
  <w:style w:type="paragraph" w:customStyle="1" w:styleId="114">
    <w:name w:val="AOGenNum2List"/>
    <w:basedOn w:val="112"/>
    <w:qFormat/>
    <w:uiPriority w:val="0"/>
    <w:pPr>
      <w:keepNext w:val="0"/>
      <w:numPr>
        <w:ilvl w:val="2"/>
      </w:numPr>
      <w:tabs>
        <w:tab w:val="left" w:pos="1021"/>
        <w:tab w:val="clear" w:pos="720"/>
      </w:tabs>
      <w:ind w:left="1021" w:hanging="601"/>
    </w:pPr>
    <w:rPr>
      <w:b w:val="0"/>
    </w:rPr>
  </w:style>
  <w:style w:type="paragraph" w:customStyle="1" w:styleId="115">
    <w:name w:val="AOGenNum3"/>
    <w:basedOn w:val="82"/>
    <w:next w:val="116"/>
    <w:qFormat/>
    <w:uiPriority w:val="0"/>
    <w:pPr>
      <w:numPr>
        <w:ilvl w:val="0"/>
        <w:numId w:val="16"/>
      </w:numPr>
    </w:pPr>
  </w:style>
  <w:style w:type="paragraph" w:customStyle="1" w:styleId="116">
    <w:name w:val="AOGenNum3List"/>
    <w:basedOn w:val="115"/>
    <w:qFormat/>
    <w:uiPriority w:val="0"/>
    <w:pPr>
      <w:numPr>
        <w:ilvl w:val="1"/>
      </w:numPr>
      <w:tabs>
        <w:tab w:val="left" w:pos="840"/>
        <w:tab w:val="clear" w:pos="720"/>
      </w:tabs>
      <w:ind w:left="840" w:hanging="420"/>
    </w:pPr>
  </w:style>
  <w:style w:type="paragraph" w:customStyle="1" w:styleId="117">
    <w:name w:val="AOHead1"/>
    <w:basedOn w:val="118"/>
    <w:next w:val="101"/>
    <w:qFormat/>
    <w:uiPriority w:val="0"/>
    <w:pPr>
      <w:keepNext/>
      <w:numPr>
        <w:ilvl w:val="0"/>
        <w:numId w:val="17"/>
      </w:numPr>
      <w:outlineLvl w:val="0"/>
    </w:pPr>
    <w:rPr>
      <w:b/>
      <w:caps/>
      <w:kern w:val="28"/>
    </w:rPr>
  </w:style>
  <w:style w:type="paragraph" w:customStyle="1" w:styleId="118">
    <w:name w:val="AOHeadings"/>
    <w:basedOn w:val="82"/>
    <w:next w:val="81"/>
    <w:qFormat/>
    <w:uiPriority w:val="0"/>
  </w:style>
  <w:style w:type="paragraph" w:customStyle="1" w:styleId="119">
    <w:name w:val="AOHead2"/>
    <w:basedOn w:val="118"/>
    <w:next w:val="101"/>
    <w:qFormat/>
    <w:uiPriority w:val="0"/>
    <w:pPr>
      <w:keepNext/>
      <w:numPr>
        <w:ilvl w:val="1"/>
        <w:numId w:val="17"/>
      </w:numPr>
      <w:outlineLvl w:val="1"/>
    </w:pPr>
    <w:rPr>
      <w:b/>
    </w:rPr>
  </w:style>
  <w:style w:type="paragraph" w:customStyle="1" w:styleId="120">
    <w:name w:val="AOHead3"/>
    <w:basedOn w:val="118"/>
    <w:next w:val="102"/>
    <w:qFormat/>
    <w:uiPriority w:val="0"/>
    <w:pPr>
      <w:numPr>
        <w:ilvl w:val="2"/>
        <w:numId w:val="17"/>
      </w:numPr>
      <w:outlineLvl w:val="2"/>
    </w:pPr>
  </w:style>
  <w:style w:type="paragraph" w:customStyle="1" w:styleId="121">
    <w:name w:val="AOHead4"/>
    <w:basedOn w:val="118"/>
    <w:next w:val="103"/>
    <w:qFormat/>
    <w:uiPriority w:val="0"/>
    <w:pPr>
      <w:numPr>
        <w:ilvl w:val="3"/>
        <w:numId w:val="17"/>
      </w:numPr>
      <w:outlineLvl w:val="3"/>
    </w:pPr>
  </w:style>
  <w:style w:type="paragraph" w:customStyle="1" w:styleId="122">
    <w:name w:val="AOHead5"/>
    <w:basedOn w:val="118"/>
    <w:next w:val="104"/>
    <w:qFormat/>
    <w:uiPriority w:val="0"/>
    <w:pPr>
      <w:numPr>
        <w:ilvl w:val="4"/>
        <w:numId w:val="17"/>
      </w:numPr>
      <w:outlineLvl w:val="4"/>
    </w:pPr>
  </w:style>
  <w:style w:type="paragraph" w:customStyle="1" w:styleId="123">
    <w:name w:val="AOHead6"/>
    <w:basedOn w:val="118"/>
    <w:next w:val="105"/>
    <w:qFormat/>
    <w:uiPriority w:val="0"/>
    <w:pPr>
      <w:numPr>
        <w:ilvl w:val="5"/>
        <w:numId w:val="17"/>
      </w:numPr>
      <w:outlineLvl w:val="5"/>
    </w:pPr>
  </w:style>
  <w:style w:type="paragraph" w:customStyle="1" w:styleId="124">
    <w:name w:val="AOListNumber"/>
    <w:basedOn w:val="82"/>
    <w:qFormat/>
    <w:uiPriority w:val="0"/>
    <w:pPr>
      <w:numPr>
        <w:ilvl w:val="0"/>
        <w:numId w:val="18"/>
      </w:numPr>
      <w:tabs>
        <w:tab w:val="clear" w:pos="720"/>
      </w:tabs>
    </w:pPr>
  </w:style>
  <w:style w:type="paragraph" w:customStyle="1" w:styleId="125">
    <w:name w:val="AOBullet2"/>
    <w:basedOn w:val="83"/>
    <w:qFormat/>
    <w:uiPriority w:val="0"/>
    <w:pPr>
      <w:numPr>
        <w:numId w:val="19"/>
      </w:numPr>
      <w:tabs>
        <w:tab w:val="left" w:pos="720"/>
        <w:tab w:val="left" w:pos="1280"/>
      </w:tabs>
      <w:spacing w:before="120"/>
      <w:ind w:left="1280"/>
    </w:pPr>
  </w:style>
  <w:style w:type="paragraph" w:customStyle="1" w:styleId="126">
    <w:name w:val="AOBullet3"/>
    <w:basedOn w:val="82"/>
    <w:qFormat/>
    <w:uiPriority w:val="0"/>
    <w:pPr>
      <w:numPr>
        <w:ilvl w:val="0"/>
        <w:numId w:val="20"/>
      </w:numPr>
      <w:tabs>
        <w:tab w:val="clear" w:pos="720"/>
      </w:tabs>
      <w:spacing w:before="120"/>
    </w:pPr>
  </w:style>
  <w:style w:type="paragraph" w:customStyle="1" w:styleId="127">
    <w:name w:val="AOBullet4"/>
    <w:basedOn w:val="82"/>
    <w:qFormat/>
    <w:uiPriority w:val="0"/>
    <w:pPr>
      <w:numPr>
        <w:ilvl w:val="0"/>
        <w:numId w:val="21"/>
      </w:numPr>
      <w:spacing w:before="120"/>
    </w:pPr>
  </w:style>
  <w:style w:type="paragraph" w:customStyle="1" w:styleId="128">
    <w:name w:val="正文所"/>
    <w:basedOn w:val="1"/>
    <w:qFormat/>
    <w:uiPriority w:val="0"/>
    <w:pPr>
      <w:spacing w:line="360" w:lineRule="auto"/>
      <w:ind w:firstLine="420" w:firstLineChars="200"/>
    </w:pPr>
  </w:style>
  <w:style w:type="character" w:customStyle="1" w:styleId="129">
    <w:name w:val="尾注文本 字符"/>
    <w:basedOn w:val="45"/>
    <w:link w:val="27"/>
    <w:qFormat/>
    <w:uiPriority w:val="0"/>
    <w:rPr>
      <w:rFonts w:ascii="Times New Roman" w:hAnsi="Times New Roman" w:eastAsia="宋体" w:cs="Times New Roman"/>
      <w:kern w:val="0"/>
      <w:sz w:val="16"/>
      <w:lang w:val="en-GB" w:eastAsia="en-US"/>
    </w:rPr>
  </w:style>
  <w:style w:type="character" w:customStyle="1" w:styleId="130">
    <w:name w:val="HTML 预设格式 字符"/>
    <w:basedOn w:val="45"/>
    <w:link w:val="38"/>
    <w:qFormat/>
    <w:uiPriority w:val="0"/>
    <w:rPr>
      <w:rFonts w:ascii="Arial Unicode MS" w:hAnsi="Arial Unicode MS" w:eastAsia="Arial Unicode MS" w:cs="Arial Unicode MS"/>
      <w:kern w:val="0"/>
      <w:sz w:val="20"/>
      <w:szCs w:val="20"/>
    </w:rPr>
  </w:style>
  <w:style w:type="paragraph" w:customStyle="1" w:styleId="131">
    <w:name w:val="Char"/>
    <w:basedOn w:val="1"/>
    <w:qFormat/>
    <w:uiPriority w:val="0"/>
    <w:pPr>
      <w:tabs>
        <w:tab w:val="left" w:pos="360"/>
      </w:tabs>
      <w:spacing w:line="560" w:lineRule="exact"/>
    </w:pPr>
    <w:rPr>
      <w:rFonts w:ascii="方正黑体简体" w:eastAsia="方正黑体简体"/>
      <w:sz w:val="30"/>
      <w:szCs w:val="30"/>
    </w:rPr>
  </w:style>
  <w:style w:type="paragraph" w:customStyle="1" w:styleId="132">
    <w:name w:val="修订1"/>
    <w:hidden/>
    <w:qFormat/>
    <w:uiPriority w:val="99"/>
    <w:rPr>
      <w:rFonts w:ascii="Times New Roman" w:hAnsi="Times New Roman" w:eastAsia="宋体" w:cs="Times New Roman"/>
      <w:kern w:val="2"/>
      <w:sz w:val="21"/>
      <w:szCs w:val="24"/>
      <w:lang w:val="en-US" w:eastAsia="zh-CN" w:bidi="ar-SA"/>
    </w:rPr>
  </w:style>
  <w:style w:type="paragraph" w:customStyle="1" w:styleId="133">
    <w:name w:val="TOC 标题1"/>
    <w:basedOn w:val="2"/>
    <w:next w:val="1"/>
    <w:qFormat/>
    <w:uiPriority w:val="39"/>
    <w:pPr>
      <w:widowControl/>
      <w:numPr>
        <w:numId w:val="0"/>
      </w:numPr>
      <w:spacing w:before="480" w:after="0" w:line="276" w:lineRule="auto"/>
      <w:jc w:val="left"/>
      <w:outlineLvl w:val="9"/>
    </w:pPr>
    <w:rPr>
      <w:rFonts w:ascii="Cambria" w:hAnsi="Cambria"/>
      <w:color w:val="365F91"/>
      <w:kern w:val="0"/>
      <w:sz w:val="28"/>
      <w:szCs w:val="28"/>
    </w:rPr>
  </w:style>
  <w:style w:type="character" w:customStyle="1" w:styleId="134">
    <w:name w:val="电子邮件签名 字符"/>
    <w:basedOn w:val="45"/>
    <w:link w:val="11"/>
    <w:qFormat/>
    <w:uiPriority w:val="0"/>
    <w:rPr>
      <w:rFonts w:ascii="Times New Roman" w:hAnsi="Times New Roman" w:eastAsia="宋体" w:cs="Times New Roman"/>
      <w:kern w:val="0"/>
      <w:szCs w:val="21"/>
    </w:rPr>
  </w:style>
  <w:style w:type="character" w:customStyle="1" w:styleId="135">
    <w:name w:val="正文文本首行缩进 字符"/>
    <w:basedOn w:val="66"/>
    <w:link w:val="42"/>
    <w:qFormat/>
    <w:uiPriority w:val="0"/>
    <w:rPr>
      <w:rFonts w:ascii="Times New Roman" w:hAnsi="Times New Roman" w:eastAsia="宋体" w:cs="Times New Roman"/>
      <w:sz w:val="24"/>
      <w:szCs w:val="24"/>
    </w:rPr>
  </w:style>
  <w:style w:type="character" w:customStyle="1" w:styleId="136">
    <w:name w:val="正文首行缩进 Char1"/>
    <w:basedOn w:val="66"/>
    <w:qFormat/>
    <w:uiPriority w:val="0"/>
    <w:rPr>
      <w:rFonts w:ascii="Times New Roman" w:hAnsi="Times New Roman" w:eastAsia="宋体" w:cs="Times New Roman"/>
      <w:sz w:val="24"/>
      <w:szCs w:val="24"/>
    </w:rPr>
  </w:style>
  <w:style w:type="paragraph" w:customStyle="1" w:styleId="137">
    <w:name w:val="编号正文2"/>
    <w:basedOn w:val="1"/>
    <w:qFormat/>
    <w:uiPriority w:val="0"/>
    <w:pPr>
      <w:numPr>
        <w:ilvl w:val="0"/>
        <w:numId w:val="22"/>
      </w:numPr>
      <w:autoSpaceDE w:val="0"/>
      <w:autoSpaceDN w:val="0"/>
      <w:adjustRightInd w:val="0"/>
      <w:spacing w:after="120" w:line="300" w:lineRule="auto"/>
    </w:pPr>
    <w:rPr>
      <w:rFonts w:ascii="宋体"/>
      <w:kern w:val="0"/>
      <w:szCs w:val="20"/>
    </w:rPr>
  </w:style>
  <w:style w:type="paragraph" w:customStyle="1" w:styleId="138">
    <w:name w:val="c_"/>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styleId="139">
    <w:name w:val="List Paragraph"/>
    <w:basedOn w:val="1"/>
    <w:qFormat/>
    <w:uiPriority w:val="34"/>
    <w:pPr>
      <w:ind w:firstLine="420" w:firstLineChars="200"/>
    </w:pPr>
  </w:style>
  <w:style w:type="paragraph" w:customStyle="1" w:styleId="140">
    <w:name w:val="List_bullet"/>
    <w:basedOn w:val="1"/>
    <w:qFormat/>
    <w:uiPriority w:val="0"/>
    <w:pPr>
      <w:widowControl/>
      <w:numPr>
        <w:ilvl w:val="0"/>
        <w:numId w:val="23"/>
      </w:numPr>
      <w:jc w:val="left"/>
    </w:pPr>
    <w:rPr>
      <w:kern w:val="0"/>
      <w:sz w:val="24"/>
      <w:szCs w:val="20"/>
    </w:rPr>
  </w:style>
  <w:style w:type="paragraph" w:customStyle="1" w:styleId="141">
    <w:name w:val="msonormal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42">
    <w:name w:val="副标题 字符"/>
    <w:basedOn w:val="45"/>
    <w:link w:val="33"/>
    <w:qFormat/>
    <w:uiPriority w:val="0"/>
    <w:rPr>
      <w:rFonts w:ascii="Cambria" w:hAnsi="Cambria" w:eastAsia="宋体" w:cs="Times New Roman"/>
      <w:b/>
      <w:kern w:val="28"/>
      <w:sz w:val="24"/>
      <w:szCs w:val="32"/>
    </w:rPr>
  </w:style>
  <w:style w:type="paragraph" w:customStyle="1" w:styleId="143">
    <w:name w:val="次标题"/>
    <w:basedOn w:val="4"/>
    <w:next w:val="1"/>
    <w:qFormat/>
    <w:uiPriority w:val="0"/>
    <w:pPr>
      <w:numPr>
        <w:ilvl w:val="0"/>
        <w:numId w:val="0"/>
      </w:numPr>
      <w:spacing w:line="416" w:lineRule="auto"/>
      <w:jc w:val="left"/>
    </w:pPr>
    <w:rPr>
      <w:rFonts w:ascii="宋体" w:hAnsi="宋体"/>
      <w:sz w:val="24"/>
      <w:szCs w:val="24"/>
    </w:rPr>
  </w:style>
  <w:style w:type="paragraph" w:customStyle="1" w:styleId="144">
    <w:name w:val="Char Char Char1"/>
    <w:basedOn w:val="1"/>
    <w:qFormat/>
    <w:uiPriority w:val="0"/>
    <w:rPr>
      <w:szCs w:val="20"/>
    </w:rPr>
  </w:style>
  <w:style w:type="character" w:customStyle="1" w:styleId="145">
    <w:name w:val="z-窗体顶端 字符"/>
    <w:basedOn w:val="45"/>
    <w:link w:val="146"/>
    <w:qFormat/>
    <w:uiPriority w:val="99"/>
    <w:rPr>
      <w:rFonts w:ascii="Arial" w:hAnsi="Arial" w:eastAsia="宋体" w:cs="Arial"/>
      <w:vanish/>
      <w:kern w:val="0"/>
      <w:sz w:val="16"/>
      <w:szCs w:val="16"/>
    </w:rPr>
  </w:style>
  <w:style w:type="paragraph" w:customStyle="1" w:styleId="146">
    <w:name w:val="z-窗体顶端1"/>
    <w:basedOn w:val="1"/>
    <w:next w:val="1"/>
    <w:link w:val="145"/>
    <w:qFormat/>
    <w:uiPriority w:val="99"/>
    <w:pPr>
      <w:widowControl/>
      <w:pBdr>
        <w:bottom w:val="single" w:color="auto" w:sz="6" w:space="1"/>
      </w:pBdr>
      <w:jc w:val="center"/>
    </w:pPr>
    <w:rPr>
      <w:rFonts w:ascii="Arial" w:hAnsi="Arial" w:cs="Arial"/>
      <w:vanish/>
      <w:kern w:val="0"/>
      <w:sz w:val="16"/>
      <w:szCs w:val="16"/>
    </w:rPr>
  </w:style>
  <w:style w:type="character" w:customStyle="1" w:styleId="147">
    <w:name w:val="z-窗体底端 字符"/>
    <w:basedOn w:val="45"/>
    <w:link w:val="148"/>
    <w:qFormat/>
    <w:uiPriority w:val="99"/>
    <w:rPr>
      <w:rFonts w:ascii="Arial" w:hAnsi="Arial" w:eastAsia="宋体" w:cs="Arial"/>
      <w:vanish/>
      <w:kern w:val="0"/>
      <w:sz w:val="16"/>
      <w:szCs w:val="16"/>
    </w:rPr>
  </w:style>
  <w:style w:type="paragraph" w:customStyle="1" w:styleId="148">
    <w:name w:val="z-窗体底端1"/>
    <w:basedOn w:val="1"/>
    <w:next w:val="1"/>
    <w:link w:val="147"/>
    <w:qFormat/>
    <w:uiPriority w:val="99"/>
    <w:pPr>
      <w:widowControl/>
      <w:pBdr>
        <w:top w:val="single" w:color="auto" w:sz="6" w:space="1"/>
      </w:pBdr>
      <w:jc w:val="center"/>
    </w:pPr>
    <w:rPr>
      <w:rFonts w:ascii="Arial" w:hAnsi="Arial" w:cs="Arial"/>
      <w:vanish/>
      <w:kern w:val="0"/>
      <w:sz w:val="16"/>
      <w:szCs w:val="16"/>
    </w:rPr>
  </w:style>
  <w:style w:type="paragraph" w:styleId="149">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50">
    <w:name w:val="不明显强调1"/>
    <w:basedOn w:val="45"/>
    <w:qFormat/>
    <w:uiPriority w:val="19"/>
    <w:rPr>
      <w:i/>
      <w:iCs/>
      <w:color w:val="808080"/>
    </w:rPr>
  </w:style>
  <w:style w:type="character" w:customStyle="1" w:styleId="151">
    <w:name w:val="明显强调1"/>
    <w:basedOn w:val="45"/>
    <w:qFormat/>
    <w:uiPriority w:val="21"/>
    <w:rPr>
      <w:b/>
      <w:bCs/>
      <w:i/>
      <w:iCs/>
      <w:color w:val="4F81BD"/>
    </w:rPr>
  </w:style>
  <w:style w:type="paragraph" w:customStyle="1" w:styleId="152">
    <w:name w:val="修订11"/>
    <w:hidden/>
    <w:semiHidden/>
    <w:qFormat/>
    <w:uiPriority w:val="0"/>
    <w:rPr>
      <w:rFonts w:ascii="Times New Roman" w:hAnsi="Times New Roman" w:eastAsia="宋体" w:cs="Times New Roman"/>
      <w:kern w:val="2"/>
      <w:sz w:val="21"/>
      <w:szCs w:val="24"/>
      <w:lang w:val="en-US" w:eastAsia="zh-CN" w:bidi="ar-SA"/>
    </w:rPr>
  </w:style>
  <w:style w:type="character" w:customStyle="1" w:styleId="153">
    <w:name w:val="称呼 字符"/>
    <w:basedOn w:val="45"/>
    <w:link w:val="20"/>
    <w:qFormat/>
    <w:uiPriority w:val="0"/>
    <w:rPr>
      <w:rFonts w:ascii="Times New Roman" w:hAnsi="Times New Roman" w:eastAsia="宋体" w:cs="Times New Roman"/>
      <w:szCs w:val="24"/>
    </w:rPr>
  </w:style>
  <w:style w:type="paragraph" w:customStyle="1" w:styleId="154">
    <w:name w:val="无间隔1"/>
    <w:link w:val="155"/>
    <w:qFormat/>
    <w:uiPriority w:val="0"/>
    <w:rPr>
      <w:rFonts w:ascii="Calibri" w:hAnsi="Calibri" w:eastAsia="宋体" w:cs="Times New Roman"/>
      <w:sz w:val="22"/>
      <w:szCs w:val="22"/>
      <w:lang w:val="en-US" w:eastAsia="zh-CN" w:bidi="ar-SA"/>
    </w:rPr>
  </w:style>
  <w:style w:type="character" w:customStyle="1" w:styleId="155">
    <w:name w:val="No Spacing Char"/>
    <w:basedOn w:val="45"/>
    <w:link w:val="154"/>
    <w:qFormat/>
    <w:locked/>
    <w:uiPriority w:val="0"/>
    <w:rPr>
      <w:sz w:val="22"/>
      <w:szCs w:val="22"/>
      <w:lang w:val="en-US" w:eastAsia="zh-CN" w:bidi="ar-SA"/>
    </w:rPr>
  </w:style>
  <w:style w:type="paragraph" w:customStyle="1" w:styleId="156">
    <w:name w:val="XBRLTitle1"/>
    <w:basedOn w:val="2"/>
    <w:next w:val="3"/>
    <w:qFormat/>
    <w:uiPriority w:val="0"/>
    <w:pPr>
      <w:numPr>
        <w:numId w:val="24"/>
      </w:numPr>
      <w:spacing w:beforeLines="50" w:afterLines="50" w:line="240" w:lineRule="auto"/>
      <w:jc w:val="center"/>
    </w:pPr>
    <w:rPr>
      <w:rFonts w:ascii="Cambria" w:hAnsi="Cambria"/>
      <w:sz w:val="28"/>
    </w:rPr>
  </w:style>
  <w:style w:type="paragraph" w:customStyle="1" w:styleId="157">
    <w:name w:val="XBRLTitle2"/>
    <w:basedOn w:val="33"/>
    <w:next w:val="5"/>
    <w:qFormat/>
    <w:uiPriority w:val="0"/>
    <w:pPr>
      <w:numPr>
        <w:ilvl w:val="1"/>
        <w:numId w:val="24"/>
      </w:numPr>
      <w:spacing w:beforeLines="50" w:afterLines="50" w:line="240" w:lineRule="auto"/>
    </w:pPr>
    <w:rPr>
      <w:bCs/>
    </w:rPr>
  </w:style>
  <w:style w:type="paragraph" w:customStyle="1" w:styleId="158">
    <w:name w:val="XBRLTitle3"/>
    <w:basedOn w:val="33"/>
    <w:next w:val="5"/>
    <w:qFormat/>
    <w:uiPriority w:val="0"/>
    <w:pPr>
      <w:numPr>
        <w:ilvl w:val="2"/>
        <w:numId w:val="24"/>
      </w:numPr>
      <w:spacing w:beforeLines="50" w:afterLines="50" w:line="240" w:lineRule="auto"/>
      <w:outlineLvl w:val="9"/>
    </w:pPr>
    <w:rPr>
      <w:bCs/>
    </w:rPr>
  </w:style>
  <w:style w:type="paragraph" w:customStyle="1" w:styleId="159">
    <w:name w:val="XBRLTitle4"/>
    <w:basedOn w:val="33"/>
    <w:next w:val="5"/>
    <w:qFormat/>
    <w:uiPriority w:val="0"/>
    <w:pPr>
      <w:numPr>
        <w:ilvl w:val="3"/>
        <w:numId w:val="24"/>
      </w:numPr>
      <w:spacing w:beforeLines="50" w:afterLines="50" w:line="240" w:lineRule="auto"/>
      <w:outlineLvl w:val="9"/>
    </w:pPr>
    <w:rPr>
      <w:bCs/>
    </w:rPr>
  </w:style>
  <w:style w:type="paragraph" w:customStyle="1" w:styleId="160">
    <w:name w:val="XBRLTitle5"/>
    <w:basedOn w:val="33"/>
    <w:next w:val="5"/>
    <w:qFormat/>
    <w:uiPriority w:val="0"/>
    <w:pPr>
      <w:numPr>
        <w:ilvl w:val="4"/>
        <w:numId w:val="24"/>
      </w:numPr>
      <w:spacing w:beforeLines="50" w:afterLines="50" w:line="240" w:lineRule="auto"/>
      <w:outlineLvl w:val="9"/>
    </w:pPr>
    <w:rPr>
      <w:bCs/>
    </w:rPr>
  </w:style>
  <w:style w:type="paragraph" w:customStyle="1" w:styleId="161">
    <w:name w:val="XBRLTitle6"/>
    <w:basedOn w:val="33"/>
    <w:next w:val="5"/>
    <w:qFormat/>
    <w:uiPriority w:val="0"/>
    <w:pPr>
      <w:numPr>
        <w:ilvl w:val="5"/>
        <w:numId w:val="24"/>
      </w:numPr>
      <w:spacing w:beforeLines="50" w:afterLines="50" w:line="240" w:lineRule="auto"/>
      <w:outlineLvl w:val="9"/>
    </w:pPr>
    <w:rPr>
      <w:bCs/>
    </w:rPr>
  </w:style>
  <w:style w:type="paragraph" w:customStyle="1" w:styleId="162">
    <w:name w:val="纯文本1"/>
    <w:basedOn w:val="1"/>
    <w:qFormat/>
    <w:uiPriority w:val="0"/>
    <w:rPr>
      <w:rFonts w:ascii="宋体" w:hAnsi="Courier New"/>
      <w:szCs w:val="20"/>
    </w:rPr>
  </w:style>
  <w:style w:type="paragraph" w:customStyle="1" w:styleId="163">
    <w:name w:val="HD正文"/>
    <w:basedOn w:val="1"/>
    <w:qFormat/>
    <w:uiPriority w:val="0"/>
    <w:pPr>
      <w:snapToGrid w:val="0"/>
      <w:spacing w:line="360" w:lineRule="auto"/>
      <w:ind w:firstLine="420" w:firstLineChars="200"/>
    </w:pPr>
    <w:rPr>
      <w:szCs w:val="21"/>
    </w:rPr>
  </w:style>
  <w:style w:type="paragraph" w:customStyle="1" w:styleId="164">
    <w:name w:val="正文s"/>
    <w:basedOn w:val="22"/>
    <w:qFormat/>
    <w:uiPriority w:val="0"/>
    <w:pPr>
      <w:autoSpaceDE/>
      <w:autoSpaceDN/>
      <w:adjustRightInd/>
      <w:spacing w:after="0" w:line="360" w:lineRule="auto"/>
      <w:ind w:firstLine="560" w:firstLineChars="200"/>
    </w:pPr>
    <w:rPr>
      <w:rFonts w:hint="default" w:hAnsi="宋体"/>
      <w:kern w:val="2"/>
      <w:sz w:val="28"/>
      <w:szCs w:val="18"/>
    </w:rPr>
  </w:style>
  <w:style w:type="paragraph" w:customStyle="1" w:styleId="165">
    <w:name w:val="列表1"/>
    <w:basedOn w:val="1"/>
    <w:next w:val="1"/>
    <w:qFormat/>
    <w:uiPriority w:val="0"/>
    <w:pPr>
      <w:tabs>
        <w:tab w:val="left" w:pos="757"/>
      </w:tabs>
      <w:spacing w:line="360" w:lineRule="auto"/>
      <w:ind w:firstLine="397"/>
    </w:pPr>
    <w:rPr>
      <w:szCs w:val="20"/>
    </w:rPr>
  </w:style>
  <w:style w:type="paragraph" w:customStyle="1" w:styleId="166">
    <w:name w:val="正文1"/>
    <w:qFormat/>
    <w:uiPriority w:val="0"/>
    <w:pPr>
      <w:jc w:val="both"/>
    </w:pPr>
    <w:rPr>
      <w:rFonts w:ascii="Times New Roman" w:hAnsi="Times New Roman" w:eastAsia="宋体" w:cs="Times New Roman"/>
      <w:kern w:val="2"/>
      <w:sz w:val="21"/>
      <w:szCs w:val="21"/>
      <w:lang w:val="en-US" w:eastAsia="zh-CN" w:bidi="ar-SA"/>
    </w:rPr>
  </w:style>
  <w:style w:type="character" w:styleId="167">
    <w:name w:val="Placeholder Text"/>
    <w:basedOn w:val="45"/>
    <w:semiHidden/>
    <w:qFormat/>
    <w:uiPriority w:val="99"/>
    <w:rPr>
      <w:color w:val="808080"/>
    </w:rPr>
  </w:style>
  <w:style w:type="table" w:customStyle="1" w:styleId="168">
    <w:name w:val="Lined - Accent 3"/>
    <w:basedOn w:val="43"/>
    <w:qFormat/>
    <w:uiPriority w:val="99"/>
    <w:rPr>
      <w:color w:val="404040"/>
    </w:rPr>
    <w:tblStylePr w:type="firstRow">
      <w:pPr>
        <w:snapToGrid/>
      </w:pPr>
      <w:rPr>
        <w:rFonts w:ascii="Arial" w:hAnsi="Arial"/>
        <w:color w:val="F2F2F2"/>
        <w:sz w:val="22"/>
      </w:rPr>
      <w:tcPr>
        <w:shd w:val="clear" w:color="auto" w:fill="9BBB59" w:themeFill="accent3" w:themeFillTint="FE"/>
      </w:tcPr>
    </w:tblStylePr>
    <w:tblStylePr w:type="lastRow">
      <w:pPr>
        <w:snapToGrid/>
      </w:pPr>
      <w:rPr>
        <w:rFonts w:ascii="Arial" w:hAnsi="Arial"/>
        <w:color w:val="F2F2F2"/>
        <w:sz w:val="22"/>
      </w:rPr>
      <w:tcPr>
        <w:shd w:val="clear" w:color="auto" w:fill="9BBB59" w:themeFill="accent3" w:themeFillTint="FE"/>
      </w:tcPr>
    </w:tblStylePr>
    <w:tblStylePr w:type="firstCol">
      <w:pPr>
        <w:snapToGrid/>
      </w:pPr>
      <w:rPr>
        <w:rFonts w:ascii="Arial" w:hAnsi="Arial"/>
        <w:color w:val="F2F2F2"/>
        <w:sz w:val="22"/>
      </w:rPr>
      <w:tcPr>
        <w:shd w:val="clear" w:color="auto" w:fill="9BBB59" w:themeFill="accent3" w:themeFillTint="FE"/>
      </w:tcPr>
    </w:tblStylePr>
    <w:tblStylePr w:type="lastCol">
      <w:pPr>
        <w:snapToGrid/>
      </w:pPr>
      <w:rPr>
        <w:rFonts w:ascii="Arial" w:hAnsi="Arial"/>
        <w:color w:val="F2F2F2"/>
        <w:sz w:val="22"/>
      </w:rPr>
      <w:tcPr>
        <w:shd w:val="clear" w:color="auto"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paragraph" w:customStyle="1" w:styleId="169">
    <w:name w:val="修订2"/>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7" Type="http://schemas.openxmlformats.org/officeDocument/2006/relationships/fontTable" Target="fontTable.xml"/><Relationship Id="rId36" Type="http://schemas.openxmlformats.org/officeDocument/2006/relationships/customXml" Target="../customXml/item1.xml"/><Relationship Id="rId35" Type="http://schemas.openxmlformats.org/officeDocument/2006/relationships/numbering" Target="numbering.xml"/><Relationship Id="rId34" Type="http://schemas.openxmlformats.org/officeDocument/2006/relationships/theme" Target="theme/theme1.xml"/><Relationship Id="rId33" Type="http://schemas.openxmlformats.org/officeDocument/2006/relationships/footer" Target="footer31.xml"/><Relationship Id="rId32" Type="http://schemas.openxmlformats.org/officeDocument/2006/relationships/footer" Target="footer30.xml"/><Relationship Id="rId31" Type="http://schemas.openxmlformats.org/officeDocument/2006/relationships/footer" Target="footer29.xml"/><Relationship Id="rId30" Type="http://schemas.openxmlformats.org/officeDocument/2006/relationships/footer" Target="footer28.xml"/><Relationship Id="rId3" Type="http://schemas.openxmlformats.org/officeDocument/2006/relationships/footer" Target="footer1.xml"/><Relationship Id="rId29" Type="http://schemas.openxmlformats.org/officeDocument/2006/relationships/footer" Target="footer27.xml"/><Relationship Id="rId28" Type="http://schemas.openxmlformats.org/officeDocument/2006/relationships/footer" Target="footer26.xml"/><Relationship Id="rId27" Type="http://schemas.openxmlformats.org/officeDocument/2006/relationships/footer" Target="footer25.xml"/><Relationship Id="rId26" Type="http://schemas.openxmlformats.org/officeDocument/2006/relationships/footer" Target="footer24.xml"/><Relationship Id="rId25" Type="http://schemas.openxmlformats.org/officeDocument/2006/relationships/footer" Target="footer23.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D5A4A-5C49-4089-BBAB-5F1517D4CF0D}">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116</Pages>
  <Words>105637</Words>
  <Characters>107903</Characters>
  <Lines>2149</Lines>
  <Paragraphs>2166</Paragraphs>
  <TotalTime>3</TotalTime>
  <ScaleCrop>false</ScaleCrop>
  <LinksUpToDate>false</LinksUpToDate>
  <CharactersWithSpaces>109192</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2023-10-18T09:30:00Z</dcterms:created>
  <dc:creator>陈艳群</dc:creator>
  <cp:lastModifiedBy>chenxj</cp:lastModifiedBy>
  <cp:lastPrinted>2023-10-24T01:12:00Z</cp:lastPrinted>
  <dcterms:modified xsi:type="dcterms:W3CDTF">2026-05-18T08:47:34Z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0EC375251AEF4747A0DBD362B0E51070</vt:lpwstr>
  </property>
</Properties>
</file>