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83014">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博时基金管理有限公司</w:t>
      </w:r>
      <w:r>
        <w:rPr>
          <w:rFonts w:hint="eastAsia" w:ascii="宋体" w:hAnsi="宋体" w:eastAsia="宋体" w:cs="宋体"/>
          <w:b/>
          <w:bCs/>
          <w:sz w:val="28"/>
          <w:szCs w:val="28"/>
        </w:rPr>
        <w:t>关于博时稳健增利债券型证券投资基金开通同一基金</w:t>
      </w:r>
      <w:r>
        <w:rPr>
          <w:rFonts w:hint="eastAsia" w:ascii="宋体" w:hAnsi="宋体" w:eastAsia="宋体" w:cs="宋体"/>
          <w:b/>
          <w:bCs/>
          <w:sz w:val="28"/>
          <w:szCs w:val="28"/>
          <w:lang w:val="en-US" w:eastAsia="zh-CN"/>
        </w:rPr>
        <w:t>不同份额类别相互转换业务的公告</w:t>
      </w:r>
    </w:p>
    <w:p w14:paraId="2279D9E5">
      <w:pPr>
        <w:spacing w:line="480" w:lineRule="auto"/>
        <w:ind w:firstLine="720" w:firstLineChars="300"/>
        <w:jc w:val="left"/>
        <w:rPr>
          <w:rFonts w:hint="eastAsia" w:ascii="宋体" w:hAnsi="宋体" w:eastAsia="宋体" w:cs="宋体"/>
          <w:sz w:val="24"/>
          <w:szCs w:val="24"/>
        </w:rPr>
      </w:pPr>
      <w:r>
        <w:rPr>
          <w:rFonts w:hint="eastAsia" w:ascii="宋体" w:hAnsi="宋体" w:eastAsia="宋体" w:cs="宋体"/>
          <w:sz w:val="24"/>
          <w:szCs w:val="24"/>
        </w:rPr>
        <w:t>为更好地满足广大投资者的</w:t>
      </w:r>
      <w:r>
        <w:rPr>
          <w:rFonts w:hint="eastAsia" w:ascii="宋体" w:hAnsi="宋体" w:eastAsia="宋体" w:cs="宋体"/>
          <w:sz w:val="24"/>
          <w:szCs w:val="24"/>
          <w:lang w:val="en-US" w:eastAsia="zh-CN"/>
        </w:rPr>
        <w:t>投资</w:t>
      </w:r>
      <w:r>
        <w:rPr>
          <w:rFonts w:hint="eastAsia" w:ascii="宋体" w:hAnsi="宋体" w:eastAsia="宋体" w:cs="宋体"/>
          <w:sz w:val="24"/>
          <w:szCs w:val="24"/>
        </w:rPr>
        <w:t>需求，</w:t>
      </w:r>
      <w:r>
        <w:rPr>
          <w:rFonts w:hint="eastAsia" w:ascii="宋体" w:hAnsi="宋体" w:eastAsia="宋体" w:cs="宋体"/>
          <w:sz w:val="24"/>
          <w:szCs w:val="24"/>
          <w:lang w:val="en-US" w:eastAsia="zh-CN"/>
        </w:rPr>
        <w:t>博时基金管理有限公司</w:t>
      </w:r>
      <w:r>
        <w:rPr>
          <w:rFonts w:hint="eastAsia" w:ascii="宋体" w:hAnsi="宋体" w:eastAsia="宋体" w:cs="宋体"/>
          <w:sz w:val="24"/>
          <w:szCs w:val="24"/>
        </w:rPr>
        <w:t xml:space="preserve">（以下简称“本公司”）决定自 </w:t>
      </w:r>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 年 </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 xml:space="preserve"> 日</w:t>
      </w:r>
      <w:r>
        <w:rPr>
          <w:rFonts w:hint="eastAsia" w:ascii="宋体" w:hAnsi="宋体" w:eastAsia="宋体" w:cs="宋体"/>
          <w:sz w:val="24"/>
          <w:szCs w:val="24"/>
        </w:rPr>
        <w:t>起，对本公司旗下博时稳健增利债券型证券投资基金（A类份额:018277;C类份额:018278）开通同一基金不同类别基金份额之间的转换业务。现将相关事项公告如下：</w:t>
      </w:r>
    </w:p>
    <w:p w14:paraId="78CE144B">
      <w:pPr>
        <w:spacing w:line="480" w:lineRule="auto"/>
        <w:ind w:firstLine="723" w:firstLineChars="300"/>
        <w:jc w:val="left"/>
        <w:rPr>
          <w:rFonts w:hint="eastAsia" w:ascii="宋体" w:hAnsi="宋体" w:eastAsia="宋体" w:cs="宋体"/>
          <w:b/>
          <w:bCs/>
          <w:sz w:val="24"/>
          <w:szCs w:val="24"/>
        </w:rPr>
      </w:pPr>
      <w:r>
        <w:rPr>
          <w:rFonts w:ascii="宋体" w:hAnsi="宋体" w:eastAsia="宋体" w:cs="宋体"/>
          <w:b/>
          <w:bCs/>
          <w:sz w:val="24"/>
          <w:szCs w:val="24"/>
        </w:rPr>
        <w:t>一、业务规则</w:t>
      </w:r>
    </w:p>
    <w:p w14:paraId="08D6E055">
      <w:pPr>
        <w:numPr>
          <w:ilvl w:val="0"/>
          <w:numId w:val="1"/>
        </w:numPr>
        <w:spacing w:line="480" w:lineRule="auto"/>
        <w:ind w:firstLine="720" w:firstLineChars="300"/>
        <w:jc w:val="left"/>
        <w:rPr>
          <w:rFonts w:ascii="宋体" w:hAnsi="宋体" w:eastAsia="宋体" w:cs="宋体"/>
          <w:sz w:val="24"/>
          <w:szCs w:val="24"/>
        </w:rPr>
      </w:pPr>
      <w:bookmarkStart w:id="0" w:name="OLE_LINK1"/>
      <w:r>
        <w:rPr>
          <w:rFonts w:ascii="宋体" w:hAnsi="宋体" w:eastAsia="宋体" w:cs="宋体"/>
          <w:sz w:val="24"/>
          <w:szCs w:val="24"/>
        </w:rPr>
        <w:t>同一基金不同类别基金份额间的转换业务</w:t>
      </w:r>
      <w:bookmarkEnd w:id="0"/>
      <w:r>
        <w:rPr>
          <w:rFonts w:ascii="宋体" w:hAnsi="宋体" w:eastAsia="宋体" w:cs="宋体"/>
          <w:sz w:val="24"/>
          <w:szCs w:val="24"/>
        </w:rPr>
        <w:t>（以下简称“本业务”）是指：若投资者持有的某只基金产品具有</w:t>
      </w:r>
      <w:r>
        <w:rPr>
          <w:rFonts w:hint="eastAsia" w:ascii="宋体" w:hAnsi="宋体" w:eastAsia="宋体" w:cs="宋体"/>
          <w:sz w:val="24"/>
          <w:szCs w:val="24"/>
        </w:rPr>
        <w:t>登记在同一登记机构的</w:t>
      </w:r>
      <w:r>
        <w:rPr>
          <w:rFonts w:ascii="宋体" w:hAnsi="宋体" w:eastAsia="宋体" w:cs="宋体"/>
          <w:sz w:val="24"/>
          <w:szCs w:val="24"/>
        </w:rPr>
        <w:t xml:space="preserve">多种类别基金份额（各类基金份额分设不同的基金代码），投资者可以将其持有的某一类基金份额转换成同只基金的其他类基金份额。如某只基金产品具有 A 类份额、C 类份额和 E 类份额，投资者可以将其持有的 A 类份额转换成同只基金的 C 类份额或 E 类份额，或将其持有的C 类份额转换成同只基金的 A 类份额或 E 类份额，或将其持有的E 类份额转换成同只基金的 A 类份额或 C 类份额。 </w:t>
      </w:r>
    </w:p>
    <w:p w14:paraId="0B4CEC44">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同一基金不同类别基金份额间转换转出的最低申请基金份额适用该基金最低</w:t>
      </w:r>
      <w:r>
        <w:rPr>
          <w:rFonts w:hint="eastAsia" w:ascii="宋体" w:hAnsi="宋体" w:eastAsia="宋体" w:cs="宋体"/>
          <w:sz w:val="24"/>
          <w:szCs w:val="24"/>
          <w:lang w:val="en-US" w:eastAsia="zh-CN"/>
        </w:rPr>
        <w:t>转换</w:t>
      </w:r>
      <w:r>
        <w:rPr>
          <w:rFonts w:ascii="宋体" w:hAnsi="宋体" w:eastAsia="宋体" w:cs="宋体"/>
          <w:sz w:val="24"/>
          <w:szCs w:val="24"/>
        </w:rPr>
        <w:t>份额的规定。若投资者</w:t>
      </w:r>
      <w:r>
        <w:rPr>
          <w:rFonts w:hint="eastAsia" w:ascii="宋体" w:hAnsi="宋体" w:eastAsia="宋体" w:cs="宋体"/>
          <w:sz w:val="24"/>
          <w:szCs w:val="24"/>
          <w:lang w:val="en-US" w:eastAsia="zh-CN"/>
        </w:rPr>
        <w:t>持有</w:t>
      </w:r>
      <w:r>
        <w:rPr>
          <w:rFonts w:ascii="宋体" w:hAnsi="宋体" w:eastAsia="宋体" w:cs="宋体"/>
          <w:sz w:val="24"/>
          <w:szCs w:val="24"/>
        </w:rPr>
        <w:t>的基金份额小于最低</w:t>
      </w:r>
      <w:r>
        <w:rPr>
          <w:rFonts w:hint="eastAsia" w:ascii="宋体" w:hAnsi="宋体" w:eastAsia="宋体" w:cs="宋体"/>
          <w:sz w:val="24"/>
          <w:szCs w:val="24"/>
          <w:lang w:val="en-US" w:eastAsia="zh-CN"/>
        </w:rPr>
        <w:t>转换</w:t>
      </w:r>
      <w:r>
        <w:rPr>
          <w:rFonts w:ascii="宋体" w:hAnsi="宋体" w:eastAsia="宋体" w:cs="宋体"/>
          <w:sz w:val="24"/>
          <w:szCs w:val="24"/>
        </w:rPr>
        <w:t xml:space="preserve">份额，必须转换转出全部该类基金份额。 </w:t>
      </w:r>
    </w:p>
    <w:p w14:paraId="6B1F4041">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同一基金不同类别基金份额间相互转换，原持有期限不延续计算。即转入份额在赎回或转出时，按持有时段适用的赎回费档次计算赎回费的，该持有时段为该部分份额转入确认日起至该部分份额赎回或转出确认日止的持有期限。</w:t>
      </w:r>
    </w:p>
    <w:p w14:paraId="6C318118">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不同份额类别转换时，以申请当日基金份额净值为基础计算。投资者采用“份额转换、未知价”的原则提交申请，不同份额类别转换遵循“先进先出”的业务规则。</w:t>
      </w:r>
    </w:p>
    <w:p w14:paraId="222776FA">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 xml:space="preserve"> 投资者办理本业务时，转出</w:t>
      </w:r>
      <w:r>
        <w:rPr>
          <w:rFonts w:hint="eastAsia" w:ascii="宋体" w:hAnsi="宋体" w:eastAsia="宋体" w:cs="宋体"/>
          <w:sz w:val="24"/>
          <w:szCs w:val="24"/>
          <w:lang w:eastAsia="zh-CN"/>
        </w:rPr>
        <w:t>基金</w:t>
      </w:r>
      <w:r>
        <w:rPr>
          <w:rFonts w:ascii="宋体" w:hAnsi="宋体" w:eastAsia="宋体" w:cs="宋体"/>
          <w:sz w:val="24"/>
          <w:szCs w:val="24"/>
        </w:rPr>
        <w:t>份额必须处于可赎回状态，转入</w:t>
      </w:r>
      <w:r>
        <w:rPr>
          <w:rFonts w:hint="eastAsia" w:ascii="宋体" w:hAnsi="宋体" w:eastAsia="宋体" w:cs="宋体"/>
          <w:sz w:val="24"/>
          <w:szCs w:val="24"/>
          <w:lang w:eastAsia="zh-CN"/>
        </w:rPr>
        <w:t>基金</w:t>
      </w:r>
      <w:r>
        <w:rPr>
          <w:rFonts w:ascii="宋体" w:hAnsi="宋体" w:eastAsia="宋体" w:cs="宋体"/>
          <w:sz w:val="24"/>
          <w:szCs w:val="24"/>
        </w:rPr>
        <w:t xml:space="preserve">份额必须处于可申购状态。 </w:t>
      </w:r>
    </w:p>
    <w:p w14:paraId="70F8E664">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本业务与</w:t>
      </w:r>
      <w:r>
        <w:rPr>
          <w:rFonts w:hint="eastAsia" w:ascii="宋体" w:hAnsi="宋体" w:eastAsia="宋体" w:cs="宋体"/>
          <w:sz w:val="24"/>
          <w:szCs w:val="24"/>
          <w:lang w:eastAsia="zh-CN"/>
        </w:rPr>
        <w:t>本</w:t>
      </w:r>
      <w:r>
        <w:rPr>
          <w:rFonts w:ascii="宋体" w:hAnsi="宋体" w:eastAsia="宋体" w:cs="宋体"/>
          <w:sz w:val="24"/>
          <w:szCs w:val="24"/>
        </w:rPr>
        <w:t>公司已经开通的不同基金之间相互转换业务不产生冲突。</w:t>
      </w:r>
    </w:p>
    <w:p w14:paraId="4C5CEE14">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本公司旗下管理的其他开放式基金将根据具体情况确定是否适用不同份额类别之间的转换业务，请投资者以相关公告为准。</w:t>
      </w:r>
    </w:p>
    <w:p w14:paraId="701023A1">
      <w:pPr>
        <w:numPr>
          <w:ilvl w:val="0"/>
          <w:numId w:val="1"/>
        </w:numPr>
        <w:spacing w:line="480" w:lineRule="auto"/>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自2026年5月27日起</w:t>
      </w:r>
      <w:r>
        <w:rPr>
          <w:rFonts w:hint="eastAsia" w:ascii="宋体" w:hAnsi="宋体" w:eastAsia="宋体" w:cs="宋体"/>
          <w:sz w:val="24"/>
          <w:szCs w:val="24"/>
          <w:highlight w:val="none"/>
        </w:rPr>
        <w:t>，本公司直销</w:t>
      </w:r>
      <w:r>
        <w:rPr>
          <w:rFonts w:hint="eastAsia" w:ascii="宋体" w:hAnsi="宋体" w:eastAsia="宋体" w:cs="宋体"/>
          <w:sz w:val="24"/>
          <w:szCs w:val="24"/>
          <w:highlight w:val="none"/>
          <w:lang w:val="en-US" w:eastAsia="zh-CN"/>
        </w:rPr>
        <w:t>渠道</w:t>
      </w:r>
      <w:r>
        <w:rPr>
          <w:rFonts w:hint="eastAsia" w:ascii="宋体" w:hAnsi="宋体" w:eastAsia="宋体" w:cs="宋体"/>
          <w:sz w:val="24"/>
          <w:szCs w:val="24"/>
          <w:highlight w:val="none"/>
        </w:rPr>
        <w:t>开通本业务。由于各销售机构的系统差异以及业务安排等原因，开展同一基金不同类别基金份额之间转换业务的时间及其他未尽事宜详见各销售机构的相关业务规则和公告。</w:t>
      </w:r>
    </w:p>
    <w:p w14:paraId="37FDDB2F">
      <w:pPr>
        <w:numPr>
          <w:ilvl w:val="0"/>
          <w:numId w:val="2"/>
        </w:numPr>
        <w:spacing w:line="480" w:lineRule="auto"/>
        <w:ind w:firstLine="723" w:firstLineChars="300"/>
        <w:jc w:val="left"/>
        <w:rPr>
          <w:rFonts w:ascii="宋体" w:hAnsi="宋体" w:eastAsia="宋体" w:cs="宋体"/>
          <w:b/>
          <w:bCs/>
          <w:sz w:val="24"/>
          <w:szCs w:val="24"/>
        </w:rPr>
      </w:pPr>
      <w:r>
        <w:rPr>
          <w:rFonts w:ascii="宋体" w:hAnsi="宋体" w:eastAsia="宋体" w:cs="宋体"/>
          <w:b/>
          <w:bCs/>
          <w:sz w:val="24"/>
          <w:szCs w:val="24"/>
        </w:rPr>
        <w:t>同一基金不同类别基金份额间相互转换业务的费率计算</w:t>
      </w:r>
    </w:p>
    <w:p w14:paraId="7CF9CDC7">
      <w:pPr>
        <w:numPr>
          <w:ilvl w:val="0"/>
          <w:numId w:val="3"/>
        </w:numPr>
        <w:spacing w:line="480" w:lineRule="auto"/>
        <w:ind w:firstLine="480" w:firstLineChars="200"/>
        <w:jc w:val="left"/>
        <w:rPr>
          <w:rFonts w:hint="eastAsia" w:ascii="宋体" w:hAnsi="宋体" w:eastAsia="宋体" w:cs="宋体"/>
          <w:sz w:val="24"/>
          <w:szCs w:val="24"/>
        </w:rPr>
      </w:pPr>
      <w:r>
        <w:rPr>
          <w:rFonts w:ascii="宋体" w:hAnsi="宋体" w:eastAsia="宋体" w:cs="宋体"/>
          <w:sz w:val="24"/>
          <w:szCs w:val="24"/>
        </w:rPr>
        <w:t>基金</w:t>
      </w:r>
      <w:r>
        <w:rPr>
          <w:rFonts w:hint="eastAsia" w:ascii="宋体" w:hAnsi="宋体" w:eastAsia="宋体" w:cs="宋体"/>
          <w:sz w:val="24"/>
          <w:szCs w:val="24"/>
          <w:lang w:eastAsia="zh-CN"/>
        </w:rPr>
        <w:t>份额</w:t>
      </w:r>
      <w:r>
        <w:rPr>
          <w:rFonts w:ascii="宋体" w:hAnsi="宋体" w:eastAsia="宋体" w:cs="宋体"/>
          <w:sz w:val="24"/>
          <w:szCs w:val="24"/>
        </w:rPr>
        <w:t>转换费用由转出和转入基金</w:t>
      </w:r>
      <w:r>
        <w:rPr>
          <w:rFonts w:hint="eastAsia" w:ascii="宋体" w:hAnsi="宋体" w:eastAsia="宋体" w:cs="宋体"/>
          <w:sz w:val="24"/>
          <w:szCs w:val="24"/>
          <w:lang w:eastAsia="zh-CN"/>
        </w:rPr>
        <w:t>份额类别</w:t>
      </w:r>
      <w:r>
        <w:rPr>
          <w:rFonts w:ascii="宋体" w:hAnsi="宋体" w:eastAsia="宋体" w:cs="宋体"/>
          <w:sz w:val="24"/>
          <w:szCs w:val="24"/>
        </w:rPr>
        <w:t>的申购费补差和转出基金</w:t>
      </w:r>
      <w:r>
        <w:rPr>
          <w:rFonts w:hint="eastAsia" w:ascii="宋体" w:hAnsi="宋体" w:eastAsia="宋体" w:cs="宋体"/>
          <w:sz w:val="24"/>
          <w:szCs w:val="24"/>
          <w:lang w:eastAsia="zh-CN"/>
        </w:rPr>
        <w:t>份额类别</w:t>
      </w:r>
      <w:r>
        <w:rPr>
          <w:rFonts w:ascii="宋体" w:hAnsi="宋体" w:eastAsia="宋体" w:cs="宋体"/>
          <w:sz w:val="24"/>
          <w:szCs w:val="24"/>
        </w:rPr>
        <w:t>的赎回费两部分构成，具体收取情况视每次转换时两</w:t>
      </w:r>
      <w:r>
        <w:rPr>
          <w:rFonts w:hint="eastAsia" w:ascii="宋体" w:hAnsi="宋体" w:eastAsia="宋体" w:cs="宋体"/>
          <w:sz w:val="24"/>
          <w:szCs w:val="24"/>
          <w:lang w:eastAsia="zh-CN"/>
        </w:rPr>
        <w:t>类</w:t>
      </w:r>
      <w:r>
        <w:rPr>
          <w:rFonts w:ascii="宋体" w:hAnsi="宋体" w:eastAsia="宋体" w:cs="宋体"/>
          <w:sz w:val="24"/>
          <w:szCs w:val="24"/>
        </w:rPr>
        <w:t>基金</w:t>
      </w:r>
      <w:r>
        <w:rPr>
          <w:rFonts w:hint="eastAsia" w:ascii="宋体" w:hAnsi="宋体" w:eastAsia="宋体" w:cs="宋体"/>
          <w:sz w:val="24"/>
          <w:szCs w:val="24"/>
          <w:lang w:eastAsia="zh-CN"/>
        </w:rPr>
        <w:t>份额类别</w:t>
      </w:r>
      <w:r>
        <w:rPr>
          <w:rFonts w:ascii="宋体" w:hAnsi="宋体" w:eastAsia="宋体" w:cs="宋体"/>
          <w:sz w:val="24"/>
          <w:szCs w:val="24"/>
        </w:rPr>
        <w:t xml:space="preserve">的申购费率差异情况和赎回费率而定。基金转换费用由基金份额持有人承担。 </w:t>
      </w:r>
    </w:p>
    <w:p w14:paraId="525EEF66">
      <w:pPr>
        <w:numPr>
          <w:ilvl w:val="0"/>
          <w:numId w:val="3"/>
        </w:numPr>
        <w:spacing w:line="480" w:lineRule="auto"/>
        <w:ind w:firstLine="480" w:firstLineChars="200"/>
        <w:jc w:val="left"/>
        <w:rPr>
          <w:rFonts w:hint="eastAsia" w:ascii="宋体" w:hAnsi="宋体" w:eastAsia="宋体" w:cs="宋体"/>
          <w:sz w:val="24"/>
          <w:szCs w:val="24"/>
        </w:rPr>
      </w:pPr>
      <w:r>
        <w:rPr>
          <w:rFonts w:ascii="宋体" w:hAnsi="宋体" w:eastAsia="宋体" w:cs="宋体"/>
          <w:sz w:val="24"/>
          <w:szCs w:val="24"/>
        </w:rPr>
        <w:t>转入基金</w:t>
      </w:r>
      <w:r>
        <w:rPr>
          <w:rFonts w:hint="eastAsia" w:ascii="宋体" w:hAnsi="宋体" w:eastAsia="宋体" w:cs="宋体"/>
          <w:sz w:val="24"/>
          <w:szCs w:val="24"/>
          <w:lang w:eastAsia="zh-CN"/>
        </w:rPr>
        <w:t>份额类别</w:t>
      </w:r>
      <w:r>
        <w:rPr>
          <w:rFonts w:ascii="宋体" w:hAnsi="宋体" w:eastAsia="宋体" w:cs="宋体"/>
          <w:sz w:val="24"/>
          <w:szCs w:val="24"/>
        </w:rPr>
        <w:t>申购补差费：按照转入基金</w:t>
      </w:r>
      <w:r>
        <w:rPr>
          <w:rFonts w:hint="eastAsia" w:ascii="宋体" w:hAnsi="宋体" w:eastAsia="宋体" w:cs="宋体"/>
          <w:sz w:val="24"/>
          <w:szCs w:val="24"/>
          <w:lang w:eastAsia="zh-CN"/>
        </w:rPr>
        <w:t>份额类别</w:t>
      </w:r>
      <w:r>
        <w:rPr>
          <w:rFonts w:ascii="宋体" w:hAnsi="宋体" w:eastAsia="宋体" w:cs="宋体"/>
          <w:sz w:val="24"/>
          <w:szCs w:val="24"/>
        </w:rPr>
        <w:t>与转出基金</w:t>
      </w:r>
      <w:r>
        <w:rPr>
          <w:rFonts w:hint="eastAsia" w:ascii="宋体" w:hAnsi="宋体" w:eastAsia="宋体" w:cs="宋体"/>
          <w:sz w:val="24"/>
          <w:szCs w:val="24"/>
          <w:lang w:eastAsia="zh-CN"/>
        </w:rPr>
        <w:t>份额类别</w:t>
      </w:r>
      <w:r>
        <w:rPr>
          <w:rFonts w:ascii="宋体" w:hAnsi="宋体" w:eastAsia="宋体" w:cs="宋体"/>
          <w:sz w:val="24"/>
          <w:szCs w:val="24"/>
        </w:rPr>
        <w:t>的申购费的差额收取补差费。转出基金</w:t>
      </w:r>
      <w:r>
        <w:rPr>
          <w:rFonts w:hint="eastAsia" w:ascii="宋体" w:hAnsi="宋体" w:eastAsia="宋体" w:cs="宋体"/>
          <w:sz w:val="24"/>
          <w:szCs w:val="24"/>
          <w:lang w:eastAsia="zh-CN"/>
        </w:rPr>
        <w:t>份额类别</w:t>
      </w:r>
      <w:r>
        <w:rPr>
          <w:rFonts w:ascii="宋体" w:hAnsi="宋体" w:eastAsia="宋体" w:cs="宋体"/>
          <w:sz w:val="24"/>
          <w:szCs w:val="24"/>
        </w:rPr>
        <w:t>所对应的转出基金</w:t>
      </w:r>
      <w:r>
        <w:rPr>
          <w:rFonts w:hint="eastAsia" w:ascii="宋体" w:hAnsi="宋体" w:eastAsia="宋体" w:cs="宋体"/>
          <w:sz w:val="24"/>
          <w:szCs w:val="24"/>
          <w:lang w:eastAsia="zh-CN"/>
        </w:rPr>
        <w:t>份额类别</w:t>
      </w:r>
      <w:r>
        <w:rPr>
          <w:rFonts w:ascii="宋体" w:hAnsi="宋体" w:eastAsia="宋体" w:cs="宋体"/>
          <w:sz w:val="24"/>
          <w:szCs w:val="24"/>
        </w:rPr>
        <w:t>申购费率低于转入基金</w:t>
      </w:r>
      <w:r>
        <w:rPr>
          <w:rFonts w:hint="eastAsia" w:ascii="宋体" w:hAnsi="宋体" w:eastAsia="宋体" w:cs="宋体"/>
          <w:sz w:val="24"/>
          <w:szCs w:val="24"/>
          <w:lang w:eastAsia="zh-CN"/>
        </w:rPr>
        <w:t>份额类别</w:t>
      </w:r>
      <w:r>
        <w:rPr>
          <w:rFonts w:ascii="宋体" w:hAnsi="宋体" w:eastAsia="宋体" w:cs="宋体"/>
          <w:sz w:val="24"/>
          <w:szCs w:val="24"/>
        </w:rPr>
        <w:t>的申购费率的，补差费为转入基金</w:t>
      </w:r>
      <w:r>
        <w:rPr>
          <w:rFonts w:hint="eastAsia" w:ascii="宋体" w:hAnsi="宋体" w:eastAsia="宋体" w:cs="宋体"/>
          <w:sz w:val="24"/>
          <w:szCs w:val="24"/>
          <w:lang w:eastAsia="zh-CN"/>
        </w:rPr>
        <w:t>份额类别</w:t>
      </w:r>
      <w:r>
        <w:rPr>
          <w:rFonts w:ascii="宋体" w:hAnsi="宋体" w:eastAsia="宋体" w:cs="宋体"/>
          <w:sz w:val="24"/>
          <w:szCs w:val="24"/>
        </w:rPr>
        <w:t>和转出基金</w:t>
      </w:r>
      <w:r>
        <w:rPr>
          <w:rFonts w:hint="eastAsia" w:ascii="宋体" w:hAnsi="宋体" w:eastAsia="宋体" w:cs="宋体"/>
          <w:sz w:val="24"/>
          <w:szCs w:val="24"/>
          <w:lang w:eastAsia="zh-CN"/>
        </w:rPr>
        <w:t>份额类别</w:t>
      </w:r>
      <w:r>
        <w:rPr>
          <w:rFonts w:ascii="宋体" w:hAnsi="宋体" w:eastAsia="宋体" w:cs="宋体"/>
          <w:sz w:val="24"/>
          <w:szCs w:val="24"/>
        </w:rPr>
        <w:t>的申购费差额；转出基金</w:t>
      </w:r>
      <w:r>
        <w:rPr>
          <w:rFonts w:hint="eastAsia" w:ascii="宋体" w:hAnsi="宋体" w:eastAsia="宋体" w:cs="宋体"/>
          <w:sz w:val="24"/>
          <w:szCs w:val="24"/>
          <w:lang w:eastAsia="zh-CN"/>
        </w:rPr>
        <w:t>份额类别</w:t>
      </w:r>
      <w:r>
        <w:rPr>
          <w:rFonts w:ascii="宋体" w:hAnsi="宋体" w:eastAsia="宋体" w:cs="宋体"/>
          <w:sz w:val="24"/>
          <w:szCs w:val="24"/>
        </w:rPr>
        <w:t>所对应的转出基金</w:t>
      </w:r>
      <w:r>
        <w:rPr>
          <w:rFonts w:hint="eastAsia" w:ascii="宋体" w:hAnsi="宋体" w:eastAsia="宋体" w:cs="宋体"/>
          <w:sz w:val="24"/>
          <w:szCs w:val="24"/>
          <w:lang w:eastAsia="zh-CN"/>
        </w:rPr>
        <w:t>份额类别</w:t>
      </w:r>
      <w:r>
        <w:rPr>
          <w:rFonts w:ascii="宋体" w:hAnsi="宋体" w:eastAsia="宋体" w:cs="宋体"/>
          <w:sz w:val="24"/>
          <w:szCs w:val="24"/>
        </w:rPr>
        <w:t xml:space="preserve">申购费率高于或等于转入基金的申购费率的，补差费为零。 </w:t>
      </w:r>
    </w:p>
    <w:p w14:paraId="2AA2AE07">
      <w:pPr>
        <w:numPr>
          <w:ilvl w:val="0"/>
          <w:numId w:val="3"/>
        </w:numPr>
        <w:spacing w:line="480" w:lineRule="auto"/>
        <w:ind w:firstLine="480" w:firstLineChars="200"/>
        <w:jc w:val="left"/>
        <w:rPr>
          <w:rFonts w:hint="eastAsia" w:ascii="宋体" w:hAnsi="宋体" w:eastAsia="宋体" w:cs="宋体"/>
          <w:sz w:val="24"/>
          <w:szCs w:val="24"/>
        </w:rPr>
      </w:pPr>
      <w:r>
        <w:rPr>
          <w:rFonts w:ascii="宋体" w:hAnsi="宋体" w:eastAsia="宋体" w:cs="宋体"/>
          <w:sz w:val="24"/>
          <w:szCs w:val="24"/>
        </w:rPr>
        <w:t>转出基金</w:t>
      </w:r>
      <w:r>
        <w:rPr>
          <w:rFonts w:hint="eastAsia" w:ascii="宋体" w:hAnsi="宋体" w:eastAsia="宋体" w:cs="宋体"/>
          <w:sz w:val="24"/>
          <w:szCs w:val="24"/>
          <w:lang w:eastAsia="zh-CN"/>
        </w:rPr>
        <w:t>份额类别</w:t>
      </w:r>
      <w:r>
        <w:rPr>
          <w:rFonts w:ascii="宋体" w:hAnsi="宋体" w:eastAsia="宋体" w:cs="宋体"/>
          <w:sz w:val="24"/>
          <w:szCs w:val="24"/>
        </w:rPr>
        <w:t>赎回费：按转出基金</w:t>
      </w:r>
      <w:r>
        <w:rPr>
          <w:rFonts w:hint="eastAsia" w:ascii="宋体" w:hAnsi="宋体" w:eastAsia="宋体" w:cs="宋体"/>
          <w:sz w:val="24"/>
          <w:szCs w:val="24"/>
          <w:lang w:eastAsia="zh-CN"/>
        </w:rPr>
        <w:t>份额类别</w:t>
      </w:r>
      <w:r>
        <w:rPr>
          <w:rFonts w:ascii="宋体" w:hAnsi="宋体" w:eastAsia="宋体" w:cs="宋体"/>
          <w:sz w:val="24"/>
          <w:szCs w:val="24"/>
        </w:rPr>
        <w:t>正常赎回时的赎回费率收取费用。</w:t>
      </w:r>
    </w:p>
    <w:p w14:paraId="6163EC0E">
      <w:pPr>
        <w:numPr>
          <w:ilvl w:val="0"/>
          <w:numId w:val="2"/>
        </w:numPr>
        <w:spacing w:line="480" w:lineRule="auto"/>
        <w:ind w:firstLine="723" w:firstLineChars="300"/>
        <w:jc w:val="left"/>
        <w:rPr>
          <w:rFonts w:hint="eastAsia" w:ascii="宋体" w:hAnsi="宋体" w:eastAsia="宋体" w:cs="宋体"/>
          <w:b/>
          <w:bCs/>
          <w:sz w:val="24"/>
          <w:szCs w:val="24"/>
        </w:rPr>
      </w:pPr>
      <w:r>
        <w:rPr>
          <w:rFonts w:ascii="宋体" w:hAnsi="宋体" w:eastAsia="宋体" w:cs="宋体"/>
          <w:b/>
          <w:bCs/>
          <w:sz w:val="24"/>
          <w:szCs w:val="24"/>
        </w:rPr>
        <w:t>业务办理时间</w:t>
      </w:r>
    </w:p>
    <w:p w14:paraId="0251F8FF">
      <w:pPr>
        <w:pStyle w:val="3"/>
        <w:numPr>
          <w:ilvl w:val="0"/>
          <w:numId w:val="4"/>
        </w:numPr>
        <w:spacing w:before="0" w:beforeAutospacing="0" w:after="0" w:afterAutospacing="0" w:line="480" w:lineRule="auto"/>
        <w:ind w:firstLine="420"/>
        <w:rPr>
          <w:rFonts w:hint="eastAsia" w:ascii="宋体" w:hAnsi="宋体" w:eastAsia="宋体" w:cs="宋体"/>
          <w:kern w:val="2"/>
          <w:sz w:val="24"/>
          <w:szCs w:val="24"/>
          <w:lang w:val="en-US" w:eastAsia="zh-CN" w:bidi="ar-SA"/>
        </w:rPr>
      </w:pPr>
      <w:r>
        <w:rPr>
          <w:rFonts w:ascii="宋体" w:hAnsi="宋体" w:eastAsia="宋体" w:cs="宋体"/>
          <w:sz w:val="24"/>
          <w:szCs w:val="24"/>
        </w:rPr>
        <w:t>本业务的具体办理时间为上海证券交易所、深圳证券交易所的正常交易日的交易时间</w:t>
      </w:r>
      <w:r>
        <w:rPr>
          <w:rFonts w:hint="eastAsia" w:ascii="宋体" w:hAnsi="宋体" w:eastAsia="宋体" w:cs="宋体"/>
          <w:kern w:val="2"/>
          <w:sz w:val="24"/>
          <w:szCs w:val="24"/>
          <w:lang w:val="en-US" w:eastAsia="zh-CN" w:bidi="ar-SA"/>
        </w:rPr>
        <w:t xml:space="preserve">（本公司公告暂停申购或转换时除外）。投资者可以在上述基金的开放期内，到上述基金的销售机构咨询和办理本业务。  </w:t>
      </w:r>
    </w:p>
    <w:p w14:paraId="2E275247">
      <w:pPr>
        <w:pStyle w:val="3"/>
        <w:numPr>
          <w:ilvl w:val="0"/>
          <w:numId w:val="4"/>
        </w:numPr>
        <w:spacing w:before="0" w:beforeAutospacing="0" w:after="0" w:afterAutospacing="0" w:line="480" w:lineRule="auto"/>
        <w:ind w:firstLine="420"/>
        <w:rPr>
          <w:rFonts w:hint="eastAsia"/>
        </w:rPr>
      </w:pPr>
      <w:r>
        <w:rPr>
          <w:rFonts w:hint="eastAsia"/>
        </w:rPr>
        <w:t xml:space="preserve">如有疑问，请拨打博时一线通：95105568（免长途话费）或登录本公司网站www.bosera.com获取相关信息。 </w:t>
      </w:r>
    </w:p>
    <w:p w14:paraId="295D6BEF">
      <w:pPr>
        <w:pStyle w:val="3"/>
        <w:numPr>
          <w:ilvl w:val="0"/>
          <w:numId w:val="4"/>
        </w:numPr>
        <w:spacing w:before="0" w:beforeAutospacing="0" w:after="0" w:afterAutospacing="0" w:line="480" w:lineRule="auto"/>
        <w:ind w:firstLine="420"/>
        <w:rPr>
          <w:rFonts w:hint="eastAsia"/>
        </w:rPr>
      </w:pPr>
      <w:r>
        <w:rPr>
          <w:rFonts w:hint="eastAsia"/>
        </w:rPr>
        <w:t xml:space="preserve">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5B11D32C">
      <w:pPr>
        <w:pStyle w:val="3"/>
        <w:spacing w:before="0" w:beforeAutospacing="0" w:after="0" w:afterAutospacing="0" w:line="360" w:lineRule="auto"/>
        <w:ind w:firstLine="420"/>
        <w:rPr>
          <w:rFonts w:hint="eastAsia"/>
        </w:rPr>
      </w:pPr>
      <w:r>
        <w:rPr>
          <w:rFonts w:hint="eastAsia"/>
        </w:rPr>
        <w:t xml:space="preserve">特此公告。 </w:t>
      </w:r>
    </w:p>
    <w:p w14:paraId="4E5DCB2E">
      <w:pPr>
        <w:pStyle w:val="3"/>
        <w:spacing w:before="0" w:beforeAutospacing="0" w:after="0" w:afterAutospacing="0" w:line="360" w:lineRule="auto"/>
        <w:ind w:firstLine="420"/>
      </w:pPr>
    </w:p>
    <w:p w14:paraId="0187756C">
      <w:pPr>
        <w:pStyle w:val="3"/>
        <w:spacing w:before="0" w:beforeAutospacing="0" w:after="0" w:afterAutospacing="0" w:line="360" w:lineRule="auto"/>
        <w:ind w:firstLine="420"/>
      </w:pPr>
      <w:bookmarkStart w:id="1" w:name="_GoBack"/>
      <w:bookmarkEnd w:id="1"/>
    </w:p>
    <w:p w14:paraId="68AE36A9">
      <w:pPr>
        <w:pStyle w:val="3"/>
        <w:spacing w:before="0" w:beforeAutospacing="0" w:after="0" w:afterAutospacing="0" w:line="360" w:lineRule="auto"/>
        <w:ind w:firstLine="420"/>
      </w:pPr>
    </w:p>
    <w:p w14:paraId="2384C0BC">
      <w:pPr>
        <w:pStyle w:val="3"/>
        <w:spacing w:before="0" w:beforeAutospacing="0" w:after="0" w:afterAutospacing="0" w:line="360" w:lineRule="auto"/>
        <w:ind w:firstLine="420"/>
        <w:jc w:val="right"/>
        <w:rPr>
          <w:rFonts w:hint="eastAsia"/>
        </w:rPr>
      </w:pPr>
      <w:r>
        <w:rPr>
          <w:rFonts w:hint="eastAsia"/>
        </w:rPr>
        <w:t>博时基金管理有限公司</w:t>
      </w:r>
    </w:p>
    <w:p w14:paraId="081D8D56">
      <w:pPr>
        <w:pStyle w:val="3"/>
        <w:spacing w:before="0" w:beforeAutospacing="0" w:after="0" w:afterAutospacing="0" w:line="360" w:lineRule="auto"/>
        <w:ind w:firstLine="420"/>
        <w:jc w:val="right"/>
        <w:rPr>
          <w:highlight w:val="none"/>
        </w:rPr>
      </w:pPr>
      <w:r>
        <w:rPr>
          <w:highlight w:val="none"/>
        </w:rPr>
        <w:t>202</w:t>
      </w:r>
      <w:r>
        <w:rPr>
          <w:rFonts w:hint="eastAsia"/>
          <w:highlight w:val="none"/>
          <w:lang w:val="en-US" w:eastAsia="zh-CN"/>
        </w:rPr>
        <w:t>6</w:t>
      </w:r>
      <w:r>
        <w:rPr>
          <w:highlight w:val="none"/>
        </w:rPr>
        <w:t>年</w:t>
      </w:r>
      <w:r>
        <w:rPr>
          <w:rFonts w:hint="eastAsia"/>
          <w:highlight w:val="none"/>
          <w:lang w:val="en-US" w:eastAsia="zh-CN"/>
        </w:rPr>
        <w:t>5</w:t>
      </w:r>
      <w:r>
        <w:rPr>
          <w:highlight w:val="none"/>
        </w:rPr>
        <w:t>月</w:t>
      </w:r>
      <w:r>
        <w:rPr>
          <w:rFonts w:hint="eastAsia"/>
          <w:highlight w:val="none"/>
          <w:lang w:val="en-US" w:eastAsia="zh-CN"/>
        </w:rPr>
        <w:t>26</w:t>
      </w:r>
      <w:r>
        <w:rPr>
          <w:highlight w:val="none"/>
        </w:rPr>
        <w:t>日</w:t>
      </w:r>
    </w:p>
    <w:p w14:paraId="14D417D2">
      <w:pPr>
        <w:pStyle w:val="3"/>
        <w:numPr>
          <w:ilvl w:val="0"/>
          <w:numId w:val="0"/>
        </w:numPr>
        <w:spacing w:before="0" w:beforeAutospacing="0" w:after="0" w:afterAutospacing="0" w:line="480" w:lineRule="auto"/>
        <w:rPr>
          <w:rFonts w:ascii="宋体" w:hAnsi="宋体" w:eastAsia="宋体" w:cs="宋体"/>
          <w:kern w:val="2"/>
          <w:sz w:val="24"/>
          <w:szCs w:val="24"/>
          <w:lang w:val="en-US" w:eastAsia="zh-CN" w:bidi="ar-SA"/>
        </w:rPr>
      </w:pPr>
    </w:p>
    <w:p w14:paraId="1CCA4C09">
      <w:pPr>
        <w:numPr>
          <w:ilvl w:val="0"/>
          <w:numId w:val="0"/>
        </w:numPr>
        <w:spacing w:line="480" w:lineRule="auto"/>
        <w:ind w:firstLine="480" w:firstLineChars="200"/>
        <w:jc w:val="left"/>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5CCFDC"/>
    <w:multiLevelType w:val="singleLevel"/>
    <w:tmpl w:val="C15CCFDC"/>
    <w:lvl w:ilvl="0" w:tentative="0">
      <w:start w:val="1"/>
      <w:numFmt w:val="decimal"/>
      <w:suff w:val="space"/>
      <w:lvlText w:val="%1、"/>
      <w:lvlJc w:val="left"/>
    </w:lvl>
  </w:abstractNum>
  <w:abstractNum w:abstractNumId="1">
    <w:nsid w:val="D463F8E9"/>
    <w:multiLevelType w:val="singleLevel"/>
    <w:tmpl w:val="D463F8E9"/>
    <w:lvl w:ilvl="0" w:tentative="0">
      <w:start w:val="2"/>
      <w:numFmt w:val="chineseCounting"/>
      <w:suff w:val="nothing"/>
      <w:lvlText w:val="%1、"/>
      <w:lvlJc w:val="left"/>
      <w:rPr>
        <w:rFonts w:hint="eastAsia"/>
      </w:rPr>
    </w:lvl>
  </w:abstractNum>
  <w:abstractNum w:abstractNumId="2">
    <w:nsid w:val="F28B17B7"/>
    <w:multiLevelType w:val="singleLevel"/>
    <w:tmpl w:val="F28B17B7"/>
    <w:lvl w:ilvl="0" w:tentative="0">
      <w:start w:val="1"/>
      <w:numFmt w:val="decimal"/>
      <w:suff w:val="space"/>
      <w:lvlText w:val="%1、"/>
      <w:lvlJc w:val="left"/>
    </w:lvl>
  </w:abstractNum>
  <w:abstractNum w:abstractNumId="3">
    <w:nsid w:val="51B4DD8A"/>
    <w:multiLevelType w:val="singleLevel"/>
    <w:tmpl w:val="51B4DD8A"/>
    <w:lvl w:ilvl="0" w:tentative="0">
      <w:start w:val="1"/>
      <w:numFmt w:val="decimal"/>
      <w:suff w:val="space"/>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304FC2"/>
    <w:rsid w:val="01357633"/>
    <w:rsid w:val="01E75C04"/>
    <w:rsid w:val="07EC2382"/>
    <w:rsid w:val="083C4741"/>
    <w:rsid w:val="0DE17F09"/>
    <w:rsid w:val="10036AE6"/>
    <w:rsid w:val="13A251C9"/>
    <w:rsid w:val="17501D2B"/>
    <w:rsid w:val="1C88302C"/>
    <w:rsid w:val="21A6415E"/>
    <w:rsid w:val="2D304FC2"/>
    <w:rsid w:val="3B431EB1"/>
    <w:rsid w:val="3F75242A"/>
    <w:rsid w:val="4294733C"/>
    <w:rsid w:val="42F63037"/>
    <w:rsid w:val="46537B70"/>
    <w:rsid w:val="488D1A75"/>
    <w:rsid w:val="56FD0421"/>
    <w:rsid w:val="5EFE651D"/>
    <w:rsid w:val="71FB4BF6"/>
    <w:rsid w:val="74D92C7A"/>
    <w:rsid w:val="7AD031C6"/>
    <w:rsid w:val="7D6150D2"/>
    <w:rsid w:val="7E2C72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39</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2025-10-15T02:01:00Z</dcterms:created>
  <dc:creator>sunhm</dc:creator>
  <cp:lastModifiedBy>panan</cp:lastModifiedBy>
  <dcterms:modified xsi:type="dcterms:W3CDTF">2026-05-25T05:53:15Z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665B296606314608B146BBF8D0B0E3E8_13</vt:lpwstr>
  </property>
</Properties>
</file>