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AA461"/>
    <w:p w14:paraId="359DA392">
      <w:pPr>
        <w:jc w:val="center"/>
        <w:rPr>
          <w:rFonts w:hint="eastAsia" w:ascii="宋体" w:hAnsi="宋体" w:eastAsia="宋体"/>
          <w:b/>
          <w:sz w:val="28"/>
        </w:rPr>
      </w:pPr>
      <w:r>
        <w:rPr>
          <w:rFonts w:hint="eastAsia" w:ascii="宋体" w:hAnsi="宋体" w:eastAsia="宋体"/>
          <w:b/>
          <w:sz w:val="28"/>
        </w:rPr>
        <w:t>博时中债0-3年国开行债券交易型开放式指数证券投资基金分红公告</w:t>
      </w:r>
    </w:p>
    <w:p w14:paraId="30C9347D">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2026年5月25日</w:t>
      </w:r>
    </w:p>
    <w:p w14:paraId="0E678805">
      <w:pPr>
        <w:jc w:val="center"/>
        <w:rPr>
          <w:rFonts w:ascii="宋体" w:hAnsi="宋体" w:eastAsia="宋体"/>
          <w:b/>
          <w:sz w:val="24"/>
        </w:rPr>
      </w:pPr>
    </w:p>
    <w:p w14:paraId="39D1DA5A">
      <w:pPr>
        <w:pStyle w:val="2"/>
        <w:rPr>
          <w:rFonts w:ascii="宋体" w:hAnsi="宋体" w:eastAsia="宋体"/>
          <w:sz w:val="21"/>
        </w:rPr>
      </w:pPr>
      <w:r>
        <w:rPr>
          <w:rFonts w:ascii="宋体" w:hAnsi="宋体" w:eastAsia="宋体"/>
          <w:sz w:val="21"/>
        </w:rPr>
        <w:t>1 公告基本信息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50D9A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EF4B5C2">
            <w:pPr>
              <w:rPr>
                <w:rFonts w:ascii="宋体" w:hAnsi="宋体" w:eastAsia="宋体"/>
              </w:rPr>
            </w:pPr>
            <w:r>
              <w:rPr>
                <w:rFonts w:hint="eastAsia" w:ascii="宋体" w:hAnsi="宋体" w:eastAsia="宋体"/>
              </w:rPr>
              <w:t>基金名称</w:t>
            </w:r>
          </w:p>
        </w:tc>
        <w:tc>
          <w:tcPr>
            <w:tcW w:w="5682" w:type="dxa"/>
            <w:gridSpan w:val="2"/>
            <w:vAlign w:val="center"/>
          </w:tcPr>
          <w:p w14:paraId="32996D7E">
            <w:pPr>
              <w:rPr>
                <w:rFonts w:ascii="宋体" w:hAnsi="宋体" w:eastAsia="宋体"/>
              </w:rPr>
            </w:pPr>
            <w:r>
              <w:rPr>
                <w:rFonts w:hint="eastAsia" w:ascii="宋体" w:hAnsi="宋体" w:eastAsia="宋体"/>
              </w:rPr>
              <w:t>博时中债</w:t>
            </w:r>
            <w:r>
              <w:rPr>
                <w:rFonts w:ascii="宋体" w:hAnsi="宋体" w:eastAsia="宋体"/>
              </w:rPr>
              <w:t>0-3年国开行债券交易型开放式指数证券投资基金</w:t>
            </w:r>
          </w:p>
        </w:tc>
      </w:tr>
      <w:tr w14:paraId="3F29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F320F03">
            <w:pPr>
              <w:rPr>
                <w:rFonts w:ascii="宋体" w:hAnsi="宋体" w:eastAsia="宋体"/>
              </w:rPr>
            </w:pPr>
            <w:r>
              <w:rPr>
                <w:rFonts w:hint="eastAsia" w:ascii="宋体" w:hAnsi="宋体" w:eastAsia="宋体"/>
              </w:rPr>
              <w:t>基金简称</w:t>
            </w:r>
          </w:p>
        </w:tc>
        <w:tc>
          <w:tcPr>
            <w:tcW w:w="5682" w:type="dxa"/>
            <w:gridSpan w:val="2"/>
            <w:vAlign w:val="center"/>
          </w:tcPr>
          <w:p w14:paraId="2BF22834">
            <w:pPr>
              <w:rPr>
                <w:rFonts w:ascii="宋体" w:hAnsi="宋体" w:eastAsia="宋体"/>
              </w:rPr>
            </w:pPr>
            <w:r>
              <w:rPr>
                <w:rFonts w:hint="eastAsia" w:ascii="宋体" w:hAnsi="宋体" w:eastAsia="宋体"/>
              </w:rPr>
              <w:t>博时中债</w:t>
            </w:r>
            <w:r>
              <w:rPr>
                <w:rFonts w:ascii="宋体" w:hAnsi="宋体" w:eastAsia="宋体"/>
              </w:rPr>
              <w:t>0-3年国开行ETF</w:t>
            </w:r>
          </w:p>
        </w:tc>
      </w:tr>
      <w:tr w14:paraId="6A6F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50B8C26">
            <w:pPr>
              <w:rPr>
                <w:rFonts w:ascii="宋体" w:hAnsi="宋体" w:eastAsia="宋体"/>
              </w:rPr>
            </w:pPr>
            <w:r>
              <w:rPr>
                <w:rFonts w:hint="eastAsia" w:ascii="宋体" w:hAnsi="宋体" w:eastAsia="宋体"/>
              </w:rPr>
              <w:t>基金主代码</w:t>
            </w:r>
          </w:p>
        </w:tc>
        <w:tc>
          <w:tcPr>
            <w:tcW w:w="5682" w:type="dxa"/>
            <w:gridSpan w:val="2"/>
            <w:vAlign w:val="center"/>
          </w:tcPr>
          <w:p w14:paraId="07C4C5A2">
            <w:pPr>
              <w:rPr>
                <w:rFonts w:ascii="宋体" w:hAnsi="宋体" w:eastAsia="宋体"/>
              </w:rPr>
            </w:pPr>
            <w:r>
              <w:rPr>
                <w:rFonts w:ascii="宋体" w:hAnsi="宋体" w:eastAsia="宋体"/>
              </w:rPr>
              <w:t>159650</w:t>
            </w:r>
          </w:p>
        </w:tc>
      </w:tr>
      <w:tr w14:paraId="3E23D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26667BD">
            <w:pPr>
              <w:rPr>
                <w:rFonts w:ascii="宋体" w:hAnsi="宋体" w:eastAsia="宋体"/>
              </w:rPr>
            </w:pPr>
            <w:r>
              <w:rPr>
                <w:rFonts w:hint="eastAsia" w:ascii="宋体" w:hAnsi="宋体" w:eastAsia="宋体"/>
              </w:rPr>
              <w:t>基金合同生效日</w:t>
            </w:r>
          </w:p>
        </w:tc>
        <w:tc>
          <w:tcPr>
            <w:tcW w:w="5682" w:type="dxa"/>
            <w:gridSpan w:val="2"/>
            <w:vAlign w:val="center"/>
          </w:tcPr>
          <w:p w14:paraId="4AF6A650">
            <w:pPr>
              <w:rPr>
                <w:rFonts w:ascii="宋体" w:hAnsi="宋体" w:eastAsia="宋体"/>
              </w:rPr>
            </w:pPr>
            <w:r>
              <w:rPr>
                <w:rFonts w:ascii="宋体" w:hAnsi="宋体" w:eastAsia="宋体"/>
              </w:rPr>
              <w:t>2022年8月26日</w:t>
            </w:r>
          </w:p>
        </w:tc>
      </w:tr>
      <w:tr w14:paraId="76261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F1EA022">
            <w:pPr>
              <w:rPr>
                <w:rFonts w:ascii="宋体" w:hAnsi="宋体" w:eastAsia="宋体"/>
              </w:rPr>
            </w:pPr>
            <w:r>
              <w:rPr>
                <w:rFonts w:hint="eastAsia" w:ascii="宋体" w:hAnsi="宋体" w:eastAsia="宋体"/>
              </w:rPr>
              <w:t>基金管理人名称</w:t>
            </w:r>
          </w:p>
        </w:tc>
        <w:tc>
          <w:tcPr>
            <w:tcW w:w="5682" w:type="dxa"/>
            <w:gridSpan w:val="2"/>
            <w:vAlign w:val="center"/>
          </w:tcPr>
          <w:p w14:paraId="7123A885">
            <w:pPr>
              <w:rPr>
                <w:rFonts w:ascii="宋体" w:hAnsi="宋体" w:eastAsia="宋体"/>
              </w:rPr>
            </w:pPr>
            <w:r>
              <w:rPr>
                <w:rFonts w:hint="eastAsia" w:ascii="宋体" w:hAnsi="宋体" w:eastAsia="宋体"/>
              </w:rPr>
              <w:t>博时基金管理有限公司</w:t>
            </w:r>
          </w:p>
        </w:tc>
      </w:tr>
      <w:tr w14:paraId="0A6D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AB6A1AC">
            <w:pPr>
              <w:rPr>
                <w:rFonts w:ascii="宋体" w:hAnsi="宋体" w:eastAsia="宋体"/>
              </w:rPr>
            </w:pPr>
            <w:r>
              <w:rPr>
                <w:rFonts w:hint="eastAsia" w:ascii="宋体" w:hAnsi="宋体" w:eastAsia="宋体"/>
              </w:rPr>
              <w:t>基金托管人名称</w:t>
            </w:r>
          </w:p>
        </w:tc>
        <w:tc>
          <w:tcPr>
            <w:tcW w:w="5682" w:type="dxa"/>
            <w:gridSpan w:val="2"/>
            <w:vAlign w:val="center"/>
          </w:tcPr>
          <w:p w14:paraId="2639DA48">
            <w:pPr>
              <w:rPr>
                <w:rFonts w:ascii="宋体" w:hAnsi="宋体" w:eastAsia="宋体"/>
              </w:rPr>
            </w:pPr>
            <w:r>
              <w:rPr>
                <w:rFonts w:hint="eastAsia" w:ascii="宋体" w:hAnsi="宋体" w:eastAsia="宋体"/>
              </w:rPr>
              <w:t>杭州银行股份有限公司</w:t>
            </w:r>
          </w:p>
        </w:tc>
      </w:tr>
      <w:tr w14:paraId="25916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368CA33">
            <w:pPr>
              <w:rPr>
                <w:rFonts w:ascii="宋体" w:hAnsi="宋体" w:eastAsia="宋体"/>
              </w:rPr>
            </w:pPr>
            <w:r>
              <w:rPr>
                <w:rFonts w:hint="eastAsia" w:ascii="宋体" w:hAnsi="宋体" w:eastAsia="宋体"/>
              </w:rPr>
              <w:t>公告依据</w:t>
            </w:r>
          </w:p>
        </w:tc>
        <w:tc>
          <w:tcPr>
            <w:tcW w:w="5682" w:type="dxa"/>
            <w:gridSpan w:val="2"/>
            <w:vAlign w:val="center"/>
          </w:tcPr>
          <w:p w14:paraId="6F606763">
            <w:pPr>
              <w:rPr>
                <w:rFonts w:ascii="宋体" w:hAnsi="宋体" w:eastAsia="宋体"/>
              </w:rPr>
            </w:pPr>
            <w:r>
              <w:rPr>
                <w:rFonts w:hint="eastAsia" w:ascii="宋体" w:hAnsi="宋体" w:eastAsia="宋体"/>
              </w:rPr>
              <w:t>《中华人民共和国证券投资基金法》、《公开募集证券投资基金运作管理办法》、《博时中债</w:t>
            </w:r>
            <w:r>
              <w:rPr>
                <w:rFonts w:ascii="宋体" w:hAnsi="宋体" w:eastAsia="宋体"/>
              </w:rPr>
              <w:t>0-3年国开行债券交易型开放式指数证券投资基金基金合同》、《博时中债0-3年国开行债券交易型开放式指数证券投资基金招募说明书》等</w:t>
            </w:r>
          </w:p>
        </w:tc>
      </w:tr>
      <w:tr w14:paraId="10D0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07E1373">
            <w:pPr>
              <w:rPr>
                <w:rFonts w:ascii="宋体" w:hAnsi="宋体" w:eastAsia="宋体"/>
              </w:rPr>
            </w:pPr>
            <w:r>
              <w:rPr>
                <w:rFonts w:hint="eastAsia" w:ascii="宋体" w:hAnsi="宋体" w:eastAsia="宋体"/>
              </w:rPr>
              <w:t>收益分配基准日</w:t>
            </w:r>
          </w:p>
        </w:tc>
        <w:tc>
          <w:tcPr>
            <w:tcW w:w="5682" w:type="dxa"/>
            <w:gridSpan w:val="2"/>
            <w:vAlign w:val="center"/>
          </w:tcPr>
          <w:p w14:paraId="0C53DC89">
            <w:pPr>
              <w:rPr>
                <w:rFonts w:ascii="宋体" w:hAnsi="宋体" w:eastAsia="宋体"/>
              </w:rPr>
            </w:pPr>
            <w:r>
              <w:rPr>
                <w:rFonts w:ascii="宋体" w:hAnsi="宋体" w:eastAsia="宋体"/>
              </w:rPr>
              <w:t>2026年5月15日</w:t>
            </w:r>
          </w:p>
        </w:tc>
      </w:tr>
      <w:tr w14:paraId="0B56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14:paraId="1C810C61">
            <w:pPr>
              <w:rPr>
                <w:rFonts w:ascii="宋体" w:hAnsi="宋体" w:eastAsia="宋体"/>
              </w:rPr>
            </w:pPr>
            <w:r>
              <w:rPr>
                <w:rFonts w:hint="eastAsia" w:ascii="宋体" w:hAnsi="宋体" w:eastAsia="宋体"/>
              </w:rPr>
              <w:t>截止收益分配基准日的相关指标</w:t>
            </w:r>
          </w:p>
        </w:tc>
        <w:tc>
          <w:tcPr>
            <w:tcW w:w="2841" w:type="dxa"/>
            <w:vAlign w:val="center"/>
          </w:tcPr>
          <w:p w14:paraId="65578C4E">
            <w:pPr>
              <w:rPr>
                <w:rFonts w:ascii="宋体" w:hAnsi="宋体" w:eastAsia="宋体"/>
              </w:rPr>
            </w:pPr>
            <w:r>
              <w:rPr>
                <w:rFonts w:hint="eastAsia" w:ascii="宋体" w:hAnsi="宋体" w:eastAsia="宋体"/>
              </w:rPr>
              <w:t>基准日基金份额净值（单位：元）</w:t>
            </w:r>
          </w:p>
        </w:tc>
        <w:tc>
          <w:tcPr>
            <w:tcW w:w="2841" w:type="dxa"/>
            <w:vAlign w:val="center"/>
          </w:tcPr>
          <w:p w14:paraId="1741DD82">
            <w:pPr>
              <w:rPr>
                <w:rFonts w:ascii="宋体" w:hAnsi="宋体" w:eastAsia="宋体"/>
              </w:rPr>
            </w:pPr>
            <w:r>
              <w:rPr>
                <w:rFonts w:ascii="宋体" w:hAnsi="宋体" w:eastAsia="宋体"/>
              </w:rPr>
              <w:t>108.1387</w:t>
            </w:r>
          </w:p>
        </w:tc>
      </w:tr>
      <w:tr w14:paraId="1136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71ACB8D2"/>
        </w:tc>
        <w:tc>
          <w:tcPr>
            <w:tcW w:w="2841" w:type="dxa"/>
            <w:vAlign w:val="center"/>
          </w:tcPr>
          <w:p w14:paraId="33A37D2D">
            <w:pPr>
              <w:rPr>
                <w:rFonts w:ascii="宋体" w:hAnsi="宋体" w:eastAsia="宋体"/>
              </w:rPr>
            </w:pPr>
            <w:r>
              <w:rPr>
                <w:rFonts w:hint="eastAsia" w:ascii="宋体" w:hAnsi="宋体" w:eastAsia="宋体"/>
              </w:rPr>
              <w:t>基准日基金可供分配利润（单位：元）</w:t>
            </w:r>
          </w:p>
        </w:tc>
        <w:tc>
          <w:tcPr>
            <w:tcW w:w="2841" w:type="dxa"/>
            <w:vAlign w:val="center"/>
          </w:tcPr>
          <w:p w14:paraId="6FE3961D">
            <w:pPr>
              <w:rPr>
                <w:rFonts w:ascii="宋体" w:hAnsi="宋体" w:eastAsia="宋体"/>
              </w:rPr>
            </w:pPr>
            <w:r>
              <w:rPr>
                <w:rFonts w:ascii="宋体" w:hAnsi="宋体" w:eastAsia="宋体"/>
              </w:rPr>
              <w:t>388,469,555.47</w:t>
            </w:r>
          </w:p>
        </w:tc>
      </w:tr>
      <w:tr w14:paraId="7893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11308568"/>
        </w:tc>
        <w:tc>
          <w:tcPr>
            <w:tcW w:w="2841" w:type="dxa"/>
            <w:vAlign w:val="center"/>
          </w:tcPr>
          <w:p w14:paraId="71BD628D">
            <w:pPr>
              <w:rPr>
                <w:rFonts w:ascii="宋体" w:hAnsi="宋体" w:eastAsia="宋体"/>
              </w:rPr>
            </w:pPr>
            <w:r>
              <w:rPr>
                <w:rFonts w:hint="eastAsia" w:ascii="宋体" w:hAnsi="宋体" w:eastAsia="宋体"/>
              </w:rPr>
              <w:t>截止基准日按照基金合同约定的分红比例计算的应分配金额（单位：元）</w:t>
            </w:r>
          </w:p>
        </w:tc>
        <w:tc>
          <w:tcPr>
            <w:tcW w:w="2841" w:type="dxa"/>
            <w:vAlign w:val="center"/>
          </w:tcPr>
          <w:p w14:paraId="5D6CB419">
            <w:pPr>
              <w:rPr>
                <w:rFonts w:ascii="宋体" w:hAnsi="宋体" w:eastAsia="宋体"/>
              </w:rPr>
            </w:pPr>
            <w:r>
              <w:rPr>
                <w:rFonts w:ascii="宋体" w:hAnsi="宋体" w:eastAsia="宋体"/>
              </w:rPr>
              <w:t>-</w:t>
            </w:r>
          </w:p>
        </w:tc>
      </w:tr>
      <w:tr w14:paraId="1610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276BE5D">
            <w:pPr>
              <w:rPr>
                <w:rFonts w:ascii="宋体" w:hAnsi="宋体" w:eastAsia="宋体"/>
              </w:rPr>
            </w:pPr>
            <w:r>
              <w:rPr>
                <w:rFonts w:hint="eastAsia" w:ascii="宋体" w:hAnsi="宋体" w:eastAsia="宋体"/>
              </w:rPr>
              <w:t>本次分红方案（单位：元</w:t>
            </w:r>
            <w:r>
              <w:rPr>
                <w:rFonts w:ascii="宋体" w:hAnsi="宋体" w:eastAsia="宋体"/>
              </w:rPr>
              <w:t>/10份基金份额）</w:t>
            </w:r>
          </w:p>
        </w:tc>
        <w:tc>
          <w:tcPr>
            <w:tcW w:w="5682" w:type="dxa"/>
            <w:gridSpan w:val="2"/>
            <w:vAlign w:val="center"/>
          </w:tcPr>
          <w:p w14:paraId="0811F4A1">
            <w:pPr>
              <w:rPr>
                <w:rFonts w:ascii="宋体" w:hAnsi="宋体" w:eastAsia="宋体"/>
              </w:rPr>
            </w:pPr>
            <w:r>
              <w:rPr>
                <w:rFonts w:ascii="宋体" w:hAnsi="宋体" w:eastAsia="宋体"/>
              </w:rPr>
              <w:t>5.4500</w:t>
            </w:r>
          </w:p>
        </w:tc>
      </w:tr>
      <w:tr w14:paraId="53F1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82656CB">
            <w:pPr>
              <w:rPr>
                <w:rFonts w:ascii="宋体" w:hAnsi="宋体" w:eastAsia="宋体"/>
              </w:rPr>
            </w:pPr>
            <w:r>
              <w:rPr>
                <w:rFonts w:hint="eastAsia" w:ascii="宋体" w:hAnsi="宋体" w:eastAsia="宋体"/>
              </w:rPr>
              <w:t>有关年度分红次数的说明</w:t>
            </w:r>
          </w:p>
        </w:tc>
        <w:tc>
          <w:tcPr>
            <w:tcW w:w="5682" w:type="dxa"/>
            <w:gridSpan w:val="2"/>
            <w:vAlign w:val="center"/>
          </w:tcPr>
          <w:p w14:paraId="1ED669B5">
            <w:pPr>
              <w:rPr>
                <w:rFonts w:ascii="宋体" w:hAnsi="宋体" w:eastAsia="宋体"/>
              </w:rPr>
            </w:pPr>
            <w:r>
              <w:rPr>
                <w:rFonts w:hint="eastAsia" w:ascii="宋体" w:hAnsi="宋体" w:eastAsia="宋体"/>
              </w:rPr>
              <w:t>本次分红为</w:t>
            </w:r>
            <w:r>
              <w:rPr>
                <w:rFonts w:ascii="宋体" w:hAnsi="宋体" w:eastAsia="宋体"/>
              </w:rPr>
              <w:t>2026年度的第1次分红</w:t>
            </w:r>
          </w:p>
        </w:tc>
      </w:tr>
    </w:tbl>
    <w:p w14:paraId="3C3EF7CE"/>
    <w:p w14:paraId="7A451276">
      <w:pPr>
        <w:pStyle w:val="3"/>
        <w:spacing w:before="0" w:beforeAutospacing="0" w:after="0" w:afterAutospacing="0" w:line="360" w:lineRule="auto"/>
        <w:ind w:firstLine="420"/>
        <w:rPr>
          <w:rFonts w:hint="eastAsia"/>
          <w:sz w:val="24"/>
          <w:szCs w:val="24"/>
        </w:rPr>
      </w:pPr>
      <w:r>
        <w:rPr>
          <w:rFonts w:hint="eastAsia"/>
          <w:sz w:val="21"/>
        </w:rPr>
        <w:t>注：</w:t>
      </w:r>
      <w:r>
        <w:rPr>
          <w:rFonts w:hint="eastAsia"/>
          <w:sz w:val="21"/>
          <w:szCs w:val="21"/>
        </w:rPr>
        <w:t> 1、本基金每10份基金份额发放红利5.4500元人民币。本基金的场内简称为国开债ETF博时。 </w:t>
      </w:r>
      <w:bookmarkStart w:id="0" w:name="_GoBack"/>
      <w:bookmarkEnd w:id="0"/>
    </w:p>
    <w:p w14:paraId="1786E16B">
      <w:pPr>
        <w:pStyle w:val="3"/>
        <w:spacing w:before="0" w:beforeAutospacing="0" w:after="0" w:afterAutospacing="0" w:line="360" w:lineRule="auto"/>
        <w:ind w:firstLine="420"/>
        <w:rPr>
          <w:rFonts w:hint="eastAsia"/>
          <w:sz w:val="21"/>
          <w:szCs w:val="21"/>
        </w:rPr>
      </w:pPr>
      <w:r>
        <w:rPr>
          <w:rFonts w:hint="eastAsia"/>
          <w:sz w:val="21"/>
          <w:szCs w:val="21"/>
        </w:rPr>
        <w:t> 2、根据本基金合同规定，当基金收益评价日核定的基金份额净值增长率超过标的指数同期增长率达到0.01%以上时，基金管理人可进行收益分配。 </w:t>
      </w:r>
    </w:p>
    <w:p w14:paraId="64982053">
      <w:pPr>
        <w:pStyle w:val="2"/>
        <w:rPr>
          <w:rFonts w:ascii="宋体" w:hAnsi="宋体" w:eastAsia="宋体"/>
          <w:sz w:val="21"/>
        </w:rPr>
      </w:pPr>
      <w:r>
        <w:rPr>
          <w:rFonts w:ascii="宋体" w:hAnsi="宋体" w:eastAsia="宋体"/>
          <w:sz w:val="21"/>
        </w:rPr>
        <w:t>2 与分红相关的其他信息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5682"/>
      </w:tblGrid>
      <w:tr w14:paraId="03F34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9E4A49F">
            <w:pPr>
              <w:rPr>
                <w:rFonts w:ascii="宋体" w:hAnsi="宋体" w:eastAsia="宋体"/>
              </w:rPr>
            </w:pPr>
            <w:r>
              <w:rPr>
                <w:rFonts w:hint="eastAsia" w:ascii="宋体" w:hAnsi="宋体" w:eastAsia="宋体"/>
              </w:rPr>
              <w:t>权益登记日</w:t>
            </w:r>
          </w:p>
        </w:tc>
        <w:tc>
          <w:tcPr>
            <w:tcW w:w="5682" w:type="dxa"/>
            <w:vAlign w:val="center"/>
          </w:tcPr>
          <w:p w14:paraId="5E61DC4C">
            <w:r>
              <w:rPr>
                <w:rFonts w:ascii="宋体" w:hAnsi="宋体" w:eastAsia="宋体"/>
              </w:rPr>
              <w:t>2026年5月27日</w:t>
            </w:r>
          </w:p>
        </w:tc>
      </w:tr>
      <w:tr w14:paraId="1DA67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0B061A0">
            <w:pPr>
              <w:rPr>
                <w:rFonts w:ascii="宋体" w:hAnsi="宋体" w:eastAsia="宋体"/>
              </w:rPr>
            </w:pPr>
            <w:r>
              <w:rPr>
                <w:rFonts w:hint="eastAsia" w:ascii="宋体" w:hAnsi="宋体" w:eastAsia="宋体"/>
              </w:rPr>
              <w:t>除息日</w:t>
            </w:r>
          </w:p>
        </w:tc>
        <w:tc>
          <w:tcPr>
            <w:tcW w:w="5682" w:type="dxa"/>
            <w:vAlign w:val="center"/>
          </w:tcPr>
          <w:p w14:paraId="1E1AAD49">
            <w:r>
              <w:rPr>
                <w:rFonts w:ascii="宋体" w:hAnsi="宋体" w:eastAsia="宋体"/>
              </w:rPr>
              <w:t>2026年5月28日</w:t>
            </w:r>
          </w:p>
        </w:tc>
      </w:tr>
      <w:tr w14:paraId="29BAF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4B3939A">
            <w:pPr>
              <w:rPr>
                <w:rFonts w:ascii="宋体" w:hAnsi="宋体" w:eastAsia="宋体"/>
              </w:rPr>
            </w:pPr>
            <w:r>
              <w:rPr>
                <w:rFonts w:hint="eastAsia" w:ascii="宋体" w:hAnsi="宋体" w:eastAsia="宋体"/>
              </w:rPr>
              <w:t>现金红利发放日</w:t>
            </w:r>
          </w:p>
        </w:tc>
        <w:tc>
          <w:tcPr>
            <w:tcW w:w="5682" w:type="dxa"/>
            <w:vAlign w:val="center"/>
          </w:tcPr>
          <w:p w14:paraId="73643539">
            <w:r>
              <w:rPr>
                <w:rFonts w:ascii="宋体" w:hAnsi="宋体" w:eastAsia="宋体"/>
              </w:rPr>
              <w:t>2026年6月1日</w:t>
            </w:r>
          </w:p>
        </w:tc>
      </w:tr>
      <w:tr w14:paraId="54E4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F1F3A94">
            <w:pPr>
              <w:rPr>
                <w:rFonts w:ascii="宋体" w:hAnsi="宋体" w:eastAsia="宋体"/>
              </w:rPr>
            </w:pPr>
            <w:r>
              <w:rPr>
                <w:rFonts w:hint="eastAsia" w:ascii="宋体" w:hAnsi="宋体" w:eastAsia="宋体"/>
              </w:rPr>
              <w:t>分红对象</w:t>
            </w:r>
          </w:p>
        </w:tc>
        <w:tc>
          <w:tcPr>
            <w:tcW w:w="5682" w:type="dxa"/>
            <w:vAlign w:val="center"/>
          </w:tcPr>
          <w:p w14:paraId="327D2393">
            <w:r>
              <w:rPr>
                <w:rFonts w:hint="eastAsia" w:ascii="宋体" w:hAnsi="宋体" w:eastAsia="宋体"/>
              </w:rPr>
              <w:t>权益登记日下午深圳证券交易所交易结束后，在中国证券登记结算有限责任公司深圳分公司登记在册的本基金全体基金份额持有人。</w:t>
            </w:r>
          </w:p>
        </w:tc>
      </w:tr>
      <w:tr w14:paraId="65C9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A74C7DB">
            <w:pPr>
              <w:rPr>
                <w:rFonts w:ascii="宋体" w:hAnsi="宋体" w:eastAsia="宋体"/>
              </w:rPr>
            </w:pPr>
            <w:r>
              <w:rPr>
                <w:rFonts w:hint="eastAsia" w:ascii="宋体" w:hAnsi="宋体" w:eastAsia="宋体"/>
              </w:rPr>
              <w:t>红利再投资相关事项的说明</w:t>
            </w:r>
          </w:p>
        </w:tc>
        <w:tc>
          <w:tcPr>
            <w:tcW w:w="5682" w:type="dxa"/>
            <w:vAlign w:val="center"/>
          </w:tcPr>
          <w:p w14:paraId="41DE7C09">
            <w:r>
              <w:rPr>
                <w:rFonts w:hint="eastAsia" w:ascii="宋体" w:hAnsi="宋体" w:eastAsia="宋体"/>
              </w:rPr>
              <w:t>本基金基金份额的收益分配方式采用现金分红。</w:t>
            </w:r>
          </w:p>
        </w:tc>
      </w:tr>
      <w:tr w14:paraId="3F0FD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AE76FD8">
            <w:pPr>
              <w:rPr>
                <w:rFonts w:ascii="宋体" w:hAnsi="宋体" w:eastAsia="宋体"/>
              </w:rPr>
            </w:pPr>
            <w:r>
              <w:rPr>
                <w:rFonts w:hint="eastAsia" w:ascii="宋体" w:hAnsi="宋体" w:eastAsia="宋体"/>
              </w:rPr>
              <w:t>税收相关事项的说明</w:t>
            </w:r>
          </w:p>
        </w:tc>
        <w:tc>
          <w:tcPr>
            <w:tcW w:w="5682" w:type="dxa"/>
            <w:vAlign w:val="center"/>
          </w:tcPr>
          <w:p w14:paraId="5C80F4B5">
            <w:r>
              <w:rPr>
                <w:rFonts w:hint="eastAsia" w:ascii="宋体" w:hAnsi="宋体" w:eastAsia="宋体"/>
              </w:rPr>
              <w:t>根据财政部、国家税务总局的财税</w:t>
            </w:r>
            <w:r>
              <w:rPr>
                <w:rFonts w:ascii="宋体" w:hAnsi="宋体" w:eastAsia="宋体"/>
              </w:rPr>
              <w:t>[2002]128号《财政部 国家税务总局关于开放式证券投资基金有关税收问题的通知》及财税[2008]1号《关于企业所得税若干优惠政策的通知》的规定，基金向投资者分配的基金利润，暂免征收所得税。</w:t>
            </w:r>
          </w:p>
        </w:tc>
      </w:tr>
      <w:tr w14:paraId="4690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34DF55B">
            <w:pPr>
              <w:rPr>
                <w:rFonts w:ascii="宋体" w:hAnsi="宋体" w:eastAsia="宋体"/>
              </w:rPr>
            </w:pPr>
            <w:r>
              <w:rPr>
                <w:rFonts w:hint="eastAsia" w:ascii="宋体" w:hAnsi="宋体" w:eastAsia="宋体"/>
              </w:rPr>
              <w:t>费用相关事项的说明</w:t>
            </w:r>
          </w:p>
        </w:tc>
        <w:tc>
          <w:tcPr>
            <w:tcW w:w="5682" w:type="dxa"/>
            <w:vAlign w:val="center"/>
          </w:tcPr>
          <w:p w14:paraId="4D905ECB">
            <w:r>
              <w:rPr>
                <w:rFonts w:hint="eastAsia" w:ascii="宋体" w:hAnsi="宋体" w:eastAsia="宋体"/>
              </w:rPr>
              <w:t>本基金本次分红免收分红手续费。</w:t>
            </w:r>
          </w:p>
        </w:tc>
      </w:tr>
    </w:tbl>
    <w:p w14:paraId="282D2A3F"/>
    <w:p w14:paraId="59D68212">
      <w:pPr>
        <w:pStyle w:val="2"/>
        <w:rPr>
          <w:rFonts w:hint="eastAsia" w:ascii="宋体" w:hAnsi="宋体" w:eastAsia="宋体"/>
          <w:sz w:val="21"/>
        </w:rPr>
      </w:pPr>
      <w:r>
        <w:rPr>
          <w:rFonts w:hint="eastAsia" w:ascii="宋体" w:hAnsi="宋体" w:eastAsia="宋体"/>
          <w:sz w:val="21"/>
        </w:rPr>
        <w:t>3 其他需要提示的事项</w:t>
      </w:r>
    </w:p>
    <w:p w14:paraId="4B228B81">
      <w:pPr>
        <w:pStyle w:val="3"/>
        <w:spacing w:before="0" w:beforeAutospacing="0" w:after="0" w:afterAutospacing="0" w:line="360" w:lineRule="auto"/>
        <w:ind w:firstLine="420"/>
        <w:rPr>
          <w:sz w:val="21"/>
          <w:szCs w:val="21"/>
        </w:rPr>
      </w:pPr>
      <w:r>
        <w:rPr>
          <w:rFonts w:hint="eastAsia"/>
          <w:sz w:val="21"/>
          <w:szCs w:val="21"/>
        </w:rPr>
        <w:t xml:space="preserve">（1）对于权益登记日在中国证券登记结算有限责任公司深圳分公司登记在册的基金份额所对应的分红款，本公司于2026年5月29日将拟分配的现金红利款足额划入中国证券登记结算有限责任公司深圳分公司的指定银行账户，中国证券登记结算有限责任公司深圳分公司在2026年6月1日将现金红利款划付给结算参与机构，投资者具体收到现金红利的时间遵循中国证券登记结算有限责任公司及证券公司的规定。 </w:t>
      </w:r>
    </w:p>
    <w:p w14:paraId="0A49429B">
      <w:pPr>
        <w:pStyle w:val="3"/>
        <w:spacing w:before="0" w:beforeAutospacing="0" w:after="0" w:afterAutospacing="0" w:line="360" w:lineRule="auto"/>
        <w:ind w:firstLine="420"/>
        <w:rPr>
          <w:rFonts w:hint="eastAsia"/>
          <w:sz w:val="21"/>
          <w:szCs w:val="21"/>
        </w:rPr>
      </w:pPr>
      <w:r>
        <w:rPr>
          <w:rFonts w:hint="eastAsia"/>
          <w:sz w:val="21"/>
          <w:szCs w:val="21"/>
        </w:rPr>
        <w:t xml:space="preserve">（2）本基金场内份额将于2026年5月25日上午开市至10：30期间停牌，并将于2026年5月25日10：30起复牌。 </w:t>
      </w:r>
    </w:p>
    <w:p w14:paraId="4DE3B5B4">
      <w:pPr>
        <w:pStyle w:val="3"/>
        <w:spacing w:before="0" w:beforeAutospacing="0" w:after="0" w:afterAutospacing="0" w:line="360" w:lineRule="auto"/>
        <w:ind w:firstLine="420"/>
        <w:rPr>
          <w:rFonts w:hint="eastAsia"/>
          <w:sz w:val="21"/>
          <w:szCs w:val="21"/>
        </w:rPr>
      </w:pPr>
      <w:r>
        <w:rPr>
          <w:rFonts w:hint="eastAsia"/>
          <w:sz w:val="21"/>
          <w:szCs w:val="21"/>
        </w:rPr>
        <w:t xml:space="preserve">（3）根据本基金合同的相关规定，本基金的收益分配方式为现金分红。 </w:t>
      </w:r>
    </w:p>
    <w:p w14:paraId="43BC1BF5">
      <w:pPr>
        <w:pStyle w:val="3"/>
        <w:spacing w:before="0" w:beforeAutospacing="0" w:after="0" w:afterAutospacing="0" w:line="360" w:lineRule="auto"/>
        <w:ind w:firstLine="420"/>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14:paraId="1FB33A0B">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14:paraId="2FC07B20">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5F79D2F1">
      <w:pPr>
        <w:pStyle w:val="3"/>
        <w:spacing w:before="0" w:beforeAutospacing="0" w:after="0" w:afterAutospacing="0" w:line="360" w:lineRule="auto"/>
        <w:rPr>
          <w:sz w:val="21"/>
          <w:szCs w:val="21"/>
        </w:rPr>
      </w:pPr>
    </w:p>
    <w:p w14:paraId="20DBA06D">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7B002F9">
      <w:pPr>
        <w:pStyle w:val="3"/>
        <w:spacing w:before="0" w:beforeAutospacing="0" w:after="0" w:afterAutospacing="0" w:line="360" w:lineRule="auto"/>
        <w:ind w:firstLine="420"/>
        <w:jc w:val="right"/>
        <w:rPr>
          <w:sz w:val="21"/>
          <w:szCs w:val="21"/>
        </w:rPr>
      </w:pPr>
      <w:r>
        <w:rPr>
          <w:sz w:val="21"/>
          <w:szCs w:val="21"/>
        </w:rPr>
        <w:t>2026年5月25日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CA7"/>
    <w:rsid w:val="00102CA7"/>
    <w:rsid w:val="00652BA1"/>
    <w:rsid w:val="283E3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7"/>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3">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223</Words>
  <Characters>1274</Characters>
  <Lines>10</Lines>
  <Paragraphs>2</Paragraphs>
  <TotalTime>2</TotalTime>
  <ScaleCrop>false</ScaleCrop>
  <LinksUpToDate>false</LinksUpToDate>
  <CharactersWithSpaces>1495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2026-05-19T02:31:00Z</dcterms:created>
  <dc:creator>BSKMadminDev</dc:creator>
  <cp:lastModifiedBy>zhouhy</cp:lastModifiedBy>
  <dcterms:modified xsi:type="dcterms:W3CDTF">2026-05-19T02:35:51Z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EBE47BD560614982BEBAF90121BF9A76_12</vt:lpwstr>
  </property>
</Properties>
</file>