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CA0F3">
      <w:pPr>
        <w:widowControl/>
        <w:jc w:val="left"/>
        <w:rPr>
          <w:rFonts w:ascii="宋体" w:hAnsi="宋体" w:eastAsia="宋体"/>
          <w:sz w:val="30"/>
        </w:rPr>
      </w:pPr>
    </w:p>
    <w:p w14:paraId="3C5E1BB5">
      <w:pPr>
        <w:widowControl/>
        <w:jc w:val="left"/>
        <w:rPr>
          <w:rFonts w:ascii="宋体" w:hAnsi="宋体" w:eastAsia="宋体"/>
          <w:sz w:val="30"/>
        </w:rPr>
      </w:pPr>
    </w:p>
    <w:p w14:paraId="0A4698B3">
      <w:pPr>
        <w:widowControl/>
        <w:jc w:val="left"/>
        <w:rPr>
          <w:rFonts w:ascii="宋体" w:hAnsi="宋体" w:eastAsia="宋体"/>
          <w:sz w:val="30"/>
        </w:rPr>
      </w:pPr>
    </w:p>
    <w:p w14:paraId="33747589">
      <w:pPr>
        <w:widowControl/>
        <w:jc w:val="left"/>
        <w:rPr>
          <w:rFonts w:ascii="宋体" w:hAnsi="宋体" w:eastAsia="宋体"/>
          <w:sz w:val="30"/>
        </w:rPr>
      </w:pPr>
    </w:p>
    <w:p w14:paraId="1B8A81A3">
      <w:pPr>
        <w:widowControl/>
        <w:spacing w:line="800" w:lineRule="exact"/>
        <w:jc w:val="center"/>
        <w:rPr>
          <w:rFonts w:ascii="宋体" w:hAnsi="宋体" w:eastAsia="宋体"/>
          <w:b/>
          <w:sz w:val="52"/>
        </w:rPr>
      </w:pPr>
      <w:r>
        <w:rPr>
          <w:rFonts w:hint="eastAsia" w:ascii="宋体" w:hAnsi="宋体" w:eastAsia="宋体"/>
          <w:b/>
          <w:sz w:val="52"/>
        </w:rPr>
        <w:t>博时中证成渝地区双城经济圈成份交易型开放式指数证券投资基金</w:t>
      </w:r>
    </w:p>
    <w:p w14:paraId="3673DDB8">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6610CE93">
      <w:pPr>
        <w:widowControl/>
        <w:spacing w:line="800" w:lineRule="exact"/>
        <w:jc w:val="center"/>
        <w:rPr>
          <w:rFonts w:ascii="宋体" w:hAnsi="宋体" w:eastAsia="宋体"/>
          <w:b/>
          <w:sz w:val="52"/>
        </w:rPr>
      </w:pPr>
    </w:p>
    <w:p w14:paraId="48193492">
      <w:pPr>
        <w:widowControl/>
        <w:spacing w:line="800" w:lineRule="exact"/>
        <w:jc w:val="center"/>
        <w:rPr>
          <w:rFonts w:ascii="宋体" w:hAnsi="宋体" w:eastAsia="宋体"/>
          <w:b/>
          <w:sz w:val="52"/>
        </w:rPr>
      </w:pPr>
    </w:p>
    <w:p w14:paraId="43CB5CC2">
      <w:pPr>
        <w:widowControl/>
        <w:spacing w:line="800" w:lineRule="exact"/>
        <w:jc w:val="center"/>
        <w:rPr>
          <w:rFonts w:ascii="宋体" w:hAnsi="宋体" w:eastAsia="宋体"/>
          <w:b/>
          <w:sz w:val="52"/>
        </w:rPr>
      </w:pPr>
    </w:p>
    <w:p w14:paraId="6BB3908F">
      <w:pPr>
        <w:widowControl/>
        <w:spacing w:line="800" w:lineRule="exact"/>
        <w:jc w:val="center"/>
        <w:rPr>
          <w:rFonts w:ascii="宋体" w:hAnsi="宋体" w:eastAsia="宋体"/>
          <w:b/>
          <w:sz w:val="52"/>
        </w:rPr>
      </w:pPr>
    </w:p>
    <w:p w14:paraId="017304EA">
      <w:pPr>
        <w:widowControl/>
        <w:spacing w:line="800" w:lineRule="exact"/>
        <w:jc w:val="center"/>
        <w:rPr>
          <w:rFonts w:ascii="宋体" w:hAnsi="宋体" w:eastAsia="宋体"/>
          <w:b/>
          <w:sz w:val="52"/>
        </w:rPr>
      </w:pPr>
    </w:p>
    <w:p w14:paraId="6A75C08D">
      <w:pPr>
        <w:widowControl/>
        <w:spacing w:line="800" w:lineRule="exact"/>
        <w:jc w:val="center"/>
        <w:rPr>
          <w:rFonts w:ascii="宋体" w:hAnsi="宋体" w:eastAsia="宋体"/>
          <w:b/>
          <w:sz w:val="52"/>
        </w:rPr>
      </w:pPr>
    </w:p>
    <w:p w14:paraId="719D4D03">
      <w:pPr>
        <w:widowControl/>
        <w:spacing w:line="800" w:lineRule="exact"/>
        <w:jc w:val="center"/>
        <w:rPr>
          <w:rFonts w:ascii="宋体" w:hAnsi="宋体" w:eastAsia="宋体"/>
          <w:b/>
          <w:sz w:val="52"/>
        </w:rPr>
      </w:pPr>
    </w:p>
    <w:p w14:paraId="1C65B3BF">
      <w:pPr>
        <w:widowControl/>
        <w:spacing w:line="800" w:lineRule="exact"/>
        <w:jc w:val="center"/>
        <w:rPr>
          <w:rFonts w:ascii="宋体" w:hAnsi="宋体" w:eastAsia="宋体"/>
          <w:b/>
          <w:sz w:val="52"/>
        </w:rPr>
      </w:pPr>
    </w:p>
    <w:p w14:paraId="7D7ECDF1">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5BFCBAA9">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招商银行股份有限公司</w:t>
      </w:r>
      <w:r>
        <w:rPr>
          <w:rFonts w:ascii="宋体" w:hAnsi="宋体" w:eastAsia="宋体"/>
          <w:b/>
          <w:sz w:val="30"/>
        </w:rPr>
        <w:br w:type="page"/>
      </w:r>
    </w:p>
    <w:p w14:paraId="349CFD81">
      <w:pPr>
        <w:pStyle w:val="2"/>
        <w:jc w:val="center"/>
        <w:rPr>
          <w:rFonts w:ascii="宋体" w:hAnsi="宋体" w:eastAsia="宋体"/>
          <w:sz w:val="30"/>
        </w:rPr>
      </w:pPr>
      <w:bookmarkStart w:id="0" w:name="_Toc207986780"/>
      <w:r>
        <w:rPr>
          <w:rFonts w:hint="eastAsia" w:ascii="宋体" w:hAnsi="宋体" w:eastAsia="宋体"/>
          <w:sz w:val="30"/>
        </w:rPr>
        <w:t>【重要提示】</w:t>
      </w:r>
      <w:bookmarkEnd w:id="0"/>
    </w:p>
    <w:p w14:paraId="4FB2013C">
      <w:pPr>
        <w:pStyle w:val="7"/>
        <w:spacing w:before="0" w:beforeAutospacing="0" w:after="0" w:afterAutospacing="0" w:line="360" w:lineRule="auto"/>
        <w:ind w:firstLine="420"/>
        <w:rPr>
          <w:sz w:val="21"/>
          <w:szCs w:val="21"/>
        </w:rPr>
      </w:pPr>
      <w:bookmarkStart w:id="1" w:name="field_0_productfullname_1"/>
      <w:r>
        <w:rPr>
          <w:rFonts w:hint="eastAsia"/>
          <w:sz w:val="21"/>
          <w:szCs w:val="21"/>
        </w:rPr>
        <w:t>博时中证成渝地区双城经济圈成份交易型开放式指数证券投资基金</w:t>
      </w:r>
      <w:bookmarkEnd w:id="1"/>
      <w:r>
        <w:rPr>
          <w:rFonts w:hint="eastAsia"/>
          <w:sz w:val="21"/>
          <w:szCs w:val="21"/>
        </w:rPr>
        <w:t>根据2021年12月13日中国证券监督管理委员会《关于准予</w:t>
      </w:r>
      <w:bookmarkStart w:id="2" w:name="field_0_productfullname_2"/>
      <w:r>
        <w:rPr>
          <w:rFonts w:hint="eastAsia"/>
          <w:sz w:val="21"/>
          <w:szCs w:val="21"/>
        </w:rPr>
        <w:t>博时中证成渝地区双城经济圈成份交易型开放式指数证券投资基金</w:t>
      </w:r>
      <w:bookmarkEnd w:id="2"/>
      <w:r>
        <w:rPr>
          <w:rFonts w:hint="eastAsia"/>
          <w:sz w:val="21"/>
          <w:szCs w:val="21"/>
        </w:rPr>
        <w:t xml:space="preserve">注册的批复》（证监许可[2021]3907号）准予注册，进行募集。 </w:t>
      </w:r>
    </w:p>
    <w:p w14:paraId="4290E48A">
      <w:pPr>
        <w:pStyle w:val="7"/>
        <w:spacing w:before="0" w:beforeAutospacing="0" w:after="0" w:afterAutospacing="0" w:line="360" w:lineRule="auto"/>
        <w:ind w:firstLine="420"/>
        <w:rPr>
          <w:sz w:val="21"/>
          <w:szCs w:val="21"/>
        </w:rPr>
      </w:pPr>
      <w:r>
        <w:rPr>
          <w:rFonts w:hint="eastAsia"/>
          <w:sz w:val="21"/>
          <w:szCs w:val="21"/>
        </w:rPr>
        <w:t xml:space="preserve">本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 </w:t>
      </w:r>
    </w:p>
    <w:p w14:paraId="47BAADBE">
      <w:pPr>
        <w:pStyle w:val="7"/>
        <w:spacing w:before="0" w:beforeAutospacing="0" w:after="0" w:afterAutospacing="0" w:line="360" w:lineRule="auto"/>
        <w:ind w:firstLine="420"/>
        <w:rPr>
          <w:sz w:val="21"/>
          <w:szCs w:val="21"/>
        </w:rPr>
      </w:pPr>
      <w:r>
        <w:rPr>
          <w:rFonts w:hint="eastAsia"/>
          <w:sz w:val="21"/>
          <w:szCs w:val="21"/>
        </w:rPr>
        <w:t xml:space="preserve">3、本基金的标的指数为中证成渝地区双城经济圈成份指数，编制方案如下： </w:t>
      </w:r>
    </w:p>
    <w:p w14:paraId="6EC81E92">
      <w:pPr>
        <w:pStyle w:val="7"/>
        <w:spacing w:before="0" w:beforeAutospacing="0" w:after="0" w:afterAutospacing="0" w:line="360" w:lineRule="auto"/>
        <w:ind w:firstLine="420"/>
        <w:rPr>
          <w:sz w:val="21"/>
          <w:szCs w:val="21"/>
        </w:rPr>
      </w:pPr>
      <w:r>
        <w:rPr>
          <w:rFonts w:hint="eastAsia"/>
          <w:sz w:val="21"/>
          <w:szCs w:val="21"/>
        </w:rPr>
        <w:t xml:space="preserve">（1）样本空间 </w:t>
      </w:r>
    </w:p>
    <w:p w14:paraId="0D286F58">
      <w:pPr>
        <w:pStyle w:val="7"/>
        <w:spacing w:before="0" w:beforeAutospacing="0" w:after="0" w:afterAutospacing="0" w:line="360" w:lineRule="auto"/>
        <w:ind w:firstLine="420"/>
        <w:rPr>
          <w:sz w:val="21"/>
          <w:szCs w:val="21"/>
        </w:rPr>
      </w:pPr>
      <w:r>
        <w:rPr>
          <w:rFonts w:hint="eastAsia"/>
          <w:sz w:val="21"/>
          <w:szCs w:val="21"/>
        </w:rPr>
        <w:t xml:space="preserve">同中证全指指数的样本空间 </w:t>
      </w:r>
    </w:p>
    <w:p w14:paraId="017C97D3">
      <w:pPr>
        <w:pStyle w:val="7"/>
        <w:spacing w:before="0" w:beforeAutospacing="0" w:after="0" w:afterAutospacing="0" w:line="360" w:lineRule="auto"/>
        <w:ind w:firstLine="420"/>
        <w:rPr>
          <w:sz w:val="21"/>
          <w:szCs w:val="21"/>
        </w:rPr>
      </w:pPr>
      <w:r>
        <w:rPr>
          <w:rFonts w:hint="eastAsia"/>
          <w:sz w:val="21"/>
          <w:szCs w:val="21"/>
        </w:rPr>
        <w:t xml:space="preserve">（2）选样方法 </w:t>
      </w:r>
    </w:p>
    <w:p w14:paraId="6238A973">
      <w:pPr>
        <w:pStyle w:val="7"/>
        <w:spacing w:before="0" w:beforeAutospacing="0" w:after="0" w:afterAutospacing="0" w:line="360" w:lineRule="auto"/>
        <w:ind w:firstLine="420"/>
        <w:rPr>
          <w:sz w:val="21"/>
          <w:szCs w:val="21"/>
        </w:rPr>
      </w:pPr>
      <w:r>
        <w:rPr>
          <w:rFonts w:hint="eastAsia"/>
          <w:sz w:val="21"/>
          <w:szCs w:val="21"/>
        </w:rPr>
        <w:t xml:space="preserve">1）选取在四川省或重庆市注册以及在上述区域有重大投资的上市公司证券作为待选样本； </w:t>
      </w:r>
    </w:p>
    <w:p w14:paraId="117DDC05">
      <w:pPr>
        <w:pStyle w:val="7"/>
        <w:spacing w:before="0" w:beforeAutospacing="0" w:after="0" w:afterAutospacing="0" w:line="360" w:lineRule="auto"/>
        <w:ind w:firstLine="420"/>
        <w:rPr>
          <w:sz w:val="21"/>
          <w:szCs w:val="21"/>
        </w:rPr>
      </w:pPr>
      <w:r>
        <w:rPr>
          <w:rFonts w:hint="eastAsia"/>
          <w:sz w:val="21"/>
          <w:szCs w:val="21"/>
        </w:rPr>
        <w:t xml:space="preserve">2）在上述待选样本中，分别按照过去一年日均总市值、ROE（TTM）和营业收入（TTM）同比增速由高到低排名，将上述排名以40%、40%、20%的权重求和得到综合得分； </w:t>
      </w:r>
    </w:p>
    <w:p w14:paraId="274A85FF">
      <w:pPr>
        <w:pStyle w:val="7"/>
        <w:spacing w:before="0" w:beforeAutospacing="0" w:after="0" w:afterAutospacing="0" w:line="360" w:lineRule="auto"/>
        <w:ind w:firstLine="420"/>
        <w:rPr>
          <w:sz w:val="21"/>
          <w:szCs w:val="21"/>
        </w:rPr>
      </w:pPr>
      <w:r>
        <w:rPr>
          <w:rFonts w:hint="eastAsia"/>
          <w:sz w:val="21"/>
          <w:szCs w:val="21"/>
        </w:rPr>
        <w:t xml:space="preserve">3）在上述待选样本中，按照综合得分升序排名，选取排名靠前的100只证券作为指数样本。 </w:t>
      </w:r>
    </w:p>
    <w:p w14:paraId="6762909D">
      <w:pPr>
        <w:pStyle w:val="7"/>
        <w:spacing w:before="0" w:beforeAutospacing="0" w:after="0" w:afterAutospacing="0" w:line="360" w:lineRule="auto"/>
        <w:ind w:firstLine="420"/>
        <w:rPr>
          <w:sz w:val="21"/>
          <w:szCs w:val="21"/>
        </w:rPr>
      </w:pPr>
      <w:r>
        <w:rPr>
          <w:rFonts w:hint="eastAsia"/>
          <w:sz w:val="21"/>
          <w:szCs w:val="21"/>
        </w:rPr>
        <w:t xml:space="preserve">（3）指数计算 </w:t>
      </w:r>
    </w:p>
    <w:p w14:paraId="7EA44B8E">
      <w:pPr>
        <w:pStyle w:val="7"/>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14:paraId="2C3776D6">
      <w:pPr>
        <w:pStyle w:val="7"/>
        <w:spacing w:before="0" w:beforeAutospacing="0" w:after="0" w:afterAutospacing="0" w:line="360" w:lineRule="auto"/>
        <w:ind w:firstLine="420"/>
        <w:rPr>
          <w:sz w:val="21"/>
          <w:szCs w:val="21"/>
        </w:rPr>
      </w:pPr>
      <w:r>
        <w:rPr>
          <w:rFonts w:hint="eastAsia"/>
          <w:sz w:val="21"/>
          <w:szCs w:val="21"/>
        </w:rPr>
        <w:t xml:space="preserve">其中，调整市值＝∑(证券价格×调整股本数×权重因子)。调整股本数的计算方法、除数修正方法参见计算与维护细则。 </w:t>
      </w:r>
    </w:p>
    <w:p w14:paraId="145A9B80">
      <w:pPr>
        <w:pStyle w:val="7"/>
        <w:spacing w:before="0" w:beforeAutospacing="0" w:after="0" w:afterAutospacing="0" w:line="360" w:lineRule="auto"/>
        <w:ind w:firstLine="420"/>
        <w:rPr>
          <w:sz w:val="21"/>
          <w:szCs w:val="21"/>
        </w:rPr>
      </w:pPr>
      <w:r>
        <w:rPr>
          <w:rFonts w:hint="eastAsia"/>
          <w:sz w:val="21"/>
          <w:szCs w:val="21"/>
        </w:rPr>
        <w:t xml:space="preserve">权重因子介于0和1之间，以使单个样本权重不超过10%，且非四川省和重庆市注册企业的单个样本权重不超过2%，单个行业权重不超过20%。 </w:t>
      </w:r>
    </w:p>
    <w:p w14:paraId="613E0DAC">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14:paraId="2C850E85">
      <w:pPr>
        <w:pStyle w:val="7"/>
        <w:spacing w:before="0" w:beforeAutospacing="0" w:after="0" w:afterAutospacing="0" w:line="360" w:lineRule="auto"/>
        <w:ind w:firstLine="420"/>
        <w:rPr>
          <w:sz w:val="21"/>
          <w:szCs w:val="21"/>
        </w:rPr>
      </w:pPr>
      <w:r>
        <w:rPr>
          <w:rFonts w:hint="eastAsia"/>
          <w:sz w:val="21"/>
          <w:szCs w:val="21"/>
        </w:rPr>
        <w:t xml:space="preserve">4、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中证成渝地区双城经济圈成份指数，其风险收益特征与标的指数所表征的市场组合的风险收益特征相似。 </w:t>
      </w:r>
    </w:p>
    <w:p w14:paraId="1974F292">
      <w:pPr>
        <w:pStyle w:val="7"/>
        <w:spacing w:before="0" w:beforeAutospacing="0" w:after="0" w:afterAutospacing="0" w:line="360" w:lineRule="auto"/>
        <w:ind w:firstLine="420"/>
        <w:rPr>
          <w:sz w:val="21"/>
          <w:szCs w:val="21"/>
        </w:rPr>
      </w:pPr>
      <w:r>
        <w:rPr>
          <w:rFonts w:hint="eastAsia"/>
          <w:sz w:val="21"/>
          <w:szCs w:val="21"/>
        </w:rPr>
        <w:t xml:space="preserve">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14:paraId="416DF056">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其他风险等。特有风险包括：指数化投资的风险、标的指数的风险、跟踪偏离度和跟踪误差的风险、基金交易价格与份额净值发生偏离的风险、参考IOPV决策和IOPV计算错误的风险、投资人申购失败的风险、投资人赎回失败的风险、基金场内份额赎回对价的变现风险、套利风险、申购赎回清单差错风险、二级市场流动性风险、资产支持证券投资风险、金融衍生品投资风险、退市风险、第三方机构服务的风险、投资于存托凭证的风险、指数编制机构停止服务的风险、成份股停牌的风险、成份股退市的风险、跟踪误差控制未达约定目标的风险、投资北交所股票的风险等。 </w:t>
      </w:r>
    </w:p>
    <w:p w14:paraId="2DBCCE6F">
      <w:pPr>
        <w:pStyle w:val="7"/>
        <w:spacing w:before="0" w:beforeAutospacing="0" w:after="0" w:afterAutospacing="0" w:line="360" w:lineRule="auto"/>
        <w:ind w:firstLine="420"/>
        <w:rPr>
          <w:sz w:val="21"/>
          <w:szCs w:val="21"/>
        </w:rPr>
      </w:pPr>
      <w:r>
        <w:rPr>
          <w:rFonts w:hint="eastAsia"/>
          <w:sz w:val="21"/>
          <w:szCs w:val="21"/>
        </w:rPr>
        <w:t xml:space="preserve">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港股通标的股票），因此本基金可能会选择将部分基金资产投资于港股通标的股票，但基金资产并非必然投资港股通标的股票。 </w:t>
      </w:r>
    </w:p>
    <w:p w14:paraId="656480A9">
      <w:pPr>
        <w:pStyle w:val="7"/>
        <w:spacing w:before="0" w:beforeAutospacing="0" w:after="0" w:afterAutospacing="0" w:line="360" w:lineRule="auto"/>
        <w:ind w:firstLine="420"/>
        <w:rPr>
          <w:sz w:val="21"/>
          <w:szCs w:val="21"/>
        </w:rPr>
      </w:pPr>
      <w:r>
        <w:rPr>
          <w:rFonts w:hint="eastAsia"/>
          <w:sz w:val="21"/>
          <w:szCs w:val="21"/>
        </w:rPr>
        <w:t xml:space="preserve">本基金资产若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5F62B1CB">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034B14F">
      <w:pPr>
        <w:pStyle w:val="7"/>
        <w:spacing w:before="0" w:beforeAutospacing="0" w:after="0" w:afterAutospacing="0" w:line="360" w:lineRule="auto"/>
        <w:ind w:firstLine="420"/>
        <w:rPr>
          <w:sz w:val="21"/>
          <w:szCs w:val="21"/>
        </w:rPr>
      </w:pPr>
      <w:r>
        <w:rPr>
          <w:rFonts w:hint="eastAsia"/>
          <w:sz w:val="21"/>
          <w:szCs w:val="21"/>
        </w:rPr>
        <w:t>5、本基金为深圳证券交易所上市交易的交易型开放式基金，标的指数组合证券有深圳证券交易所上市证券</w:t>
      </w:r>
      <w:r>
        <w:rPr>
          <w:rFonts w:hint="eastAsia"/>
          <w:sz w:val="21"/>
          <w:szCs w:val="21"/>
          <w:lang w:eastAsia="zh-CN"/>
        </w:rPr>
        <w:t>、</w:t>
      </w:r>
      <w:r>
        <w:rPr>
          <w:rFonts w:hint="eastAsia"/>
          <w:sz w:val="21"/>
          <w:szCs w:val="21"/>
        </w:rPr>
        <w:t>上海证券交易所</w:t>
      </w:r>
      <w:r>
        <w:rPr>
          <w:rFonts w:hint="eastAsia"/>
          <w:sz w:val="21"/>
          <w:szCs w:val="21"/>
          <w:lang w:val="en-US" w:eastAsia="zh-CN"/>
        </w:rPr>
        <w:t>上市</w:t>
      </w:r>
      <w:r>
        <w:rPr>
          <w:rFonts w:hint="eastAsia"/>
          <w:sz w:val="21"/>
          <w:szCs w:val="21"/>
        </w:rPr>
        <w:t>证券和北京证券交易所上市证券</w:t>
      </w:r>
      <w:r>
        <w:rPr>
          <w:rFonts w:hint="eastAsia"/>
          <w:sz w:val="21"/>
          <w:szCs w:val="21"/>
          <w:lang w:eastAsia="zh-CN"/>
        </w:rPr>
        <w:t>。</w:t>
      </w:r>
      <w:r>
        <w:rPr>
          <w:rFonts w:hint="eastAsia"/>
          <w:sz w:val="21"/>
          <w:szCs w:val="21"/>
        </w:rPr>
        <w:t xml:space="preserve">投资人认购本基金时需具有深圳证券交易所A股账户或证券投资基金账户，已有深圳证券交易所A股账户或证券投资基金账户的投资人不必再办理开户手续。 </w:t>
      </w:r>
    </w:p>
    <w:p w14:paraId="04FAD9A9">
      <w:pPr>
        <w:pStyle w:val="7"/>
        <w:spacing w:before="0" w:beforeAutospacing="0" w:after="0" w:afterAutospacing="0" w:line="360" w:lineRule="auto"/>
        <w:ind w:firstLine="420"/>
        <w:rPr>
          <w:sz w:val="21"/>
          <w:szCs w:val="21"/>
        </w:rPr>
      </w:pPr>
      <w:r>
        <w:rPr>
          <w:rFonts w:hint="eastAsia"/>
          <w:sz w:val="21"/>
          <w:szCs w:val="21"/>
        </w:rPr>
        <w:t xml:space="preserve">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 </w:t>
      </w:r>
    </w:p>
    <w:p w14:paraId="358E2CD7">
      <w:pPr>
        <w:pStyle w:val="7"/>
        <w:spacing w:before="0" w:beforeAutospacing="0" w:after="0" w:afterAutospacing="0" w:line="360" w:lineRule="auto"/>
        <w:ind w:firstLine="420"/>
        <w:rPr>
          <w:sz w:val="21"/>
          <w:szCs w:val="21"/>
        </w:rPr>
      </w:pPr>
      <w:r>
        <w:rPr>
          <w:rFonts w:hint="eastAsia"/>
          <w:sz w:val="21"/>
          <w:szCs w:val="21"/>
        </w:rPr>
        <w:t xml:space="preserve">如投资人需新开立证券账户，则应注意： </w:t>
      </w:r>
    </w:p>
    <w:p w14:paraId="4BC02557">
      <w:pPr>
        <w:pStyle w:val="7"/>
        <w:spacing w:before="0" w:beforeAutospacing="0" w:after="0" w:afterAutospacing="0" w:line="360" w:lineRule="auto"/>
        <w:ind w:firstLine="420"/>
        <w:rPr>
          <w:sz w:val="21"/>
          <w:szCs w:val="21"/>
        </w:rPr>
      </w:pPr>
      <w:r>
        <w:rPr>
          <w:rFonts w:hint="eastAsia"/>
          <w:sz w:val="21"/>
          <w:szCs w:val="21"/>
        </w:rPr>
        <w:t xml:space="preserve">①深圳证券交易所证券投资基金账户只能进行基金份额的现金认购和二级市场交易，如投资人需要使用中证成渝地区双城经济圈成份指数成份股中的深圳证券交易所上市股票参与网下股票认购或基金份额的申购、赎回，则应开立深圳证券交易所A股账户；如投资者需要使用中证成渝地区双城经济圈成份指数成份股中的上海证券交易所上市股票参与网下股票认购，则还应开立上海证券交易所A股账户。 </w:t>
      </w:r>
    </w:p>
    <w:p w14:paraId="5BF6B9B3">
      <w:pPr>
        <w:pStyle w:val="7"/>
        <w:spacing w:before="0" w:beforeAutospacing="0" w:after="0" w:afterAutospacing="0" w:line="360" w:lineRule="auto"/>
        <w:ind w:firstLine="420"/>
        <w:rPr>
          <w:sz w:val="21"/>
          <w:szCs w:val="21"/>
        </w:rPr>
      </w:pPr>
      <w:r>
        <w:rPr>
          <w:rFonts w:hint="eastAsia"/>
          <w:sz w:val="21"/>
          <w:szCs w:val="21"/>
        </w:rPr>
        <w:t xml:space="preserve">②如投资人需要通过申购赎回代理券商参与本基金的申购、赎回，应同时持有并使用深圳A股账户与上海A股账户，且该两个账户的证件号码及名称属于同一投资人所有，并注意投资人用以申购、赎回的深圳证券交易所股票的托管证券公司和上海A股账户的指定交易证券公司应为同一申购赎回代理券商，否则无法办理本基金的申购和赎回。 </w:t>
      </w:r>
    </w:p>
    <w:p w14:paraId="3B25D7C7">
      <w:pPr>
        <w:pStyle w:val="7"/>
        <w:spacing w:before="0" w:beforeAutospacing="0" w:after="0" w:afterAutospacing="0" w:line="360" w:lineRule="auto"/>
        <w:ind w:firstLine="420"/>
        <w:rPr>
          <w:sz w:val="21"/>
          <w:szCs w:val="21"/>
        </w:rPr>
      </w:pPr>
      <w:r>
        <w:rPr>
          <w:rFonts w:hint="eastAsia"/>
          <w:sz w:val="21"/>
          <w:szCs w:val="21"/>
        </w:rPr>
        <w:t xml:space="preserve">6、本基金按照深圳证券交易所及中国证券登记结算有限责任公司的相关规定进行申购、赎回，具体业务的办理时间请参见相关公告。本基金通过深圳证券交易所办理申购赎回的，投资者的申购、赎回申请在T日确认，申购所得ETF份额T日竞价卖出，T+1日可赎回；赎回所得的组合证券T日可竞价卖出。通过登记机构办理申购赎回的，投资者的申购、赎回申请在T+1日确认，申购所得ETF份额及赎回所得组合证券在T+2日可用。如投资者需要通过申购赎回代理券商参与本基金的场内申购赎回（通过深圳证券交易所办理），则应开立深圳证券交易所A股账户。如投资者需要通过申购赎回代理券商参与本基金的实物申购赎回（通过中国证券登记结算有限责任公司办理），则应同时持有并使用深圳A股账户与上海A股账户，且该两个账户的证件号码及名称属于同一投资者所有，同时用以申购、赎回的深圳证券交易所股票的托管证券公司和上海A股账户的指定交易证券公司应为同一申购赎回代理券商。 </w:t>
      </w:r>
    </w:p>
    <w:p w14:paraId="10FB06C5">
      <w:pPr>
        <w:pStyle w:val="7"/>
        <w:spacing w:before="0" w:beforeAutospacing="0" w:after="0" w:afterAutospacing="0" w:line="360" w:lineRule="auto"/>
        <w:ind w:firstLine="420"/>
        <w:rPr>
          <w:sz w:val="21"/>
          <w:szCs w:val="21"/>
        </w:rPr>
      </w:pPr>
      <w:r>
        <w:rPr>
          <w:rFonts w:hint="eastAsia"/>
          <w:sz w:val="21"/>
          <w:szCs w:val="21"/>
        </w:rPr>
        <w:t xml:space="preserve">7、基金合同生效后，连续50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7F507D94">
      <w:pPr>
        <w:pStyle w:val="7"/>
        <w:spacing w:before="0" w:beforeAutospacing="0" w:after="0" w:afterAutospacing="0" w:line="360" w:lineRule="auto"/>
        <w:ind w:firstLine="420"/>
        <w:rPr>
          <w:sz w:val="21"/>
          <w:szCs w:val="21"/>
        </w:rPr>
      </w:pPr>
      <w:r>
        <w:rPr>
          <w:rFonts w:hint="eastAsia"/>
          <w:sz w:val="21"/>
          <w:szCs w:val="21"/>
        </w:rPr>
        <w:t xml:space="preserve">8、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 </w:t>
      </w:r>
    </w:p>
    <w:p w14:paraId="723D85F2">
      <w:pPr>
        <w:pStyle w:val="7"/>
        <w:spacing w:before="0" w:beforeAutospacing="0" w:after="0" w:afterAutospacing="0" w:line="360" w:lineRule="auto"/>
        <w:ind w:firstLine="420"/>
        <w:rPr>
          <w:sz w:val="21"/>
          <w:szCs w:val="21"/>
        </w:rPr>
      </w:pPr>
      <w:r>
        <w:rPr>
          <w:rFonts w:hint="eastAsia"/>
          <w:sz w:val="21"/>
          <w:szCs w:val="21"/>
        </w:rPr>
        <w:t xml:space="preserve">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14:paraId="31E2F25E">
      <w:pPr>
        <w:pStyle w:val="7"/>
        <w:spacing w:before="0" w:beforeAutospacing="0" w:after="0" w:afterAutospacing="0" w:line="360" w:lineRule="auto"/>
        <w:ind w:firstLine="420"/>
        <w:rPr>
          <w:sz w:val="21"/>
          <w:szCs w:val="21"/>
        </w:rPr>
      </w:pPr>
      <w:r>
        <w:rPr>
          <w:rFonts w:hint="eastAsia"/>
          <w:sz w:val="21"/>
          <w:szCs w:val="21"/>
        </w:rPr>
        <w:t xml:space="preserve">投资人应当通过申购、赎回代理券商办理基金申购、赎回业务，申购、赎回代理券商名单详见本基金《招募说明书》以及相关公告。 </w:t>
      </w:r>
    </w:p>
    <w:p w14:paraId="0CFE3681">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5</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6B24CED2">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A0085BA">
      <w:pPr>
        <w:pStyle w:val="6"/>
        <w:tabs>
          <w:tab w:val="right" w:leader="dot" w:pos="8290"/>
        </w:tabs>
        <w:spacing w:line="360" w:lineRule="auto"/>
        <w:rPr>
          <w:rFonts w:ascii="宋体" w:hAnsi="宋体" w:eastAsia="宋体"/>
        </w:rPr>
      </w:pPr>
      <w:r>
        <w:fldChar w:fldCharType="begin"/>
      </w:r>
      <w:r>
        <w:instrText xml:space="preserve"> HYPERLINK \l "_Toc207986780"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_Toc207986780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36F8BDDB">
      <w:pPr>
        <w:pStyle w:val="6"/>
        <w:tabs>
          <w:tab w:val="right" w:leader="dot" w:pos="8290"/>
        </w:tabs>
        <w:spacing w:line="360" w:lineRule="auto"/>
        <w:rPr>
          <w:rFonts w:ascii="宋体" w:hAnsi="宋体" w:eastAsia="宋体"/>
        </w:rPr>
      </w:pPr>
      <w:r>
        <w:fldChar w:fldCharType="begin"/>
      </w:r>
      <w:r>
        <w:instrText xml:space="preserve"> HYPERLINK \l "_Toc207986781"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_Toc207986781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2D06C353">
      <w:pPr>
        <w:pStyle w:val="6"/>
        <w:tabs>
          <w:tab w:val="right" w:leader="dot" w:pos="8290"/>
        </w:tabs>
        <w:spacing w:line="360" w:lineRule="auto"/>
        <w:rPr>
          <w:rFonts w:ascii="宋体" w:hAnsi="宋体" w:eastAsia="宋体"/>
        </w:rPr>
      </w:pPr>
      <w:r>
        <w:fldChar w:fldCharType="begin"/>
      </w:r>
      <w:r>
        <w:instrText xml:space="preserve"> HYPERLINK \l "_Toc207986782"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_Toc207986782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367FB55A">
      <w:pPr>
        <w:pStyle w:val="6"/>
        <w:tabs>
          <w:tab w:val="right" w:leader="dot" w:pos="8290"/>
        </w:tabs>
        <w:spacing w:line="360" w:lineRule="auto"/>
        <w:rPr>
          <w:rFonts w:ascii="宋体" w:hAnsi="宋体" w:eastAsia="宋体"/>
        </w:rPr>
      </w:pPr>
      <w:r>
        <w:fldChar w:fldCharType="begin"/>
      </w:r>
      <w:r>
        <w:instrText xml:space="preserve"> HYPERLINK \l "_Toc207986783"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_Toc207986783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14:paraId="322B8C77">
      <w:pPr>
        <w:pStyle w:val="6"/>
        <w:tabs>
          <w:tab w:val="right" w:leader="dot" w:pos="8290"/>
        </w:tabs>
        <w:spacing w:line="360" w:lineRule="auto"/>
        <w:rPr>
          <w:rFonts w:ascii="宋体" w:hAnsi="宋体" w:eastAsia="宋体"/>
        </w:rPr>
      </w:pPr>
      <w:r>
        <w:fldChar w:fldCharType="begin"/>
      </w:r>
      <w:r>
        <w:instrText xml:space="preserve"> HYPERLINK \l "_Toc207986784"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_Toc207986784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3972059F">
      <w:pPr>
        <w:pStyle w:val="6"/>
        <w:tabs>
          <w:tab w:val="right" w:leader="dot" w:pos="8290"/>
        </w:tabs>
        <w:spacing w:line="360" w:lineRule="auto"/>
        <w:rPr>
          <w:rFonts w:ascii="宋体" w:hAnsi="宋体" w:eastAsia="宋体"/>
        </w:rPr>
      </w:pPr>
      <w:r>
        <w:fldChar w:fldCharType="begin"/>
      </w:r>
      <w:r>
        <w:instrText xml:space="preserve"> HYPERLINK \l "_Toc207986785"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_Toc207986785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14:paraId="57B67BF4">
      <w:pPr>
        <w:pStyle w:val="6"/>
        <w:tabs>
          <w:tab w:val="right" w:leader="dot" w:pos="8290"/>
        </w:tabs>
        <w:spacing w:line="360" w:lineRule="auto"/>
        <w:rPr>
          <w:rFonts w:ascii="宋体" w:hAnsi="宋体" w:eastAsia="宋体"/>
        </w:rPr>
      </w:pPr>
      <w:r>
        <w:fldChar w:fldCharType="begin"/>
      </w:r>
      <w:r>
        <w:instrText xml:space="preserve"> HYPERLINK \l "_Toc207986786"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_Toc207986786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fldChar w:fldCharType="end"/>
      </w:r>
    </w:p>
    <w:p w14:paraId="74C9F25B">
      <w:pPr>
        <w:pStyle w:val="6"/>
        <w:tabs>
          <w:tab w:val="right" w:leader="dot" w:pos="8290"/>
        </w:tabs>
        <w:spacing w:line="360" w:lineRule="auto"/>
        <w:rPr>
          <w:rFonts w:ascii="宋体" w:hAnsi="宋体" w:eastAsia="宋体"/>
        </w:rPr>
      </w:pPr>
      <w:r>
        <w:fldChar w:fldCharType="begin"/>
      </w:r>
      <w:r>
        <w:instrText xml:space="preserve"> HYPERLINK \l "_Toc207986787"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基金的份额折算与变更登记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_Toc207986787 \h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fldChar w:fldCharType="end"/>
      </w:r>
    </w:p>
    <w:p w14:paraId="30183BA9">
      <w:pPr>
        <w:pStyle w:val="6"/>
        <w:tabs>
          <w:tab w:val="right" w:leader="dot" w:pos="8290"/>
        </w:tabs>
        <w:spacing w:line="360" w:lineRule="auto"/>
        <w:rPr>
          <w:rFonts w:ascii="宋体" w:hAnsi="宋体" w:eastAsia="宋体"/>
        </w:rPr>
      </w:pPr>
      <w:r>
        <w:fldChar w:fldCharType="begin"/>
      </w:r>
      <w:r>
        <w:instrText xml:space="preserve"> HYPERLINK \l "_Toc207986788"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基金份额的上市交易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_Toc207986788 \h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fldChar w:fldCharType="end"/>
      </w:r>
    </w:p>
    <w:p w14:paraId="04709B61">
      <w:pPr>
        <w:pStyle w:val="6"/>
        <w:tabs>
          <w:tab w:val="right" w:leader="dot" w:pos="8290"/>
        </w:tabs>
        <w:spacing w:line="360" w:lineRule="auto"/>
        <w:rPr>
          <w:rFonts w:ascii="宋体" w:hAnsi="宋体" w:eastAsia="宋体"/>
        </w:rPr>
      </w:pPr>
      <w:r>
        <w:fldChar w:fldCharType="begin"/>
      </w:r>
      <w:r>
        <w:instrText xml:space="preserve"> HYPERLINK \l "_Toc207986789"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_Toc207986789 \h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fldChar w:fldCharType="end"/>
      </w:r>
    </w:p>
    <w:p w14:paraId="208E3C9A">
      <w:pPr>
        <w:pStyle w:val="6"/>
        <w:tabs>
          <w:tab w:val="right" w:leader="dot" w:pos="8290"/>
        </w:tabs>
        <w:spacing w:line="360" w:lineRule="auto"/>
        <w:rPr>
          <w:rFonts w:ascii="宋体" w:hAnsi="宋体" w:eastAsia="宋体"/>
        </w:rPr>
      </w:pPr>
      <w:r>
        <w:fldChar w:fldCharType="begin"/>
      </w:r>
      <w:r>
        <w:instrText xml:space="preserve"> HYPERLINK \l "_Toc207986790"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_Toc207986790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14:paraId="38C6E5F7">
      <w:pPr>
        <w:pStyle w:val="6"/>
        <w:tabs>
          <w:tab w:val="right" w:leader="dot" w:pos="8290"/>
        </w:tabs>
        <w:spacing w:line="360" w:lineRule="auto"/>
        <w:rPr>
          <w:rFonts w:ascii="宋体" w:hAnsi="宋体" w:eastAsia="宋体"/>
        </w:rPr>
      </w:pPr>
      <w:r>
        <w:fldChar w:fldCharType="begin"/>
      </w:r>
      <w:r>
        <w:instrText xml:space="preserve"> HYPERLINK \l "_Toc207986791"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_Toc207986791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2CD5FFF8">
      <w:pPr>
        <w:pStyle w:val="6"/>
        <w:tabs>
          <w:tab w:val="right" w:leader="dot" w:pos="8290"/>
        </w:tabs>
        <w:spacing w:line="360" w:lineRule="auto"/>
        <w:rPr>
          <w:rFonts w:ascii="宋体" w:hAnsi="宋体" w:eastAsia="宋体"/>
        </w:rPr>
      </w:pPr>
      <w:r>
        <w:fldChar w:fldCharType="begin"/>
      </w:r>
      <w:r>
        <w:instrText xml:space="preserve"> HYPERLINK \l "_Toc207986792"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_Toc207986792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337711EF">
      <w:pPr>
        <w:pStyle w:val="6"/>
        <w:tabs>
          <w:tab w:val="right" w:leader="dot" w:pos="8290"/>
        </w:tabs>
        <w:spacing w:line="360" w:lineRule="auto"/>
        <w:rPr>
          <w:rFonts w:ascii="宋体" w:hAnsi="宋体" w:eastAsia="宋体"/>
        </w:rPr>
      </w:pPr>
      <w:r>
        <w:fldChar w:fldCharType="begin"/>
      </w:r>
      <w:r>
        <w:instrText xml:space="preserve"> HYPERLINK \l "_Toc207986793"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_Toc207986793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67936B35">
      <w:pPr>
        <w:pStyle w:val="6"/>
        <w:tabs>
          <w:tab w:val="right" w:leader="dot" w:pos="8290"/>
        </w:tabs>
        <w:spacing w:line="360" w:lineRule="auto"/>
        <w:rPr>
          <w:rFonts w:ascii="宋体" w:hAnsi="宋体" w:eastAsia="宋体"/>
        </w:rPr>
      </w:pPr>
      <w:r>
        <w:fldChar w:fldCharType="begin"/>
      </w:r>
      <w:r>
        <w:instrText xml:space="preserve"> HYPERLINK \l "_Toc207986794"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_Toc207986794 \h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fldChar w:fldCharType="end"/>
      </w:r>
    </w:p>
    <w:p w14:paraId="6FE7AFB2">
      <w:pPr>
        <w:pStyle w:val="6"/>
        <w:tabs>
          <w:tab w:val="right" w:leader="dot" w:pos="8290"/>
        </w:tabs>
        <w:spacing w:line="360" w:lineRule="auto"/>
        <w:rPr>
          <w:rFonts w:ascii="宋体" w:hAnsi="宋体" w:eastAsia="宋体"/>
        </w:rPr>
      </w:pPr>
      <w:r>
        <w:fldChar w:fldCharType="begin"/>
      </w:r>
      <w:r>
        <w:instrText xml:space="preserve"> HYPERLINK \l "_Toc207986795"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_Toc207986795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6B968314">
      <w:pPr>
        <w:pStyle w:val="6"/>
        <w:tabs>
          <w:tab w:val="right" w:leader="dot" w:pos="8290"/>
        </w:tabs>
        <w:spacing w:line="360" w:lineRule="auto"/>
        <w:rPr>
          <w:rFonts w:ascii="宋体" w:hAnsi="宋体" w:eastAsia="宋体"/>
        </w:rPr>
      </w:pPr>
      <w:r>
        <w:fldChar w:fldCharType="begin"/>
      </w:r>
      <w:r>
        <w:instrText xml:space="preserve"> HYPERLINK \l "_Toc207986796"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_Toc207986796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14:paraId="238A6289">
      <w:pPr>
        <w:pStyle w:val="6"/>
        <w:tabs>
          <w:tab w:val="right" w:leader="dot" w:pos="8290"/>
        </w:tabs>
        <w:spacing w:line="360" w:lineRule="auto"/>
        <w:rPr>
          <w:rFonts w:ascii="宋体" w:hAnsi="宋体" w:eastAsia="宋体"/>
        </w:rPr>
      </w:pPr>
      <w:r>
        <w:fldChar w:fldCharType="begin"/>
      </w:r>
      <w:r>
        <w:instrText xml:space="preserve"> HYPERLINK \l "_Toc207986797"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_Toc207986797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76E82A1B">
      <w:pPr>
        <w:pStyle w:val="6"/>
        <w:tabs>
          <w:tab w:val="right" w:leader="dot" w:pos="8290"/>
        </w:tabs>
        <w:spacing w:line="360" w:lineRule="auto"/>
        <w:rPr>
          <w:rFonts w:ascii="宋体" w:hAnsi="宋体" w:eastAsia="宋体"/>
        </w:rPr>
      </w:pPr>
      <w:r>
        <w:fldChar w:fldCharType="begin"/>
      </w:r>
      <w:r>
        <w:instrText xml:space="preserve"> HYPERLINK \l "_Toc207986798"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_Toc207986798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14:paraId="0A837BB6">
      <w:pPr>
        <w:pStyle w:val="6"/>
        <w:tabs>
          <w:tab w:val="right" w:leader="dot" w:pos="8290"/>
        </w:tabs>
        <w:spacing w:line="360" w:lineRule="auto"/>
        <w:rPr>
          <w:rFonts w:ascii="宋体" w:hAnsi="宋体" w:eastAsia="宋体"/>
        </w:rPr>
      </w:pPr>
      <w:r>
        <w:fldChar w:fldCharType="begin"/>
      </w:r>
      <w:r>
        <w:instrText xml:space="preserve"> HYPERLINK \l "_Toc207986799"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_Toc207986799 \h </w:instrText>
      </w:r>
      <w:r>
        <w:rPr>
          <w:rFonts w:ascii="宋体" w:hAnsi="宋体" w:eastAsia="宋体"/>
        </w:rPr>
        <w:fldChar w:fldCharType="separate"/>
      </w:r>
      <w:r>
        <w:rPr>
          <w:rFonts w:ascii="宋体" w:hAnsi="宋体" w:eastAsia="宋体"/>
        </w:rPr>
        <w:t>110</w:t>
      </w:r>
      <w:r>
        <w:rPr>
          <w:rFonts w:ascii="宋体" w:hAnsi="宋体" w:eastAsia="宋体"/>
        </w:rPr>
        <w:fldChar w:fldCharType="end"/>
      </w:r>
      <w:r>
        <w:rPr>
          <w:rFonts w:ascii="宋体" w:hAnsi="宋体" w:eastAsia="宋体"/>
        </w:rPr>
        <w:fldChar w:fldCharType="end"/>
      </w:r>
    </w:p>
    <w:p w14:paraId="62AB7786">
      <w:pPr>
        <w:pStyle w:val="6"/>
        <w:tabs>
          <w:tab w:val="right" w:leader="dot" w:pos="8290"/>
        </w:tabs>
        <w:spacing w:line="360" w:lineRule="auto"/>
        <w:rPr>
          <w:rFonts w:ascii="宋体" w:hAnsi="宋体" w:eastAsia="宋体"/>
        </w:rPr>
      </w:pPr>
      <w:r>
        <w:fldChar w:fldCharType="begin"/>
      </w:r>
      <w:r>
        <w:instrText xml:space="preserve"> HYPERLINK \l "_Toc207986800"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_Toc207986800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14:paraId="0C9CB038">
      <w:pPr>
        <w:pStyle w:val="6"/>
        <w:tabs>
          <w:tab w:val="right" w:leader="dot" w:pos="8290"/>
        </w:tabs>
        <w:spacing w:line="360" w:lineRule="auto"/>
        <w:rPr>
          <w:rFonts w:ascii="宋体" w:hAnsi="宋体" w:eastAsia="宋体"/>
        </w:rPr>
      </w:pPr>
      <w:r>
        <w:fldChar w:fldCharType="begin"/>
      </w:r>
      <w:r>
        <w:instrText xml:space="preserve"> HYPERLINK \l "_Toc207986801"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_Toc207986801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14:paraId="6E4FC333">
      <w:pPr>
        <w:pStyle w:val="6"/>
        <w:tabs>
          <w:tab w:val="right" w:leader="dot" w:pos="8290"/>
        </w:tabs>
        <w:spacing w:line="360" w:lineRule="auto"/>
        <w:rPr>
          <w:rFonts w:ascii="宋体" w:hAnsi="宋体" w:eastAsia="宋体"/>
        </w:rPr>
      </w:pPr>
      <w:r>
        <w:fldChar w:fldCharType="begin"/>
      </w:r>
      <w:r>
        <w:instrText xml:space="preserve"> HYPERLINK \l "_Toc207986802"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_Toc207986802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14:paraId="2C2C5E1E">
      <w:pPr>
        <w:pStyle w:val="6"/>
        <w:tabs>
          <w:tab w:val="right" w:leader="dot" w:pos="8290"/>
        </w:tabs>
        <w:spacing w:line="360" w:lineRule="auto"/>
        <w:rPr>
          <w:rFonts w:ascii="宋体" w:hAnsi="宋体" w:eastAsia="宋体"/>
        </w:rPr>
      </w:pPr>
      <w:r>
        <w:fldChar w:fldCharType="begin"/>
      </w:r>
      <w:r>
        <w:instrText xml:space="preserve"> HYPERLINK \l "_Toc207986803"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_Toc207986803 \h </w:instrText>
      </w:r>
      <w:r>
        <w:rPr>
          <w:rFonts w:ascii="宋体" w:hAnsi="宋体" w:eastAsia="宋体"/>
        </w:rPr>
        <w:fldChar w:fldCharType="separate"/>
      </w:r>
      <w:r>
        <w:rPr>
          <w:rFonts w:ascii="宋体" w:hAnsi="宋体" w:eastAsia="宋体"/>
        </w:rPr>
        <w:t>146</w:t>
      </w:r>
      <w:r>
        <w:rPr>
          <w:rFonts w:ascii="宋体" w:hAnsi="宋体" w:eastAsia="宋体"/>
        </w:rPr>
        <w:fldChar w:fldCharType="end"/>
      </w:r>
      <w:r>
        <w:rPr>
          <w:rFonts w:ascii="宋体" w:hAnsi="宋体" w:eastAsia="宋体"/>
        </w:rPr>
        <w:fldChar w:fldCharType="end"/>
      </w:r>
    </w:p>
    <w:p w14:paraId="24E1F5B1">
      <w:pPr>
        <w:pStyle w:val="6"/>
        <w:tabs>
          <w:tab w:val="right" w:leader="dot" w:pos="8290"/>
        </w:tabs>
        <w:spacing w:line="360" w:lineRule="auto"/>
        <w:rPr>
          <w:rFonts w:ascii="宋体" w:hAnsi="宋体" w:eastAsia="宋体"/>
        </w:rPr>
      </w:pPr>
      <w:r>
        <w:fldChar w:fldCharType="begin"/>
      </w:r>
      <w:r>
        <w:instrText xml:space="preserve"> HYPERLINK \l "_Toc207986804"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_Toc207986804 \h </w:instrText>
      </w:r>
      <w:r>
        <w:rPr>
          <w:rFonts w:ascii="宋体" w:hAnsi="宋体" w:eastAsia="宋体"/>
        </w:rPr>
        <w:fldChar w:fldCharType="separate"/>
      </w:r>
      <w:r>
        <w:rPr>
          <w:rFonts w:ascii="宋体" w:hAnsi="宋体" w:eastAsia="宋体"/>
        </w:rPr>
        <w:t>149</w:t>
      </w:r>
      <w:r>
        <w:rPr>
          <w:rFonts w:ascii="宋体" w:hAnsi="宋体" w:eastAsia="宋体"/>
        </w:rPr>
        <w:fldChar w:fldCharType="end"/>
      </w:r>
      <w:r>
        <w:rPr>
          <w:rFonts w:ascii="宋体" w:hAnsi="宋体" w:eastAsia="宋体"/>
        </w:rPr>
        <w:fldChar w:fldCharType="end"/>
      </w:r>
    </w:p>
    <w:p w14:paraId="6A148737">
      <w:pPr>
        <w:pStyle w:val="6"/>
        <w:tabs>
          <w:tab w:val="right" w:leader="dot" w:pos="8290"/>
        </w:tabs>
        <w:spacing w:line="360" w:lineRule="auto"/>
        <w:rPr>
          <w:rFonts w:ascii="宋体" w:hAnsi="宋体" w:eastAsia="宋体"/>
        </w:rPr>
      </w:pPr>
      <w:r>
        <w:fldChar w:fldCharType="begin"/>
      </w:r>
      <w:r>
        <w:instrText xml:space="preserve"> HYPERLINK \l "_Toc207986805" </w:instrText>
      </w:r>
      <w:r>
        <w:fldChar w:fldCharType="separate"/>
      </w:r>
      <w:r>
        <w:rPr>
          <w:rStyle w:val="12"/>
          <w:rFonts w:hint="eastAsia" w:ascii="宋体" w:hAnsi="宋体" w:eastAsia="宋体"/>
          <w:u w:val="none"/>
        </w:rPr>
        <w:t>第二十五部分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_Toc207986805 \h </w:instrText>
      </w:r>
      <w:r>
        <w:rPr>
          <w:rFonts w:ascii="宋体" w:hAnsi="宋体" w:eastAsia="宋体"/>
        </w:rPr>
        <w:fldChar w:fldCharType="separate"/>
      </w:r>
      <w:r>
        <w:rPr>
          <w:rFonts w:ascii="宋体" w:hAnsi="宋体" w:eastAsia="宋体"/>
        </w:rPr>
        <w:t>150</w:t>
      </w:r>
      <w:r>
        <w:rPr>
          <w:rFonts w:ascii="宋体" w:hAnsi="宋体" w:eastAsia="宋体"/>
        </w:rPr>
        <w:fldChar w:fldCharType="end"/>
      </w:r>
      <w:r>
        <w:rPr>
          <w:rFonts w:ascii="宋体" w:hAnsi="宋体" w:eastAsia="宋体"/>
        </w:rPr>
        <w:fldChar w:fldCharType="end"/>
      </w:r>
    </w:p>
    <w:p w14:paraId="4A3EE748">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173DE0C">
      <w:pPr>
        <w:pStyle w:val="2"/>
        <w:jc w:val="center"/>
        <w:rPr>
          <w:rFonts w:ascii="宋体" w:hAnsi="宋体" w:eastAsia="宋体"/>
          <w:sz w:val="30"/>
        </w:rPr>
      </w:pPr>
      <w:bookmarkStart w:id="5" w:name="chapter_level1_3_2344"/>
      <w:bookmarkStart w:id="6" w:name="_Toc207986781"/>
      <w:r>
        <w:rPr>
          <w:rFonts w:hint="eastAsia" w:ascii="宋体" w:hAnsi="宋体" w:eastAsia="宋体"/>
          <w:sz w:val="30"/>
        </w:rPr>
        <w:t>第一部分  绪言</w:t>
      </w:r>
      <w:bookmarkEnd w:id="5"/>
      <w:bookmarkEnd w:id="6"/>
    </w:p>
    <w:p w14:paraId="076DA3D8">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3"/>
      <w:r>
        <w:rPr>
          <w:rFonts w:hint="eastAsia"/>
          <w:sz w:val="21"/>
          <w:szCs w:val="21"/>
        </w:rPr>
        <w:t>博时中证成渝地区双城经济圈成份交易型开放式指数证券投资基金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9" w:name="field_0_productfullname_4"/>
      <w:r>
        <w:rPr>
          <w:rFonts w:hint="eastAsia"/>
          <w:sz w:val="21"/>
          <w:szCs w:val="21"/>
        </w:rPr>
        <w:t>博时中证成渝地区双城经济圈成份交易型开放式指数证券投资基金</w:t>
      </w:r>
      <w:bookmarkEnd w:id="9"/>
      <w:r>
        <w:rPr>
          <w:rFonts w:hint="eastAsia"/>
          <w:sz w:val="21"/>
          <w:szCs w:val="21"/>
        </w:rPr>
        <w:t xml:space="preserve">基金合同》（以下简称“基金合同”）编写。 </w:t>
      </w:r>
    </w:p>
    <w:p w14:paraId="21FF13CC">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5"/>
      <w:r>
        <w:rPr>
          <w:rFonts w:hint="eastAsia"/>
          <w:sz w:val="21"/>
          <w:szCs w:val="21"/>
        </w:rPr>
        <w:t>博时中证成渝地区双城经济圈成份交易型开放式指数证券投资基金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3A711B18">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BFBD877">
      <w:pPr>
        <w:pStyle w:val="7"/>
        <w:spacing w:before="0" w:beforeAutospacing="0" w:after="0" w:afterAutospacing="0" w:line="360" w:lineRule="auto"/>
        <w:ind w:firstLine="420"/>
        <w:rPr>
          <w:sz w:val="21"/>
          <w:szCs w:val="21"/>
        </w:rPr>
      </w:pPr>
      <w:bookmarkStart w:id="11" w:name="field_0_productfullname_6"/>
      <w:r>
        <w:rPr>
          <w:rFonts w:hint="eastAsia"/>
          <w:sz w:val="21"/>
          <w:szCs w:val="21"/>
        </w:rPr>
        <w:t>博时中证成渝地区双城经济圈成份交易型开放式指数证券投资基金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763A6E65">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2" w:name="chapter_level1_3_2344_section_1_end"/>
      <w:bookmarkEnd w:id="12"/>
      <w:r>
        <w:rPr>
          <w:rFonts w:hint="eastAsia"/>
          <w:sz w:val="21"/>
          <w:szCs w:val="21"/>
        </w:rPr>
        <w:t xml:space="preserve">金合同。 </w:t>
      </w:r>
    </w:p>
    <w:p w14:paraId="178397BF">
      <w:pPr>
        <w:widowControl/>
        <w:jc w:val="left"/>
        <w:rPr>
          <w:rFonts w:ascii="宋体" w:hAnsi="宋体" w:eastAsia="宋体"/>
        </w:rPr>
      </w:pPr>
      <w:r>
        <w:rPr>
          <w:rFonts w:ascii="宋体" w:hAnsi="宋体" w:eastAsia="宋体"/>
        </w:rPr>
        <w:br w:type="page"/>
      </w:r>
    </w:p>
    <w:p w14:paraId="14235C45">
      <w:pPr>
        <w:pStyle w:val="2"/>
        <w:jc w:val="center"/>
        <w:rPr>
          <w:rFonts w:ascii="宋体" w:hAnsi="宋体" w:eastAsia="宋体"/>
          <w:sz w:val="30"/>
        </w:rPr>
      </w:pPr>
      <w:bookmarkStart w:id="13" w:name="chapter_level1_4_49"/>
      <w:bookmarkStart w:id="14" w:name="_Toc207986782"/>
      <w:r>
        <w:rPr>
          <w:rFonts w:hint="eastAsia" w:ascii="宋体" w:hAnsi="宋体" w:eastAsia="宋体"/>
          <w:sz w:val="30"/>
        </w:rPr>
        <w:t>第二部分  释义</w:t>
      </w:r>
      <w:bookmarkEnd w:id="13"/>
      <w:bookmarkEnd w:id="14"/>
    </w:p>
    <w:p w14:paraId="609AEEE3">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在本招募说明书中，除非文意另有所指，下列词语或简称具有以下含义： </w:t>
      </w:r>
    </w:p>
    <w:p w14:paraId="4E79EBA9">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7"/>
      <w:r>
        <w:rPr>
          <w:rFonts w:hint="eastAsia"/>
          <w:sz w:val="21"/>
          <w:szCs w:val="21"/>
        </w:rPr>
        <w:t>博时中证成渝地区双城经济圈成份交易型开放式指数证券投资基金</w:t>
      </w:r>
      <w:bookmarkEnd w:id="16"/>
      <w:r>
        <w:rPr>
          <w:rFonts w:hint="eastAsia"/>
          <w:sz w:val="21"/>
          <w:szCs w:val="21"/>
        </w:rPr>
        <w:t xml:space="preserve">  </w:t>
      </w:r>
    </w:p>
    <w:p w14:paraId="02BAD01B">
      <w:pPr>
        <w:pStyle w:val="7"/>
        <w:spacing w:before="0" w:beforeAutospacing="0" w:after="0" w:afterAutospacing="0" w:line="360" w:lineRule="auto"/>
        <w:ind w:firstLine="420"/>
        <w:rPr>
          <w:sz w:val="21"/>
          <w:szCs w:val="21"/>
        </w:rPr>
      </w:pPr>
      <w:r>
        <w:rPr>
          <w:rFonts w:hint="eastAsia"/>
          <w:sz w:val="21"/>
          <w:szCs w:val="21"/>
        </w:rPr>
        <w:t xml:space="preserve">2.基金管理人：指博时基金管理有限公司 </w:t>
      </w:r>
    </w:p>
    <w:p w14:paraId="0ABEE87B">
      <w:pPr>
        <w:pStyle w:val="7"/>
        <w:spacing w:before="0" w:beforeAutospacing="0" w:after="0" w:afterAutospacing="0" w:line="360" w:lineRule="auto"/>
        <w:ind w:firstLine="420"/>
        <w:rPr>
          <w:sz w:val="21"/>
          <w:szCs w:val="21"/>
        </w:rPr>
      </w:pPr>
      <w:r>
        <w:rPr>
          <w:rFonts w:hint="eastAsia"/>
          <w:sz w:val="21"/>
          <w:szCs w:val="21"/>
        </w:rPr>
        <w:t>3.基金托管人：指</w:t>
      </w:r>
      <w:bookmarkStart w:id="17" w:name="field_0_trustorgfullname_1"/>
      <w:r>
        <w:rPr>
          <w:rFonts w:hint="eastAsia"/>
          <w:sz w:val="21"/>
          <w:szCs w:val="21"/>
        </w:rPr>
        <w:t>招商银行股份有限公司</w:t>
      </w:r>
      <w:bookmarkEnd w:id="17"/>
      <w:r>
        <w:rPr>
          <w:rFonts w:hint="eastAsia"/>
          <w:sz w:val="21"/>
          <w:szCs w:val="21"/>
        </w:rPr>
        <w:t xml:space="preserve">  </w:t>
      </w:r>
    </w:p>
    <w:p w14:paraId="1A5CD94D">
      <w:pPr>
        <w:pStyle w:val="7"/>
        <w:spacing w:before="0" w:beforeAutospacing="0" w:after="0" w:afterAutospacing="0" w:line="360" w:lineRule="auto"/>
        <w:ind w:firstLine="420"/>
        <w:rPr>
          <w:sz w:val="21"/>
          <w:szCs w:val="21"/>
        </w:rPr>
      </w:pPr>
      <w:r>
        <w:rPr>
          <w:rFonts w:hint="eastAsia"/>
          <w:sz w:val="21"/>
          <w:szCs w:val="21"/>
        </w:rPr>
        <w:t>4.基金合同：指《</w:t>
      </w:r>
      <w:bookmarkStart w:id="18" w:name="field_0_productfullname_8"/>
      <w:r>
        <w:rPr>
          <w:rFonts w:hint="eastAsia"/>
          <w:sz w:val="21"/>
          <w:szCs w:val="21"/>
        </w:rPr>
        <w:t>博时中证成渝地区双城经济圈成份交易型开放式指数证券投资基金</w:t>
      </w:r>
      <w:bookmarkEnd w:id="18"/>
      <w:r>
        <w:rPr>
          <w:rFonts w:hint="eastAsia"/>
          <w:sz w:val="21"/>
          <w:szCs w:val="21"/>
        </w:rPr>
        <w:t xml:space="preserve">基金合同》及对基金合同的任何有效修订和补充 </w:t>
      </w:r>
    </w:p>
    <w:p w14:paraId="1BDFF28E">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9" w:name="field_0_productfullname_9"/>
      <w:r>
        <w:rPr>
          <w:rFonts w:hint="eastAsia"/>
          <w:sz w:val="21"/>
          <w:szCs w:val="21"/>
        </w:rPr>
        <w:t>博时中证成渝地区双城经济圈成份交易型开放式指数证券投资基金</w:t>
      </w:r>
      <w:bookmarkEnd w:id="19"/>
      <w:r>
        <w:rPr>
          <w:rFonts w:hint="eastAsia"/>
          <w:sz w:val="21"/>
          <w:szCs w:val="21"/>
        </w:rPr>
        <w:t xml:space="preserve">托管协议》及对该托管协议的任何有效修订和补充 </w:t>
      </w:r>
    </w:p>
    <w:p w14:paraId="42E836AF">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0" w:name="field_0_productfullname_10"/>
      <w:r>
        <w:rPr>
          <w:rFonts w:hint="eastAsia"/>
          <w:sz w:val="21"/>
          <w:szCs w:val="21"/>
        </w:rPr>
        <w:t>博时中证成渝地区双城经济圈成份交易型开放式指数证券投资基金</w:t>
      </w:r>
      <w:bookmarkEnd w:id="20"/>
      <w:r>
        <w:rPr>
          <w:rFonts w:hint="eastAsia"/>
          <w:sz w:val="21"/>
          <w:szCs w:val="21"/>
        </w:rPr>
        <w:t xml:space="preserve">招募说明书》及其更新 </w:t>
      </w:r>
    </w:p>
    <w:p w14:paraId="6B279F0E">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1" w:name="field_0_productfullname_11"/>
      <w:r>
        <w:rPr>
          <w:rFonts w:hint="eastAsia"/>
          <w:sz w:val="21"/>
          <w:szCs w:val="21"/>
        </w:rPr>
        <w:t>博时中证成渝地区双城经济圈成份交易型开放式指数证券投资基金</w:t>
      </w:r>
      <w:bookmarkEnd w:id="21"/>
      <w:r>
        <w:rPr>
          <w:rFonts w:hint="eastAsia"/>
          <w:sz w:val="21"/>
          <w:szCs w:val="21"/>
        </w:rPr>
        <w:t xml:space="preserve">基金产品资料概要》及其更新 </w:t>
      </w:r>
    </w:p>
    <w:p w14:paraId="2DADE7D7">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2" w:name="field_0_productfullname_12"/>
      <w:r>
        <w:rPr>
          <w:rFonts w:hint="eastAsia"/>
          <w:sz w:val="21"/>
          <w:szCs w:val="21"/>
        </w:rPr>
        <w:t>博时中证成渝地区双城经济圈成份交易型开放式指数证券投资基金</w:t>
      </w:r>
      <w:bookmarkEnd w:id="22"/>
      <w:r>
        <w:rPr>
          <w:rFonts w:hint="eastAsia"/>
          <w:sz w:val="21"/>
          <w:szCs w:val="21"/>
        </w:rPr>
        <w:t xml:space="preserve">基金份额发售公告》 </w:t>
      </w:r>
    </w:p>
    <w:p w14:paraId="2599EADA">
      <w:pPr>
        <w:pStyle w:val="7"/>
        <w:spacing w:before="0" w:beforeAutospacing="0" w:after="0" w:afterAutospacing="0" w:line="360" w:lineRule="auto"/>
        <w:ind w:firstLine="420"/>
        <w:rPr>
          <w:sz w:val="21"/>
          <w:szCs w:val="21"/>
        </w:rPr>
      </w:pPr>
      <w:r>
        <w:rPr>
          <w:rFonts w:hint="eastAsia"/>
          <w:sz w:val="21"/>
          <w:szCs w:val="21"/>
        </w:rPr>
        <w:t>9.上市交易公告书：指《</w:t>
      </w:r>
      <w:bookmarkStart w:id="23" w:name="field_0_productfullname_13"/>
      <w:r>
        <w:rPr>
          <w:rFonts w:hint="eastAsia"/>
          <w:sz w:val="21"/>
          <w:szCs w:val="21"/>
        </w:rPr>
        <w:t>博时中证成渝地区双城经济圈成份交易型开放式指数证券投资基金</w:t>
      </w:r>
      <w:bookmarkEnd w:id="23"/>
      <w:r>
        <w:rPr>
          <w:rFonts w:hint="eastAsia"/>
          <w:sz w:val="21"/>
          <w:szCs w:val="21"/>
        </w:rPr>
        <w:t xml:space="preserve">基金份额上市交易公告书》 </w:t>
      </w:r>
    </w:p>
    <w:p w14:paraId="18E037EF">
      <w:pPr>
        <w:pStyle w:val="7"/>
        <w:spacing w:before="0" w:beforeAutospacing="0" w:after="0" w:afterAutospacing="0" w:line="360" w:lineRule="auto"/>
        <w:ind w:firstLine="420"/>
        <w:rPr>
          <w:sz w:val="21"/>
          <w:szCs w:val="21"/>
        </w:rPr>
      </w:pPr>
      <w:r>
        <w:rPr>
          <w:rFonts w:hint="eastAsia"/>
          <w:sz w:val="21"/>
          <w:szCs w:val="21"/>
        </w:rPr>
        <w:t xml:space="preserve">10.法律法规：指中国现行有效并公布实施的法律、行政法规、规范性文件、司法解释、行政规章以及其他对基金合同当事人有约束力的决定、决议、通知等 </w:t>
      </w:r>
    </w:p>
    <w:p w14:paraId="5B3D5E52">
      <w:pPr>
        <w:pStyle w:val="7"/>
        <w:spacing w:before="0" w:beforeAutospacing="0" w:after="0" w:afterAutospacing="0" w:line="360" w:lineRule="auto"/>
        <w:ind w:firstLine="420"/>
        <w:rPr>
          <w:sz w:val="21"/>
          <w:szCs w:val="21"/>
        </w:rPr>
      </w:pPr>
      <w:r>
        <w:rPr>
          <w:rFonts w:hint="eastAsia"/>
          <w:sz w:val="21"/>
          <w:szCs w:val="21"/>
        </w:rPr>
        <w:t xml:space="preserve">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70FF024E">
      <w:pPr>
        <w:pStyle w:val="7"/>
        <w:spacing w:before="0" w:beforeAutospacing="0" w:after="0" w:afterAutospacing="0" w:line="360" w:lineRule="auto"/>
        <w:ind w:firstLine="420"/>
        <w:rPr>
          <w:sz w:val="21"/>
          <w:szCs w:val="21"/>
        </w:rPr>
      </w:pPr>
      <w:r>
        <w:rPr>
          <w:rFonts w:hint="eastAsia"/>
          <w:sz w:val="21"/>
          <w:szCs w:val="21"/>
        </w:rPr>
        <w:t xml:space="preserve">12.《销售办法》：指中国证监会2020年8月28日颁布、同年10月1日实施的《公开募集证券投资基金销售机构监督管理办法》及颁布机关对其不时做出的修订 </w:t>
      </w:r>
    </w:p>
    <w:p w14:paraId="05CB13D3">
      <w:pPr>
        <w:pStyle w:val="7"/>
        <w:spacing w:before="0" w:beforeAutospacing="0" w:after="0" w:afterAutospacing="0" w:line="360" w:lineRule="auto"/>
        <w:ind w:firstLine="420"/>
        <w:rPr>
          <w:sz w:val="21"/>
          <w:szCs w:val="21"/>
        </w:rPr>
      </w:pPr>
      <w:r>
        <w:rPr>
          <w:rFonts w:hint="eastAsia"/>
          <w:sz w:val="21"/>
          <w:szCs w:val="21"/>
        </w:rPr>
        <w:t xml:space="preserve">13.《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7C8878EF">
      <w:pPr>
        <w:pStyle w:val="7"/>
        <w:spacing w:before="0" w:beforeAutospacing="0" w:after="0" w:afterAutospacing="0" w:line="360" w:lineRule="auto"/>
        <w:ind w:firstLine="420"/>
        <w:rPr>
          <w:sz w:val="21"/>
          <w:szCs w:val="21"/>
        </w:rPr>
      </w:pPr>
      <w:r>
        <w:rPr>
          <w:rFonts w:hint="eastAsia"/>
          <w:sz w:val="21"/>
          <w:szCs w:val="21"/>
        </w:rPr>
        <w:t xml:space="preserve">14.《运作办法》：指中国证监会2014年7月7日颁布、同年8月8日实施的《公开募集证券投资基金运作管理办法》及颁布机关对其不时做出的修订 </w:t>
      </w:r>
    </w:p>
    <w:p w14:paraId="7628FAF9">
      <w:pPr>
        <w:pStyle w:val="7"/>
        <w:spacing w:before="0" w:beforeAutospacing="0" w:after="0" w:afterAutospacing="0" w:line="360" w:lineRule="auto"/>
        <w:ind w:firstLine="420"/>
        <w:rPr>
          <w:sz w:val="21"/>
          <w:szCs w:val="21"/>
        </w:rPr>
      </w:pPr>
      <w:r>
        <w:rPr>
          <w:rFonts w:hint="eastAsia"/>
          <w:sz w:val="21"/>
          <w:szCs w:val="21"/>
        </w:rPr>
        <w:t xml:space="preserve">15.《流动性风险管理规定》：指中国证监会2017年8月31日颁布、同年10月1日实施的《公开募集开放式证券投资基金流动性风险管理规定》及颁布机关对其不时做出的修订 </w:t>
      </w:r>
    </w:p>
    <w:p w14:paraId="31DD536A">
      <w:pPr>
        <w:pStyle w:val="7"/>
        <w:spacing w:before="0" w:beforeAutospacing="0" w:after="0" w:afterAutospacing="0" w:line="360" w:lineRule="auto"/>
        <w:ind w:firstLine="420"/>
        <w:rPr>
          <w:sz w:val="21"/>
          <w:szCs w:val="21"/>
        </w:rPr>
      </w:pPr>
      <w:r>
        <w:rPr>
          <w:rFonts w:hint="eastAsia"/>
          <w:sz w:val="21"/>
          <w:szCs w:val="21"/>
        </w:rPr>
        <w:t xml:space="preserve">16.《指数基金指引》：指中国证监会2021年1月22日颁布、同年2月1日实施的《公开募集证券投资基金运作指引第3号——指数基金指引》及颁布机关对其不时做出的修订 </w:t>
      </w:r>
    </w:p>
    <w:p w14:paraId="56407BE5">
      <w:pPr>
        <w:pStyle w:val="7"/>
        <w:spacing w:before="0" w:beforeAutospacing="0" w:after="0" w:afterAutospacing="0" w:line="360" w:lineRule="auto"/>
        <w:ind w:firstLine="420"/>
        <w:rPr>
          <w:sz w:val="21"/>
          <w:szCs w:val="21"/>
        </w:rPr>
      </w:pPr>
      <w:r>
        <w:rPr>
          <w:rFonts w:hint="eastAsia"/>
          <w:sz w:val="21"/>
          <w:szCs w:val="21"/>
        </w:rPr>
        <w:t xml:space="preserve">17.业务规则：指深圳证券交易所、登记机构等相关机构发布的其他相关规则及其不时做出的修订 </w:t>
      </w:r>
    </w:p>
    <w:p w14:paraId="7921463D">
      <w:pPr>
        <w:pStyle w:val="7"/>
        <w:spacing w:before="0" w:beforeAutospacing="0" w:after="0" w:afterAutospacing="0" w:line="360" w:lineRule="auto"/>
        <w:ind w:firstLine="420"/>
        <w:rPr>
          <w:sz w:val="21"/>
          <w:szCs w:val="21"/>
        </w:rPr>
      </w:pPr>
      <w:r>
        <w:rPr>
          <w:rFonts w:hint="eastAsia"/>
          <w:sz w:val="21"/>
          <w:szCs w:val="21"/>
        </w:rPr>
        <w:t xml:space="preserve">18. 中国证监会：指中国证券监督管理委员会 </w:t>
      </w:r>
    </w:p>
    <w:p w14:paraId="41EBF2DB">
      <w:pPr>
        <w:pStyle w:val="7"/>
        <w:spacing w:before="0" w:beforeAutospacing="0" w:after="0" w:afterAutospacing="0" w:line="360" w:lineRule="auto"/>
        <w:ind w:firstLine="420"/>
        <w:rPr>
          <w:sz w:val="21"/>
          <w:szCs w:val="21"/>
        </w:rPr>
      </w:pPr>
      <w:r>
        <w:rPr>
          <w:rFonts w:hint="eastAsia"/>
          <w:sz w:val="21"/>
          <w:szCs w:val="21"/>
        </w:rPr>
        <w:t xml:space="preserve">19. 银行业监督管理机构：指中国人民银行和/或中国银行保险监督管理委员会 </w:t>
      </w:r>
    </w:p>
    <w:p w14:paraId="49F5D359">
      <w:pPr>
        <w:pStyle w:val="7"/>
        <w:spacing w:before="0" w:beforeAutospacing="0" w:after="0" w:afterAutospacing="0" w:line="360" w:lineRule="auto"/>
        <w:ind w:firstLine="420"/>
        <w:rPr>
          <w:sz w:val="21"/>
          <w:szCs w:val="21"/>
        </w:rPr>
      </w:pPr>
      <w:r>
        <w:rPr>
          <w:rFonts w:hint="eastAsia"/>
          <w:sz w:val="21"/>
          <w:szCs w:val="21"/>
        </w:rPr>
        <w:t xml:space="preserve">20. 基金合同当事人：指受基金合同约束，根据基金合同享有权利并承担义务的法律主体，包括基金管理人、基金托管人和基金份额持有人 </w:t>
      </w:r>
    </w:p>
    <w:p w14:paraId="6884AB2F">
      <w:pPr>
        <w:pStyle w:val="7"/>
        <w:spacing w:before="0" w:beforeAutospacing="0" w:after="0" w:afterAutospacing="0" w:line="360" w:lineRule="auto"/>
        <w:ind w:firstLine="420"/>
        <w:rPr>
          <w:sz w:val="21"/>
          <w:szCs w:val="21"/>
        </w:rPr>
      </w:pPr>
      <w:r>
        <w:rPr>
          <w:rFonts w:hint="eastAsia"/>
          <w:sz w:val="21"/>
          <w:szCs w:val="21"/>
        </w:rPr>
        <w:t xml:space="preserve">21. 个人投资者：指依据有关法律法规规定可投资于证券投资基金的自然人 </w:t>
      </w:r>
    </w:p>
    <w:p w14:paraId="10AB1DE9">
      <w:pPr>
        <w:pStyle w:val="7"/>
        <w:spacing w:before="0" w:beforeAutospacing="0" w:after="0" w:afterAutospacing="0" w:line="360" w:lineRule="auto"/>
        <w:ind w:firstLine="420"/>
        <w:rPr>
          <w:sz w:val="21"/>
          <w:szCs w:val="21"/>
        </w:rPr>
      </w:pPr>
      <w:r>
        <w:rPr>
          <w:rFonts w:hint="eastAsia"/>
          <w:sz w:val="21"/>
          <w:szCs w:val="21"/>
        </w:rPr>
        <w:t xml:space="preserve">22. 机构投资者：指依法可以投资证券投资基金的、在中华人民共和国境内合法登记并存续或经有关政府部门批准设立并存续的企业法人、事业法人、社会团体或其他组织 </w:t>
      </w:r>
    </w:p>
    <w:p w14:paraId="41D1FB16">
      <w:pPr>
        <w:pStyle w:val="7"/>
        <w:spacing w:before="0" w:beforeAutospacing="0" w:after="0" w:afterAutospacing="0" w:line="360" w:lineRule="auto"/>
        <w:ind w:firstLine="420"/>
        <w:rPr>
          <w:sz w:val="21"/>
          <w:szCs w:val="21"/>
        </w:rPr>
      </w:pPr>
      <w:r>
        <w:rPr>
          <w:rFonts w:hint="eastAsia"/>
          <w:sz w:val="21"/>
          <w:szCs w:val="21"/>
        </w:rPr>
        <w:t xml:space="preserve">23. 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3395CB5C">
      <w:pPr>
        <w:pStyle w:val="7"/>
        <w:spacing w:before="0" w:beforeAutospacing="0" w:after="0" w:afterAutospacing="0" w:line="360" w:lineRule="auto"/>
        <w:ind w:firstLine="420"/>
        <w:rPr>
          <w:sz w:val="21"/>
          <w:szCs w:val="21"/>
        </w:rPr>
      </w:pPr>
      <w:r>
        <w:rPr>
          <w:rFonts w:hint="eastAsia"/>
          <w:sz w:val="21"/>
          <w:szCs w:val="21"/>
        </w:rPr>
        <w:t xml:space="preserve">24. 人民币合格境外机构投资者：指按照《合格境外机构投资者和人民币合格境外机构投资者境内证券期货投资管理办法》及相关法律法规规定，运用来自境外的人民币资金进行境内证券投资的境外法人 </w:t>
      </w:r>
    </w:p>
    <w:p w14:paraId="405A3866">
      <w:pPr>
        <w:pStyle w:val="7"/>
        <w:spacing w:before="0" w:beforeAutospacing="0" w:after="0" w:afterAutospacing="0" w:line="360" w:lineRule="auto"/>
        <w:ind w:firstLine="420"/>
        <w:rPr>
          <w:sz w:val="21"/>
          <w:szCs w:val="21"/>
        </w:rPr>
      </w:pPr>
      <w:r>
        <w:rPr>
          <w:rFonts w:hint="eastAsia"/>
          <w:sz w:val="21"/>
          <w:szCs w:val="21"/>
        </w:rPr>
        <w:t xml:space="preserve">25. 投资人、投资者：指个人投资者、机构投资者、合格境外机构投资者和人民币合格境外机构投资者以及法律法规或中国证监会允许购买证券投资基金的其他投资人的合称 </w:t>
      </w:r>
    </w:p>
    <w:p w14:paraId="71273C51">
      <w:pPr>
        <w:pStyle w:val="7"/>
        <w:spacing w:before="0" w:beforeAutospacing="0" w:after="0" w:afterAutospacing="0" w:line="360" w:lineRule="auto"/>
        <w:ind w:firstLine="420"/>
        <w:rPr>
          <w:sz w:val="21"/>
          <w:szCs w:val="21"/>
        </w:rPr>
      </w:pPr>
      <w:r>
        <w:rPr>
          <w:rFonts w:hint="eastAsia"/>
          <w:sz w:val="21"/>
          <w:szCs w:val="21"/>
        </w:rPr>
        <w:t xml:space="preserve">26. 基金份额持有人：指依基金合同和招募说明书合法取得基金份额的投资人 </w:t>
      </w:r>
    </w:p>
    <w:p w14:paraId="19AC4537">
      <w:pPr>
        <w:pStyle w:val="7"/>
        <w:spacing w:before="0" w:beforeAutospacing="0" w:after="0" w:afterAutospacing="0" w:line="360" w:lineRule="auto"/>
        <w:ind w:firstLine="420"/>
        <w:rPr>
          <w:sz w:val="21"/>
          <w:szCs w:val="21"/>
        </w:rPr>
      </w:pPr>
      <w:r>
        <w:rPr>
          <w:rFonts w:hint="eastAsia"/>
          <w:sz w:val="21"/>
          <w:szCs w:val="21"/>
        </w:rPr>
        <w:t xml:space="preserve">27. 发售代理机构：指符合《销售办法》和中国证监会规定的其他条件，由基金管理人指定的代理本基金发售业务的机构 </w:t>
      </w:r>
    </w:p>
    <w:p w14:paraId="6D72ACE3">
      <w:pPr>
        <w:pStyle w:val="7"/>
        <w:spacing w:before="0" w:beforeAutospacing="0" w:after="0" w:afterAutospacing="0" w:line="360" w:lineRule="auto"/>
        <w:ind w:firstLine="420"/>
        <w:rPr>
          <w:sz w:val="21"/>
          <w:szCs w:val="21"/>
        </w:rPr>
      </w:pPr>
      <w:r>
        <w:rPr>
          <w:rFonts w:hint="eastAsia"/>
          <w:sz w:val="21"/>
          <w:szCs w:val="21"/>
        </w:rPr>
        <w:t xml:space="preserve">28. 申购、赎回代理券商：指基金管理人指定的，在基金合同生效后代理办理本基金申购、赎回业务的证券公司，又称为代办证券公司 </w:t>
      </w:r>
    </w:p>
    <w:p w14:paraId="150D2448">
      <w:pPr>
        <w:pStyle w:val="7"/>
        <w:spacing w:before="0" w:beforeAutospacing="0" w:after="0" w:afterAutospacing="0" w:line="360" w:lineRule="auto"/>
        <w:ind w:firstLine="420"/>
        <w:rPr>
          <w:sz w:val="21"/>
          <w:szCs w:val="21"/>
        </w:rPr>
      </w:pPr>
      <w:r>
        <w:rPr>
          <w:rFonts w:hint="eastAsia"/>
          <w:sz w:val="21"/>
          <w:szCs w:val="21"/>
        </w:rPr>
        <w:t xml:space="preserve">29. 直销机构：指博时基金管理有限公司 </w:t>
      </w:r>
    </w:p>
    <w:p w14:paraId="70CC1921">
      <w:pPr>
        <w:pStyle w:val="7"/>
        <w:spacing w:before="0" w:beforeAutospacing="0" w:after="0" w:afterAutospacing="0" w:line="360" w:lineRule="auto"/>
        <w:ind w:firstLine="420"/>
        <w:rPr>
          <w:sz w:val="21"/>
          <w:szCs w:val="21"/>
        </w:rPr>
      </w:pPr>
      <w:r>
        <w:rPr>
          <w:rFonts w:hint="eastAsia"/>
          <w:sz w:val="21"/>
          <w:szCs w:val="21"/>
        </w:rPr>
        <w:t xml:space="preserve">30. 代销机构：指符合《销售办法》和中国证监会规定的其他条件，取得基金销售业务资格并与基金管理人签订了基金销售服务协议，办理基金销售业务的机构，包括发售代理机构和申购、赎回代理券商（即代办证券公司） </w:t>
      </w:r>
    </w:p>
    <w:p w14:paraId="0BFA2EED">
      <w:pPr>
        <w:pStyle w:val="7"/>
        <w:spacing w:before="0" w:beforeAutospacing="0" w:after="0" w:afterAutospacing="0" w:line="360" w:lineRule="auto"/>
        <w:ind w:firstLine="420"/>
        <w:rPr>
          <w:sz w:val="21"/>
          <w:szCs w:val="21"/>
        </w:rPr>
      </w:pPr>
      <w:r>
        <w:rPr>
          <w:rFonts w:hint="eastAsia"/>
          <w:sz w:val="21"/>
          <w:szCs w:val="21"/>
        </w:rPr>
        <w:t xml:space="preserve">31. 销售机构：指直销机构与代销机构 </w:t>
      </w:r>
    </w:p>
    <w:p w14:paraId="71D9DE43">
      <w:pPr>
        <w:pStyle w:val="7"/>
        <w:spacing w:before="0" w:beforeAutospacing="0" w:after="0" w:afterAutospacing="0" w:line="360" w:lineRule="auto"/>
        <w:ind w:firstLine="420"/>
        <w:rPr>
          <w:sz w:val="21"/>
          <w:szCs w:val="21"/>
        </w:rPr>
      </w:pPr>
      <w:r>
        <w:rPr>
          <w:rFonts w:hint="eastAsia"/>
          <w:sz w:val="21"/>
          <w:szCs w:val="21"/>
        </w:rPr>
        <w:t xml:space="preserve">32. 登记机构：指办理登记结算业务的机构。本基金的登记机构为中国证券登记结算有限责任公司 </w:t>
      </w:r>
    </w:p>
    <w:p w14:paraId="0763B1E8">
      <w:pPr>
        <w:pStyle w:val="7"/>
        <w:spacing w:before="0" w:beforeAutospacing="0" w:after="0" w:afterAutospacing="0" w:line="360" w:lineRule="auto"/>
        <w:ind w:firstLine="420"/>
        <w:rPr>
          <w:sz w:val="21"/>
          <w:szCs w:val="21"/>
        </w:rPr>
      </w:pPr>
      <w:r>
        <w:rPr>
          <w:rFonts w:hint="eastAsia"/>
          <w:sz w:val="21"/>
          <w:szCs w:val="21"/>
        </w:rPr>
        <w:t xml:space="preserve">33. 登记业务：指《中国证券登记结算有限责任公司关于交易所交易型开放式证券投资基金登记结算业务实施细则》及其不时修订以及相关业务规则所定义的基金份额的登记、存管、结算及相关业务 </w:t>
      </w:r>
    </w:p>
    <w:p w14:paraId="0DC14D72">
      <w:pPr>
        <w:pStyle w:val="7"/>
        <w:spacing w:before="0" w:beforeAutospacing="0" w:after="0" w:afterAutospacing="0" w:line="360" w:lineRule="auto"/>
        <w:ind w:firstLine="420"/>
        <w:rPr>
          <w:sz w:val="21"/>
          <w:szCs w:val="21"/>
        </w:rPr>
      </w:pPr>
      <w:r>
        <w:rPr>
          <w:rFonts w:hint="eastAsia"/>
          <w:sz w:val="21"/>
          <w:szCs w:val="21"/>
        </w:rPr>
        <w:t xml:space="preserve">34. 深圳证券账户：指深圳证券交易所人民币普通股票账户（即A股账户）或深圳证券交易所基金账户 </w:t>
      </w:r>
    </w:p>
    <w:p w14:paraId="71C2BBF2">
      <w:pPr>
        <w:pStyle w:val="7"/>
        <w:spacing w:before="0" w:beforeAutospacing="0" w:after="0" w:afterAutospacing="0" w:line="360" w:lineRule="auto"/>
        <w:ind w:firstLine="420"/>
        <w:rPr>
          <w:sz w:val="21"/>
          <w:szCs w:val="21"/>
        </w:rPr>
      </w:pPr>
      <w:r>
        <w:rPr>
          <w:rFonts w:hint="eastAsia"/>
          <w:sz w:val="21"/>
          <w:szCs w:val="21"/>
        </w:rPr>
        <w:t xml:space="preserve">35. 基金合同生效日：指基金募集达到法律法规规定及基金合同规定的条件，基金管理人向中国证监会办理基金备案手续完毕，并获得中国证监会书面确认的日期 </w:t>
      </w:r>
    </w:p>
    <w:p w14:paraId="4CB16930">
      <w:pPr>
        <w:pStyle w:val="7"/>
        <w:spacing w:before="0" w:beforeAutospacing="0" w:after="0" w:afterAutospacing="0" w:line="360" w:lineRule="auto"/>
        <w:ind w:firstLine="420"/>
        <w:rPr>
          <w:sz w:val="21"/>
          <w:szCs w:val="21"/>
        </w:rPr>
      </w:pPr>
      <w:r>
        <w:rPr>
          <w:rFonts w:hint="eastAsia"/>
          <w:sz w:val="21"/>
          <w:szCs w:val="21"/>
        </w:rPr>
        <w:t xml:space="preserve">36. 基金合同终止日：指基金合同规定的基金合同终止事由出现后，基金财产清算完毕，清算结果报中国证监会备案并予以公告的日期 </w:t>
      </w:r>
    </w:p>
    <w:p w14:paraId="6B46F2D8">
      <w:pPr>
        <w:pStyle w:val="7"/>
        <w:spacing w:before="0" w:beforeAutospacing="0" w:after="0" w:afterAutospacing="0" w:line="360" w:lineRule="auto"/>
        <w:ind w:firstLine="420"/>
        <w:rPr>
          <w:sz w:val="21"/>
          <w:szCs w:val="21"/>
        </w:rPr>
      </w:pPr>
      <w:r>
        <w:rPr>
          <w:rFonts w:hint="eastAsia"/>
          <w:sz w:val="21"/>
          <w:szCs w:val="21"/>
        </w:rPr>
        <w:t xml:space="preserve">37. 基金募集期：指自基金份额发售之日起至发售结束之日止的期间，最长不得超过3个月 </w:t>
      </w:r>
    </w:p>
    <w:p w14:paraId="659D2A5D">
      <w:pPr>
        <w:pStyle w:val="7"/>
        <w:spacing w:before="0" w:beforeAutospacing="0" w:after="0" w:afterAutospacing="0" w:line="360" w:lineRule="auto"/>
        <w:ind w:firstLine="420"/>
        <w:rPr>
          <w:sz w:val="21"/>
          <w:szCs w:val="21"/>
        </w:rPr>
      </w:pPr>
      <w:r>
        <w:rPr>
          <w:rFonts w:hint="eastAsia"/>
          <w:sz w:val="21"/>
          <w:szCs w:val="21"/>
        </w:rPr>
        <w:t xml:space="preserve">38. 存续期：指基金合同生效至终止之间的不定期期限 </w:t>
      </w:r>
    </w:p>
    <w:p w14:paraId="59ED832D">
      <w:pPr>
        <w:pStyle w:val="7"/>
        <w:spacing w:before="0" w:beforeAutospacing="0" w:after="0" w:afterAutospacing="0" w:line="360" w:lineRule="auto"/>
        <w:ind w:firstLine="420"/>
        <w:rPr>
          <w:sz w:val="21"/>
          <w:szCs w:val="21"/>
        </w:rPr>
      </w:pPr>
      <w:r>
        <w:rPr>
          <w:rFonts w:hint="eastAsia"/>
          <w:sz w:val="21"/>
          <w:szCs w:val="21"/>
        </w:rPr>
        <w:t xml:space="preserve">39. 工作日：指上海证券交易所、深圳证券交易所的正常交易日 </w:t>
      </w:r>
    </w:p>
    <w:p w14:paraId="617C2C7A">
      <w:pPr>
        <w:pStyle w:val="7"/>
        <w:spacing w:before="0" w:beforeAutospacing="0" w:after="0" w:afterAutospacing="0" w:line="360" w:lineRule="auto"/>
        <w:ind w:firstLine="420"/>
        <w:rPr>
          <w:sz w:val="21"/>
          <w:szCs w:val="21"/>
        </w:rPr>
      </w:pPr>
      <w:r>
        <w:rPr>
          <w:rFonts w:hint="eastAsia"/>
          <w:sz w:val="21"/>
          <w:szCs w:val="21"/>
        </w:rPr>
        <w:t xml:space="preserve">40. T日：指销售机构在规定时间受理投资人申购、赎回或其他业务申请的开放日 </w:t>
      </w:r>
    </w:p>
    <w:p w14:paraId="2E966528">
      <w:pPr>
        <w:pStyle w:val="7"/>
        <w:spacing w:before="0" w:beforeAutospacing="0" w:after="0" w:afterAutospacing="0" w:line="360" w:lineRule="auto"/>
        <w:ind w:firstLine="420"/>
        <w:rPr>
          <w:sz w:val="21"/>
          <w:szCs w:val="21"/>
        </w:rPr>
      </w:pPr>
      <w:r>
        <w:rPr>
          <w:rFonts w:hint="eastAsia"/>
          <w:sz w:val="21"/>
          <w:szCs w:val="21"/>
        </w:rPr>
        <w:t xml:space="preserve">41. T+n日：指自T日起第n个工作日（不包含T日） </w:t>
      </w:r>
    </w:p>
    <w:p w14:paraId="5B5F88B8">
      <w:pPr>
        <w:pStyle w:val="7"/>
        <w:spacing w:before="0" w:beforeAutospacing="0" w:after="0" w:afterAutospacing="0" w:line="360" w:lineRule="auto"/>
        <w:ind w:firstLine="420"/>
        <w:rPr>
          <w:sz w:val="21"/>
          <w:szCs w:val="21"/>
        </w:rPr>
      </w:pPr>
      <w:r>
        <w:rPr>
          <w:rFonts w:hint="eastAsia"/>
          <w:sz w:val="21"/>
          <w:szCs w:val="21"/>
        </w:rPr>
        <w:t xml:space="preserve">42. 开放日：指为投资人办理基金份额申购、赎回或其他业务的工作日（若本基金参与港股通交易且该交易日为非港股通交易日，则基金管理人可根据实际情况决定本基金是否开放申购、赎回及转换业务，具体以届时提前发布的公告为准） </w:t>
      </w:r>
    </w:p>
    <w:p w14:paraId="72874E51">
      <w:pPr>
        <w:pStyle w:val="7"/>
        <w:spacing w:before="0" w:beforeAutospacing="0" w:after="0" w:afterAutospacing="0" w:line="360" w:lineRule="auto"/>
        <w:ind w:firstLine="420"/>
        <w:rPr>
          <w:sz w:val="21"/>
          <w:szCs w:val="21"/>
        </w:rPr>
      </w:pPr>
      <w:r>
        <w:rPr>
          <w:rFonts w:hint="eastAsia"/>
          <w:sz w:val="21"/>
          <w:szCs w:val="21"/>
        </w:rPr>
        <w:t xml:space="preserve">43. 开放时间：指开放日基金接受申购、赎回或其他交易的时间段 </w:t>
      </w:r>
    </w:p>
    <w:p w14:paraId="6C4FB6EA">
      <w:pPr>
        <w:pStyle w:val="7"/>
        <w:spacing w:before="0" w:beforeAutospacing="0" w:after="0" w:afterAutospacing="0" w:line="360" w:lineRule="auto"/>
        <w:ind w:firstLine="420"/>
        <w:rPr>
          <w:sz w:val="21"/>
          <w:szCs w:val="21"/>
        </w:rPr>
      </w:pPr>
      <w:r>
        <w:rPr>
          <w:rFonts w:hint="eastAsia"/>
          <w:sz w:val="21"/>
          <w:szCs w:val="21"/>
        </w:rPr>
        <w:t xml:space="preserve">44. 认购：指在基金募集期内，投资人根据基金合同和招募说明书的规定申请购买基金份额的行为 </w:t>
      </w:r>
    </w:p>
    <w:p w14:paraId="1B1EDC19">
      <w:pPr>
        <w:pStyle w:val="7"/>
        <w:spacing w:before="0" w:beforeAutospacing="0" w:after="0" w:afterAutospacing="0" w:line="360" w:lineRule="auto"/>
        <w:ind w:firstLine="420"/>
        <w:rPr>
          <w:sz w:val="21"/>
          <w:szCs w:val="21"/>
        </w:rPr>
      </w:pPr>
      <w:r>
        <w:rPr>
          <w:rFonts w:hint="eastAsia"/>
          <w:sz w:val="21"/>
          <w:szCs w:val="21"/>
        </w:rPr>
        <w:t xml:space="preserve">45. 申购：指基金合同生效后，投资人根据基金合同和招募说明书的规定，以申购赎回清单规定的申购对价申请购买基金份额的行为 </w:t>
      </w:r>
    </w:p>
    <w:p w14:paraId="3E8873E4">
      <w:pPr>
        <w:pStyle w:val="7"/>
        <w:spacing w:before="0" w:beforeAutospacing="0" w:after="0" w:afterAutospacing="0" w:line="360" w:lineRule="auto"/>
        <w:ind w:firstLine="420"/>
        <w:rPr>
          <w:sz w:val="21"/>
          <w:szCs w:val="21"/>
        </w:rPr>
      </w:pPr>
      <w:r>
        <w:rPr>
          <w:rFonts w:hint="eastAsia"/>
          <w:sz w:val="21"/>
          <w:szCs w:val="21"/>
        </w:rPr>
        <w:t xml:space="preserve">46. 赎回：指基金合同生效后，基金份额持有人按基金合同和招募说明书规定的条件要求将本基金份额兑换为申购赎回清单规定的赎回对价的行为 </w:t>
      </w:r>
    </w:p>
    <w:p w14:paraId="34D80202">
      <w:pPr>
        <w:pStyle w:val="7"/>
        <w:spacing w:before="0" w:beforeAutospacing="0" w:after="0" w:afterAutospacing="0" w:line="360" w:lineRule="auto"/>
        <w:ind w:firstLine="420"/>
        <w:rPr>
          <w:sz w:val="21"/>
          <w:szCs w:val="21"/>
        </w:rPr>
      </w:pPr>
      <w:r>
        <w:rPr>
          <w:rFonts w:hint="eastAsia"/>
          <w:sz w:val="21"/>
          <w:szCs w:val="21"/>
        </w:rPr>
        <w:t xml:space="preserve">47. 申购赎回清单：指由基金管理人编制的用以公告申购对价、赎回对价等信息的文件 </w:t>
      </w:r>
    </w:p>
    <w:p w14:paraId="0472A685">
      <w:pPr>
        <w:pStyle w:val="7"/>
        <w:spacing w:before="0" w:beforeAutospacing="0" w:after="0" w:afterAutospacing="0" w:line="360" w:lineRule="auto"/>
        <w:ind w:firstLine="420"/>
        <w:rPr>
          <w:sz w:val="21"/>
          <w:szCs w:val="21"/>
        </w:rPr>
      </w:pPr>
      <w:r>
        <w:rPr>
          <w:rFonts w:hint="eastAsia"/>
          <w:sz w:val="21"/>
          <w:szCs w:val="21"/>
        </w:rPr>
        <w:t xml:space="preserve">48. 申购对价：指投资人申购基金份额时，按基金合同和招募说明书规定应交付的组合证券、现金替代、现金差额和/或其他对价 </w:t>
      </w:r>
    </w:p>
    <w:p w14:paraId="65A0CC0C">
      <w:pPr>
        <w:pStyle w:val="7"/>
        <w:spacing w:before="0" w:beforeAutospacing="0" w:after="0" w:afterAutospacing="0" w:line="360" w:lineRule="auto"/>
        <w:ind w:firstLine="420"/>
        <w:rPr>
          <w:sz w:val="21"/>
          <w:szCs w:val="21"/>
        </w:rPr>
      </w:pPr>
      <w:r>
        <w:rPr>
          <w:rFonts w:hint="eastAsia"/>
          <w:sz w:val="21"/>
          <w:szCs w:val="21"/>
        </w:rPr>
        <w:t xml:space="preserve">49. 赎回对价：指投资人赎回基金份额时，基金管理人按基金合同和招募说明书规定应交付给赎回人的组合证券、现金替代、现金差额和/或其他对价 </w:t>
      </w:r>
    </w:p>
    <w:p w14:paraId="05006EBB">
      <w:pPr>
        <w:pStyle w:val="7"/>
        <w:spacing w:before="0" w:beforeAutospacing="0" w:after="0" w:afterAutospacing="0" w:line="360" w:lineRule="auto"/>
        <w:ind w:firstLine="420"/>
        <w:rPr>
          <w:sz w:val="21"/>
          <w:szCs w:val="21"/>
        </w:rPr>
      </w:pPr>
      <w:r>
        <w:rPr>
          <w:rFonts w:hint="eastAsia"/>
          <w:sz w:val="21"/>
          <w:szCs w:val="21"/>
        </w:rPr>
        <w:t xml:space="preserve">50. 组合证券：指本基金标的指数所包含的全部或部分证券 </w:t>
      </w:r>
    </w:p>
    <w:p w14:paraId="3614E238">
      <w:pPr>
        <w:pStyle w:val="7"/>
        <w:spacing w:before="0" w:beforeAutospacing="0" w:after="0" w:afterAutospacing="0" w:line="360" w:lineRule="auto"/>
        <w:ind w:firstLine="420"/>
        <w:rPr>
          <w:sz w:val="21"/>
          <w:szCs w:val="21"/>
        </w:rPr>
      </w:pPr>
      <w:r>
        <w:rPr>
          <w:rFonts w:hint="eastAsia"/>
          <w:sz w:val="21"/>
          <w:szCs w:val="21"/>
        </w:rPr>
        <w:t xml:space="preserve">51. 标的指数：指中证指数有限公司编制并发布的中证成渝地区双城经济圈成份指数及其未来可能发生的变更 </w:t>
      </w:r>
    </w:p>
    <w:p w14:paraId="2B316142">
      <w:pPr>
        <w:pStyle w:val="7"/>
        <w:spacing w:before="0" w:beforeAutospacing="0" w:after="0" w:afterAutospacing="0" w:line="360" w:lineRule="auto"/>
        <w:ind w:firstLine="420"/>
        <w:rPr>
          <w:sz w:val="21"/>
          <w:szCs w:val="21"/>
        </w:rPr>
      </w:pPr>
      <w:r>
        <w:rPr>
          <w:rFonts w:hint="eastAsia"/>
          <w:sz w:val="21"/>
          <w:szCs w:val="21"/>
        </w:rPr>
        <w:t xml:space="preserve">52. 完全复制法：指跟踪指数的方法。通过购买标的指数中的所有成份证券，并且按照每种成份证券在标的指数中的权重确定购买的比例以构建指数组合，达到复制指数的目的 </w:t>
      </w:r>
    </w:p>
    <w:p w14:paraId="06EFC2B8">
      <w:pPr>
        <w:pStyle w:val="7"/>
        <w:spacing w:before="0" w:beforeAutospacing="0" w:after="0" w:afterAutospacing="0" w:line="360" w:lineRule="auto"/>
        <w:ind w:firstLine="420"/>
        <w:rPr>
          <w:sz w:val="21"/>
          <w:szCs w:val="21"/>
        </w:rPr>
      </w:pPr>
      <w:r>
        <w:rPr>
          <w:rFonts w:hint="eastAsia"/>
          <w:sz w:val="21"/>
          <w:szCs w:val="21"/>
        </w:rPr>
        <w:t xml:space="preserve">53. 现金替代：指申购、赎回过程中，投资人按基金合同和招募说明书的规定，用于替代组合证券中部分证券的一定数量的现金 </w:t>
      </w:r>
    </w:p>
    <w:p w14:paraId="4E3AEDE9">
      <w:pPr>
        <w:pStyle w:val="7"/>
        <w:spacing w:before="0" w:beforeAutospacing="0" w:after="0" w:afterAutospacing="0" w:line="360" w:lineRule="auto"/>
        <w:ind w:firstLine="420"/>
        <w:rPr>
          <w:sz w:val="21"/>
          <w:szCs w:val="21"/>
        </w:rPr>
      </w:pPr>
      <w:r>
        <w:rPr>
          <w:rFonts w:hint="eastAsia"/>
          <w:sz w:val="21"/>
          <w:szCs w:val="21"/>
        </w:rPr>
        <w:t xml:space="preserve">54. 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23DCF773">
      <w:pPr>
        <w:pStyle w:val="7"/>
        <w:spacing w:before="0" w:beforeAutospacing="0" w:after="0" w:afterAutospacing="0" w:line="360" w:lineRule="auto"/>
        <w:ind w:firstLine="420"/>
        <w:rPr>
          <w:sz w:val="21"/>
          <w:szCs w:val="21"/>
        </w:rPr>
      </w:pPr>
      <w:r>
        <w:rPr>
          <w:rFonts w:hint="eastAsia"/>
          <w:sz w:val="21"/>
          <w:szCs w:val="21"/>
        </w:rPr>
        <w:t xml:space="preserve">55. 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 </w:t>
      </w:r>
    </w:p>
    <w:p w14:paraId="5756F105">
      <w:pPr>
        <w:pStyle w:val="7"/>
        <w:spacing w:before="0" w:beforeAutospacing="0" w:after="0" w:afterAutospacing="0" w:line="360" w:lineRule="auto"/>
        <w:ind w:firstLine="420"/>
        <w:rPr>
          <w:sz w:val="21"/>
          <w:szCs w:val="21"/>
        </w:rPr>
      </w:pPr>
      <w:r>
        <w:rPr>
          <w:rFonts w:hint="eastAsia"/>
          <w:sz w:val="21"/>
          <w:szCs w:val="21"/>
        </w:rPr>
        <w:t xml:space="preserve">56. 最小申购、赎回单位：指本基金申购、赎回份额的最低数量，投资人申购、赎回的基金份额应为最小申购、赎回单位的整数倍 </w:t>
      </w:r>
    </w:p>
    <w:p w14:paraId="082D8E69">
      <w:pPr>
        <w:pStyle w:val="7"/>
        <w:spacing w:before="0" w:beforeAutospacing="0" w:after="0" w:afterAutospacing="0" w:line="360" w:lineRule="auto"/>
        <w:ind w:firstLine="420"/>
        <w:rPr>
          <w:sz w:val="21"/>
          <w:szCs w:val="21"/>
        </w:rPr>
      </w:pPr>
      <w:r>
        <w:rPr>
          <w:rFonts w:hint="eastAsia"/>
          <w:sz w:val="21"/>
          <w:szCs w:val="21"/>
        </w:rPr>
        <w:t xml:space="preserve">57. 基金份额参考净值：指基金管理人或基金管理人委托其他机构在相关证券交易所交易时间内根据申购赎回清单和组合证券内各只证券的实时成交数据计算并发布的基金份额参考净值，简称IOPV </w:t>
      </w:r>
    </w:p>
    <w:p w14:paraId="37CA4828">
      <w:pPr>
        <w:pStyle w:val="7"/>
        <w:spacing w:before="0" w:beforeAutospacing="0" w:after="0" w:afterAutospacing="0" w:line="360" w:lineRule="auto"/>
        <w:ind w:firstLine="420"/>
        <w:rPr>
          <w:sz w:val="21"/>
          <w:szCs w:val="21"/>
        </w:rPr>
      </w:pPr>
      <w:r>
        <w:rPr>
          <w:rFonts w:hint="eastAsia"/>
          <w:sz w:val="21"/>
          <w:szCs w:val="21"/>
        </w:rPr>
        <w:t xml:space="preserve">58. 预估现金差额：指为便于计算基金份额参考净值及申购、赎回代理券商预先冻结申请申购、赎回的投资人的相应资金，由基金管理人计算并公布的现金差额的预估值 </w:t>
      </w:r>
    </w:p>
    <w:p w14:paraId="1B7B7385">
      <w:pPr>
        <w:pStyle w:val="7"/>
        <w:spacing w:before="0" w:beforeAutospacing="0" w:after="0" w:afterAutospacing="0" w:line="360" w:lineRule="auto"/>
        <w:ind w:firstLine="420"/>
        <w:rPr>
          <w:sz w:val="21"/>
          <w:szCs w:val="21"/>
        </w:rPr>
      </w:pPr>
      <w:r>
        <w:rPr>
          <w:rFonts w:hint="eastAsia"/>
          <w:sz w:val="21"/>
          <w:szCs w:val="21"/>
        </w:rPr>
        <w:t xml:space="preserve">59. 元：指人民币元 </w:t>
      </w:r>
    </w:p>
    <w:p w14:paraId="16D9530F">
      <w:pPr>
        <w:pStyle w:val="7"/>
        <w:spacing w:before="0" w:beforeAutospacing="0" w:after="0" w:afterAutospacing="0" w:line="360" w:lineRule="auto"/>
        <w:ind w:firstLine="420"/>
        <w:rPr>
          <w:sz w:val="21"/>
          <w:szCs w:val="21"/>
        </w:rPr>
      </w:pPr>
      <w:r>
        <w:rPr>
          <w:rFonts w:hint="eastAsia"/>
          <w:sz w:val="21"/>
          <w:szCs w:val="21"/>
        </w:rPr>
        <w:t xml:space="preserve">60. 基金收益：指基金投资所得红利、股息、债券利息、买卖证券价差、银行存款利息、已实现的其他合法收入及因运用基金财产带来的成本和费用的节约 </w:t>
      </w:r>
    </w:p>
    <w:p w14:paraId="65ABB62A">
      <w:pPr>
        <w:pStyle w:val="7"/>
        <w:spacing w:before="0" w:beforeAutospacing="0" w:after="0" w:afterAutospacing="0" w:line="360" w:lineRule="auto"/>
        <w:ind w:firstLine="420"/>
        <w:rPr>
          <w:sz w:val="21"/>
          <w:szCs w:val="21"/>
        </w:rPr>
      </w:pPr>
      <w:r>
        <w:rPr>
          <w:rFonts w:hint="eastAsia"/>
          <w:sz w:val="21"/>
          <w:szCs w:val="21"/>
        </w:rPr>
        <w:t xml:space="preserve">61. 基金份额折算：指基金管理人根据基金合同规定将投资人的基金份额进行变更登记的行为 </w:t>
      </w:r>
    </w:p>
    <w:p w14:paraId="1941E41D">
      <w:pPr>
        <w:pStyle w:val="7"/>
        <w:spacing w:before="0" w:beforeAutospacing="0" w:after="0" w:afterAutospacing="0" w:line="360" w:lineRule="auto"/>
        <w:ind w:firstLine="420"/>
        <w:rPr>
          <w:sz w:val="21"/>
          <w:szCs w:val="21"/>
        </w:rPr>
      </w:pPr>
      <w:r>
        <w:rPr>
          <w:rFonts w:hint="eastAsia"/>
          <w:sz w:val="21"/>
          <w:szCs w:val="21"/>
        </w:rPr>
        <w:t xml:space="preserve">62. 收益评价日：指基金管理人计算本基金份额净值增长率与标的指数同期增长率差额之日 </w:t>
      </w:r>
    </w:p>
    <w:p w14:paraId="4989CF43">
      <w:pPr>
        <w:pStyle w:val="7"/>
        <w:spacing w:before="0" w:beforeAutospacing="0" w:after="0" w:afterAutospacing="0" w:line="360" w:lineRule="auto"/>
        <w:ind w:firstLine="420"/>
        <w:rPr>
          <w:sz w:val="21"/>
          <w:szCs w:val="21"/>
        </w:rPr>
      </w:pPr>
      <w:r>
        <w:rPr>
          <w:rFonts w:hint="eastAsia"/>
          <w:sz w:val="21"/>
          <w:szCs w:val="21"/>
        </w:rPr>
        <w:t xml:space="preserve">63. 基金份额净值增长率：指收益评价日基金份额净值与基金上市前一日基金份额净值之比减去1乘以100%（期间发生基金份额折算、拆分或合并，则以基金份额折算日、经拆分或合并调整后的基金份额折算日为初始日重新计算） </w:t>
      </w:r>
    </w:p>
    <w:p w14:paraId="20C99D66">
      <w:pPr>
        <w:pStyle w:val="7"/>
        <w:spacing w:before="0" w:beforeAutospacing="0" w:after="0" w:afterAutospacing="0" w:line="360" w:lineRule="auto"/>
        <w:ind w:firstLine="420"/>
        <w:rPr>
          <w:sz w:val="21"/>
          <w:szCs w:val="21"/>
        </w:rPr>
      </w:pPr>
      <w:r>
        <w:rPr>
          <w:rFonts w:hint="eastAsia"/>
          <w:sz w:val="21"/>
          <w:szCs w:val="21"/>
        </w:rPr>
        <w:t xml:space="preserve">64. 标的指数同期增长率：指收益评价日标的指数收盘价与基金上市前一日标的指数收盘价之比减去1乘以100%（期间发生基金份额折算、拆分或合并，则以基金份额折算日、经拆分或合并调整后的基金份额折算日为初始日重新计算） </w:t>
      </w:r>
    </w:p>
    <w:p w14:paraId="6074D8A1">
      <w:pPr>
        <w:pStyle w:val="7"/>
        <w:spacing w:before="0" w:beforeAutospacing="0" w:after="0" w:afterAutospacing="0" w:line="360" w:lineRule="auto"/>
        <w:ind w:firstLine="420"/>
        <w:rPr>
          <w:sz w:val="21"/>
          <w:szCs w:val="21"/>
        </w:rPr>
      </w:pPr>
      <w:r>
        <w:rPr>
          <w:rFonts w:hint="eastAsia"/>
          <w:sz w:val="21"/>
          <w:szCs w:val="21"/>
        </w:rPr>
        <w:t xml:space="preserve">65. 基金资产总值：指基金拥有的各类有价证券、银行存款本息、基金应收款项及其他资产的价值总和 </w:t>
      </w:r>
    </w:p>
    <w:p w14:paraId="7D9A7448">
      <w:pPr>
        <w:pStyle w:val="7"/>
        <w:spacing w:before="0" w:beforeAutospacing="0" w:after="0" w:afterAutospacing="0" w:line="360" w:lineRule="auto"/>
        <w:ind w:firstLine="420"/>
        <w:rPr>
          <w:sz w:val="21"/>
          <w:szCs w:val="21"/>
        </w:rPr>
      </w:pPr>
      <w:r>
        <w:rPr>
          <w:rFonts w:hint="eastAsia"/>
          <w:sz w:val="21"/>
          <w:szCs w:val="21"/>
        </w:rPr>
        <w:t xml:space="preserve">66. 基金资产净值：指基金资产总值减去基金负债后的价值 </w:t>
      </w:r>
    </w:p>
    <w:p w14:paraId="527F9CAB">
      <w:pPr>
        <w:pStyle w:val="7"/>
        <w:spacing w:before="0" w:beforeAutospacing="0" w:after="0" w:afterAutospacing="0" w:line="360" w:lineRule="auto"/>
        <w:ind w:firstLine="420"/>
        <w:rPr>
          <w:sz w:val="21"/>
          <w:szCs w:val="21"/>
        </w:rPr>
      </w:pPr>
      <w:r>
        <w:rPr>
          <w:rFonts w:hint="eastAsia"/>
          <w:sz w:val="21"/>
          <w:szCs w:val="21"/>
        </w:rPr>
        <w:t xml:space="preserve">67. 基金份额净值：指计算日基金资产净值除以计算日基金份额总数 </w:t>
      </w:r>
    </w:p>
    <w:p w14:paraId="743C25C3">
      <w:pPr>
        <w:pStyle w:val="7"/>
        <w:spacing w:before="0" w:beforeAutospacing="0" w:after="0" w:afterAutospacing="0" w:line="360" w:lineRule="auto"/>
        <w:ind w:firstLine="420"/>
        <w:rPr>
          <w:sz w:val="21"/>
          <w:szCs w:val="21"/>
        </w:rPr>
      </w:pPr>
      <w:r>
        <w:rPr>
          <w:rFonts w:hint="eastAsia"/>
          <w:sz w:val="21"/>
          <w:szCs w:val="21"/>
        </w:rPr>
        <w:t xml:space="preserve">68. 基金资产估值：指计算评估基金资产和负债的价值，以确定基金资产净值和基金份额净值的过程 </w:t>
      </w:r>
    </w:p>
    <w:p w14:paraId="5AB13B8D">
      <w:pPr>
        <w:pStyle w:val="7"/>
        <w:spacing w:before="0" w:beforeAutospacing="0" w:after="0" w:afterAutospacing="0" w:line="360" w:lineRule="auto"/>
        <w:ind w:firstLine="420"/>
        <w:rPr>
          <w:sz w:val="21"/>
          <w:szCs w:val="21"/>
        </w:rPr>
      </w:pPr>
      <w:r>
        <w:rPr>
          <w:rFonts w:hint="eastAsia"/>
          <w:sz w:val="21"/>
          <w:szCs w:val="21"/>
        </w:rPr>
        <w:t xml:space="preserve">69. 规定媒介：指符合中国证监会规定条件的用以进行信息披露的全国性报刊及《信息披露办法》规定的互联网网站（包括基金管理人网站、基金托管人网站、中国证监会基金电子披露网站）等媒介 </w:t>
      </w:r>
    </w:p>
    <w:p w14:paraId="28F11A65">
      <w:pPr>
        <w:pStyle w:val="7"/>
        <w:spacing w:before="0" w:beforeAutospacing="0" w:after="0" w:afterAutospacing="0" w:line="360" w:lineRule="auto"/>
        <w:ind w:firstLine="420"/>
        <w:rPr>
          <w:sz w:val="21"/>
          <w:szCs w:val="21"/>
        </w:rPr>
      </w:pPr>
      <w:r>
        <w:rPr>
          <w:rFonts w:hint="eastAsia"/>
          <w:sz w:val="21"/>
          <w:szCs w:val="21"/>
        </w:rPr>
        <w:t xml:space="preserve">70. ETF：指《深圳证券交易所证券投资基金交易和申购赎回实施细则》定义的“交易型开放式基金” </w:t>
      </w:r>
    </w:p>
    <w:p w14:paraId="2CF1BEC1">
      <w:pPr>
        <w:pStyle w:val="7"/>
        <w:spacing w:before="0" w:beforeAutospacing="0" w:after="0" w:afterAutospacing="0" w:line="360" w:lineRule="auto"/>
        <w:ind w:firstLine="420"/>
        <w:rPr>
          <w:sz w:val="21"/>
          <w:szCs w:val="21"/>
        </w:rPr>
      </w:pPr>
      <w:r>
        <w:rPr>
          <w:rFonts w:hint="eastAsia"/>
          <w:sz w:val="21"/>
          <w:szCs w:val="21"/>
        </w:rPr>
        <w:t xml:space="preserve">71. 联接基金：指将绝大部分基金财产投资于跟踪同一标的指数的本基金（即目标ETF），紧密跟踪标的指数表现，追求跟踪偏离度和跟踪误差最小化，获得与指数收益相似的回报，采用开放式运作方式的基金 </w:t>
      </w:r>
    </w:p>
    <w:p w14:paraId="1A74A32B">
      <w:pPr>
        <w:pStyle w:val="7"/>
        <w:spacing w:before="0" w:beforeAutospacing="0" w:after="0" w:afterAutospacing="0" w:line="360" w:lineRule="auto"/>
        <w:ind w:firstLine="420"/>
        <w:rPr>
          <w:sz w:val="21"/>
          <w:szCs w:val="21"/>
        </w:rPr>
      </w:pPr>
      <w:r>
        <w:rPr>
          <w:rFonts w:hint="eastAsia"/>
          <w:sz w:val="21"/>
          <w:szCs w:val="21"/>
        </w:rPr>
        <w:t xml:space="preserve">72. 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 </w:t>
      </w:r>
    </w:p>
    <w:p w14:paraId="620BE775">
      <w:pPr>
        <w:pStyle w:val="7"/>
        <w:spacing w:before="0" w:beforeAutospacing="0" w:after="0" w:afterAutospacing="0" w:line="360" w:lineRule="auto"/>
        <w:ind w:firstLine="420"/>
        <w:rPr>
          <w:sz w:val="21"/>
          <w:szCs w:val="21"/>
        </w:rPr>
      </w:pPr>
      <w:r>
        <w:rPr>
          <w:rFonts w:hint="eastAsia"/>
          <w:sz w:val="21"/>
          <w:szCs w:val="21"/>
        </w:rPr>
        <w:t xml:space="preserve">73. 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 </w:t>
      </w:r>
    </w:p>
    <w:p w14:paraId="18E13816">
      <w:pPr>
        <w:pStyle w:val="7"/>
        <w:spacing w:before="0" w:beforeAutospacing="0" w:after="0" w:afterAutospacing="0" w:line="360" w:lineRule="auto"/>
        <w:ind w:firstLine="420"/>
        <w:rPr>
          <w:sz w:val="21"/>
          <w:szCs w:val="21"/>
        </w:rPr>
      </w:pPr>
      <w:r>
        <w:rPr>
          <w:rFonts w:hint="eastAsia"/>
          <w:sz w:val="21"/>
          <w:szCs w:val="21"/>
        </w:rPr>
        <w:t xml:space="preserve">74. 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678941C8">
      <w:pPr>
        <w:pStyle w:val="7"/>
        <w:spacing w:before="0" w:beforeAutospacing="0" w:after="0" w:afterAutospacing="0" w:line="360" w:lineRule="auto"/>
        <w:ind w:firstLine="420"/>
        <w:rPr>
          <w:sz w:val="21"/>
          <w:szCs w:val="21"/>
        </w:rPr>
      </w:pPr>
      <w:r>
        <w:rPr>
          <w:rFonts w:hint="eastAsia"/>
          <w:sz w:val="21"/>
          <w:szCs w:val="21"/>
        </w:rPr>
        <w:t xml:space="preserve">75. 转融通证券出借业务：指基金以一定的费率通过证券交易所综合业务平台向中国证券金融股份有限公司（以下简称证券金融公司）出借证券，证券金融公司到期归还所借证券及相应权益补偿并支付费用的业务 </w:t>
      </w:r>
    </w:p>
    <w:p w14:paraId="61869C01">
      <w:pPr>
        <w:pStyle w:val="7"/>
        <w:spacing w:before="0" w:beforeAutospacing="0" w:after="0" w:afterAutospacing="0" w:line="360" w:lineRule="auto"/>
        <w:ind w:firstLine="420"/>
        <w:rPr>
          <w:sz w:val="21"/>
          <w:szCs w:val="21"/>
        </w:rPr>
      </w:pPr>
      <w:r>
        <w:rPr>
          <w:rFonts w:hint="eastAsia"/>
          <w:sz w:val="21"/>
          <w:szCs w:val="21"/>
        </w:rPr>
        <w:t xml:space="preserve">76. 特定投资者：指《中国证券登记结算有限责任公司深圳分公司交易型开放式基金登记结算业务指南》规定的不通过代办证券公司经纪交易单元，而通过基金管理人直销申报跨市场股票ETF场外组合证券申购赎回申请的保险产品、全国社保基金、证券投资基金、证券集合资产管理计划等特殊机构及产品投资者 </w:t>
      </w:r>
    </w:p>
    <w:p w14:paraId="234C71F0">
      <w:pPr>
        <w:pStyle w:val="7"/>
        <w:spacing w:before="0" w:beforeAutospacing="0" w:after="0" w:afterAutospacing="0" w:line="360" w:lineRule="auto"/>
        <w:ind w:firstLine="420"/>
        <w:rPr>
          <w:sz w:val="21"/>
          <w:szCs w:val="21"/>
        </w:rPr>
      </w:pPr>
      <w:r>
        <w:rPr>
          <w:rFonts w:hint="eastAsia"/>
          <w:sz w:val="21"/>
          <w:szCs w:val="21"/>
        </w:rPr>
        <w:t xml:space="preserve">77. 中国：指中华人民共和国，就基金合同而言，不包括香港特别行政区、澳门特别行政区和台湾地区 </w:t>
      </w:r>
    </w:p>
    <w:p w14:paraId="1B9B3F9C">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78. 不可抗力：指基金合同当事人不能预见、不能避免且不能克服的客观事件 </w:t>
      </w:r>
    </w:p>
    <w:p w14:paraId="49743039">
      <w:pPr>
        <w:widowControl/>
        <w:jc w:val="left"/>
        <w:rPr>
          <w:rFonts w:ascii="宋体" w:hAnsi="宋体" w:eastAsia="宋体"/>
        </w:rPr>
      </w:pPr>
      <w:r>
        <w:rPr>
          <w:rFonts w:ascii="宋体" w:hAnsi="宋体" w:eastAsia="宋体"/>
        </w:rPr>
        <w:br w:type="page"/>
      </w:r>
    </w:p>
    <w:p w14:paraId="043C4041">
      <w:pPr>
        <w:pStyle w:val="2"/>
        <w:jc w:val="center"/>
        <w:rPr>
          <w:rFonts w:ascii="宋体" w:hAnsi="宋体" w:eastAsia="宋体"/>
          <w:sz w:val="30"/>
        </w:rPr>
      </w:pPr>
      <w:bookmarkStart w:id="25" w:name="chapter_level1_5_53"/>
      <w:bookmarkStart w:id="26" w:name="_Toc207986783"/>
      <w:r>
        <w:rPr>
          <w:rFonts w:hint="eastAsia" w:ascii="宋体" w:hAnsi="宋体" w:eastAsia="宋体"/>
          <w:sz w:val="30"/>
        </w:rPr>
        <w:t>第三部分  基金管理人</w:t>
      </w:r>
      <w:bookmarkEnd w:id="25"/>
      <w:bookmarkEnd w:id="26"/>
    </w:p>
    <w:p w14:paraId="260FD118">
      <w:pPr>
        <w:pStyle w:val="7"/>
        <w:spacing w:before="0" w:beforeAutospacing="0" w:after="0" w:afterAutospacing="0" w:line="360" w:lineRule="auto"/>
        <w:ind w:firstLine="420"/>
        <w:rPr>
          <w:sz w:val="21"/>
          <w:szCs w:val="21"/>
        </w:rPr>
      </w:pPr>
      <w:bookmarkStart w:id="27" w:name="chapter_level1_5_53_section_1"/>
      <w:bookmarkEnd w:id="27"/>
      <w:r>
        <w:rPr>
          <w:rStyle w:val="11"/>
          <w:rFonts w:hint="eastAsia"/>
          <w:sz w:val="21"/>
          <w:szCs w:val="21"/>
        </w:rPr>
        <w:t>一、基金管理人概况</w:t>
      </w:r>
    </w:p>
    <w:p w14:paraId="0338A77D">
      <w:pPr>
        <w:pStyle w:val="7"/>
        <w:spacing w:before="0" w:beforeAutospacing="0" w:after="0" w:afterAutospacing="0" w:line="360" w:lineRule="auto"/>
        <w:ind w:firstLine="420"/>
        <w:jc w:val="both"/>
        <w:rPr>
          <w:rFonts w:hint="eastAsia"/>
          <w:sz w:val="21"/>
          <w:szCs w:val="21"/>
        </w:rPr>
      </w:pPr>
      <w:bookmarkStart w:id="28" w:name="field_0_managercompanyinfo_1_start"/>
      <w:bookmarkEnd w:id="28"/>
      <w:r>
        <w:rPr>
          <w:rFonts w:hint="eastAsia"/>
          <w:sz w:val="21"/>
          <w:szCs w:val="21"/>
        </w:rPr>
        <w:t>名称：</w:t>
      </w:r>
      <w:r>
        <w:rPr>
          <w:rFonts w:hint="eastAsia"/>
          <w:sz w:val="21"/>
          <w:szCs w:val="21"/>
        </w:rPr>
        <w:tab/>
      </w:r>
      <w:r>
        <w:rPr>
          <w:rFonts w:hint="eastAsia"/>
          <w:sz w:val="21"/>
          <w:szCs w:val="21"/>
        </w:rPr>
        <w:t>博时基金管理有限公司</w:t>
      </w:r>
    </w:p>
    <w:p w14:paraId="05887DDE">
      <w:pPr>
        <w:pStyle w:val="7"/>
        <w:spacing w:before="0" w:beforeAutospacing="0" w:after="0" w:afterAutospacing="0" w:line="360" w:lineRule="auto"/>
        <w:ind w:firstLine="420"/>
        <w:jc w:val="both"/>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55D8FD08">
      <w:pPr>
        <w:pStyle w:val="7"/>
        <w:spacing w:before="0" w:beforeAutospacing="0" w:after="0" w:afterAutospacing="0" w:line="360" w:lineRule="auto"/>
        <w:ind w:firstLine="420"/>
        <w:jc w:val="both"/>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3A78AEF4">
      <w:pPr>
        <w:pStyle w:val="7"/>
        <w:spacing w:before="0" w:beforeAutospacing="0" w:after="0" w:afterAutospacing="0" w:line="360" w:lineRule="auto"/>
        <w:ind w:firstLine="420"/>
        <w:jc w:val="both"/>
        <w:rPr>
          <w:rFonts w:hint="eastAsia"/>
          <w:sz w:val="21"/>
          <w:szCs w:val="21"/>
        </w:rPr>
      </w:pPr>
      <w:r>
        <w:rPr>
          <w:rFonts w:hint="eastAsia"/>
          <w:sz w:val="21"/>
          <w:szCs w:val="21"/>
        </w:rPr>
        <w:t>法定代表人：张东</w:t>
      </w:r>
    </w:p>
    <w:p w14:paraId="0BB3B861">
      <w:pPr>
        <w:pStyle w:val="7"/>
        <w:spacing w:before="0" w:beforeAutospacing="0" w:after="0" w:afterAutospacing="0" w:line="360" w:lineRule="auto"/>
        <w:ind w:firstLine="420"/>
        <w:jc w:val="both"/>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38014BD6">
      <w:pPr>
        <w:pStyle w:val="7"/>
        <w:spacing w:before="0" w:beforeAutospacing="0" w:after="0" w:afterAutospacing="0" w:line="360" w:lineRule="auto"/>
        <w:ind w:firstLine="420"/>
        <w:jc w:val="both"/>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7599CF96">
      <w:pPr>
        <w:pStyle w:val="7"/>
        <w:spacing w:before="0" w:beforeAutospacing="0" w:after="0" w:afterAutospacing="0" w:line="360" w:lineRule="auto"/>
        <w:ind w:firstLine="420"/>
        <w:jc w:val="both"/>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27341116">
      <w:pPr>
        <w:pStyle w:val="7"/>
        <w:spacing w:before="0" w:beforeAutospacing="0" w:after="0" w:afterAutospacing="0" w:line="360" w:lineRule="auto"/>
        <w:ind w:firstLine="420"/>
        <w:jc w:val="both"/>
        <w:rPr>
          <w:rFonts w:hint="eastAsia"/>
          <w:sz w:val="21"/>
          <w:szCs w:val="21"/>
        </w:rPr>
      </w:pPr>
      <w:r>
        <w:rPr>
          <w:rFonts w:hint="eastAsia"/>
          <w:sz w:val="21"/>
          <w:szCs w:val="21"/>
        </w:rPr>
        <w:t>联系人：    杜松岭</w:t>
      </w:r>
    </w:p>
    <w:p w14:paraId="37A49BB9">
      <w:pPr>
        <w:pStyle w:val="7"/>
        <w:spacing w:before="0" w:beforeAutospacing="0" w:after="0" w:afterAutospacing="0" w:line="360" w:lineRule="auto"/>
        <w:ind w:firstLine="420"/>
        <w:jc w:val="both"/>
        <w:rPr>
          <w:rFonts w:hint="eastAsia"/>
          <w:sz w:val="21"/>
          <w:szCs w:val="21"/>
        </w:rPr>
      </w:pPr>
      <w:r>
        <w:rPr>
          <w:rFonts w:hint="eastAsia"/>
          <w:sz w:val="21"/>
          <w:szCs w:val="21"/>
        </w:rPr>
        <w:t>联系电话：  （0755）8316 9999</w:t>
      </w:r>
    </w:p>
    <w:p w14:paraId="2F7D109E">
      <w:pPr>
        <w:pStyle w:val="7"/>
        <w:spacing w:before="0" w:beforeAutospacing="0" w:after="0" w:afterAutospacing="0" w:line="360" w:lineRule="auto"/>
        <w:ind w:firstLine="420"/>
        <w:jc w:val="both"/>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443032F">
      <w:pPr>
        <w:pStyle w:val="7"/>
        <w:spacing w:before="0" w:beforeAutospacing="0" w:after="0" w:afterAutospacing="0" w:line="360" w:lineRule="auto"/>
        <w:ind w:firstLine="420"/>
        <w:jc w:val="both"/>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0DB4E920">
      <w:pPr>
        <w:pStyle w:val="7"/>
        <w:spacing w:before="0" w:beforeAutospacing="0" w:after="0" w:afterAutospacing="0" w:line="360" w:lineRule="auto"/>
        <w:ind w:firstLine="420"/>
        <w:jc w:val="both"/>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9" w:name="field_0_managercompanyinfo_1_end"/>
      <w:bookmarkEnd w:id="29"/>
      <w:r>
        <w:rPr>
          <w:rFonts w:hint="eastAsia"/>
          <w:sz w:val="21"/>
          <w:szCs w:val="21"/>
        </w:rPr>
        <w:t xml:space="preserve">  </w:t>
      </w:r>
    </w:p>
    <w:p w14:paraId="2424F685">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13DA10DF">
      <w:pPr>
        <w:pStyle w:val="7"/>
        <w:spacing w:before="0" w:beforeAutospacing="0" w:after="0" w:afterAutospacing="0" w:line="360" w:lineRule="auto"/>
        <w:ind w:firstLine="420"/>
        <w:jc w:val="both"/>
        <w:rPr>
          <w:rFonts w:hint="eastAsia"/>
          <w:sz w:val="21"/>
          <w:szCs w:val="21"/>
        </w:rPr>
      </w:pPr>
      <w:bookmarkStart w:id="30" w:name="field_0_managerpersoninfo_1_start"/>
      <w:bookmarkEnd w:id="30"/>
      <w:r>
        <w:rPr>
          <w:rFonts w:hint="eastAsia"/>
          <w:sz w:val="21"/>
          <w:szCs w:val="21"/>
        </w:rPr>
        <w:t>1、基金管理人董事会成员</w:t>
      </w:r>
    </w:p>
    <w:p w14:paraId="3ECCD1D7">
      <w:pPr>
        <w:pStyle w:val="7"/>
        <w:spacing w:before="0" w:beforeAutospacing="0" w:after="0" w:afterAutospacing="0" w:line="360" w:lineRule="auto"/>
        <w:ind w:firstLine="420"/>
        <w:jc w:val="both"/>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37257190">
      <w:pPr>
        <w:pStyle w:val="7"/>
        <w:spacing w:before="0" w:beforeAutospacing="0" w:after="0" w:afterAutospacing="0" w:line="360" w:lineRule="auto"/>
        <w:ind w:firstLine="420"/>
        <w:jc w:val="both"/>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6161B2F4">
      <w:pPr>
        <w:pStyle w:val="7"/>
        <w:spacing w:before="0" w:beforeAutospacing="0" w:after="0" w:afterAutospacing="0" w:line="360" w:lineRule="auto"/>
        <w:ind w:firstLine="420"/>
        <w:jc w:val="both"/>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48C9752F">
      <w:pPr>
        <w:pStyle w:val="7"/>
        <w:spacing w:before="0" w:beforeAutospacing="0" w:after="0" w:afterAutospacing="0" w:line="360" w:lineRule="auto"/>
        <w:ind w:firstLine="420"/>
        <w:jc w:val="both"/>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427BB46">
      <w:pPr>
        <w:pStyle w:val="7"/>
        <w:spacing w:before="0" w:beforeAutospacing="0" w:after="0" w:afterAutospacing="0" w:line="360" w:lineRule="auto"/>
        <w:ind w:firstLine="420"/>
        <w:jc w:val="both"/>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AE079E0">
      <w:pPr>
        <w:pStyle w:val="7"/>
        <w:spacing w:before="0" w:beforeAutospacing="0" w:after="0" w:afterAutospacing="0" w:line="360" w:lineRule="auto"/>
        <w:ind w:firstLine="420"/>
        <w:jc w:val="both"/>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98DE6F3">
      <w:pPr>
        <w:pStyle w:val="7"/>
        <w:spacing w:before="0" w:beforeAutospacing="0" w:after="0" w:afterAutospacing="0" w:line="360" w:lineRule="auto"/>
        <w:ind w:firstLine="420"/>
        <w:jc w:val="both"/>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A809D8E">
      <w:pPr>
        <w:pStyle w:val="7"/>
        <w:spacing w:before="0" w:beforeAutospacing="0" w:after="0" w:afterAutospacing="0" w:line="360" w:lineRule="auto"/>
        <w:ind w:firstLine="420"/>
        <w:jc w:val="both"/>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12769D04">
      <w:pPr>
        <w:pStyle w:val="7"/>
        <w:spacing w:before="0" w:beforeAutospacing="0" w:after="0" w:afterAutospacing="0" w:line="360" w:lineRule="auto"/>
        <w:ind w:firstLine="420"/>
        <w:jc w:val="both"/>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7C38D7C4">
      <w:pPr>
        <w:pStyle w:val="7"/>
        <w:spacing w:before="0" w:beforeAutospacing="0" w:after="0" w:afterAutospacing="0" w:line="360" w:lineRule="auto"/>
        <w:ind w:firstLine="420"/>
        <w:jc w:val="both"/>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1A89011E">
      <w:pPr>
        <w:pStyle w:val="7"/>
        <w:spacing w:before="0" w:beforeAutospacing="0" w:after="0" w:afterAutospacing="0" w:line="360" w:lineRule="auto"/>
        <w:ind w:firstLine="420"/>
        <w:jc w:val="both"/>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3E8D91B9">
      <w:pPr>
        <w:pStyle w:val="7"/>
        <w:spacing w:before="0" w:beforeAutospacing="0" w:after="0" w:afterAutospacing="0" w:line="360" w:lineRule="auto"/>
        <w:ind w:firstLine="420"/>
        <w:jc w:val="both"/>
        <w:rPr>
          <w:rFonts w:hint="eastAsia"/>
          <w:sz w:val="21"/>
          <w:szCs w:val="21"/>
        </w:rPr>
      </w:pPr>
      <w:r>
        <w:rPr>
          <w:rFonts w:hint="eastAsia"/>
          <w:sz w:val="21"/>
          <w:szCs w:val="21"/>
        </w:rPr>
        <w:t>2、高级管理人员</w:t>
      </w:r>
    </w:p>
    <w:p w14:paraId="75013FD7">
      <w:pPr>
        <w:pStyle w:val="7"/>
        <w:spacing w:before="0" w:beforeAutospacing="0" w:after="0" w:afterAutospacing="0" w:line="360" w:lineRule="auto"/>
        <w:ind w:firstLine="420"/>
        <w:jc w:val="both"/>
        <w:rPr>
          <w:rFonts w:hint="eastAsia"/>
          <w:sz w:val="21"/>
          <w:szCs w:val="21"/>
        </w:rPr>
      </w:pPr>
      <w:r>
        <w:rPr>
          <w:rFonts w:hint="eastAsia"/>
          <w:sz w:val="21"/>
          <w:szCs w:val="21"/>
        </w:rPr>
        <w:t>张东先生，简历同上。</w:t>
      </w:r>
    </w:p>
    <w:p w14:paraId="71116513">
      <w:pPr>
        <w:pStyle w:val="7"/>
        <w:spacing w:before="0" w:beforeAutospacing="0" w:after="0" w:afterAutospacing="0" w:line="360" w:lineRule="auto"/>
        <w:ind w:firstLine="420"/>
        <w:jc w:val="both"/>
        <w:rPr>
          <w:rFonts w:hint="eastAsia"/>
          <w:sz w:val="21"/>
          <w:szCs w:val="21"/>
        </w:rPr>
      </w:pPr>
      <w:r>
        <w:rPr>
          <w:rFonts w:hint="eastAsia"/>
          <w:sz w:val="21"/>
          <w:szCs w:val="21"/>
        </w:rPr>
        <w:t>陈宇先生，简历同上。</w:t>
      </w:r>
    </w:p>
    <w:p w14:paraId="37A6D012">
      <w:pPr>
        <w:pStyle w:val="7"/>
        <w:spacing w:before="0" w:beforeAutospacing="0" w:after="0" w:afterAutospacing="0" w:line="360" w:lineRule="auto"/>
        <w:ind w:firstLine="420"/>
        <w:jc w:val="both"/>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137594E6">
      <w:pPr>
        <w:pStyle w:val="7"/>
        <w:spacing w:before="0" w:beforeAutospacing="0" w:after="0" w:afterAutospacing="0" w:line="360" w:lineRule="auto"/>
        <w:ind w:firstLine="420"/>
        <w:jc w:val="both"/>
        <w:rPr>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bookmarkStart w:id="31" w:name="field_0_managerpersoninfo_1_end"/>
      <w:bookmarkEnd w:id="31"/>
      <w:r>
        <w:rPr>
          <w:rFonts w:hint="eastAsia"/>
          <w:sz w:val="21"/>
          <w:szCs w:val="21"/>
        </w:rPr>
        <w:t xml:space="preserve">  </w:t>
      </w:r>
    </w:p>
    <w:p w14:paraId="5587F4CF">
      <w:pPr>
        <w:pStyle w:val="7"/>
        <w:spacing w:before="0" w:beforeAutospacing="0" w:after="0" w:afterAutospacing="0" w:line="360" w:lineRule="auto"/>
        <w:ind w:firstLine="420"/>
        <w:rPr>
          <w:sz w:val="21"/>
          <w:szCs w:val="21"/>
        </w:rPr>
      </w:pPr>
      <w:bookmarkStart w:id="32" w:name="chapter_level1_5_53_section_2"/>
      <w:bookmarkEnd w:id="32"/>
      <w:r>
        <w:rPr>
          <w:rFonts w:hint="eastAsia"/>
          <w:sz w:val="21"/>
          <w:szCs w:val="21"/>
          <w:lang w:val="en-US" w:eastAsia="zh-CN"/>
        </w:rPr>
        <w:t>3</w:t>
      </w:r>
      <w:r>
        <w:rPr>
          <w:rFonts w:hint="eastAsia"/>
          <w:sz w:val="21"/>
          <w:szCs w:val="21"/>
        </w:rPr>
        <w:t xml:space="preserve">、本基金基金经理 </w:t>
      </w:r>
    </w:p>
    <w:p w14:paraId="64625BF4">
      <w:pPr>
        <w:pStyle w:val="7"/>
        <w:spacing w:before="0" w:beforeAutospacing="0" w:after="0" w:afterAutospacing="0" w:line="360" w:lineRule="auto"/>
        <w:ind w:firstLine="420"/>
        <w:jc w:val="both"/>
        <w:rPr>
          <w:sz w:val="21"/>
          <w:szCs w:val="21"/>
        </w:rPr>
      </w:pPr>
      <w:bookmarkStart w:id="33" w:name="field_0_fundmanagerresume_1_start"/>
      <w:bookmarkEnd w:id="33"/>
      <w:bookmarkStart w:id="34" w:name="field_0_fundmanagerresume_1_end"/>
      <w:bookmarkEnd w:id="34"/>
      <w:r>
        <w:rPr>
          <w:rFonts w:hint="eastAsia"/>
          <w:sz w:val="21"/>
          <w:szCs w:val="21"/>
        </w:rPr>
        <w:t xml:space="preserve">尹浩先生，硕士。2012年起先后在华宝证券、国金证券工作。2015年加入博时基金管理有限公司。历任高级研究员、高级研究员兼基金经理助理、博时上证超级大盘交易型开放式指数证券投资基金联接基金(2019年10月11日-2023年3月8日)、上证超级大盘交易型开放式指数证券投资基金(2019年10月11日-2023年3月8日)、博时中证5G产业50交易型开放式指数证券投资基金发起式联接基金(2021年7月14日-2024年8月17日)、博时中证科创创业50交易型开放式指数证券投资基金发起式联接基金(2021年11月30日-2025年1月15日)、博时中证A100指数型证券投资基金(2024年12月25日-2025年6月23日)的基金经理。现任博时创业板交易型开放式指数证券投资基金(2019年10月11日—至今)、博时创业板交易型开放式指数证券投资基金联接基金(2019年10月11日—至今)、博时中证5G产业50交易型开放式指数证券投资基金(2020年3月27日—至今)、博时中证新能源汽车交易型开放式指数证券投资基金(2020年12月10日—至今)、博时中证智能消费主题交易型开放式指数证券投资基金(2020年12月30日—至今)、博时中证新能源交易型开放式指数证券投资基金(2021年7月15日—至今)、博时中证科创创业50交易型开放式指数证券投资基金(2021年8月19日—至今)、博时中证金融科技主题交易型开放式指数证券投资基金(2021年9月24日—至今)、博时国证龙头家电交易型开放式指数证券投资基金(2021年12月13日—至今)、博时中证湖北新旧动能转换交易型开放式指数证券投资基金(2021年12月29日—至今)、博时中证全指电力公用事业交易型开放式指数证券投资基金(2022年7月1日—至今)、博时中证成渝地区双城经济圈成份交易型开放式指数证券投资基金(2022年8月15日—至今)、博时中证全指电力公用事业交易型开放式指数证券投资基金发起式联接基金(2023年1月6日—至今)、博时中证新能源交易型开放式指数证券投资基金发起式联接基金(2023年11月28日—至今)、博时中证软件服务指数型发起式证券投资基金(2023年12月26日—至今)、博时中证半导体产业交易型开放式指数证券投资基金(2024年4月8日—至今)、博时国证龙头家电交易型开放式指数证券投资基金发起式联接基金(2024年5月28日—至今)、博时中证A100交易型开放式指数证券投资基金(2025年6月16日—至今)、博时中证金融科技主题交易型开放式指数证券投资基金联接基金(2025年6月19日—至今)、博时中证A100交易型开放式指数证券投资基金联接基金(2025年6月24日—至今)的基金经理。  </w:t>
      </w:r>
    </w:p>
    <w:p w14:paraId="6E93E55D">
      <w:pPr>
        <w:pStyle w:val="7"/>
        <w:spacing w:before="0" w:beforeAutospacing="0" w:after="0" w:afterAutospacing="0" w:line="360" w:lineRule="auto"/>
        <w:ind w:firstLine="420"/>
        <w:jc w:val="both"/>
        <w:rPr>
          <w:rFonts w:hint="eastAsia"/>
          <w:sz w:val="21"/>
          <w:szCs w:val="21"/>
          <w:highlight w:val="none"/>
        </w:rPr>
      </w:pPr>
      <w:bookmarkStart w:id="35" w:name="field_0_managerpersoninfo2_1_start"/>
      <w:bookmarkEnd w:id="35"/>
      <w:bookmarkStart w:id="36" w:name="chapter_level1_5_53_section_3"/>
      <w:bookmarkEnd w:id="36"/>
      <w:r>
        <w:rPr>
          <w:rFonts w:hint="eastAsia"/>
          <w:sz w:val="21"/>
          <w:szCs w:val="21"/>
          <w:highlight w:val="none"/>
          <w:lang w:val="en-US" w:eastAsia="zh-CN"/>
        </w:rPr>
        <w:t>4</w:t>
      </w:r>
      <w:r>
        <w:rPr>
          <w:rFonts w:hint="eastAsia"/>
          <w:sz w:val="21"/>
          <w:szCs w:val="21"/>
          <w:highlight w:val="none"/>
        </w:rPr>
        <w:t>、</w:t>
      </w:r>
      <w:bookmarkStart w:id="37" w:name="OLE_LINK2"/>
      <w:bookmarkStart w:id="38" w:name="OLE_LINK1"/>
      <w:r>
        <w:rPr>
          <w:rFonts w:hint="eastAsia"/>
          <w:sz w:val="21"/>
          <w:szCs w:val="21"/>
          <w:highlight w:val="none"/>
        </w:rPr>
        <w:t>投资决策委员会</w:t>
      </w:r>
      <w:bookmarkEnd w:id="37"/>
      <w:bookmarkEnd w:id="38"/>
      <w:r>
        <w:rPr>
          <w:rFonts w:hint="eastAsia"/>
          <w:sz w:val="21"/>
          <w:szCs w:val="21"/>
          <w:highlight w:val="none"/>
        </w:rPr>
        <w:t xml:space="preserve">成员 </w:t>
      </w:r>
    </w:p>
    <w:p w14:paraId="3BC4500A">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bookmarkStart w:id="39" w:name="OLE_LINK5"/>
      <w:r>
        <w:rPr>
          <w:rFonts w:hint="eastAsia" w:ascii="宋体" w:hAnsi="宋体" w:eastAsia="宋体" w:cs="宋体"/>
          <w:kern w:val="0"/>
          <w:sz w:val="21"/>
          <w:szCs w:val="21"/>
          <w:highlight w:val="none"/>
        </w:rPr>
        <w:t>公司首席资产配置官黄健斌先生。</w:t>
      </w:r>
    </w:p>
    <w:p w14:paraId="563F16D6">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公司投资决策委员会专职委员兼年金投资部总经理于善辉先生。</w:t>
      </w:r>
    </w:p>
    <w:p w14:paraId="3F2078CA">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首席基金经理过钧先生。 </w:t>
      </w:r>
    </w:p>
    <w:p w14:paraId="62448230">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首席投资官兼权益投研一体化总监、境外投资部总经理曾鹏先生。 </w:t>
      </w:r>
    </w:p>
    <w:p w14:paraId="696CADE3">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董事总经理兼</w:t>
      </w:r>
      <w:r>
        <w:rPr>
          <w:rFonts w:hint="eastAsia" w:ascii="宋体" w:hAnsi="宋体" w:eastAsia="宋体" w:cs="宋体"/>
          <w:kern w:val="0"/>
          <w:sz w:val="21"/>
          <w:szCs w:val="21"/>
          <w:highlight w:val="none"/>
        </w:rPr>
        <w:t>权益投资三部总经理</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 xml:space="preserve">权益投资三部投资总监蔡滨先生。 </w:t>
      </w:r>
    </w:p>
    <w:p w14:paraId="22C4826E">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行业研究部总经理魏立先生。 </w:t>
      </w:r>
    </w:p>
    <w:p w14:paraId="3D7A0292">
      <w:pPr>
        <w:pStyle w:val="7"/>
        <w:spacing w:before="0" w:beforeAutospacing="0" w:after="0" w:afterAutospacing="0" w:line="360" w:lineRule="auto"/>
        <w:ind w:firstLine="420" w:firstLineChars="200"/>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宏观策略部</w:t>
      </w:r>
      <w:r>
        <w:rPr>
          <w:rFonts w:hint="eastAsia" w:ascii="宋体" w:hAnsi="宋体" w:eastAsia="宋体" w:cs="宋体"/>
          <w:kern w:val="0"/>
          <w:sz w:val="21"/>
          <w:szCs w:val="21"/>
          <w:highlight w:val="none"/>
          <w:lang w:val="en-US" w:eastAsia="zh-CN"/>
        </w:rPr>
        <w:t>首席策略分析师</w:t>
      </w:r>
      <w:r>
        <w:rPr>
          <w:rFonts w:hint="eastAsia" w:ascii="宋体" w:hAnsi="宋体" w:eastAsia="宋体" w:cs="宋体"/>
          <w:kern w:val="0"/>
          <w:sz w:val="21"/>
          <w:szCs w:val="21"/>
          <w:highlight w:val="none"/>
        </w:rPr>
        <w:t xml:space="preserve">陈显顺先生。 </w:t>
      </w:r>
    </w:p>
    <w:p w14:paraId="3EA721E5">
      <w:pPr>
        <w:pStyle w:val="7"/>
        <w:spacing w:before="0" w:beforeAutospacing="0" w:after="0" w:afterAutospacing="0" w:line="360" w:lineRule="auto"/>
        <w:ind w:firstLine="420"/>
        <w:rPr>
          <w:sz w:val="21"/>
          <w:szCs w:val="21"/>
        </w:rPr>
      </w:pPr>
      <w:r>
        <w:rPr>
          <w:rFonts w:hint="eastAsia" w:ascii="宋体" w:hAnsi="宋体" w:eastAsia="宋体" w:cs="宋体"/>
          <w:kern w:val="0"/>
          <w:sz w:val="21"/>
          <w:szCs w:val="21"/>
          <w:highlight w:val="none"/>
        </w:rPr>
        <w:t>指数与量化投资部总经理兼指数与量化投资部投资总监赵云阳先生。</w:t>
      </w:r>
      <w:bookmarkEnd w:id="39"/>
      <w:r>
        <w:rPr>
          <w:rFonts w:hint="eastAsia"/>
          <w:sz w:val="21"/>
          <w:szCs w:val="21"/>
        </w:rPr>
        <w:t xml:space="preserve">   </w:t>
      </w:r>
    </w:p>
    <w:p w14:paraId="3FFD22DA">
      <w:pPr>
        <w:pStyle w:val="7"/>
        <w:spacing w:before="0" w:beforeAutospacing="0" w:after="0" w:afterAutospacing="0" w:line="360" w:lineRule="auto"/>
        <w:ind w:firstLine="420"/>
        <w:rPr>
          <w:sz w:val="21"/>
          <w:szCs w:val="21"/>
        </w:rPr>
      </w:pPr>
      <w:bookmarkStart w:id="40" w:name="chapter_level1_5_53_section_3_end"/>
      <w:bookmarkEnd w:id="40"/>
      <w:r>
        <w:rPr>
          <w:rFonts w:hint="eastAsia"/>
          <w:sz w:val="21"/>
          <w:szCs w:val="21"/>
          <w:lang w:val="en-US" w:eastAsia="zh-CN"/>
        </w:rPr>
        <w:t>5</w:t>
      </w:r>
      <w:r>
        <w:rPr>
          <w:rFonts w:hint="eastAsia"/>
          <w:sz w:val="21"/>
          <w:szCs w:val="21"/>
        </w:rPr>
        <w:t xml:space="preserve">、上述人员之间均不存在近亲属关系。 </w:t>
      </w:r>
      <w:bookmarkStart w:id="41" w:name="field_0_managerpersoninfo2_1_end"/>
      <w:bookmarkEnd w:id="41"/>
      <w:r>
        <w:rPr>
          <w:rFonts w:hint="eastAsia"/>
          <w:sz w:val="21"/>
          <w:szCs w:val="21"/>
        </w:rPr>
        <w:t xml:space="preserve">  </w:t>
      </w:r>
    </w:p>
    <w:p w14:paraId="00A24E95">
      <w:pPr>
        <w:pStyle w:val="7"/>
        <w:spacing w:before="0" w:beforeAutospacing="0" w:after="0" w:afterAutospacing="0" w:line="360" w:lineRule="auto"/>
        <w:ind w:firstLine="420"/>
        <w:rPr>
          <w:sz w:val="21"/>
          <w:szCs w:val="21"/>
        </w:rPr>
      </w:pPr>
      <w:bookmarkStart w:id="42" w:name="chapter_level1_5_53_section_4"/>
      <w:bookmarkEnd w:id="42"/>
      <w:r>
        <w:rPr>
          <w:rStyle w:val="11"/>
          <w:rFonts w:hint="eastAsia"/>
          <w:sz w:val="21"/>
          <w:szCs w:val="21"/>
        </w:rPr>
        <w:t>三、基金管理人的职责</w:t>
      </w:r>
    </w:p>
    <w:p w14:paraId="3CA18F67">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59F0FDC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BCF8F7B">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08A819AE">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E41DA1E">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CAF2AA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96556BE">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D667AA8">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14:paraId="2C68562E">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64A06162">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FE75382">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FEAC0CF">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法律、法规另有规定的以及审计需要的除外； </w:t>
      </w:r>
    </w:p>
    <w:p w14:paraId="0DB582FA">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6F40AB13">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14:paraId="243DC270">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1BC8C46">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16、按规定保存基金财产管理业务活动的会计账册、报表、记录和其他相关资料20年以上； </w:t>
      </w:r>
    </w:p>
    <w:p w14:paraId="49742C99">
      <w:pPr>
        <w:pStyle w:val="7"/>
        <w:spacing w:before="0" w:beforeAutospacing="0" w:after="0" w:afterAutospacing="0" w:line="360" w:lineRule="auto"/>
        <w:ind w:firstLine="420"/>
        <w:rPr>
          <w:sz w:val="21"/>
          <w:szCs w:val="21"/>
        </w:rPr>
      </w:pPr>
      <w:r>
        <w:rPr>
          <w:rFonts w:hint="eastAsia"/>
          <w:sz w:val="21"/>
          <w:szCs w:val="21"/>
        </w:rPr>
        <w:t xml:space="preserve">17、确保需要向基金投资人提供的各项文件或资料在规定时间发出，并且保证投资人能够按照《基金合同》规定的时间和方式，随时查阅到与基金有关的公开资料，并在支付合理成本的条件下得到有关资料的复印件； </w:t>
      </w:r>
    </w:p>
    <w:p w14:paraId="18BB86FC">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6D3E7E5">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094E0E5">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95D8CF8">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8AB4CC0">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9EE6FBF">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1939C6B">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B4AB268">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5E9B4E9">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F05A628">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FB3994A">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0511D0E0">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19D77493">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E459E21">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7D0F5F54">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F265EB0">
      <w:pPr>
        <w:pStyle w:val="7"/>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14:paraId="2B63423E">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798CF9DF">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00E93D79">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1B21FF91">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010981FE">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0FC20D95">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73156856">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6F0FE21C">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4E3886E8">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4F5F4DA3">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6E673BC3">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0991BB43">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73B42401">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02B2692E">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14:paraId="34027B0F">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53A9A218">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6EEBEB8F">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63971F2D">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4DED9125">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7DCF1711">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1428E355">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05186035">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7AAEAB9A">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6C3C0380">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014044ED">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03C634FD">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3C513A95">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2EC956DD">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31EB1837">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0C0AD1D3">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16E6BF4E">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4E14D9DF">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5D6BBF9E">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2350418E">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425DDEFE">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21449634">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78117E61">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D0A8429">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48597EFE">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6DBC1462">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7E2FB2A7">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7DF7B4FD">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6317AF1B">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53C7C546">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142AA1AC">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233C0CD4">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100ECF45">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57B3F437">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61B98FD9">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01A22298">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0936B671">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351C8EE9">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14:paraId="7147AD7E">
      <w:pPr>
        <w:pStyle w:val="7"/>
        <w:spacing w:before="0" w:beforeAutospacing="0" w:after="0" w:afterAutospacing="0" w:line="360" w:lineRule="auto"/>
        <w:ind w:firstLine="420"/>
        <w:rPr>
          <w:sz w:val="21"/>
          <w:szCs w:val="21"/>
        </w:rPr>
      </w:pPr>
      <w:r>
        <w:rPr>
          <w:rFonts w:hint="eastAsia"/>
          <w:sz w:val="21"/>
          <w:szCs w:val="21"/>
        </w:rPr>
        <w:t xml:space="preserve"> </w:t>
      </w:r>
    </w:p>
    <w:p w14:paraId="3DE3C6DF">
      <w:pPr>
        <w:widowControl/>
        <w:jc w:val="left"/>
        <w:rPr>
          <w:rFonts w:ascii="宋体" w:hAnsi="宋体" w:eastAsia="宋体"/>
        </w:rPr>
      </w:pPr>
      <w:r>
        <w:rPr>
          <w:rFonts w:ascii="宋体" w:hAnsi="宋体" w:eastAsia="宋体"/>
        </w:rPr>
        <w:br w:type="page"/>
      </w:r>
    </w:p>
    <w:p w14:paraId="7E4A09DB">
      <w:pPr>
        <w:pStyle w:val="2"/>
        <w:jc w:val="center"/>
        <w:rPr>
          <w:rFonts w:ascii="宋体" w:hAnsi="宋体" w:eastAsia="宋体"/>
          <w:sz w:val="30"/>
        </w:rPr>
      </w:pPr>
      <w:bookmarkStart w:id="43" w:name="chapter_level1_6_55"/>
      <w:bookmarkStart w:id="44" w:name="_Toc207986784"/>
      <w:r>
        <w:rPr>
          <w:rFonts w:hint="eastAsia" w:ascii="宋体" w:hAnsi="宋体" w:eastAsia="宋体"/>
          <w:sz w:val="30"/>
        </w:rPr>
        <w:t>第四部分  基金托管人</w:t>
      </w:r>
      <w:bookmarkEnd w:id="43"/>
      <w:bookmarkEnd w:id="44"/>
    </w:p>
    <w:p w14:paraId="651B40D8">
      <w:pPr>
        <w:pStyle w:val="7"/>
        <w:spacing w:before="0" w:beforeAutospacing="0" w:after="0" w:afterAutospacing="0" w:line="360" w:lineRule="auto"/>
        <w:ind w:firstLine="420"/>
        <w:rPr>
          <w:sz w:val="21"/>
          <w:szCs w:val="21"/>
        </w:rPr>
      </w:pPr>
      <w:bookmarkStart w:id="45" w:name="chapter_level1_6_55_section_1"/>
      <w:bookmarkEnd w:id="45"/>
      <w:bookmarkStart w:id="46" w:name="field_0_trustcompanyinfo_1_start"/>
      <w:bookmarkEnd w:id="46"/>
      <w:r>
        <w:rPr>
          <w:rFonts w:hint="eastAsia"/>
          <w:sz w:val="21"/>
          <w:szCs w:val="21"/>
        </w:rPr>
        <w:t xml:space="preserve">（一）基金托管人概况 </w:t>
      </w:r>
    </w:p>
    <w:p w14:paraId="29E8A5A8">
      <w:pPr>
        <w:pStyle w:val="7"/>
        <w:spacing w:before="0" w:beforeAutospacing="0" w:after="0" w:afterAutospacing="0" w:line="360" w:lineRule="auto"/>
        <w:ind w:firstLine="420"/>
        <w:rPr>
          <w:sz w:val="21"/>
          <w:szCs w:val="21"/>
        </w:rPr>
      </w:pPr>
      <w:r>
        <w:rPr>
          <w:rFonts w:hint="eastAsia"/>
          <w:sz w:val="21"/>
          <w:szCs w:val="21"/>
        </w:rPr>
        <w:t xml:space="preserve">1、基本情况 </w:t>
      </w:r>
    </w:p>
    <w:p w14:paraId="3D22C5A5">
      <w:pPr>
        <w:pStyle w:val="7"/>
        <w:spacing w:before="0" w:beforeAutospacing="0" w:after="0" w:afterAutospacing="0" w:line="360" w:lineRule="auto"/>
        <w:ind w:firstLine="420"/>
        <w:rPr>
          <w:sz w:val="21"/>
          <w:szCs w:val="21"/>
        </w:rPr>
      </w:pPr>
      <w:r>
        <w:rPr>
          <w:rFonts w:hint="eastAsia"/>
          <w:sz w:val="21"/>
          <w:szCs w:val="21"/>
        </w:rPr>
        <w:t xml:space="preserve">名称：招商银行股份有限公司（以下简称“招商银行”） </w:t>
      </w:r>
    </w:p>
    <w:p w14:paraId="46FD75D1">
      <w:pPr>
        <w:pStyle w:val="7"/>
        <w:spacing w:before="0" w:beforeAutospacing="0" w:after="0" w:afterAutospacing="0" w:line="360" w:lineRule="auto"/>
        <w:ind w:firstLine="420"/>
        <w:rPr>
          <w:sz w:val="21"/>
          <w:szCs w:val="21"/>
        </w:rPr>
      </w:pPr>
      <w:r>
        <w:rPr>
          <w:rFonts w:hint="eastAsia"/>
          <w:sz w:val="21"/>
          <w:szCs w:val="21"/>
        </w:rPr>
        <w:t xml:space="preserve">设立日期：1987年4月8日 </w:t>
      </w:r>
    </w:p>
    <w:p w14:paraId="3C8BB33A">
      <w:pPr>
        <w:pStyle w:val="7"/>
        <w:spacing w:before="0" w:beforeAutospacing="0" w:after="0" w:afterAutospacing="0" w:line="360" w:lineRule="auto"/>
        <w:ind w:firstLine="420"/>
        <w:rPr>
          <w:sz w:val="21"/>
          <w:szCs w:val="21"/>
        </w:rPr>
      </w:pPr>
      <w:r>
        <w:rPr>
          <w:rFonts w:hint="eastAsia"/>
          <w:sz w:val="21"/>
          <w:szCs w:val="21"/>
        </w:rPr>
        <w:t xml:space="preserve">注册地址：深圳市深南大道7088号招商银行大厦 </w:t>
      </w:r>
    </w:p>
    <w:p w14:paraId="6F46261A">
      <w:pPr>
        <w:pStyle w:val="7"/>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14:paraId="7112884F">
      <w:pPr>
        <w:pStyle w:val="7"/>
        <w:spacing w:before="0" w:beforeAutospacing="0" w:after="0" w:afterAutospacing="0" w:line="360" w:lineRule="auto"/>
        <w:ind w:firstLine="420"/>
        <w:rPr>
          <w:sz w:val="21"/>
          <w:szCs w:val="21"/>
        </w:rPr>
      </w:pPr>
      <w:r>
        <w:rPr>
          <w:rFonts w:hint="eastAsia"/>
          <w:sz w:val="21"/>
          <w:szCs w:val="21"/>
        </w:rPr>
        <w:t xml:space="preserve">注册资本：252.20亿元 </w:t>
      </w:r>
    </w:p>
    <w:p w14:paraId="39A9D3F3">
      <w:pPr>
        <w:pStyle w:val="7"/>
        <w:spacing w:before="0" w:beforeAutospacing="0" w:after="0" w:afterAutospacing="0" w:line="360" w:lineRule="auto"/>
        <w:ind w:firstLine="420"/>
        <w:rPr>
          <w:sz w:val="21"/>
          <w:szCs w:val="21"/>
        </w:rPr>
      </w:pPr>
      <w:r>
        <w:rPr>
          <w:rFonts w:hint="eastAsia"/>
          <w:sz w:val="21"/>
          <w:szCs w:val="21"/>
        </w:rPr>
        <w:t xml:space="preserve">法定代表人：缪建民 </w:t>
      </w:r>
    </w:p>
    <w:p w14:paraId="262BA3D9">
      <w:pPr>
        <w:pStyle w:val="7"/>
        <w:spacing w:before="0" w:beforeAutospacing="0" w:after="0" w:afterAutospacing="0" w:line="360" w:lineRule="auto"/>
        <w:ind w:firstLine="420"/>
        <w:rPr>
          <w:sz w:val="21"/>
          <w:szCs w:val="21"/>
        </w:rPr>
      </w:pPr>
      <w:r>
        <w:rPr>
          <w:rFonts w:hint="eastAsia"/>
          <w:sz w:val="21"/>
          <w:szCs w:val="21"/>
        </w:rPr>
        <w:t xml:space="preserve">行长：王良 </w:t>
      </w:r>
    </w:p>
    <w:p w14:paraId="2C4FA7EF">
      <w:pPr>
        <w:pStyle w:val="7"/>
        <w:spacing w:before="0" w:beforeAutospacing="0" w:after="0" w:afterAutospacing="0" w:line="360" w:lineRule="auto"/>
        <w:ind w:firstLine="420"/>
        <w:rPr>
          <w:sz w:val="21"/>
          <w:szCs w:val="21"/>
        </w:rPr>
      </w:pPr>
      <w:r>
        <w:rPr>
          <w:rFonts w:hint="eastAsia"/>
          <w:sz w:val="21"/>
          <w:szCs w:val="21"/>
        </w:rPr>
        <w:t xml:space="preserve">资产托管业务批准文号：证监基金字[2002]83号 </w:t>
      </w:r>
    </w:p>
    <w:p w14:paraId="202FEB36">
      <w:pPr>
        <w:pStyle w:val="7"/>
        <w:spacing w:before="0" w:beforeAutospacing="0" w:after="0" w:afterAutospacing="0" w:line="360" w:lineRule="auto"/>
        <w:ind w:firstLine="420"/>
        <w:rPr>
          <w:sz w:val="21"/>
          <w:szCs w:val="21"/>
        </w:rPr>
      </w:pPr>
      <w:r>
        <w:rPr>
          <w:rFonts w:hint="eastAsia"/>
          <w:sz w:val="21"/>
          <w:szCs w:val="21"/>
        </w:rPr>
        <w:t xml:space="preserve">电话：4006195555 </w:t>
      </w:r>
    </w:p>
    <w:p w14:paraId="441349AA">
      <w:pPr>
        <w:pStyle w:val="7"/>
        <w:spacing w:before="0" w:beforeAutospacing="0" w:after="0" w:afterAutospacing="0" w:line="360" w:lineRule="auto"/>
        <w:ind w:firstLine="420"/>
        <w:rPr>
          <w:sz w:val="21"/>
          <w:szCs w:val="21"/>
        </w:rPr>
      </w:pPr>
      <w:r>
        <w:rPr>
          <w:rFonts w:hint="eastAsia"/>
          <w:sz w:val="21"/>
          <w:szCs w:val="21"/>
        </w:rPr>
        <w:t xml:space="preserve">传真：0755-83195201 </w:t>
      </w:r>
    </w:p>
    <w:p w14:paraId="4E6D38D8">
      <w:pPr>
        <w:pStyle w:val="7"/>
        <w:spacing w:before="0" w:beforeAutospacing="0" w:after="0" w:afterAutospacing="0" w:line="360" w:lineRule="auto"/>
        <w:ind w:firstLine="420"/>
        <w:rPr>
          <w:sz w:val="21"/>
          <w:szCs w:val="21"/>
        </w:rPr>
      </w:pPr>
      <w:r>
        <w:rPr>
          <w:rFonts w:hint="eastAsia"/>
          <w:sz w:val="21"/>
          <w:szCs w:val="21"/>
        </w:rPr>
        <w:t xml:space="preserve">资产托管部信息披露负责人：张姗 </w:t>
      </w:r>
    </w:p>
    <w:p w14:paraId="70910512">
      <w:pPr>
        <w:pStyle w:val="7"/>
        <w:spacing w:before="0" w:beforeAutospacing="0" w:after="0" w:afterAutospacing="0" w:line="360" w:lineRule="auto"/>
        <w:ind w:firstLine="420"/>
        <w:rPr>
          <w:sz w:val="21"/>
          <w:szCs w:val="21"/>
        </w:rPr>
      </w:pPr>
      <w:r>
        <w:rPr>
          <w:rFonts w:hint="eastAsia"/>
          <w:sz w:val="21"/>
          <w:szCs w:val="21"/>
        </w:rPr>
        <w:t xml:space="preserve">2、发展概况   </w:t>
      </w:r>
    </w:p>
    <w:p w14:paraId="01802522">
      <w:pPr>
        <w:pStyle w:val="7"/>
        <w:spacing w:before="0" w:beforeAutospacing="0" w:after="0" w:afterAutospacing="0" w:line="360" w:lineRule="auto"/>
        <w:ind w:firstLine="420"/>
        <w:rPr>
          <w:sz w:val="21"/>
          <w:szCs w:val="21"/>
        </w:rPr>
      </w:pPr>
      <w:r>
        <w:rPr>
          <w:rFonts w:hint="eastAsia"/>
          <w:sz w:val="21"/>
          <w:szCs w:val="21"/>
        </w:rPr>
        <w:t xml:space="preserve">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 </w:t>
      </w:r>
    </w:p>
    <w:p w14:paraId="0F05BD11">
      <w:pPr>
        <w:pStyle w:val="7"/>
        <w:spacing w:before="0" w:beforeAutospacing="0" w:after="0" w:afterAutospacing="0" w:line="360" w:lineRule="auto"/>
        <w:ind w:firstLine="420"/>
        <w:rPr>
          <w:sz w:val="21"/>
          <w:szCs w:val="21"/>
        </w:rPr>
      </w:pPr>
      <w:r>
        <w:rPr>
          <w:rFonts w:hint="eastAsia"/>
          <w:sz w:val="21"/>
          <w:szCs w:val="21"/>
        </w:rPr>
        <w:t xml:space="preserve">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 </w:t>
      </w:r>
    </w:p>
    <w:p w14:paraId="29D556EB">
      <w:pPr>
        <w:pStyle w:val="7"/>
        <w:spacing w:before="0" w:beforeAutospacing="0" w:after="0" w:afterAutospacing="0" w:line="360" w:lineRule="auto"/>
        <w:ind w:firstLine="420"/>
        <w:rPr>
          <w:sz w:val="21"/>
          <w:szCs w:val="21"/>
        </w:rPr>
      </w:pPr>
      <w:r>
        <w:rPr>
          <w:rFonts w:hint="eastAsia"/>
          <w:sz w:val="21"/>
          <w:szCs w:val="21"/>
        </w:rPr>
        <w:t xml:space="preserve">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 </w:t>
      </w:r>
    </w:p>
    <w:p w14:paraId="2F159115">
      <w:pPr>
        <w:pStyle w:val="7"/>
        <w:spacing w:before="0" w:beforeAutospacing="0" w:after="0" w:afterAutospacing="0" w:line="360" w:lineRule="auto"/>
        <w:ind w:firstLine="420"/>
        <w:rPr>
          <w:sz w:val="21"/>
          <w:szCs w:val="21"/>
        </w:rPr>
      </w:pPr>
      <w:r>
        <w:rPr>
          <w:rFonts w:hint="eastAsia"/>
          <w:sz w:val="21"/>
          <w:szCs w:val="21"/>
        </w:rPr>
        <w:t xml:space="preserve">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 </w:t>
      </w:r>
    </w:p>
    <w:p w14:paraId="65139BA5">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0FD3DA24">
      <w:pPr>
        <w:pStyle w:val="7"/>
        <w:spacing w:before="0" w:beforeAutospacing="0" w:after="0" w:afterAutospacing="0" w:line="360" w:lineRule="auto"/>
        <w:ind w:firstLine="420"/>
        <w:rPr>
          <w:sz w:val="21"/>
          <w:szCs w:val="21"/>
        </w:rPr>
      </w:pPr>
      <w:r>
        <w:rPr>
          <w:rFonts w:hint="eastAsia"/>
          <w:sz w:val="21"/>
          <w:szCs w:val="21"/>
        </w:rPr>
        <w:t xml:space="preserve">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 </w:t>
      </w:r>
    </w:p>
    <w:p w14:paraId="27910B31">
      <w:pPr>
        <w:pStyle w:val="7"/>
        <w:spacing w:before="0" w:beforeAutospacing="0" w:after="0" w:afterAutospacing="0" w:line="360" w:lineRule="auto"/>
        <w:ind w:firstLine="420"/>
        <w:rPr>
          <w:sz w:val="21"/>
          <w:szCs w:val="21"/>
        </w:rPr>
      </w:pPr>
      <w:r>
        <w:rPr>
          <w:rFonts w:hint="eastAsia"/>
          <w:sz w:val="21"/>
          <w:szCs w:val="21"/>
        </w:rPr>
        <w:t xml:space="preserve">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 </w:t>
      </w:r>
    </w:p>
    <w:p w14:paraId="73D95571">
      <w:pPr>
        <w:pStyle w:val="7"/>
        <w:spacing w:before="0" w:beforeAutospacing="0" w:after="0" w:afterAutospacing="0" w:line="360" w:lineRule="auto"/>
        <w:ind w:firstLine="420"/>
        <w:rPr>
          <w:sz w:val="21"/>
          <w:szCs w:val="21"/>
        </w:rPr>
      </w:pPr>
      <w:r>
        <w:rPr>
          <w:rFonts w:hint="eastAsia"/>
          <w:sz w:val="21"/>
          <w:szCs w:val="21"/>
        </w:rPr>
        <w:t xml:space="preserve">王颖女士，招商银行副行长，南京大学政治经济学专业硕士，经济师。王颖女士1997年1月加入本行，历任本行北京分行行长助理、副行长，天津分行行长，深圳分行行长，本行行长助理。2023年11月起任本行副行长。 </w:t>
      </w:r>
    </w:p>
    <w:p w14:paraId="37244465">
      <w:pPr>
        <w:pStyle w:val="7"/>
        <w:spacing w:before="0" w:beforeAutospacing="0" w:after="0" w:afterAutospacing="0" w:line="360" w:lineRule="auto"/>
        <w:ind w:firstLine="420"/>
        <w:rPr>
          <w:sz w:val="21"/>
          <w:szCs w:val="21"/>
        </w:rPr>
      </w:pPr>
      <w:r>
        <w:rPr>
          <w:rFonts w:hint="eastAsia"/>
          <w:sz w:val="21"/>
          <w:szCs w:val="21"/>
        </w:rPr>
        <w:t xml:space="preserve">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验，在风险管理、信贷管理、公司金融、资产托管等领域有深入的研究和丰富的实务经验。 </w:t>
      </w:r>
    </w:p>
    <w:p w14:paraId="611AF46F">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16B2FCC5">
      <w:pPr>
        <w:pStyle w:val="7"/>
        <w:spacing w:before="0" w:beforeAutospacing="0" w:after="0" w:afterAutospacing="0" w:line="360" w:lineRule="auto"/>
        <w:ind w:firstLine="420"/>
        <w:rPr>
          <w:sz w:val="21"/>
          <w:szCs w:val="21"/>
        </w:rPr>
      </w:pPr>
      <w:bookmarkStart w:id="47" w:name="chapter_level1_6_55_section_1_end"/>
      <w:bookmarkEnd w:id="47"/>
      <w:r>
        <w:rPr>
          <w:rFonts w:hint="eastAsia"/>
          <w:sz w:val="21"/>
          <w:szCs w:val="21"/>
        </w:rPr>
        <w:t xml:space="preserve">截至2025年6月30日，招商银行股份有限公司累计托管1641只证券投资基金。 </w:t>
      </w:r>
      <w:bookmarkStart w:id="48" w:name="field_0_trustcompanyinfo_1_end"/>
      <w:bookmarkEnd w:id="48"/>
      <w:r>
        <w:rPr>
          <w:rFonts w:hint="eastAsia"/>
          <w:sz w:val="21"/>
          <w:szCs w:val="21"/>
        </w:rPr>
        <w:t xml:space="preserve">  </w:t>
      </w:r>
    </w:p>
    <w:p w14:paraId="20AA9BC6">
      <w:pPr>
        <w:pStyle w:val="7"/>
        <w:spacing w:before="0" w:beforeAutospacing="0" w:after="0" w:afterAutospacing="0" w:line="360" w:lineRule="auto"/>
        <w:ind w:firstLine="420"/>
        <w:rPr>
          <w:sz w:val="21"/>
          <w:szCs w:val="21"/>
        </w:rPr>
      </w:pPr>
      <w:bookmarkStart w:id="49" w:name="field_0_trustcontrollawinfo_1_start"/>
      <w:bookmarkEnd w:id="49"/>
      <w:bookmarkStart w:id="50" w:name="chapter_level1_6_55_section_2"/>
      <w:bookmarkEnd w:id="50"/>
      <w:r>
        <w:rPr>
          <w:rFonts w:hint="eastAsia"/>
          <w:sz w:val="21"/>
          <w:szCs w:val="21"/>
        </w:rPr>
        <w:t xml:space="preserve">(四) 托管人的内部控制制度 </w:t>
      </w:r>
    </w:p>
    <w:p w14:paraId="214117D9">
      <w:pPr>
        <w:pStyle w:val="7"/>
        <w:spacing w:before="0" w:beforeAutospacing="0" w:after="0" w:afterAutospacing="0" w:line="360" w:lineRule="auto"/>
        <w:ind w:firstLine="420"/>
        <w:rPr>
          <w:sz w:val="21"/>
          <w:szCs w:val="21"/>
        </w:rPr>
      </w:pPr>
      <w:r>
        <w:rPr>
          <w:rFonts w:hint="eastAsia"/>
          <w:sz w:val="21"/>
          <w:szCs w:val="21"/>
        </w:rPr>
        <w:t xml:space="preserve">1、 内部控制目标 </w:t>
      </w:r>
    </w:p>
    <w:p w14:paraId="55AEF756">
      <w:pPr>
        <w:pStyle w:val="7"/>
        <w:spacing w:before="0" w:beforeAutospacing="0" w:after="0" w:afterAutospacing="0" w:line="360" w:lineRule="auto"/>
        <w:ind w:firstLine="420"/>
        <w:rPr>
          <w:sz w:val="21"/>
          <w:szCs w:val="21"/>
        </w:rPr>
      </w:pPr>
      <w:r>
        <w:rPr>
          <w:rFonts w:hint="eastAsia"/>
          <w:sz w:val="21"/>
          <w:szCs w:val="21"/>
        </w:rPr>
        <w:t xml:space="preserve">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 </w:t>
      </w:r>
    </w:p>
    <w:p w14:paraId="4B5A014F">
      <w:pPr>
        <w:pStyle w:val="7"/>
        <w:spacing w:before="0" w:beforeAutospacing="0" w:after="0" w:afterAutospacing="0" w:line="360" w:lineRule="auto"/>
        <w:ind w:firstLine="420"/>
        <w:rPr>
          <w:sz w:val="21"/>
          <w:szCs w:val="21"/>
        </w:rPr>
      </w:pPr>
      <w:r>
        <w:rPr>
          <w:rFonts w:hint="eastAsia"/>
          <w:sz w:val="21"/>
          <w:szCs w:val="21"/>
        </w:rPr>
        <w:t xml:space="preserve">2、 内部控制组织结构 </w:t>
      </w:r>
    </w:p>
    <w:p w14:paraId="20212ABA">
      <w:pPr>
        <w:pStyle w:val="7"/>
        <w:spacing w:before="0" w:beforeAutospacing="0" w:after="0" w:afterAutospacing="0" w:line="360" w:lineRule="auto"/>
        <w:ind w:firstLine="420"/>
        <w:rPr>
          <w:sz w:val="21"/>
          <w:szCs w:val="21"/>
        </w:rPr>
      </w:pPr>
      <w:r>
        <w:rPr>
          <w:rFonts w:hint="eastAsia"/>
          <w:sz w:val="21"/>
          <w:szCs w:val="21"/>
        </w:rPr>
        <w:t xml:space="preserve">招商银行资产托管业务建立三级内部控制及风险防范体系： </w:t>
      </w:r>
    </w:p>
    <w:p w14:paraId="756D4C52">
      <w:pPr>
        <w:pStyle w:val="7"/>
        <w:spacing w:before="0" w:beforeAutospacing="0" w:after="0" w:afterAutospacing="0" w:line="360" w:lineRule="auto"/>
        <w:ind w:firstLine="420"/>
        <w:rPr>
          <w:sz w:val="21"/>
          <w:szCs w:val="21"/>
        </w:rPr>
      </w:pPr>
      <w:r>
        <w:rPr>
          <w:rFonts w:hint="eastAsia"/>
          <w:sz w:val="21"/>
          <w:szCs w:val="21"/>
        </w:rPr>
        <w:t xml:space="preserve">一级内部控制及风险防范是在招商银行总行风险管控层面对风险进行预防和控制；总行风险管理部、法律合规部、审计部独立对资产托管业务进行评估监督，并提出内控提升管理建议。 </w:t>
      </w:r>
    </w:p>
    <w:p w14:paraId="4113F1A0">
      <w:pPr>
        <w:pStyle w:val="7"/>
        <w:spacing w:before="0" w:beforeAutospacing="0" w:after="0" w:afterAutospacing="0" w:line="360" w:lineRule="auto"/>
        <w:ind w:firstLine="420"/>
        <w:rPr>
          <w:sz w:val="21"/>
          <w:szCs w:val="21"/>
        </w:rPr>
      </w:pPr>
      <w:r>
        <w:rPr>
          <w:rFonts w:hint="eastAsia"/>
          <w:sz w:val="21"/>
          <w:szCs w:val="21"/>
        </w:rPr>
        <w:t xml:space="preserve">二级内部控制及风险防范是招商银行资产托管部设立风险合规管理相关团队，负责部门内部风险预防和控制，及时发现内部控制缺陷，提出整改方案，跟踪整改情况，并直接向部门总经理室报告。 </w:t>
      </w:r>
    </w:p>
    <w:p w14:paraId="733298FE">
      <w:pPr>
        <w:pStyle w:val="7"/>
        <w:spacing w:before="0" w:beforeAutospacing="0" w:after="0" w:afterAutospacing="0" w:line="360" w:lineRule="auto"/>
        <w:ind w:firstLine="420"/>
        <w:rPr>
          <w:sz w:val="21"/>
          <w:szCs w:val="21"/>
        </w:rPr>
      </w:pPr>
      <w:r>
        <w:rPr>
          <w:rFonts w:hint="eastAsia"/>
          <w:sz w:val="21"/>
          <w:szCs w:val="21"/>
        </w:rPr>
        <w:t xml:space="preserve">三级内部控制及风险防范是招商银行资产托管部在设置专业岗位时，遵循内控制衡原则，视业务的风险程度制定相应监督制衡机制。 </w:t>
      </w:r>
    </w:p>
    <w:p w14:paraId="7FE3EC7B">
      <w:pPr>
        <w:pStyle w:val="7"/>
        <w:spacing w:before="0" w:beforeAutospacing="0" w:after="0" w:afterAutospacing="0" w:line="360" w:lineRule="auto"/>
        <w:ind w:firstLine="420"/>
        <w:rPr>
          <w:sz w:val="21"/>
          <w:szCs w:val="21"/>
        </w:rPr>
      </w:pPr>
      <w:r>
        <w:rPr>
          <w:rFonts w:hint="eastAsia"/>
          <w:sz w:val="21"/>
          <w:szCs w:val="21"/>
        </w:rPr>
        <w:t xml:space="preserve">3、 内部控制原则 </w:t>
      </w:r>
    </w:p>
    <w:p w14:paraId="7FFBA9C3">
      <w:pPr>
        <w:pStyle w:val="7"/>
        <w:spacing w:before="0" w:beforeAutospacing="0" w:after="0" w:afterAutospacing="0" w:line="360" w:lineRule="auto"/>
        <w:ind w:firstLine="420"/>
        <w:rPr>
          <w:sz w:val="21"/>
          <w:szCs w:val="21"/>
        </w:rPr>
      </w:pPr>
      <w:r>
        <w:rPr>
          <w:rFonts w:hint="eastAsia"/>
          <w:sz w:val="21"/>
          <w:szCs w:val="21"/>
        </w:rPr>
        <w:t xml:space="preserve">（1）全面性原则。内部控制覆盖各项业务过程和操作环节、覆盖所有团队和岗位，并由全部人员参与。 </w:t>
      </w:r>
    </w:p>
    <w:p w14:paraId="234C0704">
      <w:pPr>
        <w:pStyle w:val="7"/>
        <w:spacing w:before="0" w:beforeAutospacing="0" w:after="0" w:afterAutospacing="0" w:line="360" w:lineRule="auto"/>
        <w:ind w:firstLine="420"/>
        <w:rPr>
          <w:sz w:val="21"/>
          <w:szCs w:val="21"/>
        </w:rPr>
      </w:pPr>
      <w:r>
        <w:rPr>
          <w:rFonts w:hint="eastAsia"/>
          <w:sz w:val="21"/>
          <w:szCs w:val="21"/>
        </w:rPr>
        <w:t xml:space="preserve">（2）审慎性原则。托管组织体系的构成、内部管理制度的建立均以防范风险、审慎经营为出发点，体现“内控优先”的要求。 </w:t>
      </w:r>
    </w:p>
    <w:p w14:paraId="7A36FB3B">
      <w:pPr>
        <w:pStyle w:val="7"/>
        <w:spacing w:before="0" w:beforeAutospacing="0" w:after="0" w:afterAutospacing="0" w:line="360" w:lineRule="auto"/>
        <w:ind w:firstLine="420"/>
        <w:rPr>
          <w:sz w:val="21"/>
          <w:szCs w:val="21"/>
        </w:rPr>
      </w:pPr>
      <w:r>
        <w:rPr>
          <w:rFonts w:hint="eastAsia"/>
          <w:sz w:val="21"/>
          <w:szCs w:val="21"/>
        </w:rPr>
        <w:t xml:space="preserve">（3）独立性原则。招商银行资产托管部各团队、各岗位职责保持相对独立，不同托管资产之间、托管资产和自有资产之间相互分离。内部控制的检查、评价部门独立于内部控制的建立和执行部门。 </w:t>
      </w:r>
    </w:p>
    <w:p w14:paraId="1C78031D">
      <w:pPr>
        <w:pStyle w:val="7"/>
        <w:spacing w:before="0" w:beforeAutospacing="0" w:after="0" w:afterAutospacing="0" w:line="360" w:lineRule="auto"/>
        <w:ind w:firstLine="420"/>
        <w:rPr>
          <w:sz w:val="21"/>
          <w:szCs w:val="21"/>
        </w:rPr>
      </w:pPr>
      <w:r>
        <w:rPr>
          <w:rFonts w:hint="eastAsia"/>
          <w:sz w:val="21"/>
          <w:szCs w:val="21"/>
        </w:rPr>
        <w:t xml:space="preserve">（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 </w:t>
      </w:r>
    </w:p>
    <w:p w14:paraId="3B86B74E">
      <w:pPr>
        <w:pStyle w:val="7"/>
        <w:spacing w:before="0" w:beforeAutospacing="0" w:after="0" w:afterAutospacing="0" w:line="360" w:lineRule="auto"/>
        <w:ind w:firstLine="420"/>
        <w:rPr>
          <w:sz w:val="21"/>
          <w:szCs w:val="21"/>
        </w:rPr>
      </w:pPr>
      <w:r>
        <w:rPr>
          <w:rFonts w:hint="eastAsia"/>
          <w:sz w:val="21"/>
          <w:szCs w:val="21"/>
        </w:rPr>
        <w:t xml:space="preserve">（5）适应性原则。内部控制适应招商银行托管业务风险管理的需要，并能够随着托管业务经营战略、经营方针、经营理念等内部环境的变化和国家法律、法规、政策制度等外部环境的改变及时进行修订和完善。 </w:t>
      </w:r>
    </w:p>
    <w:p w14:paraId="3BE48E6A">
      <w:pPr>
        <w:pStyle w:val="7"/>
        <w:spacing w:before="0" w:beforeAutospacing="0" w:after="0" w:afterAutospacing="0" w:line="360" w:lineRule="auto"/>
        <w:ind w:firstLine="420"/>
        <w:rPr>
          <w:sz w:val="21"/>
          <w:szCs w:val="21"/>
        </w:rPr>
      </w:pPr>
      <w:r>
        <w:rPr>
          <w:rFonts w:hint="eastAsia"/>
          <w:sz w:val="21"/>
          <w:szCs w:val="21"/>
        </w:rPr>
        <w:t xml:space="preserve">（6）防火墙原则。招商银行资产托管部办公场地与我行其他业务场地隔离，办公网和业务网物理分离，部门业务网和全行业务网防火墙策略分离，以达到风险防范的目的。 </w:t>
      </w:r>
    </w:p>
    <w:p w14:paraId="5B3B329D">
      <w:pPr>
        <w:pStyle w:val="7"/>
        <w:spacing w:before="0" w:beforeAutospacing="0" w:after="0" w:afterAutospacing="0" w:line="360" w:lineRule="auto"/>
        <w:ind w:firstLine="420"/>
        <w:rPr>
          <w:sz w:val="21"/>
          <w:szCs w:val="21"/>
        </w:rPr>
      </w:pPr>
      <w:r>
        <w:rPr>
          <w:rFonts w:hint="eastAsia"/>
          <w:sz w:val="21"/>
          <w:szCs w:val="21"/>
        </w:rPr>
        <w:t xml:space="preserve">（7）重要性原则。内部控制在实现全面控制的基础上，关注重要托管业务重要事项和高风险环节。 </w:t>
      </w:r>
    </w:p>
    <w:p w14:paraId="1D1F65CC">
      <w:pPr>
        <w:pStyle w:val="7"/>
        <w:spacing w:before="0" w:beforeAutospacing="0" w:after="0" w:afterAutospacing="0" w:line="360" w:lineRule="auto"/>
        <w:ind w:firstLine="420"/>
        <w:rPr>
          <w:sz w:val="21"/>
          <w:szCs w:val="21"/>
        </w:rPr>
      </w:pPr>
      <w:r>
        <w:rPr>
          <w:rFonts w:hint="eastAsia"/>
          <w:sz w:val="21"/>
          <w:szCs w:val="21"/>
        </w:rPr>
        <w:t xml:space="preserve">（8）制衡性原则。内部控制能够实现在托管组织体系、机构设置、权责分配及业务流程等方面相互制约、相互监督，同时兼顾运营效率。 </w:t>
      </w:r>
    </w:p>
    <w:p w14:paraId="5F8CE422">
      <w:pPr>
        <w:pStyle w:val="7"/>
        <w:spacing w:before="0" w:beforeAutospacing="0" w:after="0" w:afterAutospacing="0" w:line="360" w:lineRule="auto"/>
        <w:ind w:firstLine="420"/>
        <w:rPr>
          <w:sz w:val="21"/>
          <w:szCs w:val="21"/>
        </w:rPr>
      </w:pPr>
      <w:r>
        <w:rPr>
          <w:rFonts w:hint="eastAsia"/>
          <w:sz w:val="21"/>
          <w:szCs w:val="21"/>
        </w:rPr>
        <w:t xml:space="preserve">4、 内部控制措施 </w:t>
      </w:r>
    </w:p>
    <w:p w14:paraId="52A84A19">
      <w:pPr>
        <w:pStyle w:val="7"/>
        <w:spacing w:before="0" w:beforeAutospacing="0" w:after="0" w:afterAutospacing="0" w:line="360" w:lineRule="auto"/>
        <w:ind w:firstLine="420"/>
        <w:rPr>
          <w:sz w:val="21"/>
          <w:szCs w:val="21"/>
        </w:rPr>
      </w:pPr>
      <w:r>
        <w:rPr>
          <w:rFonts w:hint="eastAsia"/>
          <w:sz w:val="21"/>
          <w:szCs w:val="21"/>
        </w:rPr>
        <w:t xml:space="preserve">（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 </w:t>
      </w:r>
    </w:p>
    <w:p w14:paraId="4374D054">
      <w:pPr>
        <w:pStyle w:val="7"/>
        <w:spacing w:before="0" w:beforeAutospacing="0" w:after="0" w:afterAutospacing="0" w:line="360" w:lineRule="auto"/>
        <w:ind w:firstLine="420"/>
        <w:rPr>
          <w:sz w:val="21"/>
          <w:szCs w:val="21"/>
        </w:rPr>
      </w:pPr>
      <w:r>
        <w:rPr>
          <w:rFonts w:hint="eastAsia"/>
          <w:sz w:val="21"/>
          <w:szCs w:val="21"/>
        </w:rPr>
        <w:t xml:space="preserve">（2）业务信息风险控制。招商银行资产托管部在数据传输和保存方面有严格的加密和备份措施，采用加密、直连方式传输数据，数据执行异地实时备份，所有的业务信息须经过严格的授权方能进行访问。 </w:t>
      </w:r>
    </w:p>
    <w:p w14:paraId="59B3E56C">
      <w:pPr>
        <w:pStyle w:val="7"/>
        <w:spacing w:before="0" w:beforeAutospacing="0" w:after="0" w:afterAutospacing="0" w:line="360" w:lineRule="auto"/>
        <w:ind w:firstLine="420"/>
        <w:rPr>
          <w:sz w:val="21"/>
          <w:szCs w:val="21"/>
        </w:rPr>
      </w:pPr>
      <w:r>
        <w:rPr>
          <w:rFonts w:hint="eastAsia"/>
          <w:sz w:val="21"/>
          <w:szCs w:val="21"/>
        </w:rPr>
        <w:t xml:space="preserve">（3）客户资料风险控制。招商银行资产托管部对业务办理过程中获取的客户资料严格保密，除法律法规和其他有关规定、监管机构及审计要求外，不向任何机构、部门或个人泄露。 </w:t>
      </w:r>
    </w:p>
    <w:p w14:paraId="71149DB1">
      <w:pPr>
        <w:pStyle w:val="7"/>
        <w:spacing w:before="0" w:beforeAutospacing="0" w:after="0" w:afterAutospacing="0" w:line="360" w:lineRule="auto"/>
        <w:ind w:firstLine="420"/>
        <w:rPr>
          <w:sz w:val="21"/>
          <w:szCs w:val="21"/>
        </w:rPr>
      </w:pPr>
      <w:r>
        <w:rPr>
          <w:rFonts w:hint="eastAsia"/>
          <w:sz w:val="21"/>
          <w:szCs w:val="21"/>
        </w:rPr>
        <w:t xml:space="preserve">（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 </w:t>
      </w:r>
    </w:p>
    <w:p w14:paraId="7028F836">
      <w:pPr>
        <w:pStyle w:val="7"/>
        <w:spacing w:before="0" w:beforeAutospacing="0" w:after="0" w:afterAutospacing="0" w:line="360" w:lineRule="auto"/>
        <w:ind w:firstLine="420"/>
        <w:rPr>
          <w:sz w:val="21"/>
          <w:szCs w:val="21"/>
        </w:rPr>
      </w:pPr>
      <w:r>
        <w:rPr>
          <w:rFonts w:hint="eastAsia"/>
          <w:sz w:val="21"/>
          <w:szCs w:val="21"/>
        </w:rPr>
        <w:t xml:space="preserve">（5）人力资源控制。招商银行资产托管部通过建立良好的企业文化和员工培训、激励机制、加强人力资源管理及建立人才梯级队伍及人才储备机制，有效地进行人力资源管理。 </w:t>
      </w:r>
    </w:p>
    <w:p w14:paraId="2FF1E050">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09013DA3">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等有关法律法规的规定及基金合同、托管协议的约定，对基金投资范围、投资比例、投资组合等情况的合法性、合规性进行监督和核查。 </w:t>
      </w:r>
    </w:p>
    <w:p w14:paraId="0C8D981E">
      <w:pPr>
        <w:pStyle w:val="7"/>
        <w:spacing w:before="0" w:beforeAutospacing="0" w:after="0" w:afterAutospacing="0" w:line="360" w:lineRule="auto"/>
        <w:ind w:firstLine="420"/>
        <w:rPr>
          <w:sz w:val="21"/>
          <w:szCs w:val="21"/>
        </w:rPr>
      </w:pPr>
      <w:r>
        <w:rPr>
          <w:rFonts w:hint="eastAsia"/>
          <w:sz w:val="21"/>
          <w:szCs w:val="21"/>
        </w:rPr>
        <w:t xml:space="preserve">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 </w:t>
      </w:r>
    </w:p>
    <w:p w14:paraId="31130C04">
      <w:pPr>
        <w:pStyle w:val="7"/>
        <w:spacing w:before="0" w:beforeAutospacing="0" w:after="0" w:afterAutospacing="0" w:line="360" w:lineRule="auto"/>
        <w:ind w:firstLine="420"/>
        <w:rPr>
          <w:sz w:val="21"/>
          <w:szCs w:val="21"/>
        </w:rPr>
      </w:pPr>
      <w:r>
        <w:rPr>
          <w:rFonts w:hint="eastAsia"/>
          <w:sz w:val="21"/>
          <w:szCs w:val="21"/>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w:t>
      </w:r>
      <w:bookmarkStart w:id="51" w:name="chapter_level1_6_55_section_2_end"/>
      <w:bookmarkEnd w:id="51"/>
      <w:r>
        <w:rPr>
          <w:rFonts w:hint="eastAsia"/>
          <w:sz w:val="21"/>
          <w:szCs w:val="21"/>
        </w:rPr>
        <w:t xml:space="preserve">限期内纠正的，基金托管人应报告中国证监会。 </w:t>
      </w:r>
      <w:bookmarkStart w:id="52" w:name="field_0_trustcontrollawinfo_1_end"/>
      <w:bookmarkEnd w:id="52"/>
      <w:r>
        <w:rPr>
          <w:rFonts w:hint="eastAsia"/>
          <w:sz w:val="21"/>
          <w:szCs w:val="21"/>
        </w:rPr>
        <w:t xml:space="preserve">  </w:t>
      </w:r>
    </w:p>
    <w:p w14:paraId="162F2018">
      <w:pPr>
        <w:widowControl/>
        <w:jc w:val="left"/>
        <w:rPr>
          <w:rFonts w:ascii="宋体" w:hAnsi="宋体" w:eastAsia="宋体"/>
        </w:rPr>
      </w:pPr>
      <w:r>
        <w:rPr>
          <w:rFonts w:ascii="宋体" w:hAnsi="宋体" w:eastAsia="宋体"/>
        </w:rPr>
        <w:br w:type="page"/>
      </w:r>
    </w:p>
    <w:p w14:paraId="3B973455">
      <w:pPr>
        <w:pStyle w:val="2"/>
        <w:jc w:val="center"/>
        <w:rPr>
          <w:rFonts w:ascii="宋体" w:hAnsi="宋体" w:eastAsia="宋体"/>
          <w:sz w:val="30"/>
        </w:rPr>
      </w:pPr>
      <w:bookmarkStart w:id="53" w:name="_Toc207986785"/>
      <w:bookmarkStart w:id="54" w:name="chapter_level1_7_56"/>
      <w:r>
        <w:rPr>
          <w:rFonts w:hint="eastAsia" w:ascii="宋体" w:hAnsi="宋体" w:eastAsia="宋体"/>
          <w:sz w:val="30"/>
        </w:rPr>
        <w:t>第五部分  相关服务机构</w:t>
      </w:r>
      <w:bookmarkEnd w:id="53"/>
      <w:bookmarkEnd w:id="54"/>
    </w:p>
    <w:p w14:paraId="6D439763">
      <w:pPr>
        <w:pStyle w:val="7"/>
        <w:spacing w:before="0" w:beforeAutospacing="0" w:after="0" w:afterAutospacing="0" w:line="360" w:lineRule="auto"/>
        <w:ind w:firstLine="420"/>
        <w:rPr>
          <w:sz w:val="21"/>
          <w:szCs w:val="21"/>
        </w:rPr>
      </w:pPr>
      <w:bookmarkStart w:id="55" w:name="chapter_level1_7_56_section_1"/>
      <w:bookmarkEnd w:id="55"/>
      <w:bookmarkStart w:id="56" w:name="chapter_level1_7_56_section_1_end"/>
      <w:bookmarkEnd w:id="56"/>
      <w:r>
        <w:rPr>
          <w:rStyle w:val="11"/>
          <w:rFonts w:hint="eastAsia"/>
          <w:sz w:val="21"/>
          <w:szCs w:val="21"/>
        </w:rPr>
        <w:t>一、基金份额销售机构</w:t>
      </w:r>
    </w:p>
    <w:p w14:paraId="05FFD0FF">
      <w:pPr>
        <w:pStyle w:val="7"/>
        <w:spacing w:before="0" w:beforeAutospacing="0" w:after="0" w:afterAutospacing="0" w:line="360" w:lineRule="auto"/>
        <w:ind w:firstLine="420"/>
        <w:rPr>
          <w:sz w:val="21"/>
          <w:szCs w:val="21"/>
        </w:rPr>
      </w:pPr>
      <w:bookmarkStart w:id="57" w:name="chapter_level1_7_56_section_2"/>
      <w:bookmarkEnd w:id="57"/>
      <w:r>
        <w:rPr>
          <w:rFonts w:hint="eastAsia"/>
          <w:sz w:val="21"/>
          <w:szCs w:val="21"/>
        </w:rPr>
        <w:t xml:space="preserve">1．申购赎回代理券商（简称“一级交易商”） </w:t>
      </w:r>
    </w:p>
    <w:p w14:paraId="1243156C">
      <w:pPr>
        <w:pStyle w:val="7"/>
        <w:spacing w:before="0" w:beforeAutospacing="0" w:after="0" w:afterAutospacing="0" w:line="360" w:lineRule="auto"/>
        <w:ind w:firstLine="420"/>
        <w:rPr>
          <w:sz w:val="21"/>
          <w:szCs w:val="21"/>
        </w:rPr>
      </w:pPr>
      <w:bookmarkStart w:id="58" w:name="field_0_allproxysaletables_1_start"/>
      <w:bookmarkEnd w:id="58"/>
      <w:r>
        <w:rPr>
          <w:rFonts w:hint="eastAsia"/>
          <w:b/>
          <w:bCs/>
          <w:sz w:val="21"/>
          <w:szCs w:val="21"/>
        </w:rPr>
        <w:t>(1)国泰海通证券股份有限公司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1A1F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9CD46">
            <w:pPr>
              <w:pStyle w:val="7"/>
            </w:pPr>
            <w:r>
              <w:rPr>
                <w:rFonts w:hint="eastAsia"/>
              </w:rPr>
              <w:t xml:space="preserve">注册地址： </w:t>
            </w:r>
          </w:p>
        </w:tc>
        <w:tc>
          <w:tcPr>
            <w:tcW w:w="7440" w:type="dxa"/>
            <w:shd w:val="clear" w:color="auto" w:fill="auto"/>
          </w:tcPr>
          <w:p w14:paraId="32080E74">
            <w:pPr>
              <w:pStyle w:val="7"/>
            </w:pPr>
            <w:r>
              <w:rPr>
                <w:rFonts w:hint="eastAsia"/>
              </w:rPr>
              <w:t xml:space="preserve">中国（上海）自由贸易试验区商城路618号  </w:t>
            </w:r>
          </w:p>
        </w:tc>
      </w:tr>
      <w:tr w14:paraId="2DD6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FECE0">
            <w:pPr>
              <w:pStyle w:val="7"/>
            </w:pPr>
            <w:r>
              <w:rPr>
                <w:rFonts w:hint="eastAsia"/>
              </w:rPr>
              <w:t xml:space="preserve">办公地址： </w:t>
            </w:r>
          </w:p>
        </w:tc>
        <w:tc>
          <w:tcPr>
            <w:tcW w:w="7440" w:type="dxa"/>
            <w:shd w:val="clear" w:color="auto" w:fill="auto"/>
          </w:tcPr>
          <w:p w14:paraId="59110D28">
            <w:pPr>
              <w:pStyle w:val="7"/>
            </w:pPr>
            <w:r>
              <w:rPr>
                <w:rFonts w:hint="eastAsia"/>
              </w:rPr>
              <w:t xml:space="preserve">上海市静安区南京西路768号国泰君安大厦 </w:t>
            </w:r>
          </w:p>
        </w:tc>
      </w:tr>
      <w:tr w14:paraId="67564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33F32">
            <w:pPr>
              <w:pStyle w:val="7"/>
            </w:pPr>
            <w:r>
              <w:rPr>
                <w:rFonts w:hint="eastAsia"/>
              </w:rPr>
              <w:t xml:space="preserve">法定代表人： </w:t>
            </w:r>
          </w:p>
        </w:tc>
        <w:tc>
          <w:tcPr>
            <w:tcW w:w="7440" w:type="dxa"/>
            <w:shd w:val="clear" w:color="auto" w:fill="auto"/>
          </w:tcPr>
          <w:p w14:paraId="05314409">
            <w:pPr>
              <w:pStyle w:val="7"/>
            </w:pPr>
            <w:r>
              <w:rPr>
                <w:rFonts w:hint="eastAsia"/>
              </w:rPr>
              <w:t xml:space="preserve">朱健 </w:t>
            </w:r>
          </w:p>
        </w:tc>
      </w:tr>
      <w:tr w14:paraId="1F17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B4753">
            <w:pPr>
              <w:pStyle w:val="7"/>
            </w:pPr>
            <w:r>
              <w:rPr>
                <w:rFonts w:hint="eastAsia"/>
              </w:rPr>
              <w:t xml:space="preserve">联系人： </w:t>
            </w:r>
          </w:p>
        </w:tc>
        <w:tc>
          <w:tcPr>
            <w:tcW w:w="7440" w:type="dxa"/>
            <w:shd w:val="clear" w:color="auto" w:fill="auto"/>
          </w:tcPr>
          <w:p w14:paraId="30ECFEA2">
            <w:pPr>
              <w:pStyle w:val="7"/>
            </w:pPr>
            <w:r>
              <w:rPr>
                <w:rFonts w:hint="eastAsia"/>
              </w:rPr>
              <w:t xml:space="preserve">钟伟镇  </w:t>
            </w:r>
          </w:p>
        </w:tc>
      </w:tr>
      <w:tr w14:paraId="4F56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60348">
            <w:pPr>
              <w:pStyle w:val="7"/>
            </w:pPr>
            <w:r>
              <w:rPr>
                <w:rFonts w:hint="eastAsia"/>
              </w:rPr>
              <w:t xml:space="preserve">电话： </w:t>
            </w:r>
          </w:p>
        </w:tc>
        <w:tc>
          <w:tcPr>
            <w:tcW w:w="7440" w:type="dxa"/>
            <w:shd w:val="clear" w:color="auto" w:fill="auto"/>
          </w:tcPr>
          <w:p w14:paraId="7279ADF7">
            <w:pPr>
              <w:pStyle w:val="7"/>
            </w:pPr>
            <w:r>
              <w:rPr>
                <w:rFonts w:hint="eastAsia"/>
              </w:rPr>
              <w:t xml:space="preserve">021-38676666  </w:t>
            </w:r>
          </w:p>
        </w:tc>
      </w:tr>
      <w:tr w14:paraId="19621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016B0">
            <w:pPr>
              <w:pStyle w:val="7"/>
            </w:pPr>
            <w:r>
              <w:rPr>
                <w:rFonts w:hint="eastAsia"/>
              </w:rPr>
              <w:t xml:space="preserve">传真： </w:t>
            </w:r>
          </w:p>
        </w:tc>
        <w:tc>
          <w:tcPr>
            <w:tcW w:w="7440" w:type="dxa"/>
            <w:shd w:val="clear" w:color="auto" w:fill="auto"/>
          </w:tcPr>
          <w:p w14:paraId="576BC623">
            <w:pPr>
              <w:pStyle w:val="7"/>
            </w:pPr>
            <w:r>
              <w:rPr>
                <w:rFonts w:hint="eastAsia"/>
              </w:rPr>
              <w:t xml:space="preserve">021-38670666  </w:t>
            </w:r>
          </w:p>
        </w:tc>
      </w:tr>
      <w:tr w14:paraId="19A3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CB81C">
            <w:pPr>
              <w:pStyle w:val="7"/>
            </w:pPr>
            <w:r>
              <w:rPr>
                <w:rFonts w:hint="eastAsia"/>
              </w:rPr>
              <w:t xml:space="preserve">客户服务电话： </w:t>
            </w:r>
          </w:p>
        </w:tc>
        <w:tc>
          <w:tcPr>
            <w:tcW w:w="7440" w:type="dxa"/>
            <w:shd w:val="clear" w:color="auto" w:fill="auto"/>
          </w:tcPr>
          <w:p w14:paraId="201068CD">
            <w:pPr>
              <w:pStyle w:val="7"/>
            </w:pPr>
            <w:r>
              <w:rPr>
                <w:rFonts w:hint="eastAsia"/>
              </w:rPr>
              <w:t xml:space="preserve">95521/4008888666  </w:t>
            </w:r>
          </w:p>
        </w:tc>
      </w:tr>
      <w:tr w14:paraId="370E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685C6">
            <w:pPr>
              <w:pStyle w:val="7"/>
            </w:pPr>
            <w:r>
              <w:rPr>
                <w:rFonts w:hint="eastAsia"/>
              </w:rPr>
              <w:t xml:space="preserve">网址： </w:t>
            </w:r>
          </w:p>
        </w:tc>
        <w:tc>
          <w:tcPr>
            <w:tcW w:w="7440" w:type="dxa"/>
            <w:shd w:val="clear" w:color="auto" w:fill="auto"/>
          </w:tcPr>
          <w:p w14:paraId="06C85105">
            <w:pPr>
              <w:pStyle w:val="7"/>
            </w:pPr>
            <w:r>
              <w:rPr>
                <w:rFonts w:hint="eastAsia"/>
              </w:rPr>
              <w:t xml:space="preserve">https://www.gtht.com </w:t>
            </w:r>
          </w:p>
        </w:tc>
      </w:tr>
    </w:tbl>
    <w:p w14:paraId="5D873ECB">
      <w:pPr>
        <w:pStyle w:val="7"/>
        <w:spacing w:before="0" w:beforeAutospacing="0" w:after="0" w:afterAutospacing="0" w:line="360" w:lineRule="auto"/>
        <w:ind w:firstLine="420"/>
        <w:rPr>
          <w:sz w:val="21"/>
          <w:szCs w:val="21"/>
        </w:rPr>
      </w:pPr>
      <w:r>
        <w:rPr>
          <w:rFonts w:hint="eastAsia"/>
          <w:b/>
          <w:bCs/>
          <w:sz w:val="21"/>
          <w:szCs w:val="21"/>
        </w:rPr>
        <w:t>(2)中信建投证券股份有限公司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E41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59951">
            <w:pPr>
              <w:pStyle w:val="7"/>
            </w:pPr>
            <w:r>
              <w:rPr>
                <w:rFonts w:hint="eastAsia"/>
              </w:rPr>
              <w:t xml:space="preserve">注册地址： </w:t>
            </w:r>
          </w:p>
        </w:tc>
        <w:tc>
          <w:tcPr>
            <w:tcW w:w="7440" w:type="dxa"/>
            <w:shd w:val="clear" w:color="auto" w:fill="auto"/>
          </w:tcPr>
          <w:p w14:paraId="481DFB3B">
            <w:pPr>
              <w:pStyle w:val="7"/>
            </w:pPr>
            <w:r>
              <w:rPr>
                <w:rFonts w:hint="eastAsia"/>
              </w:rPr>
              <w:t xml:space="preserve">北京市朝阳区安立路66号4号楼 </w:t>
            </w:r>
          </w:p>
        </w:tc>
      </w:tr>
      <w:tr w14:paraId="0596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AC1B7">
            <w:pPr>
              <w:pStyle w:val="7"/>
            </w:pPr>
            <w:r>
              <w:rPr>
                <w:rFonts w:hint="eastAsia"/>
              </w:rPr>
              <w:t xml:space="preserve">办公地址： </w:t>
            </w:r>
          </w:p>
        </w:tc>
        <w:tc>
          <w:tcPr>
            <w:tcW w:w="7440" w:type="dxa"/>
            <w:shd w:val="clear" w:color="auto" w:fill="auto"/>
          </w:tcPr>
          <w:p w14:paraId="200C0805">
            <w:pPr>
              <w:pStyle w:val="7"/>
            </w:pPr>
            <w:r>
              <w:rPr>
                <w:rFonts w:hint="eastAsia"/>
              </w:rPr>
              <w:t xml:space="preserve">北京市朝阳区光华路10号 </w:t>
            </w:r>
          </w:p>
        </w:tc>
      </w:tr>
      <w:tr w14:paraId="040E4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4D923">
            <w:pPr>
              <w:pStyle w:val="7"/>
            </w:pPr>
            <w:r>
              <w:rPr>
                <w:rFonts w:hint="eastAsia"/>
              </w:rPr>
              <w:t xml:space="preserve">法定代表人： </w:t>
            </w:r>
          </w:p>
        </w:tc>
        <w:tc>
          <w:tcPr>
            <w:tcW w:w="7440" w:type="dxa"/>
            <w:shd w:val="clear" w:color="auto" w:fill="auto"/>
          </w:tcPr>
          <w:p w14:paraId="458A887D">
            <w:pPr>
              <w:pStyle w:val="7"/>
            </w:pPr>
            <w:r>
              <w:rPr>
                <w:rFonts w:hint="eastAsia"/>
              </w:rPr>
              <w:t xml:space="preserve">刘成 </w:t>
            </w:r>
          </w:p>
        </w:tc>
      </w:tr>
      <w:tr w14:paraId="23D1E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C4B0B">
            <w:pPr>
              <w:pStyle w:val="7"/>
            </w:pPr>
            <w:r>
              <w:rPr>
                <w:rFonts w:hint="eastAsia"/>
              </w:rPr>
              <w:t xml:space="preserve">联系人： </w:t>
            </w:r>
          </w:p>
        </w:tc>
        <w:tc>
          <w:tcPr>
            <w:tcW w:w="7440" w:type="dxa"/>
            <w:shd w:val="clear" w:color="auto" w:fill="auto"/>
          </w:tcPr>
          <w:p w14:paraId="094940FE">
            <w:pPr>
              <w:pStyle w:val="7"/>
            </w:pPr>
            <w:r>
              <w:rPr>
                <w:rFonts w:hint="eastAsia"/>
              </w:rPr>
              <w:t xml:space="preserve">陈海静 </w:t>
            </w:r>
          </w:p>
        </w:tc>
      </w:tr>
      <w:tr w14:paraId="4AF3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9CAFA">
            <w:pPr>
              <w:pStyle w:val="7"/>
            </w:pPr>
            <w:r>
              <w:rPr>
                <w:rFonts w:hint="eastAsia"/>
              </w:rPr>
              <w:t xml:space="preserve">电话： </w:t>
            </w:r>
          </w:p>
        </w:tc>
        <w:tc>
          <w:tcPr>
            <w:tcW w:w="7440" w:type="dxa"/>
            <w:shd w:val="clear" w:color="auto" w:fill="auto"/>
          </w:tcPr>
          <w:p w14:paraId="77541A46">
            <w:pPr>
              <w:pStyle w:val="7"/>
            </w:pPr>
            <w:r>
              <w:rPr>
                <w:rFonts w:hint="eastAsia"/>
              </w:rPr>
              <w:t xml:space="preserve">010-65608231 </w:t>
            </w:r>
          </w:p>
        </w:tc>
      </w:tr>
      <w:tr w14:paraId="084B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6211E">
            <w:pPr>
              <w:pStyle w:val="7"/>
            </w:pPr>
            <w:r>
              <w:rPr>
                <w:rFonts w:hint="eastAsia"/>
              </w:rPr>
              <w:t xml:space="preserve">传真： </w:t>
            </w:r>
          </w:p>
        </w:tc>
        <w:tc>
          <w:tcPr>
            <w:tcW w:w="7440" w:type="dxa"/>
            <w:shd w:val="clear" w:color="auto" w:fill="auto"/>
          </w:tcPr>
          <w:p w14:paraId="745AA7DB">
            <w:pPr>
              <w:pStyle w:val="7"/>
            </w:pPr>
            <w:r>
              <w:rPr>
                <w:rFonts w:hint="eastAsia"/>
              </w:rPr>
              <w:t xml:space="preserve">010－65182261 </w:t>
            </w:r>
          </w:p>
        </w:tc>
      </w:tr>
      <w:tr w14:paraId="5D59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79ED6">
            <w:pPr>
              <w:pStyle w:val="7"/>
            </w:pPr>
            <w:r>
              <w:rPr>
                <w:rFonts w:hint="eastAsia"/>
              </w:rPr>
              <w:t xml:space="preserve">客户服务电话： </w:t>
            </w:r>
          </w:p>
        </w:tc>
        <w:tc>
          <w:tcPr>
            <w:tcW w:w="7440" w:type="dxa"/>
            <w:shd w:val="clear" w:color="auto" w:fill="auto"/>
          </w:tcPr>
          <w:p w14:paraId="450E4AAB">
            <w:pPr>
              <w:pStyle w:val="7"/>
            </w:pPr>
            <w:r>
              <w:rPr>
                <w:rFonts w:hint="eastAsia"/>
              </w:rPr>
              <w:t xml:space="preserve">4008888108/95587 </w:t>
            </w:r>
          </w:p>
        </w:tc>
      </w:tr>
      <w:tr w14:paraId="73DB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93DE1">
            <w:pPr>
              <w:pStyle w:val="7"/>
            </w:pPr>
            <w:r>
              <w:rPr>
                <w:rFonts w:hint="eastAsia"/>
              </w:rPr>
              <w:t xml:space="preserve">网址： </w:t>
            </w:r>
          </w:p>
        </w:tc>
        <w:tc>
          <w:tcPr>
            <w:tcW w:w="7440" w:type="dxa"/>
            <w:shd w:val="clear" w:color="auto" w:fill="auto"/>
          </w:tcPr>
          <w:p w14:paraId="6620BCE5">
            <w:pPr>
              <w:pStyle w:val="7"/>
            </w:pPr>
            <w:r>
              <w:rPr>
                <w:rFonts w:hint="eastAsia"/>
              </w:rPr>
              <w:t xml:space="preserve">http://www.csc108.com/ </w:t>
            </w:r>
          </w:p>
        </w:tc>
      </w:tr>
    </w:tbl>
    <w:p w14:paraId="56D5B327">
      <w:pPr>
        <w:pStyle w:val="7"/>
        <w:spacing w:before="0" w:beforeAutospacing="0" w:after="0" w:afterAutospacing="0" w:line="360" w:lineRule="auto"/>
        <w:ind w:firstLine="420"/>
        <w:rPr>
          <w:sz w:val="21"/>
          <w:szCs w:val="21"/>
        </w:rPr>
      </w:pPr>
      <w:r>
        <w:rPr>
          <w:rFonts w:hint="eastAsia"/>
          <w:b/>
          <w:bCs/>
          <w:sz w:val="21"/>
          <w:szCs w:val="21"/>
        </w:rPr>
        <w:t>(3)国信证券股份有限公司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C0D2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8D09B">
            <w:pPr>
              <w:pStyle w:val="7"/>
            </w:pPr>
            <w:r>
              <w:rPr>
                <w:rFonts w:hint="eastAsia"/>
              </w:rPr>
              <w:t xml:space="preserve">注册地址： </w:t>
            </w:r>
          </w:p>
        </w:tc>
        <w:tc>
          <w:tcPr>
            <w:tcW w:w="7440" w:type="dxa"/>
            <w:shd w:val="clear" w:color="auto" w:fill="auto"/>
          </w:tcPr>
          <w:p w14:paraId="691FB17E">
            <w:pPr>
              <w:pStyle w:val="7"/>
            </w:pPr>
            <w:r>
              <w:rPr>
                <w:rFonts w:hint="eastAsia"/>
              </w:rPr>
              <w:t xml:space="preserve">深圳市罗湖区红岭中路1012号国信证券大厦十六层至二十六层 </w:t>
            </w:r>
          </w:p>
        </w:tc>
      </w:tr>
      <w:tr w14:paraId="3245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44800">
            <w:pPr>
              <w:pStyle w:val="7"/>
            </w:pPr>
            <w:r>
              <w:rPr>
                <w:rFonts w:hint="eastAsia"/>
              </w:rPr>
              <w:t xml:space="preserve">办公地址： </w:t>
            </w:r>
          </w:p>
        </w:tc>
        <w:tc>
          <w:tcPr>
            <w:tcW w:w="7440" w:type="dxa"/>
            <w:shd w:val="clear" w:color="auto" w:fill="auto"/>
          </w:tcPr>
          <w:p w14:paraId="7B9A7FC2">
            <w:pPr>
              <w:pStyle w:val="7"/>
            </w:pPr>
            <w:r>
              <w:rPr>
                <w:rFonts w:hint="eastAsia"/>
              </w:rPr>
              <w:t xml:space="preserve">深圳市福田区福华一路125号国信金融大厦37楼  </w:t>
            </w:r>
          </w:p>
        </w:tc>
      </w:tr>
      <w:tr w14:paraId="1A792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A9F39">
            <w:pPr>
              <w:pStyle w:val="7"/>
            </w:pPr>
            <w:r>
              <w:rPr>
                <w:rFonts w:hint="eastAsia"/>
              </w:rPr>
              <w:t xml:space="preserve">法定代表人： </w:t>
            </w:r>
          </w:p>
        </w:tc>
        <w:tc>
          <w:tcPr>
            <w:tcW w:w="7440" w:type="dxa"/>
            <w:shd w:val="clear" w:color="auto" w:fill="auto"/>
          </w:tcPr>
          <w:p w14:paraId="0DA52862">
            <w:pPr>
              <w:pStyle w:val="7"/>
            </w:pPr>
            <w:r>
              <w:rPr>
                <w:rFonts w:hint="eastAsia"/>
              </w:rPr>
              <w:t xml:space="preserve">张纳沙 </w:t>
            </w:r>
          </w:p>
        </w:tc>
      </w:tr>
      <w:tr w14:paraId="788A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CFBE3">
            <w:pPr>
              <w:pStyle w:val="7"/>
            </w:pPr>
            <w:r>
              <w:rPr>
                <w:rFonts w:hint="eastAsia"/>
              </w:rPr>
              <w:t xml:space="preserve">联系人： </w:t>
            </w:r>
          </w:p>
        </w:tc>
        <w:tc>
          <w:tcPr>
            <w:tcW w:w="7440" w:type="dxa"/>
            <w:shd w:val="clear" w:color="auto" w:fill="auto"/>
          </w:tcPr>
          <w:p w14:paraId="5053247B">
            <w:pPr>
              <w:pStyle w:val="7"/>
            </w:pPr>
            <w:r>
              <w:rPr>
                <w:rFonts w:hint="eastAsia"/>
              </w:rPr>
              <w:t xml:space="preserve">于智勇 </w:t>
            </w:r>
          </w:p>
        </w:tc>
      </w:tr>
      <w:tr w14:paraId="29FE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5CB62">
            <w:pPr>
              <w:pStyle w:val="7"/>
            </w:pPr>
            <w:r>
              <w:rPr>
                <w:rFonts w:hint="eastAsia"/>
              </w:rPr>
              <w:t xml:space="preserve">电话： </w:t>
            </w:r>
          </w:p>
        </w:tc>
        <w:tc>
          <w:tcPr>
            <w:tcW w:w="7440" w:type="dxa"/>
            <w:shd w:val="clear" w:color="auto" w:fill="auto"/>
          </w:tcPr>
          <w:p w14:paraId="01B001F0">
            <w:pPr>
              <w:pStyle w:val="7"/>
            </w:pPr>
            <w:r>
              <w:rPr>
                <w:rFonts w:hint="eastAsia"/>
              </w:rPr>
              <w:t xml:space="preserve">0755-81981259 </w:t>
            </w:r>
          </w:p>
        </w:tc>
      </w:tr>
      <w:tr w14:paraId="538E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2610D">
            <w:pPr>
              <w:pStyle w:val="7"/>
            </w:pPr>
            <w:r>
              <w:rPr>
                <w:rFonts w:hint="eastAsia"/>
              </w:rPr>
              <w:t xml:space="preserve">传真： </w:t>
            </w:r>
          </w:p>
        </w:tc>
        <w:tc>
          <w:tcPr>
            <w:tcW w:w="7440" w:type="dxa"/>
            <w:shd w:val="clear" w:color="auto" w:fill="auto"/>
          </w:tcPr>
          <w:p w14:paraId="6B708A9B">
            <w:pPr>
              <w:pStyle w:val="7"/>
            </w:pPr>
            <w:r>
              <w:rPr>
                <w:rFonts w:hint="eastAsia"/>
              </w:rPr>
              <w:t xml:space="preserve">0755-82133952 </w:t>
            </w:r>
          </w:p>
        </w:tc>
      </w:tr>
      <w:tr w14:paraId="789A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C9A36">
            <w:pPr>
              <w:pStyle w:val="7"/>
            </w:pPr>
            <w:r>
              <w:rPr>
                <w:rFonts w:hint="eastAsia"/>
              </w:rPr>
              <w:t xml:space="preserve">客户服务电话： </w:t>
            </w:r>
          </w:p>
        </w:tc>
        <w:tc>
          <w:tcPr>
            <w:tcW w:w="7440" w:type="dxa"/>
            <w:shd w:val="clear" w:color="auto" w:fill="auto"/>
          </w:tcPr>
          <w:p w14:paraId="4D27F9A8">
            <w:pPr>
              <w:pStyle w:val="7"/>
            </w:pPr>
            <w:r>
              <w:rPr>
                <w:rFonts w:hint="eastAsia"/>
              </w:rPr>
              <w:t xml:space="preserve">95536 </w:t>
            </w:r>
          </w:p>
        </w:tc>
      </w:tr>
      <w:tr w14:paraId="023AD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5F512">
            <w:pPr>
              <w:pStyle w:val="7"/>
            </w:pPr>
            <w:r>
              <w:rPr>
                <w:rFonts w:hint="eastAsia"/>
              </w:rPr>
              <w:t xml:space="preserve">网址： </w:t>
            </w:r>
          </w:p>
        </w:tc>
        <w:tc>
          <w:tcPr>
            <w:tcW w:w="7440" w:type="dxa"/>
            <w:shd w:val="clear" w:color="auto" w:fill="auto"/>
          </w:tcPr>
          <w:p w14:paraId="5F307902">
            <w:pPr>
              <w:pStyle w:val="7"/>
            </w:pPr>
            <w:r>
              <w:rPr>
                <w:rFonts w:hint="eastAsia"/>
              </w:rPr>
              <w:t xml:space="preserve">http://www.guosen.com.cn/ </w:t>
            </w:r>
          </w:p>
        </w:tc>
      </w:tr>
    </w:tbl>
    <w:p w14:paraId="388A60C6">
      <w:pPr>
        <w:pStyle w:val="7"/>
        <w:spacing w:before="0" w:beforeAutospacing="0" w:after="0" w:afterAutospacing="0" w:line="360" w:lineRule="auto"/>
        <w:ind w:firstLine="420"/>
        <w:rPr>
          <w:sz w:val="21"/>
          <w:szCs w:val="21"/>
        </w:rPr>
      </w:pPr>
      <w:r>
        <w:rPr>
          <w:rFonts w:hint="eastAsia"/>
          <w:b/>
          <w:bCs/>
          <w:sz w:val="21"/>
          <w:szCs w:val="21"/>
        </w:rPr>
        <w:t>(4)招商证券股份有限公司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9CB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C3159">
            <w:pPr>
              <w:pStyle w:val="7"/>
            </w:pPr>
            <w:r>
              <w:rPr>
                <w:rFonts w:hint="eastAsia"/>
              </w:rPr>
              <w:t xml:space="preserve">注册地址： </w:t>
            </w:r>
          </w:p>
        </w:tc>
        <w:tc>
          <w:tcPr>
            <w:tcW w:w="7440" w:type="dxa"/>
            <w:shd w:val="clear" w:color="auto" w:fill="auto"/>
          </w:tcPr>
          <w:p w14:paraId="00E2F6B8">
            <w:pPr>
              <w:pStyle w:val="7"/>
            </w:pPr>
            <w:r>
              <w:rPr>
                <w:rFonts w:hint="eastAsia"/>
              </w:rPr>
              <w:t xml:space="preserve">深圳市福田区福田街道福华一路111号 </w:t>
            </w:r>
          </w:p>
        </w:tc>
      </w:tr>
      <w:tr w14:paraId="33C0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BCA10">
            <w:pPr>
              <w:pStyle w:val="7"/>
            </w:pPr>
            <w:r>
              <w:rPr>
                <w:rFonts w:hint="eastAsia"/>
              </w:rPr>
              <w:t xml:space="preserve">办公地址： </w:t>
            </w:r>
          </w:p>
        </w:tc>
        <w:tc>
          <w:tcPr>
            <w:tcW w:w="7440" w:type="dxa"/>
            <w:shd w:val="clear" w:color="auto" w:fill="auto"/>
          </w:tcPr>
          <w:p w14:paraId="0F1E8BBC">
            <w:pPr>
              <w:pStyle w:val="7"/>
            </w:pPr>
            <w:r>
              <w:rPr>
                <w:rFonts w:hint="eastAsia"/>
              </w:rPr>
              <w:t xml:space="preserve">深圳市福田区福华一路111号招商证券大厦23楼  </w:t>
            </w:r>
          </w:p>
        </w:tc>
      </w:tr>
      <w:tr w14:paraId="5F17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F3C2F">
            <w:pPr>
              <w:pStyle w:val="7"/>
            </w:pPr>
            <w:r>
              <w:rPr>
                <w:rFonts w:hint="eastAsia"/>
              </w:rPr>
              <w:t xml:space="preserve">法定代表人： </w:t>
            </w:r>
          </w:p>
        </w:tc>
        <w:tc>
          <w:tcPr>
            <w:tcW w:w="7440" w:type="dxa"/>
            <w:shd w:val="clear" w:color="auto" w:fill="auto"/>
          </w:tcPr>
          <w:p w14:paraId="0C86CB28">
            <w:pPr>
              <w:pStyle w:val="7"/>
            </w:pPr>
            <w:r>
              <w:rPr>
                <w:rFonts w:hint="eastAsia"/>
              </w:rPr>
              <w:t xml:space="preserve">霍达 </w:t>
            </w:r>
          </w:p>
        </w:tc>
      </w:tr>
      <w:tr w14:paraId="29A5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93658">
            <w:pPr>
              <w:pStyle w:val="7"/>
            </w:pPr>
            <w:r>
              <w:rPr>
                <w:rFonts w:hint="eastAsia"/>
              </w:rPr>
              <w:t xml:space="preserve">联系人： </w:t>
            </w:r>
          </w:p>
        </w:tc>
        <w:tc>
          <w:tcPr>
            <w:tcW w:w="7440" w:type="dxa"/>
            <w:shd w:val="clear" w:color="auto" w:fill="auto"/>
          </w:tcPr>
          <w:p w14:paraId="54F23ECC">
            <w:pPr>
              <w:pStyle w:val="7"/>
            </w:pPr>
            <w:r>
              <w:rPr>
                <w:rFonts w:hint="eastAsia"/>
              </w:rPr>
              <w:t xml:space="preserve">业清扬 </w:t>
            </w:r>
          </w:p>
        </w:tc>
      </w:tr>
      <w:tr w14:paraId="2E32C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6B135">
            <w:pPr>
              <w:pStyle w:val="7"/>
            </w:pPr>
            <w:r>
              <w:rPr>
                <w:rFonts w:hint="eastAsia"/>
              </w:rPr>
              <w:t xml:space="preserve">电话： </w:t>
            </w:r>
          </w:p>
        </w:tc>
        <w:tc>
          <w:tcPr>
            <w:tcW w:w="7440" w:type="dxa"/>
            <w:shd w:val="clear" w:color="auto" w:fill="auto"/>
          </w:tcPr>
          <w:p w14:paraId="333450F7">
            <w:pPr>
              <w:pStyle w:val="7"/>
            </w:pPr>
            <w:r>
              <w:rPr>
                <w:rFonts w:hint="eastAsia"/>
              </w:rPr>
              <w:t xml:space="preserve">0755-83081954 </w:t>
            </w:r>
          </w:p>
        </w:tc>
      </w:tr>
      <w:tr w14:paraId="6942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27F90">
            <w:pPr>
              <w:pStyle w:val="7"/>
            </w:pPr>
            <w:r>
              <w:rPr>
                <w:rFonts w:hint="eastAsia"/>
              </w:rPr>
              <w:t xml:space="preserve">传真： </w:t>
            </w:r>
          </w:p>
        </w:tc>
        <w:tc>
          <w:tcPr>
            <w:tcW w:w="7440" w:type="dxa"/>
            <w:shd w:val="clear" w:color="auto" w:fill="auto"/>
          </w:tcPr>
          <w:p w14:paraId="277B018D">
            <w:pPr>
              <w:pStyle w:val="7"/>
            </w:pPr>
            <w:r>
              <w:rPr>
                <w:rFonts w:hint="eastAsia"/>
              </w:rPr>
              <w:t xml:space="preserve">0755-83734343 </w:t>
            </w:r>
          </w:p>
        </w:tc>
      </w:tr>
      <w:tr w14:paraId="2430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B286C">
            <w:pPr>
              <w:pStyle w:val="7"/>
            </w:pPr>
            <w:r>
              <w:rPr>
                <w:rFonts w:hint="eastAsia"/>
              </w:rPr>
              <w:t xml:space="preserve">客户服务电话： </w:t>
            </w:r>
          </w:p>
        </w:tc>
        <w:tc>
          <w:tcPr>
            <w:tcW w:w="7440" w:type="dxa"/>
            <w:shd w:val="clear" w:color="auto" w:fill="auto"/>
          </w:tcPr>
          <w:p w14:paraId="3D86B6E1">
            <w:pPr>
              <w:pStyle w:val="7"/>
            </w:pPr>
            <w:r>
              <w:rPr>
                <w:rFonts w:hint="eastAsia"/>
              </w:rPr>
              <w:t xml:space="preserve">95565 </w:t>
            </w:r>
          </w:p>
        </w:tc>
      </w:tr>
      <w:tr w14:paraId="1E82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60EC1">
            <w:pPr>
              <w:pStyle w:val="7"/>
            </w:pPr>
            <w:r>
              <w:rPr>
                <w:rFonts w:hint="eastAsia"/>
              </w:rPr>
              <w:t xml:space="preserve">网址： </w:t>
            </w:r>
          </w:p>
        </w:tc>
        <w:tc>
          <w:tcPr>
            <w:tcW w:w="7440" w:type="dxa"/>
            <w:shd w:val="clear" w:color="auto" w:fill="auto"/>
          </w:tcPr>
          <w:p w14:paraId="29444EEF">
            <w:pPr>
              <w:pStyle w:val="7"/>
            </w:pPr>
            <w:r>
              <w:rPr>
                <w:rFonts w:hint="eastAsia"/>
              </w:rPr>
              <w:t xml:space="preserve">http://www.cmschina.com/ </w:t>
            </w:r>
          </w:p>
        </w:tc>
      </w:tr>
    </w:tbl>
    <w:p w14:paraId="36B27338">
      <w:pPr>
        <w:pStyle w:val="7"/>
        <w:spacing w:before="0" w:beforeAutospacing="0" w:after="0" w:afterAutospacing="0" w:line="360" w:lineRule="auto"/>
        <w:ind w:firstLine="420"/>
        <w:rPr>
          <w:sz w:val="21"/>
          <w:szCs w:val="21"/>
        </w:rPr>
      </w:pPr>
      <w:r>
        <w:rPr>
          <w:rFonts w:hint="eastAsia"/>
          <w:b/>
          <w:bCs/>
          <w:sz w:val="21"/>
          <w:szCs w:val="21"/>
        </w:rPr>
        <w:t>(5)广发证券股份有限公司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DD2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81114">
            <w:pPr>
              <w:pStyle w:val="7"/>
            </w:pPr>
            <w:r>
              <w:rPr>
                <w:rFonts w:hint="eastAsia"/>
              </w:rPr>
              <w:t xml:space="preserve">注册地址： </w:t>
            </w:r>
          </w:p>
        </w:tc>
        <w:tc>
          <w:tcPr>
            <w:tcW w:w="7440" w:type="dxa"/>
            <w:shd w:val="clear" w:color="auto" w:fill="auto"/>
          </w:tcPr>
          <w:p w14:paraId="12D652A1">
            <w:pPr>
              <w:pStyle w:val="7"/>
            </w:pPr>
            <w:r>
              <w:rPr>
                <w:rFonts w:hint="eastAsia"/>
              </w:rPr>
              <w:t xml:space="preserve">广州市黄埔区中新广州知识城腾飞一街2号618室 </w:t>
            </w:r>
          </w:p>
        </w:tc>
      </w:tr>
      <w:tr w14:paraId="07EE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5F060">
            <w:pPr>
              <w:pStyle w:val="7"/>
            </w:pPr>
            <w:r>
              <w:rPr>
                <w:rFonts w:hint="eastAsia"/>
              </w:rPr>
              <w:t xml:space="preserve">办公地址： </w:t>
            </w:r>
          </w:p>
        </w:tc>
        <w:tc>
          <w:tcPr>
            <w:tcW w:w="7440" w:type="dxa"/>
            <w:shd w:val="clear" w:color="auto" w:fill="auto"/>
          </w:tcPr>
          <w:p w14:paraId="28B66F2A">
            <w:pPr>
              <w:pStyle w:val="7"/>
            </w:pPr>
            <w:r>
              <w:rPr>
                <w:rFonts w:hint="eastAsia"/>
              </w:rPr>
              <w:t xml:space="preserve">广州市天河区马场路26号广发证券大厦 </w:t>
            </w:r>
          </w:p>
        </w:tc>
      </w:tr>
      <w:tr w14:paraId="0121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E4C21">
            <w:pPr>
              <w:pStyle w:val="7"/>
            </w:pPr>
            <w:r>
              <w:rPr>
                <w:rFonts w:hint="eastAsia"/>
              </w:rPr>
              <w:t xml:space="preserve">法定代表人： </w:t>
            </w:r>
          </w:p>
        </w:tc>
        <w:tc>
          <w:tcPr>
            <w:tcW w:w="7440" w:type="dxa"/>
            <w:shd w:val="clear" w:color="auto" w:fill="auto"/>
          </w:tcPr>
          <w:p w14:paraId="45AF8306">
            <w:pPr>
              <w:pStyle w:val="7"/>
            </w:pPr>
            <w:r>
              <w:rPr>
                <w:rFonts w:hint="eastAsia"/>
              </w:rPr>
              <w:t xml:space="preserve">林传辉 </w:t>
            </w:r>
          </w:p>
        </w:tc>
      </w:tr>
      <w:tr w14:paraId="4C4E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8FFC3">
            <w:pPr>
              <w:pStyle w:val="7"/>
            </w:pPr>
            <w:r>
              <w:rPr>
                <w:rFonts w:hint="eastAsia"/>
              </w:rPr>
              <w:t xml:space="preserve">联系人： </w:t>
            </w:r>
          </w:p>
        </w:tc>
        <w:tc>
          <w:tcPr>
            <w:tcW w:w="7440" w:type="dxa"/>
            <w:shd w:val="clear" w:color="auto" w:fill="auto"/>
          </w:tcPr>
          <w:p w14:paraId="79A94739">
            <w:pPr>
              <w:pStyle w:val="7"/>
            </w:pPr>
            <w:r>
              <w:rPr>
                <w:rFonts w:hint="eastAsia"/>
              </w:rPr>
              <w:t xml:space="preserve">黄岚 </w:t>
            </w:r>
          </w:p>
        </w:tc>
      </w:tr>
      <w:tr w14:paraId="5CDD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2DB9F">
            <w:pPr>
              <w:pStyle w:val="7"/>
            </w:pPr>
            <w:r>
              <w:rPr>
                <w:rFonts w:hint="eastAsia"/>
              </w:rPr>
              <w:t xml:space="preserve">电话： </w:t>
            </w:r>
          </w:p>
        </w:tc>
        <w:tc>
          <w:tcPr>
            <w:tcW w:w="7440" w:type="dxa"/>
            <w:shd w:val="clear" w:color="auto" w:fill="auto"/>
          </w:tcPr>
          <w:p w14:paraId="1B75699B">
            <w:pPr>
              <w:pStyle w:val="7"/>
            </w:pPr>
            <w:r>
              <w:rPr>
                <w:rFonts w:hint="eastAsia"/>
              </w:rPr>
              <w:t xml:space="preserve">020－87555888 </w:t>
            </w:r>
          </w:p>
        </w:tc>
      </w:tr>
      <w:tr w14:paraId="4EA7B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C58B5">
            <w:pPr>
              <w:pStyle w:val="7"/>
            </w:pPr>
            <w:r>
              <w:rPr>
                <w:rFonts w:hint="eastAsia"/>
              </w:rPr>
              <w:t xml:space="preserve">传真： </w:t>
            </w:r>
          </w:p>
        </w:tc>
        <w:tc>
          <w:tcPr>
            <w:tcW w:w="7440" w:type="dxa"/>
            <w:shd w:val="clear" w:color="auto" w:fill="auto"/>
          </w:tcPr>
          <w:p w14:paraId="3DB98837">
            <w:pPr>
              <w:pStyle w:val="7"/>
            </w:pPr>
            <w:r>
              <w:rPr>
                <w:rFonts w:hint="eastAsia"/>
              </w:rPr>
              <w:t xml:space="preserve">020－87555305 </w:t>
            </w:r>
          </w:p>
        </w:tc>
      </w:tr>
      <w:tr w14:paraId="7C3F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D7AF9">
            <w:pPr>
              <w:pStyle w:val="7"/>
            </w:pPr>
            <w:r>
              <w:rPr>
                <w:rFonts w:hint="eastAsia"/>
              </w:rPr>
              <w:t xml:space="preserve">客户服务电话： </w:t>
            </w:r>
          </w:p>
        </w:tc>
        <w:tc>
          <w:tcPr>
            <w:tcW w:w="7440" w:type="dxa"/>
            <w:shd w:val="clear" w:color="auto" w:fill="auto"/>
          </w:tcPr>
          <w:p w14:paraId="48D91818">
            <w:pPr>
              <w:pStyle w:val="7"/>
            </w:pPr>
            <w:r>
              <w:rPr>
                <w:rFonts w:hint="eastAsia"/>
              </w:rPr>
              <w:t xml:space="preserve">95575、020-95575或致电各地营业网点  </w:t>
            </w:r>
          </w:p>
        </w:tc>
      </w:tr>
      <w:tr w14:paraId="27D9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5A974">
            <w:pPr>
              <w:pStyle w:val="7"/>
            </w:pPr>
            <w:r>
              <w:rPr>
                <w:rFonts w:hint="eastAsia"/>
              </w:rPr>
              <w:t xml:space="preserve">网址： </w:t>
            </w:r>
          </w:p>
        </w:tc>
        <w:tc>
          <w:tcPr>
            <w:tcW w:w="7440" w:type="dxa"/>
            <w:shd w:val="clear" w:color="auto" w:fill="auto"/>
          </w:tcPr>
          <w:p w14:paraId="370EBC53">
            <w:pPr>
              <w:pStyle w:val="7"/>
            </w:pPr>
            <w:r>
              <w:rPr>
                <w:rFonts w:hint="eastAsia"/>
              </w:rPr>
              <w:t xml:space="preserve">http://www.gf.com.cn/ </w:t>
            </w:r>
          </w:p>
        </w:tc>
      </w:tr>
    </w:tbl>
    <w:p w14:paraId="022A67B5">
      <w:pPr>
        <w:pStyle w:val="7"/>
        <w:spacing w:before="0" w:beforeAutospacing="0" w:after="0" w:afterAutospacing="0" w:line="360" w:lineRule="auto"/>
        <w:ind w:firstLine="420"/>
        <w:rPr>
          <w:sz w:val="21"/>
          <w:szCs w:val="21"/>
        </w:rPr>
      </w:pPr>
      <w:r>
        <w:rPr>
          <w:rFonts w:hint="eastAsia"/>
          <w:b/>
          <w:bCs/>
          <w:sz w:val="21"/>
          <w:szCs w:val="21"/>
        </w:rPr>
        <w:t>(6)中信证券股份有限公司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EE7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D440F">
            <w:pPr>
              <w:pStyle w:val="7"/>
            </w:pPr>
            <w:r>
              <w:rPr>
                <w:rFonts w:hint="eastAsia"/>
              </w:rPr>
              <w:t xml:space="preserve">注册地址： </w:t>
            </w:r>
          </w:p>
        </w:tc>
        <w:tc>
          <w:tcPr>
            <w:tcW w:w="7440" w:type="dxa"/>
            <w:shd w:val="clear" w:color="auto" w:fill="auto"/>
          </w:tcPr>
          <w:p w14:paraId="3A50356C">
            <w:pPr>
              <w:pStyle w:val="7"/>
            </w:pPr>
            <w:r>
              <w:rPr>
                <w:rFonts w:hint="eastAsia"/>
              </w:rPr>
              <w:t xml:space="preserve">广东省深圳市福田区中心三路8号卓越时代广场（二期）北座 </w:t>
            </w:r>
          </w:p>
        </w:tc>
      </w:tr>
      <w:tr w14:paraId="6D8B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8B725">
            <w:pPr>
              <w:pStyle w:val="7"/>
            </w:pPr>
            <w:r>
              <w:rPr>
                <w:rFonts w:hint="eastAsia"/>
              </w:rPr>
              <w:t xml:space="preserve">办公地址： </w:t>
            </w:r>
          </w:p>
        </w:tc>
        <w:tc>
          <w:tcPr>
            <w:tcW w:w="7440" w:type="dxa"/>
            <w:shd w:val="clear" w:color="auto" w:fill="auto"/>
          </w:tcPr>
          <w:p w14:paraId="10796DE2">
            <w:pPr>
              <w:pStyle w:val="7"/>
            </w:pPr>
            <w:r>
              <w:rPr>
                <w:rFonts w:hint="eastAsia"/>
              </w:rPr>
              <w:t xml:space="preserve">北京朝阳区新源南路6号京城大厦 </w:t>
            </w:r>
          </w:p>
        </w:tc>
      </w:tr>
      <w:tr w14:paraId="14509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04500">
            <w:pPr>
              <w:pStyle w:val="7"/>
            </w:pPr>
            <w:r>
              <w:rPr>
                <w:rFonts w:hint="eastAsia"/>
              </w:rPr>
              <w:t xml:space="preserve">法定代表人： </w:t>
            </w:r>
          </w:p>
        </w:tc>
        <w:tc>
          <w:tcPr>
            <w:tcW w:w="7440" w:type="dxa"/>
            <w:shd w:val="clear" w:color="auto" w:fill="auto"/>
          </w:tcPr>
          <w:p w14:paraId="166DC8F0">
            <w:pPr>
              <w:pStyle w:val="7"/>
            </w:pPr>
            <w:r>
              <w:rPr>
                <w:rFonts w:hint="eastAsia"/>
              </w:rPr>
              <w:t xml:space="preserve">张佑君 </w:t>
            </w:r>
          </w:p>
        </w:tc>
      </w:tr>
      <w:tr w14:paraId="26D3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8BBBC">
            <w:pPr>
              <w:pStyle w:val="7"/>
            </w:pPr>
            <w:r>
              <w:rPr>
                <w:rFonts w:hint="eastAsia"/>
              </w:rPr>
              <w:t xml:space="preserve">联系人： </w:t>
            </w:r>
          </w:p>
        </w:tc>
        <w:tc>
          <w:tcPr>
            <w:tcW w:w="7440" w:type="dxa"/>
            <w:shd w:val="clear" w:color="auto" w:fill="auto"/>
          </w:tcPr>
          <w:p w14:paraId="027BBB8A">
            <w:pPr>
              <w:pStyle w:val="7"/>
            </w:pPr>
            <w:r>
              <w:rPr>
                <w:rFonts w:hint="eastAsia"/>
              </w:rPr>
              <w:t xml:space="preserve">杜杰 </w:t>
            </w:r>
          </w:p>
        </w:tc>
      </w:tr>
      <w:tr w14:paraId="6176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8076D">
            <w:pPr>
              <w:pStyle w:val="7"/>
            </w:pPr>
            <w:r>
              <w:rPr>
                <w:rFonts w:hint="eastAsia"/>
              </w:rPr>
              <w:t xml:space="preserve">电话： </w:t>
            </w:r>
          </w:p>
        </w:tc>
        <w:tc>
          <w:tcPr>
            <w:tcW w:w="7440" w:type="dxa"/>
            <w:shd w:val="clear" w:color="auto" w:fill="auto"/>
          </w:tcPr>
          <w:p w14:paraId="09D16C32">
            <w:pPr>
              <w:pStyle w:val="7"/>
            </w:pPr>
            <w:r>
              <w:rPr>
                <w:rFonts w:hint="eastAsia"/>
              </w:rPr>
              <w:t xml:space="preserve">010-60833889  </w:t>
            </w:r>
          </w:p>
        </w:tc>
      </w:tr>
      <w:tr w14:paraId="4680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FC0FC">
            <w:pPr>
              <w:pStyle w:val="7"/>
            </w:pPr>
            <w:r>
              <w:rPr>
                <w:rFonts w:hint="eastAsia"/>
              </w:rPr>
              <w:t xml:space="preserve">传真： </w:t>
            </w:r>
          </w:p>
        </w:tc>
        <w:tc>
          <w:tcPr>
            <w:tcW w:w="7440" w:type="dxa"/>
            <w:shd w:val="clear" w:color="auto" w:fill="auto"/>
          </w:tcPr>
          <w:p w14:paraId="51E4D15D">
            <w:pPr>
              <w:pStyle w:val="7"/>
            </w:pPr>
            <w:r>
              <w:rPr>
                <w:rFonts w:hint="eastAsia"/>
              </w:rPr>
              <w:t xml:space="preserve">010－84865560 </w:t>
            </w:r>
          </w:p>
        </w:tc>
      </w:tr>
      <w:tr w14:paraId="3A88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68810">
            <w:pPr>
              <w:pStyle w:val="7"/>
            </w:pPr>
            <w:r>
              <w:rPr>
                <w:rFonts w:hint="eastAsia"/>
              </w:rPr>
              <w:t xml:space="preserve">客户服务电话： </w:t>
            </w:r>
          </w:p>
        </w:tc>
        <w:tc>
          <w:tcPr>
            <w:tcW w:w="7440" w:type="dxa"/>
            <w:shd w:val="clear" w:color="auto" w:fill="auto"/>
          </w:tcPr>
          <w:p w14:paraId="6524422B">
            <w:pPr>
              <w:pStyle w:val="7"/>
            </w:pPr>
            <w:r>
              <w:rPr>
                <w:rFonts w:hint="eastAsia"/>
              </w:rPr>
              <w:t xml:space="preserve">95548 </w:t>
            </w:r>
          </w:p>
        </w:tc>
      </w:tr>
      <w:tr w14:paraId="6230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A7FB9">
            <w:pPr>
              <w:pStyle w:val="7"/>
            </w:pPr>
            <w:r>
              <w:rPr>
                <w:rFonts w:hint="eastAsia"/>
              </w:rPr>
              <w:t xml:space="preserve">网址： </w:t>
            </w:r>
          </w:p>
        </w:tc>
        <w:tc>
          <w:tcPr>
            <w:tcW w:w="7440" w:type="dxa"/>
            <w:shd w:val="clear" w:color="auto" w:fill="auto"/>
          </w:tcPr>
          <w:p w14:paraId="1487AFBA">
            <w:pPr>
              <w:pStyle w:val="7"/>
            </w:pPr>
            <w:r>
              <w:rPr>
                <w:rFonts w:hint="eastAsia"/>
              </w:rPr>
              <w:t xml:space="preserve">http://www.cs.ecitic.com/ </w:t>
            </w:r>
          </w:p>
        </w:tc>
      </w:tr>
    </w:tbl>
    <w:p w14:paraId="08991889">
      <w:pPr>
        <w:pStyle w:val="7"/>
        <w:spacing w:before="0" w:beforeAutospacing="0" w:after="0" w:afterAutospacing="0" w:line="360" w:lineRule="auto"/>
        <w:ind w:firstLine="420"/>
        <w:rPr>
          <w:sz w:val="21"/>
          <w:szCs w:val="21"/>
        </w:rPr>
      </w:pPr>
      <w:r>
        <w:rPr>
          <w:rFonts w:hint="eastAsia"/>
          <w:b/>
          <w:bCs/>
          <w:sz w:val="21"/>
          <w:szCs w:val="21"/>
        </w:rPr>
        <w:t>(7)中国银河证券股份有限公司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3ABF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E683A">
            <w:pPr>
              <w:pStyle w:val="7"/>
            </w:pPr>
            <w:r>
              <w:rPr>
                <w:rFonts w:hint="eastAsia"/>
              </w:rPr>
              <w:t xml:space="preserve">注册地址： </w:t>
            </w:r>
          </w:p>
        </w:tc>
        <w:tc>
          <w:tcPr>
            <w:tcW w:w="7440" w:type="dxa"/>
            <w:shd w:val="clear" w:color="auto" w:fill="auto"/>
          </w:tcPr>
          <w:p w14:paraId="2009D7F4">
            <w:pPr>
              <w:pStyle w:val="7"/>
            </w:pPr>
            <w:r>
              <w:rPr>
                <w:rFonts w:hint="eastAsia"/>
              </w:rPr>
              <w:t xml:space="preserve">北京市丰台区西营街8号院1号楼7至18层101 </w:t>
            </w:r>
          </w:p>
        </w:tc>
      </w:tr>
      <w:tr w14:paraId="2236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721B2">
            <w:pPr>
              <w:pStyle w:val="7"/>
            </w:pPr>
            <w:r>
              <w:rPr>
                <w:rFonts w:hint="eastAsia"/>
              </w:rPr>
              <w:t xml:space="preserve">办公地址： </w:t>
            </w:r>
          </w:p>
        </w:tc>
        <w:tc>
          <w:tcPr>
            <w:tcW w:w="7440" w:type="dxa"/>
            <w:shd w:val="clear" w:color="auto" w:fill="auto"/>
          </w:tcPr>
          <w:p w14:paraId="7A55A195">
            <w:pPr>
              <w:pStyle w:val="7"/>
            </w:pPr>
            <w:r>
              <w:rPr>
                <w:rFonts w:hint="eastAsia"/>
              </w:rPr>
              <w:t xml:space="preserve">北京市丰台区西营街8号院1号楼青海金融大厦 </w:t>
            </w:r>
          </w:p>
        </w:tc>
      </w:tr>
      <w:tr w14:paraId="5EC8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5AEDB">
            <w:pPr>
              <w:pStyle w:val="7"/>
            </w:pPr>
            <w:r>
              <w:rPr>
                <w:rFonts w:hint="eastAsia"/>
              </w:rPr>
              <w:t xml:space="preserve">法定代表人： </w:t>
            </w:r>
          </w:p>
        </w:tc>
        <w:tc>
          <w:tcPr>
            <w:tcW w:w="7440" w:type="dxa"/>
            <w:shd w:val="clear" w:color="auto" w:fill="auto"/>
          </w:tcPr>
          <w:p w14:paraId="757BE042">
            <w:pPr>
              <w:pStyle w:val="7"/>
            </w:pPr>
            <w:r>
              <w:rPr>
                <w:rFonts w:hint="eastAsia"/>
              </w:rPr>
              <w:t xml:space="preserve">王晟 </w:t>
            </w:r>
          </w:p>
        </w:tc>
      </w:tr>
      <w:tr w14:paraId="7E7A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4BACC">
            <w:pPr>
              <w:pStyle w:val="7"/>
            </w:pPr>
            <w:r>
              <w:rPr>
                <w:rFonts w:hint="eastAsia"/>
              </w:rPr>
              <w:t xml:space="preserve">电话： </w:t>
            </w:r>
          </w:p>
        </w:tc>
        <w:tc>
          <w:tcPr>
            <w:tcW w:w="7440" w:type="dxa"/>
            <w:shd w:val="clear" w:color="auto" w:fill="auto"/>
          </w:tcPr>
          <w:p w14:paraId="4238F327">
            <w:pPr>
              <w:pStyle w:val="7"/>
            </w:pPr>
            <w:r>
              <w:rPr>
                <w:rFonts w:hint="eastAsia"/>
              </w:rPr>
              <w:t xml:space="preserve">010-80928123 </w:t>
            </w:r>
          </w:p>
        </w:tc>
      </w:tr>
      <w:tr w14:paraId="430EE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8EC12">
            <w:pPr>
              <w:pStyle w:val="7"/>
            </w:pPr>
            <w:r>
              <w:rPr>
                <w:rFonts w:hint="eastAsia"/>
              </w:rPr>
              <w:t xml:space="preserve">客户服务电话： </w:t>
            </w:r>
          </w:p>
        </w:tc>
        <w:tc>
          <w:tcPr>
            <w:tcW w:w="7440" w:type="dxa"/>
            <w:shd w:val="clear" w:color="auto" w:fill="auto"/>
          </w:tcPr>
          <w:p w14:paraId="44B5E6D4">
            <w:pPr>
              <w:pStyle w:val="7"/>
            </w:pPr>
            <w:r>
              <w:rPr>
                <w:rFonts w:hint="eastAsia"/>
              </w:rPr>
              <w:t xml:space="preserve">4008-888-888或95551 </w:t>
            </w:r>
          </w:p>
        </w:tc>
      </w:tr>
      <w:tr w14:paraId="2A67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14C39">
            <w:pPr>
              <w:pStyle w:val="7"/>
            </w:pPr>
            <w:r>
              <w:rPr>
                <w:rFonts w:hint="eastAsia"/>
              </w:rPr>
              <w:t xml:space="preserve">网址： </w:t>
            </w:r>
          </w:p>
        </w:tc>
        <w:tc>
          <w:tcPr>
            <w:tcW w:w="7440" w:type="dxa"/>
            <w:shd w:val="clear" w:color="auto" w:fill="auto"/>
          </w:tcPr>
          <w:p w14:paraId="0AAE9DD3">
            <w:pPr>
              <w:pStyle w:val="7"/>
            </w:pPr>
            <w:r>
              <w:rPr>
                <w:rFonts w:hint="eastAsia"/>
              </w:rPr>
              <w:t xml:space="preserve">http:// www.chinastock.com.cn/ </w:t>
            </w:r>
          </w:p>
        </w:tc>
      </w:tr>
    </w:tbl>
    <w:p w14:paraId="123718B9">
      <w:pPr>
        <w:pStyle w:val="7"/>
        <w:spacing w:before="0" w:beforeAutospacing="0" w:after="0" w:afterAutospacing="0" w:line="360" w:lineRule="auto"/>
        <w:ind w:firstLine="420"/>
        <w:rPr>
          <w:sz w:val="21"/>
          <w:szCs w:val="21"/>
        </w:rPr>
      </w:pPr>
      <w:r>
        <w:rPr>
          <w:rFonts w:hint="eastAsia"/>
          <w:b/>
          <w:bCs/>
          <w:sz w:val="21"/>
          <w:szCs w:val="21"/>
        </w:rPr>
        <w:t>(8)海通证券股份有限公司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08B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F64F9">
            <w:pPr>
              <w:pStyle w:val="7"/>
            </w:pPr>
            <w:r>
              <w:rPr>
                <w:rFonts w:hint="eastAsia"/>
              </w:rPr>
              <w:t xml:space="preserve">注册地址： </w:t>
            </w:r>
          </w:p>
        </w:tc>
        <w:tc>
          <w:tcPr>
            <w:tcW w:w="7440" w:type="dxa"/>
            <w:shd w:val="clear" w:color="auto" w:fill="auto"/>
          </w:tcPr>
          <w:p w14:paraId="3FF31F0B">
            <w:pPr>
              <w:pStyle w:val="7"/>
            </w:pPr>
            <w:r>
              <w:rPr>
                <w:rFonts w:hint="eastAsia"/>
              </w:rPr>
              <w:t xml:space="preserve">上海市淮海中路98号 </w:t>
            </w:r>
          </w:p>
        </w:tc>
      </w:tr>
      <w:tr w14:paraId="56F6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23979">
            <w:pPr>
              <w:pStyle w:val="7"/>
            </w:pPr>
            <w:r>
              <w:rPr>
                <w:rFonts w:hint="eastAsia"/>
              </w:rPr>
              <w:t xml:space="preserve">办公地址： </w:t>
            </w:r>
          </w:p>
        </w:tc>
        <w:tc>
          <w:tcPr>
            <w:tcW w:w="7440" w:type="dxa"/>
            <w:shd w:val="clear" w:color="auto" w:fill="auto"/>
          </w:tcPr>
          <w:p w14:paraId="1FA6024D">
            <w:pPr>
              <w:pStyle w:val="7"/>
            </w:pPr>
            <w:r>
              <w:rPr>
                <w:rFonts w:hint="eastAsia"/>
              </w:rPr>
              <w:t xml:space="preserve">上海市广东路689号海通证券大厦 </w:t>
            </w:r>
          </w:p>
        </w:tc>
      </w:tr>
      <w:tr w14:paraId="7A65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64BB8">
            <w:pPr>
              <w:pStyle w:val="7"/>
            </w:pPr>
            <w:r>
              <w:rPr>
                <w:rFonts w:hint="eastAsia"/>
              </w:rPr>
              <w:t xml:space="preserve">法定代表人： </w:t>
            </w:r>
          </w:p>
        </w:tc>
        <w:tc>
          <w:tcPr>
            <w:tcW w:w="7440" w:type="dxa"/>
            <w:shd w:val="clear" w:color="auto" w:fill="auto"/>
          </w:tcPr>
          <w:p w14:paraId="6FF549EE">
            <w:pPr>
              <w:pStyle w:val="7"/>
            </w:pPr>
            <w:r>
              <w:rPr>
                <w:rFonts w:hint="eastAsia"/>
              </w:rPr>
              <w:t xml:space="preserve">周杰 </w:t>
            </w:r>
          </w:p>
        </w:tc>
      </w:tr>
      <w:tr w14:paraId="1758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6E1B1">
            <w:pPr>
              <w:pStyle w:val="7"/>
            </w:pPr>
            <w:r>
              <w:rPr>
                <w:rFonts w:hint="eastAsia"/>
              </w:rPr>
              <w:t xml:space="preserve">联系人： </w:t>
            </w:r>
          </w:p>
        </w:tc>
        <w:tc>
          <w:tcPr>
            <w:tcW w:w="7440" w:type="dxa"/>
            <w:shd w:val="clear" w:color="auto" w:fill="auto"/>
          </w:tcPr>
          <w:p w14:paraId="67830919">
            <w:pPr>
              <w:pStyle w:val="7"/>
            </w:pPr>
            <w:r>
              <w:rPr>
                <w:rFonts w:hint="eastAsia"/>
              </w:rPr>
              <w:t xml:space="preserve">李笑鸣 </w:t>
            </w:r>
          </w:p>
        </w:tc>
      </w:tr>
      <w:tr w14:paraId="5598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5C467">
            <w:pPr>
              <w:pStyle w:val="7"/>
            </w:pPr>
            <w:r>
              <w:rPr>
                <w:rFonts w:hint="eastAsia"/>
              </w:rPr>
              <w:t xml:space="preserve">电话： </w:t>
            </w:r>
          </w:p>
        </w:tc>
        <w:tc>
          <w:tcPr>
            <w:tcW w:w="7440" w:type="dxa"/>
            <w:shd w:val="clear" w:color="auto" w:fill="auto"/>
          </w:tcPr>
          <w:p w14:paraId="4D284162">
            <w:pPr>
              <w:pStyle w:val="7"/>
            </w:pPr>
            <w:r>
              <w:rPr>
                <w:rFonts w:hint="eastAsia"/>
              </w:rPr>
              <w:t xml:space="preserve">021-23219275 </w:t>
            </w:r>
          </w:p>
        </w:tc>
      </w:tr>
      <w:tr w14:paraId="7DF9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22182">
            <w:pPr>
              <w:pStyle w:val="7"/>
            </w:pPr>
            <w:r>
              <w:rPr>
                <w:rFonts w:hint="eastAsia"/>
              </w:rPr>
              <w:t xml:space="preserve">传真： </w:t>
            </w:r>
          </w:p>
        </w:tc>
        <w:tc>
          <w:tcPr>
            <w:tcW w:w="7440" w:type="dxa"/>
            <w:shd w:val="clear" w:color="auto" w:fill="auto"/>
          </w:tcPr>
          <w:p w14:paraId="4FD8AC90">
            <w:pPr>
              <w:pStyle w:val="7"/>
            </w:pPr>
            <w:r>
              <w:rPr>
                <w:rFonts w:hint="eastAsia"/>
              </w:rPr>
              <w:t xml:space="preserve">021－63602722 </w:t>
            </w:r>
          </w:p>
        </w:tc>
      </w:tr>
      <w:tr w14:paraId="5625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203CA">
            <w:pPr>
              <w:pStyle w:val="7"/>
            </w:pPr>
            <w:r>
              <w:rPr>
                <w:rFonts w:hint="eastAsia"/>
              </w:rPr>
              <w:t xml:space="preserve">客户服务电话： </w:t>
            </w:r>
          </w:p>
        </w:tc>
        <w:tc>
          <w:tcPr>
            <w:tcW w:w="7440" w:type="dxa"/>
            <w:shd w:val="clear" w:color="auto" w:fill="auto"/>
          </w:tcPr>
          <w:p w14:paraId="36770F8D">
            <w:pPr>
              <w:pStyle w:val="7"/>
            </w:pPr>
            <w:r>
              <w:rPr>
                <w:rFonts w:hint="eastAsia"/>
              </w:rPr>
              <w:t xml:space="preserve">95553 </w:t>
            </w:r>
          </w:p>
        </w:tc>
      </w:tr>
      <w:tr w14:paraId="54BF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68761">
            <w:pPr>
              <w:pStyle w:val="7"/>
            </w:pPr>
            <w:r>
              <w:rPr>
                <w:rFonts w:hint="eastAsia"/>
              </w:rPr>
              <w:t xml:space="preserve">网址： </w:t>
            </w:r>
          </w:p>
        </w:tc>
        <w:tc>
          <w:tcPr>
            <w:tcW w:w="7440" w:type="dxa"/>
            <w:shd w:val="clear" w:color="auto" w:fill="auto"/>
          </w:tcPr>
          <w:p w14:paraId="2297F233">
            <w:pPr>
              <w:pStyle w:val="7"/>
            </w:pPr>
            <w:r>
              <w:rPr>
                <w:rFonts w:hint="eastAsia"/>
              </w:rPr>
              <w:t xml:space="preserve">http://www.htsec.com/ </w:t>
            </w:r>
          </w:p>
        </w:tc>
      </w:tr>
    </w:tbl>
    <w:p w14:paraId="21C2FE82">
      <w:pPr>
        <w:pStyle w:val="7"/>
        <w:spacing w:before="0" w:beforeAutospacing="0" w:after="0" w:afterAutospacing="0" w:line="360" w:lineRule="auto"/>
        <w:ind w:firstLine="420"/>
        <w:rPr>
          <w:sz w:val="21"/>
          <w:szCs w:val="21"/>
        </w:rPr>
      </w:pPr>
      <w:r>
        <w:rPr>
          <w:rFonts w:hint="eastAsia"/>
          <w:b/>
          <w:bCs/>
          <w:sz w:val="21"/>
          <w:szCs w:val="21"/>
        </w:rPr>
        <w:t>(9)申万宏源证券有限公司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CF0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2D87C">
            <w:pPr>
              <w:pStyle w:val="7"/>
            </w:pPr>
            <w:r>
              <w:rPr>
                <w:rFonts w:hint="eastAsia"/>
              </w:rPr>
              <w:t xml:space="preserve">注册地址： </w:t>
            </w:r>
          </w:p>
        </w:tc>
        <w:tc>
          <w:tcPr>
            <w:tcW w:w="7440" w:type="dxa"/>
            <w:shd w:val="clear" w:color="auto" w:fill="auto"/>
          </w:tcPr>
          <w:p w14:paraId="5DCA023F">
            <w:pPr>
              <w:pStyle w:val="7"/>
            </w:pPr>
            <w:r>
              <w:rPr>
                <w:rFonts w:hint="eastAsia"/>
              </w:rPr>
              <w:t xml:space="preserve">上海市徐汇区长乐路989号45层 </w:t>
            </w:r>
          </w:p>
        </w:tc>
      </w:tr>
      <w:tr w14:paraId="0BC0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0F942">
            <w:pPr>
              <w:pStyle w:val="7"/>
            </w:pPr>
            <w:r>
              <w:rPr>
                <w:rFonts w:hint="eastAsia"/>
              </w:rPr>
              <w:t xml:space="preserve">办公地址： </w:t>
            </w:r>
          </w:p>
        </w:tc>
        <w:tc>
          <w:tcPr>
            <w:tcW w:w="7440" w:type="dxa"/>
            <w:shd w:val="clear" w:color="auto" w:fill="auto"/>
          </w:tcPr>
          <w:p w14:paraId="38391D38">
            <w:pPr>
              <w:pStyle w:val="7"/>
            </w:pPr>
            <w:r>
              <w:rPr>
                <w:rFonts w:hint="eastAsia"/>
              </w:rPr>
              <w:t xml:space="preserve">上海市徐汇区长乐路989号世纪商贸广场45层 </w:t>
            </w:r>
          </w:p>
        </w:tc>
      </w:tr>
      <w:tr w14:paraId="33F2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B6891">
            <w:pPr>
              <w:pStyle w:val="7"/>
            </w:pPr>
            <w:r>
              <w:rPr>
                <w:rFonts w:hint="eastAsia"/>
              </w:rPr>
              <w:t xml:space="preserve">法定代表人： </w:t>
            </w:r>
          </w:p>
        </w:tc>
        <w:tc>
          <w:tcPr>
            <w:tcW w:w="7440" w:type="dxa"/>
            <w:shd w:val="clear" w:color="auto" w:fill="auto"/>
          </w:tcPr>
          <w:p w14:paraId="2417A8AC">
            <w:pPr>
              <w:pStyle w:val="7"/>
            </w:pPr>
            <w:r>
              <w:rPr>
                <w:rFonts w:hint="eastAsia"/>
              </w:rPr>
              <w:t xml:space="preserve">张剑 </w:t>
            </w:r>
          </w:p>
        </w:tc>
      </w:tr>
      <w:tr w14:paraId="4A1F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B2F92">
            <w:pPr>
              <w:pStyle w:val="7"/>
            </w:pPr>
            <w:r>
              <w:rPr>
                <w:rFonts w:hint="eastAsia"/>
              </w:rPr>
              <w:t xml:space="preserve">电话： </w:t>
            </w:r>
          </w:p>
        </w:tc>
        <w:tc>
          <w:tcPr>
            <w:tcW w:w="7440" w:type="dxa"/>
            <w:shd w:val="clear" w:color="auto" w:fill="auto"/>
          </w:tcPr>
          <w:p w14:paraId="327C16AB">
            <w:pPr>
              <w:pStyle w:val="7"/>
            </w:pPr>
            <w:r>
              <w:rPr>
                <w:rFonts w:hint="eastAsia"/>
              </w:rPr>
              <w:t xml:space="preserve">021-33388999 </w:t>
            </w:r>
          </w:p>
        </w:tc>
      </w:tr>
      <w:tr w14:paraId="5C73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08118">
            <w:pPr>
              <w:pStyle w:val="7"/>
            </w:pPr>
            <w:r>
              <w:rPr>
                <w:rFonts w:hint="eastAsia"/>
              </w:rPr>
              <w:t xml:space="preserve">传真： </w:t>
            </w:r>
          </w:p>
        </w:tc>
        <w:tc>
          <w:tcPr>
            <w:tcW w:w="7440" w:type="dxa"/>
            <w:shd w:val="clear" w:color="auto" w:fill="auto"/>
          </w:tcPr>
          <w:p w14:paraId="1E1CEFF0">
            <w:pPr>
              <w:pStyle w:val="7"/>
            </w:pPr>
            <w:r>
              <w:rPr>
                <w:rFonts w:hint="eastAsia"/>
              </w:rPr>
              <w:t xml:space="preserve">021-33388224 </w:t>
            </w:r>
          </w:p>
        </w:tc>
      </w:tr>
      <w:tr w14:paraId="2C19C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C021F">
            <w:pPr>
              <w:pStyle w:val="7"/>
            </w:pPr>
            <w:r>
              <w:rPr>
                <w:rFonts w:hint="eastAsia"/>
              </w:rPr>
              <w:t xml:space="preserve">客户服务电话： </w:t>
            </w:r>
          </w:p>
        </w:tc>
        <w:tc>
          <w:tcPr>
            <w:tcW w:w="7440" w:type="dxa"/>
            <w:shd w:val="clear" w:color="auto" w:fill="auto"/>
          </w:tcPr>
          <w:p w14:paraId="3F78F31D">
            <w:pPr>
              <w:pStyle w:val="7"/>
            </w:pPr>
            <w:r>
              <w:rPr>
                <w:rFonts w:hint="eastAsia"/>
              </w:rPr>
              <w:t xml:space="preserve">95523 </w:t>
            </w:r>
          </w:p>
        </w:tc>
      </w:tr>
      <w:tr w14:paraId="0A35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3BFF7">
            <w:pPr>
              <w:pStyle w:val="7"/>
            </w:pPr>
            <w:r>
              <w:rPr>
                <w:rFonts w:hint="eastAsia"/>
              </w:rPr>
              <w:t xml:space="preserve">网址： </w:t>
            </w:r>
          </w:p>
        </w:tc>
        <w:tc>
          <w:tcPr>
            <w:tcW w:w="7440" w:type="dxa"/>
            <w:shd w:val="clear" w:color="auto" w:fill="auto"/>
          </w:tcPr>
          <w:p w14:paraId="76479ECF">
            <w:pPr>
              <w:pStyle w:val="7"/>
            </w:pPr>
            <w:r>
              <w:rPr>
                <w:rFonts w:hint="eastAsia"/>
              </w:rPr>
              <w:t xml:space="preserve">www.swhysc.com </w:t>
            </w:r>
          </w:p>
        </w:tc>
      </w:tr>
    </w:tbl>
    <w:p w14:paraId="37B9E7F9">
      <w:pPr>
        <w:pStyle w:val="7"/>
        <w:spacing w:before="0" w:beforeAutospacing="0" w:after="0" w:afterAutospacing="0" w:line="360" w:lineRule="auto"/>
        <w:ind w:firstLine="420"/>
        <w:rPr>
          <w:sz w:val="21"/>
          <w:szCs w:val="21"/>
        </w:rPr>
      </w:pPr>
      <w:r>
        <w:rPr>
          <w:rFonts w:hint="eastAsia"/>
          <w:b/>
          <w:bCs/>
          <w:sz w:val="21"/>
          <w:szCs w:val="21"/>
        </w:rPr>
        <w:t>(10)兴业证券股份有限公司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335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0187F">
            <w:pPr>
              <w:pStyle w:val="7"/>
            </w:pPr>
            <w:r>
              <w:rPr>
                <w:rFonts w:hint="eastAsia"/>
              </w:rPr>
              <w:t xml:space="preserve">注册地址： </w:t>
            </w:r>
          </w:p>
        </w:tc>
        <w:tc>
          <w:tcPr>
            <w:tcW w:w="7440" w:type="dxa"/>
            <w:shd w:val="clear" w:color="auto" w:fill="auto"/>
          </w:tcPr>
          <w:p w14:paraId="78C674B9">
            <w:pPr>
              <w:pStyle w:val="7"/>
            </w:pPr>
            <w:r>
              <w:rPr>
                <w:rFonts w:hint="eastAsia"/>
              </w:rPr>
              <w:t xml:space="preserve">福州市湖东路268号 </w:t>
            </w:r>
          </w:p>
        </w:tc>
      </w:tr>
      <w:tr w14:paraId="2AF7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55107">
            <w:pPr>
              <w:pStyle w:val="7"/>
            </w:pPr>
            <w:r>
              <w:rPr>
                <w:rFonts w:hint="eastAsia"/>
              </w:rPr>
              <w:t xml:space="preserve">办公地址： </w:t>
            </w:r>
          </w:p>
        </w:tc>
        <w:tc>
          <w:tcPr>
            <w:tcW w:w="7440" w:type="dxa"/>
            <w:shd w:val="clear" w:color="auto" w:fill="auto"/>
          </w:tcPr>
          <w:p w14:paraId="68A78F3B">
            <w:pPr>
              <w:pStyle w:val="7"/>
            </w:pPr>
            <w:r>
              <w:rPr>
                <w:rFonts w:hint="eastAsia"/>
              </w:rPr>
              <w:t xml:space="preserve">上海市浦东民生路1199弄五道口广场1号楼21层 </w:t>
            </w:r>
          </w:p>
        </w:tc>
      </w:tr>
      <w:tr w14:paraId="7BB7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34D59">
            <w:pPr>
              <w:pStyle w:val="7"/>
            </w:pPr>
            <w:r>
              <w:rPr>
                <w:rFonts w:hint="eastAsia"/>
              </w:rPr>
              <w:t xml:space="preserve">法定代表人： </w:t>
            </w:r>
          </w:p>
        </w:tc>
        <w:tc>
          <w:tcPr>
            <w:tcW w:w="7440" w:type="dxa"/>
            <w:shd w:val="clear" w:color="auto" w:fill="auto"/>
          </w:tcPr>
          <w:p w14:paraId="3D013A57">
            <w:pPr>
              <w:pStyle w:val="7"/>
            </w:pPr>
            <w:r>
              <w:rPr>
                <w:rFonts w:hint="eastAsia"/>
              </w:rPr>
              <w:t xml:space="preserve">杨华辉 </w:t>
            </w:r>
          </w:p>
        </w:tc>
      </w:tr>
      <w:tr w14:paraId="5683B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C4874">
            <w:pPr>
              <w:pStyle w:val="7"/>
            </w:pPr>
            <w:r>
              <w:rPr>
                <w:rFonts w:hint="eastAsia"/>
              </w:rPr>
              <w:t xml:space="preserve">电话： </w:t>
            </w:r>
          </w:p>
        </w:tc>
        <w:tc>
          <w:tcPr>
            <w:tcW w:w="7440" w:type="dxa"/>
            <w:shd w:val="clear" w:color="auto" w:fill="auto"/>
          </w:tcPr>
          <w:p w14:paraId="55373994">
            <w:pPr>
              <w:pStyle w:val="7"/>
            </w:pPr>
            <w:r>
              <w:rPr>
                <w:rFonts w:hint="eastAsia"/>
              </w:rPr>
              <w:t xml:space="preserve">021-38565547 </w:t>
            </w:r>
          </w:p>
        </w:tc>
      </w:tr>
      <w:tr w14:paraId="7037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55E13">
            <w:pPr>
              <w:pStyle w:val="7"/>
            </w:pPr>
            <w:r>
              <w:rPr>
                <w:rFonts w:hint="eastAsia"/>
              </w:rPr>
              <w:t xml:space="preserve">传真： </w:t>
            </w:r>
          </w:p>
        </w:tc>
        <w:tc>
          <w:tcPr>
            <w:tcW w:w="7440" w:type="dxa"/>
            <w:shd w:val="clear" w:color="auto" w:fill="auto"/>
          </w:tcPr>
          <w:p w14:paraId="75A3FF70">
            <w:pPr>
              <w:pStyle w:val="7"/>
            </w:pPr>
            <w:r>
              <w:rPr>
                <w:rFonts w:hint="eastAsia"/>
              </w:rPr>
              <w:t xml:space="preserve">021－38565783 </w:t>
            </w:r>
          </w:p>
        </w:tc>
      </w:tr>
      <w:tr w14:paraId="3EF1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39560">
            <w:pPr>
              <w:pStyle w:val="7"/>
            </w:pPr>
            <w:r>
              <w:rPr>
                <w:rFonts w:hint="eastAsia"/>
              </w:rPr>
              <w:t xml:space="preserve">客户服务电话： </w:t>
            </w:r>
          </w:p>
        </w:tc>
        <w:tc>
          <w:tcPr>
            <w:tcW w:w="7440" w:type="dxa"/>
            <w:shd w:val="clear" w:color="auto" w:fill="auto"/>
          </w:tcPr>
          <w:p w14:paraId="1E1AF2DA">
            <w:pPr>
              <w:pStyle w:val="7"/>
            </w:pPr>
            <w:r>
              <w:rPr>
                <w:rFonts w:hint="eastAsia"/>
              </w:rPr>
              <w:t xml:space="preserve">95562 </w:t>
            </w:r>
          </w:p>
        </w:tc>
      </w:tr>
      <w:tr w14:paraId="4AB0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44E99">
            <w:pPr>
              <w:pStyle w:val="7"/>
            </w:pPr>
            <w:r>
              <w:rPr>
                <w:rFonts w:hint="eastAsia"/>
              </w:rPr>
              <w:t xml:space="preserve">网址： </w:t>
            </w:r>
          </w:p>
        </w:tc>
        <w:tc>
          <w:tcPr>
            <w:tcW w:w="7440" w:type="dxa"/>
            <w:shd w:val="clear" w:color="auto" w:fill="auto"/>
          </w:tcPr>
          <w:p w14:paraId="10D69486">
            <w:pPr>
              <w:pStyle w:val="7"/>
            </w:pPr>
            <w:r>
              <w:rPr>
                <w:rFonts w:hint="eastAsia"/>
              </w:rPr>
              <w:t xml:space="preserve">http://www.xyzq.com.cn/ </w:t>
            </w:r>
          </w:p>
        </w:tc>
      </w:tr>
    </w:tbl>
    <w:p w14:paraId="1D3E4B7E">
      <w:pPr>
        <w:pStyle w:val="7"/>
        <w:spacing w:before="0" w:beforeAutospacing="0" w:after="0" w:afterAutospacing="0" w:line="360" w:lineRule="auto"/>
        <w:ind w:firstLine="420"/>
        <w:rPr>
          <w:sz w:val="21"/>
          <w:szCs w:val="21"/>
        </w:rPr>
      </w:pPr>
      <w:r>
        <w:rPr>
          <w:rFonts w:hint="eastAsia"/>
          <w:b/>
          <w:bCs/>
          <w:sz w:val="21"/>
          <w:szCs w:val="21"/>
        </w:rPr>
        <w:t>(11)国投证券股份有限公司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8FE0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B887D">
            <w:pPr>
              <w:pStyle w:val="7"/>
            </w:pPr>
            <w:r>
              <w:rPr>
                <w:rFonts w:hint="eastAsia"/>
              </w:rPr>
              <w:t xml:space="preserve">注册地址： </w:t>
            </w:r>
          </w:p>
        </w:tc>
        <w:tc>
          <w:tcPr>
            <w:tcW w:w="7440" w:type="dxa"/>
            <w:shd w:val="clear" w:color="auto" w:fill="auto"/>
          </w:tcPr>
          <w:p w14:paraId="39051A81">
            <w:pPr>
              <w:pStyle w:val="7"/>
            </w:pPr>
            <w:r>
              <w:rPr>
                <w:rFonts w:hint="eastAsia"/>
              </w:rPr>
              <w:t xml:space="preserve">深圳市福田区福田街道福华一路119号安信金融大厦 </w:t>
            </w:r>
          </w:p>
        </w:tc>
      </w:tr>
      <w:tr w14:paraId="687C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642D9">
            <w:pPr>
              <w:pStyle w:val="7"/>
            </w:pPr>
            <w:r>
              <w:rPr>
                <w:rFonts w:hint="eastAsia"/>
              </w:rPr>
              <w:t xml:space="preserve">办公地址： </w:t>
            </w:r>
          </w:p>
        </w:tc>
        <w:tc>
          <w:tcPr>
            <w:tcW w:w="7440" w:type="dxa"/>
            <w:shd w:val="clear" w:color="auto" w:fill="auto"/>
          </w:tcPr>
          <w:p w14:paraId="2811A763">
            <w:pPr>
              <w:pStyle w:val="7"/>
            </w:pPr>
            <w:r>
              <w:rPr>
                <w:rFonts w:hint="eastAsia"/>
              </w:rPr>
              <w:t xml:space="preserve">深圳市福田区福田街道福华一路119号安信金融大厦 </w:t>
            </w:r>
          </w:p>
        </w:tc>
      </w:tr>
      <w:tr w14:paraId="1CA8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E61E2">
            <w:pPr>
              <w:pStyle w:val="7"/>
            </w:pPr>
            <w:r>
              <w:rPr>
                <w:rFonts w:hint="eastAsia"/>
              </w:rPr>
              <w:t xml:space="preserve">法定代表人： </w:t>
            </w:r>
          </w:p>
        </w:tc>
        <w:tc>
          <w:tcPr>
            <w:tcW w:w="7440" w:type="dxa"/>
            <w:shd w:val="clear" w:color="auto" w:fill="auto"/>
          </w:tcPr>
          <w:p w14:paraId="0FDBFDC5">
            <w:pPr>
              <w:pStyle w:val="7"/>
            </w:pPr>
            <w:r>
              <w:rPr>
                <w:rFonts w:hint="eastAsia"/>
              </w:rPr>
              <w:t xml:space="preserve">王苏望 </w:t>
            </w:r>
          </w:p>
        </w:tc>
      </w:tr>
      <w:tr w14:paraId="38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6EE4A">
            <w:pPr>
              <w:pStyle w:val="7"/>
            </w:pPr>
            <w:r>
              <w:rPr>
                <w:rFonts w:hint="eastAsia"/>
              </w:rPr>
              <w:t xml:space="preserve">电话： </w:t>
            </w:r>
          </w:p>
        </w:tc>
        <w:tc>
          <w:tcPr>
            <w:tcW w:w="7440" w:type="dxa"/>
            <w:shd w:val="clear" w:color="auto" w:fill="auto"/>
          </w:tcPr>
          <w:p w14:paraId="698C3F4E">
            <w:pPr>
              <w:pStyle w:val="7"/>
            </w:pPr>
            <w:r>
              <w:rPr>
                <w:rFonts w:hint="eastAsia"/>
              </w:rPr>
              <w:t xml:space="preserve">0755-82558266 </w:t>
            </w:r>
          </w:p>
        </w:tc>
      </w:tr>
      <w:tr w14:paraId="461B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77771">
            <w:pPr>
              <w:pStyle w:val="7"/>
            </w:pPr>
            <w:r>
              <w:rPr>
                <w:rFonts w:hint="eastAsia"/>
              </w:rPr>
              <w:t xml:space="preserve">客户服务电话： </w:t>
            </w:r>
          </w:p>
        </w:tc>
        <w:tc>
          <w:tcPr>
            <w:tcW w:w="7440" w:type="dxa"/>
            <w:shd w:val="clear" w:color="auto" w:fill="auto"/>
          </w:tcPr>
          <w:p w14:paraId="3C50FC55">
            <w:pPr>
              <w:pStyle w:val="7"/>
            </w:pPr>
            <w:r>
              <w:rPr>
                <w:rFonts w:hint="eastAsia"/>
              </w:rPr>
              <w:t xml:space="preserve">95517 </w:t>
            </w:r>
          </w:p>
        </w:tc>
      </w:tr>
      <w:tr w14:paraId="1120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F4013">
            <w:pPr>
              <w:pStyle w:val="7"/>
            </w:pPr>
            <w:r>
              <w:rPr>
                <w:rFonts w:hint="eastAsia"/>
              </w:rPr>
              <w:t xml:space="preserve">网址： </w:t>
            </w:r>
          </w:p>
        </w:tc>
        <w:tc>
          <w:tcPr>
            <w:tcW w:w="7440" w:type="dxa"/>
            <w:shd w:val="clear" w:color="auto" w:fill="auto"/>
          </w:tcPr>
          <w:p w14:paraId="47D87E60">
            <w:pPr>
              <w:pStyle w:val="7"/>
            </w:pPr>
            <w:r>
              <w:rPr>
                <w:rFonts w:hint="eastAsia"/>
              </w:rPr>
              <w:t xml:space="preserve">http://www.sdicsc.com.cn </w:t>
            </w:r>
          </w:p>
        </w:tc>
      </w:tr>
    </w:tbl>
    <w:p w14:paraId="1C0C07E7">
      <w:pPr>
        <w:pStyle w:val="7"/>
        <w:spacing w:before="0" w:beforeAutospacing="0" w:after="0" w:afterAutospacing="0" w:line="360" w:lineRule="auto"/>
        <w:ind w:firstLine="420"/>
        <w:rPr>
          <w:sz w:val="21"/>
          <w:szCs w:val="21"/>
        </w:rPr>
      </w:pPr>
      <w:r>
        <w:rPr>
          <w:rFonts w:hint="eastAsia"/>
          <w:b/>
          <w:bCs/>
          <w:sz w:val="21"/>
          <w:szCs w:val="21"/>
        </w:rPr>
        <w:t>(12)湘财证券股份有限公司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B0F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DE3330">
            <w:pPr>
              <w:pStyle w:val="7"/>
            </w:pPr>
            <w:r>
              <w:rPr>
                <w:rFonts w:hint="eastAsia"/>
              </w:rPr>
              <w:t xml:space="preserve">注册地址： </w:t>
            </w:r>
          </w:p>
        </w:tc>
        <w:tc>
          <w:tcPr>
            <w:tcW w:w="7440" w:type="dxa"/>
            <w:shd w:val="clear" w:color="auto" w:fill="auto"/>
          </w:tcPr>
          <w:p w14:paraId="0ACCCCAD">
            <w:pPr>
              <w:pStyle w:val="7"/>
            </w:pPr>
            <w:r>
              <w:rPr>
                <w:rFonts w:hint="eastAsia"/>
              </w:rPr>
              <w:t xml:space="preserve">湖南省长沙市天心区湘府中路198号新南城商务中心A栋11楼 </w:t>
            </w:r>
          </w:p>
        </w:tc>
      </w:tr>
      <w:tr w14:paraId="5B78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0D484">
            <w:pPr>
              <w:pStyle w:val="7"/>
            </w:pPr>
            <w:r>
              <w:rPr>
                <w:rFonts w:hint="eastAsia"/>
              </w:rPr>
              <w:t xml:space="preserve">办公地址： </w:t>
            </w:r>
          </w:p>
        </w:tc>
        <w:tc>
          <w:tcPr>
            <w:tcW w:w="7440" w:type="dxa"/>
            <w:shd w:val="clear" w:color="auto" w:fill="auto"/>
          </w:tcPr>
          <w:p w14:paraId="4F179BA8">
            <w:pPr>
              <w:pStyle w:val="7"/>
            </w:pPr>
            <w:r>
              <w:rPr>
                <w:rFonts w:hint="eastAsia"/>
              </w:rPr>
              <w:t xml:space="preserve">湖南省长沙市天心区湘府中路198号新南城商务中心A栋11楼 </w:t>
            </w:r>
          </w:p>
        </w:tc>
      </w:tr>
      <w:tr w14:paraId="06B6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B54AD">
            <w:pPr>
              <w:pStyle w:val="7"/>
            </w:pPr>
            <w:r>
              <w:rPr>
                <w:rFonts w:hint="eastAsia"/>
              </w:rPr>
              <w:t xml:space="preserve">法定代表人： </w:t>
            </w:r>
          </w:p>
        </w:tc>
        <w:tc>
          <w:tcPr>
            <w:tcW w:w="7440" w:type="dxa"/>
            <w:shd w:val="clear" w:color="auto" w:fill="auto"/>
          </w:tcPr>
          <w:p w14:paraId="3D7FCA9B">
            <w:pPr>
              <w:pStyle w:val="7"/>
            </w:pPr>
            <w:r>
              <w:rPr>
                <w:rFonts w:hint="eastAsia"/>
              </w:rPr>
              <w:t xml:space="preserve">林俊波 </w:t>
            </w:r>
          </w:p>
        </w:tc>
      </w:tr>
      <w:tr w14:paraId="1FB53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C655D">
            <w:pPr>
              <w:pStyle w:val="7"/>
            </w:pPr>
            <w:r>
              <w:rPr>
                <w:rFonts w:hint="eastAsia"/>
              </w:rPr>
              <w:t xml:space="preserve">联系人： </w:t>
            </w:r>
          </w:p>
        </w:tc>
        <w:tc>
          <w:tcPr>
            <w:tcW w:w="7440" w:type="dxa"/>
            <w:shd w:val="clear" w:color="auto" w:fill="auto"/>
          </w:tcPr>
          <w:p w14:paraId="7BDF9B0E">
            <w:pPr>
              <w:pStyle w:val="7"/>
            </w:pPr>
            <w:r>
              <w:rPr>
                <w:rFonts w:hint="eastAsia"/>
              </w:rPr>
              <w:t xml:space="preserve">孙越 </w:t>
            </w:r>
          </w:p>
        </w:tc>
      </w:tr>
      <w:tr w14:paraId="28AE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5F675">
            <w:pPr>
              <w:pStyle w:val="7"/>
            </w:pPr>
            <w:r>
              <w:rPr>
                <w:rFonts w:hint="eastAsia"/>
              </w:rPr>
              <w:t xml:space="preserve">电话： </w:t>
            </w:r>
          </w:p>
        </w:tc>
        <w:tc>
          <w:tcPr>
            <w:tcW w:w="7440" w:type="dxa"/>
            <w:shd w:val="clear" w:color="auto" w:fill="auto"/>
          </w:tcPr>
          <w:p w14:paraId="0EC81421">
            <w:pPr>
              <w:pStyle w:val="7"/>
            </w:pPr>
            <w:r>
              <w:rPr>
                <w:rFonts w:hint="eastAsia"/>
              </w:rPr>
              <w:t xml:space="preserve">021-38784580-8920 </w:t>
            </w:r>
          </w:p>
        </w:tc>
      </w:tr>
      <w:tr w14:paraId="3DC3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585AE">
            <w:pPr>
              <w:pStyle w:val="7"/>
            </w:pPr>
            <w:r>
              <w:rPr>
                <w:rFonts w:hint="eastAsia"/>
              </w:rPr>
              <w:t xml:space="preserve">客户服务电话： </w:t>
            </w:r>
          </w:p>
        </w:tc>
        <w:tc>
          <w:tcPr>
            <w:tcW w:w="7440" w:type="dxa"/>
            <w:shd w:val="clear" w:color="auto" w:fill="auto"/>
          </w:tcPr>
          <w:p w14:paraId="13654D70">
            <w:pPr>
              <w:pStyle w:val="7"/>
            </w:pPr>
            <w:r>
              <w:rPr>
                <w:rFonts w:hint="eastAsia"/>
              </w:rPr>
              <w:t xml:space="preserve">95351 </w:t>
            </w:r>
          </w:p>
        </w:tc>
      </w:tr>
      <w:tr w14:paraId="4573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B97AC">
            <w:pPr>
              <w:pStyle w:val="7"/>
            </w:pPr>
            <w:r>
              <w:rPr>
                <w:rFonts w:hint="eastAsia"/>
              </w:rPr>
              <w:t xml:space="preserve">网址： </w:t>
            </w:r>
          </w:p>
        </w:tc>
        <w:tc>
          <w:tcPr>
            <w:tcW w:w="7440" w:type="dxa"/>
            <w:shd w:val="clear" w:color="auto" w:fill="auto"/>
          </w:tcPr>
          <w:p w14:paraId="49F5064F">
            <w:pPr>
              <w:pStyle w:val="7"/>
            </w:pPr>
            <w:r>
              <w:rPr>
                <w:rFonts w:hint="eastAsia"/>
              </w:rPr>
              <w:t xml:space="preserve">http://www.xcsc.com </w:t>
            </w:r>
          </w:p>
        </w:tc>
      </w:tr>
    </w:tbl>
    <w:p w14:paraId="542F651D">
      <w:pPr>
        <w:pStyle w:val="7"/>
        <w:spacing w:before="0" w:beforeAutospacing="0" w:after="0" w:afterAutospacing="0" w:line="360" w:lineRule="auto"/>
        <w:ind w:firstLine="420"/>
        <w:rPr>
          <w:sz w:val="21"/>
          <w:szCs w:val="21"/>
        </w:rPr>
      </w:pPr>
      <w:r>
        <w:rPr>
          <w:rFonts w:hint="eastAsia"/>
          <w:b/>
          <w:bCs/>
          <w:sz w:val="21"/>
          <w:szCs w:val="21"/>
        </w:rPr>
        <w:t>(13)民生证券股份有限公司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65C53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9115F">
            <w:pPr>
              <w:pStyle w:val="7"/>
            </w:pPr>
            <w:r>
              <w:rPr>
                <w:rFonts w:hint="eastAsia"/>
              </w:rPr>
              <w:t xml:space="preserve">注册地址： </w:t>
            </w:r>
          </w:p>
        </w:tc>
        <w:tc>
          <w:tcPr>
            <w:tcW w:w="7440" w:type="dxa"/>
            <w:shd w:val="clear" w:color="auto" w:fill="auto"/>
          </w:tcPr>
          <w:p w14:paraId="3E9F2611">
            <w:pPr>
              <w:pStyle w:val="7"/>
            </w:pPr>
            <w:r>
              <w:rPr>
                <w:rFonts w:hint="eastAsia"/>
              </w:rPr>
              <w:t xml:space="preserve">北京市东城区建国门内大街28号民生金融中心A座16-18层 </w:t>
            </w:r>
          </w:p>
        </w:tc>
      </w:tr>
      <w:tr w14:paraId="4C0A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8E2AB">
            <w:pPr>
              <w:pStyle w:val="7"/>
            </w:pPr>
            <w:r>
              <w:rPr>
                <w:rFonts w:hint="eastAsia"/>
              </w:rPr>
              <w:t xml:space="preserve">办公地址： </w:t>
            </w:r>
          </w:p>
        </w:tc>
        <w:tc>
          <w:tcPr>
            <w:tcW w:w="7440" w:type="dxa"/>
            <w:shd w:val="clear" w:color="auto" w:fill="auto"/>
          </w:tcPr>
          <w:p w14:paraId="28B85AE7">
            <w:pPr>
              <w:pStyle w:val="7"/>
            </w:pPr>
            <w:r>
              <w:rPr>
                <w:rFonts w:hint="eastAsia"/>
              </w:rPr>
              <w:t xml:space="preserve">北京市东城区建国门内大街28号民生金融中心A座16-20层 </w:t>
            </w:r>
          </w:p>
        </w:tc>
      </w:tr>
      <w:tr w14:paraId="1D03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2F675">
            <w:pPr>
              <w:pStyle w:val="7"/>
            </w:pPr>
            <w:r>
              <w:rPr>
                <w:rFonts w:hint="eastAsia"/>
              </w:rPr>
              <w:t xml:space="preserve">法定代表人： </w:t>
            </w:r>
          </w:p>
        </w:tc>
        <w:tc>
          <w:tcPr>
            <w:tcW w:w="7440" w:type="dxa"/>
            <w:shd w:val="clear" w:color="auto" w:fill="auto"/>
          </w:tcPr>
          <w:p w14:paraId="23575B85">
            <w:pPr>
              <w:pStyle w:val="7"/>
            </w:pPr>
            <w:r>
              <w:rPr>
                <w:rFonts w:hint="eastAsia"/>
              </w:rPr>
              <w:t xml:space="preserve">余政 </w:t>
            </w:r>
          </w:p>
        </w:tc>
      </w:tr>
      <w:tr w14:paraId="3147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E45BA">
            <w:pPr>
              <w:pStyle w:val="7"/>
            </w:pPr>
            <w:r>
              <w:rPr>
                <w:rFonts w:hint="eastAsia"/>
              </w:rPr>
              <w:t xml:space="preserve">联系人： </w:t>
            </w:r>
          </w:p>
        </w:tc>
        <w:tc>
          <w:tcPr>
            <w:tcW w:w="7440" w:type="dxa"/>
            <w:shd w:val="clear" w:color="auto" w:fill="auto"/>
          </w:tcPr>
          <w:p w14:paraId="3F1F83A1">
            <w:pPr>
              <w:pStyle w:val="7"/>
            </w:pPr>
            <w:r>
              <w:rPr>
                <w:rFonts w:hint="eastAsia"/>
              </w:rPr>
              <w:t xml:space="preserve">赵明 </w:t>
            </w:r>
          </w:p>
        </w:tc>
      </w:tr>
      <w:tr w14:paraId="7179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EDD9B">
            <w:pPr>
              <w:pStyle w:val="7"/>
            </w:pPr>
            <w:r>
              <w:rPr>
                <w:rFonts w:hint="eastAsia"/>
              </w:rPr>
              <w:t xml:space="preserve">电话： </w:t>
            </w:r>
          </w:p>
        </w:tc>
        <w:tc>
          <w:tcPr>
            <w:tcW w:w="7440" w:type="dxa"/>
            <w:shd w:val="clear" w:color="auto" w:fill="auto"/>
          </w:tcPr>
          <w:p w14:paraId="6FAD3282">
            <w:pPr>
              <w:pStyle w:val="7"/>
            </w:pPr>
            <w:r>
              <w:rPr>
                <w:rFonts w:hint="eastAsia"/>
              </w:rPr>
              <w:t xml:space="preserve">010-85127622 </w:t>
            </w:r>
          </w:p>
        </w:tc>
      </w:tr>
      <w:tr w14:paraId="0121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0DBD0">
            <w:pPr>
              <w:pStyle w:val="7"/>
            </w:pPr>
            <w:r>
              <w:rPr>
                <w:rFonts w:hint="eastAsia"/>
              </w:rPr>
              <w:t xml:space="preserve">传真： </w:t>
            </w:r>
          </w:p>
        </w:tc>
        <w:tc>
          <w:tcPr>
            <w:tcW w:w="7440" w:type="dxa"/>
            <w:shd w:val="clear" w:color="auto" w:fill="auto"/>
          </w:tcPr>
          <w:p w14:paraId="244D4563">
            <w:pPr>
              <w:pStyle w:val="7"/>
            </w:pPr>
            <w:r>
              <w:rPr>
                <w:rFonts w:hint="eastAsia"/>
              </w:rPr>
              <w:t xml:space="preserve">010-85127917 </w:t>
            </w:r>
          </w:p>
        </w:tc>
      </w:tr>
      <w:tr w14:paraId="604F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D29F6">
            <w:pPr>
              <w:pStyle w:val="7"/>
            </w:pPr>
            <w:r>
              <w:rPr>
                <w:rFonts w:hint="eastAsia"/>
              </w:rPr>
              <w:t xml:space="preserve">客户服务电话： </w:t>
            </w:r>
          </w:p>
        </w:tc>
        <w:tc>
          <w:tcPr>
            <w:tcW w:w="7440" w:type="dxa"/>
            <w:shd w:val="clear" w:color="auto" w:fill="auto"/>
          </w:tcPr>
          <w:p w14:paraId="3A2E7CB0">
            <w:pPr>
              <w:pStyle w:val="7"/>
            </w:pPr>
            <w:r>
              <w:rPr>
                <w:rFonts w:hint="eastAsia"/>
              </w:rPr>
              <w:t xml:space="preserve">4006198888 </w:t>
            </w:r>
          </w:p>
        </w:tc>
      </w:tr>
      <w:tr w14:paraId="588D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2F7E2">
            <w:pPr>
              <w:pStyle w:val="7"/>
            </w:pPr>
            <w:r>
              <w:rPr>
                <w:rFonts w:hint="eastAsia"/>
              </w:rPr>
              <w:t xml:space="preserve">网址： </w:t>
            </w:r>
          </w:p>
        </w:tc>
        <w:tc>
          <w:tcPr>
            <w:tcW w:w="7440" w:type="dxa"/>
            <w:shd w:val="clear" w:color="auto" w:fill="auto"/>
          </w:tcPr>
          <w:p w14:paraId="5B799082">
            <w:pPr>
              <w:pStyle w:val="7"/>
            </w:pPr>
            <w:r>
              <w:rPr>
                <w:rFonts w:hint="eastAsia"/>
              </w:rPr>
              <w:t xml:space="preserve">www.mszq.com </w:t>
            </w:r>
          </w:p>
        </w:tc>
      </w:tr>
    </w:tbl>
    <w:p w14:paraId="2E26AFB1">
      <w:pPr>
        <w:pStyle w:val="7"/>
        <w:spacing w:before="0" w:beforeAutospacing="0" w:after="0" w:afterAutospacing="0" w:line="360" w:lineRule="auto"/>
        <w:ind w:firstLine="420"/>
        <w:rPr>
          <w:sz w:val="21"/>
          <w:szCs w:val="21"/>
        </w:rPr>
      </w:pPr>
      <w:r>
        <w:rPr>
          <w:rFonts w:hint="eastAsia"/>
          <w:b/>
          <w:bCs/>
          <w:sz w:val="21"/>
          <w:szCs w:val="21"/>
        </w:rPr>
        <w:t>(14)华泰证券股份有限公司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D0A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7BDCE">
            <w:pPr>
              <w:pStyle w:val="7"/>
            </w:pPr>
            <w:r>
              <w:rPr>
                <w:rFonts w:hint="eastAsia"/>
              </w:rPr>
              <w:t xml:space="preserve">注册地址： </w:t>
            </w:r>
          </w:p>
        </w:tc>
        <w:tc>
          <w:tcPr>
            <w:tcW w:w="7440" w:type="dxa"/>
            <w:shd w:val="clear" w:color="auto" w:fill="auto"/>
          </w:tcPr>
          <w:p w14:paraId="1CAE3706">
            <w:pPr>
              <w:pStyle w:val="7"/>
            </w:pPr>
            <w:r>
              <w:rPr>
                <w:rFonts w:hint="eastAsia"/>
              </w:rPr>
              <w:t xml:space="preserve">南京市江东中路228号 </w:t>
            </w:r>
          </w:p>
        </w:tc>
      </w:tr>
      <w:tr w14:paraId="78271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910F4">
            <w:pPr>
              <w:pStyle w:val="7"/>
            </w:pPr>
            <w:r>
              <w:rPr>
                <w:rFonts w:hint="eastAsia"/>
              </w:rPr>
              <w:t xml:space="preserve">办公地址： </w:t>
            </w:r>
          </w:p>
        </w:tc>
        <w:tc>
          <w:tcPr>
            <w:tcW w:w="7440" w:type="dxa"/>
            <w:shd w:val="clear" w:color="auto" w:fill="auto"/>
          </w:tcPr>
          <w:p w14:paraId="277C9FC0">
            <w:pPr>
              <w:pStyle w:val="7"/>
            </w:pPr>
            <w:r>
              <w:rPr>
                <w:rFonts w:hint="eastAsia"/>
              </w:rPr>
              <w:t xml:space="preserve">南京市建邺区江东中路228号华泰证券广场、深圳市福田区益田路5999号基金大厦 </w:t>
            </w:r>
          </w:p>
        </w:tc>
      </w:tr>
      <w:tr w14:paraId="1C452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97E86">
            <w:pPr>
              <w:pStyle w:val="7"/>
            </w:pPr>
            <w:r>
              <w:rPr>
                <w:rFonts w:hint="eastAsia"/>
              </w:rPr>
              <w:t xml:space="preserve">法定代表人： </w:t>
            </w:r>
          </w:p>
        </w:tc>
        <w:tc>
          <w:tcPr>
            <w:tcW w:w="7440" w:type="dxa"/>
            <w:shd w:val="clear" w:color="auto" w:fill="auto"/>
          </w:tcPr>
          <w:p w14:paraId="6347B4CE">
            <w:pPr>
              <w:pStyle w:val="7"/>
            </w:pPr>
            <w:r>
              <w:rPr>
                <w:rFonts w:hint="eastAsia"/>
              </w:rPr>
              <w:t xml:space="preserve">张伟 </w:t>
            </w:r>
          </w:p>
        </w:tc>
      </w:tr>
      <w:tr w14:paraId="3D37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6C95D">
            <w:pPr>
              <w:pStyle w:val="7"/>
            </w:pPr>
            <w:r>
              <w:rPr>
                <w:rFonts w:hint="eastAsia"/>
              </w:rPr>
              <w:t xml:space="preserve">电话： </w:t>
            </w:r>
          </w:p>
        </w:tc>
        <w:tc>
          <w:tcPr>
            <w:tcW w:w="7440" w:type="dxa"/>
            <w:shd w:val="clear" w:color="auto" w:fill="auto"/>
          </w:tcPr>
          <w:p w14:paraId="27A51756">
            <w:pPr>
              <w:pStyle w:val="7"/>
            </w:pPr>
            <w:r>
              <w:rPr>
                <w:rFonts w:hint="eastAsia"/>
              </w:rPr>
              <w:t xml:space="preserve">0755-22660831 </w:t>
            </w:r>
          </w:p>
        </w:tc>
      </w:tr>
      <w:tr w14:paraId="1147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CF880">
            <w:pPr>
              <w:pStyle w:val="7"/>
            </w:pPr>
            <w:r>
              <w:rPr>
                <w:rFonts w:hint="eastAsia"/>
              </w:rPr>
              <w:t xml:space="preserve">客户服务电话： </w:t>
            </w:r>
          </w:p>
        </w:tc>
        <w:tc>
          <w:tcPr>
            <w:tcW w:w="7440" w:type="dxa"/>
            <w:shd w:val="clear" w:color="auto" w:fill="auto"/>
          </w:tcPr>
          <w:p w14:paraId="18BCC2A6">
            <w:pPr>
              <w:pStyle w:val="7"/>
            </w:pPr>
            <w:r>
              <w:rPr>
                <w:rFonts w:hint="eastAsia"/>
              </w:rPr>
              <w:t xml:space="preserve">95597 </w:t>
            </w:r>
          </w:p>
        </w:tc>
      </w:tr>
      <w:tr w14:paraId="450A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70C01">
            <w:pPr>
              <w:pStyle w:val="7"/>
            </w:pPr>
            <w:r>
              <w:rPr>
                <w:rFonts w:hint="eastAsia"/>
              </w:rPr>
              <w:t xml:space="preserve">网址： </w:t>
            </w:r>
          </w:p>
        </w:tc>
        <w:tc>
          <w:tcPr>
            <w:tcW w:w="7440" w:type="dxa"/>
            <w:shd w:val="clear" w:color="auto" w:fill="auto"/>
          </w:tcPr>
          <w:p w14:paraId="1C33BFCA">
            <w:pPr>
              <w:pStyle w:val="7"/>
            </w:pPr>
            <w:r>
              <w:rPr>
                <w:rFonts w:hint="eastAsia"/>
              </w:rPr>
              <w:t xml:space="preserve">http://www.htsc.com.cn/ </w:t>
            </w:r>
          </w:p>
        </w:tc>
      </w:tr>
    </w:tbl>
    <w:p w14:paraId="0E9DA955">
      <w:pPr>
        <w:pStyle w:val="7"/>
        <w:spacing w:before="0" w:beforeAutospacing="0" w:after="0" w:afterAutospacing="0" w:line="360" w:lineRule="auto"/>
        <w:ind w:firstLine="420"/>
        <w:rPr>
          <w:sz w:val="21"/>
          <w:szCs w:val="21"/>
        </w:rPr>
      </w:pPr>
      <w:r>
        <w:rPr>
          <w:rFonts w:hint="eastAsia"/>
          <w:b/>
          <w:bCs/>
          <w:sz w:val="21"/>
          <w:szCs w:val="21"/>
        </w:rPr>
        <w:t>(15)山西证券股份有限公司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B84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92BF8">
            <w:pPr>
              <w:pStyle w:val="7"/>
            </w:pPr>
            <w:r>
              <w:rPr>
                <w:rFonts w:hint="eastAsia"/>
              </w:rPr>
              <w:t xml:space="preserve">注册地址： </w:t>
            </w:r>
          </w:p>
        </w:tc>
        <w:tc>
          <w:tcPr>
            <w:tcW w:w="7440" w:type="dxa"/>
            <w:shd w:val="clear" w:color="auto" w:fill="auto"/>
          </w:tcPr>
          <w:p w14:paraId="61030586">
            <w:pPr>
              <w:pStyle w:val="7"/>
            </w:pPr>
            <w:r>
              <w:rPr>
                <w:rFonts w:hint="eastAsia"/>
              </w:rPr>
              <w:t xml:space="preserve">太原市府西街69号山西国际贸易中心东塔楼 </w:t>
            </w:r>
          </w:p>
        </w:tc>
      </w:tr>
      <w:tr w14:paraId="6EE0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E56FE">
            <w:pPr>
              <w:pStyle w:val="7"/>
            </w:pPr>
            <w:r>
              <w:rPr>
                <w:rFonts w:hint="eastAsia"/>
              </w:rPr>
              <w:t xml:space="preserve">办公地址： </w:t>
            </w:r>
          </w:p>
        </w:tc>
        <w:tc>
          <w:tcPr>
            <w:tcW w:w="7440" w:type="dxa"/>
            <w:shd w:val="clear" w:color="auto" w:fill="auto"/>
          </w:tcPr>
          <w:p w14:paraId="21332A67">
            <w:pPr>
              <w:pStyle w:val="7"/>
            </w:pPr>
            <w:r>
              <w:rPr>
                <w:rFonts w:hint="eastAsia"/>
              </w:rPr>
              <w:t xml:space="preserve">太原市府西街69号山西国际贸易中心东塔楼 </w:t>
            </w:r>
          </w:p>
        </w:tc>
      </w:tr>
      <w:tr w14:paraId="1DC37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CEB62">
            <w:pPr>
              <w:pStyle w:val="7"/>
            </w:pPr>
            <w:r>
              <w:rPr>
                <w:rFonts w:hint="eastAsia"/>
              </w:rPr>
              <w:t xml:space="preserve">法定代表人： </w:t>
            </w:r>
          </w:p>
        </w:tc>
        <w:tc>
          <w:tcPr>
            <w:tcW w:w="7440" w:type="dxa"/>
            <w:shd w:val="clear" w:color="auto" w:fill="auto"/>
          </w:tcPr>
          <w:p w14:paraId="068FD4C1">
            <w:pPr>
              <w:pStyle w:val="7"/>
            </w:pPr>
            <w:r>
              <w:rPr>
                <w:rFonts w:hint="eastAsia"/>
              </w:rPr>
              <w:t xml:space="preserve">王怡里 </w:t>
            </w:r>
          </w:p>
        </w:tc>
      </w:tr>
      <w:tr w14:paraId="1B64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5B6F4">
            <w:pPr>
              <w:pStyle w:val="7"/>
            </w:pPr>
            <w:r>
              <w:rPr>
                <w:rFonts w:hint="eastAsia"/>
              </w:rPr>
              <w:t xml:space="preserve">电话： </w:t>
            </w:r>
          </w:p>
        </w:tc>
        <w:tc>
          <w:tcPr>
            <w:tcW w:w="7440" w:type="dxa"/>
            <w:shd w:val="clear" w:color="auto" w:fill="auto"/>
          </w:tcPr>
          <w:p w14:paraId="0CC53195">
            <w:pPr>
              <w:pStyle w:val="7"/>
            </w:pPr>
            <w:r>
              <w:rPr>
                <w:rFonts w:hint="eastAsia"/>
              </w:rPr>
              <w:t xml:space="preserve">0351－8686659 </w:t>
            </w:r>
          </w:p>
        </w:tc>
      </w:tr>
      <w:tr w14:paraId="4BA8B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DAA3D">
            <w:pPr>
              <w:pStyle w:val="7"/>
            </w:pPr>
            <w:r>
              <w:rPr>
                <w:rFonts w:hint="eastAsia"/>
              </w:rPr>
              <w:t xml:space="preserve">传真： </w:t>
            </w:r>
          </w:p>
        </w:tc>
        <w:tc>
          <w:tcPr>
            <w:tcW w:w="7440" w:type="dxa"/>
            <w:shd w:val="clear" w:color="auto" w:fill="auto"/>
          </w:tcPr>
          <w:p w14:paraId="7B8F33A9">
            <w:pPr>
              <w:pStyle w:val="7"/>
            </w:pPr>
            <w:r>
              <w:rPr>
                <w:rFonts w:hint="eastAsia"/>
              </w:rPr>
              <w:t xml:space="preserve">0351－8686619 </w:t>
            </w:r>
          </w:p>
        </w:tc>
      </w:tr>
      <w:tr w14:paraId="21CE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FC7ED">
            <w:pPr>
              <w:pStyle w:val="7"/>
            </w:pPr>
            <w:r>
              <w:rPr>
                <w:rFonts w:hint="eastAsia"/>
              </w:rPr>
              <w:t xml:space="preserve">客户服务电话： </w:t>
            </w:r>
          </w:p>
        </w:tc>
        <w:tc>
          <w:tcPr>
            <w:tcW w:w="7440" w:type="dxa"/>
            <w:shd w:val="clear" w:color="auto" w:fill="auto"/>
          </w:tcPr>
          <w:p w14:paraId="4553187A">
            <w:pPr>
              <w:pStyle w:val="7"/>
            </w:pPr>
            <w:r>
              <w:rPr>
                <w:rFonts w:hint="eastAsia"/>
              </w:rPr>
              <w:t xml:space="preserve">4006661618 </w:t>
            </w:r>
          </w:p>
        </w:tc>
      </w:tr>
      <w:tr w14:paraId="5267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D9F1D">
            <w:pPr>
              <w:pStyle w:val="7"/>
            </w:pPr>
            <w:r>
              <w:rPr>
                <w:rFonts w:hint="eastAsia"/>
              </w:rPr>
              <w:t xml:space="preserve">网址： </w:t>
            </w:r>
          </w:p>
        </w:tc>
        <w:tc>
          <w:tcPr>
            <w:tcW w:w="7440" w:type="dxa"/>
            <w:shd w:val="clear" w:color="auto" w:fill="auto"/>
          </w:tcPr>
          <w:p w14:paraId="5A8D3AC9">
            <w:pPr>
              <w:pStyle w:val="7"/>
            </w:pPr>
            <w:r>
              <w:rPr>
                <w:rFonts w:hint="eastAsia"/>
              </w:rPr>
              <w:t xml:space="preserve">http://www.i618.com.cn/ </w:t>
            </w:r>
          </w:p>
        </w:tc>
      </w:tr>
    </w:tbl>
    <w:p w14:paraId="153272C5">
      <w:pPr>
        <w:pStyle w:val="7"/>
        <w:spacing w:before="0" w:beforeAutospacing="0" w:after="0" w:afterAutospacing="0" w:line="360" w:lineRule="auto"/>
        <w:ind w:firstLine="420"/>
        <w:rPr>
          <w:sz w:val="21"/>
          <w:szCs w:val="21"/>
        </w:rPr>
      </w:pPr>
      <w:r>
        <w:rPr>
          <w:rFonts w:hint="eastAsia"/>
          <w:b/>
          <w:bCs/>
          <w:sz w:val="21"/>
          <w:szCs w:val="21"/>
        </w:rPr>
        <w:t>(16)中信证券（山东）有限责任公司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6345F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B3561">
            <w:pPr>
              <w:pStyle w:val="7"/>
            </w:pPr>
            <w:r>
              <w:rPr>
                <w:rFonts w:hint="eastAsia"/>
              </w:rPr>
              <w:t xml:space="preserve">注册地址： </w:t>
            </w:r>
          </w:p>
        </w:tc>
        <w:tc>
          <w:tcPr>
            <w:tcW w:w="7440" w:type="dxa"/>
            <w:shd w:val="clear" w:color="auto" w:fill="auto"/>
          </w:tcPr>
          <w:p w14:paraId="69041964">
            <w:pPr>
              <w:pStyle w:val="7"/>
            </w:pPr>
            <w:r>
              <w:rPr>
                <w:rFonts w:hint="eastAsia"/>
              </w:rPr>
              <w:t xml:space="preserve">青岛市崂山区深圳路222号1号楼2001 </w:t>
            </w:r>
          </w:p>
        </w:tc>
      </w:tr>
      <w:tr w14:paraId="0D3C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86E00">
            <w:pPr>
              <w:pStyle w:val="7"/>
            </w:pPr>
            <w:r>
              <w:rPr>
                <w:rFonts w:hint="eastAsia"/>
              </w:rPr>
              <w:t xml:space="preserve">办公地址： </w:t>
            </w:r>
          </w:p>
        </w:tc>
        <w:tc>
          <w:tcPr>
            <w:tcW w:w="7440" w:type="dxa"/>
            <w:shd w:val="clear" w:color="auto" w:fill="auto"/>
          </w:tcPr>
          <w:p w14:paraId="1D08BC31">
            <w:pPr>
              <w:pStyle w:val="7"/>
            </w:pPr>
            <w:r>
              <w:rPr>
                <w:rFonts w:hint="eastAsia"/>
              </w:rPr>
              <w:t xml:space="preserve">青岛市市南区东海西路28号龙翔广场东座5层 </w:t>
            </w:r>
          </w:p>
        </w:tc>
      </w:tr>
      <w:tr w14:paraId="6466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BAD16">
            <w:pPr>
              <w:pStyle w:val="7"/>
            </w:pPr>
            <w:r>
              <w:rPr>
                <w:rFonts w:hint="eastAsia"/>
              </w:rPr>
              <w:t xml:space="preserve">法定代表人： </w:t>
            </w:r>
          </w:p>
        </w:tc>
        <w:tc>
          <w:tcPr>
            <w:tcW w:w="7440" w:type="dxa"/>
            <w:shd w:val="clear" w:color="auto" w:fill="auto"/>
          </w:tcPr>
          <w:p w14:paraId="614ACCA5">
            <w:pPr>
              <w:pStyle w:val="7"/>
            </w:pPr>
            <w:r>
              <w:rPr>
                <w:rFonts w:hint="eastAsia"/>
              </w:rPr>
              <w:t xml:space="preserve">肖海峰 </w:t>
            </w:r>
          </w:p>
        </w:tc>
      </w:tr>
      <w:tr w14:paraId="2997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C9E5D">
            <w:pPr>
              <w:pStyle w:val="7"/>
            </w:pPr>
            <w:r>
              <w:rPr>
                <w:rFonts w:hint="eastAsia"/>
              </w:rPr>
              <w:t xml:space="preserve">联系人： </w:t>
            </w:r>
          </w:p>
        </w:tc>
        <w:tc>
          <w:tcPr>
            <w:tcW w:w="7440" w:type="dxa"/>
            <w:shd w:val="clear" w:color="auto" w:fill="auto"/>
          </w:tcPr>
          <w:p w14:paraId="67F08448">
            <w:pPr>
              <w:pStyle w:val="7"/>
            </w:pPr>
            <w:r>
              <w:rPr>
                <w:rFonts w:hint="eastAsia"/>
              </w:rPr>
              <w:t xml:space="preserve">赵如意 </w:t>
            </w:r>
          </w:p>
        </w:tc>
      </w:tr>
      <w:tr w14:paraId="3C12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87F2B">
            <w:pPr>
              <w:pStyle w:val="7"/>
            </w:pPr>
            <w:r>
              <w:rPr>
                <w:rFonts w:hint="eastAsia"/>
              </w:rPr>
              <w:t xml:space="preserve">电话： </w:t>
            </w:r>
          </w:p>
        </w:tc>
        <w:tc>
          <w:tcPr>
            <w:tcW w:w="7440" w:type="dxa"/>
            <w:shd w:val="clear" w:color="auto" w:fill="auto"/>
          </w:tcPr>
          <w:p w14:paraId="06F39A66">
            <w:pPr>
              <w:pStyle w:val="7"/>
            </w:pPr>
            <w:r>
              <w:rPr>
                <w:rFonts w:hint="eastAsia"/>
              </w:rPr>
              <w:t xml:space="preserve">0532-85725062 </w:t>
            </w:r>
          </w:p>
        </w:tc>
      </w:tr>
      <w:tr w14:paraId="2666A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CBC61">
            <w:pPr>
              <w:pStyle w:val="7"/>
            </w:pPr>
            <w:r>
              <w:rPr>
                <w:rFonts w:hint="eastAsia"/>
              </w:rPr>
              <w:t xml:space="preserve">客户服务电话： </w:t>
            </w:r>
          </w:p>
        </w:tc>
        <w:tc>
          <w:tcPr>
            <w:tcW w:w="7440" w:type="dxa"/>
            <w:shd w:val="clear" w:color="auto" w:fill="auto"/>
          </w:tcPr>
          <w:p w14:paraId="59DC90C7">
            <w:pPr>
              <w:pStyle w:val="7"/>
            </w:pPr>
            <w:r>
              <w:rPr>
                <w:rFonts w:hint="eastAsia"/>
              </w:rPr>
              <w:t xml:space="preserve">95548 </w:t>
            </w:r>
          </w:p>
        </w:tc>
      </w:tr>
      <w:tr w14:paraId="00CC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4DBAD">
            <w:pPr>
              <w:pStyle w:val="7"/>
            </w:pPr>
            <w:r>
              <w:rPr>
                <w:rFonts w:hint="eastAsia"/>
              </w:rPr>
              <w:t xml:space="preserve">网址： </w:t>
            </w:r>
          </w:p>
        </w:tc>
        <w:tc>
          <w:tcPr>
            <w:tcW w:w="7440" w:type="dxa"/>
            <w:shd w:val="clear" w:color="auto" w:fill="auto"/>
          </w:tcPr>
          <w:p w14:paraId="380E4176">
            <w:pPr>
              <w:pStyle w:val="7"/>
            </w:pPr>
            <w:r>
              <w:rPr>
                <w:rFonts w:hint="eastAsia"/>
              </w:rPr>
              <w:t xml:space="preserve">sd.citics.com </w:t>
            </w:r>
          </w:p>
        </w:tc>
      </w:tr>
    </w:tbl>
    <w:p w14:paraId="52A7DEF0">
      <w:pPr>
        <w:pStyle w:val="7"/>
        <w:spacing w:before="0" w:beforeAutospacing="0" w:after="0" w:afterAutospacing="0" w:line="360" w:lineRule="auto"/>
        <w:ind w:firstLine="420"/>
        <w:rPr>
          <w:sz w:val="21"/>
          <w:szCs w:val="21"/>
        </w:rPr>
      </w:pPr>
      <w:r>
        <w:rPr>
          <w:rFonts w:hint="eastAsia"/>
          <w:b/>
          <w:bCs/>
          <w:sz w:val="21"/>
          <w:szCs w:val="21"/>
        </w:rPr>
        <w:t>(17)东吴证券股份有限公司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31A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40396">
            <w:pPr>
              <w:pStyle w:val="7"/>
            </w:pPr>
            <w:r>
              <w:rPr>
                <w:rFonts w:hint="eastAsia"/>
              </w:rPr>
              <w:t xml:space="preserve">注册地址： </w:t>
            </w:r>
          </w:p>
        </w:tc>
        <w:tc>
          <w:tcPr>
            <w:tcW w:w="7440" w:type="dxa"/>
            <w:shd w:val="clear" w:color="auto" w:fill="auto"/>
          </w:tcPr>
          <w:p w14:paraId="421691B2">
            <w:pPr>
              <w:pStyle w:val="7"/>
            </w:pPr>
            <w:r>
              <w:rPr>
                <w:rFonts w:hint="eastAsia"/>
              </w:rPr>
              <w:t xml:space="preserve">江苏省苏州市翠园路181号 </w:t>
            </w:r>
          </w:p>
        </w:tc>
      </w:tr>
      <w:tr w14:paraId="043D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E0643">
            <w:pPr>
              <w:pStyle w:val="7"/>
            </w:pPr>
            <w:r>
              <w:rPr>
                <w:rFonts w:hint="eastAsia"/>
              </w:rPr>
              <w:t xml:space="preserve">办公地址： </w:t>
            </w:r>
          </w:p>
        </w:tc>
        <w:tc>
          <w:tcPr>
            <w:tcW w:w="7440" w:type="dxa"/>
            <w:shd w:val="clear" w:color="auto" w:fill="auto"/>
          </w:tcPr>
          <w:p w14:paraId="1B8337C1">
            <w:pPr>
              <w:pStyle w:val="7"/>
            </w:pPr>
            <w:r>
              <w:rPr>
                <w:rFonts w:hint="eastAsia"/>
              </w:rPr>
              <w:t xml:space="preserve">江苏省苏州市星阳街5号 </w:t>
            </w:r>
          </w:p>
        </w:tc>
      </w:tr>
      <w:tr w14:paraId="3EBA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2E09A">
            <w:pPr>
              <w:pStyle w:val="7"/>
            </w:pPr>
            <w:r>
              <w:rPr>
                <w:rFonts w:hint="eastAsia"/>
              </w:rPr>
              <w:t xml:space="preserve">法定代表人： </w:t>
            </w:r>
          </w:p>
        </w:tc>
        <w:tc>
          <w:tcPr>
            <w:tcW w:w="7440" w:type="dxa"/>
            <w:shd w:val="clear" w:color="auto" w:fill="auto"/>
          </w:tcPr>
          <w:p w14:paraId="2279510E">
            <w:pPr>
              <w:pStyle w:val="7"/>
            </w:pPr>
            <w:r>
              <w:rPr>
                <w:rFonts w:hint="eastAsia"/>
              </w:rPr>
              <w:t xml:space="preserve">范力 </w:t>
            </w:r>
          </w:p>
        </w:tc>
      </w:tr>
      <w:tr w14:paraId="0AA46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55DD0">
            <w:pPr>
              <w:pStyle w:val="7"/>
            </w:pPr>
            <w:r>
              <w:rPr>
                <w:rFonts w:hint="eastAsia"/>
              </w:rPr>
              <w:t xml:space="preserve">联系人： </w:t>
            </w:r>
          </w:p>
        </w:tc>
        <w:tc>
          <w:tcPr>
            <w:tcW w:w="7440" w:type="dxa"/>
            <w:shd w:val="clear" w:color="auto" w:fill="auto"/>
          </w:tcPr>
          <w:p w14:paraId="528864DF">
            <w:pPr>
              <w:pStyle w:val="7"/>
            </w:pPr>
            <w:r>
              <w:rPr>
                <w:rFonts w:hint="eastAsia"/>
              </w:rPr>
              <w:t xml:space="preserve">陆晓 </w:t>
            </w:r>
          </w:p>
        </w:tc>
      </w:tr>
      <w:tr w14:paraId="27016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F7A3D">
            <w:pPr>
              <w:pStyle w:val="7"/>
            </w:pPr>
            <w:r>
              <w:rPr>
                <w:rFonts w:hint="eastAsia"/>
              </w:rPr>
              <w:t xml:space="preserve">电话： </w:t>
            </w:r>
          </w:p>
        </w:tc>
        <w:tc>
          <w:tcPr>
            <w:tcW w:w="7440" w:type="dxa"/>
            <w:shd w:val="clear" w:color="auto" w:fill="auto"/>
          </w:tcPr>
          <w:p w14:paraId="106CEC4B">
            <w:pPr>
              <w:pStyle w:val="7"/>
            </w:pPr>
            <w:r>
              <w:rPr>
                <w:rFonts w:hint="eastAsia"/>
              </w:rPr>
              <w:t xml:space="preserve">0512-62938521 </w:t>
            </w:r>
          </w:p>
        </w:tc>
      </w:tr>
      <w:tr w14:paraId="6F57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F7066">
            <w:pPr>
              <w:pStyle w:val="7"/>
            </w:pPr>
            <w:r>
              <w:rPr>
                <w:rFonts w:hint="eastAsia"/>
              </w:rPr>
              <w:t xml:space="preserve">传真： </w:t>
            </w:r>
          </w:p>
        </w:tc>
        <w:tc>
          <w:tcPr>
            <w:tcW w:w="7440" w:type="dxa"/>
            <w:shd w:val="clear" w:color="auto" w:fill="auto"/>
          </w:tcPr>
          <w:p w14:paraId="6D4FAEB1">
            <w:pPr>
              <w:pStyle w:val="7"/>
            </w:pPr>
            <w:r>
              <w:rPr>
                <w:rFonts w:hint="eastAsia"/>
              </w:rPr>
              <w:t xml:space="preserve">0512－65588021 </w:t>
            </w:r>
          </w:p>
        </w:tc>
      </w:tr>
      <w:tr w14:paraId="489BA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EF23E">
            <w:pPr>
              <w:pStyle w:val="7"/>
            </w:pPr>
            <w:r>
              <w:rPr>
                <w:rFonts w:hint="eastAsia"/>
              </w:rPr>
              <w:t xml:space="preserve">客户服务电话： </w:t>
            </w:r>
          </w:p>
        </w:tc>
        <w:tc>
          <w:tcPr>
            <w:tcW w:w="7440" w:type="dxa"/>
            <w:shd w:val="clear" w:color="auto" w:fill="auto"/>
          </w:tcPr>
          <w:p w14:paraId="1D2FE5F3">
            <w:pPr>
              <w:pStyle w:val="7"/>
            </w:pPr>
            <w:r>
              <w:rPr>
                <w:rFonts w:hint="eastAsia"/>
              </w:rPr>
              <w:t xml:space="preserve">95330 </w:t>
            </w:r>
          </w:p>
        </w:tc>
      </w:tr>
      <w:tr w14:paraId="71C3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875BD">
            <w:pPr>
              <w:pStyle w:val="7"/>
            </w:pPr>
            <w:r>
              <w:rPr>
                <w:rFonts w:hint="eastAsia"/>
              </w:rPr>
              <w:t xml:space="preserve">网址： </w:t>
            </w:r>
          </w:p>
        </w:tc>
        <w:tc>
          <w:tcPr>
            <w:tcW w:w="7440" w:type="dxa"/>
            <w:shd w:val="clear" w:color="auto" w:fill="auto"/>
          </w:tcPr>
          <w:p w14:paraId="456F13DD">
            <w:pPr>
              <w:pStyle w:val="7"/>
            </w:pPr>
            <w:r>
              <w:rPr>
                <w:rFonts w:hint="eastAsia"/>
              </w:rPr>
              <w:t xml:space="preserve">https://www.dwzq.com.cn </w:t>
            </w:r>
          </w:p>
        </w:tc>
      </w:tr>
    </w:tbl>
    <w:p w14:paraId="0D7DA537">
      <w:pPr>
        <w:pStyle w:val="7"/>
        <w:spacing w:before="0" w:beforeAutospacing="0" w:after="0" w:afterAutospacing="0" w:line="360" w:lineRule="auto"/>
        <w:ind w:firstLine="420"/>
        <w:rPr>
          <w:sz w:val="21"/>
          <w:szCs w:val="21"/>
        </w:rPr>
      </w:pPr>
      <w:r>
        <w:rPr>
          <w:rFonts w:hint="eastAsia"/>
          <w:b/>
          <w:bCs/>
          <w:sz w:val="21"/>
          <w:szCs w:val="21"/>
        </w:rPr>
        <w:t>(18)信达证券股份有限公司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A81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C2C8D">
            <w:pPr>
              <w:pStyle w:val="7"/>
            </w:pPr>
            <w:r>
              <w:rPr>
                <w:rFonts w:hint="eastAsia"/>
              </w:rPr>
              <w:t xml:space="preserve">注册地址： </w:t>
            </w:r>
          </w:p>
        </w:tc>
        <w:tc>
          <w:tcPr>
            <w:tcW w:w="7440" w:type="dxa"/>
            <w:shd w:val="clear" w:color="auto" w:fill="auto"/>
          </w:tcPr>
          <w:p w14:paraId="7E2DAC59">
            <w:pPr>
              <w:pStyle w:val="7"/>
            </w:pPr>
            <w:r>
              <w:rPr>
                <w:rFonts w:hint="eastAsia"/>
              </w:rPr>
              <w:t xml:space="preserve">北京市西城区闹市口大街9号院1号楼 </w:t>
            </w:r>
          </w:p>
        </w:tc>
      </w:tr>
      <w:tr w14:paraId="3DF0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CB98F">
            <w:pPr>
              <w:pStyle w:val="7"/>
            </w:pPr>
            <w:r>
              <w:rPr>
                <w:rFonts w:hint="eastAsia"/>
              </w:rPr>
              <w:t xml:space="preserve">办公地址： </w:t>
            </w:r>
          </w:p>
        </w:tc>
        <w:tc>
          <w:tcPr>
            <w:tcW w:w="7440" w:type="dxa"/>
            <w:shd w:val="clear" w:color="auto" w:fill="auto"/>
          </w:tcPr>
          <w:p w14:paraId="76554EBE">
            <w:pPr>
              <w:pStyle w:val="7"/>
            </w:pPr>
            <w:r>
              <w:rPr>
                <w:rFonts w:hint="eastAsia"/>
              </w:rPr>
              <w:t xml:space="preserve">北京市西城区闹市口大街9号院1号楼 </w:t>
            </w:r>
          </w:p>
        </w:tc>
      </w:tr>
      <w:tr w14:paraId="75975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9C723">
            <w:pPr>
              <w:pStyle w:val="7"/>
            </w:pPr>
            <w:r>
              <w:rPr>
                <w:rFonts w:hint="eastAsia"/>
              </w:rPr>
              <w:t xml:space="preserve">法定代表人： </w:t>
            </w:r>
          </w:p>
        </w:tc>
        <w:tc>
          <w:tcPr>
            <w:tcW w:w="7440" w:type="dxa"/>
            <w:shd w:val="clear" w:color="auto" w:fill="auto"/>
          </w:tcPr>
          <w:p w14:paraId="6BDC8C83">
            <w:pPr>
              <w:pStyle w:val="7"/>
            </w:pPr>
            <w:r>
              <w:rPr>
                <w:rFonts w:hint="eastAsia"/>
              </w:rPr>
              <w:t xml:space="preserve">祝瑞敏 </w:t>
            </w:r>
          </w:p>
        </w:tc>
      </w:tr>
      <w:tr w14:paraId="171E1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C81D2">
            <w:pPr>
              <w:pStyle w:val="7"/>
            </w:pPr>
            <w:r>
              <w:rPr>
                <w:rFonts w:hint="eastAsia"/>
              </w:rPr>
              <w:t xml:space="preserve">联系人： </w:t>
            </w:r>
          </w:p>
        </w:tc>
        <w:tc>
          <w:tcPr>
            <w:tcW w:w="7440" w:type="dxa"/>
            <w:shd w:val="clear" w:color="auto" w:fill="auto"/>
          </w:tcPr>
          <w:p w14:paraId="58A72CA6">
            <w:pPr>
              <w:pStyle w:val="7"/>
            </w:pPr>
            <w:r>
              <w:rPr>
                <w:rFonts w:hint="eastAsia"/>
              </w:rPr>
              <w:t xml:space="preserve">王薇安 </w:t>
            </w:r>
          </w:p>
        </w:tc>
      </w:tr>
      <w:tr w14:paraId="650C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EE2D1">
            <w:pPr>
              <w:pStyle w:val="7"/>
            </w:pPr>
            <w:r>
              <w:rPr>
                <w:rFonts w:hint="eastAsia"/>
              </w:rPr>
              <w:t xml:space="preserve">电话： </w:t>
            </w:r>
          </w:p>
        </w:tc>
        <w:tc>
          <w:tcPr>
            <w:tcW w:w="7440" w:type="dxa"/>
            <w:shd w:val="clear" w:color="auto" w:fill="auto"/>
          </w:tcPr>
          <w:p w14:paraId="073A045C">
            <w:pPr>
              <w:pStyle w:val="7"/>
            </w:pPr>
            <w:r>
              <w:rPr>
                <w:rFonts w:hint="eastAsia"/>
              </w:rPr>
              <w:t xml:space="preserve">010－83252170 </w:t>
            </w:r>
          </w:p>
        </w:tc>
      </w:tr>
      <w:tr w14:paraId="5BB6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E3E5C">
            <w:pPr>
              <w:pStyle w:val="7"/>
            </w:pPr>
            <w:r>
              <w:rPr>
                <w:rFonts w:hint="eastAsia"/>
              </w:rPr>
              <w:t xml:space="preserve">传真： </w:t>
            </w:r>
          </w:p>
        </w:tc>
        <w:tc>
          <w:tcPr>
            <w:tcW w:w="7440" w:type="dxa"/>
            <w:shd w:val="clear" w:color="auto" w:fill="auto"/>
          </w:tcPr>
          <w:p w14:paraId="08079103">
            <w:pPr>
              <w:pStyle w:val="7"/>
            </w:pPr>
            <w:r>
              <w:rPr>
                <w:rFonts w:hint="eastAsia"/>
              </w:rPr>
              <w:t xml:space="preserve">010－63081344 </w:t>
            </w:r>
          </w:p>
        </w:tc>
      </w:tr>
      <w:tr w14:paraId="1A4C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005B1">
            <w:pPr>
              <w:pStyle w:val="7"/>
            </w:pPr>
            <w:r>
              <w:rPr>
                <w:rFonts w:hint="eastAsia"/>
              </w:rPr>
              <w:t xml:space="preserve">客户服务电话： </w:t>
            </w:r>
          </w:p>
        </w:tc>
        <w:tc>
          <w:tcPr>
            <w:tcW w:w="7440" w:type="dxa"/>
            <w:shd w:val="clear" w:color="auto" w:fill="auto"/>
          </w:tcPr>
          <w:p w14:paraId="30A7DDDB">
            <w:pPr>
              <w:pStyle w:val="7"/>
            </w:pPr>
            <w:r>
              <w:rPr>
                <w:rFonts w:hint="eastAsia"/>
              </w:rPr>
              <w:t xml:space="preserve">95321 </w:t>
            </w:r>
          </w:p>
        </w:tc>
      </w:tr>
      <w:tr w14:paraId="7887A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EC7C4">
            <w:pPr>
              <w:pStyle w:val="7"/>
            </w:pPr>
            <w:r>
              <w:rPr>
                <w:rFonts w:hint="eastAsia"/>
              </w:rPr>
              <w:t xml:space="preserve">网址： </w:t>
            </w:r>
          </w:p>
        </w:tc>
        <w:tc>
          <w:tcPr>
            <w:tcW w:w="7440" w:type="dxa"/>
            <w:shd w:val="clear" w:color="auto" w:fill="auto"/>
          </w:tcPr>
          <w:p w14:paraId="15703A50">
            <w:pPr>
              <w:pStyle w:val="7"/>
            </w:pPr>
            <w:r>
              <w:rPr>
                <w:rFonts w:hint="eastAsia"/>
              </w:rPr>
              <w:t xml:space="preserve">http://www.cindasc.com </w:t>
            </w:r>
          </w:p>
        </w:tc>
      </w:tr>
    </w:tbl>
    <w:p w14:paraId="617A5C31">
      <w:pPr>
        <w:pStyle w:val="7"/>
        <w:spacing w:before="0" w:beforeAutospacing="0" w:after="0" w:afterAutospacing="0" w:line="360" w:lineRule="auto"/>
        <w:ind w:firstLine="420"/>
        <w:rPr>
          <w:sz w:val="21"/>
          <w:szCs w:val="21"/>
        </w:rPr>
      </w:pPr>
      <w:r>
        <w:rPr>
          <w:rFonts w:hint="eastAsia"/>
          <w:b/>
          <w:bCs/>
          <w:sz w:val="21"/>
          <w:szCs w:val="21"/>
        </w:rPr>
        <w:t>(19)东方证券股份有限公司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9CC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F926D">
            <w:pPr>
              <w:pStyle w:val="7"/>
            </w:pPr>
            <w:r>
              <w:rPr>
                <w:rFonts w:hint="eastAsia"/>
              </w:rPr>
              <w:t xml:space="preserve">注册地址： </w:t>
            </w:r>
          </w:p>
        </w:tc>
        <w:tc>
          <w:tcPr>
            <w:tcW w:w="7440" w:type="dxa"/>
            <w:shd w:val="clear" w:color="auto" w:fill="auto"/>
          </w:tcPr>
          <w:p w14:paraId="3F717F1B">
            <w:pPr>
              <w:pStyle w:val="7"/>
            </w:pPr>
            <w:r>
              <w:rPr>
                <w:rFonts w:hint="eastAsia"/>
              </w:rPr>
              <w:t xml:space="preserve">上海市中山南路318号2号楼22层－29层 </w:t>
            </w:r>
          </w:p>
        </w:tc>
      </w:tr>
      <w:tr w14:paraId="3D03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DC7E6">
            <w:pPr>
              <w:pStyle w:val="7"/>
            </w:pPr>
            <w:r>
              <w:rPr>
                <w:rFonts w:hint="eastAsia"/>
              </w:rPr>
              <w:t xml:space="preserve">办公地址： </w:t>
            </w:r>
          </w:p>
        </w:tc>
        <w:tc>
          <w:tcPr>
            <w:tcW w:w="7440" w:type="dxa"/>
            <w:shd w:val="clear" w:color="auto" w:fill="auto"/>
          </w:tcPr>
          <w:p w14:paraId="786196CD">
            <w:pPr>
              <w:pStyle w:val="7"/>
            </w:pPr>
            <w:r>
              <w:rPr>
                <w:rFonts w:hint="eastAsia"/>
              </w:rPr>
              <w:t xml:space="preserve">上海市中山南路318号2号楼21层－29层 </w:t>
            </w:r>
          </w:p>
        </w:tc>
      </w:tr>
      <w:tr w14:paraId="73BF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C9B2C">
            <w:pPr>
              <w:pStyle w:val="7"/>
            </w:pPr>
            <w:r>
              <w:rPr>
                <w:rFonts w:hint="eastAsia"/>
              </w:rPr>
              <w:t xml:space="preserve">法定代表人： </w:t>
            </w:r>
          </w:p>
        </w:tc>
        <w:tc>
          <w:tcPr>
            <w:tcW w:w="7440" w:type="dxa"/>
            <w:shd w:val="clear" w:color="auto" w:fill="auto"/>
          </w:tcPr>
          <w:p w14:paraId="723964D6">
            <w:pPr>
              <w:pStyle w:val="7"/>
            </w:pPr>
            <w:r>
              <w:rPr>
                <w:rFonts w:hint="eastAsia"/>
              </w:rPr>
              <w:t xml:space="preserve">金文忠 </w:t>
            </w:r>
          </w:p>
        </w:tc>
      </w:tr>
      <w:tr w14:paraId="3955C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6F239">
            <w:pPr>
              <w:pStyle w:val="7"/>
            </w:pPr>
            <w:r>
              <w:rPr>
                <w:rFonts w:hint="eastAsia"/>
              </w:rPr>
              <w:t xml:space="preserve">联系人： </w:t>
            </w:r>
          </w:p>
        </w:tc>
        <w:tc>
          <w:tcPr>
            <w:tcW w:w="7440" w:type="dxa"/>
            <w:shd w:val="clear" w:color="auto" w:fill="auto"/>
          </w:tcPr>
          <w:p w14:paraId="0D82D776">
            <w:pPr>
              <w:pStyle w:val="7"/>
            </w:pPr>
            <w:r>
              <w:rPr>
                <w:rFonts w:hint="eastAsia"/>
              </w:rPr>
              <w:t xml:space="preserve">朱琼玉 </w:t>
            </w:r>
          </w:p>
        </w:tc>
      </w:tr>
      <w:tr w14:paraId="25C1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20627">
            <w:pPr>
              <w:pStyle w:val="7"/>
            </w:pPr>
            <w:r>
              <w:rPr>
                <w:rFonts w:hint="eastAsia"/>
              </w:rPr>
              <w:t xml:space="preserve">电话： </w:t>
            </w:r>
          </w:p>
        </w:tc>
        <w:tc>
          <w:tcPr>
            <w:tcW w:w="7440" w:type="dxa"/>
            <w:shd w:val="clear" w:color="auto" w:fill="auto"/>
          </w:tcPr>
          <w:p w14:paraId="0B2EB123">
            <w:pPr>
              <w:pStyle w:val="7"/>
            </w:pPr>
            <w:r>
              <w:rPr>
                <w:rFonts w:hint="eastAsia"/>
              </w:rPr>
              <w:t xml:space="preserve">021-63325888 </w:t>
            </w:r>
          </w:p>
        </w:tc>
      </w:tr>
      <w:tr w14:paraId="08A5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9F873">
            <w:pPr>
              <w:pStyle w:val="7"/>
            </w:pPr>
            <w:r>
              <w:rPr>
                <w:rFonts w:hint="eastAsia"/>
              </w:rPr>
              <w:t xml:space="preserve">传真： </w:t>
            </w:r>
          </w:p>
        </w:tc>
        <w:tc>
          <w:tcPr>
            <w:tcW w:w="7440" w:type="dxa"/>
            <w:shd w:val="clear" w:color="auto" w:fill="auto"/>
          </w:tcPr>
          <w:p w14:paraId="0AC7C1B1">
            <w:pPr>
              <w:pStyle w:val="7"/>
            </w:pPr>
            <w:r>
              <w:rPr>
                <w:rFonts w:hint="eastAsia"/>
              </w:rPr>
              <w:t xml:space="preserve">021－63326729 </w:t>
            </w:r>
          </w:p>
        </w:tc>
      </w:tr>
      <w:tr w14:paraId="3564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30C3A">
            <w:pPr>
              <w:pStyle w:val="7"/>
            </w:pPr>
            <w:r>
              <w:rPr>
                <w:rFonts w:hint="eastAsia"/>
              </w:rPr>
              <w:t xml:space="preserve">客户服务电话： </w:t>
            </w:r>
          </w:p>
        </w:tc>
        <w:tc>
          <w:tcPr>
            <w:tcW w:w="7440" w:type="dxa"/>
            <w:shd w:val="clear" w:color="auto" w:fill="auto"/>
          </w:tcPr>
          <w:p w14:paraId="03D7E6AC">
            <w:pPr>
              <w:pStyle w:val="7"/>
            </w:pPr>
            <w:r>
              <w:rPr>
                <w:rFonts w:hint="eastAsia"/>
              </w:rPr>
              <w:t xml:space="preserve">95503 </w:t>
            </w:r>
          </w:p>
        </w:tc>
      </w:tr>
      <w:tr w14:paraId="0EFA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C549A">
            <w:pPr>
              <w:pStyle w:val="7"/>
            </w:pPr>
            <w:r>
              <w:rPr>
                <w:rFonts w:hint="eastAsia"/>
              </w:rPr>
              <w:t xml:space="preserve">网址： </w:t>
            </w:r>
          </w:p>
        </w:tc>
        <w:tc>
          <w:tcPr>
            <w:tcW w:w="7440" w:type="dxa"/>
            <w:shd w:val="clear" w:color="auto" w:fill="auto"/>
          </w:tcPr>
          <w:p w14:paraId="3635DEE8">
            <w:pPr>
              <w:pStyle w:val="7"/>
            </w:pPr>
            <w:r>
              <w:rPr>
                <w:rFonts w:hint="eastAsia"/>
              </w:rPr>
              <w:t xml:space="preserve">http://www.dfzq.com.cn </w:t>
            </w:r>
          </w:p>
        </w:tc>
      </w:tr>
    </w:tbl>
    <w:p w14:paraId="427000BB">
      <w:pPr>
        <w:pStyle w:val="7"/>
        <w:spacing w:before="0" w:beforeAutospacing="0" w:after="0" w:afterAutospacing="0" w:line="360" w:lineRule="auto"/>
        <w:ind w:firstLine="420"/>
        <w:rPr>
          <w:sz w:val="21"/>
          <w:szCs w:val="21"/>
        </w:rPr>
      </w:pPr>
      <w:r>
        <w:rPr>
          <w:rFonts w:hint="eastAsia"/>
          <w:b/>
          <w:bCs/>
          <w:sz w:val="21"/>
          <w:szCs w:val="21"/>
        </w:rPr>
        <w:t>(20)方正证券股份有限公司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03F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79306">
            <w:pPr>
              <w:pStyle w:val="7"/>
            </w:pPr>
            <w:r>
              <w:rPr>
                <w:rFonts w:hint="eastAsia"/>
              </w:rPr>
              <w:t xml:space="preserve">注册地址： </w:t>
            </w:r>
          </w:p>
        </w:tc>
        <w:tc>
          <w:tcPr>
            <w:tcW w:w="7440" w:type="dxa"/>
            <w:shd w:val="clear" w:color="auto" w:fill="auto"/>
          </w:tcPr>
          <w:p w14:paraId="70007F77">
            <w:pPr>
              <w:pStyle w:val="7"/>
            </w:pPr>
            <w:r>
              <w:rPr>
                <w:rFonts w:hint="eastAsia"/>
              </w:rPr>
              <w:t xml:space="preserve">湖南长沙芙蓉中路2段华侨国际大厦22-24层 </w:t>
            </w:r>
          </w:p>
        </w:tc>
      </w:tr>
      <w:tr w14:paraId="6C58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EA09C">
            <w:pPr>
              <w:pStyle w:val="7"/>
            </w:pPr>
            <w:r>
              <w:rPr>
                <w:rFonts w:hint="eastAsia"/>
              </w:rPr>
              <w:t xml:space="preserve">办公地址： </w:t>
            </w:r>
          </w:p>
        </w:tc>
        <w:tc>
          <w:tcPr>
            <w:tcW w:w="7440" w:type="dxa"/>
            <w:shd w:val="clear" w:color="auto" w:fill="auto"/>
          </w:tcPr>
          <w:p w14:paraId="012D8020">
            <w:pPr>
              <w:pStyle w:val="7"/>
            </w:pPr>
            <w:r>
              <w:rPr>
                <w:rFonts w:hint="eastAsia"/>
              </w:rPr>
              <w:t xml:space="preserve">湖南长沙芙蓉中路2段华侨国际大厦22-24层 </w:t>
            </w:r>
          </w:p>
        </w:tc>
      </w:tr>
      <w:tr w14:paraId="553BC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F015">
            <w:pPr>
              <w:pStyle w:val="7"/>
            </w:pPr>
            <w:r>
              <w:rPr>
                <w:rFonts w:hint="eastAsia"/>
              </w:rPr>
              <w:t xml:space="preserve">法定代表人： </w:t>
            </w:r>
          </w:p>
        </w:tc>
        <w:tc>
          <w:tcPr>
            <w:tcW w:w="7440" w:type="dxa"/>
            <w:shd w:val="clear" w:color="auto" w:fill="auto"/>
          </w:tcPr>
          <w:p w14:paraId="1F2AB07A">
            <w:pPr>
              <w:pStyle w:val="7"/>
            </w:pPr>
            <w:r>
              <w:rPr>
                <w:rFonts w:hint="eastAsia"/>
              </w:rPr>
              <w:t xml:space="preserve">施华 </w:t>
            </w:r>
          </w:p>
        </w:tc>
      </w:tr>
      <w:tr w14:paraId="6DC4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BC45B">
            <w:pPr>
              <w:pStyle w:val="7"/>
            </w:pPr>
            <w:r>
              <w:rPr>
                <w:rFonts w:hint="eastAsia"/>
              </w:rPr>
              <w:t xml:space="preserve">联系人： </w:t>
            </w:r>
          </w:p>
        </w:tc>
        <w:tc>
          <w:tcPr>
            <w:tcW w:w="7440" w:type="dxa"/>
            <w:shd w:val="clear" w:color="auto" w:fill="auto"/>
          </w:tcPr>
          <w:p w14:paraId="56F311D8">
            <w:pPr>
              <w:pStyle w:val="7"/>
            </w:pPr>
            <w:r>
              <w:rPr>
                <w:rFonts w:hint="eastAsia"/>
              </w:rPr>
              <w:t xml:space="preserve">胡创 </w:t>
            </w:r>
          </w:p>
        </w:tc>
      </w:tr>
      <w:tr w14:paraId="7C33F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7975C">
            <w:pPr>
              <w:pStyle w:val="7"/>
            </w:pPr>
            <w:r>
              <w:rPr>
                <w:rFonts w:hint="eastAsia"/>
              </w:rPr>
              <w:t xml:space="preserve">电话： </w:t>
            </w:r>
          </w:p>
        </w:tc>
        <w:tc>
          <w:tcPr>
            <w:tcW w:w="7440" w:type="dxa"/>
            <w:shd w:val="clear" w:color="auto" w:fill="auto"/>
          </w:tcPr>
          <w:p w14:paraId="6C9A1706">
            <w:pPr>
              <w:pStyle w:val="7"/>
            </w:pPr>
            <w:r>
              <w:rPr>
                <w:rFonts w:hint="eastAsia"/>
              </w:rPr>
              <w:t xml:space="preserve">010-56437060 </w:t>
            </w:r>
          </w:p>
        </w:tc>
      </w:tr>
      <w:tr w14:paraId="207F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B1B3A">
            <w:pPr>
              <w:pStyle w:val="7"/>
            </w:pPr>
            <w:r>
              <w:rPr>
                <w:rFonts w:hint="eastAsia"/>
              </w:rPr>
              <w:t xml:space="preserve">传真： </w:t>
            </w:r>
          </w:p>
        </w:tc>
        <w:tc>
          <w:tcPr>
            <w:tcW w:w="7440" w:type="dxa"/>
            <w:shd w:val="clear" w:color="auto" w:fill="auto"/>
          </w:tcPr>
          <w:p w14:paraId="020E36AD">
            <w:pPr>
              <w:pStyle w:val="7"/>
            </w:pPr>
            <w:r>
              <w:rPr>
                <w:rFonts w:hint="eastAsia"/>
              </w:rPr>
              <w:t xml:space="preserve">0731-85832214 </w:t>
            </w:r>
          </w:p>
        </w:tc>
      </w:tr>
      <w:tr w14:paraId="00C0C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CF928">
            <w:pPr>
              <w:pStyle w:val="7"/>
            </w:pPr>
            <w:r>
              <w:rPr>
                <w:rFonts w:hint="eastAsia"/>
              </w:rPr>
              <w:t xml:space="preserve">客户服务电话： </w:t>
            </w:r>
          </w:p>
        </w:tc>
        <w:tc>
          <w:tcPr>
            <w:tcW w:w="7440" w:type="dxa"/>
            <w:shd w:val="clear" w:color="auto" w:fill="auto"/>
          </w:tcPr>
          <w:p w14:paraId="7051A00B">
            <w:pPr>
              <w:pStyle w:val="7"/>
            </w:pPr>
            <w:r>
              <w:rPr>
                <w:rFonts w:hint="eastAsia"/>
              </w:rPr>
              <w:t xml:space="preserve">95571 </w:t>
            </w:r>
          </w:p>
        </w:tc>
      </w:tr>
      <w:tr w14:paraId="6BC5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C8963">
            <w:pPr>
              <w:pStyle w:val="7"/>
            </w:pPr>
            <w:r>
              <w:rPr>
                <w:rFonts w:hint="eastAsia"/>
              </w:rPr>
              <w:t xml:space="preserve">网址： </w:t>
            </w:r>
          </w:p>
        </w:tc>
        <w:tc>
          <w:tcPr>
            <w:tcW w:w="7440" w:type="dxa"/>
            <w:shd w:val="clear" w:color="auto" w:fill="auto"/>
          </w:tcPr>
          <w:p w14:paraId="4EE158DD">
            <w:pPr>
              <w:pStyle w:val="7"/>
            </w:pPr>
            <w:r>
              <w:rPr>
                <w:rFonts w:hint="eastAsia"/>
              </w:rPr>
              <w:t xml:space="preserve">http://www.foundersc.com </w:t>
            </w:r>
          </w:p>
        </w:tc>
      </w:tr>
    </w:tbl>
    <w:p w14:paraId="7B957084">
      <w:pPr>
        <w:pStyle w:val="7"/>
        <w:spacing w:before="0" w:beforeAutospacing="0" w:after="0" w:afterAutospacing="0" w:line="360" w:lineRule="auto"/>
        <w:ind w:firstLine="420"/>
        <w:rPr>
          <w:sz w:val="21"/>
          <w:szCs w:val="21"/>
        </w:rPr>
      </w:pPr>
      <w:r>
        <w:rPr>
          <w:rFonts w:hint="eastAsia"/>
          <w:b/>
          <w:bCs/>
          <w:sz w:val="21"/>
          <w:szCs w:val="21"/>
        </w:rPr>
        <w:t>(21)长城证券股份有限公司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DCD1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7A4F2">
            <w:pPr>
              <w:pStyle w:val="7"/>
            </w:pPr>
            <w:r>
              <w:rPr>
                <w:rFonts w:hint="eastAsia"/>
              </w:rPr>
              <w:t xml:space="preserve">注册地址： </w:t>
            </w:r>
          </w:p>
        </w:tc>
        <w:tc>
          <w:tcPr>
            <w:tcW w:w="7440" w:type="dxa"/>
            <w:shd w:val="clear" w:color="auto" w:fill="auto"/>
          </w:tcPr>
          <w:p w14:paraId="1A2E39D9">
            <w:pPr>
              <w:pStyle w:val="7"/>
            </w:pPr>
            <w:r>
              <w:rPr>
                <w:rFonts w:hint="eastAsia"/>
              </w:rPr>
              <w:t xml:space="preserve">深圳市深南大道6008号特区报业大厦16、17层 </w:t>
            </w:r>
          </w:p>
        </w:tc>
      </w:tr>
      <w:tr w14:paraId="3691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15267">
            <w:pPr>
              <w:pStyle w:val="7"/>
            </w:pPr>
            <w:r>
              <w:rPr>
                <w:rFonts w:hint="eastAsia"/>
              </w:rPr>
              <w:t xml:space="preserve">办公地址： </w:t>
            </w:r>
          </w:p>
        </w:tc>
        <w:tc>
          <w:tcPr>
            <w:tcW w:w="7440" w:type="dxa"/>
            <w:shd w:val="clear" w:color="auto" w:fill="auto"/>
          </w:tcPr>
          <w:p w14:paraId="162B6440">
            <w:pPr>
              <w:pStyle w:val="7"/>
            </w:pPr>
            <w:r>
              <w:rPr>
                <w:rFonts w:hint="eastAsia"/>
              </w:rPr>
              <w:t xml:space="preserve">深圳市深南大道6008号特区报业大厦14、16、17层 </w:t>
            </w:r>
          </w:p>
        </w:tc>
      </w:tr>
      <w:tr w14:paraId="4F3A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4CAFC">
            <w:pPr>
              <w:pStyle w:val="7"/>
            </w:pPr>
            <w:r>
              <w:rPr>
                <w:rFonts w:hint="eastAsia"/>
              </w:rPr>
              <w:t xml:space="preserve">法定代表人： </w:t>
            </w:r>
          </w:p>
        </w:tc>
        <w:tc>
          <w:tcPr>
            <w:tcW w:w="7440" w:type="dxa"/>
            <w:shd w:val="clear" w:color="auto" w:fill="auto"/>
          </w:tcPr>
          <w:p w14:paraId="4E10C9D5">
            <w:pPr>
              <w:pStyle w:val="7"/>
            </w:pPr>
            <w:r>
              <w:rPr>
                <w:rFonts w:hint="eastAsia"/>
              </w:rPr>
              <w:t xml:space="preserve">丁益 </w:t>
            </w:r>
          </w:p>
        </w:tc>
      </w:tr>
      <w:tr w14:paraId="69D5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94D02">
            <w:pPr>
              <w:pStyle w:val="7"/>
            </w:pPr>
            <w:r>
              <w:rPr>
                <w:rFonts w:hint="eastAsia"/>
              </w:rPr>
              <w:t xml:space="preserve">联系人： </w:t>
            </w:r>
          </w:p>
        </w:tc>
        <w:tc>
          <w:tcPr>
            <w:tcW w:w="7440" w:type="dxa"/>
            <w:shd w:val="clear" w:color="auto" w:fill="auto"/>
          </w:tcPr>
          <w:p w14:paraId="0CA55E8B">
            <w:pPr>
              <w:pStyle w:val="7"/>
            </w:pPr>
            <w:r>
              <w:rPr>
                <w:rFonts w:hint="eastAsia"/>
              </w:rPr>
              <w:t xml:space="preserve">沈晓 </w:t>
            </w:r>
          </w:p>
        </w:tc>
      </w:tr>
      <w:tr w14:paraId="25F0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FA234">
            <w:pPr>
              <w:pStyle w:val="7"/>
            </w:pPr>
            <w:r>
              <w:rPr>
                <w:rFonts w:hint="eastAsia"/>
              </w:rPr>
              <w:t xml:space="preserve">电话： </w:t>
            </w:r>
          </w:p>
        </w:tc>
        <w:tc>
          <w:tcPr>
            <w:tcW w:w="7440" w:type="dxa"/>
            <w:shd w:val="clear" w:color="auto" w:fill="auto"/>
          </w:tcPr>
          <w:p w14:paraId="19500F1D">
            <w:pPr>
              <w:pStyle w:val="7"/>
            </w:pPr>
            <w:r>
              <w:rPr>
                <w:rFonts w:hint="eastAsia"/>
              </w:rPr>
              <w:t xml:space="preserve">0755-83464734 </w:t>
            </w:r>
          </w:p>
        </w:tc>
      </w:tr>
      <w:tr w14:paraId="4CEF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E3196">
            <w:pPr>
              <w:pStyle w:val="7"/>
            </w:pPr>
            <w:r>
              <w:rPr>
                <w:rFonts w:hint="eastAsia"/>
              </w:rPr>
              <w:t xml:space="preserve">传真： </w:t>
            </w:r>
          </w:p>
        </w:tc>
        <w:tc>
          <w:tcPr>
            <w:tcW w:w="7440" w:type="dxa"/>
            <w:shd w:val="clear" w:color="auto" w:fill="auto"/>
          </w:tcPr>
          <w:p w14:paraId="6D90DB3F">
            <w:pPr>
              <w:pStyle w:val="7"/>
            </w:pPr>
            <w:r>
              <w:rPr>
                <w:rFonts w:hint="eastAsia"/>
              </w:rPr>
              <w:t xml:space="preserve">0755－83515567 </w:t>
            </w:r>
          </w:p>
        </w:tc>
      </w:tr>
      <w:tr w14:paraId="4B80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B0769">
            <w:pPr>
              <w:pStyle w:val="7"/>
            </w:pPr>
            <w:r>
              <w:rPr>
                <w:rFonts w:hint="eastAsia"/>
              </w:rPr>
              <w:t xml:space="preserve">客户服务电话： </w:t>
            </w:r>
          </w:p>
        </w:tc>
        <w:tc>
          <w:tcPr>
            <w:tcW w:w="7440" w:type="dxa"/>
            <w:shd w:val="clear" w:color="auto" w:fill="auto"/>
          </w:tcPr>
          <w:p w14:paraId="51C654E3">
            <w:pPr>
              <w:pStyle w:val="7"/>
            </w:pPr>
            <w:r>
              <w:rPr>
                <w:rFonts w:hint="eastAsia"/>
              </w:rPr>
              <w:t xml:space="preserve">4006666888 </w:t>
            </w:r>
          </w:p>
        </w:tc>
      </w:tr>
      <w:tr w14:paraId="46D6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9EFF0">
            <w:pPr>
              <w:pStyle w:val="7"/>
            </w:pPr>
            <w:r>
              <w:rPr>
                <w:rFonts w:hint="eastAsia"/>
              </w:rPr>
              <w:t xml:space="preserve">网址： </w:t>
            </w:r>
          </w:p>
        </w:tc>
        <w:tc>
          <w:tcPr>
            <w:tcW w:w="7440" w:type="dxa"/>
            <w:shd w:val="clear" w:color="auto" w:fill="auto"/>
          </w:tcPr>
          <w:p w14:paraId="5D07EAB5">
            <w:pPr>
              <w:pStyle w:val="7"/>
            </w:pPr>
            <w:r>
              <w:rPr>
                <w:rFonts w:hint="eastAsia"/>
              </w:rPr>
              <w:t xml:space="preserve">http://www.cgws.com </w:t>
            </w:r>
          </w:p>
        </w:tc>
      </w:tr>
    </w:tbl>
    <w:p w14:paraId="59C5FD70">
      <w:pPr>
        <w:pStyle w:val="7"/>
        <w:spacing w:before="0" w:beforeAutospacing="0" w:after="0" w:afterAutospacing="0" w:line="360" w:lineRule="auto"/>
        <w:ind w:firstLine="420"/>
        <w:rPr>
          <w:sz w:val="21"/>
          <w:szCs w:val="21"/>
        </w:rPr>
      </w:pPr>
      <w:r>
        <w:rPr>
          <w:rFonts w:hint="eastAsia"/>
          <w:b/>
          <w:bCs/>
          <w:sz w:val="21"/>
          <w:szCs w:val="21"/>
        </w:rPr>
        <w:t>(22)中信证券华南股份有限公司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ED1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EE769">
            <w:pPr>
              <w:pStyle w:val="7"/>
            </w:pPr>
            <w:r>
              <w:rPr>
                <w:rFonts w:hint="eastAsia"/>
              </w:rPr>
              <w:t xml:space="preserve">注册地址： </w:t>
            </w:r>
          </w:p>
        </w:tc>
        <w:tc>
          <w:tcPr>
            <w:tcW w:w="7440" w:type="dxa"/>
            <w:shd w:val="clear" w:color="auto" w:fill="auto"/>
          </w:tcPr>
          <w:p w14:paraId="46BE4A98">
            <w:pPr>
              <w:pStyle w:val="7"/>
            </w:pPr>
            <w:r>
              <w:rPr>
                <w:rFonts w:hint="eastAsia"/>
              </w:rPr>
              <w:t xml:space="preserve">广州市天河区珠江西路5号广州国际金融中心主塔19层、20层 </w:t>
            </w:r>
          </w:p>
        </w:tc>
      </w:tr>
      <w:tr w14:paraId="2D71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E80AE">
            <w:pPr>
              <w:pStyle w:val="7"/>
            </w:pPr>
            <w:r>
              <w:rPr>
                <w:rFonts w:hint="eastAsia"/>
              </w:rPr>
              <w:t xml:space="preserve">办公地址： </w:t>
            </w:r>
          </w:p>
        </w:tc>
        <w:tc>
          <w:tcPr>
            <w:tcW w:w="7440" w:type="dxa"/>
            <w:shd w:val="clear" w:color="auto" w:fill="auto"/>
          </w:tcPr>
          <w:p w14:paraId="201135AF">
            <w:pPr>
              <w:pStyle w:val="7"/>
            </w:pPr>
            <w:r>
              <w:rPr>
                <w:rFonts w:hint="eastAsia"/>
              </w:rPr>
              <w:t xml:space="preserve">广州市天河区珠江西路5号广州国际金融中心主塔19层、20层 </w:t>
            </w:r>
          </w:p>
        </w:tc>
      </w:tr>
      <w:tr w14:paraId="76C3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157A4">
            <w:pPr>
              <w:pStyle w:val="7"/>
            </w:pPr>
            <w:r>
              <w:rPr>
                <w:rFonts w:hint="eastAsia"/>
              </w:rPr>
              <w:t xml:space="preserve">法定代表人： </w:t>
            </w:r>
          </w:p>
        </w:tc>
        <w:tc>
          <w:tcPr>
            <w:tcW w:w="7440" w:type="dxa"/>
            <w:shd w:val="clear" w:color="auto" w:fill="auto"/>
          </w:tcPr>
          <w:p w14:paraId="3BBFCB9A">
            <w:pPr>
              <w:pStyle w:val="7"/>
            </w:pPr>
            <w:r>
              <w:rPr>
                <w:rFonts w:hint="eastAsia"/>
              </w:rPr>
              <w:t xml:space="preserve">陈可可 </w:t>
            </w:r>
          </w:p>
        </w:tc>
      </w:tr>
      <w:tr w14:paraId="5091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78E93">
            <w:pPr>
              <w:pStyle w:val="7"/>
            </w:pPr>
            <w:r>
              <w:rPr>
                <w:rFonts w:hint="eastAsia"/>
              </w:rPr>
              <w:t xml:space="preserve">联系人： </w:t>
            </w:r>
          </w:p>
        </w:tc>
        <w:tc>
          <w:tcPr>
            <w:tcW w:w="7440" w:type="dxa"/>
            <w:shd w:val="clear" w:color="auto" w:fill="auto"/>
          </w:tcPr>
          <w:p w14:paraId="3A071674">
            <w:pPr>
              <w:pStyle w:val="7"/>
            </w:pPr>
            <w:r>
              <w:rPr>
                <w:rFonts w:hint="eastAsia"/>
              </w:rPr>
              <w:t xml:space="preserve">郭杏燕 </w:t>
            </w:r>
          </w:p>
        </w:tc>
      </w:tr>
      <w:tr w14:paraId="5BD8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1AF8F">
            <w:pPr>
              <w:pStyle w:val="7"/>
            </w:pPr>
            <w:r>
              <w:rPr>
                <w:rFonts w:hint="eastAsia"/>
              </w:rPr>
              <w:t xml:space="preserve">电话： </w:t>
            </w:r>
          </w:p>
        </w:tc>
        <w:tc>
          <w:tcPr>
            <w:tcW w:w="7440" w:type="dxa"/>
            <w:shd w:val="clear" w:color="auto" w:fill="auto"/>
          </w:tcPr>
          <w:p w14:paraId="1B2C4B43">
            <w:pPr>
              <w:pStyle w:val="7"/>
            </w:pPr>
            <w:r>
              <w:rPr>
                <w:rFonts w:hint="eastAsia"/>
              </w:rPr>
              <w:t xml:space="preserve">020-88836999 </w:t>
            </w:r>
          </w:p>
        </w:tc>
      </w:tr>
      <w:tr w14:paraId="3A0B4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2E544">
            <w:pPr>
              <w:pStyle w:val="7"/>
            </w:pPr>
            <w:r>
              <w:rPr>
                <w:rFonts w:hint="eastAsia"/>
              </w:rPr>
              <w:t xml:space="preserve">传真： </w:t>
            </w:r>
          </w:p>
        </w:tc>
        <w:tc>
          <w:tcPr>
            <w:tcW w:w="7440" w:type="dxa"/>
            <w:shd w:val="clear" w:color="auto" w:fill="auto"/>
          </w:tcPr>
          <w:p w14:paraId="2F86C7D3">
            <w:pPr>
              <w:pStyle w:val="7"/>
            </w:pPr>
            <w:r>
              <w:rPr>
                <w:rFonts w:hint="eastAsia"/>
              </w:rPr>
              <w:t xml:space="preserve">020-88836984 </w:t>
            </w:r>
          </w:p>
        </w:tc>
      </w:tr>
      <w:tr w14:paraId="5648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5D0FE">
            <w:pPr>
              <w:pStyle w:val="7"/>
            </w:pPr>
            <w:r>
              <w:rPr>
                <w:rFonts w:hint="eastAsia"/>
              </w:rPr>
              <w:t xml:space="preserve">客户服务电话： </w:t>
            </w:r>
          </w:p>
        </w:tc>
        <w:tc>
          <w:tcPr>
            <w:tcW w:w="7440" w:type="dxa"/>
            <w:shd w:val="clear" w:color="auto" w:fill="auto"/>
          </w:tcPr>
          <w:p w14:paraId="1E1E3C7D">
            <w:pPr>
              <w:pStyle w:val="7"/>
            </w:pPr>
            <w:r>
              <w:rPr>
                <w:rFonts w:hint="eastAsia"/>
              </w:rPr>
              <w:t xml:space="preserve">95548 </w:t>
            </w:r>
          </w:p>
        </w:tc>
      </w:tr>
      <w:tr w14:paraId="6DE8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DE653">
            <w:pPr>
              <w:pStyle w:val="7"/>
            </w:pPr>
            <w:r>
              <w:rPr>
                <w:rFonts w:hint="eastAsia"/>
              </w:rPr>
              <w:t xml:space="preserve">网址： </w:t>
            </w:r>
          </w:p>
        </w:tc>
        <w:tc>
          <w:tcPr>
            <w:tcW w:w="7440" w:type="dxa"/>
            <w:shd w:val="clear" w:color="auto" w:fill="auto"/>
          </w:tcPr>
          <w:p w14:paraId="78620A6C">
            <w:pPr>
              <w:pStyle w:val="7"/>
            </w:pPr>
            <w:r>
              <w:rPr>
                <w:rFonts w:hint="eastAsia"/>
              </w:rPr>
              <w:t xml:space="preserve">http://www.gzs.com.cn </w:t>
            </w:r>
          </w:p>
        </w:tc>
      </w:tr>
    </w:tbl>
    <w:p w14:paraId="0F03C729">
      <w:pPr>
        <w:pStyle w:val="7"/>
        <w:spacing w:before="0" w:beforeAutospacing="0" w:after="0" w:afterAutospacing="0" w:line="360" w:lineRule="auto"/>
        <w:ind w:firstLine="420"/>
        <w:rPr>
          <w:sz w:val="21"/>
          <w:szCs w:val="21"/>
        </w:rPr>
      </w:pPr>
      <w:r>
        <w:rPr>
          <w:rFonts w:hint="eastAsia"/>
          <w:b/>
          <w:bCs/>
          <w:sz w:val="21"/>
          <w:szCs w:val="21"/>
        </w:rPr>
        <w:t>(23)东北证券股份有限公司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1E6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3ACEB">
            <w:pPr>
              <w:pStyle w:val="7"/>
            </w:pPr>
            <w:r>
              <w:rPr>
                <w:rFonts w:hint="eastAsia"/>
              </w:rPr>
              <w:t xml:space="preserve">注册地址： </w:t>
            </w:r>
          </w:p>
        </w:tc>
        <w:tc>
          <w:tcPr>
            <w:tcW w:w="7440" w:type="dxa"/>
            <w:shd w:val="clear" w:color="auto" w:fill="auto"/>
          </w:tcPr>
          <w:p w14:paraId="5AA2A153">
            <w:pPr>
              <w:pStyle w:val="7"/>
            </w:pPr>
            <w:r>
              <w:rPr>
                <w:rFonts w:hint="eastAsia"/>
              </w:rPr>
              <w:t xml:space="preserve">长春市生态大街6666号 </w:t>
            </w:r>
          </w:p>
        </w:tc>
      </w:tr>
      <w:tr w14:paraId="1C35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9ED11">
            <w:pPr>
              <w:pStyle w:val="7"/>
            </w:pPr>
            <w:r>
              <w:rPr>
                <w:rFonts w:hint="eastAsia"/>
              </w:rPr>
              <w:t xml:space="preserve">办公地址： </w:t>
            </w:r>
          </w:p>
        </w:tc>
        <w:tc>
          <w:tcPr>
            <w:tcW w:w="7440" w:type="dxa"/>
            <w:shd w:val="clear" w:color="auto" w:fill="auto"/>
          </w:tcPr>
          <w:p w14:paraId="5AF0CD60">
            <w:pPr>
              <w:pStyle w:val="7"/>
            </w:pPr>
            <w:r>
              <w:rPr>
                <w:rFonts w:hint="eastAsia"/>
              </w:rPr>
              <w:t xml:space="preserve">长春市生态大街6666号 </w:t>
            </w:r>
          </w:p>
        </w:tc>
      </w:tr>
      <w:tr w14:paraId="7213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B2E80">
            <w:pPr>
              <w:pStyle w:val="7"/>
            </w:pPr>
            <w:r>
              <w:rPr>
                <w:rFonts w:hint="eastAsia"/>
              </w:rPr>
              <w:t xml:space="preserve">法定代表人： </w:t>
            </w:r>
          </w:p>
        </w:tc>
        <w:tc>
          <w:tcPr>
            <w:tcW w:w="7440" w:type="dxa"/>
            <w:shd w:val="clear" w:color="auto" w:fill="auto"/>
          </w:tcPr>
          <w:p w14:paraId="02F7359D">
            <w:pPr>
              <w:pStyle w:val="7"/>
            </w:pPr>
            <w:r>
              <w:rPr>
                <w:rFonts w:hint="eastAsia"/>
              </w:rPr>
              <w:t xml:space="preserve">李福春 </w:t>
            </w:r>
          </w:p>
        </w:tc>
      </w:tr>
      <w:tr w14:paraId="7F6EB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EABB2">
            <w:pPr>
              <w:pStyle w:val="7"/>
            </w:pPr>
            <w:r>
              <w:rPr>
                <w:rFonts w:hint="eastAsia"/>
              </w:rPr>
              <w:t xml:space="preserve">联系人： </w:t>
            </w:r>
          </w:p>
        </w:tc>
        <w:tc>
          <w:tcPr>
            <w:tcW w:w="7440" w:type="dxa"/>
            <w:shd w:val="clear" w:color="auto" w:fill="auto"/>
          </w:tcPr>
          <w:p w14:paraId="7D86700F">
            <w:pPr>
              <w:pStyle w:val="7"/>
            </w:pPr>
            <w:r>
              <w:rPr>
                <w:rFonts w:hint="eastAsia"/>
              </w:rPr>
              <w:t xml:space="preserve">安岩岩 </w:t>
            </w:r>
          </w:p>
        </w:tc>
      </w:tr>
      <w:tr w14:paraId="2AC9E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CF30E">
            <w:pPr>
              <w:pStyle w:val="7"/>
            </w:pPr>
            <w:r>
              <w:rPr>
                <w:rFonts w:hint="eastAsia"/>
              </w:rPr>
              <w:t xml:space="preserve">电话： </w:t>
            </w:r>
          </w:p>
        </w:tc>
        <w:tc>
          <w:tcPr>
            <w:tcW w:w="7440" w:type="dxa"/>
            <w:shd w:val="clear" w:color="auto" w:fill="auto"/>
          </w:tcPr>
          <w:p w14:paraId="1E4C2A84">
            <w:pPr>
              <w:pStyle w:val="7"/>
            </w:pPr>
            <w:r>
              <w:rPr>
                <w:rFonts w:hint="eastAsia"/>
              </w:rPr>
              <w:t xml:space="preserve">0431-85096517 </w:t>
            </w:r>
          </w:p>
        </w:tc>
      </w:tr>
      <w:tr w14:paraId="1879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ABF7D">
            <w:pPr>
              <w:pStyle w:val="7"/>
            </w:pPr>
            <w:r>
              <w:rPr>
                <w:rFonts w:hint="eastAsia"/>
              </w:rPr>
              <w:t xml:space="preserve">传真： </w:t>
            </w:r>
          </w:p>
        </w:tc>
        <w:tc>
          <w:tcPr>
            <w:tcW w:w="7440" w:type="dxa"/>
            <w:shd w:val="clear" w:color="auto" w:fill="auto"/>
          </w:tcPr>
          <w:p w14:paraId="405C6C5F">
            <w:pPr>
              <w:pStyle w:val="7"/>
            </w:pPr>
            <w:r>
              <w:rPr>
                <w:rFonts w:hint="eastAsia"/>
              </w:rPr>
              <w:t xml:space="preserve">0431-85096795 </w:t>
            </w:r>
          </w:p>
        </w:tc>
      </w:tr>
      <w:tr w14:paraId="10D0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731CA">
            <w:pPr>
              <w:pStyle w:val="7"/>
            </w:pPr>
            <w:r>
              <w:rPr>
                <w:rFonts w:hint="eastAsia"/>
              </w:rPr>
              <w:t xml:space="preserve">客户服务电话： </w:t>
            </w:r>
          </w:p>
        </w:tc>
        <w:tc>
          <w:tcPr>
            <w:tcW w:w="7440" w:type="dxa"/>
            <w:shd w:val="clear" w:color="auto" w:fill="auto"/>
          </w:tcPr>
          <w:p w14:paraId="50932677">
            <w:pPr>
              <w:pStyle w:val="7"/>
            </w:pPr>
            <w:r>
              <w:rPr>
                <w:rFonts w:hint="eastAsia"/>
              </w:rPr>
              <w:t xml:space="preserve">95360 </w:t>
            </w:r>
          </w:p>
        </w:tc>
      </w:tr>
      <w:tr w14:paraId="39A3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545B6">
            <w:pPr>
              <w:pStyle w:val="7"/>
            </w:pPr>
            <w:r>
              <w:rPr>
                <w:rFonts w:hint="eastAsia"/>
              </w:rPr>
              <w:t xml:space="preserve">网址： </w:t>
            </w:r>
          </w:p>
        </w:tc>
        <w:tc>
          <w:tcPr>
            <w:tcW w:w="7440" w:type="dxa"/>
            <w:shd w:val="clear" w:color="auto" w:fill="auto"/>
          </w:tcPr>
          <w:p w14:paraId="465CE654">
            <w:pPr>
              <w:pStyle w:val="7"/>
            </w:pPr>
            <w:r>
              <w:rPr>
                <w:rFonts w:hint="eastAsia"/>
              </w:rPr>
              <w:t xml:space="preserve">http://www.nesc.cn </w:t>
            </w:r>
          </w:p>
        </w:tc>
      </w:tr>
    </w:tbl>
    <w:p w14:paraId="358F2A44">
      <w:pPr>
        <w:pStyle w:val="7"/>
        <w:spacing w:before="0" w:beforeAutospacing="0" w:after="0" w:afterAutospacing="0" w:line="360" w:lineRule="auto"/>
        <w:ind w:firstLine="420"/>
        <w:rPr>
          <w:sz w:val="21"/>
          <w:szCs w:val="21"/>
        </w:rPr>
      </w:pPr>
      <w:r>
        <w:rPr>
          <w:rFonts w:hint="eastAsia"/>
          <w:b/>
          <w:bCs/>
          <w:sz w:val="21"/>
          <w:szCs w:val="21"/>
        </w:rPr>
        <w:t>(24)国联民生证券股份有限公司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61A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0A8FF">
            <w:pPr>
              <w:pStyle w:val="7"/>
            </w:pPr>
            <w:r>
              <w:rPr>
                <w:rFonts w:hint="eastAsia"/>
              </w:rPr>
              <w:t xml:space="preserve">注册地址： </w:t>
            </w:r>
          </w:p>
        </w:tc>
        <w:tc>
          <w:tcPr>
            <w:tcW w:w="7440" w:type="dxa"/>
            <w:shd w:val="clear" w:color="auto" w:fill="auto"/>
          </w:tcPr>
          <w:p w14:paraId="69BF0B61">
            <w:pPr>
              <w:pStyle w:val="7"/>
            </w:pPr>
            <w:r>
              <w:rPr>
                <w:rFonts w:hint="eastAsia"/>
              </w:rPr>
              <w:t xml:space="preserve">无锡市县前东街168号 </w:t>
            </w:r>
          </w:p>
        </w:tc>
      </w:tr>
      <w:tr w14:paraId="79F25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5F81D">
            <w:pPr>
              <w:pStyle w:val="7"/>
            </w:pPr>
            <w:r>
              <w:rPr>
                <w:rFonts w:hint="eastAsia"/>
              </w:rPr>
              <w:t xml:space="preserve">办公地址： </w:t>
            </w:r>
          </w:p>
        </w:tc>
        <w:tc>
          <w:tcPr>
            <w:tcW w:w="7440" w:type="dxa"/>
            <w:shd w:val="clear" w:color="auto" w:fill="auto"/>
          </w:tcPr>
          <w:p w14:paraId="0C43C93C">
            <w:pPr>
              <w:pStyle w:val="7"/>
            </w:pPr>
            <w:r>
              <w:rPr>
                <w:rFonts w:hint="eastAsia"/>
              </w:rPr>
              <w:t xml:space="preserve">江苏省无锡市太湖新城金融一街8号国联金融大厦702室 </w:t>
            </w:r>
          </w:p>
        </w:tc>
      </w:tr>
      <w:tr w14:paraId="3BEF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8F6FFD">
            <w:pPr>
              <w:pStyle w:val="7"/>
            </w:pPr>
            <w:r>
              <w:rPr>
                <w:rFonts w:hint="eastAsia"/>
              </w:rPr>
              <w:t xml:space="preserve">法定代表人： </w:t>
            </w:r>
          </w:p>
        </w:tc>
        <w:tc>
          <w:tcPr>
            <w:tcW w:w="7440" w:type="dxa"/>
            <w:shd w:val="clear" w:color="auto" w:fill="auto"/>
          </w:tcPr>
          <w:p w14:paraId="45B95220">
            <w:pPr>
              <w:pStyle w:val="7"/>
            </w:pPr>
            <w:r>
              <w:rPr>
                <w:rFonts w:hint="eastAsia"/>
              </w:rPr>
              <w:t xml:space="preserve">顾伟 </w:t>
            </w:r>
          </w:p>
        </w:tc>
      </w:tr>
      <w:tr w14:paraId="0CEE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2BE28">
            <w:pPr>
              <w:pStyle w:val="7"/>
            </w:pPr>
            <w:r>
              <w:rPr>
                <w:rFonts w:hint="eastAsia"/>
              </w:rPr>
              <w:t xml:space="preserve">客户服务电话： </w:t>
            </w:r>
          </w:p>
        </w:tc>
        <w:tc>
          <w:tcPr>
            <w:tcW w:w="7440" w:type="dxa"/>
            <w:shd w:val="clear" w:color="auto" w:fill="auto"/>
          </w:tcPr>
          <w:p w14:paraId="06868295">
            <w:pPr>
              <w:pStyle w:val="7"/>
            </w:pPr>
            <w:r>
              <w:rPr>
                <w:rFonts w:hint="eastAsia"/>
              </w:rPr>
              <w:t xml:space="preserve">95570 </w:t>
            </w:r>
          </w:p>
        </w:tc>
      </w:tr>
      <w:tr w14:paraId="7CC6D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2E5ED">
            <w:pPr>
              <w:pStyle w:val="7"/>
            </w:pPr>
            <w:r>
              <w:rPr>
                <w:rFonts w:hint="eastAsia"/>
              </w:rPr>
              <w:t xml:space="preserve">网址： </w:t>
            </w:r>
          </w:p>
        </w:tc>
        <w:tc>
          <w:tcPr>
            <w:tcW w:w="7440" w:type="dxa"/>
            <w:shd w:val="clear" w:color="auto" w:fill="auto"/>
          </w:tcPr>
          <w:p w14:paraId="345B01EB">
            <w:pPr>
              <w:pStyle w:val="7"/>
            </w:pPr>
            <w:r>
              <w:rPr>
                <w:rFonts w:hint="eastAsia"/>
              </w:rPr>
              <w:t xml:space="preserve">http://www.glsc.com.cn </w:t>
            </w:r>
          </w:p>
        </w:tc>
      </w:tr>
    </w:tbl>
    <w:p w14:paraId="45B1C872">
      <w:pPr>
        <w:pStyle w:val="7"/>
        <w:spacing w:before="0" w:beforeAutospacing="0" w:after="0" w:afterAutospacing="0" w:line="360" w:lineRule="auto"/>
        <w:ind w:firstLine="420"/>
        <w:rPr>
          <w:sz w:val="21"/>
          <w:szCs w:val="21"/>
        </w:rPr>
      </w:pPr>
      <w:r>
        <w:rPr>
          <w:rFonts w:hint="eastAsia"/>
          <w:b/>
          <w:bCs/>
          <w:sz w:val="21"/>
          <w:szCs w:val="21"/>
        </w:rPr>
        <w:t>(25)浙商证券股份有限公司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299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5F929">
            <w:pPr>
              <w:pStyle w:val="7"/>
            </w:pPr>
            <w:r>
              <w:rPr>
                <w:rFonts w:hint="eastAsia"/>
              </w:rPr>
              <w:t xml:space="preserve">注册地址： </w:t>
            </w:r>
          </w:p>
        </w:tc>
        <w:tc>
          <w:tcPr>
            <w:tcW w:w="7440" w:type="dxa"/>
            <w:shd w:val="clear" w:color="auto" w:fill="auto"/>
          </w:tcPr>
          <w:p w14:paraId="14F6A7E0">
            <w:pPr>
              <w:pStyle w:val="7"/>
            </w:pPr>
            <w:r>
              <w:rPr>
                <w:rFonts w:hint="eastAsia"/>
              </w:rPr>
              <w:t xml:space="preserve">浙江省杭州市江干区五星路201号 </w:t>
            </w:r>
          </w:p>
        </w:tc>
      </w:tr>
      <w:tr w14:paraId="3E33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198EF">
            <w:pPr>
              <w:pStyle w:val="7"/>
            </w:pPr>
            <w:r>
              <w:rPr>
                <w:rFonts w:hint="eastAsia"/>
              </w:rPr>
              <w:t xml:space="preserve">办公地址： </w:t>
            </w:r>
          </w:p>
        </w:tc>
        <w:tc>
          <w:tcPr>
            <w:tcW w:w="7440" w:type="dxa"/>
            <w:shd w:val="clear" w:color="auto" w:fill="auto"/>
          </w:tcPr>
          <w:p w14:paraId="758AB05D">
            <w:pPr>
              <w:pStyle w:val="7"/>
            </w:pPr>
            <w:r>
              <w:rPr>
                <w:rFonts w:hint="eastAsia"/>
              </w:rPr>
              <w:t xml:space="preserve">浙江省杭州市江干区四季青街道五星路201号浙商证券5楼 </w:t>
            </w:r>
          </w:p>
        </w:tc>
      </w:tr>
      <w:tr w14:paraId="693F6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34395">
            <w:pPr>
              <w:pStyle w:val="7"/>
            </w:pPr>
            <w:r>
              <w:rPr>
                <w:rFonts w:hint="eastAsia"/>
              </w:rPr>
              <w:t xml:space="preserve">法定代表人： </w:t>
            </w:r>
          </w:p>
        </w:tc>
        <w:tc>
          <w:tcPr>
            <w:tcW w:w="7440" w:type="dxa"/>
            <w:shd w:val="clear" w:color="auto" w:fill="auto"/>
          </w:tcPr>
          <w:p w14:paraId="12C0BD99">
            <w:pPr>
              <w:pStyle w:val="7"/>
            </w:pPr>
            <w:r>
              <w:rPr>
                <w:rFonts w:hint="eastAsia"/>
              </w:rPr>
              <w:t xml:space="preserve">吴承根 </w:t>
            </w:r>
          </w:p>
        </w:tc>
      </w:tr>
      <w:tr w14:paraId="0999D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061BB">
            <w:pPr>
              <w:pStyle w:val="7"/>
            </w:pPr>
            <w:r>
              <w:rPr>
                <w:rFonts w:hint="eastAsia"/>
              </w:rPr>
              <w:t xml:space="preserve">联系人： </w:t>
            </w:r>
          </w:p>
        </w:tc>
        <w:tc>
          <w:tcPr>
            <w:tcW w:w="7440" w:type="dxa"/>
            <w:shd w:val="clear" w:color="auto" w:fill="auto"/>
          </w:tcPr>
          <w:p w14:paraId="7830D5A3">
            <w:pPr>
              <w:pStyle w:val="7"/>
            </w:pPr>
            <w:r>
              <w:rPr>
                <w:rFonts w:hint="eastAsia"/>
              </w:rPr>
              <w:t xml:space="preserve">沈高亮 </w:t>
            </w:r>
          </w:p>
        </w:tc>
      </w:tr>
      <w:tr w14:paraId="7227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97B00">
            <w:pPr>
              <w:pStyle w:val="7"/>
            </w:pPr>
            <w:r>
              <w:rPr>
                <w:rFonts w:hint="eastAsia"/>
              </w:rPr>
              <w:t xml:space="preserve">电话： </w:t>
            </w:r>
          </w:p>
        </w:tc>
        <w:tc>
          <w:tcPr>
            <w:tcW w:w="7440" w:type="dxa"/>
            <w:shd w:val="clear" w:color="auto" w:fill="auto"/>
          </w:tcPr>
          <w:p w14:paraId="2DB4EB31">
            <w:pPr>
              <w:pStyle w:val="7"/>
            </w:pPr>
            <w:r>
              <w:rPr>
                <w:rFonts w:hint="eastAsia"/>
              </w:rPr>
              <w:t xml:space="preserve">0571-87902239 </w:t>
            </w:r>
          </w:p>
        </w:tc>
      </w:tr>
      <w:tr w14:paraId="5A08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8698F">
            <w:pPr>
              <w:pStyle w:val="7"/>
            </w:pPr>
            <w:r>
              <w:rPr>
                <w:rFonts w:hint="eastAsia"/>
              </w:rPr>
              <w:t xml:space="preserve">传真： </w:t>
            </w:r>
          </w:p>
        </w:tc>
        <w:tc>
          <w:tcPr>
            <w:tcW w:w="7440" w:type="dxa"/>
            <w:shd w:val="clear" w:color="auto" w:fill="auto"/>
          </w:tcPr>
          <w:p w14:paraId="0B8B654D">
            <w:pPr>
              <w:pStyle w:val="7"/>
            </w:pPr>
            <w:r>
              <w:rPr>
                <w:rFonts w:hint="eastAsia"/>
              </w:rPr>
              <w:t xml:space="preserve">0571－87901913 </w:t>
            </w:r>
          </w:p>
        </w:tc>
      </w:tr>
      <w:tr w14:paraId="216B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DA8B2">
            <w:pPr>
              <w:pStyle w:val="7"/>
            </w:pPr>
            <w:r>
              <w:rPr>
                <w:rFonts w:hint="eastAsia"/>
              </w:rPr>
              <w:t xml:space="preserve">客户服务电话： </w:t>
            </w:r>
          </w:p>
        </w:tc>
        <w:tc>
          <w:tcPr>
            <w:tcW w:w="7440" w:type="dxa"/>
            <w:shd w:val="clear" w:color="auto" w:fill="auto"/>
          </w:tcPr>
          <w:p w14:paraId="4B76DC0E">
            <w:pPr>
              <w:pStyle w:val="7"/>
            </w:pPr>
            <w:r>
              <w:rPr>
                <w:rFonts w:hint="eastAsia"/>
              </w:rPr>
              <w:t xml:space="preserve">95345 </w:t>
            </w:r>
          </w:p>
        </w:tc>
      </w:tr>
      <w:tr w14:paraId="057E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60C38">
            <w:pPr>
              <w:pStyle w:val="7"/>
            </w:pPr>
            <w:r>
              <w:rPr>
                <w:rFonts w:hint="eastAsia"/>
              </w:rPr>
              <w:t xml:space="preserve">网址： </w:t>
            </w:r>
          </w:p>
        </w:tc>
        <w:tc>
          <w:tcPr>
            <w:tcW w:w="7440" w:type="dxa"/>
            <w:shd w:val="clear" w:color="auto" w:fill="auto"/>
          </w:tcPr>
          <w:p w14:paraId="599CB9B3">
            <w:pPr>
              <w:pStyle w:val="7"/>
            </w:pPr>
            <w:r>
              <w:rPr>
                <w:rFonts w:hint="eastAsia"/>
              </w:rPr>
              <w:t xml:space="preserve">http://www.stocke.com.cn/ </w:t>
            </w:r>
          </w:p>
        </w:tc>
      </w:tr>
    </w:tbl>
    <w:p w14:paraId="21C0AB38">
      <w:pPr>
        <w:pStyle w:val="7"/>
        <w:spacing w:before="0" w:beforeAutospacing="0" w:after="0" w:afterAutospacing="0" w:line="360" w:lineRule="auto"/>
        <w:ind w:firstLine="420"/>
        <w:rPr>
          <w:sz w:val="21"/>
          <w:szCs w:val="21"/>
        </w:rPr>
      </w:pPr>
      <w:r>
        <w:rPr>
          <w:rFonts w:hint="eastAsia"/>
          <w:b/>
          <w:bCs/>
          <w:sz w:val="21"/>
          <w:szCs w:val="21"/>
        </w:rPr>
        <w:t>(26)平安证券股份有限公司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7A9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7157E">
            <w:pPr>
              <w:pStyle w:val="7"/>
            </w:pPr>
            <w:r>
              <w:rPr>
                <w:rFonts w:hint="eastAsia"/>
              </w:rPr>
              <w:t xml:space="preserve">注册地址： </w:t>
            </w:r>
          </w:p>
        </w:tc>
        <w:tc>
          <w:tcPr>
            <w:tcW w:w="7440" w:type="dxa"/>
            <w:shd w:val="clear" w:color="auto" w:fill="auto"/>
          </w:tcPr>
          <w:p w14:paraId="698CE3DC">
            <w:pPr>
              <w:pStyle w:val="7"/>
            </w:pPr>
            <w:r>
              <w:rPr>
                <w:rFonts w:hint="eastAsia"/>
              </w:rPr>
              <w:t xml:space="preserve">深圳市福田区福田街道益田路5023号平安金融中心B座第22-25层 </w:t>
            </w:r>
          </w:p>
        </w:tc>
      </w:tr>
      <w:tr w14:paraId="1FEF1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EE264">
            <w:pPr>
              <w:pStyle w:val="7"/>
            </w:pPr>
            <w:r>
              <w:rPr>
                <w:rFonts w:hint="eastAsia"/>
              </w:rPr>
              <w:t xml:space="preserve">办公地址： </w:t>
            </w:r>
          </w:p>
        </w:tc>
        <w:tc>
          <w:tcPr>
            <w:tcW w:w="7440" w:type="dxa"/>
            <w:shd w:val="clear" w:color="auto" w:fill="auto"/>
          </w:tcPr>
          <w:p w14:paraId="0847B3B2">
            <w:pPr>
              <w:pStyle w:val="7"/>
            </w:pPr>
            <w:r>
              <w:rPr>
                <w:rFonts w:hint="eastAsia"/>
              </w:rPr>
              <w:t xml:space="preserve">深圳市福田区福田街道益田路5023号平安金融中心B座第22-25层 </w:t>
            </w:r>
          </w:p>
        </w:tc>
      </w:tr>
      <w:tr w14:paraId="19476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D30CF">
            <w:pPr>
              <w:pStyle w:val="7"/>
            </w:pPr>
            <w:r>
              <w:rPr>
                <w:rFonts w:hint="eastAsia"/>
              </w:rPr>
              <w:t xml:space="preserve">法定代表人： </w:t>
            </w:r>
          </w:p>
        </w:tc>
        <w:tc>
          <w:tcPr>
            <w:tcW w:w="7440" w:type="dxa"/>
            <w:shd w:val="clear" w:color="auto" w:fill="auto"/>
          </w:tcPr>
          <w:p w14:paraId="6850EB17">
            <w:pPr>
              <w:pStyle w:val="7"/>
            </w:pPr>
            <w:r>
              <w:rPr>
                <w:rFonts w:hint="eastAsia"/>
              </w:rPr>
              <w:t xml:space="preserve">何之江 </w:t>
            </w:r>
          </w:p>
        </w:tc>
      </w:tr>
      <w:tr w14:paraId="5F2A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28445">
            <w:pPr>
              <w:pStyle w:val="7"/>
            </w:pPr>
            <w:r>
              <w:rPr>
                <w:rFonts w:hint="eastAsia"/>
              </w:rPr>
              <w:t xml:space="preserve">联系人： </w:t>
            </w:r>
          </w:p>
        </w:tc>
        <w:tc>
          <w:tcPr>
            <w:tcW w:w="7440" w:type="dxa"/>
            <w:shd w:val="clear" w:color="auto" w:fill="auto"/>
          </w:tcPr>
          <w:p w14:paraId="2E558A00">
            <w:pPr>
              <w:pStyle w:val="7"/>
            </w:pPr>
            <w:r>
              <w:rPr>
                <w:rFonts w:hint="eastAsia"/>
              </w:rPr>
              <w:t xml:space="preserve">王阳 </w:t>
            </w:r>
          </w:p>
        </w:tc>
      </w:tr>
      <w:tr w14:paraId="685D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3BD80">
            <w:pPr>
              <w:pStyle w:val="7"/>
            </w:pPr>
            <w:r>
              <w:rPr>
                <w:rFonts w:hint="eastAsia"/>
              </w:rPr>
              <w:t xml:space="preserve">电话： </w:t>
            </w:r>
          </w:p>
        </w:tc>
        <w:tc>
          <w:tcPr>
            <w:tcW w:w="7440" w:type="dxa"/>
            <w:shd w:val="clear" w:color="auto" w:fill="auto"/>
          </w:tcPr>
          <w:p w14:paraId="5587D7CB">
            <w:pPr>
              <w:pStyle w:val="7"/>
            </w:pPr>
            <w:r>
              <w:rPr>
                <w:rFonts w:hint="eastAsia"/>
              </w:rPr>
              <w:t xml:space="preserve">021-38632136 </w:t>
            </w:r>
          </w:p>
        </w:tc>
      </w:tr>
      <w:tr w14:paraId="2169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8A60A">
            <w:pPr>
              <w:pStyle w:val="7"/>
            </w:pPr>
            <w:r>
              <w:rPr>
                <w:rFonts w:hint="eastAsia"/>
              </w:rPr>
              <w:t xml:space="preserve">传真： </w:t>
            </w:r>
          </w:p>
        </w:tc>
        <w:tc>
          <w:tcPr>
            <w:tcW w:w="7440" w:type="dxa"/>
            <w:shd w:val="clear" w:color="auto" w:fill="auto"/>
          </w:tcPr>
          <w:p w14:paraId="53FFB8B9">
            <w:pPr>
              <w:pStyle w:val="7"/>
            </w:pPr>
            <w:r>
              <w:rPr>
                <w:rFonts w:hint="eastAsia"/>
              </w:rPr>
              <w:t xml:space="preserve">0755－82400862 </w:t>
            </w:r>
          </w:p>
        </w:tc>
      </w:tr>
      <w:tr w14:paraId="2226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2FB8A">
            <w:pPr>
              <w:pStyle w:val="7"/>
            </w:pPr>
            <w:r>
              <w:rPr>
                <w:rFonts w:hint="eastAsia"/>
              </w:rPr>
              <w:t xml:space="preserve">客户服务电话： </w:t>
            </w:r>
          </w:p>
        </w:tc>
        <w:tc>
          <w:tcPr>
            <w:tcW w:w="7440" w:type="dxa"/>
            <w:shd w:val="clear" w:color="auto" w:fill="auto"/>
          </w:tcPr>
          <w:p w14:paraId="55B3C683">
            <w:pPr>
              <w:pStyle w:val="7"/>
            </w:pPr>
            <w:r>
              <w:rPr>
                <w:rFonts w:hint="eastAsia"/>
              </w:rPr>
              <w:t xml:space="preserve">0755-22628888/95511-8 </w:t>
            </w:r>
          </w:p>
        </w:tc>
      </w:tr>
      <w:tr w14:paraId="19C7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3E14B">
            <w:pPr>
              <w:pStyle w:val="7"/>
            </w:pPr>
            <w:r>
              <w:rPr>
                <w:rFonts w:hint="eastAsia"/>
              </w:rPr>
              <w:t xml:space="preserve">网址： </w:t>
            </w:r>
          </w:p>
        </w:tc>
        <w:tc>
          <w:tcPr>
            <w:tcW w:w="7440" w:type="dxa"/>
            <w:shd w:val="clear" w:color="auto" w:fill="auto"/>
          </w:tcPr>
          <w:p w14:paraId="77976C31">
            <w:pPr>
              <w:pStyle w:val="7"/>
            </w:pPr>
            <w:r>
              <w:rPr>
                <w:rFonts w:hint="eastAsia"/>
              </w:rPr>
              <w:t xml:space="preserve">http:www.stock.pingan.com </w:t>
            </w:r>
          </w:p>
        </w:tc>
      </w:tr>
    </w:tbl>
    <w:p w14:paraId="7E2D270E">
      <w:pPr>
        <w:pStyle w:val="7"/>
        <w:spacing w:before="0" w:beforeAutospacing="0" w:after="0" w:afterAutospacing="0" w:line="360" w:lineRule="auto"/>
        <w:ind w:firstLine="420"/>
        <w:rPr>
          <w:sz w:val="21"/>
          <w:szCs w:val="21"/>
        </w:rPr>
      </w:pPr>
      <w:r>
        <w:rPr>
          <w:rFonts w:hint="eastAsia"/>
          <w:b/>
          <w:bCs/>
          <w:sz w:val="21"/>
          <w:szCs w:val="21"/>
        </w:rPr>
        <w:t>(27)东莞证券股份有限公司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6C4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375F7">
            <w:pPr>
              <w:pStyle w:val="7"/>
            </w:pPr>
            <w:r>
              <w:rPr>
                <w:rFonts w:hint="eastAsia"/>
              </w:rPr>
              <w:t xml:space="preserve">注册地址： </w:t>
            </w:r>
          </w:p>
        </w:tc>
        <w:tc>
          <w:tcPr>
            <w:tcW w:w="7440" w:type="dxa"/>
            <w:shd w:val="clear" w:color="auto" w:fill="auto"/>
          </w:tcPr>
          <w:p w14:paraId="7345DD80">
            <w:pPr>
              <w:pStyle w:val="7"/>
            </w:pPr>
            <w:r>
              <w:rPr>
                <w:rFonts w:hint="eastAsia"/>
              </w:rPr>
              <w:t xml:space="preserve">东莞市莞城区可园南路1号金源中心30楼 </w:t>
            </w:r>
          </w:p>
        </w:tc>
      </w:tr>
      <w:tr w14:paraId="64E7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42CD7">
            <w:pPr>
              <w:pStyle w:val="7"/>
            </w:pPr>
            <w:r>
              <w:rPr>
                <w:rFonts w:hint="eastAsia"/>
              </w:rPr>
              <w:t xml:space="preserve">办公地址： </w:t>
            </w:r>
          </w:p>
        </w:tc>
        <w:tc>
          <w:tcPr>
            <w:tcW w:w="7440" w:type="dxa"/>
            <w:shd w:val="clear" w:color="auto" w:fill="auto"/>
          </w:tcPr>
          <w:p w14:paraId="41BDABBB">
            <w:pPr>
              <w:pStyle w:val="7"/>
            </w:pPr>
            <w:r>
              <w:rPr>
                <w:rFonts w:hint="eastAsia"/>
              </w:rPr>
              <w:t xml:space="preserve">东莞市莞城区可园南路1号金源中心30楼 </w:t>
            </w:r>
          </w:p>
        </w:tc>
      </w:tr>
      <w:tr w14:paraId="0842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689BB">
            <w:pPr>
              <w:pStyle w:val="7"/>
            </w:pPr>
            <w:r>
              <w:rPr>
                <w:rFonts w:hint="eastAsia"/>
              </w:rPr>
              <w:t xml:space="preserve">法定代表人： </w:t>
            </w:r>
          </w:p>
        </w:tc>
        <w:tc>
          <w:tcPr>
            <w:tcW w:w="7440" w:type="dxa"/>
            <w:shd w:val="clear" w:color="auto" w:fill="auto"/>
          </w:tcPr>
          <w:p w14:paraId="5843C0C0">
            <w:pPr>
              <w:pStyle w:val="7"/>
            </w:pPr>
            <w:r>
              <w:rPr>
                <w:rFonts w:hint="eastAsia"/>
              </w:rPr>
              <w:t xml:space="preserve">陈照星 </w:t>
            </w:r>
          </w:p>
        </w:tc>
      </w:tr>
      <w:tr w14:paraId="141D5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30D5D">
            <w:pPr>
              <w:pStyle w:val="7"/>
            </w:pPr>
            <w:r>
              <w:rPr>
                <w:rFonts w:hint="eastAsia"/>
              </w:rPr>
              <w:t xml:space="preserve">联系人： </w:t>
            </w:r>
          </w:p>
        </w:tc>
        <w:tc>
          <w:tcPr>
            <w:tcW w:w="7440" w:type="dxa"/>
            <w:shd w:val="clear" w:color="auto" w:fill="auto"/>
          </w:tcPr>
          <w:p w14:paraId="6E09DA83">
            <w:pPr>
              <w:pStyle w:val="7"/>
            </w:pPr>
            <w:r>
              <w:rPr>
                <w:rFonts w:hint="eastAsia"/>
              </w:rPr>
              <w:t xml:space="preserve">叶玉琪 </w:t>
            </w:r>
          </w:p>
        </w:tc>
      </w:tr>
      <w:tr w14:paraId="7996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01A83">
            <w:pPr>
              <w:pStyle w:val="7"/>
            </w:pPr>
            <w:r>
              <w:rPr>
                <w:rFonts w:hint="eastAsia"/>
              </w:rPr>
              <w:t xml:space="preserve">电话： </w:t>
            </w:r>
          </w:p>
        </w:tc>
        <w:tc>
          <w:tcPr>
            <w:tcW w:w="7440" w:type="dxa"/>
            <w:shd w:val="clear" w:color="auto" w:fill="auto"/>
          </w:tcPr>
          <w:p w14:paraId="3231B3D2">
            <w:pPr>
              <w:pStyle w:val="7"/>
            </w:pPr>
            <w:r>
              <w:rPr>
                <w:rFonts w:hint="eastAsia"/>
              </w:rPr>
              <w:t xml:space="preserve">0769-22119351 </w:t>
            </w:r>
          </w:p>
        </w:tc>
      </w:tr>
      <w:tr w14:paraId="5DDB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F77A6">
            <w:pPr>
              <w:pStyle w:val="7"/>
            </w:pPr>
            <w:r>
              <w:rPr>
                <w:rFonts w:hint="eastAsia"/>
              </w:rPr>
              <w:t xml:space="preserve">传真： </w:t>
            </w:r>
          </w:p>
        </w:tc>
        <w:tc>
          <w:tcPr>
            <w:tcW w:w="7440" w:type="dxa"/>
            <w:shd w:val="clear" w:color="auto" w:fill="auto"/>
          </w:tcPr>
          <w:p w14:paraId="51DCA789">
            <w:pPr>
              <w:pStyle w:val="7"/>
            </w:pPr>
            <w:r>
              <w:rPr>
                <w:rFonts w:hint="eastAsia"/>
              </w:rPr>
              <w:t xml:space="preserve">0769-22115712 </w:t>
            </w:r>
          </w:p>
        </w:tc>
      </w:tr>
      <w:tr w14:paraId="5275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22B4C">
            <w:pPr>
              <w:pStyle w:val="7"/>
            </w:pPr>
            <w:r>
              <w:rPr>
                <w:rFonts w:hint="eastAsia"/>
              </w:rPr>
              <w:t xml:space="preserve">客户服务电话： </w:t>
            </w:r>
          </w:p>
        </w:tc>
        <w:tc>
          <w:tcPr>
            <w:tcW w:w="7440" w:type="dxa"/>
            <w:shd w:val="clear" w:color="auto" w:fill="auto"/>
          </w:tcPr>
          <w:p w14:paraId="62156634">
            <w:pPr>
              <w:pStyle w:val="7"/>
            </w:pPr>
            <w:r>
              <w:rPr>
                <w:rFonts w:hint="eastAsia"/>
              </w:rPr>
              <w:t xml:space="preserve">95328 </w:t>
            </w:r>
          </w:p>
        </w:tc>
      </w:tr>
      <w:tr w14:paraId="62E6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4C7CD">
            <w:pPr>
              <w:pStyle w:val="7"/>
            </w:pPr>
            <w:r>
              <w:rPr>
                <w:rFonts w:hint="eastAsia"/>
              </w:rPr>
              <w:t xml:space="preserve">网址： </w:t>
            </w:r>
          </w:p>
        </w:tc>
        <w:tc>
          <w:tcPr>
            <w:tcW w:w="7440" w:type="dxa"/>
            <w:shd w:val="clear" w:color="auto" w:fill="auto"/>
          </w:tcPr>
          <w:p w14:paraId="14AA976D">
            <w:pPr>
              <w:pStyle w:val="7"/>
            </w:pPr>
            <w:r>
              <w:rPr>
                <w:rFonts w:hint="eastAsia"/>
              </w:rPr>
              <w:t xml:space="preserve">http://www.dgzq.com.cn </w:t>
            </w:r>
          </w:p>
        </w:tc>
      </w:tr>
    </w:tbl>
    <w:p w14:paraId="37348D9E">
      <w:pPr>
        <w:pStyle w:val="7"/>
        <w:spacing w:before="0" w:beforeAutospacing="0" w:after="0" w:afterAutospacing="0" w:line="360" w:lineRule="auto"/>
        <w:ind w:firstLine="420"/>
        <w:rPr>
          <w:sz w:val="21"/>
          <w:szCs w:val="21"/>
        </w:rPr>
      </w:pPr>
      <w:r>
        <w:rPr>
          <w:rFonts w:hint="eastAsia"/>
          <w:b/>
          <w:bCs/>
          <w:sz w:val="21"/>
          <w:szCs w:val="21"/>
        </w:rPr>
        <w:t>(28)东海证券股份有限公司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FC6A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E4B82">
            <w:pPr>
              <w:pStyle w:val="7"/>
            </w:pPr>
            <w:r>
              <w:rPr>
                <w:rFonts w:hint="eastAsia"/>
              </w:rPr>
              <w:t xml:space="preserve">注册地址： </w:t>
            </w:r>
          </w:p>
        </w:tc>
        <w:tc>
          <w:tcPr>
            <w:tcW w:w="7440" w:type="dxa"/>
            <w:shd w:val="clear" w:color="auto" w:fill="auto"/>
          </w:tcPr>
          <w:p w14:paraId="15AA791A">
            <w:pPr>
              <w:pStyle w:val="7"/>
            </w:pPr>
            <w:r>
              <w:rPr>
                <w:rFonts w:hint="eastAsia"/>
              </w:rPr>
              <w:t xml:space="preserve">江苏省常州延陵西路23号投资广场18层  </w:t>
            </w:r>
          </w:p>
        </w:tc>
      </w:tr>
      <w:tr w14:paraId="7467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426E3">
            <w:pPr>
              <w:pStyle w:val="7"/>
            </w:pPr>
            <w:r>
              <w:rPr>
                <w:rFonts w:hint="eastAsia"/>
              </w:rPr>
              <w:t xml:space="preserve">办公地址： </w:t>
            </w:r>
          </w:p>
        </w:tc>
        <w:tc>
          <w:tcPr>
            <w:tcW w:w="7440" w:type="dxa"/>
            <w:shd w:val="clear" w:color="auto" w:fill="auto"/>
          </w:tcPr>
          <w:p w14:paraId="6E15D314">
            <w:pPr>
              <w:pStyle w:val="7"/>
            </w:pPr>
            <w:r>
              <w:rPr>
                <w:rFonts w:hint="eastAsia"/>
              </w:rPr>
              <w:t xml:space="preserve">上海市浦东新区东方路1928号东海证券大厦  </w:t>
            </w:r>
          </w:p>
        </w:tc>
      </w:tr>
      <w:tr w14:paraId="4AFA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4037A">
            <w:pPr>
              <w:pStyle w:val="7"/>
            </w:pPr>
            <w:r>
              <w:rPr>
                <w:rFonts w:hint="eastAsia"/>
              </w:rPr>
              <w:t xml:space="preserve">法定代表人： </w:t>
            </w:r>
          </w:p>
        </w:tc>
        <w:tc>
          <w:tcPr>
            <w:tcW w:w="7440" w:type="dxa"/>
            <w:shd w:val="clear" w:color="auto" w:fill="auto"/>
          </w:tcPr>
          <w:p w14:paraId="0EAC0F0A">
            <w:pPr>
              <w:pStyle w:val="7"/>
            </w:pPr>
            <w:r>
              <w:rPr>
                <w:rFonts w:hint="eastAsia"/>
              </w:rPr>
              <w:t xml:space="preserve">钱俊文 </w:t>
            </w:r>
          </w:p>
        </w:tc>
      </w:tr>
      <w:tr w14:paraId="20BC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21BFB">
            <w:pPr>
              <w:pStyle w:val="7"/>
            </w:pPr>
            <w:r>
              <w:rPr>
                <w:rFonts w:hint="eastAsia"/>
              </w:rPr>
              <w:t xml:space="preserve">联系人： </w:t>
            </w:r>
          </w:p>
        </w:tc>
        <w:tc>
          <w:tcPr>
            <w:tcW w:w="7440" w:type="dxa"/>
            <w:shd w:val="clear" w:color="auto" w:fill="auto"/>
          </w:tcPr>
          <w:p w14:paraId="4DF85ED8">
            <w:pPr>
              <w:pStyle w:val="7"/>
            </w:pPr>
            <w:r>
              <w:rPr>
                <w:rFonts w:hint="eastAsia"/>
              </w:rPr>
              <w:t xml:space="preserve">王一彦 </w:t>
            </w:r>
          </w:p>
        </w:tc>
      </w:tr>
      <w:tr w14:paraId="09BB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5E3EF">
            <w:pPr>
              <w:pStyle w:val="7"/>
            </w:pPr>
            <w:r>
              <w:rPr>
                <w:rFonts w:hint="eastAsia"/>
              </w:rPr>
              <w:t xml:space="preserve">电话： </w:t>
            </w:r>
          </w:p>
        </w:tc>
        <w:tc>
          <w:tcPr>
            <w:tcW w:w="7440" w:type="dxa"/>
            <w:shd w:val="clear" w:color="auto" w:fill="auto"/>
          </w:tcPr>
          <w:p w14:paraId="6EC402B2">
            <w:pPr>
              <w:pStyle w:val="7"/>
            </w:pPr>
            <w:r>
              <w:rPr>
                <w:rFonts w:hint="eastAsia"/>
              </w:rPr>
              <w:t xml:space="preserve">021-20333333 </w:t>
            </w:r>
          </w:p>
        </w:tc>
      </w:tr>
      <w:tr w14:paraId="1964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AF691">
            <w:pPr>
              <w:pStyle w:val="7"/>
            </w:pPr>
            <w:r>
              <w:rPr>
                <w:rFonts w:hint="eastAsia"/>
              </w:rPr>
              <w:t xml:space="preserve">传真： </w:t>
            </w:r>
          </w:p>
        </w:tc>
        <w:tc>
          <w:tcPr>
            <w:tcW w:w="7440" w:type="dxa"/>
            <w:shd w:val="clear" w:color="auto" w:fill="auto"/>
          </w:tcPr>
          <w:p w14:paraId="3382E8C9">
            <w:pPr>
              <w:pStyle w:val="7"/>
            </w:pPr>
            <w:r>
              <w:rPr>
                <w:rFonts w:hint="eastAsia"/>
              </w:rPr>
              <w:t xml:space="preserve">021-50498825 </w:t>
            </w:r>
          </w:p>
        </w:tc>
      </w:tr>
      <w:tr w14:paraId="3D18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8B9AF">
            <w:pPr>
              <w:pStyle w:val="7"/>
            </w:pPr>
            <w:r>
              <w:rPr>
                <w:rFonts w:hint="eastAsia"/>
              </w:rPr>
              <w:t xml:space="preserve">客户服务电话： </w:t>
            </w:r>
          </w:p>
        </w:tc>
        <w:tc>
          <w:tcPr>
            <w:tcW w:w="7440" w:type="dxa"/>
            <w:shd w:val="clear" w:color="auto" w:fill="auto"/>
          </w:tcPr>
          <w:p w14:paraId="2269CB45">
            <w:pPr>
              <w:pStyle w:val="7"/>
            </w:pPr>
            <w:r>
              <w:rPr>
                <w:rFonts w:hint="eastAsia"/>
              </w:rPr>
              <w:t xml:space="preserve">95531; 4008888588 </w:t>
            </w:r>
          </w:p>
        </w:tc>
      </w:tr>
      <w:tr w14:paraId="21BC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E1948">
            <w:pPr>
              <w:pStyle w:val="7"/>
            </w:pPr>
            <w:r>
              <w:rPr>
                <w:rFonts w:hint="eastAsia"/>
              </w:rPr>
              <w:t xml:space="preserve">网址： </w:t>
            </w:r>
          </w:p>
        </w:tc>
        <w:tc>
          <w:tcPr>
            <w:tcW w:w="7440" w:type="dxa"/>
            <w:shd w:val="clear" w:color="auto" w:fill="auto"/>
          </w:tcPr>
          <w:p w14:paraId="228A6D9D">
            <w:pPr>
              <w:pStyle w:val="7"/>
            </w:pPr>
            <w:r>
              <w:rPr>
                <w:rFonts w:hint="eastAsia"/>
              </w:rPr>
              <w:t xml:space="preserve">http://www.longone.com.cn </w:t>
            </w:r>
          </w:p>
        </w:tc>
      </w:tr>
    </w:tbl>
    <w:p w14:paraId="245B0751">
      <w:pPr>
        <w:pStyle w:val="7"/>
        <w:spacing w:before="0" w:beforeAutospacing="0" w:after="0" w:afterAutospacing="0" w:line="360" w:lineRule="auto"/>
        <w:ind w:firstLine="420"/>
        <w:rPr>
          <w:sz w:val="21"/>
          <w:szCs w:val="21"/>
        </w:rPr>
      </w:pPr>
      <w:r>
        <w:rPr>
          <w:rFonts w:hint="eastAsia"/>
          <w:b/>
          <w:bCs/>
          <w:sz w:val="21"/>
          <w:szCs w:val="21"/>
        </w:rPr>
        <w:t>(29)恒泰证券股份有限公司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E21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82CE7">
            <w:pPr>
              <w:pStyle w:val="7"/>
            </w:pPr>
            <w:r>
              <w:rPr>
                <w:rFonts w:hint="eastAsia"/>
              </w:rPr>
              <w:t xml:space="preserve">注册地址： </w:t>
            </w:r>
          </w:p>
        </w:tc>
        <w:tc>
          <w:tcPr>
            <w:tcW w:w="7440" w:type="dxa"/>
            <w:shd w:val="clear" w:color="auto" w:fill="auto"/>
          </w:tcPr>
          <w:p w14:paraId="3FA7A4F2">
            <w:pPr>
              <w:pStyle w:val="7"/>
            </w:pPr>
            <w:r>
              <w:rPr>
                <w:rFonts w:hint="eastAsia"/>
              </w:rPr>
              <w:t xml:space="preserve">内蒙古呼和浩特市新城区海拉尔东街满世尚都办公商业综合楼 </w:t>
            </w:r>
          </w:p>
        </w:tc>
      </w:tr>
      <w:tr w14:paraId="26C7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3B3C8">
            <w:pPr>
              <w:pStyle w:val="7"/>
            </w:pPr>
            <w:r>
              <w:rPr>
                <w:rFonts w:hint="eastAsia"/>
              </w:rPr>
              <w:t xml:space="preserve">法定代表人： </w:t>
            </w:r>
          </w:p>
        </w:tc>
        <w:tc>
          <w:tcPr>
            <w:tcW w:w="7440" w:type="dxa"/>
            <w:shd w:val="clear" w:color="auto" w:fill="auto"/>
          </w:tcPr>
          <w:p w14:paraId="7442B1EA">
            <w:pPr>
              <w:pStyle w:val="7"/>
            </w:pPr>
            <w:r>
              <w:rPr>
                <w:rFonts w:hint="eastAsia"/>
              </w:rPr>
              <w:t xml:space="preserve">祝艳辉 </w:t>
            </w:r>
          </w:p>
        </w:tc>
      </w:tr>
      <w:tr w14:paraId="4576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0C039">
            <w:pPr>
              <w:pStyle w:val="7"/>
            </w:pPr>
            <w:r>
              <w:rPr>
                <w:rFonts w:hint="eastAsia"/>
              </w:rPr>
              <w:t xml:space="preserve">联系人： </w:t>
            </w:r>
          </w:p>
        </w:tc>
        <w:tc>
          <w:tcPr>
            <w:tcW w:w="7440" w:type="dxa"/>
            <w:shd w:val="clear" w:color="auto" w:fill="auto"/>
          </w:tcPr>
          <w:p w14:paraId="0B584753">
            <w:pPr>
              <w:pStyle w:val="7"/>
            </w:pPr>
            <w:r>
              <w:rPr>
                <w:rFonts w:hint="eastAsia"/>
              </w:rPr>
              <w:t xml:space="preserve">熊丽 </w:t>
            </w:r>
          </w:p>
        </w:tc>
      </w:tr>
      <w:tr w14:paraId="2AB8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E197F">
            <w:pPr>
              <w:pStyle w:val="7"/>
            </w:pPr>
            <w:r>
              <w:rPr>
                <w:rFonts w:hint="eastAsia"/>
              </w:rPr>
              <w:t xml:space="preserve">电话： </w:t>
            </w:r>
          </w:p>
        </w:tc>
        <w:tc>
          <w:tcPr>
            <w:tcW w:w="7440" w:type="dxa"/>
            <w:shd w:val="clear" w:color="auto" w:fill="auto"/>
          </w:tcPr>
          <w:p w14:paraId="725118EC">
            <w:pPr>
              <w:pStyle w:val="7"/>
            </w:pPr>
            <w:r>
              <w:rPr>
                <w:rFonts w:hint="eastAsia"/>
              </w:rPr>
              <w:t xml:space="preserve">0471－4972675 </w:t>
            </w:r>
          </w:p>
        </w:tc>
      </w:tr>
      <w:tr w14:paraId="4D52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C250B">
            <w:pPr>
              <w:pStyle w:val="7"/>
            </w:pPr>
            <w:r>
              <w:rPr>
                <w:rFonts w:hint="eastAsia"/>
              </w:rPr>
              <w:t xml:space="preserve">客户服务电话： </w:t>
            </w:r>
          </w:p>
        </w:tc>
        <w:tc>
          <w:tcPr>
            <w:tcW w:w="7440" w:type="dxa"/>
            <w:shd w:val="clear" w:color="auto" w:fill="auto"/>
          </w:tcPr>
          <w:p w14:paraId="0CB2D84C">
            <w:pPr>
              <w:pStyle w:val="7"/>
            </w:pPr>
            <w:r>
              <w:rPr>
                <w:rFonts w:hint="eastAsia"/>
              </w:rPr>
              <w:t xml:space="preserve">956088 </w:t>
            </w:r>
          </w:p>
        </w:tc>
      </w:tr>
      <w:tr w14:paraId="57E9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5DF08">
            <w:pPr>
              <w:pStyle w:val="7"/>
            </w:pPr>
            <w:r>
              <w:rPr>
                <w:rFonts w:hint="eastAsia"/>
              </w:rPr>
              <w:t xml:space="preserve">网址： </w:t>
            </w:r>
          </w:p>
        </w:tc>
        <w:tc>
          <w:tcPr>
            <w:tcW w:w="7440" w:type="dxa"/>
            <w:shd w:val="clear" w:color="auto" w:fill="auto"/>
          </w:tcPr>
          <w:p w14:paraId="2B5AE5C7">
            <w:pPr>
              <w:pStyle w:val="7"/>
            </w:pPr>
            <w:r>
              <w:rPr>
                <w:rFonts w:hint="eastAsia"/>
              </w:rPr>
              <w:t xml:space="preserve">http://www.cnht.com.cn/ </w:t>
            </w:r>
          </w:p>
        </w:tc>
      </w:tr>
    </w:tbl>
    <w:p w14:paraId="0C13B74E">
      <w:pPr>
        <w:pStyle w:val="7"/>
        <w:spacing w:before="0" w:beforeAutospacing="0" w:after="0" w:afterAutospacing="0" w:line="360" w:lineRule="auto"/>
        <w:ind w:firstLine="420"/>
        <w:rPr>
          <w:sz w:val="21"/>
          <w:szCs w:val="21"/>
        </w:rPr>
      </w:pPr>
      <w:r>
        <w:rPr>
          <w:rFonts w:hint="eastAsia"/>
          <w:b/>
          <w:bCs/>
          <w:sz w:val="21"/>
          <w:szCs w:val="21"/>
        </w:rPr>
        <w:t>(30)华西证券股份有限公司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5B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05532">
            <w:pPr>
              <w:pStyle w:val="7"/>
            </w:pPr>
            <w:r>
              <w:rPr>
                <w:rFonts w:hint="eastAsia"/>
              </w:rPr>
              <w:t xml:space="preserve">注册地址： </w:t>
            </w:r>
          </w:p>
        </w:tc>
        <w:tc>
          <w:tcPr>
            <w:tcW w:w="7440" w:type="dxa"/>
            <w:shd w:val="clear" w:color="auto" w:fill="auto"/>
          </w:tcPr>
          <w:p w14:paraId="5E2D5FCF">
            <w:pPr>
              <w:pStyle w:val="7"/>
            </w:pPr>
            <w:r>
              <w:rPr>
                <w:rFonts w:hint="eastAsia"/>
              </w:rPr>
              <w:t xml:space="preserve">四川省成都市高新区天府二街198号华西证券大厦 </w:t>
            </w:r>
          </w:p>
        </w:tc>
      </w:tr>
      <w:tr w14:paraId="728E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88EF8">
            <w:pPr>
              <w:pStyle w:val="7"/>
            </w:pPr>
            <w:r>
              <w:rPr>
                <w:rFonts w:hint="eastAsia"/>
              </w:rPr>
              <w:t xml:space="preserve">办公地址： </w:t>
            </w:r>
          </w:p>
        </w:tc>
        <w:tc>
          <w:tcPr>
            <w:tcW w:w="7440" w:type="dxa"/>
            <w:shd w:val="clear" w:color="auto" w:fill="auto"/>
          </w:tcPr>
          <w:p w14:paraId="24D12F90">
            <w:pPr>
              <w:pStyle w:val="7"/>
            </w:pPr>
            <w:r>
              <w:rPr>
                <w:rFonts w:hint="eastAsia"/>
              </w:rPr>
              <w:t xml:space="preserve">四川省成都市高新区天府二街198号华西证券大厦 </w:t>
            </w:r>
          </w:p>
        </w:tc>
      </w:tr>
      <w:tr w14:paraId="1B15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ABB7A">
            <w:pPr>
              <w:pStyle w:val="7"/>
            </w:pPr>
            <w:r>
              <w:rPr>
                <w:rFonts w:hint="eastAsia"/>
              </w:rPr>
              <w:t xml:space="preserve">法定代表人： </w:t>
            </w:r>
          </w:p>
        </w:tc>
        <w:tc>
          <w:tcPr>
            <w:tcW w:w="7440" w:type="dxa"/>
            <w:shd w:val="clear" w:color="auto" w:fill="auto"/>
          </w:tcPr>
          <w:p w14:paraId="320523E0">
            <w:pPr>
              <w:pStyle w:val="7"/>
            </w:pPr>
            <w:r>
              <w:rPr>
                <w:rFonts w:hint="eastAsia"/>
              </w:rPr>
              <w:t xml:space="preserve">杨炯洋 </w:t>
            </w:r>
          </w:p>
        </w:tc>
      </w:tr>
      <w:tr w14:paraId="0ED4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831D0">
            <w:pPr>
              <w:pStyle w:val="7"/>
            </w:pPr>
            <w:r>
              <w:rPr>
                <w:rFonts w:hint="eastAsia"/>
              </w:rPr>
              <w:t xml:space="preserve">联系人： </w:t>
            </w:r>
          </w:p>
        </w:tc>
        <w:tc>
          <w:tcPr>
            <w:tcW w:w="7440" w:type="dxa"/>
            <w:shd w:val="clear" w:color="auto" w:fill="auto"/>
          </w:tcPr>
          <w:p w14:paraId="00D1A6C7">
            <w:pPr>
              <w:pStyle w:val="7"/>
            </w:pPr>
            <w:r>
              <w:rPr>
                <w:rFonts w:hint="eastAsia"/>
              </w:rPr>
              <w:t xml:space="preserve">赵静静 </w:t>
            </w:r>
          </w:p>
        </w:tc>
      </w:tr>
      <w:tr w14:paraId="7513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F09D9">
            <w:pPr>
              <w:pStyle w:val="7"/>
            </w:pPr>
            <w:r>
              <w:rPr>
                <w:rFonts w:hint="eastAsia"/>
              </w:rPr>
              <w:t xml:space="preserve">电话： </w:t>
            </w:r>
          </w:p>
        </w:tc>
        <w:tc>
          <w:tcPr>
            <w:tcW w:w="7440" w:type="dxa"/>
            <w:shd w:val="clear" w:color="auto" w:fill="auto"/>
          </w:tcPr>
          <w:p w14:paraId="48E233D4">
            <w:pPr>
              <w:pStyle w:val="7"/>
            </w:pPr>
            <w:r>
              <w:rPr>
                <w:rFonts w:hint="eastAsia"/>
              </w:rPr>
              <w:t xml:space="preserve">010-58124967 </w:t>
            </w:r>
          </w:p>
        </w:tc>
      </w:tr>
      <w:tr w14:paraId="7B0C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BE11E">
            <w:pPr>
              <w:pStyle w:val="7"/>
            </w:pPr>
            <w:r>
              <w:rPr>
                <w:rFonts w:hint="eastAsia"/>
              </w:rPr>
              <w:t xml:space="preserve">传真： </w:t>
            </w:r>
          </w:p>
        </w:tc>
        <w:tc>
          <w:tcPr>
            <w:tcW w:w="7440" w:type="dxa"/>
            <w:shd w:val="clear" w:color="auto" w:fill="auto"/>
          </w:tcPr>
          <w:p w14:paraId="7994F7DB">
            <w:pPr>
              <w:pStyle w:val="7"/>
            </w:pPr>
            <w:r>
              <w:rPr>
                <w:rFonts w:hint="eastAsia"/>
              </w:rPr>
              <w:t xml:space="preserve">028-86150040 </w:t>
            </w:r>
          </w:p>
        </w:tc>
      </w:tr>
      <w:tr w14:paraId="5CF4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B87D1">
            <w:pPr>
              <w:pStyle w:val="7"/>
            </w:pPr>
            <w:r>
              <w:rPr>
                <w:rFonts w:hint="eastAsia"/>
              </w:rPr>
              <w:t xml:space="preserve">客户服务电话： </w:t>
            </w:r>
          </w:p>
        </w:tc>
        <w:tc>
          <w:tcPr>
            <w:tcW w:w="7440" w:type="dxa"/>
            <w:shd w:val="clear" w:color="auto" w:fill="auto"/>
          </w:tcPr>
          <w:p w14:paraId="3BF26101">
            <w:pPr>
              <w:pStyle w:val="7"/>
            </w:pPr>
            <w:r>
              <w:rPr>
                <w:rFonts w:hint="eastAsia"/>
              </w:rPr>
              <w:t xml:space="preserve">95584 </w:t>
            </w:r>
          </w:p>
        </w:tc>
      </w:tr>
      <w:tr w14:paraId="7078B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748C0">
            <w:pPr>
              <w:pStyle w:val="7"/>
            </w:pPr>
            <w:r>
              <w:rPr>
                <w:rFonts w:hint="eastAsia"/>
              </w:rPr>
              <w:t xml:space="preserve">网址： </w:t>
            </w:r>
          </w:p>
        </w:tc>
        <w:tc>
          <w:tcPr>
            <w:tcW w:w="7440" w:type="dxa"/>
            <w:shd w:val="clear" w:color="auto" w:fill="auto"/>
          </w:tcPr>
          <w:p w14:paraId="2E3C7B27">
            <w:pPr>
              <w:pStyle w:val="7"/>
            </w:pPr>
            <w:r>
              <w:rPr>
                <w:rFonts w:hint="eastAsia"/>
              </w:rPr>
              <w:t xml:space="preserve">https://www.hx168.com.cn/ </w:t>
            </w:r>
          </w:p>
        </w:tc>
      </w:tr>
    </w:tbl>
    <w:p w14:paraId="6CC8CF5F">
      <w:pPr>
        <w:pStyle w:val="7"/>
        <w:spacing w:before="0" w:beforeAutospacing="0" w:after="0" w:afterAutospacing="0" w:line="360" w:lineRule="auto"/>
        <w:ind w:firstLine="420"/>
        <w:rPr>
          <w:sz w:val="21"/>
          <w:szCs w:val="21"/>
        </w:rPr>
      </w:pPr>
      <w:r>
        <w:rPr>
          <w:rFonts w:hint="eastAsia"/>
          <w:b/>
          <w:bCs/>
          <w:sz w:val="21"/>
          <w:szCs w:val="21"/>
        </w:rPr>
        <w:t>(31)申万宏源西部证券有限公司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8AC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B3F36">
            <w:pPr>
              <w:pStyle w:val="7"/>
            </w:pPr>
            <w:r>
              <w:rPr>
                <w:rFonts w:hint="eastAsia"/>
              </w:rPr>
              <w:t xml:space="preserve">注册地址： </w:t>
            </w:r>
          </w:p>
        </w:tc>
        <w:tc>
          <w:tcPr>
            <w:tcW w:w="7440" w:type="dxa"/>
            <w:shd w:val="clear" w:color="auto" w:fill="auto"/>
          </w:tcPr>
          <w:p w14:paraId="3330643F">
            <w:pPr>
              <w:pStyle w:val="7"/>
            </w:pPr>
            <w:r>
              <w:rPr>
                <w:rFonts w:hint="eastAsia"/>
              </w:rPr>
              <w:t xml:space="preserve">新疆乌鲁木齐市高新区（新市区）北京南路358号大成国际大厦20楼2005室 </w:t>
            </w:r>
          </w:p>
        </w:tc>
      </w:tr>
      <w:tr w14:paraId="66F3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6433C">
            <w:pPr>
              <w:pStyle w:val="7"/>
            </w:pPr>
            <w:r>
              <w:rPr>
                <w:rFonts w:hint="eastAsia"/>
              </w:rPr>
              <w:t xml:space="preserve">办公地址： </w:t>
            </w:r>
          </w:p>
        </w:tc>
        <w:tc>
          <w:tcPr>
            <w:tcW w:w="7440" w:type="dxa"/>
            <w:shd w:val="clear" w:color="auto" w:fill="auto"/>
          </w:tcPr>
          <w:p w14:paraId="6B632AC7">
            <w:pPr>
              <w:pStyle w:val="7"/>
            </w:pPr>
            <w:r>
              <w:rPr>
                <w:rFonts w:hint="eastAsia"/>
              </w:rPr>
              <w:t xml:space="preserve">新疆乌鲁木齐市高新区（新市区）北京南路358号大成国际大厦20楼2005室 </w:t>
            </w:r>
          </w:p>
        </w:tc>
      </w:tr>
      <w:tr w14:paraId="59390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3460F">
            <w:pPr>
              <w:pStyle w:val="7"/>
            </w:pPr>
            <w:r>
              <w:rPr>
                <w:rFonts w:hint="eastAsia"/>
              </w:rPr>
              <w:t xml:space="preserve">法定代表人： </w:t>
            </w:r>
          </w:p>
        </w:tc>
        <w:tc>
          <w:tcPr>
            <w:tcW w:w="7440" w:type="dxa"/>
            <w:shd w:val="clear" w:color="auto" w:fill="auto"/>
          </w:tcPr>
          <w:p w14:paraId="48F78108">
            <w:pPr>
              <w:pStyle w:val="7"/>
            </w:pPr>
            <w:r>
              <w:rPr>
                <w:rFonts w:hint="eastAsia"/>
              </w:rPr>
              <w:t xml:space="preserve">王献军  </w:t>
            </w:r>
          </w:p>
        </w:tc>
      </w:tr>
      <w:tr w14:paraId="5F87D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0DEC9">
            <w:pPr>
              <w:pStyle w:val="7"/>
            </w:pPr>
            <w:r>
              <w:rPr>
                <w:rFonts w:hint="eastAsia"/>
              </w:rPr>
              <w:t xml:space="preserve">联系人： </w:t>
            </w:r>
          </w:p>
        </w:tc>
        <w:tc>
          <w:tcPr>
            <w:tcW w:w="7440" w:type="dxa"/>
            <w:shd w:val="clear" w:color="auto" w:fill="auto"/>
          </w:tcPr>
          <w:p w14:paraId="130689B4">
            <w:pPr>
              <w:pStyle w:val="7"/>
            </w:pPr>
            <w:r>
              <w:rPr>
                <w:rFonts w:hint="eastAsia"/>
              </w:rPr>
              <w:t xml:space="preserve">梁丽 </w:t>
            </w:r>
          </w:p>
        </w:tc>
      </w:tr>
      <w:tr w14:paraId="4645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791D5">
            <w:pPr>
              <w:pStyle w:val="7"/>
            </w:pPr>
            <w:r>
              <w:rPr>
                <w:rFonts w:hint="eastAsia"/>
              </w:rPr>
              <w:t xml:space="preserve">电话： </w:t>
            </w:r>
          </w:p>
        </w:tc>
        <w:tc>
          <w:tcPr>
            <w:tcW w:w="7440" w:type="dxa"/>
            <w:shd w:val="clear" w:color="auto" w:fill="auto"/>
          </w:tcPr>
          <w:p w14:paraId="573F3495">
            <w:pPr>
              <w:pStyle w:val="7"/>
            </w:pPr>
            <w:r>
              <w:rPr>
                <w:rFonts w:hint="eastAsia"/>
              </w:rPr>
              <w:t xml:space="preserve">0991-2307105 </w:t>
            </w:r>
          </w:p>
        </w:tc>
      </w:tr>
      <w:tr w14:paraId="456A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EC87B">
            <w:pPr>
              <w:pStyle w:val="7"/>
            </w:pPr>
            <w:r>
              <w:rPr>
                <w:rFonts w:hint="eastAsia"/>
              </w:rPr>
              <w:t xml:space="preserve">传真： </w:t>
            </w:r>
          </w:p>
        </w:tc>
        <w:tc>
          <w:tcPr>
            <w:tcW w:w="7440" w:type="dxa"/>
            <w:shd w:val="clear" w:color="auto" w:fill="auto"/>
          </w:tcPr>
          <w:p w14:paraId="6E093775">
            <w:pPr>
              <w:pStyle w:val="7"/>
            </w:pPr>
            <w:r>
              <w:rPr>
                <w:rFonts w:hint="eastAsia"/>
              </w:rPr>
              <w:t xml:space="preserve">010-88085195 </w:t>
            </w:r>
          </w:p>
        </w:tc>
      </w:tr>
      <w:tr w14:paraId="39892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A965E">
            <w:pPr>
              <w:pStyle w:val="7"/>
            </w:pPr>
            <w:r>
              <w:rPr>
                <w:rFonts w:hint="eastAsia"/>
              </w:rPr>
              <w:t xml:space="preserve">客户服务电话： </w:t>
            </w:r>
          </w:p>
        </w:tc>
        <w:tc>
          <w:tcPr>
            <w:tcW w:w="7440" w:type="dxa"/>
            <w:shd w:val="clear" w:color="auto" w:fill="auto"/>
          </w:tcPr>
          <w:p w14:paraId="6668F808">
            <w:pPr>
              <w:pStyle w:val="7"/>
            </w:pPr>
            <w:r>
              <w:rPr>
                <w:rFonts w:hint="eastAsia"/>
              </w:rPr>
              <w:t xml:space="preserve">95523或4008895523 </w:t>
            </w:r>
          </w:p>
        </w:tc>
      </w:tr>
      <w:tr w14:paraId="34CB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83891">
            <w:pPr>
              <w:pStyle w:val="7"/>
            </w:pPr>
            <w:r>
              <w:rPr>
                <w:rFonts w:hint="eastAsia"/>
              </w:rPr>
              <w:t xml:space="preserve">网址： </w:t>
            </w:r>
          </w:p>
        </w:tc>
        <w:tc>
          <w:tcPr>
            <w:tcW w:w="7440" w:type="dxa"/>
            <w:shd w:val="clear" w:color="auto" w:fill="auto"/>
          </w:tcPr>
          <w:p w14:paraId="05B7CA33">
            <w:pPr>
              <w:pStyle w:val="7"/>
            </w:pPr>
            <w:r>
              <w:rPr>
                <w:rFonts w:hint="eastAsia"/>
              </w:rPr>
              <w:t xml:space="preserve">www.swhysc.com </w:t>
            </w:r>
          </w:p>
        </w:tc>
      </w:tr>
    </w:tbl>
    <w:p w14:paraId="5A2E8783">
      <w:pPr>
        <w:pStyle w:val="7"/>
        <w:spacing w:before="0" w:beforeAutospacing="0" w:after="0" w:afterAutospacing="0" w:line="360" w:lineRule="auto"/>
        <w:ind w:firstLine="420"/>
        <w:rPr>
          <w:sz w:val="21"/>
          <w:szCs w:val="21"/>
        </w:rPr>
      </w:pPr>
      <w:r>
        <w:rPr>
          <w:rFonts w:hint="eastAsia"/>
          <w:b/>
          <w:bCs/>
          <w:sz w:val="21"/>
          <w:szCs w:val="21"/>
        </w:rPr>
        <w:t>(32)中泰证券股份有限公司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825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9E1FA">
            <w:pPr>
              <w:pStyle w:val="7"/>
            </w:pPr>
            <w:r>
              <w:rPr>
                <w:rFonts w:hint="eastAsia"/>
              </w:rPr>
              <w:t xml:space="preserve">注册地址： </w:t>
            </w:r>
          </w:p>
        </w:tc>
        <w:tc>
          <w:tcPr>
            <w:tcW w:w="7440" w:type="dxa"/>
            <w:shd w:val="clear" w:color="auto" w:fill="auto"/>
          </w:tcPr>
          <w:p w14:paraId="79A80A55">
            <w:pPr>
              <w:pStyle w:val="7"/>
            </w:pPr>
            <w:r>
              <w:rPr>
                <w:rFonts w:hint="eastAsia"/>
              </w:rPr>
              <w:t xml:space="preserve">济南市市中区经七路86号 </w:t>
            </w:r>
          </w:p>
        </w:tc>
      </w:tr>
      <w:tr w14:paraId="413E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10308">
            <w:pPr>
              <w:pStyle w:val="7"/>
            </w:pPr>
            <w:r>
              <w:rPr>
                <w:rFonts w:hint="eastAsia"/>
              </w:rPr>
              <w:t xml:space="preserve">办公地址： </w:t>
            </w:r>
          </w:p>
        </w:tc>
        <w:tc>
          <w:tcPr>
            <w:tcW w:w="7440" w:type="dxa"/>
            <w:shd w:val="clear" w:color="auto" w:fill="auto"/>
          </w:tcPr>
          <w:p w14:paraId="410DEBEB">
            <w:pPr>
              <w:pStyle w:val="7"/>
            </w:pPr>
            <w:r>
              <w:rPr>
                <w:rFonts w:hint="eastAsia"/>
              </w:rPr>
              <w:t xml:space="preserve">山东省济南市市中区经七路86号证券大厦2309 </w:t>
            </w:r>
          </w:p>
        </w:tc>
      </w:tr>
      <w:tr w14:paraId="7FD4F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5BB5C">
            <w:pPr>
              <w:pStyle w:val="7"/>
            </w:pPr>
            <w:r>
              <w:rPr>
                <w:rFonts w:hint="eastAsia"/>
              </w:rPr>
              <w:t xml:space="preserve">法定代表人： </w:t>
            </w:r>
          </w:p>
        </w:tc>
        <w:tc>
          <w:tcPr>
            <w:tcW w:w="7440" w:type="dxa"/>
            <w:shd w:val="clear" w:color="auto" w:fill="auto"/>
          </w:tcPr>
          <w:p w14:paraId="0CF078F9">
            <w:pPr>
              <w:pStyle w:val="7"/>
            </w:pPr>
            <w:r>
              <w:rPr>
                <w:rFonts w:hint="eastAsia"/>
              </w:rPr>
              <w:t xml:space="preserve">王洪 </w:t>
            </w:r>
          </w:p>
        </w:tc>
      </w:tr>
      <w:tr w14:paraId="2F35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DDF91">
            <w:pPr>
              <w:pStyle w:val="7"/>
            </w:pPr>
            <w:r>
              <w:rPr>
                <w:rFonts w:hint="eastAsia"/>
              </w:rPr>
              <w:t xml:space="preserve">联系人： </w:t>
            </w:r>
          </w:p>
        </w:tc>
        <w:tc>
          <w:tcPr>
            <w:tcW w:w="7440" w:type="dxa"/>
            <w:shd w:val="clear" w:color="auto" w:fill="auto"/>
          </w:tcPr>
          <w:p w14:paraId="2D03C51C">
            <w:pPr>
              <w:pStyle w:val="7"/>
            </w:pPr>
            <w:r>
              <w:rPr>
                <w:rFonts w:hint="eastAsia"/>
              </w:rPr>
              <w:t xml:space="preserve">张峰源 </w:t>
            </w:r>
          </w:p>
        </w:tc>
      </w:tr>
      <w:tr w14:paraId="4C3C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E545D">
            <w:pPr>
              <w:pStyle w:val="7"/>
            </w:pPr>
            <w:r>
              <w:rPr>
                <w:rFonts w:hint="eastAsia"/>
              </w:rPr>
              <w:t xml:space="preserve">电话： </w:t>
            </w:r>
          </w:p>
        </w:tc>
        <w:tc>
          <w:tcPr>
            <w:tcW w:w="7440" w:type="dxa"/>
            <w:shd w:val="clear" w:color="auto" w:fill="auto"/>
          </w:tcPr>
          <w:p w14:paraId="71B72591">
            <w:pPr>
              <w:pStyle w:val="7"/>
            </w:pPr>
            <w:r>
              <w:rPr>
                <w:rFonts w:hint="eastAsia"/>
              </w:rPr>
              <w:t xml:space="preserve">021-20315719 </w:t>
            </w:r>
          </w:p>
        </w:tc>
      </w:tr>
      <w:tr w14:paraId="5774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474E1">
            <w:pPr>
              <w:pStyle w:val="7"/>
            </w:pPr>
            <w:r>
              <w:rPr>
                <w:rFonts w:hint="eastAsia"/>
              </w:rPr>
              <w:t xml:space="preserve">客户服务电话： </w:t>
            </w:r>
          </w:p>
        </w:tc>
        <w:tc>
          <w:tcPr>
            <w:tcW w:w="7440" w:type="dxa"/>
            <w:shd w:val="clear" w:color="auto" w:fill="auto"/>
          </w:tcPr>
          <w:p w14:paraId="042D797B">
            <w:pPr>
              <w:pStyle w:val="7"/>
            </w:pPr>
            <w:r>
              <w:rPr>
                <w:rFonts w:hint="eastAsia"/>
              </w:rPr>
              <w:t xml:space="preserve">95538 </w:t>
            </w:r>
          </w:p>
        </w:tc>
      </w:tr>
      <w:tr w14:paraId="5420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55D87">
            <w:pPr>
              <w:pStyle w:val="7"/>
            </w:pPr>
            <w:r>
              <w:rPr>
                <w:rFonts w:hint="eastAsia"/>
              </w:rPr>
              <w:t xml:space="preserve">网址： </w:t>
            </w:r>
          </w:p>
        </w:tc>
        <w:tc>
          <w:tcPr>
            <w:tcW w:w="7440" w:type="dxa"/>
            <w:shd w:val="clear" w:color="auto" w:fill="auto"/>
          </w:tcPr>
          <w:p w14:paraId="262EE208">
            <w:pPr>
              <w:pStyle w:val="7"/>
            </w:pPr>
            <w:r>
              <w:rPr>
                <w:rFonts w:hint="eastAsia"/>
              </w:rPr>
              <w:t xml:space="preserve">www.zts.com.cn </w:t>
            </w:r>
          </w:p>
        </w:tc>
      </w:tr>
    </w:tbl>
    <w:p w14:paraId="28DB7D1E">
      <w:pPr>
        <w:pStyle w:val="7"/>
        <w:spacing w:before="0" w:beforeAutospacing="0" w:after="0" w:afterAutospacing="0" w:line="360" w:lineRule="auto"/>
        <w:ind w:firstLine="420"/>
        <w:rPr>
          <w:sz w:val="21"/>
          <w:szCs w:val="21"/>
        </w:rPr>
      </w:pPr>
      <w:r>
        <w:rPr>
          <w:rFonts w:hint="eastAsia"/>
          <w:b/>
          <w:bCs/>
          <w:sz w:val="21"/>
          <w:szCs w:val="21"/>
        </w:rPr>
        <w:t>(33)金元证券股份有限公司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34E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232AB">
            <w:pPr>
              <w:pStyle w:val="7"/>
            </w:pPr>
            <w:r>
              <w:rPr>
                <w:rFonts w:hint="eastAsia"/>
              </w:rPr>
              <w:t xml:space="preserve">注册地址： </w:t>
            </w:r>
          </w:p>
        </w:tc>
        <w:tc>
          <w:tcPr>
            <w:tcW w:w="7440" w:type="dxa"/>
            <w:shd w:val="clear" w:color="auto" w:fill="auto"/>
          </w:tcPr>
          <w:p w14:paraId="08AA73AE">
            <w:pPr>
              <w:pStyle w:val="7"/>
            </w:pPr>
            <w:r>
              <w:rPr>
                <w:rFonts w:hint="eastAsia"/>
              </w:rPr>
              <w:t xml:space="preserve">海口市南宝路36号证券大厦4楼 </w:t>
            </w:r>
          </w:p>
        </w:tc>
      </w:tr>
      <w:tr w14:paraId="426D8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70C2D">
            <w:pPr>
              <w:pStyle w:val="7"/>
            </w:pPr>
            <w:r>
              <w:rPr>
                <w:rFonts w:hint="eastAsia"/>
              </w:rPr>
              <w:t xml:space="preserve">办公地址： </w:t>
            </w:r>
          </w:p>
        </w:tc>
        <w:tc>
          <w:tcPr>
            <w:tcW w:w="7440" w:type="dxa"/>
            <w:shd w:val="clear" w:color="auto" w:fill="auto"/>
          </w:tcPr>
          <w:p w14:paraId="1FA79E69">
            <w:pPr>
              <w:pStyle w:val="7"/>
            </w:pPr>
            <w:r>
              <w:rPr>
                <w:rFonts w:hint="eastAsia"/>
              </w:rPr>
              <w:t xml:space="preserve">深圳市福田区深南大道4001号时代金融中心17楼 </w:t>
            </w:r>
          </w:p>
        </w:tc>
      </w:tr>
      <w:tr w14:paraId="13A9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D369F">
            <w:pPr>
              <w:pStyle w:val="7"/>
            </w:pPr>
            <w:r>
              <w:rPr>
                <w:rFonts w:hint="eastAsia"/>
              </w:rPr>
              <w:t xml:space="preserve">法定代表人： </w:t>
            </w:r>
          </w:p>
        </w:tc>
        <w:tc>
          <w:tcPr>
            <w:tcW w:w="7440" w:type="dxa"/>
            <w:shd w:val="clear" w:color="auto" w:fill="auto"/>
          </w:tcPr>
          <w:p w14:paraId="138C74AA">
            <w:pPr>
              <w:pStyle w:val="7"/>
            </w:pPr>
            <w:r>
              <w:rPr>
                <w:rFonts w:hint="eastAsia"/>
              </w:rPr>
              <w:t xml:space="preserve">陆涛 </w:t>
            </w:r>
          </w:p>
        </w:tc>
      </w:tr>
      <w:tr w14:paraId="3FA7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2C760A">
            <w:pPr>
              <w:pStyle w:val="7"/>
            </w:pPr>
            <w:r>
              <w:rPr>
                <w:rFonts w:hint="eastAsia"/>
              </w:rPr>
              <w:t xml:space="preserve">联系人： </w:t>
            </w:r>
          </w:p>
        </w:tc>
        <w:tc>
          <w:tcPr>
            <w:tcW w:w="7440" w:type="dxa"/>
            <w:shd w:val="clear" w:color="auto" w:fill="auto"/>
          </w:tcPr>
          <w:p w14:paraId="65C4B07C">
            <w:pPr>
              <w:pStyle w:val="7"/>
            </w:pPr>
            <w:r>
              <w:rPr>
                <w:rFonts w:hint="eastAsia"/>
              </w:rPr>
              <w:t xml:space="preserve">马贤清 </w:t>
            </w:r>
          </w:p>
        </w:tc>
      </w:tr>
      <w:tr w14:paraId="25FB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E9F65">
            <w:pPr>
              <w:pStyle w:val="7"/>
            </w:pPr>
            <w:r>
              <w:rPr>
                <w:rFonts w:hint="eastAsia"/>
              </w:rPr>
              <w:t xml:space="preserve">电话： </w:t>
            </w:r>
          </w:p>
        </w:tc>
        <w:tc>
          <w:tcPr>
            <w:tcW w:w="7440" w:type="dxa"/>
            <w:shd w:val="clear" w:color="auto" w:fill="auto"/>
          </w:tcPr>
          <w:p w14:paraId="7A7613B8">
            <w:pPr>
              <w:pStyle w:val="7"/>
            </w:pPr>
            <w:r>
              <w:rPr>
                <w:rFonts w:hint="eastAsia"/>
              </w:rPr>
              <w:t xml:space="preserve">0755-83025022 </w:t>
            </w:r>
          </w:p>
        </w:tc>
      </w:tr>
      <w:tr w14:paraId="44A3F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F37EF">
            <w:pPr>
              <w:pStyle w:val="7"/>
            </w:pPr>
            <w:r>
              <w:rPr>
                <w:rFonts w:hint="eastAsia"/>
              </w:rPr>
              <w:t xml:space="preserve">传真： </w:t>
            </w:r>
          </w:p>
        </w:tc>
        <w:tc>
          <w:tcPr>
            <w:tcW w:w="7440" w:type="dxa"/>
            <w:shd w:val="clear" w:color="auto" w:fill="auto"/>
          </w:tcPr>
          <w:p w14:paraId="1157F4AA">
            <w:pPr>
              <w:pStyle w:val="7"/>
            </w:pPr>
            <w:r>
              <w:rPr>
                <w:rFonts w:hint="eastAsia"/>
              </w:rPr>
              <w:t xml:space="preserve">0755-83025625 </w:t>
            </w:r>
          </w:p>
        </w:tc>
      </w:tr>
      <w:tr w14:paraId="4297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A5480">
            <w:pPr>
              <w:pStyle w:val="7"/>
            </w:pPr>
            <w:r>
              <w:rPr>
                <w:rFonts w:hint="eastAsia"/>
              </w:rPr>
              <w:t xml:space="preserve">客户服务电话： </w:t>
            </w:r>
          </w:p>
        </w:tc>
        <w:tc>
          <w:tcPr>
            <w:tcW w:w="7440" w:type="dxa"/>
            <w:shd w:val="clear" w:color="auto" w:fill="auto"/>
          </w:tcPr>
          <w:p w14:paraId="38C67EDE">
            <w:pPr>
              <w:pStyle w:val="7"/>
            </w:pPr>
            <w:r>
              <w:rPr>
                <w:rFonts w:hint="eastAsia"/>
              </w:rPr>
              <w:t xml:space="preserve">4008-888-228 </w:t>
            </w:r>
          </w:p>
        </w:tc>
      </w:tr>
      <w:tr w14:paraId="75A7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3E1E0">
            <w:pPr>
              <w:pStyle w:val="7"/>
            </w:pPr>
            <w:r>
              <w:rPr>
                <w:rFonts w:hint="eastAsia"/>
              </w:rPr>
              <w:t xml:space="preserve">网址： </w:t>
            </w:r>
          </w:p>
        </w:tc>
        <w:tc>
          <w:tcPr>
            <w:tcW w:w="7440" w:type="dxa"/>
            <w:shd w:val="clear" w:color="auto" w:fill="auto"/>
          </w:tcPr>
          <w:p w14:paraId="256E51B9">
            <w:pPr>
              <w:pStyle w:val="7"/>
            </w:pPr>
            <w:r>
              <w:rPr>
                <w:rFonts w:hint="eastAsia"/>
              </w:rPr>
              <w:t xml:space="preserve">https://www.jyzq.cn/ </w:t>
            </w:r>
          </w:p>
        </w:tc>
      </w:tr>
    </w:tbl>
    <w:p w14:paraId="5E5C28B3">
      <w:pPr>
        <w:pStyle w:val="7"/>
        <w:spacing w:before="0" w:beforeAutospacing="0" w:after="0" w:afterAutospacing="0" w:line="360" w:lineRule="auto"/>
        <w:ind w:firstLine="420"/>
        <w:rPr>
          <w:sz w:val="21"/>
          <w:szCs w:val="21"/>
        </w:rPr>
      </w:pPr>
      <w:r>
        <w:rPr>
          <w:rFonts w:hint="eastAsia"/>
          <w:b/>
          <w:bCs/>
          <w:sz w:val="21"/>
          <w:szCs w:val="21"/>
        </w:rPr>
        <w:t>(34)德邦证券股份有限公司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2D3E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29192">
            <w:pPr>
              <w:pStyle w:val="7"/>
            </w:pPr>
            <w:r>
              <w:rPr>
                <w:rFonts w:hint="eastAsia"/>
              </w:rPr>
              <w:t xml:space="preserve">注册地址： </w:t>
            </w:r>
          </w:p>
        </w:tc>
        <w:tc>
          <w:tcPr>
            <w:tcW w:w="7440" w:type="dxa"/>
            <w:shd w:val="clear" w:color="auto" w:fill="auto"/>
          </w:tcPr>
          <w:p w14:paraId="6D94E1FA">
            <w:pPr>
              <w:pStyle w:val="7"/>
            </w:pPr>
            <w:r>
              <w:rPr>
                <w:rFonts w:hint="eastAsia"/>
              </w:rPr>
              <w:t xml:space="preserve">上海市普陀区曹杨路510号南半幢9楼 </w:t>
            </w:r>
          </w:p>
        </w:tc>
      </w:tr>
      <w:tr w14:paraId="2CA90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F94AF">
            <w:pPr>
              <w:pStyle w:val="7"/>
            </w:pPr>
            <w:r>
              <w:rPr>
                <w:rFonts w:hint="eastAsia"/>
              </w:rPr>
              <w:t xml:space="preserve">办公地址： </w:t>
            </w:r>
          </w:p>
        </w:tc>
        <w:tc>
          <w:tcPr>
            <w:tcW w:w="7440" w:type="dxa"/>
            <w:shd w:val="clear" w:color="auto" w:fill="auto"/>
          </w:tcPr>
          <w:p w14:paraId="7C9B70CD">
            <w:pPr>
              <w:pStyle w:val="7"/>
            </w:pPr>
            <w:r>
              <w:rPr>
                <w:rFonts w:hint="eastAsia"/>
              </w:rPr>
              <w:t xml:space="preserve">上海市浦东新区福山路500号城建国际中心26楼 </w:t>
            </w:r>
          </w:p>
        </w:tc>
      </w:tr>
      <w:tr w14:paraId="36C3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0FA13">
            <w:pPr>
              <w:pStyle w:val="7"/>
            </w:pPr>
            <w:r>
              <w:rPr>
                <w:rFonts w:hint="eastAsia"/>
              </w:rPr>
              <w:t xml:space="preserve">法定代表人： </w:t>
            </w:r>
          </w:p>
        </w:tc>
        <w:tc>
          <w:tcPr>
            <w:tcW w:w="7440" w:type="dxa"/>
            <w:shd w:val="clear" w:color="auto" w:fill="auto"/>
          </w:tcPr>
          <w:p w14:paraId="0642BDA7">
            <w:pPr>
              <w:pStyle w:val="7"/>
            </w:pPr>
            <w:r>
              <w:rPr>
                <w:rFonts w:hint="eastAsia"/>
              </w:rPr>
              <w:t xml:space="preserve">武晓春 </w:t>
            </w:r>
          </w:p>
        </w:tc>
      </w:tr>
      <w:tr w14:paraId="5967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D7777">
            <w:pPr>
              <w:pStyle w:val="7"/>
            </w:pPr>
            <w:r>
              <w:rPr>
                <w:rFonts w:hint="eastAsia"/>
              </w:rPr>
              <w:t xml:space="preserve">联系人： </w:t>
            </w:r>
          </w:p>
        </w:tc>
        <w:tc>
          <w:tcPr>
            <w:tcW w:w="7440" w:type="dxa"/>
            <w:shd w:val="clear" w:color="auto" w:fill="auto"/>
          </w:tcPr>
          <w:p w14:paraId="614B016A">
            <w:pPr>
              <w:pStyle w:val="7"/>
            </w:pPr>
            <w:r>
              <w:rPr>
                <w:rFonts w:hint="eastAsia"/>
              </w:rPr>
              <w:t xml:space="preserve">刘熠 </w:t>
            </w:r>
          </w:p>
        </w:tc>
      </w:tr>
      <w:tr w14:paraId="7B2B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7EC36">
            <w:pPr>
              <w:pStyle w:val="7"/>
            </w:pPr>
            <w:r>
              <w:rPr>
                <w:rFonts w:hint="eastAsia"/>
              </w:rPr>
              <w:t xml:space="preserve">电话： </w:t>
            </w:r>
          </w:p>
        </w:tc>
        <w:tc>
          <w:tcPr>
            <w:tcW w:w="7440" w:type="dxa"/>
            <w:shd w:val="clear" w:color="auto" w:fill="auto"/>
          </w:tcPr>
          <w:p w14:paraId="5D54A9A8">
            <w:pPr>
              <w:pStyle w:val="7"/>
            </w:pPr>
            <w:r>
              <w:rPr>
                <w:rFonts w:hint="eastAsia"/>
              </w:rPr>
              <w:t xml:space="preserve">021-68761616 </w:t>
            </w:r>
          </w:p>
        </w:tc>
      </w:tr>
      <w:tr w14:paraId="7B9A8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0FE29">
            <w:pPr>
              <w:pStyle w:val="7"/>
            </w:pPr>
            <w:r>
              <w:rPr>
                <w:rFonts w:hint="eastAsia"/>
              </w:rPr>
              <w:t xml:space="preserve">传真： </w:t>
            </w:r>
          </w:p>
        </w:tc>
        <w:tc>
          <w:tcPr>
            <w:tcW w:w="7440" w:type="dxa"/>
            <w:shd w:val="clear" w:color="auto" w:fill="auto"/>
          </w:tcPr>
          <w:p w14:paraId="0F821513">
            <w:pPr>
              <w:pStyle w:val="7"/>
            </w:pPr>
            <w:r>
              <w:rPr>
                <w:rFonts w:hint="eastAsia"/>
              </w:rPr>
              <w:t xml:space="preserve">021-68767981 </w:t>
            </w:r>
          </w:p>
        </w:tc>
      </w:tr>
      <w:tr w14:paraId="7901F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092F9">
            <w:pPr>
              <w:pStyle w:val="7"/>
            </w:pPr>
            <w:r>
              <w:rPr>
                <w:rFonts w:hint="eastAsia"/>
              </w:rPr>
              <w:t xml:space="preserve">客户服务电话： </w:t>
            </w:r>
          </w:p>
        </w:tc>
        <w:tc>
          <w:tcPr>
            <w:tcW w:w="7440" w:type="dxa"/>
            <w:shd w:val="clear" w:color="auto" w:fill="auto"/>
          </w:tcPr>
          <w:p w14:paraId="5FFD6AC6">
            <w:pPr>
              <w:pStyle w:val="7"/>
            </w:pPr>
            <w:r>
              <w:rPr>
                <w:rFonts w:hint="eastAsia"/>
              </w:rPr>
              <w:t xml:space="preserve">4008888128 </w:t>
            </w:r>
          </w:p>
        </w:tc>
      </w:tr>
      <w:tr w14:paraId="136F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A5C9D">
            <w:pPr>
              <w:pStyle w:val="7"/>
            </w:pPr>
            <w:r>
              <w:rPr>
                <w:rFonts w:hint="eastAsia"/>
              </w:rPr>
              <w:t xml:space="preserve">网址： </w:t>
            </w:r>
          </w:p>
        </w:tc>
        <w:tc>
          <w:tcPr>
            <w:tcW w:w="7440" w:type="dxa"/>
            <w:shd w:val="clear" w:color="auto" w:fill="auto"/>
          </w:tcPr>
          <w:p w14:paraId="62013642">
            <w:pPr>
              <w:pStyle w:val="7"/>
            </w:pPr>
            <w:r>
              <w:rPr>
                <w:rFonts w:hint="eastAsia"/>
              </w:rPr>
              <w:t xml:space="preserve">http://www.tebon.com.cn </w:t>
            </w:r>
          </w:p>
        </w:tc>
      </w:tr>
    </w:tbl>
    <w:p w14:paraId="50C060E5">
      <w:pPr>
        <w:pStyle w:val="7"/>
        <w:spacing w:before="0" w:beforeAutospacing="0" w:after="0" w:afterAutospacing="0" w:line="360" w:lineRule="auto"/>
        <w:ind w:firstLine="420"/>
        <w:rPr>
          <w:sz w:val="21"/>
          <w:szCs w:val="21"/>
        </w:rPr>
      </w:pPr>
      <w:r>
        <w:rPr>
          <w:rFonts w:hint="eastAsia"/>
          <w:b/>
          <w:bCs/>
          <w:sz w:val="21"/>
          <w:szCs w:val="21"/>
        </w:rPr>
        <w:t>(35)西部证券股份有限公司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D43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755DF">
            <w:pPr>
              <w:pStyle w:val="7"/>
            </w:pPr>
            <w:r>
              <w:rPr>
                <w:rFonts w:hint="eastAsia"/>
              </w:rPr>
              <w:t xml:space="preserve">注册地址： </w:t>
            </w:r>
          </w:p>
        </w:tc>
        <w:tc>
          <w:tcPr>
            <w:tcW w:w="7440" w:type="dxa"/>
            <w:shd w:val="clear" w:color="auto" w:fill="auto"/>
          </w:tcPr>
          <w:p w14:paraId="7EA50977">
            <w:pPr>
              <w:pStyle w:val="7"/>
            </w:pPr>
            <w:r>
              <w:rPr>
                <w:rFonts w:hint="eastAsia"/>
              </w:rPr>
              <w:t xml:space="preserve">陕西省西安市新城区东新街319号8幢10000室  </w:t>
            </w:r>
          </w:p>
        </w:tc>
      </w:tr>
      <w:tr w14:paraId="28E13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58F0A">
            <w:pPr>
              <w:pStyle w:val="7"/>
            </w:pPr>
            <w:r>
              <w:rPr>
                <w:rFonts w:hint="eastAsia"/>
              </w:rPr>
              <w:t xml:space="preserve">办公地址： </w:t>
            </w:r>
          </w:p>
        </w:tc>
        <w:tc>
          <w:tcPr>
            <w:tcW w:w="7440" w:type="dxa"/>
            <w:shd w:val="clear" w:color="auto" w:fill="auto"/>
          </w:tcPr>
          <w:p w14:paraId="52C85B7D">
            <w:pPr>
              <w:pStyle w:val="7"/>
            </w:pPr>
            <w:r>
              <w:rPr>
                <w:rFonts w:hint="eastAsia"/>
              </w:rPr>
              <w:t xml:space="preserve">西安市新城区东新街319号 </w:t>
            </w:r>
          </w:p>
        </w:tc>
      </w:tr>
      <w:tr w14:paraId="12DD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42FDB">
            <w:pPr>
              <w:pStyle w:val="7"/>
            </w:pPr>
            <w:r>
              <w:rPr>
                <w:rFonts w:hint="eastAsia"/>
              </w:rPr>
              <w:t xml:space="preserve">法定代表人： </w:t>
            </w:r>
          </w:p>
        </w:tc>
        <w:tc>
          <w:tcPr>
            <w:tcW w:w="7440" w:type="dxa"/>
            <w:shd w:val="clear" w:color="auto" w:fill="auto"/>
          </w:tcPr>
          <w:p w14:paraId="0636D329">
            <w:pPr>
              <w:pStyle w:val="7"/>
            </w:pPr>
            <w:r>
              <w:rPr>
                <w:rFonts w:hint="eastAsia"/>
              </w:rPr>
              <w:t xml:space="preserve">徐朝晖 </w:t>
            </w:r>
          </w:p>
        </w:tc>
      </w:tr>
      <w:tr w14:paraId="33E3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36D4A">
            <w:pPr>
              <w:pStyle w:val="7"/>
            </w:pPr>
            <w:r>
              <w:rPr>
                <w:rFonts w:hint="eastAsia"/>
              </w:rPr>
              <w:t xml:space="preserve">联系人： </w:t>
            </w:r>
          </w:p>
        </w:tc>
        <w:tc>
          <w:tcPr>
            <w:tcW w:w="7440" w:type="dxa"/>
            <w:shd w:val="clear" w:color="auto" w:fill="auto"/>
          </w:tcPr>
          <w:p w14:paraId="2BCE16C0">
            <w:pPr>
              <w:pStyle w:val="7"/>
            </w:pPr>
            <w:r>
              <w:rPr>
                <w:rFonts w:hint="eastAsia"/>
              </w:rPr>
              <w:t xml:space="preserve">张吉安 </w:t>
            </w:r>
          </w:p>
        </w:tc>
      </w:tr>
      <w:tr w14:paraId="53B0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E6071">
            <w:pPr>
              <w:pStyle w:val="7"/>
            </w:pPr>
            <w:r>
              <w:rPr>
                <w:rFonts w:hint="eastAsia"/>
              </w:rPr>
              <w:t xml:space="preserve">电话： </w:t>
            </w:r>
          </w:p>
        </w:tc>
        <w:tc>
          <w:tcPr>
            <w:tcW w:w="7440" w:type="dxa"/>
            <w:shd w:val="clear" w:color="auto" w:fill="auto"/>
          </w:tcPr>
          <w:p w14:paraId="29F6870B">
            <w:pPr>
              <w:pStyle w:val="7"/>
            </w:pPr>
            <w:r>
              <w:rPr>
                <w:rFonts w:hint="eastAsia"/>
              </w:rPr>
              <w:t xml:space="preserve">029-87211668 </w:t>
            </w:r>
          </w:p>
        </w:tc>
      </w:tr>
      <w:tr w14:paraId="3ECA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24822">
            <w:pPr>
              <w:pStyle w:val="7"/>
            </w:pPr>
            <w:r>
              <w:rPr>
                <w:rFonts w:hint="eastAsia"/>
              </w:rPr>
              <w:t xml:space="preserve">传真： </w:t>
            </w:r>
          </w:p>
        </w:tc>
        <w:tc>
          <w:tcPr>
            <w:tcW w:w="7440" w:type="dxa"/>
            <w:shd w:val="clear" w:color="auto" w:fill="auto"/>
          </w:tcPr>
          <w:p w14:paraId="71206A65">
            <w:pPr>
              <w:pStyle w:val="7"/>
            </w:pPr>
            <w:r>
              <w:rPr>
                <w:rFonts w:hint="eastAsia"/>
              </w:rPr>
              <w:t xml:space="preserve">029-87406117 </w:t>
            </w:r>
          </w:p>
        </w:tc>
      </w:tr>
      <w:tr w14:paraId="1B56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E14F9">
            <w:pPr>
              <w:pStyle w:val="7"/>
            </w:pPr>
            <w:r>
              <w:rPr>
                <w:rFonts w:hint="eastAsia"/>
              </w:rPr>
              <w:t xml:space="preserve">客户服务电话： </w:t>
            </w:r>
          </w:p>
        </w:tc>
        <w:tc>
          <w:tcPr>
            <w:tcW w:w="7440" w:type="dxa"/>
            <w:shd w:val="clear" w:color="auto" w:fill="auto"/>
          </w:tcPr>
          <w:p w14:paraId="0B35AB7A">
            <w:pPr>
              <w:pStyle w:val="7"/>
            </w:pPr>
            <w:r>
              <w:rPr>
                <w:rFonts w:hint="eastAsia"/>
              </w:rPr>
              <w:t xml:space="preserve">95582 </w:t>
            </w:r>
          </w:p>
        </w:tc>
      </w:tr>
      <w:tr w14:paraId="4F34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DE0E8">
            <w:pPr>
              <w:pStyle w:val="7"/>
            </w:pPr>
            <w:r>
              <w:rPr>
                <w:rFonts w:hint="eastAsia"/>
              </w:rPr>
              <w:t xml:space="preserve">网址： </w:t>
            </w:r>
          </w:p>
        </w:tc>
        <w:tc>
          <w:tcPr>
            <w:tcW w:w="7440" w:type="dxa"/>
            <w:shd w:val="clear" w:color="auto" w:fill="auto"/>
          </w:tcPr>
          <w:p w14:paraId="058EBFD3">
            <w:pPr>
              <w:pStyle w:val="7"/>
            </w:pPr>
            <w:r>
              <w:rPr>
                <w:rFonts w:hint="eastAsia"/>
              </w:rPr>
              <w:t xml:space="preserve">http://www.west95582.com/ </w:t>
            </w:r>
          </w:p>
        </w:tc>
      </w:tr>
    </w:tbl>
    <w:p w14:paraId="756B7F32">
      <w:pPr>
        <w:pStyle w:val="7"/>
        <w:spacing w:before="0" w:beforeAutospacing="0" w:after="0" w:afterAutospacing="0" w:line="360" w:lineRule="auto"/>
        <w:ind w:firstLine="420"/>
        <w:rPr>
          <w:sz w:val="21"/>
          <w:szCs w:val="21"/>
        </w:rPr>
      </w:pPr>
      <w:r>
        <w:rPr>
          <w:rFonts w:hint="eastAsia"/>
          <w:b/>
          <w:bCs/>
          <w:sz w:val="21"/>
          <w:szCs w:val="21"/>
        </w:rPr>
        <w:t>(36)华福证券有限责任公司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EE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F8906">
            <w:pPr>
              <w:pStyle w:val="7"/>
            </w:pPr>
            <w:r>
              <w:rPr>
                <w:rFonts w:hint="eastAsia"/>
              </w:rPr>
              <w:t xml:space="preserve">注册地址： </w:t>
            </w:r>
          </w:p>
        </w:tc>
        <w:tc>
          <w:tcPr>
            <w:tcW w:w="7440" w:type="dxa"/>
            <w:shd w:val="clear" w:color="auto" w:fill="auto"/>
          </w:tcPr>
          <w:p w14:paraId="56C39A52">
            <w:pPr>
              <w:pStyle w:val="7"/>
            </w:pPr>
            <w:r>
              <w:rPr>
                <w:rFonts w:hint="eastAsia"/>
              </w:rPr>
              <w:t xml:space="preserve">福州市五四路157号新天地大厦7、8层 </w:t>
            </w:r>
          </w:p>
        </w:tc>
      </w:tr>
      <w:tr w14:paraId="2F04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E15A5">
            <w:pPr>
              <w:pStyle w:val="7"/>
            </w:pPr>
            <w:r>
              <w:rPr>
                <w:rFonts w:hint="eastAsia"/>
              </w:rPr>
              <w:t xml:space="preserve">办公地址： </w:t>
            </w:r>
          </w:p>
        </w:tc>
        <w:tc>
          <w:tcPr>
            <w:tcW w:w="7440" w:type="dxa"/>
            <w:shd w:val="clear" w:color="auto" w:fill="auto"/>
          </w:tcPr>
          <w:p w14:paraId="3A6F5524">
            <w:pPr>
              <w:pStyle w:val="7"/>
            </w:pPr>
            <w:r>
              <w:rPr>
                <w:rFonts w:hint="eastAsia"/>
              </w:rPr>
              <w:t xml:space="preserve">福州市五四路157号新天地大厦7至10层 </w:t>
            </w:r>
          </w:p>
        </w:tc>
      </w:tr>
      <w:tr w14:paraId="2030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BF231">
            <w:pPr>
              <w:pStyle w:val="7"/>
            </w:pPr>
            <w:r>
              <w:rPr>
                <w:rFonts w:hint="eastAsia"/>
              </w:rPr>
              <w:t xml:space="preserve">法定代表人： </w:t>
            </w:r>
          </w:p>
        </w:tc>
        <w:tc>
          <w:tcPr>
            <w:tcW w:w="7440" w:type="dxa"/>
            <w:shd w:val="clear" w:color="auto" w:fill="auto"/>
          </w:tcPr>
          <w:p w14:paraId="42F3D4AD">
            <w:pPr>
              <w:pStyle w:val="7"/>
            </w:pPr>
            <w:r>
              <w:rPr>
                <w:rFonts w:hint="eastAsia"/>
              </w:rPr>
              <w:t xml:space="preserve">黄金琳 </w:t>
            </w:r>
          </w:p>
        </w:tc>
      </w:tr>
      <w:tr w14:paraId="0D16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9E7F3">
            <w:pPr>
              <w:pStyle w:val="7"/>
            </w:pPr>
            <w:r>
              <w:rPr>
                <w:rFonts w:hint="eastAsia"/>
              </w:rPr>
              <w:t xml:space="preserve">联系人： </w:t>
            </w:r>
          </w:p>
        </w:tc>
        <w:tc>
          <w:tcPr>
            <w:tcW w:w="7440" w:type="dxa"/>
            <w:shd w:val="clear" w:color="auto" w:fill="auto"/>
          </w:tcPr>
          <w:p w14:paraId="025F406C">
            <w:pPr>
              <w:pStyle w:val="7"/>
            </w:pPr>
            <w:r>
              <w:rPr>
                <w:rFonts w:hint="eastAsia"/>
              </w:rPr>
              <w:t xml:space="preserve">王虹 </w:t>
            </w:r>
          </w:p>
        </w:tc>
      </w:tr>
      <w:tr w14:paraId="76F0A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0AFF5">
            <w:pPr>
              <w:pStyle w:val="7"/>
            </w:pPr>
            <w:r>
              <w:rPr>
                <w:rFonts w:hint="eastAsia"/>
              </w:rPr>
              <w:t xml:space="preserve">电话： </w:t>
            </w:r>
          </w:p>
        </w:tc>
        <w:tc>
          <w:tcPr>
            <w:tcW w:w="7440" w:type="dxa"/>
            <w:shd w:val="clear" w:color="auto" w:fill="auto"/>
          </w:tcPr>
          <w:p w14:paraId="2D266FC3">
            <w:pPr>
              <w:pStyle w:val="7"/>
            </w:pPr>
            <w:r>
              <w:rPr>
                <w:rFonts w:hint="eastAsia"/>
              </w:rPr>
              <w:t xml:space="preserve">021-20655183 </w:t>
            </w:r>
          </w:p>
        </w:tc>
      </w:tr>
      <w:tr w14:paraId="683AE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6A65D">
            <w:pPr>
              <w:pStyle w:val="7"/>
            </w:pPr>
            <w:r>
              <w:rPr>
                <w:rFonts w:hint="eastAsia"/>
              </w:rPr>
              <w:t xml:space="preserve">传真： </w:t>
            </w:r>
          </w:p>
        </w:tc>
        <w:tc>
          <w:tcPr>
            <w:tcW w:w="7440" w:type="dxa"/>
            <w:shd w:val="clear" w:color="auto" w:fill="auto"/>
          </w:tcPr>
          <w:p w14:paraId="4191CF06">
            <w:pPr>
              <w:pStyle w:val="7"/>
            </w:pPr>
            <w:r>
              <w:rPr>
                <w:rFonts w:hint="eastAsia"/>
              </w:rPr>
              <w:t xml:space="preserve">0591－87383610 </w:t>
            </w:r>
          </w:p>
        </w:tc>
      </w:tr>
      <w:tr w14:paraId="6E92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B4C6C">
            <w:pPr>
              <w:pStyle w:val="7"/>
            </w:pPr>
            <w:r>
              <w:rPr>
                <w:rFonts w:hint="eastAsia"/>
              </w:rPr>
              <w:t xml:space="preserve">客户服务电话： </w:t>
            </w:r>
          </w:p>
        </w:tc>
        <w:tc>
          <w:tcPr>
            <w:tcW w:w="7440" w:type="dxa"/>
            <w:shd w:val="clear" w:color="auto" w:fill="auto"/>
          </w:tcPr>
          <w:p w14:paraId="4C102338">
            <w:pPr>
              <w:pStyle w:val="7"/>
            </w:pPr>
            <w:r>
              <w:rPr>
                <w:rFonts w:hint="eastAsia"/>
              </w:rPr>
              <w:t xml:space="preserve">95547 </w:t>
            </w:r>
          </w:p>
        </w:tc>
      </w:tr>
      <w:tr w14:paraId="7D36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58891">
            <w:pPr>
              <w:pStyle w:val="7"/>
            </w:pPr>
            <w:r>
              <w:rPr>
                <w:rFonts w:hint="eastAsia"/>
              </w:rPr>
              <w:t xml:space="preserve">网址： </w:t>
            </w:r>
          </w:p>
        </w:tc>
        <w:tc>
          <w:tcPr>
            <w:tcW w:w="7440" w:type="dxa"/>
            <w:shd w:val="clear" w:color="auto" w:fill="auto"/>
          </w:tcPr>
          <w:p w14:paraId="793054CE">
            <w:pPr>
              <w:pStyle w:val="7"/>
            </w:pPr>
            <w:r>
              <w:rPr>
                <w:rFonts w:hint="eastAsia"/>
              </w:rPr>
              <w:t xml:space="preserve">http://www.hfzq.com.cn </w:t>
            </w:r>
          </w:p>
        </w:tc>
      </w:tr>
    </w:tbl>
    <w:p w14:paraId="68D4724C">
      <w:pPr>
        <w:pStyle w:val="7"/>
        <w:spacing w:before="0" w:beforeAutospacing="0" w:after="0" w:afterAutospacing="0" w:line="360" w:lineRule="auto"/>
        <w:ind w:firstLine="420"/>
        <w:rPr>
          <w:sz w:val="21"/>
          <w:szCs w:val="21"/>
        </w:rPr>
      </w:pPr>
      <w:r>
        <w:rPr>
          <w:rFonts w:hint="eastAsia"/>
          <w:b/>
          <w:bCs/>
          <w:sz w:val="21"/>
          <w:szCs w:val="21"/>
        </w:rPr>
        <w:t>(37)中国国际金融股份有限公司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2F1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D3562">
            <w:pPr>
              <w:pStyle w:val="7"/>
            </w:pPr>
            <w:r>
              <w:rPr>
                <w:rFonts w:hint="eastAsia"/>
              </w:rPr>
              <w:t xml:space="preserve">注册地址： </w:t>
            </w:r>
          </w:p>
        </w:tc>
        <w:tc>
          <w:tcPr>
            <w:tcW w:w="7440" w:type="dxa"/>
            <w:shd w:val="clear" w:color="auto" w:fill="auto"/>
          </w:tcPr>
          <w:p w14:paraId="7E31D8A6">
            <w:pPr>
              <w:pStyle w:val="7"/>
            </w:pPr>
            <w:r>
              <w:rPr>
                <w:rFonts w:hint="eastAsia"/>
              </w:rPr>
              <w:t xml:space="preserve">中国北京建国门外大街1号 国贸大厦2座28层 </w:t>
            </w:r>
          </w:p>
        </w:tc>
      </w:tr>
      <w:tr w14:paraId="6E30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BDBA9">
            <w:pPr>
              <w:pStyle w:val="7"/>
            </w:pPr>
            <w:r>
              <w:rPr>
                <w:rFonts w:hint="eastAsia"/>
              </w:rPr>
              <w:t xml:space="preserve">办公地址： </w:t>
            </w:r>
          </w:p>
        </w:tc>
        <w:tc>
          <w:tcPr>
            <w:tcW w:w="7440" w:type="dxa"/>
            <w:shd w:val="clear" w:color="auto" w:fill="auto"/>
          </w:tcPr>
          <w:p w14:paraId="2F664C6A">
            <w:pPr>
              <w:pStyle w:val="7"/>
            </w:pPr>
            <w:r>
              <w:rPr>
                <w:rFonts w:hint="eastAsia"/>
              </w:rPr>
              <w:t xml:space="preserve">中国北京建国门外大街1号 国贸大厦2座28层 </w:t>
            </w:r>
          </w:p>
        </w:tc>
      </w:tr>
      <w:tr w14:paraId="261E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2EDEE">
            <w:pPr>
              <w:pStyle w:val="7"/>
            </w:pPr>
            <w:r>
              <w:rPr>
                <w:rFonts w:hint="eastAsia"/>
              </w:rPr>
              <w:t xml:space="preserve">法定代表人： </w:t>
            </w:r>
          </w:p>
        </w:tc>
        <w:tc>
          <w:tcPr>
            <w:tcW w:w="7440" w:type="dxa"/>
            <w:shd w:val="clear" w:color="auto" w:fill="auto"/>
          </w:tcPr>
          <w:p w14:paraId="5812B75C">
            <w:pPr>
              <w:pStyle w:val="7"/>
            </w:pPr>
            <w:r>
              <w:rPr>
                <w:rFonts w:hint="eastAsia"/>
              </w:rPr>
              <w:t xml:space="preserve">沈如军 </w:t>
            </w:r>
          </w:p>
        </w:tc>
      </w:tr>
      <w:tr w14:paraId="69DB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94266">
            <w:pPr>
              <w:pStyle w:val="7"/>
            </w:pPr>
            <w:r>
              <w:rPr>
                <w:rFonts w:hint="eastAsia"/>
              </w:rPr>
              <w:t xml:space="preserve">联系人： </w:t>
            </w:r>
          </w:p>
        </w:tc>
        <w:tc>
          <w:tcPr>
            <w:tcW w:w="7440" w:type="dxa"/>
            <w:shd w:val="clear" w:color="auto" w:fill="auto"/>
          </w:tcPr>
          <w:p w14:paraId="6A6A23D8">
            <w:pPr>
              <w:pStyle w:val="7"/>
            </w:pPr>
            <w:r>
              <w:rPr>
                <w:rFonts w:hint="eastAsia"/>
              </w:rPr>
              <w:t xml:space="preserve">任敏 </w:t>
            </w:r>
          </w:p>
        </w:tc>
      </w:tr>
      <w:tr w14:paraId="1AD9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34086">
            <w:pPr>
              <w:pStyle w:val="7"/>
            </w:pPr>
            <w:r>
              <w:rPr>
                <w:rFonts w:hint="eastAsia"/>
              </w:rPr>
              <w:t xml:space="preserve">电话： </w:t>
            </w:r>
          </w:p>
        </w:tc>
        <w:tc>
          <w:tcPr>
            <w:tcW w:w="7440" w:type="dxa"/>
            <w:shd w:val="clear" w:color="auto" w:fill="auto"/>
          </w:tcPr>
          <w:p w14:paraId="036CA213">
            <w:pPr>
              <w:pStyle w:val="7"/>
            </w:pPr>
            <w:r>
              <w:rPr>
                <w:rFonts w:hint="eastAsia"/>
              </w:rPr>
              <w:t xml:space="preserve">010－65051166 </w:t>
            </w:r>
          </w:p>
        </w:tc>
      </w:tr>
      <w:tr w14:paraId="7C01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6420E">
            <w:pPr>
              <w:pStyle w:val="7"/>
            </w:pPr>
            <w:r>
              <w:rPr>
                <w:rFonts w:hint="eastAsia"/>
              </w:rPr>
              <w:t xml:space="preserve">传真： </w:t>
            </w:r>
          </w:p>
        </w:tc>
        <w:tc>
          <w:tcPr>
            <w:tcW w:w="7440" w:type="dxa"/>
            <w:shd w:val="clear" w:color="auto" w:fill="auto"/>
          </w:tcPr>
          <w:p w14:paraId="1D952AC9">
            <w:pPr>
              <w:pStyle w:val="7"/>
            </w:pPr>
            <w:r>
              <w:rPr>
                <w:rFonts w:hint="eastAsia"/>
              </w:rPr>
              <w:t xml:space="preserve">010－65051156 </w:t>
            </w:r>
          </w:p>
        </w:tc>
      </w:tr>
      <w:tr w14:paraId="62065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1F53C">
            <w:pPr>
              <w:pStyle w:val="7"/>
            </w:pPr>
            <w:r>
              <w:rPr>
                <w:rFonts w:hint="eastAsia"/>
              </w:rPr>
              <w:t xml:space="preserve">客户服务电话： </w:t>
            </w:r>
          </w:p>
        </w:tc>
        <w:tc>
          <w:tcPr>
            <w:tcW w:w="7440" w:type="dxa"/>
            <w:shd w:val="clear" w:color="auto" w:fill="auto"/>
          </w:tcPr>
          <w:p w14:paraId="015E8EBF">
            <w:pPr>
              <w:pStyle w:val="7"/>
            </w:pPr>
            <w:r>
              <w:rPr>
                <w:rFonts w:hint="eastAsia"/>
              </w:rPr>
              <w:t xml:space="preserve">010-65051166 </w:t>
            </w:r>
          </w:p>
        </w:tc>
      </w:tr>
      <w:tr w14:paraId="5E17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042BB">
            <w:pPr>
              <w:pStyle w:val="7"/>
            </w:pPr>
            <w:r>
              <w:rPr>
                <w:rFonts w:hint="eastAsia"/>
              </w:rPr>
              <w:t xml:space="preserve">网址： </w:t>
            </w:r>
          </w:p>
        </w:tc>
        <w:tc>
          <w:tcPr>
            <w:tcW w:w="7440" w:type="dxa"/>
            <w:shd w:val="clear" w:color="auto" w:fill="auto"/>
          </w:tcPr>
          <w:p w14:paraId="131F654C">
            <w:pPr>
              <w:pStyle w:val="7"/>
            </w:pPr>
            <w:r>
              <w:rPr>
                <w:rFonts w:hint="eastAsia"/>
              </w:rPr>
              <w:t xml:space="preserve">http://www.cicc.com.cn/ </w:t>
            </w:r>
          </w:p>
        </w:tc>
      </w:tr>
    </w:tbl>
    <w:p w14:paraId="4DF377E7">
      <w:pPr>
        <w:pStyle w:val="7"/>
        <w:spacing w:before="0" w:beforeAutospacing="0" w:after="0" w:afterAutospacing="0" w:line="360" w:lineRule="auto"/>
        <w:ind w:firstLine="420"/>
        <w:rPr>
          <w:sz w:val="21"/>
          <w:szCs w:val="21"/>
        </w:rPr>
      </w:pPr>
      <w:r>
        <w:rPr>
          <w:rFonts w:hint="eastAsia"/>
          <w:b/>
          <w:bCs/>
          <w:sz w:val="21"/>
          <w:szCs w:val="21"/>
        </w:rPr>
        <w:t>(38)中国中金财富证券有限公司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9E09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1B8C0">
            <w:pPr>
              <w:pStyle w:val="7"/>
            </w:pPr>
            <w:r>
              <w:rPr>
                <w:rFonts w:hint="eastAsia"/>
              </w:rPr>
              <w:t xml:space="preserve">注册地址： </w:t>
            </w:r>
          </w:p>
        </w:tc>
        <w:tc>
          <w:tcPr>
            <w:tcW w:w="7440" w:type="dxa"/>
            <w:shd w:val="clear" w:color="auto" w:fill="auto"/>
          </w:tcPr>
          <w:p w14:paraId="63616EF4">
            <w:pPr>
              <w:pStyle w:val="7"/>
            </w:pPr>
            <w:r>
              <w:rPr>
                <w:rFonts w:hint="eastAsia"/>
              </w:rPr>
              <w:t xml:space="preserve">深圳市南山区粤海街道海珠社区科苑南路2666号中国华润大厦L4601-4608 </w:t>
            </w:r>
          </w:p>
        </w:tc>
      </w:tr>
      <w:tr w14:paraId="00EB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9B7EB">
            <w:pPr>
              <w:pStyle w:val="7"/>
            </w:pPr>
            <w:r>
              <w:rPr>
                <w:rFonts w:hint="eastAsia"/>
              </w:rPr>
              <w:t xml:space="preserve">办公地址： </w:t>
            </w:r>
          </w:p>
        </w:tc>
        <w:tc>
          <w:tcPr>
            <w:tcW w:w="7440" w:type="dxa"/>
            <w:shd w:val="clear" w:color="auto" w:fill="auto"/>
          </w:tcPr>
          <w:p w14:paraId="2104188B">
            <w:pPr>
              <w:pStyle w:val="7"/>
            </w:pPr>
            <w:r>
              <w:rPr>
                <w:rFonts w:hint="eastAsia"/>
              </w:rPr>
              <w:t xml:space="preserve">深圳市福田区益田路与福中路交界处荣超商务中心A栋第18-21层及第04层 </w:t>
            </w:r>
          </w:p>
        </w:tc>
      </w:tr>
      <w:tr w14:paraId="130C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A69EA">
            <w:pPr>
              <w:pStyle w:val="7"/>
            </w:pPr>
            <w:r>
              <w:rPr>
                <w:rFonts w:hint="eastAsia"/>
              </w:rPr>
              <w:t xml:space="preserve">法定代表人： </w:t>
            </w:r>
          </w:p>
        </w:tc>
        <w:tc>
          <w:tcPr>
            <w:tcW w:w="7440" w:type="dxa"/>
            <w:shd w:val="clear" w:color="auto" w:fill="auto"/>
          </w:tcPr>
          <w:p w14:paraId="31FC2D9B">
            <w:pPr>
              <w:pStyle w:val="7"/>
            </w:pPr>
            <w:r>
              <w:rPr>
                <w:rFonts w:hint="eastAsia"/>
              </w:rPr>
              <w:t xml:space="preserve">高涛 </w:t>
            </w:r>
          </w:p>
        </w:tc>
      </w:tr>
      <w:tr w14:paraId="18D1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D3303">
            <w:pPr>
              <w:pStyle w:val="7"/>
            </w:pPr>
            <w:r>
              <w:rPr>
                <w:rFonts w:hint="eastAsia"/>
              </w:rPr>
              <w:t xml:space="preserve">联系人： </w:t>
            </w:r>
          </w:p>
        </w:tc>
        <w:tc>
          <w:tcPr>
            <w:tcW w:w="7440" w:type="dxa"/>
            <w:shd w:val="clear" w:color="auto" w:fill="auto"/>
          </w:tcPr>
          <w:p w14:paraId="299CEFC8">
            <w:pPr>
              <w:pStyle w:val="7"/>
            </w:pPr>
            <w:r>
              <w:rPr>
                <w:rFonts w:hint="eastAsia"/>
              </w:rPr>
              <w:t xml:space="preserve">万玉琳 </w:t>
            </w:r>
          </w:p>
        </w:tc>
      </w:tr>
      <w:tr w14:paraId="4ED8B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16693">
            <w:pPr>
              <w:pStyle w:val="7"/>
            </w:pPr>
            <w:r>
              <w:rPr>
                <w:rFonts w:hint="eastAsia"/>
              </w:rPr>
              <w:t xml:space="preserve">电话： </w:t>
            </w:r>
          </w:p>
        </w:tc>
        <w:tc>
          <w:tcPr>
            <w:tcW w:w="7440" w:type="dxa"/>
            <w:shd w:val="clear" w:color="auto" w:fill="auto"/>
          </w:tcPr>
          <w:p w14:paraId="63E97007">
            <w:pPr>
              <w:pStyle w:val="7"/>
            </w:pPr>
            <w:r>
              <w:rPr>
                <w:rFonts w:hint="eastAsia"/>
              </w:rPr>
              <w:t xml:space="preserve">0755-82026907 </w:t>
            </w:r>
          </w:p>
        </w:tc>
      </w:tr>
      <w:tr w14:paraId="49AF7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D8540">
            <w:pPr>
              <w:pStyle w:val="7"/>
            </w:pPr>
            <w:r>
              <w:rPr>
                <w:rFonts w:hint="eastAsia"/>
              </w:rPr>
              <w:t xml:space="preserve">传真： </w:t>
            </w:r>
          </w:p>
        </w:tc>
        <w:tc>
          <w:tcPr>
            <w:tcW w:w="7440" w:type="dxa"/>
            <w:shd w:val="clear" w:color="auto" w:fill="auto"/>
          </w:tcPr>
          <w:p w14:paraId="38A4FB36">
            <w:pPr>
              <w:pStyle w:val="7"/>
            </w:pPr>
            <w:r>
              <w:rPr>
                <w:rFonts w:hint="eastAsia"/>
              </w:rPr>
              <w:t xml:space="preserve">0755-82026539 </w:t>
            </w:r>
          </w:p>
        </w:tc>
      </w:tr>
      <w:tr w14:paraId="43EF0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49BA5">
            <w:pPr>
              <w:pStyle w:val="7"/>
            </w:pPr>
            <w:r>
              <w:rPr>
                <w:rFonts w:hint="eastAsia"/>
              </w:rPr>
              <w:t xml:space="preserve">客户服务电话： </w:t>
            </w:r>
          </w:p>
        </w:tc>
        <w:tc>
          <w:tcPr>
            <w:tcW w:w="7440" w:type="dxa"/>
            <w:shd w:val="clear" w:color="auto" w:fill="auto"/>
          </w:tcPr>
          <w:p w14:paraId="77B582BB">
            <w:pPr>
              <w:pStyle w:val="7"/>
            </w:pPr>
            <w:r>
              <w:rPr>
                <w:rFonts w:hint="eastAsia"/>
              </w:rPr>
              <w:t xml:space="preserve">4006008008/95532 </w:t>
            </w:r>
          </w:p>
        </w:tc>
      </w:tr>
      <w:tr w14:paraId="7333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7DD00">
            <w:pPr>
              <w:pStyle w:val="7"/>
            </w:pPr>
            <w:r>
              <w:rPr>
                <w:rFonts w:hint="eastAsia"/>
              </w:rPr>
              <w:t xml:space="preserve">网址： </w:t>
            </w:r>
          </w:p>
        </w:tc>
        <w:tc>
          <w:tcPr>
            <w:tcW w:w="7440" w:type="dxa"/>
            <w:shd w:val="clear" w:color="auto" w:fill="auto"/>
          </w:tcPr>
          <w:p w14:paraId="2193E8C6">
            <w:pPr>
              <w:pStyle w:val="7"/>
            </w:pPr>
            <w:r>
              <w:rPr>
                <w:rFonts w:hint="eastAsia"/>
              </w:rPr>
              <w:t xml:space="preserve">http://www.china-invs.cn/ </w:t>
            </w:r>
          </w:p>
        </w:tc>
      </w:tr>
    </w:tbl>
    <w:p w14:paraId="33F05F76">
      <w:pPr>
        <w:pStyle w:val="7"/>
        <w:spacing w:before="0" w:beforeAutospacing="0" w:after="0" w:afterAutospacing="0" w:line="360" w:lineRule="auto"/>
        <w:ind w:firstLine="420"/>
        <w:rPr>
          <w:sz w:val="21"/>
          <w:szCs w:val="21"/>
        </w:rPr>
      </w:pPr>
      <w:r>
        <w:rPr>
          <w:rFonts w:hint="eastAsia"/>
          <w:b/>
          <w:bCs/>
          <w:sz w:val="21"/>
          <w:szCs w:val="21"/>
        </w:rPr>
        <w:t>(39)东方财富证券股份有限公司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49E9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759AE">
            <w:pPr>
              <w:pStyle w:val="7"/>
            </w:pPr>
            <w:r>
              <w:rPr>
                <w:rFonts w:hint="eastAsia"/>
              </w:rPr>
              <w:t xml:space="preserve">注册地址： </w:t>
            </w:r>
          </w:p>
        </w:tc>
        <w:tc>
          <w:tcPr>
            <w:tcW w:w="7440" w:type="dxa"/>
            <w:shd w:val="clear" w:color="auto" w:fill="auto"/>
          </w:tcPr>
          <w:p w14:paraId="2D8FC450">
            <w:pPr>
              <w:pStyle w:val="7"/>
            </w:pPr>
            <w:r>
              <w:rPr>
                <w:rFonts w:hint="eastAsia"/>
              </w:rPr>
              <w:t xml:space="preserve">西藏自治区拉萨市柳梧新区国际总部城10栋楼 </w:t>
            </w:r>
          </w:p>
        </w:tc>
      </w:tr>
      <w:tr w14:paraId="40BE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FBFE1">
            <w:pPr>
              <w:pStyle w:val="7"/>
            </w:pPr>
            <w:r>
              <w:rPr>
                <w:rFonts w:hint="eastAsia"/>
              </w:rPr>
              <w:t xml:space="preserve">办公地址： </w:t>
            </w:r>
          </w:p>
        </w:tc>
        <w:tc>
          <w:tcPr>
            <w:tcW w:w="7440" w:type="dxa"/>
            <w:shd w:val="clear" w:color="auto" w:fill="auto"/>
          </w:tcPr>
          <w:p w14:paraId="7F285965">
            <w:pPr>
              <w:pStyle w:val="7"/>
            </w:pPr>
            <w:r>
              <w:rPr>
                <w:rFonts w:hint="eastAsia"/>
              </w:rPr>
              <w:t xml:space="preserve">上海市徐汇区宛平南路88号金座东方财富大厦 </w:t>
            </w:r>
          </w:p>
        </w:tc>
      </w:tr>
      <w:tr w14:paraId="5A4C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53F63">
            <w:pPr>
              <w:pStyle w:val="7"/>
            </w:pPr>
            <w:r>
              <w:rPr>
                <w:rFonts w:hint="eastAsia"/>
              </w:rPr>
              <w:t xml:space="preserve">法定代表人： </w:t>
            </w:r>
          </w:p>
        </w:tc>
        <w:tc>
          <w:tcPr>
            <w:tcW w:w="7440" w:type="dxa"/>
            <w:shd w:val="clear" w:color="auto" w:fill="auto"/>
          </w:tcPr>
          <w:p w14:paraId="228D98E7">
            <w:pPr>
              <w:pStyle w:val="7"/>
            </w:pPr>
            <w:r>
              <w:rPr>
                <w:rFonts w:hint="eastAsia"/>
              </w:rPr>
              <w:t xml:space="preserve">戴彦 </w:t>
            </w:r>
          </w:p>
        </w:tc>
      </w:tr>
      <w:tr w14:paraId="48A35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896D4">
            <w:pPr>
              <w:pStyle w:val="7"/>
            </w:pPr>
            <w:r>
              <w:rPr>
                <w:rFonts w:hint="eastAsia"/>
              </w:rPr>
              <w:t xml:space="preserve">联系人： </w:t>
            </w:r>
          </w:p>
        </w:tc>
        <w:tc>
          <w:tcPr>
            <w:tcW w:w="7440" w:type="dxa"/>
            <w:shd w:val="clear" w:color="auto" w:fill="auto"/>
          </w:tcPr>
          <w:p w14:paraId="1780D04F">
            <w:pPr>
              <w:pStyle w:val="7"/>
            </w:pPr>
            <w:r>
              <w:rPr>
                <w:rFonts w:hint="eastAsia"/>
              </w:rPr>
              <w:t xml:space="preserve">付佳 </w:t>
            </w:r>
          </w:p>
        </w:tc>
      </w:tr>
      <w:tr w14:paraId="63237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FAA47">
            <w:pPr>
              <w:pStyle w:val="7"/>
            </w:pPr>
            <w:r>
              <w:rPr>
                <w:rFonts w:hint="eastAsia"/>
              </w:rPr>
              <w:t xml:space="preserve">电话： </w:t>
            </w:r>
          </w:p>
        </w:tc>
        <w:tc>
          <w:tcPr>
            <w:tcW w:w="7440" w:type="dxa"/>
            <w:shd w:val="clear" w:color="auto" w:fill="auto"/>
          </w:tcPr>
          <w:p w14:paraId="1E375E72">
            <w:pPr>
              <w:pStyle w:val="7"/>
            </w:pPr>
            <w:r>
              <w:rPr>
                <w:rFonts w:hint="eastAsia"/>
              </w:rPr>
              <w:t xml:space="preserve">021-23586603 </w:t>
            </w:r>
          </w:p>
        </w:tc>
      </w:tr>
      <w:tr w14:paraId="3194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EAA71">
            <w:pPr>
              <w:pStyle w:val="7"/>
            </w:pPr>
            <w:r>
              <w:rPr>
                <w:rFonts w:hint="eastAsia"/>
              </w:rPr>
              <w:t xml:space="preserve">传真： </w:t>
            </w:r>
          </w:p>
        </w:tc>
        <w:tc>
          <w:tcPr>
            <w:tcW w:w="7440" w:type="dxa"/>
            <w:shd w:val="clear" w:color="auto" w:fill="auto"/>
          </w:tcPr>
          <w:p w14:paraId="0155C2E6">
            <w:pPr>
              <w:pStyle w:val="7"/>
            </w:pPr>
            <w:r>
              <w:rPr>
                <w:rFonts w:hint="eastAsia"/>
              </w:rPr>
              <w:t xml:space="preserve">021-23586860 </w:t>
            </w:r>
          </w:p>
        </w:tc>
      </w:tr>
      <w:tr w14:paraId="704C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BB675">
            <w:pPr>
              <w:pStyle w:val="7"/>
            </w:pPr>
            <w:r>
              <w:rPr>
                <w:rFonts w:hint="eastAsia"/>
              </w:rPr>
              <w:t xml:space="preserve">客户服务电话： </w:t>
            </w:r>
          </w:p>
        </w:tc>
        <w:tc>
          <w:tcPr>
            <w:tcW w:w="7440" w:type="dxa"/>
            <w:shd w:val="clear" w:color="auto" w:fill="auto"/>
          </w:tcPr>
          <w:p w14:paraId="292B58B7">
            <w:pPr>
              <w:pStyle w:val="7"/>
            </w:pPr>
            <w:r>
              <w:rPr>
                <w:rFonts w:hint="eastAsia"/>
              </w:rPr>
              <w:t xml:space="preserve">95357 </w:t>
            </w:r>
          </w:p>
        </w:tc>
      </w:tr>
      <w:tr w14:paraId="5E6E6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2144B">
            <w:pPr>
              <w:pStyle w:val="7"/>
            </w:pPr>
            <w:r>
              <w:rPr>
                <w:rFonts w:hint="eastAsia"/>
              </w:rPr>
              <w:t xml:space="preserve">网址： </w:t>
            </w:r>
          </w:p>
        </w:tc>
        <w:tc>
          <w:tcPr>
            <w:tcW w:w="7440" w:type="dxa"/>
            <w:shd w:val="clear" w:color="auto" w:fill="auto"/>
          </w:tcPr>
          <w:p w14:paraId="0B04AE3D">
            <w:pPr>
              <w:pStyle w:val="7"/>
            </w:pPr>
            <w:r>
              <w:rPr>
                <w:rFonts w:hint="eastAsia"/>
              </w:rPr>
              <w:t xml:space="preserve">http://www.18.cn </w:t>
            </w:r>
          </w:p>
        </w:tc>
      </w:tr>
    </w:tbl>
    <w:p w14:paraId="0F972B74">
      <w:pPr>
        <w:pStyle w:val="7"/>
        <w:spacing w:before="0" w:beforeAutospacing="0" w:after="0" w:afterAutospacing="0" w:line="360" w:lineRule="auto"/>
        <w:ind w:firstLine="420"/>
        <w:rPr>
          <w:sz w:val="21"/>
          <w:szCs w:val="21"/>
        </w:rPr>
      </w:pPr>
      <w:r>
        <w:rPr>
          <w:rFonts w:hint="eastAsia"/>
          <w:b/>
          <w:bCs/>
          <w:sz w:val="21"/>
          <w:szCs w:val="21"/>
        </w:rPr>
        <w:t>(40)江海证券有限公司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2058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E7A63">
            <w:pPr>
              <w:pStyle w:val="7"/>
            </w:pPr>
            <w:r>
              <w:rPr>
                <w:rFonts w:hint="eastAsia"/>
              </w:rPr>
              <w:t xml:space="preserve">注册地址： </w:t>
            </w:r>
          </w:p>
        </w:tc>
        <w:tc>
          <w:tcPr>
            <w:tcW w:w="7440" w:type="dxa"/>
            <w:shd w:val="clear" w:color="auto" w:fill="auto"/>
          </w:tcPr>
          <w:p w14:paraId="1E9A3B59">
            <w:pPr>
              <w:pStyle w:val="7"/>
            </w:pPr>
            <w:r>
              <w:rPr>
                <w:rFonts w:hint="eastAsia"/>
              </w:rPr>
              <w:t xml:space="preserve">黑龙江省哈尔滨市香坊区赣水路56号 </w:t>
            </w:r>
          </w:p>
        </w:tc>
      </w:tr>
      <w:tr w14:paraId="599E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BB660">
            <w:pPr>
              <w:pStyle w:val="7"/>
            </w:pPr>
            <w:r>
              <w:rPr>
                <w:rFonts w:hint="eastAsia"/>
              </w:rPr>
              <w:t xml:space="preserve">办公地址： </w:t>
            </w:r>
          </w:p>
        </w:tc>
        <w:tc>
          <w:tcPr>
            <w:tcW w:w="7440" w:type="dxa"/>
            <w:shd w:val="clear" w:color="auto" w:fill="auto"/>
          </w:tcPr>
          <w:p w14:paraId="446F4555">
            <w:pPr>
              <w:pStyle w:val="7"/>
            </w:pPr>
            <w:r>
              <w:rPr>
                <w:rFonts w:hint="eastAsia"/>
              </w:rPr>
              <w:t xml:space="preserve">黑龙江省哈尔滨市香坊区赣水路56号 </w:t>
            </w:r>
          </w:p>
        </w:tc>
      </w:tr>
      <w:tr w14:paraId="60FE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E67B1">
            <w:pPr>
              <w:pStyle w:val="7"/>
            </w:pPr>
            <w:r>
              <w:rPr>
                <w:rFonts w:hint="eastAsia"/>
              </w:rPr>
              <w:t xml:space="preserve">法定代表人： </w:t>
            </w:r>
          </w:p>
        </w:tc>
        <w:tc>
          <w:tcPr>
            <w:tcW w:w="7440" w:type="dxa"/>
            <w:shd w:val="clear" w:color="auto" w:fill="auto"/>
          </w:tcPr>
          <w:p w14:paraId="7B75AEDD">
            <w:pPr>
              <w:pStyle w:val="7"/>
            </w:pPr>
            <w:r>
              <w:rPr>
                <w:rFonts w:hint="eastAsia"/>
              </w:rPr>
              <w:t xml:space="preserve">孙名扬 </w:t>
            </w:r>
          </w:p>
        </w:tc>
      </w:tr>
      <w:tr w14:paraId="6D25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71953">
            <w:pPr>
              <w:pStyle w:val="7"/>
            </w:pPr>
            <w:r>
              <w:rPr>
                <w:rFonts w:hint="eastAsia"/>
              </w:rPr>
              <w:t xml:space="preserve">联系人： </w:t>
            </w:r>
          </w:p>
        </w:tc>
        <w:tc>
          <w:tcPr>
            <w:tcW w:w="7440" w:type="dxa"/>
            <w:shd w:val="clear" w:color="auto" w:fill="auto"/>
          </w:tcPr>
          <w:p w14:paraId="197F8B89">
            <w:pPr>
              <w:pStyle w:val="7"/>
            </w:pPr>
            <w:r>
              <w:rPr>
                <w:rFonts w:hint="eastAsia"/>
              </w:rPr>
              <w:t xml:space="preserve">王金娇 </w:t>
            </w:r>
          </w:p>
        </w:tc>
      </w:tr>
      <w:tr w14:paraId="577C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BDCCE">
            <w:pPr>
              <w:pStyle w:val="7"/>
            </w:pPr>
            <w:r>
              <w:rPr>
                <w:rFonts w:hint="eastAsia"/>
              </w:rPr>
              <w:t xml:space="preserve">电话： </w:t>
            </w:r>
          </w:p>
        </w:tc>
        <w:tc>
          <w:tcPr>
            <w:tcW w:w="7440" w:type="dxa"/>
            <w:shd w:val="clear" w:color="auto" w:fill="auto"/>
          </w:tcPr>
          <w:p w14:paraId="061FD24D">
            <w:pPr>
              <w:pStyle w:val="7"/>
            </w:pPr>
            <w:r>
              <w:rPr>
                <w:rFonts w:hint="eastAsia"/>
              </w:rPr>
              <w:t xml:space="preserve">0451-87765732 </w:t>
            </w:r>
          </w:p>
        </w:tc>
      </w:tr>
      <w:tr w14:paraId="3E44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04E65">
            <w:pPr>
              <w:pStyle w:val="7"/>
            </w:pPr>
            <w:r>
              <w:rPr>
                <w:rFonts w:hint="eastAsia"/>
              </w:rPr>
              <w:t xml:space="preserve">传真： </w:t>
            </w:r>
          </w:p>
        </w:tc>
        <w:tc>
          <w:tcPr>
            <w:tcW w:w="7440" w:type="dxa"/>
            <w:shd w:val="clear" w:color="auto" w:fill="auto"/>
          </w:tcPr>
          <w:p w14:paraId="39A15677">
            <w:pPr>
              <w:pStyle w:val="7"/>
            </w:pPr>
            <w:r>
              <w:rPr>
                <w:rFonts w:hint="eastAsia"/>
              </w:rPr>
              <w:t xml:space="preserve">0451－82287211 </w:t>
            </w:r>
          </w:p>
        </w:tc>
      </w:tr>
      <w:tr w14:paraId="4DF19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5195A3">
            <w:pPr>
              <w:pStyle w:val="7"/>
            </w:pPr>
            <w:r>
              <w:rPr>
                <w:rFonts w:hint="eastAsia"/>
              </w:rPr>
              <w:t xml:space="preserve">客户服务电话： </w:t>
            </w:r>
          </w:p>
        </w:tc>
        <w:tc>
          <w:tcPr>
            <w:tcW w:w="7440" w:type="dxa"/>
            <w:shd w:val="clear" w:color="auto" w:fill="auto"/>
          </w:tcPr>
          <w:p w14:paraId="5E8ACD50">
            <w:pPr>
              <w:pStyle w:val="7"/>
            </w:pPr>
            <w:r>
              <w:rPr>
                <w:rFonts w:hint="eastAsia"/>
              </w:rPr>
              <w:t xml:space="preserve">956007 </w:t>
            </w:r>
          </w:p>
        </w:tc>
      </w:tr>
      <w:tr w14:paraId="3833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D2298">
            <w:pPr>
              <w:pStyle w:val="7"/>
            </w:pPr>
            <w:r>
              <w:rPr>
                <w:rFonts w:hint="eastAsia"/>
              </w:rPr>
              <w:t xml:space="preserve">网址： </w:t>
            </w:r>
          </w:p>
        </w:tc>
        <w:tc>
          <w:tcPr>
            <w:tcW w:w="7440" w:type="dxa"/>
            <w:shd w:val="clear" w:color="auto" w:fill="auto"/>
          </w:tcPr>
          <w:p w14:paraId="494F7736">
            <w:pPr>
              <w:pStyle w:val="7"/>
            </w:pPr>
            <w:r>
              <w:rPr>
                <w:rFonts w:hint="eastAsia"/>
              </w:rPr>
              <w:t xml:space="preserve">http://www.jhzq.com.cn </w:t>
            </w:r>
          </w:p>
        </w:tc>
      </w:tr>
    </w:tbl>
    <w:p w14:paraId="30D8D9DE">
      <w:pPr>
        <w:pStyle w:val="7"/>
        <w:spacing w:before="0" w:beforeAutospacing="0" w:after="0" w:afterAutospacing="0" w:line="360" w:lineRule="auto"/>
        <w:ind w:firstLine="420"/>
        <w:rPr>
          <w:sz w:val="21"/>
          <w:szCs w:val="21"/>
        </w:rPr>
      </w:pPr>
      <w:r>
        <w:rPr>
          <w:rFonts w:hint="eastAsia"/>
          <w:b/>
          <w:bCs/>
          <w:sz w:val="21"/>
          <w:szCs w:val="21"/>
        </w:rPr>
        <w:t>(41)国金证券股份有限公司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BC1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BED6A">
            <w:pPr>
              <w:pStyle w:val="7"/>
            </w:pPr>
            <w:r>
              <w:rPr>
                <w:rFonts w:hint="eastAsia"/>
              </w:rPr>
              <w:t xml:space="preserve">注册地址： </w:t>
            </w:r>
          </w:p>
        </w:tc>
        <w:tc>
          <w:tcPr>
            <w:tcW w:w="7440" w:type="dxa"/>
            <w:shd w:val="clear" w:color="auto" w:fill="auto"/>
          </w:tcPr>
          <w:p w14:paraId="13232870">
            <w:pPr>
              <w:pStyle w:val="7"/>
            </w:pPr>
            <w:r>
              <w:rPr>
                <w:rFonts w:hint="eastAsia"/>
              </w:rPr>
              <w:t xml:space="preserve">四川省成都市东城根上街95号 </w:t>
            </w:r>
          </w:p>
        </w:tc>
      </w:tr>
      <w:tr w14:paraId="19C3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8B945">
            <w:pPr>
              <w:pStyle w:val="7"/>
            </w:pPr>
            <w:r>
              <w:rPr>
                <w:rFonts w:hint="eastAsia"/>
              </w:rPr>
              <w:t xml:space="preserve">办公地址： </w:t>
            </w:r>
          </w:p>
        </w:tc>
        <w:tc>
          <w:tcPr>
            <w:tcW w:w="7440" w:type="dxa"/>
            <w:shd w:val="clear" w:color="auto" w:fill="auto"/>
          </w:tcPr>
          <w:p w14:paraId="228CCD1F">
            <w:pPr>
              <w:pStyle w:val="7"/>
            </w:pPr>
            <w:r>
              <w:rPr>
                <w:rFonts w:hint="eastAsia"/>
              </w:rPr>
              <w:t xml:space="preserve">四川省成都市东城根上街95号 </w:t>
            </w:r>
          </w:p>
        </w:tc>
      </w:tr>
      <w:tr w14:paraId="0AAF4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B84CB">
            <w:pPr>
              <w:pStyle w:val="7"/>
            </w:pPr>
            <w:r>
              <w:rPr>
                <w:rFonts w:hint="eastAsia"/>
              </w:rPr>
              <w:t xml:space="preserve">法定代表人： </w:t>
            </w:r>
          </w:p>
        </w:tc>
        <w:tc>
          <w:tcPr>
            <w:tcW w:w="7440" w:type="dxa"/>
            <w:shd w:val="clear" w:color="auto" w:fill="auto"/>
          </w:tcPr>
          <w:p w14:paraId="61B1E490">
            <w:pPr>
              <w:pStyle w:val="7"/>
            </w:pPr>
            <w:r>
              <w:rPr>
                <w:rFonts w:hint="eastAsia"/>
              </w:rPr>
              <w:t xml:space="preserve">冉云 </w:t>
            </w:r>
          </w:p>
        </w:tc>
      </w:tr>
      <w:tr w14:paraId="1159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FB07F">
            <w:pPr>
              <w:pStyle w:val="7"/>
            </w:pPr>
            <w:r>
              <w:rPr>
                <w:rFonts w:hint="eastAsia"/>
              </w:rPr>
              <w:t xml:space="preserve">联系人： </w:t>
            </w:r>
          </w:p>
        </w:tc>
        <w:tc>
          <w:tcPr>
            <w:tcW w:w="7440" w:type="dxa"/>
            <w:shd w:val="clear" w:color="auto" w:fill="auto"/>
          </w:tcPr>
          <w:p w14:paraId="0C8FF773">
            <w:pPr>
              <w:pStyle w:val="7"/>
            </w:pPr>
            <w:r>
              <w:rPr>
                <w:rFonts w:hint="eastAsia"/>
              </w:rPr>
              <w:t xml:space="preserve">贾鹏 </w:t>
            </w:r>
          </w:p>
        </w:tc>
      </w:tr>
      <w:tr w14:paraId="62C4E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30D91">
            <w:pPr>
              <w:pStyle w:val="7"/>
            </w:pPr>
            <w:r>
              <w:rPr>
                <w:rFonts w:hint="eastAsia"/>
              </w:rPr>
              <w:t xml:space="preserve">电话： </w:t>
            </w:r>
          </w:p>
        </w:tc>
        <w:tc>
          <w:tcPr>
            <w:tcW w:w="7440" w:type="dxa"/>
            <w:shd w:val="clear" w:color="auto" w:fill="auto"/>
          </w:tcPr>
          <w:p w14:paraId="6489A965">
            <w:pPr>
              <w:pStyle w:val="7"/>
            </w:pPr>
            <w:r>
              <w:rPr>
                <w:rFonts w:hint="eastAsia"/>
              </w:rPr>
              <w:t xml:space="preserve">028-86690057、028-86690058 </w:t>
            </w:r>
          </w:p>
        </w:tc>
      </w:tr>
      <w:tr w14:paraId="6B6F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0AAE3">
            <w:pPr>
              <w:pStyle w:val="7"/>
            </w:pPr>
            <w:r>
              <w:rPr>
                <w:rFonts w:hint="eastAsia"/>
              </w:rPr>
              <w:t xml:space="preserve">传真： </w:t>
            </w:r>
          </w:p>
        </w:tc>
        <w:tc>
          <w:tcPr>
            <w:tcW w:w="7440" w:type="dxa"/>
            <w:shd w:val="clear" w:color="auto" w:fill="auto"/>
          </w:tcPr>
          <w:p w14:paraId="75248421">
            <w:pPr>
              <w:pStyle w:val="7"/>
            </w:pPr>
            <w:r>
              <w:rPr>
                <w:rFonts w:hint="eastAsia"/>
              </w:rPr>
              <w:t xml:space="preserve">028-86690126 </w:t>
            </w:r>
          </w:p>
        </w:tc>
      </w:tr>
      <w:tr w14:paraId="1466C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89738">
            <w:pPr>
              <w:pStyle w:val="7"/>
            </w:pPr>
            <w:r>
              <w:rPr>
                <w:rFonts w:hint="eastAsia"/>
              </w:rPr>
              <w:t xml:space="preserve">客户服务电话： </w:t>
            </w:r>
          </w:p>
        </w:tc>
        <w:tc>
          <w:tcPr>
            <w:tcW w:w="7440" w:type="dxa"/>
            <w:shd w:val="clear" w:color="auto" w:fill="auto"/>
          </w:tcPr>
          <w:p w14:paraId="4C68E742">
            <w:pPr>
              <w:pStyle w:val="7"/>
            </w:pPr>
            <w:r>
              <w:rPr>
                <w:rFonts w:hint="eastAsia"/>
              </w:rPr>
              <w:t xml:space="preserve">4006-600109/95310 </w:t>
            </w:r>
          </w:p>
        </w:tc>
      </w:tr>
      <w:tr w14:paraId="14CC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2A869">
            <w:pPr>
              <w:pStyle w:val="7"/>
            </w:pPr>
            <w:r>
              <w:rPr>
                <w:rFonts w:hint="eastAsia"/>
              </w:rPr>
              <w:t xml:space="preserve">网址： </w:t>
            </w:r>
          </w:p>
        </w:tc>
        <w:tc>
          <w:tcPr>
            <w:tcW w:w="7440" w:type="dxa"/>
            <w:shd w:val="clear" w:color="auto" w:fill="auto"/>
          </w:tcPr>
          <w:p w14:paraId="51FA3A56">
            <w:pPr>
              <w:pStyle w:val="7"/>
            </w:pPr>
            <w:r>
              <w:rPr>
                <w:rFonts w:hint="eastAsia"/>
              </w:rPr>
              <w:t xml:space="preserve">http://www.gjzq.com.cn </w:t>
            </w:r>
          </w:p>
        </w:tc>
      </w:tr>
    </w:tbl>
    <w:p w14:paraId="48162BD6">
      <w:pPr>
        <w:pStyle w:val="7"/>
        <w:spacing w:before="0" w:beforeAutospacing="0" w:after="0" w:afterAutospacing="0" w:line="360" w:lineRule="auto"/>
        <w:ind w:firstLine="420"/>
        <w:rPr>
          <w:sz w:val="21"/>
          <w:szCs w:val="21"/>
        </w:rPr>
      </w:pPr>
      <w:r>
        <w:rPr>
          <w:rFonts w:hint="eastAsia"/>
          <w:b/>
          <w:bCs/>
          <w:sz w:val="21"/>
          <w:szCs w:val="21"/>
        </w:rPr>
        <w:t>(42)华宝证券股份有限公司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25A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02360">
            <w:pPr>
              <w:pStyle w:val="7"/>
            </w:pPr>
            <w:r>
              <w:rPr>
                <w:rFonts w:hint="eastAsia"/>
              </w:rPr>
              <w:t xml:space="preserve">注册地址： </w:t>
            </w:r>
          </w:p>
        </w:tc>
        <w:tc>
          <w:tcPr>
            <w:tcW w:w="7440" w:type="dxa"/>
            <w:shd w:val="clear" w:color="auto" w:fill="auto"/>
          </w:tcPr>
          <w:p w14:paraId="1AFE94A4">
            <w:pPr>
              <w:pStyle w:val="7"/>
            </w:pPr>
            <w:r>
              <w:rPr>
                <w:rFonts w:hint="eastAsia"/>
              </w:rPr>
              <w:t xml:space="preserve">上海市浦东新区世纪大道100号上海环球金融中心57楼 </w:t>
            </w:r>
          </w:p>
        </w:tc>
      </w:tr>
      <w:tr w14:paraId="78F3E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ED521">
            <w:pPr>
              <w:pStyle w:val="7"/>
            </w:pPr>
            <w:r>
              <w:rPr>
                <w:rFonts w:hint="eastAsia"/>
              </w:rPr>
              <w:t xml:space="preserve">办公地址： </w:t>
            </w:r>
          </w:p>
        </w:tc>
        <w:tc>
          <w:tcPr>
            <w:tcW w:w="7440" w:type="dxa"/>
            <w:shd w:val="clear" w:color="auto" w:fill="auto"/>
          </w:tcPr>
          <w:p w14:paraId="4D063711">
            <w:pPr>
              <w:pStyle w:val="7"/>
            </w:pPr>
            <w:r>
              <w:rPr>
                <w:rFonts w:hint="eastAsia"/>
              </w:rPr>
              <w:t xml:space="preserve">上海市浦东新区世纪大道100号上海环球金融中心57楼 </w:t>
            </w:r>
          </w:p>
        </w:tc>
      </w:tr>
      <w:tr w14:paraId="049E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D2A8C">
            <w:pPr>
              <w:pStyle w:val="7"/>
            </w:pPr>
            <w:r>
              <w:rPr>
                <w:rFonts w:hint="eastAsia"/>
              </w:rPr>
              <w:t xml:space="preserve">法定代表人： </w:t>
            </w:r>
          </w:p>
        </w:tc>
        <w:tc>
          <w:tcPr>
            <w:tcW w:w="7440" w:type="dxa"/>
            <w:shd w:val="clear" w:color="auto" w:fill="auto"/>
          </w:tcPr>
          <w:p w14:paraId="5350875F">
            <w:pPr>
              <w:pStyle w:val="7"/>
            </w:pPr>
            <w:r>
              <w:rPr>
                <w:rFonts w:hint="eastAsia"/>
              </w:rPr>
              <w:t xml:space="preserve">刘加海 </w:t>
            </w:r>
          </w:p>
        </w:tc>
      </w:tr>
      <w:tr w14:paraId="6C12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2C670">
            <w:pPr>
              <w:pStyle w:val="7"/>
            </w:pPr>
            <w:r>
              <w:rPr>
                <w:rFonts w:hint="eastAsia"/>
              </w:rPr>
              <w:t xml:space="preserve">联系人： </w:t>
            </w:r>
          </w:p>
        </w:tc>
        <w:tc>
          <w:tcPr>
            <w:tcW w:w="7440" w:type="dxa"/>
            <w:shd w:val="clear" w:color="auto" w:fill="auto"/>
          </w:tcPr>
          <w:p w14:paraId="0CAEFBF4">
            <w:pPr>
              <w:pStyle w:val="7"/>
            </w:pPr>
            <w:r>
              <w:rPr>
                <w:rFonts w:hint="eastAsia"/>
              </w:rPr>
              <w:t xml:space="preserve">刘闻川 </w:t>
            </w:r>
          </w:p>
        </w:tc>
      </w:tr>
      <w:tr w14:paraId="4288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A60DB">
            <w:pPr>
              <w:pStyle w:val="7"/>
            </w:pPr>
            <w:r>
              <w:rPr>
                <w:rFonts w:hint="eastAsia"/>
              </w:rPr>
              <w:t xml:space="preserve">电话： </w:t>
            </w:r>
          </w:p>
        </w:tc>
        <w:tc>
          <w:tcPr>
            <w:tcW w:w="7440" w:type="dxa"/>
            <w:shd w:val="clear" w:color="auto" w:fill="auto"/>
          </w:tcPr>
          <w:p w14:paraId="755F2E2B">
            <w:pPr>
              <w:pStyle w:val="7"/>
            </w:pPr>
            <w:r>
              <w:rPr>
                <w:rFonts w:hint="eastAsia"/>
              </w:rPr>
              <w:t xml:space="preserve">021-68777222   </w:t>
            </w:r>
          </w:p>
        </w:tc>
      </w:tr>
      <w:tr w14:paraId="7435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CA170">
            <w:pPr>
              <w:pStyle w:val="7"/>
            </w:pPr>
            <w:r>
              <w:rPr>
                <w:rFonts w:hint="eastAsia"/>
              </w:rPr>
              <w:t xml:space="preserve">传真： </w:t>
            </w:r>
          </w:p>
        </w:tc>
        <w:tc>
          <w:tcPr>
            <w:tcW w:w="7440" w:type="dxa"/>
            <w:shd w:val="clear" w:color="auto" w:fill="auto"/>
          </w:tcPr>
          <w:p w14:paraId="465A119D">
            <w:pPr>
              <w:pStyle w:val="7"/>
            </w:pPr>
            <w:r>
              <w:rPr>
                <w:rFonts w:hint="eastAsia"/>
              </w:rPr>
              <w:t xml:space="preserve">021－68777822 </w:t>
            </w:r>
          </w:p>
        </w:tc>
      </w:tr>
      <w:tr w14:paraId="1AE8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E37F1">
            <w:pPr>
              <w:pStyle w:val="7"/>
            </w:pPr>
            <w:r>
              <w:rPr>
                <w:rFonts w:hint="eastAsia"/>
              </w:rPr>
              <w:t xml:space="preserve">客户服务电话： </w:t>
            </w:r>
          </w:p>
        </w:tc>
        <w:tc>
          <w:tcPr>
            <w:tcW w:w="7440" w:type="dxa"/>
            <w:shd w:val="clear" w:color="auto" w:fill="auto"/>
          </w:tcPr>
          <w:p w14:paraId="35AF6AAB">
            <w:pPr>
              <w:pStyle w:val="7"/>
            </w:pPr>
            <w:r>
              <w:rPr>
                <w:rFonts w:hint="eastAsia"/>
              </w:rPr>
              <w:t xml:space="preserve">4008209898;021-38929908 </w:t>
            </w:r>
          </w:p>
        </w:tc>
      </w:tr>
      <w:tr w14:paraId="7BAE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C65C5">
            <w:pPr>
              <w:pStyle w:val="7"/>
            </w:pPr>
            <w:r>
              <w:rPr>
                <w:rFonts w:hint="eastAsia"/>
              </w:rPr>
              <w:t xml:space="preserve">网址： </w:t>
            </w:r>
          </w:p>
        </w:tc>
        <w:tc>
          <w:tcPr>
            <w:tcW w:w="7440" w:type="dxa"/>
            <w:shd w:val="clear" w:color="auto" w:fill="auto"/>
          </w:tcPr>
          <w:p w14:paraId="4A076871">
            <w:pPr>
              <w:pStyle w:val="7"/>
            </w:pPr>
            <w:r>
              <w:rPr>
                <w:rFonts w:hint="eastAsia"/>
              </w:rPr>
              <w:t xml:space="preserve">http://www.cnhbstock.com </w:t>
            </w:r>
          </w:p>
        </w:tc>
      </w:tr>
    </w:tbl>
    <w:p w14:paraId="6786C309">
      <w:pPr>
        <w:pStyle w:val="7"/>
        <w:spacing w:before="0" w:beforeAutospacing="0" w:after="0" w:afterAutospacing="0" w:line="360" w:lineRule="auto"/>
        <w:ind w:firstLine="420"/>
        <w:rPr>
          <w:sz w:val="21"/>
          <w:szCs w:val="21"/>
        </w:rPr>
      </w:pPr>
      <w:r>
        <w:rPr>
          <w:rFonts w:hint="eastAsia"/>
          <w:b/>
          <w:bCs/>
          <w:sz w:val="21"/>
          <w:szCs w:val="21"/>
        </w:rPr>
        <w:t>(43)爱建证券有限责任公司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F86F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7DDEA">
            <w:pPr>
              <w:pStyle w:val="7"/>
            </w:pPr>
            <w:r>
              <w:rPr>
                <w:rFonts w:hint="eastAsia"/>
              </w:rPr>
              <w:t xml:space="preserve">注册地址： </w:t>
            </w:r>
          </w:p>
        </w:tc>
        <w:tc>
          <w:tcPr>
            <w:tcW w:w="7440" w:type="dxa"/>
            <w:shd w:val="clear" w:color="auto" w:fill="auto"/>
          </w:tcPr>
          <w:p w14:paraId="19FCF47A">
            <w:pPr>
              <w:pStyle w:val="7"/>
            </w:pPr>
            <w:r>
              <w:rPr>
                <w:rFonts w:hint="eastAsia"/>
              </w:rPr>
              <w:t xml:space="preserve">中国（上海）自由贸易试验区世纪大道1600号1幢32楼 </w:t>
            </w:r>
          </w:p>
        </w:tc>
      </w:tr>
      <w:tr w14:paraId="6F5A0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19616">
            <w:pPr>
              <w:pStyle w:val="7"/>
            </w:pPr>
            <w:r>
              <w:rPr>
                <w:rFonts w:hint="eastAsia"/>
              </w:rPr>
              <w:t xml:space="preserve">办公地址： </w:t>
            </w:r>
          </w:p>
        </w:tc>
        <w:tc>
          <w:tcPr>
            <w:tcW w:w="7440" w:type="dxa"/>
            <w:shd w:val="clear" w:color="auto" w:fill="auto"/>
          </w:tcPr>
          <w:p w14:paraId="115DB4B4">
            <w:pPr>
              <w:pStyle w:val="7"/>
            </w:pPr>
            <w:r>
              <w:rPr>
                <w:rFonts w:hint="eastAsia"/>
              </w:rPr>
              <w:t xml:space="preserve">上海市浦东新区世纪大道1600号32楼 </w:t>
            </w:r>
          </w:p>
        </w:tc>
      </w:tr>
      <w:tr w14:paraId="774F2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62042">
            <w:pPr>
              <w:pStyle w:val="7"/>
            </w:pPr>
            <w:r>
              <w:rPr>
                <w:rFonts w:hint="eastAsia"/>
              </w:rPr>
              <w:t xml:space="preserve">法定代表人： </w:t>
            </w:r>
          </w:p>
        </w:tc>
        <w:tc>
          <w:tcPr>
            <w:tcW w:w="7440" w:type="dxa"/>
            <w:shd w:val="clear" w:color="auto" w:fill="auto"/>
          </w:tcPr>
          <w:p w14:paraId="4AE154F3">
            <w:pPr>
              <w:pStyle w:val="7"/>
            </w:pPr>
            <w:r>
              <w:rPr>
                <w:rFonts w:hint="eastAsia"/>
              </w:rPr>
              <w:t xml:space="preserve">祝健 </w:t>
            </w:r>
          </w:p>
        </w:tc>
      </w:tr>
      <w:tr w14:paraId="0C6A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4F242">
            <w:pPr>
              <w:pStyle w:val="7"/>
            </w:pPr>
            <w:r>
              <w:rPr>
                <w:rFonts w:hint="eastAsia"/>
              </w:rPr>
              <w:t xml:space="preserve">联系人： </w:t>
            </w:r>
          </w:p>
        </w:tc>
        <w:tc>
          <w:tcPr>
            <w:tcW w:w="7440" w:type="dxa"/>
            <w:shd w:val="clear" w:color="auto" w:fill="auto"/>
          </w:tcPr>
          <w:p w14:paraId="02CA1078">
            <w:pPr>
              <w:pStyle w:val="7"/>
            </w:pPr>
            <w:r>
              <w:rPr>
                <w:rFonts w:hint="eastAsia"/>
              </w:rPr>
              <w:t xml:space="preserve">姚盛盛 </w:t>
            </w:r>
          </w:p>
        </w:tc>
      </w:tr>
      <w:tr w14:paraId="73D93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E5BBF">
            <w:pPr>
              <w:pStyle w:val="7"/>
            </w:pPr>
            <w:r>
              <w:rPr>
                <w:rFonts w:hint="eastAsia"/>
              </w:rPr>
              <w:t xml:space="preserve">电话： </w:t>
            </w:r>
          </w:p>
        </w:tc>
        <w:tc>
          <w:tcPr>
            <w:tcW w:w="7440" w:type="dxa"/>
            <w:shd w:val="clear" w:color="auto" w:fill="auto"/>
          </w:tcPr>
          <w:p w14:paraId="5B16773D">
            <w:pPr>
              <w:pStyle w:val="7"/>
            </w:pPr>
            <w:r>
              <w:rPr>
                <w:rFonts w:hint="eastAsia"/>
              </w:rPr>
              <w:t xml:space="preserve">021-32229888 </w:t>
            </w:r>
          </w:p>
        </w:tc>
      </w:tr>
      <w:tr w14:paraId="7444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23C05">
            <w:pPr>
              <w:pStyle w:val="7"/>
            </w:pPr>
            <w:r>
              <w:rPr>
                <w:rFonts w:hint="eastAsia"/>
              </w:rPr>
              <w:t xml:space="preserve">传真： </w:t>
            </w:r>
          </w:p>
        </w:tc>
        <w:tc>
          <w:tcPr>
            <w:tcW w:w="7440" w:type="dxa"/>
            <w:shd w:val="clear" w:color="auto" w:fill="auto"/>
          </w:tcPr>
          <w:p w14:paraId="7B6D4BEF">
            <w:pPr>
              <w:pStyle w:val="7"/>
            </w:pPr>
            <w:r>
              <w:rPr>
                <w:rFonts w:hint="eastAsia"/>
              </w:rPr>
              <w:t xml:space="preserve">021- 68728703 </w:t>
            </w:r>
          </w:p>
        </w:tc>
      </w:tr>
      <w:tr w14:paraId="36072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7B929">
            <w:pPr>
              <w:pStyle w:val="7"/>
            </w:pPr>
            <w:r>
              <w:rPr>
                <w:rFonts w:hint="eastAsia"/>
              </w:rPr>
              <w:t xml:space="preserve">客户服务电话： </w:t>
            </w:r>
          </w:p>
        </w:tc>
        <w:tc>
          <w:tcPr>
            <w:tcW w:w="7440" w:type="dxa"/>
            <w:shd w:val="clear" w:color="auto" w:fill="auto"/>
          </w:tcPr>
          <w:p w14:paraId="3E501CBB">
            <w:pPr>
              <w:pStyle w:val="7"/>
            </w:pPr>
            <w:r>
              <w:rPr>
                <w:rFonts w:hint="eastAsia"/>
              </w:rPr>
              <w:t xml:space="preserve">4001-962-502 </w:t>
            </w:r>
          </w:p>
        </w:tc>
      </w:tr>
      <w:tr w14:paraId="2BD1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C69EC">
            <w:pPr>
              <w:pStyle w:val="7"/>
            </w:pPr>
            <w:r>
              <w:rPr>
                <w:rFonts w:hint="eastAsia"/>
              </w:rPr>
              <w:t xml:space="preserve">网址： </w:t>
            </w:r>
          </w:p>
        </w:tc>
        <w:tc>
          <w:tcPr>
            <w:tcW w:w="7440" w:type="dxa"/>
            <w:shd w:val="clear" w:color="auto" w:fill="auto"/>
          </w:tcPr>
          <w:p w14:paraId="091759E4">
            <w:pPr>
              <w:pStyle w:val="7"/>
            </w:pPr>
            <w:r>
              <w:rPr>
                <w:rFonts w:hint="eastAsia"/>
              </w:rPr>
              <w:t xml:space="preserve">http://www.ajzq.com </w:t>
            </w:r>
          </w:p>
        </w:tc>
      </w:tr>
    </w:tbl>
    <w:p w14:paraId="3A2E18DA">
      <w:pPr>
        <w:pStyle w:val="7"/>
        <w:spacing w:before="0" w:beforeAutospacing="0" w:after="0" w:afterAutospacing="0" w:line="360" w:lineRule="auto"/>
        <w:ind w:firstLine="420"/>
        <w:rPr>
          <w:sz w:val="21"/>
          <w:szCs w:val="21"/>
        </w:rPr>
      </w:pPr>
      <w:r>
        <w:rPr>
          <w:rFonts w:hint="eastAsia"/>
          <w:b/>
          <w:bCs/>
          <w:sz w:val="21"/>
          <w:szCs w:val="21"/>
        </w:rPr>
        <w:t>(44)财达证券股份有限公司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3BC6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2665D">
            <w:pPr>
              <w:pStyle w:val="7"/>
            </w:pPr>
            <w:r>
              <w:rPr>
                <w:rFonts w:hint="eastAsia"/>
              </w:rPr>
              <w:t xml:space="preserve">注册地址： </w:t>
            </w:r>
          </w:p>
        </w:tc>
        <w:tc>
          <w:tcPr>
            <w:tcW w:w="7440" w:type="dxa"/>
            <w:shd w:val="clear" w:color="auto" w:fill="auto"/>
          </w:tcPr>
          <w:p w14:paraId="4444399A">
            <w:pPr>
              <w:pStyle w:val="7"/>
            </w:pPr>
            <w:r>
              <w:rPr>
                <w:rFonts w:hint="eastAsia"/>
              </w:rPr>
              <w:t xml:space="preserve">河北省石家庄市桥西区自强路35号庄家金融大厦23至26层 </w:t>
            </w:r>
          </w:p>
        </w:tc>
      </w:tr>
      <w:tr w14:paraId="46854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3F6CD">
            <w:pPr>
              <w:pStyle w:val="7"/>
            </w:pPr>
            <w:r>
              <w:rPr>
                <w:rFonts w:hint="eastAsia"/>
              </w:rPr>
              <w:t xml:space="preserve">办公地址： </w:t>
            </w:r>
          </w:p>
        </w:tc>
        <w:tc>
          <w:tcPr>
            <w:tcW w:w="7440" w:type="dxa"/>
            <w:shd w:val="clear" w:color="auto" w:fill="auto"/>
          </w:tcPr>
          <w:p w14:paraId="3F476D47">
            <w:pPr>
              <w:pStyle w:val="7"/>
            </w:pPr>
            <w:r>
              <w:rPr>
                <w:rFonts w:hint="eastAsia"/>
              </w:rPr>
              <w:t xml:space="preserve">河北省石家庄市桥西区自强路35号庄家金融大厦23至26层 </w:t>
            </w:r>
          </w:p>
        </w:tc>
      </w:tr>
      <w:tr w14:paraId="22F7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A4263">
            <w:pPr>
              <w:pStyle w:val="7"/>
            </w:pPr>
            <w:r>
              <w:rPr>
                <w:rFonts w:hint="eastAsia"/>
              </w:rPr>
              <w:t xml:space="preserve">法定代表人： </w:t>
            </w:r>
          </w:p>
        </w:tc>
        <w:tc>
          <w:tcPr>
            <w:tcW w:w="7440" w:type="dxa"/>
            <w:shd w:val="clear" w:color="auto" w:fill="auto"/>
          </w:tcPr>
          <w:p w14:paraId="692C3980">
            <w:pPr>
              <w:pStyle w:val="7"/>
            </w:pPr>
            <w:r>
              <w:rPr>
                <w:rFonts w:hint="eastAsia"/>
              </w:rPr>
              <w:t xml:space="preserve">翟建强 </w:t>
            </w:r>
          </w:p>
        </w:tc>
      </w:tr>
      <w:tr w14:paraId="0980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9EBD2">
            <w:pPr>
              <w:pStyle w:val="7"/>
            </w:pPr>
            <w:r>
              <w:rPr>
                <w:rFonts w:hint="eastAsia"/>
              </w:rPr>
              <w:t xml:space="preserve">联系人： </w:t>
            </w:r>
          </w:p>
        </w:tc>
        <w:tc>
          <w:tcPr>
            <w:tcW w:w="7440" w:type="dxa"/>
            <w:shd w:val="clear" w:color="auto" w:fill="auto"/>
          </w:tcPr>
          <w:p w14:paraId="762750D9">
            <w:pPr>
              <w:pStyle w:val="7"/>
            </w:pPr>
            <w:r>
              <w:rPr>
                <w:rFonts w:hint="eastAsia"/>
              </w:rPr>
              <w:t xml:space="preserve">刘亚静 </w:t>
            </w:r>
          </w:p>
        </w:tc>
      </w:tr>
      <w:tr w14:paraId="38D3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A7607">
            <w:pPr>
              <w:pStyle w:val="7"/>
            </w:pPr>
            <w:r>
              <w:rPr>
                <w:rFonts w:hint="eastAsia"/>
              </w:rPr>
              <w:t xml:space="preserve">电话： </w:t>
            </w:r>
          </w:p>
        </w:tc>
        <w:tc>
          <w:tcPr>
            <w:tcW w:w="7440" w:type="dxa"/>
            <w:shd w:val="clear" w:color="auto" w:fill="auto"/>
          </w:tcPr>
          <w:p w14:paraId="05E498D3">
            <w:pPr>
              <w:pStyle w:val="7"/>
            </w:pPr>
            <w:r>
              <w:rPr>
                <w:rFonts w:hint="eastAsia"/>
              </w:rPr>
              <w:t xml:space="preserve">0311-66006393 </w:t>
            </w:r>
          </w:p>
        </w:tc>
      </w:tr>
      <w:tr w14:paraId="13BA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5D878">
            <w:pPr>
              <w:pStyle w:val="7"/>
            </w:pPr>
            <w:r>
              <w:rPr>
                <w:rFonts w:hint="eastAsia"/>
              </w:rPr>
              <w:t xml:space="preserve">传真： </w:t>
            </w:r>
          </w:p>
        </w:tc>
        <w:tc>
          <w:tcPr>
            <w:tcW w:w="7440" w:type="dxa"/>
            <w:shd w:val="clear" w:color="auto" w:fill="auto"/>
          </w:tcPr>
          <w:p w14:paraId="110EFDC9">
            <w:pPr>
              <w:pStyle w:val="7"/>
            </w:pPr>
            <w:r>
              <w:rPr>
                <w:rFonts w:hint="eastAsia"/>
              </w:rPr>
              <w:t xml:space="preserve">0311-66006249 </w:t>
            </w:r>
          </w:p>
        </w:tc>
      </w:tr>
      <w:tr w14:paraId="13B3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2E083">
            <w:pPr>
              <w:pStyle w:val="7"/>
            </w:pPr>
            <w:r>
              <w:rPr>
                <w:rFonts w:hint="eastAsia"/>
              </w:rPr>
              <w:t xml:space="preserve">客户服务电话： </w:t>
            </w:r>
          </w:p>
        </w:tc>
        <w:tc>
          <w:tcPr>
            <w:tcW w:w="7440" w:type="dxa"/>
            <w:shd w:val="clear" w:color="auto" w:fill="auto"/>
          </w:tcPr>
          <w:p w14:paraId="07524962">
            <w:pPr>
              <w:pStyle w:val="7"/>
            </w:pPr>
            <w:r>
              <w:rPr>
                <w:rFonts w:hint="eastAsia"/>
              </w:rPr>
              <w:t xml:space="preserve">4006128888 </w:t>
            </w:r>
          </w:p>
        </w:tc>
      </w:tr>
      <w:tr w14:paraId="3D6E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1A4E1">
            <w:pPr>
              <w:pStyle w:val="7"/>
            </w:pPr>
            <w:r>
              <w:rPr>
                <w:rFonts w:hint="eastAsia"/>
              </w:rPr>
              <w:t xml:space="preserve">网址： </w:t>
            </w:r>
          </w:p>
        </w:tc>
        <w:tc>
          <w:tcPr>
            <w:tcW w:w="7440" w:type="dxa"/>
            <w:shd w:val="clear" w:color="auto" w:fill="auto"/>
          </w:tcPr>
          <w:p w14:paraId="39D1DA23">
            <w:pPr>
              <w:pStyle w:val="7"/>
            </w:pPr>
            <w:r>
              <w:rPr>
                <w:rFonts w:hint="eastAsia"/>
              </w:rPr>
              <w:t xml:space="preserve">http://www.S10000.com </w:t>
            </w:r>
          </w:p>
        </w:tc>
      </w:tr>
    </w:tbl>
    <w:p w14:paraId="0E219BC7">
      <w:pPr>
        <w:pStyle w:val="7"/>
        <w:spacing w:before="0" w:beforeAutospacing="0" w:after="0" w:afterAutospacing="0" w:line="360" w:lineRule="auto"/>
        <w:ind w:firstLine="420"/>
        <w:rPr>
          <w:sz w:val="21"/>
          <w:szCs w:val="21"/>
        </w:rPr>
      </w:pPr>
      <w:r>
        <w:rPr>
          <w:rFonts w:hint="eastAsia"/>
          <w:b/>
          <w:bCs/>
          <w:sz w:val="21"/>
          <w:szCs w:val="21"/>
        </w:rPr>
        <w:t>(45)天风证券股份有限公司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446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C874E">
            <w:pPr>
              <w:pStyle w:val="7"/>
            </w:pPr>
            <w:r>
              <w:rPr>
                <w:rFonts w:hint="eastAsia"/>
              </w:rPr>
              <w:t xml:space="preserve">注册地址： </w:t>
            </w:r>
          </w:p>
        </w:tc>
        <w:tc>
          <w:tcPr>
            <w:tcW w:w="7440" w:type="dxa"/>
            <w:shd w:val="clear" w:color="auto" w:fill="auto"/>
          </w:tcPr>
          <w:p w14:paraId="7DF18A58">
            <w:pPr>
              <w:pStyle w:val="7"/>
            </w:pPr>
            <w:r>
              <w:rPr>
                <w:rFonts w:hint="eastAsia"/>
              </w:rPr>
              <w:t xml:space="preserve">湖北省武汉市武昌区中南路99号保利广场A座37楼  </w:t>
            </w:r>
          </w:p>
        </w:tc>
      </w:tr>
      <w:tr w14:paraId="1CE2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AAC14">
            <w:pPr>
              <w:pStyle w:val="7"/>
            </w:pPr>
            <w:r>
              <w:rPr>
                <w:rFonts w:hint="eastAsia"/>
              </w:rPr>
              <w:t xml:space="preserve">办公地址： </w:t>
            </w:r>
          </w:p>
        </w:tc>
        <w:tc>
          <w:tcPr>
            <w:tcW w:w="7440" w:type="dxa"/>
            <w:shd w:val="clear" w:color="auto" w:fill="auto"/>
          </w:tcPr>
          <w:p w14:paraId="1885880E">
            <w:pPr>
              <w:pStyle w:val="7"/>
            </w:pPr>
            <w:r>
              <w:rPr>
                <w:rFonts w:hint="eastAsia"/>
              </w:rPr>
              <w:t xml:space="preserve">湖北省武汉市武昌区中南路99号保利广场A座37楼  </w:t>
            </w:r>
          </w:p>
        </w:tc>
      </w:tr>
      <w:tr w14:paraId="0647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E8084">
            <w:pPr>
              <w:pStyle w:val="7"/>
            </w:pPr>
            <w:r>
              <w:rPr>
                <w:rFonts w:hint="eastAsia"/>
              </w:rPr>
              <w:t xml:space="preserve">法定代表人： </w:t>
            </w:r>
          </w:p>
        </w:tc>
        <w:tc>
          <w:tcPr>
            <w:tcW w:w="7440" w:type="dxa"/>
            <w:shd w:val="clear" w:color="auto" w:fill="auto"/>
          </w:tcPr>
          <w:p w14:paraId="46DFE08B">
            <w:pPr>
              <w:pStyle w:val="7"/>
            </w:pPr>
            <w:r>
              <w:rPr>
                <w:rFonts w:hint="eastAsia"/>
              </w:rPr>
              <w:t xml:space="preserve">余磊 </w:t>
            </w:r>
          </w:p>
        </w:tc>
      </w:tr>
      <w:tr w14:paraId="53C6F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9671B1">
            <w:pPr>
              <w:pStyle w:val="7"/>
            </w:pPr>
            <w:r>
              <w:rPr>
                <w:rFonts w:hint="eastAsia"/>
              </w:rPr>
              <w:t xml:space="preserve">联系人： </w:t>
            </w:r>
          </w:p>
        </w:tc>
        <w:tc>
          <w:tcPr>
            <w:tcW w:w="7440" w:type="dxa"/>
            <w:shd w:val="clear" w:color="auto" w:fill="auto"/>
          </w:tcPr>
          <w:p w14:paraId="663E4767">
            <w:pPr>
              <w:pStyle w:val="7"/>
            </w:pPr>
            <w:r>
              <w:rPr>
                <w:rFonts w:hint="eastAsia"/>
              </w:rPr>
              <w:t xml:space="preserve">王雅薇 </w:t>
            </w:r>
          </w:p>
        </w:tc>
      </w:tr>
      <w:tr w14:paraId="3A2D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D61CC">
            <w:pPr>
              <w:pStyle w:val="7"/>
            </w:pPr>
            <w:r>
              <w:rPr>
                <w:rFonts w:hint="eastAsia"/>
              </w:rPr>
              <w:t xml:space="preserve">电话： </w:t>
            </w:r>
          </w:p>
        </w:tc>
        <w:tc>
          <w:tcPr>
            <w:tcW w:w="7440" w:type="dxa"/>
            <w:shd w:val="clear" w:color="auto" w:fill="auto"/>
          </w:tcPr>
          <w:p w14:paraId="4804E913">
            <w:pPr>
              <w:pStyle w:val="7"/>
            </w:pPr>
            <w:r>
              <w:rPr>
                <w:rFonts w:hint="eastAsia"/>
              </w:rPr>
              <w:t xml:space="preserve">027-87107535 </w:t>
            </w:r>
          </w:p>
        </w:tc>
      </w:tr>
      <w:tr w14:paraId="489A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EC57C">
            <w:pPr>
              <w:pStyle w:val="7"/>
            </w:pPr>
            <w:r>
              <w:rPr>
                <w:rFonts w:hint="eastAsia"/>
              </w:rPr>
              <w:t xml:space="preserve">客户服务电话： </w:t>
            </w:r>
          </w:p>
        </w:tc>
        <w:tc>
          <w:tcPr>
            <w:tcW w:w="7440" w:type="dxa"/>
            <w:shd w:val="clear" w:color="auto" w:fill="auto"/>
          </w:tcPr>
          <w:p w14:paraId="4810F796">
            <w:pPr>
              <w:pStyle w:val="7"/>
            </w:pPr>
            <w:r>
              <w:rPr>
                <w:rFonts w:hint="eastAsia"/>
              </w:rPr>
              <w:t xml:space="preserve">400-800-5000/ 95391 </w:t>
            </w:r>
          </w:p>
        </w:tc>
      </w:tr>
      <w:tr w14:paraId="2A65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72752">
            <w:pPr>
              <w:pStyle w:val="7"/>
            </w:pPr>
            <w:r>
              <w:rPr>
                <w:rFonts w:hint="eastAsia"/>
              </w:rPr>
              <w:t xml:space="preserve">网址： </w:t>
            </w:r>
          </w:p>
        </w:tc>
        <w:tc>
          <w:tcPr>
            <w:tcW w:w="7440" w:type="dxa"/>
            <w:shd w:val="clear" w:color="auto" w:fill="auto"/>
          </w:tcPr>
          <w:p w14:paraId="62D55C5F">
            <w:pPr>
              <w:pStyle w:val="7"/>
            </w:pPr>
            <w:r>
              <w:rPr>
                <w:rFonts w:hint="eastAsia"/>
              </w:rPr>
              <w:t xml:space="preserve">http://www.tfzq.com/ </w:t>
            </w:r>
          </w:p>
        </w:tc>
      </w:tr>
    </w:tbl>
    <w:p w14:paraId="6A138530">
      <w:pPr>
        <w:pStyle w:val="7"/>
        <w:spacing w:before="0" w:beforeAutospacing="0" w:after="0" w:afterAutospacing="0" w:line="360" w:lineRule="auto"/>
        <w:ind w:firstLine="420"/>
        <w:rPr>
          <w:sz w:val="21"/>
          <w:szCs w:val="21"/>
        </w:rPr>
      </w:pPr>
      <w:r>
        <w:rPr>
          <w:rFonts w:hint="eastAsia"/>
          <w:b/>
          <w:bCs/>
          <w:sz w:val="21"/>
          <w:szCs w:val="21"/>
        </w:rPr>
        <w:t>(46)华创证券有限责任公司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703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8E93A">
            <w:pPr>
              <w:pStyle w:val="7"/>
            </w:pPr>
            <w:r>
              <w:rPr>
                <w:rFonts w:hint="eastAsia"/>
              </w:rPr>
              <w:t xml:space="preserve">注册地址： </w:t>
            </w:r>
          </w:p>
        </w:tc>
        <w:tc>
          <w:tcPr>
            <w:tcW w:w="7440" w:type="dxa"/>
            <w:shd w:val="clear" w:color="auto" w:fill="auto"/>
          </w:tcPr>
          <w:p w14:paraId="7FC247F6">
            <w:pPr>
              <w:pStyle w:val="7"/>
            </w:pPr>
            <w:r>
              <w:rPr>
                <w:rFonts w:hint="eastAsia"/>
              </w:rPr>
              <w:t xml:space="preserve">贵州省贵阳市 </w:t>
            </w:r>
          </w:p>
        </w:tc>
      </w:tr>
      <w:tr w14:paraId="141C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0D5FD">
            <w:pPr>
              <w:pStyle w:val="7"/>
            </w:pPr>
            <w:r>
              <w:rPr>
                <w:rFonts w:hint="eastAsia"/>
              </w:rPr>
              <w:t xml:space="preserve">办公地址： </w:t>
            </w:r>
          </w:p>
        </w:tc>
        <w:tc>
          <w:tcPr>
            <w:tcW w:w="7440" w:type="dxa"/>
            <w:shd w:val="clear" w:color="auto" w:fill="auto"/>
          </w:tcPr>
          <w:p w14:paraId="4A22CE4A">
            <w:pPr>
              <w:pStyle w:val="7"/>
            </w:pPr>
            <w:r>
              <w:rPr>
                <w:rFonts w:hint="eastAsia"/>
              </w:rPr>
              <w:t xml:space="preserve">贵州省贵阳市中华北路216号华创大厦 </w:t>
            </w:r>
          </w:p>
        </w:tc>
      </w:tr>
      <w:tr w14:paraId="129A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79152">
            <w:pPr>
              <w:pStyle w:val="7"/>
            </w:pPr>
            <w:r>
              <w:rPr>
                <w:rFonts w:hint="eastAsia"/>
              </w:rPr>
              <w:t xml:space="preserve">法定代表人： </w:t>
            </w:r>
          </w:p>
        </w:tc>
        <w:tc>
          <w:tcPr>
            <w:tcW w:w="7440" w:type="dxa"/>
            <w:shd w:val="clear" w:color="auto" w:fill="auto"/>
          </w:tcPr>
          <w:p w14:paraId="40FB9FB6">
            <w:pPr>
              <w:pStyle w:val="7"/>
            </w:pPr>
            <w:r>
              <w:rPr>
                <w:rFonts w:hint="eastAsia"/>
              </w:rPr>
              <w:t xml:space="preserve">陶永泽 </w:t>
            </w:r>
          </w:p>
        </w:tc>
      </w:tr>
      <w:tr w14:paraId="6EB8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2DD73">
            <w:pPr>
              <w:pStyle w:val="7"/>
            </w:pPr>
            <w:r>
              <w:rPr>
                <w:rFonts w:hint="eastAsia"/>
              </w:rPr>
              <w:t xml:space="preserve">联系人： </w:t>
            </w:r>
          </w:p>
        </w:tc>
        <w:tc>
          <w:tcPr>
            <w:tcW w:w="7440" w:type="dxa"/>
            <w:shd w:val="clear" w:color="auto" w:fill="auto"/>
          </w:tcPr>
          <w:p w14:paraId="68D18350">
            <w:pPr>
              <w:pStyle w:val="7"/>
            </w:pPr>
            <w:r>
              <w:rPr>
                <w:rFonts w:hint="eastAsia"/>
              </w:rPr>
              <w:t xml:space="preserve">郭佳来 </w:t>
            </w:r>
          </w:p>
        </w:tc>
      </w:tr>
      <w:tr w14:paraId="5B8D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BB370">
            <w:pPr>
              <w:pStyle w:val="7"/>
            </w:pPr>
            <w:r>
              <w:rPr>
                <w:rFonts w:hint="eastAsia"/>
              </w:rPr>
              <w:t xml:space="preserve">电话： </w:t>
            </w:r>
          </w:p>
        </w:tc>
        <w:tc>
          <w:tcPr>
            <w:tcW w:w="7440" w:type="dxa"/>
            <w:shd w:val="clear" w:color="auto" w:fill="auto"/>
          </w:tcPr>
          <w:p w14:paraId="122273EE">
            <w:pPr>
              <w:pStyle w:val="7"/>
            </w:pPr>
            <w:r>
              <w:rPr>
                <w:rFonts w:hint="eastAsia"/>
              </w:rPr>
              <w:t xml:space="preserve">021-60762618 </w:t>
            </w:r>
          </w:p>
        </w:tc>
      </w:tr>
      <w:tr w14:paraId="7D2E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AA09D">
            <w:pPr>
              <w:pStyle w:val="7"/>
            </w:pPr>
            <w:r>
              <w:rPr>
                <w:rFonts w:hint="eastAsia"/>
              </w:rPr>
              <w:t xml:space="preserve">传真： </w:t>
            </w:r>
          </w:p>
        </w:tc>
        <w:tc>
          <w:tcPr>
            <w:tcW w:w="7440" w:type="dxa"/>
            <w:shd w:val="clear" w:color="auto" w:fill="auto"/>
          </w:tcPr>
          <w:p w14:paraId="0334848C">
            <w:pPr>
              <w:pStyle w:val="7"/>
            </w:pPr>
            <w:r>
              <w:rPr>
                <w:rFonts w:hint="eastAsia"/>
              </w:rPr>
              <w:t xml:space="preserve">021-60762700 </w:t>
            </w:r>
          </w:p>
        </w:tc>
      </w:tr>
      <w:tr w14:paraId="605C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4FC2B">
            <w:pPr>
              <w:pStyle w:val="7"/>
            </w:pPr>
            <w:r>
              <w:rPr>
                <w:rFonts w:hint="eastAsia"/>
              </w:rPr>
              <w:t xml:space="preserve">客户服务电话： </w:t>
            </w:r>
          </w:p>
        </w:tc>
        <w:tc>
          <w:tcPr>
            <w:tcW w:w="7440" w:type="dxa"/>
            <w:shd w:val="clear" w:color="auto" w:fill="auto"/>
          </w:tcPr>
          <w:p w14:paraId="3F0CA26A">
            <w:pPr>
              <w:pStyle w:val="7"/>
            </w:pPr>
            <w:r>
              <w:rPr>
                <w:rFonts w:hint="eastAsia"/>
              </w:rPr>
              <w:t xml:space="preserve">4008666689 </w:t>
            </w:r>
          </w:p>
        </w:tc>
      </w:tr>
      <w:tr w14:paraId="5555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C55D4">
            <w:pPr>
              <w:pStyle w:val="7"/>
            </w:pPr>
            <w:r>
              <w:rPr>
                <w:rFonts w:hint="eastAsia"/>
              </w:rPr>
              <w:t xml:space="preserve">网址： </w:t>
            </w:r>
          </w:p>
        </w:tc>
        <w:tc>
          <w:tcPr>
            <w:tcW w:w="7440" w:type="dxa"/>
            <w:shd w:val="clear" w:color="auto" w:fill="auto"/>
          </w:tcPr>
          <w:p w14:paraId="1DDA5A32">
            <w:pPr>
              <w:pStyle w:val="7"/>
            </w:pPr>
            <w:r>
              <w:rPr>
                <w:rFonts w:hint="eastAsia"/>
              </w:rPr>
              <w:t xml:space="preserve">http://www.hczq.com/ </w:t>
            </w:r>
          </w:p>
        </w:tc>
      </w:tr>
    </w:tbl>
    <w:p w14:paraId="631CF190">
      <w:pPr>
        <w:pStyle w:val="7"/>
        <w:spacing w:before="0" w:beforeAutospacing="0" w:after="0" w:afterAutospacing="0" w:line="360" w:lineRule="auto"/>
        <w:ind w:firstLine="420"/>
        <w:rPr>
          <w:sz w:val="21"/>
          <w:szCs w:val="21"/>
        </w:rPr>
      </w:pPr>
      <w:r>
        <w:rPr>
          <w:rFonts w:hint="eastAsia"/>
          <w:b/>
          <w:bCs/>
          <w:sz w:val="21"/>
          <w:szCs w:val="21"/>
        </w:rPr>
        <w:t>(47)万和证券股份有限公司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B41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BB305">
            <w:pPr>
              <w:pStyle w:val="7"/>
            </w:pPr>
            <w:r>
              <w:rPr>
                <w:rFonts w:hint="eastAsia"/>
              </w:rPr>
              <w:t xml:space="preserve">注册地址： </w:t>
            </w:r>
          </w:p>
        </w:tc>
        <w:tc>
          <w:tcPr>
            <w:tcW w:w="7440" w:type="dxa"/>
            <w:shd w:val="clear" w:color="auto" w:fill="auto"/>
          </w:tcPr>
          <w:p w14:paraId="0D22474A">
            <w:pPr>
              <w:pStyle w:val="7"/>
            </w:pPr>
            <w:r>
              <w:rPr>
                <w:rFonts w:hint="eastAsia"/>
              </w:rPr>
              <w:t xml:space="preserve">海南省海口市南沙路49号通信广场二楼 </w:t>
            </w:r>
          </w:p>
        </w:tc>
      </w:tr>
      <w:tr w14:paraId="5D47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C3CBB">
            <w:pPr>
              <w:pStyle w:val="7"/>
            </w:pPr>
            <w:r>
              <w:rPr>
                <w:rFonts w:hint="eastAsia"/>
              </w:rPr>
              <w:t xml:space="preserve">办公地址： </w:t>
            </w:r>
          </w:p>
        </w:tc>
        <w:tc>
          <w:tcPr>
            <w:tcW w:w="7440" w:type="dxa"/>
            <w:shd w:val="clear" w:color="auto" w:fill="auto"/>
          </w:tcPr>
          <w:p w14:paraId="3023D637">
            <w:pPr>
              <w:pStyle w:val="7"/>
            </w:pPr>
            <w:r>
              <w:rPr>
                <w:rFonts w:hint="eastAsia"/>
              </w:rPr>
              <w:t xml:space="preserve">深圳市福田区深南大道7028号时代科技大厦20层西厅 </w:t>
            </w:r>
          </w:p>
        </w:tc>
      </w:tr>
      <w:tr w14:paraId="4AB53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3952B">
            <w:pPr>
              <w:pStyle w:val="7"/>
            </w:pPr>
            <w:r>
              <w:rPr>
                <w:rFonts w:hint="eastAsia"/>
              </w:rPr>
              <w:t xml:space="preserve">法定代表人： </w:t>
            </w:r>
          </w:p>
        </w:tc>
        <w:tc>
          <w:tcPr>
            <w:tcW w:w="7440" w:type="dxa"/>
            <w:shd w:val="clear" w:color="auto" w:fill="auto"/>
          </w:tcPr>
          <w:p w14:paraId="236B4D6E">
            <w:pPr>
              <w:pStyle w:val="7"/>
            </w:pPr>
            <w:r>
              <w:rPr>
                <w:rFonts w:hint="eastAsia"/>
              </w:rPr>
              <w:t xml:space="preserve">甘卫斌 </w:t>
            </w:r>
          </w:p>
        </w:tc>
      </w:tr>
      <w:tr w14:paraId="631DF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6F92D">
            <w:pPr>
              <w:pStyle w:val="7"/>
            </w:pPr>
            <w:r>
              <w:rPr>
                <w:rFonts w:hint="eastAsia"/>
              </w:rPr>
              <w:t xml:space="preserve">联系人： </w:t>
            </w:r>
          </w:p>
        </w:tc>
        <w:tc>
          <w:tcPr>
            <w:tcW w:w="7440" w:type="dxa"/>
            <w:shd w:val="clear" w:color="auto" w:fill="auto"/>
          </w:tcPr>
          <w:p w14:paraId="6E5AA30B">
            <w:pPr>
              <w:pStyle w:val="7"/>
            </w:pPr>
            <w:r>
              <w:rPr>
                <w:rFonts w:hint="eastAsia"/>
              </w:rPr>
              <w:t xml:space="preserve">张雷 </w:t>
            </w:r>
          </w:p>
        </w:tc>
      </w:tr>
      <w:tr w14:paraId="77B3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BA219">
            <w:pPr>
              <w:pStyle w:val="7"/>
            </w:pPr>
            <w:r>
              <w:rPr>
                <w:rFonts w:hint="eastAsia"/>
              </w:rPr>
              <w:t xml:space="preserve">电话： </w:t>
            </w:r>
          </w:p>
        </w:tc>
        <w:tc>
          <w:tcPr>
            <w:tcW w:w="7440" w:type="dxa"/>
            <w:shd w:val="clear" w:color="auto" w:fill="auto"/>
          </w:tcPr>
          <w:p w14:paraId="134333DE">
            <w:pPr>
              <w:pStyle w:val="7"/>
            </w:pPr>
            <w:r>
              <w:rPr>
                <w:rFonts w:hint="eastAsia"/>
              </w:rPr>
              <w:t xml:space="preserve">0755-82830333 </w:t>
            </w:r>
          </w:p>
        </w:tc>
      </w:tr>
      <w:tr w14:paraId="7A832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6F997">
            <w:pPr>
              <w:pStyle w:val="7"/>
            </w:pPr>
            <w:r>
              <w:rPr>
                <w:rFonts w:hint="eastAsia"/>
              </w:rPr>
              <w:t xml:space="preserve">传真： </w:t>
            </w:r>
          </w:p>
        </w:tc>
        <w:tc>
          <w:tcPr>
            <w:tcW w:w="7440" w:type="dxa"/>
            <w:shd w:val="clear" w:color="auto" w:fill="auto"/>
          </w:tcPr>
          <w:p w14:paraId="40465D28">
            <w:pPr>
              <w:pStyle w:val="7"/>
            </w:pPr>
            <w:r>
              <w:rPr>
                <w:rFonts w:hint="eastAsia"/>
              </w:rPr>
              <w:t xml:space="preserve">0755-25170093 </w:t>
            </w:r>
          </w:p>
        </w:tc>
      </w:tr>
      <w:tr w14:paraId="46C5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40F5B">
            <w:pPr>
              <w:pStyle w:val="7"/>
            </w:pPr>
            <w:r>
              <w:rPr>
                <w:rFonts w:hint="eastAsia"/>
              </w:rPr>
              <w:t xml:space="preserve">客户服务电话： </w:t>
            </w:r>
          </w:p>
        </w:tc>
        <w:tc>
          <w:tcPr>
            <w:tcW w:w="7440" w:type="dxa"/>
            <w:shd w:val="clear" w:color="auto" w:fill="auto"/>
          </w:tcPr>
          <w:p w14:paraId="23CC7898">
            <w:pPr>
              <w:pStyle w:val="7"/>
            </w:pPr>
            <w:r>
              <w:rPr>
                <w:rFonts w:hint="eastAsia"/>
              </w:rPr>
              <w:t xml:space="preserve">4008-882-882 </w:t>
            </w:r>
          </w:p>
        </w:tc>
      </w:tr>
      <w:tr w14:paraId="4DD5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70D10">
            <w:pPr>
              <w:pStyle w:val="7"/>
            </w:pPr>
            <w:r>
              <w:rPr>
                <w:rFonts w:hint="eastAsia"/>
              </w:rPr>
              <w:t xml:space="preserve">网址： </w:t>
            </w:r>
          </w:p>
        </w:tc>
        <w:tc>
          <w:tcPr>
            <w:tcW w:w="7440" w:type="dxa"/>
            <w:shd w:val="clear" w:color="auto" w:fill="auto"/>
          </w:tcPr>
          <w:p w14:paraId="2A47DC04">
            <w:pPr>
              <w:pStyle w:val="7"/>
            </w:pPr>
            <w:r>
              <w:rPr>
                <w:rFonts w:hint="eastAsia"/>
              </w:rPr>
              <w:t xml:space="preserve">http://www.vanho.cn </w:t>
            </w:r>
          </w:p>
        </w:tc>
      </w:tr>
    </w:tbl>
    <w:p w14:paraId="401F5888">
      <w:pPr>
        <w:pStyle w:val="7"/>
        <w:spacing w:before="0" w:beforeAutospacing="0" w:after="0" w:afterAutospacing="0" w:line="360" w:lineRule="auto"/>
        <w:ind w:firstLine="420"/>
        <w:rPr>
          <w:sz w:val="21"/>
          <w:szCs w:val="21"/>
        </w:rPr>
      </w:pPr>
      <w:r>
        <w:rPr>
          <w:rFonts w:hint="eastAsia"/>
          <w:b/>
          <w:bCs/>
          <w:sz w:val="21"/>
          <w:szCs w:val="21"/>
        </w:rPr>
        <w:t>(48)开源证券股份有限公司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CB2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C6F6D">
            <w:pPr>
              <w:pStyle w:val="7"/>
            </w:pPr>
            <w:r>
              <w:rPr>
                <w:rFonts w:hint="eastAsia"/>
              </w:rPr>
              <w:t xml:space="preserve">注册地址： </w:t>
            </w:r>
          </w:p>
        </w:tc>
        <w:tc>
          <w:tcPr>
            <w:tcW w:w="7440" w:type="dxa"/>
            <w:shd w:val="clear" w:color="auto" w:fill="auto"/>
          </w:tcPr>
          <w:p w14:paraId="5ED5BF7A">
            <w:pPr>
              <w:pStyle w:val="7"/>
            </w:pPr>
            <w:r>
              <w:rPr>
                <w:rFonts w:hint="eastAsia"/>
              </w:rPr>
              <w:t xml:space="preserve">陕西省西安市高新区锦业路1号都市之门B座5层 </w:t>
            </w:r>
          </w:p>
        </w:tc>
      </w:tr>
      <w:tr w14:paraId="4941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FBDC4">
            <w:pPr>
              <w:pStyle w:val="7"/>
            </w:pPr>
            <w:r>
              <w:rPr>
                <w:rFonts w:hint="eastAsia"/>
              </w:rPr>
              <w:t xml:space="preserve">办公地址： </w:t>
            </w:r>
          </w:p>
        </w:tc>
        <w:tc>
          <w:tcPr>
            <w:tcW w:w="7440" w:type="dxa"/>
            <w:shd w:val="clear" w:color="auto" w:fill="auto"/>
          </w:tcPr>
          <w:p w14:paraId="5944E8B7">
            <w:pPr>
              <w:pStyle w:val="7"/>
            </w:pPr>
            <w:r>
              <w:rPr>
                <w:rFonts w:hint="eastAsia"/>
              </w:rPr>
              <w:t xml:space="preserve">陕西省西安市高新区锦业路1号都市之门B座5层 </w:t>
            </w:r>
          </w:p>
        </w:tc>
      </w:tr>
      <w:tr w14:paraId="7BE5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0F815">
            <w:pPr>
              <w:pStyle w:val="7"/>
            </w:pPr>
            <w:r>
              <w:rPr>
                <w:rFonts w:hint="eastAsia"/>
              </w:rPr>
              <w:t xml:space="preserve">法定代表人： </w:t>
            </w:r>
          </w:p>
        </w:tc>
        <w:tc>
          <w:tcPr>
            <w:tcW w:w="7440" w:type="dxa"/>
            <w:shd w:val="clear" w:color="auto" w:fill="auto"/>
          </w:tcPr>
          <w:p w14:paraId="597C3BA2">
            <w:pPr>
              <w:pStyle w:val="7"/>
            </w:pPr>
            <w:r>
              <w:rPr>
                <w:rFonts w:hint="eastAsia"/>
              </w:rPr>
              <w:t xml:space="preserve">李刚 </w:t>
            </w:r>
          </w:p>
        </w:tc>
      </w:tr>
      <w:tr w14:paraId="050E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334A5">
            <w:pPr>
              <w:pStyle w:val="7"/>
            </w:pPr>
            <w:r>
              <w:rPr>
                <w:rFonts w:hint="eastAsia"/>
              </w:rPr>
              <w:t xml:space="preserve">联系人： </w:t>
            </w:r>
          </w:p>
        </w:tc>
        <w:tc>
          <w:tcPr>
            <w:tcW w:w="7440" w:type="dxa"/>
            <w:shd w:val="clear" w:color="auto" w:fill="auto"/>
          </w:tcPr>
          <w:p w14:paraId="1CACA185">
            <w:pPr>
              <w:pStyle w:val="7"/>
            </w:pPr>
            <w:r>
              <w:rPr>
                <w:rFonts w:hint="eastAsia"/>
              </w:rPr>
              <w:t xml:space="preserve">张蕊 </w:t>
            </w:r>
          </w:p>
        </w:tc>
      </w:tr>
      <w:tr w14:paraId="4F71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09E66">
            <w:pPr>
              <w:pStyle w:val="7"/>
            </w:pPr>
            <w:r>
              <w:rPr>
                <w:rFonts w:hint="eastAsia"/>
              </w:rPr>
              <w:t xml:space="preserve">电话： </w:t>
            </w:r>
          </w:p>
        </w:tc>
        <w:tc>
          <w:tcPr>
            <w:tcW w:w="7440" w:type="dxa"/>
            <w:shd w:val="clear" w:color="auto" w:fill="auto"/>
          </w:tcPr>
          <w:p w14:paraId="619FAD0A">
            <w:pPr>
              <w:pStyle w:val="7"/>
            </w:pPr>
            <w:r>
              <w:rPr>
                <w:rFonts w:hint="eastAsia"/>
              </w:rPr>
              <w:t xml:space="preserve">029-88365809  </w:t>
            </w:r>
          </w:p>
        </w:tc>
      </w:tr>
      <w:tr w14:paraId="050F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DA703">
            <w:pPr>
              <w:pStyle w:val="7"/>
            </w:pPr>
            <w:r>
              <w:rPr>
                <w:rFonts w:hint="eastAsia"/>
              </w:rPr>
              <w:t xml:space="preserve">传真： </w:t>
            </w:r>
          </w:p>
        </w:tc>
        <w:tc>
          <w:tcPr>
            <w:tcW w:w="7440" w:type="dxa"/>
            <w:shd w:val="clear" w:color="auto" w:fill="auto"/>
          </w:tcPr>
          <w:p w14:paraId="11CD3791">
            <w:pPr>
              <w:pStyle w:val="7"/>
            </w:pPr>
            <w:r>
              <w:rPr>
                <w:rFonts w:hint="eastAsia"/>
              </w:rPr>
              <w:t xml:space="preserve">86-29-88365835 </w:t>
            </w:r>
          </w:p>
        </w:tc>
      </w:tr>
      <w:tr w14:paraId="6F362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9F187">
            <w:pPr>
              <w:pStyle w:val="7"/>
            </w:pPr>
            <w:r>
              <w:rPr>
                <w:rFonts w:hint="eastAsia"/>
              </w:rPr>
              <w:t xml:space="preserve">客户服务电话： </w:t>
            </w:r>
          </w:p>
        </w:tc>
        <w:tc>
          <w:tcPr>
            <w:tcW w:w="7440" w:type="dxa"/>
            <w:shd w:val="clear" w:color="auto" w:fill="auto"/>
          </w:tcPr>
          <w:p w14:paraId="7968A546">
            <w:pPr>
              <w:pStyle w:val="7"/>
            </w:pPr>
            <w:r>
              <w:rPr>
                <w:rFonts w:hint="eastAsia"/>
              </w:rPr>
              <w:t xml:space="preserve">95325 /400-860-8866 </w:t>
            </w:r>
          </w:p>
        </w:tc>
      </w:tr>
      <w:tr w14:paraId="6E62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A6583">
            <w:pPr>
              <w:pStyle w:val="7"/>
            </w:pPr>
            <w:r>
              <w:rPr>
                <w:rFonts w:hint="eastAsia"/>
              </w:rPr>
              <w:t xml:space="preserve">网址： </w:t>
            </w:r>
          </w:p>
        </w:tc>
        <w:tc>
          <w:tcPr>
            <w:tcW w:w="7440" w:type="dxa"/>
            <w:shd w:val="clear" w:color="auto" w:fill="auto"/>
          </w:tcPr>
          <w:p w14:paraId="22EBC357">
            <w:pPr>
              <w:pStyle w:val="7"/>
            </w:pPr>
            <w:r>
              <w:rPr>
                <w:rFonts w:hint="eastAsia"/>
              </w:rPr>
              <w:t xml:space="preserve">http://www.kysec.cn/ </w:t>
            </w:r>
          </w:p>
        </w:tc>
      </w:tr>
    </w:tbl>
    <w:p w14:paraId="3CB04AD3">
      <w:pPr>
        <w:pStyle w:val="7"/>
        <w:spacing w:before="0" w:beforeAutospacing="0" w:after="0" w:afterAutospacing="0" w:line="360" w:lineRule="auto"/>
        <w:ind w:firstLine="420"/>
        <w:rPr>
          <w:sz w:val="21"/>
          <w:szCs w:val="21"/>
        </w:rPr>
      </w:pPr>
      <w:r>
        <w:rPr>
          <w:rFonts w:hint="eastAsia"/>
          <w:b/>
          <w:bCs/>
          <w:sz w:val="21"/>
          <w:szCs w:val="21"/>
        </w:rPr>
        <w:t>(49)华金证券股份有限公司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AFCB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7E43E">
            <w:pPr>
              <w:pStyle w:val="7"/>
            </w:pPr>
            <w:r>
              <w:rPr>
                <w:rFonts w:hint="eastAsia"/>
              </w:rPr>
              <w:t xml:space="preserve">注册地址： </w:t>
            </w:r>
          </w:p>
        </w:tc>
        <w:tc>
          <w:tcPr>
            <w:tcW w:w="7440" w:type="dxa"/>
            <w:shd w:val="clear" w:color="auto" w:fill="auto"/>
          </w:tcPr>
          <w:p w14:paraId="30684092">
            <w:pPr>
              <w:pStyle w:val="7"/>
            </w:pPr>
            <w:r>
              <w:rPr>
                <w:rFonts w:hint="eastAsia"/>
              </w:rPr>
              <w:t xml:space="preserve">上海市静安区天目西路128号1902室 </w:t>
            </w:r>
          </w:p>
        </w:tc>
      </w:tr>
      <w:tr w14:paraId="39200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1E741">
            <w:pPr>
              <w:pStyle w:val="7"/>
            </w:pPr>
            <w:r>
              <w:rPr>
                <w:rFonts w:hint="eastAsia"/>
              </w:rPr>
              <w:t xml:space="preserve">办公地址： </w:t>
            </w:r>
          </w:p>
        </w:tc>
        <w:tc>
          <w:tcPr>
            <w:tcW w:w="7440" w:type="dxa"/>
            <w:shd w:val="clear" w:color="auto" w:fill="auto"/>
          </w:tcPr>
          <w:p w14:paraId="4929CA08">
            <w:pPr>
              <w:pStyle w:val="7"/>
            </w:pPr>
            <w:r>
              <w:rPr>
                <w:rFonts w:hint="eastAsia"/>
              </w:rPr>
              <w:t xml:space="preserve">上海市浦东新区杨高南路759号27层（陆家嘴世纪金融广场2号楼） </w:t>
            </w:r>
          </w:p>
        </w:tc>
      </w:tr>
      <w:tr w14:paraId="0CA8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F5ECA">
            <w:pPr>
              <w:pStyle w:val="7"/>
            </w:pPr>
            <w:r>
              <w:rPr>
                <w:rFonts w:hint="eastAsia"/>
              </w:rPr>
              <w:t xml:space="preserve">法定代表人： </w:t>
            </w:r>
          </w:p>
        </w:tc>
        <w:tc>
          <w:tcPr>
            <w:tcW w:w="7440" w:type="dxa"/>
            <w:shd w:val="clear" w:color="auto" w:fill="auto"/>
          </w:tcPr>
          <w:p w14:paraId="7B3BE0CF">
            <w:pPr>
              <w:pStyle w:val="7"/>
            </w:pPr>
            <w:r>
              <w:rPr>
                <w:rFonts w:hint="eastAsia"/>
              </w:rPr>
              <w:t xml:space="preserve">燕文波 </w:t>
            </w:r>
          </w:p>
        </w:tc>
      </w:tr>
      <w:tr w14:paraId="178E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DB8CF">
            <w:pPr>
              <w:pStyle w:val="7"/>
            </w:pPr>
            <w:r>
              <w:rPr>
                <w:rFonts w:hint="eastAsia"/>
              </w:rPr>
              <w:t xml:space="preserve">联系人： </w:t>
            </w:r>
          </w:p>
        </w:tc>
        <w:tc>
          <w:tcPr>
            <w:tcW w:w="7440" w:type="dxa"/>
            <w:shd w:val="clear" w:color="auto" w:fill="auto"/>
          </w:tcPr>
          <w:p w14:paraId="34A5B1B0">
            <w:pPr>
              <w:pStyle w:val="7"/>
            </w:pPr>
            <w:r>
              <w:rPr>
                <w:rFonts w:hint="eastAsia"/>
              </w:rPr>
              <w:t xml:space="preserve">秦臻 </w:t>
            </w:r>
          </w:p>
        </w:tc>
      </w:tr>
      <w:tr w14:paraId="5CDF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F6EED">
            <w:pPr>
              <w:pStyle w:val="7"/>
            </w:pPr>
            <w:r>
              <w:rPr>
                <w:rFonts w:hint="eastAsia"/>
              </w:rPr>
              <w:t xml:space="preserve">电话： </w:t>
            </w:r>
          </w:p>
        </w:tc>
        <w:tc>
          <w:tcPr>
            <w:tcW w:w="7440" w:type="dxa"/>
            <w:shd w:val="clear" w:color="auto" w:fill="auto"/>
          </w:tcPr>
          <w:p w14:paraId="6C17E4FC">
            <w:pPr>
              <w:pStyle w:val="7"/>
            </w:pPr>
            <w:r>
              <w:rPr>
                <w:rFonts w:hint="eastAsia"/>
              </w:rPr>
              <w:t xml:space="preserve">021-20655588 </w:t>
            </w:r>
          </w:p>
        </w:tc>
      </w:tr>
      <w:tr w14:paraId="63F1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2A129">
            <w:pPr>
              <w:pStyle w:val="7"/>
            </w:pPr>
            <w:r>
              <w:rPr>
                <w:rFonts w:hint="eastAsia"/>
              </w:rPr>
              <w:t xml:space="preserve">传真： </w:t>
            </w:r>
          </w:p>
        </w:tc>
        <w:tc>
          <w:tcPr>
            <w:tcW w:w="7440" w:type="dxa"/>
            <w:shd w:val="clear" w:color="auto" w:fill="auto"/>
          </w:tcPr>
          <w:p w14:paraId="325ECFC8">
            <w:pPr>
              <w:pStyle w:val="7"/>
            </w:pPr>
            <w:r>
              <w:rPr>
                <w:rFonts w:hint="eastAsia"/>
              </w:rPr>
              <w:t xml:space="preserve">021-50390850 </w:t>
            </w:r>
          </w:p>
        </w:tc>
      </w:tr>
      <w:tr w14:paraId="0FD5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10462">
            <w:pPr>
              <w:pStyle w:val="7"/>
            </w:pPr>
            <w:r>
              <w:rPr>
                <w:rFonts w:hint="eastAsia"/>
              </w:rPr>
              <w:t xml:space="preserve">客户服务电话： </w:t>
            </w:r>
          </w:p>
        </w:tc>
        <w:tc>
          <w:tcPr>
            <w:tcW w:w="7440" w:type="dxa"/>
            <w:shd w:val="clear" w:color="auto" w:fill="auto"/>
          </w:tcPr>
          <w:p w14:paraId="6372931C">
            <w:pPr>
              <w:pStyle w:val="7"/>
            </w:pPr>
            <w:r>
              <w:rPr>
                <w:rFonts w:hint="eastAsia"/>
              </w:rPr>
              <w:t xml:space="preserve">956011 </w:t>
            </w:r>
          </w:p>
        </w:tc>
      </w:tr>
      <w:tr w14:paraId="3B88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87336">
            <w:pPr>
              <w:pStyle w:val="7"/>
            </w:pPr>
            <w:r>
              <w:rPr>
                <w:rFonts w:hint="eastAsia"/>
              </w:rPr>
              <w:t xml:space="preserve">网址： </w:t>
            </w:r>
          </w:p>
        </w:tc>
        <w:tc>
          <w:tcPr>
            <w:tcW w:w="7440" w:type="dxa"/>
            <w:shd w:val="clear" w:color="auto" w:fill="auto"/>
          </w:tcPr>
          <w:p w14:paraId="69D21DCD">
            <w:pPr>
              <w:pStyle w:val="7"/>
            </w:pPr>
            <w:r>
              <w:rPr>
                <w:rFonts w:hint="eastAsia"/>
              </w:rPr>
              <w:t xml:space="preserve">https://www.huajinsc.cn </w:t>
            </w:r>
          </w:p>
        </w:tc>
      </w:tr>
    </w:tbl>
    <w:p w14:paraId="1B6FA474">
      <w:pPr>
        <w:pStyle w:val="7"/>
        <w:spacing w:before="0" w:beforeAutospacing="0" w:after="0" w:afterAutospacing="0" w:line="360" w:lineRule="auto"/>
        <w:ind w:firstLine="420"/>
        <w:rPr>
          <w:sz w:val="21"/>
          <w:szCs w:val="21"/>
        </w:rPr>
      </w:pPr>
      <w:r>
        <w:rPr>
          <w:rFonts w:hint="eastAsia"/>
          <w:b/>
          <w:bCs/>
          <w:sz w:val="21"/>
          <w:szCs w:val="21"/>
        </w:rPr>
        <w:t>(50)联储证券股份有限公司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E102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1F36F">
            <w:pPr>
              <w:pStyle w:val="7"/>
            </w:pPr>
            <w:r>
              <w:rPr>
                <w:rFonts w:hint="eastAsia"/>
              </w:rPr>
              <w:t xml:space="preserve">注册地址： </w:t>
            </w:r>
          </w:p>
        </w:tc>
        <w:tc>
          <w:tcPr>
            <w:tcW w:w="7440" w:type="dxa"/>
            <w:shd w:val="clear" w:color="auto" w:fill="auto"/>
          </w:tcPr>
          <w:p w14:paraId="7278159B">
            <w:pPr>
              <w:pStyle w:val="7"/>
            </w:pPr>
            <w:r>
              <w:rPr>
                <w:rFonts w:hint="eastAsia"/>
              </w:rPr>
              <w:t xml:space="preserve">深圳市福田区华强北路圣廷苑酒店B座26楼 </w:t>
            </w:r>
          </w:p>
        </w:tc>
      </w:tr>
      <w:tr w14:paraId="676F4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864C7">
            <w:pPr>
              <w:pStyle w:val="7"/>
            </w:pPr>
            <w:r>
              <w:rPr>
                <w:rFonts w:hint="eastAsia"/>
              </w:rPr>
              <w:t xml:space="preserve">办公地址： </w:t>
            </w:r>
          </w:p>
        </w:tc>
        <w:tc>
          <w:tcPr>
            <w:tcW w:w="7440" w:type="dxa"/>
            <w:shd w:val="clear" w:color="auto" w:fill="auto"/>
          </w:tcPr>
          <w:p w14:paraId="464DF79F">
            <w:pPr>
              <w:pStyle w:val="7"/>
            </w:pPr>
            <w:r>
              <w:rPr>
                <w:rFonts w:hint="eastAsia"/>
              </w:rPr>
              <w:t xml:space="preserve">深圳市福田区华强北路圣廷苑酒店B座26楼 </w:t>
            </w:r>
          </w:p>
        </w:tc>
      </w:tr>
      <w:tr w14:paraId="120B5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94989">
            <w:pPr>
              <w:pStyle w:val="7"/>
            </w:pPr>
            <w:r>
              <w:rPr>
                <w:rFonts w:hint="eastAsia"/>
              </w:rPr>
              <w:t xml:space="preserve">法定代表人： </w:t>
            </w:r>
          </w:p>
        </w:tc>
        <w:tc>
          <w:tcPr>
            <w:tcW w:w="7440" w:type="dxa"/>
            <w:shd w:val="clear" w:color="auto" w:fill="auto"/>
          </w:tcPr>
          <w:p w14:paraId="2530EAAF">
            <w:pPr>
              <w:pStyle w:val="7"/>
            </w:pPr>
            <w:r>
              <w:rPr>
                <w:rFonts w:hint="eastAsia"/>
              </w:rPr>
              <w:t xml:space="preserve">吕春卫 </w:t>
            </w:r>
          </w:p>
        </w:tc>
      </w:tr>
      <w:tr w14:paraId="2ADD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F6107">
            <w:pPr>
              <w:pStyle w:val="7"/>
            </w:pPr>
            <w:r>
              <w:rPr>
                <w:rFonts w:hint="eastAsia"/>
              </w:rPr>
              <w:t xml:space="preserve">联系人： </w:t>
            </w:r>
          </w:p>
        </w:tc>
        <w:tc>
          <w:tcPr>
            <w:tcW w:w="7440" w:type="dxa"/>
            <w:shd w:val="clear" w:color="auto" w:fill="auto"/>
          </w:tcPr>
          <w:p w14:paraId="7B1416E8">
            <w:pPr>
              <w:pStyle w:val="7"/>
            </w:pPr>
            <w:r>
              <w:rPr>
                <w:rFonts w:hint="eastAsia"/>
              </w:rPr>
              <w:t xml:space="preserve">张婉婷 </w:t>
            </w:r>
          </w:p>
        </w:tc>
      </w:tr>
      <w:tr w14:paraId="09A7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30549">
            <w:pPr>
              <w:pStyle w:val="7"/>
            </w:pPr>
            <w:r>
              <w:rPr>
                <w:rFonts w:hint="eastAsia"/>
              </w:rPr>
              <w:t xml:space="preserve">电话： </w:t>
            </w:r>
          </w:p>
        </w:tc>
        <w:tc>
          <w:tcPr>
            <w:tcW w:w="7440" w:type="dxa"/>
            <w:shd w:val="clear" w:color="auto" w:fill="auto"/>
          </w:tcPr>
          <w:p w14:paraId="226D7432">
            <w:pPr>
              <w:pStyle w:val="7"/>
            </w:pPr>
            <w:r>
              <w:rPr>
                <w:rFonts w:hint="eastAsia"/>
              </w:rPr>
              <w:t xml:space="preserve">010-86499765  </w:t>
            </w:r>
          </w:p>
        </w:tc>
      </w:tr>
      <w:tr w14:paraId="1456B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D11C4">
            <w:pPr>
              <w:pStyle w:val="7"/>
            </w:pPr>
            <w:r>
              <w:rPr>
                <w:rFonts w:hint="eastAsia"/>
              </w:rPr>
              <w:t xml:space="preserve">传真： </w:t>
            </w:r>
          </w:p>
        </w:tc>
        <w:tc>
          <w:tcPr>
            <w:tcW w:w="7440" w:type="dxa"/>
            <w:shd w:val="clear" w:color="auto" w:fill="auto"/>
          </w:tcPr>
          <w:p w14:paraId="16054F80">
            <w:pPr>
              <w:pStyle w:val="7"/>
            </w:pPr>
            <w:r>
              <w:rPr>
                <w:rFonts w:hint="eastAsia"/>
              </w:rPr>
              <w:t xml:space="preserve">0755-82075835 </w:t>
            </w:r>
          </w:p>
        </w:tc>
      </w:tr>
      <w:tr w14:paraId="11394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CD99C">
            <w:pPr>
              <w:pStyle w:val="7"/>
            </w:pPr>
            <w:r>
              <w:rPr>
                <w:rFonts w:hint="eastAsia"/>
              </w:rPr>
              <w:t xml:space="preserve">客户服务电话： </w:t>
            </w:r>
          </w:p>
        </w:tc>
        <w:tc>
          <w:tcPr>
            <w:tcW w:w="7440" w:type="dxa"/>
            <w:shd w:val="clear" w:color="auto" w:fill="auto"/>
          </w:tcPr>
          <w:p w14:paraId="770EDF23">
            <w:pPr>
              <w:pStyle w:val="7"/>
            </w:pPr>
            <w:r>
              <w:rPr>
                <w:rFonts w:hint="eastAsia"/>
              </w:rPr>
              <w:t xml:space="preserve">4006206868/010-56177851 </w:t>
            </w:r>
          </w:p>
        </w:tc>
      </w:tr>
      <w:tr w14:paraId="1AED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6073B">
            <w:pPr>
              <w:pStyle w:val="7"/>
            </w:pPr>
            <w:r>
              <w:rPr>
                <w:rFonts w:hint="eastAsia"/>
              </w:rPr>
              <w:t xml:space="preserve">网址： </w:t>
            </w:r>
          </w:p>
        </w:tc>
        <w:tc>
          <w:tcPr>
            <w:tcW w:w="7440" w:type="dxa"/>
            <w:shd w:val="clear" w:color="auto" w:fill="auto"/>
          </w:tcPr>
          <w:p w14:paraId="44ECEFA6">
            <w:pPr>
              <w:pStyle w:val="7"/>
            </w:pPr>
            <w:r>
              <w:rPr>
                <w:rFonts w:hint="eastAsia"/>
              </w:rPr>
              <w:t xml:space="preserve">http://www.lczq.com/ </w:t>
            </w:r>
          </w:p>
        </w:tc>
      </w:tr>
    </w:tbl>
    <w:p w14:paraId="6F6D6BEA">
      <w:pPr>
        <w:rPr>
          <w:rFonts w:ascii="宋体" w:hAnsi="宋体" w:eastAsia="宋体"/>
          <w:sz w:val="24"/>
          <w:szCs w:val="24"/>
        </w:rPr>
      </w:pPr>
      <w:bookmarkStart w:id="59" w:name="field_0_allproxysaletables_1_end"/>
      <w:bookmarkEnd w:id="59"/>
      <w:r>
        <w:rPr>
          <w:rFonts w:ascii="宋体" w:hAnsi="宋体" w:eastAsia="宋体"/>
        </w:rPr>
        <w:t xml:space="preserve">  </w:t>
      </w:r>
    </w:p>
    <w:p w14:paraId="6A101295">
      <w:pPr>
        <w:pStyle w:val="7"/>
        <w:spacing w:before="0" w:beforeAutospacing="0" w:after="0" w:afterAutospacing="0" w:line="360" w:lineRule="auto"/>
        <w:ind w:firstLine="420"/>
        <w:rPr>
          <w:sz w:val="21"/>
          <w:szCs w:val="21"/>
        </w:rPr>
      </w:pPr>
      <w:r>
        <w:rPr>
          <w:rFonts w:hint="eastAsia"/>
          <w:sz w:val="21"/>
          <w:szCs w:val="21"/>
        </w:rPr>
        <w:t xml:space="preserve">2．二级市场交易代理券商  </w:t>
      </w:r>
    </w:p>
    <w:p w14:paraId="113B9D23">
      <w:pPr>
        <w:pStyle w:val="7"/>
        <w:spacing w:before="0" w:beforeAutospacing="0" w:after="0" w:afterAutospacing="0" w:line="360" w:lineRule="auto"/>
        <w:ind w:firstLine="420"/>
        <w:rPr>
          <w:sz w:val="21"/>
          <w:szCs w:val="21"/>
        </w:rPr>
      </w:pPr>
      <w:r>
        <w:rPr>
          <w:rFonts w:hint="eastAsia"/>
          <w:sz w:val="21"/>
          <w:szCs w:val="21"/>
        </w:rPr>
        <w:t xml:space="preserve">包括具有经纪业务资格及上海证券交易所会员资格的所有证券公司。  </w:t>
      </w:r>
    </w:p>
    <w:p w14:paraId="4FFB4B9E">
      <w:pPr>
        <w:pStyle w:val="7"/>
        <w:spacing w:before="0" w:beforeAutospacing="0" w:after="0" w:afterAutospacing="0" w:line="360" w:lineRule="auto"/>
        <w:ind w:firstLine="420"/>
        <w:rPr>
          <w:sz w:val="21"/>
          <w:szCs w:val="21"/>
        </w:rPr>
      </w:pPr>
      <w:r>
        <w:rPr>
          <w:rFonts w:hint="eastAsia"/>
          <w:sz w:val="21"/>
          <w:szCs w:val="21"/>
        </w:rPr>
        <w:t>3．基金管理人可根据有关法律法规，选择其他符合要求的机构代理发售本基金，并及</w:t>
      </w:r>
      <w:bookmarkStart w:id="60" w:name="chapter_level1_7_56_section_2_end"/>
      <w:bookmarkEnd w:id="60"/>
      <w:r>
        <w:rPr>
          <w:rFonts w:hint="eastAsia"/>
          <w:sz w:val="21"/>
          <w:szCs w:val="21"/>
        </w:rPr>
        <w:t xml:space="preserve">时公告。 </w:t>
      </w:r>
    </w:p>
    <w:p w14:paraId="7366AC03">
      <w:pPr>
        <w:pStyle w:val="7"/>
        <w:spacing w:before="0" w:beforeAutospacing="0" w:after="0" w:afterAutospacing="0" w:line="360" w:lineRule="auto"/>
        <w:ind w:firstLine="420"/>
        <w:rPr>
          <w:sz w:val="21"/>
          <w:szCs w:val="21"/>
        </w:rPr>
      </w:pPr>
      <w:bookmarkStart w:id="61" w:name="chapter_level1_7_56_section_3"/>
      <w:bookmarkEnd w:id="61"/>
      <w:r>
        <w:rPr>
          <w:rStyle w:val="11"/>
          <w:rFonts w:hint="eastAsia"/>
          <w:sz w:val="21"/>
          <w:szCs w:val="21"/>
        </w:rPr>
        <w:t>二、登记机构</w:t>
      </w:r>
    </w:p>
    <w:p w14:paraId="6D8D3D42">
      <w:pPr>
        <w:pStyle w:val="7"/>
        <w:spacing w:before="0" w:beforeAutospacing="0" w:after="0" w:afterAutospacing="0" w:line="360" w:lineRule="auto"/>
        <w:ind w:firstLine="420"/>
        <w:rPr>
          <w:sz w:val="21"/>
          <w:szCs w:val="21"/>
        </w:rPr>
      </w:pPr>
      <w:bookmarkStart w:id="62" w:name="field_0_registercompanyinfo_1_start"/>
      <w:bookmarkEnd w:id="62"/>
      <w:r>
        <w:rPr>
          <w:rFonts w:hint="eastAsia"/>
          <w:sz w:val="21"/>
          <w:szCs w:val="21"/>
        </w:rPr>
        <w:t xml:space="preserve">名称：中国证券登记结算有限责任公司  </w:t>
      </w:r>
    </w:p>
    <w:p w14:paraId="5E10DD2E">
      <w:pPr>
        <w:pStyle w:val="7"/>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14:paraId="0083EF7B">
      <w:pPr>
        <w:pStyle w:val="7"/>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14:paraId="35077CA9">
      <w:pPr>
        <w:pStyle w:val="7"/>
        <w:spacing w:before="0" w:beforeAutospacing="0" w:after="0" w:afterAutospacing="0" w:line="360" w:lineRule="auto"/>
        <w:ind w:firstLine="420"/>
        <w:rPr>
          <w:sz w:val="21"/>
          <w:szCs w:val="21"/>
        </w:rPr>
      </w:pPr>
      <w:r>
        <w:rPr>
          <w:rFonts w:hint="eastAsia"/>
          <w:sz w:val="21"/>
          <w:szCs w:val="21"/>
        </w:rPr>
        <w:t xml:space="preserve">法定代表人：于文强 </w:t>
      </w:r>
    </w:p>
    <w:p w14:paraId="33BAFEC5">
      <w:pPr>
        <w:pStyle w:val="7"/>
        <w:spacing w:before="0" w:beforeAutospacing="0" w:after="0" w:afterAutospacing="0" w:line="360" w:lineRule="auto"/>
        <w:ind w:firstLine="420"/>
        <w:rPr>
          <w:sz w:val="21"/>
          <w:szCs w:val="21"/>
        </w:rPr>
      </w:pPr>
      <w:r>
        <w:rPr>
          <w:rFonts w:hint="eastAsia"/>
          <w:sz w:val="21"/>
          <w:szCs w:val="21"/>
        </w:rPr>
        <w:t xml:space="preserve">电  话：0755-25946013 </w:t>
      </w:r>
    </w:p>
    <w:p w14:paraId="1924516F">
      <w:pPr>
        <w:pStyle w:val="7"/>
        <w:spacing w:before="0" w:beforeAutospacing="0" w:after="0" w:afterAutospacing="0" w:line="360" w:lineRule="auto"/>
        <w:ind w:firstLine="420"/>
        <w:rPr>
          <w:sz w:val="21"/>
          <w:szCs w:val="21"/>
        </w:rPr>
      </w:pPr>
      <w:r>
        <w:rPr>
          <w:rFonts w:hint="eastAsia"/>
          <w:sz w:val="21"/>
          <w:szCs w:val="21"/>
        </w:rPr>
        <w:t xml:space="preserve">传  真：0755-25987122 </w:t>
      </w:r>
    </w:p>
    <w:p w14:paraId="44AA4253">
      <w:pPr>
        <w:pStyle w:val="7"/>
        <w:spacing w:before="0" w:beforeAutospacing="0" w:after="0" w:afterAutospacing="0" w:line="360" w:lineRule="auto"/>
        <w:ind w:firstLine="420"/>
        <w:rPr>
          <w:sz w:val="21"/>
          <w:szCs w:val="21"/>
        </w:rPr>
      </w:pPr>
      <w:r>
        <w:rPr>
          <w:rFonts w:hint="eastAsia"/>
          <w:sz w:val="21"/>
          <w:szCs w:val="21"/>
        </w:rPr>
        <w:t xml:space="preserve">联系人：严峰 </w:t>
      </w:r>
      <w:bookmarkStart w:id="63" w:name="field_0_registercompanyinfo_1_end"/>
      <w:bookmarkEnd w:id="63"/>
      <w:r>
        <w:rPr>
          <w:rFonts w:hint="eastAsia"/>
          <w:sz w:val="21"/>
          <w:szCs w:val="21"/>
        </w:rPr>
        <w:t xml:space="preserve">  </w:t>
      </w:r>
    </w:p>
    <w:p w14:paraId="54E76D20">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2C86A20C">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7FA99388">
      <w:pPr>
        <w:pStyle w:val="7"/>
        <w:spacing w:before="0" w:beforeAutospacing="0" w:after="0" w:afterAutospacing="0" w:line="360" w:lineRule="auto"/>
        <w:ind w:firstLine="420"/>
        <w:rPr>
          <w:sz w:val="21"/>
          <w:szCs w:val="21"/>
        </w:rPr>
      </w:pPr>
      <w:r>
        <w:rPr>
          <w:rFonts w:hint="eastAsia"/>
          <w:sz w:val="21"/>
          <w:szCs w:val="21"/>
        </w:rPr>
        <w:t xml:space="preserve">注册地址：上海市银城中路 68 号时代金融中心 19 楼 </w:t>
      </w:r>
    </w:p>
    <w:p w14:paraId="53F27CF7">
      <w:pPr>
        <w:pStyle w:val="7"/>
        <w:spacing w:before="0" w:beforeAutospacing="0" w:after="0" w:afterAutospacing="0" w:line="360" w:lineRule="auto"/>
        <w:ind w:firstLine="420"/>
        <w:rPr>
          <w:sz w:val="21"/>
          <w:szCs w:val="21"/>
        </w:rPr>
      </w:pPr>
      <w:r>
        <w:rPr>
          <w:rFonts w:hint="eastAsia"/>
          <w:sz w:val="21"/>
          <w:szCs w:val="21"/>
        </w:rPr>
        <w:t xml:space="preserve">办公地址：上海市银城中路 68 号时代金融中心 19 楼 </w:t>
      </w:r>
    </w:p>
    <w:p w14:paraId="3998C73B">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372A58BD">
      <w:pPr>
        <w:pStyle w:val="7"/>
        <w:spacing w:before="0" w:beforeAutospacing="0" w:after="0" w:afterAutospacing="0" w:line="360" w:lineRule="auto"/>
        <w:ind w:firstLine="420"/>
        <w:rPr>
          <w:sz w:val="21"/>
          <w:szCs w:val="21"/>
        </w:rPr>
      </w:pPr>
      <w:r>
        <w:rPr>
          <w:rFonts w:hint="eastAsia"/>
          <w:sz w:val="21"/>
          <w:szCs w:val="21"/>
        </w:rPr>
        <w:t xml:space="preserve">电话： 021- 31358666 </w:t>
      </w:r>
    </w:p>
    <w:p w14:paraId="24C6C8F5">
      <w:pPr>
        <w:pStyle w:val="7"/>
        <w:spacing w:before="0" w:beforeAutospacing="0" w:after="0" w:afterAutospacing="0" w:line="360" w:lineRule="auto"/>
        <w:ind w:firstLine="420"/>
        <w:rPr>
          <w:sz w:val="21"/>
          <w:szCs w:val="21"/>
        </w:rPr>
      </w:pPr>
      <w:r>
        <w:rPr>
          <w:rFonts w:hint="eastAsia"/>
          <w:sz w:val="21"/>
          <w:szCs w:val="21"/>
        </w:rPr>
        <w:t xml:space="preserve">传真： 021- 31358600 </w:t>
      </w:r>
    </w:p>
    <w:p w14:paraId="1F9B11EF">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09B8AC9C">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1DCC10F8">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7BEDD385">
      <w:pPr>
        <w:pStyle w:val="7"/>
        <w:spacing w:before="0" w:beforeAutospacing="0" w:after="0" w:afterAutospacing="0" w:line="360" w:lineRule="auto"/>
        <w:ind w:firstLine="420"/>
        <w:rPr>
          <w:sz w:val="21"/>
          <w:szCs w:val="21"/>
        </w:rPr>
      </w:pPr>
      <w:bookmarkStart w:id="64" w:name="field_0_accountingcompanyinfo_1_start"/>
      <w:bookmarkEnd w:id="64"/>
      <w:r>
        <w:rPr>
          <w:rFonts w:hint="eastAsia"/>
          <w:sz w:val="21"/>
          <w:szCs w:val="21"/>
        </w:rPr>
        <w:t xml:space="preserve">名称：容诚会计师事务所（特殊普通合伙） </w:t>
      </w:r>
    </w:p>
    <w:p w14:paraId="6AE23490">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0BF93261">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15397401">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1DAE2B31">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2BBC008C">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0153E15D">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4423ADDA">
      <w:pPr>
        <w:pStyle w:val="7"/>
        <w:spacing w:before="0" w:beforeAutospacing="0" w:after="0" w:afterAutospacing="0" w:line="360" w:lineRule="auto"/>
        <w:ind w:firstLine="420"/>
        <w:rPr>
          <w:sz w:val="21"/>
          <w:szCs w:val="21"/>
        </w:rPr>
      </w:pPr>
      <w:bookmarkStart w:id="65" w:name="chapter_level1_7_56_section_3_end"/>
      <w:bookmarkEnd w:id="65"/>
      <w:r>
        <w:rPr>
          <w:rFonts w:hint="eastAsia"/>
          <w:sz w:val="21"/>
          <w:szCs w:val="21"/>
        </w:rPr>
        <w:t xml:space="preserve">经办注册会计师：薛竞 吴琳杰 </w:t>
      </w:r>
      <w:bookmarkStart w:id="66" w:name="field_0_accountingcompanyinfo_1_end"/>
      <w:bookmarkEnd w:id="66"/>
      <w:r>
        <w:rPr>
          <w:rFonts w:hint="eastAsia"/>
          <w:sz w:val="21"/>
          <w:szCs w:val="21"/>
        </w:rPr>
        <w:t xml:space="preserve">  </w:t>
      </w:r>
    </w:p>
    <w:p w14:paraId="1F312171">
      <w:pPr>
        <w:widowControl/>
        <w:jc w:val="left"/>
        <w:rPr>
          <w:rFonts w:ascii="宋体" w:hAnsi="宋体" w:eastAsia="宋体"/>
        </w:rPr>
      </w:pPr>
      <w:r>
        <w:rPr>
          <w:rFonts w:ascii="宋体" w:hAnsi="宋体" w:eastAsia="宋体"/>
        </w:rPr>
        <w:br w:type="page"/>
      </w:r>
    </w:p>
    <w:p w14:paraId="61471AA3">
      <w:pPr>
        <w:pStyle w:val="2"/>
        <w:jc w:val="center"/>
        <w:rPr>
          <w:rFonts w:ascii="宋体" w:hAnsi="宋体" w:eastAsia="宋体"/>
          <w:sz w:val="30"/>
        </w:rPr>
      </w:pPr>
      <w:bookmarkStart w:id="67" w:name="chapter_level1_9_58"/>
      <w:bookmarkStart w:id="68" w:name="_Toc207986786"/>
      <w:r>
        <w:rPr>
          <w:rFonts w:hint="eastAsia" w:ascii="宋体" w:hAnsi="宋体" w:eastAsia="宋体"/>
          <w:sz w:val="30"/>
        </w:rPr>
        <w:t>第六部分 基金的募集与基金合同的生效</w:t>
      </w:r>
      <w:bookmarkEnd w:id="67"/>
      <w:bookmarkEnd w:id="68"/>
    </w:p>
    <w:p w14:paraId="026CC435">
      <w:pPr>
        <w:pStyle w:val="7"/>
        <w:spacing w:before="0" w:beforeAutospacing="0" w:after="0" w:afterAutospacing="0" w:line="360" w:lineRule="auto"/>
        <w:ind w:firstLine="420"/>
        <w:rPr>
          <w:sz w:val="21"/>
          <w:szCs w:val="21"/>
        </w:rPr>
      </w:pPr>
      <w:bookmarkStart w:id="69" w:name="chapter_level1_9_58_section_1"/>
      <w:bookmarkEnd w:id="69"/>
      <w:r>
        <w:rPr>
          <w:rFonts w:hint="eastAsia"/>
          <w:b/>
          <w:bCs/>
          <w:sz w:val="21"/>
          <w:szCs w:val="21"/>
        </w:rPr>
        <w:t>一．基金的募集</w:t>
      </w:r>
    </w:p>
    <w:p w14:paraId="77F38906">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0" w:name="field_2343_approveddate_1"/>
      <w:r>
        <w:rPr>
          <w:sz w:val="21"/>
          <w:szCs w:val="21"/>
        </w:rPr>
        <w:t>2021年12月13日</w:t>
      </w:r>
      <w:bookmarkEnd w:id="70"/>
      <w:r>
        <w:rPr>
          <w:rFonts w:hint="eastAsia"/>
          <w:sz w:val="21"/>
          <w:szCs w:val="21"/>
        </w:rPr>
        <w:t>证监许可</w:t>
      </w:r>
      <w:bookmarkStart w:id="71" w:name="field_2343_lotnumber_1"/>
      <w:r>
        <w:rPr>
          <w:sz w:val="21"/>
          <w:szCs w:val="21"/>
        </w:rPr>
        <w:t>[2021]3907</w:t>
      </w:r>
      <w:bookmarkEnd w:id="71"/>
      <w:r>
        <w:rPr>
          <w:rFonts w:hint="eastAsia"/>
          <w:sz w:val="21"/>
          <w:szCs w:val="21"/>
        </w:rPr>
        <w:t xml:space="preserve">号文准予募集注册。 </w:t>
      </w:r>
    </w:p>
    <w:p w14:paraId="41488E7B">
      <w:pPr>
        <w:pStyle w:val="7"/>
        <w:spacing w:before="0" w:beforeAutospacing="0" w:after="0" w:afterAutospacing="0" w:line="360" w:lineRule="auto"/>
        <w:ind w:firstLine="420"/>
        <w:rPr>
          <w:sz w:val="21"/>
          <w:szCs w:val="21"/>
        </w:rPr>
      </w:pPr>
      <w:r>
        <w:rPr>
          <w:rFonts w:hint="eastAsia"/>
          <w:sz w:val="21"/>
          <w:szCs w:val="21"/>
        </w:rPr>
        <w:t>本基金募集期自</w:t>
      </w:r>
      <w:bookmarkStart w:id="72" w:name="field_58_raisebegindate_1"/>
      <w:r>
        <w:rPr>
          <w:sz w:val="21"/>
          <w:szCs w:val="21"/>
        </w:rPr>
        <w:t>2022年5月10日</w:t>
      </w:r>
      <w:bookmarkEnd w:id="72"/>
      <w:r>
        <w:rPr>
          <w:rFonts w:hint="eastAsia"/>
          <w:sz w:val="21"/>
          <w:szCs w:val="21"/>
        </w:rPr>
        <w:t>至</w:t>
      </w:r>
      <w:bookmarkStart w:id="73" w:name="field_58_raiseenddate_1"/>
      <w:r>
        <w:rPr>
          <w:sz w:val="21"/>
          <w:szCs w:val="21"/>
        </w:rPr>
        <w:t>2022年8月9日</w:t>
      </w:r>
      <w:bookmarkEnd w:id="73"/>
      <w:r>
        <w:rPr>
          <w:rFonts w:hint="eastAsia"/>
          <w:sz w:val="21"/>
          <w:szCs w:val="21"/>
        </w:rPr>
        <w:t>期间，基金份额共募集</w:t>
      </w:r>
      <w:bookmarkStart w:id="74" w:name="field_58_raisetotal_1"/>
      <w:r>
        <w:rPr>
          <w:sz w:val="21"/>
          <w:szCs w:val="21"/>
        </w:rPr>
        <w:t>3,689,271,695.00</w:t>
      </w:r>
      <w:bookmarkEnd w:id="74"/>
      <w:r>
        <w:rPr>
          <w:rFonts w:hint="eastAsia"/>
          <w:sz w:val="21"/>
          <w:szCs w:val="21"/>
        </w:rPr>
        <w:t>份（含利息结转的份额），募集有效认购总户数为</w:t>
      </w:r>
      <w:bookmarkStart w:id="75" w:name="field_58_effectivetotal_1"/>
      <w:r>
        <w:rPr>
          <w:sz w:val="21"/>
          <w:szCs w:val="21"/>
        </w:rPr>
        <w:t>2,970</w:t>
      </w:r>
      <w:bookmarkEnd w:id="75"/>
      <w:r>
        <w:rPr>
          <w:rFonts w:hint="eastAsia"/>
          <w:sz w:val="21"/>
          <w:szCs w:val="21"/>
        </w:rPr>
        <w:t xml:space="preserve">户。 </w:t>
      </w:r>
    </w:p>
    <w:p w14:paraId="3CDC11BB">
      <w:pPr>
        <w:pStyle w:val="7"/>
        <w:spacing w:before="0" w:beforeAutospacing="0" w:after="0" w:afterAutospacing="0" w:line="360" w:lineRule="auto"/>
        <w:ind w:firstLine="420"/>
        <w:rPr>
          <w:sz w:val="21"/>
          <w:szCs w:val="21"/>
        </w:rPr>
      </w:pPr>
      <w:r>
        <w:rPr>
          <w:rFonts w:hint="eastAsia"/>
          <w:sz w:val="21"/>
          <w:szCs w:val="21"/>
        </w:rPr>
        <w:t>本基金的运作方式为</w:t>
      </w:r>
      <w:bookmarkStart w:id="76" w:name="field_58_operation_1"/>
      <w:r>
        <w:rPr>
          <w:rFonts w:hint="eastAsia"/>
          <w:sz w:val="21"/>
          <w:szCs w:val="21"/>
        </w:rPr>
        <w:t>交易型开放式</w:t>
      </w:r>
      <w:bookmarkEnd w:id="76"/>
      <w:r>
        <w:rPr>
          <w:rFonts w:hint="eastAsia"/>
          <w:sz w:val="21"/>
          <w:szCs w:val="21"/>
        </w:rPr>
        <w:t>，存续期间为</w:t>
      </w:r>
      <w:bookmarkStart w:id="77" w:name="field_58_duration_1"/>
      <w:r>
        <w:rPr>
          <w:rFonts w:hint="eastAsia"/>
          <w:sz w:val="21"/>
          <w:szCs w:val="21"/>
        </w:rPr>
        <w:t>不定期</w:t>
      </w:r>
      <w:bookmarkEnd w:id="77"/>
      <w:r>
        <w:rPr>
          <w:rFonts w:hint="eastAsia"/>
          <w:sz w:val="21"/>
          <w:szCs w:val="21"/>
        </w:rPr>
        <w:t xml:space="preserve">。 </w:t>
      </w:r>
    </w:p>
    <w:p w14:paraId="39DCC8CA">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2B30CB01">
      <w:pPr>
        <w:pStyle w:val="7"/>
        <w:spacing w:before="0" w:beforeAutospacing="0" w:after="0" w:afterAutospacing="0" w:line="360" w:lineRule="auto"/>
        <w:ind w:firstLine="420"/>
        <w:rPr>
          <w:sz w:val="21"/>
          <w:szCs w:val="21"/>
        </w:rPr>
      </w:pPr>
      <w:bookmarkStart w:id="78" w:name="chapter_level1_9_58_section_1_end"/>
      <w:bookmarkEnd w:id="78"/>
      <w:r>
        <w:rPr>
          <w:rFonts w:hint="eastAsia"/>
          <w:sz w:val="21"/>
          <w:szCs w:val="21"/>
        </w:rPr>
        <w:t>本基金的基金合同已于</w:t>
      </w:r>
      <w:bookmarkStart w:id="79" w:name="field_0_foundday_1"/>
      <w:r>
        <w:rPr>
          <w:sz w:val="21"/>
          <w:szCs w:val="21"/>
        </w:rPr>
        <w:t>2022年8月15日</w:t>
      </w:r>
      <w:bookmarkEnd w:id="79"/>
      <w:r>
        <w:rPr>
          <w:rFonts w:hint="eastAsia"/>
          <w:sz w:val="21"/>
          <w:szCs w:val="21"/>
        </w:rPr>
        <w:t xml:space="preserve">正式生效。 </w:t>
      </w:r>
    </w:p>
    <w:p w14:paraId="0416F07A">
      <w:pPr>
        <w:pStyle w:val="7"/>
        <w:spacing w:before="0" w:beforeAutospacing="0" w:after="0" w:afterAutospacing="0" w:line="360" w:lineRule="auto"/>
        <w:ind w:firstLine="420"/>
        <w:rPr>
          <w:sz w:val="21"/>
          <w:szCs w:val="21"/>
        </w:rPr>
      </w:pPr>
      <w:bookmarkStart w:id="80" w:name="chapter_level1_9_58_section_2"/>
      <w:bookmarkEnd w:id="80"/>
      <w:r>
        <w:rPr>
          <w:rStyle w:val="11"/>
          <w:rFonts w:hint="eastAsia"/>
          <w:sz w:val="21"/>
          <w:szCs w:val="21"/>
        </w:rPr>
        <w:t>三、基金存续期内的基金份额持有人数量和资产规模</w:t>
      </w:r>
    </w:p>
    <w:p w14:paraId="009B05D3">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14:paraId="0A49994C">
      <w:pPr>
        <w:pStyle w:val="7"/>
        <w:spacing w:before="0" w:beforeAutospacing="0" w:after="0" w:afterAutospacing="0" w:line="360" w:lineRule="auto"/>
        <w:ind w:firstLine="420"/>
        <w:rPr>
          <w:sz w:val="21"/>
          <w:szCs w:val="21"/>
        </w:rPr>
      </w:pPr>
      <w:bookmarkStart w:id="81" w:name="chapter_level1_9_58_section_2_end"/>
      <w:bookmarkEnd w:id="81"/>
      <w:r>
        <w:rPr>
          <w:rFonts w:hint="eastAsia"/>
          <w:sz w:val="21"/>
          <w:szCs w:val="21"/>
        </w:rPr>
        <w:t xml:space="preserve">法律法规或中国证监会另有规定时，从其规定。 </w:t>
      </w:r>
    </w:p>
    <w:p w14:paraId="7FF1BD31">
      <w:pPr>
        <w:widowControl/>
        <w:jc w:val="left"/>
        <w:rPr>
          <w:rFonts w:ascii="宋体" w:hAnsi="宋体" w:eastAsia="宋体"/>
        </w:rPr>
      </w:pPr>
      <w:r>
        <w:rPr>
          <w:rFonts w:ascii="宋体" w:hAnsi="宋体" w:eastAsia="宋体"/>
        </w:rPr>
        <w:br w:type="page"/>
      </w:r>
    </w:p>
    <w:p w14:paraId="22FD0129">
      <w:pPr>
        <w:pStyle w:val="2"/>
        <w:jc w:val="center"/>
        <w:rPr>
          <w:rFonts w:ascii="宋体" w:hAnsi="宋体" w:eastAsia="宋体"/>
          <w:sz w:val="30"/>
        </w:rPr>
      </w:pPr>
      <w:bookmarkStart w:id="82" w:name="_Toc207986787"/>
      <w:bookmarkStart w:id="83" w:name="chapter_level1_10_74979"/>
      <w:r>
        <w:rPr>
          <w:rFonts w:hint="eastAsia" w:ascii="宋体" w:hAnsi="宋体" w:eastAsia="宋体"/>
          <w:sz w:val="30"/>
        </w:rPr>
        <w:t>第七部分  基金的份额折算与变更登记</w:t>
      </w:r>
      <w:bookmarkEnd w:id="82"/>
      <w:bookmarkEnd w:id="83"/>
    </w:p>
    <w:p w14:paraId="658244E4">
      <w:pPr>
        <w:pStyle w:val="7"/>
        <w:spacing w:before="0" w:beforeAutospacing="0" w:after="0" w:afterAutospacing="0" w:line="360" w:lineRule="auto"/>
        <w:ind w:firstLine="420"/>
        <w:rPr>
          <w:sz w:val="21"/>
          <w:szCs w:val="21"/>
        </w:rPr>
      </w:pPr>
      <w:bookmarkStart w:id="84" w:name="chapter_level1_10_74979_section_1"/>
      <w:bookmarkEnd w:id="84"/>
      <w:r>
        <w:rPr>
          <w:rFonts w:hint="eastAsia"/>
          <w:sz w:val="21"/>
          <w:szCs w:val="21"/>
        </w:rPr>
        <w:t xml:space="preserve">基金合同生效后，本基金可以进行份额折算。 </w:t>
      </w:r>
    </w:p>
    <w:p w14:paraId="3A5D9895">
      <w:pPr>
        <w:pStyle w:val="7"/>
        <w:spacing w:before="0" w:beforeAutospacing="0" w:after="0" w:afterAutospacing="0" w:line="360" w:lineRule="auto"/>
        <w:ind w:firstLine="420"/>
        <w:rPr>
          <w:sz w:val="21"/>
          <w:szCs w:val="21"/>
        </w:rPr>
      </w:pPr>
      <w:r>
        <w:rPr>
          <w:rStyle w:val="11"/>
          <w:rFonts w:hint="eastAsia"/>
          <w:sz w:val="21"/>
          <w:szCs w:val="21"/>
        </w:rPr>
        <w:t>一、基金份额折算的时间</w:t>
      </w:r>
    </w:p>
    <w:p w14:paraId="780D1198">
      <w:pPr>
        <w:pStyle w:val="7"/>
        <w:spacing w:before="0" w:beforeAutospacing="0" w:after="0" w:afterAutospacing="0" w:line="360" w:lineRule="auto"/>
        <w:ind w:firstLine="420"/>
        <w:rPr>
          <w:sz w:val="21"/>
          <w:szCs w:val="21"/>
        </w:rPr>
      </w:pPr>
      <w:r>
        <w:rPr>
          <w:rFonts w:hint="eastAsia"/>
          <w:sz w:val="21"/>
          <w:szCs w:val="21"/>
        </w:rPr>
        <w:t xml:space="preserve">基金管理人应事先确定基金份额折算日，并依照《信息披露办法》的有关规定进行公告。 </w:t>
      </w:r>
    </w:p>
    <w:p w14:paraId="5370AA92">
      <w:pPr>
        <w:pStyle w:val="7"/>
        <w:spacing w:before="0" w:beforeAutospacing="0" w:after="0" w:afterAutospacing="0" w:line="360" w:lineRule="auto"/>
        <w:ind w:firstLine="420"/>
        <w:rPr>
          <w:sz w:val="21"/>
          <w:szCs w:val="21"/>
        </w:rPr>
      </w:pPr>
      <w:r>
        <w:rPr>
          <w:rStyle w:val="11"/>
          <w:rFonts w:hint="eastAsia"/>
          <w:sz w:val="21"/>
          <w:szCs w:val="21"/>
        </w:rPr>
        <w:t>二、基金份额折算的原则</w:t>
      </w:r>
    </w:p>
    <w:p w14:paraId="3FB934BB">
      <w:pPr>
        <w:pStyle w:val="7"/>
        <w:spacing w:before="0" w:beforeAutospacing="0" w:after="0" w:afterAutospacing="0" w:line="360" w:lineRule="auto"/>
        <w:ind w:firstLine="420"/>
        <w:rPr>
          <w:sz w:val="21"/>
          <w:szCs w:val="21"/>
        </w:rPr>
      </w:pPr>
      <w:r>
        <w:rPr>
          <w:rFonts w:hint="eastAsia"/>
          <w:sz w:val="21"/>
          <w:szCs w:val="21"/>
        </w:rPr>
        <w:t xml:space="preserve">基金份额折算由基金管理人向登记机构申请办理，并由登记机构进行基金份额的变更登记。基金份额折算的比例和具体安排见基金管理人届时发布的相关公告。 </w:t>
      </w:r>
    </w:p>
    <w:p w14:paraId="2E7F490C">
      <w:pPr>
        <w:pStyle w:val="7"/>
        <w:spacing w:before="0" w:beforeAutospacing="0" w:after="0" w:afterAutospacing="0" w:line="360" w:lineRule="auto"/>
        <w:ind w:firstLine="420"/>
        <w:rPr>
          <w:sz w:val="21"/>
          <w:szCs w:val="21"/>
        </w:rPr>
      </w:pPr>
      <w:r>
        <w:rPr>
          <w:rFonts w:hint="eastAsia"/>
          <w:sz w:val="21"/>
          <w:szCs w:val="21"/>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 </w:t>
      </w:r>
    </w:p>
    <w:p w14:paraId="6D8940AC">
      <w:pPr>
        <w:pStyle w:val="7"/>
        <w:spacing w:before="0" w:beforeAutospacing="0" w:after="0" w:afterAutospacing="0" w:line="360" w:lineRule="auto"/>
        <w:ind w:firstLine="420"/>
        <w:rPr>
          <w:sz w:val="21"/>
          <w:szCs w:val="21"/>
        </w:rPr>
      </w:pPr>
      <w:r>
        <w:rPr>
          <w:rFonts w:hint="eastAsia"/>
          <w:sz w:val="21"/>
          <w:szCs w:val="21"/>
        </w:rPr>
        <w:t xml:space="preserve">如果基金份额折算过程中发生不可抗力等特殊情形，基金管理人可延迟办理基金份额折算。 </w:t>
      </w:r>
    </w:p>
    <w:p w14:paraId="02E63D3D">
      <w:pPr>
        <w:pStyle w:val="7"/>
        <w:spacing w:before="0" w:beforeAutospacing="0" w:after="0" w:afterAutospacing="0" w:line="360" w:lineRule="auto"/>
        <w:ind w:firstLine="420"/>
        <w:rPr>
          <w:sz w:val="21"/>
          <w:szCs w:val="21"/>
        </w:rPr>
      </w:pPr>
      <w:r>
        <w:rPr>
          <w:rStyle w:val="11"/>
          <w:rFonts w:hint="eastAsia"/>
          <w:sz w:val="21"/>
          <w:szCs w:val="21"/>
        </w:rPr>
        <w:t>三、基金份额折算的方法</w:t>
      </w:r>
    </w:p>
    <w:p w14:paraId="6B97EE87">
      <w:pPr>
        <w:pStyle w:val="7"/>
        <w:spacing w:before="0" w:beforeAutospacing="0" w:after="0" w:afterAutospacing="0" w:line="360" w:lineRule="auto"/>
        <w:ind w:firstLine="420"/>
        <w:rPr>
          <w:sz w:val="21"/>
          <w:szCs w:val="21"/>
        </w:rPr>
      </w:pPr>
      <w:bookmarkStart w:id="85" w:name="chapter_level1_10_74979_section_1_end"/>
      <w:bookmarkEnd w:id="85"/>
      <w:r>
        <w:rPr>
          <w:rFonts w:hint="eastAsia"/>
          <w:sz w:val="21"/>
          <w:szCs w:val="21"/>
        </w:rPr>
        <w:t xml:space="preserve">基金份额折算的具体方法在份额折算公告中列示。 </w:t>
      </w:r>
    </w:p>
    <w:p w14:paraId="05A340EC">
      <w:pPr>
        <w:widowControl/>
        <w:jc w:val="left"/>
        <w:rPr>
          <w:rFonts w:ascii="宋体" w:hAnsi="宋体" w:eastAsia="宋体"/>
        </w:rPr>
      </w:pPr>
      <w:r>
        <w:rPr>
          <w:rFonts w:ascii="宋体" w:hAnsi="宋体" w:eastAsia="宋体"/>
        </w:rPr>
        <w:br w:type="page"/>
      </w:r>
    </w:p>
    <w:p w14:paraId="2C72404B">
      <w:pPr>
        <w:pStyle w:val="2"/>
        <w:jc w:val="center"/>
        <w:rPr>
          <w:rFonts w:ascii="宋体" w:hAnsi="宋体" w:eastAsia="宋体"/>
          <w:sz w:val="30"/>
        </w:rPr>
      </w:pPr>
      <w:bookmarkStart w:id="86" w:name="chapter_level1_11_74980"/>
      <w:bookmarkStart w:id="87" w:name="_Toc207986788"/>
      <w:r>
        <w:rPr>
          <w:rFonts w:hint="eastAsia" w:ascii="宋体" w:hAnsi="宋体" w:eastAsia="宋体"/>
          <w:sz w:val="30"/>
        </w:rPr>
        <w:t>第八部分  基金份额的上市交易</w:t>
      </w:r>
      <w:bookmarkEnd w:id="86"/>
      <w:bookmarkEnd w:id="87"/>
    </w:p>
    <w:p w14:paraId="1DF1D24A">
      <w:pPr>
        <w:pStyle w:val="7"/>
        <w:spacing w:before="0" w:beforeAutospacing="0" w:after="0" w:afterAutospacing="0" w:line="360" w:lineRule="auto"/>
        <w:ind w:firstLine="420"/>
        <w:rPr>
          <w:sz w:val="21"/>
          <w:szCs w:val="21"/>
        </w:rPr>
      </w:pPr>
      <w:bookmarkStart w:id="88" w:name="chapter_level1_11_74980_section_1"/>
      <w:bookmarkEnd w:id="88"/>
      <w:r>
        <w:rPr>
          <w:rStyle w:val="11"/>
          <w:rFonts w:hint="eastAsia"/>
          <w:sz w:val="21"/>
          <w:szCs w:val="21"/>
        </w:rPr>
        <w:t>一、基金上市</w:t>
      </w:r>
    </w:p>
    <w:p w14:paraId="3FA6DBAB">
      <w:pPr>
        <w:pStyle w:val="7"/>
        <w:spacing w:before="0" w:beforeAutospacing="0" w:after="0" w:afterAutospacing="0" w:line="360" w:lineRule="auto"/>
        <w:ind w:firstLine="420"/>
        <w:rPr>
          <w:sz w:val="21"/>
          <w:szCs w:val="21"/>
        </w:rPr>
      </w:pPr>
      <w:r>
        <w:rPr>
          <w:rFonts w:hint="eastAsia"/>
          <w:sz w:val="21"/>
          <w:szCs w:val="21"/>
        </w:rPr>
        <w:t xml:space="preserve">本基金于2022年9月9日起在深圳证券交易所上市交易，交易代码：159623。 </w:t>
      </w:r>
    </w:p>
    <w:p w14:paraId="7A732625">
      <w:pPr>
        <w:pStyle w:val="7"/>
        <w:spacing w:before="0" w:beforeAutospacing="0" w:after="0" w:afterAutospacing="0" w:line="360" w:lineRule="auto"/>
        <w:ind w:firstLine="420"/>
        <w:rPr>
          <w:sz w:val="21"/>
          <w:szCs w:val="21"/>
        </w:rPr>
      </w:pPr>
      <w:r>
        <w:rPr>
          <w:rStyle w:val="11"/>
          <w:rFonts w:hint="eastAsia"/>
          <w:sz w:val="21"/>
          <w:szCs w:val="21"/>
        </w:rPr>
        <w:t>二、基金份额的上市交易</w:t>
      </w:r>
    </w:p>
    <w:p w14:paraId="2C77884C">
      <w:pPr>
        <w:pStyle w:val="7"/>
        <w:spacing w:before="0" w:beforeAutospacing="0" w:after="0" w:afterAutospacing="0" w:line="360" w:lineRule="auto"/>
        <w:ind w:firstLine="420"/>
        <w:rPr>
          <w:sz w:val="21"/>
          <w:szCs w:val="21"/>
        </w:rPr>
      </w:pPr>
      <w:r>
        <w:rPr>
          <w:rFonts w:hint="eastAsia"/>
          <w:sz w:val="21"/>
          <w:szCs w:val="21"/>
        </w:rPr>
        <w:t xml:space="preserve">基金份额在深圳证券交易所的上市交易应遵照《深圳证券交易所交易规则》、《深圳证券交易所证券投资基金上市规则》、《深圳证券交易所证券投资基金交易和申购赎回实施细则》等有关规定。 </w:t>
      </w:r>
    </w:p>
    <w:p w14:paraId="1F82F734">
      <w:pPr>
        <w:pStyle w:val="7"/>
        <w:spacing w:before="0" w:beforeAutospacing="0" w:after="0" w:afterAutospacing="0" w:line="360" w:lineRule="auto"/>
        <w:ind w:firstLine="420"/>
        <w:rPr>
          <w:sz w:val="21"/>
          <w:szCs w:val="21"/>
        </w:rPr>
      </w:pPr>
      <w:r>
        <w:rPr>
          <w:rStyle w:val="11"/>
          <w:rFonts w:hint="eastAsia"/>
          <w:sz w:val="21"/>
          <w:szCs w:val="21"/>
        </w:rPr>
        <w:t>三、停复牌、暂停上市、恢复上市或终止上市的情形和处理方式</w:t>
      </w:r>
    </w:p>
    <w:p w14:paraId="57E38FF5">
      <w:pPr>
        <w:pStyle w:val="7"/>
        <w:spacing w:before="0" w:beforeAutospacing="0" w:after="0" w:afterAutospacing="0" w:line="360" w:lineRule="auto"/>
        <w:ind w:firstLine="420"/>
        <w:rPr>
          <w:sz w:val="21"/>
          <w:szCs w:val="21"/>
        </w:rPr>
      </w:pPr>
      <w:r>
        <w:rPr>
          <w:rFonts w:hint="eastAsia"/>
          <w:sz w:val="21"/>
          <w:szCs w:val="21"/>
        </w:rPr>
        <w:t xml:space="preserve">本基金份额在深圳证券交易所上市后，如遇停复牌、暂停上市、恢复上市或终止上市的情形，按照《深圳证券交易所证券投资基金上市规则》的相关规定执行。 </w:t>
      </w:r>
    </w:p>
    <w:p w14:paraId="7CD7EC68">
      <w:pPr>
        <w:pStyle w:val="7"/>
        <w:spacing w:before="0" w:beforeAutospacing="0" w:after="0" w:afterAutospacing="0" w:line="360" w:lineRule="auto"/>
        <w:ind w:firstLine="420"/>
        <w:rPr>
          <w:sz w:val="21"/>
          <w:szCs w:val="21"/>
        </w:rPr>
      </w:pPr>
      <w:r>
        <w:rPr>
          <w:rStyle w:val="11"/>
          <w:rFonts w:hint="eastAsia"/>
          <w:sz w:val="21"/>
          <w:szCs w:val="21"/>
        </w:rPr>
        <w:t>四、基金份额参考净值的计算与公告</w:t>
      </w:r>
    </w:p>
    <w:p w14:paraId="60371BB7">
      <w:pPr>
        <w:pStyle w:val="7"/>
        <w:spacing w:before="0" w:beforeAutospacing="0" w:after="0" w:afterAutospacing="0" w:line="360" w:lineRule="auto"/>
        <w:ind w:firstLine="420"/>
        <w:rPr>
          <w:sz w:val="21"/>
          <w:szCs w:val="21"/>
        </w:rPr>
      </w:pPr>
      <w:r>
        <w:rPr>
          <w:rFonts w:hint="eastAsia"/>
          <w:sz w:val="21"/>
          <w:szCs w:val="21"/>
        </w:rPr>
        <w:t xml:space="preserve">基金管理人在每一个交易日开市前向深圳证券交易所提供当日的申购赎回清单，本基金基金份额参考净值（IOPV）由基金管理人或基金管理人委托的机构计算，并交由深圳证券交易所对外公布，仅供投资人交易、申购、赎回基金份额时参考。 </w:t>
      </w:r>
    </w:p>
    <w:p w14:paraId="0C4BAD59">
      <w:pPr>
        <w:pStyle w:val="7"/>
        <w:spacing w:before="0" w:beforeAutospacing="0" w:after="0" w:afterAutospacing="0" w:line="360" w:lineRule="auto"/>
        <w:ind w:firstLine="420"/>
        <w:rPr>
          <w:sz w:val="21"/>
          <w:szCs w:val="21"/>
        </w:rPr>
      </w:pPr>
      <w:r>
        <w:rPr>
          <w:rFonts w:hint="eastAsia"/>
          <w:sz w:val="21"/>
          <w:szCs w:val="21"/>
        </w:rPr>
        <w:t xml:space="preserve">（1）基金份额参考净值的计算公式： </w:t>
      </w:r>
    </w:p>
    <w:p w14:paraId="1D692F77">
      <w:pPr>
        <w:pStyle w:val="7"/>
        <w:spacing w:before="0" w:beforeAutospacing="0" w:after="0" w:afterAutospacing="0" w:line="360" w:lineRule="auto"/>
        <w:ind w:firstLine="420"/>
        <w:rPr>
          <w:sz w:val="21"/>
          <w:szCs w:val="21"/>
        </w:rPr>
      </w:pPr>
      <w:r>
        <w:rPr>
          <w:rFonts w:hint="eastAsia"/>
          <w:sz w:val="21"/>
          <w:szCs w:val="21"/>
        </w:rPr>
        <w:t xml:space="preserve">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差额）／最小申购、赎回单位所对应的基金份额 </w:t>
      </w:r>
    </w:p>
    <w:p w14:paraId="79599DE9">
      <w:pPr>
        <w:pStyle w:val="7"/>
        <w:spacing w:before="0" w:beforeAutospacing="0" w:after="0" w:afterAutospacing="0" w:line="360" w:lineRule="auto"/>
        <w:ind w:firstLine="420"/>
        <w:rPr>
          <w:sz w:val="21"/>
          <w:szCs w:val="21"/>
        </w:rPr>
      </w:pPr>
      <w:r>
        <w:rPr>
          <w:rFonts w:hint="eastAsia"/>
          <w:sz w:val="21"/>
          <w:szCs w:val="21"/>
        </w:rPr>
        <w:t xml:space="preserve">（2）基金份额参考净值的计算以四舍五入的方法保留小数点后4位，若基金管理人或者基金管理人委托的其他机构调整有关基金份额参考净值保留位数，本基金将进行相应调整。 </w:t>
      </w:r>
    </w:p>
    <w:p w14:paraId="3E618F03">
      <w:pPr>
        <w:pStyle w:val="7"/>
        <w:spacing w:before="0" w:beforeAutospacing="0" w:after="0" w:afterAutospacing="0" w:line="360" w:lineRule="auto"/>
        <w:ind w:firstLine="420"/>
        <w:rPr>
          <w:sz w:val="21"/>
          <w:szCs w:val="21"/>
        </w:rPr>
      </w:pPr>
      <w:r>
        <w:rPr>
          <w:rFonts w:hint="eastAsia"/>
          <w:sz w:val="21"/>
          <w:szCs w:val="21"/>
        </w:rPr>
        <w:t xml:space="preserve">（3）基金管理人可以调整基金份额参考净值的计算公式，并予以公告。如深圳证券交易所对基金份额参考净值的计算方法另有规定的，从其规定。 </w:t>
      </w:r>
    </w:p>
    <w:p w14:paraId="3AA45DBA">
      <w:pPr>
        <w:pStyle w:val="7"/>
        <w:spacing w:before="0" w:beforeAutospacing="0" w:after="0" w:afterAutospacing="0" w:line="360" w:lineRule="auto"/>
        <w:ind w:firstLine="420"/>
        <w:rPr>
          <w:sz w:val="21"/>
          <w:szCs w:val="21"/>
        </w:rPr>
      </w:pPr>
      <w:r>
        <w:rPr>
          <w:rStyle w:val="11"/>
          <w:rFonts w:hint="eastAsia"/>
          <w:sz w:val="21"/>
          <w:szCs w:val="21"/>
        </w:rPr>
        <w:t>五、其他</w:t>
      </w:r>
    </w:p>
    <w:p w14:paraId="7705FA59">
      <w:pPr>
        <w:pStyle w:val="7"/>
        <w:spacing w:before="0" w:beforeAutospacing="0" w:after="0" w:afterAutospacing="0" w:line="360" w:lineRule="auto"/>
        <w:ind w:firstLine="420"/>
        <w:rPr>
          <w:sz w:val="21"/>
          <w:szCs w:val="21"/>
        </w:rPr>
      </w:pPr>
      <w:r>
        <w:rPr>
          <w:rFonts w:hint="eastAsia"/>
          <w:sz w:val="21"/>
          <w:szCs w:val="21"/>
        </w:rPr>
        <w:t xml:space="preserve">若深圳证券交易所、中国证券登记结算有限责任公司增加了基金上市交易的新功能，本基金管理人可以在履行适当的程序后增加相应功能。 </w:t>
      </w:r>
    </w:p>
    <w:p w14:paraId="0520871F">
      <w:pPr>
        <w:pStyle w:val="7"/>
        <w:spacing w:before="0" w:beforeAutospacing="0" w:after="0" w:afterAutospacing="0" w:line="360" w:lineRule="auto"/>
        <w:ind w:firstLine="420"/>
        <w:rPr>
          <w:sz w:val="21"/>
          <w:szCs w:val="21"/>
        </w:rPr>
      </w:pPr>
      <w:r>
        <w:rPr>
          <w:rFonts w:hint="eastAsia"/>
          <w:sz w:val="21"/>
          <w:szCs w:val="21"/>
        </w:rPr>
        <w:t xml:space="preserve">相关法律法规、中国证监会、登记机构或深圳证券交易所对基金上市交易的规则等相关规定内容进行调整的，本基金按照新规定执行，若由此需要对基金合同进行修订的，无须召开基金份额持有人大会。 </w:t>
      </w:r>
    </w:p>
    <w:p w14:paraId="6350BB3F">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在不违反法律法规且对基金份额持有人利益无实质不利影响的前提下，本基金可以申请</w:t>
      </w:r>
      <w:bookmarkStart w:id="89" w:name="chapter_level1_11_74980_section_1_end"/>
      <w:bookmarkEnd w:id="89"/>
      <w:r>
        <w:rPr>
          <w:rFonts w:hint="eastAsia"/>
          <w:sz w:val="21"/>
          <w:szCs w:val="21"/>
        </w:rPr>
        <w:t xml:space="preserve">在包括境外交易所在内的其他证券交易所上市交易，而无需召开基金份额持有人大会。 </w:t>
      </w:r>
    </w:p>
    <w:p w14:paraId="18F9725D">
      <w:pPr>
        <w:widowControl/>
        <w:jc w:val="left"/>
        <w:rPr>
          <w:rFonts w:ascii="宋体" w:hAnsi="宋体" w:eastAsia="宋体"/>
        </w:rPr>
      </w:pPr>
      <w:r>
        <w:rPr>
          <w:rFonts w:ascii="宋体" w:hAnsi="宋体" w:eastAsia="宋体"/>
        </w:rPr>
        <w:br w:type="page"/>
      </w:r>
    </w:p>
    <w:p w14:paraId="747BA736">
      <w:pPr>
        <w:pStyle w:val="2"/>
        <w:jc w:val="center"/>
        <w:rPr>
          <w:rFonts w:ascii="宋体" w:hAnsi="宋体" w:eastAsia="宋体"/>
          <w:sz w:val="30"/>
        </w:rPr>
      </w:pPr>
      <w:bookmarkStart w:id="90" w:name="chapter_level1_12_59"/>
      <w:bookmarkStart w:id="91" w:name="_Toc207986789"/>
      <w:r>
        <w:rPr>
          <w:rFonts w:hint="eastAsia" w:ascii="宋体" w:hAnsi="宋体" w:eastAsia="宋体"/>
          <w:sz w:val="30"/>
        </w:rPr>
        <w:t>第九部分  基金份额的申购与赎回</w:t>
      </w:r>
      <w:bookmarkEnd w:id="90"/>
      <w:bookmarkEnd w:id="91"/>
    </w:p>
    <w:p w14:paraId="5B002D72">
      <w:pPr>
        <w:pStyle w:val="7"/>
        <w:spacing w:before="0" w:beforeAutospacing="0" w:after="0" w:afterAutospacing="0" w:line="360" w:lineRule="auto"/>
        <w:ind w:firstLine="420"/>
        <w:rPr>
          <w:sz w:val="21"/>
          <w:szCs w:val="21"/>
        </w:rPr>
      </w:pPr>
      <w:bookmarkStart w:id="92" w:name="chapter_level1_12_59_section_1"/>
      <w:bookmarkEnd w:id="92"/>
      <w:r>
        <w:rPr>
          <w:rStyle w:val="11"/>
          <w:rFonts w:hint="eastAsia"/>
          <w:sz w:val="21"/>
          <w:szCs w:val="21"/>
        </w:rPr>
        <w:t>一、申购和赎回场所</w:t>
      </w:r>
    </w:p>
    <w:p w14:paraId="630653F2">
      <w:pPr>
        <w:pStyle w:val="7"/>
        <w:spacing w:before="0" w:beforeAutospacing="0" w:after="0" w:afterAutospacing="0" w:line="360" w:lineRule="auto"/>
        <w:ind w:firstLine="420"/>
        <w:rPr>
          <w:sz w:val="21"/>
          <w:szCs w:val="21"/>
        </w:rPr>
      </w:pPr>
      <w:r>
        <w:rPr>
          <w:rFonts w:hint="eastAsia"/>
          <w:sz w:val="21"/>
          <w:szCs w:val="21"/>
        </w:rPr>
        <w:t xml:space="preserve">本基金投资人应当通过申购、赎回代理券商办理基金申购、赎回业务的营业场所或按申购、赎回代理券商提供的其他方式办理本基金的申购和赎回。 </w:t>
      </w:r>
    </w:p>
    <w:p w14:paraId="0DE9BE2F">
      <w:pPr>
        <w:pStyle w:val="7"/>
        <w:spacing w:before="0" w:beforeAutospacing="0" w:after="0" w:afterAutospacing="0" w:line="360" w:lineRule="auto"/>
        <w:ind w:firstLine="420"/>
        <w:rPr>
          <w:sz w:val="21"/>
          <w:szCs w:val="21"/>
        </w:rPr>
      </w:pPr>
      <w:r>
        <w:rPr>
          <w:rFonts w:hint="eastAsia"/>
          <w:sz w:val="21"/>
          <w:szCs w:val="21"/>
        </w:rPr>
        <w:t xml:space="preserve">基金管理人在开始申购、赎回业务前公告申购、赎回代理券商的名单，并可依据实际情况变更申购、赎回代理券商并在基金管理人网站公示。基金管理人在确定、变更申购、赎回代理券商名单时，均应在公告之前报请深圳证券交易所认可。 </w:t>
      </w:r>
    </w:p>
    <w:p w14:paraId="3657C8DA">
      <w:pPr>
        <w:pStyle w:val="7"/>
        <w:spacing w:before="0" w:beforeAutospacing="0" w:after="0" w:afterAutospacing="0" w:line="360" w:lineRule="auto"/>
        <w:ind w:firstLine="420"/>
        <w:rPr>
          <w:sz w:val="21"/>
          <w:szCs w:val="21"/>
        </w:rPr>
      </w:pPr>
      <w:r>
        <w:rPr>
          <w:rFonts w:hint="eastAsia"/>
          <w:sz w:val="21"/>
          <w:szCs w:val="21"/>
        </w:rPr>
        <w:t>在法律法规、基金合同及未来条件允许的情况下，基金管理人直销机构可以开通申购赎</w:t>
      </w:r>
      <w:bookmarkStart w:id="93" w:name="chapter_level1_12_59_section_1_end"/>
      <w:bookmarkEnd w:id="93"/>
      <w:r>
        <w:rPr>
          <w:rFonts w:hint="eastAsia"/>
          <w:sz w:val="21"/>
          <w:szCs w:val="21"/>
        </w:rPr>
        <w:t xml:space="preserve">回业务，具体业务的办理时间及办理方式基金管理人将另行公告。 </w:t>
      </w:r>
    </w:p>
    <w:p w14:paraId="7CBA4539">
      <w:pPr>
        <w:pStyle w:val="7"/>
        <w:spacing w:before="0" w:beforeAutospacing="0" w:after="0" w:afterAutospacing="0" w:line="360" w:lineRule="auto"/>
        <w:ind w:firstLine="420"/>
        <w:rPr>
          <w:sz w:val="21"/>
          <w:szCs w:val="21"/>
        </w:rPr>
      </w:pPr>
      <w:bookmarkStart w:id="94" w:name="chapter_level1_12_59_section_2"/>
      <w:bookmarkEnd w:id="94"/>
      <w:r>
        <w:rPr>
          <w:rStyle w:val="11"/>
          <w:rFonts w:hint="eastAsia"/>
          <w:sz w:val="21"/>
          <w:szCs w:val="21"/>
        </w:rPr>
        <w:t>二、申购与赎回的开放日及时间</w:t>
      </w:r>
    </w:p>
    <w:p w14:paraId="39B3A697">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22B2E476">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4E67C494">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规定媒介上公告。 </w:t>
      </w:r>
    </w:p>
    <w:p w14:paraId="3E5BD753">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7756F9F">
      <w:pPr>
        <w:pStyle w:val="7"/>
        <w:spacing w:before="0" w:beforeAutospacing="0" w:after="0" w:afterAutospacing="0" w:line="360" w:lineRule="auto"/>
        <w:ind w:firstLine="420"/>
        <w:rPr>
          <w:sz w:val="21"/>
          <w:szCs w:val="21"/>
        </w:rPr>
      </w:pPr>
      <w:bookmarkStart w:id="95" w:name="chapter_level1_12_59_section_2_end"/>
      <w:bookmarkEnd w:id="95"/>
      <w:r>
        <w:rPr>
          <w:rFonts w:hint="eastAsia"/>
          <w:sz w:val="21"/>
          <w:szCs w:val="21"/>
        </w:rPr>
        <w:t xml:space="preserve">本基金已有2022年9月9日开放日常申购、赎回业务。 </w:t>
      </w:r>
    </w:p>
    <w:p w14:paraId="203C7316">
      <w:pPr>
        <w:pStyle w:val="7"/>
        <w:spacing w:before="0" w:beforeAutospacing="0" w:after="0" w:afterAutospacing="0" w:line="360" w:lineRule="auto"/>
        <w:ind w:firstLine="420"/>
        <w:rPr>
          <w:sz w:val="21"/>
          <w:szCs w:val="21"/>
        </w:rPr>
      </w:pPr>
      <w:bookmarkStart w:id="96" w:name="chapter_level1_12_59_section_3"/>
      <w:bookmarkEnd w:id="96"/>
      <w:r>
        <w:rPr>
          <w:rStyle w:val="11"/>
          <w:rFonts w:hint="eastAsia"/>
          <w:sz w:val="21"/>
          <w:szCs w:val="21"/>
        </w:rPr>
        <w:t>三、申购与赎回的原则</w:t>
      </w:r>
    </w:p>
    <w:p w14:paraId="11732DF3">
      <w:pPr>
        <w:pStyle w:val="7"/>
        <w:spacing w:before="0" w:beforeAutospacing="0" w:after="0" w:afterAutospacing="0" w:line="360" w:lineRule="auto"/>
        <w:ind w:firstLine="420"/>
        <w:rPr>
          <w:sz w:val="21"/>
          <w:szCs w:val="21"/>
        </w:rPr>
      </w:pPr>
      <w:r>
        <w:rPr>
          <w:rFonts w:hint="eastAsia"/>
          <w:sz w:val="21"/>
          <w:szCs w:val="21"/>
        </w:rPr>
        <w:t xml:space="preserve">1、“份额申购、份额赎回”原则，即申购、赎回均以份额申请； </w:t>
      </w:r>
    </w:p>
    <w:p w14:paraId="54441E00">
      <w:pPr>
        <w:pStyle w:val="7"/>
        <w:spacing w:before="0" w:beforeAutospacing="0" w:after="0" w:afterAutospacing="0" w:line="360" w:lineRule="auto"/>
        <w:ind w:firstLine="420"/>
        <w:rPr>
          <w:sz w:val="21"/>
          <w:szCs w:val="21"/>
        </w:rPr>
      </w:pPr>
      <w:r>
        <w:rPr>
          <w:rFonts w:hint="eastAsia"/>
          <w:sz w:val="21"/>
          <w:szCs w:val="21"/>
        </w:rPr>
        <w:t xml:space="preserve">2、本基金的申购对价、赎回对价包括组合证券、现金替代、现金差额和/或其他对价； </w:t>
      </w:r>
    </w:p>
    <w:p w14:paraId="6466D6ED">
      <w:pPr>
        <w:pStyle w:val="7"/>
        <w:spacing w:before="0" w:beforeAutospacing="0" w:after="0" w:afterAutospacing="0" w:line="360" w:lineRule="auto"/>
        <w:ind w:firstLine="420"/>
        <w:rPr>
          <w:sz w:val="21"/>
          <w:szCs w:val="21"/>
        </w:rPr>
      </w:pPr>
      <w:r>
        <w:rPr>
          <w:rFonts w:hint="eastAsia"/>
          <w:sz w:val="21"/>
          <w:szCs w:val="21"/>
        </w:rPr>
        <w:t xml:space="preserve">3、申购、赎回申请提交后不得撤销； </w:t>
      </w:r>
    </w:p>
    <w:p w14:paraId="6C35269E">
      <w:pPr>
        <w:pStyle w:val="7"/>
        <w:spacing w:before="0" w:beforeAutospacing="0" w:after="0" w:afterAutospacing="0" w:line="360" w:lineRule="auto"/>
        <w:ind w:firstLine="420"/>
        <w:rPr>
          <w:sz w:val="21"/>
          <w:szCs w:val="21"/>
        </w:rPr>
      </w:pPr>
      <w:r>
        <w:rPr>
          <w:rFonts w:hint="eastAsia"/>
          <w:sz w:val="21"/>
          <w:szCs w:val="21"/>
        </w:rPr>
        <w:t xml:space="preserve">4、申购、赎回应遵守业务规则及其他相关规定； </w:t>
      </w:r>
    </w:p>
    <w:p w14:paraId="69E80ADE">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D81F0F2">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基金管理人可在法律法规允许的情况下，对上述原则进行调整。基金管理人必须在新原则开始实施前依照《信息披露办法》的有关规定在规定媒介上公告。 </w:t>
      </w:r>
    </w:p>
    <w:p w14:paraId="15D080B7">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14:paraId="411DFD70">
      <w:pPr>
        <w:pStyle w:val="7"/>
        <w:spacing w:before="0" w:beforeAutospacing="0" w:after="0" w:afterAutospacing="0" w:line="360" w:lineRule="auto"/>
        <w:ind w:firstLine="420"/>
        <w:rPr>
          <w:sz w:val="21"/>
          <w:szCs w:val="21"/>
        </w:rPr>
      </w:pPr>
      <w:r>
        <w:rPr>
          <w:rFonts w:hint="eastAsia"/>
          <w:sz w:val="21"/>
          <w:szCs w:val="21"/>
        </w:rPr>
        <w:t xml:space="preserve">本基金按照深圳证券交易所及中国证券登记结算有限责任公司的相关规定进行申购、赎回，具体业务的办理时间请参见相关公告。本基金支持通过深圳证券交易所及/或通过登记机构的两种模式进行申购、赎回，两种模式分别适用不同的程序。本基金办理相关业务的时间及规定请参见相关公告。 </w:t>
      </w:r>
    </w:p>
    <w:p w14:paraId="251EF0DC">
      <w:pPr>
        <w:pStyle w:val="7"/>
        <w:spacing w:before="0" w:beforeAutospacing="0" w:after="0" w:afterAutospacing="0" w:line="360" w:lineRule="auto"/>
        <w:ind w:firstLine="420"/>
        <w:rPr>
          <w:sz w:val="21"/>
          <w:szCs w:val="21"/>
        </w:rPr>
      </w:pPr>
      <w:r>
        <w:rPr>
          <w:rFonts w:hint="eastAsia"/>
          <w:sz w:val="21"/>
          <w:szCs w:val="21"/>
        </w:rPr>
        <w:t xml:space="preserve">（一）通过深圳证券交易所申购赎回 </w:t>
      </w:r>
    </w:p>
    <w:p w14:paraId="0F76B8B0">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73580B01">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14:paraId="56F1860D">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赎回对价，则赎回成立，登记机构确认赎回时，赎回生效。投资人在提交申购申请时须按申购赎回清单的规定备足申购对价，投资人在提交赎回申请时须持有足够的基金份额余额和现金，否则所提交的申购、赎回申请不成立。 </w:t>
      </w:r>
    </w:p>
    <w:p w14:paraId="230A4680">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14:paraId="1DB3B54B">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或失败。 </w:t>
      </w:r>
    </w:p>
    <w:p w14:paraId="4683DA3D">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14:paraId="63DD97F3">
      <w:pPr>
        <w:pStyle w:val="7"/>
        <w:spacing w:before="0" w:beforeAutospacing="0" w:after="0" w:afterAutospacing="0" w:line="360" w:lineRule="auto"/>
        <w:ind w:firstLine="420"/>
        <w:rPr>
          <w:sz w:val="21"/>
          <w:szCs w:val="21"/>
        </w:rPr>
      </w:pPr>
      <w:r>
        <w:rPr>
          <w:rFonts w:hint="eastAsia"/>
          <w:sz w:val="21"/>
          <w:szCs w:val="21"/>
        </w:rPr>
        <w:t xml:space="preserve">在目前规则下，基金投资人申购的基金份额当日可竞价卖出，次一交易日可赎回；投资人赎回获得的股票当日可竞价卖出，次一交易日可以用于申购ETF份额。基金投资人申购的基金份额和赎回获得的股票均需完成交收后方可通过大宗交易卖出。 </w:t>
      </w:r>
    </w:p>
    <w:p w14:paraId="0319EE5B">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本基金管理人将根据新的业务规则新增或调整申购和赎回申请的确认方式，届时将发布公告予以披露并对本基金的基金合同和招募说明书予以更新，无须召开持有人大会审议。 </w:t>
      </w:r>
    </w:p>
    <w:p w14:paraId="4E602B64">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14:paraId="1CEFF6DA">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本基金申购赎回过程中涉及的组合证券和基金份额、现金替代、现金差额、现金替代退补款及其他对价的清算交收适用中国证券登记结算有限责任公司及相关证券交易所最新的相关规则。 </w:t>
      </w:r>
    </w:p>
    <w:p w14:paraId="71948FB9">
      <w:pPr>
        <w:pStyle w:val="7"/>
        <w:spacing w:before="0" w:beforeAutospacing="0" w:after="0" w:afterAutospacing="0" w:line="360" w:lineRule="auto"/>
        <w:ind w:firstLine="420"/>
        <w:rPr>
          <w:sz w:val="21"/>
          <w:szCs w:val="21"/>
        </w:rPr>
      </w:pPr>
      <w:r>
        <w:rPr>
          <w:rFonts w:hint="eastAsia"/>
          <w:sz w:val="21"/>
          <w:szCs w:val="21"/>
        </w:rPr>
        <w:t xml:space="preserve">对于本基金的申购业务采用净额结算的方式，即深圳证券交易所上市的成份股的现金替代及对应的上海证券交易所上市的成份股的现金替代、北京证券交易所上市的成份股的现金替代采用净额结算；对于本基金的赎回业务采用净额结算的方式，即深圳证券交易所上市的成份股的现金替代及上海证券交易所上市的成份股的现金替代、北京证券交易所上市的成份股的现金替代采用净额结算；本基金上述申购赎回业务涉及的现金差额和现金替代退补款采用代收代付。 </w:t>
      </w:r>
    </w:p>
    <w:p w14:paraId="21CA9558">
      <w:pPr>
        <w:pStyle w:val="7"/>
        <w:spacing w:before="0" w:beforeAutospacing="0" w:after="0" w:afterAutospacing="0" w:line="360" w:lineRule="auto"/>
        <w:ind w:firstLine="420"/>
        <w:rPr>
          <w:sz w:val="21"/>
          <w:szCs w:val="21"/>
        </w:rPr>
      </w:pPr>
      <w:r>
        <w:rPr>
          <w:rFonts w:hint="eastAsia"/>
          <w:sz w:val="21"/>
          <w:szCs w:val="21"/>
        </w:rPr>
        <w:t xml:space="preserve">投资者T日申购成功后，登记机构在T日收市后为投资者办理深圳证券交易所上市的成份股交收与基金份额的交收登记以及现金替代的清算；在T+2日内办理现金替代的交收以及现金差额的清算交收；并将结果发送给申购赎回代理券商、基金管理人和基金托管人。 </w:t>
      </w:r>
    </w:p>
    <w:p w14:paraId="4B874DE7">
      <w:pPr>
        <w:pStyle w:val="7"/>
        <w:spacing w:before="0" w:beforeAutospacing="0" w:after="0" w:afterAutospacing="0" w:line="360" w:lineRule="auto"/>
        <w:ind w:firstLine="420"/>
        <w:rPr>
          <w:sz w:val="21"/>
          <w:szCs w:val="21"/>
        </w:rPr>
      </w:pPr>
      <w:r>
        <w:rPr>
          <w:rFonts w:hint="eastAsia"/>
          <w:sz w:val="21"/>
          <w:szCs w:val="21"/>
        </w:rPr>
        <w:t xml:space="preserve">投资者T日赎回成功后，登记机构在T日收市后办理深圳证券交易所上市的成份股交收与基金份额的注销以及现金替代的清算；在T+2日内办理现金替代的交收以及现金差额的清算交收；并将结果发送给申购赎回代理券商、基金管理人和基金托管人。 </w:t>
      </w:r>
    </w:p>
    <w:p w14:paraId="54949B77">
      <w:pPr>
        <w:pStyle w:val="7"/>
        <w:spacing w:before="0" w:beforeAutospacing="0" w:after="0" w:afterAutospacing="0" w:line="360" w:lineRule="auto"/>
        <w:ind w:firstLine="420"/>
        <w:rPr>
          <w:sz w:val="21"/>
          <w:szCs w:val="21"/>
        </w:rPr>
      </w:pPr>
      <w:r>
        <w:rPr>
          <w:rFonts w:hint="eastAsia"/>
          <w:sz w:val="21"/>
          <w:szCs w:val="21"/>
        </w:rPr>
        <w:t xml:space="preserve">如果登记机构、基金管理人、申购赎回代理券商之间在清算交收时发现不能正常履约的情形，则依据相关业务规则的有关规定和其他相关约定进行处理。如相关业务规则发生变化，则按最新规定办理。 </w:t>
      </w:r>
    </w:p>
    <w:p w14:paraId="50FA1CD2">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 </w:t>
      </w:r>
    </w:p>
    <w:p w14:paraId="05A969E1">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本基金管理人有权调整本基金的清算交收与登记模式及申购、赎回方式，或新增本基金的清算交收与登记模式并引入新的申购、赎回方式，详见“十、基金清算交收与登记模式的调整或新增”。 </w:t>
      </w:r>
    </w:p>
    <w:p w14:paraId="3948AFD7">
      <w:pPr>
        <w:pStyle w:val="7"/>
        <w:spacing w:before="0" w:beforeAutospacing="0" w:after="0" w:afterAutospacing="0" w:line="360" w:lineRule="auto"/>
        <w:ind w:firstLine="420"/>
        <w:rPr>
          <w:sz w:val="21"/>
          <w:szCs w:val="21"/>
        </w:rPr>
      </w:pPr>
      <w:r>
        <w:rPr>
          <w:rFonts w:hint="eastAsia"/>
          <w:sz w:val="21"/>
          <w:szCs w:val="21"/>
        </w:rPr>
        <w:t xml:space="preserve">（二）通过登记机构申购赎回 </w:t>
      </w:r>
    </w:p>
    <w:p w14:paraId="1CDD1445">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1BB203FC">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14:paraId="2634AD98">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赎回对价，则赎回成立，登记机构确认赎回时，赎回生效。投资人在提交申购申请时须按申购赎回清单的规定备足申购对价，投资人在提交赎回申请时须持有足够的基金份额余额和现金，否则所提交的申购、赎回申请不成立。 </w:t>
      </w:r>
    </w:p>
    <w:p w14:paraId="60E64A4A">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14:paraId="7B81D1B5">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T+1日内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 </w:t>
      </w:r>
    </w:p>
    <w:p w14:paraId="6E55D3DD">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14:paraId="45CBE722">
      <w:pPr>
        <w:pStyle w:val="7"/>
        <w:spacing w:before="0" w:beforeAutospacing="0" w:after="0" w:afterAutospacing="0" w:line="360" w:lineRule="auto"/>
        <w:ind w:firstLine="420"/>
        <w:rPr>
          <w:sz w:val="21"/>
          <w:szCs w:val="21"/>
        </w:rPr>
      </w:pPr>
      <w:r>
        <w:rPr>
          <w:rFonts w:hint="eastAsia"/>
          <w:sz w:val="21"/>
          <w:szCs w:val="21"/>
        </w:rPr>
        <w:t xml:space="preserve">本基金基金份额申购申请、赎回申请的确认根据登记机构的相关规定办理，具体见本基金招募说明书。本基金获批后，若深圳证券交易所和中国证券登记结算有限责任公司针对跨市场交易型开放式指数证券投资基金推出新的清算交收与登记模式并引入新的申购、赎回方式，本基金管理人将根据新的业务规则新增或调整申购和赎回申请的确认方式，届时将发布公告予以披露并对本基金的基金合同和招募说明书予以更新，无须召开持有人大会审议。 </w:t>
      </w:r>
    </w:p>
    <w:p w14:paraId="63984802">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14:paraId="1AE8564F">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组合证券和基金份额交收适用中国证券登记结算有限责任公司及相关证券交易所最新的相关规则。本基金获批后，若深圳证券交易所和中国证券登记结算有限责任公司针对跨市场交易型开放式指数证券投资基金推出新的清算交收与登记模式并引入新的申购、赎回方式，本基金管理人有权调整本基金的清算交收与登记模式及申购、赎回方式，或新增本基金的清算交收与登记模式并引入新的申购、赎回方式，详见“十、基金清算交收与登记模式的调整或新增”。 </w:t>
      </w:r>
    </w:p>
    <w:p w14:paraId="5B914053">
      <w:pPr>
        <w:pStyle w:val="7"/>
        <w:spacing w:before="0" w:beforeAutospacing="0" w:after="0" w:afterAutospacing="0" w:line="360" w:lineRule="auto"/>
        <w:ind w:firstLine="420"/>
        <w:rPr>
          <w:sz w:val="21"/>
          <w:szCs w:val="21"/>
        </w:rPr>
      </w:pPr>
      <w:r>
        <w:rPr>
          <w:rFonts w:hint="eastAsia"/>
          <w:sz w:val="21"/>
          <w:szCs w:val="21"/>
        </w:rPr>
        <w:t xml:space="preserve">T+1日，登记机构根据基金管理人对申购、赎回申请的确认信息，为投资者办理组合证券、基金份额的清算交收，并将结果发送给相关证券交易所、申购赎回代理券商、基金管理人和基金托管人。通常情况下，投资者T日申购所得的基金份额、赎回所得的组合证券在T+2日可用。现金替代和现金差额由基金管理人与申购赎回代理券商于T+2日内进行清算交收，登记机构可以依据相关规则对此提供代收代付服务并完成交收。对于确认失败的申请，登记机构将对冻结的组合证券和基金份额予以解冻，申购赎回代理券商将对冻结的资金予以解冻。 </w:t>
      </w:r>
    </w:p>
    <w:p w14:paraId="521AAD31">
      <w:pPr>
        <w:pStyle w:val="7"/>
        <w:spacing w:before="0" w:beforeAutospacing="0" w:after="0" w:afterAutospacing="0" w:line="360" w:lineRule="auto"/>
        <w:ind w:firstLine="420"/>
        <w:rPr>
          <w:sz w:val="21"/>
          <w:szCs w:val="21"/>
        </w:rPr>
      </w:pPr>
      <w:r>
        <w:rPr>
          <w:rFonts w:hint="eastAsia"/>
          <w:sz w:val="21"/>
          <w:szCs w:val="21"/>
        </w:rPr>
        <w:t xml:space="preserve">如果登记机构在清算交收时发生清算交收参与方不能正常履约的情形，则依据业务规则的有关规定进行处理。 </w:t>
      </w:r>
    </w:p>
    <w:p w14:paraId="3F07D98F">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 </w:t>
      </w:r>
    </w:p>
    <w:p w14:paraId="776B2AC7">
      <w:pPr>
        <w:pStyle w:val="7"/>
        <w:spacing w:before="0" w:beforeAutospacing="0" w:after="0" w:afterAutospacing="0" w:line="360" w:lineRule="auto"/>
        <w:ind w:firstLine="420"/>
        <w:rPr>
          <w:sz w:val="21"/>
          <w:szCs w:val="21"/>
        </w:rPr>
      </w:pPr>
      <w:r>
        <w:rPr>
          <w:rFonts w:hint="eastAsia"/>
          <w:sz w:val="21"/>
          <w:szCs w:val="21"/>
        </w:rPr>
        <w:t xml:space="preserve">若投资人用以申购的部分或全部组合证券或者用以赎回的部分或全部基金份额因被国家有关机关冻结或强制执行导致不足额的，基金管理人有权指示申购赎回代理券商及登记机构依法进行相应处置；如该情况导致其他基金份额持有人或基金资产遭受损失的，基金管理人有权代表其他基金份额持有人或基金资产要求该投资者进行赔偿。 </w:t>
      </w:r>
    </w:p>
    <w:p w14:paraId="1815A103">
      <w:pPr>
        <w:pStyle w:val="7"/>
        <w:spacing w:before="0" w:beforeAutospacing="0" w:after="0" w:afterAutospacing="0" w:line="360" w:lineRule="auto"/>
        <w:ind w:firstLine="420"/>
        <w:rPr>
          <w:sz w:val="21"/>
          <w:szCs w:val="21"/>
        </w:rPr>
      </w:pPr>
      <w:r>
        <w:rPr>
          <w:rStyle w:val="11"/>
          <w:rFonts w:hint="eastAsia"/>
          <w:sz w:val="21"/>
          <w:szCs w:val="21"/>
        </w:rPr>
        <w:t>五、申购与赎回的数额限制</w:t>
      </w:r>
    </w:p>
    <w:p w14:paraId="61CF574C">
      <w:pPr>
        <w:pStyle w:val="7"/>
        <w:spacing w:before="0" w:beforeAutospacing="0" w:after="0" w:afterAutospacing="0" w:line="360" w:lineRule="auto"/>
        <w:ind w:firstLine="420"/>
        <w:rPr>
          <w:sz w:val="21"/>
          <w:szCs w:val="21"/>
        </w:rPr>
      </w:pPr>
      <w:r>
        <w:rPr>
          <w:rFonts w:hint="eastAsia"/>
          <w:sz w:val="21"/>
          <w:szCs w:val="21"/>
        </w:rPr>
        <w:t xml:space="preserve">1、投资者申购、赎回的基金份额需为最小申购、赎回单位的整数倍。 </w:t>
      </w:r>
    </w:p>
    <w:p w14:paraId="745F4EA5">
      <w:pPr>
        <w:pStyle w:val="7"/>
        <w:spacing w:before="0" w:beforeAutospacing="0" w:after="0" w:afterAutospacing="0" w:line="360" w:lineRule="auto"/>
        <w:ind w:firstLine="420"/>
        <w:rPr>
          <w:sz w:val="21"/>
          <w:szCs w:val="21"/>
        </w:rPr>
      </w:pPr>
      <w:r>
        <w:rPr>
          <w:rFonts w:hint="eastAsia"/>
          <w:sz w:val="21"/>
          <w:szCs w:val="21"/>
        </w:rPr>
        <w:t xml:space="preserve">本基金的最小申购、赎回单位为100万份，基金管理人可根据市场情况，在法律法规允许的情况下，合理调整申购与赎回的数额限制，基金管理人必须在调整生效前依照《信息披露办法》的有关规定规定媒介公告。基金管理人可根据基金运作情况、市场变化以及投资者需求等因素对基金的最小申购赎回单位进行调整，并在调整实施前依照《信息披露办法》的有关规定在规定媒介公告。 </w:t>
      </w:r>
    </w:p>
    <w:p w14:paraId="3416349D">
      <w:pPr>
        <w:pStyle w:val="7"/>
        <w:spacing w:before="0" w:beforeAutospacing="0" w:after="0" w:afterAutospacing="0" w:line="360" w:lineRule="auto"/>
        <w:ind w:firstLine="420"/>
        <w:rPr>
          <w:sz w:val="21"/>
          <w:szCs w:val="21"/>
        </w:rPr>
      </w:pPr>
      <w:r>
        <w:rPr>
          <w:rFonts w:hint="eastAsia"/>
          <w:sz w:val="21"/>
          <w:szCs w:val="21"/>
        </w:rPr>
        <w:t xml:space="preserve">2、除非证券交易所另有规定,本基金场内申购赎回暂不设置当日申购、赎回份额上限、交易账户最低基金份额余额、单个投资人累计持有的基金份额上限。 </w:t>
      </w:r>
    </w:p>
    <w:p w14:paraId="1DD82A1A">
      <w:pPr>
        <w:pStyle w:val="7"/>
        <w:spacing w:before="0" w:beforeAutospacing="0" w:after="0" w:afterAutospacing="0" w:line="360" w:lineRule="auto"/>
        <w:ind w:firstLine="420"/>
        <w:rPr>
          <w:sz w:val="21"/>
          <w:szCs w:val="21"/>
        </w:rPr>
      </w:pPr>
      <w:r>
        <w:rPr>
          <w:rFonts w:hint="eastAsia"/>
          <w:sz w:val="21"/>
          <w:szCs w:val="21"/>
        </w:rPr>
        <w:t xml:space="preserve">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651EB639">
      <w:pPr>
        <w:pStyle w:val="7"/>
        <w:spacing w:before="0" w:beforeAutospacing="0" w:after="0" w:afterAutospacing="0" w:line="360" w:lineRule="auto"/>
        <w:ind w:firstLine="420"/>
        <w:rPr>
          <w:sz w:val="21"/>
          <w:szCs w:val="21"/>
        </w:rPr>
      </w:pPr>
      <w:r>
        <w:rPr>
          <w:rFonts w:hint="eastAsia"/>
          <w:sz w:val="21"/>
          <w:szCs w:val="21"/>
        </w:rPr>
        <w:t xml:space="preserve">4、基金管理人可根据市场情况，在法律法规允许的情况下，调整上述规定数量或比例等限制。基金管理人必须在调整实施前依照《信息披露办法》的有关规定在规定媒介上公告（对于当日申购、赎回份额上限、交易账户最低基金份额余额、单个投资人累计持有的基金份额上限，可由基金管理人于前一交易日设定并在当日基金申购赎回清单上公布，而不必在规定媒介上公告也无须报中国证监会备案）。 </w:t>
      </w:r>
    </w:p>
    <w:p w14:paraId="236D7402">
      <w:pPr>
        <w:pStyle w:val="7"/>
        <w:spacing w:before="0" w:beforeAutospacing="0" w:after="0" w:afterAutospacing="0" w:line="360" w:lineRule="auto"/>
        <w:ind w:firstLine="420"/>
        <w:rPr>
          <w:sz w:val="21"/>
          <w:szCs w:val="21"/>
        </w:rPr>
      </w:pPr>
      <w:r>
        <w:rPr>
          <w:rStyle w:val="11"/>
          <w:rFonts w:hint="eastAsia"/>
          <w:sz w:val="21"/>
          <w:szCs w:val="21"/>
        </w:rPr>
        <w:t>六、申购与赎回的对价和费用</w:t>
      </w:r>
    </w:p>
    <w:p w14:paraId="5812FAE3">
      <w:pPr>
        <w:pStyle w:val="7"/>
        <w:spacing w:before="0" w:beforeAutospacing="0" w:after="0" w:afterAutospacing="0" w:line="360" w:lineRule="auto"/>
        <w:ind w:firstLine="420"/>
        <w:rPr>
          <w:sz w:val="21"/>
          <w:szCs w:val="21"/>
        </w:rPr>
      </w:pPr>
      <w:r>
        <w:rPr>
          <w:rFonts w:hint="eastAsia"/>
          <w:sz w:val="21"/>
          <w:szCs w:val="21"/>
        </w:rPr>
        <w:t xml:space="preserve">1、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 </w:t>
      </w:r>
    </w:p>
    <w:p w14:paraId="42591BFD">
      <w:pPr>
        <w:pStyle w:val="7"/>
        <w:spacing w:before="0" w:beforeAutospacing="0" w:after="0" w:afterAutospacing="0" w:line="360" w:lineRule="auto"/>
        <w:ind w:firstLine="420"/>
        <w:rPr>
          <w:sz w:val="21"/>
          <w:szCs w:val="21"/>
        </w:rPr>
      </w:pPr>
      <w:r>
        <w:rPr>
          <w:rFonts w:hint="eastAsia"/>
          <w:sz w:val="21"/>
          <w:szCs w:val="21"/>
        </w:rPr>
        <w:t xml:space="preserve">2、申购、赎回清单由基金管理人编制。T日的申购、赎回清单在当日深圳证券交易所开市前公告。申购赎回清单的内容与格式详见下文“七、申购赎回清单的内容与格式” </w:t>
      </w:r>
    </w:p>
    <w:p w14:paraId="6D42BA01">
      <w:pPr>
        <w:pStyle w:val="7"/>
        <w:spacing w:before="0" w:beforeAutospacing="0" w:after="0" w:afterAutospacing="0" w:line="360" w:lineRule="auto"/>
        <w:ind w:firstLine="420"/>
        <w:rPr>
          <w:sz w:val="21"/>
          <w:szCs w:val="21"/>
        </w:rPr>
      </w:pPr>
      <w:r>
        <w:rPr>
          <w:rFonts w:hint="eastAsia"/>
          <w:sz w:val="21"/>
          <w:szCs w:val="21"/>
        </w:rPr>
        <w:t xml:space="preserve">3、投资人在申购或赎回基金份额时，申购赎回代理券商可按照不超过0.5%的标准收取佣金，其中包含证券交易所、登记机构等收取的相关费用。 </w:t>
      </w:r>
    </w:p>
    <w:p w14:paraId="021EFEC7">
      <w:pPr>
        <w:pStyle w:val="7"/>
        <w:spacing w:before="0" w:beforeAutospacing="0" w:after="0" w:afterAutospacing="0" w:line="360" w:lineRule="auto"/>
        <w:ind w:firstLine="420"/>
        <w:rPr>
          <w:sz w:val="21"/>
          <w:szCs w:val="21"/>
        </w:rPr>
      </w:pPr>
      <w:r>
        <w:rPr>
          <w:rFonts w:hint="eastAsia"/>
          <w:sz w:val="21"/>
          <w:szCs w:val="21"/>
        </w:rPr>
        <w:t>4、本基金份额净值的计算，保留到小数点后</w:t>
      </w:r>
      <w:bookmarkStart w:id="97" w:name="field_63_netdecimal_1"/>
      <w:r>
        <w:rPr>
          <w:sz w:val="21"/>
          <w:szCs w:val="21"/>
        </w:rPr>
        <w:t>4</w:t>
      </w:r>
      <w:bookmarkEnd w:id="97"/>
      <w:r>
        <w:rPr>
          <w:rFonts w:hint="eastAsia"/>
          <w:sz w:val="21"/>
          <w:szCs w:val="21"/>
        </w:rPr>
        <w:t>位，小数点后第</w:t>
      </w:r>
      <w:bookmarkStart w:id="98" w:name="field_0_netdecimaladd1_1"/>
      <w:r>
        <w:rPr>
          <w:sz w:val="21"/>
          <w:szCs w:val="21"/>
        </w:rPr>
        <w:t>5</w:t>
      </w:r>
      <w:bookmarkEnd w:id="98"/>
      <w:r>
        <w:rPr>
          <w:rFonts w:hint="eastAsia"/>
          <w:sz w:val="21"/>
          <w:szCs w:val="21"/>
        </w:rPr>
        <w:t xml:space="preserve">位四舍五入，由此产生的收益或损失由基金财产承担。T日的基金份额净值在当天收市后计算，并按照基金合同约定公告。遇特殊情况，经履行适当程序，可以适当延迟计算或公告。 </w:t>
      </w:r>
    </w:p>
    <w:p w14:paraId="4E5302D1">
      <w:pPr>
        <w:pStyle w:val="7"/>
        <w:spacing w:before="0" w:beforeAutospacing="0" w:after="0" w:afterAutospacing="0" w:line="360" w:lineRule="auto"/>
        <w:ind w:firstLine="420"/>
        <w:rPr>
          <w:sz w:val="21"/>
          <w:szCs w:val="21"/>
        </w:rPr>
      </w:pPr>
      <w:r>
        <w:rPr>
          <w:rFonts w:hint="eastAsia"/>
          <w:sz w:val="21"/>
          <w:szCs w:val="21"/>
        </w:rPr>
        <w:t xml:space="preserve">5、基金管理人可以在不违反相关法律法规的情况下对基金份额净值、申购赎回清单计算和公告时间进行调整并提前公告。 </w:t>
      </w:r>
    </w:p>
    <w:p w14:paraId="4D1A6794">
      <w:pPr>
        <w:pStyle w:val="7"/>
        <w:spacing w:before="0" w:beforeAutospacing="0" w:after="0" w:afterAutospacing="0" w:line="360" w:lineRule="auto"/>
        <w:ind w:firstLine="420"/>
        <w:rPr>
          <w:sz w:val="21"/>
          <w:szCs w:val="21"/>
        </w:rPr>
      </w:pPr>
      <w:r>
        <w:rPr>
          <w:rStyle w:val="11"/>
          <w:rFonts w:hint="eastAsia"/>
          <w:sz w:val="21"/>
          <w:szCs w:val="21"/>
        </w:rPr>
        <w:t>七、申购赎回清单的内容与格式</w:t>
      </w:r>
    </w:p>
    <w:p w14:paraId="1CA3BDC5">
      <w:pPr>
        <w:pStyle w:val="7"/>
        <w:spacing w:before="0" w:beforeAutospacing="0" w:after="0" w:afterAutospacing="0" w:line="360" w:lineRule="auto"/>
        <w:ind w:firstLine="420"/>
        <w:rPr>
          <w:sz w:val="21"/>
          <w:szCs w:val="21"/>
        </w:rPr>
      </w:pPr>
      <w:r>
        <w:rPr>
          <w:rFonts w:hint="eastAsia"/>
          <w:sz w:val="21"/>
          <w:szCs w:val="21"/>
        </w:rPr>
        <w:t xml:space="preserve">（一）通过深圳证券交易所申购赎回 </w:t>
      </w:r>
    </w:p>
    <w:p w14:paraId="1181D8BA">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14:paraId="1CD5BD73">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14:paraId="4986F3CA">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14:paraId="6BBC8EEA">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14:paraId="574971F9">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14:paraId="6DA3F9D3">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5004FC62">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现金替代分为3种类型：禁止现金替代（标志为“禁止”）、可以现金替代（标志为“允许”）和必须现金替代（标志为“必须”）。 </w:t>
      </w:r>
    </w:p>
    <w:p w14:paraId="0ADC3D49">
      <w:pPr>
        <w:pStyle w:val="7"/>
        <w:spacing w:before="0" w:beforeAutospacing="0" w:after="0" w:afterAutospacing="0" w:line="360" w:lineRule="auto"/>
        <w:ind w:firstLine="420"/>
        <w:rPr>
          <w:sz w:val="21"/>
          <w:szCs w:val="21"/>
        </w:rPr>
      </w:pPr>
      <w:r>
        <w:rPr>
          <w:rFonts w:hint="eastAsia"/>
          <w:sz w:val="21"/>
          <w:szCs w:val="21"/>
        </w:rPr>
        <w:t xml:space="preserve">对于深市成份证券，现金替代的标志可以设为：“禁止”、“允许”和“必须”。 </w:t>
      </w:r>
    </w:p>
    <w:p w14:paraId="38114D62">
      <w:pPr>
        <w:pStyle w:val="7"/>
        <w:spacing w:before="0" w:beforeAutospacing="0" w:after="0" w:afterAutospacing="0" w:line="360" w:lineRule="auto"/>
        <w:ind w:firstLine="420"/>
        <w:rPr>
          <w:sz w:val="21"/>
          <w:szCs w:val="21"/>
        </w:rPr>
      </w:pPr>
      <w:r>
        <w:rPr>
          <w:rFonts w:hint="eastAsia"/>
          <w:sz w:val="21"/>
          <w:szCs w:val="21"/>
        </w:rPr>
        <w:t>对于</w:t>
      </w:r>
      <w:r>
        <w:rPr>
          <w:rFonts w:hint="eastAsia"/>
          <w:sz w:val="21"/>
          <w:szCs w:val="21"/>
          <w:lang w:val="en-US" w:eastAsia="zh-CN"/>
        </w:rPr>
        <w:t>非深市</w:t>
      </w:r>
      <w:r>
        <w:rPr>
          <w:rFonts w:hint="eastAsia"/>
          <w:sz w:val="21"/>
          <w:szCs w:val="21"/>
        </w:rPr>
        <w:t xml:space="preserve">成份证券，可以设为：“允许”和“必须”。 </w:t>
      </w:r>
    </w:p>
    <w:p w14:paraId="573092CF">
      <w:pPr>
        <w:pStyle w:val="7"/>
        <w:spacing w:before="0" w:beforeAutospacing="0" w:after="0" w:afterAutospacing="0" w:line="360" w:lineRule="auto"/>
        <w:ind w:firstLine="420"/>
        <w:rPr>
          <w:sz w:val="21"/>
          <w:szCs w:val="21"/>
        </w:rPr>
      </w:pPr>
      <w:r>
        <w:rPr>
          <w:rFonts w:hint="eastAsia"/>
          <w:sz w:val="21"/>
          <w:szCs w:val="21"/>
        </w:rPr>
        <w:t xml:space="preserve">禁止现金替代适用于深圳证券交易所上市的成份股，是指在申购、赎回基金份额时，该成份证券不允许使用现金作为替代。 </w:t>
      </w:r>
    </w:p>
    <w:p w14:paraId="6B455048">
      <w:pPr>
        <w:pStyle w:val="7"/>
        <w:spacing w:before="0" w:beforeAutospacing="0" w:after="0" w:afterAutospacing="0" w:line="360" w:lineRule="auto"/>
        <w:ind w:firstLine="420"/>
        <w:rPr>
          <w:sz w:val="21"/>
          <w:szCs w:val="21"/>
        </w:rPr>
      </w:pPr>
      <w:r>
        <w:rPr>
          <w:rFonts w:hint="eastAsia"/>
          <w:sz w:val="21"/>
          <w:szCs w:val="21"/>
        </w:rPr>
        <w:t xml:space="preserve">对于标志为可以现金替代的深圳证券交易所上市的成份股，申购基金份额时，允许使用现金作为全部或部分该成份证券的替代，但在赎回基金份额时，该成份证券不允许使用现金作为替代。 </w:t>
      </w:r>
    </w:p>
    <w:p w14:paraId="289DB21E">
      <w:pPr>
        <w:pStyle w:val="7"/>
        <w:spacing w:before="0" w:beforeAutospacing="0" w:after="0" w:afterAutospacing="0" w:line="360" w:lineRule="auto"/>
        <w:ind w:firstLine="420"/>
        <w:rPr>
          <w:sz w:val="21"/>
          <w:szCs w:val="21"/>
        </w:rPr>
      </w:pPr>
      <w:r>
        <w:rPr>
          <w:rFonts w:hint="eastAsia"/>
          <w:sz w:val="21"/>
          <w:szCs w:val="21"/>
        </w:rPr>
        <w:t>对于标志为可以现金替代的上海</w:t>
      </w:r>
      <w:r>
        <w:rPr>
          <w:rFonts w:hint="eastAsia"/>
          <w:sz w:val="21"/>
          <w:szCs w:val="21"/>
          <w:lang w:val="en-US" w:eastAsia="zh-CN"/>
        </w:rPr>
        <w:t>/北京</w:t>
      </w:r>
      <w:r>
        <w:rPr>
          <w:rFonts w:hint="eastAsia"/>
          <w:sz w:val="21"/>
          <w:szCs w:val="21"/>
        </w:rPr>
        <w:t xml:space="preserve">证券交易所上市的成份股，申购赎回基金份额时，均使用现金作为替代。 </w:t>
      </w:r>
    </w:p>
    <w:p w14:paraId="247E91BB">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14:paraId="2454B185">
      <w:pPr>
        <w:pStyle w:val="7"/>
        <w:spacing w:before="0" w:beforeAutospacing="0" w:after="0" w:afterAutospacing="0" w:line="360" w:lineRule="auto"/>
        <w:ind w:firstLine="420"/>
        <w:rPr>
          <w:sz w:val="21"/>
          <w:szCs w:val="21"/>
        </w:rPr>
      </w:pPr>
      <w:r>
        <w:rPr>
          <w:rFonts w:hint="eastAsia"/>
          <w:sz w:val="21"/>
          <w:szCs w:val="21"/>
        </w:rPr>
        <w:t xml:space="preserve">（1）关于深圳证券交易所成份证券可以现金替代的情形 </w:t>
      </w:r>
    </w:p>
    <w:p w14:paraId="630E6EF2">
      <w:pPr>
        <w:pStyle w:val="7"/>
        <w:spacing w:before="0" w:beforeAutospacing="0" w:after="0" w:afterAutospacing="0" w:line="360" w:lineRule="auto"/>
        <w:ind w:firstLine="420"/>
        <w:rPr>
          <w:sz w:val="21"/>
          <w:szCs w:val="21"/>
        </w:rPr>
      </w:pPr>
      <w:r>
        <w:rPr>
          <w:rFonts w:hint="eastAsia"/>
          <w:sz w:val="21"/>
          <w:szCs w:val="21"/>
        </w:rPr>
        <w:t xml:space="preserve">1）适用情形：一般由于证券停牌等原因导致投资人无法在申购时买入证券或基金管理人认为可以适用的其他情形。 </w:t>
      </w:r>
    </w:p>
    <w:p w14:paraId="101A37A7">
      <w:pPr>
        <w:pStyle w:val="7"/>
        <w:spacing w:before="0" w:beforeAutospacing="0" w:after="0" w:afterAutospacing="0" w:line="360" w:lineRule="auto"/>
        <w:ind w:firstLine="420"/>
        <w:rPr>
          <w:sz w:val="21"/>
          <w:szCs w:val="21"/>
        </w:rPr>
      </w:pPr>
      <w:r>
        <w:rPr>
          <w:rFonts w:hint="eastAsia"/>
          <w:sz w:val="21"/>
          <w:szCs w:val="21"/>
        </w:rPr>
        <w:t xml:space="preserve">2）替代金额： </w:t>
      </w:r>
    </w:p>
    <w:p w14:paraId="51E9741B">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替代金额＝替代证券数量×该证券参考价格×（1＋现金替代保证金率） </w:t>
      </w:r>
    </w:p>
    <w:p w14:paraId="32560AFC">
      <w:pPr>
        <w:pStyle w:val="7"/>
        <w:spacing w:before="0" w:beforeAutospacing="0" w:after="0" w:afterAutospacing="0" w:line="360" w:lineRule="auto"/>
        <w:ind w:firstLine="420"/>
        <w:rPr>
          <w:sz w:val="21"/>
          <w:szCs w:val="21"/>
        </w:rPr>
      </w:pPr>
      <w:r>
        <w:rPr>
          <w:rFonts w:hint="eastAsia"/>
          <w:sz w:val="21"/>
          <w:szCs w:val="21"/>
        </w:rPr>
        <w:t xml:space="preserve">其中，“该证券参考价格”的确定原则包括但不限于： </w:t>
      </w:r>
    </w:p>
    <w:p w14:paraId="7BD14F74">
      <w:pPr>
        <w:pStyle w:val="7"/>
        <w:spacing w:before="0" w:beforeAutospacing="0" w:after="0" w:afterAutospacing="0" w:line="360" w:lineRule="auto"/>
        <w:ind w:firstLine="420"/>
        <w:rPr>
          <w:sz w:val="21"/>
          <w:szCs w:val="21"/>
        </w:rPr>
      </w:pPr>
      <w:r>
        <w:rPr>
          <w:rFonts w:hint="eastAsia"/>
          <w:sz w:val="21"/>
          <w:szCs w:val="21"/>
        </w:rPr>
        <w:t xml:space="preserve">该证券正常交易时，采用最新成交价。 </w:t>
      </w:r>
    </w:p>
    <w:p w14:paraId="3B2D04D1">
      <w:pPr>
        <w:pStyle w:val="7"/>
        <w:spacing w:before="0" w:beforeAutospacing="0" w:after="0" w:afterAutospacing="0" w:line="360" w:lineRule="auto"/>
        <w:ind w:firstLine="420"/>
        <w:rPr>
          <w:sz w:val="21"/>
          <w:szCs w:val="21"/>
        </w:rPr>
      </w:pPr>
      <w:r>
        <w:rPr>
          <w:rFonts w:hint="eastAsia"/>
          <w:sz w:val="21"/>
          <w:szCs w:val="21"/>
        </w:rPr>
        <w:t xml:space="preserve">该证券正常交易中出现涨停/跌停时，采用涨停/跌停价格。 </w:t>
      </w:r>
    </w:p>
    <w:p w14:paraId="06871C13">
      <w:pPr>
        <w:pStyle w:val="7"/>
        <w:spacing w:before="0" w:beforeAutospacing="0" w:after="0" w:afterAutospacing="0" w:line="360" w:lineRule="auto"/>
        <w:ind w:firstLine="420"/>
        <w:rPr>
          <w:sz w:val="21"/>
          <w:szCs w:val="21"/>
        </w:rPr>
      </w:pPr>
      <w:r>
        <w:rPr>
          <w:rFonts w:hint="eastAsia"/>
          <w:sz w:val="21"/>
          <w:szCs w:val="21"/>
        </w:rPr>
        <w:t xml:space="preserve">该证券停牌且当日有成交时，采用最新成交价。 </w:t>
      </w:r>
    </w:p>
    <w:p w14:paraId="3ECBE55C">
      <w:pPr>
        <w:pStyle w:val="7"/>
        <w:spacing w:before="0" w:beforeAutospacing="0" w:after="0" w:afterAutospacing="0" w:line="360" w:lineRule="auto"/>
        <w:ind w:firstLine="420"/>
        <w:rPr>
          <w:sz w:val="21"/>
          <w:szCs w:val="21"/>
        </w:rPr>
      </w:pPr>
      <w:r>
        <w:rPr>
          <w:rFonts w:hint="eastAsia"/>
          <w:sz w:val="21"/>
          <w:szCs w:val="21"/>
        </w:rPr>
        <w:t xml:space="preserve">该证券停牌且当日无成交时，采用前收盘价（考虑当日的除权除息等因素）。 </w:t>
      </w:r>
    </w:p>
    <w:p w14:paraId="5BE4971A">
      <w:pPr>
        <w:pStyle w:val="7"/>
        <w:spacing w:before="0" w:beforeAutospacing="0" w:after="0" w:afterAutospacing="0" w:line="360" w:lineRule="auto"/>
        <w:ind w:firstLine="420"/>
        <w:rPr>
          <w:sz w:val="21"/>
          <w:szCs w:val="21"/>
        </w:rPr>
      </w:pPr>
      <w:r>
        <w:rPr>
          <w:rFonts w:hint="eastAsia"/>
          <w:sz w:val="21"/>
          <w:szCs w:val="21"/>
        </w:rPr>
        <w:t xml:space="preserve">如果深圳证券交易所对上述证券参考价格确定原则发生变化，以深圳证券交易所调整后的规定为准。 </w:t>
      </w:r>
    </w:p>
    <w:p w14:paraId="22990E2D">
      <w:pPr>
        <w:pStyle w:val="7"/>
        <w:spacing w:before="0" w:beforeAutospacing="0" w:after="0" w:afterAutospacing="0" w:line="360" w:lineRule="auto"/>
        <w:ind w:firstLine="420"/>
        <w:rPr>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14:paraId="33914D2E">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14:paraId="37A73171">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T日，基金管理人在申购赎回清单中公布现金替代溢价比例，并据此在T+1日收取替代金额。 </w:t>
      </w:r>
    </w:p>
    <w:p w14:paraId="266D295F">
      <w:pPr>
        <w:pStyle w:val="7"/>
        <w:spacing w:before="0" w:beforeAutospacing="0" w:after="0" w:afterAutospacing="0" w:line="360" w:lineRule="auto"/>
        <w:ind w:firstLine="420"/>
        <w:rPr>
          <w:sz w:val="21"/>
          <w:szCs w:val="21"/>
        </w:rPr>
      </w:pPr>
      <w:r>
        <w:rPr>
          <w:rFonts w:hint="eastAsia"/>
          <w:sz w:val="21"/>
          <w:szCs w:val="21"/>
        </w:rPr>
        <w:t xml:space="preserve">在T日后被替代的部分证券有正常交易的2个交易日（即T＋2日）内，基金管理人将以收到的替代金额买入被替代的部分证券。 </w:t>
      </w:r>
    </w:p>
    <w:p w14:paraId="7A4E493E">
      <w:pPr>
        <w:pStyle w:val="7"/>
        <w:spacing w:before="0" w:beforeAutospacing="0" w:after="0" w:afterAutospacing="0" w:line="360" w:lineRule="auto"/>
        <w:ind w:firstLine="420"/>
        <w:rPr>
          <w:sz w:val="21"/>
          <w:szCs w:val="21"/>
        </w:rPr>
      </w:pPr>
      <w:r>
        <w:rPr>
          <w:rFonts w:hint="eastAsia"/>
          <w:sz w:val="21"/>
          <w:szCs w:val="21"/>
        </w:rPr>
        <w:t xml:space="preserve">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 </w:t>
      </w:r>
    </w:p>
    <w:p w14:paraId="7522D332">
      <w:pPr>
        <w:pStyle w:val="7"/>
        <w:spacing w:before="0" w:beforeAutospacing="0" w:after="0" w:afterAutospacing="0" w:line="360" w:lineRule="auto"/>
        <w:ind w:firstLine="420"/>
        <w:rPr>
          <w:sz w:val="21"/>
          <w:szCs w:val="21"/>
        </w:rPr>
      </w:pPr>
      <w:r>
        <w:rPr>
          <w:rFonts w:hint="eastAsia"/>
          <w:sz w:val="21"/>
          <w:szCs w:val="21"/>
        </w:rPr>
        <w:t xml:space="preserve">特殊情况：若自T日起，深圳证券交易所正常交易日已达20日而该部分证券的正常交易日低于2日，则以替代金额与所购入的部分被替代证券的实际购入成本加上按照最近一次收盘价计算的未购入的部分被替代证券价值的差额，确定基金应退还投资人或投资人应补交的款项。 </w:t>
      </w:r>
    </w:p>
    <w:p w14:paraId="4C2ADCC6">
      <w:pPr>
        <w:pStyle w:val="7"/>
        <w:spacing w:before="0" w:beforeAutospacing="0" w:after="0" w:afterAutospacing="0" w:line="360" w:lineRule="auto"/>
        <w:ind w:firstLine="420"/>
        <w:rPr>
          <w:sz w:val="21"/>
          <w:szCs w:val="21"/>
        </w:rPr>
      </w:pPr>
      <w:r>
        <w:rPr>
          <w:rFonts w:hint="eastAsia"/>
          <w:sz w:val="21"/>
          <w:szCs w:val="21"/>
        </w:rPr>
        <w:t xml:space="preserve">T＋2日后的第1个市场交易日（在特殊情况下则为T日起的第21个市场交易日），基金管理人将应退款和应补款的明细及汇总数据发送给相关申购赎回代理券商和基金托管人，相关款项的清算交收，将于此后3个工作日内完成。 </w:t>
      </w:r>
    </w:p>
    <w:p w14:paraId="67C21DDF">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14:paraId="7A55D3D8">
      <w:pPr>
        <w:pStyle w:val="7"/>
        <w:spacing w:before="0" w:beforeAutospacing="0" w:after="0" w:afterAutospacing="0" w:line="360" w:lineRule="auto"/>
        <w:ind w:firstLine="420"/>
        <w:rPr>
          <w:sz w:val="21"/>
          <w:szCs w:val="21"/>
        </w:rPr>
      </w:pPr>
      <w:r>
        <w:rPr>
          <w:rFonts w:hint="eastAsia"/>
          <w:sz w:val="21"/>
          <w:szCs w:val="21"/>
        </w:rPr>
        <w:t>现金替代比例（%）＝</w:t>
      </w:r>
      <w:r>
        <w:rPr>
          <w:rFonts w:hint="eastAsia"/>
          <w:sz w:val="21"/>
          <w:szCs w:val="21"/>
        </w:rPr>
        <w:drawing>
          <wp:inline distT="0" distB="0" distL="0" distR="0">
            <wp:extent cx="2666365" cy="666115"/>
            <wp:effectExtent l="0" t="0" r="635" b="63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6"/>
                    <a:stretch>
                      <a:fillRect/>
                    </a:stretch>
                  </pic:blipFill>
                  <pic:spPr>
                    <a:xfrm>
                      <a:off x="0" y="0"/>
                      <a:ext cx="2666667" cy="666667"/>
                    </a:xfrm>
                    <a:prstGeom prst="rect">
                      <a:avLst/>
                    </a:prstGeom>
                  </pic:spPr>
                </pic:pic>
              </a:graphicData>
            </a:graphic>
          </wp:inline>
        </w:drawing>
      </w:r>
      <w:r>
        <w:rPr>
          <w:rFonts w:hint="eastAsia"/>
          <w:sz w:val="21"/>
          <w:szCs w:val="21"/>
        </w:rPr>
        <w:t xml:space="preserve">×100%  </w:t>
      </w:r>
    </w:p>
    <w:p w14:paraId="02F2F3BE">
      <w:pPr>
        <w:pStyle w:val="7"/>
        <w:spacing w:before="0" w:beforeAutospacing="0" w:after="0" w:afterAutospacing="0" w:line="360" w:lineRule="auto"/>
        <w:ind w:firstLine="420"/>
        <w:rPr>
          <w:sz w:val="21"/>
          <w:szCs w:val="21"/>
        </w:rPr>
      </w:pPr>
      <w:r>
        <w:rPr>
          <w:rFonts w:hint="eastAsia"/>
          <w:sz w:val="21"/>
          <w:szCs w:val="21"/>
        </w:rPr>
        <w:t xml:space="preserve">其中，“该证券参考价格”的确定原则与可以现金替代情况下“替代金额”计算公式中的“该证券参考价格”相同。“基金份额参考净值”目前为本基金前一交易日除权除息后的收盘价。 </w:t>
      </w:r>
    </w:p>
    <w:p w14:paraId="2B1166E4">
      <w:pPr>
        <w:pStyle w:val="7"/>
        <w:spacing w:before="0" w:beforeAutospacing="0" w:after="0" w:afterAutospacing="0" w:line="360" w:lineRule="auto"/>
        <w:ind w:firstLine="420"/>
        <w:rPr>
          <w:sz w:val="21"/>
          <w:szCs w:val="21"/>
        </w:rPr>
      </w:pPr>
      <w:r>
        <w:rPr>
          <w:rFonts w:hint="eastAsia"/>
          <w:sz w:val="21"/>
          <w:szCs w:val="21"/>
        </w:rPr>
        <w:t xml:space="preserve">如果深圳证券交易所对上述计算方式另有规定的，以深圳证券交易所最新规定为准。 </w:t>
      </w:r>
    </w:p>
    <w:p w14:paraId="49EE4C93">
      <w:pPr>
        <w:pStyle w:val="7"/>
        <w:spacing w:before="0" w:beforeAutospacing="0" w:after="0" w:afterAutospacing="0" w:line="360" w:lineRule="auto"/>
        <w:ind w:firstLine="420"/>
        <w:rPr>
          <w:sz w:val="21"/>
          <w:szCs w:val="21"/>
        </w:rPr>
      </w:pPr>
      <w:r>
        <w:rPr>
          <w:rFonts w:hint="eastAsia"/>
          <w:sz w:val="21"/>
          <w:szCs w:val="21"/>
        </w:rPr>
        <w:t>（2）关于上海</w:t>
      </w:r>
      <w:r>
        <w:rPr>
          <w:rFonts w:hint="eastAsia"/>
          <w:sz w:val="21"/>
          <w:szCs w:val="21"/>
          <w:lang w:val="en-US" w:eastAsia="zh-CN"/>
        </w:rPr>
        <w:t>/北京</w:t>
      </w:r>
      <w:r>
        <w:rPr>
          <w:rFonts w:hint="eastAsia"/>
          <w:sz w:val="21"/>
          <w:szCs w:val="21"/>
        </w:rPr>
        <w:t xml:space="preserve">证券交易所成份证券可以现金替代的情形 </w:t>
      </w:r>
    </w:p>
    <w:p w14:paraId="09F68AA0">
      <w:pPr>
        <w:pStyle w:val="7"/>
        <w:spacing w:before="0" w:beforeAutospacing="0" w:after="0" w:afterAutospacing="0" w:line="360" w:lineRule="auto"/>
        <w:ind w:firstLine="420"/>
        <w:rPr>
          <w:sz w:val="21"/>
          <w:szCs w:val="21"/>
        </w:rPr>
      </w:pPr>
      <w:r>
        <w:rPr>
          <w:rFonts w:hint="eastAsia"/>
          <w:sz w:val="21"/>
          <w:szCs w:val="21"/>
        </w:rPr>
        <w:t>1）适用情形：适用于本基金成份券中上海</w:t>
      </w:r>
      <w:r>
        <w:rPr>
          <w:rFonts w:hint="eastAsia"/>
          <w:sz w:val="21"/>
          <w:szCs w:val="21"/>
          <w:lang w:val="en-US" w:eastAsia="zh-CN"/>
        </w:rPr>
        <w:t>/北京</w:t>
      </w:r>
      <w:r>
        <w:rPr>
          <w:rFonts w:hint="eastAsia"/>
          <w:sz w:val="21"/>
          <w:szCs w:val="21"/>
        </w:rPr>
        <w:t xml:space="preserve">证券交易所上市的股票。 </w:t>
      </w:r>
    </w:p>
    <w:p w14:paraId="0A001613">
      <w:pPr>
        <w:pStyle w:val="7"/>
        <w:spacing w:before="0" w:beforeAutospacing="0" w:after="0" w:afterAutospacing="0" w:line="360" w:lineRule="auto"/>
        <w:ind w:firstLine="420"/>
        <w:rPr>
          <w:sz w:val="21"/>
          <w:szCs w:val="21"/>
        </w:rPr>
      </w:pPr>
      <w:r>
        <w:rPr>
          <w:rFonts w:hint="eastAsia"/>
          <w:sz w:val="21"/>
          <w:szCs w:val="21"/>
        </w:rPr>
        <w:t xml:space="preserve">2）替代金额： </w:t>
      </w:r>
    </w:p>
    <w:p w14:paraId="3F952BF0">
      <w:pPr>
        <w:pStyle w:val="7"/>
        <w:spacing w:before="0" w:beforeAutospacing="0" w:after="0" w:afterAutospacing="0" w:line="360" w:lineRule="auto"/>
        <w:ind w:firstLine="420"/>
        <w:rPr>
          <w:sz w:val="21"/>
          <w:szCs w:val="21"/>
        </w:rPr>
      </w:pPr>
      <w:r>
        <w:rPr>
          <w:rFonts w:hint="eastAsia"/>
          <w:sz w:val="21"/>
          <w:szCs w:val="21"/>
        </w:rPr>
        <w:t xml:space="preserve">申购的替代金额＝替代证券数量×该证券调整后T日开盘参考价×（1+申购现金替代保证金率）。 </w:t>
      </w:r>
    </w:p>
    <w:p w14:paraId="109D0930">
      <w:pPr>
        <w:pStyle w:val="7"/>
        <w:spacing w:before="0" w:beforeAutospacing="0" w:after="0" w:afterAutospacing="0" w:line="360" w:lineRule="auto"/>
        <w:ind w:firstLine="420"/>
        <w:rPr>
          <w:sz w:val="21"/>
          <w:szCs w:val="21"/>
        </w:rPr>
      </w:pPr>
      <w:r>
        <w:rPr>
          <w:rFonts w:hint="eastAsia"/>
          <w:sz w:val="21"/>
          <w:szCs w:val="21"/>
        </w:rPr>
        <w:t xml:space="preserve">赎回的替代金额＝替代证券数量×该证券调整后T日开盘参考价×（1-赎回现金替代保证金率）。 </w:t>
      </w:r>
    </w:p>
    <w:p w14:paraId="78DC3375">
      <w:pPr>
        <w:pStyle w:val="7"/>
        <w:spacing w:before="0" w:beforeAutospacing="0" w:after="0" w:afterAutospacing="0" w:line="360" w:lineRule="auto"/>
        <w:ind w:firstLine="420"/>
        <w:rPr>
          <w:sz w:val="21"/>
          <w:szCs w:val="21"/>
        </w:rPr>
      </w:pPr>
      <w:r>
        <w:rPr>
          <w:rFonts w:hint="eastAsia"/>
          <w:sz w:val="21"/>
          <w:szCs w:val="21"/>
        </w:rPr>
        <w:t xml:space="preserve">申购时收取申购现金替代溢价的原因是，对于使用现金替代的证券，基金管理人将买入该证券，实际买入价格加上相关交易费用后与该证券调整后T日开盘参考价可能有所差异。为便于操作，基金管理人在申购赎回清单中预先确定申购现金替代溢价比例，并据此收取替代金额。如果预先收取的金额高于基金购入该部分证券的实际成本（包括买入价格与交易费用），则基金管理人将退还多收取的差额；如果预先收取的金额低于基金购入该部分证券的实际成本（包括买入价格与交易费用），则基金管理人将向投资者收取欠缺的差额。 </w:t>
      </w:r>
    </w:p>
    <w:p w14:paraId="11226795">
      <w:pPr>
        <w:pStyle w:val="7"/>
        <w:spacing w:before="0" w:beforeAutospacing="0" w:after="0" w:afterAutospacing="0" w:line="360" w:lineRule="auto"/>
        <w:ind w:firstLine="420"/>
        <w:rPr>
          <w:sz w:val="21"/>
          <w:szCs w:val="21"/>
        </w:rPr>
      </w:pPr>
      <w:r>
        <w:rPr>
          <w:rFonts w:hint="eastAsia"/>
          <w:sz w:val="21"/>
          <w:szCs w:val="21"/>
        </w:rPr>
        <w:t xml:space="preserve">赎回时扣除赎回现金替代折价的原因是，对于使用现金替代的证券，基金管理人将卖出该证券，实际卖出价格扣除相关交易费用后与该证券调整后T日开盘参考价可能有所差异。为便于操作，基金管理人在申购赎回清单中预先确定赎回现金替代折价比例，并据此支付替代金额。如果预先支付的金额低于基金卖出该部分证券的实际收入（包括买入价格与交易费用），则基金管理人将退还少支付的差额；如果预先支付的金额高于基金卖出该部分证券的实际收入（包括买入价格与交易费用），则基金管理人将向投资者收取多支付的差额。 </w:t>
      </w:r>
    </w:p>
    <w:p w14:paraId="7ACD3310">
      <w:pPr>
        <w:pStyle w:val="7"/>
        <w:spacing w:before="0" w:beforeAutospacing="0" w:after="0" w:afterAutospacing="0" w:line="360" w:lineRule="auto"/>
        <w:ind w:firstLine="420"/>
        <w:rPr>
          <w:sz w:val="21"/>
          <w:szCs w:val="21"/>
        </w:rPr>
      </w:pPr>
      <w:r>
        <w:rPr>
          <w:rFonts w:hint="eastAsia"/>
          <w:sz w:val="21"/>
          <w:szCs w:val="21"/>
        </w:rPr>
        <w:t xml:space="preserve">基金管理人将自T日起在收到申购交易确认后按照“时间优先、实时申报”的原则依次买入申购被替代的部分证券，在收到赎回交易确认后按照“时间优先、实时申报”的原则依次卖出赎回被替代的部分证券。T日未完成的交易，基金管理人在T日后被替代的成份证券有正常交易的2个交易日（简称为T+2日）内完成上述交易。 </w:t>
      </w:r>
    </w:p>
    <w:p w14:paraId="1AAD0D47">
      <w:pPr>
        <w:pStyle w:val="7"/>
        <w:spacing w:before="0" w:beforeAutospacing="0" w:after="0" w:afterAutospacing="0" w:line="360" w:lineRule="auto"/>
        <w:ind w:firstLine="420"/>
        <w:rPr>
          <w:sz w:val="21"/>
          <w:szCs w:val="21"/>
        </w:rPr>
      </w:pPr>
      <w:r>
        <w:rPr>
          <w:rFonts w:hint="eastAsia"/>
          <w:sz w:val="21"/>
          <w:szCs w:val="21"/>
        </w:rPr>
        <w:t xml:space="preserve">时间优先的原则为：申购赎回方向相同的，先确认成交者优先于后确认成交者。先后顺序按照深圳证券交易所确认申购赎回的时间确定。 </w:t>
      </w:r>
    </w:p>
    <w:p w14:paraId="781F4270">
      <w:pPr>
        <w:pStyle w:val="7"/>
        <w:spacing w:before="0" w:beforeAutospacing="0" w:after="0" w:afterAutospacing="0" w:line="360" w:lineRule="auto"/>
        <w:ind w:firstLine="420"/>
        <w:rPr>
          <w:sz w:val="21"/>
          <w:szCs w:val="21"/>
        </w:rPr>
      </w:pPr>
      <w:r>
        <w:rPr>
          <w:rFonts w:hint="eastAsia"/>
          <w:sz w:val="21"/>
          <w:szCs w:val="21"/>
        </w:rPr>
        <w:t>实时申报的原则为：基金管理人在上海</w:t>
      </w:r>
      <w:r>
        <w:rPr>
          <w:rFonts w:hint="eastAsia"/>
          <w:sz w:val="21"/>
          <w:szCs w:val="21"/>
          <w:lang w:val="en-US" w:eastAsia="zh-CN"/>
        </w:rPr>
        <w:t>/北京</w:t>
      </w:r>
      <w:r>
        <w:rPr>
          <w:rFonts w:hint="eastAsia"/>
          <w:sz w:val="21"/>
          <w:szCs w:val="21"/>
        </w:rPr>
        <w:t>证券交易所连续竞价期间，根据收到的深圳证券交易所申购赎回确认记录，在技术系统允许的情况下实时向上海</w:t>
      </w:r>
      <w:r>
        <w:rPr>
          <w:rFonts w:hint="eastAsia"/>
          <w:sz w:val="21"/>
          <w:szCs w:val="21"/>
          <w:lang w:val="en-US" w:eastAsia="zh-CN"/>
        </w:rPr>
        <w:t>/北京</w:t>
      </w:r>
      <w:r>
        <w:rPr>
          <w:rFonts w:hint="eastAsia"/>
          <w:sz w:val="21"/>
          <w:szCs w:val="21"/>
        </w:rPr>
        <w:t xml:space="preserve">证券交易所申报被替代证券的交易指令。 </w:t>
      </w:r>
    </w:p>
    <w:p w14:paraId="1CCA16A7">
      <w:pPr>
        <w:pStyle w:val="7"/>
        <w:spacing w:before="0" w:beforeAutospacing="0" w:after="0" w:afterAutospacing="0" w:line="360" w:lineRule="auto"/>
        <w:ind w:firstLine="420"/>
        <w:rPr>
          <w:sz w:val="21"/>
          <w:szCs w:val="21"/>
        </w:rPr>
      </w:pPr>
      <w:r>
        <w:rPr>
          <w:rFonts w:hint="eastAsia"/>
          <w:sz w:val="21"/>
          <w:szCs w:val="21"/>
        </w:rPr>
        <w:t xml:space="preserve">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 </w:t>
      </w:r>
    </w:p>
    <w:p w14:paraId="3378CEFD">
      <w:pPr>
        <w:pStyle w:val="7"/>
        <w:spacing w:before="0" w:beforeAutospacing="0" w:after="0" w:afterAutospacing="0" w:line="360" w:lineRule="auto"/>
        <w:ind w:firstLine="420"/>
        <w:rPr>
          <w:sz w:val="21"/>
          <w:szCs w:val="21"/>
        </w:rPr>
      </w:pPr>
      <w:r>
        <w:rPr>
          <w:rFonts w:hint="eastAsia"/>
          <w:sz w:val="21"/>
          <w:szCs w:val="21"/>
        </w:rPr>
        <w:t xml:space="preserve">对于T日因停牌或流动性不足等原因未购入和未卖出的被替代的部分证券，T日后基金管理人可以继续进行被替代证券的买入和卖出，按照前述原则确定基金应退还投资者或投资者应补交的款项。 </w:t>
      </w:r>
    </w:p>
    <w:p w14:paraId="41B6A0ED">
      <w:pPr>
        <w:pStyle w:val="7"/>
        <w:spacing w:before="0" w:beforeAutospacing="0" w:after="0" w:afterAutospacing="0" w:line="360" w:lineRule="auto"/>
        <w:ind w:firstLine="420"/>
        <w:rPr>
          <w:sz w:val="21"/>
          <w:szCs w:val="21"/>
        </w:rPr>
      </w:pPr>
      <w:r>
        <w:rPr>
          <w:rFonts w:hint="eastAsia"/>
          <w:sz w:val="21"/>
          <w:szCs w:val="21"/>
        </w:rPr>
        <w:t xml:space="preserve">T+2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T+2日收盘价计算的未购入的部分被替代证券价值的差额，确定基金应退还申购投资者或申购投资者应补交的款项。 </w:t>
      </w:r>
    </w:p>
    <w:p w14:paraId="156DC538">
      <w:pPr>
        <w:pStyle w:val="7"/>
        <w:spacing w:before="0" w:beforeAutospacing="0" w:after="0" w:afterAutospacing="0" w:line="360" w:lineRule="auto"/>
        <w:ind w:firstLine="420"/>
        <w:rPr>
          <w:sz w:val="21"/>
          <w:szCs w:val="21"/>
        </w:rPr>
      </w:pPr>
      <w:r>
        <w:rPr>
          <w:rFonts w:hint="eastAsia"/>
          <w:sz w:val="21"/>
          <w:szCs w:val="21"/>
        </w:rPr>
        <w:t xml:space="preserve">T+2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T+2日收盘价计算的未卖出的部分被替代证券价值的差额，确定基金应退还赎回投资者或赎回投资者应补交的款项。 </w:t>
      </w:r>
    </w:p>
    <w:p w14:paraId="7898BE94">
      <w:pPr>
        <w:pStyle w:val="7"/>
        <w:spacing w:before="0" w:beforeAutospacing="0" w:after="0" w:afterAutospacing="0" w:line="360" w:lineRule="auto"/>
        <w:ind w:firstLine="420"/>
        <w:rPr>
          <w:sz w:val="21"/>
          <w:szCs w:val="21"/>
        </w:rPr>
      </w:pPr>
      <w:r>
        <w:rPr>
          <w:rFonts w:hint="eastAsia"/>
          <w:sz w:val="21"/>
          <w:szCs w:val="21"/>
        </w:rPr>
        <w:t>特例情况：若自T日起，上海</w:t>
      </w:r>
      <w:r>
        <w:rPr>
          <w:rFonts w:hint="eastAsia"/>
          <w:sz w:val="21"/>
          <w:szCs w:val="21"/>
          <w:lang w:val="en-US" w:eastAsia="zh-CN"/>
        </w:rPr>
        <w:t>/北京</w:t>
      </w:r>
      <w:r>
        <w:rPr>
          <w:rFonts w:hint="eastAsia"/>
          <w:sz w:val="21"/>
          <w:szCs w:val="21"/>
        </w:rPr>
        <w:t xml:space="preserve">证券交易所正常交易日已达到20日而该证券正常交易日低于2日，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 </w:t>
      </w:r>
    </w:p>
    <w:p w14:paraId="454E74E9">
      <w:pPr>
        <w:pStyle w:val="7"/>
        <w:spacing w:before="0" w:beforeAutospacing="0" w:after="0" w:afterAutospacing="0" w:line="360" w:lineRule="auto"/>
        <w:ind w:firstLine="420"/>
        <w:rPr>
          <w:sz w:val="21"/>
          <w:szCs w:val="21"/>
        </w:rPr>
      </w:pPr>
      <w:r>
        <w:rPr>
          <w:rFonts w:hint="eastAsia"/>
          <w:sz w:val="21"/>
          <w:szCs w:val="21"/>
        </w:rPr>
        <w:t xml:space="preserve">若现金替代日（T日）后至T+2日（若在特例情况下，则为T日起第20个交易日）期间发生除息、送股（转增）、配股等权益变动，则进行相应调整。 </w:t>
      </w:r>
    </w:p>
    <w:p w14:paraId="10C7BB6E">
      <w:pPr>
        <w:pStyle w:val="7"/>
        <w:spacing w:before="0" w:beforeAutospacing="0" w:after="0" w:afterAutospacing="0" w:line="360" w:lineRule="auto"/>
        <w:ind w:firstLine="420"/>
        <w:rPr>
          <w:sz w:val="21"/>
          <w:szCs w:val="21"/>
        </w:rPr>
      </w:pPr>
      <w:r>
        <w:rPr>
          <w:rFonts w:hint="eastAsia"/>
          <w:sz w:val="21"/>
          <w:szCs w:val="21"/>
        </w:rPr>
        <w:t xml:space="preserve">T+2日后第1个工作日（若在特例情况下，则为T日起第21个交易日），基金管理人将应退款和补款的明细及汇总数据通过中国证券登记结算有限责任公司发送给相关申购赎回代理券商和基金托管人，相关款项的清算交收将于此后3个工作日内完成。 </w:t>
      </w:r>
    </w:p>
    <w:p w14:paraId="0A630607">
      <w:pPr>
        <w:pStyle w:val="7"/>
        <w:spacing w:before="0" w:beforeAutospacing="0" w:after="0" w:afterAutospacing="0" w:line="360" w:lineRule="auto"/>
        <w:ind w:firstLine="420"/>
        <w:rPr>
          <w:sz w:val="21"/>
          <w:szCs w:val="21"/>
        </w:rPr>
      </w:pPr>
      <w:r>
        <w:rPr>
          <w:rFonts w:hint="eastAsia"/>
          <w:sz w:val="21"/>
          <w:szCs w:val="21"/>
        </w:rPr>
        <w:t xml:space="preserve">（3）必须现金替代 </w:t>
      </w:r>
    </w:p>
    <w:p w14:paraId="504081EF">
      <w:pPr>
        <w:pStyle w:val="7"/>
        <w:spacing w:before="0" w:beforeAutospacing="0" w:after="0" w:afterAutospacing="0" w:line="360" w:lineRule="auto"/>
        <w:ind w:firstLine="420"/>
        <w:rPr>
          <w:sz w:val="21"/>
          <w:szCs w:val="21"/>
        </w:rPr>
      </w:pPr>
      <w:r>
        <w:rPr>
          <w:rFonts w:hint="eastAsia"/>
          <w:sz w:val="21"/>
          <w:szCs w:val="21"/>
        </w:rPr>
        <w:t xml:space="preserve">1）适用情形：一般适用于标的指数调整将被剔除的成份证券以及处于停牌的股票，或因法律法规限制投资的成份证券，或出于保护基金持有人利益等原因基金管理人认为有必要实行必须现金替代的成份证券。 </w:t>
      </w:r>
    </w:p>
    <w:p w14:paraId="3E9EA9A1">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14:paraId="218755A9">
      <w:pPr>
        <w:pStyle w:val="7"/>
        <w:spacing w:before="0" w:beforeAutospacing="0" w:after="0" w:afterAutospacing="0" w:line="360" w:lineRule="auto"/>
        <w:ind w:firstLine="420"/>
        <w:rPr>
          <w:sz w:val="21"/>
          <w:szCs w:val="21"/>
        </w:rPr>
      </w:pPr>
      <w:r>
        <w:rPr>
          <w:rFonts w:hint="eastAsia"/>
          <w:sz w:val="21"/>
          <w:szCs w:val="21"/>
        </w:rPr>
        <w:t xml:space="preserve">4、预估现金差额 </w:t>
      </w:r>
    </w:p>
    <w:p w14:paraId="48DA84A3">
      <w:pPr>
        <w:pStyle w:val="7"/>
        <w:spacing w:before="0" w:beforeAutospacing="0" w:after="0" w:afterAutospacing="0" w:line="360" w:lineRule="auto"/>
        <w:ind w:firstLine="420"/>
        <w:rPr>
          <w:sz w:val="21"/>
          <w:szCs w:val="21"/>
        </w:rPr>
      </w:pPr>
      <w:r>
        <w:rPr>
          <w:rFonts w:hint="eastAsia"/>
          <w:sz w:val="21"/>
          <w:szCs w:val="21"/>
        </w:rPr>
        <w:t xml:space="preserve">预估现金差额指为便于计算基金份额参考净值及申购、赎回代理券商预先冻结申请申购、赎回的投资人的相应资金，由基金管理人计算并公布的现金差额的预估值。 </w:t>
      </w:r>
    </w:p>
    <w:p w14:paraId="2C05B916">
      <w:pPr>
        <w:pStyle w:val="7"/>
        <w:spacing w:before="0" w:beforeAutospacing="0" w:after="0" w:afterAutospacing="0" w:line="360" w:lineRule="auto"/>
        <w:ind w:firstLine="420"/>
        <w:rPr>
          <w:sz w:val="21"/>
          <w:szCs w:val="21"/>
        </w:rPr>
      </w:pPr>
      <w:r>
        <w:rPr>
          <w:rFonts w:hint="eastAsia"/>
          <w:sz w:val="21"/>
          <w:szCs w:val="21"/>
        </w:rPr>
        <w:t xml:space="preserve">T日预估现金差额在T日申购赎回清单中公告，其计算公式为： </w:t>
      </w:r>
    </w:p>
    <w:p w14:paraId="6F26742D">
      <w:pPr>
        <w:pStyle w:val="7"/>
        <w:spacing w:before="0" w:beforeAutospacing="0" w:after="0" w:afterAutospacing="0" w:line="360" w:lineRule="auto"/>
        <w:ind w:firstLine="420"/>
        <w:rPr>
          <w:sz w:val="21"/>
          <w:szCs w:val="21"/>
        </w:rPr>
      </w:pPr>
      <w:r>
        <w:rPr>
          <w:rFonts w:hint="eastAsia"/>
          <w:sz w:val="21"/>
          <w:szCs w:val="21"/>
        </w:rPr>
        <w:t xml:space="preserve">T日预估现金差额＝T—1日最小申购、赎回单位的基金资产净值－（申购赎回清单中必须现金替代的固定替代金额总额+申购赎回清单中可以现金替代的所有成份证券的数量与该证券调整后T日开盘参考价乘积之和＋申购赎回清单中禁止现金替代的所有成份证券的数量与该证券调整后T日开盘参考价乘积之和） </w:t>
      </w:r>
    </w:p>
    <w:p w14:paraId="57FB06D0">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中证指数有限公司提供的标的指数成份证券的调整后开盘参考价确定。另外，若T日为基金分红除息日，则计算公式中的“T－1日最小申购、赎回单位的基金资产净值”需要扣减相应的收益分配数额。 </w:t>
      </w:r>
    </w:p>
    <w:p w14:paraId="0FD9BB17">
      <w:pPr>
        <w:pStyle w:val="7"/>
        <w:spacing w:before="0" w:beforeAutospacing="0" w:after="0" w:afterAutospacing="0" w:line="360" w:lineRule="auto"/>
        <w:ind w:firstLine="420"/>
        <w:rPr>
          <w:sz w:val="21"/>
          <w:szCs w:val="21"/>
        </w:rPr>
      </w:pPr>
      <w:r>
        <w:rPr>
          <w:rFonts w:hint="eastAsia"/>
          <w:sz w:val="21"/>
          <w:szCs w:val="21"/>
        </w:rPr>
        <w:t xml:space="preserve">预估现金差额的数值可能为正、为负或为零。 </w:t>
      </w:r>
    </w:p>
    <w:p w14:paraId="4ED43F30">
      <w:pPr>
        <w:pStyle w:val="7"/>
        <w:spacing w:before="0" w:beforeAutospacing="0" w:after="0" w:afterAutospacing="0" w:line="360" w:lineRule="auto"/>
        <w:ind w:firstLine="420"/>
        <w:rPr>
          <w:sz w:val="21"/>
          <w:szCs w:val="21"/>
        </w:rPr>
      </w:pPr>
      <w:r>
        <w:rPr>
          <w:rFonts w:hint="eastAsia"/>
          <w:sz w:val="21"/>
          <w:szCs w:val="21"/>
        </w:rPr>
        <w:t xml:space="preserve">5、现金差额 </w:t>
      </w:r>
    </w:p>
    <w:p w14:paraId="5EA91D8E">
      <w:pPr>
        <w:pStyle w:val="7"/>
        <w:spacing w:before="0" w:beforeAutospacing="0" w:after="0" w:afterAutospacing="0" w:line="360" w:lineRule="auto"/>
        <w:ind w:firstLine="420"/>
        <w:rPr>
          <w:sz w:val="21"/>
          <w:szCs w:val="21"/>
        </w:rPr>
      </w:pPr>
      <w:r>
        <w:rPr>
          <w:rFonts w:hint="eastAsia"/>
          <w:sz w:val="21"/>
          <w:szCs w:val="21"/>
        </w:rPr>
        <w:t xml:space="preserve">现金差额指最小申购、赎回单位的资产净值与按当日收盘价计算的最小申购、赎回单位中的组合证券市值和现金替代之差。 </w:t>
      </w:r>
    </w:p>
    <w:p w14:paraId="7491A0BB">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14:paraId="6128524F">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现金替代的固定替代金额总额＋申购赎回清单中可以现金替代的所有成份证券的数量与该证券T日收盘价乘积之和＋申购赎回清单中禁止现金替代的所有成份证券的数量与该证券T日收盘价乘积之和） </w:t>
      </w:r>
    </w:p>
    <w:p w14:paraId="082B7813">
      <w:pPr>
        <w:pStyle w:val="7"/>
        <w:spacing w:before="0" w:beforeAutospacing="0" w:after="0" w:afterAutospacing="0" w:line="360" w:lineRule="auto"/>
        <w:ind w:firstLine="420"/>
        <w:rPr>
          <w:sz w:val="21"/>
          <w:szCs w:val="21"/>
        </w:rPr>
      </w:pPr>
      <w:r>
        <w:rPr>
          <w:rFonts w:hint="eastAsia"/>
          <w:sz w:val="21"/>
          <w:szCs w:val="21"/>
        </w:rPr>
        <w:t xml:space="preserve">T日投资人申购、赎回的基金份额，需按T＋1日公告的T日现金差额进行资金的清算交收。现金差额的数值可能为正、为负或为零。 </w:t>
      </w:r>
    </w:p>
    <w:p w14:paraId="27E00A59">
      <w:pPr>
        <w:pStyle w:val="7"/>
        <w:spacing w:before="0" w:beforeAutospacing="0" w:after="0" w:afterAutospacing="0" w:line="360" w:lineRule="auto"/>
        <w:ind w:firstLine="420"/>
        <w:rPr>
          <w:sz w:val="21"/>
          <w:szCs w:val="21"/>
        </w:rPr>
      </w:pPr>
      <w:r>
        <w:rPr>
          <w:rFonts w:hint="eastAsia"/>
          <w:sz w:val="21"/>
          <w:szCs w:val="21"/>
        </w:rPr>
        <w:t xml:space="preserve">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14:paraId="591A5563">
      <w:pPr>
        <w:pStyle w:val="7"/>
        <w:spacing w:before="0" w:beforeAutospacing="0" w:after="0" w:afterAutospacing="0" w:line="360" w:lineRule="auto"/>
        <w:ind w:firstLine="420"/>
        <w:rPr>
          <w:sz w:val="21"/>
          <w:szCs w:val="21"/>
        </w:rPr>
      </w:pPr>
      <w:r>
        <w:rPr>
          <w:rFonts w:hint="eastAsia"/>
          <w:sz w:val="21"/>
          <w:szCs w:val="21"/>
        </w:rPr>
        <w:t xml:space="preserve">6、申购赎回清单的格式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685"/>
        <w:gridCol w:w="685"/>
        <w:gridCol w:w="857"/>
        <w:gridCol w:w="802"/>
        <w:gridCol w:w="801"/>
        <w:gridCol w:w="1603"/>
        <w:gridCol w:w="857"/>
        <w:gridCol w:w="857"/>
        <w:gridCol w:w="685"/>
      </w:tblGrid>
      <w:tr w14:paraId="754F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243C4839">
            <w:pPr>
              <w:jc w:val="center"/>
              <w:rPr>
                <w:rFonts w:ascii="宋体" w:hAnsi="宋体" w:eastAsia="宋体" w:cs="宋体"/>
                <w:sz w:val="24"/>
                <w:szCs w:val="24"/>
              </w:rPr>
            </w:pPr>
            <w:r>
              <w:rPr>
                <w:rFonts w:hint="eastAsia" w:ascii="宋体" w:hAnsi="宋体" w:eastAsia="宋体"/>
              </w:rPr>
              <w:t xml:space="preserve">基本信息 </w:t>
            </w:r>
          </w:p>
        </w:tc>
      </w:tr>
      <w:tr w14:paraId="0A6B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82CB608">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5"/>
            <w:shd w:val="clear" w:color="auto" w:fill="auto"/>
          </w:tcPr>
          <w:p w14:paraId="1668011D">
            <w:pPr>
              <w:jc w:val="center"/>
              <w:rPr>
                <w:rFonts w:ascii="宋体" w:hAnsi="宋体" w:eastAsia="宋体" w:cs="宋体"/>
                <w:sz w:val="24"/>
                <w:szCs w:val="24"/>
              </w:rPr>
            </w:pPr>
            <w:r>
              <w:rPr>
                <w:rFonts w:hint="eastAsia" w:ascii="宋体" w:hAnsi="宋体" w:eastAsia="宋体"/>
              </w:rPr>
              <w:t xml:space="preserve">202X年 月   日 </w:t>
            </w:r>
          </w:p>
        </w:tc>
      </w:tr>
      <w:tr w14:paraId="63BA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4698041">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5"/>
            <w:shd w:val="clear" w:color="auto" w:fill="auto"/>
          </w:tcPr>
          <w:p w14:paraId="177481C1">
            <w:pPr>
              <w:jc w:val="center"/>
              <w:rPr>
                <w:rFonts w:ascii="宋体" w:hAnsi="宋体" w:eastAsia="宋体" w:cs="宋体"/>
                <w:sz w:val="24"/>
                <w:szCs w:val="24"/>
              </w:rPr>
            </w:pPr>
            <w:bookmarkStart w:id="99" w:name="field_0_productfullname_14"/>
            <w:r>
              <w:rPr>
                <w:rFonts w:hint="eastAsia" w:ascii="宋体" w:hAnsi="宋体" w:eastAsia="宋体"/>
              </w:rPr>
              <w:t>博时中证成渝地区双城经济圈成份交易型开放式指数证券投资基金</w:t>
            </w:r>
            <w:bookmarkEnd w:id="99"/>
            <w:r>
              <w:rPr>
                <w:rFonts w:hint="eastAsia" w:ascii="宋体" w:hAnsi="宋体" w:eastAsia="宋体"/>
              </w:rPr>
              <w:t xml:space="preserve">  </w:t>
            </w:r>
          </w:p>
        </w:tc>
      </w:tr>
      <w:tr w14:paraId="4D74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438C5498">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5"/>
            <w:shd w:val="clear" w:color="auto" w:fill="auto"/>
          </w:tcPr>
          <w:p w14:paraId="5F996EC4">
            <w:pPr>
              <w:jc w:val="center"/>
              <w:rPr>
                <w:rFonts w:ascii="宋体" w:hAnsi="宋体" w:eastAsia="宋体" w:cs="宋体"/>
                <w:sz w:val="24"/>
                <w:szCs w:val="24"/>
              </w:rPr>
            </w:pPr>
            <w:r>
              <w:rPr>
                <w:rFonts w:hint="eastAsia" w:ascii="宋体" w:hAnsi="宋体" w:eastAsia="宋体"/>
              </w:rPr>
              <w:t xml:space="preserve">博时基金管理有限公司 </w:t>
            </w:r>
          </w:p>
        </w:tc>
      </w:tr>
      <w:tr w14:paraId="0286A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CD1844C">
            <w:pPr>
              <w:jc w:val="center"/>
              <w:rPr>
                <w:rFonts w:ascii="宋体" w:hAnsi="宋体" w:eastAsia="宋体" w:cs="宋体"/>
                <w:sz w:val="24"/>
                <w:szCs w:val="24"/>
              </w:rPr>
            </w:pPr>
            <w:r>
              <w:rPr>
                <w:rFonts w:hint="eastAsia" w:ascii="宋体" w:hAnsi="宋体" w:eastAsia="宋体"/>
              </w:rPr>
              <w:t xml:space="preserve">基金代码 </w:t>
            </w:r>
          </w:p>
        </w:tc>
        <w:tc>
          <w:tcPr>
            <w:tcW w:w="0" w:type="auto"/>
            <w:gridSpan w:val="5"/>
            <w:shd w:val="clear" w:color="auto" w:fill="auto"/>
          </w:tcPr>
          <w:p w14:paraId="20B95233">
            <w:pPr>
              <w:pStyle w:val="7"/>
              <w:jc w:val="center"/>
            </w:pPr>
            <w:r>
              <w:rPr>
                <w:rFonts w:hint="eastAsia"/>
              </w:rPr>
              <w:t xml:space="preserve">159623 </w:t>
            </w:r>
          </w:p>
        </w:tc>
      </w:tr>
      <w:tr w14:paraId="0BBDE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BCAE55C">
            <w:pPr>
              <w:jc w:val="center"/>
              <w:rPr>
                <w:rFonts w:ascii="宋体" w:hAnsi="宋体" w:eastAsia="宋体" w:cs="宋体"/>
                <w:sz w:val="24"/>
                <w:szCs w:val="24"/>
              </w:rPr>
            </w:pPr>
            <w:r>
              <w:rPr>
                <w:rFonts w:hint="eastAsia" w:ascii="宋体" w:hAnsi="宋体" w:eastAsia="宋体"/>
              </w:rPr>
              <w:t xml:space="preserve">目标指数代码： </w:t>
            </w:r>
          </w:p>
        </w:tc>
        <w:tc>
          <w:tcPr>
            <w:tcW w:w="0" w:type="auto"/>
            <w:gridSpan w:val="5"/>
            <w:shd w:val="clear" w:color="auto" w:fill="auto"/>
          </w:tcPr>
          <w:p w14:paraId="00EBD29E">
            <w:pPr>
              <w:pStyle w:val="7"/>
              <w:jc w:val="center"/>
            </w:pPr>
            <w:r>
              <w:rPr>
                <w:rFonts w:hint="eastAsia"/>
              </w:rPr>
              <w:t xml:space="preserve">931695 </w:t>
            </w:r>
          </w:p>
        </w:tc>
      </w:tr>
      <w:tr w14:paraId="54C4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7502C829">
            <w:pPr>
              <w:jc w:val="center"/>
              <w:rPr>
                <w:rFonts w:ascii="宋体" w:hAnsi="宋体" w:eastAsia="宋体" w:cs="宋体"/>
                <w:sz w:val="24"/>
                <w:szCs w:val="24"/>
              </w:rPr>
            </w:pPr>
            <w:r>
              <w:rPr>
                <w:rFonts w:hint="eastAsia" w:ascii="宋体" w:hAnsi="宋体" w:eastAsia="宋体"/>
              </w:rPr>
              <w:t xml:space="preserve">基金类型： </w:t>
            </w:r>
          </w:p>
        </w:tc>
        <w:tc>
          <w:tcPr>
            <w:tcW w:w="0" w:type="auto"/>
            <w:gridSpan w:val="5"/>
            <w:shd w:val="clear" w:color="auto" w:fill="auto"/>
          </w:tcPr>
          <w:p w14:paraId="109D1812">
            <w:pPr>
              <w:jc w:val="center"/>
              <w:rPr>
                <w:rFonts w:ascii="宋体" w:hAnsi="宋体" w:eastAsia="宋体" w:cs="宋体"/>
                <w:sz w:val="24"/>
                <w:szCs w:val="24"/>
              </w:rPr>
            </w:pPr>
            <w:r>
              <w:rPr>
                <w:rFonts w:hint="eastAsia" w:ascii="宋体" w:hAnsi="宋体" w:eastAsia="宋体"/>
              </w:rPr>
              <w:t xml:space="preserve">跨市场ETF </w:t>
            </w:r>
          </w:p>
        </w:tc>
      </w:tr>
      <w:tr w14:paraId="052C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60339FAE">
            <w:pPr>
              <w:jc w:val="center"/>
              <w:rPr>
                <w:rFonts w:ascii="宋体" w:hAnsi="宋体" w:eastAsia="宋体" w:cs="宋体"/>
                <w:sz w:val="24"/>
                <w:szCs w:val="24"/>
              </w:rPr>
            </w:pPr>
            <w:r>
              <w:rPr>
                <w:rFonts w:hint="eastAsia" w:ascii="宋体" w:hAnsi="宋体" w:eastAsia="宋体"/>
              </w:rPr>
              <w:t xml:space="preserve">T－1日信息内容 </w:t>
            </w:r>
          </w:p>
        </w:tc>
      </w:tr>
      <w:tr w14:paraId="6A63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3394EA93">
            <w:pPr>
              <w:jc w:val="center"/>
              <w:rPr>
                <w:rFonts w:ascii="宋体" w:hAnsi="宋体" w:eastAsia="宋体" w:cs="宋体"/>
                <w:sz w:val="24"/>
                <w:szCs w:val="24"/>
              </w:rPr>
            </w:pPr>
            <w:r>
              <w:rPr>
                <w:rFonts w:hint="eastAsia" w:ascii="宋体" w:hAnsi="宋体" w:eastAsia="宋体"/>
              </w:rPr>
              <w:t xml:space="preserve">现金差额（单位：元） </w:t>
            </w:r>
          </w:p>
        </w:tc>
        <w:tc>
          <w:tcPr>
            <w:tcW w:w="0" w:type="auto"/>
            <w:gridSpan w:val="5"/>
            <w:shd w:val="clear" w:color="auto" w:fill="auto"/>
          </w:tcPr>
          <w:p w14:paraId="793EA49C">
            <w:pPr>
              <w:jc w:val="center"/>
              <w:rPr>
                <w:rFonts w:ascii="宋体" w:hAnsi="宋体" w:eastAsia="宋体" w:cs="宋体"/>
                <w:sz w:val="24"/>
                <w:szCs w:val="24"/>
              </w:rPr>
            </w:pPr>
            <w:r>
              <w:rPr>
                <w:rFonts w:hint="eastAsia" w:ascii="宋体" w:hAnsi="宋体" w:eastAsia="宋体"/>
              </w:rPr>
              <w:t xml:space="preserve">XXXX.XX </w:t>
            </w:r>
          </w:p>
        </w:tc>
      </w:tr>
      <w:tr w14:paraId="727DD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E465A37">
            <w:pPr>
              <w:jc w:val="center"/>
              <w:rPr>
                <w:rFonts w:ascii="宋体" w:hAnsi="宋体" w:eastAsia="宋体" w:cs="宋体"/>
                <w:sz w:val="24"/>
                <w:szCs w:val="24"/>
              </w:rPr>
            </w:pPr>
            <w:r>
              <w:rPr>
                <w:rFonts w:hint="eastAsia" w:ascii="宋体" w:hAnsi="宋体" w:eastAsia="宋体"/>
              </w:rPr>
              <w:t xml:space="preserve">最小申购赎回单位资产净值（单位：元） </w:t>
            </w:r>
          </w:p>
        </w:tc>
        <w:tc>
          <w:tcPr>
            <w:tcW w:w="0" w:type="auto"/>
            <w:gridSpan w:val="5"/>
            <w:shd w:val="clear" w:color="auto" w:fill="auto"/>
          </w:tcPr>
          <w:p w14:paraId="2D9B6306">
            <w:pPr>
              <w:jc w:val="center"/>
              <w:rPr>
                <w:rFonts w:ascii="宋体" w:hAnsi="宋体" w:eastAsia="宋体" w:cs="宋体"/>
                <w:sz w:val="24"/>
                <w:szCs w:val="24"/>
              </w:rPr>
            </w:pPr>
            <w:r>
              <w:rPr>
                <w:rFonts w:hint="eastAsia" w:ascii="宋体" w:hAnsi="宋体" w:eastAsia="宋体"/>
              </w:rPr>
              <w:t xml:space="preserve">XXXX.XX </w:t>
            </w:r>
          </w:p>
        </w:tc>
      </w:tr>
      <w:tr w14:paraId="239B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6245FB13">
            <w:pPr>
              <w:jc w:val="center"/>
              <w:rPr>
                <w:rFonts w:ascii="宋体" w:hAnsi="宋体" w:eastAsia="宋体" w:cs="宋体"/>
                <w:sz w:val="24"/>
                <w:szCs w:val="24"/>
              </w:rPr>
            </w:pPr>
            <w:r>
              <w:rPr>
                <w:rFonts w:hint="eastAsia" w:ascii="宋体" w:hAnsi="宋体" w:eastAsia="宋体"/>
              </w:rPr>
              <w:t xml:space="preserve">基金份额净值（单位：元） </w:t>
            </w:r>
          </w:p>
        </w:tc>
        <w:tc>
          <w:tcPr>
            <w:tcW w:w="0" w:type="auto"/>
            <w:gridSpan w:val="5"/>
            <w:shd w:val="clear" w:color="auto" w:fill="auto"/>
          </w:tcPr>
          <w:p w14:paraId="42445703">
            <w:pPr>
              <w:jc w:val="center"/>
              <w:rPr>
                <w:rFonts w:ascii="宋体" w:hAnsi="宋体" w:eastAsia="宋体" w:cs="宋体"/>
                <w:sz w:val="24"/>
                <w:szCs w:val="24"/>
              </w:rPr>
            </w:pPr>
            <w:r>
              <w:rPr>
                <w:rFonts w:hint="eastAsia" w:ascii="宋体" w:hAnsi="宋体" w:eastAsia="宋体"/>
              </w:rPr>
              <w:t xml:space="preserve">X.XXXX </w:t>
            </w:r>
          </w:p>
        </w:tc>
      </w:tr>
      <w:tr w14:paraId="593F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78C9A752">
            <w:pPr>
              <w:jc w:val="center"/>
              <w:rPr>
                <w:rFonts w:ascii="宋体" w:hAnsi="宋体" w:eastAsia="宋体" w:cs="宋体"/>
                <w:sz w:val="24"/>
                <w:szCs w:val="24"/>
              </w:rPr>
            </w:pPr>
            <w:r>
              <w:rPr>
                <w:rFonts w:hint="eastAsia" w:ascii="宋体" w:hAnsi="宋体" w:eastAsia="宋体"/>
              </w:rPr>
              <w:t xml:space="preserve">T日信息内容 </w:t>
            </w:r>
          </w:p>
        </w:tc>
      </w:tr>
      <w:tr w14:paraId="310A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2C5804B3">
            <w:pPr>
              <w:jc w:val="center"/>
              <w:rPr>
                <w:rFonts w:ascii="宋体" w:hAnsi="宋体" w:eastAsia="宋体" w:cs="宋体"/>
                <w:sz w:val="24"/>
                <w:szCs w:val="24"/>
              </w:rPr>
            </w:pPr>
            <w:r>
              <w:rPr>
                <w:rFonts w:hint="eastAsia" w:ascii="宋体" w:hAnsi="宋体" w:eastAsia="宋体"/>
              </w:rPr>
              <w:t xml:space="preserve">预估现金差额（单位：元） </w:t>
            </w:r>
          </w:p>
        </w:tc>
        <w:tc>
          <w:tcPr>
            <w:tcW w:w="0" w:type="auto"/>
            <w:gridSpan w:val="5"/>
            <w:shd w:val="clear" w:color="auto" w:fill="auto"/>
          </w:tcPr>
          <w:p w14:paraId="3038B4B4">
            <w:pPr>
              <w:jc w:val="center"/>
              <w:rPr>
                <w:rFonts w:ascii="宋体" w:hAnsi="宋体" w:eastAsia="宋体" w:cs="宋体"/>
                <w:sz w:val="24"/>
                <w:szCs w:val="24"/>
              </w:rPr>
            </w:pPr>
            <w:r>
              <w:rPr>
                <w:rFonts w:hint="eastAsia" w:ascii="宋体" w:hAnsi="宋体" w:eastAsia="宋体"/>
              </w:rPr>
              <w:t xml:space="preserve">XXXX.XX </w:t>
            </w:r>
          </w:p>
        </w:tc>
      </w:tr>
      <w:tr w14:paraId="6D04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660F309">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5"/>
            <w:shd w:val="clear" w:color="auto" w:fill="auto"/>
          </w:tcPr>
          <w:p w14:paraId="0001B513">
            <w:pPr>
              <w:jc w:val="center"/>
              <w:rPr>
                <w:rFonts w:ascii="宋体" w:hAnsi="宋体" w:eastAsia="宋体" w:cs="宋体"/>
                <w:sz w:val="24"/>
                <w:szCs w:val="24"/>
              </w:rPr>
            </w:pPr>
            <w:r>
              <w:rPr>
                <w:rFonts w:hint="eastAsia" w:ascii="宋体" w:hAnsi="宋体" w:eastAsia="宋体"/>
              </w:rPr>
              <w:t xml:space="preserve">无 </w:t>
            </w:r>
          </w:p>
        </w:tc>
      </w:tr>
      <w:tr w14:paraId="43F4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03BE22E1">
            <w:pPr>
              <w:jc w:val="center"/>
              <w:rPr>
                <w:rFonts w:ascii="宋体" w:hAnsi="宋体" w:eastAsia="宋体" w:cs="宋体"/>
                <w:sz w:val="24"/>
                <w:szCs w:val="24"/>
              </w:rPr>
            </w:pPr>
            <w:r>
              <w:rPr>
                <w:rFonts w:hint="eastAsia" w:ascii="宋体" w:hAnsi="宋体" w:eastAsia="宋体"/>
              </w:rPr>
              <w:t xml:space="preserve">申购上限 </w:t>
            </w:r>
          </w:p>
        </w:tc>
        <w:tc>
          <w:tcPr>
            <w:tcW w:w="0" w:type="auto"/>
            <w:gridSpan w:val="5"/>
            <w:shd w:val="clear" w:color="auto" w:fill="auto"/>
          </w:tcPr>
          <w:p w14:paraId="49AD3CC8">
            <w:pPr>
              <w:jc w:val="center"/>
              <w:rPr>
                <w:rFonts w:ascii="宋体" w:hAnsi="宋体" w:eastAsia="宋体" w:cs="宋体"/>
                <w:sz w:val="24"/>
                <w:szCs w:val="24"/>
              </w:rPr>
            </w:pPr>
            <w:r>
              <w:rPr>
                <w:rFonts w:hint="eastAsia" w:ascii="宋体" w:hAnsi="宋体" w:eastAsia="宋体"/>
              </w:rPr>
              <w:t xml:space="preserve">无 </w:t>
            </w:r>
          </w:p>
        </w:tc>
      </w:tr>
      <w:tr w14:paraId="2F4B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160D083E">
            <w:pPr>
              <w:jc w:val="center"/>
              <w:rPr>
                <w:rFonts w:ascii="宋体" w:hAnsi="宋体" w:eastAsia="宋体" w:cs="宋体"/>
                <w:sz w:val="24"/>
                <w:szCs w:val="24"/>
              </w:rPr>
            </w:pPr>
            <w:r>
              <w:rPr>
                <w:rFonts w:hint="eastAsia" w:ascii="宋体" w:hAnsi="宋体" w:eastAsia="宋体"/>
              </w:rPr>
              <w:t xml:space="preserve">赎回上限 </w:t>
            </w:r>
          </w:p>
        </w:tc>
        <w:tc>
          <w:tcPr>
            <w:tcW w:w="0" w:type="auto"/>
            <w:gridSpan w:val="5"/>
            <w:shd w:val="clear" w:color="auto" w:fill="auto"/>
          </w:tcPr>
          <w:p w14:paraId="0238FB69">
            <w:pPr>
              <w:jc w:val="center"/>
              <w:rPr>
                <w:rFonts w:ascii="宋体" w:hAnsi="宋体" w:eastAsia="宋体" w:cs="宋体"/>
                <w:sz w:val="24"/>
                <w:szCs w:val="24"/>
              </w:rPr>
            </w:pPr>
            <w:r>
              <w:rPr>
                <w:rFonts w:hint="eastAsia" w:ascii="宋体" w:hAnsi="宋体" w:eastAsia="宋体"/>
              </w:rPr>
              <w:t xml:space="preserve">无 </w:t>
            </w:r>
          </w:p>
        </w:tc>
      </w:tr>
      <w:tr w14:paraId="6318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3F7EA748">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5"/>
            <w:shd w:val="clear" w:color="auto" w:fill="auto"/>
          </w:tcPr>
          <w:p w14:paraId="123AEBC1">
            <w:pPr>
              <w:jc w:val="center"/>
              <w:rPr>
                <w:rFonts w:ascii="宋体" w:hAnsi="宋体" w:eastAsia="宋体" w:cs="宋体"/>
                <w:sz w:val="24"/>
                <w:szCs w:val="24"/>
              </w:rPr>
            </w:pPr>
            <w:r>
              <w:rPr>
                <w:rFonts w:hint="eastAsia" w:ascii="宋体" w:hAnsi="宋体" w:eastAsia="宋体"/>
              </w:rPr>
              <w:t xml:space="preserve">是 </w:t>
            </w:r>
          </w:p>
        </w:tc>
      </w:tr>
      <w:tr w14:paraId="6768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FF29C77">
            <w:pPr>
              <w:jc w:val="center"/>
              <w:rPr>
                <w:rFonts w:ascii="宋体" w:hAnsi="宋体" w:eastAsia="宋体" w:cs="宋体"/>
                <w:sz w:val="24"/>
                <w:szCs w:val="24"/>
              </w:rPr>
            </w:pPr>
            <w:r>
              <w:rPr>
                <w:rFonts w:hint="eastAsia" w:ascii="宋体" w:hAnsi="宋体" w:eastAsia="宋体"/>
              </w:rPr>
              <w:t xml:space="preserve">最小申购赎回单位（单位：份） </w:t>
            </w:r>
          </w:p>
        </w:tc>
        <w:tc>
          <w:tcPr>
            <w:tcW w:w="0" w:type="auto"/>
            <w:gridSpan w:val="5"/>
            <w:shd w:val="clear" w:color="auto" w:fill="auto"/>
          </w:tcPr>
          <w:p w14:paraId="2DABC123">
            <w:pPr>
              <w:jc w:val="center"/>
              <w:rPr>
                <w:rFonts w:ascii="宋体" w:hAnsi="宋体" w:eastAsia="宋体" w:cs="宋体"/>
                <w:sz w:val="24"/>
                <w:szCs w:val="24"/>
              </w:rPr>
            </w:pPr>
            <w:r>
              <w:rPr>
                <w:rFonts w:hint="eastAsia" w:ascii="宋体" w:hAnsi="宋体" w:eastAsia="宋体"/>
              </w:rPr>
              <w:t xml:space="preserve">1,000,000 </w:t>
            </w:r>
          </w:p>
        </w:tc>
      </w:tr>
      <w:tr w14:paraId="265B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14:paraId="55FCC4C0">
            <w:pPr>
              <w:jc w:val="center"/>
              <w:rPr>
                <w:rFonts w:ascii="宋体" w:hAnsi="宋体" w:eastAsia="宋体" w:cs="宋体"/>
                <w:sz w:val="24"/>
                <w:szCs w:val="24"/>
              </w:rPr>
            </w:pPr>
            <w:r>
              <w:rPr>
                <w:rFonts w:hint="eastAsia" w:ascii="宋体" w:hAnsi="宋体" w:eastAsia="宋体"/>
              </w:rPr>
              <w:t xml:space="preserve">申购、赎回的允许情况 </w:t>
            </w:r>
          </w:p>
        </w:tc>
        <w:tc>
          <w:tcPr>
            <w:tcW w:w="0" w:type="auto"/>
            <w:gridSpan w:val="5"/>
            <w:shd w:val="clear" w:color="auto" w:fill="auto"/>
          </w:tcPr>
          <w:p w14:paraId="0A78CC01">
            <w:pPr>
              <w:jc w:val="center"/>
              <w:rPr>
                <w:rFonts w:ascii="宋体" w:hAnsi="宋体" w:eastAsia="宋体" w:cs="宋体"/>
                <w:sz w:val="24"/>
                <w:szCs w:val="24"/>
              </w:rPr>
            </w:pPr>
            <w:r>
              <w:rPr>
                <w:rFonts w:hint="eastAsia" w:ascii="宋体" w:hAnsi="宋体" w:eastAsia="宋体"/>
              </w:rPr>
              <w:t xml:space="preserve">申购、赎回皆允许 </w:t>
            </w:r>
          </w:p>
        </w:tc>
      </w:tr>
      <w:tr w14:paraId="4356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10"/>
            <w:shd w:val="clear" w:color="auto" w:fill="auto"/>
          </w:tcPr>
          <w:p w14:paraId="29734C65">
            <w:pPr>
              <w:jc w:val="center"/>
              <w:rPr>
                <w:rFonts w:ascii="宋体" w:hAnsi="宋体" w:eastAsia="宋体" w:cs="宋体"/>
                <w:sz w:val="24"/>
                <w:szCs w:val="24"/>
              </w:rPr>
            </w:pPr>
            <w:r>
              <w:rPr>
                <w:rFonts w:hint="eastAsia" w:ascii="宋体" w:hAnsi="宋体" w:eastAsia="宋体"/>
              </w:rPr>
              <w:t xml:space="preserve">T日成份股信息内容 </w:t>
            </w:r>
          </w:p>
        </w:tc>
      </w:tr>
      <w:tr w14:paraId="12A9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810722">
            <w:pPr>
              <w:jc w:val="center"/>
              <w:rPr>
                <w:rFonts w:ascii="宋体" w:hAnsi="宋体" w:eastAsia="宋体" w:cs="宋体"/>
                <w:sz w:val="24"/>
                <w:szCs w:val="24"/>
              </w:rPr>
            </w:pPr>
            <w:r>
              <w:rPr>
                <w:rFonts w:hint="eastAsia" w:ascii="宋体" w:hAnsi="宋体" w:eastAsia="宋体"/>
              </w:rPr>
              <w:t xml:space="preserve">证券代码 </w:t>
            </w:r>
          </w:p>
        </w:tc>
        <w:tc>
          <w:tcPr>
            <w:tcW w:w="0" w:type="auto"/>
            <w:shd w:val="clear" w:color="auto" w:fill="auto"/>
          </w:tcPr>
          <w:p w14:paraId="38AA380E">
            <w:pPr>
              <w:jc w:val="center"/>
              <w:rPr>
                <w:rFonts w:ascii="宋体" w:hAnsi="宋体" w:eastAsia="宋体" w:cs="宋体"/>
                <w:sz w:val="24"/>
                <w:szCs w:val="24"/>
              </w:rPr>
            </w:pPr>
            <w:r>
              <w:rPr>
                <w:rFonts w:hint="eastAsia" w:ascii="宋体" w:hAnsi="宋体" w:eastAsia="宋体"/>
              </w:rPr>
              <w:t xml:space="preserve">证券简称 </w:t>
            </w:r>
          </w:p>
        </w:tc>
        <w:tc>
          <w:tcPr>
            <w:tcW w:w="0" w:type="auto"/>
            <w:shd w:val="clear" w:color="auto" w:fill="auto"/>
          </w:tcPr>
          <w:p w14:paraId="3A316624">
            <w:pPr>
              <w:jc w:val="center"/>
              <w:rPr>
                <w:rFonts w:ascii="宋体" w:hAnsi="宋体" w:eastAsia="宋体" w:cs="宋体"/>
                <w:sz w:val="24"/>
                <w:szCs w:val="24"/>
              </w:rPr>
            </w:pPr>
            <w:r>
              <w:rPr>
                <w:rFonts w:hint="eastAsia" w:ascii="宋体" w:hAnsi="宋体" w:eastAsia="宋体"/>
              </w:rPr>
              <w:t xml:space="preserve">股份数量 </w:t>
            </w:r>
          </w:p>
        </w:tc>
        <w:tc>
          <w:tcPr>
            <w:tcW w:w="0" w:type="auto"/>
            <w:shd w:val="clear" w:color="auto" w:fill="auto"/>
          </w:tcPr>
          <w:p w14:paraId="06D60BA4">
            <w:pPr>
              <w:jc w:val="center"/>
              <w:rPr>
                <w:rFonts w:ascii="宋体" w:hAnsi="宋体" w:eastAsia="宋体" w:cs="宋体"/>
                <w:sz w:val="24"/>
                <w:szCs w:val="24"/>
              </w:rPr>
            </w:pPr>
            <w:r>
              <w:rPr>
                <w:rFonts w:hint="eastAsia" w:ascii="宋体" w:hAnsi="宋体" w:eastAsia="宋体"/>
              </w:rPr>
              <w:t xml:space="preserve">现金替代标志 </w:t>
            </w:r>
          </w:p>
        </w:tc>
        <w:tc>
          <w:tcPr>
            <w:tcW w:w="0" w:type="auto"/>
            <w:gridSpan w:val="2"/>
            <w:shd w:val="clear" w:color="auto" w:fill="auto"/>
          </w:tcPr>
          <w:p w14:paraId="4B705469">
            <w:pPr>
              <w:jc w:val="center"/>
              <w:rPr>
                <w:rFonts w:ascii="宋体" w:hAnsi="宋体" w:eastAsia="宋体" w:cs="宋体"/>
                <w:sz w:val="24"/>
                <w:szCs w:val="24"/>
              </w:rPr>
            </w:pPr>
            <w:r>
              <w:rPr>
                <w:rFonts w:hint="eastAsia" w:ascii="宋体" w:hAnsi="宋体" w:eastAsia="宋体"/>
              </w:rPr>
              <w:t xml:space="preserve">申购现金替代保证金率（%） </w:t>
            </w:r>
          </w:p>
        </w:tc>
        <w:tc>
          <w:tcPr>
            <w:tcW w:w="0" w:type="auto"/>
            <w:shd w:val="clear" w:color="auto" w:fill="auto"/>
          </w:tcPr>
          <w:p w14:paraId="53A4581A">
            <w:pPr>
              <w:jc w:val="center"/>
              <w:rPr>
                <w:rFonts w:ascii="宋体" w:hAnsi="宋体" w:eastAsia="宋体" w:cs="宋体"/>
                <w:sz w:val="24"/>
                <w:szCs w:val="24"/>
              </w:rPr>
            </w:pPr>
            <w:r>
              <w:rPr>
                <w:rFonts w:hint="eastAsia" w:ascii="宋体" w:hAnsi="宋体" w:eastAsia="宋体"/>
              </w:rPr>
              <w:t xml:space="preserve">赎回现金替代保证金率（%） </w:t>
            </w:r>
          </w:p>
        </w:tc>
        <w:tc>
          <w:tcPr>
            <w:tcW w:w="0" w:type="auto"/>
            <w:shd w:val="clear" w:color="auto" w:fill="auto"/>
          </w:tcPr>
          <w:p w14:paraId="5355575D">
            <w:pPr>
              <w:jc w:val="center"/>
              <w:rPr>
                <w:rFonts w:ascii="宋体" w:hAnsi="宋体" w:eastAsia="宋体" w:cs="宋体"/>
                <w:sz w:val="24"/>
                <w:szCs w:val="24"/>
              </w:rPr>
            </w:pPr>
            <w:r>
              <w:rPr>
                <w:rFonts w:hint="eastAsia" w:ascii="宋体" w:hAnsi="宋体" w:eastAsia="宋体"/>
              </w:rPr>
              <w:t xml:space="preserve">申购替代金额 </w:t>
            </w:r>
          </w:p>
        </w:tc>
        <w:tc>
          <w:tcPr>
            <w:tcW w:w="0" w:type="auto"/>
            <w:shd w:val="clear" w:color="auto" w:fill="auto"/>
          </w:tcPr>
          <w:p w14:paraId="40C15861">
            <w:pPr>
              <w:jc w:val="center"/>
              <w:rPr>
                <w:rFonts w:ascii="宋体" w:hAnsi="宋体" w:eastAsia="宋体" w:cs="宋体"/>
                <w:sz w:val="24"/>
                <w:szCs w:val="24"/>
              </w:rPr>
            </w:pPr>
            <w:r>
              <w:rPr>
                <w:rFonts w:hint="eastAsia" w:ascii="宋体" w:hAnsi="宋体" w:eastAsia="宋体"/>
              </w:rPr>
              <w:t xml:space="preserve">赎回替代金额 </w:t>
            </w:r>
          </w:p>
        </w:tc>
        <w:tc>
          <w:tcPr>
            <w:tcW w:w="0" w:type="auto"/>
            <w:shd w:val="clear" w:color="auto" w:fill="auto"/>
          </w:tcPr>
          <w:p w14:paraId="2BB09DB2">
            <w:pPr>
              <w:jc w:val="center"/>
              <w:rPr>
                <w:rFonts w:ascii="宋体" w:hAnsi="宋体" w:eastAsia="宋体" w:cs="宋体"/>
                <w:sz w:val="24"/>
                <w:szCs w:val="24"/>
              </w:rPr>
            </w:pPr>
            <w:r>
              <w:rPr>
                <w:rFonts w:hint="eastAsia" w:ascii="宋体" w:hAnsi="宋体" w:eastAsia="宋体"/>
              </w:rPr>
              <w:t xml:space="preserve">挂牌市场 </w:t>
            </w:r>
          </w:p>
        </w:tc>
      </w:tr>
      <w:tr w14:paraId="1AA0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6E59E1">
            <w:pPr>
              <w:rPr>
                <w:rFonts w:ascii="宋体" w:hAnsi="宋体" w:eastAsia="宋体" w:cs="宋体"/>
                <w:sz w:val="24"/>
                <w:szCs w:val="24"/>
              </w:rPr>
            </w:pPr>
          </w:p>
        </w:tc>
        <w:tc>
          <w:tcPr>
            <w:tcW w:w="0" w:type="auto"/>
            <w:shd w:val="clear" w:color="auto" w:fill="auto"/>
          </w:tcPr>
          <w:p w14:paraId="68179A90">
            <w:pPr>
              <w:rPr>
                <w:rFonts w:ascii="宋体" w:hAnsi="宋体" w:eastAsia="宋体" w:cs="宋体"/>
                <w:sz w:val="24"/>
                <w:szCs w:val="24"/>
              </w:rPr>
            </w:pPr>
          </w:p>
        </w:tc>
        <w:tc>
          <w:tcPr>
            <w:tcW w:w="0" w:type="auto"/>
            <w:shd w:val="clear" w:color="auto" w:fill="auto"/>
          </w:tcPr>
          <w:p w14:paraId="39ACBF59">
            <w:pPr>
              <w:rPr>
                <w:rFonts w:ascii="宋体" w:hAnsi="宋体" w:eastAsia="宋体" w:cs="宋体"/>
                <w:sz w:val="24"/>
                <w:szCs w:val="24"/>
              </w:rPr>
            </w:pPr>
          </w:p>
        </w:tc>
        <w:tc>
          <w:tcPr>
            <w:tcW w:w="0" w:type="auto"/>
            <w:shd w:val="clear" w:color="auto" w:fill="auto"/>
          </w:tcPr>
          <w:p w14:paraId="6050B04B">
            <w:pPr>
              <w:rPr>
                <w:rFonts w:ascii="宋体" w:hAnsi="宋体" w:eastAsia="宋体" w:cs="宋体"/>
                <w:sz w:val="24"/>
                <w:szCs w:val="24"/>
              </w:rPr>
            </w:pPr>
          </w:p>
        </w:tc>
        <w:tc>
          <w:tcPr>
            <w:tcW w:w="0" w:type="auto"/>
            <w:gridSpan w:val="2"/>
            <w:shd w:val="clear" w:color="auto" w:fill="auto"/>
          </w:tcPr>
          <w:p w14:paraId="1B7AF18B">
            <w:pPr>
              <w:rPr>
                <w:rFonts w:ascii="宋体" w:hAnsi="宋体" w:eastAsia="宋体" w:cs="宋体"/>
                <w:sz w:val="24"/>
                <w:szCs w:val="24"/>
              </w:rPr>
            </w:pPr>
          </w:p>
        </w:tc>
        <w:tc>
          <w:tcPr>
            <w:tcW w:w="0" w:type="auto"/>
            <w:shd w:val="clear" w:color="auto" w:fill="auto"/>
          </w:tcPr>
          <w:p w14:paraId="01555B3A">
            <w:pPr>
              <w:rPr>
                <w:rFonts w:ascii="宋体" w:hAnsi="宋体" w:eastAsia="宋体" w:cs="宋体"/>
                <w:sz w:val="24"/>
                <w:szCs w:val="24"/>
              </w:rPr>
            </w:pPr>
          </w:p>
        </w:tc>
        <w:tc>
          <w:tcPr>
            <w:tcW w:w="0" w:type="auto"/>
            <w:shd w:val="clear" w:color="auto" w:fill="auto"/>
          </w:tcPr>
          <w:p w14:paraId="00A6CBD3">
            <w:pPr>
              <w:rPr>
                <w:rFonts w:ascii="宋体" w:hAnsi="宋体" w:eastAsia="宋体" w:cs="宋体"/>
                <w:sz w:val="24"/>
                <w:szCs w:val="24"/>
              </w:rPr>
            </w:pPr>
          </w:p>
        </w:tc>
        <w:tc>
          <w:tcPr>
            <w:tcW w:w="0" w:type="auto"/>
            <w:shd w:val="clear" w:color="auto" w:fill="auto"/>
          </w:tcPr>
          <w:p w14:paraId="4DE61507">
            <w:pPr>
              <w:rPr>
                <w:rFonts w:ascii="宋体" w:hAnsi="宋体" w:eastAsia="宋体" w:cs="宋体"/>
                <w:sz w:val="24"/>
                <w:szCs w:val="24"/>
              </w:rPr>
            </w:pPr>
          </w:p>
        </w:tc>
        <w:tc>
          <w:tcPr>
            <w:tcW w:w="0" w:type="auto"/>
            <w:shd w:val="clear" w:color="auto" w:fill="auto"/>
          </w:tcPr>
          <w:p w14:paraId="17A210BE">
            <w:pPr>
              <w:rPr>
                <w:rFonts w:ascii="宋体" w:hAnsi="宋体" w:eastAsia="宋体" w:cs="宋体"/>
                <w:sz w:val="24"/>
                <w:szCs w:val="24"/>
              </w:rPr>
            </w:pPr>
          </w:p>
        </w:tc>
      </w:tr>
    </w:tbl>
    <w:p w14:paraId="4ED6B603">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14:paraId="784C3EB3">
      <w:pPr>
        <w:pStyle w:val="7"/>
        <w:spacing w:before="0" w:beforeAutospacing="0" w:after="0" w:afterAutospacing="0" w:line="360" w:lineRule="auto"/>
        <w:ind w:firstLine="420"/>
        <w:rPr>
          <w:sz w:val="21"/>
          <w:szCs w:val="21"/>
        </w:rPr>
      </w:pPr>
      <w:r>
        <w:rPr>
          <w:rFonts w:hint="eastAsia"/>
          <w:sz w:val="21"/>
          <w:szCs w:val="21"/>
        </w:rPr>
        <w:t xml:space="preserve">（二）通过登记机构申购赎回 </w:t>
      </w:r>
    </w:p>
    <w:p w14:paraId="1EB5E7CA">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14:paraId="15774D51">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14:paraId="111C0C64">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14:paraId="3EB9B1C5">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14:paraId="5FB1A5FE">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14:paraId="0A9B8213">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0D9B3640">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现金替代分为3种类型：禁止现金替代（标志为“禁止”）、可以现金替代（标志为“允许”）和必须现金替代（标志为“必须”）。 </w:t>
      </w:r>
    </w:p>
    <w:p w14:paraId="4017AA88">
      <w:pPr>
        <w:pStyle w:val="7"/>
        <w:spacing w:before="0" w:beforeAutospacing="0" w:after="0" w:afterAutospacing="0" w:line="360" w:lineRule="auto"/>
        <w:ind w:firstLine="420"/>
        <w:rPr>
          <w:sz w:val="21"/>
          <w:szCs w:val="21"/>
        </w:rPr>
      </w:pPr>
      <w:r>
        <w:rPr>
          <w:rFonts w:hint="eastAsia"/>
          <w:sz w:val="21"/>
          <w:szCs w:val="21"/>
        </w:rPr>
        <w:t xml:space="preserve">禁止现金替代，是指在申购、赎回基金份额时，该成份证券不允许使用现金作为替代。 </w:t>
      </w:r>
    </w:p>
    <w:p w14:paraId="6047B0AD">
      <w:pPr>
        <w:pStyle w:val="7"/>
        <w:spacing w:before="0" w:beforeAutospacing="0" w:after="0" w:afterAutospacing="0" w:line="360" w:lineRule="auto"/>
        <w:ind w:firstLine="420"/>
        <w:rPr>
          <w:sz w:val="21"/>
          <w:szCs w:val="21"/>
        </w:rPr>
      </w:pPr>
      <w:r>
        <w:rPr>
          <w:rFonts w:hint="eastAsia"/>
          <w:sz w:val="21"/>
          <w:szCs w:val="21"/>
        </w:rPr>
        <w:t xml:space="preserve">可以现金替代是指在申购基金份额时，允许使用现金作为全部或部分该成份证券的替代，但在赎回基金份额时，该成份证券不允许使用现金作为替代。 </w:t>
      </w:r>
    </w:p>
    <w:p w14:paraId="63BED4BB">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14:paraId="12D11A89">
      <w:pPr>
        <w:pStyle w:val="7"/>
        <w:spacing w:before="0" w:beforeAutospacing="0" w:after="0" w:afterAutospacing="0" w:line="360" w:lineRule="auto"/>
        <w:ind w:firstLine="420"/>
        <w:rPr>
          <w:sz w:val="21"/>
          <w:szCs w:val="21"/>
        </w:rPr>
      </w:pPr>
      <w:r>
        <w:rPr>
          <w:rFonts w:hint="eastAsia"/>
          <w:sz w:val="21"/>
          <w:szCs w:val="21"/>
        </w:rPr>
        <w:t xml:space="preserve">（1）关于可以现金替代 </w:t>
      </w:r>
    </w:p>
    <w:p w14:paraId="2516F8AE">
      <w:pPr>
        <w:pStyle w:val="7"/>
        <w:spacing w:before="0" w:beforeAutospacing="0" w:after="0" w:afterAutospacing="0" w:line="360" w:lineRule="auto"/>
        <w:ind w:firstLine="420"/>
        <w:rPr>
          <w:sz w:val="21"/>
          <w:szCs w:val="21"/>
        </w:rPr>
      </w:pPr>
      <w:r>
        <w:rPr>
          <w:rFonts w:hint="eastAsia"/>
          <w:sz w:val="21"/>
          <w:szCs w:val="21"/>
        </w:rPr>
        <w:t xml:space="preserve">1）适用情形：出于证券停牌等原因导致投资人无法在申购时买入证券或基金管理人认为可以适用的其他情形。 </w:t>
      </w:r>
    </w:p>
    <w:p w14:paraId="72EA4720">
      <w:pPr>
        <w:pStyle w:val="7"/>
        <w:spacing w:before="0" w:beforeAutospacing="0" w:after="0" w:afterAutospacing="0" w:line="360" w:lineRule="auto"/>
        <w:ind w:firstLine="420"/>
        <w:rPr>
          <w:sz w:val="21"/>
          <w:szCs w:val="21"/>
        </w:rPr>
      </w:pPr>
      <w:r>
        <w:rPr>
          <w:rFonts w:hint="eastAsia"/>
          <w:sz w:val="21"/>
          <w:szCs w:val="21"/>
        </w:rPr>
        <w:t xml:space="preserve">2）替代金额：对于可以现金替代的证券，替代金额的计算公式为： </w:t>
      </w:r>
    </w:p>
    <w:p w14:paraId="4772C131">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替代金额＝替代证券数量×该证券经除权调整的T-1日收盘价×（1＋现金替代溢价比例） </w:t>
      </w:r>
    </w:p>
    <w:p w14:paraId="601B018D">
      <w:pPr>
        <w:pStyle w:val="7"/>
        <w:spacing w:before="0" w:beforeAutospacing="0" w:after="0" w:afterAutospacing="0" w:line="360" w:lineRule="auto"/>
        <w:ind w:firstLine="420"/>
        <w:rPr>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14:paraId="4BBE48D8">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14:paraId="3B570EB3">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现金替代溢价比例，并据此在T+2日收取替代金额。在T+1日后被替代的成份证券有正常交易的2个交易日（简称为T+3日）内，基金管理人有权在T+2日至T+3日内任意时刻以收到的替代金额代投资者买入小于等于被替代证券数量的任意数量的被替代证券，实际买入被替代证券的价格可能处于T+3日内较高的位置或处于最高价格，基金管理人对此不承担责任。基金管理人有权根据基金投资的需要自主决定不买入部分被替代证券，或者不进行任何买入证券的操作，基金管理人可能不买入被替代证券的情形包括但不限于市场流动性不足、技术系统无法实现以及基金管理人认为不应买入的其他情形。 </w:t>
      </w:r>
    </w:p>
    <w:p w14:paraId="4866BBA1">
      <w:pPr>
        <w:pStyle w:val="7"/>
        <w:spacing w:before="0" w:beforeAutospacing="0" w:after="0" w:afterAutospacing="0" w:line="360" w:lineRule="auto"/>
        <w:ind w:firstLine="420"/>
        <w:rPr>
          <w:sz w:val="21"/>
          <w:szCs w:val="21"/>
        </w:rPr>
      </w:pPr>
      <w:r>
        <w:rPr>
          <w:rFonts w:hint="eastAsia"/>
          <w:sz w:val="21"/>
          <w:szCs w:val="21"/>
        </w:rPr>
        <w:t xml:space="preserve">T＋3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3日收盘价计算的未购入部分被替代证券价值的差额，确定基金应退还投资人或投资人应补交的款项。 </w:t>
      </w:r>
    </w:p>
    <w:p w14:paraId="7CBF00DB">
      <w:pPr>
        <w:pStyle w:val="7"/>
        <w:spacing w:before="0" w:beforeAutospacing="0" w:after="0" w:afterAutospacing="0" w:line="360" w:lineRule="auto"/>
        <w:ind w:firstLine="420"/>
        <w:rPr>
          <w:sz w:val="21"/>
          <w:szCs w:val="21"/>
        </w:rPr>
      </w:pPr>
      <w:r>
        <w:rPr>
          <w:rFonts w:hint="eastAsia"/>
          <w:sz w:val="21"/>
          <w:szCs w:val="21"/>
        </w:rPr>
        <w:t xml:space="preserve">特殊情况：若自T+1日起，深圳证券交易所正常交易日已达20日而该部分证券的正常交易日低于2日，则以替代金额与所购入的部分被替代证券的实际购入成本加上按照最近一次收盘价计算的未购入的部分被替代证券价值的差额，确定基金应退还投资人或投资人应补交的款项。 </w:t>
      </w:r>
    </w:p>
    <w:p w14:paraId="689B19CF">
      <w:pPr>
        <w:pStyle w:val="7"/>
        <w:spacing w:before="0" w:beforeAutospacing="0" w:after="0" w:afterAutospacing="0" w:line="360" w:lineRule="auto"/>
        <w:ind w:firstLine="420"/>
        <w:rPr>
          <w:sz w:val="21"/>
          <w:szCs w:val="21"/>
        </w:rPr>
      </w:pPr>
      <w:r>
        <w:rPr>
          <w:rFonts w:hint="eastAsia"/>
          <w:sz w:val="21"/>
          <w:szCs w:val="21"/>
        </w:rPr>
        <w:t xml:space="preserve">T＋3日后的第1个工作日（在特殊情况下则为T+1日起的第21个交易日），基金管理人将应退款和应补款的明细及汇总数据通过登记机构发送给相关申购赎回代理券商和基金托管人，相关款项的清算交收，将于此后3个工作日内完成，登记机构对此提供代收代付服务。 </w:t>
      </w:r>
    </w:p>
    <w:p w14:paraId="13C66E71">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14:paraId="5C801362">
      <w:pPr>
        <w:pStyle w:val="7"/>
        <w:spacing w:before="0" w:beforeAutospacing="0" w:after="0" w:afterAutospacing="0" w:line="360" w:lineRule="auto"/>
        <w:ind w:firstLine="420"/>
        <w:rPr>
          <w:sz w:val="21"/>
          <w:szCs w:val="21"/>
        </w:rPr>
      </w:pPr>
      <w:r>
        <w:rPr>
          <w:rFonts w:hint="eastAsia"/>
          <w:sz w:val="21"/>
          <w:szCs w:val="21"/>
        </w:rPr>
        <w:t>现金替代比例（%）=</w:t>
      </w:r>
      <w:r>
        <w:rPr>
          <w:rFonts w:hint="eastAsia"/>
          <w:sz w:val="21"/>
          <w:szCs w:val="21"/>
        </w:rPr>
        <w:drawing>
          <wp:inline distT="0" distB="0" distL="0" distR="0">
            <wp:extent cx="3009900" cy="476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stretch>
                      <a:fillRect/>
                    </a:stretch>
                  </pic:blipFill>
                  <pic:spPr>
                    <a:xfrm>
                      <a:off x="0" y="0"/>
                      <a:ext cx="3010320" cy="476317"/>
                    </a:xfrm>
                    <a:prstGeom prst="rect">
                      <a:avLst/>
                    </a:prstGeom>
                  </pic:spPr>
                </pic:pic>
              </a:graphicData>
            </a:graphic>
          </wp:inline>
        </w:drawing>
      </w:r>
      <w:r>
        <w:rPr>
          <w:rFonts w:hint="eastAsia"/>
          <w:sz w:val="21"/>
          <w:szCs w:val="21"/>
        </w:rPr>
        <w:t xml:space="preserve">×100%  </w:t>
      </w:r>
    </w:p>
    <w:p w14:paraId="365A92F3">
      <w:pPr>
        <w:pStyle w:val="7"/>
        <w:spacing w:before="0" w:beforeAutospacing="0" w:after="0" w:afterAutospacing="0" w:line="360" w:lineRule="auto"/>
        <w:ind w:firstLine="420"/>
        <w:rPr>
          <w:sz w:val="21"/>
          <w:szCs w:val="21"/>
        </w:rPr>
      </w:pPr>
      <w:r>
        <w:rPr>
          <w:rFonts w:hint="eastAsia"/>
          <w:sz w:val="21"/>
          <w:szCs w:val="21"/>
        </w:rPr>
        <w:t xml:space="preserve">（2）关于必须现金替代 </w:t>
      </w:r>
    </w:p>
    <w:p w14:paraId="31A6047A">
      <w:pPr>
        <w:pStyle w:val="7"/>
        <w:spacing w:before="0" w:beforeAutospacing="0" w:after="0" w:afterAutospacing="0" w:line="360" w:lineRule="auto"/>
        <w:ind w:firstLine="420"/>
        <w:rPr>
          <w:sz w:val="21"/>
          <w:szCs w:val="21"/>
        </w:rPr>
      </w:pPr>
      <w:r>
        <w:rPr>
          <w:rFonts w:hint="eastAsia"/>
          <w:sz w:val="21"/>
          <w:szCs w:val="21"/>
        </w:rPr>
        <w:t xml:space="preserve">1）适用情形：必须现金替代的证券一般是由于标的指数调整将被剔除的成份证券以及处于停牌的股票，或出于保护基金持有人利益等目的基金管理人认为有必要实行必须现金替代的成份证券。 </w:t>
      </w:r>
    </w:p>
    <w:p w14:paraId="4A9ECAEE">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14:paraId="64542417">
      <w:pPr>
        <w:pStyle w:val="7"/>
        <w:spacing w:before="0" w:beforeAutospacing="0" w:after="0" w:afterAutospacing="0" w:line="360" w:lineRule="auto"/>
        <w:ind w:firstLine="420"/>
        <w:rPr>
          <w:sz w:val="21"/>
          <w:szCs w:val="21"/>
        </w:rPr>
      </w:pPr>
      <w:r>
        <w:rPr>
          <w:rFonts w:hint="eastAsia"/>
          <w:sz w:val="21"/>
          <w:szCs w:val="21"/>
        </w:rPr>
        <w:t xml:space="preserve">4、预估现金部分相关内容 </w:t>
      </w:r>
    </w:p>
    <w:p w14:paraId="2EE96185">
      <w:pPr>
        <w:pStyle w:val="7"/>
        <w:spacing w:before="0" w:beforeAutospacing="0" w:after="0" w:afterAutospacing="0" w:line="360" w:lineRule="auto"/>
        <w:ind w:firstLine="420"/>
        <w:rPr>
          <w:sz w:val="21"/>
          <w:szCs w:val="21"/>
        </w:rPr>
      </w:pPr>
      <w:r>
        <w:rPr>
          <w:rFonts w:hint="eastAsia"/>
          <w:sz w:val="21"/>
          <w:szCs w:val="21"/>
        </w:rPr>
        <w:t xml:space="preserve">预估现金部分是指，为便于计算基金份额参考净值，申购赎回代理券商预先冻结申请申购、赎回的投资人的相应资金，由基金管理人计算的现金数额。 </w:t>
      </w:r>
    </w:p>
    <w:p w14:paraId="108F32B1">
      <w:pPr>
        <w:pStyle w:val="7"/>
        <w:spacing w:before="0" w:beforeAutospacing="0" w:after="0" w:afterAutospacing="0" w:line="360" w:lineRule="auto"/>
        <w:ind w:firstLine="420"/>
        <w:rPr>
          <w:sz w:val="21"/>
          <w:szCs w:val="21"/>
        </w:rPr>
      </w:pPr>
      <w:r>
        <w:rPr>
          <w:rFonts w:hint="eastAsia"/>
          <w:sz w:val="21"/>
          <w:szCs w:val="21"/>
        </w:rPr>
        <w:t xml:space="preserve">T日申购赎回清单中公告T日预估现金部分，其计算公式为： </w:t>
      </w:r>
    </w:p>
    <w:p w14:paraId="6F56D8C1">
      <w:pPr>
        <w:pStyle w:val="7"/>
        <w:spacing w:before="0" w:beforeAutospacing="0" w:after="0" w:afterAutospacing="0" w:line="360" w:lineRule="auto"/>
        <w:ind w:firstLine="420"/>
        <w:rPr>
          <w:sz w:val="21"/>
          <w:szCs w:val="21"/>
        </w:rPr>
      </w:pPr>
      <w:r>
        <w:rPr>
          <w:rFonts w:hint="eastAsia"/>
          <w:sz w:val="21"/>
          <w:szCs w:val="21"/>
        </w:rPr>
        <w:t xml:space="preserve">T日预估现金部分＝T—1日最小申购赎回单位的基金资产净值－（申购赎回清单中必须用现金替代的固定替代金额总额＋申购赎回清单中可以用现金替代成份证券的数量与该证券调整后T日开盘参考价相乘之和＋申购赎回清单中禁止用现金替代的所有成份证券的数量与该证券调整后T日开盘参考价乘积之和） </w:t>
      </w:r>
    </w:p>
    <w:p w14:paraId="5883347E">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中证指数有限公司提供的标的指数成份证券的调整后开盘参考价确定。另外，若T日为基金分红除息日，则计算公式中的“T－1日最小申购赎回单位的基金资产净值”需要扣减相应的收益分配数额。 </w:t>
      </w:r>
    </w:p>
    <w:p w14:paraId="681B82D5">
      <w:pPr>
        <w:pStyle w:val="7"/>
        <w:spacing w:before="0" w:beforeAutospacing="0" w:after="0" w:afterAutospacing="0" w:line="360" w:lineRule="auto"/>
        <w:ind w:firstLine="420"/>
        <w:rPr>
          <w:sz w:val="21"/>
          <w:szCs w:val="21"/>
        </w:rPr>
      </w:pPr>
      <w:r>
        <w:rPr>
          <w:rFonts w:hint="eastAsia"/>
          <w:sz w:val="21"/>
          <w:szCs w:val="21"/>
        </w:rPr>
        <w:t xml:space="preserve">预估现金部分的数值可能为正、为负或为零。 </w:t>
      </w:r>
    </w:p>
    <w:p w14:paraId="42141C6F">
      <w:pPr>
        <w:pStyle w:val="7"/>
        <w:spacing w:before="0" w:beforeAutospacing="0" w:after="0" w:afterAutospacing="0" w:line="360" w:lineRule="auto"/>
        <w:ind w:firstLine="420"/>
        <w:rPr>
          <w:sz w:val="21"/>
          <w:szCs w:val="21"/>
        </w:rPr>
      </w:pPr>
      <w:r>
        <w:rPr>
          <w:rFonts w:hint="eastAsia"/>
          <w:sz w:val="21"/>
          <w:szCs w:val="21"/>
        </w:rPr>
        <w:t xml:space="preserve">5、现金差额相关内容 </w:t>
      </w:r>
    </w:p>
    <w:p w14:paraId="30A2F108">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14:paraId="7680E00C">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 </w:t>
      </w:r>
    </w:p>
    <w:p w14:paraId="4BDC4F2A">
      <w:pPr>
        <w:pStyle w:val="7"/>
        <w:spacing w:before="0" w:beforeAutospacing="0" w:after="0" w:afterAutospacing="0" w:line="360" w:lineRule="auto"/>
        <w:ind w:firstLine="420"/>
        <w:rPr>
          <w:sz w:val="21"/>
          <w:szCs w:val="21"/>
        </w:rPr>
      </w:pPr>
      <w:r>
        <w:rPr>
          <w:rFonts w:hint="eastAsia"/>
          <w:sz w:val="21"/>
          <w:szCs w:val="21"/>
        </w:rPr>
        <w:t xml:space="preserve">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14:paraId="056BB08C">
      <w:pPr>
        <w:pStyle w:val="7"/>
        <w:spacing w:before="0" w:beforeAutospacing="0" w:after="0" w:afterAutospacing="0" w:line="360" w:lineRule="auto"/>
        <w:ind w:firstLine="420"/>
        <w:rPr>
          <w:sz w:val="21"/>
          <w:szCs w:val="21"/>
        </w:rPr>
      </w:pPr>
      <w:r>
        <w:rPr>
          <w:rFonts w:hint="eastAsia"/>
          <w:sz w:val="21"/>
          <w:szCs w:val="21"/>
        </w:rPr>
        <w:t xml:space="preserve">6、申购赎回清单的格式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957"/>
        <w:gridCol w:w="957"/>
        <w:gridCol w:w="521"/>
        <w:gridCol w:w="521"/>
        <w:gridCol w:w="2901"/>
        <w:gridCol w:w="1703"/>
      </w:tblGrid>
      <w:tr w14:paraId="052C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63E40CA8">
            <w:pPr>
              <w:jc w:val="center"/>
              <w:rPr>
                <w:rFonts w:ascii="宋体" w:hAnsi="宋体" w:eastAsia="宋体" w:cs="宋体"/>
                <w:sz w:val="24"/>
                <w:szCs w:val="24"/>
              </w:rPr>
            </w:pPr>
            <w:r>
              <w:rPr>
                <w:rFonts w:hint="eastAsia" w:ascii="宋体" w:hAnsi="宋体" w:eastAsia="宋体"/>
              </w:rPr>
              <w:t xml:space="preserve">基本信息 </w:t>
            </w:r>
          </w:p>
        </w:tc>
      </w:tr>
      <w:tr w14:paraId="28EA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23FFB06E">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3"/>
            <w:shd w:val="clear" w:color="auto" w:fill="auto"/>
          </w:tcPr>
          <w:p w14:paraId="283B71D2">
            <w:pPr>
              <w:jc w:val="center"/>
              <w:rPr>
                <w:rFonts w:ascii="宋体" w:hAnsi="宋体" w:eastAsia="宋体" w:cs="宋体"/>
                <w:sz w:val="24"/>
                <w:szCs w:val="24"/>
              </w:rPr>
            </w:pPr>
            <w:r>
              <w:rPr>
                <w:rFonts w:hint="eastAsia" w:ascii="宋体" w:hAnsi="宋体" w:eastAsia="宋体"/>
              </w:rPr>
              <w:t xml:space="preserve">2020 年 月 日 </w:t>
            </w:r>
          </w:p>
        </w:tc>
      </w:tr>
      <w:tr w14:paraId="4505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08EDF0D2">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3"/>
            <w:shd w:val="clear" w:color="auto" w:fill="auto"/>
          </w:tcPr>
          <w:p w14:paraId="36CB7B7F">
            <w:pPr>
              <w:jc w:val="center"/>
              <w:rPr>
                <w:rFonts w:ascii="宋体" w:hAnsi="宋体" w:eastAsia="宋体" w:cs="宋体"/>
                <w:sz w:val="24"/>
                <w:szCs w:val="24"/>
              </w:rPr>
            </w:pPr>
            <w:bookmarkStart w:id="100" w:name="field_0_productfullname_15"/>
            <w:r>
              <w:rPr>
                <w:rFonts w:hint="eastAsia" w:ascii="宋体" w:hAnsi="宋体" w:eastAsia="宋体"/>
              </w:rPr>
              <w:t>博时中证成渝地区双城经济圈成份交易型开放式指数证券投资基金</w:t>
            </w:r>
            <w:bookmarkEnd w:id="100"/>
            <w:r>
              <w:rPr>
                <w:rFonts w:hint="eastAsia" w:ascii="宋体" w:hAnsi="宋体" w:eastAsia="宋体"/>
              </w:rPr>
              <w:t xml:space="preserve">  </w:t>
            </w:r>
          </w:p>
        </w:tc>
      </w:tr>
      <w:tr w14:paraId="2562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0785B4A9">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3"/>
            <w:shd w:val="clear" w:color="auto" w:fill="auto"/>
          </w:tcPr>
          <w:p w14:paraId="4EF1B132">
            <w:pPr>
              <w:jc w:val="center"/>
              <w:rPr>
                <w:rFonts w:ascii="宋体" w:hAnsi="宋体" w:eastAsia="宋体" w:cs="宋体"/>
                <w:sz w:val="24"/>
                <w:szCs w:val="24"/>
              </w:rPr>
            </w:pPr>
            <w:r>
              <w:rPr>
                <w:rFonts w:hint="eastAsia" w:ascii="宋体" w:hAnsi="宋体" w:eastAsia="宋体"/>
              </w:rPr>
              <w:t xml:space="preserve">博时基金管理有限公司 </w:t>
            </w:r>
          </w:p>
        </w:tc>
      </w:tr>
      <w:tr w14:paraId="4237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788171B">
            <w:pPr>
              <w:jc w:val="center"/>
              <w:rPr>
                <w:rFonts w:ascii="宋体" w:hAnsi="宋体" w:eastAsia="宋体" w:cs="宋体"/>
                <w:sz w:val="24"/>
                <w:szCs w:val="24"/>
              </w:rPr>
            </w:pPr>
            <w:r>
              <w:rPr>
                <w:rFonts w:hint="eastAsia" w:ascii="宋体" w:hAnsi="宋体" w:eastAsia="宋体"/>
              </w:rPr>
              <w:t xml:space="preserve">一级市场基金代码 </w:t>
            </w:r>
          </w:p>
        </w:tc>
        <w:tc>
          <w:tcPr>
            <w:tcW w:w="0" w:type="auto"/>
            <w:gridSpan w:val="3"/>
            <w:shd w:val="clear" w:color="auto" w:fill="auto"/>
          </w:tcPr>
          <w:p w14:paraId="58F136BF">
            <w:pPr>
              <w:pStyle w:val="7"/>
              <w:jc w:val="center"/>
            </w:pPr>
            <w:r>
              <w:rPr>
                <w:rFonts w:hint="eastAsia"/>
              </w:rPr>
              <w:t xml:space="preserve">159623 </w:t>
            </w:r>
          </w:p>
        </w:tc>
      </w:tr>
      <w:tr w14:paraId="0288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07DDB6BC">
            <w:pPr>
              <w:jc w:val="center"/>
              <w:rPr>
                <w:rFonts w:ascii="宋体" w:hAnsi="宋体" w:eastAsia="宋体" w:cs="宋体"/>
                <w:sz w:val="24"/>
                <w:szCs w:val="24"/>
              </w:rPr>
            </w:pPr>
            <w:r>
              <w:rPr>
                <w:rFonts w:hint="eastAsia" w:ascii="宋体" w:hAnsi="宋体" w:eastAsia="宋体"/>
              </w:rPr>
              <w:t xml:space="preserve">T－1日信息内容 </w:t>
            </w:r>
          </w:p>
        </w:tc>
      </w:tr>
      <w:tr w14:paraId="4DDB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2A2DA8A">
            <w:pPr>
              <w:jc w:val="center"/>
              <w:rPr>
                <w:rFonts w:ascii="宋体" w:hAnsi="宋体" w:eastAsia="宋体" w:cs="宋体"/>
                <w:sz w:val="24"/>
                <w:szCs w:val="24"/>
              </w:rPr>
            </w:pPr>
            <w:r>
              <w:rPr>
                <w:rFonts w:hint="eastAsia" w:ascii="宋体" w:hAnsi="宋体" w:eastAsia="宋体"/>
              </w:rPr>
              <w:t xml:space="preserve">现金差额（单位：元） </w:t>
            </w:r>
          </w:p>
        </w:tc>
        <w:tc>
          <w:tcPr>
            <w:tcW w:w="0" w:type="auto"/>
            <w:gridSpan w:val="3"/>
            <w:shd w:val="clear" w:color="auto" w:fill="auto"/>
          </w:tcPr>
          <w:p w14:paraId="4E0C497D">
            <w:pPr>
              <w:jc w:val="center"/>
              <w:rPr>
                <w:rFonts w:ascii="宋体" w:hAnsi="宋体" w:eastAsia="宋体" w:cs="宋体"/>
                <w:sz w:val="24"/>
                <w:szCs w:val="24"/>
              </w:rPr>
            </w:pPr>
            <w:r>
              <w:rPr>
                <w:rFonts w:hint="eastAsia" w:ascii="宋体" w:hAnsi="宋体" w:eastAsia="宋体"/>
              </w:rPr>
              <w:t xml:space="preserve">XXXX.XX </w:t>
            </w:r>
          </w:p>
        </w:tc>
      </w:tr>
      <w:tr w14:paraId="31D3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3432E3AF">
            <w:pPr>
              <w:jc w:val="center"/>
              <w:rPr>
                <w:rFonts w:ascii="宋体" w:hAnsi="宋体" w:eastAsia="宋体" w:cs="宋体"/>
                <w:sz w:val="24"/>
                <w:szCs w:val="24"/>
              </w:rPr>
            </w:pPr>
            <w:r>
              <w:rPr>
                <w:rFonts w:hint="eastAsia" w:ascii="宋体" w:hAnsi="宋体" w:eastAsia="宋体"/>
              </w:rPr>
              <w:t xml:space="preserve">最小申购赎回单位资产净值（单位：元） </w:t>
            </w:r>
          </w:p>
        </w:tc>
        <w:tc>
          <w:tcPr>
            <w:tcW w:w="0" w:type="auto"/>
            <w:gridSpan w:val="3"/>
            <w:shd w:val="clear" w:color="auto" w:fill="auto"/>
          </w:tcPr>
          <w:p w14:paraId="180BDD9C">
            <w:pPr>
              <w:jc w:val="center"/>
              <w:rPr>
                <w:rFonts w:ascii="宋体" w:hAnsi="宋体" w:eastAsia="宋体" w:cs="宋体"/>
                <w:sz w:val="24"/>
                <w:szCs w:val="24"/>
              </w:rPr>
            </w:pPr>
            <w:r>
              <w:rPr>
                <w:rFonts w:hint="eastAsia" w:ascii="宋体" w:hAnsi="宋体" w:eastAsia="宋体"/>
              </w:rPr>
              <w:t xml:space="preserve">XXXX.XX </w:t>
            </w:r>
          </w:p>
        </w:tc>
      </w:tr>
      <w:tr w14:paraId="4404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7D137803">
            <w:pPr>
              <w:jc w:val="center"/>
              <w:rPr>
                <w:rFonts w:ascii="宋体" w:hAnsi="宋体" w:eastAsia="宋体" w:cs="宋体"/>
                <w:sz w:val="24"/>
                <w:szCs w:val="24"/>
              </w:rPr>
            </w:pPr>
            <w:r>
              <w:rPr>
                <w:rFonts w:hint="eastAsia" w:ascii="宋体" w:hAnsi="宋体" w:eastAsia="宋体"/>
              </w:rPr>
              <w:t xml:space="preserve">基金份额净值（单位：元） </w:t>
            </w:r>
          </w:p>
        </w:tc>
        <w:tc>
          <w:tcPr>
            <w:tcW w:w="0" w:type="auto"/>
            <w:gridSpan w:val="3"/>
            <w:shd w:val="clear" w:color="auto" w:fill="auto"/>
          </w:tcPr>
          <w:p w14:paraId="4B46CDBC">
            <w:pPr>
              <w:jc w:val="center"/>
              <w:rPr>
                <w:rFonts w:ascii="宋体" w:hAnsi="宋体" w:eastAsia="宋体" w:cs="宋体"/>
                <w:sz w:val="24"/>
                <w:szCs w:val="24"/>
              </w:rPr>
            </w:pPr>
            <w:r>
              <w:rPr>
                <w:rFonts w:hint="eastAsia" w:ascii="宋体" w:hAnsi="宋体" w:eastAsia="宋体"/>
              </w:rPr>
              <w:t xml:space="preserve">X.XXXX </w:t>
            </w:r>
          </w:p>
        </w:tc>
      </w:tr>
      <w:tr w14:paraId="61AA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76FB1B4C">
            <w:pPr>
              <w:jc w:val="center"/>
              <w:rPr>
                <w:rFonts w:ascii="宋体" w:hAnsi="宋体" w:eastAsia="宋体" w:cs="宋体"/>
                <w:sz w:val="24"/>
                <w:szCs w:val="24"/>
              </w:rPr>
            </w:pPr>
            <w:r>
              <w:rPr>
                <w:rFonts w:hint="eastAsia" w:ascii="宋体" w:hAnsi="宋体" w:eastAsia="宋体"/>
              </w:rPr>
              <w:t xml:space="preserve">T日信息内容 </w:t>
            </w:r>
          </w:p>
        </w:tc>
      </w:tr>
      <w:tr w14:paraId="6D25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2855D26">
            <w:pPr>
              <w:jc w:val="center"/>
              <w:rPr>
                <w:rFonts w:ascii="宋体" w:hAnsi="宋体" w:eastAsia="宋体" w:cs="宋体"/>
                <w:sz w:val="24"/>
                <w:szCs w:val="24"/>
              </w:rPr>
            </w:pPr>
            <w:r>
              <w:rPr>
                <w:rFonts w:hint="eastAsia" w:ascii="宋体" w:hAnsi="宋体" w:eastAsia="宋体"/>
              </w:rPr>
              <w:t xml:space="preserve">预估现金部分（单位：元） </w:t>
            </w:r>
          </w:p>
        </w:tc>
        <w:tc>
          <w:tcPr>
            <w:tcW w:w="0" w:type="auto"/>
            <w:gridSpan w:val="3"/>
            <w:shd w:val="clear" w:color="auto" w:fill="auto"/>
          </w:tcPr>
          <w:p w14:paraId="0BCE47CC">
            <w:pPr>
              <w:jc w:val="center"/>
              <w:rPr>
                <w:rFonts w:ascii="宋体" w:hAnsi="宋体" w:eastAsia="宋体" w:cs="宋体"/>
                <w:sz w:val="24"/>
                <w:szCs w:val="24"/>
              </w:rPr>
            </w:pPr>
            <w:r>
              <w:rPr>
                <w:rFonts w:hint="eastAsia" w:ascii="宋体" w:hAnsi="宋体" w:eastAsia="宋体"/>
              </w:rPr>
              <w:t xml:space="preserve">XXXX.XX </w:t>
            </w:r>
          </w:p>
        </w:tc>
      </w:tr>
      <w:tr w14:paraId="6032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1A579E98">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3"/>
            <w:shd w:val="clear" w:color="auto" w:fill="auto"/>
          </w:tcPr>
          <w:p w14:paraId="21C6B6E1">
            <w:pPr>
              <w:jc w:val="center"/>
              <w:rPr>
                <w:rFonts w:ascii="宋体" w:hAnsi="宋体" w:eastAsia="宋体" w:cs="宋体"/>
                <w:sz w:val="24"/>
                <w:szCs w:val="24"/>
              </w:rPr>
            </w:pPr>
            <w:r>
              <w:rPr>
                <w:rFonts w:hint="eastAsia" w:ascii="宋体" w:hAnsi="宋体" w:eastAsia="宋体"/>
              </w:rPr>
              <w:t xml:space="preserve">无 </w:t>
            </w:r>
          </w:p>
        </w:tc>
      </w:tr>
      <w:tr w14:paraId="444D5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7E0F1C2F">
            <w:pPr>
              <w:jc w:val="center"/>
              <w:rPr>
                <w:rFonts w:ascii="宋体" w:hAnsi="宋体" w:eastAsia="宋体" w:cs="宋体"/>
                <w:sz w:val="24"/>
                <w:szCs w:val="24"/>
              </w:rPr>
            </w:pPr>
            <w:r>
              <w:rPr>
                <w:rFonts w:hint="eastAsia" w:ascii="宋体" w:hAnsi="宋体" w:eastAsia="宋体"/>
              </w:rPr>
              <w:t xml:space="preserve">申购上限 </w:t>
            </w:r>
          </w:p>
        </w:tc>
        <w:tc>
          <w:tcPr>
            <w:tcW w:w="0" w:type="auto"/>
            <w:gridSpan w:val="3"/>
            <w:shd w:val="clear" w:color="auto" w:fill="auto"/>
          </w:tcPr>
          <w:p w14:paraId="0CD72798">
            <w:pPr>
              <w:jc w:val="center"/>
              <w:rPr>
                <w:rFonts w:ascii="宋体" w:hAnsi="宋体" w:eastAsia="宋体" w:cs="宋体"/>
                <w:sz w:val="24"/>
                <w:szCs w:val="24"/>
              </w:rPr>
            </w:pPr>
            <w:r>
              <w:rPr>
                <w:rFonts w:hint="eastAsia" w:ascii="宋体" w:hAnsi="宋体" w:eastAsia="宋体"/>
              </w:rPr>
              <w:t xml:space="preserve">无 </w:t>
            </w:r>
          </w:p>
        </w:tc>
      </w:tr>
      <w:tr w14:paraId="4513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BB51F5F">
            <w:pPr>
              <w:jc w:val="center"/>
              <w:rPr>
                <w:rFonts w:ascii="宋体" w:hAnsi="宋体" w:eastAsia="宋体" w:cs="宋体"/>
                <w:sz w:val="24"/>
                <w:szCs w:val="24"/>
              </w:rPr>
            </w:pPr>
            <w:r>
              <w:rPr>
                <w:rFonts w:hint="eastAsia" w:ascii="宋体" w:hAnsi="宋体" w:eastAsia="宋体"/>
              </w:rPr>
              <w:t xml:space="preserve">赎回上限 </w:t>
            </w:r>
          </w:p>
        </w:tc>
        <w:tc>
          <w:tcPr>
            <w:tcW w:w="0" w:type="auto"/>
            <w:gridSpan w:val="3"/>
            <w:shd w:val="clear" w:color="auto" w:fill="auto"/>
          </w:tcPr>
          <w:p w14:paraId="076C0ADF">
            <w:pPr>
              <w:jc w:val="center"/>
              <w:rPr>
                <w:rFonts w:ascii="宋体" w:hAnsi="宋体" w:eastAsia="宋体" w:cs="宋体"/>
                <w:sz w:val="24"/>
                <w:szCs w:val="24"/>
              </w:rPr>
            </w:pPr>
            <w:r>
              <w:rPr>
                <w:rFonts w:hint="eastAsia" w:ascii="宋体" w:hAnsi="宋体" w:eastAsia="宋体"/>
              </w:rPr>
              <w:t xml:space="preserve">无 </w:t>
            </w:r>
          </w:p>
        </w:tc>
      </w:tr>
      <w:tr w14:paraId="5FBE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7A5E1AF3">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3"/>
            <w:shd w:val="clear" w:color="auto" w:fill="auto"/>
          </w:tcPr>
          <w:p w14:paraId="35AB1997">
            <w:pPr>
              <w:jc w:val="center"/>
              <w:rPr>
                <w:rFonts w:ascii="宋体" w:hAnsi="宋体" w:eastAsia="宋体" w:cs="宋体"/>
                <w:sz w:val="24"/>
                <w:szCs w:val="24"/>
              </w:rPr>
            </w:pPr>
            <w:r>
              <w:rPr>
                <w:rFonts w:hint="eastAsia" w:ascii="宋体" w:hAnsi="宋体" w:eastAsia="宋体"/>
              </w:rPr>
              <w:t xml:space="preserve">是 </w:t>
            </w:r>
          </w:p>
        </w:tc>
      </w:tr>
      <w:tr w14:paraId="6ADA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1A7F38EC">
            <w:pPr>
              <w:jc w:val="center"/>
              <w:rPr>
                <w:rFonts w:ascii="宋体" w:hAnsi="宋体" w:eastAsia="宋体" w:cs="宋体"/>
                <w:sz w:val="24"/>
                <w:szCs w:val="24"/>
              </w:rPr>
            </w:pPr>
            <w:r>
              <w:rPr>
                <w:rFonts w:hint="eastAsia" w:ascii="宋体" w:hAnsi="宋体" w:eastAsia="宋体"/>
              </w:rPr>
              <w:t xml:space="preserve">最小申购赎回单位（单位：份） </w:t>
            </w:r>
          </w:p>
        </w:tc>
        <w:tc>
          <w:tcPr>
            <w:tcW w:w="0" w:type="auto"/>
            <w:gridSpan w:val="3"/>
            <w:shd w:val="clear" w:color="auto" w:fill="auto"/>
          </w:tcPr>
          <w:p w14:paraId="1DC51911">
            <w:pPr>
              <w:jc w:val="center"/>
              <w:rPr>
                <w:rFonts w:ascii="宋体" w:hAnsi="宋体" w:eastAsia="宋体" w:cs="宋体"/>
                <w:sz w:val="24"/>
                <w:szCs w:val="24"/>
              </w:rPr>
            </w:pPr>
            <w:r>
              <w:rPr>
                <w:rFonts w:hint="eastAsia" w:ascii="宋体" w:hAnsi="宋体" w:eastAsia="宋体"/>
              </w:rPr>
              <w:t xml:space="preserve">1,000,000 </w:t>
            </w:r>
          </w:p>
        </w:tc>
      </w:tr>
      <w:tr w14:paraId="24DE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2F032B8">
            <w:pPr>
              <w:jc w:val="center"/>
              <w:rPr>
                <w:rFonts w:ascii="宋体" w:hAnsi="宋体" w:eastAsia="宋体" w:cs="宋体"/>
                <w:sz w:val="24"/>
                <w:szCs w:val="24"/>
              </w:rPr>
            </w:pPr>
            <w:r>
              <w:rPr>
                <w:rFonts w:hint="eastAsia" w:ascii="宋体" w:hAnsi="宋体" w:eastAsia="宋体"/>
              </w:rPr>
              <w:t xml:space="preserve">申购、赎回的允许情况 </w:t>
            </w:r>
          </w:p>
        </w:tc>
        <w:tc>
          <w:tcPr>
            <w:tcW w:w="0" w:type="auto"/>
            <w:gridSpan w:val="3"/>
            <w:shd w:val="clear" w:color="auto" w:fill="auto"/>
          </w:tcPr>
          <w:p w14:paraId="3EB21767">
            <w:pPr>
              <w:jc w:val="center"/>
              <w:rPr>
                <w:rFonts w:ascii="宋体" w:hAnsi="宋体" w:eastAsia="宋体" w:cs="宋体"/>
                <w:sz w:val="24"/>
                <w:szCs w:val="24"/>
              </w:rPr>
            </w:pPr>
            <w:r>
              <w:rPr>
                <w:rFonts w:hint="eastAsia" w:ascii="宋体" w:hAnsi="宋体" w:eastAsia="宋体"/>
              </w:rPr>
              <w:t xml:space="preserve">申购、赎回皆允许 </w:t>
            </w:r>
          </w:p>
        </w:tc>
      </w:tr>
      <w:tr w14:paraId="36EF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3E9DA81C">
            <w:pPr>
              <w:jc w:val="center"/>
              <w:rPr>
                <w:rFonts w:ascii="宋体" w:hAnsi="宋体" w:eastAsia="宋体" w:cs="宋体"/>
                <w:sz w:val="24"/>
                <w:szCs w:val="24"/>
              </w:rPr>
            </w:pPr>
            <w:r>
              <w:rPr>
                <w:rFonts w:hint="eastAsia" w:ascii="宋体" w:hAnsi="宋体" w:eastAsia="宋体"/>
              </w:rPr>
              <w:t xml:space="preserve">T日成份股信息内容 </w:t>
            </w:r>
          </w:p>
        </w:tc>
      </w:tr>
      <w:tr w14:paraId="4A69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restart"/>
            <w:shd w:val="clear" w:color="auto" w:fill="auto"/>
          </w:tcPr>
          <w:p w14:paraId="694403BF">
            <w:pPr>
              <w:jc w:val="center"/>
              <w:rPr>
                <w:rFonts w:ascii="宋体" w:hAnsi="宋体" w:eastAsia="宋体" w:cs="宋体"/>
                <w:sz w:val="24"/>
                <w:szCs w:val="24"/>
              </w:rPr>
            </w:pPr>
            <w:r>
              <w:rPr>
                <w:rFonts w:hint="eastAsia" w:ascii="宋体" w:hAnsi="宋体" w:eastAsia="宋体"/>
              </w:rPr>
              <w:t xml:space="preserve">股票代码 </w:t>
            </w:r>
          </w:p>
        </w:tc>
        <w:tc>
          <w:tcPr>
            <w:tcW w:w="0" w:type="auto"/>
            <w:vMerge w:val="restart"/>
            <w:shd w:val="clear" w:color="auto" w:fill="auto"/>
          </w:tcPr>
          <w:p w14:paraId="484061F1">
            <w:pPr>
              <w:jc w:val="center"/>
              <w:rPr>
                <w:rFonts w:ascii="宋体" w:hAnsi="宋体" w:eastAsia="宋体" w:cs="宋体"/>
                <w:sz w:val="24"/>
                <w:szCs w:val="24"/>
              </w:rPr>
            </w:pPr>
            <w:r>
              <w:rPr>
                <w:rFonts w:hint="eastAsia" w:ascii="宋体" w:hAnsi="宋体" w:eastAsia="宋体"/>
              </w:rPr>
              <w:t xml:space="preserve">股票简称 </w:t>
            </w:r>
          </w:p>
        </w:tc>
        <w:tc>
          <w:tcPr>
            <w:tcW w:w="0" w:type="auto"/>
            <w:vMerge w:val="restart"/>
            <w:shd w:val="clear" w:color="auto" w:fill="auto"/>
          </w:tcPr>
          <w:p w14:paraId="17296449">
            <w:pPr>
              <w:jc w:val="center"/>
              <w:rPr>
                <w:rFonts w:ascii="宋体" w:hAnsi="宋体" w:eastAsia="宋体" w:cs="宋体"/>
                <w:sz w:val="24"/>
                <w:szCs w:val="24"/>
              </w:rPr>
            </w:pPr>
            <w:r>
              <w:rPr>
                <w:rFonts w:hint="eastAsia" w:ascii="宋体" w:hAnsi="宋体" w:eastAsia="宋体"/>
              </w:rPr>
              <w:t xml:space="preserve">股票数量 </w:t>
            </w:r>
          </w:p>
        </w:tc>
        <w:tc>
          <w:tcPr>
            <w:tcW w:w="0" w:type="auto"/>
            <w:gridSpan w:val="2"/>
            <w:vMerge w:val="restart"/>
            <w:shd w:val="clear" w:color="auto" w:fill="auto"/>
          </w:tcPr>
          <w:p w14:paraId="22CCC50F">
            <w:pPr>
              <w:jc w:val="center"/>
              <w:rPr>
                <w:rFonts w:ascii="宋体" w:hAnsi="宋体" w:eastAsia="宋体" w:cs="宋体"/>
                <w:sz w:val="24"/>
                <w:szCs w:val="24"/>
              </w:rPr>
            </w:pPr>
            <w:r>
              <w:rPr>
                <w:rFonts w:hint="eastAsia" w:ascii="宋体" w:hAnsi="宋体" w:eastAsia="宋体"/>
              </w:rPr>
              <w:t xml:space="preserve">现金替代标志 </w:t>
            </w:r>
          </w:p>
        </w:tc>
        <w:tc>
          <w:tcPr>
            <w:tcW w:w="0" w:type="auto"/>
            <w:vMerge w:val="restart"/>
            <w:shd w:val="clear" w:color="auto" w:fill="auto"/>
          </w:tcPr>
          <w:p w14:paraId="78522717">
            <w:pPr>
              <w:jc w:val="center"/>
              <w:rPr>
                <w:rFonts w:ascii="宋体" w:hAnsi="宋体" w:eastAsia="宋体" w:cs="宋体"/>
                <w:sz w:val="24"/>
                <w:szCs w:val="24"/>
              </w:rPr>
            </w:pPr>
            <w:r>
              <w:rPr>
                <w:rFonts w:hint="eastAsia" w:ascii="宋体" w:hAnsi="宋体" w:eastAsia="宋体"/>
              </w:rPr>
              <w:t xml:space="preserve">现金替代保证金率（%） </w:t>
            </w:r>
          </w:p>
        </w:tc>
        <w:tc>
          <w:tcPr>
            <w:tcW w:w="0" w:type="auto"/>
            <w:vMerge w:val="restart"/>
            <w:shd w:val="clear" w:color="auto" w:fill="auto"/>
          </w:tcPr>
          <w:p w14:paraId="38B93D8F">
            <w:pPr>
              <w:jc w:val="center"/>
              <w:rPr>
                <w:rFonts w:ascii="宋体" w:hAnsi="宋体" w:eastAsia="宋体" w:cs="宋体"/>
                <w:sz w:val="24"/>
                <w:szCs w:val="24"/>
              </w:rPr>
            </w:pPr>
            <w:r>
              <w:rPr>
                <w:rFonts w:hint="eastAsia" w:ascii="宋体" w:hAnsi="宋体" w:eastAsia="宋体"/>
              </w:rPr>
              <w:t xml:space="preserve">固定替代金额 </w:t>
            </w:r>
          </w:p>
        </w:tc>
      </w:tr>
      <w:tr w14:paraId="3CE1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continue"/>
            <w:shd w:val="clear" w:color="auto" w:fill="auto"/>
          </w:tcPr>
          <w:p w14:paraId="6C03B93F">
            <w:pPr>
              <w:rPr>
                <w:rFonts w:ascii="宋体" w:hAnsi="宋体" w:eastAsia="宋体" w:cs="宋体"/>
                <w:sz w:val="24"/>
                <w:szCs w:val="24"/>
              </w:rPr>
            </w:pPr>
          </w:p>
        </w:tc>
        <w:tc>
          <w:tcPr>
            <w:tcW w:w="0" w:type="auto"/>
            <w:vMerge w:val="continue"/>
            <w:shd w:val="clear" w:color="auto" w:fill="auto"/>
          </w:tcPr>
          <w:p w14:paraId="23FD31D3">
            <w:pPr>
              <w:rPr>
                <w:rFonts w:ascii="宋体" w:hAnsi="宋体" w:eastAsia="宋体" w:cs="宋体"/>
                <w:sz w:val="24"/>
                <w:szCs w:val="24"/>
              </w:rPr>
            </w:pPr>
          </w:p>
        </w:tc>
        <w:tc>
          <w:tcPr>
            <w:tcW w:w="0" w:type="auto"/>
            <w:vMerge w:val="continue"/>
            <w:shd w:val="clear" w:color="auto" w:fill="auto"/>
          </w:tcPr>
          <w:p w14:paraId="3F35467D">
            <w:pPr>
              <w:rPr>
                <w:rFonts w:ascii="宋体" w:hAnsi="宋体" w:eastAsia="宋体" w:cs="宋体"/>
                <w:sz w:val="24"/>
                <w:szCs w:val="24"/>
              </w:rPr>
            </w:pPr>
          </w:p>
        </w:tc>
        <w:tc>
          <w:tcPr>
            <w:tcW w:w="0" w:type="auto"/>
            <w:gridSpan w:val="2"/>
            <w:vMerge w:val="continue"/>
            <w:shd w:val="clear" w:color="auto" w:fill="auto"/>
          </w:tcPr>
          <w:p w14:paraId="00E116C0">
            <w:pPr>
              <w:rPr>
                <w:rFonts w:ascii="宋体" w:hAnsi="宋体" w:eastAsia="宋体" w:cs="宋体"/>
                <w:sz w:val="24"/>
                <w:szCs w:val="24"/>
              </w:rPr>
            </w:pPr>
          </w:p>
        </w:tc>
        <w:tc>
          <w:tcPr>
            <w:tcW w:w="0" w:type="auto"/>
            <w:vMerge w:val="continue"/>
            <w:shd w:val="clear" w:color="auto" w:fill="auto"/>
          </w:tcPr>
          <w:p w14:paraId="1BC8E2C2">
            <w:pPr>
              <w:rPr>
                <w:rFonts w:ascii="宋体" w:hAnsi="宋体" w:eastAsia="宋体" w:cs="宋体"/>
                <w:sz w:val="24"/>
                <w:szCs w:val="24"/>
              </w:rPr>
            </w:pPr>
          </w:p>
        </w:tc>
        <w:tc>
          <w:tcPr>
            <w:tcW w:w="0" w:type="auto"/>
            <w:vMerge w:val="continue"/>
            <w:shd w:val="clear" w:color="auto" w:fill="auto"/>
          </w:tcPr>
          <w:p w14:paraId="5308EFE7">
            <w:pPr>
              <w:rPr>
                <w:rFonts w:ascii="宋体" w:hAnsi="宋体" w:eastAsia="宋体" w:cs="宋体"/>
                <w:sz w:val="24"/>
                <w:szCs w:val="24"/>
              </w:rPr>
            </w:pPr>
          </w:p>
        </w:tc>
      </w:tr>
      <w:tr w14:paraId="2E9E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6C2723">
            <w:pPr>
              <w:jc w:val="center"/>
              <w:rPr>
                <w:rFonts w:ascii="宋体" w:hAnsi="宋体" w:eastAsia="宋体" w:cs="宋体"/>
                <w:sz w:val="24"/>
                <w:szCs w:val="24"/>
              </w:rPr>
            </w:pPr>
          </w:p>
        </w:tc>
        <w:tc>
          <w:tcPr>
            <w:tcW w:w="0" w:type="auto"/>
            <w:shd w:val="clear" w:color="auto" w:fill="auto"/>
          </w:tcPr>
          <w:p w14:paraId="1C867034">
            <w:pPr>
              <w:jc w:val="center"/>
              <w:rPr>
                <w:rFonts w:ascii="宋体" w:hAnsi="宋体" w:eastAsia="宋体" w:cs="宋体"/>
                <w:sz w:val="24"/>
                <w:szCs w:val="24"/>
              </w:rPr>
            </w:pPr>
          </w:p>
        </w:tc>
        <w:tc>
          <w:tcPr>
            <w:tcW w:w="0" w:type="auto"/>
            <w:shd w:val="clear" w:color="auto" w:fill="auto"/>
          </w:tcPr>
          <w:p w14:paraId="0D6270C6">
            <w:pPr>
              <w:jc w:val="center"/>
              <w:rPr>
                <w:rFonts w:ascii="宋体" w:hAnsi="宋体" w:eastAsia="宋体" w:cs="宋体"/>
                <w:sz w:val="24"/>
                <w:szCs w:val="24"/>
              </w:rPr>
            </w:pPr>
          </w:p>
        </w:tc>
        <w:tc>
          <w:tcPr>
            <w:tcW w:w="0" w:type="auto"/>
            <w:gridSpan w:val="2"/>
            <w:shd w:val="clear" w:color="auto" w:fill="auto"/>
          </w:tcPr>
          <w:p w14:paraId="59BAA505">
            <w:pPr>
              <w:jc w:val="center"/>
              <w:rPr>
                <w:rFonts w:ascii="宋体" w:hAnsi="宋体" w:eastAsia="宋体" w:cs="宋体"/>
                <w:sz w:val="24"/>
                <w:szCs w:val="24"/>
              </w:rPr>
            </w:pPr>
          </w:p>
        </w:tc>
        <w:tc>
          <w:tcPr>
            <w:tcW w:w="0" w:type="auto"/>
            <w:shd w:val="clear" w:color="auto" w:fill="auto"/>
          </w:tcPr>
          <w:p w14:paraId="1798A894">
            <w:pPr>
              <w:jc w:val="center"/>
              <w:rPr>
                <w:rFonts w:ascii="宋体" w:hAnsi="宋体" w:eastAsia="宋体" w:cs="宋体"/>
                <w:sz w:val="24"/>
                <w:szCs w:val="24"/>
              </w:rPr>
            </w:pPr>
          </w:p>
        </w:tc>
        <w:tc>
          <w:tcPr>
            <w:tcW w:w="0" w:type="auto"/>
            <w:shd w:val="clear" w:color="auto" w:fill="auto"/>
          </w:tcPr>
          <w:p w14:paraId="38F03774">
            <w:pPr>
              <w:jc w:val="center"/>
              <w:rPr>
                <w:rFonts w:ascii="宋体" w:hAnsi="宋体" w:eastAsia="宋体" w:cs="宋体"/>
                <w:sz w:val="24"/>
                <w:szCs w:val="24"/>
              </w:rPr>
            </w:pPr>
          </w:p>
        </w:tc>
      </w:tr>
    </w:tbl>
    <w:p w14:paraId="0C220D22">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14:paraId="0E09D934">
      <w:pPr>
        <w:pStyle w:val="7"/>
        <w:spacing w:before="0" w:beforeAutospacing="0" w:after="0" w:afterAutospacing="0" w:line="360" w:lineRule="auto"/>
        <w:ind w:firstLine="420"/>
        <w:rPr>
          <w:sz w:val="21"/>
          <w:szCs w:val="21"/>
        </w:rPr>
      </w:pPr>
      <w:r>
        <w:rPr>
          <w:rStyle w:val="11"/>
          <w:rFonts w:hint="eastAsia"/>
          <w:sz w:val="21"/>
          <w:szCs w:val="21"/>
        </w:rPr>
        <w:t>八、拒绝或暂停申购的情形及处理方式</w:t>
      </w:r>
    </w:p>
    <w:p w14:paraId="11A5B47B">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418C04D2">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1、因不可抗力导致基金无法正常运作、基金管理人无法受理或办理基金份额持有人的申购申请； </w:t>
      </w:r>
    </w:p>
    <w:p w14:paraId="3347A9D9">
      <w:pPr>
        <w:pStyle w:val="7"/>
        <w:spacing w:before="0" w:beforeAutospacing="0" w:after="0" w:afterAutospacing="0" w:line="360" w:lineRule="auto"/>
        <w:ind w:firstLine="420"/>
        <w:rPr>
          <w:sz w:val="21"/>
          <w:szCs w:val="21"/>
        </w:rPr>
      </w:pPr>
      <w:r>
        <w:rPr>
          <w:rFonts w:hint="eastAsia"/>
          <w:sz w:val="21"/>
          <w:szCs w:val="21"/>
        </w:rPr>
        <w:t xml:space="preserve">2、证券/期货交易所或外汇市场交易时间非正常停市，导致基金管理人无法计算当日基金资产净值或无法进行证券交易； </w:t>
      </w:r>
    </w:p>
    <w:p w14:paraId="2BE577A9">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14:paraId="3AB5F250">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14:paraId="727A46B4">
      <w:pPr>
        <w:pStyle w:val="7"/>
        <w:spacing w:before="0" w:beforeAutospacing="0" w:after="0" w:afterAutospacing="0" w:line="360" w:lineRule="auto"/>
        <w:ind w:firstLine="420"/>
        <w:rPr>
          <w:sz w:val="21"/>
          <w:szCs w:val="21"/>
        </w:rPr>
      </w:pPr>
      <w:r>
        <w:rPr>
          <w:rFonts w:hint="eastAsia"/>
          <w:sz w:val="21"/>
          <w:szCs w:val="21"/>
        </w:rPr>
        <w:t xml:space="preserve">5、接受某笔或某些申购申请可能会影响或损害现有基金份额持有人利益时； </w:t>
      </w:r>
    </w:p>
    <w:p w14:paraId="033CD6B9">
      <w:pPr>
        <w:pStyle w:val="7"/>
        <w:spacing w:before="0" w:beforeAutospacing="0" w:after="0" w:afterAutospacing="0" w:line="360" w:lineRule="auto"/>
        <w:ind w:firstLine="420"/>
        <w:rPr>
          <w:sz w:val="21"/>
          <w:szCs w:val="21"/>
        </w:rPr>
      </w:pPr>
      <w:r>
        <w:rPr>
          <w:rFonts w:hint="eastAsia"/>
          <w:sz w:val="21"/>
          <w:szCs w:val="21"/>
        </w:rPr>
        <w:t xml:space="preserve">6、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14:paraId="781C7531">
      <w:pPr>
        <w:pStyle w:val="7"/>
        <w:spacing w:before="0" w:beforeAutospacing="0" w:after="0" w:afterAutospacing="0" w:line="360" w:lineRule="auto"/>
        <w:ind w:firstLine="420"/>
        <w:rPr>
          <w:sz w:val="21"/>
          <w:szCs w:val="21"/>
        </w:rPr>
      </w:pPr>
      <w:r>
        <w:rPr>
          <w:rFonts w:hint="eastAsia"/>
          <w:sz w:val="21"/>
          <w:szCs w:val="21"/>
        </w:rPr>
        <w:t xml:space="preserve">7、申请超过基金管理人设定的基金总规模、单日净申购比例上限、单一投资者单日或单笔申购份额上限的； </w:t>
      </w:r>
    </w:p>
    <w:p w14:paraId="5F00EBA5">
      <w:pPr>
        <w:pStyle w:val="7"/>
        <w:spacing w:before="0" w:beforeAutospacing="0" w:after="0" w:afterAutospacing="0" w:line="360" w:lineRule="auto"/>
        <w:ind w:firstLine="420"/>
        <w:rPr>
          <w:sz w:val="21"/>
          <w:szCs w:val="21"/>
        </w:rPr>
      </w:pPr>
      <w:r>
        <w:rPr>
          <w:rFonts w:hint="eastAsia"/>
          <w:sz w:val="21"/>
          <w:szCs w:val="21"/>
        </w:rPr>
        <w:t xml:space="preserve">8、当前一估值日基金资产净值50%以上的资产出现无可参考的活跃市场价格且采用估值技术仍导致公允价值存在重大不确定性时，经与基金托管人协商确认后，基金管理人应当暂停接受基金申购申请； </w:t>
      </w:r>
    </w:p>
    <w:p w14:paraId="7BD59457">
      <w:pPr>
        <w:pStyle w:val="7"/>
        <w:spacing w:before="0" w:beforeAutospacing="0" w:after="0" w:afterAutospacing="0" w:line="360" w:lineRule="auto"/>
        <w:ind w:firstLine="420"/>
        <w:rPr>
          <w:sz w:val="21"/>
          <w:szCs w:val="21"/>
        </w:rPr>
      </w:pPr>
      <w:r>
        <w:rPr>
          <w:rFonts w:hint="eastAsia"/>
          <w:sz w:val="21"/>
          <w:szCs w:val="21"/>
        </w:rPr>
        <w:t xml:space="preserve">9、基金资产规模过大，使基金管理人无法找到合适的投资品种，或其他可能对基金业绩产生负面影响，或发生其他损害现有基金份额持有人利益的情形； </w:t>
      </w:r>
    </w:p>
    <w:p w14:paraId="713F8FF1">
      <w:pPr>
        <w:pStyle w:val="7"/>
        <w:spacing w:before="0" w:beforeAutospacing="0" w:after="0" w:afterAutospacing="0" w:line="360" w:lineRule="auto"/>
        <w:ind w:firstLine="420"/>
        <w:rPr>
          <w:sz w:val="21"/>
          <w:szCs w:val="21"/>
        </w:rPr>
      </w:pPr>
      <w:r>
        <w:rPr>
          <w:rFonts w:hint="eastAsia"/>
          <w:sz w:val="21"/>
          <w:szCs w:val="21"/>
        </w:rPr>
        <w:t xml:space="preserve">10、法律法规、深圳证券交易所规定或中国证监会认定的其他情形。 </w:t>
      </w:r>
    </w:p>
    <w:p w14:paraId="327D43A0">
      <w:pPr>
        <w:pStyle w:val="7"/>
        <w:spacing w:before="0" w:beforeAutospacing="0" w:after="0" w:afterAutospacing="0" w:line="360" w:lineRule="auto"/>
        <w:ind w:firstLine="420"/>
        <w:rPr>
          <w:sz w:val="21"/>
          <w:szCs w:val="21"/>
        </w:rPr>
      </w:pPr>
      <w:r>
        <w:rPr>
          <w:rFonts w:hint="eastAsia"/>
          <w:sz w:val="21"/>
          <w:szCs w:val="21"/>
        </w:rPr>
        <w:t xml:space="preserve">发生上述第1、2、3、4、6、8、9、10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 </w:t>
      </w:r>
    </w:p>
    <w:p w14:paraId="620FA939">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2BB56278">
      <w:pPr>
        <w:pStyle w:val="7"/>
        <w:spacing w:before="0" w:beforeAutospacing="0" w:after="0" w:afterAutospacing="0" w:line="360" w:lineRule="auto"/>
        <w:ind w:firstLine="420"/>
        <w:rPr>
          <w:sz w:val="21"/>
          <w:szCs w:val="21"/>
        </w:rPr>
      </w:pPr>
      <w:r>
        <w:rPr>
          <w:rStyle w:val="11"/>
          <w:rFonts w:hint="eastAsia"/>
          <w:sz w:val="21"/>
          <w:szCs w:val="21"/>
        </w:rPr>
        <w:t>九、暂停赎回或延缓支付赎回对价的情形及处理方式</w:t>
      </w:r>
    </w:p>
    <w:p w14:paraId="3853B04B">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发生下列情形时，基金管理人可暂停接受投资人的赎回申请或延缓支付赎回对价： </w:t>
      </w:r>
    </w:p>
    <w:p w14:paraId="3D64C246">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1、因不可抗力导致基金管理人无法受理或办理基金份额持有人的赎回申请； </w:t>
      </w:r>
    </w:p>
    <w:p w14:paraId="5BA2145F">
      <w:pPr>
        <w:pStyle w:val="7"/>
        <w:spacing w:before="0" w:beforeAutospacing="0" w:after="0" w:afterAutospacing="0" w:line="360" w:lineRule="auto"/>
        <w:ind w:firstLine="420"/>
        <w:rPr>
          <w:sz w:val="21"/>
          <w:szCs w:val="21"/>
        </w:rPr>
      </w:pPr>
      <w:r>
        <w:rPr>
          <w:rFonts w:hint="eastAsia"/>
          <w:sz w:val="21"/>
          <w:szCs w:val="21"/>
        </w:rPr>
        <w:t xml:space="preserve">2、证券/期货交易所或外汇市场交易时间非正常停市，导致基金管理人无法计算当日基金资产净值或无法进行证券交易； </w:t>
      </w:r>
    </w:p>
    <w:p w14:paraId="61EEBFB1">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14:paraId="41E70A4D">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14:paraId="40399D60">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14:paraId="52C1CA98">
      <w:pPr>
        <w:pStyle w:val="7"/>
        <w:spacing w:before="0" w:beforeAutospacing="0" w:after="0" w:afterAutospacing="0" w:line="360" w:lineRule="auto"/>
        <w:ind w:firstLine="420"/>
        <w:rPr>
          <w:sz w:val="21"/>
          <w:szCs w:val="21"/>
        </w:rPr>
      </w:pPr>
      <w:r>
        <w:rPr>
          <w:rFonts w:hint="eastAsia"/>
          <w:sz w:val="21"/>
          <w:szCs w:val="21"/>
        </w:rPr>
        <w:t xml:space="preserve">6、本基金当日总赎回份额达到基金管理人所设定的上限，基金管理人可拒绝赎回申请； </w:t>
      </w:r>
    </w:p>
    <w:p w14:paraId="3CECEC03">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延缓支付赎回对价或暂停接受基金赎回申请； </w:t>
      </w:r>
    </w:p>
    <w:p w14:paraId="478EE49B">
      <w:pPr>
        <w:pStyle w:val="7"/>
        <w:spacing w:before="0" w:beforeAutospacing="0" w:after="0" w:afterAutospacing="0" w:line="360" w:lineRule="auto"/>
        <w:ind w:firstLine="420"/>
        <w:rPr>
          <w:sz w:val="21"/>
          <w:szCs w:val="21"/>
        </w:rPr>
      </w:pPr>
      <w:r>
        <w:rPr>
          <w:rFonts w:hint="eastAsia"/>
          <w:sz w:val="21"/>
          <w:szCs w:val="21"/>
        </w:rPr>
        <w:t xml:space="preserve">8、法律法规、深圳证券交易所规定或中国证监会认定的其他情形。 </w:t>
      </w:r>
    </w:p>
    <w:p w14:paraId="49F341F0">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对价情形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 </w:t>
      </w:r>
    </w:p>
    <w:p w14:paraId="0C6B2420">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6FE02218">
      <w:pPr>
        <w:pStyle w:val="7"/>
        <w:spacing w:before="0" w:beforeAutospacing="0" w:after="0" w:afterAutospacing="0" w:line="360" w:lineRule="auto"/>
        <w:ind w:firstLine="420"/>
        <w:rPr>
          <w:sz w:val="21"/>
          <w:szCs w:val="21"/>
        </w:rPr>
      </w:pPr>
      <w:r>
        <w:rPr>
          <w:rStyle w:val="11"/>
          <w:rFonts w:hint="eastAsia"/>
          <w:sz w:val="21"/>
          <w:szCs w:val="21"/>
        </w:rPr>
        <w:t>十、基金清算交收与登记模式的调整或新增</w:t>
      </w:r>
    </w:p>
    <w:p w14:paraId="079D8717">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本基金管理人有权调整本基金的清算交收与登记模式及申购、赎回方式，或新增本基金的清算交收与登记模式并引入新的申购、赎回方式，届时将发布公告予以披露并对本基金的基金合同和招募说明书予以更新，无须召开持有人大会审议。 </w:t>
      </w:r>
    </w:p>
    <w:p w14:paraId="04F03D67">
      <w:pPr>
        <w:pStyle w:val="7"/>
        <w:spacing w:before="0" w:beforeAutospacing="0" w:after="0" w:afterAutospacing="0" w:line="360" w:lineRule="auto"/>
        <w:ind w:firstLine="420"/>
        <w:rPr>
          <w:sz w:val="21"/>
          <w:szCs w:val="21"/>
        </w:rPr>
      </w:pPr>
      <w:r>
        <w:rPr>
          <w:rStyle w:val="11"/>
          <w:rFonts w:hint="eastAsia"/>
          <w:sz w:val="21"/>
          <w:szCs w:val="21"/>
        </w:rPr>
        <w:t>十一、基金份额拆分与合并 </w:t>
      </w:r>
    </w:p>
    <w:p w14:paraId="6A3B95CF">
      <w:pPr>
        <w:pStyle w:val="7"/>
        <w:spacing w:before="0" w:beforeAutospacing="0" w:after="0" w:afterAutospacing="0" w:line="360" w:lineRule="auto"/>
        <w:ind w:firstLine="420"/>
        <w:rPr>
          <w:sz w:val="21"/>
          <w:szCs w:val="21"/>
        </w:rPr>
      </w:pPr>
      <w:r>
        <w:rPr>
          <w:rFonts w:hint="eastAsia"/>
          <w:sz w:val="21"/>
          <w:szCs w:val="21"/>
        </w:rPr>
        <w:t xml:space="preserve">基金成立后，在法律法规规定的范围内，在履行适当程序后，本基金可实施基金份额拆分或合并。 </w:t>
      </w:r>
    </w:p>
    <w:p w14:paraId="163AA208">
      <w:pPr>
        <w:pStyle w:val="7"/>
        <w:spacing w:before="0" w:beforeAutospacing="0" w:after="0" w:afterAutospacing="0" w:line="360" w:lineRule="auto"/>
        <w:ind w:firstLine="420"/>
        <w:rPr>
          <w:sz w:val="21"/>
          <w:szCs w:val="21"/>
        </w:rPr>
      </w:pPr>
      <w:r>
        <w:rPr>
          <w:rFonts w:hint="eastAsia"/>
          <w:sz w:val="21"/>
          <w:szCs w:val="21"/>
        </w:rPr>
        <w:t xml:space="preserve">基金份额拆分或合并是在保持现有基金份额持有人资产总值不变的前提下，改变基金份额净值和持有基金份额的对应关系，是重新列示基金资产的一种方式。基金份额拆分或合并对基金份额持有人的权益无实质性影响。 </w:t>
      </w:r>
    </w:p>
    <w:p w14:paraId="4EE1DD92">
      <w:pPr>
        <w:pStyle w:val="7"/>
        <w:spacing w:before="0" w:beforeAutospacing="0" w:after="0" w:afterAutospacing="0" w:line="360" w:lineRule="auto"/>
        <w:ind w:firstLine="420"/>
        <w:rPr>
          <w:sz w:val="21"/>
          <w:szCs w:val="21"/>
        </w:rPr>
      </w:pPr>
      <w:r>
        <w:rPr>
          <w:rStyle w:val="11"/>
          <w:rFonts w:hint="eastAsia"/>
          <w:sz w:val="21"/>
          <w:szCs w:val="21"/>
        </w:rPr>
        <w:t>十二、基金份额的转让</w:t>
      </w:r>
    </w:p>
    <w:p w14:paraId="4CC8FC14">
      <w:pPr>
        <w:pStyle w:val="7"/>
        <w:spacing w:before="0" w:beforeAutospacing="0" w:after="0" w:afterAutospacing="0" w:line="360" w:lineRule="auto"/>
        <w:ind w:firstLine="420"/>
        <w:rPr>
          <w:sz w:val="21"/>
          <w:szCs w:val="21"/>
        </w:rPr>
      </w:pPr>
      <w:r>
        <w:rPr>
          <w:rFonts w:hint="eastAsia"/>
          <w:sz w:val="21"/>
          <w:szCs w:val="21"/>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w:t>
      </w:r>
      <w:bookmarkStart w:id="101" w:name="chapter_level1_12_59_section_3_end"/>
      <w:bookmarkEnd w:id="101"/>
      <w:r>
        <w:rPr>
          <w:rFonts w:hint="eastAsia"/>
          <w:sz w:val="21"/>
          <w:szCs w:val="21"/>
        </w:rPr>
        <w:t xml:space="preserve">的业务规则办理基金份额转让业务。 </w:t>
      </w:r>
    </w:p>
    <w:p w14:paraId="3D2737B9">
      <w:pPr>
        <w:pStyle w:val="7"/>
        <w:spacing w:before="0" w:beforeAutospacing="0" w:after="0" w:afterAutospacing="0" w:line="360" w:lineRule="auto"/>
        <w:ind w:firstLine="420"/>
        <w:rPr>
          <w:sz w:val="21"/>
          <w:szCs w:val="21"/>
        </w:rPr>
      </w:pPr>
      <w:bookmarkStart w:id="102" w:name="chapter_level1_12_59_section_4"/>
      <w:bookmarkEnd w:id="102"/>
      <w:r>
        <w:rPr>
          <w:rStyle w:val="11"/>
          <w:rFonts w:hint="eastAsia"/>
          <w:sz w:val="21"/>
          <w:szCs w:val="21"/>
        </w:rPr>
        <w:t>十三、基金份额的非交易过户、冻结、解冻等其他业务</w:t>
      </w:r>
    </w:p>
    <w:p w14:paraId="1D926039">
      <w:pPr>
        <w:pStyle w:val="7"/>
        <w:spacing w:before="0" w:beforeAutospacing="0" w:after="0" w:afterAutospacing="0" w:line="360" w:lineRule="auto"/>
        <w:ind w:firstLine="420"/>
        <w:rPr>
          <w:sz w:val="21"/>
          <w:szCs w:val="21"/>
        </w:rPr>
      </w:pPr>
      <w:r>
        <w:rPr>
          <w:rFonts w:hint="eastAsia"/>
          <w:sz w:val="21"/>
          <w:szCs w:val="21"/>
        </w:rPr>
        <w:t xml:space="preserve">基金份额的登记机构可依据其业务规则，受理基金的非交易过户、冻结与解冻等业务，并收取一定的手续费用。 </w:t>
      </w:r>
    </w:p>
    <w:p w14:paraId="318E6B8A">
      <w:pPr>
        <w:pStyle w:val="7"/>
        <w:spacing w:before="0" w:beforeAutospacing="0" w:after="0" w:afterAutospacing="0" w:line="360" w:lineRule="auto"/>
        <w:ind w:firstLine="420"/>
        <w:rPr>
          <w:sz w:val="21"/>
          <w:szCs w:val="21"/>
        </w:rPr>
      </w:pPr>
      <w:r>
        <w:rPr>
          <w:rFonts w:hint="eastAsia"/>
          <w:sz w:val="21"/>
          <w:szCs w:val="21"/>
        </w:rPr>
        <w:t>基金份额被冻结的，被冻结部分产生的权益一并冻结，被冻结部分份额仍然参与收益分</w:t>
      </w:r>
      <w:bookmarkStart w:id="103" w:name="chapter_level1_12_59_section_4_end"/>
      <w:bookmarkEnd w:id="103"/>
      <w:r>
        <w:rPr>
          <w:rFonts w:hint="eastAsia"/>
          <w:sz w:val="21"/>
          <w:szCs w:val="21"/>
        </w:rPr>
        <w:t xml:space="preserve">配。法律法规或监管机构另有规定的除外。 </w:t>
      </w:r>
    </w:p>
    <w:p w14:paraId="0F0E2AF6">
      <w:pPr>
        <w:pStyle w:val="7"/>
        <w:spacing w:before="0" w:beforeAutospacing="0" w:after="0" w:afterAutospacing="0" w:line="360" w:lineRule="auto"/>
        <w:ind w:firstLine="420"/>
        <w:rPr>
          <w:sz w:val="21"/>
          <w:szCs w:val="21"/>
        </w:rPr>
      </w:pPr>
      <w:bookmarkStart w:id="104" w:name="chapter_level1_12_59_section_5"/>
      <w:bookmarkEnd w:id="104"/>
      <w:r>
        <w:rPr>
          <w:rStyle w:val="11"/>
          <w:rFonts w:hint="eastAsia"/>
          <w:sz w:val="21"/>
          <w:szCs w:val="21"/>
        </w:rPr>
        <w:t>十四、联接基金的特殊申购</w:t>
      </w:r>
    </w:p>
    <w:p w14:paraId="3A686E44">
      <w:pPr>
        <w:pStyle w:val="7"/>
        <w:spacing w:before="0" w:beforeAutospacing="0" w:after="0" w:afterAutospacing="0" w:line="360" w:lineRule="auto"/>
        <w:ind w:firstLine="420"/>
        <w:rPr>
          <w:sz w:val="21"/>
          <w:szCs w:val="21"/>
        </w:rPr>
      </w:pPr>
      <w:r>
        <w:rPr>
          <w:rFonts w:hint="eastAsia"/>
          <w:sz w:val="21"/>
          <w:szCs w:val="21"/>
        </w:rPr>
        <w:t xml:space="preserve">若基金管理人推出以本基金为目标ETF的联接基金，本基金可根据实际情况需要向本基金的联接基金开通特殊申购，不收取申购费用。具体见基金管理人相关公告。 </w:t>
      </w:r>
    </w:p>
    <w:p w14:paraId="6FFF56AA">
      <w:pPr>
        <w:pStyle w:val="7"/>
        <w:spacing w:before="0" w:beforeAutospacing="0" w:after="0" w:afterAutospacing="0" w:line="360" w:lineRule="auto"/>
        <w:ind w:firstLine="420"/>
        <w:rPr>
          <w:sz w:val="21"/>
          <w:szCs w:val="21"/>
        </w:rPr>
      </w:pPr>
      <w:r>
        <w:rPr>
          <w:rStyle w:val="11"/>
          <w:rFonts w:hint="eastAsia"/>
          <w:sz w:val="21"/>
          <w:szCs w:val="21"/>
        </w:rPr>
        <w:t>十五、基金份额折算</w:t>
      </w:r>
    </w:p>
    <w:p w14:paraId="6F88D9AB">
      <w:pPr>
        <w:pStyle w:val="7"/>
        <w:spacing w:before="0" w:beforeAutospacing="0" w:after="0" w:afterAutospacing="0" w:line="360" w:lineRule="auto"/>
        <w:ind w:firstLine="420"/>
        <w:rPr>
          <w:sz w:val="21"/>
          <w:szCs w:val="21"/>
        </w:rPr>
      </w:pPr>
      <w:r>
        <w:rPr>
          <w:rFonts w:hint="eastAsia"/>
          <w:sz w:val="21"/>
          <w:szCs w:val="21"/>
        </w:rPr>
        <w:t xml:space="preserve">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 </w:t>
      </w:r>
    </w:p>
    <w:p w14:paraId="1B40FBD3">
      <w:pPr>
        <w:pStyle w:val="7"/>
        <w:spacing w:before="0" w:beforeAutospacing="0" w:after="0" w:afterAutospacing="0" w:line="360" w:lineRule="auto"/>
        <w:ind w:firstLine="420"/>
        <w:rPr>
          <w:sz w:val="21"/>
          <w:szCs w:val="21"/>
        </w:rPr>
      </w:pPr>
      <w:r>
        <w:rPr>
          <w:rStyle w:val="11"/>
          <w:rFonts w:hint="eastAsia"/>
          <w:sz w:val="21"/>
          <w:szCs w:val="21"/>
        </w:rPr>
        <w:t>十六、其他</w:t>
      </w:r>
    </w:p>
    <w:p w14:paraId="6BB3547C">
      <w:pPr>
        <w:pStyle w:val="7"/>
        <w:spacing w:before="0" w:beforeAutospacing="0" w:after="0" w:afterAutospacing="0" w:line="360" w:lineRule="auto"/>
        <w:ind w:firstLine="420"/>
        <w:rPr>
          <w:sz w:val="21"/>
          <w:szCs w:val="21"/>
        </w:rPr>
      </w:pPr>
      <w:r>
        <w:rPr>
          <w:rFonts w:hint="eastAsia"/>
          <w:sz w:val="21"/>
          <w:szCs w:val="21"/>
        </w:rPr>
        <w:t xml:space="preserve">1、在不违反法律法规且对基金份额持有人利益无实质性不利影响的情况下，经履行相关程序后，基金管理人可开放集合申购（或集中申购，业务名称以深圳证券交易所业务规则为准）。基金管理人有权制定集合申购业务的相关规则。 </w:t>
      </w:r>
    </w:p>
    <w:p w14:paraId="6A9C6712">
      <w:pPr>
        <w:pStyle w:val="7"/>
        <w:spacing w:before="0" w:beforeAutospacing="0" w:after="0" w:afterAutospacing="0" w:line="360" w:lineRule="auto"/>
        <w:ind w:firstLine="420"/>
        <w:rPr>
          <w:sz w:val="21"/>
          <w:szCs w:val="21"/>
        </w:rPr>
      </w:pPr>
      <w:r>
        <w:rPr>
          <w:rFonts w:hint="eastAsia"/>
          <w:sz w:val="21"/>
          <w:szCs w:val="21"/>
        </w:rPr>
        <w:t xml:space="preserve">在条件允许时，基金管理人也可采取其他合理的申购方式，并于新的申购方式开始执行前予以公告。 </w:t>
      </w:r>
    </w:p>
    <w:p w14:paraId="64CDB3EC">
      <w:pPr>
        <w:pStyle w:val="7"/>
        <w:spacing w:before="0" w:beforeAutospacing="0" w:after="0" w:afterAutospacing="0" w:line="360" w:lineRule="auto"/>
        <w:ind w:firstLine="420"/>
        <w:rPr>
          <w:sz w:val="21"/>
          <w:szCs w:val="21"/>
        </w:rPr>
      </w:pPr>
      <w:r>
        <w:rPr>
          <w:rFonts w:hint="eastAsia"/>
          <w:sz w:val="21"/>
          <w:szCs w:val="21"/>
        </w:rPr>
        <w:t xml:space="preserve">2、基金管理人指定的代理机构可依据法律法规和基金合同的规定开展其他服务，双方需签订书面委托代理协议，并报中国证监会备案。 </w:t>
      </w:r>
    </w:p>
    <w:p w14:paraId="4E7B58A9">
      <w:pPr>
        <w:pStyle w:val="7"/>
        <w:spacing w:before="0" w:beforeAutospacing="0" w:after="0" w:afterAutospacing="0" w:line="360" w:lineRule="auto"/>
        <w:ind w:firstLine="420"/>
        <w:rPr>
          <w:sz w:val="21"/>
          <w:szCs w:val="21"/>
        </w:rPr>
      </w:pPr>
      <w:r>
        <w:rPr>
          <w:rFonts w:hint="eastAsia"/>
          <w:sz w:val="21"/>
          <w:szCs w:val="21"/>
        </w:rPr>
        <w:t>3、对于符合《中国证券登记结算有限责任公司深圳分公司交易型开放式基金登记结算业务指南》要求的特定投资者，基金管理人可在不违反法律法规且对基金份额持有人利益无</w:t>
      </w:r>
      <w:bookmarkStart w:id="105" w:name="chapter_level1_12_59_section_5_end"/>
      <w:bookmarkEnd w:id="105"/>
      <w:r>
        <w:rPr>
          <w:rFonts w:hint="eastAsia"/>
          <w:sz w:val="21"/>
          <w:szCs w:val="21"/>
        </w:rPr>
        <w:t xml:space="preserve">实质性不利影响的情况下，安排专门的申购方式。 </w:t>
      </w:r>
    </w:p>
    <w:p w14:paraId="6E610911">
      <w:pPr>
        <w:widowControl/>
        <w:jc w:val="left"/>
        <w:rPr>
          <w:rFonts w:ascii="宋体" w:hAnsi="宋体" w:eastAsia="宋体"/>
        </w:rPr>
      </w:pPr>
      <w:r>
        <w:rPr>
          <w:rFonts w:ascii="宋体" w:hAnsi="宋体" w:eastAsia="宋体"/>
        </w:rPr>
        <w:br w:type="page"/>
      </w:r>
    </w:p>
    <w:p w14:paraId="1E3B9385">
      <w:pPr>
        <w:pStyle w:val="2"/>
        <w:jc w:val="center"/>
        <w:rPr>
          <w:rFonts w:ascii="宋体" w:hAnsi="宋体" w:eastAsia="宋体"/>
          <w:sz w:val="30"/>
        </w:rPr>
      </w:pPr>
      <w:bookmarkStart w:id="106" w:name="chapter_level1_13_60"/>
      <w:bookmarkStart w:id="107" w:name="_Toc207986790"/>
      <w:r>
        <w:rPr>
          <w:rFonts w:hint="eastAsia" w:ascii="宋体" w:hAnsi="宋体" w:eastAsia="宋体"/>
          <w:sz w:val="30"/>
        </w:rPr>
        <w:t>第十部分  基金的投资</w:t>
      </w:r>
      <w:bookmarkEnd w:id="106"/>
      <w:bookmarkEnd w:id="107"/>
    </w:p>
    <w:p w14:paraId="062C00EA">
      <w:pPr>
        <w:pStyle w:val="7"/>
        <w:spacing w:before="0" w:beforeAutospacing="0" w:after="0" w:afterAutospacing="0" w:line="360" w:lineRule="auto"/>
        <w:ind w:firstLine="420"/>
        <w:rPr>
          <w:sz w:val="21"/>
          <w:szCs w:val="21"/>
        </w:rPr>
      </w:pPr>
      <w:bookmarkStart w:id="108" w:name="chapter_level1_13_60_section_1"/>
      <w:bookmarkEnd w:id="108"/>
      <w:r>
        <w:rPr>
          <w:rStyle w:val="11"/>
          <w:rFonts w:hint="eastAsia"/>
          <w:sz w:val="21"/>
          <w:szCs w:val="21"/>
        </w:rPr>
        <w:t>一、投资目标</w:t>
      </w:r>
    </w:p>
    <w:p w14:paraId="4EB3FE5B">
      <w:pPr>
        <w:pStyle w:val="7"/>
        <w:spacing w:before="0" w:beforeAutospacing="0" w:after="0" w:afterAutospacing="0" w:line="360" w:lineRule="auto"/>
        <w:ind w:firstLine="420"/>
        <w:rPr>
          <w:sz w:val="21"/>
          <w:szCs w:val="21"/>
        </w:rPr>
      </w:pPr>
      <w:bookmarkStart w:id="109" w:name="field_60_investmenttarget_1_start"/>
      <w:bookmarkEnd w:id="109"/>
      <w:r>
        <w:rPr>
          <w:rFonts w:hint="eastAsia"/>
          <w:sz w:val="21"/>
          <w:szCs w:val="21"/>
        </w:rPr>
        <w:t xml:space="preserve">紧密跟踪标的指数，追求跟踪偏离度和跟踪误差的最小化。 </w:t>
      </w:r>
      <w:bookmarkStart w:id="110" w:name="field_60_investmenttarget_1_end"/>
      <w:bookmarkEnd w:id="110"/>
      <w:r>
        <w:rPr>
          <w:rFonts w:hint="eastAsia"/>
          <w:sz w:val="21"/>
          <w:szCs w:val="21"/>
        </w:rPr>
        <w:t xml:space="preserve">  </w:t>
      </w:r>
    </w:p>
    <w:p w14:paraId="3C362E93">
      <w:pPr>
        <w:pStyle w:val="7"/>
        <w:spacing w:before="0" w:beforeAutospacing="0" w:after="0" w:afterAutospacing="0" w:line="360" w:lineRule="auto"/>
        <w:ind w:firstLine="420"/>
        <w:rPr>
          <w:sz w:val="21"/>
          <w:szCs w:val="21"/>
        </w:rPr>
      </w:pPr>
      <w:r>
        <w:rPr>
          <w:rStyle w:val="11"/>
          <w:rFonts w:hint="eastAsia"/>
          <w:sz w:val="21"/>
          <w:szCs w:val="21"/>
        </w:rPr>
        <w:t>二、投资范围</w:t>
      </w:r>
    </w:p>
    <w:p w14:paraId="2D70BE8A">
      <w:pPr>
        <w:pStyle w:val="7"/>
        <w:spacing w:before="0" w:beforeAutospacing="0" w:after="0" w:afterAutospacing="0" w:line="360" w:lineRule="auto"/>
        <w:ind w:firstLine="420"/>
        <w:rPr>
          <w:sz w:val="21"/>
          <w:szCs w:val="21"/>
        </w:rPr>
      </w:pPr>
      <w:bookmarkStart w:id="111" w:name="field_60_investmentrange_1_start"/>
      <w:bookmarkEnd w:id="111"/>
      <w:r>
        <w:rPr>
          <w:rFonts w:hint="eastAsia"/>
          <w:sz w:val="21"/>
          <w:szCs w:val="21"/>
        </w:rPr>
        <w:t xml:space="preserve">本基金主要投资于标的指数成份股和备选成份股。 </w:t>
      </w:r>
    </w:p>
    <w:p w14:paraId="56A722AD">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和存托凭证、港股通标的股票）、债券（包括国债、金融债、地方政府债、政府支持机构债券、企业债、公司债、可转换债券（含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07DED2AA">
      <w:pPr>
        <w:pStyle w:val="7"/>
        <w:spacing w:before="0" w:beforeAutospacing="0" w:after="0" w:afterAutospacing="0" w:line="360" w:lineRule="auto"/>
        <w:ind w:firstLine="420"/>
        <w:rPr>
          <w:sz w:val="21"/>
          <w:szCs w:val="21"/>
        </w:rPr>
      </w:pPr>
      <w:r>
        <w:rPr>
          <w:rFonts w:hint="eastAsia"/>
          <w:sz w:val="21"/>
          <w:szCs w:val="21"/>
        </w:rPr>
        <w:t xml:space="preserve">本基金将根据法律法规的规定参与融资和转融通证券出借业务。 </w:t>
      </w:r>
    </w:p>
    <w:p w14:paraId="6B2287B4">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如法律法规或监管机构以后允许基金投资其他品种，基金管理人在与基金托管人协商一致并履行适当程序后，可以将其纳入投资范围。 </w:t>
      </w:r>
    </w:p>
    <w:p w14:paraId="51445AC7">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的资产比例不低于基金资产净值的90%，且不低于非现金基金资产的80%；投资港股通标的股票的比例不超过本基金股票资产的10%；本基金在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61E9A109">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若法律法规的相关规定发生变更或监管机构允许，本基金管理人在与基金托管人协商一致并履行适当程序后，可对上述资产配置比例进行调整。 </w:t>
      </w:r>
      <w:bookmarkStart w:id="112" w:name="field_60_investmentrange_1_end"/>
      <w:bookmarkEnd w:id="112"/>
      <w:r>
        <w:rPr>
          <w:rFonts w:hint="eastAsia"/>
          <w:sz w:val="21"/>
          <w:szCs w:val="21"/>
        </w:rPr>
        <w:t xml:space="preserve">  </w:t>
      </w:r>
    </w:p>
    <w:p w14:paraId="4737D83F">
      <w:pPr>
        <w:pStyle w:val="7"/>
        <w:spacing w:before="0" w:beforeAutospacing="0" w:after="0" w:afterAutospacing="0" w:line="360" w:lineRule="auto"/>
        <w:ind w:firstLine="420"/>
        <w:rPr>
          <w:sz w:val="21"/>
          <w:szCs w:val="21"/>
        </w:rPr>
      </w:pPr>
      <w:r>
        <w:rPr>
          <w:rStyle w:val="11"/>
          <w:rFonts w:hint="eastAsia"/>
          <w:sz w:val="21"/>
          <w:szCs w:val="21"/>
        </w:rPr>
        <w:t>三、投资策略</w:t>
      </w:r>
    </w:p>
    <w:p w14:paraId="4E61C2BA">
      <w:pPr>
        <w:pStyle w:val="7"/>
        <w:spacing w:before="0" w:beforeAutospacing="0" w:after="0" w:afterAutospacing="0" w:line="360" w:lineRule="auto"/>
        <w:ind w:firstLine="420"/>
        <w:rPr>
          <w:sz w:val="21"/>
          <w:szCs w:val="21"/>
        </w:rPr>
      </w:pPr>
      <w:bookmarkStart w:id="113" w:name="field_60_investmentstrategy_1_start"/>
      <w:bookmarkEnd w:id="113"/>
      <w:r>
        <w:rPr>
          <w:rFonts w:hint="eastAsia"/>
          <w:sz w:val="21"/>
          <w:szCs w:val="21"/>
        </w:rPr>
        <w:t xml:space="preserve">1、组合复制策略 </w:t>
      </w:r>
    </w:p>
    <w:p w14:paraId="47347CBB">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43E4A31B">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  </w:t>
      </w:r>
    </w:p>
    <w:p w14:paraId="4C2B67C5">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251CAAD5">
      <w:pPr>
        <w:pStyle w:val="7"/>
        <w:spacing w:before="0" w:beforeAutospacing="0" w:after="0" w:afterAutospacing="0" w:line="360" w:lineRule="auto"/>
        <w:ind w:firstLine="420"/>
        <w:rPr>
          <w:sz w:val="21"/>
          <w:szCs w:val="21"/>
        </w:rPr>
      </w:pPr>
      <w:r>
        <w:rPr>
          <w:rFonts w:hint="eastAsia"/>
          <w:sz w:val="21"/>
          <w:szCs w:val="21"/>
        </w:rPr>
        <w:t xml:space="preserve">2、债券（除可转换债券）投资策略 </w:t>
      </w:r>
    </w:p>
    <w:p w14:paraId="1F14B242">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本基金债券投资组合将着重考虑基金的流动性管理及策略性投资的需要，选取到期日在一年以内的政府债券进行配置。债券投资的目的是保证基金资产流动性，有效利用基金资产，提高基金资产的投资收益。 </w:t>
      </w:r>
    </w:p>
    <w:p w14:paraId="241A3F5B">
      <w:pPr>
        <w:pStyle w:val="7"/>
        <w:spacing w:before="0" w:beforeAutospacing="0" w:after="0" w:afterAutospacing="0" w:line="360" w:lineRule="auto"/>
        <w:ind w:firstLine="420"/>
        <w:rPr>
          <w:sz w:val="21"/>
          <w:szCs w:val="21"/>
        </w:rPr>
      </w:pPr>
      <w:r>
        <w:rPr>
          <w:rFonts w:hint="eastAsia"/>
          <w:sz w:val="21"/>
          <w:szCs w:val="21"/>
        </w:rPr>
        <w:t xml:space="preserve">3、资产支持证券投资策略 </w:t>
      </w:r>
    </w:p>
    <w:p w14:paraId="62E89258">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5FCDD7B2">
      <w:pPr>
        <w:pStyle w:val="7"/>
        <w:spacing w:before="0" w:beforeAutospacing="0" w:after="0" w:afterAutospacing="0" w:line="360" w:lineRule="auto"/>
        <w:ind w:firstLine="420"/>
        <w:rPr>
          <w:sz w:val="21"/>
          <w:szCs w:val="21"/>
        </w:rPr>
      </w:pPr>
      <w:r>
        <w:rPr>
          <w:rFonts w:hint="eastAsia"/>
          <w:sz w:val="21"/>
          <w:szCs w:val="21"/>
        </w:rPr>
        <w:t xml:space="preserve">4、港股通标的股票投资策略 </w:t>
      </w:r>
    </w:p>
    <w:p w14:paraId="08EC6777">
      <w:pPr>
        <w:pStyle w:val="7"/>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14:paraId="31F8E9CE">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4192AB2C">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569115EB">
      <w:pPr>
        <w:pStyle w:val="7"/>
        <w:spacing w:before="0" w:beforeAutospacing="0" w:after="0" w:afterAutospacing="0" w:line="360" w:lineRule="auto"/>
        <w:ind w:firstLine="420"/>
        <w:rPr>
          <w:sz w:val="21"/>
          <w:szCs w:val="21"/>
        </w:rPr>
      </w:pPr>
      <w:r>
        <w:rPr>
          <w:rFonts w:hint="eastAsia"/>
          <w:sz w:val="21"/>
          <w:szCs w:val="21"/>
        </w:rPr>
        <w:t xml:space="preserve">6、金融衍生品投资策略 </w:t>
      </w:r>
    </w:p>
    <w:p w14:paraId="0B570241">
      <w:pPr>
        <w:pStyle w:val="7"/>
        <w:spacing w:before="0" w:beforeAutospacing="0" w:after="0" w:afterAutospacing="0" w:line="360" w:lineRule="auto"/>
        <w:ind w:firstLine="420"/>
        <w:rPr>
          <w:sz w:val="21"/>
          <w:szCs w:val="21"/>
        </w:rPr>
      </w:pPr>
      <w:r>
        <w:rPr>
          <w:rFonts w:hint="eastAsia"/>
          <w:sz w:val="21"/>
          <w:szCs w:val="21"/>
        </w:rPr>
        <w:t xml:space="preserve">（1）股指期货投资策略  </w:t>
      </w:r>
    </w:p>
    <w:p w14:paraId="661F343E">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本着谨慎原则，以套期保值为目的，适度参与股指期货投资。本基金将根据对现货和期货市场的分析，充分考虑股指期货的风险收益特征进行股指期货投资，以改善投资组合的投资效果。 </w:t>
      </w:r>
    </w:p>
    <w:p w14:paraId="7956BC7C">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4B5D13CD">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1E2F17A4">
      <w:pPr>
        <w:pStyle w:val="7"/>
        <w:spacing w:before="0" w:beforeAutospacing="0" w:after="0" w:afterAutospacing="0" w:line="360" w:lineRule="auto"/>
        <w:ind w:firstLine="420"/>
        <w:rPr>
          <w:sz w:val="21"/>
          <w:szCs w:val="21"/>
        </w:rPr>
      </w:pPr>
      <w:r>
        <w:rPr>
          <w:rFonts w:hint="eastAsia"/>
          <w:sz w:val="21"/>
          <w:szCs w:val="21"/>
        </w:rPr>
        <w:t xml:space="preserve">（3）国债期货投资策略  </w:t>
      </w:r>
    </w:p>
    <w:p w14:paraId="336233EC">
      <w:pPr>
        <w:pStyle w:val="7"/>
        <w:spacing w:before="0" w:beforeAutospacing="0" w:after="0" w:afterAutospacing="0" w:line="360" w:lineRule="auto"/>
        <w:ind w:firstLine="420"/>
        <w:rPr>
          <w:sz w:val="21"/>
          <w:szCs w:val="21"/>
        </w:rPr>
      </w:pPr>
      <w:r>
        <w:rPr>
          <w:rFonts w:hint="eastAsia"/>
          <w:sz w:val="21"/>
          <w:szCs w:val="21"/>
        </w:rPr>
        <w:t xml:space="preserve">本基金投资国债期货，以套期保值为目的，将根据风险管理的原则，充分考虑国债期货的流动性和风险收益特征，在风险可控的前提下，适度参与国债期货投资。 </w:t>
      </w:r>
    </w:p>
    <w:p w14:paraId="3AE45FDC">
      <w:pPr>
        <w:pStyle w:val="7"/>
        <w:spacing w:before="0" w:beforeAutospacing="0" w:after="0" w:afterAutospacing="0" w:line="360" w:lineRule="auto"/>
        <w:ind w:firstLine="420"/>
        <w:rPr>
          <w:sz w:val="21"/>
          <w:szCs w:val="21"/>
        </w:rPr>
      </w:pPr>
      <w:r>
        <w:rPr>
          <w:rFonts w:hint="eastAsia"/>
          <w:sz w:val="21"/>
          <w:szCs w:val="21"/>
        </w:rPr>
        <w:t xml:space="preserve">7、融资和转融通证券出借 </w:t>
      </w:r>
    </w:p>
    <w:p w14:paraId="6DDE2927">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 </w:t>
      </w:r>
    </w:p>
    <w:p w14:paraId="79B75FDF">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14:paraId="59DA3162">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46E44F49">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未来，随着投资工具的发展和丰富，本基金可在不改变投资目标的前提下，相应调整和更新相关投资策略，并在履行适当程序后，在招募说明更新中公告。 </w:t>
      </w:r>
      <w:bookmarkStart w:id="114" w:name="field_60_investmentstrategy_1_end"/>
      <w:bookmarkEnd w:id="114"/>
      <w:r>
        <w:rPr>
          <w:rFonts w:hint="eastAsia"/>
          <w:sz w:val="21"/>
          <w:szCs w:val="21"/>
        </w:rPr>
        <w:t xml:space="preserve">  </w:t>
      </w:r>
    </w:p>
    <w:p w14:paraId="33D028D5">
      <w:pPr>
        <w:pStyle w:val="7"/>
        <w:spacing w:before="0" w:beforeAutospacing="0" w:after="0" w:afterAutospacing="0" w:line="360" w:lineRule="auto"/>
        <w:ind w:firstLine="420"/>
        <w:rPr>
          <w:sz w:val="21"/>
          <w:szCs w:val="21"/>
        </w:rPr>
      </w:pPr>
      <w:r>
        <w:rPr>
          <w:rStyle w:val="11"/>
          <w:rFonts w:hint="eastAsia"/>
          <w:sz w:val="21"/>
          <w:szCs w:val="21"/>
        </w:rPr>
        <w:t>四、投资管理流程 </w:t>
      </w:r>
    </w:p>
    <w:p w14:paraId="534E1A83">
      <w:pPr>
        <w:pStyle w:val="7"/>
        <w:spacing w:before="0" w:beforeAutospacing="0" w:after="0" w:afterAutospacing="0" w:line="360" w:lineRule="auto"/>
        <w:ind w:firstLine="420"/>
        <w:rPr>
          <w:sz w:val="21"/>
          <w:szCs w:val="21"/>
        </w:rPr>
      </w:pPr>
      <w:r>
        <w:rPr>
          <w:rFonts w:hint="eastAsia"/>
          <w:sz w:val="21"/>
          <w:szCs w:val="21"/>
        </w:rPr>
        <w:t xml:space="preserve">1、投资决策依据 </w:t>
      </w:r>
    </w:p>
    <w:p w14:paraId="6BA8DA56">
      <w:pPr>
        <w:pStyle w:val="7"/>
        <w:spacing w:before="0" w:beforeAutospacing="0" w:after="0" w:afterAutospacing="0" w:line="360" w:lineRule="auto"/>
        <w:ind w:firstLine="420"/>
        <w:rPr>
          <w:sz w:val="21"/>
          <w:szCs w:val="21"/>
        </w:rPr>
      </w:pPr>
      <w:r>
        <w:rPr>
          <w:rFonts w:hint="eastAsia"/>
          <w:sz w:val="21"/>
          <w:szCs w:val="21"/>
        </w:rPr>
        <w:t xml:space="preserve">有关法律法规、基金合同以及标的指数的相关规定是基金管理人运用基金财产的决策依据。 </w:t>
      </w:r>
    </w:p>
    <w:p w14:paraId="3C3CA601">
      <w:pPr>
        <w:pStyle w:val="7"/>
        <w:spacing w:before="0" w:beforeAutospacing="0" w:after="0" w:afterAutospacing="0" w:line="360" w:lineRule="auto"/>
        <w:ind w:firstLine="420"/>
        <w:rPr>
          <w:sz w:val="21"/>
          <w:szCs w:val="21"/>
        </w:rPr>
      </w:pPr>
      <w:r>
        <w:rPr>
          <w:rFonts w:hint="eastAsia"/>
          <w:sz w:val="21"/>
          <w:szCs w:val="21"/>
        </w:rPr>
        <w:t xml:space="preserve">2、投资管理体制 </w:t>
      </w:r>
    </w:p>
    <w:p w14:paraId="4ADDD5A9">
      <w:pPr>
        <w:pStyle w:val="7"/>
        <w:spacing w:before="0" w:beforeAutospacing="0" w:after="0" w:afterAutospacing="0" w:line="360" w:lineRule="auto"/>
        <w:ind w:firstLine="420"/>
        <w:rPr>
          <w:sz w:val="21"/>
          <w:szCs w:val="21"/>
        </w:rPr>
      </w:pPr>
      <w:r>
        <w:rPr>
          <w:rFonts w:hint="eastAsia"/>
          <w:sz w:val="21"/>
          <w:szCs w:val="21"/>
        </w:rPr>
        <w:t xml:space="preserve">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 </w:t>
      </w:r>
    </w:p>
    <w:p w14:paraId="439D947A">
      <w:pPr>
        <w:pStyle w:val="7"/>
        <w:spacing w:before="0" w:beforeAutospacing="0" w:after="0" w:afterAutospacing="0" w:line="360" w:lineRule="auto"/>
        <w:ind w:firstLine="420"/>
        <w:rPr>
          <w:sz w:val="21"/>
          <w:szCs w:val="21"/>
        </w:rPr>
      </w:pPr>
      <w:r>
        <w:rPr>
          <w:rFonts w:hint="eastAsia"/>
          <w:sz w:val="21"/>
          <w:szCs w:val="21"/>
        </w:rPr>
        <w:t xml:space="preserve">3、投资管理程序 </w:t>
      </w:r>
    </w:p>
    <w:p w14:paraId="06655B81">
      <w:pPr>
        <w:pStyle w:val="7"/>
        <w:spacing w:before="0" w:beforeAutospacing="0" w:after="0" w:afterAutospacing="0" w:line="360" w:lineRule="auto"/>
        <w:ind w:firstLine="420"/>
        <w:rPr>
          <w:sz w:val="21"/>
          <w:szCs w:val="21"/>
        </w:rPr>
      </w:pPr>
      <w:r>
        <w:rPr>
          <w:rFonts w:hint="eastAsia"/>
          <w:sz w:val="21"/>
          <w:szCs w:val="21"/>
        </w:rPr>
        <w:t xml:space="preserve">研究、投资决策、组合构建、交易执行、投资绩效评估、组合监控与调整各环节的相互协调与配合，构成了本基金的投资管理程序。 </w:t>
      </w:r>
    </w:p>
    <w:p w14:paraId="12C2E0E3">
      <w:pPr>
        <w:pStyle w:val="7"/>
        <w:spacing w:before="0" w:beforeAutospacing="0" w:after="0" w:afterAutospacing="0" w:line="360" w:lineRule="auto"/>
        <w:ind w:firstLine="420"/>
        <w:rPr>
          <w:sz w:val="21"/>
          <w:szCs w:val="21"/>
        </w:rPr>
      </w:pPr>
      <w:r>
        <w:rPr>
          <w:rFonts w:hint="eastAsia"/>
          <w:sz w:val="21"/>
          <w:szCs w:val="21"/>
        </w:rPr>
        <w:t xml:space="preserve">（1）研究支持。基金管理人的研究部依托公司整体研究平台，整合外部信息包括券商等外部研究力量的研究成果，开展标的指数跟踪、成份股公司行为等相关信息的搜集与分析、成份股流动性分析、误差及其归因分析等工作，并撰写相关的研究报告，作为本基金投资决策的重要依据。 </w:t>
      </w:r>
    </w:p>
    <w:p w14:paraId="26B3F09C">
      <w:pPr>
        <w:pStyle w:val="7"/>
        <w:spacing w:before="0" w:beforeAutospacing="0" w:after="0" w:afterAutospacing="0" w:line="360" w:lineRule="auto"/>
        <w:ind w:firstLine="420"/>
        <w:rPr>
          <w:sz w:val="21"/>
          <w:szCs w:val="21"/>
        </w:rPr>
      </w:pPr>
      <w:r>
        <w:rPr>
          <w:rFonts w:hint="eastAsia"/>
          <w:sz w:val="21"/>
          <w:szCs w:val="21"/>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14:paraId="7D532F83">
      <w:pPr>
        <w:pStyle w:val="7"/>
        <w:spacing w:before="0" w:beforeAutospacing="0" w:after="0" w:afterAutospacing="0" w:line="360" w:lineRule="auto"/>
        <w:ind w:firstLine="420"/>
        <w:rPr>
          <w:sz w:val="21"/>
          <w:szCs w:val="21"/>
        </w:rPr>
      </w:pPr>
      <w:r>
        <w:rPr>
          <w:rFonts w:hint="eastAsia"/>
          <w:sz w:val="21"/>
          <w:szCs w:val="21"/>
        </w:rPr>
        <w:t xml:space="preserve">（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14:paraId="7731BCE0">
      <w:pPr>
        <w:pStyle w:val="7"/>
        <w:spacing w:before="0" w:beforeAutospacing="0" w:after="0" w:afterAutospacing="0" w:line="360" w:lineRule="auto"/>
        <w:ind w:firstLine="420"/>
        <w:rPr>
          <w:sz w:val="21"/>
          <w:szCs w:val="21"/>
        </w:rPr>
      </w:pPr>
      <w:r>
        <w:rPr>
          <w:rFonts w:hint="eastAsia"/>
          <w:sz w:val="21"/>
          <w:szCs w:val="21"/>
        </w:rPr>
        <w:t xml:space="preserve">（4）交易执行。基金管理人的交易部负责本基金的具体交易执行，交易部同时履行一线监控的职责。 </w:t>
      </w:r>
    </w:p>
    <w:p w14:paraId="45D0AA31">
      <w:pPr>
        <w:pStyle w:val="7"/>
        <w:spacing w:before="0" w:beforeAutospacing="0" w:after="0" w:afterAutospacing="0" w:line="360" w:lineRule="auto"/>
        <w:ind w:firstLine="420"/>
        <w:rPr>
          <w:sz w:val="21"/>
          <w:szCs w:val="21"/>
        </w:rPr>
      </w:pPr>
      <w:r>
        <w:rPr>
          <w:rFonts w:hint="eastAsia"/>
          <w:sz w:val="21"/>
          <w:szCs w:val="21"/>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14:paraId="1CD35032">
      <w:pPr>
        <w:pStyle w:val="7"/>
        <w:spacing w:before="0" w:beforeAutospacing="0" w:after="0" w:afterAutospacing="0" w:line="360" w:lineRule="auto"/>
        <w:ind w:firstLine="420"/>
        <w:rPr>
          <w:sz w:val="21"/>
          <w:szCs w:val="21"/>
        </w:rPr>
      </w:pPr>
      <w:r>
        <w:rPr>
          <w:rFonts w:hint="eastAsia"/>
          <w:sz w:val="21"/>
          <w:szCs w:val="21"/>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14:paraId="3C3ED859">
      <w:pPr>
        <w:pStyle w:val="7"/>
        <w:spacing w:before="0" w:beforeAutospacing="0" w:after="0" w:afterAutospacing="0" w:line="360" w:lineRule="auto"/>
        <w:ind w:firstLine="420"/>
        <w:rPr>
          <w:sz w:val="21"/>
          <w:szCs w:val="21"/>
        </w:rPr>
      </w:pPr>
      <w:r>
        <w:rPr>
          <w:rFonts w:hint="eastAsia"/>
          <w:sz w:val="21"/>
          <w:szCs w:val="21"/>
        </w:rPr>
        <w:t xml:space="preserve">基金管理人在确保基金份额持有人利益的前提下，根据环境的变化和基金实际投资的需要，有权对上述投资程序做出调整，并将调整内容在基金招募说明书更新中予以公告。 </w:t>
      </w:r>
    </w:p>
    <w:p w14:paraId="1DAD8549">
      <w:pPr>
        <w:pStyle w:val="7"/>
        <w:spacing w:before="0" w:beforeAutospacing="0" w:after="0" w:afterAutospacing="0" w:line="360" w:lineRule="auto"/>
        <w:ind w:firstLine="420"/>
        <w:rPr>
          <w:sz w:val="21"/>
          <w:szCs w:val="21"/>
        </w:rPr>
      </w:pPr>
      <w:r>
        <w:rPr>
          <w:rStyle w:val="11"/>
          <w:rFonts w:hint="eastAsia"/>
          <w:sz w:val="21"/>
          <w:szCs w:val="21"/>
        </w:rPr>
        <w:t>五、投资组合管理 </w:t>
      </w:r>
    </w:p>
    <w:p w14:paraId="2A7C36A1">
      <w:pPr>
        <w:pStyle w:val="7"/>
        <w:spacing w:before="0" w:beforeAutospacing="0" w:after="0" w:afterAutospacing="0" w:line="360" w:lineRule="auto"/>
        <w:ind w:firstLine="420"/>
        <w:rPr>
          <w:sz w:val="21"/>
          <w:szCs w:val="21"/>
        </w:rPr>
      </w:pPr>
      <w:r>
        <w:rPr>
          <w:rFonts w:hint="eastAsia"/>
          <w:sz w:val="21"/>
          <w:szCs w:val="21"/>
        </w:rPr>
        <w:t xml:space="preserve">1、投资组合的构建 </w:t>
      </w:r>
    </w:p>
    <w:p w14:paraId="050A084F">
      <w:pPr>
        <w:pStyle w:val="7"/>
        <w:spacing w:before="0" w:beforeAutospacing="0" w:after="0" w:afterAutospacing="0" w:line="360" w:lineRule="auto"/>
        <w:ind w:firstLine="420"/>
        <w:rPr>
          <w:sz w:val="21"/>
          <w:szCs w:val="21"/>
        </w:rPr>
      </w:pPr>
      <w:r>
        <w:rPr>
          <w:rFonts w:hint="eastAsia"/>
          <w:sz w:val="21"/>
          <w:szCs w:val="21"/>
        </w:rPr>
        <w:t xml:space="preserve">基金管理人构建基金投资组合的过程主要分为三个步骤：确定目标组合、制定建仓策略，以及逐步调整组合。 </w:t>
      </w:r>
    </w:p>
    <w:p w14:paraId="4243926C">
      <w:pPr>
        <w:pStyle w:val="7"/>
        <w:spacing w:before="0" w:beforeAutospacing="0" w:after="0" w:afterAutospacing="0" w:line="360" w:lineRule="auto"/>
        <w:ind w:firstLine="420"/>
        <w:rPr>
          <w:sz w:val="21"/>
          <w:szCs w:val="21"/>
        </w:rPr>
      </w:pPr>
      <w:r>
        <w:rPr>
          <w:rFonts w:hint="eastAsia"/>
          <w:sz w:val="21"/>
          <w:szCs w:val="21"/>
        </w:rPr>
        <w:t xml:space="preserve">（1）确定目标组合。基金管理人主要采取完全复制法，即按照标的指数的成份股组成及其权重构建基金股票投资组合。 </w:t>
      </w:r>
    </w:p>
    <w:p w14:paraId="6A323FCE">
      <w:pPr>
        <w:pStyle w:val="7"/>
        <w:spacing w:before="0" w:beforeAutospacing="0" w:after="0" w:afterAutospacing="0" w:line="360" w:lineRule="auto"/>
        <w:ind w:firstLine="420"/>
        <w:rPr>
          <w:sz w:val="21"/>
          <w:szCs w:val="21"/>
        </w:rPr>
      </w:pPr>
      <w:r>
        <w:rPr>
          <w:rFonts w:hint="eastAsia"/>
          <w:sz w:val="21"/>
          <w:szCs w:val="21"/>
        </w:rPr>
        <w:t xml:space="preserve">（2）制定建仓策略。基金经理依据对标的指数成份股的流动性和交易成本等因素所做的分析，制定合理的建仓策略。 </w:t>
      </w:r>
    </w:p>
    <w:p w14:paraId="1248C1DE">
      <w:pPr>
        <w:pStyle w:val="7"/>
        <w:spacing w:before="0" w:beforeAutospacing="0" w:after="0" w:afterAutospacing="0" w:line="360" w:lineRule="auto"/>
        <w:ind w:firstLine="420"/>
        <w:rPr>
          <w:sz w:val="21"/>
          <w:szCs w:val="21"/>
        </w:rPr>
      </w:pPr>
      <w:r>
        <w:rPr>
          <w:rFonts w:hint="eastAsia"/>
          <w:sz w:val="21"/>
          <w:szCs w:val="21"/>
        </w:rPr>
        <w:t xml:space="preserve">（3）逐步调整组合。基金经理在规定时间内，采取适当的手段和措施，对实际投资组合进行动态调整，直至达到紧密跟踪标的指数的目标。 </w:t>
      </w:r>
    </w:p>
    <w:p w14:paraId="68CB0066">
      <w:pPr>
        <w:pStyle w:val="7"/>
        <w:spacing w:before="0" w:beforeAutospacing="0" w:after="0" w:afterAutospacing="0" w:line="360" w:lineRule="auto"/>
        <w:ind w:firstLine="420"/>
        <w:rPr>
          <w:sz w:val="21"/>
          <w:szCs w:val="21"/>
        </w:rPr>
      </w:pPr>
      <w:r>
        <w:rPr>
          <w:rFonts w:hint="eastAsia"/>
          <w:sz w:val="21"/>
          <w:szCs w:val="21"/>
        </w:rPr>
        <w:t xml:space="preserve">本基金跟踪标的指数成份股和备选成份股（含存托凭证）的资产比例不低于基金资产净值的90%，且不低于非现金基金资产的80%。本基金将在基金合同生效之日起6个月内达到这一投资比例。此后，如因标的指数成份股调整、基金申购赎回带来现金等因素导致基金不符合这一投资比例的，基金管理人将在10个交易日内进行调整。 </w:t>
      </w:r>
    </w:p>
    <w:p w14:paraId="378AE1B5">
      <w:pPr>
        <w:pStyle w:val="7"/>
        <w:spacing w:before="0" w:beforeAutospacing="0" w:after="0" w:afterAutospacing="0" w:line="360" w:lineRule="auto"/>
        <w:ind w:firstLine="420"/>
        <w:rPr>
          <w:sz w:val="21"/>
          <w:szCs w:val="21"/>
        </w:rPr>
      </w:pPr>
      <w:r>
        <w:rPr>
          <w:rFonts w:hint="eastAsia"/>
          <w:sz w:val="21"/>
          <w:szCs w:val="21"/>
        </w:rPr>
        <w:t xml:space="preserve">2、投资组合的日常管理 </w:t>
      </w:r>
    </w:p>
    <w:p w14:paraId="603FDFFE">
      <w:pPr>
        <w:pStyle w:val="7"/>
        <w:spacing w:before="0" w:beforeAutospacing="0" w:after="0" w:afterAutospacing="0" w:line="360" w:lineRule="auto"/>
        <w:ind w:firstLine="420"/>
        <w:rPr>
          <w:sz w:val="21"/>
          <w:szCs w:val="21"/>
        </w:rPr>
      </w:pPr>
      <w:r>
        <w:rPr>
          <w:rFonts w:hint="eastAsia"/>
          <w:sz w:val="21"/>
          <w:szCs w:val="21"/>
        </w:rPr>
        <w:t xml:space="preserve">本基金投资组合的日常管理内容主要包括以下几个方面： </w:t>
      </w:r>
    </w:p>
    <w:p w14:paraId="4CE8390B">
      <w:pPr>
        <w:pStyle w:val="7"/>
        <w:spacing w:before="0" w:beforeAutospacing="0" w:after="0" w:afterAutospacing="0" w:line="360" w:lineRule="auto"/>
        <w:ind w:firstLine="420"/>
        <w:rPr>
          <w:sz w:val="21"/>
          <w:szCs w:val="21"/>
        </w:rPr>
      </w:pPr>
      <w:r>
        <w:rPr>
          <w:rFonts w:hint="eastAsia"/>
          <w:sz w:val="21"/>
          <w:szCs w:val="21"/>
        </w:rPr>
        <w:t xml:space="preserve">（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 </w:t>
      </w:r>
    </w:p>
    <w:p w14:paraId="50B44094">
      <w:pPr>
        <w:pStyle w:val="7"/>
        <w:spacing w:before="0" w:beforeAutospacing="0" w:after="0" w:afterAutospacing="0" w:line="360" w:lineRule="auto"/>
        <w:ind w:firstLine="420"/>
        <w:rPr>
          <w:sz w:val="21"/>
          <w:szCs w:val="21"/>
        </w:rPr>
      </w:pPr>
      <w:r>
        <w:rPr>
          <w:rFonts w:hint="eastAsia"/>
          <w:sz w:val="21"/>
          <w:szCs w:val="21"/>
        </w:rPr>
        <w:t xml:space="preserve">（2）标的指数的跟踪与分析。跟踪分析标的指数的调整等变化，确定标的指数的变化是否与预期相一致，分析是否存在差异及差异产生的原因，为投资决策提供依据。 </w:t>
      </w:r>
    </w:p>
    <w:p w14:paraId="6A901F1F">
      <w:pPr>
        <w:pStyle w:val="7"/>
        <w:spacing w:before="0" w:beforeAutospacing="0" w:after="0" w:afterAutospacing="0" w:line="360" w:lineRule="auto"/>
        <w:ind w:firstLine="420"/>
        <w:rPr>
          <w:sz w:val="21"/>
          <w:szCs w:val="21"/>
        </w:rPr>
      </w:pPr>
      <w:r>
        <w:rPr>
          <w:rFonts w:hint="eastAsia"/>
          <w:sz w:val="21"/>
          <w:szCs w:val="21"/>
        </w:rPr>
        <w:t xml:space="preserve">（3）每日申购赎回情况的跟踪与分析。跟踪分析每日基金申购赎回信息，分析这些信息对投资组合的影响。 </w:t>
      </w:r>
    </w:p>
    <w:p w14:paraId="14C14AB7">
      <w:pPr>
        <w:pStyle w:val="7"/>
        <w:spacing w:before="0" w:beforeAutospacing="0" w:after="0" w:afterAutospacing="0" w:line="360" w:lineRule="auto"/>
        <w:ind w:firstLine="420"/>
        <w:rPr>
          <w:sz w:val="21"/>
          <w:szCs w:val="21"/>
        </w:rPr>
      </w:pPr>
      <w:r>
        <w:rPr>
          <w:rFonts w:hint="eastAsia"/>
          <w:sz w:val="21"/>
          <w:szCs w:val="21"/>
        </w:rPr>
        <w:t xml:space="preserve">（4）投资组合持有证券、现金头寸及流动性分析。基金经理跟踪分析每日基金实际投资组合与目标组合的差异及差异产生的原因，并对拟调整的成份股的流动性进行分析。 </w:t>
      </w:r>
    </w:p>
    <w:p w14:paraId="4C7D1719">
      <w:pPr>
        <w:pStyle w:val="7"/>
        <w:spacing w:before="0" w:beforeAutospacing="0" w:after="0" w:afterAutospacing="0" w:line="360" w:lineRule="auto"/>
        <w:ind w:firstLine="420"/>
        <w:rPr>
          <w:sz w:val="21"/>
          <w:szCs w:val="21"/>
        </w:rPr>
      </w:pPr>
      <w:r>
        <w:rPr>
          <w:rFonts w:hint="eastAsia"/>
          <w:sz w:val="21"/>
          <w:szCs w:val="21"/>
        </w:rPr>
        <w:t xml:space="preserve">（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 </w:t>
      </w:r>
    </w:p>
    <w:p w14:paraId="2F1AE2F6">
      <w:pPr>
        <w:pStyle w:val="7"/>
        <w:spacing w:before="0" w:beforeAutospacing="0" w:after="0" w:afterAutospacing="0" w:line="360" w:lineRule="auto"/>
        <w:ind w:firstLine="420"/>
        <w:rPr>
          <w:sz w:val="21"/>
          <w:szCs w:val="21"/>
        </w:rPr>
      </w:pPr>
      <w:r>
        <w:rPr>
          <w:rFonts w:hint="eastAsia"/>
          <w:sz w:val="21"/>
          <w:szCs w:val="21"/>
        </w:rPr>
        <w:t xml:space="preserve">（6）当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24902D7A">
      <w:pPr>
        <w:pStyle w:val="7"/>
        <w:spacing w:before="0" w:beforeAutospacing="0" w:after="0" w:afterAutospacing="0" w:line="360" w:lineRule="auto"/>
        <w:ind w:firstLine="420"/>
        <w:rPr>
          <w:sz w:val="21"/>
          <w:szCs w:val="21"/>
        </w:rPr>
      </w:pPr>
      <w:r>
        <w:rPr>
          <w:rFonts w:hint="eastAsia"/>
          <w:sz w:val="21"/>
          <w:szCs w:val="21"/>
        </w:rPr>
        <w:t xml:space="preserve">（7）基金每日申购赎回清单的制作。基金经理以T－1日标的指数成份股的构成或者实际持仓股票的构成及相应权重为基础，并考虑T日将发生的上市公司变动等情况，制作T日基金申购赎回清单并予以公告。 </w:t>
      </w:r>
    </w:p>
    <w:p w14:paraId="0B6943AA">
      <w:pPr>
        <w:pStyle w:val="7"/>
        <w:spacing w:before="0" w:beforeAutospacing="0" w:after="0" w:afterAutospacing="0" w:line="360" w:lineRule="auto"/>
        <w:ind w:firstLine="420"/>
        <w:rPr>
          <w:sz w:val="21"/>
          <w:szCs w:val="21"/>
        </w:rPr>
      </w:pPr>
      <w:r>
        <w:rPr>
          <w:rStyle w:val="11"/>
          <w:rFonts w:hint="eastAsia"/>
          <w:sz w:val="21"/>
          <w:szCs w:val="21"/>
        </w:rPr>
        <w:t>六、投资组合限制</w:t>
      </w:r>
    </w:p>
    <w:p w14:paraId="496FCB67">
      <w:pPr>
        <w:pStyle w:val="7"/>
        <w:spacing w:before="0" w:beforeAutospacing="0" w:after="0" w:afterAutospacing="0" w:line="360" w:lineRule="auto"/>
        <w:ind w:firstLine="420"/>
        <w:rPr>
          <w:sz w:val="21"/>
          <w:szCs w:val="21"/>
        </w:rPr>
      </w:pPr>
      <w:r>
        <w:rPr>
          <w:rFonts w:hint="eastAsia"/>
          <w:sz w:val="21"/>
          <w:szCs w:val="21"/>
        </w:rPr>
        <w:t xml:space="preserve">1、组合限制 </w:t>
      </w:r>
    </w:p>
    <w:p w14:paraId="4154D820">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C42693F">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（1）本基金投资于标的指数成份股和备选成份股的资产比例不低于基金资产净值的90%，且不低于非现金基金资产的80%；投资港股通标的股票的比例不超过本基金股票资产的10%； </w:t>
      </w:r>
    </w:p>
    <w:p w14:paraId="670364D5">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（2）每个交易日日终在扣除股指期货、股票期权和国债期货合约需缴纳的交易保证金后，应当保持不低于交易保证金一倍的现金，其中现金不包括结算备付金、存出保证金和应收申购款等； </w:t>
      </w:r>
    </w:p>
    <w:p w14:paraId="4AAFACD4">
      <w:pPr>
        <w:pStyle w:val="7"/>
        <w:spacing w:before="0" w:beforeAutospacing="0" w:after="0" w:afterAutospacing="0" w:line="360" w:lineRule="auto"/>
        <w:ind w:firstLine="420"/>
        <w:rPr>
          <w:sz w:val="21"/>
          <w:szCs w:val="21"/>
        </w:rPr>
      </w:pPr>
      <w:r>
        <w:rPr>
          <w:rFonts w:hint="eastAsia"/>
          <w:sz w:val="21"/>
          <w:szCs w:val="21"/>
        </w:rPr>
        <w:t xml:space="preserve">（3）本基金参与股指期货和国债期货交易，需遵守下列投资比例限制： </w:t>
      </w:r>
    </w:p>
    <w:p w14:paraId="48371117">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1）本基金在任何交易日日终，持有的买入股指期货合约价值，不得超过基金资产净值的10%；在任何交易日日终，持有的买入国债期货合约价值，不得超过基金资产净值的15%； </w:t>
      </w:r>
    </w:p>
    <w:p w14:paraId="13168AC7">
      <w:pPr>
        <w:pStyle w:val="7"/>
        <w:spacing w:before="0" w:beforeAutospacing="0" w:after="0" w:afterAutospacing="0" w:line="360" w:lineRule="auto"/>
        <w:ind w:firstLine="420"/>
        <w:rPr>
          <w:sz w:val="21"/>
          <w:szCs w:val="21"/>
        </w:rPr>
      </w:pPr>
      <w:r>
        <w:rPr>
          <w:rFonts w:hint="eastAsia"/>
          <w:sz w:val="21"/>
          <w:szCs w:val="21"/>
        </w:rPr>
        <w:t xml:space="preserve">2）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60FEC14E">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3）本基金在任何交易日日终，持有的卖出股指期货合约价值不得超过基金持有的股票总市值的20%；在任何交易日日终，持有的卖出国债期货合约价值不得超过基金持有的债券总市值的30%； </w:t>
      </w:r>
    </w:p>
    <w:p w14:paraId="05747F01">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38DC12B9">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6C046A89">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14:paraId="2CFC996F">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14:paraId="54873DF1">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22E0A657">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6CE22156">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608CA1D9">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14:paraId="7210A397">
      <w:pPr>
        <w:pStyle w:val="7"/>
        <w:spacing w:before="0" w:beforeAutospacing="0" w:after="0" w:afterAutospacing="0" w:line="360" w:lineRule="auto"/>
        <w:ind w:firstLine="420"/>
        <w:rPr>
          <w:sz w:val="21"/>
          <w:szCs w:val="21"/>
        </w:rPr>
      </w:pPr>
      <w:r>
        <w:rPr>
          <w:rFonts w:hint="eastAsia"/>
          <w:sz w:val="21"/>
          <w:szCs w:val="21"/>
        </w:rPr>
        <w:t xml:space="preserve">（10）本基金进入全国银行间同业市场进行债券回购的资金余额不得超过基金资产净值的40%，进入全国银行间同业市场进行债券回购的最长期限为1年，债券回购到期后不得展期； </w:t>
      </w:r>
    </w:p>
    <w:p w14:paraId="543A90BC">
      <w:pPr>
        <w:pStyle w:val="7"/>
        <w:spacing w:before="0" w:beforeAutospacing="0" w:after="0" w:afterAutospacing="0" w:line="360" w:lineRule="auto"/>
        <w:ind w:firstLine="420"/>
        <w:rPr>
          <w:sz w:val="21"/>
          <w:szCs w:val="21"/>
        </w:rPr>
      </w:pPr>
      <w:r>
        <w:rPr>
          <w:rFonts w:hint="eastAsia"/>
          <w:sz w:val="21"/>
          <w:szCs w:val="21"/>
        </w:rPr>
        <w:t xml:space="preserve">（11）本基金参与融资的，在任何交易日日终，本基金持有的融资买入股票与其他有价证券市值之和，不得超过基金资产净值的95%； </w:t>
      </w:r>
    </w:p>
    <w:p w14:paraId="57001941">
      <w:pPr>
        <w:pStyle w:val="7"/>
        <w:spacing w:before="0" w:beforeAutospacing="0" w:after="0" w:afterAutospacing="0" w:line="360" w:lineRule="auto"/>
        <w:ind w:firstLine="420"/>
        <w:rPr>
          <w:sz w:val="21"/>
          <w:szCs w:val="21"/>
        </w:rPr>
      </w:pPr>
      <w:r>
        <w:rPr>
          <w:rFonts w:hint="eastAsia"/>
          <w:sz w:val="21"/>
          <w:szCs w:val="21"/>
        </w:rPr>
        <w:t xml:space="preserve">（12）本基金参与转融通证券出借业务，需遵守下列投资限制： </w:t>
      </w:r>
    </w:p>
    <w:p w14:paraId="580E3AD6">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5104574A">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2）参与出借业务的单只证券不得超过本基金持有该证券总量的30%； </w:t>
      </w:r>
    </w:p>
    <w:p w14:paraId="4A35859D">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61C73F3C">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7D7ABB8A">
      <w:pPr>
        <w:pStyle w:val="7"/>
        <w:spacing w:before="0" w:beforeAutospacing="0" w:after="0" w:afterAutospacing="0" w:line="360" w:lineRule="auto"/>
        <w:ind w:firstLine="420"/>
        <w:rPr>
          <w:sz w:val="21"/>
          <w:szCs w:val="21"/>
        </w:rPr>
      </w:pPr>
      <w:r>
        <w:rPr>
          <w:rFonts w:hint="eastAsia"/>
          <w:sz w:val="21"/>
          <w:szCs w:val="21"/>
        </w:rPr>
        <w:t xml:space="preserve">因证券市场波动、证券发行人合并、基金规模变动等基金管理人之外的因素致使基金投资不符合上述规定的，基金管理人不得新增出借业务； </w:t>
      </w:r>
    </w:p>
    <w:p w14:paraId="49A3572B">
      <w:pPr>
        <w:pStyle w:val="7"/>
        <w:spacing w:before="0" w:beforeAutospacing="0" w:after="0" w:afterAutospacing="0" w:line="360" w:lineRule="auto"/>
        <w:ind w:firstLine="420"/>
        <w:rPr>
          <w:sz w:val="21"/>
          <w:szCs w:val="21"/>
        </w:rPr>
      </w:pPr>
      <w:r>
        <w:rPr>
          <w:rFonts w:hint="eastAsia"/>
          <w:sz w:val="21"/>
          <w:szCs w:val="21"/>
        </w:rPr>
        <w:t xml:space="preserve">（13）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310940E0">
      <w:pPr>
        <w:pStyle w:val="7"/>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4D003415">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1463B555">
      <w:pPr>
        <w:pStyle w:val="7"/>
        <w:spacing w:before="0" w:beforeAutospacing="0" w:after="0" w:afterAutospacing="0" w:line="360" w:lineRule="auto"/>
        <w:ind w:firstLine="420"/>
        <w:rPr>
          <w:sz w:val="21"/>
          <w:szCs w:val="21"/>
        </w:rPr>
      </w:pPr>
      <w:r>
        <w:rPr>
          <w:rFonts w:hint="eastAsia"/>
          <w:sz w:val="21"/>
          <w:szCs w:val="21"/>
        </w:rPr>
        <w:t xml:space="preserve">（16）本基金资产总值不得超过基金资产净值的140%； </w:t>
      </w:r>
    </w:p>
    <w:p w14:paraId="23803E8F">
      <w:pPr>
        <w:pStyle w:val="7"/>
        <w:spacing w:before="0" w:beforeAutospacing="0" w:after="0" w:afterAutospacing="0" w:line="360" w:lineRule="auto"/>
        <w:ind w:firstLine="420"/>
        <w:rPr>
          <w:sz w:val="21"/>
          <w:szCs w:val="21"/>
        </w:rPr>
      </w:pPr>
      <w:r>
        <w:rPr>
          <w:rFonts w:hint="eastAsia"/>
          <w:sz w:val="21"/>
          <w:szCs w:val="21"/>
        </w:rPr>
        <w:t xml:space="preserve">（17）本基金投资存托凭证的比例限制依照境内上市交易的股票执行； </w:t>
      </w:r>
    </w:p>
    <w:p w14:paraId="79CF8DD8">
      <w:pPr>
        <w:pStyle w:val="7"/>
        <w:spacing w:before="0" w:beforeAutospacing="0" w:after="0" w:afterAutospacing="0" w:line="360" w:lineRule="auto"/>
        <w:ind w:firstLine="420"/>
        <w:rPr>
          <w:sz w:val="21"/>
          <w:szCs w:val="21"/>
        </w:rPr>
      </w:pPr>
      <w:r>
        <w:rPr>
          <w:rFonts w:hint="eastAsia"/>
          <w:sz w:val="21"/>
          <w:szCs w:val="21"/>
        </w:rPr>
        <w:t xml:space="preserve">（18）法律法规及中国证监会规定的和《基金合同》约定的其他投资限制。 </w:t>
      </w:r>
    </w:p>
    <w:p w14:paraId="432F8F7C">
      <w:pPr>
        <w:pStyle w:val="7"/>
        <w:spacing w:before="0" w:beforeAutospacing="0" w:after="0" w:afterAutospacing="0" w:line="360" w:lineRule="auto"/>
        <w:ind w:firstLine="420"/>
        <w:rPr>
          <w:sz w:val="21"/>
          <w:szCs w:val="21"/>
        </w:rPr>
      </w:pPr>
      <w:r>
        <w:rPr>
          <w:rFonts w:hint="eastAsia"/>
          <w:sz w:val="21"/>
          <w:szCs w:val="21"/>
        </w:rPr>
        <w:t xml:space="preserve">除上述（2）、（8）、（12）、（14）、（15）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76ABCE0B">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773F52EE">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法律法规或监管部门取消或调整上述限制，如适用于本基金，基金管理人在与基金托管人协商一致并履行适当程序后，则本基金投资不再受相关限制或按照调整后的规定执行。 </w:t>
      </w:r>
    </w:p>
    <w:p w14:paraId="535EE749">
      <w:pPr>
        <w:pStyle w:val="7"/>
        <w:spacing w:before="0" w:beforeAutospacing="0" w:after="0" w:afterAutospacing="0" w:line="360" w:lineRule="auto"/>
        <w:ind w:firstLine="420"/>
        <w:rPr>
          <w:sz w:val="21"/>
          <w:szCs w:val="21"/>
        </w:rPr>
      </w:pPr>
      <w:r>
        <w:rPr>
          <w:rFonts w:hint="eastAsia"/>
          <w:sz w:val="21"/>
          <w:szCs w:val="21"/>
        </w:rPr>
        <w:t xml:space="preserve">2、禁止行为 </w:t>
      </w:r>
    </w:p>
    <w:p w14:paraId="3A8D7A7E">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47578E5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33FAFF9">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43C4CA21">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97A3406">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5AD5C4A">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2414054A">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9FF49E3">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2D6BE491">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54AAED82">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法律、行政法规或监管部门取消或调整上述限制，如适用于本基金，则本基金投资不再受相关限制或按照调整后的规定执行。 </w:t>
      </w:r>
    </w:p>
    <w:p w14:paraId="4A4AE99D">
      <w:pPr>
        <w:pStyle w:val="7"/>
        <w:spacing w:before="0" w:beforeAutospacing="0" w:after="0" w:afterAutospacing="0" w:line="360" w:lineRule="auto"/>
        <w:ind w:firstLine="420"/>
        <w:rPr>
          <w:sz w:val="21"/>
          <w:szCs w:val="21"/>
        </w:rPr>
      </w:pPr>
      <w:r>
        <w:rPr>
          <w:rStyle w:val="11"/>
          <w:rFonts w:hint="eastAsia"/>
          <w:sz w:val="21"/>
          <w:szCs w:val="21"/>
        </w:rPr>
        <w:t>七、标的指数与业绩比较基准</w:t>
      </w:r>
    </w:p>
    <w:p w14:paraId="3A7E2B07">
      <w:pPr>
        <w:pStyle w:val="7"/>
        <w:spacing w:before="0" w:beforeAutospacing="0" w:after="0" w:afterAutospacing="0" w:line="360" w:lineRule="auto"/>
        <w:ind w:firstLine="420"/>
        <w:rPr>
          <w:sz w:val="21"/>
          <w:szCs w:val="21"/>
        </w:rPr>
      </w:pPr>
      <w:r>
        <w:rPr>
          <w:rFonts w:hint="eastAsia"/>
          <w:sz w:val="21"/>
          <w:szCs w:val="21"/>
        </w:rPr>
        <w:t xml:space="preserve">本基金的标的指数：中证成渝地区双城经济圈成份指数。 </w:t>
      </w:r>
    </w:p>
    <w:p w14:paraId="59A7E438">
      <w:pPr>
        <w:pStyle w:val="7"/>
        <w:spacing w:before="0" w:beforeAutospacing="0" w:after="0" w:afterAutospacing="0" w:line="360" w:lineRule="auto"/>
        <w:ind w:firstLine="420"/>
        <w:rPr>
          <w:sz w:val="21"/>
          <w:szCs w:val="21"/>
        </w:rPr>
      </w:pPr>
      <w:r>
        <w:rPr>
          <w:rFonts w:hint="eastAsia"/>
          <w:sz w:val="21"/>
          <w:szCs w:val="21"/>
        </w:rPr>
        <w:t xml:space="preserve">本基金的业绩比较基准为标的指数收益率，即中证成渝地区双城经济圈成份指数收益率。 </w:t>
      </w:r>
    </w:p>
    <w:p w14:paraId="786B7990">
      <w:pPr>
        <w:pStyle w:val="7"/>
        <w:spacing w:before="0" w:beforeAutospacing="0" w:after="0" w:afterAutospacing="0" w:line="360" w:lineRule="auto"/>
        <w:ind w:firstLine="420"/>
        <w:rPr>
          <w:sz w:val="21"/>
          <w:szCs w:val="21"/>
        </w:rPr>
      </w:pPr>
      <w:r>
        <w:rPr>
          <w:rFonts w:hint="eastAsia"/>
          <w:sz w:val="21"/>
          <w:szCs w:val="21"/>
        </w:rPr>
        <w:t xml:space="preserve">中证成渝地区双城经济圈成份指数由中证指数有限公司编制，从沪深市场中，选取100只成渝地区双城经济圈代表性上市公司的证券作为指数样本，以反映沪深市场成渝地区双城经济圈证券的整体表现。 </w:t>
      </w:r>
    </w:p>
    <w:p w14:paraId="0658E2D8">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 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 </w:t>
      </w:r>
    </w:p>
    <w:p w14:paraId="4717B588">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74A1B3D7">
      <w:pPr>
        <w:pStyle w:val="7"/>
        <w:spacing w:before="0" w:beforeAutospacing="0" w:after="0" w:afterAutospacing="0" w:line="360" w:lineRule="auto"/>
        <w:ind w:firstLine="420"/>
        <w:rPr>
          <w:sz w:val="21"/>
          <w:szCs w:val="21"/>
        </w:rPr>
      </w:pPr>
      <w:r>
        <w:rPr>
          <w:rStyle w:val="11"/>
          <w:rFonts w:hint="eastAsia"/>
          <w:sz w:val="21"/>
          <w:szCs w:val="21"/>
        </w:rPr>
        <w:t>八、风险收益特征</w:t>
      </w:r>
    </w:p>
    <w:p w14:paraId="15D18EEF">
      <w:pPr>
        <w:pStyle w:val="7"/>
        <w:spacing w:before="0" w:beforeAutospacing="0" w:after="0" w:afterAutospacing="0" w:line="360" w:lineRule="auto"/>
        <w:ind w:firstLine="420"/>
        <w:rPr>
          <w:sz w:val="21"/>
          <w:szCs w:val="21"/>
        </w:rPr>
      </w:pPr>
      <w:bookmarkStart w:id="115" w:name="field_60_riskyield_1_start"/>
      <w:bookmarkEnd w:id="115"/>
      <w:r>
        <w:rPr>
          <w:rFonts w:hint="eastAsia"/>
          <w:sz w:val="21"/>
          <w:szCs w:val="21"/>
        </w:rPr>
        <w:t xml:space="preserve">本基金属于股票型基金，其预期收益及预期风险水平高于混合型基金、债券型基金与货币市场基金。 </w:t>
      </w:r>
    </w:p>
    <w:p w14:paraId="614C4D28">
      <w:pPr>
        <w:pStyle w:val="7"/>
        <w:spacing w:before="0" w:beforeAutospacing="0" w:after="0" w:afterAutospacing="0" w:line="360" w:lineRule="auto"/>
        <w:ind w:firstLine="420"/>
        <w:rPr>
          <w:sz w:val="21"/>
          <w:szCs w:val="21"/>
        </w:rPr>
      </w:pPr>
      <w:r>
        <w:rPr>
          <w:rFonts w:hint="eastAsia"/>
          <w:sz w:val="21"/>
          <w:szCs w:val="21"/>
        </w:rPr>
        <w:t xml:space="preserve">本基金为被动式投资的股票型指数基金，跟踪中证成渝地区双城经济圈成份指数，其风险收益特征与标的指数所表征的市场组合的风险收益特征相似。本基金如果投资港股通标的股票，需承担汇率风险以及境外市场的风险。 </w:t>
      </w:r>
      <w:bookmarkStart w:id="116" w:name="field_60_riskyield_1_end"/>
      <w:bookmarkEnd w:id="116"/>
      <w:r>
        <w:rPr>
          <w:rFonts w:hint="eastAsia"/>
          <w:sz w:val="21"/>
          <w:szCs w:val="21"/>
        </w:rPr>
        <w:t xml:space="preserve">  </w:t>
      </w:r>
    </w:p>
    <w:p w14:paraId="38E948CB">
      <w:pPr>
        <w:pStyle w:val="7"/>
        <w:spacing w:before="0" w:beforeAutospacing="0" w:after="0" w:afterAutospacing="0" w:line="360" w:lineRule="auto"/>
        <w:ind w:firstLine="420"/>
        <w:rPr>
          <w:sz w:val="21"/>
          <w:szCs w:val="21"/>
        </w:rPr>
      </w:pPr>
      <w:r>
        <w:rPr>
          <w:rStyle w:val="11"/>
          <w:rFonts w:hint="eastAsia"/>
          <w:sz w:val="21"/>
          <w:szCs w:val="21"/>
        </w:rPr>
        <w:t>九、基金管理人代表基金行使股东或债权人权利的处理原则及方法</w:t>
      </w:r>
    </w:p>
    <w:p w14:paraId="72905A82">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0ECEB3F4">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27689D19">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0063434C">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17" w:name="chapter_level1_13_60_section_1_end"/>
      <w:bookmarkEnd w:id="117"/>
      <w:r>
        <w:rPr>
          <w:rFonts w:hint="eastAsia"/>
          <w:sz w:val="21"/>
          <w:szCs w:val="21"/>
        </w:rPr>
        <w:t xml:space="preserve">不当利益。 </w:t>
      </w:r>
    </w:p>
    <w:p w14:paraId="6D7553A7">
      <w:pPr>
        <w:pStyle w:val="7"/>
        <w:spacing w:before="0" w:beforeAutospacing="0" w:after="0" w:afterAutospacing="0" w:line="360" w:lineRule="auto"/>
        <w:ind w:firstLine="420"/>
        <w:rPr>
          <w:sz w:val="21"/>
          <w:szCs w:val="21"/>
        </w:rPr>
      </w:pPr>
      <w:bookmarkStart w:id="118" w:name="chapter_level1_13_60_section_2"/>
      <w:bookmarkEnd w:id="118"/>
      <w:r>
        <w:rPr>
          <w:rStyle w:val="11"/>
          <w:rFonts w:hint="eastAsia"/>
          <w:sz w:val="21"/>
          <w:szCs w:val="21"/>
        </w:rPr>
        <w:t>十、基金投资组合报告</w:t>
      </w:r>
    </w:p>
    <w:p w14:paraId="4F0BD230">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1556214E">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323DB860">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19" w:name="field_2343_financeendday_2"/>
      <w:r>
        <w:rPr>
          <w:sz w:val="21"/>
          <w:szCs w:val="21"/>
        </w:rPr>
        <w:t>2025年6月30日</w:t>
      </w:r>
      <w:bookmarkEnd w:id="119"/>
      <w:r>
        <w:rPr>
          <w:rFonts w:hint="eastAsia"/>
          <w:sz w:val="21"/>
          <w:szCs w:val="21"/>
        </w:rPr>
        <w:t xml:space="preserve">，本报告中所列财务数据未经审计。 </w:t>
      </w:r>
    </w:p>
    <w:p w14:paraId="042E8502">
      <w:pPr>
        <w:pStyle w:val="7"/>
        <w:spacing w:before="0" w:beforeAutospacing="0" w:after="0" w:afterAutospacing="0" w:line="360" w:lineRule="auto"/>
        <w:ind w:firstLine="420"/>
        <w:rPr>
          <w:sz w:val="21"/>
          <w:szCs w:val="21"/>
        </w:rPr>
      </w:pPr>
      <w:bookmarkStart w:id="120" w:name="field_0_fundportfolio_1_start"/>
      <w:bookmarkEnd w:id="120"/>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06BE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6A311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E33295E">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0B8F21A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6F07EF4">
            <w:pPr>
              <w:jc w:val="center"/>
              <w:rPr>
                <w:rFonts w:ascii="宋体" w:hAnsi="宋体" w:eastAsia="宋体" w:cs="宋体"/>
                <w:sz w:val="24"/>
                <w:szCs w:val="24"/>
              </w:rPr>
            </w:pPr>
            <w:r>
              <w:rPr>
                <w:rFonts w:hint="eastAsia" w:ascii="宋体" w:hAnsi="宋体" w:eastAsia="宋体"/>
              </w:rPr>
              <w:t>占基金总资产的比例(%)</w:t>
            </w:r>
          </w:p>
        </w:tc>
      </w:tr>
      <w:tr w14:paraId="249A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9E446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CA236E0">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0F8CC1AE">
            <w:pPr>
              <w:jc w:val="right"/>
              <w:rPr>
                <w:rFonts w:ascii="宋体" w:hAnsi="宋体" w:eastAsia="宋体" w:cs="宋体"/>
                <w:sz w:val="24"/>
                <w:szCs w:val="24"/>
              </w:rPr>
            </w:pPr>
            <w:r>
              <w:rPr>
                <w:rFonts w:hint="eastAsia" w:ascii="宋体" w:hAnsi="宋体" w:eastAsia="宋体"/>
              </w:rPr>
              <w:t>3,322,393,385.90</w:t>
            </w:r>
          </w:p>
        </w:tc>
        <w:tc>
          <w:tcPr>
            <w:tcW w:w="0" w:type="auto"/>
            <w:shd w:val="clear" w:color="auto" w:fill="auto"/>
          </w:tcPr>
          <w:p w14:paraId="78184890">
            <w:pPr>
              <w:jc w:val="right"/>
              <w:rPr>
                <w:rFonts w:ascii="宋体" w:hAnsi="宋体" w:eastAsia="宋体" w:cs="宋体"/>
                <w:sz w:val="24"/>
                <w:szCs w:val="24"/>
              </w:rPr>
            </w:pPr>
            <w:r>
              <w:rPr>
                <w:rFonts w:hint="eastAsia" w:ascii="宋体" w:hAnsi="宋体" w:eastAsia="宋体"/>
              </w:rPr>
              <w:t>98.69</w:t>
            </w:r>
          </w:p>
        </w:tc>
      </w:tr>
      <w:tr w14:paraId="509E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3FF009">
            <w:pPr>
              <w:jc w:val="center"/>
              <w:rPr>
                <w:rFonts w:ascii="宋体" w:hAnsi="宋体" w:eastAsia="宋体" w:cs="宋体"/>
                <w:sz w:val="24"/>
                <w:szCs w:val="24"/>
              </w:rPr>
            </w:pPr>
          </w:p>
        </w:tc>
        <w:tc>
          <w:tcPr>
            <w:tcW w:w="0" w:type="auto"/>
            <w:shd w:val="clear" w:color="auto" w:fill="auto"/>
          </w:tcPr>
          <w:p w14:paraId="3601F294">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D99AC02">
            <w:pPr>
              <w:jc w:val="right"/>
              <w:rPr>
                <w:rFonts w:ascii="宋体" w:hAnsi="宋体" w:eastAsia="宋体" w:cs="宋体"/>
                <w:sz w:val="24"/>
                <w:szCs w:val="24"/>
              </w:rPr>
            </w:pPr>
            <w:r>
              <w:rPr>
                <w:rFonts w:hint="eastAsia" w:ascii="宋体" w:hAnsi="宋体" w:eastAsia="宋体"/>
              </w:rPr>
              <w:t>3,322,393,385.90</w:t>
            </w:r>
          </w:p>
        </w:tc>
        <w:tc>
          <w:tcPr>
            <w:tcW w:w="0" w:type="auto"/>
            <w:shd w:val="clear" w:color="auto" w:fill="auto"/>
          </w:tcPr>
          <w:p w14:paraId="1DD27649">
            <w:pPr>
              <w:jc w:val="right"/>
              <w:rPr>
                <w:rFonts w:ascii="宋体" w:hAnsi="宋体" w:eastAsia="宋体" w:cs="宋体"/>
                <w:sz w:val="24"/>
                <w:szCs w:val="24"/>
              </w:rPr>
            </w:pPr>
            <w:r>
              <w:rPr>
                <w:rFonts w:hint="eastAsia" w:ascii="宋体" w:hAnsi="宋体" w:eastAsia="宋体"/>
              </w:rPr>
              <w:t>98.69</w:t>
            </w:r>
          </w:p>
        </w:tc>
      </w:tr>
      <w:tr w14:paraId="53F3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4C857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7AFB674">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DDC8AF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06ECFAC">
            <w:pPr>
              <w:jc w:val="right"/>
              <w:rPr>
                <w:rFonts w:ascii="宋体" w:hAnsi="宋体" w:eastAsia="宋体" w:cs="宋体"/>
                <w:sz w:val="24"/>
                <w:szCs w:val="24"/>
              </w:rPr>
            </w:pPr>
            <w:r>
              <w:rPr>
                <w:rFonts w:hint="eastAsia" w:ascii="宋体" w:hAnsi="宋体" w:eastAsia="宋体"/>
              </w:rPr>
              <w:t>-</w:t>
            </w:r>
          </w:p>
        </w:tc>
      </w:tr>
      <w:tr w14:paraId="18AB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A658E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CF02A6F">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2E530F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03973E">
            <w:pPr>
              <w:jc w:val="right"/>
              <w:rPr>
                <w:rFonts w:ascii="宋体" w:hAnsi="宋体" w:eastAsia="宋体" w:cs="宋体"/>
                <w:sz w:val="24"/>
                <w:szCs w:val="24"/>
              </w:rPr>
            </w:pPr>
            <w:r>
              <w:rPr>
                <w:rFonts w:hint="eastAsia" w:ascii="宋体" w:hAnsi="宋体" w:eastAsia="宋体"/>
              </w:rPr>
              <w:t>-</w:t>
            </w:r>
          </w:p>
        </w:tc>
      </w:tr>
      <w:tr w14:paraId="3FEE4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6D5B28">
            <w:pPr>
              <w:jc w:val="center"/>
              <w:rPr>
                <w:rFonts w:ascii="宋体" w:hAnsi="宋体" w:eastAsia="宋体" w:cs="宋体"/>
                <w:sz w:val="24"/>
                <w:szCs w:val="24"/>
              </w:rPr>
            </w:pPr>
          </w:p>
        </w:tc>
        <w:tc>
          <w:tcPr>
            <w:tcW w:w="0" w:type="auto"/>
            <w:shd w:val="clear" w:color="auto" w:fill="auto"/>
          </w:tcPr>
          <w:p w14:paraId="1372A3CB">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21CFB7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1917FA9">
            <w:pPr>
              <w:jc w:val="right"/>
              <w:rPr>
                <w:rFonts w:ascii="宋体" w:hAnsi="宋体" w:eastAsia="宋体" w:cs="宋体"/>
                <w:sz w:val="24"/>
                <w:szCs w:val="24"/>
              </w:rPr>
            </w:pPr>
            <w:r>
              <w:rPr>
                <w:rFonts w:hint="eastAsia" w:ascii="宋体" w:hAnsi="宋体" w:eastAsia="宋体"/>
              </w:rPr>
              <w:t>-</w:t>
            </w:r>
          </w:p>
        </w:tc>
      </w:tr>
      <w:tr w14:paraId="2088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709B4C">
            <w:pPr>
              <w:jc w:val="center"/>
              <w:rPr>
                <w:rFonts w:ascii="宋体" w:hAnsi="宋体" w:eastAsia="宋体" w:cs="宋体"/>
                <w:sz w:val="24"/>
                <w:szCs w:val="24"/>
              </w:rPr>
            </w:pPr>
          </w:p>
        </w:tc>
        <w:tc>
          <w:tcPr>
            <w:tcW w:w="0" w:type="auto"/>
            <w:shd w:val="clear" w:color="auto" w:fill="auto"/>
          </w:tcPr>
          <w:p w14:paraId="070085E4">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7B9DC17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E4B755">
            <w:pPr>
              <w:jc w:val="right"/>
              <w:rPr>
                <w:rFonts w:ascii="宋体" w:hAnsi="宋体" w:eastAsia="宋体" w:cs="宋体"/>
                <w:sz w:val="24"/>
                <w:szCs w:val="24"/>
              </w:rPr>
            </w:pPr>
            <w:r>
              <w:rPr>
                <w:rFonts w:hint="eastAsia" w:ascii="宋体" w:hAnsi="宋体" w:eastAsia="宋体"/>
              </w:rPr>
              <w:t>-</w:t>
            </w:r>
          </w:p>
        </w:tc>
      </w:tr>
      <w:tr w14:paraId="4819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75C7E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A87E344">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3C8B885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0A97031">
            <w:pPr>
              <w:jc w:val="right"/>
              <w:rPr>
                <w:rFonts w:ascii="宋体" w:hAnsi="宋体" w:eastAsia="宋体" w:cs="宋体"/>
                <w:sz w:val="24"/>
                <w:szCs w:val="24"/>
              </w:rPr>
            </w:pPr>
            <w:r>
              <w:rPr>
                <w:rFonts w:hint="eastAsia" w:ascii="宋体" w:hAnsi="宋体" w:eastAsia="宋体"/>
              </w:rPr>
              <w:t>-</w:t>
            </w:r>
          </w:p>
        </w:tc>
      </w:tr>
      <w:tr w14:paraId="76C0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E3CE1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7D8F7C7">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3201D3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C5A98A">
            <w:pPr>
              <w:jc w:val="right"/>
              <w:rPr>
                <w:rFonts w:ascii="宋体" w:hAnsi="宋体" w:eastAsia="宋体" w:cs="宋体"/>
                <w:sz w:val="24"/>
                <w:szCs w:val="24"/>
              </w:rPr>
            </w:pPr>
            <w:r>
              <w:rPr>
                <w:rFonts w:hint="eastAsia" w:ascii="宋体" w:hAnsi="宋体" w:eastAsia="宋体"/>
              </w:rPr>
              <w:t>-</w:t>
            </w:r>
          </w:p>
        </w:tc>
      </w:tr>
      <w:tr w14:paraId="2C80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08260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6315D42">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D4F887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7B9CA1">
            <w:pPr>
              <w:jc w:val="right"/>
              <w:rPr>
                <w:rFonts w:ascii="宋体" w:hAnsi="宋体" w:eastAsia="宋体" w:cs="宋体"/>
                <w:sz w:val="24"/>
                <w:szCs w:val="24"/>
              </w:rPr>
            </w:pPr>
            <w:r>
              <w:rPr>
                <w:rFonts w:hint="eastAsia" w:ascii="宋体" w:hAnsi="宋体" w:eastAsia="宋体"/>
              </w:rPr>
              <w:t>-</w:t>
            </w:r>
          </w:p>
        </w:tc>
      </w:tr>
      <w:tr w14:paraId="423E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A5E6F9">
            <w:pPr>
              <w:jc w:val="center"/>
              <w:rPr>
                <w:rFonts w:ascii="宋体" w:hAnsi="宋体" w:eastAsia="宋体" w:cs="宋体"/>
                <w:sz w:val="24"/>
                <w:szCs w:val="24"/>
              </w:rPr>
            </w:pPr>
          </w:p>
        </w:tc>
        <w:tc>
          <w:tcPr>
            <w:tcW w:w="0" w:type="auto"/>
            <w:shd w:val="clear" w:color="auto" w:fill="auto"/>
          </w:tcPr>
          <w:p w14:paraId="33BC2CD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5F174BD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7C7BC4">
            <w:pPr>
              <w:jc w:val="right"/>
              <w:rPr>
                <w:rFonts w:ascii="宋体" w:hAnsi="宋体" w:eastAsia="宋体" w:cs="宋体"/>
                <w:sz w:val="24"/>
                <w:szCs w:val="24"/>
              </w:rPr>
            </w:pPr>
            <w:r>
              <w:rPr>
                <w:rFonts w:hint="eastAsia" w:ascii="宋体" w:hAnsi="宋体" w:eastAsia="宋体"/>
              </w:rPr>
              <w:t>-</w:t>
            </w:r>
          </w:p>
        </w:tc>
      </w:tr>
      <w:tr w14:paraId="59BF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7B12D8">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5A59FA2">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6E05097E">
            <w:pPr>
              <w:jc w:val="right"/>
              <w:rPr>
                <w:rFonts w:ascii="宋体" w:hAnsi="宋体" w:eastAsia="宋体" w:cs="宋体"/>
                <w:sz w:val="24"/>
                <w:szCs w:val="24"/>
              </w:rPr>
            </w:pPr>
            <w:r>
              <w:rPr>
                <w:rFonts w:hint="eastAsia" w:ascii="宋体" w:hAnsi="宋体" w:eastAsia="宋体"/>
              </w:rPr>
              <w:t>43,806,209.25</w:t>
            </w:r>
          </w:p>
        </w:tc>
        <w:tc>
          <w:tcPr>
            <w:tcW w:w="0" w:type="auto"/>
            <w:shd w:val="clear" w:color="auto" w:fill="auto"/>
          </w:tcPr>
          <w:p w14:paraId="3971C591">
            <w:pPr>
              <w:jc w:val="right"/>
              <w:rPr>
                <w:rFonts w:ascii="宋体" w:hAnsi="宋体" w:eastAsia="宋体" w:cs="宋体"/>
                <w:sz w:val="24"/>
                <w:szCs w:val="24"/>
              </w:rPr>
            </w:pPr>
            <w:r>
              <w:rPr>
                <w:rFonts w:hint="eastAsia" w:ascii="宋体" w:hAnsi="宋体" w:eastAsia="宋体"/>
              </w:rPr>
              <w:t>1.30</w:t>
            </w:r>
          </w:p>
        </w:tc>
      </w:tr>
      <w:tr w14:paraId="2EF14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99317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FF0B38C">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541F295F">
            <w:pPr>
              <w:jc w:val="right"/>
              <w:rPr>
                <w:rFonts w:ascii="宋体" w:hAnsi="宋体" w:eastAsia="宋体" w:cs="宋体"/>
                <w:sz w:val="24"/>
                <w:szCs w:val="24"/>
              </w:rPr>
            </w:pPr>
            <w:r>
              <w:rPr>
                <w:rFonts w:hint="eastAsia" w:ascii="宋体" w:hAnsi="宋体" w:eastAsia="宋体"/>
              </w:rPr>
              <w:t>125,304.70</w:t>
            </w:r>
          </w:p>
        </w:tc>
        <w:tc>
          <w:tcPr>
            <w:tcW w:w="0" w:type="auto"/>
            <w:shd w:val="clear" w:color="auto" w:fill="auto"/>
          </w:tcPr>
          <w:p w14:paraId="239D6664">
            <w:pPr>
              <w:jc w:val="right"/>
              <w:rPr>
                <w:rFonts w:ascii="宋体" w:hAnsi="宋体" w:eastAsia="宋体" w:cs="宋体"/>
                <w:sz w:val="24"/>
                <w:szCs w:val="24"/>
              </w:rPr>
            </w:pPr>
            <w:r>
              <w:rPr>
                <w:rFonts w:hint="eastAsia" w:ascii="宋体" w:hAnsi="宋体" w:eastAsia="宋体"/>
              </w:rPr>
              <w:t>0.00</w:t>
            </w:r>
          </w:p>
        </w:tc>
      </w:tr>
      <w:tr w14:paraId="506A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C092A8">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12179B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D4BE7F7">
            <w:pPr>
              <w:jc w:val="right"/>
              <w:rPr>
                <w:rFonts w:ascii="宋体" w:hAnsi="宋体" w:eastAsia="宋体" w:cs="宋体"/>
                <w:sz w:val="24"/>
                <w:szCs w:val="24"/>
              </w:rPr>
            </w:pPr>
            <w:r>
              <w:rPr>
                <w:rFonts w:hint="eastAsia" w:ascii="宋体" w:hAnsi="宋体" w:eastAsia="宋体"/>
              </w:rPr>
              <w:t>3,366,324,899.85</w:t>
            </w:r>
          </w:p>
        </w:tc>
        <w:tc>
          <w:tcPr>
            <w:tcW w:w="0" w:type="auto"/>
            <w:shd w:val="clear" w:color="auto" w:fill="auto"/>
          </w:tcPr>
          <w:p w14:paraId="1D819C57">
            <w:pPr>
              <w:jc w:val="right"/>
              <w:rPr>
                <w:rFonts w:ascii="宋体" w:hAnsi="宋体" w:eastAsia="宋体" w:cs="宋体"/>
                <w:sz w:val="24"/>
                <w:szCs w:val="24"/>
              </w:rPr>
            </w:pPr>
            <w:r>
              <w:rPr>
                <w:rFonts w:hint="eastAsia" w:ascii="宋体" w:hAnsi="宋体" w:eastAsia="宋体"/>
              </w:rPr>
              <w:t>100.00</w:t>
            </w:r>
          </w:p>
        </w:tc>
      </w:tr>
    </w:tbl>
    <w:p w14:paraId="6FB42615">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14:paraId="001676F0">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385"/>
        <w:gridCol w:w="1896"/>
        <w:gridCol w:w="2613"/>
      </w:tblGrid>
      <w:tr w14:paraId="7D327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243698">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7F7A1DE8">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63D9BAF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B56D13B">
            <w:pPr>
              <w:jc w:val="center"/>
              <w:rPr>
                <w:rFonts w:ascii="宋体" w:hAnsi="宋体" w:eastAsia="宋体" w:cs="宋体"/>
                <w:sz w:val="24"/>
                <w:szCs w:val="24"/>
              </w:rPr>
            </w:pPr>
            <w:r>
              <w:rPr>
                <w:rFonts w:hint="eastAsia" w:ascii="宋体" w:hAnsi="宋体" w:eastAsia="宋体"/>
              </w:rPr>
              <w:t>占基金资产净值比例（％）</w:t>
            </w:r>
          </w:p>
        </w:tc>
      </w:tr>
      <w:tr w14:paraId="2367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417DBD">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3345D7B7">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2FA84B92">
            <w:pPr>
              <w:jc w:val="right"/>
              <w:rPr>
                <w:rFonts w:ascii="宋体" w:hAnsi="宋体" w:eastAsia="宋体" w:cs="宋体"/>
                <w:sz w:val="24"/>
                <w:szCs w:val="24"/>
              </w:rPr>
            </w:pPr>
            <w:r>
              <w:rPr>
                <w:rFonts w:hint="eastAsia" w:ascii="宋体" w:hAnsi="宋体" w:eastAsia="宋体"/>
              </w:rPr>
              <w:t>12,121,620.00</w:t>
            </w:r>
          </w:p>
        </w:tc>
        <w:tc>
          <w:tcPr>
            <w:tcW w:w="0" w:type="auto"/>
            <w:shd w:val="clear" w:color="auto" w:fill="auto"/>
          </w:tcPr>
          <w:p w14:paraId="5383AC64">
            <w:pPr>
              <w:jc w:val="right"/>
              <w:rPr>
                <w:rFonts w:ascii="宋体" w:hAnsi="宋体" w:eastAsia="宋体" w:cs="宋体"/>
                <w:sz w:val="24"/>
                <w:szCs w:val="24"/>
              </w:rPr>
            </w:pPr>
            <w:r>
              <w:rPr>
                <w:rFonts w:hint="eastAsia" w:ascii="宋体" w:hAnsi="宋体" w:eastAsia="宋体"/>
              </w:rPr>
              <w:t>0.36</w:t>
            </w:r>
          </w:p>
        </w:tc>
      </w:tr>
      <w:tr w14:paraId="40D9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DAC7EC">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361FC196">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29005050">
            <w:pPr>
              <w:jc w:val="right"/>
              <w:rPr>
                <w:rFonts w:ascii="宋体" w:hAnsi="宋体" w:eastAsia="宋体" w:cs="宋体"/>
                <w:sz w:val="24"/>
                <w:szCs w:val="24"/>
              </w:rPr>
            </w:pPr>
            <w:r>
              <w:rPr>
                <w:rFonts w:hint="eastAsia" w:ascii="宋体" w:hAnsi="宋体" w:eastAsia="宋体"/>
              </w:rPr>
              <w:t>14,562,882.00</w:t>
            </w:r>
          </w:p>
        </w:tc>
        <w:tc>
          <w:tcPr>
            <w:tcW w:w="0" w:type="auto"/>
            <w:shd w:val="clear" w:color="auto" w:fill="auto"/>
          </w:tcPr>
          <w:p w14:paraId="01B0E25A">
            <w:pPr>
              <w:jc w:val="right"/>
              <w:rPr>
                <w:rFonts w:ascii="宋体" w:hAnsi="宋体" w:eastAsia="宋体" w:cs="宋体"/>
                <w:sz w:val="24"/>
                <w:szCs w:val="24"/>
              </w:rPr>
            </w:pPr>
            <w:r>
              <w:rPr>
                <w:rFonts w:hint="eastAsia" w:ascii="宋体" w:hAnsi="宋体" w:eastAsia="宋体"/>
              </w:rPr>
              <w:t>0.43</w:t>
            </w:r>
          </w:p>
        </w:tc>
      </w:tr>
      <w:tr w14:paraId="1B59B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B6A335">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48EF14D4">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4B89C6B3">
            <w:pPr>
              <w:jc w:val="right"/>
              <w:rPr>
                <w:rFonts w:ascii="宋体" w:hAnsi="宋体" w:eastAsia="宋体" w:cs="宋体"/>
                <w:sz w:val="24"/>
                <w:szCs w:val="24"/>
              </w:rPr>
            </w:pPr>
            <w:r>
              <w:rPr>
                <w:rFonts w:hint="eastAsia" w:ascii="宋体" w:hAnsi="宋体" w:eastAsia="宋体"/>
              </w:rPr>
              <w:t>2,345,762,050.57</w:t>
            </w:r>
          </w:p>
        </w:tc>
        <w:tc>
          <w:tcPr>
            <w:tcW w:w="0" w:type="auto"/>
            <w:shd w:val="clear" w:color="auto" w:fill="auto"/>
          </w:tcPr>
          <w:p w14:paraId="141F233D">
            <w:pPr>
              <w:jc w:val="right"/>
              <w:rPr>
                <w:rFonts w:ascii="宋体" w:hAnsi="宋体" w:eastAsia="宋体" w:cs="宋体"/>
                <w:sz w:val="24"/>
                <w:szCs w:val="24"/>
              </w:rPr>
            </w:pPr>
            <w:r>
              <w:rPr>
                <w:rFonts w:hint="eastAsia" w:ascii="宋体" w:hAnsi="宋体" w:eastAsia="宋体"/>
              </w:rPr>
              <w:t>69.70</w:t>
            </w:r>
          </w:p>
        </w:tc>
      </w:tr>
      <w:tr w14:paraId="3B8E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E3857F">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21F2BB90">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73E25117">
            <w:pPr>
              <w:jc w:val="right"/>
              <w:rPr>
                <w:rFonts w:ascii="宋体" w:hAnsi="宋体" w:eastAsia="宋体" w:cs="宋体"/>
                <w:sz w:val="24"/>
                <w:szCs w:val="24"/>
              </w:rPr>
            </w:pPr>
            <w:r>
              <w:rPr>
                <w:rFonts w:hint="eastAsia" w:ascii="宋体" w:hAnsi="宋体" w:eastAsia="宋体"/>
              </w:rPr>
              <w:t>228,014,545.01</w:t>
            </w:r>
          </w:p>
        </w:tc>
        <w:tc>
          <w:tcPr>
            <w:tcW w:w="0" w:type="auto"/>
            <w:shd w:val="clear" w:color="auto" w:fill="auto"/>
          </w:tcPr>
          <w:p w14:paraId="4E2C3793">
            <w:pPr>
              <w:jc w:val="right"/>
              <w:rPr>
                <w:rFonts w:ascii="宋体" w:hAnsi="宋体" w:eastAsia="宋体" w:cs="宋体"/>
                <w:sz w:val="24"/>
                <w:szCs w:val="24"/>
              </w:rPr>
            </w:pPr>
            <w:r>
              <w:rPr>
                <w:rFonts w:hint="eastAsia" w:ascii="宋体" w:hAnsi="宋体" w:eastAsia="宋体"/>
              </w:rPr>
              <w:t>6.78</w:t>
            </w:r>
          </w:p>
        </w:tc>
      </w:tr>
      <w:tr w14:paraId="10ED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B0389E">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339920CE">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383CB490">
            <w:pPr>
              <w:jc w:val="right"/>
              <w:rPr>
                <w:rFonts w:ascii="宋体" w:hAnsi="宋体" w:eastAsia="宋体" w:cs="宋体"/>
                <w:sz w:val="24"/>
                <w:szCs w:val="24"/>
              </w:rPr>
            </w:pPr>
            <w:r>
              <w:rPr>
                <w:rFonts w:hint="eastAsia" w:ascii="宋体" w:hAnsi="宋体" w:eastAsia="宋体"/>
              </w:rPr>
              <w:t>59,725,779.30</w:t>
            </w:r>
          </w:p>
        </w:tc>
        <w:tc>
          <w:tcPr>
            <w:tcW w:w="0" w:type="auto"/>
            <w:shd w:val="clear" w:color="auto" w:fill="auto"/>
          </w:tcPr>
          <w:p w14:paraId="13082812">
            <w:pPr>
              <w:jc w:val="right"/>
              <w:rPr>
                <w:rFonts w:ascii="宋体" w:hAnsi="宋体" w:eastAsia="宋体" w:cs="宋体"/>
                <w:sz w:val="24"/>
                <w:szCs w:val="24"/>
              </w:rPr>
            </w:pPr>
            <w:r>
              <w:rPr>
                <w:rFonts w:hint="eastAsia" w:ascii="宋体" w:hAnsi="宋体" w:eastAsia="宋体"/>
              </w:rPr>
              <w:t>1.77</w:t>
            </w:r>
          </w:p>
        </w:tc>
      </w:tr>
      <w:tr w14:paraId="58CB6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FC7ADC">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0464C4AE">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24F92B4D">
            <w:pPr>
              <w:jc w:val="right"/>
              <w:rPr>
                <w:rFonts w:ascii="宋体" w:hAnsi="宋体" w:eastAsia="宋体" w:cs="宋体"/>
                <w:sz w:val="24"/>
                <w:szCs w:val="24"/>
              </w:rPr>
            </w:pPr>
            <w:r>
              <w:rPr>
                <w:rFonts w:hint="eastAsia" w:ascii="宋体" w:hAnsi="宋体" w:eastAsia="宋体"/>
              </w:rPr>
              <w:t>23,570,722.44</w:t>
            </w:r>
          </w:p>
        </w:tc>
        <w:tc>
          <w:tcPr>
            <w:tcW w:w="0" w:type="auto"/>
            <w:shd w:val="clear" w:color="auto" w:fill="auto"/>
          </w:tcPr>
          <w:p w14:paraId="53493FD8">
            <w:pPr>
              <w:jc w:val="right"/>
              <w:rPr>
                <w:rFonts w:ascii="宋体" w:hAnsi="宋体" w:eastAsia="宋体" w:cs="宋体"/>
                <w:sz w:val="24"/>
                <w:szCs w:val="24"/>
              </w:rPr>
            </w:pPr>
            <w:r>
              <w:rPr>
                <w:rFonts w:hint="eastAsia" w:ascii="宋体" w:hAnsi="宋体" w:eastAsia="宋体"/>
              </w:rPr>
              <w:t>0.70</w:t>
            </w:r>
          </w:p>
        </w:tc>
      </w:tr>
      <w:tr w14:paraId="6EC1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9DC198">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66CDB13B">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46D8D3DD">
            <w:pPr>
              <w:jc w:val="right"/>
              <w:rPr>
                <w:rFonts w:ascii="宋体" w:hAnsi="宋体" w:eastAsia="宋体" w:cs="宋体"/>
                <w:sz w:val="24"/>
                <w:szCs w:val="24"/>
              </w:rPr>
            </w:pPr>
            <w:r>
              <w:rPr>
                <w:rFonts w:hint="eastAsia" w:ascii="宋体" w:hAnsi="宋体" w:eastAsia="宋体"/>
              </w:rPr>
              <w:t>65,703,554.00</w:t>
            </w:r>
          </w:p>
        </w:tc>
        <w:tc>
          <w:tcPr>
            <w:tcW w:w="0" w:type="auto"/>
            <w:shd w:val="clear" w:color="auto" w:fill="auto"/>
          </w:tcPr>
          <w:p w14:paraId="72AA3029">
            <w:pPr>
              <w:jc w:val="right"/>
              <w:rPr>
                <w:rFonts w:ascii="宋体" w:hAnsi="宋体" w:eastAsia="宋体" w:cs="宋体"/>
                <w:sz w:val="24"/>
                <w:szCs w:val="24"/>
              </w:rPr>
            </w:pPr>
            <w:r>
              <w:rPr>
                <w:rFonts w:hint="eastAsia" w:ascii="宋体" w:hAnsi="宋体" w:eastAsia="宋体"/>
              </w:rPr>
              <w:t>1.95</w:t>
            </w:r>
          </w:p>
        </w:tc>
      </w:tr>
      <w:tr w14:paraId="6B59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C6D0CA">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173B011C">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1C1358D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BE51352">
            <w:pPr>
              <w:jc w:val="right"/>
              <w:rPr>
                <w:rFonts w:ascii="宋体" w:hAnsi="宋体" w:eastAsia="宋体" w:cs="宋体"/>
                <w:sz w:val="24"/>
                <w:szCs w:val="24"/>
              </w:rPr>
            </w:pPr>
            <w:r>
              <w:rPr>
                <w:rFonts w:hint="eastAsia" w:ascii="宋体" w:hAnsi="宋体" w:eastAsia="宋体"/>
              </w:rPr>
              <w:t>-</w:t>
            </w:r>
          </w:p>
        </w:tc>
      </w:tr>
      <w:tr w14:paraId="4774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99541D">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7B727D73">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2755832D">
            <w:pPr>
              <w:jc w:val="right"/>
              <w:rPr>
                <w:rFonts w:ascii="宋体" w:hAnsi="宋体" w:eastAsia="宋体" w:cs="宋体"/>
                <w:sz w:val="24"/>
                <w:szCs w:val="24"/>
              </w:rPr>
            </w:pPr>
            <w:r>
              <w:rPr>
                <w:rFonts w:hint="eastAsia" w:ascii="宋体" w:hAnsi="宋体" w:eastAsia="宋体"/>
              </w:rPr>
              <w:t>149,867,960.70</w:t>
            </w:r>
          </w:p>
        </w:tc>
        <w:tc>
          <w:tcPr>
            <w:tcW w:w="0" w:type="auto"/>
            <w:shd w:val="clear" w:color="auto" w:fill="auto"/>
          </w:tcPr>
          <w:p w14:paraId="025E0AAF">
            <w:pPr>
              <w:jc w:val="right"/>
              <w:rPr>
                <w:rFonts w:ascii="宋体" w:hAnsi="宋体" w:eastAsia="宋体" w:cs="宋体"/>
                <w:sz w:val="24"/>
                <w:szCs w:val="24"/>
              </w:rPr>
            </w:pPr>
            <w:r>
              <w:rPr>
                <w:rFonts w:hint="eastAsia" w:ascii="宋体" w:hAnsi="宋体" w:eastAsia="宋体"/>
              </w:rPr>
              <w:t>4.45</w:t>
            </w:r>
          </w:p>
        </w:tc>
      </w:tr>
      <w:tr w14:paraId="6A3F9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E02B3E">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4BCA53CC">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303151D7">
            <w:pPr>
              <w:jc w:val="right"/>
              <w:rPr>
                <w:rFonts w:ascii="宋体" w:hAnsi="宋体" w:eastAsia="宋体" w:cs="宋体"/>
                <w:sz w:val="24"/>
                <w:szCs w:val="24"/>
              </w:rPr>
            </w:pPr>
            <w:r>
              <w:rPr>
                <w:rFonts w:hint="eastAsia" w:ascii="宋体" w:hAnsi="宋体" w:eastAsia="宋体"/>
              </w:rPr>
              <w:t>364,245,821.68</w:t>
            </w:r>
          </w:p>
        </w:tc>
        <w:tc>
          <w:tcPr>
            <w:tcW w:w="0" w:type="auto"/>
            <w:shd w:val="clear" w:color="auto" w:fill="auto"/>
          </w:tcPr>
          <w:p w14:paraId="61212892">
            <w:pPr>
              <w:jc w:val="right"/>
              <w:rPr>
                <w:rFonts w:ascii="宋体" w:hAnsi="宋体" w:eastAsia="宋体" w:cs="宋体"/>
                <w:sz w:val="24"/>
                <w:szCs w:val="24"/>
              </w:rPr>
            </w:pPr>
            <w:r>
              <w:rPr>
                <w:rFonts w:hint="eastAsia" w:ascii="宋体" w:hAnsi="宋体" w:eastAsia="宋体"/>
              </w:rPr>
              <w:t>10.82</w:t>
            </w:r>
          </w:p>
        </w:tc>
      </w:tr>
      <w:tr w14:paraId="7873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39D7E5">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5FC992B5">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622F948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43F6EB2">
            <w:pPr>
              <w:jc w:val="right"/>
              <w:rPr>
                <w:rFonts w:ascii="宋体" w:hAnsi="宋体" w:eastAsia="宋体" w:cs="宋体"/>
                <w:sz w:val="24"/>
                <w:szCs w:val="24"/>
              </w:rPr>
            </w:pPr>
            <w:r>
              <w:rPr>
                <w:rFonts w:hint="eastAsia" w:ascii="宋体" w:hAnsi="宋体" w:eastAsia="宋体"/>
              </w:rPr>
              <w:t>-</w:t>
            </w:r>
          </w:p>
        </w:tc>
      </w:tr>
      <w:tr w14:paraId="61498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2646DF">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2C7FBFAB">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058D4430">
            <w:pPr>
              <w:jc w:val="right"/>
              <w:rPr>
                <w:rFonts w:ascii="宋体" w:hAnsi="宋体" w:eastAsia="宋体" w:cs="宋体"/>
                <w:sz w:val="24"/>
                <w:szCs w:val="24"/>
              </w:rPr>
            </w:pPr>
            <w:r>
              <w:rPr>
                <w:rFonts w:hint="eastAsia" w:ascii="宋体" w:hAnsi="宋体" w:eastAsia="宋体"/>
              </w:rPr>
              <w:t>4,313,088.00</w:t>
            </w:r>
          </w:p>
        </w:tc>
        <w:tc>
          <w:tcPr>
            <w:tcW w:w="0" w:type="auto"/>
            <w:shd w:val="clear" w:color="auto" w:fill="auto"/>
          </w:tcPr>
          <w:p w14:paraId="7E7D7161">
            <w:pPr>
              <w:jc w:val="right"/>
              <w:rPr>
                <w:rFonts w:ascii="宋体" w:hAnsi="宋体" w:eastAsia="宋体" w:cs="宋体"/>
                <w:sz w:val="24"/>
                <w:szCs w:val="24"/>
              </w:rPr>
            </w:pPr>
            <w:r>
              <w:rPr>
                <w:rFonts w:hint="eastAsia" w:ascii="宋体" w:hAnsi="宋体" w:eastAsia="宋体"/>
              </w:rPr>
              <w:t>0.13</w:t>
            </w:r>
          </w:p>
        </w:tc>
      </w:tr>
      <w:tr w14:paraId="3A039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18E92C">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3C57FF34">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1FDEDFC2">
            <w:pPr>
              <w:jc w:val="right"/>
              <w:rPr>
                <w:rFonts w:ascii="宋体" w:hAnsi="宋体" w:eastAsia="宋体" w:cs="宋体"/>
                <w:sz w:val="24"/>
                <w:szCs w:val="24"/>
              </w:rPr>
            </w:pPr>
            <w:r>
              <w:rPr>
                <w:rFonts w:hint="eastAsia" w:ascii="宋体" w:hAnsi="宋体" w:eastAsia="宋体"/>
              </w:rPr>
              <w:t>28,809,349.20</w:t>
            </w:r>
          </w:p>
        </w:tc>
        <w:tc>
          <w:tcPr>
            <w:tcW w:w="0" w:type="auto"/>
            <w:shd w:val="clear" w:color="auto" w:fill="auto"/>
          </w:tcPr>
          <w:p w14:paraId="5BEAA586">
            <w:pPr>
              <w:jc w:val="right"/>
              <w:rPr>
                <w:rFonts w:ascii="宋体" w:hAnsi="宋体" w:eastAsia="宋体" w:cs="宋体"/>
                <w:sz w:val="24"/>
                <w:szCs w:val="24"/>
              </w:rPr>
            </w:pPr>
            <w:r>
              <w:rPr>
                <w:rFonts w:hint="eastAsia" w:ascii="宋体" w:hAnsi="宋体" w:eastAsia="宋体"/>
              </w:rPr>
              <w:t>0.86</w:t>
            </w:r>
          </w:p>
        </w:tc>
      </w:tr>
      <w:tr w14:paraId="1E666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69BFEF">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2DD6E640">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3079D072">
            <w:pPr>
              <w:jc w:val="right"/>
              <w:rPr>
                <w:rFonts w:ascii="宋体" w:hAnsi="宋体" w:eastAsia="宋体" w:cs="宋体"/>
                <w:sz w:val="24"/>
                <w:szCs w:val="24"/>
              </w:rPr>
            </w:pPr>
            <w:r>
              <w:rPr>
                <w:rFonts w:hint="eastAsia" w:ascii="宋体" w:hAnsi="宋体" w:eastAsia="宋体"/>
              </w:rPr>
              <w:t>21,702,376.00</w:t>
            </w:r>
          </w:p>
        </w:tc>
        <w:tc>
          <w:tcPr>
            <w:tcW w:w="0" w:type="auto"/>
            <w:shd w:val="clear" w:color="auto" w:fill="auto"/>
          </w:tcPr>
          <w:p w14:paraId="693DCEDC">
            <w:pPr>
              <w:jc w:val="right"/>
              <w:rPr>
                <w:rFonts w:ascii="宋体" w:hAnsi="宋体" w:eastAsia="宋体" w:cs="宋体"/>
                <w:sz w:val="24"/>
                <w:szCs w:val="24"/>
              </w:rPr>
            </w:pPr>
            <w:r>
              <w:rPr>
                <w:rFonts w:hint="eastAsia" w:ascii="宋体" w:hAnsi="宋体" w:eastAsia="宋体"/>
              </w:rPr>
              <w:t>0.64</w:t>
            </w:r>
          </w:p>
        </w:tc>
      </w:tr>
      <w:tr w14:paraId="0FCD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4E948E">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69721B93">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21D97A7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869151A">
            <w:pPr>
              <w:jc w:val="right"/>
              <w:rPr>
                <w:rFonts w:ascii="宋体" w:hAnsi="宋体" w:eastAsia="宋体" w:cs="宋体"/>
                <w:sz w:val="24"/>
                <w:szCs w:val="24"/>
              </w:rPr>
            </w:pPr>
            <w:r>
              <w:rPr>
                <w:rFonts w:hint="eastAsia" w:ascii="宋体" w:hAnsi="宋体" w:eastAsia="宋体"/>
              </w:rPr>
              <w:t>-</w:t>
            </w:r>
          </w:p>
        </w:tc>
      </w:tr>
      <w:tr w14:paraId="7D48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6DB698">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7AFA8216">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727A846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17B64A">
            <w:pPr>
              <w:jc w:val="right"/>
              <w:rPr>
                <w:rFonts w:ascii="宋体" w:hAnsi="宋体" w:eastAsia="宋体" w:cs="宋体"/>
                <w:sz w:val="24"/>
                <w:szCs w:val="24"/>
              </w:rPr>
            </w:pPr>
            <w:r>
              <w:rPr>
                <w:rFonts w:hint="eastAsia" w:ascii="宋体" w:hAnsi="宋体" w:eastAsia="宋体"/>
              </w:rPr>
              <w:t>-</w:t>
            </w:r>
          </w:p>
        </w:tc>
      </w:tr>
      <w:tr w14:paraId="534F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ED4465">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6508910F">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29084E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A39223">
            <w:pPr>
              <w:jc w:val="right"/>
              <w:rPr>
                <w:rFonts w:ascii="宋体" w:hAnsi="宋体" w:eastAsia="宋体" w:cs="宋体"/>
                <w:sz w:val="24"/>
                <w:szCs w:val="24"/>
              </w:rPr>
            </w:pPr>
            <w:r>
              <w:rPr>
                <w:rFonts w:hint="eastAsia" w:ascii="宋体" w:hAnsi="宋体" w:eastAsia="宋体"/>
              </w:rPr>
              <w:t>-</w:t>
            </w:r>
          </w:p>
        </w:tc>
      </w:tr>
      <w:tr w14:paraId="351C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95785E">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437A7B25">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2B26B4A7">
            <w:pPr>
              <w:jc w:val="right"/>
              <w:rPr>
                <w:rFonts w:ascii="宋体" w:hAnsi="宋体" w:eastAsia="宋体" w:cs="宋体"/>
                <w:sz w:val="24"/>
                <w:szCs w:val="24"/>
              </w:rPr>
            </w:pPr>
            <w:r>
              <w:rPr>
                <w:rFonts w:hint="eastAsia" w:ascii="宋体" w:hAnsi="宋体" w:eastAsia="宋体"/>
              </w:rPr>
              <w:t>3,993,637.00</w:t>
            </w:r>
          </w:p>
        </w:tc>
        <w:tc>
          <w:tcPr>
            <w:tcW w:w="0" w:type="auto"/>
            <w:shd w:val="clear" w:color="auto" w:fill="auto"/>
          </w:tcPr>
          <w:p w14:paraId="22B39909">
            <w:pPr>
              <w:jc w:val="right"/>
              <w:rPr>
                <w:rFonts w:ascii="宋体" w:hAnsi="宋体" w:eastAsia="宋体" w:cs="宋体"/>
                <w:sz w:val="24"/>
                <w:szCs w:val="24"/>
              </w:rPr>
            </w:pPr>
            <w:r>
              <w:rPr>
                <w:rFonts w:hint="eastAsia" w:ascii="宋体" w:hAnsi="宋体" w:eastAsia="宋体"/>
              </w:rPr>
              <w:t>0.12</w:t>
            </w:r>
          </w:p>
        </w:tc>
      </w:tr>
      <w:tr w14:paraId="036A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34CE08">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27792270">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3383C0A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602CE07">
            <w:pPr>
              <w:jc w:val="right"/>
              <w:rPr>
                <w:rFonts w:ascii="宋体" w:hAnsi="宋体" w:eastAsia="宋体" w:cs="宋体"/>
                <w:sz w:val="24"/>
                <w:szCs w:val="24"/>
              </w:rPr>
            </w:pPr>
            <w:r>
              <w:rPr>
                <w:rFonts w:hint="eastAsia" w:ascii="宋体" w:hAnsi="宋体" w:eastAsia="宋体"/>
              </w:rPr>
              <w:t>-</w:t>
            </w:r>
          </w:p>
        </w:tc>
      </w:tr>
      <w:tr w14:paraId="713E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4ED0DB">
            <w:pPr>
              <w:jc w:val="center"/>
              <w:rPr>
                <w:rFonts w:ascii="宋体" w:hAnsi="宋体" w:eastAsia="宋体" w:cs="宋体"/>
                <w:sz w:val="24"/>
                <w:szCs w:val="24"/>
              </w:rPr>
            </w:pPr>
          </w:p>
        </w:tc>
        <w:tc>
          <w:tcPr>
            <w:tcW w:w="0" w:type="auto"/>
            <w:shd w:val="clear" w:color="auto" w:fill="auto"/>
          </w:tcPr>
          <w:p w14:paraId="5E10946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4196E4C">
            <w:pPr>
              <w:jc w:val="right"/>
              <w:rPr>
                <w:rFonts w:ascii="宋体" w:hAnsi="宋体" w:eastAsia="宋体" w:cs="宋体"/>
                <w:sz w:val="24"/>
                <w:szCs w:val="24"/>
              </w:rPr>
            </w:pPr>
            <w:r>
              <w:rPr>
                <w:rFonts w:hint="eastAsia" w:ascii="宋体" w:hAnsi="宋体" w:eastAsia="宋体"/>
              </w:rPr>
              <w:t>3,322,393,385.90</w:t>
            </w:r>
          </w:p>
        </w:tc>
        <w:tc>
          <w:tcPr>
            <w:tcW w:w="0" w:type="auto"/>
            <w:shd w:val="clear" w:color="auto" w:fill="auto"/>
          </w:tcPr>
          <w:p w14:paraId="23D8D233">
            <w:pPr>
              <w:jc w:val="right"/>
              <w:rPr>
                <w:rFonts w:ascii="宋体" w:hAnsi="宋体" w:eastAsia="宋体" w:cs="宋体"/>
                <w:sz w:val="24"/>
                <w:szCs w:val="24"/>
              </w:rPr>
            </w:pPr>
            <w:r>
              <w:rPr>
                <w:rFonts w:hint="eastAsia" w:ascii="宋体" w:hAnsi="宋体" w:eastAsia="宋体"/>
              </w:rPr>
              <w:t>98.72</w:t>
            </w:r>
          </w:p>
        </w:tc>
      </w:tr>
    </w:tbl>
    <w:p w14:paraId="62CF5466">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14:paraId="70B9ECF8">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6858D0F7">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093"/>
        <w:gridCol w:w="1311"/>
        <w:gridCol w:w="1745"/>
        <w:gridCol w:w="2616"/>
      </w:tblGrid>
      <w:tr w14:paraId="2F10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CC869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5BDA970">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1C02F1BD">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0495CB48">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1F8C9B9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9236CF7">
            <w:pPr>
              <w:jc w:val="center"/>
              <w:rPr>
                <w:rFonts w:ascii="宋体" w:hAnsi="宋体" w:eastAsia="宋体" w:cs="宋体"/>
                <w:sz w:val="24"/>
                <w:szCs w:val="24"/>
              </w:rPr>
            </w:pPr>
            <w:r>
              <w:rPr>
                <w:rFonts w:hint="eastAsia" w:ascii="宋体" w:hAnsi="宋体" w:eastAsia="宋体"/>
              </w:rPr>
              <w:t>占基金资产净值比例(％)</w:t>
            </w:r>
          </w:p>
        </w:tc>
      </w:tr>
      <w:tr w14:paraId="004E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DF263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22130E4">
            <w:pPr>
              <w:jc w:val="center"/>
              <w:rPr>
                <w:rFonts w:ascii="宋体" w:hAnsi="宋体" w:eastAsia="宋体" w:cs="宋体"/>
                <w:sz w:val="24"/>
                <w:szCs w:val="24"/>
              </w:rPr>
            </w:pPr>
            <w:r>
              <w:rPr>
                <w:rFonts w:hint="eastAsia" w:ascii="宋体" w:hAnsi="宋体" w:eastAsia="宋体"/>
              </w:rPr>
              <w:t>000858</w:t>
            </w:r>
          </w:p>
        </w:tc>
        <w:tc>
          <w:tcPr>
            <w:tcW w:w="0" w:type="auto"/>
            <w:shd w:val="clear" w:color="auto" w:fill="auto"/>
          </w:tcPr>
          <w:p w14:paraId="39367472">
            <w:pPr>
              <w:jc w:val="center"/>
              <w:rPr>
                <w:rFonts w:ascii="宋体" w:hAnsi="宋体" w:eastAsia="宋体" w:cs="宋体"/>
                <w:sz w:val="24"/>
                <w:szCs w:val="24"/>
              </w:rPr>
            </w:pPr>
            <w:r>
              <w:rPr>
                <w:rFonts w:hint="eastAsia" w:ascii="宋体" w:hAnsi="宋体" w:eastAsia="宋体"/>
              </w:rPr>
              <w:t>五粮液</w:t>
            </w:r>
          </w:p>
        </w:tc>
        <w:tc>
          <w:tcPr>
            <w:tcW w:w="0" w:type="auto"/>
            <w:shd w:val="clear" w:color="auto" w:fill="auto"/>
          </w:tcPr>
          <w:p w14:paraId="383ED4BB">
            <w:pPr>
              <w:jc w:val="right"/>
              <w:rPr>
                <w:rFonts w:ascii="宋体" w:hAnsi="宋体" w:eastAsia="宋体" w:cs="宋体"/>
                <w:sz w:val="24"/>
                <w:szCs w:val="24"/>
              </w:rPr>
            </w:pPr>
            <w:r>
              <w:rPr>
                <w:rFonts w:hint="eastAsia" w:ascii="宋体" w:hAnsi="宋体" w:eastAsia="宋体"/>
              </w:rPr>
              <w:t>2,611,762</w:t>
            </w:r>
          </w:p>
        </w:tc>
        <w:tc>
          <w:tcPr>
            <w:tcW w:w="0" w:type="auto"/>
            <w:shd w:val="clear" w:color="auto" w:fill="auto"/>
          </w:tcPr>
          <w:p w14:paraId="700DE151">
            <w:pPr>
              <w:jc w:val="right"/>
              <w:rPr>
                <w:rFonts w:ascii="宋体" w:hAnsi="宋体" w:eastAsia="宋体" w:cs="宋体"/>
                <w:sz w:val="24"/>
                <w:szCs w:val="24"/>
              </w:rPr>
            </w:pPr>
            <w:r>
              <w:rPr>
                <w:rFonts w:hint="eastAsia" w:ascii="宋体" w:hAnsi="宋体" w:eastAsia="宋体"/>
              </w:rPr>
              <w:t>310,538,501.80</w:t>
            </w:r>
          </w:p>
        </w:tc>
        <w:tc>
          <w:tcPr>
            <w:tcW w:w="0" w:type="auto"/>
            <w:shd w:val="clear" w:color="auto" w:fill="auto"/>
          </w:tcPr>
          <w:p w14:paraId="67586988">
            <w:pPr>
              <w:jc w:val="right"/>
              <w:rPr>
                <w:rFonts w:ascii="宋体" w:hAnsi="宋体" w:eastAsia="宋体" w:cs="宋体"/>
                <w:sz w:val="24"/>
                <w:szCs w:val="24"/>
              </w:rPr>
            </w:pPr>
            <w:r>
              <w:rPr>
                <w:rFonts w:hint="eastAsia" w:ascii="宋体" w:hAnsi="宋体" w:eastAsia="宋体"/>
              </w:rPr>
              <w:t>9.23</w:t>
            </w:r>
          </w:p>
        </w:tc>
      </w:tr>
      <w:tr w14:paraId="2BFF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3BFE9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2C8AB33">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24F85A68">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2A9C7113">
            <w:pPr>
              <w:jc w:val="right"/>
              <w:rPr>
                <w:rFonts w:ascii="宋体" w:hAnsi="宋体" w:eastAsia="宋体" w:cs="宋体"/>
                <w:sz w:val="24"/>
                <w:szCs w:val="24"/>
              </w:rPr>
            </w:pPr>
            <w:r>
              <w:rPr>
                <w:rFonts w:hint="eastAsia" w:ascii="宋体" w:hAnsi="宋体" w:eastAsia="宋体"/>
              </w:rPr>
              <w:t>2,290,940</w:t>
            </w:r>
          </w:p>
        </w:tc>
        <w:tc>
          <w:tcPr>
            <w:tcW w:w="0" w:type="auto"/>
            <w:shd w:val="clear" w:color="auto" w:fill="auto"/>
          </w:tcPr>
          <w:p w14:paraId="343DC656">
            <w:pPr>
              <w:jc w:val="right"/>
              <w:rPr>
                <w:rFonts w:ascii="宋体" w:hAnsi="宋体" w:eastAsia="宋体" w:cs="宋体"/>
                <w:sz w:val="24"/>
                <w:szCs w:val="24"/>
              </w:rPr>
            </w:pPr>
            <w:r>
              <w:rPr>
                <w:rFonts w:hint="eastAsia" w:ascii="宋体" w:hAnsi="宋体" w:eastAsia="宋体"/>
              </w:rPr>
              <w:t>290,995,198.80</w:t>
            </w:r>
          </w:p>
        </w:tc>
        <w:tc>
          <w:tcPr>
            <w:tcW w:w="0" w:type="auto"/>
            <w:shd w:val="clear" w:color="auto" w:fill="auto"/>
          </w:tcPr>
          <w:p w14:paraId="2B2B73C8">
            <w:pPr>
              <w:jc w:val="right"/>
              <w:rPr>
                <w:rFonts w:ascii="宋体" w:hAnsi="宋体" w:eastAsia="宋体" w:cs="宋体"/>
                <w:sz w:val="24"/>
                <w:szCs w:val="24"/>
              </w:rPr>
            </w:pPr>
            <w:r>
              <w:rPr>
                <w:rFonts w:hint="eastAsia" w:ascii="宋体" w:hAnsi="宋体" w:eastAsia="宋体"/>
              </w:rPr>
              <w:t>8.65</w:t>
            </w:r>
          </w:p>
        </w:tc>
      </w:tr>
      <w:tr w14:paraId="6FF3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951A0C">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D8624BC">
            <w:pPr>
              <w:jc w:val="center"/>
              <w:rPr>
                <w:rFonts w:ascii="宋体" w:hAnsi="宋体" w:eastAsia="宋体" w:cs="宋体"/>
                <w:sz w:val="24"/>
                <w:szCs w:val="24"/>
              </w:rPr>
            </w:pPr>
            <w:r>
              <w:rPr>
                <w:rFonts w:hint="eastAsia" w:ascii="宋体" w:hAnsi="宋体" w:eastAsia="宋体"/>
              </w:rPr>
              <w:t>601127</w:t>
            </w:r>
          </w:p>
        </w:tc>
        <w:tc>
          <w:tcPr>
            <w:tcW w:w="0" w:type="auto"/>
            <w:shd w:val="clear" w:color="auto" w:fill="auto"/>
          </w:tcPr>
          <w:p w14:paraId="557F0B53">
            <w:pPr>
              <w:jc w:val="center"/>
              <w:rPr>
                <w:rFonts w:ascii="宋体" w:hAnsi="宋体" w:eastAsia="宋体" w:cs="宋体"/>
                <w:sz w:val="24"/>
                <w:szCs w:val="24"/>
              </w:rPr>
            </w:pPr>
            <w:r>
              <w:rPr>
                <w:rFonts w:hint="eastAsia" w:ascii="宋体" w:hAnsi="宋体" w:eastAsia="宋体"/>
              </w:rPr>
              <w:t>赛力斯</w:t>
            </w:r>
          </w:p>
        </w:tc>
        <w:tc>
          <w:tcPr>
            <w:tcW w:w="0" w:type="auto"/>
            <w:shd w:val="clear" w:color="auto" w:fill="auto"/>
          </w:tcPr>
          <w:p w14:paraId="297826A5">
            <w:pPr>
              <w:jc w:val="right"/>
              <w:rPr>
                <w:rFonts w:ascii="宋体" w:hAnsi="宋体" w:eastAsia="宋体" w:cs="宋体"/>
                <w:sz w:val="24"/>
                <w:szCs w:val="24"/>
              </w:rPr>
            </w:pPr>
            <w:r>
              <w:rPr>
                <w:rFonts w:hint="eastAsia" w:ascii="宋体" w:hAnsi="宋体" w:eastAsia="宋体"/>
              </w:rPr>
              <w:t>1,885,400</w:t>
            </w:r>
          </w:p>
        </w:tc>
        <w:tc>
          <w:tcPr>
            <w:tcW w:w="0" w:type="auto"/>
            <w:shd w:val="clear" w:color="auto" w:fill="auto"/>
          </w:tcPr>
          <w:p w14:paraId="78452BD9">
            <w:pPr>
              <w:jc w:val="right"/>
              <w:rPr>
                <w:rFonts w:ascii="宋体" w:hAnsi="宋体" w:eastAsia="宋体" w:cs="宋体"/>
                <w:sz w:val="24"/>
                <w:szCs w:val="24"/>
              </w:rPr>
            </w:pPr>
            <w:r>
              <w:rPr>
                <w:rFonts w:hint="eastAsia" w:ascii="宋体" w:hAnsi="宋体" w:eastAsia="宋体"/>
              </w:rPr>
              <w:t>253,246,928.00</w:t>
            </w:r>
          </w:p>
        </w:tc>
        <w:tc>
          <w:tcPr>
            <w:tcW w:w="0" w:type="auto"/>
            <w:shd w:val="clear" w:color="auto" w:fill="auto"/>
          </w:tcPr>
          <w:p w14:paraId="724717AA">
            <w:pPr>
              <w:jc w:val="right"/>
              <w:rPr>
                <w:rFonts w:ascii="宋体" w:hAnsi="宋体" w:eastAsia="宋体" w:cs="宋体"/>
                <w:sz w:val="24"/>
                <w:szCs w:val="24"/>
              </w:rPr>
            </w:pPr>
            <w:r>
              <w:rPr>
                <w:rFonts w:hint="eastAsia" w:ascii="宋体" w:hAnsi="宋体" w:eastAsia="宋体"/>
              </w:rPr>
              <w:t>7.53</w:t>
            </w:r>
          </w:p>
        </w:tc>
      </w:tr>
      <w:tr w14:paraId="52D41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A9EF6D">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75C26BF">
            <w:pPr>
              <w:jc w:val="center"/>
              <w:rPr>
                <w:rFonts w:ascii="宋体" w:hAnsi="宋体" w:eastAsia="宋体" w:cs="宋体"/>
                <w:sz w:val="24"/>
                <w:szCs w:val="24"/>
              </w:rPr>
            </w:pPr>
            <w:r>
              <w:rPr>
                <w:rFonts w:hint="eastAsia" w:ascii="宋体" w:hAnsi="宋体" w:eastAsia="宋体"/>
              </w:rPr>
              <w:t>000568</w:t>
            </w:r>
          </w:p>
        </w:tc>
        <w:tc>
          <w:tcPr>
            <w:tcW w:w="0" w:type="auto"/>
            <w:shd w:val="clear" w:color="auto" w:fill="auto"/>
          </w:tcPr>
          <w:p w14:paraId="41342AFE">
            <w:pPr>
              <w:jc w:val="center"/>
              <w:rPr>
                <w:rFonts w:ascii="宋体" w:hAnsi="宋体" w:eastAsia="宋体" w:cs="宋体"/>
                <w:sz w:val="24"/>
                <w:szCs w:val="24"/>
              </w:rPr>
            </w:pPr>
            <w:r>
              <w:rPr>
                <w:rFonts w:hint="eastAsia" w:ascii="宋体" w:hAnsi="宋体" w:eastAsia="宋体"/>
              </w:rPr>
              <w:t>泸州老窖</w:t>
            </w:r>
          </w:p>
        </w:tc>
        <w:tc>
          <w:tcPr>
            <w:tcW w:w="0" w:type="auto"/>
            <w:shd w:val="clear" w:color="auto" w:fill="auto"/>
          </w:tcPr>
          <w:p w14:paraId="7B37D38A">
            <w:pPr>
              <w:jc w:val="right"/>
              <w:rPr>
                <w:rFonts w:ascii="宋体" w:hAnsi="宋体" w:eastAsia="宋体" w:cs="宋体"/>
                <w:sz w:val="24"/>
                <w:szCs w:val="24"/>
              </w:rPr>
            </w:pPr>
            <w:r>
              <w:rPr>
                <w:rFonts w:hint="eastAsia" w:ascii="宋体" w:hAnsi="宋体" w:eastAsia="宋体"/>
              </w:rPr>
              <w:t>1,699,267</w:t>
            </w:r>
          </w:p>
        </w:tc>
        <w:tc>
          <w:tcPr>
            <w:tcW w:w="0" w:type="auto"/>
            <w:shd w:val="clear" w:color="auto" w:fill="auto"/>
          </w:tcPr>
          <w:p w14:paraId="1D35A7EA">
            <w:pPr>
              <w:jc w:val="right"/>
              <w:rPr>
                <w:rFonts w:ascii="宋体" w:hAnsi="宋体" w:eastAsia="宋体" w:cs="宋体"/>
                <w:sz w:val="24"/>
                <w:szCs w:val="24"/>
              </w:rPr>
            </w:pPr>
            <w:r>
              <w:rPr>
                <w:rFonts w:hint="eastAsia" w:ascii="宋体" w:hAnsi="宋体" w:eastAsia="宋体"/>
              </w:rPr>
              <w:t>192,696,877.80</w:t>
            </w:r>
          </w:p>
        </w:tc>
        <w:tc>
          <w:tcPr>
            <w:tcW w:w="0" w:type="auto"/>
            <w:shd w:val="clear" w:color="auto" w:fill="auto"/>
          </w:tcPr>
          <w:p w14:paraId="6EE8F4EA">
            <w:pPr>
              <w:jc w:val="right"/>
              <w:rPr>
                <w:rFonts w:ascii="宋体" w:hAnsi="宋体" w:eastAsia="宋体" w:cs="宋体"/>
                <w:sz w:val="24"/>
                <w:szCs w:val="24"/>
              </w:rPr>
            </w:pPr>
            <w:r>
              <w:rPr>
                <w:rFonts w:hint="eastAsia" w:ascii="宋体" w:hAnsi="宋体" w:eastAsia="宋体"/>
              </w:rPr>
              <w:t>5.73</w:t>
            </w:r>
          </w:p>
        </w:tc>
      </w:tr>
      <w:tr w14:paraId="274E2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3CA4D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11F9017">
            <w:pPr>
              <w:jc w:val="center"/>
              <w:rPr>
                <w:rFonts w:ascii="宋体" w:hAnsi="宋体" w:eastAsia="宋体" w:cs="宋体"/>
                <w:sz w:val="24"/>
                <w:szCs w:val="24"/>
              </w:rPr>
            </w:pPr>
            <w:r>
              <w:rPr>
                <w:rFonts w:hint="eastAsia" w:ascii="宋体" w:hAnsi="宋体" w:eastAsia="宋体"/>
              </w:rPr>
              <w:t>000625</w:t>
            </w:r>
          </w:p>
        </w:tc>
        <w:tc>
          <w:tcPr>
            <w:tcW w:w="0" w:type="auto"/>
            <w:shd w:val="clear" w:color="auto" w:fill="auto"/>
          </w:tcPr>
          <w:p w14:paraId="788D0CF1">
            <w:pPr>
              <w:jc w:val="center"/>
              <w:rPr>
                <w:rFonts w:ascii="宋体" w:hAnsi="宋体" w:eastAsia="宋体" w:cs="宋体"/>
                <w:sz w:val="24"/>
                <w:szCs w:val="24"/>
              </w:rPr>
            </w:pPr>
            <w:r>
              <w:rPr>
                <w:rFonts w:hint="eastAsia" w:ascii="宋体" w:hAnsi="宋体" w:eastAsia="宋体"/>
              </w:rPr>
              <w:t>长安汽车</w:t>
            </w:r>
          </w:p>
        </w:tc>
        <w:tc>
          <w:tcPr>
            <w:tcW w:w="0" w:type="auto"/>
            <w:shd w:val="clear" w:color="auto" w:fill="auto"/>
          </w:tcPr>
          <w:p w14:paraId="3353DACF">
            <w:pPr>
              <w:jc w:val="right"/>
              <w:rPr>
                <w:rFonts w:ascii="宋体" w:hAnsi="宋体" w:eastAsia="宋体" w:cs="宋体"/>
                <w:sz w:val="24"/>
                <w:szCs w:val="24"/>
              </w:rPr>
            </w:pPr>
            <w:r>
              <w:rPr>
                <w:rFonts w:hint="eastAsia" w:ascii="宋体" w:hAnsi="宋体" w:eastAsia="宋体"/>
              </w:rPr>
              <w:t>11,459,330</w:t>
            </w:r>
          </w:p>
        </w:tc>
        <w:tc>
          <w:tcPr>
            <w:tcW w:w="0" w:type="auto"/>
            <w:shd w:val="clear" w:color="auto" w:fill="auto"/>
          </w:tcPr>
          <w:p w14:paraId="07F67D77">
            <w:pPr>
              <w:jc w:val="right"/>
              <w:rPr>
                <w:rFonts w:ascii="宋体" w:hAnsi="宋体" w:eastAsia="宋体" w:cs="宋体"/>
                <w:sz w:val="24"/>
                <w:szCs w:val="24"/>
              </w:rPr>
            </w:pPr>
            <w:r>
              <w:rPr>
                <w:rFonts w:hint="eastAsia" w:ascii="宋体" w:hAnsi="宋体" w:eastAsia="宋体"/>
              </w:rPr>
              <w:t>146,221,050.80</w:t>
            </w:r>
          </w:p>
        </w:tc>
        <w:tc>
          <w:tcPr>
            <w:tcW w:w="0" w:type="auto"/>
            <w:shd w:val="clear" w:color="auto" w:fill="auto"/>
          </w:tcPr>
          <w:p w14:paraId="4605EE93">
            <w:pPr>
              <w:jc w:val="right"/>
              <w:rPr>
                <w:rFonts w:ascii="宋体" w:hAnsi="宋体" w:eastAsia="宋体" w:cs="宋体"/>
                <w:sz w:val="24"/>
                <w:szCs w:val="24"/>
              </w:rPr>
            </w:pPr>
            <w:r>
              <w:rPr>
                <w:rFonts w:hint="eastAsia" w:ascii="宋体" w:hAnsi="宋体" w:eastAsia="宋体"/>
              </w:rPr>
              <w:t>4.34</w:t>
            </w:r>
          </w:p>
        </w:tc>
      </w:tr>
      <w:tr w14:paraId="286C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B12A58">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E6E0D6B">
            <w:pPr>
              <w:jc w:val="center"/>
              <w:rPr>
                <w:rFonts w:ascii="宋体" w:hAnsi="宋体" w:eastAsia="宋体" w:cs="宋体"/>
                <w:sz w:val="24"/>
                <w:szCs w:val="24"/>
              </w:rPr>
            </w:pPr>
            <w:r>
              <w:rPr>
                <w:rFonts w:hint="eastAsia" w:ascii="宋体" w:hAnsi="宋体" w:eastAsia="宋体"/>
              </w:rPr>
              <w:t>601838</w:t>
            </w:r>
          </w:p>
        </w:tc>
        <w:tc>
          <w:tcPr>
            <w:tcW w:w="0" w:type="auto"/>
            <w:shd w:val="clear" w:color="auto" w:fill="auto"/>
          </w:tcPr>
          <w:p w14:paraId="016AF7E1">
            <w:pPr>
              <w:jc w:val="center"/>
              <w:rPr>
                <w:rFonts w:ascii="宋体" w:hAnsi="宋体" w:eastAsia="宋体" w:cs="宋体"/>
                <w:sz w:val="24"/>
                <w:szCs w:val="24"/>
              </w:rPr>
            </w:pPr>
            <w:r>
              <w:rPr>
                <w:rFonts w:hint="eastAsia" w:ascii="宋体" w:hAnsi="宋体" w:eastAsia="宋体"/>
              </w:rPr>
              <w:t>成都银行</w:t>
            </w:r>
          </w:p>
        </w:tc>
        <w:tc>
          <w:tcPr>
            <w:tcW w:w="0" w:type="auto"/>
            <w:shd w:val="clear" w:color="auto" w:fill="auto"/>
          </w:tcPr>
          <w:p w14:paraId="20BD3CD5">
            <w:pPr>
              <w:jc w:val="right"/>
              <w:rPr>
                <w:rFonts w:ascii="宋体" w:hAnsi="宋体" w:eastAsia="宋体" w:cs="宋体"/>
                <w:sz w:val="24"/>
                <w:szCs w:val="24"/>
              </w:rPr>
            </w:pPr>
            <w:r>
              <w:rPr>
                <w:rFonts w:hint="eastAsia" w:ascii="宋体" w:hAnsi="宋体" w:eastAsia="宋体"/>
              </w:rPr>
              <w:t>5,871,206</w:t>
            </w:r>
          </w:p>
        </w:tc>
        <w:tc>
          <w:tcPr>
            <w:tcW w:w="0" w:type="auto"/>
            <w:shd w:val="clear" w:color="auto" w:fill="auto"/>
          </w:tcPr>
          <w:p w14:paraId="1AA123E4">
            <w:pPr>
              <w:jc w:val="right"/>
              <w:rPr>
                <w:rFonts w:ascii="宋体" w:hAnsi="宋体" w:eastAsia="宋体" w:cs="宋体"/>
                <w:sz w:val="24"/>
                <w:szCs w:val="24"/>
              </w:rPr>
            </w:pPr>
            <w:r>
              <w:rPr>
                <w:rFonts w:hint="eastAsia" w:ascii="宋体" w:hAnsi="宋体" w:eastAsia="宋体"/>
              </w:rPr>
              <w:t>118,011,240.60</w:t>
            </w:r>
          </w:p>
        </w:tc>
        <w:tc>
          <w:tcPr>
            <w:tcW w:w="0" w:type="auto"/>
            <w:shd w:val="clear" w:color="auto" w:fill="auto"/>
          </w:tcPr>
          <w:p w14:paraId="021D3B55">
            <w:pPr>
              <w:jc w:val="right"/>
              <w:rPr>
                <w:rFonts w:ascii="宋体" w:hAnsi="宋体" w:eastAsia="宋体" w:cs="宋体"/>
                <w:sz w:val="24"/>
                <w:szCs w:val="24"/>
              </w:rPr>
            </w:pPr>
            <w:r>
              <w:rPr>
                <w:rFonts w:hint="eastAsia" w:ascii="宋体" w:hAnsi="宋体" w:eastAsia="宋体"/>
              </w:rPr>
              <w:t>3.51</w:t>
            </w:r>
          </w:p>
        </w:tc>
      </w:tr>
      <w:tr w14:paraId="09EBD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E83EC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B713D61">
            <w:pPr>
              <w:jc w:val="center"/>
              <w:rPr>
                <w:rFonts w:ascii="宋体" w:hAnsi="宋体" w:eastAsia="宋体" w:cs="宋体"/>
                <w:sz w:val="24"/>
                <w:szCs w:val="24"/>
              </w:rPr>
            </w:pPr>
            <w:r>
              <w:rPr>
                <w:rFonts w:hint="eastAsia" w:ascii="宋体" w:hAnsi="宋体" w:eastAsia="宋体"/>
              </w:rPr>
              <w:t>601077</w:t>
            </w:r>
          </w:p>
        </w:tc>
        <w:tc>
          <w:tcPr>
            <w:tcW w:w="0" w:type="auto"/>
            <w:shd w:val="clear" w:color="auto" w:fill="auto"/>
          </w:tcPr>
          <w:p w14:paraId="6AFA3CC0">
            <w:pPr>
              <w:jc w:val="center"/>
              <w:rPr>
                <w:rFonts w:ascii="宋体" w:hAnsi="宋体" w:eastAsia="宋体" w:cs="宋体"/>
                <w:sz w:val="24"/>
                <w:szCs w:val="24"/>
              </w:rPr>
            </w:pPr>
            <w:r>
              <w:rPr>
                <w:rFonts w:hint="eastAsia" w:ascii="宋体" w:hAnsi="宋体" w:eastAsia="宋体"/>
              </w:rPr>
              <w:t>渝农商行</w:t>
            </w:r>
          </w:p>
        </w:tc>
        <w:tc>
          <w:tcPr>
            <w:tcW w:w="0" w:type="auto"/>
            <w:shd w:val="clear" w:color="auto" w:fill="auto"/>
          </w:tcPr>
          <w:p w14:paraId="3376D498">
            <w:pPr>
              <w:jc w:val="right"/>
              <w:rPr>
                <w:rFonts w:ascii="宋体" w:hAnsi="宋体" w:eastAsia="宋体" w:cs="宋体"/>
                <w:sz w:val="24"/>
                <w:szCs w:val="24"/>
              </w:rPr>
            </w:pPr>
            <w:r>
              <w:rPr>
                <w:rFonts w:hint="eastAsia" w:ascii="宋体" w:hAnsi="宋体" w:eastAsia="宋体"/>
              </w:rPr>
              <w:t>14,292,300</w:t>
            </w:r>
          </w:p>
        </w:tc>
        <w:tc>
          <w:tcPr>
            <w:tcW w:w="0" w:type="auto"/>
            <w:shd w:val="clear" w:color="auto" w:fill="auto"/>
          </w:tcPr>
          <w:p w14:paraId="404029E9">
            <w:pPr>
              <w:jc w:val="right"/>
              <w:rPr>
                <w:rFonts w:ascii="宋体" w:hAnsi="宋体" w:eastAsia="宋体" w:cs="宋体"/>
                <w:sz w:val="24"/>
                <w:szCs w:val="24"/>
              </w:rPr>
            </w:pPr>
            <w:r>
              <w:rPr>
                <w:rFonts w:hint="eastAsia" w:ascii="宋体" w:hAnsi="宋体" w:eastAsia="宋体"/>
              </w:rPr>
              <w:t>102,047,022.00</w:t>
            </w:r>
          </w:p>
        </w:tc>
        <w:tc>
          <w:tcPr>
            <w:tcW w:w="0" w:type="auto"/>
            <w:shd w:val="clear" w:color="auto" w:fill="auto"/>
          </w:tcPr>
          <w:p w14:paraId="0D01F2F5">
            <w:pPr>
              <w:jc w:val="right"/>
              <w:rPr>
                <w:rFonts w:ascii="宋体" w:hAnsi="宋体" w:eastAsia="宋体" w:cs="宋体"/>
                <w:sz w:val="24"/>
                <w:szCs w:val="24"/>
              </w:rPr>
            </w:pPr>
            <w:r>
              <w:rPr>
                <w:rFonts w:hint="eastAsia" w:ascii="宋体" w:hAnsi="宋体" w:eastAsia="宋体"/>
              </w:rPr>
              <w:t>3.03</w:t>
            </w:r>
          </w:p>
        </w:tc>
      </w:tr>
      <w:tr w14:paraId="5614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538FD4">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C325835">
            <w:pPr>
              <w:jc w:val="center"/>
              <w:rPr>
                <w:rFonts w:ascii="宋体" w:hAnsi="宋体" w:eastAsia="宋体" w:cs="宋体"/>
                <w:sz w:val="24"/>
                <w:szCs w:val="24"/>
              </w:rPr>
            </w:pPr>
            <w:r>
              <w:rPr>
                <w:rFonts w:hint="eastAsia" w:ascii="宋体" w:hAnsi="宋体" w:eastAsia="宋体"/>
              </w:rPr>
              <w:t>002422</w:t>
            </w:r>
          </w:p>
        </w:tc>
        <w:tc>
          <w:tcPr>
            <w:tcW w:w="0" w:type="auto"/>
            <w:shd w:val="clear" w:color="auto" w:fill="auto"/>
          </w:tcPr>
          <w:p w14:paraId="68C9E059">
            <w:pPr>
              <w:jc w:val="center"/>
              <w:rPr>
                <w:rFonts w:ascii="宋体" w:hAnsi="宋体" w:eastAsia="宋体" w:cs="宋体"/>
                <w:sz w:val="24"/>
                <w:szCs w:val="24"/>
              </w:rPr>
            </w:pPr>
            <w:r>
              <w:rPr>
                <w:rFonts w:hint="eastAsia" w:ascii="宋体" w:hAnsi="宋体" w:eastAsia="宋体"/>
              </w:rPr>
              <w:t>科伦药业</w:t>
            </w:r>
          </w:p>
        </w:tc>
        <w:tc>
          <w:tcPr>
            <w:tcW w:w="0" w:type="auto"/>
            <w:shd w:val="clear" w:color="auto" w:fill="auto"/>
          </w:tcPr>
          <w:p w14:paraId="517AB1DF">
            <w:pPr>
              <w:jc w:val="right"/>
              <w:rPr>
                <w:rFonts w:ascii="宋体" w:hAnsi="宋体" w:eastAsia="宋体" w:cs="宋体"/>
                <w:sz w:val="24"/>
                <w:szCs w:val="24"/>
              </w:rPr>
            </w:pPr>
            <w:r>
              <w:rPr>
                <w:rFonts w:hint="eastAsia" w:ascii="宋体" w:hAnsi="宋体" w:eastAsia="宋体"/>
              </w:rPr>
              <w:t>2,582,940</w:t>
            </w:r>
          </w:p>
        </w:tc>
        <w:tc>
          <w:tcPr>
            <w:tcW w:w="0" w:type="auto"/>
            <w:shd w:val="clear" w:color="auto" w:fill="auto"/>
          </w:tcPr>
          <w:p w14:paraId="4BC17D22">
            <w:pPr>
              <w:jc w:val="right"/>
              <w:rPr>
                <w:rFonts w:ascii="宋体" w:hAnsi="宋体" w:eastAsia="宋体" w:cs="宋体"/>
                <w:sz w:val="24"/>
                <w:szCs w:val="24"/>
              </w:rPr>
            </w:pPr>
            <w:r>
              <w:rPr>
                <w:rFonts w:hint="eastAsia" w:ascii="宋体" w:hAnsi="宋体" w:eastAsia="宋体"/>
              </w:rPr>
              <w:t>92,779,204.80</w:t>
            </w:r>
          </w:p>
        </w:tc>
        <w:tc>
          <w:tcPr>
            <w:tcW w:w="0" w:type="auto"/>
            <w:shd w:val="clear" w:color="auto" w:fill="auto"/>
          </w:tcPr>
          <w:p w14:paraId="4ABEB6EC">
            <w:pPr>
              <w:jc w:val="right"/>
              <w:rPr>
                <w:rFonts w:ascii="宋体" w:hAnsi="宋体" w:eastAsia="宋体" w:cs="宋体"/>
                <w:sz w:val="24"/>
                <w:szCs w:val="24"/>
              </w:rPr>
            </w:pPr>
            <w:r>
              <w:rPr>
                <w:rFonts w:hint="eastAsia" w:ascii="宋体" w:hAnsi="宋体" w:eastAsia="宋体"/>
              </w:rPr>
              <w:t>2.76</w:t>
            </w:r>
          </w:p>
        </w:tc>
      </w:tr>
      <w:tr w14:paraId="0E87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FBA7DA">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0A853A4">
            <w:pPr>
              <w:jc w:val="center"/>
              <w:rPr>
                <w:rFonts w:ascii="宋体" w:hAnsi="宋体" w:eastAsia="宋体" w:cs="宋体"/>
                <w:sz w:val="24"/>
                <w:szCs w:val="24"/>
              </w:rPr>
            </w:pPr>
            <w:r>
              <w:rPr>
                <w:rFonts w:hint="eastAsia" w:ascii="宋体" w:hAnsi="宋体" w:eastAsia="宋体"/>
              </w:rPr>
              <w:t>600839</w:t>
            </w:r>
          </w:p>
        </w:tc>
        <w:tc>
          <w:tcPr>
            <w:tcW w:w="0" w:type="auto"/>
            <w:shd w:val="clear" w:color="auto" w:fill="auto"/>
          </w:tcPr>
          <w:p w14:paraId="118128C1">
            <w:pPr>
              <w:jc w:val="center"/>
              <w:rPr>
                <w:rFonts w:ascii="宋体" w:hAnsi="宋体" w:eastAsia="宋体" w:cs="宋体"/>
                <w:sz w:val="24"/>
                <w:szCs w:val="24"/>
              </w:rPr>
            </w:pPr>
            <w:r>
              <w:rPr>
                <w:rFonts w:hint="eastAsia" w:ascii="宋体" w:hAnsi="宋体" w:eastAsia="宋体"/>
              </w:rPr>
              <w:t>四川长虹</w:t>
            </w:r>
          </w:p>
        </w:tc>
        <w:tc>
          <w:tcPr>
            <w:tcW w:w="0" w:type="auto"/>
            <w:shd w:val="clear" w:color="auto" w:fill="auto"/>
          </w:tcPr>
          <w:p w14:paraId="2BE7CF5C">
            <w:pPr>
              <w:jc w:val="right"/>
              <w:rPr>
                <w:rFonts w:ascii="宋体" w:hAnsi="宋体" w:eastAsia="宋体" w:cs="宋体"/>
                <w:sz w:val="24"/>
                <w:szCs w:val="24"/>
              </w:rPr>
            </w:pPr>
            <w:r>
              <w:rPr>
                <w:rFonts w:hint="eastAsia" w:ascii="宋体" w:hAnsi="宋体" w:eastAsia="宋体"/>
              </w:rPr>
              <w:t>8,526,270</w:t>
            </w:r>
          </w:p>
        </w:tc>
        <w:tc>
          <w:tcPr>
            <w:tcW w:w="0" w:type="auto"/>
            <w:shd w:val="clear" w:color="auto" w:fill="auto"/>
          </w:tcPr>
          <w:p w14:paraId="0E104B5C">
            <w:pPr>
              <w:jc w:val="right"/>
              <w:rPr>
                <w:rFonts w:ascii="宋体" w:hAnsi="宋体" w:eastAsia="宋体" w:cs="宋体"/>
                <w:sz w:val="24"/>
                <w:szCs w:val="24"/>
              </w:rPr>
            </w:pPr>
            <w:r>
              <w:rPr>
                <w:rFonts w:hint="eastAsia" w:ascii="宋体" w:hAnsi="宋体" w:eastAsia="宋体"/>
              </w:rPr>
              <w:t>82,875,344.40</w:t>
            </w:r>
          </w:p>
        </w:tc>
        <w:tc>
          <w:tcPr>
            <w:tcW w:w="0" w:type="auto"/>
            <w:shd w:val="clear" w:color="auto" w:fill="auto"/>
          </w:tcPr>
          <w:p w14:paraId="355B0596">
            <w:pPr>
              <w:jc w:val="right"/>
              <w:rPr>
                <w:rFonts w:ascii="宋体" w:hAnsi="宋体" w:eastAsia="宋体" w:cs="宋体"/>
                <w:sz w:val="24"/>
                <w:szCs w:val="24"/>
              </w:rPr>
            </w:pPr>
            <w:r>
              <w:rPr>
                <w:rFonts w:hint="eastAsia" w:ascii="宋体" w:hAnsi="宋体" w:eastAsia="宋体"/>
              </w:rPr>
              <w:t>2.46</w:t>
            </w:r>
          </w:p>
        </w:tc>
      </w:tr>
      <w:tr w14:paraId="1DCEF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05864A">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706B8AC2">
            <w:pPr>
              <w:jc w:val="center"/>
              <w:rPr>
                <w:rFonts w:ascii="宋体" w:hAnsi="宋体" w:eastAsia="宋体" w:cs="宋体"/>
                <w:sz w:val="24"/>
                <w:szCs w:val="24"/>
              </w:rPr>
            </w:pPr>
            <w:r>
              <w:rPr>
                <w:rFonts w:hint="eastAsia" w:ascii="宋体" w:hAnsi="宋体" w:eastAsia="宋体"/>
              </w:rPr>
              <w:t>002558</w:t>
            </w:r>
          </w:p>
        </w:tc>
        <w:tc>
          <w:tcPr>
            <w:tcW w:w="0" w:type="auto"/>
            <w:shd w:val="clear" w:color="auto" w:fill="auto"/>
          </w:tcPr>
          <w:p w14:paraId="3F60A50C">
            <w:pPr>
              <w:jc w:val="center"/>
              <w:rPr>
                <w:rFonts w:ascii="宋体" w:hAnsi="宋体" w:eastAsia="宋体" w:cs="宋体"/>
                <w:sz w:val="24"/>
                <w:szCs w:val="24"/>
              </w:rPr>
            </w:pPr>
            <w:r>
              <w:rPr>
                <w:rFonts w:hint="eastAsia" w:ascii="宋体" w:hAnsi="宋体" w:eastAsia="宋体"/>
              </w:rPr>
              <w:t>巨人网络</w:t>
            </w:r>
          </w:p>
        </w:tc>
        <w:tc>
          <w:tcPr>
            <w:tcW w:w="0" w:type="auto"/>
            <w:shd w:val="clear" w:color="auto" w:fill="auto"/>
          </w:tcPr>
          <w:p w14:paraId="0AE41F07">
            <w:pPr>
              <w:jc w:val="right"/>
              <w:rPr>
                <w:rFonts w:ascii="宋体" w:hAnsi="宋体" w:eastAsia="宋体" w:cs="宋体"/>
                <w:sz w:val="24"/>
                <w:szCs w:val="24"/>
              </w:rPr>
            </w:pPr>
            <w:r>
              <w:rPr>
                <w:rFonts w:hint="eastAsia" w:ascii="宋体" w:hAnsi="宋体" w:eastAsia="宋体"/>
              </w:rPr>
              <w:t>3,126,800</w:t>
            </w:r>
          </w:p>
        </w:tc>
        <w:tc>
          <w:tcPr>
            <w:tcW w:w="0" w:type="auto"/>
            <w:shd w:val="clear" w:color="auto" w:fill="auto"/>
          </w:tcPr>
          <w:p w14:paraId="7E520B83">
            <w:pPr>
              <w:jc w:val="right"/>
              <w:rPr>
                <w:rFonts w:ascii="宋体" w:hAnsi="宋体" w:eastAsia="宋体" w:cs="宋体"/>
                <w:sz w:val="24"/>
                <w:szCs w:val="24"/>
              </w:rPr>
            </w:pPr>
            <w:r>
              <w:rPr>
                <w:rFonts w:hint="eastAsia" w:ascii="宋体" w:hAnsi="宋体" w:eastAsia="宋体"/>
              </w:rPr>
              <w:t>73,636,140.00</w:t>
            </w:r>
          </w:p>
        </w:tc>
        <w:tc>
          <w:tcPr>
            <w:tcW w:w="0" w:type="auto"/>
            <w:shd w:val="clear" w:color="auto" w:fill="auto"/>
          </w:tcPr>
          <w:p w14:paraId="5FE58D61">
            <w:pPr>
              <w:jc w:val="right"/>
              <w:rPr>
                <w:rFonts w:ascii="宋体" w:hAnsi="宋体" w:eastAsia="宋体" w:cs="宋体"/>
                <w:sz w:val="24"/>
                <w:szCs w:val="24"/>
              </w:rPr>
            </w:pPr>
            <w:r>
              <w:rPr>
                <w:rFonts w:hint="eastAsia" w:ascii="宋体" w:hAnsi="宋体" w:eastAsia="宋体"/>
              </w:rPr>
              <w:t>2.19</w:t>
            </w:r>
          </w:p>
        </w:tc>
      </w:tr>
    </w:tbl>
    <w:p w14:paraId="7503691D">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p w14:paraId="63E16400">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17030BE9">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p w14:paraId="5671CDD7">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12753D8E">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14:paraId="4C04DEA6">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78A20D41">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14:paraId="79EAF2B6">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469C4134">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231702CF">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1F866C0D">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0FE7854">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597AD87D">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1589A8D0">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0FDCC6F3">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4D582314">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04B8A850">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14:paraId="643CA1C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30DDEB7B">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14:paraId="43FC7402">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50B0E6C4">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3F931937">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52A497D2">
      <w:pPr>
        <w:pStyle w:val="7"/>
        <w:spacing w:before="0" w:beforeAutospacing="0" w:after="0" w:afterAutospacing="0" w:line="360" w:lineRule="auto"/>
        <w:ind w:firstLine="420"/>
        <w:rPr>
          <w:sz w:val="21"/>
          <w:szCs w:val="21"/>
        </w:rPr>
      </w:pPr>
      <w:r>
        <w:rPr>
          <w:rFonts w:hint="eastAsia"/>
          <w:sz w:val="21"/>
          <w:szCs w:val="21"/>
        </w:rPr>
        <w:t>本基金投资的前十名证券的发行主体中，重庆农村商业银行股份有限公司在报告编制前一年受到中国人民银行长寿分行、国家外汇管理局重庆市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1DF06293">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550555C1">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76D8C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9D420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42D738B">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71193F17">
            <w:pPr>
              <w:jc w:val="center"/>
              <w:rPr>
                <w:rFonts w:ascii="宋体" w:hAnsi="宋体" w:eastAsia="宋体" w:cs="宋体"/>
                <w:sz w:val="24"/>
                <w:szCs w:val="24"/>
              </w:rPr>
            </w:pPr>
            <w:r>
              <w:rPr>
                <w:rFonts w:hint="eastAsia" w:ascii="宋体" w:hAnsi="宋体" w:eastAsia="宋体"/>
              </w:rPr>
              <w:t>金额(元)</w:t>
            </w:r>
          </w:p>
        </w:tc>
      </w:tr>
      <w:tr w14:paraId="4BD6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AEC85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5F725F5">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4512E858">
            <w:pPr>
              <w:jc w:val="right"/>
              <w:rPr>
                <w:rFonts w:ascii="宋体" w:hAnsi="宋体" w:eastAsia="宋体" w:cs="宋体"/>
                <w:sz w:val="24"/>
                <w:szCs w:val="24"/>
              </w:rPr>
            </w:pPr>
            <w:r>
              <w:rPr>
                <w:rFonts w:hint="eastAsia" w:ascii="宋体" w:hAnsi="宋体" w:eastAsia="宋体"/>
              </w:rPr>
              <w:t>18,289.52</w:t>
            </w:r>
          </w:p>
        </w:tc>
      </w:tr>
      <w:tr w14:paraId="4CAF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4AF55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73EE7C6">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2E8C1F39">
            <w:pPr>
              <w:jc w:val="right"/>
              <w:rPr>
                <w:rFonts w:ascii="宋体" w:hAnsi="宋体" w:eastAsia="宋体" w:cs="宋体"/>
                <w:sz w:val="24"/>
                <w:szCs w:val="24"/>
              </w:rPr>
            </w:pPr>
            <w:r>
              <w:rPr>
                <w:rFonts w:hint="eastAsia" w:ascii="宋体" w:hAnsi="宋体" w:eastAsia="宋体"/>
              </w:rPr>
              <w:t>31,398.94</w:t>
            </w:r>
          </w:p>
        </w:tc>
      </w:tr>
      <w:tr w14:paraId="59FB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0F0C9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7D48F1B">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702E897C">
            <w:pPr>
              <w:jc w:val="right"/>
              <w:rPr>
                <w:rFonts w:ascii="宋体" w:hAnsi="宋体" w:eastAsia="宋体" w:cs="宋体"/>
                <w:sz w:val="24"/>
                <w:szCs w:val="24"/>
              </w:rPr>
            </w:pPr>
            <w:r>
              <w:rPr>
                <w:rFonts w:hint="eastAsia" w:ascii="宋体" w:hAnsi="宋体" w:eastAsia="宋体"/>
              </w:rPr>
              <w:t>-</w:t>
            </w:r>
          </w:p>
        </w:tc>
      </w:tr>
      <w:tr w14:paraId="7F76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79BC7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6AD0839">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028CBF66">
            <w:pPr>
              <w:jc w:val="right"/>
              <w:rPr>
                <w:rFonts w:ascii="宋体" w:hAnsi="宋体" w:eastAsia="宋体" w:cs="宋体"/>
                <w:sz w:val="24"/>
                <w:szCs w:val="24"/>
              </w:rPr>
            </w:pPr>
            <w:r>
              <w:rPr>
                <w:rFonts w:hint="eastAsia" w:ascii="宋体" w:hAnsi="宋体" w:eastAsia="宋体"/>
              </w:rPr>
              <w:t>-</w:t>
            </w:r>
          </w:p>
        </w:tc>
      </w:tr>
      <w:tr w14:paraId="20914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922EDB">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32ED6DE">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06956633">
            <w:pPr>
              <w:jc w:val="right"/>
              <w:rPr>
                <w:rFonts w:ascii="宋体" w:hAnsi="宋体" w:eastAsia="宋体" w:cs="宋体"/>
                <w:sz w:val="24"/>
                <w:szCs w:val="24"/>
              </w:rPr>
            </w:pPr>
            <w:r>
              <w:rPr>
                <w:rFonts w:hint="eastAsia" w:ascii="宋体" w:hAnsi="宋体" w:eastAsia="宋体"/>
              </w:rPr>
              <w:t>-</w:t>
            </w:r>
          </w:p>
        </w:tc>
      </w:tr>
      <w:tr w14:paraId="00B97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5C7B35">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60163C6">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003ABE29">
            <w:pPr>
              <w:jc w:val="right"/>
              <w:rPr>
                <w:rFonts w:ascii="宋体" w:hAnsi="宋体" w:eastAsia="宋体" w:cs="宋体"/>
                <w:sz w:val="24"/>
                <w:szCs w:val="24"/>
              </w:rPr>
            </w:pPr>
            <w:r>
              <w:rPr>
                <w:rFonts w:hint="eastAsia" w:ascii="宋体" w:hAnsi="宋体" w:eastAsia="宋体"/>
              </w:rPr>
              <w:t>-</w:t>
            </w:r>
          </w:p>
        </w:tc>
      </w:tr>
      <w:tr w14:paraId="00FE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9B0D8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25B318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47BA3022">
            <w:pPr>
              <w:jc w:val="right"/>
              <w:rPr>
                <w:rFonts w:ascii="宋体" w:hAnsi="宋体" w:eastAsia="宋体" w:cs="宋体"/>
                <w:sz w:val="24"/>
                <w:szCs w:val="24"/>
              </w:rPr>
            </w:pPr>
            <w:r>
              <w:rPr>
                <w:rFonts w:hint="eastAsia" w:ascii="宋体" w:hAnsi="宋体" w:eastAsia="宋体"/>
              </w:rPr>
              <w:t>75,616.24</w:t>
            </w:r>
          </w:p>
        </w:tc>
      </w:tr>
      <w:tr w14:paraId="22DA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0DF48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DEA8B4F">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8340CC3">
            <w:pPr>
              <w:jc w:val="right"/>
              <w:rPr>
                <w:rFonts w:ascii="宋体" w:hAnsi="宋体" w:eastAsia="宋体" w:cs="宋体"/>
                <w:sz w:val="24"/>
                <w:szCs w:val="24"/>
              </w:rPr>
            </w:pPr>
            <w:r>
              <w:rPr>
                <w:rFonts w:hint="eastAsia" w:ascii="宋体" w:hAnsi="宋体" w:eastAsia="宋体"/>
              </w:rPr>
              <w:t>-</w:t>
            </w:r>
          </w:p>
        </w:tc>
      </w:tr>
      <w:tr w14:paraId="2447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B76004">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747978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3B93B1F">
            <w:pPr>
              <w:jc w:val="right"/>
              <w:rPr>
                <w:rFonts w:ascii="宋体" w:hAnsi="宋体" w:eastAsia="宋体" w:cs="宋体"/>
                <w:sz w:val="24"/>
                <w:szCs w:val="24"/>
              </w:rPr>
            </w:pPr>
            <w:r>
              <w:rPr>
                <w:rFonts w:hint="eastAsia" w:ascii="宋体" w:hAnsi="宋体" w:eastAsia="宋体"/>
              </w:rPr>
              <w:t>125,304.70</w:t>
            </w:r>
          </w:p>
        </w:tc>
      </w:tr>
    </w:tbl>
    <w:p w14:paraId="4A715418">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6045BEAE">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2A5BA00B">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2423D5EA">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1B873641">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19BB1CE6">
      <w:pPr>
        <w:pStyle w:val="7"/>
        <w:spacing w:before="0" w:beforeAutospacing="0" w:after="0" w:afterAutospacing="0" w:line="360" w:lineRule="auto"/>
        <w:ind w:firstLine="420"/>
        <w:rPr>
          <w:sz w:val="21"/>
          <w:szCs w:val="21"/>
        </w:rPr>
      </w:pPr>
      <w:bookmarkStart w:id="121" w:name="chapter_level1_13_60_section_2_end"/>
      <w:bookmarkEnd w:id="121"/>
      <w:r>
        <w:rPr>
          <w:rFonts w:hint="eastAsia"/>
          <w:sz w:val="21"/>
          <w:szCs w:val="21"/>
        </w:rPr>
        <w:t>由于四舍五入的原因，分项之和与合计项之间可能存在尾差。</w:t>
      </w:r>
      <w:bookmarkStart w:id="122" w:name="field_0_fundportfolio_1_end"/>
      <w:bookmarkEnd w:id="122"/>
      <w:r>
        <w:rPr>
          <w:rFonts w:hint="eastAsia"/>
          <w:sz w:val="21"/>
          <w:szCs w:val="21"/>
        </w:rPr>
        <w:t xml:space="preserve">  </w:t>
      </w:r>
    </w:p>
    <w:p w14:paraId="1F48036B">
      <w:pPr>
        <w:widowControl/>
        <w:jc w:val="left"/>
        <w:rPr>
          <w:rFonts w:ascii="宋体" w:hAnsi="宋体" w:eastAsia="宋体"/>
        </w:rPr>
      </w:pPr>
      <w:r>
        <w:rPr>
          <w:rFonts w:ascii="宋体" w:hAnsi="宋体" w:eastAsia="宋体"/>
        </w:rPr>
        <w:br w:type="page"/>
      </w:r>
    </w:p>
    <w:p w14:paraId="4D6BC1DC">
      <w:pPr>
        <w:pStyle w:val="2"/>
        <w:jc w:val="center"/>
        <w:rPr>
          <w:rFonts w:ascii="宋体" w:hAnsi="宋体" w:eastAsia="宋体"/>
          <w:sz w:val="30"/>
        </w:rPr>
      </w:pPr>
      <w:bookmarkStart w:id="123" w:name="_Toc207986791"/>
      <w:bookmarkStart w:id="124" w:name="chapter_level1_14_3500"/>
      <w:r>
        <w:rPr>
          <w:rFonts w:hint="eastAsia" w:ascii="宋体" w:hAnsi="宋体" w:eastAsia="宋体"/>
          <w:sz w:val="30"/>
        </w:rPr>
        <w:t>第十一部分 基金的业绩</w:t>
      </w:r>
      <w:bookmarkEnd w:id="123"/>
      <w:bookmarkEnd w:id="124"/>
    </w:p>
    <w:p w14:paraId="31084948">
      <w:pPr>
        <w:pStyle w:val="7"/>
        <w:spacing w:before="0" w:beforeAutospacing="0" w:after="0" w:afterAutospacing="0" w:line="360" w:lineRule="auto"/>
        <w:ind w:firstLine="420"/>
        <w:rPr>
          <w:sz w:val="21"/>
          <w:szCs w:val="21"/>
        </w:rPr>
      </w:pPr>
      <w:bookmarkStart w:id="125" w:name="chapter_level1_14_3500_section_1"/>
      <w:bookmarkEnd w:id="12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FA6572B">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D69436D">
      <w:pPr>
        <w:pStyle w:val="7"/>
        <w:spacing w:before="0" w:beforeAutospacing="0" w:after="0" w:afterAutospacing="0" w:line="360" w:lineRule="auto"/>
        <w:ind w:firstLine="420"/>
        <w:rPr>
          <w:sz w:val="21"/>
          <w:szCs w:val="21"/>
        </w:rPr>
      </w:pPr>
      <w:bookmarkStart w:id="126" w:name="field_0_indatatable_1_start"/>
      <w:bookmarkEnd w:id="126"/>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9"/>
        <w:gridCol w:w="1022"/>
        <w:gridCol w:w="1232"/>
        <w:gridCol w:w="1195"/>
        <w:gridCol w:w="741"/>
        <w:gridCol w:w="846"/>
      </w:tblGrid>
      <w:tr w14:paraId="5AF4F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F9D61A">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1A84B7F8">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3E15B1CD">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7DFBE2CD">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637F3B9">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063A09D">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6EED31F0">
            <w:pPr>
              <w:jc w:val="center"/>
              <w:rPr>
                <w:rFonts w:ascii="宋体" w:hAnsi="宋体" w:eastAsia="宋体" w:cs="宋体"/>
                <w:sz w:val="24"/>
                <w:szCs w:val="24"/>
              </w:rPr>
            </w:pPr>
            <w:r>
              <w:rPr>
                <w:rFonts w:hint="eastAsia" w:ascii="宋体" w:hAnsi="宋体" w:eastAsia="宋体"/>
              </w:rPr>
              <w:t>②-④</w:t>
            </w:r>
          </w:p>
        </w:tc>
      </w:tr>
      <w:tr w14:paraId="3EC8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6201E0">
            <w:pPr>
              <w:jc w:val="center"/>
              <w:rPr>
                <w:rFonts w:ascii="宋体" w:hAnsi="宋体" w:eastAsia="宋体" w:cs="宋体"/>
                <w:sz w:val="24"/>
                <w:szCs w:val="24"/>
              </w:rPr>
            </w:pPr>
            <w:r>
              <w:rPr>
                <w:rFonts w:hint="eastAsia" w:ascii="宋体" w:hAnsi="宋体" w:eastAsia="宋体"/>
              </w:rPr>
              <w:t>2022.08.15-2022.12.31</w:t>
            </w:r>
          </w:p>
        </w:tc>
        <w:tc>
          <w:tcPr>
            <w:tcW w:w="0" w:type="auto"/>
            <w:shd w:val="clear" w:color="auto" w:fill="auto"/>
          </w:tcPr>
          <w:p w14:paraId="16BB38F9">
            <w:pPr>
              <w:jc w:val="center"/>
              <w:rPr>
                <w:rFonts w:ascii="宋体" w:hAnsi="宋体" w:eastAsia="宋体" w:cs="宋体"/>
                <w:sz w:val="24"/>
                <w:szCs w:val="24"/>
              </w:rPr>
            </w:pPr>
            <w:r>
              <w:rPr>
                <w:rFonts w:hint="eastAsia" w:ascii="宋体" w:hAnsi="宋体" w:eastAsia="宋体"/>
              </w:rPr>
              <w:t>-12.30%</w:t>
            </w:r>
          </w:p>
        </w:tc>
        <w:tc>
          <w:tcPr>
            <w:tcW w:w="0" w:type="auto"/>
            <w:shd w:val="clear" w:color="auto" w:fill="auto"/>
          </w:tcPr>
          <w:p w14:paraId="79F55802">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14:paraId="47710852">
            <w:pPr>
              <w:jc w:val="center"/>
              <w:rPr>
                <w:rFonts w:ascii="宋体" w:hAnsi="宋体" w:eastAsia="宋体" w:cs="宋体"/>
                <w:sz w:val="24"/>
                <w:szCs w:val="24"/>
              </w:rPr>
            </w:pPr>
            <w:r>
              <w:rPr>
                <w:rFonts w:hint="eastAsia" w:ascii="宋体" w:hAnsi="宋体" w:eastAsia="宋体"/>
              </w:rPr>
              <w:t>-13.23%</w:t>
            </w:r>
          </w:p>
        </w:tc>
        <w:tc>
          <w:tcPr>
            <w:tcW w:w="0" w:type="auto"/>
            <w:shd w:val="clear" w:color="auto" w:fill="auto"/>
          </w:tcPr>
          <w:p w14:paraId="29AD8753">
            <w:pPr>
              <w:jc w:val="center"/>
              <w:rPr>
                <w:rFonts w:ascii="宋体" w:hAnsi="宋体" w:eastAsia="宋体" w:cs="宋体"/>
                <w:sz w:val="24"/>
                <w:szCs w:val="24"/>
              </w:rPr>
            </w:pPr>
            <w:r>
              <w:rPr>
                <w:rFonts w:hint="eastAsia" w:ascii="宋体" w:hAnsi="宋体" w:eastAsia="宋体"/>
              </w:rPr>
              <w:t>1.35%</w:t>
            </w:r>
          </w:p>
        </w:tc>
        <w:tc>
          <w:tcPr>
            <w:tcW w:w="0" w:type="auto"/>
            <w:shd w:val="clear" w:color="auto" w:fill="auto"/>
          </w:tcPr>
          <w:p w14:paraId="3BC28190">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02497E65">
            <w:pPr>
              <w:jc w:val="center"/>
              <w:rPr>
                <w:rFonts w:ascii="宋体" w:hAnsi="宋体" w:eastAsia="宋体" w:cs="宋体"/>
                <w:sz w:val="24"/>
                <w:szCs w:val="24"/>
              </w:rPr>
            </w:pPr>
            <w:r>
              <w:rPr>
                <w:rFonts w:hint="eastAsia" w:ascii="宋体" w:hAnsi="宋体" w:eastAsia="宋体"/>
              </w:rPr>
              <w:t>-0.06%</w:t>
            </w:r>
          </w:p>
        </w:tc>
      </w:tr>
      <w:tr w14:paraId="6390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ABB0AD">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22C2EBB7">
            <w:pPr>
              <w:jc w:val="center"/>
              <w:rPr>
                <w:rFonts w:ascii="宋体" w:hAnsi="宋体" w:eastAsia="宋体" w:cs="宋体"/>
                <w:sz w:val="24"/>
                <w:szCs w:val="24"/>
              </w:rPr>
            </w:pPr>
            <w:r>
              <w:rPr>
                <w:rFonts w:hint="eastAsia" w:ascii="宋体" w:hAnsi="宋体" w:eastAsia="宋体"/>
              </w:rPr>
              <w:t>-9.70%</w:t>
            </w:r>
          </w:p>
        </w:tc>
        <w:tc>
          <w:tcPr>
            <w:tcW w:w="0" w:type="auto"/>
            <w:shd w:val="clear" w:color="auto" w:fill="auto"/>
          </w:tcPr>
          <w:p w14:paraId="6FB6C0A2">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2F6EF4A1">
            <w:pPr>
              <w:jc w:val="center"/>
              <w:rPr>
                <w:rFonts w:ascii="宋体" w:hAnsi="宋体" w:eastAsia="宋体" w:cs="宋体"/>
                <w:sz w:val="24"/>
                <w:szCs w:val="24"/>
              </w:rPr>
            </w:pPr>
            <w:r>
              <w:rPr>
                <w:rFonts w:hint="eastAsia" w:ascii="宋体" w:hAnsi="宋体" w:eastAsia="宋体"/>
              </w:rPr>
              <w:t>-11.80%</w:t>
            </w:r>
          </w:p>
        </w:tc>
        <w:tc>
          <w:tcPr>
            <w:tcW w:w="0" w:type="auto"/>
            <w:shd w:val="clear" w:color="auto" w:fill="auto"/>
          </w:tcPr>
          <w:p w14:paraId="537A0BAD">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14:paraId="3F26BC4B">
            <w:pPr>
              <w:jc w:val="center"/>
              <w:rPr>
                <w:rFonts w:ascii="宋体" w:hAnsi="宋体" w:eastAsia="宋体" w:cs="宋体"/>
                <w:sz w:val="24"/>
                <w:szCs w:val="24"/>
              </w:rPr>
            </w:pPr>
            <w:r>
              <w:rPr>
                <w:rFonts w:hint="eastAsia" w:ascii="宋体" w:hAnsi="宋体" w:eastAsia="宋体"/>
              </w:rPr>
              <w:t>2.10%</w:t>
            </w:r>
          </w:p>
        </w:tc>
        <w:tc>
          <w:tcPr>
            <w:tcW w:w="0" w:type="auto"/>
            <w:shd w:val="clear" w:color="auto" w:fill="auto"/>
          </w:tcPr>
          <w:p w14:paraId="7331A0B9">
            <w:pPr>
              <w:jc w:val="center"/>
              <w:rPr>
                <w:rFonts w:ascii="宋体" w:hAnsi="宋体" w:eastAsia="宋体" w:cs="宋体"/>
                <w:sz w:val="24"/>
                <w:szCs w:val="24"/>
              </w:rPr>
            </w:pPr>
            <w:r>
              <w:rPr>
                <w:rFonts w:hint="eastAsia" w:ascii="宋体" w:hAnsi="宋体" w:eastAsia="宋体"/>
              </w:rPr>
              <w:t>-0.01%</w:t>
            </w:r>
          </w:p>
        </w:tc>
      </w:tr>
      <w:tr w14:paraId="463A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21D29B">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7BB3241">
            <w:pPr>
              <w:jc w:val="center"/>
              <w:rPr>
                <w:rFonts w:ascii="宋体" w:hAnsi="宋体" w:eastAsia="宋体" w:cs="宋体"/>
                <w:sz w:val="24"/>
                <w:szCs w:val="24"/>
              </w:rPr>
            </w:pPr>
            <w:r>
              <w:rPr>
                <w:rFonts w:hint="eastAsia" w:ascii="宋体" w:hAnsi="宋体" w:eastAsia="宋体"/>
              </w:rPr>
              <w:t>-0.49%</w:t>
            </w:r>
          </w:p>
        </w:tc>
        <w:tc>
          <w:tcPr>
            <w:tcW w:w="0" w:type="auto"/>
            <w:shd w:val="clear" w:color="auto" w:fill="auto"/>
          </w:tcPr>
          <w:p w14:paraId="39CC7619">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14:paraId="1D814AD4">
            <w:pPr>
              <w:jc w:val="center"/>
              <w:rPr>
                <w:rFonts w:ascii="宋体" w:hAnsi="宋体" w:eastAsia="宋体" w:cs="宋体"/>
                <w:sz w:val="24"/>
                <w:szCs w:val="24"/>
              </w:rPr>
            </w:pPr>
            <w:r>
              <w:rPr>
                <w:rFonts w:hint="eastAsia" w:ascii="宋体" w:hAnsi="宋体" w:eastAsia="宋体"/>
              </w:rPr>
              <w:t>-2.74%</w:t>
            </w:r>
          </w:p>
        </w:tc>
        <w:tc>
          <w:tcPr>
            <w:tcW w:w="0" w:type="auto"/>
            <w:shd w:val="clear" w:color="auto" w:fill="auto"/>
          </w:tcPr>
          <w:p w14:paraId="4F407864">
            <w:pPr>
              <w:jc w:val="center"/>
              <w:rPr>
                <w:rFonts w:ascii="宋体" w:hAnsi="宋体" w:eastAsia="宋体" w:cs="宋体"/>
                <w:sz w:val="24"/>
                <w:szCs w:val="24"/>
              </w:rPr>
            </w:pPr>
            <w:r>
              <w:rPr>
                <w:rFonts w:hint="eastAsia" w:ascii="宋体" w:hAnsi="宋体" w:eastAsia="宋体"/>
              </w:rPr>
              <w:t>1.74%</w:t>
            </w:r>
          </w:p>
        </w:tc>
        <w:tc>
          <w:tcPr>
            <w:tcW w:w="0" w:type="auto"/>
            <w:shd w:val="clear" w:color="auto" w:fill="auto"/>
          </w:tcPr>
          <w:p w14:paraId="3A05DF82">
            <w:pPr>
              <w:jc w:val="center"/>
              <w:rPr>
                <w:rFonts w:ascii="宋体" w:hAnsi="宋体" w:eastAsia="宋体" w:cs="宋体"/>
                <w:sz w:val="24"/>
                <w:szCs w:val="24"/>
              </w:rPr>
            </w:pPr>
            <w:r>
              <w:rPr>
                <w:rFonts w:hint="eastAsia" w:ascii="宋体" w:hAnsi="宋体" w:eastAsia="宋体"/>
              </w:rPr>
              <w:t>2.25%</w:t>
            </w:r>
          </w:p>
        </w:tc>
        <w:tc>
          <w:tcPr>
            <w:tcW w:w="0" w:type="auto"/>
            <w:shd w:val="clear" w:color="auto" w:fill="auto"/>
          </w:tcPr>
          <w:p w14:paraId="1AFB28DC">
            <w:pPr>
              <w:jc w:val="center"/>
              <w:rPr>
                <w:rFonts w:ascii="宋体" w:hAnsi="宋体" w:eastAsia="宋体" w:cs="宋体"/>
                <w:sz w:val="24"/>
                <w:szCs w:val="24"/>
              </w:rPr>
            </w:pPr>
            <w:r>
              <w:rPr>
                <w:rFonts w:hint="eastAsia" w:ascii="宋体" w:hAnsi="宋体" w:eastAsia="宋体"/>
              </w:rPr>
              <w:t>-0.02%</w:t>
            </w:r>
          </w:p>
        </w:tc>
      </w:tr>
      <w:tr w14:paraId="5DCA1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3DA5F2">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23FF7F0D">
            <w:pPr>
              <w:jc w:val="center"/>
              <w:rPr>
                <w:rFonts w:ascii="宋体" w:hAnsi="宋体" w:eastAsia="宋体" w:cs="宋体"/>
                <w:sz w:val="24"/>
                <w:szCs w:val="24"/>
              </w:rPr>
            </w:pPr>
            <w:r>
              <w:rPr>
                <w:rFonts w:hint="eastAsia" w:ascii="宋体" w:hAnsi="宋体" w:eastAsia="宋体"/>
              </w:rPr>
              <w:t>4.95%</w:t>
            </w:r>
          </w:p>
        </w:tc>
        <w:tc>
          <w:tcPr>
            <w:tcW w:w="0" w:type="auto"/>
            <w:shd w:val="clear" w:color="auto" w:fill="auto"/>
          </w:tcPr>
          <w:p w14:paraId="0792671D">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22F3E6CC">
            <w:pPr>
              <w:jc w:val="center"/>
              <w:rPr>
                <w:rFonts w:ascii="宋体" w:hAnsi="宋体" w:eastAsia="宋体" w:cs="宋体"/>
                <w:sz w:val="24"/>
                <w:szCs w:val="24"/>
              </w:rPr>
            </w:pPr>
            <w:r>
              <w:rPr>
                <w:rFonts w:hint="eastAsia" w:ascii="宋体" w:hAnsi="宋体" w:eastAsia="宋体"/>
              </w:rPr>
              <w:t>4.06%</w:t>
            </w:r>
          </w:p>
        </w:tc>
        <w:tc>
          <w:tcPr>
            <w:tcW w:w="0" w:type="auto"/>
            <w:shd w:val="clear" w:color="auto" w:fill="auto"/>
          </w:tcPr>
          <w:p w14:paraId="44C33A00">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5B901BD5">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14:paraId="493EF8E1">
            <w:pPr>
              <w:jc w:val="center"/>
              <w:rPr>
                <w:rFonts w:ascii="宋体" w:hAnsi="宋体" w:eastAsia="宋体" w:cs="宋体"/>
                <w:sz w:val="24"/>
                <w:szCs w:val="24"/>
              </w:rPr>
            </w:pPr>
            <w:r>
              <w:rPr>
                <w:rFonts w:hint="eastAsia" w:ascii="宋体" w:hAnsi="宋体" w:eastAsia="宋体"/>
              </w:rPr>
              <w:t>-0.03%</w:t>
            </w:r>
          </w:p>
        </w:tc>
      </w:tr>
      <w:tr w14:paraId="5D54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CCD167">
            <w:pPr>
              <w:jc w:val="center"/>
              <w:rPr>
                <w:rFonts w:ascii="宋体" w:hAnsi="宋体" w:eastAsia="宋体" w:cs="宋体"/>
                <w:sz w:val="24"/>
                <w:szCs w:val="24"/>
              </w:rPr>
            </w:pPr>
            <w:r>
              <w:rPr>
                <w:rFonts w:hint="eastAsia" w:ascii="宋体" w:hAnsi="宋体" w:eastAsia="宋体"/>
              </w:rPr>
              <w:t>2022.08.15-2025.06.30</w:t>
            </w:r>
          </w:p>
        </w:tc>
        <w:tc>
          <w:tcPr>
            <w:tcW w:w="0" w:type="auto"/>
            <w:shd w:val="clear" w:color="auto" w:fill="auto"/>
          </w:tcPr>
          <w:p w14:paraId="11BF0271">
            <w:pPr>
              <w:jc w:val="center"/>
              <w:rPr>
                <w:rFonts w:ascii="宋体" w:hAnsi="宋体" w:eastAsia="宋体" w:cs="宋体"/>
                <w:sz w:val="24"/>
                <w:szCs w:val="24"/>
              </w:rPr>
            </w:pPr>
            <w:r>
              <w:rPr>
                <w:rFonts w:hint="eastAsia" w:ascii="宋体" w:hAnsi="宋体" w:eastAsia="宋体"/>
              </w:rPr>
              <w:t>-17.30%</w:t>
            </w:r>
          </w:p>
        </w:tc>
        <w:tc>
          <w:tcPr>
            <w:tcW w:w="0" w:type="auto"/>
            <w:shd w:val="clear" w:color="auto" w:fill="auto"/>
          </w:tcPr>
          <w:p w14:paraId="6322F132">
            <w:pPr>
              <w:jc w:val="center"/>
              <w:rPr>
                <w:rFonts w:ascii="宋体" w:hAnsi="宋体" w:eastAsia="宋体" w:cs="宋体"/>
                <w:sz w:val="24"/>
                <w:szCs w:val="24"/>
              </w:rPr>
            </w:pPr>
            <w:r>
              <w:rPr>
                <w:rFonts w:hint="eastAsia" w:ascii="宋体" w:hAnsi="宋体" w:eastAsia="宋体"/>
              </w:rPr>
              <w:t>1.35%</w:t>
            </w:r>
          </w:p>
        </w:tc>
        <w:tc>
          <w:tcPr>
            <w:tcW w:w="0" w:type="auto"/>
            <w:shd w:val="clear" w:color="auto" w:fill="auto"/>
          </w:tcPr>
          <w:p w14:paraId="66847DF3">
            <w:pPr>
              <w:jc w:val="center"/>
              <w:rPr>
                <w:rFonts w:ascii="宋体" w:hAnsi="宋体" w:eastAsia="宋体" w:cs="宋体"/>
                <w:sz w:val="24"/>
                <w:szCs w:val="24"/>
              </w:rPr>
            </w:pPr>
            <w:r>
              <w:rPr>
                <w:rFonts w:hint="eastAsia" w:ascii="宋体" w:hAnsi="宋体" w:eastAsia="宋体"/>
              </w:rPr>
              <w:t>-22.54%</w:t>
            </w:r>
          </w:p>
        </w:tc>
        <w:tc>
          <w:tcPr>
            <w:tcW w:w="0" w:type="auto"/>
            <w:shd w:val="clear" w:color="auto" w:fill="auto"/>
          </w:tcPr>
          <w:p w14:paraId="60744B66">
            <w:pPr>
              <w:jc w:val="center"/>
              <w:rPr>
                <w:rFonts w:ascii="宋体" w:hAnsi="宋体" w:eastAsia="宋体" w:cs="宋体"/>
                <w:sz w:val="24"/>
                <w:szCs w:val="24"/>
              </w:rPr>
            </w:pPr>
            <w:r>
              <w:rPr>
                <w:rFonts w:hint="eastAsia" w:ascii="宋体" w:hAnsi="宋体" w:eastAsia="宋体"/>
              </w:rPr>
              <w:t>1.37%</w:t>
            </w:r>
          </w:p>
        </w:tc>
        <w:tc>
          <w:tcPr>
            <w:tcW w:w="0" w:type="auto"/>
            <w:shd w:val="clear" w:color="auto" w:fill="auto"/>
          </w:tcPr>
          <w:p w14:paraId="1A53DBB1">
            <w:pPr>
              <w:jc w:val="center"/>
              <w:rPr>
                <w:rFonts w:ascii="宋体" w:hAnsi="宋体" w:eastAsia="宋体" w:cs="宋体"/>
                <w:sz w:val="24"/>
                <w:szCs w:val="24"/>
              </w:rPr>
            </w:pPr>
            <w:r>
              <w:rPr>
                <w:rFonts w:hint="eastAsia" w:ascii="宋体" w:hAnsi="宋体" w:eastAsia="宋体"/>
              </w:rPr>
              <w:t>5.24%</w:t>
            </w:r>
          </w:p>
        </w:tc>
        <w:tc>
          <w:tcPr>
            <w:tcW w:w="0" w:type="auto"/>
            <w:shd w:val="clear" w:color="auto" w:fill="auto"/>
          </w:tcPr>
          <w:p w14:paraId="507FFA32">
            <w:pPr>
              <w:jc w:val="center"/>
              <w:rPr>
                <w:rFonts w:ascii="宋体" w:hAnsi="宋体" w:eastAsia="宋体" w:cs="宋体"/>
                <w:sz w:val="24"/>
                <w:szCs w:val="24"/>
              </w:rPr>
            </w:pPr>
            <w:r>
              <w:rPr>
                <w:rFonts w:hint="eastAsia" w:ascii="宋体" w:hAnsi="宋体" w:eastAsia="宋体"/>
              </w:rPr>
              <w:t>-0.02%</w:t>
            </w:r>
          </w:p>
        </w:tc>
      </w:tr>
    </w:tbl>
    <w:p w14:paraId="1A2DE915">
      <w:pPr>
        <w:pStyle w:val="7"/>
        <w:spacing w:before="0" w:beforeAutospacing="0" w:after="0" w:afterAutospacing="0" w:line="360" w:lineRule="auto"/>
        <w:ind w:firstLine="420"/>
        <w:rPr>
          <w:sz w:val="21"/>
          <w:szCs w:val="21"/>
        </w:rPr>
      </w:pPr>
      <w:bookmarkStart w:id="127" w:name="chapter_level1_14_3500_section_1_end"/>
      <w:bookmarkEnd w:id="127"/>
      <w:bookmarkStart w:id="128" w:name="field_0_indatatable_1_end"/>
      <w:bookmarkEnd w:id="128"/>
      <w:r>
        <w:rPr>
          <w:rFonts w:hint="eastAsia"/>
          <w:sz w:val="21"/>
          <w:szCs w:val="21"/>
        </w:rPr>
        <w:t xml:space="preserve">  </w:t>
      </w:r>
    </w:p>
    <w:p w14:paraId="30F205DD">
      <w:pPr>
        <w:widowControl/>
        <w:jc w:val="left"/>
        <w:rPr>
          <w:rFonts w:ascii="宋体" w:hAnsi="宋体" w:eastAsia="宋体"/>
        </w:rPr>
      </w:pPr>
      <w:r>
        <w:rPr>
          <w:rFonts w:ascii="宋体" w:hAnsi="宋体" w:eastAsia="宋体"/>
        </w:rPr>
        <w:br w:type="page"/>
      </w:r>
    </w:p>
    <w:p w14:paraId="09163B6B">
      <w:pPr>
        <w:pStyle w:val="2"/>
        <w:jc w:val="center"/>
        <w:rPr>
          <w:rFonts w:ascii="宋体" w:hAnsi="宋体" w:eastAsia="宋体"/>
          <w:sz w:val="30"/>
        </w:rPr>
      </w:pPr>
      <w:bookmarkStart w:id="129" w:name="chapter_level1_15_62"/>
      <w:bookmarkStart w:id="130" w:name="_Toc207986792"/>
      <w:r>
        <w:rPr>
          <w:rFonts w:hint="eastAsia" w:ascii="宋体" w:hAnsi="宋体" w:eastAsia="宋体"/>
          <w:sz w:val="30"/>
        </w:rPr>
        <w:t>第十二部分  基金的财产</w:t>
      </w:r>
      <w:bookmarkEnd w:id="129"/>
      <w:bookmarkEnd w:id="130"/>
    </w:p>
    <w:p w14:paraId="66D5E3FC">
      <w:pPr>
        <w:pStyle w:val="7"/>
        <w:spacing w:before="0" w:beforeAutospacing="0" w:after="0" w:afterAutospacing="0" w:line="360" w:lineRule="auto"/>
        <w:ind w:firstLine="420"/>
        <w:rPr>
          <w:sz w:val="21"/>
          <w:szCs w:val="21"/>
        </w:rPr>
      </w:pPr>
      <w:bookmarkStart w:id="131" w:name="chapter_level1_15_62_section_1"/>
      <w:bookmarkEnd w:id="131"/>
      <w:r>
        <w:rPr>
          <w:rStyle w:val="11"/>
          <w:rFonts w:hint="eastAsia"/>
          <w:sz w:val="21"/>
          <w:szCs w:val="21"/>
        </w:rPr>
        <w:t>一、基金资产总值</w:t>
      </w:r>
    </w:p>
    <w:p w14:paraId="657FE8FB">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2A29372A">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71B4AF56">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61120136">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28691001">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73178A40">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4F60D483">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199B563C">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2" w:name="chapter_level1_15_62_section_1_end"/>
      <w:bookmarkEnd w:id="132"/>
      <w:r>
        <w:rPr>
          <w:rFonts w:hint="eastAsia"/>
          <w:sz w:val="21"/>
          <w:szCs w:val="21"/>
        </w:rPr>
        <w:t xml:space="preserve">得相互抵销。非因基金财产本身承担的债务，不得对基金财产强制执行。 </w:t>
      </w:r>
    </w:p>
    <w:p w14:paraId="4F56680A">
      <w:pPr>
        <w:widowControl/>
        <w:jc w:val="left"/>
        <w:rPr>
          <w:rFonts w:ascii="宋体" w:hAnsi="宋体" w:eastAsia="宋体"/>
        </w:rPr>
      </w:pPr>
      <w:r>
        <w:rPr>
          <w:rFonts w:ascii="宋体" w:hAnsi="宋体" w:eastAsia="宋体"/>
        </w:rPr>
        <w:br w:type="page"/>
      </w:r>
    </w:p>
    <w:p w14:paraId="17063EDC">
      <w:pPr>
        <w:pStyle w:val="2"/>
        <w:jc w:val="center"/>
        <w:rPr>
          <w:rFonts w:ascii="宋体" w:hAnsi="宋体" w:eastAsia="宋体"/>
          <w:sz w:val="30"/>
        </w:rPr>
      </w:pPr>
      <w:bookmarkStart w:id="133" w:name="_Toc207986793"/>
      <w:bookmarkStart w:id="134" w:name="chapter_level1_16_63"/>
      <w:r>
        <w:rPr>
          <w:rFonts w:hint="eastAsia" w:ascii="宋体" w:hAnsi="宋体" w:eastAsia="宋体"/>
          <w:sz w:val="30"/>
        </w:rPr>
        <w:t>第十三部分  基金资产的估值</w:t>
      </w:r>
      <w:bookmarkEnd w:id="133"/>
      <w:bookmarkEnd w:id="134"/>
    </w:p>
    <w:p w14:paraId="7EDBAB78">
      <w:pPr>
        <w:pStyle w:val="7"/>
        <w:spacing w:before="0" w:beforeAutospacing="0" w:after="0" w:afterAutospacing="0" w:line="360" w:lineRule="auto"/>
        <w:ind w:firstLine="420"/>
        <w:rPr>
          <w:sz w:val="21"/>
          <w:szCs w:val="21"/>
        </w:rPr>
      </w:pPr>
      <w:bookmarkStart w:id="135" w:name="chapter_level1_16_63_section_1"/>
      <w:bookmarkEnd w:id="135"/>
      <w:r>
        <w:rPr>
          <w:rStyle w:val="11"/>
          <w:rFonts w:hint="eastAsia"/>
          <w:sz w:val="21"/>
          <w:szCs w:val="21"/>
        </w:rPr>
        <w:t>一、估值日</w:t>
      </w:r>
    </w:p>
    <w:p w14:paraId="4D29CAFA">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本基金的估值日为本基金相关的证券、期货交易场所的交易日以及国家法律法规规定需要对外披露基金净值的非交易日。 </w:t>
      </w:r>
    </w:p>
    <w:p w14:paraId="50FE39BE">
      <w:pPr>
        <w:pStyle w:val="7"/>
        <w:spacing w:before="0" w:beforeAutospacing="0" w:after="0" w:afterAutospacing="0" w:line="360" w:lineRule="auto"/>
        <w:ind w:firstLine="420"/>
        <w:rPr>
          <w:sz w:val="21"/>
          <w:szCs w:val="21"/>
        </w:rPr>
      </w:pPr>
      <w:r>
        <w:rPr>
          <w:rStyle w:val="11"/>
          <w:rFonts w:hint="eastAsia"/>
          <w:sz w:val="21"/>
          <w:szCs w:val="21"/>
        </w:rPr>
        <w:t>二、估值对象</w:t>
      </w:r>
    </w:p>
    <w:p w14:paraId="3AED9352">
      <w:pPr>
        <w:pStyle w:val="7"/>
        <w:spacing w:before="0" w:beforeAutospacing="0" w:after="0" w:afterAutospacing="0" w:line="360" w:lineRule="auto"/>
        <w:ind w:firstLine="420"/>
        <w:rPr>
          <w:sz w:val="21"/>
          <w:szCs w:val="21"/>
        </w:rPr>
      </w:pPr>
      <w:r>
        <w:rPr>
          <w:rFonts w:hint="eastAsia"/>
          <w:sz w:val="21"/>
          <w:szCs w:val="21"/>
        </w:rPr>
        <w:t xml:space="preserve">基金所拥有的股票、债券、股指期货合约、国债期货合约、股票期权合约和银行存款本息、应收款项、资产支持证券、其它投资等资产及负债。 </w:t>
      </w:r>
    </w:p>
    <w:p w14:paraId="47C34B69">
      <w:pPr>
        <w:pStyle w:val="7"/>
        <w:spacing w:before="0" w:beforeAutospacing="0" w:after="0" w:afterAutospacing="0" w:line="360" w:lineRule="auto"/>
        <w:ind w:firstLine="420"/>
        <w:rPr>
          <w:sz w:val="21"/>
          <w:szCs w:val="21"/>
        </w:rPr>
      </w:pPr>
      <w:r>
        <w:rPr>
          <w:rStyle w:val="11"/>
          <w:rFonts w:hint="eastAsia"/>
          <w:sz w:val="21"/>
          <w:szCs w:val="21"/>
        </w:rPr>
        <w:t>三、估值原则</w:t>
      </w:r>
    </w:p>
    <w:p w14:paraId="7593290D">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0BF1AEA8">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429EEAD7">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6B1CE488">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67EB5E95">
      <w:pPr>
        <w:pStyle w:val="7"/>
        <w:spacing w:before="0" w:beforeAutospacing="0" w:after="0" w:afterAutospacing="0" w:line="360" w:lineRule="auto"/>
        <w:ind w:firstLine="420"/>
        <w:rPr>
          <w:sz w:val="21"/>
          <w:szCs w:val="21"/>
        </w:rPr>
      </w:pPr>
      <w:r>
        <w:rPr>
          <w:rStyle w:val="11"/>
          <w:rFonts w:hint="eastAsia"/>
          <w:sz w:val="21"/>
          <w:szCs w:val="21"/>
        </w:rPr>
        <w:t>四、估值方法</w:t>
      </w:r>
    </w:p>
    <w:p w14:paraId="4AB60683">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42DD7317">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确定公允价值；估值日无交易的，且最近交易日后未发生影响公允价值计量的重大事件的，以最近交易日的市价（收盘价）估值；如有充足证据表明估值日或最近交易日的市价不能真实反映公允价值的，应对市价进行调整，确定公允价格； </w:t>
      </w:r>
    </w:p>
    <w:p w14:paraId="09C054E9">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0598F0B0">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3AF5A756">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交易所上市实行全价交易的固收品种（可转债除外），选取第三方估值机构提供的估值全价减去估值全价中所含的固收品种（税后）应收利息得到的净价进行估值； </w:t>
      </w:r>
    </w:p>
    <w:p w14:paraId="44C34326">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288F4EAE">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6794CA19">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75F40CD0">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64ED2709">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95A49D0">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44C7A0D5">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21A8AD5D">
      <w:pPr>
        <w:pStyle w:val="7"/>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5、本基金投资股指期货合约，一般以估值当日结算价确定公允价值，估值当日无结算价的，且最近交易日后未发生影响公允价值计量的重大事件的，采用最近交易日结算价估值。 </w:t>
      </w:r>
    </w:p>
    <w:p w14:paraId="17F04F92">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433A91C4">
      <w:pPr>
        <w:pStyle w:val="7"/>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32010EF2">
      <w:pPr>
        <w:pStyle w:val="7"/>
        <w:spacing w:before="0" w:beforeAutospacing="0" w:after="0" w:afterAutospacing="0" w:line="360" w:lineRule="auto"/>
        <w:ind w:firstLine="420"/>
        <w:rPr>
          <w:sz w:val="21"/>
          <w:szCs w:val="21"/>
        </w:rPr>
      </w:pPr>
      <w:r>
        <w:rPr>
          <w:rFonts w:hint="eastAsia"/>
          <w:sz w:val="21"/>
          <w:szCs w:val="21"/>
        </w:rPr>
        <w:t xml:space="preserve">8、基金投资国债期货合约，一般以估值当日结算价进行估值，估值当日无结算价的，且最近交易日后经济环境未发生重大变化的，采用最近交易日结算价估值。 </w:t>
      </w:r>
    </w:p>
    <w:p w14:paraId="0A3B1090">
      <w:pPr>
        <w:pStyle w:val="7"/>
        <w:spacing w:before="0" w:beforeAutospacing="0" w:after="0" w:afterAutospacing="0" w:line="360" w:lineRule="auto"/>
        <w:ind w:firstLine="420"/>
        <w:rPr>
          <w:sz w:val="21"/>
          <w:szCs w:val="21"/>
        </w:rPr>
      </w:pPr>
      <w:r>
        <w:rPr>
          <w:rFonts w:hint="eastAsia"/>
          <w:sz w:val="21"/>
          <w:szCs w:val="21"/>
        </w:rPr>
        <w:t xml:space="preserve">9、本基金参与转融通证券出借业务的，应参照行业协会的相关规定进行估值。 </w:t>
      </w:r>
    </w:p>
    <w:p w14:paraId="2210AF2A">
      <w:pPr>
        <w:pStyle w:val="7"/>
        <w:spacing w:before="0" w:beforeAutospacing="0" w:after="0" w:afterAutospacing="0" w:line="360" w:lineRule="auto"/>
        <w:ind w:firstLine="420"/>
        <w:rPr>
          <w:sz w:val="21"/>
          <w:szCs w:val="21"/>
        </w:rPr>
      </w:pPr>
      <w:r>
        <w:rPr>
          <w:rFonts w:hint="eastAsia"/>
          <w:sz w:val="21"/>
          <w:szCs w:val="21"/>
        </w:rPr>
        <w:t xml:space="preserve">10、汇率 </w:t>
      </w:r>
    </w:p>
    <w:p w14:paraId="4B04CF4A">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518C3548">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11、如有确凿证据表明按上述方法进行估值不能客观反映其公允价值的，基金管理人可根据具体情况与基金托管人商定后，按最能反映公允价值的方法估值。 </w:t>
      </w:r>
    </w:p>
    <w:p w14:paraId="6F01D261">
      <w:pPr>
        <w:pStyle w:val="7"/>
        <w:spacing w:before="0" w:beforeAutospacing="0" w:after="0" w:afterAutospacing="0" w:line="360" w:lineRule="auto"/>
        <w:ind w:firstLine="420"/>
        <w:rPr>
          <w:sz w:val="21"/>
          <w:szCs w:val="21"/>
        </w:rPr>
      </w:pPr>
      <w:r>
        <w:rPr>
          <w:rFonts w:hint="eastAsia"/>
          <w:sz w:val="21"/>
          <w:szCs w:val="21"/>
        </w:rPr>
        <w:t xml:space="preserve">12、相关法律法规以及监管部门有强制规定的，从其规定。如有新增事项，按国家最新规定估值。 </w:t>
      </w:r>
    </w:p>
    <w:p w14:paraId="2F7DE81E">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61728A5A">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6" w:name="chapter_level1_16_63_section_1_end"/>
      <w:bookmarkEnd w:id="136"/>
      <w:r>
        <w:rPr>
          <w:rFonts w:hint="eastAsia"/>
          <w:sz w:val="21"/>
          <w:szCs w:val="21"/>
        </w:rPr>
        <w:t xml:space="preserve">对外予以公布。 </w:t>
      </w:r>
    </w:p>
    <w:p w14:paraId="57D79EB3">
      <w:pPr>
        <w:pStyle w:val="7"/>
        <w:spacing w:before="0" w:beforeAutospacing="0" w:after="0" w:afterAutospacing="0" w:line="360" w:lineRule="auto"/>
        <w:ind w:firstLine="420"/>
        <w:rPr>
          <w:sz w:val="21"/>
          <w:szCs w:val="21"/>
        </w:rPr>
      </w:pPr>
      <w:bookmarkStart w:id="137" w:name="chapter_level1_16_63_section_2"/>
      <w:bookmarkEnd w:id="137"/>
      <w:r>
        <w:rPr>
          <w:rStyle w:val="11"/>
          <w:rFonts w:hint="eastAsia"/>
          <w:sz w:val="21"/>
          <w:szCs w:val="21"/>
        </w:rPr>
        <w:t>五、估值程序</w:t>
      </w:r>
    </w:p>
    <w:p w14:paraId="5266C840">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38" w:name="field_63_netdecimalvalue_1"/>
      <w:r>
        <w:rPr>
          <w:sz w:val="21"/>
          <w:szCs w:val="21"/>
        </w:rPr>
        <w:t>0.0001</w:t>
      </w:r>
      <w:bookmarkEnd w:id="138"/>
      <w:r>
        <w:rPr>
          <w:rFonts w:hint="eastAsia"/>
          <w:sz w:val="21"/>
          <w:szCs w:val="21"/>
        </w:rPr>
        <w:t>元，小数点后第</w:t>
      </w:r>
      <w:bookmarkStart w:id="139" w:name="field_0_netdecimaladd1_2"/>
      <w:r>
        <w:rPr>
          <w:sz w:val="21"/>
          <w:szCs w:val="21"/>
        </w:rPr>
        <w:t>5</w:t>
      </w:r>
      <w:bookmarkEnd w:id="139"/>
      <w:r>
        <w:rPr>
          <w:rFonts w:hint="eastAsia"/>
          <w:sz w:val="21"/>
          <w:szCs w:val="21"/>
        </w:rPr>
        <w:t xml:space="preserve">位四舍五入。基金管理人可以设立大额赎回情形下的净值精度应急调整机制。国家另有规定的，从其规定。 </w:t>
      </w:r>
    </w:p>
    <w:p w14:paraId="70AF73BA">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基金管理人于每个工作日计算基金资产净值及基金份额净值，并按规定公告。 </w:t>
      </w:r>
    </w:p>
    <w:p w14:paraId="000E3CEA">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1E7647A0">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7B66D692">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40" w:name="field_63_netdecimal_2"/>
      <w:r>
        <w:rPr>
          <w:sz w:val="21"/>
          <w:szCs w:val="21"/>
        </w:rPr>
        <w:t>4</w:t>
      </w:r>
      <w:bookmarkEnd w:id="140"/>
      <w:r>
        <w:rPr>
          <w:rFonts w:hint="eastAsia"/>
          <w:sz w:val="21"/>
          <w:szCs w:val="21"/>
        </w:rPr>
        <w:t>位以内(含第</w:t>
      </w:r>
      <w:bookmarkStart w:id="141" w:name="field_63_netdecimal_3"/>
      <w:r>
        <w:rPr>
          <w:sz w:val="21"/>
          <w:szCs w:val="21"/>
        </w:rPr>
        <w:t>4</w:t>
      </w:r>
      <w:bookmarkEnd w:id="141"/>
      <w:r>
        <w:rPr>
          <w:rFonts w:hint="eastAsia"/>
          <w:sz w:val="21"/>
          <w:szCs w:val="21"/>
        </w:rPr>
        <w:t xml:space="preserve">位)发生估值错误时，视为基金份额净值错误。 </w:t>
      </w:r>
    </w:p>
    <w:p w14:paraId="1390654E">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06849760">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7ED4D4C1">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8A8F701">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D9A14DA">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2232E7FE">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3832BEE">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8026C14">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37C1C18">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1ABC72AE">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7413DEFC">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2F3C6084">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679682E9">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84623C0">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76E9D4AB">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609A819A">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5F3978F2">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049089B">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10AAA1EC">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7EBA5772">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65DC8D2B">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15A02B18">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E1010C3">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59933921">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（4）前述内容如法律法规或者监管部门另有规定的，从其规定。如果行业另有通行做法，基金管理人和基金托管人应本着平等和保护基金份额持有人利益的原则进行协商。 </w:t>
      </w:r>
    </w:p>
    <w:p w14:paraId="4611B87D">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3DB07DF1">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59695F59">
      <w:pPr>
        <w:pStyle w:val="7"/>
        <w:spacing w:before="0" w:beforeAutospacing="0" w:after="0" w:afterAutospacing="0" w:line="360" w:lineRule="auto"/>
        <w:ind w:firstLine="420"/>
        <w:rPr>
          <w:sz w:val="21"/>
          <w:szCs w:val="21"/>
        </w:rPr>
      </w:pPr>
      <w:r>
        <w:rPr>
          <w:rFonts w:hint="eastAsia"/>
          <w:sz w:val="21"/>
          <w:szCs w:val="21"/>
        </w:rPr>
        <w:t xml:space="preserve">2、因不可抗力或者其他情形致使基金管理人、基金托管人无法准确评估基金资产价值时； </w:t>
      </w:r>
    </w:p>
    <w:p w14:paraId="6D10963D">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22FA13BF">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4、法律法规、中国证监会和基金合同认定的其它情形。 </w:t>
      </w:r>
    </w:p>
    <w:p w14:paraId="2167702C">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7CBB844A">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14:paraId="3D8B7AA2">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7796B852">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14:paraId="54BA3746">
      <w:pPr>
        <w:pStyle w:val="7"/>
        <w:spacing w:before="0" w:beforeAutospacing="0" w:after="0" w:afterAutospacing="0" w:line="360" w:lineRule="auto"/>
        <w:ind w:firstLine="420"/>
        <w:rPr>
          <w:sz w:val="21"/>
          <w:szCs w:val="21"/>
        </w:rPr>
      </w:pPr>
      <w:r>
        <w:rPr>
          <w:rFonts w:hint="eastAsia"/>
          <w:sz w:val="21"/>
          <w:szCs w:val="21"/>
        </w:rPr>
        <w:t>2、由于不可抗力原因，或证券/期货交易所、指数编制机构及登记结算公司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w:t>
      </w:r>
      <w:bookmarkStart w:id="142" w:name="chapter_level1_16_63_section_2_end"/>
      <w:bookmarkEnd w:id="142"/>
      <w:r>
        <w:rPr>
          <w:rFonts w:hint="eastAsia"/>
          <w:sz w:val="21"/>
          <w:szCs w:val="21"/>
        </w:rPr>
        <w:t xml:space="preserve">的影响。 </w:t>
      </w:r>
    </w:p>
    <w:p w14:paraId="54A20E88">
      <w:pPr>
        <w:widowControl/>
        <w:jc w:val="left"/>
        <w:rPr>
          <w:rFonts w:ascii="宋体" w:hAnsi="宋体" w:eastAsia="宋体"/>
        </w:rPr>
      </w:pPr>
      <w:r>
        <w:rPr>
          <w:rFonts w:ascii="宋体" w:hAnsi="宋体" w:eastAsia="宋体"/>
        </w:rPr>
        <w:br w:type="page"/>
      </w:r>
    </w:p>
    <w:p w14:paraId="1D0FE3AD">
      <w:pPr>
        <w:pStyle w:val="2"/>
        <w:jc w:val="center"/>
        <w:rPr>
          <w:rFonts w:ascii="宋体" w:hAnsi="宋体" w:eastAsia="宋体"/>
          <w:sz w:val="30"/>
        </w:rPr>
      </w:pPr>
      <w:bookmarkStart w:id="143" w:name="_Toc207986794"/>
      <w:bookmarkStart w:id="144" w:name="chapter_level1_17_64"/>
      <w:r>
        <w:rPr>
          <w:rFonts w:hint="eastAsia" w:ascii="宋体" w:hAnsi="宋体" w:eastAsia="宋体"/>
          <w:sz w:val="30"/>
        </w:rPr>
        <w:t>第十四部分  基金的收益与分配</w:t>
      </w:r>
      <w:bookmarkEnd w:id="143"/>
      <w:bookmarkEnd w:id="144"/>
    </w:p>
    <w:p w14:paraId="26A6D0D3">
      <w:pPr>
        <w:pStyle w:val="7"/>
        <w:spacing w:before="0" w:beforeAutospacing="0" w:after="0" w:afterAutospacing="0" w:line="360" w:lineRule="auto"/>
        <w:ind w:firstLine="420"/>
        <w:rPr>
          <w:sz w:val="21"/>
          <w:szCs w:val="21"/>
        </w:rPr>
      </w:pPr>
      <w:bookmarkStart w:id="145" w:name="chapter_level1_17_64_section_1"/>
      <w:bookmarkEnd w:id="145"/>
      <w:r>
        <w:rPr>
          <w:rStyle w:val="11"/>
          <w:rFonts w:hint="eastAsia"/>
          <w:sz w:val="21"/>
          <w:szCs w:val="21"/>
        </w:rPr>
        <w:t>一、基金收益分配原则</w:t>
      </w:r>
    </w:p>
    <w:p w14:paraId="22A4C86C">
      <w:pPr>
        <w:pStyle w:val="7"/>
        <w:spacing w:before="0" w:beforeAutospacing="0" w:after="0" w:afterAutospacing="0" w:line="360" w:lineRule="auto"/>
        <w:ind w:firstLine="420"/>
        <w:rPr>
          <w:sz w:val="21"/>
          <w:szCs w:val="21"/>
        </w:rPr>
      </w:pPr>
      <w:r>
        <w:rPr>
          <w:rFonts w:hint="eastAsia"/>
          <w:sz w:val="21"/>
          <w:szCs w:val="21"/>
        </w:rPr>
        <w:t xml:space="preserve">1、本基金基金份额的收益分配方式采用现金分红； </w:t>
      </w:r>
    </w:p>
    <w:p w14:paraId="34272406">
      <w:pPr>
        <w:pStyle w:val="7"/>
        <w:spacing w:before="0" w:beforeAutospacing="0" w:after="0" w:afterAutospacing="0" w:line="360" w:lineRule="auto"/>
        <w:ind w:firstLine="420"/>
        <w:rPr>
          <w:sz w:val="21"/>
          <w:szCs w:val="21"/>
        </w:rPr>
      </w:pPr>
      <w:r>
        <w:rPr>
          <w:rFonts w:hint="eastAsia"/>
          <w:sz w:val="21"/>
          <w:szCs w:val="21"/>
        </w:rPr>
        <w:t xml:space="preserve">2、当收益评价日核定的基金份额净值增长率超过标的指数同期增长率达到0.01%以上时，可进行收益分配； </w:t>
      </w:r>
    </w:p>
    <w:p w14:paraId="22F2ADC2">
      <w:pPr>
        <w:pStyle w:val="7"/>
        <w:spacing w:before="0" w:beforeAutospacing="0" w:after="0" w:afterAutospacing="0" w:line="360" w:lineRule="auto"/>
        <w:ind w:firstLine="420"/>
        <w:rPr>
          <w:sz w:val="21"/>
          <w:szCs w:val="21"/>
        </w:rPr>
      </w:pPr>
      <w:r>
        <w:rPr>
          <w:rFonts w:hint="eastAsia"/>
          <w:sz w:val="21"/>
          <w:szCs w:val="21"/>
        </w:rPr>
        <w:t xml:space="preserve">3、本基金以使收益分配后基金份额净值增长率尽可能贴近标的指数同期增长率为原则进行收益分配。基于本基金的性质和特点，本基金收益分配不须以弥补浮动亏损为前提，收益分配后有可能使除息后的基金份额净值低于面值； </w:t>
      </w:r>
    </w:p>
    <w:p w14:paraId="21A76516">
      <w:pPr>
        <w:pStyle w:val="7"/>
        <w:spacing w:before="0" w:beforeAutospacing="0" w:after="0" w:afterAutospacing="0" w:line="360" w:lineRule="auto"/>
        <w:ind w:firstLine="420"/>
        <w:rPr>
          <w:sz w:val="21"/>
          <w:szCs w:val="21"/>
        </w:rPr>
      </w:pPr>
      <w:r>
        <w:rPr>
          <w:rFonts w:hint="eastAsia"/>
          <w:sz w:val="21"/>
          <w:szCs w:val="21"/>
        </w:rPr>
        <w:t xml:space="preserve">4、若《基金合同》生效不满3个月可不进行收益分配； </w:t>
      </w:r>
    </w:p>
    <w:p w14:paraId="4059958E">
      <w:pPr>
        <w:pStyle w:val="7"/>
        <w:spacing w:before="0" w:beforeAutospacing="0" w:after="0" w:afterAutospacing="0" w:line="360" w:lineRule="auto"/>
        <w:ind w:firstLine="420"/>
        <w:rPr>
          <w:sz w:val="21"/>
          <w:szCs w:val="21"/>
        </w:rPr>
      </w:pPr>
      <w:r>
        <w:rPr>
          <w:rFonts w:hint="eastAsia"/>
          <w:sz w:val="21"/>
          <w:szCs w:val="21"/>
        </w:rPr>
        <w:t xml:space="preserve">5、每一基金份额享有同等分配权； </w:t>
      </w:r>
    </w:p>
    <w:p w14:paraId="3BF12889">
      <w:pPr>
        <w:pStyle w:val="7"/>
        <w:spacing w:before="0" w:beforeAutospacing="0" w:after="0" w:afterAutospacing="0" w:line="360" w:lineRule="auto"/>
        <w:ind w:firstLine="420"/>
        <w:rPr>
          <w:sz w:val="21"/>
          <w:szCs w:val="21"/>
        </w:rPr>
      </w:pPr>
      <w:r>
        <w:rPr>
          <w:rFonts w:hint="eastAsia"/>
          <w:sz w:val="21"/>
          <w:szCs w:val="21"/>
        </w:rPr>
        <w:t xml:space="preserve">6、法律法规或监管机关、证券交易所、登记机构另有规定的，从其规定。 </w:t>
      </w:r>
    </w:p>
    <w:p w14:paraId="23D9C00E">
      <w:pPr>
        <w:pStyle w:val="7"/>
        <w:spacing w:before="0" w:beforeAutospacing="0" w:after="0" w:afterAutospacing="0" w:line="360" w:lineRule="auto"/>
        <w:ind w:firstLine="420"/>
        <w:rPr>
          <w:sz w:val="21"/>
          <w:szCs w:val="21"/>
        </w:rPr>
      </w:pPr>
      <w:r>
        <w:rPr>
          <w:rFonts w:hint="eastAsia"/>
          <w:sz w:val="21"/>
          <w:szCs w:val="21"/>
        </w:rPr>
        <w:t xml:space="preserve">在不违反法律法规且对基金份额持有人利益无实质性不利影响的前提下，基金管理人经与基金托管人协商一致后可对基金收益分配原则进行调整，并及时公告。 </w:t>
      </w:r>
    </w:p>
    <w:p w14:paraId="0B3E830C">
      <w:pPr>
        <w:pStyle w:val="7"/>
        <w:spacing w:before="0" w:beforeAutospacing="0" w:after="0" w:afterAutospacing="0" w:line="360" w:lineRule="auto"/>
        <w:ind w:firstLine="420"/>
        <w:rPr>
          <w:sz w:val="21"/>
          <w:szCs w:val="21"/>
        </w:rPr>
      </w:pPr>
      <w:r>
        <w:rPr>
          <w:rStyle w:val="11"/>
          <w:rFonts w:hint="eastAsia"/>
          <w:sz w:val="21"/>
          <w:szCs w:val="21"/>
        </w:rPr>
        <w:t>二、基金收益分配比例及金额的确定原则</w:t>
      </w:r>
    </w:p>
    <w:p w14:paraId="4C863BB8">
      <w:pPr>
        <w:pStyle w:val="7"/>
        <w:spacing w:before="0" w:beforeAutospacing="0" w:after="0" w:afterAutospacing="0" w:line="360" w:lineRule="auto"/>
        <w:ind w:firstLine="420"/>
        <w:rPr>
          <w:sz w:val="21"/>
          <w:szCs w:val="21"/>
        </w:rPr>
      </w:pPr>
      <w:r>
        <w:rPr>
          <w:rFonts w:hint="eastAsia"/>
          <w:sz w:val="21"/>
          <w:szCs w:val="21"/>
        </w:rPr>
        <w:t xml:space="preserve">1、在收益评价日，基金管理人计算基金份额净值增长率、标的指数同期增长率。 </w:t>
      </w:r>
    </w:p>
    <w:p w14:paraId="567AC612">
      <w:pPr>
        <w:pStyle w:val="7"/>
        <w:spacing w:before="0" w:beforeAutospacing="0" w:after="0" w:afterAutospacing="0" w:line="360" w:lineRule="auto"/>
        <w:ind w:firstLine="420"/>
        <w:rPr>
          <w:sz w:val="21"/>
          <w:szCs w:val="21"/>
        </w:rPr>
      </w:pPr>
      <w:r>
        <w:rPr>
          <w:rFonts w:hint="eastAsia"/>
          <w:sz w:val="21"/>
          <w:szCs w:val="21"/>
        </w:rPr>
        <w:t xml:space="preserve">基金收益评价日本基金相对标的指数的超额收益率＝基金份额净值增长率－标的指数同期增长率。 </w:t>
      </w:r>
    </w:p>
    <w:p w14:paraId="6CE96E33">
      <w:pPr>
        <w:pStyle w:val="7"/>
        <w:spacing w:before="0" w:beforeAutospacing="0" w:after="0" w:afterAutospacing="0" w:line="360" w:lineRule="auto"/>
        <w:ind w:firstLine="420"/>
        <w:rPr>
          <w:sz w:val="21"/>
          <w:szCs w:val="21"/>
        </w:rPr>
      </w:pPr>
      <w:r>
        <w:rPr>
          <w:rFonts w:hint="eastAsia"/>
          <w:sz w:val="21"/>
          <w:szCs w:val="21"/>
        </w:rPr>
        <w:t xml:space="preserve">基金份额净值增长率为收益评价日基金份额净值与基金上市前一日基金份额净值之比减去1乘以100%；标的指数同期增长率为收益评价日标的指数收盘价与基金上市前一日标的指数收盘价之比减去1乘以100%。 </w:t>
      </w:r>
    </w:p>
    <w:p w14:paraId="54ABD236">
      <w:pPr>
        <w:pStyle w:val="7"/>
        <w:spacing w:before="0" w:beforeAutospacing="0" w:after="0" w:afterAutospacing="0" w:line="360" w:lineRule="auto"/>
        <w:ind w:firstLine="420"/>
        <w:rPr>
          <w:sz w:val="21"/>
          <w:szCs w:val="21"/>
        </w:rPr>
      </w:pPr>
      <w:r>
        <w:rPr>
          <w:rFonts w:hint="eastAsia"/>
          <w:sz w:val="21"/>
          <w:szCs w:val="21"/>
        </w:rPr>
        <w:t xml:space="preserve">期间如发生基金份额折算、拆分或合并，则以基金份额折算日、经拆分或合并调整后的基金份额折算日为初始日重新计算上述指标。 </w:t>
      </w:r>
    </w:p>
    <w:p w14:paraId="3DDEE536">
      <w:pPr>
        <w:pStyle w:val="7"/>
        <w:spacing w:before="0" w:beforeAutospacing="0" w:after="0" w:afterAutospacing="0" w:line="360" w:lineRule="auto"/>
        <w:ind w:firstLine="420"/>
        <w:rPr>
          <w:sz w:val="21"/>
          <w:szCs w:val="21"/>
        </w:rPr>
      </w:pPr>
      <w:r>
        <w:rPr>
          <w:rFonts w:hint="eastAsia"/>
          <w:sz w:val="21"/>
          <w:szCs w:val="21"/>
        </w:rPr>
        <w:t xml:space="preserve">收益评价日日期以基金管理人相关公告为准。 </w:t>
      </w:r>
    </w:p>
    <w:p w14:paraId="15B5C537">
      <w:pPr>
        <w:pStyle w:val="7"/>
        <w:spacing w:before="0" w:beforeAutospacing="0" w:after="0" w:afterAutospacing="0" w:line="360" w:lineRule="auto"/>
        <w:ind w:firstLine="420"/>
        <w:rPr>
          <w:sz w:val="21"/>
          <w:szCs w:val="21"/>
        </w:rPr>
      </w:pPr>
      <w:r>
        <w:rPr>
          <w:rFonts w:hint="eastAsia"/>
          <w:sz w:val="21"/>
          <w:szCs w:val="21"/>
        </w:rPr>
        <w:t xml:space="preserve">2、根据前述收益分配原则计算截至基金收益评价日本基金的份额可分配收益，并确定收益分配比例。 </w:t>
      </w:r>
    </w:p>
    <w:p w14:paraId="76417A73">
      <w:pPr>
        <w:pStyle w:val="7"/>
        <w:spacing w:before="0" w:beforeAutospacing="0" w:after="0" w:afterAutospacing="0" w:line="360" w:lineRule="auto"/>
        <w:ind w:firstLine="420"/>
        <w:rPr>
          <w:sz w:val="21"/>
          <w:szCs w:val="21"/>
        </w:rPr>
      </w:pPr>
      <w:r>
        <w:rPr>
          <w:rFonts w:hint="eastAsia"/>
          <w:sz w:val="21"/>
          <w:szCs w:val="21"/>
        </w:rPr>
        <w:t xml:space="preserve">3、根据前述可供分配利润及收益分配比例计算收益分配金额。 </w:t>
      </w:r>
    </w:p>
    <w:p w14:paraId="516A82F9">
      <w:pPr>
        <w:pStyle w:val="7"/>
        <w:spacing w:before="0" w:beforeAutospacing="0" w:after="0" w:afterAutospacing="0" w:line="360" w:lineRule="auto"/>
        <w:ind w:firstLine="420"/>
        <w:rPr>
          <w:sz w:val="21"/>
          <w:szCs w:val="21"/>
        </w:rPr>
      </w:pPr>
      <w:r>
        <w:rPr>
          <w:rStyle w:val="11"/>
          <w:rFonts w:hint="eastAsia"/>
          <w:sz w:val="21"/>
          <w:szCs w:val="21"/>
        </w:rPr>
        <w:t>三、收益分配方案</w:t>
      </w:r>
    </w:p>
    <w:p w14:paraId="1C53AB36">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基金收益分配方案中应载明基金收益分配对象、分配时间、分配数额及比例、分配方式等内容。 </w:t>
      </w:r>
    </w:p>
    <w:p w14:paraId="04D0D739">
      <w:pPr>
        <w:pStyle w:val="7"/>
        <w:spacing w:before="0" w:beforeAutospacing="0" w:after="0" w:afterAutospacing="0" w:line="360" w:lineRule="auto"/>
        <w:ind w:firstLine="420"/>
        <w:rPr>
          <w:sz w:val="21"/>
          <w:szCs w:val="21"/>
        </w:rPr>
      </w:pPr>
      <w:r>
        <w:rPr>
          <w:rStyle w:val="11"/>
          <w:rFonts w:hint="eastAsia"/>
          <w:sz w:val="21"/>
          <w:szCs w:val="21"/>
        </w:rPr>
        <w:t>四、收益分配方案的确定、公告与实施</w:t>
      </w:r>
    </w:p>
    <w:p w14:paraId="761DAACE">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14:paraId="680D1864">
      <w:pPr>
        <w:pStyle w:val="7"/>
        <w:spacing w:before="0" w:beforeAutospacing="0" w:after="0" w:afterAutospacing="0" w:line="360" w:lineRule="auto"/>
        <w:ind w:firstLine="420"/>
        <w:rPr>
          <w:sz w:val="21"/>
          <w:szCs w:val="21"/>
        </w:rPr>
      </w:pPr>
      <w:r>
        <w:rPr>
          <w:rStyle w:val="11"/>
          <w:rFonts w:hint="eastAsia"/>
          <w:sz w:val="21"/>
          <w:szCs w:val="21"/>
        </w:rPr>
        <w:t>五、基金收益分配中发生的费用</w:t>
      </w:r>
    </w:p>
    <w:p w14:paraId="4E8E1BCE">
      <w:pPr>
        <w:pStyle w:val="7"/>
        <w:spacing w:before="0" w:beforeAutospacing="0" w:after="0" w:afterAutospacing="0" w:line="360" w:lineRule="auto"/>
        <w:ind w:firstLine="420"/>
        <w:rPr>
          <w:sz w:val="21"/>
          <w:szCs w:val="21"/>
        </w:rPr>
      </w:pPr>
      <w:bookmarkStart w:id="146" w:name="chapter_level1_17_64_section_1_end"/>
      <w:bookmarkEnd w:id="146"/>
      <w:r>
        <w:rPr>
          <w:rFonts w:hint="eastAsia"/>
          <w:sz w:val="21"/>
          <w:szCs w:val="21"/>
        </w:rPr>
        <w:t xml:space="preserve">基金收益分配时所发生的银行转账或其他手续费用由投资者自行承担。 </w:t>
      </w:r>
    </w:p>
    <w:p w14:paraId="3831D060">
      <w:pPr>
        <w:widowControl/>
        <w:jc w:val="left"/>
        <w:rPr>
          <w:rFonts w:ascii="宋体" w:hAnsi="宋体" w:eastAsia="宋体"/>
        </w:rPr>
      </w:pPr>
      <w:r>
        <w:rPr>
          <w:rFonts w:ascii="宋体" w:hAnsi="宋体" w:eastAsia="宋体"/>
        </w:rPr>
        <w:br w:type="page"/>
      </w:r>
    </w:p>
    <w:p w14:paraId="4A772DBC">
      <w:pPr>
        <w:pStyle w:val="2"/>
        <w:jc w:val="center"/>
        <w:rPr>
          <w:rFonts w:ascii="宋体" w:hAnsi="宋体" w:eastAsia="宋体"/>
          <w:sz w:val="30"/>
        </w:rPr>
      </w:pPr>
      <w:bookmarkStart w:id="147" w:name="_Toc207986795"/>
      <w:bookmarkStart w:id="148" w:name="chapter_level1_18_65"/>
      <w:r>
        <w:rPr>
          <w:rFonts w:hint="eastAsia" w:ascii="宋体" w:hAnsi="宋体" w:eastAsia="宋体"/>
          <w:sz w:val="30"/>
        </w:rPr>
        <w:t>第十五部分  基金的费用与税收</w:t>
      </w:r>
      <w:bookmarkEnd w:id="147"/>
      <w:bookmarkEnd w:id="148"/>
    </w:p>
    <w:p w14:paraId="3F3BACD3">
      <w:pPr>
        <w:pStyle w:val="7"/>
        <w:spacing w:before="0" w:beforeAutospacing="0" w:after="0" w:afterAutospacing="0" w:line="360" w:lineRule="auto"/>
        <w:ind w:firstLine="420"/>
        <w:rPr>
          <w:sz w:val="21"/>
          <w:szCs w:val="21"/>
        </w:rPr>
      </w:pPr>
      <w:bookmarkStart w:id="149" w:name="chapter_level1_18_65_section_1"/>
      <w:bookmarkEnd w:id="149"/>
      <w:r>
        <w:rPr>
          <w:rStyle w:val="11"/>
          <w:rFonts w:hint="eastAsia"/>
          <w:sz w:val="21"/>
          <w:szCs w:val="21"/>
        </w:rPr>
        <w:t>一、基金费用的种类</w:t>
      </w:r>
    </w:p>
    <w:p w14:paraId="51A81582">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65B17FC">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03AD71C">
      <w:pPr>
        <w:pStyle w:val="7"/>
        <w:spacing w:before="0" w:beforeAutospacing="0" w:after="0" w:afterAutospacing="0" w:line="360" w:lineRule="auto"/>
        <w:ind w:firstLine="420"/>
        <w:rPr>
          <w:sz w:val="21"/>
          <w:szCs w:val="21"/>
        </w:rPr>
      </w:pPr>
      <w:r>
        <w:rPr>
          <w:rFonts w:hint="eastAsia"/>
          <w:sz w:val="21"/>
          <w:szCs w:val="21"/>
        </w:rPr>
        <w:t xml:space="preserve">3、基金的证券、期货、期权交易费用； </w:t>
      </w:r>
    </w:p>
    <w:p w14:paraId="349949CD">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4、《基金合同》生效后与基金相关的信息披露费用，但法律法规、中国证监会另有规定的除外； </w:t>
      </w:r>
    </w:p>
    <w:p w14:paraId="58E53C3F">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5、《基金合同》生效后与基金相关的会计师费、审计费、律师费、仲裁费和诉讼费； </w:t>
      </w:r>
    </w:p>
    <w:p w14:paraId="7094361C">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78D1D000">
      <w:pPr>
        <w:pStyle w:val="7"/>
        <w:spacing w:before="0" w:beforeAutospacing="0" w:after="0" w:afterAutospacing="0" w:line="360" w:lineRule="auto"/>
        <w:ind w:firstLine="420"/>
        <w:rPr>
          <w:sz w:val="21"/>
          <w:szCs w:val="21"/>
        </w:rPr>
      </w:pPr>
      <w:r>
        <w:rPr>
          <w:rFonts w:hint="eastAsia"/>
          <w:sz w:val="21"/>
          <w:szCs w:val="21"/>
        </w:rPr>
        <w:t xml:space="preserve">7、基金银行汇划费用、账户开户及维护费用、场内注册登记费用、IOPV计算与发布费用、收益分配中发生的费用； </w:t>
      </w:r>
    </w:p>
    <w:p w14:paraId="54FEDFFA">
      <w:pPr>
        <w:pStyle w:val="7"/>
        <w:spacing w:before="0" w:beforeAutospacing="0" w:after="0" w:afterAutospacing="0" w:line="360" w:lineRule="auto"/>
        <w:ind w:firstLine="420"/>
        <w:rPr>
          <w:sz w:val="21"/>
          <w:szCs w:val="21"/>
        </w:rPr>
      </w:pPr>
      <w:r>
        <w:rPr>
          <w:rFonts w:hint="eastAsia"/>
          <w:sz w:val="21"/>
          <w:szCs w:val="21"/>
        </w:rPr>
        <w:t xml:space="preserve">8、基金上市费及年费； </w:t>
      </w:r>
    </w:p>
    <w:p w14:paraId="5805A83B">
      <w:pPr>
        <w:pStyle w:val="7"/>
        <w:spacing w:before="0" w:beforeAutospacing="0" w:after="0" w:afterAutospacing="0" w:line="360" w:lineRule="auto"/>
        <w:ind w:firstLine="420"/>
        <w:rPr>
          <w:sz w:val="21"/>
          <w:szCs w:val="21"/>
        </w:rPr>
      </w:pPr>
      <w:r>
        <w:rPr>
          <w:rFonts w:hint="eastAsia"/>
          <w:sz w:val="21"/>
          <w:szCs w:val="21"/>
        </w:rPr>
        <w:t xml:space="preserve">9、因投资港股通标的股票而产生的各项合理费用； </w:t>
      </w:r>
    </w:p>
    <w:p w14:paraId="56C969FD">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1EDDBEEC">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7913B8B1">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4622C2B4">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0" w:name="field_0_managementrate_1"/>
      <w:r>
        <w:rPr>
          <w:sz w:val="21"/>
          <w:szCs w:val="21"/>
        </w:rPr>
        <w:t>0.15</w:t>
      </w:r>
      <w:bookmarkEnd w:id="150"/>
      <w:r>
        <w:rPr>
          <w:rFonts w:hint="eastAsia"/>
          <w:sz w:val="21"/>
          <w:szCs w:val="21"/>
        </w:rPr>
        <w:t xml:space="preserve">%年费率计提。管理费的计算方法如下： </w:t>
      </w:r>
    </w:p>
    <w:p w14:paraId="603C8FFC">
      <w:pPr>
        <w:pStyle w:val="7"/>
        <w:spacing w:before="0" w:beforeAutospacing="0" w:after="0" w:afterAutospacing="0" w:line="360" w:lineRule="auto"/>
        <w:ind w:firstLine="420"/>
        <w:rPr>
          <w:sz w:val="21"/>
          <w:szCs w:val="21"/>
        </w:rPr>
      </w:pPr>
      <w:r>
        <w:rPr>
          <w:rFonts w:hint="eastAsia"/>
          <w:sz w:val="21"/>
          <w:szCs w:val="21"/>
        </w:rPr>
        <w:t>H＝E×</w:t>
      </w:r>
      <w:bookmarkStart w:id="151" w:name="field_0_managementrate_2"/>
      <w:r>
        <w:rPr>
          <w:sz w:val="21"/>
          <w:szCs w:val="21"/>
        </w:rPr>
        <w:t>0.15</w:t>
      </w:r>
      <w:bookmarkEnd w:id="151"/>
      <w:r>
        <w:rPr>
          <w:rFonts w:hint="eastAsia"/>
          <w:sz w:val="21"/>
          <w:szCs w:val="21"/>
        </w:rPr>
        <w:t xml:space="preserve">%÷当年天数 </w:t>
      </w:r>
    </w:p>
    <w:p w14:paraId="441FC9A4">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5C4C668B">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BB2ACDB">
      <w:pPr>
        <w:pStyle w:val="7"/>
        <w:spacing w:before="0" w:beforeAutospacing="0" w:after="0" w:afterAutospacing="0" w:line="360" w:lineRule="auto"/>
        <w:ind w:firstLine="420"/>
        <w:rPr>
          <w:sz w:val="21"/>
          <w:szCs w:val="21"/>
        </w:rPr>
      </w:pPr>
      <w:r>
        <w:rPr>
          <w:rFonts w:hint="eastAsia"/>
          <w:sz w:val="21"/>
          <w:szCs w:val="21"/>
        </w:rPr>
        <w:t xml:space="preserve">基金管理费每日计提，按月支付。基金管理人与基金托管人双方核对无误后，基金托管人按照与基金管理人协商一致的方式于次月前3个工作日内从基金财产中一次性支付给基金管理人，基金管理人无需再出具管理费划款指令。若遇法定节假日、休息日或不可抗力等致使无法按时支付的，顺延至最近可支付日支付。 </w:t>
      </w:r>
    </w:p>
    <w:p w14:paraId="4589E68F">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222AFD47">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2" w:name="field_0_trusteerate_1"/>
      <w:r>
        <w:rPr>
          <w:sz w:val="21"/>
          <w:szCs w:val="21"/>
        </w:rPr>
        <w:t>0.05</w:t>
      </w:r>
      <w:bookmarkEnd w:id="152"/>
      <w:r>
        <w:rPr>
          <w:rFonts w:hint="eastAsia"/>
          <w:sz w:val="21"/>
          <w:szCs w:val="21"/>
        </w:rPr>
        <w:t xml:space="preserve">%年费率计提。托管费的计算方法如下： </w:t>
      </w:r>
    </w:p>
    <w:p w14:paraId="6E780CBE">
      <w:pPr>
        <w:pStyle w:val="7"/>
        <w:spacing w:before="0" w:beforeAutospacing="0" w:after="0" w:afterAutospacing="0" w:line="360" w:lineRule="auto"/>
        <w:ind w:firstLine="420"/>
        <w:rPr>
          <w:sz w:val="21"/>
          <w:szCs w:val="21"/>
        </w:rPr>
      </w:pPr>
      <w:r>
        <w:rPr>
          <w:rFonts w:hint="eastAsia"/>
          <w:sz w:val="21"/>
          <w:szCs w:val="21"/>
        </w:rPr>
        <w:t>H＝E×</w:t>
      </w:r>
      <w:bookmarkStart w:id="153" w:name="field_0_trusteerate_2"/>
      <w:r>
        <w:rPr>
          <w:sz w:val="21"/>
          <w:szCs w:val="21"/>
        </w:rPr>
        <w:t>0.05</w:t>
      </w:r>
      <w:bookmarkEnd w:id="153"/>
      <w:r>
        <w:rPr>
          <w:rFonts w:hint="eastAsia"/>
          <w:sz w:val="21"/>
          <w:szCs w:val="21"/>
        </w:rPr>
        <w:t xml:space="preserve">%÷当年天数 </w:t>
      </w:r>
    </w:p>
    <w:p w14:paraId="49D4FDB9">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42AF173">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14C7955">
      <w:pPr>
        <w:pStyle w:val="7"/>
        <w:spacing w:before="0" w:beforeAutospacing="0" w:after="0" w:afterAutospacing="0" w:line="360" w:lineRule="auto"/>
        <w:ind w:firstLine="420"/>
        <w:rPr>
          <w:sz w:val="21"/>
          <w:szCs w:val="21"/>
        </w:rPr>
      </w:pPr>
      <w:r>
        <w:rPr>
          <w:rFonts w:hint="eastAsia"/>
          <w:sz w:val="21"/>
          <w:szCs w:val="21"/>
        </w:rPr>
        <w:t xml:space="preserve">基金托管费每日计提，按月支付。基金管理人与基金托管人双方核对无误后，基金托管人按照与基金管理人协商一致的方式于次月前3个工作日内从基金财产中一次性支取，基金管理人无需再出具托管费划款指令。若遇法定节假日、休息日或不可抗力等致使无法按时支付的，顺延至最近可支付日支付。 </w:t>
      </w:r>
    </w:p>
    <w:p w14:paraId="4EF4B47F">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上述“一、基金费用的种类”中第3－10项费用，根据有关法规及相应协议规定，按费用实际支出金额列入当期费用，由基金托管人从基金财产中支付。 </w:t>
      </w:r>
    </w:p>
    <w:p w14:paraId="3067FEF0">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7CDBB7C4">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4413617">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5AEA5105">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7AABA050">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4D505D8A">
      <w:pPr>
        <w:pStyle w:val="7"/>
        <w:spacing w:before="0" w:beforeAutospacing="0" w:after="0" w:afterAutospacing="0" w:line="360" w:lineRule="auto"/>
        <w:ind w:firstLine="420"/>
        <w:rPr>
          <w:sz w:val="21"/>
          <w:szCs w:val="21"/>
        </w:rPr>
      </w:pPr>
      <w:r>
        <w:rPr>
          <w:rFonts w:hint="eastAsia"/>
          <w:sz w:val="21"/>
          <w:szCs w:val="21"/>
        </w:rPr>
        <w:t xml:space="preserve">4、指数许可使用费 </w:t>
      </w:r>
    </w:p>
    <w:p w14:paraId="01DCC4E5">
      <w:pPr>
        <w:pStyle w:val="7"/>
        <w:spacing w:before="0" w:beforeAutospacing="0" w:after="0" w:afterAutospacing="0" w:line="360" w:lineRule="auto"/>
        <w:ind w:firstLine="420"/>
        <w:rPr>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14:paraId="0DEDF222">
      <w:pPr>
        <w:pStyle w:val="7"/>
        <w:spacing w:before="0" w:beforeAutospacing="0" w:after="0" w:afterAutospacing="0" w:line="360" w:lineRule="auto"/>
        <w:ind w:firstLine="420"/>
        <w:rPr>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14:paraId="1F919687">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40D15A12">
      <w:pPr>
        <w:pStyle w:val="7"/>
        <w:spacing w:before="0" w:beforeAutospacing="0" w:after="0" w:afterAutospacing="0" w:line="360" w:lineRule="auto"/>
        <w:ind w:firstLine="420"/>
        <w:rPr>
          <w:sz w:val="21"/>
          <w:szCs w:val="21"/>
        </w:rPr>
      </w:pPr>
      <w:r>
        <w:rPr>
          <w:rStyle w:val="11"/>
          <w:rFonts w:hint="eastAsia"/>
          <w:sz w:val="21"/>
          <w:szCs w:val="21"/>
        </w:rPr>
        <w:t>四、基金税收</w:t>
      </w:r>
    </w:p>
    <w:p w14:paraId="1CAC98B6">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4" w:name="chapter_level1_18_65_section_1_end"/>
      <w:bookmarkEnd w:id="154"/>
      <w:r>
        <w:rPr>
          <w:rFonts w:hint="eastAsia"/>
          <w:sz w:val="21"/>
          <w:szCs w:val="21"/>
        </w:rPr>
        <w:t xml:space="preserve">税收征收的规定代扣代缴。 </w:t>
      </w:r>
    </w:p>
    <w:p w14:paraId="579386F9">
      <w:pPr>
        <w:widowControl/>
        <w:jc w:val="left"/>
        <w:rPr>
          <w:rFonts w:ascii="宋体" w:hAnsi="宋体" w:eastAsia="宋体"/>
        </w:rPr>
      </w:pPr>
      <w:r>
        <w:rPr>
          <w:rFonts w:ascii="宋体" w:hAnsi="宋体" w:eastAsia="宋体"/>
        </w:rPr>
        <w:br w:type="page"/>
      </w:r>
    </w:p>
    <w:p w14:paraId="652D4C9F">
      <w:pPr>
        <w:pStyle w:val="2"/>
        <w:jc w:val="center"/>
        <w:rPr>
          <w:rFonts w:ascii="宋体" w:hAnsi="宋体" w:eastAsia="宋体"/>
          <w:sz w:val="30"/>
        </w:rPr>
      </w:pPr>
      <w:bookmarkStart w:id="155" w:name="chapter_level1_19_66"/>
      <w:bookmarkStart w:id="156" w:name="_Toc207986796"/>
      <w:r>
        <w:rPr>
          <w:rFonts w:hint="eastAsia" w:ascii="宋体" w:hAnsi="宋体" w:eastAsia="宋体"/>
          <w:sz w:val="30"/>
        </w:rPr>
        <w:t>第十六部分  基金的会计与审计</w:t>
      </w:r>
      <w:bookmarkEnd w:id="155"/>
      <w:bookmarkEnd w:id="156"/>
    </w:p>
    <w:p w14:paraId="4D422261">
      <w:pPr>
        <w:pStyle w:val="7"/>
        <w:spacing w:before="0" w:beforeAutospacing="0" w:after="0" w:afterAutospacing="0" w:line="360" w:lineRule="auto"/>
        <w:ind w:firstLine="420"/>
        <w:rPr>
          <w:sz w:val="21"/>
          <w:szCs w:val="21"/>
        </w:rPr>
      </w:pPr>
      <w:bookmarkStart w:id="157" w:name="chapter_level1_19_66_section_1"/>
      <w:bookmarkEnd w:id="157"/>
      <w:r>
        <w:rPr>
          <w:rStyle w:val="11"/>
          <w:rFonts w:hint="eastAsia"/>
          <w:sz w:val="21"/>
          <w:szCs w:val="21"/>
        </w:rPr>
        <w:t>一、基金的会计政策</w:t>
      </w:r>
    </w:p>
    <w:p w14:paraId="4180FD50">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285FDE64">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45F7A7E">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231FC1B8">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3F14D918">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7E1DD63D">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43ED70BD">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089E9F9C">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29EB013F">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1、基金管理人聘请与基金管理人、基金托管人相互独立的符合《证券法》规定的会计师事务所及其注册会计师对本基金的年度财务报表进行审计。 </w:t>
      </w:r>
    </w:p>
    <w:p w14:paraId="3A6F6034">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3A2AAB17">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8" w:name="chapter_level1_19_66_section_1_end"/>
      <w:bookmarkEnd w:id="158"/>
      <w:r>
        <w:rPr>
          <w:rFonts w:hint="eastAsia"/>
          <w:sz w:val="21"/>
          <w:szCs w:val="21"/>
        </w:rPr>
        <w:t xml:space="preserve">务所需按照《信息披露办法》的有关规定在规定媒介公告。 </w:t>
      </w:r>
    </w:p>
    <w:p w14:paraId="492B7099">
      <w:pPr>
        <w:widowControl/>
        <w:jc w:val="left"/>
        <w:rPr>
          <w:rFonts w:ascii="宋体" w:hAnsi="宋体" w:eastAsia="宋体"/>
        </w:rPr>
      </w:pPr>
      <w:r>
        <w:rPr>
          <w:rFonts w:ascii="宋体" w:hAnsi="宋体" w:eastAsia="宋体"/>
        </w:rPr>
        <w:br w:type="page"/>
      </w:r>
    </w:p>
    <w:p w14:paraId="5C66F1D5">
      <w:pPr>
        <w:pStyle w:val="2"/>
        <w:jc w:val="center"/>
        <w:rPr>
          <w:rFonts w:ascii="宋体" w:hAnsi="宋体" w:eastAsia="宋体"/>
          <w:sz w:val="30"/>
        </w:rPr>
      </w:pPr>
      <w:bookmarkStart w:id="159" w:name="_Toc207986797"/>
      <w:bookmarkStart w:id="160" w:name="chapter_level1_20_67"/>
      <w:r>
        <w:rPr>
          <w:rFonts w:hint="eastAsia" w:ascii="宋体" w:hAnsi="宋体" w:eastAsia="宋体"/>
          <w:sz w:val="30"/>
        </w:rPr>
        <w:t>第十七部分  基金的信息披露</w:t>
      </w:r>
      <w:bookmarkEnd w:id="159"/>
      <w:bookmarkEnd w:id="160"/>
    </w:p>
    <w:p w14:paraId="7154A8AD">
      <w:pPr>
        <w:pStyle w:val="7"/>
        <w:spacing w:before="0" w:beforeAutospacing="0" w:after="0" w:afterAutospacing="0" w:line="360" w:lineRule="auto"/>
        <w:ind w:firstLine="420"/>
        <w:rPr>
          <w:sz w:val="21"/>
          <w:szCs w:val="21"/>
        </w:rPr>
      </w:pPr>
      <w:bookmarkStart w:id="161" w:name="chapter_level1_20_67_section_1"/>
      <w:bookmarkEnd w:id="161"/>
      <w:r>
        <w:rPr>
          <w:rFonts w:hint="eastAsia"/>
          <w:sz w:val="21"/>
          <w:szCs w:val="21"/>
        </w:rPr>
        <w:t xml:space="preserve">一、本基金的信息披露应符合《基金法》、《运作办法》、《信息披露办法》、《流动性风险管理规定》、《基金合同》及其他有关规定。相关法律法规关于信息披露的披露方式、登载媒介、报备方式等规定发生变化时，本基金从其最新规定。 </w:t>
      </w:r>
    </w:p>
    <w:p w14:paraId="42CC428A">
      <w:pPr>
        <w:pStyle w:val="7"/>
        <w:spacing w:before="0" w:beforeAutospacing="0" w:after="0" w:afterAutospacing="0" w:line="360" w:lineRule="auto"/>
        <w:ind w:firstLine="420"/>
        <w:rPr>
          <w:sz w:val="21"/>
          <w:szCs w:val="21"/>
        </w:rPr>
      </w:pPr>
      <w:r>
        <w:rPr>
          <w:rFonts w:hint="eastAsia"/>
          <w:sz w:val="21"/>
          <w:szCs w:val="21"/>
        </w:rPr>
        <w:t xml:space="preserve">二、信息披露义务人 </w:t>
      </w:r>
    </w:p>
    <w:p w14:paraId="19CF7885">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227B9D2">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63D57EC">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 </w:t>
      </w:r>
    </w:p>
    <w:p w14:paraId="31FB015C">
      <w:pPr>
        <w:pStyle w:val="7"/>
        <w:spacing w:before="0" w:beforeAutospacing="0" w:after="0" w:afterAutospacing="0" w:line="360" w:lineRule="auto"/>
        <w:ind w:firstLine="420"/>
        <w:rPr>
          <w:sz w:val="21"/>
          <w:szCs w:val="21"/>
        </w:rPr>
      </w:pPr>
      <w:r>
        <w:rPr>
          <w:rFonts w:hint="eastAsia"/>
          <w:sz w:val="21"/>
          <w:szCs w:val="21"/>
        </w:rPr>
        <w:t xml:space="preserve">三、本基金信息披露义务人承诺公开披露的基金信息，不得有下列行为： </w:t>
      </w:r>
    </w:p>
    <w:p w14:paraId="430EDF57">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44130995">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5A878733">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4E4509C8">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6B31E7EA">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67823899">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62869E3C">
      <w:pPr>
        <w:pStyle w:val="7"/>
        <w:spacing w:before="0" w:beforeAutospacing="0" w:after="0" w:afterAutospacing="0" w:line="360" w:lineRule="auto"/>
        <w:ind w:firstLine="420"/>
        <w:rPr>
          <w:sz w:val="21"/>
          <w:szCs w:val="21"/>
        </w:rPr>
      </w:pPr>
      <w:r>
        <w:rPr>
          <w:rFonts w:hint="eastAsia"/>
          <w:sz w:val="21"/>
          <w:szCs w:val="21"/>
        </w:rPr>
        <w:t xml:space="preserve">四、本基金公开披露的信息应采用中文文本。如同时采用外文文本的，基金信息披露义务人应保证不同文本的内容一致。不同文本之间发生歧义的，以中文文本为准。 </w:t>
      </w:r>
    </w:p>
    <w:p w14:paraId="7EE376A4">
      <w:pPr>
        <w:pStyle w:val="7"/>
        <w:spacing w:before="0" w:beforeAutospacing="0" w:after="0" w:afterAutospacing="0" w:line="360" w:lineRule="auto"/>
        <w:ind w:firstLine="420"/>
        <w:rPr>
          <w:sz w:val="21"/>
          <w:szCs w:val="21"/>
        </w:rPr>
      </w:pPr>
      <w:r>
        <w:rPr>
          <w:rFonts w:hint="eastAsia"/>
          <w:sz w:val="21"/>
          <w:szCs w:val="21"/>
        </w:rPr>
        <w:t xml:space="preserve">本基金公开披露的信息采用阿拉伯数字；除特别说明外，货币单位为人民币元。 </w:t>
      </w:r>
    </w:p>
    <w:p w14:paraId="1E8BCD31">
      <w:pPr>
        <w:pStyle w:val="7"/>
        <w:spacing w:before="0" w:beforeAutospacing="0" w:after="0" w:afterAutospacing="0" w:line="360" w:lineRule="auto"/>
        <w:ind w:firstLine="420"/>
        <w:rPr>
          <w:sz w:val="21"/>
          <w:szCs w:val="21"/>
        </w:rPr>
      </w:pPr>
      <w:r>
        <w:rPr>
          <w:rFonts w:hint="eastAsia"/>
          <w:sz w:val="21"/>
          <w:szCs w:val="21"/>
        </w:rPr>
        <w:t xml:space="preserve">五、公开披露的基金信息 </w:t>
      </w:r>
    </w:p>
    <w:p w14:paraId="593154CF">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3574FEAC">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0C80CECA">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059FF791">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5FEC3B39">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2D3E0BE5">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7ECF1DEC">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2B485649">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195DF92A">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53F8216F">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4D1B6AFB">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基金管理人应当在收到中国证监会确认文件的次日在规定媒介上登载《基金合同》生效公告。 </w:t>
      </w:r>
    </w:p>
    <w:p w14:paraId="2C80585D">
      <w:pPr>
        <w:pStyle w:val="7"/>
        <w:spacing w:before="0" w:beforeAutospacing="0" w:after="0" w:afterAutospacing="0" w:line="360" w:lineRule="auto"/>
        <w:ind w:firstLine="420"/>
        <w:rPr>
          <w:sz w:val="21"/>
          <w:szCs w:val="21"/>
        </w:rPr>
      </w:pPr>
      <w:r>
        <w:rPr>
          <w:rFonts w:hint="eastAsia"/>
          <w:sz w:val="21"/>
          <w:szCs w:val="21"/>
        </w:rPr>
        <w:t xml:space="preserve">（四）基金开始申购、赎回公告 </w:t>
      </w:r>
    </w:p>
    <w:p w14:paraId="41CDCC09">
      <w:pPr>
        <w:pStyle w:val="7"/>
        <w:spacing w:before="0" w:beforeAutospacing="0" w:after="0" w:afterAutospacing="0" w:line="360" w:lineRule="auto"/>
        <w:ind w:firstLine="420"/>
        <w:rPr>
          <w:sz w:val="21"/>
          <w:szCs w:val="21"/>
        </w:rPr>
      </w:pPr>
      <w:r>
        <w:rPr>
          <w:rFonts w:hint="eastAsia"/>
          <w:sz w:val="21"/>
          <w:szCs w:val="21"/>
        </w:rPr>
        <w:t xml:space="preserve">基金管理人应于申购开始日、赎回开始日前按规定在规定报刊及网站上公告。 </w:t>
      </w:r>
    </w:p>
    <w:p w14:paraId="03C737B7">
      <w:pPr>
        <w:pStyle w:val="7"/>
        <w:spacing w:before="0" w:beforeAutospacing="0" w:after="0" w:afterAutospacing="0" w:line="360" w:lineRule="auto"/>
        <w:ind w:firstLine="420"/>
        <w:rPr>
          <w:sz w:val="21"/>
          <w:szCs w:val="21"/>
        </w:rPr>
      </w:pPr>
      <w:r>
        <w:rPr>
          <w:rFonts w:hint="eastAsia"/>
          <w:sz w:val="21"/>
          <w:szCs w:val="21"/>
        </w:rPr>
        <w:t xml:space="preserve">（五）基金份额上市交易公告书 </w:t>
      </w:r>
    </w:p>
    <w:p w14:paraId="423EA93B">
      <w:pPr>
        <w:pStyle w:val="7"/>
        <w:spacing w:before="0" w:beforeAutospacing="0" w:after="0" w:afterAutospacing="0" w:line="360" w:lineRule="auto"/>
        <w:ind w:firstLine="420"/>
        <w:rPr>
          <w:sz w:val="21"/>
          <w:szCs w:val="21"/>
        </w:rPr>
      </w:pPr>
      <w:r>
        <w:rPr>
          <w:rFonts w:hint="eastAsia"/>
          <w:sz w:val="21"/>
          <w:szCs w:val="21"/>
        </w:rPr>
        <w:t xml:space="preserve">基金份额获准在证券交易所上市交易的，基金管理人应当在基金份额上市交易三个工作日前，将基金份额上市交易公告书登载在规定网站上，并将上市交易公告书提示性公告登载在规定报刊上。 </w:t>
      </w:r>
    </w:p>
    <w:p w14:paraId="2AEDED77">
      <w:pPr>
        <w:pStyle w:val="7"/>
        <w:spacing w:before="0" w:beforeAutospacing="0" w:after="0" w:afterAutospacing="0" w:line="360" w:lineRule="auto"/>
        <w:ind w:firstLine="420"/>
        <w:rPr>
          <w:sz w:val="21"/>
          <w:szCs w:val="21"/>
        </w:rPr>
      </w:pPr>
      <w:r>
        <w:rPr>
          <w:rFonts w:hint="eastAsia"/>
          <w:sz w:val="21"/>
          <w:szCs w:val="21"/>
        </w:rPr>
        <w:t xml:space="preserve">（六）基金份额折算日和折算结果公告 </w:t>
      </w:r>
    </w:p>
    <w:p w14:paraId="1F5606EC">
      <w:pPr>
        <w:pStyle w:val="7"/>
        <w:spacing w:before="0" w:beforeAutospacing="0" w:after="0" w:afterAutospacing="0" w:line="360" w:lineRule="auto"/>
        <w:ind w:firstLine="420"/>
        <w:rPr>
          <w:sz w:val="21"/>
          <w:szCs w:val="21"/>
        </w:rPr>
      </w:pPr>
      <w:r>
        <w:rPr>
          <w:rFonts w:hint="eastAsia"/>
          <w:sz w:val="21"/>
          <w:szCs w:val="21"/>
        </w:rPr>
        <w:t xml:space="preserve">基金管理人确定基金份额折算日，并依照《信息披露办法》的有关规定将基金份额折算日公告登载于规定媒介上。 </w:t>
      </w:r>
    </w:p>
    <w:p w14:paraId="2482435E">
      <w:pPr>
        <w:pStyle w:val="7"/>
        <w:spacing w:before="0" w:beforeAutospacing="0" w:after="0" w:afterAutospacing="0" w:line="360" w:lineRule="auto"/>
        <w:ind w:firstLine="420"/>
        <w:rPr>
          <w:sz w:val="21"/>
          <w:szCs w:val="21"/>
        </w:rPr>
      </w:pPr>
      <w:r>
        <w:rPr>
          <w:rFonts w:hint="eastAsia"/>
          <w:sz w:val="21"/>
          <w:szCs w:val="21"/>
        </w:rPr>
        <w:t xml:space="preserve">基金份额进行折算并由登记机构完成基金份额的变更登记后，基金管理人将基金份额折算结果公告登载于规定媒介上。 </w:t>
      </w:r>
    </w:p>
    <w:p w14:paraId="246B4757">
      <w:pPr>
        <w:pStyle w:val="7"/>
        <w:spacing w:before="0" w:beforeAutospacing="0" w:after="0" w:afterAutospacing="0" w:line="360" w:lineRule="auto"/>
        <w:ind w:firstLine="420"/>
        <w:rPr>
          <w:sz w:val="21"/>
          <w:szCs w:val="21"/>
        </w:rPr>
      </w:pPr>
      <w:r>
        <w:rPr>
          <w:rFonts w:hint="eastAsia"/>
          <w:sz w:val="21"/>
          <w:szCs w:val="21"/>
        </w:rPr>
        <w:t xml:space="preserve">（七）基金净值信息 </w:t>
      </w:r>
    </w:p>
    <w:p w14:paraId="15235192">
      <w:pPr>
        <w:pStyle w:val="7"/>
        <w:spacing w:before="0" w:beforeAutospacing="0" w:after="0" w:afterAutospacing="0" w:line="360" w:lineRule="auto"/>
        <w:ind w:firstLine="420"/>
        <w:rPr>
          <w:sz w:val="21"/>
          <w:szCs w:val="21"/>
        </w:rPr>
      </w:pPr>
      <w:r>
        <w:rPr>
          <w:rFonts w:hint="eastAsia"/>
          <w:sz w:val="21"/>
          <w:szCs w:val="21"/>
        </w:rPr>
        <w:t xml:space="preserve">《基金合同》生效后，在基金份额上市交易或者开始办理基金份额申购或者赎回前，基金管理人应当至少每周在规定网站披露一次基金份额净值和基金份额累计净值。 </w:t>
      </w:r>
    </w:p>
    <w:p w14:paraId="766734B8">
      <w:pPr>
        <w:pStyle w:val="7"/>
        <w:spacing w:before="0" w:beforeAutospacing="0" w:after="0" w:afterAutospacing="0" w:line="360" w:lineRule="auto"/>
        <w:ind w:firstLine="420"/>
        <w:rPr>
          <w:sz w:val="21"/>
          <w:szCs w:val="21"/>
        </w:rPr>
      </w:pPr>
      <w:r>
        <w:rPr>
          <w:rFonts w:hint="eastAsia"/>
          <w:sz w:val="21"/>
          <w:szCs w:val="21"/>
        </w:rPr>
        <w:t xml:space="preserve">在基金份额上市交易或者开始办理基金份额申购或者赎回后，基金管理人应当在不晚于每个开放日的次日，通过规定网站、基金销售机构网站或者营业网点披露开放日的基金份额净值和基金份额累计净值。 </w:t>
      </w:r>
    </w:p>
    <w:p w14:paraId="44626458">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基金管理人应当在不晚于半年度和年度最后一日的次日，在规定网站披露半年度和年度最后一日的基金份额净值和基金份额累计净值。 </w:t>
      </w:r>
    </w:p>
    <w:p w14:paraId="3A96B201">
      <w:pPr>
        <w:pStyle w:val="7"/>
        <w:spacing w:before="0" w:beforeAutospacing="0" w:after="0" w:afterAutospacing="0" w:line="360" w:lineRule="auto"/>
        <w:ind w:firstLine="420"/>
        <w:rPr>
          <w:sz w:val="21"/>
          <w:szCs w:val="21"/>
        </w:rPr>
      </w:pPr>
      <w:r>
        <w:rPr>
          <w:rFonts w:hint="eastAsia"/>
          <w:sz w:val="21"/>
          <w:szCs w:val="21"/>
        </w:rPr>
        <w:t xml:space="preserve">（八）申购赎回清单 </w:t>
      </w:r>
    </w:p>
    <w:p w14:paraId="1703A499">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在开始办理基金份额申购或者赎回之后，基金管理人应当在每个开放日，通过规定网站、基金份额申购、赎回代理券商以及其他媒介公告当日的申购赎回清单。 </w:t>
      </w:r>
    </w:p>
    <w:p w14:paraId="31971B4B">
      <w:pPr>
        <w:pStyle w:val="7"/>
        <w:spacing w:before="0" w:beforeAutospacing="0" w:after="0" w:afterAutospacing="0" w:line="360" w:lineRule="auto"/>
        <w:ind w:firstLine="420"/>
        <w:rPr>
          <w:sz w:val="21"/>
          <w:szCs w:val="21"/>
        </w:rPr>
      </w:pPr>
      <w:r>
        <w:rPr>
          <w:rFonts w:hint="eastAsia"/>
          <w:sz w:val="21"/>
          <w:szCs w:val="21"/>
        </w:rPr>
        <w:t xml:space="preserve">（九）基金定期报告，包括基金年度报告、基金中期报告和基金季度报告（含资产组合季度报告） </w:t>
      </w:r>
    </w:p>
    <w:p w14:paraId="38E2ADAC">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 </w:t>
      </w:r>
    </w:p>
    <w:p w14:paraId="7A6B58D0">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1766D4C9">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2B7EEC3C">
      <w:pPr>
        <w:pStyle w:val="7"/>
        <w:spacing w:before="0" w:beforeAutospacing="0" w:after="0" w:afterAutospacing="0" w:line="360" w:lineRule="auto"/>
        <w:ind w:firstLine="420"/>
        <w:rPr>
          <w:sz w:val="21"/>
          <w:szCs w:val="21"/>
        </w:rPr>
      </w:pPr>
      <w:r>
        <w:rPr>
          <w:rFonts w:hint="eastAsia"/>
          <w:sz w:val="21"/>
          <w:szCs w:val="21"/>
        </w:rPr>
        <w:t xml:space="preserve">基金合同生效不足2个月的，本基金管理人可以不编制当期季度报告、中期报告或者年度报告。 </w:t>
      </w:r>
    </w:p>
    <w:p w14:paraId="5E1BC24E">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2348405E">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59B68148">
      <w:pPr>
        <w:pStyle w:val="7"/>
        <w:spacing w:before="0" w:beforeAutospacing="0" w:after="0" w:afterAutospacing="0" w:line="360" w:lineRule="auto"/>
        <w:ind w:firstLine="420"/>
        <w:rPr>
          <w:sz w:val="21"/>
          <w:szCs w:val="21"/>
        </w:rPr>
      </w:pPr>
      <w:r>
        <w:rPr>
          <w:rFonts w:hint="eastAsia"/>
          <w:sz w:val="21"/>
          <w:szCs w:val="21"/>
        </w:rPr>
        <w:t xml:space="preserve">（十）临时报告 </w:t>
      </w:r>
    </w:p>
    <w:p w14:paraId="3DBB0C80">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6ED11779">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044F7D86">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00F3CC6F">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54C73AFD">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6834EF83">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724CD90E">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0F8B6CC2">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41873A92">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576D4A42">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25CC0C46">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383D3383">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2DF33E90">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39E3B23A">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5E6FC8D6">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14:paraId="208A0FB5">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049842C7">
      <w:pPr>
        <w:pStyle w:val="7"/>
        <w:spacing w:before="0" w:beforeAutospacing="0" w:after="0" w:afterAutospacing="0" w:line="360" w:lineRule="auto"/>
        <w:ind w:firstLine="420"/>
        <w:rPr>
          <w:sz w:val="21"/>
          <w:szCs w:val="21"/>
        </w:rPr>
      </w:pPr>
      <w:r>
        <w:rPr>
          <w:rFonts w:hint="eastAsia"/>
          <w:sz w:val="21"/>
          <w:szCs w:val="21"/>
        </w:rPr>
        <w:t xml:space="preserve">15、管理费、托管费、申购费、赎回费等费用计提标准、计提方式和费率发生变更； </w:t>
      </w:r>
    </w:p>
    <w:p w14:paraId="769403F1">
      <w:pPr>
        <w:pStyle w:val="7"/>
        <w:spacing w:before="0" w:beforeAutospacing="0" w:after="0" w:afterAutospacing="0" w:line="360" w:lineRule="auto"/>
        <w:ind w:firstLine="420"/>
        <w:rPr>
          <w:sz w:val="21"/>
          <w:szCs w:val="21"/>
        </w:rPr>
      </w:pPr>
      <w:r>
        <w:rPr>
          <w:rFonts w:hint="eastAsia"/>
          <w:sz w:val="21"/>
          <w:szCs w:val="21"/>
        </w:rPr>
        <w:t xml:space="preserve">16、基金份额净值计价错误达基金份额净值0.5%； </w:t>
      </w:r>
    </w:p>
    <w:p w14:paraId="5E1F1C9E">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1F81047D">
      <w:pPr>
        <w:pStyle w:val="7"/>
        <w:spacing w:before="0" w:beforeAutospacing="0" w:after="0" w:afterAutospacing="0" w:line="360" w:lineRule="auto"/>
        <w:ind w:firstLine="420"/>
        <w:rPr>
          <w:sz w:val="21"/>
          <w:szCs w:val="21"/>
        </w:rPr>
      </w:pPr>
      <w:r>
        <w:rPr>
          <w:rFonts w:hint="eastAsia"/>
          <w:sz w:val="21"/>
          <w:szCs w:val="21"/>
        </w:rPr>
        <w:t xml:space="preserve">18、本基金暂停接受申购、赎回申请或重新接受申购、赎回申请； </w:t>
      </w:r>
    </w:p>
    <w:p w14:paraId="2544809F">
      <w:pPr>
        <w:pStyle w:val="7"/>
        <w:spacing w:before="0" w:beforeAutospacing="0" w:after="0" w:afterAutospacing="0" w:line="360" w:lineRule="auto"/>
        <w:ind w:firstLine="420"/>
        <w:rPr>
          <w:sz w:val="21"/>
          <w:szCs w:val="21"/>
        </w:rPr>
      </w:pPr>
      <w:r>
        <w:rPr>
          <w:rFonts w:hint="eastAsia"/>
          <w:sz w:val="21"/>
          <w:szCs w:val="21"/>
        </w:rPr>
        <w:t xml:space="preserve">19、本基金变更标的指数； </w:t>
      </w:r>
    </w:p>
    <w:p w14:paraId="51A8205C">
      <w:pPr>
        <w:pStyle w:val="7"/>
        <w:spacing w:before="0" w:beforeAutospacing="0" w:after="0" w:afterAutospacing="0" w:line="360" w:lineRule="auto"/>
        <w:ind w:firstLine="420"/>
        <w:rPr>
          <w:sz w:val="21"/>
          <w:szCs w:val="21"/>
        </w:rPr>
      </w:pPr>
      <w:r>
        <w:rPr>
          <w:rFonts w:hint="eastAsia"/>
          <w:sz w:val="21"/>
          <w:szCs w:val="21"/>
        </w:rPr>
        <w:t xml:space="preserve">20、基金份额停复牌、暂停上市、恢复上市或终止上市交易； </w:t>
      </w:r>
    </w:p>
    <w:p w14:paraId="376C8C54">
      <w:pPr>
        <w:pStyle w:val="7"/>
        <w:spacing w:before="0" w:beforeAutospacing="0" w:after="0" w:afterAutospacing="0" w:line="360" w:lineRule="auto"/>
        <w:ind w:firstLine="420"/>
        <w:rPr>
          <w:sz w:val="21"/>
          <w:szCs w:val="21"/>
        </w:rPr>
      </w:pPr>
      <w:r>
        <w:rPr>
          <w:rFonts w:hint="eastAsia"/>
          <w:sz w:val="21"/>
          <w:szCs w:val="21"/>
        </w:rPr>
        <w:t xml:space="preserve">21、调整基金份额类别的设置； </w:t>
      </w:r>
    </w:p>
    <w:p w14:paraId="3F71EFA3">
      <w:pPr>
        <w:pStyle w:val="7"/>
        <w:spacing w:before="0" w:beforeAutospacing="0" w:after="0" w:afterAutospacing="0" w:line="360" w:lineRule="auto"/>
        <w:ind w:firstLine="420"/>
        <w:rPr>
          <w:sz w:val="21"/>
          <w:szCs w:val="21"/>
        </w:rPr>
      </w:pPr>
      <w:r>
        <w:rPr>
          <w:rFonts w:hint="eastAsia"/>
          <w:sz w:val="21"/>
          <w:szCs w:val="21"/>
        </w:rPr>
        <w:t xml:space="preserve">22、基金推出新业务或服务； </w:t>
      </w:r>
    </w:p>
    <w:p w14:paraId="27E8BA97">
      <w:pPr>
        <w:pStyle w:val="7"/>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14:paraId="51EDD628">
      <w:pPr>
        <w:pStyle w:val="7"/>
        <w:spacing w:before="0" w:beforeAutospacing="0" w:after="0" w:afterAutospacing="0" w:line="360" w:lineRule="auto"/>
        <w:ind w:firstLine="420"/>
        <w:rPr>
          <w:sz w:val="21"/>
          <w:szCs w:val="21"/>
        </w:rPr>
      </w:pPr>
      <w:r>
        <w:rPr>
          <w:rFonts w:hint="eastAsia"/>
          <w:sz w:val="21"/>
          <w:szCs w:val="21"/>
        </w:rPr>
        <w:t xml:space="preserve">24、连续30个工作日、40个工作日及45个工作日出现基金份额持有人数量不满二百人或者基金资产净值低于五千万元情形的； </w:t>
      </w:r>
    </w:p>
    <w:p w14:paraId="673FBF07">
      <w:pPr>
        <w:pStyle w:val="7"/>
        <w:spacing w:before="0" w:beforeAutospacing="0" w:after="0" w:afterAutospacing="0" w:line="360" w:lineRule="auto"/>
        <w:ind w:firstLine="420"/>
        <w:rPr>
          <w:sz w:val="21"/>
          <w:szCs w:val="21"/>
        </w:rPr>
      </w:pPr>
      <w:r>
        <w:rPr>
          <w:rFonts w:hint="eastAsia"/>
          <w:sz w:val="21"/>
          <w:szCs w:val="21"/>
        </w:rPr>
        <w:t xml:space="preserve">25、基金信息披露义务人认为可能对基金份额持有人权益或者基金份额的价格产生重大影响的其他事项、中国证监会或基金合同规定的其他事项。 </w:t>
      </w:r>
    </w:p>
    <w:p w14:paraId="171E595B">
      <w:pPr>
        <w:pStyle w:val="7"/>
        <w:spacing w:before="0" w:beforeAutospacing="0" w:after="0" w:afterAutospacing="0" w:line="360" w:lineRule="auto"/>
        <w:ind w:firstLine="420"/>
        <w:rPr>
          <w:sz w:val="21"/>
          <w:szCs w:val="21"/>
        </w:rPr>
      </w:pPr>
      <w:r>
        <w:rPr>
          <w:rFonts w:hint="eastAsia"/>
          <w:sz w:val="21"/>
          <w:szCs w:val="21"/>
        </w:rPr>
        <w:t xml:space="preserve">（十一）澄清公告 </w:t>
      </w:r>
    </w:p>
    <w:p w14:paraId="719C324D">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 </w:t>
      </w:r>
    </w:p>
    <w:p w14:paraId="2480BE4F">
      <w:pPr>
        <w:pStyle w:val="7"/>
        <w:spacing w:before="0" w:beforeAutospacing="0" w:after="0" w:afterAutospacing="0" w:line="360" w:lineRule="auto"/>
        <w:ind w:firstLine="420"/>
        <w:rPr>
          <w:sz w:val="21"/>
          <w:szCs w:val="21"/>
        </w:rPr>
      </w:pPr>
      <w:r>
        <w:rPr>
          <w:rFonts w:hint="eastAsia"/>
          <w:sz w:val="21"/>
          <w:szCs w:val="21"/>
        </w:rPr>
        <w:t xml:space="preserve">（十二）清算报告 </w:t>
      </w:r>
    </w:p>
    <w:p w14:paraId="6D03EE21">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清算组对基金财产进行清算并作出清算报告。清算报告应当经过符合《证券法》规定的会计师事务所审计，并由律师事务所出具法律意见书。清算组应当将清算报告登载在规定网站上，并将清算报告提示性公告登载在规定报刊上。 </w:t>
      </w:r>
    </w:p>
    <w:p w14:paraId="3B9ADE13">
      <w:pPr>
        <w:pStyle w:val="7"/>
        <w:spacing w:before="0" w:beforeAutospacing="0" w:after="0" w:afterAutospacing="0" w:line="360" w:lineRule="auto"/>
        <w:ind w:firstLine="420"/>
        <w:rPr>
          <w:sz w:val="21"/>
          <w:szCs w:val="21"/>
        </w:rPr>
      </w:pPr>
      <w:r>
        <w:rPr>
          <w:rFonts w:hint="eastAsia"/>
          <w:sz w:val="21"/>
          <w:szCs w:val="21"/>
        </w:rPr>
        <w:t xml:space="preserve">（十三）基金份额持有人大会决议 </w:t>
      </w:r>
    </w:p>
    <w:p w14:paraId="659E6047">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38B4E5A8">
      <w:pPr>
        <w:pStyle w:val="7"/>
        <w:spacing w:before="0" w:beforeAutospacing="0" w:after="0" w:afterAutospacing="0" w:line="360" w:lineRule="auto"/>
        <w:ind w:firstLine="420"/>
        <w:rPr>
          <w:sz w:val="21"/>
          <w:szCs w:val="21"/>
        </w:rPr>
      </w:pPr>
      <w:r>
        <w:rPr>
          <w:rFonts w:hint="eastAsia"/>
          <w:sz w:val="21"/>
          <w:szCs w:val="21"/>
        </w:rPr>
        <w:t xml:space="preserve">（十四）基金投资资产支持证券的信息披露 </w:t>
      </w:r>
    </w:p>
    <w:p w14:paraId="45F101CC">
      <w:pPr>
        <w:pStyle w:val="7"/>
        <w:spacing w:before="0" w:beforeAutospacing="0" w:after="0" w:afterAutospacing="0" w:line="360" w:lineRule="auto"/>
        <w:ind w:firstLine="420"/>
        <w:rPr>
          <w:sz w:val="21"/>
          <w:szCs w:val="21"/>
        </w:rPr>
      </w:pPr>
      <w:r>
        <w:rPr>
          <w:rFonts w:hint="eastAsia"/>
          <w:sz w:val="21"/>
          <w:szCs w:val="21"/>
        </w:rPr>
        <w:t xml:space="preserve">本基金投资资产支持证券的，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76DC9581">
      <w:pPr>
        <w:pStyle w:val="7"/>
        <w:spacing w:before="0" w:beforeAutospacing="0" w:after="0" w:afterAutospacing="0" w:line="360" w:lineRule="auto"/>
        <w:ind w:firstLine="420"/>
        <w:rPr>
          <w:sz w:val="21"/>
          <w:szCs w:val="21"/>
        </w:rPr>
      </w:pPr>
      <w:r>
        <w:rPr>
          <w:rFonts w:hint="eastAsia"/>
          <w:sz w:val="21"/>
          <w:szCs w:val="21"/>
        </w:rPr>
        <w:t xml:space="preserve">（十五）基金投资股指期货、国债期货、股票期权的信息披露 </w:t>
      </w:r>
    </w:p>
    <w:p w14:paraId="31CAE7B4">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估值方法等，并充分揭示股指期货、国债期货、股票期权交易对基金总体风险的影响以及是否符合既定的投资政策和投资目标等。 </w:t>
      </w:r>
    </w:p>
    <w:p w14:paraId="0BE0AFC8">
      <w:pPr>
        <w:pStyle w:val="7"/>
        <w:spacing w:before="0" w:beforeAutospacing="0" w:after="0" w:afterAutospacing="0" w:line="360" w:lineRule="auto"/>
        <w:ind w:firstLine="420"/>
        <w:rPr>
          <w:sz w:val="21"/>
          <w:szCs w:val="21"/>
        </w:rPr>
      </w:pPr>
      <w:r>
        <w:rPr>
          <w:rFonts w:hint="eastAsia"/>
          <w:sz w:val="21"/>
          <w:szCs w:val="21"/>
        </w:rPr>
        <w:t xml:space="preserve">（十六）参与融资和转融通证券出借业务的信息披露 </w:t>
      </w:r>
    </w:p>
    <w:p w14:paraId="7E508255">
      <w:pPr>
        <w:pStyle w:val="7"/>
        <w:spacing w:before="0" w:beforeAutospacing="0" w:after="0" w:afterAutospacing="0" w:line="360" w:lineRule="auto"/>
        <w:ind w:firstLine="420"/>
        <w:rPr>
          <w:sz w:val="21"/>
          <w:szCs w:val="21"/>
        </w:rPr>
      </w:pPr>
      <w:r>
        <w:rPr>
          <w:rFonts w:hint="eastAsia"/>
          <w:sz w:val="21"/>
          <w:szCs w:val="21"/>
        </w:rPr>
        <w:t xml:space="preserve">本基金参与融资和转融通证券出借业务的，基金管理人应当在季度报告、中期报告、年度报告等定期报告和招募说明书（更新）等文件中披露参与融资和转融通证券出借交易情况，包括投资策略、业务开展情况、损益情况、风险及其管理情况等，并就转融通证券出借业务在报告期内发生的重大关联交易事项做详细说明。 </w:t>
      </w:r>
    </w:p>
    <w:p w14:paraId="45311462">
      <w:pPr>
        <w:pStyle w:val="7"/>
        <w:spacing w:before="0" w:beforeAutospacing="0" w:after="0" w:afterAutospacing="0" w:line="360" w:lineRule="auto"/>
        <w:ind w:firstLine="420"/>
        <w:rPr>
          <w:sz w:val="21"/>
          <w:szCs w:val="21"/>
        </w:rPr>
      </w:pPr>
      <w:r>
        <w:rPr>
          <w:rFonts w:hint="eastAsia"/>
          <w:sz w:val="21"/>
          <w:szCs w:val="21"/>
        </w:rPr>
        <w:t xml:space="preserve">（十七）基金投资港股通标的股票信息披露 </w:t>
      </w:r>
    </w:p>
    <w:p w14:paraId="0903FA64">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 </w:t>
      </w:r>
    </w:p>
    <w:p w14:paraId="594BAF28">
      <w:pPr>
        <w:pStyle w:val="7"/>
        <w:spacing w:before="0" w:beforeAutospacing="0" w:after="0" w:afterAutospacing="0" w:line="360" w:lineRule="auto"/>
        <w:ind w:firstLine="420"/>
        <w:rPr>
          <w:sz w:val="21"/>
          <w:szCs w:val="21"/>
        </w:rPr>
      </w:pPr>
      <w:r>
        <w:rPr>
          <w:rFonts w:hint="eastAsia"/>
          <w:sz w:val="21"/>
          <w:szCs w:val="21"/>
        </w:rPr>
        <w:t xml:space="preserve">（十八）中国证监会规定的其他信息 </w:t>
      </w:r>
    </w:p>
    <w:p w14:paraId="65CDA810">
      <w:pPr>
        <w:pStyle w:val="7"/>
        <w:spacing w:before="0" w:beforeAutospacing="0" w:after="0" w:afterAutospacing="0" w:line="360" w:lineRule="auto"/>
        <w:ind w:firstLine="420"/>
        <w:rPr>
          <w:sz w:val="21"/>
          <w:szCs w:val="21"/>
        </w:rPr>
      </w:pPr>
      <w:r>
        <w:rPr>
          <w:rFonts w:hint="eastAsia"/>
          <w:sz w:val="21"/>
          <w:szCs w:val="21"/>
        </w:rPr>
        <w:t xml:space="preserve">六、信息披露事务管理 </w:t>
      </w:r>
    </w:p>
    <w:p w14:paraId="6F687536">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285D2A7E">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基金信息披露义务人公开披露基金信息，应当符合中国证监会相关基金信息披露内容与格式准则等法规以及证券交易所的自律管理规则的规定。 </w:t>
      </w:r>
    </w:p>
    <w:p w14:paraId="0CE8959D">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申购对价、赎回对价、基金定期报告、更新的招募说明书、基金产品资料概要、基金清算报告等相关基金信息进行复核、审查，并向基金管理人进行书面或电子确认。 </w:t>
      </w:r>
    </w:p>
    <w:p w14:paraId="1BE9D0C9">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基金管理人、基金托管人应当在规定媒介中选择披露信息的媒介。基金管理人、基金托管人应当向中国证监会基金电子披露网站报送拟披露的基金信息，并保证相关报送信息的真实、准确、完整、及时。 </w:t>
      </w:r>
    </w:p>
    <w:p w14:paraId="07CA63F3">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 </w:t>
      </w:r>
    </w:p>
    <w:p w14:paraId="4F9D6CD8">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DCFC397">
      <w:pPr>
        <w:pStyle w:val="7"/>
        <w:spacing w:before="0" w:beforeAutospacing="0" w:after="0" w:afterAutospacing="0" w:line="360" w:lineRule="auto"/>
        <w:ind w:firstLine="420"/>
        <w:rPr>
          <w:sz w:val="21"/>
          <w:szCs w:val="21"/>
        </w:rPr>
      </w:pPr>
      <w:r>
        <w:rPr>
          <w:rFonts w:hint="eastAsia"/>
          <w:sz w:val="21"/>
          <w:szCs w:val="21"/>
        </w:rPr>
        <w:t xml:space="preserve">七、信息披露文件的存放与查阅 </w:t>
      </w:r>
    </w:p>
    <w:p w14:paraId="22653F8B">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依法必须披露的信息发布后，基金管理人、基金托管人应当按照相关法律法规规定将信息置备于各自住所和基金上市交易的证券交易所，供社会公众查阅、复制。 </w:t>
      </w:r>
    </w:p>
    <w:p w14:paraId="5CE2531D">
      <w:pPr>
        <w:pStyle w:val="7"/>
        <w:spacing w:before="0" w:beforeAutospacing="0" w:after="0" w:afterAutospacing="0" w:line="360" w:lineRule="auto"/>
        <w:ind w:firstLine="420"/>
        <w:rPr>
          <w:sz w:val="21"/>
          <w:szCs w:val="21"/>
        </w:rPr>
      </w:pPr>
      <w:r>
        <w:rPr>
          <w:rFonts w:hint="eastAsia"/>
          <w:sz w:val="21"/>
          <w:szCs w:val="21"/>
        </w:rPr>
        <w:t xml:space="preserve">八、暂停或延迟披露基金相关信息的情形 </w:t>
      </w:r>
    </w:p>
    <w:p w14:paraId="617D8D13">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14:paraId="1EF4CECF">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7D3D2975">
      <w:pPr>
        <w:pStyle w:val="7"/>
        <w:spacing w:before="0" w:beforeAutospacing="0" w:after="0" w:afterAutospacing="0" w:line="360" w:lineRule="auto"/>
        <w:ind w:firstLine="420"/>
        <w:rPr>
          <w:sz w:val="21"/>
          <w:szCs w:val="21"/>
        </w:rPr>
      </w:pPr>
      <w:r>
        <w:rPr>
          <w:rFonts w:hint="eastAsia"/>
          <w:sz w:val="21"/>
          <w:szCs w:val="21"/>
        </w:rPr>
        <w:t xml:space="preserve">2、因不可抗力或者其他情形致使基金管理人、基金托管人无法准确评估基金资产价值时； </w:t>
      </w:r>
    </w:p>
    <w:p w14:paraId="1587B9DA">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2BEF8649">
      <w:pPr>
        <w:pStyle w:val="7"/>
        <w:spacing w:before="0" w:beforeAutospacing="0" w:after="0" w:afterAutospacing="0" w:line="360" w:lineRule="auto"/>
        <w:ind w:firstLine="420"/>
        <w:rPr>
          <w:sz w:val="21"/>
          <w:szCs w:val="21"/>
        </w:rPr>
      </w:pPr>
      <w:bookmarkStart w:id="162" w:name="chapter_level1_20_67_section_1_end"/>
      <w:bookmarkEnd w:id="162"/>
      <w:r>
        <w:rPr>
          <w:rFonts w:hint="eastAsia"/>
          <w:sz w:val="21"/>
          <w:szCs w:val="21"/>
        </w:rPr>
        <w:t xml:space="preserve">4、法律法规、中国证监会和基金合同认定的其它情形。 </w:t>
      </w:r>
    </w:p>
    <w:p w14:paraId="525FBB51">
      <w:pPr>
        <w:widowControl/>
        <w:jc w:val="left"/>
        <w:rPr>
          <w:rFonts w:ascii="宋体" w:hAnsi="宋体" w:eastAsia="宋体"/>
        </w:rPr>
      </w:pPr>
      <w:r>
        <w:rPr>
          <w:rFonts w:ascii="宋体" w:hAnsi="宋体" w:eastAsia="宋体"/>
        </w:rPr>
        <w:br w:type="page"/>
      </w:r>
    </w:p>
    <w:p w14:paraId="19EDD751">
      <w:pPr>
        <w:pStyle w:val="2"/>
        <w:jc w:val="center"/>
        <w:rPr>
          <w:rFonts w:ascii="宋体" w:hAnsi="宋体" w:eastAsia="宋体"/>
          <w:sz w:val="30"/>
        </w:rPr>
      </w:pPr>
      <w:bookmarkStart w:id="163" w:name="_Toc207986798"/>
      <w:bookmarkStart w:id="164" w:name="chapter_level1_22_68"/>
      <w:bookmarkStart w:id="205" w:name="_GoBack"/>
      <w:bookmarkEnd w:id="205"/>
      <w:r>
        <w:rPr>
          <w:rFonts w:hint="eastAsia" w:ascii="宋体" w:hAnsi="宋体" w:eastAsia="宋体"/>
          <w:sz w:val="30"/>
        </w:rPr>
        <w:t>第十八部分  风险揭示</w:t>
      </w:r>
      <w:bookmarkEnd w:id="163"/>
      <w:bookmarkEnd w:id="164"/>
    </w:p>
    <w:p w14:paraId="16F2E15D">
      <w:pPr>
        <w:pStyle w:val="7"/>
        <w:spacing w:before="0" w:beforeAutospacing="0" w:after="0" w:afterAutospacing="0" w:line="360" w:lineRule="auto"/>
        <w:ind w:firstLine="420"/>
        <w:rPr>
          <w:sz w:val="21"/>
          <w:szCs w:val="21"/>
        </w:rPr>
      </w:pPr>
      <w:bookmarkStart w:id="165" w:name="chapter_level1_22_68_section_1"/>
      <w:bookmarkEnd w:id="165"/>
      <w:r>
        <w:rPr>
          <w:rFonts w:hint="eastAsia"/>
          <w:sz w:val="21"/>
          <w:szCs w:val="21"/>
        </w:rPr>
        <w:t xml:space="preserve">本基金管理人在总结、借鉴基金管理人旗下已有开放式基金（包括ETF基金）风险管理成熟经验的基础上，针对本基金的特点，确立科学的风险管理理念，建立相应的风险管理体系，对本基金整个投资过程进行有效的风险监控，为基金份额持有人谋取标的指数所表征的市场平均水平的投资收益。 </w:t>
      </w:r>
    </w:p>
    <w:p w14:paraId="5AED93E6">
      <w:pPr>
        <w:pStyle w:val="7"/>
        <w:spacing w:before="0" w:beforeAutospacing="0" w:after="0" w:afterAutospacing="0" w:line="360" w:lineRule="auto"/>
        <w:ind w:firstLine="420"/>
        <w:rPr>
          <w:sz w:val="21"/>
          <w:szCs w:val="21"/>
        </w:rPr>
      </w:pPr>
      <w:r>
        <w:rPr>
          <w:rFonts w:hint="eastAsia"/>
          <w:sz w:val="21"/>
          <w:szCs w:val="21"/>
        </w:rPr>
        <w:t xml:space="preserve">投资于本基金的主要风险包括以下几个方面： </w:t>
      </w:r>
    </w:p>
    <w:p w14:paraId="44D03415">
      <w:pPr>
        <w:pStyle w:val="7"/>
        <w:spacing w:before="0" w:beforeAutospacing="0" w:after="0" w:afterAutospacing="0" w:line="360" w:lineRule="auto"/>
        <w:ind w:firstLine="420"/>
        <w:rPr>
          <w:sz w:val="21"/>
          <w:szCs w:val="21"/>
        </w:rPr>
      </w:pPr>
      <w:r>
        <w:rPr>
          <w:rStyle w:val="11"/>
          <w:rFonts w:hint="eastAsia"/>
          <w:sz w:val="21"/>
          <w:szCs w:val="21"/>
        </w:rPr>
        <w:t>一、标的指数回报与股票市场平均回报偏离的风险 </w:t>
      </w:r>
    </w:p>
    <w:p w14:paraId="3405BF6E">
      <w:pPr>
        <w:pStyle w:val="7"/>
        <w:spacing w:before="0" w:beforeAutospacing="0" w:after="0" w:afterAutospacing="0" w:line="360" w:lineRule="auto"/>
        <w:ind w:firstLine="420"/>
        <w:rPr>
          <w:sz w:val="21"/>
          <w:szCs w:val="21"/>
        </w:rPr>
      </w:pPr>
      <w:r>
        <w:rPr>
          <w:rFonts w:hint="eastAsia"/>
          <w:sz w:val="21"/>
          <w:szCs w:val="21"/>
        </w:rPr>
        <w:t xml:space="preserve">标的指数并不能完全代表整个股票市场。标的指数成份股的平均回报率与整个股票市场的平均回报率可能存在偏离。 </w:t>
      </w:r>
    </w:p>
    <w:p w14:paraId="1136E96F">
      <w:pPr>
        <w:pStyle w:val="7"/>
        <w:spacing w:before="0" w:beforeAutospacing="0" w:after="0" w:afterAutospacing="0" w:line="360" w:lineRule="auto"/>
        <w:ind w:firstLine="420"/>
        <w:rPr>
          <w:sz w:val="21"/>
          <w:szCs w:val="21"/>
        </w:rPr>
      </w:pPr>
      <w:r>
        <w:rPr>
          <w:rStyle w:val="11"/>
          <w:rFonts w:hint="eastAsia"/>
          <w:sz w:val="21"/>
          <w:szCs w:val="21"/>
        </w:rPr>
        <w:t>二、标的指数波动的风险 </w:t>
      </w:r>
    </w:p>
    <w:p w14:paraId="7E6CEE3B">
      <w:pPr>
        <w:pStyle w:val="7"/>
        <w:spacing w:before="0" w:beforeAutospacing="0" w:after="0" w:afterAutospacing="0" w:line="360" w:lineRule="auto"/>
        <w:ind w:firstLine="420"/>
        <w:rPr>
          <w:sz w:val="21"/>
          <w:szCs w:val="21"/>
        </w:rPr>
      </w:pPr>
      <w:r>
        <w:rPr>
          <w:rFonts w:hint="eastAsia"/>
          <w:sz w:val="21"/>
          <w:szCs w:val="21"/>
        </w:rPr>
        <w:t xml:space="preserve">标的指数成份股的价格可能受到政治因素、经济因素、上市公司经营状况、投资人心理和交易制度等各种因素的影响而波动，导致指数波动，从而使基金收益水平发生变化，产生风险。 </w:t>
      </w:r>
    </w:p>
    <w:p w14:paraId="6A01A29D">
      <w:pPr>
        <w:pStyle w:val="7"/>
        <w:spacing w:before="0" w:beforeAutospacing="0" w:after="0" w:afterAutospacing="0" w:line="360" w:lineRule="auto"/>
        <w:ind w:firstLine="420"/>
        <w:rPr>
          <w:sz w:val="21"/>
          <w:szCs w:val="21"/>
        </w:rPr>
      </w:pPr>
      <w:r>
        <w:rPr>
          <w:rStyle w:val="11"/>
          <w:rFonts w:hint="eastAsia"/>
          <w:sz w:val="21"/>
          <w:szCs w:val="21"/>
        </w:rPr>
        <w:t>三、基金投资组合回报与标的指数回报偏离的风险 </w:t>
      </w:r>
    </w:p>
    <w:p w14:paraId="10CE6264">
      <w:pPr>
        <w:pStyle w:val="7"/>
        <w:spacing w:before="0" w:beforeAutospacing="0" w:after="0" w:afterAutospacing="0" w:line="360" w:lineRule="auto"/>
        <w:ind w:firstLine="420"/>
        <w:rPr>
          <w:sz w:val="21"/>
          <w:szCs w:val="21"/>
        </w:rPr>
      </w:pPr>
      <w:r>
        <w:rPr>
          <w:rFonts w:hint="eastAsia"/>
          <w:sz w:val="21"/>
          <w:szCs w:val="21"/>
        </w:rPr>
        <w:t xml:space="preserve">以下因素可能使基金投资组合的收益率与标的指数的收益率发生偏离： </w:t>
      </w:r>
    </w:p>
    <w:p w14:paraId="12A831F7">
      <w:pPr>
        <w:pStyle w:val="7"/>
        <w:spacing w:before="0" w:beforeAutospacing="0" w:after="0" w:afterAutospacing="0" w:line="360" w:lineRule="auto"/>
        <w:ind w:firstLine="420"/>
        <w:rPr>
          <w:sz w:val="21"/>
          <w:szCs w:val="21"/>
        </w:rPr>
      </w:pPr>
      <w:r>
        <w:rPr>
          <w:rFonts w:hint="eastAsia"/>
          <w:sz w:val="21"/>
          <w:szCs w:val="21"/>
        </w:rPr>
        <w:t xml:space="preserve">1、由于标的指数调整成份股或变更编制方法，使本基金在相应的组合调整中产生跟踪偏离度与跟踪误差。 </w:t>
      </w:r>
    </w:p>
    <w:p w14:paraId="3F158539">
      <w:pPr>
        <w:pStyle w:val="7"/>
        <w:spacing w:before="0" w:beforeAutospacing="0" w:after="0" w:afterAutospacing="0" w:line="360" w:lineRule="auto"/>
        <w:ind w:firstLine="420"/>
        <w:rPr>
          <w:sz w:val="21"/>
          <w:szCs w:val="21"/>
        </w:rPr>
      </w:pPr>
      <w:r>
        <w:rPr>
          <w:rFonts w:hint="eastAsia"/>
          <w:sz w:val="21"/>
          <w:szCs w:val="21"/>
        </w:rPr>
        <w:t xml:space="preserve">2、由于标的指数成份股发生送配股、增发等行为导致成份股在标的指数中的权重发生变化，使本基金在相应的组合调整中产生跟踪偏离度和跟踪误差。 </w:t>
      </w:r>
    </w:p>
    <w:p w14:paraId="302795E6">
      <w:pPr>
        <w:pStyle w:val="7"/>
        <w:spacing w:before="0" w:beforeAutospacing="0" w:after="0" w:afterAutospacing="0" w:line="360" w:lineRule="auto"/>
        <w:ind w:firstLine="420"/>
        <w:rPr>
          <w:sz w:val="21"/>
          <w:szCs w:val="21"/>
        </w:rPr>
      </w:pPr>
      <w:r>
        <w:rPr>
          <w:rFonts w:hint="eastAsia"/>
          <w:sz w:val="21"/>
          <w:szCs w:val="21"/>
        </w:rPr>
        <w:t xml:space="preserve">3、成份股派发现金红利、成份股增发、送配等所获收益可能导致基金收益率偏离标的指数收益率，从而产生跟踪偏离度。 </w:t>
      </w:r>
    </w:p>
    <w:p w14:paraId="69DD5B6F">
      <w:pPr>
        <w:pStyle w:val="7"/>
        <w:spacing w:before="0" w:beforeAutospacing="0" w:after="0" w:afterAutospacing="0" w:line="360" w:lineRule="auto"/>
        <w:ind w:firstLine="420"/>
        <w:rPr>
          <w:sz w:val="21"/>
          <w:szCs w:val="21"/>
        </w:rPr>
      </w:pPr>
      <w:r>
        <w:rPr>
          <w:rFonts w:hint="eastAsia"/>
          <w:sz w:val="21"/>
          <w:szCs w:val="21"/>
        </w:rPr>
        <w:t xml:space="preserve">4、由于成份股停牌、摘牌或流动性差等原因使本基金无法及时调整投资组合或承担冲击成本而产生跟踪偏离度和跟踪误差。 </w:t>
      </w:r>
    </w:p>
    <w:p w14:paraId="299307D8">
      <w:pPr>
        <w:pStyle w:val="7"/>
        <w:spacing w:before="0" w:beforeAutospacing="0" w:after="0" w:afterAutospacing="0" w:line="360" w:lineRule="auto"/>
        <w:ind w:firstLine="420"/>
        <w:rPr>
          <w:sz w:val="21"/>
          <w:szCs w:val="21"/>
        </w:rPr>
      </w:pPr>
      <w:r>
        <w:rPr>
          <w:rFonts w:hint="eastAsia"/>
          <w:sz w:val="21"/>
          <w:szCs w:val="21"/>
        </w:rPr>
        <w:t xml:space="preserve">5、由于基金投资过程中的证券交易成本，以及基金管理费和托管费等费用的存在，使基金投资组合与标的指数产生跟踪偏离度与跟踪误差。 </w:t>
      </w:r>
    </w:p>
    <w:p w14:paraId="30374D31">
      <w:pPr>
        <w:pStyle w:val="7"/>
        <w:spacing w:before="0" w:beforeAutospacing="0" w:after="0" w:afterAutospacing="0" w:line="360" w:lineRule="auto"/>
        <w:ind w:firstLine="420"/>
        <w:rPr>
          <w:sz w:val="21"/>
          <w:szCs w:val="21"/>
        </w:rPr>
      </w:pPr>
      <w:r>
        <w:rPr>
          <w:rFonts w:hint="eastAsia"/>
          <w:sz w:val="21"/>
          <w:szCs w:val="21"/>
        </w:rPr>
        <w:t xml:space="preserve">6、在本基金指数化投资过程中，基金管理人的管理能力，例如跟踪指数的水平、技术手段、买入卖出的时机选择等，都会对本基金的收益产生影响，从而影响本基金对标的指数的跟踪程度。 </w:t>
      </w:r>
    </w:p>
    <w:p w14:paraId="78F7927F">
      <w:pPr>
        <w:pStyle w:val="7"/>
        <w:spacing w:before="0" w:beforeAutospacing="0" w:after="0" w:afterAutospacing="0" w:line="360" w:lineRule="auto"/>
        <w:ind w:firstLine="420"/>
        <w:rPr>
          <w:sz w:val="21"/>
          <w:szCs w:val="21"/>
        </w:rPr>
      </w:pPr>
      <w:r>
        <w:rPr>
          <w:rFonts w:hint="eastAsia"/>
          <w:sz w:val="21"/>
          <w:szCs w:val="21"/>
        </w:rPr>
        <w:t xml:space="preserve">7、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3EBB320C">
      <w:pPr>
        <w:pStyle w:val="7"/>
        <w:spacing w:before="0" w:beforeAutospacing="0" w:after="0" w:afterAutospacing="0" w:line="360" w:lineRule="auto"/>
        <w:ind w:firstLine="420"/>
        <w:rPr>
          <w:sz w:val="21"/>
          <w:szCs w:val="21"/>
        </w:rPr>
      </w:pPr>
      <w:r>
        <w:rPr>
          <w:rStyle w:val="11"/>
          <w:rFonts w:hint="eastAsia"/>
          <w:sz w:val="21"/>
          <w:szCs w:val="21"/>
        </w:rPr>
        <w:t>四、流动性风险</w:t>
      </w:r>
    </w:p>
    <w:p w14:paraId="6DABCB2B">
      <w:pPr>
        <w:pStyle w:val="7"/>
        <w:spacing w:before="0" w:beforeAutospacing="0" w:after="0" w:afterAutospacing="0" w:line="360" w:lineRule="auto"/>
        <w:ind w:firstLine="420"/>
        <w:rPr>
          <w:sz w:val="21"/>
          <w:szCs w:val="21"/>
        </w:rPr>
      </w:pPr>
      <w:r>
        <w:rPr>
          <w:rFonts w:hint="eastAsia"/>
          <w:sz w:val="21"/>
          <w:szCs w:val="21"/>
        </w:rPr>
        <w:t xml:space="preserve">1、本基金交易方式带来的流动性风险 </w:t>
      </w:r>
    </w:p>
    <w:p w14:paraId="418796D5">
      <w:pPr>
        <w:pStyle w:val="7"/>
        <w:spacing w:before="0" w:beforeAutospacing="0" w:after="0" w:afterAutospacing="0" w:line="360" w:lineRule="auto"/>
        <w:ind w:firstLine="420"/>
        <w:rPr>
          <w:sz w:val="21"/>
          <w:szCs w:val="21"/>
        </w:rPr>
      </w:pPr>
      <w:r>
        <w:rPr>
          <w:rFonts w:hint="eastAsia"/>
          <w:sz w:val="21"/>
          <w:szCs w:val="21"/>
        </w:rPr>
        <w:t xml:space="preserve">①本基金最小申购、赎回单位设置较高（目前为100万份），中小投资者只能在二级市场上按交易价格卖出基金份额。 </w:t>
      </w:r>
    </w:p>
    <w:p w14:paraId="2B38C100">
      <w:pPr>
        <w:pStyle w:val="7"/>
        <w:spacing w:before="0" w:beforeAutospacing="0" w:after="0" w:afterAutospacing="0" w:line="360" w:lineRule="auto"/>
        <w:ind w:firstLine="420"/>
        <w:rPr>
          <w:sz w:val="21"/>
          <w:szCs w:val="21"/>
        </w:rPr>
      </w:pPr>
      <w:r>
        <w:rPr>
          <w:rFonts w:hint="eastAsia"/>
          <w:sz w:val="21"/>
          <w:szCs w:val="21"/>
        </w:rPr>
        <w:t xml:space="preserve">②基金将在深圳证券交易所上市交易，但不保证市场交易一定活跃；基金的交易可能因各种原因被暂停，当基金不再符合相关上市条件时，基金的上市也可能被终止。 </w:t>
      </w:r>
    </w:p>
    <w:p w14:paraId="10943C36">
      <w:pPr>
        <w:pStyle w:val="7"/>
        <w:spacing w:before="0" w:beforeAutospacing="0" w:after="0" w:afterAutospacing="0" w:line="360" w:lineRule="auto"/>
        <w:ind w:firstLine="420"/>
        <w:rPr>
          <w:sz w:val="21"/>
          <w:szCs w:val="21"/>
        </w:rPr>
      </w:pPr>
      <w:r>
        <w:rPr>
          <w:rFonts w:hint="eastAsia"/>
          <w:sz w:val="21"/>
          <w:szCs w:val="21"/>
        </w:rPr>
        <w:t xml:space="preserve">③尽管由于投资者可以进行申购、赎回，基金一般不会持续出现大幅折溢价情况。但是，基金的二级市场交易价格受市场供求的影响，可能高于（称为溢价）或低于（称为折价）基金份额净值。 </w:t>
      </w:r>
    </w:p>
    <w:p w14:paraId="18554132">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2D7DC4B2">
      <w:pPr>
        <w:pStyle w:val="7"/>
        <w:spacing w:before="0" w:beforeAutospacing="0" w:after="0" w:afterAutospacing="0" w:line="360" w:lineRule="auto"/>
        <w:ind w:firstLine="420"/>
        <w:rPr>
          <w:sz w:val="21"/>
          <w:szCs w:val="21"/>
        </w:rPr>
      </w:pPr>
      <w:r>
        <w:rPr>
          <w:rFonts w:hint="eastAsia"/>
          <w:sz w:val="21"/>
          <w:szCs w:val="21"/>
        </w:rPr>
        <w:t xml:space="preserve">本基金投资对象是具有良好流动性的金融工具，包括国内依法发行上市的股票、股指期货、国债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 </w:t>
      </w:r>
    </w:p>
    <w:p w14:paraId="2A6FE221">
      <w:pPr>
        <w:pStyle w:val="7"/>
        <w:spacing w:before="0" w:beforeAutospacing="0" w:after="0" w:afterAutospacing="0" w:line="360" w:lineRule="auto"/>
        <w:ind w:firstLine="420"/>
        <w:rPr>
          <w:sz w:val="21"/>
          <w:szCs w:val="21"/>
        </w:rPr>
      </w:pPr>
      <w:r>
        <w:rPr>
          <w:rFonts w:hint="eastAsia"/>
          <w:sz w:val="21"/>
          <w:szCs w:val="21"/>
        </w:rPr>
        <w:t xml:space="preserve">3、实施备用的流动性风险管理工具的情形、程序及对投资者的潜在影响 </w:t>
      </w:r>
    </w:p>
    <w:p w14:paraId="040E6CF2">
      <w:pPr>
        <w:pStyle w:val="7"/>
        <w:spacing w:before="0" w:beforeAutospacing="0" w:after="0" w:afterAutospacing="0" w:line="360" w:lineRule="auto"/>
        <w:ind w:firstLine="420"/>
        <w:rPr>
          <w:sz w:val="21"/>
          <w:szCs w:val="21"/>
        </w:rPr>
      </w:pPr>
      <w:r>
        <w:rPr>
          <w:rFonts w:hint="eastAsia"/>
          <w:sz w:val="21"/>
          <w:szCs w:val="21"/>
        </w:rPr>
        <w:t xml:space="preserve">本基金备用流动性风险管理工具包括但不限于暂停接受赎回申请、延缓支付赎回对价、暂停基金估值以及证监会认定的其他措施。 </w:t>
      </w:r>
    </w:p>
    <w:p w14:paraId="0B1855DB">
      <w:pPr>
        <w:pStyle w:val="7"/>
        <w:spacing w:before="0" w:beforeAutospacing="0" w:after="0" w:afterAutospacing="0" w:line="360" w:lineRule="auto"/>
        <w:ind w:firstLine="420"/>
        <w:rPr>
          <w:sz w:val="21"/>
          <w:szCs w:val="21"/>
        </w:rPr>
      </w:pPr>
      <w:r>
        <w:rPr>
          <w:rFonts w:hint="eastAsia"/>
          <w:sz w:val="21"/>
          <w:szCs w:val="21"/>
        </w:rPr>
        <w:t xml:space="preserve">暂停接受赎回申请、延缓支付赎回对价等工具的情形、程序见招募说明书“基金份额的申购、赎回”部分之“暂停赎回或延缓支付赎回对价的情形”的相关规定。若本基金暂停赎回申请，投资者在暂停赎回期间将无法赎回其持有的基金份额。若本基金延缓支付赎回对价，赎回对价支付时间将后延，可能对投资者的资金安排带来不利影响。 </w:t>
      </w:r>
    </w:p>
    <w:p w14:paraId="1E9DDF25">
      <w:pPr>
        <w:pStyle w:val="7"/>
        <w:spacing w:before="0" w:beforeAutospacing="0" w:after="0" w:afterAutospacing="0" w:line="360" w:lineRule="auto"/>
        <w:ind w:firstLine="420"/>
        <w:rPr>
          <w:sz w:val="21"/>
          <w:szCs w:val="21"/>
        </w:rPr>
      </w:pPr>
      <w:r>
        <w:rPr>
          <w:rFonts w:hint="eastAsia"/>
          <w:sz w:val="21"/>
          <w:szCs w:val="21"/>
        </w:rPr>
        <w:t xml:space="preserve">暂停基金估值的情形、程序见招募说明书“基金资产的估值”部分之“暂停估值的情形”的相关规定。若本基金暂停基金估值，一方面投资者将无法知晓本基金的基金份额净值，另一方面基金将暂停接受申购赎回申请或延缓支付赎回对价，将导致投资者无法申购或赎回本基金，或赎回对价支付时间将后延，可能对投资者的资金安排带来不利影响。 </w:t>
      </w:r>
    </w:p>
    <w:p w14:paraId="15093316">
      <w:pPr>
        <w:pStyle w:val="7"/>
        <w:spacing w:before="0" w:beforeAutospacing="0" w:after="0" w:afterAutospacing="0" w:line="360" w:lineRule="auto"/>
        <w:ind w:firstLine="420"/>
        <w:rPr>
          <w:sz w:val="21"/>
          <w:szCs w:val="21"/>
        </w:rPr>
      </w:pPr>
      <w:r>
        <w:rPr>
          <w:rStyle w:val="11"/>
          <w:rFonts w:hint="eastAsia"/>
          <w:sz w:val="21"/>
          <w:szCs w:val="21"/>
        </w:rPr>
        <w:t>五、标的指数变更的风险</w:t>
      </w:r>
    </w:p>
    <w:p w14:paraId="50310A2C">
      <w:pPr>
        <w:pStyle w:val="7"/>
        <w:spacing w:before="0" w:beforeAutospacing="0" w:after="0" w:afterAutospacing="0" w:line="360" w:lineRule="auto"/>
        <w:ind w:firstLine="420"/>
        <w:rPr>
          <w:sz w:val="21"/>
          <w:szCs w:val="21"/>
        </w:rPr>
      </w:pPr>
      <w:r>
        <w:rPr>
          <w:rFonts w:hint="eastAsia"/>
          <w:sz w:val="21"/>
          <w:szCs w:val="21"/>
        </w:rPr>
        <w:t xml:space="preserve">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 </w:t>
      </w:r>
    </w:p>
    <w:p w14:paraId="64A5D58F">
      <w:pPr>
        <w:pStyle w:val="7"/>
        <w:spacing w:before="0" w:beforeAutospacing="0" w:after="0" w:afterAutospacing="0" w:line="360" w:lineRule="auto"/>
        <w:ind w:firstLine="420"/>
        <w:rPr>
          <w:sz w:val="21"/>
          <w:szCs w:val="21"/>
        </w:rPr>
      </w:pPr>
      <w:r>
        <w:rPr>
          <w:rStyle w:val="11"/>
          <w:rFonts w:hint="eastAsia"/>
          <w:sz w:val="21"/>
          <w:szCs w:val="21"/>
        </w:rPr>
        <w:t>六、指数编制机构停止服务的风险</w:t>
      </w:r>
    </w:p>
    <w:p w14:paraId="0B206AD6">
      <w:pPr>
        <w:pStyle w:val="7"/>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因此，投资人将面临更换基金标的指数、转换运作方式，与其他基金合并、或者终止基金合同等风险。 </w:t>
      </w:r>
    </w:p>
    <w:p w14:paraId="1638276D">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0E2B9E3C">
      <w:pPr>
        <w:pStyle w:val="7"/>
        <w:spacing w:before="0" w:beforeAutospacing="0" w:after="0" w:afterAutospacing="0" w:line="360" w:lineRule="auto"/>
        <w:ind w:firstLine="420"/>
        <w:rPr>
          <w:b/>
          <w:bCs/>
          <w:sz w:val="21"/>
          <w:szCs w:val="21"/>
        </w:rPr>
      </w:pPr>
      <w:r>
        <w:rPr>
          <w:rFonts w:hint="eastAsia"/>
          <w:b/>
          <w:bCs/>
          <w:sz w:val="21"/>
          <w:szCs w:val="21"/>
        </w:rPr>
        <w:t xml:space="preserve">七、跟踪误差控制未达约定目标的风险 </w:t>
      </w:r>
    </w:p>
    <w:p w14:paraId="0B9AB813">
      <w:pPr>
        <w:pStyle w:val="7"/>
        <w:spacing w:before="0" w:beforeAutospacing="0" w:after="0" w:afterAutospacing="0" w:line="360" w:lineRule="auto"/>
        <w:ind w:firstLine="420"/>
        <w:rPr>
          <w:sz w:val="21"/>
          <w:szCs w:val="21"/>
        </w:rPr>
      </w:pPr>
      <w:r>
        <w:rPr>
          <w:rFonts w:hint="eastAsia"/>
          <w:sz w:val="21"/>
          <w:szCs w:val="21"/>
        </w:rPr>
        <w:t xml:space="preserve">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 </w:t>
      </w:r>
    </w:p>
    <w:p w14:paraId="284E3F33">
      <w:pPr>
        <w:pStyle w:val="7"/>
        <w:spacing w:before="0" w:beforeAutospacing="0" w:after="0" w:afterAutospacing="0" w:line="360" w:lineRule="auto"/>
        <w:ind w:firstLine="420"/>
        <w:rPr>
          <w:b/>
          <w:bCs/>
          <w:sz w:val="21"/>
          <w:szCs w:val="21"/>
        </w:rPr>
      </w:pPr>
      <w:r>
        <w:rPr>
          <w:rFonts w:hint="eastAsia"/>
          <w:b/>
          <w:bCs/>
          <w:sz w:val="21"/>
          <w:szCs w:val="21"/>
        </w:rPr>
        <w:t xml:space="preserve">八、成份股停牌的风险 </w:t>
      </w:r>
    </w:p>
    <w:p w14:paraId="708F9814">
      <w:pPr>
        <w:pStyle w:val="7"/>
        <w:spacing w:before="0" w:beforeAutospacing="0" w:after="0" w:afterAutospacing="0" w:line="360" w:lineRule="auto"/>
        <w:ind w:firstLine="420"/>
        <w:rPr>
          <w:sz w:val="21"/>
          <w:szCs w:val="21"/>
        </w:rPr>
      </w:pPr>
      <w:r>
        <w:rPr>
          <w:rFonts w:hint="eastAsia"/>
          <w:sz w:val="21"/>
          <w:szCs w:val="21"/>
        </w:rPr>
        <w:t xml:space="preserve">标的指数成份股可能因各种原因临时或长期停牌，发生成份股停牌时可能面临如下风险： </w:t>
      </w:r>
    </w:p>
    <w:p w14:paraId="1F4CE46E">
      <w:pPr>
        <w:pStyle w:val="7"/>
        <w:spacing w:before="0" w:beforeAutospacing="0" w:after="0" w:afterAutospacing="0" w:line="360" w:lineRule="auto"/>
        <w:ind w:firstLine="420"/>
        <w:rPr>
          <w:sz w:val="21"/>
          <w:szCs w:val="21"/>
        </w:rPr>
      </w:pPr>
      <w:r>
        <w:rPr>
          <w:rFonts w:hint="eastAsia"/>
          <w:sz w:val="21"/>
          <w:szCs w:val="21"/>
        </w:rPr>
        <w:t xml:space="preserve">（1）基金可能因无法及时调整投资组合而导致跟踪偏离度和跟踪误差扩大。 </w:t>
      </w:r>
    </w:p>
    <w:p w14:paraId="257A8DFB">
      <w:pPr>
        <w:pStyle w:val="7"/>
        <w:spacing w:before="0" w:beforeAutospacing="0" w:after="0" w:afterAutospacing="0" w:line="360" w:lineRule="auto"/>
        <w:ind w:firstLine="420"/>
        <w:rPr>
          <w:sz w:val="21"/>
          <w:szCs w:val="21"/>
        </w:rPr>
      </w:pPr>
      <w:r>
        <w:rPr>
          <w:rFonts w:hint="eastAsia"/>
          <w:sz w:val="21"/>
          <w:szCs w:val="21"/>
        </w:rPr>
        <w:t xml:space="preserve">（2）停牌成份股可能因其权重占比、市场复牌预期、现金替代标识等因素影响本基金二级市场价格的折溢价水平。 </w:t>
      </w:r>
    </w:p>
    <w:p w14:paraId="3A831416">
      <w:pPr>
        <w:pStyle w:val="7"/>
        <w:spacing w:before="0" w:beforeAutospacing="0" w:after="0" w:afterAutospacing="0" w:line="360" w:lineRule="auto"/>
        <w:ind w:firstLine="420"/>
        <w:rPr>
          <w:sz w:val="21"/>
          <w:szCs w:val="21"/>
        </w:rPr>
      </w:pPr>
      <w:r>
        <w:rPr>
          <w:rFonts w:hint="eastAsia"/>
          <w:sz w:val="21"/>
          <w:szCs w:val="21"/>
        </w:rPr>
        <w:t xml:space="preserve">（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 </w:t>
      </w:r>
    </w:p>
    <w:p w14:paraId="235FCA0A">
      <w:pPr>
        <w:pStyle w:val="7"/>
        <w:spacing w:before="0" w:beforeAutospacing="0" w:after="0" w:afterAutospacing="0" w:line="360" w:lineRule="auto"/>
        <w:ind w:firstLine="420"/>
        <w:rPr>
          <w:sz w:val="21"/>
          <w:szCs w:val="21"/>
        </w:rPr>
      </w:pPr>
      <w:r>
        <w:rPr>
          <w:rFonts w:hint="eastAsia"/>
          <w:sz w:val="21"/>
          <w:szCs w:val="21"/>
        </w:rPr>
        <w:t xml:space="preserve">（4）在极端情况下，标的指数成份股可能大面积停牌，基金可能无法及时卖出成份股以获取足额的符合要求的赎回款项，由此基金管理人可能在申购赎回清单中设置较低的赎回份额上限或者采取暂停赎回的措施，投资者将面临无法赎回全部或部分基金份额的风险。 </w:t>
      </w:r>
    </w:p>
    <w:p w14:paraId="5375B45E">
      <w:pPr>
        <w:pStyle w:val="7"/>
        <w:spacing w:before="0" w:beforeAutospacing="0" w:after="0" w:afterAutospacing="0" w:line="360" w:lineRule="auto"/>
        <w:ind w:firstLine="420"/>
        <w:rPr>
          <w:b/>
          <w:bCs/>
          <w:sz w:val="21"/>
          <w:szCs w:val="21"/>
        </w:rPr>
      </w:pPr>
      <w:r>
        <w:rPr>
          <w:rFonts w:hint="eastAsia"/>
          <w:b/>
          <w:bCs/>
          <w:sz w:val="21"/>
          <w:szCs w:val="21"/>
        </w:rPr>
        <w:t xml:space="preserve">九、成份股退市的风险 </w:t>
      </w:r>
    </w:p>
    <w:p w14:paraId="562F4C23">
      <w:pPr>
        <w:pStyle w:val="7"/>
        <w:spacing w:before="0" w:beforeAutospacing="0" w:after="0" w:afterAutospacing="0" w:line="360" w:lineRule="auto"/>
        <w:ind w:firstLine="420"/>
        <w:rPr>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5AC819C6">
      <w:pPr>
        <w:pStyle w:val="7"/>
        <w:spacing w:before="0" w:beforeAutospacing="0" w:after="0" w:afterAutospacing="0" w:line="360" w:lineRule="auto"/>
        <w:ind w:firstLine="420"/>
        <w:rPr>
          <w:sz w:val="21"/>
          <w:szCs w:val="21"/>
        </w:rPr>
      </w:pPr>
      <w:r>
        <w:rPr>
          <w:rStyle w:val="11"/>
          <w:rFonts w:hint="eastAsia"/>
          <w:sz w:val="21"/>
          <w:szCs w:val="21"/>
        </w:rPr>
        <w:t>十、基金份额二级市场交易价格折溢价的风险</w:t>
      </w:r>
    </w:p>
    <w:p w14:paraId="2ED76E99">
      <w:pPr>
        <w:pStyle w:val="7"/>
        <w:spacing w:before="0" w:beforeAutospacing="0" w:after="0" w:afterAutospacing="0" w:line="360" w:lineRule="auto"/>
        <w:ind w:firstLine="420"/>
        <w:rPr>
          <w:sz w:val="21"/>
          <w:szCs w:val="21"/>
        </w:rPr>
      </w:pPr>
      <w:r>
        <w:rPr>
          <w:rFonts w:hint="eastAsia"/>
          <w:sz w:val="21"/>
          <w:szCs w:val="21"/>
        </w:rPr>
        <w:t xml:space="preserve">基金份额在证券交易所的交易价格受诸多因素影响，可能存在不同于基金份额净值的情形，即存在价格折溢价的风险。 </w:t>
      </w:r>
    </w:p>
    <w:p w14:paraId="1F93BA46">
      <w:pPr>
        <w:pStyle w:val="7"/>
        <w:spacing w:before="0" w:beforeAutospacing="0" w:after="0" w:afterAutospacing="0" w:line="360" w:lineRule="auto"/>
        <w:ind w:firstLine="420"/>
        <w:rPr>
          <w:sz w:val="21"/>
          <w:szCs w:val="21"/>
        </w:rPr>
      </w:pPr>
      <w:r>
        <w:rPr>
          <w:rStyle w:val="11"/>
          <w:rFonts w:hint="eastAsia"/>
          <w:sz w:val="21"/>
          <w:szCs w:val="21"/>
        </w:rPr>
        <w:t>十一、基金份额参考净值决策和基金份额参考净值计算错误的风险 </w:t>
      </w:r>
    </w:p>
    <w:p w14:paraId="37B4DC9A">
      <w:pPr>
        <w:pStyle w:val="7"/>
        <w:spacing w:before="0" w:beforeAutospacing="0" w:after="0" w:afterAutospacing="0" w:line="360" w:lineRule="auto"/>
        <w:ind w:firstLine="420"/>
        <w:rPr>
          <w:sz w:val="21"/>
          <w:szCs w:val="21"/>
        </w:rPr>
      </w:pPr>
      <w:r>
        <w:rPr>
          <w:rFonts w:hint="eastAsia"/>
          <w:sz w:val="21"/>
          <w:szCs w:val="21"/>
        </w:rPr>
        <w:t xml:space="preserve">本基金基金份额参考净值（IOPV）由基金管理人或基金管理人委托的机构计算，并交由深圳证券交易所对外发布，仅供投资人交易、申购、赎回基金份额时参考。基金份额参考净值与实时的基金份额净值可能存在差异，基金份额参考净值计算可能出现错误，投资人若参考基金份额参考净值进行投资决策可能导致损失，需投资人自行承担。 </w:t>
      </w:r>
    </w:p>
    <w:p w14:paraId="018DB34A">
      <w:pPr>
        <w:pStyle w:val="7"/>
        <w:spacing w:before="0" w:beforeAutospacing="0" w:after="0" w:afterAutospacing="0" w:line="360" w:lineRule="auto"/>
        <w:ind w:firstLine="420"/>
        <w:rPr>
          <w:sz w:val="21"/>
          <w:szCs w:val="21"/>
        </w:rPr>
      </w:pPr>
      <w:r>
        <w:rPr>
          <w:rStyle w:val="11"/>
          <w:rFonts w:hint="eastAsia"/>
          <w:sz w:val="21"/>
          <w:szCs w:val="21"/>
        </w:rPr>
        <w:t>十二、退市风险 </w:t>
      </w:r>
    </w:p>
    <w:p w14:paraId="70E2748A">
      <w:pPr>
        <w:pStyle w:val="7"/>
        <w:spacing w:before="0" w:beforeAutospacing="0" w:after="0" w:afterAutospacing="0" w:line="360" w:lineRule="auto"/>
        <w:ind w:firstLine="420"/>
        <w:rPr>
          <w:sz w:val="21"/>
          <w:szCs w:val="21"/>
        </w:rPr>
      </w:pPr>
      <w:r>
        <w:rPr>
          <w:rFonts w:hint="eastAsia"/>
          <w:sz w:val="21"/>
          <w:szCs w:val="21"/>
        </w:rPr>
        <w:t xml:space="preserve">因本基金不再符合证券交易所上市条件被终止上市，或被基金份额持有人大会决议提前终止上市等原因，导致基金份额不能继续进行二级市场交易的风险。 </w:t>
      </w:r>
    </w:p>
    <w:p w14:paraId="7CCB0CFB">
      <w:pPr>
        <w:pStyle w:val="7"/>
        <w:spacing w:before="0" w:beforeAutospacing="0" w:after="0" w:afterAutospacing="0" w:line="360" w:lineRule="auto"/>
        <w:ind w:firstLine="420"/>
        <w:rPr>
          <w:sz w:val="21"/>
          <w:szCs w:val="21"/>
        </w:rPr>
      </w:pPr>
      <w:r>
        <w:rPr>
          <w:rStyle w:val="11"/>
          <w:rFonts w:hint="eastAsia"/>
          <w:sz w:val="21"/>
          <w:szCs w:val="21"/>
        </w:rPr>
        <w:t>十三、投资人申购失败的风险 </w:t>
      </w:r>
    </w:p>
    <w:p w14:paraId="797F5763">
      <w:pPr>
        <w:pStyle w:val="7"/>
        <w:spacing w:before="0" w:beforeAutospacing="0" w:after="0" w:afterAutospacing="0" w:line="360" w:lineRule="auto"/>
        <w:ind w:firstLine="420"/>
        <w:rPr>
          <w:sz w:val="21"/>
          <w:szCs w:val="21"/>
        </w:rPr>
      </w:pPr>
      <w:r>
        <w:rPr>
          <w:rFonts w:hint="eastAsia"/>
          <w:sz w:val="21"/>
          <w:szCs w:val="21"/>
        </w:rPr>
        <w:t xml:space="preserve">本基金的申购赎回清单中，可能仅允许对部分成份股使用现金替代，且设置现金替代比例上限，因此，投资人申购时，可能存在因个别成份股涨停、临时停牌等原因而无法买入申购所需的足够的成份股，导致申购失败的风险。 </w:t>
      </w:r>
    </w:p>
    <w:p w14:paraId="55F7F4DF">
      <w:pPr>
        <w:pStyle w:val="7"/>
        <w:spacing w:before="0" w:beforeAutospacing="0" w:after="0" w:afterAutospacing="0" w:line="360" w:lineRule="auto"/>
        <w:ind w:firstLine="420"/>
        <w:rPr>
          <w:sz w:val="21"/>
          <w:szCs w:val="21"/>
        </w:rPr>
      </w:pPr>
      <w:r>
        <w:rPr>
          <w:rStyle w:val="11"/>
          <w:rFonts w:hint="eastAsia"/>
          <w:sz w:val="21"/>
          <w:szCs w:val="21"/>
        </w:rPr>
        <w:t>十四、投资人赎回失败的风险 </w:t>
      </w:r>
    </w:p>
    <w:p w14:paraId="1984B42F">
      <w:pPr>
        <w:pStyle w:val="7"/>
        <w:spacing w:before="0" w:beforeAutospacing="0" w:after="0" w:afterAutospacing="0" w:line="360" w:lineRule="auto"/>
        <w:ind w:firstLine="420"/>
        <w:rPr>
          <w:sz w:val="21"/>
          <w:szCs w:val="21"/>
        </w:rPr>
      </w:pPr>
      <w:r>
        <w:rPr>
          <w:rFonts w:hint="eastAsia"/>
          <w:sz w:val="21"/>
          <w:szCs w:val="21"/>
        </w:rPr>
        <w:t xml:space="preserve">投资人提出赎回申请时，如基金组合中不具备足额的符合条件的赎回对价，可能导致赎回失败的情形。 </w:t>
      </w:r>
    </w:p>
    <w:p w14:paraId="0423945D">
      <w:pPr>
        <w:pStyle w:val="7"/>
        <w:spacing w:before="0" w:beforeAutospacing="0" w:after="0" w:afterAutospacing="0" w:line="360" w:lineRule="auto"/>
        <w:ind w:firstLine="420"/>
        <w:rPr>
          <w:sz w:val="21"/>
          <w:szCs w:val="21"/>
        </w:rPr>
      </w:pPr>
      <w:r>
        <w:rPr>
          <w:rFonts w:hint="eastAsia"/>
          <w:sz w:val="21"/>
          <w:szCs w:val="21"/>
        </w:rPr>
        <w:t xml:space="preserve">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 </w:t>
      </w:r>
    </w:p>
    <w:p w14:paraId="5B43D6A0">
      <w:pPr>
        <w:pStyle w:val="7"/>
        <w:spacing w:before="0" w:beforeAutospacing="0" w:after="0" w:afterAutospacing="0" w:line="360" w:lineRule="auto"/>
        <w:ind w:firstLine="420"/>
        <w:rPr>
          <w:sz w:val="21"/>
          <w:szCs w:val="21"/>
        </w:rPr>
      </w:pPr>
      <w:r>
        <w:rPr>
          <w:rStyle w:val="11"/>
          <w:rFonts w:hint="eastAsia"/>
          <w:sz w:val="21"/>
          <w:szCs w:val="21"/>
        </w:rPr>
        <w:t>十五、</w:t>
      </w:r>
      <w:r>
        <w:rPr>
          <w:rStyle w:val="11"/>
          <w:rFonts w:hint="eastAsia"/>
          <w:sz w:val="21"/>
          <w:szCs w:val="21"/>
          <w:lang w:val="en-US" w:eastAsia="zh-CN"/>
        </w:rPr>
        <w:t>非深市</w:t>
      </w:r>
      <w:r>
        <w:rPr>
          <w:rStyle w:val="11"/>
          <w:rFonts w:hint="eastAsia"/>
          <w:sz w:val="21"/>
          <w:szCs w:val="21"/>
        </w:rPr>
        <w:t>成份股可以现金替代方式的风险</w:t>
      </w:r>
    </w:p>
    <w:p w14:paraId="44C6E100">
      <w:pPr>
        <w:pStyle w:val="7"/>
        <w:spacing w:before="0" w:beforeAutospacing="0" w:after="0" w:afterAutospacing="0" w:line="360" w:lineRule="auto"/>
        <w:ind w:firstLine="420"/>
        <w:rPr>
          <w:sz w:val="21"/>
          <w:szCs w:val="21"/>
        </w:rPr>
      </w:pPr>
      <w:r>
        <w:rPr>
          <w:rFonts w:hint="eastAsia"/>
          <w:sz w:val="21"/>
          <w:szCs w:val="21"/>
        </w:rPr>
        <w:t>在通过深圳证券交易所申购赎回的模式中，上海</w:t>
      </w:r>
      <w:r>
        <w:rPr>
          <w:rFonts w:hint="eastAsia"/>
          <w:sz w:val="21"/>
          <w:szCs w:val="21"/>
          <w:lang w:val="en-US" w:eastAsia="zh-CN"/>
        </w:rPr>
        <w:t>/北京</w:t>
      </w:r>
      <w:r>
        <w:rPr>
          <w:rFonts w:hint="eastAsia"/>
          <w:sz w:val="21"/>
          <w:szCs w:val="21"/>
        </w:rPr>
        <w:t>证券交易所上市的成份股可以现金替代方式不同于现有其他现金替代方式，可能给申购和赎回投资者带来价格的不确定性，从而间接影响本基金二级市场价格的折溢价水平。极端情况下，如果使用上海</w:t>
      </w:r>
      <w:r>
        <w:rPr>
          <w:rFonts w:hint="eastAsia"/>
          <w:sz w:val="21"/>
          <w:szCs w:val="21"/>
          <w:lang w:val="en-US" w:eastAsia="zh-CN"/>
        </w:rPr>
        <w:t>/北京</w:t>
      </w:r>
      <w:r>
        <w:rPr>
          <w:rFonts w:hint="eastAsia"/>
          <w:sz w:val="21"/>
          <w:szCs w:val="21"/>
        </w:rPr>
        <w:t xml:space="preserve">证券交易所可以现金替代证券的权重增加，该方式带来的不确定性可能导致本基金的二级市场价格折溢价处于相对较高水平。 </w:t>
      </w:r>
    </w:p>
    <w:p w14:paraId="0660D8C7">
      <w:pPr>
        <w:pStyle w:val="7"/>
        <w:spacing w:before="0" w:beforeAutospacing="0" w:after="0" w:afterAutospacing="0" w:line="360" w:lineRule="auto"/>
        <w:ind w:firstLine="420"/>
        <w:rPr>
          <w:sz w:val="21"/>
          <w:szCs w:val="21"/>
        </w:rPr>
      </w:pPr>
      <w:r>
        <w:rPr>
          <w:rFonts w:hint="eastAsia"/>
          <w:sz w:val="21"/>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w:t>
      </w:r>
      <w:r>
        <w:rPr>
          <w:rFonts w:hint="eastAsia"/>
          <w:sz w:val="21"/>
          <w:szCs w:val="21"/>
          <w:lang w:val="en-US" w:eastAsia="zh-CN"/>
        </w:rPr>
        <w:t>/北交所</w:t>
      </w:r>
      <w:r>
        <w:rPr>
          <w:rFonts w:hint="eastAsia"/>
          <w:sz w:val="21"/>
          <w:szCs w:val="21"/>
        </w:rPr>
        <w:t xml:space="preserve">可以现金替代的证券进行处理，投资者的利益可能受到影响。 </w:t>
      </w:r>
    </w:p>
    <w:p w14:paraId="52540D61">
      <w:pPr>
        <w:pStyle w:val="7"/>
        <w:spacing w:before="0" w:beforeAutospacing="0" w:after="0" w:afterAutospacing="0" w:line="360" w:lineRule="auto"/>
        <w:ind w:firstLine="420"/>
        <w:rPr>
          <w:sz w:val="21"/>
          <w:szCs w:val="21"/>
        </w:rPr>
      </w:pPr>
      <w:r>
        <w:rPr>
          <w:rStyle w:val="11"/>
          <w:rFonts w:hint="eastAsia"/>
          <w:sz w:val="21"/>
          <w:szCs w:val="21"/>
        </w:rPr>
        <w:t>十六、赎回对价的变现风险 </w:t>
      </w:r>
    </w:p>
    <w:p w14:paraId="71286689">
      <w:pPr>
        <w:pStyle w:val="7"/>
        <w:spacing w:before="0" w:beforeAutospacing="0" w:after="0" w:afterAutospacing="0" w:line="360" w:lineRule="auto"/>
        <w:ind w:firstLine="420"/>
        <w:rPr>
          <w:sz w:val="21"/>
          <w:szCs w:val="21"/>
        </w:rPr>
      </w:pPr>
      <w:r>
        <w:rPr>
          <w:rFonts w:hint="eastAsia"/>
          <w:sz w:val="21"/>
          <w:szCs w:val="21"/>
        </w:rPr>
        <w:t xml:space="preserve">本基金赎回对价包括组合证券、现金替代、现金差额等。在组合证券变现过程中，由于市场变化、部分成份股流动性差等因素，导致投资人变现后的价值与赎回时赎回对价的价值有差异，存在变现风险。 </w:t>
      </w:r>
    </w:p>
    <w:p w14:paraId="03D2A4D5">
      <w:pPr>
        <w:pStyle w:val="7"/>
        <w:spacing w:before="0" w:beforeAutospacing="0" w:after="0" w:afterAutospacing="0" w:line="360" w:lineRule="auto"/>
        <w:ind w:firstLine="420"/>
        <w:rPr>
          <w:sz w:val="21"/>
          <w:szCs w:val="21"/>
        </w:rPr>
      </w:pPr>
      <w:r>
        <w:rPr>
          <w:rStyle w:val="11"/>
          <w:rFonts w:hint="eastAsia"/>
          <w:sz w:val="21"/>
          <w:szCs w:val="21"/>
        </w:rPr>
        <w:t>十七、第三方机构服务的风险 </w:t>
      </w:r>
    </w:p>
    <w:p w14:paraId="41F1A747">
      <w:pPr>
        <w:pStyle w:val="7"/>
        <w:spacing w:before="0" w:beforeAutospacing="0" w:after="0" w:afterAutospacing="0" w:line="360" w:lineRule="auto"/>
        <w:ind w:firstLine="420"/>
        <w:rPr>
          <w:sz w:val="21"/>
          <w:szCs w:val="21"/>
        </w:rPr>
      </w:pPr>
      <w:r>
        <w:rPr>
          <w:rFonts w:hint="eastAsia"/>
          <w:sz w:val="21"/>
          <w:szCs w:val="21"/>
        </w:rPr>
        <w:t xml:space="preserve">本基金的多项服务委托第三方机构办理，存在以下风险： </w:t>
      </w:r>
    </w:p>
    <w:p w14:paraId="4035CC0C">
      <w:pPr>
        <w:pStyle w:val="7"/>
        <w:spacing w:before="0" w:beforeAutospacing="0" w:after="0" w:afterAutospacing="0" w:line="360" w:lineRule="auto"/>
        <w:ind w:firstLine="420"/>
        <w:rPr>
          <w:sz w:val="21"/>
          <w:szCs w:val="21"/>
        </w:rPr>
      </w:pPr>
      <w:r>
        <w:rPr>
          <w:rFonts w:hint="eastAsia"/>
          <w:sz w:val="21"/>
          <w:szCs w:val="21"/>
        </w:rPr>
        <w:t xml:space="preserve">1、申购赎回代理券商因多种原因，导致代理申购、赎回业务受到限制、暂停或终止，由此影响对投资人申购赎回服务的风险。 </w:t>
      </w:r>
    </w:p>
    <w:p w14:paraId="1B40CA08">
      <w:pPr>
        <w:pStyle w:val="7"/>
        <w:spacing w:before="0" w:beforeAutospacing="0" w:after="0" w:afterAutospacing="0" w:line="360" w:lineRule="auto"/>
        <w:ind w:firstLine="420"/>
        <w:rPr>
          <w:sz w:val="21"/>
          <w:szCs w:val="21"/>
        </w:rPr>
      </w:pPr>
      <w:r>
        <w:rPr>
          <w:rFonts w:hint="eastAsia"/>
          <w:sz w:val="21"/>
          <w:szCs w:val="21"/>
        </w:rPr>
        <w:t xml:space="preserve">2、登记机构可能调整结算制度，如实施货银对付制度，对投资人基金份额、组合证券及资金的结算方式发生变化，制度调整可能给投资人带来风险。同样的风险还可能来自于证券交易所及其他代理机构。 </w:t>
      </w:r>
    </w:p>
    <w:p w14:paraId="254A7B79">
      <w:pPr>
        <w:pStyle w:val="7"/>
        <w:spacing w:before="0" w:beforeAutospacing="0" w:after="0" w:afterAutospacing="0" w:line="360" w:lineRule="auto"/>
        <w:ind w:firstLine="420"/>
        <w:rPr>
          <w:sz w:val="21"/>
          <w:szCs w:val="21"/>
        </w:rPr>
      </w:pPr>
      <w:r>
        <w:rPr>
          <w:rFonts w:hint="eastAsia"/>
          <w:sz w:val="21"/>
          <w:szCs w:val="21"/>
        </w:rPr>
        <w:t xml:space="preserve">3、证券交易所、登记机构、基金托管人及其他代理机构可能违约，导致基金或投资人利益受损的风险。 </w:t>
      </w:r>
    </w:p>
    <w:p w14:paraId="05750135">
      <w:pPr>
        <w:pStyle w:val="7"/>
        <w:spacing w:before="0" w:beforeAutospacing="0" w:after="0" w:afterAutospacing="0" w:line="360" w:lineRule="auto"/>
        <w:ind w:firstLine="420"/>
        <w:rPr>
          <w:sz w:val="21"/>
          <w:szCs w:val="21"/>
        </w:rPr>
      </w:pPr>
      <w:r>
        <w:rPr>
          <w:rStyle w:val="11"/>
          <w:rFonts w:hint="eastAsia"/>
          <w:sz w:val="21"/>
          <w:szCs w:val="21"/>
        </w:rPr>
        <w:t>十八、股指期货投资风险</w:t>
      </w:r>
    </w:p>
    <w:p w14:paraId="15E02072">
      <w:pPr>
        <w:pStyle w:val="7"/>
        <w:spacing w:before="0" w:beforeAutospacing="0" w:after="0" w:afterAutospacing="0" w:line="360" w:lineRule="auto"/>
        <w:ind w:firstLine="420"/>
        <w:rPr>
          <w:sz w:val="21"/>
          <w:szCs w:val="21"/>
        </w:rPr>
      </w:pPr>
      <w:r>
        <w:rPr>
          <w:rFonts w:hint="eastAsia"/>
          <w:sz w:val="21"/>
          <w:szCs w:val="21"/>
        </w:rPr>
        <w:t xml:space="preserve">1、杠杆风险 </w:t>
      </w:r>
    </w:p>
    <w:p w14:paraId="1196E9DD">
      <w:pPr>
        <w:pStyle w:val="7"/>
        <w:spacing w:before="0" w:beforeAutospacing="0" w:after="0" w:afterAutospacing="0" w:line="360" w:lineRule="auto"/>
        <w:ind w:firstLine="420"/>
        <w:rPr>
          <w:sz w:val="21"/>
          <w:szCs w:val="21"/>
        </w:rPr>
      </w:pPr>
      <w:r>
        <w:rPr>
          <w:rFonts w:hint="eastAsia"/>
          <w:sz w:val="21"/>
          <w:szCs w:val="21"/>
        </w:rPr>
        <w:t xml:space="preserve">股指期货投资具有高杠杆特性，因此会放大基础资产所产生的盈利或损失，加大本基金收益的波动性。 </w:t>
      </w:r>
    </w:p>
    <w:p w14:paraId="2D4AFD2D">
      <w:pPr>
        <w:pStyle w:val="7"/>
        <w:spacing w:before="0" w:beforeAutospacing="0" w:after="0" w:afterAutospacing="0" w:line="360" w:lineRule="auto"/>
        <w:ind w:firstLine="420"/>
        <w:rPr>
          <w:sz w:val="21"/>
          <w:szCs w:val="21"/>
        </w:rPr>
      </w:pPr>
      <w:r>
        <w:rPr>
          <w:rFonts w:hint="eastAsia"/>
          <w:sz w:val="21"/>
          <w:szCs w:val="21"/>
        </w:rPr>
        <w:t xml:space="preserve">2、基差风险 </w:t>
      </w:r>
    </w:p>
    <w:p w14:paraId="4CF45EE6">
      <w:pPr>
        <w:pStyle w:val="7"/>
        <w:spacing w:before="0" w:beforeAutospacing="0" w:after="0" w:afterAutospacing="0" w:line="360" w:lineRule="auto"/>
        <w:ind w:firstLine="420"/>
        <w:rPr>
          <w:sz w:val="21"/>
          <w:szCs w:val="21"/>
        </w:rPr>
      </w:pPr>
      <w:r>
        <w:rPr>
          <w:rFonts w:hint="eastAsia"/>
          <w:sz w:val="21"/>
          <w:szCs w:val="21"/>
        </w:rPr>
        <w:t xml:space="preserve">基差是指股票指数现货价格与股指期货价格之间的差额。若本基金运作中出现基差波动不确定性加大、基差向不利方向变动等情况，则可能对本基金投资产生影响。 </w:t>
      </w:r>
    </w:p>
    <w:p w14:paraId="069D4759">
      <w:pPr>
        <w:pStyle w:val="7"/>
        <w:spacing w:before="0" w:beforeAutospacing="0" w:after="0" w:afterAutospacing="0" w:line="360" w:lineRule="auto"/>
        <w:ind w:firstLine="420"/>
        <w:rPr>
          <w:sz w:val="21"/>
          <w:szCs w:val="21"/>
        </w:rPr>
      </w:pPr>
      <w:r>
        <w:rPr>
          <w:rFonts w:hint="eastAsia"/>
          <w:sz w:val="21"/>
          <w:szCs w:val="21"/>
        </w:rPr>
        <w:t xml:space="preserve">3、合约展期风险 </w:t>
      </w:r>
    </w:p>
    <w:p w14:paraId="774C6EA5">
      <w:pPr>
        <w:pStyle w:val="7"/>
        <w:spacing w:before="0" w:beforeAutospacing="0" w:after="0" w:afterAutospacing="0" w:line="360" w:lineRule="auto"/>
        <w:ind w:firstLine="420"/>
        <w:rPr>
          <w:sz w:val="21"/>
          <w:szCs w:val="21"/>
        </w:rPr>
      </w:pPr>
      <w:r>
        <w:rPr>
          <w:rFonts w:hint="eastAsia"/>
          <w:sz w:val="21"/>
          <w:szCs w:val="21"/>
        </w:rPr>
        <w:t xml:space="preserve">本基金所投资的期货合约主要包括股指期货当月和近月合约。当基金所持有的合约临近交割期限，即需要向较远月份的合约进行展期，展期过程中可能发生价差损失以及交易成本损失，将对投资收益产生影响。 </w:t>
      </w:r>
    </w:p>
    <w:p w14:paraId="5043CDF3">
      <w:pPr>
        <w:pStyle w:val="7"/>
        <w:spacing w:before="0" w:beforeAutospacing="0" w:after="0" w:afterAutospacing="0" w:line="360" w:lineRule="auto"/>
        <w:ind w:firstLine="420"/>
        <w:rPr>
          <w:sz w:val="21"/>
          <w:szCs w:val="21"/>
        </w:rPr>
      </w:pPr>
      <w:r>
        <w:rPr>
          <w:rFonts w:hint="eastAsia"/>
          <w:sz w:val="21"/>
          <w:szCs w:val="21"/>
        </w:rPr>
        <w:t xml:space="preserve">4、模型风险 </w:t>
      </w:r>
    </w:p>
    <w:p w14:paraId="62AA3FC8">
      <w:pPr>
        <w:pStyle w:val="7"/>
        <w:spacing w:before="0" w:beforeAutospacing="0" w:after="0" w:afterAutospacing="0" w:line="360" w:lineRule="auto"/>
        <w:ind w:firstLine="420"/>
        <w:rPr>
          <w:sz w:val="21"/>
          <w:szCs w:val="21"/>
        </w:rPr>
      </w:pPr>
      <w:r>
        <w:rPr>
          <w:rFonts w:hint="eastAsia"/>
          <w:sz w:val="21"/>
          <w:szCs w:val="21"/>
        </w:rPr>
        <w:t xml:space="preserve">股指期货合约属于虚拟投资品种，投资过程中需要通过模型进行风险定价，当投资人员使用了错误模型或者选择了不当的参数，会导致对风险或交易价格的估计错误而造成损失，损害本基金的投资收益。 </w:t>
      </w:r>
    </w:p>
    <w:p w14:paraId="393C9198">
      <w:pPr>
        <w:pStyle w:val="7"/>
        <w:spacing w:before="0" w:beforeAutospacing="0" w:after="0" w:afterAutospacing="0" w:line="360" w:lineRule="auto"/>
        <w:ind w:firstLine="420"/>
        <w:rPr>
          <w:sz w:val="21"/>
          <w:szCs w:val="21"/>
        </w:rPr>
      </w:pPr>
      <w:r>
        <w:rPr>
          <w:rStyle w:val="11"/>
          <w:rFonts w:hint="eastAsia"/>
          <w:sz w:val="21"/>
          <w:szCs w:val="21"/>
        </w:rPr>
        <w:t>十九、资产支持证券（ABS）的风险</w:t>
      </w:r>
    </w:p>
    <w:p w14:paraId="50C72FE8">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09DE8FB">
      <w:pPr>
        <w:pStyle w:val="7"/>
        <w:spacing w:before="0" w:beforeAutospacing="0" w:after="0" w:afterAutospacing="0" w:line="360" w:lineRule="auto"/>
        <w:ind w:firstLine="420"/>
        <w:rPr>
          <w:sz w:val="21"/>
          <w:szCs w:val="21"/>
        </w:rPr>
      </w:pPr>
      <w:r>
        <w:rPr>
          <w:rStyle w:val="11"/>
          <w:rFonts w:hint="eastAsia"/>
          <w:sz w:val="21"/>
          <w:szCs w:val="21"/>
        </w:rPr>
        <w:t>二十、股票期权风险</w:t>
      </w:r>
    </w:p>
    <w:p w14:paraId="14955CF1">
      <w:pPr>
        <w:pStyle w:val="7"/>
        <w:spacing w:before="0" w:beforeAutospacing="0" w:after="0" w:afterAutospacing="0" w:line="360" w:lineRule="auto"/>
        <w:ind w:firstLine="420"/>
        <w:rPr>
          <w:sz w:val="21"/>
          <w:szCs w:val="21"/>
        </w:rPr>
      </w:pPr>
      <w:r>
        <w:rPr>
          <w:rFonts w:hint="eastAsia"/>
          <w:sz w:val="21"/>
          <w:szCs w:val="21"/>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14:paraId="152F8F9D">
      <w:pPr>
        <w:pStyle w:val="7"/>
        <w:spacing w:before="0" w:beforeAutospacing="0" w:after="0" w:afterAutospacing="0" w:line="360" w:lineRule="auto"/>
        <w:ind w:firstLine="420"/>
        <w:rPr>
          <w:sz w:val="21"/>
          <w:szCs w:val="21"/>
        </w:rPr>
      </w:pPr>
      <w:r>
        <w:rPr>
          <w:rFonts w:hint="eastAsia"/>
          <w:sz w:val="21"/>
          <w:szCs w:val="21"/>
        </w:rPr>
        <w:t xml:space="preserve">价格风险：股票期权买方的价格风险即为他所付出的权利金，风险具有确定性。股票期权卖方的价格风险不定，不过其所收取的权利金可以提供相应保护，当发生亏损时，可以抵消部分损失。 </w:t>
      </w:r>
    </w:p>
    <w:p w14:paraId="09172FFD">
      <w:pPr>
        <w:pStyle w:val="7"/>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操作风险：操作风险是指由于管理不善或者制度执行出现问题等原因所导致的风险。股票期权作为一种衍生品，虽然可以用来管理风险，但若使用不当，也会产生巨额损失。 </w:t>
      </w:r>
    </w:p>
    <w:p w14:paraId="4E88E982">
      <w:pPr>
        <w:pStyle w:val="7"/>
        <w:spacing w:before="0" w:beforeAutospacing="0" w:after="0" w:afterAutospacing="0" w:line="360" w:lineRule="auto"/>
        <w:ind w:firstLine="420"/>
        <w:rPr>
          <w:sz w:val="21"/>
          <w:szCs w:val="21"/>
        </w:rPr>
      </w:pPr>
      <w:r>
        <w:rPr>
          <w:rStyle w:val="11"/>
          <w:rFonts w:hint="eastAsia"/>
          <w:sz w:val="21"/>
          <w:szCs w:val="21"/>
        </w:rPr>
        <w:t>二十一、融资业务的主要风险</w:t>
      </w:r>
    </w:p>
    <w:p w14:paraId="367570FB">
      <w:pPr>
        <w:pStyle w:val="7"/>
        <w:spacing w:before="0" w:beforeAutospacing="0" w:after="0" w:afterAutospacing="0" w:line="360" w:lineRule="auto"/>
        <w:ind w:firstLine="420"/>
        <w:rPr>
          <w:sz w:val="21"/>
          <w:szCs w:val="21"/>
        </w:rPr>
      </w:pPr>
      <w:r>
        <w:rPr>
          <w:rFonts w:hint="eastAsia"/>
          <w:sz w:val="21"/>
          <w:szCs w:val="21"/>
        </w:rPr>
        <w:t xml:space="preserve">1、杠杆效应放大风险 </w:t>
      </w:r>
    </w:p>
    <w:p w14:paraId="2BB89EC3">
      <w:pPr>
        <w:pStyle w:val="7"/>
        <w:spacing w:before="0" w:beforeAutospacing="0" w:after="0" w:afterAutospacing="0" w:line="360" w:lineRule="auto"/>
        <w:ind w:firstLine="420"/>
        <w:rPr>
          <w:sz w:val="21"/>
          <w:szCs w:val="21"/>
        </w:rPr>
      </w:pPr>
      <w:r>
        <w:rPr>
          <w:rFonts w:hint="eastAsia"/>
          <w:sz w:val="21"/>
          <w:szCs w:val="21"/>
        </w:rPr>
        <w:t xml:space="preserve">投资者通过融资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720DD32A">
      <w:pPr>
        <w:pStyle w:val="7"/>
        <w:spacing w:before="0" w:beforeAutospacing="0" w:after="0" w:afterAutospacing="0" w:line="360" w:lineRule="auto"/>
        <w:ind w:firstLine="420"/>
        <w:rPr>
          <w:sz w:val="21"/>
          <w:szCs w:val="21"/>
        </w:rPr>
      </w:pPr>
      <w:r>
        <w:rPr>
          <w:rFonts w:hint="eastAsia"/>
          <w:sz w:val="21"/>
          <w:szCs w:val="21"/>
        </w:rPr>
        <w:t xml:space="preserve">2、担保能力及限制交易风险 </w:t>
      </w:r>
    </w:p>
    <w:p w14:paraId="75F36E65">
      <w:pPr>
        <w:pStyle w:val="7"/>
        <w:spacing w:before="0" w:beforeAutospacing="0" w:after="0" w:afterAutospacing="0" w:line="360" w:lineRule="auto"/>
        <w:ind w:firstLine="420"/>
        <w:rPr>
          <w:sz w:val="21"/>
          <w:szCs w:val="21"/>
        </w:rPr>
      </w:pPr>
      <w:r>
        <w:rPr>
          <w:rFonts w:hint="eastAsia"/>
          <w:sz w:val="21"/>
          <w:szCs w:val="21"/>
        </w:rPr>
        <w:t xml:space="preserve">单只或全部证券被暂停融资、投资者账户被暂停或取消融资资格等，这些影响可能给投资者造成经济损失。此外，投资者也可能面临由于自身维持担保比例低于融资合同约定的担保要求，且未能及时补充担保物，导致信用账户交易受到限制，从而造成经济损失。 </w:t>
      </w:r>
    </w:p>
    <w:p w14:paraId="3B7ED271">
      <w:pPr>
        <w:pStyle w:val="7"/>
        <w:spacing w:before="0" w:beforeAutospacing="0" w:after="0" w:afterAutospacing="0" w:line="360" w:lineRule="auto"/>
        <w:ind w:firstLine="420"/>
        <w:rPr>
          <w:sz w:val="21"/>
          <w:szCs w:val="21"/>
        </w:rPr>
      </w:pPr>
      <w:r>
        <w:rPr>
          <w:rFonts w:hint="eastAsia"/>
          <w:sz w:val="21"/>
          <w:szCs w:val="21"/>
        </w:rPr>
        <w:t xml:space="preserve">3、强制平仓风险 </w:t>
      </w:r>
    </w:p>
    <w:p w14:paraId="675656E3">
      <w:pPr>
        <w:pStyle w:val="7"/>
        <w:spacing w:before="0" w:beforeAutospacing="0" w:after="0" w:afterAutospacing="0" w:line="360" w:lineRule="auto"/>
        <w:ind w:firstLine="420"/>
        <w:rPr>
          <w:sz w:val="21"/>
          <w:szCs w:val="21"/>
        </w:rPr>
      </w:pPr>
      <w:r>
        <w:rPr>
          <w:rFonts w:hint="eastAsia"/>
          <w:sz w:val="21"/>
          <w:szCs w:val="21"/>
        </w:rPr>
        <w:t xml:space="preserve">投资者在从事融资交易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5C96582A">
      <w:pPr>
        <w:pStyle w:val="7"/>
        <w:spacing w:before="0" w:beforeAutospacing="0" w:after="0" w:afterAutospacing="0" w:line="360" w:lineRule="auto"/>
        <w:ind w:firstLine="420"/>
        <w:rPr>
          <w:sz w:val="21"/>
          <w:szCs w:val="21"/>
        </w:rPr>
      </w:pPr>
      <w:r>
        <w:rPr>
          <w:rStyle w:val="11"/>
          <w:rFonts w:hint="eastAsia"/>
          <w:sz w:val="21"/>
          <w:szCs w:val="21"/>
        </w:rPr>
        <w:t>二十二、转融通证券出借的主要风险</w:t>
      </w:r>
    </w:p>
    <w:p w14:paraId="21D6C9CA">
      <w:pPr>
        <w:pStyle w:val="7"/>
        <w:spacing w:before="0" w:beforeAutospacing="0" w:after="0" w:afterAutospacing="0" w:line="360" w:lineRule="auto"/>
        <w:ind w:firstLine="420"/>
        <w:rPr>
          <w:sz w:val="21"/>
          <w:szCs w:val="21"/>
        </w:rPr>
      </w:pPr>
      <w:r>
        <w:rPr>
          <w:rFonts w:hint="eastAsia"/>
          <w:sz w:val="21"/>
          <w:szCs w:val="21"/>
        </w:rPr>
        <w:t xml:space="preserve">1、流动性风险：出借人在出借证券后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11A3BD4E">
      <w:pPr>
        <w:pStyle w:val="7"/>
        <w:spacing w:before="0" w:beforeAutospacing="0" w:after="0" w:afterAutospacing="0" w:line="360" w:lineRule="auto"/>
        <w:ind w:firstLine="420"/>
        <w:rPr>
          <w:sz w:val="21"/>
          <w:szCs w:val="21"/>
        </w:rPr>
      </w:pPr>
      <w:r>
        <w:rPr>
          <w:rFonts w:hint="eastAsia"/>
          <w:sz w:val="21"/>
          <w:szCs w:val="21"/>
        </w:rPr>
        <w:t xml:space="preserve">2、提前或延迟了结风险：证券出借期间，如发生标的证券范围调整、标的证券暂停交易、标的证券对应的上市公司被以终止上市为目的进行收购、终止上市等情况，可能面临合约提前了结或延迟了结的风险。 </w:t>
      </w:r>
    </w:p>
    <w:p w14:paraId="56CD8577">
      <w:pPr>
        <w:pStyle w:val="7"/>
        <w:spacing w:before="0" w:beforeAutospacing="0" w:after="0" w:afterAutospacing="0" w:line="360" w:lineRule="auto"/>
        <w:ind w:firstLine="420"/>
        <w:rPr>
          <w:sz w:val="21"/>
          <w:szCs w:val="21"/>
        </w:rPr>
      </w:pPr>
      <w:r>
        <w:rPr>
          <w:rFonts w:hint="eastAsia"/>
          <w:sz w:val="21"/>
          <w:szCs w:val="21"/>
        </w:rPr>
        <w:t xml:space="preserve">3、市场风险：转融通出借收益按照证券当日收市后市值、融出日（或展期日）费率和实际出借天数计算，因此可能面临证券市值波动、费率变动而导致的市场风险。 </w:t>
      </w:r>
    </w:p>
    <w:p w14:paraId="27C48691">
      <w:pPr>
        <w:pStyle w:val="7"/>
        <w:spacing w:before="0" w:beforeAutospacing="0" w:after="0" w:afterAutospacing="0" w:line="360" w:lineRule="auto"/>
        <w:ind w:firstLine="420"/>
        <w:rPr>
          <w:sz w:val="21"/>
          <w:szCs w:val="21"/>
        </w:rPr>
      </w:pPr>
      <w:r>
        <w:rPr>
          <w:rFonts w:hint="eastAsia"/>
          <w:sz w:val="21"/>
          <w:szCs w:val="21"/>
        </w:rPr>
        <w:t xml:space="preserve">4、跟踪误差风险：对于指数型组合，当组合发生大额赎回或市场大幅波动时，存在由于转融通出借证券无法提前了结并变现，单一股票占比被动上升而导致组合跟踪误差扩大的风险。 </w:t>
      </w:r>
    </w:p>
    <w:p w14:paraId="030DED0F">
      <w:pPr>
        <w:pStyle w:val="7"/>
        <w:spacing w:before="0" w:beforeAutospacing="0" w:after="0" w:afterAutospacing="0" w:line="360" w:lineRule="auto"/>
        <w:ind w:firstLine="420"/>
        <w:rPr>
          <w:sz w:val="21"/>
          <w:szCs w:val="21"/>
        </w:rPr>
      </w:pPr>
      <w:r>
        <w:rPr>
          <w:rFonts w:hint="eastAsia"/>
          <w:sz w:val="21"/>
          <w:szCs w:val="21"/>
        </w:rPr>
        <w:t xml:space="preserve">5、交易对手违约风险：存在由于交易对手违约而导致证券到期不能按时或足额归还、相应权益补偿和借券费用不能支付等交易对手违约风险。 </w:t>
      </w:r>
    </w:p>
    <w:p w14:paraId="48B4A0A5">
      <w:pPr>
        <w:pStyle w:val="7"/>
        <w:spacing w:before="0" w:beforeAutospacing="0" w:after="0" w:afterAutospacing="0" w:line="360" w:lineRule="auto"/>
        <w:ind w:firstLine="420"/>
        <w:rPr>
          <w:sz w:val="21"/>
          <w:szCs w:val="21"/>
        </w:rPr>
      </w:pPr>
      <w:r>
        <w:rPr>
          <w:rFonts w:hint="eastAsia"/>
          <w:sz w:val="21"/>
          <w:szCs w:val="21"/>
        </w:rPr>
        <w:t xml:space="preserve">6、操作风险：转融通业务具体实施过程中，在投资决策、交易等环节，可能面临由于操作人员操作失误、系统不完善等原因引发的操作风险。 </w:t>
      </w:r>
    </w:p>
    <w:p w14:paraId="34CB50D7">
      <w:pPr>
        <w:pStyle w:val="7"/>
        <w:spacing w:before="0" w:beforeAutospacing="0" w:after="0" w:afterAutospacing="0" w:line="360" w:lineRule="auto"/>
        <w:ind w:firstLine="420"/>
        <w:rPr>
          <w:sz w:val="21"/>
          <w:szCs w:val="21"/>
        </w:rPr>
      </w:pPr>
      <w:r>
        <w:rPr>
          <w:rFonts w:hint="eastAsia"/>
          <w:sz w:val="21"/>
          <w:szCs w:val="21"/>
        </w:rPr>
        <w:t xml:space="preserve">7、法律合规风险：在转融通证券出借过程中，存在由于标的证券价格波动导致组合合规指标超标且无法进行调整的风险，以及在证券出借业务中发生操纵价格、利益输送等法律合规风险。 </w:t>
      </w:r>
    </w:p>
    <w:p w14:paraId="03C6D99D">
      <w:pPr>
        <w:pStyle w:val="7"/>
        <w:spacing w:before="0" w:beforeAutospacing="0" w:after="0" w:afterAutospacing="0" w:line="360" w:lineRule="auto"/>
        <w:ind w:firstLine="420"/>
        <w:rPr>
          <w:sz w:val="21"/>
          <w:szCs w:val="21"/>
        </w:rPr>
      </w:pPr>
      <w:r>
        <w:rPr>
          <w:rStyle w:val="11"/>
          <w:rFonts w:hint="eastAsia"/>
          <w:sz w:val="21"/>
          <w:szCs w:val="21"/>
        </w:rPr>
        <w:t>二十三、港股通机制下，港股投资风险</w:t>
      </w:r>
    </w:p>
    <w:p w14:paraId="48EED458">
      <w:pPr>
        <w:pStyle w:val="7"/>
        <w:spacing w:before="0" w:beforeAutospacing="0" w:after="0" w:afterAutospacing="0" w:line="360" w:lineRule="auto"/>
        <w:ind w:firstLine="420"/>
        <w:rPr>
          <w:sz w:val="21"/>
          <w:szCs w:val="21"/>
        </w:rPr>
      </w:pPr>
      <w:r>
        <w:rPr>
          <w:rFonts w:hint="eastAsia"/>
          <w:sz w:val="21"/>
          <w:szCs w:val="21"/>
        </w:rPr>
        <w:t xml:space="preserve">本基金投资范围为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 </w:t>
      </w:r>
    </w:p>
    <w:p w14:paraId="4CF80EF8">
      <w:pPr>
        <w:pStyle w:val="7"/>
        <w:spacing w:before="0" w:beforeAutospacing="0" w:after="0" w:afterAutospacing="0" w:line="360" w:lineRule="auto"/>
        <w:ind w:firstLine="420"/>
        <w:rPr>
          <w:sz w:val="21"/>
          <w:szCs w:val="21"/>
        </w:rPr>
      </w:pPr>
      <w:r>
        <w:rPr>
          <w:rStyle w:val="11"/>
          <w:rFonts w:hint="eastAsia"/>
          <w:sz w:val="21"/>
          <w:szCs w:val="21"/>
        </w:rPr>
        <w:t>二十四、国债期货投资风险</w:t>
      </w:r>
    </w:p>
    <w:p w14:paraId="7270CBE0">
      <w:pPr>
        <w:pStyle w:val="7"/>
        <w:spacing w:before="0" w:beforeAutospacing="0" w:after="0" w:afterAutospacing="0" w:line="360" w:lineRule="auto"/>
        <w:ind w:firstLine="420"/>
        <w:rPr>
          <w:sz w:val="21"/>
          <w:szCs w:val="21"/>
        </w:rPr>
      </w:pPr>
      <w:r>
        <w:rPr>
          <w:rFonts w:hint="eastAsia"/>
          <w:sz w:val="21"/>
          <w:szCs w:val="21"/>
        </w:rPr>
        <w:t xml:space="preserve">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03D12C88">
      <w:pPr>
        <w:pStyle w:val="7"/>
        <w:spacing w:before="0" w:beforeAutospacing="0" w:after="0" w:afterAutospacing="0" w:line="360" w:lineRule="auto"/>
        <w:ind w:firstLine="420"/>
        <w:rPr>
          <w:sz w:val="21"/>
          <w:szCs w:val="21"/>
        </w:rPr>
      </w:pPr>
      <w:r>
        <w:rPr>
          <w:rStyle w:val="11"/>
          <w:rFonts w:hint="eastAsia"/>
          <w:sz w:val="21"/>
          <w:szCs w:val="21"/>
        </w:rPr>
        <w:t>二十五、投资于存托凭证的风险</w:t>
      </w:r>
    </w:p>
    <w:p w14:paraId="7A553998">
      <w:pPr>
        <w:pStyle w:val="7"/>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57FCEE59">
      <w:pPr>
        <w:pStyle w:val="7"/>
        <w:spacing w:before="0" w:beforeAutospacing="0" w:after="0" w:afterAutospacing="0" w:line="360" w:lineRule="auto"/>
        <w:ind w:firstLine="420"/>
        <w:rPr>
          <w:b/>
          <w:bCs/>
          <w:sz w:val="21"/>
          <w:szCs w:val="21"/>
        </w:rPr>
      </w:pPr>
      <w:r>
        <w:rPr>
          <w:rFonts w:hint="eastAsia"/>
          <w:b/>
          <w:bCs/>
          <w:sz w:val="21"/>
          <w:szCs w:val="21"/>
        </w:rPr>
        <w:t>二十</w:t>
      </w:r>
      <w:r>
        <w:rPr>
          <w:rFonts w:hint="eastAsia"/>
          <w:b/>
          <w:bCs/>
          <w:sz w:val="21"/>
          <w:szCs w:val="21"/>
          <w:lang w:val="en-US" w:eastAsia="zh-CN"/>
        </w:rPr>
        <w:t>六</w:t>
      </w:r>
      <w:r>
        <w:rPr>
          <w:rFonts w:hint="eastAsia"/>
          <w:b/>
          <w:bCs/>
          <w:sz w:val="21"/>
          <w:szCs w:val="21"/>
        </w:rPr>
        <w:t>、投资北交所股票的风险</w:t>
      </w:r>
    </w:p>
    <w:p w14:paraId="4AAEB2E3">
      <w:pPr>
        <w:pStyle w:val="7"/>
        <w:spacing w:before="0" w:beforeAutospacing="0" w:after="0" w:afterAutospacing="0" w:line="360" w:lineRule="auto"/>
        <w:ind w:firstLine="420"/>
        <w:jc w:val="both"/>
        <w:rPr>
          <w:sz w:val="21"/>
          <w:szCs w:val="21"/>
        </w:rPr>
      </w:pPr>
      <w:r>
        <w:rPr>
          <w:sz w:val="21"/>
          <w:szCs w:val="21"/>
        </w:rPr>
        <w:t>本基金标的指数成份股可能包含北京证券交易所股票。北京证券交易所主要服务于创新型中小企业，在发行、上市、交易、退市等方面的规则与其他交易场所存在差异。本基金如投资北京证券交易所股票，可能面临的风险包括但不限于：</w:t>
      </w:r>
    </w:p>
    <w:p w14:paraId="2CD151C2">
      <w:pPr>
        <w:pStyle w:val="7"/>
        <w:spacing w:before="0" w:beforeAutospacing="0" w:after="0" w:afterAutospacing="0" w:line="360" w:lineRule="auto"/>
        <w:ind w:firstLine="420"/>
        <w:jc w:val="both"/>
        <w:rPr>
          <w:sz w:val="21"/>
          <w:szCs w:val="21"/>
        </w:rPr>
      </w:pPr>
      <w:r>
        <w:rPr>
          <w:sz w:val="21"/>
          <w:szCs w:val="21"/>
        </w:rPr>
        <w:t>1、中小企业经营风险</w:t>
      </w:r>
    </w:p>
    <w:p w14:paraId="3BC797E8">
      <w:pPr>
        <w:pStyle w:val="7"/>
        <w:spacing w:before="0" w:beforeAutospacing="0" w:after="0" w:afterAutospacing="0" w:line="360" w:lineRule="auto"/>
        <w:ind w:firstLine="420"/>
        <w:jc w:val="both"/>
        <w:rPr>
          <w:sz w:val="21"/>
          <w:szCs w:val="21"/>
        </w:rPr>
      </w:pPr>
      <w:r>
        <w:rPr>
          <w:sz w:val="21"/>
          <w:szCs w:val="21"/>
        </w:rPr>
        <w:t>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w:t>
      </w:r>
    </w:p>
    <w:p w14:paraId="7744F3CD">
      <w:pPr>
        <w:pStyle w:val="7"/>
        <w:spacing w:before="0" w:beforeAutospacing="0" w:after="0" w:afterAutospacing="0" w:line="360" w:lineRule="auto"/>
        <w:ind w:firstLine="420"/>
        <w:jc w:val="both"/>
        <w:rPr>
          <w:sz w:val="21"/>
          <w:szCs w:val="21"/>
        </w:rPr>
      </w:pPr>
      <w:r>
        <w:rPr>
          <w:sz w:val="21"/>
          <w:szCs w:val="21"/>
        </w:rPr>
        <w:t>2、股价大幅波动风险</w:t>
      </w:r>
    </w:p>
    <w:p w14:paraId="59EAC9F5">
      <w:pPr>
        <w:pStyle w:val="7"/>
        <w:spacing w:before="0" w:beforeAutospacing="0" w:after="0" w:afterAutospacing="0" w:line="360" w:lineRule="auto"/>
        <w:ind w:firstLine="420"/>
        <w:jc w:val="both"/>
        <w:rPr>
          <w:sz w:val="21"/>
          <w:szCs w:val="21"/>
        </w:rPr>
      </w:pPr>
      <w:r>
        <w:rPr>
          <w:sz w:val="21"/>
          <w:szCs w:val="21"/>
        </w:rPr>
        <w:t>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w:t>
      </w:r>
    </w:p>
    <w:p w14:paraId="019DDE96">
      <w:pPr>
        <w:pStyle w:val="7"/>
        <w:spacing w:before="0" w:beforeAutospacing="0" w:after="0" w:afterAutospacing="0" w:line="360" w:lineRule="auto"/>
        <w:ind w:firstLine="420"/>
        <w:jc w:val="both"/>
        <w:rPr>
          <w:sz w:val="21"/>
          <w:szCs w:val="21"/>
        </w:rPr>
      </w:pPr>
      <w:r>
        <w:rPr>
          <w:sz w:val="21"/>
          <w:szCs w:val="21"/>
        </w:rPr>
        <w:t>3、退市风险</w:t>
      </w:r>
    </w:p>
    <w:p w14:paraId="79E13FFF">
      <w:pPr>
        <w:pStyle w:val="7"/>
        <w:spacing w:before="0" w:beforeAutospacing="0" w:after="0" w:afterAutospacing="0" w:line="360" w:lineRule="auto"/>
        <w:ind w:firstLine="420"/>
        <w:jc w:val="both"/>
        <w:rPr>
          <w:sz w:val="21"/>
          <w:szCs w:val="21"/>
        </w:rPr>
      </w:pPr>
      <w:r>
        <w:rPr>
          <w:sz w:val="21"/>
          <w:szCs w:val="21"/>
        </w:rPr>
        <w:t>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w:t>
      </w:r>
    </w:p>
    <w:p w14:paraId="52BE51E6">
      <w:pPr>
        <w:pStyle w:val="7"/>
        <w:spacing w:before="0" w:beforeAutospacing="0" w:after="0" w:afterAutospacing="0" w:line="360" w:lineRule="auto"/>
        <w:ind w:firstLine="420"/>
        <w:jc w:val="both"/>
        <w:rPr>
          <w:sz w:val="21"/>
          <w:szCs w:val="21"/>
        </w:rPr>
      </w:pPr>
      <w:r>
        <w:rPr>
          <w:sz w:val="21"/>
          <w:szCs w:val="21"/>
        </w:rPr>
        <w:t>4、企业流动性风险</w:t>
      </w:r>
    </w:p>
    <w:p w14:paraId="584DFFC3">
      <w:pPr>
        <w:pStyle w:val="7"/>
        <w:spacing w:before="0" w:beforeAutospacing="0" w:after="0" w:afterAutospacing="0" w:line="360" w:lineRule="auto"/>
        <w:ind w:firstLine="420"/>
        <w:jc w:val="both"/>
        <w:rPr>
          <w:sz w:val="21"/>
          <w:szCs w:val="21"/>
        </w:rPr>
      </w:pPr>
      <w:r>
        <w:rPr>
          <w:sz w:val="21"/>
          <w:szCs w:val="21"/>
        </w:rPr>
        <w:t>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w:t>
      </w:r>
    </w:p>
    <w:p w14:paraId="44307C0F">
      <w:pPr>
        <w:pStyle w:val="7"/>
        <w:spacing w:before="0" w:beforeAutospacing="0" w:after="0" w:afterAutospacing="0" w:line="360" w:lineRule="auto"/>
        <w:ind w:firstLine="420"/>
        <w:jc w:val="both"/>
        <w:rPr>
          <w:sz w:val="21"/>
          <w:szCs w:val="21"/>
        </w:rPr>
      </w:pPr>
      <w:r>
        <w:rPr>
          <w:sz w:val="21"/>
          <w:szCs w:val="21"/>
        </w:rPr>
        <w:t>5、监管规则变化的风险</w:t>
      </w:r>
    </w:p>
    <w:p w14:paraId="4B4552AF">
      <w:pPr>
        <w:pStyle w:val="7"/>
        <w:spacing w:before="0" w:beforeAutospacing="0" w:after="0" w:afterAutospacing="0" w:line="360" w:lineRule="auto"/>
        <w:ind w:firstLine="420"/>
        <w:jc w:val="both"/>
        <w:rPr>
          <w:rFonts w:hint="eastAsia"/>
          <w:sz w:val="21"/>
          <w:szCs w:val="21"/>
        </w:rPr>
      </w:pPr>
      <w:r>
        <w:rPr>
          <w:sz w:val="21"/>
          <w:szCs w:val="21"/>
        </w:rPr>
        <w:t>北京证券交易所相关法律、行政法规、部门规章、规范性文件和交易所业务规则，可能根据市场情况进行修改完善，或者补充制定新的法律法规和业务规则，可能对基金投资运作产生影响，或导致基金投资运作相应调整变化。</w:t>
      </w:r>
    </w:p>
    <w:p w14:paraId="095BBF79">
      <w:pPr>
        <w:pStyle w:val="7"/>
        <w:spacing w:before="0" w:beforeAutospacing="0" w:after="0" w:afterAutospacing="0" w:line="360" w:lineRule="auto"/>
        <w:ind w:firstLine="420"/>
        <w:rPr>
          <w:sz w:val="21"/>
          <w:szCs w:val="21"/>
        </w:rPr>
      </w:pPr>
      <w:r>
        <w:rPr>
          <w:rStyle w:val="11"/>
          <w:rFonts w:hint="eastAsia"/>
          <w:sz w:val="21"/>
          <w:szCs w:val="21"/>
        </w:rPr>
        <w:t>二十</w:t>
      </w:r>
      <w:r>
        <w:rPr>
          <w:rStyle w:val="11"/>
          <w:rFonts w:hint="eastAsia"/>
          <w:sz w:val="21"/>
          <w:szCs w:val="21"/>
          <w:lang w:val="en-US" w:eastAsia="zh-CN"/>
        </w:rPr>
        <w:t>七</w:t>
      </w:r>
      <w:r>
        <w:rPr>
          <w:rStyle w:val="11"/>
          <w:rFonts w:hint="eastAsia"/>
          <w:sz w:val="21"/>
          <w:szCs w:val="21"/>
        </w:rPr>
        <w:t>、基金合同生效后，连续50个工作日出现基金份额持有人数量不满二百人或者基金资产净值低于五千万元情形的，本基金将根据基金合同的约定进行基金财产清算并终止，且无需召开基金份额持有人大会。因此本基金有面临自动清算的风险。</w:t>
      </w:r>
    </w:p>
    <w:p w14:paraId="00B98905">
      <w:pPr>
        <w:pStyle w:val="7"/>
        <w:spacing w:before="0" w:beforeAutospacing="0" w:after="0" w:afterAutospacing="0" w:line="360" w:lineRule="auto"/>
        <w:ind w:firstLine="420"/>
        <w:rPr>
          <w:sz w:val="21"/>
          <w:szCs w:val="21"/>
        </w:rPr>
      </w:pPr>
      <w:r>
        <w:rPr>
          <w:rStyle w:val="11"/>
          <w:rFonts w:hint="eastAsia"/>
          <w:sz w:val="21"/>
          <w:szCs w:val="21"/>
        </w:rPr>
        <w:t>二十</w:t>
      </w:r>
      <w:r>
        <w:rPr>
          <w:rStyle w:val="11"/>
          <w:rFonts w:hint="eastAsia"/>
          <w:sz w:val="21"/>
          <w:szCs w:val="21"/>
          <w:lang w:val="en-US" w:eastAsia="zh-CN"/>
        </w:rPr>
        <w:t>八</w:t>
      </w:r>
      <w:r>
        <w:rPr>
          <w:rStyle w:val="11"/>
          <w:rFonts w:hint="eastAsia"/>
          <w:sz w:val="21"/>
          <w:szCs w:val="21"/>
        </w:rPr>
        <w:t>、管理风险与操作风险 </w:t>
      </w:r>
    </w:p>
    <w:p w14:paraId="6EFC939B">
      <w:pPr>
        <w:pStyle w:val="7"/>
        <w:spacing w:before="0" w:beforeAutospacing="0" w:after="0" w:afterAutospacing="0" w:line="360" w:lineRule="auto"/>
        <w:ind w:firstLine="420"/>
        <w:rPr>
          <w:sz w:val="21"/>
          <w:szCs w:val="21"/>
        </w:rPr>
      </w:pPr>
      <w:r>
        <w:rPr>
          <w:rFonts w:hint="eastAsia"/>
          <w:sz w:val="21"/>
          <w:szCs w:val="21"/>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5AE73E05">
      <w:pPr>
        <w:pStyle w:val="7"/>
        <w:spacing w:before="0" w:beforeAutospacing="0" w:after="0" w:afterAutospacing="0" w:line="360" w:lineRule="auto"/>
        <w:ind w:firstLine="420"/>
        <w:rPr>
          <w:sz w:val="21"/>
          <w:szCs w:val="21"/>
        </w:rPr>
      </w:pPr>
      <w:r>
        <w:rPr>
          <w:rFonts w:hint="eastAsia"/>
          <w:sz w:val="21"/>
          <w:szCs w:val="21"/>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0B52D9B6">
      <w:pPr>
        <w:pStyle w:val="7"/>
        <w:spacing w:before="0" w:beforeAutospacing="0" w:after="0" w:afterAutospacing="0" w:line="360" w:lineRule="auto"/>
        <w:ind w:firstLine="420"/>
        <w:rPr>
          <w:sz w:val="21"/>
          <w:szCs w:val="21"/>
        </w:rPr>
      </w:pPr>
      <w:r>
        <w:rPr>
          <w:rStyle w:val="11"/>
          <w:rFonts w:hint="eastAsia"/>
          <w:sz w:val="21"/>
          <w:szCs w:val="21"/>
        </w:rPr>
        <w:t>二十</w:t>
      </w:r>
      <w:r>
        <w:rPr>
          <w:rStyle w:val="11"/>
          <w:rFonts w:hint="eastAsia"/>
          <w:sz w:val="21"/>
          <w:szCs w:val="21"/>
          <w:lang w:val="en-US" w:eastAsia="zh-CN"/>
        </w:rPr>
        <w:t>九</w:t>
      </w:r>
      <w:r>
        <w:rPr>
          <w:rStyle w:val="11"/>
          <w:rFonts w:hint="eastAsia"/>
          <w:sz w:val="21"/>
          <w:szCs w:val="21"/>
        </w:rPr>
        <w:t>、技术风险</w:t>
      </w:r>
    </w:p>
    <w:p w14:paraId="6CC540D8">
      <w:pPr>
        <w:pStyle w:val="7"/>
        <w:spacing w:before="0" w:beforeAutospacing="0" w:after="0" w:afterAutospacing="0" w:line="360" w:lineRule="auto"/>
        <w:ind w:firstLine="420"/>
        <w:rPr>
          <w:sz w:val="21"/>
          <w:szCs w:val="21"/>
        </w:rPr>
      </w:pPr>
      <w:r>
        <w:rPr>
          <w:rFonts w:hint="eastAsia"/>
          <w:sz w:val="21"/>
          <w:szCs w:val="21"/>
        </w:rPr>
        <w:t xml:space="preserve">在本基金的投资、交易、服务与后台运作等业务过程中，可能因为技术系统的故障或差错导致投资人的利益受到影响。这种技术风险可能来自基金管理人、基金托管人、证券交易所、登记机构及销售代理机构等。 </w:t>
      </w:r>
    </w:p>
    <w:p w14:paraId="7004B90C">
      <w:pPr>
        <w:pStyle w:val="7"/>
        <w:spacing w:before="0" w:beforeAutospacing="0" w:after="0" w:afterAutospacing="0" w:line="360" w:lineRule="auto"/>
        <w:ind w:firstLine="420"/>
        <w:rPr>
          <w:sz w:val="21"/>
          <w:szCs w:val="21"/>
        </w:rPr>
      </w:pPr>
      <w:r>
        <w:rPr>
          <w:rStyle w:val="11"/>
          <w:rFonts w:hint="eastAsia"/>
          <w:sz w:val="21"/>
          <w:szCs w:val="21"/>
          <w:lang w:val="en-US" w:eastAsia="zh-CN"/>
        </w:rPr>
        <w:t>三十</w:t>
      </w:r>
      <w:r>
        <w:rPr>
          <w:rStyle w:val="11"/>
          <w:rFonts w:hint="eastAsia"/>
          <w:sz w:val="21"/>
          <w:szCs w:val="21"/>
        </w:rPr>
        <w:t>、不可抗力 </w:t>
      </w:r>
    </w:p>
    <w:p w14:paraId="67B8FEFA">
      <w:pPr>
        <w:pStyle w:val="7"/>
        <w:spacing w:before="0" w:beforeAutospacing="0" w:after="0" w:afterAutospacing="0" w:line="360" w:lineRule="auto"/>
        <w:ind w:firstLine="420"/>
        <w:rPr>
          <w:sz w:val="21"/>
          <w:szCs w:val="21"/>
        </w:rPr>
      </w:pPr>
      <w:r>
        <w:rPr>
          <w:rFonts w:hint="eastAsia"/>
          <w:sz w:val="21"/>
          <w:szCs w:val="21"/>
        </w:rPr>
        <w:t>战争、自然灾害等不可抗力可能导致基金资产有遭受损失的风险。基金管理人、基金托管人、证券交易所、登记机构和销售代理机构等可能因不可抗力无法正常工作，从而影响基</w:t>
      </w:r>
      <w:bookmarkStart w:id="166" w:name="chapter_level1_22_68_section_1_end"/>
      <w:bookmarkEnd w:id="166"/>
      <w:r>
        <w:rPr>
          <w:rFonts w:hint="eastAsia"/>
          <w:sz w:val="21"/>
          <w:szCs w:val="21"/>
        </w:rPr>
        <w:t xml:space="preserve">金的各项业务按正常时限完成。 </w:t>
      </w:r>
    </w:p>
    <w:p w14:paraId="59C31A99">
      <w:pPr>
        <w:widowControl/>
        <w:jc w:val="left"/>
        <w:rPr>
          <w:rFonts w:ascii="宋体" w:hAnsi="宋体" w:eastAsia="宋体"/>
        </w:rPr>
      </w:pPr>
      <w:r>
        <w:rPr>
          <w:rFonts w:ascii="宋体" w:hAnsi="宋体" w:eastAsia="宋体"/>
        </w:rPr>
        <w:br w:type="page"/>
      </w:r>
    </w:p>
    <w:p w14:paraId="693D06C0">
      <w:pPr>
        <w:pStyle w:val="2"/>
        <w:jc w:val="center"/>
        <w:rPr>
          <w:rFonts w:ascii="宋体" w:hAnsi="宋体" w:eastAsia="宋体"/>
          <w:sz w:val="30"/>
        </w:rPr>
      </w:pPr>
      <w:bookmarkStart w:id="167" w:name="chapter_level1_23_69"/>
      <w:bookmarkStart w:id="168" w:name="_Toc207986799"/>
      <w:r>
        <w:rPr>
          <w:rFonts w:hint="eastAsia" w:ascii="宋体" w:hAnsi="宋体" w:eastAsia="宋体"/>
          <w:sz w:val="30"/>
        </w:rPr>
        <w:t>第十九部分  基金合同的变更、终止与基金财产的清算</w:t>
      </w:r>
      <w:bookmarkEnd w:id="167"/>
      <w:bookmarkEnd w:id="168"/>
    </w:p>
    <w:p w14:paraId="6FA61F7E">
      <w:pPr>
        <w:pStyle w:val="7"/>
        <w:spacing w:before="0" w:beforeAutospacing="0" w:after="0" w:afterAutospacing="0" w:line="360" w:lineRule="auto"/>
        <w:ind w:firstLine="420"/>
        <w:rPr>
          <w:sz w:val="21"/>
          <w:szCs w:val="21"/>
        </w:rPr>
      </w:pPr>
      <w:bookmarkStart w:id="169" w:name="chapter_level1_23_69_section_1"/>
      <w:bookmarkEnd w:id="169"/>
      <w:r>
        <w:rPr>
          <w:rStyle w:val="11"/>
          <w:rFonts w:hint="eastAsia"/>
          <w:sz w:val="21"/>
          <w:szCs w:val="21"/>
        </w:rPr>
        <w:t>一、基金合同的变更</w:t>
      </w:r>
    </w:p>
    <w:p w14:paraId="26273FE9">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438262F">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4058F907">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516C23AD">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7CFA523">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72CFAE70">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BCCC6F7">
      <w:pPr>
        <w:pStyle w:val="7"/>
        <w:spacing w:before="0" w:beforeAutospacing="0" w:after="0" w:afterAutospacing="0" w:line="360" w:lineRule="auto"/>
        <w:ind w:firstLine="420"/>
        <w:rPr>
          <w:sz w:val="21"/>
          <w:szCs w:val="21"/>
        </w:rPr>
      </w:pPr>
      <w:r>
        <w:rPr>
          <w:rFonts w:hint="eastAsia"/>
          <w:sz w:val="21"/>
          <w:szCs w:val="21"/>
        </w:rPr>
        <w:t xml:space="preserve">3、出现标的指数不符合要求（因成份股价格波动等指数编制方法变动之外的因素致使标的指数不符合要求的情形除外）、指数编制机构退出等情形，基金管理人召集基金份额持有人大会对解决方案进行表决，基金份额持有人大会未成功召开或就上述事项表决未通过的； </w:t>
      </w:r>
    </w:p>
    <w:p w14:paraId="23C47190">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4331F8EA">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0597C719">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14461D51">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2199FF5D">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2、基金财产清算小组组成：基金财产清算小组成员由基金管理人、基金托管人、符合《证券法》规定的注册会计师、律师以及中国证监会指定的人员组成。基金财产清算小组可以聘用必要的工作人员。 </w:t>
      </w:r>
    </w:p>
    <w:p w14:paraId="1E93308A">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51CA69BF">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36F87E1B">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6BA65B4">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C041EFB">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957F36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ABA5377">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8285253">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633BDEA">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9037735">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20602983">
      <w:pPr>
        <w:pStyle w:val="7"/>
        <w:spacing w:before="0" w:beforeAutospacing="0" w:after="0" w:afterAutospacing="0" w:line="360" w:lineRule="auto"/>
        <w:ind w:firstLine="420"/>
        <w:rPr>
          <w:sz w:val="21"/>
          <w:szCs w:val="21"/>
        </w:rPr>
      </w:pPr>
      <w:r>
        <w:rPr>
          <w:rStyle w:val="11"/>
          <w:rFonts w:hint="eastAsia"/>
          <w:sz w:val="21"/>
          <w:szCs w:val="21"/>
        </w:rPr>
        <w:t>四、清算费用</w:t>
      </w:r>
    </w:p>
    <w:p w14:paraId="5F8F009B">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0A47F312">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29C04D53">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27A428A">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3887383F">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2758E5FA">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6655A4FB">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基金财产清算账册及有关文件由基金托管人保存20年以上，法律法规或监管规则另有</w:t>
      </w:r>
      <w:bookmarkStart w:id="170" w:name="chapter_level1_23_69_section_1_end"/>
      <w:bookmarkEnd w:id="170"/>
      <w:r>
        <w:rPr>
          <w:rFonts w:hint="eastAsia"/>
          <w:sz w:val="21"/>
          <w:szCs w:val="21"/>
        </w:rPr>
        <w:t xml:space="preserve">规定的从其规定。 </w:t>
      </w:r>
    </w:p>
    <w:p w14:paraId="131CD51C">
      <w:pPr>
        <w:widowControl/>
        <w:jc w:val="left"/>
        <w:rPr>
          <w:rFonts w:ascii="宋体" w:hAnsi="宋体" w:eastAsia="宋体"/>
        </w:rPr>
      </w:pPr>
      <w:r>
        <w:rPr>
          <w:rFonts w:ascii="宋体" w:hAnsi="宋体" w:eastAsia="宋体"/>
        </w:rPr>
        <w:br w:type="page"/>
      </w:r>
    </w:p>
    <w:p w14:paraId="41460F6B">
      <w:pPr>
        <w:pStyle w:val="2"/>
        <w:jc w:val="center"/>
        <w:rPr>
          <w:rFonts w:ascii="宋体" w:hAnsi="宋体" w:eastAsia="宋体"/>
          <w:sz w:val="30"/>
        </w:rPr>
      </w:pPr>
      <w:bookmarkStart w:id="171" w:name="_Toc207986800"/>
      <w:bookmarkStart w:id="172" w:name="chapter_level1_24_71"/>
      <w:r>
        <w:rPr>
          <w:rFonts w:hint="eastAsia" w:ascii="宋体" w:hAnsi="宋体" w:eastAsia="宋体"/>
          <w:sz w:val="30"/>
        </w:rPr>
        <w:t>第二十部分  基金合同的内容摘要</w:t>
      </w:r>
      <w:bookmarkEnd w:id="171"/>
      <w:bookmarkEnd w:id="172"/>
    </w:p>
    <w:p w14:paraId="11D4889F">
      <w:pPr>
        <w:pStyle w:val="7"/>
        <w:spacing w:before="0" w:beforeAutospacing="0" w:after="0" w:afterAutospacing="0" w:line="360" w:lineRule="auto"/>
        <w:ind w:firstLine="420"/>
        <w:rPr>
          <w:sz w:val="21"/>
          <w:szCs w:val="21"/>
        </w:rPr>
      </w:pPr>
      <w:bookmarkStart w:id="173" w:name="chapter_level1_24_71_section_1"/>
      <w:bookmarkEnd w:id="173"/>
      <w:r>
        <w:rPr>
          <w:rStyle w:val="11"/>
          <w:rFonts w:hint="eastAsia"/>
          <w:sz w:val="21"/>
          <w:szCs w:val="21"/>
        </w:rPr>
        <w:t>一、基金份额持有人、基金管理人和基金托管人的权利、义务</w:t>
      </w:r>
    </w:p>
    <w:p w14:paraId="6192F205">
      <w:pPr>
        <w:pStyle w:val="7"/>
        <w:spacing w:before="0" w:beforeAutospacing="0" w:after="0" w:afterAutospacing="0" w:line="360" w:lineRule="auto"/>
        <w:ind w:firstLine="420"/>
        <w:rPr>
          <w:sz w:val="21"/>
          <w:szCs w:val="21"/>
        </w:rPr>
      </w:pPr>
      <w:r>
        <w:rPr>
          <w:rFonts w:hint="eastAsia"/>
          <w:sz w:val="21"/>
          <w:szCs w:val="21"/>
        </w:rPr>
        <w:t xml:space="preserve">（一）基金份额持有人的权利与义务 </w:t>
      </w:r>
    </w:p>
    <w:p w14:paraId="7047ABAC">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6BBF30C">
      <w:pPr>
        <w:pStyle w:val="7"/>
        <w:spacing w:before="0" w:beforeAutospacing="0" w:after="0" w:afterAutospacing="0" w:line="360" w:lineRule="auto"/>
        <w:ind w:firstLine="420"/>
        <w:rPr>
          <w:sz w:val="21"/>
          <w:szCs w:val="21"/>
        </w:rPr>
      </w:pPr>
      <w:r>
        <w:rPr>
          <w:rFonts w:hint="eastAsia"/>
          <w:sz w:val="21"/>
          <w:szCs w:val="21"/>
        </w:rPr>
        <w:t xml:space="preserve">每份基金份额具有同等的合法权益。 </w:t>
      </w:r>
    </w:p>
    <w:p w14:paraId="2693AF4C">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7AC7C7C4">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5A8B756D">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47D41E63">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73D9F3B4">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54432770">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08D23DD4">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DF6ED1F">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29641F34">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43105391">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66195C0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1E45A93B">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0CEEE4FB">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10FD6ECD">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72D8FCF7">
      <w:pPr>
        <w:pStyle w:val="7"/>
        <w:spacing w:before="0" w:beforeAutospacing="0" w:after="0" w:afterAutospacing="0" w:line="360" w:lineRule="auto"/>
        <w:ind w:firstLine="420"/>
        <w:rPr>
          <w:sz w:val="21"/>
          <w:szCs w:val="21"/>
        </w:rPr>
      </w:pPr>
      <w:r>
        <w:rPr>
          <w:rFonts w:hint="eastAsia"/>
          <w:sz w:val="21"/>
          <w:szCs w:val="21"/>
        </w:rPr>
        <w:t xml:space="preserve">（4）交纳基金认购款项和认购股票、申购对价及法律法规和《基金合同》所规定的费用； </w:t>
      </w:r>
    </w:p>
    <w:p w14:paraId="115B60B6">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38D3CBA3">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7EA9D057">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00C0829">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6F2D4EE1">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6600866D">
      <w:pPr>
        <w:pStyle w:val="7"/>
        <w:spacing w:before="0" w:beforeAutospacing="0" w:after="0" w:afterAutospacing="0" w:line="360" w:lineRule="auto"/>
        <w:ind w:firstLine="420"/>
        <w:rPr>
          <w:sz w:val="21"/>
          <w:szCs w:val="21"/>
        </w:rPr>
      </w:pPr>
      <w:r>
        <w:rPr>
          <w:rFonts w:hint="eastAsia"/>
          <w:sz w:val="21"/>
          <w:szCs w:val="21"/>
        </w:rPr>
        <w:t xml:space="preserve">（二）基金管理人的权利与义务 </w:t>
      </w:r>
    </w:p>
    <w:p w14:paraId="324C3045">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19F1F4C1">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1ABE8747">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5370D22E">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5DF8B755">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271C4CFC">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2E52CE33">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283109A3">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868E26F">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0002F401">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9078B85">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7D0D227">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6551A380">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1DDE6B40">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（13）在法律法规允许的前提下，为基金的利益依法为基金进行融资和转融通证券出借业务； </w:t>
      </w:r>
    </w:p>
    <w:p w14:paraId="24F7FC2A">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716B964D">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551572CD">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（16）在符合有关法律、法规的前提下，制订和调整有关基金认购、申购、赎回、转换等业务规则； </w:t>
      </w:r>
    </w:p>
    <w:p w14:paraId="080E5520">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231E6B7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0FB4923A">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08BE70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0E8540F6">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296A1B4">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9FC71AC">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5E1330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05CE79A">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4D14442">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14:paraId="29FE9B79">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7440127">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7A50ACB">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01DB0D2">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法律、法规另有规定的以及审计需要的除外； </w:t>
      </w:r>
    </w:p>
    <w:p w14:paraId="54AE1C3D">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0FA75548">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14:paraId="1CD45623">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76CC1E8">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（16）按规定保存基金财产管理业务活动的会计账册、报表、记录和其他相关资料20年以上； </w:t>
      </w:r>
    </w:p>
    <w:p w14:paraId="2AF69158">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B0EB29B">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330B987">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97A8B8E">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419A233">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01F3BA6">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15F2AAC">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82E168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078CA51">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19FDCA7">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4B2C988">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901CC64">
      <w:pPr>
        <w:pStyle w:val="7"/>
        <w:spacing w:before="0" w:beforeAutospacing="0" w:after="0" w:afterAutospacing="0" w:line="360" w:lineRule="auto"/>
        <w:ind w:firstLine="420"/>
        <w:rPr>
          <w:sz w:val="21"/>
          <w:szCs w:val="21"/>
        </w:rPr>
      </w:pPr>
      <w:r>
        <w:rPr>
          <w:rFonts w:hint="eastAsia"/>
          <w:sz w:val="21"/>
          <w:szCs w:val="21"/>
        </w:rPr>
        <w:t xml:space="preserve">（三） 基金托管人的权利与义务 </w:t>
      </w:r>
    </w:p>
    <w:p w14:paraId="0A307F9B">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184B3EF">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73BAB14">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76FAD829">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37022C40">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0DA636EF">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2E53CA08">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3702709B">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69A68BA9">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0BF6C978">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6848279">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D516208">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609A5000">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69D3C0A">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A3DD9B3">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69BC78BD">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（7）保守基金商业秘密，除《基金法》、《基金合同》及其他有关规定另有规定外，在基金信息公开披露前予以保密，不得向他人泄露，法律、法规另有规定的以及审计需要的除外； </w:t>
      </w:r>
    </w:p>
    <w:p w14:paraId="28DB5AA7">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（8）复核、审查基金管理人计算的基金资产净值、基金份额净值、基金份额申购、赎回对价； </w:t>
      </w:r>
    </w:p>
    <w:p w14:paraId="2BC70CD8">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718FD62">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2EB06F58">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4FD7D809">
      <w:pPr>
        <w:pStyle w:val="7"/>
        <w:spacing w:before="0" w:beforeAutospacing="0" w:after="0" w:afterAutospacing="0" w:line="360" w:lineRule="auto"/>
        <w:ind w:firstLine="420"/>
        <w:rPr>
          <w:sz w:val="21"/>
          <w:szCs w:val="21"/>
        </w:rPr>
      </w:pPr>
      <w:r>
        <w:rPr>
          <w:rFonts w:hint="eastAsia"/>
          <w:sz w:val="21"/>
          <w:szCs w:val="21"/>
        </w:rPr>
        <w:t xml:space="preserve">（12）从基金管理人处接收并保存基金份额持有人名册； </w:t>
      </w:r>
    </w:p>
    <w:p w14:paraId="5199EB3C">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0D4E4836">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（14）依据基金管理人的指令或有关规定向基金份额持有人支付基金收益和赎回对价的现金部分； </w:t>
      </w:r>
    </w:p>
    <w:p w14:paraId="7EEE90B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03193273">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9AE4DB2">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488784CE">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（18）面临解散、依法被撤销或者被依法宣告破产时，及时报告中国证监会，并通知基金管理人； </w:t>
      </w:r>
    </w:p>
    <w:p w14:paraId="49B804D3">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6103D66">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67F4A229">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42BE3DCC">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F198A1F">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4B6B797A">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14:paraId="710B5712">
      <w:pPr>
        <w:pStyle w:val="7"/>
        <w:spacing w:before="0" w:beforeAutospacing="0" w:after="0" w:afterAutospacing="0" w:line="360" w:lineRule="auto"/>
        <w:ind w:firstLine="420"/>
        <w:rPr>
          <w:sz w:val="21"/>
          <w:szCs w:val="21"/>
        </w:rPr>
      </w:pPr>
      <w:r>
        <w:rPr>
          <w:rFonts w:hint="eastAsia"/>
          <w:sz w:val="21"/>
          <w:szCs w:val="21"/>
        </w:rPr>
        <w:t xml:space="preserve">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 </w:t>
      </w:r>
    </w:p>
    <w:p w14:paraId="207D1814">
      <w:pPr>
        <w:pStyle w:val="7"/>
        <w:spacing w:before="0" w:beforeAutospacing="0" w:after="0" w:afterAutospacing="0" w:line="360" w:lineRule="auto"/>
        <w:ind w:firstLine="420"/>
        <w:rPr>
          <w:sz w:val="21"/>
          <w:szCs w:val="21"/>
        </w:rPr>
      </w:pPr>
      <w:r>
        <w:rPr>
          <w:rFonts w:hint="eastAsia"/>
          <w:sz w:val="21"/>
          <w:szCs w:val="21"/>
        </w:rPr>
        <w:t xml:space="preserve">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 </w:t>
      </w:r>
    </w:p>
    <w:p w14:paraId="71D264E5">
      <w:pPr>
        <w:pStyle w:val="7"/>
        <w:spacing w:before="0" w:beforeAutospacing="0" w:after="0" w:afterAutospacing="0" w:line="360" w:lineRule="auto"/>
        <w:ind w:firstLine="420"/>
        <w:rPr>
          <w:sz w:val="21"/>
          <w:szCs w:val="21"/>
        </w:rPr>
      </w:pPr>
      <w:r>
        <w:rPr>
          <w:rFonts w:hint="eastAsia"/>
          <w:sz w:val="21"/>
          <w:szCs w:val="21"/>
        </w:rPr>
        <w:t xml:space="preserve">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 </w:t>
      </w:r>
    </w:p>
    <w:p w14:paraId="27332E5C">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6E2F5FDC">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3503F38D">
      <w:pPr>
        <w:pStyle w:val="7"/>
        <w:spacing w:before="0" w:beforeAutospacing="0" w:after="0" w:afterAutospacing="0" w:line="360" w:lineRule="auto"/>
        <w:ind w:firstLine="420"/>
        <w:rPr>
          <w:sz w:val="21"/>
          <w:szCs w:val="21"/>
        </w:rPr>
      </w:pPr>
      <w:r>
        <w:rPr>
          <w:rFonts w:hint="eastAsia"/>
          <w:sz w:val="21"/>
          <w:szCs w:val="21"/>
        </w:rPr>
        <w:t xml:space="preserve">1、除法律法规、中国证监会和基金合同另有规定外，当出现或需要决定下列事由之一的，应当召开基金份额持有人大会： </w:t>
      </w:r>
    </w:p>
    <w:p w14:paraId="4C1AEBF5">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1F1872B9">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CB9E4C0">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60429E11">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08D82400">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012EA3F8">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5C2FEBB8">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1EB0632A">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01D8D76">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176FE839">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30ABCFB9">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CA25EFC">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7F8D1FE4">
      <w:pPr>
        <w:pStyle w:val="7"/>
        <w:spacing w:before="0" w:beforeAutospacing="0" w:after="0" w:afterAutospacing="0" w:line="360" w:lineRule="auto"/>
        <w:ind w:firstLine="420"/>
        <w:rPr>
          <w:sz w:val="21"/>
          <w:szCs w:val="21"/>
        </w:rPr>
      </w:pPr>
      <w:r>
        <w:rPr>
          <w:rFonts w:hint="eastAsia"/>
          <w:sz w:val="21"/>
          <w:szCs w:val="21"/>
        </w:rPr>
        <w:t xml:space="preserve">（13）终止基金上市，但因基金不再具备上市条件而被深圳证券交易所终止上市的情形除外； </w:t>
      </w:r>
    </w:p>
    <w:p w14:paraId="4E0A3985">
      <w:pPr>
        <w:pStyle w:val="7"/>
        <w:spacing w:before="0" w:beforeAutospacing="0" w:after="0" w:afterAutospacing="0" w:line="360" w:lineRule="auto"/>
        <w:ind w:firstLine="420"/>
        <w:rPr>
          <w:sz w:val="21"/>
          <w:szCs w:val="21"/>
        </w:rPr>
      </w:pPr>
      <w:r>
        <w:rPr>
          <w:rFonts w:hint="eastAsia"/>
          <w:sz w:val="21"/>
          <w:szCs w:val="21"/>
        </w:rPr>
        <w:t xml:space="preserve">（14）法律法规、《基金合同》或中国证监会规定的其他应当召开基金份额持有人大会的事项。 </w:t>
      </w:r>
    </w:p>
    <w:p w14:paraId="6ECC6BE0">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444F457D">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5A0874B5">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（2）调整本基金的申购费率、调低赎回费率或变更收费方式或调整基金份额类别设置、对基金份额分类办法及规则进行调整； </w:t>
      </w:r>
    </w:p>
    <w:p w14:paraId="3D1BC552">
      <w:pPr>
        <w:pStyle w:val="7"/>
        <w:spacing w:before="0" w:beforeAutospacing="0" w:after="0" w:afterAutospacing="0" w:line="360" w:lineRule="auto"/>
        <w:ind w:firstLine="420"/>
        <w:rPr>
          <w:sz w:val="21"/>
          <w:szCs w:val="21"/>
        </w:rPr>
      </w:pPr>
      <w:r>
        <w:rPr>
          <w:rFonts w:hint="eastAsia"/>
          <w:sz w:val="21"/>
          <w:szCs w:val="21"/>
        </w:rPr>
        <w:t xml:space="preserve">（3）因相应的法律法规、深圳证券交易所或者登记机构的相关业务规则发生变动而应当对《基金合同》进行修改； </w:t>
      </w:r>
    </w:p>
    <w:p w14:paraId="55E6B365">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3184C3CD">
      <w:pPr>
        <w:pStyle w:val="7"/>
        <w:spacing w:before="0" w:beforeAutospacing="0" w:after="0" w:afterAutospacing="0" w:line="360" w:lineRule="auto"/>
        <w:ind w:firstLine="420"/>
        <w:rPr>
          <w:sz w:val="21"/>
          <w:szCs w:val="21"/>
        </w:rPr>
      </w:pPr>
      <w:r>
        <w:rPr>
          <w:rFonts w:hint="eastAsia"/>
          <w:sz w:val="21"/>
          <w:szCs w:val="21"/>
        </w:rPr>
        <w:t xml:space="preserve">（5）基金管理人、相关证券交易所和登记机构等调整有关基金认购、申购、赎回、交易、转托管、非交易过户等业务的规则（包括申购赎回清单的调整、开放时间的调整等）； </w:t>
      </w:r>
    </w:p>
    <w:p w14:paraId="5F8E3733">
      <w:pPr>
        <w:pStyle w:val="7"/>
        <w:spacing w:before="0" w:beforeAutospacing="0" w:after="0" w:afterAutospacing="0" w:line="360" w:lineRule="auto"/>
        <w:ind w:firstLine="420"/>
        <w:rPr>
          <w:sz w:val="21"/>
          <w:szCs w:val="21"/>
        </w:rPr>
      </w:pPr>
      <w:r>
        <w:rPr>
          <w:rFonts w:hint="eastAsia"/>
          <w:sz w:val="21"/>
          <w:szCs w:val="21"/>
        </w:rPr>
        <w:t xml:space="preserve">（6）经履行相关程序后，基金推出新业务或服务； </w:t>
      </w:r>
    </w:p>
    <w:p w14:paraId="7C6145D6">
      <w:pPr>
        <w:pStyle w:val="7"/>
        <w:spacing w:before="0" w:beforeAutospacing="0" w:after="0" w:afterAutospacing="0" w:line="360" w:lineRule="auto"/>
        <w:ind w:firstLine="420"/>
        <w:rPr>
          <w:sz w:val="21"/>
          <w:szCs w:val="21"/>
        </w:rPr>
      </w:pPr>
      <w:r>
        <w:rPr>
          <w:rFonts w:hint="eastAsia"/>
          <w:sz w:val="21"/>
          <w:szCs w:val="21"/>
        </w:rPr>
        <w:t xml:space="preserve">（7）本基金的联接基金采取其他方式参与本基金的申购赎回； </w:t>
      </w:r>
    </w:p>
    <w:p w14:paraId="5238B3E4">
      <w:pPr>
        <w:pStyle w:val="7"/>
        <w:spacing w:before="0" w:beforeAutospacing="0" w:after="0" w:afterAutospacing="0" w:line="360" w:lineRule="auto"/>
        <w:ind w:firstLine="420"/>
        <w:rPr>
          <w:sz w:val="21"/>
          <w:szCs w:val="21"/>
        </w:rPr>
      </w:pPr>
      <w:r>
        <w:rPr>
          <w:rFonts w:hint="eastAsia"/>
          <w:sz w:val="21"/>
          <w:szCs w:val="21"/>
        </w:rPr>
        <w:t xml:space="preserve">（8）调整基金的申购赎回方式及申购对价、赎回对价组成；调整申购赎回清单的内容，调整申购赎回清单计算和公告时间或频率； </w:t>
      </w:r>
    </w:p>
    <w:p w14:paraId="051054DA">
      <w:pPr>
        <w:pStyle w:val="7"/>
        <w:spacing w:before="0" w:beforeAutospacing="0" w:after="0" w:afterAutospacing="0" w:line="360" w:lineRule="auto"/>
        <w:ind w:firstLine="420"/>
        <w:rPr>
          <w:sz w:val="21"/>
          <w:szCs w:val="21"/>
        </w:rPr>
      </w:pPr>
      <w:r>
        <w:rPr>
          <w:rFonts w:hint="eastAsia"/>
          <w:sz w:val="21"/>
          <w:szCs w:val="21"/>
        </w:rPr>
        <w:t xml:space="preserve">（9）进行基金份额的拆分与合并； </w:t>
      </w:r>
    </w:p>
    <w:p w14:paraId="0A3AF412">
      <w:pPr>
        <w:pStyle w:val="7"/>
        <w:spacing w:before="0" w:beforeAutospacing="0" w:after="0" w:afterAutospacing="0" w:line="360" w:lineRule="auto"/>
        <w:ind w:firstLine="420"/>
        <w:rPr>
          <w:sz w:val="21"/>
          <w:szCs w:val="21"/>
        </w:rPr>
      </w:pPr>
      <w:r>
        <w:rPr>
          <w:rFonts w:hint="eastAsia"/>
          <w:sz w:val="21"/>
          <w:szCs w:val="21"/>
        </w:rPr>
        <w:t xml:space="preserve">（10）按照法律法规和《基金合同》规定不需召开基金份额持有人大会的其他情形。 </w:t>
      </w:r>
    </w:p>
    <w:p w14:paraId="2ECDDAEE">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6F8CD0A8">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8E47CD0">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4DA84C93">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A80BED0">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3AA0BBB2">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361FD9D0">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32C23352">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2FDAE3C5">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3BB58FE0">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1949966E">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EFB59FF">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5ED00BE8">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D04D475">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5598457F">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05F675F6">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5AB81B44">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2C10B32E">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42AF4AD3">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6E8C6B6">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3B183DE2">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5EB9BBF3">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684FF1D9">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151FB54E">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6B6F21AE">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6BD80F12">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0D0C282D">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62E381DC">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 </w:t>
      </w:r>
    </w:p>
    <w:p w14:paraId="315BC97A">
      <w:pPr>
        <w:pStyle w:val="7"/>
        <w:spacing w:before="0" w:beforeAutospacing="0" w:after="0" w:afterAutospacing="0" w:line="360" w:lineRule="auto"/>
        <w:ind w:firstLine="420"/>
        <w:rPr>
          <w:sz w:val="21"/>
          <w:szCs w:val="21"/>
        </w:rPr>
      </w:pPr>
      <w:r>
        <w:rPr>
          <w:rFonts w:hint="eastAsia"/>
          <w:sz w:val="21"/>
          <w:szCs w:val="21"/>
        </w:rPr>
        <w:t xml:space="preserve">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F68787B">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277E3CB">
      <w:pPr>
        <w:pStyle w:val="7"/>
        <w:spacing w:before="0" w:beforeAutospacing="0" w:after="0" w:afterAutospacing="0" w:line="360" w:lineRule="auto"/>
        <w:ind w:firstLine="420"/>
        <w:rPr>
          <w:sz w:val="21"/>
          <w:szCs w:val="21"/>
        </w:rPr>
      </w:pPr>
      <w:r>
        <w:rPr>
          <w:rFonts w:hint="eastAsia"/>
          <w:sz w:val="21"/>
          <w:szCs w:val="21"/>
        </w:rPr>
        <w:t xml:space="preserve">3、在法律法规或监管机构允许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 </w:t>
      </w:r>
    </w:p>
    <w:p w14:paraId="5EB2C958">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012FD923">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41819B8B">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1E74684C">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E57EF8F">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7C34DE4">
      <w:pPr>
        <w:pStyle w:val="7"/>
        <w:spacing w:before="0" w:beforeAutospacing="0" w:after="0" w:afterAutospacing="0" w:line="360" w:lineRule="auto"/>
        <w:ind w:firstLine="420"/>
        <w:rPr>
          <w:sz w:val="21"/>
          <w:szCs w:val="21"/>
        </w:rPr>
      </w:pPr>
      <w:r>
        <w:rPr>
          <w:rFonts w:hint="eastAsia"/>
          <w:sz w:val="21"/>
          <w:szCs w:val="21"/>
        </w:rPr>
        <w:t xml:space="preserve">2、议事程序 </w:t>
      </w:r>
    </w:p>
    <w:p w14:paraId="16378C85">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C6E20EC">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41C570FA">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58E3F503">
      <w:pPr>
        <w:pStyle w:val="7"/>
        <w:spacing w:before="0" w:beforeAutospacing="0" w:after="0" w:afterAutospacing="0" w:line="360" w:lineRule="auto"/>
        <w:ind w:firstLine="420"/>
        <w:rPr>
          <w:sz w:val="21"/>
          <w:szCs w:val="21"/>
        </w:rPr>
      </w:pPr>
      <w:r>
        <w:rPr>
          <w:rFonts w:hint="eastAsia"/>
          <w:sz w:val="21"/>
          <w:szCs w:val="21"/>
        </w:rPr>
        <w:t xml:space="preserve">（2）通讯开会 </w:t>
      </w:r>
    </w:p>
    <w:p w14:paraId="0CA4134B">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8E546D2">
      <w:pPr>
        <w:pStyle w:val="7"/>
        <w:spacing w:before="0" w:beforeAutospacing="0" w:after="0" w:afterAutospacing="0" w:line="360" w:lineRule="auto"/>
        <w:ind w:firstLine="420"/>
        <w:rPr>
          <w:sz w:val="21"/>
          <w:szCs w:val="21"/>
        </w:rPr>
      </w:pPr>
      <w:r>
        <w:rPr>
          <w:rFonts w:hint="eastAsia"/>
          <w:sz w:val="21"/>
          <w:szCs w:val="21"/>
        </w:rPr>
        <w:t xml:space="preserve">（六）表决 </w:t>
      </w:r>
    </w:p>
    <w:p w14:paraId="2EEA9C95">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20114686">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4797723F">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5889F2F5">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2FBC351F">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2D1010BF">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10A91F33">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39F2C3C5">
      <w:pPr>
        <w:pStyle w:val="7"/>
        <w:spacing w:before="0" w:beforeAutospacing="0" w:after="0" w:afterAutospacing="0" w:line="360" w:lineRule="auto"/>
        <w:ind w:firstLine="420"/>
        <w:rPr>
          <w:sz w:val="21"/>
          <w:szCs w:val="21"/>
        </w:rPr>
      </w:pPr>
      <w:r>
        <w:rPr>
          <w:rFonts w:hint="eastAsia"/>
          <w:sz w:val="21"/>
          <w:szCs w:val="21"/>
        </w:rPr>
        <w:t xml:space="preserve">（七）计票 </w:t>
      </w:r>
    </w:p>
    <w:p w14:paraId="7981899A">
      <w:pPr>
        <w:pStyle w:val="7"/>
        <w:spacing w:before="0" w:beforeAutospacing="0" w:after="0" w:afterAutospacing="0" w:line="360" w:lineRule="auto"/>
        <w:ind w:firstLine="420"/>
        <w:rPr>
          <w:sz w:val="21"/>
          <w:szCs w:val="21"/>
        </w:rPr>
      </w:pPr>
      <w:r>
        <w:rPr>
          <w:rFonts w:hint="eastAsia"/>
          <w:sz w:val="21"/>
          <w:szCs w:val="21"/>
        </w:rPr>
        <w:t xml:space="preserve">1、现场开会 </w:t>
      </w:r>
    </w:p>
    <w:p w14:paraId="63E6822A">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193773C7">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3FE264E6">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5C635831">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0144F5D2">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607B432">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2A4095DF">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7A781FBA">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1F2F66AC">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141167B5">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68E2AEAD">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622F9B2">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 </w:t>
      </w:r>
    </w:p>
    <w:p w14:paraId="06190ACC">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4B75CE5E">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390021D9">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6A883419">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76C914F4">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070F227C">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51CBFE78">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15E33B5">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5251C0D">
      <w:pPr>
        <w:pStyle w:val="7"/>
        <w:spacing w:before="0" w:beforeAutospacing="0" w:after="0" w:afterAutospacing="0" w:line="360" w:lineRule="auto"/>
        <w:ind w:firstLine="420"/>
        <w:rPr>
          <w:sz w:val="21"/>
          <w:szCs w:val="21"/>
        </w:rPr>
      </w:pPr>
      <w:r>
        <w:rPr>
          <w:rFonts w:hint="eastAsia"/>
          <w:sz w:val="21"/>
          <w:szCs w:val="21"/>
        </w:rPr>
        <w:t xml:space="preserve">3、出现标的指数不符合要求（因成份股价格波动等指数编制方法变动之外的因素致使标的指数不符合要求的情形除外）、指数编制机构退出等情形，基金管理人召集基金份额持有人大会对解决方案进行表决，基金份额持有人大会未成功召开或就上述事项表决未通过的； </w:t>
      </w:r>
    </w:p>
    <w:p w14:paraId="1685B93F">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5B830B21">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2F100EDC">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0D010CA3">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0EE441A6">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2、基金财产清算小组组成：基金财产清算小组成员由基金管理人、基金托管人、符合《证券法》规定的注册会计师、律师以及中国证监会指定的人员组成。基金财产清算小组可以聘用必要的工作人员。 </w:t>
      </w:r>
    </w:p>
    <w:p w14:paraId="3D5299D2">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482EB82">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099A8541">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21177B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C74EEDF">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F63985C">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6509A840">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E23555B">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DA5452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8C0D948">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07359E13">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7FD14BD1">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2ED7F32E">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470FA030">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5B0DC0F8">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6F04C32D">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A0BFD46">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7BFBFF71">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5CD5DE59">
      <w:pPr>
        <w:pStyle w:val="7"/>
        <w:spacing w:before="0" w:beforeAutospacing="0" w:after="0" w:afterAutospacing="0" w:line="360" w:lineRule="auto"/>
        <w:ind w:firstLine="420"/>
        <w:rPr>
          <w:sz w:val="21"/>
          <w:szCs w:val="21"/>
        </w:rPr>
      </w:pPr>
      <w:r>
        <w:rPr>
          <w:rStyle w:val="11"/>
          <w:rFonts w:hint="eastAsia"/>
          <w:sz w:val="21"/>
          <w:szCs w:val="21"/>
        </w:rPr>
        <w:t>四、争议的处理</w:t>
      </w:r>
    </w:p>
    <w:p w14:paraId="1DBE01DC">
      <w:pPr>
        <w:pStyle w:val="7"/>
        <w:spacing w:before="0" w:beforeAutospacing="0" w:after="0" w:afterAutospacing="0" w:line="360" w:lineRule="auto"/>
        <w:ind w:firstLine="420"/>
        <w:rPr>
          <w:sz w:val="21"/>
          <w:szCs w:val="21"/>
        </w:rPr>
      </w:pPr>
      <w:r>
        <w:rPr>
          <w:rStyle w:val="11"/>
          <w:rFonts w:hint="eastAsia"/>
          <w:sz w:val="21"/>
          <w:szCs w:val="21"/>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w:t>
      </w:r>
    </w:p>
    <w:p w14:paraId="14E17634">
      <w:pPr>
        <w:pStyle w:val="7"/>
        <w:spacing w:before="0" w:beforeAutospacing="0" w:after="0" w:afterAutospacing="0" w:line="360" w:lineRule="auto"/>
        <w:ind w:firstLine="420"/>
        <w:rPr>
          <w:sz w:val="21"/>
          <w:szCs w:val="21"/>
        </w:rPr>
      </w:pPr>
      <w:r>
        <w:rPr>
          <w:rStyle w:val="11"/>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3580F70C">
      <w:pPr>
        <w:pStyle w:val="7"/>
        <w:spacing w:before="0" w:beforeAutospacing="0" w:after="0" w:afterAutospacing="0" w:line="360" w:lineRule="auto"/>
        <w:ind w:firstLine="420"/>
        <w:rPr>
          <w:sz w:val="21"/>
          <w:szCs w:val="21"/>
        </w:rPr>
      </w:pPr>
      <w:r>
        <w:rPr>
          <w:rStyle w:val="11"/>
          <w:rFonts w:hint="eastAsia"/>
          <w:sz w:val="21"/>
          <w:szCs w:val="21"/>
        </w:rPr>
        <w:t>《基金合同》受中国法律（为本基金合同之目的，在此不包括香港、澳门特别行政区和台湾地区法律）管辖。</w:t>
      </w:r>
    </w:p>
    <w:p w14:paraId="2CE5F9A7">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14:paraId="29B97F40">
      <w:pPr>
        <w:pStyle w:val="7"/>
        <w:spacing w:before="0" w:beforeAutospacing="0" w:after="0" w:afterAutospacing="0" w:line="360" w:lineRule="auto"/>
        <w:ind w:firstLine="420"/>
        <w:rPr>
          <w:sz w:val="21"/>
          <w:szCs w:val="21"/>
        </w:rPr>
      </w:pPr>
      <w:r>
        <w:rPr>
          <w:rFonts w:hint="eastAsia"/>
          <w:sz w:val="21"/>
          <w:szCs w:val="21"/>
        </w:rPr>
        <w:t>本基金合同可印制成册，供投资人在基金管理人、基金托管人、代销机构的办公场所查</w:t>
      </w:r>
      <w:bookmarkStart w:id="174" w:name="chapter_level1_24_71_section_1_end"/>
      <w:bookmarkEnd w:id="174"/>
      <w:r>
        <w:rPr>
          <w:rFonts w:hint="eastAsia"/>
          <w:sz w:val="21"/>
          <w:szCs w:val="21"/>
        </w:rPr>
        <w:t xml:space="preserve">阅。 </w:t>
      </w:r>
    </w:p>
    <w:p w14:paraId="1E0A2085">
      <w:pPr>
        <w:widowControl/>
        <w:jc w:val="left"/>
        <w:rPr>
          <w:rFonts w:ascii="宋体" w:hAnsi="宋体" w:eastAsia="宋体"/>
        </w:rPr>
      </w:pPr>
      <w:r>
        <w:rPr>
          <w:rFonts w:ascii="宋体" w:hAnsi="宋体" w:eastAsia="宋体"/>
        </w:rPr>
        <w:br w:type="page"/>
      </w:r>
    </w:p>
    <w:p w14:paraId="132BBA6B">
      <w:pPr>
        <w:pStyle w:val="2"/>
        <w:jc w:val="center"/>
        <w:rPr>
          <w:rFonts w:ascii="宋体" w:hAnsi="宋体" w:eastAsia="宋体"/>
          <w:sz w:val="30"/>
        </w:rPr>
      </w:pPr>
      <w:bookmarkStart w:id="175" w:name="chapter_level1_25_72"/>
      <w:bookmarkStart w:id="176" w:name="_Toc207986801"/>
      <w:r>
        <w:rPr>
          <w:rFonts w:hint="eastAsia" w:ascii="宋体" w:hAnsi="宋体" w:eastAsia="宋体"/>
          <w:sz w:val="30"/>
        </w:rPr>
        <w:t>第二十一部分  基金托管协议的内容摘要</w:t>
      </w:r>
      <w:bookmarkEnd w:id="175"/>
      <w:bookmarkEnd w:id="176"/>
    </w:p>
    <w:p w14:paraId="6F0A5C0D">
      <w:pPr>
        <w:pStyle w:val="7"/>
        <w:spacing w:before="0" w:beforeAutospacing="0" w:after="0" w:afterAutospacing="0" w:line="360" w:lineRule="auto"/>
        <w:ind w:firstLine="420"/>
        <w:rPr>
          <w:sz w:val="21"/>
          <w:szCs w:val="21"/>
        </w:rPr>
      </w:pPr>
      <w:bookmarkStart w:id="177" w:name="chapter_level1_25_72_section_1"/>
      <w:bookmarkEnd w:id="177"/>
      <w:r>
        <w:rPr>
          <w:rStyle w:val="11"/>
          <w:rFonts w:hint="eastAsia"/>
          <w:sz w:val="21"/>
          <w:szCs w:val="21"/>
        </w:rPr>
        <w:t>一、基金托管协议当事人</w:t>
      </w:r>
    </w:p>
    <w:p w14:paraId="4074FFD9">
      <w:pPr>
        <w:pStyle w:val="7"/>
        <w:spacing w:before="0" w:beforeAutospacing="0" w:after="0" w:afterAutospacing="0" w:line="360" w:lineRule="auto"/>
        <w:ind w:firstLine="420"/>
        <w:rPr>
          <w:sz w:val="21"/>
          <w:szCs w:val="21"/>
        </w:rPr>
      </w:pPr>
      <w:r>
        <w:rPr>
          <w:rFonts w:hint="eastAsia"/>
          <w:sz w:val="21"/>
          <w:szCs w:val="21"/>
        </w:rPr>
        <w:t xml:space="preserve">（一）基金管理人（也可称资产管理人） </w:t>
      </w:r>
    </w:p>
    <w:p w14:paraId="1226C53A">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0203B9C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7344207">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3ADB56E6">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2D2A313D">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张东</w:t>
      </w:r>
      <w:r>
        <w:rPr>
          <w:rFonts w:hint="eastAsia"/>
          <w:sz w:val="21"/>
          <w:szCs w:val="21"/>
        </w:rPr>
        <w:t xml:space="preserve"> </w:t>
      </w:r>
    </w:p>
    <w:p w14:paraId="2747258D">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10FCC19A">
      <w:pPr>
        <w:pStyle w:val="7"/>
        <w:spacing w:before="0" w:beforeAutospacing="0" w:after="0" w:afterAutospacing="0" w:line="360" w:lineRule="auto"/>
        <w:ind w:firstLine="420"/>
        <w:rPr>
          <w:sz w:val="21"/>
          <w:szCs w:val="21"/>
        </w:rPr>
      </w:pPr>
      <w:r>
        <w:rPr>
          <w:rFonts w:hint="eastAsia"/>
          <w:sz w:val="21"/>
          <w:szCs w:val="21"/>
        </w:rPr>
        <w:t xml:space="preserve">批准设立机关：中国证券监督管理委员会 </w:t>
      </w:r>
    </w:p>
    <w:p w14:paraId="45727C31">
      <w:pPr>
        <w:pStyle w:val="7"/>
        <w:spacing w:before="0" w:beforeAutospacing="0" w:after="0" w:afterAutospacing="0" w:line="360" w:lineRule="auto"/>
        <w:ind w:firstLine="420"/>
        <w:rPr>
          <w:sz w:val="21"/>
          <w:szCs w:val="21"/>
        </w:rPr>
      </w:pPr>
      <w:r>
        <w:rPr>
          <w:rFonts w:hint="eastAsia"/>
          <w:sz w:val="21"/>
          <w:szCs w:val="21"/>
        </w:rPr>
        <w:t xml:space="preserve">批准设立文号：中国证监会证监基字【1998】26号 </w:t>
      </w:r>
    </w:p>
    <w:p w14:paraId="409FAF93">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38CE782B">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6394D372">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E3E8E50">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71F061AB">
      <w:pPr>
        <w:pStyle w:val="7"/>
        <w:spacing w:before="0" w:beforeAutospacing="0" w:after="0" w:afterAutospacing="0" w:line="360" w:lineRule="auto"/>
        <w:ind w:firstLine="420"/>
        <w:rPr>
          <w:sz w:val="21"/>
          <w:szCs w:val="21"/>
        </w:rPr>
      </w:pPr>
      <w:r>
        <w:rPr>
          <w:rFonts w:hint="eastAsia"/>
          <w:sz w:val="21"/>
          <w:szCs w:val="21"/>
        </w:rPr>
        <w:t xml:space="preserve">（二）基金托管人（也可称资产托管人） </w:t>
      </w:r>
    </w:p>
    <w:p w14:paraId="75655662">
      <w:pPr>
        <w:pStyle w:val="7"/>
        <w:spacing w:before="0" w:beforeAutospacing="0" w:after="0" w:afterAutospacing="0" w:line="360" w:lineRule="auto"/>
        <w:ind w:firstLine="420"/>
        <w:rPr>
          <w:sz w:val="21"/>
          <w:szCs w:val="21"/>
        </w:rPr>
      </w:pPr>
      <w:r>
        <w:rPr>
          <w:rFonts w:hint="eastAsia"/>
          <w:sz w:val="21"/>
          <w:szCs w:val="21"/>
        </w:rPr>
        <w:t xml:space="preserve">名称：招商银行股份有限公司（简称：招商银行） </w:t>
      </w:r>
    </w:p>
    <w:p w14:paraId="76FC2F8A">
      <w:pPr>
        <w:pStyle w:val="7"/>
        <w:spacing w:before="0" w:beforeAutospacing="0" w:after="0" w:afterAutospacing="0" w:line="360" w:lineRule="auto"/>
        <w:ind w:firstLine="420"/>
        <w:rPr>
          <w:sz w:val="21"/>
          <w:szCs w:val="21"/>
        </w:rPr>
      </w:pPr>
      <w:r>
        <w:rPr>
          <w:rFonts w:hint="eastAsia"/>
          <w:sz w:val="21"/>
          <w:szCs w:val="21"/>
        </w:rPr>
        <w:t xml:space="preserve">住所：深圳市深南大道7088号招商银行大厦 </w:t>
      </w:r>
    </w:p>
    <w:p w14:paraId="75BDE47F">
      <w:pPr>
        <w:pStyle w:val="7"/>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14:paraId="3B5CF67E">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55C826BF">
      <w:pPr>
        <w:pStyle w:val="7"/>
        <w:spacing w:before="0" w:beforeAutospacing="0" w:after="0" w:afterAutospacing="0" w:line="360" w:lineRule="auto"/>
        <w:ind w:firstLine="420"/>
        <w:rPr>
          <w:sz w:val="21"/>
          <w:szCs w:val="21"/>
        </w:rPr>
      </w:pPr>
      <w:r>
        <w:rPr>
          <w:rFonts w:hint="eastAsia"/>
          <w:sz w:val="21"/>
          <w:szCs w:val="21"/>
        </w:rPr>
        <w:t xml:space="preserve">法定代表人：缪建民 </w:t>
      </w:r>
    </w:p>
    <w:p w14:paraId="4762E34A">
      <w:pPr>
        <w:pStyle w:val="7"/>
        <w:spacing w:before="0" w:beforeAutospacing="0" w:after="0" w:afterAutospacing="0" w:line="360" w:lineRule="auto"/>
        <w:ind w:firstLine="420"/>
        <w:rPr>
          <w:sz w:val="21"/>
          <w:szCs w:val="21"/>
        </w:rPr>
      </w:pPr>
      <w:r>
        <w:rPr>
          <w:rFonts w:hint="eastAsia"/>
          <w:sz w:val="21"/>
          <w:szCs w:val="21"/>
        </w:rPr>
        <w:t xml:space="preserve">成立时间：1987年4月8日 </w:t>
      </w:r>
    </w:p>
    <w:p w14:paraId="031F0B38">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基金托管业务批准文号：证监基金字[2002]83号 </w:t>
      </w:r>
    </w:p>
    <w:p w14:paraId="31D352B0">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53C5DA23">
      <w:pPr>
        <w:pStyle w:val="7"/>
        <w:spacing w:before="0" w:beforeAutospacing="0" w:after="0" w:afterAutospacing="0" w:line="360" w:lineRule="auto"/>
        <w:ind w:firstLine="420"/>
        <w:rPr>
          <w:sz w:val="21"/>
          <w:szCs w:val="21"/>
        </w:rPr>
      </w:pPr>
      <w:r>
        <w:rPr>
          <w:rFonts w:hint="eastAsia"/>
          <w:sz w:val="21"/>
          <w:szCs w:val="21"/>
        </w:rPr>
        <w:t xml:space="preserve">注册资本：人民币252.20亿元 </w:t>
      </w:r>
    </w:p>
    <w:p w14:paraId="10AEA321">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7A1A53B4">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27E76F7E">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 </w:t>
      </w:r>
    </w:p>
    <w:p w14:paraId="5AEE3E95">
      <w:pPr>
        <w:pStyle w:val="7"/>
        <w:spacing w:before="0" w:beforeAutospacing="0" w:after="0" w:afterAutospacing="0" w:line="360" w:lineRule="auto"/>
        <w:ind w:firstLine="420"/>
        <w:rPr>
          <w:sz w:val="21"/>
          <w:szCs w:val="21"/>
        </w:rPr>
      </w:pPr>
      <w:r>
        <w:rPr>
          <w:rFonts w:hint="eastAsia"/>
          <w:sz w:val="21"/>
          <w:szCs w:val="21"/>
        </w:rPr>
        <w:t xml:space="preserve">1.本基金的投资范围为： </w:t>
      </w:r>
    </w:p>
    <w:p w14:paraId="138A7909">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 </w:t>
      </w:r>
    </w:p>
    <w:p w14:paraId="0F753540">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和存托凭证、港股通标的股票）、债券（包括国债、金融债、地方政府债、政府支持机构债券、企业债、公司债、可转换债券（含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6AECE3B2">
      <w:pPr>
        <w:pStyle w:val="7"/>
        <w:spacing w:before="0" w:beforeAutospacing="0" w:after="0" w:afterAutospacing="0" w:line="360" w:lineRule="auto"/>
        <w:ind w:firstLine="420"/>
        <w:rPr>
          <w:sz w:val="21"/>
          <w:szCs w:val="21"/>
        </w:rPr>
      </w:pPr>
      <w:r>
        <w:rPr>
          <w:rFonts w:hint="eastAsia"/>
          <w:sz w:val="21"/>
          <w:szCs w:val="21"/>
        </w:rPr>
        <w:t xml:space="preserve">本基金将根据法律法规的规定参与融资和转融通证券出借业务。 </w:t>
      </w:r>
    </w:p>
    <w:p w14:paraId="4FB8A603">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如法律法规或监管机构以后允许基金投资其他品种，基金管理人在与基金托管人协商一致并履行适当程序后，可以将其纳入投资范围。 </w:t>
      </w:r>
    </w:p>
    <w:p w14:paraId="686FD72C">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2、基金托管人根据有关法律法规的规定及《基金合同》的约定对下述基金投资比例进行监督。 </w:t>
      </w:r>
    </w:p>
    <w:p w14:paraId="551A7946">
      <w:pPr>
        <w:pStyle w:val="7"/>
        <w:spacing w:before="0" w:beforeAutospacing="0" w:after="0" w:afterAutospacing="0" w:line="360" w:lineRule="auto"/>
        <w:ind w:firstLine="420"/>
        <w:rPr>
          <w:sz w:val="21"/>
          <w:szCs w:val="21"/>
        </w:rPr>
      </w:pPr>
      <w:r>
        <w:rPr>
          <w:rFonts w:hint="eastAsia"/>
          <w:sz w:val="21"/>
          <w:szCs w:val="21"/>
        </w:rPr>
        <w:t xml:space="preserve">（1）按法律法规的规定及《基金合同》的约定，本基金的投资资产配置比例为： </w:t>
      </w:r>
    </w:p>
    <w:p w14:paraId="0E7725D7">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的资产比例不低于基金资产净值的90%，且不低于非现金基金资产的80%；投资港股通标的股票的比例不超过本基金股票资产的10%；本基金在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6B1CA9AD">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若法律法规的相关规定发生变更或监管机构允许，本基金管理人在与基金托管人协商一致并履行适当程序后，可对上述资产配置比例进行调整。 </w:t>
      </w:r>
    </w:p>
    <w:p w14:paraId="0D76B955">
      <w:pPr>
        <w:pStyle w:val="7"/>
        <w:spacing w:before="0" w:beforeAutospacing="0" w:after="0" w:afterAutospacing="0" w:line="360" w:lineRule="auto"/>
        <w:ind w:firstLine="420"/>
        <w:rPr>
          <w:sz w:val="21"/>
          <w:szCs w:val="21"/>
        </w:rPr>
      </w:pPr>
      <w:r>
        <w:rPr>
          <w:rFonts w:hint="eastAsia"/>
          <w:sz w:val="21"/>
          <w:szCs w:val="21"/>
        </w:rPr>
        <w:t xml:space="preserve">（2）根据法律法规的规定及《基金合同》的约定，本基金投资组合遵循以下投资限制： </w:t>
      </w:r>
    </w:p>
    <w:p w14:paraId="2DC1674F">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1）本基金投资于标的指数成份股和备选成份股的资产比例不低于基金资产净值的90%，且不低于非现金基金资产的80%；投资港股通标的股票的比例不超过本基金股票资产的10%； </w:t>
      </w:r>
    </w:p>
    <w:p w14:paraId="768BE712">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2）每个交易日日终在扣除股指期货、股票期权和国债期货合约需缴纳的交易保证金后，应当保持不低于交易保证金一倍的现金，其中现金不包括结算备付金、存出保证金和应收申购款等； </w:t>
      </w:r>
    </w:p>
    <w:p w14:paraId="0BFC84E9">
      <w:pPr>
        <w:pStyle w:val="7"/>
        <w:spacing w:before="0" w:beforeAutospacing="0" w:after="0" w:afterAutospacing="0" w:line="360" w:lineRule="auto"/>
        <w:ind w:firstLine="420"/>
        <w:rPr>
          <w:sz w:val="21"/>
          <w:szCs w:val="21"/>
        </w:rPr>
      </w:pPr>
      <w:r>
        <w:rPr>
          <w:rFonts w:hint="eastAsia"/>
          <w:sz w:val="21"/>
          <w:szCs w:val="21"/>
        </w:rPr>
        <w:t xml:space="preserve">3）本基金参与股指期货和国债期货交易，需遵守下列投资比例限制： </w:t>
      </w:r>
    </w:p>
    <w:p w14:paraId="4D82F0E0">
      <w:pPr>
        <w:pStyle w:val="7"/>
        <w:spacing w:before="0" w:beforeAutospacing="0" w:after="0" w:afterAutospacing="0" w:line="360" w:lineRule="auto"/>
        <w:ind w:firstLine="420"/>
        <w:rPr>
          <w:sz w:val="21"/>
          <w:szCs w:val="21"/>
        </w:rPr>
      </w:pPr>
      <w:r>
        <w:rPr>
          <w:rFonts w:hint="eastAsia"/>
          <w:sz w:val="21"/>
          <w:szCs w:val="21"/>
        </w:rPr>
        <w:t xml:space="preserve">①本基金在任何交易日日终，持有的买入股指期货合约价值，不得超过基金资产净值的10%；在任何交易日日终，持有的买入国债期货合约价值，不得超过基金资产净值的15%； </w:t>
      </w:r>
    </w:p>
    <w:p w14:paraId="4B5E0322">
      <w:pPr>
        <w:pStyle w:val="7"/>
        <w:spacing w:before="0" w:beforeAutospacing="0" w:after="0" w:afterAutospacing="0" w:line="360" w:lineRule="auto"/>
        <w:ind w:firstLine="420"/>
        <w:rPr>
          <w:sz w:val="21"/>
          <w:szCs w:val="21"/>
        </w:rPr>
      </w:pPr>
      <w:r>
        <w:rPr>
          <w:rFonts w:hint="eastAsia"/>
          <w:sz w:val="21"/>
          <w:szCs w:val="21"/>
        </w:rPr>
        <w:t xml:space="preserve">②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3205F04C">
      <w:pPr>
        <w:pStyle w:val="7"/>
        <w:spacing w:before="0" w:beforeAutospacing="0" w:after="0" w:afterAutospacing="0" w:line="360" w:lineRule="auto"/>
        <w:ind w:firstLine="420"/>
        <w:rPr>
          <w:sz w:val="21"/>
          <w:szCs w:val="21"/>
        </w:rPr>
      </w:pPr>
      <w:r>
        <w:rPr>
          <w:rFonts w:hint="eastAsia"/>
          <w:sz w:val="21"/>
          <w:szCs w:val="21"/>
        </w:rPr>
        <w:t xml:space="preserve">③本基金在任何交易日日终，持有的卖出股指期货合约价值不得超过基金持有的股票总市值的20%；在任何交易日日终，持有的卖出国债期货合约价值不得超过基金持有的债券总市值的30%； </w:t>
      </w:r>
    </w:p>
    <w:p w14:paraId="58CCA966">
      <w:pPr>
        <w:pStyle w:val="7"/>
        <w:spacing w:before="0" w:beforeAutospacing="0" w:after="0" w:afterAutospacing="0" w:line="360" w:lineRule="auto"/>
        <w:ind w:firstLine="420"/>
        <w:rPr>
          <w:sz w:val="21"/>
          <w:szCs w:val="21"/>
        </w:rPr>
      </w:pPr>
      <w:r>
        <w:rPr>
          <w:rFonts w:hint="eastAsia"/>
          <w:sz w:val="21"/>
          <w:szCs w:val="21"/>
        </w:rPr>
        <w:t xml:space="preserve">④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3F058230">
      <w:pPr>
        <w:pStyle w:val="7"/>
        <w:spacing w:before="0" w:beforeAutospacing="0" w:after="0" w:afterAutospacing="0" w:line="360" w:lineRule="auto"/>
        <w:ind w:firstLine="420"/>
        <w:rPr>
          <w:sz w:val="21"/>
          <w:szCs w:val="21"/>
        </w:rPr>
      </w:pPr>
      <w:r>
        <w:rPr>
          <w:rFonts w:hint="eastAsia"/>
          <w:sz w:val="21"/>
          <w:szCs w:val="21"/>
        </w:rPr>
        <w:t xml:space="preserve">⑤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13F39113">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14:paraId="7B3EE7E8">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14:paraId="2CCD47D2">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0647C659">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67988F07">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45C42AFA">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14:paraId="5FC76DF1">
      <w:pPr>
        <w:pStyle w:val="7"/>
        <w:spacing w:before="0" w:beforeAutospacing="0" w:after="0" w:afterAutospacing="0" w:line="360" w:lineRule="auto"/>
        <w:ind w:firstLine="420"/>
        <w:rPr>
          <w:sz w:val="21"/>
          <w:szCs w:val="21"/>
        </w:rPr>
      </w:pPr>
      <w:r>
        <w:rPr>
          <w:rFonts w:hint="eastAsia"/>
          <w:sz w:val="21"/>
          <w:szCs w:val="21"/>
        </w:rPr>
        <w:t xml:space="preserve">10）本基金进入全国银行间同业市场进行债券回购的资金余额不得超过基金资产净值的40%，进入全国银行间同业市场进行债券回购的最长期限为1年，债券回购到期后不得展期； </w:t>
      </w:r>
    </w:p>
    <w:p w14:paraId="32851895">
      <w:pPr>
        <w:pStyle w:val="7"/>
        <w:spacing w:before="0" w:beforeAutospacing="0" w:after="0" w:afterAutospacing="0" w:line="360" w:lineRule="auto"/>
        <w:ind w:firstLine="420"/>
        <w:rPr>
          <w:sz w:val="21"/>
          <w:szCs w:val="21"/>
        </w:rPr>
      </w:pPr>
      <w:r>
        <w:rPr>
          <w:rFonts w:hint="eastAsia"/>
          <w:sz w:val="21"/>
          <w:szCs w:val="21"/>
        </w:rPr>
        <w:t xml:space="preserve">11）本基金参与融资的，在任何交易日日终，本基金持有的融资买入股票与其他有价证券市值之和，不得超过基金资产净值的95%； </w:t>
      </w:r>
    </w:p>
    <w:p w14:paraId="6574AC8D">
      <w:pPr>
        <w:pStyle w:val="7"/>
        <w:spacing w:before="0" w:beforeAutospacing="0" w:after="0" w:afterAutospacing="0" w:line="360" w:lineRule="auto"/>
        <w:ind w:firstLine="420"/>
        <w:rPr>
          <w:sz w:val="21"/>
          <w:szCs w:val="21"/>
        </w:rPr>
      </w:pPr>
      <w:r>
        <w:rPr>
          <w:rFonts w:hint="eastAsia"/>
          <w:sz w:val="21"/>
          <w:szCs w:val="21"/>
        </w:rPr>
        <w:t xml:space="preserve">12）本基金参与转融通证券出借业务，需遵守下列投资限制： </w:t>
      </w:r>
    </w:p>
    <w:p w14:paraId="4B7B7931">
      <w:pPr>
        <w:pStyle w:val="7"/>
        <w:spacing w:before="0" w:beforeAutospacing="0" w:after="0" w:afterAutospacing="0" w:line="360" w:lineRule="auto"/>
        <w:ind w:firstLine="420"/>
        <w:rPr>
          <w:sz w:val="21"/>
          <w:szCs w:val="21"/>
        </w:rPr>
      </w:pPr>
      <w:r>
        <w:rPr>
          <w:rFonts w:hint="eastAsia"/>
          <w:sz w:val="21"/>
          <w:szCs w:val="21"/>
        </w:rPr>
        <w:t xml:space="preserve">①出借证券资产不得超过基金资产净值的30%，出借期限在10 个交易日以上的出借证券应纳入《流动性风险管理规定》所述流动性受限证券的范围； </w:t>
      </w:r>
    </w:p>
    <w:p w14:paraId="7A4C1111">
      <w:pPr>
        <w:pStyle w:val="7"/>
        <w:spacing w:before="0" w:beforeAutospacing="0" w:after="0" w:afterAutospacing="0" w:line="360" w:lineRule="auto"/>
        <w:ind w:firstLine="420"/>
        <w:rPr>
          <w:sz w:val="21"/>
          <w:szCs w:val="21"/>
        </w:rPr>
      </w:pPr>
      <w:r>
        <w:rPr>
          <w:rFonts w:hint="eastAsia"/>
          <w:sz w:val="21"/>
          <w:szCs w:val="21"/>
        </w:rPr>
        <w:t xml:space="preserve">②参与出借业务的单只证券不得超过本基金持有该证券总量的30%； </w:t>
      </w:r>
    </w:p>
    <w:p w14:paraId="17C2568B">
      <w:pPr>
        <w:pStyle w:val="7"/>
        <w:spacing w:before="0" w:beforeAutospacing="0" w:after="0" w:afterAutospacing="0" w:line="360" w:lineRule="auto"/>
        <w:ind w:firstLine="420"/>
        <w:rPr>
          <w:sz w:val="21"/>
          <w:szCs w:val="21"/>
        </w:rPr>
      </w:pPr>
      <w:r>
        <w:rPr>
          <w:rFonts w:hint="eastAsia"/>
          <w:sz w:val="21"/>
          <w:szCs w:val="21"/>
        </w:rPr>
        <w:t xml:space="preserve">③最近6个月内日均基金资产净值不得低于2亿元； </w:t>
      </w:r>
    </w:p>
    <w:p w14:paraId="12CC4CEA">
      <w:pPr>
        <w:pStyle w:val="7"/>
        <w:spacing w:before="0" w:beforeAutospacing="0" w:after="0" w:afterAutospacing="0" w:line="360" w:lineRule="auto"/>
        <w:ind w:firstLine="420"/>
        <w:rPr>
          <w:sz w:val="21"/>
          <w:szCs w:val="21"/>
        </w:rPr>
      </w:pPr>
      <w:r>
        <w:rPr>
          <w:rFonts w:hint="eastAsia"/>
          <w:sz w:val="21"/>
          <w:szCs w:val="21"/>
        </w:rPr>
        <w:t xml:space="preserve">④证券出借的平均剩余期限不得超过30天，平均剩余期限按照市值加权平均计算； </w:t>
      </w:r>
    </w:p>
    <w:p w14:paraId="741A4BCE">
      <w:pPr>
        <w:pStyle w:val="7"/>
        <w:spacing w:before="0" w:beforeAutospacing="0" w:after="0" w:afterAutospacing="0" w:line="360" w:lineRule="auto"/>
        <w:ind w:firstLine="420"/>
        <w:rPr>
          <w:sz w:val="21"/>
          <w:szCs w:val="21"/>
        </w:rPr>
      </w:pPr>
      <w:r>
        <w:rPr>
          <w:rFonts w:hint="eastAsia"/>
          <w:sz w:val="21"/>
          <w:szCs w:val="21"/>
        </w:rPr>
        <w:t xml:space="preserve">因证券市场波动、证券发行人合并、基金规模变动等基金管理人之外的因素致使基金投资不符合上述规定的，基金管理人不得新增出借业务； </w:t>
      </w:r>
    </w:p>
    <w:p w14:paraId="3A7B0D71">
      <w:pPr>
        <w:pStyle w:val="7"/>
        <w:spacing w:before="0" w:beforeAutospacing="0" w:after="0" w:afterAutospacing="0" w:line="360" w:lineRule="auto"/>
        <w:ind w:firstLine="420"/>
        <w:rPr>
          <w:sz w:val="21"/>
          <w:szCs w:val="21"/>
        </w:rPr>
      </w:pPr>
      <w:r>
        <w:rPr>
          <w:rFonts w:hint="eastAsia"/>
          <w:sz w:val="21"/>
          <w:szCs w:val="21"/>
        </w:rPr>
        <w:t xml:space="preserve">13）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319AAD25">
      <w:pPr>
        <w:pStyle w:val="7"/>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5430734A">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1E9D32F0">
      <w:pPr>
        <w:pStyle w:val="7"/>
        <w:spacing w:before="0" w:beforeAutospacing="0" w:after="0" w:afterAutospacing="0" w:line="360" w:lineRule="auto"/>
        <w:ind w:firstLine="420"/>
        <w:rPr>
          <w:sz w:val="21"/>
          <w:szCs w:val="21"/>
        </w:rPr>
      </w:pPr>
      <w:r>
        <w:rPr>
          <w:rFonts w:hint="eastAsia"/>
          <w:sz w:val="21"/>
          <w:szCs w:val="21"/>
        </w:rPr>
        <w:t xml:space="preserve">16）本基金资产总值不得超过基金资产净值的140%； </w:t>
      </w:r>
    </w:p>
    <w:p w14:paraId="73F8BB6E">
      <w:pPr>
        <w:pStyle w:val="7"/>
        <w:spacing w:before="0" w:beforeAutospacing="0" w:after="0" w:afterAutospacing="0" w:line="360" w:lineRule="auto"/>
        <w:ind w:firstLine="420"/>
        <w:rPr>
          <w:sz w:val="21"/>
          <w:szCs w:val="21"/>
        </w:rPr>
      </w:pPr>
      <w:r>
        <w:rPr>
          <w:rFonts w:hint="eastAsia"/>
          <w:sz w:val="21"/>
          <w:szCs w:val="21"/>
        </w:rPr>
        <w:t xml:space="preserve">17）本基金投资存托凭证的比例限制依照境内上市交易的股票执行； </w:t>
      </w:r>
    </w:p>
    <w:p w14:paraId="79B7A76B">
      <w:pPr>
        <w:pStyle w:val="7"/>
        <w:spacing w:before="0" w:beforeAutospacing="0" w:after="0" w:afterAutospacing="0" w:line="360" w:lineRule="auto"/>
        <w:ind w:firstLine="420"/>
        <w:rPr>
          <w:sz w:val="21"/>
          <w:szCs w:val="21"/>
        </w:rPr>
      </w:pPr>
      <w:r>
        <w:rPr>
          <w:rFonts w:hint="eastAsia"/>
          <w:sz w:val="21"/>
          <w:szCs w:val="21"/>
        </w:rPr>
        <w:t xml:space="preserve">18）法律法规及中国证监会规定的和《基金合同》约定的其他投资限制。 </w:t>
      </w:r>
    </w:p>
    <w:p w14:paraId="4346D1A1">
      <w:pPr>
        <w:pStyle w:val="7"/>
        <w:spacing w:before="0" w:beforeAutospacing="0" w:after="0" w:afterAutospacing="0" w:line="360" w:lineRule="auto"/>
        <w:ind w:firstLine="420"/>
        <w:rPr>
          <w:sz w:val="21"/>
          <w:szCs w:val="21"/>
        </w:rPr>
      </w:pPr>
      <w:r>
        <w:rPr>
          <w:rFonts w:hint="eastAsia"/>
          <w:sz w:val="21"/>
          <w:szCs w:val="21"/>
        </w:rPr>
        <w:t xml:space="preserve">除上述2）、8）、12）、14）、15）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3731A2DA">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6CC9C71">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法律法规或监管部门取消或调整上述限制，如适用于本基金，基金管理人在与基金托管人协商一致并履行适当程序后，则本基金投资不再受相关限制或按照调整后的规定执行。 </w:t>
      </w:r>
    </w:p>
    <w:p w14:paraId="16B1BB1F">
      <w:pPr>
        <w:pStyle w:val="7"/>
        <w:spacing w:before="0" w:beforeAutospacing="0" w:after="0" w:afterAutospacing="0" w:line="360" w:lineRule="auto"/>
        <w:ind w:firstLine="420"/>
        <w:rPr>
          <w:sz w:val="21"/>
          <w:szCs w:val="21"/>
        </w:rPr>
      </w:pPr>
      <w:r>
        <w:rPr>
          <w:rFonts w:hint="eastAsia"/>
          <w:sz w:val="21"/>
          <w:szCs w:val="21"/>
        </w:rPr>
        <w:t xml:space="preserve">3.本基金财产不得用于以下投资或者活动： </w:t>
      </w:r>
    </w:p>
    <w:p w14:paraId="66E727D7">
      <w:pPr>
        <w:pStyle w:val="7"/>
        <w:spacing w:before="0" w:beforeAutospacing="0" w:after="0" w:afterAutospacing="0" w:line="360" w:lineRule="auto"/>
        <w:ind w:firstLine="420"/>
        <w:rPr>
          <w:sz w:val="21"/>
          <w:szCs w:val="21"/>
        </w:rPr>
      </w:pPr>
      <w:r>
        <w:rPr>
          <w:rFonts w:hint="eastAsia"/>
          <w:sz w:val="21"/>
          <w:szCs w:val="21"/>
        </w:rPr>
        <w:t xml:space="preserve">（1）承销证券； </w:t>
      </w:r>
    </w:p>
    <w:p w14:paraId="6783A0BF">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620D1CE0">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0509E95">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752C1CBE">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69D4CA09">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4CD6C143">
      <w:pPr>
        <w:pStyle w:val="7"/>
        <w:spacing w:before="0" w:beforeAutospacing="0" w:after="0" w:afterAutospacing="0" w:line="360" w:lineRule="auto"/>
        <w:ind w:firstLine="420"/>
        <w:rPr>
          <w:sz w:val="21"/>
          <w:szCs w:val="21"/>
        </w:rPr>
      </w:pPr>
      <w:r>
        <w:rPr>
          <w:rFonts w:hint="eastAsia"/>
          <w:sz w:val="21"/>
          <w:szCs w:val="21"/>
        </w:rPr>
        <w:t xml:space="preserve">（7）法律、行政法规或者中国证监会规定禁止的其他活动。 </w:t>
      </w:r>
    </w:p>
    <w:p w14:paraId="675C5C81">
      <w:pPr>
        <w:pStyle w:val="7"/>
        <w:spacing w:before="0" w:beforeAutospacing="0" w:after="0" w:afterAutospacing="0" w:line="360" w:lineRule="auto"/>
        <w:ind w:firstLine="420"/>
        <w:rPr>
          <w:sz w:val="21"/>
          <w:szCs w:val="21"/>
        </w:rPr>
      </w:pPr>
      <w:r>
        <w:rPr>
          <w:rFonts w:hint="eastAsia"/>
          <w:sz w:val="21"/>
          <w:szCs w:val="21"/>
        </w:rPr>
        <w:t xml:space="preserve">4.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0B3599E">
      <w:pPr>
        <w:pStyle w:val="7"/>
        <w:spacing w:before="0" w:beforeAutospacing="0" w:after="0" w:afterAutospacing="0" w:line="360" w:lineRule="auto"/>
        <w:ind w:firstLine="420"/>
        <w:rPr>
          <w:sz w:val="21"/>
          <w:szCs w:val="21"/>
        </w:rPr>
      </w:pPr>
      <w:r>
        <w:rPr>
          <w:rFonts w:hint="eastAsia"/>
          <w:sz w:val="21"/>
          <w:szCs w:val="21"/>
        </w:rPr>
        <w:t xml:space="preserve">5.如果法律法规及监管政策等对基金合同约定的投资禁止行为和投资组合比例限制进行变更的，本基金可相应调整禁止行为和投资比例限制规定，不需经基金份额持有人大会审议。《基金法》及其他有关法律法规或监管部门取消上述限制的，履行适当程序后，基金不受上述限制。 </w:t>
      </w:r>
    </w:p>
    <w:p w14:paraId="076F48DA">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 </w:t>
      </w:r>
    </w:p>
    <w:p w14:paraId="4D591B4A">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39892099">
      <w:pPr>
        <w:pStyle w:val="7"/>
        <w:spacing w:before="0" w:beforeAutospacing="0" w:after="0" w:afterAutospacing="0" w:line="360" w:lineRule="auto"/>
        <w:ind w:firstLine="420"/>
        <w:rPr>
          <w:sz w:val="21"/>
          <w:szCs w:val="21"/>
        </w:rPr>
      </w:pPr>
      <w:r>
        <w:rPr>
          <w:rFonts w:hint="eastAsia"/>
          <w:sz w:val="21"/>
          <w:szCs w:val="21"/>
        </w:rPr>
        <w:t xml:space="preserve">1.本基金投资于有固定期限银行存款的比例，不得超过基金资产净值的 30%，但投资于有存款期限，根据协议可提前支取的银行存款不受上述比例限制;本基金投资于具有基金托管人资格的同一商业银行的银行存款、同业存单占基金资产净值的比例合计不得超过 20%，投资于不具有基金托管人资格的同一商业银行的银行存款、同业存单占基金资产净值的比例合计不得超过 5%。 </w:t>
      </w:r>
    </w:p>
    <w:p w14:paraId="588D9F67">
      <w:pPr>
        <w:pStyle w:val="7"/>
        <w:spacing w:before="0" w:beforeAutospacing="0" w:after="0" w:afterAutospacing="0" w:line="360" w:lineRule="auto"/>
        <w:ind w:firstLine="420"/>
        <w:rPr>
          <w:sz w:val="21"/>
          <w:szCs w:val="21"/>
        </w:rPr>
      </w:pPr>
      <w:r>
        <w:rPr>
          <w:rFonts w:hint="eastAsia"/>
          <w:sz w:val="21"/>
          <w:szCs w:val="21"/>
        </w:rPr>
        <w:t xml:space="preserve">有关法律法规或监管部门制定或修改新的定期存款投资政策，基金管理人履行适当程序后，可相应调整投资组合限制的规定。 </w:t>
      </w:r>
    </w:p>
    <w:p w14:paraId="7B3A6FCF">
      <w:pPr>
        <w:pStyle w:val="7"/>
        <w:spacing w:before="0" w:beforeAutospacing="0" w:after="0" w:afterAutospacing="0" w:line="360" w:lineRule="auto"/>
        <w:ind w:firstLine="420"/>
        <w:rPr>
          <w:sz w:val="21"/>
          <w:szCs w:val="21"/>
        </w:rPr>
      </w:pPr>
      <w:r>
        <w:rPr>
          <w:rFonts w:hint="eastAsia"/>
          <w:sz w:val="21"/>
          <w:szCs w:val="21"/>
        </w:rPr>
        <w:t xml:space="preserve">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 </w:t>
      </w:r>
    </w:p>
    <w:p w14:paraId="54E00256">
      <w:pPr>
        <w:pStyle w:val="7"/>
        <w:spacing w:before="0" w:beforeAutospacing="0" w:after="0" w:afterAutospacing="0" w:line="360" w:lineRule="auto"/>
        <w:ind w:firstLine="420"/>
        <w:rPr>
          <w:sz w:val="21"/>
          <w:szCs w:val="21"/>
        </w:rPr>
      </w:pPr>
      <w:r>
        <w:rPr>
          <w:rFonts w:hint="eastAsia"/>
          <w:sz w:val="21"/>
          <w:szCs w:val="21"/>
        </w:rPr>
        <w:t xml:space="preserve">（1）基金管理人负责控制信用风险。信用风险主要包括存款银行的信用等级、存款银行的支付能力等涉及到存款银行选择方面的风险。因选择存款银行不当造成基金财产损失的，由基金管理人承担责任。 </w:t>
      </w:r>
    </w:p>
    <w:p w14:paraId="26484692">
      <w:pPr>
        <w:pStyle w:val="7"/>
        <w:spacing w:before="0" w:beforeAutospacing="0" w:after="0" w:afterAutospacing="0" w:line="360" w:lineRule="auto"/>
        <w:ind w:firstLine="420"/>
        <w:rPr>
          <w:sz w:val="21"/>
          <w:szCs w:val="21"/>
        </w:rPr>
      </w:pPr>
      <w:r>
        <w:rPr>
          <w:rFonts w:hint="eastAsia"/>
          <w:sz w:val="21"/>
          <w:szCs w:val="21"/>
        </w:rPr>
        <w:t xml:space="preserve">（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 </w:t>
      </w:r>
    </w:p>
    <w:p w14:paraId="501016F0">
      <w:pPr>
        <w:pStyle w:val="7"/>
        <w:spacing w:before="0" w:beforeAutospacing="0" w:after="0" w:afterAutospacing="0" w:line="360" w:lineRule="auto"/>
        <w:ind w:firstLine="420"/>
        <w:rPr>
          <w:sz w:val="21"/>
          <w:szCs w:val="21"/>
        </w:rPr>
      </w:pPr>
      <w:r>
        <w:rPr>
          <w:rFonts w:hint="eastAsia"/>
          <w:sz w:val="21"/>
          <w:szCs w:val="21"/>
        </w:rPr>
        <w:t xml:space="preserve">（3）基金管理人须加强内部风险控制制度的建设。如因基金管理人员工职务行为导致基金财产受到损失的，需由基金管理人承担由此造成的损失。 </w:t>
      </w:r>
    </w:p>
    <w:p w14:paraId="75674261">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31318091">
      <w:pPr>
        <w:pStyle w:val="7"/>
        <w:spacing w:before="0" w:beforeAutospacing="0" w:after="0" w:afterAutospacing="0" w:line="360" w:lineRule="auto"/>
        <w:ind w:firstLine="420"/>
        <w:rPr>
          <w:sz w:val="21"/>
          <w:szCs w:val="21"/>
        </w:rPr>
      </w:pPr>
      <w:r>
        <w:rPr>
          <w:rFonts w:hint="eastAsia"/>
          <w:sz w:val="21"/>
          <w:szCs w:val="21"/>
        </w:rPr>
        <w:t xml:space="preserve">（三）基金投资银行存款协议的签订、账户开设与管理、投资指令与资金划付、账目核对、到期兑付、提前支取 </w:t>
      </w:r>
    </w:p>
    <w:p w14:paraId="7507A6F3">
      <w:pPr>
        <w:pStyle w:val="7"/>
        <w:spacing w:before="0" w:beforeAutospacing="0" w:after="0" w:afterAutospacing="0" w:line="360" w:lineRule="auto"/>
        <w:ind w:firstLine="420"/>
        <w:rPr>
          <w:sz w:val="21"/>
          <w:szCs w:val="21"/>
        </w:rPr>
      </w:pPr>
      <w:r>
        <w:rPr>
          <w:rFonts w:hint="eastAsia"/>
          <w:sz w:val="21"/>
          <w:szCs w:val="21"/>
        </w:rPr>
        <w:t xml:space="preserve">1.基金投资银行存款协议的签订 </w:t>
      </w:r>
    </w:p>
    <w:p w14:paraId="61A33405">
      <w:pPr>
        <w:pStyle w:val="7"/>
        <w:spacing w:before="0" w:beforeAutospacing="0" w:after="0" w:afterAutospacing="0" w:line="360" w:lineRule="auto"/>
        <w:ind w:firstLine="420"/>
        <w:rPr>
          <w:sz w:val="21"/>
          <w:szCs w:val="21"/>
        </w:rPr>
      </w:pPr>
      <w:r>
        <w:rPr>
          <w:rFonts w:hint="eastAsia"/>
          <w:sz w:val="21"/>
          <w:szCs w:val="21"/>
        </w:rPr>
        <w:t xml:space="preserve">（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 </w:t>
      </w:r>
    </w:p>
    <w:p w14:paraId="2D049B69">
      <w:pPr>
        <w:pStyle w:val="7"/>
        <w:spacing w:before="0" w:beforeAutospacing="0" w:after="0" w:afterAutospacing="0" w:line="360" w:lineRule="auto"/>
        <w:ind w:firstLine="420"/>
        <w:rPr>
          <w:sz w:val="21"/>
          <w:szCs w:val="21"/>
        </w:rPr>
      </w:pPr>
      <w:r>
        <w:rPr>
          <w:rFonts w:hint="eastAsia"/>
          <w:sz w:val="21"/>
          <w:szCs w:val="21"/>
        </w:rPr>
        <w:t xml:space="preserve">（2）基金托管人依据相关法规对《总体合作协议》和《存款协议书》的内容进行复核，审查存款银行资格等。 </w:t>
      </w:r>
    </w:p>
    <w:p w14:paraId="432CC0D8">
      <w:pPr>
        <w:pStyle w:val="7"/>
        <w:spacing w:before="0" w:beforeAutospacing="0" w:after="0" w:afterAutospacing="0" w:line="360" w:lineRule="auto"/>
        <w:ind w:firstLine="420"/>
        <w:rPr>
          <w:sz w:val="21"/>
          <w:szCs w:val="21"/>
        </w:rPr>
      </w:pPr>
      <w:r>
        <w:rPr>
          <w:rFonts w:hint="eastAsia"/>
          <w:sz w:val="21"/>
          <w:szCs w:val="21"/>
        </w:rPr>
        <w:t xml:space="preserve">（3）基金管理人应在《存款协议书》中明确存款证实书或其他有效存款凭证的办理方式、邮寄地址、联系人和联系电话，以及存款证实书或其他有效凭证在邮寄过程中遗失后，存款余额的确认及兑付办法等。 </w:t>
      </w:r>
    </w:p>
    <w:p w14:paraId="1192D8F1">
      <w:pPr>
        <w:pStyle w:val="7"/>
        <w:spacing w:before="0" w:beforeAutospacing="0" w:after="0" w:afterAutospacing="0" w:line="360" w:lineRule="auto"/>
        <w:ind w:firstLine="420"/>
        <w:rPr>
          <w:sz w:val="21"/>
          <w:szCs w:val="21"/>
        </w:rPr>
      </w:pPr>
      <w:r>
        <w:rPr>
          <w:rFonts w:hint="eastAsia"/>
          <w:sz w:val="21"/>
          <w:szCs w:val="21"/>
        </w:rPr>
        <w:t xml:space="preserve">（4）由存款银行指定的存放存款的分支机构（以下简称“存款分支机构”）寄送或上门交付存款证实书或其他有效存款凭证的，基金托管人可向存款分支机构的上级行发出存款余额询证函，存款分支机构及其上级行应予配合。 </w:t>
      </w:r>
    </w:p>
    <w:p w14:paraId="4581D024">
      <w:pPr>
        <w:pStyle w:val="7"/>
        <w:spacing w:before="0" w:beforeAutospacing="0" w:after="0" w:afterAutospacing="0" w:line="360" w:lineRule="auto"/>
        <w:ind w:firstLine="420"/>
        <w:rPr>
          <w:sz w:val="21"/>
          <w:szCs w:val="21"/>
        </w:rPr>
      </w:pPr>
      <w:r>
        <w:rPr>
          <w:rFonts w:hint="eastAsia"/>
          <w:sz w:val="21"/>
          <w:szCs w:val="21"/>
        </w:rPr>
        <w:t xml:space="preserve">（5）基金管理人应在《存款协议书》中规定，基金存放到期或提前兑付的资金应全部划转到指定的基金托管账户，并在《存款协议书》写明账户名称和账号，未划入指定账户的，由存款银行承担一切责任。 </w:t>
      </w:r>
    </w:p>
    <w:p w14:paraId="75204E1A">
      <w:pPr>
        <w:pStyle w:val="7"/>
        <w:spacing w:before="0" w:beforeAutospacing="0" w:after="0" w:afterAutospacing="0" w:line="360" w:lineRule="auto"/>
        <w:ind w:firstLine="420"/>
        <w:rPr>
          <w:sz w:val="21"/>
          <w:szCs w:val="21"/>
        </w:rPr>
      </w:pPr>
      <w:r>
        <w:rPr>
          <w:rFonts w:hint="eastAsia"/>
          <w:sz w:val="21"/>
          <w:szCs w:val="21"/>
        </w:rPr>
        <w:t xml:space="preserve">（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 </w:t>
      </w:r>
    </w:p>
    <w:p w14:paraId="3E209FC7">
      <w:pPr>
        <w:pStyle w:val="7"/>
        <w:spacing w:before="0" w:beforeAutospacing="0" w:after="0" w:afterAutospacing="0" w:line="360" w:lineRule="auto"/>
        <w:ind w:firstLine="420"/>
        <w:rPr>
          <w:sz w:val="21"/>
          <w:szCs w:val="21"/>
        </w:rPr>
      </w:pPr>
      <w:r>
        <w:rPr>
          <w:rFonts w:hint="eastAsia"/>
          <w:sz w:val="21"/>
          <w:szCs w:val="21"/>
        </w:rPr>
        <w:t xml:space="preserve">（7）基金管理人应在《存款协议书》中规定，因定期存款产生的存单不得被质押或以任何方式被抵押，不得用于转让和背书。 </w:t>
      </w:r>
    </w:p>
    <w:p w14:paraId="0F4DA32D">
      <w:pPr>
        <w:pStyle w:val="7"/>
        <w:spacing w:before="0" w:beforeAutospacing="0" w:after="0" w:afterAutospacing="0" w:line="360" w:lineRule="auto"/>
        <w:ind w:firstLine="420"/>
        <w:rPr>
          <w:sz w:val="21"/>
          <w:szCs w:val="21"/>
        </w:rPr>
      </w:pPr>
      <w:r>
        <w:rPr>
          <w:rFonts w:hint="eastAsia"/>
          <w:sz w:val="21"/>
          <w:szCs w:val="21"/>
        </w:rPr>
        <w:t xml:space="preserve">2.基金投资银行存款时的账户开设与管理 </w:t>
      </w:r>
    </w:p>
    <w:p w14:paraId="06CEEC74">
      <w:pPr>
        <w:pStyle w:val="7"/>
        <w:spacing w:before="0" w:beforeAutospacing="0" w:after="0" w:afterAutospacing="0" w:line="360" w:lineRule="auto"/>
        <w:ind w:firstLine="420"/>
        <w:rPr>
          <w:sz w:val="21"/>
          <w:szCs w:val="21"/>
        </w:rPr>
      </w:pPr>
      <w:r>
        <w:rPr>
          <w:rFonts w:hint="eastAsia"/>
          <w:sz w:val="21"/>
          <w:szCs w:val="21"/>
        </w:rPr>
        <w:t xml:space="preserve">（1）基金投资于银行存款时，基金管理人应当依据基金管理人与存款银行签订的《总体合作协议》、《存款协议书》等，以基金的名义在存款银行总行或授权分行指定的分支机构开立银行账户。 </w:t>
      </w:r>
    </w:p>
    <w:p w14:paraId="58CEA8F9">
      <w:pPr>
        <w:pStyle w:val="7"/>
        <w:spacing w:before="0" w:beforeAutospacing="0" w:after="0" w:afterAutospacing="0" w:line="360" w:lineRule="auto"/>
        <w:ind w:firstLine="420"/>
        <w:rPr>
          <w:sz w:val="21"/>
          <w:szCs w:val="21"/>
        </w:rPr>
      </w:pPr>
      <w:r>
        <w:rPr>
          <w:rFonts w:hint="eastAsia"/>
          <w:sz w:val="21"/>
          <w:szCs w:val="21"/>
        </w:rPr>
        <w:t xml:space="preserve">（2）基金投资于银行存款时的预留印鉴由基金托管人保管和使用。 </w:t>
      </w:r>
    </w:p>
    <w:p w14:paraId="199C61E5">
      <w:pPr>
        <w:pStyle w:val="7"/>
        <w:spacing w:before="0" w:beforeAutospacing="0" w:after="0" w:afterAutospacing="0" w:line="360" w:lineRule="auto"/>
        <w:ind w:firstLine="420"/>
        <w:rPr>
          <w:sz w:val="21"/>
          <w:szCs w:val="21"/>
        </w:rPr>
      </w:pPr>
      <w:r>
        <w:rPr>
          <w:rFonts w:hint="eastAsia"/>
          <w:sz w:val="21"/>
          <w:szCs w:val="21"/>
        </w:rPr>
        <w:t xml:space="preserve">3.存款凭证传递、账目核对及到期兑付 </w:t>
      </w:r>
    </w:p>
    <w:p w14:paraId="7CF94709">
      <w:pPr>
        <w:pStyle w:val="7"/>
        <w:spacing w:before="0" w:beforeAutospacing="0" w:after="0" w:afterAutospacing="0" w:line="360" w:lineRule="auto"/>
        <w:ind w:firstLine="420"/>
        <w:rPr>
          <w:sz w:val="21"/>
          <w:szCs w:val="21"/>
        </w:rPr>
      </w:pPr>
      <w:r>
        <w:rPr>
          <w:rFonts w:hint="eastAsia"/>
          <w:sz w:val="21"/>
          <w:szCs w:val="21"/>
        </w:rPr>
        <w:t xml:space="preserve">（1）存款证实书等存款凭证传递 </w:t>
      </w:r>
    </w:p>
    <w:p w14:paraId="01782191">
      <w:pPr>
        <w:pStyle w:val="7"/>
        <w:spacing w:before="0" w:beforeAutospacing="0" w:after="0" w:afterAutospacing="0" w:line="360" w:lineRule="auto"/>
        <w:ind w:firstLine="420"/>
        <w:rPr>
          <w:sz w:val="21"/>
          <w:szCs w:val="21"/>
        </w:rPr>
      </w:pPr>
      <w:r>
        <w:rPr>
          <w:rFonts w:hint="eastAsia"/>
          <w:sz w:val="21"/>
          <w:szCs w:val="21"/>
        </w:rPr>
        <w:t xml:space="preserve">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 </w:t>
      </w:r>
    </w:p>
    <w:p w14:paraId="7FB1ABAE">
      <w:pPr>
        <w:pStyle w:val="7"/>
        <w:spacing w:before="0" w:beforeAutospacing="0" w:after="0" w:afterAutospacing="0" w:line="360" w:lineRule="auto"/>
        <w:ind w:firstLine="420"/>
        <w:rPr>
          <w:sz w:val="21"/>
          <w:szCs w:val="21"/>
        </w:rPr>
      </w:pPr>
      <w:r>
        <w:rPr>
          <w:rFonts w:hint="eastAsia"/>
          <w:sz w:val="21"/>
          <w:szCs w:val="21"/>
        </w:rPr>
        <w:t xml:space="preserve">（2）存款凭证的遗失补办 </w:t>
      </w:r>
    </w:p>
    <w:p w14:paraId="08C7EA81">
      <w:pPr>
        <w:pStyle w:val="7"/>
        <w:spacing w:before="0" w:beforeAutospacing="0" w:after="0" w:afterAutospacing="0" w:line="360" w:lineRule="auto"/>
        <w:ind w:firstLine="420"/>
        <w:rPr>
          <w:sz w:val="21"/>
          <w:szCs w:val="21"/>
        </w:rPr>
      </w:pPr>
      <w:r>
        <w:rPr>
          <w:rFonts w:hint="eastAsia"/>
          <w:sz w:val="21"/>
          <w:szCs w:val="21"/>
        </w:rPr>
        <w:t xml:space="preserve">存款凭证在邮寄过程中遗失的，由基金管理人向存款银行提出补办申请，基金管理人应督促存款银行尽快补办存款凭证，并按以上（1）的方式快递或上门交付至基金托管人，原存款凭证自动作废。 </w:t>
      </w:r>
    </w:p>
    <w:p w14:paraId="3C5FA495">
      <w:pPr>
        <w:pStyle w:val="7"/>
        <w:spacing w:before="0" w:beforeAutospacing="0" w:after="0" w:afterAutospacing="0" w:line="360" w:lineRule="auto"/>
        <w:ind w:firstLine="420"/>
        <w:rPr>
          <w:sz w:val="21"/>
          <w:szCs w:val="21"/>
        </w:rPr>
      </w:pPr>
      <w:r>
        <w:rPr>
          <w:rFonts w:hint="eastAsia"/>
          <w:sz w:val="21"/>
          <w:szCs w:val="21"/>
        </w:rPr>
        <w:t xml:space="preserve">（3）账目核对 </w:t>
      </w:r>
    </w:p>
    <w:p w14:paraId="16E6712F">
      <w:pPr>
        <w:pStyle w:val="7"/>
        <w:spacing w:before="0" w:beforeAutospacing="0" w:after="0" w:afterAutospacing="0" w:line="360" w:lineRule="auto"/>
        <w:ind w:firstLine="420"/>
        <w:rPr>
          <w:sz w:val="21"/>
          <w:szCs w:val="21"/>
        </w:rPr>
      </w:pPr>
      <w:r>
        <w:rPr>
          <w:rFonts w:hint="eastAsia"/>
          <w:sz w:val="21"/>
          <w:szCs w:val="21"/>
        </w:rPr>
        <w:t xml:space="preserve">每个工作日，基金管理人应与基金托管人核对各项银行存款投资余额及应计利息。 </w:t>
      </w:r>
    </w:p>
    <w:p w14:paraId="5CE6F9F5">
      <w:pPr>
        <w:pStyle w:val="7"/>
        <w:spacing w:before="0" w:beforeAutospacing="0" w:after="0" w:afterAutospacing="0" w:line="360" w:lineRule="auto"/>
        <w:ind w:firstLine="420"/>
        <w:rPr>
          <w:sz w:val="21"/>
          <w:szCs w:val="21"/>
        </w:rPr>
      </w:pPr>
      <w:r>
        <w:rPr>
          <w:rFonts w:hint="eastAsia"/>
          <w:sz w:val="21"/>
          <w:szCs w:val="21"/>
        </w:rPr>
        <w:t xml:space="preserve">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 </w:t>
      </w:r>
    </w:p>
    <w:p w14:paraId="2D476D54">
      <w:pPr>
        <w:pStyle w:val="7"/>
        <w:spacing w:before="0" w:beforeAutospacing="0" w:after="0" w:afterAutospacing="0" w:line="360" w:lineRule="auto"/>
        <w:ind w:firstLine="420"/>
        <w:rPr>
          <w:sz w:val="21"/>
          <w:szCs w:val="21"/>
        </w:rPr>
      </w:pPr>
      <w:r>
        <w:rPr>
          <w:rFonts w:hint="eastAsia"/>
          <w:sz w:val="21"/>
          <w:szCs w:val="21"/>
        </w:rPr>
        <w:t xml:space="preserve">存款银行应配合基金托管人对存款凭证的询证，并在询证函上加盖存款银行公章寄送至基金托管人指定联系人。 </w:t>
      </w:r>
    </w:p>
    <w:p w14:paraId="6A39500A">
      <w:pPr>
        <w:pStyle w:val="7"/>
        <w:spacing w:before="0" w:beforeAutospacing="0" w:after="0" w:afterAutospacing="0" w:line="360" w:lineRule="auto"/>
        <w:ind w:firstLine="420"/>
        <w:rPr>
          <w:sz w:val="21"/>
          <w:szCs w:val="21"/>
        </w:rPr>
      </w:pPr>
      <w:r>
        <w:rPr>
          <w:rFonts w:hint="eastAsia"/>
          <w:sz w:val="21"/>
          <w:szCs w:val="21"/>
        </w:rPr>
        <w:t xml:space="preserve">（4）到期兑付 </w:t>
      </w:r>
    </w:p>
    <w:p w14:paraId="3BDBFED1">
      <w:pPr>
        <w:pStyle w:val="7"/>
        <w:spacing w:before="0" w:beforeAutospacing="0" w:after="0" w:afterAutospacing="0" w:line="360" w:lineRule="auto"/>
        <w:ind w:firstLine="420"/>
        <w:rPr>
          <w:sz w:val="21"/>
          <w:szCs w:val="21"/>
        </w:rPr>
      </w:pPr>
      <w:r>
        <w:rPr>
          <w:rFonts w:hint="eastAsia"/>
          <w:sz w:val="21"/>
          <w:szCs w:val="21"/>
        </w:rPr>
        <w:t xml:space="preserve">基金管理人提前通知基金托管人通过快递将存款凭证原件寄给存款银行分支机构指定的会计主管。存款银行未收到存款凭证原件的，应与基金托管人电话询问。存款到期前基金管理人与存款银行确认存款凭证收到并于到期日兑付存款本息事宜。 </w:t>
      </w:r>
    </w:p>
    <w:p w14:paraId="33C3470E">
      <w:pPr>
        <w:pStyle w:val="7"/>
        <w:spacing w:before="0" w:beforeAutospacing="0" w:after="0" w:afterAutospacing="0" w:line="360" w:lineRule="auto"/>
        <w:ind w:firstLine="420"/>
        <w:rPr>
          <w:sz w:val="21"/>
          <w:szCs w:val="21"/>
        </w:rPr>
      </w:pPr>
      <w:r>
        <w:rPr>
          <w:rFonts w:hint="eastAsia"/>
          <w:sz w:val="21"/>
          <w:szCs w:val="21"/>
        </w:rPr>
        <w:t xml:space="preserve">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 </w:t>
      </w:r>
    </w:p>
    <w:p w14:paraId="23B23F19">
      <w:pPr>
        <w:pStyle w:val="7"/>
        <w:spacing w:before="0" w:beforeAutospacing="0" w:after="0" w:afterAutospacing="0" w:line="360" w:lineRule="auto"/>
        <w:ind w:firstLine="420"/>
        <w:rPr>
          <w:sz w:val="21"/>
          <w:szCs w:val="21"/>
        </w:rPr>
      </w:pPr>
      <w:r>
        <w:rPr>
          <w:rFonts w:hint="eastAsia"/>
          <w:sz w:val="21"/>
          <w:szCs w:val="21"/>
        </w:rPr>
        <w:t xml:space="preserve">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 </w:t>
      </w:r>
    </w:p>
    <w:p w14:paraId="6E09D116">
      <w:pPr>
        <w:pStyle w:val="7"/>
        <w:spacing w:before="0" w:beforeAutospacing="0" w:after="0" w:afterAutospacing="0" w:line="360" w:lineRule="auto"/>
        <w:ind w:firstLine="420"/>
        <w:rPr>
          <w:sz w:val="21"/>
          <w:szCs w:val="21"/>
        </w:rPr>
      </w:pPr>
      <w:r>
        <w:rPr>
          <w:rFonts w:hint="eastAsia"/>
          <w:sz w:val="21"/>
          <w:szCs w:val="21"/>
        </w:rPr>
        <w:t xml:space="preserve">4.提前支取 </w:t>
      </w:r>
    </w:p>
    <w:p w14:paraId="7CEBD2C8">
      <w:pPr>
        <w:pStyle w:val="7"/>
        <w:spacing w:before="0" w:beforeAutospacing="0" w:after="0" w:afterAutospacing="0" w:line="360" w:lineRule="auto"/>
        <w:ind w:firstLine="420"/>
        <w:rPr>
          <w:sz w:val="21"/>
          <w:szCs w:val="21"/>
        </w:rPr>
      </w:pPr>
      <w:r>
        <w:rPr>
          <w:rFonts w:hint="eastAsia"/>
          <w:sz w:val="21"/>
          <w:szCs w:val="21"/>
        </w:rPr>
        <w:t xml:space="preserve">如果在存款期限内，由于基金规模发生缩减的原因或者出于流动性管理的需要等原因，基金管理人可以提前支取全部或部分资金。 </w:t>
      </w:r>
    </w:p>
    <w:p w14:paraId="272D1BEC">
      <w:pPr>
        <w:pStyle w:val="7"/>
        <w:spacing w:before="0" w:beforeAutospacing="0" w:after="0" w:afterAutospacing="0" w:line="360" w:lineRule="auto"/>
        <w:ind w:firstLine="420"/>
        <w:rPr>
          <w:sz w:val="21"/>
          <w:szCs w:val="21"/>
        </w:rPr>
      </w:pPr>
      <w:r>
        <w:rPr>
          <w:rFonts w:hint="eastAsia"/>
          <w:sz w:val="21"/>
          <w:szCs w:val="21"/>
        </w:rPr>
        <w:t xml:space="preserve">提前支取的具体事项按照基金管理人与存款银行签订的《存款协议书》执行。 </w:t>
      </w:r>
    </w:p>
    <w:p w14:paraId="71740D57">
      <w:pPr>
        <w:pStyle w:val="7"/>
        <w:spacing w:before="0" w:beforeAutospacing="0" w:after="0" w:afterAutospacing="0" w:line="360" w:lineRule="auto"/>
        <w:ind w:firstLine="420"/>
        <w:rPr>
          <w:sz w:val="21"/>
          <w:szCs w:val="21"/>
        </w:rPr>
      </w:pPr>
      <w:r>
        <w:rPr>
          <w:rFonts w:hint="eastAsia"/>
          <w:sz w:val="21"/>
          <w:szCs w:val="21"/>
        </w:rPr>
        <w:t xml:space="preserve">5.基金投资银行存款的监督 </w:t>
      </w:r>
    </w:p>
    <w:p w14:paraId="66A7C68B">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 </w:t>
      </w:r>
    </w:p>
    <w:p w14:paraId="0F5EF42E">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 </w:t>
      </w:r>
    </w:p>
    <w:p w14:paraId="7BBE7BF0">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72019613">
      <w:pPr>
        <w:pStyle w:val="7"/>
        <w:spacing w:before="0" w:beforeAutospacing="0" w:after="0" w:afterAutospacing="0" w:line="360" w:lineRule="auto"/>
        <w:ind w:firstLine="420"/>
        <w:rPr>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（五）基金管理人应当对投资中期票据业务进行研究，认真评估中期票据投资业务的风险，本着审慎、勤勉尽责的原则进行中期票据的投资业务，并应符合法律法规及监管机构的相关规定。 </w:t>
      </w:r>
    </w:p>
    <w:p w14:paraId="36073D65">
      <w:pPr>
        <w:pStyle w:val="7"/>
        <w:spacing w:before="0" w:beforeAutospacing="0" w:after="0" w:afterAutospacing="0" w:line="360" w:lineRule="auto"/>
        <w:ind w:firstLine="420"/>
        <w:rPr>
          <w:sz w:val="21"/>
          <w:szCs w:val="21"/>
        </w:rPr>
      </w:pPr>
      <w:r>
        <w:rPr>
          <w:rFonts w:hint="eastAsia"/>
          <w:sz w:val="21"/>
          <w:szCs w:val="21"/>
        </w:rPr>
        <w:t xml:space="preserve">（六）本基金参与转融通证券出借业务，基金管理人应当遵循审慎经营原则，配备技术系统和专业人员，制定科学合理的投资策略和风险管理制度，完善业务流程，有效防范和控制风险。基金托管人将对基金参与转融通证券出借业务进行监督和复核。 </w:t>
      </w:r>
    </w:p>
    <w:p w14:paraId="6D63072E">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基金份额净值计算、基金参考份额净值、基金费用开支及收入确定、基金收益分配、相关信息披露、基金宣传推介材料中登载基金业绩表现数据等进行监督和核查。 </w:t>
      </w:r>
    </w:p>
    <w:p w14:paraId="7351AC0C">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（八）基金托管人发现基金管理人的上述事项及投资指令或实际投资运作违反法律法规、《基金合同》和本托管协议的规定，应及时以电话、邮件或书面提示等方式通知基金管理人限期纠正。 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 </w:t>
      </w:r>
    </w:p>
    <w:p w14:paraId="5922EB41">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 </w:t>
      </w:r>
    </w:p>
    <w:p w14:paraId="7E8DE229">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 </w:t>
      </w:r>
    </w:p>
    <w:p w14:paraId="18FD627B">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 </w:t>
      </w:r>
    </w:p>
    <w:p w14:paraId="7675F567">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4BC4F4AE">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 </w:t>
      </w:r>
    </w:p>
    <w:p w14:paraId="6E9A6789">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7BBFE4DC">
      <w:pPr>
        <w:pStyle w:val="7"/>
        <w:spacing w:before="0" w:beforeAutospacing="0" w:after="0" w:afterAutospacing="0" w:line="360" w:lineRule="auto"/>
        <w:ind w:firstLine="420"/>
        <w:rPr>
          <w:sz w:val="21"/>
          <w:szCs w:val="21"/>
        </w:rPr>
      </w:pPr>
      <w:r>
        <w:rPr>
          <w:rFonts w:hint="eastAsia"/>
          <w:sz w:val="21"/>
          <w:szCs w:val="21"/>
        </w:rPr>
        <w:t xml:space="preserve">（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1B492D55">
      <w:pPr>
        <w:pStyle w:val="7"/>
        <w:spacing w:before="0" w:beforeAutospacing="0" w:after="0" w:afterAutospacing="0" w:line="360" w:lineRule="auto"/>
        <w:ind w:firstLine="420"/>
        <w:rPr>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 </w:t>
      </w:r>
    </w:p>
    <w:p w14:paraId="12A34019">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040DE5B1">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2164A34C">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14EA7365">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087A0459">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3.基金托管人按照规定开设基金财产投资所需的相关账户。 </w:t>
      </w:r>
    </w:p>
    <w:p w14:paraId="2A90D173">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654F6200">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 </w:t>
      </w:r>
    </w:p>
    <w:p w14:paraId="5387C5F3">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 </w:t>
      </w:r>
    </w:p>
    <w:p w14:paraId="529713D7">
      <w:pPr>
        <w:pStyle w:val="7"/>
        <w:spacing w:before="0" w:beforeAutospacing="0" w:after="0" w:afterAutospacing="0" w:line="360" w:lineRule="auto"/>
        <w:ind w:firstLine="420"/>
        <w:rPr>
          <w:sz w:val="21"/>
          <w:szCs w:val="21"/>
        </w:rPr>
      </w:pPr>
      <w:r>
        <w:rPr>
          <w:rFonts w:hint="eastAsia"/>
          <w:sz w:val="21"/>
          <w:szCs w:val="21"/>
        </w:rPr>
        <w:t xml:space="preserve">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 </w:t>
      </w:r>
    </w:p>
    <w:p w14:paraId="047CCBD5">
      <w:pPr>
        <w:pStyle w:val="7"/>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13EDE21C">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767D8140">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1.基金募集期间募集的资金应开立“基金募集专户”。该账户由基金管理人开立并管理。 </w:t>
      </w:r>
    </w:p>
    <w:p w14:paraId="0B6A1165">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含募集股票市值）、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 </w:t>
      </w:r>
    </w:p>
    <w:p w14:paraId="610D02BC">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7B91A6AA">
      <w:pPr>
        <w:pStyle w:val="7"/>
        <w:spacing w:before="0" w:beforeAutospacing="0" w:after="0" w:afterAutospacing="0" w:line="360" w:lineRule="auto"/>
        <w:ind w:firstLine="420"/>
        <w:rPr>
          <w:sz w:val="21"/>
          <w:szCs w:val="21"/>
        </w:rPr>
      </w:pPr>
      <w:r>
        <w:rPr>
          <w:rFonts w:hint="eastAsia"/>
          <w:sz w:val="21"/>
          <w:szCs w:val="21"/>
        </w:rPr>
        <w:t xml:space="preserve">（三）基金资金账户的开立和管理 </w:t>
      </w:r>
    </w:p>
    <w:p w14:paraId="6802A72B">
      <w:pPr>
        <w:pStyle w:val="7"/>
        <w:spacing w:before="0" w:beforeAutospacing="0" w:after="0" w:afterAutospacing="0" w:line="360" w:lineRule="auto"/>
        <w:ind w:firstLine="420"/>
        <w:rPr>
          <w:sz w:val="21"/>
          <w:szCs w:val="21"/>
        </w:rPr>
      </w:pPr>
      <w:r>
        <w:rPr>
          <w:rFonts w:hint="eastAsia"/>
          <w:sz w:val="21"/>
          <w:szCs w:val="21"/>
        </w:rPr>
        <w:t xml:space="preserve">1.基金托管人以本基金的名义在其营业机构开立基金的资金账户（也可称为“托管账户”），保管基金的银行存款，并根据基金管理人的指令办理资金收付。托管账户名称应为“博时中证成渝地区双城经济圈成份交易型开放式指数证券投资基金”，预留印鉴为基金托管人印章。 </w:t>
      </w:r>
    </w:p>
    <w:p w14:paraId="481A2707">
      <w:pPr>
        <w:pStyle w:val="7"/>
        <w:spacing w:before="0" w:beforeAutospacing="0" w:after="0" w:afterAutospacing="0" w:line="360" w:lineRule="auto"/>
        <w:ind w:firstLine="420"/>
        <w:rPr>
          <w:sz w:val="21"/>
          <w:szCs w:val="21"/>
        </w:rPr>
      </w:pPr>
      <w:r>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14:paraId="77324DDE">
      <w:pPr>
        <w:pStyle w:val="7"/>
        <w:spacing w:before="0" w:beforeAutospacing="0" w:after="0" w:afterAutospacing="0" w:line="360" w:lineRule="auto"/>
        <w:ind w:firstLine="420"/>
        <w:rPr>
          <w:sz w:val="21"/>
          <w:szCs w:val="21"/>
        </w:rPr>
      </w:pPr>
      <w:r>
        <w:rPr>
          <w:rFonts w:hint="eastAsia"/>
          <w:sz w:val="21"/>
          <w:szCs w:val="21"/>
        </w:rPr>
        <w:t xml:space="preserve">3.基金资金账户的开立和管理应符合法律法规及银行业监督管理机构的有关规定。 </w:t>
      </w:r>
    </w:p>
    <w:p w14:paraId="19732CF5">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6C22F614">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1F52F9D9">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71DC355F">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2BBDD4B7">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 </w:t>
      </w:r>
    </w:p>
    <w:p w14:paraId="118306D4">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 </w:t>
      </w:r>
    </w:p>
    <w:p w14:paraId="796A0840">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5E5B71BE">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 </w:t>
      </w:r>
    </w:p>
    <w:p w14:paraId="045FC4AA">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24EAAAC9">
      <w:pPr>
        <w:pStyle w:val="7"/>
        <w:spacing w:before="0" w:beforeAutospacing="0" w:after="0" w:afterAutospacing="0" w:line="360" w:lineRule="auto"/>
        <w:ind w:firstLine="420"/>
        <w:rPr>
          <w:sz w:val="21"/>
          <w:szCs w:val="21"/>
        </w:rPr>
      </w:pPr>
      <w:r>
        <w:rPr>
          <w:rFonts w:hint="eastAsia"/>
          <w:sz w:val="21"/>
          <w:szCs w:val="21"/>
        </w:rPr>
        <w:t xml:space="preserve">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 </w:t>
      </w:r>
    </w:p>
    <w:p w14:paraId="642836BF">
      <w:pPr>
        <w:pStyle w:val="7"/>
        <w:spacing w:before="0" w:beforeAutospacing="0" w:after="0" w:afterAutospacing="0" w:line="360" w:lineRule="auto"/>
        <w:ind w:firstLine="420"/>
        <w:rPr>
          <w:sz w:val="21"/>
          <w:szCs w:val="21"/>
        </w:rPr>
      </w:pPr>
      <w:r>
        <w:rPr>
          <w:rFonts w:hint="eastAsia"/>
          <w:sz w:val="21"/>
          <w:szCs w:val="21"/>
        </w:rPr>
        <w:t xml:space="preserve">基金托管人和基金管理人应当在开户过程中相互配合，并提供所需资料。基金管理人保证所提供的账户开户材料的真实性和有效性，且在相关资料变更后及时将变更的资料提供给基金托管人。 </w:t>
      </w:r>
    </w:p>
    <w:p w14:paraId="60935D2B">
      <w:pPr>
        <w:pStyle w:val="7"/>
        <w:spacing w:before="0" w:beforeAutospacing="0" w:after="0" w:afterAutospacing="0" w:line="360" w:lineRule="auto"/>
        <w:ind w:firstLine="420"/>
        <w:rPr>
          <w:sz w:val="21"/>
          <w:szCs w:val="21"/>
        </w:rPr>
      </w:pPr>
      <w:r>
        <w:rPr>
          <w:rFonts w:hint="eastAsia"/>
          <w:sz w:val="21"/>
          <w:szCs w:val="21"/>
        </w:rPr>
        <w:t xml:space="preserve">2.因业务发展需要而开立的其他账户，可以根据法律法规和基金合同的规定，由基金管理人协助基金托管人按照有关法律法规和本协议的约定协商后开立。新账户按有关规定使用并管理。 </w:t>
      </w:r>
    </w:p>
    <w:p w14:paraId="6305D6F9">
      <w:pPr>
        <w:pStyle w:val="7"/>
        <w:spacing w:before="0" w:beforeAutospacing="0" w:after="0" w:afterAutospacing="0" w:line="360" w:lineRule="auto"/>
        <w:ind w:firstLine="420"/>
        <w:rPr>
          <w:sz w:val="21"/>
          <w:szCs w:val="21"/>
        </w:rPr>
      </w:pPr>
      <w:r>
        <w:rPr>
          <w:rFonts w:hint="eastAsia"/>
          <w:sz w:val="21"/>
          <w:szCs w:val="21"/>
        </w:rPr>
        <w:t xml:space="preserve">3.法律法规等有关规定对相关账户的开立和管理另有规定的，从其规定办理。 </w:t>
      </w:r>
    </w:p>
    <w:p w14:paraId="43F8B6F4">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1314127A">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 </w:t>
      </w:r>
    </w:p>
    <w:p w14:paraId="33BEB340">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6428449D">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20年，法律法规或监管规则另有规定的，从其规定。 </w:t>
      </w:r>
    </w:p>
    <w:p w14:paraId="6B832A7D">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公章的合同传真件，未经双方协商一致，合同原件不得转移。基金管理人向基金托管人提供的合同传真件与基金管理人留存原件不一致的，以传真件为准。 </w:t>
      </w:r>
    </w:p>
    <w:p w14:paraId="78E93367">
      <w:pPr>
        <w:pStyle w:val="7"/>
        <w:spacing w:before="0" w:beforeAutospacing="0" w:after="0" w:afterAutospacing="0" w:line="360" w:lineRule="auto"/>
        <w:ind w:firstLine="420"/>
        <w:rPr>
          <w:sz w:val="21"/>
          <w:szCs w:val="21"/>
        </w:rPr>
      </w:pPr>
      <w:r>
        <w:rPr>
          <w:rStyle w:val="11"/>
          <w:rFonts w:hint="eastAsia"/>
          <w:sz w:val="21"/>
          <w:szCs w:val="21"/>
        </w:rPr>
        <w:t>五、基金资产净值计算与复核</w:t>
      </w:r>
    </w:p>
    <w:p w14:paraId="30A88A4F">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78BDD8E5">
      <w:pPr>
        <w:pStyle w:val="7"/>
        <w:spacing w:before="0" w:beforeAutospacing="0" w:after="0" w:afterAutospacing="0" w:line="360" w:lineRule="auto"/>
        <w:ind w:firstLine="420"/>
        <w:rPr>
          <w:sz w:val="21"/>
          <w:szCs w:val="21"/>
        </w:rPr>
      </w:pPr>
      <w:r>
        <w:rPr>
          <w:rFonts w:hint="eastAsia"/>
          <w:sz w:val="21"/>
          <w:szCs w:val="21"/>
        </w:rPr>
        <w:t xml:space="preserve">1.基金资产净值 </w:t>
      </w:r>
    </w:p>
    <w:p w14:paraId="1BB66F10">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C4644CF">
      <w:pPr>
        <w:pStyle w:val="7"/>
        <w:spacing w:before="0" w:beforeAutospacing="0" w:after="0" w:afterAutospacing="0" w:line="360" w:lineRule="auto"/>
        <w:ind w:firstLine="420"/>
        <w:rPr>
          <w:sz w:val="21"/>
          <w:szCs w:val="21"/>
        </w:rPr>
      </w:pPr>
      <w:r>
        <w:rPr>
          <w:rFonts w:hint="eastAsia"/>
          <w:sz w:val="21"/>
          <w:szCs w:val="21"/>
        </w:rPr>
        <w:t xml:space="preserve">基金份额净值是指估值日基金资产净值除以估值日基金份额总数，基金份额净值的计算，精确到0.0001元，小数点后第五位四舍五入，基金管理人可以设立大额赎回情形下的净值精度应急调整机制。国家另有规定的，从其规定。 </w:t>
      </w:r>
    </w:p>
    <w:p w14:paraId="673885B4">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基金管理人每个工作日计算基金资产净值、基金份额净值，经基金托管人复核，按规定公告。 </w:t>
      </w:r>
    </w:p>
    <w:p w14:paraId="71F639B4">
      <w:pPr>
        <w:pStyle w:val="7"/>
        <w:spacing w:before="0" w:beforeAutospacing="0" w:after="0" w:afterAutospacing="0" w:line="360" w:lineRule="auto"/>
        <w:ind w:firstLine="420"/>
        <w:rPr>
          <w:sz w:val="21"/>
          <w:szCs w:val="21"/>
        </w:rPr>
      </w:pPr>
      <w:r>
        <w:rPr>
          <w:rFonts w:hint="eastAsia"/>
          <w:sz w:val="21"/>
          <w:szCs w:val="21"/>
        </w:rPr>
        <w:t xml:space="preserve">2.复核程序 </w:t>
      </w:r>
    </w:p>
    <w:p w14:paraId="567B7626">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基金管理人每个工作日对基金资产进行估值后，将基金资产净值、基金份额净值、基金份额参考净值发送基金托管人，经基金托管人复核无误后，由基金管理人对外公布。 </w:t>
      </w:r>
    </w:p>
    <w:p w14:paraId="3E686C09">
      <w:pPr>
        <w:pStyle w:val="7"/>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14:paraId="44FB7722">
      <w:pPr>
        <w:pStyle w:val="7"/>
        <w:spacing w:before="0" w:beforeAutospacing="0" w:after="0" w:afterAutospacing="0" w:line="360" w:lineRule="auto"/>
        <w:ind w:firstLine="420"/>
        <w:rPr>
          <w:sz w:val="21"/>
          <w:szCs w:val="21"/>
        </w:rPr>
      </w:pPr>
      <w:r>
        <w:rPr>
          <w:rFonts w:hint="eastAsia"/>
          <w:sz w:val="21"/>
          <w:szCs w:val="21"/>
        </w:rPr>
        <w:t xml:space="preserve">（二）基金资产的估值 </w:t>
      </w:r>
    </w:p>
    <w:p w14:paraId="5527FFD3">
      <w:pPr>
        <w:pStyle w:val="7"/>
        <w:spacing w:before="0" w:beforeAutospacing="0" w:after="0" w:afterAutospacing="0" w:line="360" w:lineRule="auto"/>
        <w:ind w:firstLine="420"/>
        <w:rPr>
          <w:sz w:val="21"/>
          <w:szCs w:val="21"/>
        </w:rPr>
      </w:pPr>
      <w:r>
        <w:rPr>
          <w:rFonts w:hint="eastAsia"/>
          <w:sz w:val="21"/>
          <w:szCs w:val="21"/>
        </w:rPr>
        <w:t xml:space="preserve">基金管理人及基金托管人应当按照《基金合同》的约定进行估值。 </w:t>
      </w:r>
    </w:p>
    <w:p w14:paraId="1464BCFC">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681CB73B">
      <w:pPr>
        <w:pStyle w:val="7"/>
        <w:spacing w:before="0" w:beforeAutospacing="0" w:after="0" w:afterAutospacing="0" w:line="360" w:lineRule="auto"/>
        <w:ind w:firstLine="420"/>
        <w:rPr>
          <w:sz w:val="21"/>
          <w:szCs w:val="21"/>
        </w:rPr>
      </w:pPr>
      <w:r>
        <w:rPr>
          <w:rFonts w:hint="eastAsia"/>
          <w:sz w:val="21"/>
          <w:szCs w:val="21"/>
        </w:rPr>
        <w:t xml:space="preserve">基金管理人及基金托管人应当按照《基金合同》的约定处理份额净值错误。 </w:t>
      </w:r>
    </w:p>
    <w:p w14:paraId="09BABF5D">
      <w:pPr>
        <w:pStyle w:val="7"/>
        <w:spacing w:before="0" w:beforeAutospacing="0" w:after="0" w:afterAutospacing="0" w:line="360" w:lineRule="auto"/>
        <w:ind w:firstLine="420"/>
        <w:rPr>
          <w:sz w:val="21"/>
          <w:szCs w:val="21"/>
        </w:rPr>
      </w:pPr>
      <w:r>
        <w:rPr>
          <w:rFonts w:hint="eastAsia"/>
          <w:sz w:val="21"/>
          <w:szCs w:val="21"/>
        </w:rPr>
        <w:t xml:space="preserve">（四）基金会计制度 </w:t>
      </w:r>
    </w:p>
    <w:p w14:paraId="7508A4B9">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50D9412B">
      <w:pPr>
        <w:pStyle w:val="7"/>
        <w:spacing w:before="0" w:beforeAutospacing="0" w:after="0" w:afterAutospacing="0" w:line="360" w:lineRule="auto"/>
        <w:ind w:firstLine="420"/>
        <w:rPr>
          <w:sz w:val="21"/>
          <w:szCs w:val="21"/>
        </w:rPr>
      </w:pPr>
      <w:r>
        <w:rPr>
          <w:rFonts w:hint="eastAsia"/>
          <w:sz w:val="21"/>
          <w:szCs w:val="21"/>
        </w:rPr>
        <w:t xml:space="preserve">（五）基金账册的建立 </w:t>
      </w:r>
    </w:p>
    <w:p w14:paraId="6B7ED51B">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记录和保管本基金的全套账册，对相关各方各自的账册定期进行核对，互相监督，以保证基金资产的安全。 </w:t>
      </w:r>
    </w:p>
    <w:p w14:paraId="6375E67E">
      <w:pPr>
        <w:pStyle w:val="7"/>
        <w:spacing w:before="0" w:beforeAutospacing="0" w:after="0" w:afterAutospacing="0" w:line="360" w:lineRule="auto"/>
        <w:ind w:firstLine="420"/>
        <w:rPr>
          <w:sz w:val="21"/>
          <w:szCs w:val="21"/>
        </w:rPr>
      </w:pPr>
      <w:r>
        <w:rPr>
          <w:rFonts w:hint="eastAsia"/>
          <w:sz w:val="21"/>
          <w:szCs w:val="21"/>
        </w:rPr>
        <w:t xml:space="preserve">（六）基金财务报表与报告的编制和复核 </w:t>
      </w:r>
    </w:p>
    <w:p w14:paraId="02CE5669">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643FD71B">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03D328E5">
      <w:pPr>
        <w:pStyle w:val="7"/>
        <w:spacing w:before="0" w:beforeAutospacing="0" w:after="0" w:afterAutospacing="0" w:line="360" w:lineRule="auto"/>
        <w:ind w:firstLine="420"/>
        <w:rPr>
          <w:sz w:val="21"/>
          <w:szCs w:val="21"/>
        </w:rPr>
      </w:pPr>
      <w:r>
        <w:rPr>
          <w:rFonts w:hint="eastAsia"/>
          <w:sz w:val="21"/>
          <w:szCs w:val="21"/>
        </w:rPr>
        <w:t xml:space="preserve">2.报表复核 </w:t>
      </w:r>
    </w:p>
    <w:p w14:paraId="6FC03305">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4ABDD3E4">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388EDE9E">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每月结束后5个工作日内完成月度报表的编制及复核；在每个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中华人民共和国证券法》规定的会计师事务所审计。基金合同生效不足两个月的，基金管理人可以不编制当期季度报告、中期报告或者年度报告。 </w:t>
      </w:r>
    </w:p>
    <w:p w14:paraId="6894C63B">
      <w:pPr>
        <w:pStyle w:val="7"/>
        <w:spacing w:before="0" w:beforeAutospacing="0" w:after="0" w:afterAutospacing="0" w:line="360" w:lineRule="auto"/>
        <w:ind w:firstLine="420"/>
        <w:rPr>
          <w:sz w:val="21"/>
          <w:szCs w:val="21"/>
        </w:rPr>
      </w:pPr>
      <w:r>
        <w:rPr>
          <w:rFonts w:hint="eastAsia"/>
          <w:sz w:val="21"/>
          <w:szCs w:val="21"/>
        </w:rPr>
        <w:t xml:space="preserve">（七）在有需要时，基金管理人应每季度向基金托管人提供基金业绩比较基准的基础数据和编制结果。 </w:t>
      </w:r>
    </w:p>
    <w:p w14:paraId="2726A520">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37CB23B6">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期限。如不能妥善保管，则按相关法律法规承担责任。 </w:t>
      </w:r>
    </w:p>
    <w:p w14:paraId="3C66731F">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管理人和托管人不得将所保管的基金份额持有人名册用于基金托管业务以外的其他用途，并应遵守保密义务。 </w:t>
      </w:r>
    </w:p>
    <w:p w14:paraId="11C4450E">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734DB90A">
      <w:pPr>
        <w:pStyle w:val="7"/>
        <w:spacing w:before="0" w:beforeAutospacing="0" w:after="0" w:afterAutospacing="0" w:line="360" w:lineRule="auto"/>
        <w:ind w:firstLine="420"/>
        <w:rPr>
          <w:sz w:val="21"/>
          <w:szCs w:val="21"/>
        </w:rPr>
      </w:pPr>
      <w:r>
        <w:rPr>
          <w:rStyle w:val="11"/>
          <w:rFonts w:hint="eastAsia"/>
          <w:sz w:val="21"/>
          <w:szCs w:val="21"/>
        </w:rPr>
        <w:t>双方当事人同意，因本协议而产生的或与本协议有关的一切争议，如经友好协商、调解未能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w:t>
      </w:r>
    </w:p>
    <w:p w14:paraId="79ADA294">
      <w:pPr>
        <w:pStyle w:val="7"/>
        <w:spacing w:before="0" w:beforeAutospacing="0" w:after="0" w:afterAutospacing="0" w:line="360" w:lineRule="auto"/>
        <w:ind w:firstLine="420"/>
        <w:rPr>
          <w:sz w:val="21"/>
          <w:szCs w:val="21"/>
        </w:rPr>
      </w:pPr>
      <w:r>
        <w:rPr>
          <w:rStyle w:val="11"/>
          <w:rFonts w:hint="eastAsia"/>
          <w:sz w:val="21"/>
          <w:szCs w:val="21"/>
        </w:rPr>
        <w:t>争议处理期间，双方当事人应恪守基金管理人和基金托管人职责，各自继续忠实、勤勉、尽责地履行基金合同和本托管协议规定的义务，维护基金份额持有人的合法权益。</w:t>
      </w:r>
    </w:p>
    <w:p w14:paraId="160619B4">
      <w:pPr>
        <w:pStyle w:val="7"/>
        <w:spacing w:before="0" w:beforeAutospacing="0" w:after="0" w:afterAutospacing="0" w:line="360" w:lineRule="auto"/>
        <w:ind w:firstLine="420"/>
        <w:rPr>
          <w:sz w:val="21"/>
          <w:szCs w:val="21"/>
        </w:rPr>
      </w:pPr>
      <w:r>
        <w:rPr>
          <w:rStyle w:val="11"/>
          <w:rFonts w:hint="eastAsia"/>
          <w:sz w:val="21"/>
          <w:szCs w:val="21"/>
        </w:rPr>
        <w:t>本协议受中华人民共和国法律（本托管协议之目的，不含港澳台立法）管辖。</w:t>
      </w:r>
    </w:p>
    <w:p w14:paraId="4907F3E9">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017155F3">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512AF2D4">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本协议双方当事人经协商一致，可以对协议进行修改。修改后的新协议，其内容不得与基金合同的规定有任何冲突。基金托管协议的变更应报中国证监会备案。 </w:t>
      </w:r>
    </w:p>
    <w:p w14:paraId="2C1BA43F">
      <w:pPr>
        <w:pStyle w:val="7"/>
        <w:spacing w:before="0" w:beforeAutospacing="0" w:after="0" w:afterAutospacing="0" w:line="360" w:lineRule="auto"/>
        <w:ind w:firstLine="420"/>
        <w:rPr>
          <w:sz w:val="21"/>
          <w:szCs w:val="21"/>
        </w:rPr>
      </w:pPr>
      <w:r>
        <w:rPr>
          <w:rFonts w:hint="eastAsia"/>
          <w:sz w:val="21"/>
          <w:szCs w:val="21"/>
        </w:rPr>
        <w:t xml:space="preserve">（二）基金托管协议终止的情形 </w:t>
      </w:r>
    </w:p>
    <w:p w14:paraId="4B826494">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27E23ACA">
      <w:pPr>
        <w:pStyle w:val="7"/>
        <w:spacing w:before="0" w:beforeAutospacing="0" w:after="0" w:afterAutospacing="0" w:line="360" w:lineRule="auto"/>
        <w:ind w:firstLine="420"/>
        <w:rPr>
          <w:sz w:val="21"/>
          <w:szCs w:val="21"/>
        </w:rPr>
      </w:pPr>
      <w:r>
        <w:rPr>
          <w:rFonts w:hint="eastAsia"/>
          <w:sz w:val="21"/>
          <w:szCs w:val="21"/>
        </w:rPr>
        <w:t xml:space="preserve">2、基金托管人因解散、破产、撤销等事由，不能继续担任基金托管人的职务，而在6个月内无其他适当的托管机构承接其原有权利义务； </w:t>
      </w:r>
    </w:p>
    <w:p w14:paraId="2F8F592B">
      <w:pPr>
        <w:pStyle w:val="7"/>
        <w:spacing w:before="0" w:beforeAutospacing="0" w:after="0" w:afterAutospacing="0" w:line="360" w:lineRule="auto"/>
        <w:ind w:firstLine="420"/>
        <w:rPr>
          <w:sz w:val="21"/>
          <w:szCs w:val="21"/>
        </w:rPr>
      </w:pPr>
      <w:r>
        <w:rPr>
          <w:rFonts w:hint="eastAsia"/>
          <w:sz w:val="21"/>
          <w:szCs w:val="21"/>
        </w:rPr>
        <w:t xml:space="preserve">3、基金管理人因解散、破产、撤销等事由，不能继续担任基金管理人的职务，而在6个月内无其他适当的基金管理公司承接其原有权利义务； </w:t>
      </w:r>
    </w:p>
    <w:p w14:paraId="37F0772D">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4、发生法律法规或《基金合同》规定的其他终止事项。 </w:t>
      </w:r>
    </w:p>
    <w:p w14:paraId="515463F1">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11AEE34C">
      <w:pPr>
        <w:pStyle w:val="7"/>
        <w:spacing w:before="0" w:beforeAutospacing="0" w:after="0" w:afterAutospacing="0" w:line="360" w:lineRule="auto"/>
        <w:ind w:firstLine="420"/>
        <w:rPr>
          <w:sz w:val="21"/>
          <w:szCs w:val="21"/>
        </w:rPr>
      </w:pPr>
      <w:bookmarkStart w:id="178" w:name="chapter_level1_25_72_section_1_end"/>
      <w:bookmarkEnd w:id="178"/>
      <w:r>
        <w:rPr>
          <w:rFonts w:hint="eastAsia"/>
          <w:sz w:val="21"/>
          <w:szCs w:val="21"/>
        </w:rPr>
        <w:t xml:space="preserve">基金管理人与基金托管人按照《基金合同》的约定处理基金财产的清算。 </w:t>
      </w:r>
    </w:p>
    <w:p w14:paraId="5ECA06DE">
      <w:pPr>
        <w:widowControl/>
        <w:jc w:val="left"/>
        <w:rPr>
          <w:rFonts w:ascii="宋体" w:hAnsi="宋体" w:eastAsia="宋体"/>
        </w:rPr>
      </w:pPr>
      <w:r>
        <w:rPr>
          <w:rFonts w:ascii="宋体" w:hAnsi="宋体" w:eastAsia="宋体"/>
        </w:rPr>
        <w:br w:type="page"/>
      </w:r>
    </w:p>
    <w:p w14:paraId="635501F8">
      <w:pPr>
        <w:pStyle w:val="2"/>
        <w:jc w:val="center"/>
        <w:rPr>
          <w:rFonts w:ascii="宋体" w:hAnsi="宋体" w:eastAsia="宋体"/>
          <w:sz w:val="30"/>
        </w:rPr>
      </w:pPr>
      <w:bookmarkStart w:id="179" w:name="_Toc207986802"/>
      <w:bookmarkStart w:id="180" w:name="chapter_level1_26_75"/>
      <w:r>
        <w:rPr>
          <w:rFonts w:hint="eastAsia" w:ascii="宋体" w:hAnsi="宋体" w:eastAsia="宋体"/>
          <w:sz w:val="30"/>
        </w:rPr>
        <w:t>第二十二部分  对基金份额持有人的服务</w:t>
      </w:r>
      <w:bookmarkEnd w:id="179"/>
      <w:bookmarkEnd w:id="180"/>
    </w:p>
    <w:p w14:paraId="254F3A9B">
      <w:pPr>
        <w:pStyle w:val="7"/>
        <w:spacing w:before="0" w:beforeAutospacing="0" w:after="0" w:afterAutospacing="0" w:line="360" w:lineRule="auto"/>
        <w:ind w:firstLine="420"/>
        <w:rPr>
          <w:sz w:val="21"/>
          <w:szCs w:val="21"/>
        </w:rPr>
      </w:pPr>
      <w:bookmarkStart w:id="181" w:name="chapter_level1_26_75_section_1"/>
      <w:bookmarkEnd w:id="181"/>
      <w:r>
        <w:rPr>
          <w:rFonts w:hint="eastAsia"/>
          <w:sz w:val="21"/>
          <w:szCs w:val="21"/>
        </w:rPr>
        <w:t xml:space="preserve">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  </w:t>
      </w:r>
    </w:p>
    <w:p w14:paraId="0CCCE249">
      <w:pPr>
        <w:pStyle w:val="7"/>
        <w:spacing w:before="0" w:beforeAutospacing="0" w:after="0" w:afterAutospacing="0" w:line="360" w:lineRule="auto"/>
        <w:ind w:firstLine="420"/>
        <w:rPr>
          <w:sz w:val="21"/>
          <w:szCs w:val="21"/>
        </w:rPr>
      </w:pPr>
      <w:r>
        <w:rPr>
          <w:rFonts w:hint="eastAsia"/>
          <w:sz w:val="21"/>
          <w:szCs w:val="21"/>
        </w:rPr>
        <w:t xml:space="preserve">基金管理人提供的服务内容如下： </w:t>
      </w:r>
    </w:p>
    <w:p w14:paraId="52C89F9D">
      <w:pPr>
        <w:pStyle w:val="7"/>
        <w:spacing w:before="0" w:beforeAutospacing="0" w:after="0" w:afterAutospacing="0" w:line="360" w:lineRule="auto"/>
        <w:ind w:firstLine="420"/>
        <w:rPr>
          <w:sz w:val="21"/>
          <w:szCs w:val="21"/>
        </w:rPr>
      </w:pPr>
      <w:r>
        <w:rPr>
          <w:rStyle w:val="11"/>
          <w:rFonts w:hint="eastAsia"/>
          <w:sz w:val="21"/>
          <w:szCs w:val="21"/>
        </w:rPr>
        <w:t>一、客户服务电话</w:t>
      </w:r>
    </w:p>
    <w:p w14:paraId="43F47661">
      <w:pPr>
        <w:pStyle w:val="7"/>
        <w:spacing w:before="0" w:beforeAutospacing="0" w:after="0" w:afterAutospacing="0" w:line="360" w:lineRule="auto"/>
        <w:ind w:firstLine="420"/>
        <w:rPr>
          <w:sz w:val="21"/>
          <w:szCs w:val="21"/>
        </w:rPr>
      </w:pPr>
      <w:r>
        <w:rPr>
          <w:rFonts w:hint="eastAsia"/>
          <w:sz w:val="21"/>
          <w:szCs w:val="21"/>
        </w:rPr>
        <w:t xml:space="preserve">客户服务中心自动语音系统提供每周七天、每天24小时的自动语音服务和查询服务，客户可以通过电话查询基金份额净值。同时，客服中心提供工作日每天9:00-21:00、节假日（十一和春节除外）9:00-17:00的电话人工服务。 </w:t>
      </w:r>
    </w:p>
    <w:p w14:paraId="31C759E0">
      <w:pPr>
        <w:pStyle w:val="7"/>
        <w:spacing w:before="0" w:beforeAutospacing="0" w:after="0" w:afterAutospacing="0" w:line="360" w:lineRule="auto"/>
        <w:ind w:firstLine="420"/>
        <w:rPr>
          <w:sz w:val="21"/>
          <w:szCs w:val="21"/>
        </w:rPr>
      </w:pPr>
      <w:r>
        <w:rPr>
          <w:rFonts w:hint="eastAsia"/>
          <w:sz w:val="21"/>
          <w:szCs w:val="21"/>
        </w:rPr>
        <w:t xml:space="preserve">博时一线通：95105568（免长途话费） </w:t>
      </w:r>
    </w:p>
    <w:p w14:paraId="66FBDB16">
      <w:pPr>
        <w:pStyle w:val="7"/>
        <w:spacing w:before="0" w:beforeAutospacing="0" w:after="0" w:afterAutospacing="0" w:line="360" w:lineRule="auto"/>
        <w:ind w:firstLine="420"/>
        <w:rPr>
          <w:sz w:val="21"/>
          <w:szCs w:val="21"/>
        </w:rPr>
      </w:pPr>
      <w:r>
        <w:rPr>
          <w:rStyle w:val="11"/>
          <w:rFonts w:hint="eastAsia"/>
          <w:sz w:val="21"/>
          <w:szCs w:val="21"/>
        </w:rPr>
        <w:t>二、网上客户服务中心</w:t>
      </w:r>
    </w:p>
    <w:p w14:paraId="7F0DB063">
      <w:pPr>
        <w:pStyle w:val="7"/>
        <w:spacing w:before="0" w:beforeAutospacing="0" w:after="0" w:afterAutospacing="0" w:line="360" w:lineRule="auto"/>
        <w:ind w:firstLine="420"/>
        <w:rPr>
          <w:sz w:val="21"/>
          <w:szCs w:val="21"/>
        </w:rPr>
      </w:pPr>
      <w:r>
        <w:rPr>
          <w:rFonts w:hint="eastAsia"/>
          <w:sz w:val="21"/>
          <w:szCs w:val="21"/>
        </w:rPr>
        <w:t xml:space="preserve">网上客户服务为投资人提供查询服务、资讯服务以及在线咨询的平台。登陆网站后，投资人可以查询基金相关信息，享受资讯服务；投资人还可以使用“在线客服”功能进行在线咨询以及查询热点问题及其解答，并提交投诉与建议。 </w:t>
      </w:r>
    </w:p>
    <w:p w14:paraId="17FCE935">
      <w:pPr>
        <w:pStyle w:val="7"/>
        <w:spacing w:before="0" w:beforeAutospacing="0" w:after="0" w:afterAutospacing="0" w:line="360" w:lineRule="auto"/>
        <w:ind w:firstLine="420"/>
        <w:rPr>
          <w:sz w:val="21"/>
          <w:szCs w:val="21"/>
        </w:rPr>
      </w:pPr>
      <w:r>
        <w:rPr>
          <w:rFonts w:hint="eastAsia"/>
          <w:sz w:val="21"/>
          <w:szCs w:val="21"/>
        </w:rPr>
        <w:t>基金管理人网址：</w:t>
      </w:r>
      <w:r>
        <w:fldChar w:fldCharType="begin"/>
      </w:r>
      <w:r>
        <w:instrText xml:space="preserve"> HYPERLINK "http://www.bosera.com/" </w:instrText>
      </w:r>
      <w:r>
        <w:fldChar w:fldCharType="separate"/>
      </w:r>
      <w:r>
        <w:rPr>
          <w:rStyle w:val="12"/>
          <w:rFonts w:hint="eastAsia"/>
          <w:sz w:val="21"/>
          <w:szCs w:val="21"/>
        </w:rPr>
        <w:t>www.bosera.com</w:t>
      </w:r>
      <w:r>
        <w:rPr>
          <w:rStyle w:val="12"/>
          <w:rFonts w:hint="eastAsia"/>
          <w:sz w:val="21"/>
          <w:szCs w:val="21"/>
        </w:rPr>
        <w:fldChar w:fldCharType="end"/>
      </w:r>
    </w:p>
    <w:p w14:paraId="202AA096">
      <w:pPr>
        <w:pStyle w:val="7"/>
        <w:spacing w:before="0" w:beforeAutospacing="0" w:after="0" w:afterAutospacing="0" w:line="360" w:lineRule="auto"/>
        <w:ind w:firstLine="420"/>
        <w:rPr>
          <w:sz w:val="21"/>
          <w:szCs w:val="21"/>
        </w:rPr>
      </w:pPr>
      <w:r>
        <w:rPr>
          <w:rFonts w:hint="eastAsia"/>
          <w:sz w:val="21"/>
          <w:szCs w:val="21"/>
        </w:rPr>
        <w:t>电子邮箱：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55D66DC3">
      <w:pPr>
        <w:pStyle w:val="7"/>
        <w:spacing w:before="0" w:beforeAutospacing="0" w:after="0" w:afterAutospacing="0" w:line="360" w:lineRule="auto"/>
        <w:ind w:firstLine="420"/>
        <w:rPr>
          <w:sz w:val="21"/>
          <w:szCs w:val="21"/>
        </w:rPr>
      </w:pPr>
      <w:r>
        <w:rPr>
          <w:rStyle w:val="11"/>
          <w:rFonts w:hint="eastAsia"/>
          <w:sz w:val="21"/>
          <w:szCs w:val="21"/>
        </w:rPr>
        <w:t>三、客户投诉处理</w:t>
      </w:r>
    </w:p>
    <w:p w14:paraId="29572CDE">
      <w:pPr>
        <w:pStyle w:val="7"/>
        <w:spacing w:before="0" w:beforeAutospacing="0" w:after="0" w:afterAutospacing="0" w:line="360" w:lineRule="auto"/>
        <w:ind w:firstLine="420"/>
        <w:rPr>
          <w:sz w:val="21"/>
          <w:szCs w:val="21"/>
        </w:rPr>
      </w:pPr>
      <w:r>
        <w:rPr>
          <w:rFonts w:hint="eastAsia"/>
          <w:sz w:val="21"/>
          <w:szCs w:val="21"/>
        </w:rPr>
        <w:t xml:space="preserve">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 </w:t>
      </w:r>
    </w:p>
    <w:p w14:paraId="3EE2BEE7">
      <w:pPr>
        <w:pStyle w:val="7"/>
        <w:spacing w:before="0" w:beforeAutospacing="0" w:after="0" w:afterAutospacing="0" w:line="360" w:lineRule="auto"/>
        <w:ind w:firstLine="420"/>
        <w:rPr>
          <w:sz w:val="21"/>
          <w:szCs w:val="21"/>
        </w:rPr>
      </w:pPr>
      <w:r>
        <w:rPr>
          <w:rFonts w:hint="eastAsia"/>
          <w:sz w:val="21"/>
          <w:szCs w:val="21"/>
        </w:rPr>
        <w:t>如本招募说明书存在任何您/贵机构无法理解的内容，请通过上述方式联系基金管理人。</w:t>
      </w:r>
      <w:bookmarkStart w:id="182" w:name="chapter_level1_26_75_section_1_end"/>
      <w:bookmarkEnd w:id="182"/>
      <w:r>
        <w:rPr>
          <w:rFonts w:hint="eastAsia"/>
          <w:sz w:val="21"/>
          <w:szCs w:val="21"/>
        </w:rPr>
        <w:t xml:space="preserve">请确保投资前，您/贵机构已经全面理解了本招募说明书。 </w:t>
      </w:r>
    </w:p>
    <w:p w14:paraId="690FF9C5">
      <w:pPr>
        <w:widowControl/>
        <w:jc w:val="left"/>
        <w:rPr>
          <w:rFonts w:ascii="宋体" w:hAnsi="宋体" w:eastAsia="宋体"/>
        </w:rPr>
      </w:pPr>
      <w:r>
        <w:rPr>
          <w:rFonts w:ascii="宋体" w:hAnsi="宋体" w:eastAsia="宋体"/>
        </w:rPr>
        <w:br w:type="page"/>
      </w:r>
    </w:p>
    <w:p w14:paraId="01BE9326">
      <w:pPr>
        <w:pStyle w:val="2"/>
        <w:jc w:val="center"/>
        <w:rPr>
          <w:rFonts w:ascii="宋体" w:hAnsi="宋体" w:eastAsia="宋体"/>
          <w:sz w:val="30"/>
        </w:rPr>
      </w:pPr>
      <w:bookmarkStart w:id="183" w:name="chapter_level1_27_3499"/>
      <w:bookmarkStart w:id="184" w:name="_Toc207986803"/>
      <w:r>
        <w:rPr>
          <w:rFonts w:hint="eastAsia" w:ascii="宋体" w:hAnsi="宋体" w:eastAsia="宋体"/>
          <w:sz w:val="30"/>
        </w:rPr>
        <w:t>第二十三部分 其他应披露的事项</w:t>
      </w:r>
      <w:bookmarkEnd w:id="183"/>
      <w:bookmarkEnd w:id="184"/>
    </w:p>
    <w:p w14:paraId="2BBDA193">
      <w:pPr>
        <w:pStyle w:val="7"/>
        <w:spacing w:before="0" w:beforeAutospacing="0" w:after="0" w:afterAutospacing="0" w:line="360" w:lineRule="auto"/>
        <w:ind w:firstLine="420"/>
        <w:rPr>
          <w:sz w:val="21"/>
          <w:szCs w:val="21"/>
        </w:rPr>
      </w:pPr>
      <w:bookmarkStart w:id="185" w:name="field_0_bsrevealinfo_1_start"/>
      <w:bookmarkEnd w:id="185"/>
      <w:bookmarkStart w:id="186" w:name="chapter_level1_27_3499_section_1"/>
      <w:bookmarkEnd w:id="186"/>
      <w:r>
        <w:rPr>
          <w:rFonts w:hint="eastAsia"/>
          <w:sz w:val="21"/>
          <w:szCs w:val="21"/>
        </w:rPr>
        <w:t>（一）、2025年8月29日，我公司公告了《博时中证成渝地区双城经济圈成份交易型开放式指数证券投资基金2025年中期报告》；</w:t>
      </w:r>
    </w:p>
    <w:p w14:paraId="39FB5A09">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4E22257B">
      <w:pPr>
        <w:pStyle w:val="7"/>
        <w:spacing w:before="0" w:beforeAutospacing="0" w:after="0" w:afterAutospacing="0" w:line="360" w:lineRule="auto"/>
        <w:ind w:firstLine="420"/>
        <w:rPr>
          <w:sz w:val="21"/>
          <w:szCs w:val="21"/>
        </w:rPr>
      </w:pPr>
      <w:r>
        <w:rPr>
          <w:rFonts w:hint="eastAsia"/>
          <w:sz w:val="21"/>
          <w:szCs w:val="21"/>
        </w:rPr>
        <w:t>（三）、2025年7月21日，我公司公告了《博时中证成渝地区双城经济圈成份交易型开放式指数证券投资基金2025年第2季度报告》；</w:t>
      </w:r>
    </w:p>
    <w:p w14:paraId="0AD3C1A1">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中证成渝地区双城经济圈成份交易型开放式指数证券投资基金基金产品资料概要更新》；</w:t>
      </w:r>
    </w:p>
    <w:p w14:paraId="08056FA3">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2570A42C">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41AEAF85">
      <w:pPr>
        <w:pStyle w:val="7"/>
        <w:spacing w:before="0" w:beforeAutospacing="0" w:after="0" w:afterAutospacing="0" w:line="360" w:lineRule="auto"/>
        <w:ind w:firstLine="420"/>
        <w:rPr>
          <w:sz w:val="21"/>
          <w:szCs w:val="21"/>
        </w:rPr>
      </w:pPr>
      <w:r>
        <w:rPr>
          <w:rFonts w:hint="eastAsia"/>
          <w:sz w:val="21"/>
          <w:szCs w:val="21"/>
        </w:rPr>
        <w:t>（七）、2025年4月25日，我公司公告了《关于博时基金管理有限公司旗下部分基金新增万和证券股份有限公司为申购、赎回代办券商的公告》；</w:t>
      </w:r>
    </w:p>
    <w:p w14:paraId="293BF603">
      <w:pPr>
        <w:pStyle w:val="7"/>
        <w:spacing w:before="0" w:beforeAutospacing="0" w:after="0" w:afterAutospacing="0" w:line="360" w:lineRule="auto"/>
        <w:ind w:firstLine="420"/>
        <w:rPr>
          <w:sz w:val="21"/>
          <w:szCs w:val="21"/>
        </w:rPr>
      </w:pPr>
      <w:r>
        <w:rPr>
          <w:rFonts w:hint="eastAsia"/>
          <w:sz w:val="21"/>
          <w:szCs w:val="21"/>
        </w:rPr>
        <w:t>（八）、2025年4月22日，我公司公告了《博时中证成渝地区双城经济圈成份交易型开放式指数证券投资基金2025年第1季度报告》；</w:t>
      </w:r>
    </w:p>
    <w:p w14:paraId="15783BC0">
      <w:pPr>
        <w:pStyle w:val="7"/>
        <w:spacing w:before="0" w:beforeAutospacing="0" w:after="0" w:afterAutospacing="0" w:line="360" w:lineRule="auto"/>
        <w:ind w:firstLine="420"/>
        <w:rPr>
          <w:sz w:val="21"/>
          <w:szCs w:val="21"/>
        </w:rPr>
      </w:pPr>
      <w:r>
        <w:rPr>
          <w:rFonts w:hint="eastAsia"/>
          <w:sz w:val="21"/>
          <w:szCs w:val="21"/>
        </w:rPr>
        <w:t>（九）、2025年4月11日，我公司公告了《博时中证成渝地区双城经济圈成份交易型开放式指数证券投资基金基金产品资料概要更新》、《博时中证成渝地区双城经济圈成份交易型开放式指数证券投资基金更新招募说明书》；</w:t>
      </w:r>
    </w:p>
    <w:p w14:paraId="2ACE7F8A">
      <w:pPr>
        <w:pStyle w:val="7"/>
        <w:spacing w:before="0" w:beforeAutospacing="0" w:after="0" w:afterAutospacing="0" w:line="360" w:lineRule="auto"/>
        <w:ind w:firstLine="420"/>
        <w:rPr>
          <w:sz w:val="21"/>
          <w:szCs w:val="21"/>
        </w:rPr>
      </w:pPr>
      <w:r>
        <w:rPr>
          <w:rFonts w:hint="eastAsia"/>
          <w:sz w:val="21"/>
          <w:szCs w:val="21"/>
        </w:rPr>
        <w:t>（十）、2025年4月10日，我公司公告了《关于博时中证成渝地区双城经济圈成份交易型开放式指数证券投资基金调低基金管理费率并修订基金合同的公告》、《博时中证成渝地区双城经济圈成份交易型开放式指数证券投资基金基金合同》；</w:t>
      </w:r>
    </w:p>
    <w:p w14:paraId="3EE56308">
      <w:pPr>
        <w:pStyle w:val="7"/>
        <w:spacing w:before="0" w:beforeAutospacing="0" w:after="0" w:afterAutospacing="0" w:line="360" w:lineRule="auto"/>
        <w:ind w:firstLine="420"/>
        <w:rPr>
          <w:sz w:val="21"/>
          <w:szCs w:val="21"/>
        </w:rPr>
      </w:pPr>
      <w:r>
        <w:rPr>
          <w:rFonts w:hint="eastAsia"/>
          <w:sz w:val="21"/>
          <w:szCs w:val="21"/>
        </w:rPr>
        <w:t>（十一）、2025年4月8日，我公司公告了《博时基金管理有限公司关于运用公司固有资金投资旗下公募基金的公告》、《博时基金管理有限公司关于旗下基金持有的长期停牌股票调整估值方法的公告-20250408》；</w:t>
      </w:r>
    </w:p>
    <w:p w14:paraId="7E3BF8B9">
      <w:pPr>
        <w:pStyle w:val="7"/>
        <w:spacing w:before="0" w:beforeAutospacing="0" w:after="0" w:afterAutospacing="0" w:line="360" w:lineRule="auto"/>
        <w:ind w:firstLine="420"/>
        <w:rPr>
          <w:sz w:val="21"/>
          <w:szCs w:val="21"/>
        </w:rPr>
      </w:pPr>
      <w:r>
        <w:rPr>
          <w:rFonts w:hint="eastAsia"/>
          <w:sz w:val="21"/>
          <w:szCs w:val="21"/>
        </w:rPr>
        <w:t>（十二）、2025年3月31日，我公司公告了《博时基金管理有限公司旗下公募基金通过证券公司证券交易及佣金支付情况（2024年度）》、《博时中证成渝地区双城经济圈成份交易型开放式指数证券投资基金2024年年度报告》；</w:t>
      </w:r>
    </w:p>
    <w:p w14:paraId="5E650552">
      <w:pPr>
        <w:pStyle w:val="7"/>
        <w:spacing w:before="0" w:beforeAutospacing="0" w:after="0" w:afterAutospacing="0" w:line="360" w:lineRule="auto"/>
        <w:ind w:firstLine="420"/>
        <w:rPr>
          <w:sz w:val="21"/>
          <w:szCs w:val="21"/>
        </w:rPr>
      </w:pPr>
      <w:r>
        <w:rPr>
          <w:rFonts w:hint="eastAsia"/>
          <w:sz w:val="21"/>
          <w:szCs w:val="21"/>
        </w:rPr>
        <w:t>（十三）、2025年3月25日，我公司公告了《关于博时基金管理有限公司旗下部分基金新增江海证券为申购、赎回代办券商的公告》、《博时基金管理有限公司关于旗下基金持有的长期停牌股票调整估值方法的公告-20250325》；</w:t>
      </w:r>
    </w:p>
    <w:p w14:paraId="575C3062">
      <w:pPr>
        <w:pStyle w:val="7"/>
        <w:spacing w:before="0" w:beforeAutospacing="0" w:after="0" w:afterAutospacing="0" w:line="360" w:lineRule="auto"/>
        <w:ind w:firstLine="420"/>
        <w:rPr>
          <w:sz w:val="21"/>
          <w:szCs w:val="21"/>
        </w:rPr>
      </w:pPr>
      <w:r>
        <w:rPr>
          <w:rFonts w:hint="eastAsia"/>
          <w:sz w:val="21"/>
          <w:szCs w:val="21"/>
        </w:rPr>
        <w:t>（十四）、2025年3月5日，我公司公告了《关于博时基金管理有限公司旗下部分基金新增东方财富证券为申购、赎回代办券商的公告》；</w:t>
      </w:r>
    </w:p>
    <w:p w14:paraId="0256F5F8">
      <w:pPr>
        <w:pStyle w:val="7"/>
        <w:spacing w:before="0" w:beforeAutospacing="0" w:after="0" w:afterAutospacing="0" w:line="360" w:lineRule="auto"/>
        <w:ind w:firstLine="420"/>
        <w:rPr>
          <w:sz w:val="21"/>
          <w:szCs w:val="21"/>
        </w:rPr>
      </w:pPr>
      <w:r>
        <w:rPr>
          <w:rFonts w:hint="eastAsia"/>
          <w:sz w:val="21"/>
          <w:szCs w:val="21"/>
        </w:rPr>
        <w:t>（十五）、2025年2月18日，我公司公告了《博时中证成渝地区双城经济圈成份交易型开放式指数证券投资基金溢价风险提示公告》；</w:t>
      </w:r>
    </w:p>
    <w:p w14:paraId="23487714">
      <w:pPr>
        <w:pStyle w:val="7"/>
        <w:spacing w:before="0" w:beforeAutospacing="0" w:after="0" w:afterAutospacing="0" w:line="360" w:lineRule="auto"/>
        <w:ind w:firstLine="420"/>
        <w:rPr>
          <w:sz w:val="21"/>
          <w:szCs w:val="21"/>
        </w:rPr>
      </w:pPr>
      <w:r>
        <w:rPr>
          <w:rFonts w:hint="eastAsia"/>
          <w:sz w:val="21"/>
          <w:szCs w:val="21"/>
        </w:rPr>
        <w:t>（十六）、2025年1月23日，我公司公告了《博时基金管理有限公司关于调整旗下部分证券投资基金主流动性服务商的公告》；</w:t>
      </w:r>
    </w:p>
    <w:p w14:paraId="0CFAFB51">
      <w:pPr>
        <w:pStyle w:val="7"/>
        <w:spacing w:before="0" w:beforeAutospacing="0" w:after="0" w:afterAutospacing="0" w:line="360" w:lineRule="auto"/>
        <w:ind w:firstLine="420"/>
        <w:rPr>
          <w:sz w:val="21"/>
          <w:szCs w:val="21"/>
        </w:rPr>
      </w:pPr>
      <w:r>
        <w:rPr>
          <w:rFonts w:hint="eastAsia"/>
          <w:sz w:val="21"/>
          <w:szCs w:val="21"/>
        </w:rPr>
        <w:t>（十七）、2025年1月22日，我公司公告了《博时中证成渝地区双城经济圈成份交易型开放式指数证券投资基金2024年第4季度报告》；</w:t>
      </w:r>
    </w:p>
    <w:p w14:paraId="66DC9614">
      <w:pPr>
        <w:pStyle w:val="7"/>
        <w:spacing w:before="0" w:beforeAutospacing="0" w:after="0" w:afterAutospacing="0" w:line="360" w:lineRule="auto"/>
        <w:ind w:firstLine="420"/>
        <w:rPr>
          <w:sz w:val="21"/>
          <w:szCs w:val="21"/>
        </w:rPr>
      </w:pPr>
      <w:r>
        <w:rPr>
          <w:rFonts w:hint="eastAsia"/>
          <w:sz w:val="21"/>
          <w:szCs w:val="21"/>
        </w:rPr>
        <w:t>（十八）、2025年1月2日，我公司公告了《关于博时基金管理有限公司旗下部分基金新增东北证券为申购、赎回代办券商的公告》、《关于博时基金管理有限公司旗下部分基金新增联储证券为申购、赎回代办券商的公告》；</w:t>
      </w:r>
    </w:p>
    <w:p w14:paraId="60378FD4">
      <w:pPr>
        <w:pStyle w:val="7"/>
        <w:spacing w:before="0" w:beforeAutospacing="0" w:after="0" w:afterAutospacing="0" w:line="360" w:lineRule="auto"/>
        <w:ind w:firstLine="420"/>
        <w:rPr>
          <w:sz w:val="21"/>
          <w:szCs w:val="21"/>
        </w:rPr>
      </w:pPr>
      <w:r>
        <w:rPr>
          <w:rFonts w:hint="eastAsia"/>
          <w:sz w:val="21"/>
          <w:szCs w:val="21"/>
        </w:rPr>
        <w:t>（十九）、2024年12月27日，我公司公告了《博时基金管理有限公司关于旗下193只基金改聘会计师事务所的公告》；</w:t>
      </w:r>
    </w:p>
    <w:p w14:paraId="4A82E1E5">
      <w:pPr>
        <w:pStyle w:val="7"/>
        <w:spacing w:before="0" w:beforeAutospacing="0" w:after="0" w:afterAutospacing="0" w:line="360" w:lineRule="auto"/>
        <w:ind w:firstLine="420"/>
        <w:rPr>
          <w:sz w:val="21"/>
          <w:szCs w:val="21"/>
        </w:rPr>
      </w:pPr>
      <w:r>
        <w:rPr>
          <w:rFonts w:hint="eastAsia"/>
          <w:sz w:val="21"/>
          <w:szCs w:val="21"/>
        </w:rPr>
        <w:t>（二十）、2024年12月7日，我公司公告了《博时基金管理有限公司关于高级管理人员变更的公告》；</w:t>
      </w:r>
    </w:p>
    <w:p w14:paraId="4F1946AC">
      <w:pPr>
        <w:pStyle w:val="7"/>
        <w:spacing w:before="0" w:beforeAutospacing="0" w:after="0" w:afterAutospacing="0" w:line="360" w:lineRule="auto"/>
        <w:ind w:firstLine="420"/>
        <w:rPr>
          <w:sz w:val="21"/>
          <w:szCs w:val="21"/>
        </w:rPr>
      </w:pPr>
      <w:r>
        <w:rPr>
          <w:rFonts w:hint="eastAsia"/>
          <w:sz w:val="21"/>
          <w:szCs w:val="21"/>
        </w:rPr>
        <w:t>（二十一）、2024年11月18日，我公司公告了《博时基金管理有限公司关于终止乾道基金销售有限公司办理旗下基金销售业务的公告》；</w:t>
      </w:r>
    </w:p>
    <w:p w14:paraId="17E238DA">
      <w:pPr>
        <w:pStyle w:val="7"/>
        <w:spacing w:before="0" w:beforeAutospacing="0" w:after="0" w:afterAutospacing="0" w:line="360" w:lineRule="auto"/>
        <w:ind w:firstLine="420"/>
        <w:rPr>
          <w:sz w:val="21"/>
          <w:szCs w:val="21"/>
        </w:rPr>
      </w:pPr>
      <w:r>
        <w:rPr>
          <w:rFonts w:hint="eastAsia"/>
          <w:sz w:val="21"/>
          <w:szCs w:val="21"/>
        </w:rPr>
        <w:t>（二十二）、2024年11月14日，我公司公告了《博时基金管理有限公司关于旗下基金投资关联方承销期内承销证券的公告》；</w:t>
      </w:r>
    </w:p>
    <w:p w14:paraId="45ADA6C8">
      <w:pPr>
        <w:pStyle w:val="7"/>
        <w:spacing w:before="0" w:beforeAutospacing="0" w:after="0" w:afterAutospacing="0" w:line="360" w:lineRule="auto"/>
        <w:ind w:firstLine="420"/>
        <w:rPr>
          <w:sz w:val="21"/>
          <w:szCs w:val="21"/>
        </w:rPr>
      </w:pPr>
      <w:r>
        <w:rPr>
          <w:rFonts w:hint="eastAsia"/>
          <w:sz w:val="21"/>
          <w:szCs w:val="21"/>
        </w:rPr>
        <w:t>（二十三）、2024年11月6日，我公司公告了《博时基金管理有限公司关于旗下基金持有的长期停牌股票调整估值方法的公告-20241106》；</w:t>
      </w:r>
    </w:p>
    <w:p w14:paraId="1BBE925F">
      <w:pPr>
        <w:pStyle w:val="7"/>
        <w:spacing w:before="0" w:beforeAutospacing="0" w:after="0" w:afterAutospacing="0" w:line="360" w:lineRule="auto"/>
        <w:ind w:firstLine="420"/>
        <w:rPr>
          <w:sz w:val="21"/>
          <w:szCs w:val="21"/>
        </w:rPr>
      </w:pPr>
      <w:r>
        <w:rPr>
          <w:rFonts w:hint="eastAsia"/>
          <w:sz w:val="21"/>
          <w:szCs w:val="21"/>
        </w:rPr>
        <w:t>（二十四）、2024年10月25日，我公司公告了《博时中证成渝地区双城经济圈成份交易型开放式指数证券投资基金2024年第3季度报告》；</w:t>
      </w:r>
    </w:p>
    <w:p w14:paraId="3890625F">
      <w:pPr>
        <w:pStyle w:val="7"/>
        <w:spacing w:before="0" w:beforeAutospacing="0" w:after="0" w:afterAutospacing="0" w:line="360" w:lineRule="auto"/>
        <w:ind w:firstLine="420"/>
        <w:rPr>
          <w:sz w:val="21"/>
          <w:szCs w:val="21"/>
        </w:rPr>
      </w:pPr>
      <w:r>
        <w:rPr>
          <w:rFonts w:hint="eastAsia"/>
          <w:sz w:val="21"/>
          <w:szCs w:val="21"/>
        </w:rPr>
        <w:t>（二十五）、2024年9月30日，我公司公告了《博时中证成渝地区双城经济圈成份交易型开放式指数证券投资基金更新招募说明书》；</w:t>
      </w:r>
    </w:p>
    <w:p w14:paraId="27CEA59D">
      <w:pPr>
        <w:pStyle w:val="7"/>
        <w:spacing w:before="0" w:beforeAutospacing="0" w:after="0" w:afterAutospacing="0" w:line="360" w:lineRule="auto"/>
        <w:ind w:firstLine="420"/>
        <w:rPr>
          <w:sz w:val="21"/>
          <w:szCs w:val="21"/>
        </w:rPr>
      </w:pPr>
      <w:r>
        <w:rPr>
          <w:rFonts w:hint="eastAsia"/>
          <w:sz w:val="21"/>
          <w:szCs w:val="21"/>
        </w:rPr>
        <w:t>（二十六）、2024年9月25日，我公司公告了《博时基金管理有限公司关于旗下基金持有的长期停牌股票调整估值方法的公告-20240925》；</w:t>
      </w:r>
    </w:p>
    <w:p w14:paraId="4FB8687F">
      <w:pPr>
        <w:pStyle w:val="7"/>
        <w:spacing w:before="0" w:beforeAutospacing="0" w:after="0" w:afterAutospacing="0" w:line="360" w:lineRule="auto"/>
        <w:ind w:firstLine="420"/>
        <w:rPr>
          <w:sz w:val="21"/>
          <w:szCs w:val="21"/>
        </w:rPr>
      </w:pPr>
      <w:r>
        <w:rPr>
          <w:rFonts w:hint="eastAsia"/>
          <w:sz w:val="21"/>
          <w:szCs w:val="21"/>
        </w:rPr>
        <w:t>（二十七）、2024年9月21日，我公司公告了《博时基金管理有限公司关于董事会成</w:t>
      </w:r>
      <w:bookmarkStart w:id="187" w:name="chapter_level1_27_3499_section_1_end"/>
      <w:bookmarkEnd w:id="187"/>
      <w:r>
        <w:rPr>
          <w:rFonts w:hint="eastAsia"/>
          <w:sz w:val="21"/>
          <w:szCs w:val="21"/>
        </w:rPr>
        <w:t>员变更的公告》。</w:t>
      </w:r>
      <w:bookmarkStart w:id="188" w:name="field_0_bsrevealinfo_1_end"/>
      <w:bookmarkEnd w:id="188"/>
      <w:r>
        <w:rPr>
          <w:rFonts w:hint="eastAsia"/>
          <w:sz w:val="21"/>
          <w:szCs w:val="21"/>
        </w:rPr>
        <w:t xml:space="preserve">  </w:t>
      </w:r>
    </w:p>
    <w:p w14:paraId="53326BF8">
      <w:pPr>
        <w:widowControl/>
        <w:jc w:val="left"/>
        <w:rPr>
          <w:rFonts w:ascii="宋体" w:hAnsi="宋体" w:eastAsia="宋体"/>
        </w:rPr>
      </w:pPr>
      <w:r>
        <w:rPr>
          <w:rFonts w:ascii="宋体" w:hAnsi="宋体" w:eastAsia="宋体"/>
        </w:rPr>
        <w:br w:type="page"/>
      </w:r>
    </w:p>
    <w:p w14:paraId="260E6E19">
      <w:pPr>
        <w:pStyle w:val="2"/>
        <w:jc w:val="center"/>
        <w:rPr>
          <w:rFonts w:ascii="宋体" w:hAnsi="宋体" w:eastAsia="宋体"/>
          <w:sz w:val="30"/>
        </w:rPr>
      </w:pPr>
      <w:bookmarkStart w:id="189" w:name="chapter_level1_28_77"/>
      <w:bookmarkStart w:id="190" w:name="_Toc207986804"/>
      <w:r>
        <w:rPr>
          <w:rFonts w:hint="eastAsia" w:ascii="宋体" w:hAnsi="宋体" w:eastAsia="宋体"/>
          <w:sz w:val="30"/>
        </w:rPr>
        <w:t>第二十四部分  招募说明书的存放及查阅方式</w:t>
      </w:r>
      <w:bookmarkEnd w:id="189"/>
      <w:bookmarkEnd w:id="190"/>
    </w:p>
    <w:p w14:paraId="77FBDD59">
      <w:pPr>
        <w:pStyle w:val="7"/>
        <w:spacing w:before="0" w:beforeAutospacing="0" w:after="0" w:afterAutospacing="0" w:line="360" w:lineRule="auto"/>
        <w:ind w:firstLine="420"/>
        <w:rPr>
          <w:sz w:val="21"/>
          <w:szCs w:val="21"/>
        </w:rPr>
      </w:pPr>
      <w:bookmarkStart w:id="191" w:name="chapter_level1_28_77_section_1"/>
      <w:bookmarkEnd w:id="191"/>
      <w:r>
        <w:rPr>
          <w:rFonts w:hint="eastAsia"/>
          <w:sz w:val="21"/>
          <w:szCs w:val="21"/>
        </w:rPr>
        <w:t xml:space="preserve">招募说明书公布后，应当分别置备于基金管理人、基金托管人的住所和基金上市交易的证券交易所，供公众查阅、复制。投资人可在办公时间查阅；投资人在支付工本费后，可在合理时间内取得上述文件复制件或复印件。对投资人按此种方式所获得的文件及其复印件，基金管理人保证文本的内容与所公告的内容完全一致。 </w:t>
      </w:r>
    </w:p>
    <w:p w14:paraId="775536B6">
      <w:pPr>
        <w:pStyle w:val="7"/>
        <w:spacing w:before="0" w:beforeAutospacing="0" w:after="0" w:afterAutospacing="0" w:line="360" w:lineRule="auto"/>
        <w:ind w:firstLine="420"/>
        <w:rPr>
          <w:sz w:val="21"/>
          <w:szCs w:val="21"/>
        </w:rPr>
      </w:pPr>
      <w:bookmarkStart w:id="192" w:name="chapter_level1_28_77_section_1_end"/>
      <w:bookmarkEnd w:id="192"/>
      <w:r>
        <w:rPr>
          <w:rFonts w:hint="eastAsia"/>
          <w:sz w:val="21"/>
          <w:szCs w:val="21"/>
        </w:rPr>
        <w:t xml:space="preserve">投资人还可以直接登录基金管理人的网站（www.bosera.com）查阅和下载招募说明书。 </w:t>
      </w:r>
    </w:p>
    <w:p w14:paraId="55DEAFE6">
      <w:pPr>
        <w:widowControl/>
        <w:jc w:val="left"/>
        <w:rPr>
          <w:rFonts w:ascii="宋体" w:hAnsi="宋体" w:eastAsia="宋体"/>
        </w:rPr>
      </w:pPr>
      <w:r>
        <w:rPr>
          <w:rFonts w:ascii="宋体" w:hAnsi="宋体" w:eastAsia="宋体"/>
        </w:rPr>
        <w:br w:type="page"/>
      </w:r>
    </w:p>
    <w:p w14:paraId="443330A9">
      <w:pPr>
        <w:pStyle w:val="2"/>
        <w:jc w:val="center"/>
        <w:rPr>
          <w:rFonts w:ascii="宋体" w:hAnsi="宋体" w:eastAsia="宋体"/>
          <w:sz w:val="30"/>
        </w:rPr>
      </w:pPr>
      <w:bookmarkStart w:id="193" w:name="_Toc207986805"/>
      <w:bookmarkStart w:id="194" w:name="chapter_level1_29_332"/>
      <w:r>
        <w:rPr>
          <w:rFonts w:hint="eastAsia" w:ascii="宋体" w:hAnsi="宋体" w:eastAsia="宋体"/>
          <w:sz w:val="30"/>
        </w:rPr>
        <w:t>第二十五部分  备查文件</w:t>
      </w:r>
      <w:bookmarkEnd w:id="193"/>
      <w:bookmarkEnd w:id="194"/>
    </w:p>
    <w:p w14:paraId="6946278F">
      <w:pPr>
        <w:pStyle w:val="7"/>
        <w:spacing w:before="0" w:beforeAutospacing="0" w:after="0" w:afterAutospacing="0" w:line="360" w:lineRule="auto"/>
        <w:ind w:firstLine="420"/>
        <w:rPr>
          <w:sz w:val="21"/>
          <w:szCs w:val="21"/>
        </w:rPr>
      </w:pPr>
      <w:bookmarkStart w:id="195" w:name="chapter_level1_29_332_section_1"/>
      <w:bookmarkEnd w:id="195"/>
      <w:r>
        <w:rPr>
          <w:rFonts w:hint="eastAsia"/>
          <w:sz w:val="21"/>
          <w:szCs w:val="21"/>
        </w:rPr>
        <w:t xml:space="preserve">以下备查文件存放在基金管理人的办公场所，在办公时间可供免费查阅。 </w:t>
      </w:r>
    </w:p>
    <w:p w14:paraId="14E7BAAB">
      <w:pPr>
        <w:pStyle w:val="7"/>
        <w:spacing w:before="0" w:beforeAutospacing="0" w:after="0" w:afterAutospacing="0" w:line="360" w:lineRule="auto"/>
        <w:ind w:firstLine="420"/>
        <w:rPr>
          <w:sz w:val="21"/>
          <w:szCs w:val="21"/>
        </w:rPr>
      </w:pPr>
      <w:r>
        <w:rPr>
          <w:rFonts w:hint="eastAsia"/>
          <w:sz w:val="21"/>
          <w:szCs w:val="21"/>
        </w:rPr>
        <w:t>（一）中国证监会准予</w:t>
      </w:r>
      <w:bookmarkStart w:id="196" w:name="field_0_productfullname_16"/>
      <w:r>
        <w:rPr>
          <w:rFonts w:hint="eastAsia"/>
          <w:sz w:val="21"/>
          <w:szCs w:val="21"/>
        </w:rPr>
        <w:t>博时中证成渝地区双城经济圈成份交易型开放式指数证券投资基金</w:t>
      </w:r>
      <w:bookmarkEnd w:id="196"/>
      <w:r>
        <w:rPr>
          <w:rFonts w:hint="eastAsia"/>
          <w:sz w:val="21"/>
          <w:szCs w:val="21"/>
        </w:rPr>
        <w:t xml:space="preserve">注册的文件 </w:t>
      </w:r>
    </w:p>
    <w:p w14:paraId="79469F13">
      <w:pPr>
        <w:pStyle w:val="7"/>
        <w:spacing w:before="0" w:beforeAutospacing="0" w:after="0" w:afterAutospacing="0" w:line="360" w:lineRule="auto"/>
        <w:ind w:firstLine="420"/>
        <w:rPr>
          <w:sz w:val="21"/>
          <w:szCs w:val="21"/>
        </w:rPr>
      </w:pPr>
      <w:r>
        <w:rPr>
          <w:rFonts w:hint="eastAsia"/>
          <w:sz w:val="21"/>
          <w:szCs w:val="21"/>
        </w:rPr>
        <w:t>（二）《</w:t>
      </w:r>
      <w:bookmarkStart w:id="197" w:name="field_0_productfullname_17"/>
      <w:r>
        <w:rPr>
          <w:rFonts w:hint="eastAsia"/>
          <w:sz w:val="21"/>
          <w:szCs w:val="21"/>
        </w:rPr>
        <w:t>博时中证成渝地区双城经济圈成份交易型开放式指数证券投资基金</w:t>
      </w:r>
      <w:bookmarkEnd w:id="197"/>
      <w:r>
        <w:rPr>
          <w:rFonts w:hint="eastAsia"/>
          <w:sz w:val="21"/>
          <w:szCs w:val="21"/>
        </w:rPr>
        <w:t xml:space="preserve">基金合同》 </w:t>
      </w:r>
    </w:p>
    <w:p w14:paraId="57AD9FDE">
      <w:pPr>
        <w:pStyle w:val="7"/>
        <w:spacing w:before="0" w:beforeAutospacing="0" w:after="0" w:afterAutospacing="0" w:line="360" w:lineRule="auto"/>
        <w:ind w:firstLine="420"/>
        <w:rPr>
          <w:sz w:val="21"/>
          <w:szCs w:val="21"/>
        </w:rPr>
      </w:pPr>
      <w:r>
        <w:rPr>
          <w:rFonts w:hint="eastAsia"/>
          <w:sz w:val="21"/>
          <w:szCs w:val="21"/>
        </w:rPr>
        <w:t>（三）《</w:t>
      </w:r>
      <w:bookmarkStart w:id="198" w:name="field_0_productfullname_18"/>
      <w:r>
        <w:rPr>
          <w:rFonts w:hint="eastAsia"/>
          <w:sz w:val="21"/>
          <w:szCs w:val="21"/>
        </w:rPr>
        <w:t>博时中证成渝地区双城经济圈成份交易型开放式指数证券投资基金</w:t>
      </w:r>
      <w:bookmarkEnd w:id="198"/>
      <w:r>
        <w:rPr>
          <w:rFonts w:hint="eastAsia"/>
          <w:sz w:val="21"/>
          <w:szCs w:val="21"/>
        </w:rPr>
        <w:t xml:space="preserve">托管协议》 </w:t>
      </w:r>
    </w:p>
    <w:p w14:paraId="6F34784C">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8E60B48">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4EF73895">
      <w:pPr>
        <w:pStyle w:val="7"/>
        <w:spacing w:before="0" w:beforeAutospacing="0" w:after="0" w:afterAutospacing="0" w:line="360" w:lineRule="auto"/>
        <w:ind w:firstLine="420"/>
        <w:rPr>
          <w:sz w:val="21"/>
          <w:szCs w:val="21"/>
        </w:rPr>
      </w:pPr>
      <w:r>
        <w:rPr>
          <w:rFonts w:hint="eastAsia"/>
          <w:sz w:val="21"/>
          <w:szCs w:val="21"/>
        </w:rPr>
        <w:t xml:space="preserve">（六）法律意见书 </w:t>
      </w:r>
    </w:p>
    <w:p w14:paraId="6E516B4B">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499B716D">
      <w:pPr>
        <w:pStyle w:val="7"/>
        <w:spacing w:before="0" w:beforeAutospacing="0" w:after="0" w:afterAutospacing="0" w:line="360" w:lineRule="auto"/>
        <w:ind w:firstLine="420"/>
        <w:rPr>
          <w:sz w:val="21"/>
          <w:szCs w:val="21"/>
        </w:rPr>
      </w:pPr>
      <w:bookmarkStart w:id="199" w:name="chapter_level1_29_332_section_1_end"/>
      <w:bookmarkEnd w:id="199"/>
      <w:r>
        <w:rPr>
          <w:rFonts w:hint="eastAsia"/>
          <w:sz w:val="21"/>
          <w:szCs w:val="21"/>
        </w:rPr>
        <w:t xml:space="preserve">查阅方式：投资者可在营业时间免费查阅，也可按工本费购买复印件。 </w:t>
      </w:r>
    </w:p>
    <w:p w14:paraId="441F0872">
      <w:pPr>
        <w:pStyle w:val="7"/>
        <w:spacing w:before="0" w:beforeAutospacing="0" w:after="0" w:afterAutospacing="0" w:line="360" w:lineRule="auto"/>
        <w:ind w:firstLine="420"/>
        <w:rPr>
          <w:sz w:val="21"/>
          <w:szCs w:val="21"/>
        </w:rPr>
      </w:pPr>
      <w:bookmarkStart w:id="200" w:name="chapter_level1_29_332_section_2"/>
      <w:bookmarkEnd w:id="200"/>
    </w:p>
    <w:p w14:paraId="0647D117">
      <w:pPr>
        <w:pStyle w:val="7"/>
        <w:spacing w:before="0" w:beforeAutospacing="0" w:after="0" w:afterAutospacing="0" w:line="360" w:lineRule="auto"/>
        <w:ind w:firstLine="420"/>
        <w:rPr>
          <w:sz w:val="21"/>
          <w:szCs w:val="21"/>
        </w:rPr>
      </w:pPr>
    </w:p>
    <w:p w14:paraId="18D16A47">
      <w:pPr>
        <w:pStyle w:val="7"/>
        <w:spacing w:before="0" w:beforeAutospacing="0" w:after="0" w:afterAutospacing="0" w:line="360" w:lineRule="auto"/>
        <w:ind w:firstLine="420"/>
        <w:rPr>
          <w:sz w:val="21"/>
          <w:szCs w:val="21"/>
        </w:rPr>
      </w:pPr>
    </w:p>
    <w:p w14:paraId="763648BD">
      <w:pPr>
        <w:pStyle w:val="7"/>
        <w:spacing w:before="0" w:beforeAutospacing="0" w:after="0" w:afterAutospacing="0" w:line="360" w:lineRule="auto"/>
        <w:ind w:firstLine="420"/>
        <w:rPr>
          <w:sz w:val="21"/>
          <w:szCs w:val="21"/>
        </w:rPr>
      </w:pPr>
    </w:p>
    <w:p w14:paraId="6DB350E4">
      <w:pPr>
        <w:pStyle w:val="7"/>
        <w:spacing w:before="0" w:beforeAutospacing="0" w:after="0" w:afterAutospacing="0" w:line="360" w:lineRule="auto"/>
        <w:ind w:firstLine="420"/>
        <w:jc w:val="right"/>
        <w:rPr>
          <w:sz w:val="21"/>
          <w:szCs w:val="21"/>
        </w:rPr>
      </w:pPr>
      <w:bookmarkStart w:id="201" w:name="field_0_managerorgfullname_1"/>
      <w:r>
        <w:rPr>
          <w:rFonts w:hint="eastAsia"/>
          <w:sz w:val="21"/>
          <w:szCs w:val="21"/>
        </w:rPr>
        <w:t>博时基金管理有限公司</w:t>
      </w:r>
      <w:bookmarkEnd w:id="201"/>
      <w:r>
        <w:rPr>
          <w:rFonts w:hint="eastAsia"/>
          <w:sz w:val="21"/>
          <w:szCs w:val="21"/>
        </w:rPr>
        <w:t xml:space="preserve">  </w:t>
      </w:r>
    </w:p>
    <w:p w14:paraId="0D0F5BF3">
      <w:pPr>
        <w:pStyle w:val="7"/>
        <w:spacing w:before="0" w:beforeAutospacing="0" w:after="0" w:afterAutospacing="0" w:line="360" w:lineRule="auto"/>
        <w:ind w:firstLine="420"/>
        <w:jc w:val="right"/>
        <w:rPr>
          <w:sz w:val="21"/>
          <w:szCs w:val="21"/>
        </w:rPr>
      </w:pPr>
      <w:bookmarkStart w:id="202" w:name="chapter_level1_29_332_section_2_end"/>
      <w:bookmarkEnd w:id="202"/>
      <w:bookmarkStart w:id="20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5</w:t>
      </w:r>
      <w:r>
        <w:rPr>
          <w:sz w:val="21"/>
          <w:szCs w:val="21"/>
        </w:rPr>
        <w:t>日</w:t>
      </w:r>
      <w:bookmarkEnd w:id="203"/>
      <w:r>
        <w:rPr>
          <w:rFonts w:hint="eastAsia"/>
          <w:sz w:val="21"/>
          <w:szCs w:val="21"/>
        </w:rPr>
        <w:t xml:space="preserve">  </w:t>
      </w:r>
    </w:p>
    <w:p w14:paraId="3EA6380D">
      <w:pPr>
        <w:rPr>
          <w:rFonts w:ascii="宋体" w:hAnsi="宋体" w:eastAsia="宋体"/>
        </w:rPr>
      </w:pPr>
      <w:bookmarkStart w:id="204" w:name="end"/>
      <w:bookmarkEnd w:id="20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7269F">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150</w:t>
    </w:r>
    <w:r>
      <w:fldChar w:fldCharType="end"/>
    </w:r>
    <w:r>
      <w:rPr>
        <w:rFonts w:hint="eastAsia"/>
      </w:rPr>
      <w:t>页 共</w:t>
    </w:r>
    <w:r>
      <w:fldChar w:fldCharType="begin"/>
    </w:r>
    <w:r>
      <w:instrText xml:space="preserve"> NumPages \* MERGEFORMAT </w:instrText>
    </w:r>
    <w:r>
      <w:fldChar w:fldCharType="separate"/>
    </w:r>
    <w:r>
      <w:t>150</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8C004">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472A194">
    <w:pPr>
      <w:pStyle w:val="5"/>
      <w:jc w:val="right"/>
    </w:pPr>
    <w:r>
      <w:rPr>
        <w:rFonts w:hint="eastAsia"/>
      </w:rPr>
      <w:t>博时中证成渝地区双城经济圈成份交易型开放式指数证券投资基金更新招募说明书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EEB"/>
    <w:rsid w:val="00585EEB"/>
    <w:rsid w:val="00697CB7"/>
    <w:rsid w:val="00952EF6"/>
    <w:rsid w:val="35030336"/>
    <w:rsid w:val="396A2333"/>
    <w:rsid w:val="3F7E5620"/>
    <w:rsid w:val="4A7E1928"/>
    <w:rsid w:val="62203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150</Pages>
  <Words>18070</Words>
  <Characters>103004</Characters>
  <Lines>858</Lines>
  <Paragraphs>241</Paragraphs>
  <TotalTime>6</TotalTime>
  <ScaleCrop>false</ScaleCrop>
  <LinksUpToDate>false</LinksUpToDate>
  <CharactersWithSpaces>120833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2025-09-05T09:46:00Z</dcterms:created>
  <dc:creator>BSKMadminDev</dc:creator>
  <cp:lastModifiedBy>zhouhy</cp:lastModifiedBy>
  <dcterms:modified xsi:type="dcterms:W3CDTF">2026-06-04T06:28:09Z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3FFE9522872B4B948D1303B2000DC389</vt:lpwstr>
  </property>
</Properties>
</file>