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FF51D7">
      <w:pPr>
        <w:adjustRightInd w:val="0"/>
        <w:spacing w:line="360" w:lineRule="auto"/>
        <w:jc w:val="center"/>
        <w:rPr>
          <w:rFonts w:hint="eastAsia" w:ascii="宋体" w:hAnsi="宋体" w:eastAsia="宋体" w:cs="Times New Roman"/>
          <w:b/>
          <w:bCs/>
          <w:sz w:val="28"/>
          <w:szCs w:val="28"/>
        </w:rPr>
      </w:pPr>
      <w:r>
        <w:rPr>
          <w:rFonts w:hint="eastAsia" w:ascii="宋体" w:hAnsi="宋体" w:eastAsia="宋体" w:cs="Times New Roman"/>
          <w:b/>
          <w:bCs/>
          <w:sz w:val="28"/>
          <w:szCs w:val="28"/>
        </w:rPr>
        <w:t>博时基金管理有限公司关于旗下部分ETF调整代理</w:t>
      </w:r>
    </w:p>
    <w:p w14:paraId="69F5EFC5">
      <w:pPr>
        <w:adjustRightInd w:val="0"/>
        <w:spacing w:line="360" w:lineRule="auto"/>
        <w:jc w:val="center"/>
        <w:rPr>
          <w:rFonts w:hint="eastAsia" w:ascii="宋体" w:hAnsi="宋体" w:eastAsia="宋体" w:cs="Times New Roman"/>
          <w:b/>
          <w:bCs/>
          <w:sz w:val="28"/>
          <w:szCs w:val="28"/>
        </w:rPr>
      </w:pPr>
      <w:r>
        <w:rPr>
          <w:rFonts w:hint="eastAsia" w:ascii="宋体" w:hAnsi="宋体" w:eastAsia="宋体" w:cs="Times New Roman"/>
          <w:b/>
          <w:bCs/>
          <w:sz w:val="28"/>
          <w:szCs w:val="28"/>
        </w:rPr>
        <w:t>买卖替代证券折算汇率并修订招募说明书的公告</w:t>
      </w:r>
    </w:p>
    <w:p w14:paraId="0DB42E7C">
      <w:pPr>
        <w:adjustRightInd w:val="0"/>
        <w:spacing w:line="360" w:lineRule="auto"/>
        <w:ind w:firstLine="562" w:firstLineChars="200"/>
        <w:jc w:val="center"/>
        <w:rPr>
          <w:rFonts w:hint="eastAsia" w:ascii="宋体" w:hAnsi="宋体" w:eastAsia="宋体" w:cs="Times New Roman"/>
          <w:b/>
          <w:bCs/>
          <w:sz w:val="28"/>
          <w:szCs w:val="28"/>
        </w:rPr>
      </w:pPr>
    </w:p>
    <w:p w14:paraId="3DAB4E4A">
      <w:pPr>
        <w:keepNext w:val="0"/>
        <w:keepLines w:val="0"/>
        <w:pageBreakBefore w:val="0"/>
        <w:widowControl/>
        <w:suppressLineNumbers w:val="0"/>
        <w:kinsoku/>
        <w:wordWrap/>
        <w:overflowPunct/>
        <w:topLinePunct w:val="0"/>
        <w:autoSpaceDE/>
        <w:autoSpaceDN/>
        <w:bidi w:val="0"/>
        <w:adjustRightInd/>
        <w:snapToGrid/>
        <w:spacing w:line="360" w:lineRule="auto"/>
        <w:ind w:firstLine="440" w:firstLineChars="200"/>
        <w:jc w:val="left"/>
        <w:textAlignment w:val="auto"/>
      </w:pPr>
      <w:r>
        <w:rPr>
          <w:rStyle w:val="18"/>
          <w:rFonts w:hint="eastAsia"/>
          <w:lang w:val="en-US" w:eastAsia="zh-CN" w:bidi="ar"/>
        </w:rPr>
        <w:t>为保护基金份额持有人利益，</w:t>
      </w:r>
      <w:r>
        <w:rPr>
          <w:rStyle w:val="18"/>
          <w:lang w:val="en-US" w:eastAsia="zh-CN" w:bidi="ar"/>
        </w:rPr>
        <w:t>根据相关法律法规、基金合同等有关规定，</w:t>
      </w:r>
      <w:r>
        <w:rPr>
          <w:rStyle w:val="18"/>
          <w:rFonts w:hint="eastAsia"/>
          <w:lang w:val="en-US" w:eastAsia="zh-CN" w:bidi="ar"/>
        </w:rPr>
        <w:t>博时</w:t>
      </w:r>
      <w:r>
        <w:rPr>
          <w:rStyle w:val="18"/>
          <w:lang w:val="en-US" w:eastAsia="zh-CN" w:bidi="ar"/>
        </w:rPr>
        <w:t>基金管理有限公司（以下简称“本公司”）决定自202</w:t>
      </w:r>
      <w:r>
        <w:rPr>
          <w:rStyle w:val="18"/>
          <w:rFonts w:hint="eastAsia"/>
          <w:lang w:val="en-US" w:eastAsia="zh-CN" w:bidi="ar"/>
        </w:rPr>
        <w:t>6</w:t>
      </w:r>
      <w:r>
        <w:rPr>
          <w:rStyle w:val="18"/>
          <w:lang w:val="en-US" w:eastAsia="zh-CN" w:bidi="ar"/>
        </w:rPr>
        <w:t>年</w:t>
      </w:r>
      <w:r>
        <w:rPr>
          <w:rStyle w:val="18"/>
          <w:rFonts w:hint="eastAsia"/>
          <w:lang w:val="en-US" w:eastAsia="zh-CN" w:bidi="ar"/>
        </w:rPr>
        <w:t>6</w:t>
      </w:r>
      <w:r>
        <w:rPr>
          <w:rStyle w:val="18"/>
          <w:lang w:val="en-US" w:eastAsia="zh-CN" w:bidi="ar"/>
        </w:rPr>
        <w:t>月</w:t>
      </w:r>
      <w:r>
        <w:rPr>
          <w:rStyle w:val="18"/>
          <w:rFonts w:hint="eastAsia"/>
          <w:lang w:val="en-US" w:eastAsia="zh-CN" w:bidi="ar"/>
        </w:rPr>
        <w:t>1</w:t>
      </w:r>
      <w:r>
        <w:rPr>
          <w:rStyle w:val="18"/>
          <w:lang w:val="en-US" w:eastAsia="zh-CN" w:bidi="ar"/>
        </w:rPr>
        <w:t>日起调整旗下部分ETF申购、赎回所涉及基金管理人代理买卖替代证券的折算汇率，并相应修订对应基金招募说明书“基金份额的申购</w:t>
      </w:r>
      <w:r>
        <w:rPr>
          <w:rFonts w:hint="eastAsia" w:ascii="Times New Roman" w:hAnsi="Times New Roman" w:eastAsia="宋体" w:cs="Times New Roman"/>
          <w:szCs w:val="20"/>
        </w:rPr>
        <w:t>与</w:t>
      </w:r>
      <w:r>
        <w:rPr>
          <w:rStyle w:val="18"/>
          <w:lang w:val="en-US" w:eastAsia="zh-CN" w:bidi="ar"/>
        </w:rPr>
        <w:t>赎回”章节的相关内容。</w:t>
      </w:r>
    </w:p>
    <w:p w14:paraId="74387699">
      <w:pPr>
        <w:keepNext w:val="0"/>
        <w:keepLines w:val="0"/>
        <w:pageBreakBefore w:val="0"/>
        <w:widowControl/>
        <w:suppressLineNumbers w:val="0"/>
        <w:kinsoku/>
        <w:wordWrap/>
        <w:overflowPunct/>
        <w:topLinePunct w:val="0"/>
        <w:autoSpaceDE/>
        <w:autoSpaceDN/>
        <w:bidi w:val="0"/>
        <w:adjustRightInd/>
        <w:snapToGrid/>
        <w:spacing w:line="360" w:lineRule="auto"/>
        <w:ind w:firstLine="440" w:firstLineChars="200"/>
        <w:jc w:val="left"/>
        <w:textAlignment w:val="auto"/>
        <w:rPr>
          <w:rStyle w:val="18"/>
          <w:lang w:val="en-US" w:eastAsia="zh-CN" w:bidi="ar"/>
        </w:rPr>
      </w:pPr>
      <w:r>
        <w:rPr>
          <w:rStyle w:val="18"/>
          <w:lang w:val="en-US" w:eastAsia="zh-CN" w:bidi="ar"/>
        </w:rPr>
        <w:t>现将相关事项公告如下：</w:t>
      </w:r>
    </w:p>
    <w:p w14:paraId="6874F294">
      <w:pPr>
        <w:keepNext w:val="0"/>
        <w:keepLines w:val="0"/>
        <w:pageBreakBefore w:val="0"/>
        <w:widowControl/>
        <w:numPr>
          <w:ilvl w:val="0"/>
          <w:numId w:val="1"/>
        </w:numPr>
        <w:suppressLineNumbers w:val="0"/>
        <w:kinsoku/>
        <w:wordWrap/>
        <w:overflowPunct/>
        <w:topLinePunct w:val="0"/>
        <w:autoSpaceDE/>
        <w:autoSpaceDN/>
        <w:bidi w:val="0"/>
        <w:adjustRightInd/>
        <w:snapToGrid/>
        <w:spacing w:line="360" w:lineRule="auto"/>
        <w:ind w:firstLine="442" w:firstLineChars="200"/>
        <w:jc w:val="left"/>
        <w:textAlignment w:val="auto"/>
        <w:rPr>
          <w:rStyle w:val="18"/>
          <w:b/>
          <w:bCs/>
          <w:lang w:val="en-US" w:eastAsia="zh-CN" w:bidi="ar"/>
        </w:rPr>
      </w:pPr>
      <w:r>
        <w:rPr>
          <w:rStyle w:val="18"/>
          <w:b/>
          <w:bCs/>
          <w:lang w:val="en-US" w:eastAsia="zh-CN" w:bidi="ar"/>
        </w:rPr>
        <w:t>适用基金</w:t>
      </w:r>
    </w:p>
    <w:tbl>
      <w:tblPr>
        <w:tblStyle w:val="8"/>
        <w:tblpPr w:leftFromText="180" w:rightFromText="180" w:vertAnchor="text" w:horzAnchor="page" w:tblpX="2021" w:tblpY="134"/>
        <w:tblOverlap w:val="never"/>
        <w:tblW w:w="7693" w:type="dxa"/>
        <w:tblInd w:w="0" w:type="dxa"/>
        <w:tblLayout w:type="fixed"/>
        <w:tblCellMar>
          <w:top w:w="0" w:type="dxa"/>
          <w:left w:w="108" w:type="dxa"/>
          <w:bottom w:w="0" w:type="dxa"/>
          <w:right w:w="108" w:type="dxa"/>
        </w:tblCellMar>
      </w:tblPr>
      <w:tblGrid>
        <w:gridCol w:w="886"/>
        <w:gridCol w:w="4807"/>
        <w:gridCol w:w="2000"/>
      </w:tblGrid>
      <w:tr w14:paraId="3451E1AE">
        <w:tblPrEx>
          <w:tblCellMar>
            <w:top w:w="0" w:type="dxa"/>
            <w:left w:w="108" w:type="dxa"/>
            <w:bottom w:w="0" w:type="dxa"/>
            <w:right w:w="108" w:type="dxa"/>
          </w:tblCellMar>
        </w:tblPrEx>
        <w:trPr>
          <w:trHeight w:val="280" w:hRule="atLeast"/>
        </w:trPr>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06669">
            <w:pPr>
              <w:widowControl/>
              <w:jc w:val="center"/>
              <w:textAlignment w:val="center"/>
              <w:rPr>
                <w:rFonts w:ascii="宋体" w:hAnsi="宋体" w:eastAsia="宋体" w:cs="宋体"/>
                <w:b/>
                <w:bCs/>
                <w:color w:val="000000"/>
                <w:sz w:val="20"/>
                <w:szCs w:val="20"/>
              </w:rPr>
            </w:pPr>
            <w:r>
              <w:rPr>
                <w:rFonts w:hint="eastAsia" w:ascii="宋体" w:hAnsi="宋体" w:eastAsia="宋体" w:cs="宋体"/>
                <w:b/>
                <w:bCs/>
                <w:color w:val="000000"/>
                <w:kern w:val="0"/>
                <w:sz w:val="20"/>
                <w:szCs w:val="20"/>
                <w:lang w:bidi="ar"/>
              </w:rPr>
              <w:t>代码</w:t>
            </w:r>
          </w:p>
        </w:tc>
        <w:tc>
          <w:tcPr>
            <w:tcW w:w="4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28AE9">
            <w:pPr>
              <w:widowControl/>
              <w:jc w:val="center"/>
              <w:textAlignment w:val="center"/>
              <w:rPr>
                <w:rFonts w:ascii="宋体" w:hAnsi="宋体" w:eastAsia="宋体" w:cs="宋体"/>
                <w:b/>
                <w:bCs/>
                <w:color w:val="000000"/>
                <w:sz w:val="20"/>
                <w:szCs w:val="20"/>
              </w:rPr>
            </w:pPr>
            <w:r>
              <w:rPr>
                <w:rFonts w:hint="eastAsia" w:ascii="宋体" w:hAnsi="宋体" w:eastAsia="宋体" w:cs="宋体"/>
                <w:b/>
                <w:bCs/>
                <w:color w:val="000000"/>
                <w:kern w:val="0"/>
                <w:sz w:val="20"/>
                <w:szCs w:val="20"/>
                <w:lang w:bidi="ar"/>
              </w:rPr>
              <w:t>基金名称</w:t>
            </w:r>
          </w:p>
        </w:tc>
        <w:tc>
          <w:tcPr>
            <w:tcW w:w="2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AC33D">
            <w:pPr>
              <w:widowControl/>
              <w:jc w:val="center"/>
              <w:textAlignment w:val="center"/>
              <w:rPr>
                <w:rFonts w:ascii="宋体" w:hAnsi="宋体" w:eastAsia="宋体" w:cs="宋体"/>
                <w:b/>
                <w:bCs/>
                <w:color w:val="000000"/>
                <w:sz w:val="20"/>
                <w:szCs w:val="20"/>
              </w:rPr>
            </w:pPr>
            <w:r>
              <w:rPr>
                <w:rFonts w:hint="eastAsia" w:ascii="宋体" w:hAnsi="宋体" w:eastAsia="宋体" w:cs="宋体"/>
                <w:b/>
                <w:bCs/>
                <w:color w:val="000000"/>
                <w:kern w:val="0"/>
                <w:sz w:val="20"/>
                <w:szCs w:val="20"/>
                <w:lang w:bidi="ar"/>
              </w:rPr>
              <w:t>场内简称</w:t>
            </w:r>
          </w:p>
        </w:tc>
      </w:tr>
      <w:tr w14:paraId="5C99F753">
        <w:tblPrEx>
          <w:tblCellMar>
            <w:top w:w="0" w:type="dxa"/>
            <w:left w:w="108" w:type="dxa"/>
            <w:bottom w:w="0" w:type="dxa"/>
            <w:right w:w="108" w:type="dxa"/>
          </w:tblCellMar>
        </w:tblPrEx>
        <w:trPr>
          <w:trHeight w:val="520" w:hRule="atLeast"/>
        </w:trPr>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3044B">
            <w:pPr>
              <w:widowControl/>
              <w:jc w:val="left"/>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bidi="ar"/>
              </w:rPr>
              <w:t>159742</w:t>
            </w:r>
          </w:p>
        </w:tc>
        <w:tc>
          <w:tcPr>
            <w:tcW w:w="4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2EE8E">
            <w:pPr>
              <w:widowControl/>
              <w:jc w:val="left"/>
              <w:textAlignment w:val="center"/>
              <w:rPr>
                <w:rFonts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博时恒生科技交易型开放式指数证券投资基金(QDII)</w:t>
            </w:r>
          </w:p>
        </w:tc>
        <w:tc>
          <w:tcPr>
            <w:tcW w:w="2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BE086">
            <w:pPr>
              <w:widowControl/>
              <w:jc w:val="left"/>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bidi="ar"/>
              </w:rPr>
              <w:t>恒生科技ETF博时</w:t>
            </w:r>
          </w:p>
        </w:tc>
      </w:tr>
      <w:tr w14:paraId="43434CB0">
        <w:tblPrEx>
          <w:tblCellMar>
            <w:top w:w="0" w:type="dxa"/>
            <w:left w:w="108" w:type="dxa"/>
            <w:bottom w:w="0" w:type="dxa"/>
            <w:right w:w="108" w:type="dxa"/>
          </w:tblCellMar>
        </w:tblPrEx>
        <w:trPr>
          <w:trHeight w:val="520" w:hRule="atLeast"/>
        </w:trPr>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80FB6">
            <w:pPr>
              <w:widowControl/>
              <w:jc w:val="left"/>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bidi="ar"/>
              </w:rPr>
              <w:t>513060</w:t>
            </w:r>
          </w:p>
        </w:tc>
        <w:tc>
          <w:tcPr>
            <w:tcW w:w="4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3FBE7">
            <w:pPr>
              <w:widowControl/>
              <w:jc w:val="left"/>
              <w:textAlignment w:val="center"/>
              <w:rPr>
                <w:rFonts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博时恒生医疗保健交易型开放式指数证券投资基金(QDII)</w:t>
            </w:r>
          </w:p>
        </w:tc>
        <w:tc>
          <w:tcPr>
            <w:tcW w:w="2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927BA">
            <w:pPr>
              <w:widowControl/>
              <w:jc w:val="left"/>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bidi="ar"/>
              </w:rPr>
              <w:t>恒生医疗</w:t>
            </w:r>
          </w:p>
        </w:tc>
      </w:tr>
      <w:tr w14:paraId="118A3BFA">
        <w:tblPrEx>
          <w:tblCellMar>
            <w:top w:w="0" w:type="dxa"/>
            <w:left w:w="108" w:type="dxa"/>
            <w:bottom w:w="0" w:type="dxa"/>
            <w:right w:w="108" w:type="dxa"/>
          </w:tblCellMar>
        </w:tblPrEx>
        <w:trPr>
          <w:trHeight w:val="520" w:hRule="atLeast"/>
        </w:trPr>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F38A9">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513690</w:t>
            </w:r>
          </w:p>
        </w:tc>
        <w:tc>
          <w:tcPr>
            <w:tcW w:w="4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FCBF5">
            <w:pPr>
              <w:widowControl/>
              <w:jc w:val="left"/>
              <w:textAlignment w:val="center"/>
              <w:rPr>
                <w:rFonts w:ascii="宋体" w:hAnsi="宋体" w:eastAsia="宋体" w:cs="宋体"/>
                <w:color w:val="000000"/>
                <w:sz w:val="18"/>
                <w:szCs w:val="18"/>
              </w:rPr>
            </w:pPr>
            <w:r>
              <w:rPr>
                <w:rFonts w:hint="eastAsia" w:ascii="宋体" w:hAnsi="宋体" w:eastAsia="宋体" w:cs="宋体"/>
                <w:color w:val="000000"/>
                <w:sz w:val="18"/>
                <w:szCs w:val="18"/>
              </w:rPr>
              <w:t>博时恒生港股通高股息率交易型开放式指数证券投资基金</w:t>
            </w:r>
          </w:p>
        </w:tc>
        <w:tc>
          <w:tcPr>
            <w:tcW w:w="2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0D45C">
            <w:pPr>
              <w:widowControl/>
              <w:jc w:val="left"/>
              <w:textAlignment w:val="center"/>
              <w:rPr>
                <w:rFonts w:hint="default"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恒生股息</w:t>
            </w:r>
            <w:bookmarkStart w:id="0" w:name="_GoBack"/>
            <w:bookmarkEnd w:id="0"/>
          </w:p>
        </w:tc>
      </w:tr>
      <w:tr w14:paraId="1E920C40">
        <w:tblPrEx>
          <w:tblCellMar>
            <w:top w:w="0" w:type="dxa"/>
            <w:left w:w="108" w:type="dxa"/>
            <w:bottom w:w="0" w:type="dxa"/>
            <w:right w:w="108" w:type="dxa"/>
          </w:tblCellMar>
        </w:tblPrEx>
        <w:trPr>
          <w:trHeight w:val="520" w:hRule="atLeast"/>
        </w:trPr>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2407B">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159568</w:t>
            </w:r>
          </w:p>
        </w:tc>
        <w:tc>
          <w:tcPr>
            <w:tcW w:w="4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51F87">
            <w:pPr>
              <w:widowControl/>
              <w:jc w:val="left"/>
              <w:textAlignment w:val="center"/>
              <w:rPr>
                <w:rFonts w:ascii="宋体" w:hAnsi="宋体" w:eastAsia="宋体" w:cs="宋体"/>
                <w:color w:val="000000"/>
                <w:sz w:val="18"/>
                <w:szCs w:val="18"/>
              </w:rPr>
            </w:pPr>
            <w:r>
              <w:rPr>
                <w:rFonts w:hint="eastAsia" w:ascii="宋体" w:hAnsi="宋体" w:eastAsia="宋体" w:cs="宋体"/>
                <w:color w:val="000000"/>
                <w:sz w:val="18"/>
                <w:szCs w:val="18"/>
              </w:rPr>
              <w:t>博时中证港股通互联网交易型开放式指数证券投资基金</w:t>
            </w:r>
          </w:p>
        </w:tc>
        <w:tc>
          <w:tcPr>
            <w:tcW w:w="2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7F7C4">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港股互联网ETF博时</w:t>
            </w:r>
          </w:p>
        </w:tc>
      </w:tr>
    </w:tbl>
    <w:p w14:paraId="5632CCC4">
      <w:pPr>
        <w:keepNext w:val="0"/>
        <w:keepLines w:val="0"/>
        <w:pageBreakBefore w:val="0"/>
        <w:widowControl/>
        <w:suppressLineNumbers w:val="0"/>
        <w:kinsoku/>
        <w:wordWrap/>
        <w:overflowPunct/>
        <w:topLinePunct w:val="0"/>
        <w:autoSpaceDE/>
        <w:autoSpaceDN/>
        <w:bidi w:val="0"/>
        <w:adjustRightInd/>
        <w:snapToGrid/>
        <w:spacing w:line="360" w:lineRule="auto"/>
        <w:ind w:firstLine="442" w:firstLineChars="200"/>
        <w:jc w:val="left"/>
        <w:textAlignment w:val="auto"/>
        <w:rPr>
          <w:rStyle w:val="18"/>
          <w:b/>
          <w:bCs/>
          <w:i w:val="0"/>
          <w:iCs w:val="0"/>
          <w:color w:val="000000"/>
          <w:sz w:val="22"/>
          <w:szCs w:val="22"/>
          <w:lang w:val="en-US" w:eastAsia="zh-CN" w:bidi="ar"/>
        </w:rPr>
      </w:pPr>
    </w:p>
    <w:p w14:paraId="75930FB9">
      <w:pPr>
        <w:keepNext w:val="0"/>
        <w:keepLines w:val="0"/>
        <w:pageBreakBefore w:val="0"/>
        <w:widowControl/>
        <w:suppressLineNumbers w:val="0"/>
        <w:kinsoku/>
        <w:wordWrap/>
        <w:overflowPunct/>
        <w:topLinePunct w:val="0"/>
        <w:autoSpaceDE/>
        <w:autoSpaceDN/>
        <w:bidi w:val="0"/>
        <w:adjustRightInd/>
        <w:snapToGrid/>
        <w:spacing w:line="360" w:lineRule="auto"/>
        <w:ind w:firstLine="442" w:firstLineChars="200"/>
        <w:jc w:val="left"/>
        <w:textAlignment w:val="auto"/>
        <w:rPr>
          <w:rStyle w:val="18"/>
          <w:b/>
          <w:bCs/>
          <w:i w:val="0"/>
          <w:iCs w:val="0"/>
          <w:color w:val="000000"/>
          <w:sz w:val="22"/>
          <w:szCs w:val="22"/>
          <w:lang w:val="en-US" w:eastAsia="zh-CN" w:bidi="ar"/>
        </w:rPr>
      </w:pPr>
      <w:r>
        <w:rPr>
          <w:rStyle w:val="18"/>
          <w:b/>
          <w:bCs/>
          <w:i w:val="0"/>
          <w:iCs w:val="0"/>
          <w:color w:val="000000"/>
          <w:sz w:val="22"/>
          <w:szCs w:val="22"/>
          <w:lang w:val="en-US" w:eastAsia="zh-CN" w:bidi="ar"/>
        </w:rPr>
        <w:t>二、招募说明书修订内容</w:t>
      </w:r>
    </w:p>
    <w:p w14:paraId="3A71A55D">
      <w:pPr>
        <w:keepNext w:val="0"/>
        <w:keepLines w:val="0"/>
        <w:pageBreakBefore w:val="0"/>
        <w:widowControl/>
        <w:suppressLineNumbers w:val="0"/>
        <w:kinsoku/>
        <w:wordWrap/>
        <w:overflowPunct/>
        <w:topLinePunct w:val="0"/>
        <w:autoSpaceDE/>
        <w:autoSpaceDN/>
        <w:bidi w:val="0"/>
        <w:adjustRightInd/>
        <w:snapToGrid/>
        <w:spacing w:line="360" w:lineRule="auto"/>
        <w:ind w:firstLine="440" w:firstLineChars="200"/>
        <w:jc w:val="left"/>
        <w:textAlignment w:val="auto"/>
        <w:rPr>
          <w:rStyle w:val="18"/>
          <w:b w:val="0"/>
          <w:bCs w:val="0"/>
          <w:i w:val="0"/>
          <w:iCs w:val="0"/>
          <w:color w:val="000000"/>
          <w:sz w:val="22"/>
          <w:szCs w:val="22"/>
          <w:lang w:val="en-US" w:eastAsia="zh-CN" w:bidi="ar"/>
        </w:rPr>
      </w:pPr>
      <w:r>
        <w:rPr>
          <w:rStyle w:val="18"/>
          <w:b w:val="0"/>
          <w:bCs w:val="0"/>
          <w:i w:val="0"/>
          <w:iCs w:val="0"/>
          <w:color w:val="000000"/>
          <w:sz w:val="22"/>
          <w:szCs w:val="22"/>
          <w:lang w:val="en-US" w:eastAsia="zh-CN" w:bidi="ar"/>
        </w:rPr>
        <w:t>上述ETF招募说明书的具体修订内容详见附录。本次修订涉及的相关规则自202</w:t>
      </w:r>
      <w:r>
        <w:rPr>
          <w:rStyle w:val="18"/>
          <w:rFonts w:hint="eastAsia"/>
          <w:b w:val="0"/>
          <w:bCs w:val="0"/>
          <w:i w:val="0"/>
          <w:iCs w:val="0"/>
          <w:color w:val="000000"/>
          <w:sz w:val="22"/>
          <w:szCs w:val="22"/>
          <w:lang w:val="en-US" w:eastAsia="zh-CN" w:bidi="ar"/>
        </w:rPr>
        <w:t>6</w:t>
      </w:r>
      <w:r>
        <w:rPr>
          <w:rStyle w:val="18"/>
          <w:b w:val="0"/>
          <w:bCs w:val="0"/>
          <w:i w:val="0"/>
          <w:iCs w:val="0"/>
          <w:color w:val="000000"/>
          <w:sz w:val="22"/>
          <w:szCs w:val="22"/>
          <w:lang w:val="en-US" w:eastAsia="zh-CN" w:bidi="ar"/>
        </w:rPr>
        <w:t>年</w:t>
      </w:r>
      <w:r>
        <w:rPr>
          <w:rStyle w:val="18"/>
          <w:rFonts w:hint="eastAsia"/>
          <w:b w:val="0"/>
          <w:bCs w:val="0"/>
          <w:i w:val="0"/>
          <w:iCs w:val="0"/>
          <w:color w:val="000000"/>
          <w:sz w:val="22"/>
          <w:szCs w:val="22"/>
          <w:lang w:val="en-US" w:eastAsia="zh-CN" w:bidi="ar"/>
        </w:rPr>
        <w:t>6月1</w:t>
      </w:r>
      <w:r>
        <w:rPr>
          <w:rStyle w:val="18"/>
          <w:b w:val="0"/>
          <w:bCs w:val="0"/>
          <w:i w:val="0"/>
          <w:iCs w:val="0"/>
          <w:color w:val="000000"/>
          <w:sz w:val="22"/>
          <w:szCs w:val="22"/>
          <w:lang w:val="en-US" w:eastAsia="zh-CN" w:bidi="ar"/>
        </w:rPr>
        <w:t xml:space="preserve">日起生效，更新后的招募说明书全文可在基金管理人网站等规定媒介查阅。 </w:t>
      </w:r>
    </w:p>
    <w:p w14:paraId="6E8784B2">
      <w:pPr>
        <w:adjustRightInd w:val="0"/>
        <w:spacing w:line="360" w:lineRule="auto"/>
        <w:ind w:firstLine="442" w:firstLineChars="200"/>
        <w:rPr>
          <w:rFonts w:hint="eastAsia" w:ascii="宋体" w:hAnsi="宋体" w:eastAsia="宋体" w:cs="宋体"/>
          <w:b/>
          <w:bCs/>
          <w:sz w:val="22"/>
          <w:szCs w:val="22"/>
        </w:rPr>
      </w:pPr>
    </w:p>
    <w:p w14:paraId="5CE48E9A">
      <w:pPr>
        <w:adjustRightInd w:val="0"/>
        <w:spacing w:line="360" w:lineRule="auto"/>
        <w:ind w:firstLine="442" w:firstLineChars="200"/>
        <w:rPr>
          <w:rFonts w:hint="eastAsia" w:ascii="宋体" w:hAnsi="宋体" w:eastAsia="宋体" w:cs="宋体"/>
          <w:b/>
          <w:bCs/>
          <w:sz w:val="22"/>
          <w:szCs w:val="22"/>
        </w:rPr>
      </w:pPr>
      <w:r>
        <w:rPr>
          <w:rFonts w:hint="eastAsia" w:ascii="宋体" w:hAnsi="宋体" w:eastAsia="宋体" w:cs="宋体"/>
          <w:b/>
          <w:bCs/>
          <w:sz w:val="22"/>
          <w:szCs w:val="22"/>
        </w:rPr>
        <w:t>三、重要提示</w:t>
      </w:r>
    </w:p>
    <w:p w14:paraId="2771AC17">
      <w:pPr>
        <w:adjustRightInd w:val="0"/>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基金管理人已履行了规定程序，符合相关法律法规的规定及基金合同的约定。修改后的招募说明书自</w:t>
      </w:r>
      <w:r>
        <w:rPr>
          <w:rStyle w:val="18"/>
          <w:b w:val="0"/>
          <w:bCs w:val="0"/>
          <w:i w:val="0"/>
          <w:iCs w:val="0"/>
          <w:color w:val="000000"/>
          <w:sz w:val="22"/>
          <w:szCs w:val="22"/>
          <w:lang w:val="en-US" w:eastAsia="zh-CN" w:bidi="ar"/>
        </w:rPr>
        <w:t>202</w:t>
      </w:r>
      <w:r>
        <w:rPr>
          <w:rStyle w:val="18"/>
          <w:rFonts w:hint="eastAsia"/>
          <w:b w:val="0"/>
          <w:bCs w:val="0"/>
          <w:i w:val="0"/>
          <w:iCs w:val="0"/>
          <w:color w:val="000000"/>
          <w:sz w:val="22"/>
          <w:szCs w:val="22"/>
          <w:lang w:val="en-US" w:eastAsia="zh-CN" w:bidi="ar"/>
        </w:rPr>
        <w:t>6</w:t>
      </w:r>
      <w:r>
        <w:rPr>
          <w:rStyle w:val="18"/>
          <w:b w:val="0"/>
          <w:bCs w:val="0"/>
          <w:i w:val="0"/>
          <w:iCs w:val="0"/>
          <w:color w:val="000000"/>
          <w:sz w:val="22"/>
          <w:szCs w:val="22"/>
          <w:lang w:val="en-US" w:eastAsia="zh-CN" w:bidi="ar"/>
        </w:rPr>
        <w:t>年</w:t>
      </w:r>
      <w:r>
        <w:rPr>
          <w:rStyle w:val="18"/>
          <w:rFonts w:hint="eastAsia"/>
          <w:b w:val="0"/>
          <w:bCs w:val="0"/>
          <w:i w:val="0"/>
          <w:iCs w:val="0"/>
          <w:color w:val="000000"/>
          <w:sz w:val="22"/>
          <w:szCs w:val="22"/>
          <w:lang w:val="en-US" w:eastAsia="zh-CN" w:bidi="ar"/>
        </w:rPr>
        <w:t>6月1</w:t>
      </w:r>
      <w:r>
        <w:rPr>
          <w:rFonts w:hint="eastAsia" w:ascii="宋体" w:hAnsi="宋体" w:eastAsia="宋体" w:cs="宋体"/>
          <w:sz w:val="22"/>
          <w:szCs w:val="22"/>
        </w:rPr>
        <w:t>日起生效，修改后的招募说明书与本公告同日登载于基金管理人网站（http</w:t>
      </w:r>
      <w:r>
        <w:rPr>
          <w:rFonts w:hint="eastAsia" w:ascii="宋体" w:hAnsi="宋体" w:eastAsia="宋体" w:cs="宋体"/>
          <w:sz w:val="22"/>
          <w:szCs w:val="22"/>
          <w:lang w:val="en-US" w:eastAsia="zh-CN"/>
        </w:rPr>
        <w:t>s</w:t>
      </w:r>
      <w:r>
        <w:rPr>
          <w:rFonts w:hint="eastAsia" w:ascii="宋体" w:hAnsi="宋体" w:eastAsia="宋体" w:cs="宋体"/>
          <w:sz w:val="22"/>
          <w:szCs w:val="22"/>
        </w:rPr>
        <w:t>://www.bosera.com.cn）及中国证监会基金电子披露网站（http</w:t>
      </w:r>
      <w:r>
        <w:rPr>
          <w:rFonts w:hint="eastAsia" w:ascii="宋体" w:hAnsi="宋体" w:eastAsia="宋体" w:cs="宋体"/>
          <w:sz w:val="22"/>
          <w:szCs w:val="22"/>
          <w:lang w:val="en-US" w:eastAsia="zh-CN"/>
        </w:rPr>
        <w:t>s</w:t>
      </w:r>
      <w:r>
        <w:rPr>
          <w:rFonts w:hint="eastAsia" w:ascii="宋体" w:hAnsi="宋体" w:eastAsia="宋体" w:cs="宋体"/>
          <w:sz w:val="22"/>
          <w:szCs w:val="22"/>
        </w:rPr>
        <w:t>://eid.csrc.gov.cn/fund）。</w:t>
      </w:r>
    </w:p>
    <w:p w14:paraId="27D3AB09">
      <w:pPr>
        <w:adjustRightInd w:val="0"/>
        <w:spacing w:line="360" w:lineRule="auto"/>
        <w:ind w:firstLine="440" w:firstLineChars="200"/>
        <w:rPr>
          <w:rFonts w:hint="eastAsia" w:ascii="宋体" w:hAnsi="宋体" w:eastAsia="宋体" w:cs="宋体"/>
          <w:sz w:val="22"/>
          <w:szCs w:val="22"/>
        </w:rPr>
      </w:pPr>
    </w:p>
    <w:p w14:paraId="62E3081E">
      <w:pPr>
        <w:adjustRightInd w:val="0"/>
        <w:spacing w:line="360" w:lineRule="auto"/>
        <w:ind w:firstLine="442" w:firstLineChars="200"/>
        <w:rPr>
          <w:rFonts w:ascii="宋体" w:hAnsi="宋体" w:eastAsia="宋体" w:cs="宋体"/>
          <w:b/>
          <w:bCs/>
          <w:sz w:val="22"/>
          <w:szCs w:val="22"/>
        </w:rPr>
      </w:pPr>
      <w:r>
        <w:rPr>
          <w:rFonts w:hint="eastAsia" w:ascii="宋体" w:hAnsi="宋体" w:eastAsia="宋体" w:cs="宋体"/>
          <w:b/>
          <w:bCs/>
          <w:sz w:val="22"/>
          <w:szCs w:val="22"/>
        </w:rPr>
        <w:t>四、其他事项</w:t>
      </w:r>
    </w:p>
    <w:p w14:paraId="591EA170">
      <w:pPr>
        <w:adjustRightInd w:val="0"/>
        <w:spacing w:line="360" w:lineRule="auto"/>
        <w:ind w:firstLine="440" w:firstLineChars="200"/>
        <w:rPr>
          <w:rFonts w:ascii="宋体" w:hAnsi="宋体" w:eastAsia="宋体" w:cs="宋体"/>
          <w:sz w:val="22"/>
          <w:szCs w:val="22"/>
        </w:rPr>
      </w:pPr>
      <w:r>
        <w:rPr>
          <w:rFonts w:hint="eastAsia" w:ascii="宋体" w:hAnsi="宋体" w:eastAsia="宋体" w:cs="宋体"/>
          <w:sz w:val="22"/>
          <w:szCs w:val="22"/>
        </w:rPr>
        <w:t>1、投资者可通过以下途径咨询有关详情</w:t>
      </w:r>
    </w:p>
    <w:p w14:paraId="09DD1F56">
      <w:pPr>
        <w:adjustRightInd w:val="0"/>
        <w:spacing w:line="360" w:lineRule="auto"/>
        <w:ind w:firstLine="440" w:firstLineChars="200"/>
        <w:rPr>
          <w:rFonts w:ascii="宋体" w:hAnsi="宋体" w:eastAsia="宋体" w:cs="宋体"/>
          <w:sz w:val="22"/>
          <w:szCs w:val="22"/>
        </w:rPr>
      </w:pPr>
      <w:r>
        <w:rPr>
          <w:rFonts w:hint="eastAsia" w:ascii="宋体" w:hAnsi="宋体" w:eastAsia="宋体" w:cs="宋体"/>
          <w:sz w:val="22"/>
          <w:szCs w:val="22"/>
        </w:rPr>
        <w:t>（1）本公司客户服务电话：95105568（全国免长途话费）；</w:t>
      </w:r>
    </w:p>
    <w:p w14:paraId="68739D69">
      <w:pPr>
        <w:adjustRightInd w:val="0"/>
        <w:spacing w:line="360" w:lineRule="auto"/>
        <w:ind w:firstLine="440" w:firstLineChars="200"/>
        <w:rPr>
          <w:rFonts w:ascii="宋体" w:hAnsi="宋体" w:eastAsia="宋体" w:cs="宋体"/>
          <w:sz w:val="22"/>
          <w:szCs w:val="22"/>
        </w:rPr>
      </w:pPr>
      <w:r>
        <w:rPr>
          <w:rFonts w:hint="eastAsia" w:ascii="宋体" w:hAnsi="宋体" w:eastAsia="宋体" w:cs="宋体"/>
          <w:sz w:val="22"/>
          <w:szCs w:val="22"/>
        </w:rPr>
        <w:t>（2）本公司网址：http</w:t>
      </w:r>
      <w:r>
        <w:rPr>
          <w:rFonts w:hint="eastAsia" w:ascii="宋体" w:hAnsi="宋体" w:eastAsia="宋体" w:cs="宋体"/>
          <w:sz w:val="22"/>
          <w:szCs w:val="22"/>
          <w:lang w:val="en-US" w:eastAsia="zh-CN"/>
        </w:rPr>
        <w:t>s</w:t>
      </w:r>
      <w:r>
        <w:rPr>
          <w:rFonts w:hint="eastAsia" w:ascii="宋体" w:hAnsi="宋体" w:eastAsia="宋体" w:cs="宋体"/>
          <w:sz w:val="22"/>
          <w:szCs w:val="22"/>
        </w:rPr>
        <w:t>://www.bosera.com。</w:t>
      </w:r>
    </w:p>
    <w:p w14:paraId="35B6C8A1">
      <w:pPr>
        <w:adjustRightInd w:val="0"/>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eastAsia="zh-CN"/>
        </w:rPr>
        <w:t>、</w:t>
      </w:r>
      <w:r>
        <w:rPr>
          <w:rFonts w:hint="eastAsia" w:ascii="宋体" w:hAnsi="宋体" w:eastAsia="宋体" w:cs="宋体"/>
          <w:sz w:val="22"/>
          <w:szCs w:val="22"/>
        </w:rPr>
        <w:t xml:space="preserve">风险提示：基金管理人承诺以诚实信用、勤勉尽责的原则管理和运用基金资产，但不保证基金一定盈利，也不保证最低收益。销售机构根据法规要求对投资者类别、风险承受能力和基金的风险等级进行划分，并提出适当性匹配意见。投资者在投资基金前应认真阅读基金合同、招募说明书和基金产品资料概要等基金法律文件，全面认识基金产品的风险收益特征，在了解产品情况及销售机构适当性意见的基础上，根据自身的风险承受能力、投资期限和投资目标，对基金投资作出独立决策，选择合适的基金产品。 </w:t>
      </w:r>
    </w:p>
    <w:p w14:paraId="6C6DC729">
      <w:pPr>
        <w:adjustRightInd w:val="0"/>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特此公告。</w:t>
      </w:r>
    </w:p>
    <w:p w14:paraId="6E7EC529">
      <w:pPr>
        <w:adjustRightInd w:val="0"/>
        <w:spacing w:line="360" w:lineRule="auto"/>
        <w:ind w:firstLine="440" w:firstLineChars="200"/>
        <w:rPr>
          <w:rFonts w:ascii="宋体" w:hAnsi="宋体" w:eastAsia="宋体" w:cs="宋体"/>
          <w:sz w:val="22"/>
          <w:szCs w:val="22"/>
        </w:rPr>
      </w:pPr>
      <w:r>
        <w:rPr>
          <w:rFonts w:hint="eastAsia" w:ascii="宋体" w:hAnsi="宋体" w:eastAsia="宋体" w:cs="宋体"/>
          <w:sz w:val="22"/>
          <w:szCs w:val="22"/>
        </w:rPr>
        <w:t xml:space="preserve"> </w:t>
      </w:r>
    </w:p>
    <w:p w14:paraId="73036242">
      <w:pPr>
        <w:spacing w:line="360" w:lineRule="auto"/>
        <w:jc w:val="right"/>
        <w:rPr>
          <w:rFonts w:ascii="宋体" w:hAnsi="宋体" w:eastAsia="宋体" w:cs="宋体"/>
          <w:sz w:val="22"/>
          <w:szCs w:val="22"/>
        </w:rPr>
      </w:pPr>
      <w:r>
        <w:rPr>
          <w:rFonts w:hint="eastAsia" w:ascii="宋体" w:hAnsi="宋体" w:eastAsia="宋体" w:cs="宋体"/>
          <w:sz w:val="22"/>
          <w:szCs w:val="22"/>
        </w:rPr>
        <w:t>博时基金管理有限公司</w:t>
      </w:r>
    </w:p>
    <w:p w14:paraId="40856C4C">
      <w:pPr>
        <w:jc w:val="right"/>
        <w:rPr>
          <w:rFonts w:hint="eastAsia" w:ascii="宋体" w:hAnsi="宋体" w:eastAsia="宋体" w:cs="宋体"/>
          <w:sz w:val="22"/>
          <w:szCs w:val="22"/>
        </w:rPr>
      </w:pPr>
      <w:r>
        <w:rPr>
          <w:rFonts w:hint="eastAsia" w:ascii="宋体" w:hAnsi="宋体" w:eastAsia="宋体" w:cs="宋体"/>
          <w:sz w:val="22"/>
          <w:szCs w:val="22"/>
        </w:rPr>
        <w:t>202</w:t>
      </w:r>
      <w:r>
        <w:rPr>
          <w:rFonts w:hint="eastAsia" w:ascii="宋体" w:hAnsi="宋体" w:eastAsia="宋体" w:cs="宋体"/>
          <w:sz w:val="22"/>
          <w:szCs w:val="22"/>
          <w:lang w:val="en-US" w:eastAsia="zh-CN"/>
        </w:rPr>
        <w:t>6</w:t>
      </w:r>
      <w:r>
        <w:rPr>
          <w:rFonts w:hint="eastAsia" w:ascii="宋体" w:hAnsi="宋体" w:eastAsia="宋体" w:cs="宋体"/>
          <w:sz w:val="22"/>
          <w:szCs w:val="22"/>
        </w:rPr>
        <w:t>年</w:t>
      </w:r>
      <w:r>
        <w:rPr>
          <w:rFonts w:hint="eastAsia" w:ascii="宋体" w:hAnsi="宋体" w:eastAsia="宋体" w:cs="宋体"/>
          <w:sz w:val="22"/>
          <w:szCs w:val="22"/>
          <w:lang w:val="en-US" w:eastAsia="zh-CN"/>
        </w:rPr>
        <w:t>6</w:t>
      </w:r>
      <w:r>
        <w:rPr>
          <w:rFonts w:hint="eastAsia" w:ascii="宋体" w:hAnsi="宋体" w:eastAsia="宋体" w:cs="宋体"/>
          <w:sz w:val="22"/>
          <w:szCs w:val="22"/>
        </w:rPr>
        <w:t>月</w:t>
      </w:r>
      <w:r>
        <w:rPr>
          <w:rFonts w:hint="eastAsia" w:ascii="宋体" w:hAnsi="宋体" w:eastAsia="宋体" w:cs="宋体"/>
          <w:sz w:val="22"/>
          <w:szCs w:val="22"/>
          <w:lang w:val="en-US" w:eastAsia="zh-CN"/>
        </w:rPr>
        <w:t>1</w:t>
      </w:r>
      <w:r>
        <w:rPr>
          <w:rFonts w:hint="eastAsia" w:ascii="宋体" w:hAnsi="宋体" w:eastAsia="宋体" w:cs="宋体"/>
          <w:sz w:val="22"/>
          <w:szCs w:val="22"/>
        </w:rPr>
        <w:t>日</w:t>
      </w:r>
    </w:p>
    <w:p w14:paraId="6101BDCC">
      <w:pPr>
        <w:rPr>
          <w:rFonts w:hint="eastAsia" w:ascii="宋体" w:hAnsi="宋体" w:eastAsia="宋体" w:cs="宋体"/>
          <w:szCs w:val="21"/>
        </w:rPr>
      </w:pPr>
      <w:r>
        <w:rPr>
          <w:rFonts w:hint="eastAsia" w:ascii="宋体" w:hAnsi="宋体" w:eastAsia="宋体" w:cs="宋体"/>
          <w:szCs w:val="21"/>
        </w:rPr>
        <w:br w:type="page"/>
      </w:r>
    </w:p>
    <w:p w14:paraId="0EEAAF29">
      <w:pPr>
        <w:keepNext w:val="0"/>
        <w:keepLines w:val="0"/>
        <w:widowControl/>
        <w:suppressLineNumbers w:val="0"/>
        <w:jc w:val="left"/>
      </w:pPr>
      <w:r>
        <w:rPr>
          <w:rFonts w:ascii="宋体" w:hAnsi="宋体" w:eastAsia="宋体" w:cs="宋体"/>
          <w:b/>
          <w:bCs/>
          <w:i w:val="0"/>
          <w:iCs w:val="0"/>
          <w:color w:val="000000"/>
          <w:kern w:val="0"/>
          <w:sz w:val="28"/>
          <w:szCs w:val="28"/>
          <w:lang w:val="en-US" w:eastAsia="zh-CN" w:bidi="ar"/>
        </w:rPr>
        <w:t>附录：《招募说明书修订内容前后对照表》</w:t>
      </w:r>
    </w:p>
    <w:p w14:paraId="168AEEDC">
      <w:pPr>
        <w:keepNext w:val="0"/>
        <w:keepLines w:val="0"/>
        <w:widowControl/>
        <w:suppressLineNumbers w:val="0"/>
        <w:jc w:val="left"/>
      </w:pPr>
      <w:r>
        <w:rPr>
          <w:rStyle w:val="19"/>
          <w:lang w:val="en-US" w:eastAsia="zh-CN" w:bidi="ar"/>
        </w:rPr>
        <w:t>一、</w:t>
      </w:r>
      <w:r>
        <w:rPr>
          <w:rStyle w:val="19"/>
          <w:rFonts w:hint="eastAsia"/>
          <w:lang w:val="en-US" w:eastAsia="zh-CN" w:bidi="ar"/>
        </w:rPr>
        <w:t>博时恒生科技交易型开放式指数证券投资基金(QDII)</w:t>
      </w:r>
      <w:r>
        <w:rPr>
          <w:rStyle w:val="19"/>
          <w:lang w:val="en-US" w:eastAsia="zh-CN" w:bidi="ar"/>
        </w:rPr>
        <w:t>更新招募说明书修订对照表</w:t>
      </w:r>
      <w:r>
        <w:rPr>
          <w:rFonts w:ascii="宋体" w:hAnsi="宋体" w:eastAsia="宋体" w:cs="宋体"/>
          <w:kern w:val="0"/>
          <w:sz w:val="24"/>
          <w:szCs w:val="24"/>
          <w:lang w:val="en-US" w:eastAsia="zh-CN" w:bidi="ar"/>
        </w:rPr>
        <w:t xml:space="preserve"> </w:t>
      </w:r>
    </w:p>
    <w:tbl>
      <w:tblPr>
        <w:tblStyle w:val="9"/>
        <w:tblW w:w="9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0"/>
        <w:gridCol w:w="3709"/>
        <w:gridCol w:w="3700"/>
      </w:tblGrid>
      <w:tr w14:paraId="6AB9A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0" w:type="dxa"/>
          </w:tcPr>
          <w:p w14:paraId="365D33F1">
            <w:pPr>
              <w:jc w:val="center"/>
              <w:rPr>
                <w:rFonts w:ascii="Times New Roman" w:hAnsi="Times New Roman" w:eastAsia="宋体" w:cs="Times New Roman"/>
                <w:b/>
                <w:bCs/>
                <w:szCs w:val="20"/>
              </w:rPr>
            </w:pPr>
            <w:r>
              <w:rPr>
                <w:rFonts w:hint="eastAsia" w:ascii="Times New Roman" w:hAnsi="Times New Roman" w:eastAsia="宋体" w:cs="Times New Roman"/>
                <w:b/>
                <w:bCs/>
                <w:szCs w:val="20"/>
              </w:rPr>
              <w:t>章节</w:t>
            </w:r>
          </w:p>
        </w:tc>
        <w:tc>
          <w:tcPr>
            <w:tcW w:w="3709" w:type="dxa"/>
          </w:tcPr>
          <w:p w14:paraId="6DA1E3B2">
            <w:pPr>
              <w:jc w:val="center"/>
              <w:rPr>
                <w:rFonts w:ascii="Times New Roman" w:hAnsi="Times New Roman" w:eastAsia="宋体" w:cs="Times New Roman"/>
                <w:b/>
                <w:bCs/>
                <w:szCs w:val="20"/>
              </w:rPr>
            </w:pPr>
            <w:r>
              <w:rPr>
                <w:rFonts w:hint="eastAsia" w:ascii="Times New Roman" w:hAnsi="Times New Roman" w:eastAsia="宋体" w:cs="Times New Roman"/>
                <w:b/>
                <w:bCs/>
                <w:szCs w:val="20"/>
              </w:rPr>
              <w:t>修改前</w:t>
            </w:r>
          </w:p>
        </w:tc>
        <w:tc>
          <w:tcPr>
            <w:tcW w:w="3700" w:type="dxa"/>
          </w:tcPr>
          <w:p w14:paraId="5C14FE38">
            <w:pPr>
              <w:jc w:val="center"/>
              <w:rPr>
                <w:rFonts w:ascii="Times New Roman" w:hAnsi="Times New Roman" w:eastAsia="宋体" w:cs="Times New Roman"/>
                <w:b/>
                <w:bCs/>
                <w:szCs w:val="20"/>
              </w:rPr>
            </w:pPr>
            <w:r>
              <w:rPr>
                <w:rFonts w:hint="eastAsia" w:ascii="Times New Roman" w:hAnsi="Times New Roman" w:eastAsia="宋体" w:cs="Times New Roman"/>
                <w:b/>
                <w:bCs/>
                <w:szCs w:val="20"/>
              </w:rPr>
              <w:t>修改后</w:t>
            </w:r>
          </w:p>
        </w:tc>
      </w:tr>
      <w:tr w14:paraId="10346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0" w:type="dxa"/>
          </w:tcPr>
          <w:p w14:paraId="2FF668E0">
            <w:pPr>
              <w:rPr>
                <w:rFonts w:ascii="Times New Roman" w:hAnsi="Times New Roman" w:eastAsia="宋体" w:cs="Times New Roman"/>
                <w:szCs w:val="20"/>
              </w:rPr>
            </w:pPr>
            <w:r>
              <w:rPr>
                <w:rFonts w:hint="eastAsia" w:ascii="Times New Roman" w:hAnsi="Times New Roman" w:eastAsia="宋体" w:cs="Times New Roman"/>
                <w:szCs w:val="20"/>
              </w:rPr>
              <w:t>第十一部分  基金份额的申购与赎回</w:t>
            </w:r>
          </w:p>
        </w:tc>
        <w:tc>
          <w:tcPr>
            <w:tcW w:w="3709" w:type="dxa"/>
          </w:tcPr>
          <w:p w14:paraId="7CF35ED8">
            <w:pPr>
              <w:keepNext w:val="0"/>
              <w:keepLines w:val="0"/>
              <w:widowControl/>
              <w:suppressLineNumbers w:val="0"/>
              <w:jc w:val="left"/>
              <w:rPr>
                <w:rStyle w:val="19"/>
                <w:rFonts w:hint="eastAsia"/>
                <w:lang w:val="en-US" w:eastAsia="zh-CN" w:bidi="ar"/>
              </w:rPr>
            </w:pPr>
            <w:r>
              <w:rPr>
                <w:rStyle w:val="19"/>
                <w:rFonts w:hint="eastAsia"/>
                <w:lang w:val="en-US" w:eastAsia="zh-CN" w:bidi="ar"/>
              </w:rPr>
              <w:t>七、申购赎回清单的内容与格式</w:t>
            </w:r>
          </w:p>
          <w:p w14:paraId="4DD22EC5">
            <w:pPr>
              <w:keepNext w:val="0"/>
              <w:keepLines w:val="0"/>
              <w:widowControl/>
              <w:suppressLineNumbers w:val="0"/>
              <w:jc w:val="left"/>
              <w:rPr>
                <w:rStyle w:val="19"/>
                <w:rFonts w:hint="eastAsia"/>
                <w:lang w:val="en-US" w:eastAsia="zh-CN" w:bidi="ar"/>
              </w:rPr>
            </w:pPr>
            <w:r>
              <w:rPr>
                <w:rStyle w:val="19"/>
                <w:rFonts w:hint="eastAsia"/>
                <w:lang w:val="en-US" w:eastAsia="zh-CN" w:bidi="ar"/>
              </w:rPr>
              <w:t>4、现金替代相关内容</w:t>
            </w:r>
          </w:p>
          <w:p w14:paraId="6AC6AD4F">
            <w:pPr>
              <w:keepNext w:val="0"/>
              <w:keepLines w:val="0"/>
              <w:widowControl/>
              <w:suppressLineNumbers w:val="0"/>
              <w:jc w:val="left"/>
              <w:rPr>
                <w:rStyle w:val="19"/>
                <w:rFonts w:hint="eastAsia"/>
                <w:lang w:val="en-US" w:eastAsia="zh-CN" w:bidi="ar"/>
              </w:rPr>
            </w:pPr>
            <w:r>
              <w:rPr>
                <w:rStyle w:val="19"/>
                <w:rFonts w:hint="eastAsia"/>
                <w:lang w:val="en-US" w:eastAsia="zh-CN" w:bidi="ar"/>
              </w:rPr>
              <w:t xml:space="preserve">3）申购替代金额的处理程序 </w:t>
            </w:r>
          </w:p>
          <w:p w14:paraId="0965A727">
            <w:pPr>
              <w:keepNext w:val="0"/>
              <w:keepLines w:val="0"/>
              <w:widowControl/>
              <w:suppressLineNumbers w:val="0"/>
              <w:jc w:val="left"/>
              <w:rPr>
                <w:rStyle w:val="19"/>
                <w:rFonts w:hint="eastAsia"/>
                <w:lang w:val="en-US" w:eastAsia="zh-CN" w:bidi="ar"/>
              </w:rPr>
            </w:pPr>
            <w:r>
              <w:rPr>
                <w:rStyle w:val="19"/>
                <w:rFonts w:hint="eastAsia"/>
                <w:lang w:val="en-US" w:eastAsia="zh-CN" w:bidi="ar"/>
              </w:rPr>
              <w:t>...T+1日（指开放日）日终，基金管理人根据所购入的被替代证券的实际单位购入成本（包括买入价格与相关费用,其中通过港股通买入的交易使用中国证券登记结算有限责任公司代理换汇后的人民币成本）和未买入的被替代证券的T+1日（指开放日）收盘价（</w:t>
            </w:r>
            <w:r>
              <w:rPr>
                <w:rStyle w:val="19"/>
                <w:rFonts w:hint="eastAsia"/>
                <w:b/>
                <w:bCs/>
                <w:strike/>
                <w:dstrike w:val="0"/>
                <w:lang w:val="en-US" w:eastAsia="zh-CN" w:bidi="ar"/>
              </w:rPr>
              <w:t>折算为人民币，折算汇率采用当天的估值汇率；T+1日（指开放日）在证券交易所无交易的，取最近交易日的收盘价</w:t>
            </w:r>
            <w:r>
              <w:rPr>
                <w:rStyle w:val="19"/>
                <w:rFonts w:hint="eastAsia"/>
                <w:lang w:val="en-US" w:eastAsia="zh-CN" w:bidi="ar"/>
              </w:rPr>
              <w:t>）计算被替代证券的单位结算成本，在此基础上根据替代证券数量和申购现金替代保证金确定基金应退还投资者或投资者应补交的款项。...</w:t>
            </w:r>
          </w:p>
          <w:p w14:paraId="4A1913BC">
            <w:pPr>
              <w:keepNext w:val="0"/>
              <w:keepLines w:val="0"/>
              <w:widowControl/>
              <w:suppressLineNumbers w:val="0"/>
              <w:jc w:val="left"/>
              <w:rPr>
                <w:rStyle w:val="19"/>
                <w:rFonts w:hint="eastAsia"/>
                <w:lang w:val="en-US" w:eastAsia="zh-CN" w:bidi="ar"/>
              </w:rPr>
            </w:pPr>
          </w:p>
          <w:p w14:paraId="7551170C">
            <w:pPr>
              <w:keepNext w:val="0"/>
              <w:keepLines w:val="0"/>
              <w:widowControl/>
              <w:suppressLineNumbers w:val="0"/>
              <w:jc w:val="left"/>
              <w:rPr>
                <w:rStyle w:val="19"/>
                <w:rFonts w:hint="eastAsia"/>
                <w:lang w:val="en-US" w:eastAsia="zh-CN" w:bidi="ar"/>
              </w:rPr>
            </w:pPr>
          </w:p>
          <w:p w14:paraId="6E50B6F7">
            <w:pPr>
              <w:keepNext w:val="0"/>
              <w:keepLines w:val="0"/>
              <w:widowControl/>
              <w:suppressLineNumbers w:val="0"/>
              <w:jc w:val="left"/>
              <w:rPr>
                <w:rStyle w:val="19"/>
                <w:rFonts w:hint="eastAsia"/>
                <w:lang w:val="en-US" w:eastAsia="zh-CN" w:bidi="ar"/>
              </w:rPr>
            </w:pPr>
          </w:p>
          <w:p w14:paraId="1E4353BB">
            <w:pPr>
              <w:keepNext w:val="0"/>
              <w:keepLines w:val="0"/>
              <w:widowControl/>
              <w:suppressLineNumbers w:val="0"/>
              <w:jc w:val="left"/>
              <w:rPr>
                <w:rStyle w:val="19"/>
                <w:rFonts w:hint="eastAsia"/>
                <w:lang w:val="en-US" w:eastAsia="zh-CN" w:bidi="ar"/>
              </w:rPr>
            </w:pPr>
          </w:p>
          <w:p w14:paraId="48FDEC4F">
            <w:pPr>
              <w:keepNext w:val="0"/>
              <w:keepLines w:val="0"/>
              <w:widowControl/>
              <w:suppressLineNumbers w:val="0"/>
              <w:jc w:val="left"/>
              <w:rPr>
                <w:rStyle w:val="19"/>
                <w:rFonts w:hint="eastAsia"/>
                <w:lang w:val="en-US" w:eastAsia="zh-CN" w:bidi="ar"/>
              </w:rPr>
            </w:pPr>
            <w:r>
              <w:rPr>
                <w:rStyle w:val="19"/>
                <w:rFonts w:hint="eastAsia"/>
                <w:lang w:val="en-US" w:eastAsia="zh-CN" w:bidi="ar"/>
              </w:rPr>
              <w:t>4）赎回替代金额的处理程序</w:t>
            </w:r>
          </w:p>
          <w:p w14:paraId="22C5735D">
            <w:pPr>
              <w:keepNext w:val="0"/>
              <w:keepLines w:val="0"/>
              <w:widowControl/>
              <w:suppressLineNumbers w:val="0"/>
              <w:jc w:val="left"/>
              <w:rPr>
                <w:rStyle w:val="19"/>
                <w:rFonts w:hint="eastAsia"/>
                <w:lang w:val="en-US" w:eastAsia="zh-CN" w:bidi="ar"/>
              </w:rPr>
            </w:pPr>
            <w:r>
              <w:rPr>
                <w:rStyle w:val="19"/>
                <w:rFonts w:hint="eastAsia"/>
                <w:lang w:val="en-US" w:eastAsia="zh-CN" w:bidi="ar"/>
              </w:rPr>
              <w:t>...T+1日（指开放日）日终，基金管理人根据所卖出的被替代证券的实际单位卖出金额（扣除相关费用，其中通过港股通卖出的交易使用中国证券登记结算有限责任公司代理换汇后的人民币金额）和未卖出的被替代证券的T+1日（指开放日）收盘价（</w:t>
            </w:r>
            <w:r>
              <w:rPr>
                <w:rFonts w:hint="eastAsia"/>
                <w:b/>
                <w:bCs/>
                <w:strike/>
                <w:dstrike w:val="0"/>
                <w:sz w:val="21"/>
                <w:szCs w:val="21"/>
              </w:rPr>
              <w:t>折算为人民币，折算汇率采用当天的估值汇率；被替代证券T+1日（指开放日）在证券交易所无交易的，取最近交易日的收盘价</w:t>
            </w:r>
            <w:r>
              <w:rPr>
                <w:rStyle w:val="19"/>
                <w:rFonts w:hint="eastAsia"/>
                <w:lang w:val="en-US" w:eastAsia="zh-CN" w:bidi="ar"/>
              </w:rPr>
              <w:t>）计算被替代证券的单位结算金额，在此基础上根据替代证券数量确定赎回替代金额。...</w:t>
            </w:r>
          </w:p>
        </w:tc>
        <w:tc>
          <w:tcPr>
            <w:tcW w:w="3700" w:type="dxa"/>
            <w:vAlign w:val="top"/>
          </w:tcPr>
          <w:p w14:paraId="1FBE7E1F">
            <w:pPr>
              <w:keepNext w:val="0"/>
              <w:keepLines w:val="0"/>
              <w:widowControl/>
              <w:suppressLineNumbers w:val="0"/>
              <w:jc w:val="left"/>
              <w:rPr>
                <w:rStyle w:val="19"/>
                <w:rFonts w:hint="eastAsia"/>
                <w:lang w:val="en-US" w:eastAsia="zh-CN" w:bidi="ar"/>
              </w:rPr>
            </w:pPr>
            <w:r>
              <w:rPr>
                <w:rStyle w:val="19"/>
                <w:rFonts w:hint="eastAsia"/>
                <w:lang w:val="en-US" w:eastAsia="zh-CN" w:bidi="ar"/>
              </w:rPr>
              <w:t>七、申购赎回清单的内容与格式</w:t>
            </w:r>
          </w:p>
          <w:p w14:paraId="51A5F9AF">
            <w:pPr>
              <w:keepNext w:val="0"/>
              <w:keepLines w:val="0"/>
              <w:widowControl/>
              <w:suppressLineNumbers w:val="0"/>
              <w:jc w:val="left"/>
              <w:rPr>
                <w:rStyle w:val="19"/>
                <w:rFonts w:hint="eastAsia"/>
                <w:lang w:val="en-US" w:eastAsia="zh-CN" w:bidi="ar"/>
              </w:rPr>
            </w:pPr>
            <w:r>
              <w:rPr>
                <w:rStyle w:val="19"/>
                <w:rFonts w:hint="eastAsia"/>
                <w:lang w:val="en-US" w:eastAsia="zh-CN" w:bidi="ar"/>
              </w:rPr>
              <w:t>4、现金替代相关内容</w:t>
            </w:r>
          </w:p>
          <w:p w14:paraId="5D0F11F6">
            <w:pPr>
              <w:keepNext w:val="0"/>
              <w:keepLines w:val="0"/>
              <w:widowControl/>
              <w:suppressLineNumbers w:val="0"/>
              <w:jc w:val="left"/>
              <w:rPr>
                <w:rStyle w:val="19"/>
                <w:rFonts w:hint="eastAsia"/>
                <w:lang w:val="en-US" w:eastAsia="zh-CN" w:bidi="ar"/>
              </w:rPr>
            </w:pPr>
            <w:r>
              <w:rPr>
                <w:rStyle w:val="19"/>
                <w:rFonts w:hint="eastAsia"/>
                <w:lang w:val="en-US" w:eastAsia="zh-CN" w:bidi="ar"/>
              </w:rPr>
              <w:t>3）申购替代金额的处理程序</w:t>
            </w:r>
          </w:p>
          <w:p w14:paraId="0C427CA3">
            <w:pPr>
              <w:keepNext w:val="0"/>
              <w:keepLines w:val="0"/>
              <w:widowControl/>
              <w:suppressLineNumbers w:val="0"/>
              <w:jc w:val="left"/>
              <w:rPr>
                <w:rStyle w:val="19"/>
                <w:rFonts w:hint="eastAsia"/>
                <w:lang w:val="en-US" w:eastAsia="zh-CN" w:bidi="ar"/>
              </w:rPr>
            </w:pPr>
            <w:r>
              <w:rPr>
                <w:rStyle w:val="19"/>
                <w:rFonts w:hint="eastAsia"/>
                <w:lang w:val="en-US" w:eastAsia="zh-CN" w:bidi="ar"/>
              </w:rPr>
              <w:t>...T+1日（指开放日）日终，基金管理人根据所购入的被替代证券的实际单位购入成本（包括买入价格与相关费用,其中通过港股通买入的交易使用中国证券登记结算有限责任公司代理换汇后的人民币成本）和未买入的被替代证券的T+1日（指开放日）收盘价（</w:t>
            </w:r>
            <w:r>
              <w:rPr>
                <w:rStyle w:val="19"/>
                <w:rFonts w:hint="eastAsia"/>
                <w:b/>
                <w:bCs/>
                <w:lang w:val="en-US" w:eastAsia="zh-CN" w:bidi="ar"/>
              </w:rPr>
              <w:t>折算为人民币，折算汇率包括但不限于中国外汇交易中心公布的北京时间16:00主要货币兑人民币参考汇率、中国人民银行或其授权机构最新公布的人民币汇率中间价、与基金托管人商定的其他公允价格等；被替代组合证券T日（指开放日）无交易的，取最近交易日的收盘价</w:t>
            </w:r>
            <w:r>
              <w:rPr>
                <w:rStyle w:val="19"/>
                <w:rFonts w:hint="eastAsia"/>
                <w:lang w:val="en-US" w:eastAsia="zh-CN" w:bidi="ar"/>
              </w:rPr>
              <w:t>）计算被替代证券的单位结算成本，在此基础上根据替代证券数量和申购现金替代保证金确定基金应退还投资者或投资者应补交的款项。...</w:t>
            </w:r>
          </w:p>
          <w:p w14:paraId="28964408">
            <w:pPr>
              <w:keepNext w:val="0"/>
              <w:keepLines w:val="0"/>
              <w:widowControl/>
              <w:suppressLineNumbers w:val="0"/>
              <w:jc w:val="left"/>
              <w:rPr>
                <w:rStyle w:val="19"/>
                <w:rFonts w:hint="eastAsia"/>
                <w:lang w:val="en-US" w:eastAsia="zh-CN" w:bidi="ar"/>
              </w:rPr>
            </w:pPr>
          </w:p>
          <w:p w14:paraId="27B4907D">
            <w:pPr>
              <w:keepNext w:val="0"/>
              <w:keepLines w:val="0"/>
              <w:widowControl/>
              <w:suppressLineNumbers w:val="0"/>
              <w:jc w:val="left"/>
              <w:rPr>
                <w:rStyle w:val="19"/>
                <w:rFonts w:hint="eastAsia"/>
                <w:lang w:val="en-US" w:eastAsia="zh-CN" w:bidi="ar"/>
              </w:rPr>
            </w:pPr>
            <w:r>
              <w:rPr>
                <w:rStyle w:val="19"/>
                <w:rFonts w:hint="eastAsia"/>
                <w:lang w:val="en-US" w:eastAsia="zh-CN" w:bidi="ar"/>
              </w:rPr>
              <w:t>4）赎回替代金额的处理程序</w:t>
            </w:r>
          </w:p>
          <w:p w14:paraId="7BEBEAF1">
            <w:pPr>
              <w:keepNext w:val="0"/>
              <w:keepLines w:val="0"/>
              <w:widowControl/>
              <w:suppressLineNumbers w:val="0"/>
              <w:jc w:val="left"/>
              <w:rPr>
                <w:rStyle w:val="19"/>
                <w:rFonts w:hint="eastAsia"/>
                <w:lang w:val="en-US" w:eastAsia="zh-CN" w:bidi="ar"/>
              </w:rPr>
            </w:pPr>
            <w:r>
              <w:rPr>
                <w:rStyle w:val="19"/>
                <w:rFonts w:hint="eastAsia"/>
                <w:lang w:val="en-US" w:eastAsia="zh-CN" w:bidi="ar"/>
              </w:rPr>
              <w:t>...T+1日（指开放日）日终，基金管理人根据所卖出的被替代证券的实际单位卖出金额（扣除相关费用，其中通过港股通卖出的交易使用中国证券登记结算有限责任公司代理换汇后的人民币金额）和未卖出的被替代证券的T+1日（指开放日）收盘价（</w:t>
            </w:r>
            <w:r>
              <w:rPr>
                <w:rStyle w:val="19"/>
                <w:rFonts w:hint="eastAsia"/>
                <w:b/>
                <w:bCs/>
                <w:lang w:val="en-US" w:eastAsia="zh-CN" w:bidi="ar"/>
              </w:rPr>
              <w:t>折算为人民币，折算汇率包括但不限于中国外汇交易中心公布的北京时间16:00主要货币兑人民币参考汇率、中国人民银行或其授权机构最新公布的人民币汇率中间价、与基金托管人商定的其他公允价格等；被替代组合证券T日（指开放日）无交易的，取最近交易日的收盘价</w:t>
            </w:r>
            <w:r>
              <w:rPr>
                <w:rStyle w:val="19"/>
                <w:rFonts w:hint="eastAsia"/>
                <w:lang w:val="en-US" w:eastAsia="zh-CN" w:bidi="ar"/>
              </w:rPr>
              <w:t>）计算被替代证券的单位结算金额，在此基础上根据替代证券数量确定赎回替代金额。...</w:t>
            </w:r>
          </w:p>
        </w:tc>
      </w:tr>
    </w:tbl>
    <w:p w14:paraId="31211714">
      <w:pPr>
        <w:jc w:val="both"/>
        <w:rPr>
          <w:rFonts w:hint="eastAsia" w:ascii="宋体" w:hAnsi="宋体" w:eastAsia="宋体" w:cs="宋体"/>
          <w:szCs w:val="21"/>
        </w:rPr>
      </w:pPr>
    </w:p>
    <w:p w14:paraId="19E700BC">
      <w:pPr>
        <w:keepNext w:val="0"/>
        <w:keepLines w:val="0"/>
        <w:widowControl/>
        <w:suppressLineNumbers w:val="0"/>
        <w:jc w:val="left"/>
      </w:pPr>
      <w:r>
        <w:rPr>
          <w:rStyle w:val="19"/>
          <w:rFonts w:hint="eastAsia"/>
          <w:lang w:val="en-US" w:eastAsia="zh-CN" w:bidi="ar"/>
        </w:rPr>
        <w:t>二</w:t>
      </w:r>
      <w:r>
        <w:rPr>
          <w:rStyle w:val="19"/>
          <w:lang w:val="en-US" w:eastAsia="zh-CN" w:bidi="ar"/>
        </w:rPr>
        <w:t>、</w:t>
      </w:r>
      <w:r>
        <w:rPr>
          <w:rStyle w:val="19"/>
          <w:rFonts w:hint="eastAsia"/>
          <w:lang w:val="en-US" w:eastAsia="zh-CN" w:bidi="ar"/>
        </w:rPr>
        <w:t>博时恒生医疗保健交易型开放式指数证券投资基金(QDII)</w:t>
      </w:r>
      <w:r>
        <w:rPr>
          <w:rStyle w:val="19"/>
          <w:lang w:val="en-US" w:eastAsia="zh-CN" w:bidi="ar"/>
        </w:rPr>
        <w:t>更新招募说明书修订对照表</w:t>
      </w:r>
      <w:r>
        <w:rPr>
          <w:rFonts w:ascii="宋体" w:hAnsi="宋体" w:eastAsia="宋体" w:cs="宋体"/>
          <w:kern w:val="0"/>
          <w:sz w:val="24"/>
          <w:szCs w:val="24"/>
          <w:lang w:val="en-US" w:eastAsia="zh-CN" w:bidi="ar"/>
        </w:rPr>
        <w:t xml:space="preserve"> </w:t>
      </w:r>
    </w:p>
    <w:tbl>
      <w:tblPr>
        <w:tblStyle w:val="9"/>
        <w:tblW w:w="9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0"/>
        <w:gridCol w:w="3709"/>
        <w:gridCol w:w="3700"/>
      </w:tblGrid>
      <w:tr w14:paraId="4E412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0" w:type="dxa"/>
          </w:tcPr>
          <w:p w14:paraId="0B30AB0F">
            <w:pPr>
              <w:jc w:val="center"/>
              <w:rPr>
                <w:rFonts w:ascii="Times New Roman" w:hAnsi="Times New Roman" w:eastAsia="宋体" w:cs="Times New Roman"/>
                <w:b/>
                <w:bCs/>
                <w:szCs w:val="20"/>
              </w:rPr>
            </w:pPr>
            <w:r>
              <w:rPr>
                <w:rFonts w:hint="eastAsia" w:ascii="Times New Roman" w:hAnsi="Times New Roman" w:eastAsia="宋体" w:cs="Times New Roman"/>
                <w:b/>
                <w:bCs/>
                <w:szCs w:val="20"/>
              </w:rPr>
              <w:t>章节</w:t>
            </w:r>
          </w:p>
        </w:tc>
        <w:tc>
          <w:tcPr>
            <w:tcW w:w="3709" w:type="dxa"/>
          </w:tcPr>
          <w:p w14:paraId="08CFFD10">
            <w:pPr>
              <w:jc w:val="center"/>
              <w:rPr>
                <w:rFonts w:ascii="Times New Roman" w:hAnsi="Times New Roman" w:eastAsia="宋体" w:cs="Times New Roman"/>
                <w:b/>
                <w:bCs/>
                <w:szCs w:val="20"/>
              </w:rPr>
            </w:pPr>
            <w:r>
              <w:rPr>
                <w:rFonts w:hint="eastAsia" w:ascii="Times New Roman" w:hAnsi="Times New Roman" w:eastAsia="宋体" w:cs="Times New Roman"/>
                <w:b/>
                <w:bCs/>
                <w:szCs w:val="20"/>
              </w:rPr>
              <w:t>修改前</w:t>
            </w:r>
          </w:p>
        </w:tc>
        <w:tc>
          <w:tcPr>
            <w:tcW w:w="3700" w:type="dxa"/>
          </w:tcPr>
          <w:p w14:paraId="4AEBBF4F">
            <w:pPr>
              <w:jc w:val="center"/>
              <w:rPr>
                <w:rFonts w:ascii="Times New Roman" w:hAnsi="Times New Roman" w:eastAsia="宋体" w:cs="Times New Roman"/>
                <w:b/>
                <w:bCs/>
                <w:szCs w:val="20"/>
              </w:rPr>
            </w:pPr>
            <w:r>
              <w:rPr>
                <w:rFonts w:hint="eastAsia" w:ascii="Times New Roman" w:hAnsi="Times New Roman" w:eastAsia="宋体" w:cs="Times New Roman"/>
                <w:b/>
                <w:bCs/>
                <w:szCs w:val="20"/>
              </w:rPr>
              <w:t>修改后</w:t>
            </w:r>
          </w:p>
        </w:tc>
      </w:tr>
      <w:tr w14:paraId="7C90E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0" w:type="dxa"/>
          </w:tcPr>
          <w:p w14:paraId="038E4A77">
            <w:pPr>
              <w:rPr>
                <w:rFonts w:ascii="Times New Roman" w:hAnsi="Times New Roman" w:eastAsia="宋体" w:cs="Times New Roman"/>
                <w:szCs w:val="20"/>
              </w:rPr>
            </w:pPr>
            <w:r>
              <w:rPr>
                <w:rFonts w:hint="eastAsia" w:ascii="Times New Roman" w:hAnsi="Times New Roman" w:eastAsia="宋体" w:cs="Times New Roman"/>
                <w:szCs w:val="20"/>
              </w:rPr>
              <w:t>第十一部分  基金份额的申购与赎回</w:t>
            </w:r>
          </w:p>
        </w:tc>
        <w:tc>
          <w:tcPr>
            <w:tcW w:w="3709" w:type="dxa"/>
          </w:tcPr>
          <w:p w14:paraId="09D01274">
            <w:pPr>
              <w:keepNext w:val="0"/>
              <w:keepLines w:val="0"/>
              <w:widowControl/>
              <w:suppressLineNumbers w:val="0"/>
              <w:jc w:val="left"/>
              <w:rPr>
                <w:rStyle w:val="19"/>
                <w:rFonts w:hint="eastAsia"/>
                <w:lang w:val="en-US" w:eastAsia="zh-CN" w:bidi="ar"/>
              </w:rPr>
            </w:pPr>
            <w:r>
              <w:rPr>
                <w:rStyle w:val="19"/>
                <w:rFonts w:hint="eastAsia"/>
                <w:lang w:val="en-US" w:eastAsia="zh-CN" w:bidi="ar"/>
              </w:rPr>
              <w:t>七、申购赎回清单的内容与格式</w:t>
            </w:r>
          </w:p>
          <w:p w14:paraId="5D1CBC68">
            <w:pPr>
              <w:keepNext w:val="0"/>
              <w:keepLines w:val="0"/>
              <w:widowControl/>
              <w:suppressLineNumbers w:val="0"/>
              <w:jc w:val="left"/>
              <w:rPr>
                <w:rStyle w:val="19"/>
                <w:rFonts w:hint="eastAsia"/>
                <w:lang w:val="en-US" w:eastAsia="zh-CN" w:bidi="ar"/>
              </w:rPr>
            </w:pPr>
            <w:r>
              <w:rPr>
                <w:rStyle w:val="19"/>
                <w:rFonts w:hint="eastAsia"/>
                <w:lang w:val="en-US" w:eastAsia="zh-CN" w:bidi="ar"/>
              </w:rPr>
              <w:t>（2）现金替代相关内容</w:t>
            </w:r>
          </w:p>
          <w:p w14:paraId="7112393D">
            <w:pPr>
              <w:keepNext w:val="0"/>
              <w:keepLines w:val="0"/>
              <w:widowControl/>
              <w:suppressLineNumbers w:val="0"/>
              <w:jc w:val="left"/>
              <w:rPr>
                <w:rStyle w:val="19"/>
                <w:rFonts w:hint="eastAsia"/>
                <w:lang w:val="en-US" w:eastAsia="zh-CN" w:bidi="ar"/>
              </w:rPr>
            </w:pPr>
            <w:r>
              <w:rPr>
                <w:rStyle w:val="19"/>
                <w:rFonts w:hint="eastAsia"/>
                <w:lang w:val="en-US" w:eastAsia="zh-CN" w:bidi="ar"/>
              </w:rPr>
              <w:t xml:space="preserve">1）关于可以现金替代 </w:t>
            </w:r>
          </w:p>
          <w:p w14:paraId="72F4E35E">
            <w:pPr>
              <w:keepNext w:val="0"/>
              <w:keepLines w:val="0"/>
              <w:widowControl/>
              <w:suppressLineNumbers w:val="0"/>
              <w:jc w:val="left"/>
              <w:rPr>
                <w:rStyle w:val="19"/>
                <w:rFonts w:hint="eastAsia"/>
                <w:lang w:val="en-US" w:eastAsia="zh-CN" w:bidi="ar"/>
              </w:rPr>
            </w:pPr>
            <w:r>
              <w:rPr>
                <w:rStyle w:val="19"/>
                <w:rFonts w:hint="eastAsia"/>
                <w:lang w:val="en-US" w:eastAsia="zh-CN" w:bidi="ar"/>
              </w:rPr>
              <w:t>（c）申购现金替代保证金的处理程序如下：</w:t>
            </w:r>
          </w:p>
          <w:p w14:paraId="2AEA7950">
            <w:pPr>
              <w:keepNext w:val="0"/>
              <w:keepLines w:val="0"/>
              <w:widowControl/>
              <w:suppressLineNumbers w:val="0"/>
              <w:jc w:val="left"/>
              <w:rPr>
                <w:rStyle w:val="19"/>
                <w:rFonts w:hint="eastAsia"/>
                <w:lang w:val="en-US" w:eastAsia="zh-CN" w:bidi="ar"/>
              </w:rPr>
            </w:pPr>
            <w:r>
              <w:rPr>
                <w:rStyle w:val="19"/>
                <w:rFonts w:hint="eastAsia"/>
                <w:lang w:val="en-US" w:eastAsia="zh-CN" w:bidi="ar"/>
              </w:rPr>
              <w:t>...T+1日（指开放日）日终，基金管理人根据所购入的被替代证券的实际单位购入成本（包括买入价格与相关费用，其中通过港股通买入的交易使用中国证券登记结算有限责任公司代理换汇后的人民币成本）和未买入的被替代证券的T+1日（指开放日）收盘价（</w:t>
            </w:r>
            <w:r>
              <w:rPr>
                <w:rStyle w:val="19"/>
                <w:rFonts w:hint="eastAsia"/>
                <w:b/>
                <w:bCs/>
                <w:strike/>
                <w:dstrike w:val="0"/>
                <w:lang w:val="en-US" w:eastAsia="zh-CN" w:bidi="ar"/>
              </w:rPr>
              <w:t>折算为人民币，折算汇率采用当天的估值汇率；T+1日（指开放日）在证券交易所无交易的，取最近交易日的收盘价</w:t>
            </w:r>
            <w:r>
              <w:rPr>
                <w:rStyle w:val="19"/>
                <w:rFonts w:hint="eastAsia"/>
                <w:lang w:val="en-US" w:eastAsia="zh-CN" w:bidi="ar"/>
              </w:rPr>
              <w:t>）计算被替代证券的单位结算成本，在此基础上根据替代证券数量和申购现金替代保证金确定基金应退还投资者或投资者应补交的款项。...</w:t>
            </w:r>
          </w:p>
          <w:p w14:paraId="6E7626E5">
            <w:pPr>
              <w:keepNext w:val="0"/>
              <w:keepLines w:val="0"/>
              <w:widowControl/>
              <w:suppressLineNumbers w:val="0"/>
              <w:jc w:val="left"/>
              <w:rPr>
                <w:rStyle w:val="19"/>
                <w:rFonts w:hint="eastAsia"/>
                <w:lang w:val="en-US" w:eastAsia="zh-CN" w:bidi="ar"/>
              </w:rPr>
            </w:pPr>
          </w:p>
          <w:p w14:paraId="37CD293F">
            <w:pPr>
              <w:keepNext w:val="0"/>
              <w:keepLines w:val="0"/>
              <w:widowControl/>
              <w:suppressLineNumbers w:val="0"/>
              <w:jc w:val="left"/>
              <w:rPr>
                <w:rStyle w:val="19"/>
                <w:rFonts w:hint="eastAsia"/>
                <w:lang w:val="en-US" w:eastAsia="zh-CN" w:bidi="ar"/>
              </w:rPr>
            </w:pPr>
          </w:p>
          <w:p w14:paraId="39864266">
            <w:pPr>
              <w:keepNext w:val="0"/>
              <w:keepLines w:val="0"/>
              <w:widowControl/>
              <w:suppressLineNumbers w:val="0"/>
              <w:jc w:val="left"/>
              <w:rPr>
                <w:rStyle w:val="19"/>
                <w:rFonts w:hint="eastAsia"/>
                <w:lang w:val="en-US" w:eastAsia="zh-CN" w:bidi="ar"/>
              </w:rPr>
            </w:pPr>
          </w:p>
          <w:p w14:paraId="5D85ABCF">
            <w:pPr>
              <w:keepNext w:val="0"/>
              <w:keepLines w:val="0"/>
              <w:widowControl/>
              <w:suppressLineNumbers w:val="0"/>
              <w:jc w:val="left"/>
              <w:rPr>
                <w:rStyle w:val="19"/>
                <w:rFonts w:hint="eastAsia"/>
                <w:lang w:val="en-US" w:eastAsia="zh-CN" w:bidi="ar"/>
              </w:rPr>
            </w:pPr>
          </w:p>
          <w:p w14:paraId="3F826C02">
            <w:pPr>
              <w:keepNext w:val="0"/>
              <w:keepLines w:val="0"/>
              <w:widowControl/>
              <w:suppressLineNumbers w:val="0"/>
              <w:jc w:val="left"/>
              <w:rPr>
                <w:rStyle w:val="19"/>
                <w:rFonts w:hint="eastAsia"/>
                <w:lang w:val="en-US" w:eastAsia="zh-CN" w:bidi="ar"/>
              </w:rPr>
            </w:pPr>
            <w:r>
              <w:rPr>
                <w:rStyle w:val="19"/>
                <w:rFonts w:hint="eastAsia"/>
                <w:lang w:val="en-US" w:eastAsia="zh-CN" w:bidi="ar"/>
              </w:rPr>
              <w:t>（d）赎回替代金额的处理程序</w:t>
            </w:r>
          </w:p>
          <w:p w14:paraId="13FABFD0">
            <w:pPr>
              <w:keepNext w:val="0"/>
              <w:keepLines w:val="0"/>
              <w:widowControl/>
              <w:suppressLineNumbers w:val="0"/>
              <w:jc w:val="left"/>
              <w:rPr>
                <w:rFonts w:hint="eastAsia"/>
                <w:sz w:val="21"/>
                <w:szCs w:val="21"/>
                <w:lang w:val="en-US" w:eastAsia="zh-CN"/>
              </w:rPr>
            </w:pPr>
            <w:r>
              <w:rPr>
                <w:rStyle w:val="19"/>
                <w:rFonts w:hint="eastAsia"/>
                <w:lang w:val="en-US" w:eastAsia="zh-CN" w:bidi="ar"/>
              </w:rPr>
              <w:t>...T+1日（指开放日）日终，基金管理人根据所卖出的被替代证券的实际单位卖出金额（扣除相关费用，其中通过港股通卖出的交易使用中国证券登记结算有限责任公司代理换汇后的人民币金额）和未卖出的被替代证券的T+1日（指开放日）收盘价（</w:t>
            </w:r>
            <w:r>
              <w:rPr>
                <w:rStyle w:val="19"/>
                <w:rFonts w:hint="eastAsia"/>
                <w:b/>
                <w:bCs/>
                <w:strike/>
                <w:dstrike w:val="0"/>
                <w:lang w:val="en-US" w:eastAsia="zh-CN" w:bidi="ar"/>
              </w:rPr>
              <w:t>折算为人民币，折算汇率采用当天的估值汇率；被替代证券T+1日（指开放日）在证券交易所无交易的，取最近交易日的收盘价</w:t>
            </w:r>
            <w:r>
              <w:rPr>
                <w:rStyle w:val="19"/>
                <w:rFonts w:hint="eastAsia"/>
                <w:lang w:val="en-US" w:eastAsia="zh-CN" w:bidi="ar"/>
              </w:rPr>
              <w:t>）计算被替代证券的单位结算金额，在此基础上根据替代证券数量确定赎回替代金额。...</w:t>
            </w:r>
          </w:p>
        </w:tc>
        <w:tc>
          <w:tcPr>
            <w:tcW w:w="3700" w:type="dxa"/>
            <w:vAlign w:val="top"/>
          </w:tcPr>
          <w:p w14:paraId="35ED1161">
            <w:pPr>
              <w:keepNext w:val="0"/>
              <w:keepLines w:val="0"/>
              <w:widowControl/>
              <w:suppressLineNumbers w:val="0"/>
              <w:jc w:val="left"/>
              <w:rPr>
                <w:rStyle w:val="19"/>
                <w:rFonts w:hint="eastAsia"/>
                <w:lang w:val="en-US" w:eastAsia="zh-CN" w:bidi="ar"/>
              </w:rPr>
            </w:pPr>
            <w:r>
              <w:rPr>
                <w:rStyle w:val="19"/>
                <w:rFonts w:hint="eastAsia"/>
                <w:lang w:val="en-US" w:eastAsia="zh-CN" w:bidi="ar"/>
              </w:rPr>
              <w:t>七、申购赎回清单的内容与格式</w:t>
            </w:r>
          </w:p>
          <w:p w14:paraId="5DC0AC1D">
            <w:pPr>
              <w:keepNext w:val="0"/>
              <w:keepLines w:val="0"/>
              <w:widowControl/>
              <w:suppressLineNumbers w:val="0"/>
              <w:jc w:val="left"/>
              <w:rPr>
                <w:rStyle w:val="19"/>
                <w:rFonts w:hint="eastAsia"/>
                <w:lang w:val="en-US" w:eastAsia="zh-CN" w:bidi="ar"/>
              </w:rPr>
            </w:pPr>
            <w:r>
              <w:rPr>
                <w:rStyle w:val="19"/>
                <w:rFonts w:hint="eastAsia"/>
                <w:lang w:val="en-US" w:eastAsia="zh-CN" w:bidi="ar"/>
              </w:rPr>
              <w:t>（2）现金替代相关内容</w:t>
            </w:r>
          </w:p>
          <w:p w14:paraId="2ADBB943">
            <w:pPr>
              <w:keepNext w:val="0"/>
              <w:keepLines w:val="0"/>
              <w:widowControl/>
              <w:suppressLineNumbers w:val="0"/>
              <w:jc w:val="left"/>
              <w:rPr>
                <w:rStyle w:val="19"/>
                <w:rFonts w:hint="eastAsia"/>
                <w:lang w:val="en-US" w:eastAsia="zh-CN" w:bidi="ar"/>
              </w:rPr>
            </w:pPr>
            <w:r>
              <w:rPr>
                <w:rStyle w:val="19"/>
                <w:rFonts w:hint="eastAsia"/>
                <w:lang w:val="en-US" w:eastAsia="zh-CN" w:bidi="ar"/>
              </w:rPr>
              <w:t xml:space="preserve">1）关于可以现金替代 </w:t>
            </w:r>
          </w:p>
          <w:p w14:paraId="5C244F4F">
            <w:pPr>
              <w:keepNext w:val="0"/>
              <w:keepLines w:val="0"/>
              <w:widowControl/>
              <w:suppressLineNumbers w:val="0"/>
              <w:jc w:val="left"/>
              <w:rPr>
                <w:rStyle w:val="19"/>
                <w:rFonts w:hint="eastAsia"/>
                <w:lang w:val="en-US" w:eastAsia="zh-CN" w:bidi="ar"/>
              </w:rPr>
            </w:pPr>
            <w:r>
              <w:rPr>
                <w:rStyle w:val="19"/>
                <w:rFonts w:hint="eastAsia"/>
                <w:lang w:val="en-US" w:eastAsia="zh-CN" w:bidi="ar"/>
              </w:rPr>
              <w:t>（c）申购现金替代保证金的处理程序如下：</w:t>
            </w:r>
          </w:p>
          <w:p w14:paraId="78624A4B">
            <w:pPr>
              <w:keepNext w:val="0"/>
              <w:keepLines w:val="0"/>
              <w:widowControl/>
              <w:suppressLineNumbers w:val="0"/>
              <w:jc w:val="left"/>
              <w:rPr>
                <w:rStyle w:val="19"/>
                <w:rFonts w:hint="eastAsia"/>
                <w:lang w:val="en-US" w:eastAsia="zh-CN" w:bidi="ar"/>
              </w:rPr>
            </w:pPr>
            <w:r>
              <w:rPr>
                <w:rStyle w:val="19"/>
                <w:rFonts w:hint="eastAsia"/>
                <w:lang w:val="en-US" w:eastAsia="zh-CN" w:bidi="ar"/>
              </w:rPr>
              <w:t>...T+1日（指开放日）日终，基金管理人根据所购入的被替代证券的实际单位购入成本（包括买入价格与相关费用，其中通过港股通买入的交易使用中国证券登记结算有限责任公司代理换汇后的人民币成本）和未买入的被替代证券的T+1日（指开放日）收盘价（</w:t>
            </w:r>
            <w:r>
              <w:rPr>
                <w:rStyle w:val="19"/>
                <w:rFonts w:hint="eastAsia"/>
                <w:b/>
                <w:bCs/>
                <w:lang w:val="en-US" w:eastAsia="zh-CN" w:bidi="ar"/>
              </w:rPr>
              <w:t>折算为人民币，折算汇率包括但不限于中国外汇交易中心公布的北京时间16:00主要货币兑人民币参考汇率、中国人民银行或其授权机构最新公布的人民币汇率中间价、与基金托管人商定的其他公允价格等；被替代组合证券T日（指开放日）无交易的，取最近交易日的收盘价</w:t>
            </w:r>
            <w:r>
              <w:rPr>
                <w:rStyle w:val="19"/>
                <w:rFonts w:hint="eastAsia"/>
                <w:lang w:val="en-US" w:eastAsia="zh-CN" w:bidi="ar"/>
              </w:rPr>
              <w:t>）计算被替代证券的单位结算成本，在此基础上根据替代证券数量和申购现金替代保证金确定基金应退还投资者或投资者应补交的款项。...</w:t>
            </w:r>
          </w:p>
          <w:p w14:paraId="412B5981">
            <w:pPr>
              <w:keepNext w:val="0"/>
              <w:keepLines w:val="0"/>
              <w:widowControl/>
              <w:suppressLineNumbers w:val="0"/>
              <w:jc w:val="left"/>
              <w:rPr>
                <w:rStyle w:val="19"/>
                <w:rFonts w:hint="eastAsia"/>
                <w:lang w:val="en-US" w:eastAsia="zh-CN" w:bidi="ar"/>
              </w:rPr>
            </w:pPr>
            <w:r>
              <w:rPr>
                <w:rStyle w:val="19"/>
                <w:rFonts w:hint="eastAsia"/>
                <w:lang w:val="en-US" w:eastAsia="zh-CN" w:bidi="ar"/>
              </w:rPr>
              <w:t>（d）赎回替代金额的处理程序</w:t>
            </w:r>
          </w:p>
          <w:p w14:paraId="776D06D7">
            <w:pPr>
              <w:keepNext w:val="0"/>
              <w:keepLines w:val="0"/>
              <w:widowControl/>
              <w:suppressLineNumbers w:val="0"/>
              <w:jc w:val="left"/>
              <w:rPr>
                <w:rFonts w:hint="eastAsia"/>
                <w:sz w:val="21"/>
                <w:szCs w:val="21"/>
                <w:lang w:val="en-US" w:eastAsia="zh-CN"/>
              </w:rPr>
            </w:pPr>
            <w:r>
              <w:rPr>
                <w:rStyle w:val="19"/>
                <w:rFonts w:hint="eastAsia"/>
                <w:lang w:val="en-US" w:eastAsia="zh-CN" w:bidi="ar"/>
              </w:rPr>
              <w:t>...T+1日（指开放日）日终，基金管理人根据所卖出的被替代证券的实际单位卖出金额（扣除相关费用，其中通过港股通卖出的交易使用中国证券登记结算有限责任公司代理换汇后的人民币金额）和未卖出的被替代证券的T+1日（指开放日）收盘价（</w:t>
            </w:r>
            <w:r>
              <w:rPr>
                <w:rStyle w:val="19"/>
                <w:rFonts w:hint="eastAsia"/>
                <w:b/>
                <w:bCs/>
                <w:lang w:val="en-US" w:eastAsia="zh-CN" w:bidi="ar"/>
              </w:rPr>
              <w:t>折算为人民币，折算汇率包括但不限于中国外汇交易中心公布的北京时间16:00主要货币兑人民币参考汇率、中国人民银行或其授权机构最新公布的人民币汇率中间价、与基金托管人商定的其他公允价格等；被替代组合证券T日（指开放日）无交易的，取最近交易日的收盘价</w:t>
            </w:r>
            <w:r>
              <w:rPr>
                <w:rStyle w:val="19"/>
                <w:rFonts w:hint="eastAsia"/>
                <w:lang w:val="en-US" w:eastAsia="zh-CN" w:bidi="ar"/>
              </w:rPr>
              <w:t>）计算被替代证券的单位结算金额，在此基础上根据替代证券数量确定赎回替代金额。...</w:t>
            </w:r>
          </w:p>
        </w:tc>
      </w:tr>
    </w:tbl>
    <w:p w14:paraId="536191CB">
      <w:pPr>
        <w:jc w:val="both"/>
        <w:rPr>
          <w:rFonts w:hint="eastAsia" w:ascii="宋体" w:hAnsi="宋体" w:eastAsia="宋体" w:cs="宋体"/>
          <w:szCs w:val="21"/>
        </w:rPr>
      </w:pPr>
    </w:p>
    <w:p w14:paraId="051BF452">
      <w:pPr>
        <w:keepNext w:val="0"/>
        <w:keepLines w:val="0"/>
        <w:widowControl/>
        <w:suppressLineNumbers w:val="0"/>
        <w:jc w:val="left"/>
      </w:pPr>
      <w:r>
        <w:rPr>
          <w:rStyle w:val="19"/>
          <w:rFonts w:hint="eastAsia"/>
          <w:lang w:val="en-US" w:eastAsia="zh-CN" w:bidi="ar"/>
        </w:rPr>
        <w:t>三</w:t>
      </w:r>
      <w:r>
        <w:rPr>
          <w:rStyle w:val="19"/>
          <w:lang w:val="en-US" w:eastAsia="zh-CN" w:bidi="ar"/>
        </w:rPr>
        <w:t>、</w:t>
      </w:r>
      <w:r>
        <w:rPr>
          <w:rStyle w:val="19"/>
          <w:rFonts w:hint="eastAsia"/>
          <w:lang w:val="en-US" w:eastAsia="zh-CN" w:bidi="ar"/>
        </w:rPr>
        <w:t>博时恒生港股通高股息率交易型开放式指数证券投资基金</w:t>
      </w:r>
      <w:r>
        <w:rPr>
          <w:rStyle w:val="19"/>
          <w:lang w:val="en-US" w:eastAsia="zh-CN" w:bidi="ar"/>
        </w:rPr>
        <w:t>更新招募说明书修订对照表</w:t>
      </w:r>
      <w:r>
        <w:rPr>
          <w:rFonts w:ascii="宋体" w:hAnsi="宋体" w:eastAsia="宋体" w:cs="宋体"/>
          <w:kern w:val="0"/>
          <w:sz w:val="24"/>
          <w:szCs w:val="24"/>
          <w:lang w:val="en-US" w:eastAsia="zh-CN" w:bidi="ar"/>
        </w:rPr>
        <w:t xml:space="preserve"> </w:t>
      </w:r>
    </w:p>
    <w:tbl>
      <w:tblPr>
        <w:tblStyle w:val="9"/>
        <w:tblW w:w="9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0"/>
        <w:gridCol w:w="3709"/>
        <w:gridCol w:w="3700"/>
      </w:tblGrid>
      <w:tr w14:paraId="35579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0" w:type="dxa"/>
          </w:tcPr>
          <w:p w14:paraId="3419E3EC">
            <w:pPr>
              <w:jc w:val="center"/>
              <w:rPr>
                <w:rFonts w:ascii="Times New Roman" w:hAnsi="Times New Roman" w:eastAsia="宋体" w:cs="Times New Roman"/>
                <w:b/>
                <w:bCs/>
                <w:szCs w:val="20"/>
              </w:rPr>
            </w:pPr>
            <w:r>
              <w:rPr>
                <w:rFonts w:hint="eastAsia" w:ascii="Times New Roman" w:hAnsi="Times New Roman" w:eastAsia="宋体" w:cs="Times New Roman"/>
                <w:b/>
                <w:bCs/>
                <w:szCs w:val="20"/>
              </w:rPr>
              <w:t>章节</w:t>
            </w:r>
          </w:p>
        </w:tc>
        <w:tc>
          <w:tcPr>
            <w:tcW w:w="3709" w:type="dxa"/>
          </w:tcPr>
          <w:p w14:paraId="356D42C9">
            <w:pPr>
              <w:jc w:val="center"/>
              <w:rPr>
                <w:rFonts w:ascii="Times New Roman" w:hAnsi="Times New Roman" w:eastAsia="宋体" w:cs="Times New Roman"/>
                <w:b/>
                <w:bCs/>
                <w:szCs w:val="20"/>
              </w:rPr>
            </w:pPr>
            <w:r>
              <w:rPr>
                <w:rFonts w:hint="eastAsia" w:ascii="Times New Roman" w:hAnsi="Times New Roman" w:eastAsia="宋体" w:cs="Times New Roman"/>
                <w:b/>
                <w:bCs/>
                <w:szCs w:val="20"/>
              </w:rPr>
              <w:t>修改前</w:t>
            </w:r>
          </w:p>
        </w:tc>
        <w:tc>
          <w:tcPr>
            <w:tcW w:w="3700" w:type="dxa"/>
          </w:tcPr>
          <w:p w14:paraId="333E01F5">
            <w:pPr>
              <w:jc w:val="center"/>
              <w:rPr>
                <w:rFonts w:ascii="Times New Roman" w:hAnsi="Times New Roman" w:eastAsia="宋体" w:cs="Times New Roman"/>
                <w:b/>
                <w:bCs/>
                <w:szCs w:val="20"/>
              </w:rPr>
            </w:pPr>
            <w:r>
              <w:rPr>
                <w:rFonts w:hint="eastAsia" w:ascii="Times New Roman" w:hAnsi="Times New Roman" w:eastAsia="宋体" w:cs="Times New Roman"/>
                <w:b/>
                <w:bCs/>
                <w:szCs w:val="20"/>
              </w:rPr>
              <w:t>修改后</w:t>
            </w:r>
          </w:p>
        </w:tc>
      </w:tr>
      <w:tr w14:paraId="1FE07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0" w:type="dxa"/>
          </w:tcPr>
          <w:p w14:paraId="4F1F5892">
            <w:pPr>
              <w:rPr>
                <w:rFonts w:ascii="Times New Roman" w:hAnsi="Times New Roman" w:eastAsia="宋体" w:cs="Times New Roman"/>
                <w:szCs w:val="20"/>
              </w:rPr>
            </w:pPr>
            <w:r>
              <w:rPr>
                <w:rFonts w:hint="eastAsia" w:ascii="Times New Roman" w:hAnsi="Times New Roman" w:eastAsia="宋体" w:cs="Times New Roman"/>
                <w:szCs w:val="20"/>
              </w:rPr>
              <w:t>第十部分  基金份额的申购与赎回</w:t>
            </w:r>
          </w:p>
        </w:tc>
        <w:tc>
          <w:tcPr>
            <w:tcW w:w="3709" w:type="dxa"/>
          </w:tcPr>
          <w:p w14:paraId="31CA9432">
            <w:pPr>
              <w:keepNext w:val="0"/>
              <w:keepLines w:val="0"/>
              <w:widowControl/>
              <w:suppressLineNumbers w:val="0"/>
              <w:jc w:val="left"/>
              <w:rPr>
                <w:rStyle w:val="19"/>
                <w:rFonts w:hint="eastAsia"/>
                <w:lang w:val="en-US" w:eastAsia="zh-CN" w:bidi="ar"/>
              </w:rPr>
            </w:pPr>
            <w:r>
              <w:rPr>
                <w:rStyle w:val="19"/>
                <w:rFonts w:hint="eastAsia"/>
                <w:lang w:val="en-US" w:eastAsia="zh-CN" w:bidi="ar"/>
              </w:rPr>
              <w:t>七、申购赎回清单的内容与格式</w:t>
            </w:r>
          </w:p>
          <w:p w14:paraId="721D65E5">
            <w:pPr>
              <w:keepNext w:val="0"/>
              <w:keepLines w:val="0"/>
              <w:widowControl/>
              <w:suppressLineNumbers w:val="0"/>
              <w:jc w:val="left"/>
              <w:rPr>
                <w:rStyle w:val="19"/>
                <w:rFonts w:hint="eastAsia"/>
                <w:lang w:val="en-US" w:eastAsia="zh-CN" w:bidi="ar"/>
              </w:rPr>
            </w:pPr>
            <w:r>
              <w:rPr>
                <w:rStyle w:val="19"/>
                <w:rFonts w:hint="eastAsia"/>
                <w:lang w:val="en-US" w:eastAsia="zh-CN" w:bidi="ar"/>
              </w:rPr>
              <w:t>3、现金替代相关内容</w:t>
            </w:r>
          </w:p>
          <w:p w14:paraId="76C6BA54">
            <w:pPr>
              <w:keepNext w:val="0"/>
              <w:keepLines w:val="0"/>
              <w:widowControl/>
              <w:suppressLineNumbers w:val="0"/>
              <w:jc w:val="left"/>
              <w:rPr>
                <w:rStyle w:val="19"/>
                <w:rFonts w:hint="eastAsia"/>
                <w:lang w:val="en-US" w:eastAsia="zh-CN" w:bidi="ar"/>
              </w:rPr>
            </w:pPr>
            <w:r>
              <w:rPr>
                <w:rStyle w:val="19"/>
                <w:rFonts w:hint="eastAsia"/>
                <w:lang w:val="en-US" w:eastAsia="zh-CN" w:bidi="ar"/>
              </w:rPr>
              <w:t>3）替代金额的处理程序</w:t>
            </w:r>
          </w:p>
          <w:p w14:paraId="071AB75B">
            <w:pPr>
              <w:keepNext w:val="0"/>
              <w:keepLines w:val="0"/>
              <w:widowControl/>
              <w:suppressLineNumbers w:val="0"/>
              <w:jc w:val="left"/>
              <w:rPr>
                <w:rStyle w:val="19"/>
                <w:rFonts w:hint="eastAsia"/>
                <w:lang w:val="en-US" w:eastAsia="zh-CN" w:bidi="ar"/>
              </w:rPr>
            </w:pPr>
            <w:r>
              <w:rPr>
                <w:rStyle w:val="19"/>
                <w:rFonts w:hint="eastAsia"/>
                <w:lang w:val="en-US" w:eastAsia="zh-CN" w:bidi="ar"/>
              </w:rPr>
              <w:t>...对于确认成功的T日申购申请，T+1日（指开放日）内基金管理人根据申购规模进行组合证券的代理买入。T+1日（指开放日）日终，基金管理人根据所购入的被替代组合证券的实际单位购入成本、实际购入的相关费用、未购入的被替代组合证券的T+1日（指开放日）收盘价（</w:t>
            </w:r>
            <w:r>
              <w:rPr>
                <w:rStyle w:val="19"/>
                <w:rFonts w:hint="eastAsia"/>
                <w:b/>
                <w:bCs/>
                <w:strike/>
                <w:dstrike w:val="0"/>
                <w:lang w:val="en-US" w:eastAsia="zh-CN" w:bidi="ar"/>
              </w:rPr>
              <w:t>折算为人民币，折算汇率采用当天的估值汇率；被替代组合证券T+1日（指开放日）无交易的，取最近交易日的收盘价</w:t>
            </w:r>
            <w:r>
              <w:rPr>
                <w:rStyle w:val="19"/>
                <w:rFonts w:hint="eastAsia"/>
                <w:lang w:val="en-US" w:eastAsia="zh-CN" w:bidi="ar"/>
              </w:rPr>
              <w:t>）计算并确定被替代组合证券的单位结算成本，在此基础上根据替代组合证券数量和现金替代保证金确定基金应退还投资人的款项或投资人应补交的款项。...</w:t>
            </w:r>
          </w:p>
          <w:p w14:paraId="6CBDE11E">
            <w:pPr>
              <w:keepNext w:val="0"/>
              <w:keepLines w:val="0"/>
              <w:widowControl/>
              <w:suppressLineNumbers w:val="0"/>
              <w:jc w:val="left"/>
              <w:rPr>
                <w:rStyle w:val="19"/>
                <w:rFonts w:hint="eastAsia"/>
                <w:lang w:val="en-US" w:eastAsia="zh-CN" w:bidi="ar"/>
              </w:rPr>
            </w:pPr>
          </w:p>
          <w:p w14:paraId="058BC97A">
            <w:pPr>
              <w:keepNext w:val="0"/>
              <w:keepLines w:val="0"/>
              <w:widowControl/>
              <w:suppressLineNumbers w:val="0"/>
              <w:jc w:val="left"/>
              <w:rPr>
                <w:rStyle w:val="19"/>
                <w:rFonts w:hint="eastAsia"/>
                <w:lang w:val="en-US" w:eastAsia="zh-CN" w:bidi="ar"/>
              </w:rPr>
            </w:pPr>
          </w:p>
          <w:p w14:paraId="38B75C4A">
            <w:pPr>
              <w:keepNext w:val="0"/>
              <w:keepLines w:val="0"/>
              <w:widowControl/>
              <w:suppressLineNumbers w:val="0"/>
              <w:jc w:val="left"/>
              <w:rPr>
                <w:rStyle w:val="19"/>
                <w:rFonts w:hint="eastAsia"/>
                <w:lang w:val="en-US" w:eastAsia="zh-CN" w:bidi="ar"/>
              </w:rPr>
            </w:pPr>
          </w:p>
          <w:p w14:paraId="6FC6BFFE">
            <w:pPr>
              <w:keepNext w:val="0"/>
              <w:keepLines w:val="0"/>
              <w:widowControl/>
              <w:suppressLineNumbers w:val="0"/>
              <w:jc w:val="left"/>
              <w:rPr>
                <w:rStyle w:val="19"/>
                <w:rFonts w:hint="eastAsia"/>
                <w:lang w:val="en-US" w:eastAsia="zh-CN" w:bidi="ar"/>
              </w:rPr>
            </w:pPr>
          </w:p>
          <w:p w14:paraId="24482206">
            <w:pPr>
              <w:keepNext w:val="0"/>
              <w:keepLines w:val="0"/>
              <w:widowControl/>
              <w:suppressLineNumbers w:val="0"/>
              <w:jc w:val="left"/>
              <w:rPr>
                <w:rStyle w:val="19"/>
                <w:rFonts w:hint="eastAsia"/>
                <w:lang w:val="en-US" w:eastAsia="zh-CN" w:bidi="ar"/>
              </w:rPr>
            </w:pPr>
          </w:p>
          <w:p w14:paraId="3F8E5A1B">
            <w:pPr>
              <w:keepNext w:val="0"/>
              <w:keepLines w:val="0"/>
              <w:widowControl/>
              <w:suppressLineNumbers w:val="0"/>
              <w:jc w:val="left"/>
              <w:rPr>
                <w:rStyle w:val="19"/>
                <w:rFonts w:hint="eastAsia"/>
                <w:lang w:val="en-US" w:eastAsia="zh-CN" w:bidi="ar"/>
              </w:rPr>
            </w:pPr>
            <w:r>
              <w:rPr>
                <w:rStyle w:val="19"/>
                <w:rFonts w:hint="eastAsia"/>
                <w:lang w:val="en-US" w:eastAsia="zh-CN" w:bidi="ar"/>
              </w:rPr>
              <w:t>...特殊情况：若自T日起，香港证券交易所正常交易日已达20日而该部分证券的正常交易日低于1日，则以替代金额与所购入的部分被替代证券的实际购入成本加上按照最近一次收盘价计算的未购入的部分被替代证券价值的差额（</w:t>
            </w:r>
            <w:r>
              <w:rPr>
                <w:rStyle w:val="19"/>
                <w:rFonts w:hint="eastAsia"/>
                <w:b/>
                <w:bCs/>
                <w:strike/>
                <w:dstrike w:val="0"/>
                <w:lang w:val="en-US" w:eastAsia="zh-CN" w:bidi="ar"/>
              </w:rPr>
              <w:t>折算为人民币，折算汇率采用当天的估值汇率</w:t>
            </w:r>
            <w:r>
              <w:rPr>
                <w:rStyle w:val="19"/>
                <w:rFonts w:hint="eastAsia"/>
                <w:lang w:val="en-US" w:eastAsia="zh-CN" w:bidi="ar"/>
              </w:rPr>
              <w:t>），确定基金应退还投资人或投资人应补交的款项。</w:t>
            </w:r>
          </w:p>
          <w:p w14:paraId="62EF0CFE">
            <w:pPr>
              <w:keepNext w:val="0"/>
              <w:keepLines w:val="0"/>
              <w:widowControl/>
              <w:suppressLineNumbers w:val="0"/>
              <w:jc w:val="left"/>
              <w:rPr>
                <w:rStyle w:val="19"/>
                <w:rFonts w:hint="eastAsia"/>
                <w:lang w:val="en-US" w:eastAsia="zh-CN" w:bidi="ar"/>
              </w:rPr>
            </w:pPr>
          </w:p>
          <w:p w14:paraId="2D3D1CD4">
            <w:pPr>
              <w:keepNext w:val="0"/>
              <w:keepLines w:val="0"/>
              <w:widowControl/>
              <w:suppressLineNumbers w:val="0"/>
              <w:jc w:val="left"/>
              <w:rPr>
                <w:rStyle w:val="19"/>
                <w:rFonts w:hint="eastAsia"/>
                <w:lang w:val="en-US" w:eastAsia="zh-CN" w:bidi="ar"/>
              </w:rPr>
            </w:pPr>
          </w:p>
          <w:p w14:paraId="2977968C">
            <w:pPr>
              <w:keepNext w:val="0"/>
              <w:keepLines w:val="0"/>
              <w:widowControl/>
              <w:suppressLineNumbers w:val="0"/>
              <w:jc w:val="left"/>
              <w:rPr>
                <w:rStyle w:val="19"/>
                <w:rFonts w:hint="eastAsia"/>
                <w:lang w:val="en-US" w:eastAsia="zh-CN" w:bidi="ar"/>
              </w:rPr>
            </w:pPr>
          </w:p>
          <w:p w14:paraId="6A03AE81">
            <w:pPr>
              <w:keepNext w:val="0"/>
              <w:keepLines w:val="0"/>
              <w:widowControl/>
              <w:suppressLineNumbers w:val="0"/>
              <w:jc w:val="left"/>
              <w:rPr>
                <w:rStyle w:val="19"/>
                <w:rFonts w:hint="eastAsia"/>
                <w:lang w:val="en-US" w:eastAsia="zh-CN" w:bidi="ar"/>
              </w:rPr>
            </w:pPr>
          </w:p>
          <w:p w14:paraId="0ACF5ACC">
            <w:pPr>
              <w:keepNext w:val="0"/>
              <w:keepLines w:val="0"/>
              <w:widowControl/>
              <w:suppressLineNumbers w:val="0"/>
              <w:jc w:val="left"/>
              <w:rPr>
                <w:rStyle w:val="19"/>
                <w:rFonts w:hint="eastAsia"/>
                <w:lang w:val="en-US" w:eastAsia="zh-CN" w:bidi="ar"/>
              </w:rPr>
            </w:pPr>
          </w:p>
          <w:p w14:paraId="4626651C">
            <w:pPr>
              <w:keepNext w:val="0"/>
              <w:keepLines w:val="0"/>
              <w:widowControl/>
              <w:suppressLineNumbers w:val="0"/>
              <w:jc w:val="left"/>
              <w:rPr>
                <w:rStyle w:val="19"/>
                <w:rFonts w:hint="eastAsia"/>
                <w:lang w:val="en-US" w:eastAsia="zh-CN" w:bidi="ar"/>
              </w:rPr>
            </w:pPr>
            <w:r>
              <w:rPr>
                <w:rStyle w:val="19"/>
                <w:rFonts w:hint="eastAsia"/>
                <w:lang w:val="en-US" w:eastAsia="zh-CN" w:bidi="ar"/>
              </w:rPr>
              <w:t>对于确认成功的T日赎回申请，T+1日（指开放日）内基金管理人根据所卖出的被替代组合证券的实际单位卖出成本、实际卖出的相关费用、未卖出的被替代组合证券的T+1日（指开放日）收盘价（</w:t>
            </w:r>
            <w:r>
              <w:rPr>
                <w:rStyle w:val="19"/>
                <w:rFonts w:hint="eastAsia"/>
                <w:b/>
                <w:bCs/>
                <w:strike/>
                <w:dstrike w:val="0"/>
                <w:lang w:val="en-US" w:eastAsia="zh-CN" w:bidi="ar"/>
              </w:rPr>
              <w:t>折算为人民币，折算汇率采用当天的估值汇率；被替代组合证券T+1日（指开放日）无交易的，取最近交易日的收盘价；交易日无收盘价的，取最后收盘价</w:t>
            </w:r>
            <w:r>
              <w:rPr>
                <w:rStyle w:val="19"/>
                <w:rFonts w:hint="eastAsia"/>
                <w:lang w:val="en-US" w:eastAsia="zh-CN" w:bidi="ar"/>
              </w:rPr>
              <w:t>）计算并确定被替代组合证券的单位结算成本，在此基础上根据替代组合证券数量确定赎回替代金额。...</w:t>
            </w:r>
          </w:p>
          <w:p w14:paraId="190015B9">
            <w:pPr>
              <w:keepNext w:val="0"/>
              <w:keepLines w:val="0"/>
              <w:widowControl/>
              <w:suppressLineNumbers w:val="0"/>
              <w:jc w:val="left"/>
              <w:rPr>
                <w:rStyle w:val="19"/>
                <w:rFonts w:hint="eastAsia"/>
                <w:lang w:val="en-US" w:eastAsia="zh-CN" w:bidi="ar"/>
              </w:rPr>
            </w:pPr>
          </w:p>
          <w:p w14:paraId="17DE72CB">
            <w:pPr>
              <w:keepNext w:val="0"/>
              <w:keepLines w:val="0"/>
              <w:widowControl/>
              <w:suppressLineNumbers w:val="0"/>
              <w:jc w:val="left"/>
              <w:rPr>
                <w:rStyle w:val="19"/>
                <w:rFonts w:hint="eastAsia"/>
                <w:lang w:val="en-US" w:eastAsia="zh-CN" w:bidi="ar"/>
              </w:rPr>
            </w:pPr>
          </w:p>
          <w:p w14:paraId="61BB327F">
            <w:pPr>
              <w:keepNext w:val="0"/>
              <w:keepLines w:val="0"/>
              <w:widowControl/>
              <w:suppressLineNumbers w:val="0"/>
              <w:jc w:val="left"/>
              <w:rPr>
                <w:rStyle w:val="19"/>
                <w:rFonts w:hint="eastAsia"/>
                <w:lang w:val="en-US" w:eastAsia="zh-CN" w:bidi="ar"/>
              </w:rPr>
            </w:pPr>
          </w:p>
          <w:p w14:paraId="1DE11078">
            <w:pPr>
              <w:keepNext w:val="0"/>
              <w:keepLines w:val="0"/>
              <w:widowControl/>
              <w:suppressLineNumbers w:val="0"/>
              <w:jc w:val="left"/>
              <w:rPr>
                <w:rStyle w:val="19"/>
                <w:rFonts w:hint="eastAsia"/>
                <w:lang w:val="en-US" w:eastAsia="zh-CN" w:bidi="ar"/>
              </w:rPr>
            </w:pPr>
          </w:p>
          <w:p w14:paraId="6C99ADAA">
            <w:pPr>
              <w:keepNext w:val="0"/>
              <w:keepLines w:val="0"/>
              <w:widowControl/>
              <w:suppressLineNumbers w:val="0"/>
              <w:jc w:val="left"/>
              <w:rPr>
                <w:rStyle w:val="19"/>
                <w:rFonts w:hint="eastAsia"/>
                <w:lang w:val="en-US" w:eastAsia="zh-CN" w:bidi="ar"/>
              </w:rPr>
            </w:pPr>
          </w:p>
          <w:p w14:paraId="413E9087">
            <w:pPr>
              <w:keepNext w:val="0"/>
              <w:keepLines w:val="0"/>
              <w:widowControl/>
              <w:suppressLineNumbers w:val="0"/>
              <w:jc w:val="left"/>
              <w:rPr>
                <w:rStyle w:val="19"/>
                <w:rFonts w:hint="eastAsia"/>
                <w:lang w:val="en-US" w:eastAsia="zh-CN" w:bidi="ar"/>
              </w:rPr>
            </w:pPr>
          </w:p>
          <w:p w14:paraId="62D946BC">
            <w:pPr>
              <w:keepNext w:val="0"/>
              <w:keepLines w:val="0"/>
              <w:widowControl/>
              <w:suppressLineNumbers w:val="0"/>
              <w:jc w:val="left"/>
              <w:rPr>
                <w:rStyle w:val="19"/>
                <w:rFonts w:hint="eastAsia"/>
                <w:lang w:val="en-US" w:eastAsia="zh-CN" w:bidi="ar"/>
              </w:rPr>
            </w:pPr>
          </w:p>
          <w:p w14:paraId="7E80ECEE">
            <w:pPr>
              <w:keepNext w:val="0"/>
              <w:keepLines w:val="0"/>
              <w:widowControl/>
              <w:suppressLineNumbers w:val="0"/>
              <w:jc w:val="left"/>
              <w:rPr>
                <w:rStyle w:val="19"/>
                <w:rFonts w:hint="eastAsia"/>
                <w:lang w:val="en-US" w:eastAsia="zh-CN" w:bidi="ar"/>
              </w:rPr>
            </w:pPr>
            <w:r>
              <w:rPr>
                <w:rStyle w:val="19"/>
                <w:rFonts w:hint="eastAsia"/>
                <w:lang w:val="en-US" w:eastAsia="zh-CN" w:bidi="ar"/>
              </w:rPr>
              <w:t>...特殊情况：若自T日起，香港证券交易所正常交易日已达20日而该部分证券的正常交易日低于1日，则以被替代证券卖出部分的实际卖出金额加上按照最近一日收盘价计算的未卖出部分被替代证券价值（</w:t>
            </w:r>
            <w:r>
              <w:rPr>
                <w:rFonts w:hint="eastAsia"/>
                <w:b/>
                <w:bCs/>
                <w:strike/>
                <w:dstrike w:val="0"/>
                <w:sz w:val="21"/>
                <w:szCs w:val="21"/>
              </w:rPr>
              <w:t>折算为人民币，折算汇率采用当天的估值汇率</w:t>
            </w:r>
            <w:r>
              <w:rPr>
                <w:rStyle w:val="19"/>
                <w:rFonts w:hint="eastAsia"/>
                <w:lang w:val="en-US" w:eastAsia="zh-CN" w:bidi="ar"/>
              </w:rPr>
              <w:t>），确定基金应退还投资人的款项。</w:t>
            </w:r>
          </w:p>
          <w:p w14:paraId="39DFFF67">
            <w:pPr>
              <w:keepNext w:val="0"/>
              <w:keepLines w:val="0"/>
              <w:widowControl/>
              <w:suppressLineNumbers w:val="0"/>
              <w:jc w:val="left"/>
              <w:rPr>
                <w:rStyle w:val="19"/>
                <w:rFonts w:hint="eastAsia"/>
                <w:lang w:val="en-US" w:eastAsia="zh-CN" w:bidi="ar"/>
              </w:rPr>
            </w:pPr>
          </w:p>
        </w:tc>
        <w:tc>
          <w:tcPr>
            <w:tcW w:w="3700" w:type="dxa"/>
            <w:vAlign w:val="top"/>
          </w:tcPr>
          <w:p w14:paraId="79704269">
            <w:pPr>
              <w:keepNext w:val="0"/>
              <w:keepLines w:val="0"/>
              <w:widowControl/>
              <w:suppressLineNumbers w:val="0"/>
              <w:jc w:val="left"/>
              <w:rPr>
                <w:rStyle w:val="19"/>
                <w:rFonts w:hint="eastAsia"/>
                <w:lang w:val="en-US" w:eastAsia="zh-CN" w:bidi="ar"/>
              </w:rPr>
            </w:pPr>
            <w:r>
              <w:rPr>
                <w:rStyle w:val="19"/>
                <w:rFonts w:hint="eastAsia"/>
                <w:lang w:val="en-US" w:eastAsia="zh-CN" w:bidi="ar"/>
              </w:rPr>
              <w:t>七、申购赎回清单的内容与格式</w:t>
            </w:r>
          </w:p>
          <w:p w14:paraId="210D0151">
            <w:pPr>
              <w:keepNext w:val="0"/>
              <w:keepLines w:val="0"/>
              <w:widowControl/>
              <w:suppressLineNumbers w:val="0"/>
              <w:jc w:val="left"/>
              <w:rPr>
                <w:rStyle w:val="19"/>
                <w:rFonts w:hint="eastAsia"/>
                <w:lang w:val="en-US" w:eastAsia="zh-CN" w:bidi="ar"/>
              </w:rPr>
            </w:pPr>
            <w:r>
              <w:rPr>
                <w:rStyle w:val="19"/>
                <w:rFonts w:hint="eastAsia"/>
                <w:lang w:val="en-US" w:eastAsia="zh-CN" w:bidi="ar"/>
              </w:rPr>
              <w:t>3、现金替代相关内容</w:t>
            </w:r>
          </w:p>
          <w:p w14:paraId="76397544">
            <w:pPr>
              <w:keepNext w:val="0"/>
              <w:keepLines w:val="0"/>
              <w:widowControl/>
              <w:suppressLineNumbers w:val="0"/>
              <w:jc w:val="left"/>
              <w:rPr>
                <w:rStyle w:val="19"/>
                <w:rFonts w:hint="eastAsia"/>
                <w:lang w:val="en-US" w:eastAsia="zh-CN" w:bidi="ar"/>
              </w:rPr>
            </w:pPr>
            <w:r>
              <w:rPr>
                <w:rStyle w:val="19"/>
                <w:rFonts w:hint="eastAsia"/>
                <w:lang w:val="en-US" w:eastAsia="zh-CN" w:bidi="ar"/>
              </w:rPr>
              <w:t xml:space="preserve">3）替代金额的处理程序 </w:t>
            </w:r>
          </w:p>
          <w:p w14:paraId="3C637826">
            <w:pPr>
              <w:keepNext w:val="0"/>
              <w:keepLines w:val="0"/>
              <w:widowControl/>
              <w:suppressLineNumbers w:val="0"/>
              <w:jc w:val="left"/>
              <w:rPr>
                <w:rStyle w:val="19"/>
                <w:rFonts w:hint="eastAsia"/>
                <w:lang w:val="en-US" w:eastAsia="zh-CN" w:bidi="ar"/>
              </w:rPr>
            </w:pPr>
            <w:r>
              <w:rPr>
                <w:rStyle w:val="19"/>
                <w:rFonts w:hint="eastAsia"/>
                <w:lang w:val="en-US" w:eastAsia="zh-CN" w:bidi="ar"/>
              </w:rPr>
              <w:t>...对于确认成功的T日申购申请，T+1日（指开放日）内基金管理人根据申购规模进行组合证券的代理买入。T+1日（指开放日）日终，基金管理人根据所购入的被替代组合证券的实际单位购入成本、实际购入的相关费用、未购入的被替代组合证券的T+1日（指开放日）收盘价（</w:t>
            </w:r>
            <w:r>
              <w:rPr>
                <w:rStyle w:val="19"/>
                <w:rFonts w:hint="eastAsia"/>
                <w:b/>
                <w:bCs/>
                <w:lang w:val="en-US" w:eastAsia="zh-CN" w:bidi="ar"/>
              </w:rPr>
              <w:t>折算为人民币，折算汇率包括但不限于中国外汇交易中心公布的北京时间16:00主要货币兑人民币参考汇率、中国人民银行或其授权机构最新公布的人民币汇率中间价、与基金托管人商定的其他公允价格等；被替代组合证券T日（指开放日）无交易的，取最近交易日的收盘价</w:t>
            </w:r>
            <w:r>
              <w:rPr>
                <w:rStyle w:val="19"/>
                <w:rFonts w:hint="eastAsia"/>
                <w:lang w:val="en-US" w:eastAsia="zh-CN" w:bidi="ar"/>
              </w:rPr>
              <w:t>）计算并确定被替代组合证券的单位结算成本，在此基础上根据替代组合证券数量和现金替代保证金确定基金应退还投资人的款项或投资人应补交的款项。...</w:t>
            </w:r>
          </w:p>
          <w:p w14:paraId="6D2C9404">
            <w:pPr>
              <w:keepNext w:val="0"/>
              <w:keepLines w:val="0"/>
              <w:widowControl/>
              <w:suppressLineNumbers w:val="0"/>
              <w:jc w:val="left"/>
              <w:rPr>
                <w:rStyle w:val="19"/>
                <w:rFonts w:hint="eastAsia"/>
                <w:lang w:val="en-US" w:eastAsia="zh-CN" w:bidi="ar"/>
              </w:rPr>
            </w:pPr>
          </w:p>
          <w:p w14:paraId="7E5CEF31">
            <w:pPr>
              <w:keepNext w:val="0"/>
              <w:keepLines w:val="0"/>
              <w:widowControl/>
              <w:suppressLineNumbers w:val="0"/>
              <w:jc w:val="left"/>
              <w:rPr>
                <w:rStyle w:val="19"/>
                <w:rFonts w:hint="eastAsia"/>
                <w:lang w:val="en-US" w:eastAsia="zh-CN" w:bidi="ar"/>
              </w:rPr>
            </w:pPr>
            <w:r>
              <w:rPr>
                <w:rStyle w:val="19"/>
                <w:rFonts w:hint="eastAsia"/>
                <w:lang w:val="en-US" w:eastAsia="zh-CN" w:bidi="ar"/>
              </w:rPr>
              <w:t>...特殊情况：若自T日起，香港证券交易所正常交易日已达20日而该部分证券的正常交易日低于1日，则以替代金额与所购入的部分被替代证券的实际购入成本加上按照最近一次收盘价计算的未购入的部分被替代证券价值的差额（</w:t>
            </w:r>
            <w:r>
              <w:rPr>
                <w:rStyle w:val="19"/>
                <w:rFonts w:hint="eastAsia"/>
                <w:b/>
                <w:bCs/>
                <w:lang w:val="en-US" w:eastAsia="zh-CN" w:bidi="ar"/>
              </w:rPr>
              <w:t>折算为人民币，折算汇率包括但不限于中国外汇交易中心公布的北京时间16:00主要货币兑人民币参考汇率、中国人民银行或其授权机构最新公布的人民币汇率中间价、与基金托管人商定的其他公允价格等</w:t>
            </w:r>
            <w:r>
              <w:rPr>
                <w:rStyle w:val="19"/>
                <w:rFonts w:hint="eastAsia"/>
                <w:lang w:val="en-US" w:eastAsia="zh-CN" w:bidi="ar"/>
              </w:rPr>
              <w:t>），确定基金应退还投资人或投资人应补交的款项。</w:t>
            </w:r>
          </w:p>
          <w:p w14:paraId="5312F928">
            <w:pPr>
              <w:keepNext w:val="0"/>
              <w:keepLines w:val="0"/>
              <w:widowControl/>
              <w:suppressLineNumbers w:val="0"/>
              <w:jc w:val="left"/>
              <w:rPr>
                <w:rStyle w:val="19"/>
                <w:rFonts w:hint="eastAsia"/>
                <w:lang w:val="en-US" w:eastAsia="zh-CN" w:bidi="ar"/>
              </w:rPr>
            </w:pPr>
          </w:p>
          <w:p w14:paraId="6A1F9ED1">
            <w:pPr>
              <w:keepNext w:val="0"/>
              <w:keepLines w:val="0"/>
              <w:widowControl/>
              <w:suppressLineNumbers w:val="0"/>
              <w:jc w:val="left"/>
              <w:rPr>
                <w:rStyle w:val="19"/>
                <w:rFonts w:hint="eastAsia"/>
                <w:lang w:val="en-US" w:eastAsia="zh-CN" w:bidi="ar"/>
              </w:rPr>
            </w:pPr>
            <w:r>
              <w:rPr>
                <w:rStyle w:val="19"/>
                <w:rFonts w:hint="eastAsia"/>
                <w:lang w:val="en-US" w:eastAsia="zh-CN" w:bidi="ar"/>
              </w:rPr>
              <w:t>对于确认成功的T日赎回申请，T+1日（指开放日）内基金管理人根据所卖出的被替代组合证券的实际单位卖出成本、实际卖出的相关费用、未卖出的被替代组合证券的T+1日（指开放日）收盘价（</w:t>
            </w:r>
            <w:r>
              <w:rPr>
                <w:rStyle w:val="19"/>
                <w:rFonts w:hint="eastAsia"/>
                <w:b/>
                <w:bCs/>
                <w:lang w:val="en-US" w:eastAsia="zh-CN" w:bidi="ar"/>
              </w:rPr>
              <w:t>折算为人民币，折算汇率包括但不限于中国外汇交易中心公布的北京时间16:00主要货币兑人民币参考汇率、中国人民银行或其授权机构最新公布的人民币汇率中间价、与基金托管人商定的其他公允价格等；被替代组合证券T日（指开放日）无交易的，取最近交易日的收盘价）无交易的，取最近交易日的收盘价；交易日无收盘价的，取最后收盘价</w:t>
            </w:r>
            <w:r>
              <w:rPr>
                <w:rStyle w:val="19"/>
                <w:rFonts w:hint="eastAsia"/>
                <w:lang w:val="en-US" w:eastAsia="zh-CN" w:bidi="ar"/>
              </w:rPr>
              <w:t>）计算并确定被替代组合证券的单位结算成本，在此基础上根据替代组合证券数量确定赎回替代金额。...</w:t>
            </w:r>
          </w:p>
          <w:p w14:paraId="759C75C1">
            <w:pPr>
              <w:keepNext w:val="0"/>
              <w:keepLines w:val="0"/>
              <w:widowControl/>
              <w:suppressLineNumbers w:val="0"/>
              <w:jc w:val="left"/>
              <w:rPr>
                <w:rStyle w:val="19"/>
                <w:rFonts w:hint="eastAsia"/>
                <w:lang w:val="en-US" w:eastAsia="zh-CN" w:bidi="ar"/>
              </w:rPr>
            </w:pPr>
          </w:p>
          <w:p w14:paraId="031D5AD5">
            <w:pPr>
              <w:keepNext w:val="0"/>
              <w:keepLines w:val="0"/>
              <w:widowControl/>
              <w:suppressLineNumbers w:val="0"/>
              <w:jc w:val="left"/>
              <w:rPr>
                <w:rStyle w:val="19"/>
                <w:rFonts w:hint="eastAsia"/>
                <w:lang w:val="en-US" w:eastAsia="zh-CN" w:bidi="ar"/>
              </w:rPr>
            </w:pPr>
            <w:r>
              <w:rPr>
                <w:rStyle w:val="19"/>
                <w:rFonts w:hint="eastAsia"/>
                <w:lang w:val="en-US" w:eastAsia="zh-CN" w:bidi="ar"/>
              </w:rPr>
              <w:t>...特殊情况：若自T日起，香港证券交易所正常交易日已达20日而该部分证券的正常交易日低于1日，则以被替代证券卖出部分的实际卖出金额加上按照最近一日收盘价计算的未卖出部分被替代证券价值（</w:t>
            </w:r>
            <w:r>
              <w:rPr>
                <w:rStyle w:val="19"/>
                <w:rFonts w:hint="eastAsia"/>
                <w:b/>
                <w:bCs/>
                <w:lang w:val="en-US" w:eastAsia="zh-CN" w:bidi="ar"/>
              </w:rPr>
              <w:t>折算为人民币，折算汇率包括但不限于中国外汇交易中心公布的北京时间16:00主要货币兑人民币参考汇率、中国人民银行或其授权机构最新公布的人民币汇率中间价、与基金托管人商定的其他公允价格等</w:t>
            </w:r>
            <w:r>
              <w:rPr>
                <w:rStyle w:val="19"/>
                <w:rFonts w:hint="eastAsia"/>
                <w:lang w:val="en-US" w:eastAsia="zh-CN" w:bidi="ar"/>
              </w:rPr>
              <w:t>），确定基金应退还投资人的款项。</w:t>
            </w:r>
          </w:p>
        </w:tc>
      </w:tr>
    </w:tbl>
    <w:p w14:paraId="6318AF09">
      <w:pPr>
        <w:jc w:val="both"/>
        <w:rPr>
          <w:rFonts w:hint="eastAsia" w:ascii="宋体" w:hAnsi="宋体" w:eastAsia="宋体" w:cs="宋体"/>
          <w:szCs w:val="21"/>
        </w:rPr>
      </w:pPr>
    </w:p>
    <w:p w14:paraId="16269154">
      <w:pPr>
        <w:keepNext w:val="0"/>
        <w:keepLines w:val="0"/>
        <w:widowControl/>
        <w:suppressLineNumbers w:val="0"/>
        <w:jc w:val="left"/>
      </w:pPr>
      <w:r>
        <w:rPr>
          <w:rStyle w:val="19"/>
          <w:rFonts w:hint="eastAsia"/>
          <w:lang w:val="en-US" w:eastAsia="zh-CN" w:bidi="ar"/>
        </w:rPr>
        <w:t>四</w:t>
      </w:r>
      <w:r>
        <w:rPr>
          <w:rStyle w:val="19"/>
          <w:lang w:val="en-US" w:eastAsia="zh-CN" w:bidi="ar"/>
        </w:rPr>
        <w:t>、</w:t>
      </w:r>
      <w:r>
        <w:rPr>
          <w:rStyle w:val="19"/>
          <w:rFonts w:hint="eastAsia"/>
          <w:lang w:val="en-US" w:eastAsia="zh-CN" w:bidi="ar"/>
        </w:rPr>
        <w:t>博时中证港股通互联网交易型开放式指数证券投资基金</w:t>
      </w:r>
      <w:r>
        <w:rPr>
          <w:rStyle w:val="19"/>
          <w:lang w:val="en-US" w:eastAsia="zh-CN" w:bidi="ar"/>
        </w:rPr>
        <w:t>更新招募说明书修订对照表</w:t>
      </w:r>
      <w:r>
        <w:rPr>
          <w:rFonts w:ascii="宋体" w:hAnsi="宋体" w:eastAsia="宋体" w:cs="宋体"/>
          <w:kern w:val="0"/>
          <w:sz w:val="24"/>
          <w:szCs w:val="24"/>
          <w:lang w:val="en-US" w:eastAsia="zh-CN" w:bidi="ar"/>
        </w:rPr>
        <w:t xml:space="preserve"> </w:t>
      </w:r>
    </w:p>
    <w:tbl>
      <w:tblPr>
        <w:tblStyle w:val="9"/>
        <w:tblW w:w="9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0"/>
        <w:gridCol w:w="3709"/>
        <w:gridCol w:w="3700"/>
      </w:tblGrid>
      <w:tr w14:paraId="57814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0" w:type="dxa"/>
          </w:tcPr>
          <w:p w14:paraId="2CC712DE">
            <w:pPr>
              <w:jc w:val="center"/>
              <w:rPr>
                <w:rFonts w:ascii="Times New Roman" w:hAnsi="Times New Roman" w:eastAsia="宋体" w:cs="Times New Roman"/>
                <w:b/>
                <w:bCs/>
                <w:szCs w:val="20"/>
              </w:rPr>
            </w:pPr>
            <w:r>
              <w:rPr>
                <w:rFonts w:hint="eastAsia" w:ascii="Times New Roman" w:hAnsi="Times New Roman" w:eastAsia="宋体" w:cs="Times New Roman"/>
                <w:b/>
                <w:bCs/>
                <w:szCs w:val="20"/>
              </w:rPr>
              <w:t>章节</w:t>
            </w:r>
          </w:p>
        </w:tc>
        <w:tc>
          <w:tcPr>
            <w:tcW w:w="3709" w:type="dxa"/>
          </w:tcPr>
          <w:p w14:paraId="30C42519">
            <w:pPr>
              <w:jc w:val="center"/>
              <w:rPr>
                <w:rFonts w:ascii="Times New Roman" w:hAnsi="Times New Roman" w:eastAsia="宋体" w:cs="Times New Roman"/>
                <w:b/>
                <w:bCs/>
                <w:szCs w:val="20"/>
              </w:rPr>
            </w:pPr>
            <w:r>
              <w:rPr>
                <w:rFonts w:hint="eastAsia" w:ascii="Times New Roman" w:hAnsi="Times New Roman" w:eastAsia="宋体" w:cs="Times New Roman"/>
                <w:b/>
                <w:bCs/>
                <w:szCs w:val="20"/>
              </w:rPr>
              <w:t>修改前</w:t>
            </w:r>
          </w:p>
        </w:tc>
        <w:tc>
          <w:tcPr>
            <w:tcW w:w="3700" w:type="dxa"/>
          </w:tcPr>
          <w:p w14:paraId="7B0F12A9">
            <w:pPr>
              <w:jc w:val="center"/>
              <w:rPr>
                <w:rFonts w:ascii="Times New Roman" w:hAnsi="Times New Roman" w:eastAsia="宋体" w:cs="Times New Roman"/>
                <w:b/>
                <w:bCs/>
                <w:szCs w:val="20"/>
              </w:rPr>
            </w:pPr>
            <w:r>
              <w:rPr>
                <w:rFonts w:hint="eastAsia" w:ascii="Times New Roman" w:hAnsi="Times New Roman" w:eastAsia="宋体" w:cs="Times New Roman"/>
                <w:b/>
                <w:bCs/>
                <w:szCs w:val="20"/>
              </w:rPr>
              <w:t>修改后</w:t>
            </w:r>
          </w:p>
        </w:tc>
      </w:tr>
      <w:tr w14:paraId="5ADA3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0" w:type="dxa"/>
          </w:tcPr>
          <w:p w14:paraId="563BFB62">
            <w:pPr>
              <w:rPr>
                <w:rFonts w:ascii="Times New Roman" w:hAnsi="Times New Roman" w:eastAsia="宋体" w:cs="Times New Roman"/>
                <w:szCs w:val="20"/>
              </w:rPr>
            </w:pPr>
            <w:r>
              <w:rPr>
                <w:rFonts w:hint="eastAsia" w:ascii="Times New Roman" w:hAnsi="Times New Roman" w:eastAsia="宋体" w:cs="Times New Roman"/>
                <w:szCs w:val="20"/>
              </w:rPr>
              <w:t>第</w:t>
            </w:r>
            <w:r>
              <w:rPr>
                <w:rFonts w:hint="eastAsia" w:ascii="Times New Roman" w:hAnsi="Times New Roman" w:eastAsia="宋体" w:cs="Times New Roman"/>
                <w:szCs w:val="20"/>
                <w:lang w:val="en-US" w:eastAsia="zh-CN"/>
              </w:rPr>
              <w:t>九</w:t>
            </w:r>
            <w:r>
              <w:rPr>
                <w:rFonts w:hint="eastAsia" w:ascii="Times New Roman" w:hAnsi="Times New Roman" w:eastAsia="宋体" w:cs="Times New Roman"/>
                <w:szCs w:val="20"/>
              </w:rPr>
              <w:t>部分  基金份额的申购与赎回</w:t>
            </w:r>
          </w:p>
        </w:tc>
        <w:tc>
          <w:tcPr>
            <w:tcW w:w="3709" w:type="dxa"/>
          </w:tcPr>
          <w:p w14:paraId="2BF98CB3">
            <w:pPr>
              <w:keepNext w:val="0"/>
              <w:keepLines w:val="0"/>
              <w:widowControl/>
              <w:suppressLineNumbers w:val="0"/>
              <w:jc w:val="left"/>
              <w:rPr>
                <w:rStyle w:val="19"/>
                <w:rFonts w:hint="eastAsia"/>
                <w:lang w:val="en-US" w:eastAsia="zh-CN" w:bidi="ar"/>
              </w:rPr>
            </w:pPr>
            <w:r>
              <w:rPr>
                <w:rStyle w:val="19"/>
                <w:rFonts w:hint="eastAsia"/>
                <w:lang w:val="en-US" w:eastAsia="zh-CN" w:bidi="ar"/>
              </w:rPr>
              <w:t>七、申购赎回清单的内容与格式</w:t>
            </w:r>
          </w:p>
          <w:p w14:paraId="46BB6346">
            <w:pPr>
              <w:keepNext w:val="0"/>
              <w:keepLines w:val="0"/>
              <w:widowControl/>
              <w:suppressLineNumbers w:val="0"/>
              <w:jc w:val="left"/>
              <w:rPr>
                <w:rStyle w:val="19"/>
                <w:rFonts w:hint="eastAsia"/>
                <w:lang w:val="en-US" w:eastAsia="zh-CN" w:bidi="ar"/>
              </w:rPr>
            </w:pPr>
            <w:r>
              <w:rPr>
                <w:rStyle w:val="19"/>
                <w:rFonts w:hint="eastAsia"/>
                <w:lang w:val="en-US" w:eastAsia="zh-CN" w:bidi="ar"/>
              </w:rPr>
              <w:t>4、现金替代相关内容</w:t>
            </w:r>
          </w:p>
          <w:p w14:paraId="0CF40B9C">
            <w:pPr>
              <w:keepNext w:val="0"/>
              <w:keepLines w:val="0"/>
              <w:widowControl/>
              <w:suppressLineNumbers w:val="0"/>
              <w:jc w:val="left"/>
              <w:rPr>
                <w:rStyle w:val="19"/>
                <w:rFonts w:hint="eastAsia"/>
                <w:lang w:val="en-US" w:eastAsia="zh-CN" w:bidi="ar"/>
              </w:rPr>
            </w:pPr>
            <w:r>
              <w:rPr>
                <w:rStyle w:val="19"/>
                <w:rFonts w:hint="eastAsia"/>
                <w:lang w:val="en-US" w:eastAsia="zh-CN" w:bidi="ar"/>
              </w:rPr>
              <w:t xml:space="preserve">3）申购替代金额的处理程序 </w:t>
            </w:r>
          </w:p>
          <w:p w14:paraId="0013D6D2">
            <w:pPr>
              <w:keepNext w:val="0"/>
              <w:keepLines w:val="0"/>
              <w:widowControl/>
              <w:suppressLineNumbers w:val="0"/>
              <w:jc w:val="left"/>
              <w:rPr>
                <w:rStyle w:val="19"/>
                <w:rFonts w:hint="eastAsia"/>
                <w:lang w:val="en-US" w:eastAsia="zh-CN" w:bidi="ar"/>
              </w:rPr>
            </w:pPr>
            <w:r>
              <w:rPr>
                <w:rStyle w:val="19"/>
                <w:rFonts w:hint="eastAsia"/>
                <w:lang w:val="en-US" w:eastAsia="zh-CN" w:bidi="ar"/>
              </w:rPr>
              <w:t>...T日日终，基金管理人根据所购入的被替代证券的实际单位购入成本（包括买入价格与相关费用）和未买入的被替代证券的T日收盘价（</w:t>
            </w:r>
            <w:r>
              <w:rPr>
                <w:rStyle w:val="19"/>
                <w:rFonts w:hint="eastAsia"/>
                <w:b/>
                <w:bCs/>
                <w:strike/>
                <w:dstrike w:val="0"/>
                <w:lang w:val="en-US" w:eastAsia="zh-CN" w:bidi="ar"/>
              </w:rPr>
              <w:t>折算为人民币，折算汇率采用当天的估值汇率；T日在证券交易所无交易的，取最近交易日的收盘价；</w:t>
            </w:r>
            <w:r>
              <w:rPr>
                <w:rStyle w:val="19"/>
                <w:rFonts w:hint="eastAsia"/>
                <w:lang w:val="en-US" w:eastAsia="zh-CN" w:bidi="ar"/>
              </w:rPr>
              <w:t>）计算被替代证券的单位结算成本，在此基础上根据替代证券数量和申购现金替代保证金确定基金应退还投资者或投资者应补交的款项。...</w:t>
            </w:r>
          </w:p>
          <w:p w14:paraId="2EFA06DF">
            <w:pPr>
              <w:keepNext w:val="0"/>
              <w:keepLines w:val="0"/>
              <w:widowControl/>
              <w:suppressLineNumbers w:val="0"/>
              <w:jc w:val="left"/>
              <w:rPr>
                <w:rStyle w:val="19"/>
                <w:rFonts w:hint="eastAsia"/>
                <w:lang w:val="en-US" w:eastAsia="zh-CN" w:bidi="ar"/>
              </w:rPr>
            </w:pPr>
          </w:p>
          <w:p w14:paraId="5EA10B50">
            <w:pPr>
              <w:keepNext w:val="0"/>
              <w:keepLines w:val="0"/>
              <w:widowControl/>
              <w:suppressLineNumbers w:val="0"/>
              <w:jc w:val="left"/>
              <w:rPr>
                <w:rStyle w:val="19"/>
                <w:rFonts w:hint="eastAsia"/>
                <w:lang w:val="en-US" w:eastAsia="zh-CN" w:bidi="ar"/>
              </w:rPr>
            </w:pPr>
          </w:p>
          <w:p w14:paraId="0DC9A6AC">
            <w:pPr>
              <w:keepNext w:val="0"/>
              <w:keepLines w:val="0"/>
              <w:widowControl/>
              <w:suppressLineNumbers w:val="0"/>
              <w:jc w:val="left"/>
              <w:rPr>
                <w:rStyle w:val="19"/>
                <w:rFonts w:hint="eastAsia"/>
                <w:lang w:val="en-US" w:eastAsia="zh-CN" w:bidi="ar"/>
              </w:rPr>
            </w:pPr>
          </w:p>
          <w:p w14:paraId="619B1AB9">
            <w:pPr>
              <w:keepNext w:val="0"/>
              <w:keepLines w:val="0"/>
              <w:widowControl/>
              <w:suppressLineNumbers w:val="0"/>
              <w:jc w:val="left"/>
              <w:rPr>
                <w:rStyle w:val="19"/>
                <w:rFonts w:hint="eastAsia"/>
                <w:lang w:val="en-US" w:eastAsia="zh-CN" w:bidi="ar"/>
              </w:rPr>
            </w:pPr>
          </w:p>
          <w:p w14:paraId="36C14AE8">
            <w:pPr>
              <w:keepNext w:val="0"/>
              <w:keepLines w:val="0"/>
              <w:widowControl/>
              <w:suppressLineNumbers w:val="0"/>
              <w:jc w:val="left"/>
              <w:rPr>
                <w:rStyle w:val="19"/>
                <w:rFonts w:hint="eastAsia"/>
                <w:lang w:val="en-US" w:eastAsia="zh-CN" w:bidi="ar"/>
              </w:rPr>
            </w:pPr>
          </w:p>
          <w:p w14:paraId="7FD7D482">
            <w:pPr>
              <w:keepNext w:val="0"/>
              <w:keepLines w:val="0"/>
              <w:widowControl/>
              <w:suppressLineNumbers w:val="0"/>
              <w:jc w:val="left"/>
              <w:rPr>
                <w:rStyle w:val="19"/>
                <w:rFonts w:hint="eastAsia"/>
                <w:lang w:val="en-US" w:eastAsia="zh-CN" w:bidi="ar"/>
              </w:rPr>
            </w:pPr>
          </w:p>
          <w:p w14:paraId="5DE251AC">
            <w:pPr>
              <w:keepNext w:val="0"/>
              <w:keepLines w:val="0"/>
              <w:widowControl/>
              <w:suppressLineNumbers w:val="0"/>
              <w:jc w:val="left"/>
              <w:rPr>
                <w:rStyle w:val="19"/>
                <w:rFonts w:hint="eastAsia"/>
                <w:lang w:val="en-US" w:eastAsia="zh-CN" w:bidi="ar"/>
              </w:rPr>
            </w:pPr>
            <w:r>
              <w:rPr>
                <w:rStyle w:val="19"/>
                <w:rFonts w:hint="eastAsia"/>
                <w:lang w:val="en-US" w:eastAsia="zh-CN" w:bidi="ar"/>
              </w:rPr>
              <w:t>...若自T日起，香港证券交易所正常交易日已达20日而该部分证券的正常交易日低于1日，则以替代金额与所购入的部分被替代证券的实际购入成本加上按照最近一次收盘价计算的未购入的部分被替代证券价值的差额（</w:t>
            </w:r>
            <w:r>
              <w:rPr>
                <w:rStyle w:val="19"/>
                <w:rFonts w:hint="eastAsia"/>
                <w:b/>
                <w:bCs/>
                <w:strike/>
                <w:dstrike w:val="0"/>
                <w:lang w:val="en-US" w:eastAsia="zh-CN" w:bidi="ar"/>
              </w:rPr>
              <w:t>折算为人民币，折算汇率采用当天的估值汇率</w:t>
            </w:r>
            <w:r>
              <w:rPr>
                <w:rStyle w:val="19"/>
                <w:rFonts w:hint="eastAsia"/>
                <w:lang w:val="en-US" w:eastAsia="zh-CN" w:bidi="ar"/>
              </w:rPr>
              <w:t>），确定基金应退还投资人或投资人应补交的款项。...</w:t>
            </w:r>
          </w:p>
          <w:p w14:paraId="44A3CFD1">
            <w:pPr>
              <w:keepNext w:val="0"/>
              <w:keepLines w:val="0"/>
              <w:widowControl/>
              <w:suppressLineNumbers w:val="0"/>
              <w:jc w:val="left"/>
              <w:rPr>
                <w:rStyle w:val="19"/>
                <w:rFonts w:hint="eastAsia"/>
                <w:lang w:val="en-US" w:eastAsia="zh-CN" w:bidi="ar"/>
              </w:rPr>
            </w:pPr>
          </w:p>
          <w:p w14:paraId="70DAFCA8">
            <w:pPr>
              <w:keepNext w:val="0"/>
              <w:keepLines w:val="0"/>
              <w:widowControl/>
              <w:suppressLineNumbers w:val="0"/>
              <w:jc w:val="left"/>
              <w:rPr>
                <w:rStyle w:val="19"/>
                <w:rFonts w:hint="eastAsia"/>
                <w:lang w:val="en-US" w:eastAsia="zh-CN" w:bidi="ar"/>
              </w:rPr>
            </w:pPr>
          </w:p>
          <w:p w14:paraId="356DE4E8">
            <w:pPr>
              <w:keepNext w:val="0"/>
              <w:keepLines w:val="0"/>
              <w:widowControl/>
              <w:suppressLineNumbers w:val="0"/>
              <w:jc w:val="left"/>
              <w:rPr>
                <w:rStyle w:val="19"/>
                <w:rFonts w:hint="eastAsia"/>
                <w:lang w:val="en-US" w:eastAsia="zh-CN" w:bidi="ar"/>
              </w:rPr>
            </w:pPr>
          </w:p>
          <w:p w14:paraId="758EDDF2">
            <w:pPr>
              <w:keepNext w:val="0"/>
              <w:keepLines w:val="0"/>
              <w:widowControl/>
              <w:suppressLineNumbers w:val="0"/>
              <w:jc w:val="left"/>
              <w:rPr>
                <w:rStyle w:val="19"/>
                <w:rFonts w:hint="eastAsia"/>
                <w:lang w:val="en-US" w:eastAsia="zh-CN" w:bidi="ar"/>
              </w:rPr>
            </w:pPr>
          </w:p>
          <w:p w14:paraId="43A1E924">
            <w:pPr>
              <w:keepNext w:val="0"/>
              <w:keepLines w:val="0"/>
              <w:widowControl/>
              <w:suppressLineNumbers w:val="0"/>
              <w:jc w:val="left"/>
              <w:rPr>
                <w:rStyle w:val="19"/>
                <w:rFonts w:hint="eastAsia"/>
                <w:lang w:val="en-US" w:eastAsia="zh-CN" w:bidi="ar"/>
              </w:rPr>
            </w:pPr>
          </w:p>
          <w:p w14:paraId="599368EE">
            <w:pPr>
              <w:keepNext w:val="0"/>
              <w:keepLines w:val="0"/>
              <w:widowControl/>
              <w:suppressLineNumbers w:val="0"/>
              <w:jc w:val="left"/>
              <w:rPr>
                <w:rStyle w:val="19"/>
                <w:rFonts w:hint="eastAsia"/>
                <w:lang w:val="en-US" w:eastAsia="zh-CN" w:bidi="ar"/>
              </w:rPr>
            </w:pPr>
          </w:p>
          <w:p w14:paraId="71E896F4">
            <w:pPr>
              <w:keepNext w:val="0"/>
              <w:keepLines w:val="0"/>
              <w:widowControl/>
              <w:suppressLineNumbers w:val="0"/>
              <w:jc w:val="left"/>
              <w:rPr>
                <w:rStyle w:val="19"/>
                <w:rFonts w:hint="eastAsia"/>
                <w:lang w:val="en-US" w:eastAsia="zh-CN" w:bidi="ar"/>
              </w:rPr>
            </w:pPr>
            <w:r>
              <w:rPr>
                <w:rStyle w:val="19"/>
                <w:rFonts w:hint="eastAsia"/>
                <w:lang w:val="en-US" w:eastAsia="zh-CN" w:bidi="ar"/>
              </w:rPr>
              <w:t>4）赎回替代金额的处理程序</w:t>
            </w:r>
          </w:p>
          <w:p w14:paraId="4C007B16">
            <w:pPr>
              <w:keepNext w:val="0"/>
              <w:keepLines w:val="0"/>
              <w:widowControl/>
              <w:suppressLineNumbers w:val="0"/>
              <w:jc w:val="left"/>
              <w:rPr>
                <w:rStyle w:val="19"/>
                <w:rFonts w:hint="eastAsia"/>
                <w:lang w:val="en-US" w:eastAsia="zh-CN" w:bidi="ar"/>
              </w:rPr>
            </w:pPr>
            <w:r>
              <w:rPr>
                <w:rStyle w:val="19"/>
                <w:rFonts w:hint="eastAsia"/>
                <w:lang w:val="en-US" w:eastAsia="zh-CN" w:bidi="ar"/>
              </w:rPr>
              <w:t>...T日日终，基金管理人根据所卖出的被替代证券的实际单位卖出金额（扣除相关费用）和未卖出的被替代证券的T日收盘价（</w:t>
            </w:r>
            <w:r>
              <w:rPr>
                <w:rStyle w:val="19"/>
                <w:rFonts w:hint="eastAsia"/>
                <w:b/>
                <w:bCs/>
                <w:strike/>
                <w:dstrike w:val="0"/>
                <w:lang w:val="en-US" w:eastAsia="zh-CN" w:bidi="ar"/>
              </w:rPr>
              <w:t>折算为人民币，折算汇率采用当天的估值汇率；被替代证券T日（指开放日）在证券交易所无交易的，取最近交易日的收盘价</w:t>
            </w:r>
            <w:r>
              <w:rPr>
                <w:rStyle w:val="19"/>
                <w:rFonts w:hint="eastAsia"/>
                <w:lang w:val="en-US" w:eastAsia="zh-CN" w:bidi="ar"/>
              </w:rPr>
              <w:t>）计算被替代证券的单位结算金额，在此基础上根据替代证券数量确定赎回替代金额。在此期间若该部分证券发生除息、送股（转增）、配股等重要权益变动，则进行相应调整。...</w:t>
            </w:r>
          </w:p>
          <w:p w14:paraId="1DF57A54">
            <w:pPr>
              <w:keepNext w:val="0"/>
              <w:keepLines w:val="0"/>
              <w:widowControl/>
              <w:suppressLineNumbers w:val="0"/>
              <w:jc w:val="left"/>
              <w:rPr>
                <w:rStyle w:val="19"/>
                <w:rFonts w:hint="eastAsia"/>
                <w:lang w:val="en-US" w:eastAsia="zh-CN" w:bidi="ar"/>
              </w:rPr>
            </w:pPr>
          </w:p>
          <w:p w14:paraId="27A72EEA">
            <w:pPr>
              <w:keepNext w:val="0"/>
              <w:keepLines w:val="0"/>
              <w:widowControl/>
              <w:suppressLineNumbers w:val="0"/>
              <w:jc w:val="left"/>
              <w:rPr>
                <w:rStyle w:val="19"/>
                <w:rFonts w:hint="eastAsia"/>
                <w:lang w:val="en-US" w:eastAsia="zh-CN" w:bidi="ar"/>
              </w:rPr>
            </w:pPr>
          </w:p>
          <w:p w14:paraId="03ADFCFA">
            <w:pPr>
              <w:keepNext w:val="0"/>
              <w:keepLines w:val="0"/>
              <w:widowControl/>
              <w:suppressLineNumbers w:val="0"/>
              <w:jc w:val="left"/>
              <w:rPr>
                <w:rStyle w:val="19"/>
                <w:rFonts w:hint="eastAsia"/>
                <w:lang w:val="en-US" w:eastAsia="zh-CN" w:bidi="ar"/>
              </w:rPr>
            </w:pPr>
          </w:p>
          <w:p w14:paraId="558E6FDC">
            <w:pPr>
              <w:keepNext w:val="0"/>
              <w:keepLines w:val="0"/>
              <w:widowControl/>
              <w:suppressLineNumbers w:val="0"/>
              <w:jc w:val="left"/>
              <w:rPr>
                <w:rStyle w:val="19"/>
                <w:rFonts w:hint="eastAsia"/>
                <w:lang w:val="en-US" w:eastAsia="zh-CN" w:bidi="ar"/>
              </w:rPr>
            </w:pPr>
          </w:p>
          <w:p w14:paraId="6C8935E3">
            <w:pPr>
              <w:keepNext w:val="0"/>
              <w:keepLines w:val="0"/>
              <w:widowControl/>
              <w:suppressLineNumbers w:val="0"/>
              <w:jc w:val="left"/>
              <w:rPr>
                <w:rStyle w:val="19"/>
                <w:rFonts w:hint="eastAsia"/>
                <w:lang w:val="en-US" w:eastAsia="zh-CN" w:bidi="ar"/>
              </w:rPr>
            </w:pPr>
          </w:p>
          <w:p w14:paraId="054136BC">
            <w:pPr>
              <w:keepNext w:val="0"/>
              <w:keepLines w:val="0"/>
              <w:widowControl/>
              <w:suppressLineNumbers w:val="0"/>
              <w:jc w:val="left"/>
              <w:rPr>
                <w:rStyle w:val="19"/>
                <w:rFonts w:hint="eastAsia"/>
                <w:lang w:val="en-US" w:eastAsia="zh-CN" w:bidi="ar"/>
              </w:rPr>
            </w:pPr>
          </w:p>
          <w:p w14:paraId="24817DB2">
            <w:pPr>
              <w:keepNext w:val="0"/>
              <w:keepLines w:val="0"/>
              <w:widowControl/>
              <w:suppressLineNumbers w:val="0"/>
              <w:jc w:val="left"/>
              <w:rPr>
                <w:rStyle w:val="19"/>
                <w:rFonts w:hint="eastAsia"/>
                <w:lang w:val="en-US" w:eastAsia="zh-CN" w:bidi="ar"/>
              </w:rPr>
            </w:pPr>
            <w:r>
              <w:rPr>
                <w:rStyle w:val="19"/>
                <w:rFonts w:hint="eastAsia"/>
                <w:lang w:val="en-US" w:eastAsia="zh-CN" w:bidi="ar"/>
              </w:rPr>
              <w:t>...若自T日起，香港证券交易所正常交易日已达20日而该部分证券的正常交易日低于1日，则以被替代证券卖出部分的实际卖出金额加上按照最近一日收盘价计算的未卖出部分被替代证券价值（</w:t>
            </w:r>
            <w:r>
              <w:rPr>
                <w:rStyle w:val="19"/>
                <w:rFonts w:hint="eastAsia"/>
                <w:b/>
                <w:bCs/>
                <w:strike/>
                <w:dstrike w:val="0"/>
                <w:lang w:val="en-US" w:eastAsia="zh-CN" w:bidi="ar"/>
              </w:rPr>
              <w:t>折算为人民币，折算汇率采用当天的估值汇率</w:t>
            </w:r>
            <w:r>
              <w:rPr>
                <w:rStyle w:val="19"/>
                <w:rFonts w:hint="eastAsia"/>
                <w:lang w:val="en-US" w:eastAsia="zh-CN" w:bidi="ar"/>
              </w:rPr>
              <w:t>），确定基金应退还投资人的款项。</w:t>
            </w:r>
          </w:p>
        </w:tc>
        <w:tc>
          <w:tcPr>
            <w:tcW w:w="3700" w:type="dxa"/>
            <w:vAlign w:val="top"/>
          </w:tcPr>
          <w:p w14:paraId="09E212B2">
            <w:pPr>
              <w:keepNext w:val="0"/>
              <w:keepLines w:val="0"/>
              <w:widowControl/>
              <w:suppressLineNumbers w:val="0"/>
              <w:jc w:val="left"/>
              <w:rPr>
                <w:rStyle w:val="19"/>
                <w:rFonts w:hint="eastAsia"/>
                <w:lang w:val="en-US" w:eastAsia="zh-CN" w:bidi="ar"/>
              </w:rPr>
            </w:pPr>
            <w:r>
              <w:rPr>
                <w:rStyle w:val="19"/>
                <w:rFonts w:hint="eastAsia"/>
                <w:lang w:val="en-US" w:eastAsia="zh-CN" w:bidi="ar"/>
              </w:rPr>
              <w:t>七、申购赎回清单的内容与格式</w:t>
            </w:r>
          </w:p>
          <w:p w14:paraId="58BB0938">
            <w:pPr>
              <w:keepNext w:val="0"/>
              <w:keepLines w:val="0"/>
              <w:widowControl/>
              <w:suppressLineNumbers w:val="0"/>
              <w:jc w:val="left"/>
              <w:rPr>
                <w:rStyle w:val="19"/>
                <w:rFonts w:hint="eastAsia"/>
                <w:lang w:val="en-US" w:eastAsia="zh-CN" w:bidi="ar"/>
              </w:rPr>
            </w:pPr>
            <w:r>
              <w:rPr>
                <w:rStyle w:val="19"/>
                <w:rFonts w:hint="eastAsia"/>
                <w:lang w:val="en-US" w:eastAsia="zh-CN" w:bidi="ar"/>
              </w:rPr>
              <w:t>4、现金替代相关内容</w:t>
            </w:r>
          </w:p>
          <w:p w14:paraId="1E76A84F">
            <w:pPr>
              <w:keepNext w:val="0"/>
              <w:keepLines w:val="0"/>
              <w:widowControl/>
              <w:suppressLineNumbers w:val="0"/>
              <w:jc w:val="left"/>
              <w:rPr>
                <w:rStyle w:val="19"/>
                <w:rFonts w:hint="eastAsia"/>
                <w:lang w:val="en-US" w:eastAsia="zh-CN" w:bidi="ar"/>
              </w:rPr>
            </w:pPr>
            <w:r>
              <w:rPr>
                <w:rStyle w:val="19"/>
                <w:rFonts w:hint="eastAsia"/>
                <w:lang w:val="en-US" w:eastAsia="zh-CN" w:bidi="ar"/>
              </w:rPr>
              <w:t>3）申购替代金额的处理程序</w:t>
            </w:r>
          </w:p>
          <w:p w14:paraId="57261CDA">
            <w:pPr>
              <w:keepNext w:val="0"/>
              <w:keepLines w:val="0"/>
              <w:widowControl/>
              <w:suppressLineNumbers w:val="0"/>
              <w:jc w:val="left"/>
              <w:rPr>
                <w:rStyle w:val="19"/>
                <w:rFonts w:hint="eastAsia"/>
                <w:lang w:val="en-US" w:eastAsia="zh-CN" w:bidi="ar"/>
              </w:rPr>
            </w:pPr>
            <w:r>
              <w:rPr>
                <w:rStyle w:val="19"/>
                <w:rFonts w:hint="eastAsia"/>
                <w:lang w:val="en-US" w:eastAsia="zh-CN" w:bidi="ar"/>
              </w:rPr>
              <w:t>...T日日终，基金管理人根据所购入的被替代证券的实际单位购入成本（包括买入价格与相关费用）和未买入的被替代证券的T日收盘价（</w:t>
            </w:r>
            <w:r>
              <w:rPr>
                <w:rStyle w:val="19"/>
                <w:rFonts w:hint="eastAsia"/>
                <w:b/>
                <w:bCs/>
                <w:lang w:val="en-US" w:eastAsia="zh-CN" w:bidi="ar"/>
              </w:rPr>
              <w:t>折算为人民币，折算汇率包括但不限于中国外汇交易中心公布的北京时间16:00主要货币兑人民币参考汇率、中国人民银行或其授权机构最新公布的人民币汇率中间价、与基金托管人商定的其他公允价格等；被替代组合证券T日（指开放日）无交易的，取最近交易日的收盘价</w:t>
            </w:r>
            <w:r>
              <w:rPr>
                <w:rStyle w:val="19"/>
                <w:rFonts w:hint="eastAsia"/>
                <w:lang w:val="en-US" w:eastAsia="zh-CN" w:bidi="ar"/>
              </w:rPr>
              <w:t>）计算被替代证券的单位结算成本，在此基础上根据替代证券数量和申购现金替代保证金确定基金应退还投资者或投资者应补交的款项。...</w:t>
            </w:r>
          </w:p>
          <w:p w14:paraId="72C72047">
            <w:pPr>
              <w:keepNext w:val="0"/>
              <w:keepLines w:val="0"/>
              <w:widowControl/>
              <w:suppressLineNumbers w:val="0"/>
              <w:jc w:val="left"/>
              <w:rPr>
                <w:rStyle w:val="19"/>
                <w:rFonts w:hint="eastAsia"/>
                <w:lang w:val="en-US" w:eastAsia="zh-CN" w:bidi="ar"/>
              </w:rPr>
            </w:pPr>
          </w:p>
          <w:p w14:paraId="5D99FCB2">
            <w:pPr>
              <w:keepNext w:val="0"/>
              <w:keepLines w:val="0"/>
              <w:widowControl/>
              <w:suppressLineNumbers w:val="0"/>
              <w:jc w:val="left"/>
              <w:rPr>
                <w:rStyle w:val="19"/>
                <w:rFonts w:hint="eastAsia"/>
                <w:lang w:val="en-US" w:eastAsia="zh-CN" w:bidi="ar"/>
              </w:rPr>
            </w:pPr>
            <w:r>
              <w:rPr>
                <w:rStyle w:val="19"/>
                <w:rFonts w:hint="eastAsia"/>
                <w:lang w:val="en-US" w:eastAsia="zh-CN" w:bidi="ar"/>
              </w:rPr>
              <w:t>...若自T日起，香港证券交易所正常交易日已达20日而该部分证券的正常交易日低于1日，则以替代金额与所购入的部分被替代证券的实际购入成本加上按照最近一次收盘价计算的未购入的部分被替代证券价值的差额（</w:t>
            </w:r>
            <w:r>
              <w:rPr>
                <w:rStyle w:val="19"/>
                <w:rFonts w:hint="eastAsia"/>
                <w:b/>
                <w:bCs/>
                <w:lang w:val="en-US" w:eastAsia="zh-CN" w:bidi="ar"/>
              </w:rPr>
              <w:t>折算为人民币，折算汇率包括但不限于中国外汇交易中心公布的北京时间16:00主要货币兑人民币参考汇率、中国人民银行或其授权机构最新公布的人民币汇率中间价、与基金托管人商定的其他公允价格等</w:t>
            </w:r>
            <w:r>
              <w:rPr>
                <w:rStyle w:val="19"/>
                <w:rFonts w:hint="eastAsia"/>
                <w:lang w:val="en-US" w:eastAsia="zh-CN" w:bidi="ar"/>
              </w:rPr>
              <w:t>），确定基金应退还投资人或投资人应补交的款项。...</w:t>
            </w:r>
          </w:p>
          <w:p w14:paraId="7CBE8283">
            <w:pPr>
              <w:keepNext w:val="0"/>
              <w:keepLines w:val="0"/>
              <w:widowControl/>
              <w:suppressLineNumbers w:val="0"/>
              <w:jc w:val="left"/>
              <w:rPr>
                <w:rStyle w:val="19"/>
                <w:rFonts w:hint="eastAsia"/>
                <w:lang w:val="en-US" w:eastAsia="zh-CN" w:bidi="ar"/>
              </w:rPr>
            </w:pPr>
          </w:p>
          <w:p w14:paraId="7AB7FC64">
            <w:pPr>
              <w:keepNext w:val="0"/>
              <w:keepLines w:val="0"/>
              <w:widowControl/>
              <w:suppressLineNumbers w:val="0"/>
              <w:jc w:val="left"/>
              <w:rPr>
                <w:rStyle w:val="19"/>
                <w:rFonts w:hint="eastAsia"/>
                <w:lang w:val="en-US" w:eastAsia="zh-CN" w:bidi="ar"/>
              </w:rPr>
            </w:pPr>
            <w:r>
              <w:rPr>
                <w:rStyle w:val="19"/>
                <w:rFonts w:hint="eastAsia"/>
                <w:lang w:val="en-US" w:eastAsia="zh-CN" w:bidi="ar"/>
              </w:rPr>
              <w:t>4）赎回替代金额的处理程序</w:t>
            </w:r>
          </w:p>
          <w:p w14:paraId="4DFFC609">
            <w:pPr>
              <w:keepNext w:val="0"/>
              <w:keepLines w:val="0"/>
              <w:widowControl/>
              <w:suppressLineNumbers w:val="0"/>
              <w:jc w:val="left"/>
              <w:rPr>
                <w:rStyle w:val="19"/>
                <w:rFonts w:hint="eastAsia"/>
                <w:lang w:val="en-US" w:eastAsia="zh-CN" w:bidi="ar"/>
              </w:rPr>
            </w:pPr>
            <w:r>
              <w:rPr>
                <w:rStyle w:val="19"/>
                <w:rFonts w:hint="eastAsia"/>
                <w:lang w:val="en-US" w:eastAsia="zh-CN" w:bidi="ar"/>
              </w:rPr>
              <w:t>...T日日终，基金管理人根据所卖出的被替代证券的实际单位卖出金额（扣除相关费用）和未卖出的被替代证券的T日收盘价（</w:t>
            </w:r>
            <w:r>
              <w:rPr>
                <w:rStyle w:val="19"/>
                <w:rFonts w:hint="eastAsia"/>
                <w:b/>
                <w:bCs/>
                <w:lang w:val="en-US" w:eastAsia="zh-CN" w:bidi="ar"/>
              </w:rPr>
              <w:t>折算为人民币，折算汇率包括但不限于中国外汇交易中心公布的北京时间16:00主要货币兑人民币参考汇率、中国人民银行或其授权机构最新公布的人民币汇率中间价、与基金托管人商定的其他公允价格等；被替代组合证券T日（指开放日）无交易的，取最近交易日的收盘价</w:t>
            </w:r>
            <w:r>
              <w:rPr>
                <w:rStyle w:val="19"/>
                <w:rFonts w:hint="eastAsia"/>
                <w:lang w:val="en-US" w:eastAsia="zh-CN" w:bidi="ar"/>
              </w:rPr>
              <w:t>）计算被替代证券的单位结算金额，在此基础上根据替代证券数量确定赎回替代金额。在此期间若该部分证券发生除息、送股（转增）、配股等重要权益变动，则进行相应调整。...</w:t>
            </w:r>
          </w:p>
          <w:p w14:paraId="456BAA5D">
            <w:pPr>
              <w:keepNext w:val="0"/>
              <w:keepLines w:val="0"/>
              <w:widowControl/>
              <w:suppressLineNumbers w:val="0"/>
              <w:jc w:val="left"/>
              <w:rPr>
                <w:rStyle w:val="19"/>
                <w:rFonts w:hint="eastAsia"/>
                <w:lang w:val="en-US" w:eastAsia="zh-CN" w:bidi="ar"/>
              </w:rPr>
            </w:pPr>
          </w:p>
          <w:p w14:paraId="47BA5C56">
            <w:pPr>
              <w:keepNext w:val="0"/>
              <w:keepLines w:val="0"/>
              <w:widowControl/>
              <w:suppressLineNumbers w:val="0"/>
              <w:jc w:val="left"/>
              <w:rPr>
                <w:rFonts w:ascii="Times New Roman" w:hAnsi="Times New Roman" w:eastAsia="宋体" w:cs="Times New Roman"/>
                <w:szCs w:val="20"/>
              </w:rPr>
            </w:pPr>
            <w:r>
              <w:rPr>
                <w:rStyle w:val="19"/>
                <w:rFonts w:hint="eastAsia"/>
                <w:lang w:val="en-US" w:eastAsia="zh-CN" w:bidi="ar"/>
              </w:rPr>
              <w:t>...若自T日起，香港证券交易所正常交易日已达20日而该部分证券的正常交易日低于1日，则以被替代证券卖出部分的实际卖出金额加上按照最近一日收盘价计算的未卖出部分被替代证券价值（</w:t>
            </w:r>
            <w:r>
              <w:rPr>
                <w:rStyle w:val="19"/>
                <w:rFonts w:hint="eastAsia"/>
                <w:b/>
                <w:bCs/>
                <w:lang w:val="en-US" w:eastAsia="zh-CN" w:bidi="ar"/>
              </w:rPr>
              <w:t>折算为人民币，折算汇率包括但不限于中国外汇交易中心公布的北京时间16:00主要货币兑人民币参考汇率、中国人民银行或其授权机构最新公布的人民币汇率中间价、与基金托管人商定的其他公允价格等</w:t>
            </w:r>
            <w:r>
              <w:rPr>
                <w:rStyle w:val="19"/>
                <w:rFonts w:hint="eastAsia"/>
                <w:lang w:val="en-US" w:eastAsia="zh-CN" w:bidi="ar"/>
              </w:rPr>
              <w:t>），确定基金应退还投资人的款项。</w:t>
            </w:r>
          </w:p>
        </w:tc>
      </w:tr>
    </w:tbl>
    <w:p w14:paraId="7E6E650E">
      <w:pPr>
        <w:jc w:val="both"/>
        <w:rPr>
          <w:rFonts w:hint="eastAsia" w:ascii="宋体" w:hAnsi="宋体" w:eastAsia="宋体" w:cs="宋体"/>
          <w:szCs w:val="21"/>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93424037"/>
    </w:sdtPr>
    <w:sdtContent>
      <w:p w14:paraId="4DB9502A">
        <w:pPr>
          <w:pStyle w:val="4"/>
          <w:jc w:val="center"/>
        </w:pPr>
        <w:r>
          <w:fldChar w:fldCharType="begin"/>
        </w:r>
        <w:r>
          <w:instrText xml:space="preserve">PAGE   \* MERGEFORMAT</w:instrText>
        </w:r>
        <w:r>
          <w:fldChar w:fldCharType="separate"/>
        </w:r>
        <w:r>
          <w:rPr>
            <w:lang w:val="zh-CN"/>
          </w:rPr>
          <w:t>3</w:t>
        </w:r>
        <w:r>
          <w:fldChar w:fldCharType="end"/>
        </w:r>
      </w:p>
    </w:sdtContent>
  </w:sdt>
  <w:p w14:paraId="6BFEE32E">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C9C518"/>
    <w:multiLevelType w:val="singleLevel"/>
    <w:tmpl w:val="F7C9C51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9CA"/>
    <w:rsid w:val="00006E94"/>
    <w:rsid w:val="0000720C"/>
    <w:rsid w:val="0002269A"/>
    <w:rsid w:val="000416A0"/>
    <w:rsid w:val="000936A8"/>
    <w:rsid w:val="000A0C0B"/>
    <w:rsid w:val="000C09CA"/>
    <w:rsid w:val="000F33C9"/>
    <w:rsid w:val="000F3F02"/>
    <w:rsid w:val="00100E96"/>
    <w:rsid w:val="001016D9"/>
    <w:rsid w:val="00106B19"/>
    <w:rsid w:val="00121F3C"/>
    <w:rsid w:val="00156423"/>
    <w:rsid w:val="00187839"/>
    <w:rsid w:val="001C7911"/>
    <w:rsid w:val="001D45B7"/>
    <w:rsid w:val="001D6E38"/>
    <w:rsid w:val="001F376F"/>
    <w:rsid w:val="001F5E10"/>
    <w:rsid w:val="002014E5"/>
    <w:rsid w:val="0020788F"/>
    <w:rsid w:val="00211EBB"/>
    <w:rsid w:val="00247E86"/>
    <w:rsid w:val="002503D1"/>
    <w:rsid w:val="00254723"/>
    <w:rsid w:val="00262D17"/>
    <w:rsid w:val="00273576"/>
    <w:rsid w:val="00285AC7"/>
    <w:rsid w:val="002912CB"/>
    <w:rsid w:val="0029321D"/>
    <w:rsid w:val="00296AAB"/>
    <w:rsid w:val="002A24B1"/>
    <w:rsid w:val="002D687C"/>
    <w:rsid w:val="002F6248"/>
    <w:rsid w:val="00302415"/>
    <w:rsid w:val="00307284"/>
    <w:rsid w:val="003212C0"/>
    <w:rsid w:val="00340EC4"/>
    <w:rsid w:val="00347900"/>
    <w:rsid w:val="00353F47"/>
    <w:rsid w:val="0037059C"/>
    <w:rsid w:val="00391360"/>
    <w:rsid w:val="003920AD"/>
    <w:rsid w:val="003A1052"/>
    <w:rsid w:val="003A5151"/>
    <w:rsid w:val="003A606F"/>
    <w:rsid w:val="003D72B7"/>
    <w:rsid w:val="00417B77"/>
    <w:rsid w:val="00417C32"/>
    <w:rsid w:val="00427C7B"/>
    <w:rsid w:val="00432693"/>
    <w:rsid w:val="00433113"/>
    <w:rsid w:val="004364EA"/>
    <w:rsid w:val="00440A4F"/>
    <w:rsid w:val="00456887"/>
    <w:rsid w:val="00467F1C"/>
    <w:rsid w:val="004829FE"/>
    <w:rsid w:val="00486D7D"/>
    <w:rsid w:val="0049317E"/>
    <w:rsid w:val="004977F4"/>
    <w:rsid w:val="004A2D4F"/>
    <w:rsid w:val="004A70FC"/>
    <w:rsid w:val="004B44F7"/>
    <w:rsid w:val="004D10E3"/>
    <w:rsid w:val="00506F90"/>
    <w:rsid w:val="00517C39"/>
    <w:rsid w:val="005367A6"/>
    <w:rsid w:val="00543C3B"/>
    <w:rsid w:val="00550A47"/>
    <w:rsid w:val="00572708"/>
    <w:rsid w:val="00591FA4"/>
    <w:rsid w:val="00596F4E"/>
    <w:rsid w:val="005B03A4"/>
    <w:rsid w:val="005B4F53"/>
    <w:rsid w:val="005C1A26"/>
    <w:rsid w:val="005C1E9E"/>
    <w:rsid w:val="005C2CDA"/>
    <w:rsid w:val="005D1B0E"/>
    <w:rsid w:val="005E41EE"/>
    <w:rsid w:val="00603E9C"/>
    <w:rsid w:val="00612BEE"/>
    <w:rsid w:val="00614B1C"/>
    <w:rsid w:val="00623369"/>
    <w:rsid w:val="0062688A"/>
    <w:rsid w:val="00647E05"/>
    <w:rsid w:val="0066092E"/>
    <w:rsid w:val="00660FFF"/>
    <w:rsid w:val="00676BB4"/>
    <w:rsid w:val="00680CE4"/>
    <w:rsid w:val="00690B92"/>
    <w:rsid w:val="006E5E9E"/>
    <w:rsid w:val="00701ABA"/>
    <w:rsid w:val="00714FDC"/>
    <w:rsid w:val="0075580D"/>
    <w:rsid w:val="00760FD7"/>
    <w:rsid w:val="00780767"/>
    <w:rsid w:val="00783D16"/>
    <w:rsid w:val="007A6B2A"/>
    <w:rsid w:val="007B4A6D"/>
    <w:rsid w:val="007B7FB8"/>
    <w:rsid w:val="007C53B5"/>
    <w:rsid w:val="007D4F8E"/>
    <w:rsid w:val="007D789B"/>
    <w:rsid w:val="007E1C33"/>
    <w:rsid w:val="007E6F12"/>
    <w:rsid w:val="008034E7"/>
    <w:rsid w:val="00812DCE"/>
    <w:rsid w:val="00821325"/>
    <w:rsid w:val="00824ECE"/>
    <w:rsid w:val="0082562C"/>
    <w:rsid w:val="00837BE4"/>
    <w:rsid w:val="008457E1"/>
    <w:rsid w:val="00855611"/>
    <w:rsid w:val="00856DCC"/>
    <w:rsid w:val="00873ECB"/>
    <w:rsid w:val="008923DB"/>
    <w:rsid w:val="008A7A33"/>
    <w:rsid w:val="008B2FC9"/>
    <w:rsid w:val="008C2B4A"/>
    <w:rsid w:val="008E7F50"/>
    <w:rsid w:val="008F0E1A"/>
    <w:rsid w:val="008F6508"/>
    <w:rsid w:val="0090109E"/>
    <w:rsid w:val="009010BF"/>
    <w:rsid w:val="009069A5"/>
    <w:rsid w:val="00913275"/>
    <w:rsid w:val="00924555"/>
    <w:rsid w:val="00937510"/>
    <w:rsid w:val="00937C85"/>
    <w:rsid w:val="00941977"/>
    <w:rsid w:val="00957173"/>
    <w:rsid w:val="0097230D"/>
    <w:rsid w:val="009771A5"/>
    <w:rsid w:val="00985C4C"/>
    <w:rsid w:val="00990CB6"/>
    <w:rsid w:val="009A6E7B"/>
    <w:rsid w:val="009B05D9"/>
    <w:rsid w:val="009B4FC8"/>
    <w:rsid w:val="009C2A17"/>
    <w:rsid w:val="009D6F22"/>
    <w:rsid w:val="009D7CEB"/>
    <w:rsid w:val="009F7689"/>
    <w:rsid w:val="00A073F0"/>
    <w:rsid w:val="00A21DBC"/>
    <w:rsid w:val="00A27043"/>
    <w:rsid w:val="00A35A66"/>
    <w:rsid w:val="00A508F2"/>
    <w:rsid w:val="00A573BA"/>
    <w:rsid w:val="00A7157F"/>
    <w:rsid w:val="00A74D3E"/>
    <w:rsid w:val="00A76113"/>
    <w:rsid w:val="00A76AE7"/>
    <w:rsid w:val="00A93581"/>
    <w:rsid w:val="00A960C8"/>
    <w:rsid w:val="00AA480D"/>
    <w:rsid w:val="00AC3617"/>
    <w:rsid w:val="00AD23F3"/>
    <w:rsid w:val="00AF028B"/>
    <w:rsid w:val="00B06648"/>
    <w:rsid w:val="00B225EA"/>
    <w:rsid w:val="00B337FA"/>
    <w:rsid w:val="00B44778"/>
    <w:rsid w:val="00B47D4B"/>
    <w:rsid w:val="00B5443E"/>
    <w:rsid w:val="00B647E5"/>
    <w:rsid w:val="00B66CA3"/>
    <w:rsid w:val="00B85540"/>
    <w:rsid w:val="00BA2966"/>
    <w:rsid w:val="00BA7304"/>
    <w:rsid w:val="00BB1839"/>
    <w:rsid w:val="00BB73CC"/>
    <w:rsid w:val="00BF09F7"/>
    <w:rsid w:val="00C111B4"/>
    <w:rsid w:val="00C11661"/>
    <w:rsid w:val="00C1485B"/>
    <w:rsid w:val="00C16D78"/>
    <w:rsid w:val="00C242AB"/>
    <w:rsid w:val="00C26DF5"/>
    <w:rsid w:val="00C54BB7"/>
    <w:rsid w:val="00C56F4D"/>
    <w:rsid w:val="00C57748"/>
    <w:rsid w:val="00C64F8F"/>
    <w:rsid w:val="00C7109F"/>
    <w:rsid w:val="00C76A6F"/>
    <w:rsid w:val="00C85BD4"/>
    <w:rsid w:val="00C86975"/>
    <w:rsid w:val="00CA74DC"/>
    <w:rsid w:val="00CA7DCA"/>
    <w:rsid w:val="00CC5FFA"/>
    <w:rsid w:val="00CD5888"/>
    <w:rsid w:val="00CE7732"/>
    <w:rsid w:val="00CE7C61"/>
    <w:rsid w:val="00D019D0"/>
    <w:rsid w:val="00D2351D"/>
    <w:rsid w:val="00D54219"/>
    <w:rsid w:val="00D66C38"/>
    <w:rsid w:val="00D8377B"/>
    <w:rsid w:val="00D847A7"/>
    <w:rsid w:val="00D866D2"/>
    <w:rsid w:val="00DF29F7"/>
    <w:rsid w:val="00E00719"/>
    <w:rsid w:val="00E05F5B"/>
    <w:rsid w:val="00E10401"/>
    <w:rsid w:val="00E2368F"/>
    <w:rsid w:val="00E348E2"/>
    <w:rsid w:val="00E34A7F"/>
    <w:rsid w:val="00E649DC"/>
    <w:rsid w:val="00E836EC"/>
    <w:rsid w:val="00E907C3"/>
    <w:rsid w:val="00EA6DE0"/>
    <w:rsid w:val="00ED2B2E"/>
    <w:rsid w:val="00ED4F0F"/>
    <w:rsid w:val="00EE3B85"/>
    <w:rsid w:val="00EE4DEA"/>
    <w:rsid w:val="00F047EB"/>
    <w:rsid w:val="00F07B5C"/>
    <w:rsid w:val="00F52062"/>
    <w:rsid w:val="00F5612E"/>
    <w:rsid w:val="00F667E4"/>
    <w:rsid w:val="00F7266F"/>
    <w:rsid w:val="00F8241E"/>
    <w:rsid w:val="00F91725"/>
    <w:rsid w:val="00F919C9"/>
    <w:rsid w:val="00F948C8"/>
    <w:rsid w:val="00FA1EA6"/>
    <w:rsid w:val="00FB27B8"/>
    <w:rsid w:val="00FB291A"/>
    <w:rsid w:val="02C16911"/>
    <w:rsid w:val="037D4AC6"/>
    <w:rsid w:val="03CF3F66"/>
    <w:rsid w:val="04F27EAB"/>
    <w:rsid w:val="06F44178"/>
    <w:rsid w:val="0763442C"/>
    <w:rsid w:val="089D3FDB"/>
    <w:rsid w:val="08A54332"/>
    <w:rsid w:val="08D87738"/>
    <w:rsid w:val="0A5E7D79"/>
    <w:rsid w:val="0C042A76"/>
    <w:rsid w:val="0C4D233B"/>
    <w:rsid w:val="0C691C6B"/>
    <w:rsid w:val="0F4F61AB"/>
    <w:rsid w:val="0F7A0C10"/>
    <w:rsid w:val="10196EF9"/>
    <w:rsid w:val="10AA08EC"/>
    <w:rsid w:val="112C7CBB"/>
    <w:rsid w:val="14846AB8"/>
    <w:rsid w:val="14C3401F"/>
    <w:rsid w:val="14F15E1C"/>
    <w:rsid w:val="167D14CF"/>
    <w:rsid w:val="16C16063"/>
    <w:rsid w:val="16CA3A66"/>
    <w:rsid w:val="176F167E"/>
    <w:rsid w:val="183C777B"/>
    <w:rsid w:val="19ED4F15"/>
    <w:rsid w:val="1BAD2CF8"/>
    <w:rsid w:val="1C6411A2"/>
    <w:rsid w:val="1CB908AC"/>
    <w:rsid w:val="1D1744C9"/>
    <w:rsid w:val="1DB02566"/>
    <w:rsid w:val="1E464BBA"/>
    <w:rsid w:val="1E52514A"/>
    <w:rsid w:val="210C6647"/>
    <w:rsid w:val="214A06AB"/>
    <w:rsid w:val="222C0C9D"/>
    <w:rsid w:val="229D2256"/>
    <w:rsid w:val="24024244"/>
    <w:rsid w:val="24383F19"/>
    <w:rsid w:val="24C6441A"/>
    <w:rsid w:val="25FA0AA4"/>
    <w:rsid w:val="27B9502E"/>
    <w:rsid w:val="287326EC"/>
    <w:rsid w:val="28896A8E"/>
    <w:rsid w:val="29672BF9"/>
    <w:rsid w:val="29C7779A"/>
    <w:rsid w:val="29FD21F3"/>
    <w:rsid w:val="2A762DB6"/>
    <w:rsid w:val="2B6B6E65"/>
    <w:rsid w:val="2D824FB8"/>
    <w:rsid w:val="2F6354CD"/>
    <w:rsid w:val="310835C4"/>
    <w:rsid w:val="32C04E80"/>
    <w:rsid w:val="359E5308"/>
    <w:rsid w:val="362167DA"/>
    <w:rsid w:val="36767569"/>
    <w:rsid w:val="379579C1"/>
    <w:rsid w:val="380F6006"/>
    <w:rsid w:val="3843357E"/>
    <w:rsid w:val="38C90CB7"/>
    <w:rsid w:val="3A453A27"/>
    <w:rsid w:val="3B2174CA"/>
    <w:rsid w:val="3C270B87"/>
    <w:rsid w:val="3C807ACE"/>
    <w:rsid w:val="3FF86E00"/>
    <w:rsid w:val="411E2466"/>
    <w:rsid w:val="429B15D2"/>
    <w:rsid w:val="432A1241"/>
    <w:rsid w:val="436F06B1"/>
    <w:rsid w:val="43AC0516"/>
    <w:rsid w:val="43B179D0"/>
    <w:rsid w:val="44D74780"/>
    <w:rsid w:val="44E66F99"/>
    <w:rsid w:val="46337C01"/>
    <w:rsid w:val="46564C11"/>
    <w:rsid w:val="46AC5600"/>
    <w:rsid w:val="49F46361"/>
    <w:rsid w:val="4A4E3578"/>
    <w:rsid w:val="4AB63EA1"/>
    <w:rsid w:val="4C3456FB"/>
    <w:rsid w:val="4C486BB6"/>
    <w:rsid w:val="4C791583"/>
    <w:rsid w:val="4DA335EF"/>
    <w:rsid w:val="4FAE10C6"/>
    <w:rsid w:val="4FD56D87"/>
    <w:rsid w:val="4FDE7696"/>
    <w:rsid w:val="504A47C7"/>
    <w:rsid w:val="51792CBB"/>
    <w:rsid w:val="518335CA"/>
    <w:rsid w:val="52906C00"/>
    <w:rsid w:val="53B434DF"/>
    <w:rsid w:val="54606BAB"/>
    <w:rsid w:val="54A156E6"/>
    <w:rsid w:val="55733F14"/>
    <w:rsid w:val="55AB4DF7"/>
    <w:rsid w:val="57916FAA"/>
    <w:rsid w:val="58A96885"/>
    <w:rsid w:val="5A086442"/>
    <w:rsid w:val="5AAA72D0"/>
    <w:rsid w:val="5B1B0888"/>
    <w:rsid w:val="5B5E0D4A"/>
    <w:rsid w:val="5B7A08A2"/>
    <w:rsid w:val="5B7D1826"/>
    <w:rsid w:val="5BDA3C8D"/>
    <w:rsid w:val="5D3E5D08"/>
    <w:rsid w:val="5E153A69"/>
    <w:rsid w:val="5FE873D0"/>
    <w:rsid w:val="626325FE"/>
    <w:rsid w:val="64362CFA"/>
    <w:rsid w:val="682B3B74"/>
    <w:rsid w:val="6863174F"/>
    <w:rsid w:val="693466AB"/>
    <w:rsid w:val="69D72936"/>
    <w:rsid w:val="6B0E29B2"/>
    <w:rsid w:val="6C157962"/>
    <w:rsid w:val="6DD72E46"/>
    <w:rsid w:val="6E352353"/>
    <w:rsid w:val="6EBF7737"/>
    <w:rsid w:val="6ECB79C6"/>
    <w:rsid w:val="70100167"/>
    <w:rsid w:val="70C85B4E"/>
    <w:rsid w:val="71C41BF9"/>
    <w:rsid w:val="76923F99"/>
    <w:rsid w:val="770E5AE1"/>
    <w:rsid w:val="77966CBE"/>
    <w:rsid w:val="779B7DB1"/>
    <w:rsid w:val="791A48BC"/>
    <w:rsid w:val="7A6413DB"/>
    <w:rsid w:val="7AD9139A"/>
    <w:rsid w:val="7B9265CA"/>
    <w:rsid w:val="7C047802"/>
    <w:rsid w:val="7CE0081C"/>
    <w:rsid w:val="7CF77196"/>
    <w:rsid w:val="7DF34AAF"/>
    <w:rsid w:val="7E0D0EDC"/>
    <w:rsid w:val="7FC405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rPr>
      <w:rFonts w:ascii="Times New Roman" w:hAnsi="Times New Roman" w:eastAsia="宋体" w:cs="Times New Roman"/>
      <w:szCs w:val="24"/>
      <w:lang w:val="zh-CN"/>
    </w:rPr>
  </w:style>
  <w:style w:type="paragraph" w:styleId="3">
    <w:name w:val="Balloon Text"/>
    <w:basedOn w:val="1"/>
    <w:link w:val="14"/>
    <w:semiHidden/>
    <w:unhideWhenUsed/>
    <w:qFormat/>
    <w:uiPriority w:val="99"/>
    <w:rPr>
      <w:sz w:val="18"/>
      <w:szCs w:val="18"/>
    </w:rPr>
  </w:style>
  <w:style w:type="paragraph" w:styleId="4">
    <w:name w:val="footer"/>
    <w:basedOn w:val="1"/>
    <w:link w:val="13"/>
    <w:unhideWhenUsed/>
    <w:qFormat/>
    <w:uiPriority w:val="99"/>
    <w:pPr>
      <w:tabs>
        <w:tab w:val="center" w:pos="4153"/>
        <w:tab w:val="right" w:pos="8306"/>
      </w:tabs>
      <w:snapToGrid w:val="0"/>
      <w:jc w:val="left"/>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7">
    <w:name w:val="annotation subject"/>
    <w:basedOn w:val="2"/>
    <w:next w:val="2"/>
    <w:link w:val="17"/>
    <w:semiHidden/>
    <w:unhideWhenUsed/>
    <w:qFormat/>
    <w:uiPriority w:val="99"/>
    <w:rPr>
      <w:rFonts w:asciiTheme="minorHAnsi" w:hAnsiTheme="minorHAnsi" w:eastAsiaTheme="minorEastAsia" w:cstheme="minorBidi"/>
      <w:b/>
      <w:bCs/>
      <w:szCs w:val="22"/>
      <w:lang w:val="en-U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眉 字符"/>
    <w:basedOn w:val="10"/>
    <w:link w:val="5"/>
    <w:qFormat/>
    <w:uiPriority w:val="99"/>
    <w:rPr>
      <w:sz w:val="18"/>
      <w:szCs w:val="18"/>
    </w:rPr>
  </w:style>
  <w:style w:type="character" w:customStyle="1" w:styleId="13">
    <w:name w:val="页脚 字符"/>
    <w:basedOn w:val="10"/>
    <w:link w:val="4"/>
    <w:qFormat/>
    <w:uiPriority w:val="99"/>
    <w:rPr>
      <w:sz w:val="18"/>
      <w:szCs w:val="18"/>
    </w:rPr>
  </w:style>
  <w:style w:type="character" w:customStyle="1" w:styleId="14">
    <w:name w:val="批注框文本 字符"/>
    <w:basedOn w:val="10"/>
    <w:link w:val="3"/>
    <w:semiHidden/>
    <w:qFormat/>
    <w:uiPriority w:val="99"/>
    <w:rPr>
      <w:sz w:val="18"/>
      <w:szCs w:val="18"/>
    </w:rPr>
  </w:style>
  <w:style w:type="paragraph" w:styleId="15">
    <w:name w:val="List Paragraph"/>
    <w:basedOn w:val="1"/>
    <w:qFormat/>
    <w:uiPriority w:val="34"/>
    <w:pPr>
      <w:ind w:firstLine="420" w:firstLineChars="200"/>
    </w:pPr>
  </w:style>
  <w:style w:type="character" w:customStyle="1" w:styleId="16">
    <w:name w:val="批注文字 字符"/>
    <w:basedOn w:val="10"/>
    <w:link w:val="2"/>
    <w:qFormat/>
    <w:uiPriority w:val="0"/>
    <w:rPr>
      <w:rFonts w:ascii="Times New Roman" w:hAnsi="Times New Roman" w:eastAsia="宋体" w:cs="Times New Roman"/>
      <w:szCs w:val="24"/>
      <w:lang w:val="zh-CN" w:eastAsia="zh-CN"/>
    </w:rPr>
  </w:style>
  <w:style w:type="character" w:customStyle="1" w:styleId="17">
    <w:name w:val="批注主题 字符"/>
    <w:basedOn w:val="16"/>
    <w:link w:val="7"/>
    <w:semiHidden/>
    <w:qFormat/>
    <w:uiPriority w:val="99"/>
    <w:rPr>
      <w:rFonts w:ascii="Times New Roman" w:hAnsi="Times New Roman" w:eastAsia="宋体" w:cs="Times New Roman"/>
      <w:b/>
      <w:bCs/>
      <w:szCs w:val="24"/>
      <w:lang w:val="zh-CN" w:eastAsia="zh-CN"/>
    </w:rPr>
  </w:style>
  <w:style w:type="character" w:customStyle="1" w:styleId="18">
    <w:name w:val="fontstyle01"/>
    <w:basedOn w:val="10"/>
    <w:qFormat/>
    <w:uiPriority w:val="0"/>
    <w:rPr>
      <w:rFonts w:ascii="宋体" w:hAnsi="宋体" w:eastAsia="宋体" w:cs="宋体"/>
      <w:color w:val="000000"/>
      <w:sz w:val="22"/>
      <w:szCs w:val="22"/>
    </w:rPr>
  </w:style>
  <w:style w:type="character" w:customStyle="1" w:styleId="19">
    <w:name w:val="fontstyle11"/>
    <w:basedOn w:val="10"/>
    <w:qFormat/>
    <w:uiPriority w:val="0"/>
    <w:rPr>
      <w:rFonts w:ascii="宋体" w:hAnsi="宋体" w:eastAsia="宋体" w:cs="宋体"/>
      <w:color w:val="000000"/>
      <w:sz w:val="22"/>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 </Company>
  <Pages>8</Pages>
  <Words>1253</Words>
  <Characters>7145</Characters>
  <Lines>59</Lines>
  <Paragraphs>16</Paragraphs>
  <TotalTime>0</TotalTime>
  <ScaleCrop>false</ScaleCrop>
  <LinksUpToDate>false</LinksUpToDate>
  <CharactersWithSpaces>8382</CharactersWithSpaces>
  <Application>WPS Office_12.8.2.19795_F1E327BC-269C-435d-A152-05C5408002CA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2022-11-10T02:30:00Z</dcterms:created>
  <dc:creator>汤玲</dc:creator>
  <cp:lastModifiedBy>钱令希</cp:lastModifiedBy>
  <dcterms:modified xsi:type="dcterms:W3CDTF">2026-05-29T08:46:26Z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6F8414BC702742AAB9E00BD121579556</vt:lpwstr>
  </property>
</Properties>
</file>