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902B4C">
      <w:pPr>
        <w:widowControl/>
        <w:shd w:val="clear" w:color="auto" w:fill="FFFFFF"/>
        <w:spacing w:before="150"/>
        <w:jc w:val="center"/>
        <w:rPr>
          <w:rFonts w:ascii="宋体" w:hAnsi="宋体" w:eastAsia="宋体" w:cs="宋体"/>
          <w:b/>
          <w:bCs/>
          <w:kern w:val="0"/>
          <w:sz w:val="29"/>
          <w:szCs w:val="29"/>
        </w:rPr>
      </w:pPr>
      <w:r>
        <w:rPr>
          <w:rFonts w:ascii="宋体" w:hAnsi="宋体" w:eastAsia="宋体" w:cs="宋体"/>
          <w:b/>
          <w:bCs/>
          <w:kern w:val="0"/>
          <w:sz w:val="29"/>
          <w:szCs w:val="29"/>
        </w:rPr>
        <w:t>博时基金管理有限公司关于</w:t>
      </w:r>
      <w:r>
        <w:rPr>
          <w:rFonts w:hint="eastAsia" w:ascii="宋体" w:hAnsi="宋体" w:eastAsia="宋体" w:cs="宋体"/>
          <w:b/>
          <w:bCs/>
          <w:kern w:val="0"/>
          <w:sz w:val="29"/>
          <w:szCs w:val="29"/>
          <w:lang w:eastAsia="zh-CN"/>
        </w:rPr>
        <w:t>博时中证全指自由现金流交易型开放式指数证券投资基金</w:t>
      </w:r>
      <w:r>
        <w:rPr>
          <w:rFonts w:hint="eastAsia" w:ascii="宋体" w:hAnsi="宋体" w:eastAsia="宋体" w:cs="宋体"/>
          <w:b/>
          <w:bCs/>
          <w:kern w:val="0"/>
          <w:sz w:val="29"/>
          <w:szCs w:val="29"/>
        </w:rPr>
        <w:t>变更场内</w:t>
      </w:r>
      <w:r>
        <w:rPr>
          <w:rFonts w:hint="eastAsia" w:ascii="宋体" w:hAnsi="宋体" w:eastAsia="宋体" w:cs="宋体"/>
          <w:b/>
          <w:bCs/>
          <w:kern w:val="0"/>
          <w:sz w:val="29"/>
          <w:szCs w:val="29"/>
          <w:lang w:eastAsia="zh-CN"/>
        </w:rPr>
        <w:t>扩位证券</w:t>
      </w:r>
      <w:r>
        <w:rPr>
          <w:rFonts w:ascii="宋体" w:hAnsi="宋体" w:eastAsia="宋体" w:cs="宋体"/>
          <w:b/>
          <w:bCs/>
          <w:kern w:val="0"/>
          <w:sz w:val="29"/>
          <w:szCs w:val="29"/>
        </w:rPr>
        <w:t>简称的公告</w:t>
      </w:r>
    </w:p>
    <w:p w14:paraId="7AC767F1">
      <w:pPr>
        <w:keepNext w:val="0"/>
        <w:keepLines w:val="0"/>
        <w:pageBreakBefore w:val="0"/>
        <w:widowControl/>
        <w:shd w:val="clear" w:color="auto" w:fill="FFFFFF"/>
        <w:kinsoku/>
        <w:wordWrap/>
        <w:overflowPunct/>
        <w:topLinePunct w:val="0"/>
        <w:autoSpaceDE/>
        <w:autoSpaceDN/>
        <w:bidi w:val="0"/>
        <w:adjustRightInd/>
        <w:snapToGrid/>
        <w:spacing w:before="240" w:line="420" w:lineRule="atLeast"/>
        <w:ind w:firstLine="420" w:firstLineChars="200"/>
        <w:textAlignment w:val="auto"/>
        <w:rPr>
          <w:rFonts w:hint="eastAsia" w:ascii="宋体" w:hAnsi="宋体" w:eastAsia="宋体" w:cs="宋体"/>
          <w:kern w:val="0"/>
          <w:szCs w:val="21"/>
          <w:lang w:eastAsia="zh-CN"/>
        </w:rPr>
      </w:pPr>
      <w:r>
        <w:rPr>
          <w:rFonts w:hint="eastAsia" w:ascii="宋体" w:hAnsi="宋体" w:eastAsia="宋体" w:cs="宋体"/>
          <w:kern w:val="0"/>
          <w:szCs w:val="21"/>
          <w:lang w:eastAsia="zh-CN"/>
        </w:rPr>
        <w:t>根据《中华人民共和国证券投资基金法》、《公开募集证券投资基金运作管理办法》、《博时中证全指自由现金流交易型开放式指数证券投资基金基金合同》（以下简称“《基金合同》”），经向上海证券交易所申请并获得同意，博时基金管理有限公司（以下简称“本公司”）决定自202</w:t>
      </w:r>
      <w:r>
        <w:rPr>
          <w:rFonts w:hint="eastAsia" w:ascii="宋体" w:hAnsi="宋体" w:eastAsia="宋体" w:cs="宋体"/>
          <w:kern w:val="0"/>
          <w:szCs w:val="21"/>
          <w:lang w:val="en-US" w:eastAsia="zh-CN"/>
        </w:rPr>
        <w:t>6</w:t>
      </w:r>
      <w:r>
        <w:rPr>
          <w:rFonts w:hint="eastAsia" w:ascii="宋体" w:hAnsi="宋体" w:eastAsia="宋体" w:cs="宋体"/>
          <w:kern w:val="0"/>
          <w:szCs w:val="21"/>
          <w:lang w:eastAsia="zh-CN"/>
        </w:rPr>
        <w:t>年</w:t>
      </w:r>
      <w:r>
        <w:rPr>
          <w:rFonts w:hint="eastAsia" w:ascii="宋体" w:hAnsi="宋体" w:eastAsia="宋体" w:cs="宋体"/>
          <w:kern w:val="0"/>
          <w:szCs w:val="21"/>
          <w:lang w:val="en-US" w:eastAsia="zh-CN"/>
        </w:rPr>
        <w:t>11</w:t>
      </w:r>
      <w:r>
        <w:rPr>
          <w:rFonts w:hint="eastAsia" w:ascii="宋体" w:hAnsi="宋体" w:eastAsia="宋体" w:cs="宋体"/>
          <w:kern w:val="0"/>
          <w:szCs w:val="21"/>
          <w:lang w:eastAsia="zh-CN"/>
        </w:rPr>
        <w:t>月</w:t>
      </w:r>
      <w:r>
        <w:rPr>
          <w:rFonts w:hint="eastAsia" w:ascii="宋体" w:hAnsi="宋体" w:eastAsia="宋体" w:cs="宋体"/>
          <w:kern w:val="0"/>
          <w:szCs w:val="21"/>
          <w:lang w:val="en-US" w:eastAsia="zh-CN"/>
        </w:rPr>
        <w:t>9</w:t>
      </w:r>
      <w:r>
        <w:rPr>
          <w:rFonts w:hint="eastAsia" w:ascii="宋体" w:hAnsi="宋体" w:eastAsia="宋体" w:cs="宋体"/>
          <w:kern w:val="0"/>
          <w:szCs w:val="21"/>
          <w:lang w:eastAsia="zh-CN"/>
        </w:rPr>
        <w:t>日起变更博时中证全指自由现金流交易型开放式指数证券投资基金场内扩位证券简称，具体如下：</w:t>
      </w:r>
      <w:bookmarkStart w:id="0" w:name="_GoBack"/>
      <w:bookmarkEnd w:id="0"/>
    </w:p>
    <w:tbl>
      <w:tblPr>
        <w:tblStyle w:val="8"/>
        <w:tblpPr w:leftFromText="180" w:rightFromText="180" w:vertAnchor="text" w:horzAnchor="page" w:tblpX="1914" w:tblpY="39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33"/>
        <w:gridCol w:w="3153"/>
        <w:gridCol w:w="3154"/>
      </w:tblGrid>
      <w:tr w14:paraId="707AD4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933" w:type="dxa"/>
            <w:vAlign w:val="center"/>
          </w:tcPr>
          <w:p w14:paraId="0F6BA6AE">
            <w:pPr>
              <w:keepNext w:val="0"/>
              <w:keepLines w:val="0"/>
              <w:pageBreakBefore w:val="0"/>
              <w:widowControl/>
              <w:kinsoku/>
              <w:wordWrap/>
              <w:overflowPunct/>
              <w:topLinePunct w:val="0"/>
              <w:autoSpaceDE/>
              <w:autoSpaceDN/>
              <w:bidi w:val="0"/>
              <w:adjustRightInd/>
              <w:snapToGrid/>
              <w:spacing w:before="240" w:line="420" w:lineRule="atLeast"/>
              <w:jc w:val="center"/>
              <w:textAlignment w:val="auto"/>
              <w:rPr>
                <w:rFonts w:hint="eastAsia" w:ascii="宋体" w:hAnsi="宋体" w:eastAsia="宋体" w:cs="宋体"/>
                <w:b/>
                <w:bCs/>
                <w:kern w:val="0"/>
                <w:szCs w:val="21"/>
                <w:vertAlign w:val="baseline"/>
                <w:lang w:eastAsia="zh-CN"/>
              </w:rPr>
            </w:pPr>
            <w:r>
              <w:rPr>
                <w:rFonts w:hint="eastAsia" w:ascii="宋体" w:hAnsi="宋体" w:eastAsia="宋体" w:cs="宋体"/>
                <w:b/>
                <w:bCs/>
                <w:kern w:val="0"/>
                <w:szCs w:val="21"/>
                <w:vertAlign w:val="baseline"/>
                <w:lang w:eastAsia="zh-CN"/>
              </w:rPr>
              <w:t>基金代码</w:t>
            </w:r>
          </w:p>
        </w:tc>
        <w:tc>
          <w:tcPr>
            <w:tcW w:w="3153" w:type="dxa"/>
            <w:vAlign w:val="center"/>
          </w:tcPr>
          <w:p w14:paraId="5063A08F">
            <w:pPr>
              <w:keepNext w:val="0"/>
              <w:keepLines w:val="0"/>
              <w:pageBreakBefore w:val="0"/>
              <w:widowControl/>
              <w:kinsoku/>
              <w:wordWrap/>
              <w:overflowPunct/>
              <w:topLinePunct w:val="0"/>
              <w:autoSpaceDE/>
              <w:autoSpaceDN/>
              <w:bidi w:val="0"/>
              <w:adjustRightInd/>
              <w:snapToGrid/>
              <w:spacing w:before="240" w:line="420" w:lineRule="atLeast"/>
              <w:jc w:val="center"/>
              <w:textAlignment w:val="auto"/>
              <w:rPr>
                <w:rFonts w:hint="eastAsia" w:ascii="宋体" w:hAnsi="宋体" w:eastAsia="宋体" w:cs="宋体"/>
                <w:b/>
                <w:bCs/>
                <w:kern w:val="0"/>
                <w:szCs w:val="21"/>
                <w:vertAlign w:val="baseline"/>
                <w:lang w:eastAsia="zh-CN"/>
              </w:rPr>
            </w:pPr>
            <w:r>
              <w:rPr>
                <w:rFonts w:hint="eastAsia" w:ascii="宋体" w:hAnsi="宋体" w:eastAsia="宋体" w:cs="宋体"/>
                <w:b/>
                <w:bCs/>
                <w:kern w:val="0"/>
                <w:szCs w:val="21"/>
                <w:vertAlign w:val="baseline"/>
                <w:lang w:eastAsia="zh-CN"/>
              </w:rPr>
              <w:t>变更前扩位证券简称</w:t>
            </w:r>
          </w:p>
        </w:tc>
        <w:tc>
          <w:tcPr>
            <w:tcW w:w="3154" w:type="dxa"/>
            <w:vAlign w:val="center"/>
          </w:tcPr>
          <w:p w14:paraId="744DC6CA">
            <w:pPr>
              <w:keepNext w:val="0"/>
              <w:keepLines w:val="0"/>
              <w:pageBreakBefore w:val="0"/>
              <w:widowControl/>
              <w:kinsoku/>
              <w:wordWrap/>
              <w:overflowPunct/>
              <w:topLinePunct w:val="0"/>
              <w:autoSpaceDE/>
              <w:autoSpaceDN/>
              <w:bidi w:val="0"/>
              <w:adjustRightInd/>
              <w:snapToGrid/>
              <w:spacing w:before="240" w:line="420" w:lineRule="atLeast"/>
              <w:jc w:val="center"/>
              <w:textAlignment w:val="auto"/>
              <w:rPr>
                <w:rFonts w:hint="eastAsia" w:ascii="宋体" w:hAnsi="宋体" w:eastAsia="宋体" w:cs="宋体"/>
                <w:b/>
                <w:bCs/>
                <w:kern w:val="0"/>
                <w:szCs w:val="21"/>
                <w:vertAlign w:val="baseline"/>
                <w:lang w:eastAsia="zh-CN"/>
              </w:rPr>
            </w:pPr>
            <w:r>
              <w:rPr>
                <w:rFonts w:hint="eastAsia" w:ascii="宋体" w:hAnsi="宋体" w:eastAsia="宋体" w:cs="宋体"/>
                <w:b/>
                <w:bCs/>
                <w:kern w:val="0"/>
                <w:szCs w:val="21"/>
                <w:vertAlign w:val="baseline"/>
                <w:lang w:eastAsia="zh-CN"/>
              </w:rPr>
              <w:t>变更后扩位证券简称</w:t>
            </w:r>
          </w:p>
        </w:tc>
      </w:tr>
      <w:tr w14:paraId="4BD080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trPr>
        <w:tc>
          <w:tcPr>
            <w:tcW w:w="1933" w:type="dxa"/>
            <w:vAlign w:val="center"/>
          </w:tcPr>
          <w:p w14:paraId="5FA451B8">
            <w:pPr>
              <w:keepNext w:val="0"/>
              <w:keepLines w:val="0"/>
              <w:pageBreakBefore w:val="0"/>
              <w:widowControl/>
              <w:kinsoku/>
              <w:wordWrap/>
              <w:overflowPunct/>
              <w:topLinePunct w:val="0"/>
              <w:autoSpaceDE/>
              <w:autoSpaceDN/>
              <w:bidi w:val="0"/>
              <w:adjustRightInd/>
              <w:snapToGrid/>
              <w:spacing w:before="240" w:line="420" w:lineRule="atLeast"/>
              <w:jc w:val="center"/>
              <w:textAlignment w:val="auto"/>
              <w:rPr>
                <w:rFonts w:hint="default" w:ascii="宋体" w:hAnsi="宋体" w:eastAsia="宋体" w:cs="宋体"/>
                <w:b w:val="0"/>
                <w:bCs w:val="0"/>
                <w:kern w:val="0"/>
                <w:szCs w:val="21"/>
                <w:vertAlign w:val="baseline"/>
                <w:lang w:val="en-US" w:eastAsia="zh-CN"/>
              </w:rPr>
            </w:pPr>
            <w:r>
              <w:rPr>
                <w:rFonts w:hint="eastAsia" w:ascii="宋体" w:hAnsi="宋体" w:eastAsia="宋体" w:cs="宋体"/>
                <w:b w:val="0"/>
                <w:bCs w:val="0"/>
                <w:kern w:val="0"/>
                <w:szCs w:val="21"/>
                <w:vertAlign w:val="baseline"/>
                <w:lang w:val="en-US" w:eastAsia="zh-CN"/>
              </w:rPr>
              <w:t>563830</w:t>
            </w:r>
          </w:p>
        </w:tc>
        <w:tc>
          <w:tcPr>
            <w:tcW w:w="3153" w:type="dxa"/>
            <w:vAlign w:val="center"/>
          </w:tcPr>
          <w:p w14:paraId="1EEE48DB">
            <w:pPr>
              <w:keepNext w:val="0"/>
              <w:keepLines w:val="0"/>
              <w:pageBreakBefore w:val="0"/>
              <w:widowControl/>
              <w:kinsoku/>
              <w:wordWrap/>
              <w:overflowPunct/>
              <w:topLinePunct w:val="0"/>
              <w:autoSpaceDE/>
              <w:autoSpaceDN/>
              <w:bidi w:val="0"/>
              <w:adjustRightInd/>
              <w:snapToGrid/>
              <w:spacing w:before="240" w:line="420" w:lineRule="atLeast"/>
              <w:jc w:val="center"/>
              <w:textAlignment w:val="auto"/>
              <w:rPr>
                <w:rFonts w:hint="default" w:ascii="宋体" w:hAnsi="宋体" w:eastAsia="宋体" w:cs="宋体"/>
                <w:b w:val="0"/>
                <w:bCs w:val="0"/>
                <w:kern w:val="0"/>
                <w:szCs w:val="21"/>
                <w:vertAlign w:val="baseline"/>
                <w:lang w:val="en-US" w:eastAsia="zh-CN"/>
              </w:rPr>
            </w:pPr>
            <w:r>
              <w:rPr>
                <w:rFonts w:hint="eastAsia" w:ascii="宋体" w:hAnsi="宋体" w:eastAsia="宋体" w:cs="宋体"/>
                <w:b w:val="0"/>
                <w:bCs w:val="0"/>
                <w:kern w:val="0"/>
                <w:szCs w:val="21"/>
                <w:vertAlign w:val="baseline"/>
                <w:lang w:val="en-US" w:eastAsia="zh-CN"/>
              </w:rPr>
              <w:t>全指现金流ETF博时</w:t>
            </w:r>
          </w:p>
        </w:tc>
        <w:tc>
          <w:tcPr>
            <w:tcW w:w="3154" w:type="dxa"/>
            <w:vAlign w:val="center"/>
          </w:tcPr>
          <w:p w14:paraId="775D6838">
            <w:pPr>
              <w:keepNext w:val="0"/>
              <w:keepLines w:val="0"/>
              <w:pageBreakBefore w:val="0"/>
              <w:widowControl/>
              <w:kinsoku/>
              <w:wordWrap/>
              <w:overflowPunct/>
              <w:topLinePunct w:val="0"/>
              <w:autoSpaceDE/>
              <w:autoSpaceDN/>
              <w:bidi w:val="0"/>
              <w:adjustRightInd/>
              <w:snapToGrid/>
              <w:spacing w:before="240" w:line="420" w:lineRule="atLeast"/>
              <w:jc w:val="center"/>
              <w:textAlignment w:val="auto"/>
              <w:rPr>
                <w:rFonts w:hint="default" w:ascii="宋体" w:hAnsi="宋体" w:eastAsia="宋体" w:cs="宋体"/>
                <w:b w:val="0"/>
                <w:bCs w:val="0"/>
                <w:kern w:val="0"/>
                <w:szCs w:val="21"/>
                <w:vertAlign w:val="baseline"/>
                <w:lang w:val="en-US" w:eastAsia="zh-CN"/>
              </w:rPr>
            </w:pPr>
            <w:r>
              <w:rPr>
                <w:rFonts w:hint="eastAsia" w:ascii="宋体" w:hAnsi="宋体" w:eastAsia="宋体" w:cs="宋体"/>
                <w:b w:val="0"/>
                <w:bCs w:val="0"/>
                <w:kern w:val="0"/>
                <w:szCs w:val="21"/>
                <w:vertAlign w:val="baseline"/>
                <w:lang w:val="en-US" w:eastAsia="zh-CN"/>
              </w:rPr>
              <w:t>自由现金流ETF博时</w:t>
            </w:r>
          </w:p>
        </w:tc>
      </w:tr>
    </w:tbl>
    <w:p w14:paraId="0C0F3A6F">
      <w:pPr>
        <w:keepNext w:val="0"/>
        <w:keepLines w:val="0"/>
        <w:pageBreakBefore w:val="0"/>
        <w:widowControl/>
        <w:shd w:val="clear" w:color="auto" w:fill="FFFFFF"/>
        <w:kinsoku/>
        <w:wordWrap/>
        <w:overflowPunct/>
        <w:topLinePunct w:val="0"/>
        <w:autoSpaceDE/>
        <w:autoSpaceDN/>
        <w:bidi w:val="0"/>
        <w:adjustRightInd/>
        <w:snapToGrid/>
        <w:spacing w:before="240" w:line="420" w:lineRule="atLeast"/>
        <w:ind w:firstLine="420" w:firstLineChars="200"/>
        <w:jc w:val="left"/>
        <w:textAlignment w:val="auto"/>
        <w:rPr>
          <w:rFonts w:ascii="宋体" w:hAnsi="宋体" w:eastAsia="宋体" w:cs="宋体"/>
          <w:kern w:val="0"/>
          <w:szCs w:val="21"/>
        </w:rPr>
      </w:pPr>
      <w:r>
        <w:rPr>
          <w:rFonts w:hint="eastAsia" w:ascii="宋体" w:hAnsi="宋体" w:eastAsia="宋体" w:cs="宋体"/>
          <w:kern w:val="0"/>
          <w:szCs w:val="21"/>
        </w:rPr>
        <w:t>场内</w:t>
      </w:r>
      <w:r>
        <w:rPr>
          <w:rFonts w:hint="eastAsia" w:ascii="宋体" w:hAnsi="宋体" w:eastAsia="宋体" w:cs="宋体"/>
          <w:kern w:val="0"/>
          <w:szCs w:val="21"/>
          <w:lang w:eastAsia="zh-CN"/>
        </w:rPr>
        <w:t>扩位证券</w:t>
      </w:r>
      <w:r>
        <w:rPr>
          <w:rFonts w:hint="eastAsia" w:ascii="宋体" w:hAnsi="宋体" w:eastAsia="宋体" w:cs="宋体"/>
          <w:kern w:val="0"/>
          <w:szCs w:val="21"/>
        </w:rPr>
        <w:t>简称适用于交易、申购赎回及行情展示，</w:t>
      </w:r>
      <w:r>
        <w:rPr>
          <w:rFonts w:ascii="宋体" w:hAnsi="宋体" w:eastAsia="宋体" w:cs="宋体"/>
          <w:kern w:val="0"/>
          <w:szCs w:val="21"/>
        </w:rPr>
        <w:t>基金代码和其他信息均保持不变</w:t>
      </w:r>
      <w:r>
        <w:rPr>
          <w:rFonts w:hint="eastAsia" w:ascii="宋体" w:hAnsi="宋体" w:eastAsia="宋体" w:cs="宋体"/>
          <w:kern w:val="0"/>
          <w:szCs w:val="21"/>
          <w:lang w:eastAsia="zh-CN"/>
        </w:rPr>
        <w:t>。</w:t>
      </w:r>
      <w:r>
        <w:rPr>
          <w:rFonts w:hint="eastAsia" w:ascii="宋体" w:hAnsi="宋体" w:eastAsia="宋体" w:cs="宋体"/>
          <w:kern w:val="0"/>
          <w:szCs w:val="21"/>
        </w:rPr>
        <w:t>按照《基金合同》</w:t>
      </w:r>
      <w:r>
        <w:rPr>
          <w:rFonts w:hint="eastAsia" w:ascii="宋体" w:hAnsi="宋体" w:eastAsia="宋体" w:cs="宋体"/>
          <w:kern w:val="0"/>
          <w:szCs w:val="21"/>
          <w:lang w:eastAsia="zh-CN"/>
        </w:rPr>
        <w:t>的</w:t>
      </w:r>
      <w:r>
        <w:rPr>
          <w:rFonts w:hint="eastAsia" w:ascii="宋体" w:hAnsi="宋体" w:eastAsia="宋体" w:cs="宋体"/>
          <w:kern w:val="0"/>
          <w:szCs w:val="21"/>
        </w:rPr>
        <w:t>约定，本次基金变更</w:t>
      </w:r>
      <w:r>
        <w:rPr>
          <w:rFonts w:hint="eastAsia" w:ascii="宋体" w:hAnsi="宋体" w:eastAsia="宋体" w:cs="宋体"/>
          <w:kern w:val="0"/>
          <w:szCs w:val="21"/>
          <w:lang w:eastAsia="zh-CN"/>
        </w:rPr>
        <w:t>上述</w:t>
      </w:r>
      <w:r>
        <w:rPr>
          <w:rFonts w:hint="eastAsia" w:ascii="宋体" w:hAnsi="宋体" w:eastAsia="宋体" w:cs="宋体"/>
          <w:kern w:val="0"/>
          <w:szCs w:val="21"/>
        </w:rPr>
        <w:t>场内</w:t>
      </w:r>
      <w:r>
        <w:rPr>
          <w:rFonts w:hint="eastAsia" w:ascii="宋体" w:hAnsi="宋体" w:eastAsia="宋体" w:cs="宋体"/>
          <w:kern w:val="0"/>
          <w:szCs w:val="21"/>
          <w:lang w:eastAsia="zh-CN"/>
        </w:rPr>
        <w:t>扩位证券</w:t>
      </w:r>
      <w:r>
        <w:rPr>
          <w:rFonts w:hint="eastAsia" w:ascii="宋体" w:hAnsi="宋体" w:eastAsia="宋体" w:cs="宋体"/>
          <w:kern w:val="0"/>
          <w:szCs w:val="21"/>
        </w:rPr>
        <w:t>简称对基金份额持有人利益无实质性不利影响，且不涉及基金合同当事人权利义务关系发生变化，无需召开基金份额持有人大会。</w:t>
      </w:r>
    </w:p>
    <w:p w14:paraId="05FF5859">
      <w:pPr>
        <w:keepNext w:val="0"/>
        <w:keepLines w:val="0"/>
        <w:pageBreakBefore w:val="0"/>
        <w:widowControl/>
        <w:shd w:val="clear" w:color="auto" w:fill="FFFFFF"/>
        <w:kinsoku/>
        <w:wordWrap w:val="0"/>
        <w:overflowPunct/>
        <w:topLinePunct w:val="0"/>
        <w:autoSpaceDE/>
        <w:autoSpaceDN/>
        <w:bidi w:val="0"/>
        <w:adjustRightInd/>
        <w:snapToGrid/>
        <w:spacing w:before="240" w:line="420" w:lineRule="atLeast"/>
        <w:ind w:firstLine="420" w:firstLineChars="200"/>
        <w:jc w:val="left"/>
        <w:textAlignment w:val="auto"/>
        <w:rPr>
          <w:rFonts w:ascii="宋体" w:hAnsi="宋体" w:eastAsia="宋体" w:cs="宋体"/>
          <w:kern w:val="0"/>
          <w:szCs w:val="21"/>
        </w:rPr>
      </w:pPr>
      <w:r>
        <w:rPr>
          <w:rFonts w:hint="eastAsia" w:ascii="宋体" w:hAnsi="宋体" w:eastAsia="宋体" w:cs="宋体"/>
          <w:kern w:val="0"/>
          <w:szCs w:val="21"/>
        </w:rPr>
        <w:t>如有疑问，请拨打博时一线通：</w:t>
      </w:r>
      <w:r>
        <w:rPr>
          <w:rFonts w:ascii="宋体" w:hAnsi="宋体" w:eastAsia="宋体" w:cs="宋体"/>
          <w:kern w:val="0"/>
          <w:szCs w:val="21"/>
        </w:rPr>
        <w:t>95105568（免长途话费）或登录本公司网站</w:t>
      </w:r>
      <w:r>
        <w:rPr>
          <w:rFonts w:hint="eastAsia" w:ascii="宋体" w:hAnsi="宋体" w:eastAsia="宋体" w:cs="宋体"/>
          <w:kern w:val="0"/>
          <w:szCs w:val="21"/>
          <w:lang w:eastAsia="zh-CN"/>
        </w:rPr>
        <w:t>（</w:t>
      </w:r>
      <w:r>
        <w:rPr>
          <w:rFonts w:ascii="宋体" w:hAnsi="宋体" w:eastAsia="宋体" w:cs="宋体"/>
          <w:kern w:val="0"/>
          <w:szCs w:val="21"/>
        </w:rPr>
        <w:t>www.bosera.com</w:t>
      </w:r>
      <w:r>
        <w:rPr>
          <w:rFonts w:hint="eastAsia" w:ascii="宋体" w:hAnsi="宋体" w:eastAsia="宋体" w:cs="宋体"/>
          <w:kern w:val="0"/>
          <w:szCs w:val="21"/>
          <w:lang w:eastAsia="zh-CN"/>
        </w:rPr>
        <w:t>）</w:t>
      </w:r>
      <w:r>
        <w:rPr>
          <w:rFonts w:ascii="宋体" w:hAnsi="宋体" w:eastAsia="宋体" w:cs="宋体"/>
          <w:kern w:val="0"/>
          <w:szCs w:val="21"/>
        </w:rPr>
        <w:t>获取相关信息。</w:t>
      </w:r>
    </w:p>
    <w:p w14:paraId="47818E3E">
      <w:pPr>
        <w:keepNext w:val="0"/>
        <w:keepLines w:val="0"/>
        <w:pageBreakBefore w:val="0"/>
        <w:widowControl/>
        <w:shd w:val="clear" w:color="auto" w:fill="FFFFFF"/>
        <w:kinsoku/>
        <w:wordWrap/>
        <w:overflowPunct/>
        <w:topLinePunct w:val="0"/>
        <w:autoSpaceDE/>
        <w:autoSpaceDN/>
        <w:bidi w:val="0"/>
        <w:adjustRightInd/>
        <w:snapToGrid/>
        <w:spacing w:before="240" w:line="420" w:lineRule="atLeast"/>
        <w:ind w:firstLine="480"/>
        <w:jc w:val="left"/>
        <w:textAlignment w:val="auto"/>
        <w:rPr>
          <w:rFonts w:ascii="宋体" w:hAnsi="宋体" w:eastAsia="宋体" w:cs="宋体"/>
          <w:kern w:val="0"/>
          <w:szCs w:val="21"/>
        </w:rPr>
      </w:pPr>
      <w:r>
        <w:rPr>
          <w:rFonts w:ascii="宋体" w:hAnsi="宋体" w:eastAsia="宋体" w:cs="宋体"/>
          <w:kern w:val="0"/>
          <w:szCs w:val="21"/>
        </w:rPr>
        <w:t>风险提示：基金管理人承诺以诚实信用、勤勉尽责的原则管理和运用基金资产，但不保证基金一定盈利，也不保证最低收益。基金的过往业绩并不代表其将来表现。投资有风险，投资者投资于本公司旗下基金前应认真阅读各基金的基金合同</w:t>
      </w:r>
      <w:r>
        <w:rPr>
          <w:rFonts w:hint="eastAsia" w:ascii="宋体" w:hAnsi="宋体" w:eastAsia="宋体" w:cs="宋体"/>
          <w:kern w:val="0"/>
          <w:szCs w:val="21"/>
          <w:lang w:eastAsia="zh-CN"/>
        </w:rPr>
        <w:t>、</w:t>
      </w:r>
      <w:r>
        <w:rPr>
          <w:rFonts w:ascii="宋体" w:hAnsi="宋体" w:eastAsia="宋体" w:cs="宋体"/>
          <w:kern w:val="0"/>
          <w:szCs w:val="21"/>
        </w:rPr>
        <w:t>招募说明书</w:t>
      </w:r>
      <w:r>
        <w:rPr>
          <w:rFonts w:hint="eastAsia" w:ascii="宋体" w:hAnsi="宋体" w:eastAsia="宋体" w:cs="宋体"/>
          <w:kern w:val="0"/>
          <w:szCs w:val="21"/>
        </w:rPr>
        <w:t>和基金产品资料概要等文件</w:t>
      </w:r>
      <w:r>
        <w:rPr>
          <w:rFonts w:ascii="宋体" w:hAnsi="宋体" w:eastAsia="宋体" w:cs="宋体"/>
          <w:kern w:val="0"/>
          <w:szCs w:val="21"/>
        </w:rPr>
        <w:t>，并选择适合自身风险承受能力的投资品种进行投资。</w:t>
      </w:r>
    </w:p>
    <w:p w14:paraId="6596FA7D">
      <w:pPr>
        <w:keepNext w:val="0"/>
        <w:keepLines w:val="0"/>
        <w:pageBreakBefore w:val="0"/>
        <w:widowControl/>
        <w:shd w:val="clear" w:color="auto" w:fill="FFFFFF"/>
        <w:kinsoku/>
        <w:wordWrap/>
        <w:overflowPunct/>
        <w:topLinePunct w:val="0"/>
        <w:autoSpaceDE/>
        <w:autoSpaceDN/>
        <w:bidi w:val="0"/>
        <w:adjustRightInd/>
        <w:snapToGrid/>
        <w:spacing w:before="240" w:line="420" w:lineRule="atLeast"/>
        <w:ind w:firstLine="480"/>
        <w:jc w:val="left"/>
        <w:textAlignment w:val="auto"/>
        <w:rPr>
          <w:rFonts w:ascii="宋体" w:hAnsi="宋体" w:eastAsia="宋体" w:cs="宋体"/>
          <w:kern w:val="0"/>
          <w:szCs w:val="21"/>
        </w:rPr>
      </w:pPr>
      <w:r>
        <w:rPr>
          <w:rFonts w:ascii="宋体" w:hAnsi="宋体" w:eastAsia="宋体" w:cs="宋体"/>
          <w:kern w:val="0"/>
          <w:szCs w:val="21"/>
        </w:rPr>
        <w:t>特此公告。</w:t>
      </w:r>
    </w:p>
    <w:p w14:paraId="08F205F3">
      <w:pPr>
        <w:keepNext w:val="0"/>
        <w:keepLines w:val="0"/>
        <w:pageBreakBefore w:val="0"/>
        <w:widowControl/>
        <w:shd w:val="clear" w:color="auto" w:fill="FFFFFF"/>
        <w:kinsoku/>
        <w:wordWrap/>
        <w:overflowPunct/>
        <w:topLinePunct w:val="0"/>
        <w:autoSpaceDE/>
        <w:autoSpaceDN/>
        <w:bidi w:val="0"/>
        <w:adjustRightInd/>
        <w:snapToGrid/>
        <w:spacing w:before="120" w:line="420" w:lineRule="atLeast"/>
        <w:jc w:val="right"/>
        <w:textAlignment w:val="auto"/>
        <w:rPr>
          <w:rFonts w:ascii="宋体" w:hAnsi="宋体" w:eastAsia="宋体" w:cs="宋体"/>
          <w:kern w:val="0"/>
          <w:szCs w:val="21"/>
        </w:rPr>
      </w:pPr>
    </w:p>
    <w:p w14:paraId="150A5449">
      <w:pPr>
        <w:keepNext w:val="0"/>
        <w:keepLines w:val="0"/>
        <w:pageBreakBefore w:val="0"/>
        <w:widowControl/>
        <w:shd w:val="clear" w:color="auto" w:fill="FFFFFF"/>
        <w:kinsoku/>
        <w:wordWrap/>
        <w:overflowPunct/>
        <w:topLinePunct w:val="0"/>
        <w:autoSpaceDE/>
        <w:autoSpaceDN/>
        <w:bidi w:val="0"/>
        <w:adjustRightInd/>
        <w:snapToGrid/>
        <w:spacing w:before="120" w:line="420" w:lineRule="atLeast"/>
        <w:jc w:val="right"/>
        <w:textAlignment w:val="auto"/>
        <w:rPr>
          <w:rFonts w:ascii="宋体" w:hAnsi="宋体" w:eastAsia="宋体" w:cs="宋体"/>
          <w:kern w:val="0"/>
          <w:szCs w:val="21"/>
        </w:rPr>
      </w:pPr>
      <w:r>
        <w:rPr>
          <w:rFonts w:ascii="宋体" w:hAnsi="宋体" w:eastAsia="宋体" w:cs="宋体"/>
          <w:kern w:val="0"/>
          <w:szCs w:val="21"/>
        </w:rPr>
        <w:t>博时基金管理有限公司</w:t>
      </w:r>
    </w:p>
    <w:p w14:paraId="6F70DA48">
      <w:pPr>
        <w:keepNext w:val="0"/>
        <w:keepLines w:val="0"/>
        <w:pageBreakBefore w:val="0"/>
        <w:widowControl/>
        <w:shd w:val="clear" w:color="auto" w:fill="FFFFFF"/>
        <w:kinsoku/>
        <w:wordWrap/>
        <w:overflowPunct/>
        <w:topLinePunct w:val="0"/>
        <w:autoSpaceDE/>
        <w:autoSpaceDN/>
        <w:bidi w:val="0"/>
        <w:adjustRightInd/>
        <w:snapToGrid/>
        <w:spacing w:before="120" w:line="420" w:lineRule="atLeast"/>
        <w:jc w:val="right"/>
        <w:textAlignment w:val="auto"/>
        <w:rPr>
          <w:rFonts w:ascii="宋体" w:hAnsi="宋体" w:eastAsia="宋体" w:cs="宋体"/>
          <w:kern w:val="0"/>
          <w:szCs w:val="21"/>
        </w:rPr>
      </w:pPr>
      <w:r>
        <w:rPr>
          <w:rFonts w:ascii="宋体" w:hAnsi="宋体" w:eastAsia="宋体" w:cs="宋体"/>
          <w:kern w:val="0"/>
          <w:szCs w:val="21"/>
        </w:rPr>
        <w:t>202</w:t>
      </w:r>
      <w:r>
        <w:rPr>
          <w:rFonts w:hint="eastAsia" w:ascii="宋体" w:hAnsi="宋体" w:eastAsia="宋体" w:cs="宋体"/>
          <w:kern w:val="0"/>
          <w:szCs w:val="21"/>
          <w:lang w:val="en-US" w:eastAsia="zh-CN"/>
        </w:rPr>
        <w:t>6</w:t>
      </w:r>
      <w:r>
        <w:rPr>
          <w:rFonts w:ascii="宋体" w:hAnsi="宋体" w:eastAsia="宋体" w:cs="宋体"/>
          <w:kern w:val="0"/>
          <w:szCs w:val="21"/>
        </w:rPr>
        <w:t>年</w:t>
      </w:r>
      <w:r>
        <w:rPr>
          <w:rFonts w:hint="eastAsia" w:ascii="宋体" w:hAnsi="宋体" w:eastAsia="宋体" w:cs="宋体"/>
          <w:kern w:val="0"/>
          <w:szCs w:val="21"/>
          <w:lang w:val="en-US" w:eastAsia="zh-CN"/>
        </w:rPr>
        <w:t>11</w:t>
      </w:r>
      <w:r>
        <w:rPr>
          <w:rFonts w:ascii="宋体" w:hAnsi="宋体" w:eastAsia="宋体" w:cs="宋体"/>
          <w:kern w:val="0"/>
          <w:szCs w:val="21"/>
        </w:rPr>
        <w:t>月</w:t>
      </w:r>
      <w:r>
        <w:rPr>
          <w:rFonts w:hint="eastAsia" w:ascii="宋体" w:hAnsi="宋体" w:eastAsia="宋体" w:cs="宋体"/>
          <w:kern w:val="0"/>
          <w:szCs w:val="21"/>
          <w:lang w:val="en-US" w:eastAsia="zh-CN"/>
        </w:rPr>
        <w:t>9</w:t>
      </w:r>
      <w:r>
        <w:rPr>
          <w:rFonts w:ascii="宋体" w:hAnsi="宋体" w:eastAsia="宋体" w:cs="宋体"/>
          <w:kern w:val="0"/>
          <w:szCs w:val="21"/>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72CF"/>
    <w:rsid w:val="00034488"/>
    <w:rsid w:val="00100A21"/>
    <w:rsid w:val="00153568"/>
    <w:rsid w:val="001917B4"/>
    <w:rsid w:val="001F1B35"/>
    <w:rsid w:val="0027458C"/>
    <w:rsid w:val="002D279E"/>
    <w:rsid w:val="003D78F7"/>
    <w:rsid w:val="004A72CF"/>
    <w:rsid w:val="00516A9A"/>
    <w:rsid w:val="005D2189"/>
    <w:rsid w:val="005E4F08"/>
    <w:rsid w:val="00610432"/>
    <w:rsid w:val="00693835"/>
    <w:rsid w:val="006A1DCE"/>
    <w:rsid w:val="006F4442"/>
    <w:rsid w:val="00715133"/>
    <w:rsid w:val="00800391"/>
    <w:rsid w:val="0085754C"/>
    <w:rsid w:val="0088369B"/>
    <w:rsid w:val="008B3068"/>
    <w:rsid w:val="008E2729"/>
    <w:rsid w:val="00950712"/>
    <w:rsid w:val="00966A77"/>
    <w:rsid w:val="00A34675"/>
    <w:rsid w:val="00B42517"/>
    <w:rsid w:val="00BA4E4D"/>
    <w:rsid w:val="00C07347"/>
    <w:rsid w:val="00C56C0A"/>
    <w:rsid w:val="00C92FAE"/>
    <w:rsid w:val="00CB526D"/>
    <w:rsid w:val="00D078B5"/>
    <w:rsid w:val="00E5391E"/>
    <w:rsid w:val="00EB2579"/>
    <w:rsid w:val="00EB5DB3"/>
    <w:rsid w:val="00ED7A47"/>
    <w:rsid w:val="00FA050B"/>
    <w:rsid w:val="00FD43BF"/>
    <w:rsid w:val="0AB36281"/>
    <w:rsid w:val="0E8D0DC7"/>
    <w:rsid w:val="2443234C"/>
    <w:rsid w:val="48E7431D"/>
    <w:rsid w:val="57831823"/>
    <w:rsid w:val="693864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4"/>
    <w:semiHidden/>
    <w:unhideWhenUsed/>
    <w:qFormat/>
    <w:uiPriority w:val="99"/>
    <w:pPr>
      <w:jc w:val="left"/>
    </w:pPr>
  </w:style>
  <w:style w:type="paragraph" w:styleId="3">
    <w:name w:val="Balloon Text"/>
    <w:basedOn w:val="1"/>
    <w:link w:val="16"/>
    <w:semiHidden/>
    <w:unhideWhenUsed/>
    <w:qFormat/>
    <w:uiPriority w:val="99"/>
    <w:rPr>
      <w:sz w:val="18"/>
      <w:szCs w:val="18"/>
    </w:rPr>
  </w:style>
  <w:style w:type="paragraph" w:styleId="4">
    <w:name w:val="footer"/>
    <w:basedOn w:val="1"/>
    <w:link w:val="13"/>
    <w:unhideWhenUsed/>
    <w:qFormat/>
    <w:uiPriority w:val="99"/>
    <w:pPr>
      <w:tabs>
        <w:tab w:val="center" w:pos="4153"/>
        <w:tab w:val="right" w:pos="8306"/>
      </w:tabs>
      <w:snapToGrid w:val="0"/>
      <w:jc w:val="left"/>
    </w:pPr>
    <w:rPr>
      <w:sz w:val="18"/>
      <w:szCs w:val="18"/>
    </w:rPr>
  </w:style>
  <w:style w:type="paragraph" w:styleId="5">
    <w:name w:val="header"/>
    <w:basedOn w:val="1"/>
    <w:link w:val="12"/>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qFormat/>
    <w:uiPriority w:val="99"/>
    <w:rPr>
      <w:b/>
      <w:bCs/>
    </w:rPr>
  </w:style>
  <w:style w:type="table" w:styleId="8">
    <w:name w:val="Table Grid"/>
    <w:basedOn w:val="7"/>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Strong"/>
    <w:basedOn w:val="9"/>
    <w:qFormat/>
    <w:uiPriority w:val="22"/>
    <w:rPr>
      <w:b/>
    </w:rPr>
  </w:style>
  <w:style w:type="character" w:styleId="11">
    <w:name w:val="annotation reference"/>
    <w:basedOn w:val="9"/>
    <w:semiHidden/>
    <w:unhideWhenUsed/>
    <w:qFormat/>
    <w:uiPriority w:val="99"/>
    <w:rPr>
      <w:sz w:val="21"/>
      <w:szCs w:val="21"/>
    </w:rPr>
  </w:style>
  <w:style w:type="character" w:customStyle="1" w:styleId="12">
    <w:name w:val="页眉 字符"/>
    <w:basedOn w:val="9"/>
    <w:link w:val="5"/>
    <w:qFormat/>
    <w:uiPriority w:val="99"/>
    <w:rPr>
      <w:sz w:val="18"/>
      <w:szCs w:val="18"/>
    </w:rPr>
  </w:style>
  <w:style w:type="character" w:customStyle="1" w:styleId="13">
    <w:name w:val="页脚 字符"/>
    <w:basedOn w:val="9"/>
    <w:link w:val="4"/>
    <w:qFormat/>
    <w:uiPriority w:val="99"/>
    <w:rPr>
      <w:sz w:val="18"/>
      <w:szCs w:val="18"/>
    </w:rPr>
  </w:style>
  <w:style w:type="character" w:customStyle="1" w:styleId="14">
    <w:name w:val="批注文字 字符"/>
    <w:basedOn w:val="9"/>
    <w:link w:val="2"/>
    <w:semiHidden/>
    <w:qFormat/>
    <w:uiPriority w:val="99"/>
  </w:style>
  <w:style w:type="character" w:customStyle="1" w:styleId="15">
    <w:name w:val="批注主题 字符"/>
    <w:basedOn w:val="14"/>
    <w:link w:val="6"/>
    <w:semiHidden/>
    <w:qFormat/>
    <w:uiPriority w:val="99"/>
    <w:rPr>
      <w:b/>
      <w:bCs/>
    </w:rPr>
  </w:style>
  <w:style w:type="character" w:customStyle="1" w:styleId="16">
    <w:name w:val="批注框文本 字符"/>
    <w:basedOn w:val="9"/>
    <w:link w:val="3"/>
    <w:semiHidden/>
    <w:qFormat/>
    <w:uiPriority w:val="99"/>
    <w:rPr>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89</Words>
  <Characters>513</Characters>
  <Lines>4</Lines>
  <Paragraphs>1</Paragraphs>
  <TotalTime>2</TotalTime>
  <ScaleCrop>false</ScaleCrop>
  <LinksUpToDate>false</LinksUpToDate>
  <CharactersWithSpaces>601</CharactersWithSpaces>
  <Application>WPS Office_12.8.2.19795_F1E327BC-269C-435d-A152-05C5408002CA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2020-07-27T02:08:00Z</dcterms:created>
  <dc:creator>汤玲</dc:creator>
  <cp:lastModifiedBy>licx382</cp:lastModifiedBy>
  <dcterms:modified xsi:type="dcterms:W3CDTF">2026-11-02T02:23:16Z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2052-12.8.2.19795</vt:lpwstr>
  </property>
  <property fmtid="{D5CDD505-2E9C-101B-9397-08002B2CF9AE}" pid="3" name="ICV">
    <vt:lpwstr>4B370D61AA72496094C7D5679D54CDD3_12</vt:lpwstr>
  </property>
</Properties>
</file>