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DE5729D">
      <w:pPr>
        <w:tabs>
          <w:tab w:val="left" w:pos="6660"/>
        </w:tabs>
        <w:spacing w:line="360" w:lineRule="auto"/>
        <w:jc w:val="center"/>
        <w:rPr>
          <w:rFonts w:hint="eastAsia"/>
          <w:bCs/>
          <w:sz w:val="44"/>
        </w:rPr>
      </w:pPr>
      <w:bookmarkStart w:id="452" w:name="_GoBack"/>
      <w:bookmarkEnd w:id="452"/>
    </w:p>
    <w:p w14:paraId="53118A80">
      <w:pPr>
        <w:jc w:val="center"/>
        <w:rPr>
          <w:b/>
          <w:sz w:val="52"/>
        </w:rPr>
      </w:pPr>
    </w:p>
    <w:p w14:paraId="2814F856">
      <w:pPr>
        <w:rPr>
          <w:b/>
        </w:rPr>
      </w:pPr>
    </w:p>
    <w:p w14:paraId="2A0B4311">
      <w:pPr>
        <w:jc w:val="center"/>
        <w:rPr>
          <w:b/>
          <w:sz w:val="52"/>
        </w:rPr>
      </w:pPr>
    </w:p>
    <w:p w14:paraId="32871F42">
      <w:pPr>
        <w:jc w:val="center"/>
        <w:rPr>
          <w:rFonts w:hint="eastAsia"/>
          <w:b/>
          <w:sz w:val="48"/>
        </w:rPr>
      </w:pPr>
      <w:bookmarkStart w:id="0" w:name="_Toc139992299"/>
      <w:bookmarkStart w:id="1" w:name="_Toc123701381"/>
      <w:bookmarkStart w:id="2" w:name="_Toc123112261"/>
      <w:bookmarkStart w:id="3" w:name="_Toc123112222"/>
      <w:bookmarkStart w:id="4" w:name="_Toc139991724"/>
      <w:r>
        <w:rPr>
          <w:rFonts w:hint="eastAsia"/>
          <w:b/>
          <w:sz w:val="48"/>
        </w:rPr>
        <w:t>博时裕嘉纯债3个月定期开放债券型发起式证券投资基金</w:t>
      </w:r>
      <w:bookmarkEnd w:id="0"/>
      <w:bookmarkEnd w:id="1"/>
      <w:bookmarkEnd w:id="2"/>
      <w:bookmarkEnd w:id="3"/>
      <w:bookmarkEnd w:id="4"/>
      <w:bookmarkStart w:id="5" w:name="_Toc123701382"/>
      <w:bookmarkStart w:id="6" w:name="_Toc139992300"/>
      <w:bookmarkStart w:id="7" w:name="_Toc139991725"/>
      <w:bookmarkStart w:id="8" w:name="_Toc123112262"/>
      <w:bookmarkStart w:id="9" w:name="_Toc123112223"/>
    </w:p>
    <w:p w14:paraId="23860772">
      <w:pPr>
        <w:jc w:val="center"/>
        <w:rPr>
          <w:b/>
          <w:sz w:val="52"/>
        </w:rPr>
      </w:pPr>
      <w:r>
        <w:rPr>
          <w:rFonts w:hint="eastAsia"/>
          <w:b/>
          <w:sz w:val="48"/>
        </w:rPr>
        <w:t>基金合同</w:t>
      </w:r>
      <w:bookmarkEnd w:id="5"/>
      <w:bookmarkEnd w:id="6"/>
      <w:bookmarkEnd w:id="7"/>
      <w:bookmarkEnd w:id="8"/>
      <w:bookmarkEnd w:id="9"/>
    </w:p>
    <w:p w14:paraId="22170640">
      <w:pPr>
        <w:jc w:val="center"/>
        <w:rPr>
          <w:b/>
          <w:sz w:val="52"/>
        </w:rPr>
      </w:pPr>
    </w:p>
    <w:p w14:paraId="2F1E49EC">
      <w:pPr>
        <w:jc w:val="center"/>
        <w:rPr>
          <w:b/>
          <w:sz w:val="48"/>
        </w:rPr>
      </w:pPr>
      <w:r>
        <w:rPr>
          <w:rFonts w:hint="eastAsia"/>
          <w:b/>
          <w:sz w:val="48"/>
        </w:rPr>
        <w:t>【本基金不向个人投资者公开销售】</w:t>
      </w:r>
    </w:p>
    <w:p w14:paraId="1CD48606">
      <w:pPr>
        <w:jc w:val="center"/>
        <w:rPr>
          <w:b/>
          <w:sz w:val="48"/>
        </w:rPr>
      </w:pPr>
    </w:p>
    <w:p w14:paraId="26A7BAB7">
      <w:pPr>
        <w:jc w:val="center"/>
        <w:rPr>
          <w:b/>
          <w:sz w:val="48"/>
        </w:rPr>
      </w:pPr>
    </w:p>
    <w:p w14:paraId="02FFFFDF">
      <w:pPr>
        <w:jc w:val="center"/>
        <w:rPr>
          <w:b/>
          <w:sz w:val="48"/>
        </w:rPr>
      </w:pPr>
    </w:p>
    <w:p w14:paraId="0F9817C4">
      <w:pPr>
        <w:jc w:val="center"/>
        <w:rPr>
          <w:b/>
          <w:sz w:val="48"/>
        </w:rPr>
      </w:pPr>
    </w:p>
    <w:p w14:paraId="46BA71D8">
      <w:pPr>
        <w:jc w:val="center"/>
        <w:rPr>
          <w:b/>
          <w:sz w:val="48"/>
        </w:rPr>
      </w:pPr>
    </w:p>
    <w:p w14:paraId="3738624F">
      <w:pPr>
        <w:jc w:val="center"/>
        <w:rPr>
          <w:b/>
          <w:sz w:val="48"/>
        </w:rPr>
      </w:pPr>
    </w:p>
    <w:p w14:paraId="25C90510">
      <w:pPr>
        <w:jc w:val="center"/>
        <w:rPr>
          <w:b/>
          <w:sz w:val="48"/>
        </w:rPr>
      </w:pPr>
    </w:p>
    <w:p w14:paraId="6F22591B">
      <w:pPr>
        <w:rPr>
          <w:b/>
        </w:rPr>
      </w:pPr>
    </w:p>
    <w:p w14:paraId="016EBB2B">
      <w:pPr>
        <w:jc w:val="center"/>
        <w:rPr>
          <w:b/>
          <w:sz w:val="36"/>
        </w:rPr>
      </w:pPr>
      <w:bookmarkStart w:id="10" w:name="_Toc123701383"/>
      <w:bookmarkStart w:id="11" w:name="_Toc123112224"/>
      <w:bookmarkStart w:id="12" w:name="_Toc123112263"/>
      <w:bookmarkStart w:id="13" w:name="_Toc139991726"/>
      <w:bookmarkStart w:id="14" w:name="_Toc139992301"/>
      <w:r>
        <w:rPr>
          <w:b/>
          <w:sz w:val="36"/>
        </w:rPr>
        <w:t>基金管理人：</w:t>
      </w:r>
      <w:bookmarkEnd w:id="10"/>
      <w:bookmarkEnd w:id="11"/>
      <w:bookmarkEnd w:id="12"/>
      <w:bookmarkEnd w:id="13"/>
      <w:bookmarkEnd w:id="14"/>
      <w:r>
        <w:rPr>
          <w:rFonts w:hint="eastAsia"/>
          <w:b/>
          <w:sz w:val="36"/>
        </w:rPr>
        <w:t>博时基金管理有限公司</w:t>
      </w:r>
    </w:p>
    <w:p w14:paraId="272697DA">
      <w:pPr>
        <w:jc w:val="center"/>
        <w:rPr>
          <w:b/>
          <w:sz w:val="36"/>
        </w:rPr>
      </w:pPr>
      <w:bookmarkStart w:id="15" w:name="_Toc139991727"/>
      <w:bookmarkStart w:id="16" w:name="_Toc123701384"/>
      <w:bookmarkStart w:id="17" w:name="_Toc123112225"/>
      <w:bookmarkStart w:id="18" w:name="_Toc123112264"/>
      <w:bookmarkStart w:id="19" w:name="_Toc139992302"/>
      <w:r>
        <w:rPr>
          <w:b/>
          <w:sz w:val="36"/>
        </w:rPr>
        <w:t>基金托管人：</w:t>
      </w:r>
      <w:bookmarkEnd w:id="15"/>
      <w:bookmarkEnd w:id="16"/>
      <w:bookmarkEnd w:id="17"/>
      <w:bookmarkEnd w:id="18"/>
      <w:bookmarkEnd w:id="19"/>
      <w:r>
        <w:rPr>
          <w:rFonts w:hint="eastAsia"/>
          <w:b/>
          <w:sz w:val="36"/>
        </w:rPr>
        <w:t>兴业银行股份有限公司</w:t>
      </w:r>
    </w:p>
    <w:p w14:paraId="7F15617F">
      <w:pPr>
        <w:jc w:val="both"/>
        <w:rPr>
          <w:bCs/>
          <w:sz w:val="28"/>
        </w:rPr>
      </w:pPr>
      <w:bookmarkStart w:id="20" w:name="_Toc123701386"/>
      <w:bookmarkStart w:id="21" w:name="_Toc123112266"/>
      <w:bookmarkStart w:id="22" w:name="_Toc123112227"/>
      <w:bookmarkStart w:id="23" w:name="_Toc139991729"/>
    </w:p>
    <w:p w14:paraId="6455B18D">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r>
        <w:rPr>
          <w:rFonts w:hint="eastAsia" w:ascii="宋体"/>
          <w:b/>
          <w:bCs/>
          <w:sz w:val="30"/>
        </w:rPr>
        <w:t>二零二六年八月</w:t>
      </w:r>
    </w:p>
    <w:p w14:paraId="6B083BC1">
      <w:pPr>
        <w:jc w:val="center"/>
        <w:rPr>
          <w:bCs/>
          <w:sz w:val="28"/>
        </w:rPr>
      </w:pPr>
      <w:r>
        <w:rPr>
          <w:bCs/>
          <w:sz w:val="28"/>
        </w:rPr>
        <w:t>目录</w:t>
      </w:r>
      <w:bookmarkEnd w:id="20"/>
      <w:bookmarkEnd w:id="21"/>
      <w:bookmarkEnd w:id="22"/>
      <w:bookmarkEnd w:id="23"/>
    </w:p>
    <w:p w14:paraId="526A3509">
      <w:pPr>
        <w:pStyle w:val="15"/>
        <w:tabs>
          <w:tab w:val="right" w:leader="dot" w:pos="8306"/>
          <w:tab w:val="clear" w:pos="8296"/>
        </w:tabs>
      </w:pPr>
      <w:r>
        <w:rPr>
          <w:bCs/>
          <w:sz w:val="24"/>
        </w:rPr>
        <w:fldChar w:fldCharType="begin"/>
      </w:r>
      <w:r>
        <w:rPr>
          <w:bCs/>
          <w:sz w:val="24"/>
        </w:rPr>
        <w:instrText xml:space="preserve"> TOC \o "1-1" \h \z \u </w:instrText>
      </w:r>
      <w:r>
        <w:rPr>
          <w:bCs/>
          <w:sz w:val="24"/>
        </w:rPr>
        <w:fldChar w:fldCharType="separate"/>
      </w:r>
      <w:r>
        <w:rPr>
          <w:rFonts w:ascii="Times New Roman"/>
          <w:bCs/>
          <w:color w:val="auto"/>
          <w:kern w:val="2"/>
        </w:rPr>
        <w:fldChar w:fldCharType="begin"/>
      </w:r>
      <w:r>
        <w:rPr>
          <w:rFonts w:ascii="Times New Roman"/>
          <w:bCs/>
          <w:kern w:val="2"/>
        </w:rPr>
        <w:instrText xml:space="preserve"> HYPERLINK \l _Toc1582437587 </w:instrText>
      </w:r>
      <w:r>
        <w:rPr>
          <w:rFonts w:ascii="Times New Roman"/>
          <w:bCs/>
          <w:kern w:val="2"/>
        </w:rPr>
        <w:fldChar w:fldCharType="separate"/>
      </w:r>
      <w:r>
        <w:rPr>
          <w:rFonts w:ascii="Times New Roman"/>
        </w:rPr>
        <w:t>第一部分</w:t>
      </w:r>
      <w:r>
        <w:rPr>
          <w:rFonts w:hint="eastAsia" w:ascii="Times New Roman"/>
        </w:rPr>
        <w:t xml:space="preserve">  </w:t>
      </w:r>
      <w:r>
        <w:rPr>
          <w:rFonts w:ascii="Times New Roman"/>
        </w:rPr>
        <w:t>前言</w:t>
      </w:r>
      <w:r>
        <w:tab/>
      </w:r>
      <w:r>
        <w:fldChar w:fldCharType="begin"/>
      </w:r>
      <w:r>
        <w:instrText xml:space="preserve"> PAGEREF _Toc1582437587 \h </w:instrText>
      </w:r>
      <w:r>
        <w:fldChar w:fldCharType="separate"/>
      </w:r>
      <w:r>
        <w:t>1</w:t>
      </w:r>
      <w:r>
        <w:fldChar w:fldCharType="end"/>
      </w:r>
      <w:r>
        <w:rPr>
          <w:rFonts w:ascii="Times New Roman"/>
          <w:bCs/>
          <w:color w:val="auto"/>
          <w:kern w:val="2"/>
        </w:rPr>
        <w:fldChar w:fldCharType="end"/>
      </w:r>
    </w:p>
    <w:p w14:paraId="0CBCE932">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_Toc1863004784 </w:instrText>
      </w:r>
      <w:r>
        <w:rPr>
          <w:rFonts w:ascii="Times New Roman"/>
          <w:bCs/>
          <w:kern w:val="2"/>
        </w:rPr>
        <w:fldChar w:fldCharType="separate"/>
      </w:r>
      <w:r>
        <w:rPr>
          <w:rFonts w:ascii="Times New Roman"/>
        </w:rPr>
        <w:t>第二部分</w:t>
      </w:r>
      <w:r>
        <w:rPr>
          <w:rFonts w:hint="eastAsia" w:ascii="Times New Roman"/>
        </w:rPr>
        <w:t xml:space="preserve">  </w:t>
      </w:r>
      <w:r>
        <w:rPr>
          <w:rFonts w:ascii="Times New Roman"/>
        </w:rPr>
        <w:t>释义</w:t>
      </w:r>
      <w:r>
        <w:tab/>
      </w:r>
      <w:r>
        <w:fldChar w:fldCharType="begin"/>
      </w:r>
      <w:r>
        <w:instrText xml:space="preserve"> PAGEREF _Toc1863004784 \h </w:instrText>
      </w:r>
      <w:r>
        <w:fldChar w:fldCharType="separate"/>
      </w:r>
      <w:r>
        <w:t>3</w:t>
      </w:r>
      <w:r>
        <w:fldChar w:fldCharType="end"/>
      </w:r>
      <w:r>
        <w:rPr>
          <w:rFonts w:ascii="Times New Roman"/>
          <w:bCs/>
          <w:color w:val="auto"/>
          <w:kern w:val="2"/>
        </w:rPr>
        <w:fldChar w:fldCharType="end"/>
      </w:r>
    </w:p>
    <w:p w14:paraId="73A22670">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_Toc550447027 </w:instrText>
      </w:r>
      <w:r>
        <w:rPr>
          <w:rFonts w:ascii="Times New Roman"/>
          <w:bCs/>
          <w:kern w:val="2"/>
        </w:rPr>
        <w:fldChar w:fldCharType="separate"/>
      </w:r>
      <w:r>
        <w:rPr>
          <w:rFonts w:hint="eastAsia" w:ascii="Times New Roman"/>
        </w:rPr>
        <w:t>第三部分</w:t>
      </w:r>
      <w:r>
        <w:rPr>
          <w:rFonts w:ascii="Times New Roman"/>
        </w:rPr>
        <w:t xml:space="preserve">  </w:t>
      </w:r>
      <w:r>
        <w:rPr>
          <w:rFonts w:hint="eastAsia" w:ascii="Times New Roman"/>
        </w:rPr>
        <w:t>基金的基本情况</w:t>
      </w:r>
      <w:r>
        <w:tab/>
      </w:r>
      <w:r>
        <w:fldChar w:fldCharType="begin"/>
      </w:r>
      <w:r>
        <w:instrText xml:space="preserve"> PAGEREF _Toc550447027 \h </w:instrText>
      </w:r>
      <w:r>
        <w:fldChar w:fldCharType="separate"/>
      </w:r>
      <w:r>
        <w:t>9</w:t>
      </w:r>
      <w:r>
        <w:fldChar w:fldCharType="end"/>
      </w:r>
      <w:r>
        <w:rPr>
          <w:rFonts w:ascii="Times New Roman"/>
          <w:bCs/>
          <w:color w:val="auto"/>
          <w:kern w:val="2"/>
        </w:rPr>
        <w:fldChar w:fldCharType="end"/>
      </w:r>
    </w:p>
    <w:p w14:paraId="08EB2391">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_Toc283006867 </w:instrText>
      </w:r>
      <w:r>
        <w:rPr>
          <w:rFonts w:ascii="Times New Roman"/>
          <w:bCs/>
          <w:kern w:val="2"/>
        </w:rPr>
        <w:fldChar w:fldCharType="separate"/>
      </w:r>
      <w:r>
        <w:rPr>
          <w:rFonts w:hint="eastAsia" w:ascii="Times New Roman"/>
        </w:rPr>
        <w:t>第四部分  基金的历史沿革</w:t>
      </w:r>
      <w:r>
        <w:tab/>
      </w:r>
      <w:r>
        <w:fldChar w:fldCharType="begin"/>
      </w:r>
      <w:r>
        <w:instrText xml:space="preserve"> PAGEREF _Toc283006867 \h </w:instrText>
      </w:r>
      <w:r>
        <w:fldChar w:fldCharType="separate"/>
      </w:r>
      <w:r>
        <w:t>11</w:t>
      </w:r>
      <w:r>
        <w:fldChar w:fldCharType="end"/>
      </w:r>
      <w:r>
        <w:rPr>
          <w:rFonts w:ascii="Times New Roman"/>
          <w:bCs/>
          <w:color w:val="auto"/>
          <w:kern w:val="2"/>
        </w:rPr>
        <w:fldChar w:fldCharType="end"/>
      </w:r>
    </w:p>
    <w:p w14:paraId="596FD113">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_Toc1524556733 </w:instrText>
      </w:r>
      <w:r>
        <w:rPr>
          <w:rFonts w:ascii="Times New Roman"/>
          <w:bCs/>
          <w:kern w:val="2"/>
        </w:rPr>
        <w:fldChar w:fldCharType="separate"/>
      </w:r>
      <w:r>
        <w:rPr>
          <w:rFonts w:ascii="Times New Roman"/>
        </w:rPr>
        <w:t>第五部分</w:t>
      </w:r>
      <w:r>
        <w:rPr>
          <w:rFonts w:hint="eastAsia" w:ascii="Times New Roman"/>
        </w:rPr>
        <w:t xml:space="preserve">  </w:t>
      </w:r>
      <w:r>
        <w:rPr>
          <w:rFonts w:ascii="Times New Roman"/>
        </w:rPr>
        <w:t>基金</w:t>
      </w:r>
      <w:r>
        <w:rPr>
          <w:rFonts w:hint="eastAsia" w:ascii="Times New Roman"/>
        </w:rPr>
        <w:t>的存续</w:t>
      </w:r>
      <w:r>
        <w:tab/>
      </w:r>
      <w:r>
        <w:fldChar w:fldCharType="begin"/>
      </w:r>
      <w:r>
        <w:instrText xml:space="preserve"> PAGEREF _Toc1524556733 \h </w:instrText>
      </w:r>
      <w:r>
        <w:fldChar w:fldCharType="separate"/>
      </w:r>
      <w:r>
        <w:t>12</w:t>
      </w:r>
      <w:r>
        <w:fldChar w:fldCharType="end"/>
      </w:r>
      <w:r>
        <w:rPr>
          <w:rFonts w:ascii="Times New Roman"/>
          <w:bCs/>
          <w:color w:val="auto"/>
          <w:kern w:val="2"/>
        </w:rPr>
        <w:fldChar w:fldCharType="end"/>
      </w:r>
    </w:p>
    <w:p w14:paraId="4D24EAF0">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_Toc171205970 </w:instrText>
      </w:r>
      <w:r>
        <w:rPr>
          <w:rFonts w:ascii="Times New Roman"/>
          <w:bCs/>
          <w:kern w:val="2"/>
        </w:rPr>
        <w:fldChar w:fldCharType="separate"/>
      </w:r>
      <w:r>
        <w:rPr>
          <w:rFonts w:ascii="Times New Roman"/>
        </w:rPr>
        <w:t>第六部分</w:t>
      </w:r>
      <w:r>
        <w:rPr>
          <w:rFonts w:hint="eastAsia" w:ascii="Times New Roman"/>
        </w:rPr>
        <w:t xml:space="preserve">  </w:t>
      </w:r>
      <w:r>
        <w:rPr>
          <w:rFonts w:ascii="Times New Roman"/>
        </w:rPr>
        <w:t>基金份额的申购与赎回</w:t>
      </w:r>
      <w:r>
        <w:tab/>
      </w:r>
      <w:r>
        <w:fldChar w:fldCharType="begin"/>
      </w:r>
      <w:r>
        <w:instrText xml:space="preserve"> PAGEREF _Toc171205970 \h </w:instrText>
      </w:r>
      <w:r>
        <w:fldChar w:fldCharType="separate"/>
      </w:r>
      <w:r>
        <w:t>13</w:t>
      </w:r>
      <w:r>
        <w:fldChar w:fldCharType="end"/>
      </w:r>
      <w:r>
        <w:rPr>
          <w:rFonts w:ascii="Times New Roman"/>
          <w:bCs/>
          <w:color w:val="auto"/>
          <w:kern w:val="2"/>
        </w:rPr>
        <w:fldChar w:fldCharType="end"/>
      </w:r>
    </w:p>
    <w:p w14:paraId="74DE4460">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_Toc2011288118 </w:instrText>
      </w:r>
      <w:r>
        <w:rPr>
          <w:rFonts w:ascii="Times New Roman"/>
          <w:bCs/>
          <w:kern w:val="2"/>
        </w:rPr>
        <w:fldChar w:fldCharType="separate"/>
      </w:r>
      <w:r>
        <w:rPr>
          <w:rFonts w:ascii="Times New Roman"/>
        </w:rPr>
        <w:t>第七部分</w:t>
      </w:r>
      <w:r>
        <w:rPr>
          <w:rFonts w:hint="eastAsia" w:ascii="Times New Roman"/>
        </w:rPr>
        <w:t xml:space="preserve">  </w:t>
      </w:r>
      <w:r>
        <w:rPr>
          <w:rFonts w:ascii="Times New Roman"/>
        </w:rPr>
        <w:t>基金合同当事人及权利义务</w:t>
      </w:r>
      <w:r>
        <w:tab/>
      </w:r>
      <w:r>
        <w:fldChar w:fldCharType="begin"/>
      </w:r>
      <w:r>
        <w:instrText xml:space="preserve"> PAGEREF _Toc2011288118 \h </w:instrText>
      </w:r>
      <w:r>
        <w:fldChar w:fldCharType="separate"/>
      </w:r>
      <w:r>
        <w:t>21</w:t>
      </w:r>
      <w:r>
        <w:fldChar w:fldCharType="end"/>
      </w:r>
      <w:r>
        <w:rPr>
          <w:rFonts w:ascii="Times New Roman"/>
          <w:bCs/>
          <w:color w:val="auto"/>
          <w:kern w:val="2"/>
        </w:rPr>
        <w:fldChar w:fldCharType="end"/>
      </w:r>
    </w:p>
    <w:p w14:paraId="5C2502C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_Toc32159201 </w:instrText>
      </w:r>
      <w:r>
        <w:rPr>
          <w:rFonts w:ascii="Times New Roman"/>
          <w:bCs/>
          <w:kern w:val="2"/>
        </w:rPr>
        <w:fldChar w:fldCharType="separate"/>
      </w:r>
      <w:r>
        <w:rPr>
          <w:rFonts w:ascii="Times New Roman"/>
        </w:rPr>
        <w:t>第八部分</w:t>
      </w:r>
      <w:r>
        <w:rPr>
          <w:rFonts w:hint="eastAsia" w:ascii="Times New Roman"/>
        </w:rPr>
        <w:t xml:space="preserve">  </w:t>
      </w:r>
      <w:r>
        <w:rPr>
          <w:rFonts w:ascii="Times New Roman"/>
        </w:rPr>
        <w:t>基金份额持有人大会</w:t>
      </w:r>
      <w:r>
        <w:tab/>
      </w:r>
      <w:r>
        <w:fldChar w:fldCharType="begin"/>
      </w:r>
      <w:r>
        <w:instrText xml:space="preserve"> PAGEREF _Toc32159201 \h </w:instrText>
      </w:r>
      <w:r>
        <w:fldChar w:fldCharType="separate"/>
      </w:r>
      <w:r>
        <w:t>28</w:t>
      </w:r>
      <w:r>
        <w:fldChar w:fldCharType="end"/>
      </w:r>
      <w:r>
        <w:rPr>
          <w:rFonts w:ascii="Times New Roman"/>
          <w:bCs/>
          <w:color w:val="auto"/>
          <w:kern w:val="2"/>
        </w:rPr>
        <w:fldChar w:fldCharType="end"/>
      </w:r>
    </w:p>
    <w:p w14:paraId="185D39BE">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_Toc404943126 </w:instrText>
      </w:r>
      <w:r>
        <w:rPr>
          <w:rFonts w:ascii="Times New Roman"/>
          <w:bCs/>
          <w:kern w:val="2"/>
        </w:rPr>
        <w:fldChar w:fldCharType="separate"/>
      </w:r>
      <w:r>
        <w:rPr>
          <w:rFonts w:ascii="Times New Roman"/>
        </w:rPr>
        <w:t>第九部分</w:t>
      </w:r>
      <w:r>
        <w:rPr>
          <w:rFonts w:hint="eastAsia" w:ascii="Times New Roman"/>
        </w:rPr>
        <w:t xml:space="preserve">  </w:t>
      </w:r>
      <w:r>
        <w:rPr>
          <w:rFonts w:ascii="Times New Roman"/>
        </w:rPr>
        <w:t>基金管理人、基金托管人的更换条件和程序</w:t>
      </w:r>
      <w:r>
        <w:tab/>
      </w:r>
      <w:r>
        <w:fldChar w:fldCharType="begin"/>
      </w:r>
      <w:r>
        <w:instrText xml:space="preserve"> PAGEREF _Toc404943126 \h </w:instrText>
      </w:r>
      <w:r>
        <w:fldChar w:fldCharType="separate"/>
      </w:r>
      <w:r>
        <w:t>36</w:t>
      </w:r>
      <w:r>
        <w:fldChar w:fldCharType="end"/>
      </w:r>
      <w:r>
        <w:rPr>
          <w:rFonts w:ascii="Times New Roman"/>
          <w:bCs/>
          <w:color w:val="auto"/>
          <w:kern w:val="2"/>
        </w:rPr>
        <w:fldChar w:fldCharType="end"/>
      </w:r>
    </w:p>
    <w:p w14:paraId="18BAE993">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_Toc853418326 </w:instrText>
      </w:r>
      <w:r>
        <w:rPr>
          <w:rFonts w:ascii="Times New Roman"/>
          <w:bCs/>
          <w:kern w:val="2"/>
        </w:rPr>
        <w:fldChar w:fldCharType="separate"/>
      </w:r>
      <w:r>
        <w:rPr>
          <w:rFonts w:ascii="Times New Roman"/>
        </w:rPr>
        <w:t>第十部分</w:t>
      </w:r>
      <w:r>
        <w:rPr>
          <w:rFonts w:hint="eastAsia" w:ascii="Times New Roman"/>
        </w:rPr>
        <w:t xml:space="preserve">  </w:t>
      </w:r>
      <w:r>
        <w:rPr>
          <w:rFonts w:ascii="Times New Roman"/>
        </w:rPr>
        <w:t>基金的托管</w:t>
      </w:r>
      <w:r>
        <w:tab/>
      </w:r>
      <w:r>
        <w:fldChar w:fldCharType="begin"/>
      </w:r>
      <w:r>
        <w:instrText xml:space="preserve"> PAGEREF _Toc853418326 \h </w:instrText>
      </w:r>
      <w:r>
        <w:fldChar w:fldCharType="separate"/>
      </w:r>
      <w:r>
        <w:t>39</w:t>
      </w:r>
      <w:r>
        <w:fldChar w:fldCharType="end"/>
      </w:r>
      <w:r>
        <w:rPr>
          <w:rFonts w:ascii="Times New Roman"/>
          <w:bCs/>
          <w:color w:val="auto"/>
          <w:kern w:val="2"/>
        </w:rPr>
        <w:fldChar w:fldCharType="end"/>
      </w:r>
    </w:p>
    <w:p w14:paraId="4E437E04">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_Toc548408397 </w:instrText>
      </w:r>
      <w:r>
        <w:rPr>
          <w:rFonts w:ascii="Times New Roman"/>
          <w:bCs/>
          <w:kern w:val="2"/>
        </w:rPr>
        <w:fldChar w:fldCharType="separate"/>
      </w:r>
      <w:r>
        <w:rPr>
          <w:rFonts w:ascii="Times New Roman"/>
        </w:rPr>
        <w:t>第十一部分</w:t>
      </w:r>
      <w:r>
        <w:rPr>
          <w:rFonts w:hint="eastAsia" w:ascii="Times New Roman"/>
        </w:rPr>
        <w:t xml:space="preserve">  </w:t>
      </w:r>
      <w:r>
        <w:rPr>
          <w:rFonts w:ascii="Times New Roman"/>
        </w:rPr>
        <w:t>基金份额的登记</w:t>
      </w:r>
      <w:r>
        <w:tab/>
      </w:r>
      <w:r>
        <w:fldChar w:fldCharType="begin"/>
      </w:r>
      <w:r>
        <w:instrText xml:space="preserve"> PAGEREF _Toc548408397 \h </w:instrText>
      </w:r>
      <w:r>
        <w:fldChar w:fldCharType="separate"/>
      </w:r>
      <w:r>
        <w:t>40</w:t>
      </w:r>
      <w:r>
        <w:fldChar w:fldCharType="end"/>
      </w:r>
      <w:r>
        <w:rPr>
          <w:rFonts w:ascii="Times New Roman"/>
          <w:bCs/>
          <w:color w:val="auto"/>
          <w:kern w:val="2"/>
        </w:rPr>
        <w:fldChar w:fldCharType="end"/>
      </w:r>
    </w:p>
    <w:p w14:paraId="601BAAE2">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_Toc980295196 </w:instrText>
      </w:r>
      <w:r>
        <w:rPr>
          <w:rFonts w:ascii="Times New Roman"/>
          <w:bCs/>
          <w:kern w:val="2"/>
        </w:rPr>
        <w:fldChar w:fldCharType="separate"/>
      </w:r>
      <w:r>
        <w:rPr>
          <w:rFonts w:ascii="Times New Roman"/>
        </w:rPr>
        <w:t>第十二部分</w:t>
      </w:r>
      <w:r>
        <w:rPr>
          <w:rFonts w:hint="eastAsia" w:ascii="Times New Roman"/>
        </w:rPr>
        <w:t xml:space="preserve">  </w:t>
      </w:r>
      <w:r>
        <w:rPr>
          <w:rFonts w:ascii="Times New Roman"/>
        </w:rPr>
        <w:t>基金的投资</w:t>
      </w:r>
      <w:r>
        <w:tab/>
      </w:r>
      <w:r>
        <w:fldChar w:fldCharType="begin"/>
      </w:r>
      <w:r>
        <w:instrText xml:space="preserve"> PAGEREF _Toc980295196 \h </w:instrText>
      </w:r>
      <w:r>
        <w:fldChar w:fldCharType="separate"/>
      </w:r>
      <w:r>
        <w:t>42</w:t>
      </w:r>
      <w:r>
        <w:fldChar w:fldCharType="end"/>
      </w:r>
      <w:r>
        <w:rPr>
          <w:rFonts w:ascii="Times New Roman"/>
          <w:bCs/>
          <w:color w:val="auto"/>
          <w:kern w:val="2"/>
        </w:rPr>
        <w:fldChar w:fldCharType="end"/>
      </w:r>
    </w:p>
    <w:p w14:paraId="772FC5B3">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_Toc1210355092 </w:instrText>
      </w:r>
      <w:r>
        <w:rPr>
          <w:rFonts w:ascii="Times New Roman"/>
          <w:bCs/>
          <w:kern w:val="2"/>
        </w:rPr>
        <w:fldChar w:fldCharType="separate"/>
      </w:r>
      <w:r>
        <w:rPr>
          <w:rFonts w:ascii="Times New Roman"/>
        </w:rPr>
        <w:t>第十三部分</w:t>
      </w:r>
      <w:r>
        <w:rPr>
          <w:rFonts w:hint="eastAsia" w:ascii="Times New Roman"/>
        </w:rPr>
        <w:t xml:space="preserve">  </w:t>
      </w:r>
      <w:r>
        <w:rPr>
          <w:rFonts w:ascii="Times New Roman"/>
        </w:rPr>
        <w:t>基金的财产</w:t>
      </w:r>
      <w:r>
        <w:tab/>
      </w:r>
      <w:r>
        <w:fldChar w:fldCharType="begin"/>
      </w:r>
      <w:r>
        <w:instrText xml:space="preserve"> PAGEREF _Toc1210355092 \h </w:instrText>
      </w:r>
      <w:r>
        <w:fldChar w:fldCharType="separate"/>
      </w:r>
      <w:r>
        <w:t>51</w:t>
      </w:r>
      <w:r>
        <w:fldChar w:fldCharType="end"/>
      </w:r>
      <w:r>
        <w:rPr>
          <w:rFonts w:ascii="Times New Roman"/>
          <w:bCs/>
          <w:color w:val="auto"/>
          <w:kern w:val="2"/>
        </w:rPr>
        <w:fldChar w:fldCharType="end"/>
      </w:r>
    </w:p>
    <w:p w14:paraId="0484DAA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_Toc569540626 </w:instrText>
      </w:r>
      <w:r>
        <w:rPr>
          <w:rFonts w:ascii="Times New Roman"/>
          <w:bCs/>
          <w:kern w:val="2"/>
        </w:rPr>
        <w:fldChar w:fldCharType="separate"/>
      </w:r>
      <w:r>
        <w:rPr>
          <w:rFonts w:ascii="Times New Roman"/>
        </w:rPr>
        <w:t>第十四部分</w:t>
      </w:r>
      <w:r>
        <w:rPr>
          <w:rFonts w:hint="eastAsia" w:ascii="Times New Roman"/>
        </w:rPr>
        <w:t xml:space="preserve">  </w:t>
      </w:r>
      <w:r>
        <w:rPr>
          <w:rFonts w:ascii="Times New Roman"/>
        </w:rPr>
        <w:t>基金资产估值</w:t>
      </w:r>
      <w:r>
        <w:tab/>
      </w:r>
      <w:r>
        <w:fldChar w:fldCharType="begin"/>
      </w:r>
      <w:r>
        <w:instrText xml:space="preserve"> PAGEREF _Toc569540626 \h </w:instrText>
      </w:r>
      <w:r>
        <w:fldChar w:fldCharType="separate"/>
      </w:r>
      <w:r>
        <w:t>52</w:t>
      </w:r>
      <w:r>
        <w:fldChar w:fldCharType="end"/>
      </w:r>
      <w:r>
        <w:rPr>
          <w:rFonts w:ascii="Times New Roman"/>
          <w:bCs/>
          <w:color w:val="auto"/>
          <w:kern w:val="2"/>
        </w:rPr>
        <w:fldChar w:fldCharType="end"/>
      </w:r>
    </w:p>
    <w:p w14:paraId="2685CF4D">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_Toc1178215025 </w:instrText>
      </w:r>
      <w:r>
        <w:rPr>
          <w:rFonts w:ascii="Times New Roman"/>
          <w:bCs/>
          <w:kern w:val="2"/>
        </w:rPr>
        <w:fldChar w:fldCharType="separate"/>
      </w:r>
      <w:r>
        <w:rPr>
          <w:rFonts w:ascii="Times New Roman"/>
        </w:rPr>
        <w:t>第十五部分</w:t>
      </w:r>
      <w:r>
        <w:rPr>
          <w:rFonts w:hint="eastAsia" w:ascii="Times New Roman"/>
        </w:rPr>
        <w:t xml:space="preserve">  </w:t>
      </w:r>
      <w:r>
        <w:rPr>
          <w:rFonts w:ascii="Times New Roman"/>
        </w:rPr>
        <w:t>基金费用与税收</w:t>
      </w:r>
      <w:r>
        <w:tab/>
      </w:r>
      <w:r>
        <w:fldChar w:fldCharType="begin"/>
      </w:r>
      <w:r>
        <w:instrText xml:space="preserve"> PAGEREF _Toc1178215025 \h </w:instrText>
      </w:r>
      <w:r>
        <w:fldChar w:fldCharType="separate"/>
      </w:r>
      <w:r>
        <w:t>57</w:t>
      </w:r>
      <w:r>
        <w:fldChar w:fldCharType="end"/>
      </w:r>
      <w:r>
        <w:rPr>
          <w:rFonts w:ascii="Times New Roman"/>
          <w:bCs/>
          <w:color w:val="auto"/>
          <w:kern w:val="2"/>
        </w:rPr>
        <w:fldChar w:fldCharType="end"/>
      </w:r>
    </w:p>
    <w:p w14:paraId="17AF570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_Toc1364018442 </w:instrText>
      </w:r>
      <w:r>
        <w:rPr>
          <w:rFonts w:ascii="Times New Roman"/>
          <w:bCs/>
          <w:kern w:val="2"/>
        </w:rPr>
        <w:fldChar w:fldCharType="separate"/>
      </w:r>
      <w:r>
        <w:rPr>
          <w:rFonts w:ascii="Times New Roman"/>
        </w:rPr>
        <w:t>第十六部分</w:t>
      </w:r>
      <w:r>
        <w:rPr>
          <w:rFonts w:hint="eastAsia" w:ascii="Times New Roman"/>
        </w:rPr>
        <w:t xml:space="preserve">  </w:t>
      </w:r>
      <w:r>
        <w:rPr>
          <w:rFonts w:ascii="Times New Roman"/>
        </w:rPr>
        <w:t>基金的收益与分配</w:t>
      </w:r>
      <w:r>
        <w:tab/>
      </w:r>
      <w:r>
        <w:fldChar w:fldCharType="begin"/>
      </w:r>
      <w:r>
        <w:instrText xml:space="preserve"> PAGEREF _Toc1364018442 \h </w:instrText>
      </w:r>
      <w:r>
        <w:fldChar w:fldCharType="separate"/>
      </w:r>
      <w:r>
        <w:t>59</w:t>
      </w:r>
      <w:r>
        <w:fldChar w:fldCharType="end"/>
      </w:r>
      <w:r>
        <w:rPr>
          <w:rFonts w:ascii="Times New Roman"/>
          <w:bCs/>
          <w:color w:val="auto"/>
          <w:kern w:val="2"/>
        </w:rPr>
        <w:fldChar w:fldCharType="end"/>
      </w:r>
    </w:p>
    <w:p w14:paraId="0CAC335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_Toc686141603 </w:instrText>
      </w:r>
      <w:r>
        <w:rPr>
          <w:rFonts w:ascii="Times New Roman"/>
          <w:bCs/>
          <w:kern w:val="2"/>
        </w:rPr>
        <w:fldChar w:fldCharType="separate"/>
      </w:r>
      <w:r>
        <w:rPr>
          <w:rFonts w:ascii="Times New Roman"/>
        </w:rPr>
        <w:t>第十七部分</w:t>
      </w:r>
      <w:r>
        <w:rPr>
          <w:rFonts w:hint="eastAsia" w:ascii="Times New Roman"/>
        </w:rPr>
        <w:t xml:space="preserve">  </w:t>
      </w:r>
      <w:r>
        <w:rPr>
          <w:rFonts w:ascii="Times New Roman"/>
        </w:rPr>
        <w:t>基金的会计与审计</w:t>
      </w:r>
      <w:r>
        <w:tab/>
      </w:r>
      <w:r>
        <w:fldChar w:fldCharType="begin"/>
      </w:r>
      <w:r>
        <w:instrText xml:space="preserve"> PAGEREF _Toc686141603 \h </w:instrText>
      </w:r>
      <w:r>
        <w:fldChar w:fldCharType="separate"/>
      </w:r>
      <w:r>
        <w:t>61</w:t>
      </w:r>
      <w:r>
        <w:fldChar w:fldCharType="end"/>
      </w:r>
      <w:r>
        <w:rPr>
          <w:rFonts w:ascii="Times New Roman"/>
          <w:bCs/>
          <w:color w:val="auto"/>
          <w:kern w:val="2"/>
        </w:rPr>
        <w:fldChar w:fldCharType="end"/>
      </w:r>
    </w:p>
    <w:p w14:paraId="647768AC">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_Toc1616572452 </w:instrText>
      </w:r>
      <w:r>
        <w:rPr>
          <w:rFonts w:ascii="Times New Roman"/>
          <w:bCs/>
          <w:kern w:val="2"/>
        </w:rPr>
        <w:fldChar w:fldCharType="separate"/>
      </w:r>
      <w:r>
        <w:rPr>
          <w:rFonts w:ascii="Times New Roman"/>
        </w:rPr>
        <w:t>第十八部分</w:t>
      </w:r>
      <w:r>
        <w:rPr>
          <w:rFonts w:hint="eastAsia" w:ascii="Times New Roman"/>
        </w:rPr>
        <w:t xml:space="preserve">  </w:t>
      </w:r>
      <w:r>
        <w:rPr>
          <w:rFonts w:ascii="Times New Roman"/>
        </w:rPr>
        <w:t>基金的信息披露</w:t>
      </w:r>
      <w:r>
        <w:tab/>
      </w:r>
      <w:r>
        <w:fldChar w:fldCharType="begin"/>
      </w:r>
      <w:r>
        <w:instrText xml:space="preserve"> PAGEREF _Toc1616572452 \h </w:instrText>
      </w:r>
      <w:r>
        <w:fldChar w:fldCharType="separate"/>
      </w:r>
      <w:r>
        <w:t>62</w:t>
      </w:r>
      <w:r>
        <w:fldChar w:fldCharType="end"/>
      </w:r>
      <w:r>
        <w:rPr>
          <w:rFonts w:ascii="Times New Roman"/>
          <w:bCs/>
          <w:color w:val="auto"/>
          <w:kern w:val="2"/>
        </w:rPr>
        <w:fldChar w:fldCharType="end"/>
      </w:r>
    </w:p>
    <w:p w14:paraId="5D803F0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_Toc681601301 </w:instrText>
      </w:r>
      <w:r>
        <w:rPr>
          <w:rFonts w:ascii="Times New Roman"/>
          <w:bCs/>
          <w:kern w:val="2"/>
        </w:rPr>
        <w:fldChar w:fldCharType="separate"/>
      </w:r>
      <w:r>
        <w:rPr>
          <w:rFonts w:ascii="Times New Roman"/>
        </w:rPr>
        <w:t>第十九部分</w:t>
      </w:r>
      <w:r>
        <w:rPr>
          <w:rFonts w:hint="eastAsia" w:ascii="Times New Roman"/>
        </w:rPr>
        <w:t xml:space="preserve">  </w:t>
      </w:r>
      <w:r>
        <w:rPr>
          <w:rFonts w:ascii="Times New Roman"/>
        </w:rPr>
        <w:t>基金合同的变更、终止与基金财产的清算</w:t>
      </w:r>
      <w:r>
        <w:tab/>
      </w:r>
      <w:r>
        <w:fldChar w:fldCharType="begin"/>
      </w:r>
      <w:r>
        <w:instrText xml:space="preserve"> PAGEREF _Toc681601301 \h </w:instrText>
      </w:r>
      <w:r>
        <w:fldChar w:fldCharType="separate"/>
      </w:r>
      <w:r>
        <w:t>69</w:t>
      </w:r>
      <w:r>
        <w:fldChar w:fldCharType="end"/>
      </w:r>
      <w:r>
        <w:rPr>
          <w:rFonts w:ascii="Times New Roman"/>
          <w:bCs/>
          <w:color w:val="auto"/>
          <w:kern w:val="2"/>
        </w:rPr>
        <w:fldChar w:fldCharType="end"/>
      </w:r>
    </w:p>
    <w:p w14:paraId="298D2E28">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_Toc1381775418 </w:instrText>
      </w:r>
      <w:r>
        <w:rPr>
          <w:rFonts w:ascii="Times New Roman"/>
          <w:bCs/>
          <w:kern w:val="2"/>
        </w:rPr>
        <w:fldChar w:fldCharType="separate"/>
      </w:r>
      <w:r>
        <w:rPr>
          <w:rFonts w:ascii="Times New Roman"/>
        </w:rPr>
        <w:t>第二十部分</w:t>
      </w:r>
      <w:r>
        <w:rPr>
          <w:rFonts w:hint="eastAsia" w:ascii="Times New Roman"/>
        </w:rPr>
        <w:t xml:space="preserve">  </w:t>
      </w:r>
      <w:r>
        <w:rPr>
          <w:rFonts w:ascii="Times New Roman"/>
        </w:rPr>
        <w:t>违约责任</w:t>
      </w:r>
      <w:r>
        <w:tab/>
      </w:r>
      <w:r>
        <w:fldChar w:fldCharType="begin"/>
      </w:r>
      <w:r>
        <w:instrText xml:space="preserve"> PAGEREF _Toc1381775418 \h </w:instrText>
      </w:r>
      <w:r>
        <w:fldChar w:fldCharType="separate"/>
      </w:r>
      <w:r>
        <w:t>71</w:t>
      </w:r>
      <w:r>
        <w:fldChar w:fldCharType="end"/>
      </w:r>
      <w:r>
        <w:rPr>
          <w:rFonts w:ascii="Times New Roman"/>
          <w:bCs/>
          <w:color w:val="auto"/>
          <w:kern w:val="2"/>
        </w:rPr>
        <w:fldChar w:fldCharType="end"/>
      </w:r>
    </w:p>
    <w:p w14:paraId="33133B21">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_Toc708916896 </w:instrText>
      </w:r>
      <w:r>
        <w:rPr>
          <w:rFonts w:ascii="Times New Roman"/>
          <w:bCs/>
          <w:kern w:val="2"/>
        </w:rPr>
        <w:fldChar w:fldCharType="separate"/>
      </w:r>
      <w:r>
        <w:rPr>
          <w:rFonts w:ascii="Times New Roman"/>
        </w:rPr>
        <w:t>第二十一部分</w:t>
      </w:r>
      <w:r>
        <w:rPr>
          <w:rFonts w:hint="eastAsia" w:ascii="Times New Roman"/>
        </w:rPr>
        <w:t xml:space="preserve">  </w:t>
      </w:r>
      <w:r>
        <w:rPr>
          <w:rFonts w:ascii="Times New Roman"/>
        </w:rPr>
        <w:t>争议的处理和适用的法律</w:t>
      </w:r>
      <w:r>
        <w:tab/>
      </w:r>
      <w:r>
        <w:fldChar w:fldCharType="begin"/>
      </w:r>
      <w:r>
        <w:instrText xml:space="preserve"> PAGEREF _Toc708916896 \h </w:instrText>
      </w:r>
      <w:r>
        <w:fldChar w:fldCharType="separate"/>
      </w:r>
      <w:r>
        <w:t>72</w:t>
      </w:r>
      <w:r>
        <w:fldChar w:fldCharType="end"/>
      </w:r>
      <w:r>
        <w:rPr>
          <w:rFonts w:ascii="Times New Roman"/>
          <w:bCs/>
          <w:color w:val="auto"/>
          <w:kern w:val="2"/>
        </w:rPr>
        <w:fldChar w:fldCharType="end"/>
      </w:r>
    </w:p>
    <w:p w14:paraId="218C3BC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_Toc1224987034 </w:instrText>
      </w:r>
      <w:r>
        <w:rPr>
          <w:rFonts w:ascii="Times New Roman"/>
          <w:bCs/>
          <w:kern w:val="2"/>
        </w:rPr>
        <w:fldChar w:fldCharType="separate"/>
      </w:r>
      <w:r>
        <w:rPr>
          <w:rFonts w:ascii="Times New Roman"/>
        </w:rPr>
        <w:t>第二十二部分</w:t>
      </w:r>
      <w:r>
        <w:rPr>
          <w:rFonts w:hint="eastAsia" w:ascii="Times New Roman"/>
        </w:rPr>
        <w:t xml:space="preserve">  </w:t>
      </w:r>
      <w:r>
        <w:rPr>
          <w:rFonts w:ascii="Times New Roman"/>
        </w:rPr>
        <w:t>基金合同的效力</w:t>
      </w:r>
      <w:r>
        <w:tab/>
      </w:r>
      <w:r>
        <w:fldChar w:fldCharType="begin"/>
      </w:r>
      <w:r>
        <w:instrText xml:space="preserve"> PAGEREF _Toc1224987034 \h </w:instrText>
      </w:r>
      <w:r>
        <w:fldChar w:fldCharType="separate"/>
      </w:r>
      <w:r>
        <w:t>73</w:t>
      </w:r>
      <w:r>
        <w:fldChar w:fldCharType="end"/>
      </w:r>
      <w:r>
        <w:rPr>
          <w:rFonts w:ascii="Times New Roman"/>
          <w:bCs/>
          <w:color w:val="auto"/>
          <w:kern w:val="2"/>
        </w:rPr>
        <w:fldChar w:fldCharType="end"/>
      </w:r>
    </w:p>
    <w:p w14:paraId="49C35619">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_Toc1161363228 </w:instrText>
      </w:r>
      <w:r>
        <w:rPr>
          <w:rFonts w:ascii="Times New Roman"/>
          <w:bCs/>
          <w:kern w:val="2"/>
        </w:rPr>
        <w:fldChar w:fldCharType="separate"/>
      </w:r>
      <w:r>
        <w:rPr>
          <w:rFonts w:hint="eastAsia" w:ascii="Times New Roman"/>
        </w:rPr>
        <w:t>第二十三部分  其他事项</w:t>
      </w:r>
      <w:r>
        <w:tab/>
      </w:r>
      <w:r>
        <w:fldChar w:fldCharType="begin"/>
      </w:r>
      <w:r>
        <w:instrText xml:space="preserve"> PAGEREF _Toc1161363228 \h </w:instrText>
      </w:r>
      <w:r>
        <w:fldChar w:fldCharType="separate"/>
      </w:r>
      <w:r>
        <w:t>74</w:t>
      </w:r>
      <w:r>
        <w:fldChar w:fldCharType="end"/>
      </w:r>
      <w:r>
        <w:rPr>
          <w:rFonts w:ascii="Times New Roman"/>
          <w:bCs/>
          <w:color w:val="auto"/>
          <w:kern w:val="2"/>
        </w:rPr>
        <w:fldChar w:fldCharType="end"/>
      </w:r>
    </w:p>
    <w:p w14:paraId="030C335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_Toc2004647541 </w:instrText>
      </w:r>
      <w:r>
        <w:rPr>
          <w:rFonts w:ascii="Times New Roman"/>
          <w:bCs/>
          <w:kern w:val="2"/>
        </w:rPr>
        <w:fldChar w:fldCharType="separate"/>
      </w:r>
      <w:r>
        <w:rPr>
          <w:rFonts w:ascii="Times New Roman"/>
        </w:rPr>
        <w:t>第二十四部分</w:t>
      </w:r>
      <w:r>
        <w:rPr>
          <w:rFonts w:hint="eastAsia" w:ascii="Times New Roman"/>
        </w:rPr>
        <w:t xml:space="preserve"> </w:t>
      </w:r>
      <w:r>
        <w:rPr>
          <w:rFonts w:ascii="Times New Roman"/>
        </w:rPr>
        <w:t>基金合同内容摘要</w:t>
      </w:r>
      <w:r>
        <w:tab/>
      </w:r>
      <w:r>
        <w:fldChar w:fldCharType="begin"/>
      </w:r>
      <w:r>
        <w:instrText xml:space="preserve"> PAGEREF _Toc2004647541 \h </w:instrText>
      </w:r>
      <w:r>
        <w:fldChar w:fldCharType="separate"/>
      </w:r>
      <w:r>
        <w:t>75</w:t>
      </w:r>
      <w:r>
        <w:fldChar w:fldCharType="end"/>
      </w:r>
      <w:r>
        <w:rPr>
          <w:rFonts w:ascii="Times New Roman"/>
          <w:bCs/>
          <w:color w:val="auto"/>
          <w:kern w:val="2"/>
        </w:rPr>
        <w:fldChar w:fldCharType="end"/>
      </w:r>
    </w:p>
    <w:p w14:paraId="7133068E">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29629"/>
      <w:bookmarkStart w:id="25" w:name="_Toc139991730"/>
      <w:bookmarkStart w:id="26" w:name="_Toc141703880"/>
      <w:bookmarkStart w:id="27" w:name="_Toc8727"/>
      <w:bookmarkStart w:id="28" w:name="_Toc32639"/>
      <w:bookmarkStart w:id="29" w:name="_Toc23386"/>
      <w:bookmarkStart w:id="30" w:name="_Toc4966"/>
      <w:bookmarkStart w:id="31" w:name="_Toc26897"/>
      <w:bookmarkStart w:id="32" w:name="_Toc30935"/>
      <w:bookmarkStart w:id="33" w:name="_Toc4867"/>
      <w:bookmarkStart w:id="34" w:name="_Toc15517"/>
      <w:bookmarkStart w:id="35" w:name="_Toc6306"/>
      <w:bookmarkStart w:id="36" w:name="_Toc123112229"/>
      <w:bookmarkStart w:id="37" w:name="_Toc123701389"/>
      <w:bookmarkStart w:id="38" w:name="_Toc123112268"/>
      <w:bookmarkStart w:id="39" w:name="_Toc233456271"/>
    </w:p>
    <w:p w14:paraId="7C7971B2">
      <w:pPr>
        <w:pStyle w:val="2"/>
        <w:spacing w:before="0" w:after="0"/>
        <w:jc w:val="center"/>
        <w:rPr>
          <w:rFonts w:ascii="Times New Roman"/>
          <w:color w:val="auto"/>
          <w:sz w:val="30"/>
        </w:rPr>
      </w:pPr>
      <w:bookmarkStart w:id="40" w:name="_Toc435642197"/>
      <w:bookmarkStart w:id="41" w:name="_Toc1582437587"/>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p>
    <w:p w14:paraId="57286944">
      <w:pPr>
        <w:rPr>
          <w:bCs/>
        </w:rPr>
      </w:pPr>
      <w:bookmarkStart w:id="42" w:name="_Toc139991731"/>
    </w:p>
    <w:bookmarkEnd w:id="36"/>
    <w:bookmarkEnd w:id="37"/>
    <w:bookmarkEnd w:id="38"/>
    <w:bookmarkEnd w:id="42"/>
    <w:p w14:paraId="7859B38F">
      <w:pPr>
        <w:spacing w:line="360" w:lineRule="auto"/>
        <w:ind w:firstLine="480" w:firstLineChars="200"/>
        <w:rPr>
          <w:bCs/>
          <w:sz w:val="24"/>
        </w:rPr>
      </w:pPr>
      <w:bookmarkStart w:id="43" w:name="_Toc258829399"/>
      <w:r>
        <w:rPr>
          <w:rFonts w:hint="eastAsia"/>
          <w:bCs/>
          <w:sz w:val="24"/>
        </w:rPr>
        <w:t>一、</w:t>
      </w:r>
      <w:r>
        <w:rPr>
          <w:bCs/>
          <w:sz w:val="24"/>
        </w:rPr>
        <w:t>订立本基金合同的目的、依据和原则</w:t>
      </w:r>
    </w:p>
    <w:p w14:paraId="01F11042">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66D50235">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5A7195D3">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41BCECB6">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0EE4CE4B">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1CB6888">
      <w:pPr>
        <w:spacing w:line="360" w:lineRule="auto"/>
        <w:ind w:firstLine="480" w:firstLineChars="200"/>
        <w:rPr>
          <w:rFonts w:hint="eastAsia"/>
          <w:bCs/>
          <w:sz w:val="24"/>
        </w:rPr>
      </w:pPr>
      <w:r>
        <w:rPr>
          <w:rFonts w:hint="eastAsia"/>
          <w:bCs/>
          <w:sz w:val="24"/>
        </w:rPr>
        <w:t>三、博时裕嘉纯债3个月定期开放债券型发起式证券投资基金由博时裕嘉纯债债券型证券投资基金转型而来，博时裕嘉纯债债券型证券投资基金由基金管理人依照《基金法》、基金合同及其他有关规定募集，并经中国证券监督管理委员会(以下简称“中国证监会”)注册。</w:t>
      </w:r>
    </w:p>
    <w:p w14:paraId="247726E0">
      <w:pPr>
        <w:spacing w:line="360" w:lineRule="auto"/>
        <w:ind w:firstLine="480" w:firstLineChars="200"/>
        <w:rPr>
          <w:rFonts w:hint="eastAsia"/>
          <w:bCs/>
          <w:sz w:val="24"/>
        </w:rPr>
      </w:pPr>
      <w:r>
        <w:rPr>
          <w:rFonts w:hint="eastAsia"/>
          <w:bCs/>
          <w:sz w:val="24"/>
        </w:rPr>
        <w:t>中国证监会对博时裕嘉纯债债券型证券投资基金的变更注册，并不表明其对本基金的价值和收益做出实质性判断或保证，也不表明投资于本基金没有风险。中国证监会不对基金的投资价值及市场前景等作出实质性判断或者保证。</w:t>
      </w:r>
    </w:p>
    <w:p w14:paraId="2FF1D658">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5D7090B9">
      <w:pPr>
        <w:spacing w:line="360" w:lineRule="auto"/>
        <w:ind w:firstLine="480" w:firstLineChars="200"/>
        <w:rPr>
          <w:bCs/>
          <w:sz w:val="24"/>
        </w:rPr>
      </w:pPr>
      <w:r>
        <w:rPr>
          <w:rFonts w:hint="eastAsia"/>
          <w:bCs/>
          <w:sz w:val="24"/>
        </w:rPr>
        <w:t>投资者应当认真阅读基金合同、基金招募说明书、</w:t>
      </w:r>
      <w:r>
        <w:rPr>
          <w:bCs/>
          <w:sz w:val="24"/>
        </w:rPr>
        <w:t>基金产品资料概要</w:t>
      </w:r>
      <w:r>
        <w:rPr>
          <w:rFonts w:hint="eastAsia"/>
          <w:bCs/>
          <w:sz w:val="24"/>
        </w:rPr>
        <w:t>等信息披露文件，自主判断基金的投资价值，自主做出投资决策，自行承担投资风险。</w:t>
      </w:r>
    </w:p>
    <w:p w14:paraId="782785E0">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5866D88">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6C8334BD">
      <w:pPr>
        <w:numPr>
          <w:ilvl w:val="0"/>
          <w:numId w:val="2"/>
        </w:numPr>
        <w:spacing w:line="360" w:lineRule="auto"/>
        <w:ind w:firstLine="480" w:firstLineChars="200"/>
        <w:rPr>
          <w:rFonts w:hint="eastAsia"/>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29997B85">
      <w:pPr>
        <w:numPr>
          <w:ilvl w:val="0"/>
          <w:numId w:val="2"/>
        </w:numPr>
        <w:spacing w:line="360" w:lineRule="auto"/>
        <w:ind w:firstLine="480"/>
        <w:rPr>
          <w:rFonts w:hint="eastAsia"/>
          <w:bCs/>
          <w:sz w:val="24"/>
        </w:rPr>
      </w:pPr>
      <w:r>
        <w:rPr>
          <w:rFonts w:hint="eastAsia"/>
          <w:bCs/>
          <w:sz w:val="24"/>
        </w:rPr>
        <w:t>本基金允许单一投资者持有基金份额比例达到或者超过50%，且本基金不向个人投资者公开销售。法律法规或监管机构另有约定的除外。</w:t>
      </w:r>
    </w:p>
    <w:p w14:paraId="6D6236A1">
      <w:pPr>
        <w:pStyle w:val="2"/>
        <w:spacing w:before="0" w:after="0"/>
        <w:jc w:val="center"/>
        <w:rPr>
          <w:rFonts w:ascii="Times New Roman"/>
          <w:color w:val="auto"/>
          <w:sz w:val="30"/>
        </w:rPr>
      </w:pPr>
      <w:r>
        <w:rPr>
          <w:rFonts w:ascii="Times New Roman"/>
          <w:b w:val="0"/>
          <w:bCs/>
          <w:color w:val="auto"/>
          <w:kern w:val="44"/>
          <w:sz w:val="21"/>
        </w:rPr>
        <w:br w:type="page"/>
      </w:r>
      <w:bookmarkStart w:id="44" w:name="_Toc3224"/>
      <w:bookmarkStart w:id="45" w:name="_Toc2465"/>
      <w:bookmarkStart w:id="46" w:name="_Toc15067"/>
      <w:bookmarkStart w:id="47" w:name="_Toc6617"/>
      <w:bookmarkStart w:id="48" w:name="_Toc22864"/>
      <w:bookmarkStart w:id="49" w:name="_Toc1863004784"/>
      <w:bookmarkStart w:id="50" w:name="_Toc13020"/>
      <w:bookmarkStart w:id="51" w:name="_Toc24860"/>
      <w:bookmarkStart w:id="52" w:name="_Toc819"/>
      <w:bookmarkStart w:id="53" w:name="_Toc435642198"/>
      <w:bookmarkStart w:id="54" w:name="_Toc19592"/>
      <w:bookmarkStart w:id="55" w:name="_Toc21301"/>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3"/>
      <w:bookmarkEnd w:id="44"/>
      <w:bookmarkEnd w:id="45"/>
      <w:bookmarkEnd w:id="46"/>
      <w:bookmarkEnd w:id="47"/>
      <w:bookmarkEnd w:id="48"/>
      <w:bookmarkEnd w:id="49"/>
      <w:bookmarkEnd w:id="50"/>
      <w:bookmarkEnd w:id="51"/>
      <w:bookmarkEnd w:id="52"/>
      <w:bookmarkEnd w:id="53"/>
      <w:bookmarkEnd w:id="54"/>
      <w:bookmarkEnd w:id="55"/>
    </w:p>
    <w:p w14:paraId="1C475366">
      <w:pPr>
        <w:autoSpaceDE w:val="0"/>
        <w:autoSpaceDN w:val="0"/>
        <w:adjustRightInd w:val="0"/>
        <w:spacing w:line="360" w:lineRule="auto"/>
        <w:ind w:firstLine="420" w:firstLineChars="200"/>
        <w:rPr>
          <w:bCs/>
        </w:rPr>
      </w:pPr>
    </w:p>
    <w:p w14:paraId="61E7B87E">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7DDDEA5F">
      <w:pPr>
        <w:spacing w:line="360" w:lineRule="auto"/>
        <w:ind w:firstLine="480" w:firstLineChars="200"/>
        <w:rPr>
          <w:bCs/>
          <w:sz w:val="24"/>
        </w:rPr>
      </w:pPr>
      <w:r>
        <w:rPr>
          <w:bCs/>
          <w:sz w:val="24"/>
        </w:rPr>
        <w:t>1</w:t>
      </w:r>
      <w:r>
        <w:rPr>
          <w:rFonts w:hint="eastAsia"/>
          <w:bCs/>
          <w:sz w:val="24"/>
        </w:rPr>
        <w:t>、</w:t>
      </w:r>
      <w:r>
        <w:rPr>
          <w:bCs/>
          <w:sz w:val="24"/>
        </w:rPr>
        <w:t>基金或本基金：</w:t>
      </w:r>
      <w:r>
        <w:rPr>
          <w:rFonts w:hint="eastAsia"/>
          <w:bCs/>
          <w:sz w:val="24"/>
        </w:rPr>
        <w:t>博时裕嘉纯债3个月定期开放债券型发起式证券投资基金，本基金由博时裕嘉纯债债券型证券投资基金转型而来</w:t>
      </w:r>
    </w:p>
    <w:p w14:paraId="7D8CC2FD">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62D3D6BA">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兴业银行股份有限公司</w:t>
      </w:r>
    </w:p>
    <w:p w14:paraId="00FD85DC">
      <w:pPr>
        <w:spacing w:line="360" w:lineRule="auto"/>
        <w:ind w:firstLine="480" w:firstLineChars="200"/>
        <w:rPr>
          <w:bCs/>
          <w:sz w:val="24"/>
        </w:rPr>
      </w:pPr>
      <w:r>
        <w:rPr>
          <w:bCs/>
          <w:sz w:val="24"/>
        </w:rPr>
        <w:t>4</w:t>
      </w:r>
      <w:r>
        <w:rPr>
          <w:rFonts w:hint="eastAsia"/>
          <w:bCs/>
          <w:sz w:val="24"/>
        </w:rPr>
        <w:t>、</w:t>
      </w:r>
      <w:r>
        <w:rPr>
          <w:bCs/>
          <w:sz w:val="24"/>
        </w:rPr>
        <w:t>基金合同：指《</w:t>
      </w:r>
      <w:r>
        <w:rPr>
          <w:rFonts w:hint="eastAsia"/>
          <w:bCs/>
          <w:sz w:val="24"/>
        </w:rPr>
        <w:t>博时裕嘉纯债3个月定期开放债券型发起式证券投资基金</w:t>
      </w:r>
      <w:r>
        <w:rPr>
          <w:bCs/>
          <w:sz w:val="24"/>
        </w:rPr>
        <w:t>基金合同》及对本基金合同的任何有效修订和补充</w:t>
      </w:r>
    </w:p>
    <w:p w14:paraId="78B794FB">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博时裕嘉纯债3个月定期开放债券型发起式证券投资基金</w:t>
      </w:r>
      <w:r>
        <w:rPr>
          <w:bCs/>
          <w:sz w:val="24"/>
        </w:rPr>
        <w:t>托管协议》及对该托管协议的任何有效修订和补充</w:t>
      </w:r>
    </w:p>
    <w:p w14:paraId="5F32F278">
      <w:pPr>
        <w:spacing w:line="360" w:lineRule="auto"/>
        <w:ind w:firstLine="480" w:firstLineChars="200"/>
        <w:rPr>
          <w:rFonts w:hint="eastAsia"/>
          <w:bCs/>
          <w:sz w:val="24"/>
        </w:rPr>
      </w:pPr>
      <w:r>
        <w:rPr>
          <w:bCs/>
          <w:sz w:val="24"/>
        </w:rPr>
        <w:t>6</w:t>
      </w:r>
      <w:r>
        <w:rPr>
          <w:rFonts w:hint="eastAsia"/>
          <w:bCs/>
          <w:sz w:val="24"/>
        </w:rPr>
        <w:t>、</w:t>
      </w:r>
      <w:r>
        <w:rPr>
          <w:bCs/>
          <w:sz w:val="24"/>
        </w:rPr>
        <w:t>招募说明书：指《</w:t>
      </w:r>
      <w:r>
        <w:rPr>
          <w:rFonts w:hint="eastAsia"/>
          <w:bCs/>
          <w:sz w:val="24"/>
        </w:rPr>
        <w:t>博时裕嘉纯债3个月定期开放债券型发起式证券投资基金</w:t>
      </w:r>
      <w:r>
        <w:rPr>
          <w:bCs/>
          <w:sz w:val="24"/>
        </w:rPr>
        <w:t>招募说明书》及其更新</w:t>
      </w:r>
    </w:p>
    <w:p w14:paraId="71F6A935">
      <w:pPr>
        <w:spacing w:line="360" w:lineRule="auto"/>
        <w:ind w:firstLine="480" w:firstLineChars="200"/>
        <w:rPr>
          <w:bCs/>
          <w:sz w:val="24"/>
        </w:rPr>
      </w:pPr>
      <w:r>
        <w:rPr>
          <w:rFonts w:hint="eastAsia"/>
          <w:bCs/>
          <w:sz w:val="24"/>
        </w:rPr>
        <w:t>7、基金</w:t>
      </w:r>
      <w:r>
        <w:rPr>
          <w:bCs/>
          <w:sz w:val="24"/>
        </w:rPr>
        <w:t>产品资料概要：指《</w:t>
      </w:r>
      <w:r>
        <w:rPr>
          <w:rFonts w:hint="eastAsia"/>
          <w:bCs/>
          <w:sz w:val="24"/>
        </w:rPr>
        <w:t>博时裕嘉纯债3个月定期开放债券型发起式证券</w:t>
      </w:r>
      <w:r>
        <w:rPr>
          <w:bCs/>
          <w:sz w:val="24"/>
        </w:rPr>
        <w:t>投资基金基金产品资料概要》</w:t>
      </w:r>
      <w:r>
        <w:rPr>
          <w:rFonts w:hint="eastAsia"/>
          <w:bCs/>
          <w:sz w:val="24"/>
        </w:rPr>
        <w:t>及其</w:t>
      </w:r>
      <w:r>
        <w:rPr>
          <w:bCs/>
          <w:sz w:val="24"/>
        </w:rPr>
        <w:t>更新</w:t>
      </w:r>
    </w:p>
    <w:p w14:paraId="212F980C">
      <w:pPr>
        <w:spacing w:line="360" w:lineRule="auto"/>
        <w:ind w:firstLine="480" w:firstLineChars="200"/>
        <w:rPr>
          <w:bCs/>
          <w:sz w:val="24"/>
        </w:rPr>
      </w:pPr>
      <w:r>
        <w:rPr>
          <w:rFonts w:hint="eastAsia"/>
          <w:bCs/>
          <w:sz w:val="24"/>
        </w:rPr>
        <w:t>8、</w:t>
      </w:r>
      <w:r>
        <w:rPr>
          <w:bCs/>
          <w:sz w:val="24"/>
        </w:rPr>
        <w:t>法律法规：指中国现行有效并公布实施的法律、行政法规、规范性文件、司法解释、行政规章以及其他对基金合同当事人有约束力的决定、决议、通知等</w:t>
      </w:r>
    </w:p>
    <w:p w14:paraId="724B2E29">
      <w:pPr>
        <w:spacing w:line="360" w:lineRule="auto"/>
        <w:ind w:firstLine="480" w:firstLineChars="200"/>
        <w:rPr>
          <w:bCs/>
          <w:sz w:val="24"/>
        </w:rPr>
      </w:pPr>
      <w:r>
        <w:rPr>
          <w:rFonts w:hint="eastAsia"/>
          <w:bCs/>
          <w:sz w:val="24"/>
        </w:rPr>
        <w:t>9、</w:t>
      </w:r>
      <w:r>
        <w:rPr>
          <w:bCs/>
          <w:sz w:val="24"/>
        </w:rPr>
        <w:t>《基金法》：指2003年10月28日经第十届全国人民代表大会常务委员会第五次会议通过，</w:t>
      </w:r>
      <w:r>
        <w:rPr>
          <w:rFonts w:hint="eastAsia"/>
          <w:bCs/>
          <w:sz w:val="24"/>
        </w:rPr>
        <w:t>经</w:t>
      </w:r>
      <w:r>
        <w:rPr>
          <w:bCs/>
          <w:sz w:val="24"/>
        </w:rPr>
        <w:t>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54415F53">
      <w:pPr>
        <w:spacing w:line="360" w:lineRule="auto"/>
        <w:ind w:firstLine="480" w:firstLineChars="200"/>
        <w:rPr>
          <w:bCs/>
          <w:sz w:val="24"/>
        </w:rPr>
      </w:pPr>
      <w:r>
        <w:rPr>
          <w:rFonts w:hint="eastAsia"/>
          <w:bCs/>
          <w:sz w:val="24"/>
        </w:rPr>
        <w:t>10、</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673DCEA9">
      <w:pPr>
        <w:spacing w:line="360" w:lineRule="auto"/>
        <w:ind w:firstLine="480" w:firstLineChars="200"/>
        <w:rPr>
          <w:bCs/>
          <w:sz w:val="24"/>
        </w:rPr>
      </w:pPr>
      <w:r>
        <w:rPr>
          <w:rFonts w:hint="eastAsia"/>
          <w:bCs/>
          <w:sz w:val="24"/>
        </w:rPr>
        <w:t>11、</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月1日实施的《</w:t>
      </w:r>
      <w:r>
        <w:rPr>
          <w:rFonts w:hint="eastAsia"/>
          <w:bCs/>
          <w:sz w:val="24"/>
        </w:rPr>
        <w:t>公开募集</w:t>
      </w:r>
      <w:r>
        <w:rPr>
          <w:bCs/>
          <w:sz w:val="24"/>
        </w:rPr>
        <w:t>证券投资基金信息披露管理办法》及颁布机关对其不时做出的修订</w:t>
      </w:r>
    </w:p>
    <w:p w14:paraId="36648687">
      <w:pPr>
        <w:spacing w:line="360" w:lineRule="auto"/>
        <w:ind w:firstLine="480" w:firstLineChars="200"/>
        <w:rPr>
          <w:bCs/>
          <w:sz w:val="24"/>
        </w:rPr>
      </w:pPr>
      <w:r>
        <w:rPr>
          <w:rFonts w:hint="eastAsia"/>
          <w:bCs/>
          <w:sz w:val="24"/>
        </w:rPr>
        <w:t>12、</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7AEC8283">
      <w:pPr>
        <w:spacing w:line="360" w:lineRule="auto"/>
        <w:ind w:firstLine="480" w:firstLineChars="200"/>
        <w:rPr>
          <w:rFonts w:hint="eastAsia"/>
          <w:bCs/>
          <w:sz w:val="24"/>
        </w:rPr>
      </w:pPr>
      <w:r>
        <w:rPr>
          <w:rFonts w:hint="eastAsia"/>
          <w:bCs/>
          <w:sz w:val="24"/>
        </w:rPr>
        <w:t>13、《流动性风险管理规定》：指中国证监会2017年8月31日颁布、同年10月1日实施的《公开募集开放式证券投资基金流动性风险管理规定》及颁布机关对其不时做出的修订</w:t>
      </w:r>
    </w:p>
    <w:p w14:paraId="004DE879">
      <w:pPr>
        <w:spacing w:line="360" w:lineRule="auto"/>
        <w:ind w:firstLine="480" w:firstLineChars="200"/>
        <w:rPr>
          <w:bCs/>
          <w:sz w:val="24"/>
        </w:rPr>
      </w:pPr>
      <w:r>
        <w:rPr>
          <w:rFonts w:hint="eastAsia"/>
          <w:bCs/>
          <w:sz w:val="24"/>
        </w:rPr>
        <w:t>14、</w:t>
      </w:r>
      <w:r>
        <w:rPr>
          <w:bCs/>
          <w:sz w:val="24"/>
        </w:rPr>
        <w:t>中国证监会：指中国证券监督管理委员会</w:t>
      </w:r>
    </w:p>
    <w:p w14:paraId="0BE94EEF">
      <w:pPr>
        <w:spacing w:line="360" w:lineRule="auto"/>
        <w:ind w:firstLine="480" w:firstLineChars="200"/>
        <w:rPr>
          <w:bCs/>
          <w:sz w:val="24"/>
        </w:rPr>
      </w:pPr>
      <w:r>
        <w:rPr>
          <w:rFonts w:hint="eastAsia"/>
          <w:bCs/>
          <w:sz w:val="24"/>
        </w:rPr>
        <w:t>15、</w:t>
      </w:r>
      <w:r>
        <w:rPr>
          <w:bCs/>
          <w:sz w:val="24"/>
        </w:rPr>
        <w:t>银行业监督管理机构：指中国人民银行和/或中国银行业监督管理委员会</w:t>
      </w:r>
    </w:p>
    <w:p w14:paraId="2CE73737">
      <w:pPr>
        <w:spacing w:line="360" w:lineRule="auto"/>
        <w:ind w:firstLine="480" w:firstLineChars="200"/>
        <w:rPr>
          <w:bCs/>
          <w:sz w:val="24"/>
        </w:rPr>
      </w:pPr>
      <w:r>
        <w:rPr>
          <w:rFonts w:hint="eastAsia"/>
          <w:bCs/>
          <w:sz w:val="24"/>
        </w:rPr>
        <w:t>16、</w:t>
      </w:r>
      <w:r>
        <w:rPr>
          <w:bCs/>
          <w:sz w:val="24"/>
        </w:rPr>
        <w:t>基金合同当事人：指受基金合同约束，根据基金合同享有权利并承担义务的法律主体，包括基金管理人、基金托管人和基金份额持有人</w:t>
      </w:r>
    </w:p>
    <w:p w14:paraId="39AC307F">
      <w:pPr>
        <w:spacing w:line="360" w:lineRule="auto"/>
        <w:ind w:firstLine="480" w:firstLineChars="200"/>
        <w:rPr>
          <w:bCs/>
          <w:sz w:val="24"/>
        </w:rPr>
      </w:pPr>
      <w:r>
        <w:rPr>
          <w:rFonts w:hint="eastAsia"/>
          <w:bCs/>
          <w:sz w:val="24"/>
        </w:rPr>
        <w:t>17、</w:t>
      </w:r>
      <w:r>
        <w:rPr>
          <w:bCs/>
          <w:sz w:val="24"/>
        </w:rPr>
        <w:t>个人投资者：指依据有关法律法规规定可投资于证券投资基金的自然人</w:t>
      </w:r>
      <w:r>
        <w:rPr>
          <w:rFonts w:hint="eastAsia"/>
          <w:bCs/>
          <w:sz w:val="24"/>
        </w:rPr>
        <w:t>，本基金为定制基金，不向个人投资者公开销售。法律法规或监管机构另有约定的除外</w:t>
      </w:r>
    </w:p>
    <w:p w14:paraId="7C9CCB70">
      <w:pPr>
        <w:spacing w:line="360" w:lineRule="auto"/>
        <w:ind w:firstLine="480" w:firstLineChars="200"/>
        <w:rPr>
          <w:bCs/>
          <w:sz w:val="24"/>
        </w:rPr>
      </w:pPr>
      <w:r>
        <w:rPr>
          <w:rFonts w:hint="eastAsia"/>
          <w:bCs/>
          <w:sz w:val="24"/>
        </w:rPr>
        <w:t>18、</w:t>
      </w:r>
      <w:r>
        <w:rPr>
          <w:bCs/>
          <w:sz w:val="24"/>
        </w:rPr>
        <w:t>机构投资者：指依法可以投资证券投资基金的、在中华人民共和国境内合法登记并存续或经有关政府部门批准设立并存续的企业法人、事业法人、社会团体或其他组织</w:t>
      </w:r>
    </w:p>
    <w:p w14:paraId="0DCB8A6F">
      <w:pPr>
        <w:spacing w:line="360" w:lineRule="auto"/>
        <w:ind w:firstLine="480" w:firstLineChars="200"/>
        <w:rPr>
          <w:bCs/>
          <w:sz w:val="24"/>
        </w:rPr>
      </w:pPr>
      <w:r>
        <w:rPr>
          <w:rFonts w:hint="eastAsia"/>
          <w:bCs/>
          <w:sz w:val="24"/>
        </w:rPr>
        <w:t>19、合格境外机构投资者：指符合相关法律法规规定可以投资于在中国境内依法募集的证券投资基金的中国境外的机构投资者</w:t>
      </w:r>
    </w:p>
    <w:p w14:paraId="2387C5CC">
      <w:pPr>
        <w:spacing w:line="360" w:lineRule="auto"/>
        <w:ind w:firstLine="480" w:firstLineChars="200"/>
        <w:rPr>
          <w:bCs/>
          <w:sz w:val="24"/>
        </w:rPr>
      </w:pPr>
      <w:r>
        <w:rPr>
          <w:rFonts w:hint="eastAsia"/>
          <w:bCs/>
          <w:sz w:val="24"/>
        </w:rPr>
        <w:t>20、</w:t>
      </w:r>
      <w:r>
        <w:rPr>
          <w:bCs/>
          <w:sz w:val="24"/>
        </w:rPr>
        <w:t>投资人：指个人投资者、机构投资者</w:t>
      </w:r>
      <w:r>
        <w:rPr>
          <w:rFonts w:hint="eastAsia"/>
          <w:bCs/>
          <w:sz w:val="24"/>
        </w:rPr>
        <w:t>、</w:t>
      </w:r>
      <w:r>
        <w:rPr>
          <w:bCs/>
          <w:sz w:val="24"/>
        </w:rPr>
        <w:t>合格境外机构投资者</w:t>
      </w:r>
      <w:r>
        <w:rPr>
          <w:rFonts w:hint="eastAsia"/>
          <w:bCs/>
          <w:sz w:val="24"/>
        </w:rPr>
        <w:t>、发起资金提供方</w:t>
      </w:r>
      <w:r>
        <w:rPr>
          <w:bCs/>
          <w:sz w:val="24"/>
          <w:szCs w:val="24"/>
        </w:rPr>
        <w:t>以</w:t>
      </w:r>
      <w:r>
        <w:rPr>
          <w:bCs/>
          <w:sz w:val="24"/>
        </w:rPr>
        <w:t>及法律法规或中国证监会允许购买证券投资基金的其他投资人的合称</w:t>
      </w:r>
      <w:r>
        <w:rPr>
          <w:rFonts w:hint="eastAsia"/>
          <w:bCs/>
          <w:sz w:val="24"/>
        </w:rPr>
        <w:t>，但本基金不向个人投资者公开销售</w:t>
      </w:r>
    </w:p>
    <w:p w14:paraId="400F0556">
      <w:pPr>
        <w:spacing w:line="360" w:lineRule="auto"/>
        <w:ind w:firstLine="480" w:firstLineChars="200"/>
        <w:rPr>
          <w:bCs/>
          <w:sz w:val="24"/>
        </w:rPr>
      </w:pPr>
      <w:r>
        <w:rPr>
          <w:bCs/>
          <w:sz w:val="24"/>
        </w:rPr>
        <w:t>2</w:t>
      </w:r>
      <w:r>
        <w:rPr>
          <w:rFonts w:hint="eastAsia"/>
          <w:bCs/>
          <w:sz w:val="24"/>
        </w:rPr>
        <w:t>1、</w:t>
      </w:r>
      <w:r>
        <w:rPr>
          <w:bCs/>
          <w:sz w:val="24"/>
        </w:rPr>
        <w:t>基金份额持有人：指依基金合同和招募说明书合法取得基金份额的投资人</w:t>
      </w:r>
    </w:p>
    <w:p w14:paraId="3ED3358A">
      <w:pPr>
        <w:spacing w:line="360" w:lineRule="auto"/>
        <w:ind w:firstLine="480" w:firstLineChars="200"/>
        <w:rPr>
          <w:bCs/>
          <w:sz w:val="24"/>
        </w:rPr>
      </w:pPr>
      <w:r>
        <w:rPr>
          <w:bCs/>
          <w:sz w:val="24"/>
        </w:rPr>
        <w:t>2</w:t>
      </w:r>
      <w:r>
        <w:rPr>
          <w:rFonts w:hint="eastAsia"/>
          <w:bCs/>
          <w:sz w:val="24"/>
        </w:rPr>
        <w:t>2、基金销售业务：指基金管理人或销售机构宣传推介基金，办理基金份额的申购、赎回、转换、转托管及定期定额投资等业务</w:t>
      </w:r>
    </w:p>
    <w:p w14:paraId="4F266CB9">
      <w:pPr>
        <w:spacing w:line="360" w:lineRule="auto"/>
        <w:ind w:firstLine="480" w:firstLineChars="200"/>
        <w:rPr>
          <w:bCs/>
          <w:sz w:val="24"/>
        </w:rPr>
      </w:pPr>
      <w:r>
        <w:rPr>
          <w:bCs/>
          <w:sz w:val="24"/>
        </w:rPr>
        <w:t>2</w:t>
      </w:r>
      <w:r>
        <w:rPr>
          <w:rFonts w:hint="eastAsia"/>
          <w:bCs/>
          <w:sz w:val="24"/>
        </w:rPr>
        <w:t>3、</w:t>
      </w:r>
      <w:r>
        <w:rPr>
          <w:bCs/>
          <w:sz w:val="24"/>
        </w:rPr>
        <w:t>销售机构：</w:t>
      </w:r>
      <w:r>
        <w:rPr>
          <w:rFonts w:hint="eastAsia"/>
          <w:bCs/>
          <w:sz w:val="24"/>
        </w:rPr>
        <w:t>指直销机构和代销机构</w:t>
      </w:r>
    </w:p>
    <w:p w14:paraId="62AB59ED">
      <w:pPr>
        <w:spacing w:line="360" w:lineRule="auto"/>
        <w:ind w:firstLine="480" w:firstLineChars="200"/>
        <w:rPr>
          <w:bCs/>
          <w:sz w:val="24"/>
        </w:rPr>
      </w:pPr>
      <w:r>
        <w:rPr>
          <w:rFonts w:hint="eastAsia"/>
          <w:bCs/>
          <w:sz w:val="24"/>
        </w:rPr>
        <w:t>24、直销机构：指博时基金管理有限公司</w:t>
      </w:r>
    </w:p>
    <w:p w14:paraId="033FC77C">
      <w:pPr>
        <w:spacing w:line="360" w:lineRule="auto"/>
        <w:ind w:firstLine="480" w:firstLineChars="200"/>
        <w:rPr>
          <w:bCs/>
          <w:sz w:val="24"/>
        </w:rPr>
      </w:pPr>
      <w:r>
        <w:rPr>
          <w:rFonts w:hint="eastAsia"/>
          <w:bCs/>
          <w:sz w:val="24"/>
        </w:rPr>
        <w:t>25、代销机构：指符合《销售办法》和中国证监会规定的其他条件，取得基金销售业务资格并与基金管理人签订了基金销售服务代理协议，代为办理基金销售业务的机构</w:t>
      </w:r>
    </w:p>
    <w:p w14:paraId="0D7BBEB3">
      <w:pPr>
        <w:spacing w:line="360" w:lineRule="auto"/>
        <w:ind w:firstLine="480" w:firstLineChars="200"/>
        <w:rPr>
          <w:bCs/>
          <w:sz w:val="24"/>
        </w:rPr>
      </w:pPr>
      <w:r>
        <w:rPr>
          <w:rFonts w:hint="eastAsia"/>
          <w:bCs/>
          <w:sz w:val="24"/>
        </w:rPr>
        <w:t>26、</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28FE0211">
      <w:pPr>
        <w:spacing w:line="360" w:lineRule="auto"/>
        <w:ind w:firstLine="480" w:firstLineChars="200"/>
        <w:rPr>
          <w:bCs/>
          <w:sz w:val="24"/>
        </w:rPr>
      </w:pPr>
      <w:r>
        <w:rPr>
          <w:bCs/>
          <w:sz w:val="24"/>
        </w:rPr>
        <w:t>2</w:t>
      </w:r>
      <w:r>
        <w:rPr>
          <w:rFonts w:hint="eastAsia"/>
          <w:bCs/>
          <w:sz w:val="24"/>
        </w:rPr>
        <w:t>7、</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2864CF3C">
      <w:pPr>
        <w:spacing w:line="360" w:lineRule="auto"/>
        <w:ind w:firstLine="480" w:firstLineChars="200"/>
        <w:rPr>
          <w:bCs/>
          <w:sz w:val="24"/>
        </w:rPr>
      </w:pPr>
      <w:r>
        <w:rPr>
          <w:bCs/>
          <w:sz w:val="24"/>
        </w:rPr>
        <w:t>2</w:t>
      </w:r>
      <w:r>
        <w:rPr>
          <w:rFonts w:hint="eastAsia"/>
          <w:bCs/>
          <w:sz w:val="24"/>
        </w:rPr>
        <w:t>8、</w:t>
      </w:r>
      <w:r>
        <w:rPr>
          <w:bCs/>
          <w:sz w:val="24"/>
        </w:rPr>
        <w:t>基金账户：指登记机构为投资人开立的、记录其持有的、基金管理人所管理的基金份额余额及其变动情况的账户</w:t>
      </w:r>
    </w:p>
    <w:p w14:paraId="4F0A5BCB">
      <w:pPr>
        <w:spacing w:line="360" w:lineRule="auto"/>
        <w:ind w:firstLine="480" w:firstLineChars="200"/>
        <w:rPr>
          <w:bCs/>
          <w:sz w:val="24"/>
        </w:rPr>
      </w:pPr>
      <w:r>
        <w:rPr>
          <w:bCs/>
          <w:sz w:val="24"/>
        </w:rPr>
        <w:t>2</w:t>
      </w:r>
      <w:r>
        <w:rPr>
          <w:rFonts w:hint="eastAsia"/>
          <w:bCs/>
          <w:sz w:val="24"/>
        </w:rPr>
        <w:t>9、基金交易账户：指销售机构为投资人开立的、记录投资人通过该销售机构办理申购、赎回、转换、转托管及定期定额投资等业务而引起的基金份额变动及结余情况的账户</w:t>
      </w:r>
    </w:p>
    <w:p w14:paraId="19C2C18D">
      <w:pPr>
        <w:spacing w:line="360" w:lineRule="auto"/>
        <w:ind w:firstLine="480" w:firstLineChars="200"/>
        <w:rPr>
          <w:rFonts w:hint="eastAsia"/>
          <w:bCs/>
          <w:sz w:val="24"/>
        </w:rPr>
      </w:pPr>
      <w:r>
        <w:rPr>
          <w:rFonts w:hint="eastAsia"/>
          <w:bCs/>
          <w:sz w:val="24"/>
        </w:rPr>
        <w:t>30、基金转型：指将“博时裕嘉纯债债券型证券投资基金”更名为“博时裕嘉纯债3个月定期开放债券型发起式证券投资基金”、变更基金运作方式和修改基金合同等条款的一系列事项的统称</w:t>
      </w:r>
    </w:p>
    <w:p w14:paraId="61354E56">
      <w:pPr>
        <w:spacing w:line="360" w:lineRule="auto"/>
        <w:ind w:firstLine="480" w:firstLineChars="200"/>
        <w:rPr>
          <w:rFonts w:hint="eastAsia"/>
          <w:bCs/>
          <w:sz w:val="24"/>
        </w:rPr>
      </w:pPr>
      <w:r>
        <w:rPr>
          <w:bCs/>
          <w:sz w:val="24"/>
        </w:rPr>
        <w:t>3</w:t>
      </w:r>
      <w:r>
        <w:rPr>
          <w:rFonts w:hint="eastAsia"/>
          <w:bCs/>
          <w:sz w:val="24"/>
        </w:rPr>
        <w:t>1、基金合同生效日：指《博时裕嘉纯债3个月定期开放债券型发起式证券投资基金基金合同》生效日，原《博时裕嘉纯债债券型证券投资基金基金合同》自同一日起失效</w:t>
      </w:r>
    </w:p>
    <w:p w14:paraId="1D267339">
      <w:pPr>
        <w:spacing w:line="360" w:lineRule="auto"/>
        <w:ind w:firstLine="480" w:firstLineChars="200"/>
        <w:rPr>
          <w:bCs/>
          <w:sz w:val="24"/>
        </w:rPr>
      </w:pPr>
      <w:r>
        <w:rPr>
          <w:rFonts w:hint="eastAsia"/>
          <w:bCs/>
          <w:sz w:val="24"/>
        </w:rPr>
        <w:t>32、</w:t>
      </w:r>
      <w:r>
        <w:rPr>
          <w:bCs/>
          <w:sz w:val="24"/>
        </w:rPr>
        <w:t>基金合同终止日：指基金合同规定的基金合同终止事由出现后，基金财产清算完毕，清算结果报中国证监会备案并予以公告的日期</w:t>
      </w:r>
    </w:p>
    <w:p w14:paraId="61B4AC9B">
      <w:pPr>
        <w:spacing w:line="360" w:lineRule="auto"/>
        <w:ind w:firstLine="480" w:firstLineChars="200"/>
        <w:rPr>
          <w:bCs/>
          <w:sz w:val="24"/>
        </w:rPr>
      </w:pPr>
      <w:r>
        <w:rPr>
          <w:rFonts w:hint="eastAsia"/>
          <w:bCs/>
          <w:sz w:val="24"/>
        </w:rPr>
        <w:t>33、</w:t>
      </w:r>
      <w:r>
        <w:rPr>
          <w:bCs/>
          <w:sz w:val="24"/>
        </w:rPr>
        <w:t>存续期：指基金合同生效至终止之间的不定期期限</w:t>
      </w:r>
    </w:p>
    <w:p w14:paraId="7F3639A1">
      <w:pPr>
        <w:spacing w:line="360" w:lineRule="auto"/>
        <w:ind w:firstLine="480" w:firstLineChars="200"/>
        <w:rPr>
          <w:bCs/>
          <w:sz w:val="24"/>
        </w:rPr>
      </w:pPr>
      <w:r>
        <w:rPr>
          <w:bCs/>
          <w:sz w:val="24"/>
        </w:rPr>
        <w:t>3</w:t>
      </w:r>
      <w:r>
        <w:rPr>
          <w:rFonts w:hint="eastAsia"/>
          <w:bCs/>
          <w:sz w:val="24"/>
        </w:rPr>
        <w:t>4、</w:t>
      </w:r>
      <w:r>
        <w:rPr>
          <w:bCs/>
          <w:sz w:val="24"/>
        </w:rPr>
        <w:t>工作日：指上海证券交易所、深圳证券交易所的正常交易日</w:t>
      </w:r>
    </w:p>
    <w:p w14:paraId="2580DC46">
      <w:pPr>
        <w:spacing w:line="360" w:lineRule="auto"/>
        <w:ind w:firstLine="480" w:firstLineChars="200"/>
        <w:rPr>
          <w:bCs/>
          <w:sz w:val="24"/>
        </w:rPr>
      </w:pPr>
      <w:r>
        <w:rPr>
          <w:bCs/>
          <w:sz w:val="24"/>
        </w:rPr>
        <w:t>3</w:t>
      </w:r>
      <w:r>
        <w:rPr>
          <w:rFonts w:hint="eastAsia"/>
          <w:bCs/>
          <w:sz w:val="24"/>
        </w:rPr>
        <w:t>5、</w:t>
      </w:r>
      <w:r>
        <w:rPr>
          <w:bCs/>
          <w:sz w:val="24"/>
        </w:rPr>
        <w:t>T日：指销售机构在规定时间受理投资人申购、赎回或其他业务申请的</w:t>
      </w:r>
      <w:r>
        <w:rPr>
          <w:rFonts w:hint="eastAsia"/>
          <w:bCs/>
          <w:sz w:val="24"/>
        </w:rPr>
        <w:t>工作</w:t>
      </w:r>
      <w:r>
        <w:rPr>
          <w:bCs/>
          <w:sz w:val="24"/>
        </w:rPr>
        <w:t>日</w:t>
      </w:r>
    </w:p>
    <w:p w14:paraId="3E07596D">
      <w:pPr>
        <w:spacing w:line="360" w:lineRule="auto"/>
        <w:ind w:firstLine="480" w:firstLineChars="200"/>
        <w:rPr>
          <w:bCs/>
          <w:sz w:val="24"/>
        </w:rPr>
      </w:pPr>
      <w:r>
        <w:rPr>
          <w:bCs/>
          <w:sz w:val="24"/>
        </w:rPr>
        <w:t>3</w:t>
      </w:r>
      <w:r>
        <w:rPr>
          <w:rFonts w:hint="eastAsia"/>
          <w:bCs/>
          <w:sz w:val="24"/>
        </w:rPr>
        <w:t>6、</w:t>
      </w:r>
      <w:r>
        <w:rPr>
          <w:bCs/>
          <w:sz w:val="24"/>
        </w:rPr>
        <w:t>T+n日：指自T日起第n个工作日(不包含T日)</w:t>
      </w:r>
    </w:p>
    <w:p w14:paraId="61325064">
      <w:pPr>
        <w:spacing w:line="360" w:lineRule="auto"/>
        <w:ind w:firstLine="480" w:firstLineChars="200"/>
        <w:rPr>
          <w:rFonts w:hint="eastAsia"/>
          <w:bCs/>
          <w:sz w:val="24"/>
        </w:rPr>
      </w:pPr>
      <w:r>
        <w:rPr>
          <w:rFonts w:hint="eastAsia"/>
          <w:bCs/>
          <w:sz w:val="24"/>
        </w:rPr>
        <w:t>37、封闭期：指自本《基金合同》生效之日起（包括《基金合同》生效之日）或自每一开放期结束之日次日起（包括该日）3个月的期间。本基金的第一个封闭期为自《基金合同》生效之日起至3个月后的对应日的期间。下一个封闭期为首个开放期结束之日次日起（包括该日）至3个月后的对应日的期间，以此类推。如该对应日不存在对应日期的，则顺延至下一日。</w:t>
      </w:r>
      <w:r>
        <w:rPr>
          <w:rFonts w:hint="eastAsia"/>
          <w:color w:val="000000"/>
          <w:sz w:val="24"/>
          <w:szCs w:val="24"/>
        </w:rPr>
        <w:t>如果封闭期到期日的次日为非工作日的，封闭期相应顺延，以此类推。</w:t>
      </w:r>
      <w:r>
        <w:rPr>
          <w:rFonts w:hint="eastAsia"/>
          <w:bCs/>
          <w:sz w:val="24"/>
        </w:rPr>
        <w:t>本基金封闭期内不办理申购与赎回业务，也不上市交易</w:t>
      </w:r>
    </w:p>
    <w:p w14:paraId="3DE9CA73">
      <w:pPr>
        <w:spacing w:line="360" w:lineRule="auto"/>
        <w:ind w:firstLine="480" w:firstLineChars="200"/>
        <w:rPr>
          <w:rFonts w:hint="eastAsia"/>
          <w:bCs/>
          <w:sz w:val="24"/>
        </w:rPr>
      </w:pPr>
      <w:r>
        <w:rPr>
          <w:rFonts w:hint="eastAsia"/>
          <w:bCs/>
          <w:sz w:val="24"/>
        </w:rPr>
        <w:t>38、开放期：指自封闭期结束之日后第一个工作日起（含该日）1至20个工作日，具体期间由基金管理人在封闭期结束前公告说明。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26089B27">
      <w:pPr>
        <w:spacing w:line="360" w:lineRule="auto"/>
        <w:ind w:firstLine="480" w:firstLineChars="200"/>
        <w:rPr>
          <w:bCs/>
          <w:sz w:val="24"/>
        </w:rPr>
      </w:pPr>
      <w:r>
        <w:rPr>
          <w:bCs/>
          <w:sz w:val="24"/>
        </w:rPr>
        <w:t>3</w:t>
      </w:r>
      <w:r>
        <w:rPr>
          <w:rFonts w:hint="eastAsia"/>
          <w:bCs/>
          <w:sz w:val="24"/>
        </w:rPr>
        <w:t>9、</w:t>
      </w:r>
      <w:r>
        <w:rPr>
          <w:bCs/>
          <w:sz w:val="24"/>
        </w:rPr>
        <w:t>开放日：指为投资人办理基金份额申购、赎回或其他业务的工作日</w:t>
      </w:r>
    </w:p>
    <w:p w14:paraId="70145D97">
      <w:pPr>
        <w:spacing w:line="360" w:lineRule="auto"/>
        <w:ind w:firstLine="480" w:firstLineChars="200"/>
        <w:rPr>
          <w:bCs/>
          <w:sz w:val="24"/>
        </w:rPr>
      </w:pPr>
      <w:r>
        <w:rPr>
          <w:rFonts w:hint="eastAsia"/>
          <w:bCs/>
          <w:sz w:val="24"/>
        </w:rPr>
        <w:t>40、</w:t>
      </w:r>
      <w:r>
        <w:rPr>
          <w:bCs/>
          <w:sz w:val="24"/>
        </w:rPr>
        <w:t>开放时间：指开放日基金接受申购、赎回或其他</w:t>
      </w:r>
      <w:r>
        <w:rPr>
          <w:rFonts w:hint="eastAsia"/>
          <w:bCs/>
          <w:sz w:val="24"/>
        </w:rPr>
        <w:t>业务</w:t>
      </w:r>
      <w:r>
        <w:rPr>
          <w:bCs/>
          <w:sz w:val="24"/>
        </w:rPr>
        <w:t>的时间段</w:t>
      </w:r>
    </w:p>
    <w:p w14:paraId="2DF76037">
      <w:pPr>
        <w:spacing w:line="360" w:lineRule="auto"/>
        <w:ind w:firstLine="480" w:firstLineChars="200"/>
        <w:rPr>
          <w:bCs/>
          <w:sz w:val="24"/>
        </w:rPr>
      </w:pPr>
      <w:r>
        <w:rPr>
          <w:bCs/>
          <w:sz w:val="24"/>
        </w:rPr>
        <w:t>4</w:t>
      </w:r>
      <w:r>
        <w:rPr>
          <w:rFonts w:hint="eastAsia"/>
          <w:bCs/>
          <w:sz w:val="24"/>
        </w:rPr>
        <w:t>1、</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795FD91A">
      <w:pPr>
        <w:spacing w:line="360" w:lineRule="auto"/>
        <w:ind w:firstLine="480" w:firstLineChars="200"/>
        <w:rPr>
          <w:bCs/>
          <w:sz w:val="24"/>
        </w:rPr>
      </w:pPr>
      <w:r>
        <w:rPr>
          <w:rFonts w:hint="eastAsia"/>
          <w:bCs/>
          <w:sz w:val="24"/>
        </w:rPr>
        <w:t>42、</w:t>
      </w:r>
      <w:r>
        <w:rPr>
          <w:bCs/>
          <w:sz w:val="24"/>
        </w:rPr>
        <w:t>申购：指基金合同生效后，投资人根据基金合同和招募说明书的规定申请购买基金份额的行为</w:t>
      </w:r>
    </w:p>
    <w:p w14:paraId="64CCBA5A">
      <w:pPr>
        <w:spacing w:line="360" w:lineRule="auto"/>
        <w:ind w:firstLine="480" w:firstLineChars="200"/>
        <w:rPr>
          <w:bCs/>
          <w:sz w:val="24"/>
        </w:rPr>
      </w:pPr>
      <w:r>
        <w:rPr>
          <w:rFonts w:hint="eastAsia"/>
          <w:bCs/>
          <w:sz w:val="24"/>
        </w:rPr>
        <w:t>43、</w:t>
      </w:r>
      <w:r>
        <w:rPr>
          <w:bCs/>
          <w:sz w:val="24"/>
        </w:rPr>
        <w:t>赎回：指基金合同生效后，基金份额持有人按基金合同和招募说明书规定的条件要求将基金份额兑换为现金的行为</w:t>
      </w:r>
    </w:p>
    <w:p w14:paraId="584EC04C">
      <w:pPr>
        <w:spacing w:line="360" w:lineRule="auto"/>
        <w:ind w:firstLine="480" w:firstLineChars="200"/>
        <w:rPr>
          <w:bCs/>
          <w:sz w:val="24"/>
        </w:rPr>
      </w:pPr>
      <w:r>
        <w:rPr>
          <w:rFonts w:hint="eastAsia"/>
          <w:bCs/>
          <w:sz w:val="24"/>
        </w:rPr>
        <w:t>44、</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7D878F1B">
      <w:pPr>
        <w:spacing w:line="360" w:lineRule="auto"/>
        <w:ind w:firstLine="480" w:firstLineChars="200"/>
        <w:rPr>
          <w:bCs/>
          <w:sz w:val="24"/>
        </w:rPr>
      </w:pPr>
      <w:r>
        <w:rPr>
          <w:bCs/>
          <w:sz w:val="24"/>
        </w:rPr>
        <w:t>4</w:t>
      </w:r>
      <w:r>
        <w:rPr>
          <w:rFonts w:hint="eastAsia"/>
          <w:bCs/>
          <w:sz w:val="24"/>
        </w:rPr>
        <w:t>5、</w:t>
      </w:r>
      <w:r>
        <w:rPr>
          <w:bCs/>
          <w:sz w:val="24"/>
        </w:rPr>
        <w:t>转托管：指基金份额持有人在本基金的不同销售机构之间实施的变更所持基金份额销售机构的操作</w:t>
      </w:r>
    </w:p>
    <w:p w14:paraId="642C48EC">
      <w:pPr>
        <w:spacing w:line="360" w:lineRule="auto"/>
        <w:ind w:firstLine="480" w:firstLineChars="200"/>
        <w:rPr>
          <w:bCs/>
          <w:sz w:val="24"/>
        </w:rPr>
      </w:pPr>
      <w:r>
        <w:rPr>
          <w:bCs/>
          <w:sz w:val="24"/>
        </w:rPr>
        <w:t>4</w:t>
      </w:r>
      <w:r>
        <w:rPr>
          <w:rFonts w:hint="eastAsia"/>
          <w:bCs/>
          <w:sz w:val="24"/>
        </w:rPr>
        <w:t>6、</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7674D1D4">
      <w:pPr>
        <w:spacing w:line="360" w:lineRule="auto"/>
        <w:ind w:firstLine="480" w:firstLineChars="200"/>
        <w:rPr>
          <w:bCs/>
          <w:sz w:val="24"/>
        </w:rPr>
      </w:pPr>
      <w:r>
        <w:rPr>
          <w:bCs/>
          <w:sz w:val="24"/>
        </w:rPr>
        <w:t>4</w:t>
      </w:r>
      <w:r>
        <w:rPr>
          <w:rFonts w:hint="eastAsia"/>
          <w:bCs/>
          <w:sz w:val="24"/>
        </w:rPr>
        <w:t>7、</w:t>
      </w:r>
      <w:r>
        <w:rPr>
          <w:bCs/>
          <w:sz w:val="24"/>
        </w:rPr>
        <w:t>巨额赎回：指本基金</w:t>
      </w:r>
      <w:r>
        <w:rPr>
          <w:rFonts w:hint="eastAsia"/>
          <w:bCs/>
          <w:sz w:val="24"/>
        </w:rPr>
        <w:t>开放期内的</w:t>
      </w:r>
      <w:r>
        <w:rPr>
          <w:bCs/>
          <w:sz w:val="24"/>
        </w:rPr>
        <w:t>单个开放日，基金净赎回申请(赎回申请份额总数加上基金转换中转出申请份额总数后扣除申购申请份额总数及基金转换中转入申请份额总数后的余额)超过上一</w:t>
      </w:r>
      <w:r>
        <w:rPr>
          <w:rFonts w:hint="eastAsia"/>
          <w:bCs/>
          <w:sz w:val="24"/>
        </w:rPr>
        <w:t>工作日</w:t>
      </w:r>
      <w:r>
        <w:rPr>
          <w:bCs/>
          <w:sz w:val="24"/>
        </w:rPr>
        <w:t>基金总份额的</w:t>
      </w:r>
      <w:r>
        <w:rPr>
          <w:rFonts w:hint="eastAsia"/>
          <w:bCs/>
          <w:sz w:val="24"/>
        </w:rPr>
        <w:t>20%</w:t>
      </w:r>
    </w:p>
    <w:p w14:paraId="5552E125">
      <w:pPr>
        <w:spacing w:line="360" w:lineRule="auto"/>
        <w:ind w:firstLine="480" w:firstLineChars="200"/>
        <w:rPr>
          <w:bCs/>
          <w:sz w:val="24"/>
        </w:rPr>
      </w:pPr>
      <w:r>
        <w:rPr>
          <w:bCs/>
          <w:sz w:val="24"/>
        </w:rPr>
        <w:t>4</w:t>
      </w:r>
      <w:r>
        <w:rPr>
          <w:rFonts w:hint="eastAsia"/>
          <w:bCs/>
          <w:sz w:val="24"/>
        </w:rPr>
        <w:t>8、</w:t>
      </w:r>
      <w:r>
        <w:rPr>
          <w:bCs/>
          <w:sz w:val="24"/>
        </w:rPr>
        <w:t>元：指人民币元</w:t>
      </w:r>
    </w:p>
    <w:p w14:paraId="7B186A49">
      <w:pPr>
        <w:spacing w:line="360" w:lineRule="auto"/>
        <w:ind w:firstLine="480" w:firstLineChars="200"/>
        <w:rPr>
          <w:bCs/>
          <w:sz w:val="24"/>
        </w:rPr>
      </w:pPr>
      <w:r>
        <w:rPr>
          <w:bCs/>
          <w:sz w:val="24"/>
        </w:rPr>
        <w:t>4</w:t>
      </w:r>
      <w:r>
        <w:rPr>
          <w:rFonts w:hint="eastAsia"/>
          <w:bCs/>
          <w:sz w:val="24"/>
        </w:rPr>
        <w:t>9、</w:t>
      </w:r>
      <w:r>
        <w:rPr>
          <w:bCs/>
          <w:sz w:val="24"/>
        </w:rPr>
        <w:t>基金收益：指基金投资所得债券利息、买卖证券价差、银行存款利息、已实现的其他合法收入及因运用基金财产带来的成本和费用的节约</w:t>
      </w:r>
    </w:p>
    <w:p w14:paraId="6C8D7086">
      <w:pPr>
        <w:spacing w:line="360" w:lineRule="auto"/>
        <w:ind w:firstLine="480" w:firstLineChars="200"/>
        <w:rPr>
          <w:bCs/>
          <w:sz w:val="24"/>
        </w:rPr>
      </w:pPr>
      <w:r>
        <w:rPr>
          <w:rFonts w:hint="eastAsia"/>
          <w:bCs/>
          <w:sz w:val="24"/>
        </w:rPr>
        <w:t>50、</w:t>
      </w:r>
      <w:r>
        <w:rPr>
          <w:bCs/>
          <w:sz w:val="24"/>
        </w:rPr>
        <w:t>基金资产总值：指基金拥有的各类有价证券、银行存款本息、基金应收申购款及其他资产的价值总和</w:t>
      </w:r>
    </w:p>
    <w:p w14:paraId="36D1BF6A">
      <w:pPr>
        <w:spacing w:line="360" w:lineRule="auto"/>
        <w:ind w:firstLine="480" w:firstLineChars="200"/>
        <w:rPr>
          <w:bCs/>
          <w:sz w:val="24"/>
        </w:rPr>
      </w:pPr>
      <w:r>
        <w:rPr>
          <w:bCs/>
          <w:sz w:val="24"/>
        </w:rPr>
        <w:t>5</w:t>
      </w:r>
      <w:r>
        <w:rPr>
          <w:rFonts w:hint="eastAsia"/>
          <w:bCs/>
          <w:sz w:val="24"/>
        </w:rPr>
        <w:t>1、</w:t>
      </w:r>
      <w:r>
        <w:rPr>
          <w:bCs/>
          <w:sz w:val="24"/>
        </w:rPr>
        <w:t>基金资产净值：指基金资产总值减去基金负债后的价值</w:t>
      </w:r>
    </w:p>
    <w:p w14:paraId="70C82472">
      <w:pPr>
        <w:spacing w:line="360" w:lineRule="auto"/>
        <w:ind w:firstLine="480" w:firstLineChars="200"/>
        <w:rPr>
          <w:bCs/>
          <w:sz w:val="24"/>
        </w:rPr>
      </w:pPr>
      <w:r>
        <w:rPr>
          <w:rFonts w:hint="eastAsia"/>
          <w:bCs/>
          <w:sz w:val="24"/>
        </w:rPr>
        <w:t>52、</w:t>
      </w:r>
      <w:r>
        <w:rPr>
          <w:bCs/>
          <w:sz w:val="24"/>
        </w:rPr>
        <w:t>基金份额净值：指计算日基金资产净值除以计算日基金份额总数</w:t>
      </w:r>
    </w:p>
    <w:p w14:paraId="30E01DBA">
      <w:pPr>
        <w:spacing w:line="360" w:lineRule="auto"/>
        <w:ind w:firstLine="480" w:firstLineChars="200"/>
        <w:rPr>
          <w:bCs/>
          <w:sz w:val="24"/>
        </w:rPr>
      </w:pPr>
      <w:r>
        <w:rPr>
          <w:rFonts w:hint="eastAsia"/>
          <w:bCs/>
          <w:sz w:val="24"/>
        </w:rPr>
        <w:t>53、</w:t>
      </w:r>
      <w:r>
        <w:rPr>
          <w:bCs/>
          <w:sz w:val="24"/>
        </w:rPr>
        <w:t>基金资产估值：指计算评估基金资产和负债的价值，以确定基金资产净值和基金份额净值的过程</w:t>
      </w:r>
    </w:p>
    <w:p w14:paraId="7A00EDFD">
      <w:pPr>
        <w:spacing w:line="360" w:lineRule="auto"/>
        <w:ind w:firstLine="480" w:firstLineChars="200"/>
        <w:rPr>
          <w:rFonts w:hint="eastAsia"/>
          <w:bCs/>
          <w:sz w:val="24"/>
        </w:rPr>
      </w:pPr>
      <w:r>
        <w:rPr>
          <w:rFonts w:hint="eastAsia"/>
          <w:bCs/>
          <w:sz w:val="24"/>
        </w:rPr>
        <w:t>54、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25EB438E">
      <w:pPr>
        <w:spacing w:line="360" w:lineRule="auto"/>
        <w:ind w:firstLine="480" w:firstLineChars="200"/>
        <w:rPr>
          <w:bCs/>
          <w:sz w:val="24"/>
        </w:rPr>
      </w:pPr>
      <w:r>
        <w:rPr>
          <w:rFonts w:hint="eastAsia"/>
          <w:bCs/>
          <w:sz w:val="24"/>
        </w:rPr>
        <w:t>55、</w:t>
      </w:r>
      <w:r>
        <w:rPr>
          <w:bCs/>
          <w:sz w:val="24"/>
        </w:rPr>
        <w:t>指定媒介：指中国证监会指定的用以进行信息披露的</w:t>
      </w:r>
      <w:r>
        <w:rPr>
          <w:rFonts w:hint="eastAsia"/>
          <w:bCs/>
          <w:sz w:val="24"/>
        </w:rPr>
        <w:t>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）等媒介</w:t>
      </w:r>
    </w:p>
    <w:p w14:paraId="4DEDD335">
      <w:pPr>
        <w:spacing w:line="360" w:lineRule="auto"/>
        <w:ind w:firstLine="480" w:firstLineChars="200"/>
        <w:rPr>
          <w:rFonts w:hint="eastAsia"/>
          <w:bCs/>
          <w:sz w:val="24"/>
        </w:rPr>
      </w:pPr>
      <w:r>
        <w:rPr>
          <w:rFonts w:hint="eastAsia"/>
          <w:bCs/>
          <w:sz w:val="24"/>
        </w:rPr>
        <w:t>56、</w:t>
      </w:r>
      <w:r>
        <w:rPr>
          <w:bCs/>
          <w:sz w:val="24"/>
        </w:rPr>
        <w:t>不可抗力：指</w:t>
      </w:r>
      <w:r>
        <w:rPr>
          <w:rFonts w:hint="eastAsia"/>
          <w:bCs/>
          <w:sz w:val="24"/>
        </w:rPr>
        <w:t>基金</w:t>
      </w:r>
      <w:r>
        <w:rPr>
          <w:bCs/>
          <w:sz w:val="24"/>
        </w:rPr>
        <w:t>合同当事人不能预见、不能避免且不能克服的客观事件</w:t>
      </w:r>
    </w:p>
    <w:p w14:paraId="29CE7AA5">
      <w:pPr>
        <w:spacing w:line="360" w:lineRule="auto"/>
        <w:ind w:firstLine="480" w:firstLineChars="200"/>
        <w:rPr>
          <w:rFonts w:hint="eastAsia"/>
          <w:bCs/>
          <w:sz w:val="24"/>
        </w:rPr>
      </w:pPr>
      <w:r>
        <w:rPr>
          <w:rFonts w:hint="eastAsia"/>
          <w:bCs/>
          <w:sz w:val="24"/>
        </w:rPr>
        <w:t>57、发起资金：指基金管理人的股东资金、基金管理人固有资金等人员参与申购的资金</w:t>
      </w:r>
    </w:p>
    <w:p w14:paraId="39C1E449">
      <w:pPr>
        <w:spacing w:line="360" w:lineRule="auto"/>
        <w:ind w:firstLine="480" w:firstLineChars="200"/>
        <w:rPr>
          <w:bCs/>
          <w:sz w:val="24"/>
        </w:rPr>
      </w:pPr>
      <w:r>
        <w:rPr>
          <w:rFonts w:hint="eastAsia"/>
          <w:bCs/>
          <w:sz w:val="24"/>
        </w:rPr>
        <w:t>58、发起资金提供方：指以发起资金申购本基金且承诺以发起资金申购的基金份额持有期限不少于3年的基金管理人股东、基金管理人等人员</w:t>
      </w:r>
    </w:p>
    <w:p w14:paraId="6D893959">
      <w:pPr>
        <w:spacing w:line="360" w:lineRule="auto"/>
        <w:ind w:firstLine="480" w:firstLineChars="200"/>
        <w:rPr>
          <w:bCs/>
          <w:sz w:val="24"/>
        </w:rPr>
      </w:pPr>
      <w:r>
        <w:rPr>
          <w:bCs/>
          <w:sz w:val="24"/>
        </w:rPr>
        <w:t>59</w:t>
      </w:r>
      <w:r>
        <w:rPr>
          <w:rFonts w:hint="eastAsia"/>
          <w:bCs/>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4D87E903">
      <w:pPr>
        <w:spacing w:line="360" w:lineRule="auto"/>
        <w:ind w:firstLine="480" w:firstLineChars="200"/>
        <w:rPr>
          <w:bCs/>
          <w:sz w:val="24"/>
        </w:rPr>
      </w:pPr>
      <w:r>
        <w:rPr>
          <w:bCs/>
          <w:sz w:val="24"/>
        </w:rPr>
        <w:t>60</w:t>
      </w:r>
      <w:r>
        <w:rPr>
          <w:rFonts w:hint="eastAsia"/>
          <w:bCs/>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15E87C5E">
      <w:pPr>
        <w:spacing w:line="360" w:lineRule="auto"/>
        <w:ind w:firstLine="480" w:firstLineChars="200"/>
        <w:rPr>
          <w:bCs/>
          <w:sz w:val="24"/>
        </w:rPr>
      </w:pPr>
    </w:p>
    <w:p w14:paraId="550A6BB3">
      <w:pPr>
        <w:pStyle w:val="2"/>
        <w:spacing w:before="0" w:after="0"/>
        <w:jc w:val="center"/>
        <w:rPr>
          <w:sz w:val="30"/>
        </w:rPr>
      </w:pPr>
      <w:r>
        <w:br w:type="page"/>
      </w:r>
      <w:bookmarkStart w:id="56" w:name="_Toc550447027"/>
      <w:bookmarkStart w:id="57" w:name="_Toc6149"/>
      <w:bookmarkStart w:id="58" w:name="_Toc733"/>
      <w:bookmarkStart w:id="59" w:name="_Toc20627"/>
      <w:bookmarkStart w:id="60" w:name="_Toc24571"/>
      <w:bookmarkStart w:id="61" w:name="_Toc18631"/>
      <w:bookmarkStart w:id="62" w:name="_Toc6683"/>
      <w:bookmarkStart w:id="63" w:name="_Toc20318"/>
      <w:bookmarkStart w:id="64" w:name="_Toc435642199"/>
      <w:bookmarkStart w:id="65" w:name="_Toc13288"/>
      <w:bookmarkStart w:id="66" w:name="_Toc22708"/>
      <w:bookmarkStart w:id="67" w:name="_Toc545"/>
      <w:bookmarkStart w:id="68" w:name="_Toc233456272"/>
      <w:bookmarkStart w:id="69" w:name="_Toc258829400"/>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56"/>
      <w:bookmarkEnd w:id="57"/>
      <w:bookmarkEnd w:id="58"/>
      <w:bookmarkEnd w:id="59"/>
      <w:bookmarkEnd w:id="60"/>
      <w:bookmarkEnd w:id="61"/>
      <w:bookmarkEnd w:id="62"/>
      <w:bookmarkEnd w:id="63"/>
      <w:bookmarkEnd w:id="64"/>
      <w:bookmarkEnd w:id="65"/>
      <w:bookmarkEnd w:id="66"/>
      <w:bookmarkEnd w:id="67"/>
      <w:bookmarkStart w:id="70" w:name="_Hlt88031774"/>
      <w:bookmarkEnd w:id="70"/>
      <w:bookmarkStart w:id="71" w:name="_Hlt88031741"/>
      <w:bookmarkStart w:id="72" w:name="_Toc79392573"/>
    </w:p>
    <w:bookmarkEnd w:id="71"/>
    <w:p w14:paraId="233B1238">
      <w:pPr>
        <w:spacing w:line="360" w:lineRule="auto"/>
        <w:ind w:firstLine="480" w:firstLineChars="200"/>
        <w:rPr>
          <w:bCs/>
          <w:sz w:val="24"/>
        </w:rPr>
      </w:pPr>
      <w:r>
        <w:rPr>
          <w:bCs/>
          <w:sz w:val="24"/>
        </w:rPr>
        <w:t>一、基金名称</w:t>
      </w:r>
      <w:bookmarkEnd w:id="72"/>
    </w:p>
    <w:p w14:paraId="7A74766E">
      <w:pPr>
        <w:spacing w:line="360" w:lineRule="auto"/>
        <w:ind w:firstLine="480" w:firstLineChars="200"/>
        <w:rPr>
          <w:bCs/>
          <w:sz w:val="24"/>
        </w:rPr>
      </w:pPr>
      <w:bookmarkStart w:id="73" w:name="_Toc79392574"/>
      <w:r>
        <w:rPr>
          <w:rFonts w:hint="eastAsia"/>
          <w:bCs/>
          <w:sz w:val="24"/>
        </w:rPr>
        <w:t>博时裕嘉纯债3个月定期开放债券型发起式证券投资基金</w:t>
      </w:r>
    </w:p>
    <w:p w14:paraId="3B9525BB">
      <w:pPr>
        <w:spacing w:line="360" w:lineRule="auto"/>
        <w:ind w:firstLine="480" w:firstLineChars="200"/>
        <w:rPr>
          <w:bCs/>
          <w:sz w:val="24"/>
        </w:rPr>
      </w:pPr>
      <w:r>
        <w:rPr>
          <w:bCs/>
          <w:sz w:val="24"/>
        </w:rPr>
        <w:t>二、基金的类别</w:t>
      </w:r>
      <w:bookmarkEnd w:id="73"/>
    </w:p>
    <w:p w14:paraId="4D12722E">
      <w:pPr>
        <w:spacing w:line="360" w:lineRule="auto"/>
        <w:ind w:left="796" w:leftChars="257" w:hanging="256"/>
        <w:rPr>
          <w:bCs/>
          <w:sz w:val="24"/>
        </w:rPr>
      </w:pPr>
      <w:r>
        <w:rPr>
          <w:rFonts w:hint="eastAsia"/>
          <w:bCs/>
          <w:sz w:val="24"/>
        </w:rPr>
        <w:t>债券型</w:t>
      </w:r>
      <w:r>
        <w:rPr>
          <w:bCs/>
          <w:sz w:val="24"/>
        </w:rPr>
        <w:t>证券投资基金</w:t>
      </w:r>
      <w:bookmarkStart w:id="74" w:name="_Toc79392575"/>
    </w:p>
    <w:p w14:paraId="1C92E34A">
      <w:pPr>
        <w:spacing w:line="360" w:lineRule="auto"/>
        <w:ind w:firstLine="480" w:firstLineChars="200"/>
        <w:rPr>
          <w:bCs/>
          <w:sz w:val="24"/>
        </w:rPr>
      </w:pPr>
      <w:r>
        <w:rPr>
          <w:bCs/>
          <w:sz w:val="24"/>
        </w:rPr>
        <w:t>三、基金的运作方式</w:t>
      </w:r>
    </w:p>
    <w:p w14:paraId="5C0DF1A4">
      <w:pPr>
        <w:spacing w:line="360" w:lineRule="auto"/>
        <w:ind w:left="796" w:leftChars="257" w:hanging="256"/>
        <w:rPr>
          <w:rFonts w:hint="eastAsia"/>
          <w:bCs/>
          <w:sz w:val="24"/>
        </w:rPr>
      </w:pPr>
      <w:r>
        <w:rPr>
          <w:bCs/>
          <w:sz w:val="24"/>
        </w:rPr>
        <w:t>契约型</w:t>
      </w:r>
      <w:r>
        <w:rPr>
          <w:rFonts w:hint="eastAsia"/>
          <w:bCs/>
          <w:sz w:val="24"/>
        </w:rPr>
        <w:t>、定期</w:t>
      </w:r>
      <w:r>
        <w:rPr>
          <w:bCs/>
          <w:sz w:val="24"/>
        </w:rPr>
        <w:t>开放式</w:t>
      </w:r>
      <w:r>
        <w:rPr>
          <w:rFonts w:hint="eastAsia"/>
          <w:bCs/>
          <w:sz w:val="24"/>
        </w:rPr>
        <w:t>、发起式</w:t>
      </w:r>
    </w:p>
    <w:p w14:paraId="3BACF48E">
      <w:pPr>
        <w:spacing w:line="360" w:lineRule="auto"/>
        <w:ind w:firstLine="480" w:firstLineChars="200"/>
        <w:rPr>
          <w:rFonts w:hint="eastAsia"/>
          <w:bCs/>
          <w:sz w:val="24"/>
        </w:rPr>
      </w:pPr>
      <w:r>
        <w:rPr>
          <w:rFonts w:hint="eastAsia"/>
          <w:bCs/>
          <w:sz w:val="24"/>
        </w:rPr>
        <w:t>本基金以定期开放的方式运作，即采用封闭运作和开放运作交替循环的方式。自基金合同生效日起（包括基金合同生效日）或者每一个开放期结束之日次日起（包括该日）3个月的期间内，本基金采取封闭运作模式。本基金的第一个封闭期为自基金合同生效日之日起至3个月后的对应日的期间。下一个封闭期为首个开放期结束之日次日起（包括该日）至3个月后的对应日的期间，以此类推。如该对应日不存在对应日期的，则顺延至下一日。如果封闭期到期日的次日为非工作日的，封闭期相应顺延，以此类推。本基金封闭期内不办理申购与赎回业务，也不上市交易。每一个封闭期结束后，本基金即进入开放期，开放期的期限为自封闭期结束之日后第一个工作日起（含该日）一至二十个工作日，具体期间由基金管理人在封闭期结束前公告说明。开放期内，本基金采取开放运作模式，投资人可办理基金份额申购、赎回或其他业务。开放期未赎回的份额将自动转入下一个封闭期。</w:t>
      </w:r>
    </w:p>
    <w:p w14:paraId="470029D7">
      <w:pPr>
        <w:spacing w:line="360" w:lineRule="auto"/>
        <w:ind w:firstLine="480" w:firstLineChars="200"/>
        <w:rPr>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454F0D40">
      <w:pPr>
        <w:spacing w:line="360" w:lineRule="auto"/>
        <w:ind w:left="796" w:leftChars="257" w:hanging="256"/>
        <w:rPr>
          <w:rFonts w:hint="eastAsia"/>
          <w:bCs/>
          <w:sz w:val="24"/>
        </w:rPr>
      </w:pPr>
      <w:r>
        <w:rPr>
          <w:rFonts w:hint="eastAsia"/>
          <w:bCs/>
          <w:sz w:val="24"/>
        </w:rPr>
        <w:t>四、基金发起资金的来源</w:t>
      </w:r>
    </w:p>
    <w:p w14:paraId="481E6558">
      <w:pPr>
        <w:spacing w:line="360" w:lineRule="auto"/>
        <w:ind w:firstLine="480" w:firstLineChars="200"/>
        <w:rPr>
          <w:rFonts w:hint="eastAsia"/>
          <w:bCs/>
          <w:sz w:val="24"/>
        </w:rPr>
      </w:pPr>
      <w:r>
        <w:rPr>
          <w:rFonts w:hint="eastAsia"/>
          <w:bCs/>
          <w:sz w:val="24"/>
        </w:rPr>
        <w:t>基金发起资金来自于基金管理人的股东资金、基金管理人固有资金等人员参与申购的资金等。</w:t>
      </w:r>
    </w:p>
    <w:p w14:paraId="6A8A7594">
      <w:pPr>
        <w:spacing w:line="360" w:lineRule="auto"/>
        <w:ind w:left="796" w:leftChars="257" w:hanging="256"/>
        <w:rPr>
          <w:bCs/>
          <w:sz w:val="24"/>
        </w:rPr>
      </w:pPr>
      <w:r>
        <w:rPr>
          <w:rFonts w:hint="eastAsia"/>
          <w:bCs/>
          <w:sz w:val="24"/>
        </w:rPr>
        <w:t>五、基金</w:t>
      </w:r>
      <w:r>
        <w:rPr>
          <w:bCs/>
          <w:sz w:val="24"/>
        </w:rPr>
        <w:t>的投资目标</w:t>
      </w:r>
      <w:bookmarkEnd w:id="74"/>
    </w:p>
    <w:p w14:paraId="326D0E94">
      <w:pPr>
        <w:spacing w:line="360" w:lineRule="auto"/>
        <w:ind w:firstLine="480" w:firstLineChars="200"/>
        <w:rPr>
          <w:rFonts w:hint="eastAsia"/>
          <w:sz w:val="24"/>
        </w:rPr>
      </w:pPr>
      <w:bookmarkStart w:id="75" w:name="_Toc79392576"/>
      <w:r>
        <w:rPr>
          <w:rFonts w:hint="eastAsia"/>
          <w:sz w:val="24"/>
        </w:rPr>
        <w:t>在一定程度上控制组合净值波动率的前提下，力争长期内实现超越业绩比较基准的投资回报</w:t>
      </w:r>
    </w:p>
    <w:p w14:paraId="5183498C">
      <w:pPr>
        <w:spacing w:line="360" w:lineRule="auto"/>
        <w:ind w:firstLine="480" w:firstLineChars="200"/>
        <w:rPr>
          <w:bCs/>
          <w:sz w:val="24"/>
        </w:rPr>
      </w:pPr>
      <w:r>
        <w:rPr>
          <w:rFonts w:hint="eastAsia"/>
          <w:bCs/>
          <w:sz w:val="24"/>
        </w:rPr>
        <w:t>六</w:t>
      </w:r>
      <w:r>
        <w:rPr>
          <w:bCs/>
          <w:sz w:val="24"/>
        </w:rPr>
        <w:t>、</w:t>
      </w:r>
      <w:r>
        <w:rPr>
          <w:rFonts w:hint="eastAsia"/>
          <w:bCs/>
          <w:sz w:val="24"/>
        </w:rPr>
        <w:t>发起资金的申购金额下限、持有期限下限</w:t>
      </w:r>
    </w:p>
    <w:p w14:paraId="130A94B6">
      <w:pPr>
        <w:spacing w:line="360" w:lineRule="auto"/>
        <w:ind w:firstLine="480" w:firstLineChars="200"/>
        <w:rPr>
          <w:bCs/>
          <w:sz w:val="24"/>
        </w:rPr>
      </w:pPr>
      <w:r>
        <w:rPr>
          <w:rFonts w:hint="eastAsia"/>
          <w:bCs/>
          <w:sz w:val="24"/>
        </w:rPr>
        <w:t>本基金为发起式基金。使用发起资金提供方资金申购基金的金额不少于1000万元人民币，且持有期限不少于3年，法律法规和监管机构另有规定的除外。</w:t>
      </w:r>
    </w:p>
    <w:bookmarkEnd w:id="75"/>
    <w:p w14:paraId="40D9C552">
      <w:pPr>
        <w:spacing w:line="360" w:lineRule="auto"/>
        <w:ind w:firstLine="480" w:firstLineChars="200"/>
        <w:rPr>
          <w:bCs/>
          <w:sz w:val="24"/>
        </w:rPr>
      </w:pPr>
      <w:bookmarkStart w:id="76" w:name="_Toc79392577"/>
      <w:r>
        <w:rPr>
          <w:rFonts w:hint="eastAsia"/>
          <w:bCs/>
          <w:sz w:val="24"/>
        </w:rPr>
        <w:t>七</w:t>
      </w:r>
      <w:r>
        <w:rPr>
          <w:bCs/>
          <w:sz w:val="24"/>
        </w:rPr>
        <w:t>、基金</w:t>
      </w:r>
      <w:bookmarkEnd w:id="76"/>
      <w:bookmarkStart w:id="77" w:name="_Toc79392578"/>
      <w:r>
        <w:rPr>
          <w:bCs/>
          <w:sz w:val="24"/>
        </w:rPr>
        <w:t>存续期限</w:t>
      </w:r>
      <w:bookmarkEnd w:id="77"/>
    </w:p>
    <w:p w14:paraId="35701B49">
      <w:pPr>
        <w:spacing w:line="360" w:lineRule="auto"/>
        <w:ind w:firstLine="480" w:firstLineChars="200"/>
        <w:rPr>
          <w:bCs/>
          <w:sz w:val="24"/>
        </w:rPr>
      </w:pPr>
      <w:r>
        <w:rPr>
          <w:bCs/>
          <w:sz w:val="24"/>
        </w:rPr>
        <w:t>不定期</w:t>
      </w:r>
    </w:p>
    <w:p w14:paraId="2B24C1FE">
      <w:pPr>
        <w:spacing w:line="360" w:lineRule="auto"/>
        <w:ind w:firstLine="480" w:firstLineChars="200"/>
        <w:rPr>
          <w:rFonts w:hint="eastAsia"/>
          <w:bCs/>
          <w:sz w:val="24"/>
        </w:rPr>
      </w:pPr>
      <w:r>
        <w:rPr>
          <w:rFonts w:hint="eastAsia"/>
          <w:bCs/>
          <w:sz w:val="24"/>
        </w:rPr>
        <w:t>八、基金份额的类别</w:t>
      </w:r>
    </w:p>
    <w:p w14:paraId="239DC61E">
      <w:pPr>
        <w:spacing w:line="360" w:lineRule="auto"/>
        <w:ind w:firstLine="480" w:firstLineChars="200"/>
        <w:rPr>
          <w:rFonts w:hint="eastAsia"/>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调整基金份额类别设置、对基金份额分类办法及规则进行调整、调整本基金的申购费率、调低赎回费率、变更收费方式或者停止现有基金份额的销售等，此项调整无需召开基金份额持有人大会，但须提前公告。</w:t>
      </w:r>
    </w:p>
    <w:p w14:paraId="28DE3336">
      <w:pPr>
        <w:spacing w:line="360" w:lineRule="auto"/>
        <w:ind w:firstLine="480" w:firstLineChars="200"/>
        <w:rPr>
          <w:bCs/>
          <w:sz w:val="24"/>
        </w:rPr>
      </w:pPr>
      <w:r>
        <w:rPr>
          <w:rFonts w:hint="eastAsia"/>
          <w:bCs/>
          <w:sz w:val="24"/>
        </w:rPr>
        <w:t>九、自“博时裕嘉纯债债券型证券投资基金”变更注册为本基金之日起，本基金允许单一投资者或构成一致行动人的多个投资者持有基金份额比例达到或者超过50%，且本基金不向个人投资者公开销售。</w:t>
      </w:r>
    </w:p>
    <w:p w14:paraId="356C85D2">
      <w:pPr>
        <w:spacing w:before="0" w:after="0"/>
        <w:jc w:val="center"/>
        <w:outlineLvl w:val="9"/>
        <w:rPr>
          <w:rFonts w:hint="eastAsia" w:ascii="Times New Roman"/>
          <w:b w:val="0"/>
          <w:bCs/>
          <w:color w:val="auto"/>
          <w:kern w:val="44"/>
          <w:sz w:val="21"/>
        </w:rPr>
      </w:pPr>
      <w:r>
        <w:rPr>
          <w:rFonts w:ascii="Times New Roman"/>
          <w:b w:val="0"/>
          <w:bCs/>
          <w:color w:val="auto"/>
          <w:kern w:val="44"/>
          <w:sz w:val="21"/>
        </w:rPr>
        <w:br w:type="page"/>
      </w:r>
      <w:bookmarkStart w:id="78" w:name="_Toc22074"/>
      <w:bookmarkStart w:id="79" w:name="_Toc90742321"/>
      <w:bookmarkStart w:id="80" w:name="_Toc6714"/>
      <w:bookmarkStart w:id="81" w:name="_Toc90742688"/>
      <w:bookmarkStart w:id="82" w:name="_Toc435642200"/>
      <w:bookmarkStart w:id="83" w:name="_Toc29948"/>
      <w:bookmarkStart w:id="84" w:name="_Toc27189"/>
      <w:bookmarkStart w:id="85" w:name="_Toc90742390"/>
      <w:bookmarkStart w:id="86" w:name="_Toc3266"/>
      <w:bookmarkStart w:id="87" w:name="_Toc7151"/>
      <w:bookmarkStart w:id="88" w:name="_Toc15203"/>
      <w:bookmarkStart w:id="89" w:name="_Toc29784"/>
      <w:bookmarkStart w:id="90" w:name="_Toc27226"/>
      <w:bookmarkStart w:id="91" w:name="_Toc16265"/>
    </w:p>
    <w:bookmarkEnd w:id="78"/>
    <w:bookmarkEnd w:id="79"/>
    <w:bookmarkEnd w:id="80"/>
    <w:bookmarkEnd w:id="81"/>
    <w:bookmarkEnd w:id="82"/>
    <w:bookmarkEnd w:id="83"/>
    <w:bookmarkEnd w:id="84"/>
    <w:bookmarkEnd w:id="85"/>
    <w:bookmarkEnd w:id="86"/>
    <w:bookmarkEnd w:id="87"/>
    <w:bookmarkEnd w:id="88"/>
    <w:bookmarkEnd w:id="89"/>
    <w:bookmarkEnd w:id="90"/>
    <w:bookmarkEnd w:id="91"/>
    <w:p w14:paraId="7E1D453D">
      <w:pPr>
        <w:pStyle w:val="2"/>
        <w:spacing w:before="0" w:after="0"/>
        <w:jc w:val="center"/>
        <w:rPr>
          <w:rFonts w:ascii="Times New Roman"/>
          <w:color w:val="auto"/>
          <w:sz w:val="30"/>
        </w:rPr>
      </w:pPr>
      <w:bookmarkStart w:id="92" w:name="_Toc283006867"/>
      <w:r>
        <w:rPr>
          <w:rFonts w:hint="eastAsia" w:ascii="Times New Roman"/>
          <w:color w:val="auto"/>
          <w:sz w:val="30"/>
        </w:rPr>
        <w:t>第四部分  基金的历史沿革</w:t>
      </w:r>
      <w:bookmarkEnd w:id="92"/>
    </w:p>
    <w:p w14:paraId="46E6C349">
      <w:pPr>
        <w:spacing w:line="360" w:lineRule="auto"/>
        <w:ind w:firstLine="420" w:firstLineChars="200"/>
        <w:rPr>
          <w:bCs/>
          <w:kern w:val="44"/>
        </w:rPr>
      </w:pPr>
    </w:p>
    <w:p w14:paraId="26D493C2">
      <w:pPr>
        <w:spacing w:line="360" w:lineRule="auto"/>
        <w:ind w:firstLine="480" w:firstLineChars="200"/>
        <w:rPr>
          <w:rFonts w:hint="eastAsia"/>
          <w:bCs/>
          <w:sz w:val="24"/>
        </w:rPr>
      </w:pPr>
      <w:r>
        <w:rPr>
          <w:rFonts w:hint="eastAsia"/>
          <w:bCs/>
          <w:sz w:val="24"/>
        </w:rPr>
        <w:t>博时裕嘉纯债3个月定期开放债券型发起式证券投资基金由博时裕嘉纯债债券型证券投资基金转型而来。</w:t>
      </w:r>
    </w:p>
    <w:p w14:paraId="6491BCF9">
      <w:pPr>
        <w:spacing w:line="360" w:lineRule="auto"/>
        <w:ind w:firstLine="480" w:firstLineChars="200"/>
        <w:rPr>
          <w:rFonts w:hint="eastAsia"/>
          <w:bCs/>
          <w:sz w:val="24"/>
        </w:rPr>
      </w:pPr>
      <w:r>
        <w:rPr>
          <w:rFonts w:hint="eastAsia"/>
          <w:bCs/>
          <w:sz w:val="24"/>
        </w:rPr>
        <w:t>博时裕嘉纯债债券型证券投资基金经中国证监会证监许可</w:t>
      </w:r>
      <w:r>
        <w:rPr>
          <w:bCs/>
          <w:sz w:val="24"/>
        </w:rPr>
        <w:t>[2015]1251</w:t>
      </w:r>
      <w:r>
        <w:rPr>
          <w:rFonts w:hint="eastAsia"/>
          <w:bCs/>
          <w:sz w:val="24"/>
        </w:rPr>
        <w:t>号文注册，基金管理人为博时基金管理有限公司，基金托管人为兴业银行股份有限公司。</w:t>
      </w:r>
    </w:p>
    <w:p w14:paraId="3AEE0C17">
      <w:pPr>
        <w:spacing w:line="360" w:lineRule="auto"/>
        <w:ind w:firstLine="480" w:firstLineChars="200"/>
        <w:rPr>
          <w:rFonts w:hint="eastAsia"/>
          <w:bCs/>
          <w:sz w:val="24"/>
        </w:rPr>
      </w:pPr>
      <w:r>
        <w:rPr>
          <w:rFonts w:hint="eastAsia"/>
          <w:bCs/>
          <w:sz w:val="24"/>
        </w:rPr>
        <w:t>博时裕嘉纯债债券型证券投资基金2015年11月30日公开募集，募集结束后基金管理人向中国证监会办理备案手续。经中国证监会书面确认，《博时裕嘉纯债债券型证券投资基金基金合同》于2015年12月2日生效。</w:t>
      </w:r>
    </w:p>
    <w:p w14:paraId="2A9BC4E2">
      <w:pPr>
        <w:spacing w:line="360" w:lineRule="auto"/>
        <w:ind w:firstLine="480" w:firstLineChars="200"/>
        <w:rPr>
          <w:rFonts w:hint="eastAsia"/>
          <w:bCs/>
          <w:sz w:val="24"/>
        </w:rPr>
      </w:pPr>
      <w:r>
        <w:rPr>
          <w:rFonts w:hint="eastAsia"/>
          <w:bCs/>
          <w:sz w:val="24"/>
        </w:rPr>
        <w:t>博时裕嘉纯债债券型证券投资基金经中国证监会证监许可[2017]1265号文准予变更注册。</w:t>
      </w:r>
    </w:p>
    <w:p w14:paraId="557D6483">
      <w:pPr>
        <w:spacing w:line="360" w:lineRule="auto"/>
        <w:ind w:firstLine="480" w:firstLineChars="200"/>
        <w:rPr>
          <w:rFonts w:hint="eastAsia"/>
          <w:bCs/>
          <w:sz w:val="24"/>
        </w:rPr>
      </w:pPr>
      <w:r>
        <w:rPr>
          <w:rFonts w:hint="eastAsia"/>
          <w:bCs/>
          <w:sz w:val="24"/>
        </w:rPr>
        <w:t>2017年9月5日至2017年10月10日，博时裕嘉纯债债券型证券投资基金基金份额持有人大会以通讯方式召开，大会审议并通过了《博时裕嘉纯债债券型证券投资基金转型有关事项的议案》，内容包括博时裕嘉纯债债券型证券投资基金变更名称、运作方式和修订基金合同等事项。基金份额持有人大会决议自表决通过之日起生效。</w:t>
      </w:r>
    </w:p>
    <w:p w14:paraId="4D0C4E9A">
      <w:pPr>
        <w:spacing w:line="360" w:lineRule="auto"/>
        <w:ind w:firstLine="480" w:firstLineChars="200"/>
        <w:rPr>
          <w:bCs/>
          <w:sz w:val="24"/>
        </w:rPr>
      </w:pPr>
      <w:r>
        <w:rPr>
          <w:rFonts w:hint="eastAsia"/>
          <w:bCs/>
          <w:sz w:val="24"/>
        </w:rPr>
        <w:t>自2017年11月16日起，《博时裕嘉纯债债券型证券投资基金基金合同》失效且《博时裕嘉纯债3个月定期开放债券型发起式证券投资基金基金合同》同时生效，博时裕嘉纯债债券型证券投资基金正式变更为博时裕嘉纯债3个月定期开放债券型发起式证券投资基金。</w:t>
      </w:r>
    </w:p>
    <w:p w14:paraId="160CE73B">
      <w:pPr>
        <w:spacing w:line="360" w:lineRule="auto"/>
        <w:ind w:firstLine="480" w:firstLineChars="200"/>
        <w:rPr>
          <w:rFonts w:hint="eastAsia"/>
          <w:bCs/>
          <w:sz w:val="24"/>
        </w:rPr>
      </w:pPr>
      <w:r>
        <w:rPr>
          <w:bCs/>
          <w:sz w:val="24"/>
        </w:rPr>
        <w:br w:type="page"/>
      </w:r>
    </w:p>
    <w:p w14:paraId="3BE638F5">
      <w:pPr>
        <w:pStyle w:val="2"/>
        <w:spacing w:before="0" w:after="0"/>
        <w:jc w:val="center"/>
        <w:rPr>
          <w:rFonts w:ascii="Times New Roman"/>
          <w:color w:val="auto"/>
          <w:sz w:val="30"/>
        </w:rPr>
      </w:pPr>
      <w:bookmarkStart w:id="93" w:name="_Toc1524556733"/>
      <w:bookmarkStart w:id="94" w:name="_Toc21988"/>
      <w:bookmarkStart w:id="95" w:name="_Toc18329"/>
      <w:bookmarkStart w:id="96" w:name="_Toc1823"/>
      <w:bookmarkStart w:id="97" w:name="_Toc18797"/>
      <w:bookmarkStart w:id="98" w:name="_Toc4741"/>
      <w:bookmarkStart w:id="99" w:name="_Toc7848"/>
      <w:bookmarkStart w:id="100" w:name="_Toc26986"/>
      <w:bookmarkStart w:id="101" w:name="_Toc18526"/>
      <w:bookmarkStart w:id="102" w:name="_Toc435642201"/>
      <w:bookmarkStart w:id="103" w:name="_Toc139991735"/>
      <w:bookmarkStart w:id="104" w:name="_Toc14893"/>
      <w:bookmarkStart w:id="105" w:name="_Toc141703885"/>
      <w:bookmarkStart w:id="106" w:name="_Toc17912"/>
      <w:r>
        <w:rPr>
          <w:rFonts w:ascii="Times New Roman"/>
          <w:color w:val="auto"/>
          <w:sz w:val="30"/>
        </w:rPr>
        <w:t>第五部分</w:t>
      </w:r>
      <w:r>
        <w:rPr>
          <w:rFonts w:hint="eastAsia" w:ascii="Times New Roman"/>
          <w:color w:val="auto"/>
          <w:sz w:val="30"/>
        </w:rPr>
        <w:t xml:space="preserve">  </w:t>
      </w:r>
      <w:r>
        <w:rPr>
          <w:rFonts w:ascii="Times New Roman"/>
          <w:color w:val="auto"/>
          <w:sz w:val="30"/>
        </w:rPr>
        <w:t>基金</w:t>
      </w:r>
      <w:r>
        <w:rPr>
          <w:rFonts w:hint="eastAsia" w:ascii="Times New Roman"/>
          <w:color w:val="auto"/>
          <w:sz w:val="30"/>
        </w:rPr>
        <w:t>的存续</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0BA3D43">
      <w:pPr>
        <w:spacing w:line="360" w:lineRule="auto"/>
        <w:ind w:firstLine="540"/>
        <w:rPr>
          <w:bCs/>
          <w:sz w:val="24"/>
        </w:rPr>
      </w:pPr>
    </w:p>
    <w:p w14:paraId="7CE69FB9">
      <w:pPr>
        <w:spacing w:line="360" w:lineRule="auto"/>
        <w:ind w:firstLine="480" w:firstLineChars="200"/>
        <w:rPr>
          <w:rFonts w:hint="eastAsia"/>
          <w:bCs/>
          <w:sz w:val="24"/>
        </w:rPr>
      </w:pPr>
      <w:r>
        <w:rPr>
          <w:rFonts w:hint="eastAsia"/>
          <w:bCs/>
          <w:sz w:val="24"/>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p>
    <w:p w14:paraId="07B06139">
      <w:pPr>
        <w:spacing w:line="360" w:lineRule="auto"/>
        <w:ind w:firstLine="480" w:firstLineChars="200"/>
        <w:rPr>
          <w:rFonts w:hint="eastAsia"/>
          <w:bCs/>
          <w:sz w:val="24"/>
        </w:rPr>
      </w:pPr>
      <w:r>
        <w:rPr>
          <w:rFonts w:hint="eastAsia"/>
          <w:bCs/>
          <w:sz w:val="24"/>
        </w:rPr>
        <w:t>本基金在基金合同生效三年后继续存续的，基金存续期内，连续20个工作日出现基金份额持有人数量不满200人或者基金资产净值低于5000万元情形的，基金管理人应当在定期报告中予以披露；连续60个工作日出现前述情形的，基金管理人应当10个工作日内向中国证监会报告并提出解决方案，如持续运作、转换运作方式、与其他基金合并或者终止基金合同等，并6个月内召集基金份额持有人大会。</w:t>
      </w:r>
    </w:p>
    <w:p w14:paraId="381331CC">
      <w:pPr>
        <w:spacing w:before="0" w:after="0" w:line="360" w:lineRule="auto"/>
        <w:ind w:firstLine="480" w:firstLineChars="200"/>
        <w:jc w:val="center"/>
        <w:rPr>
          <w:rFonts w:ascii="Times New Roman"/>
          <w:color w:val="auto"/>
          <w:sz w:val="30"/>
        </w:rPr>
      </w:pPr>
      <w:r>
        <w:rPr>
          <w:rFonts w:hint="eastAsia"/>
          <w:bCs/>
          <w:sz w:val="24"/>
          <w:szCs w:val="24"/>
        </w:rPr>
        <w:t>法律法规或监管机构另有规定时，从其规定。</w:t>
      </w:r>
      <w:r>
        <w:rPr>
          <w:rFonts w:ascii="Times New Roman"/>
          <w:b w:val="0"/>
          <w:bCs/>
          <w:color w:val="auto"/>
          <w:kern w:val="44"/>
          <w:sz w:val="24"/>
          <w:szCs w:val="24"/>
        </w:rPr>
        <w:br w:type="page"/>
      </w:r>
    </w:p>
    <w:p w14:paraId="3A35C3F9">
      <w:pPr>
        <w:spacing w:line="360" w:lineRule="auto"/>
        <w:ind w:firstLine="0"/>
        <w:jc w:val="center"/>
        <w:outlineLvl w:val="0"/>
        <w:rPr>
          <w:bCs/>
          <w:sz w:val="24"/>
        </w:rPr>
      </w:pPr>
      <w:bookmarkStart w:id="107" w:name="_Toc171205970"/>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07"/>
    </w:p>
    <w:p w14:paraId="3B323A71">
      <w:pPr>
        <w:spacing w:line="360" w:lineRule="auto"/>
        <w:ind w:firstLine="480" w:firstLineChars="200"/>
        <w:rPr>
          <w:bCs/>
          <w:sz w:val="24"/>
        </w:rPr>
      </w:pPr>
      <w:r>
        <w:rPr>
          <w:bCs/>
          <w:sz w:val="24"/>
        </w:rPr>
        <w:t>一、申购和赎回场所</w:t>
      </w:r>
    </w:p>
    <w:p w14:paraId="161C238F">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14:paraId="2C41C523">
      <w:pPr>
        <w:spacing w:line="360" w:lineRule="auto"/>
        <w:ind w:firstLine="480" w:firstLineChars="200"/>
        <w:rPr>
          <w:bCs/>
          <w:sz w:val="24"/>
        </w:rPr>
      </w:pPr>
      <w:r>
        <w:rPr>
          <w:bCs/>
          <w:sz w:val="24"/>
        </w:rPr>
        <w:t>二、申购和赎回的开放日及时间</w:t>
      </w:r>
    </w:p>
    <w:p w14:paraId="476FB9DF">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6CEBBBE5">
      <w:pPr>
        <w:spacing w:line="360" w:lineRule="auto"/>
        <w:ind w:firstLine="480" w:firstLineChars="200"/>
        <w:rPr>
          <w:bCs/>
          <w:sz w:val="24"/>
        </w:rPr>
      </w:pPr>
      <w:r>
        <w:rPr>
          <w:rFonts w:hint="eastAsia"/>
          <w:bCs/>
          <w:sz w:val="24"/>
        </w:rPr>
        <w:t>本基金在开放期间，</w:t>
      </w:r>
      <w:r>
        <w:rPr>
          <w:bCs/>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r>
        <w:rPr>
          <w:rFonts w:hint="eastAsia"/>
          <w:bCs/>
          <w:sz w:val="24"/>
        </w:rPr>
        <w:t>在封闭期内，本基金不办理申购、赎回业务，也不上市交易。</w:t>
      </w:r>
    </w:p>
    <w:p w14:paraId="36A430E5">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7AE7FDDD">
      <w:pPr>
        <w:spacing w:line="360" w:lineRule="auto"/>
        <w:ind w:firstLine="480" w:firstLineChars="200"/>
        <w:rPr>
          <w:bCs/>
          <w:sz w:val="24"/>
        </w:rPr>
      </w:pPr>
      <w:r>
        <w:rPr>
          <w:bCs/>
          <w:sz w:val="24"/>
        </w:rPr>
        <w:t>2</w:t>
      </w:r>
      <w:r>
        <w:rPr>
          <w:rFonts w:hint="eastAsia"/>
          <w:bCs/>
          <w:sz w:val="24"/>
        </w:rPr>
        <w:t>、开放期</w:t>
      </w:r>
      <w:r>
        <w:rPr>
          <w:bCs/>
          <w:sz w:val="24"/>
        </w:rPr>
        <w:t>及业务办理时间</w:t>
      </w:r>
    </w:p>
    <w:p w14:paraId="7523DFAB">
      <w:pPr>
        <w:spacing w:line="360" w:lineRule="auto"/>
        <w:ind w:firstLine="480" w:firstLineChars="200"/>
        <w:rPr>
          <w:rFonts w:hint="eastAsia"/>
          <w:bCs/>
          <w:sz w:val="24"/>
        </w:rPr>
      </w:pPr>
      <w:r>
        <w:rPr>
          <w:rFonts w:hint="eastAsia"/>
          <w:bCs/>
          <w:sz w:val="24"/>
        </w:rPr>
        <w:t>除法律法规或基金合同另有约定外，本基金每个封闭期结束之后第一个工作日起（含该日）进入开放期，开放期的期限为自封闭期结束之日后第一个工作日起（含该日）1至20个工作日，具体期间由基金管理人在封闭期结束前公告说明。</w:t>
      </w:r>
    </w:p>
    <w:p w14:paraId="64EA5E02">
      <w:pPr>
        <w:spacing w:line="360" w:lineRule="auto"/>
        <w:ind w:firstLine="480" w:firstLineChars="200"/>
        <w:rPr>
          <w:rFonts w:hint="eastAsia"/>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402FE201">
      <w:pPr>
        <w:spacing w:line="360" w:lineRule="auto"/>
        <w:ind w:firstLine="480" w:firstLineChars="200"/>
        <w:rPr>
          <w:rFonts w:hint="eastAsia"/>
          <w:bCs/>
          <w:sz w:val="24"/>
        </w:rPr>
      </w:pPr>
      <w:r>
        <w:rPr>
          <w:rFonts w:hint="eastAsia"/>
          <w:bCs/>
          <w:sz w:val="24"/>
        </w:rPr>
        <w:t>在确定申购开始与赎回开始时间后，基金管理人应在申购、赎回开放日前依照《信息披露办法》的有关规定进行公告。</w:t>
      </w:r>
    </w:p>
    <w:p w14:paraId="25007CD1">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r>
        <w:rPr>
          <w:rFonts w:hint="eastAsia"/>
          <w:bCs/>
          <w:sz w:val="24"/>
        </w:rPr>
        <w:t>但若投资人在开放期最后一日业务办理时间结束之后提出申购、赎回或转换申请的，为无效申请。</w:t>
      </w:r>
    </w:p>
    <w:p w14:paraId="083FF297">
      <w:pPr>
        <w:spacing w:line="360" w:lineRule="auto"/>
        <w:ind w:firstLine="480" w:firstLineChars="200"/>
        <w:rPr>
          <w:bCs/>
          <w:sz w:val="24"/>
        </w:rPr>
      </w:pPr>
      <w:r>
        <w:rPr>
          <w:bCs/>
          <w:sz w:val="24"/>
        </w:rPr>
        <w:t>三、申购与赎回的原则</w:t>
      </w:r>
    </w:p>
    <w:p w14:paraId="2FCBDDEA">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27DC04AB">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2B4C1DAC">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603DAE58">
      <w:pPr>
        <w:spacing w:line="360" w:lineRule="auto"/>
        <w:ind w:firstLine="480" w:firstLineChars="200"/>
        <w:rPr>
          <w:rFonts w:hint="eastAsia"/>
          <w:bCs/>
          <w:sz w:val="24"/>
        </w:rPr>
      </w:pPr>
      <w:r>
        <w:rPr>
          <w:bCs/>
          <w:sz w:val="24"/>
        </w:rPr>
        <w:t>4</w:t>
      </w:r>
      <w:r>
        <w:rPr>
          <w:rFonts w:hint="eastAsia"/>
          <w:bCs/>
          <w:sz w:val="24"/>
        </w:rPr>
        <w:t>、</w:t>
      </w:r>
      <w:r>
        <w:rPr>
          <w:bCs/>
          <w:sz w:val="24"/>
        </w:rPr>
        <w:t>赎回遵循“先进先出”原则，即按照投资人申购的先后次序进行顺序赎回</w:t>
      </w:r>
      <w:r>
        <w:rPr>
          <w:rFonts w:hint="eastAsia"/>
          <w:bCs/>
          <w:sz w:val="24"/>
        </w:rPr>
        <w:t>；</w:t>
      </w:r>
    </w:p>
    <w:p w14:paraId="1D52674E">
      <w:pPr>
        <w:spacing w:line="360" w:lineRule="auto"/>
        <w:ind w:firstLine="480" w:firstLineChars="200"/>
        <w:rPr>
          <w:bCs/>
          <w:sz w:val="24"/>
        </w:rPr>
      </w:pPr>
      <w:r>
        <w:rPr>
          <w:rFonts w:hint="eastAsia"/>
          <w:bCs/>
          <w:sz w:val="24"/>
        </w:rPr>
        <w:t>5、办理申购、赎回业务时，应当遵循基金份额持有人利益优先原则。</w:t>
      </w:r>
    </w:p>
    <w:p w14:paraId="5E57D0FD">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1EFC7CDE">
      <w:pPr>
        <w:spacing w:line="360" w:lineRule="auto"/>
        <w:ind w:firstLine="480" w:firstLineChars="200"/>
        <w:rPr>
          <w:bCs/>
          <w:sz w:val="24"/>
        </w:rPr>
      </w:pPr>
      <w:r>
        <w:rPr>
          <w:bCs/>
          <w:sz w:val="24"/>
        </w:rPr>
        <w:t>四、申购与赎回的程序</w:t>
      </w:r>
    </w:p>
    <w:p w14:paraId="3F3CE8F6">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34A88D6F">
      <w:pPr>
        <w:spacing w:line="360" w:lineRule="auto"/>
        <w:ind w:firstLine="480" w:firstLineChars="200"/>
        <w:rPr>
          <w:bCs/>
          <w:sz w:val="24"/>
        </w:rPr>
      </w:pPr>
      <w:r>
        <w:rPr>
          <w:bCs/>
          <w:sz w:val="24"/>
        </w:rPr>
        <w:t>投资人必须根据销售机构规定的程序，在开放日的具体业务办理时间内提出申购或赎回的申请。</w:t>
      </w:r>
    </w:p>
    <w:p w14:paraId="64CEAAFA">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71322D95">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33E18CFC">
      <w:pPr>
        <w:spacing w:line="360" w:lineRule="auto"/>
        <w:ind w:firstLine="480" w:firstLineChars="200"/>
        <w:rPr>
          <w:rFonts w:hint="eastAsia"/>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或基金合同约定的其他暂停赎回或延缓支付赎回款项的情形</w:t>
      </w:r>
      <w:r>
        <w:rPr>
          <w:bCs/>
          <w:sz w:val="24"/>
        </w:rPr>
        <w:t>时，款项的支付办法参照本基金合同有关条款处理。</w:t>
      </w:r>
    </w:p>
    <w:p w14:paraId="3FF7A864">
      <w:pPr>
        <w:spacing w:line="360" w:lineRule="auto"/>
        <w:ind w:firstLine="480" w:firstLineChars="200"/>
        <w:rPr>
          <w:rFonts w:hint="eastAsia"/>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4EA54F70">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2C548101">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到销售网点柜台或以销售机构规定的其他方式查询申请的确认情况。若申购不成功，则申购款项退还给投资人。</w:t>
      </w:r>
    </w:p>
    <w:p w14:paraId="24F5A5BD">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363CEB1B">
      <w:pPr>
        <w:spacing w:line="360" w:lineRule="auto"/>
        <w:ind w:firstLine="480" w:firstLineChars="200"/>
        <w:rPr>
          <w:bCs/>
          <w:sz w:val="24"/>
        </w:rPr>
      </w:pPr>
      <w:r>
        <w:rPr>
          <w:bCs/>
          <w:sz w:val="24"/>
        </w:rPr>
        <w:t>五、申购和赎回的数量限制</w:t>
      </w:r>
    </w:p>
    <w:p w14:paraId="4FC278D1">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4E8D01A0">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7E342DAF">
      <w:pPr>
        <w:spacing w:line="360" w:lineRule="auto"/>
        <w:ind w:firstLine="480" w:firstLineChars="200"/>
        <w:rPr>
          <w:rFonts w:hint="eastAsia"/>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4BE49C8C">
      <w:pPr>
        <w:spacing w:line="360" w:lineRule="auto"/>
        <w:ind w:firstLine="480" w:firstLineChars="200"/>
        <w:rPr>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6D43A858">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6B286B6D">
      <w:pPr>
        <w:spacing w:line="360" w:lineRule="auto"/>
        <w:ind w:firstLine="480" w:firstLineChars="200"/>
        <w:rPr>
          <w:bCs/>
          <w:sz w:val="24"/>
        </w:rPr>
      </w:pPr>
      <w:r>
        <w:rPr>
          <w:bCs/>
          <w:sz w:val="24"/>
        </w:rPr>
        <w:t>六、申购和赎回的价格、费用及其用途</w:t>
      </w:r>
    </w:p>
    <w:p w14:paraId="608465DC">
      <w:pPr>
        <w:spacing w:line="360" w:lineRule="auto"/>
        <w:ind w:firstLine="480" w:firstLineChars="200"/>
        <w:rPr>
          <w:bCs/>
          <w:sz w:val="24"/>
        </w:rPr>
      </w:pPr>
      <w:r>
        <w:rPr>
          <w:rFonts w:hint="eastAsia"/>
          <w:bCs/>
          <w:sz w:val="24"/>
        </w:rPr>
        <w:t>1、本基金份额净值的计算，保留到小数点后4位，小数点后第5位四舍五入，由此产生的收益或损失由基金财产承担。T日的基金份额净值在当天收市后计算，并按照基金合同约定公告。遇特殊情况，经中国证监会同意，可以适当延迟计算或公告。</w:t>
      </w:r>
    </w:p>
    <w:p w14:paraId="43BCEFB5">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472A5B48">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74EF52E4">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117CC556">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其中，对持续持有期少于7日的投资者收取不低于1.5%的赎回费，并将上述赎回费全额计入基金财产。</w:t>
      </w:r>
    </w:p>
    <w:p w14:paraId="149EBB47">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1ACF42C4">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7CD60799">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6AB35E9F">
      <w:pPr>
        <w:spacing w:line="360" w:lineRule="auto"/>
        <w:ind w:firstLine="480" w:firstLineChars="200"/>
        <w:rPr>
          <w:bCs/>
          <w:sz w:val="24"/>
        </w:rPr>
      </w:pPr>
      <w:r>
        <w:rPr>
          <w:rFonts w:hint="eastAsia"/>
          <w:bCs/>
          <w:sz w:val="24"/>
        </w:rPr>
        <w:t>在开放期内基金管理人不接受个人投资者的公开申购申请，法律法规或监管机构另有规定的除外。</w:t>
      </w:r>
      <w:r>
        <w:rPr>
          <w:bCs/>
          <w:sz w:val="24"/>
        </w:rPr>
        <w:t>发生下列情况时，基金管理人可拒绝或暂停接受投资人的申购申请：</w:t>
      </w:r>
    </w:p>
    <w:p w14:paraId="3F0E6068">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24EBCFD7">
      <w:pPr>
        <w:spacing w:line="360" w:lineRule="auto"/>
        <w:ind w:firstLine="480" w:firstLineChars="200"/>
        <w:rPr>
          <w:rFonts w:hint="eastAsia"/>
          <w:sz w:val="24"/>
        </w:rPr>
      </w:pPr>
      <w:r>
        <w:rPr>
          <w:sz w:val="24"/>
        </w:rPr>
        <w:t>2</w:t>
      </w:r>
      <w:r>
        <w:rPr>
          <w:rFonts w:hint="eastAsia"/>
          <w:sz w:val="24"/>
        </w:rPr>
        <w:t>、发生基金合同规定的暂停基金资产估值情况时。</w:t>
      </w:r>
    </w:p>
    <w:p w14:paraId="4F48A9BD">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证券交易所交易时间非正常停市，导致基金管理人无法计算当日基金资产净值。</w:t>
      </w:r>
    </w:p>
    <w:p w14:paraId="1098E5E4">
      <w:pPr>
        <w:spacing w:line="360" w:lineRule="auto"/>
        <w:ind w:firstLine="480" w:firstLineChars="200"/>
        <w:rPr>
          <w:bCs/>
          <w:sz w:val="24"/>
        </w:rPr>
      </w:pPr>
      <w:bookmarkStart w:id="108" w:name="_Hlt70481650"/>
      <w:bookmarkEnd w:id="108"/>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时。</w:t>
      </w:r>
    </w:p>
    <w:p w14:paraId="6F02CC6A">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447937D5">
      <w:pPr>
        <w:spacing w:line="360" w:lineRule="auto"/>
        <w:ind w:firstLine="480" w:firstLineChars="200"/>
        <w:rPr>
          <w:rFonts w:hint="eastAsia"/>
          <w:bCs/>
          <w:sz w:val="24"/>
        </w:rPr>
      </w:pPr>
      <w:r>
        <w:rPr>
          <w:rFonts w:hint="eastAsia"/>
          <w:bCs/>
          <w:sz w:val="24"/>
        </w:rPr>
        <w:t>6、个人投资者公开申购。</w:t>
      </w:r>
    </w:p>
    <w:p w14:paraId="1884A752">
      <w:pPr>
        <w:spacing w:line="360" w:lineRule="auto"/>
        <w:ind w:firstLine="480" w:firstLineChars="200"/>
        <w:rPr>
          <w:rFonts w:hint="eastAsia"/>
          <w:bCs/>
          <w:sz w:val="24"/>
        </w:rPr>
      </w:pPr>
      <w:r>
        <w:rPr>
          <w:rFonts w:hint="eastAsia"/>
          <w:bCs/>
          <w:sz w:val="24"/>
        </w:rPr>
        <w:t>7、当特定资产占前一估值日基金资产净值50%以上的，经与基金托管人协商确认后，基金管理人应当暂停接受基金申购申请。</w:t>
      </w:r>
    </w:p>
    <w:p w14:paraId="0B773807">
      <w:pPr>
        <w:spacing w:line="360" w:lineRule="auto"/>
        <w:ind w:firstLine="480" w:firstLineChars="200"/>
        <w:rPr>
          <w:bCs/>
          <w:sz w:val="24"/>
        </w:rPr>
      </w:pPr>
      <w:r>
        <w:rPr>
          <w:rFonts w:hint="eastAsia"/>
          <w:bCs/>
          <w:sz w:val="24"/>
        </w:rPr>
        <w:t>8、</w:t>
      </w:r>
      <w:r>
        <w:rPr>
          <w:bCs/>
          <w:sz w:val="24"/>
        </w:rPr>
        <w:t>法律法规规定或中国证监会认定的其他情形。</w:t>
      </w:r>
    </w:p>
    <w:p w14:paraId="6F2E57F8">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、7、8</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r>
        <w:rPr>
          <w:rFonts w:hint="eastAsia"/>
          <w:bCs/>
          <w:sz w:val="24"/>
        </w:rPr>
        <w:t>，且开放期间可以按暂停申购的期间相应延长，具体时间以基金管理人届时公告为准</w:t>
      </w:r>
      <w:r>
        <w:rPr>
          <w:bCs/>
          <w:sz w:val="24"/>
        </w:rPr>
        <w:t>。</w:t>
      </w:r>
    </w:p>
    <w:p w14:paraId="10DEE87C">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1AF18A12">
      <w:pPr>
        <w:spacing w:line="360" w:lineRule="auto"/>
        <w:ind w:firstLine="480" w:firstLineChars="200"/>
        <w:rPr>
          <w:bCs/>
          <w:sz w:val="24"/>
        </w:rPr>
      </w:pPr>
      <w:r>
        <w:rPr>
          <w:rFonts w:hint="eastAsia"/>
          <w:bCs/>
          <w:sz w:val="24"/>
        </w:rPr>
        <w:t>在开放期内</w:t>
      </w:r>
      <w:r>
        <w:rPr>
          <w:bCs/>
          <w:sz w:val="24"/>
        </w:rPr>
        <w:t>发生下列情形时，基金管理人可暂停接受投资人的赎回申请或延缓支付赎回款项：</w:t>
      </w:r>
    </w:p>
    <w:p w14:paraId="4CF55607">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19240E85">
      <w:pPr>
        <w:spacing w:line="360" w:lineRule="auto"/>
        <w:ind w:firstLine="480" w:firstLineChars="200"/>
        <w:rPr>
          <w:rFonts w:hint="eastAsia"/>
          <w:sz w:val="24"/>
        </w:rPr>
      </w:pPr>
      <w:r>
        <w:rPr>
          <w:sz w:val="24"/>
        </w:rPr>
        <w:t>2</w:t>
      </w:r>
      <w:r>
        <w:rPr>
          <w:rFonts w:hint="eastAsia"/>
          <w:sz w:val="24"/>
        </w:rPr>
        <w:t>、发生基金合同规定的暂停基金资产估值情况时。</w:t>
      </w:r>
    </w:p>
    <w:p w14:paraId="3E79A3F8">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w:t>
      </w:r>
      <w:bookmarkStart w:id="109" w:name="_Hlt152500890"/>
      <w:r>
        <w:rPr>
          <w:bCs/>
          <w:sz w:val="24"/>
        </w:rPr>
        <w:t>净值。</w:t>
      </w:r>
    </w:p>
    <w:p w14:paraId="0CD690C8">
      <w:pPr>
        <w:spacing w:line="360" w:lineRule="auto"/>
        <w:ind w:firstLine="480" w:firstLineChars="200"/>
        <w:rPr>
          <w:rFonts w:hint="eastAsia"/>
          <w:bCs/>
          <w:sz w:val="24"/>
        </w:rPr>
      </w:pPr>
      <w:r>
        <w:rPr>
          <w:rFonts w:hint="eastAsia"/>
          <w:bCs/>
          <w:sz w:val="24"/>
        </w:rPr>
        <w:t>4、</w:t>
      </w:r>
      <w:bookmarkEnd w:id="109"/>
      <w:r>
        <w:rPr>
          <w:rFonts w:hint="eastAsia"/>
          <w:bCs/>
          <w:sz w:val="24"/>
        </w:rPr>
        <w:t>发生继续接受赎回申请将损害</w:t>
      </w:r>
      <w:r>
        <w:rPr>
          <w:bCs/>
          <w:sz w:val="24"/>
        </w:rPr>
        <w:t>现有基金份额持有人利益的情形</w:t>
      </w:r>
      <w:r>
        <w:rPr>
          <w:rFonts w:hint="eastAsia"/>
          <w:bCs/>
          <w:sz w:val="24"/>
        </w:rPr>
        <w:t>时。</w:t>
      </w:r>
    </w:p>
    <w:p w14:paraId="47AAC565">
      <w:pPr>
        <w:spacing w:line="360" w:lineRule="auto"/>
        <w:ind w:firstLine="480" w:firstLineChars="200"/>
        <w:rPr>
          <w:bCs/>
          <w:sz w:val="24"/>
        </w:rPr>
      </w:pPr>
      <w:r>
        <w:rPr>
          <w:rFonts w:hint="eastAsia"/>
          <w:bCs/>
          <w:sz w:val="24"/>
        </w:rPr>
        <w:t>5、当特定资产占前一估值日基金资产净值50%以上的，经与基金托管人协商确认后，基金管理人应当暂停接受基金申购申请。</w:t>
      </w:r>
    </w:p>
    <w:p w14:paraId="727FD3B0">
      <w:pPr>
        <w:spacing w:line="360" w:lineRule="auto"/>
        <w:ind w:firstLine="480" w:firstLineChars="200"/>
        <w:rPr>
          <w:bCs/>
          <w:sz w:val="24"/>
        </w:rPr>
      </w:pPr>
      <w:r>
        <w:rPr>
          <w:rFonts w:hint="eastAsia"/>
          <w:bCs/>
          <w:sz w:val="24"/>
        </w:rPr>
        <w:t>6、</w:t>
      </w:r>
      <w:r>
        <w:rPr>
          <w:bCs/>
          <w:sz w:val="24"/>
        </w:rPr>
        <w:t>法律法规规定或中国证监会认定的其他情形。</w:t>
      </w:r>
    </w:p>
    <w:p w14:paraId="2EF5A47B">
      <w:pPr>
        <w:spacing w:line="360" w:lineRule="auto"/>
        <w:ind w:firstLine="480" w:firstLineChars="200"/>
        <w:rPr>
          <w:bCs/>
        </w:rPr>
      </w:pPr>
      <w:r>
        <w:rPr>
          <w:bCs/>
          <w:sz w:val="24"/>
        </w:rPr>
        <w:t>发生上述情形</w:t>
      </w:r>
      <w:r>
        <w:rPr>
          <w:rFonts w:hint="eastAsia"/>
          <w:bCs/>
          <w:sz w:val="24"/>
        </w:rPr>
        <w:t>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基金份额持有人在申请赎回时可事先选择将当日可能未获受理部分予以撤销。在暂停赎回的情况消除时，基金管理人应及时恢复赎回业务的办理并公告</w:t>
      </w:r>
      <w:r>
        <w:rPr>
          <w:rFonts w:hint="eastAsia"/>
          <w:bCs/>
          <w:sz w:val="24"/>
        </w:rPr>
        <w:t>，且开放期间可以按暂停赎回的期间相应延长，具体时间以基金管理人届时公告为准</w:t>
      </w:r>
      <w:r>
        <w:rPr>
          <w:bCs/>
          <w:sz w:val="24"/>
        </w:rPr>
        <w:t>。</w:t>
      </w:r>
    </w:p>
    <w:p w14:paraId="15126AA7">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27D87539">
      <w:pPr>
        <w:spacing w:line="360" w:lineRule="auto"/>
        <w:ind w:firstLine="480" w:firstLineChars="200"/>
        <w:rPr>
          <w:bCs/>
          <w:sz w:val="24"/>
        </w:rPr>
      </w:pPr>
      <w:r>
        <w:rPr>
          <w:bCs/>
          <w:sz w:val="24"/>
        </w:rPr>
        <w:t>1</w:t>
      </w:r>
      <w:r>
        <w:rPr>
          <w:rFonts w:hint="eastAsia"/>
          <w:bCs/>
          <w:sz w:val="24"/>
        </w:rPr>
        <w:t>、</w:t>
      </w:r>
      <w:r>
        <w:rPr>
          <w:bCs/>
          <w:sz w:val="24"/>
        </w:rPr>
        <w:t>巨额赎回的认定</w:t>
      </w:r>
    </w:p>
    <w:p w14:paraId="19E42A0F">
      <w:pPr>
        <w:spacing w:line="360" w:lineRule="auto"/>
        <w:ind w:firstLine="480" w:firstLineChars="200"/>
        <w:rPr>
          <w:bCs/>
          <w:sz w:val="24"/>
        </w:rPr>
      </w:pPr>
      <w:r>
        <w:rPr>
          <w:bCs/>
          <w:sz w:val="24"/>
        </w:rPr>
        <w:t>若本基金</w:t>
      </w:r>
      <w:r>
        <w:rPr>
          <w:rFonts w:hint="eastAsia"/>
          <w:bCs/>
          <w:sz w:val="24"/>
        </w:rPr>
        <w:t>开放期内的</w:t>
      </w:r>
      <w:r>
        <w:rPr>
          <w:bCs/>
          <w:sz w:val="24"/>
        </w:rPr>
        <w:t>单个开放日内的基金份额净赎回申请(赎回申请份额总数加上基金转换中转出申请份额总数后扣除申购申请份额总数及基金转换中转入申请份额总数后的余额)超过前一</w:t>
      </w:r>
      <w:r>
        <w:rPr>
          <w:rFonts w:hint="eastAsia"/>
          <w:bCs/>
          <w:sz w:val="24"/>
        </w:rPr>
        <w:t>工作</w:t>
      </w:r>
      <w:r>
        <w:rPr>
          <w:bCs/>
          <w:sz w:val="24"/>
        </w:rPr>
        <w:t>日的基金总份额的</w:t>
      </w:r>
      <w:r>
        <w:rPr>
          <w:rFonts w:hint="eastAsia"/>
          <w:bCs/>
          <w:sz w:val="24"/>
        </w:rPr>
        <w:t>20%</w:t>
      </w:r>
      <w:r>
        <w:rPr>
          <w:bCs/>
          <w:sz w:val="24"/>
        </w:rPr>
        <w:t>，即认为是发生了巨额赎回。</w:t>
      </w:r>
    </w:p>
    <w:p w14:paraId="03E0D296">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683EE50D">
      <w:pPr>
        <w:spacing w:line="360" w:lineRule="auto"/>
        <w:ind w:firstLine="480" w:firstLineChars="200"/>
        <w:rPr>
          <w:rFonts w:hint="eastAsia"/>
          <w:bCs/>
          <w:sz w:val="24"/>
        </w:rPr>
      </w:pPr>
      <w:r>
        <w:rPr>
          <w:rFonts w:hint="eastAsia"/>
          <w:bCs/>
          <w:sz w:val="24"/>
        </w:rPr>
        <w:t>当基金出现巨额赎回时，基金管理人可以根据基金当时的资产组合状况决定全额赎回、延缓支付赎回款项或延期办理。</w:t>
      </w:r>
    </w:p>
    <w:p w14:paraId="6A90D033">
      <w:pPr>
        <w:spacing w:line="360" w:lineRule="auto"/>
        <w:ind w:firstLine="480" w:firstLineChars="200"/>
        <w:rPr>
          <w:bCs/>
          <w:sz w:val="24"/>
        </w:rPr>
      </w:pPr>
      <w:r>
        <w:rPr>
          <w:bCs/>
          <w:sz w:val="24"/>
        </w:rPr>
        <w:t>（1）全额赎回：当基金管理人认为有能力支付投资人的全部赎回申请时，按正常赎回程序执行。</w:t>
      </w:r>
    </w:p>
    <w:p w14:paraId="46A08690">
      <w:pPr>
        <w:spacing w:line="360" w:lineRule="auto"/>
        <w:ind w:firstLine="480" w:firstLineChars="200"/>
        <w:rPr>
          <w:rFonts w:hint="eastAsia"/>
          <w:bCs/>
          <w:sz w:val="24"/>
        </w:rPr>
      </w:pPr>
      <w:r>
        <w:rPr>
          <w:bCs/>
          <w:sz w:val="24"/>
        </w:rPr>
        <w:t>（</w:t>
      </w:r>
      <w:r>
        <w:rPr>
          <w:rFonts w:hint="eastAsia"/>
          <w:bCs/>
          <w:sz w:val="24"/>
        </w:rPr>
        <w:t>2</w:t>
      </w:r>
      <w:r>
        <w:rPr>
          <w:bCs/>
          <w:sz w:val="24"/>
        </w:rPr>
        <w:t>）</w:t>
      </w:r>
      <w:r>
        <w:rPr>
          <w:rFonts w:hint="eastAsia"/>
          <w:bCs/>
          <w:sz w:val="24"/>
        </w:rPr>
        <w:t>延缓支付赎回款项</w:t>
      </w:r>
      <w:r>
        <w:rPr>
          <w:bCs/>
          <w:sz w:val="24"/>
        </w:rPr>
        <w:t>：</w:t>
      </w:r>
      <w:r>
        <w:rPr>
          <w:rFonts w:hint="eastAsia"/>
          <w:bCs/>
          <w:sz w:val="24"/>
        </w:rPr>
        <w:t>开放期</w:t>
      </w:r>
      <w:r>
        <w:rPr>
          <w:bCs/>
          <w:sz w:val="24"/>
        </w:rPr>
        <w:t>内，</w:t>
      </w:r>
      <w:r>
        <w:rPr>
          <w:rFonts w:hint="eastAsia"/>
          <w:bCs/>
          <w:sz w:val="24"/>
        </w:rPr>
        <w:t>发生巨额赎回且不存在单一持有人赎回申请超过上一工作日基金总份额20%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w:t>
      </w:r>
      <w:r>
        <w:rPr>
          <w:bCs/>
          <w:sz w:val="24"/>
        </w:rPr>
        <w:t>当基金管理人认为支付投资人的赎回</w:t>
      </w:r>
      <w:r>
        <w:rPr>
          <w:rFonts w:hint="eastAsia"/>
          <w:bCs/>
          <w:sz w:val="24"/>
        </w:rPr>
        <w:t>款项</w:t>
      </w:r>
      <w:r>
        <w:rPr>
          <w:bCs/>
          <w:sz w:val="24"/>
        </w:rPr>
        <w:t>有困难或认为因支付投资人的赎回</w:t>
      </w:r>
      <w:r>
        <w:rPr>
          <w:rFonts w:hint="eastAsia"/>
          <w:bCs/>
          <w:sz w:val="24"/>
        </w:rPr>
        <w:t>款项</w:t>
      </w:r>
      <w:r>
        <w:rPr>
          <w:bCs/>
          <w:sz w:val="24"/>
        </w:rPr>
        <w:t>而进行的财产变现可能会对基金资产净值造成较大波动时，</w:t>
      </w:r>
      <w:r>
        <w:rPr>
          <w:rFonts w:hint="eastAsia"/>
          <w:bCs/>
          <w:sz w:val="24"/>
        </w:rPr>
        <w:t>基金管理人应对当日全部赎回申请进行确认，当日按比例办理支付的赎回份额不得低于前一工作日基金总份额的20%，其余赎回申请可以延缓支付赎回款项，但延缓支付的期限最长不超过20个工作日。延缓支付的赎回申请以赎回申请当日的基金份额净值为基础计算赎回金额。</w:t>
      </w:r>
    </w:p>
    <w:p w14:paraId="684F04D3">
      <w:pPr>
        <w:spacing w:line="360" w:lineRule="auto"/>
        <w:ind w:firstLine="480" w:firstLineChars="200"/>
        <w:rPr>
          <w:bCs/>
          <w:sz w:val="24"/>
        </w:rPr>
      </w:pPr>
      <w:r>
        <w:rPr>
          <w:rFonts w:hint="eastAsia"/>
          <w:bCs/>
          <w:sz w:val="24"/>
        </w:rPr>
        <w:t>（3）延期办理：开放期内，如果发生巨额赎回且单一持有人赎回申请超过上一工作日基金总份额20%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间外延期办理的期限最长不可超过20个工作日，开放期外延期办理期间不办理申购亦不接受新的赎回申请。 延期的赎回申请与下一开放日赎回申请一并处理，无优先权并以下一开放日的基金份额净值为基础计算赎回金额，以此类推。部分延期赎回不受单笔赎回最低份额的限制。延长期限的最后一个工作日，尚未办理完的赎回申请，基金管理人应按上述第（1）项规则办理。</w:t>
      </w:r>
    </w:p>
    <w:p w14:paraId="75BA9B5C">
      <w:pPr>
        <w:spacing w:line="360" w:lineRule="auto"/>
        <w:ind w:firstLine="480" w:firstLineChars="200"/>
        <w:rPr>
          <w:bCs/>
          <w:sz w:val="24"/>
        </w:rPr>
      </w:pPr>
      <w:r>
        <w:rPr>
          <w:bCs/>
          <w:sz w:val="24"/>
        </w:rPr>
        <w:t>3</w:t>
      </w:r>
      <w:r>
        <w:rPr>
          <w:rFonts w:hint="eastAsia"/>
          <w:bCs/>
          <w:sz w:val="24"/>
        </w:rPr>
        <w:t>、</w:t>
      </w:r>
      <w:r>
        <w:rPr>
          <w:bCs/>
          <w:sz w:val="24"/>
        </w:rPr>
        <w:t>巨额赎回的公告</w:t>
      </w:r>
    </w:p>
    <w:p w14:paraId="3010F427">
      <w:pPr>
        <w:spacing w:line="360" w:lineRule="auto"/>
        <w:ind w:firstLine="480" w:firstLineChars="200"/>
        <w:rPr>
          <w:bCs/>
        </w:rPr>
      </w:pPr>
      <w:r>
        <w:rPr>
          <w:bCs/>
          <w:sz w:val="24"/>
        </w:rPr>
        <w:t>当发生上述</w:t>
      </w:r>
      <w:r>
        <w:rPr>
          <w:rFonts w:hint="eastAsia"/>
          <w:bCs/>
          <w:sz w:val="24"/>
        </w:rPr>
        <w:t>巨额</w:t>
      </w:r>
      <w:r>
        <w:rPr>
          <w:bCs/>
          <w:sz w:val="24"/>
        </w:rPr>
        <w:t>赎回并</w:t>
      </w:r>
      <w:r>
        <w:rPr>
          <w:rFonts w:hint="eastAsia"/>
          <w:bCs/>
          <w:sz w:val="24"/>
        </w:rPr>
        <w:t>延缓支付赎回款项或延期办理</w:t>
      </w:r>
      <w:r>
        <w:rPr>
          <w:bCs/>
          <w:sz w:val="24"/>
        </w:rPr>
        <w:t>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14:paraId="2A0A26E8">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7B243265">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14:paraId="5C485E6A">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w:t>
      </w:r>
      <w:r>
        <w:rPr>
          <w:rFonts w:hint="eastAsia"/>
          <w:bCs/>
          <w:sz w:val="24"/>
        </w:rPr>
        <w:t>工作</w:t>
      </w:r>
      <w:r>
        <w:rPr>
          <w:bCs/>
          <w:sz w:val="24"/>
        </w:rPr>
        <w:t>日的基金份额净值。</w:t>
      </w:r>
    </w:p>
    <w:p w14:paraId="0ADB845F">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42EF35D2">
      <w:pPr>
        <w:spacing w:line="360" w:lineRule="auto"/>
        <w:ind w:firstLine="480" w:firstLineChars="200"/>
        <w:rPr>
          <w:bCs/>
          <w:sz w:val="24"/>
        </w:rPr>
      </w:pPr>
      <w:r>
        <w:rPr>
          <w:bCs/>
          <w:sz w:val="24"/>
        </w:rPr>
        <w:t>十一</w:t>
      </w:r>
      <w:r>
        <w:rPr>
          <w:rFonts w:hint="eastAsia"/>
          <w:bCs/>
          <w:sz w:val="24"/>
        </w:rPr>
        <w:t>、</w:t>
      </w:r>
      <w:r>
        <w:rPr>
          <w:bCs/>
          <w:sz w:val="24"/>
        </w:rPr>
        <w:t>基金转换</w:t>
      </w:r>
    </w:p>
    <w:p w14:paraId="1C3DC56E">
      <w:pPr>
        <w:spacing w:line="360" w:lineRule="auto"/>
        <w:ind w:firstLine="480" w:firstLineChars="200"/>
        <w:rPr>
          <w:rFonts w:hint="eastAsia"/>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423F8CC4">
      <w:pPr>
        <w:spacing w:line="360" w:lineRule="auto"/>
        <w:ind w:firstLine="480" w:firstLineChars="200"/>
        <w:rPr>
          <w:rFonts w:hint="eastAsia"/>
          <w:bCs/>
          <w:sz w:val="24"/>
        </w:rPr>
      </w:pPr>
      <w:r>
        <w:rPr>
          <w:rFonts w:hint="eastAsia"/>
          <w:bCs/>
          <w:sz w:val="24"/>
        </w:rPr>
        <w:t>十二、基金份额的转让</w:t>
      </w:r>
    </w:p>
    <w:p w14:paraId="2978C300">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449BBF4E">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2224A956">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410C5A30">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760D2F0B">
      <w:pPr>
        <w:spacing w:line="360" w:lineRule="auto"/>
        <w:ind w:firstLine="480" w:firstLineChars="200"/>
        <w:rPr>
          <w:bCs/>
          <w:sz w:val="24"/>
        </w:rPr>
      </w:pPr>
      <w:r>
        <w:rPr>
          <w:bCs/>
          <w:sz w:val="24"/>
        </w:rPr>
        <w:t>十</w:t>
      </w:r>
      <w:r>
        <w:rPr>
          <w:rFonts w:hint="eastAsia"/>
          <w:bCs/>
          <w:sz w:val="24"/>
        </w:rPr>
        <w:t>四、</w:t>
      </w:r>
      <w:r>
        <w:rPr>
          <w:bCs/>
          <w:sz w:val="24"/>
        </w:rPr>
        <w:t>基金的转托管</w:t>
      </w:r>
    </w:p>
    <w:p w14:paraId="7A24B945">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07DCD446">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40219BBA">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4A017918">
      <w:pPr>
        <w:spacing w:line="360" w:lineRule="auto"/>
        <w:ind w:firstLine="480" w:firstLineChars="200"/>
        <w:rPr>
          <w:rFonts w:hint="eastAsia"/>
          <w:bCs/>
          <w:sz w:val="24"/>
        </w:rPr>
      </w:pPr>
      <w:r>
        <w:rPr>
          <w:rFonts w:hint="eastAsia"/>
          <w:bCs/>
          <w:sz w:val="24"/>
        </w:rPr>
        <w:t>十六、基金份额的冻结、解冻和质押</w:t>
      </w:r>
    </w:p>
    <w:p w14:paraId="39C4C7C4">
      <w:pPr>
        <w:spacing w:line="360" w:lineRule="auto"/>
        <w:ind w:firstLine="480" w:firstLineChars="200"/>
        <w:rPr>
          <w:rFonts w:hint="eastAsia"/>
          <w:bCs/>
          <w:sz w:val="24"/>
        </w:rPr>
      </w:pPr>
      <w:r>
        <w:rPr>
          <w:rFonts w:hint="eastAsia"/>
          <w:bCs/>
          <w:sz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100B440D">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36CA560B">
      <w:pPr>
        <w:spacing w:line="360" w:lineRule="auto"/>
        <w:ind w:firstLine="480" w:firstLineChars="200"/>
        <w:rPr>
          <w:bCs/>
          <w:sz w:val="24"/>
        </w:rPr>
      </w:pPr>
      <w:r>
        <w:rPr>
          <w:rFonts w:hint="eastAsia"/>
          <w:bCs/>
          <w:sz w:val="24"/>
        </w:rPr>
        <w:t>十七、实施侧袋机制期间本基金的申购与赎回</w:t>
      </w:r>
    </w:p>
    <w:p w14:paraId="1E3F8879">
      <w:pPr>
        <w:spacing w:line="360" w:lineRule="auto"/>
        <w:ind w:firstLine="480" w:firstLineChars="200"/>
        <w:rPr>
          <w:rFonts w:hint="eastAsia"/>
          <w:bCs/>
          <w:sz w:val="24"/>
        </w:rPr>
      </w:pPr>
      <w:r>
        <w:rPr>
          <w:rFonts w:hint="eastAsia"/>
          <w:bCs/>
          <w:sz w:val="24"/>
        </w:rPr>
        <w:t>本基金实施侧袋机制的，本基金的申购和赎回安排详见招募说明书或相关公告。</w:t>
      </w:r>
    </w:p>
    <w:p w14:paraId="4908EF72">
      <w:pPr>
        <w:pStyle w:val="2"/>
        <w:spacing w:before="0" w:after="0"/>
        <w:jc w:val="center"/>
        <w:rPr>
          <w:rFonts w:ascii="Times New Roman"/>
          <w:color w:val="auto"/>
          <w:sz w:val="30"/>
        </w:rPr>
      </w:pPr>
      <w:r>
        <w:rPr>
          <w:rFonts w:ascii="Times New Roman"/>
          <w:b w:val="0"/>
          <w:bCs/>
          <w:color w:val="auto"/>
        </w:rPr>
        <w:br w:type="page"/>
      </w:r>
      <w:bookmarkStart w:id="110" w:name="_Toc15143"/>
      <w:bookmarkStart w:id="111" w:name="_Toc12245"/>
      <w:bookmarkStart w:id="112" w:name="_Toc139991737"/>
      <w:bookmarkStart w:id="113" w:name="_Toc14835"/>
      <w:bookmarkStart w:id="114" w:name="_Toc123102454"/>
      <w:bookmarkStart w:id="115" w:name="_Toc98560353"/>
      <w:bookmarkStart w:id="116" w:name="_Toc435642203"/>
      <w:bookmarkStart w:id="117" w:name="_Toc26207"/>
      <w:bookmarkStart w:id="118" w:name="_Toc3601"/>
      <w:bookmarkStart w:id="119" w:name="_Toc123112235"/>
      <w:bookmarkStart w:id="120" w:name="_Toc31235"/>
      <w:bookmarkStart w:id="121" w:name="_Toc141703887"/>
      <w:bookmarkStart w:id="122" w:name="_Toc31644"/>
      <w:bookmarkStart w:id="123" w:name="_Toc6405"/>
      <w:bookmarkStart w:id="124" w:name="_Toc123051453"/>
      <w:bookmarkStart w:id="125" w:name="_Toc29251"/>
      <w:bookmarkStart w:id="126" w:name="_Toc31653"/>
      <w:bookmarkStart w:id="127" w:name="_Toc2011288118"/>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Start w:id="128" w:name="_Hlt55355235"/>
      <w:bookmarkEnd w:id="128"/>
      <w:bookmarkStart w:id="129" w:name="_Toc523711668"/>
      <w:bookmarkStart w:id="130" w:name="_Toc15118234"/>
      <w:bookmarkStart w:id="131" w:name="_Toc79392580"/>
      <w:bookmarkStart w:id="132" w:name="_Toc57530239"/>
    </w:p>
    <w:p w14:paraId="6EA7B226">
      <w:pPr>
        <w:spacing w:line="360" w:lineRule="auto"/>
        <w:ind w:firstLine="480" w:firstLineChars="200"/>
        <w:rPr>
          <w:bCs/>
          <w:sz w:val="24"/>
        </w:rPr>
      </w:pPr>
    </w:p>
    <w:p w14:paraId="6B9A7DB9">
      <w:pPr>
        <w:spacing w:line="360" w:lineRule="auto"/>
        <w:ind w:firstLine="480" w:firstLineChars="200"/>
        <w:rPr>
          <w:bCs/>
          <w:sz w:val="24"/>
        </w:rPr>
      </w:pPr>
      <w:r>
        <w:rPr>
          <w:bCs/>
          <w:sz w:val="24"/>
        </w:rPr>
        <w:t>一、基金</w:t>
      </w:r>
      <w:bookmarkEnd w:id="129"/>
      <w:r>
        <w:rPr>
          <w:bCs/>
          <w:sz w:val="24"/>
        </w:rPr>
        <w:t>管理人</w:t>
      </w:r>
      <w:bookmarkEnd w:id="130"/>
      <w:bookmarkEnd w:id="131"/>
      <w:bookmarkEnd w:id="132"/>
    </w:p>
    <w:p w14:paraId="15345137">
      <w:pPr>
        <w:spacing w:line="360" w:lineRule="auto"/>
        <w:ind w:firstLine="480" w:firstLineChars="200"/>
        <w:rPr>
          <w:bCs/>
          <w:sz w:val="24"/>
        </w:rPr>
      </w:pPr>
      <w:bookmarkStart w:id="133" w:name="_Toc15118235"/>
      <w:r>
        <w:rPr>
          <w:bCs/>
          <w:sz w:val="24"/>
        </w:rPr>
        <w:t>（一）</w:t>
      </w:r>
      <w:r>
        <w:rPr>
          <w:bCs/>
          <w:sz w:val="24"/>
        </w:rPr>
        <w:tab/>
      </w:r>
      <w:r>
        <w:rPr>
          <w:bCs/>
          <w:sz w:val="24"/>
        </w:rPr>
        <w:t>基金管理人简况</w:t>
      </w:r>
      <w:bookmarkEnd w:id="133"/>
    </w:p>
    <w:p w14:paraId="268B502B">
      <w:pPr>
        <w:spacing w:line="360" w:lineRule="auto"/>
        <w:ind w:firstLine="480" w:firstLineChars="200"/>
        <w:rPr>
          <w:bCs/>
          <w:sz w:val="24"/>
        </w:rPr>
      </w:pPr>
      <w:bookmarkStart w:id="134" w:name="_Toc15118236"/>
      <w:bookmarkStart w:id="135" w:name="_Toc15118237"/>
      <w:r>
        <w:rPr>
          <w:bCs/>
          <w:sz w:val="24"/>
        </w:rPr>
        <w:t>名称：</w:t>
      </w:r>
      <w:bookmarkEnd w:id="134"/>
      <w:r>
        <w:rPr>
          <w:bCs/>
          <w:sz w:val="24"/>
        </w:rPr>
        <w:t>博时基金管理有限公司</w:t>
      </w:r>
    </w:p>
    <w:p w14:paraId="20503D9E">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2F9554A8">
      <w:pPr>
        <w:spacing w:line="360" w:lineRule="auto"/>
        <w:ind w:firstLine="480" w:firstLineChars="200"/>
        <w:rPr>
          <w:bCs/>
          <w:sz w:val="24"/>
        </w:rPr>
      </w:pPr>
      <w:r>
        <w:rPr>
          <w:bCs/>
          <w:sz w:val="24"/>
        </w:rPr>
        <w:t>法定代表人：</w:t>
      </w:r>
      <w:r>
        <w:rPr>
          <w:rFonts w:hint="eastAsia"/>
          <w:bCs/>
          <w:sz w:val="24"/>
        </w:rPr>
        <w:t>张东</w:t>
      </w:r>
    </w:p>
    <w:p w14:paraId="55EE6F36">
      <w:pPr>
        <w:spacing w:line="360" w:lineRule="auto"/>
        <w:ind w:firstLine="480" w:firstLineChars="200"/>
        <w:rPr>
          <w:bCs/>
          <w:sz w:val="24"/>
        </w:rPr>
      </w:pPr>
      <w:r>
        <w:rPr>
          <w:bCs/>
          <w:sz w:val="24"/>
        </w:rPr>
        <w:t>设立日期：1998年7月13日</w:t>
      </w:r>
    </w:p>
    <w:p w14:paraId="63BB87EF">
      <w:pPr>
        <w:spacing w:line="360" w:lineRule="auto"/>
        <w:ind w:firstLine="480" w:firstLineChars="200"/>
        <w:rPr>
          <w:bCs/>
          <w:sz w:val="24"/>
        </w:rPr>
      </w:pPr>
      <w:r>
        <w:rPr>
          <w:bCs/>
          <w:sz w:val="24"/>
        </w:rPr>
        <w:t>批准设立机关及批准设立文号：中国证监会证监基字【1998】26号</w:t>
      </w:r>
    </w:p>
    <w:p w14:paraId="06C12B84">
      <w:pPr>
        <w:spacing w:line="360" w:lineRule="auto"/>
        <w:ind w:firstLine="480" w:firstLineChars="200"/>
        <w:rPr>
          <w:bCs/>
          <w:sz w:val="24"/>
        </w:rPr>
      </w:pPr>
      <w:r>
        <w:rPr>
          <w:bCs/>
          <w:sz w:val="24"/>
        </w:rPr>
        <w:t>组织形式：有限责任公司</w:t>
      </w:r>
    </w:p>
    <w:p w14:paraId="011B788C">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60E18913">
      <w:pPr>
        <w:spacing w:line="360" w:lineRule="auto"/>
        <w:ind w:firstLine="480" w:firstLineChars="200"/>
        <w:rPr>
          <w:bCs/>
          <w:sz w:val="24"/>
        </w:rPr>
      </w:pPr>
      <w:r>
        <w:rPr>
          <w:bCs/>
          <w:sz w:val="24"/>
        </w:rPr>
        <w:t>存续期限：</w:t>
      </w:r>
      <w:r>
        <w:rPr>
          <w:rFonts w:hint="eastAsia"/>
          <w:bCs/>
          <w:sz w:val="24"/>
        </w:rPr>
        <w:t>持续经营</w:t>
      </w:r>
    </w:p>
    <w:p w14:paraId="6C54BE56">
      <w:pPr>
        <w:spacing w:line="360" w:lineRule="auto"/>
        <w:ind w:firstLine="480" w:firstLineChars="200"/>
        <w:rPr>
          <w:bCs/>
          <w:sz w:val="24"/>
        </w:rPr>
      </w:pPr>
      <w:r>
        <w:rPr>
          <w:bCs/>
          <w:sz w:val="24"/>
        </w:rPr>
        <w:t>联系电话：0755-83169999</w:t>
      </w:r>
    </w:p>
    <w:p w14:paraId="358FC0B3">
      <w:pPr>
        <w:spacing w:line="360" w:lineRule="auto"/>
        <w:ind w:firstLine="480" w:firstLineChars="200"/>
        <w:rPr>
          <w:bCs/>
          <w:sz w:val="24"/>
        </w:rPr>
      </w:pPr>
      <w:r>
        <w:rPr>
          <w:bCs/>
          <w:sz w:val="24"/>
        </w:rPr>
        <w:t>（二）</w:t>
      </w:r>
      <w:r>
        <w:rPr>
          <w:bCs/>
          <w:sz w:val="24"/>
        </w:rPr>
        <w:tab/>
      </w:r>
      <w:r>
        <w:rPr>
          <w:bCs/>
          <w:sz w:val="24"/>
        </w:rPr>
        <w:t>基金管理人的权利与义务</w:t>
      </w:r>
      <w:bookmarkEnd w:id="135"/>
    </w:p>
    <w:p w14:paraId="06A1FF19">
      <w:pPr>
        <w:spacing w:line="360" w:lineRule="auto"/>
        <w:ind w:firstLine="480" w:firstLineChars="200"/>
        <w:rPr>
          <w:bCs/>
          <w:sz w:val="24"/>
        </w:rPr>
      </w:pPr>
      <w:r>
        <w:rPr>
          <w:bCs/>
          <w:sz w:val="24"/>
        </w:rPr>
        <w:t>1、根据《基金法》、《运作办法》及其他有关规定，基金管理人的权利包括但不限于：</w:t>
      </w:r>
    </w:p>
    <w:p w14:paraId="17BA1AA3">
      <w:pPr>
        <w:spacing w:line="360" w:lineRule="auto"/>
        <w:ind w:firstLine="480" w:firstLineChars="200"/>
        <w:rPr>
          <w:bCs/>
          <w:sz w:val="24"/>
        </w:rPr>
      </w:pPr>
      <w:r>
        <w:rPr>
          <w:bCs/>
          <w:sz w:val="24"/>
        </w:rPr>
        <w:t>（1）依法募集</w:t>
      </w:r>
      <w:r>
        <w:rPr>
          <w:rFonts w:hint="eastAsia"/>
          <w:bCs/>
          <w:sz w:val="24"/>
        </w:rPr>
        <w:t>资</w:t>
      </w:r>
      <w:r>
        <w:rPr>
          <w:bCs/>
          <w:sz w:val="24"/>
        </w:rPr>
        <w:t>金；</w:t>
      </w:r>
    </w:p>
    <w:p w14:paraId="63F3F82D">
      <w:pPr>
        <w:spacing w:line="360" w:lineRule="auto"/>
        <w:ind w:firstLine="480" w:firstLineChars="200"/>
        <w:rPr>
          <w:bCs/>
          <w:sz w:val="24"/>
        </w:rPr>
      </w:pPr>
      <w:r>
        <w:rPr>
          <w:bCs/>
          <w:sz w:val="24"/>
        </w:rPr>
        <w:t>（2）自《基金合同》生效之日起，根据法律法规和《基金合同》独立运用并管理基金财产；</w:t>
      </w:r>
    </w:p>
    <w:p w14:paraId="1DB9B146">
      <w:pPr>
        <w:spacing w:line="360" w:lineRule="auto"/>
        <w:ind w:firstLine="480" w:firstLineChars="200"/>
        <w:rPr>
          <w:bCs/>
          <w:sz w:val="24"/>
        </w:rPr>
      </w:pPr>
      <w:r>
        <w:rPr>
          <w:bCs/>
          <w:sz w:val="24"/>
        </w:rPr>
        <w:t>（3）依照《基金合同》收取基金管理费以及法律法规规定或中国证监会批准的其他费用；</w:t>
      </w:r>
    </w:p>
    <w:p w14:paraId="71D8C1E8">
      <w:pPr>
        <w:spacing w:line="360" w:lineRule="auto"/>
        <w:ind w:firstLine="480" w:firstLineChars="200"/>
        <w:rPr>
          <w:bCs/>
          <w:sz w:val="24"/>
        </w:rPr>
      </w:pPr>
      <w:r>
        <w:rPr>
          <w:bCs/>
          <w:sz w:val="24"/>
        </w:rPr>
        <w:t>（4）销售基金份额；</w:t>
      </w:r>
    </w:p>
    <w:p w14:paraId="423365B1">
      <w:pPr>
        <w:spacing w:line="360" w:lineRule="auto"/>
        <w:ind w:firstLine="480" w:firstLineChars="200"/>
        <w:rPr>
          <w:bCs/>
          <w:sz w:val="24"/>
        </w:rPr>
      </w:pPr>
      <w:r>
        <w:rPr>
          <w:bCs/>
          <w:sz w:val="24"/>
        </w:rPr>
        <w:t>（5）</w:t>
      </w:r>
      <w:bookmarkStart w:id="136" w:name="_Hlt88896155"/>
      <w:r>
        <w:rPr>
          <w:rFonts w:hint="eastAsia"/>
          <w:bCs/>
          <w:sz w:val="24"/>
        </w:rPr>
        <w:t>按照规定</w:t>
      </w:r>
      <w:r>
        <w:rPr>
          <w:bCs/>
          <w:sz w:val="24"/>
        </w:rPr>
        <w:t>召集</w:t>
      </w:r>
      <w:bookmarkEnd w:id="136"/>
      <w:r>
        <w:rPr>
          <w:bCs/>
          <w:sz w:val="24"/>
        </w:rPr>
        <w:t>基金份额持有人大会；</w:t>
      </w:r>
    </w:p>
    <w:p w14:paraId="3D6597A5">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6B41242B">
      <w:pPr>
        <w:spacing w:line="360" w:lineRule="auto"/>
        <w:ind w:firstLine="480" w:firstLineChars="200"/>
        <w:rPr>
          <w:bCs/>
          <w:sz w:val="24"/>
        </w:rPr>
      </w:pPr>
      <w:r>
        <w:rPr>
          <w:bCs/>
          <w:sz w:val="24"/>
        </w:rPr>
        <w:t>（7）在基金托管人更换时，提名新的基金托管人；</w:t>
      </w:r>
    </w:p>
    <w:p w14:paraId="7781598D">
      <w:pPr>
        <w:spacing w:line="440" w:lineRule="atLeast"/>
        <w:ind w:firstLine="480" w:firstLineChars="200"/>
        <w:rPr>
          <w:bCs/>
          <w:sz w:val="24"/>
        </w:rPr>
      </w:pPr>
      <w:r>
        <w:rPr>
          <w:bCs/>
          <w:sz w:val="24"/>
        </w:rPr>
        <w:t>（8）选择、更换基金销售机构，对基金销售机构的相关行为进行监督和处理；</w:t>
      </w:r>
    </w:p>
    <w:p w14:paraId="4D8A8608">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407F658B">
      <w:pPr>
        <w:spacing w:line="440" w:lineRule="atLeast"/>
        <w:ind w:firstLine="480" w:firstLineChars="200"/>
        <w:rPr>
          <w:bCs/>
          <w:sz w:val="24"/>
        </w:rPr>
      </w:pPr>
      <w:r>
        <w:rPr>
          <w:bCs/>
          <w:sz w:val="24"/>
        </w:rPr>
        <w:t>（10）依据《基金合同》及有关法律规定决定基金收益的分配方案；</w:t>
      </w:r>
      <w:r>
        <w:rPr>
          <w:bCs/>
          <w:sz w:val="24"/>
        </w:rPr>
        <w:tab/>
      </w:r>
    </w:p>
    <w:p w14:paraId="5853CF2E">
      <w:pPr>
        <w:spacing w:line="440" w:lineRule="atLeast"/>
        <w:ind w:firstLine="480" w:firstLineChars="200"/>
        <w:rPr>
          <w:bCs/>
          <w:sz w:val="24"/>
        </w:rPr>
      </w:pPr>
      <w:r>
        <w:rPr>
          <w:bCs/>
          <w:sz w:val="24"/>
        </w:rPr>
        <w:t>（11）在《基金合同》约定的范围内，拒绝或暂停受理申购与赎回申请；</w:t>
      </w:r>
    </w:p>
    <w:p w14:paraId="5D4CD8A5">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0427D905">
      <w:pPr>
        <w:spacing w:line="440" w:lineRule="atLeast"/>
        <w:ind w:firstLine="480" w:firstLineChars="200"/>
        <w:rPr>
          <w:bCs/>
          <w:sz w:val="24"/>
        </w:rPr>
      </w:pPr>
      <w:r>
        <w:rPr>
          <w:bCs/>
          <w:sz w:val="24"/>
        </w:rPr>
        <w:t>（1</w:t>
      </w:r>
      <w:r>
        <w:rPr>
          <w:rFonts w:hint="eastAsia"/>
          <w:bCs/>
          <w:sz w:val="24"/>
        </w:rPr>
        <w:t>3</w:t>
      </w:r>
      <w:r>
        <w:rPr>
          <w:bCs/>
          <w:sz w:val="24"/>
        </w:rPr>
        <w:t>）以基金管理人的名义，代表基金份额持有人的利益行使诉讼权利或者实施其他法律行为；</w:t>
      </w:r>
      <w:r>
        <w:rPr>
          <w:bCs/>
          <w:sz w:val="24"/>
        </w:rPr>
        <w:tab/>
      </w:r>
    </w:p>
    <w:p w14:paraId="1458EEAE">
      <w:pPr>
        <w:spacing w:line="440" w:lineRule="atLeast"/>
        <w:ind w:firstLine="480" w:firstLineChars="200"/>
        <w:rPr>
          <w:bCs/>
          <w:sz w:val="24"/>
        </w:rPr>
      </w:pPr>
      <w:r>
        <w:rPr>
          <w:bCs/>
          <w:sz w:val="24"/>
        </w:rPr>
        <w:t>（1</w:t>
      </w:r>
      <w:r>
        <w:rPr>
          <w:rFonts w:hint="eastAsia"/>
          <w:bCs/>
          <w:sz w:val="24"/>
        </w:rPr>
        <w:t>4</w:t>
      </w:r>
      <w:r>
        <w:rPr>
          <w:bCs/>
          <w:sz w:val="24"/>
        </w:rPr>
        <w:t>）选择、更换律师事务所、会计师事务所、证券经纪商或其他为基金提供服务的外部机构；</w:t>
      </w:r>
      <w:r>
        <w:rPr>
          <w:bCs/>
          <w:sz w:val="24"/>
        </w:rPr>
        <w:tab/>
      </w:r>
    </w:p>
    <w:p w14:paraId="02634CE6">
      <w:pPr>
        <w:spacing w:line="440" w:lineRule="atLeast"/>
        <w:ind w:firstLine="480" w:firstLineChars="200"/>
        <w:rPr>
          <w:bCs/>
          <w:sz w:val="24"/>
        </w:rPr>
      </w:pPr>
      <w:r>
        <w:rPr>
          <w:bCs/>
          <w:sz w:val="24"/>
        </w:rPr>
        <w:t>（1</w:t>
      </w:r>
      <w:r>
        <w:rPr>
          <w:rFonts w:hint="eastAsia"/>
          <w:bCs/>
          <w:sz w:val="24"/>
        </w:rPr>
        <w:t>5</w:t>
      </w:r>
      <w:r>
        <w:rPr>
          <w:bCs/>
          <w:sz w:val="24"/>
        </w:rPr>
        <w:t>）在符合有关法律、法规的前提下，制订和调整有关基金申购、赎回、转换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3171D161">
      <w:pPr>
        <w:spacing w:line="440" w:lineRule="atLeast"/>
        <w:ind w:firstLine="480" w:firstLineChars="200"/>
        <w:rPr>
          <w:bCs/>
          <w:sz w:val="24"/>
        </w:rPr>
      </w:pPr>
      <w:r>
        <w:rPr>
          <w:bCs/>
          <w:sz w:val="24"/>
        </w:rPr>
        <w:t>（1</w:t>
      </w:r>
      <w:r>
        <w:rPr>
          <w:rFonts w:hint="eastAsia"/>
          <w:bCs/>
          <w:sz w:val="24"/>
        </w:rPr>
        <w:t>6</w:t>
      </w:r>
      <w:r>
        <w:rPr>
          <w:bCs/>
          <w:sz w:val="24"/>
        </w:rPr>
        <w:t>）法律法规及中国证监会规定的和《基金合同》约定的其他权利。</w:t>
      </w:r>
    </w:p>
    <w:p w14:paraId="22583664">
      <w:pPr>
        <w:spacing w:line="440" w:lineRule="atLeast"/>
        <w:ind w:firstLine="480" w:firstLineChars="200"/>
        <w:rPr>
          <w:bCs/>
          <w:sz w:val="24"/>
        </w:rPr>
      </w:pPr>
      <w:r>
        <w:rPr>
          <w:bCs/>
          <w:sz w:val="24"/>
        </w:rPr>
        <w:t>2、根据《基金法》、《运作办法》及其他有关规定，基金管理人的义务包括但不限于：</w:t>
      </w:r>
    </w:p>
    <w:p w14:paraId="1708DD7D">
      <w:pPr>
        <w:spacing w:line="440" w:lineRule="atLeast"/>
        <w:ind w:firstLine="480" w:firstLineChars="200"/>
        <w:rPr>
          <w:bCs/>
          <w:sz w:val="24"/>
        </w:rPr>
      </w:pPr>
      <w:bookmarkStart w:id="137" w:name="_Toc523711669"/>
      <w:r>
        <w:rPr>
          <w:bCs/>
          <w:sz w:val="24"/>
        </w:rPr>
        <w:t>（1）依法募集</w:t>
      </w:r>
      <w:r>
        <w:rPr>
          <w:rFonts w:hint="eastAsia"/>
          <w:bCs/>
          <w:sz w:val="24"/>
        </w:rPr>
        <w:t>资</w:t>
      </w:r>
      <w:r>
        <w:rPr>
          <w:bCs/>
          <w:sz w:val="24"/>
        </w:rPr>
        <w:t>金，办理或者委托经中国证监会认定的其他机构代为办理基金份额的申购、赎回和登记事宜；</w:t>
      </w:r>
    </w:p>
    <w:p w14:paraId="5020893B">
      <w:pPr>
        <w:spacing w:line="440" w:lineRule="atLeast"/>
        <w:ind w:firstLine="480" w:firstLineChars="200"/>
        <w:rPr>
          <w:bCs/>
          <w:sz w:val="24"/>
        </w:rPr>
      </w:pPr>
      <w:r>
        <w:rPr>
          <w:bCs/>
          <w:sz w:val="24"/>
        </w:rPr>
        <w:t>（2）办理基金备案手续；</w:t>
      </w:r>
    </w:p>
    <w:p w14:paraId="7E0CA10B">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7DE6E870">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5F46F764">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6C4C2FB7">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38" w:name="_Hlt88897298"/>
      <w:bookmarkEnd w:id="138"/>
    </w:p>
    <w:p w14:paraId="4E20A3E3">
      <w:pPr>
        <w:spacing w:line="360" w:lineRule="auto"/>
        <w:ind w:firstLine="480" w:firstLineChars="200"/>
        <w:rPr>
          <w:bCs/>
          <w:sz w:val="24"/>
        </w:rPr>
      </w:pPr>
      <w:r>
        <w:rPr>
          <w:bCs/>
          <w:sz w:val="24"/>
        </w:rPr>
        <w:t>（7）依法接受基金托管人的监督；</w:t>
      </w:r>
    </w:p>
    <w:p w14:paraId="41313E97">
      <w:pPr>
        <w:spacing w:line="360" w:lineRule="auto"/>
        <w:ind w:firstLine="480" w:firstLineChars="200"/>
        <w:rPr>
          <w:bCs/>
          <w:sz w:val="24"/>
        </w:rPr>
      </w:pPr>
      <w:r>
        <w:rPr>
          <w:bCs/>
          <w:sz w:val="24"/>
        </w:rPr>
        <w:t>（8）采取适当合理的措施使计算基金份额申购、赎回和注销价格的方法符合《基金合同》等法律文件的规定，按有关规定计算并公告基金净值</w:t>
      </w:r>
      <w:r>
        <w:rPr>
          <w:rFonts w:hint="eastAsia"/>
          <w:bCs/>
          <w:sz w:val="24"/>
        </w:rPr>
        <w:t>信息</w:t>
      </w:r>
      <w:r>
        <w:rPr>
          <w:bCs/>
          <w:sz w:val="24"/>
        </w:rPr>
        <w:t>，确定基金份额申购、赎回的价格；</w:t>
      </w:r>
    </w:p>
    <w:p w14:paraId="788B835B">
      <w:pPr>
        <w:spacing w:line="360" w:lineRule="auto"/>
        <w:ind w:firstLine="480" w:firstLineChars="200"/>
        <w:rPr>
          <w:bCs/>
          <w:sz w:val="24"/>
        </w:rPr>
      </w:pPr>
      <w:r>
        <w:rPr>
          <w:bCs/>
          <w:sz w:val="24"/>
        </w:rPr>
        <w:t>（9）进行基金会计核算并编制基金财务会计报告；</w:t>
      </w:r>
    </w:p>
    <w:p w14:paraId="2AAABBFD">
      <w:pPr>
        <w:spacing w:line="360" w:lineRule="auto"/>
        <w:ind w:firstLine="480" w:firstLineChars="200"/>
        <w:rPr>
          <w:bCs/>
          <w:sz w:val="24"/>
        </w:rPr>
      </w:pPr>
      <w:r>
        <w:rPr>
          <w:bCs/>
          <w:sz w:val="24"/>
        </w:rPr>
        <w:t>（10）编制季度</w:t>
      </w:r>
      <w:r>
        <w:rPr>
          <w:rFonts w:hint="eastAsia"/>
          <w:bCs/>
          <w:sz w:val="24"/>
        </w:rPr>
        <w:t>报告</w:t>
      </w:r>
      <w:r>
        <w:rPr>
          <w:bCs/>
          <w:sz w:val="24"/>
        </w:rPr>
        <w:t>、中期</w:t>
      </w:r>
      <w:r>
        <w:rPr>
          <w:rFonts w:hint="eastAsia"/>
          <w:bCs/>
          <w:sz w:val="24"/>
        </w:rPr>
        <w:t>报告</w:t>
      </w:r>
      <w:r>
        <w:rPr>
          <w:bCs/>
          <w:sz w:val="24"/>
        </w:rPr>
        <w:t>和年度报告；</w:t>
      </w:r>
    </w:p>
    <w:p w14:paraId="78635B52">
      <w:pPr>
        <w:spacing w:line="360" w:lineRule="auto"/>
        <w:ind w:firstLine="480" w:firstLineChars="200"/>
        <w:rPr>
          <w:bCs/>
          <w:sz w:val="24"/>
        </w:rPr>
      </w:pPr>
      <w:r>
        <w:rPr>
          <w:bCs/>
          <w:sz w:val="24"/>
        </w:rPr>
        <w:t>（11）严格按照《基金法》、《基金合同》及其他有关规定，履行信息披露及报告义务；</w:t>
      </w:r>
    </w:p>
    <w:p w14:paraId="6DDC9AB8">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6F6F8080">
      <w:pPr>
        <w:spacing w:line="360" w:lineRule="auto"/>
        <w:ind w:firstLine="480" w:firstLineChars="200"/>
        <w:rPr>
          <w:bCs/>
          <w:sz w:val="24"/>
        </w:rPr>
      </w:pPr>
      <w:r>
        <w:rPr>
          <w:bCs/>
          <w:sz w:val="24"/>
        </w:rPr>
        <w:t>（13）按《基金合同》的约定确定基金收益分配方案，及时向基金份额持有人分配基金收益；</w:t>
      </w:r>
    </w:p>
    <w:p w14:paraId="0D1F2D4C">
      <w:pPr>
        <w:spacing w:line="360" w:lineRule="auto"/>
        <w:ind w:firstLine="480" w:firstLineChars="200"/>
        <w:rPr>
          <w:bCs/>
          <w:sz w:val="24"/>
        </w:rPr>
      </w:pPr>
      <w:r>
        <w:rPr>
          <w:bCs/>
          <w:sz w:val="24"/>
        </w:rPr>
        <w:t>（14）按规定受理申购与赎回申请，及时、足额支付赎回款项；</w:t>
      </w:r>
    </w:p>
    <w:p w14:paraId="63EACD60">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54A5FDE1">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477793E8">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319F17B">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7056514E">
      <w:pPr>
        <w:spacing w:line="360" w:lineRule="auto"/>
        <w:ind w:firstLine="480" w:firstLineChars="200"/>
        <w:rPr>
          <w:bCs/>
          <w:sz w:val="24"/>
        </w:rPr>
      </w:pPr>
      <w:r>
        <w:rPr>
          <w:bCs/>
          <w:sz w:val="24"/>
        </w:rPr>
        <w:t>（19）面临解散、依法被撤销或者被依法宣告破产时，及时报告中国证监会并通知基金托管人；</w:t>
      </w:r>
    </w:p>
    <w:p w14:paraId="3A92DF20">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163B33E4">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04287E7F">
      <w:pPr>
        <w:spacing w:line="360" w:lineRule="auto"/>
        <w:ind w:firstLine="480" w:firstLineChars="200"/>
        <w:rPr>
          <w:bCs/>
          <w:sz w:val="24"/>
        </w:rPr>
      </w:pPr>
      <w:r>
        <w:rPr>
          <w:bCs/>
          <w:sz w:val="24"/>
        </w:rPr>
        <w:t>（22）当基金管理人将其义务委托第三方处理时，应当对第三方处理有关基金事务的行为承担责任；</w:t>
      </w:r>
    </w:p>
    <w:p w14:paraId="624666AB">
      <w:pPr>
        <w:spacing w:line="360" w:lineRule="auto"/>
        <w:ind w:firstLine="480" w:firstLineChars="200"/>
        <w:rPr>
          <w:rFonts w:hint="eastAsia"/>
          <w:bCs/>
          <w:sz w:val="24"/>
        </w:rPr>
      </w:pPr>
      <w:r>
        <w:rPr>
          <w:bCs/>
          <w:sz w:val="24"/>
        </w:rPr>
        <w:t>（23）以基金管理人名义，代表基金份额持有人利益行使诉讼权利或实施其他法律行为；</w:t>
      </w:r>
      <w:r>
        <w:rPr>
          <w:bCs/>
          <w:sz w:val="24"/>
        </w:rPr>
        <w:tab/>
      </w:r>
    </w:p>
    <w:p w14:paraId="51E89A84">
      <w:pPr>
        <w:spacing w:line="360" w:lineRule="auto"/>
        <w:ind w:firstLine="480" w:firstLineChars="200"/>
        <w:rPr>
          <w:bCs/>
          <w:sz w:val="24"/>
        </w:rPr>
      </w:pPr>
      <w:r>
        <w:rPr>
          <w:bCs/>
          <w:sz w:val="24"/>
        </w:rPr>
        <w:t>（2</w:t>
      </w:r>
      <w:r>
        <w:rPr>
          <w:rFonts w:hint="eastAsia"/>
          <w:bCs/>
          <w:sz w:val="24"/>
        </w:rPr>
        <w:t>4</w:t>
      </w:r>
      <w:r>
        <w:rPr>
          <w:bCs/>
          <w:sz w:val="24"/>
        </w:rPr>
        <w:t>）执行生效的基金份额持有人大会的</w:t>
      </w:r>
      <w:r>
        <w:rPr>
          <w:rFonts w:hint="eastAsia"/>
          <w:bCs/>
          <w:sz w:val="24"/>
        </w:rPr>
        <w:t>决议</w:t>
      </w:r>
      <w:r>
        <w:rPr>
          <w:bCs/>
          <w:sz w:val="24"/>
        </w:rPr>
        <w:t>；</w:t>
      </w:r>
    </w:p>
    <w:p w14:paraId="2A82A49C">
      <w:pPr>
        <w:spacing w:line="360" w:lineRule="auto"/>
        <w:ind w:firstLine="480" w:firstLineChars="200"/>
        <w:rPr>
          <w:bCs/>
          <w:sz w:val="24"/>
        </w:rPr>
      </w:pPr>
      <w:r>
        <w:rPr>
          <w:bCs/>
          <w:sz w:val="24"/>
        </w:rPr>
        <w:t>（2</w:t>
      </w:r>
      <w:r>
        <w:rPr>
          <w:rFonts w:hint="eastAsia"/>
          <w:bCs/>
          <w:sz w:val="24"/>
        </w:rPr>
        <w:t>5</w:t>
      </w:r>
      <w:r>
        <w:rPr>
          <w:bCs/>
          <w:sz w:val="24"/>
        </w:rPr>
        <w:t>）建立并保存基金份额持有人名册；</w:t>
      </w:r>
    </w:p>
    <w:p w14:paraId="4E92EBFC">
      <w:pPr>
        <w:spacing w:line="360" w:lineRule="auto"/>
        <w:ind w:firstLine="480" w:firstLineChars="200"/>
        <w:rPr>
          <w:bCs/>
          <w:sz w:val="24"/>
        </w:rPr>
      </w:pPr>
      <w:r>
        <w:rPr>
          <w:bCs/>
          <w:sz w:val="24"/>
        </w:rPr>
        <w:t>（2</w:t>
      </w:r>
      <w:r>
        <w:rPr>
          <w:rFonts w:hint="eastAsia"/>
          <w:bCs/>
          <w:sz w:val="24"/>
        </w:rPr>
        <w:t>6</w:t>
      </w:r>
      <w:r>
        <w:rPr>
          <w:bCs/>
          <w:sz w:val="24"/>
        </w:rPr>
        <w:t>）法律法规及中国证监会规定的和《基金合同》约定的其他义务。</w:t>
      </w:r>
    </w:p>
    <w:p w14:paraId="74593AC9">
      <w:pPr>
        <w:spacing w:line="360" w:lineRule="auto"/>
        <w:ind w:firstLine="480" w:firstLineChars="200"/>
        <w:rPr>
          <w:bCs/>
          <w:sz w:val="24"/>
        </w:rPr>
      </w:pPr>
      <w:bookmarkStart w:id="139" w:name="_Toc15118238"/>
      <w:bookmarkStart w:id="140" w:name="_Toc79392581"/>
      <w:bookmarkStart w:id="141" w:name="_Toc57530240"/>
      <w:r>
        <w:rPr>
          <w:bCs/>
          <w:sz w:val="24"/>
        </w:rPr>
        <w:t>二、基金托管人</w:t>
      </w:r>
      <w:bookmarkEnd w:id="137"/>
      <w:bookmarkEnd w:id="139"/>
      <w:bookmarkEnd w:id="140"/>
      <w:bookmarkEnd w:id="141"/>
    </w:p>
    <w:p w14:paraId="70B04A6A">
      <w:pPr>
        <w:spacing w:line="360" w:lineRule="auto"/>
        <w:ind w:firstLine="480" w:firstLineChars="200"/>
        <w:rPr>
          <w:bCs/>
          <w:sz w:val="24"/>
        </w:rPr>
      </w:pPr>
      <w:bookmarkStart w:id="142" w:name="_Toc15118239"/>
      <w:r>
        <w:rPr>
          <w:bCs/>
          <w:sz w:val="24"/>
        </w:rPr>
        <w:t>（一）</w:t>
      </w:r>
      <w:r>
        <w:rPr>
          <w:bCs/>
          <w:sz w:val="24"/>
        </w:rPr>
        <w:tab/>
      </w:r>
      <w:r>
        <w:rPr>
          <w:bCs/>
          <w:sz w:val="24"/>
        </w:rPr>
        <w:t>基金托管人简况</w:t>
      </w:r>
      <w:bookmarkEnd w:id="142"/>
    </w:p>
    <w:p w14:paraId="2F9AC655">
      <w:pPr>
        <w:spacing w:line="360" w:lineRule="auto"/>
        <w:ind w:firstLine="480" w:firstLineChars="200"/>
        <w:rPr>
          <w:rFonts w:hint="eastAsia"/>
          <w:bCs/>
          <w:sz w:val="24"/>
        </w:rPr>
      </w:pPr>
      <w:bookmarkStart w:id="143" w:name="_Toc15118240"/>
      <w:r>
        <w:rPr>
          <w:rFonts w:hint="eastAsia"/>
          <w:bCs/>
          <w:sz w:val="24"/>
        </w:rPr>
        <w:t>名称：兴业银行股份有限公司</w:t>
      </w:r>
    </w:p>
    <w:p w14:paraId="340E5726">
      <w:pPr>
        <w:spacing w:line="360" w:lineRule="auto"/>
        <w:ind w:firstLine="480" w:firstLineChars="200"/>
        <w:rPr>
          <w:rFonts w:hint="eastAsia"/>
          <w:bCs/>
          <w:sz w:val="24"/>
        </w:rPr>
      </w:pPr>
      <w:r>
        <w:rPr>
          <w:rFonts w:hint="eastAsia"/>
          <w:bCs/>
          <w:sz w:val="24"/>
        </w:rPr>
        <w:t>注册地址：福建省福州市台江区江滨中大道398号兴业银行大厦</w:t>
      </w:r>
    </w:p>
    <w:p w14:paraId="5ACBADE7">
      <w:pPr>
        <w:spacing w:line="360" w:lineRule="auto"/>
        <w:ind w:firstLine="480" w:firstLineChars="200"/>
        <w:rPr>
          <w:rFonts w:hint="eastAsia"/>
          <w:bCs/>
          <w:sz w:val="24"/>
        </w:rPr>
      </w:pPr>
      <w:r>
        <w:rPr>
          <w:rFonts w:hint="eastAsia"/>
          <w:bCs/>
          <w:sz w:val="24"/>
        </w:rPr>
        <w:t>办公地址：上海市银城路167号</w:t>
      </w:r>
    </w:p>
    <w:p w14:paraId="4E344118">
      <w:pPr>
        <w:spacing w:line="360" w:lineRule="auto"/>
        <w:ind w:firstLine="480" w:firstLineChars="200"/>
        <w:rPr>
          <w:rFonts w:hint="eastAsia"/>
          <w:bCs/>
          <w:sz w:val="24"/>
        </w:rPr>
      </w:pPr>
      <w:r>
        <w:rPr>
          <w:rFonts w:hint="eastAsia"/>
          <w:bCs/>
          <w:sz w:val="24"/>
        </w:rPr>
        <w:t>法定代表人：吕家进</w:t>
      </w:r>
    </w:p>
    <w:p w14:paraId="15149DDB">
      <w:pPr>
        <w:spacing w:line="360" w:lineRule="auto"/>
        <w:ind w:firstLine="480" w:firstLineChars="200"/>
        <w:rPr>
          <w:rFonts w:hint="eastAsia"/>
          <w:bCs/>
          <w:sz w:val="24"/>
        </w:rPr>
      </w:pPr>
      <w:r>
        <w:rPr>
          <w:rFonts w:hint="eastAsia"/>
          <w:bCs/>
          <w:sz w:val="24"/>
        </w:rPr>
        <w:t>成立日期：1988年8月22日</w:t>
      </w:r>
    </w:p>
    <w:p w14:paraId="38A89AD2">
      <w:pPr>
        <w:spacing w:line="360" w:lineRule="auto"/>
        <w:ind w:firstLine="480" w:firstLineChars="200"/>
        <w:rPr>
          <w:rFonts w:hint="eastAsia"/>
          <w:bCs/>
          <w:sz w:val="24"/>
        </w:rPr>
      </w:pPr>
      <w:r>
        <w:rPr>
          <w:rFonts w:hint="eastAsia"/>
          <w:bCs/>
          <w:sz w:val="24"/>
        </w:rPr>
        <w:t>批准设立机关和批准设立文号：中国人民银行总行，银复〔1988〕347号</w:t>
      </w:r>
    </w:p>
    <w:p w14:paraId="1E01A753">
      <w:pPr>
        <w:spacing w:line="360" w:lineRule="auto"/>
        <w:ind w:firstLine="480" w:firstLineChars="200"/>
        <w:rPr>
          <w:rFonts w:hint="eastAsia"/>
          <w:bCs/>
          <w:sz w:val="24"/>
        </w:rPr>
      </w:pPr>
      <w:r>
        <w:rPr>
          <w:rFonts w:hint="eastAsia"/>
          <w:bCs/>
          <w:sz w:val="24"/>
        </w:rPr>
        <w:t>基金托管业务批准文号：中国证监会证监基金字〔2005〕74号</w:t>
      </w:r>
    </w:p>
    <w:p w14:paraId="4F1594EA">
      <w:pPr>
        <w:spacing w:line="360" w:lineRule="auto"/>
        <w:ind w:firstLine="480" w:firstLineChars="200"/>
        <w:rPr>
          <w:rFonts w:hint="eastAsia"/>
          <w:bCs/>
          <w:sz w:val="24"/>
        </w:rPr>
      </w:pPr>
      <w:r>
        <w:rPr>
          <w:rFonts w:hint="eastAsia"/>
          <w:bCs/>
          <w:sz w:val="24"/>
        </w:rPr>
        <w:t>组织形式：股份有限公司</w:t>
      </w:r>
    </w:p>
    <w:p w14:paraId="03AEC112">
      <w:pPr>
        <w:spacing w:line="360" w:lineRule="auto"/>
        <w:ind w:firstLine="480" w:firstLineChars="200"/>
        <w:rPr>
          <w:rFonts w:hint="eastAsia"/>
          <w:bCs/>
          <w:sz w:val="24"/>
        </w:rPr>
      </w:pPr>
      <w:r>
        <w:rPr>
          <w:rFonts w:hint="eastAsia"/>
          <w:bCs/>
          <w:sz w:val="24"/>
        </w:rPr>
        <w:t>注册资本：207.74亿元人民币</w:t>
      </w:r>
    </w:p>
    <w:p w14:paraId="1BD4DD4A">
      <w:pPr>
        <w:spacing w:line="360" w:lineRule="auto"/>
        <w:ind w:firstLine="480" w:firstLineChars="200"/>
        <w:rPr>
          <w:rFonts w:hint="eastAsia"/>
          <w:bCs/>
          <w:sz w:val="24"/>
        </w:rPr>
      </w:pPr>
      <w:r>
        <w:rPr>
          <w:rFonts w:hint="eastAsia"/>
          <w:bCs/>
          <w:sz w:val="24"/>
        </w:rPr>
        <w:t>存续期间：持续经营</w:t>
      </w:r>
    </w:p>
    <w:p w14:paraId="1F3F7C7A">
      <w:pPr>
        <w:spacing w:line="360" w:lineRule="auto"/>
        <w:ind w:firstLine="480" w:firstLineChars="200"/>
        <w:rPr>
          <w:bCs/>
          <w:sz w:val="24"/>
        </w:rPr>
      </w:pPr>
      <w:r>
        <w:rPr>
          <w:bCs/>
          <w:sz w:val="24"/>
        </w:rPr>
        <w:t>（二）</w:t>
      </w:r>
      <w:r>
        <w:rPr>
          <w:bCs/>
          <w:sz w:val="24"/>
        </w:rPr>
        <w:tab/>
      </w:r>
      <w:r>
        <w:rPr>
          <w:bCs/>
          <w:sz w:val="24"/>
        </w:rPr>
        <w:t>基金托管人的权利与义务</w:t>
      </w:r>
      <w:bookmarkEnd w:id="143"/>
    </w:p>
    <w:p w14:paraId="5E496A62">
      <w:pPr>
        <w:spacing w:line="360" w:lineRule="auto"/>
        <w:ind w:firstLine="480" w:firstLineChars="200"/>
        <w:rPr>
          <w:bCs/>
          <w:sz w:val="24"/>
        </w:rPr>
      </w:pPr>
      <w:r>
        <w:rPr>
          <w:bCs/>
          <w:sz w:val="24"/>
        </w:rPr>
        <w:t>1、根据《基金法》、《运作办法》及其他有关规定，基金托管人的权利包括但不限于：</w:t>
      </w:r>
    </w:p>
    <w:p w14:paraId="7191C8BA">
      <w:pPr>
        <w:spacing w:line="360" w:lineRule="auto"/>
        <w:ind w:firstLine="480" w:firstLineChars="200"/>
        <w:rPr>
          <w:bCs/>
          <w:sz w:val="24"/>
        </w:rPr>
      </w:pPr>
      <w:r>
        <w:rPr>
          <w:bCs/>
          <w:sz w:val="24"/>
        </w:rPr>
        <w:t>（1）自《基金合同》生效之日起，依法律法规和《基金合同》的规定安全保管基金财产；</w:t>
      </w:r>
    </w:p>
    <w:p w14:paraId="7BF80997">
      <w:pPr>
        <w:spacing w:line="360" w:lineRule="auto"/>
        <w:ind w:firstLine="480" w:firstLineChars="200"/>
        <w:rPr>
          <w:bCs/>
          <w:sz w:val="24"/>
        </w:rPr>
      </w:pPr>
      <w:r>
        <w:rPr>
          <w:bCs/>
          <w:sz w:val="24"/>
        </w:rPr>
        <w:t>（2）依《基金合同》约定获得基金托管费以及法律法规规定或监管部门批准的其他费用；</w:t>
      </w:r>
    </w:p>
    <w:p w14:paraId="286FF211">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8BE3780">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14:paraId="132D425F">
      <w:pPr>
        <w:spacing w:line="360" w:lineRule="auto"/>
        <w:ind w:firstLine="480" w:firstLineChars="200"/>
        <w:rPr>
          <w:bCs/>
          <w:sz w:val="24"/>
        </w:rPr>
      </w:pPr>
      <w:r>
        <w:rPr>
          <w:bCs/>
          <w:sz w:val="24"/>
        </w:rPr>
        <w:t>（5）提议召开或召集基金份额持有人大会；</w:t>
      </w:r>
    </w:p>
    <w:p w14:paraId="05567219">
      <w:pPr>
        <w:spacing w:line="360" w:lineRule="auto"/>
        <w:ind w:firstLine="480" w:firstLineChars="200"/>
        <w:rPr>
          <w:bCs/>
          <w:sz w:val="24"/>
        </w:rPr>
      </w:pPr>
      <w:r>
        <w:rPr>
          <w:bCs/>
          <w:sz w:val="24"/>
        </w:rPr>
        <w:t>（6）在基金管理人更换时，提名新的基金管理人；</w:t>
      </w:r>
    </w:p>
    <w:p w14:paraId="5C3E99E5">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48349F66">
      <w:pPr>
        <w:spacing w:line="360" w:lineRule="auto"/>
        <w:ind w:firstLine="480" w:firstLineChars="200"/>
        <w:rPr>
          <w:bCs/>
          <w:sz w:val="24"/>
        </w:rPr>
      </w:pPr>
      <w:r>
        <w:rPr>
          <w:bCs/>
          <w:sz w:val="24"/>
        </w:rPr>
        <w:t>2、根据《基金法》、《运作办法》及其他有关规定，基金托管人的义务包括但不限于：</w:t>
      </w:r>
    </w:p>
    <w:p w14:paraId="7001960C">
      <w:pPr>
        <w:spacing w:line="360" w:lineRule="auto"/>
        <w:ind w:firstLine="480" w:firstLineChars="200"/>
        <w:rPr>
          <w:bCs/>
          <w:sz w:val="24"/>
        </w:rPr>
      </w:pPr>
      <w:r>
        <w:rPr>
          <w:bCs/>
          <w:sz w:val="24"/>
        </w:rPr>
        <w:t>（1）以诚实信用、勤勉尽责的原则持有并安全保管基金财产；</w:t>
      </w:r>
    </w:p>
    <w:p w14:paraId="6FCA1602">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569CB585">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0732543">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040E1929">
      <w:pPr>
        <w:spacing w:line="360" w:lineRule="auto"/>
        <w:ind w:firstLine="480" w:firstLineChars="200"/>
        <w:rPr>
          <w:bCs/>
          <w:sz w:val="24"/>
        </w:rPr>
      </w:pPr>
      <w:r>
        <w:rPr>
          <w:bCs/>
          <w:sz w:val="24"/>
        </w:rPr>
        <w:t>（5）保管由基金管理人代表基金签订的与基金有关的重大合同及有关凭证；</w:t>
      </w:r>
    </w:p>
    <w:p w14:paraId="42094443">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189397F7">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4FE78A5A">
      <w:pPr>
        <w:spacing w:line="360" w:lineRule="auto"/>
        <w:ind w:firstLine="480" w:firstLineChars="200"/>
        <w:rPr>
          <w:bCs/>
          <w:sz w:val="24"/>
        </w:rPr>
      </w:pPr>
      <w:r>
        <w:rPr>
          <w:bCs/>
          <w:sz w:val="24"/>
        </w:rPr>
        <w:t>（8）复核、审查基金管理人计算的基金资产净值、</w:t>
      </w:r>
      <w:r>
        <w:rPr>
          <w:rFonts w:hint="eastAsia"/>
          <w:bCs/>
          <w:sz w:val="24"/>
        </w:rPr>
        <w:t>基金</w:t>
      </w:r>
      <w:r>
        <w:rPr>
          <w:bCs/>
          <w:sz w:val="24"/>
        </w:rPr>
        <w:t>份额净值、基金份额申购、赎回价格；</w:t>
      </w:r>
    </w:p>
    <w:p w14:paraId="0517A6DD">
      <w:pPr>
        <w:spacing w:line="360" w:lineRule="auto"/>
        <w:ind w:firstLine="480" w:firstLineChars="200"/>
        <w:rPr>
          <w:bCs/>
          <w:sz w:val="24"/>
        </w:rPr>
      </w:pPr>
      <w:r>
        <w:rPr>
          <w:bCs/>
          <w:sz w:val="24"/>
        </w:rPr>
        <w:t>（9）办理与基金托管业务活动有关的信息披露事项；</w:t>
      </w:r>
    </w:p>
    <w:p w14:paraId="40CA1FC2">
      <w:pPr>
        <w:spacing w:line="360" w:lineRule="auto"/>
        <w:ind w:firstLine="480" w:firstLineChars="200"/>
        <w:rPr>
          <w:bCs/>
          <w:sz w:val="24"/>
        </w:rPr>
      </w:pPr>
      <w:r>
        <w:rPr>
          <w:bCs/>
          <w:sz w:val="24"/>
        </w:rPr>
        <w:t>（10）对基金财务会计报告、</w:t>
      </w:r>
      <w:r>
        <w:rPr>
          <w:rFonts w:hint="eastAsia"/>
          <w:bCs/>
          <w:sz w:val="24"/>
        </w:rPr>
        <w:t>季度报告、</w:t>
      </w:r>
      <w:r>
        <w:rPr>
          <w:bCs/>
          <w:sz w:val="24"/>
        </w:rPr>
        <w:t>中期</w:t>
      </w:r>
      <w:r>
        <w:rPr>
          <w:rFonts w:hint="eastAsia"/>
          <w:bCs/>
          <w:sz w:val="24"/>
        </w:rPr>
        <w:t>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2C597B4D">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182F172D">
      <w:pPr>
        <w:spacing w:line="360" w:lineRule="auto"/>
        <w:ind w:firstLine="480" w:firstLineChars="200"/>
        <w:rPr>
          <w:bCs/>
          <w:sz w:val="24"/>
        </w:rPr>
      </w:pPr>
      <w:r>
        <w:rPr>
          <w:bCs/>
          <w:sz w:val="24"/>
        </w:rPr>
        <w:t>（12）建立并保存基金份额持有人名册；</w:t>
      </w:r>
    </w:p>
    <w:p w14:paraId="4CDACCFF">
      <w:pPr>
        <w:spacing w:line="360" w:lineRule="auto"/>
        <w:ind w:firstLine="480" w:firstLineChars="200"/>
        <w:rPr>
          <w:bCs/>
          <w:sz w:val="24"/>
        </w:rPr>
      </w:pPr>
      <w:r>
        <w:rPr>
          <w:bCs/>
          <w:sz w:val="24"/>
        </w:rPr>
        <w:t>（13）按规定制作相关账册并与基金管理人核对；</w:t>
      </w:r>
    </w:p>
    <w:p w14:paraId="73A59E59">
      <w:pPr>
        <w:spacing w:line="360" w:lineRule="auto"/>
        <w:ind w:firstLine="480" w:firstLineChars="200"/>
        <w:rPr>
          <w:bCs/>
          <w:sz w:val="24"/>
        </w:rPr>
      </w:pPr>
      <w:r>
        <w:rPr>
          <w:bCs/>
          <w:sz w:val="24"/>
        </w:rPr>
        <w:t>（14）依据基金管理人的指令或有关规定向基金份额持有人支付基金收益和赎回款项；</w:t>
      </w:r>
    </w:p>
    <w:p w14:paraId="2AEB3AB2">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4EB6294">
      <w:pPr>
        <w:spacing w:line="360" w:lineRule="auto"/>
        <w:ind w:firstLine="480" w:firstLineChars="200"/>
        <w:rPr>
          <w:bCs/>
          <w:sz w:val="24"/>
        </w:rPr>
      </w:pPr>
      <w:r>
        <w:rPr>
          <w:bCs/>
          <w:sz w:val="24"/>
        </w:rPr>
        <w:t>（16）按照法律法规和《基金合同》的规定监督基金管理人的投资运作；</w:t>
      </w:r>
    </w:p>
    <w:p w14:paraId="2E83E7A6">
      <w:pPr>
        <w:spacing w:line="360" w:lineRule="auto"/>
        <w:ind w:firstLine="480" w:firstLineChars="200"/>
        <w:rPr>
          <w:bCs/>
          <w:sz w:val="24"/>
        </w:rPr>
      </w:pPr>
      <w:r>
        <w:rPr>
          <w:bCs/>
          <w:sz w:val="24"/>
        </w:rPr>
        <w:t>（17）参加基金财产清算小组，参与基金财产的保管、清理、估价、变现和分配；</w:t>
      </w:r>
    </w:p>
    <w:p w14:paraId="0D41DF58">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0FCB9F95">
      <w:pPr>
        <w:spacing w:line="360" w:lineRule="auto"/>
        <w:ind w:firstLine="480" w:firstLineChars="200"/>
        <w:rPr>
          <w:bCs/>
          <w:sz w:val="24"/>
        </w:rPr>
      </w:pPr>
      <w:r>
        <w:rPr>
          <w:bCs/>
          <w:sz w:val="24"/>
        </w:rPr>
        <w:t>（19）因违反《基金合同》导致基金财产损失时，应承担赔偿责任，其赔偿责任不因其退任而免除；</w:t>
      </w:r>
    </w:p>
    <w:p w14:paraId="4C029FD6">
      <w:pPr>
        <w:spacing w:line="360" w:lineRule="auto"/>
        <w:ind w:firstLine="480" w:firstLineChars="200"/>
        <w:rPr>
          <w:bCs/>
          <w:sz w:val="24"/>
        </w:rPr>
      </w:pPr>
      <w:r>
        <w:rPr>
          <w:bCs/>
          <w:sz w:val="24"/>
        </w:rPr>
        <w:t>（20）监督基金管理人按法律法规和《基金合同》规定履行自己的义务，基金管理人因违反《基金合同》造成基金财产损失时，应为基金份额持有人利益向基金管理人追偿</w:t>
      </w:r>
      <w:bookmarkStart w:id="144" w:name="_Hlt88825668"/>
      <w:bookmarkEnd w:id="144"/>
      <w:r>
        <w:rPr>
          <w:bCs/>
          <w:sz w:val="24"/>
        </w:rPr>
        <w:t>；</w:t>
      </w:r>
    </w:p>
    <w:p w14:paraId="390DFAFA">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75ABC729">
      <w:pPr>
        <w:spacing w:line="360" w:lineRule="auto"/>
        <w:ind w:firstLine="480" w:firstLineChars="200"/>
        <w:rPr>
          <w:bCs/>
          <w:sz w:val="24"/>
        </w:rPr>
      </w:pPr>
      <w:r>
        <w:rPr>
          <w:bCs/>
          <w:sz w:val="24"/>
        </w:rPr>
        <w:t>（22）</w:t>
      </w:r>
      <w:bookmarkStart w:id="145" w:name="_Toc523711670"/>
      <w:r>
        <w:rPr>
          <w:bCs/>
          <w:sz w:val="24"/>
        </w:rPr>
        <w:t>法律法规及中国证监会规定的和《基金合同》约定的其他义务。</w:t>
      </w:r>
    </w:p>
    <w:bookmarkEnd w:id="145"/>
    <w:p w14:paraId="4260BBBD">
      <w:pPr>
        <w:spacing w:line="360" w:lineRule="auto"/>
        <w:ind w:firstLine="480" w:firstLineChars="200"/>
        <w:rPr>
          <w:bCs/>
          <w:sz w:val="24"/>
        </w:rPr>
      </w:pPr>
      <w:bookmarkStart w:id="146" w:name="_Toc79392582"/>
      <w:r>
        <w:rPr>
          <w:bCs/>
          <w:sz w:val="24"/>
        </w:rPr>
        <w:t>三、基金份额持有人</w:t>
      </w:r>
      <w:bookmarkEnd w:id="146"/>
    </w:p>
    <w:p w14:paraId="4AA1A04A">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47" w:name="_Hlt88899909"/>
      <w:bookmarkEnd w:id="147"/>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4060696">
      <w:pPr>
        <w:spacing w:line="360" w:lineRule="auto"/>
        <w:ind w:firstLine="480" w:firstLineChars="200"/>
        <w:rPr>
          <w:bCs/>
          <w:sz w:val="24"/>
        </w:rPr>
      </w:pPr>
      <w:r>
        <w:rPr>
          <w:rFonts w:hint="eastAsia"/>
          <w:bCs/>
          <w:sz w:val="24"/>
        </w:rPr>
        <w:t>除法律法规另有规定或本基金合同另有约定外，</w:t>
      </w:r>
      <w:r>
        <w:rPr>
          <w:bCs/>
          <w:sz w:val="24"/>
        </w:rPr>
        <w:t>每份基金份额具有同等的合法权益。</w:t>
      </w:r>
    </w:p>
    <w:p w14:paraId="1A321EA6">
      <w:pPr>
        <w:spacing w:line="360" w:lineRule="auto"/>
        <w:ind w:firstLine="480" w:firstLineChars="200"/>
        <w:rPr>
          <w:bCs/>
          <w:sz w:val="24"/>
        </w:rPr>
      </w:pPr>
      <w:r>
        <w:rPr>
          <w:bCs/>
          <w:sz w:val="24"/>
        </w:rPr>
        <w:t>1、根据《基金法》、《运作办法》及其他有关规定，基金份额持有人的权利包括但不限于：</w:t>
      </w:r>
    </w:p>
    <w:p w14:paraId="193D56B8">
      <w:pPr>
        <w:spacing w:line="360" w:lineRule="auto"/>
        <w:ind w:firstLine="480" w:firstLineChars="200"/>
        <w:rPr>
          <w:bCs/>
          <w:sz w:val="24"/>
        </w:rPr>
      </w:pPr>
      <w:r>
        <w:rPr>
          <w:bCs/>
          <w:sz w:val="24"/>
        </w:rPr>
        <w:t>（1）分享基金财产收益；</w:t>
      </w:r>
    </w:p>
    <w:p w14:paraId="31F16060">
      <w:pPr>
        <w:spacing w:line="360" w:lineRule="auto"/>
        <w:ind w:firstLine="480" w:firstLineChars="200"/>
        <w:rPr>
          <w:bCs/>
          <w:sz w:val="24"/>
        </w:rPr>
      </w:pPr>
      <w:r>
        <w:rPr>
          <w:bCs/>
          <w:sz w:val="24"/>
        </w:rPr>
        <w:t>（2）参与分配清算后的剩余基金财产；</w:t>
      </w:r>
      <w:bookmarkStart w:id="148" w:name="_Hlt88825574"/>
      <w:bookmarkEnd w:id="148"/>
    </w:p>
    <w:p w14:paraId="11C1CE71">
      <w:pPr>
        <w:spacing w:line="360" w:lineRule="auto"/>
        <w:ind w:firstLine="480" w:firstLineChars="200"/>
        <w:rPr>
          <w:bCs/>
          <w:sz w:val="24"/>
        </w:rPr>
      </w:pPr>
      <w:r>
        <w:rPr>
          <w:bCs/>
          <w:sz w:val="24"/>
        </w:rPr>
        <w:t>（3）依法</w:t>
      </w:r>
      <w:r>
        <w:rPr>
          <w:rFonts w:hint="eastAsia"/>
          <w:bCs/>
          <w:sz w:val="24"/>
        </w:rPr>
        <w:t>转让或者</w:t>
      </w:r>
      <w:r>
        <w:rPr>
          <w:bCs/>
          <w:sz w:val="24"/>
        </w:rPr>
        <w:t>申请赎回其持有的基金份额；</w:t>
      </w:r>
    </w:p>
    <w:p w14:paraId="2DE8A5CC">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472A1992">
      <w:pPr>
        <w:spacing w:line="360" w:lineRule="auto"/>
        <w:ind w:firstLine="480" w:firstLineChars="200"/>
        <w:rPr>
          <w:bCs/>
          <w:sz w:val="24"/>
        </w:rPr>
      </w:pPr>
      <w:r>
        <w:rPr>
          <w:bCs/>
          <w:sz w:val="24"/>
        </w:rPr>
        <w:t>（5）出席或者委派代表出席基金份额持有人大会，对基金份额持有人大会审议事项行使表决权；</w:t>
      </w:r>
    </w:p>
    <w:p w14:paraId="0EE7C078">
      <w:pPr>
        <w:spacing w:line="360" w:lineRule="auto"/>
        <w:ind w:firstLine="480" w:firstLineChars="200"/>
        <w:rPr>
          <w:bCs/>
          <w:sz w:val="24"/>
        </w:rPr>
      </w:pPr>
      <w:r>
        <w:rPr>
          <w:bCs/>
          <w:sz w:val="24"/>
        </w:rPr>
        <w:t>（6）查阅或者复制公开披露的基金信息资料；</w:t>
      </w:r>
    </w:p>
    <w:p w14:paraId="4908A1EC">
      <w:pPr>
        <w:spacing w:line="360" w:lineRule="auto"/>
        <w:ind w:firstLine="480" w:firstLineChars="200"/>
        <w:rPr>
          <w:bCs/>
          <w:sz w:val="24"/>
        </w:rPr>
      </w:pPr>
      <w:r>
        <w:rPr>
          <w:bCs/>
          <w:sz w:val="24"/>
        </w:rPr>
        <w:t>（7）监督基金管理人的投资运作；</w:t>
      </w:r>
    </w:p>
    <w:p w14:paraId="22D795C9">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0777F0CC">
      <w:pPr>
        <w:spacing w:line="360" w:lineRule="auto"/>
        <w:ind w:firstLine="480" w:firstLineChars="200"/>
        <w:rPr>
          <w:bCs/>
          <w:sz w:val="24"/>
        </w:rPr>
      </w:pPr>
      <w:r>
        <w:rPr>
          <w:bCs/>
          <w:sz w:val="24"/>
        </w:rPr>
        <w:t>（9）法律法规及中国证监会规定的和《基金合同》约定的其他权利。</w:t>
      </w:r>
    </w:p>
    <w:p w14:paraId="0A067A6D">
      <w:pPr>
        <w:spacing w:line="360" w:lineRule="auto"/>
        <w:ind w:firstLine="480" w:firstLineChars="200"/>
        <w:rPr>
          <w:bCs/>
          <w:sz w:val="24"/>
        </w:rPr>
      </w:pPr>
      <w:r>
        <w:rPr>
          <w:bCs/>
          <w:sz w:val="24"/>
        </w:rPr>
        <w:t>2、根据《基金法》、《运作办法》及其他有关规定，基金份额持有人的义务包括但不限于：</w:t>
      </w:r>
    </w:p>
    <w:p w14:paraId="575A8EC6">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6A633A15">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439EC13D">
      <w:pPr>
        <w:spacing w:line="360" w:lineRule="auto"/>
        <w:ind w:firstLine="480" w:firstLineChars="200"/>
        <w:rPr>
          <w:bCs/>
          <w:sz w:val="24"/>
        </w:rPr>
      </w:pPr>
      <w:r>
        <w:rPr>
          <w:bCs/>
          <w:sz w:val="24"/>
        </w:rPr>
        <w:t>（3）关注基金信息披露，及时行使权利和履行义务；</w:t>
      </w:r>
    </w:p>
    <w:p w14:paraId="62B52D07">
      <w:pPr>
        <w:spacing w:line="360" w:lineRule="auto"/>
        <w:ind w:firstLine="480" w:firstLineChars="200"/>
        <w:rPr>
          <w:bCs/>
          <w:sz w:val="24"/>
        </w:rPr>
      </w:pPr>
      <w:r>
        <w:rPr>
          <w:bCs/>
          <w:sz w:val="24"/>
        </w:rPr>
        <w:t>（4）缴纳基金申购款项及法律法规和《基金合同》所规定的费用；</w:t>
      </w:r>
    </w:p>
    <w:p w14:paraId="07A8A6F8">
      <w:pPr>
        <w:spacing w:line="360" w:lineRule="auto"/>
        <w:ind w:firstLine="480" w:firstLineChars="200"/>
        <w:rPr>
          <w:bCs/>
          <w:sz w:val="24"/>
        </w:rPr>
      </w:pPr>
      <w:r>
        <w:rPr>
          <w:bCs/>
          <w:sz w:val="24"/>
        </w:rPr>
        <w:t>（5）在其持有的基金份额范围内，承担基金亏损或者《基金合同》终止的有限责任；</w:t>
      </w:r>
    </w:p>
    <w:p w14:paraId="69E3F52F">
      <w:pPr>
        <w:spacing w:line="360" w:lineRule="auto"/>
        <w:ind w:firstLine="480" w:firstLineChars="200"/>
        <w:rPr>
          <w:bCs/>
          <w:sz w:val="24"/>
        </w:rPr>
      </w:pPr>
      <w:r>
        <w:rPr>
          <w:bCs/>
          <w:sz w:val="24"/>
        </w:rPr>
        <w:t>（6）不从事任何有损基金及其他《基金合同》当事人合法权益的活动；</w:t>
      </w:r>
    </w:p>
    <w:p w14:paraId="297B4202">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1EEC0C81">
      <w:pPr>
        <w:spacing w:line="360" w:lineRule="auto"/>
        <w:ind w:firstLine="480" w:firstLineChars="200"/>
        <w:rPr>
          <w:rFonts w:hint="eastAsia"/>
          <w:bCs/>
          <w:sz w:val="24"/>
        </w:rPr>
      </w:pPr>
      <w:r>
        <w:rPr>
          <w:bCs/>
          <w:sz w:val="24"/>
        </w:rPr>
        <w:t>（8）返还在基金交易过程中因任何原因获得的不当得利；</w:t>
      </w:r>
    </w:p>
    <w:p w14:paraId="10A81FE7">
      <w:pPr>
        <w:spacing w:line="360" w:lineRule="auto"/>
        <w:ind w:firstLine="480" w:firstLineChars="200"/>
        <w:rPr>
          <w:bCs/>
          <w:sz w:val="24"/>
        </w:rPr>
      </w:pPr>
      <w:r>
        <w:rPr>
          <w:rFonts w:hint="eastAsia"/>
          <w:bCs/>
          <w:sz w:val="24"/>
        </w:rPr>
        <w:t>（9）发起资金提供方申购的基金份额持有期限不少于3年，法律法规或监管机构另有规定的除外；</w:t>
      </w:r>
    </w:p>
    <w:p w14:paraId="23F04C4E">
      <w:pPr>
        <w:spacing w:line="360" w:lineRule="auto"/>
        <w:ind w:firstLine="480" w:firstLineChars="200"/>
        <w:rPr>
          <w:bCs/>
          <w:sz w:val="24"/>
        </w:rPr>
      </w:pPr>
      <w:r>
        <w:rPr>
          <w:rFonts w:hint="eastAsia"/>
          <w:bCs/>
          <w:sz w:val="24"/>
        </w:rPr>
        <w:t>（10）</w:t>
      </w:r>
      <w:r>
        <w:rPr>
          <w:bCs/>
          <w:sz w:val="24"/>
        </w:rPr>
        <w:t>法律法规及中国证监会规定的和《基金合同》约定的其他义务。</w:t>
      </w:r>
    </w:p>
    <w:p w14:paraId="41CCE79D">
      <w:pPr>
        <w:pStyle w:val="2"/>
        <w:spacing w:before="0" w:after="0"/>
        <w:jc w:val="center"/>
        <w:rPr>
          <w:rFonts w:ascii="Times New Roman"/>
          <w:color w:val="auto"/>
          <w:sz w:val="30"/>
        </w:rPr>
      </w:pPr>
      <w:r>
        <w:rPr>
          <w:rFonts w:ascii="Times New Roman"/>
          <w:b w:val="0"/>
          <w:bCs/>
          <w:color w:val="auto"/>
        </w:rPr>
        <w:br w:type="page"/>
      </w:r>
      <w:bookmarkStart w:id="149" w:name="_Toc79392583"/>
      <w:bookmarkStart w:id="150" w:name="_Toc11030"/>
      <w:bookmarkStart w:id="151" w:name="_Toc3771"/>
      <w:bookmarkStart w:id="152" w:name="_Toc123112236"/>
      <w:bookmarkStart w:id="153" w:name="_Toc139991738"/>
      <w:bookmarkStart w:id="154" w:name="_Toc123102455"/>
      <w:bookmarkStart w:id="155" w:name="_Toc123051454"/>
      <w:bookmarkStart w:id="156" w:name="_Toc3321"/>
      <w:bookmarkStart w:id="157" w:name="_Toc141703888"/>
      <w:bookmarkStart w:id="158" w:name="_Toc435642204"/>
      <w:bookmarkStart w:id="159" w:name="_Toc6447"/>
      <w:bookmarkStart w:id="160" w:name="_Toc7058"/>
      <w:bookmarkStart w:id="161" w:name="_Toc10650"/>
      <w:bookmarkStart w:id="162" w:name="_Toc32159201"/>
      <w:bookmarkStart w:id="163" w:name="_Toc25783"/>
      <w:bookmarkStart w:id="164" w:name="_Toc9706"/>
      <w:bookmarkStart w:id="165" w:name="_Toc4559"/>
      <w:bookmarkStart w:id="166" w:name="_Toc18567"/>
      <w:bookmarkStart w:id="167" w:name="_Toc98560354"/>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458CB582">
      <w:pPr>
        <w:tabs>
          <w:tab w:val="left" w:pos="1080"/>
        </w:tabs>
        <w:spacing w:line="360" w:lineRule="auto"/>
        <w:ind w:left="1075" w:leftChars="199" w:hanging="657" w:hangingChars="274"/>
        <w:rPr>
          <w:bCs/>
          <w:sz w:val="24"/>
        </w:rPr>
      </w:pPr>
    </w:p>
    <w:p w14:paraId="101D1AF2">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34187191">
      <w:pPr>
        <w:spacing w:line="360" w:lineRule="auto"/>
        <w:ind w:firstLine="480" w:firstLineChars="200"/>
        <w:rPr>
          <w:bCs/>
          <w:sz w:val="24"/>
        </w:rPr>
      </w:pPr>
      <w:bookmarkStart w:id="168" w:name="_Toc79392584"/>
      <w:bookmarkStart w:id="169" w:name="_Toc57530243"/>
      <w:bookmarkStart w:id="170" w:name="_Toc15641220"/>
      <w:r>
        <w:rPr>
          <w:rFonts w:hint="eastAsia"/>
          <w:bCs/>
          <w:sz w:val="24"/>
        </w:rPr>
        <w:t>本基金份额持有人大会不设日常机构。</w:t>
      </w:r>
    </w:p>
    <w:p w14:paraId="2D2977AF">
      <w:pPr>
        <w:spacing w:line="360" w:lineRule="auto"/>
        <w:ind w:firstLine="480" w:firstLineChars="200"/>
        <w:rPr>
          <w:bCs/>
          <w:sz w:val="24"/>
        </w:rPr>
      </w:pPr>
      <w:r>
        <w:rPr>
          <w:bCs/>
          <w:sz w:val="24"/>
        </w:rPr>
        <w:t>一、召开事由</w:t>
      </w:r>
      <w:bookmarkEnd w:id="168"/>
      <w:bookmarkEnd w:id="169"/>
      <w:bookmarkEnd w:id="170"/>
    </w:p>
    <w:p w14:paraId="12006384">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14FAADAB">
      <w:pPr>
        <w:spacing w:line="440" w:lineRule="atLeast"/>
        <w:ind w:firstLine="480" w:firstLineChars="200"/>
        <w:rPr>
          <w:bCs/>
          <w:sz w:val="24"/>
        </w:rPr>
      </w:pPr>
      <w:r>
        <w:rPr>
          <w:bCs/>
          <w:sz w:val="24"/>
        </w:rPr>
        <w:t>（1）终止《基金合同》；</w:t>
      </w:r>
    </w:p>
    <w:p w14:paraId="3A4B43A9">
      <w:pPr>
        <w:spacing w:line="440" w:lineRule="atLeast"/>
        <w:ind w:firstLine="480" w:firstLineChars="200"/>
        <w:rPr>
          <w:bCs/>
          <w:sz w:val="24"/>
        </w:rPr>
      </w:pPr>
      <w:r>
        <w:rPr>
          <w:bCs/>
          <w:sz w:val="24"/>
        </w:rPr>
        <w:t>（2）更换基金管理人；</w:t>
      </w:r>
    </w:p>
    <w:p w14:paraId="40785148">
      <w:pPr>
        <w:spacing w:line="440" w:lineRule="atLeast"/>
        <w:ind w:firstLine="480" w:firstLineChars="200"/>
        <w:rPr>
          <w:bCs/>
          <w:sz w:val="24"/>
        </w:rPr>
      </w:pPr>
      <w:r>
        <w:rPr>
          <w:bCs/>
          <w:sz w:val="24"/>
        </w:rPr>
        <w:t>（3）更换基金托管人；</w:t>
      </w:r>
    </w:p>
    <w:p w14:paraId="0A71D7D9">
      <w:pPr>
        <w:spacing w:line="440" w:lineRule="atLeast"/>
        <w:ind w:firstLine="480" w:firstLineChars="200"/>
        <w:rPr>
          <w:bCs/>
          <w:sz w:val="24"/>
        </w:rPr>
      </w:pPr>
      <w:r>
        <w:rPr>
          <w:bCs/>
          <w:sz w:val="24"/>
        </w:rPr>
        <w:t>（4）转换基金运作方式；</w:t>
      </w:r>
    </w:p>
    <w:p w14:paraId="6BCCC3B7">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p>
    <w:p w14:paraId="2B22E100">
      <w:pPr>
        <w:spacing w:line="440" w:lineRule="atLeast"/>
        <w:ind w:firstLine="480" w:firstLineChars="200"/>
        <w:rPr>
          <w:bCs/>
          <w:sz w:val="24"/>
        </w:rPr>
      </w:pPr>
      <w:r>
        <w:rPr>
          <w:bCs/>
          <w:sz w:val="24"/>
        </w:rPr>
        <w:t>（6）变更基金类别；</w:t>
      </w:r>
    </w:p>
    <w:p w14:paraId="3DBA01D0">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5FE9C8F5">
      <w:pPr>
        <w:spacing w:line="440" w:lineRule="atLeast"/>
        <w:ind w:firstLine="480" w:firstLineChars="200"/>
        <w:rPr>
          <w:bCs/>
          <w:sz w:val="24"/>
        </w:rPr>
      </w:pPr>
      <w:r>
        <w:rPr>
          <w:bCs/>
          <w:sz w:val="24"/>
        </w:rPr>
        <w:t>（8）变更基金投资目标、范围或策略；</w:t>
      </w:r>
    </w:p>
    <w:p w14:paraId="62EA8B21">
      <w:pPr>
        <w:spacing w:line="440" w:lineRule="atLeast"/>
        <w:ind w:firstLine="480" w:firstLineChars="200"/>
        <w:rPr>
          <w:bCs/>
          <w:sz w:val="24"/>
        </w:rPr>
      </w:pPr>
      <w:r>
        <w:rPr>
          <w:bCs/>
          <w:sz w:val="24"/>
        </w:rPr>
        <w:t>（9）变更基金份额持有人大会程序；</w:t>
      </w:r>
    </w:p>
    <w:p w14:paraId="46E60F49">
      <w:pPr>
        <w:spacing w:line="440" w:lineRule="atLeast"/>
        <w:ind w:firstLine="480" w:firstLineChars="200"/>
        <w:rPr>
          <w:bCs/>
          <w:sz w:val="24"/>
        </w:rPr>
      </w:pPr>
      <w:r>
        <w:rPr>
          <w:bCs/>
          <w:sz w:val="24"/>
        </w:rPr>
        <w:t>（10）基金管理人或基金托管人要求召开基金份额持有人大会；</w:t>
      </w:r>
    </w:p>
    <w:p w14:paraId="1942A029">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3DD859BD">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64584397">
      <w:pPr>
        <w:spacing w:line="440" w:lineRule="atLeast"/>
        <w:ind w:firstLine="480" w:firstLineChars="200"/>
        <w:rPr>
          <w:bCs/>
          <w:sz w:val="24"/>
        </w:rPr>
      </w:pPr>
      <w:r>
        <w:rPr>
          <w:bCs/>
          <w:sz w:val="24"/>
        </w:rPr>
        <w:t>（13）法律法规、《基金合同》或中国证监会规定的其他应当召开基金份额持有人大会的事项。</w:t>
      </w:r>
    </w:p>
    <w:p w14:paraId="40F47A02">
      <w:pPr>
        <w:spacing w:line="360" w:lineRule="auto"/>
        <w:ind w:firstLine="480" w:firstLineChars="200"/>
        <w:rPr>
          <w:bCs/>
          <w:sz w:val="24"/>
        </w:rPr>
      </w:pPr>
      <w:r>
        <w:rPr>
          <w:bCs/>
          <w:sz w:val="24"/>
        </w:rPr>
        <w:t>2、</w:t>
      </w:r>
      <w:r>
        <w:rPr>
          <w:rFonts w:hint="eastAsia"/>
          <w:bCs/>
          <w:sz w:val="24"/>
        </w:rPr>
        <w:t>在不违反法律法规、基金合同以及在不损害基金份额持有人权益的前提下，</w:t>
      </w:r>
      <w:r>
        <w:rPr>
          <w:bCs/>
          <w:sz w:val="24"/>
        </w:rPr>
        <w:t>以下情况可由基金管理人和基金托管人协商后修改，不需召开基金份额持有人大会：</w:t>
      </w:r>
    </w:p>
    <w:p w14:paraId="74673A99">
      <w:pPr>
        <w:spacing w:line="360" w:lineRule="auto"/>
        <w:ind w:firstLine="480" w:firstLineChars="200"/>
        <w:rPr>
          <w:bCs/>
          <w:sz w:val="24"/>
        </w:rPr>
      </w:pPr>
      <w:r>
        <w:rPr>
          <w:bCs/>
          <w:sz w:val="24"/>
        </w:rPr>
        <w:t>（</w:t>
      </w:r>
      <w:r>
        <w:rPr>
          <w:rFonts w:hint="eastAsia"/>
          <w:bCs/>
          <w:sz w:val="24"/>
        </w:rPr>
        <w:t>1</w:t>
      </w:r>
      <w:r>
        <w:rPr>
          <w:bCs/>
          <w:sz w:val="24"/>
        </w:rPr>
        <w:t>）法律法规要求增加的基金费用的收取；</w:t>
      </w:r>
    </w:p>
    <w:p w14:paraId="4762561A">
      <w:pPr>
        <w:spacing w:line="360" w:lineRule="auto"/>
        <w:ind w:firstLine="480" w:firstLineChars="200"/>
        <w:rPr>
          <w:bCs/>
          <w:sz w:val="24"/>
        </w:rPr>
      </w:pPr>
      <w:r>
        <w:rPr>
          <w:bCs/>
          <w:sz w:val="24"/>
        </w:rPr>
        <w:t>（</w:t>
      </w:r>
      <w:r>
        <w:rPr>
          <w:rFonts w:hint="eastAsia"/>
          <w:bCs/>
          <w:sz w:val="24"/>
        </w:rPr>
        <w:t>2</w:t>
      </w:r>
      <w:r>
        <w:rPr>
          <w:bCs/>
          <w:sz w:val="24"/>
        </w:rPr>
        <w:t>）调整本基金的申购费率、调低赎回费率</w:t>
      </w:r>
      <w:r>
        <w:rPr>
          <w:rFonts w:hint="eastAsia"/>
          <w:bCs/>
          <w:sz w:val="24"/>
        </w:rPr>
        <w:t>、</w:t>
      </w:r>
      <w:r>
        <w:rPr>
          <w:bCs/>
          <w:sz w:val="24"/>
        </w:rPr>
        <w:t>变更收费方式</w:t>
      </w:r>
      <w:r>
        <w:rPr>
          <w:rFonts w:hint="eastAsia"/>
          <w:bCs/>
          <w:sz w:val="24"/>
        </w:rPr>
        <w:t>或调整基金份额类别设置、对基金份额分类办法及规则进行调整</w:t>
      </w:r>
      <w:r>
        <w:rPr>
          <w:bCs/>
          <w:sz w:val="24"/>
        </w:rPr>
        <w:t>；</w:t>
      </w:r>
    </w:p>
    <w:p w14:paraId="641F8D7B">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6452CD96">
      <w:pPr>
        <w:spacing w:line="360" w:lineRule="auto"/>
        <w:ind w:firstLine="480" w:firstLineChars="200"/>
        <w:rPr>
          <w:rFonts w:hint="eastAsia"/>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0E9DC32B">
      <w:pPr>
        <w:spacing w:line="360" w:lineRule="auto"/>
        <w:ind w:firstLine="480" w:firstLineChars="200"/>
        <w:rPr>
          <w:rFonts w:hint="eastAsia"/>
          <w:bCs/>
          <w:sz w:val="24"/>
        </w:rPr>
      </w:pPr>
      <w:r>
        <w:rPr>
          <w:rFonts w:hint="eastAsia"/>
          <w:bCs/>
          <w:sz w:val="24"/>
        </w:rPr>
        <w:t>（5）基金管理人、登记机构、基金销售机构调整有关申购、赎回、转换、基金交易、非交易过户、转托管等业务规则；</w:t>
      </w:r>
    </w:p>
    <w:p w14:paraId="5B67E00A">
      <w:pPr>
        <w:spacing w:line="360" w:lineRule="auto"/>
        <w:ind w:firstLine="480" w:firstLineChars="200"/>
        <w:rPr>
          <w:bCs/>
          <w:sz w:val="24"/>
        </w:rPr>
      </w:pPr>
      <w:r>
        <w:rPr>
          <w:rFonts w:hint="eastAsia"/>
          <w:bCs/>
          <w:sz w:val="24"/>
        </w:rPr>
        <w:t>（6）基金推出新业务或服务；</w:t>
      </w:r>
    </w:p>
    <w:p w14:paraId="0ECC4136">
      <w:pPr>
        <w:spacing w:line="360" w:lineRule="auto"/>
        <w:ind w:firstLine="480" w:firstLineChars="200"/>
        <w:rPr>
          <w:bCs/>
          <w:sz w:val="24"/>
        </w:rPr>
      </w:pPr>
      <w:bookmarkStart w:id="171" w:name="_Toc15641221"/>
      <w:bookmarkStart w:id="172" w:name="_Toc57530244"/>
      <w:bookmarkStart w:id="173" w:name="_Toc79392585"/>
      <w:r>
        <w:rPr>
          <w:bCs/>
          <w:sz w:val="24"/>
        </w:rPr>
        <w:t>二、会议召集人及召集方式</w:t>
      </w:r>
      <w:bookmarkEnd w:id="171"/>
      <w:bookmarkEnd w:id="172"/>
      <w:bookmarkEnd w:id="173"/>
    </w:p>
    <w:p w14:paraId="53977719">
      <w:pPr>
        <w:spacing w:line="360" w:lineRule="auto"/>
        <w:ind w:firstLine="480" w:firstLineChars="200"/>
        <w:rPr>
          <w:bCs/>
          <w:sz w:val="24"/>
        </w:rPr>
      </w:pPr>
      <w:bookmarkStart w:id="174" w:name="_Toc15641222"/>
      <w:bookmarkStart w:id="175" w:name="_Toc57530245"/>
      <w:r>
        <w:rPr>
          <w:bCs/>
          <w:sz w:val="24"/>
        </w:rPr>
        <w:t>1、除法律法规规定或《基金合同》另有约定外，基金份额持有人大会由基金管理人召集。</w:t>
      </w:r>
    </w:p>
    <w:p w14:paraId="68AAF8CE">
      <w:pPr>
        <w:spacing w:line="360" w:lineRule="auto"/>
        <w:ind w:firstLine="480" w:firstLineChars="200"/>
        <w:rPr>
          <w:bCs/>
          <w:sz w:val="24"/>
        </w:rPr>
      </w:pPr>
      <w:r>
        <w:rPr>
          <w:bCs/>
          <w:sz w:val="24"/>
        </w:rPr>
        <w:t>2、基金管理人未按规定召集或不能</w:t>
      </w:r>
      <w:r>
        <w:rPr>
          <w:rFonts w:hint="eastAsia"/>
          <w:bCs/>
          <w:sz w:val="24"/>
        </w:rPr>
        <w:t>召开</w:t>
      </w:r>
      <w:r>
        <w:rPr>
          <w:bCs/>
          <w:sz w:val="24"/>
        </w:rPr>
        <w:t>时，由基金托管人召集。</w:t>
      </w:r>
    </w:p>
    <w:p w14:paraId="08CE41AB">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1ACFE856">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488DDAC1">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4BAA20D2">
      <w:pPr>
        <w:spacing w:line="360" w:lineRule="auto"/>
        <w:ind w:firstLine="480" w:firstLineChars="200"/>
        <w:rPr>
          <w:bCs/>
          <w:sz w:val="24"/>
        </w:rPr>
      </w:pPr>
      <w:r>
        <w:rPr>
          <w:bCs/>
          <w:sz w:val="24"/>
        </w:rPr>
        <w:t>6、基金份额持有人会议的召集人负责选择确定开会时间、地点、方式和权益登记日。</w:t>
      </w:r>
    </w:p>
    <w:p w14:paraId="67753ED5">
      <w:pPr>
        <w:spacing w:line="360" w:lineRule="auto"/>
        <w:ind w:firstLine="480" w:firstLineChars="200"/>
        <w:rPr>
          <w:bCs/>
          <w:sz w:val="24"/>
        </w:rPr>
      </w:pPr>
      <w:bookmarkStart w:id="176" w:name="_Toc79392586"/>
      <w:r>
        <w:rPr>
          <w:bCs/>
          <w:sz w:val="24"/>
        </w:rPr>
        <w:t>三、召开基金份额持有人大会的通知时间、通知内容、通知方式</w:t>
      </w:r>
      <w:bookmarkEnd w:id="174"/>
      <w:bookmarkEnd w:id="175"/>
      <w:bookmarkEnd w:id="176"/>
    </w:p>
    <w:p w14:paraId="0CBD9240">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794D67A0">
      <w:pPr>
        <w:spacing w:line="360" w:lineRule="auto"/>
        <w:ind w:firstLine="480" w:firstLineChars="200"/>
        <w:rPr>
          <w:bCs/>
          <w:sz w:val="24"/>
        </w:rPr>
      </w:pPr>
      <w:r>
        <w:rPr>
          <w:bCs/>
          <w:sz w:val="24"/>
        </w:rPr>
        <w:t>（1）会议召开的时间、地点和会议形式；</w:t>
      </w:r>
    </w:p>
    <w:p w14:paraId="129FB2D9">
      <w:pPr>
        <w:spacing w:line="360" w:lineRule="auto"/>
        <w:ind w:firstLine="480" w:firstLineChars="200"/>
        <w:rPr>
          <w:bCs/>
          <w:sz w:val="24"/>
        </w:rPr>
      </w:pPr>
      <w:r>
        <w:rPr>
          <w:bCs/>
          <w:sz w:val="24"/>
        </w:rPr>
        <w:t>（2）会议拟审议的事项、议事程序和表决方式；</w:t>
      </w:r>
    </w:p>
    <w:p w14:paraId="3B2B9A89">
      <w:pPr>
        <w:spacing w:line="360" w:lineRule="auto"/>
        <w:ind w:firstLine="480" w:firstLineChars="200"/>
        <w:rPr>
          <w:bCs/>
          <w:sz w:val="24"/>
        </w:rPr>
      </w:pPr>
      <w:r>
        <w:rPr>
          <w:bCs/>
          <w:sz w:val="24"/>
        </w:rPr>
        <w:t>（3）有权出席基金份额持有人大会的基金份额持有人的权益登记日；</w:t>
      </w:r>
    </w:p>
    <w:p w14:paraId="149D18D9">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014E0193">
      <w:pPr>
        <w:spacing w:line="360" w:lineRule="auto"/>
        <w:ind w:firstLine="480" w:firstLineChars="200"/>
        <w:rPr>
          <w:bCs/>
          <w:sz w:val="24"/>
        </w:rPr>
      </w:pPr>
      <w:r>
        <w:rPr>
          <w:bCs/>
          <w:sz w:val="24"/>
        </w:rPr>
        <w:t>（5）会务常设联系人姓名及联系电话；</w:t>
      </w:r>
    </w:p>
    <w:p w14:paraId="1C96A47E">
      <w:pPr>
        <w:spacing w:line="360" w:lineRule="auto"/>
        <w:ind w:firstLine="480" w:firstLineChars="200"/>
        <w:rPr>
          <w:bCs/>
          <w:sz w:val="24"/>
        </w:rPr>
      </w:pPr>
      <w:r>
        <w:rPr>
          <w:bCs/>
          <w:sz w:val="24"/>
        </w:rPr>
        <w:t>（6）出席会议者必须准备的文件和必须履行的手续；</w:t>
      </w:r>
    </w:p>
    <w:p w14:paraId="238D09CC">
      <w:pPr>
        <w:spacing w:line="360" w:lineRule="auto"/>
        <w:ind w:firstLine="480" w:firstLineChars="200"/>
        <w:rPr>
          <w:bCs/>
          <w:sz w:val="24"/>
        </w:rPr>
      </w:pPr>
      <w:r>
        <w:rPr>
          <w:bCs/>
          <w:sz w:val="24"/>
        </w:rPr>
        <w:t>（7）召集人需要通知的其他事项。</w:t>
      </w:r>
    </w:p>
    <w:p w14:paraId="417801B5">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70FEFA6">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2E44892">
      <w:pPr>
        <w:spacing w:line="360" w:lineRule="auto"/>
        <w:ind w:firstLine="480" w:firstLineChars="200"/>
        <w:rPr>
          <w:bCs/>
          <w:sz w:val="24"/>
        </w:rPr>
      </w:pPr>
      <w:bookmarkStart w:id="177" w:name="_Toc79392587"/>
      <w:bookmarkStart w:id="178" w:name="_Toc15641223"/>
      <w:bookmarkStart w:id="179" w:name="_Toc57530246"/>
      <w:r>
        <w:rPr>
          <w:bCs/>
          <w:sz w:val="24"/>
        </w:rPr>
        <w:t>四、基金份额持有人出席会议的方式</w:t>
      </w:r>
      <w:bookmarkEnd w:id="177"/>
      <w:bookmarkEnd w:id="178"/>
      <w:bookmarkEnd w:id="179"/>
    </w:p>
    <w:p w14:paraId="12191056">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或法律法规、监管机关允许的其他方式</w:t>
      </w:r>
      <w:r>
        <w:rPr>
          <w:bCs/>
          <w:sz w:val="24"/>
        </w:rPr>
        <w:t>召开，会议的召开方式由会议召集人确定。</w:t>
      </w:r>
    </w:p>
    <w:p w14:paraId="326B7123">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52766B53">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F7CAA48">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6E092B62">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0D081AB3">
      <w:pPr>
        <w:spacing w:line="360" w:lineRule="auto"/>
        <w:ind w:firstLine="480" w:firstLineChars="200"/>
        <w:rPr>
          <w:bCs/>
          <w:sz w:val="24"/>
        </w:rPr>
      </w:pPr>
      <w:r>
        <w:rPr>
          <w:bCs/>
          <w:sz w:val="24"/>
        </w:rPr>
        <w:t>在同时符合以下条件时，通讯开会的方式视为有效：</w:t>
      </w:r>
    </w:p>
    <w:p w14:paraId="0E3ABE03">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78D03B18">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C1955A8">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7462BCBC">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1E7D1B99">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w:t>
      </w:r>
    </w:p>
    <w:p w14:paraId="6E305684">
      <w:pPr>
        <w:spacing w:line="360" w:lineRule="auto"/>
        <w:ind w:firstLine="480" w:firstLineChars="200"/>
        <w:rPr>
          <w:bCs/>
          <w:sz w:val="24"/>
        </w:rPr>
      </w:pPr>
      <w:bookmarkStart w:id="180" w:name="_Toc79392588"/>
      <w:bookmarkStart w:id="181" w:name="_Toc57530247"/>
      <w:bookmarkStart w:id="182" w:name="_Toc15641224"/>
      <w:r>
        <w:rPr>
          <w:bCs/>
          <w:sz w:val="24"/>
        </w:rPr>
        <w:t>五、议事内容与程序</w:t>
      </w:r>
      <w:bookmarkEnd w:id="180"/>
      <w:bookmarkEnd w:id="181"/>
      <w:bookmarkEnd w:id="182"/>
    </w:p>
    <w:p w14:paraId="26F63788">
      <w:pPr>
        <w:spacing w:line="360" w:lineRule="auto"/>
        <w:ind w:firstLine="480" w:firstLineChars="200"/>
        <w:rPr>
          <w:bCs/>
          <w:sz w:val="24"/>
        </w:rPr>
      </w:pPr>
      <w:r>
        <w:rPr>
          <w:bCs/>
          <w:sz w:val="24"/>
        </w:rPr>
        <w:t>1、议事内容及提案权</w:t>
      </w:r>
    </w:p>
    <w:p w14:paraId="56A0DD0F">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F4B85EF">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2501EFF9">
      <w:pPr>
        <w:spacing w:line="360" w:lineRule="auto"/>
        <w:ind w:firstLine="480" w:firstLineChars="200"/>
        <w:rPr>
          <w:bCs/>
          <w:sz w:val="24"/>
        </w:rPr>
      </w:pPr>
      <w:r>
        <w:rPr>
          <w:bCs/>
          <w:sz w:val="24"/>
        </w:rPr>
        <w:t>基金份额持有人大会不得对未事先公告的议事内容进行表决。</w:t>
      </w:r>
    </w:p>
    <w:p w14:paraId="01B5F6BD">
      <w:pPr>
        <w:spacing w:line="360" w:lineRule="auto"/>
        <w:ind w:firstLine="480" w:firstLineChars="200"/>
        <w:rPr>
          <w:bCs/>
          <w:sz w:val="24"/>
        </w:rPr>
      </w:pPr>
      <w:r>
        <w:rPr>
          <w:bCs/>
          <w:sz w:val="24"/>
        </w:rPr>
        <w:t>2、议事程序</w:t>
      </w:r>
    </w:p>
    <w:p w14:paraId="11A34C9F">
      <w:pPr>
        <w:spacing w:line="360" w:lineRule="auto"/>
        <w:ind w:firstLine="480" w:firstLineChars="200"/>
        <w:rPr>
          <w:bCs/>
          <w:sz w:val="24"/>
        </w:rPr>
      </w:pPr>
      <w:r>
        <w:rPr>
          <w:bCs/>
          <w:sz w:val="24"/>
        </w:rPr>
        <w:t>（1）现场开会</w:t>
      </w:r>
    </w:p>
    <w:p w14:paraId="63C7555C">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1D133D19">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17132660">
      <w:pPr>
        <w:spacing w:line="360" w:lineRule="auto"/>
        <w:ind w:firstLine="480" w:firstLineChars="200"/>
        <w:rPr>
          <w:bCs/>
          <w:sz w:val="24"/>
        </w:rPr>
      </w:pPr>
      <w:r>
        <w:rPr>
          <w:bCs/>
          <w:sz w:val="24"/>
        </w:rPr>
        <w:t>（2）通讯开会</w:t>
      </w:r>
    </w:p>
    <w:p w14:paraId="36AE41D0">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0ADB4DCA">
      <w:pPr>
        <w:spacing w:line="360" w:lineRule="auto"/>
        <w:ind w:firstLine="480" w:firstLineChars="200"/>
        <w:rPr>
          <w:bCs/>
          <w:sz w:val="24"/>
        </w:rPr>
      </w:pPr>
      <w:bookmarkStart w:id="183" w:name="_Toc15641225"/>
      <w:bookmarkStart w:id="184" w:name="_Toc79392589"/>
      <w:bookmarkStart w:id="185" w:name="_Toc57530248"/>
      <w:r>
        <w:rPr>
          <w:bCs/>
          <w:sz w:val="24"/>
        </w:rPr>
        <w:t>六、表决</w:t>
      </w:r>
      <w:bookmarkEnd w:id="183"/>
      <w:bookmarkEnd w:id="184"/>
      <w:bookmarkEnd w:id="185"/>
    </w:p>
    <w:p w14:paraId="7023A723">
      <w:pPr>
        <w:spacing w:line="360" w:lineRule="auto"/>
        <w:ind w:firstLine="480" w:firstLineChars="200"/>
        <w:rPr>
          <w:bCs/>
          <w:sz w:val="24"/>
        </w:rPr>
      </w:pPr>
      <w:r>
        <w:rPr>
          <w:bCs/>
          <w:sz w:val="24"/>
        </w:rPr>
        <w:t>基金份额持有人所持每份基金份额有一票表决权。</w:t>
      </w:r>
    </w:p>
    <w:p w14:paraId="6294F7E1">
      <w:pPr>
        <w:spacing w:line="360" w:lineRule="auto"/>
        <w:ind w:firstLine="480" w:firstLineChars="200"/>
        <w:rPr>
          <w:bCs/>
          <w:sz w:val="24"/>
        </w:rPr>
      </w:pPr>
      <w:r>
        <w:rPr>
          <w:bCs/>
          <w:sz w:val="24"/>
        </w:rPr>
        <w:t>基金份额持有人大会决议分为一般决议和特别决议：</w:t>
      </w:r>
    </w:p>
    <w:p w14:paraId="120B6D6A">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59AFF8D3">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69FF0BCC">
      <w:pPr>
        <w:spacing w:line="360" w:lineRule="auto"/>
        <w:ind w:firstLine="480" w:firstLineChars="200"/>
        <w:rPr>
          <w:bCs/>
          <w:sz w:val="24"/>
        </w:rPr>
      </w:pPr>
      <w:r>
        <w:rPr>
          <w:bCs/>
          <w:sz w:val="24"/>
        </w:rPr>
        <w:t>基金份额持有人大会采取记名方式进行投票表决。</w:t>
      </w:r>
    </w:p>
    <w:p w14:paraId="387D5B97">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26E689B">
      <w:pPr>
        <w:spacing w:line="360" w:lineRule="auto"/>
        <w:ind w:firstLine="480" w:firstLineChars="200"/>
        <w:rPr>
          <w:bCs/>
          <w:sz w:val="24"/>
        </w:rPr>
      </w:pPr>
      <w:r>
        <w:rPr>
          <w:bCs/>
          <w:sz w:val="24"/>
        </w:rPr>
        <w:t>基金份额持有人大会的各项提案或同一项提案内并列的各项议题应当分开审议、逐项表决。</w:t>
      </w:r>
    </w:p>
    <w:p w14:paraId="6758EC20">
      <w:pPr>
        <w:spacing w:line="360" w:lineRule="auto"/>
        <w:ind w:firstLine="480" w:firstLineChars="200"/>
        <w:rPr>
          <w:bCs/>
          <w:sz w:val="24"/>
        </w:rPr>
      </w:pPr>
      <w:bookmarkStart w:id="186" w:name="_Toc15641226"/>
      <w:bookmarkStart w:id="187" w:name="_Toc79392590"/>
      <w:bookmarkStart w:id="188" w:name="_Toc57530249"/>
      <w:r>
        <w:rPr>
          <w:bCs/>
          <w:sz w:val="24"/>
        </w:rPr>
        <w:t>七、计票</w:t>
      </w:r>
      <w:bookmarkEnd w:id="186"/>
      <w:bookmarkEnd w:id="187"/>
      <w:bookmarkEnd w:id="188"/>
    </w:p>
    <w:p w14:paraId="7D61F80C">
      <w:pPr>
        <w:spacing w:line="360" w:lineRule="auto"/>
        <w:ind w:firstLine="480" w:firstLineChars="200"/>
        <w:rPr>
          <w:bCs/>
          <w:sz w:val="24"/>
        </w:rPr>
      </w:pPr>
      <w:r>
        <w:rPr>
          <w:bCs/>
          <w:sz w:val="24"/>
        </w:rPr>
        <w:t>1、现场开会</w:t>
      </w:r>
    </w:p>
    <w:p w14:paraId="1F16FBF9">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EFFC7A6">
      <w:pPr>
        <w:spacing w:line="360" w:lineRule="auto"/>
        <w:ind w:firstLine="480" w:firstLineChars="200"/>
        <w:rPr>
          <w:bCs/>
          <w:sz w:val="24"/>
        </w:rPr>
      </w:pPr>
      <w:r>
        <w:rPr>
          <w:bCs/>
          <w:sz w:val="24"/>
        </w:rPr>
        <w:t>（2）监票人应当在基金份额持有人表决后立即进行清点并由大会主持人当场公布计票结果。</w:t>
      </w:r>
    </w:p>
    <w:p w14:paraId="1450B26F">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02E9C83">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48EFE2C2">
      <w:pPr>
        <w:spacing w:line="360" w:lineRule="auto"/>
        <w:ind w:firstLine="480" w:firstLineChars="200"/>
        <w:rPr>
          <w:bCs/>
          <w:sz w:val="24"/>
        </w:rPr>
      </w:pPr>
      <w:r>
        <w:rPr>
          <w:bCs/>
          <w:sz w:val="24"/>
        </w:rPr>
        <w:t>2、通讯开会</w:t>
      </w:r>
    </w:p>
    <w:p w14:paraId="08190258">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189" w:name="_Toc79392591"/>
      <w:bookmarkStart w:id="190" w:name="_Toc57530250"/>
      <w:bookmarkStart w:id="191" w:name="_Toc15641227"/>
      <w:r>
        <w:rPr>
          <w:bCs/>
          <w:sz w:val="24"/>
        </w:rPr>
        <w:t>。基金管理人或基金托管人拒派代表对表决意见的计票进行监督的，不影响计票和表决结果。</w:t>
      </w:r>
    </w:p>
    <w:p w14:paraId="6AF563CD">
      <w:pPr>
        <w:spacing w:line="360" w:lineRule="auto"/>
        <w:ind w:firstLine="480" w:firstLineChars="200"/>
        <w:rPr>
          <w:bCs/>
          <w:sz w:val="24"/>
        </w:rPr>
      </w:pPr>
      <w:r>
        <w:rPr>
          <w:bCs/>
          <w:sz w:val="24"/>
        </w:rPr>
        <w:t>八、生效与公告</w:t>
      </w:r>
      <w:bookmarkEnd w:id="189"/>
      <w:bookmarkEnd w:id="190"/>
      <w:bookmarkEnd w:id="191"/>
    </w:p>
    <w:p w14:paraId="3EA8E9AD">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32A05067">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49BB6936">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192" w:name="_Hlt88820702"/>
      <w:bookmarkEnd w:id="192"/>
      <w:r>
        <w:rPr>
          <w:bCs/>
          <w:sz w:val="24"/>
        </w:rPr>
        <w:t>如果采用通讯方式进行表决，在公告基金份额持有人大会决议时，必须将公证书全文、公证机构、公证员姓名等一同公告。</w:t>
      </w:r>
    </w:p>
    <w:p w14:paraId="707FCE01">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067103D0">
      <w:pPr>
        <w:spacing w:line="360" w:lineRule="auto"/>
        <w:ind w:firstLine="480" w:firstLineChars="200"/>
        <w:rPr>
          <w:bCs/>
          <w:sz w:val="24"/>
        </w:rPr>
      </w:pPr>
      <w:bookmarkStart w:id="193" w:name="_Toc403486043"/>
      <w:bookmarkStart w:id="194" w:name="_Toc3963"/>
      <w:bookmarkStart w:id="195" w:name="_Toc1745"/>
      <w:r>
        <w:rPr>
          <w:rFonts w:hint="eastAsia"/>
          <w:bCs/>
          <w:sz w:val="24"/>
        </w:rPr>
        <w:t>九、实施侧袋机制期间基金份额持有人大会的特殊约定</w:t>
      </w:r>
    </w:p>
    <w:p w14:paraId="653C2290">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B6BFA10">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61AE1559">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22F7898E">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7556CE5F">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AF5D157">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323C0956">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672396A7">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7090669C">
      <w:pPr>
        <w:spacing w:line="360" w:lineRule="auto"/>
        <w:ind w:firstLine="480" w:firstLineChars="200"/>
        <w:rPr>
          <w:bCs/>
          <w:sz w:val="24"/>
        </w:rPr>
      </w:pPr>
      <w:r>
        <w:rPr>
          <w:rFonts w:hint="eastAsia"/>
          <w:bCs/>
          <w:sz w:val="24"/>
        </w:rPr>
        <w:t>同一主侧袋账户内的每份基金份额具有平等的表决权。</w:t>
      </w:r>
    </w:p>
    <w:p w14:paraId="1F93EFF1">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193"/>
    </w:p>
    <w:p w14:paraId="42F2EFA6">
      <w:pPr>
        <w:pStyle w:val="2"/>
        <w:jc w:val="center"/>
        <w:rPr>
          <w:rFonts w:ascii="Times New Roman"/>
          <w:color w:val="auto"/>
        </w:rPr>
      </w:pPr>
      <w:r>
        <w:rPr>
          <w:rFonts w:ascii="Times New Roman"/>
          <w:b w:val="0"/>
          <w:bCs/>
          <w:color w:val="auto"/>
        </w:rPr>
        <w:br w:type="page"/>
      </w:r>
      <w:bookmarkStart w:id="196" w:name="_Toc21735"/>
      <w:bookmarkStart w:id="197" w:name="_Toc123102456"/>
      <w:bookmarkStart w:id="198" w:name="_Toc16164"/>
      <w:bookmarkStart w:id="199" w:name="_Toc404943126"/>
      <w:bookmarkStart w:id="200" w:name="_Toc725"/>
      <w:bookmarkStart w:id="201" w:name="_Toc123112237"/>
      <w:bookmarkStart w:id="202" w:name="_Toc3080"/>
      <w:bookmarkStart w:id="203" w:name="_Toc3572"/>
      <w:bookmarkStart w:id="204" w:name="_Toc18206"/>
      <w:bookmarkStart w:id="205" w:name="_Toc10398"/>
      <w:bookmarkStart w:id="206" w:name="_Toc123051455"/>
      <w:bookmarkStart w:id="207" w:name="_Toc435642205"/>
      <w:bookmarkStart w:id="208" w:name="_Toc139991739"/>
      <w:bookmarkStart w:id="209" w:name="_Toc98560355"/>
      <w:bookmarkStart w:id="210" w:name="_Toc141703889"/>
      <w:bookmarkStart w:id="211" w:name="_Toc31821"/>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5CA178EB">
      <w:pPr>
        <w:autoSpaceDE w:val="0"/>
        <w:autoSpaceDN w:val="0"/>
        <w:spacing w:line="360" w:lineRule="auto"/>
        <w:textAlignment w:val="bottom"/>
        <w:rPr>
          <w:bCs/>
          <w:sz w:val="24"/>
        </w:rPr>
      </w:pPr>
      <w:bookmarkStart w:id="212" w:name="_Toc79392593"/>
      <w:bookmarkStart w:id="213" w:name="_Toc57530252"/>
      <w:bookmarkStart w:id="214" w:name="_Toc15118245"/>
    </w:p>
    <w:p w14:paraId="142E1F0D">
      <w:pPr>
        <w:spacing w:line="360" w:lineRule="auto"/>
        <w:ind w:firstLine="480" w:firstLineChars="200"/>
        <w:rPr>
          <w:bCs/>
          <w:sz w:val="24"/>
        </w:rPr>
      </w:pPr>
      <w:r>
        <w:rPr>
          <w:bCs/>
          <w:sz w:val="24"/>
        </w:rPr>
        <w:t>一、基金管理人和基金托管人职责终止的情形</w:t>
      </w:r>
      <w:bookmarkEnd w:id="212"/>
      <w:bookmarkEnd w:id="213"/>
      <w:bookmarkEnd w:id="214"/>
    </w:p>
    <w:p w14:paraId="6A39DC8A">
      <w:pPr>
        <w:spacing w:line="360" w:lineRule="auto"/>
        <w:ind w:firstLine="480" w:firstLineChars="200"/>
        <w:rPr>
          <w:bCs/>
          <w:sz w:val="24"/>
        </w:rPr>
      </w:pPr>
      <w:bookmarkStart w:id="215" w:name="_Toc22005971"/>
      <w:r>
        <w:rPr>
          <w:bCs/>
          <w:sz w:val="24"/>
        </w:rPr>
        <w:t>（一）</w:t>
      </w:r>
      <w:r>
        <w:rPr>
          <w:bCs/>
          <w:sz w:val="24"/>
        </w:rPr>
        <w:tab/>
      </w:r>
      <w:r>
        <w:rPr>
          <w:bCs/>
          <w:sz w:val="24"/>
        </w:rPr>
        <w:t>基金管理人职责终止的情形</w:t>
      </w:r>
      <w:bookmarkEnd w:id="215"/>
    </w:p>
    <w:p w14:paraId="57EE8B26">
      <w:pPr>
        <w:spacing w:line="360" w:lineRule="auto"/>
        <w:ind w:firstLine="480" w:firstLineChars="200"/>
        <w:rPr>
          <w:bCs/>
          <w:sz w:val="24"/>
        </w:rPr>
      </w:pPr>
      <w:r>
        <w:rPr>
          <w:bCs/>
          <w:sz w:val="24"/>
        </w:rPr>
        <w:t>有下列情形之一的，基金管理人职责终止：</w:t>
      </w:r>
    </w:p>
    <w:p w14:paraId="4F97765B">
      <w:pPr>
        <w:spacing w:line="360" w:lineRule="auto"/>
        <w:ind w:firstLine="480" w:firstLineChars="200"/>
        <w:rPr>
          <w:bCs/>
          <w:sz w:val="24"/>
        </w:rPr>
      </w:pPr>
      <w:r>
        <w:rPr>
          <w:bCs/>
          <w:sz w:val="24"/>
        </w:rPr>
        <w:t>1、被依法取消基金管理资格；</w:t>
      </w:r>
    </w:p>
    <w:p w14:paraId="61BD009C">
      <w:pPr>
        <w:spacing w:line="360" w:lineRule="auto"/>
        <w:ind w:firstLine="480" w:firstLineChars="200"/>
        <w:rPr>
          <w:bCs/>
          <w:sz w:val="24"/>
        </w:rPr>
      </w:pPr>
      <w:r>
        <w:rPr>
          <w:bCs/>
          <w:sz w:val="24"/>
        </w:rPr>
        <w:t>2、被基金份额持有人大会解任；</w:t>
      </w:r>
    </w:p>
    <w:p w14:paraId="7B36624C">
      <w:pPr>
        <w:spacing w:line="360" w:lineRule="auto"/>
        <w:ind w:firstLine="480" w:firstLineChars="200"/>
        <w:rPr>
          <w:bCs/>
          <w:sz w:val="24"/>
        </w:rPr>
      </w:pPr>
      <w:r>
        <w:rPr>
          <w:bCs/>
          <w:sz w:val="24"/>
        </w:rPr>
        <w:t>3、依法解散、被依法撤销或被依法宣告破产；</w:t>
      </w:r>
    </w:p>
    <w:p w14:paraId="58B8CE77">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4C55B2A8">
      <w:pPr>
        <w:spacing w:line="360" w:lineRule="auto"/>
        <w:ind w:firstLine="480" w:firstLineChars="200"/>
        <w:rPr>
          <w:bCs/>
          <w:sz w:val="24"/>
        </w:rPr>
      </w:pPr>
      <w:bookmarkStart w:id="216" w:name="_Toc22005972"/>
      <w:r>
        <w:rPr>
          <w:bCs/>
          <w:sz w:val="24"/>
        </w:rPr>
        <w:t>（二）</w:t>
      </w:r>
      <w:r>
        <w:rPr>
          <w:bCs/>
          <w:sz w:val="24"/>
        </w:rPr>
        <w:tab/>
      </w:r>
      <w:r>
        <w:rPr>
          <w:bCs/>
          <w:sz w:val="24"/>
        </w:rPr>
        <w:t>基金托管人职责终止的情形</w:t>
      </w:r>
      <w:bookmarkEnd w:id="216"/>
    </w:p>
    <w:p w14:paraId="665966B6">
      <w:pPr>
        <w:spacing w:line="360" w:lineRule="auto"/>
        <w:ind w:firstLine="480" w:firstLineChars="200"/>
        <w:rPr>
          <w:bCs/>
          <w:sz w:val="24"/>
        </w:rPr>
      </w:pPr>
      <w:r>
        <w:rPr>
          <w:bCs/>
          <w:sz w:val="24"/>
        </w:rPr>
        <w:t>有下列情形之一的，基金托管人职责终止：</w:t>
      </w:r>
    </w:p>
    <w:p w14:paraId="71B0D79E">
      <w:pPr>
        <w:spacing w:line="360" w:lineRule="auto"/>
        <w:ind w:firstLine="480" w:firstLineChars="200"/>
        <w:rPr>
          <w:bCs/>
          <w:sz w:val="24"/>
        </w:rPr>
      </w:pPr>
      <w:r>
        <w:rPr>
          <w:bCs/>
          <w:sz w:val="24"/>
        </w:rPr>
        <w:t>1、被依法取消基金托管资格；</w:t>
      </w:r>
    </w:p>
    <w:p w14:paraId="33A05207">
      <w:pPr>
        <w:spacing w:line="360" w:lineRule="auto"/>
        <w:ind w:firstLine="480" w:firstLineChars="200"/>
        <w:rPr>
          <w:bCs/>
          <w:sz w:val="24"/>
        </w:rPr>
      </w:pPr>
      <w:r>
        <w:rPr>
          <w:bCs/>
          <w:sz w:val="24"/>
        </w:rPr>
        <w:t>2、被基金份额持有人大会解任；</w:t>
      </w:r>
    </w:p>
    <w:p w14:paraId="450F172A">
      <w:pPr>
        <w:spacing w:line="360" w:lineRule="auto"/>
        <w:ind w:firstLine="480" w:firstLineChars="200"/>
        <w:rPr>
          <w:rFonts w:hint="eastAsia"/>
          <w:bCs/>
          <w:sz w:val="24"/>
        </w:rPr>
      </w:pPr>
      <w:r>
        <w:rPr>
          <w:bCs/>
          <w:sz w:val="24"/>
        </w:rPr>
        <w:t>3、依法解散、被依法撤销或被依法宣告破产；</w:t>
      </w:r>
    </w:p>
    <w:p w14:paraId="76D7C5B1">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208ABB5">
      <w:pPr>
        <w:spacing w:line="360" w:lineRule="auto"/>
        <w:ind w:firstLine="480" w:firstLineChars="200"/>
        <w:rPr>
          <w:bCs/>
          <w:sz w:val="24"/>
        </w:rPr>
      </w:pPr>
      <w:bookmarkStart w:id="217" w:name="_Toc57530253"/>
      <w:bookmarkStart w:id="218" w:name="_Toc79392594"/>
      <w:bookmarkStart w:id="219" w:name="_Toc15118246"/>
      <w:r>
        <w:rPr>
          <w:bCs/>
          <w:sz w:val="24"/>
        </w:rPr>
        <w:t>二、基金管理人和基金托管人的更换程序</w:t>
      </w:r>
      <w:bookmarkEnd w:id="217"/>
      <w:bookmarkEnd w:id="218"/>
      <w:bookmarkEnd w:id="219"/>
    </w:p>
    <w:p w14:paraId="3602E1F8">
      <w:pPr>
        <w:spacing w:line="360" w:lineRule="auto"/>
        <w:ind w:firstLine="480" w:firstLineChars="200"/>
        <w:rPr>
          <w:bCs/>
          <w:sz w:val="24"/>
        </w:rPr>
      </w:pPr>
      <w:bookmarkStart w:id="220" w:name="_Toc22005974"/>
      <w:r>
        <w:rPr>
          <w:bCs/>
          <w:sz w:val="24"/>
        </w:rPr>
        <w:t>（一）</w:t>
      </w:r>
      <w:r>
        <w:rPr>
          <w:bCs/>
          <w:sz w:val="24"/>
        </w:rPr>
        <w:tab/>
      </w:r>
      <w:r>
        <w:rPr>
          <w:bCs/>
          <w:sz w:val="24"/>
        </w:rPr>
        <w:t>基金管理人的更换程序</w:t>
      </w:r>
      <w:bookmarkEnd w:id="220"/>
    </w:p>
    <w:p w14:paraId="47DE55FC">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6C9AD6C7">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22B31E1C">
      <w:pPr>
        <w:spacing w:line="360" w:lineRule="auto"/>
        <w:ind w:firstLine="480" w:firstLineChars="200"/>
        <w:rPr>
          <w:bCs/>
          <w:sz w:val="24"/>
        </w:rPr>
      </w:pPr>
      <w:r>
        <w:rPr>
          <w:bCs/>
          <w:sz w:val="24"/>
        </w:rPr>
        <w:t>3、临时基金管理人：新任基金管理人产生之前，由中国证监会指定临时基金管理人；</w:t>
      </w:r>
    </w:p>
    <w:p w14:paraId="2B8F2082">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23945D78">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07DD5975">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w:t>
      </w:r>
      <w:r>
        <w:rPr>
          <w:rFonts w:hint="eastAsia"/>
          <w:bCs/>
          <w:sz w:val="24"/>
        </w:rPr>
        <w:t>基金管理人或临时</w:t>
      </w:r>
      <w:r>
        <w:rPr>
          <w:bCs/>
          <w:sz w:val="24"/>
        </w:rPr>
        <w:t>基金管理人应与基金托管人核对基金资产总值</w:t>
      </w:r>
      <w:r>
        <w:rPr>
          <w:rFonts w:hint="eastAsia"/>
          <w:bCs/>
          <w:sz w:val="24"/>
        </w:rPr>
        <w:t>和净值</w:t>
      </w:r>
      <w:r>
        <w:rPr>
          <w:bCs/>
          <w:sz w:val="24"/>
        </w:rPr>
        <w:t>；</w:t>
      </w:r>
    </w:p>
    <w:p w14:paraId="245D9848">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262E5BD7">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674632FD">
      <w:pPr>
        <w:spacing w:line="360" w:lineRule="auto"/>
        <w:ind w:firstLine="480" w:firstLineChars="200"/>
        <w:rPr>
          <w:bCs/>
          <w:sz w:val="24"/>
        </w:rPr>
      </w:pPr>
      <w:bookmarkStart w:id="221" w:name="_Toc22005975"/>
      <w:r>
        <w:rPr>
          <w:bCs/>
          <w:sz w:val="24"/>
        </w:rPr>
        <w:t>（二）</w:t>
      </w:r>
      <w:r>
        <w:rPr>
          <w:bCs/>
          <w:sz w:val="24"/>
        </w:rPr>
        <w:tab/>
      </w:r>
      <w:r>
        <w:rPr>
          <w:bCs/>
          <w:sz w:val="24"/>
        </w:rPr>
        <w:t>基金托管人的更换程序</w:t>
      </w:r>
      <w:bookmarkEnd w:id="221"/>
    </w:p>
    <w:p w14:paraId="58D2E520">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1A27F4E2">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15C8C0AB">
      <w:pPr>
        <w:spacing w:line="360" w:lineRule="auto"/>
        <w:ind w:firstLine="480" w:firstLineChars="200"/>
        <w:rPr>
          <w:bCs/>
          <w:sz w:val="24"/>
        </w:rPr>
      </w:pPr>
      <w:r>
        <w:rPr>
          <w:bCs/>
          <w:sz w:val="24"/>
        </w:rPr>
        <w:t>3、临时基金托管人：新任基金托管人产生之前，由中国证监会指定临时基金托管人；</w:t>
      </w:r>
    </w:p>
    <w:p w14:paraId="44A828A8">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5FF01DE2">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4E6D0454">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或临时基金托管人应</w:t>
      </w:r>
      <w:r>
        <w:rPr>
          <w:bCs/>
          <w:sz w:val="24"/>
        </w:rPr>
        <w:t>与基金管理人核对基金资产总值</w:t>
      </w:r>
      <w:r>
        <w:rPr>
          <w:rFonts w:hint="eastAsia"/>
          <w:bCs/>
          <w:sz w:val="24"/>
        </w:rPr>
        <w:t>和净值</w:t>
      </w:r>
      <w:r>
        <w:rPr>
          <w:bCs/>
          <w:sz w:val="24"/>
        </w:rPr>
        <w:t>；</w:t>
      </w:r>
    </w:p>
    <w:p w14:paraId="55D93713">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2F71DF8F">
      <w:pPr>
        <w:spacing w:line="360" w:lineRule="auto"/>
        <w:ind w:firstLine="480" w:firstLineChars="200"/>
        <w:rPr>
          <w:bCs/>
          <w:sz w:val="24"/>
        </w:rPr>
      </w:pPr>
      <w:bookmarkStart w:id="222" w:name="_Toc1357"/>
      <w:r>
        <w:rPr>
          <w:bCs/>
          <w:sz w:val="24"/>
        </w:rPr>
        <w:t>（三）基金管理人与基金托管人同时更换的条件和程序</w:t>
      </w:r>
      <w:bookmarkEnd w:id="222"/>
    </w:p>
    <w:p w14:paraId="6E1BB0D2">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7B567294">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43707F6C">
      <w:pPr>
        <w:spacing w:line="360" w:lineRule="auto"/>
        <w:ind w:firstLine="480" w:firstLineChars="200"/>
        <w:rPr>
          <w:rFonts w:hint="eastAsia"/>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79AA388B">
      <w:pPr>
        <w:spacing w:line="360" w:lineRule="auto"/>
        <w:ind w:firstLine="480" w:firstLineChars="200"/>
        <w:rPr>
          <w:rFonts w:hint="eastAsia"/>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03B111D2">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6DE92D42">
      <w:pPr>
        <w:pStyle w:val="2"/>
        <w:spacing w:before="0" w:after="0"/>
        <w:jc w:val="center"/>
        <w:rPr>
          <w:rFonts w:ascii="Times New Roman"/>
          <w:color w:val="auto"/>
          <w:sz w:val="30"/>
        </w:rPr>
      </w:pPr>
      <w:r>
        <w:rPr>
          <w:rFonts w:ascii="Times New Roman"/>
          <w:b w:val="0"/>
          <w:bCs/>
          <w:color w:val="auto"/>
          <w:kern w:val="2"/>
        </w:rPr>
        <w:br w:type="page"/>
      </w:r>
      <w:bookmarkStart w:id="223" w:name="_Toc48649708"/>
      <w:bookmarkStart w:id="224" w:name="_Toc79392622"/>
      <w:bookmarkStart w:id="225" w:name="_Toc435642206"/>
      <w:bookmarkStart w:id="226" w:name="_Toc32584"/>
      <w:bookmarkStart w:id="227" w:name="_Toc853418326"/>
      <w:bookmarkStart w:id="228" w:name="_Toc5170"/>
      <w:bookmarkStart w:id="229" w:name="_Toc17198"/>
      <w:bookmarkStart w:id="230" w:name="_Toc29408"/>
      <w:bookmarkStart w:id="231" w:name="_Toc8791"/>
      <w:bookmarkStart w:id="232" w:name="_Toc98560356"/>
      <w:bookmarkStart w:id="233" w:name="_Toc139991740"/>
      <w:bookmarkStart w:id="234" w:name="_Toc17920"/>
      <w:bookmarkStart w:id="235" w:name="_Toc123102457"/>
      <w:bookmarkStart w:id="236" w:name="_Toc739"/>
      <w:bookmarkStart w:id="237" w:name="_Toc123112238"/>
      <w:bookmarkStart w:id="238" w:name="_Toc32092"/>
      <w:bookmarkStart w:id="239" w:name="_Toc21237"/>
      <w:bookmarkStart w:id="240" w:name="_Toc141703890"/>
      <w:bookmarkStart w:id="241" w:name="_Toc123051456"/>
      <w:bookmarkStart w:id="242" w:name="_Toc3329"/>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2E77FF5D">
      <w:pPr>
        <w:autoSpaceDE w:val="0"/>
        <w:autoSpaceDN w:val="0"/>
        <w:spacing w:line="360" w:lineRule="auto"/>
        <w:textAlignment w:val="bottom"/>
        <w:rPr>
          <w:bCs/>
          <w:sz w:val="24"/>
        </w:rPr>
      </w:pPr>
    </w:p>
    <w:p w14:paraId="2A3E2549">
      <w:pPr>
        <w:spacing w:line="360" w:lineRule="auto"/>
        <w:ind w:firstLine="480" w:firstLineChars="200"/>
        <w:rPr>
          <w:bCs/>
          <w:sz w:val="24"/>
        </w:rPr>
      </w:pPr>
      <w:r>
        <w:rPr>
          <w:bCs/>
          <w:sz w:val="24"/>
        </w:rPr>
        <w:t>基金托管人和基金管理人按照《基金法》、《基金合同》及其他有关规定订立托管协议。</w:t>
      </w:r>
    </w:p>
    <w:p w14:paraId="5AEE5149">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29F02CE9">
      <w:pPr>
        <w:pStyle w:val="2"/>
        <w:spacing w:before="0" w:after="0"/>
        <w:jc w:val="center"/>
        <w:rPr>
          <w:rFonts w:ascii="Times New Roman"/>
          <w:color w:val="auto"/>
          <w:sz w:val="30"/>
        </w:rPr>
      </w:pPr>
      <w:r>
        <w:rPr>
          <w:rFonts w:ascii="Times New Roman"/>
          <w:b w:val="0"/>
          <w:bCs/>
          <w:color w:val="auto"/>
        </w:rPr>
        <w:br w:type="page"/>
      </w:r>
      <w:bookmarkStart w:id="243" w:name="_Toc2255"/>
      <w:bookmarkStart w:id="244" w:name="_Toc3244"/>
      <w:bookmarkStart w:id="245" w:name="_Toc14725"/>
      <w:bookmarkStart w:id="246" w:name="_Toc548408397"/>
      <w:bookmarkStart w:id="247" w:name="_Toc98560357"/>
      <w:bookmarkStart w:id="248" w:name="_Toc22674"/>
      <w:bookmarkStart w:id="249" w:name="_Toc26084"/>
      <w:bookmarkStart w:id="250" w:name="_Toc123102458"/>
      <w:bookmarkStart w:id="251" w:name="_Toc123112239"/>
      <w:bookmarkStart w:id="252" w:name="_Toc141703891"/>
      <w:bookmarkStart w:id="253" w:name="_Toc19520"/>
      <w:bookmarkStart w:id="254" w:name="_Toc139991741"/>
      <w:bookmarkStart w:id="255" w:name="_Toc21886"/>
      <w:bookmarkStart w:id="256" w:name="_Toc435642207"/>
      <w:bookmarkStart w:id="257" w:name="_Toc26383"/>
      <w:bookmarkStart w:id="258" w:name="_Toc26152"/>
      <w:bookmarkStart w:id="259" w:name="_Toc48649710"/>
      <w:bookmarkStart w:id="260" w:name="_Toc79392624"/>
      <w:bookmarkStart w:id="261" w:name="_Toc123051457"/>
      <w:bookmarkStart w:id="262" w:name="_Toc16789"/>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18A42380">
      <w:pPr>
        <w:autoSpaceDE w:val="0"/>
        <w:autoSpaceDN w:val="0"/>
        <w:spacing w:line="360" w:lineRule="auto"/>
        <w:textAlignment w:val="bottom"/>
        <w:rPr>
          <w:bCs/>
          <w:sz w:val="24"/>
        </w:rPr>
      </w:pPr>
    </w:p>
    <w:p w14:paraId="50AD7D54">
      <w:pPr>
        <w:spacing w:line="360" w:lineRule="auto"/>
        <w:ind w:firstLine="480" w:firstLineChars="200"/>
        <w:rPr>
          <w:bCs/>
          <w:sz w:val="24"/>
        </w:rPr>
      </w:pPr>
      <w:r>
        <w:rPr>
          <w:bCs/>
          <w:sz w:val="24"/>
        </w:rPr>
        <w:t>一、基金份额的登记业务</w:t>
      </w:r>
    </w:p>
    <w:p w14:paraId="78AA5762">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7001F5FA">
      <w:pPr>
        <w:spacing w:line="360" w:lineRule="auto"/>
        <w:ind w:firstLine="480" w:firstLineChars="200"/>
        <w:rPr>
          <w:bCs/>
          <w:sz w:val="24"/>
        </w:rPr>
      </w:pPr>
      <w:r>
        <w:rPr>
          <w:bCs/>
          <w:sz w:val="24"/>
        </w:rPr>
        <w:t>二、基金登记业务办理机构</w:t>
      </w:r>
    </w:p>
    <w:p w14:paraId="66D1B0FE">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35C0F4E6">
      <w:pPr>
        <w:spacing w:line="360" w:lineRule="auto"/>
        <w:ind w:firstLine="480" w:firstLineChars="200"/>
        <w:rPr>
          <w:bCs/>
          <w:sz w:val="24"/>
        </w:rPr>
      </w:pPr>
      <w:r>
        <w:rPr>
          <w:bCs/>
          <w:sz w:val="24"/>
        </w:rPr>
        <w:t>三、基金登记机构的权利</w:t>
      </w:r>
      <w:bookmarkStart w:id="263" w:name="_Hlt88820748"/>
      <w:bookmarkEnd w:id="263"/>
    </w:p>
    <w:p w14:paraId="0561C6E2">
      <w:pPr>
        <w:spacing w:line="360" w:lineRule="auto"/>
        <w:ind w:firstLine="480" w:firstLineChars="200"/>
        <w:rPr>
          <w:bCs/>
          <w:sz w:val="24"/>
        </w:rPr>
      </w:pPr>
      <w:r>
        <w:rPr>
          <w:bCs/>
          <w:sz w:val="24"/>
        </w:rPr>
        <w:t>基金登记机构享有以下权利：</w:t>
      </w:r>
    </w:p>
    <w:p w14:paraId="6BDEECC5">
      <w:pPr>
        <w:spacing w:line="360" w:lineRule="auto"/>
        <w:ind w:firstLine="480" w:firstLineChars="200"/>
        <w:rPr>
          <w:bCs/>
          <w:sz w:val="24"/>
        </w:rPr>
      </w:pPr>
      <w:r>
        <w:rPr>
          <w:bCs/>
          <w:sz w:val="24"/>
        </w:rPr>
        <w:t>1、取得登记费；</w:t>
      </w:r>
    </w:p>
    <w:p w14:paraId="22A8870A">
      <w:pPr>
        <w:spacing w:line="360" w:lineRule="auto"/>
        <w:ind w:firstLine="480" w:firstLineChars="200"/>
        <w:rPr>
          <w:bCs/>
          <w:sz w:val="24"/>
        </w:rPr>
      </w:pPr>
      <w:r>
        <w:rPr>
          <w:bCs/>
          <w:sz w:val="24"/>
        </w:rPr>
        <w:t>2、建立和管理投资者基金账户；</w:t>
      </w:r>
    </w:p>
    <w:p w14:paraId="35320777">
      <w:pPr>
        <w:spacing w:line="360" w:lineRule="auto"/>
        <w:ind w:firstLine="480" w:firstLineChars="200"/>
        <w:rPr>
          <w:bCs/>
          <w:sz w:val="24"/>
        </w:rPr>
      </w:pPr>
      <w:r>
        <w:rPr>
          <w:bCs/>
          <w:sz w:val="24"/>
        </w:rPr>
        <w:t>3、保管基金份额持有人开户资料、交易资料、基金份额持有人名册等；</w:t>
      </w:r>
    </w:p>
    <w:p w14:paraId="69482E8D">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6EE2CDFB">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39FEB1E4">
      <w:pPr>
        <w:spacing w:line="360" w:lineRule="auto"/>
        <w:ind w:firstLine="480" w:firstLineChars="200"/>
        <w:rPr>
          <w:bCs/>
          <w:sz w:val="24"/>
        </w:rPr>
      </w:pPr>
      <w:r>
        <w:rPr>
          <w:bCs/>
          <w:sz w:val="24"/>
        </w:rPr>
        <w:t>四、基金登记机构的义务</w:t>
      </w:r>
    </w:p>
    <w:p w14:paraId="732B7A4F">
      <w:pPr>
        <w:spacing w:line="360" w:lineRule="auto"/>
        <w:ind w:firstLine="480" w:firstLineChars="200"/>
        <w:rPr>
          <w:bCs/>
          <w:sz w:val="24"/>
        </w:rPr>
      </w:pPr>
      <w:r>
        <w:rPr>
          <w:bCs/>
          <w:sz w:val="24"/>
        </w:rPr>
        <w:t>基金登记机构承担以下义务：</w:t>
      </w:r>
    </w:p>
    <w:p w14:paraId="3D2F0313">
      <w:pPr>
        <w:spacing w:line="360" w:lineRule="auto"/>
        <w:ind w:firstLine="480" w:firstLineChars="200"/>
        <w:rPr>
          <w:bCs/>
          <w:sz w:val="24"/>
        </w:rPr>
      </w:pPr>
      <w:r>
        <w:rPr>
          <w:bCs/>
          <w:sz w:val="24"/>
        </w:rPr>
        <w:t>1、配备足够的专业人员办理本基金份额的登记业务；</w:t>
      </w:r>
    </w:p>
    <w:p w14:paraId="311B9EE9">
      <w:pPr>
        <w:spacing w:line="360" w:lineRule="auto"/>
        <w:ind w:firstLine="480" w:firstLineChars="200"/>
        <w:rPr>
          <w:bCs/>
          <w:sz w:val="24"/>
        </w:rPr>
      </w:pPr>
      <w:r>
        <w:rPr>
          <w:bCs/>
          <w:sz w:val="24"/>
        </w:rPr>
        <w:t>2、严格按照法律法规和《基金合同》规定的条件办理本基金份额的登记业务；</w:t>
      </w:r>
    </w:p>
    <w:p w14:paraId="79FB0D2B">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758B5C71">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3C349516">
      <w:pPr>
        <w:spacing w:line="360" w:lineRule="auto"/>
        <w:ind w:firstLine="480" w:firstLineChars="200"/>
        <w:rPr>
          <w:bCs/>
          <w:sz w:val="24"/>
        </w:rPr>
      </w:pPr>
      <w:r>
        <w:rPr>
          <w:bCs/>
          <w:sz w:val="24"/>
        </w:rPr>
        <w:t>5、按《基金合同》及招募说明书规定为投资者办理非交易过户业务、提供其他必要的服务；</w:t>
      </w:r>
    </w:p>
    <w:p w14:paraId="2D46C9FF">
      <w:pPr>
        <w:spacing w:line="360" w:lineRule="auto"/>
        <w:ind w:firstLine="480" w:firstLineChars="200"/>
        <w:rPr>
          <w:bCs/>
          <w:sz w:val="24"/>
        </w:rPr>
      </w:pPr>
      <w:r>
        <w:rPr>
          <w:bCs/>
          <w:sz w:val="24"/>
        </w:rPr>
        <w:t>6、接受基金管理人的监督；</w:t>
      </w:r>
    </w:p>
    <w:p w14:paraId="7B902993">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14:paraId="6F1EEDBC">
      <w:pPr>
        <w:pStyle w:val="2"/>
        <w:spacing w:before="0" w:after="0"/>
        <w:jc w:val="center"/>
        <w:rPr>
          <w:rFonts w:ascii="Times New Roman"/>
          <w:color w:val="auto"/>
          <w:sz w:val="30"/>
        </w:rPr>
      </w:pPr>
      <w:r>
        <w:rPr>
          <w:rFonts w:ascii="Times New Roman"/>
          <w:b w:val="0"/>
          <w:bCs/>
          <w:color w:val="auto"/>
        </w:rPr>
        <w:br w:type="page"/>
      </w:r>
      <w:bookmarkStart w:id="264" w:name="_Toc11395"/>
      <w:bookmarkStart w:id="265" w:name="_Toc22538"/>
      <w:bookmarkStart w:id="266" w:name="_Toc801"/>
      <w:bookmarkStart w:id="267" w:name="_Toc980295196"/>
      <w:bookmarkStart w:id="268" w:name="_Toc3872"/>
      <w:bookmarkStart w:id="269" w:name="_Toc2981"/>
      <w:bookmarkStart w:id="270" w:name="_Toc16437"/>
      <w:bookmarkStart w:id="271" w:name="_Toc435642208"/>
      <w:bookmarkStart w:id="272" w:name="_Toc578"/>
      <w:bookmarkStart w:id="273" w:name="_Toc11351"/>
      <w:bookmarkStart w:id="274" w:name="_Toc21917"/>
      <w:bookmarkStart w:id="275" w:name="_Toc5477"/>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64"/>
      <w:bookmarkEnd w:id="265"/>
      <w:bookmarkEnd w:id="266"/>
      <w:bookmarkEnd w:id="267"/>
      <w:bookmarkEnd w:id="268"/>
      <w:bookmarkEnd w:id="269"/>
      <w:bookmarkEnd w:id="270"/>
      <w:bookmarkEnd w:id="271"/>
      <w:bookmarkEnd w:id="272"/>
      <w:bookmarkEnd w:id="273"/>
      <w:bookmarkEnd w:id="274"/>
      <w:bookmarkEnd w:id="275"/>
    </w:p>
    <w:p w14:paraId="25394DCF">
      <w:pPr>
        <w:spacing w:line="360" w:lineRule="auto"/>
        <w:ind w:firstLine="480" w:firstLineChars="200"/>
        <w:rPr>
          <w:bCs/>
          <w:sz w:val="24"/>
        </w:rPr>
      </w:pPr>
    </w:p>
    <w:p w14:paraId="739BEACD">
      <w:pPr>
        <w:numPr>
          <w:ilvl w:val="0"/>
          <w:numId w:val="3"/>
        </w:numPr>
        <w:spacing w:line="360" w:lineRule="auto"/>
        <w:rPr>
          <w:rFonts w:hint="eastAsia"/>
          <w:bCs/>
          <w:sz w:val="24"/>
        </w:rPr>
      </w:pPr>
      <w:r>
        <w:rPr>
          <w:bCs/>
          <w:sz w:val="24"/>
        </w:rPr>
        <w:t>投资目标</w:t>
      </w:r>
    </w:p>
    <w:p w14:paraId="766637FB">
      <w:pPr>
        <w:spacing w:line="360" w:lineRule="auto"/>
        <w:ind w:firstLine="480" w:firstLineChars="200"/>
        <w:rPr>
          <w:rFonts w:hint="eastAsia"/>
          <w:color w:val="000000"/>
          <w:sz w:val="24"/>
          <w:szCs w:val="21"/>
        </w:rPr>
      </w:pPr>
      <w:r>
        <w:rPr>
          <w:rFonts w:hint="eastAsia"/>
          <w:color w:val="000000"/>
          <w:sz w:val="24"/>
          <w:szCs w:val="21"/>
        </w:rPr>
        <w:t>在一定程度上控制组合净值波动率的前提下，力争长期内实现超越业绩比较基准的投资回报。</w:t>
      </w:r>
    </w:p>
    <w:p w14:paraId="3B8B0494">
      <w:pPr>
        <w:spacing w:line="360" w:lineRule="auto"/>
        <w:ind w:firstLine="480" w:firstLineChars="200"/>
        <w:rPr>
          <w:rFonts w:hint="eastAsia"/>
          <w:bCs/>
          <w:sz w:val="24"/>
        </w:rPr>
      </w:pPr>
      <w:r>
        <w:rPr>
          <w:bCs/>
          <w:sz w:val="24"/>
        </w:rPr>
        <w:t>二、投资范围</w:t>
      </w:r>
    </w:p>
    <w:p w14:paraId="2855403E">
      <w:pPr>
        <w:spacing w:line="360" w:lineRule="auto"/>
        <w:ind w:firstLine="480" w:firstLineChars="200"/>
        <w:rPr>
          <w:rFonts w:hint="eastAsia"/>
          <w:bCs/>
          <w:sz w:val="24"/>
        </w:rPr>
      </w:pPr>
      <w:r>
        <w:rPr>
          <w:rFonts w:hint="eastAsia"/>
          <w:bCs/>
          <w:sz w:val="24"/>
        </w:rPr>
        <w:t>本基金的投资范围主要为具有良好流动性的金融工具，包括国债、金融债、企业债、公司债、央行票据、中期票据、短期融资券、中小企业私募债、资产支持证券、次级债、可分离交易可转债的纯债部分、债券回购、同业存单、银行存款等法律法规或中国证监会允许基金投资的其他金融工具（但须符合中国证监会的相关规定）。</w:t>
      </w:r>
    </w:p>
    <w:p w14:paraId="5848FEE6">
      <w:pPr>
        <w:spacing w:line="360" w:lineRule="auto"/>
        <w:ind w:firstLine="480" w:firstLineChars="200"/>
        <w:rPr>
          <w:rFonts w:hint="eastAsia"/>
          <w:b/>
          <w:bCs/>
          <w:sz w:val="32"/>
        </w:rPr>
      </w:pPr>
      <w:r>
        <w:rPr>
          <w:rFonts w:hint="eastAsia" w:ascii="Arial" w:hAnsi="Arial" w:cs="Arial"/>
          <w:bCs/>
          <w:sz w:val="24"/>
          <w:szCs w:val="21"/>
        </w:rPr>
        <w:t>本基金不投资于股票、权证等权益类资产，也不投资于可转换债券（</w:t>
      </w:r>
      <w:r>
        <w:rPr>
          <w:rFonts w:hint="eastAsia"/>
          <w:bCs/>
          <w:sz w:val="24"/>
        </w:rPr>
        <w:t>可分离交易可转债的纯债部分除外</w:t>
      </w:r>
      <w:r>
        <w:rPr>
          <w:rFonts w:hint="eastAsia" w:ascii="Arial" w:hAnsi="Arial" w:cs="Arial"/>
          <w:bCs/>
          <w:sz w:val="24"/>
          <w:szCs w:val="21"/>
        </w:rPr>
        <w:t>）、可交换债券。</w:t>
      </w:r>
    </w:p>
    <w:p w14:paraId="4843CB3D">
      <w:pPr>
        <w:spacing w:line="360" w:lineRule="auto"/>
        <w:ind w:firstLine="480" w:firstLineChars="200"/>
        <w:rPr>
          <w:rFonts w:hint="eastAsia"/>
          <w:bCs/>
          <w:sz w:val="24"/>
        </w:rPr>
      </w:pPr>
      <w:r>
        <w:rPr>
          <w:rFonts w:hint="eastAsia"/>
          <w:bCs/>
          <w:sz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现金或者到期日在一年以内的政府债券不低于基金资产净值的5%，在封闭期内，本基金不受上述5%的限制，其中，现金不包括结算备付金、存出保证金、应收申购款等。</w:t>
      </w:r>
    </w:p>
    <w:p w14:paraId="7CB25D63">
      <w:pPr>
        <w:spacing w:line="360" w:lineRule="auto"/>
        <w:ind w:firstLine="480" w:firstLineChars="200"/>
        <w:rPr>
          <w:rFonts w:hint="eastAsia"/>
          <w:bCs/>
          <w:sz w:val="24"/>
        </w:rPr>
      </w:pPr>
      <w:r>
        <w:rPr>
          <w:rFonts w:hint="eastAsia"/>
          <w:bCs/>
          <w:sz w:val="24"/>
        </w:rPr>
        <w:t>如法律法规或监管机构以后允许基金投资的其他品种，基金管理人在履行适当程序后，可以将其纳入投资范围。</w:t>
      </w:r>
    </w:p>
    <w:p w14:paraId="71BDDF58">
      <w:pPr>
        <w:spacing w:line="360" w:lineRule="auto"/>
        <w:ind w:firstLine="480" w:firstLineChars="200"/>
        <w:rPr>
          <w:rFonts w:hint="eastAsia"/>
          <w:bCs/>
          <w:sz w:val="24"/>
        </w:rPr>
      </w:pPr>
      <w:r>
        <w:rPr>
          <w:bCs/>
          <w:sz w:val="24"/>
        </w:rPr>
        <w:t>三、投资策略</w:t>
      </w:r>
    </w:p>
    <w:p w14:paraId="64BA9006">
      <w:pPr>
        <w:spacing w:line="360" w:lineRule="auto"/>
        <w:ind w:firstLine="480" w:firstLineChars="200"/>
        <w:rPr>
          <w:bCs/>
          <w:sz w:val="24"/>
        </w:rPr>
      </w:pPr>
      <w:r>
        <w:rPr>
          <w:rFonts w:hint="eastAsia"/>
          <w:bCs/>
          <w:sz w:val="24"/>
        </w:rPr>
        <w:t>（一）封闭期投资策略</w:t>
      </w:r>
    </w:p>
    <w:p w14:paraId="5C700797">
      <w:pPr>
        <w:spacing w:line="360" w:lineRule="auto"/>
        <w:ind w:firstLine="480" w:firstLineChars="200"/>
        <w:rPr>
          <w:rFonts w:hint="eastAsia"/>
          <w:bCs/>
          <w:sz w:val="24"/>
        </w:rPr>
      </w:pPr>
      <w:r>
        <w:rPr>
          <w:rFonts w:hint="eastAsia"/>
          <w:bCs/>
          <w:sz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7F6B2C2E">
      <w:pPr>
        <w:spacing w:line="360" w:lineRule="auto"/>
        <w:ind w:firstLine="480" w:firstLineChars="200"/>
        <w:rPr>
          <w:rFonts w:hint="eastAsia"/>
          <w:bCs/>
          <w:sz w:val="24"/>
        </w:rPr>
      </w:pPr>
      <w:r>
        <w:rPr>
          <w:rFonts w:hint="eastAsia"/>
          <w:bCs/>
          <w:sz w:val="24"/>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5A9A96FA">
      <w:pPr>
        <w:spacing w:line="360" w:lineRule="auto"/>
        <w:ind w:firstLine="480" w:firstLineChars="200"/>
        <w:rPr>
          <w:rFonts w:hint="eastAsia"/>
          <w:bCs/>
          <w:sz w:val="24"/>
        </w:rPr>
      </w:pPr>
      <w:r>
        <w:rPr>
          <w:rFonts w:hint="eastAsia"/>
          <w:bCs/>
          <w:sz w:val="24"/>
        </w:rPr>
        <w:t xml:space="preserve">灵活应用各种期限结构策略、信用策略、互换策略、息差策略，在合理管理并控制组合风险的前提下，最大化组合收益。 </w:t>
      </w:r>
    </w:p>
    <w:p w14:paraId="532CAABE">
      <w:pPr>
        <w:spacing w:line="360" w:lineRule="auto"/>
        <w:ind w:firstLine="480" w:firstLineChars="200"/>
        <w:rPr>
          <w:rFonts w:hint="eastAsia"/>
          <w:bCs/>
          <w:sz w:val="24"/>
        </w:rPr>
      </w:pPr>
      <w:r>
        <w:rPr>
          <w:rFonts w:hint="eastAsia"/>
          <w:bCs/>
          <w:sz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14083DC8">
      <w:pPr>
        <w:spacing w:line="360" w:lineRule="auto"/>
        <w:ind w:firstLine="480" w:firstLineChars="200"/>
        <w:rPr>
          <w:rFonts w:hint="eastAsia"/>
          <w:bCs/>
          <w:sz w:val="24"/>
        </w:rPr>
      </w:pPr>
      <w:r>
        <w:rPr>
          <w:rFonts w:hint="eastAsia"/>
          <w:bCs/>
          <w:sz w:val="24"/>
        </w:rPr>
        <w:t xml:space="preserve">1）骑乘策略是当收益率曲线比较陡峭时，也即相邻期限利差较大时，买入期限位于收益率曲线陡峭处的债券，通过债券的收益率的下滑，进而获得资本利得收益。 </w:t>
      </w:r>
    </w:p>
    <w:p w14:paraId="61FCF502">
      <w:pPr>
        <w:spacing w:line="360" w:lineRule="auto"/>
        <w:ind w:firstLine="480" w:firstLineChars="200"/>
        <w:rPr>
          <w:rFonts w:hint="eastAsia"/>
          <w:bCs/>
          <w:sz w:val="24"/>
        </w:rPr>
      </w:pPr>
      <w:r>
        <w:rPr>
          <w:rFonts w:hint="eastAsia"/>
          <w:bCs/>
          <w:sz w:val="24"/>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588BA517">
      <w:pPr>
        <w:spacing w:line="360" w:lineRule="auto"/>
        <w:ind w:firstLine="480" w:firstLineChars="200"/>
        <w:rPr>
          <w:rFonts w:hint="eastAsia"/>
          <w:bCs/>
          <w:sz w:val="24"/>
        </w:rPr>
      </w:pPr>
      <w:r>
        <w:rPr>
          <w:rFonts w:hint="eastAsia"/>
          <w:bCs/>
          <w:sz w:val="24"/>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分别采用以下的分析策略： </w:t>
      </w:r>
    </w:p>
    <w:p w14:paraId="1896DA98">
      <w:pPr>
        <w:spacing w:line="360" w:lineRule="auto"/>
        <w:ind w:firstLine="480" w:firstLineChars="200"/>
        <w:rPr>
          <w:rFonts w:hint="eastAsia"/>
          <w:bCs/>
          <w:sz w:val="24"/>
        </w:rPr>
      </w:pPr>
      <w:r>
        <w:rPr>
          <w:rFonts w:hint="eastAsia"/>
          <w:bCs/>
          <w:sz w:val="24"/>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00CF292A">
      <w:pPr>
        <w:spacing w:line="360" w:lineRule="auto"/>
        <w:ind w:firstLine="480" w:firstLineChars="200"/>
        <w:rPr>
          <w:rFonts w:hint="eastAsia"/>
          <w:bCs/>
          <w:sz w:val="24"/>
        </w:rPr>
      </w:pPr>
      <w:r>
        <w:rPr>
          <w:rFonts w:hint="eastAsia"/>
          <w:bCs/>
          <w:sz w:val="24"/>
        </w:rPr>
        <w:t>2）基于信用债信用变化策略：发行人信用发生变化后，将采用变化后债券信用级别所对应的信用利差曲线对公司债、企业债定价。影响信用债信用风险的因素分为行业风险、公司风险、现金流风险、资产负债风险和其他风险等五个方面。主要依靠内部评级系统分析信用债的相对信用水平、违约风险及理论信用利差。</w:t>
      </w:r>
    </w:p>
    <w:p w14:paraId="10433917">
      <w:pPr>
        <w:spacing w:line="360" w:lineRule="auto"/>
        <w:ind w:firstLine="480" w:firstLineChars="200"/>
        <w:rPr>
          <w:rFonts w:hint="eastAsia"/>
          <w:bCs/>
          <w:sz w:val="24"/>
        </w:rPr>
      </w:pPr>
      <w:r>
        <w:rPr>
          <w:rFonts w:hint="eastAsia"/>
          <w:bCs/>
          <w:sz w:val="24"/>
        </w:rPr>
        <w:t xml:space="preserve">3、互换策略。不同券种在利息、违约风险、久期、流动性、税收和衍生条款等方面存在差别，投资管理人可以同时买入和卖出具有相近特性的两个或两个以上券种，赚取收益级差。互换策略分为两种： </w:t>
      </w:r>
    </w:p>
    <w:p w14:paraId="7D12780D">
      <w:pPr>
        <w:spacing w:line="360" w:lineRule="auto"/>
        <w:ind w:firstLine="480" w:firstLineChars="200"/>
        <w:rPr>
          <w:rFonts w:hint="eastAsia"/>
          <w:bCs/>
          <w:sz w:val="24"/>
        </w:rPr>
      </w:pPr>
      <w:r>
        <w:rPr>
          <w:rFonts w:hint="eastAsia"/>
          <w:bCs/>
          <w:sz w:val="24"/>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2C1499C5">
      <w:pPr>
        <w:spacing w:line="360" w:lineRule="auto"/>
        <w:ind w:firstLine="480" w:firstLineChars="200"/>
        <w:rPr>
          <w:rFonts w:hint="eastAsia"/>
          <w:bCs/>
          <w:sz w:val="24"/>
        </w:rPr>
      </w:pPr>
      <w:r>
        <w:rPr>
          <w:rFonts w:hint="eastAsia"/>
          <w:bCs/>
          <w:sz w:val="24"/>
        </w:rPr>
        <w:t xml:space="preserve">2）市场间利差互换。一般在公司信用债和国家信用债之间进行。如果预期信用利差扩大，则用国家信用债替换公司信用债；如果预期信用利差缩小，则用公司信用债替换国家信用债。 </w:t>
      </w:r>
    </w:p>
    <w:p w14:paraId="1695ADF5">
      <w:pPr>
        <w:spacing w:line="360" w:lineRule="auto"/>
        <w:ind w:firstLine="480" w:firstLineChars="200"/>
        <w:rPr>
          <w:rFonts w:hint="eastAsia"/>
          <w:bCs/>
          <w:sz w:val="24"/>
        </w:rPr>
      </w:pPr>
      <w:r>
        <w:rPr>
          <w:rFonts w:hint="eastAsia"/>
          <w:bCs/>
          <w:sz w:val="24"/>
        </w:rPr>
        <w:t>4、息差策略。通过正回购，融资买入收益率高于回购成本的债券，从而获得杠杆放大收益。</w:t>
      </w:r>
    </w:p>
    <w:p w14:paraId="60CF6202">
      <w:pPr>
        <w:spacing w:line="360" w:lineRule="auto"/>
        <w:ind w:firstLine="480" w:firstLineChars="200"/>
        <w:rPr>
          <w:rFonts w:hint="eastAsia"/>
          <w:bCs/>
          <w:sz w:val="24"/>
        </w:rPr>
      </w:pPr>
      <w:r>
        <w:rPr>
          <w:rFonts w:hint="eastAsia"/>
          <w:bCs/>
          <w:sz w:val="24"/>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21BD6E0E">
      <w:pPr>
        <w:spacing w:line="360" w:lineRule="auto"/>
        <w:ind w:firstLine="480" w:firstLineChars="200"/>
        <w:rPr>
          <w:rFonts w:hint="eastAsia"/>
          <w:bCs/>
          <w:sz w:val="24"/>
        </w:rPr>
      </w:pPr>
      <w:r>
        <w:rPr>
          <w:rFonts w:hint="eastAsia"/>
          <w:bCs/>
          <w:sz w:val="24"/>
        </w:rPr>
        <w:t>6、中小企业私募债券投资策略</w:t>
      </w:r>
    </w:p>
    <w:p w14:paraId="30DF4766">
      <w:pPr>
        <w:spacing w:line="360" w:lineRule="auto"/>
        <w:ind w:firstLine="480" w:firstLineChars="200"/>
        <w:rPr>
          <w:rFonts w:hint="eastAsia"/>
          <w:bCs/>
          <w:sz w:val="24"/>
        </w:rPr>
      </w:pPr>
      <w:r>
        <w:rPr>
          <w:rFonts w:hint="eastAsia"/>
          <w:bCs/>
          <w:sz w:val="24"/>
        </w:rPr>
        <w:t>针对中小企业私募债券，本基金以持有到期，获得本金和票息收入为主要投资策略，同时，密切关注债券的信用风险变化，力争在控制风险的前提下，获得较高收益。</w:t>
      </w:r>
    </w:p>
    <w:p w14:paraId="5AEE7F3C">
      <w:pPr>
        <w:spacing w:line="360" w:lineRule="auto"/>
        <w:ind w:firstLine="480" w:firstLineChars="200"/>
        <w:rPr>
          <w:rFonts w:hint="eastAsia"/>
          <w:bCs/>
          <w:sz w:val="24"/>
        </w:rPr>
      </w:pPr>
      <w:r>
        <w:rPr>
          <w:rFonts w:hint="eastAsia"/>
          <w:bCs/>
          <w:sz w:val="24"/>
        </w:rPr>
        <w:t>7、资产支持证券投资策略</w:t>
      </w:r>
    </w:p>
    <w:p w14:paraId="62B39F7B">
      <w:pPr>
        <w:spacing w:line="360" w:lineRule="auto"/>
        <w:ind w:firstLine="480" w:firstLineChars="200"/>
        <w:rPr>
          <w:rFonts w:hint="eastAsia"/>
          <w:bCs/>
          <w:sz w:val="24"/>
        </w:rPr>
      </w:pPr>
      <w:r>
        <w:rPr>
          <w:rFonts w:hint="eastAsia"/>
          <w:bCs/>
          <w:sz w:val="24"/>
        </w:rPr>
        <w:t>本基金将通过对资产支持证券基础资产及结构设计的研究，结合多种定价模型，根据基金资产组合情况适度进行资产支持证券的投资。</w:t>
      </w:r>
    </w:p>
    <w:p w14:paraId="6C90836A">
      <w:pPr>
        <w:spacing w:line="360" w:lineRule="auto"/>
        <w:ind w:firstLine="480" w:firstLineChars="200"/>
        <w:rPr>
          <w:rFonts w:hint="eastAsia"/>
          <w:bCs/>
          <w:sz w:val="24"/>
        </w:rPr>
      </w:pPr>
      <w:r>
        <w:rPr>
          <w:rFonts w:hint="eastAsia"/>
          <w:bCs/>
          <w:sz w:val="24"/>
        </w:rPr>
        <w:t>（二）开放期投资策略</w:t>
      </w:r>
    </w:p>
    <w:p w14:paraId="5A4F5649">
      <w:pPr>
        <w:spacing w:line="360" w:lineRule="auto"/>
        <w:ind w:firstLine="480" w:firstLineChars="200"/>
        <w:rPr>
          <w:bCs/>
          <w:sz w:val="24"/>
        </w:rPr>
      </w:pPr>
      <w:r>
        <w:rPr>
          <w:rFonts w:hint="eastAsia"/>
          <w:bCs/>
          <w:sz w:val="24"/>
        </w:rPr>
        <w:t>开放期内，本基金为保持较高的组合流动性，方便投资人安排投资，在遵守本基金有关投资限制与投资比例的前提下，将主要投资于高流动性的投资品种。</w:t>
      </w:r>
    </w:p>
    <w:p w14:paraId="0FE8D6CC">
      <w:pPr>
        <w:spacing w:line="360" w:lineRule="auto"/>
        <w:ind w:firstLine="480" w:firstLineChars="200"/>
        <w:rPr>
          <w:bCs/>
          <w:sz w:val="24"/>
        </w:rPr>
      </w:pPr>
      <w:r>
        <w:rPr>
          <w:bCs/>
          <w:sz w:val="24"/>
        </w:rPr>
        <w:t>四、投资限制</w:t>
      </w:r>
    </w:p>
    <w:p w14:paraId="218B3C14">
      <w:pPr>
        <w:spacing w:line="360" w:lineRule="auto"/>
        <w:ind w:firstLine="480" w:firstLineChars="200"/>
        <w:rPr>
          <w:bCs/>
          <w:sz w:val="24"/>
        </w:rPr>
      </w:pPr>
      <w:r>
        <w:rPr>
          <w:bCs/>
          <w:sz w:val="24"/>
        </w:rPr>
        <w:t>1、组合限制</w:t>
      </w:r>
    </w:p>
    <w:p w14:paraId="7B3B43A2">
      <w:pPr>
        <w:spacing w:line="360" w:lineRule="auto"/>
        <w:ind w:firstLine="480" w:firstLineChars="200"/>
        <w:rPr>
          <w:bCs/>
          <w:sz w:val="24"/>
        </w:rPr>
      </w:pPr>
      <w:r>
        <w:rPr>
          <w:bCs/>
          <w:sz w:val="24"/>
        </w:rPr>
        <w:t>基金的投资组合应遵循以下限制：</w:t>
      </w:r>
    </w:p>
    <w:p w14:paraId="3FA900C8">
      <w:pPr>
        <w:spacing w:line="360" w:lineRule="auto"/>
        <w:ind w:firstLine="480" w:firstLineChars="200"/>
        <w:rPr>
          <w:rFonts w:hint="eastAsia"/>
          <w:sz w:val="24"/>
        </w:rPr>
      </w:pPr>
      <w:r>
        <w:rPr>
          <w:rFonts w:hint="eastAsia"/>
          <w:sz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08F58227">
      <w:pPr>
        <w:spacing w:line="360" w:lineRule="auto"/>
        <w:ind w:firstLine="480" w:firstLineChars="200"/>
        <w:rPr>
          <w:rFonts w:hint="eastAsia"/>
          <w:bCs/>
          <w:sz w:val="24"/>
        </w:rPr>
      </w:pPr>
      <w:r>
        <w:rPr>
          <w:rFonts w:hint="eastAsia"/>
          <w:sz w:val="24"/>
        </w:rPr>
        <w:t>（2）在开放期内，</w:t>
      </w:r>
      <w:r>
        <w:rPr>
          <w:bCs/>
          <w:sz w:val="24"/>
        </w:rPr>
        <w:t>本基金</w:t>
      </w:r>
      <w:r>
        <w:rPr>
          <w:rFonts w:hint="eastAsia"/>
          <w:bCs/>
          <w:sz w:val="24"/>
        </w:rPr>
        <w:t>持有现金或者到期日在一年以内的政府债券投资比例不低于基金资产净值的</w:t>
      </w:r>
      <w:r>
        <w:rPr>
          <w:bCs/>
          <w:sz w:val="24"/>
        </w:rPr>
        <w:t>5</w:t>
      </w:r>
      <w:r>
        <w:rPr>
          <w:rFonts w:hint="eastAsia"/>
          <w:bCs/>
          <w:sz w:val="24"/>
        </w:rPr>
        <w:t>%；在封闭期内，本基金不受上述5%的限制；其中，现金不包括结算备付金、存出保证金、应收申购款等；</w:t>
      </w:r>
    </w:p>
    <w:p w14:paraId="3F9A75F3">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14:paraId="17382FDA">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）本基金管理人管理的全部基金持有一家公司发行的证券，不超过该证券的10％；</w:t>
      </w:r>
    </w:p>
    <w:p w14:paraId="0CD9EA7A">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269A5E15">
      <w:pPr>
        <w:spacing w:line="360" w:lineRule="auto"/>
        <w:ind w:firstLine="480" w:firstLineChars="200"/>
        <w:rPr>
          <w:rFonts w:hint="eastAsia"/>
          <w:sz w:val="24"/>
        </w:rPr>
      </w:pPr>
      <w:r>
        <w:rPr>
          <w:rFonts w:hint="eastAsia"/>
          <w:sz w:val="24"/>
        </w:rPr>
        <w:t>（6）本基金投资于同一原始权益人的各类资产支持证券的比例，不得超过基金资产净值的10％；</w:t>
      </w:r>
    </w:p>
    <w:p w14:paraId="0F4EBCC9">
      <w:pPr>
        <w:spacing w:line="360" w:lineRule="auto"/>
        <w:ind w:firstLine="480" w:firstLineChars="200"/>
        <w:rPr>
          <w:rFonts w:hint="eastAsia"/>
          <w:sz w:val="24"/>
        </w:rPr>
      </w:pPr>
      <w:r>
        <w:rPr>
          <w:rFonts w:hint="eastAsia"/>
          <w:sz w:val="24"/>
        </w:rPr>
        <w:t>（7）本基金持有的全部资产支持证券，其市值不得超过基金资产净值的20％；</w:t>
      </w:r>
    </w:p>
    <w:p w14:paraId="2ABDB0A6">
      <w:pPr>
        <w:spacing w:line="360" w:lineRule="auto"/>
        <w:ind w:firstLine="480" w:firstLineChars="200"/>
        <w:rPr>
          <w:rFonts w:hint="eastAsia"/>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4C1C3539">
      <w:pPr>
        <w:spacing w:line="360" w:lineRule="auto"/>
        <w:ind w:firstLine="480" w:firstLineChars="200"/>
        <w:rPr>
          <w:rFonts w:hint="eastAsia"/>
          <w:sz w:val="24"/>
        </w:rPr>
      </w:pPr>
      <w:r>
        <w:rPr>
          <w:rFonts w:hint="eastAsia"/>
          <w:sz w:val="24"/>
        </w:rPr>
        <w:t>（9）本基金管理人管理的全部基金投资于同一原始权益人的各类资产支持证券，不得超过其各类资产支持证券合计规模的10％；</w:t>
      </w:r>
    </w:p>
    <w:p w14:paraId="073659FC">
      <w:pPr>
        <w:spacing w:line="360" w:lineRule="auto"/>
        <w:ind w:firstLine="480" w:firstLineChars="200"/>
        <w:rPr>
          <w:rFonts w:hint="eastAsia"/>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746A7549">
      <w:pPr>
        <w:spacing w:line="360" w:lineRule="auto"/>
        <w:ind w:firstLine="480" w:firstLineChars="200"/>
        <w:rPr>
          <w:rFonts w:hint="eastAsia"/>
          <w:sz w:val="24"/>
        </w:rPr>
      </w:pPr>
      <w:r>
        <w:rPr>
          <w:rFonts w:hint="eastAsia"/>
          <w:sz w:val="24"/>
        </w:rPr>
        <w:t>（11）本基金投资于中小企业私募债券比例合计不高于基金资产的10%；</w:t>
      </w:r>
    </w:p>
    <w:p w14:paraId="469C33A4">
      <w:pPr>
        <w:spacing w:line="360" w:lineRule="auto"/>
        <w:ind w:firstLine="480" w:firstLineChars="200"/>
        <w:rPr>
          <w:rFonts w:hint="eastAsia"/>
          <w:bCs/>
          <w:sz w:val="24"/>
        </w:rPr>
      </w:pPr>
      <w:r>
        <w:rPr>
          <w:rFonts w:hint="eastAsia"/>
          <w:bCs/>
          <w:sz w:val="24"/>
        </w:rPr>
        <w:t>（12）开放期内，本基金资产总值不得超过基金资产净值的140%；封闭期内，本基金资产总值不得超过基金资产净值的200%；</w:t>
      </w:r>
    </w:p>
    <w:p w14:paraId="31CB4659">
      <w:pPr>
        <w:spacing w:line="360" w:lineRule="auto"/>
        <w:ind w:firstLine="480" w:firstLineChars="200"/>
        <w:rPr>
          <w:rFonts w:hint="eastAsia"/>
          <w:bCs/>
          <w:sz w:val="24"/>
        </w:rPr>
      </w:pPr>
      <w:r>
        <w:rPr>
          <w:rFonts w:hint="eastAsia"/>
          <w:bCs/>
          <w:sz w:val="24"/>
        </w:rPr>
        <w:t>（13）开放期内，本基金主动投资于流动性受限资产的市值合计不得超过本基金资产净值的15%；封闭期不受此限。</w:t>
      </w:r>
    </w:p>
    <w:p w14:paraId="7B091FA2">
      <w:pPr>
        <w:spacing w:line="360" w:lineRule="auto"/>
        <w:ind w:firstLine="480" w:firstLineChars="200"/>
        <w:rPr>
          <w:rFonts w:hint="eastAsia"/>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0F8854FA">
      <w:pPr>
        <w:spacing w:line="360" w:lineRule="auto"/>
        <w:ind w:firstLine="480" w:firstLineChars="200"/>
        <w:rPr>
          <w:rFonts w:hint="eastAsia"/>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4F9887F7">
      <w:pPr>
        <w:spacing w:line="360" w:lineRule="auto"/>
        <w:ind w:firstLine="480" w:firstLineChars="200"/>
        <w:rPr>
          <w:rFonts w:hint="eastAsia"/>
          <w:bCs/>
          <w:sz w:val="24"/>
        </w:rPr>
      </w:pPr>
      <w:r>
        <w:rPr>
          <w:bCs/>
          <w:sz w:val="24"/>
        </w:rPr>
        <w:t>（</w:t>
      </w:r>
      <w:r>
        <w:rPr>
          <w:rFonts w:hint="eastAsia"/>
          <w:bCs/>
          <w:sz w:val="24"/>
        </w:rPr>
        <w:t>15</w:t>
      </w:r>
      <w:r>
        <w:rPr>
          <w:bCs/>
          <w:sz w:val="24"/>
        </w:rPr>
        <w:t>）</w:t>
      </w:r>
      <w:r>
        <w:rPr>
          <w:rFonts w:hint="eastAsia"/>
          <w:bCs/>
          <w:sz w:val="24"/>
        </w:rPr>
        <w:t>法律法规及中国证监会规定的和《基金合同》约定的其他投资限制。</w:t>
      </w:r>
    </w:p>
    <w:p w14:paraId="46EFCF6D">
      <w:pPr>
        <w:spacing w:line="360" w:lineRule="auto"/>
        <w:ind w:firstLine="600" w:firstLineChars="250"/>
        <w:rPr>
          <w:bCs/>
        </w:rPr>
      </w:pPr>
      <w:r>
        <w:rPr>
          <w:rFonts w:hint="eastAsia"/>
          <w:bCs/>
          <w:sz w:val="24"/>
        </w:rPr>
        <w:t>除上述第（2）、（10）、（1</w:t>
      </w:r>
      <w:r>
        <w:rPr>
          <w:bCs/>
          <w:sz w:val="24"/>
        </w:rPr>
        <w:t>3</w:t>
      </w:r>
      <w:r>
        <w:rPr>
          <w:rFonts w:hint="eastAsia"/>
          <w:bCs/>
          <w:sz w:val="24"/>
        </w:rPr>
        <w:t>）、（1</w:t>
      </w:r>
      <w:r>
        <w:rPr>
          <w:bCs/>
          <w:sz w:val="24"/>
        </w:rPr>
        <w:t>4</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，但中国证监会规定的特殊情形除外</w:t>
      </w:r>
      <w:r>
        <w:rPr>
          <w:bCs/>
          <w:sz w:val="24"/>
        </w:rPr>
        <w:t>。</w:t>
      </w:r>
      <w:r>
        <w:rPr>
          <w:rFonts w:hint="eastAsia"/>
          <w:bCs/>
          <w:sz w:val="24"/>
        </w:rPr>
        <w:t>法律法规或监管机构另有规定的，从其规定。</w:t>
      </w:r>
    </w:p>
    <w:p w14:paraId="6C26A71F">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50C0D3CD">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4ACB4CD7">
      <w:pPr>
        <w:spacing w:line="360" w:lineRule="auto"/>
        <w:ind w:firstLine="480" w:firstLineChars="200"/>
        <w:rPr>
          <w:bCs/>
          <w:sz w:val="24"/>
        </w:rPr>
      </w:pPr>
      <w:r>
        <w:rPr>
          <w:bCs/>
          <w:sz w:val="24"/>
        </w:rPr>
        <w:t>2</w:t>
      </w:r>
      <w:r>
        <w:rPr>
          <w:rFonts w:hint="eastAsia"/>
          <w:bCs/>
          <w:sz w:val="24"/>
        </w:rPr>
        <w:t>、</w:t>
      </w:r>
      <w:r>
        <w:rPr>
          <w:bCs/>
          <w:sz w:val="24"/>
        </w:rPr>
        <w:t>禁止行为</w:t>
      </w:r>
    </w:p>
    <w:p w14:paraId="316A17CF">
      <w:pPr>
        <w:spacing w:line="360" w:lineRule="auto"/>
        <w:ind w:firstLine="480" w:firstLineChars="200"/>
        <w:rPr>
          <w:bCs/>
          <w:sz w:val="24"/>
        </w:rPr>
      </w:pPr>
      <w:r>
        <w:rPr>
          <w:bCs/>
          <w:sz w:val="24"/>
        </w:rPr>
        <w:t>为维护基金份额持有人的合法权益，基金财产不得用于下列投资或者活动：</w:t>
      </w:r>
    </w:p>
    <w:p w14:paraId="07D49B9E">
      <w:pPr>
        <w:spacing w:line="360" w:lineRule="auto"/>
        <w:ind w:firstLine="480" w:firstLineChars="200"/>
        <w:rPr>
          <w:bCs/>
          <w:sz w:val="24"/>
        </w:rPr>
      </w:pPr>
      <w:r>
        <w:rPr>
          <w:bCs/>
          <w:sz w:val="24"/>
        </w:rPr>
        <w:t>（1）承销证券；</w:t>
      </w:r>
    </w:p>
    <w:p w14:paraId="764512D1">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3B8366F5">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0C975C33">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71BC7E38">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14:paraId="1A9CF1CA">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4D89F71C">
      <w:pPr>
        <w:spacing w:line="360" w:lineRule="auto"/>
        <w:ind w:firstLine="480" w:firstLineChars="200"/>
        <w:rPr>
          <w:rFonts w:hint="eastAsia"/>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34B98BEF">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7104AF7">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2296F657">
      <w:pPr>
        <w:spacing w:line="360" w:lineRule="auto"/>
        <w:ind w:firstLine="480" w:firstLineChars="200"/>
        <w:rPr>
          <w:bCs/>
          <w:sz w:val="24"/>
        </w:rPr>
      </w:pPr>
      <w:r>
        <w:rPr>
          <w:bCs/>
          <w:sz w:val="24"/>
        </w:rPr>
        <w:t>五、业绩比较基准</w:t>
      </w:r>
    </w:p>
    <w:p w14:paraId="332A84A2">
      <w:pPr>
        <w:spacing w:line="360" w:lineRule="auto"/>
        <w:ind w:firstLine="480" w:firstLineChars="200"/>
        <w:rPr>
          <w:rFonts w:hint="eastAsia"/>
          <w:bCs/>
          <w:sz w:val="24"/>
        </w:rPr>
      </w:pPr>
      <w:r>
        <w:rPr>
          <w:rFonts w:hint="eastAsia"/>
          <w:bCs/>
          <w:sz w:val="24"/>
        </w:rPr>
        <w:t>本基金的业绩比较基准为：</w:t>
      </w:r>
      <w:r>
        <w:rPr>
          <w:rFonts w:hint="eastAsia"/>
          <w:sz w:val="24"/>
          <w:szCs w:val="24"/>
        </w:rPr>
        <w:t>中债-国债及政策性银行债财富(总值)指数收益率*95%+活期存款基准利率*5%</w:t>
      </w:r>
      <w:r>
        <w:rPr>
          <w:rFonts w:hint="eastAsia"/>
          <w:bCs/>
          <w:sz w:val="24"/>
        </w:rPr>
        <w:t>。</w:t>
      </w:r>
    </w:p>
    <w:p w14:paraId="480D5DEA">
      <w:pPr>
        <w:spacing w:line="360" w:lineRule="auto"/>
        <w:ind w:firstLine="480" w:firstLineChars="200"/>
        <w:rPr>
          <w:rFonts w:hint="eastAsia"/>
          <w:sz w:val="24"/>
          <w:szCs w:val="24"/>
        </w:rPr>
      </w:pPr>
      <w:r>
        <w:rPr>
          <w:rFonts w:hint="eastAsia"/>
          <w:sz w:val="24"/>
          <w:szCs w:val="24"/>
        </w:rPr>
        <w:t>1、业绩比较基准的设定原因</w:t>
      </w:r>
    </w:p>
    <w:p w14:paraId="775477E0">
      <w:pPr>
        <w:spacing w:line="360" w:lineRule="auto"/>
        <w:ind w:firstLine="480" w:firstLineChars="200"/>
        <w:rPr>
          <w:rFonts w:hint="eastAsia"/>
          <w:sz w:val="24"/>
          <w:szCs w:val="24"/>
        </w:rPr>
      </w:pPr>
      <w:r>
        <w:rPr>
          <w:rFonts w:hint="eastAsia"/>
          <w:sz w:val="24"/>
          <w:szCs w:val="24"/>
        </w:rPr>
        <w:t>（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本基金在投资运作中需保持一定比例的现金类资产，基于基金合同对现金类资产的投资比例要求，相应将现金类资产所对应的基准要素权重设置为5%。</w:t>
      </w:r>
    </w:p>
    <w:p w14:paraId="5A7C317D">
      <w:pPr>
        <w:spacing w:line="360" w:lineRule="auto"/>
        <w:ind w:firstLine="480" w:firstLineChars="200"/>
        <w:rPr>
          <w:rFonts w:hint="eastAsia"/>
          <w:sz w:val="24"/>
          <w:szCs w:val="24"/>
        </w:rPr>
      </w:pPr>
      <w:r>
        <w:rPr>
          <w:rFonts w:hint="eastAsia"/>
          <w:sz w:val="24"/>
          <w:szCs w:val="24"/>
        </w:rPr>
        <w:t>（2）基于本基金的投资目标、投资范围和投资策略，本基金的债券资产主要通过类属配置、久期配置、个券选择等进行投资管理。综合考虑基准指数与产品定位和投资风格的匹配度，同时兼顾考虑基准指数的表征性、认可度，以及基准指数券种、久期等，选取中债-国债及政策性银行债财富（总值）指数作为债券部分的业绩比较基准要素。</w:t>
      </w:r>
    </w:p>
    <w:p w14:paraId="5EB36216">
      <w:pPr>
        <w:spacing w:line="360" w:lineRule="auto"/>
        <w:ind w:firstLine="480" w:firstLineChars="200"/>
        <w:rPr>
          <w:rFonts w:hint="eastAsia"/>
          <w:sz w:val="24"/>
          <w:szCs w:val="24"/>
        </w:rPr>
      </w:pPr>
      <w:r>
        <w:rPr>
          <w:rFonts w:hint="eastAsia"/>
          <w:sz w:val="24"/>
          <w:szCs w:val="24"/>
        </w:rPr>
        <w:t>中债-国债及政策性银行债财富（总值）指数隶属于中债总指数族，该指数成</w:t>
      </w:r>
      <w:r>
        <w:rPr>
          <w:rFonts w:hint="eastAsia"/>
          <w:sz w:val="24"/>
          <w:szCs w:val="24"/>
          <w:lang w:eastAsia="zh-CN"/>
        </w:rPr>
        <w:t>份</w:t>
      </w:r>
      <w:r>
        <w:rPr>
          <w:rFonts w:hint="eastAsia"/>
          <w:sz w:val="24"/>
          <w:szCs w:val="24"/>
        </w:rPr>
        <w:t>券由在全国银行间债券市场上市且公开发行的国债和政策性银行债组成，适合作为本基金债券部分的业绩比较基准要素。</w:t>
      </w:r>
    </w:p>
    <w:p w14:paraId="2DBAFB63">
      <w:pPr>
        <w:spacing w:line="360" w:lineRule="auto"/>
        <w:ind w:firstLine="480" w:firstLineChars="200"/>
        <w:rPr>
          <w:rFonts w:hint="eastAsia"/>
          <w:sz w:val="24"/>
          <w:szCs w:val="24"/>
        </w:rPr>
      </w:pPr>
      <w:r>
        <w:rPr>
          <w:rFonts w:hint="eastAsia"/>
          <w:sz w:val="24"/>
          <w:szCs w:val="24"/>
        </w:rPr>
        <w:t>（3）本基金将活期存款基准利率纳入业绩比较基准，对应基金投资的现金类资产，该业绩比较基准要素能准确反映现金类资产的无风险收益水平，与基金现金类资产的投资收益特征高度匹配。</w:t>
      </w:r>
    </w:p>
    <w:p w14:paraId="53EF8E0F">
      <w:pPr>
        <w:spacing w:line="360" w:lineRule="auto"/>
        <w:ind w:firstLine="480" w:firstLineChars="200"/>
        <w:rPr>
          <w:rFonts w:hint="eastAsia"/>
          <w:sz w:val="24"/>
          <w:szCs w:val="24"/>
        </w:rPr>
      </w:pPr>
      <w:r>
        <w:rPr>
          <w:rFonts w:hint="eastAsia"/>
          <w:sz w:val="24"/>
          <w:szCs w:val="24"/>
        </w:rPr>
        <w:t>综上，本基金选取的业绩比较基准与基金投资目标、投资范围、投资策略、投资比例限制相匹配。</w:t>
      </w:r>
    </w:p>
    <w:p w14:paraId="0D831182">
      <w:pPr>
        <w:spacing w:line="360" w:lineRule="auto"/>
        <w:ind w:firstLine="480" w:firstLineChars="200"/>
        <w:rPr>
          <w:rFonts w:hint="eastAsia"/>
          <w:sz w:val="24"/>
          <w:szCs w:val="24"/>
        </w:rPr>
      </w:pPr>
      <w:r>
        <w:rPr>
          <w:rFonts w:hint="eastAsia"/>
          <w:sz w:val="24"/>
          <w:szCs w:val="24"/>
        </w:rPr>
        <w:t>2、业绩比较基准要素的基本信息</w:t>
      </w:r>
    </w:p>
    <w:p w14:paraId="76BC8D26">
      <w:pPr>
        <w:spacing w:line="360" w:lineRule="auto"/>
        <w:ind w:firstLine="480" w:firstLineChars="200"/>
        <w:rPr>
          <w:rFonts w:hint="eastAsia"/>
          <w:sz w:val="24"/>
          <w:szCs w:val="24"/>
        </w:rPr>
      </w:pPr>
      <w:r>
        <w:rPr>
          <w:rFonts w:hint="eastAsia"/>
          <w:sz w:val="24"/>
          <w:szCs w:val="24"/>
        </w:rPr>
        <w:t>中债-国债及政策性银行债财富（总值）指数由中债金融估值中心有限公司编制发布，指数代码为CBA05801,指数具体信息详见中国债券信息网，网址：www.chinabond.com.cn。</w:t>
      </w:r>
    </w:p>
    <w:p w14:paraId="49C14DBA">
      <w:pPr>
        <w:spacing w:line="360" w:lineRule="auto"/>
        <w:ind w:firstLine="480" w:firstLineChars="200"/>
        <w:rPr>
          <w:rFonts w:hint="eastAsia"/>
          <w:sz w:val="24"/>
          <w:szCs w:val="24"/>
        </w:rPr>
      </w:pPr>
      <w:r>
        <w:rPr>
          <w:rFonts w:hint="eastAsia"/>
          <w:sz w:val="24"/>
          <w:szCs w:val="24"/>
        </w:rPr>
        <w:t>活期存款基准利率由中国人民银行发布，具体信息详见中国人民银行网站，网址：www.pbc.gov.cn。</w:t>
      </w:r>
    </w:p>
    <w:p w14:paraId="610E584C">
      <w:pPr>
        <w:spacing w:line="360" w:lineRule="auto"/>
        <w:ind w:firstLine="480" w:firstLineChars="200"/>
        <w:rPr>
          <w:rFonts w:hint="eastAsia"/>
          <w:sz w:val="24"/>
          <w:szCs w:val="24"/>
        </w:rPr>
      </w:pPr>
      <w:r>
        <w:rPr>
          <w:rFonts w:hint="eastAsia"/>
          <w:sz w:val="24"/>
          <w:szCs w:val="24"/>
        </w:rPr>
        <w:t>3、业绩比较基准的计算方法</w:t>
      </w:r>
    </w:p>
    <w:p w14:paraId="12E22FEB">
      <w:pPr>
        <w:spacing w:line="360" w:lineRule="auto"/>
        <w:ind w:firstLine="480" w:firstLineChars="200"/>
        <w:rPr>
          <w:rFonts w:hint="eastAsia"/>
          <w:sz w:val="24"/>
          <w:szCs w:val="24"/>
        </w:rPr>
      </w:pPr>
      <w:r>
        <w:rPr>
          <w:rFonts w:hint="eastAsia"/>
          <w:sz w:val="24"/>
          <w:szCs w:val="24"/>
        </w:rPr>
        <w:t>本基金业绩比较基准收益率的计算方法以每日收益率为基础，以时间加权为计算原则。本基金先分别计算业绩比较基准中中债-国债及政策性银行债财富（总值）指数和活期存款基准利率的每日收益率，再按照预设权重比例计算当日组合要素基准的日收益率，并连乘每日收益率。</w:t>
      </w:r>
    </w:p>
    <w:p w14:paraId="4FFEAA5C">
      <w:pPr>
        <w:spacing w:line="360" w:lineRule="auto"/>
        <w:ind w:firstLine="480" w:firstLineChars="200"/>
        <w:rPr>
          <w:rFonts w:hint="eastAsia"/>
          <w:sz w:val="24"/>
          <w:szCs w:val="24"/>
        </w:rPr>
      </w:pPr>
      <w:r>
        <w:rPr>
          <w:rFonts w:hint="eastAsia"/>
          <w:sz w:val="24"/>
          <w:szCs w:val="24"/>
        </w:rPr>
        <w:t>4、管理投资偏离业绩比较基准的定性或定量方法</w:t>
      </w:r>
    </w:p>
    <w:p w14:paraId="073B53F4">
      <w:pPr>
        <w:spacing w:line="360" w:lineRule="auto"/>
        <w:ind w:firstLine="480" w:firstLineChars="200"/>
        <w:rPr>
          <w:rFonts w:hint="eastAsia"/>
          <w:sz w:val="24"/>
          <w:szCs w:val="24"/>
        </w:rPr>
      </w:pPr>
      <w:r>
        <w:rPr>
          <w:rFonts w:hint="eastAsia"/>
          <w:sz w:val="24"/>
          <w:szCs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19863BD2">
      <w:pPr>
        <w:spacing w:line="360" w:lineRule="auto"/>
        <w:ind w:firstLine="480" w:firstLineChars="200"/>
        <w:rPr>
          <w:rFonts w:hint="eastAsia"/>
          <w:sz w:val="24"/>
          <w:szCs w:val="24"/>
        </w:rPr>
      </w:pPr>
      <w:r>
        <w:rPr>
          <w:rFonts w:hint="eastAsia"/>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28087A5F">
      <w:pPr>
        <w:spacing w:line="360" w:lineRule="auto"/>
        <w:ind w:firstLine="480" w:firstLineChars="200"/>
        <w:rPr>
          <w:rFonts w:hint="eastAsia"/>
          <w:sz w:val="24"/>
          <w:szCs w:val="24"/>
        </w:rPr>
      </w:pPr>
      <w:r>
        <w:rPr>
          <w:rFonts w:hint="eastAsia"/>
          <w:sz w:val="24"/>
          <w:szCs w:val="24"/>
        </w:rPr>
        <w:t>5、未来可能变更业绩比较基准的情况和程序</w:t>
      </w:r>
    </w:p>
    <w:p w14:paraId="6F0995F6">
      <w:pPr>
        <w:spacing w:line="360" w:lineRule="auto"/>
        <w:ind w:firstLine="480" w:firstLineChars="200"/>
        <w:rPr>
          <w:rFonts w:hint="eastAsia"/>
          <w:sz w:val="24"/>
          <w:szCs w:val="24"/>
        </w:rPr>
      </w:pPr>
      <w:r>
        <w:rPr>
          <w:rFonts w:hint="eastAsia"/>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415F903">
      <w:pPr>
        <w:spacing w:line="360" w:lineRule="auto"/>
        <w:ind w:firstLine="480" w:firstLineChars="200"/>
        <w:rPr>
          <w:rFonts w:hint="eastAsia"/>
          <w:sz w:val="24"/>
          <w:szCs w:val="24"/>
        </w:rPr>
      </w:pPr>
      <w:r>
        <w:rPr>
          <w:rFonts w:hint="eastAsia"/>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138C7816">
      <w:pPr>
        <w:spacing w:line="360" w:lineRule="auto"/>
        <w:ind w:firstLine="480" w:firstLineChars="200"/>
        <w:rPr>
          <w:rFonts w:hint="eastAsia"/>
          <w:sz w:val="24"/>
          <w:szCs w:val="24"/>
        </w:rPr>
      </w:pPr>
      <w:r>
        <w:rPr>
          <w:rFonts w:hint="eastAsia"/>
          <w:sz w:val="24"/>
          <w:szCs w:val="24"/>
        </w:rPr>
        <w:t>（2）调整业绩比较基准的要素权重、更换相同或相近特征的要素等，使新业绩比较基准代表性更强，且符合相关法律法规规定的；</w:t>
      </w:r>
    </w:p>
    <w:p w14:paraId="6EC0DF78">
      <w:pPr>
        <w:spacing w:line="360" w:lineRule="auto"/>
        <w:ind w:firstLine="480" w:firstLineChars="200"/>
        <w:rPr>
          <w:rFonts w:hint="eastAsia"/>
          <w:sz w:val="24"/>
          <w:szCs w:val="24"/>
        </w:rPr>
      </w:pPr>
      <w:r>
        <w:rPr>
          <w:rFonts w:hint="eastAsia"/>
          <w:sz w:val="24"/>
          <w:szCs w:val="24"/>
        </w:rPr>
        <w:t>（3）中国证监会认可的其他情形。</w:t>
      </w:r>
    </w:p>
    <w:p w14:paraId="7C74EDF9">
      <w:pPr>
        <w:spacing w:line="360" w:lineRule="auto"/>
        <w:ind w:firstLine="480" w:firstLineChars="200"/>
        <w:rPr>
          <w:rFonts w:hint="eastAsia"/>
          <w:sz w:val="24"/>
          <w:szCs w:val="24"/>
        </w:rPr>
      </w:pPr>
      <w:r>
        <w:rPr>
          <w:rFonts w:hint="eastAsia"/>
          <w:sz w:val="24"/>
          <w:szCs w:val="24"/>
        </w:rPr>
        <w:t>业绩比较基准变更涉及以下情形的，基金管理人应当按照规定履行变更注册、召开基金份额持有人大会等程序，法律法规、中国证监会另有规定的除外：</w:t>
      </w:r>
    </w:p>
    <w:p w14:paraId="32472DDB">
      <w:pPr>
        <w:spacing w:line="360" w:lineRule="auto"/>
        <w:ind w:firstLine="480" w:firstLineChars="200"/>
        <w:rPr>
          <w:rFonts w:hint="eastAsia"/>
          <w:sz w:val="24"/>
          <w:szCs w:val="24"/>
        </w:rPr>
      </w:pPr>
      <w:r>
        <w:rPr>
          <w:rFonts w:hint="eastAsia"/>
          <w:sz w:val="24"/>
          <w:szCs w:val="24"/>
        </w:rPr>
        <w:t>（1）基金投资目标、投资范围、投资策略、投资比例等拟进行重大调整，并变更业绩比较基准的；</w:t>
      </w:r>
    </w:p>
    <w:p w14:paraId="7A4C26BF">
      <w:pPr>
        <w:spacing w:line="360" w:lineRule="auto"/>
        <w:ind w:firstLine="480" w:firstLineChars="200"/>
        <w:rPr>
          <w:sz w:val="24"/>
        </w:rPr>
      </w:pPr>
      <w:r>
        <w:rPr>
          <w:rFonts w:hint="eastAsia"/>
          <w:sz w:val="24"/>
          <w:szCs w:val="24"/>
        </w:rPr>
        <w:t>（2）其他对基金份额持有人利益产生重大实质性影响的情形。</w:t>
      </w:r>
    </w:p>
    <w:p w14:paraId="735A8863">
      <w:pPr>
        <w:spacing w:line="360" w:lineRule="auto"/>
        <w:ind w:firstLine="480" w:firstLineChars="200"/>
        <w:rPr>
          <w:rFonts w:hint="eastAsia"/>
          <w:bCs/>
          <w:sz w:val="24"/>
        </w:rPr>
      </w:pPr>
      <w:r>
        <w:rPr>
          <w:bCs/>
          <w:sz w:val="24"/>
        </w:rPr>
        <w:t>六、风险收益特征</w:t>
      </w:r>
    </w:p>
    <w:p w14:paraId="09F9A895">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6522BC19">
      <w:pPr>
        <w:spacing w:line="360" w:lineRule="auto"/>
        <w:ind w:firstLine="480" w:firstLineChars="200"/>
        <w:rPr>
          <w:rFonts w:hint="eastAsia"/>
          <w:bCs/>
          <w:sz w:val="24"/>
        </w:rPr>
      </w:pPr>
      <w:r>
        <w:rPr>
          <w:rFonts w:hint="eastAsia"/>
          <w:bCs/>
          <w:sz w:val="24"/>
        </w:rPr>
        <w:t>七、基金管理人代表基金行使相关权利的处理原则及方法</w:t>
      </w:r>
    </w:p>
    <w:p w14:paraId="354123D9">
      <w:pPr>
        <w:spacing w:line="360" w:lineRule="auto"/>
        <w:ind w:firstLine="480" w:firstLineChars="200"/>
        <w:rPr>
          <w:rFonts w:hint="eastAsia"/>
          <w:bCs/>
          <w:sz w:val="24"/>
        </w:rPr>
      </w:pPr>
      <w:r>
        <w:rPr>
          <w:rFonts w:hint="eastAsia"/>
          <w:bCs/>
          <w:sz w:val="24"/>
        </w:rPr>
        <w:t>1、基金管理人按照国家有关规定代表基金独立行使相关权利，保护基金份额持有人的利益；</w:t>
      </w:r>
    </w:p>
    <w:p w14:paraId="18340B74">
      <w:pPr>
        <w:spacing w:line="360" w:lineRule="auto"/>
        <w:ind w:firstLine="480" w:firstLineChars="200"/>
        <w:rPr>
          <w:rFonts w:hint="eastAsia"/>
          <w:bCs/>
          <w:sz w:val="24"/>
        </w:rPr>
      </w:pPr>
      <w:r>
        <w:rPr>
          <w:rFonts w:hint="eastAsia"/>
          <w:bCs/>
          <w:sz w:val="24"/>
        </w:rPr>
        <w:t>2、有利于基金财产的安全与增值；</w:t>
      </w:r>
    </w:p>
    <w:p w14:paraId="053B9742">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15A43711">
      <w:pPr>
        <w:spacing w:line="360" w:lineRule="auto"/>
        <w:ind w:firstLine="480" w:firstLineChars="200"/>
        <w:rPr>
          <w:bCs/>
          <w:sz w:val="24"/>
        </w:rPr>
      </w:pPr>
      <w:r>
        <w:rPr>
          <w:rFonts w:hint="eastAsia"/>
          <w:bCs/>
          <w:sz w:val="24"/>
        </w:rPr>
        <w:t>八、侧袋机制的实施和投资运作安排</w:t>
      </w:r>
    </w:p>
    <w:p w14:paraId="24C94464">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1CD93B8">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71EA85EA">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1825CCA2">
      <w:pPr>
        <w:spacing w:line="360" w:lineRule="auto"/>
        <w:ind w:firstLine="480" w:firstLineChars="200"/>
        <w:rPr>
          <w:bCs/>
          <w:sz w:val="24"/>
        </w:rPr>
      </w:pPr>
    </w:p>
    <w:p w14:paraId="5BDB9EB0">
      <w:pPr>
        <w:rPr>
          <w:bCs/>
          <w:sz w:val="24"/>
        </w:rPr>
      </w:pPr>
    </w:p>
    <w:p w14:paraId="2FF3ACA4">
      <w:pPr>
        <w:pStyle w:val="2"/>
        <w:spacing w:before="0" w:after="0"/>
        <w:jc w:val="center"/>
        <w:rPr>
          <w:rFonts w:ascii="Times New Roman"/>
          <w:color w:val="auto"/>
          <w:sz w:val="30"/>
        </w:rPr>
      </w:pPr>
      <w:r>
        <w:rPr>
          <w:rFonts w:ascii="Times New Roman"/>
          <w:b w:val="0"/>
          <w:bCs/>
          <w:color w:val="auto"/>
          <w:kern w:val="44"/>
          <w:sz w:val="21"/>
        </w:rPr>
        <w:br w:type="page"/>
      </w:r>
      <w:bookmarkStart w:id="276" w:name="_Toc93226145"/>
      <w:bookmarkStart w:id="277" w:name="_Toc92662704"/>
      <w:bookmarkStart w:id="278" w:name="_Toc26114"/>
      <w:bookmarkStart w:id="279" w:name="_Toc18000"/>
      <w:bookmarkStart w:id="280" w:name="_Toc139991743"/>
      <w:bookmarkStart w:id="281" w:name="_Toc21642"/>
      <w:bookmarkStart w:id="282" w:name="_Toc29561"/>
      <w:bookmarkStart w:id="283" w:name="_Toc20782"/>
      <w:bookmarkStart w:id="284" w:name="_Toc24474"/>
      <w:bookmarkStart w:id="285" w:name="_Toc128310496"/>
      <w:bookmarkStart w:id="286" w:name="_Toc3054"/>
      <w:bookmarkStart w:id="287" w:name="_Toc435642209"/>
      <w:bookmarkStart w:id="288" w:name="_Toc1210355092"/>
      <w:bookmarkStart w:id="289" w:name="_Toc32030"/>
      <w:bookmarkStart w:id="290" w:name="_Toc141703893"/>
      <w:bookmarkStart w:id="291" w:name="_Toc31611"/>
      <w:bookmarkStart w:id="292" w:name="_Toc20102"/>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276"/>
      <w:bookmarkEnd w:id="277"/>
      <w:r>
        <w:rPr>
          <w:rFonts w:ascii="Times New Roman"/>
          <w:color w:val="auto"/>
          <w:sz w:val="30"/>
        </w:rPr>
        <w:t>的财产</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0037BA82">
      <w:pPr>
        <w:spacing w:line="360" w:lineRule="auto"/>
        <w:ind w:firstLine="480" w:firstLineChars="200"/>
        <w:rPr>
          <w:bCs/>
          <w:sz w:val="24"/>
        </w:rPr>
      </w:pPr>
    </w:p>
    <w:p w14:paraId="709A78CB">
      <w:pPr>
        <w:spacing w:line="360" w:lineRule="auto"/>
        <w:ind w:firstLine="480" w:firstLineChars="200"/>
        <w:rPr>
          <w:bCs/>
          <w:sz w:val="24"/>
        </w:rPr>
      </w:pPr>
      <w:r>
        <w:rPr>
          <w:bCs/>
          <w:sz w:val="24"/>
        </w:rPr>
        <w:t>一、基金资产总值</w:t>
      </w:r>
    </w:p>
    <w:p w14:paraId="136D034A">
      <w:pPr>
        <w:spacing w:line="360" w:lineRule="auto"/>
        <w:ind w:firstLine="480" w:firstLineChars="200"/>
        <w:rPr>
          <w:rFonts w:hint="eastAsia"/>
          <w:bCs/>
          <w:sz w:val="24"/>
        </w:rPr>
      </w:pPr>
      <w:r>
        <w:rPr>
          <w:rFonts w:hint="eastAsia"/>
          <w:bCs/>
          <w:sz w:val="24"/>
        </w:rPr>
        <w:t>基金资产总值是指基金拥有的各类有价证券、银行存款本息和基金应收款项以及其他资产的价值总和。</w:t>
      </w:r>
    </w:p>
    <w:p w14:paraId="20BE2236">
      <w:pPr>
        <w:spacing w:line="360" w:lineRule="auto"/>
        <w:ind w:firstLine="480" w:firstLineChars="200"/>
        <w:rPr>
          <w:bCs/>
          <w:sz w:val="24"/>
        </w:rPr>
      </w:pPr>
      <w:r>
        <w:rPr>
          <w:bCs/>
          <w:sz w:val="24"/>
        </w:rPr>
        <w:t>二、基金资产净值</w:t>
      </w:r>
    </w:p>
    <w:p w14:paraId="3D18BD42">
      <w:pPr>
        <w:spacing w:line="360" w:lineRule="auto"/>
        <w:ind w:firstLine="480" w:firstLineChars="200"/>
        <w:rPr>
          <w:bCs/>
          <w:sz w:val="24"/>
        </w:rPr>
      </w:pPr>
      <w:r>
        <w:rPr>
          <w:bCs/>
          <w:sz w:val="24"/>
        </w:rPr>
        <w:t>基金资产净值是指基金资产总值减去基金负债后的价值。</w:t>
      </w:r>
    </w:p>
    <w:p w14:paraId="5E911C7E">
      <w:pPr>
        <w:spacing w:line="360" w:lineRule="auto"/>
        <w:ind w:firstLine="480" w:firstLineChars="200"/>
        <w:rPr>
          <w:bCs/>
          <w:sz w:val="24"/>
        </w:rPr>
      </w:pPr>
      <w:r>
        <w:rPr>
          <w:bCs/>
          <w:sz w:val="24"/>
        </w:rPr>
        <w:t>三、基金财产的账户</w:t>
      </w:r>
    </w:p>
    <w:p w14:paraId="38C87A0B">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293" w:name="_Hlt88841837"/>
      <w:bookmarkEnd w:id="293"/>
    </w:p>
    <w:p w14:paraId="6F5D9F7F">
      <w:pPr>
        <w:spacing w:line="360" w:lineRule="auto"/>
        <w:ind w:firstLine="480" w:firstLineChars="200"/>
        <w:rPr>
          <w:bCs/>
          <w:sz w:val="24"/>
        </w:rPr>
      </w:pPr>
      <w:r>
        <w:rPr>
          <w:bCs/>
          <w:sz w:val="24"/>
        </w:rPr>
        <w:t>四、基金财产的保管和处分</w:t>
      </w:r>
      <w:bookmarkStart w:id="294" w:name="_Hlt88900062"/>
      <w:bookmarkEnd w:id="294"/>
    </w:p>
    <w:p w14:paraId="518AAC53">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C10B07F">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7B4B6677">
      <w:pPr>
        <w:pStyle w:val="2"/>
        <w:spacing w:before="0" w:after="0"/>
        <w:jc w:val="center"/>
        <w:rPr>
          <w:rFonts w:ascii="Times New Roman"/>
          <w:color w:val="auto"/>
          <w:sz w:val="30"/>
        </w:rPr>
      </w:pPr>
      <w:r>
        <w:rPr>
          <w:rFonts w:ascii="Times New Roman"/>
          <w:b w:val="0"/>
          <w:bCs/>
          <w:color w:val="auto"/>
          <w:kern w:val="44"/>
          <w:sz w:val="21"/>
        </w:rPr>
        <w:br w:type="page"/>
      </w:r>
      <w:bookmarkStart w:id="295" w:name="_Toc19714"/>
      <w:bookmarkStart w:id="296" w:name="_Toc435642210"/>
      <w:bookmarkStart w:id="297" w:name="_Toc27832"/>
      <w:bookmarkStart w:id="298" w:name="_Toc871"/>
      <w:bookmarkStart w:id="299" w:name="_Toc17782"/>
      <w:bookmarkStart w:id="300" w:name="_Toc7802"/>
      <w:bookmarkStart w:id="301" w:name="_Toc31917"/>
      <w:bookmarkStart w:id="302" w:name="_Toc569540626"/>
      <w:bookmarkStart w:id="303" w:name="_Toc139991744"/>
      <w:bookmarkStart w:id="304" w:name="_Toc14170389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295"/>
      <w:bookmarkEnd w:id="296"/>
      <w:bookmarkEnd w:id="297"/>
      <w:bookmarkEnd w:id="298"/>
      <w:bookmarkEnd w:id="299"/>
      <w:bookmarkEnd w:id="300"/>
      <w:bookmarkEnd w:id="301"/>
      <w:bookmarkEnd w:id="302"/>
    </w:p>
    <w:p w14:paraId="5AD3C82F">
      <w:pPr>
        <w:spacing w:line="360" w:lineRule="auto"/>
        <w:ind w:firstLine="480" w:firstLineChars="200"/>
        <w:rPr>
          <w:bCs/>
          <w:sz w:val="24"/>
        </w:rPr>
      </w:pPr>
    </w:p>
    <w:bookmarkEnd w:id="303"/>
    <w:bookmarkEnd w:id="304"/>
    <w:p w14:paraId="3069B8BB">
      <w:pPr>
        <w:spacing w:line="360" w:lineRule="auto"/>
        <w:ind w:firstLine="480" w:firstLineChars="200"/>
        <w:rPr>
          <w:bCs/>
          <w:sz w:val="24"/>
        </w:rPr>
      </w:pPr>
      <w:bookmarkStart w:id="305" w:name="_Toc139991745"/>
      <w:bookmarkStart w:id="306" w:name="_Toc141703895"/>
      <w:bookmarkStart w:id="307" w:name="_Toc32046"/>
      <w:r>
        <w:rPr>
          <w:bCs/>
          <w:sz w:val="24"/>
        </w:rPr>
        <w:t>一、估值日</w:t>
      </w:r>
    </w:p>
    <w:p w14:paraId="5FC532E5">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5EDE632D">
      <w:pPr>
        <w:spacing w:line="360" w:lineRule="auto"/>
        <w:ind w:firstLine="480" w:firstLineChars="200"/>
        <w:rPr>
          <w:bCs/>
          <w:sz w:val="24"/>
        </w:rPr>
      </w:pPr>
      <w:r>
        <w:rPr>
          <w:bCs/>
          <w:sz w:val="24"/>
        </w:rPr>
        <w:t>二、估值对象</w:t>
      </w:r>
    </w:p>
    <w:p w14:paraId="083ABB8C">
      <w:pPr>
        <w:spacing w:line="360" w:lineRule="auto"/>
        <w:ind w:firstLine="480" w:firstLineChars="200"/>
        <w:rPr>
          <w:bCs/>
          <w:sz w:val="24"/>
        </w:rPr>
      </w:pPr>
      <w:r>
        <w:rPr>
          <w:bCs/>
          <w:sz w:val="24"/>
        </w:rPr>
        <w:t>基金所拥有的债券和银行存款本息、应收款项、其它投资等资产及负债。</w:t>
      </w:r>
    </w:p>
    <w:p w14:paraId="79476F28">
      <w:pPr>
        <w:spacing w:line="360" w:lineRule="auto"/>
        <w:ind w:firstLine="480" w:firstLineChars="200"/>
        <w:rPr>
          <w:bCs/>
          <w:sz w:val="24"/>
        </w:rPr>
      </w:pPr>
      <w:r>
        <w:rPr>
          <w:bCs/>
          <w:sz w:val="24"/>
        </w:rPr>
        <w:t>三、估值方法</w:t>
      </w:r>
    </w:p>
    <w:p w14:paraId="0241F9BA">
      <w:pPr>
        <w:spacing w:line="360" w:lineRule="auto"/>
        <w:ind w:firstLine="480" w:firstLineChars="200"/>
        <w:rPr>
          <w:rFonts w:hint="eastAsia"/>
          <w:bCs/>
          <w:sz w:val="24"/>
        </w:rPr>
      </w:pPr>
      <w:r>
        <w:rPr>
          <w:bCs/>
          <w:sz w:val="24"/>
        </w:rPr>
        <w:t>1、证券交易所上市的有价证券的估值</w:t>
      </w:r>
    </w:p>
    <w:p w14:paraId="077E1E2B">
      <w:pPr>
        <w:spacing w:line="360" w:lineRule="auto"/>
        <w:ind w:firstLine="480" w:firstLineChars="200"/>
        <w:rPr>
          <w:bCs/>
          <w:sz w:val="24"/>
          <w:szCs w:val="24"/>
        </w:rPr>
      </w:pPr>
      <w:r>
        <w:rPr>
          <w:bCs/>
          <w:sz w:val="24"/>
          <w:szCs w:val="24"/>
        </w:rPr>
        <w:t>（1）</w:t>
      </w:r>
      <w:r>
        <w:rPr>
          <w:rFonts w:hint="eastAsia"/>
          <w:bCs/>
          <w:sz w:val="24"/>
          <w:szCs w:val="24"/>
        </w:rPr>
        <w:t>除本部分另有约定的品种外，</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5CAE7FD4">
      <w:pPr>
        <w:spacing w:line="360" w:lineRule="auto"/>
        <w:ind w:firstLine="480" w:firstLineChars="200"/>
        <w:rPr>
          <w:rFonts w:hAnsi="宋体"/>
          <w:sz w:val="24"/>
          <w:szCs w:val="24"/>
        </w:rPr>
      </w:pPr>
      <w:r>
        <w:rPr>
          <w:bCs/>
          <w:sz w:val="24"/>
          <w:szCs w:val="24"/>
        </w:rPr>
        <w:t>（2）交易所上市</w:t>
      </w:r>
      <w:r>
        <w:rPr>
          <w:rFonts w:hint="eastAsia"/>
          <w:bCs/>
          <w:sz w:val="24"/>
          <w:szCs w:val="24"/>
        </w:rPr>
        <w:t>交易或挂牌转让的固定收益品种（本合同另有规定的除外），选取估值日第三方估值机构提供的相应品种对应的估值净价估值，具体估值机构由基金管理人与托管人另行协商约定；</w:t>
      </w:r>
    </w:p>
    <w:p w14:paraId="7B2F58E2">
      <w:pPr>
        <w:spacing w:line="360" w:lineRule="auto"/>
        <w:ind w:firstLine="480" w:firstLineChars="20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08ADE5DA">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19A04728">
      <w:pPr>
        <w:spacing w:line="360" w:lineRule="auto"/>
        <w:ind w:firstLine="480" w:firstLineChars="200"/>
        <w:rPr>
          <w:bCs/>
          <w:sz w:val="24"/>
        </w:rPr>
      </w:pPr>
      <w:r>
        <w:rPr>
          <w:bCs/>
          <w:sz w:val="24"/>
        </w:rPr>
        <w:t>3、全国银行间债券市场交易的债券、资产支持证券等固定收益品种，采用估值技术确定公允价值。</w:t>
      </w:r>
    </w:p>
    <w:p w14:paraId="42494898">
      <w:pPr>
        <w:spacing w:line="360" w:lineRule="auto"/>
        <w:ind w:firstLine="480" w:firstLineChars="200"/>
        <w:rPr>
          <w:bCs/>
          <w:sz w:val="24"/>
        </w:rPr>
      </w:pPr>
      <w:r>
        <w:rPr>
          <w:rFonts w:hint="eastAsia"/>
          <w:bCs/>
          <w:sz w:val="24"/>
        </w:rPr>
        <w:t>4、同一债券同时在两个或两个以上市场交易的，按债券所处的市场分别估值。</w:t>
      </w:r>
    </w:p>
    <w:p w14:paraId="5F7F1E68">
      <w:pPr>
        <w:spacing w:line="360" w:lineRule="auto"/>
        <w:ind w:firstLine="480" w:firstLineChars="200"/>
        <w:rPr>
          <w:bCs/>
          <w:sz w:val="24"/>
        </w:rPr>
      </w:pPr>
      <w:r>
        <w:rPr>
          <w:rFonts w:hint="eastAsia"/>
          <w:bCs/>
          <w:sz w:val="24"/>
        </w:rPr>
        <w:t>5、中小企业私募债券，采用估值技术确定公允价值。在估值技术难以可靠计量公允价值的情况下，按成本估值。</w:t>
      </w:r>
    </w:p>
    <w:p w14:paraId="1C244284">
      <w:pPr>
        <w:spacing w:line="360" w:lineRule="auto"/>
        <w:ind w:firstLine="480" w:firstLineChars="200"/>
        <w:rPr>
          <w:bCs/>
          <w:sz w:val="24"/>
        </w:rPr>
      </w:pPr>
      <w:r>
        <w:rPr>
          <w:rFonts w:hint="eastAsia"/>
          <w:bCs/>
          <w:sz w:val="24"/>
        </w:rPr>
        <w:t>6、</w:t>
      </w:r>
      <w:r>
        <w:rPr>
          <w:bCs/>
          <w:sz w:val="24"/>
        </w:rPr>
        <w:t>如有确凿证据表明按上述方法进行估值不能客观反映其公允价值的，基金管理人可根据具体情况与基金托管人商定后，按最能反映公允价值的价格估值。</w:t>
      </w:r>
    </w:p>
    <w:p w14:paraId="070D2F18">
      <w:pPr>
        <w:spacing w:line="360" w:lineRule="auto"/>
        <w:ind w:firstLine="480" w:firstLineChars="200"/>
        <w:rPr>
          <w:bCs/>
          <w:sz w:val="24"/>
        </w:rPr>
      </w:pPr>
      <w:r>
        <w:rPr>
          <w:rFonts w:hint="eastAsia"/>
          <w:bCs/>
          <w:sz w:val="24"/>
        </w:rPr>
        <w:t>7</w:t>
      </w:r>
      <w:r>
        <w:rPr>
          <w:bCs/>
          <w:sz w:val="24"/>
        </w:rPr>
        <w:t>、相关法律法规以及监管部门有强制规定的，从其规定。如有新增事项，按国家最新规定估值。</w:t>
      </w:r>
    </w:p>
    <w:p w14:paraId="5853EC26">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2F8ACE7">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D175887">
      <w:pPr>
        <w:spacing w:line="360" w:lineRule="auto"/>
        <w:ind w:firstLine="480" w:firstLineChars="200"/>
        <w:rPr>
          <w:bCs/>
          <w:sz w:val="24"/>
        </w:rPr>
      </w:pPr>
      <w:r>
        <w:rPr>
          <w:bCs/>
          <w:sz w:val="24"/>
        </w:rPr>
        <w:t>四、估值程序</w:t>
      </w:r>
    </w:p>
    <w:p w14:paraId="369CCFC4">
      <w:pPr>
        <w:spacing w:line="360" w:lineRule="auto"/>
        <w:ind w:firstLine="480" w:firstLineChars="200"/>
        <w:rPr>
          <w:bCs/>
          <w:sz w:val="24"/>
        </w:rPr>
      </w:pPr>
      <w:r>
        <w:rPr>
          <w:rFonts w:hint="eastAsia"/>
          <w:bCs/>
          <w:sz w:val="24"/>
        </w:rPr>
        <w:t>1、基金份额净值是按照每个工作日闭市后，基金资产净值除以当日基金份额的余额数量计算，精确到0.0001元，小数点后第5位四舍五入。国家另有规定的，从其规定。</w:t>
      </w:r>
    </w:p>
    <w:p w14:paraId="52304CFB">
      <w:pPr>
        <w:spacing w:line="360" w:lineRule="auto"/>
        <w:ind w:firstLine="480" w:firstLineChars="20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607E526D">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28BC9AF3">
      <w:pPr>
        <w:spacing w:line="360" w:lineRule="auto"/>
        <w:ind w:firstLine="480" w:firstLineChars="200"/>
        <w:rPr>
          <w:bCs/>
          <w:sz w:val="24"/>
        </w:rPr>
      </w:pPr>
      <w:r>
        <w:rPr>
          <w:bCs/>
          <w:sz w:val="24"/>
        </w:rPr>
        <w:t>五、估值错误的处理</w:t>
      </w:r>
    </w:p>
    <w:p w14:paraId="6CDD6A43">
      <w:pPr>
        <w:spacing w:line="360" w:lineRule="auto"/>
        <w:ind w:firstLine="480" w:firstLineChars="200"/>
        <w:rPr>
          <w:bCs/>
          <w:sz w:val="24"/>
        </w:rPr>
      </w:pPr>
      <w:r>
        <w:rPr>
          <w:rFonts w:hint="eastAsia"/>
          <w:bCs/>
          <w:sz w:val="24"/>
        </w:rPr>
        <w:t>基金管理人和基金托管人将采取必要、适当、合理的措施确保基金资产估值的准确性、及时性。当基金份额净值小数点后4位以内(含第4位)发生估值错误时，视为基金份额净值错误。</w:t>
      </w:r>
    </w:p>
    <w:p w14:paraId="0AB148ED">
      <w:pPr>
        <w:spacing w:line="360" w:lineRule="auto"/>
        <w:ind w:firstLine="480" w:firstLineChars="200"/>
        <w:rPr>
          <w:bCs/>
          <w:sz w:val="24"/>
        </w:rPr>
      </w:pPr>
      <w:r>
        <w:rPr>
          <w:bCs/>
          <w:sz w:val="24"/>
        </w:rPr>
        <w:t>本基金合同的当事人应按照以下约定处理：</w:t>
      </w:r>
    </w:p>
    <w:p w14:paraId="06F811EE">
      <w:pPr>
        <w:spacing w:line="360" w:lineRule="auto"/>
        <w:ind w:firstLine="480" w:firstLineChars="200"/>
        <w:rPr>
          <w:bCs/>
          <w:sz w:val="24"/>
        </w:rPr>
      </w:pPr>
      <w:r>
        <w:rPr>
          <w:bCs/>
          <w:sz w:val="24"/>
        </w:rPr>
        <w:t>1、估值错误类型</w:t>
      </w:r>
    </w:p>
    <w:p w14:paraId="6B7B8BE2">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042C7ED6">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6C132339">
      <w:pPr>
        <w:spacing w:line="360" w:lineRule="auto"/>
        <w:ind w:firstLine="480" w:firstLineChars="200"/>
        <w:rPr>
          <w:bCs/>
          <w:sz w:val="24"/>
        </w:rPr>
      </w:pPr>
      <w:r>
        <w:rPr>
          <w:bCs/>
          <w:sz w:val="24"/>
        </w:rPr>
        <w:t>2、估值错误处理原则</w:t>
      </w:r>
    </w:p>
    <w:p w14:paraId="5BE3FB85">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2D0222F">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14D1D6B1">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11CA7E5">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1FC19849">
      <w:pPr>
        <w:spacing w:line="360" w:lineRule="auto"/>
        <w:ind w:firstLine="480" w:firstLineChars="200"/>
        <w:rPr>
          <w:bCs/>
          <w:sz w:val="24"/>
        </w:rPr>
      </w:pPr>
      <w:r>
        <w:rPr>
          <w:bCs/>
          <w:sz w:val="24"/>
        </w:rPr>
        <w:t>3、估值错误处理程序</w:t>
      </w:r>
    </w:p>
    <w:p w14:paraId="417D16A7">
      <w:pPr>
        <w:spacing w:line="360" w:lineRule="auto"/>
        <w:ind w:firstLine="480" w:firstLineChars="200"/>
        <w:rPr>
          <w:bCs/>
          <w:sz w:val="24"/>
        </w:rPr>
      </w:pPr>
      <w:r>
        <w:rPr>
          <w:bCs/>
          <w:sz w:val="24"/>
        </w:rPr>
        <w:t>估值错误被发现后，有关的当事人应当及时进行处理，处理的程序如下：</w:t>
      </w:r>
    </w:p>
    <w:p w14:paraId="358906DE">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7FD63A29">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1100FD7">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185D144D">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2EA14CCF">
      <w:pPr>
        <w:spacing w:line="360" w:lineRule="auto"/>
        <w:ind w:firstLine="480" w:firstLineChars="200"/>
        <w:rPr>
          <w:bCs/>
          <w:sz w:val="24"/>
        </w:rPr>
      </w:pPr>
      <w:r>
        <w:rPr>
          <w:bCs/>
          <w:sz w:val="24"/>
        </w:rPr>
        <w:t>4、基金份额净值估值错误处理的方法如下：</w:t>
      </w:r>
    </w:p>
    <w:p w14:paraId="0D2664EF">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7E721241">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p>
    <w:p w14:paraId="1AC2FD52">
      <w:pPr>
        <w:spacing w:line="360" w:lineRule="auto"/>
        <w:ind w:firstLine="480" w:firstLineChars="200"/>
        <w:rPr>
          <w:rFonts w:hint="eastAsia"/>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75536592">
      <w:pPr>
        <w:spacing w:line="360" w:lineRule="auto"/>
        <w:ind w:firstLine="480" w:firstLineChars="200"/>
        <w:rPr>
          <w:rFonts w:hint="eastAsia"/>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69B6E0A">
      <w:pPr>
        <w:spacing w:line="360" w:lineRule="auto"/>
        <w:ind w:firstLine="480" w:firstLineChars="200"/>
        <w:rPr>
          <w:rFonts w:hint="eastAsia"/>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且给基金份额持有人造成损失的，应根据法律法规的规定对投资者或基金支付赔偿金，就实际向投资者或基金支付的赔偿金额，基金管理人与基金托管人按照过错程度各自承担相应的责任。</w:t>
      </w:r>
    </w:p>
    <w:p w14:paraId="6457569C">
      <w:pPr>
        <w:spacing w:line="360" w:lineRule="auto"/>
        <w:ind w:firstLine="480" w:firstLineChars="200"/>
        <w:rPr>
          <w:rFonts w:hint="eastAsia"/>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7C69B53F">
      <w:pPr>
        <w:spacing w:line="360" w:lineRule="auto"/>
        <w:ind w:firstLine="480" w:firstLineChars="200"/>
        <w:rPr>
          <w:rFonts w:hint="eastAsia"/>
          <w:bCs/>
          <w:sz w:val="24"/>
        </w:rPr>
      </w:pPr>
      <w:r>
        <w:rPr>
          <w:rFonts w:hint="eastAsia"/>
          <w:bCs/>
          <w:sz w:val="24"/>
        </w:rPr>
        <w:t xml:space="preserve">④由于基金管理人提供的信息错误（包括但不限于基金申购或赎回金额等），进而导致基金份额净值计算错误而引起的基金份额持有人和基金财产的损失，由基金管理人负责赔付。 </w:t>
      </w:r>
    </w:p>
    <w:p w14:paraId="61058E2C">
      <w:pPr>
        <w:spacing w:line="360" w:lineRule="auto"/>
        <w:ind w:firstLine="480" w:firstLineChars="200"/>
        <w:rPr>
          <w:rFonts w:hint="eastAsia"/>
          <w:bCs/>
          <w:sz w:val="24"/>
        </w:rPr>
      </w:pPr>
      <w:r>
        <w:rPr>
          <w:rFonts w:hint="eastAsia"/>
          <w:bCs/>
          <w:sz w:val="24"/>
        </w:rPr>
        <w:t>（4）基金管理人和基金托管人由于各自技术系统设置而产生的净值计算尾差，以基金管理人计算结果为准。</w:t>
      </w:r>
    </w:p>
    <w:p w14:paraId="1D65A830">
      <w:pPr>
        <w:spacing w:line="360" w:lineRule="auto"/>
        <w:ind w:firstLine="480" w:firstLineChars="200"/>
        <w:rPr>
          <w:bCs/>
          <w:sz w:val="24"/>
        </w:rPr>
      </w:pPr>
      <w:r>
        <w:rPr>
          <w:rFonts w:hint="eastAsia"/>
          <w:bCs/>
          <w:sz w:val="24"/>
        </w:rPr>
        <w:t>（5）</w:t>
      </w:r>
      <w:r>
        <w:rPr>
          <w:bCs/>
          <w:sz w:val="24"/>
        </w:rPr>
        <w:t>前述内容如法律法规或监管机关另有规定的，从其规定处理。</w:t>
      </w:r>
      <w:r>
        <w:rPr>
          <w:rFonts w:hint="eastAsia"/>
          <w:bCs/>
          <w:sz w:val="24"/>
        </w:rPr>
        <w:t>如果行业另有通行做法，双方当事人应本着平等和保护基金份额持有人利益的原则进行协商。</w:t>
      </w:r>
    </w:p>
    <w:p w14:paraId="713E5672">
      <w:pPr>
        <w:spacing w:line="360" w:lineRule="auto"/>
        <w:ind w:firstLine="480" w:firstLineChars="200"/>
        <w:rPr>
          <w:bCs/>
          <w:sz w:val="24"/>
        </w:rPr>
      </w:pPr>
      <w:r>
        <w:rPr>
          <w:bCs/>
          <w:sz w:val="24"/>
        </w:rPr>
        <w:t>六、暂停估值的情形</w:t>
      </w:r>
    </w:p>
    <w:p w14:paraId="757B0EA1">
      <w:pPr>
        <w:spacing w:line="360" w:lineRule="auto"/>
        <w:ind w:firstLine="480" w:firstLineChars="200"/>
        <w:rPr>
          <w:bCs/>
          <w:sz w:val="24"/>
        </w:rPr>
      </w:pPr>
      <w:r>
        <w:rPr>
          <w:bCs/>
          <w:sz w:val="24"/>
        </w:rPr>
        <w:t>1、基金投资所涉及的证券交易市场遇法定节假日或因其他原因暂停营业时；</w:t>
      </w:r>
    </w:p>
    <w:p w14:paraId="2E5EAD92">
      <w:pPr>
        <w:spacing w:line="360" w:lineRule="auto"/>
        <w:ind w:firstLine="480" w:firstLineChars="200"/>
        <w:rPr>
          <w:rFonts w:hint="eastAsia"/>
          <w:bCs/>
          <w:sz w:val="24"/>
        </w:rPr>
      </w:pPr>
      <w:r>
        <w:rPr>
          <w:bCs/>
          <w:sz w:val="24"/>
        </w:rPr>
        <w:t>2、因不可抗力</w:t>
      </w:r>
      <w:r>
        <w:rPr>
          <w:rFonts w:hint="eastAsia"/>
          <w:bCs/>
          <w:sz w:val="24"/>
        </w:rPr>
        <w:t>或其他情形</w:t>
      </w:r>
      <w:r>
        <w:rPr>
          <w:bCs/>
          <w:sz w:val="24"/>
        </w:rPr>
        <w:t>致使基金管理人、基金托管人无法准确评估基金资产价值时；</w:t>
      </w:r>
    </w:p>
    <w:p w14:paraId="2CD68EA3">
      <w:pPr>
        <w:spacing w:line="360" w:lineRule="auto"/>
        <w:ind w:firstLine="480" w:firstLineChars="200"/>
        <w:rPr>
          <w:bCs/>
          <w:sz w:val="24"/>
        </w:rPr>
      </w:pPr>
      <w:r>
        <w:rPr>
          <w:rFonts w:hint="eastAsia"/>
          <w:bCs/>
          <w:sz w:val="24"/>
        </w:rPr>
        <w:t>3、当特定资产占前一估值日基金资产净值50%以上的，经与基金托管人协商确认后，基金管理人应当暂停估值；</w:t>
      </w:r>
    </w:p>
    <w:p w14:paraId="2937B41C">
      <w:pPr>
        <w:spacing w:line="360" w:lineRule="auto"/>
        <w:ind w:firstLine="480" w:firstLineChars="200"/>
        <w:rPr>
          <w:bCs/>
          <w:sz w:val="24"/>
        </w:rPr>
      </w:pPr>
      <w:r>
        <w:rPr>
          <w:rFonts w:hint="eastAsia"/>
          <w:bCs/>
          <w:sz w:val="24"/>
        </w:rPr>
        <w:t>4、法律法规规定、</w:t>
      </w:r>
      <w:r>
        <w:rPr>
          <w:bCs/>
          <w:sz w:val="24"/>
        </w:rPr>
        <w:t>中国证监会和基金合同认定的其它情形。</w:t>
      </w:r>
    </w:p>
    <w:p w14:paraId="2062ED7F">
      <w:pPr>
        <w:spacing w:line="360" w:lineRule="auto"/>
        <w:ind w:firstLine="480" w:firstLineChars="200"/>
        <w:rPr>
          <w:bCs/>
          <w:sz w:val="24"/>
        </w:rPr>
      </w:pPr>
      <w:r>
        <w:rPr>
          <w:bCs/>
          <w:sz w:val="24"/>
        </w:rPr>
        <w:t>七、基金净值的确认</w:t>
      </w:r>
    </w:p>
    <w:p w14:paraId="7A73BC29">
      <w:pPr>
        <w:spacing w:line="360" w:lineRule="auto"/>
        <w:ind w:firstLine="480" w:firstLineChars="200"/>
        <w:rPr>
          <w:bCs/>
          <w:sz w:val="24"/>
        </w:rPr>
      </w:pPr>
      <w:r>
        <w:rPr>
          <w:bCs/>
          <w:sz w:val="24"/>
        </w:rPr>
        <w:t>基金资产净值和基金份额净值由基金管理人负责计算，基金托管人负责进行复核。基金管理人应于每个</w:t>
      </w:r>
      <w:r>
        <w:rPr>
          <w:rFonts w:hint="eastAsia"/>
          <w:bCs/>
          <w:sz w:val="24"/>
        </w:rPr>
        <w:t>工作日</w:t>
      </w:r>
      <w:r>
        <w:rPr>
          <w:bCs/>
          <w:sz w:val="24"/>
        </w:rPr>
        <w:t>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72295D42">
      <w:pPr>
        <w:spacing w:line="360" w:lineRule="auto"/>
        <w:ind w:firstLine="480" w:firstLineChars="200"/>
        <w:rPr>
          <w:bCs/>
          <w:sz w:val="24"/>
        </w:rPr>
      </w:pPr>
      <w:r>
        <w:rPr>
          <w:rFonts w:hint="eastAsia"/>
          <w:bCs/>
          <w:sz w:val="24"/>
        </w:rPr>
        <w:t>八、特殊情况的处理方法</w:t>
      </w:r>
    </w:p>
    <w:p w14:paraId="185B036A">
      <w:pPr>
        <w:spacing w:line="360" w:lineRule="auto"/>
        <w:ind w:firstLine="480" w:firstLineChars="200"/>
        <w:rPr>
          <w:bCs/>
          <w:sz w:val="24"/>
        </w:rPr>
      </w:pPr>
      <w:r>
        <w:rPr>
          <w:rFonts w:hint="eastAsia"/>
          <w:bCs/>
          <w:sz w:val="24"/>
        </w:rPr>
        <w:t>1、基金管理人或基金托管人按估值方法的第6项进行估值时，所造成的误差不作为基金资产估值错误处理。</w:t>
      </w:r>
    </w:p>
    <w:p w14:paraId="7F532648">
      <w:pPr>
        <w:spacing w:line="360" w:lineRule="auto"/>
        <w:ind w:firstLine="480" w:firstLineChars="200"/>
        <w:rPr>
          <w:bCs/>
          <w:sz w:val="24"/>
        </w:rPr>
      </w:pPr>
      <w:r>
        <w:rPr>
          <w:rFonts w:hint="eastAsia"/>
          <w:bCs/>
          <w:sz w:val="24"/>
        </w:rPr>
        <w:t>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60B682F0">
      <w:pPr>
        <w:spacing w:line="360" w:lineRule="auto"/>
        <w:ind w:firstLine="480" w:firstLineChars="200"/>
        <w:rPr>
          <w:bCs/>
          <w:sz w:val="24"/>
        </w:rPr>
      </w:pPr>
      <w:r>
        <w:rPr>
          <w:rFonts w:hint="eastAsia"/>
          <w:bCs/>
          <w:sz w:val="24"/>
        </w:rPr>
        <w:t>九、实施侧袋机制期间的基金资产估值</w:t>
      </w:r>
    </w:p>
    <w:p w14:paraId="651A79B4">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55DB13FD">
      <w:pPr>
        <w:spacing w:line="360" w:lineRule="auto"/>
        <w:ind w:firstLine="480" w:firstLineChars="200"/>
        <w:rPr>
          <w:bCs/>
          <w:sz w:val="24"/>
        </w:rPr>
      </w:pPr>
    </w:p>
    <w:p w14:paraId="672393F8">
      <w:pPr>
        <w:pStyle w:val="2"/>
        <w:spacing w:before="0" w:after="0"/>
        <w:jc w:val="center"/>
        <w:rPr>
          <w:rFonts w:ascii="Times New Roman"/>
          <w:color w:val="auto"/>
          <w:sz w:val="30"/>
        </w:rPr>
      </w:pPr>
      <w:r>
        <w:rPr>
          <w:rFonts w:ascii="Times New Roman"/>
          <w:b w:val="0"/>
          <w:bCs/>
          <w:color w:val="auto"/>
          <w:sz w:val="30"/>
        </w:rPr>
        <w:br w:type="page"/>
      </w:r>
      <w:bookmarkStart w:id="308" w:name="_Toc435642211"/>
      <w:bookmarkStart w:id="309" w:name="_Toc32227"/>
      <w:bookmarkStart w:id="310" w:name="_Toc12105"/>
      <w:bookmarkStart w:id="311" w:name="_Toc24601"/>
      <w:bookmarkStart w:id="312" w:name="_Toc15779"/>
      <w:bookmarkStart w:id="313" w:name="_Toc19706"/>
      <w:bookmarkStart w:id="314" w:name="_Toc3365"/>
      <w:bookmarkStart w:id="315" w:name="_Toc13987"/>
      <w:bookmarkStart w:id="316" w:name="_Toc32041"/>
      <w:bookmarkStart w:id="317" w:name="_Toc1178215025"/>
      <w:bookmarkStart w:id="318" w:name="_Toc19752"/>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3D26DC04">
      <w:pPr>
        <w:spacing w:line="360" w:lineRule="auto"/>
        <w:ind w:firstLine="480" w:firstLineChars="200"/>
        <w:rPr>
          <w:bCs/>
          <w:sz w:val="24"/>
        </w:rPr>
      </w:pPr>
    </w:p>
    <w:p w14:paraId="31983CB3">
      <w:pPr>
        <w:spacing w:line="360" w:lineRule="auto"/>
        <w:ind w:firstLine="480" w:firstLineChars="200"/>
        <w:rPr>
          <w:bCs/>
          <w:sz w:val="24"/>
        </w:rPr>
      </w:pPr>
      <w:r>
        <w:rPr>
          <w:bCs/>
          <w:sz w:val="24"/>
        </w:rPr>
        <w:t>一、基金费用的种类</w:t>
      </w:r>
    </w:p>
    <w:p w14:paraId="5C58D6FE">
      <w:pPr>
        <w:spacing w:line="360" w:lineRule="auto"/>
        <w:ind w:firstLine="480" w:firstLineChars="200"/>
        <w:rPr>
          <w:bCs/>
          <w:sz w:val="24"/>
        </w:rPr>
      </w:pPr>
      <w:r>
        <w:rPr>
          <w:bCs/>
          <w:sz w:val="24"/>
        </w:rPr>
        <w:t>1、基金管理人的管理费；</w:t>
      </w:r>
    </w:p>
    <w:p w14:paraId="768EC1C8">
      <w:pPr>
        <w:spacing w:line="360" w:lineRule="auto"/>
        <w:ind w:firstLine="480" w:firstLineChars="200"/>
        <w:rPr>
          <w:bCs/>
          <w:sz w:val="24"/>
        </w:rPr>
      </w:pPr>
      <w:r>
        <w:rPr>
          <w:bCs/>
          <w:sz w:val="24"/>
        </w:rPr>
        <w:t>2、基金托管人的托管费；</w:t>
      </w:r>
    </w:p>
    <w:p w14:paraId="00DF2B15">
      <w:pPr>
        <w:spacing w:line="360" w:lineRule="auto"/>
        <w:ind w:firstLine="480" w:firstLineChars="200"/>
        <w:rPr>
          <w:bCs/>
          <w:sz w:val="24"/>
        </w:rPr>
      </w:pPr>
      <w:r>
        <w:rPr>
          <w:bCs/>
          <w:sz w:val="24"/>
        </w:rPr>
        <w:t>3、《基金合同》生效后与基金相关的信息披露费用</w:t>
      </w:r>
      <w:r>
        <w:rPr>
          <w:rFonts w:hint="eastAsia"/>
          <w:bCs/>
          <w:sz w:val="24"/>
        </w:rPr>
        <w:t>，法律法规、中国证监会另有规定的除外</w:t>
      </w:r>
      <w:r>
        <w:rPr>
          <w:bCs/>
          <w:sz w:val="24"/>
        </w:rPr>
        <w:t>；</w:t>
      </w:r>
    </w:p>
    <w:p w14:paraId="63A2D95A">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7110356E">
      <w:pPr>
        <w:spacing w:line="360" w:lineRule="auto"/>
        <w:ind w:firstLine="480" w:firstLineChars="200"/>
        <w:rPr>
          <w:bCs/>
          <w:sz w:val="24"/>
        </w:rPr>
      </w:pPr>
      <w:r>
        <w:rPr>
          <w:bCs/>
          <w:sz w:val="24"/>
        </w:rPr>
        <w:t>5、基金份额持有人大会费用；</w:t>
      </w:r>
    </w:p>
    <w:p w14:paraId="6AC307FD">
      <w:pPr>
        <w:spacing w:line="360" w:lineRule="auto"/>
        <w:ind w:firstLine="480" w:firstLineChars="200"/>
        <w:rPr>
          <w:bCs/>
          <w:sz w:val="24"/>
        </w:rPr>
      </w:pPr>
      <w:r>
        <w:rPr>
          <w:bCs/>
          <w:sz w:val="24"/>
        </w:rPr>
        <w:t>6、基金的证券交易费用；</w:t>
      </w:r>
    </w:p>
    <w:p w14:paraId="028B093C">
      <w:pPr>
        <w:spacing w:line="360" w:lineRule="auto"/>
        <w:ind w:firstLine="480" w:firstLineChars="200"/>
        <w:rPr>
          <w:bCs/>
          <w:sz w:val="24"/>
        </w:rPr>
      </w:pPr>
      <w:r>
        <w:rPr>
          <w:bCs/>
          <w:sz w:val="24"/>
        </w:rPr>
        <w:t>7、基金的银行汇划费用；</w:t>
      </w:r>
    </w:p>
    <w:p w14:paraId="7312051B">
      <w:pPr>
        <w:spacing w:line="360" w:lineRule="auto"/>
        <w:ind w:firstLine="480" w:firstLineChars="200"/>
        <w:rPr>
          <w:sz w:val="24"/>
        </w:rPr>
      </w:pPr>
      <w:r>
        <w:rPr>
          <w:bCs/>
          <w:sz w:val="24"/>
        </w:rPr>
        <w:t>8、</w:t>
      </w:r>
      <w:r>
        <w:rPr>
          <w:rFonts w:hint="eastAsia"/>
          <w:bCs/>
          <w:sz w:val="24"/>
        </w:rPr>
        <w:t>基金的账户开户费用、账户维护费用；</w:t>
      </w:r>
    </w:p>
    <w:p w14:paraId="1BD9B7DB">
      <w:pPr>
        <w:spacing w:line="360" w:lineRule="auto"/>
        <w:ind w:firstLine="480" w:firstLineChars="200"/>
        <w:rPr>
          <w:bCs/>
          <w:sz w:val="24"/>
        </w:rPr>
      </w:pPr>
      <w:r>
        <w:rPr>
          <w:bCs/>
          <w:sz w:val="24"/>
        </w:rPr>
        <w:t>9、按照国家有关规定和《基金合同》约定，可以在基金财产中列支的其他费用。</w:t>
      </w:r>
    </w:p>
    <w:p w14:paraId="72A0EC6A">
      <w:pPr>
        <w:spacing w:line="360" w:lineRule="auto"/>
        <w:ind w:firstLine="480" w:firstLineChars="200"/>
        <w:rPr>
          <w:bCs/>
          <w:sz w:val="24"/>
        </w:rPr>
      </w:pPr>
      <w:r>
        <w:rPr>
          <w:bCs/>
          <w:sz w:val="24"/>
        </w:rPr>
        <w:t>二、基金费用计提方法、计提标准和支付方式</w:t>
      </w:r>
    </w:p>
    <w:p w14:paraId="2C72E064">
      <w:pPr>
        <w:spacing w:line="360" w:lineRule="auto"/>
        <w:ind w:firstLine="480" w:firstLineChars="200"/>
        <w:rPr>
          <w:bCs/>
          <w:sz w:val="24"/>
        </w:rPr>
      </w:pPr>
      <w:r>
        <w:rPr>
          <w:bCs/>
          <w:sz w:val="24"/>
        </w:rPr>
        <w:t>1、基金管理人的管理费</w:t>
      </w:r>
    </w:p>
    <w:p w14:paraId="5DAD804D">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64F4B8F0">
      <w:pPr>
        <w:spacing w:line="360" w:lineRule="auto"/>
        <w:ind w:firstLine="480" w:firstLineChars="200"/>
        <w:rPr>
          <w:bCs/>
          <w:sz w:val="24"/>
        </w:rPr>
      </w:pPr>
      <w:r>
        <w:rPr>
          <w:bCs/>
          <w:sz w:val="24"/>
        </w:rPr>
        <w:t>H＝E×</w:t>
      </w:r>
      <w:r>
        <w:rPr>
          <w:rFonts w:hint="eastAsia"/>
          <w:bCs/>
          <w:sz w:val="24"/>
        </w:rPr>
        <w:t>0.30</w:t>
      </w:r>
      <w:r>
        <w:rPr>
          <w:bCs/>
          <w:sz w:val="24"/>
        </w:rPr>
        <w:t>%÷当年天数</w:t>
      </w:r>
    </w:p>
    <w:p w14:paraId="31B2BE4E">
      <w:pPr>
        <w:spacing w:line="360" w:lineRule="auto"/>
        <w:ind w:firstLine="480" w:firstLineChars="200"/>
        <w:rPr>
          <w:bCs/>
          <w:sz w:val="24"/>
        </w:rPr>
      </w:pPr>
      <w:r>
        <w:rPr>
          <w:bCs/>
          <w:sz w:val="24"/>
        </w:rPr>
        <w:t>H为每日应计提的基金管理费</w:t>
      </w:r>
    </w:p>
    <w:p w14:paraId="048D57E7">
      <w:pPr>
        <w:spacing w:line="360" w:lineRule="auto"/>
        <w:ind w:firstLine="480" w:firstLineChars="200"/>
        <w:rPr>
          <w:bCs/>
          <w:sz w:val="24"/>
        </w:rPr>
      </w:pPr>
      <w:r>
        <w:rPr>
          <w:bCs/>
          <w:sz w:val="24"/>
        </w:rPr>
        <w:t>E为前一日的基金资产净值</w:t>
      </w:r>
    </w:p>
    <w:p w14:paraId="14A5DA2F">
      <w:pPr>
        <w:spacing w:line="360" w:lineRule="auto"/>
        <w:ind w:firstLine="480" w:firstLineChars="200"/>
        <w:rPr>
          <w:rFonts w:hint="eastAsia"/>
          <w:bCs/>
          <w:sz w:val="24"/>
        </w:rPr>
      </w:pPr>
      <w:r>
        <w:rPr>
          <w:rFonts w:hint="eastAsia"/>
          <w:bCs/>
          <w:sz w:val="24"/>
        </w:rPr>
        <w:t>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支付日期顺延。</w:t>
      </w:r>
    </w:p>
    <w:p w14:paraId="2FAD8A9A">
      <w:pPr>
        <w:spacing w:line="360" w:lineRule="auto"/>
        <w:ind w:firstLine="480" w:firstLineChars="200"/>
        <w:rPr>
          <w:bCs/>
          <w:sz w:val="24"/>
        </w:rPr>
      </w:pPr>
      <w:r>
        <w:rPr>
          <w:bCs/>
          <w:sz w:val="24"/>
        </w:rPr>
        <w:t>2、基金托管人的托管费</w:t>
      </w:r>
    </w:p>
    <w:p w14:paraId="4FEE4DC4">
      <w:pPr>
        <w:spacing w:line="360" w:lineRule="auto"/>
        <w:ind w:firstLine="480" w:firstLineChars="200"/>
        <w:rPr>
          <w:bCs/>
          <w:sz w:val="24"/>
        </w:rPr>
      </w:pPr>
      <w:r>
        <w:rPr>
          <w:bCs/>
          <w:sz w:val="24"/>
        </w:rPr>
        <w:t>本基金的托管费按前一日基金资产净值的</w:t>
      </w:r>
      <w:r>
        <w:rPr>
          <w:rFonts w:hint="eastAsia"/>
          <w:bCs/>
          <w:sz w:val="24"/>
        </w:rPr>
        <w:t>0.1%</w:t>
      </w:r>
      <w:r>
        <w:rPr>
          <w:bCs/>
          <w:sz w:val="24"/>
        </w:rPr>
        <w:t>的年费率计提。托管费的计算方法如下：</w:t>
      </w:r>
    </w:p>
    <w:p w14:paraId="10433D58">
      <w:pPr>
        <w:spacing w:line="360" w:lineRule="auto"/>
        <w:ind w:firstLine="480" w:firstLineChars="200"/>
        <w:rPr>
          <w:bCs/>
          <w:sz w:val="24"/>
        </w:rPr>
      </w:pPr>
      <w:r>
        <w:rPr>
          <w:bCs/>
          <w:sz w:val="24"/>
        </w:rPr>
        <w:t>H＝E×</w:t>
      </w:r>
      <w:r>
        <w:rPr>
          <w:rFonts w:hint="eastAsia"/>
          <w:bCs/>
          <w:sz w:val="24"/>
        </w:rPr>
        <w:t>0.1</w:t>
      </w:r>
      <w:r>
        <w:rPr>
          <w:bCs/>
          <w:sz w:val="24"/>
        </w:rPr>
        <w:t>%÷当年天数</w:t>
      </w:r>
    </w:p>
    <w:p w14:paraId="6733D4B1">
      <w:pPr>
        <w:spacing w:line="360" w:lineRule="auto"/>
        <w:ind w:firstLine="480" w:firstLineChars="200"/>
        <w:rPr>
          <w:bCs/>
          <w:sz w:val="24"/>
        </w:rPr>
      </w:pPr>
      <w:r>
        <w:rPr>
          <w:bCs/>
          <w:sz w:val="24"/>
        </w:rPr>
        <w:t>H为每日应计提的基金托管费</w:t>
      </w:r>
    </w:p>
    <w:p w14:paraId="4BF636FC">
      <w:pPr>
        <w:spacing w:line="360" w:lineRule="auto"/>
        <w:ind w:firstLine="480" w:firstLineChars="200"/>
        <w:rPr>
          <w:bCs/>
          <w:sz w:val="24"/>
        </w:rPr>
      </w:pPr>
      <w:r>
        <w:rPr>
          <w:bCs/>
          <w:sz w:val="24"/>
        </w:rPr>
        <w:t>E为前一日的基金资产净值</w:t>
      </w:r>
    </w:p>
    <w:p w14:paraId="4BFE9E3F">
      <w:pPr>
        <w:spacing w:line="360" w:lineRule="auto"/>
        <w:ind w:firstLine="480" w:firstLineChars="200"/>
        <w:rPr>
          <w:rFonts w:hint="eastAsia"/>
          <w:bCs/>
          <w:sz w:val="24"/>
        </w:rPr>
      </w:pPr>
      <w:r>
        <w:rPr>
          <w:rFonts w:hint="eastAsia"/>
          <w:bCs/>
          <w:sz w:val="24"/>
        </w:rPr>
        <w:t>基金托管费每日计算，逐日累计至每月月末，按月支付，由基金管理人向基金托管人发送基金托管费划付指令，经基金托管人复核后于次月前3个工作日内从基金财产中一次性支取。若遇法定节假日、公休假或不可抗力等，支付日期顺延。</w:t>
      </w:r>
    </w:p>
    <w:p w14:paraId="5081D6AF">
      <w:pPr>
        <w:spacing w:line="360" w:lineRule="auto"/>
        <w:ind w:firstLine="480" w:firstLineChars="200"/>
        <w:rPr>
          <w:bCs/>
          <w:sz w:val="24"/>
        </w:rPr>
      </w:pPr>
      <w:r>
        <w:rPr>
          <w:bCs/>
          <w:sz w:val="24"/>
        </w:rPr>
        <w:t>上述“一、基金费用的种类中第3－</w:t>
      </w:r>
      <w:r>
        <w:rPr>
          <w:rFonts w:hint="eastAsia"/>
          <w:bCs/>
          <w:sz w:val="24"/>
        </w:rPr>
        <w:t>9</w:t>
      </w:r>
      <w:r>
        <w:rPr>
          <w:bCs/>
          <w:sz w:val="24"/>
        </w:rPr>
        <w:t>项费用”，根据有关法规及相应协议规定，按费用实际支出金额列入当期费用，由基金托管人从基金财产中支付。</w:t>
      </w:r>
    </w:p>
    <w:p w14:paraId="41BA0F70">
      <w:pPr>
        <w:spacing w:line="360" w:lineRule="auto"/>
        <w:ind w:firstLine="480" w:firstLineChars="200"/>
        <w:rPr>
          <w:bCs/>
          <w:sz w:val="24"/>
        </w:rPr>
      </w:pPr>
      <w:r>
        <w:rPr>
          <w:bCs/>
          <w:sz w:val="24"/>
        </w:rPr>
        <w:t>三、不列入基金费用的项目</w:t>
      </w:r>
    </w:p>
    <w:p w14:paraId="60DC6234">
      <w:pPr>
        <w:spacing w:line="360" w:lineRule="auto"/>
        <w:ind w:firstLine="480" w:firstLineChars="200"/>
        <w:rPr>
          <w:bCs/>
          <w:sz w:val="24"/>
        </w:rPr>
      </w:pPr>
      <w:r>
        <w:rPr>
          <w:bCs/>
          <w:sz w:val="24"/>
        </w:rPr>
        <w:t>下列费用不列入基金费用：</w:t>
      </w:r>
    </w:p>
    <w:p w14:paraId="0D89070B">
      <w:pPr>
        <w:spacing w:line="360" w:lineRule="auto"/>
        <w:ind w:firstLine="480" w:firstLineChars="200"/>
        <w:rPr>
          <w:bCs/>
          <w:sz w:val="24"/>
        </w:rPr>
      </w:pPr>
      <w:r>
        <w:rPr>
          <w:bCs/>
          <w:sz w:val="24"/>
        </w:rPr>
        <w:t>1、基金管理人和基金托管人因未履行或未完全履行义务导致的费用支出或基金财产的损失；</w:t>
      </w:r>
    </w:p>
    <w:p w14:paraId="26A98941">
      <w:pPr>
        <w:spacing w:line="360" w:lineRule="auto"/>
        <w:ind w:firstLine="480" w:firstLineChars="200"/>
        <w:rPr>
          <w:bCs/>
          <w:sz w:val="24"/>
        </w:rPr>
      </w:pPr>
      <w:r>
        <w:rPr>
          <w:bCs/>
          <w:sz w:val="24"/>
        </w:rPr>
        <w:t>2、基金管理人和基金托管人处理与基金运作无关的事项发生的费用；</w:t>
      </w:r>
    </w:p>
    <w:p w14:paraId="61D198F5">
      <w:pPr>
        <w:spacing w:line="360" w:lineRule="auto"/>
        <w:ind w:firstLine="480" w:firstLineChars="200"/>
        <w:rPr>
          <w:bCs/>
          <w:sz w:val="24"/>
        </w:rPr>
      </w:pPr>
      <w:r>
        <w:rPr>
          <w:bCs/>
          <w:sz w:val="24"/>
        </w:rPr>
        <w:t>3、《基金合同》生效前的相关费用；</w:t>
      </w:r>
    </w:p>
    <w:p w14:paraId="6A28921C">
      <w:pPr>
        <w:spacing w:line="360" w:lineRule="auto"/>
        <w:ind w:firstLine="480" w:firstLineChars="200"/>
        <w:rPr>
          <w:bCs/>
          <w:sz w:val="24"/>
        </w:rPr>
      </w:pPr>
      <w:r>
        <w:rPr>
          <w:bCs/>
          <w:sz w:val="24"/>
        </w:rPr>
        <w:t>4、其他根据相关法律法规及中国证监会的有关规定不得列入基金费用的项目。</w:t>
      </w:r>
      <w:bookmarkStart w:id="319" w:name="_Hlt88827255"/>
      <w:bookmarkEnd w:id="319"/>
    </w:p>
    <w:p w14:paraId="64E73183">
      <w:pPr>
        <w:spacing w:line="360" w:lineRule="auto"/>
        <w:ind w:firstLine="480" w:firstLineChars="200"/>
        <w:rPr>
          <w:bCs/>
          <w:sz w:val="24"/>
        </w:rPr>
      </w:pPr>
      <w:r>
        <w:rPr>
          <w:rFonts w:hint="eastAsia"/>
          <w:bCs/>
          <w:sz w:val="24"/>
        </w:rPr>
        <w:t>四、实施侧袋机制期间的基金费用</w:t>
      </w:r>
    </w:p>
    <w:p w14:paraId="289F287C">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1D3E0242">
      <w:pPr>
        <w:spacing w:line="360" w:lineRule="auto"/>
        <w:ind w:firstLine="480" w:firstLineChars="200"/>
        <w:rPr>
          <w:bCs/>
          <w:sz w:val="24"/>
        </w:rPr>
      </w:pPr>
      <w:r>
        <w:rPr>
          <w:rFonts w:hint="eastAsia"/>
          <w:bCs/>
          <w:sz w:val="24"/>
        </w:rPr>
        <w:t>五</w:t>
      </w:r>
      <w:r>
        <w:rPr>
          <w:bCs/>
          <w:sz w:val="24"/>
        </w:rPr>
        <w:t>、基金税收</w:t>
      </w:r>
    </w:p>
    <w:p w14:paraId="12989509">
      <w:pPr>
        <w:spacing w:line="360" w:lineRule="auto"/>
        <w:ind w:firstLine="480" w:firstLineChars="200"/>
        <w:rPr>
          <w:bCs/>
          <w:sz w:val="24"/>
        </w:rPr>
      </w:pPr>
      <w:r>
        <w:rPr>
          <w:bCs/>
          <w:sz w:val="24"/>
        </w:rPr>
        <w:t>本基金运作过程中涉及的各纳税主体，其纳税义务按国家税收法律、法规执行。</w:t>
      </w:r>
    </w:p>
    <w:p w14:paraId="2BF670BC">
      <w:pPr>
        <w:pStyle w:val="2"/>
        <w:spacing w:before="0" w:after="0"/>
        <w:jc w:val="center"/>
        <w:rPr>
          <w:rFonts w:ascii="Times New Roman"/>
          <w:color w:val="auto"/>
          <w:sz w:val="30"/>
        </w:rPr>
      </w:pPr>
      <w:bookmarkStart w:id="320" w:name="_Toc93226149"/>
      <w:bookmarkStart w:id="321" w:name="_Toc92662707"/>
      <w:bookmarkStart w:id="322" w:name="_Toc22552"/>
      <w:bookmarkStart w:id="323" w:name="_Toc139991746"/>
      <w:bookmarkStart w:id="324" w:name="_Toc141703896"/>
      <w:bookmarkStart w:id="325" w:name="_Toc128310499"/>
      <w:r>
        <w:rPr>
          <w:rFonts w:ascii="Times New Roman"/>
          <w:b w:val="0"/>
          <w:bCs/>
          <w:color w:val="auto"/>
          <w:sz w:val="30"/>
        </w:rPr>
        <w:br w:type="page"/>
      </w:r>
      <w:bookmarkStart w:id="326" w:name="_Toc25883"/>
      <w:bookmarkStart w:id="327" w:name="_Toc1364018442"/>
      <w:bookmarkStart w:id="328" w:name="_Toc19558"/>
      <w:bookmarkStart w:id="329" w:name="_Toc12761"/>
      <w:bookmarkStart w:id="330" w:name="_Toc3656"/>
      <w:bookmarkStart w:id="331" w:name="_Toc21829"/>
      <w:bookmarkStart w:id="332" w:name="_Toc178"/>
      <w:bookmarkStart w:id="333" w:name="_Toc15525"/>
      <w:bookmarkStart w:id="334" w:name="_Toc1617"/>
      <w:bookmarkStart w:id="335" w:name="_Toc20052"/>
      <w:bookmarkStart w:id="336" w:name="_Toc435642212"/>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20"/>
      <w:bookmarkEnd w:id="321"/>
      <w:r>
        <w:rPr>
          <w:rFonts w:ascii="Times New Roman"/>
          <w:color w:val="auto"/>
          <w:sz w:val="30"/>
        </w:rPr>
        <w:t>的收益与分配</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3734CEF">
      <w:pPr>
        <w:spacing w:line="360" w:lineRule="auto"/>
        <w:ind w:firstLine="540" w:firstLineChars="225"/>
        <w:rPr>
          <w:bCs/>
          <w:sz w:val="24"/>
        </w:rPr>
      </w:pPr>
      <w:r>
        <w:rPr>
          <w:bCs/>
          <w:sz w:val="24"/>
        </w:rPr>
        <w:t>一、基金利润的构成</w:t>
      </w:r>
    </w:p>
    <w:p w14:paraId="3FCBBA17">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0858FD2A">
      <w:pPr>
        <w:spacing w:line="360" w:lineRule="auto"/>
        <w:ind w:firstLine="540" w:firstLineChars="225"/>
        <w:rPr>
          <w:bCs/>
          <w:sz w:val="24"/>
        </w:rPr>
      </w:pPr>
      <w:r>
        <w:rPr>
          <w:bCs/>
          <w:sz w:val="24"/>
        </w:rPr>
        <w:t>二、基金可供分配利润</w:t>
      </w:r>
    </w:p>
    <w:p w14:paraId="16A4BAD9">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7078FA46">
      <w:pPr>
        <w:spacing w:line="360" w:lineRule="auto"/>
        <w:ind w:firstLine="540" w:firstLineChars="225"/>
        <w:rPr>
          <w:bCs/>
          <w:sz w:val="24"/>
        </w:rPr>
      </w:pPr>
      <w:r>
        <w:rPr>
          <w:bCs/>
          <w:sz w:val="24"/>
        </w:rPr>
        <w:t>三、基金收益分配原则</w:t>
      </w:r>
    </w:p>
    <w:p w14:paraId="05E0C31C">
      <w:pPr>
        <w:adjustRightInd w:val="0"/>
        <w:snapToGrid w:val="0"/>
        <w:spacing w:line="360" w:lineRule="auto"/>
        <w:ind w:firstLine="480" w:firstLineChars="200"/>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00628B35">
      <w:pPr>
        <w:adjustRightInd w:val="0"/>
        <w:snapToGrid w:val="0"/>
        <w:spacing w:line="360" w:lineRule="auto"/>
        <w:ind w:firstLine="480" w:firstLineChars="200"/>
        <w:rPr>
          <w:rFonts w:hint="eastAsia"/>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11091100">
      <w:pPr>
        <w:adjustRightInd w:val="0"/>
        <w:snapToGrid w:val="0"/>
        <w:spacing w:line="360" w:lineRule="auto"/>
        <w:ind w:firstLine="480" w:firstLineChars="200"/>
        <w:rPr>
          <w:bCs/>
          <w:sz w:val="24"/>
        </w:rPr>
      </w:pPr>
      <w:r>
        <w:rPr>
          <w:rFonts w:hint="eastAsia"/>
          <w:bCs/>
          <w:sz w:val="24"/>
        </w:rPr>
        <w:t>3、</w:t>
      </w:r>
      <w:r>
        <w:rPr>
          <w:bCs/>
          <w:sz w:val="24"/>
        </w:rPr>
        <w:t>每一基金份额享有同等分配权；</w:t>
      </w:r>
    </w:p>
    <w:p w14:paraId="5B9859BE">
      <w:pPr>
        <w:adjustRightInd w:val="0"/>
        <w:snapToGrid w:val="0"/>
        <w:spacing w:line="360" w:lineRule="auto"/>
        <w:ind w:firstLine="480" w:firstLineChars="200"/>
        <w:rPr>
          <w:bCs/>
          <w:sz w:val="24"/>
        </w:rPr>
      </w:pPr>
      <w:r>
        <w:rPr>
          <w:rFonts w:hint="eastAsia"/>
          <w:bCs/>
          <w:sz w:val="24"/>
        </w:rPr>
        <w:t>4</w:t>
      </w:r>
      <w:r>
        <w:rPr>
          <w:bCs/>
          <w:sz w:val="24"/>
        </w:rPr>
        <w:t>、法律法规或监管机关另有规定的，从其规定。</w:t>
      </w:r>
    </w:p>
    <w:p w14:paraId="62DF03C4">
      <w:pPr>
        <w:spacing w:line="360" w:lineRule="auto"/>
        <w:ind w:firstLine="540" w:firstLineChars="225"/>
        <w:rPr>
          <w:rFonts w:hint="eastAsia"/>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5C0B5EF7">
      <w:pPr>
        <w:spacing w:line="360" w:lineRule="auto"/>
        <w:ind w:firstLine="540" w:firstLineChars="225"/>
        <w:rPr>
          <w:bCs/>
          <w:sz w:val="24"/>
        </w:rPr>
      </w:pPr>
      <w:r>
        <w:rPr>
          <w:bCs/>
          <w:sz w:val="24"/>
        </w:rPr>
        <w:t>四、收益分配方案</w:t>
      </w:r>
    </w:p>
    <w:p w14:paraId="29E605BA">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40867F78">
      <w:pPr>
        <w:spacing w:line="360" w:lineRule="auto"/>
        <w:ind w:firstLine="540" w:firstLineChars="225"/>
        <w:rPr>
          <w:bCs/>
          <w:sz w:val="24"/>
        </w:rPr>
      </w:pPr>
      <w:r>
        <w:rPr>
          <w:bCs/>
          <w:sz w:val="24"/>
        </w:rPr>
        <w:t>五、收益分配方案的确定、公告与实施</w:t>
      </w:r>
    </w:p>
    <w:p w14:paraId="52DE68B5">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4BFAD2DA">
      <w:pPr>
        <w:spacing w:line="360" w:lineRule="auto"/>
        <w:ind w:firstLine="540" w:firstLineChars="225"/>
        <w:rPr>
          <w:bCs/>
          <w:sz w:val="24"/>
        </w:rPr>
      </w:pPr>
      <w:r>
        <w:rPr>
          <w:bCs/>
          <w:sz w:val="24"/>
        </w:rPr>
        <w:t>基金红利发放日距离收益分配基准日（即可供分配利润计算截止日）的时间不得超过15个工作日。</w:t>
      </w:r>
    </w:p>
    <w:p w14:paraId="22FE7207">
      <w:pPr>
        <w:spacing w:line="360" w:lineRule="auto"/>
        <w:ind w:firstLine="540" w:firstLineChars="225"/>
        <w:rPr>
          <w:bCs/>
          <w:sz w:val="24"/>
        </w:rPr>
      </w:pPr>
      <w:r>
        <w:rPr>
          <w:bCs/>
          <w:sz w:val="24"/>
        </w:rPr>
        <w:t>六、基金收益分配中发生的费用</w:t>
      </w:r>
    </w:p>
    <w:p w14:paraId="64FB9A46">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72B871C4">
      <w:pPr>
        <w:spacing w:line="360" w:lineRule="auto"/>
        <w:ind w:firstLine="540" w:firstLineChars="225"/>
        <w:rPr>
          <w:bCs/>
          <w:sz w:val="24"/>
        </w:rPr>
      </w:pPr>
      <w:r>
        <w:rPr>
          <w:rFonts w:hint="eastAsia"/>
          <w:bCs/>
          <w:sz w:val="24"/>
        </w:rPr>
        <w:t>七、实施侧袋机制期间的收益分配</w:t>
      </w:r>
    </w:p>
    <w:p w14:paraId="7E5F104D">
      <w:pPr>
        <w:spacing w:line="360" w:lineRule="auto"/>
        <w:ind w:firstLine="540" w:firstLineChars="225"/>
        <w:rPr>
          <w:bCs/>
          <w:sz w:val="24"/>
        </w:rPr>
      </w:pPr>
      <w:r>
        <w:rPr>
          <w:rFonts w:hint="eastAsia"/>
          <w:bCs/>
          <w:sz w:val="24"/>
        </w:rPr>
        <w:t>本基金实施侧袋机制的，侧袋账户不进行收益分配，详见招募说明书的规定。</w:t>
      </w:r>
    </w:p>
    <w:p w14:paraId="61AF6B1A">
      <w:pPr>
        <w:spacing w:line="360" w:lineRule="auto"/>
        <w:ind w:firstLine="540" w:firstLineChars="225"/>
        <w:rPr>
          <w:bCs/>
          <w:sz w:val="24"/>
        </w:rPr>
      </w:pPr>
    </w:p>
    <w:p w14:paraId="56DC20CD">
      <w:pPr>
        <w:pStyle w:val="2"/>
        <w:spacing w:before="0" w:after="0"/>
        <w:jc w:val="center"/>
        <w:rPr>
          <w:rFonts w:ascii="Times New Roman"/>
          <w:color w:val="auto"/>
          <w:sz w:val="30"/>
        </w:rPr>
      </w:pPr>
      <w:r>
        <w:rPr>
          <w:rFonts w:ascii="Times New Roman"/>
          <w:b w:val="0"/>
          <w:bCs/>
          <w:color w:val="auto"/>
          <w:kern w:val="44"/>
          <w:sz w:val="21"/>
        </w:rPr>
        <w:br w:type="page"/>
      </w:r>
      <w:bookmarkStart w:id="337" w:name="_Toc93226150"/>
      <w:bookmarkStart w:id="338" w:name="_Toc92662708"/>
      <w:bookmarkStart w:id="339" w:name="_Toc13255"/>
      <w:bookmarkStart w:id="340" w:name="_Toc139991747"/>
      <w:bookmarkStart w:id="341" w:name="_Toc28961"/>
      <w:bookmarkStart w:id="342" w:name="_Toc1043"/>
      <w:bookmarkStart w:id="343" w:name="_Toc21206"/>
      <w:bookmarkStart w:id="344" w:name="_Toc686141603"/>
      <w:bookmarkStart w:id="345" w:name="_Toc435642213"/>
      <w:bookmarkStart w:id="346" w:name="_Toc18007"/>
      <w:bookmarkStart w:id="347" w:name="_Toc128310500"/>
      <w:bookmarkStart w:id="348" w:name="_Toc10894"/>
      <w:bookmarkStart w:id="349" w:name="_Toc31736"/>
      <w:bookmarkStart w:id="350" w:name="_Toc17499"/>
      <w:bookmarkStart w:id="351" w:name="_Toc141703897"/>
      <w:bookmarkStart w:id="352" w:name="_Toc29695"/>
      <w:bookmarkStart w:id="353" w:name="_Toc23859"/>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37"/>
      <w:bookmarkEnd w:id="338"/>
      <w:r>
        <w:rPr>
          <w:rFonts w:ascii="Times New Roman"/>
          <w:color w:val="auto"/>
          <w:sz w:val="30"/>
        </w:rPr>
        <w:t>的会计与审计</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6E8835B5">
      <w:pPr>
        <w:spacing w:line="360" w:lineRule="auto"/>
        <w:ind w:firstLine="480" w:firstLineChars="200"/>
        <w:rPr>
          <w:bCs/>
          <w:sz w:val="24"/>
        </w:rPr>
      </w:pPr>
    </w:p>
    <w:p w14:paraId="39AC0452">
      <w:pPr>
        <w:spacing w:line="360" w:lineRule="auto"/>
        <w:ind w:firstLine="480" w:firstLineChars="200"/>
        <w:rPr>
          <w:bCs/>
          <w:sz w:val="24"/>
        </w:rPr>
      </w:pPr>
      <w:r>
        <w:rPr>
          <w:bCs/>
          <w:sz w:val="24"/>
        </w:rPr>
        <w:t>一、基金会计政策</w:t>
      </w:r>
    </w:p>
    <w:p w14:paraId="68C756EB">
      <w:pPr>
        <w:spacing w:line="360" w:lineRule="auto"/>
        <w:ind w:firstLine="480" w:firstLineChars="200"/>
        <w:rPr>
          <w:bCs/>
          <w:sz w:val="24"/>
        </w:rPr>
      </w:pPr>
      <w:r>
        <w:rPr>
          <w:bCs/>
          <w:sz w:val="24"/>
        </w:rPr>
        <w:t>1、基金管理人为本基金的基金会计责任方；</w:t>
      </w:r>
    </w:p>
    <w:p w14:paraId="6D1C85F3">
      <w:pPr>
        <w:spacing w:line="360" w:lineRule="auto"/>
        <w:ind w:firstLine="480" w:firstLineChars="200"/>
        <w:rPr>
          <w:bCs/>
          <w:sz w:val="24"/>
        </w:rPr>
      </w:pPr>
      <w:r>
        <w:rPr>
          <w:bCs/>
          <w:sz w:val="24"/>
        </w:rPr>
        <w:t>2、基金的会计年度为公历年度的1月1日至12月31日；如果《基金合同》生效少于2个月，可以并入下一个会计年度</w:t>
      </w:r>
      <w:r>
        <w:rPr>
          <w:rFonts w:hint="eastAsia"/>
          <w:bCs/>
          <w:sz w:val="24"/>
        </w:rPr>
        <w:t>披露</w:t>
      </w:r>
      <w:r>
        <w:rPr>
          <w:bCs/>
          <w:sz w:val="24"/>
        </w:rPr>
        <w:t>；</w:t>
      </w:r>
    </w:p>
    <w:p w14:paraId="79B225B7">
      <w:pPr>
        <w:spacing w:line="360" w:lineRule="auto"/>
        <w:ind w:firstLine="480" w:firstLineChars="200"/>
        <w:rPr>
          <w:bCs/>
          <w:sz w:val="24"/>
        </w:rPr>
      </w:pPr>
      <w:r>
        <w:rPr>
          <w:bCs/>
          <w:sz w:val="24"/>
        </w:rPr>
        <w:t>3、基金核算以人民币为记账本位币，以人民币元为记账单位；</w:t>
      </w:r>
    </w:p>
    <w:p w14:paraId="72CCF20C">
      <w:pPr>
        <w:spacing w:line="360" w:lineRule="auto"/>
        <w:ind w:firstLine="480" w:firstLineChars="200"/>
        <w:rPr>
          <w:bCs/>
          <w:sz w:val="24"/>
        </w:rPr>
      </w:pPr>
      <w:r>
        <w:rPr>
          <w:bCs/>
          <w:sz w:val="24"/>
        </w:rPr>
        <w:t>4、会计制度执行国家有关会计制度；</w:t>
      </w:r>
    </w:p>
    <w:p w14:paraId="70E743FE">
      <w:pPr>
        <w:spacing w:line="360" w:lineRule="auto"/>
        <w:ind w:firstLine="480" w:firstLineChars="200"/>
        <w:rPr>
          <w:bCs/>
          <w:sz w:val="24"/>
        </w:rPr>
      </w:pPr>
      <w:r>
        <w:rPr>
          <w:bCs/>
          <w:sz w:val="24"/>
        </w:rPr>
        <w:t>5、本基金独立建账、独立核算；</w:t>
      </w:r>
    </w:p>
    <w:p w14:paraId="233B315E">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61600091">
      <w:pPr>
        <w:spacing w:line="360" w:lineRule="auto"/>
        <w:ind w:firstLine="480" w:firstLineChars="200"/>
        <w:rPr>
          <w:bCs/>
          <w:sz w:val="24"/>
        </w:rPr>
      </w:pPr>
      <w:r>
        <w:rPr>
          <w:bCs/>
          <w:sz w:val="24"/>
        </w:rPr>
        <w:t>7、基金托管人每月与基金管理人就基金的会计核算、报表编制等进行核对并以书面方式确认。</w:t>
      </w:r>
    </w:p>
    <w:p w14:paraId="76837C40">
      <w:pPr>
        <w:spacing w:line="360" w:lineRule="auto"/>
        <w:ind w:firstLine="480" w:firstLineChars="200"/>
        <w:rPr>
          <w:bCs/>
          <w:sz w:val="24"/>
        </w:rPr>
      </w:pPr>
      <w:r>
        <w:rPr>
          <w:bCs/>
          <w:sz w:val="24"/>
        </w:rPr>
        <w:t>二、基金的年度审计</w:t>
      </w:r>
    </w:p>
    <w:p w14:paraId="76738D12">
      <w:pPr>
        <w:spacing w:line="360" w:lineRule="auto"/>
        <w:ind w:firstLine="480" w:firstLineChars="200"/>
        <w:rPr>
          <w:bCs/>
          <w:sz w:val="24"/>
        </w:rPr>
      </w:pPr>
      <w:r>
        <w:rPr>
          <w:bCs/>
          <w:sz w:val="24"/>
        </w:rPr>
        <w:t>1、基金管理人聘请与基金管理人、基金托管人相互独立的具有证券</w:t>
      </w:r>
      <w:r>
        <w:rPr>
          <w:rFonts w:hint="eastAsia"/>
          <w:bCs/>
          <w:sz w:val="24"/>
        </w:rPr>
        <w:t>、</w:t>
      </w:r>
      <w:r>
        <w:rPr>
          <w:bCs/>
          <w:sz w:val="24"/>
        </w:rPr>
        <w:t>期货相关业务资格的会计师事务所及其注册会计师对本基金的年度财务报表进行审计。</w:t>
      </w:r>
    </w:p>
    <w:p w14:paraId="45134042">
      <w:pPr>
        <w:spacing w:line="360" w:lineRule="auto"/>
        <w:ind w:firstLine="480" w:firstLineChars="200"/>
        <w:rPr>
          <w:bCs/>
          <w:sz w:val="24"/>
        </w:rPr>
      </w:pPr>
      <w:r>
        <w:rPr>
          <w:bCs/>
          <w:sz w:val="24"/>
        </w:rPr>
        <w:t>2、会计师事务所更换经办注册会计师，应事先征得基金管理人同意。</w:t>
      </w:r>
    </w:p>
    <w:p w14:paraId="20103E46">
      <w:pPr>
        <w:spacing w:line="360" w:lineRule="auto"/>
        <w:ind w:firstLine="480" w:firstLineChars="200"/>
        <w:rPr>
          <w:bCs/>
          <w:sz w:val="24"/>
        </w:rPr>
      </w:pPr>
      <w:r>
        <w:rPr>
          <w:bCs/>
          <w:sz w:val="24"/>
        </w:rPr>
        <w:t>3、</w:t>
      </w:r>
      <w:bookmarkStart w:id="354" w:name="_Hlt4221115"/>
      <w:bookmarkEnd w:id="354"/>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26C52D54">
      <w:pPr>
        <w:pStyle w:val="2"/>
        <w:spacing w:before="0" w:after="0"/>
        <w:jc w:val="center"/>
        <w:rPr>
          <w:rFonts w:ascii="Times New Roman"/>
          <w:color w:val="auto"/>
          <w:sz w:val="30"/>
        </w:rPr>
      </w:pPr>
      <w:r>
        <w:rPr>
          <w:rFonts w:ascii="Times New Roman"/>
          <w:b w:val="0"/>
          <w:bCs/>
          <w:color w:val="auto"/>
        </w:rPr>
        <w:br w:type="page"/>
      </w:r>
      <w:bookmarkStart w:id="355" w:name="_Toc92662709"/>
      <w:bookmarkStart w:id="356" w:name="_Toc93226151"/>
      <w:bookmarkStart w:id="357" w:name="_Toc128310501"/>
      <w:bookmarkStart w:id="358" w:name="_Toc1421"/>
      <w:bookmarkStart w:id="359" w:name="_Toc193"/>
      <w:bookmarkStart w:id="360" w:name="_Toc139991748"/>
      <w:bookmarkStart w:id="361" w:name="_Toc141703898"/>
      <w:bookmarkStart w:id="362" w:name="_Toc435642214"/>
      <w:bookmarkStart w:id="363" w:name="_Toc8512"/>
      <w:bookmarkStart w:id="364" w:name="_Toc11049"/>
      <w:bookmarkStart w:id="365" w:name="_Toc31866"/>
      <w:bookmarkStart w:id="366" w:name="_Toc11802"/>
      <w:bookmarkStart w:id="367" w:name="_Toc1173"/>
      <w:bookmarkStart w:id="368" w:name="_Toc12028"/>
      <w:bookmarkStart w:id="369" w:name="_Toc3056"/>
      <w:bookmarkStart w:id="370" w:name="_Toc1616572452"/>
      <w:bookmarkStart w:id="371" w:name="_Toc29289"/>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55"/>
      <w:bookmarkEnd w:id="356"/>
      <w:r>
        <w:rPr>
          <w:rFonts w:ascii="Times New Roman"/>
          <w:color w:val="auto"/>
          <w:sz w:val="30"/>
        </w:rPr>
        <w:t>的信息披露</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1C26DF2E">
      <w:pPr>
        <w:spacing w:line="360" w:lineRule="auto"/>
        <w:ind w:firstLine="480" w:firstLineChars="200"/>
        <w:rPr>
          <w:bCs/>
          <w:sz w:val="24"/>
        </w:rPr>
      </w:pPr>
    </w:p>
    <w:p w14:paraId="694F2BE0">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0107524D">
      <w:pPr>
        <w:spacing w:line="360" w:lineRule="auto"/>
        <w:ind w:firstLine="480" w:firstLineChars="200"/>
        <w:rPr>
          <w:bCs/>
          <w:sz w:val="24"/>
        </w:rPr>
      </w:pPr>
      <w:r>
        <w:rPr>
          <w:bCs/>
          <w:sz w:val="24"/>
        </w:rPr>
        <w:t>二、信息披露义务人</w:t>
      </w:r>
    </w:p>
    <w:p w14:paraId="2B1BDCB9">
      <w:pPr>
        <w:spacing w:line="360" w:lineRule="auto"/>
        <w:ind w:firstLine="480" w:firstLineChars="20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法规和中国证监会规定的自然人、法人和</w:t>
      </w:r>
      <w:r>
        <w:rPr>
          <w:rFonts w:hint="eastAsia"/>
          <w:bCs/>
          <w:sz w:val="24"/>
        </w:rPr>
        <w:t>非法人</w:t>
      </w:r>
      <w:r>
        <w:rPr>
          <w:bCs/>
          <w:sz w:val="24"/>
        </w:rPr>
        <w:t>组织。</w:t>
      </w:r>
    </w:p>
    <w:p w14:paraId="0AE0B0D5">
      <w:pPr>
        <w:spacing w:line="360" w:lineRule="auto"/>
        <w:ind w:firstLine="480" w:firstLineChars="20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14:paraId="358D5F72">
      <w:pPr>
        <w:spacing w:line="360" w:lineRule="auto"/>
        <w:ind w:firstLine="480" w:firstLineChars="200"/>
        <w:rPr>
          <w:bCs/>
          <w:sz w:val="24"/>
        </w:rPr>
      </w:pPr>
      <w:r>
        <w:rPr>
          <w:bCs/>
          <w:sz w:val="24"/>
        </w:rPr>
        <w:t>本基金信息披露义务人应当在中国证监会规定时间内，</w:t>
      </w:r>
      <w:r>
        <w:rPr>
          <w:rFonts w:hint="eastAsia"/>
          <w:bCs/>
          <w:sz w:val="24"/>
        </w:rPr>
        <w:t>将应予披露的基金信息通过中国证监会指定媒介披露</w:t>
      </w:r>
      <w:r>
        <w:rPr>
          <w:bCs/>
          <w:sz w:val="24"/>
        </w:rPr>
        <w:t>，并保证基金投资者能够按照《基金合同》约定的时间和方式查阅或者复制公开披露的信息资料。</w:t>
      </w:r>
    </w:p>
    <w:p w14:paraId="01C7C492">
      <w:pPr>
        <w:spacing w:line="360" w:lineRule="auto"/>
        <w:ind w:firstLine="480" w:firstLineChars="200"/>
        <w:rPr>
          <w:bCs/>
          <w:sz w:val="24"/>
        </w:rPr>
      </w:pPr>
      <w:r>
        <w:rPr>
          <w:bCs/>
          <w:sz w:val="24"/>
        </w:rPr>
        <w:t>三、本基金信息披露义务人承诺公开披露的基金信息，不得有下列行为：</w:t>
      </w:r>
    </w:p>
    <w:p w14:paraId="35EAAE40">
      <w:pPr>
        <w:spacing w:line="360" w:lineRule="auto"/>
        <w:ind w:firstLine="480" w:firstLineChars="200"/>
        <w:rPr>
          <w:bCs/>
          <w:sz w:val="24"/>
        </w:rPr>
      </w:pPr>
      <w:r>
        <w:rPr>
          <w:bCs/>
          <w:sz w:val="24"/>
        </w:rPr>
        <w:t>1、虚假记载、误导性陈述或者重大遗漏；</w:t>
      </w:r>
    </w:p>
    <w:p w14:paraId="341FAE3F">
      <w:pPr>
        <w:spacing w:line="360" w:lineRule="auto"/>
        <w:ind w:firstLine="480" w:firstLineChars="200"/>
        <w:rPr>
          <w:bCs/>
          <w:sz w:val="24"/>
        </w:rPr>
      </w:pPr>
      <w:r>
        <w:rPr>
          <w:bCs/>
          <w:sz w:val="24"/>
        </w:rPr>
        <w:t>2、对证券投资业绩进行预测；</w:t>
      </w:r>
    </w:p>
    <w:p w14:paraId="5C892FDC">
      <w:pPr>
        <w:spacing w:line="360" w:lineRule="auto"/>
        <w:ind w:firstLine="480" w:firstLineChars="200"/>
        <w:rPr>
          <w:bCs/>
          <w:sz w:val="24"/>
        </w:rPr>
      </w:pPr>
      <w:r>
        <w:rPr>
          <w:bCs/>
          <w:sz w:val="24"/>
        </w:rPr>
        <w:t>3、违规承诺收益或者承担损失；</w:t>
      </w:r>
    </w:p>
    <w:p w14:paraId="66FC5E12">
      <w:pPr>
        <w:spacing w:line="360" w:lineRule="auto"/>
        <w:ind w:firstLine="480" w:firstLineChars="200"/>
        <w:rPr>
          <w:bCs/>
          <w:sz w:val="24"/>
        </w:rPr>
      </w:pPr>
      <w:r>
        <w:rPr>
          <w:bCs/>
          <w:sz w:val="24"/>
        </w:rPr>
        <w:t>4、诋毁其他基金管理人、基金托管人或者基金销售机构；</w:t>
      </w:r>
    </w:p>
    <w:p w14:paraId="1571E905">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7EB389DD">
      <w:pPr>
        <w:spacing w:line="360" w:lineRule="auto"/>
        <w:ind w:firstLine="480" w:firstLineChars="200"/>
        <w:rPr>
          <w:bCs/>
          <w:sz w:val="24"/>
        </w:rPr>
      </w:pPr>
      <w:r>
        <w:rPr>
          <w:bCs/>
          <w:sz w:val="24"/>
        </w:rPr>
        <w:t>6、中国证监会禁止的其他行为。</w:t>
      </w:r>
    </w:p>
    <w:p w14:paraId="17C3193E">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6A681849">
      <w:pPr>
        <w:spacing w:line="360" w:lineRule="auto"/>
        <w:ind w:firstLine="480" w:firstLineChars="200"/>
        <w:rPr>
          <w:bCs/>
          <w:sz w:val="24"/>
        </w:rPr>
      </w:pPr>
      <w:r>
        <w:rPr>
          <w:bCs/>
          <w:sz w:val="24"/>
        </w:rPr>
        <w:t>本基金公开披露的信息采用阿拉伯数字；除特别说明外，货币单位为人民币元。</w:t>
      </w:r>
    </w:p>
    <w:p w14:paraId="5C3A9F23">
      <w:pPr>
        <w:spacing w:line="360" w:lineRule="auto"/>
        <w:ind w:firstLine="480" w:firstLineChars="200"/>
        <w:rPr>
          <w:bCs/>
          <w:sz w:val="24"/>
        </w:rPr>
      </w:pPr>
      <w:r>
        <w:rPr>
          <w:bCs/>
          <w:sz w:val="24"/>
        </w:rPr>
        <w:t>五、公开披露的基金信息</w:t>
      </w:r>
    </w:p>
    <w:p w14:paraId="53D785A7">
      <w:pPr>
        <w:spacing w:line="360" w:lineRule="auto"/>
        <w:ind w:firstLine="480" w:firstLineChars="200"/>
        <w:rPr>
          <w:bCs/>
          <w:sz w:val="24"/>
        </w:rPr>
      </w:pPr>
      <w:r>
        <w:rPr>
          <w:bCs/>
          <w:sz w:val="24"/>
        </w:rPr>
        <w:t>公开披露的基金信息包括：</w:t>
      </w:r>
    </w:p>
    <w:p w14:paraId="501023F5">
      <w:pPr>
        <w:spacing w:line="360" w:lineRule="auto"/>
        <w:ind w:firstLine="480" w:firstLineChars="200"/>
        <w:rPr>
          <w:bCs/>
          <w:sz w:val="24"/>
        </w:rPr>
      </w:pPr>
      <w:r>
        <w:rPr>
          <w:bCs/>
          <w:sz w:val="24"/>
        </w:rPr>
        <w:t>（一）基金招募说明书、《基金合同》、基金托管协议</w:t>
      </w:r>
      <w:r>
        <w:rPr>
          <w:rFonts w:hint="eastAsia"/>
          <w:bCs/>
          <w:sz w:val="24"/>
        </w:rPr>
        <w:t>、</w:t>
      </w:r>
      <w:r>
        <w:rPr>
          <w:bCs/>
          <w:sz w:val="24"/>
        </w:rPr>
        <w:t>基金产品资料概要</w:t>
      </w:r>
    </w:p>
    <w:p w14:paraId="68884F59">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5A09B9BB">
      <w:pPr>
        <w:spacing w:line="360" w:lineRule="auto"/>
        <w:ind w:firstLine="480" w:firstLineChars="200"/>
        <w:rPr>
          <w:bCs/>
          <w:sz w:val="24"/>
        </w:rPr>
      </w:pPr>
      <w:r>
        <w:rPr>
          <w:bCs/>
          <w:sz w:val="24"/>
        </w:rPr>
        <w:t>2、基金招募说明书应当最大限度地披露影响基金投资者决策的全部事项，说明基金申购和赎回安排、基金投资、基金产品特性、风险揭示、信息披露及基金份额持有人服务等内容。《基金合同》生效后，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0590218F">
      <w:pPr>
        <w:spacing w:line="360" w:lineRule="auto"/>
        <w:ind w:firstLine="480" w:firstLineChars="200"/>
        <w:rPr>
          <w:rFonts w:hint="eastAsia"/>
          <w:bCs/>
          <w:sz w:val="24"/>
        </w:rPr>
      </w:pPr>
      <w:r>
        <w:rPr>
          <w:bCs/>
          <w:sz w:val="24"/>
        </w:rPr>
        <w:t>3、基金托管协议是界定基金托管人和基金管理人在基金财产保管及基金运作监督等活动中的权利、义务关系的法律文件。</w:t>
      </w:r>
    </w:p>
    <w:p w14:paraId="1C7F9E8C">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14:paraId="288DB7E5">
      <w:pPr>
        <w:spacing w:line="360" w:lineRule="auto"/>
        <w:ind w:firstLine="480" w:firstLineChars="200"/>
        <w:rPr>
          <w:bCs/>
          <w:sz w:val="24"/>
        </w:rPr>
      </w:pPr>
      <w:r>
        <w:rPr>
          <w:rFonts w:hint="eastAsia"/>
          <w:bCs/>
          <w:sz w:val="24"/>
        </w:rPr>
        <w:t>5、本</w:t>
      </w:r>
      <w:r>
        <w:rPr>
          <w:bCs/>
          <w:sz w:val="24"/>
        </w:rPr>
        <w:t>基金</w:t>
      </w:r>
      <w:r>
        <w:rPr>
          <w:rFonts w:hint="eastAsia"/>
          <w:bCs/>
          <w:sz w:val="24"/>
        </w:rPr>
        <w:t>由博时裕嘉纯债债券型证券投资基金变更而来，</w:t>
      </w:r>
      <w:r>
        <w:rPr>
          <w:bCs/>
          <w:sz w:val="24"/>
        </w:rPr>
        <w:t>经中国证监会</w:t>
      </w:r>
      <w:r>
        <w:rPr>
          <w:rFonts w:hint="eastAsia"/>
          <w:bCs/>
          <w:sz w:val="24"/>
        </w:rPr>
        <w:t>注册</w:t>
      </w:r>
      <w:r>
        <w:rPr>
          <w:bCs/>
          <w:sz w:val="24"/>
        </w:rPr>
        <w:t>后，基金管理人</w:t>
      </w:r>
      <w:r>
        <w:rPr>
          <w:rFonts w:hint="eastAsia"/>
          <w:bCs/>
          <w:sz w:val="24"/>
        </w:rPr>
        <w:t>按照相关规定</w:t>
      </w:r>
      <w:r>
        <w:rPr>
          <w:bCs/>
          <w:sz w:val="24"/>
        </w:rPr>
        <w:t>将基金招募说明书、《基金合同》摘要</w:t>
      </w:r>
      <w:r>
        <w:rPr>
          <w:rFonts w:hint="eastAsia"/>
          <w:bCs/>
          <w:sz w:val="24"/>
        </w:rPr>
        <w:t>、</w:t>
      </w:r>
      <w:r>
        <w:rPr>
          <w:bCs/>
          <w:sz w:val="24"/>
        </w:rPr>
        <w:t>《基金合同》、基金托管协议登载在指定</w:t>
      </w:r>
      <w:r>
        <w:rPr>
          <w:rFonts w:hint="eastAsia"/>
          <w:bCs/>
          <w:sz w:val="24"/>
        </w:rPr>
        <w:t>媒介</w:t>
      </w:r>
      <w:r>
        <w:rPr>
          <w:bCs/>
          <w:sz w:val="24"/>
        </w:rPr>
        <w:t>上。</w:t>
      </w:r>
    </w:p>
    <w:p w14:paraId="65AA01B6">
      <w:pPr>
        <w:spacing w:line="360" w:lineRule="auto"/>
        <w:ind w:firstLine="480" w:firstLineChars="200"/>
        <w:rPr>
          <w:bCs/>
          <w:sz w:val="24"/>
        </w:rPr>
      </w:pPr>
      <w:r>
        <w:rPr>
          <w:bCs/>
          <w:sz w:val="24"/>
        </w:rPr>
        <w:t>（</w:t>
      </w:r>
      <w:r>
        <w:rPr>
          <w:rFonts w:hint="eastAsia"/>
          <w:bCs/>
          <w:sz w:val="24"/>
        </w:rPr>
        <w:t>二</w:t>
      </w:r>
      <w:r>
        <w:rPr>
          <w:bCs/>
          <w:sz w:val="24"/>
        </w:rPr>
        <w:t>）基金净值</w:t>
      </w:r>
      <w:r>
        <w:rPr>
          <w:rFonts w:hint="eastAsia"/>
          <w:bCs/>
          <w:sz w:val="24"/>
        </w:rPr>
        <w:t>信息</w:t>
      </w:r>
    </w:p>
    <w:p w14:paraId="3C504647">
      <w:pPr>
        <w:spacing w:line="360" w:lineRule="auto"/>
        <w:ind w:firstLine="480" w:firstLineChars="200"/>
        <w:rPr>
          <w:rFonts w:hint="eastAsia"/>
          <w:bCs/>
          <w:sz w:val="24"/>
        </w:rPr>
      </w:pPr>
      <w:r>
        <w:rPr>
          <w:rFonts w:hint="eastAsia"/>
          <w:bCs/>
          <w:sz w:val="24"/>
        </w:rPr>
        <w:t>《基金合同》生效后，在封闭期内，基金管理人应当至少每周在指定网站披露一次基金份额净值和基金份额累计净值。</w:t>
      </w:r>
    </w:p>
    <w:p w14:paraId="3007624C">
      <w:pPr>
        <w:spacing w:line="360" w:lineRule="auto"/>
        <w:ind w:firstLine="480" w:firstLineChars="200"/>
        <w:rPr>
          <w:rFonts w:hint="eastAsia"/>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136216E9">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基金管理人应当在不晚于半年度和年度最后一日的次日，在指定网站披露半年度和年度最后一日的基金份额净值和基金份额累计净值。</w:t>
      </w:r>
    </w:p>
    <w:p w14:paraId="1AB26AB0">
      <w:pPr>
        <w:spacing w:line="360" w:lineRule="auto"/>
        <w:ind w:firstLine="480" w:firstLineChars="200"/>
        <w:rPr>
          <w:bCs/>
          <w:sz w:val="24"/>
        </w:rPr>
      </w:pPr>
      <w:r>
        <w:rPr>
          <w:bCs/>
          <w:sz w:val="24"/>
        </w:rPr>
        <w:t>（</w:t>
      </w:r>
      <w:r>
        <w:rPr>
          <w:rFonts w:hint="eastAsia"/>
          <w:bCs/>
          <w:sz w:val="24"/>
        </w:rPr>
        <w:t>三</w:t>
      </w:r>
      <w:r>
        <w:rPr>
          <w:bCs/>
          <w:sz w:val="24"/>
        </w:rPr>
        <w:t>）基金份额申购、赎回价格</w:t>
      </w:r>
    </w:p>
    <w:p w14:paraId="6C6BF02D">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14:paraId="04893AA9">
      <w:pPr>
        <w:spacing w:line="360" w:lineRule="auto"/>
        <w:ind w:firstLine="480" w:firstLineChars="200"/>
        <w:rPr>
          <w:bCs/>
          <w:sz w:val="24"/>
        </w:rPr>
      </w:pPr>
      <w:r>
        <w:rPr>
          <w:bCs/>
          <w:sz w:val="24"/>
        </w:rPr>
        <w:t>（</w:t>
      </w:r>
      <w:r>
        <w:rPr>
          <w:rFonts w:hint="eastAsia"/>
          <w:bCs/>
          <w:sz w:val="24"/>
        </w:rPr>
        <w:t>四</w:t>
      </w:r>
      <w:r>
        <w:rPr>
          <w:bCs/>
          <w:sz w:val="24"/>
        </w:rPr>
        <w:t>）基金定期报告，包括基金年度报告、基金中期报告和基金季度报告</w:t>
      </w:r>
    </w:p>
    <w:p w14:paraId="31B7B411">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w:t>
      </w:r>
      <w:r>
        <w:rPr>
          <w:bCs/>
          <w:sz w:val="24"/>
        </w:rPr>
        <w:t>在指定网站上，</w:t>
      </w:r>
      <w:r>
        <w:rPr>
          <w:rFonts w:hint="eastAsia"/>
          <w:bCs/>
          <w:sz w:val="24"/>
        </w:rPr>
        <w:t>并</w:t>
      </w:r>
      <w:r>
        <w:rPr>
          <w:bCs/>
          <w:sz w:val="24"/>
        </w:rPr>
        <w:t>将年度报告提示性公告登载在指定报刊上。基金年度报告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14:paraId="72B5D664">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内，编制完成基金中期报告，将中期报告登载在</w:t>
      </w:r>
      <w:r>
        <w:rPr>
          <w:rFonts w:hint="eastAsia"/>
          <w:bCs/>
          <w:sz w:val="24"/>
        </w:rPr>
        <w:t>指定</w:t>
      </w:r>
      <w:r>
        <w:rPr>
          <w:bCs/>
          <w:sz w:val="24"/>
        </w:rPr>
        <w:t>网站上，</w:t>
      </w:r>
      <w:r>
        <w:rPr>
          <w:rFonts w:hint="eastAsia"/>
          <w:bCs/>
          <w:sz w:val="24"/>
        </w:rPr>
        <w:t>并</w:t>
      </w:r>
      <w:r>
        <w:rPr>
          <w:bCs/>
          <w:sz w:val="24"/>
        </w:rPr>
        <w:t>将中期报告</w:t>
      </w:r>
      <w:r>
        <w:rPr>
          <w:rFonts w:hint="eastAsia"/>
          <w:bCs/>
          <w:sz w:val="24"/>
        </w:rPr>
        <w:t>提示性公告</w:t>
      </w:r>
      <w:r>
        <w:rPr>
          <w:bCs/>
          <w:sz w:val="24"/>
        </w:rPr>
        <w:t>登载在指定</w:t>
      </w:r>
      <w:r>
        <w:rPr>
          <w:rFonts w:hint="eastAsia"/>
          <w:bCs/>
          <w:sz w:val="24"/>
        </w:rPr>
        <w:t>报刊</w:t>
      </w:r>
      <w:r>
        <w:rPr>
          <w:bCs/>
          <w:sz w:val="24"/>
        </w:rPr>
        <w:t>上。</w:t>
      </w:r>
    </w:p>
    <w:p w14:paraId="7E001D68">
      <w:pPr>
        <w:spacing w:line="360" w:lineRule="auto"/>
        <w:ind w:firstLine="480" w:firstLineChars="200"/>
        <w:rPr>
          <w:rFonts w:hint="eastAsia"/>
          <w:bCs/>
          <w:sz w:val="24"/>
        </w:rPr>
      </w:pPr>
      <w:r>
        <w:rPr>
          <w:bCs/>
          <w:sz w:val="24"/>
        </w:rPr>
        <w:t>基金管理人应当在季度结束之日起15个工作日内，编制完成基金季度报告，</w:t>
      </w:r>
      <w:r>
        <w:rPr>
          <w:rFonts w:hint="eastAsia"/>
          <w:bCs/>
          <w:sz w:val="24"/>
        </w:rPr>
        <w:t>将</w:t>
      </w:r>
      <w:r>
        <w:rPr>
          <w:bCs/>
          <w:sz w:val="24"/>
        </w:rPr>
        <w:t>季度报告登载在指定网站上，并将季度报告</w:t>
      </w:r>
      <w:r>
        <w:rPr>
          <w:rFonts w:hint="eastAsia"/>
          <w:bCs/>
          <w:sz w:val="24"/>
        </w:rPr>
        <w:t>提示性公告</w:t>
      </w:r>
      <w:r>
        <w:rPr>
          <w:bCs/>
          <w:sz w:val="24"/>
        </w:rPr>
        <w:t>登载在指定</w:t>
      </w:r>
      <w:r>
        <w:rPr>
          <w:rFonts w:hint="eastAsia"/>
          <w:bCs/>
          <w:sz w:val="24"/>
        </w:rPr>
        <w:t>报刊</w:t>
      </w:r>
      <w:r>
        <w:rPr>
          <w:bCs/>
          <w:sz w:val="24"/>
        </w:rPr>
        <w:t>上。</w:t>
      </w:r>
    </w:p>
    <w:p w14:paraId="03CA3459">
      <w:pPr>
        <w:spacing w:line="360" w:lineRule="auto"/>
        <w:ind w:firstLine="480" w:firstLineChars="200"/>
        <w:rPr>
          <w:bCs/>
          <w:sz w:val="24"/>
        </w:rPr>
      </w:pPr>
      <w:r>
        <w:rPr>
          <w:bCs/>
          <w:sz w:val="24"/>
        </w:rPr>
        <w:t>《基金合同》生效不足2个月的，基金管理人可以不编制当期季度报告、中期报告或者年度报告。</w:t>
      </w:r>
    </w:p>
    <w:p w14:paraId="1150DBEB">
      <w:pPr>
        <w:spacing w:line="360" w:lineRule="auto"/>
        <w:ind w:firstLine="480" w:firstLineChars="200"/>
        <w:rPr>
          <w:rFonts w:hint="eastAsia"/>
          <w:bCs/>
          <w:sz w:val="24"/>
        </w:rPr>
      </w:pPr>
      <w:r>
        <w:rPr>
          <w:rFonts w:hint="eastAsia"/>
          <w:bCs/>
          <w:sz w:val="24"/>
        </w:rPr>
        <w:t>本基金持续运作过程中, 应当在基金年度报告和中期报告中披露基金组合资产情况及其流动性风险分析等。</w:t>
      </w:r>
    </w:p>
    <w:p w14:paraId="15762503">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6A96F370">
      <w:pPr>
        <w:spacing w:line="360" w:lineRule="auto"/>
        <w:ind w:firstLine="480" w:firstLineChars="200"/>
        <w:rPr>
          <w:bCs/>
          <w:sz w:val="24"/>
        </w:rPr>
      </w:pPr>
      <w:r>
        <w:rPr>
          <w:bCs/>
          <w:sz w:val="24"/>
        </w:rPr>
        <w:t>（</w:t>
      </w:r>
      <w:r>
        <w:rPr>
          <w:rFonts w:hint="eastAsia"/>
          <w:bCs/>
          <w:sz w:val="24"/>
        </w:rPr>
        <w:t>五</w:t>
      </w:r>
      <w:r>
        <w:rPr>
          <w:bCs/>
          <w:sz w:val="24"/>
        </w:rPr>
        <w:t>）临时报告</w:t>
      </w:r>
    </w:p>
    <w:p w14:paraId="42B47F5B">
      <w:pPr>
        <w:spacing w:line="360" w:lineRule="auto"/>
        <w:ind w:firstLine="480" w:firstLineChars="200"/>
        <w:rPr>
          <w:bCs/>
          <w:sz w:val="24"/>
        </w:rPr>
      </w:pPr>
      <w:r>
        <w:rPr>
          <w:bCs/>
          <w:sz w:val="24"/>
        </w:rPr>
        <w:t>本基金发生重大事件，有关信息披露义务人应当在2日内编制临时报告书，</w:t>
      </w:r>
      <w:r>
        <w:rPr>
          <w:rFonts w:hint="eastAsia"/>
          <w:bCs/>
          <w:sz w:val="24"/>
        </w:rPr>
        <w:t>并登载</w:t>
      </w:r>
      <w:r>
        <w:rPr>
          <w:bCs/>
          <w:sz w:val="24"/>
        </w:rPr>
        <w:t>在指定报刊和指定网站上。</w:t>
      </w:r>
    </w:p>
    <w:p w14:paraId="536B6249">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541D4796">
      <w:pPr>
        <w:spacing w:line="360" w:lineRule="auto"/>
        <w:ind w:firstLine="480" w:firstLineChars="200"/>
        <w:rPr>
          <w:bCs/>
          <w:sz w:val="24"/>
        </w:rPr>
      </w:pPr>
      <w:r>
        <w:rPr>
          <w:bCs/>
          <w:sz w:val="24"/>
        </w:rPr>
        <w:t>1、基金份额持有人大会的召开</w:t>
      </w:r>
      <w:r>
        <w:rPr>
          <w:rFonts w:hint="eastAsia"/>
          <w:bCs/>
          <w:sz w:val="24"/>
        </w:rPr>
        <w:t>及决定的事项</w:t>
      </w:r>
      <w:r>
        <w:rPr>
          <w:bCs/>
          <w:sz w:val="24"/>
        </w:rPr>
        <w:t>；</w:t>
      </w:r>
    </w:p>
    <w:p w14:paraId="61BB3E43">
      <w:pPr>
        <w:spacing w:line="360" w:lineRule="auto"/>
        <w:ind w:firstLine="480" w:firstLineChars="200"/>
        <w:rPr>
          <w:bCs/>
          <w:sz w:val="24"/>
        </w:rPr>
      </w:pPr>
      <w:r>
        <w:rPr>
          <w:bCs/>
          <w:sz w:val="24"/>
        </w:rPr>
        <w:t>2、基金合同</w:t>
      </w:r>
      <w:r>
        <w:rPr>
          <w:rFonts w:hint="eastAsia"/>
          <w:bCs/>
          <w:sz w:val="24"/>
        </w:rPr>
        <w:t>终止、基金清算</w:t>
      </w:r>
      <w:r>
        <w:rPr>
          <w:bCs/>
          <w:sz w:val="24"/>
        </w:rPr>
        <w:t>；</w:t>
      </w:r>
    </w:p>
    <w:p w14:paraId="44F75B80">
      <w:pPr>
        <w:spacing w:line="360" w:lineRule="auto"/>
        <w:ind w:firstLine="480" w:firstLineChars="200"/>
        <w:rPr>
          <w:bCs/>
          <w:sz w:val="24"/>
        </w:rPr>
      </w:pPr>
      <w:r>
        <w:rPr>
          <w:bCs/>
          <w:sz w:val="24"/>
        </w:rPr>
        <w:t>3、转换基金运作方式</w:t>
      </w:r>
      <w:r>
        <w:rPr>
          <w:rFonts w:hint="eastAsia"/>
          <w:bCs/>
          <w:sz w:val="24"/>
        </w:rPr>
        <w:t>、基金合并</w:t>
      </w:r>
      <w:r>
        <w:rPr>
          <w:bCs/>
          <w:sz w:val="24"/>
        </w:rPr>
        <w:t>；</w:t>
      </w:r>
    </w:p>
    <w:p w14:paraId="6FE9C8AE">
      <w:pPr>
        <w:spacing w:line="360" w:lineRule="auto"/>
        <w:ind w:firstLine="480" w:firstLineChars="200"/>
        <w:rPr>
          <w:rFonts w:hint="eastAsia"/>
          <w:bCs/>
          <w:sz w:val="24"/>
        </w:rPr>
      </w:pPr>
      <w:r>
        <w:rPr>
          <w:bCs/>
          <w:sz w:val="24"/>
        </w:rPr>
        <w:t>4、更换基金管理人、基金托管人</w:t>
      </w:r>
      <w:r>
        <w:rPr>
          <w:rFonts w:hint="eastAsia"/>
          <w:bCs/>
          <w:sz w:val="24"/>
        </w:rPr>
        <w:t>、基金份额登记机构，基金改聘会计师事务所</w:t>
      </w:r>
      <w:r>
        <w:rPr>
          <w:bCs/>
          <w:sz w:val="24"/>
        </w:rPr>
        <w:t>；</w:t>
      </w:r>
    </w:p>
    <w:p w14:paraId="76528E40">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4DF30C7B">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2B9551E2">
      <w:pPr>
        <w:spacing w:line="360" w:lineRule="auto"/>
        <w:ind w:firstLine="480" w:firstLineChars="200"/>
        <w:rPr>
          <w:rFonts w:hint="eastAsia"/>
          <w:bCs/>
          <w:sz w:val="24"/>
        </w:rPr>
      </w:pPr>
      <w:r>
        <w:rPr>
          <w:rFonts w:hint="eastAsia"/>
          <w:bCs/>
          <w:sz w:val="24"/>
        </w:rPr>
        <w:t>7、基金管理人变更持有百分之五以上股权的股东、基金管理人的实际控制人变更；</w:t>
      </w:r>
    </w:p>
    <w:p w14:paraId="18C2DC81">
      <w:pPr>
        <w:spacing w:line="360" w:lineRule="auto"/>
        <w:ind w:firstLine="480" w:firstLineChars="200"/>
        <w:rPr>
          <w:bCs/>
          <w:sz w:val="24"/>
        </w:rPr>
      </w:pPr>
      <w:r>
        <w:rPr>
          <w:rFonts w:hint="eastAsia"/>
          <w:bCs/>
          <w:sz w:val="24"/>
        </w:rPr>
        <w:t>8、基金管理人的高级管理人员、基金经理和基金托管人专门基金托管部门负责人发生变动；</w:t>
      </w:r>
    </w:p>
    <w:p w14:paraId="176B64D9">
      <w:pPr>
        <w:spacing w:line="360" w:lineRule="auto"/>
        <w:ind w:firstLine="480" w:firstLineChars="200"/>
        <w:rPr>
          <w:bCs/>
          <w:sz w:val="24"/>
        </w:rPr>
      </w:pPr>
      <w:r>
        <w:rPr>
          <w:rFonts w:hint="eastAsia"/>
          <w:bCs/>
          <w:sz w:val="24"/>
        </w:rPr>
        <w:t>9</w:t>
      </w:r>
      <w:r>
        <w:rPr>
          <w:bCs/>
          <w:sz w:val="24"/>
        </w:rPr>
        <w:t>、基金管理人的董事在</w:t>
      </w:r>
      <w:r>
        <w:rPr>
          <w:rFonts w:hint="eastAsia"/>
          <w:bCs/>
          <w:sz w:val="24"/>
        </w:rPr>
        <w:t>最近12个月</w:t>
      </w:r>
      <w:r>
        <w:rPr>
          <w:bCs/>
          <w:sz w:val="24"/>
        </w:rPr>
        <w:t>内变更超过百分之五十</w:t>
      </w:r>
      <w:r>
        <w:rPr>
          <w:rFonts w:hint="eastAsia"/>
          <w:bCs/>
          <w:sz w:val="24"/>
        </w:rPr>
        <w:t>，</w:t>
      </w:r>
      <w:r>
        <w:rPr>
          <w:bCs/>
          <w:sz w:val="24"/>
        </w:rPr>
        <w:t>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14:paraId="6E7CB704">
      <w:pPr>
        <w:spacing w:line="360" w:lineRule="auto"/>
        <w:ind w:firstLine="480" w:firstLineChars="200"/>
        <w:rPr>
          <w:bCs/>
          <w:sz w:val="24"/>
        </w:rPr>
      </w:pPr>
      <w:r>
        <w:rPr>
          <w:rFonts w:hint="eastAsia"/>
          <w:bCs/>
          <w:sz w:val="24"/>
        </w:rPr>
        <w:t>10</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474205A4">
      <w:pPr>
        <w:spacing w:line="360" w:lineRule="auto"/>
        <w:ind w:firstLine="480" w:firstLineChars="200"/>
        <w:rPr>
          <w:rFonts w:hint="eastAsia"/>
          <w:bCs/>
          <w:sz w:val="24"/>
        </w:rPr>
      </w:pPr>
      <w:r>
        <w:rPr>
          <w:rFonts w:hint="eastAsia"/>
          <w:bCs/>
          <w:sz w:val="24"/>
        </w:rPr>
        <w:t>11、基金管理人或其高级管理人员、基金经理因基金管理业务相关行为受到重大行政处罚、刑事处罚，基金托管人或其专门基金托管部门负责人因基金托管业务相关行为受到重大行政处罚、刑事处罚；</w:t>
      </w:r>
    </w:p>
    <w:p w14:paraId="6D72B21A">
      <w:pPr>
        <w:spacing w:line="360" w:lineRule="auto"/>
        <w:ind w:firstLine="480" w:firstLineChars="200"/>
        <w:rPr>
          <w:rFonts w:hint="eastAsia"/>
          <w:bCs/>
          <w:sz w:val="24"/>
        </w:rPr>
      </w:pPr>
      <w:r>
        <w:rPr>
          <w:rFonts w:hint="eastAsia"/>
          <w:bCs/>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38ECA0F9">
      <w:pPr>
        <w:spacing w:line="360" w:lineRule="auto"/>
        <w:ind w:firstLine="480" w:firstLineChars="200"/>
        <w:rPr>
          <w:bCs/>
          <w:sz w:val="24"/>
        </w:rPr>
      </w:pPr>
      <w:r>
        <w:rPr>
          <w:bCs/>
          <w:sz w:val="24"/>
        </w:rPr>
        <w:t>1</w:t>
      </w:r>
      <w:r>
        <w:rPr>
          <w:rFonts w:hint="eastAsia"/>
          <w:bCs/>
          <w:sz w:val="24"/>
        </w:rPr>
        <w:t>3</w:t>
      </w:r>
      <w:r>
        <w:rPr>
          <w:bCs/>
          <w:sz w:val="24"/>
        </w:rPr>
        <w:t>、基金收益分配事项；</w:t>
      </w:r>
    </w:p>
    <w:p w14:paraId="5D49413D">
      <w:pPr>
        <w:spacing w:line="360" w:lineRule="auto"/>
        <w:ind w:firstLine="480" w:firstLineChars="200"/>
        <w:rPr>
          <w:bCs/>
          <w:sz w:val="24"/>
        </w:rPr>
      </w:pPr>
      <w:r>
        <w:rPr>
          <w:bCs/>
          <w:sz w:val="24"/>
        </w:rPr>
        <w:t>1</w:t>
      </w:r>
      <w:r>
        <w:rPr>
          <w:rFonts w:hint="eastAsia"/>
          <w:bCs/>
          <w:sz w:val="24"/>
        </w:rPr>
        <w:t>4</w:t>
      </w:r>
      <w:r>
        <w:rPr>
          <w:bCs/>
          <w:sz w:val="24"/>
        </w:rPr>
        <w:t>、管理费、托管费</w:t>
      </w:r>
      <w:r>
        <w:rPr>
          <w:rFonts w:hint="eastAsia"/>
          <w:bCs/>
          <w:sz w:val="24"/>
        </w:rPr>
        <w:t>、申购费、赎回费</w:t>
      </w:r>
      <w:r>
        <w:rPr>
          <w:bCs/>
          <w:sz w:val="24"/>
        </w:rPr>
        <w:t>等费用计提标准、计提方式和费率发生变更；</w:t>
      </w:r>
    </w:p>
    <w:p w14:paraId="48C3E643">
      <w:pPr>
        <w:spacing w:line="360" w:lineRule="auto"/>
        <w:ind w:firstLine="480" w:firstLineChars="200"/>
        <w:rPr>
          <w:bCs/>
          <w:sz w:val="24"/>
        </w:rPr>
      </w:pPr>
      <w:r>
        <w:rPr>
          <w:bCs/>
          <w:sz w:val="24"/>
        </w:rPr>
        <w:t>1</w:t>
      </w:r>
      <w:r>
        <w:rPr>
          <w:rFonts w:hint="eastAsia"/>
          <w:bCs/>
          <w:sz w:val="24"/>
        </w:rPr>
        <w:t>5</w:t>
      </w:r>
      <w:r>
        <w:rPr>
          <w:bCs/>
          <w:sz w:val="24"/>
        </w:rPr>
        <w:t>、基金份额净值计价错误达基金份额净值百分之零点五；</w:t>
      </w:r>
    </w:p>
    <w:p w14:paraId="08FE23A3">
      <w:pPr>
        <w:spacing w:line="360" w:lineRule="auto"/>
        <w:ind w:firstLine="480" w:firstLineChars="200"/>
        <w:rPr>
          <w:bCs/>
          <w:sz w:val="24"/>
        </w:rPr>
      </w:pPr>
      <w:r>
        <w:rPr>
          <w:rFonts w:hint="eastAsia"/>
          <w:bCs/>
          <w:sz w:val="24"/>
        </w:rPr>
        <w:t>16</w:t>
      </w:r>
      <w:r>
        <w:rPr>
          <w:bCs/>
          <w:sz w:val="24"/>
        </w:rPr>
        <w:t>、本基金</w:t>
      </w:r>
      <w:r>
        <w:rPr>
          <w:rFonts w:hint="eastAsia"/>
          <w:bCs/>
          <w:sz w:val="24"/>
          <w:szCs w:val="24"/>
        </w:rPr>
        <w:t>进入开放期</w:t>
      </w:r>
      <w:r>
        <w:rPr>
          <w:bCs/>
          <w:sz w:val="24"/>
        </w:rPr>
        <w:t>；</w:t>
      </w:r>
    </w:p>
    <w:p w14:paraId="7702860B">
      <w:pPr>
        <w:spacing w:line="360" w:lineRule="auto"/>
        <w:ind w:firstLine="480" w:firstLineChars="200"/>
        <w:rPr>
          <w:bCs/>
          <w:sz w:val="24"/>
        </w:rPr>
      </w:pPr>
      <w:r>
        <w:rPr>
          <w:rFonts w:hint="eastAsia"/>
          <w:bCs/>
          <w:sz w:val="24"/>
        </w:rPr>
        <w:t>17</w:t>
      </w:r>
      <w:r>
        <w:rPr>
          <w:bCs/>
          <w:sz w:val="24"/>
        </w:rPr>
        <w:t>、本基金</w:t>
      </w:r>
      <w:r>
        <w:rPr>
          <w:rFonts w:hint="eastAsia"/>
          <w:bCs/>
          <w:sz w:val="24"/>
          <w:szCs w:val="24"/>
        </w:rPr>
        <w:t>在开放期内</w:t>
      </w:r>
      <w:r>
        <w:rPr>
          <w:bCs/>
          <w:sz w:val="24"/>
        </w:rPr>
        <w:t>发生巨额赎回并延</w:t>
      </w:r>
      <w:r>
        <w:rPr>
          <w:rFonts w:hint="eastAsia"/>
          <w:bCs/>
          <w:sz w:val="24"/>
        </w:rPr>
        <w:t>缓支付赎回款项或延期办理</w:t>
      </w:r>
      <w:r>
        <w:rPr>
          <w:bCs/>
          <w:sz w:val="24"/>
        </w:rPr>
        <w:t>；</w:t>
      </w:r>
    </w:p>
    <w:p w14:paraId="656B21B8">
      <w:pPr>
        <w:spacing w:line="360" w:lineRule="auto"/>
        <w:ind w:firstLine="480" w:firstLineChars="200"/>
        <w:rPr>
          <w:rFonts w:hint="eastAsia"/>
          <w:bCs/>
          <w:sz w:val="24"/>
        </w:rPr>
      </w:pPr>
      <w:r>
        <w:rPr>
          <w:rFonts w:hint="eastAsia"/>
          <w:bCs/>
          <w:sz w:val="24"/>
        </w:rPr>
        <w:t>18</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0332645E">
      <w:pPr>
        <w:spacing w:line="360" w:lineRule="auto"/>
        <w:ind w:firstLine="480" w:firstLineChars="200"/>
        <w:rPr>
          <w:rFonts w:hint="eastAsia"/>
          <w:bCs/>
          <w:sz w:val="24"/>
        </w:rPr>
      </w:pPr>
      <w:r>
        <w:rPr>
          <w:rFonts w:hint="eastAsia"/>
          <w:bCs/>
          <w:sz w:val="24"/>
        </w:rPr>
        <w:t>19、调整基金份额类别的设置；</w:t>
      </w:r>
    </w:p>
    <w:p w14:paraId="2C7BE3E2">
      <w:pPr>
        <w:spacing w:line="360" w:lineRule="auto"/>
        <w:ind w:firstLine="480" w:firstLineChars="200"/>
        <w:rPr>
          <w:rFonts w:hint="eastAsia"/>
          <w:bCs/>
          <w:sz w:val="24"/>
        </w:rPr>
      </w:pPr>
      <w:r>
        <w:rPr>
          <w:rFonts w:hint="eastAsia"/>
          <w:bCs/>
          <w:sz w:val="24"/>
        </w:rPr>
        <w:t>20、基金推出新业务或服务；</w:t>
      </w:r>
    </w:p>
    <w:p w14:paraId="673AA307">
      <w:pPr>
        <w:spacing w:line="360" w:lineRule="auto"/>
        <w:ind w:firstLine="480" w:firstLineChars="200"/>
        <w:rPr>
          <w:bCs/>
          <w:sz w:val="24"/>
        </w:rPr>
      </w:pPr>
      <w:r>
        <w:rPr>
          <w:rFonts w:hint="eastAsia"/>
          <w:bCs/>
          <w:sz w:val="24"/>
        </w:rPr>
        <w:t>21、发生涉及本基金申购、赎回事项调整或潜在影响投资者赎回等重大事项时；</w:t>
      </w:r>
    </w:p>
    <w:p w14:paraId="6D42CBBE">
      <w:pPr>
        <w:spacing w:line="360" w:lineRule="auto"/>
        <w:ind w:firstLine="480" w:firstLineChars="200"/>
        <w:rPr>
          <w:bCs/>
          <w:sz w:val="24"/>
        </w:rPr>
      </w:pPr>
      <w:r>
        <w:rPr>
          <w:rFonts w:hint="eastAsia"/>
          <w:bCs/>
          <w:sz w:val="24"/>
        </w:rPr>
        <w:t>22</w:t>
      </w:r>
      <w:r>
        <w:rPr>
          <w:bCs/>
          <w:sz w:val="24"/>
        </w:rPr>
        <w:t>、</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17AB010E">
      <w:pPr>
        <w:spacing w:line="360" w:lineRule="auto"/>
        <w:ind w:firstLine="480" w:firstLineChars="200"/>
        <w:rPr>
          <w:bCs/>
          <w:sz w:val="24"/>
        </w:rPr>
      </w:pPr>
      <w:r>
        <w:rPr>
          <w:bCs/>
          <w:sz w:val="24"/>
        </w:rPr>
        <w:t>（</w:t>
      </w:r>
      <w:r>
        <w:rPr>
          <w:rFonts w:hint="eastAsia"/>
          <w:bCs/>
          <w:sz w:val="24"/>
        </w:rPr>
        <w:t>六</w:t>
      </w:r>
      <w:r>
        <w:rPr>
          <w:bCs/>
          <w:sz w:val="24"/>
        </w:rPr>
        <w:t>）澄清公告</w:t>
      </w:r>
    </w:p>
    <w:p w14:paraId="2F44468B">
      <w:pPr>
        <w:spacing w:line="360" w:lineRule="auto"/>
        <w:ind w:firstLine="480" w:firstLineChars="200"/>
        <w:rPr>
          <w:bCs/>
          <w:sz w:val="24"/>
        </w:rPr>
      </w:pPr>
      <w:r>
        <w:rPr>
          <w:bCs/>
          <w:sz w:val="24"/>
        </w:rPr>
        <w:t>在《基金合同》存续期限内，任何公共</w:t>
      </w:r>
      <w:r>
        <w:rPr>
          <w:rFonts w:hint="eastAsia"/>
          <w:bCs/>
          <w:sz w:val="24"/>
        </w:rPr>
        <w:t>媒介</w:t>
      </w:r>
      <w:r>
        <w:rPr>
          <w:bCs/>
          <w:sz w:val="24"/>
        </w:rPr>
        <w:t>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14:paraId="78CE9FC6">
      <w:pPr>
        <w:spacing w:line="360" w:lineRule="auto"/>
        <w:ind w:firstLine="480" w:firstLineChars="200"/>
        <w:rPr>
          <w:bCs/>
          <w:sz w:val="24"/>
        </w:rPr>
      </w:pPr>
      <w:r>
        <w:rPr>
          <w:bCs/>
          <w:sz w:val="24"/>
        </w:rPr>
        <w:t>（</w:t>
      </w:r>
      <w:r>
        <w:rPr>
          <w:rFonts w:hint="eastAsia"/>
          <w:bCs/>
          <w:sz w:val="24"/>
        </w:rPr>
        <w:t>七</w:t>
      </w:r>
      <w:r>
        <w:rPr>
          <w:bCs/>
          <w:sz w:val="24"/>
        </w:rPr>
        <w:t>）基金份额持有人大会决议</w:t>
      </w:r>
    </w:p>
    <w:p w14:paraId="35827C48">
      <w:pPr>
        <w:spacing w:line="360" w:lineRule="auto"/>
        <w:ind w:firstLine="480" w:firstLineChars="200"/>
        <w:rPr>
          <w:rFonts w:hint="eastAsia"/>
          <w:bCs/>
          <w:sz w:val="24"/>
        </w:rPr>
      </w:pPr>
      <w:r>
        <w:rPr>
          <w:bCs/>
          <w:sz w:val="24"/>
        </w:rPr>
        <w:t>基金份额持有人大会决定的事项，应当依法报</w:t>
      </w:r>
      <w:r>
        <w:rPr>
          <w:rFonts w:hint="eastAsia"/>
          <w:bCs/>
          <w:sz w:val="24"/>
        </w:rPr>
        <w:t>中国证监会</w:t>
      </w:r>
      <w:r>
        <w:rPr>
          <w:bCs/>
          <w:sz w:val="24"/>
        </w:rPr>
        <w:t>备案，并予以公告。</w:t>
      </w:r>
    </w:p>
    <w:p w14:paraId="2E9E2DAA">
      <w:pPr>
        <w:spacing w:line="360" w:lineRule="auto"/>
        <w:ind w:firstLine="480" w:firstLineChars="200"/>
        <w:rPr>
          <w:rFonts w:hint="eastAsia"/>
          <w:bCs/>
          <w:sz w:val="24"/>
        </w:rPr>
      </w:pPr>
      <w:r>
        <w:rPr>
          <w:rFonts w:hint="eastAsia"/>
          <w:bCs/>
          <w:sz w:val="24"/>
        </w:rPr>
        <w:t>（八）清算报告</w:t>
      </w:r>
    </w:p>
    <w:p w14:paraId="016EDF6E">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76BB2F2D">
      <w:pPr>
        <w:spacing w:line="360" w:lineRule="auto"/>
        <w:ind w:firstLine="480" w:firstLineChars="200"/>
        <w:rPr>
          <w:bCs/>
          <w:sz w:val="24"/>
        </w:rPr>
      </w:pPr>
      <w:r>
        <w:rPr>
          <w:rFonts w:hint="eastAsia"/>
          <w:bCs/>
          <w:sz w:val="24"/>
        </w:rPr>
        <w:t>（九）中小企业私募债券的投资情况</w:t>
      </w:r>
    </w:p>
    <w:p w14:paraId="3CE2AD82">
      <w:pPr>
        <w:spacing w:line="360" w:lineRule="auto"/>
        <w:ind w:firstLine="480" w:firstLineChars="200"/>
        <w:rPr>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14:paraId="52675CEA">
      <w:pPr>
        <w:spacing w:line="360" w:lineRule="auto"/>
        <w:ind w:firstLine="480" w:firstLineChars="200"/>
        <w:rPr>
          <w:rFonts w:hint="eastAsia"/>
          <w:bCs/>
          <w:sz w:val="24"/>
        </w:rPr>
      </w:pPr>
      <w:r>
        <w:rPr>
          <w:rFonts w:hint="eastAsia"/>
          <w:bCs/>
          <w:sz w:val="24"/>
        </w:rPr>
        <w:t>（十）资产支持证券的投资情况</w:t>
      </w:r>
    </w:p>
    <w:p w14:paraId="6066CB13">
      <w:pPr>
        <w:spacing w:line="360" w:lineRule="auto"/>
        <w:ind w:firstLine="480" w:firstLineChars="200"/>
        <w:rPr>
          <w:rFonts w:hint="eastAsia"/>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0D918696">
      <w:pPr>
        <w:spacing w:line="360" w:lineRule="auto"/>
        <w:ind w:firstLine="480" w:firstLineChars="200"/>
        <w:rPr>
          <w:rFonts w:hint="eastAsia"/>
          <w:bCs/>
          <w:sz w:val="24"/>
        </w:rPr>
      </w:pPr>
      <w:r>
        <w:rPr>
          <w:rFonts w:hint="eastAsia"/>
          <w:bCs/>
          <w:sz w:val="24"/>
        </w:rPr>
        <w:t>（十一）发起资金申购份额报告</w:t>
      </w:r>
    </w:p>
    <w:p w14:paraId="51454346">
      <w:pPr>
        <w:spacing w:line="360" w:lineRule="auto"/>
        <w:ind w:firstLine="480" w:firstLineChars="200"/>
        <w:rPr>
          <w:rFonts w:hint="eastAsia"/>
          <w:bCs/>
          <w:sz w:val="24"/>
        </w:rPr>
      </w:pPr>
      <w:r>
        <w:rPr>
          <w:rFonts w:hint="eastAsia"/>
          <w:bCs/>
          <w:sz w:val="24"/>
        </w:rPr>
        <w:t>基金管理人应当按照相关法律法规的规定，在基金年度报告、中期报告、季度报告中分别披露基金管理人固有资金、基金管理人股东持有基金的份额、期限及期间的变动情况。</w:t>
      </w:r>
    </w:p>
    <w:p w14:paraId="7FCFC21A">
      <w:pPr>
        <w:spacing w:line="360" w:lineRule="auto"/>
        <w:ind w:firstLine="480" w:firstLineChars="200"/>
        <w:rPr>
          <w:bCs/>
          <w:sz w:val="24"/>
        </w:rPr>
      </w:pPr>
      <w:r>
        <w:rPr>
          <w:rFonts w:hint="eastAsia"/>
          <w:bCs/>
          <w:sz w:val="24"/>
        </w:rPr>
        <w:t>（十二）实施侧袋机制期间的信息披露</w:t>
      </w:r>
    </w:p>
    <w:p w14:paraId="2ACB2F52">
      <w:pPr>
        <w:spacing w:line="360" w:lineRule="auto"/>
        <w:rPr>
          <w:bCs/>
          <w:sz w:val="24"/>
        </w:rPr>
      </w:pPr>
      <w:r>
        <w:rPr>
          <w:rFonts w:hint="eastAsia"/>
          <w:bCs/>
          <w:sz w:val="24"/>
        </w:rPr>
        <w:t>本基金实施侧袋机制的，相关信息披露义务人应当根据法律法规、基金合同和招募说明书的规定进行信息披露，详见招募说明书的规定。</w:t>
      </w:r>
    </w:p>
    <w:p w14:paraId="5723D76C">
      <w:pPr>
        <w:spacing w:line="360" w:lineRule="auto"/>
        <w:ind w:firstLine="480" w:firstLineChars="200"/>
        <w:rPr>
          <w:rFonts w:hint="eastAsia"/>
          <w:bCs/>
          <w:sz w:val="24"/>
        </w:rPr>
      </w:pPr>
      <w:r>
        <w:rPr>
          <w:rFonts w:hint="eastAsia"/>
          <w:bCs/>
          <w:sz w:val="24"/>
        </w:rPr>
        <w:t>（十三）中国证监会规定的其他信息</w:t>
      </w:r>
    </w:p>
    <w:p w14:paraId="5BFD789B">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中充分披露基金的相关情况并揭示相关风险，说明基金单一投资者持有的基金份额或者构成一致行动人的多个投资者持有的基金份额可达到或者超过50%，本基金不向个人投资者公开销售。法律法规或监管机构另有规定的除外。</w:t>
      </w:r>
    </w:p>
    <w:p w14:paraId="63848215">
      <w:pPr>
        <w:spacing w:line="360" w:lineRule="auto"/>
        <w:ind w:firstLine="480" w:firstLineChars="200"/>
        <w:rPr>
          <w:bCs/>
          <w:sz w:val="24"/>
        </w:rPr>
      </w:pPr>
      <w:r>
        <w:rPr>
          <w:bCs/>
          <w:sz w:val="24"/>
        </w:rPr>
        <w:t>六、信息披露事务管理</w:t>
      </w:r>
    </w:p>
    <w:p w14:paraId="3B779E38">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w:t>
      </w:r>
      <w:r>
        <w:rPr>
          <w:bCs/>
          <w:sz w:val="24"/>
        </w:rPr>
        <w:t>部门及高级管理人员负责管理信息披露事务。</w:t>
      </w:r>
    </w:p>
    <w:p w14:paraId="185BB1CE">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5731CC74">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w:t>
      </w:r>
      <w:r>
        <w:rPr>
          <w:rFonts w:hint="eastAsia"/>
          <w:bCs/>
          <w:sz w:val="24"/>
        </w:rPr>
        <w:t>价格</w:t>
      </w:r>
      <w:r>
        <w:rPr>
          <w:bCs/>
          <w:sz w:val="24"/>
        </w:rPr>
        <w:t>、基金定期报告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14:paraId="37898D21">
      <w:pPr>
        <w:spacing w:line="360" w:lineRule="auto"/>
        <w:ind w:firstLine="480" w:firstLineChars="200"/>
        <w:rPr>
          <w:bCs/>
          <w:sz w:val="24"/>
        </w:rPr>
      </w:pPr>
      <w:r>
        <w:rPr>
          <w:bCs/>
          <w:sz w:val="24"/>
        </w:rPr>
        <w:t>基金管理人、基金托管人应当在指定</w:t>
      </w:r>
      <w:r>
        <w:rPr>
          <w:rFonts w:hint="eastAsia"/>
          <w:bCs/>
          <w:sz w:val="24"/>
        </w:rPr>
        <w:t>报刊</w:t>
      </w:r>
      <w:r>
        <w:rPr>
          <w:bCs/>
          <w:sz w:val="24"/>
        </w:rPr>
        <w:t>中选择一家报刊披露本基金信息。基金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14:paraId="6B75E18E">
      <w:pPr>
        <w:spacing w:line="360" w:lineRule="auto"/>
        <w:ind w:firstLine="480" w:firstLineChars="200"/>
        <w:rPr>
          <w:rFonts w:hint="eastAsia"/>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5E829A88">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7A4E416B">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3578D494">
      <w:pPr>
        <w:spacing w:line="360" w:lineRule="auto"/>
        <w:ind w:firstLine="480" w:firstLineChars="200"/>
        <w:rPr>
          <w:bCs/>
          <w:sz w:val="24"/>
        </w:rPr>
      </w:pPr>
      <w:r>
        <w:rPr>
          <w:bCs/>
          <w:sz w:val="24"/>
        </w:rPr>
        <w:t>七、信息披露文件的存放与查阅</w:t>
      </w:r>
    </w:p>
    <w:p w14:paraId="6EB184A9">
      <w:pPr>
        <w:spacing w:line="360" w:lineRule="auto"/>
        <w:ind w:firstLine="480" w:firstLineChars="200"/>
        <w:rPr>
          <w:rFonts w:hint="eastAsia"/>
          <w:bCs/>
          <w:sz w:val="24"/>
        </w:rPr>
      </w:pPr>
      <w:r>
        <w:rPr>
          <w:rFonts w:hint="eastAsia"/>
          <w:bCs/>
          <w:sz w:val="24"/>
        </w:rPr>
        <w:t>依法必须披露的信息发布后，基金管理人、基金托管人应当按照相关法律法规规定将信息置备于公司住所，供社会公众查阅、复制。</w:t>
      </w:r>
    </w:p>
    <w:p w14:paraId="7440614C">
      <w:pPr>
        <w:spacing w:line="360" w:lineRule="auto"/>
        <w:ind w:firstLine="480" w:firstLineChars="200"/>
        <w:rPr>
          <w:rFonts w:hint="eastAsia"/>
          <w:bCs/>
          <w:sz w:val="24"/>
        </w:rPr>
      </w:pPr>
      <w:r>
        <w:rPr>
          <w:rFonts w:hint="eastAsia"/>
          <w:bCs/>
          <w:sz w:val="24"/>
        </w:rPr>
        <w:t>八、当出现下述情况时，基金管理人和基金托管人可暂停或延迟披露基金相关信息：</w:t>
      </w:r>
    </w:p>
    <w:p w14:paraId="5850AF75">
      <w:pPr>
        <w:spacing w:line="360" w:lineRule="auto"/>
        <w:ind w:firstLine="480" w:firstLineChars="200"/>
        <w:rPr>
          <w:rFonts w:hint="eastAsia"/>
          <w:bCs/>
          <w:sz w:val="24"/>
        </w:rPr>
      </w:pPr>
      <w:r>
        <w:rPr>
          <w:rFonts w:hint="eastAsia"/>
          <w:bCs/>
          <w:sz w:val="24"/>
        </w:rPr>
        <w:t>1、不可抗力；</w:t>
      </w:r>
    </w:p>
    <w:p w14:paraId="318F5BB3">
      <w:pPr>
        <w:spacing w:line="360" w:lineRule="auto"/>
        <w:ind w:firstLine="480" w:firstLineChars="200"/>
        <w:rPr>
          <w:rFonts w:hint="eastAsia"/>
          <w:bCs/>
          <w:sz w:val="24"/>
        </w:rPr>
      </w:pPr>
      <w:r>
        <w:rPr>
          <w:rFonts w:hint="eastAsia"/>
          <w:bCs/>
          <w:sz w:val="24"/>
        </w:rPr>
        <w:t>2、暂停估值的情形；</w:t>
      </w:r>
    </w:p>
    <w:p w14:paraId="4BD566C2">
      <w:pPr>
        <w:spacing w:line="360" w:lineRule="auto"/>
        <w:ind w:firstLine="480" w:firstLineChars="200"/>
        <w:rPr>
          <w:bCs/>
          <w:sz w:val="24"/>
        </w:rPr>
      </w:pPr>
      <w:r>
        <w:rPr>
          <w:rFonts w:hint="eastAsia"/>
          <w:bCs/>
          <w:sz w:val="24"/>
        </w:rPr>
        <w:t>3、法律法规、基金合同或中国证监会规定的情况。</w:t>
      </w:r>
    </w:p>
    <w:p w14:paraId="5A6A32E2">
      <w:pPr>
        <w:pStyle w:val="2"/>
        <w:spacing w:before="0" w:after="0"/>
        <w:jc w:val="center"/>
        <w:rPr>
          <w:rFonts w:ascii="Times New Roman"/>
          <w:color w:val="auto"/>
          <w:sz w:val="30"/>
        </w:rPr>
      </w:pPr>
      <w:r>
        <w:rPr>
          <w:rFonts w:ascii="Times New Roman"/>
          <w:b w:val="0"/>
          <w:bCs/>
          <w:color w:val="auto"/>
          <w:kern w:val="44"/>
          <w:sz w:val="21"/>
        </w:rPr>
        <w:br w:type="page"/>
      </w:r>
      <w:bookmarkStart w:id="372" w:name="_Toc123112247"/>
      <w:bookmarkStart w:id="373" w:name="_Toc8049"/>
      <w:bookmarkStart w:id="374" w:name="_Toc27464"/>
      <w:bookmarkStart w:id="375" w:name="_Toc7170"/>
      <w:bookmarkStart w:id="376" w:name="_Toc8059"/>
      <w:bookmarkStart w:id="377" w:name="_Toc139991749"/>
      <w:bookmarkStart w:id="378" w:name="_Toc141703899"/>
      <w:bookmarkStart w:id="379" w:name="_Toc123051465"/>
      <w:bookmarkStart w:id="380" w:name="_Toc29891"/>
      <w:bookmarkStart w:id="381" w:name="_Toc435642215"/>
      <w:bookmarkStart w:id="382" w:name="_Toc22978"/>
      <w:bookmarkStart w:id="383" w:name="_Toc123102466"/>
      <w:bookmarkStart w:id="384" w:name="_Toc681601301"/>
      <w:bookmarkStart w:id="385" w:name="_Toc98560364"/>
      <w:bookmarkStart w:id="386" w:name="_Toc6237"/>
      <w:bookmarkStart w:id="387" w:name="_Toc10006"/>
      <w:bookmarkStart w:id="388" w:name="_Toc25647"/>
      <w:bookmarkStart w:id="389" w:name="_Toc9005"/>
      <w:r>
        <w:rPr>
          <w:rFonts w:ascii="Times New Roman"/>
          <w:color w:val="auto"/>
          <w:sz w:val="30"/>
        </w:rPr>
        <w:t>第十九部分</w:t>
      </w:r>
      <w:bookmarkStart w:id="390" w:name="_Hlt88828593"/>
      <w:r>
        <w:rPr>
          <w:rFonts w:hint="eastAsia" w:ascii="Times New Roman"/>
          <w:color w:val="auto"/>
          <w:sz w:val="30"/>
        </w:rPr>
        <w:t xml:space="preserve">  </w:t>
      </w:r>
      <w:r>
        <w:rPr>
          <w:rFonts w:ascii="Times New Roman"/>
          <w:color w:val="auto"/>
          <w:sz w:val="30"/>
        </w:rPr>
        <w:t>基金合同</w:t>
      </w:r>
      <w:bookmarkEnd w:id="390"/>
      <w:r>
        <w:rPr>
          <w:rFonts w:ascii="Times New Roman"/>
          <w:color w:val="auto"/>
          <w:sz w:val="30"/>
        </w:rPr>
        <w:t>的变更、终止与基金财产的清算</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34D5F1A0">
      <w:pPr>
        <w:spacing w:line="360" w:lineRule="auto"/>
        <w:ind w:firstLine="480" w:firstLineChars="200"/>
        <w:rPr>
          <w:bCs/>
          <w:sz w:val="24"/>
        </w:rPr>
      </w:pPr>
    </w:p>
    <w:p w14:paraId="7ADA0263">
      <w:pPr>
        <w:spacing w:line="360" w:lineRule="auto"/>
        <w:ind w:firstLine="480" w:firstLineChars="200"/>
        <w:rPr>
          <w:bCs/>
          <w:sz w:val="24"/>
        </w:rPr>
      </w:pPr>
      <w:bookmarkStart w:id="391" w:name="_Toc79392639"/>
      <w:r>
        <w:rPr>
          <w:bCs/>
          <w:sz w:val="24"/>
        </w:rPr>
        <w:t>一、《基金合同》的变更</w:t>
      </w:r>
      <w:bookmarkEnd w:id="391"/>
    </w:p>
    <w:p w14:paraId="633D9303">
      <w:pPr>
        <w:autoSpaceDE w:val="0"/>
        <w:autoSpaceDN w:val="0"/>
        <w:adjustRightInd w:val="0"/>
        <w:spacing w:line="360" w:lineRule="auto"/>
        <w:ind w:firstLine="720" w:firstLineChars="300"/>
        <w:jc w:val="left"/>
        <w:rPr>
          <w:rFonts w:hint="eastAsia"/>
          <w:bCs/>
          <w:sz w:val="24"/>
        </w:rPr>
      </w:pPr>
      <w:r>
        <w:rPr>
          <w:rFonts w:hint="eastAsia"/>
          <w:bCs/>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04149594">
      <w:pPr>
        <w:spacing w:line="360" w:lineRule="auto"/>
        <w:ind w:firstLine="480" w:firstLineChars="200"/>
        <w:rPr>
          <w:rFonts w:hint="eastAsia"/>
          <w:bCs/>
          <w:sz w:val="24"/>
        </w:rPr>
      </w:pPr>
      <w:r>
        <w:rPr>
          <w:rFonts w:hint="eastAsia"/>
          <w:bCs/>
          <w:sz w:val="24"/>
        </w:rPr>
        <w:t>2、关于《基金合同》变更的基金份额持有人大会决议须报中国证监会备案，自表决通过之日起生效，并自决议生效后按规定在指定媒介公告。</w:t>
      </w:r>
    </w:p>
    <w:p w14:paraId="3E6490F3">
      <w:pPr>
        <w:spacing w:line="360" w:lineRule="auto"/>
        <w:ind w:firstLine="480" w:firstLineChars="200"/>
        <w:rPr>
          <w:sz w:val="24"/>
        </w:rPr>
      </w:pPr>
      <w:r>
        <w:rPr>
          <w:rFonts w:hint="eastAsia"/>
          <w:sz w:val="24"/>
        </w:rPr>
        <w:t>二、《基金合同》的终止事由</w:t>
      </w:r>
    </w:p>
    <w:p w14:paraId="2061E72A">
      <w:pPr>
        <w:spacing w:line="360" w:lineRule="auto"/>
        <w:ind w:firstLine="480" w:firstLineChars="200"/>
        <w:rPr>
          <w:bCs/>
          <w:sz w:val="24"/>
        </w:rPr>
      </w:pPr>
      <w:r>
        <w:rPr>
          <w:bCs/>
          <w:sz w:val="24"/>
        </w:rPr>
        <w:t>有下列情形之一的，《基金合同》应当终止：</w:t>
      </w:r>
    </w:p>
    <w:p w14:paraId="26150779">
      <w:pPr>
        <w:spacing w:line="360" w:lineRule="auto"/>
        <w:ind w:firstLine="480" w:firstLineChars="200"/>
        <w:rPr>
          <w:bCs/>
          <w:sz w:val="24"/>
        </w:rPr>
      </w:pPr>
      <w:r>
        <w:rPr>
          <w:bCs/>
          <w:sz w:val="24"/>
        </w:rPr>
        <w:t>1、基金份额持有人大会决定终止的；</w:t>
      </w:r>
    </w:p>
    <w:p w14:paraId="72B6473E">
      <w:pPr>
        <w:spacing w:line="360" w:lineRule="auto"/>
        <w:ind w:firstLine="480" w:firstLineChars="200"/>
        <w:rPr>
          <w:bCs/>
          <w:sz w:val="24"/>
        </w:rPr>
      </w:pPr>
      <w:r>
        <w:rPr>
          <w:bCs/>
          <w:sz w:val="24"/>
        </w:rPr>
        <w:t>2、基金管理人、基金托管人职责终止，在6个月内没有新基金管理人、新基金托管人承接的；</w:t>
      </w:r>
    </w:p>
    <w:p w14:paraId="4C436D9E">
      <w:pPr>
        <w:spacing w:line="360" w:lineRule="auto"/>
        <w:ind w:firstLine="480" w:firstLineChars="200"/>
        <w:rPr>
          <w:bCs/>
          <w:sz w:val="24"/>
        </w:rPr>
      </w:pPr>
      <w:r>
        <w:rPr>
          <w:rFonts w:hint="eastAsia"/>
          <w:bCs/>
          <w:sz w:val="24"/>
        </w:rPr>
        <w:t>3</w:t>
      </w:r>
      <w:r>
        <w:rPr>
          <w:bCs/>
          <w:sz w:val="24"/>
        </w:rPr>
        <w:t>、《基金合同》约定的其他情形；</w:t>
      </w:r>
    </w:p>
    <w:p w14:paraId="35B735C7">
      <w:pPr>
        <w:spacing w:line="360" w:lineRule="auto"/>
        <w:ind w:firstLine="480" w:firstLineChars="200"/>
        <w:rPr>
          <w:bCs/>
          <w:sz w:val="24"/>
        </w:rPr>
      </w:pPr>
      <w:r>
        <w:rPr>
          <w:rFonts w:hint="eastAsia"/>
          <w:bCs/>
          <w:sz w:val="24"/>
        </w:rPr>
        <w:t>4</w:t>
      </w:r>
      <w:r>
        <w:rPr>
          <w:bCs/>
          <w:sz w:val="24"/>
        </w:rPr>
        <w:t>、相关法律法规和中国证监会规定的其他情况。</w:t>
      </w:r>
    </w:p>
    <w:p w14:paraId="2C59DB61">
      <w:pPr>
        <w:spacing w:line="360" w:lineRule="auto"/>
        <w:ind w:firstLine="480" w:firstLineChars="200"/>
        <w:rPr>
          <w:bCs/>
          <w:sz w:val="24"/>
        </w:rPr>
      </w:pPr>
      <w:r>
        <w:rPr>
          <w:bCs/>
          <w:sz w:val="24"/>
        </w:rPr>
        <w:t>三、基金财产的清算</w:t>
      </w:r>
    </w:p>
    <w:p w14:paraId="7BC8169A">
      <w:pPr>
        <w:spacing w:line="360" w:lineRule="auto"/>
        <w:ind w:firstLine="480" w:firstLineChars="200"/>
        <w:rPr>
          <w:bCs/>
          <w:sz w:val="24"/>
        </w:rPr>
      </w:pPr>
      <w:r>
        <w:rPr>
          <w:bCs/>
          <w:sz w:val="24"/>
        </w:rPr>
        <w:t>1、基金财产清算小组：自出现基金合同终止事由之日起30个工作日内成立</w:t>
      </w:r>
      <w:r>
        <w:rPr>
          <w:rFonts w:hint="eastAsia"/>
          <w:bCs/>
          <w:sz w:val="24"/>
        </w:rPr>
        <w:t>基金财产</w:t>
      </w:r>
      <w:r>
        <w:rPr>
          <w:bCs/>
          <w:sz w:val="24"/>
        </w:rPr>
        <w:t>清算小组，基金管理人组织基金财产清算小组并在中国证监会的监督下进行基金清算。</w:t>
      </w:r>
    </w:p>
    <w:p w14:paraId="5FEFC221">
      <w:pPr>
        <w:spacing w:line="360" w:lineRule="auto"/>
        <w:ind w:firstLine="480" w:firstLineChars="200"/>
        <w:rPr>
          <w:bCs/>
          <w:sz w:val="24"/>
        </w:rPr>
      </w:pPr>
      <w:r>
        <w:rPr>
          <w:bCs/>
          <w:sz w:val="24"/>
        </w:rPr>
        <w:t>2、基金财产清算小组组成：基金财产清算小组成员由基金管理人、基金托管人、具有从事证券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202072B1">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6E3835C2">
      <w:pPr>
        <w:spacing w:line="360" w:lineRule="auto"/>
        <w:ind w:firstLine="480" w:firstLineChars="200"/>
        <w:rPr>
          <w:bCs/>
          <w:sz w:val="24"/>
        </w:rPr>
      </w:pPr>
      <w:r>
        <w:rPr>
          <w:bCs/>
          <w:sz w:val="24"/>
        </w:rPr>
        <w:t>4、基金财产清算程序：</w:t>
      </w:r>
    </w:p>
    <w:p w14:paraId="3B814D63">
      <w:pPr>
        <w:spacing w:line="360" w:lineRule="auto"/>
        <w:ind w:firstLine="480" w:firstLineChars="200"/>
        <w:rPr>
          <w:bCs/>
          <w:sz w:val="24"/>
        </w:rPr>
      </w:pPr>
      <w:r>
        <w:rPr>
          <w:bCs/>
          <w:sz w:val="24"/>
        </w:rPr>
        <w:t>（1）《基金合同》终止情形出现时，由基金财产清算小组统一接管基金；</w:t>
      </w:r>
    </w:p>
    <w:p w14:paraId="18E41DFF">
      <w:pPr>
        <w:spacing w:line="360" w:lineRule="auto"/>
        <w:ind w:firstLine="480" w:firstLineChars="200"/>
        <w:rPr>
          <w:bCs/>
          <w:sz w:val="24"/>
        </w:rPr>
      </w:pPr>
      <w:r>
        <w:rPr>
          <w:bCs/>
          <w:sz w:val="24"/>
        </w:rPr>
        <w:t>（2）对基金财产和债权债务进行清理和确认；</w:t>
      </w:r>
    </w:p>
    <w:p w14:paraId="49D73614">
      <w:pPr>
        <w:spacing w:line="360" w:lineRule="auto"/>
        <w:ind w:firstLine="480" w:firstLineChars="200"/>
        <w:rPr>
          <w:bCs/>
          <w:sz w:val="24"/>
        </w:rPr>
      </w:pPr>
      <w:r>
        <w:rPr>
          <w:bCs/>
          <w:sz w:val="24"/>
        </w:rPr>
        <w:t>（3）对基金财产进行估值和变现；</w:t>
      </w:r>
    </w:p>
    <w:p w14:paraId="3FD13F3A">
      <w:pPr>
        <w:spacing w:line="360" w:lineRule="auto"/>
        <w:ind w:firstLine="480" w:firstLineChars="200"/>
        <w:rPr>
          <w:bCs/>
          <w:sz w:val="24"/>
        </w:rPr>
      </w:pPr>
      <w:r>
        <w:rPr>
          <w:bCs/>
          <w:sz w:val="24"/>
        </w:rPr>
        <w:t>（4）制作清算报告；</w:t>
      </w:r>
    </w:p>
    <w:p w14:paraId="0AD29C15">
      <w:pPr>
        <w:spacing w:line="360" w:lineRule="auto"/>
        <w:ind w:firstLine="480" w:firstLineChars="200"/>
        <w:rPr>
          <w:bCs/>
          <w:sz w:val="24"/>
        </w:rPr>
      </w:pPr>
      <w:r>
        <w:rPr>
          <w:bCs/>
          <w:sz w:val="24"/>
        </w:rPr>
        <w:t>（5）聘请会计师事务所对清算报告进行外部审计，聘请律师事务所对清算报告出具法律意见书；</w:t>
      </w:r>
    </w:p>
    <w:p w14:paraId="75E4B65D">
      <w:pPr>
        <w:spacing w:line="360" w:lineRule="auto"/>
        <w:ind w:firstLine="480" w:firstLineChars="200"/>
        <w:rPr>
          <w:bCs/>
          <w:sz w:val="24"/>
        </w:rPr>
      </w:pPr>
      <w:r>
        <w:rPr>
          <w:bCs/>
          <w:sz w:val="24"/>
        </w:rPr>
        <w:t>（6）将清算报告报中国证监会备案并公告</w:t>
      </w:r>
      <w:r>
        <w:rPr>
          <w:rFonts w:hint="eastAsia"/>
          <w:bCs/>
          <w:sz w:val="24"/>
        </w:rPr>
        <w:t>；</w:t>
      </w:r>
    </w:p>
    <w:p w14:paraId="097D62F5">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2CD71161">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p>
    <w:p w14:paraId="1739BEA4">
      <w:pPr>
        <w:spacing w:line="360" w:lineRule="auto"/>
        <w:ind w:firstLine="480" w:firstLineChars="200"/>
        <w:rPr>
          <w:bCs/>
          <w:sz w:val="24"/>
        </w:rPr>
      </w:pPr>
      <w:r>
        <w:rPr>
          <w:bCs/>
          <w:sz w:val="24"/>
        </w:rPr>
        <w:t>四、清算费用</w:t>
      </w:r>
    </w:p>
    <w:p w14:paraId="7FA66413">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3395F559">
      <w:pPr>
        <w:spacing w:line="360" w:lineRule="auto"/>
        <w:ind w:firstLine="480" w:firstLineChars="200"/>
        <w:rPr>
          <w:bCs/>
          <w:sz w:val="24"/>
        </w:rPr>
      </w:pPr>
      <w:r>
        <w:rPr>
          <w:bCs/>
          <w:sz w:val="24"/>
        </w:rPr>
        <w:t>五、基金财产清算剩余资产的分配</w:t>
      </w:r>
    </w:p>
    <w:p w14:paraId="2E318F92">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11B6858C">
      <w:pPr>
        <w:spacing w:line="360" w:lineRule="auto"/>
        <w:ind w:firstLine="480" w:firstLineChars="200"/>
        <w:rPr>
          <w:bCs/>
          <w:sz w:val="24"/>
        </w:rPr>
      </w:pPr>
      <w:r>
        <w:rPr>
          <w:bCs/>
          <w:sz w:val="24"/>
        </w:rPr>
        <w:t>六、基金财产清算的公告</w:t>
      </w:r>
    </w:p>
    <w:p w14:paraId="1CF46A41">
      <w:pPr>
        <w:spacing w:line="360" w:lineRule="auto"/>
        <w:ind w:firstLine="480" w:firstLineChars="200"/>
        <w:rPr>
          <w:bCs/>
          <w:sz w:val="24"/>
        </w:rPr>
      </w:pPr>
      <w:r>
        <w:rPr>
          <w:bCs/>
          <w:sz w:val="24"/>
        </w:rPr>
        <w:t>清算过程中的有关重大事项须及时公告；基金财产清算报告经</w:t>
      </w:r>
      <w:r>
        <w:rPr>
          <w:rFonts w:hint="eastAsia"/>
          <w:bCs/>
          <w:sz w:val="24"/>
        </w:rPr>
        <w:t>具备证券、期货相关业务资格的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7B93B3C6">
      <w:pPr>
        <w:spacing w:line="360" w:lineRule="auto"/>
        <w:ind w:firstLine="480" w:firstLineChars="200"/>
        <w:rPr>
          <w:bCs/>
          <w:sz w:val="24"/>
        </w:rPr>
      </w:pPr>
      <w:r>
        <w:rPr>
          <w:bCs/>
          <w:sz w:val="24"/>
        </w:rPr>
        <w:t>七、基金财产清算账册及文件的保存</w:t>
      </w:r>
    </w:p>
    <w:p w14:paraId="3ABEB327">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6A31E7EE">
      <w:pPr>
        <w:pStyle w:val="2"/>
        <w:spacing w:before="0" w:after="0"/>
        <w:jc w:val="center"/>
        <w:rPr>
          <w:rFonts w:ascii="Times New Roman"/>
          <w:color w:val="auto"/>
          <w:sz w:val="30"/>
        </w:rPr>
      </w:pPr>
      <w:bookmarkStart w:id="392" w:name="_Toc98560365"/>
      <w:bookmarkStart w:id="393" w:name="_Toc123112248"/>
      <w:bookmarkStart w:id="394" w:name="_Toc123102467"/>
      <w:bookmarkStart w:id="395" w:name="_Toc123051466"/>
      <w:bookmarkStart w:id="396" w:name="_Toc79392641"/>
      <w:bookmarkStart w:id="397" w:name="_Toc48649720"/>
      <w:r>
        <w:rPr>
          <w:rFonts w:ascii="Times New Roman"/>
          <w:b w:val="0"/>
          <w:bCs/>
          <w:color w:val="auto"/>
        </w:rPr>
        <w:br w:type="page"/>
      </w:r>
      <w:bookmarkStart w:id="398" w:name="_Toc435642216"/>
      <w:bookmarkStart w:id="399" w:name="_Toc1381775418"/>
      <w:bookmarkStart w:id="400" w:name="_Toc141703901"/>
      <w:bookmarkStart w:id="401" w:name="_Toc9708"/>
      <w:bookmarkStart w:id="402" w:name="_Toc8710"/>
      <w:bookmarkStart w:id="403" w:name="_Toc21240"/>
      <w:bookmarkStart w:id="404" w:name="_Toc7367"/>
      <w:bookmarkStart w:id="405" w:name="_Toc28549"/>
      <w:bookmarkStart w:id="406" w:name="_Toc30645"/>
      <w:bookmarkStart w:id="407" w:name="_Toc139991750"/>
      <w:bookmarkStart w:id="408" w:name="_Toc23022"/>
      <w:bookmarkStart w:id="409" w:name="_Toc13398"/>
      <w:bookmarkStart w:id="410" w:name="_Toc12191"/>
      <w:bookmarkStart w:id="411" w:name="_Toc27058"/>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4FB02660">
      <w:pPr>
        <w:spacing w:line="360" w:lineRule="auto"/>
        <w:ind w:firstLine="480" w:firstLineChars="200"/>
        <w:rPr>
          <w:bCs/>
          <w:sz w:val="24"/>
        </w:rPr>
      </w:pPr>
    </w:p>
    <w:p w14:paraId="4C09422E">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w:t>
      </w:r>
      <w:r>
        <w:rPr>
          <w:rFonts w:hint="eastAsia"/>
          <w:bCs/>
          <w:sz w:val="24"/>
        </w:rPr>
        <w:t>。</w:t>
      </w:r>
      <w:r>
        <w:rPr>
          <w:bCs/>
          <w:sz w:val="24"/>
        </w:rPr>
        <w:t>对损失的赔偿，仅限于直接损失。</w:t>
      </w:r>
      <w:r>
        <w:rPr>
          <w:rFonts w:hint="eastAsia"/>
          <w:bCs/>
          <w:sz w:val="24"/>
        </w:rPr>
        <w:t>但是发生下列情况的，当事人免责：</w:t>
      </w:r>
    </w:p>
    <w:p w14:paraId="3B42229C">
      <w:pPr>
        <w:spacing w:line="360" w:lineRule="auto"/>
        <w:ind w:firstLine="480" w:firstLineChars="200"/>
        <w:rPr>
          <w:bCs/>
          <w:sz w:val="24"/>
        </w:rPr>
      </w:pPr>
      <w:r>
        <w:rPr>
          <w:bCs/>
          <w:sz w:val="24"/>
        </w:rPr>
        <w:t>1</w:t>
      </w:r>
      <w:r>
        <w:rPr>
          <w:rFonts w:hint="eastAsia"/>
          <w:bCs/>
          <w:sz w:val="24"/>
        </w:rPr>
        <w:t>、</w:t>
      </w:r>
      <w:r>
        <w:rPr>
          <w:bCs/>
          <w:sz w:val="24"/>
        </w:rPr>
        <w:t>不可抗力；</w:t>
      </w:r>
    </w:p>
    <w:p w14:paraId="625C34C7">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14:paraId="481ACB19">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28715362">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00EC92F4">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65E1D45C">
      <w:pPr>
        <w:spacing w:line="360" w:lineRule="auto"/>
        <w:ind w:firstLine="480" w:firstLineChars="200"/>
        <w:rPr>
          <w:bCs/>
          <w:sz w:val="24"/>
        </w:rPr>
      </w:pPr>
    </w:p>
    <w:p w14:paraId="2156F4EB">
      <w:pPr>
        <w:spacing w:line="360" w:lineRule="auto"/>
        <w:ind w:firstLine="480" w:firstLineChars="200"/>
        <w:rPr>
          <w:bCs/>
          <w:sz w:val="24"/>
        </w:rPr>
      </w:pPr>
    </w:p>
    <w:p w14:paraId="75B082C9">
      <w:pPr>
        <w:spacing w:line="360" w:lineRule="auto"/>
        <w:ind w:firstLine="480" w:firstLineChars="200"/>
        <w:rPr>
          <w:bCs/>
          <w:sz w:val="24"/>
        </w:rPr>
      </w:pPr>
    </w:p>
    <w:p w14:paraId="2A54C887">
      <w:pPr>
        <w:spacing w:line="360" w:lineRule="auto"/>
        <w:ind w:firstLine="480" w:firstLineChars="200"/>
        <w:rPr>
          <w:bCs/>
          <w:sz w:val="24"/>
        </w:rPr>
      </w:pPr>
    </w:p>
    <w:p w14:paraId="4DFA2577">
      <w:pPr>
        <w:pStyle w:val="2"/>
        <w:spacing w:before="0" w:after="0"/>
        <w:jc w:val="center"/>
        <w:rPr>
          <w:rFonts w:ascii="Times New Roman"/>
          <w:color w:val="auto"/>
          <w:sz w:val="30"/>
        </w:rPr>
      </w:pPr>
      <w:r>
        <w:rPr>
          <w:rFonts w:ascii="Times New Roman"/>
          <w:b w:val="0"/>
          <w:bCs/>
          <w:color w:val="auto"/>
        </w:rPr>
        <w:br w:type="page"/>
      </w:r>
      <w:bookmarkStart w:id="412" w:name="_Toc30350"/>
      <w:bookmarkStart w:id="413" w:name="_Toc21983"/>
      <w:bookmarkStart w:id="414" w:name="_Toc8636"/>
      <w:bookmarkStart w:id="415" w:name="_Toc98560366"/>
      <w:bookmarkStart w:id="416" w:name="_Toc123112249"/>
      <w:bookmarkStart w:id="417" w:name="_Toc708916896"/>
      <w:bookmarkStart w:id="418" w:name="_Toc24923"/>
      <w:bookmarkStart w:id="419" w:name="_Toc23999"/>
      <w:bookmarkStart w:id="420" w:name="_Toc7288"/>
      <w:bookmarkStart w:id="421" w:name="_Toc6202"/>
      <w:bookmarkStart w:id="422" w:name="_Toc1790"/>
      <w:bookmarkStart w:id="423" w:name="_Toc139991751"/>
      <w:bookmarkStart w:id="424" w:name="_Toc123051467"/>
      <w:bookmarkStart w:id="425" w:name="_Toc435642217"/>
      <w:bookmarkStart w:id="426" w:name="_Toc141703902"/>
      <w:bookmarkStart w:id="427" w:name="_Toc123102468"/>
      <w:bookmarkStart w:id="428" w:name="_Toc3319"/>
      <w:bookmarkStart w:id="429" w:name="_Toc25651"/>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EDD10CB">
      <w:pPr>
        <w:spacing w:line="360" w:lineRule="auto"/>
        <w:ind w:firstLine="480" w:firstLineChars="200"/>
        <w:rPr>
          <w:bCs/>
          <w:sz w:val="24"/>
        </w:rPr>
      </w:pPr>
    </w:p>
    <w:p w14:paraId="68B95366">
      <w:pPr>
        <w:spacing w:line="360" w:lineRule="auto"/>
        <w:ind w:firstLine="482" w:firstLineChars="200"/>
        <w:rPr>
          <w:rFonts w:hint="eastAsia"/>
          <w:b/>
          <w:bCs/>
          <w:i/>
          <w:sz w:val="24"/>
        </w:rPr>
      </w:pPr>
      <w:r>
        <w:rPr>
          <w:b/>
          <w:bCs/>
          <w:i/>
          <w:sz w:val="24"/>
        </w:rPr>
        <w:t>各方当事人同意，因《基金合同》而产生的或与《基金合同》有关的一切争议，如不愿或者不能通过协商、调解解决的，任何一方均有权将争议提交</w:t>
      </w:r>
      <w:r>
        <w:rPr>
          <w:rFonts w:hint="eastAsia"/>
          <w:b/>
          <w:bCs/>
          <w:i/>
          <w:sz w:val="24"/>
        </w:rPr>
        <w:t>中国</w:t>
      </w:r>
      <w:r>
        <w:rPr>
          <w:b/>
          <w:bCs/>
          <w:i/>
          <w:sz w:val="24"/>
        </w:rPr>
        <w:t>国际经济贸易仲裁委员会，按照中国国际经济贸易仲裁委员会届时有效的仲裁规则进行仲裁。仲裁地点为北京市。仲裁裁决是终局的，对各方当事人均有约束力。</w:t>
      </w:r>
      <w:r>
        <w:rPr>
          <w:rFonts w:hint="eastAsia"/>
          <w:b/>
          <w:bCs/>
          <w:i/>
          <w:sz w:val="24"/>
        </w:rPr>
        <w:t>仲裁费用由败诉方承担。</w:t>
      </w:r>
    </w:p>
    <w:p w14:paraId="22EB93EE">
      <w:pPr>
        <w:spacing w:line="360" w:lineRule="auto"/>
        <w:ind w:firstLine="482" w:firstLineChars="200"/>
        <w:rPr>
          <w:b/>
          <w:bCs/>
          <w:i/>
          <w:sz w:val="24"/>
        </w:rPr>
      </w:pPr>
      <w:r>
        <w:rPr>
          <w:rFonts w:hint="eastAsia"/>
          <w:b/>
          <w:bCs/>
          <w:i/>
          <w:sz w:val="24"/>
        </w:rPr>
        <w:t>争议处理期间，基金管理人、基金托管人应恪守基金管理人和基金托管人职责，各自继续忠实、勤勉、尽责地履行基金合同和托管协议规定的义务，维护基金份额持有人的合法权益。</w:t>
      </w:r>
    </w:p>
    <w:p w14:paraId="6615A581">
      <w:pPr>
        <w:spacing w:line="360" w:lineRule="auto"/>
        <w:ind w:firstLine="482" w:firstLineChars="200"/>
        <w:rPr>
          <w:bCs/>
          <w:sz w:val="24"/>
        </w:rPr>
      </w:pPr>
      <w:r>
        <w:rPr>
          <w:b/>
          <w:bCs/>
          <w:i/>
          <w:sz w:val="24"/>
        </w:rPr>
        <w:t>《基金合同》受中国法律</w:t>
      </w:r>
      <w:r>
        <w:rPr>
          <w:rFonts w:hint="eastAsia"/>
          <w:b/>
          <w:bCs/>
          <w:i/>
          <w:sz w:val="24"/>
        </w:rPr>
        <w:t>（为本基金合同之目的，在此不包括香港、澳门特别行政区和台湾地区法律）</w:t>
      </w:r>
      <w:r>
        <w:rPr>
          <w:b/>
          <w:bCs/>
          <w:i/>
          <w:sz w:val="24"/>
        </w:rPr>
        <w:t>管辖。</w:t>
      </w:r>
    </w:p>
    <w:p w14:paraId="43120755">
      <w:pPr>
        <w:widowControl/>
        <w:jc w:val="left"/>
        <w:rPr>
          <w:bCs/>
          <w:sz w:val="24"/>
        </w:rPr>
      </w:pPr>
      <w:r>
        <w:rPr>
          <w:bCs/>
          <w:sz w:val="24"/>
        </w:rPr>
        <w:br w:type="page"/>
      </w:r>
    </w:p>
    <w:p w14:paraId="48254144">
      <w:pPr>
        <w:pStyle w:val="2"/>
        <w:spacing w:before="0" w:after="0"/>
        <w:jc w:val="center"/>
        <w:rPr>
          <w:rFonts w:ascii="Times New Roman"/>
          <w:color w:val="auto"/>
          <w:sz w:val="30"/>
        </w:rPr>
      </w:pPr>
      <w:bookmarkStart w:id="430" w:name="_Toc20350"/>
      <w:bookmarkStart w:id="431" w:name="_Toc11618"/>
      <w:bookmarkStart w:id="432" w:name="_Toc141703903"/>
      <w:bookmarkStart w:id="433" w:name="_Toc8703"/>
      <w:bookmarkStart w:id="434" w:name="_Toc435642218"/>
      <w:bookmarkStart w:id="435" w:name="_Toc31966"/>
      <w:bookmarkStart w:id="436" w:name="_Toc26461"/>
      <w:bookmarkStart w:id="437" w:name="_Toc139991752"/>
      <w:bookmarkStart w:id="438" w:name="_Toc2532"/>
      <w:bookmarkStart w:id="439" w:name="_Toc23991"/>
      <w:bookmarkStart w:id="440" w:name="_Toc484"/>
      <w:bookmarkStart w:id="441" w:name="_Toc123051468"/>
      <w:bookmarkStart w:id="442" w:name="_Toc1224987034"/>
      <w:bookmarkStart w:id="443" w:name="_Toc29505"/>
      <w:bookmarkStart w:id="444" w:name="_Toc123112250"/>
      <w:bookmarkStart w:id="445" w:name="_Toc123102469"/>
      <w:bookmarkStart w:id="446" w:name="_Toc8454"/>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158EE99F">
      <w:pPr>
        <w:spacing w:line="360" w:lineRule="auto"/>
        <w:ind w:firstLine="480" w:firstLineChars="200"/>
        <w:rPr>
          <w:bCs/>
          <w:sz w:val="24"/>
        </w:rPr>
      </w:pPr>
    </w:p>
    <w:p w14:paraId="1D658C96">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D03BB76">
      <w:pPr>
        <w:spacing w:line="360" w:lineRule="auto"/>
        <w:ind w:firstLine="480" w:firstLineChars="200"/>
        <w:rPr>
          <w:rFonts w:hint="eastAsia"/>
          <w:bCs/>
          <w:sz w:val="24"/>
        </w:rPr>
      </w:pPr>
      <w:r>
        <w:rPr>
          <w:bCs/>
          <w:sz w:val="24"/>
        </w:rPr>
        <w:t>1、</w:t>
      </w:r>
      <w:r>
        <w:rPr>
          <w:rFonts w:hint="eastAsia"/>
          <w:bCs/>
          <w:sz w:val="24"/>
        </w:rPr>
        <w:t>《基金合同》经基金管理人、基金托管人双方加盖公章（或合同专用章）以及双方法定代表人或授权代理人签字（或盖章）。</w:t>
      </w:r>
    </w:p>
    <w:p w14:paraId="01A9570C">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6DA64CFE">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698A5D69">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14:paraId="0B198EC1">
      <w:pPr>
        <w:spacing w:line="360" w:lineRule="auto"/>
        <w:ind w:firstLine="480" w:firstLineChars="200"/>
        <w:rPr>
          <w:bCs/>
          <w:sz w:val="24"/>
        </w:rPr>
      </w:pPr>
      <w:r>
        <w:rPr>
          <w:bCs/>
          <w:sz w:val="24"/>
        </w:rPr>
        <w:t>5、《基金合同》可印制成册，供投资者在基金管理人、基金托管人、销售机构的办公场所和营业场所查阅。</w:t>
      </w:r>
    </w:p>
    <w:p w14:paraId="52E7B526">
      <w:pPr>
        <w:pStyle w:val="2"/>
        <w:spacing w:before="0" w:after="0"/>
        <w:jc w:val="center"/>
        <w:rPr>
          <w:rFonts w:ascii="Times New Roman"/>
          <w:color w:val="auto"/>
          <w:sz w:val="30"/>
        </w:rPr>
      </w:pPr>
      <w:r>
        <w:rPr>
          <w:rFonts w:ascii="Times New Roman"/>
          <w:b w:val="0"/>
          <w:bCs/>
          <w:color w:val="auto"/>
        </w:rPr>
        <w:br w:type="page"/>
      </w:r>
      <w:bookmarkStart w:id="447" w:name="_Toc21726"/>
      <w:bookmarkStart w:id="448" w:name="_Toc1161363228"/>
      <w:bookmarkStart w:id="449" w:name="_Toc435642219"/>
      <w:r>
        <w:rPr>
          <w:rFonts w:hint="eastAsia" w:ascii="Times New Roman"/>
          <w:color w:val="auto"/>
          <w:sz w:val="30"/>
        </w:rPr>
        <w:t>第二十三部分  其他事项</w:t>
      </w:r>
      <w:bookmarkEnd w:id="447"/>
      <w:bookmarkEnd w:id="448"/>
      <w:bookmarkEnd w:id="449"/>
    </w:p>
    <w:p w14:paraId="15BBE862">
      <w:pPr>
        <w:spacing w:line="360" w:lineRule="auto"/>
        <w:ind w:firstLine="480" w:firstLineChars="200"/>
        <w:rPr>
          <w:rFonts w:ascii="宋体" w:hAnsi="宋体"/>
          <w:sz w:val="24"/>
        </w:rPr>
      </w:pPr>
    </w:p>
    <w:p w14:paraId="3E11022C">
      <w:pPr>
        <w:spacing w:line="360" w:lineRule="auto"/>
        <w:ind w:firstLine="480" w:firstLineChars="200"/>
        <w:rPr>
          <w:rFonts w:ascii="宋体" w:hAnsi="宋体"/>
          <w:sz w:val="24"/>
        </w:rPr>
      </w:pPr>
      <w:r>
        <w:rPr>
          <w:rFonts w:hint="eastAsia" w:ascii="宋体" w:hAnsi="宋体"/>
          <w:sz w:val="24"/>
        </w:rPr>
        <w:t>《基金合同》如有未尽事宜，由《基金合同》当事人各方按有关法律法规协商解决。</w:t>
      </w:r>
    </w:p>
    <w:bookmarkEnd w:id="68"/>
    <w:bookmarkEnd w:id="69"/>
    <w:p w14:paraId="7DA78DB5"/>
    <w:p w14:paraId="5940C3F8"/>
    <w:p w14:paraId="7091B0E2"/>
    <w:p w14:paraId="3491152D"/>
    <w:p w14:paraId="2C93BD6C"/>
    <w:p w14:paraId="024C7801"/>
    <w:p w14:paraId="60C11A31"/>
    <w:p w14:paraId="32DA6259"/>
    <w:p w14:paraId="592D350A"/>
    <w:p w14:paraId="78A3AF08"/>
    <w:p w14:paraId="121258B1"/>
    <w:p w14:paraId="7C040FD3"/>
    <w:p w14:paraId="7CE04259"/>
    <w:p w14:paraId="653C3B0F"/>
    <w:p w14:paraId="5879EF1B"/>
    <w:p w14:paraId="625E6CFD"/>
    <w:p w14:paraId="50DC0B17"/>
    <w:p w14:paraId="3862E0B7"/>
    <w:p w14:paraId="29DDACDB"/>
    <w:p w14:paraId="3D8D6CF2"/>
    <w:p w14:paraId="1FE343B7"/>
    <w:p w14:paraId="67ECB5E5"/>
    <w:p w14:paraId="18B9DDD9"/>
    <w:p w14:paraId="37BAD3D2"/>
    <w:p w14:paraId="6ABFF15B"/>
    <w:p w14:paraId="35FD6D44"/>
    <w:p w14:paraId="349DF392"/>
    <w:p w14:paraId="3BB013B4"/>
    <w:p w14:paraId="1DBD638B"/>
    <w:p w14:paraId="26C57D79"/>
    <w:p w14:paraId="3F38007A">
      <w:pPr>
        <w:rPr>
          <w:rFonts w:hint="eastAsia"/>
        </w:rPr>
      </w:pPr>
    </w:p>
    <w:p w14:paraId="509C0F83">
      <w:pPr>
        <w:rPr>
          <w:rFonts w:hint="eastAsia"/>
        </w:rPr>
      </w:pPr>
    </w:p>
    <w:p w14:paraId="50B1BF38">
      <w:pPr>
        <w:rPr>
          <w:rFonts w:hint="eastAsia"/>
        </w:rPr>
      </w:pPr>
    </w:p>
    <w:p w14:paraId="0762FFD5">
      <w:pPr>
        <w:rPr>
          <w:rFonts w:hint="eastAsia"/>
        </w:rPr>
      </w:pPr>
    </w:p>
    <w:p w14:paraId="14F2FB5A">
      <w:pPr>
        <w:rPr>
          <w:rFonts w:hint="eastAsia"/>
        </w:rPr>
      </w:pPr>
    </w:p>
    <w:p w14:paraId="1E5EC3AF">
      <w:pPr>
        <w:rPr>
          <w:rFonts w:hint="eastAsia"/>
        </w:rPr>
      </w:pPr>
    </w:p>
    <w:p w14:paraId="62B86064">
      <w:pPr>
        <w:rPr>
          <w:rFonts w:hint="eastAsia"/>
        </w:rPr>
      </w:pPr>
    </w:p>
    <w:p w14:paraId="34649DC9">
      <w:pPr>
        <w:rPr>
          <w:rFonts w:hint="eastAsia"/>
        </w:rPr>
      </w:pPr>
    </w:p>
    <w:p w14:paraId="696557EF">
      <w:pPr>
        <w:pStyle w:val="2"/>
        <w:spacing w:before="0" w:after="0"/>
        <w:jc w:val="center"/>
        <w:rPr>
          <w:rFonts w:ascii="Times New Roman"/>
          <w:color w:val="auto"/>
          <w:sz w:val="30"/>
        </w:rPr>
      </w:pPr>
      <w:bookmarkStart w:id="450" w:name="_Toc435642220"/>
      <w:bookmarkStart w:id="451" w:name="_Toc2004647541"/>
      <w:r>
        <w:rPr>
          <w:rFonts w:ascii="Times New Roman"/>
          <w:color w:val="auto"/>
          <w:sz w:val="30"/>
        </w:rPr>
        <w:t>第二十四部分</w:t>
      </w:r>
      <w:r>
        <w:rPr>
          <w:rFonts w:hint="eastAsia" w:ascii="Times New Roman"/>
          <w:color w:val="auto"/>
          <w:sz w:val="30"/>
        </w:rPr>
        <w:t xml:space="preserve"> </w:t>
      </w:r>
      <w:r>
        <w:rPr>
          <w:rFonts w:ascii="Times New Roman"/>
          <w:color w:val="auto"/>
          <w:sz w:val="30"/>
        </w:rPr>
        <w:t>基金合同内容摘要</w:t>
      </w:r>
      <w:bookmarkEnd w:id="450"/>
      <w:bookmarkEnd w:id="451"/>
    </w:p>
    <w:p w14:paraId="1D17C5AA"/>
    <w:p w14:paraId="4618E219">
      <w:pPr>
        <w:autoSpaceDE w:val="0"/>
        <w:autoSpaceDN w:val="0"/>
        <w:adjustRightInd w:val="0"/>
        <w:spacing w:line="360" w:lineRule="auto"/>
        <w:ind w:firstLine="480" w:firstLineChars="200"/>
        <w:jc w:val="left"/>
        <w:rPr>
          <w:bCs/>
          <w:sz w:val="24"/>
          <w:szCs w:val="24"/>
        </w:rPr>
      </w:pPr>
      <w:r>
        <w:rPr>
          <w:rFonts w:hint="eastAsia"/>
          <w:bCs/>
          <w:sz w:val="24"/>
          <w:szCs w:val="24"/>
        </w:rPr>
        <w:t>一、基金份额持有人、基金管理人和基金托管人的权利、义务</w:t>
      </w:r>
    </w:p>
    <w:p w14:paraId="0DAB16AE">
      <w:pPr>
        <w:autoSpaceDE w:val="0"/>
        <w:autoSpaceDN w:val="0"/>
        <w:adjustRightInd w:val="0"/>
        <w:spacing w:line="360" w:lineRule="auto"/>
        <w:ind w:firstLine="480" w:firstLineChars="200"/>
        <w:jc w:val="left"/>
        <w:rPr>
          <w:bCs/>
          <w:sz w:val="24"/>
          <w:szCs w:val="24"/>
        </w:rPr>
      </w:pPr>
      <w:r>
        <w:rPr>
          <w:rFonts w:hint="eastAsia"/>
          <w:bCs/>
          <w:sz w:val="24"/>
          <w:szCs w:val="24"/>
        </w:rPr>
        <w:t>（一）基金管理人的权利与义务</w:t>
      </w:r>
    </w:p>
    <w:p w14:paraId="782D7890">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1、根据《基金法》、《运作办法》及其他有关规定，基金管理人的权利包括但不限于：</w:t>
      </w:r>
    </w:p>
    <w:p w14:paraId="6BCFEBE9">
      <w:pPr>
        <w:autoSpaceDE w:val="0"/>
        <w:autoSpaceDN w:val="0"/>
        <w:adjustRightInd w:val="0"/>
        <w:spacing w:line="360" w:lineRule="auto"/>
        <w:ind w:firstLine="480" w:firstLineChars="200"/>
        <w:jc w:val="left"/>
        <w:rPr>
          <w:bCs/>
          <w:sz w:val="24"/>
          <w:szCs w:val="24"/>
        </w:rPr>
      </w:pPr>
      <w:r>
        <w:rPr>
          <w:rFonts w:hint="eastAsia"/>
          <w:bCs/>
          <w:sz w:val="24"/>
          <w:szCs w:val="24"/>
        </w:rPr>
        <w:t>（1）依法募集资金；</w:t>
      </w:r>
    </w:p>
    <w:p w14:paraId="223AD643">
      <w:pPr>
        <w:autoSpaceDE w:val="0"/>
        <w:autoSpaceDN w:val="0"/>
        <w:adjustRightInd w:val="0"/>
        <w:spacing w:line="360" w:lineRule="auto"/>
        <w:ind w:firstLine="480" w:firstLineChars="200"/>
        <w:jc w:val="left"/>
        <w:rPr>
          <w:bCs/>
          <w:sz w:val="24"/>
          <w:szCs w:val="24"/>
        </w:rPr>
      </w:pPr>
      <w:r>
        <w:rPr>
          <w:rFonts w:hint="eastAsia"/>
          <w:bCs/>
          <w:sz w:val="24"/>
          <w:szCs w:val="24"/>
        </w:rPr>
        <w:t>（2）自《基金合同》生效之日起，根据法律法规和《基金合同》独立运用并管理基金财产；</w:t>
      </w:r>
    </w:p>
    <w:p w14:paraId="2C5F457C">
      <w:pPr>
        <w:autoSpaceDE w:val="0"/>
        <w:autoSpaceDN w:val="0"/>
        <w:adjustRightInd w:val="0"/>
        <w:spacing w:line="360" w:lineRule="auto"/>
        <w:ind w:firstLine="480" w:firstLineChars="200"/>
        <w:jc w:val="left"/>
        <w:rPr>
          <w:bCs/>
          <w:sz w:val="24"/>
          <w:szCs w:val="24"/>
        </w:rPr>
      </w:pPr>
      <w:r>
        <w:rPr>
          <w:rFonts w:hint="eastAsia"/>
          <w:bCs/>
          <w:sz w:val="24"/>
          <w:szCs w:val="24"/>
        </w:rPr>
        <w:t>（3）依照《基金合同》收取基金管理费以及法律法规规定或中国证监会批准的其他费用；</w:t>
      </w:r>
    </w:p>
    <w:p w14:paraId="3EB68D99">
      <w:pPr>
        <w:autoSpaceDE w:val="0"/>
        <w:autoSpaceDN w:val="0"/>
        <w:adjustRightInd w:val="0"/>
        <w:spacing w:line="360" w:lineRule="auto"/>
        <w:ind w:firstLine="480" w:firstLineChars="200"/>
        <w:jc w:val="left"/>
        <w:rPr>
          <w:bCs/>
          <w:sz w:val="24"/>
          <w:szCs w:val="24"/>
        </w:rPr>
      </w:pPr>
      <w:r>
        <w:rPr>
          <w:rFonts w:hint="eastAsia"/>
          <w:bCs/>
          <w:sz w:val="24"/>
          <w:szCs w:val="24"/>
        </w:rPr>
        <w:t>（4）销售基金份额；</w:t>
      </w:r>
    </w:p>
    <w:p w14:paraId="27568536">
      <w:pPr>
        <w:autoSpaceDE w:val="0"/>
        <w:autoSpaceDN w:val="0"/>
        <w:adjustRightInd w:val="0"/>
        <w:spacing w:line="360" w:lineRule="auto"/>
        <w:ind w:firstLine="480" w:firstLineChars="200"/>
        <w:jc w:val="left"/>
        <w:rPr>
          <w:bCs/>
          <w:sz w:val="24"/>
          <w:szCs w:val="24"/>
        </w:rPr>
      </w:pPr>
      <w:r>
        <w:rPr>
          <w:rFonts w:hint="eastAsia"/>
          <w:bCs/>
          <w:sz w:val="24"/>
          <w:szCs w:val="24"/>
        </w:rPr>
        <w:t>（5）按照规定召集基金份额持有人大会；</w:t>
      </w:r>
    </w:p>
    <w:p w14:paraId="234F3F4C">
      <w:pPr>
        <w:autoSpaceDE w:val="0"/>
        <w:autoSpaceDN w:val="0"/>
        <w:adjustRightInd w:val="0"/>
        <w:spacing w:line="360" w:lineRule="auto"/>
        <w:ind w:firstLine="480" w:firstLineChars="200"/>
        <w:jc w:val="left"/>
        <w:rPr>
          <w:bCs/>
          <w:sz w:val="24"/>
          <w:szCs w:val="24"/>
        </w:rPr>
      </w:pPr>
      <w:r>
        <w:rPr>
          <w:rFonts w:hint="eastAsia"/>
          <w:bCs/>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1E10F52A">
      <w:pPr>
        <w:autoSpaceDE w:val="0"/>
        <w:autoSpaceDN w:val="0"/>
        <w:adjustRightInd w:val="0"/>
        <w:spacing w:line="360" w:lineRule="auto"/>
        <w:ind w:firstLine="480" w:firstLineChars="200"/>
        <w:jc w:val="left"/>
        <w:rPr>
          <w:bCs/>
          <w:sz w:val="24"/>
          <w:szCs w:val="24"/>
        </w:rPr>
      </w:pPr>
      <w:r>
        <w:rPr>
          <w:rFonts w:hint="eastAsia"/>
          <w:bCs/>
          <w:sz w:val="24"/>
          <w:szCs w:val="24"/>
        </w:rPr>
        <w:t>（7）在基金托管人更换时，提名新的基金托管人；</w:t>
      </w:r>
    </w:p>
    <w:p w14:paraId="081C6590">
      <w:pPr>
        <w:autoSpaceDE w:val="0"/>
        <w:autoSpaceDN w:val="0"/>
        <w:adjustRightInd w:val="0"/>
        <w:spacing w:line="360" w:lineRule="auto"/>
        <w:ind w:firstLine="480" w:firstLineChars="200"/>
        <w:jc w:val="left"/>
        <w:rPr>
          <w:bCs/>
          <w:sz w:val="24"/>
          <w:szCs w:val="24"/>
        </w:rPr>
      </w:pPr>
      <w:r>
        <w:rPr>
          <w:rFonts w:hint="eastAsia"/>
          <w:bCs/>
          <w:sz w:val="24"/>
          <w:szCs w:val="24"/>
        </w:rPr>
        <w:t>（8）选择、更换基金销售机构，对基金销售机构的相关行为进行监督和处理；</w:t>
      </w:r>
    </w:p>
    <w:p w14:paraId="70ED51B9">
      <w:pPr>
        <w:autoSpaceDE w:val="0"/>
        <w:autoSpaceDN w:val="0"/>
        <w:adjustRightInd w:val="0"/>
        <w:spacing w:line="360" w:lineRule="auto"/>
        <w:ind w:firstLine="480" w:firstLineChars="200"/>
        <w:jc w:val="left"/>
        <w:rPr>
          <w:bCs/>
          <w:sz w:val="24"/>
          <w:szCs w:val="24"/>
        </w:rPr>
      </w:pPr>
      <w:r>
        <w:rPr>
          <w:rFonts w:hint="eastAsia"/>
          <w:bCs/>
          <w:sz w:val="24"/>
          <w:szCs w:val="24"/>
        </w:rPr>
        <w:t>（9）担任或委托其他符合条件的机构担任基金登记机构办理基金登记业务并获得《基金合同》规定的费用；</w:t>
      </w:r>
    </w:p>
    <w:p w14:paraId="0E5DD0F2">
      <w:pPr>
        <w:autoSpaceDE w:val="0"/>
        <w:autoSpaceDN w:val="0"/>
        <w:adjustRightInd w:val="0"/>
        <w:spacing w:line="360" w:lineRule="auto"/>
        <w:ind w:firstLine="480" w:firstLineChars="200"/>
        <w:jc w:val="left"/>
        <w:rPr>
          <w:bCs/>
          <w:sz w:val="24"/>
          <w:szCs w:val="24"/>
        </w:rPr>
      </w:pPr>
      <w:r>
        <w:rPr>
          <w:rFonts w:hint="eastAsia"/>
          <w:bCs/>
          <w:sz w:val="24"/>
          <w:szCs w:val="24"/>
        </w:rPr>
        <w:t>（10）依据《基金合同》及有关法律规定决定基金收益的分配方案；</w:t>
      </w:r>
      <w:r>
        <w:rPr>
          <w:rFonts w:hint="eastAsia"/>
          <w:bCs/>
          <w:sz w:val="24"/>
          <w:szCs w:val="24"/>
        </w:rPr>
        <w:tab/>
      </w:r>
    </w:p>
    <w:p w14:paraId="3EE9E6D7">
      <w:pPr>
        <w:autoSpaceDE w:val="0"/>
        <w:autoSpaceDN w:val="0"/>
        <w:adjustRightInd w:val="0"/>
        <w:spacing w:line="360" w:lineRule="auto"/>
        <w:ind w:firstLine="480" w:firstLineChars="200"/>
        <w:jc w:val="left"/>
        <w:rPr>
          <w:bCs/>
          <w:sz w:val="24"/>
          <w:szCs w:val="24"/>
        </w:rPr>
      </w:pPr>
      <w:r>
        <w:rPr>
          <w:rFonts w:hint="eastAsia"/>
          <w:bCs/>
          <w:sz w:val="24"/>
          <w:szCs w:val="24"/>
        </w:rPr>
        <w:t>（11）在《基金合同》约定的范围内，拒绝或暂停受理申购与赎回申请；</w:t>
      </w:r>
    </w:p>
    <w:p w14:paraId="6A92C659">
      <w:pPr>
        <w:autoSpaceDE w:val="0"/>
        <w:autoSpaceDN w:val="0"/>
        <w:adjustRightInd w:val="0"/>
        <w:spacing w:line="360" w:lineRule="auto"/>
        <w:ind w:firstLine="480" w:firstLineChars="200"/>
        <w:jc w:val="left"/>
        <w:rPr>
          <w:bCs/>
          <w:sz w:val="24"/>
          <w:szCs w:val="24"/>
        </w:rPr>
      </w:pPr>
      <w:r>
        <w:rPr>
          <w:rFonts w:hint="eastAsia"/>
          <w:bCs/>
          <w:sz w:val="24"/>
          <w:szCs w:val="24"/>
        </w:rPr>
        <w:t>（12）依照法律法规为基金的利益对被投资公司行使股东权利，为基金的利益行使因基金财产投资于证券所产生的权利；</w:t>
      </w:r>
      <w:r>
        <w:rPr>
          <w:rFonts w:hint="eastAsia"/>
          <w:bCs/>
          <w:sz w:val="24"/>
          <w:szCs w:val="24"/>
        </w:rPr>
        <w:tab/>
      </w:r>
    </w:p>
    <w:p w14:paraId="58D4072D">
      <w:pPr>
        <w:autoSpaceDE w:val="0"/>
        <w:autoSpaceDN w:val="0"/>
        <w:adjustRightInd w:val="0"/>
        <w:spacing w:line="360" w:lineRule="auto"/>
        <w:ind w:firstLine="480" w:firstLineChars="200"/>
        <w:jc w:val="left"/>
        <w:rPr>
          <w:bCs/>
          <w:sz w:val="24"/>
          <w:szCs w:val="24"/>
        </w:rPr>
      </w:pPr>
      <w:r>
        <w:rPr>
          <w:rFonts w:hint="eastAsia"/>
          <w:bCs/>
          <w:sz w:val="24"/>
          <w:szCs w:val="24"/>
        </w:rPr>
        <w:t>（13）以基金管理人的名义，代表基金份额持有人的利益行使诉讼权利或者实施其他法律行为；</w:t>
      </w:r>
      <w:r>
        <w:rPr>
          <w:rFonts w:hint="eastAsia"/>
          <w:bCs/>
          <w:sz w:val="24"/>
          <w:szCs w:val="24"/>
        </w:rPr>
        <w:tab/>
      </w:r>
    </w:p>
    <w:p w14:paraId="0AB74940">
      <w:pPr>
        <w:autoSpaceDE w:val="0"/>
        <w:autoSpaceDN w:val="0"/>
        <w:adjustRightInd w:val="0"/>
        <w:spacing w:line="360" w:lineRule="auto"/>
        <w:ind w:firstLine="480" w:firstLineChars="200"/>
        <w:jc w:val="left"/>
        <w:rPr>
          <w:bCs/>
          <w:sz w:val="24"/>
          <w:szCs w:val="24"/>
        </w:rPr>
      </w:pPr>
      <w:r>
        <w:rPr>
          <w:rFonts w:hint="eastAsia"/>
          <w:bCs/>
          <w:sz w:val="24"/>
          <w:szCs w:val="24"/>
        </w:rPr>
        <w:t>（14）选择、更换律师事务所、会计师事务所、证券经纪商或其他为基金提供服务的外部机构；</w:t>
      </w:r>
      <w:r>
        <w:rPr>
          <w:rFonts w:hint="eastAsia"/>
          <w:bCs/>
          <w:sz w:val="24"/>
          <w:szCs w:val="24"/>
        </w:rPr>
        <w:tab/>
      </w:r>
    </w:p>
    <w:p w14:paraId="5C8CEB78">
      <w:pPr>
        <w:autoSpaceDE w:val="0"/>
        <w:autoSpaceDN w:val="0"/>
        <w:adjustRightInd w:val="0"/>
        <w:spacing w:line="360" w:lineRule="auto"/>
        <w:ind w:firstLine="480" w:firstLineChars="200"/>
        <w:jc w:val="left"/>
        <w:rPr>
          <w:bCs/>
          <w:sz w:val="24"/>
          <w:szCs w:val="24"/>
        </w:rPr>
      </w:pPr>
      <w:r>
        <w:rPr>
          <w:rFonts w:hint="eastAsia"/>
          <w:bCs/>
          <w:sz w:val="24"/>
          <w:szCs w:val="24"/>
        </w:rPr>
        <w:t>（15）在符合有关法律、法规的前提下，制订和调整有关基金申购、赎回、转换、定期定额投资和非交易过户等业务规则；</w:t>
      </w:r>
    </w:p>
    <w:p w14:paraId="2E0F9BB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（16）法律法规及中国证监会规定的和《基金合同》约定的其他权利。</w:t>
      </w:r>
    </w:p>
    <w:p w14:paraId="094CC184">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2、根据《基金法》、《运作办法》及其他有关规定，基金管理人的义务包括但不限于：</w:t>
      </w:r>
    </w:p>
    <w:p w14:paraId="187AD2CE">
      <w:pPr>
        <w:autoSpaceDE w:val="0"/>
        <w:autoSpaceDN w:val="0"/>
        <w:adjustRightInd w:val="0"/>
        <w:spacing w:line="360" w:lineRule="auto"/>
        <w:ind w:firstLine="480" w:firstLineChars="200"/>
        <w:jc w:val="left"/>
        <w:rPr>
          <w:bCs/>
          <w:sz w:val="24"/>
          <w:szCs w:val="24"/>
        </w:rPr>
      </w:pPr>
      <w:r>
        <w:rPr>
          <w:rFonts w:hint="eastAsia"/>
          <w:bCs/>
          <w:sz w:val="24"/>
          <w:szCs w:val="24"/>
        </w:rPr>
        <w:t>（1）依法募集资金，办理或者委托经中国证监会认定的其他机构代为办理基金份额的申购、赎回和登记事宜；</w:t>
      </w:r>
    </w:p>
    <w:p w14:paraId="25371F9F">
      <w:pPr>
        <w:autoSpaceDE w:val="0"/>
        <w:autoSpaceDN w:val="0"/>
        <w:adjustRightInd w:val="0"/>
        <w:spacing w:line="360" w:lineRule="auto"/>
        <w:ind w:firstLine="480" w:firstLineChars="200"/>
        <w:jc w:val="left"/>
        <w:rPr>
          <w:bCs/>
          <w:sz w:val="24"/>
          <w:szCs w:val="24"/>
        </w:rPr>
      </w:pPr>
      <w:r>
        <w:rPr>
          <w:rFonts w:hint="eastAsia"/>
          <w:bCs/>
          <w:sz w:val="24"/>
          <w:szCs w:val="24"/>
        </w:rPr>
        <w:t>（2）办理基金备案手续；</w:t>
      </w:r>
    </w:p>
    <w:p w14:paraId="75E102AB">
      <w:pPr>
        <w:autoSpaceDE w:val="0"/>
        <w:autoSpaceDN w:val="0"/>
        <w:adjustRightInd w:val="0"/>
        <w:spacing w:line="360" w:lineRule="auto"/>
        <w:ind w:firstLine="480" w:firstLineChars="200"/>
        <w:jc w:val="left"/>
        <w:rPr>
          <w:bCs/>
          <w:sz w:val="24"/>
          <w:szCs w:val="24"/>
        </w:rPr>
      </w:pPr>
      <w:r>
        <w:rPr>
          <w:rFonts w:hint="eastAsia"/>
          <w:bCs/>
          <w:sz w:val="24"/>
          <w:szCs w:val="24"/>
        </w:rPr>
        <w:t>（3）自《基金合同》生效之日起，以诚实信用、谨慎勤勉的原则管理和运用基金财产；</w:t>
      </w:r>
    </w:p>
    <w:p w14:paraId="3823EBDA">
      <w:pPr>
        <w:autoSpaceDE w:val="0"/>
        <w:autoSpaceDN w:val="0"/>
        <w:adjustRightInd w:val="0"/>
        <w:spacing w:line="360" w:lineRule="auto"/>
        <w:ind w:firstLine="480" w:firstLineChars="200"/>
        <w:jc w:val="left"/>
        <w:rPr>
          <w:bCs/>
          <w:sz w:val="24"/>
          <w:szCs w:val="24"/>
        </w:rPr>
      </w:pPr>
      <w:r>
        <w:rPr>
          <w:rFonts w:hint="eastAsia"/>
          <w:bCs/>
          <w:sz w:val="24"/>
          <w:szCs w:val="24"/>
        </w:rPr>
        <w:t>（4）配备足够的具有专业资格的人员进行基金投资分析、决策，以专业化的经营方式管理和运作基金财产；</w:t>
      </w:r>
    </w:p>
    <w:p w14:paraId="18BFA160">
      <w:pPr>
        <w:autoSpaceDE w:val="0"/>
        <w:autoSpaceDN w:val="0"/>
        <w:adjustRightInd w:val="0"/>
        <w:spacing w:line="360" w:lineRule="auto"/>
        <w:ind w:firstLine="480" w:firstLineChars="200"/>
        <w:jc w:val="left"/>
        <w:rPr>
          <w:bCs/>
          <w:sz w:val="24"/>
          <w:szCs w:val="24"/>
        </w:rPr>
      </w:pPr>
      <w:r>
        <w:rPr>
          <w:rFonts w:hint="eastAsia"/>
          <w:bCs/>
          <w:sz w:val="24"/>
          <w:szCs w:val="24"/>
        </w:rPr>
        <w:t>（5）建立健全内部风险控制、监察与稽核、财务管理及人事管理等制度，保证所管理的基金财产和基金管理人的财产相互独立，对所管理的不同基金分别管理，分别记账，进行证券投资；</w:t>
      </w:r>
    </w:p>
    <w:p w14:paraId="47AA8E79">
      <w:pPr>
        <w:autoSpaceDE w:val="0"/>
        <w:autoSpaceDN w:val="0"/>
        <w:adjustRightInd w:val="0"/>
        <w:spacing w:line="360" w:lineRule="auto"/>
        <w:ind w:firstLine="480" w:firstLineChars="200"/>
        <w:jc w:val="left"/>
        <w:rPr>
          <w:bCs/>
          <w:sz w:val="24"/>
          <w:szCs w:val="24"/>
        </w:rPr>
      </w:pPr>
      <w:r>
        <w:rPr>
          <w:rFonts w:hint="eastAsia"/>
          <w:bCs/>
          <w:sz w:val="24"/>
          <w:szCs w:val="24"/>
        </w:rPr>
        <w:t>（6）除依据《基金法》、《基金合同》及其他有关规定外，不得利用基金财产为自己及任何第三人谋取利益，不得委托第三人运作基金财产；</w:t>
      </w:r>
    </w:p>
    <w:p w14:paraId="38A19DA3">
      <w:pPr>
        <w:autoSpaceDE w:val="0"/>
        <w:autoSpaceDN w:val="0"/>
        <w:adjustRightInd w:val="0"/>
        <w:spacing w:line="360" w:lineRule="auto"/>
        <w:ind w:firstLine="480" w:firstLineChars="200"/>
        <w:jc w:val="left"/>
        <w:rPr>
          <w:bCs/>
          <w:sz w:val="24"/>
          <w:szCs w:val="24"/>
        </w:rPr>
      </w:pPr>
      <w:r>
        <w:rPr>
          <w:rFonts w:hint="eastAsia"/>
          <w:bCs/>
          <w:sz w:val="24"/>
          <w:szCs w:val="24"/>
        </w:rPr>
        <w:t>（7）依法接受基金托管人的监督；</w:t>
      </w:r>
    </w:p>
    <w:p w14:paraId="09B6CEF3">
      <w:pPr>
        <w:autoSpaceDE w:val="0"/>
        <w:autoSpaceDN w:val="0"/>
        <w:adjustRightInd w:val="0"/>
        <w:spacing w:line="360" w:lineRule="auto"/>
        <w:ind w:firstLine="480" w:firstLineChars="200"/>
        <w:jc w:val="left"/>
        <w:rPr>
          <w:bCs/>
          <w:sz w:val="24"/>
          <w:szCs w:val="24"/>
        </w:rPr>
      </w:pPr>
      <w:r>
        <w:rPr>
          <w:rFonts w:hint="eastAsia"/>
          <w:bCs/>
          <w:sz w:val="24"/>
          <w:szCs w:val="24"/>
        </w:rPr>
        <w:t>（8）采取适当合理的措施使计算基金份额申购、赎回和注销价格的方法符合《基金合同》等法律文件的规定，按有关规定计算并公告基金净值信息，确定基金份额申购、赎回的价格；</w:t>
      </w:r>
    </w:p>
    <w:p w14:paraId="675A5993">
      <w:pPr>
        <w:autoSpaceDE w:val="0"/>
        <w:autoSpaceDN w:val="0"/>
        <w:adjustRightInd w:val="0"/>
        <w:spacing w:line="360" w:lineRule="auto"/>
        <w:ind w:firstLine="480" w:firstLineChars="200"/>
        <w:jc w:val="left"/>
        <w:rPr>
          <w:bCs/>
          <w:sz w:val="24"/>
          <w:szCs w:val="24"/>
        </w:rPr>
      </w:pPr>
      <w:r>
        <w:rPr>
          <w:rFonts w:hint="eastAsia"/>
          <w:bCs/>
          <w:sz w:val="24"/>
          <w:szCs w:val="24"/>
        </w:rPr>
        <w:t>（9）进行基金会计核算并编制基金财务会计报告；</w:t>
      </w:r>
    </w:p>
    <w:p w14:paraId="24DCB581">
      <w:pPr>
        <w:autoSpaceDE w:val="0"/>
        <w:autoSpaceDN w:val="0"/>
        <w:adjustRightInd w:val="0"/>
        <w:spacing w:line="360" w:lineRule="auto"/>
        <w:ind w:firstLine="480" w:firstLineChars="200"/>
        <w:jc w:val="left"/>
        <w:rPr>
          <w:bCs/>
          <w:sz w:val="24"/>
          <w:szCs w:val="24"/>
        </w:rPr>
      </w:pPr>
      <w:r>
        <w:rPr>
          <w:rFonts w:hint="eastAsia"/>
          <w:bCs/>
          <w:sz w:val="24"/>
          <w:szCs w:val="24"/>
        </w:rPr>
        <w:t>（10）编制季度报告、中期报告和年度报告；</w:t>
      </w:r>
    </w:p>
    <w:p w14:paraId="270EFD2C">
      <w:pPr>
        <w:autoSpaceDE w:val="0"/>
        <w:autoSpaceDN w:val="0"/>
        <w:adjustRightInd w:val="0"/>
        <w:spacing w:line="360" w:lineRule="auto"/>
        <w:ind w:firstLine="480" w:firstLineChars="200"/>
        <w:jc w:val="left"/>
        <w:rPr>
          <w:bCs/>
          <w:sz w:val="24"/>
          <w:szCs w:val="24"/>
        </w:rPr>
      </w:pPr>
      <w:r>
        <w:rPr>
          <w:rFonts w:hint="eastAsia"/>
          <w:bCs/>
          <w:sz w:val="24"/>
          <w:szCs w:val="24"/>
        </w:rPr>
        <w:t>（11）严格按照《基金法》、《基金合同》及其他有关规定，履行信息披露及报告义务；</w:t>
      </w:r>
    </w:p>
    <w:p w14:paraId="681A956C">
      <w:pPr>
        <w:autoSpaceDE w:val="0"/>
        <w:autoSpaceDN w:val="0"/>
        <w:adjustRightInd w:val="0"/>
        <w:spacing w:line="360" w:lineRule="auto"/>
        <w:ind w:firstLine="480" w:firstLineChars="200"/>
        <w:jc w:val="left"/>
        <w:rPr>
          <w:bCs/>
          <w:sz w:val="24"/>
          <w:szCs w:val="24"/>
        </w:rPr>
      </w:pPr>
      <w:r>
        <w:rPr>
          <w:rFonts w:hint="eastAsia"/>
          <w:bCs/>
          <w:sz w:val="24"/>
          <w:szCs w:val="24"/>
        </w:rPr>
        <w:t>（12）保守基金商业秘密，不泄露基金投资计划、投资意向等。除《基金法》、《基金合同》及其他有关规定另有规定外，在基金信息公开披露前应予保密，不向他人泄露；</w:t>
      </w:r>
    </w:p>
    <w:p w14:paraId="5ED8510B">
      <w:pPr>
        <w:autoSpaceDE w:val="0"/>
        <w:autoSpaceDN w:val="0"/>
        <w:adjustRightInd w:val="0"/>
        <w:spacing w:line="360" w:lineRule="auto"/>
        <w:ind w:firstLine="480" w:firstLineChars="200"/>
        <w:jc w:val="left"/>
        <w:rPr>
          <w:bCs/>
          <w:sz w:val="24"/>
          <w:szCs w:val="24"/>
        </w:rPr>
      </w:pPr>
      <w:r>
        <w:rPr>
          <w:rFonts w:hint="eastAsia"/>
          <w:bCs/>
          <w:sz w:val="24"/>
          <w:szCs w:val="24"/>
        </w:rPr>
        <w:t>（13）按《基金合同》的约定确定基金收益分配方案，及时向基金份额持有人分配基金收益；</w:t>
      </w:r>
    </w:p>
    <w:p w14:paraId="41F34348">
      <w:pPr>
        <w:autoSpaceDE w:val="0"/>
        <w:autoSpaceDN w:val="0"/>
        <w:adjustRightInd w:val="0"/>
        <w:spacing w:line="360" w:lineRule="auto"/>
        <w:ind w:firstLine="480" w:firstLineChars="200"/>
        <w:jc w:val="left"/>
        <w:rPr>
          <w:bCs/>
          <w:sz w:val="24"/>
          <w:szCs w:val="24"/>
        </w:rPr>
      </w:pPr>
      <w:r>
        <w:rPr>
          <w:rFonts w:hint="eastAsia"/>
          <w:bCs/>
          <w:sz w:val="24"/>
          <w:szCs w:val="24"/>
        </w:rPr>
        <w:t>（14）按规定受理申购与赎回申请，及时、足额支付赎回款项；</w:t>
      </w:r>
    </w:p>
    <w:p w14:paraId="65ABB580">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（15）依据《基金法》、《基金合同》及其他有关规定召集基金份额持有人大会或配合基金托管人、基金份额持有人依法召集基金份额持有人大会；</w:t>
      </w:r>
    </w:p>
    <w:p w14:paraId="2799B469">
      <w:pPr>
        <w:autoSpaceDE w:val="0"/>
        <w:autoSpaceDN w:val="0"/>
        <w:adjustRightInd w:val="0"/>
        <w:spacing w:line="360" w:lineRule="auto"/>
        <w:ind w:firstLine="480" w:firstLineChars="200"/>
        <w:jc w:val="left"/>
        <w:rPr>
          <w:bCs/>
          <w:sz w:val="24"/>
          <w:szCs w:val="24"/>
        </w:rPr>
      </w:pPr>
      <w:r>
        <w:rPr>
          <w:rFonts w:hint="eastAsia"/>
          <w:bCs/>
          <w:sz w:val="24"/>
          <w:szCs w:val="24"/>
        </w:rPr>
        <w:t>（16）按规定保存基金财产管理业务活动的会计账册、报表、记录和其他相关资料15年以上；</w:t>
      </w:r>
    </w:p>
    <w:p w14:paraId="582A5127">
      <w:pPr>
        <w:autoSpaceDE w:val="0"/>
        <w:autoSpaceDN w:val="0"/>
        <w:adjustRightInd w:val="0"/>
        <w:spacing w:line="360" w:lineRule="auto"/>
        <w:ind w:firstLine="480" w:firstLineChars="200"/>
        <w:jc w:val="left"/>
        <w:rPr>
          <w:bCs/>
          <w:sz w:val="24"/>
          <w:szCs w:val="24"/>
        </w:rPr>
      </w:pPr>
      <w:r>
        <w:rPr>
          <w:rFonts w:hint="eastAsia"/>
          <w:bCs/>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01FFB4F">
      <w:pPr>
        <w:autoSpaceDE w:val="0"/>
        <w:autoSpaceDN w:val="0"/>
        <w:adjustRightInd w:val="0"/>
        <w:spacing w:line="360" w:lineRule="auto"/>
        <w:ind w:firstLine="480" w:firstLineChars="200"/>
        <w:jc w:val="left"/>
        <w:rPr>
          <w:bCs/>
          <w:sz w:val="24"/>
          <w:szCs w:val="24"/>
        </w:rPr>
      </w:pPr>
      <w:r>
        <w:rPr>
          <w:rFonts w:hint="eastAsia"/>
          <w:bCs/>
          <w:sz w:val="24"/>
          <w:szCs w:val="24"/>
        </w:rPr>
        <w:t>（18）组织并参加基金财产清算小组，参与基金财产的保管、清理、估价、变现和分配；</w:t>
      </w:r>
    </w:p>
    <w:p w14:paraId="5B539090">
      <w:pPr>
        <w:autoSpaceDE w:val="0"/>
        <w:autoSpaceDN w:val="0"/>
        <w:adjustRightInd w:val="0"/>
        <w:spacing w:line="360" w:lineRule="auto"/>
        <w:ind w:firstLine="480" w:firstLineChars="200"/>
        <w:jc w:val="left"/>
        <w:rPr>
          <w:bCs/>
          <w:sz w:val="24"/>
          <w:szCs w:val="24"/>
        </w:rPr>
      </w:pPr>
      <w:r>
        <w:rPr>
          <w:rFonts w:hint="eastAsia"/>
          <w:bCs/>
          <w:sz w:val="24"/>
          <w:szCs w:val="24"/>
        </w:rPr>
        <w:t>（19）面临解散、依法被撤销或者被依法宣告破产时，及时报告中国证监会并通知基金托管人；</w:t>
      </w:r>
    </w:p>
    <w:p w14:paraId="20C827DD">
      <w:pPr>
        <w:autoSpaceDE w:val="0"/>
        <w:autoSpaceDN w:val="0"/>
        <w:adjustRightInd w:val="0"/>
        <w:spacing w:line="360" w:lineRule="auto"/>
        <w:ind w:firstLine="480" w:firstLineChars="200"/>
        <w:jc w:val="left"/>
        <w:rPr>
          <w:bCs/>
          <w:sz w:val="24"/>
          <w:szCs w:val="24"/>
        </w:rPr>
      </w:pPr>
      <w:r>
        <w:rPr>
          <w:rFonts w:hint="eastAsia"/>
          <w:bCs/>
          <w:sz w:val="24"/>
          <w:szCs w:val="24"/>
        </w:rPr>
        <w:t>（20）因违反《基金合同》导致基金财产的损失或损害基金份额持有人合法权益时，应当承担赔偿责任，其赔偿责任不因其退任而免除；</w:t>
      </w:r>
    </w:p>
    <w:p w14:paraId="561C4177">
      <w:pPr>
        <w:autoSpaceDE w:val="0"/>
        <w:autoSpaceDN w:val="0"/>
        <w:adjustRightInd w:val="0"/>
        <w:spacing w:line="360" w:lineRule="auto"/>
        <w:ind w:firstLine="480" w:firstLineChars="200"/>
        <w:jc w:val="left"/>
        <w:rPr>
          <w:bCs/>
          <w:sz w:val="24"/>
          <w:szCs w:val="24"/>
        </w:rPr>
      </w:pPr>
      <w:r>
        <w:rPr>
          <w:rFonts w:hint="eastAsia"/>
          <w:bCs/>
          <w:sz w:val="24"/>
          <w:szCs w:val="24"/>
        </w:rPr>
        <w:t>（21）监督基金托管人按法律法规和《基金合同》规定履行自己的义务，基金托管人违反《基金合同》造成基金财产损失时，基金管理人应为基金份额持有人利益向基金托管人追偿；</w:t>
      </w:r>
    </w:p>
    <w:p w14:paraId="01DEC97E">
      <w:pPr>
        <w:autoSpaceDE w:val="0"/>
        <w:autoSpaceDN w:val="0"/>
        <w:adjustRightInd w:val="0"/>
        <w:spacing w:line="360" w:lineRule="auto"/>
        <w:ind w:firstLine="480" w:firstLineChars="200"/>
        <w:jc w:val="left"/>
        <w:rPr>
          <w:bCs/>
          <w:sz w:val="24"/>
          <w:szCs w:val="24"/>
        </w:rPr>
      </w:pPr>
      <w:r>
        <w:rPr>
          <w:rFonts w:hint="eastAsia"/>
          <w:bCs/>
          <w:sz w:val="24"/>
          <w:szCs w:val="24"/>
        </w:rPr>
        <w:t>（22）当基金管理人将其义务委托第三方处理时，应当对第三方处理有关基金事务的行为承担责任；</w:t>
      </w:r>
    </w:p>
    <w:p w14:paraId="1CC4CC2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（23）以基金管理人名义，代表基金份额持有人利益行使诉讼权利或实施其他法律行为；</w:t>
      </w:r>
      <w:r>
        <w:rPr>
          <w:rFonts w:hint="eastAsia"/>
          <w:bCs/>
          <w:sz w:val="24"/>
          <w:szCs w:val="24"/>
        </w:rPr>
        <w:tab/>
      </w:r>
    </w:p>
    <w:p w14:paraId="323E7823">
      <w:pPr>
        <w:autoSpaceDE w:val="0"/>
        <w:autoSpaceDN w:val="0"/>
        <w:adjustRightInd w:val="0"/>
        <w:spacing w:line="360" w:lineRule="auto"/>
        <w:ind w:firstLine="480" w:firstLineChars="200"/>
        <w:jc w:val="left"/>
        <w:rPr>
          <w:bCs/>
          <w:sz w:val="24"/>
          <w:szCs w:val="24"/>
        </w:rPr>
      </w:pPr>
      <w:r>
        <w:rPr>
          <w:rFonts w:hint="eastAsia"/>
          <w:bCs/>
          <w:sz w:val="24"/>
          <w:szCs w:val="24"/>
        </w:rPr>
        <w:t>（24）执行生效的基金份额持有人大会的决议；</w:t>
      </w:r>
    </w:p>
    <w:p w14:paraId="7BCD14D2">
      <w:pPr>
        <w:autoSpaceDE w:val="0"/>
        <w:autoSpaceDN w:val="0"/>
        <w:adjustRightInd w:val="0"/>
        <w:spacing w:line="360" w:lineRule="auto"/>
        <w:ind w:firstLine="480" w:firstLineChars="200"/>
        <w:jc w:val="left"/>
        <w:rPr>
          <w:bCs/>
          <w:sz w:val="24"/>
          <w:szCs w:val="24"/>
        </w:rPr>
      </w:pPr>
      <w:r>
        <w:rPr>
          <w:rFonts w:hint="eastAsia"/>
          <w:bCs/>
          <w:sz w:val="24"/>
          <w:szCs w:val="24"/>
        </w:rPr>
        <w:t>（25）建立并保存基金份额持有人名册；</w:t>
      </w:r>
    </w:p>
    <w:p w14:paraId="3C1293F7">
      <w:pPr>
        <w:autoSpaceDE w:val="0"/>
        <w:autoSpaceDN w:val="0"/>
        <w:adjustRightInd w:val="0"/>
        <w:spacing w:line="360" w:lineRule="auto"/>
        <w:ind w:firstLine="480" w:firstLineChars="200"/>
        <w:jc w:val="left"/>
        <w:rPr>
          <w:bCs/>
          <w:sz w:val="24"/>
          <w:szCs w:val="24"/>
        </w:rPr>
      </w:pPr>
      <w:r>
        <w:rPr>
          <w:rFonts w:hint="eastAsia"/>
          <w:bCs/>
          <w:sz w:val="24"/>
          <w:szCs w:val="24"/>
        </w:rPr>
        <w:t>（26）法律法规及中国证监会规定的和《基金合同》约定的其他义务。</w:t>
      </w:r>
    </w:p>
    <w:p w14:paraId="5717DFB2">
      <w:pPr>
        <w:autoSpaceDE w:val="0"/>
        <w:autoSpaceDN w:val="0"/>
        <w:adjustRightInd w:val="0"/>
        <w:spacing w:line="360" w:lineRule="auto"/>
        <w:ind w:firstLine="480" w:firstLineChars="200"/>
        <w:jc w:val="left"/>
        <w:rPr>
          <w:bCs/>
          <w:sz w:val="24"/>
          <w:szCs w:val="24"/>
        </w:rPr>
      </w:pPr>
      <w:r>
        <w:rPr>
          <w:rFonts w:hint="eastAsia"/>
          <w:bCs/>
          <w:sz w:val="24"/>
          <w:szCs w:val="24"/>
        </w:rPr>
        <w:t>（二）</w:t>
      </w:r>
      <w:r>
        <w:rPr>
          <w:rFonts w:hint="eastAsia"/>
          <w:bCs/>
          <w:sz w:val="24"/>
          <w:szCs w:val="24"/>
        </w:rPr>
        <w:tab/>
      </w:r>
      <w:r>
        <w:rPr>
          <w:rFonts w:hint="eastAsia"/>
          <w:bCs/>
          <w:sz w:val="24"/>
          <w:szCs w:val="24"/>
        </w:rPr>
        <w:t>基金托管人的权利与义务</w:t>
      </w:r>
    </w:p>
    <w:p w14:paraId="3F66F937">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1、根据《基金法》、《运作办法》及其他有关规定，基金托管人的权利包括但不限于：</w:t>
      </w:r>
    </w:p>
    <w:p w14:paraId="06F6A1E5">
      <w:pPr>
        <w:spacing w:line="360" w:lineRule="auto"/>
        <w:ind w:firstLine="480" w:firstLineChars="200"/>
        <w:rPr>
          <w:bCs/>
          <w:sz w:val="24"/>
          <w:szCs w:val="24"/>
        </w:rPr>
      </w:pPr>
      <w:r>
        <w:rPr>
          <w:bCs/>
          <w:sz w:val="24"/>
          <w:szCs w:val="24"/>
        </w:rPr>
        <w:t>（1）自《基金合同》生效之日起，依法律法规和《基金合同》的规定安全保管基金财产；</w:t>
      </w:r>
    </w:p>
    <w:p w14:paraId="49919EAF">
      <w:pPr>
        <w:spacing w:line="360" w:lineRule="auto"/>
        <w:ind w:firstLine="480" w:firstLineChars="200"/>
        <w:rPr>
          <w:bCs/>
          <w:sz w:val="24"/>
          <w:szCs w:val="24"/>
        </w:rPr>
      </w:pPr>
      <w:r>
        <w:rPr>
          <w:bCs/>
          <w:sz w:val="24"/>
          <w:szCs w:val="24"/>
        </w:rPr>
        <w:t>（2）依《基金合同》约定获得基金托管费以及法律法规规定或监管部门批准的其他费用；</w:t>
      </w:r>
    </w:p>
    <w:p w14:paraId="7A00429E">
      <w:pPr>
        <w:spacing w:line="360" w:lineRule="auto"/>
        <w:ind w:firstLine="480" w:firstLineChars="200"/>
        <w:rPr>
          <w:bCs/>
          <w:sz w:val="24"/>
          <w:szCs w:val="24"/>
        </w:rPr>
      </w:pPr>
      <w:r>
        <w:rPr>
          <w:bCs/>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AC65EBA">
      <w:pPr>
        <w:spacing w:line="360" w:lineRule="auto"/>
        <w:ind w:firstLine="480" w:firstLineChars="200"/>
        <w:rPr>
          <w:bCs/>
          <w:sz w:val="24"/>
          <w:szCs w:val="24"/>
        </w:rPr>
      </w:pPr>
      <w:r>
        <w:rPr>
          <w:bCs/>
          <w:sz w:val="24"/>
          <w:szCs w:val="24"/>
        </w:rPr>
        <w:t>（4）根据相关市场规则，为基金开设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14:paraId="3866DD45">
      <w:pPr>
        <w:spacing w:line="360" w:lineRule="auto"/>
        <w:ind w:firstLine="480" w:firstLineChars="200"/>
        <w:rPr>
          <w:bCs/>
          <w:sz w:val="24"/>
          <w:szCs w:val="24"/>
        </w:rPr>
      </w:pPr>
      <w:r>
        <w:rPr>
          <w:bCs/>
          <w:sz w:val="24"/>
          <w:szCs w:val="24"/>
        </w:rPr>
        <w:t>（5）提议召开或召集基金份额持有人大会；</w:t>
      </w:r>
    </w:p>
    <w:p w14:paraId="4B82544F">
      <w:pPr>
        <w:spacing w:line="360" w:lineRule="auto"/>
        <w:ind w:firstLine="480" w:firstLineChars="200"/>
        <w:rPr>
          <w:bCs/>
          <w:sz w:val="24"/>
          <w:szCs w:val="24"/>
        </w:rPr>
      </w:pPr>
      <w:r>
        <w:rPr>
          <w:bCs/>
          <w:sz w:val="24"/>
          <w:szCs w:val="24"/>
        </w:rPr>
        <w:t>（6）在基金管理人更换时，提名新的基金管理人；</w:t>
      </w:r>
    </w:p>
    <w:p w14:paraId="6078F945">
      <w:pPr>
        <w:spacing w:line="360" w:lineRule="auto"/>
        <w:ind w:firstLine="480" w:firstLineChars="200"/>
        <w:rPr>
          <w:bCs/>
          <w:sz w:val="24"/>
          <w:szCs w:val="24"/>
        </w:rPr>
      </w:pPr>
      <w:r>
        <w:rPr>
          <w:bCs/>
          <w:sz w:val="24"/>
          <w:szCs w:val="24"/>
        </w:rPr>
        <w:t>（7）</w:t>
      </w:r>
      <w:r>
        <w:rPr>
          <w:rFonts w:hint="eastAsia"/>
          <w:bCs/>
          <w:sz w:val="24"/>
          <w:szCs w:val="24"/>
        </w:rPr>
        <w:t>法律法规及中国证监会规定的和《基金合同》约定的其他</w:t>
      </w:r>
      <w:r>
        <w:rPr>
          <w:bCs/>
          <w:sz w:val="24"/>
          <w:szCs w:val="24"/>
        </w:rPr>
        <w:t>权利。</w:t>
      </w:r>
    </w:p>
    <w:p w14:paraId="089F2022">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2、根据《基金法》、《运作办法》及其他有关规定，基金托管人的义务包括但不限于：</w:t>
      </w:r>
    </w:p>
    <w:p w14:paraId="1B4BC236">
      <w:pPr>
        <w:autoSpaceDE w:val="0"/>
        <w:autoSpaceDN w:val="0"/>
        <w:adjustRightInd w:val="0"/>
        <w:spacing w:line="360" w:lineRule="auto"/>
        <w:ind w:firstLine="480" w:firstLineChars="200"/>
        <w:jc w:val="left"/>
        <w:rPr>
          <w:bCs/>
          <w:sz w:val="24"/>
          <w:szCs w:val="24"/>
        </w:rPr>
      </w:pPr>
      <w:r>
        <w:rPr>
          <w:rFonts w:hint="eastAsia"/>
          <w:bCs/>
          <w:sz w:val="24"/>
          <w:szCs w:val="24"/>
        </w:rPr>
        <w:t>（1）以诚实信用、勤勉尽责的原则持有并安全保管基金财产；</w:t>
      </w:r>
    </w:p>
    <w:p w14:paraId="7D401653">
      <w:pPr>
        <w:autoSpaceDE w:val="0"/>
        <w:autoSpaceDN w:val="0"/>
        <w:adjustRightInd w:val="0"/>
        <w:spacing w:line="360" w:lineRule="auto"/>
        <w:ind w:firstLine="480" w:firstLineChars="200"/>
        <w:jc w:val="left"/>
        <w:rPr>
          <w:bCs/>
          <w:sz w:val="24"/>
          <w:szCs w:val="24"/>
        </w:rPr>
      </w:pPr>
      <w:r>
        <w:rPr>
          <w:rFonts w:hint="eastAsia"/>
          <w:bCs/>
          <w:sz w:val="24"/>
          <w:szCs w:val="24"/>
        </w:rPr>
        <w:t>（2）设立专门的基金托管部门，具有符合要求的营业场所，配备足够的、合格的熟悉基金托管业务的专职人员，负责基金财产托管事宜；</w:t>
      </w:r>
    </w:p>
    <w:p w14:paraId="4BE83BEB">
      <w:pPr>
        <w:autoSpaceDE w:val="0"/>
        <w:autoSpaceDN w:val="0"/>
        <w:adjustRightInd w:val="0"/>
        <w:spacing w:line="360" w:lineRule="auto"/>
        <w:ind w:firstLine="480" w:firstLineChars="200"/>
        <w:jc w:val="left"/>
        <w:rPr>
          <w:bCs/>
          <w:sz w:val="24"/>
          <w:szCs w:val="24"/>
        </w:rPr>
      </w:pPr>
      <w:r>
        <w:rPr>
          <w:rFonts w:hint="eastAsia"/>
          <w:bCs/>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408BD59">
      <w:pPr>
        <w:autoSpaceDE w:val="0"/>
        <w:autoSpaceDN w:val="0"/>
        <w:adjustRightInd w:val="0"/>
        <w:spacing w:line="360" w:lineRule="auto"/>
        <w:ind w:firstLine="480" w:firstLineChars="200"/>
        <w:jc w:val="left"/>
        <w:rPr>
          <w:bCs/>
          <w:sz w:val="24"/>
          <w:szCs w:val="24"/>
        </w:rPr>
      </w:pPr>
      <w:r>
        <w:rPr>
          <w:rFonts w:hint="eastAsia"/>
          <w:bCs/>
          <w:sz w:val="24"/>
          <w:szCs w:val="24"/>
        </w:rPr>
        <w:t>（4）除依据《基金法》、《基金合同》及其他有关规定外，不得利用基金财产为自己及任何第三人谋取利益，不得委托第三人托管基金财产；</w:t>
      </w:r>
    </w:p>
    <w:p w14:paraId="597FCB09">
      <w:pPr>
        <w:autoSpaceDE w:val="0"/>
        <w:autoSpaceDN w:val="0"/>
        <w:adjustRightInd w:val="0"/>
        <w:spacing w:line="360" w:lineRule="auto"/>
        <w:ind w:firstLine="480" w:firstLineChars="200"/>
        <w:jc w:val="left"/>
        <w:rPr>
          <w:bCs/>
          <w:sz w:val="24"/>
          <w:szCs w:val="24"/>
        </w:rPr>
      </w:pPr>
      <w:r>
        <w:rPr>
          <w:rFonts w:hint="eastAsia"/>
          <w:bCs/>
          <w:sz w:val="24"/>
          <w:szCs w:val="24"/>
        </w:rPr>
        <w:t>（5）保管由基金管理人代表基金签订的与基金有关的重大合同及有关凭证；</w:t>
      </w:r>
    </w:p>
    <w:p w14:paraId="35C487CE">
      <w:pPr>
        <w:autoSpaceDE w:val="0"/>
        <w:autoSpaceDN w:val="0"/>
        <w:adjustRightInd w:val="0"/>
        <w:spacing w:line="360" w:lineRule="auto"/>
        <w:ind w:firstLine="480" w:firstLineChars="200"/>
        <w:jc w:val="left"/>
        <w:rPr>
          <w:bCs/>
          <w:sz w:val="24"/>
          <w:szCs w:val="24"/>
        </w:rPr>
      </w:pPr>
      <w:r>
        <w:rPr>
          <w:rFonts w:hint="eastAsia"/>
          <w:bCs/>
          <w:sz w:val="24"/>
          <w:szCs w:val="24"/>
        </w:rPr>
        <w:t>（6）按规定开设基金财产的资金账户、证券账户等投资所需账户，按照《基金合同》的约定，根据基金管理人的投资指令，及时办理清算、交割事宜；</w:t>
      </w:r>
    </w:p>
    <w:p w14:paraId="17EC505F">
      <w:pPr>
        <w:autoSpaceDE w:val="0"/>
        <w:autoSpaceDN w:val="0"/>
        <w:adjustRightInd w:val="0"/>
        <w:spacing w:line="360" w:lineRule="auto"/>
        <w:ind w:firstLine="480" w:firstLineChars="200"/>
        <w:jc w:val="left"/>
        <w:rPr>
          <w:bCs/>
          <w:sz w:val="24"/>
          <w:szCs w:val="24"/>
        </w:rPr>
      </w:pPr>
      <w:r>
        <w:rPr>
          <w:rFonts w:hint="eastAsia"/>
          <w:bCs/>
          <w:sz w:val="24"/>
          <w:szCs w:val="24"/>
        </w:rPr>
        <w:t>（7）保守基金商业秘密，除《基金法》、《基金合同》及其他有关规定另有规定外，在基金信息公开披露前予以保密，不得向他人泄露；</w:t>
      </w:r>
    </w:p>
    <w:p w14:paraId="24C9543C">
      <w:pPr>
        <w:autoSpaceDE w:val="0"/>
        <w:autoSpaceDN w:val="0"/>
        <w:adjustRightInd w:val="0"/>
        <w:spacing w:line="360" w:lineRule="auto"/>
        <w:ind w:firstLine="480" w:firstLineChars="200"/>
        <w:jc w:val="left"/>
        <w:rPr>
          <w:bCs/>
          <w:sz w:val="24"/>
          <w:szCs w:val="24"/>
        </w:rPr>
      </w:pPr>
      <w:r>
        <w:rPr>
          <w:rFonts w:hint="eastAsia"/>
          <w:bCs/>
          <w:sz w:val="24"/>
          <w:szCs w:val="24"/>
        </w:rPr>
        <w:t>（8）复核、审查基金管理人计算的基金资产净值、</w:t>
      </w:r>
      <w:r>
        <w:rPr>
          <w:rFonts w:hint="eastAsia"/>
          <w:bCs/>
          <w:sz w:val="24"/>
        </w:rPr>
        <w:t>基金</w:t>
      </w:r>
      <w:r>
        <w:rPr>
          <w:bCs/>
          <w:sz w:val="24"/>
        </w:rPr>
        <w:t>份额净值、</w:t>
      </w:r>
      <w:r>
        <w:rPr>
          <w:rFonts w:hint="eastAsia"/>
          <w:bCs/>
          <w:sz w:val="24"/>
          <w:szCs w:val="24"/>
        </w:rPr>
        <w:t>基金份额申购、赎回价格；</w:t>
      </w:r>
    </w:p>
    <w:p w14:paraId="5C16B5E8">
      <w:pPr>
        <w:autoSpaceDE w:val="0"/>
        <w:autoSpaceDN w:val="0"/>
        <w:adjustRightInd w:val="0"/>
        <w:spacing w:line="360" w:lineRule="auto"/>
        <w:ind w:firstLine="480" w:firstLineChars="200"/>
        <w:jc w:val="left"/>
        <w:rPr>
          <w:bCs/>
          <w:sz w:val="24"/>
          <w:szCs w:val="24"/>
        </w:rPr>
      </w:pPr>
      <w:r>
        <w:rPr>
          <w:rFonts w:hint="eastAsia"/>
          <w:bCs/>
          <w:sz w:val="24"/>
          <w:szCs w:val="24"/>
        </w:rPr>
        <w:t>（9）办理与基金托管业务活动有关的信息披露事项；</w:t>
      </w:r>
    </w:p>
    <w:p w14:paraId="56A306AC">
      <w:pPr>
        <w:autoSpaceDE w:val="0"/>
        <w:autoSpaceDN w:val="0"/>
        <w:adjustRightInd w:val="0"/>
        <w:spacing w:line="360" w:lineRule="auto"/>
        <w:ind w:firstLine="480" w:firstLineChars="200"/>
        <w:jc w:val="left"/>
        <w:rPr>
          <w:bCs/>
          <w:sz w:val="24"/>
          <w:szCs w:val="24"/>
        </w:rPr>
      </w:pPr>
      <w:r>
        <w:rPr>
          <w:rFonts w:hint="eastAsia"/>
          <w:bCs/>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F2446E2">
      <w:pPr>
        <w:autoSpaceDE w:val="0"/>
        <w:autoSpaceDN w:val="0"/>
        <w:adjustRightInd w:val="0"/>
        <w:spacing w:line="360" w:lineRule="auto"/>
        <w:ind w:firstLine="480" w:firstLineChars="200"/>
        <w:jc w:val="left"/>
        <w:rPr>
          <w:bCs/>
          <w:sz w:val="24"/>
          <w:szCs w:val="24"/>
        </w:rPr>
      </w:pPr>
      <w:r>
        <w:rPr>
          <w:rFonts w:hint="eastAsia"/>
          <w:bCs/>
          <w:sz w:val="24"/>
          <w:szCs w:val="24"/>
        </w:rPr>
        <w:t>（11）保存基金托管业务活动的记录、账册、报表和其他相关资料15年以上；</w:t>
      </w:r>
    </w:p>
    <w:p w14:paraId="2AD94EFF">
      <w:pPr>
        <w:autoSpaceDE w:val="0"/>
        <w:autoSpaceDN w:val="0"/>
        <w:adjustRightInd w:val="0"/>
        <w:spacing w:line="360" w:lineRule="auto"/>
        <w:ind w:firstLine="480" w:firstLineChars="200"/>
        <w:jc w:val="left"/>
        <w:rPr>
          <w:bCs/>
          <w:sz w:val="24"/>
          <w:szCs w:val="24"/>
        </w:rPr>
      </w:pPr>
      <w:r>
        <w:rPr>
          <w:rFonts w:hint="eastAsia"/>
          <w:bCs/>
          <w:sz w:val="24"/>
          <w:szCs w:val="24"/>
        </w:rPr>
        <w:t>（12）建立并保存基金份额持有人名册；</w:t>
      </w:r>
    </w:p>
    <w:p w14:paraId="69C676C5">
      <w:pPr>
        <w:autoSpaceDE w:val="0"/>
        <w:autoSpaceDN w:val="0"/>
        <w:adjustRightInd w:val="0"/>
        <w:spacing w:line="360" w:lineRule="auto"/>
        <w:ind w:firstLine="480" w:firstLineChars="200"/>
        <w:jc w:val="left"/>
        <w:rPr>
          <w:bCs/>
          <w:sz w:val="24"/>
          <w:szCs w:val="24"/>
        </w:rPr>
      </w:pPr>
      <w:r>
        <w:rPr>
          <w:rFonts w:hint="eastAsia"/>
          <w:bCs/>
          <w:sz w:val="24"/>
          <w:szCs w:val="24"/>
        </w:rPr>
        <w:t>（13）按规定制作相关账册并与基金管理人核对；</w:t>
      </w:r>
    </w:p>
    <w:p w14:paraId="54AC1A45">
      <w:pPr>
        <w:autoSpaceDE w:val="0"/>
        <w:autoSpaceDN w:val="0"/>
        <w:adjustRightInd w:val="0"/>
        <w:spacing w:line="360" w:lineRule="auto"/>
        <w:ind w:firstLine="480" w:firstLineChars="200"/>
        <w:jc w:val="left"/>
        <w:rPr>
          <w:bCs/>
          <w:sz w:val="24"/>
          <w:szCs w:val="24"/>
        </w:rPr>
      </w:pPr>
      <w:r>
        <w:rPr>
          <w:rFonts w:hint="eastAsia"/>
          <w:bCs/>
          <w:sz w:val="24"/>
          <w:szCs w:val="24"/>
        </w:rPr>
        <w:t>（14）依据基金管理人的指令或有关规定向基金份额持有人支付基金收益和赎回款项；</w:t>
      </w:r>
    </w:p>
    <w:p w14:paraId="6841BFE3">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（15）依据《基金法》、《基金合同》及其他有关规定，召集基金份额持有人大会或配合基金管理人、基金份额持有人依法召集基金份额持有人大会；</w:t>
      </w:r>
    </w:p>
    <w:p w14:paraId="5A3F443A">
      <w:pPr>
        <w:autoSpaceDE w:val="0"/>
        <w:autoSpaceDN w:val="0"/>
        <w:adjustRightInd w:val="0"/>
        <w:spacing w:line="360" w:lineRule="auto"/>
        <w:ind w:firstLine="480" w:firstLineChars="200"/>
        <w:jc w:val="left"/>
        <w:rPr>
          <w:bCs/>
          <w:sz w:val="24"/>
          <w:szCs w:val="24"/>
        </w:rPr>
      </w:pPr>
      <w:r>
        <w:rPr>
          <w:rFonts w:hint="eastAsia"/>
          <w:bCs/>
          <w:sz w:val="24"/>
          <w:szCs w:val="24"/>
        </w:rPr>
        <w:t>（16）按照法律法规和《基金合同》的规定监督基金管理人的投资运作；</w:t>
      </w:r>
    </w:p>
    <w:p w14:paraId="09016B39">
      <w:pPr>
        <w:autoSpaceDE w:val="0"/>
        <w:autoSpaceDN w:val="0"/>
        <w:adjustRightInd w:val="0"/>
        <w:spacing w:line="360" w:lineRule="auto"/>
        <w:ind w:firstLine="480" w:firstLineChars="200"/>
        <w:jc w:val="left"/>
        <w:rPr>
          <w:bCs/>
          <w:sz w:val="24"/>
          <w:szCs w:val="24"/>
        </w:rPr>
      </w:pPr>
      <w:r>
        <w:rPr>
          <w:rFonts w:hint="eastAsia"/>
          <w:bCs/>
          <w:sz w:val="24"/>
          <w:szCs w:val="24"/>
        </w:rPr>
        <w:t>（17）参加基金财产清算小组，参与基金财产的保管、清理、估价、变现和分配；</w:t>
      </w:r>
    </w:p>
    <w:p w14:paraId="7403BACE">
      <w:pPr>
        <w:autoSpaceDE w:val="0"/>
        <w:autoSpaceDN w:val="0"/>
        <w:adjustRightInd w:val="0"/>
        <w:spacing w:line="360" w:lineRule="auto"/>
        <w:ind w:firstLine="480" w:firstLineChars="200"/>
        <w:jc w:val="left"/>
        <w:rPr>
          <w:bCs/>
          <w:sz w:val="24"/>
          <w:szCs w:val="24"/>
        </w:rPr>
      </w:pPr>
      <w:r>
        <w:rPr>
          <w:rFonts w:hint="eastAsia"/>
          <w:bCs/>
          <w:sz w:val="24"/>
          <w:szCs w:val="24"/>
        </w:rPr>
        <w:t>（18）面临解散、依法被撤销或者被依法宣告破产时，及时报告中国证监会和银行监管机构，并通知基金管理人；</w:t>
      </w:r>
    </w:p>
    <w:p w14:paraId="5BBBDBBC">
      <w:pPr>
        <w:autoSpaceDE w:val="0"/>
        <w:autoSpaceDN w:val="0"/>
        <w:adjustRightInd w:val="0"/>
        <w:spacing w:line="360" w:lineRule="auto"/>
        <w:ind w:firstLine="480" w:firstLineChars="200"/>
        <w:jc w:val="left"/>
        <w:rPr>
          <w:bCs/>
          <w:sz w:val="24"/>
          <w:szCs w:val="24"/>
        </w:rPr>
      </w:pPr>
      <w:r>
        <w:rPr>
          <w:rFonts w:hint="eastAsia"/>
          <w:bCs/>
          <w:sz w:val="24"/>
          <w:szCs w:val="24"/>
        </w:rPr>
        <w:t>（19）因违反《基金合同》导致基金财产损失时，应承担赔偿责任，其赔偿责任不因其退任而免除；</w:t>
      </w:r>
    </w:p>
    <w:p w14:paraId="5E6D58EB">
      <w:pPr>
        <w:autoSpaceDE w:val="0"/>
        <w:autoSpaceDN w:val="0"/>
        <w:adjustRightInd w:val="0"/>
        <w:spacing w:line="360" w:lineRule="auto"/>
        <w:ind w:firstLine="480" w:firstLineChars="200"/>
        <w:jc w:val="left"/>
        <w:rPr>
          <w:bCs/>
          <w:sz w:val="24"/>
          <w:szCs w:val="24"/>
        </w:rPr>
      </w:pPr>
      <w:r>
        <w:rPr>
          <w:rFonts w:hint="eastAsia"/>
          <w:bCs/>
          <w:sz w:val="24"/>
          <w:szCs w:val="24"/>
        </w:rPr>
        <w:t>（20）监督基金管理人按法律法规和《基金合同》规定履行自己的义务，基金管理人因违反《基金合同》造成基金财产损失时，应为基金份额持有人利益向基金管理人追偿；</w:t>
      </w:r>
    </w:p>
    <w:p w14:paraId="37A7213A">
      <w:pPr>
        <w:autoSpaceDE w:val="0"/>
        <w:autoSpaceDN w:val="0"/>
        <w:adjustRightInd w:val="0"/>
        <w:spacing w:line="360" w:lineRule="auto"/>
        <w:ind w:firstLine="480" w:firstLineChars="200"/>
        <w:jc w:val="left"/>
        <w:rPr>
          <w:bCs/>
          <w:sz w:val="24"/>
          <w:szCs w:val="24"/>
        </w:rPr>
      </w:pPr>
      <w:r>
        <w:rPr>
          <w:rFonts w:hint="eastAsia"/>
          <w:bCs/>
          <w:sz w:val="24"/>
          <w:szCs w:val="24"/>
        </w:rPr>
        <w:t>（21）执行生效的基金份额持有人大会的决议；</w:t>
      </w:r>
    </w:p>
    <w:p w14:paraId="59470EC7">
      <w:pPr>
        <w:autoSpaceDE w:val="0"/>
        <w:autoSpaceDN w:val="0"/>
        <w:adjustRightInd w:val="0"/>
        <w:spacing w:line="360" w:lineRule="auto"/>
        <w:ind w:firstLine="480" w:firstLineChars="200"/>
        <w:jc w:val="left"/>
        <w:rPr>
          <w:bCs/>
          <w:sz w:val="24"/>
          <w:szCs w:val="24"/>
        </w:rPr>
      </w:pPr>
      <w:r>
        <w:rPr>
          <w:rFonts w:hint="eastAsia"/>
          <w:bCs/>
          <w:sz w:val="24"/>
          <w:szCs w:val="24"/>
        </w:rPr>
        <w:t>（22）法律法规及中国证监会规定的和《基金合同》约定的其他义务。</w:t>
      </w:r>
    </w:p>
    <w:p w14:paraId="748FC965">
      <w:pPr>
        <w:autoSpaceDE w:val="0"/>
        <w:autoSpaceDN w:val="0"/>
        <w:adjustRightInd w:val="0"/>
        <w:spacing w:line="360" w:lineRule="auto"/>
        <w:ind w:firstLine="480" w:firstLineChars="200"/>
        <w:jc w:val="left"/>
        <w:rPr>
          <w:bCs/>
          <w:sz w:val="24"/>
          <w:szCs w:val="24"/>
        </w:rPr>
      </w:pPr>
      <w:r>
        <w:rPr>
          <w:rFonts w:hint="eastAsia"/>
          <w:bCs/>
          <w:sz w:val="24"/>
          <w:szCs w:val="24"/>
        </w:rPr>
        <w:t>（三）基金份额持有人的权利和义务</w:t>
      </w:r>
    </w:p>
    <w:p w14:paraId="12C4469D">
      <w:pPr>
        <w:autoSpaceDE w:val="0"/>
        <w:autoSpaceDN w:val="0"/>
        <w:adjustRightInd w:val="0"/>
        <w:spacing w:line="360" w:lineRule="auto"/>
        <w:ind w:firstLine="480" w:firstLineChars="200"/>
        <w:jc w:val="left"/>
        <w:rPr>
          <w:bCs/>
          <w:sz w:val="24"/>
          <w:szCs w:val="24"/>
        </w:rPr>
      </w:pPr>
      <w:r>
        <w:rPr>
          <w:rFonts w:hint="eastAsia"/>
          <w:bCs/>
          <w:sz w:val="24"/>
          <w:szCs w:val="24"/>
        </w:rPr>
        <w:t>除法律法规另有规定或本基金合同另有约定外，每份基金份额具有同等的合法权益。</w:t>
      </w:r>
    </w:p>
    <w:p w14:paraId="5289B391">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1、根据《基金法》、《运作办法》及其他有关规定，基金份额持有人的权利包括但不限于：</w:t>
      </w:r>
    </w:p>
    <w:p w14:paraId="3CCD9BE3">
      <w:pPr>
        <w:autoSpaceDE w:val="0"/>
        <w:autoSpaceDN w:val="0"/>
        <w:adjustRightInd w:val="0"/>
        <w:spacing w:line="360" w:lineRule="auto"/>
        <w:ind w:firstLine="480" w:firstLineChars="200"/>
        <w:jc w:val="left"/>
        <w:rPr>
          <w:bCs/>
          <w:sz w:val="24"/>
          <w:szCs w:val="24"/>
        </w:rPr>
      </w:pPr>
      <w:r>
        <w:rPr>
          <w:rFonts w:hint="eastAsia"/>
          <w:bCs/>
          <w:sz w:val="24"/>
          <w:szCs w:val="24"/>
        </w:rPr>
        <w:t>（1）分享基金财产收益；</w:t>
      </w:r>
    </w:p>
    <w:p w14:paraId="6A7D7A99">
      <w:pPr>
        <w:autoSpaceDE w:val="0"/>
        <w:autoSpaceDN w:val="0"/>
        <w:adjustRightInd w:val="0"/>
        <w:spacing w:line="360" w:lineRule="auto"/>
        <w:ind w:firstLine="480" w:firstLineChars="200"/>
        <w:jc w:val="left"/>
        <w:rPr>
          <w:bCs/>
          <w:sz w:val="24"/>
          <w:szCs w:val="24"/>
        </w:rPr>
      </w:pPr>
      <w:r>
        <w:rPr>
          <w:rFonts w:hint="eastAsia"/>
          <w:bCs/>
          <w:sz w:val="24"/>
          <w:szCs w:val="24"/>
        </w:rPr>
        <w:t>（2）参与分配清算后的剩余基金财产；</w:t>
      </w:r>
    </w:p>
    <w:p w14:paraId="474DB667">
      <w:pPr>
        <w:autoSpaceDE w:val="0"/>
        <w:autoSpaceDN w:val="0"/>
        <w:adjustRightInd w:val="0"/>
        <w:spacing w:line="360" w:lineRule="auto"/>
        <w:ind w:firstLine="480" w:firstLineChars="200"/>
        <w:jc w:val="left"/>
        <w:rPr>
          <w:bCs/>
          <w:sz w:val="24"/>
          <w:szCs w:val="24"/>
        </w:rPr>
      </w:pPr>
      <w:r>
        <w:rPr>
          <w:rFonts w:hint="eastAsia"/>
          <w:bCs/>
          <w:sz w:val="24"/>
          <w:szCs w:val="24"/>
        </w:rPr>
        <w:t>（3）依法转让或者申请赎回其持有的基金份额；</w:t>
      </w:r>
    </w:p>
    <w:p w14:paraId="09F232BE">
      <w:pPr>
        <w:autoSpaceDE w:val="0"/>
        <w:autoSpaceDN w:val="0"/>
        <w:adjustRightInd w:val="0"/>
        <w:spacing w:line="360" w:lineRule="auto"/>
        <w:ind w:firstLine="480" w:firstLineChars="200"/>
        <w:jc w:val="left"/>
        <w:rPr>
          <w:bCs/>
          <w:sz w:val="24"/>
          <w:szCs w:val="24"/>
        </w:rPr>
      </w:pPr>
      <w:r>
        <w:rPr>
          <w:rFonts w:hint="eastAsia"/>
          <w:bCs/>
          <w:sz w:val="24"/>
          <w:szCs w:val="24"/>
        </w:rPr>
        <w:t>（4）按照规定要求召开基金份额持有人大会或者召集基金份额持有人大会；</w:t>
      </w:r>
    </w:p>
    <w:p w14:paraId="75D927ED">
      <w:pPr>
        <w:autoSpaceDE w:val="0"/>
        <w:autoSpaceDN w:val="0"/>
        <w:adjustRightInd w:val="0"/>
        <w:spacing w:line="360" w:lineRule="auto"/>
        <w:ind w:firstLine="480" w:firstLineChars="200"/>
        <w:jc w:val="left"/>
        <w:rPr>
          <w:bCs/>
          <w:sz w:val="24"/>
          <w:szCs w:val="24"/>
        </w:rPr>
      </w:pPr>
      <w:r>
        <w:rPr>
          <w:rFonts w:hint="eastAsia"/>
          <w:bCs/>
          <w:sz w:val="24"/>
          <w:szCs w:val="24"/>
        </w:rPr>
        <w:t>（5）出席或者委派代表出席基金份额持有人大会，对基金份额持有人大会审议事项行使表决权；</w:t>
      </w:r>
    </w:p>
    <w:p w14:paraId="6DC77C9A">
      <w:pPr>
        <w:autoSpaceDE w:val="0"/>
        <w:autoSpaceDN w:val="0"/>
        <w:adjustRightInd w:val="0"/>
        <w:spacing w:line="360" w:lineRule="auto"/>
        <w:ind w:firstLine="480" w:firstLineChars="200"/>
        <w:jc w:val="left"/>
        <w:rPr>
          <w:bCs/>
          <w:sz w:val="24"/>
          <w:szCs w:val="24"/>
        </w:rPr>
      </w:pPr>
      <w:r>
        <w:rPr>
          <w:rFonts w:hint="eastAsia"/>
          <w:bCs/>
          <w:sz w:val="24"/>
          <w:szCs w:val="24"/>
        </w:rPr>
        <w:t>（6）查阅或者复制公开披露的基金信息资料；</w:t>
      </w:r>
    </w:p>
    <w:p w14:paraId="2E9B3426">
      <w:pPr>
        <w:autoSpaceDE w:val="0"/>
        <w:autoSpaceDN w:val="0"/>
        <w:adjustRightInd w:val="0"/>
        <w:spacing w:line="360" w:lineRule="auto"/>
        <w:ind w:firstLine="480" w:firstLineChars="200"/>
        <w:jc w:val="left"/>
        <w:rPr>
          <w:bCs/>
          <w:sz w:val="24"/>
          <w:szCs w:val="24"/>
        </w:rPr>
      </w:pPr>
      <w:r>
        <w:rPr>
          <w:rFonts w:hint="eastAsia"/>
          <w:bCs/>
          <w:sz w:val="24"/>
          <w:szCs w:val="24"/>
        </w:rPr>
        <w:t>（7）监督基金管理人的投资运作；</w:t>
      </w:r>
    </w:p>
    <w:p w14:paraId="583988F7">
      <w:pPr>
        <w:autoSpaceDE w:val="0"/>
        <w:autoSpaceDN w:val="0"/>
        <w:adjustRightInd w:val="0"/>
        <w:spacing w:line="360" w:lineRule="auto"/>
        <w:ind w:firstLine="480" w:firstLineChars="200"/>
        <w:jc w:val="left"/>
        <w:rPr>
          <w:bCs/>
          <w:sz w:val="24"/>
          <w:szCs w:val="24"/>
        </w:rPr>
      </w:pPr>
      <w:r>
        <w:rPr>
          <w:rFonts w:hint="eastAsia"/>
          <w:bCs/>
          <w:sz w:val="24"/>
          <w:szCs w:val="24"/>
        </w:rPr>
        <w:t>（8）对基金管理人、基金托管人、基金服务机构损害其合法权益的行为依法提起诉讼或仲裁；</w:t>
      </w:r>
    </w:p>
    <w:p w14:paraId="14937130">
      <w:pPr>
        <w:autoSpaceDE w:val="0"/>
        <w:autoSpaceDN w:val="0"/>
        <w:adjustRightInd w:val="0"/>
        <w:spacing w:line="360" w:lineRule="auto"/>
        <w:ind w:firstLine="480" w:firstLineChars="200"/>
        <w:jc w:val="left"/>
        <w:rPr>
          <w:bCs/>
          <w:sz w:val="24"/>
          <w:szCs w:val="24"/>
        </w:rPr>
      </w:pPr>
      <w:r>
        <w:rPr>
          <w:rFonts w:hint="eastAsia"/>
          <w:bCs/>
          <w:sz w:val="24"/>
          <w:szCs w:val="24"/>
        </w:rPr>
        <w:t>（9）法律法规及中国证监会规定的和《基金合同》约定的其他权利。</w:t>
      </w:r>
    </w:p>
    <w:p w14:paraId="6629F620">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2、根据《基金法》、《运作办法》及其他有关规定，基金份额持有人的义务包括但不限于：</w:t>
      </w:r>
    </w:p>
    <w:p w14:paraId="4C204840">
      <w:pPr>
        <w:autoSpaceDE w:val="0"/>
        <w:autoSpaceDN w:val="0"/>
        <w:adjustRightInd w:val="0"/>
        <w:spacing w:line="360" w:lineRule="auto"/>
        <w:ind w:firstLine="480" w:firstLineChars="200"/>
        <w:jc w:val="left"/>
        <w:rPr>
          <w:bCs/>
          <w:sz w:val="24"/>
          <w:szCs w:val="24"/>
        </w:rPr>
      </w:pPr>
      <w:r>
        <w:rPr>
          <w:rFonts w:hint="eastAsia"/>
          <w:bCs/>
          <w:sz w:val="24"/>
          <w:szCs w:val="24"/>
        </w:rPr>
        <w:t>（1）认真阅读并遵守《基金合同》、招募说明书等信息披露文件；</w:t>
      </w:r>
    </w:p>
    <w:p w14:paraId="7A688CC8">
      <w:pPr>
        <w:autoSpaceDE w:val="0"/>
        <w:autoSpaceDN w:val="0"/>
        <w:adjustRightInd w:val="0"/>
        <w:spacing w:line="360" w:lineRule="auto"/>
        <w:ind w:firstLine="480" w:firstLineChars="200"/>
        <w:jc w:val="left"/>
        <w:rPr>
          <w:bCs/>
          <w:sz w:val="24"/>
          <w:szCs w:val="24"/>
        </w:rPr>
      </w:pPr>
      <w:r>
        <w:rPr>
          <w:rFonts w:hint="eastAsia"/>
          <w:bCs/>
          <w:sz w:val="24"/>
          <w:szCs w:val="24"/>
        </w:rPr>
        <w:t>（2）了解所投资基金产品，了解自身风险承受能力，自主判断基金的投资价值，自主做出投资决策，自行承担投资风险；</w:t>
      </w:r>
    </w:p>
    <w:p w14:paraId="24FA5FDD">
      <w:pPr>
        <w:autoSpaceDE w:val="0"/>
        <w:autoSpaceDN w:val="0"/>
        <w:adjustRightInd w:val="0"/>
        <w:spacing w:line="360" w:lineRule="auto"/>
        <w:ind w:firstLine="480" w:firstLineChars="200"/>
        <w:jc w:val="left"/>
        <w:rPr>
          <w:bCs/>
          <w:sz w:val="24"/>
          <w:szCs w:val="24"/>
        </w:rPr>
      </w:pPr>
      <w:r>
        <w:rPr>
          <w:rFonts w:hint="eastAsia"/>
          <w:bCs/>
          <w:sz w:val="24"/>
          <w:szCs w:val="24"/>
        </w:rPr>
        <w:t>（3）关注基金信息披露，及时行使权利和履行义务；</w:t>
      </w:r>
    </w:p>
    <w:p w14:paraId="0CAF361F">
      <w:pPr>
        <w:autoSpaceDE w:val="0"/>
        <w:autoSpaceDN w:val="0"/>
        <w:adjustRightInd w:val="0"/>
        <w:spacing w:line="360" w:lineRule="auto"/>
        <w:ind w:firstLine="480" w:firstLineChars="200"/>
        <w:jc w:val="left"/>
        <w:rPr>
          <w:bCs/>
          <w:sz w:val="24"/>
          <w:szCs w:val="24"/>
        </w:rPr>
      </w:pPr>
      <w:r>
        <w:rPr>
          <w:rFonts w:hint="eastAsia"/>
          <w:bCs/>
          <w:sz w:val="24"/>
          <w:szCs w:val="24"/>
        </w:rPr>
        <w:t>（4）缴纳基金申购款项及法律法规和《基金合同》所规定的费用；</w:t>
      </w:r>
    </w:p>
    <w:p w14:paraId="08622354">
      <w:pPr>
        <w:autoSpaceDE w:val="0"/>
        <w:autoSpaceDN w:val="0"/>
        <w:adjustRightInd w:val="0"/>
        <w:spacing w:line="360" w:lineRule="auto"/>
        <w:ind w:firstLine="480" w:firstLineChars="200"/>
        <w:jc w:val="left"/>
        <w:rPr>
          <w:bCs/>
          <w:sz w:val="24"/>
          <w:szCs w:val="24"/>
        </w:rPr>
      </w:pPr>
      <w:r>
        <w:rPr>
          <w:rFonts w:hint="eastAsia"/>
          <w:bCs/>
          <w:sz w:val="24"/>
          <w:szCs w:val="24"/>
        </w:rPr>
        <w:t>（5）在其持有的基金份额范围内，承担基金亏损或者《基金合同》终止的有限责任；</w:t>
      </w:r>
    </w:p>
    <w:p w14:paraId="77A8810F">
      <w:pPr>
        <w:autoSpaceDE w:val="0"/>
        <w:autoSpaceDN w:val="0"/>
        <w:adjustRightInd w:val="0"/>
        <w:spacing w:line="360" w:lineRule="auto"/>
        <w:ind w:firstLine="480" w:firstLineChars="200"/>
        <w:jc w:val="left"/>
        <w:rPr>
          <w:bCs/>
          <w:sz w:val="24"/>
          <w:szCs w:val="24"/>
        </w:rPr>
      </w:pPr>
      <w:r>
        <w:rPr>
          <w:rFonts w:hint="eastAsia"/>
          <w:bCs/>
          <w:sz w:val="24"/>
          <w:szCs w:val="24"/>
        </w:rPr>
        <w:t>（6）不从事任何有损基金及其他《基金合同》当事人合法权益的活动；</w:t>
      </w:r>
    </w:p>
    <w:p w14:paraId="22E7040E">
      <w:pPr>
        <w:autoSpaceDE w:val="0"/>
        <w:autoSpaceDN w:val="0"/>
        <w:adjustRightInd w:val="0"/>
        <w:spacing w:line="360" w:lineRule="auto"/>
        <w:ind w:firstLine="480" w:firstLineChars="200"/>
        <w:jc w:val="left"/>
        <w:rPr>
          <w:bCs/>
          <w:sz w:val="24"/>
          <w:szCs w:val="24"/>
        </w:rPr>
      </w:pPr>
      <w:r>
        <w:rPr>
          <w:rFonts w:hint="eastAsia"/>
          <w:bCs/>
          <w:sz w:val="24"/>
          <w:szCs w:val="24"/>
        </w:rPr>
        <w:t>（7）执行生效的基金份额持有人大会的决议；</w:t>
      </w:r>
    </w:p>
    <w:p w14:paraId="5E3DCE9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（8）返还在基金交易过程中因任何原因获得的不当得利；</w:t>
      </w:r>
    </w:p>
    <w:p w14:paraId="2963F929">
      <w:pPr>
        <w:autoSpaceDE w:val="0"/>
        <w:autoSpaceDN w:val="0"/>
        <w:adjustRightInd w:val="0"/>
        <w:spacing w:line="360" w:lineRule="auto"/>
        <w:ind w:firstLine="480" w:firstLineChars="200"/>
        <w:jc w:val="left"/>
        <w:rPr>
          <w:bCs/>
          <w:sz w:val="24"/>
          <w:szCs w:val="24"/>
        </w:rPr>
      </w:pPr>
      <w:r>
        <w:rPr>
          <w:rFonts w:hint="eastAsia"/>
          <w:bCs/>
          <w:sz w:val="24"/>
          <w:szCs w:val="24"/>
        </w:rPr>
        <w:t xml:space="preserve">（9）发起资金提供方申购的基金份额持有期限不少于3年，法律法规或监管机构另有规定的除外； </w:t>
      </w:r>
    </w:p>
    <w:p w14:paraId="4D3AB662">
      <w:pPr>
        <w:autoSpaceDE w:val="0"/>
        <w:autoSpaceDN w:val="0"/>
        <w:adjustRightInd w:val="0"/>
        <w:spacing w:line="360" w:lineRule="auto"/>
        <w:ind w:firstLine="480" w:firstLineChars="200"/>
        <w:jc w:val="left"/>
        <w:rPr>
          <w:bCs/>
          <w:sz w:val="24"/>
          <w:szCs w:val="24"/>
        </w:rPr>
      </w:pPr>
      <w:r>
        <w:rPr>
          <w:rFonts w:hint="eastAsia"/>
          <w:bCs/>
          <w:sz w:val="24"/>
          <w:szCs w:val="24"/>
        </w:rPr>
        <w:t>（10）法律法规及中国证监会规定的和《基金合同》约定的其他义务。</w:t>
      </w:r>
    </w:p>
    <w:p w14:paraId="1D6CD24A">
      <w:pPr>
        <w:autoSpaceDE w:val="0"/>
        <w:autoSpaceDN w:val="0"/>
        <w:adjustRightInd w:val="0"/>
        <w:spacing w:line="360" w:lineRule="auto"/>
        <w:ind w:firstLine="480" w:firstLineChars="200"/>
        <w:jc w:val="left"/>
        <w:rPr>
          <w:bCs/>
          <w:sz w:val="24"/>
          <w:szCs w:val="24"/>
        </w:rPr>
      </w:pPr>
      <w:r>
        <w:rPr>
          <w:rFonts w:hint="eastAsia"/>
          <w:bCs/>
          <w:sz w:val="24"/>
          <w:szCs w:val="24"/>
        </w:rPr>
        <w:t>二、基金份额持有人大会召集、议事及表决的程序和规则</w:t>
      </w:r>
    </w:p>
    <w:p w14:paraId="67324B53">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0F5C9088">
      <w:pPr>
        <w:autoSpaceDE w:val="0"/>
        <w:autoSpaceDN w:val="0"/>
        <w:adjustRightInd w:val="0"/>
        <w:spacing w:line="360" w:lineRule="auto"/>
        <w:ind w:firstLine="480" w:firstLineChars="200"/>
        <w:jc w:val="left"/>
        <w:rPr>
          <w:bCs/>
          <w:sz w:val="24"/>
          <w:szCs w:val="24"/>
        </w:rPr>
      </w:pPr>
      <w:r>
        <w:rPr>
          <w:rFonts w:hint="eastAsia"/>
          <w:bCs/>
          <w:sz w:val="24"/>
          <w:szCs w:val="24"/>
        </w:rPr>
        <w:t>（一）召开事由</w:t>
      </w:r>
    </w:p>
    <w:p w14:paraId="1C32C7FB">
      <w:pPr>
        <w:autoSpaceDE w:val="0"/>
        <w:autoSpaceDN w:val="0"/>
        <w:adjustRightInd w:val="0"/>
        <w:spacing w:line="360" w:lineRule="auto"/>
        <w:ind w:firstLine="480" w:firstLineChars="200"/>
        <w:jc w:val="left"/>
        <w:rPr>
          <w:bCs/>
          <w:sz w:val="24"/>
          <w:szCs w:val="24"/>
        </w:rPr>
      </w:pPr>
      <w:r>
        <w:rPr>
          <w:rFonts w:hint="eastAsia"/>
          <w:bCs/>
          <w:sz w:val="24"/>
          <w:szCs w:val="24"/>
        </w:rPr>
        <w:t>1、除法律法规和中国证监会另有规定或《基金合同》另有约定外，当出现或需要决定下列事由之一的，应当召开基金份额持有人大会：</w:t>
      </w:r>
    </w:p>
    <w:p w14:paraId="67ABE688">
      <w:pPr>
        <w:autoSpaceDE w:val="0"/>
        <w:autoSpaceDN w:val="0"/>
        <w:adjustRightInd w:val="0"/>
        <w:spacing w:line="360" w:lineRule="auto"/>
        <w:ind w:firstLine="480" w:firstLineChars="200"/>
        <w:jc w:val="left"/>
        <w:rPr>
          <w:bCs/>
          <w:sz w:val="24"/>
          <w:szCs w:val="24"/>
        </w:rPr>
      </w:pPr>
      <w:r>
        <w:rPr>
          <w:rFonts w:hint="eastAsia"/>
          <w:bCs/>
          <w:sz w:val="24"/>
          <w:szCs w:val="24"/>
        </w:rPr>
        <w:t>（1）终止《基金合同》；</w:t>
      </w:r>
    </w:p>
    <w:p w14:paraId="2443C3E5">
      <w:pPr>
        <w:autoSpaceDE w:val="0"/>
        <w:autoSpaceDN w:val="0"/>
        <w:adjustRightInd w:val="0"/>
        <w:spacing w:line="360" w:lineRule="auto"/>
        <w:ind w:firstLine="480" w:firstLineChars="200"/>
        <w:jc w:val="left"/>
        <w:rPr>
          <w:bCs/>
          <w:sz w:val="24"/>
          <w:szCs w:val="24"/>
        </w:rPr>
      </w:pPr>
      <w:r>
        <w:rPr>
          <w:rFonts w:hint="eastAsia"/>
          <w:bCs/>
          <w:sz w:val="24"/>
          <w:szCs w:val="24"/>
        </w:rPr>
        <w:t>（2）更换基金管理人；</w:t>
      </w:r>
    </w:p>
    <w:p w14:paraId="2347DE78">
      <w:pPr>
        <w:autoSpaceDE w:val="0"/>
        <w:autoSpaceDN w:val="0"/>
        <w:adjustRightInd w:val="0"/>
        <w:spacing w:line="360" w:lineRule="auto"/>
        <w:ind w:firstLine="480" w:firstLineChars="200"/>
        <w:jc w:val="left"/>
        <w:rPr>
          <w:bCs/>
          <w:sz w:val="24"/>
          <w:szCs w:val="24"/>
        </w:rPr>
      </w:pPr>
      <w:r>
        <w:rPr>
          <w:rFonts w:hint="eastAsia"/>
          <w:bCs/>
          <w:sz w:val="24"/>
          <w:szCs w:val="24"/>
        </w:rPr>
        <w:t>（3）更换基金托管人；</w:t>
      </w:r>
    </w:p>
    <w:p w14:paraId="27364B0B">
      <w:pPr>
        <w:autoSpaceDE w:val="0"/>
        <w:autoSpaceDN w:val="0"/>
        <w:adjustRightInd w:val="0"/>
        <w:spacing w:line="360" w:lineRule="auto"/>
        <w:ind w:firstLine="480" w:firstLineChars="200"/>
        <w:jc w:val="left"/>
        <w:rPr>
          <w:bCs/>
          <w:sz w:val="24"/>
          <w:szCs w:val="24"/>
        </w:rPr>
      </w:pPr>
      <w:r>
        <w:rPr>
          <w:rFonts w:hint="eastAsia"/>
          <w:bCs/>
          <w:sz w:val="24"/>
          <w:szCs w:val="24"/>
        </w:rPr>
        <w:t>（4）转换基金运作方式；</w:t>
      </w:r>
    </w:p>
    <w:p w14:paraId="50087C9B">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（5）调整基金管理人、基金托管人的报酬标准；</w:t>
      </w:r>
    </w:p>
    <w:p w14:paraId="18D9B75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（6）变更基金类别；</w:t>
      </w:r>
    </w:p>
    <w:p w14:paraId="2EB1AF5A">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53A344C7">
      <w:pPr>
        <w:autoSpaceDE w:val="0"/>
        <w:autoSpaceDN w:val="0"/>
        <w:adjustRightInd w:val="0"/>
        <w:spacing w:line="360" w:lineRule="auto"/>
        <w:ind w:firstLine="480" w:firstLineChars="200"/>
        <w:jc w:val="left"/>
        <w:rPr>
          <w:bCs/>
          <w:sz w:val="24"/>
          <w:szCs w:val="24"/>
        </w:rPr>
      </w:pPr>
      <w:r>
        <w:rPr>
          <w:rFonts w:hint="eastAsia"/>
          <w:bCs/>
          <w:sz w:val="24"/>
          <w:szCs w:val="24"/>
        </w:rPr>
        <w:t>（8）变更基金投资目标、范围或策略；</w:t>
      </w:r>
    </w:p>
    <w:p w14:paraId="49655E55">
      <w:pPr>
        <w:autoSpaceDE w:val="0"/>
        <w:autoSpaceDN w:val="0"/>
        <w:adjustRightInd w:val="0"/>
        <w:spacing w:line="360" w:lineRule="auto"/>
        <w:ind w:firstLine="480" w:firstLineChars="200"/>
        <w:jc w:val="left"/>
        <w:rPr>
          <w:bCs/>
          <w:sz w:val="24"/>
          <w:szCs w:val="24"/>
        </w:rPr>
      </w:pPr>
      <w:r>
        <w:rPr>
          <w:rFonts w:hint="eastAsia"/>
          <w:bCs/>
          <w:sz w:val="24"/>
          <w:szCs w:val="24"/>
        </w:rPr>
        <w:t>（9）变更基金份额持有人大会程序；</w:t>
      </w:r>
    </w:p>
    <w:p w14:paraId="457DE68E">
      <w:pPr>
        <w:autoSpaceDE w:val="0"/>
        <w:autoSpaceDN w:val="0"/>
        <w:adjustRightInd w:val="0"/>
        <w:spacing w:line="360" w:lineRule="auto"/>
        <w:ind w:firstLine="480" w:firstLineChars="200"/>
        <w:jc w:val="left"/>
        <w:rPr>
          <w:bCs/>
          <w:sz w:val="24"/>
          <w:szCs w:val="24"/>
        </w:rPr>
      </w:pPr>
      <w:r>
        <w:rPr>
          <w:rFonts w:hint="eastAsia"/>
          <w:bCs/>
          <w:sz w:val="24"/>
          <w:szCs w:val="24"/>
        </w:rPr>
        <w:t>（10）基金管理人或基金托管人要求召开基金份额持有人大会；</w:t>
      </w:r>
    </w:p>
    <w:p w14:paraId="23507C36">
      <w:pPr>
        <w:autoSpaceDE w:val="0"/>
        <w:autoSpaceDN w:val="0"/>
        <w:adjustRightInd w:val="0"/>
        <w:spacing w:line="360" w:lineRule="auto"/>
        <w:ind w:firstLine="480" w:firstLineChars="200"/>
        <w:jc w:val="left"/>
        <w:rPr>
          <w:bCs/>
          <w:sz w:val="24"/>
          <w:szCs w:val="24"/>
        </w:rPr>
      </w:pPr>
      <w:r>
        <w:rPr>
          <w:rFonts w:hint="eastAsia"/>
          <w:bCs/>
          <w:sz w:val="24"/>
          <w:szCs w:val="24"/>
        </w:rPr>
        <w:t>（11）单独或合计持有本基金总份额10%以上（含10%）基金份额的基金份额持有人（以基金管理人收到提议当日的基金份额计算，下同）就同一事项书面要求召开基金份额持有人大会；</w:t>
      </w:r>
    </w:p>
    <w:p w14:paraId="3F8570FE">
      <w:pPr>
        <w:autoSpaceDE w:val="0"/>
        <w:autoSpaceDN w:val="0"/>
        <w:adjustRightInd w:val="0"/>
        <w:spacing w:line="360" w:lineRule="auto"/>
        <w:ind w:firstLine="480" w:firstLineChars="200"/>
        <w:jc w:val="left"/>
        <w:rPr>
          <w:bCs/>
          <w:sz w:val="24"/>
          <w:szCs w:val="24"/>
        </w:rPr>
      </w:pPr>
      <w:r>
        <w:rPr>
          <w:rFonts w:hint="eastAsia"/>
          <w:bCs/>
          <w:sz w:val="24"/>
          <w:szCs w:val="24"/>
        </w:rPr>
        <w:t>（12）对基金合同当事人权利和义务产生重大影响的其他事项；</w:t>
      </w:r>
    </w:p>
    <w:p w14:paraId="3248D1D7">
      <w:pPr>
        <w:autoSpaceDE w:val="0"/>
        <w:autoSpaceDN w:val="0"/>
        <w:adjustRightInd w:val="0"/>
        <w:spacing w:line="360" w:lineRule="auto"/>
        <w:ind w:firstLine="480" w:firstLineChars="200"/>
        <w:jc w:val="left"/>
        <w:rPr>
          <w:bCs/>
          <w:sz w:val="24"/>
          <w:szCs w:val="24"/>
        </w:rPr>
      </w:pPr>
      <w:r>
        <w:rPr>
          <w:rFonts w:hint="eastAsia"/>
          <w:bCs/>
          <w:sz w:val="24"/>
          <w:szCs w:val="24"/>
        </w:rPr>
        <w:t>（13）法律法规、《基金合同》或中国证监会规定的其他应当召开基金份额持有人大会的事项。</w:t>
      </w:r>
    </w:p>
    <w:p w14:paraId="4F011196">
      <w:pPr>
        <w:autoSpaceDE w:val="0"/>
        <w:autoSpaceDN w:val="0"/>
        <w:adjustRightInd w:val="0"/>
        <w:spacing w:line="360" w:lineRule="auto"/>
        <w:ind w:firstLine="480" w:firstLineChars="200"/>
        <w:jc w:val="left"/>
        <w:rPr>
          <w:bCs/>
          <w:sz w:val="24"/>
          <w:szCs w:val="24"/>
        </w:rPr>
      </w:pPr>
      <w:r>
        <w:rPr>
          <w:rFonts w:hint="eastAsia"/>
          <w:bCs/>
          <w:sz w:val="24"/>
          <w:szCs w:val="24"/>
        </w:rPr>
        <w:t>2、在不违反法律法规、基金合同以及在不损害基金份额持有人权益的前提下，以下情况可由基金管理人和基金托管人协商后修改，不需召开基金份额持有人大会：</w:t>
      </w:r>
    </w:p>
    <w:p w14:paraId="76F39B30">
      <w:pPr>
        <w:autoSpaceDE w:val="0"/>
        <w:autoSpaceDN w:val="0"/>
        <w:adjustRightInd w:val="0"/>
        <w:spacing w:line="360" w:lineRule="auto"/>
        <w:ind w:firstLine="480" w:firstLineChars="200"/>
        <w:jc w:val="left"/>
        <w:rPr>
          <w:bCs/>
          <w:sz w:val="24"/>
          <w:szCs w:val="24"/>
        </w:rPr>
      </w:pPr>
      <w:r>
        <w:rPr>
          <w:rFonts w:hint="eastAsia"/>
          <w:bCs/>
          <w:sz w:val="24"/>
          <w:szCs w:val="24"/>
        </w:rPr>
        <w:t>（1）法律法规要求增加的基金费用的收取；</w:t>
      </w:r>
    </w:p>
    <w:p w14:paraId="27C22191">
      <w:pPr>
        <w:autoSpaceDE w:val="0"/>
        <w:autoSpaceDN w:val="0"/>
        <w:adjustRightInd w:val="0"/>
        <w:spacing w:line="360" w:lineRule="auto"/>
        <w:ind w:firstLine="480" w:firstLineChars="200"/>
        <w:jc w:val="left"/>
        <w:rPr>
          <w:bCs/>
          <w:sz w:val="24"/>
          <w:szCs w:val="24"/>
        </w:rPr>
      </w:pPr>
      <w:r>
        <w:rPr>
          <w:rFonts w:hint="eastAsia"/>
          <w:bCs/>
          <w:sz w:val="24"/>
          <w:szCs w:val="24"/>
        </w:rPr>
        <w:t>（2）</w:t>
      </w:r>
      <w:r>
        <w:rPr>
          <w:bCs/>
          <w:sz w:val="24"/>
        </w:rPr>
        <w:t>调整本基金的申购费率、调低赎回费率</w:t>
      </w:r>
      <w:r>
        <w:rPr>
          <w:rFonts w:hint="eastAsia"/>
          <w:bCs/>
          <w:sz w:val="24"/>
        </w:rPr>
        <w:t>、</w:t>
      </w:r>
      <w:r>
        <w:rPr>
          <w:bCs/>
          <w:sz w:val="24"/>
        </w:rPr>
        <w:t>变更收费方式</w:t>
      </w:r>
      <w:r>
        <w:rPr>
          <w:rFonts w:hint="eastAsia"/>
          <w:bCs/>
          <w:sz w:val="24"/>
        </w:rPr>
        <w:t>或调整基金份额类别设置、对基金份额分类办法及规则进行调整</w:t>
      </w:r>
      <w:r>
        <w:rPr>
          <w:rFonts w:hint="eastAsia"/>
          <w:bCs/>
          <w:sz w:val="24"/>
          <w:szCs w:val="24"/>
        </w:rPr>
        <w:t>；</w:t>
      </w:r>
    </w:p>
    <w:p w14:paraId="38CA7650">
      <w:pPr>
        <w:autoSpaceDE w:val="0"/>
        <w:autoSpaceDN w:val="0"/>
        <w:adjustRightInd w:val="0"/>
        <w:spacing w:line="360" w:lineRule="auto"/>
        <w:ind w:firstLine="480" w:firstLineChars="200"/>
        <w:jc w:val="left"/>
        <w:rPr>
          <w:bCs/>
          <w:sz w:val="24"/>
          <w:szCs w:val="24"/>
        </w:rPr>
      </w:pPr>
      <w:r>
        <w:rPr>
          <w:rFonts w:hint="eastAsia"/>
          <w:bCs/>
          <w:sz w:val="24"/>
          <w:szCs w:val="24"/>
        </w:rPr>
        <w:t>（3）因相应的法律法规发生变动而应当对《基金合同》进行修改；</w:t>
      </w:r>
    </w:p>
    <w:p w14:paraId="7297F684">
      <w:pPr>
        <w:autoSpaceDE w:val="0"/>
        <w:autoSpaceDN w:val="0"/>
        <w:adjustRightInd w:val="0"/>
        <w:spacing w:line="360" w:lineRule="auto"/>
        <w:ind w:firstLine="480" w:firstLineChars="200"/>
        <w:jc w:val="left"/>
        <w:rPr>
          <w:bCs/>
          <w:sz w:val="24"/>
          <w:szCs w:val="24"/>
        </w:rPr>
      </w:pPr>
      <w:r>
        <w:rPr>
          <w:rFonts w:hint="eastAsia"/>
          <w:bCs/>
          <w:sz w:val="24"/>
          <w:szCs w:val="24"/>
        </w:rPr>
        <w:t>（4）对《基金合同》的修改对基金份额持有人利益无实质性不利影响或修改不涉及《基金合同》当事人权利义务关系发生重大变化；</w:t>
      </w:r>
    </w:p>
    <w:p w14:paraId="4F3FE597">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（5）基金管理人、登记机构、基金销售机构调整有关申购、赎回、转换、基金交易、非交易过户、转托管等业务规则；</w:t>
      </w:r>
    </w:p>
    <w:p w14:paraId="1998C226">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（6）基金推出新业务或服务；</w:t>
      </w:r>
    </w:p>
    <w:p w14:paraId="1F062CE4">
      <w:pPr>
        <w:autoSpaceDE w:val="0"/>
        <w:autoSpaceDN w:val="0"/>
        <w:adjustRightInd w:val="0"/>
        <w:spacing w:line="360" w:lineRule="auto"/>
        <w:ind w:firstLine="480" w:firstLineChars="200"/>
        <w:jc w:val="left"/>
        <w:rPr>
          <w:bCs/>
          <w:sz w:val="24"/>
          <w:szCs w:val="24"/>
        </w:rPr>
      </w:pPr>
      <w:r>
        <w:rPr>
          <w:rFonts w:hint="eastAsia"/>
          <w:bCs/>
          <w:sz w:val="24"/>
          <w:szCs w:val="24"/>
        </w:rPr>
        <w:t>（二）会议召集人及召集方式</w:t>
      </w:r>
    </w:p>
    <w:p w14:paraId="7ECE93D3">
      <w:pPr>
        <w:autoSpaceDE w:val="0"/>
        <w:autoSpaceDN w:val="0"/>
        <w:adjustRightInd w:val="0"/>
        <w:spacing w:line="360" w:lineRule="auto"/>
        <w:ind w:firstLine="480" w:firstLineChars="200"/>
        <w:jc w:val="left"/>
        <w:rPr>
          <w:bCs/>
          <w:sz w:val="24"/>
          <w:szCs w:val="24"/>
        </w:rPr>
      </w:pPr>
      <w:r>
        <w:rPr>
          <w:rFonts w:hint="eastAsia"/>
          <w:bCs/>
          <w:sz w:val="24"/>
          <w:szCs w:val="24"/>
        </w:rPr>
        <w:t>1、除法律法规规定或《基金合同》另有约定外，基金份额持有人大会由基金管理人召集。</w:t>
      </w:r>
    </w:p>
    <w:p w14:paraId="2BA6F9F4">
      <w:pPr>
        <w:autoSpaceDE w:val="0"/>
        <w:autoSpaceDN w:val="0"/>
        <w:adjustRightInd w:val="0"/>
        <w:spacing w:line="360" w:lineRule="auto"/>
        <w:ind w:firstLine="480" w:firstLineChars="200"/>
        <w:jc w:val="left"/>
        <w:rPr>
          <w:bCs/>
          <w:sz w:val="24"/>
          <w:szCs w:val="24"/>
        </w:rPr>
      </w:pPr>
      <w:r>
        <w:rPr>
          <w:rFonts w:hint="eastAsia"/>
          <w:bCs/>
          <w:sz w:val="24"/>
          <w:szCs w:val="24"/>
        </w:rPr>
        <w:t>2、基金管理人未按规定召集或不能召开时，由基金托管人召集。</w:t>
      </w:r>
    </w:p>
    <w:p w14:paraId="44C09478">
      <w:pPr>
        <w:autoSpaceDE w:val="0"/>
        <w:autoSpaceDN w:val="0"/>
        <w:adjustRightInd w:val="0"/>
        <w:spacing w:line="360" w:lineRule="auto"/>
        <w:ind w:firstLine="480" w:firstLineChars="200"/>
        <w:jc w:val="left"/>
        <w:rPr>
          <w:bCs/>
          <w:sz w:val="24"/>
          <w:szCs w:val="24"/>
        </w:rPr>
      </w:pPr>
      <w:r>
        <w:rPr>
          <w:rFonts w:hint="eastAsia"/>
          <w:bCs/>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60E62E1">
      <w:pPr>
        <w:autoSpaceDE w:val="0"/>
        <w:autoSpaceDN w:val="0"/>
        <w:adjustRightInd w:val="0"/>
        <w:spacing w:line="360" w:lineRule="auto"/>
        <w:ind w:firstLine="480" w:firstLineChars="200"/>
        <w:jc w:val="left"/>
        <w:rPr>
          <w:bCs/>
          <w:sz w:val="24"/>
          <w:szCs w:val="24"/>
        </w:rPr>
      </w:pPr>
      <w:r>
        <w:rPr>
          <w:rFonts w:hint="eastAsia"/>
          <w:bCs/>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5ECFFB5">
      <w:pPr>
        <w:autoSpaceDE w:val="0"/>
        <w:autoSpaceDN w:val="0"/>
        <w:adjustRightInd w:val="0"/>
        <w:spacing w:line="360" w:lineRule="auto"/>
        <w:ind w:firstLine="480" w:firstLineChars="200"/>
        <w:jc w:val="left"/>
        <w:rPr>
          <w:bCs/>
          <w:sz w:val="24"/>
          <w:szCs w:val="24"/>
        </w:rPr>
      </w:pPr>
      <w:r>
        <w:rPr>
          <w:rFonts w:hint="eastAsia"/>
          <w:bCs/>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84BAADC">
      <w:pPr>
        <w:autoSpaceDE w:val="0"/>
        <w:autoSpaceDN w:val="0"/>
        <w:adjustRightInd w:val="0"/>
        <w:spacing w:line="360" w:lineRule="auto"/>
        <w:ind w:firstLine="480" w:firstLineChars="200"/>
        <w:jc w:val="left"/>
        <w:rPr>
          <w:bCs/>
          <w:sz w:val="24"/>
          <w:szCs w:val="24"/>
        </w:rPr>
      </w:pPr>
      <w:r>
        <w:rPr>
          <w:rFonts w:hint="eastAsia"/>
          <w:bCs/>
          <w:sz w:val="24"/>
          <w:szCs w:val="24"/>
        </w:rPr>
        <w:t>6、基金份额持有人会议的召集人负责选择确定开会时间、地点、方式和权益登记日。</w:t>
      </w:r>
    </w:p>
    <w:p w14:paraId="739235E4">
      <w:pPr>
        <w:autoSpaceDE w:val="0"/>
        <w:autoSpaceDN w:val="0"/>
        <w:adjustRightInd w:val="0"/>
        <w:spacing w:line="360" w:lineRule="auto"/>
        <w:ind w:firstLine="480" w:firstLineChars="200"/>
        <w:jc w:val="left"/>
        <w:rPr>
          <w:bCs/>
          <w:sz w:val="24"/>
          <w:szCs w:val="24"/>
        </w:rPr>
      </w:pPr>
      <w:r>
        <w:rPr>
          <w:rFonts w:hint="eastAsia"/>
          <w:bCs/>
          <w:sz w:val="24"/>
          <w:szCs w:val="24"/>
        </w:rPr>
        <w:t>（三）召开基金份额持有人大会的通知时间、通知内容、通知方式</w:t>
      </w:r>
    </w:p>
    <w:p w14:paraId="63B8C34E">
      <w:pPr>
        <w:autoSpaceDE w:val="0"/>
        <w:autoSpaceDN w:val="0"/>
        <w:adjustRightInd w:val="0"/>
        <w:spacing w:line="360" w:lineRule="auto"/>
        <w:ind w:firstLine="480" w:firstLineChars="200"/>
        <w:jc w:val="left"/>
        <w:rPr>
          <w:bCs/>
          <w:sz w:val="24"/>
          <w:szCs w:val="24"/>
        </w:rPr>
      </w:pPr>
      <w:r>
        <w:rPr>
          <w:rFonts w:hint="eastAsia"/>
          <w:bCs/>
          <w:sz w:val="24"/>
          <w:szCs w:val="24"/>
        </w:rPr>
        <w:t>1、召开基金份额持有人大会，召集人应于会议召开前30日，依据有关规定进行公告。基金份额持有人大会通知应至少载明以下内容：</w:t>
      </w:r>
    </w:p>
    <w:p w14:paraId="14306E71">
      <w:pPr>
        <w:autoSpaceDE w:val="0"/>
        <w:autoSpaceDN w:val="0"/>
        <w:adjustRightInd w:val="0"/>
        <w:spacing w:line="360" w:lineRule="auto"/>
        <w:ind w:firstLine="480" w:firstLineChars="200"/>
        <w:jc w:val="left"/>
        <w:rPr>
          <w:bCs/>
          <w:sz w:val="24"/>
          <w:szCs w:val="24"/>
        </w:rPr>
      </w:pPr>
      <w:r>
        <w:rPr>
          <w:rFonts w:hint="eastAsia"/>
          <w:bCs/>
          <w:sz w:val="24"/>
          <w:szCs w:val="24"/>
        </w:rPr>
        <w:t>（1）会议召开的时间、地点和会议形式；</w:t>
      </w:r>
    </w:p>
    <w:p w14:paraId="0055EF72">
      <w:pPr>
        <w:autoSpaceDE w:val="0"/>
        <w:autoSpaceDN w:val="0"/>
        <w:adjustRightInd w:val="0"/>
        <w:spacing w:line="360" w:lineRule="auto"/>
        <w:ind w:firstLine="480" w:firstLineChars="200"/>
        <w:jc w:val="left"/>
        <w:rPr>
          <w:bCs/>
          <w:sz w:val="24"/>
          <w:szCs w:val="24"/>
        </w:rPr>
      </w:pPr>
      <w:r>
        <w:rPr>
          <w:rFonts w:hint="eastAsia"/>
          <w:bCs/>
          <w:sz w:val="24"/>
          <w:szCs w:val="24"/>
        </w:rPr>
        <w:t>（2）会议拟审议的事项、议事程序和表决方式；</w:t>
      </w:r>
    </w:p>
    <w:p w14:paraId="18774BA1">
      <w:pPr>
        <w:autoSpaceDE w:val="0"/>
        <w:autoSpaceDN w:val="0"/>
        <w:adjustRightInd w:val="0"/>
        <w:spacing w:line="360" w:lineRule="auto"/>
        <w:ind w:firstLine="480" w:firstLineChars="200"/>
        <w:jc w:val="left"/>
        <w:rPr>
          <w:bCs/>
          <w:sz w:val="24"/>
          <w:szCs w:val="24"/>
        </w:rPr>
      </w:pPr>
      <w:r>
        <w:rPr>
          <w:rFonts w:hint="eastAsia"/>
          <w:bCs/>
          <w:sz w:val="24"/>
          <w:szCs w:val="24"/>
        </w:rPr>
        <w:t>（3）有权出席基金份额持有人大会的基金份额持有人的权益登记日；</w:t>
      </w:r>
    </w:p>
    <w:p w14:paraId="6E8F9AEF">
      <w:pPr>
        <w:autoSpaceDE w:val="0"/>
        <w:autoSpaceDN w:val="0"/>
        <w:adjustRightInd w:val="0"/>
        <w:spacing w:line="360" w:lineRule="auto"/>
        <w:ind w:firstLine="480" w:firstLineChars="200"/>
        <w:jc w:val="left"/>
        <w:rPr>
          <w:bCs/>
          <w:sz w:val="24"/>
          <w:szCs w:val="24"/>
        </w:rPr>
      </w:pPr>
      <w:r>
        <w:rPr>
          <w:rFonts w:hint="eastAsia"/>
          <w:bCs/>
          <w:sz w:val="24"/>
          <w:szCs w:val="24"/>
        </w:rPr>
        <w:t>（4）授权委托证明的内容要求（包括但不限于代理人身份，代理权限和代理有效期限等）、送达时间和地点；</w:t>
      </w:r>
    </w:p>
    <w:p w14:paraId="4A8E64A3">
      <w:pPr>
        <w:autoSpaceDE w:val="0"/>
        <w:autoSpaceDN w:val="0"/>
        <w:adjustRightInd w:val="0"/>
        <w:spacing w:line="360" w:lineRule="auto"/>
        <w:ind w:firstLine="480" w:firstLineChars="200"/>
        <w:jc w:val="left"/>
        <w:rPr>
          <w:bCs/>
          <w:sz w:val="24"/>
          <w:szCs w:val="24"/>
        </w:rPr>
      </w:pPr>
      <w:r>
        <w:rPr>
          <w:rFonts w:hint="eastAsia"/>
          <w:bCs/>
          <w:sz w:val="24"/>
          <w:szCs w:val="24"/>
        </w:rPr>
        <w:t>（5）会务常设联系人姓名及联系电话；</w:t>
      </w:r>
    </w:p>
    <w:p w14:paraId="7D2D7883">
      <w:pPr>
        <w:autoSpaceDE w:val="0"/>
        <w:autoSpaceDN w:val="0"/>
        <w:adjustRightInd w:val="0"/>
        <w:spacing w:line="360" w:lineRule="auto"/>
        <w:ind w:firstLine="480" w:firstLineChars="200"/>
        <w:jc w:val="left"/>
        <w:rPr>
          <w:bCs/>
          <w:sz w:val="24"/>
          <w:szCs w:val="24"/>
        </w:rPr>
      </w:pPr>
      <w:r>
        <w:rPr>
          <w:rFonts w:hint="eastAsia"/>
          <w:bCs/>
          <w:sz w:val="24"/>
          <w:szCs w:val="24"/>
        </w:rPr>
        <w:t>（6）出席会议者必须准备的文件和必须履行的手续；</w:t>
      </w:r>
    </w:p>
    <w:p w14:paraId="6D46DC82">
      <w:pPr>
        <w:autoSpaceDE w:val="0"/>
        <w:autoSpaceDN w:val="0"/>
        <w:adjustRightInd w:val="0"/>
        <w:spacing w:line="360" w:lineRule="auto"/>
        <w:ind w:firstLine="480" w:firstLineChars="200"/>
        <w:jc w:val="left"/>
        <w:rPr>
          <w:bCs/>
          <w:sz w:val="24"/>
          <w:szCs w:val="24"/>
        </w:rPr>
      </w:pPr>
      <w:r>
        <w:rPr>
          <w:rFonts w:hint="eastAsia"/>
          <w:bCs/>
          <w:sz w:val="24"/>
          <w:szCs w:val="24"/>
        </w:rPr>
        <w:t>（7）召集人需要通知的其他事项。</w:t>
      </w:r>
    </w:p>
    <w:p w14:paraId="05D1DB6B">
      <w:pPr>
        <w:autoSpaceDE w:val="0"/>
        <w:autoSpaceDN w:val="0"/>
        <w:adjustRightInd w:val="0"/>
        <w:spacing w:line="360" w:lineRule="auto"/>
        <w:ind w:firstLine="480" w:firstLineChars="200"/>
        <w:jc w:val="left"/>
        <w:rPr>
          <w:bCs/>
          <w:sz w:val="24"/>
          <w:szCs w:val="24"/>
        </w:rPr>
      </w:pPr>
      <w:r>
        <w:rPr>
          <w:rFonts w:hint="eastAsia"/>
          <w:bCs/>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19CCBD0">
      <w:pPr>
        <w:autoSpaceDE w:val="0"/>
        <w:autoSpaceDN w:val="0"/>
        <w:adjustRightInd w:val="0"/>
        <w:spacing w:line="360" w:lineRule="auto"/>
        <w:ind w:firstLine="480" w:firstLineChars="200"/>
        <w:jc w:val="left"/>
        <w:rPr>
          <w:bCs/>
          <w:sz w:val="24"/>
          <w:szCs w:val="24"/>
        </w:rPr>
      </w:pPr>
      <w:r>
        <w:rPr>
          <w:rFonts w:hint="eastAsia"/>
          <w:bCs/>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B232DAC">
      <w:pPr>
        <w:autoSpaceDE w:val="0"/>
        <w:autoSpaceDN w:val="0"/>
        <w:adjustRightInd w:val="0"/>
        <w:spacing w:line="360" w:lineRule="auto"/>
        <w:ind w:firstLine="480" w:firstLineChars="200"/>
        <w:jc w:val="left"/>
        <w:rPr>
          <w:bCs/>
          <w:sz w:val="24"/>
          <w:szCs w:val="24"/>
        </w:rPr>
      </w:pPr>
      <w:r>
        <w:rPr>
          <w:rFonts w:hint="eastAsia"/>
          <w:bCs/>
          <w:sz w:val="24"/>
          <w:szCs w:val="24"/>
        </w:rPr>
        <w:t>（四）基金份额持有人出席会议的方式</w:t>
      </w:r>
    </w:p>
    <w:p w14:paraId="29A541AB">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基金份额持有人大会可通过现场开会方式、通讯开会方式或法律法规、监管机关允许的其他方式召开，会议的召开方式由会议召集人确定。</w:t>
      </w:r>
    </w:p>
    <w:p w14:paraId="03D594DD">
      <w:pPr>
        <w:autoSpaceDE w:val="0"/>
        <w:autoSpaceDN w:val="0"/>
        <w:adjustRightInd w:val="0"/>
        <w:spacing w:line="360" w:lineRule="auto"/>
        <w:ind w:firstLine="480" w:firstLineChars="200"/>
        <w:jc w:val="left"/>
        <w:rPr>
          <w:bCs/>
          <w:sz w:val="24"/>
          <w:szCs w:val="24"/>
        </w:rPr>
      </w:pPr>
      <w:r>
        <w:rPr>
          <w:rFonts w:hint="eastAsia"/>
          <w:bCs/>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A027121">
      <w:pPr>
        <w:autoSpaceDE w:val="0"/>
        <w:autoSpaceDN w:val="0"/>
        <w:adjustRightInd w:val="0"/>
        <w:spacing w:line="360" w:lineRule="auto"/>
        <w:ind w:firstLine="480" w:firstLineChars="200"/>
        <w:jc w:val="left"/>
        <w:rPr>
          <w:bCs/>
          <w:sz w:val="24"/>
          <w:szCs w:val="24"/>
        </w:rPr>
      </w:pPr>
      <w:r>
        <w:rPr>
          <w:rFonts w:hint="eastAsia"/>
          <w:bCs/>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5BE5A77">
      <w:pPr>
        <w:autoSpaceDE w:val="0"/>
        <w:autoSpaceDN w:val="0"/>
        <w:adjustRightInd w:val="0"/>
        <w:spacing w:line="360" w:lineRule="auto"/>
        <w:ind w:firstLine="480" w:firstLineChars="200"/>
        <w:jc w:val="left"/>
        <w:rPr>
          <w:bCs/>
          <w:sz w:val="24"/>
          <w:szCs w:val="24"/>
        </w:rPr>
      </w:pPr>
      <w:r>
        <w:rPr>
          <w:rFonts w:hint="eastAsia"/>
          <w:bCs/>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1ED9F3C">
      <w:pPr>
        <w:autoSpaceDE w:val="0"/>
        <w:autoSpaceDN w:val="0"/>
        <w:adjustRightInd w:val="0"/>
        <w:spacing w:line="360" w:lineRule="auto"/>
        <w:ind w:firstLine="480" w:firstLineChars="200"/>
        <w:jc w:val="left"/>
        <w:rPr>
          <w:bCs/>
          <w:sz w:val="24"/>
          <w:szCs w:val="24"/>
        </w:rPr>
      </w:pPr>
      <w:r>
        <w:rPr>
          <w:rFonts w:hint="eastAsia"/>
          <w:bCs/>
          <w:sz w:val="24"/>
          <w:szCs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0C925AA9">
      <w:pPr>
        <w:autoSpaceDE w:val="0"/>
        <w:autoSpaceDN w:val="0"/>
        <w:adjustRightInd w:val="0"/>
        <w:spacing w:line="360" w:lineRule="auto"/>
        <w:ind w:firstLine="480" w:firstLineChars="200"/>
        <w:jc w:val="left"/>
        <w:rPr>
          <w:bCs/>
          <w:sz w:val="24"/>
          <w:szCs w:val="24"/>
        </w:rPr>
      </w:pPr>
      <w:r>
        <w:rPr>
          <w:rFonts w:hint="eastAsia"/>
          <w:bCs/>
          <w:sz w:val="24"/>
          <w:szCs w:val="24"/>
        </w:rPr>
        <w:t>在同时符合以下条件时，通讯开会的方式视为有效：</w:t>
      </w:r>
    </w:p>
    <w:p w14:paraId="0D9D4B42">
      <w:pPr>
        <w:autoSpaceDE w:val="0"/>
        <w:autoSpaceDN w:val="0"/>
        <w:adjustRightInd w:val="0"/>
        <w:spacing w:line="360" w:lineRule="auto"/>
        <w:ind w:firstLine="480" w:firstLineChars="200"/>
        <w:jc w:val="left"/>
        <w:rPr>
          <w:bCs/>
          <w:sz w:val="24"/>
          <w:szCs w:val="24"/>
        </w:rPr>
      </w:pPr>
      <w:r>
        <w:rPr>
          <w:rFonts w:hint="eastAsia"/>
          <w:bCs/>
          <w:sz w:val="24"/>
          <w:szCs w:val="24"/>
        </w:rPr>
        <w:t>（1）会议召集人按《基金合同》约定公布会议通知后，在2个工作日内连续公布相关提示性公告；</w:t>
      </w:r>
    </w:p>
    <w:p w14:paraId="6851F091">
      <w:pPr>
        <w:autoSpaceDE w:val="0"/>
        <w:autoSpaceDN w:val="0"/>
        <w:adjustRightInd w:val="0"/>
        <w:spacing w:line="360" w:lineRule="auto"/>
        <w:ind w:firstLine="480" w:firstLineChars="200"/>
        <w:jc w:val="left"/>
        <w:rPr>
          <w:bCs/>
          <w:sz w:val="24"/>
          <w:szCs w:val="24"/>
        </w:rPr>
      </w:pPr>
      <w:r>
        <w:rPr>
          <w:rFonts w:hint="eastAsia"/>
          <w:bCs/>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E8B8233">
      <w:pPr>
        <w:autoSpaceDE w:val="0"/>
        <w:autoSpaceDN w:val="0"/>
        <w:adjustRightInd w:val="0"/>
        <w:spacing w:line="360" w:lineRule="auto"/>
        <w:ind w:firstLine="480" w:firstLineChars="200"/>
        <w:jc w:val="left"/>
        <w:rPr>
          <w:bCs/>
          <w:sz w:val="24"/>
          <w:szCs w:val="24"/>
        </w:rPr>
      </w:pPr>
      <w:r>
        <w:rPr>
          <w:rFonts w:hint="eastAsia"/>
          <w:bCs/>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11F0250">
      <w:pPr>
        <w:autoSpaceDE w:val="0"/>
        <w:autoSpaceDN w:val="0"/>
        <w:adjustRightInd w:val="0"/>
        <w:spacing w:line="360" w:lineRule="auto"/>
        <w:ind w:firstLine="480" w:firstLineChars="200"/>
        <w:jc w:val="left"/>
        <w:rPr>
          <w:bCs/>
          <w:sz w:val="24"/>
          <w:szCs w:val="24"/>
        </w:rPr>
      </w:pPr>
      <w:r>
        <w:rPr>
          <w:rFonts w:hint="eastAsia"/>
          <w:bCs/>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C621243">
      <w:pPr>
        <w:autoSpaceDE w:val="0"/>
        <w:autoSpaceDN w:val="0"/>
        <w:adjustRightInd w:val="0"/>
        <w:spacing w:line="360" w:lineRule="auto"/>
        <w:ind w:firstLine="480" w:firstLineChars="200"/>
        <w:jc w:val="left"/>
        <w:rPr>
          <w:bCs/>
          <w:sz w:val="24"/>
          <w:szCs w:val="24"/>
        </w:rPr>
      </w:pPr>
      <w:r>
        <w:rPr>
          <w:rFonts w:hint="eastAsia"/>
          <w:bCs/>
          <w:sz w:val="24"/>
          <w:szCs w:val="24"/>
        </w:rPr>
        <w:t>3、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w:t>
      </w:r>
    </w:p>
    <w:p w14:paraId="2F77A4AB">
      <w:pPr>
        <w:autoSpaceDE w:val="0"/>
        <w:autoSpaceDN w:val="0"/>
        <w:adjustRightInd w:val="0"/>
        <w:spacing w:line="360" w:lineRule="auto"/>
        <w:ind w:firstLine="360" w:firstLineChars="150"/>
        <w:jc w:val="left"/>
        <w:rPr>
          <w:bCs/>
          <w:sz w:val="24"/>
          <w:szCs w:val="24"/>
        </w:rPr>
      </w:pPr>
      <w:r>
        <w:rPr>
          <w:rFonts w:hint="eastAsia"/>
          <w:bCs/>
          <w:sz w:val="24"/>
          <w:szCs w:val="24"/>
        </w:rPr>
        <w:t>（五）议事内容与程序</w:t>
      </w:r>
    </w:p>
    <w:p w14:paraId="38546B3A">
      <w:pPr>
        <w:autoSpaceDE w:val="0"/>
        <w:autoSpaceDN w:val="0"/>
        <w:adjustRightInd w:val="0"/>
        <w:spacing w:line="360" w:lineRule="auto"/>
        <w:ind w:firstLine="480" w:firstLineChars="200"/>
        <w:jc w:val="left"/>
        <w:rPr>
          <w:bCs/>
          <w:sz w:val="24"/>
          <w:szCs w:val="24"/>
        </w:rPr>
      </w:pPr>
      <w:r>
        <w:rPr>
          <w:rFonts w:hint="eastAsia"/>
          <w:bCs/>
          <w:sz w:val="24"/>
          <w:szCs w:val="24"/>
        </w:rPr>
        <w:t>1、议事内容及提案权</w:t>
      </w:r>
    </w:p>
    <w:p w14:paraId="7588C9A9">
      <w:pPr>
        <w:autoSpaceDE w:val="0"/>
        <w:autoSpaceDN w:val="0"/>
        <w:adjustRightInd w:val="0"/>
        <w:spacing w:line="360" w:lineRule="auto"/>
        <w:ind w:firstLine="480" w:firstLineChars="200"/>
        <w:jc w:val="left"/>
        <w:rPr>
          <w:bCs/>
          <w:sz w:val="24"/>
          <w:szCs w:val="24"/>
        </w:rPr>
      </w:pPr>
      <w:r>
        <w:rPr>
          <w:rFonts w:hint="eastAsia"/>
          <w:bCs/>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6123A3F">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0209EEF6">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基金份额持有人大会不得对未事先公告的议事内容进行表决。</w:t>
      </w:r>
    </w:p>
    <w:p w14:paraId="00DF7AF3">
      <w:pPr>
        <w:autoSpaceDE w:val="0"/>
        <w:autoSpaceDN w:val="0"/>
        <w:adjustRightInd w:val="0"/>
        <w:spacing w:line="360" w:lineRule="auto"/>
        <w:ind w:firstLine="480" w:firstLineChars="200"/>
        <w:jc w:val="left"/>
        <w:rPr>
          <w:bCs/>
          <w:sz w:val="24"/>
          <w:szCs w:val="24"/>
        </w:rPr>
      </w:pPr>
      <w:r>
        <w:rPr>
          <w:rFonts w:hint="eastAsia"/>
          <w:bCs/>
          <w:sz w:val="24"/>
          <w:szCs w:val="24"/>
        </w:rPr>
        <w:t>2、议事程序</w:t>
      </w:r>
    </w:p>
    <w:p w14:paraId="4EB5786E">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14:paraId="28228CA7">
      <w:pPr>
        <w:autoSpaceDE w:val="0"/>
        <w:autoSpaceDN w:val="0"/>
        <w:adjustRightInd w:val="0"/>
        <w:spacing w:line="360" w:lineRule="auto"/>
        <w:ind w:firstLine="480" w:firstLineChars="200"/>
        <w:jc w:val="left"/>
        <w:rPr>
          <w:bCs/>
          <w:sz w:val="24"/>
          <w:szCs w:val="24"/>
        </w:rPr>
      </w:pPr>
      <w:r>
        <w:rPr>
          <w:rFonts w:hint="eastAsia"/>
          <w:bCs/>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79FB942">
      <w:pPr>
        <w:autoSpaceDE w:val="0"/>
        <w:autoSpaceDN w:val="0"/>
        <w:adjustRightInd w:val="0"/>
        <w:spacing w:line="360" w:lineRule="auto"/>
        <w:ind w:firstLine="480" w:firstLineChars="200"/>
        <w:jc w:val="left"/>
        <w:rPr>
          <w:bCs/>
          <w:sz w:val="24"/>
          <w:szCs w:val="24"/>
        </w:rPr>
      </w:pPr>
      <w:r>
        <w:rPr>
          <w:rFonts w:hint="eastAsia"/>
          <w:bCs/>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1BC4C63B">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14:paraId="6CFB0B49">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在通讯开会的情况下，首先由召集人提前30日公布提案，在所通知的表决截止日期后2个工作日内在公证机关监督下由召集人统计全部有效表决，在公证机关监督下形成决议。</w:t>
      </w:r>
    </w:p>
    <w:p w14:paraId="01BFFCDA">
      <w:pPr>
        <w:autoSpaceDE w:val="0"/>
        <w:autoSpaceDN w:val="0"/>
        <w:adjustRightInd w:val="0"/>
        <w:spacing w:line="360" w:lineRule="auto"/>
        <w:ind w:firstLine="480" w:firstLineChars="200"/>
        <w:jc w:val="left"/>
        <w:rPr>
          <w:bCs/>
          <w:sz w:val="24"/>
          <w:szCs w:val="24"/>
        </w:rPr>
      </w:pPr>
      <w:r>
        <w:rPr>
          <w:rFonts w:hint="eastAsia"/>
          <w:bCs/>
          <w:sz w:val="24"/>
          <w:szCs w:val="24"/>
        </w:rPr>
        <w:t>（六）表决</w:t>
      </w:r>
    </w:p>
    <w:p w14:paraId="05A018E7">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基金份额持有人所持每份基金份额有一票表决权。</w:t>
      </w:r>
    </w:p>
    <w:p w14:paraId="48CBBA8B">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基金份额持有人大会决议分为一般决议和特别决议：</w:t>
      </w:r>
    </w:p>
    <w:p w14:paraId="11B56D43">
      <w:pPr>
        <w:autoSpaceDE w:val="0"/>
        <w:autoSpaceDN w:val="0"/>
        <w:adjustRightInd w:val="0"/>
        <w:spacing w:line="360" w:lineRule="auto"/>
        <w:ind w:firstLine="480" w:firstLineChars="200"/>
        <w:jc w:val="left"/>
        <w:rPr>
          <w:bCs/>
          <w:sz w:val="24"/>
          <w:szCs w:val="24"/>
        </w:rPr>
      </w:pPr>
      <w:r>
        <w:rPr>
          <w:rFonts w:hint="eastAsia"/>
          <w:bCs/>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3D6A3DD">
      <w:pPr>
        <w:autoSpaceDE w:val="0"/>
        <w:autoSpaceDN w:val="0"/>
        <w:adjustRightInd w:val="0"/>
        <w:spacing w:line="360" w:lineRule="auto"/>
        <w:ind w:firstLine="480" w:firstLineChars="200"/>
        <w:jc w:val="left"/>
        <w:rPr>
          <w:bCs/>
          <w:sz w:val="24"/>
          <w:szCs w:val="24"/>
        </w:rPr>
      </w:pPr>
      <w:r>
        <w:rPr>
          <w:rFonts w:hint="eastAsia"/>
          <w:bCs/>
          <w:sz w:val="24"/>
          <w:szCs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5C025237">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基金份额持有人大会采取记名方式进行投票表决。</w:t>
      </w:r>
    </w:p>
    <w:p w14:paraId="58CEFE33">
      <w:pPr>
        <w:autoSpaceDE w:val="0"/>
        <w:autoSpaceDN w:val="0"/>
        <w:adjustRightInd w:val="0"/>
        <w:spacing w:line="360" w:lineRule="auto"/>
        <w:ind w:firstLine="480" w:firstLineChars="20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89417BE">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基金份额持有人大会的各项提案或同一项提案内并列的各项议题应当分开审议、逐项表决。</w:t>
      </w:r>
    </w:p>
    <w:p w14:paraId="547CB314">
      <w:pPr>
        <w:autoSpaceDE w:val="0"/>
        <w:autoSpaceDN w:val="0"/>
        <w:adjustRightInd w:val="0"/>
        <w:spacing w:line="360" w:lineRule="auto"/>
        <w:ind w:firstLine="480" w:firstLineChars="200"/>
        <w:jc w:val="left"/>
        <w:rPr>
          <w:bCs/>
          <w:sz w:val="24"/>
          <w:szCs w:val="24"/>
        </w:rPr>
      </w:pPr>
      <w:r>
        <w:rPr>
          <w:rFonts w:hint="eastAsia"/>
          <w:bCs/>
          <w:sz w:val="24"/>
          <w:szCs w:val="24"/>
        </w:rPr>
        <w:t>（七）计票</w:t>
      </w:r>
    </w:p>
    <w:p w14:paraId="193B3D07">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14:paraId="30927D49">
      <w:pPr>
        <w:autoSpaceDE w:val="0"/>
        <w:autoSpaceDN w:val="0"/>
        <w:adjustRightInd w:val="0"/>
        <w:spacing w:line="360" w:lineRule="auto"/>
        <w:ind w:firstLine="480" w:firstLineChars="200"/>
        <w:jc w:val="left"/>
        <w:rPr>
          <w:bCs/>
          <w:sz w:val="24"/>
          <w:szCs w:val="24"/>
        </w:rPr>
      </w:pPr>
      <w:r>
        <w:rPr>
          <w:rFonts w:hint="eastAsia"/>
          <w:bCs/>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4F0DC05">
      <w:pPr>
        <w:autoSpaceDE w:val="0"/>
        <w:autoSpaceDN w:val="0"/>
        <w:adjustRightInd w:val="0"/>
        <w:spacing w:line="360" w:lineRule="auto"/>
        <w:ind w:firstLine="480" w:firstLineChars="200"/>
        <w:jc w:val="left"/>
        <w:rPr>
          <w:bCs/>
          <w:sz w:val="24"/>
          <w:szCs w:val="24"/>
        </w:rPr>
      </w:pPr>
      <w:r>
        <w:rPr>
          <w:rFonts w:hint="eastAsia"/>
          <w:bCs/>
          <w:sz w:val="24"/>
          <w:szCs w:val="24"/>
        </w:rPr>
        <w:t>（2）监票人应当在基金份额持有人表决后立即进行清点并由大会主持人当场公布计票结果。</w:t>
      </w:r>
    </w:p>
    <w:p w14:paraId="569F863E">
      <w:pPr>
        <w:autoSpaceDE w:val="0"/>
        <w:autoSpaceDN w:val="0"/>
        <w:adjustRightInd w:val="0"/>
        <w:spacing w:line="360" w:lineRule="auto"/>
        <w:ind w:firstLine="480" w:firstLineChars="200"/>
        <w:jc w:val="left"/>
        <w:rPr>
          <w:bCs/>
          <w:sz w:val="24"/>
          <w:szCs w:val="24"/>
        </w:rPr>
      </w:pPr>
      <w:r>
        <w:rPr>
          <w:rFonts w:hint="eastAsia"/>
          <w:bCs/>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DBCEE7B">
      <w:pPr>
        <w:autoSpaceDE w:val="0"/>
        <w:autoSpaceDN w:val="0"/>
        <w:adjustRightInd w:val="0"/>
        <w:spacing w:line="360" w:lineRule="auto"/>
        <w:ind w:firstLine="480" w:firstLineChars="200"/>
        <w:jc w:val="left"/>
        <w:rPr>
          <w:bCs/>
          <w:sz w:val="24"/>
          <w:szCs w:val="24"/>
        </w:rPr>
      </w:pPr>
      <w:r>
        <w:rPr>
          <w:rFonts w:hint="eastAsia"/>
          <w:bCs/>
          <w:sz w:val="24"/>
          <w:szCs w:val="24"/>
        </w:rPr>
        <w:t>（4）计票过程应由公证机关予以公证，基金管理人或基金托管人拒不出席大会的，不影响计票的效力。</w:t>
      </w:r>
    </w:p>
    <w:p w14:paraId="402A9D59">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14:paraId="052E19F5">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8D73E15">
      <w:pPr>
        <w:autoSpaceDE w:val="0"/>
        <w:autoSpaceDN w:val="0"/>
        <w:adjustRightInd w:val="0"/>
        <w:spacing w:line="360" w:lineRule="auto"/>
        <w:ind w:firstLine="480" w:firstLineChars="200"/>
        <w:jc w:val="left"/>
        <w:rPr>
          <w:bCs/>
          <w:sz w:val="24"/>
          <w:szCs w:val="24"/>
        </w:rPr>
      </w:pPr>
      <w:r>
        <w:rPr>
          <w:rFonts w:hint="eastAsia"/>
          <w:bCs/>
          <w:sz w:val="24"/>
          <w:szCs w:val="24"/>
        </w:rPr>
        <w:t>（八）生效与公告</w:t>
      </w:r>
    </w:p>
    <w:p w14:paraId="433788C2">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基金份额持有人大会的决议，召集人应当自通过之日起5日内报中国证监会备案。</w:t>
      </w:r>
    </w:p>
    <w:p w14:paraId="63816E76">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基金份额持有人大会的决议自表决通过之日起生效。</w:t>
      </w:r>
    </w:p>
    <w:p w14:paraId="13D3C230">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基金份额持有人大会决议自生效之日起按规定在指定媒介上公告。如果采用通讯方式进行表决，在公告基金份额持有人大会决议时，必须将公证书全文、公证机构、公证员姓名等一同公告。</w:t>
      </w:r>
    </w:p>
    <w:p w14:paraId="3A6C8E5A">
      <w:pPr>
        <w:autoSpaceDE w:val="0"/>
        <w:autoSpaceDN w:val="0"/>
        <w:adjustRightInd w:val="0"/>
        <w:spacing w:line="360" w:lineRule="auto"/>
        <w:ind w:firstLine="480" w:firstLineChars="20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71ECAA3A">
      <w:pPr>
        <w:spacing w:line="360" w:lineRule="auto"/>
        <w:ind w:firstLine="480" w:firstLineChars="200"/>
        <w:rPr>
          <w:bCs/>
          <w:sz w:val="24"/>
        </w:rPr>
      </w:pPr>
      <w:r>
        <w:rPr>
          <w:rFonts w:hint="eastAsia"/>
          <w:bCs/>
          <w:sz w:val="24"/>
        </w:rPr>
        <w:t>（九）实施侧袋机制期间基金份额持有人大会的特殊约定</w:t>
      </w:r>
    </w:p>
    <w:p w14:paraId="4A2EDAE2">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99FFD1A">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70CCD281">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59BCCB5A">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7038B1A1">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813ABAA">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393A7993">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6BB4A3D3">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3EE9C44B">
      <w:pPr>
        <w:spacing w:line="360" w:lineRule="auto"/>
        <w:ind w:firstLine="480" w:firstLineChars="200"/>
        <w:rPr>
          <w:bCs/>
          <w:sz w:val="24"/>
        </w:rPr>
      </w:pPr>
      <w:r>
        <w:rPr>
          <w:rFonts w:hint="eastAsia"/>
          <w:bCs/>
          <w:sz w:val="24"/>
        </w:rPr>
        <w:t>同一主侧袋账户内的每份基金份额具有平等的表决权。</w:t>
      </w:r>
    </w:p>
    <w:p w14:paraId="6334A18A">
      <w:pPr>
        <w:autoSpaceDE w:val="0"/>
        <w:autoSpaceDN w:val="0"/>
        <w:adjustRightInd w:val="0"/>
        <w:spacing w:line="360" w:lineRule="auto"/>
        <w:ind w:firstLine="480" w:firstLineChars="200"/>
        <w:jc w:val="left"/>
        <w:rPr>
          <w:bCs/>
          <w:sz w:val="24"/>
          <w:szCs w:val="24"/>
        </w:rPr>
      </w:pPr>
      <w:r>
        <w:rPr>
          <w:rFonts w:hint="eastAsia"/>
          <w:bCs/>
          <w:sz w:val="24"/>
          <w:szCs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654AAA2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三、基金收益分配原则</w:t>
      </w:r>
    </w:p>
    <w:p w14:paraId="0B8BA77D">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本基金收益分配应遵循下列原则：</w:t>
      </w:r>
    </w:p>
    <w:p w14:paraId="382A2D66">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1、本基金收益分配方式分两种：现金分红与红利再投资，投资者可选择现金红利或将现金红利自动转为基金份额进行再投资；若投资者不选择，本基金默认的收益分配方式是现金分红；</w:t>
      </w:r>
    </w:p>
    <w:p w14:paraId="13A7BE76">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2、基金收益分配后基金份额净值不能低于面值，即基金收益分配基准日的基金份额净值减去每单位基金份额收益分配金额后不能低于面值；</w:t>
      </w:r>
    </w:p>
    <w:p w14:paraId="5871B1B3">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3、每一基金份额享有同等分配权；</w:t>
      </w:r>
    </w:p>
    <w:p w14:paraId="790FE44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4、法律法规或监管机关另有规定的，从其规定。</w:t>
      </w:r>
    </w:p>
    <w:p w14:paraId="6D0D87B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14:paraId="1F17200F">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四、与基金财产管理、运用有关费用的提取、支付方式与比例</w:t>
      </w:r>
    </w:p>
    <w:p w14:paraId="4E6A123D">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1、基金管理人的管理费</w:t>
      </w:r>
    </w:p>
    <w:p w14:paraId="39E7735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本基金的管理费按前一日基金资产净值的0.30%年费率计提。管理费的计算方法如下：</w:t>
      </w:r>
    </w:p>
    <w:p w14:paraId="4015A53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H＝E×0.30%÷当年天数</w:t>
      </w:r>
    </w:p>
    <w:p w14:paraId="385EED5C">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H为每日应计提的基金管理费</w:t>
      </w:r>
    </w:p>
    <w:p w14:paraId="6A3D3F2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E为前一日的基金资产净值</w:t>
      </w:r>
    </w:p>
    <w:p w14:paraId="6EE48EB7">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支付日期顺延。</w:t>
      </w:r>
    </w:p>
    <w:p w14:paraId="3570FC7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2、基金托管人的托管费</w:t>
      </w:r>
    </w:p>
    <w:p w14:paraId="0A2F622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本基金的托管费按前一日基金资产净值的0.1%的年费率计提。托管费的计算方法如下：</w:t>
      </w:r>
    </w:p>
    <w:p w14:paraId="5819266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H＝E×0.1%÷当年天数</w:t>
      </w:r>
    </w:p>
    <w:p w14:paraId="64312D6C">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H为每日应计提的基金托管费</w:t>
      </w:r>
    </w:p>
    <w:p w14:paraId="4CA34C9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E为前一日的基金资产净值</w:t>
      </w:r>
    </w:p>
    <w:p w14:paraId="31A76BA0">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托管费每日计算，逐日累计至每月月末，按月支付，由基金管理人向基金托管人发送基金托管费划付指令，经基金托管人复核后于次月前3个工作日内从基金财产中一次性支取。若遇法定节假日、公休假或不可抗力等，支付日期顺延。</w:t>
      </w:r>
    </w:p>
    <w:p w14:paraId="5812D273">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五、基金财产的投资方向和投资限制</w:t>
      </w:r>
    </w:p>
    <w:p w14:paraId="134DDB4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（一）投资范围</w:t>
      </w:r>
    </w:p>
    <w:p w14:paraId="0729B22E">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的投资范围主要为具有良好流动性的金融工具，包括国债、金融债、企业债、公司债、央行票据、中期票据、短期融资券、中小企业私募债、资产支持证券、次级债、可分离交易可转债的纯债部分、债券回购、同业存单、银行存款等法律法规或中国证监会允许基金投资的其他金融工具（但须符合中国证监会的相关规定）。</w:t>
      </w:r>
    </w:p>
    <w:p w14:paraId="06BF2EA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本基金不投资于股票、权证等权益类资产，也不投资于可转换债券（可分离交易可转债的纯债部分除外）、可交换债券。</w:t>
      </w:r>
    </w:p>
    <w:p w14:paraId="164B975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现金或者到期日在一年以内的政府债券不低于基金资产净值的5%，在封闭期内，本基金不受上述5%的限制，其中，现金不包括结算备付金、存出保证金、应收申购款等。</w:t>
      </w:r>
    </w:p>
    <w:p w14:paraId="44D3ABE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如法律法规或监管机构以后允许基金投资的其他品种，基金管理人在履行适当程序后，可以将其纳入投资范围。</w:t>
      </w:r>
    </w:p>
    <w:p w14:paraId="01D685B0">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（二）投资限制</w:t>
      </w:r>
    </w:p>
    <w:p w14:paraId="0E84205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基金的投资组合应遵循以下限制：</w:t>
      </w:r>
    </w:p>
    <w:p w14:paraId="69A5655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1B6B8D6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（2）在开放期内，本基金持有现金或者到期日在一年以内的政府债券投资比例不低于基金资产净值的5%；在封闭期内，本基金不受上述5%的限制；其中，现金不包括结算备付金、存出保证金、应收申购款等；</w:t>
      </w:r>
    </w:p>
    <w:p w14:paraId="15E9839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（3）本基金持有一家公司发行的证券，其市值不超过基金资产净值的10％；</w:t>
      </w:r>
    </w:p>
    <w:p w14:paraId="362AE5E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（4）本基金管理人管理的全部基金持有一家公司发行的证券，不超过该证券的10％；</w:t>
      </w:r>
    </w:p>
    <w:p w14:paraId="3032065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（5）本基金进入全国银行间同业市场进行债券回购的资金余额不得超过基金资产净值的40%；在全国银行间同业市场中的债券回购最长期限为1年，债券回购到期后不展期；</w:t>
      </w:r>
    </w:p>
    <w:p w14:paraId="6F3553B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（6）本基金投资于同一原始权益人的各类资产支持证券的比例，不得超过基金资产净值的10％；</w:t>
      </w:r>
    </w:p>
    <w:p w14:paraId="0908489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（7）本基金持有的全部资产支持证券，其市值不得超过基金资产净值的20％；</w:t>
      </w:r>
    </w:p>
    <w:p w14:paraId="186F9B3D">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（8）本基金持有的同一(指同一信用级别)资产支持证券的比例，不得超过该资产支持证券规模的10％；</w:t>
      </w:r>
    </w:p>
    <w:p w14:paraId="458B008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（9）本基金管理人管理的全部基金投资于同一原始权益人的各类资产支持证券，不得超过其各类资产支持证券合计规模的10％；</w:t>
      </w:r>
    </w:p>
    <w:p w14:paraId="4D7A373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（10）本基金应投资于信用级别评级为BBB以上(含BBB)的资产支持证券。基金持有资产支持证券期间，如果其信用等级下降、不再符合投资标准，应在评级报告发布之日起3个月内予以全部卖出；</w:t>
      </w:r>
    </w:p>
    <w:p w14:paraId="0C66150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（11）本基金投资于中小企业私募债券比例合计不高于基金资产的10%；</w:t>
      </w:r>
    </w:p>
    <w:p w14:paraId="31BA2F2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（12）开放期内，本基金资产总值不得超过基金资产净值的140%；封闭期内，本基金资产总值不得超过基金资产净值的200%；</w:t>
      </w:r>
    </w:p>
    <w:p w14:paraId="79C50ACF">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（13）开放期内，本基金主动投资于流动性受限资产的市值合计不得超过本基金资产净值的15%；封闭期不受此限。</w:t>
      </w:r>
    </w:p>
    <w:p w14:paraId="31A60C4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因证券市场波动、基金规模变动等基金管理人之外的因素致使基金不符合前款所规定比例限制的，基金管理人不得主动新增流动性受限资产的投资；</w:t>
      </w:r>
    </w:p>
    <w:p w14:paraId="07AC5A6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（14）本基金与私募类证券资管产品及中国证监会认定的其他主体为交易对手开展逆回购交易的，可接受质押品的资质要求应当与基金合同约定的投资范围保持一致；</w:t>
      </w:r>
    </w:p>
    <w:p w14:paraId="5FB36046">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（15）法律法规及中国证监会规定的和《基金合同》约定的其他投资限制。</w:t>
      </w:r>
    </w:p>
    <w:p w14:paraId="4A221533">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除上述第（2）、（10）、（13）、（14）条之外，因证券市场波动、证券发行人合并、基金规模变动等基金管理人之外的因素致使基金投资比例不符合上述规定投资比例的，基金管理人应当在10个交易日内进行调整，但中国证监会规定的特殊情形除外。法律法规或监管机构另有规定的，从其规定。</w:t>
      </w:r>
    </w:p>
    <w:p w14:paraId="20C266C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5A73885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w:t>
      </w:r>
    </w:p>
    <w:p w14:paraId="5E61152C">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（三）禁止行为</w:t>
      </w:r>
    </w:p>
    <w:p w14:paraId="4DA7A51F">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为维护基金份额持有人的合法权益，基金财产不得用于下列投资或者活动：</w:t>
      </w:r>
    </w:p>
    <w:p w14:paraId="3D18ED3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（1）承销证券；</w:t>
      </w:r>
    </w:p>
    <w:p w14:paraId="5639886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（2）违反规定向他人贷款或者提供担保；</w:t>
      </w:r>
    </w:p>
    <w:p w14:paraId="1B0B0E6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（3）从事承担无限责任的投资；</w:t>
      </w:r>
    </w:p>
    <w:p w14:paraId="3D48B78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（4）买卖其他基金份额，但是中国证监会另有规定的除外；</w:t>
      </w:r>
    </w:p>
    <w:p w14:paraId="110E03A8">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（5）向其基金管理人、基金托管人出资；</w:t>
      </w:r>
    </w:p>
    <w:p w14:paraId="2C80582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（6）从事内幕交易、操纵证券交易价格及其他不正当的证券交易活动；</w:t>
      </w:r>
    </w:p>
    <w:p w14:paraId="34F16D5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（7）法律、行政法规和中国证监会规定禁止的其他活动。</w:t>
      </w:r>
    </w:p>
    <w:p w14:paraId="47DE4F86">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DB6AD6D">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05140FB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六、基金资产净值的计算方法和公告方式</w:t>
      </w:r>
    </w:p>
    <w:p w14:paraId="2F856C0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（一）基金资产净值</w:t>
      </w:r>
    </w:p>
    <w:p w14:paraId="58D36D3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基金资产净值是指基金资产总值减去基金负债后的价值。</w:t>
      </w:r>
    </w:p>
    <w:p w14:paraId="3684BBE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（二）估值方法</w:t>
      </w:r>
    </w:p>
    <w:p w14:paraId="154D9A0A">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1、证券交易所上市的有价证券的估值</w:t>
      </w:r>
    </w:p>
    <w:p w14:paraId="178E1770">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1756CFB">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（2）交易所上市交易或挂牌转让的固定收益品种（本合同另有规定的除外），选取估值日第三方估值机构提供的相应品种对应的估值净价估值，具体估值机构由基金管理人与托管人另行协商约定；</w:t>
      </w:r>
    </w:p>
    <w:p w14:paraId="29F83F8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（3）交易所上市不存在活跃市场的有价证券，采用估值技术确定公允价值。交易所上市的资产支持证券，采用估值技术确定公允价值，在估值技术难以可靠计量公允价值的情况下，按成本估值。</w:t>
      </w:r>
    </w:p>
    <w:p w14:paraId="03A93B7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2、首次公开发行未上市的债券，采用估值技术确定公允价值，在估值技术难以可靠计量公允价值的情况下，按成本估值。</w:t>
      </w:r>
    </w:p>
    <w:p w14:paraId="25E88FA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3、全国银行间债券市场交易的债券、资产支持证券等固定收益品种，采用估值技术确定公允价值。</w:t>
      </w:r>
    </w:p>
    <w:p w14:paraId="56485641">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4、同一债券同时在两个或两个以上市场交易的，按债券所处的市场分别估值。</w:t>
      </w:r>
    </w:p>
    <w:p w14:paraId="465EB6D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5、中小企业私募债券，采用估值技术确定公允价值。在估值技术难以可靠计量公允价值的情况下，按成本估值。</w:t>
      </w:r>
    </w:p>
    <w:p w14:paraId="12FA1D0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6、如有确凿证据表明按上述方法进行估值不能客观反映其公允价值的，基金管理人可根据具体情况与基金托管人商定后，按最能反映公允价值的价格估值。</w:t>
      </w:r>
    </w:p>
    <w:p w14:paraId="512E4A0C">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7、相关法律法规以及监管部门有强制规定的，从其规定。如有新增事项，按国家最新规定估值。</w:t>
      </w:r>
    </w:p>
    <w:p w14:paraId="3FB932D4">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8B3C5E2">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79A95BB">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（三）基金净值信息</w:t>
      </w:r>
    </w:p>
    <w:p w14:paraId="258D5DE0">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《基金合同》生效后，在封闭期内，基金管理人应当至少每周在指定网站披露一次基金份额净值和基金份额累计净值。</w:t>
      </w:r>
    </w:p>
    <w:p w14:paraId="2A8BFA8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在开放期内，基金管理人应当在不晚于每个开放日的次日，通过指定网站、基金销售机构网站或者营业网点披露开放日的基金份额净值和基金份额累计净值。</w:t>
      </w:r>
    </w:p>
    <w:p w14:paraId="178DC59F">
      <w:pPr>
        <w:autoSpaceDE w:val="0"/>
        <w:autoSpaceDN w:val="0"/>
        <w:adjustRightInd w:val="0"/>
        <w:spacing w:line="360" w:lineRule="auto"/>
        <w:ind w:firstLine="480" w:firstLineChars="200"/>
        <w:jc w:val="left"/>
        <w:rPr>
          <w:bCs/>
          <w:sz w:val="24"/>
          <w:szCs w:val="24"/>
        </w:rPr>
      </w:pPr>
      <w:r>
        <w:rPr>
          <w:rFonts w:hint="eastAsia"/>
          <w:bCs/>
          <w:sz w:val="24"/>
          <w:szCs w:val="24"/>
        </w:rPr>
        <w:t>基金管理人应当在不晚于半年度和年度最后一日的次日，在指定网站披露半年度和年度最后一日的基金份额净值和基金份额累计净值。</w:t>
      </w:r>
    </w:p>
    <w:p w14:paraId="08ABBA48">
      <w:pPr>
        <w:autoSpaceDE w:val="0"/>
        <w:autoSpaceDN w:val="0"/>
        <w:adjustRightInd w:val="0"/>
        <w:spacing w:line="360" w:lineRule="auto"/>
        <w:ind w:firstLine="480" w:firstLineChars="200"/>
        <w:jc w:val="left"/>
        <w:rPr>
          <w:bCs/>
          <w:sz w:val="24"/>
          <w:szCs w:val="24"/>
        </w:rPr>
      </w:pPr>
      <w:r>
        <w:rPr>
          <w:rFonts w:hint="eastAsia"/>
          <w:bCs/>
          <w:sz w:val="24"/>
          <w:szCs w:val="24"/>
        </w:rPr>
        <w:t>七、基金合同解除和终止的事由、程序以及基金财产清算方式</w:t>
      </w:r>
    </w:p>
    <w:p w14:paraId="7C1D5423">
      <w:pPr>
        <w:autoSpaceDE w:val="0"/>
        <w:autoSpaceDN w:val="0"/>
        <w:adjustRightInd w:val="0"/>
        <w:spacing w:line="360" w:lineRule="auto"/>
        <w:ind w:firstLine="480" w:firstLineChars="200"/>
        <w:jc w:val="left"/>
        <w:rPr>
          <w:bCs/>
          <w:sz w:val="24"/>
          <w:szCs w:val="24"/>
        </w:rPr>
      </w:pPr>
      <w:r>
        <w:rPr>
          <w:rFonts w:hint="eastAsia"/>
          <w:bCs/>
          <w:sz w:val="24"/>
          <w:szCs w:val="24"/>
        </w:rPr>
        <w:t>（一）《基金合同》的变更</w:t>
      </w:r>
    </w:p>
    <w:p w14:paraId="5103FE09">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7CA79D5">
      <w:pPr>
        <w:autoSpaceDE w:val="0"/>
        <w:autoSpaceDN w:val="0"/>
        <w:adjustRightInd w:val="0"/>
        <w:spacing w:line="360" w:lineRule="auto"/>
        <w:ind w:firstLine="480" w:firstLineChars="200"/>
        <w:jc w:val="left"/>
        <w:rPr>
          <w:rFonts w:hint="eastAsia"/>
          <w:bCs/>
          <w:sz w:val="24"/>
          <w:szCs w:val="24"/>
        </w:rPr>
      </w:pPr>
      <w:r>
        <w:rPr>
          <w:rFonts w:hint="eastAsia"/>
          <w:bCs/>
          <w:sz w:val="24"/>
          <w:szCs w:val="24"/>
        </w:rPr>
        <w:t>2、关于《基金合同》变更的基金份额持有人大会决议须报中国证监会备案，自表决通过之日起生效，并自决议生效后按规定在指定媒介公告。</w:t>
      </w:r>
    </w:p>
    <w:p w14:paraId="39A72A30">
      <w:pPr>
        <w:autoSpaceDE w:val="0"/>
        <w:autoSpaceDN w:val="0"/>
        <w:adjustRightInd w:val="0"/>
        <w:spacing w:line="360" w:lineRule="auto"/>
        <w:ind w:firstLine="480" w:firstLineChars="200"/>
        <w:jc w:val="left"/>
        <w:rPr>
          <w:bCs/>
          <w:sz w:val="24"/>
          <w:szCs w:val="24"/>
        </w:rPr>
      </w:pPr>
      <w:r>
        <w:rPr>
          <w:rFonts w:hint="eastAsia"/>
          <w:bCs/>
          <w:sz w:val="24"/>
          <w:szCs w:val="24"/>
        </w:rPr>
        <w:t>（二）《基金合同》的终止事由</w:t>
      </w:r>
    </w:p>
    <w:p w14:paraId="02D8E912">
      <w:pPr>
        <w:autoSpaceDE w:val="0"/>
        <w:autoSpaceDN w:val="0"/>
        <w:adjustRightInd w:val="0"/>
        <w:spacing w:line="360" w:lineRule="auto"/>
        <w:ind w:firstLine="480" w:firstLineChars="200"/>
        <w:jc w:val="left"/>
        <w:rPr>
          <w:bCs/>
          <w:sz w:val="24"/>
          <w:szCs w:val="24"/>
        </w:rPr>
      </w:pPr>
      <w:r>
        <w:rPr>
          <w:rFonts w:hint="eastAsia"/>
          <w:bCs/>
          <w:sz w:val="24"/>
          <w:szCs w:val="24"/>
        </w:rPr>
        <w:t>有下列情形之一的，《基金合同》应当终止：</w:t>
      </w:r>
    </w:p>
    <w:p w14:paraId="7FE6B3C7">
      <w:pPr>
        <w:autoSpaceDE w:val="0"/>
        <w:autoSpaceDN w:val="0"/>
        <w:adjustRightInd w:val="0"/>
        <w:spacing w:line="360" w:lineRule="auto"/>
        <w:ind w:firstLine="480" w:firstLineChars="200"/>
        <w:jc w:val="left"/>
        <w:rPr>
          <w:bCs/>
          <w:sz w:val="24"/>
          <w:szCs w:val="24"/>
        </w:rPr>
      </w:pPr>
      <w:r>
        <w:rPr>
          <w:rFonts w:hint="eastAsia"/>
          <w:bCs/>
          <w:sz w:val="24"/>
          <w:szCs w:val="24"/>
        </w:rPr>
        <w:t>1、基金份额持有人大会决定终止的；</w:t>
      </w:r>
    </w:p>
    <w:p w14:paraId="621BEE2A">
      <w:pPr>
        <w:autoSpaceDE w:val="0"/>
        <w:autoSpaceDN w:val="0"/>
        <w:adjustRightInd w:val="0"/>
        <w:spacing w:line="360" w:lineRule="auto"/>
        <w:ind w:firstLine="480" w:firstLineChars="200"/>
        <w:jc w:val="left"/>
        <w:rPr>
          <w:bCs/>
          <w:sz w:val="24"/>
          <w:szCs w:val="24"/>
        </w:rPr>
      </w:pPr>
      <w:r>
        <w:rPr>
          <w:rFonts w:hint="eastAsia"/>
          <w:bCs/>
          <w:sz w:val="24"/>
          <w:szCs w:val="24"/>
        </w:rPr>
        <w:t>2、基金管理人、基金托管人职责终止，在6个月内没有新基金管理人、新基金托管人承接的；</w:t>
      </w:r>
    </w:p>
    <w:p w14:paraId="459A04B5">
      <w:pPr>
        <w:autoSpaceDE w:val="0"/>
        <w:autoSpaceDN w:val="0"/>
        <w:adjustRightInd w:val="0"/>
        <w:spacing w:line="360" w:lineRule="auto"/>
        <w:ind w:firstLine="480" w:firstLineChars="200"/>
        <w:jc w:val="left"/>
        <w:rPr>
          <w:bCs/>
          <w:sz w:val="24"/>
          <w:szCs w:val="24"/>
        </w:rPr>
      </w:pPr>
      <w:r>
        <w:rPr>
          <w:rFonts w:hint="eastAsia"/>
          <w:bCs/>
          <w:sz w:val="24"/>
          <w:szCs w:val="24"/>
        </w:rPr>
        <w:t>3、《基金合同》约定的其他情形；</w:t>
      </w:r>
    </w:p>
    <w:p w14:paraId="2D5027A4">
      <w:pPr>
        <w:autoSpaceDE w:val="0"/>
        <w:autoSpaceDN w:val="0"/>
        <w:adjustRightInd w:val="0"/>
        <w:spacing w:line="360" w:lineRule="auto"/>
        <w:ind w:firstLine="480" w:firstLineChars="200"/>
        <w:jc w:val="left"/>
        <w:rPr>
          <w:bCs/>
          <w:sz w:val="24"/>
          <w:szCs w:val="24"/>
        </w:rPr>
      </w:pPr>
      <w:r>
        <w:rPr>
          <w:rFonts w:hint="eastAsia"/>
          <w:bCs/>
          <w:sz w:val="24"/>
          <w:szCs w:val="24"/>
        </w:rPr>
        <w:t>4、相关法律法规和中国证监会规定的其他情况。</w:t>
      </w:r>
    </w:p>
    <w:p w14:paraId="3C6CA103">
      <w:pPr>
        <w:autoSpaceDE w:val="0"/>
        <w:autoSpaceDN w:val="0"/>
        <w:adjustRightInd w:val="0"/>
        <w:spacing w:line="360" w:lineRule="auto"/>
        <w:ind w:firstLine="480" w:firstLineChars="200"/>
        <w:jc w:val="left"/>
        <w:rPr>
          <w:bCs/>
          <w:sz w:val="24"/>
          <w:szCs w:val="24"/>
        </w:rPr>
      </w:pPr>
      <w:r>
        <w:rPr>
          <w:rFonts w:hint="eastAsia"/>
          <w:bCs/>
          <w:sz w:val="24"/>
          <w:szCs w:val="24"/>
        </w:rPr>
        <w:t>（三）基金财产的清算</w:t>
      </w:r>
    </w:p>
    <w:p w14:paraId="63888407">
      <w:pPr>
        <w:autoSpaceDE w:val="0"/>
        <w:autoSpaceDN w:val="0"/>
        <w:adjustRightInd w:val="0"/>
        <w:spacing w:line="360" w:lineRule="auto"/>
        <w:ind w:firstLine="480" w:firstLineChars="200"/>
        <w:jc w:val="left"/>
        <w:rPr>
          <w:bCs/>
          <w:sz w:val="24"/>
          <w:szCs w:val="24"/>
        </w:rPr>
      </w:pPr>
      <w:r>
        <w:rPr>
          <w:rFonts w:hint="eastAsia"/>
          <w:bCs/>
          <w:sz w:val="24"/>
          <w:szCs w:val="24"/>
        </w:rPr>
        <w:t>1、基金财产清算小组：自出现基金合同终止事由之日起30个工作日内成立基金财产清算小组，基金管理人组织基金财产清算小组并在中国证监会的监督下进行基金清算。</w:t>
      </w:r>
    </w:p>
    <w:p w14:paraId="0CF7F3C3">
      <w:pPr>
        <w:autoSpaceDE w:val="0"/>
        <w:autoSpaceDN w:val="0"/>
        <w:adjustRightInd w:val="0"/>
        <w:spacing w:line="360" w:lineRule="auto"/>
        <w:ind w:firstLine="480" w:firstLineChars="200"/>
        <w:jc w:val="left"/>
        <w:rPr>
          <w:bCs/>
          <w:sz w:val="24"/>
          <w:szCs w:val="24"/>
        </w:rPr>
      </w:pPr>
      <w:r>
        <w:rPr>
          <w:rFonts w:hint="eastAsia"/>
          <w:bCs/>
          <w:sz w:val="24"/>
          <w:szCs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348DF3A4">
      <w:pPr>
        <w:autoSpaceDE w:val="0"/>
        <w:autoSpaceDN w:val="0"/>
        <w:adjustRightInd w:val="0"/>
        <w:spacing w:line="360" w:lineRule="auto"/>
        <w:ind w:firstLine="480" w:firstLineChars="200"/>
        <w:jc w:val="left"/>
        <w:rPr>
          <w:bCs/>
          <w:sz w:val="24"/>
          <w:szCs w:val="24"/>
        </w:rPr>
      </w:pPr>
      <w:r>
        <w:rPr>
          <w:rFonts w:hint="eastAsia"/>
          <w:bCs/>
          <w:sz w:val="24"/>
          <w:szCs w:val="24"/>
        </w:rPr>
        <w:t>3、基金财产清算小组职责：基金财产清算小组负责基金财产的保管、清理、估价、变现和分配。基金财产清算小组可以依法进行必要的民事活动。</w:t>
      </w:r>
    </w:p>
    <w:p w14:paraId="58434601">
      <w:pPr>
        <w:autoSpaceDE w:val="0"/>
        <w:autoSpaceDN w:val="0"/>
        <w:adjustRightInd w:val="0"/>
        <w:spacing w:line="360" w:lineRule="auto"/>
        <w:ind w:firstLine="480" w:firstLineChars="200"/>
        <w:jc w:val="left"/>
        <w:rPr>
          <w:bCs/>
          <w:sz w:val="24"/>
          <w:szCs w:val="24"/>
        </w:rPr>
      </w:pPr>
      <w:r>
        <w:rPr>
          <w:rFonts w:hint="eastAsia"/>
          <w:bCs/>
          <w:sz w:val="24"/>
          <w:szCs w:val="24"/>
        </w:rPr>
        <w:t>4、基金财产清算程序：</w:t>
      </w:r>
    </w:p>
    <w:p w14:paraId="0FDA8A30">
      <w:pPr>
        <w:autoSpaceDE w:val="0"/>
        <w:autoSpaceDN w:val="0"/>
        <w:adjustRightInd w:val="0"/>
        <w:spacing w:line="360" w:lineRule="auto"/>
        <w:ind w:firstLine="480" w:firstLineChars="200"/>
        <w:jc w:val="left"/>
        <w:rPr>
          <w:bCs/>
          <w:sz w:val="24"/>
          <w:szCs w:val="24"/>
        </w:rPr>
      </w:pPr>
      <w:r>
        <w:rPr>
          <w:rFonts w:hint="eastAsia"/>
          <w:bCs/>
          <w:sz w:val="24"/>
          <w:szCs w:val="24"/>
        </w:rPr>
        <w:t>（1）《基金合同》终止情形出现时，由基金财产清算小组统一接管基金；</w:t>
      </w:r>
    </w:p>
    <w:p w14:paraId="13BB5835">
      <w:pPr>
        <w:autoSpaceDE w:val="0"/>
        <w:autoSpaceDN w:val="0"/>
        <w:adjustRightInd w:val="0"/>
        <w:spacing w:line="360" w:lineRule="auto"/>
        <w:ind w:firstLine="480" w:firstLineChars="200"/>
        <w:jc w:val="left"/>
        <w:rPr>
          <w:bCs/>
          <w:sz w:val="24"/>
          <w:szCs w:val="24"/>
        </w:rPr>
      </w:pPr>
      <w:r>
        <w:rPr>
          <w:rFonts w:hint="eastAsia"/>
          <w:bCs/>
          <w:sz w:val="24"/>
          <w:szCs w:val="24"/>
        </w:rPr>
        <w:t>（2）对基金财产和债权债务进行清理和确认；</w:t>
      </w:r>
    </w:p>
    <w:p w14:paraId="1B9AACD6">
      <w:pPr>
        <w:autoSpaceDE w:val="0"/>
        <w:autoSpaceDN w:val="0"/>
        <w:adjustRightInd w:val="0"/>
        <w:spacing w:line="360" w:lineRule="auto"/>
        <w:ind w:firstLine="480" w:firstLineChars="200"/>
        <w:jc w:val="left"/>
        <w:rPr>
          <w:bCs/>
          <w:sz w:val="24"/>
          <w:szCs w:val="24"/>
        </w:rPr>
      </w:pPr>
      <w:r>
        <w:rPr>
          <w:rFonts w:hint="eastAsia"/>
          <w:bCs/>
          <w:sz w:val="24"/>
          <w:szCs w:val="24"/>
        </w:rPr>
        <w:t>（3）对基金财产进行估值和变现；</w:t>
      </w:r>
    </w:p>
    <w:p w14:paraId="6AD2E08A">
      <w:pPr>
        <w:autoSpaceDE w:val="0"/>
        <w:autoSpaceDN w:val="0"/>
        <w:adjustRightInd w:val="0"/>
        <w:spacing w:line="360" w:lineRule="auto"/>
        <w:ind w:firstLine="480" w:firstLineChars="200"/>
        <w:jc w:val="left"/>
        <w:rPr>
          <w:bCs/>
          <w:sz w:val="24"/>
          <w:szCs w:val="24"/>
        </w:rPr>
      </w:pPr>
      <w:r>
        <w:rPr>
          <w:rFonts w:hint="eastAsia"/>
          <w:bCs/>
          <w:sz w:val="24"/>
          <w:szCs w:val="24"/>
        </w:rPr>
        <w:t>（4）制作清算报告；</w:t>
      </w:r>
    </w:p>
    <w:p w14:paraId="620EED88">
      <w:pPr>
        <w:autoSpaceDE w:val="0"/>
        <w:autoSpaceDN w:val="0"/>
        <w:adjustRightInd w:val="0"/>
        <w:spacing w:line="360" w:lineRule="auto"/>
        <w:ind w:firstLine="480" w:firstLineChars="200"/>
        <w:jc w:val="left"/>
        <w:rPr>
          <w:bCs/>
          <w:sz w:val="24"/>
          <w:szCs w:val="24"/>
        </w:rPr>
      </w:pPr>
      <w:r>
        <w:rPr>
          <w:rFonts w:hint="eastAsia"/>
          <w:bCs/>
          <w:sz w:val="24"/>
          <w:szCs w:val="24"/>
        </w:rPr>
        <w:t>（5）聘请会计师事务所对清算报告进行外部审计，聘请律师事务所对清算报告出具法律意见书；</w:t>
      </w:r>
    </w:p>
    <w:p w14:paraId="104BE5CE">
      <w:pPr>
        <w:autoSpaceDE w:val="0"/>
        <w:autoSpaceDN w:val="0"/>
        <w:adjustRightInd w:val="0"/>
        <w:spacing w:line="360" w:lineRule="auto"/>
        <w:ind w:firstLine="480" w:firstLineChars="200"/>
        <w:jc w:val="left"/>
        <w:rPr>
          <w:bCs/>
          <w:sz w:val="24"/>
          <w:szCs w:val="24"/>
        </w:rPr>
      </w:pPr>
      <w:r>
        <w:rPr>
          <w:rFonts w:hint="eastAsia"/>
          <w:bCs/>
          <w:sz w:val="24"/>
          <w:szCs w:val="24"/>
        </w:rPr>
        <w:t>（6）将清算报告报中国证监会备案并公告；</w:t>
      </w:r>
    </w:p>
    <w:p w14:paraId="384C8789">
      <w:pPr>
        <w:autoSpaceDE w:val="0"/>
        <w:autoSpaceDN w:val="0"/>
        <w:adjustRightInd w:val="0"/>
        <w:spacing w:line="360" w:lineRule="auto"/>
        <w:ind w:firstLine="480" w:firstLineChars="200"/>
        <w:jc w:val="left"/>
        <w:rPr>
          <w:bCs/>
          <w:sz w:val="24"/>
          <w:szCs w:val="24"/>
        </w:rPr>
      </w:pPr>
      <w:r>
        <w:rPr>
          <w:rFonts w:hint="eastAsia"/>
          <w:bCs/>
          <w:sz w:val="24"/>
          <w:szCs w:val="24"/>
        </w:rPr>
        <w:t>（7）对基金剩余财产进行分配。</w:t>
      </w:r>
    </w:p>
    <w:p w14:paraId="186B58DC">
      <w:pPr>
        <w:autoSpaceDE w:val="0"/>
        <w:autoSpaceDN w:val="0"/>
        <w:adjustRightInd w:val="0"/>
        <w:spacing w:line="360" w:lineRule="auto"/>
        <w:ind w:firstLine="480" w:firstLineChars="200"/>
        <w:jc w:val="left"/>
        <w:rPr>
          <w:bCs/>
          <w:sz w:val="24"/>
          <w:szCs w:val="24"/>
        </w:rPr>
      </w:pPr>
      <w:r>
        <w:rPr>
          <w:rFonts w:hint="eastAsia"/>
          <w:bCs/>
          <w:sz w:val="24"/>
          <w:szCs w:val="24"/>
        </w:rPr>
        <w:t>5、基金财产清算的期限为6个月，但因本基金所持证券的流动性受到限制而不能及时变现的，清算期限相应顺延。</w:t>
      </w:r>
    </w:p>
    <w:p w14:paraId="58478635">
      <w:pPr>
        <w:autoSpaceDE w:val="0"/>
        <w:autoSpaceDN w:val="0"/>
        <w:adjustRightInd w:val="0"/>
        <w:spacing w:line="360" w:lineRule="auto"/>
        <w:ind w:firstLine="480" w:firstLineChars="200"/>
        <w:jc w:val="left"/>
        <w:rPr>
          <w:bCs/>
          <w:sz w:val="24"/>
          <w:szCs w:val="24"/>
        </w:rPr>
      </w:pPr>
      <w:r>
        <w:rPr>
          <w:rFonts w:hint="eastAsia"/>
          <w:bCs/>
          <w:sz w:val="24"/>
          <w:szCs w:val="24"/>
        </w:rPr>
        <w:t>（四）清算费用</w:t>
      </w:r>
    </w:p>
    <w:p w14:paraId="074C3CC3">
      <w:pPr>
        <w:autoSpaceDE w:val="0"/>
        <w:autoSpaceDN w:val="0"/>
        <w:adjustRightInd w:val="0"/>
        <w:spacing w:line="360" w:lineRule="auto"/>
        <w:ind w:firstLine="480" w:firstLineChars="20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046AF338">
      <w:pPr>
        <w:autoSpaceDE w:val="0"/>
        <w:autoSpaceDN w:val="0"/>
        <w:adjustRightInd w:val="0"/>
        <w:spacing w:line="360" w:lineRule="auto"/>
        <w:ind w:firstLine="480" w:firstLineChars="200"/>
        <w:jc w:val="left"/>
        <w:rPr>
          <w:bCs/>
          <w:sz w:val="24"/>
          <w:szCs w:val="24"/>
        </w:rPr>
      </w:pPr>
      <w:r>
        <w:rPr>
          <w:rFonts w:hint="eastAsia"/>
          <w:bCs/>
          <w:sz w:val="24"/>
          <w:szCs w:val="24"/>
        </w:rPr>
        <w:t>（五）基金财产清算剩余资产的分配</w:t>
      </w:r>
    </w:p>
    <w:p w14:paraId="43BB3ECB">
      <w:pPr>
        <w:autoSpaceDE w:val="0"/>
        <w:autoSpaceDN w:val="0"/>
        <w:adjustRightInd w:val="0"/>
        <w:spacing w:line="360" w:lineRule="auto"/>
        <w:ind w:firstLine="480" w:firstLineChars="20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47AB12E3">
      <w:pPr>
        <w:autoSpaceDE w:val="0"/>
        <w:autoSpaceDN w:val="0"/>
        <w:adjustRightInd w:val="0"/>
        <w:spacing w:line="360" w:lineRule="auto"/>
        <w:ind w:firstLine="480" w:firstLineChars="200"/>
        <w:jc w:val="left"/>
        <w:rPr>
          <w:bCs/>
          <w:sz w:val="24"/>
          <w:szCs w:val="24"/>
        </w:rPr>
      </w:pPr>
      <w:r>
        <w:rPr>
          <w:rFonts w:hint="eastAsia"/>
          <w:bCs/>
          <w:sz w:val="24"/>
          <w:szCs w:val="24"/>
        </w:rPr>
        <w:t>（六）基金财产清算的公告</w:t>
      </w:r>
    </w:p>
    <w:p w14:paraId="5F9538C7">
      <w:pPr>
        <w:autoSpaceDE w:val="0"/>
        <w:autoSpaceDN w:val="0"/>
        <w:adjustRightInd w:val="0"/>
        <w:spacing w:line="360" w:lineRule="auto"/>
        <w:ind w:firstLine="480" w:firstLineChars="200"/>
        <w:jc w:val="left"/>
        <w:rPr>
          <w:bCs/>
          <w:sz w:val="24"/>
          <w:szCs w:val="24"/>
        </w:rPr>
      </w:pPr>
      <w:r>
        <w:rPr>
          <w:rFonts w:hint="eastAsia"/>
          <w:bCs/>
          <w:sz w:val="24"/>
          <w:szCs w:val="24"/>
        </w:rPr>
        <w:t>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w:t>
      </w:r>
    </w:p>
    <w:p w14:paraId="7E637948">
      <w:pPr>
        <w:autoSpaceDE w:val="0"/>
        <w:autoSpaceDN w:val="0"/>
        <w:adjustRightInd w:val="0"/>
        <w:spacing w:line="360" w:lineRule="auto"/>
        <w:ind w:firstLine="480" w:firstLineChars="200"/>
        <w:jc w:val="left"/>
        <w:rPr>
          <w:bCs/>
          <w:sz w:val="24"/>
          <w:szCs w:val="24"/>
        </w:rPr>
      </w:pPr>
      <w:r>
        <w:rPr>
          <w:rFonts w:hint="eastAsia"/>
          <w:bCs/>
          <w:sz w:val="24"/>
          <w:szCs w:val="24"/>
        </w:rPr>
        <w:t>（七）基金财产清算账册及文件的保存</w:t>
      </w:r>
    </w:p>
    <w:p w14:paraId="071EB8CF">
      <w:pPr>
        <w:autoSpaceDE w:val="0"/>
        <w:autoSpaceDN w:val="0"/>
        <w:adjustRightInd w:val="0"/>
        <w:spacing w:line="360" w:lineRule="auto"/>
        <w:ind w:firstLine="480" w:firstLineChars="200"/>
        <w:jc w:val="left"/>
        <w:rPr>
          <w:bCs/>
          <w:sz w:val="24"/>
          <w:szCs w:val="24"/>
        </w:rPr>
      </w:pPr>
      <w:r>
        <w:rPr>
          <w:rFonts w:hint="eastAsia"/>
          <w:bCs/>
          <w:sz w:val="24"/>
          <w:szCs w:val="24"/>
        </w:rPr>
        <w:t>基金财产清算账册及有关文件由基金托管人保存15年以上。</w:t>
      </w:r>
    </w:p>
    <w:p w14:paraId="7502529A">
      <w:pPr>
        <w:autoSpaceDE w:val="0"/>
        <w:autoSpaceDN w:val="0"/>
        <w:adjustRightInd w:val="0"/>
        <w:spacing w:line="360" w:lineRule="auto"/>
        <w:ind w:firstLine="480" w:firstLineChars="200"/>
        <w:jc w:val="left"/>
        <w:rPr>
          <w:bCs/>
          <w:sz w:val="24"/>
          <w:szCs w:val="24"/>
        </w:rPr>
      </w:pPr>
    </w:p>
    <w:p w14:paraId="48895F68">
      <w:pPr>
        <w:autoSpaceDE w:val="0"/>
        <w:autoSpaceDN w:val="0"/>
        <w:adjustRightInd w:val="0"/>
        <w:spacing w:line="360" w:lineRule="auto"/>
        <w:ind w:firstLine="480" w:firstLineChars="200"/>
        <w:jc w:val="left"/>
        <w:rPr>
          <w:bCs/>
          <w:sz w:val="24"/>
          <w:szCs w:val="24"/>
        </w:rPr>
      </w:pPr>
      <w:r>
        <w:rPr>
          <w:rFonts w:hint="eastAsia"/>
          <w:bCs/>
          <w:sz w:val="24"/>
          <w:szCs w:val="24"/>
        </w:rPr>
        <w:t>八、争议解决方式</w:t>
      </w:r>
    </w:p>
    <w:p w14:paraId="243E29EB">
      <w:pPr>
        <w:spacing w:line="360" w:lineRule="auto"/>
        <w:ind w:firstLine="480" w:firstLineChars="200"/>
        <w:rPr>
          <w:rFonts w:hint="eastAsia"/>
          <w:bCs/>
          <w:sz w:val="24"/>
        </w:rPr>
      </w:pPr>
      <w:r>
        <w:rPr>
          <w:rFonts w:hint="eastAsia"/>
          <w:bCs/>
          <w:sz w:val="24"/>
          <w:szCs w:val="24"/>
        </w:rPr>
        <w:t>各方当事人同意，因《基金合同》而产生的或与《基金合同》有关的一切争议，</w:t>
      </w:r>
      <w:r>
        <w:rPr>
          <w:bCs/>
          <w:sz w:val="24"/>
        </w:rPr>
        <w:t>如不愿或者不能通过协商、调解解决的，任何一方均有权将争议提交</w:t>
      </w:r>
      <w:r>
        <w:rPr>
          <w:rFonts w:hint="eastAsia"/>
          <w:bCs/>
          <w:sz w:val="24"/>
        </w:rPr>
        <w:t>中国</w:t>
      </w:r>
      <w:r>
        <w:rPr>
          <w:bCs/>
          <w:sz w:val="24"/>
        </w:rPr>
        <w:t>国际经济贸易仲裁委员会，按照中国国际经济贸易仲裁委员会届时有效的仲裁规则进行仲裁。仲裁地点为北京市。仲裁裁决是终局的，对各方当事人均有约束力。</w:t>
      </w:r>
      <w:r>
        <w:rPr>
          <w:rFonts w:hint="eastAsia"/>
          <w:bCs/>
          <w:sz w:val="24"/>
        </w:rPr>
        <w:t>仲裁费用由败诉方承担。</w:t>
      </w:r>
    </w:p>
    <w:p w14:paraId="6B51C2D8">
      <w:pPr>
        <w:spacing w:line="360" w:lineRule="auto"/>
        <w:ind w:firstLine="480" w:firstLineChars="200"/>
        <w:rPr>
          <w:bCs/>
          <w:sz w:val="24"/>
        </w:rPr>
      </w:pPr>
      <w:r>
        <w:rPr>
          <w:rFonts w:hint="eastAsia"/>
          <w:bCs/>
          <w:sz w:val="24"/>
        </w:rPr>
        <w:t>争议处理期间，基金管理人、基金托管人应恪守基金管理人和基金托管人职责，各自继续忠实、勤勉、尽责地履行基金合同和托管协议规定的义务，维护基金份额持有人的合法权益。</w:t>
      </w:r>
    </w:p>
    <w:p w14:paraId="642E8BD0">
      <w:pPr>
        <w:autoSpaceDE/>
        <w:autoSpaceDN/>
        <w:adjustRightInd/>
        <w:spacing w:line="360" w:lineRule="auto"/>
        <w:ind w:firstLine="480" w:firstLineChars="200"/>
        <w:jc w:val="left"/>
        <w:rPr>
          <w:rFonts w:hint="eastAsia"/>
          <w:bCs/>
          <w:sz w:val="24"/>
          <w:szCs w:val="24"/>
        </w:rPr>
      </w:pPr>
      <w:r>
        <w:rPr>
          <w:bCs/>
          <w:sz w:val="24"/>
        </w:rPr>
        <w:t>《基金合同》受中国法律</w:t>
      </w:r>
      <w:r>
        <w:rPr>
          <w:rFonts w:hint="eastAsia"/>
          <w:bCs/>
          <w:sz w:val="24"/>
        </w:rPr>
        <w:t>（为本基金合同之目的，在此不包括香港、澳门特别行政区和台湾地区法律）</w:t>
      </w:r>
      <w:r>
        <w:rPr>
          <w:bCs/>
          <w:sz w:val="24"/>
        </w:rPr>
        <w:t>管辖。</w:t>
      </w:r>
    </w:p>
    <w:p w14:paraId="27644ACC">
      <w:pPr>
        <w:autoSpaceDE w:val="0"/>
        <w:autoSpaceDN w:val="0"/>
        <w:adjustRightInd w:val="0"/>
        <w:spacing w:line="360" w:lineRule="auto"/>
        <w:ind w:firstLine="480" w:firstLineChars="200"/>
        <w:jc w:val="left"/>
        <w:rPr>
          <w:bCs/>
          <w:sz w:val="24"/>
          <w:szCs w:val="24"/>
        </w:rPr>
      </w:pPr>
      <w:r>
        <w:rPr>
          <w:rFonts w:hint="eastAsia"/>
          <w:bCs/>
          <w:sz w:val="24"/>
          <w:szCs w:val="24"/>
        </w:rPr>
        <w:t>九、基金合同存放地和投资人取得基金合同的方式</w:t>
      </w:r>
    </w:p>
    <w:p w14:paraId="7BD11260">
      <w:pPr>
        <w:autoSpaceDE w:val="0"/>
        <w:autoSpaceDN w:val="0"/>
        <w:adjustRightInd w:val="0"/>
        <w:spacing w:line="360" w:lineRule="auto"/>
        <w:ind w:firstLine="480" w:firstLineChars="200"/>
        <w:jc w:val="left"/>
        <w:rPr>
          <w:bCs/>
          <w:sz w:val="24"/>
          <w:szCs w:val="24"/>
        </w:rPr>
      </w:pPr>
      <w:r>
        <w:rPr>
          <w:rFonts w:hint="eastAsia"/>
          <w:bCs/>
          <w:sz w:val="24"/>
          <w:szCs w:val="24"/>
        </w:rPr>
        <w:t>《基金合同》可印制成册，供投资者在基金管理人、基金托管人、销售机构的办公场所和营业场所查阅。</w:t>
      </w:r>
    </w:p>
    <w:p w14:paraId="6241565A">
      <w:pPr>
        <w:autoSpaceDE w:val="0"/>
        <w:autoSpaceDN w:val="0"/>
        <w:adjustRightInd w:val="0"/>
        <w:spacing w:line="360" w:lineRule="auto"/>
        <w:jc w:val="left"/>
        <w:rPr>
          <w:bCs/>
          <w:sz w:val="24"/>
          <w:szCs w:val="24"/>
        </w:rPr>
      </w:pPr>
    </w:p>
    <w:p w14:paraId="68D3CF38">
      <w:pPr>
        <w:autoSpaceDE w:val="0"/>
        <w:autoSpaceDN w:val="0"/>
        <w:adjustRightInd w:val="0"/>
        <w:spacing w:line="360" w:lineRule="auto"/>
        <w:ind w:right="525"/>
        <w:rPr>
          <w:bCs/>
        </w:rPr>
      </w:pPr>
    </w:p>
    <w:sectPr>
      <w:footerReference r:id="rId7"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A646F">
    <w:pPr>
      <w:pStyle w:val="13"/>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FCC4E">
    <w:pPr>
      <w:pStyle w:val="13"/>
      <w:pBdr>
        <w:between w:val="none" w:color="auto" w:sz="0" w:space="0"/>
      </w:pBdr>
    </w:pPr>
  </w:p>
  <w:p w14:paraId="656C735A">
    <w:pPr>
      <w:pStyle w:val="13"/>
      <w:pBdr>
        <w:between w:val="none" w:color="auto" w:sz="0" w:space="0"/>
      </w:pBdr>
    </w:pPr>
  </w:p>
  <w:p w14:paraId="7D922E6C">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8859C">
    <w:pPr>
      <w:pStyle w:val="13"/>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9E2A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C9E2A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9990">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7F62">
    <w:pPr>
      <w:pStyle w:val="14"/>
      <w:pBdr>
        <w:bottom w:val="thickThinLargeGap" w:color="auto" w:sz="24" w:space="10"/>
      </w:pBdr>
      <w:tabs>
        <w:tab w:val="right" w:pos="8280"/>
      </w:tabs>
      <w:adjustRightInd w:val="0"/>
      <w:jc w:val="right"/>
    </w:pPr>
    <w:r>
      <w:rPr>
        <w:rFonts w:hint="eastAsia"/>
      </w:rPr>
      <w:t>博时裕嘉纯债3个月定期开放债券型发起式证券投资基金基金合同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41"/>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B872EB"/>
    <w:rsid w:val="00FE6E2B"/>
    <w:rsid w:val="03F54D7E"/>
    <w:rsid w:val="1BA1631F"/>
    <w:rsid w:val="1FE510DE"/>
    <w:rsid w:val="29A61CFE"/>
    <w:rsid w:val="4BFFBCDE"/>
    <w:rsid w:val="57277632"/>
    <w:rsid w:val="6042292A"/>
    <w:rsid w:val="65BE44D5"/>
    <w:rsid w:val="6AE136B3"/>
    <w:rsid w:val="75BE0EDB"/>
    <w:rsid w:val="EE5F93D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1"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uiPriority="1" w:name="toc 2"/>
    <w:lsdException w:qFormat="1" w:unhideWhenUsed="0" w:uiPriority="0" w:semiHidden="0" w:name="toc 3"/>
    <w:lsdException w:uiPriority="1" w:name="toc 4"/>
    <w:lsdException w:uiPriority="1" w:name="toc 5"/>
    <w:lsdException w:uiPriority="1" w:name="toc 6"/>
    <w:lsdException w:uiPriority="1" w:name="toc 7"/>
    <w:lsdException w:uiPriority="1" w:name="toc 8"/>
    <w:lsdException w:uiPriority="1"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nhideWhenUsed="0" w:uiPriority="0"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uiPriority="1"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uiPriority="1" w:name="Date"/>
    <w:lsdException w:uiPriority="1" w:name="Body Text First Indent"/>
    <w:lsdException w:uiPriority="1" w:name="Body Text First Indent 2"/>
    <w:lsdException w:uiPriority="1" w:name="Note Heading"/>
    <w:lsdException w:uiPriority="1" w:name="Body Text 2"/>
    <w:lsdException w:uiPriority="1"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uiPriority="1" w:name="FollowedHyperlink"/>
    <w:lsdException w:qFormat="1" w:unhideWhenUsed="0" w:uiPriority="1" w:semiHidden="0" w:name="Strong"/>
    <w:lsdException w:qFormat="1" w:unhideWhenUsed="0" w:uiPriority="1" w:semiHidden="0" w:name="Emphasis"/>
    <w:lsdException w:qFormat="1" w:unhideWhenUsed="0" w:uiPriority="0" w:semiHidden="0" w:name="Document Map"/>
    <w:lsdException w:qFormat="1" w:unhideWhenUsed="0" w:uiPriority="0" w:semiHidden="0" w:name="Plain Text"/>
    <w:lsdException w:uiPriority="1" w:name="E-mail Signature"/>
    <w:lsdException w:uiPriority="1"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uiPriority="1"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unhideWhenUsed="0" w:uiPriority="1"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6"/>
    <w:qFormat/>
    <w:uiPriority w:val="0"/>
    <w:pPr>
      <w:jc w:val="left"/>
    </w:p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8"/>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9"/>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批注文字 字符"/>
    <w:link w:val="7"/>
    <w:qFormat/>
    <w:uiPriority w:val="0"/>
    <w:rPr>
      <w:kern w:val="2"/>
      <w:sz w:val="21"/>
    </w:rPr>
  </w:style>
  <w:style w:type="character" w:customStyle="1" w:styleId="27">
    <w:name w:val="正文文本 字符"/>
    <w:link w:val="8"/>
    <w:qFormat/>
    <w:uiPriority w:val="0"/>
    <w:rPr>
      <w:rFonts w:ascii="宋体"/>
    </w:rPr>
  </w:style>
  <w:style w:type="character" w:customStyle="1" w:styleId="28">
    <w:name w:val="页眉 字符"/>
    <w:link w:val="14"/>
    <w:qFormat/>
    <w:uiPriority w:val="0"/>
    <w:rPr>
      <w:rFonts w:eastAsia="宋体"/>
      <w:kern w:val="2"/>
      <w:sz w:val="18"/>
      <w:lang w:val="en-US" w:eastAsia="zh-CN"/>
    </w:rPr>
  </w:style>
  <w:style w:type="character" w:customStyle="1" w:styleId="29">
    <w:name w:val="标题 字符"/>
    <w:link w:val="18"/>
    <w:qFormat/>
    <w:uiPriority w:val="0"/>
    <w:rPr>
      <w:rFonts w:ascii="Cambria" w:hAnsi="Cambria"/>
      <w:b/>
      <w:kern w:val="2"/>
      <w:sz w:val="32"/>
    </w:rPr>
  </w:style>
  <w:style w:type="character" w:customStyle="1" w:styleId="30">
    <w:name w:val="read"/>
    <w:qFormat/>
    <w:uiPriority w:val="0"/>
  </w:style>
  <w:style w:type="character" w:customStyle="1" w:styleId="31">
    <w:name w:val="unnamed11"/>
    <w:qFormat/>
    <w:uiPriority w:val="0"/>
    <w:rPr>
      <w:rFonts w:hint="eastAsia" w:ascii="宋体" w:hAnsi="宋体" w:eastAsia="宋体"/>
      <w:sz w:val="18"/>
    </w:rPr>
  </w:style>
  <w:style w:type="paragraph" w:customStyle="1" w:styleId="32">
    <w:name w:val="正文正文"/>
    <w:basedOn w:val="1"/>
    <w:qFormat/>
    <w:uiPriority w:val="0"/>
    <w:pPr>
      <w:spacing w:afterLines="25" w:line="360" w:lineRule="auto"/>
      <w:ind w:firstLine="200" w:firstLineChars="200"/>
    </w:pPr>
    <w:rPr>
      <w:sz w:val="24"/>
    </w:rPr>
  </w:style>
  <w:style w:type="paragraph" w:customStyle="1" w:styleId="33">
    <w:name w:val="Char Char2"/>
    <w:basedOn w:val="1"/>
    <w:qFormat/>
    <w:uiPriority w:val="0"/>
  </w:style>
  <w:style w:type="paragraph" w:customStyle="1" w:styleId="34">
    <w:name w:val="Char2"/>
    <w:basedOn w:val="1"/>
    <w:qFormat/>
    <w:uiPriority w:val="0"/>
  </w:style>
  <w:style w:type="paragraph" w:customStyle="1" w:styleId="35">
    <w:name w:val="Char Char11"/>
    <w:basedOn w:val="1"/>
    <w:qFormat/>
    <w:uiPriority w:val="0"/>
  </w:style>
  <w:style w:type="paragraph" w:customStyle="1" w:styleId="36">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37">
    <w:name w:val="Char Char3"/>
    <w:basedOn w:val="1"/>
    <w:qFormat/>
    <w:uiPriority w:val="0"/>
  </w:style>
  <w:style w:type="paragraph" w:customStyle="1" w:styleId="38">
    <w:name w:val="Char1"/>
    <w:basedOn w:val="1"/>
    <w:qFormat/>
    <w:uiPriority w:val="0"/>
  </w:style>
  <w:style w:type="paragraph" w:customStyle="1" w:styleId="39">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0">
    <w:name w:val="_Style 39"/>
    <w:semiHidden/>
    <w:qFormat/>
    <w:uiPriority w:val="99"/>
    <w:rPr>
      <w:rFonts w:ascii="Times New Roman" w:hAnsi="Times New Roman" w:eastAsia="宋体" w:cs="Times New Roman"/>
      <w:kern w:val="2"/>
      <w:sz w:val="21"/>
      <w:lang w:val="en-US" w:eastAsia="zh-CN" w:bidi="ar-SA"/>
    </w:rPr>
  </w:style>
  <w:style w:type="paragraph" w:customStyle="1" w:styleId="41">
    <w:name w:val="List_bullet"/>
    <w:basedOn w:val="1"/>
    <w:qFormat/>
    <w:uiPriority w:val="0"/>
    <w:pPr>
      <w:widowControl/>
      <w:numPr>
        <w:ilvl w:val="0"/>
        <w:numId w:val="1"/>
      </w:numPr>
      <w:jc w:val="left"/>
    </w:pPr>
    <w:rPr>
      <w:kern w:val="0"/>
      <w:sz w:val="24"/>
    </w:rPr>
  </w:style>
  <w:style w:type="paragraph" w:customStyle="1" w:styleId="42">
    <w:name w:val="Char"/>
    <w:basedOn w:val="1"/>
    <w:qFormat/>
    <w:uiPriority w:val="0"/>
  </w:style>
  <w:style w:type="paragraph" w:customStyle="1" w:styleId="43">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4">
    <w:name w:val="Char Char Char Char"/>
    <w:basedOn w:val="1"/>
    <w:qFormat/>
    <w:uiPriority w:val="0"/>
    <w:pPr>
      <w:tabs>
        <w:tab w:val="left" w:pos="360"/>
      </w:tabs>
    </w:pPr>
  </w:style>
  <w:style w:type="paragraph" w:customStyle="1" w:styleId="45">
    <w:name w:val="Char Char"/>
    <w:basedOn w:val="1"/>
    <w:qFormat/>
    <w:uiPriority w:val="0"/>
  </w:style>
  <w:style w:type="paragraph" w:customStyle="1" w:styleId="46">
    <w:name w:val="unnamed1"/>
    <w:basedOn w:val="1"/>
    <w:qFormat/>
    <w:uiPriority w:val="0"/>
    <w:pPr>
      <w:spacing w:before="60" w:after="60"/>
      <w:ind w:left="15" w:right="15"/>
    </w:pPr>
    <w:rPr>
      <w:rFonts w:hint="eastAsia" w:ascii="宋体" w:hAnsi="宋体"/>
      <w:color w:val="000000"/>
      <w:sz w:val="18"/>
      <w:szCs w:val="18"/>
    </w:rPr>
  </w:style>
  <w:style w:type="paragraph" w:customStyle="1" w:styleId="47">
    <w:name w:val="Char Char Char1"/>
    <w:basedOn w:val="1"/>
    <w:qFormat/>
    <w:uiPriority w:val="0"/>
  </w:style>
  <w:style w:type="paragraph" w:customStyle="1" w:styleId="48">
    <w:name w:val="Char Char Char Char1"/>
    <w:basedOn w:val="1"/>
    <w:qFormat/>
    <w:uiPriority w:val="0"/>
    <w:pPr>
      <w:tabs>
        <w:tab w:val="left" w:pos="360"/>
      </w:tabs>
    </w:pPr>
  </w:style>
  <w:style w:type="paragraph" w:customStyle="1" w:styleId="49">
    <w:name w:val="Char Char1"/>
    <w:basedOn w:val="1"/>
    <w:qFormat/>
    <w:uiPriority w:val="0"/>
  </w:style>
  <w:style w:type="paragraph" w:customStyle="1" w:styleId="50">
    <w:name w:val="Char Char Char"/>
    <w:basedOn w:val="1"/>
    <w:qFormat/>
    <w:uiPriority w:val="0"/>
  </w:style>
  <w:style w:type="paragraph" w:customStyle="1" w:styleId="51">
    <w:name w:val=" Char Char"/>
    <w:basedOn w:val="1"/>
    <w:qFormat/>
    <w:uiPriority w:val="0"/>
  </w:style>
  <w:style w:type="paragraph" w:customStyle="1" w:styleId="5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3">
    <w:name w:val="正文所"/>
    <w:basedOn w:val="1"/>
    <w:qFormat/>
    <w:uiPriority w:val="0"/>
    <w:pPr>
      <w:spacing w:line="360" w:lineRule="auto"/>
      <w:ind w:firstLine="420" w:firstLineChars="2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98</Pages>
  <Words>9998</Words>
  <Characters>56994</Characters>
  <Lines>474</Lines>
  <Paragraphs>133</Paragraphs>
  <TotalTime>7</TotalTime>
  <ScaleCrop>false</ScaleCrop>
  <LinksUpToDate>false</LinksUpToDate>
  <CharactersWithSpaces>66859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2026-07-28T10:22:00Z</dcterms:created>
  <dc:creator>liufang</dc:creator>
  <cp:lastModifiedBy>chenjy814</cp:lastModifiedBy>
  <cp:lastPrinted>2015-09-22T00:31:00Z</cp:lastPrinted>
  <dcterms:modified xsi:type="dcterms:W3CDTF">2026-08-21T11:13:52Z</dcterms:modified>
  <dc:title>___证券投资基金招募说明书1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8476EA26178A464589BC21F8C92D488F_13</vt:lpwstr>
  </property>
</Properties>
</file>