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523D8"/>
    <w:p w14:paraId="3CB3A54B">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博时基金管理有限公司关于以通讯方式召开博时裕嘉纯债3个月定期开放债券型发起式证券投资基金基金份额持有人大会的第二次提示性公告</w:t>
      </w:r>
    </w:p>
    <w:p w14:paraId="2C3CBF84">
      <w:pPr>
        <w:spacing w:line="360" w:lineRule="auto"/>
        <w:jc w:val="center"/>
        <w:rPr>
          <w:rFonts w:ascii="宋体" w:hAnsi="宋体" w:eastAsia="宋体"/>
          <w:b/>
          <w:sz w:val="24"/>
        </w:rPr>
      </w:pPr>
    </w:p>
    <w:p w14:paraId="0F6C2767">
      <w:pPr>
        <w:pStyle w:val="4"/>
        <w:spacing w:before="0" w:beforeAutospacing="0" w:after="0" w:afterAutospacing="0" w:line="360" w:lineRule="auto"/>
        <w:ind w:firstLine="420"/>
        <w:jc w:val="both"/>
        <w:rPr>
          <w:sz w:val="21"/>
          <w:szCs w:val="21"/>
        </w:rPr>
      </w:pPr>
      <w:r>
        <w:rPr>
          <w:rFonts w:hint="eastAsia"/>
          <w:sz w:val="21"/>
          <w:szCs w:val="21"/>
        </w:rPr>
        <w:t xml:space="preserve">博时基金管理有限公司决定以通讯方式召开博时裕嘉纯债3个月定期开放债券型发起式证券投资基金基金份额持有人大会，并于2026年5月29日、2026年6月1日在《中国证券报》、本公司网站（https://www.bosera.com）及中国证监会基金电子披露网站（http://eid.csrc.gov.cn/fund）发布了《博时基金管理有限公司关于以通讯方式召开博时裕嘉纯债3个月定期开放债券型发起式证券投资基金基金份额持有人大会的公告》、《博时基金管理有限公司关于以通讯方式召开博时裕嘉纯债3个月定期开放债券型发起式证券投资基金基金份额持有人大会的第一次提示性公告》。为使本次基金份额持有人大会顺利召开，现发布本次基金份额持有人大会的第二次提示性公告。 </w:t>
      </w:r>
    </w:p>
    <w:p w14:paraId="560D835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19B754F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公开募集证券投资基金运作管理办法》和《博时裕嘉纯债3个月定期开放债券型发起式证券投资基金基金合同》（以下简称“《基金合同》”或“基金合同”）的有关规定，博时裕嘉纯债3个月定期开放债券型发起式证券投资基金（以下简称“本基金”）的基金管理人博时基金管理有限公司（以下简称“基金管理人”或“本基金管理人”）经与本基金的基金托管人兴业银行股份有限公司协商一致，决定以通讯方式召开本基金的基金份额持有人大会，会议的具体安排如下： </w:t>
      </w:r>
    </w:p>
    <w:p w14:paraId="455B47E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24024C9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2、会议投票表决起止时间：自2026年6月3日起，至2026年6月30日17：00止（送达时间以本基金管理人收到表决票时间为准）。 </w:t>
      </w:r>
    </w:p>
    <w:p w14:paraId="5F4FE06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3、会议计票日：2026年7月1日  </w:t>
      </w:r>
    </w:p>
    <w:p w14:paraId="5BD4211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4CE0706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19E3923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248270D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3DC6EA2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3CACB39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请在信封表面注明：“博时裕嘉纯债3个月定期开放债券型发起式证券投资基金基金份额持有人大会表决专用”。 </w:t>
      </w:r>
    </w:p>
    <w:p w14:paraId="266ED67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6A96B21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60F1CB1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1D62421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《关于博时裕嘉纯债3个月定期开放债券型发起式证券投资基金持续运作的议案》（见附件一）。 </w:t>
      </w:r>
    </w:p>
    <w:p w14:paraId="44D484B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5A80D8A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本次大会的权益登记日为2026年6月3日，即2026年6月3日在本基金登记机构登记在册的本基金全体基金份额持有人均有权参与本次基金份额持有人大会的表决。 </w:t>
      </w:r>
    </w:p>
    <w:p w14:paraId="3881201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3D35C833">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6BC2769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31CB1640">
      <w:pPr>
        <w:pStyle w:val="4"/>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183450D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572631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3189730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363C230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或其代理人需将填妥的表决票和所需的相关文件自2026年6月3日起，至2026年6月30日17：00以前（送达时间以基金管理人收到表决票时间为准）通过专人送交、邮寄的方式送达至本公告第一条第4项所述的寄达地址，并请在信封表面注明：“博时裕嘉纯债3个月定期开放债券型发起式证券投资基金基金份额持有人大会表决专用”。 </w:t>
      </w:r>
    </w:p>
    <w:p w14:paraId="764DCBF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47C5A362">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26C4893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3060385A">
      <w:pPr>
        <w:pStyle w:val="4"/>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786687C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73BB69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30E412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0DF45C2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242FE7A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26E2B2E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6C156D6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3A73433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00C3380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0A996F63">
      <w:pPr>
        <w:pStyle w:val="4"/>
        <w:spacing w:before="0" w:beforeAutospacing="0" w:after="0" w:afterAutospacing="0" w:line="360" w:lineRule="auto"/>
        <w:ind w:firstLine="420"/>
        <w:jc w:val="both"/>
        <w:rPr>
          <w:sz w:val="21"/>
          <w:szCs w:val="21"/>
        </w:rPr>
      </w:pPr>
      <w:r>
        <w:rPr>
          <w:rFonts w:hint="eastAsia"/>
          <w:sz w:val="21"/>
          <w:szCs w:val="21"/>
        </w:rPr>
        <w:t xml:space="preserve">1、本次通讯会议的计票方式为：由本基金管理人授权的两名监督员在基金托管人（兴业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7E2F81B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571E38A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451C752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3DA34A1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5DD8BEB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B8A496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56019C9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FF7515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25A8C57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511EF9F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64EAA93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6CD3926C">
      <w:pPr>
        <w:pStyle w:val="4"/>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2674E84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2、《关于博时裕嘉纯债3个月定期开放债券型发起式证券投资基金持续运作的议案》应当由提交有效表决票的基金份额持有人或其代理人所持表决权的二分之一以上（含二分之一）通过； </w:t>
      </w:r>
    </w:p>
    <w:p w14:paraId="7A09DFE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612034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02D9BB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20BCA7C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6月3日。 </w:t>
      </w:r>
    </w:p>
    <w:p w14:paraId="53EE69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7FEDBA6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79CC52FD">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38A1CBB3">
      <w:pPr>
        <w:pStyle w:val="4"/>
        <w:spacing w:before="0" w:beforeAutospacing="0" w:after="0" w:afterAutospacing="0" w:line="360" w:lineRule="auto"/>
        <w:ind w:firstLine="420"/>
        <w:jc w:val="both"/>
        <w:rPr>
          <w:rFonts w:hint="eastAsia"/>
          <w:sz w:val="21"/>
          <w:szCs w:val="21"/>
        </w:rPr>
      </w:pPr>
      <w:r>
        <w:rPr>
          <w:rFonts w:hint="eastAsia"/>
          <w:sz w:val="21"/>
          <w:szCs w:val="21"/>
        </w:rPr>
        <w:t>2、基金托管人：兴业银行股份有限公司</w:t>
      </w:r>
    </w:p>
    <w:p w14:paraId="0C18A51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7D3DBFC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228FB36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014295CB">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072FC7D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795D602B">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2D25050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7C48E8F4">
      <w:pPr>
        <w:pStyle w:val="4"/>
        <w:spacing w:before="0" w:beforeAutospacing="0" w:after="0" w:afterAutospacing="0" w:line="360" w:lineRule="auto"/>
        <w:ind w:firstLine="420"/>
        <w:jc w:val="both"/>
        <w:rPr>
          <w:rFonts w:hint="eastAsia"/>
          <w:sz w:val="21"/>
          <w:szCs w:val="21"/>
        </w:rPr>
      </w:pPr>
      <w:r>
        <w:rPr>
          <w:rFonts w:hint="eastAsia"/>
          <w:sz w:val="21"/>
          <w:szCs w:val="21"/>
          <w:lang w:val="en-US" w:eastAsia="zh-CN"/>
        </w:rPr>
        <w:t>3</w:t>
      </w:r>
      <w:r>
        <w:rPr>
          <w:rFonts w:hint="eastAsia"/>
          <w:sz w:val="21"/>
          <w:szCs w:val="21"/>
        </w:rPr>
        <w:t xml:space="preserve">、本公告的有关内容由博时基金管理有限公司负责解释。 </w:t>
      </w:r>
    </w:p>
    <w:p w14:paraId="7CB34471">
      <w:pPr>
        <w:pStyle w:val="4"/>
        <w:spacing w:before="0" w:beforeAutospacing="0" w:after="0" w:afterAutospacing="0" w:line="360" w:lineRule="auto"/>
        <w:ind w:firstLine="420"/>
        <w:jc w:val="both"/>
        <w:rPr>
          <w:sz w:val="21"/>
          <w:szCs w:val="21"/>
        </w:rPr>
      </w:pPr>
    </w:p>
    <w:p w14:paraId="51F63050">
      <w:pPr>
        <w:pStyle w:val="4"/>
        <w:spacing w:before="0" w:beforeAutospacing="0" w:after="0" w:afterAutospacing="0" w:line="360" w:lineRule="auto"/>
        <w:ind w:firstLine="420"/>
        <w:jc w:val="both"/>
        <w:rPr>
          <w:sz w:val="21"/>
          <w:szCs w:val="21"/>
        </w:rPr>
      </w:pPr>
    </w:p>
    <w:p w14:paraId="201D8111">
      <w:pPr>
        <w:pStyle w:val="4"/>
        <w:spacing w:before="0" w:beforeAutospacing="0" w:after="0" w:afterAutospacing="0" w:line="360" w:lineRule="auto"/>
        <w:ind w:firstLine="420"/>
        <w:jc w:val="both"/>
        <w:rPr>
          <w:sz w:val="21"/>
          <w:szCs w:val="21"/>
        </w:rPr>
      </w:pPr>
    </w:p>
    <w:p w14:paraId="7245564A">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67952C9D">
      <w:pPr>
        <w:pStyle w:val="4"/>
        <w:spacing w:before="0" w:beforeAutospacing="0" w:after="0" w:afterAutospacing="0" w:line="360" w:lineRule="auto"/>
        <w:ind w:firstLine="420"/>
        <w:jc w:val="right"/>
        <w:rPr>
          <w:sz w:val="21"/>
          <w:szCs w:val="21"/>
        </w:rPr>
      </w:pPr>
      <w:r>
        <w:rPr>
          <w:sz w:val="21"/>
          <w:szCs w:val="21"/>
        </w:rPr>
        <w:t>2026年</w:t>
      </w:r>
      <w:r>
        <w:rPr>
          <w:rFonts w:hint="eastAsia"/>
          <w:sz w:val="21"/>
          <w:szCs w:val="21"/>
          <w:lang w:val="en-US" w:eastAsia="zh-CN"/>
        </w:rPr>
        <w:t>6</w:t>
      </w:r>
      <w:r>
        <w:rPr>
          <w:sz w:val="21"/>
          <w:szCs w:val="21"/>
        </w:rPr>
        <w:t>月</w:t>
      </w:r>
      <w:r>
        <w:rPr>
          <w:rFonts w:hint="eastAsia"/>
          <w:sz w:val="21"/>
          <w:szCs w:val="21"/>
          <w:lang w:val="en-US" w:eastAsia="zh-CN"/>
        </w:rPr>
        <w:t>2</w:t>
      </w:r>
      <w:r>
        <w:rPr>
          <w:sz w:val="21"/>
          <w:szCs w:val="21"/>
        </w:rPr>
        <w:t>日</w:t>
      </w:r>
    </w:p>
    <w:p w14:paraId="35BEFE65">
      <w:pPr>
        <w:pStyle w:val="4"/>
        <w:spacing w:before="0" w:beforeAutospacing="0" w:after="0" w:afterAutospacing="0" w:line="360" w:lineRule="auto"/>
        <w:ind w:firstLine="420"/>
        <w:jc w:val="right"/>
        <w:rPr>
          <w:sz w:val="21"/>
          <w:szCs w:val="21"/>
        </w:rPr>
      </w:pPr>
    </w:p>
    <w:p w14:paraId="64C70D13">
      <w:pPr>
        <w:pStyle w:val="4"/>
        <w:spacing w:before="0" w:beforeAutospacing="0" w:after="0" w:afterAutospacing="0" w:line="360" w:lineRule="auto"/>
        <w:ind w:firstLine="420"/>
        <w:jc w:val="right"/>
        <w:rPr>
          <w:sz w:val="21"/>
          <w:szCs w:val="21"/>
        </w:rPr>
      </w:pPr>
    </w:p>
    <w:p w14:paraId="0FA6A1F4">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附件一：《关于博时裕嘉纯债</w:t>
      </w:r>
      <w:r>
        <w:rPr>
          <w:rStyle w:val="10"/>
          <w:rFonts w:ascii="宋体" w:hAnsi="宋体" w:cs="宋体"/>
          <w:szCs w:val="21"/>
        </w:rPr>
        <w:t>3个月定期开放债券型发起式证券投资基金持续运作的议案</w:t>
      </w:r>
      <w:r>
        <w:rPr>
          <w:rStyle w:val="10"/>
          <w:rFonts w:hint="eastAsia" w:ascii="宋体" w:hAnsi="宋体" w:cs="宋体"/>
          <w:szCs w:val="21"/>
        </w:rPr>
        <w:t>》</w:t>
      </w:r>
    </w:p>
    <w:p w14:paraId="6F2CF0BF">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附件二：《博时裕嘉纯债</w:t>
      </w:r>
      <w:r>
        <w:rPr>
          <w:rStyle w:val="10"/>
          <w:rFonts w:ascii="宋体" w:hAnsi="宋体" w:cs="宋体"/>
          <w:szCs w:val="21"/>
        </w:rPr>
        <w:t>3个月定期开放债券型发起式证券投资基金</w:t>
      </w:r>
      <w:r>
        <w:rPr>
          <w:rStyle w:val="10"/>
          <w:rFonts w:hint="eastAsia" w:ascii="宋体" w:hAnsi="宋体" w:cs="宋体"/>
          <w:szCs w:val="21"/>
        </w:rPr>
        <w:t>基金份额持有人大会表决票》</w:t>
      </w:r>
    </w:p>
    <w:p w14:paraId="0CE87BA5">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3BB92425">
      <w:pPr>
        <w:rPr>
          <w:rStyle w:val="10"/>
          <w:rFonts w:ascii="宋体" w:hAnsi="宋体" w:cs="宋体"/>
          <w:szCs w:val="21"/>
        </w:rPr>
      </w:pPr>
      <w:r>
        <w:rPr>
          <w:rStyle w:val="10"/>
          <w:rFonts w:hint="eastAsia" w:ascii="宋体" w:hAnsi="宋体" w:cs="宋体"/>
          <w:szCs w:val="21"/>
        </w:rPr>
        <w:br w:type="page"/>
      </w:r>
    </w:p>
    <w:p w14:paraId="4B79AC36">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219E807A">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关于博时裕嘉纯债</w:t>
      </w:r>
      <w:r>
        <w:rPr>
          <w:rFonts w:ascii="宋体" w:hAnsi="宋体" w:cs="宋体"/>
          <w:b/>
          <w:bCs/>
          <w:color w:val="000000"/>
          <w:szCs w:val="21"/>
        </w:rPr>
        <w:t>3个月定期开放债券型发起式证券投资基金持续运作的议案</w:t>
      </w:r>
    </w:p>
    <w:p w14:paraId="1244FD06">
      <w:pPr>
        <w:adjustRightInd w:val="0"/>
        <w:snapToGrid w:val="0"/>
        <w:spacing w:line="360" w:lineRule="auto"/>
        <w:ind w:firstLine="480"/>
        <w:rPr>
          <w:rStyle w:val="10"/>
          <w:rFonts w:ascii="宋体" w:hAnsi="宋体" w:cs="宋体"/>
          <w:szCs w:val="21"/>
        </w:rPr>
      </w:pPr>
    </w:p>
    <w:p w14:paraId="23F0362C">
      <w:pPr>
        <w:adjustRightInd w:val="0"/>
        <w:snapToGrid w:val="0"/>
        <w:spacing w:line="360" w:lineRule="auto"/>
        <w:rPr>
          <w:rStyle w:val="10"/>
          <w:rFonts w:ascii="宋体" w:hAnsi="宋体" w:cs="宋体"/>
          <w:szCs w:val="21"/>
        </w:rPr>
      </w:pPr>
      <w:r>
        <w:rPr>
          <w:rFonts w:hint="eastAsia" w:ascii="宋体" w:hAnsi="宋体" w:cs="宋体"/>
          <w:color w:val="000000"/>
          <w:szCs w:val="21"/>
        </w:rPr>
        <w:t>博时裕嘉纯债</w:t>
      </w:r>
      <w:r>
        <w:rPr>
          <w:rFonts w:ascii="宋体" w:hAnsi="宋体" w:cs="宋体"/>
          <w:color w:val="000000"/>
          <w:szCs w:val="21"/>
        </w:rPr>
        <w:t>3个月定期开放债券型发起式证券投资基金</w:t>
      </w:r>
      <w:r>
        <w:rPr>
          <w:rStyle w:val="10"/>
          <w:rFonts w:hint="eastAsia" w:ascii="宋体" w:hAnsi="宋体" w:cs="宋体"/>
          <w:szCs w:val="21"/>
        </w:rPr>
        <w:t>基金份额持有人：</w:t>
      </w:r>
    </w:p>
    <w:p w14:paraId="09A27FC6">
      <w:pPr>
        <w:pStyle w:val="4"/>
        <w:spacing w:before="0" w:beforeAutospacing="0" w:after="0" w:afterAutospacing="0" w:line="360" w:lineRule="auto"/>
        <w:ind w:firstLine="420"/>
        <w:jc w:val="both"/>
        <w:rPr>
          <w:sz w:val="21"/>
          <w:szCs w:val="21"/>
        </w:rPr>
      </w:pPr>
      <w:r>
        <w:rPr>
          <w:rFonts w:hint="eastAsia"/>
          <w:sz w:val="21"/>
          <w:szCs w:val="21"/>
        </w:rPr>
        <w:t xml:space="preserve">按照《公开募集证券投资基金运作管理办法》及本基金基金合同的规定： </w:t>
      </w:r>
    </w:p>
    <w:p w14:paraId="7102B155">
      <w:pPr>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p>
    <w:p w14:paraId="30B1353D">
      <w:pPr>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本基金在基金合同生效三年后继续存续的，基金存续期内，连续20个工作日出现基金份额持有人数量不满200人或者基金资产净值低于5000万元情形的，基金管理人应当在定期报告中予以披露；连续60个工作日出现前述情形的，基金管理人应当10个工作日内向中国证监会报告并提出解决方案，如持续运作、转换运作方式、与其他基金合并或者终止基金合同等，并6个月内召集基金份额持有人大会。</w:t>
      </w:r>
    </w:p>
    <w:p w14:paraId="442D02A6">
      <w:pPr>
        <w:spacing w:line="360" w:lineRule="auto"/>
        <w:ind w:firstLine="420" w:firstLineChars="200"/>
        <w:rPr>
          <w:rFonts w:hint="eastAsia" w:ascii="宋体" w:hAnsi="宋体" w:eastAsia="宋体" w:cs="宋体"/>
          <w:kern w:val="0"/>
          <w:sz w:val="21"/>
          <w:szCs w:val="21"/>
          <w:lang w:val="en-US" w:eastAsia="zh-CN" w:bidi="ar-SA"/>
        </w:rPr>
      </w:pPr>
      <w:r>
        <w:rPr>
          <w:rStyle w:val="7"/>
          <w:rFonts w:hint="eastAsia"/>
          <w:i w:val="0"/>
          <w:iCs w:val="0"/>
          <w:sz w:val="21"/>
          <w:szCs w:val="21"/>
          <w:u w:val="none"/>
        </w:rPr>
        <w:t>法律法规或监管机构另有规定时，从其规定。</w:t>
      </w:r>
      <w:r>
        <w:rPr>
          <w:rFonts w:hint="eastAsia" w:ascii="宋体" w:hAnsi="宋体" w:eastAsia="宋体" w:cs="宋体"/>
          <w:kern w:val="0"/>
          <w:sz w:val="21"/>
          <w:szCs w:val="21"/>
          <w:lang w:val="en-US" w:eastAsia="zh-CN" w:bidi="ar-SA"/>
        </w:rPr>
        <w:t>”</w:t>
      </w:r>
    </w:p>
    <w:p w14:paraId="35B38952">
      <w:pPr>
        <w:pStyle w:val="4"/>
        <w:spacing w:before="0" w:beforeAutospacing="0" w:after="0" w:afterAutospacing="0" w:line="360" w:lineRule="auto"/>
        <w:ind w:firstLine="420"/>
        <w:jc w:val="both"/>
        <w:rPr>
          <w:sz w:val="21"/>
          <w:szCs w:val="21"/>
        </w:rPr>
      </w:pPr>
      <w:r>
        <w:rPr>
          <w:rFonts w:hint="eastAsia"/>
          <w:sz w:val="21"/>
          <w:szCs w:val="21"/>
        </w:rPr>
        <w:t xml:space="preserve">本基金已出现连续60个工作日资产净值低于5000万元的情形。本基金管理人经与基金托管人兴业银行股份有限公司协商一致，提议本基金持续运作。 </w:t>
      </w:r>
    </w:p>
    <w:p w14:paraId="40FDABAD">
      <w:pPr>
        <w:pStyle w:val="4"/>
        <w:spacing w:before="0" w:beforeAutospacing="0" w:after="0" w:afterAutospacing="0" w:line="360" w:lineRule="auto"/>
        <w:ind w:firstLine="420"/>
        <w:jc w:val="both"/>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50B96848">
      <w:pPr>
        <w:pStyle w:val="4"/>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2ED14A98">
      <w:pPr>
        <w:adjustRightInd w:val="0"/>
        <w:snapToGrid w:val="0"/>
        <w:spacing w:line="360" w:lineRule="auto"/>
        <w:rPr>
          <w:rFonts w:ascii="宋体" w:hAnsi="宋体" w:cs="宋体"/>
          <w:color w:val="000000"/>
          <w:szCs w:val="21"/>
        </w:rPr>
      </w:pPr>
      <w:bookmarkStart w:id="0" w:name="_GoBack"/>
      <w:bookmarkEnd w:id="0"/>
    </w:p>
    <w:p w14:paraId="363DAACF">
      <w:pPr>
        <w:adjustRightInd w:val="0"/>
        <w:snapToGrid w:val="0"/>
        <w:spacing w:line="360" w:lineRule="auto"/>
        <w:ind w:left="3220" w:firstLine="105" w:firstLineChars="50"/>
        <w:rPr>
          <w:rFonts w:ascii="宋体" w:hAnsi="宋体" w:cs="宋体"/>
          <w:szCs w:val="21"/>
        </w:rPr>
      </w:pPr>
    </w:p>
    <w:p w14:paraId="77648427">
      <w:pPr>
        <w:adjustRightInd w:val="0"/>
        <w:snapToGrid w:val="0"/>
        <w:spacing w:line="360" w:lineRule="auto"/>
        <w:ind w:left="3220" w:firstLine="105" w:firstLineChars="50"/>
        <w:rPr>
          <w:rFonts w:ascii="宋体" w:hAnsi="宋体" w:cs="宋体"/>
          <w:szCs w:val="21"/>
        </w:rPr>
      </w:pPr>
    </w:p>
    <w:p w14:paraId="1C140B85">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BD33821">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2026年5月29日</w:t>
      </w:r>
      <w:r>
        <w:rPr>
          <w:rStyle w:val="10"/>
          <w:rFonts w:hint="eastAsia" w:ascii="宋体" w:hAnsi="宋体" w:cs="宋体"/>
          <w:szCs w:val="21"/>
        </w:rPr>
        <w:br w:type="page"/>
      </w:r>
    </w:p>
    <w:p w14:paraId="4696C90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4308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451FB41">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博时裕嘉纯债</w:t>
            </w:r>
            <w:r>
              <w:rPr>
                <w:rFonts w:ascii="宋体" w:hAnsi="宋体" w:cs="宋体"/>
                <w:color w:val="000000"/>
                <w:sz w:val="21"/>
                <w:szCs w:val="21"/>
                <w:lang w:val="en-US"/>
              </w:rPr>
              <w:t>3个月定期开放债券型发起式证券投资基金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03AB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2487A58E">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1489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6115D424">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0F95A042">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3536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7047D06C">
            <w:pPr>
              <w:adjustRightInd w:val="0"/>
              <w:snapToGrid w:val="0"/>
              <w:spacing w:line="360" w:lineRule="auto"/>
              <w:rPr>
                <w:rFonts w:ascii="宋体" w:hAnsi="宋体" w:cs="宋体"/>
                <w:szCs w:val="21"/>
              </w:rPr>
            </w:pPr>
          </w:p>
        </w:tc>
        <w:tc>
          <w:tcPr>
            <w:tcW w:w="3975" w:type="dxa"/>
            <w:gridSpan w:val="3"/>
            <w:tcBorders>
              <w:bottom w:val="nil"/>
            </w:tcBorders>
          </w:tcPr>
          <w:p w14:paraId="350F7287">
            <w:pPr>
              <w:adjustRightInd w:val="0"/>
              <w:snapToGrid w:val="0"/>
              <w:spacing w:line="360" w:lineRule="auto"/>
              <w:ind w:left="807"/>
              <w:rPr>
                <w:rFonts w:ascii="宋体" w:hAnsi="宋体" w:cs="宋体"/>
                <w:szCs w:val="21"/>
              </w:rPr>
            </w:pPr>
          </w:p>
        </w:tc>
      </w:tr>
      <w:tr w14:paraId="1CB4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3F8B75E2">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4B65B68A">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239E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92E66FE">
            <w:pPr>
              <w:adjustRightInd w:val="0"/>
              <w:snapToGrid w:val="0"/>
              <w:spacing w:line="360" w:lineRule="auto"/>
              <w:rPr>
                <w:rFonts w:ascii="宋体" w:hAnsi="宋体" w:cs="宋体"/>
                <w:szCs w:val="21"/>
              </w:rPr>
            </w:pPr>
          </w:p>
        </w:tc>
        <w:tc>
          <w:tcPr>
            <w:tcW w:w="3975" w:type="dxa"/>
            <w:gridSpan w:val="3"/>
            <w:tcBorders>
              <w:bottom w:val="nil"/>
            </w:tcBorders>
          </w:tcPr>
          <w:p w14:paraId="599F033D">
            <w:pPr>
              <w:adjustRightInd w:val="0"/>
              <w:snapToGrid w:val="0"/>
              <w:spacing w:line="360" w:lineRule="auto"/>
              <w:ind w:left="807"/>
              <w:rPr>
                <w:rFonts w:ascii="宋体" w:hAnsi="宋体" w:cs="宋体"/>
                <w:szCs w:val="21"/>
              </w:rPr>
            </w:pPr>
          </w:p>
        </w:tc>
      </w:tr>
      <w:tr w14:paraId="0D259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4D11064">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4787858A">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55A02C4E">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3B8411AD">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03784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5CBAD52C">
            <w:pPr>
              <w:pStyle w:val="4"/>
              <w:adjustRightInd w:val="0"/>
              <w:snapToGrid w:val="0"/>
              <w:spacing w:line="360" w:lineRule="auto"/>
              <w:jc w:val="both"/>
              <w:rPr>
                <w:sz w:val="21"/>
                <w:szCs w:val="21"/>
              </w:rPr>
            </w:pPr>
            <w:r>
              <w:rPr>
                <w:rFonts w:hint="eastAsia"/>
                <w:b/>
                <w:bCs/>
                <w:color w:val="000000"/>
                <w:sz w:val="21"/>
                <w:szCs w:val="21"/>
              </w:rPr>
              <w:t>《关于博时裕嘉纯债</w:t>
            </w:r>
            <w:r>
              <w:rPr>
                <w:b/>
                <w:bCs/>
                <w:color w:val="000000"/>
                <w:sz w:val="21"/>
                <w:szCs w:val="21"/>
              </w:rPr>
              <w:t>3个月定期开放债券型发起式证券投资基金持续运作的议案</w:t>
            </w:r>
            <w:r>
              <w:rPr>
                <w:rFonts w:hint="eastAsia"/>
                <w:b/>
                <w:bCs/>
                <w:color w:val="000000"/>
                <w:sz w:val="21"/>
                <w:szCs w:val="21"/>
              </w:rPr>
              <w:t>》</w:t>
            </w:r>
          </w:p>
        </w:tc>
        <w:tc>
          <w:tcPr>
            <w:tcW w:w="1260" w:type="dxa"/>
          </w:tcPr>
          <w:p w14:paraId="6C5DD8BE">
            <w:pPr>
              <w:adjustRightInd w:val="0"/>
              <w:snapToGrid w:val="0"/>
              <w:spacing w:line="360" w:lineRule="auto"/>
              <w:rPr>
                <w:rFonts w:ascii="宋体" w:hAnsi="宋体" w:cs="宋体"/>
                <w:szCs w:val="21"/>
              </w:rPr>
            </w:pPr>
          </w:p>
          <w:p w14:paraId="6E10967A">
            <w:pPr>
              <w:adjustRightInd w:val="0"/>
              <w:snapToGrid w:val="0"/>
              <w:spacing w:line="360" w:lineRule="auto"/>
              <w:rPr>
                <w:rFonts w:ascii="宋体" w:hAnsi="宋体" w:cs="宋体"/>
                <w:szCs w:val="21"/>
              </w:rPr>
            </w:pPr>
          </w:p>
        </w:tc>
        <w:tc>
          <w:tcPr>
            <w:tcW w:w="1260" w:type="dxa"/>
          </w:tcPr>
          <w:p w14:paraId="60063CED">
            <w:pPr>
              <w:adjustRightInd w:val="0"/>
              <w:snapToGrid w:val="0"/>
              <w:spacing w:line="360" w:lineRule="auto"/>
              <w:rPr>
                <w:rFonts w:ascii="宋体" w:hAnsi="宋体" w:cs="宋体"/>
                <w:szCs w:val="21"/>
              </w:rPr>
            </w:pPr>
          </w:p>
          <w:p w14:paraId="423C8417">
            <w:pPr>
              <w:adjustRightInd w:val="0"/>
              <w:snapToGrid w:val="0"/>
              <w:spacing w:line="360" w:lineRule="auto"/>
              <w:rPr>
                <w:rFonts w:ascii="宋体" w:hAnsi="宋体" w:cs="宋体"/>
                <w:szCs w:val="21"/>
              </w:rPr>
            </w:pPr>
          </w:p>
        </w:tc>
        <w:tc>
          <w:tcPr>
            <w:tcW w:w="1455" w:type="dxa"/>
          </w:tcPr>
          <w:p w14:paraId="20613EB8">
            <w:pPr>
              <w:adjustRightInd w:val="0"/>
              <w:snapToGrid w:val="0"/>
              <w:spacing w:line="360" w:lineRule="auto"/>
              <w:rPr>
                <w:rFonts w:ascii="宋体" w:hAnsi="宋体" w:cs="宋体"/>
                <w:szCs w:val="21"/>
              </w:rPr>
            </w:pPr>
          </w:p>
          <w:p w14:paraId="46124F24">
            <w:pPr>
              <w:adjustRightInd w:val="0"/>
              <w:snapToGrid w:val="0"/>
              <w:spacing w:line="360" w:lineRule="auto"/>
              <w:rPr>
                <w:rFonts w:ascii="宋体" w:hAnsi="宋体" w:cs="宋体"/>
                <w:szCs w:val="21"/>
              </w:rPr>
            </w:pPr>
          </w:p>
        </w:tc>
      </w:tr>
      <w:tr w14:paraId="6300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670AAA1A">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253F8886">
            <w:pPr>
              <w:adjustRightInd w:val="0"/>
              <w:snapToGrid w:val="0"/>
              <w:spacing w:line="360" w:lineRule="auto"/>
              <w:rPr>
                <w:rFonts w:ascii="宋体" w:hAnsi="宋体" w:cs="宋体"/>
                <w:szCs w:val="21"/>
              </w:rPr>
            </w:pPr>
          </w:p>
          <w:p w14:paraId="4D400023">
            <w:pPr>
              <w:adjustRightInd w:val="0"/>
              <w:snapToGrid w:val="0"/>
              <w:spacing w:line="360" w:lineRule="auto"/>
              <w:rPr>
                <w:rFonts w:ascii="宋体" w:hAnsi="宋体" w:cs="宋体"/>
                <w:szCs w:val="21"/>
              </w:rPr>
            </w:pPr>
          </w:p>
          <w:p w14:paraId="5F898DFD">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1E5D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3F9A5669">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16C3C6EE">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7FACC9CF">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11D1FBD1">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3137EDDF">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5BF8A32C">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27FD524">
      <w:pPr>
        <w:adjustRightInd w:val="0"/>
        <w:snapToGrid w:val="0"/>
        <w:spacing w:line="360" w:lineRule="auto"/>
        <w:ind w:firstLine="480"/>
        <w:rPr>
          <w:rFonts w:ascii="宋体" w:hAnsi="宋体" w:cs="宋体"/>
        </w:rPr>
      </w:pPr>
    </w:p>
    <w:p w14:paraId="333391CD">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博时裕嘉纯债</w:t>
      </w:r>
      <w:r>
        <w:rPr>
          <w:rFonts w:ascii="宋体" w:hAnsi="宋体" w:cs="宋体"/>
          <w:color w:val="000000"/>
          <w:szCs w:val="21"/>
        </w:rPr>
        <w:t>3个月定期开放债券型发起式证券投资基金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博时裕嘉纯债</w:t>
      </w:r>
      <w:r>
        <w:rPr>
          <w:rFonts w:ascii="宋体" w:hAnsi="宋体" w:cs="宋体"/>
          <w:color w:val="000000"/>
          <w:szCs w:val="21"/>
        </w:rPr>
        <w:t>3个月定期开放债券型发起式证券投资基金</w:t>
      </w:r>
      <w:r>
        <w:rPr>
          <w:rFonts w:hint="eastAsia" w:ascii="宋体" w:hAnsi="宋体" w:cs="宋体"/>
          <w:szCs w:val="21"/>
        </w:rPr>
        <w:t>二次召集审议相同议案的基金份额持有人大会的，除有新的授权外，本授权继续有效。</w:t>
      </w:r>
    </w:p>
    <w:p w14:paraId="580028B5">
      <w:pPr>
        <w:adjustRightInd w:val="0"/>
        <w:snapToGrid w:val="0"/>
        <w:spacing w:line="360" w:lineRule="auto"/>
        <w:ind w:firstLine="480"/>
        <w:rPr>
          <w:rFonts w:ascii="宋体" w:hAnsi="宋体" w:cs="宋体"/>
          <w:szCs w:val="21"/>
        </w:rPr>
      </w:pPr>
    </w:p>
    <w:p w14:paraId="2D7681AE">
      <w:pPr>
        <w:adjustRightInd w:val="0"/>
        <w:snapToGrid w:val="0"/>
        <w:spacing w:line="360" w:lineRule="auto"/>
        <w:ind w:firstLine="480"/>
        <w:rPr>
          <w:rFonts w:ascii="宋体" w:hAnsi="宋体" w:cs="宋体"/>
          <w:szCs w:val="21"/>
        </w:rPr>
      </w:pPr>
    </w:p>
    <w:p w14:paraId="0AAC6EA5">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6B382E86">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488D7F59">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2C7F61EC">
      <w:pPr>
        <w:adjustRightInd w:val="0"/>
        <w:snapToGrid w:val="0"/>
        <w:spacing w:line="360" w:lineRule="auto"/>
        <w:rPr>
          <w:rFonts w:ascii="宋体" w:hAnsi="宋体" w:cs="宋体"/>
          <w:szCs w:val="21"/>
        </w:rPr>
      </w:pPr>
    </w:p>
    <w:p w14:paraId="0A063857">
      <w:pPr>
        <w:adjustRightInd w:val="0"/>
        <w:snapToGrid w:val="0"/>
        <w:spacing w:line="360" w:lineRule="auto"/>
        <w:ind w:firstLine="5040"/>
        <w:rPr>
          <w:rFonts w:ascii="宋体" w:hAnsi="宋体" w:cs="宋体"/>
          <w:szCs w:val="21"/>
        </w:rPr>
      </w:pPr>
    </w:p>
    <w:p w14:paraId="6EAD1B98">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773581DE">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3A10EE18">
      <w:pPr>
        <w:adjustRightInd w:val="0"/>
        <w:snapToGrid w:val="0"/>
        <w:spacing w:line="360" w:lineRule="auto"/>
        <w:ind w:firstLine="5040"/>
        <w:rPr>
          <w:rFonts w:ascii="宋体" w:hAnsi="宋体" w:cs="宋体"/>
          <w:szCs w:val="21"/>
        </w:rPr>
      </w:pPr>
    </w:p>
    <w:p w14:paraId="1D7F3136">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307A2D95">
      <w:pPr>
        <w:adjustRightInd w:val="0"/>
        <w:snapToGrid w:val="0"/>
        <w:spacing w:line="360" w:lineRule="auto"/>
        <w:jc w:val="center"/>
        <w:rPr>
          <w:rFonts w:ascii="宋体" w:hAnsi="宋体" w:cs="宋体"/>
          <w:szCs w:val="21"/>
        </w:rPr>
      </w:pPr>
    </w:p>
    <w:p w14:paraId="73EF9F37">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7612BEA7">
      <w:pPr>
        <w:adjustRightInd w:val="0"/>
        <w:snapToGrid w:val="0"/>
        <w:spacing w:line="360" w:lineRule="auto"/>
        <w:rPr>
          <w:rFonts w:ascii="宋体" w:hAnsi="宋体" w:cs="宋体"/>
          <w:szCs w:val="21"/>
        </w:rPr>
      </w:pPr>
    </w:p>
    <w:p w14:paraId="682201AA">
      <w:pPr>
        <w:adjustRightInd w:val="0"/>
        <w:snapToGrid w:val="0"/>
        <w:spacing w:line="360" w:lineRule="auto"/>
        <w:rPr>
          <w:rFonts w:ascii="宋体" w:hAnsi="宋体" w:cs="宋体"/>
          <w:szCs w:val="21"/>
        </w:rPr>
      </w:pPr>
    </w:p>
    <w:p w14:paraId="2C06E838">
      <w:pPr>
        <w:adjustRightInd w:val="0"/>
        <w:snapToGrid w:val="0"/>
        <w:spacing w:line="360" w:lineRule="auto"/>
        <w:rPr>
          <w:rFonts w:ascii="宋体" w:hAnsi="宋体" w:cs="宋体"/>
          <w:szCs w:val="21"/>
        </w:rPr>
      </w:pPr>
      <w:r>
        <w:rPr>
          <w:rFonts w:hint="eastAsia" w:ascii="宋体" w:hAnsi="宋体" w:cs="宋体"/>
          <w:szCs w:val="21"/>
        </w:rPr>
        <w:t>附注：</w:t>
      </w:r>
    </w:p>
    <w:p w14:paraId="1DB87316">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4770CF9C">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02C5EB7">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534D0D0D">
      <w:pPr>
        <w:rPr>
          <w:rFonts w:ascii="宋体" w:hAnsi="宋体" w:cs="宋体"/>
          <w:color w:val="000000"/>
          <w:szCs w:val="21"/>
        </w:rPr>
      </w:pPr>
    </w:p>
    <w:p w14:paraId="0E5ED887">
      <w:pPr>
        <w:pStyle w:val="4"/>
        <w:spacing w:before="0" w:beforeAutospacing="0" w:after="0" w:afterAutospacing="0" w:line="360" w:lineRule="auto"/>
        <w:ind w:firstLine="420"/>
        <w:jc w:val="right"/>
        <w:rPr>
          <w:sz w:val="21"/>
          <w:szCs w:val="21"/>
        </w:rPr>
      </w:pPr>
    </w:p>
    <w:p w14:paraId="14A84F81">
      <w:pPr>
        <w:pStyle w:val="4"/>
        <w:spacing w:before="0" w:beforeAutospacing="0" w:after="0" w:afterAutospacing="0" w:line="360" w:lineRule="auto"/>
        <w:ind w:firstLine="420"/>
        <w:jc w:val="right"/>
        <w:rPr>
          <w:sz w:val="21"/>
          <w:szCs w:val="21"/>
        </w:rPr>
      </w:pPr>
    </w:p>
    <w:p w14:paraId="6C7A3033">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3B"/>
    <w:rsid w:val="002A743B"/>
    <w:rsid w:val="008533EA"/>
    <w:rsid w:val="1D5A51AF"/>
    <w:rsid w:val="1DC21A5A"/>
    <w:rsid w:val="676B0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10</Pages>
  <Words>1127</Words>
  <Characters>6429</Characters>
  <Lines>53</Lines>
  <Paragraphs>15</Paragraphs>
  <TotalTime>0</TotalTime>
  <ScaleCrop>false</ScaleCrop>
  <LinksUpToDate>false</LinksUpToDate>
  <CharactersWithSpaces>7541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2026-05-21T05:36:00Z</dcterms:created>
  <dc:creator>BSKMadminDev</dc:creator>
  <cp:lastModifiedBy>fuxj</cp:lastModifiedBy>
  <dcterms:modified xsi:type="dcterms:W3CDTF">2026-05-28T07:08:11Z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346318855D9B4758AF13D15AAB263E58_12</vt:lpwstr>
  </property>
</Properties>
</file>