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F4615F">
      <w:pPr>
        <w:spacing w:line="360" w:lineRule="auto"/>
        <w:jc w:val="center"/>
        <w:rPr>
          <w:rFonts w:ascii="宋体" w:hAnsi="宋体"/>
          <w:b/>
          <w:color w:val="auto"/>
          <w:szCs w:val="21"/>
          <w:highlight w:val="none"/>
        </w:rPr>
      </w:pPr>
      <w:bookmarkStart w:id="0" w:name="_Toc361324840"/>
    </w:p>
    <w:p w14:paraId="3F805E17">
      <w:pPr>
        <w:spacing w:line="360" w:lineRule="auto"/>
        <w:jc w:val="center"/>
        <w:rPr>
          <w:rFonts w:ascii="宋体" w:hAnsi="宋体"/>
          <w:b/>
          <w:color w:val="auto"/>
          <w:szCs w:val="21"/>
          <w:highlight w:val="none"/>
        </w:rPr>
      </w:pPr>
    </w:p>
    <w:bookmarkEnd w:id="0"/>
    <w:p w14:paraId="56C371AE">
      <w:pPr>
        <w:spacing w:line="360" w:lineRule="auto"/>
        <w:jc w:val="center"/>
        <w:rPr>
          <w:rFonts w:ascii="宋体" w:hAnsi="宋体"/>
          <w:b/>
          <w:color w:val="auto"/>
          <w:sz w:val="52"/>
          <w:szCs w:val="52"/>
          <w:highlight w:val="none"/>
        </w:rPr>
      </w:pPr>
      <w:bookmarkStart w:id="1" w:name="_Toc361324841"/>
      <w:r>
        <w:rPr>
          <w:rFonts w:hint="eastAsia" w:ascii="宋体" w:hAnsi="宋体" w:eastAsia="宋体" w:cs="宋体"/>
          <w:b/>
          <w:bCs w:val="0"/>
          <w:color w:val="auto"/>
          <w:sz w:val="52"/>
          <w:szCs w:val="52"/>
          <w:highlight w:val="none"/>
        </w:rPr>
        <w:t>博时富顺纯债债券型证券投资基金</w:t>
      </w:r>
      <w:bookmarkEnd w:id="1"/>
      <w:r>
        <w:rPr>
          <w:rFonts w:ascii="宋体" w:hAnsi="宋体" w:eastAsia="宋体" w:cs="宋体"/>
          <w:b/>
          <w:color w:val="auto"/>
          <w:sz w:val="52"/>
          <w:u w:val="none"/>
        </w:rPr>
        <w:t>清算报告</w:t>
      </w:r>
    </w:p>
    <w:p w14:paraId="7A72608F">
      <w:pPr>
        <w:rPr>
          <w:rFonts w:ascii="宋体" w:hAnsi="宋体"/>
          <w:color w:val="auto"/>
          <w:szCs w:val="21"/>
          <w:highlight w:val="none"/>
        </w:rPr>
      </w:pPr>
    </w:p>
    <w:p w14:paraId="10D40F83">
      <w:pPr>
        <w:rPr>
          <w:rFonts w:ascii="宋体" w:hAnsi="宋体"/>
          <w:color w:val="auto"/>
          <w:szCs w:val="21"/>
          <w:highlight w:val="none"/>
        </w:rPr>
      </w:pPr>
    </w:p>
    <w:p w14:paraId="68228559">
      <w:pPr>
        <w:rPr>
          <w:rFonts w:ascii="宋体" w:hAnsi="宋体"/>
          <w:color w:val="auto"/>
          <w:szCs w:val="21"/>
          <w:highlight w:val="none"/>
        </w:rPr>
      </w:pPr>
    </w:p>
    <w:p w14:paraId="6FAFB406">
      <w:pPr>
        <w:rPr>
          <w:rFonts w:ascii="宋体" w:hAnsi="宋体"/>
          <w:color w:val="auto"/>
          <w:szCs w:val="21"/>
          <w:highlight w:val="none"/>
        </w:rPr>
      </w:pPr>
    </w:p>
    <w:p w14:paraId="4273CFFD">
      <w:pPr>
        <w:rPr>
          <w:rFonts w:ascii="宋体" w:hAnsi="宋体"/>
          <w:color w:val="auto"/>
          <w:szCs w:val="21"/>
          <w:highlight w:val="none"/>
        </w:rPr>
      </w:pPr>
    </w:p>
    <w:p w14:paraId="5F349701">
      <w:pPr>
        <w:rPr>
          <w:rFonts w:ascii="宋体" w:hAnsi="宋体"/>
          <w:color w:val="auto"/>
          <w:szCs w:val="21"/>
          <w:highlight w:val="none"/>
        </w:rPr>
      </w:pPr>
    </w:p>
    <w:p w14:paraId="41C22DA4">
      <w:pPr>
        <w:rPr>
          <w:rFonts w:ascii="宋体" w:hAnsi="宋体"/>
          <w:color w:val="auto"/>
          <w:szCs w:val="21"/>
          <w:highlight w:val="none"/>
        </w:rPr>
      </w:pPr>
    </w:p>
    <w:p w14:paraId="4A528F65">
      <w:pPr>
        <w:rPr>
          <w:rFonts w:ascii="宋体" w:hAnsi="宋体"/>
          <w:color w:val="auto"/>
          <w:szCs w:val="21"/>
          <w:highlight w:val="none"/>
        </w:rPr>
      </w:pPr>
    </w:p>
    <w:p w14:paraId="0D13BEB7">
      <w:pPr>
        <w:rPr>
          <w:rFonts w:ascii="宋体" w:hAnsi="宋体"/>
          <w:color w:val="auto"/>
          <w:szCs w:val="21"/>
          <w:highlight w:val="none"/>
        </w:rPr>
      </w:pPr>
    </w:p>
    <w:p w14:paraId="07CD515C">
      <w:pPr>
        <w:rPr>
          <w:rFonts w:ascii="宋体" w:hAnsi="宋体"/>
          <w:color w:val="auto"/>
          <w:szCs w:val="21"/>
          <w:highlight w:val="none"/>
        </w:rPr>
      </w:pPr>
    </w:p>
    <w:p w14:paraId="61456DD0">
      <w:pPr>
        <w:rPr>
          <w:rFonts w:ascii="宋体" w:hAnsi="宋体"/>
          <w:color w:val="auto"/>
          <w:szCs w:val="21"/>
          <w:highlight w:val="none"/>
        </w:rPr>
      </w:pPr>
    </w:p>
    <w:p w14:paraId="03323F0E">
      <w:pPr>
        <w:spacing w:line="360" w:lineRule="auto"/>
        <w:jc w:val="center"/>
        <w:rPr>
          <w:rFonts w:ascii="宋体" w:hAnsi="宋体"/>
          <w:b/>
          <w:color w:val="auto"/>
          <w:sz w:val="36"/>
          <w:szCs w:val="36"/>
          <w:highlight w:val="none"/>
        </w:rPr>
      </w:pPr>
      <w:r>
        <w:rPr>
          <w:rFonts w:ascii="宋体" w:hAnsi="宋体"/>
          <w:b/>
          <w:color w:val="auto"/>
          <w:sz w:val="36"/>
          <w:szCs w:val="36"/>
          <w:highlight w:val="none"/>
        </w:rPr>
        <w:t>基金管理人：博时基金管理有限公司</w:t>
      </w:r>
    </w:p>
    <w:p w14:paraId="1EE5636F">
      <w:pPr>
        <w:spacing w:line="360" w:lineRule="auto"/>
        <w:jc w:val="center"/>
        <w:rPr>
          <w:rFonts w:ascii="宋体" w:hAnsi="宋体"/>
          <w:b/>
          <w:color w:val="auto"/>
          <w:sz w:val="36"/>
          <w:szCs w:val="36"/>
          <w:highlight w:val="none"/>
        </w:rPr>
      </w:pPr>
      <w:r>
        <w:rPr>
          <w:rFonts w:ascii="宋体" w:hAnsi="宋体"/>
          <w:b/>
          <w:color w:val="auto"/>
          <w:sz w:val="36"/>
          <w:szCs w:val="36"/>
          <w:highlight w:val="none"/>
        </w:rPr>
        <w:t>基金托管人：</w:t>
      </w:r>
      <w:r>
        <w:rPr>
          <w:rFonts w:hint="eastAsia" w:ascii="宋体" w:hAnsi="宋体"/>
          <w:b/>
          <w:color w:val="auto"/>
          <w:sz w:val="36"/>
          <w:szCs w:val="36"/>
          <w:highlight w:val="none"/>
          <w:lang w:val="en-US" w:eastAsia="zh-CN"/>
        </w:rPr>
        <w:t>杭州银行股份有限公司</w:t>
      </w:r>
    </w:p>
    <w:p w14:paraId="77931A95">
      <w:pPr>
        <w:spacing w:line="360" w:lineRule="auto"/>
        <w:jc w:val="center"/>
        <w:rPr>
          <w:rFonts w:ascii="宋体" w:hAnsi="宋体"/>
          <w:b/>
          <w:color w:val="auto"/>
          <w:sz w:val="36"/>
          <w:szCs w:val="36"/>
          <w:highlight w:val="none"/>
        </w:rPr>
      </w:pPr>
      <w:r>
        <w:rPr>
          <w:rFonts w:ascii="宋体" w:hAnsi="宋体"/>
          <w:b/>
          <w:color w:val="auto"/>
          <w:sz w:val="36"/>
          <w:szCs w:val="36"/>
          <w:highlight w:val="none"/>
        </w:rPr>
        <w:t>报告</w:t>
      </w:r>
      <w:r>
        <w:rPr>
          <w:rFonts w:hint="eastAsia" w:ascii="宋体" w:hAnsi="宋体"/>
          <w:b/>
          <w:color w:val="auto"/>
          <w:sz w:val="36"/>
          <w:szCs w:val="36"/>
          <w:highlight w:val="none"/>
        </w:rPr>
        <w:t>出具</w:t>
      </w:r>
      <w:r>
        <w:rPr>
          <w:rFonts w:ascii="宋体" w:hAnsi="宋体"/>
          <w:b/>
          <w:color w:val="auto"/>
          <w:sz w:val="36"/>
          <w:szCs w:val="36"/>
          <w:highlight w:val="none"/>
        </w:rPr>
        <w:t>日期：</w:t>
      </w:r>
      <w:r>
        <w:rPr>
          <w:rFonts w:hint="eastAsia" w:ascii="宋体" w:hAnsi="宋体"/>
          <w:b/>
          <w:color w:val="auto"/>
          <w:sz w:val="36"/>
          <w:szCs w:val="36"/>
          <w:highlight w:val="none"/>
          <w:lang w:val="en-US" w:eastAsia="zh-CN"/>
        </w:rPr>
        <w:t>二〇二六年八月五日</w:t>
      </w:r>
    </w:p>
    <w:p w14:paraId="43B7C36D">
      <w:pPr>
        <w:spacing w:line="360" w:lineRule="auto"/>
        <w:jc w:val="center"/>
        <w:rPr>
          <w:rFonts w:ascii="宋体" w:hAnsi="宋体"/>
          <w:b/>
          <w:color w:val="auto"/>
          <w:sz w:val="36"/>
          <w:szCs w:val="36"/>
          <w:highlight w:val="none"/>
        </w:rPr>
      </w:pPr>
      <w:r>
        <w:rPr>
          <w:rFonts w:hint="eastAsia" w:ascii="宋体" w:hAnsi="宋体"/>
          <w:b/>
          <w:color w:val="auto"/>
          <w:sz w:val="36"/>
          <w:szCs w:val="36"/>
          <w:highlight w:val="none"/>
        </w:rPr>
        <w:t>报告公告日期：</w:t>
      </w:r>
      <w:r>
        <w:rPr>
          <w:rFonts w:hint="eastAsia" w:ascii="宋体" w:hAnsi="宋体"/>
          <w:b/>
          <w:color w:val="auto"/>
          <w:sz w:val="36"/>
          <w:szCs w:val="36"/>
          <w:highlight w:val="none"/>
          <w:lang w:val="en-US" w:eastAsia="zh-CN"/>
        </w:rPr>
        <w:t>二〇二六年九月四日</w:t>
      </w:r>
    </w:p>
    <w:p w14:paraId="243EFFDC">
      <w:pPr>
        <w:spacing w:line="360" w:lineRule="auto"/>
        <w:jc w:val="center"/>
        <w:rPr>
          <w:rFonts w:ascii="宋体" w:hAnsi="宋体"/>
          <w:b/>
          <w:color w:val="auto"/>
          <w:sz w:val="36"/>
          <w:szCs w:val="36"/>
          <w:highlight w:val="none"/>
        </w:rPr>
      </w:pPr>
    </w:p>
    <w:p w14:paraId="322B8DC0">
      <w:pPr>
        <w:spacing w:line="360" w:lineRule="auto"/>
        <w:ind w:firstLine="1265" w:firstLineChars="350"/>
        <w:rPr>
          <w:rFonts w:ascii="宋体" w:hAnsi="宋体"/>
          <w:b/>
          <w:color w:val="auto"/>
          <w:sz w:val="36"/>
          <w:szCs w:val="36"/>
          <w:highlight w:val="none"/>
        </w:rPr>
        <w:sectPr>
          <w:headerReference r:id="rId3" w:type="default"/>
          <w:footerReference r:id="rId4" w:type="default"/>
          <w:pgSz w:w="11926" w:h="15840"/>
          <w:pgMar w:top="1418" w:right="1418" w:bottom="851" w:left="1418" w:header="851" w:footer="992" w:gutter="0"/>
          <w:pgNumType w:start="1"/>
          <w:cols w:space="720" w:num="1"/>
          <w:titlePg/>
          <w:docGrid w:linePitch="286" w:charSpace="0"/>
        </w:sectPr>
      </w:pPr>
    </w:p>
    <w:p w14:paraId="63E1D6CF">
      <w:pPr>
        <w:pStyle w:val="32"/>
        <w:jc w:val="center"/>
        <w:rPr>
          <w:color w:val="auto"/>
          <w:highlight w:val="none"/>
        </w:rPr>
      </w:pPr>
      <w:bookmarkStart w:id="2" w:name="_Toc484769794"/>
      <w:r>
        <w:rPr>
          <w:rFonts w:hint="eastAsia"/>
          <w:color w:val="auto"/>
          <w:highlight w:val="none"/>
          <w:lang w:val="zh-CN"/>
        </w:rPr>
        <w:t>目录</w:t>
      </w:r>
    </w:p>
    <w:p w14:paraId="2D09E2FD">
      <w:pPr>
        <w:pStyle w:val="9"/>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"_Toc491963077" </w:instrText>
      </w:r>
      <w:r>
        <w:rPr>
          <w:color w:val="auto"/>
          <w:highlight w:val="none"/>
        </w:rPr>
        <w:fldChar w:fldCharType="separate"/>
      </w:r>
      <w:r>
        <w:rPr>
          <w:rStyle w:val="15"/>
          <w:rFonts w:ascii="宋体" w:hAnsi="宋体"/>
          <w:b/>
          <w:color w:val="auto"/>
          <w:highlight w:val="none"/>
        </w:rPr>
        <w:t>1</w:t>
      </w:r>
      <w:r>
        <w:rPr>
          <w:rStyle w:val="15"/>
          <w:rFonts w:hint="eastAsia" w:ascii="宋体" w:hAnsi="宋体"/>
          <w:b/>
          <w:color w:val="auto"/>
          <w:highlight w:val="none"/>
        </w:rPr>
        <w:t>、重要提示</w:t>
      </w:r>
      <w:r>
        <w:rPr>
          <w:color w:val="auto"/>
          <w:highlight w:val="none"/>
        </w:rPr>
        <w:tab/>
      </w:r>
      <w:r>
        <w:rPr>
          <w:color w:val="auto"/>
          <w:highlight w:val="none"/>
        </w:rPr>
        <w:fldChar w:fldCharType="begin"/>
      </w:r>
      <w:r>
        <w:rPr>
          <w:color w:val="auto"/>
          <w:highlight w:val="none"/>
        </w:rPr>
        <w:instrText xml:space="preserve"> PAGEREF _Toc491963077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1D2275F6">
      <w:pPr>
        <w:pStyle w:val="10"/>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"_Toc491963078" </w:instrText>
      </w:r>
      <w:r>
        <w:rPr>
          <w:color w:val="auto"/>
          <w:highlight w:val="none"/>
        </w:rPr>
        <w:fldChar w:fldCharType="separate"/>
      </w:r>
      <w:r>
        <w:rPr>
          <w:rStyle w:val="15"/>
          <w:rFonts w:ascii="宋体" w:hAnsi="宋体"/>
          <w:color w:val="auto"/>
          <w:kern w:val="0"/>
          <w:highlight w:val="none"/>
        </w:rPr>
        <w:t xml:space="preserve">1.1 </w:t>
      </w:r>
      <w:r>
        <w:rPr>
          <w:rStyle w:val="15"/>
          <w:rFonts w:hint="eastAsia" w:ascii="宋体" w:hAnsi="宋体"/>
          <w:color w:val="auto"/>
          <w:kern w:val="0"/>
          <w:highlight w:val="none"/>
        </w:rPr>
        <w:t>重要提示</w:t>
      </w:r>
      <w:r>
        <w:rPr>
          <w:color w:val="auto"/>
          <w:highlight w:val="none"/>
        </w:rPr>
        <w:tab/>
      </w:r>
      <w:r>
        <w:rPr>
          <w:color w:val="auto"/>
          <w:highlight w:val="none"/>
        </w:rPr>
        <w:fldChar w:fldCharType="begin"/>
      </w:r>
      <w:r>
        <w:rPr>
          <w:color w:val="auto"/>
          <w:highlight w:val="none"/>
        </w:rPr>
        <w:instrText xml:space="preserve"> PAGEREF _Toc491963078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13C029DA">
      <w:pPr>
        <w:pStyle w:val="9"/>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"_Toc491963079" </w:instrText>
      </w:r>
      <w:r>
        <w:rPr>
          <w:color w:val="auto"/>
          <w:highlight w:val="none"/>
        </w:rPr>
        <w:fldChar w:fldCharType="separate"/>
      </w:r>
      <w:r>
        <w:rPr>
          <w:rStyle w:val="15"/>
          <w:rFonts w:ascii="宋体" w:hAnsi="宋体"/>
          <w:b/>
          <w:color w:val="auto"/>
          <w:highlight w:val="none"/>
        </w:rPr>
        <w:t>2</w:t>
      </w:r>
      <w:r>
        <w:rPr>
          <w:rStyle w:val="15"/>
          <w:rFonts w:hint="eastAsia" w:ascii="宋体" w:hAnsi="宋体"/>
          <w:b/>
          <w:color w:val="auto"/>
          <w:highlight w:val="none"/>
        </w:rPr>
        <w:t>、基金概况</w:t>
      </w:r>
      <w:r>
        <w:rPr>
          <w:color w:val="auto"/>
          <w:highlight w:val="none"/>
        </w:rPr>
        <w:tab/>
      </w:r>
      <w:r>
        <w:rPr>
          <w:color w:val="auto"/>
          <w:highlight w:val="none"/>
        </w:rPr>
        <w:fldChar w:fldCharType="begin"/>
      </w:r>
      <w:r>
        <w:rPr>
          <w:color w:val="auto"/>
          <w:highlight w:val="none"/>
        </w:rPr>
        <w:instrText xml:space="preserve"> PAGEREF _Toc491963079 \h </w:instrText>
      </w:r>
      <w:r>
        <w:rPr>
          <w:color w:val="auto"/>
          <w:highlight w:val="none"/>
        </w:rPr>
        <w:fldChar w:fldCharType="separate"/>
      </w:r>
      <w:r>
        <w:rPr>
          <w:color w:val="auto"/>
          <w:highlight w:val="none"/>
        </w:rPr>
        <w:t>2</w:t>
      </w:r>
      <w:r>
        <w:rPr>
          <w:color w:val="auto"/>
          <w:highlight w:val="none"/>
        </w:rPr>
        <w:fldChar w:fldCharType="end"/>
      </w:r>
      <w:r>
        <w:rPr>
          <w:color w:val="auto"/>
          <w:highlight w:val="none"/>
        </w:rPr>
        <w:fldChar w:fldCharType="end"/>
      </w:r>
    </w:p>
    <w:p w14:paraId="49C06BE9">
      <w:pPr>
        <w:pStyle w:val="10"/>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"_Toc491963080" </w:instrText>
      </w:r>
      <w:r>
        <w:rPr>
          <w:color w:val="auto"/>
          <w:highlight w:val="none"/>
        </w:rPr>
        <w:fldChar w:fldCharType="separate"/>
      </w:r>
      <w:r>
        <w:rPr>
          <w:rStyle w:val="15"/>
          <w:rFonts w:ascii="宋体" w:hAnsi="宋体"/>
          <w:color w:val="auto"/>
          <w:kern w:val="0"/>
          <w:highlight w:val="none"/>
        </w:rPr>
        <w:t xml:space="preserve">2.1 </w:t>
      </w:r>
      <w:r>
        <w:rPr>
          <w:rStyle w:val="15"/>
          <w:rFonts w:hint="eastAsia" w:ascii="宋体" w:hAnsi="宋体"/>
          <w:color w:val="auto"/>
          <w:kern w:val="0"/>
          <w:highlight w:val="none"/>
        </w:rPr>
        <w:t>基金基本情况</w:t>
      </w:r>
      <w:r>
        <w:rPr>
          <w:color w:val="auto"/>
          <w:highlight w:val="none"/>
        </w:rPr>
        <w:tab/>
      </w:r>
      <w:r>
        <w:rPr>
          <w:color w:val="auto"/>
          <w:highlight w:val="none"/>
        </w:rPr>
        <w:fldChar w:fldCharType="begin"/>
      </w:r>
      <w:r>
        <w:rPr>
          <w:color w:val="auto"/>
          <w:highlight w:val="none"/>
        </w:rPr>
        <w:instrText xml:space="preserve"> PAGEREF _Toc491963080 \h </w:instrText>
      </w:r>
      <w:r>
        <w:rPr>
          <w:color w:val="auto"/>
          <w:highlight w:val="none"/>
        </w:rPr>
        <w:fldChar w:fldCharType="separate"/>
      </w:r>
      <w:r>
        <w:rPr>
          <w:color w:val="auto"/>
          <w:highlight w:val="none"/>
        </w:rPr>
        <w:t>2</w:t>
      </w:r>
      <w:r>
        <w:rPr>
          <w:color w:val="auto"/>
          <w:highlight w:val="none"/>
        </w:rPr>
        <w:fldChar w:fldCharType="end"/>
      </w:r>
      <w:r>
        <w:rPr>
          <w:color w:val="auto"/>
          <w:highlight w:val="none"/>
        </w:rPr>
        <w:fldChar w:fldCharType="end"/>
      </w:r>
    </w:p>
    <w:p w14:paraId="325CC4D1">
      <w:pPr>
        <w:pStyle w:val="10"/>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"_Toc491963081" </w:instrText>
      </w:r>
      <w:r>
        <w:rPr>
          <w:color w:val="auto"/>
          <w:highlight w:val="none"/>
        </w:rPr>
        <w:fldChar w:fldCharType="separate"/>
      </w:r>
      <w:r>
        <w:rPr>
          <w:rStyle w:val="15"/>
          <w:rFonts w:ascii="宋体" w:hAnsi="宋体"/>
          <w:color w:val="auto"/>
          <w:highlight w:val="none"/>
        </w:rPr>
        <w:t xml:space="preserve">2.2 </w:t>
      </w:r>
      <w:r>
        <w:rPr>
          <w:rStyle w:val="15"/>
          <w:rFonts w:hint="eastAsia" w:ascii="宋体" w:hAnsi="宋体"/>
          <w:color w:val="auto"/>
          <w:highlight w:val="none"/>
        </w:rPr>
        <w:t>基金产品说明</w:t>
      </w:r>
      <w:r>
        <w:rPr>
          <w:color w:val="auto"/>
          <w:highlight w:val="none"/>
        </w:rPr>
        <w:tab/>
      </w:r>
      <w:r>
        <w:rPr>
          <w:color w:val="auto"/>
          <w:highlight w:val="none"/>
        </w:rPr>
        <w:fldChar w:fldCharType="begin"/>
      </w:r>
      <w:r>
        <w:rPr>
          <w:color w:val="auto"/>
          <w:highlight w:val="none"/>
        </w:rPr>
        <w:instrText xml:space="preserve"> PAGEREF _Toc491963081 \h </w:instrText>
      </w:r>
      <w:r>
        <w:rPr>
          <w:color w:val="auto"/>
          <w:highlight w:val="none"/>
        </w:rPr>
        <w:fldChar w:fldCharType="separate"/>
      </w:r>
      <w:r>
        <w:rPr>
          <w:color w:val="auto"/>
          <w:highlight w:val="none"/>
        </w:rPr>
        <w:t>2</w:t>
      </w:r>
      <w:r>
        <w:rPr>
          <w:color w:val="auto"/>
          <w:highlight w:val="none"/>
        </w:rPr>
        <w:fldChar w:fldCharType="end"/>
      </w:r>
      <w:r>
        <w:rPr>
          <w:color w:val="auto"/>
          <w:highlight w:val="none"/>
        </w:rPr>
        <w:fldChar w:fldCharType="end"/>
      </w:r>
    </w:p>
    <w:p w14:paraId="4CCAE9D5">
      <w:pPr>
        <w:pStyle w:val="9"/>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"_Toc491963082" </w:instrText>
      </w:r>
      <w:r>
        <w:rPr>
          <w:color w:val="auto"/>
          <w:highlight w:val="none"/>
        </w:rPr>
        <w:fldChar w:fldCharType="separate"/>
      </w:r>
      <w:r>
        <w:rPr>
          <w:rStyle w:val="15"/>
          <w:rFonts w:ascii="宋体" w:hAnsi="宋体"/>
          <w:b/>
          <w:color w:val="auto"/>
          <w:highlight w:val="none"/>
        </w:rPr>
        <w:t>3</w:t>
      </w:r>
      <w:r>
        <w:rPr>
          <w:rStyle w:val="15"/>
          <w:rFonts w:hint="eastAsia" w:ascii="宋体" w:hAnsi="宋体"/>
          <w:b/>
          <w:color w:val="auto"/>
          <w:highlight w:val="none"/>
        </w:rPr>
        <w:t>、基金运作情况说明</w:t>
      </w:r>
      <w:r>
        <w:rPr>
          <w:color w:val="auto"/>
          <w:highlight w:val="none"/>
        </w:rPr>
        <w:tab/>
      </w:r>
      <w:r>
        <w:rPr>
          <w:color w:val="auto"/>
          <w:highlight w:val="none"/>
        </w:rPr>
        <w:fldChar w:fldCharType="begin"/>
      </w:r>
      <w:r>
        <w:rPr>
          <w:color w:val="auto"/>
          <w:highlight w:val="none"/>
        </w:rPr>
        <w:instrText xml:space="preserve"> PAGEREF _Toc491963082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6C77721F">
      <w:pPr>
        <w:pStyle w:val="9"/>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"_Toc491963083" </w:instrText>
      </w:r>
      <w:r>
        <w:rPr>
          <w:color w:val="auto"/>
          <w:highlight w:val="none"/>
        </w:rPr>
        <w:fldChar w:fldCharType="separate"/>
      </w:r>
      <w:r>
        <w:rPr>
          <w:rStyle w:val="15"/>
          <w:rFonts w:ascii="宋体" w:hAnsi="宋体"/>
          <w:b/>
          <w:color w:val="auto"/>
          <w:highlight w:val="none"/>
        </w:rPr>
        <w:t>4</w:t>
      </w:r>
      <w:r>
        <w:rPr>
          <w:rStyle w:val="15"/>
          <w:rFonts w:hint="eastAsia" w:ascii="宋体" w:hAnsi="宋体"/>
          <w:b/>
          <w:color w:val="auto"/>
          <w:highlight w:val="none"/>
        </w:rPr>
        <w:t>、财务报告</w:t>
      </w:r>
      <w:r>
        <w:rPr>
          <w:color w:val="auto"/>
          <w:highlight w:val="none"/>
        </w:rPr>
        <w:tab/>
      </w:r>
      <w:r>
        <w:rPr>
          <w:color w:val="auto"/>
          <w:highlight w:val="none"/>
        </w:rPr>
        <w:fldChar w:fldCharType="begin"/>
      </w:r>
      <w:r>
        <w:rPr>
          <w:color w:val="auto"/>
          <w:highlight w:val="none"/>
        </w:rPr>
        <w:instrText xml:space="preserve"> PAGEREF _Toc491963083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78664BFC">
      <w:pPr>
        <w:pStyle w:val="10"/>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"_Toc491963084" </w:instrText>
      </w:r>
      <w:r>
        <w:rPr>
          <w:color w:val="auto"/>
          <w:highlight w:val="none"/>
        </w:rPr>
        <w:fldChar w:fldCharType="separate"/>
      </w:r>
      <w:r>
        <w:rPr>
          <w:rStyle w:val="15"/>
          <w:rFonts w:ascii="宋体" w:hAnsi="宋体"/>
          <w:color w:val="auto"/>
          <w:kern w:val="0"/>
          <w:highlight w:val="none"/>
        </w:rPr>
        <w:t xml:space="preserve">4.1 </w:t>
      </w:r>
      <w:r>
        <w:rPr>
          <w:rStyle w:val="15"/>
          <w:rFonts w:hint="eastAsia" w:ascii="宋体" w:hAnsi="宋体"/>
          <w:color w:val="auto"/>
          <w:kern w:val="0"/>
          <w:highlight w:val="none"/>
        </w:rPr>
        <w:t>资产负债表</w:t>
      </w:r>
      <w:r>
        <w:rPr>
          <w:rStyle w:val="15"/>
          <w:rFonts w:hint="eastAsia" w:ascii="宋体" w:hAnsi="宋体"/>
          <w:color w:val="auto"/>
          <w:kern w:val="0"/>
          <w:highlight w:val="none"/>
          <w:lang w:eastAsia="zh-CN"/>
        </w:rPr>
        <w:t>（已经审计）</w:t>
      </w:r>
      <w:r>
        <w:rPr>
          <w:color w:val="auto"/>
          <w:highlight w:val="none"/>
        </w:rPr>
        <w:tab/>
      </w:r>
      <w:r>
        <w:rPr>
          <w:color w:val="auto"/>
          <w:highlight w:val="none"/>
        </w:rPr>
        <w:fldChar w:fldCharType="begin"/>
      </w:r>
      <w:r>
        <w:rPr>
          <w:color w:val="auto"/>
          <w:highlight w:val="none"/>
        </w:rPr>
        <w:instrText xml:space="preserve"> PAGEREF _Toc491963084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38F6826E">
      <w:pPr>
        <w:pStyle w:val="10"/>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"_Toc491963085" </w:instrText>
      </w:r>
      <w:r>
        <w:rPr>
          <w:color w:val="auto"/>
          <w:highlight w:val="none"/>
        </w:rPr>
        <w:fldChar w:fldCharType="separate"/>
      </w:r>
      <w:r>
        <w:rPr>
          <w:rStyle w:val="15"/>
          <w:rFonts w:ascii="宋体" w:hAnsi="宋体"/>
          <w:color w:val="auto"/>
          <w:kern w:val="0"/>
          <w:highlight w:val="none"/>
        </w:rPr>
        <w:t xml:space="preserve">4.2 </w:t>
      </w:r>
      <w:r>
        <w:rPr>
          <w:rStyle w:val="15"/>
          <w:rFonts w:hint="eastAsia" w:ascii="宋体" w:hAnsi="宋体"/>
          <w:color w:val="auto"/>
          <w:kern w:val="0"/>
          <w:highlight w:val="none"/>
        </w:rPr>
        <w:t>清算损益表</w:t>
      </w:r>
      <w:r>
        <w:rPr>
          <w:color w:val="auto"/>
          <w:highlight w:val="none"/>
        </w:rPr>
        <w:tab/>
      </w:r>
      <w:r>
        <w:rPr>
          <w:color w:val="auto"/>
          <w:highlight w:val="none"/>
        </w:rPr>
        <w:fldChar w:fldCharType="begin"/>
      </w:r>
      <w:r>
        <w:rPr>
          <w:color w:val="auto"/>
          <w:highlight w:val="none"/>
        </w:rPr>
        <w:instrText xml:space="preserve"> PAGEREF _Toc491963085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11427DEF">
      <w:pPr>
        <w:pStyle w:val="10"/>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"_Toc491963086" </w:instrText>
      </w:r>
      <w:r>
        <w:rPr>
          <w:color w:val="auto"/>
          <w:highlight w:val="none"/>
        </w:rPr>
        <w:fldChar w:fldCharType="separate"/>
      </w:r>
      <w:r>
        <w:rPr>
          <w:rStyle w:val="15"/>
          <w:rFonts w:ascii="宋体" w:hAnsi="宋体"/>
          <w:color w:val="auto"/>
          <w:kern w:val="0"/>
          <w:highlight w:val="none"/>
        </w:rPr>
        <w:t xml:space="preserve">4.3 </w:t>
      </w:r>
      <w:r>
        <w:rPr>
          <w:rStyle w:val="15"/>
          <w:rFonts w:hint="eastAsia" w:ascii="宋体" w:hAnsi="宋体"/>
          <w:color w:val="auto"/>
          <w:kern w:val="0"/>
          <w:highlight w:val="none"/>
        </w:rPr>
        <w:t>报表附注</w:t>
      </w:r>
      <w:r>
        <w:rPr>
          <w:color w:val="auto"/>
          <w:highlight w:val="none"/>
        </w:rPr>
        <w:tab/>
      </w:r>
      <w:r>
        <w:rPr>
          <w:color w:val="auto"/>
          <w:highlight w:val="none"/>
        </w:rPr>
        <w:fldChar w:fldCharType="begin"/>
      </w:r>
      <w:r>
        <w:rPr>
          <w:color w:val="auto"/>
          <w:highlight w:val="none"/>
        </w:rPr>
        <w:instrText xml:space="preserve"> PAGEREF _Toc491963086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590B70E3">
      <w:pPr>
        <w:pStyle w:val="9"/>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"_Toc491963087" </w:instrText>
      </w:r>
      <w:r>
        <w:rPr>
          <w:color w:val="auto"/>
          <w:highlight w:val="none"/>
        </w:rPr>
        <w:fldChar w:fldCharType="separate"/>
      </w:r>
      <w:r>
        <w:rPr>
          <w:rStyle w:val="15"/>
          <w:rFonts w:ascii="宋体" w:hAnsi="宋体"/>
          <w:b/>
          <w:color w:val="auto"/>
          <w:highlight w:val="none"/>
        </w:rPr>
        <w:t>5</w:t>
      </w:r>
      <w:r>
        <w:rPr>
          <w:rStyle w:val="15"/>
          <w:rFonts w:hint="eastAsia" w:ascii="宋体" w:hAnsi="宋体"/>
          <w:b/>
          <w:color w:val="auto"/>
          <w:highlight w:val="none"/>
        </w:rPr>
        <w:t>、清算情况</w:t>
      </w:r>
      <w:r>
        <w:rPr>
          <w:color w:val="auto"/>
          <w:highlight w:val="none"/>
        </w:rPr>
        <w:tab/>
      </w:r>
      <w:r>
        <w:rPr>
          <w:color w:val="auto"/>
          <w:highlight w:val="none"/>
        </w:rPr>
        <w:fldChar w:fldCharType="begin"/>
      </w:r>
      <w:r>
        <w:rPr>
          <w:color w:val="auto"/>
          <w:highlight w:val="none"/>
        </w:rPr>
        <w:instrText xml:space="preserve"> PAGEREF _Toc491963087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0FFF9095">
      <w:pPr>
        <w:pStyle w:val="10"/>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"_Toc491963088" </w:instrText>
      </w:r>
      <w:r>
        <w:rPr>
          <w:color w:val="auto"/>
          <w:highlight w:val="none"/>
        </w:rPr>
        <w:fldChar w:fldCharType="separate"/>
      </w:r>
      <w:r>
        <w:rPr>
          <w:rStyle w:val="15"/>
          <w:rFonts w:ascii="宋体" w:hAnsi="宋体"/>
          <w:color w:val="auto"/>
          <w:kern w:val="0"/>
          <w:highlight w:val="none"/>
        </w:rPr>
        <w:t xml:space="preserve">5.1 </w:t>
      </w:r>
      <w:r>
        <w:rPr>
          <w:rStyle w:val="15"/>
          <w:rFonts w:hint="eastAsia" w:ascii="宋体" w:hAnsi="宋体"/>
          <w:color w:val="auto"/>
          <w:kern w:val="0"/>
          <w:highlight w:val="none"/>
        </w:rPr>
        <w:t>资产负债清算情况</w:t>
      </w:r>
      <w:r>
        <w:rPr>
          <w:color w:val="auto"/>
          <w:highlight w:val="none"/>
        </w:rPr>
        <w:tab/>
      </w:r>
      <w:r>
        <w:rPr>
          <w:color w:val="auto"/>
          <w:highlight w:val="none"/>
        </w:rPr>
        <w:fldChar w:fldCharType="begin"/>
      </w:r>
      <w:r>
        <w:rPr>
          <w:color w:val="auto"/>
          <w:highlight w:val="none"/>
        </w:rPr>
        <w:instrText xml:space="preserve"> PAGEREF _Toc491963088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14:paraId="426D64BE">
      <w:pPr>
        <w:pStyle w:val="10"/>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"_Toc491963089" </w:instrText>
      </w:r>
      <w:r>
        <w:rPr>
          <w:color w:val="auto"/>
          <w:highlight w:val="none"/>
        </w:rPr>
        <w:fldChar w:fldCharType="separate"/>
      </w:r>
      <w:r>
        <w:rPr>
          <w:rStyle w:val="15"/>
          <w:rFonts w:ascii="宋体" w:hAnsi="宋体"/>
          <w:color w:val="auto"/>
          <w:kern w:val="0"/>
          <w:highlight w:val="none"/>
        </w:rPr>
        <w:t xml:space="preserve">5.2 </w:t>
      </w:r>
      <w:r>
        <w:rPr>
          <w:rStyle w:val="15"/>
          <w:rFonts w:hint="eastAsia" w:ascii="宋体" w:hAnsi="宋体"/>
          <w:color w:val="auto"/>
          <w:kern w:val="0"/>
          <w:highlight w:val="none"/>
        </w:rPr>
        <w:t>截至本次清算期结束日的剩余财产情况及剩余财产分配安排</w:t>
      </w:r>
      <w:r>
        <w:rPr>
          <w:color w:val="auto"/>
          <w:highlight w:val="none"/>
        </w:rPr>
        <w:tab/>
      </w:r>
      <w:r>
        <w:rPr>
          <w:color w:val="auto"/>
          <w:highlight w:val="none"/>
        </w:rPr>
        <w:fldChar w:fldCharType="begin"/>
      </w:r>
      <w:r>
        <w:rPr>
          <w:color w:val="auto"/>
          <w:highlight w:val="none"/>
        </w:rPr>
        <w:instrText xml:space="preserve"> PAGEREF _Toc491963089 \h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14:paraId="501407E7">
      <w:pPr>
        <w:pStyle w:val="9"/>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"_Toc491963090" </w:instrText>
      </w:r>
      <w:r>
        <w:rPr>
          <w:color w:val="auto"/>
          <w:highlight w:val="none"/>
        </w:rPr>
        <w:fldChar w:fldCharType="separate"/>
      </w:r>
      <w:r>
        <w:rPr>
          <w:rStyle w:val="15"/>
          <w:rFonts w:ascii="宋体" w:hAnsi="宋体"/>
          <w:b/>
          <w:color w:val="auto"/>
          <w:highlight w:val="none"/>
        </w:rPr>
        <w:t>6</w:t>
      </w:r>
      <w:r>
        <w:rPr>
          <w:rStyle w:val="15"/>
          <w:rFonts w:hint="eastAsia" w:ascii="宋体" w:hAnsi="宋体"/>
          <w:b/>
          <w:color w:val="auto"/>
          <w:highlight w:val="none"/>
        </w:rPr>
        <w:t>、备查文件目录</w:t>
      </w:r>
      <w:r>
        <w:rPr>
          <w:color w:val="auto"/>
          <w:highlight w:val="none"/>
        </w:rPr>
        <w:tab/>
      </w:r>
      <w:r>
        <w:rPr>
          <w:color w:val="auto"/>
          <w:highlight w:val="none"/>
        </w:rPr>
        <w:fldChar w:fldCharType="begin"/>
      </w:r>
      <w:r>
        <w:rPr>
          <w:color w:val="auto"/>
          <w:highlight w:val="none"/>
        </w:rPr>
        <w:instrText xml:space="preserve"> PAGEREF _Toc491963090 \h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14:paraId="50883F4D">
      <w:pPr>
        <w:pStyle w:val="10"/>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"_Toc491963091" </w:instrText>
      </w:r>
      <w:r>
        <w:rPr>
          <w:color w:val="auto"/>
          <w:highlight w:val="none"/>
        </w:rPr>
        <w:fldChar w:fldCharType="separate"/>
      </w:r>
      <w:r>
        <w:rPr>
          <w:rStyle w:val="15"/>
          <w:rFonts w:ascii="宋体" w:hAnsi="宋体"/>
          <w:color w:val="auto"/>
          <w:kern w:val="0"/>
          <w:highlight w:val="none"/>
        </w:rPr>
        <w:t xml:space="preserve">6.1 </w:t>
      </w:r>
      <w:r>
        <w:rPr>
          <w:rStyle w:val="15"/>
          <w:rFonts w:hint="eastAsia" w:ascii="宋体" w:hAnsi="宋体"/>
          <w:color w:val="auto"/>
          <w:kern w:val="0"/>
          <w:highlight w:val="none"/>
        </w:rPr>
        <w:t>备查文件目录</w:t>
      </w:r>
      <w:r>
        <w:rPr>
          <w:color w:val="auto"/>
          <w:highlight w:val="none"/>
        </w:rPr>
        <w:tab/>
      </w:r>
      <w:r>
        <w:rPr>
          <w:color w:val="auto"/>
          <w:highlight w:val="none"/>
        </w:rPr>
        <w:fldChar w:fldCharType="begin"/>
      </w:r>
      <w:r>
        <w:rPr>
          <w:color w:val="auto"/>
          <w:highlight w:val="none"/>
        </w:rPr>
        <w:instrText xml:space="preserve"> PAGEREF _Toc491963091 \h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14:paraId="2A331F23">
      <w:pPr>
        <w:pStyle w:val="10"/>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"_Toc491963092" </w:instrText>
      </w:r>
      <w:r>
        <w:rPr>
          <w:color w:val="auto"/>
          <w:highlight w:val="none"/>
        </w:rPr>
        <w:fldChar w:fldCharType="separate"/>
      </w:r>
      <w:r>
        <w:rPr>
          <w:rStyle w:val="15"/>
          <w:rFonts w:ascii="宋体" w:hAnsi="宋体"/>
          <w:color w:val="auto"/>
          <w:kern w:val="0"/>
          <w:highlight w:val="none"/>
        </w:rPr>
        <w:t xml:space="preserve">6.2 </w:t>
      </w:r>
      <w:r>
        <w:rPr>
          <w:rStyle w:val="15"/>
          <w:rFonts w:hint="eastAsia" w:ascii="宋体" w:hAnsi="宋体"/>
          <w:color w:val="auto"/>
          <w:kern w:val="0"/>
          <w:highlight w:val="none"/>
        </w:rPr>
        <w:t>存放地点</w:t>
      </w:r>
      <w:r>
        <w:rPr>
          <w:color w:val="auto"/>
          <w:highlight w:val="none"/>
        </w:rPr>
        <w:tab/>
      </w:r>
      <w:r>
        <w:rPr>
          <w:color w:val="auto"/>
          <w:highlight w:val="none"/>
        </w:rPr>
        <w:fldChar w:fldCharType="begin"/>
      </w:r>
      <w:r>
        <w:rPr>
          <w:color w:val="auto"/>
          <w:highlight w:val="none"/>
        </w:rPr>
        <w:instrText xml:space="preserve"> PAGEREF _Toc491963092 \h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14:paraId="37F2A4BA">
      <w:pPr>
        <w:pStyle w:val="10"/>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"_Toc491963093" </w:instrText>
      </w:r>
      <w:r>
        <w:rPr>
          <w:color w:val="auto"/>
          <w:highlight w:val="none"/>
        </w:rPr>
        <w:fldChar w:fldCharType="separate"/>
      </w:r>
      <w:r>
        <w:rPr>
          <w:rStyle w:val="15"/>
          <w:rFonts w:ascii="宋体" w:hAnsi="宋体"/>
          <w:color w:val="auto"/>
          <w:kern w:val="0"/>
          <w:highlight w:val="none"/>
        </w:rPr>
        <w:t xml:space="preserve">6.3 </w:t>
      </w:r>
      <w:r>
        <w:rPr>
          <w:rStyle w:val="15"/>
          <w:rFonts w:hint="eastAsia" w:ascii="宋体" w:hAnsi="宋体"/>
          <w:color w:val="auto"/>
          <w:kern w:val="0"/>
          <w:highlight w:val="none"/>
        </w:rPr>
        <w:t>查阅方式</w:t>
      </w:r>
      <w:r>
        <w:rPr>
          <w:color w:val="auto"/>
          <w:highlight w:val="none"/>
        </w:rPr>
        <w:tab/>
      </w:r>
      <w:r>
        <w:rPr>
          <w:color w:val="auto"/>
          <w:highlight w:val="none"/>
        </w:rPr>
        <w:fldChar w:fldCharType="begin"/>
      </w:r>
      <w:r>
        <w:rPr>
          <w:color w:val="auto"/>
          <w:highlight w:val="none"/>
        </w:rPr>
        <w:instrText xml:space="preserve"> PAGEREF _Toc491963093 \h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14:paraId="665E5935">
      <w:pPr>
        <w:rPr>
          <w:color w:val="auto"/>
          <w:highlight w:val="none"/>
        </w:rPr>
      </w:pPr>
      <w:r>
        <w:rPr>
          <w:b/>
          <w:bCs/>
          <w:color w:val="auto"/>
          <w:highlight w:val="none"/>
          <w:lang w:val="zh-CN"/>
        </w:rPr>
        <w:fldChar w:fldCharType="end"/>
      </w:r>
    </w:p>
    <w:p w14:paraId="0C193DF5">
      <w:pPr>
        <w:widowControl/>
        <w:jc w:val="left"/>
        <w:rPr>
          <w:rStyle w:val="25"/>
          <w:rFonts w:ascii="宋体" w:hAnsi="宋体"/>
          <w:color w:val="auto"/>
          <w:highlight w:val="none"/>
        </w:rPr>
        <w:sectPr>
          <w:headerReference r:id="rId5" w:type="default"/>
          <w:pgSz w:w="11906" w:h="16838"/>
          <w:pgMar w:top="1440" w:right="1800" w:bottom="1440" w:left="1800" w:header="851" w:footer="992" w:gutter="0"/>
          <w:pgNumType w:start="1"/>
          <w:cols w:space="720" w:num="1"/>
          <w:docGrid w:type="lines" w:linePitch="312" w:charSpace="0"/>
        </w:sectPr>
      </w:pPr>
      <w:bookmarkStart w:id="3" w:name="_Toc491963077"/>
    </w:p>
    <w:p w14:paraId="427339A9">
      <w:pPr>
        <w:pStyle w:val="2"/>
        <w:keepNext/>
        <w:keepLines/>
        <w:widowControl w:val="0"/>
        <w:spacing w:before="312" w:beforeLines="100" w:after="312" w:afterLines="100" w:line="360" w:lineRule="auto"/>
        <w:jc w:val="center"/>
        <w:rPr>
          <w:rStyle w:val="25"/>
          <w:rFonts w:ascii="宋体" w:hAnsi="宋体"/>
          <w:color w:val="auto"/>
          <w:highlight w:val="none"/>
        </w:rPr>
      </w:pPr>
      <w:bookmarkStart w:id="83" w:name="_GoBack"/>
      <w:bookmarkEnd w:id="83"/>
      <w:r>
        <w:rPr>
          <w:rStyle w:val="25"/>
          <w:rFonts w:hint="eastAsia" w:ascii="宋体" w:hAnsi="宋体"/>
          <w:color w:val="auto"/>
          <w:highlight w:val="none"/>
        </w:rPr>
        <w:t>1、重要提示</w:t>
      </w:r>
      <w:bookmarkEnd w:id="2"/>
      <w:bookmarkEnd w:id="3"/>
    </w:p>
    <w:p w14:paraId="5FB83577">
      <w:pPr>
        <w:pStyle w:val="3"/>
        <w:spacing w:before="0" w:after="0"/>
        <w:rPr>
          <w:rFonts w:ascii="宋体" w:hAnsi="宋体" w:eastAsia="宋体"/>
          <w:color w:val="auto"/>
          <w:kern w:val="0"/>
          <w:sz w:val="21"/>
          <w:szCs w:val="21"/>
          <w:highlight w:val="none"/>
        </w:rPr>
      </w:pPr>
      <w:bookmarkStart w:id="4" w:name="_Toc483396827"/>
      <w:bookmarkStart w:id="5" w:name="_Toc484769795"/>
      <w:bookmarkStart w:id="6" w:name="_Toc484607300"/>
      <w:bookmarkStart w:id="7" w:name="_Toc491963078"/>
      <w:r>
        <w:rPr>
          <w:rFonts w:hint="eastAsia" w:ascii="宋体" w:hAnsi="宋体" w:eastAsia="宋体"/>
          <w:color w:val="auto"/>
          <w:kern w:val="0"/>
          <w:sz w:val="21"/>
          <w:szCs w:val="21"/>
          <w:highlight w:val="none"/>
        </w:rPr>
        <w:t>1</w:t>
      </w:r>
      <w:r>
        <w:rPr>
          <w:rFonts w:ascii="宋体" w:hAnsi="宋体" w:eastAsia="宋体"/>
          <w:color w:val="auto"/>
          <w:kern w:val="0"/>
          <w:sz w:val="21"/>
          <w:szCs w:val="21"/>
          <w:highlight w:val="none"/>
        </w:rPr>
        <w:t>.1</w:t>
      </w:r>
      <w:r>
        <w:rPr>
          <w:rFonts w:hint="eastAsia" w:ascii="宋体" w:hAnsi="宋体" w:eastAsia="宋体"/>
          <w:color w:val="auto"/>
          <w:kern w:val="0"/>
          <w:sz w:val="21"/>
          <w:szCs w:val="21"/>
          <w:highlight w:val="none"/>
        </w:rPr>
        <w:t xml:space="preserve"> 重要提示</w:t>
      </w:r>
      <w:bookmarkEnd w:id="4"/>
      <w:bookmarkEnd w:id="5"/>
      <w:bookmarkEnd w:id="6"/>
      <w:bookmarkEnd w:id="7"/>
    </w:p>
    <w:p w14:paraId="65DF1F4C">
      <w:pPr>
        <w:spacing w:line="360" w:lineRule="auto"/>
        <w:ind w:firstLine="420" w:firstLineChars="20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博时富顺纯债债券型证券投资基金</w:t>
      </w:r>
      <w:r>
        <w:rPr>
          <w:rFonts w:ascii="宋体" w:hAnsi="宋体" w:eastAsia="宋体" w:cs="宋体"/>
          <w:color w:val="auto"/>
          <w:sz w:val="21"/>
          <w:szCs w:val="21"/>
          <w:u w:val="none"/>
        </w:rPr>
        <w:t>(以下简称“本基金”)经中国证券监督管理委员会(以下简称“中国证监会”)证监许可[2019]1108号《关于准予博时富顺纯债债券型证券投资基金注册的批复》注册，由博时基金管理有限公司依照《中华人民共和国证券投资基金法》和《博时富顺纯债债券型证券投资基金基金合同》(以下简称“基金合同”或“《基金合同》”)负责公开募集。经向中国证监会备案，《基金合同》于2019年10月31日正式生效</w:t>
      </w:r>
      <w:r>
        <w:rPr>
          <w:rFonts w:hint="eastAsia" w:ascii="宋体" w:hAnsi="宋体" w:cs="Times New Roman"/>
          <w:color w:val="auto"/>
          <w:kern w:val="2"/>
          <w:sz w:val="21"/>
          <w:szCs w:val="21"/>
          <w:highlight w:val="none"/>
          <w:lang w:val="en-US" w:eastAsia="zh-CN" w:bidi="ar-SA"/>
        </w:rPr>
        <w:t>，</w:t>
      </w:r>
      <w:r>
        <w:rPr>
          <w:rFonts w:hint="eastAsia" w:eastAsia="宋体"/>
          <w:sz w:val="21"/>
          <w:szCs w:val="21"/>
        </w:rPr>
        <w:t>基金管理人为</w:t>
      </w:r>
      <w:r>
        <w:rPr>
          <w:rFonts w:hint="eastAsia" w:eastAsia="宋体"/>
          <w:sz w:val="21"/>
          <w:szCs w:val="21"/>
          <w:lang w:val="en-US" w:eastAsia="zh-CN"/>
        </w:rPr>
        <w:t>博时基金管理有限公司</w:t>
      </w:r>
      <w:r>
        <w:rPr>
          <w:rFonts w:hint="eastAsia" w:eastAsia="宋体"/>
          <w:sz w:val="21"/>
          <w:szCs w:val="21"/>
        </w:rPr>
        <w:t>，基金托管人为</w:t>
      </w:r>
      <w:r>
        <w:rPr>
          <w:rFonts w:hint="eastAsia" w:eastAsia="宋体"/>
          <w:sz w:val="21"/>
          <w:szCs w:val="21"/>
          <w:lang w:val="en-US" w:eastAsia="zh-CN"/>
        </w:rPr>
        <w:t>杭州银行股份有限公司</w:t>
      </w:r>
      <w:r>
        <w:rPr>
          <w:rFonts w:hint="eastAsia" w:eastAsia="宋体"/>
          <w:sz w:val="21"/>
          <w:szCs w:val="21"/>
        </w:rPr>
        <w:t>。</w:t>
      </w:r>
    </w:p>
    <w:p w14:paraId="565836C5">
      <w:pPr>
        <w:pStyle w:val="28"/>
        <w:spacing w:line="360" w:lineRule="auto"/>
        <w:ind w:firstLine="420" w:firstLineChars="200"/>
        <w:rPr>
          <w:rFonts w:hint="eastAsia"/>
          <w:color w:val="auto"/>
          <w:sz w:val="21"/>
          <w:szCs w:val="21"/>
          <w:highlight w:val="none"/>
        </w:rPr>
      </w:pPr>
      <w:r>
        <w:rPr>
          <w:rFonts w:hint="eastAsia"/>
          <w:color w:val="auto"/>
          <w:sz w:val="21"/>
          <w:szCs w:val="21"/>
          <w:highlight w:val="none"/>
        </w:rPr>
        <w:t>根据《基金合同》“第五部分 基金备案”之“三、基金存续期内的基金份额持有人数量和资产规模”约定：</w:t>
      </w:r>
    </w:p>
    <w:p w14:paraId="38F4515E">
      <w:pPr>
        <w:pStyle w:val="28"/>
        <w:spacing w:line="360" w:lineRule="auto"/>
        <w:ind w:firstLine="420" w:firstLineChars="200"/>
        <w:rPr>
          <w:rFonts w:hint="eastAsia"/>
          <w:color w:val="auto"/>
          <w:sz w:val="21"/>
          <w:szCs w:val="21"/>
          <w:highlight w:val="none"/>
        </w:rPr>
      </w:pPr>
      <w:r>
        <w:rPr>
          <w:rFonts w:hint="eastAsia"/>
          <w:color w:val="auto"/>
          <w:sz w:val="21"/>
          <w:szCs w:val="21"/>
          <w:highlight w:val="none"/>
        </w:rPr>
        <w:t>“基金合同生效后，连续二十个工作日出现基金份额持有人数量不满二百人或者基金资产净值低于五千万元情形的，基金管理人应当在定期报告中予以披露；连续六十个工作日出现前述情形的，本基金将根据基金合同的约定进行基金财产清算并终止，而无需召开基金份额持有人大会。</w:t>
      </w:r>
    </w:p>
    <w:p w14:paraId="0A5D6BEE">
      <w:pPr>
        <w:pStyle w:val="28"/>
        <w:spacing w:line="360" w:lineRule="auto"/>
        <w:ind w:firstLine="420" w:firstLineChars="200"/>
        <w:rPr>
          <w:rFonts w:hint="eastAsia"/>
          <w:color w:val="auto"/>
          <w:sz w:val="21"/>
          <w:szCs w:val="21"/>
          <w:highlight w:val="none"/>
        </w:rPr>
      </w:pPr>
      <w:r>
        <w:rPr>
          <w:rFonts w:hint="eastAsia"/>
          <w:color w:val="auto"/>
          <w:sz w:val="21"/>
          <w:szCs w:val="21"/>
          <w:highlight w:val="none"/>
        </w:rPr>
        <w:t>法律法规或监管机构另有规定时，从其规定。”</w:t>
      </w:r>
    </w:p>
    <w:p w14:paraId="6C443C3A">
      <w:pPr>
        <w:pStyle w:val="28"/>
        <w:spacing w:line="360" w:lineRule="auto"/>
        <w:ind w:firstLine="420" w:firstLineChars="200"/>
        <w:rPr>
          <w:rFonts w:hint="eastAsia" w:ascii="宋体" w:hAnsi="宋体" w:cs="Arial"/>
          <w:color w:val="auto"/>
          <w:sz w:val="21"/>
          <w:szCs w:val="21"/>
          <w:highlight w:val="none"/>
        </w:rPr>
      </w:pPr>
      <w:r>
        <w:rPr>
          <w:rFonts w:hint="eastAsia"/>
          <w:color w:val="auto"/>
          <w:sz w:val="21"/>
          <w:szCs w:val="21"/>
          <w:highlight w:val="none"/>
        </w:rPr>
        <w:t xml:space="preserve">截至2026年7月28日，本基金出现连续六十个工作日基金资产净值低于五千万元的情形，已触发《基金合同》中约定的基金终止条款。根据《基金合同》有关约定，博时基金管理有限公司应依据基金财产清算程序对本基金进行财产清算并终止基金合同，且无需召开基金份额持有人大会。 </w:t>
      </w:r>
    </w:p>
    <w:p w14:paraId="2B3791DD">
      <w:pPr>
        <w:spacing w:line="360" w:lineRule="auto"/>
        <w:ind w:firstLine="420" w:firstLineChars="200"/>
        <w:rPr>
          <w:rFonts w:ascii="宋体" w:hAnsi="宋体" w:cs="Arial"/>
          <w:color w:val="auto"/>
          <w:sz w:val="21"/>
          <w:szCs w:val="21"/>
          <w:highlight w:val="none"/>
        </w:rPr>
      </w:pPr>
      <w:r>
        <w:rPr>
          <w:rFonts w:hint="eastAsia" w:ascii="宋体" w:hAnsi="宋体" w:cs="Arial"/>
          <w:color w:val="auto"/>
          <w:sz w:val="21"/>
          <w:szCs w:val="21"/>
          <w:highlight w:val="none"/>
        </w:rPr>
        <w:t>本基金的最后运作日为</w:t>
      </w:r>
      <w:r>
        <w:rPr>
          <w:rFonts w:ascii="宋体" w:hAnsi="宋体" w:eastAsia="宋体" w:cs="宋体"/>
          <w:color w:val="auto"/>
          <w:sz w:val="21"/>
          <w:szCs w:val="21"/>
          <w:u w:val="none"/>
        </w:rPr>
        <w:t>2026年7月28日，自</w:t>
      </w:r>
      <w:r>
        <w:rPr>
          <w:rFonts w:hint="eastAsia" w:ascii="宋体" w:hAnsi="宋体" w:cs="Arial"/>
          <w:color w:val="auto"/>
          <w:sz w:val="21"/>
          <w:szCs w:val="21"/>
          <w:highlight w:val="none"/>
          <w:lang w:val="en-US" w:eastAsia="zh-CN"/>
        </w:rPr>
        <w:t>2026年7月29日</w:t>
      </w:r>
      <w:r>
        <w:rPr>
          <w:rFonts w:hint="eastAsia" w:ascii="宋体" w:hAnsi="宋体" w:cs="Arial"/>
          <w:color w:val="auto"/>
          <w:sz w:val="21"/>
          <w:szCs w:val="21"/>
          <w:highlight w:val="none"/>
        </w:rPr>
        <w:t>起，本基金进入清算程序，由本基金管理人博时基金管理有限公司、基金托管人</w:t>
      </w:r>
      <w:r>
        <w:rPr>
          <w:rFonts w:ascii="宋体" w:hAnsi="宋体" w:eastAsia="宋体" w:cs="宋体"/>
          <w:color w:val="auto"/>
          <w:sz w:val="21"/>
          <w:szCs w:val="21"/>
          <w:u w:val="none"/>
        </w:rPr>
        <w:t>杭州银行股份有限公司、</w:t>
      </w:r>
      <w:r>
        <w:rPr>
          <w:rFonts w:hint="eastAsia" w:ascii="宋体" w:hAnsi="宋体" w:cs="Arial"/>
          <w:color w:val="auto"/>
          <w:sz w:val="21"/>
          <w:szCs w:val="21"/>
          <w:highlight w:val="none"/>
          <w:lang w:val="en-US" w:eastAsia="zh-CN"/>
        </w:rPr>
        <w:t>安永华明会计师事务所（特殊普通合伙）</w:t>
      </w:r>
      <w:r>
        <w:rPr>
          <w:rFonts w:hint="eastAsia" w:ascii="宋体" w:hAnsi="宋体" w:cs="Arial"/>
          <w:color w:val="auto"/>
          <w:sz w:val="21"/>
          <w:szCs w:val="21"/>
          <w:highlight w:val="none"/>
        </w:rPr>
        <w:t>和</w:t>
      </w:r>
      <w:r>
        <w:rPr>
          <w:rFonts w:hint="eastAsia" w:ascii="宋体" w:hAnsi="宋体" w:cs="Arial"/>
          <w:color w:val="auto"/>
          <w:sz w:val="21"/>
          <w:szCs w:val="21"/>
          <w:highlight w:val="none"/>
          <w:lang w:val="en-US" w:eastAsia="zh-CN"/>
        </w:rPr>
        <w:t>上海源泰律师事务所</w:t>
      </w:r>
      <w:r>
        <w:rPr>
          <w:rFonts w:hint="eastAsia" w:ascii="宋体" w:hAnsi="宋体" w:cs="Arial"/>
          <w:color w:val="auto"/>
          <w:sz w:val="21"/>
          <w:szCs w:val="21"/>
          <w:highlight w:val="none"/>
        </w:rPr>
        <w:t>组成基金财产清算小组履行基金财产清算程序，并由</w:t>
      </w:r>
      <w:r>
        <w:rPr>
          <w:rFonts w:hint="eastAsia" w:ascii="宋体" w:hAnsi="宋体" w:cs="Arial"/>
          <w:color w:val="auto"/>
          <w:sz w:val="21"/>
          <w:szCs w:val="21"/>
          <w:highlight w:val="none"/>
          <w:lang w:val="en-US" w:eastAsia="zh-CN"/>
        </w:rPr>
        <w:t>安永华明会计师事务所（特殊普通合伙）</w:t>
      </w:r>
      <w:r>
        <w:rPr>
          <w:rFonts w:hint="eastAsia" w:ascii="宋体" w:hAnsi="宋体" w:cs="Arial"/>
          <w:color w:val="auto"/>
          <w:sz w:val="21"/>
          <w:szCs w:val="21"/>
          <w:highlight w:val="none"/>
        </w:rPr>
        <w:t>对本基金进行清算审计，</w:t>
      </w:r>
      <w:r>
        <w:rPr>
          <w:rFonts w:hint="eastAsia" w:ascii="宋体" w:hAnsi="宋体" w:cs="Arial"/>
          <w:color w:val="auto"/>
          <w:sz w:val="21"/>
          <w:szCs w:val="21"/>
          <w:highlight w:val="none"/>
          <w:lang w:val="en-US" w:eastAsia="zh-CN"/>
        </w:rPr>
        <w:t>上海源泰律师事务所</w:t>
      </w:r>
      <w:r>
        <w:rPr>
          <w:rFonts w:hint="eastAsia" w:ascii="宋体" w:hAnsi="宋体" w:cs="Arial"/>
          <w:color w:val="auto"/>
          <w:sz w:val="21"/>
          <w:szCs w:val="21"/>
          <w:highlight w:val="none"/>
        </w:rPr>
        <w:t>对清算报告出具法律意见。</w:t>
      </w:r>
    </w:p>
    <w:p w14:paraId="6B514A96">
      <w:pPr>
        <w:pStyle w:val="2"/>
        <w:keepNext/>
        <w:keepLines/>
        <w:widowControl w:val="0"/>
        <w:spacing w:before="312" w:beforeLines="100" w:after="312" w:afterLines="100" w:line="360" w:lineRule="auto"/>
        <w:jc w:val="center"/>
        <w:rPr>
          <w:rStyle w:val="25"/>
          <w:rFonts w:ascii="宋体" w:hAnsi="宋体"/>
          <w:color w:val="auto"/>
          <w:highlight w:val="none"/>
        </w:rPr>
      </w:pPr>
      <w:bookmarkStart w:id="8" w:name="_Toc484769796"/>
      <w:bookmarkStart w:id="9" w:name="_Toc491963079"/>
      <w:r>
        <w:rPr>
          <w:rStyle w:val="25"/>
          <w:rFonts w:ascii="宋体" w:hAnsi="宋体"/>
          <w:color w:val="auto"/>
          <w:highlight w:val="none"/>
        </w:rPr>
        <w:t>2</w:t>
      </w:r>
      <w:r>
        <w:rPr>
          <w:rStyle w:val="25"/>
          <w:rFonts w:hint="eastAsia" w:ascii="宋体" w:hAnsi="宋体"/>
          <w:color w:val="auto"/>
          <w:highlight w:val="none"/>
        </w:rPr>
        <w:t>、</w:t>
      </w:r>
      <w:r>
        <w:rPr>
          <w:rStyle w:val="25"/>
          <w:rFonts w:ascii="宋体" w:hAnsi="宋体"/>
          <w:color w:val="auto"/>
          <w:highlight w:val="none"/>
        </w:rPr>
        <w:t>基金</w:t>
      </w:r>
      <w:r>
        <w:rPr>
          <w:rStyle w:val="25"/>
          <w:rFonts w:hint="eastAsia" w:ascii="宋体" w:hAnsi="宋体"/>
          <w:color w:val="auto"/>
          <w:highlight w:val="none"/>
        </w:rPr>
        <w:t>概况</w:t>
      </w:r>
      <w:bookmarkEnd w:id="8"/>
      <w:bookmarkEnd w:id="9"/>
    </w:p>
    <w:p w14:paraId="769155F7">
      <w:pPr>
        <w:pStyle w:val="3"/>
        <w:spacing w:before="0" w:after="0"/>
        <w:rPr>
          <w:rFonts w:ascii="宋体" w:hAnsi="宋体" w:eastAsia="宋体"/>
          <w:color w:val="auto"/>
          <w:kern w:val="0"/>
          <w:sz w:val="21"/>
          <w:szCs w:val="21"/>
          <w:highlight w:val="none"/>
        </w:rPr>
      </w:pPr>
      <w:bookmarkStart w:id="10" w:name="_Toc491963080"/>
      <w:bookmarkStart w:id="11" w:name="_Toc484769797"/>
      <w:bookmarkStart w:id="12" w:name="_Toc361324845"/>
      <w:bookmarkStart w:id="13" w:name="_Toc409100407"/>
      <w:bookmarkStart w:id="14" w:name="_Toc483396829"/>
      <w:bookmarkStart w:id="15" w:name="_Toc409100044"/>
      <w:bookmarkStart w:id="16" w:name="_Toc484607302"/>
      <w:bookmarkStart w:id="17" w:name="_Toc476577246"/>
      <w:r>
        <w:rPr>
          <w:rFonts w:ascii="宋体" w:hAnsi="宋体" w:eastAsia="宋体"/>
          <w:color w:val="auto"/>
          <w:kern w:val="0"/>
          <w:sz w:val="21"/>
          <w:szCs w:val="21"/>
          <w:highlight w:val="none"/>
        </w:rPr>
        <w:t>2.1</w:t>
      </w:r>
      <w:r>
        <w:rPr>
          <w:rFonts w:hint="eastAsia" w:ascii="宋体" w:hAnsi="宋体" w:eastAsia="宋体"/>
          <w:color w:val="auto"/>
          <w:kern w:val="0"/>
          <w:sz w:val="21"/>
          <w:szCs w:val="21"/>
          <w:highlight w:val="none"/>
        </w:rPr>
        <w:t xml:space="preserve"> </w:t>
      </w:r>
      <w:r>
        <w:rPr>
          <w:rFonts w:ascii="宋体" w:hAnsi="宋体" w:eastAsia="宋体"/>
          <w:color w:val="auto"/>
          <w:kern w:val="0"/>
          <w:sz w:val="21"/>
          <w:szCs w:val="21"/>
          <w:highlight w:val="none"/>
        </w:rPr>
        <w:t>基金基本情况</w:t>
      </w:r>
      <w:bookmarkEnd w:id="10"/>
      <w:bookmarkEnd w:id="11"/>
      <w:bookmarkEnd w:id="12"/>
      <w:bookmarkEnd w:id="13"/>
      <w:bookmarkEnd w:id="14"/>
      <w:bookmarkEnd w:id="15"/>
      <w:bookmarkEnd w:id="16"/>
      <w:bookmarkEnd w:id="17"/>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02"/>
        <w:gridCol w:w="2838"/>
        <w:gridCol w:w="3080"/>
      </w:tblGrid>
      <w:tr w14:paraId="7FA86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4166CD9D">
            <w:pPr>
              <w:adjustRightInd w:val="0"/>
              <w:rPr>
                <w:color w:val="auto"/>
                <w:kern w:val="0"/>
                <w:szCs w:val="21"/>
                <w:highlight w:val="none"/>
              </w:rPr>
            </w:pPr>
            <w:r>
              <w:rPr>
                <w:rFonts w:hint="eastAsia"/>
                <w:color w:val="auto"/>
                <w:kern w:val="0"/>
                <w:szCs w:val="21"/>
                <w:highlight w:val="none"/>
              </w:rPr>
              <w:t>基金全称</w:t>
            </w:r>
          </w:p>
        </w:tc>
        <w:tc>
          <w:tcPr>
            <w:tcW w:w="5918" w:type="dxa"/>
            <w:gridSpan w:val="2"/>
            <w:noWrap w:val="0"/>
            <w:vAlign w:val="center"/>
          </w:tcPr>
          <w:p w14:paraId="31615EB1">
            <w:pPr>
              <w:adjustRightInd w:val="0"/>
              <w:rPr>
                <w:rFonts w:hint="default" w:eastAsia="宋体"/>
                <w:color w:val="auto"/>
                <w:kern w:val="0"/>
                <w:szCs w:val="21"/>
                <w:highlight w:val="none"/>
                <w:lang w:val="en-US" w:eastAsia="zh-CN"/>
              </w:rPr>
            </w:pPr>
            <w:r>
              <w:rPr>
                <w:rFonts w:hint="eastAsia"/>
                <w:color w:val="auto"/>
                <w:szCs w:val="21"/>
                <w:highlight w:val="none"/>
              </w:rPr>
              <w:t>博时富顺纯债债券型证券投资基金</w:t>
            </w:r>
          </w:p>
        </w:tc>
      </w:tr>
      <w:tr w14:paraId="5C0A6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1FBD0750">
            <w:pPr>
              <w:adjustRightInd w:val="0"/>
              <w:rPr>
                <w:rFonts w:hint="eastAsia" w:eastAsia="宋体"/>
                <w:color w:val="auto"/>
                <w:kern w:val="0"/>
                <w:szCs w:val="21"/>
                <w:highlight w:val="none"/>
                <w:lang w:val="en-US" w:eastAsia="zh-CN"/>
              </w:rPr>
            </w:pPr>
            <w:r>
              <w:rPr>
                <w:rFonts w:hint="eastAsia"/>
                <w:color w:val="auto"/>
                <w:kern w:val="0"/>
                <w:szCs w:val="21"/>
                <w:highlight w:val="none"/>
              </w:rPr>
              <w:t>基金</w:t>
            </w:r>
            <w:r>
              <w:rPr>
                <w:rFonts w:hint="eastAsia"/>
                <w:color w:val="auto"/>
                <w:kern w:val="0"/>
                <w:szCs w:val="21"/>
                <w:highlight w:val="none"/>
                <w:lang w:val="en-US" w:eastAsia="zh-CN"/>
              </w:rPr>
              <w:t>简称</w:t>
            </w:r>
          </w:p>
        </w:tc>
        <w:tc>
          <w:tcPr>
            <w:tcW w:w="5918" w:type="dxa"/>
            <w:gridSpan w:val="2"/>
            <w:noWrap w:val="0"/>
            <w:vAlign w:val="center"/>
          </w:tcPr>
          <w:p w14:paraId="5D6C144F">
            <w:pPr>
              <w:adjustRightInd w:val="0"/>
              <w:rPr>
                <w:color w:val="auto"/>
                <w:kern w:val="0"/>
                <w:szCs w:val="21"/>
                <w:highlight w:val="none"/>
              </w:rPr>
            </w:pPr>
            <w:r>
              <w:rPr>
                <w:rFonts w:hint="eastAsia"/>
                <w:color w:val="auto"/>
                <w:szCs w:val="21"/>
                <w:highlight w:val="none"/>
              </w:rPr>
              <w:t>博时富顺纯债债券</w:t>
            </w:r>
          </w:p>
        </w:tc>
      </w:tr>
      <w:tr w14:paraId="3DAA1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06139B2D">
            <w:pPr>
              <w:adjustRightInd w:val="0"/>
              <w:rPr>
                <w:color w:val="auto"/>
                <w:kern w:val="0"/>
                <w:szCs w:val="21"/>
                <w:highlight w:val="none"/>
              </w:rPr>
            </w:pPr>
            <w:r>
              <w:rPr>
                <w:color w:val="auto"/>
                <w:kern w:val="0"/>
                <w:szCs w:val="21"/>
                <w:highlight w:val="none"/>
              </w:rPr>
              <w:t>基金主代码</w:t>
            </w:r>
          </w:p>
        </w:tc>
        <w:tc>
          <w:tcPr>
            <w:tcW w:w="5918" w:type="dxa"/>
            <w:gridSpan w:val="2"/>
            <w:tcBorders>
              <w:bottom w:val="single" w:color="auto" w:sz="4" w:space="0"/>
            </w:tcBorders>
            <w:noWrap w:val="0"/>
            <w:vAlign w:val="center"/>
          </w:tcPr>
          <w:p w14:paraId="2559867E">
            <w:pPr>
              <w:adjustRightInd w:val="0"/>
              <w:rPr>
                <w:rFonts w:hint="default" w:eastAsia="宋体"/>
                <w:color w:val="auto"/>
                <w:kern w:val="0"/>
                <w:szCs w:val="21"/>
                <w:highlight w:val="none"/>
                <w:lang w:val="en-US" w:eastAsia="zh-CN"/>
              </w:rPr>
            </w:pPr>
            <w:r>
              <w:rPr>
                <w:rFonts w:hint="eastAsia"/>
                <w:color w:val="auto"/>
                <w:kern w:val="0"/>
                <w:szCs w:val="21"/>
                <w:highlight w:val="none"/>
                <w:lang w:val="en-US" w:eastAsia="zh-CN"/>
              </w:rPr>
              <w:t>007996</w:t>
            </w:r>
          </w:p>
        </w:tc>
      </w:tr>
      <w:tr w14:paraId="59A5C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4659495B">
            <w:pPr>
              <w:adjustRightInd w:val="0"/>
              <w:rPr>
                <w:color w:val="auto"/>
                <w:szCs w:val="21"/>
                <w:highlight w:val="none"/>
              </w:rPr>
            </w:pPr>
            <w:r>
              <w:rPr>
                <w:color w:val="auto"/>
                <w:kern w:val="0"/>
                <w:szCs w:val="21"/>
                <w:highlight w:val="none"/>
              </w:rPr>
              <w:t>基金运作方式</w:t>
            </w:r>
          </w:p>
        </w:tc>
        <w:tc>
          <w:tcPr>
            <w:tcW w:w="5918" w:type="dxa"/>
            <w:gridSpan w:val="2"/>
            <w:tcBorders>
              <w:top w:val="single" w:color="auto" w:sz="4" w:space="0"/>
            </w:tcBorders>
            <w:noWrap w:val="0"/>
            <w:vAlign w:val="center"/>
          </w:tcPr>
          <w:p w14:paraId="0CFF4F83">
            <w:pPr>
              <w:adjustRightInd w:val="0"/>
              <w:rPr>
                <w:rFonts w:hint="default" w:eastAsia="宋体"/>
                <w:color w:val="auto"/>
                <w:szCs w:val="21"/>
                <w:highlight w:val="none"/>
                <w:lang w:val="en-US" w:eastAsia="zh-CN"/>
              </w:rPr>
            </w:pPr>
            <w:r>
              <w:rPr>
                <w:rFonts w:hint="eastAsia"/>
                <w:color w:val="auto"/>
                <w:szCs w:val="21"/>
                <w:highlight w:val="none"/>
                <w:lang w:val="en-US" w:eastAsia="zh-CN"/>
              </w:rPr>
              <w:t>契约型开放式</w:t>
            </w:r>
          </w:p>
        </w:tc>
      </w:tr>
      <w:tr w14:paraId="1729F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2D2F222F">
            <w:pPr>
              <w:adjustRightInd w:val="0"/>
              <w:rPr>
                <w:color w:val="auto"/>
                <w:szCs w:val="21"/>
                <w:highlight w:val="none"/>
              </w:rPr>
            </w:pPr>
            <w:r>
              <w:rPr>
                <w:color w:val="auto"/>
                <w:kern w:val="0"/>
                <w:szCs w:val="21"/>
                <w:highlight w:val="none"/>
              </w:rPr>
              <w:t>基金合同生效日</w:t>
            </w:r>
          </w:p>
        </w:tc>
        <w:tc>
          <w:tcPr>
            <w:tcW w:w="5918" w:type="dxa"/>
            <w:gridSpan w:val="2"/>
            <w:noWrap w:val="0"/>
            <w:vAlign w:val="center"/>
          </w:tcPr>
          <w:p w14:paraId="256F9F0B">
            <w:pPr>
              <w:adjustRightInd w:val="0"/>
              <w:rPr>
                <w:rFonts w:hint="default" w:eastAsia="宋体"/>
                <w:color w:val="auto"/>
                <w:kern w:val="0"/>
                <w:szCs w:val="21"/>
                <w:highlight w:val="none"/>
                <w:lang w:val="en-US" w:eastAsia="zh-CN"/>
              </w:rPr>
            </w:pPr>
            <w:r>
              <w:rPr>
                <w:rFonts w:hint="eastAsia"/>
                <w:color w:val="auto"/>
                <w:kern w:val="0"/>
                <w:szCs w:val="21"/>
                <w:highlight w:val="none"/>
                <w:lang w:val="en-US" w:eastAsia="zh-CN"/>
              </w:rPr>
              <w:t>2019年10月31日</w:t>
            </w:r>
          </w:p>
        </w:tc>
      </w:tr>
      <w:tr w14:paraId="1ADEB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08B4BA8E">
            <w:pPr>
              <w:adjustRightInd w:val="0"/>
              <w:rPr>
                <w:color w:val="auto"/>
                <w:szCs w:val="21"/>
                <w:highlight w:val="none"/>
              </w:rPr>
            </w:pPr>
            <w:r>
              <w:rPr>
                <w:rFonts w:hint="eastAsia"/>
                <w:color w:val="auto"/>
                <w:kern w:val="0"/>
                <w:szCs w:val="21"/>
                <w:highlight w:val="none"/>
                <w:lang w:val="en-US" w:eastAsia="zh-CN"/>
              </w:rPr>
              <w:t>清算结束日</w:t>
            </w:r>
            <w:r>
              <w:rPr>
                <w:rFonts w:hint="eastAsia"/>
                <w:color w:val="auto"/>
                <w:kern w:val="0"/>
                <w:szCs w:val="21"/>
                <w:highlight w:val="none"/>
              </w:rPr>
              <w:t>（</w:t>
            </w:r>
            <w:r>
              <w:rPr>
                <w:color w:val="auto"/>
                <w:u w:val="none"/>
              </w:rPr>
              <w:t>2026年</w:t>
            </w:r>
            <w:r>
              <w:rPr>
                <w:rFonts w:hint="eastAsia"/>
                <w:color w:val="auto"/>
                <w:u w:val="none"/>
                <w:lang w:val="en-US" w:eastAsia="zh-CN"/>
              </w:rPr>
              <w:t>8</w:t>
            </w:r>
            <w:r>
              <w:rPr>
                <w:color w:val="auto"/>
                <w:u w:val="none"/>
              </w:rPr>
              <w:t>月</w:t>
            </w:r>
            <w:r>
              <w:rPr>
                <w:rFonts w:hint="eastAsia"/>
                <w:color w:val="auto"/>
                <w:u w:val="none"/>
                <w:lang w:val="en-US" w:eastAsia="zh-CN"/>
              </w:rPr>
              <w:t>5</w:t>
            </w:r>
            <w:r>
              <w:rPr>
                <w:color w:val="auto"/>
                <w:u w:val="none"/>
              </w:rPr>
              <w:t>日）</w:t>
            </w:r>
            <w:r>
              <w:rPr>
                <w:color w:val="auto"/>
                <w:kern w:val="0"/>
                <w:szCs w:val="21"/>
                <w:highlight w:val="none"/>
              </w:rPr>
              <w:t>基金份额总额</w:t>
            </w:r>
          </w:p>
        </w:tc>
        <w:tc>
          <w:tcPr>
            <w:tcW w:w="5918" w:type="dxa"/>
            <w:gridSpan w:val="2"/>
            <w:noWrap w:val="0"/>
            <w:vAlign w:val="center"/>
          </w:tcPr>
          <w:p w14:paraId="61ED1885">
            <w:pPr>
              <w:adjustRightInd w:val="0"/>
              <w:rPr>
                <w:color w:val="auto"/>
                <w:szCs w:val="21"/>
                <w:highlight w:val="none"/>
              </w:rPr>
            </w:pPr>
            <w:r>
              <w:rPr>
                <w:rFonts w:hint="eastAsia"/>
                <w:color w:val="auto"/>
                <w:kern w:val="0"/>
                <w:szCs w:val="21"/>
                <w:highlight w:val="none"/>
                <w:lang w:val="en-US" w:eastAsia="zh-CN"/>
              </w:rPr>
              <w:t>181,853.11</w:t>
            </w:r>
            <w:r>
              <w:rPr>
                <w:color w:val="auto"/>
                <w:kern w:val="0"/>
                <w:szCs w:val="21"/>
                <w:highlight w:val="none"/>
              </w:rPr>
              <w:t>份</w:t>
            </w:r>
          </w:p>
        </w:tc>
      </w:tr>
      <w:tr w14:paraId="75665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48B19786">
            <w:pPr>
              <w:adjustRightInd w:val="0"/>
              <w:rPr>
                <w:rFonts w:hint="eastAsia" w:eastAsia="宋体"/>
                <w:color w:val="auto"/>
                <w:kern w:val="0"/>
                <w:szCs w:val="21"/>
                <w:highlight w:val="none"/>
                <w:lang w:eastAsia="zh-CN"/>
              </w:rPr>
            </w:pPr>
            <w:r>
              <w:rPr>
                <w:rFonts w:hint="eastAsia"/>
                <w:color w:val="auto"/>
                <w:kern w:val="0"/>
                <w:szCs w:val="21"/>
                <w:highlight w:val="none"/>
                <w:lang w:eastAsia="zh-CN"/>
              </w:rPr>
              <w:t>基金合同存续期</w:t>
            </w:r>
          </w:p>
        </w:tc>
        <w:tc>
          <w:tcPr>
            <w:tcW w:w="5918" w:type="dxa"/>
            <w:gridSpan w:val="2"/>
            <w:noWrap w:val="0"/>
            <w:vAlign w:val="center"/>
          </w:tcPr>
          <w:p w14:paraId="6F41BB63">
            <w:pPr>
              <w:adjustRightInd w:val="0"/>
              <w:rPr>
                <w:rFonts w:hint="eastAsia" w:eastAsia="宋体"/>
                <w:color w:val="auto"/>
                <w:kern w:val="0"/>
                <w:szCs w:val="21"/>
                <w:highlight w:val="none"/>
                <w:lang w:eastAsia="zh-CN"/>
              </w:rPr>
            </w:pPr>
            <w:r>
              <w:rPr>
                <w:rFonts w:hint="eastAsia"/>
                <w:color w:val="auto"/>
                <w:kern w:val="0"/>
                <w:szCs w:val="21"/>
                <w:highlight w:val="none"/>
                <w:lang w:eastAsia="zh-CN"/>
              </w:rPr>
              <w:t>不定期</w:t>
            </w:r>
          </w:p>
        </w:tc>
      </w:tr>
      <w:tr w14:paraId="42F1A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7AA9485E">
            <w:pPr>
              <w:adjustRightInd w:val="0"/>
              <w:rPr>
                <w:color w:val="auto"/>
                <w:szCs w:val="21"/>
                <w:highlight w:val="none"/>
              </w:rPr>
            </w:pPr>
            <w:r>
              <w:rPr>
                <w:color w:val="auto"/>
                <w:kern w:val="0"/>
                <w:szCs w:val="21"/>
                <w:highlight w:val="none"/>
              </w:rPr>
              <w:t>基金管理人</w:t>
            </w:r>
          </w:p>
        </w:tc>
        <w:tc>
          <w:tcPr>
            <w:tcW w:w="5918" w:type="dxa"/>
            <w:gridSpan w:val="2"/>
            <w:noWrap w:val="0"/>
            <w:vAlign w:val="center"/>
          </w:tcPr>
          <w:p w14:paraId="2C8949D3">
            <w:pPr>
              <w:adjustRightInd w:val="0"/>
              <w:rPr>
                <w:color w:val="auto"/>
                <w:szCs w:val="21"/>
                <w:highlight w:val="none"/>
              </w:rPr>
            </w:pPr>
            <w:r>
              <w:rPr>
                <w:color w:val="auto"/>
                <w:kern w:val="0"/>
                <w:szCs w:val="21"/>
                <w:highlight w:val="none"/>
              </w:rPr>
              <w:t>博时基金管理有限公司</w:t>
            </w:r>
          </w:p>
        </w:tc>
      </w:tr>
      <w:tr w14:paraId="6805B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51604688">
            <w:pPr>
              <w:adjustRightInd w:val="0"/>
              <w:rPr>
                <w:color w:val="auto"/>
                <w:szCs w:val="21"/>
                <w:highlight w:val="none"/>
              </w:rPr>
            </w:pPr>
            <w:r>
              <w:rPr>
                <w:color w:val="auto"/>
                <w:kern w:val="0"/>
                <w:szCs w:val="21"/>
                <w:highlight w:val="none"/>
              </w:rPr>
              <w:t>基金托管人</w:t>
            </w:r>
          </w:p>
        </w:tc>
        <w:tc>
          <w:tcPr>
            <w:tcW w:w="5918" w:type="dxa"/>
            <w:gridSpan w:val="2"/>
            <w:noWrap w:val="0"/>
            <w:vAlign w:val="center"/>
          </w:tcPr>
          <w:p w14:paraId="03E107E0">
            <w:pPr>
              <w:adjustRightInd w:val="0"/>
              <w:rPr>
                <w:color w:val="auto"/>
                <w:szCs w:val="21"/>
                <w:highlight w:val="none"/>
              </w:rPr>
            </w:pPr>
            <w:r>
              <w:rPr>
                <w:rFonts w:hint="eastAsia"/>
                <w:color w:val="auto"/>
                <w:szCs w:val="21"/>
                <w:highlight w:val="none"/>
              </w:rPr>
              <w:t>杭州银行股份有限公司</w:t>
            </w:r>
          </w:p>
        </w:tc>
      </w:tr>
      <w:tr w14:paraId="499EB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6233CBA1">
            <w:pPr>
              <w:adjustRightInd w:val="0"/>
              <w:rPr>
                <w:color w:val="auto"/>
                <w:kern w:val="0"/>
                <w:szCs w:val="21"/>
                <w:highlight w:val="none"/>
              </w:rPr>
            </w:pPr>
            <w:r>
              <w:rPr>
                <w:color w:val="auto"/>
                <w:szCs w:val="21"/>
                <w:highlight w:val="none"/>
              </w:rPr>
              <w:t>下属分级基金的基金简称</w:t>
            </w:r>
          </w:p>
        </w:tc>
        <w:tc>
          <w:tcPr>
            <w:tcW w:w="2838" w:type="dxa"/>
            <w:noWrap w:val="0"/>
            <w:vAlign w:val="center"/>
          </w:tcPr>
          <w:p w14:paraId="70BB0EBE">
            <w:pPr>
              <w:spacing w:line="360" w:lineRule="auto"/>
              <w:rPr>
                <w:rFonts w:hint="default" w:eastAsia="宋体"/>
                <w:color w:val="auto"/>
                <w:szCs w:val="21"/>
                <w:highlight w:val="none"/>
                <w:lang w:val="en-US" w:eastAsia="zh-CN"/>
              </w:rPr>
            </w:pPr>
            <w:r>
              <w:rPr>
                <w:color w:val="000000" w:themeColor="text1"/>
                <w:szCs w:val="21"/>
              </w:rPr>
              <w:t>博时富顺纯债债券A</w:t>
            </w:r>
          </w:p>
        </w:tc>
        <w:tc>
          <w:tcPr>
            <w:tcW w:w="3080" w:type="dxa"/>
            <w:noWrap w:val="0"/>
            <w:vAlign w:val="center"/>
          </w:tcPr>
          <w:p w14:paraId="2812E633">
            <w:pPr>
              <w:spacing w:line="360" w:lineRule="auto"/>
              <w:rPr>
                <w:color w:val="auto"/>
                <w:szCs w:val="21"/>
                <w:highlight w:val="none"/>
              </w:rPr>
            </w:pPr>
            <w:r>
              <w:rPr>
                <w:color w:val="000000" w:themeColor="text1"/>
                <w:szCs w:val="21"/>
              </w:rPr>
              <w:t>博时富顺纯债债券C</w:t>
            </w:r>
          </w:p>
        </w:tc>
      </w:tr>
      <w:tr w14:paraId="18B54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76CEA8AC">
            <w:pPr>
              <w:rPr>
                <w:color w:val="auto"/>
                <w:highlight w:val="none"/>
              </w:rPr>
            </w:pPr>
            <w:r>
              <w:rPr>
                <w:color w:val="auto"/>
                <w:highlight w:val="none"/>
              </w:rPr>
              <w:t>下属分级基金的交易代码</w:t>
            </w:r>
          </w:p>
        </w:tc>
        <w:tc>
          <w:tcPr>
            <w:tcW w:w="2838" w:type="dxa"/>
            <w:noWrap w:val="0"/>
            <w:vAlign w:val="center"/>
          </w:tcPr>
          <w:p w14:paraId="62371A2E">
            <w:pPr>
              <w:spacing w:line="360" w:lineRule="auto"/>
              <w:rPr>
                <w:rFonts w:hint="default" w:eastAsia="宋体"/>
                <w:color w:val="auto"/>
                <w:highlight w:val="none"/>
                <w:lang w:val="en-US" w:eastAsia="zh-CN"/>
              </w:rPr>
            </w:pPr>
            <w:r>
              <w:t>007996</w:t>
            </w:r>
          </w:p>
        </w:tc>
        <w:tc>
          <w:tcPr>
            <w:tcW w:w="3080" w:type="dxa"/>
            <w:noWrap w:val="0"/>
            <w:vAlign w:val="center"/>
          </w:tcPr>
          <w:p w14:paraId="49AD7BDE">
            <w:pPr>
              <w:spacing w:line="360" w:lineRule="auto"/>
              <w:rPr>
                <w:color w:val="auto"/>
                <w:highlight w:val="none"/>
              </w:rPr>
            </w:pPr>
            <w:r>
              <w:t>020119</w:t>
            </w:r>
          </w:p>
        </w:tc>
      </w:tr>
      <w:tr w14:paraId="3815E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2BD48115">
            <w:pPr>
              <w:adjustRightInd w:val="0"/>
              <w:rPr>
                <w:color w:val="auto"/>
                <w:szCs w:val="21"/>
                <w:highlight w:val="none"/>
              </w:rPr>
            </w:pPr>
            <w:r>
              <w:rPr>
                <w:rFonts w:hint="eastAsia"/>
                <w:color w:val="auto"/>
                <w:szCs w:val="21"/>
                <w:highlight w:val="none"/>
                <w:lang w:val="en-US" w:eastAsia="zh-CN"/>
              </w:rPr>
              <w:t>清算结束日</w:t>
            </w:r>
            <w:r>
              <w:rPr>
                <w:color w:val="auto"/>
                <w:szCs w:val="21"/>
                <w:highlight w:val="none"/>
              </w:rPr>
              <w:t>下属分级基金的份额总额</w:t>
            </w:r>
          </w:p>
        </w:tc>
        <w:tc>
          <w:tcPr>
            <w:tcW w:w="2838" w:type="dxa"/>
            <w:noWrap w:val="0"/>
            <w:vAlign w:val="center"/>
          </w:tcPr>
          <w:p w14:paraId="0081E516">
            <w:pPr>
              <w:spacing w:line="360" w:lineRule="auto"/>
              <w:rPr>
                <w:color w:val="auto"/>
                <w:szCs w:val="21"/>
                <w:highlight w:val="none"/>
              </w:rPr>
            </w:pPr>
            <w:r>
              <w:rPr>
                <w:rFonts w:hint="eastAsia"/>
                <w:color w:val="000000" w:themeColor="text1"/>
                <w:szCs w:val="21"/>
              </w:rPr>
              <w:t>155,690.30</w:t>
            </w:r>
            <w:r>
              <w:rPr>
                <w:color w:val="000000" w:themeColor="text1"/>
                <w:kern w:val="0"/>
                <w:szCs w:val="21"/>
              </w:rPr>
              <w:t>份</w:t>
            </w:r>
          </w:p>
        </w:tc>
        <w:tc>
          <w:tcPr>
            <w:tcW w:w="3080" w:type="dxa"/>
            <w:noWrap w:val="0"/>
            <w:vAlign w:val="center"/>
          </w:tcPr>
          <w:p w14:paraId="76E5074F">
            <w:pPr>
              <w:spacing w:line="360" w:lineRule="auto"/>
              <w:rPr>
                <w:color w:val="auto"/>
                <w:szCs w:val="21"/>
                <w:highlight w:val="none"/>
              </w:rPr>
            </w:pPr>
            <w:r>
              <w:rPr>
                <w:rFonts w:hint="eastAsia"/>
                <w:color w:val="000000" w:themeColor="text1"/>
                <w:szCs w:val="21"/>
              </w:rPr>
              <w:t>26,162.81</w:t>
            </w:r>
            <w:r>
              <w:rPr>
                <w:color w:val="000000" w:themeColor="text1"/>
                <w:kern w:val="0"/>
                <w:szCs w:val="21"/>
              </w:rPr>
              <w:t>份</w:t>
            </w:r>
          </w:p>
        </w:tc>
      </w:tr>
    </w:tbl>
    <w:p w14:paraId="704A5A5B">
      <w:pPr>
        <w:pStyle w:val="26"/>
        <w:rPr>
          <w:rFonts w:ascii="宋体" w:hAnsi="宋体"/>
          <w:color w:val="auto"/>
          <w:sz w:val="21"/>
          <w:szCs w:val="21"/>
          <w:highlight w:val="none"/>
        </w:rPr>
      </w:pPr>
      <w:bookmarkStart w:id="18" w:name="_Toc491184118"/>
      <w:bookmarkStart w:id="19" w:name="_Toc491963081"/>
      <w:bookmarkStart w:id="20" w:name="_Toc390421230"/>
      <w:bookmarkStart w:id="21" w:name="_Toc482092221"/>
      <w:r>
        <w:rPr>
          <w:rFonts w:ascii="宋体" w:hAnsi="宋体"/>
          <w:color w:val="auto"/>
          <w:sz w:val="21"/>
          <w:szCs w:val="21"/>
          <w:highlight w:val="none"/>
        </w:rPr>
        <w:t>2.2 基金产品说明</w:t>
      </w:r>
      <w:bookmarkEnd w:id="18"/>
      <w:bookmarkEnd w:id="19"/>
      <w:bookmarkEnd w:id="20"/>
      <w:bookmarkEnd w:id="21"/>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3"/>
        <w:gridCol w:w="6149"/>
      </w:tblGrid>
      <w:tr w14:paraId="10FDD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2373" w:type="dxa"/>
            <w:noWrap w:val="0"/>
            <w:vAlign w:val="center"/>
          </w:tcPr>
          <w:p w14:paraId="5753533E">
            <w:pPr>
              <w:adjustRightInd w:val="0"/>
              <w:spacing w:line="360" w:lineRule="auto"/>
              <w:rPr>
                <w:color w:val="auto"/>
                <w:szCs w:val="21"/>
                <w:highlight w:val="none"/>
              </w:rPr>
            </w:pPr>
            <w:r>
              <w:rPr>
                <w:color w:val="000000" w:themeColor="text1"/>
                <w:kern w:val="0"/>
                <w:szCs w:val="21"/>
              </w:rPr>
              <w:t>投资目标</w:t>
            </w:r>
          </w:p>
        </w:tc>
        <w:tc>
          <w:tcPr>
            <w:tcW w:w="6149" w:type="dxa"/>
            <w:noWrap w:val="0"/>
            <w:vAlign w:val="center"/>
          </w:tcPr>
          <w:p w14:paraId="4A9CBEDA">
            <w:pPr>
              <w:adjustRightInd w:val="0"/>
              <w:spacing w:line="240" w:lineRule="auto"/>
              <w:rPr>
                <w:color w:val="auto"/>
                <w:kern w:val="0"/>
                <w:szCs w:val="21"/>
                <w:highlight w:val="none"/>
              </w:rPr>
            </w:pPr>
            <w:r>
              <w:rPr>
                <w:color w:val="000000" w:themeColor="text1"/>
                <w:kern w:val="0"/>
                <w:szCs w:val="21"/>
              </w:rPr>
              <w:t>在一定程度上控制投资组合风险的前提下，力争长期内实现超越业绩比较基准的投资回报。</w:t>
            </w:r>
          </w:p>
        </w:tc>
      </w:tr>
      <w:tr w14:paraId="4D5C4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373" w:type="dxa"/>
            <w:noWrap w:val="0"/>
            <w:vAlign w:val="center"/>
          </w:tcPr>
          <w:p w14:paraId="558025E9">
            <w:pPr>
              <w:adjustRightInd w:val="0"/>
              <w:spacing w:line="360" w:lineRule="auto"/>
              <w:rPr>
                <w:color w:val="auto"/>
                <w:szCs w:val="21"/>
                <w:highlight w:val="none"/>
              </w:rPr>
            </w:pPr>
            <w:r>
              <w:rPr>
                <w:color w:val="000000" w:themeColor="text1"/>
                <w:kern w:val="0"/>
                <w:szCs w:val="21"/>
              </w:rPr>
              <w:t>投资策略</w:t>
            </w:r>
          </w:p>
        </w:tc>
        <w:tc>
          <w:tcPr>
            <w:tcW w:w="6149" w:type="dxa"/>
            <w:noWrap w:val="0"/>
            <w:vAlign w:val="center"/>
          </w:tcPr>
          <w:p w14:paraId="7C06801F">
            <w:pPr>
              <w:adjustRightInd w:val="0"/>
              <w:spacing w:line="240" w:lineRule="auto"/>
              <w:rPr>
                <w:color w:val="000000" w:themeColor="text1"/>
                <w:szCs w:val="21"/>
              </w:rPr>
            </w:pPr>
            <w:r>
              <w:rPr>
                <w:color w:val="000000" w:themeColor="text1"/>
                <w:kern w:val="0"/>
                <w:szCs w:val="21"/>
              </w:rPr>
              <w:t>本基金为债券型基金，通过自上而下和自下而上相结合、定性分析和定量分析相补充的方法，确定资产在固定收益类证券之间的配置比例。</w:t>
            </w:r>
          </w:p>
          <w:p w14:paraId="726F9010">
            <w:pPr>
              <w:adjustRightInd w:val="0"/>
              <w:spacing w:line="240" w:lineRule="auto"/>
              <w:rPr>
                <w:rFonts w:ascii="Times New Roman" w:hAnsi="Times New Roman" w:eastAsia="宋体" w:cs="Times New Roman"/>
                <w:color w:val="auto"/>
                <w:kern w:val="2"/>
                <w:sz w:val="21"/>
                <w:szCs w:val="21"/>
                <w:highlight w:val="none"/>
                <w:lang w:val="en-US" w:eastAsia="zh-CN" w:bidi="ar-SA"/>
              </w:rPr>
            </w:pPr>
            <w:r>
              <w:rPr>
                <w:color w:val="000000" w:themeColor="text1"/>
                <w:kern w:val="0"/>
                <w:szCs w:val="21"/>
              </w:rPr>
              <w:t>在以上战略性资产配置的基础上，本基金通过自上而下和自下而上相结合、定性分析和定量分析相补充的方法，进行前瞻性的决策。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固定收益类证券之间的配置比例。</w:t>
            </w:r>
          </w:p>
        </w:tc>
      </w:tr>
      <w:tr w14:paraId="22FAE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373" w:type="dxa"/>
            <w:noWrap w:val="0"/>
            <w:vAlign w:val="center"/>
          </w:tcPr>
          <w:p w14:paraId="76BE5E2F">
            <w:pPr>
              <w:adjustRightInd w:val="0"/>
              <w:spacing w:line="360" w:lineRule="auto"/>
              <w:rPr>
                <w:color w:val="auto"/>
                <w:szCs w:val="21"/>
                <w:highlight w:val="none"/>
              </w:rPr>
            </w:pPr>
            <w:r>
              <w:rPr>
                <w:color w:val="000000" w:themeColor="text1"/>
                <w:kern w:val="0"/>
                <w:szCs w:val="21"/>
              </w:rPr>
              <w:t>业绩比较基准</w:t>
            </w:r>
          </w:p>
        </w:tc>
        <w:tc>
          <w:tcPr>
            <w:tcW w:w="6149" w:type="dxa"/>
            <w:noWrap w:val="0"/>
            <w:vAlign w:val="center"/>
          </w:tcPr>
          <w:p w14:paraId="71EBF802">
            <w:pPr>
              <w:adjustRightInd w:val="0"/>
              <w:spacing w:line="240" w:lineRule="auto"/>
              <w:rPr>
                <w:rFonts w:ascii="Times New Roman" w:hAnsi="Times New Roman" w:eastAsia="宋体" w:cs="Times New Roman"/>
                <w:color w:val="auto"/>
                <w:kern w:val="2"/>
                <w:sz w:val="21"/>
                <w:szCs w:val="21"/>
                <w:highlight w:val="none"/>
                <w:lang w:val="en-US" w:eastAsia="zh-CN" w:bidi="ar-SA"/>
              </w:rPr>
            </w:pPr>
            <w:r>
              <w:rPr>
                <w:color w:val="000000" w:themeColor="text1"/>
                <w:kern w:val="0"/>
                <w:szCs w:val="21"/>
              </w:rPr>
              <w:t>中债综合财富（总值）指数收益率×90%+1年期定期存款利率（税后）×10%。</w:t>
            </w:r>
          </w:p>
        </w:tc>
      </w:tr>
      <w:tr w14:paraId="54254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373" w:type="dxa"/>
            <w:noWrap w:val="0"/>
            <w:vAlign w:val="center"/>
          </w:tcPr>
          <w:p w14:paraId="0C360942">
            <w:pPr>
              <w:adjustRightInd w:val="0"/>
              <w:spacing w:line="360" w:lineRule="auto"/>
              <w:rPr>
                <w:color w:val="auto"/>
                <w:szCs w:val="21"/>
                <w:highlight w:val="none"/>
              </w:rPr>
            </w:pPr>
            <w:r>
              <w:rPr>
                <w:color w:val="000000" w:themeColor="text1"/>
                <w:kern w:val="0"/>
                <w:szCs w:val="21"/>
              </w:rPr>
              <w:t>风险收益特征</w:t>
            </w:r>
          </w:p>
        </w:tc>
        <w:tc>
          <w:tcPr>
            <w:tcW w:w="6149" w:type="dxa"/>
            <w:noWrap w:val="0"/>
            <w:vAlign w:val="center"/>
          </w:tcPr>
          <w:p w14:paraId="2BFD0028">
            <w:pPr>
              <w:adjustRightInd w:val="0"/>
              <w:spacing w:line="240" w:lineRule="auto"/>
              <w:rPr>
                <w:rFonts w:hint="default" w:ascii="Times New Roman" w:hAnsi="Times New Roman" w:eastAsia="宋体" w:cs="Times New Roman"/>
                <w:color w:val="auto"/>
                <w:kern w:val="2"/>
                <w:sz w:val="21"/>
                <w:szCs w:val="21"/>
                <w:highlight w:val="none"/>
                <w:lang w:val="en-US" w:eastAsia="zh-CN" w:bidi="ar-SA"/>
              </w:rPr>
            </w:pPr>
            <w:r>
              <w:rPr>
                <w:color w:val="000000" w:themeColor="text1"/>
                <w:kern w:val="0"/>
                <w:szCs w:val="21"/>
              </w:rPr>
              <w:t>本基金为债券型基金，预期收益和预期风险高于货币市场基金，但低于混合型基金、股票型基金，属于中低风险/收益的产品。</w:t>
            </w:r>
          </w:p>
        </w:tc>
      </w:tr>
    </w:tbl>
    <w:p w14:paraId="5400558E">
      <w:pPr>
        <w:pStyle w:val="2"/>
        <w:keepNext/>
        <w:keepLines/>
        <w:widowControl w:val="0"/>
        <w:spacing w:before="312" w:beforeLines="100" w:after="312" w:afterLines="100" w:line="360" w:lineRule="auto"/>
        <w:jc w:val="center"/>
        <w:rPr>
          <w:rStyle w:val="25"/>
          <w:rFonts w:ascii="宋体" w:hAnsi="宋体"/>
          <w:b w:val="0"/>
          <w:color w:val="auto"/>
          <w:highlight w:val="none"/>
        </w:rPr>
      </w:pPr>
      <w:bookmarkStart w:id="22" w:name="_Toc409100049"/>
      <w:bookmarkStart w:id="23" w:name="_Toc361324850"/>
      <w:bookmarkStart w:id="24" w:name="_Toc225498250"/>
      <w:bookmarkStart w:id="25" w:name="_Toc409100412"/>
      <w:bookmarkStart w:id="26" w:name="_Toc491963082"/>
      <w:bookmarkStart w:id="27" w:name="_Toc484769799"/>
      <w:r>
        <w:rPr>
          <w:rStyle w:val="25"/>
          <w:rFonts w:ascii="宋体" w:hAnsi="宋体"/>
          <w:color w:val="auto"/>
          <w:highlight w:val="none"/>
        </w:rPr>
        <w:t>3</w:t>
      </w:r>
      <w:bookmarkEnd w:id="22"/>
      <w:bookmarkEnd w:id="23"/>
      <w:bookmarkEnd w:id="24"/>
      <w:bookmarkEnd w:id="25"/>
      <w:r>
        <w:rPr>
          <w:rStyle w:val="25"/>
          <w:rFonts w:hint="eastAsia" w:ascii="宋体" w:hAnsi="宋体"/>
          <w:color w:val="auto"/>
          <w:highlight w:val="none"/>
        </w:rPr>
        <w:t>、基金运作情况说明</w:t>
      </w:r>
      <w:bookmarkEnd w:id="26"/>
      <w:bookmarkEnd w:id="27"/>
    </w:p>
    <w:p w14:paraId="75791D44">
      <w:pPr>
        <w:pStyle w:val="28"/>
        <w:rPr>
          <w:color w:val="auto"/>
          <w:highlight w:val="none"/>
        </w:rPr>
      </w:pPr>
      <w:r>
        <w:rPr>
          <w:rFonts w:hint="eastAsia"/>
          <w:color w:val="auto"/>
          <w:highlight w:val="none"/>
          <w:lang w:eastAsia="zh-CN"/>
        </w:rPr>
        <w:t>本基金</w:t>
      </w:r>
      <w:r>
        <w:rPr>
          <w:rFonts w:hint="eastAsia"/>
          <w:color w:val="auto"/>
          <w:highlight w:val="none"/>
        </w:rPr>
        <w:t>经中国证监会证监许可</w:t>
      </w:r>
      <w:r>
        <w:rPr>
          <w:rFonts w:hint="eastAsia"/>
          <w:color w:val="auto"/>
          <w:szCs w:val="21"/>
          <w:highlight w:val="none"/>
          <w:lang w:val="en-US" w:eastAsia="zh-CN"/>
        </w:rPr>
        <w:t>[2019]1108</w:t>
      </w:r>
      <w:r>
        <w:rPr>
          <w:color w:val="auto"/>
          <w:u w:val="none"/>
        </w:rPr>
        <w:t>号</w:t>
      </w:r>
      <w:r>
        <w:rPr>
          <w:rFonts w:hint="eastAsia"/>
          <w:color w:val="auto"/>
          <w:highlight w:val="none"/>
        </w:rPr>
        <w:t>《关于准予</w:t>
      </w:r>
      <w:r>
        <w:rPr>
          <w:rFonts w:hint="eastAsia"/>
          <w:color w:val="auto"/>
          <w:szCs w:val="21"/>
          <w:highlight w:val="none"/>
        </w:rPr>
        <w:t>博时富顺纯债债券型证券投资基金</w:t>
      </w:r>
      <w:r>
        <w:rPr>
          <w:rFonts w:hint="eastAsia"/>
          <w:color w:val="auto"/>
          <w:highlight w:val="none"/>
        </w:rPr>
        <w:t>注册的批复》注册，由博时基金管理有限公司依照《中华人民共和国证券投资基金法》和《基金合同》负责公开募集。基金合同于</w:t>
      </w:r>
      <w:r>
        <w:rPr>
          <w:rFonts w:hint="eastAsia"/>
          <w:color w:val="auto"/>
          <w:highlight w:val="none"/>
          <w:lang w:val="en-US" w:eastAsia="zh-CN"/>
        </w:rPr>
        <w:t>2019年10月31日</w:t>
      </w:r>
      <w:r>
        <w:rPr>
          <w:rFonts w:hint="eastAsia"/>
          <w:color w:val="auto"/>
          <w:highlight w:val="none"/>
        </w:rPr>
        <w:t>正式生效，基金合同生效日的基金份额总额为</w:t>
      </w:r>
      <w:r>
        <w:rPr>
          <w:rFonts w:hint="eastAsia"/>
          <w:color w:val="auto"/>
          <w:highlight w:val="none"/>
          <w:lang w:val="en-US" w:eastAsia="zh-CN"/>
        </w:rPr>
        <w:t>210,058,123.45</w:t>
      </w:r>
      <w:r>
        <w:rPr>
          <w:rFonts w:hint="eastAsia"/>
          <w:color w:val="auto"/>
          <w:highlight w:val="none"/>
        </w:rPr>
        <w:t>份基金份额，其中认购资金利息折合</w:t>
      </w:r>
      <w:r>
        <w:rPr>
          <w:rFonts w:hint="eastAsia"/>
          <w:color w:val="auto"/>
          <w:highlight w:val="none"/>
          <w:lang w:val="en-US" w:eastAsia="zh-CN"/>
        </w:rPr>
        <w:t>36.75</w:t>
      </w:r>
      <w:r>
        <w:rPr>
          <w:rFonts w:hint="eastAsia"/>
          <w:color w:val="auto"/>
          <w:highlight w:val="none"/>
        </w:rPr>
        <w:t>份基金份额。</w:t>
      </w:r>
    </w:p>
    <w:p w14:paraId="2846F5E4">
      <w:pPr>
        <w:pStyle w:val="28"/>
        <w:rPr>
          <w:color w:val="auto"/>
          <w:highlight w:val="none"/>
        </w:rPr>
      </w:pPr>
      <w:r>
        <w:rPr>
          <w:rFonts w:hint="eastAsia"/>
          <w:color w:val="auto"/>
          <w:highlight w:val="none"/>
        </w:rPr>
        <w:t>自</w:t>
      </w:r>
      <w:r>
        <w:rPr>
          <w:rFonts w:hint="eastAsia"/>
          <w:color w:val="auto"/>
          <w:highlight w:val="none"/>
          <w:lang w:val="en-US" w:eastAsia="zh-CN"/>
        </w:rPr>
        <w:t>2019年10月31日</w:t>
      </w:r>
      <w:r>
        <w:rPr>
          <w:rFonts w:hint="eastAsia"/>
          <w:color w:val="auto"/>
          <w:highlight w:val="none"/>
        </w:rPr>
        <w:t>至</w:t>
      </w:r>
      <w:r>
        <w:rPr>
          <w:rFonts w:hint="eastAsia"/>
          <w:color w:val="auto"/>
          <w:highlight w:val="none"/>
          <w:lang w:val="en-US" w:eastAsia="zh-CN"/>
        </w:rPr>
        <w:t>2026年7月28日</w:t>
      </w:r>
      <w:r>
        <w:rPr>
          <w:rFonts w:hint="eastAsia"/>
          <w:color w:val="auto"/>
          <w:highlight w:val="none"/>
        </w:rPr>
        <w:t>期间，本基金按基金合同正常运作。</w:t>
      </w:r>
    </w:p>
    <w:p w14:paraId="02ACA347">
      <w:pPr>
        <w:pStyle w:val="28"/>
        <w:rPr>
          <w:rFonts w:ascii="Arial" w:hAnsi="Arial" w:cs="Arial"/>
          <w:color w:val="auto"/>
          <w:highlight w:val="none"/>
        </w:rPr>
      </w:pPr>
      <w:r>
        <w:rPr>
          <w:rFonts w:hint="eastAsia"/>
          <w:color w:val="auto"/>
          <w:highlight w:val="none"/>
        </w:rPr>
        <w:t>根据《</w:t>
      </w:r>
      <w:r>
        <w:rPr>
          <w:rFonts w:hint="eastAsia"/>
          <w:color w:val="auto"/>
          <w:szCs w:val="21"/>
          <w:highlight w:val="none"/>
        </w:rPr>
        <w:t>博时富顺纯债债券型证券投资基金</w:t>
      </w:r>
      <w:r>
        <w:rPr>
          <w:rFonts w:hint="eastAsia"/>
          <w:color w:val="auto"/>
          <w:highlight w:val="none"/>
        </w:rPr>
        <w:t>基金合同》以及基金管理人博时基金管理有限公司于</w:t>
      </w:r>
      <w:r>
        <w:rPr>
          <w:rFonts w:hint="eastAsia"/>
          <w:color w:val="auto"/>
          <w:highlight w:val="none"/>
          <w:lang w:val="en-US" w:eastAsia="zh-CN"/>
        </w:rPr>
        <w:t>2026年7月29日</w:t>
      </w:r>
      <w:r>
        <w:rPr>
          <w:rFonts w:hint="eastAsia"/>
          <w:color w:val="auto"/>
          <w:highlight w:val="none"/>
        </w:rPr>
        <w:t>发布的《</w:t>
      </w:r>
      <w:r>
        <w:rPr>
          <w:rFonts w:hint="eastAsia"/>
          <w:color w:val="auto"/>
          <w:highlight w:val="none"/>
          <w:lang w:eastAsia="zh-CN"/>
        </w:rPr>
        <w:t>博时基金管理有限公司关于</w:t>
      </w:r>
      <w:r>
        <w:rPr>
          <w:rFonts w:hint="eastAsia"/>
          <w:color w:val="auto"/>
          <w:szCs w:val="21"/>
          <w:highlight w:val="none"/>
        </w:rPr>
        <w:t>博时富顺纯债债券型证券投资</w:t>
      </w:r>
      <w:r>
        <w:rPr>
          <w:rFonts w:hint="eastAsia"/>
          <w:color w:val="auto"/>
          <w:szCs w:val="21"/>
          <w:highlight w:val="none"/>
          <w:lang w:val="en-US" w:eastAsia="zh-CN"/>
        </w:rPr>
        <w:t>基金</w:t>
      </w:r>
      <w:r>
        <w:rPr>
          <w:rFonts w:hint="eastAsia"/>
          <w:color w:val="auto"/>
          <w:szCs w:val="21"/>
          <w:highlight w:val="none"/>
        </w:rPr>
        <w:t>基金</w:t>
      </w:r>
      <w:r>
        <w:rPr>
          <w:rFonts w:hint="eastAsia"/>
          <w:color w:val="auto"/>
          <w:highlight w:val="none"/>
          <w:lang w:eastAsia="zh-CN"/>
        </w:rPr>
        <w:t>合同终止及基金财产清算的公告</w:t>
      </w:r>
      <w:r>
        <w:rPr>
          <w:rFonts w:hint="eastAsia"/>
          <w:color w:val="auto"/>
          <w:highlight w:val="none"/>
        </w:rPr>
        <w:t>》，截至2026年7月28日，本基金出现连续六十个工作日基金资产净值低于五千万元的情形，已触发《基金合同》中约定的基金终止条款。根据《基金合同》有关约定，博时基金管理有限公司应依据基金财产清算程序对本基金进行财产清算并终止基金合同，且无需召开基金份额持有人大会。基金的最后运作日为</w:t>
      </w:r>
      <w:r>
        <w:rPr>
          <w:rFonts w:hint="eastAsia"/>
          <w:color w:val="auto"/>
          <w:highlight w:val="none"/>
          <w:lang w:val="en-US" w:eastAsia="zh-CN"/>
        </w:rPr>
        <w:t>2026年7月28日</w:t>
      </w:r>
      <w:r>
        <w:rPr>
          <w:rFonts w:hint="eastAsia"/>
          <w:color w:val="auto"/>
          <w:highlight w:val="none"/>
        </w:rPr>
        <w:t>，自</w:t>
      </w:r>
      <w:r>
        <w:rPr>
          <w:rFonts w:hint="eastAsia"/>
          <w:color w:val="auto"/>
          <w:highlight w:val="none"/>
          <w:lang w:val="en-US" w:eastAsia="zh-CN"/>
        </w:rPr>
        <w:t>2026年7月29日</w:t>
      </w:r>
      <w:r>
        <w:rPr>
          <w:rFonts w:hint="eastAsia"/>
          <w:color w:val="auto"/>
          <w:highlight w:val="none"/>
        </w:rPr>
        <w:t>起</w:t>
      </w:r>
      <w:r>
        <w:rPr>
          <w:rFonts w:hint="eastAsia"/>
          <w:color w:val="auto"/>
          <w:highlight w:val="none"/>
          <w:lang w:eastAsia="zh-CN"/>
        </w:rPr>
        <w:t>，</w:t>
      </w:r>
      <w:r>
        <w:rPr>
          <w:rFonts w:hint="eastAsia"/>
          <w:color w:val="auto"/>
          <w:highlight w:val="none"/>
          <w:lang w:val="en-US" w:eastAsia="zh-CN"/>
        </w:rPr>
        <w:t>本基金</w:t>
      </w:r>
      <w:r>
        <w:rPr>
          <w:rFonts w:hint="eastAsia"/>
          <w:color w:val="auto"/>
          <w:highlight w:val="none"/>
        </w:rPr>
        <w:t>进入清算程序。</w:t>
      </w:r>
    </w:p>
    <w:p w14:paraId="77FF0520">
      <w:pPr>
        <w:pStyle w:val="2"/>
        <w:keepNext/>
        <w:keepLines/>
        <w:widowControl w:val="0"/>
        <w:spacing w:before="312" w:beforeLines="100" w:after="312" w:afterLines="100" w:line="360" w:lineRule="auto"/>
        <w:jc w:val="center"/>
        <w:rPr>
          <w:rStyle w:val="25"/>
          <w:rFonts w:ascii="宋体" w:hAnsi="宋体"/>
          <w:color w:val="auto"/>
          <w:highlight w:val="none"/>
        </w:rPr>
      </w:pPr>
      <w:bookmarkStart w:id="28" w:name="_Toc484769805"/>
      <w:bookmarkStart w:id="29" w:name="_Toc491963083"/>
      <w:r>
        <w:rPr>
          <w:rStyle w:val="25"/>
          <w:rFonts w:hint="eastAsia" w:ascii="宋体" w:hAnsi="宋体"/>
          <w:color w:val="auto"/>
          <w:highlight w:val="none"/>
        </w:rPr>
        <w:t>4、财务报告</w:t>
      </w:r>
      <w:bookmarkEnd w:id="28"/>
      <w:bookmarkEnd w:id="29"/>
    </w:p>
    <w:p w14:paraId="1E2BFEA8">
      <w:pPr>
        <w:pStyle w:val="3"/>
        <w:spacing w:before="0" w:after="0"/>
        <w:rPr>
          <w:rFonts w:ascii="宋体" w:hAnsi="宋体" w:eastAsia="宋体"/>
          <w:color w:val="auto"/>
          <w:kern w:val="0"/>
          <w:sz w:val="21"/>
          <w:szCs w:val="21"/>
          <w:highlight w:val="none"/>
        </w:rPr>
      </w:pPr>
      <w:bookmarkStart w:id="30" w:name="_Toc484607311"/>
      <w:bookmarkStart w:id="31" w:name="_Toc225498268"/>
      <w:bookmarkStart w:id="32" w:name="_Toc409100074"/>
      <w:bookmarkStart w:id="33" w:name="_Toc476577275"/>
      <w:bookmarkStart w:id="34" w:name="_Toc484769806"/>
      <w:bookmarkStart w:id="35" w:name="_Toc409100437"/>
      <w:bookmarkStart w:id="36" w:name="_Toc491963084"/>
      <w:bookmarkStart w:id="37" w:name="_Toc361324873"/>
      <w:bookmarkStart w:id="38" w:name="_Toc483396838"/>
      <w:r>
        <w:rPr>
          <w:rFonts w:hint="eastAsia" w:ascii="宋体" w:hAnsi="宋体" w:eastAsia="宋体"/>
          <w:color w:val="auto"/>
          <w:kern w:val="0"/>
          <w:sz w:val="21"/>
          <w:szCs w:val="21"/>
          <w:highlight w:val="none"/>
        </w:rPr>
        <w:t>4</w:t>
      </w:r>
      <w:r>
        <w:rPr>
          <w:rFonts w:ascii="宋体" w:hAnsi="宋体" w:eastAsia="宋体"/>
          <w:color w:val="auto"/>
          <w:kern w:val="0"/>
          <w:sz w:val="21"/>
          <w:szCs w:val="21"/>
          <w:highlight w:val="none"/>
        </w:rPr>
        <w:t>.1 资产负债表</w:t>
      </w:r>
      <w:bookmarkEnd w:id="30"/>
      <w:bookmarkEnd w:id="31"/>
      <w:bookmarkEnd w:id="32"/>
      <w:bookmarkEnd w:id="33"/>
      <w:bookmarkEnd w:id="34"/>
      <w:bookmarkEnd w:id="35"/>
      <w:bookmarkEnd w:id="36"/>
      <w:bookmarkEnd w:id="37"/>
      <w:bookmarkEnd w:id="38"/>
      <w:r>
        <w:rPr>
          <w:rFonts w:hint="eastAsia" w:ascii="宋体" w:hAnsi="宋体" w:eastAsia="宋体"/>
          <w:color w:val="auto"/>
          <w:kern w:val="0"/>
          <w:sz w:val="21"/>
          <w:szCs w:val="21"/>
          <w:highlight w:val="none"/>
        </w:rPr>
        <w:t>(已经审计)</w:t>
      </w:r>
    </w:p>
    <w:p w14:paraId="3151A2A5">
      <w:pPr>
        <w:autoSpaceDE w:val="0"/>
        <w:autoSpaceDN w:val="0"/>
        <w:adjustRightInd w:val="0"/>
        <w:spacing w:before="29" w:line="360" w:lineRule="auto"/>
        <w:ind w:left="15"/>
        <w:jc w:val="right"/>
        <w:rPr>
          <w:rFonts w:ascii="宋体" w:hAnsi="宋体"/>
          <w:color w:val="auto"/>
          <w:kern w:val="0"/>
          <w:szCs w:val="21"/>
          <w:highlight w:val="none"/>
        </w:rPr>
      </w:pPr>
      <w:r>
        <w:rPr>
          <w:rFonts w:ascii="宋体" w:hAnsi="宋体"/>
          <w:color w:val="auto"/>
          <w:kern w:val="0"/>
          <w:szCs w:val="21"/>
          <w:highlight w:val="none"/>
        </w:rPr>
        <w:t>单位：人民币元</w:t>
      </w:r>
    </w:p>
    <w:tbl>
      <w:tblPr>
        <w:tblStyle w:val="13"/>
        <w:tblW w:w="825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45"/>
        <w:gridCol w:w="3006"/>
      </w:tblGrid>
      <w:tr w14:paraId="393FA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45" w:type="dxa"/>
            <w:vAlign w:val="bottom"/>
          </w:tcPr>
          <w:p w14:paraId="32F679D5">
            <w:pPr>
              <w:widowControl/>
              <w:spacing w:line="240" w:lineRule="atLeast"/>
              <w:jc w:val="left"/>
              <w:rPr>
                <w:rFonts w:hint="eastAsia" w:ascii="宋体" w:hAnsi="宋体" w:eastAsia="宋体" w:cs="宋体"/>
                <w:b/>
                <w:kern w:val="0"/>
                <w:sz w:val="21"/>
                <w:szCs w:val="21"/>
              </w:rPr>
            </w:pPr>
          </w:p>
        </w:tc>
        <w:tc>
          <w:tcPr>
            <w:tcW w:w="3006" w:type="dxa"/>
            <w:vAlign w:val="bottom"/>
          </w:tcPr>
          <w:p w14:paraId="34ACA863">
            <w:pPr>
              <w:widowControl/>
              <w:spacing w:line="240" w:lineRule="atLeast"/>
              <w:jc w:val="right"/>
              <w:rPr>
                <w:rFonts w:hint="eastAsia" w:ascii="宋体" w:hAnsi="宋体" w:eastAsia="宋体" w:cs="宋体"/>
                <w:b/>
                <w:kern w:val="0"/>
                <w:sz w:val="21"/>
                <w:szCs w:val="21"/>
              </w:rPr>
            </w:pPr>
            <w:r>
              <w:rPr>
                <w:rFonts w:hint="eastAsia" w:ascii="宋体" w:hAnsi="宋体" w:eastAsia="宋体" w:cs="宋体"/>
                <w:b/>
                <w:kern w:val="0"/>
                <w:sz w:val="21"/>
                <w:szCs w:val="21"/>
              </w:rPr>
              <w:t>最后运作日</w:t>
            </w:r>
          </w:p>
          <w:p w14:paraId="5EC4A6CB">
            <w:pPr>
              <w:widowControl/>
              <w:spacing w:line="240" w:lineRule="atLeast"/>
              <w:jc w:val="right"/>
              <w:rPr>
                <w:rFonts w:hint="eastAsia" w:ascii="宋体" w:hAnsi="宋体" w:eastAsia="宋体" w:cs="宋体"/>
                <w:bCs/>
                <w:kern w:val="0"/>
                <w:sz w:val="21"/>
                <w:szCs w:val="21"/>
              </w:rPr>
            </w:pPr>
            <w:r>
              <w:rPr>
                <w:rFonts w:hint="eastAsia" w:ascii="宋体" w:hAnsi="宋体" w:eastAsia="宋体" w:cs="宋体"/>
                <w:b/>
                <w:kern w:val="0"/>
                <w:sz w:val="21"/>
                <w:szCs w:val="21"/>
              </w:rPr>
              <w:t>2026年7月28日</w:t>
            </w:r>
          </w:p>
        </w:tc>
      </w:tr>
      <w:tr w14:paraId="75034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45" w:type="dxa"/>
            <w:vAlign w:val="bottom"/>
          </w:tcPr>
          <w:p w14:paraId="5A3E0E6F">
            <w:pPr>
              <w:widowControl/>
              <w:spacing w:before="100" w:beforeAutospacing="1" w:after="100" w:afterAutospacing="1"/>
              <w:jc w:val="left"/>
              <w:rPr>
                <w:rFonts w:hint="eastAsia" w:ascii="宋体" w:hAnsi="宋体" w:eastAsia="宋体" w:cs="宋体"/>
                <w:b/>
                <w:kern w:val="0"/>
                <w:sz w:val="21"/>
                <w:szCs w:val="21"/>
              </w:rPr>
            </w:pPr>
            <w:r>
              <w:rPr>
                <w:rFonts w:hint="eastAsia" w:ascii="宋体" w:hAnsi="宋体" w:eastAsia="宋体" w:cs="宋体"/>
                <w:b/>
                <w:kern w:val="0"/>
                <w:sz w:val="21"/>
                <w:szCs w:val="21"/>
              </w:rPr>
              <w:t>资产：</w:t>
            </w:r>
          </w:p>
        </w:tc>
        <w:tc>
          <w:tcPr>
            <w:tcW w:w="3006" w:type="dxa"/>
            <w:vAlign w:val="bottom"/>
          </w:tcPr>
          <w:p w14:paraId="19BCA499">
            <w:pPr>
              <w:widowControl/>
              <w:jc w:val="right"/>
              <w:rPr>
                <w:rFonts w:hint="eastAsia" w:ascii="宋体" w:hAnsi="宋体" w:eastAsia="宋体" w:cs="宋体"/>
                <w:kern w:val="0"/>
                <w:sz w:val="21"/>
                <w:szCs w:val="21"/>
              </w:rPr>
            </w:pPr>
          </w:p>
        </w:tc>
      </w:tr>
      <w:tr w14:paraId="2AE85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245" w:type="dxa"/>
          </w:tcPr>
          <w:p w14:paraId="19CC12F5">
            <w:pPr>
              <w:widowControl/>
              <w:spacing w:before="100" w:beforeAutospacing="1" w:after="100" w:afterAutospacing="1"/>
              <w:jc w:val="left"/>
              <w:rPr>
                <w:rFonts w:hint="eastAsia" w:ascii="宋体" w:hAnsi="宋体" w:eastAsia="宋体" w:cs="宋体"/>
                <w:kern w:val="0"/>
                <w:sz w:val="21"/>
                <w:szCs w:val="21"/>
              </w:rPr>
            </w:pPr>
            <w:r>
              <w:rPr>
                <w:rFonts w:hint="eastAsia" w:ascii="宋体" w:hAnsi="宋体" w:eastAsia="宋体" w:cs="宋体"/>
                <w:kern w:val="0"/>
                <w:sz w:val="21"/>
                <w:szCs w:val="21"/>
              </w:rPr>
              <w:t>货币资金</w:t>
            </w:r>
          </w:p>
        </w:tc>
        <w:tc>
          <w:tcPr>
            <w:tcW w:w="3006" w:type="dxa"/>
            <w:vAlign w:val="bottom"/>
          </w:tcPr>
          <w:p w14:paraId="44FFF860">
            <w:pPr>
              <w:jc w:val="right"/>
              <w:rPr>
                <w:rFonts w:hint="eastAsia" w:ascii="宋体" w:hAnsi="宋体" w:eastAsia="宋体" w:cs="宋体"/>
                <w:kern w:val="0"/>
                <w:sz w:val="21"/>
                <w:szCs w:val="21"/>
              </w:rPr>
            </w:pPr>
            <w:r>
              <w:rPr>
                <w:rFonts w:hint="eastAsia" w:ascii="宋体" w:hAnsi="宋体" w:eastAsia="宋体" w:cs="宋体"/>
                <w:kern w:val="0"/>
                <w:sz w:val="21"/>
                <w:szCs w:val="21"/>
              </w:rPr>
              <w:t>333,935.05</w:t>
            </w:r>
          </w:p>
        </w:tc>
      </w:tr>
      <w:tr w14:paraId="1E342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245" w:type="dxa"/>
          </w:tcPr>
          <w:p w14:paraId="2F5CD2C4">
            <w:pPr>
              <w:widowControl/>
              <w:spacing w:before="100" w:beforeAutospacing="1" w:after="100" w:afterAutospacing="1"/>
              <w:jc w:val="left"/>
              <w:rPr>
                <w:rFonts w:hint="eastAsia" w:ascii="宋体" w:hAnsi="宋体" w:eastAsia="宋体" w:cs="宋体"/>
                <w:kern w:val="0"/>
                <w:sz w:val="21"/>
                <w:szCs w:val="21"/>
              </w:rPr>
            </w:pPr>
            <w:r>
              <w:rPr>
                <w:rFonts w:hint="eastAsia" w:ascii="宋体" w:hAnsi="宋体" w:eastAsia="宋体" w:cs="宋体"/>
                <w:kern w:val="0"/>
                <w:sz w:val="21"/>
                <w:szCs w:val="21"/>
              </w:rPr>
              <w:t>应收申购款</w:t>
            </w:r>
          </w:p>
        </w:tc>
        <w:tc>
          <w:tcPr>
            <w:tcW w:w="3006" w:type="dxa"/>
            <w:vAlign w:val="bottom"/>
          </w:tcPr>
          <w:p w14:paraId="170E648D">
            <w:pPr>
              <w:jc w:val="right"/>
              <w:rPr>
                <w:rFonts w:hint="eastAsia" w:ascii="宋体" w:hAnsi="宋体" w:eastAsia="宋体" w:cs="宋体"/>
                <w:kern w:val="0"/>
                <w:sz w:val="21"/>
                <w:szCs w:val="21"/>
              </w:rPr>
            </w:pPr>
            <w:r>
              <w:rPr>
                <w:rFonts w:hint="eastAsia" w:ascii="宋体" w:hAnsi="宋体" w:eastAsia="宋体" w:cs="宋体"/>
                <w:kern w:val="0"/>
                <w:sz w:val="21"/>
                <w:szCs w:val="21"/>
              </w:rPr>
              <w:t>2,042.97</w:t>
            </w:r>
          </w:p>
        </w:tc>
      </w:tr>
      <w:tr w14:paraId="70DFF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245" w:type="dxa"/>
          </w:tcPr>
          <w:p w14:paraId="54DE1EA0">
            <w:pPr>
              <w:widowControl/>
              <w:spacing w:before="100" w:beforeAutospacing="1" w:after="100" w:afterAutospacing="1"/>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资产总计</w:t>
            </w:r>
          </w:p>
        </w:tc>
        <w:tc>
          <w:tcPr>
            <w:tcW w:w="3006" w:type="dxa"/>
            <w:vAlign w:val="bottom"/>
          </w:tcPr>
          <w:p w14:paraId="6849C38D">
            <w:pPr>
              <w:jc w:val="right"/>
              <w:rPr>
                <w:rFonts w:hint="eastAsia" w:ascii="宋体" w:hAnsi="宋体" w:eastAsia="宋体" w:cs="宋体"/>
                <w:b/>
                <w:bCs/>
                <w:kern w:val="0"/>
                <w:sz w:val="21"/>
                <w:szCs w:val="21"/>
              </w:rPr>
            </w:pPr>
            <w:r>
              <w:rPr>
                <w:rFonts w:hint="eastAsia" w:ascii="宋体" w:hAnsi="宋体" w:eastAsia="宋体" w:cs="宋体"/>
                <w:b/>
                <w:bCs/>
                <w:kern w:val="0"/>
                <w:sz w:val="21"/>
                <w:szCs w:val="21"/>
              </w:rPr>
              <w:t>335,978.02</w:t>
            </w:r>
          </w:p>
        </w:tc>
      </w:tr>
      <w:tr w14:paraId="21261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45" w:type="dxa"/>
            <w:vAlign w:val="bottom"/>
          </w:tcPr>
          <w:p w14:paraId="5B80DCD0">
            <w:pPr>
              <w:widowControl/>
              <w:spacing w:before="100" w:beforeAutospacing="1" w:after="100" w:afterAutospacing="1"/>
              <w:jc w:val="left"/>
              <w:rPr>
                <w:rFonts w:hint="eastAsia" w:ascii="宋体" w:hAnsi="宋体" w:eastAsia="宋体" w:cs="宋体"/>
                <w:kern w:val="0"/>
                <w:sz w:val="21"/>
                <w:szCs w:val="21"/>
              </w:rPr>
            </w:pPr>
            <w:r>
              <w:rPr>
                <w:rFonts w:hint="eastAsia" w:ascii="宋体" w:hAnsi="宋体" w:eastAsia="宋体" w:cs="宋体"/>
                <w:b/>
                <w:kern w:val="0"/>
                <w:sz w:val="21"/>
                <w:szCs w:val="21"/>
              </w:rPr>
              <w:t>负债：</w:t>
            </w:r>
          </w:p>
        </w:tc>
        <w:tc>
          <w:tcPr>
            <w:tcW w:w="3006" w:type="dxa"/>
            <w:vAlign w:val="bottom"/>
          </w:tcPr>
          <w:p w14:paraId="79A3EF73">
            <w:pPr>
              <w:jc w:val="right"/>
              <w:rPr>
                <w:rFonts w:hint="eastAsia" w:ascii="宋体" w:hAnsi="宋体" w:eastAsia="宋体" w:cs="宋体"/>
                <w:sz w:val="21"/>
                <w:szCs w:val="21"/>
              </w:rPr>
            </w:pPr>
          </w:p>
        </w:tc>
      </w:tr>
      <w:tr w14:paraId="3872B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245" w:type="dxa"/>
          </w:tcPr>
          <w:p w14:paraId="33C3818D">
            <w:pPr>
              <w:widowControl/>
              <w:spacing w:before="100" w:beforeAutospacing="1" w:after="100" w:afterAutospacing="1"/>
              <w:jc w:val="left"/>
              <w:rPr>
                <w:rFonts w:hint="eastAsia" w:ascii="宋体" w:hAnsi="宋体" w:eastAsia="宋体" w:cs="宋体"/>
                <w:kern w:val="0"/>
                <w:sz w:val="21"/>
                <w:szCs w:val="21"/>
              </w:rPr>
            </w:pPr>
            <w:r>
              <w:rPr>
                <w:rFonts w:hint="eastAsia" w:ascii="宋体" w:hAnsi="宋体" w:eastAsia="宋体" w:cs="宋体"/>
                <w:kern w:val="0"/>
                <w:sz w:val="21"/>
                <w:szCs w:val="21"/>
              </w:rPr>
              <w:t>应付赎回款</w:t>
            </w:r>
          </w:p>
        </w:tc>
        <w:tc>
          <w:tcPr>
            <w:tcW w:w="3006" w:type="dxa"/>
            <w:vAlign w:val="bottom"/>
          </w:tcPr>
          <w:p w14:paraId="6E4DC45A">
            <w:pPr>
              <w:jc w:val="right"/>
              <w:rPr>
                <w:rFonts w:hint="eastAsia" w:ascii="宋体" w:hAnsi="宋体" w:eastAsia="宋体" w:cs="宋体"/>
                <w:kern w:val="0"/>
                <w:sz w:val="21"/>
                <w:szCs w:val="21"/>
              </w:rPr>
            </w:pPr>
            <w:r>
              <w:rPr>
                <w:rFonts w:hint="eastAsia" w:ascii="宋体" w:hAnsi="宋体" w:eastAsia="宋体" w:cs="宋体"/>
                <w:kern w:val="0"/>
                <w:sz w:val="21"/>
                <w:szCs w:val="21"/>
              </w:rPr>
              <w:t>175.64</w:t>
            </w:r>
          </w:p>
        </w:tc>
      </w:tr>
      <w:tr w14:paraId="7ECA3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245" w:type="dxa"/>
          </w:tcPr>
          <w:p w14:paraId="400949CB">
            <w:pPr>
              <w:widowControl/>
              <w:spacing w:before="100" w:beforeAutospacing="1" w:after="100" w:afterAutospacing="1"/>
              <w:jc w:val="left"/>
              <w:rPr>
                <w:rFonts w:hint="eastAsia" w:ascii="宋体" w:hAnsi="宋体" w:eastAsia="宋体" w:cs="宋体"/>
                <w:kern w:val="0"/>
                <w:sz w:val="21"/>
                <w:szCs w:val="21"/>
              </w:rPr>
            </w:pPr>
            <w:r>
              <w:rPr>
                <w:rFonts w:hint="eastAsia" w:ascii="宋体" w:hAnsi="宋体" w:eastAsia="宋体" w:cs="宋体"/>
                <w:kern w:val="0"/>
                <w:sz w:val="21"/>
                <w:szCs w:val="21"/>
              </w:rPr>
              <w:t>应付管理人报酬</w:t>
            </w:r>
          </w:p>
        </w:tc>
        <w:tc>
          <w:tcPr>
            <w:tcW w:w="3006" w:type="dxa"/>
            <w:vAlign w:val="bottom"/>
          </w:tcPr>
          <w:p w14:paraId="3F60C74A">
            <w:pPr>
              <w:jc w:val="right"/>
              <w:rPr>
                <w:rFonts w:hint="eastAsia" w:ascii="宋体" w:hAnsi="宋体" w:eastAsia="宋体" w:cs="宋体"/>
                <w:kern w:val="0"/>
                <w:sz w:val="21"/>
                <w:szCs w:val="21"/>
              </w:rPr>
            </w:pPr>
            <w:r>
              <w:rPr>
                <w:rFonts w:hint="eastAsia" w:ascii="宋体" w:hAnsi="宋体" w:eastAsia="宋体" w:cs="宋体"/>
                <w:kern w:val="0"/>
                <w:sz w:val="21"/>
                <w:szCs w:val="21"/>
              </w:rPr>
              <w:t>2,325.92</w:t>
            </w:r>
          </w:p>
        </w:tc>
      </w:tr>
      <w:tr w14:paraId="2133E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245" w:type="dxa"/>
          </w:tcPr>
          <w:p w14:paraId="21AE85A8">
            <w:pPr>
              <w:widowControl/>
              <w:spacing w:before="100" w:beforeAutospacing="1" w:after="100" w:afterAutospacing="1"/>
              <w:jc w:val="left"/>
              <w:rPr>
                <w:rFonts w:hint="eastAsia" w:ascii="宋体" w:hAnsi="宋体" w:eastAsia="宋体" w:cs="宋体"/>
                <w:kern w:val="0"/>
                <w:sz w:val="21"/>
                <w:szCs w:val="21"/>
              </w:rPr>
            </w:pPr>
            <w:r>
              <w:rPr>
                <w:rFonts w:hint="eastAsia" w:ascii="宋体" w:hAnsi="宋体" w:eastAsia="宋体" w:cs="宋体"/>
                <w:kern w:val="0"/>
                <w:sz w:val="21"/>
                <w:szCs w:val="21"/>
              </w:rPr>
              <w:t>应付托管费</w:t>
            </w:r>
          </w:p>
        </w:tc>
        <w:tc>
          <w:tcPr>
            <w:tcW w:w="3006" w:type="dxa"/>
            <w:vAlign w:val="bottom"/>
          </w:tcPr>
          <w:p w14:paraId="3F4A51E0">
            <w:pPr>
              <w:jc w:val="right"/>
              <w:rPr>
                <w:rFonts w:hint="eastAsia" w:ascii="宋体" w:hAnsi="宋体" w:eastAsia="宋体" w:cs="宋体"/>
                <w:kern w:val="0"/>
                <w:sz w:val="21"/>
                <w:szCs w:val="21"/>
              </w:rPr>
            </w:pPr>
            <w:r>
              <w:rPr>
                <w:rFonts w:hint="eastAsia" w:ascii="宋体" w:hAnsi="宋体" w:eastAsia="宋体" w:cs="宋体"/>
                <w:kern w:val="0"/>
                <w:sz w:val="21"/>
                <w:szCs w:val="21"/>
              </w:rPr>
              <w:t>775.28</w:t>
            </w:r>
          </w:p>
        </w:tc>
      </w:tr>
      <w:tr w14:paraId="26280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5245" w:type="dxa"/>
          </w:tcPr>
          <w:p w14:paraId="307A26D2">
            <w:pPr>
              <w:widowControl/>
              <w:spacing w:before="100" w:beforeAutospacing="1" w:after="100" w:afterAutospacing="1"/>
              <w:jc w:val="left"/>
              <w:rPr>
                <w:rFonts w:hint="eastAsia" w:ascii="宋体" w:hAnsi="宋体" w:eastAsia="宋体" w:cs="宋体"/>
                <w:kern w:val="0"/>
                <w:sz w:val="21"/>
                <w:szCs w:val="21"/>
              </w:rPr>
            </w:pPr>
            <w:r>
              <w:rPr>
                <w:rFonts w:hint="eastAsia" w:ascii="宋体" w:hAnsi="宋体" w:eastAsia="宋体" w:cs="宋体"/>
                <w:kern w:val="0"/>
                <w:sz w:val="21"/>
                <w:szCs w:val="21"/>
              </w:rPr>
              <w:t>应付销售服务费</w:t>
            </w:r>
          </w:p>
        </w:tc>
        <w:tc>
          <w:tcPr>
            <w:tcW w:w="3006" w:type="dxa"/>
            <w:vAlign w:val="bottom"/>
          </w:tcPr>
          <w:p w14:paraId="59301F27">
            <w:pPr>
              <w:jc w:val="right"/>
              <w:rPr>
                <w:rFonts w:hint="eastAsia" w:ascii="宋体" w:hAnsi="宋体" w:eastAsia="宋体" w:cs="宋体"/>
                <w:kern w:val="0"/>
                <w:sz w:val="21"/>
                <w:szCs w:val="21"/>
              </w:rPr>
            </w:pPr>
            <w:r>
              <w:rPr>
                <w:rFonts w:hint="eastAsia" w:ascii="宋体" w:hAnsi="宋体" w:eastAsia="宋体" w:cs="宋体"/>
                <w:kern w:val="0"/>
                <w:sz w:val="21"/>
                <w:szCs w:val="21"/>
              </w:rPr>
              <w:t>747.05</w:t>
            </w:r>
          </w:p>
        </w:tc>
      </w:tr>
      <w:tr w14:paraId="4CEF2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5245" w:type="dxa"/>
          </w:tcPr>
          <w:p w14:paraId="256D8090">
            <w:pPr>
              <w:widowControl/>
              <w:spacing w:before="100" w:beforeAutospacing="1" w:after="100" w:afterAutospacing="1"/>
              <w:jc w:val="left"/>
              <w:rPr>
                <w:rFonts w:hint="eastAsia" w:ascii="宋体" w:hAnsi="宋体" w:eastAsia="宋体" w:cs="宋体"/>
                <w:kern w:val="0"/>
                <w:sz w:val="21"/>
                <w:szCs w:val="21"/>
              </w:rPr>
            </w:pPr>
            <w:r>
              <w:rPr>
                <w:rFonts w:hint="eastAsia" w:ascii="宋体" w:hAnsi="宋体" w:eastAsia="宋体" w:cs="宋体"/>
                <w:kern w:val="0"/>
                <w:sz w:val="21"/>
                <w:szCs w:val="21"/>
              </w:rPr>
              <w:t>其他负债</w:t>
            </w:r>
          </w:p>
        </w:tc>
        <w:tc>
          <w:tcPr>
            <w:tcW w:w="3006" w:type="dxa"/>
            <w:vAlign w:val="bottom"/>
          </w:tcPr>
          <w:p w14:paraId="74E9EB27">
            <w:pPr>
              <w:widowControl/>
              <w:spacing w:before="100" w:beforeAutospacing="1" w:after="100" w:afterAutospacing="1"/>
              <w:jc w:val="right"/>
              <w:rPr>
                <w:rFonts w:hint="eastAsia" w:ascii="宋体" w:hAnsi="宋体" w:eastAsia="宋体" w:cs="宋体"/>
                <w:kern w:val="0"/>
                <w:sz w:val="21"/>
                <w:szCs w:val="21"/>
              </w:rPr>
            </w:pPr>
            <w:r>
              <w:rPr>
                <w:rFonts w:hint="eastAsia" w:ascii="宋体" w:hAnsi="宋体" w:eastAsia="宋体" w:cs="宋体"/>
                <w:kern w:val="0"/>
                <w:sz w:val="21"/>
                <w:szCs w:val="21"/>
              </w:rPr>
              <w:t>130,150.43</w:t>
            </w:r>
          </w:p>
        </w:tc>
      </w:tr>
      <w:tr w14:paraId="05EC9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245" w:type="dxa"/>
          </w:tcPr>
          <w:p w14:paraId="0D6BC906">
            <w:pPr>
              <w:widowControl/>
              <w:spacing w:before="100" w:beforeAutospacing="1" w:after="100" w:afterAutospacing="1"/>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负债总计</w:t>
            </w:r>
          </w:p>
        </w:tc>
        <w:tc>
          <w:tcPr>
            <w:tcW w:w="3006" w:type="dxa"/>
            <w:vAlign w:val="bottom"/>
          </w:tcPr>
          <w:p w14:paraId="7B0B91FD">
            <w:pPr>
              <w:widowControl/>
              <w:spacing w:before="100" w:beforeAutospacing="1" w:after="100" w:afterAutospacing="1"/>
              <w:jc w:val="right"/>
              <w:rPr>
                <w:rFonts w:hint="eastAsia" w:ascii="宋体" w:hAnsi="宋体" w:eastAsia="宋体" w:cs="宋体"/>
                <w:b/>
                <w:bCs/>
                <w:kern w:val="0"/>
                <w:sz w:val="21"/>
                <w:szCs w:val="21"/>
              </w:rPr>
            </w:pPr>
            <w:r>
              <w:rPr>
                <w:rFonts w:hint="eastAsia" w:ascii="宋体" w:hAnsi="宋体" w:eastAsia="宋体" w:cs="宋体"/>
                <w:b/>
                <w:bCs/>
                <w:kern w:val="0"/>
                <w:sz w:val="21"/>
                <w:szCs w:val="21"/>
              </w:rPr>
              <w:t>134,174.32</w:t>
            </w:r>
          </w:p>
        </w:tc>
      </w:tr>
      <w:tr w14:paraId="38BEA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45" w:type="dxa"/>
            <w:vAlign w:val="bottom"/>
          </w:tcPr>
          <w:p w14:paraId="60F23F55">
            <w:pPr>
              <w:widowControl/>
              <w:spacing w:before="100" w:beforeAutospacing="1" w:after="100" w:afterAutospacing="1"/>
              <w:jc w:val="left"/>
              <w:rPr>
                <w:rFonts w:hint="eastAsia" w:ascii="宋体" w:hAnsi="宋体" w:eastAsia="宋体" w:cs="宋体"/>
                <w:kern w:val="0"/>
                <w:sz w:val="21"/>
                <w:szCs w:val="21"/>
              </w:rPr>
            </w:pPr>
            <w:r>
              <w:rPr>
                <w:rFonts w:hint="eastAsia" w:ascii="宋体" w:hAnsi="宋体" w:eastAsia="宋体" w:cs="宋体"/>
                <w:b/>
                <w:kern w:val="0"/>
                <w:sz w:val="21"/>
                <w:szCs w:val="21"/>
              </w:rPr>
              <w:t>净资产：</w:t>
            </w:r>
          </w:p>
        </w:tc>
        <w:tc>
          <w:tcPr>
            <w:tcW w:w="3006" w:type="dxa"/>
            <w:vAlign w:val="bottom"/>
          </w:tcPr>
          <w:p w14:paraId="4874827C">
            <w:pPr>
              <w:jc w:val="right"/>
              <w:rPr>
                <w:rFonts w:hint="eastAsia" w:ascii="宋体" w:hAnsi="宋体" w:eastAsia="宋体" w:cs="宋体"/>
                <w:color w:val="000000"/>
                <w:sz w:val="21"/>
                <w:szCs w:val="21"/>
              </w:rPr>
            </w:pPr>
          </w:p>
        </w:tc>
      </w:tr>
      <w:tr w14:paraId="7EE72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245" w:type="dxa"/>
            <w:vAlign w:val="bottom"/>
          </w:tcPr>
          <w:p w14:paraId="059B5B8E">
            <w:pPr>
              <w:widowControl/>
              <w:spacing w:before="100" w:beforeAutospacing="1" w:after="100" w:afterAutospacing="1"/>
              <w:jc w:val="left"/>
              <w:rPr>
                <w:rFonts w:hint="eastAsia" w:ascii="宋体" w:hAnsi="宋体" w:eastAsia="宋体" w:cs="宋体"/>
                <w:b/>
                <w:kern w:val="0"/>
                <w:sz w:val="21"/>
                <w:szCs w:val="21"/>
              </w:rPr>
            </w:pPr>
            <w:r>
              <w:rPr>
                <w:rFonts w:hint="eastAsia" w:ascii="宋体" w:hAnsi="宋体" w:eastAsia="宋体" w:cs="宋体"/>
                <w:kern w:val="0"/>
                <w:sz w:val="21"/>
                <w:szCs w:val="21"/>
              </w:rPr>
              <w:t>实收基金</w:t>
            </w:r>
          </w:p>
        </w:tc>
        <w:tc>
          <w:tcPr>
            <w:tcW w:w="3006" w:type="dxa"/>
            <w:vAlign w:val="bottom"/>
          </w:tcPr>
          <w:p w14:paraId="341403EB">
            <w:pPr>
              <w:jc w:val="right"/>
              <w:rPr>
                <w:rFonts w:hint="eastAsia" w:ascii="宋体" w:hAnsi="宋体" w:eastAsia="宋体" w:cs="宋体"/>
                <w:color w:val="000000"/>
                <w:sz w:val="21"/>
                <w:szCs w:val="21"/>
              </w:rPr>
            </w:pPr>
            <w:r>
              <w:rPr>
                <w:rFonts w:hint="eastAsia" w:ascii="宋体" w:hAnsi="宋体" w:eastAsia="宋体" w:cs="宋体"/>
                <w:sz w:val="21"/>
                <w:szCs w:val="21"/>
              </w:rPr>
              <w:t>178,890.71</w:t>
            </w:r>
          </w:p>
        </w:tc>
      </w:tr>
      <w:tr w14:paraId="5F3AD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245" w:type="dxa"/>
            <w:vAlign w:val="bottom"/>
          </w:tcPr>
          <w:p w14:paraId="04605868">
            <w:pPr>
              <w:widowControl/>
              <w:spacing w:before="100" w:beforeAutospacing="1" w:after="100" w:afterAutospacing="1"/>
              <w:jc w:val="left"/>
              <w:rPr>
                <w:rFonts w:hint="eastAsia" w:ascii="宋体" w:hAnsi="宋体" w:eastAsia="宋体" w:cs="宋体"/>
                <w:kern w:val="0"/>
                <w:sz w:val="21"/>
                <w:szCs w:val="21"/>
              </w:rPr>
            </w:pPr>
            <w:r>
              <w:rPr>
                <w:rFonts w:hint="eastAsia" w:ascii="宋体" w:hAnsi="宋体" w:eastAsia="宋体" w:cs="宋体"/>
                <w:kern w:val="0"/>
                <w:sz w:val="21"/>
                <w:szCs w:val="21"/>
              </w:rPr>
              <w:t>未分配利润</w:t>
            </w:r>
          </w:p>
        </w:tc>
        <w:tc>
          <w:tcPr>
            <w:tcW w:w="3006" w:type="dxa"/>
            <w:vAlign w:val="bottom"/>
          </w:tcPr>
          <w:p w14:paraId="7F2C3D5B">
            <w:pPr>
              <w:jc w:val="right"/>
              <w:rPr>
                <w:rFonts w:hint="eastAsia" w:ascii="宋体" w:hAnsi="宋体" w:eastAsia="宋体" w:cs="宋体"/>
                <w:color w:val="000000"/>
                <w:sz w:val="21"/>
                <w:szCs w:val="21"/>
              </w:rPr>
            </w:pPr>
            <w:r>
              <w:rPr>
                <w:rFonts w:hint="eastAsia" w:ascii="宋体" w:hAnsi="宋体" w:eastAsia="宋体" w:cs="宋体"/>
                <w:sz w:val="21"/>
                <w:szCs w:val="21"/>
              </w:rPr>
              <w:t>22,912.99</w:t>
            </w:r>
          </w:p>
        </w:tc>
      </w:tr>
      <w:tr w14:paraId="3ED83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245" w:type="dxa"/>
            <w:vAlign w:val="bottom"/>
          </w:tcPr>
          <w:p w14:paraId="6FB20187">
            <w:pPr>
              <w:widowControl/>
              <w:spacing w:before="100" w:beforeAutospacing="1" w:after="100" w:afterAutospacing="1"/>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净资产合计</w:t>
            </w:r>
          </w:p>
        </w:tc>
        <w:tc>
          <w:tcPr>
            <w:tcW w:w="3006" w:type="dxa"/>
            <w:vAlign w:val="bottom"/>
          </w:tcPr>
          <w:p w14:paraId="1AF18717">
            <w:pPr>
              <w:jc w:val="right"/>
              <w:rPr>
                <w:rFonts w:hint="eastAsia" w:ascii="宋体" w:hAnsi="宋体" w:eastAsia="宋体" w:cs="宋体"/>
                <w:b/>
                <w:bCs/>
                <w:color w:val="000000"/>
                <w:sz w:val="21"/>
                <w:szCs w:val="21"/>
              </w:rPr>
            </w:pPr>
            <w:r>
              <w:rPr>
                <w:rFonts w:hint="eastAsia" w:ascii="宋体" w:hAnsi="宋体" w:eastAsia="宋体" w:cs="宋体"/>
                <w:b/>
                <w:bCs/>
                <w:sz w:val="21"/>
                <w:szCs w:val="21"/>
              </w:rPr>
              <w:t>201,803.70</w:t>
            </w:r>
          </w:p>
        </w:tc>
      </w:tr>
      <w:tr w14:paraId="7BEAE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5245" w:type="dxa"/>
            <w:vAlign w:val="bottom"/>
          </w:tcPr>
          <w:p w14:paraId="07F5A01F">
            <w:pPr>
              <w:widowControl/>
              <w:spacing w:before="100" w:beforeAutospacing="1" w:after="100" w:afterAutospacing="1"/>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负债和净资产总计</w:t>
            </w:r>
          </w:p>
        </w:tc>
        <w:tc>
          <w:tcPr>
            <w:tcW w:w="3006" w:type="dxa"/>
            <w:vAlign w:val="bottom"/>
          </w:tcPr>
          <w:p w14:paraId="750C822D">
            <w:pPr>
              <w:jc w:val="right"/>
              <w:rPr>
                <w:rFonts w:hint="eastAsia" w:ascii="宋体" w:hAnsi="宋体" w:eastAsia="宋体" w:cs="宋体"/>
                <w:b/>
                <w:bCs/>
                <w:color w:val="000000"/>
                <w:sz w:val="21"/>
                <w:szCs w:val="21"/>
              </w:rPr>
            </w:pPr>
            <w:r>
              <w:rPr>
                <w:rFonts w:hint="eastAsia" w:ascii="宋体" w:hAnsi="宋体" w:eastAsia="宋体" w:cs="宋体"/>
                <w:b/>
                <w:bCs/>
                <w:sz w:val="21"/>
                <w:szCs w:val="21"/>
              </w:rPr>
              <w:t>335,978.02</w:t>
            </w:r>
          </w:p>
        </w:tc>
      </w:tr>
    </w:tbl>
    <w:p w14:paraId="7455B234">
      <w:pPr>
        <w:pStyle w:val="28"/>
        <w:rPr>
          <w:color w:val="auto"/>
          <w:highlight w:val="none"/>
        </w:rPr>
      </w:pPr>
      <w:r>
        <w:rPr>
          <w:rFonts w:hint="eastAsia"/>
          <w:color w:val="auto"/>
          <w:highlight w:val="none"/>
        </w:rPr>
        <w:t>注：报告截止日</w:t>
      </w:r>
      <w:r>
        <w:rPr>
          <w:rFonts w:hint="eastAsia"/>
          <w:color w:val="auto"/>
          <w:highlight w:val="none"/>
          <w:lang w:val="en-US" w:eastAsia="zh-CN"/>
        </w:rPr>
        <w:t>2026年7月28日</w:t>
      </w:r>
      <w:r>
        <w:rPr>
          <w:rFonts w:hint="eastAsia"/>
          <w:color w:val="auto"/>
          <w:highlight w:val="none"/>
        </w:rPr>
        <w:t>(基金最后运作日)，基金份额总额178,890.71份，其中</w:t>
      </w:r>
      <w:r>
        <w:rPr>
          <w:rFonts w:hint="eastAsia"/>
          <w:color w:val="auto"/>
          <w:highlight w:val="none"/>
          <w:lang w:val="en-US" w:eastAsia="zh-CN"/>
        </w:rPr>
        <w:t>A</w:t>
      </w:r>
      <w:r>
        <w:rPr>
          <w:color w:val="auto"/>
          <w:u w:val="none"/>
        </w:rPr>
        <w:t>类</w:t>
      </w:r>
      <w:r>
        <w:rPr>
          <w:rFonts w:hint="eastAsia"/>
          <w:color w:val="auto"/>
          <w:highlight w:val="none"/>
        </w:rPr>
        <w:t>基金份额净值1.1285元，基金份额</w:t>
      </w:r>
      <w:r>
        <w:rPr>
          <w:rFonts w:hint="eastAsia"/>
          <w:color w:val="auto"/>
          <w:kern w:val="0"/>
          <w:szCs w:val="21"/>
          <w:highlight w:val="none"/>
          <w:lang w:val="en-US" w:eastAsia="zh-CN"/>
        </w:rPr>
        <w:t>155,690.30</w:t>
      </w:r>
      <w:r>
        <w:rPr>
          <w:rFonts w:hint="eastAsia"/>
          <w:color w:val="auto"/>
          <w:highlight w:val="none"/>
        </w:rPr>
        <w:t>份；</w:t>
      </w:r>
      <w:r>
        <w:rPr>
          <w:rFonts w:hint="eastAsia"/>
          <w:color w:val="auto"/>
          <w:highlight w:val="none"/>
          <w:lang w:val="en-US" w:eastAsia="zh-CN"/>
        </w:rPr>
        <w:t>C</w:t>
      </w:r>
      <w:r>
        <w:rPr>
          <w:color w:val="auto"/>
          <w:u w:val="none"/>
        </w:rPr>
        <w:t>类</w:t>
      </w:r>
      <w:r>
        <w:rPr>
          <w:rFonts w:hint="eastAsia"/>
          <w:color w:val="auto"/>
          <w:highlight w:val="none"/>
        </w:rPr>
        <w:t>基金份额净值1.1251元，基金份额</w:t>
      </w:r>
      <w:r>
        <w:rPr>
          <w:rFonts w:hint="eastAsia"/>
          <w:color w:val="auto"/>
          <w:kern w:val="0"/>
          <w:szCs w:val="21"/>
          <w:highlight w:val="none"/>
          <w:lang w:val="en-US" w:eastAsia="zh-CN"/>
        </w:rPr>
        <w:t>23,200.41</w:t>
      </w:r>
      <w:r>
        <w:rPr>
          <w:rFonts w:hint="eastAsia"/>
          <w:color w:val="auto"/>
          <w:highlight w:val="none"/>
        </w:rPr>
        <w:t>份。</w:t>
      </w:r>
    </w:p>
    <w:p w14:paraId="1969F906">
      <w:pPr>
        <w:pStyle w:val="3"/>
        <w:spacing w:before="0" w:after="0"/>
        <w:rPr>
          <w:rFonts w:ascii="宋体" w:hAnsi="宋体" w:eastAsia="宋体"/>
          <w:color w:val="auto"/>
          <w:kern w:val="0"/>
          <w:sz w:val="21"/>
          <w:szCs w:val="21"/>
          <w:highlight w:val="none"/>
        </w:rPr>
      </w:pPr>
      <w:bookmarkStart w:id="39" w:name="_Toc484769807"/>
      <w:bookmarkStart w:id="40" w:name="_Toc491963085"/>
      <w:r>
        <w:rPr>
          <w:rFonts w:hint="eastAsia" w:ascii="宋体" w:hAnsi="宋体" w:eastAsia="宋体"/>
          <w:color w:val="auto"/>
          <w:kern w:val="0"/>
          <w:sz w:val="21"/>
          <w:szCs w:val="21"/>
          <w:highlight w:val="none"/>
        </w:rPr>
        <w:t>4</w:t>
      </w:r>
      <w:r>
        <w:rPr>
          <w:rFonts w:ascii="宋体" w:hAnsi="宋体" w:eastAsia="宋体"/>
          <w:color w:val="auto"/>
          <w:kern w:val="0"/>
          <w:sz w:val="21"/>
          <w:szCs w:val="21"/>
          <w:highlight w:val="none"/>
        </w:rPr>
        <w:t xml:space="preserve">.2 </w:t>
      </w:r>
      <w:r>
        <w:rPr>
          <w:rFonts w:hint="eastAsia" w:ascii="宋体" w:hAnsi="宋体" w:eastAsia="宋体"/>
          <w:color w:val="auto"/>
          <w:kern w:val="0"/>
          <w:sz w:val="21"/>
          <w:szCs w:val="21"/>
          <w:highlight w:val="none"/>
        </w:rPr>
        <w:t>清算损益表</w:t>
      </w:r>
      <w:bookmarkEnd w:id="39"/>
      <w:bookmarkEnd w:id="40"/>
    </w:p>
    <w:tbl>
      <w:tblPr>
        <w:tblStyle w:val="13"/>
        <w:tblW w:w="79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495"/>
        <w:gridCol w:w="4408"/>
      </w:tblGrid>
      <w:tr w14:paraId="3E45A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7C089215">
            <w:pPr>
              <w:pStyle w:val="11"/>
              <w:jc w:val="center"/>
              <w:rPr>
                <w:rFonts w:ascii="宋体" w:hAnsi="宋体" w:eastAsia="宋体"/>
                <w:b/>
                <w:color w:val="auto"/>
                <w:sz w:val="21"/>
                <w:szCs w:val="21"/>
                <w:highlight w:val="none"/>
              </w:rPr>
            </w:pPr>
            <w:r>
              <w:rPr>
                <w:rFonts w:ascii="宋体" w:hAnsi="宋体" w:eastAsia="宋体"/>
                <w:b/>
                <w:color w:val="auto"/>
                <w:sz w:val="21"/>
                <w:szCs w:val="21"/>
                <w:highlight w:val="none"/>
              </w:rPr>
              <w:t>项目</w:t>
            </w:r>
          </w:p>
        </w:tc>
        <w:tc>
          <w:tcPr>
            <w:tcW w:w="4408" w:type="dxa"/>
            <w:noWrap w:val="0"/>
            <w:vAlign w:val="center"/>
          </w:tcPr>
          <w:p w14:paraId="6CDAD712">
            <w:pPr>
              <w:pStyle w:val="11"/>
              <w:spacing w:before="0" w:beforeAutospacing="0" w:after="0" w:afterAutospacing="0"/>
              <w:jc w:val="center"/>
              <w:rPr>
                <w:rFonts w:ascii="宋体" w:hAnsi="宋体" w:eastAsia="宋体"/>
                <w:b/>
                <w:color w:val="auto"/>
                <w:sz w:val="21"/>
                <w:szCs w:val="21"/>
                <w:highlight w:val="none"/>
                <w:lang w:eastAsia="zh-CN"/>
              </w:rPr>
            </w:pPr>
            <w:r>
              <w:rPr>
                <w:rFonts w:hint="eastAsia" w:ascii="宋体" w:hAnsi="宋体" w:eastAsia="宋体"/>
                <w:b/>
                <w:color w:val="auto"/>
                <w:sz w:val="21"/>
                <w:szCs w:val="21"/>
                <w:highlight w:val="none"/>
                <w:lang w:val="en-US" w:eastAsia="zh-CN"/>
              </w:rPr>
              <w:t>2026年7月29日</w:t>
            </w:r>
            <w:r>
              <w:rPr>
                <w:rFonts w:ascii="宋体" w:hAnsi="宋体" w:eastAsia="宋体"/>
                <w:b/>
                <w:color w:val="auto"/>
                <w:sz w:val="21"/>
                <w:szCs w:val="21"/>
                <w:highlight w:val="none"/>
                <w:lang w:eastAsia="zh-CN"/>
              </w:rPr>
              <w:t>至</w:t>
            </w:r>
            <w:r>
              <w:rPr>
                <w:rFonts w:hint="eastAsia" w:ascii="宋体" w:hAnsi="宋体" w:eastAsia="宋体"/>
                <w:b/>
                <w:color w:val="auto"/>
                <w:sz w:val="21"/>
                <w:szCs w:val="21"/>
                <w:highlight w:val="none"/>
                <w:lang w:eastAsia="zh-CN"/>
              </w:rPr>
              <w:t>2026年8月5日</w:t>
            </w:r>
          </w:p>
          <w:p w14:paraId="7508651A">
            <w:pPr>
              <w:pStyle w:val="11"/>
              <w:spacing w:before="0" w:beforeAutospacing="0" w:after="0" w:afterAutospacing="0"/>
              <w:jc w:val="center"/>
              <w:rPr>
                <w:rFonts w:ascii="宋体" w:hAnsi="宋体" w:eastAsia="宋体"/>
                <w:b/>
                <w:color w:val="auto"/>
                <w:sz w:val="21"/>
                <w:szCs w:val="21"/>
                <w:highlight w:val="none"/>
                <w:lang w:eastAsia="zh-CN"/>
              </w:rPr>
            </w:pPr>
            <w:r>
              <w:rPr>
                <w:rFonts w:hint="eastAsia" w:ascii="宋体" w:hAnsi="宋体" w:eastAsia="宋体"/>
                <w:b/>
                <w:color w:val="auto"/>
                <w:sz w:val="21"/>
                <w:szCs w:val="21"/>
                <w:highlight w:val="none"/>
                <w:lang w:eastAsia="zh-CN"/>
              </w:rPr>
              <w:t>（清算期间）</w:t>
            </w:r>
          </w:p>
        </w:tc>
      </w:tr>
      <w:tr w14:paraId="163B43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01EFC058">
            <w:pPr>
              <w:rPr>
                <w:rFonts w:ascii="宋体" w:hAnsi="宋体"/>
                <w:b/>
                <w:color w:val="auto"/>
                <w:sz w:val="21"/>
                <w:szCs w:val="21"/>
                <w:highlight w:val="none"/>
              </w:rPr>
            </w:pPr>
            <w:r>
              <w:rPr>
                <w:rFonts w:hint="eastAsia"/>
                <w:b/>
                <w:bCs/>
                <w:color w:val="auto"/>
                <w:sz w:val="21"/>
                <w:szCs w:val="21"/>
                <w:highlight w:val="none"/>
              </w:rPr>
              <w:t>一、清算收益</w:t>
            </w:r>
          </w:p>
        </w:tc>
        <w:tc>
          <w:tcPr>
            <w:tcW w:w="4408" w:type="dxa"/>
            <w:noWrap w:val="0"/>
            <w:vAlign w:val="top"/>
          </w:tcPr>
          <w:p w14:paraId="76205E50">
            <w:pPr>
              <w:ind w:left="-80"/>
              <w:jc w:val="right"/>
              <w:rPr>
                <w:rFonts w:hint="default" w:ascii="Arial" w:hAnsi="Arial" w:eastAsia="宋体" w:cs="Arial"/>
                <w:b/>
                <w:color w:val="auto"/>
                <w:sz w:val="21"/>
                <w:szCs w:val="21"/>
                <w:highlight w:val="none"/>
                <w:lang w:val="en-US" w:eastAsia="zh-CN"/>
              </w:rPr>
            </w:pPr>
            <w:r>
              <w:rPr>
                <w:rFonts w:hint="eastAsia" w:ascii="Arial" w:hAnsi="Arial" w:cs="Arial"/>
                <w:b/>
                <w:color w:val="auto"/>
                <w:sz w:val="21"/>
                <w:szCs w:val="21"/>
                <w:highlight w:val="none"/>
                <w:lang w:val="en-US" w:eastAsia="zh-CN"/>
              </w:rPr>
              <w:t>81.97</w:t>
            </w:r>
          </w:p>
        </w:tc>
      </w:tr>
      <w:tr w14:paraId="411BF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62EB5537">
            <w:pPr>
              <w:rPr>
                <w:rFonts w:ascii="宋体" w:hAnsi="宋体"/>
                <w:color w:val="auto"/>
                <w:sz w:val="21"/>
                <w:szCs w:val="21"/>
                <w:highlight w:val="none"/>
              </w:rPr>
            </w:pPr>
            <w:r>
              <w:rPr>
                <w:rFonts w:hint="eastAsia"/>
                <w:color w:val="auto"/>
                <w:sz w:val="21"/>
                <w:szCs w:val="21"/>
                <w:highlight w:val="none"/>
              </w:rPr>
              <w:t>1.</w:t>
            </w:r>
            <w:r>
              <w:rPr>
                <w:color w:val="auto"/>
                <w:sz w:val="21"/>
                <w:szCs w:val="21"/>
                <w:highlight w:val="none"/>
              </w:rPr>
              <w:t xml:space="preserve"> </w:t>
            </w:r>
            <w:r>
              <w:rPr>
                <w:rFonts w:hint="eastAsia"/>
                <w:color w:val="auto"/>
                <w:sz w:val="21"/>
                <w:szCs w:val="21"/>
                <w:highlight w:val="none"/>
              </w:rPr>
              <w:t>利息收入</w:t>
            </w:r>
          </w:p>
        </w:tc>
        <w:tc>
          <w:tcPr>
            <w:tcW w:w="4408" w:type="dxa"/>
            <w:noWrap w:val="0"/>
            <w:vAlign w:val="top"/>
          </w:tcPr>
          <w:p w14:paraId="173B8DA4">
            <w:pPr>
              <w:ind w:left="-80"/>
              <w:jc w:val="right"/>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en-US" w:eastAsia="zh-CN"/>
              </w:rPr>
              <w:t>81.97</w:t>
            </w:r>
          </w:p>
        </w:tc>
      </w:tr>
      <w:tr w14:paraId="5C14C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2ED0C8F8">
            <w:pPr>
              <w:rPr>
                <w:color w:val="auto"/>
                <w:sz w:val="21"/>
                <w:szCs w:val="21"/>
                <w:highlight w:val="none"/>
              </w:rPr>
            </w:pPr>
            <w:r>
              <w:rPr>
                <w:color w:val="auto"/>
                <w:sz w:val="21"/>
                <w:szCs w:val="21"/>
                <w:highlight w:val="none"/>
              </w:rPr>
              <w:t>2</w:t>
            </w:r>
            <w:r>
              <w:rPr>
                <w:rFonts w:hint="eastAsia"/>
                <w:color w:val="auto"/>
                <w:sz w:val="21"/>
                <w:szCs w:val="21"/>
                <w:highlight w:val="none"/>
              </w:rPr>
              <w:t>.</w:t>
            </w:r>
            <w:r>
              <w:rPr>
                <w:color w:val="auto"/>
                <w:sz w:val="21"/>
                <w:szCs w:val="21"/>
                <w:highlight w:val="none"/>
              </w:rPr>
              <w:t xml:space="preserve"> </w:t>
            </w:r>
            <w:r>
              <w:rPr>
                <w:rFonts w:hint="eastAsia"/>
                <w:color w:val="auto"/>
                <w:sz w:val="21"/>
                <w:szCs w:val="21"/>
                <w:highlight w:val="none"/>
              </w:rPr>
              <w:t>投资收益</w:t>
            </w:r>
          </w:p>
        </w:tc>
        <w:tc>
          <w:tcPr>
            <w:tcW w:w="4408" w:type="dxa"/>
            <w:noWrap w:val="0"/>
            <w:vAlign w:val="top"/>
          </w:tcPr>
          <w:p w14:paraId="04267962">
            <w:pPr>
              <w:ind w:left="-80"/>
              <w:jc w:val="right"/>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en-US" w:eastAsia="zh-CN"/>
              </w:rPr>
              <w:t>-</w:t>
            </w:r>
          </w:p>
        </w:tc>
      </w:tr>
      <w:tr w14:paraId="02F7B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333B6926">
            <w:pPr>
              <w:rPr>
                <w:color w:val="auto"/>
                <w:sz w:val="21"/>
                <w:szCs w:val="21"/>
                <w:highlight w:val="none"/>
              </w:rPr>
            </w:pPr>
            <w:r>
              <w:rPr>
                <w:rFonts w:hint="eastAsia"/>
                <w:color w:val="auto"/>
                <w:sz w:val="21"/>
                <w:szCs w:val="21"/>
                <w:highlight w:val="none"/>
              </w:rPr>
              <w:t>3</w:t>
            </w:r>
            <w:r>
              <w:rPr>
                <w:color w:val="auto"/>
                <w:sz w:val="21"/>
                <w:szCs w:val="21"/>
                <w:highlight w:val="none"/>
              </w:rPr>
              <w:t xml:space="preserve">. </w:t>
            </w:r>
            <w:r>
              <w:rPr>
                <w:rFonts w:hint="eastAsia"/>
                <w:color w:val="auto"/>
                <w:sz w:val="21"/>
                <w:szCs w:val="21"/>
                <w:highlight w:val="none"/>
              </w:rPr>
              <w:t>公允价值变动损益</w:t>
            </w:r>
          </w:p>
        </w:tc>
        <w:tc>
          <w:tcPr>
            <w:tcW w:w="4408" w:type="dxa"/>
            <w:noWrap w:val="0"/>
            <w:vAlign w:val="top"/>
          </w:tcPr>
          <w:p w14:paraId="1C94E52F">
            <w:pPr>
              <w:ind w:left="-80"/>
              <w:jc w:val="right"/>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en-US" w:eastAsia="zh-CN"/>
              </w:rPr>
              <w:t>-</w:t>
            </w:r>
          </w:p>
        </w:tc>
      </w:tr>
      <w:tr w14:paraId="4E3EC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37B77AF7">
            <w:pPr>
              <w:numPr>
                <w:ilvl w:val="0"/>
                <w:numId w:val="1"/>
              </w:numPr>
              <w:rPr>
                <w:rFonts w:hint="default" w:eastAsia="宋体"/>
                <w:color w:val="auto"/>
                <w:sz w:val="21"/>
                <w:szCs w:val="21"/>
                <w:highlight w:val="none"/>
                <w:lang w:val="en-US" w:eastAsia="zh-CN"/>
              </w:rPr>
            </w:pPr>
            <w:r>
              <w:rPr>
                <w:rFonts w:hint="eastAsia"/>
                <w:color w:val="auto"/>
                <w:sz w:val="21"/>
                <w:szCs w:val="21"/>
                <w:highlight w:val="none"/>
                <w:lang w:val="en-US" w:eastAsia="zh-CN"/>
              </w:rPr>
              <w:t>汇兑收益</w:t>
            </w:r>
          </w:p>
        </w:tc>
        <w:tc>
          <w:tcPr>
            <w:tcW w:w="4408" w:type="dxa"/>
            <w:noWrap w:val="0"/>
            <w:vAlign w:val="top"/>
          </w:tcPr>
          <w:p w14:paraId="2694E888">
            <w:pPr>
              <w:ind w:left="-80"/>
              <w:jc w:val="right"/>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en-US" w:eastAsia="zh-CN"/>
              </w:rPr>
              <w:t>-</w:t>
            </w:r>
          </w:p>
        </w:tc>
      </w:tr>
      <w:tr w14:paraId="19BC9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9" w:hRule="atLeast"/>
          <w:jc w:val="center"/>
        </w:trPr>
        <w:tc>
          <w:tcPr>
            <w:tcW w:w="3495" w:type="dxa"/>
            <w:noWrap w:val="0"/>
            <w:vAlign w:val="center"/>
          </w:tcPr>
          <w:p w14:paraId="7EDD7CE7">
            <w:pPr>
              <w:rPr>
                <w:color w:val="auto"/>
                <w:sz w:val="21"/>
                <w:szCs w:val="21"/>
                <w:highlight w:val="none"/>
              </w:rPr>
            </w:pPr>
            <w:r>
              <w:rPr>
                <w:rFonts w:hint="eastAsia"/>
                <w:color w:val="auto"/>
                <w:sz w:val="21"/>
                <w:szCs w:val="21"/>
                <w:highlight w:val="none"/>
                <w:lang w:val="en-US" w:eastAsia="zh-CN"/>
              </w:rPr>
              <w:t>5</w:t>
            </w:r>
            <w:r>
              <w:rPr>
                <w:color w:val="auto"/>
                <w:sz w:val="21"/>
                <w:szCs w:val="21"/>
                <w:highlight w:val="none"/>
              </w:rPr>
              <w:t xml:space="preserve">. </w:t>
            </w:r>
            <w:r>
              <w:rPr>
                <w:rFonts w:hint="eastAsia"/>
                <w:color w:val="auto"/>
                <w:sz w:val="21"/>
                <w:szCs w:val="21"/>
                <w:highlight w:val="none"/>
              </w:rPr>
              <w:t>其他收入</w:t>
            </w:r>
          </w:p>
        </w:tc>
        <w:tc>
          <w:tcPr>
            <w:tcW w:w="4408" w:type="dxa"/>
            <w:noWrap w:val="0"/>
            <w:vAlign w:val="top"/>
          </w:tcPr>
          <w:p w14:paraId="7BF4B162">
            <w:pPr>
              <w:ind w:left="-80"/>
              <w:jc w:val="right"/>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en-US" w:eastAsia="zh-CN"/>
              </w:rPr>
              <w:t>-</w:t>
            </w:r>
          </w:p>
        </w:tc>
      </w:tr>
      <w:tr w14:paraId="78117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31844A91">
            <w:pPr>
              <w:rPr>
                <w:rFonts w:ascii="宋体" w:hAnsi="宋体"/>
                <w:color w:val="auto"/>
                <w:sz w:val="21"/>
                <w:szCs w:val="21"/>
                <w:highlight w:val="none"/>
              </w:rPr>
            </w:pPr>
            <w:r>
              <w:rPr>
                <w:rFonts w:hint="eastAsia"/>
                <w:b/>
                <w:bCs/>
                <w:color w:val="auto"/>
                <w:sz w:val="21"/>
                <w:szCs w:val="21"/>
                <w:highlight w:val="none"/>
              </w:rPr>
              <w:t>二、清算费用</w:t>
            </w:r>
          </w:p>
        </w:tc>
        <w:tc>
          <w:tcPr>
            <w:tcW w:w="4408" w:type="dxa"/>
            <w:noWrap w:val="0"/>
            <w:vAlign w:val="top"/>
          </w:tcPr>
          <w:p w14:paraId="6DC8F108">
            <w:pPr>
              <w:ind w:left="-80"/>
              <w:jc w:val="right"/>
              <w:rPr>
                <w:rFonts w:hint="default" w:ascii="Arial" w:hAnsi="Arial" w:eastAsia="宋体" w:cs="Arial"/>
                <w:b/>
                <w:color w:val="auto"/>
                <w:sz w:val="21"/>
                <w:szCs w:val="21"/>
                <w:highlight w:val="none"/>
                <w:lang w:val="en-US" w:eastAsia="zh-CN"/>
              </w:rPr>
            </w:pPr>
            <w:r>
              <w:rPr>
                <w:rFonts w:hint="eastAsia" w:ascii="Arial" w:hAnsi="Arial" w:cs="Arial"/>
                <w:b/>
                <w:color w:val="auto"/>
                <w:sz w:val="21"/>
                <w:szCs w:val="21"/>
                <w:highlight w:val="none"/>
                <w:lang w:val="en-US" w:eastAsia="zh-CN"/>
              </w:rPr>
              <w:t>-</w:t>
            </w:r>
          </w:p>
        </w:tc>
      </w:tr>
      <w:tr w14:paraId="37603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1A5327D3">
            <w:pPr>
              <w:rPr>
                <w:rFonts w:ascii="宋体" w:hAnsi="宋体"/>
                <w:color w:val="auto"/>
                <w:sz w:val="21"/>
                <w:szCs w:val="21"/>
                <w:highlight w:val="none"/>
              </w:rPr>
            </w:pPr>
            <w:r>
              <w:rPr>
                <w:rFonts w:hint="eastAsia"/>
                <w:color w:val="auto"/>
                <w:sz w:val="21"/>
                <w:szCs w:val="21"/>
                <w:highlight w:val="none"/>
              </w:rPr>
              <w:t>汇划费</w:t>
            </w:r>
          </w:p>
        </w:tc>
        <w:tc>
          <w:tcPr>
            <w:tcW w:w="4408" w:type="dxa"/>
            <w:noWrap w:val="0"/>
            <w:vAlign w:val="top"/>
          </w:tcPr>
          <w:p w14:paraId="0EC1C512">
            <w:pPr>
              <w:ind w:left="-80"/>
              <w:jc w:val="right"/>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en-US" w:eastAsia="zh-CN"/>
              </w:rPr>
              <w:t>-</w:t>
            </w:r>
          </w:p>
        </w:tc>
      </w:tr>
      <w:tr w14:paraId="38C6E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4AEDFC7C">
            <w:pPr>
              <w:rPr>
                <w:rFonts w:hint="eastAsia" w:eastAsia="宋体"/>
                <w:color w:val="auto"/>
                <w:sz w:val="21"/>
                <w:szCs w:val="21"/>
                <w:highlight w:val="none"/>
                <w:lang w:eastAsia="zh-CN"/>
              </w:rPr>
            </w:pPr>
            <w:r>
              <w:rPr>
                <w:rFonts w:hint="eastAsia"/>
                <w:color w:val="auto"/>
                <w:sz w:val="21"/>
                <w:szCs w:val="21"/>
                <w:highlight w:val="none"/>
                <w:lang w:eastAsia="zh-CN"/>
              </w:rPr>
              <w:t>沪港通证券组合费</w:t>
            </w:r>
          </w:p>
        </w:tc>
        <w:tc>
          <w:tcPr>
            <w:tcW w:w="4408" w:type="dxa"/>
            <w:noWrap w:val="0"/>
            <w:vAlign w:val="top"/>
          </w:tcPr>
          <w:p w14:paraId="55B8654C">
            <w:pPr>
              <w:ind w:left="-80"/>
              <w:jc w:val="right"/>
              <w:rPr>
                <w:rFonts w:ascii="Arial" w:hAnsi="Arial" w:cs="Arial"/>
                <w:color w:val="auto"/>
                <w:sz w:val="21"/>
                <w:szCs w:val="21"/>
                <w:highlight w:val="none"/>
              </w:rPr>
            </w:pPr>
            <w:r>
              <w:rPr>
                <w:rFonts w:hint="eastAsia" w:ascii="Arial" w:hAnsi="Arial" w:cs="Arial"/>
                <w:color w:val="auto"/>
                <w:sz w:val="21"/>
                <w:szCs w:val="21"/>
                <w:highlight w:val="none"/>
                <w:lang w:val="en-US" w:eastAsia="zh-CN"/>
              </w:rPr>
              <w:t>-</w:t>
            </w:r>
          </w:p>
        </w:tc>
      </w:tr>
      <w:tr w14:paraId="48B30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2947C6A9">
            <w:pPr>
              <w:rPr>
                <w:rFonts w:hint="eastAsia"/>
                <w:color w:val="auto"/>
                <w:sz w:val="21"/>
                <w:szCs w:val="21"/>
                <w:highlight w:val="none"/>
              </w:rPr>
            </w:pPr>
            <w:r>
              <w:rPr>
                <w:rFonts w:hint="eastAsia"/>
                <w:color w:val="auto"/>
                <w:sz w:val="21"/>
                <w:szCs w:val="21"/>
                <w:highlight w:val="none"/>
              </w:rPr>
              <w:t>深港通证券组合费</w:t>
            </w:r>
          </w:p>
        </w:tc>
        <w:tc>
          <w:tcPr>
            <w:tcW w:w="4408" w:type="dxa"/>
            <w:noWrap w:val="0"/>
            <w:vAlign w:val="top"/>
          </w:tcPr>
          <w:p w14:paraId="08DE1157">
            <w:pPr>
              <w:ind w:left="-80"/>
              <w:jc w:val="right"/>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en-US" w:eastAsia="zh-CN"/>
              </w:rPr>
              <w:t>-</w:t>
            </w:r>
          </w:p>
        </w:tc>
      </w:tr>
      <w:tr w14:paraId="74911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528D7303">
            <w:pPr>
              <w:rPr>
                <w:rFonts w:hint="eastAsia" w:eastAsia="宋体"/>
                <w:color w:val="auto"/>
                <w:sz w:val="21"/>
                <w:szCs w:val="21"/>
                <w:highlight w:val="none"/>
                <w:lang w:eastAsia="zh-CN"/>
              </w:rPr>
            </w:pPr>
            <w:r>
              <w:rPr>
                <w:rFonts w:hint="eastAsia"/>
                <w:color w:val="auto"/>
                <w:sz w:val="21"/>
                <w:szCs w:val="21"/>
                <w:highlight w:val="none"/>
                <w:lang w:eastAsia="zh-CN"/>
              </w:rPr>
              <w:t>存托凭证服务费</w:t>
            </w:r>
          </w:p>
        </w:tc>
        <w:tc>
          <w:tcPr>
            <w:tcW w:w="4408" w:type="dxa"/>
            <w:noWrap w:val="0"/>
            <w:vAlign w:val="top"/>
          </w:tcPr>
          <w:p w14:paraId="253F7395">
            <w:pPr>
              <w:ind w:left="-80"/>
              <w:jc w:val="right"/>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en-US" w:eastAsia="zh-CN"/>
              </w:rPr>
              <w:t>-</w:t>
            </w:r>
          </w:p>
        </w:tc>
      </w:tr>
      <w:tr w14:paraId="1619F1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7BCBE566">
            <w:pPr>
              <w:rPr>
                <w:color w:val="auto"/>
                <w:sz w:val="21"/>
                <w:szCs w:val="21"/>
                <w:highlight w:val="none"/>
              </w:rPr>
            </w:pPr>
            <w:r>
              <w:rPr>
                <w:rFonts w:hint="eastAsia"/>
                <w:color w:val="auto"/>
                <w:sz w:val="21"/>
                <w:szCs w:val="21"/>
                <w:highlight w:val="none"/>
              </w:rPr>
              <w:t>税金及附加</w:t>
            </w:r>
          </w:p>
        </w:tc>
        <w:tc>
          <w:tcPr>
            <w:tcW w:w="4408" w:type="dxa"/>
            <w:noWrap w:val="0"/>
            <w:vAlign w:val="top"/>
          </w:tcPr>
          <w:p w14:paraId="0434FA28">
            <w:pPr>
              <w:ind w:left="-80"/>
              <w:jc w:val="right"/>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en-US" w:eastAsia="zh-CN"/>
              </w:rPr>
              <w:t>-</w:t>
            </w:r>
          </w:p>
        </w:tc>
      </w:tr>
      <w:tr w14:paraId="7D9FF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07F5E8C6">
            <w:pPr>
              <w:rPr>
                <w:color w:val="auto"/>
                <w:sz w:val="21"/>
                <w:szCs w:val="21"/>
                <w:highlight w:val="none"/>
              </w:rPr>
            </w:pPr>
            <w:r>
              <w:rPr>
                <w:rFonts w:hint="eastAsia"/>
                <w:b/>
                <w:bCs/>
                <w:color w:val="auto"/>
                <w:sz w:val="21"/>
                <w:szCs w:val="21"/>
                <w:highlight w:val="none"/>
              </w:rPr>
              <w:t>三、清算收益（损失）总额</w:t>
            </w:r>
          </w:p>
        </w:tc>
        <w:tc>
          <w:tcPr>
            <w:tcW w:w="4408" w:type="dxa"/>
            <w:noWrap w:val="0"/>
            <w:vAlign w:val="center"/>
          </w:tcPr>
          <w:p w14:paraId="4340E9FF">
            <w:pPr>
              <w:ind w:left="-80"/>
              <w:jc w:val="right"/>
              <w:rPr>
                <w:rFonts w:hint="default" w:ascii="Arial" w:hAnsi="Arial" w:eastAsia="宋体" w:cs="Arial"/>
                <w:b/>
                <w:color w:val="auto"/>
                <w:sz w:val="21"/>
                <w:szCs w:val="21"/>
                <w:highlight w:val="none"/>
                <w:lang w:val="en-US" w:eastAsia="zh-CN"/>
              </w:rPr>
            </w:pPr>
            <w:r>
              <w:rPr>
                <w:rFonts w:hint="eastAsia" w:ascii="Arial" w:hAnsi="Arial" w:cs="Arial"/>
                <w:b/>
                <w:color w:val="auto"/>
                <w:sz w:val="21"/>
                <w:szCs w:val="21"/>
                <w:highlight w:val="none"/>
                <w:lang w:val="en-US" w:eastAsia="zh-CN"/>
              </w:rPr>
              <w:t>81.97</w:t>
            </w:r>
          </w:p>
        </w:tc>
      </w:tr>
      <w:tr w14:paraId="4F2B9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57F88ED0">
            <w:pPr>
              <w:rPr>
                <w:rFonts w:ascii="宋体" w:hAnsi="宋体"/>
                <w:color w:val="auto"/>
                <w:sz w:val="21"/>
                <w:szCs w:val="21"/>
                <w:highlight w:val="none"/>
              </w:rPr>
            </w:pPr>
            <w:r>
              <w:rPr>
                <w:rFonts w:hint="eastAsia"/>
                <w:color w:val="auto"/>
                <w:sz w:val="21"/>
                <w:szCs w:val="21"/>
                <w:highlight w:val="none"/>
              </w:rPr>
              <w:t>减：</w:t>
            </w:r>
            <w:bookmarkStart w:id="41" w:name="OLE_LINK3"/>
            <w:r>
              <w:rPr>
                <w:rFonts w:hint="eastAsia"/>
                <w:color w:val="auto"/>
                <w:sz w:val="21"/>
                <w:szCs w:val="21"/>
                <w:highlight w:val="none"/>
              </w:rPr>
              <w:t>所得税费用</w:t>
            </w:r>
            <w:bookmarkEnd w:id="41"/>
          </w:p>
        </w:tc>
        <w:tc>
          <w:tcPr>
            <w:tcW w:w="4408" w:type="dxa"/>
            <w:noWrap w:val="0"/>
            <w:vAlign w:val="center"/>
          </w:tcPr>
          <w:p w14:paraId="4780B9B0">
            <w:pPr>
              <w:ind w:left="-80"/>
              <w:jc w:val="right"/>
              <w:rPr>
                <w:rFonts w:hint="default" w:ascii="Arial" w:hAnsi="Arial" w:eastAsia="宋体" w:cs="Arial"/>
                <w:b/>
                <w:bCs/>
                <w:color w:val="auto"/>
                <w:sz w:val="21"/>
                <w:szCs w:val="21"/>
                <w:highlight w:val="none"/>
                <w:lang w:val="en-US" w:eastAsia="zh-CN"/>
              </w:rPr>
            </w:pPr>
            <w:r>
              <w:rPr>
                <w:rFonts w:hint="eastAsia" w:ascii="Arial" w:hAnsi="Arial" w:cs="Arial"/>
                <w:color w:val="auto"/>
                <w:sz w:val="21"/>
                <w:szCs w:val="21"/>
                <w:highlight w:val="none"/>
                <w:lang w:val="en-US" w:eastAsia="zh-CN"/>
              </w:rPr>
              <w:t>-</w:t>
            </w:r>
          </w:p>
        </w:tc>
      </w:tr>
      <w:tr w14:paraId="7716FF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27AE9D2A">
            <w:pPr>
              <w:rPr>
                <w:rFonts w:ascii="宋体" w:hAnsi="宋体"/>
                <w:color w:val="auto"/>
                <w:sz w:val="21"/>
                <w:szCs w:val="21"/>
                <w:highlight w:val="none"/>
              </w:rPr>
            </w:pPr>
            <w:r>
              <w:rPr>
                <w:rFonts w:hint="eastAsia"/>
                <w:b/>
                <w:bCs/>
                <w:color w:val="auto"/>
                <w:sz w:val="21"/>
                <w:szCs w:val="21"/>
                <w:highlight w:val="none"/>
              </w:rPr>
              <w:t>四、清算净收益（损失）</w:t>
            </w:r>
          </w:p>
        </w:tc>
        <w:tc>
          <w:tcPr>
            <w:tcW w:w="4408" w:type="dxa"/>
            <w:shd w:val="clear" w:color="auto" w:fill="auto"/>
            <w:noWrap w:val="0"/>
            <w:vAlign w:val="center"/>
          </w:tcPr>
          <w:p w14:paraId="474161CF">
            <w:pPr>
              <w:ind w:left="-80" w:leftChars="0"/>
              <w:jc w:val="right"/>
              <w:rPr>
                <w:rFonts w:hint="default" w:ascii="Arial" w:hAnsi="Arial" w:eastAsia="宋体" w:cs="Arial"/>
                <w:b/>
                <w:color w:val="auto"/>
                <w:kern w:val="2"/>
                <w:sz w:val="21"/>
                <w:szCs w:val="21"/>
                <w:highlight w:val="none"/>
                <w:lang w:val="en-US" w:eastAsia="zh-CN" w:bidi="ar-SA"/>
              </w:rPr>
            </w:pPr>
            <w:r>
              <w:rPr>
                <w:rFonts w:hint="eastAsia" w:ascii="Arial" w:hAnsi="Arial" w:cs="Arial"/>
                <w:b/>
                <w:color w:val="auto"/>
                <w:sz w:val="21"/>
                <w:szCs w:val="21"/>
                <w:highlight w:val="none"/>
                <w:lang w:val="en-US" w:eastAsia="zh-CN"/>
              </w:rPr>
              <w:t>81.97</w:t>
            </w:r>
          </w:p>
        </w:tc>
      </w:tr>
    </w:tbl>
    <w:p w14:paraId="233D618D">
      <w:pPr>
        <w:pStyle w:val="28"/>
        <w:rPr>
          <w:b/>
          <w:color w:val="auto"/>
          <w:highlight w:val="none"/>
        </w:rPr>
      </w:pPr>
      <w:bookmarkStart w:id="42" w:name="_Toc484607313"/>
      <w:bookmarkStart w:id="43" w:name="_Toc483396840"/>
      <w:bookmarkStart w:id="44" w:name="_Toc484769808"/>
      <w:r>
        <w:rPr>
          <w:rFonts w:hint="eastAsia"/>
          <w:color w:val="auto"/>
          <w:sz w:val="21"/>
          <w:szCs w:val="21"/>
          <w:highlight w:val="none"/>
        </w:rPr>
        <w:t>注：利息收入系以当前适用的利率预估计提的</w:t>
      </w:r>
      <w:r>
        <w:rPr>
          <w:rFonts w:hint="eastAsia"/>
          <w:b w:val="0"/>
          <w:bCs w:val="0"/>
          <w:color w:val="auto"/>
          <w:sz w:val="21"/>
          <w:szCs w:val="21"/>
          <w:highlight w:val="none"/>
        </w:rPr>
        <w:t>自</w:t>
      </w:r>
      <w:r>
        <w:rPr>
          <w:rFonts w:hint="eastAsia" w:ascii="宋体" w:hAnsi="宋体" w:eastAsia="宋体"/>
          <w:b w:val="0"/>
          <w:bCs w:val="0"/>
          <w:color w:val="auto"/>
          <w:sz w:val="21"/>
          <w:szCs w:val="21"/>
          <w:highlight w:val="none"/>
          <w:lang w:val="en-US" w:eastAsia="zh-CN"/>
        </w:rPr>
        <w:t>2026年7月29日</w:t>
      </w:r>
      <w:r>
        <w:rPr>
          <w:rFonts w:hint="eastAsia"/>
          <w:b w:val="0"/>
          <w:bCs w:val="0"/>
          <w:color w:val="auto"/>
          <w:sz w:val="21"/>
          <w:szCs w:val="21"/>
          <w:highlight w:val="none"/>
        </w:rPr>
        <w:t>至</w:t>
      </w:r>
      <w:r>
        <w:rPr>
          <w:rFonts w:hint="eastAsia"/>
          <w:b w:val="0"/>
          <w:bCs w:val="0"/>
          <w:color w:val="auto"/>
          <w:sz w:val="21"/>
          <w:szCs w:val="21"/>
          <w:u w:val="none"/>
          <w:lang w:eastAsia="zh-CN"/>
        </w:rPr>
        <w:t>2026</w:t>
      </w:r>
      <w:r>
        <w:rPr>
          <w:rFonts w:hint="eastAsia"/>
          <w:color w:val="auto"/>
          <w:sz w:val="21"/>
          <w:szCs w:val="21"/>
          <w:u w:val="none"/>
          <w:lang w:eastAsia="zh-CN"/>
        </w:rPr>
        <w:t>年8月5日</w:t>
      </w:r>
      <w:r>
        <w:rPr>
          <w:color w:val="auto"/>
          <w:sz w:val="21"/>
          <w:szCs w:val="21"/>
          <w:u w:val="none"/>
        </w:rPr>
        <w:t>止清算期间的活期存款利息、结算备付金利息和存出保证金利息。</w:t>
      </w:r>
    </w:p>
    <w:p w14:paraId="069CBF85">
      <w:pPr>
        <w:pStyle w:val="3"/>
        <w:spacing w:before="0" w:after="0"/>
        <w:rPr>
          <w:rFonts w:ascii="宋体" w:hAnsi="宋体" w:eastAsia="宋体"/>
          <w:color w:val="auto"/>
          <w:kern w:val="0"/>
          <w:sz w:val="21"/>
          <w:szCs w:val="21"/>
          <w:highlight w:val="none"/>
        </w:rPr>
      </w:pPr>
      <w:bookmarkStart w:id="45" w:name="_Toc491963086"/>
      <w:r>
        <w:rPr>
          <w:rFonts w:hint="eastAsia" w:ascii="宋体" w:hAnsi="宋体" w:eastAsia="宋体"/>
          <w:color w:val="auto"/>
          <w:kern w:val="0"/>
          <w:sz w:val="21"/>
          <w:szCs w:val="21"/>
          <w:highlight w:val="none"/>
        </w:rPr>
        <w:t>4.3</w:t>
      </w:r>
      <w:r>
        <w:rPr>
          <w:rFonts w:ascii="宋体" w:hAnsi="宋体" w:eastAsia="宋体"/>
          <w:color w:val="auto"/>
          <w:kern w:val="0"/>
          <w:sz w:val="21"/>
          <w:szCs w:val="21"/>
          <w:highlight w:val="none"/>
        </w:rPr>
        <w:t xml:space="preserve"> </w:t>
      </w:r>
      <w:r>
        <w:rPr>
          <w:rFonts w:hint="eastAsia" w:ascii="宋体" w:hAnsi="宋体" w:eastAsia="宋体"/>
          <w:color w:val="auto"/>
          <w:kern w:val="0"/>
          <w:sz w:val="21"/>
          <w:szCs w:val="21"/>
          <w:highlight w:val="none"/>
        </w:rPr>
        <w:t>报表附注</w:t>
      </w:r>
      <w:bookmarkEnd w:id="42"/>
      <w:bookmarkEnd w:id="43"/>
      <w:bookmarkEnd w:id="44"/>
      <w:bookmarkEnd w:id="45"/>
    </w:p>
    <w:p w14:paraId="007877FF">
      <w:pPr>
        <w:spacing w:line="360" w:lineRule="auto"/>
        <w:rPr>
          <w:rFonts w:ascii="宋体" w:hAnsi="宋体"/>
          <w:b/>
          <w:color w:val="auto"/>
          <w:szCs w:val="21"/>
          <w:highlight w:val="none"/>
        </w:rPr>
      </w:pPr>
      <w:r>
        <w:rPr>
          <w:rFonts w:ascii="宋体" w:hAnsi="宋体"/>
          <w:b/>
          <w:color w:val="auto"/>
          <w:szCs w:val="21"/>
          <w:highlight w:val="none"/>
        </w:rPr>
        <w:t>4.3.</w:t>
      </w:r>
      <w:r>
        <w:rPr>
          <w:rFonts w:hint="eastAsia" w:ascii="宋体" w:hAnsi="宋体"/>
          <w:b/>
          <w:color w:val="auto"/>
          <w:szCs w:val="21"/>
          <w:highlight w:val="none"/>
        </w:rPr>
        <w:t>1基金基本情况</w:t>
      </w:r>
    </w:p>
    <w:p w14:paraId="630DC093">
      <w:pPr>
        <w:pStyle w:val="28"/>
        <w:rPr>
          <w:rFonts w:hint="eastAsia"/>
          <w:color w:val="auto"/>
          <w:highlight w:val="none"/>
        </w:rPr>
      </w:pPr>
      <w:r>
        <w:rPr>
          <w:rFonts w:hint="eastAsia"/>
          <w:color w:val="auto"/>
          <w:highlight w:val="none"/>
        </w:rPr>
        <w:t>博时富顺纯债债券型证券投资基金（以下简称“本基金”）经中国证券监督管理委员会（以下简称“中国证监会”）证监许可[2019]1108号《关于准予博时富顺纯债债券型证券投资基金注册的批复》核准，由博时基金管理有限公司依照《中华人民共和国证券投资基金法》和《博时富顺纯债债券型证券投资基金基金合同》负责公开募集。本基金为契约型开放式，存续期限不定，首次设立募集不包括认购资金利息共募集人民币210,058,086.70元，业经普华永道中天会计师事务所（特殊普通合伙）普华永道中天验字（2019）第0631号验资报告予以验证。经向中国证监会备案，《博时富顺纯债债券型证券投资基金基金合同》于2019年10月31日正式生效，基金合同生效日的基金份额总额为210,058,123.45份基金份额，其中认购资金利息折合36.75份基金份额。本基金的基金管理人为博时基金管理有限公司，基金托管人为杭州银行股份有限公司。</w:t>
      </w:r>
    </w:p>
    <w:p w14:paraId="7078D376">
      <w:pPr>
        <w:pStyle w:val="28"/>
        <w:spacing w:line="360" w:lineRule="auto"/>
        <w:ind w:firstLine="420" w:firstLineChars="200"/>
        <w:rPr>
          <w:color w:val="auto"/>
          <w:highlight w:val="none"/>
        </w:rPr>
      </w:pPr>
      <w:r>
        <w:rPr>
          <w:rFonts w:hint="eastAsia"/>
          <w:color w:val="auto"/>
          <w:highlight w:val="none"/>
        </w:rPr>
        <w:t>根据《中华人民共和国证券投资基金法》和《博时富顺纯债债券型证券投资基金基金合同》的有关规定，本基金的投资范围主要为具有良好流动性的金融工具，包括债券（国债、金融债、企业债、公司债、地方政府债、央行票据、中期票据、短期融资券、超短期融资券、公开发行的次级债、可分离交易可转债的纯债部分）、资产支持证券、债券回购、同业存单、银行存款等法律法规或中国证监会允许基金投资的其他金融工具（但须符合中国证监会的相关规定）。本基金不投资于股票等资产，也不投资于可转换债券（可分离交易可转债的纯债部分除外）、可交换债券。本基金对债券的投资比例不低于基金资产的80%；本基金每个交易日日终，现金或者到期日在一年以内的政府债券不低于基金资产净值的5%，其中，现金不包括结算备付金、存出保证金、应收申购款等。本基金的业绩比较基准为：中债综合财富（总值）指数收益率×90%+1年期定期存款利率（税后）×10%。</w:t>
      </w:r>
    </w:p>
    <w:p w14:paraId="36C628D8">
      <w:pPr>
        <w:spacing w:line="360" w:lineRule="auto"/>
        <w:rPr>
          <w:rFonts w:ascii="宋体" w:hAnsi="宋体"/>
          <w:b/>
          <w:color w:val="auto"/>
          <w:szCs w:val="21"/>
          <w:highlight w:val="none"/>
        </w:rPr>
      </w:pPr>
      <w:r>
        <w:rPr>
          <w:rFonts w:ascii="宋体" w:hAnsi="宋体"/>
          <w:b/>
          <w:color w:val="auto"/>
          <w:szCs w:val="21"/>
          <w:highlight w:val="none"/>
        </w:rPr>
        <w:t>4.3.</w:t>
      </w:r>
      <w:r>
        <w:rPr>
          <w:rFonts w:hint="eastAsia" w:ascii="宋体" w:hAnsi="宋体"/>
          <w:b/>
          <w:color w:val="auto"/>
          <w:szCs w:val="21"/>
          <w:highlight w:val="none"/>
        </w:rPr>
        <w:t>2清算原因</w:t>
      </w:r>
    </w:p>
    <w:p w14:paraId="76251523">
      <w:pPr>
        <w:pStyle w:val="28"/>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根据《基金合同》“第五部分 基金备案”之“三、基金存续期内的基金份额持有人数量和资产规模”约定：“基金合同生效后，连续二十个工作日出现基金份额持有人数量不满二百人或者基金资产净值低于五千万元情形的，基金管理人应当在定期报告中予以披露；连续六十个工作日出现前述情形的，本基金将根据基金合同的约定进行基金财产清算并终止，而无需召开基金份额持有人大会。法律法规或监管机构另有规定时，从其规定。”</w:t>
      </w:r>
    </w:p>
    <w:p w14:paraId="1ED3219D">
      <w:pPr>
        <w:pStyle w:val="28"/>
        <w:spacing w:line="360" w:lineRule="auto"/>
        <w:ind w:firstLine="420" w:firstLineChars="200"/>
        <w:rPr>
          <w:color w:val="auto"/>
          <w:highlight w:val="yellow"/>
        </w:rPr>
      </w:pPr>
      <w:r>
        <w:rPr>
          <w:rFonts w:hint="eastAsia" w:ascii="宋体" w:hAnsi="宋体"/>
          <w:color w:val="auto"/>
          <w:szCs w:val="21"/>
          <w:highlight w:val="none"/>
        </w:rPr>
        <w:t>根据《博时基金管理有限公司关于博时富顺纯债债券型证券投资基金基金合同终止及基金财产清算的公告》，截至2026年7月28日，本基金出现连续六十个工作日基金资产净值低于五千万元的情形，已触发《基金合同》中约定的基金终止条款。根据《基金合同》有关约定，博时基金管理有限公司应依据基金财产清算程序对本基金进行财产清算并终止基金合同，且无需召开基金份额持有人大会。</w:t>
      </w:r>
    </w:p>
    <w:p w14:paraId="2FB407D6">
      <w:pPr>
        <w:spacing w:line="360" w:lineRule="auto"/>
        <w:rPr>
          <w:rFonts w:ascii="宋体" w:hAnsi="宋体"/>
          <w:b/>
          <w:color w:val="auto"/>
          <w:szCs w:val="21"/>
          <w:highlight w:val="none"/>
        </w:rPr>
      </w:pPr>
      <w:r>
        <w:rPr>
          <w:rFonts w:ascii="宋体" w:hAnsi="宋体"/>
          <w:b/>
          <w:color w:val="auto"/>
          <w:szCs w:val="21"/>
          <w:highlight w:val="none"/>
        </w:rPr>
        <w:t>4.3.</w:t>
      </w:r>
      <w:r>
        <w:rPr>
          <w:rFonts w:hint="eastAsia" w:ascii="宋体" w:hAnsi="宋体"/>
          <w:b/>
          <w:color w:val="auto"/>
          <w:szCs w:val="21"/>
          <w:highlight w:val="none"/>
        </w:rPr>
        <w:t>3清算起始日</w:t>
      </w:r>
    </w:p>
    <w:p w14:paraId="34CCE0A6">
      <w:pPr>
        <w:pStyle w:val="28"/>
        <w:rPr>
          <w:color w:val="auto"/>
          <w:highlight w:val="none"/>
        </w:rPr>
      </w:pPr>
      <w:r>
        <w:rPr>
          <w:rFonts w:hint="eastAsia"/>
          <w:color w:val="auto"/>
          <w:highlight w:val="none"/>
        </w:rPr>
        <w:t>根据博时基金管理有限公司于</w:t>
      </w:r>
      <w:r>
        <w:rPr>
          <w:rFonts w:hint="eastAsia"/>
          <w:color w:val="auto"/>
          <w:highlight w:val="none"/>
          <w:lang w:val="en-US" w:eastAsia="zh-CN"/>
        </w:rPr>
        <w:t>2026年7月29日</w:t>
      </w:r>
      <w:r>
        <w:rPr>
          <w:rFonts w:hint="eastAsia"/>
          <w:color w:val="auto"/>
          <w:highlight w:val="none"/>
        </w:rPr>
        <w:t>发布的《博时基金管理有限公司关于</w:t>
      </w:r>
      <w:r>
        <w:rPr>
          <w:rFonts w:hint="eastAsia"/>
          <w:color w:val="auto"/>
          <w:szCs w:val="21"/>
          <w:highlight w:val="none"/>
        </w:rPr>
        <w:t>博时富顺纯债债券型证券投资</w:t>
      </w:r>
      <w:r>
        <w:rPr>
          <w:rFonts w:hint="eastAsia"/>
          <w:color w:val="auto"/>
          <w:szCs w:val="21"/>
          <w:highlight w:val="none"/>
          <w:lang w:val="en-US" w:eastAsia="zh-CN"/>
        </w:rPr>
        <w:t>基金</w:t>
      </w:r>
      <w:r>
        <w:rPr>
          <w:rFonts w:hint="eastAsia"/>
          <w:color w:val="auto"/>
          <w:szCs w:val="21"/>
          <w:highlight w:val="none"/>
        </w:rPr>
        <w:t>基金</w:t>
      </w:r>
      <w:r>
        <w:rPr>
          <w:rFonts w:hint="eastAsia"/>
          <w:color w:val="auto"/>
          <w:highlight w:val="none"/>
        </w:rPr>
        <w:t>合同终止及基金财产清算的公告》，本基金的清算起始日为</w:t>
      </w:r>
      <w:r>
        <w:rPr>
          <w:rFonts w:hint="eastAsia"/>
          <w:color w:val="auto"/>
          <w:highlight w:val="none"/>
          <w:lang w:val="en-US" w:eastAsia="zh-CN"/>
        </w:rPr>
        <w:t>2026年7月29日</w:t>
      </w:r>
      <w:r>
        <w:rPr>
          <w:rFonts w:hint="eastAsia"/>
          <w:color w:val="auto"/>
          <w:highlight w:val="none"/>
        </w:rPr>
        <w:t>。</w:t>
      </w:r>
    </w:p>
    <w:p w14:paraId="556DE022">
      <w:pPr>
        <w:spacing w:line="360" w:lineRule="auto"/>
        <w:rPr>
          <w:rFonts w:ascii="宋体" w:hAnsi="宋体"/>
          <w:b/>
          <w:color w:val="auto"/>
          <w:szCs w:val="21"/>
          <w:highlight w:val="none"/>
        </w:rPr>
      </w:pPr>
      <w:r>
        <w:rPr>
          <w:rFonts w:ascii="宋体" w:hAnsi="宋体"/>
          <w:b/>
          <w:color w:val="auto"/>
          <w:szCs w:val="21"/>
          <w:highlight w:val="none"/>
        </w:rPr>
        <w:t>4.3.</w:t>
      </w:r>
      <w:r>
        <w:rPr>
          <w:rFonts w:hint="eastAsia" w:ascii="宋体" w:hAnsi="宋体"/>
          <w:b/>
          <w:color w:val="auto"/>
          <w:szCs w:val="21"/>
          <w:highlight w:val="none"/>
        </w:rPr>
        <w:t>4清算财务报表的编制基础</w:t>
      </w:r>
    </w:p>
    <w:p w14:paraId="5308CA06">
      <w:pPr>
        <w:spacing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本基金的清算报表系按照《博时富顺纯债债券型证券投资基金基金合同》约定的资产估值和会计核算方法，并参考《企业会计准则》及《资产管理产品相关会计处理规定》的有关规定编制的。由于报告性质所致，本清算报表并无比较期间的相关数据列示。管理人编制本清算报表是为了博时富顺纯债债券型证券投资基金基金财产清算小组报送博时富顺纯债债券型证券投资基金全体持有人以及中国证券监督管理委员会使用。因此，本清算报表不适用于其他用途。</w:t>
      </w:r>
    </w:p>
    <w:p w14:paraId="5AC6A487">
      <w:pPr>
        <w:spacing w:line="360" w:lineRule="auto"/>
        <w:rPr>
          <w:rFonts w:ascii="宋体" w:hAnsi="宋体"/>
          <w:b/>
          <w:color w:val="auto"/>
          <w:szCs w:val="21"/>
          <w:highlight w:val="none"/>
        </w:rPr>
      </w:pPr>
      <w:r>
        <w:rPr>
          <w:rFonts w:ascii="宋体" w:hAnsi="宋体"/>
          <w:b/>
          <w:color w:val="auto"/>
          <w:szCs w:val="21"/>
          <w:highlight w:val="none"/>
        </w:rPr>
        <w:t>4.3.</w:t>
      </w:r>
      <w:r>
        <w:rPr>
          <w:rFonts w:hint="eastAsia" w:ascii="宋体" w:hAnsi="宋体"/>
          <w:b/>
          <w:color w:val="auto"/>
          <w:szCs w:val="21"/>
          <w:highlight w:val="none"/>
        </w:rPr>
        <w:t>5 重要会计政策和会计估计</w:t>
      </w:r>
    </w:p>
    <w:p w14:paraId="221B0723">
      <w:pPr>
        <w:spacing w:line="360" w:lineRule="auto"/>
        <w:rPr>
          <w:rFonts w:ascii="宋体" w:hAnsi="宋体"/>
          <w:b/>
          <w:color w:val="auto"/>
          <w:szCs w:val="21"/>
          <w:highlight w:val="none"/>
        </w:rPr>
      </w:pPr>
      <w:r>
        <w:rPr>
          <w:rFonts w:ascii="宋体" w:hAnsi="宋体"/>
          <w:b/>
          <w:color w:val="auto"/>
          <w:szCs w:val="21"/>
          <w:highlight w:val="none"/>
        </w:rPr>
        <w:t>4.3.</w:t>
      </w:r>
      <w:r>
        <w:rPr>
          <w:rFonts w:hint="eastAsia" w:ascii="宋体" w:hAnsi="宋体"/>
          <w:b/>
          <w:color w:val="auto"/>
          <w:szCs w:val="21"/>
          <w:highlight w:val="none"/>
        </w:rPr>
        <w:t>5</w:t>
      </w:r>
      <w:r>
        <w:rPr>
          <w:rFonts w:ascii="宋体" w:hAnsi="宋体"/>
          <w:b/>
          <w:color w:val="auto"/>
          <w:szCs w:val="21"/>
          <w:highlight w:val="none"/>
        </w:rPr>
        <w:t>.</w:t>
      </w:r>
      <w:r>
        <w:rPr>
          <w:rFonts w:hint="eastAsia" w:ascii="宋体" w:hAnsi="宋体"/>
          <w:b/>
          <w:color w:val="auto"/>
          <w:szCs w:val="21"/>
          <w:highlight w:val="none"/>
        </w:rPr>
        <w:t>1清算期间</w:t>
      </w:r>
    </w:p>
    <w:p w14:paraId="590758DE">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本清算期间为</w:t>
      </w:r>
      <w:r>
        <w:rPr>
          <w:rFonts w:hint="eastAsia"/>
          <w:color w:val="auto"/>
          <w:highlight w:val="none"/>
          <w:lang w:val="en-US" w:eastAsia="zh-CN"/>
        </w:rPr>
        <w:t>2026年7月29日</w:t>
      </w:r>
      <w:r>
        <w:rPr>
          <w:rFonts w:hint="eastAsia" w:ascii="宋体" w:hAnsi="宋体"/>
          <w:color w:val="auto"/>
          <w:szCs w:val="21"/>
          <w:highlight w:val="none"/>
        </w:rPr>
        <w:t>至</w:t>
      </w:r>
      <w:r>
        <w:rPr>
          <w:rFonts w:hint="eastAsia" w:ascii="宋体" w:hAnsi="宋体" w:cs="宋体"/>
          <w:color w:val="auto"/>
          <w:u w:val="none"/>
          <w:lang w:eastAsia="zh-CN"/>
        </w:rPr>
        <w:t>2026年8月5日</w:t>
      </w:r>
      <w:r>
        <w:rPr>
          <w:rFonts w:ascii="宋体" w:hAnsi="宋体" w:eastAsia="宋体" w:cs="宋体"/>
          <w:color w:val="auto"/>
          <w:u w:val="none"/>
        </w:rPr>
        <w:t>。</w:t>
      </w:r>
    </w:p>
    <w:p w14:paraId="25D232B9">
      <w:pPr>
        <w:spacing w:line="360" w:lineRule="auto"/>
        <w:rPr>
          <w:rFonts w:ascii="宋体" w:hAnsi="宋体"/>
          <w:b/>
          <w:color w:val="auto"/>
          <w:szCs w:val="21"/>
          <w:highlight w:val="none"/>
        </w:rPr>
      </w:pPr>
      <w:r>
        <w:rPr>
          <w:rFonts w:ascii="宋体" w:hAnsi="宋体"/>
          <w:b/>
          <w:color w:val="auto"/>
          <w:szCs w:val="21"/>
          <w:highlight w:val="none"/>
        </w:rPr>
        <w:t>4.3.</w:t>
      </w:r>
      <w:r>
        <w:rPr>
          <w:rFonts w:hint="eastAsia" w:ascii="宋体" w:hAnsi="宋体"/>
          <w:b/>
          <w:color w:val="auto"/>
          <w:szCs w:val="21"/>
          <w:highlight w:val="none"/>
        </w:rPr>
        <w:t>5</w:t>
      </w:r>
      <w:r>
        <w:rPr>
          <w:rFonts w:ascii="宋体" w:hAnsi="宋体"/>
          <w:b/>
          <w:color w:val="auto"/>
          <w:szCs w:val="21"/>
          <w:highlight w:val="none"/>
        </w:rPr>
        <w:t>.2 记账本位币</w:t>
      </w:r>
    </w:p>
    <w:p w14:paraId="19F08F9E">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本清算财务报表以人民币为记账本位币。</w:t>
      </w:r>
    </w:p>
    <w:p w14:paraId="3CA79938">
      <w:pPr>
        <w:spacing w:line="360" w:lineRule="auto"/>
        <w:rPr>
          <w:rFonts w:ascii="宋体" w:hAnsi="宋体"/>
          <w:b/>
          <w:color w:val="auto"/>
          <w:szCs w:val="21"/>
          <w:highlight w:val="none"/>
        </w:rPr>
      </w:pPr>
      <w:r>
        <w:rPr>
          <w:rFonts w:ascii="宋体" w:hAnsi="宋体"/>
          <w:b/>
          <w:color w:val="auto"/>
          <w:szCs w:val="21"/>
          <w:highlight w:val="none"/>
        </w:rPr>
        <w:t>4.3.</w:t>
      </w:r>
      <w:r>
        <w:rPr>
          <w:rFonts w:hint="eastAsia" w:ascii="宋体" w:hAnsi="宋体"/>
          <w:b/>
          <w:color w:val="auto"/>
          <w:szCs w:val="21"/>
          <w:highlight w:val="none"/>
        </w:rPr>
        <w:t>5</w:t>
      </w:r>
      <w:r>
        <w:rPr>
          <w:rFonts w:ascii="宋体" w:hAnsi="宋体"/>
          <w:b/>
          <w:color w:val="auto"/>
          <w:szCs w:val="21"/>
          <w:highlight w:val="none"/>
        </w:rPr>
        <w:t>.</w:t>
      </w:r>
      <w:r>
        <w:rPr>
          <w:rFonts w:hint="eastAsia" w:ascii="宋体" w:hAnsi="宋体"/>
          <w:b/>
          <w:color w:val="auto"/>
          <w:szCs w:val="21"/>
          <w:highlight w:val="none"/>
        </w:rPr>
        <w:t>3</w:t>
      </w:r>
      <w:r>
        <w:rPr>
          <w:rFonts w:ascii="宋体" w:hAnsi="宋体"/>
          <w:b/>
          <w:color w:val="auto"/>
          <w:szCs w:val="21"/>
          <w:highlight w:val="none"/>
        </w:rPr>
        <w:t xml:space="preserve"> </w:t>
      </w:r>
      <w:r>
        <w:rPr>
          <w:rFonts w:hint="eastAsia" w:ascii="宋体" w:hAnsi="宋体"/>
          <w:b/>
          <w:color w:val="auto"/>
          <w:szCs w:val="21"/>
          <w:highlight w:val="none"/>
        </w:rPr>
        <w:t xml:space="preserve">应收利息的确认和计量 </w:t>
      </w:r>
    </w:p>
    <w:p w14:paraId="2E172945">
      <w:pPr>
        <w:spacing w:line="360" w:lineRule="auto"/>
        <w:ind w:firstLine="420" w:firstLineChars="200"/>
        <w:rPr>
          <w:rFonts w:ascii="宋体" w:hAnsi="宋体"/>
          <w:color w:val="auto"/>
          <w:szCs w:val="21"/>
          <w:highlight w:val="none"/>
        </w:rPr>
      </w:pPr>
      <w:r>
        <w:rPr>
          <w:rFonts w:ascii="宋体" w:hAnsi="宋体"/>
          <w:color w:val="auto"/>
          <w:szCs w:val="21"/>
          <w:highlight w:val="none"/>
        </w:rPr>
        <w:t>应收款项按照未来应收取的款项金额计量。</w:t>
      </w:r>
    </w:p>
    <w:p w14:paraId="2B402149">
      <w:pPr>
        <w:spacing w:line="360" w:lineRule="auto"/>
        <w:rPr>
          <w:rFonts w:ascii="宋体" w:hAnsi="宋体"/>
          <w:b/>
          <w:color w:val="auto"/>
          <w:szCs w:val="21"/>
          <w:highlight w:val="none"/>
        </w:rPr>
      </w:pPr>
      <w:r>
        <w:rPr>
          <w:rFonts w:ascii="宋体" w:hAnsi="宋体"/>
          <w:b/>
          <w:color w:val="auto"/>
          <w:szCs w:val="21"/>
          <w:highlight w:val="none"/>
        </w:rPr>
        <w:t>4.3.</w:t>
      </w:r>
      <w:r>
        <w:rPr>
          <w:rFonts w:hint="eastAsia" w:ascii="宋体" w:hAnsi="宋体"/>
          <w:b/>
          <w:color w:val="auto"/>
          <w:szCs w:val="21"/>
          <w:highlight w:val="none"/>
        </w:rPr>
        <w:t>5</w:t>
      </w:r>
      <w:r>
        <w:rPr>
          <w:rFonts w:ascii="宋体" w:hAnsi="宋体"/>
          <w:b/>
          <w:color w:val="auto"/>
          <w:szCs w:val="21"/>
          <w:highlight w:val="none"/>
        </w:rPr>
        <w:t>.</w:t>
      </w:r>
      <w:r>
        <w:rPr>
          <w:rFonts w:hint="eastAsia" w:ascii="宋体" w:hAnsi="宋体"/>
          <w:b/>
          <w:color w:val="auto"/>
          <w:szCs w:val="21"/>
          <w:highlight w:val="none"/>
        </w:rPr>
        <w:t>4</w:t>
      </w:r>
      <w:r>
        <w:rPr>
          <w:rFonts w:ascii="宋体" w:hAnsi="宋体"/>
          <w:b/>
          <w:color w:val="auto"/>
          <w:szCs w:val="21"/>
          <w:highlight w:val="none"/>
        </w:rPr>
        <w:t xml:space="preserve"> </w:t>
      </w:r>
      <w:r>
        <w:rPr>
          <w:rFonts w:hint="eastAsia" w:ascii="宋体" w:hAnsi="宋体"/>
          <w:b/>
          <w:color w:val="auto"/>
          <w:szCs w:val="21"/>
          <w:highlight w:val="none"/>
        </w:rPr>
        <w:t xml:space="preserve">应付款项的确认和计量 </w:t>
      </w:r>
    </w:p>
    <w:p w14:paraId="19B87102">
      <w:pPr>
        <w:spacing w:line="360" w:lineRule="auto"/>
        <w:ind w:firstLine="420" w:firstLineChars="200"/>
        <w:rPr>
          <w:rFonts w:ascii="宋体" w:hAnsi="宋体"/>
          <w:color w:val="auto"/>
          <w:szCs w:val="21"/>
          <w:highlight w:val="none"/>
        </w:rPr>
      </w:pPr>
      <w:r>
        <w:rPr>
          <w:rFonts w:ascii="宋体" w:hAnsi="宋体"/>
          <w:color w:val="auto"/>
          <w:szCs w:val="21"/>
          <w:highlight w:val="none"/>
        </w:rPr>
        <w:t>应付款项按照未来应支付的款项金额计量。</w:t>
      </w:r>
    </w:p>
    <w:p w14:paraId="4DE5CC88">
      <w:pPr>
        <w:spacing w:line="360" w:lineRule="auto"/>
        <w:rPr>
          <w:rFonts w:ascii="宋体" w:hAnsi="宋体"/>
          <w:b/>
          <w:color w:val="auto"/>
          <w:szCs w:val="21"/>
          <w:highlight w:val="none"/>
        </w:rPr>
      </w:pPr>
      <w:r>
        <w:rPr>
          <w:rFonts w:ascii="宋体" w:hAnsi="宋体"/>
          <w:b/>
          <w:color w:val="auto"/>
          <w:szCs w:val="21"/>
          <w:highlight w:val="none"/>
        </w:rPr>
        <w:t>4.3.</w:t>
      </w:r>
      <w:r>
        <w:rPr>
          <w:rFonts w:hint="eastAsia" w:ascii="宋体" w:hAnsi="宋体"/>
          <w:b/>
          <w:color w:val="auto"/>
          <w:szCs w:val="21"/>
          <w:highlight w:val="none"/>
        </w:rPr>
        <w:t>5</w:t>
      </w:r>
      <w:r>
        <w:rPr>
          <w:rFonts w:ascii="宋体" w:hAnsi="宋体"/>
          <w:b/>
          <w:color w:val="auto"/>
          <w:szCs w:val="21"/>
          <w:highlight w:val="none"/>
        </w:rPr>
        <w:t>.</w:t>
      </w:r>
      <w:r>
        <w:rPr>
          <w:rFonts w:hint="eastAsia" w:ascii="宋体" w:hAnsi="宋体"/>
          <w:b/>
          <w:color w:val="auto"/>
          <w:szCs w:val="21"/>
          <w:highlight w:val="none"/>
        </w:rPr>
        <w:t>5</w:t>
      </w:r>
      <w:r>
        <w:rPr>
          <w:rFonts w:ascii="宋体" w:hAnsi="宋体"/>
          <w:b/>
          <w:color w:val="auto"/>
          <w:szCs w:val="21"/>
          <w:highlight w:val="none"/>
        </w:rPr>
        <w:t xml:space="preserve"> </w:t>
      </w:r>
      <w:r>
        <w:rPr>
          <w:rFonts w:hint="eastAsia" w:ascii="宋体" w:hAnsi="宋体"/>
          <w:b/>
          <w:color w:val="auto"/>
          <w:szCs w:val="21"/>
          <w:highlight w:val="none"/>
        </w:rPr>
        <w:t xml:space="preserve">清算收益的确认和计量 </w:t>
      </w:r>
    </w:p>
    <w:p w14:paraId="0E9516BA">
      <w:pPr>
        <w:spacing w:line="360" w:lineRule="auto"/>
        <w:ind w:firstLine="420" w:firstLineChars="200"/>
        <w:rPr>
          <w:rFonts w:ascii="宋体" w:hAnsi="宋体"/>
          <w:color w:val="auto"/>
          <w:szCs w:val="21"/>
          <w:highlight w:val="none"/>
        </w:rPr>
      </w:pPr>
      <w:r>
        <w:rPr>
          <w:rFonts w:ascii="宋体" w:hAnsi="宋体"/>
          <w:color w:val="auto"/>
          <w:szCs w:val="21"/>
          <w:highlight w:val="none"/>
        </w:rPr>
        <w:t>清算收益按照实际发生的收益金额或未来应收取的款项金额计量。</w:t>
      </w:r>
    </w:p>
    <w:p w14:paraId="560B13A2">
      <w:pPr>
        <w:spacing w:line="360" w:lineRule="auto"/>
        <w:rPr>
          <w:rFonts w:ascii="宋体" w:hAnsi="宋体"/>
          <w:b/>
          <w:color w:val="auto"/>
          <w:szCs w:val="21"/>
          <w:highlight w:val="none"/>
        </w:rPr>
      </w:pPr>
      <w:r>
        <w:rPr>
          <w:rFonts w:ascii="宋体" w:hAnsi="宋体"/>
          <w:b/>
          <w:color w:val="auto"/>
          <w:szCs w:val="21"/>
          <w:highlight w:val="none"/>
        </w:rPr>
        <w:t>4.3.</w:t>
      </w:r>
      <w:r>
        <w:rPr>
          <w:rFonts w:hint="eastAsia" w:ascii="宋体" w:hAnsi="宋体"/>
          <w:b/>
          <w:color w:val="auto"/>
          <w:szCs w:val="21"/>
          <w:highlight w:val="none"/>
        </w:rPr>
        <w:t>5</w:t>
      </w:r>
      <w:r>
        <w:rPr>
          <w:rFonts w:ascii="宋体" w:hAnsi="宋体"/>
          <w:b/>
          <w:color w:val="auto"/>
          <w:szCs w:val="21"/>
          <w:highlight w:val="none"/>
        </w:rPr>
        <w:t>.6</w:t>
      </w:r>
      <w:r>
        <w:rPr>
          <w:rFonts w:hint="eastAsia" w:ascii="宋体" w:hAnsi="宋体"/>
          <w:b/>
          <w:color w:val="auto"/>
          <w:szCs w:val="21"/>
          <w:highlight w:val="none"/>
        </w:rPr>
        <w:t xml:space="preserve">清算费用的确认和计量 </w:t>
      </w:r>
    </w:p>
    <w:p w14:paraId="3678F184">
      <w:pPr>
        <w:spacing w:line="360" w:lineRule="auto"/>
        <w:ind w:firstLine="420" w:firstLineChars="200"/>
        <w:rPr>
          <w:rFonts w:ascii="宋体" w:hAnsi="宋体"/>
          <w:color w:val="auto"/>
          <w:szCs w:val="21"/>
          <w:highlight w:val="none"/>
        </w:rPr>
      </w:pPr>
      <w:r>
        <w:rPr>
          <w:rFonts w:ascii="宋体" w:hAnsi="宋体"/>
          <w:color w:val="auto"/>
          <w:szCs w:val="21"/>
          <w:highlight w:val="none"/>
        </w:rPr>
        <w:t>清算费用按照实际发生的费用金额或未来应支付的款项金额计量。</w:t>
      </w:r>
    </w:p>
    <w:p w14:paraId="5DA153AB">
      <w:pPr>
        <w:spacing w:line="360" w:lineRule="auto"/>
        <w:rPr>
          <w:rFonts w:ascii="宋体" w:hAnsi="宋体"/>
          <w:b/>
          <w:color w:val="auto"/>
          <w:szCs w:val="21"/>
          <w:highlight w:val="none"/>
        </w:rPr>
      </w:pPr>
      <w:r>
        <w:rPr>
          <w:rFonts w:ascii="宋体" w:hAnsi="宋体"/>
          <w:b/>
          <w:color w:val="auto"/>
          <w:szCs w:val="21"/>
          <w:highlight w:val="none"/>
        </w:rPr>
        <w:t>4.3.</w:t>
      </w:r>
      <w:r>
        <w:rPr>
          <w:rFonts w:hint="eastAsia" w:ascii="宋体" w:hAnsi="宋体"/>
          <w:b/>
          <w:color w:val="auto"/>
          <w:szCs w:val="21"/>
          <w:highlight w:val="none"/>
        </w:rPr>
        <w:t>6 税项</w:t>
      </w:r>
    </w:p>
    <w:p w14:paraId="5E4345F1">
      <w:pPr>
        <w:pStyle w:val="44"/>
        <w:ind w:firstLine="420"/>
        <w:rPr>
          <w:rFonts w:ascii="Times New Roman" w:hAnsi="Times New Roman" w:eastAsiaTheme="minorEastAsia"/>
          <w:color w:val="auto"/>
        </w:rPr>
      </w:pPr>
      <w:bookmarkStart w:id="46" w:name="_Toc491963087"/>
      <w:bookmarkStart w:id="47" w:name="_Toc484769809"/>
      <w:r>
        <w:rPr>
          <w:rFonts w:ascii="Times New Roman" w:hAnsi="Times New Roman" w:eastAsiaTheme="minorEastAsia"/>
          <w:color w:val="auto"/>
        </w:rPr>
        <w:t>（1） 增值税</w:t>
      </w:r>
    </w:p>
    <w:p w14:paraId="6811724F">
      <w:pPr>
        <w:pStyle w:val="44"/>
        <w:ind w:firstLine="420"/>
        <w:rPr>
          <w:rFonts w:ascii="Times New Roman" w:hAnsi="Times New Roman" w:eastAsiaTheme="minorEastAsia"/>
          <w:color w:val="auto"/>
        </w:rPr>
      </w:pPr>
      <w:r>
        <w:rPr>
          <w:rFonts w:ascii="Times New Roman" w:hAnsi="Times New Roman" w:eastAsiaTheme="minorEastAsia"/>
          <w:color w:val="auto"/>
        </w:rPr>
        <w:t>根据财政部、国家税务总局财税[2016]36号文《关于全面推开营业税改征增值税试点的通知》的规定，对证券投资基金（封闭式证券投资基金，开放式证券投资基金）管理人运用基金买卖股票、债券的转让收入免征增值税；国债、地方政府债利息收入以及金融同业往来利息收入免征增值税；存款利息收入不征收增值税；</w:t>
      </w:r>
    </w:p>
    <w:p w14:paraId="7C0BF53A">
      <w:pPr>
        <w:pStyle w:val="44"/>
        <w:ind w:firstLine="420"/>
        <w:rPr>
          <w:rFonts w:ascii="Times New Roman" w:hAnsi="Times New Roman" w:eastAsiaTheme="minorEastAsia"/>
          <w:color w:val="auto"/>
        </w:rPr>
      </w:pPr>
      <w:r>
        <w:rPr>
          <w:rFonts w:ascii="Times New Roman" w:hAnsi="Times New Roman" w:eastAsiaTheme="minorEastAsia"/>
          <w:color w:val="auto"/>
        </w:rPr>
        <w:t>根据财政部、国家税务总局财税[2016]46号文《关于进一步明确全面推开营改增试点金融业有关政策的通知》的规定，金融机构开展的质押式买入返售金融商品业务及持有政策性金融债券取得的利息收入属于金融同业往来利息收入；</w:t>
      </w:r>
    </w:p>
    <w:p w14:paraId="2FE4EB25">
      <w:pPr>
        <w:pStyle w:val="44"/>
        <w:ind w:firstLine="420"/>
        <w:rPr>
          <w:rFonts w:ascii="Times New Roman" w:hAnsi="Times New Roman" w:eastAsiaTheme="minorEastAsia"/>
          <w:color w:val="auto"/>
        </w:rPr>
      </w:pPr>
      <w:r>
        <w:rPr>
          <w:rFonts w:ascii="Times New Roman" w:hAnsi="Times New Roman" w:eastAsiaTheme="minorEastAsia"/>
          <w:color w:val="auto"/>
        </w:rPr>
        <w:t>根据财政部、国家税务总局财税[2016]70号文《关于金融机构同业往来等增值税政策的补充通知》的规定，金融机构开展的买断式买入返售金融商品业务、同业存款、同业存单以及持有金融债券取得的利息收入属于金融同业往来利息收入；</w:t>
      </w:r>
    </w:p>
    <w:p w14:paraId="3C0E1DC7">
      <w:pPr>
        <w:pStyle w:val="44"/>
        <w:ind w:firstLine="420"/>
        <w:rPr>
          <w:rFonts w:ascii="Times New Roman" w:hAnsi="Times New Roman" w:eastAsiaTheme="minorEastAsia"/>
          <w:color w:val="auto"/>
        </w:rPr>
      </w:pPr>
      <w:r>
        <w:rPr>
          <w:rFonts w:ascii="Times New Roman" w:hAnsi="Times New Roman" w:eastAsiaTheme="minorEastAsia"/>
          <w:color w:val="auto"/>
        </w:rPr>
        <w:t>根据财政部、国家税务总局财税[2016]140号文《关于明确金融、房地产开发、教育辅助服务等增值税政策的通知》的规定，资管产品运营过程中发生的增值税应税行为，以资管产品管理人为增值税纳税人；</w:t>
      </w:r>
    </w:p>
    <w:p w14:paraId="0F90F9C6">
      <w:pPr>
        <w:pStyle w:val="44"/>
        <w:ind w:firstLine="420"/>
        <w:rPr>
          <w:rFonts w:ascii="Times New Roman" w:hAnsi="Times New Roman" w:eastAsiaTheme="minorEastAsia"/>
          <w:color w:val="auto"/>
        </w:rPr>
      </w:pPr>
      <w:r>
        <w:rPr>
          <w:rFonts w:ascii="Times New Roman" w:hAnsi="Times New Roman" w:eastAsiaTheme="minorEastAsia"/>
          <w:color w:val="auto"/>
        </w:rPr>
        <w:t>根据财政部、国家税务总局财税[2017]56号文《关于资管产品增值税有关问题的通知》的规定，自2018年1月1日起，资管产品管理人运营资管产品过程中发生的增值税应税行为（以下简称“资管产品运营业务”），暂适用简易计税方法，按照3%的征收率缴纳增值税，资管产品管理人未分别核算资管产品运营业务和其他业务的销售额和增值税应纳税额的除外。资管产品管理人可选择分别或汇总核算资管产品运营业务销售额和增值税应纳税额。对资管产品在2018年1月1日前运营过程中发生的增值税应税行为，未缴纳增值税的，不再缴纳；已缴纳增值税的，已纳税额从资管产品管理人以后月份的增值税应纳税额中抵减；</w:t>
      </w:r>
    </w:p>
    <w:p w14:paraId="29288399">
      <w:pPr>
        <w:pStyle w:val="44"/>
        <w:ind w:firstLine="420"/>
        <w:rPr>
          <w:rFonts w:ascii="Times New Roman" w:hAnsi="Times New Roman" w:eastAsiaTheme="minorEastAsia"/>
          <w:color w:val="auto"/>
        </w:rPr>
      </w:pPr>
      <w:r>
        <w:rPr>
          <w:rFonts w:ascii="Times New Roman" w:hAnsi="Times New Roman" w:eastAsiaTheme="minorEastAsia"/>
          <w:color w:val="auto"/>
        </w:rPr>
        <w:t>根据财政部、国家税务总局财税[2017]90号文《关于租入固定资产进项税额抵扣等增值税政策的通知》的规定，自2018年1月1日起，资管产品管理人运营资管产品提供的贷款服务、发生的部分金融商品转让业务，按照以下规定确定销售额：提供贷款服务，以2018年1月1日起产生的利息及利息性质的收入为销售额；转让2017年12月31日前取得的股票（不包括限售股）、债券、基金、非货物期货，可以选择按照实际买入价计算销售额，或者以2017年最后一个交易日的股票收盘价（2017年最后一个交易日处于停牌期间的股票，为停牌前最后一个交易日收盘价）、债券估值（中债金融估值中心有限公司或中证指数有限公司提供的债券估值）、基金份额净值、非货物期货结算价格作为买入价计算销售额；</w:t>
      </w:r>
    </w:p>
    <w:p w14:paraId="48801A19">
      <w:pPr>
        <w:pStyle w:val="44"/>
        <w:ind w:firstLine="420"/>
        <w:rPr>
          <w:rFonts w:ascii="Times New Roman" w:hAnsi="Times New Roman" w:eastAsiaTheme="minorEastAsia"/>
          <w:color w:val="auto"/>
        </w:rPr>
      </w:pPr>
      <w:r>
        <w:rPr>
          <w:rFonts w:ascii="Times New Roman" w:hAnsi="Times New Roman" w:eastAsiaTheme="minorEastAsia"/>
          <w:color w:val="auto"/>
        </w:rPr>
        <w:t>根据财政部、国家税务总局公告2025年第4号《关于国债等债券利息收入增值税政策的公告》，自2025年8月8日起，对在该日期之后（含当日）新发行的国债、地方政府债券、金融债券的利息收入，恢复征收增值税。对在该日期之前已发行的国债、地方政府债券、金融债券（包含在2025年8月8日之后续发行的部分）的利息收入，继续免征增值税直至债券到期；</w:t>
      </w:r>
    </w:p>
    <w:p w14:paraId="7B74720E">
      <w:pPr>
        <w:pStyle w:val="44"/>
        <w:ind w:firstLine="420"/>
        <w:rPr>
          <w:rFonts w:ascii="Times New Roman" w:hAnsi="Times New Roman" w:eastAsiaTheme="minorEastAsia"/>
          <w:color w:val="auto"/>
        </w:rPr>
      </w:pPr>
      <w:r>
        <w:rPr>
          <w:rFonts w:ascii="Times New Roman" w:hAnsi="Times New Roman" w:eastAsiaTheme="minorEastAsia"/>
          <w:color w:val="auto"/>
        </w:rPr>
        <w:t>增值税附加税包括城市维护建设税、教育费附加和地方教育附加，以实际缴纳的增值税税额为计税依据，分别按规定的比例缴纳。</w:t>
      </w:r>
    </w:p>
    <w:p w14:paraId="0940A44E">
      <w:pPr>
        <w:pStyle w:val="44"/>
        <w:ind w:firstLine="420"/>
        <w:rPr>
          <w:rFonts w:ascii="Times New Roman" w:hAnsi="Times New Roman" w:eastAsiaTheme="minorEastAsia"/>
          <w:color w:val="auto"/>
        </w:rPr>
      </w:pPr>
      <w:r>
        <w:rPr>
          <w:rFonts w:ascii="Times New Roman" w:hAnsi="Times New Roman" w:eastAsiaTheme="minorEastAsia"/>
          <w:color w:val="auto"/>
        </w:rPr>
        <w:t>（2） 企业所得税</w:t>
      </w:r>
    </w:p>
    <w:p w14:paraId="3C26926E">
      <w:pPr>
        <w:pStyle w:val="44"/>
        <w:ind w:firstLine="420"/>
        <w:rPr>
          <w:rFonts w:ascii="Times New Roman" w:hAnsi="Times New Roman" w:eastAsiaTheme="minorEastAsia"/>
          <w:color w:val="auto"/>
        </w:rPr>
      </w:pPr>
      <w:r>
        <w:rPr>
          <w:rFonts w:ascii="Times New Roman" w:hAnsi="Times New Roman" w:eastAsiaTheme="minorEastAsia"/>
          <w:color w:val="auto"/>
        </w:rPr>
        <w:t>根据财政部、国家税务总局财税[2004]78号文《关于证券投资基金税收政策的通知》的规定，自2004年1月1日起，对证券投资基金（封闭式证券投资基金，开放式证券投资基金）管理人运用基金买卖股票、债券的差价收入，继续免征企业所得税；</w:t>
      </w:r>
    </w:p>
    <w:p w14:paraId="1168036F">
      <w:pPr>
        <w:pStyle w:val="44"/>
        <w:ind w:firstLine="420"/>
        <w:rPr>
          <w:rFonts w:ascii="Times New Roman" w:hAnsi="Times New Roman" w:eastAsiaTheme="minorEastAsia"/>
          <w:color w:val="auto"/>
        </w:rPr>
      </w:pPr>
      <w:r>
        <w:rPr>
          <w:rFonts w:ascii="Times New Roman" w:hAnsi="Times New Roman" w:eastAsiaTheme="minorEastAsia"/>
          <w:color w:val="auto"/>
        </w:rPr>
        <w:t>根据财政部、国家税务总局财税[2008]1号文《关于企业所得税若干优惠政策的通知》的规定，对证券投资基金从证券市场中取得的收入，包括买卖股票、债券的差价收入，股权的股息、红利收入，债券的利息收入及其他收入，暂不征收企业所得税。</w:t>
      </w:r>
    </w:p>
    <w:p w14:paraId="529DA8A4">
      <w:pPr>
        <w:pStyle w:val="44"/>
        <w:ind w:firstLine="420"/>
        <w:rPr>
          <w:rFonts w:ascii="Times New Roman" w:hAnsi="Times New Roman" w:eastAsiaTheme="minorEastAsia"/>
          <w:color w:val="auto"/>
        </w:rPr>
      </w:pPr>
      <w:r>
        <w:rPr>
          <w:rFonts w:ascii="Times New Roman" w:hAnsi="Times New Roman" w:eastAsiaTheme="minorEastAsia"/>
          <w:color w:val="auto"/>
        </w:rPr>
        <w:t>（3） 个人所得税</w:t>
      </w:r>
    </w:p>
    <w:p w14:paraId="4E7F86DF">
      <w:pPr>
        <w:pStyle w:val="44"/>
        <w:ind w:firstLine="420"/>
        <w:rPr>
          <w:rFonts w:ascii="Times New Roman" w:hAnsi="Times New Roman" w:eastAsiaTheme="minorEastAsia"/>
          <w:color w:val="auto"/>
        </w:rPr>
      </w:pPr>
      <w:r>
        <w:rPr>
          <w:rFonts w:ascii="Times New Roman" w:hAnsi="Times New Roman" w:eastAsiaTheme="minorEastAsia"/>
          <w:color w:val="auto"/>
        </w:rPr>
        <w:t>根据财政部、国家税务总局财税[2008]132号文《财政部、国家税务总局关于储蓄存款利息所得有关个人所得税政策的通知》的规定，自2008年10月9日起，对储蓄存款利息所得暂免征收个人所得税。</w:t>
      </w:r>
    </w:p>
    <w:p w14:paraId="2D16229D">
      <w:pPr>
        <w:pStyle w:val="2"/>
        <w:keepNext/>
        <w:keepLines/>
        <w:widowControl w:val="0"/>
        <w:spacing w:before="312" w:beforeLines="100" w:after="312" w:afterLines="100" w:line="360" w:lineRule="auto"/>
        <w:jc w:val="center"/>
        <w:rPr>
          <w:rStyle w:val="25"/>
          <w:rFonts w:ascii="宋体" w:hAnsi="宋体"/>
          <w:color w:val="auto"/>
          <w:highlight w:val="none"/>
        </w:rPr>
      </w:pPr>
      <w:r>
        <w:rPr>
          <w:rStyle w:val="25"/>
          <w:rFonts w:hint="eastAsia" w:ascii="宋体" w:hAnsi="宋体"/>
          <w:color w:val="auto"/>
          <w:highlight w:val="none"/>
        </w:rPr>
        <w:t>5、清算</w:t>
      </w:r>
      <w:r>
        <w:rPr>
          <w:rStyle w:val="25"/>
          <w:rFonts w:hint="eastAsia" w:ascii="宋体" w:hAnsi="宋体" w:eastAsia="宋体"/>
          <w:color w:val="auto"/>
          <w:highlight w:val="none"/>
        </w:rPr>
        <w:t>情况</w:t>
      </w:r>
      <w:bookmarkEnd w:id="46"/>
    </w:p>
    <w:p w14:paraId="61E32536">
      <w:pPr>
        <w:pStyle w:val="3"/>
        <w:spacing w:before="0" w:after="0"/>
        <w:rPr>
          <w:rFonts w:ascii="宋体" w:hAnsi="宋体" w:eastAsia="宋体"/>
          <w:color w:val="auto"/>
          <w:kern w:val="0"/>
          <w:sz w:val="21"/>
          <w:szCs w:val="21"/>
          <w:highlight w:val="none"/>
        </w:rPr>
      </w:pPr>
      <w:bookmarkStart w:id="48" w:name="_Toc491963088"/>
      <w:r>
        <w:rPr>
          <w:rFonts w:hint="eastAsia" w:ascii="宋体" w:hAnsi="宋体" w:eastAsia="宋体"/>
          <w:color w:val="auto"/>
          <w:kern w:val="0"/>
          <w:sz w:val="21"/>
          <w:szCs w:val="21"/>
          <w:highlight w:val="none"/>
        </w:rPr>
        <w:t>5.1 资产负债清算情况</w:t>
      </w:r>
      <w:bookmarkEnd w:id="48"/>
    </w:p>
    <w:p w14:paraId="293B6743">
      <w:pPr>
        <w:pStyle w:val="28"/>
        <w:rPr>
          <w:color w:val="auto"/>
          <w:highlight w:val="none"/>
        </w:rPr>
      </w:pPr>
      <w:r>
        <w:rPr>
          <w:rFonts w:hint="eastAsia"/>
          <w:color w:val="auto"/>
          <w:highlight w:val="none"/>
        </w:rPr>
        <w:t>自</w:t>
      </w:r>
      <w:r>
        <w:rPr>
          <w:rFonts w:hint="eastAsia"/>
          <w:color w:val="auto"/>
          <w:highlight w:val="none"/>
          <w:lang w:val="en-US" w:eastAsia="zh-CN"/>
        </w:rPr>
        <w:t>2026年7月29日</w:t>
      </w:r>
      <w:r>
        <w:rPr>
          <w:rFonts w:hint="eastAsia"/>
          <w:color w:val="auto"/>
          <w:highlight w:val="none"/>
        </w:rPr>
        <w:t>至</w:t>
      </w:r>
      <w:r>
        <w:rPr>
          <w:rFonts w:hint="eastAsia"/>
          <w:color w:val="auto"/>
          <w:highlight w:val="none"/>
          <w:lang w:val="en-US" w:eastAsia="zh-CN"/>
        </w:rPr>
        <w:t>2026年8月5日</w:t>
      </w:r>
      <w:r>
        <w:rPr>
          <w:rFonts w:hint="eastAsia"/>
          <w:color w:val="auto"/>
          <w:highlight w:val="none"/>
        </w:rPr>
        <w:t>止为本次清算期间，基金财产清算小组对本基金的基金财产进行清算，全部清算工作按清算原则和清算手续进行。具体清算情况如下：</w:t>
      </w:r>
    </w:p>
    <w:p w14:paraId="4A1C9645">
      <w:pPr>
        <w:pStyle w:val="28"/>
        <w:rPr>
          <w:color w:val="auto"/>
          <w:highlight w:val="none"/>
        </w:rPr>
      </w:pPr>
      <w:r>
        <w:rPr>
          <w:rFonts w:hint="eastAsia"/>
          <w:color w:val="auto"/>
          <w:highlight w:val="none"/>
        </w:rPr>
        <w:t>截至本次清算期结束日（</w:t>
      </w:r>
      <w:r>
        <w:rPr>
          <w:rFonts w:hint="eastAsia"/>
          <w:color w:val="auto"/>
          <w:highlight w:val="none"/>
          <w:lang w:val="en-US" w:eastAsia="zh-CN"/>
        </w:rPr>
        <w:t>2026年8月5日</w:t>
      </w:r>
      <w:r>
        <w:rPr>
          <w:rFonts w:hint="eastAsia"/>
          <w:color w:val="auto"/>
          <w:highlight w:val="none"/>
        </w:rPr>
        <w:t>），各项资产负债清算情况如下：</w:t>
      </w:r>
    </w:p>
    <w:p w14:paraId="68A80904">
      <w:pPr>
        <w:pStyle w:val="28"/>
        <w:numPr>
          <w:ilvl w:val="0"/>
          <w:numId w:val="2"/>
        </w:numPr>
        <w:ind w:firstLineChars="0"/>
        <w:rPr>
          <w:rFonts w:hint="eastAsia"/>
          <w:color w:val="auto"/>
          <w:highlight w:val="none"/>
        </w:rPr>
      </w:pPr>
      <w:bookmarkStart w:id="49" w:name="_Hlk35450096"/>
      <w:r>
        <w:rPr>
          <w:rFonts w:hint="eastAsia"/>
          <w:color w:val="auto"/>
          <w:highlight w:val="none"/>
        </w:rPr>
        <w:t>本基金最后运作日银行存款为人民币333,935.05元，其中包含应计利息人民币1,650.61元。清算期间，银行存款共计提利息人民币81.97元。截至清算期结束日，银行存款为人民币331,931.60元，其中应计银行存款利息余额为人民币1,732.58元，该款项将于清算结束后向基金份额持有人分配。</w:t>
      </w:r>
    </w:p>
    <w:p w14:paraId="2F47E921">
      <w:pPr>
        <w:pStyle w:val="28"/>
        <w:numPr>
          <w:ilvl w:val="0"/>
          <w:numId w:val="2"/>
        </w:numPr>
        <w:ind w:firstLineChars="0"/>
        <w:rPr>
          <w:rFonts w:hint="eastAsia"/>
          <w:color w:val="auto"/>
          <w:highlight w:val="none"/>
        </w:rPr>
      </w:pPr>
      <w:r>
        <w:rPr>
          <w:rFonts w:hint="eastAsia"/>
          <w:color w:val="auto"/>
          <w:highlight w:val="none"/>
        </w:rPr>
        <w:t>本基金最后运作日应收申购款为人民币2,042.97元，2026年7月29日，应收申购款增加人民币3,333.00元，该款项已于清算期间划入托管账户。</w:t>
      </w:r>
      <w:bookmarkEnd w:id="49"/>
      <w:bookmarkStart w:id="50" w:name="_Hlk35452065"/>
      <w:r>
        <w:rPr>
          <w:rFonts w:hint="eastAsia"/>
          <w:color w:val="auto"/>
          <w:highlight w:val="none"/>
        </w:rPr>
        <w:t xml:space="preserve"> </w:t>
      </w:r>
    </w:p>
    <w:p w14:paraId="3AAEF478">
      <w:pPr>
        <w:pStyle w:val="28"/>
        <w:numPr>
          <w:ilvl w:val="0"/>
          <w:numId w:val="2"/>
        </w:numPr>
        <w:ind w:firstLineChars="0"/>
        <w:rPr>
          <w:rFonts w:hint="eastAsia"/>
          <w:color w:val="auto"/>
          <w:highlight w:val="none"/>
        </w:rPr>
      </w:pPr>
      <w:r>
        <w:rPr>
          <w:rFonts w:hint="eastAsia"/>
          <w:color w:val="auto"/>
          <w:highlight w:val="none"/>
        </w:rPr>
        <w:t>本基金最后运作日应付赎回款为人民币175.64元，该款项已于清算期间全部支付。</w:t>
      </w:r>
    </w:p>
    <w:p w14:paraId="5D99451E">
      <w:pPr>
        <w:pStyle w:val="28"/>
        <w:numPr>
          <w:ilvl w:val="0"/>
          <w:numId w:val="2"/>
        </w:numPr>
        <w:ind w:firstLineChars="0"/>
        <w:rPr>
          <w:rFonts w:hint="eastAsia"/>
          <w:color w:val="auto"/>
          <w:highlight w:val="none"/>
        </w:rPr>
      </w:pPr>
      <w:r>
        <w:rPr>
          <w:rFonts w:hint="eastAsia"/>
          <w:color w:val="auto"/>
          <w:highlight w:val="none"/>
        </w:rPr>
        <w:t>本基金最后运作日应付管理人报酬为人民币2,325.92元，该款项已于清算期间全部支付。</w:t>
      </w:r>
    </w:p>
    <w:p w14:paraId="4859608A">
      <w:pPr>
        <w:pStyle w:val="28"/>
        <w:numPr>
          <w:ilvl w:val="0"/>
          <w:numId w:val="2"/>
        </w:numPr>
        <w:ind w:firstLineChars="0"/>
        <w:rPr>
          <w:rFonts w:hint="eastAsia"/>
          <w:color w:val="auto"/>
          <w:highlight w:val="none"/>
        </w:rPr>
      </w:pPr>
      <w:r>
        <w:rPr>
          <w:rFonts w:hint="eastAsia"/>
          <w:color w:val="auto"/>
          <w:highlight w:val="none"/>
        </w:rPr>
        <w:t>本基金最后运作日应付托管费为人民币775.28元，该款项已于清算期间全部支付。</w:t>
      </w:r>
    </w:p>
    <w:p w14:paraId="2B93CB9C">
      <w:pPr>
        <w:pStyle w:val="28"/>
        <w:numPr>
          <w:ilvl w:val="0"/>
          <w:numId w:val="2"/>
        </w:numPr>
        <w:ind w:firstLineChars="0"/>
        <w:rPr>
          <w:rFonts w:hint="eastAsia"/>
          <w:color w:val="auto"/>
          <w:highlight w:val="none"/>
        </w:rPr>
      </w:pPr>
      <w:r>
        <w:rPr>
          <w:rFonts w:hint="eastAsia"/>
          <w:color w:val="auto"/>
          <w:highlight w:val="none"/>
        </w:rPr>
        <w:t>本基金最后运作日应付销售服务费为人民币747.05元，该款项已于清算期间全部支付。</w:t>
      </w:r>
    </w:p>
    <w:bookmarkEnd w:id="50"/>
    <w:p w14:paraId="79863284">
      <w:pPr>
        <w:pStyle w:val="28"/>
        <w:numPr>
          <w:ilvl w:val="0"/>
          <w:numId w:val="2"/>
        </w:numPr>
        <w:ind w:firstLineChars="0"/>
        <w:rPr>
          <w:rFonts w:hint="eastAsia"/>
          <w:color w:val="auto"/>
          <w:highlight w:val="none"/>
        </w:rPr>
      </w:pPr>
      <w:r>
        <w:rPr>
          <w:rFonts w:hint="eastAsia"/>
          <w:color w:val="auto"/>
          <w:highlight w:val="none"/>
        </w:rPr>
        <w:t>本基金最后运作日其他负债为人民币130,150.43元，其中应付中债登债券结算服务费为人民币300.00元，应付债券交易手续费为人民币37.50元，预提审计费为人民币58,000.00元，预提上证信息披露费为人民币68,712.93元，预提中债登账户服务费为人民币1,500.00元，预提上清所账户服务费为人民币1,600.00元。清算期间，支付应付中债登债券结算服务费人民币300.00元；支付应付债券交易手续费人民币37.50元，支付预提中债登账户服务费人民币1,500.00元；支付预提上清所账户服务费为人民币1,600.00元。截止清算截止日，其他负债为人民币126,712.93元，其中预提审计费为人民币58,000.00元，预提上证信息披露费为人民币68,712.93元，上述款项将于取得发票后支付，不计入剩余财产予以分配。</w:t>
      </w:r>
    </w:p>
    <w:bookmarkEnd w:id="47"/>
    <w:p w14:paraId="777A53FD">
      <w:pPr>
        <w:pStyle w:val="3"/>
        <w:spacing w:before="0" w:after="0"/>
        <w:rPr>
          <w:rFonts w:ascii="宋体" w:hAnsi="宋体" w:eastAsia="宋体"/>
          <w:color w:val="auto"/>
          <w:kern w:val="0"/>
          <w:sz w:val="21"/>
          <w:szCs w:val="21"/>
          <w:highlight w:val="none"/>
        </w:rPr>
      </w:pPr>
      <w:bookmarkStart w:id="51" w:name="_Toc491963089"/>
      <w:r>
        <w:rPr>
          <w:rFonts w:hint="eastAsia" w:ascii="宋体" w:hAnsi="宋体" w:eastAsia="宋体"/>
          <w:color w:val="auto"/>
          <w:kern w:val="0"/>
          <w:sz w:val="21"/>
          <w:szCs w:val="21"/>
          <w:highlight w:val="none"/>
        </w:rPr>
        <w:t>5.2 截至本次清算期结束日的剩余财产情况及剩余财产分配安排</w:t>
      </w:r>
      <w:bookmarkEnd w:id="51"/>
    </w:p>
    <w:tbl>
      <w:tblPr>
        <w:tblStyle w:val="13"/>
        <w:tblW w:w="90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957"/>
        <w:gridCol w:w="4115"/>
      </w:tblGrid>
      <w:tr w14:paraId="5D784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57" w:type="dxa"/>
            <w:noWrap w:val="0"/>
            <w:vAlign w:val="center"/>
          </w:tcPr>
          <w:p w14:paraId="4D8E4016">
            <w:pPr>
              <w:pStyle w:val="11"/>
              <w:jc w:val="center"/>
              <w:rPr>
                <w:rFonts w:ascii="宋体" w:hAnsi="宋体" w:eastAsia="宋体"/>
                <w:b/>
                <w:color w:val="auto"/>
                <w:sz w:val="21"/>
                <w:szCs w:val="21"/>
                <w:highlight w:val="none"/>
              </w:rPr>
            </w:pPr>
            <w:r>
              <w:rPr>
                <w:rFonts w:ascii="宋体" w:hAnsi="宋体" w:eastAsia="宋体"/>
                <w:b/>
                <w:color w:val="auto"/>
                <w:sz w:val="21"/>
                <w:szCs w:val="21"/>
                <w:highlight w:val="none"/>
              </w:rPr>
              <w:t>项目</w:t>
            </w:r>
          </w:p>
        </w:tc>
        <w:tc>
          <w:tcPr>
            <w:tcW w:w="4115" w:type="dxa"/>
            <w:noWrap w:val="0"/>
            <w:vAlign w:val="center"/>
          </w:tcPr>
          <w:p w14:paraId="38A417F8">
            <w:pPr>
              <w:pStyle w:val="11"/>
              <w:spacing w:before="0" w:beforeAutospacing="0" w:after="0" w:afterAutospacing="0"/>
              <w:jc w:val="center"/>
              <w:rPr>
                <w:rFonts w:ascii="宋体" w:hAnsi="宋体" w:eastAsia="宋体"/>
                <w:b/>
                <w:color w:val="auto"/>
                <w:sz w:val="21"/>
                <w:szCs w:val="21"/>
                <w:highlight w:val="none"/>
                <w:lang w:eastAsia="zh-CN"/>
              </w:rPr>
            </w:pPr>
            <w:r>
              <w:rPr>
                <w:rFonts w:hint="eastAsia" w:ascii="宋体" w:hAnsi="宋体" w:eastAsia="宋体"/>
                <w:b/>
                <w:color w:val="auto"/>
                <w:sz w:val="21"/>
                <w:szCs w:val="21"/>
                <w:highlight w:val="none"/>
                <w:lang w:eastAsia="zh-CN"/>
              </w:rPr>
              <w:t>金额</w:t>
            </w:r>
          </w:p>
        </w:tc>
      </w:tr>
      <w:tr w14:paraId="3E8CEC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57" w:type="dxa"/>
            <w:noWrap w:val="0"/>
            <w:vAlign w:val="center"/>
          </w:tcPr>
          <w:p w14:paraId="6C6321EF">
            <w:pPr>
              <w:rPr>
                <w:rFonts w:ascii="宋体" w:hAnsi="宋体"/>
                <w:b/>
                <w:color w:val="auto"/>
                <w:szCs w:val="21"/>
                <w:highlight w:val="none"/>
              </w:rPr>
            </w:pPr>
            <w:r>
              <w:rPr>
                <w:rFonts w:ascii="宋体" w:hAnsi="宋体"/>
                <w:b/>
                <w:color w:val="auto"/>
                <w:szCs w:val="21"/>
                <w:highlight w:val="none"/>
              </w:rPr>
              <w:t>一、</w:t>
            </w:r>
            <w:r>
              <w:rPr>
                <w:rFonts w:hint="eastAsia" w:ascii="宋体" w:hAnsi="宋体"/>
                <w:b/>
                <w:color w:val="auto"/>
                <w:szCs w:val="21"/>
                <w:highlight w:val="none"/>
              </w:rPr>
              <w:t>最后运作日</w:t>
            </w:r>
            <w:r>
              <w:rPr>
                <w:rFonts w:hint="eastAsia" w:ascii="宋体" w:hAnsi="宋体"/>
                <w:b/>
                <w:color w:val="auto"/>
                <w:szCs w:val="21"/>
                <w:highlight w:val="none"/>
                <w:lang w:val="en-US" w:eastAsia="zh-CN"/>
              </w:rPr>
              <w:t>2026年7月28日</w:t>
            </w:r>
            <w:r>
              <w:rPr>
                <w:rFonts w:hint="eastAsia" w:ascii="宋体" w:hAnsi="宋体"/>
                <w:b/>
                <w:color w:val="auto"/>
                <w:szCs w:val="21"/>
                <w:highlight w:val="none"/>
              </w:rPr>
              <w:t>基金净资产</w:t>
            </w:r>
          </w:p>
        </w:tc>
        <w:tc>
          <w:tcPr>
            <w:tcW w:w="4115" w:type="dxa"/>
            <w:noWrap w:val="0"/>
            <w:vAlign w:val="center"/>
          </w:tcPr>
          <w:p w14:paraId="0F8F89DE">
            <w:pPr>
              <w:ind w:left="-80"/>
              <w:jc w:val="righ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201,803.70</w:t>
            </w:r>
          </w:p>
        </w:tc>
      </w:tr>
      <w:tr w14:paraId="371CB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57" w:type="dxa"/>
            <w:noWrap w:val="0"/>
            <w:vAlign w:val="center"/>
          </w:tcPr>
          <w:p w14:paraId="35214E59">
            <w:pPr>
              <w:rPr>
                <w:rFonts w:ascii="宋体" w:hAnsi="宋体"/>
                <w:color w:val="auto"/>
                <w:szCs w:val="21"/>
                <w:highlight w:val="none"/>
              </w:rPr>
            </w:pPr>
            <w:r>
              <w:rPr>
                <w:rFonts w:hint="eastAsia" w:ascii="宋体" w:hAnsi="宋体"/>
                <w:color w:val="auto"/>
                <w:szCs w:val="21"/>
                <w:highlight w:val="none"/>
              </w:rPr>
              <w:t>加：</w:t>
            </w:r>
            <w:r>
              <w:rPr>
                <w:rFonts w:hint="eastAsia" w:ascii="宋体" w:hAnsi="宋体"/>
                <w:color w:val="auto"/>
                <w:szCs w:val="21"/>
                <w:highlight w:val="none"/>
                <w:lang w:val="en-US" w:eastAsia="zh-CN"/>
              </w:rPr>
              <w:t>2026年7月29日</w:t>
            </w:r>
            <w:r>
              <w:rPr>
                <w:rFonts w:hint="eastAsia" w:ascii="宋体" w:hAnsi="宋体"/>
                <w:color w:val="auto"/>
                <w:szCs w:val="21"/>
                <w:highlight w:val="none"/>
              </w:rPr>
              <w:t>确认申购对价</w:t>
            </w:r>
          </w:p>
        </w:tc>
        <w:tc>
          <w:tcPr>
            <w:tcW w:w="4115" w:type="dxa"/>
            <w:noWrap w:val="0"/>
            <w:vAlign w:val="center"/>
          </w:tcPr>
          <w:p w14:paraId="3C29CC8F">
            <w:pPr>
              <w:ind w:left="-80"/>
              <w:jc w:val="righ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3,333.00</w:t>
            </w:r>
          </w:p>
        </w:tc>
      </w:tr>
      <w:tr w14:paraId="767AC6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57" w:type="dxa"/>
            <w:noWrap w:val="0"/>
            <w:vAlign w:val="center"/>
          </w:tcPr>
          <w:p w14:paraId="2AB9D8E7">
            <w:pPr>
              <w:rPr>
                <w:rFonts w:ascii="宋体" w:hAnsi="宋体"/>
                <w:color w:val="auto"/>
                <w:szCs w:val="21"/>
                <w:highlight w:val="none"/>
              </w:rPr>
            </w:pPr>
            <w:r>
              <w:rPr>
                <w:rFonts w:hint="eastAsia" w:ascii="宋体" w:hAnsi="宋体"/>
                <w:color w:val="auto"/>
                <w:szCs w:val="21"/>
                <w:highlight w:val="none"/>
              </w:rPr>
              <w:t>减：</w:t>
            </w:r>
            <w:r>
              <w:rPr>
                <w:rFonts w:hint="eastAsia" w:ascii="宋体" w:hAnsi="宋体"/>
                <w:color w:val="auto"/>
                <w:szCs w:val="21"/>
                <w:highlight w:val="none"/>
                <w:lang w:val="en-US" w:eastAsia="zh-CN"/>
              </w:rPr>
              <w:t>2026年7月29日</w:t>
            </w:r>
            <w:r>
              <w:rPr>
                <w:rFonts w:hint="eastAsia" w:ascii="宋体" w:hAnsi="宋体"/>
                <w:color w:val="auto"/>
                <w:szCs w:val="21"/>
                <w:highlight w:val="none"/>
              </w:rPr>
              <w:t>确认赎回对价</w:t>
            </w:r>
          </w:p>
        </w:tc>
        <w:tc>
          <w:tcPr>
            <w:tcW w:w="4115" w:type="dxa"/>
            <w:noWrap w:val="0"/>
            <w:vAlign w:val="center"/>
          </w:tcPr>
          <w:p w14:paraId="63F7BFDC">
            <w:pPr>
              <w:ind w:left="-80"/>
              <w:jc w:val="righ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w:t>
            </w:r>
          </w:p>
        </w:tc>
      </w:tr>
      <w:tr w14:paraId="71F18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57" w:type="dxa"/>
            <w:noWrap w:val="0"/>
            <w:vAlign w:val="center"/>
          </w:tcPr>
          <w:p w14:paraId="75FDADB9">
            <w:pPr>
              <w:rPr>
                <w:rFonts w:ascii="宋体" w:hAnsi="宋体"/>
                <w:color w:val="auto"/>
                <w:szCs w:val="21"/>
                <w:highlight w:val="none"/>
              </w:rPr>
            </w:pPr>
            <w:r>
              <w:rPr>
                <w:rFonts w:hint="eastAsia" w:ascii="宋体" w:hAnsi="宋体"/>
                <w:color w:val="auto"/>
                <w:szCs w:val="21"/>
                <w:highlight w:val="none"/>
              </w:rPr>
              <w:t>加：清算期间净收益</w:t>
            </w:r>
          </w:p>
        </w:tc>
        <w:tc>
          <w:tcPr>
            <w:tcW w:w="4115" w:type="dxa"/>
            <w:noWrap w:val="0"/>
            <w:vAlign w:val="center"/>
          </w:tcPr>
          <w:p w14:paraId="43797BC9">
            <w:pPr>
              <w:ind w:left="-80"/>
              <w:jc w:val="righ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81.97</w:t>
            </w:r>
          </w:p>
        </w:tc>
      </w:tr>
      <w:tr w14:paraId="7039C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57" w:type="dxa"/>
            <w:noWrap w:val="0"/>
            <w:vAlign w:val="center"/>
          </w:tcPr>
          <w:p w14:paraId="2D5D1BC9">
            <w:pPr>
              <w:rPr>
                <w:rFonts w:ascii="宋体" w:hAnsi="宋体"/>
                <w:b/>
                <w:color w:val="auto"/>
                <w:szCs w:val="21"/>
                <w:highlight w:val="none"/>
              </w:rPr>
            </w:pPr>
            <w:r>
              <w:rPr>
                <w:rFonts w:hint="eastAsia" w:ascii="宋体" w:hAnsi="宋体"/>
                <w:b/>
                <w:color w:val="auto"/>
                <w:szCs w:val="21"/>
                <w:highlight w:val="none"/>
              </w:rPr>
              <w:t>二、</w:t>
            </w:r>
            <w:r>
              <w:rPr>
                <w:rFonts w:hint="eastAsia" w:ascii="宋体" w:hAnsi="宋体"/>
                <w:b/>
                <w:color w:val="auto"/>
                <w:szCs w:val="21"/>
                <w:highlight w:val="none"/>
                <w:lang w:val="en-US" w:eastAsia="zh-CN"/>
              </w:rPr>
              <w:t>2026年8月5日</w:t>
            </w:r>
            <w:r>
              <w:rPr>
                <w:rFonts w:hint="eastAsia" w:ascii="宋体" w:hAnsi="宋体"/>
                <w:b/>
                <w:color w:val="auto"/>
                <w:szCs w:val="21"/>
                <w:highlight w:val="none"/>
              </w:rPr>
              <w:t>基金净资产</w:t>
            </w:r>
          </w:p>
        </w:tc>
        <w:tc>
          <w:tcPr>
            <w:tcW w:w="4115" w:type="dxa"/>
            <w:noWrap w:val="0"/>
            <w:vAlign w:val="center"/>
          </w:tcPr>
          <w:p w14:paraId="4561E0C9">
            <w:pPr>
              <w:ind w:left="-80"/>
              <w:jc w:val="righ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205,218.67</w:t>
            </w:r>
          </w:p>
        </w:tc>
      </w:tr>
    </w:tbl>
    <w:p w14:paraId="3856A10A">
      <w:pPr>
        <w:pStyle w:val="28"/>
        <w:rPr>
          <w:color w:val="auto"/>
          <w:highlight w:val="none"/>
        </w:rPr>
      </w:pPr>
      <w:r>
        <w:rPr>
          <w:rFonts w:hint="eastAsia"/>
          <w:color w:val="auto"/>
          <w:highlight w:val="none"/>
        </w:rPr>
        <w:t>截至本次清算期结束日</w:t>
      </w:r>
      <w:r>
        <w:rPr>
          <w:rFonts w:hint="eastAsia"/>
          <w:color w:val="auto"/>
          <w:highlight w:val="none"/>
          <w:lang w:val="en-US" w:eastAsia="zh-CN"/>
        </w:rPr>
        <w:t>2026年8月5日</w:t>
      </w:r>
      <w:r>
        <w:rPr>
          <w:rFonts w:hint="eastAsia"/>
          <w:color w:val="auto"/>
          <w:highlight w:val="none"/>
        </w:rPr>
        <w:t>，本基金剩余财产为人民币</w:t>
      </w:r>
      <w:r>
        <w:rPr>
          <w:rFonts w:hint="eastAsia" w:ascii="宋体" w:hAnsi="宋体"/>
          <w:color w:val="auto"/>
          <w:szCs w:val="21"/>
          <w:highlight w:val="none"/>
          <w:lang w:val="en-US" w:eastAsia="zh-CN"/>
        </w:rPr>
        <w:t>205,218.67</w:t>
      </w:r>
      <w:r>
        <w:rPr>
          <w:rFonts w:hint="eastAsia"/>
          <w:color w:val="auto"/>
          <w:highlight w:val="none"/>
        </w:rPr>
        <w:t>元。自本次清算期结束日次日</w:t>
      </w:r>
      <w:r>
        <w:rPr>
          <w:rFonts w:hint="eastAsia" w:ascii="宋体" w:hAnsi="宋体" w:eastAsia="宋体"/>
          <w:color w:val="auto"/>
          <w:highlight w:val="none"/>
          <w:lang w:val="en-US" w:eastAsia="zh-CN"/>
        </w:rPr>
        <w:t>2026年</w:t>
      </w:r>
      <w:r>
        <w:rPr>
          <w:rFonts w:hint="eastAsia"/>
          <w:color w:val="auto"/>
          <w:highlight w:val="none"/>
          <w:lang w:val="en-US" w:eastAsia="zh-CN"/>
        </w:rPr>
        <w:t>8</w:t>
      </w:r>
      <w:r>
        <w:rPr>
          <w:rFonts w:hint="eastAsia" w:ascii="宋体" w:hAnsi="宋体" w:eastAsia="宋体"/>
          <w:color w:val="auto"/>
          <w:highlight w:val="none"/>
          <w:lang w:val="en-US" w:eastAsia="zh-CN"/>
        </w:rPr>
        <w:t>月6日</w:t>
      </w:r>
      <w:r>
        <w:rPr>
          <w:rFonts w:hint="eastAsia"/>
          <w:color w:val="auto"/>
          <w:highlight w:val="none"/>
        </w:rPr>
        <w:t>至清算款划出前一日的收益和费用由基金份额持有人享有和承担。</w:t>
      </w:r>
    </w:p>
    <w:p w14:paraId="0809C1B8">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清算报告已经基金托管人复核，将与会计师事务所出具的清算审计报告、律师事务所出具的法律意见书一并报中国证监会备案后向基金份额持有人公告。清算报告公告后，基金管理人将遵照法律法规、基金合同等规定及时进行分配。</w:t>
      </w:r>
    </w:p>
    <w:p w14:paraId="7E396F75">
      <w:pPr>
        <w:pStyle w:val="2"/>
        <w:keepNext/>
        <w:keepLines/>
        <w:widowControl w:val="0"/>
        <w:spacing w:before="312" w:beforeLines="100" w:after="312" w:afterLines="100" w:line="360" w:lineRule="auto"/>
        <w:jc w:val="center"/>
        <w:rPr>
          <w:rStyle w:val="25"/>
          <w:rFonts w:ascii="宋体" w:hAnsi="宋体"/>
          <w:color w:val="auto"/>
          <w:highlight w:val="none"/>
        </w:rPr>
      </w:pPr>
      <w:bookmarkStart w:id="52" w:name="_Toc476577307"/>
      <w:bookmarkStart w:id="53" w:name="_Toc409100108"/>
      <w:bookmarkStart w:id="54" w:name="_Toc361324903"/>
      <w:bookmarkStart w:id="55" w:name="_Toc409100471"/>
      <w:bookmarkStart w:id="56" w:name="_Toc484769810"/>
      <w:bookmarkStart w:id="57" w:name="_Toc225500055"/>
      <w:bookmarkStart w:id="58" w:name="_Toc491963090"/>
      <w:r>
        <w:rPr>
          <w:rStyle w:val="25"/>
          <w:rFonts w:hint="eastAsia" w:ascii="宋体" w:hAnsi="宋体"/>
          <w:color w:val="auto"/>
          <w:highlight w:val="none"/>
        </w:rPr>
        <w:t>6、</w:t>
      </w:r>
      <w:r>
        <w:rPr>
          <w:rStyle w:val="25"/>
          <w:rFonts w:ascii="宋体" w:hAnsi="宋体"/>
          <w:color w:val="auto"/>
          <w:highlight w:val="none"/>
        </w:rPr>
        <w:t>备查文件目录</w:t>
      </w:r>
      <w:bookmarkEnd w:id="52"/>
      <w:bookmarkEnd w:id="53"/>
      <w:bookmarkEnd w:id="54"/>
      <w:bookmarkEnd w:id="55"/>
      <w:bookmarkEnd w:id="56"/>
      <w:bookmarkEnd w:id="57"/>
      <w:bookmarkEnd w:id="58"/>
    </w:p>
    <w:p w14:paraId="2E211CB0">
      <w:pPr>
        <w:pStyle w:val="3"/>
        <w:spacing w:before="0" w:after="0"/>
        <w:rPr>
          <w:rFonts w:ascii="宋体" w:hAnsi="宋体" w:eastAsia="宋体"/>
          <w:color w:val="auto"/>
          <w:kern w:val="0"/>
          <w:sz w:val="21"/>
          <w:szCs w:val="21"/>
          <w:highlight w:val="none"/>
        </w:rPr>
      </w:pPr>
      <w:bookmarkStart w:id="59" w:name="_Toc361324904"/>
      <w:bookmarkStart w:id="60" w:name="_Toc476577308"/>
      <w:bookmarkStart w:id="61" w:name="_Toc409100109"/>
      <w:bookmarkStart w:id="62" w:name="_Toc409100472"/>
      <w:bookmarkStart w:id="63" w:name="_Toc491963091"/>
      <w:bookmarkStart w:id="64" w:name="_Toc484769811"/>
      <w:bookmarkStart w:id="65" w:name="_Toc484607315"/>
      <w:bookmarkStart w:id="66" w:name="_Toc483396843"/>
      <w:r>
        <w:rPr>
          <w:rFonts w:hint="eastAsia" w:ascii="宋体" w:hAnsi="宋体" w:eastAsia="宋体"/>
          <w:color w:val="auto"/>
          <w:kern w:val="0"/>
          <w:sz w:val="21"/>
          <w:szCs w:val="21"/>
          <w:highlight w:val="none"/>
        </w:rPr>
        <w:t>6</w:t>
      </w:r>
      <w:r>
        <w:rPr>
          <w:rFonts w:ascii="宋体" w:hAnsi="宋体" w:eastAsia="宋体"/>
          <w:color w:val="auto"/>
          <w:kern w:val="0"/>
          <w:sz w:val="21"/>
          <w:szCs w:val="21"/>
          <w:highlight w:val="none"/>
        </w:rPr>
        <w:t>.1 备查文件目录</w:t>
      </w:r>
      <w:bookmarkEnd w:id="59"/>
      <w:bookmarkEnd w:id="60"/>
      <w:bookmarkEnd w:id="61"/>
      <w:bookmarkEnd w:id="62"/>
      <w:bookmarkEnd w:id="63"/>
      <w:bookmarkEnd w:id="64"/>
      <w:bookmarkEnd w:id="65"/>
      <w:bookmarkEnd w:id="66"/>
    </w:p>
    <w:p w14:paraId="67F35BEF">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w:t>
      </w:r>
      <w:r>
        <w:rPr>
          <w:rFonts w:ascii="宋体" w:hAnsi="宋体"/>
          <w:color w:val="auto"/>
          <w:szCs w:val="21"/>
          <w:highlight w:val="none"/>
        </w:rPr>
        <w:t>1.1</w:t>
      </w:r>
      <w:r>
        <w:rPr>
          <w:rFonts w:hint="eastAsia"/>
          <w:color w:val="auto"/>
          <w:szCs w:val="21"/>
          <w:highlight w:val="none"/>
        </w:rPr>
        <w:t>博时富顺纯债债券型证券投资基金</w:t>
      </w:r>
      <w:r>
        <w:rPr>
          <w:rFonts w:ascii="宋体" w:hAnsi="宋体"/>
          <w:color w:val="auto"/>
          <w:szCs w:val="21"/>
          <w:highlight w:val="none"/>
        </w:rPr>
        <w:t>清算审计报告</w:t>
      </w:r>
    </w:p>
    <w:p w14:paraId="6D33A0BF">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w:t>
      </w:r>
      <w:r>
        <w:rPr>
          <w:rFonts w:ascii="宋体" w:hAnsi="宋体"/>
          <w:color w:val="auto"/>
          <w:szCs w:val="21"/>
          <w:highlight w:val="none"/>
        </w:rPr>
        <w:t>.1.2</w:t>
      </w:r>
      <w:r>
        <w:rPr>
          <w:rFonts w:hint="eastAsia" w:ascii="宋体" w:hAnsi="宋体"/>
          <w:color w:val="auto"/>
          <w:szCs w:val="21"/>
          <w:highlight w:val="none"/>
          <w:lang w:val="en-US" w:eastAsia="zh-CN"/>
        </w:rPr>
        <w:t>上海源泰律师事务所</w:t>
      </w:r>
      <w:r>
        <w:rPr>
          <w:rFonts w:hint="eastAsia" w:ascii="宋体" w:hAnsi="宋体"/>
          <w:color w:val="auto"/>
          <w:szCs w:val="21"/>
          <w:highlight w:val="none"/>
        </w:rPr>
        <w:t>关于</w:t>
      </w:r>
      <w:r>
        <w:rPr>
          <w:rFonts w:hint="eastAsia"/>
          <w:color w:val="auto"/>
          <w:szCs w:val="21"/>
          <w:highlight w:val="none"/>
        </w:rPr>
        <w:t>博时富顺纯债债券型证券投资基金</w:t>
      </w:r>
      <w:r>
        <w:rPr>
          <w:rFonts w:hint="eastAsia" w:ascii="宋体" w:hAnsi="宋体"/>
          <w:color w:val="auto"/>
          <w:szCs w:val="21"/>
          <w:highlight w:val="none"/>
        </w:rPr>
        <w:t>清算事宜之法律意见</w:t>
      </w:r>
    </w:p>
    <w:p w14:paraId="5E809CEE">
      <w:pPr>
        <w:pStyle w:val="3"/>
        <w:spacing w:before="0" w:after="0"/>
        <w:rPr>
          <w:rFonts w:ascii="宋体" w:hAnsi="宋体" w:eastAsia="宋体"/>
          <w:color w:val="auto"/>
          <w:kern w:val="0"/>
          <w:sz w:val="21"/>
          <w:szCs w:val="21"/>
          <w:highlight w:val="none"/>
        </w:rPr>
      </w:pPr>
      <w:bookmarkStart w:id="67" w:name="_Toc483396844"/>
      <w:bookmarkStart w:id="68" w:name="_Toc491963092"/>
      <w:bookmarkStart w:id="69" w:name="_Toc361324905"/>
      <w:bookmarkStart w:id="70" w:name="_Toc476577309"/>
      <w:bookmarkStart w:id="71" w:name="_Toc409100473"/>
      <w:bookmarkStart w:id="72" w:name="_Toc484769812"/>
      <w:bookmarkStart w:id="73" w:name="_Toc409100110"/>
      <w:bookmarkStart w:id="74" w:name="_Toc484607316"/>
      <w:r>
        <w:rPr>
          <w:rFonts w:hint="eastAsia" w:ascii="宋体" w:hAnsi="宋体" w:eastAsia="宋体"/>
          <w:color w:val="auto"/>
          <w:kern w:val="0"/>
          <w:sz w:val="21"/>
          <w:szCs w:val="21"/>
          <w:highlight w:val="none"/>
        </w:rPr>
        <w:t>6</w:t>
      </w:r>
      <w:r>
        <w:rPr>
          <w:rFonts w:ascii="宋体" w:hAnsi="宋体" w:eastAsia="宋体"/>
          <w:color w:val="auto"/>
          <w:kern w:val="0"/>
          <w:sz w:val="21"/>
          <w:szCs w:val="21"/>
          <w:highlight w:val="none"/>
        </w:rPr>
        <w:t>.2 存放地点</w:t>
      </w:r>
      <w:bookmarkEnd w:id="67"/>
      <w:bookmarkEnd w:id="68"/>
      <w:bookmarkEnd w:id="69"/>
      <w:bookmarkEnd w:id="70"/>
      <w:bookmarkEnd w:id="71"/>
      <w:bookmarkEnd w:id="72"/>
      <w:bookmarkEnd w:id="73"/>
      <w:bookmarkEnd w:id="74"/>
    </w:p>
    <w:p w14:paraId="104CA7FE">
      <w:pPr>
        <w:spacing w:line="360" w:lineRule="auto"/>
        <w:ind w:firstLine="420" w:firstLineChars="200"/>
        <w:rPr>
          <w:rFonts w:ascii="宋体" w:hAnsi="宋体"/>
          <w:color w:val="auto"/>
          <w:szCs w:val="21"/>
          <w:highlight w:val="none"/>
        </w:rPr>
      </w:pPr>
      <w:r>
        <w:rPr>
          <w:rFonts w:ascii="宋体" w:hAnsi="宋体"/>
          <w:color w:val="auto"/>
          <w:szCs w:val="21"/>
          <w:highlight w:val="none"/>
        </w:rPr>
        <w:t>基金管理人、基金托管人处</w:t>
      </w:r>
    </w:p>
    <w:p w14:paraId="1815B785">
      <w:pPr>
        <w:pStyle w:val="3"/>
        <w:spacing w:before="0" w:after="0"/>
        <w:rPr>
          <w:rFonts w:ascii="宋体" w:hAnsi="宋体" w:eastAsia="宋体"/>
          <w:color w:val="auto"/>
          <w:kern w:val="0"/>
          <w:sz w:val="21"/>
          <w:szCs w:val="21"/>
          <w:highlight w:val="none"/>
        </w:rPr>
      </w:pPr>
      <w:bookmarkStart w:id="75" w:name="_Toc409100474"/>
      <w:bookmarkStart w:id="76" w:name="_Toc484607317"/>
      <w:bookmarkStart w:id="77" w:name="_Toc476577310"/>
      <w:bookmarkStart w:id="78" w:name="_Toc361324906"/>
      <w:bookmarkStart w:id="79" w:name="_Toc484769813"/>
      <w:bookmarkStart w:id="80" w:name="_Toc483396845"/>
      <w:bookmarkStart w:id="81" w:name="_Toc409100111"/>
      <w:bookmarkStart w:id="82" w:name="_Toc491963093"/>
      <w:r>
        <w:rPr>
          <w:rFonts w:hint="eastAsia" w:ascii="宋体" w:hAnsi="宋体" w:eastAsia="宋体"/>
          <w:color w:val="auto"/>
          <w:kern w:val="0"/>
          <w:sz w:val="21"/>
          <w:szCs w:val="21"/>
          <w:highlight w:val="none"/>
        </w:rPr>
        <w:t>6</w:t>
      </w:r>
      <w:r>
        <w:rPr>
          <w:rFonts w:ascii="宋体" w:hAnsi="宋体" w:eastAsia="宋体"/>
          <w:color w:val="auto"/>
          <w:kern w:val="0"/>
          <w:sz w:val="21"/>
          <w:szCs w:val="21"/>
          <w:highlight w:val="none"/>
        </w:rPr>
        <w:t>.3 查阅方式</w:t>
      </w:r>
      <w:bookmarkEnd w:id="75"/>
      <w:bookmarkEnd w:id="76"/>
      <w:bookmarkEnd w:id="77"/>
      <w:bookmarkEnd w:id="78"/>
      <w:bookmarkEnd w:id="79"/>
      <w:bookmarkEnd w:id="80"/>
      <w:bookmarkEnd w:id="81"/>
      <w:bookmarkEnd w:id="82"/>
    </w:p>
    <w:p w14:paraId="44CFB2E0">
      <w:pPr>
        <w:spacing w:line="360" w:lineRule="auto"/>
        <w:ind w:firstLine="420" w:firstLineChars="200"/>
        <w:rPr>
          <w:rFonts w:ascii="宋体" w:hAnsi="宋体"/>
          <w:color w:val="auto"/>
          <w:szCs w:val="21"/>
          <w:highlight w:val="none"/>
        </w:rPr>
      </w:pPr>
      <w:r>
        <w:rPr>
          <w:rFonts w:ascii="宋体" w:hAnsi="宋体"/>
          <w:color w:val="auto"/>
          <w:szCs w:val="21"/>
          <w:highlight w:val="none"/>
        </w:rPr>
        <w:t>投资者可在营业时间免费查阅，也可按工本费购买复印件</w:t>
      </w:r>
    </w:p>
    <w:p w14:paraId="124E45AA">
      <w:pPr>
        <w:spacing w:line="360" w:lineRule="auto"/>
        <w:ind w:firstLine="420" w:firstLineChars="200"/>
        <w:rPr>
          <w:rFonts w:ascii="宋体" w:hAnsi="宋体"/>
          <w:color w:val="auto"/>
          <w:szCs w:val="21"/>
          <w:highlight w:val="none"/>
        </w:rPr>
      </w:pPr>
      <w:r>
        <w:rPr>
          <w:rFonts w:ascii="宋体" w:hAnsi="宋体"/>
          <w:color w:val="auto"/>
          <w:szCs w:val="21"/>
          <w:highlight w:val="none"/>
        </w:rPr>
        <w:t>投资者对本报告书如有疑问，可咨询本基金管理人博时基金管理有限公司</w:t>
      </w:r>
    </w:p>
    <w:p w14:paraId="708FDF35">
      <w:pPr>
        <w:spacing w:line="360" w:lineRule="auto"/>
        <w:ind w:firstLine="420" w:firstLineChars="200"/>
        <w:rPr>
          <w:rFonts w:ascii="宋体" w:hAnsi="宋体"/>
          <w:color w:val="auto"/>
          <w:szCs w:val="21"/>
          <w:highlight w:val="none"/>
        </w:rPr>
      </w:pPr>
      <w:r>
        <w:rPr>
          <w:rFonts w:ascii="宋体" w:hAnsi="宋体"/>
          <w:color w:val="auto"/>
          <w:szCs w:val="21"/>
          <w:highlight w:val="none"/>
        </w:rPr>
        <w:t>博时一线通：95105568（免长途话费）</w:t>
      </w:r>
    </w:p>
    <w:p w14:paraId="2FC3A2D2">
      <w:pPr>
        <w:spacing w:line="360" w:lineRule="auto"/>
        <w:ind w:firstLine="315" w:firstLineChars="150"/>
        <w:rPr>
          <w:rFonts w:ascii="宋体" w:hAnsi="宋体"/>
          <w:bCs/>
          <w:color w:val="auto"/>
          <w:szCs w:val="21"/>
          <w:highlight w:val="none"/>
        </w:rPr>
      </w:pPr>
    </w:p>
    <w:p w14:paraId="2F6B3E4C">
      <w:pPr>
        <w:spacing w:line="360" w:lineRule="auto"/>
        <w:ind w:left="840"/>
        <w:jc w:val="right"/>
        <w:rPr>
          <w:rFonts w:ascii="宋体" w:hAnsi="宋体"/>
          <w:bCs/>
          <w:color w:val="auto"/>
          <w:szCs w:val="21"/>
          <w:highlight w:val="none"/>
        </w:rPr>
      </w:pPr>
      <w:r>
        <w:rPr>
          <w:rFonts w:hint="eastAsia"/>
          <w:color w:val="auto"/>
          <w:szCs w:val="21"/>
          <w:highlight w:val="none"/>
        </w:rPr>
        <w:t>博时富顺纯债债券型证券投资基金</w:t>
      </w:r>
      <w:r>
        <w:rPr>
          <w:rFonts w:hint="eastAsia" w:ascii="宋体" w:hAnsi="宋体"/>
          <w:bCs/>
          <w:color w:val="auto"/>
          <w:szCs w:val="21"/>
          <w:highlight w:val="none"/>
        </w:rPr>
        <w:t>基金财产清算小组</w:t>
      </w:r>
    </w:p>
    <w:p w14:paraId="402A9E72">
      <w:pPr>
        <w:wordWrap w:val="0"/>
        <w:spacing w:line="360" w:lineRule="auto"/>
        <w:ind w:left="840" w:right="420" w:firstLine="3885" w:firstLineChars="1850"/>
        <w:jc w:val="right"/>
        <w:rPr>
          <w:color w:val="auto"/>
          <w:highlight w:val="none"/>
        </w:rPr>
      </w:pPr>
      <w:r>
        <w:rPr>
          <w:rFonts w:hint="eastAsia"/>
          <w:color w:val="auto"/>
          <w:highlight w:val="none"/>
        </w:rPr>
        <w:t>2026年</w:t>
      </w:r>
      <w:r>
        <w:rPr>
          <w:rFonts w:hint="eastAsia"/>
          <w:color w:val="auto"/>
          <w:highlight w:val="none"/>
          <w:lang w:val="en-US" w:eastAsia="zh-CN"/>
        </w:rPr>
        <w:t xml:space="preserve"> 9</w:t>
      </w:r>
      <w:r>
        <w:rPr>
          <w:rFonts w:hint="eastAsia"/>
          <w:color w:val="auto"/>
          <w:highlight w:val="none"/>
        </w:rPr>
        <w:t>月</w:t>
      </w:r>
      <w:r>
        <w:rPr>
          <w:rFonts w:hint="eastAsia"/>
          <w:color w:val="auto"/>
          <w:highlight w:val="none"/>
          <w:lang w:val="en-US" w:eastAsia="zh-CN"/>
        </w:rPr>
        <w:t xml:space="preserve">4 </w:t>
      </w:r>
      <w:r>
        <w:rPr>
          <w:rFonts w:hint="eastAsia"/>
          <w:color w:val="auto"/>
          <w:highlight w:val="none"/>
        </w:rPr>
        <w:t>日</w:t>
      </w:r>
    </w:p>
    <w:sectPr>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宋体棬　僬　.">
    <w:altName w:val="宋体"/>
    <w:panose1 w:val="00000000000000000000"/>
    <w:charset w:val="86"/>
    <w:family w:val="roma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10C31">
    <w:pPr>
      <w:pStyle w:val="7"/>
      <w:jc w:val="center"/>
    </w:pPr>
    <w:r>
      <w:fldChar w:fldCharType="begin"/>
    </w:r>
    <w:r>
      <w:instrText xml:space="preserve">PAGE   \* MERGEFORMAT</w:instrText>
    </w:r>
    <w:r>
      <w:fldChar w:fldCharType="separate"/>
    </w:r>
    <w:r>
      <w:rPr>
        <w:lang w:val="zh-CN"/>
      </w:rPr>
      <w:t>7</w:t>
    </w:r>
    <w:r>
      <w:fldChar w:fldCharType="end"/>
    </w:r>
  </w:p>
  <w:p w14:paraId="357C7FA2">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B79B95">
    <w:pPr>
      <w:pStyle w:val="8"/>
      <w:pBdr>
        <w:bottom w:val="single" w:color="auto" w:sz="6" w:space="0"/>
      </w:pBdr>
      <w:tabs>
        <w:tab w:val="left" w:pos="3105"/>
        <w:tab w:val="right" w:pos="9090"/>
      </w:tabs>
      <w:jc w:val="left"/>
    </w:pPr>
    <w:r>
      <w:rPr>
        <w:sz w:val="21"/>
        <w:szCs w:val="21"/>
      </w:rPr>
      <w:tab/>
    </w:r>
    <w:r>
      <w:rPr>
        <w:sz w:val="21"/>
        <w:szCs w:val="21"/>
      </w:rPr>
      <w:tab/>
    </w:r>
    <w:r>
      <w:pict>
        <v:shape id="图片 1" o:spid="_x0000_s4097" o:spt="75" alt="Bosera_logo" type="#_x0000_t75" style="position:absolute;left:0pt;margin-left:-1.05pt;margin-top:-15pt;height:24.75pt;width:99pt;z-index:251660288;mso-width-relative:page;mso-height-relative:page;" filled="f" o:preferrelative="t" stroked="f" coordsize="21600,21600">
          <v:path/>
          <v:fill on="f" focussize="0,0"/>
          <v:stroke on="f"/>
          <v:imagedata r:id="rId1" o:title="Bosera_logo"/>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00B9DB">
    <w:pPr>
      <w:pStyle w:val="8"/>
      <w:pBdr>
        <w:bottom w:val="single" w:color="auto" w:sz="6" w:space="0"/>
      </w:pBdr>
      <w:tabs>
        <w:tab w:val="left" w:pos="3105"/>
        <w:tab w:val="right" w:pos="9090"/>
      </w:tabs>
      <w:jc w:val="left"/>
    </w:pPr>
    <w:r>
      <w:rPr>
        <w:sz w:val="21"/>
        <w:szCs w:val="21"/>
      </w:rPr>
      <w:tab/>
    </w:r>
    <w:r>
      <w:rPr>
        <w:sz w:val="21"/>
        <w:szCs w:val="21"/>
      </w:rPr>
      <w:tab/>
    </w:r>
    <w:r>
      <w:pict>
        <v:shape id="图片 3" o:spid="_x0000_s4098" o:spt="75" alt="Bosera_logo" type="#_x0000_t75" style="position:absolute;left:0pt;margin-left:-1.05pt;margin-top:-15pt;height:24.75pt;width:99pt;z-index:251659264;mso-width-relative:page;mso-height-relative:page;" filled="f" o:preferrelative="t" stroked="f" coordsize="21600,21600">
          <v:path/>
          <v:fill on="f" focussize="0,0"/>
          <v:stroke on="f"/>
          <v:imagedata r:id="rId1" o:title="Bosera_logo"/>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C12B6DB"/>
    <w:multiLevelType w:val="singleLevel"/>
    <w:tmpl w:val="2C12B6DB"/>
    <w:lvl w:ilvl="0" w:tentative="0">
      <w:start w:val="1"/>
      <w:numFmt w:val="decimal"/>
      <w:suff w:val="nothing"/>
      <w:lvlText w:val="%1、"/>
      <w:lvlJc w:val="left"/>
    </w:lvl>
  </w:abstractNum>
  <w:abstractNum w:abstractNumId="1">
    <w:nsid w:val="6EE28048"/>
    <w:multiLevelType w:val="singleLevel"/>
    <w:tmpl w:val="6EE28048"/>
    <w:lvl w:ilvl="0" w:tentative="0">
      <w:start w:val="4"/>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206A"/>
    <w:rsid w:val="0000095F"/>
    <w:rsid w:val="00002E59"/>
    <w:rsid w:val="000137FB"/>
    <w:rsid w:val="00046922"/>
    <w:rsid w:val="0004747A"/>
    <w:rsid w:val="00047E84"/>
    <w:rsid w:val="00050AB3"/>
    <w:rsid w:val="00051D70"/>
    <w:rsid w:val="000539E5"/>
    <w:rsid w:val="00066462"/>
    <w:rsid w:val="000843E5"/>
    <w:rsid w:val="00090702"/>
    <w:rsid w:val="0009708C"/>
    <w:rsid w:val="000A67AD"/>
    <w:rsid w:val="000C1A89"/>
    <w:rsid w:val="000C581F"/>
    <w:rsid w:val="000D0010"/>
    <w:rsid w:val="000D2477"/>
    <w:rsid w:val="000E06DB"/>
    <w:rsid w:val="000E7AF8"/>
    <w:rsid w:val="000F0DB6"/>
    <w:rsid w:val="000F2AF4"/>
    <w:rsid w:val="000F38A7"/>
    <w:rsid w:val="00106078"/>
    <w:rsid w:val="00107B92"/>
    <w:rsid w:val="001102C9"/>
    <w:rsid w:val="00114B50"/>
    <w:rsid w:val="0012239E"/>
    <w:rsid w:val="00125BA9"/>
    <w:rsid w:val="001344F0"/>
    <w:rsid w:val="001461B5"/>
    <w:rsid w:val="001469B6"/>
    <w:rsid w:val="00155FBE"/>
    <w:rsid w:val="00167779"/>
    <w:rsid w:val="0017203A"/>
    <w:rsid w:val="001837B1"/>
    <w:rsid w:val="00192433"/>
    <w:rsid w:val="00193FF5"/>
    <w:rsid w:val="001943DA"/>
    <w:rsid w:val="001A25D5"/>
    <w:rsid w:val="001A6186"/>
    <w:rsid w:val="001A64D9"/>
    <w:rsid w:val="001A7F35"/>
    <w:rsid w:val="001B142B"/>
    <w:rsid w:val="001B307F"/>
    <w:rsid w:val="001B6418"/>
    <w:rsid w:val="001C3A12"/>
    <w:rsid w:val="001C4149"/>
    <w:rsid w:val="001C5110"/>
    <w:rsid w:val="001C5F1E"/>
    <w:rsid w:val="001C66F4"/>
    <w:rsid w:val="001E1155"/>
    <w:rsid w:val="001E7569"/>
    <w:rsid w:val="001F5482"/>
    <w:rsid w:val="0020164A"/>
    <w:rsid w:val="002025EA"/>
    <w:rsid w:val="002055DE"/>
    <w:rsid w:val="00214EB4"/>
    <w:rsid w:val="00234000"/>
    <w:rsid w:val="0023623C"/>
    <w:rsid w:val="0025064B"/>
    <w:rsid w:val="00256EF7"/>
    <w:rsid w:val="002653B2"/>
    <w:rsid w:val="00265EEB"/>
    <w:rsid w:val="002661A0"/>
    <w:rsid w:val="00270F6F"/>
    <w:rsid w:val="0027500E"/>
    <w:rsid w:val="002873D1"/>
    <w:rsid w:val="00293C58"/>
    <w:rsid w:val="002A1D5C"/>
    <w:rsid w:val="002B081E"/>
    <w:rsid w:val="002B3940"/>
    <w:rsid w:val="002B3A7F"/>
    <w:rsid w:val="002B64F0"/>
    <w:rsid w:val="002C206A"/>
    <w:rsid w:val="002C4039"/>
    <w:rsid w:val="002C59B8"/>
    <w:rsid w:val="002D012A"/>
    <w:rsid w:val="002D04D0"/>
    <w:rsid w:val="002D2D31"/>
    <w:rsid w:val="002E63F9"/>
    <w:rsid w:val="002F02F0"/>
    <w:rsid w:val="00300434"/>
    <w:rsid w:val="00301833"/>
    <w:rsid w:val="003018B1"/>
    <w:rsid w:val="00301ED8"/>
    <w:rsid w:val="00302213"/>
    <w:rsid w:val="003027CE"/>
    <w:rsid w:val="00302C6F"/>
    <w:rsid w:val="0031782A"/>
    <w:rsid w:val="0033087F"/>
    <w:rsid w:val="0033114F"/>
    <w:rsid w:val="00352159"/>
    <w:rsid w:val="00352E52"/>
    <w:rsid w:val="0035409D"/>
    <w:rsid w:val="00355AF9"/>
    <w:rsid w:val="00355DCE"/>
    <w:rsid w:val="003835CB"/>
    <w:rsid w:val="00385C7D"/>
    <w:rsid w:val="00386448"/>
    <w:rsid w:val="00394BF4"/>
    <w:rsid w:val="003A1F80"/>
    <w:rsid w:val="003A6373"/>
    <w:rsid w:val="003B1FF9"/>
    <w:rsid w:val="003C5425"/>
    <w:rsid w:val="003C62D7"/>
    <w:rsid w:val="003E2B75"/>
    <w:rsid w:val="003E4B0D"/>
    <w:rsid w:val="003E5A9A"/>
    <w:rsid w:val="004043E4"/>
    <w:rsid w:val="0040561C"/>
    <w:rsid w:val="00417206"/>
    <w:rsid w:val="00434B13"/>
    <w:rsid w:val="004361C8"/>
    <w:rsid w:val="00436D7F"/>
    <w:rsid w:val="0043770C"/>
    <w:rsid w:val="00440D43"/>
    <w:rsid w:val="0044360C"/>
    <w:rsid w:val="0044397B"/>
    <w:rsid w:val="004454E6"/>
    <w:rsid w:val="00453128"/>
    <w:rsid w:val="00455ED0"/>
    <w:rsid w:val="00456810"/>
    <w:rsid w:val="004850AB"/>
    <w:rsid w:val="00492EFF"/>
    <w:rsid w:val="00497D10"/>
    <w:rsid w:val="004A1313"/>
    <w:rsid w:val="004A4000"/>
    <w:rsid w:val="004A4328"/>
    <w:rsid w:val="004C29F5"/>
    <w:rsid w:val="004C5243"/>
    <w:rsid w:val="004D6178"/>
    <w:rsid w:val="004D72DD"/>
    <w:rsid w:val="004E0519"/>
    <w:rsid w:val="004F7FB1"/>
    <w:rsid w:val="00502816"/>
    <w:rsid w:val="00506722"/>
    <w:rsid w:val="00516AB2"/>
    <w:rsid w:val="00521F84"/>
    <w:rsid w:val="00523B76"/>
    <w:rsid w:val="00534804"/>
    <w:rsid w:val="005454AF"/>
    <w:rsid w:val="00553DD3"/>
    <w:rsid w:val="00564FC0"/>
    <w:rsid w:val="005660DC"/>
    <w:rsid w:val="005666E0"/>
    <w:rsid w:val="00570EEB"/>
    <w:rsid w:val="00573CCA"/>
    <w:rsid w:val="00586C11"/>
    <w:rsid w:val="00587EB1"/>
    <w:rsid w:val="00591E34"/>
    <w:rsid w:val="005A5F19"/>
    <w:rsid w:val="005B00B8"/>
    <w:rsid w:val="005B1DA8"/>
    <w:rsid w:val="005B3525"/>
    <w:rsid w:val="005B7865"/>
    <w:rsid w:val="005B7910"/>
    <w:rsid w:val="005C2636"/>
    <w:rsid w:val="005D0017"/>
    <w:rsid w:val="005D2BBF"/>
    <w:rsid w:val="005D3C26"/>
    <w:rsid w:val="005E066D"/>
    <w:rsid w:val="005E18FD"/>
    <w:rsid w:val="005E5097"/>
    <w:rsid w:val="005F07CE"/>
    <w:rsid w:val="00602945"/>
    <w:rsid w:val="00612741"/>
    <w:rsid w:val="00633374"/>
    <w:rsid w:val="0063424C"/>
    <w:rsid w:val="00635B20"/>
    <w:rsid w:val="00636096"/>
    <w:rsid w:val="00640A36"/>
    <w:rsid w:val="006458AE"/>
    <w:rsid w:val="00652E32"/>
    <w:rsid w:val="006560FD"/>
    <w:rsid w:val="00656396"/>
    <w:rsid w:val="00661C81"/>
    <w:rsid w:val="00662751"/>
    <w:rsid w:val="006631AD"/>
    <w:rsid w:val="00665EC2"/>
    <w:rsid w:val="00677478"/>
    <w:rsid w:val="00680A32"/>
    <w:rsid w:val="0068199C"/>
    <w:rsid w:val="006845C6"/>
    <w:rsid w:val="0069179C"/>
    <w:rsid w:val="00695712"/>
    <w:rsid w:val="006A0CA9"/>
    <w:rsid w:val="006A3832"/>
    <w:rsid w:val="006A3E46"/>
    <w:rsid w:val="006C0166"/>
    <w:rsid w:val="006C1070"/>
    <w:rsid w:val="006C1BF7"/>
    <w:rsid w:val="006C4287"/>
    <w:rsid w:val="006C4780"/>
    <w:rsid w:val="006D14C9"/>
    <w:rsid w:val="006D3ABB"/>
    <w:rsid w:val="006D76DC"/>
    <w:rsid w:val="006E1D19"/>
    <w:rsid w:val="006E6E99"/>
    <w:rsid w:val="006F57A7"/>
    <w:rsid w:val="006F661D"/>
    <w:rsid w:val="006F6EDE"/>
    <w:rsid w:val="007047E3"/>
    <w:rsid w:val="00711C49"/>
    <w:rsid w:val="00711DC1"/>
    <w:rsid w:val="00714FE5"/>
    <w:rsid w:val="00716C2D"/>
    <w:rsid w:val="007249F8"/>
    <w:rsid w:val="007302D4"/>
    <w:rsid w:val="00733FD6"/>
    <w:rsid w:val="00753286"/>
    <w:rsid w:val="007654B6"/>
    <w:rsid w:val="00765C51"/>
    <w:rsid w:val="00772D62"/>
    <w:rsid w:val="00772F4C"/>
    <w:rsid w:val="00784118"/>
    <w:rsid w:val="007A111F"/>
    <w:rsid w:val="007A1382"/>
    <w:rsid w:val="007A40C3"/>
    <w:rsid w:val="007A4276"/>
    <w:rsid w:val="007C073F"/>
    <w:rsid w:val="007C1E66"/>
    <w:rsid w:val="007C224B"/>
    <w:rsid w:val="007C390F"/>
    <w:rsid w:val="007C7E15"/>
    <w:rsid w:val="007D01A7"/>
    <w:rsid w:val="007D2C21"/>
    <w:rsid w:val="007D368E"/>
    <w:rsid w:val="007D4AE3"/>
    <w:rsid w:val="00800E5D"/>
    <w:rsid w:val="00801C52"/>
    <w:rsid w:val="008061B0"/>
    <w:rsid w:val="00815886"/>
    <w:rsid w:val="00815FC5"/>
    <w:rsid w:val="00831568"/>
    <w:rsid w:val="0083288E"/>
    <w:rsid w:val="00834CE7"/>
    <w:rsid w:val="00834E30"/>
    <w:rsid w:val="00845FBE"/>
    <w:rsid w:val="00846CD0"/>
    <w:rsid w:val="00862C4E"/>
    <w:rsid w:val="00872860"/>
    <w:rsid w:val="00873ADD"/>
    <w:rsid w:val="00876515"/>
    <w:rsid w:val="00881D41"/>
    <w:rsid w:val="008900EC"/>
    <w:rsid w:val="00893D5F"/>
    <w:rsid w:val="00895AEC"/>
    <w:rsid w:val="008A2534"/>
    <w:rsid w:val="008A2AC1"/>
    <w:rsid w:val="008A2CED"/>
    <w:rsid w:val="008A3541"/>
    <w:rsid w:val="008A37AA"/>
    <w:rsid w:val="008A3F14"/>
    <w:rsid w:val="008B2371"/>
    <w:rsid w:val="008B50E8"/>
    <w:rsid w:val="008B712C"/>
    <w:rsid w:val="008D28CA"/>
    <w:rsid w:val="008E72AB"/>
    <w:rsid w:val="008E7843"/>
    <w:rsid w:val="008F313A"/>
    <w:rsid w:val="008F4C4A"/>
    <w:rsid w:val="00912B1F"/>
    <w:rsid w:val="0091569A"/>
    <w:rsid w:val="009164BB"/>
    <w:rsid w:val="00916F0F"/>
    <w:rsid w:val="00924654"/>
    <w:rsid w:val="00925214"/>
    <w:rsid w:val="00933482"/>
    <w:rsid w:val="00933D33"/>
    <w:rsid w:val="00943B2B"/>
    <w:rsid w:val="00944AC0"/>
    <w:rsid w:val="009565F7"/>
    <w:rsid w:val="00971989"/>
    <w:rsid w:val="00980526"/>
    <w:rsid w:val="00981824"/>
    <w:rsid w:val="009837FE"/>
    <w:rsid w:val="00987D82"/>
    <w:rsid w:val="00993E2D"/>
    <w:rsid w:val="0099607C"/>
    <w:rsid w:val="00997E04"/>
    <w:rsid w:val="009A237A"/>
    <w:rsid w:val="009A2FA6"/>
    <w:rsid w:val="009A499E"/>
    <w:rsid w:val="009B6EC1"/>
    <w:rsid w:val="009D2820"/>
    <w:rsid w:val="009D2D6F"/>
    <w:rsid w:val="009D4DD9"/>
    <w:rsid w:val="009D5A9F"/>
    <w:rsid w:val="009E6708"/>
    <w:rsid w:val="009E6B28"/>
    <w:rsid w:val="009F2C95"/>
    <w:rsid w:val="009F6E54"/>
    <w:rsid w:val="00A01676"/>
    <w:rsid w:val="00A10A3B"/>
    <w:rsid w:val="00A10D1C"/>
    <w:rsid w:val="00A1145E"/>
    <w:rsid w:val="00A13B45"/>
    <w:rsid w:val="00A14A60"/>
    <w:rsid w:val="00A206FC"/>
    <w:rsid w:val="00A23D46"/>
    <w:rsid w:val="00A41815"/>
    <w:rsid w:val="00A42F5D"/>
    <w:rsid w:val="00A44F0D"/>
    <w:rsid w:val="00A46614"/>
    <w:rsid w:val="00A466EF"/>
    <w:rsid w:val="00A50F44"/>
    <w:rsid w:val="00A53B22"/>
    <w:rsid w:val="00A5445B"/>
    <w:rsid w:val="00A61272"/>
    <w:rsid w:val="00A7090F"/>
    <w:rsid w:val="00A716AE"/>
    <w:rsid w:val="00A728B4"/>
    <w:rsid w:val="00A738AB"/>
    <w:rsid w:val="00A74683"/>
    <w:rsid w:val="00A7603B"/>
    <w:rsid w:val="00A80DC2"/>
    <w:rsid w:val="00A83207"/>
    <w:rsid w:val="00A85B96"/>
    <w:rsid w:val="00A862A8"/>
    <w:rsid w:val="00A91EE9"/>
    <w:rsid w:val="00A92C7B"/>
    <w:rsid w:val="00A93929"/>
    <w:rsid w:val="00A96447"/>
    <w:rsid w:val="00AA2704"/>
    <w:rsid w:val="00AA33F7"/>
    <w:rsid w:val="00AA39EC"/>
    <w:rsid w:val="00AA6506"/>
    <w:rsid w:val="00AA6C39"/>
    <w:rsid w:val="00AB4223"/>
    <w:rsid w:val="00AB579F"/>
    <w:rsid w:val="00AC75BE"/>
    <w:rsid w:val="00AD127D"/>
    <w:rsid w:val="00AD1682"/>
    <w:rsid w:val="00AE14B8"/>
    <w:rsid w:val="00AE43CE"/>
    <w:rsid w:val="00AE5F6A"/>
    <w:rsid w:val="00AE7A23"/>
    <w:rsid w:val="00AF06A4"/>
    <w:rsid w:val="00B01D1F"/>
    <w:rsid w:val="00B01E39"/>
    <w:rsid w:val="00B02DAE"/>
    <w:rsid w:val="00B04DF8"/>
    <w:rsid w:val="00B062E1"/>
    <w:rsid w:val="00B12304"/>
    <w:rsid w:val="00B12398"/>
    <w:rsid w:val="00B16F0F"/>
    <w:rsid w:val="00B233AC"/>
    <w:rsid w:val="00B23421"/>
    <w:rsid w:val="00B262DD"/>
    <w:rsid w:val="00B326DE"/>
    <w:rsid w:val="00B339F1"/>
    <w:rsid w:val="00B43A95"/>
    <w:rsid w:val="00B47AF7"/>
    <w:rsid w:val="00B52FB8"/>
    <w:rsid w:val="00B63FC4"/>
    <w:rsid w:val="00B65F7A"/>
    <w:rsid w:val="00B76BFB"/>
    <w:rsid w:val="00B92205"/>
    <w:rsid w:val="00BB4559"/>
    <w:rsid w:val="00BB63F5"/>
    <w:rsid w:val="00BB738A"/>
    <w:rsid w:val="00BD1E5B"/>
    <w:rsid w:val="00BD3551"/>
    <w:rsid w:val="00BD659F"/>
    <w:rsid w:val="00BE252F"/>
    <w:rsid w:val="00BE3F6E"/>
    <w:rsid w:val="00BE4A70"/>
    <w:rsid w:val="00BE63B2"/>
    <w:rsid w:val="00BF1AD8"/>
    <w:rsid w:val="00BF5EF2"/>
    <w:rsid w:val="00BF72CC"/>
    <w:rsid w:val="00C04232"/>
    <w:rsid w:val="00C04BC2"/>
    <w:rsid w:val="00C11810"/>
    <w:rsid w:val="00C129EC"/>
    <w:rsid w:val="00C135C6"/>
    <w:rsid w:val="00C14A9A"/>
    <w:rsid w:val="00C16E1D"/>
    <w:rsid w:val="00C210B3"/>
    <w:rsid w:val="00C34DAD"/>
    <w:rsid w:val="00C403BF"/>
    <w:rsid w:val="00C4132F"/>
    <w:rsid w:val="00C435E3"/>
    <w:rsid w:val="00C525B7"/>
    <w:rsid w:val="00C53E41"/>
    <w:rsid w:val="00C53EB7"/>
    <w:rsid w:val="00C54720"/>
    <w:rsid w:val="00C63121"/>
    <w:rsid w:val="00C645B3"/>
    <w:rsid w:val="00C70690"/>
    <w:rsid w:val="00C80BA7"/>
    <w:rsid w:val="00C80C26"/>
    <w:rsid w:val="00C81D4D"/>
    <w:rsid w:val="00C8237F"/>
    <w:rsid w:val="00C8253B"/>
    <w:rsid w:val="00C94884"/>
    <w:rsid w:val="00CA06AD"/>
    <w:rsid w:val="00CA1F33"/>
    <w:rsid w:val="00CA5C95"/>
    <w:rsid w:val="00CA6D80"/>
    <w:rsid w:val="00CC654C"/>
    <w:rsid w:val="00CC6E89"/>
    <w:rsid w:val="00CD5F8A"/>
    <w:rsid w:val="00CD7E4B"/>
    <w:rsid w:val="00CE52AA"/>
    <w:rsid w:val="00CE593E"/>
    <w:rsid w:val="00CE79D7"/>
    <w:rsid w:val="00CF22FE"/>
    <w:rsid w:val="00D00B39"/>
    <w:rsid w:val="00D03B3C"/>
    <w:rsid w:val="00D05B80"/>
    <w:rsid w:val="00D14280"/>
    <w:rsid w:val="00D2112B"/>
    <w:rsid w:val="00D2538B"/>
    <w:rsid w:val="00D271CC"/>
    <w:rsid w:val="00D454FE"/>
    <w:rsid w:val="00D54D70"/>
    <w:rsid w:val="00D55E3E"/>
    <w:rsid w:val="00D634A0"/>
    <w:rsid w:val="00D77529"/>
    <w:rsid w:val="00D87A90"/>
    <w:rsid w:val="00D908BA"/>
    <w:rsid w:val="00D9606B"/>
    <w:rsid w:val="00DA44CC"/>
    <w:rsid w:val="00DA69B2"/>
    <w:rsid w:val="00DA6F9B"/>
    <w:rsid w:val="00DB3DDE"/>
    <w:rsid w:val="00DB41A3"/>
    <w:rsid w:val="00DD0701"/>
    <w:rsid w:val="00DD2101"/>
    <w:rsid w:val="00DE27CD"/>
    <w:rsid w:val="00DF0830"/>
    <w:rsid w:val="00DF0A36"/>
    <w:rsid w:val="00DF286B"/>
    <w:rsid w:val="00E036D0"/>
    <w:rsid w:val="00E03B99"/>
    <w:rsid w:val="00E04E1A"/>
    <w:rsid w:val="00E120A8"/>
    <w:rsid w:val="00E15DD1"/>
    <w:rsid w:val="00E21B3B"/>
    <w:rsid w:val="00E32073"/>
    <w:rsid w:val="00E3710A"/>
    <w:rsid w:val="00E40C23"/>
    <w:rsid w:val="00E42A7D"/>
    <w:rsid w:val="00E444C3"/>
    <w:rsid w:val="00E457A2"/>
    <w:rsid w:val="00E6420A"/>
    <w:rsid w:val="00E6428E"/>
    <w:rsid w:val="00E667C5"/>
    <w:rsid w:val="00E7448F"/>
    <w:rsid w:val="00E83CB9"/>
    <w:rsid w:val="00E85B5E"/>
    <w:rsid w:val="00E875CB"/>
    <w:rsid w:val="00E91065"/>
    <w:rsid w:val="00E91443"/>
    <w:rsid w:val="00E94390"/>
    <w:rsid w:val="00EA308B"/>
    <w:rsid w:val="00EB17F4"/>
    <w:rsid w:val="00F00548"/>
    <w:rsid w:val="00F01202"/>
    <w:rsid w:val="00F03A4C"/>
    <w:rsid w:val="00F12507"/>
    <w:rsid w:val="00F17F4A"/>
    <w:rsid w:val="00F25510"/>
    <w:rsid w:val="00F26433"/>
    <w:rsid w:val="00F31C2E"/>
    <w:rsid w:val="00F349E5"/>
    <w:rsid w:val="00F374DD"/>
    <w:rsid w:val="00F4536A"/>
    <w:rsid w:val="00F45604"/>
    <w:rsid w:val="00F52468"/>
    <w:rsid w:val="00F52622"/>
    <w:rsid w:val="00F869AE"/>
    <w:rsid w:val="00F94A1D"/>
    <w:rsid w:val="00FA203B"/>
    <w:rsid w:val="00FB4D56"/>
    <w:rsid w:val="00FB67B2"/>
    <w:rsid w:val="00FB68D0"/>
    <w:rsid w:val="00FC2B87"/>
    <w:rsid w:val="00FC4865"/>
    <w:rsid w:val="00FC7F9D"/>
    <w:rsid w:val="00FD4D5C"/>
    <w:rsid w:val="00FE3491"/>
    <w:rsid w:val="00FE7CDD"/>
    <w:rsid w:val="00FF0230"/>
    <w:rsid w:val="00FF0869"/>
    <w:rsid w:val="00FF26D8"/>
    <w:rsid w:val="047977D2"/>
    <w:rsid w:val="04F7265D"/>
    <w:rsid w:val="071C3095"/>
    <w:rsid w:val="07943078"/>
    <w:rsid w:val="08072865"/>
    <w:rsid w:val="091D5BE5"/>
    <w:rsid w:val="091D63A4"/>
    <w:rsid w:val="0A2F134F"/>
    <w:rsid w:val="0BDBD81A"/>
    <w:rsid w:val="0CAA4239"/>
    <w:rsid w:val="105140B7"/>
    <w:rsid w:val="10831DE4"/>
    <w:rsid w:val="111D325C"/>
    <w:rsid w:val="11EB6B32"/>
    <w:rsid w:val="16901E23"/>
    <w:rsid w:val="16FAE779"/>
    <w:rsid w:val="17175C7D"/>
    <w:rsid w:val="1B2E5BAF"/>
    <w:rsid w:val="1D2D34C6"/>
    <w:rsid w:val="1E96479B"/>
    <w:rsid w:val="1F9B2324"/>
    <w:rsid w:val="1FAB1BAE"/>
    <w:rsid w:val="222B67FB"/>
    <w:rsid w:val="22B862AB"/>
    <w:rsid w:val="233E198A"/>
    <w:rsid w:val="258B4948"/>
    <w:rsid w:val="27AB6338"/>
    <w:rsid w:val="27ED310C"/>
    <w:rsid w:val="2DF345C2"/>
    <w:rsid w:val="2E8F9785"/>
    <w:rsid w:val="2EDB5B73"/>
    <w:rsid w:val="2EF12C10"/>
    <w:rsid w:val="2FB01333"/>
    <w:rsid w:val="2FF30DB1"/>
    <w:rsid w:val="33CFC73D"/>
    <w:rsid w:val="3686015D"/>
    <w:rsid w:val="36E168A1"/>
    <w:rsid w:val="37DF4ABE"/>
    <w:rsid w:val="392917AD"/>
    <w:rsid w:val="3A671D5B"/>
    <w:rsid w:val="3ADE43AA"/>
    <w:rsid w:val="3B4DD538"/>
    <w:rsid w:val="3BEB8392"/>
    <w:rsid w:val="3BFF3874"/>
    <w:rsid w:val="3D895C3C"/>
    <w:rsid w:val="3D8F262F"/>
    <w:rsid w:val="3DD178DA"/>
    <w:rsid w:val="3DFB5955"/>
    <w:rsid w:val="3E551291"/>
    <w:rsid w:val="3F7C0873"/>
    <w:rsid w:val="3FD79E8A"/>
    <w:rsid w:val="3FDB110F"/>
    <w:rsid w:val="3FE50ACB"/>
    <w:rsid w:val="412E6E31"/>
    <w:rsid w:val="437D2DDC"/>
    <w:rsid w:val="46822BBE"/>
    <w:rsid w:val="46F3336F"/>
    <w:rsid w:val="491BC088"/>
    <w:rsid w:val="49C533A6"/>
    <w:rsid w:val="4A23051B"/>
    <w:rsid w:val="4B7F17E7"/>
    <w:rsid w:val="4D2475F0"/>
    <w:rsid w:val="4DB9B6A9"/>
    <w:rsid w:val="4EC63B63"/>
    <w:rsid w:val="4EF5F4FE"/>
    <w:rsid w:val="4EFE7637"/>
    <w:rsid w:val="4F7E01E7"/>
    <w:rsid w:val="4FA6B79D"/>
    <w:rsid w:val="4FFC14D7"/>
    <w:rsid w:val="50E330E0"/>
    <w:rsid w:val="52F74C1A"/>
    <w:rsid w:val="53977593"/>
    <w:rsid w:val="53A31A24"/>
    <w:rsid w:val="55E58D5D"/>
    <w:rsid w:val="569FCBD0"/>
    <w:rsid w:val="57426CDD"/>
    <w:rsid w:val="575B5C81"/>
    <w:rsid w:val="576B462D"/>
    <w:rsid w:val="57AF3F18"/>
    <w:rsid w:val="57DA526C"/>
    <w:rsid w:val="58DA5AFA"/>
    <w:rsid w:val="5A774426"/>
    <w:rsid w:val="5A9209EF"/>
    <w:rsid w:val="5AE17211"/>
    <w:rsid w:val="5B1025CC"/>
    <w:rsid w:val="5CEAE0A1"/>
    <w:rsid w:val="5DE303DA"/>
    <w:rsid w:val="5EFD4D23"/>
    <w:rsid w:val="5F7F2637"/>
    <w:rsid w:val="5FB7783F"/>
    <w:rsid w:val="5FDDA07D"/>
    <w:rsid w:val="5FEFD5D7"/>
    <w:rsid w:val="5FF65BBD"/>
    <w:rsid w:val="5FFD1FF2"/>
    <w:rsid w:val="5FFF8416"/>
    <w:rsid w:val="60FF574B"/>
    <w:rsid w:val="61002349"/>
    <w:rsid w:val="64DF7E2C"/>
    <w:rsid w:val="657EDA63"/>
    <w:rsid w:val="667DA9AA"/>
    <w:rsid w:val="67F8FB8A"/>
    <w:rsid w:val="67FF160E"/>
    <w:rsid w:val="69EF37D3"/>
    <w:rsid w:val="69F634F5"/>
    <w:rsid w:val="69FF7D42"/>
    <w:rsid w:val="69FF90C9"/>
    <w:rsid w:val="6A6212EC"/>
    <w:rsid w:val="6B731B40"/>
    <w:rsid w:val="6B9D9D23"/>
    <w:rsid w:val="6BDB5B57"/>
    <w:rsid w:val="6BE60CB9"/>
    <w:rsid w:val="6D9EEFA7"/>
    <w:rsid w:val="6DDFCEB0"/>
    <w:rsid w:val="6EC8EDB6"/>
    <w:rsid w:val="6F7FD2F4"/>
    <w:rsid w:val="6F9FDD32"/>
    <w:rsid w:val="6FA79C80"/>
    <w:rsid w:val="6FAFED8E"/>
    <w:rsid w:val="6FE9D27A"/>
    <w:rsid w:val="70DFEBCE"/>
    <w:rsid w:val="70E179C0"/>
    <w:rsid w:val="71FBCBC1"/>
    <w:rsid w:val="723E4BEB"/>
    <w:rsid w:val="727F417F"/>
    <w:rsid w:val="72C47B32"/>
    <w:rsid w:val="73558C1E"/>
    <w:rsid w:val="752944B8"/>
    <w:rsid w:val="75CB39D7"/>
    <w:rsid w:val="75F765E0"/>
    <w:rsid w:val="76178519"/>
    <w:rsid w:val="764F6EA7"/>
    <w:rsid w:val="767ACA26"/>
    <w:rsid w:val="772FAE1C"/>
    <w:rsid w:val="774E2707"/>
    <w:rsid w:val="777E3140"/>
    <w:rsid w:val="77CB7D42"/>
    <w:rsid w:val="77CE310E"/>
    <w:rsid w:val="77DF9595"/>
    <w:rsid w:val="77EEF5E1"/>
    <w:rsid w:val="77EF2463"/>
    <w:rsid w:val="77EF4A47"/>
    <w:rsid w:val="77FF826E"/>
    <w:rsid w:val="79B732D9"/>
    <w:rsid w:val="79ED335A"/>
    <w:rsid w:val="7BB75539"/>
    <w:rsid w:val="7BB76F65"/>
    <w:rsid w:val="7BCDF2E7"/>
    <w:rsid w:val="7CFC3311"/>
    <w:rsid w:val="7CFCCDA6"/>
    <w:rsid w:val="7D8F4F9F"/>
    <w:rsid w:val="7DC48378"/>
    <w:rsid w:val="7DEFAE44"/>
    <w:rsid w:val="7DFE2AE5"/>
    <w:rsid w:val="7E8B832A"/>
    <w:rsid w:val="7E8C1C2A"/>
    <w:rsid w:val="7ECF22A9"/>
    <w:rsid w:val="7ED78F99"/>
    <w:rsid w:val="7EE7004A"/>
    <w:rsid w:val="7EE95E47"/>
    <w:rsid w:val="7EFEDACE"/>
    <w:rsid w:val="7EFFF513"/>
    <w:rsid w:val="7F43240B"/>
    <w:rsid w:val="7F5774AF"/>
    <w:rsid w:val="7F7BD2EB"/>
    <w:rsid w:val="7F7D478C"/>
    <w:rsid w:val="7F7E8873"/>
    <w:rsid w:val="7FD7E7A5"/>
    <w:rsid w:val="7FDD4C3F"/>
    <w:rsid w:val="7FDE4CED"/>
    <w:rsid w:val="7FEFCEA5"/>
    <w:rsid w:val="7FFA9936"/>
    <w:rsid w:val="7FFC8DD9"/>
    <w:rsid w:val="7FFF0FBF"/>
    <w:rsid w:val="7FFFBD90"/>
    <w:rsid w:val="7FFFFDF0"/>
    <w:rsid w:val="86EDC803"/>
    <w:rsid w:val="93BEE8CA"/>
    <w:rsid w:val="93DDFD3E"/>
    <w:rsid w:val="97DB61E9"/>
    <w:rsid w:val="97F754B2"/>
    <w:rsid w:val="9AB6885C"/>
    <w:rsid w:val="A37B94F7"/>
    <w:rsid w:val="A71D08A7"/>
    <w:rsid w:val="ABBBD1B4"/>
    <w:rsid w:val="ABEEB0C1"/>
    <w:rsid w:val="AE331804"/>
    <w:rsid w:val="AEEE282C"/>
    <w:rsid w:val="AEFFE6D5"/>
    <w:rsid w:val="AF7FE70E"/>
    <w:rsid w:val="AFFDE70D"/>
    <w:rsid w:val="AFFDF8CE"/>
    <w:rsid w:val="B5F52A5E"/>
    <w:rsid w:val="BB57B15C"/>
    <w:rsid w:val="BBFB16F4"/>
    <w:rsid w:val="BDDDF2E5"/>
    <w:rsid w:val="BDFF92A0"/>
    <w:rsid w:val="BE2AEEFC"/>
    <w:rsid w:val="BE53E4FE"/>
    <w:rsid w:val="BE632B87"/>
    <w:rsid w:val="BF3FDC6B"/>
    <w:rsid w:val="BFEB0DD7"/>
    <w:rsid w:val="BFEF9AC3"/>
    <w:rsid w:val="BFF5EC0C"/>
    <w:rsid w:val="BFF769D2"/>
    <w:rsid w:val="BFFFE1F4"/>
    <w:rsid w:val="C5FF66FE"/>
    <w:rsid w:val="C73E754C"/>
    <w:rsid w:val="C767DC55"/>
    <w:rsid w:val="C77DB3BA"/>
    <w:rsid w:val="C7FAE319"/>
    <w:rsid w:val="C9FF3605"/>
    <w:rsid w:val="CDF790CB"/>
    <w:rsid w:val="CE59F622"/>
    <w:rsid w:val="CE7F5619"/>
    <w:rsid w:val="CF1DA855"/>
    <w:rsid w:val="CFBE4F68"/>
    <w:rsid w:val="CFF7EF8E"/>
    <w:rsid w:val="CFFF9414"/>
    <w:rsid w:val="D532B3DE"/>
    <w:rsid w:val="D87F31C6"/>
    <w:rsid w:val="D9DE2AA4"/>
    <w:rsid w:val="DB49B56F"/>
    <w:rsid w:val="DBD71916"/>
    <w:rsid w:val="DBDFEB43"/>
    <w:rsid w:val="DBEB5D36"/>
    <w:rsid w:val="DCB7321B"/>
    <w:rsid w:val="DCBF7BF0"/>
    <w:rsid w:val="DD372781"/>
    <w:rsid w:val="DD7E1756"/>
    <w:rsid w:val="DDFC02F4"/>
    <w:rsid w:val="DDFF1105"/>
    <w:rsid w:val="DFD76308"/>
    <w:rsid w:val="DFE94E47"/>
    <w:rsid w:val="DFFF3FF4"/>
    <w:rsid w:val="E36E70E6"/>
    <w:rsid w:val="E3FE91B9"/>
    <w:rsid w:val="E5AE03AF"/>
    <w:rsid w:val="E6DB4F87"/>
    <w:rsid w:val="E77D4D7A"/>
    <w:rsid w:val="E77FDFFE"/>
    <w:rsid w:val="E7ED0B64"/>
    <w:rsid w:val="E7F90E7B"/>
    <w:rsid w:val="EBCE0754"/>
    <w:rsid w:val="EBDCCE65"/>
    <w:rsid w:val="EBFD7ED4"/>
    <w:rsid w:val="EE5F5F27"/>
    <w:rsid w:val="EE737CEB"/>
    <w:rsid w:val="EEFBDC1C"/>
    <w:rsid w:val="EFDF132B"/>
    <w:rsid w:val="EFDF1C82"/>
    <w:rsid w:val="EFFD0B05"/>
    <w:rsid w:val="EFFE2094"/>
    <w:rsid w:val="F37FBFC9"/>
    <w:rsid w:val="F3CF800B"/>
    <w:rsid w:val="F3D384FF"/>
    <w:rsid w:val="F5F92C33"/>
    <w:rsid w:val="F6D8D0BA"/>
    <w:rsid w:val="F6EDEE86"/>
    <w:rsid w:val="F77D7A44"/>
    <w:rsid w:val="F77E076D"/>
    <w:rsid w:val="F7FF6A11"/>
    <w:rsid w:val="F86B0505"/>
    <w:rsid w:val="FBE78F86"/>
    <w:rsid w:val="FBF3E56A"/>
    <w:rsid w:val="FBFF7C63"/>
    <w:rsid w:val="FBFFA1D8"/>
    <w:rsid w:val="FD6E77C9"/>
    <w:rsid w:val="FD7D9AFD"/>
    <w:rsid w:val="FDBD766D"/>
    <w:rsid w:val="FDDFB132"/>
    <w:rsid w:val="FDF89808"/>
    <w:rsid w:val="FDFF0C29"/>
    <w:rsid w:val="FDFF222C"/>
    <w:rsid w:val="FDFF400C"/>
    <w:rsid w:val="FE1EF080"/>
    <w:rsid w:val="FE7F2925"/>
    <w:rsid w:val="FEBC7E48"/>
    <w:rsid w:val="FECB61D9"/>
    <w:rsid w:val="FED3A64B"/>
    <w:rsid w:val="FEF5784F"/>
    <w:rsid w:val="FEFCA532"/>
    <w:rsid w:val="FF373522"/>
    <w:rsid w:val="FF5F57A4"/>
    <w:rsid w:val="FF6CEA93"/>
    <w:rsid w:val="FF6F212D"/>
    <w:rsid w:val="FF7D3A25"/>
    <w:rsid w:val="FF7FE285"/>
    <w:rsid w:val="FF9771D6"/>
    <w:rsid w:val="FFCECDED"/>
    <w:rsid w:val="FFCF724C"/>
    <w:rsid w:val="FFD7C6C4"/>
    <w:rsid w:val="FFDB28FD"/>
    <w:rsid w:val="FFEB2090"/>
    <w:rsid w:val="FFED1812"/>
    <w:rsid w:val="FFED67A1"/>
    <w:rsid w:val="FFEF3BDF"/>
    <w:rsid w:val="FFFBE593"/>
    <w:rsid w:val="FFFE569F"/>
    <w:rsid w:val="FFFED082"/>
    <w:rsid w:val="FFFF727F"/>
    <w:rsid w:val="FFFF996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7"/>
    <w:qFormat/>
    <w:uiPriority w:val="99"/>
    <w:pPr>
      <w:widowControl/>
      <w:jc w:val="left"/>
      <w:outlineLvl w:val="0"/>
    </w:pPr>
    <w:rPr>
      <w:kern w:val="0"/>
      <w:sz w:val="24"/>
      <w:szCs w:val="20"/>
      <w:lang w:val="en-GB"/>
    </w:rPr>
  </w:style>
  <w:style w:type="paragraph" w:styleId="3">
    <w:name w:val="heading 2"/>
    <w:basedOn w:val="1"/>
    <w:next w:val="1"/>
    <w:link w:val="18"/>
    <w:unhideWhenUsed/>
    <w:qFormat/>
    <w:uiPriority w:val="9"/>
    <w:pPr>
      <w:keepNext/>
      <w:keepLines/>
      <w:spacing w:before="260" w:after="260" w:line="416" w:lineRule="auto"/>
      <w:outlineLvl w:val="1"/>
    </w:pPr>
    <w:rPr>
      <w:rFonts w:ascii="Cambria" w:hAnsi="Cambria" w:eastAsia="宋体" w:cs="Times New Roman"/>
      <w:b/>
      <w:bCs/>
      <w:sz w:val="32"/>
      <w:szCs w:val="32"/>
    </w:rPr>
  </w:style>
  <w:style w:type="character" w:default="1" w:styleId="14">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4">
    <w:name w:val="annotation text"/>
    <w:basedOn w:val="1"/>
    <w:link w:val="19"/>
    <w:unhideWhenUsed/>
    <w:qFormat/>
    <w:uiPriority w:val="99"/>
    <w:pPr>
      <w:jc w:val="left"/>
    </w:pPr>
  </w:style>
  <w:style w:type="paragraph" w:styleId="5">
    <w:name w:val="Body Text Indent 2"/>
    <w:basedOn w:val="1"/>
    <w:link w:val="20"/>
    <w:qFormat/>
    <w:uiPriority w:val="0"/>
    <w:pPr>
      <w:spacing w:line="560" w:lineRule="exact"/>
      <w:ind w:firstLine="480" w:firstLineChars="200"/>
    </w:pPr>
    <w:rPr>
      <w:rFonts w:ascii="宋体" w:hAnsi="宋体"/>
      <w:color w:val="FF0000"/>
      <w:sz w:val="24"/>
    </w:rPr>
  </w:style>
  <w:style w:type="paragraph" w:styleId="6">
    <w:name w:val="Balloon Text"/>
    <w:basedOn w:val="1"/>
    <w:link w:val="21"/>
    <w:unhideWhenUsed/>
    <w:qFormat/>
    <w:uiPriority w:val="99"/>
    <w:rPr>
      <w:sz w:val="18"/>
      <w:szCs w:val="18"/>
    </w:rPr>
  </w:style>
  <w:style w:type="paragraph" w:styleId="7">
    <w:name w:val="footer"/>
    <w:basedOn w:val="1"/>
    <w:link w:val="22"/>
    <w:unhideWhenUsed/>
    <w:qFormat/>
    <w:uiPriority w:val="99"/>
    <w:pPr>
      <w:tabs>
        <w:tab w:val="center" w:pos="4153"/>
        <w:tab w:val="right" w:pos="8306"/>
      </w:tabs>
      <w:snapToGrid w:val="0"/>
      <w:jc w:val="left"/>
    </w:pPr>
    <w:rPr>
      <w:sz w:val="18"/>
      <w:szCs w:val="18"/>
    </w:rPr>
  </w:style>
  <w:style w:type="paragraph" w:styleId="8">
    <w:name w:val="header"/>
    <w:basedOn w:val="1"/>
    <w:link w:val="23"/>
    <w:unhideWhenUsed/>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unhideWhenUsed/>
    <w:qFormat/>
    <w:uiPriority w:val="39"/>
  </w:style>
  <w:style w:type="paragraph" w:styleId="10">
    <w:name w:val="toc 2"/>
    <w:basedOn w:val="1"/>
    <w:next w:val="1"/>
    <w:unhideWhenUsed/>
    <w:qFormat/>
    <w:uiPriority w:val="39"/>
    <w:pPr>
      <w:ind w:left="420" w:leftChars="200"/>
    </w:pPr>
  </w:style>
  <w:style w:type="paragraph" w:styleId="11">
    <w:name w:val="Normal (Web)"/>
    <w:basedOn w:val="1"/>
    <w:unhideWhenUsed/>
    <w:qFormat/>
    <w:uiPriority w:val="0"/>
    <w:pPr>
      <w:widowControl/>
      <w:spacing w:before="100" w:beforeAutospacing="1" w:after="100" w:afterAutospacing="1"/>
      <w:jc w:val="left"/>
    </w:pPr>
    <w:rPr>
      <w:rFonts w:ascii="Arial Unicode MS" w:hAnsi="Arial Unicode MS" w:eastAsia="Arial Unicode MS" w:cs="Arial Unicode MS"/>
      <w:kern w:val="0"/>
      <w:sz w:val="24"/>
      <w:lang w:val="en-GB" w:eastAsia="en-US"/>
    </w:rPr>
  </w:style>
  <w:style w:type="paragraph" w:styleId="12">
    <w:name w:val="annotation subject"/>
    <w:basedOn w:val="4"/>
    <w:next w:val="4"/>
    <w:link w:val="24"/>
    <w:unhideWhenUsed/>
    <w:qFormat/>
    <w:uiPriority w:val="99"/>
    <w:rPr>
      <w:b/>
      <w:bCs/>
    </w:rPr>
  </w:style>
  <w:style w:type="character" w:styleId="15">
    <w:name w:val="Hyperlink"/>
    <w:basedOn w:val="14"/>
    <w:unhideWhenUsed/>
    <w:qFormat/>
    <w:uiPriority w:val="99"/>
    <w:rPr>
      <w:color w:val="0000FF"/>
      <w:u w:val="single"/>
    </w:rPr>
  </w:style>
  <w:style w:type="character" w:styleId="16">
    <w:name w:val="annotation reference"/>
    <w:basedOn w:val="14"/>
    <w:unhideWhenUsed/>
    <w:qFormat/>
    <w:uiPriority w:val="99"/>
    <w:rPr>
      <w:sz w:val="21"/>
      <w:szCs w:val="21"/>
    </w:rPr>
  </w:style>
  <w:style w:type="character" w:customStyle="1" w:styleId="17">
    <w:name w:val="标题 1 Char"/>
    <w:basedOn w:val="14"/>
    <w:link w:val="2"/>
    <w:qFormat/>
    <w:uiPriority w:val="99"/>
    <w:rPr>
      <w:rFonts w:ascii="Times New Roman" w:hAnsi="Times New Roman" w:eastAsia="宋体" w:cs="Times New Roman"/>
      <w:kern w:val="0"/>
      <w:sz w:val="24"/>
      <w:szCs w:val="20"/>
      <w:lang w:val="en-GB"/>
    </w:rPr>
  </w:style>
  <w:style w:type="character" w:customStyle="1" w:styleId="18">
    <w:name w:val="标题 2 Char"/>
    <w:basedOn w:val="14"/>
    <w:link w:val="3"/>
    <w:semiHidden/>
    <w:qFormat/>
    <w:uiPriority w:val="9"/>
    <w:rPr>
      <w:rFonts w:ascii="Cambria" w:hAnsi="Cambria" w:eastAsia="宋体" w:cs="Times New Roman"/>
      <w:b/>
      <w:bCs/>
      <w:sz w:val="32"/>
      <w:szCs w:val="32"/>
    </w:rPr>
  </w:style>
  <w:style w:type="character" w:customStyle="1" w:styleId="19">
    <w:name w:val="批注文字 Char"/>
    <w:basedOn w:val="14"/>
    <w:link w:val="4"/>
    <w:semiHidden/>
    <w:qFormat/>
    <w:uiPriority w:val="99"/>
    <w:rPr>
      <w:rFonts w:ascii="Times New Roman" w:hAnsi="Times New Roman" w:eastAsia="宋体" w:cs="Times New Roman"/>
      <w:szCs w:val="24"/>
    </w:rPr>
  </w:style>
  <w:style w:type="character" w:customStyle="1" w:styleId="20">
    <w:name w:val="正文文本缩进 2 Char"/>
    <w:basedOn w:val="14"/>
    <w:link w:val="5"/>
    <w:qFormat/>
    <w:uiPriority w:val="0"/>
    <w:rPr>
      <w:rFonts w:ascii="宋体" w:hAnsi="宋体" w:eastAsia="宋体" w:cs="Times New Roman"/>
      <w:color w:val="FF0000"/>
      <w:sz w:val="24"/>
      <w:szCs w:val="24"/>
    </w:rPr>
  </w:style>
  <w:style w:type="character" w:customStyle="1" w:styleId="21">
    <w:name w:val="批注框文本 Char"/>
    <w:basedOn w:val="14"/>
    <w:link w:val="6"/>
    <w:semiHidden/>
    <w:qFormat/>
    <w:uiPriority w:val="99"/>
    <w:rPr>
      <w:rFonts w:ascii="Times New Roman" w:hAnsi="Times New Roman" w:eastAsia="宋体" w:cs="Times New Roman"/>
      <w:sz w:val="18"/>
      <w:szCs w:val="18"/>
    </w:rPr>
  </w:style>
  <w:style w:type="character" w:customStyle="1" w:styleId="22">
    <w:name w:val="页脚 Char"/>
    <w:basedOn w:val="14"/>
    <w:link w:val="7"/>
    <w:qFormat/>
    <w:uiPriority w:val="99"/>
    <w:rPr>
      <w:sz w:val="18"/>
      <w:szCs w:val="18"/>
    </w:rPr>
  </w:style>
  <w:style w:type="character" w:customStyle="1" w:styleId="23">
    <w:name w:val="页眉 Char"/>
    <w:basedOn w:val="14"/>
    <w:link w:val="8"/>
    <w:qFormat/>
    <w:uiPriority w:val="0"/>
    <w:rPr>
      <w:sz w:val="18"/>
      <w:szCs w:val="18"/>
    </w:rPr>
  </w:style>
  <w:style w:type="character" w:customStyle="1" w:styleId="24">
    <w:name w:val="批注主题 Char"/>
    <w:basedOn w:val="19"/>
    <w:link w:val="12"/>
    <w:semiHidden/>
    <w:qFormat/>
    <w:uiPriority w:val="99"/>
    <w:rPr>
      <w:rFonts w:ascii="Times New Roman" w:hAnsi="Times New Roman" w:eastAsia="宋体" w:cs="Times New Roman"/>
      <w:b/>
      <w:bCs/>
      <w:szCs w:val="24"/>
    </w:rPr>
  </w:style>
  <w:style w:type="character" w:customStyle="1" w:styleId="25">
    <w:name w:val="标题 2 Char Char Char"/>
    <w:qFormat/>
    <w:uiPriority w:val="0"/>
    <w:rPr>
      <w:rFonts w:ascii="Arial" w:hAnsi="Arial" w:eastAsia="宋体"/>
      <w:b/>
      <w:kern w:val="2"/>
      <w:sz w:val="28"/>
      <w:szCs w:val="28"/>
      <w:lang w:val="en-US" w:eastAsia="zh-CN" w:bidi="ar-SA"/>
    </w:rPr>
  </w:style>
  <w:style w:type="paragraph" w:customStyle="1" w:styleId="26">
    <w:name w:val="2级"/>
    <w:basedOn w:val="1"/>
    <w:link w:val="27"/>
    <w:qFormat/>
    <w:uiPriority w:val="0"/>
    <w:pPr>
      <w:keepNext/>
      <w:keepLines/>
      <w:widowControl/>
      <w:spacing w:before="260" w:after="260"/>
      <w:jc w:val="left"/>
      <w:outlineLvl w:val="1"/>
    </w:pPr>
    <w:rPr>
      <w:rFonts w:ascii="宋体" w:hAnsi="宋体" w:cs="Times New Roman"/>
      <w:b/>
      <w:bCs/>
      <w:sz w:val="24"/>
    </w:rPr>
  </w:style>
  <w:style w:type="character" w:customStyle="1" w:styleId="27">
    <w:name w:val="2级 Char"/>
    <w:basedOn w:val="14"/>
    <w:link w:val="26"/>
    <w:qFormat/>
    <w:uiPriority w:val="0"/>
    <w:rPr>
      <w:rFonts w:ascii="宋体" w:hAnsi="宋体" w:eastAsia="宋体"/>
      <w:b/>
      <w:bCs/>
      <w:sz w:val="24"/>
      <w:szCs w:val="24"/>
    </w:rPr>
  </w:style>
  <w:style w:type="paragraph" w:customStyle="1" w:styleId="28">
    <w:name w:val="正文XB"/>
    <w:basedOn w:val="1"/>
    <w:link w:val="29"/>
    <w:qFormat/>
    <w:uiPriority w:val="0"/>
    <w:pPr>
      <w:spacing w:line="360" w:lineRule="auto"/>
      <w:ind w:firstLine="420" w:firstLineChars="200"/>
    </w:pPr>
    <w:rPr>
      <w:rFonts w:ascii="宋体" w:hAnsi="宋体"/>
      <w:color w:val="000000"/>
      <w:szCs w:val="21"/>
    </w:rPr>
  </w:style>
  <w:style w:type="character" w:customStyle="1" w:styleId="29">
    <w:name w:val="正文XB Char"/>
    <w:basedOn w:val="14"/>
    <w:link w:val="28"/>
    <w:qFormat/>
    <w:uiPriority w:val="0"/>
    <w:rPr>
      <w:rFonts w:ascii="宋体" w:hAnsi="宋体" w:eastAsia="宋体" w:cs="Times New Roman"/>
      <w:color w:val="000000"/>
      <w:szCs w:val="21"/>
    </w:rPr>
  </w:style>
  <w:style w:type="paragraph" w:styleId="30">
    <w:name w:val="List Paragraph"/>
    <w:basedOn w:val="1"/>
    <w:unhideWhenUsed/>
    <w:qFormat/>
    <w:uiPriority w:val="99"/>
    <w:pPr>
      <w:ind w:firstLine="420" w:firstLineChars="200"/>
    </w:pPr>
  </w:style>
  <w:style w:type="paragraph" w:customStyle="1" w:styleId="31">
    <w:name w:val="Default"/>
    <w:qFormat/>
    <w:uiPriority w:val="0"/>
    <w:pPr>
      <w:widowControl w:val="0"/>
      <w:autoSpaceDE w:val="0"/>
      <w:autoSpaceDN w:val="0"/>
      <w:adjustRightInd w:val="0"/>
    </w:pPr>
    <w:rPr>
      <w:rFonts w:ascii="宋体棬　僬　." w:hAnsi="Calibri" w:eastAsia="宋体棬　僬　." w:cs="宋体棬　僬　."/>
      <w:color w:val="000000"/>
      <w:sz w:val="24"/>
      <w:szCs w:val="24"/>
      <w:lang w:val="en-US" w:eastAsia="zh-CN" w:bidi="ar-SA"/>
    </w:rPr>
  </w:style>
  <w:style w:type="paragraph" w:customStyle="1" w:styleId="32">
    <w:name w:val="TOC 标题1"/>
    <w:basedOn w:val="2"/>
    <w:next w:val="1"/>
    <w:unhideWhenUsed/>
    <w:qFormat/>
    <w:uiPriority w:val="39"/>
    <w:pPr>
      <w:keepNext/>
      <w:keepLines/>
      <w:spacing w:before="480" w:line="276" w:lineRule="auto"/>
      <w:outlineLvl w:val="9"/>
    </w:pPr>
    <w:rPr>
      <w:rFonts w:ascii="Cambria" w:hAnsi="Cambria" w:eastAsia="宋体" w:cs="Times New Roman"/>
      <w:b/>
      <w:bCs/>
      <w:color w:val="366091"/>
      <w:sz w:val="28"/>
      <w:szCs w:val="28"/>
      <w:lang w:val="en-US"/>
    </w:rPr>
  </w:style>
  <w:style w:type="paragraph" w:styleId="33">
    <w:name w:val="No Spacing"/>
    <w:basedOn w:val="1"/>
    <w:link w:val="34"/>
    <w:qFormat/>
    <w:uiPriority w:val="1"/>
    <w:pPr>
      <w:widowControl/>
      <w:jc w:val="left"/>
    </w:pPr>
    <w:rPr>
      <w:rFonts w:ascii="Calibri" w:hAnsi="Calibri" w:eastAsia="宋体" w:cs="Times New Roman"/>
      <w:szCs w:val="21"/>
    </w:rPr>
  </w:style>
  <w:style w:type="character" w:customStyle="1" w:styleId="34">
    <w:name w:val="无间隔 Char"/>
    <w:basedOn w:val="14"/>
    <w:link w:val="33"/>
    <w:qFormat/>
    <w:locked/>
    <w:uiPriority w:val="1"/>
    <w:rPr>
      <w:szCs w:val="21"/>
    </w:rPr>
  </w:style>
  <w:style w:type="paragraph" w:customStyle="1" w:styleId="35">
    <w:name w:val="修订1"/>
    <w:semiHidden/>
    <w:qFormat/>
    <w:uiPriority w:val="99"/>
    <w:rPr>
      <w:rFonts w:ascii="Times New Roman" w:hAnsi="Times New Roman" w:eastAsia="宋体" w:cs="Times New Roman"/>
      <w:kern w:val="2"/>
      <w:sz w:val="21"/>
      <w:szCs w:val="24"/>
      <w:lang w:val="en-US" w:eastAsia="zh-CN" w:bidi="ar-SA"/>
    </w:rPr>
  </w:style>
  <w:style w:type="paragraph" w:customStyle="1" w:styleId="36">
    <w:name w:val="无缩进备注"/>
    <w:basedOn w:val="1"/>
    <w:link w:val="37"/>
    <w:qFormat/>
    <w:uiPriority w:val="0"/>
    <w:pPr>
      <w:tabs>
        <w:tab w:val="left" w:pos="426"/>
      </w:tabs>
      <w:jc w:val="left"/>
    </w:pPr>
    <w:rPr>
      <w:rFonts w:ascii="宋体" w:hAnsi="宋体"/>
      <w:kern w:val="0"/>
      <w:szCs w:val="21"/>
    </w:rPr>
  </w:style>
  <w:style w:type="character" w:customStyle="1" w:styleId="37">
    <w:name w:val="无缩进备注 Char"/>
    <w:basedOn w:val="14"/>
    <w:link w:val="36"/>
    <w:qFormat/>
    <w:uiPriority w:val="0"/>
    <w:rPr>
      <w:rFonts w:ascii="宋体" w:hAnsi="宋体" w:eastAsia="宋体" w:cs="Times New Roman"/>
      <w:kern w:val="0"/>
      <w:szCs w:val="21"/>
    </w:rPr>
  </w:style>
  <w:style w:type="character" w:customStyle="1" w:styleId="38">
    <w:name w:val="read1"/>
    <w:basedOn w:val="14"/>
    <w:qFormat/>
    <w:uiPriority w:val="0"/>
    <w:rPr>
      <w:rFonts w:hint="default"/>
      <w:color w:val="000000"/>
      <w:spacing w:val="450"/>
      <w:u w:val="none"/>
    </w:rPr>
  </w:style>
  <w:style w:type="character" w:customStyle="1" w:styleId="39">
    <w:name w:val="font01"/>
    <w:basedOn w:val="14"/>
    <w:qFormat/>
    <w:uiPriority w:val="0"/>
    <w:rPr>
      <w:rFonts w:hint="default" w:ascii="Times New Roman" w:hAnsi="Times New Roman" w:cs="Times New Roman"/>
      <w:b/>
      <w:color w:val="000000"/>
      <w:sz w:val="24"/>
      <w:szCs w:val="24"/>
      <w:u w:val="none"/>
    </w:rPr>
  </w:style>
  <w:style w:type="character" w:customStyle="1" w:styleId="40">
    <w:name w:val="font51"/>
    <w:basedOn w:val="14"/>
    <w:qFormat/>
    <w:uiPriority w:val="0"/>
    <w:rPr>
      <w:rFonts w:hint="eastAsia" w:ascii="宋体" w:hAnsi="宋体" w:eastAsia="宋体" w:cs="宋体"/>
      <w:b/>
      <w:color w:val="000000"/>
      <w:sz w:val="24"/>
      <w:szCs w:val="24"/>
      <w:u w:val="none"/>
    </w:rPr>
  </w:style>
  <w:style w:type="character" w:customStyle="1" w:styleId="41">
    <w:name w:val="font71"/>
    <w:basedOn w:val="14"/>
    <w:qFormat/>
    <w:uiPriority w:val="0"/>
    <w:rPr>
      <w:rFonts w:hint="eastAsia" w:ascii="宋体" w:hAnsi="宋体" w:eastAsia="宋体" w:cs="宋体"/>
      <w:color w:val="000000"/>
      <w:sz w:val="22"/>
      <w:szCs w:val="22"/>
      <w:u w:val="none"/>
    </w:rPr>
  </w:style>
  <w:style w:type="character" w:customStyle="1" w:styleId="42">
    <w:name w:val="font61"/>
    <w:basedOn w:val="14"/>
    <w:qFormat/>
    <w:uiPriority w:val="0"/>
    <w:rPr>
      <w:rFonts w:hint="eastAsia" w:ascii="宋体" w:hAnsi="宋体" w:eastAsia="宋体" w:cs="宋体"/>
      <w:color w:val="000000"/>
      <w:sz w:val="22"/>
      <w:szCs w:val="22"/>
      <w:u w:val="none"/>
    </w:rPr>
  </w:style>
  <w:style w:type="character" w:customStyle="1" w:styleId="43">
    <w:name w:val="font11"/>
    <w:basedOn w:val="14"/>
    <w:qFormat/>
    <w:uiPriority w:val="0"/>
    <w:rPr>
      <w:rFonts w:hint="eastAsia" w:ascii="宋体" w:hAnsi="宋体" w:eastAsia="宋体" w:cs="宋体"/>
      <w:color w:val="000000"/>
      <w:sz w:val="24"/>
      <w:szCs w:val="24"/>
      <w:u w:val="none"/>
    </w:rPr>
  </w:style>
  <w:style w:type="paragraph" w:customStyle="1" w:styleId="44">
    <w:name w:val="正文XB半年报"/>
    <w:basedOn w:val="5"/>
    <w:qFormat/>
    <w:uiPriority w:val="0"/>
    <w:pPr>
      <w:spacing w:line="360" w:lineRule="auto"/>
      <w:ind w:firstLine="200"/>
    </w:pPr>
    <w:rPr>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12</Pages>
  <Words>1643</Words>
  <Characters>9366</Characters>
  <Lines>78</Lines>
  <Paragraphs>21</Paragraphs>
  <TotalTime>115</TotalTime>
  <ScaleCrop>false</ScaleCrop>
  <LinksUpToDate>false</LinksUpToDate>
  <CharactersWithSpaces>10988</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2023-05-26T15:18:00Z</dcterms:created>
  <dc:creator>段宏竹</dc:creator>
  <cp:lastModifiedBy>fuxj</cp:lastModifiedBy>
  <cp:lastPrinted>2023-01-13T09:54:00Z</cp:lastPrinted>
  <dcterms:modified xsi:type="dcterms:W3CDTF">2026-09-03T08:09:50Z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30C5551121AB4CEDABA70085A1A558A6</vt:lpwstr>
  </property>
</Properties>
</file>