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6BFD23">
      <w:pPr>
        <w:spacing w:line="360" w:lineRule="auto"/>
        <w:jc w:val="center"/>
        <w:rPr>
          <w:rFonts w:hint="eastAsia" w:ascii="宋体" w:hAnsi="宋体" w:eastAsia="宋体" w:cs="宋体"/>
          <w:b/>
          <w:color w:val="auto"/>
          <w:szCs w:val="21"/>
          <w:highlight w:val="none"/>
        </w:rPr>
      </w:pPr>
      <w:bookmarkStart w:id="0" w:name="_Toc361324840"/>
    </w:p>
    <w:p w14:paraId="43193A4E">
      <w:pPr>
        <w:spacing w:line="360" w:lineRule="auto"/>
        <w:jc w:val="center"/>
        <w:rPr>
          <w:rFonts w:hint="eastAsia" w:ascii="宋体" w:hAnsi="宋体" w:eastAsia="宋体" w:cs="宋体"/>
          <w:b/>
          <w:color w:val="auto"/>
          <w:szCs w:val="21"/>
          <w:highlight w:val="none"/>
        </w:rPr>
      </w:pPr>
    </w:p>
    <w:bookmarkEnd w:id="0"/>
    <w:p w14:paraId="7B0FFF06">
      <w:pPr>
        <w:spacing w:line="360" w:lineRule="auto"/>
        <w:jc w:val="center"/>
        <w:rPr>
          <w:rFonts w:hint="eastAsia" w:ascii="宋体" w:hAnsi="宋体" w:eastAsia="宋体" w:cs="宋体"/>
          <w:b/>
          <w:color w:val="auto"/>
          <w:sz w:val="52"/>
          <w:szCs w:val="52"/>
          <w:highlight w:val="none"/>
        </w:rPr>
      </w:pPr>
      <w:bookmarkStart w:id="1" w:name="_Toc361324841"/>
      <w:r>
        <w:rPr>
          <w:rFonts w:hint="eastAsia" w:ascii="宋体" w:hAnsi="宋体" w:eastAsia="宋体" w:cs="宋体"/>
          <w:b/>
          <w:bCs w:val="0"/>
          <w:color w:val="auto"/>
          <w:sz w:val="52"/>
          <w:szCs w:val="52"/>
          <w:highlight w:val="none"/>
        </w:rPr>
        <w:t>博时富悦纯债债券型证券投资基金</w:t>
      </w:r>
      <w:bookmarkEnd w:id="1"/>
      <w:r>
        <w:rPr>
          <w:rFonts w:hint="eastAsia" w:ascii="宋体" w:hAnsi="宋体" w:eastAsia="宋体" w:cs="宋体"/>
          <w:b/>
          <w:color w:val="auto"/>
          <w:sz w:val="52"/>
          <w:u w:val="none"/>
        </w:rPr>
        <w:t>清算报告</w:t>
      </w:r>
    </w:p>
    <w:p w14:paraId="4E10ECB5">
      <w:pPr>
        <w:rPr>
          <w:rFonts w:hint="eastAsia" w:ascii="宋体" w:hAnsi="宋体" w:eastAsia="宋体" w:cs="宋体"/>
          <w:color w:val="auto"/>
          <w:szCs w:val="21"/>
          <w:highlight w:val="none"/>
        </w:rPr>
      </w:pPr>
    </w:p>
    <w:p w14:paraId="775B1F9B">
      <w:pPr>
        <w:rPr>
          <w:rFonts w:hint="eastAsia" w:ascii="宋体" w:hAnsi="宋体" w:eastAsia="宋体" w:cs="宋体"/>
          <w:color w:val="auto"/>
          <w:szCs w:val="21"/>
          <w:highlight w:val="none"/>
        </w:rPr>
      </w:pPr>
    </w:p>
    <w:p w14:paraId="25764F4A">
      <w:pPr>
        <w:rPr>
          <w:rFonts w:hint="eastAsia" w:ascii="宋体" w:hAnsi="宋体" w:eastAsia="宋体" w:cs="宋体"/>
          <w:color w:val="auto"/>
          <w:szCs w:val="21"/>
          <w:highlight w:val="none"/>
        </w:rPr>
      </w:pPr>
    </w:p>
    <w:p w14:paraId="00A55361">
      <w:pPr>
        <w:rPr>
          <w:rFonts w:hint="eastAsia" w:ascii="宋体" w:hAnsi="宋体" w:eastAsia="宋体" w:cs="宋体"/>
          <w:color w:val="auto"/>
          <w:szCs w:val="21"/>
          <w:highlight w:val="none"/>
        </w:rPr>
      </w:pPr>
    </w:p>
    <w:p w14:paraId="2AE2FF35">
      <w:pPr>
        <w:rPr>
          <w:rFonts w:hint="eastAsia" w:ascii="宋体" w:hAnsi="宋体" w:eastAsia="宋体" w:cs="宋体"/>
          <w:color w:val="auto"/>
          <w:szCs w:val="21"/>
          <w:highlight w:val="none"/>
        </w:rPr>
      </w:pPr>
    </w:p>
    <w:p w14:paraId="5110FA49">
      <w:pPr>
        <w:rPr>
          <w:rFonts w:hint="eastAsia" w:ascii="宋体" w:hAnsi="宋体" w:eastAsia="宋体" w:cs="宋体"/>
          <w:color w:val="auto"/>
          <w:szCs w:val="21"/>
          <w:highlight w:val="none"/>
        </w:rPr>
      </w:pPr>
    </w:p>
    <w:p w14:paraId="4A4450CC">
      <w:pPr>
        <w:rPr>
          <w:rFonts w:hint="eastAsia" w:ascii="宋体" w:hAnsi="宋体" w:eastAsia="宋体" w:cs="宋体"/>
          <w:color w:val="auto"/>
          <w:szCs w:val="21"/>
          <w:highlight w:val="none"/>
        </w:rPr>
      </w:pPr>
    </w:p>
    <w:p w14:paraId="4E134D6A">
      <w:pPr>
        <w:rPr>
          <w:rFonts w:hint="eastAsia" w:ascii="宋体" w:hAnsi="宋体" w:eastAsia="宋体" w:cs="宋体"/>
          <w:color w:val="auto"/>
          <w:szCs w:val="21"/>
          <w:highlight w:val="none"/>
        </w:rPr>
      </w:pPr>
    </w:p>
    <w:p w14:paraId="42C4A4A6">
      <w:pPr>
        <w:rPr>
          <w:rFonts w:hint="eastAsia" w:ascii="宋体" w:hAnsi="宋体" w:eastAsia="宋体" w:cs="宋体"/>
          <w:color w:val="auto"/>
          <w:szCs w:val="21"/>
          <w:highlight w:val="none"/>
        </w:rPr>
      </w:pPr>
    </w:p>
    <w:p w14:paraId="6BE5C6BD">
      <w:pPr>
        <w:rPr>
          <w:rFonts w:hint="eastAsia" w:ascii="宋体" w:hAnsi="宋体" w:eastAsia="宋体" w:cs="宋体"/>
          <w:color w:val="auto"/>
          <w:szCs w:val="21"/>
          <w:highlight w:val="none"/>
        </w:rPr>
      </w:pPr>
    </w:p>
    <w:p w14:paraId="41B598A8">
      <w:pPr>
        <w:rPr>
          <w:rFonts w:hint="eastAsia" w:ascii="宋体" w:hAnsi="宋体" w:eastAsia="宋体" w:cs="宋体"/>
          <w:color w:val="auto"/>
          <w:szCs w:val="21"/>
          <w:highlight w:val="none"/>
        </w:rPr>
      </w:pPr>
    </w:p>
    <w:p w14:paraId="6DD0B725">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基金管理人：博时基金管理有限公司</w:t>
      </w:r>
    </w:p>
    <w:p w14:paraId="0884D5F5">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基金托管人：</w:t>
      </w:r>
      <w:r>
        <w:rPr>
          <w:rFonts w:hint="eastAsia" w:ascii="宋体" w:hAnsi="宋体" w:eastAsia="宋体" w:cs="宋体"/>
          <w:b/>
          <w:color w:val="auto"/>
          <w:sz w:val="36"/>
          <w:szCs w:val="36"/>
          <w:highlight w:val="none"/>
          <w:lang w:val="en-US" w:eastAsia="zh-CN"/>
        </w:rPr>
        <w:t>中国民生银行股份有限公司</w:t>
      </w:r>
    </w:p>
    <w:p w14:paraId="40D0C869">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报告出具日期：</w:t>
      </w:r>
      <w:r>
        <w:rPr>
          <w:rFonts w:hint="eastAsia" w:ascii="宋体" w:hAnsi="宋体" w:eastAsia="宋体" w:cs="宋体"/>
          <w:b/>
          <w:color w:val="auto"/>
          <w:sz w:val="36"/>
          <w:szCs w:val="36"/>
          <w:highlight w:val="none"/>
          <w:lang w:val="en-US" w:eastAsia="zh-CN"/>
        </w:rPr>
        <w:t>二〇二六年八月五日</w:t>
      </w:r>
    </w:p>
    <w:p w14:paraId="31B7B87B">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报告公告日期：</w:t>
      </w:r>
      <w:r>
        <w:rPr>
          <w:rFonts w:hint="eastAsia" w:ascii="宋体" w:hAnsi="宋体" w:eastAsia="宋体" w:cs="宋体"/>
          <w:b/>
          <w:color w:val="auto"/>
          <w:sz w:val="36"/>
          <w:szCs w:val="36"/>
          <w:highlight w:val="none"/>
          <w:lang w:val="en-US" w:eastAsia="zh-CN"/>
        </w:rPr>
        <w:t>二〇二六年</w:t>
      </w:r>
      <w:r>
        <w:rPr>
          <w:rFonts w:hint="eastAsia" w:ascii="宋体" w:hAnsi="宋体" w:cs="宋体"/>
          <w:b/>
          <w:color w:val="auto"/>
          <w:sz w:val="36"/>
          <w:szCs w:val="36"/>
          <w:highlight w:val="none"/>
          <w:lang w:val="en-US" w:eastAsia="zh-CN"/>
        </w:rPr>
        <w:t>八</w:t>
      </w:r>
      <w:r>
        <w:rPr>
          <w:rFonts w:hint="eastAsia" w:ascii="宋体" w:hAnsi="宋体" w:eastAsia="宋体" w:cs="宋体"/>
          <w:b/>
          <w:color w:val="auto"/>
          <w:sz w:val="36"/>
          <w:szCs w:val="36"/>
          <w:highlight w:val="none"/>
          <w:lang w:val="en-US" w:eastAsia="zh-CN"/>
        </w:rPr>
        <w:t>月</w:t>
      </w:r>
      <w:r>
        <w:rPr>
          <w:rFonts w:hint="eastAsia" w:ascii="宋体" w:hAnsi="宋体" w:cs="宋体"/>
          <w:b/>
          <w:color w:val="auto"/>
          <w:sz w:val="36"/>
          <w:szCs w:val="36"/>
          <w:highlight w:val="none"/>
          <w:lang w:val="en-US" w:eastAsia="zh-CN"/>
        </w:rPr>
        <w:t>二十九</w:t>
      </w:r>
      <w:r>
        <w:rPr>
          <w:rFonts w:hint="eastAsia" w:ascii="宋体" w:hAnsi="宋体" w:eastAsia="宋体" w:cs="宋体"/>
          <w:b/>
          <w:color w:val="auto"/>
          <w:sz w:val="36"/>
          <w:szCs w:val="36"/>
          <w:highlight w:val="none"/>
          <w:lang w:val="en-US" w:eastAsia="zh-CN"/>
        </w:rPr>
        <w:t>日</w:t>
      </w:r>
    </w:p>
    <w:p w14:paraId="18753FBE">
      <w:pPr>
        <w:spacing w:line="360" w:lineRule="auto"/>
        <w:jc w:val="center"/>
        <w:rPr>
          <w:rFonts w:hint="eastAsia" w:ascii="宋体" w:hAnsi="宋体" w:eastAsia="宋体" w:cs="宋体"/>
          <w:b/>
          <w:color w:val="auto"/>
          <w:sz w:val="36"/>
          <w:szCs w:val="36"/>
          <w:highlight w:val="none"/>
        </w:rPr>
      </w:pPr>
    </w:p>
    <w:p w14:paraId="506B56AD">
      <w:pPr>
        <w:spacing w:line="360" w:lineRule="auto"/>
        <w:ind w:firstLine="1265" w:firstLineChars="350"/>
        <w:rPr>
          <w:rFonts w:hint="eastAsia" w:ascii="宋体" w:hAnsi="宋体" w:eastAsia="宋体" w:cs="宋体"/>
          <w:b/>
          <w:color w:val="auto"/>
          <w:sz w:val="36"/>
          <w:szCs w:val="36"/>
          <w:highlight w:val="none"/>
        </w:rPr>
        <w:sectPr>
          <w:headerReference r:id="rId3" w:type="default"/>
          <w:footerReference r:id="rId4" w:type="default"/>
          <w:pgSz w:w="11926" w:h="15840"/>
          <w:pgMar w:top="1418" w:right="1418" w:bottom="851" w:left="1418" w:header="851" w:footer="992" w:gutter="0"/>
          <w:pgNumType w:start="1"/>
          <w:cols w:space="720" w:num="1"/>
          <w:titlePg/>
          <w:docGrid w:linePitch="286" w:charSpace="0"/>
        </w:sectPr>
      </w:pPr>
    </w:p>
    <w:p w14:paraId="7FB04233">
      <w:pPr>
        <w:pStyle w:val="32"/>
        <w:jc w:val="center"/>
        <w:rPr>
          <w:rFonts w:hint="eastAsia" w:ascii="宋体" w:hAnsi="宋体" w:eastAsia="宋体" w:cs="宋体"/>
          <w:color w:val="auto"/>
          <w:highlight w:val="none"/>
        </w:rPr>
      </w:pPr>
      <w:bookmarkStart w:id="2" w:name="_Toc484769794"/>
      <w:r>
        <w:rPr>
          <w:rFonts w:hint="eastAsia" w:ascii="宋体" w:hAnsi="宋体" w:eastAsia="宋体" w:cs="宋体"/>
          <w:color w:val="auto"/>
          <w:highlight w:val="none"/>
          <w:lang w:val="zh-CN"/>
        </w:rPr>
        <w:t>目录</w:t>
      </w:r>
    </w:p>
    <w:p w14:paraId="610B33FB">
      <w:pPr>
        <w:pStyle w:val="9"/>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"_Toc491963077" </w:instrText>
      </w:r>
      <w:r>
        <w:rPr>
          <w:rFonts w:hint="eastAsia" w:ascii="宋体" w:hAnsi="宋体" w:eastAsia="宋体" w:cs="宋体"/>
          <w:color w:val="auto"/>
          <w:highlight w:val="none"/>
        </w:rPr>
        <w:fldChar w:fldCharType="separate"/>
      </w:r>
      <w:r>
        <w:rPr>
          <w:rStyle w:val="15"/>
          <w:rFonts w:hint="eastAsia" w:ascii="宋体" w:hAnsi="宋体" w:eastAsia="宋体" w:cs="宋体"/>
          <w:b/>
          <w:color w:val="auto"/>
          <w:highlight w:val="none"/>
        </w:rPr>
        <w:t>1、重要提示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_Toc491963077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0C11EB1">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"_Toc491963078"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1.1 重要提示</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_Toc491963078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24D21B07">
      <w:pPr>
        <w:pStyle w:val="9"/>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"_Toc491963079" </w:instrText>
      </w:r>
      <w:r>
        <w:rPr>
          <w:rFonts w:hint="eastAsia" w:ascii="宋体" w:hAnsi="宋体" w:eastAsia="宋体" w:cs="宋体"/>
          <w:color w:val="auto"/>
          <w:highlight w:val="none"/>
        </w:rPr>
        <w:fldChar w:fldCharType="separate"/>
      </w:r>
      <w:r>
        <w:rPr>
          <w:rStyle w:val="15"/>
          <w:rFonts w:hint="eastAsia" w:ascii="宋体" w:hAnsi="宋体" w:eastAsia="宋体" w:cs="宋体"/>
          <w:b/>
          <w:color w:val="auto"/>
          <w:highlight w:val="none"/>
        </w:rPr>
        <w:t>2、基金概况</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_Toc491963079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04BF40FE">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"_Toc491963080"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2.1 基金基本情况</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C6F3599">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"_Toc491963081"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highlight w:val="none"/>
        </w:rPr>
        <w:t>2.2 基金产品说明</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100A0CD">
      <w:pPr>
        <w:pStyle w:val="9"/>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"_Toc491963082" </w:instrText>
      </w:r>
      <w:r>
        <w:rPr>
          <w:rFonts w:hint="eastAsia" w:ascii="宋体" w:hAnsi="宋体" w:eastAsia="宋体" w:cs="宋体"/>
          <w:color w:val="auto"/>
          <w:highlight w:val="none"/>
        </w:rPr>
        <w:fldChar w:fldCharType="separate"/>
      </w:r>
      <w:r>
        <w:rPr>
          <w:rStyle w:val="15"/>
          <w:rFonts w:hint="eastAsia" w:ascii="宋体" w:hAnsi="宋体" w:eastAsia="宋体" w:cs="宋体"/>
          <w:b/>
          <w:color w:val="auto"/>
          <w:highlight w:val="none"/>
        </w:rPr>
        <w:t>3、基金运作情况说明</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20652F2F">
      <w:pPr>
        <w:pStyle w:val="9"/>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"_Toc491963083" </w:instrText>
      </w:r>
      <w:r>
        <w:rPr>
          <w:rFonts w:hint="eastAsia" w:ascii="宋体" w:hAnsi="宋体" w:eastAsia="宋体" w:cs="宋体"/>
          <w:color w:val="auto"/>
          <w:highlight w:val="none"/>
        </w:rPr>
        <w:fldChar w:fldCharType="separate"/>
      </w:r>
      <w:r>
        <w:rPr>
          <w:rStyle w:val="15"/>
          <w:rFonts w:hint="eastAsia" w:ascii="宋体" w:hAnsi="宋体" w:eastAsia="宋体" w:cs="宋体"/>
          <w:b/>
          <w:color w:val="auto"/>
          <w:highlight w:val="none"/>
        </w:rPr>
        <w:t>4、财务报告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29B48C3">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"_Toc491963084"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4.1 资产负债表</w:t>
      </w:r>
      <w:r>
        <w:rPr>
          <w:rStyle w:val="15"/>
          <w:rFonts w:hint="eastAsia" w:ascii="宋体" w:hAnsi="宋体" w:eastAsia="宋体" w:cs="宋体"/>
          <w:color w:val="auto"/>
          <w:kern w:val="0"/>
          <w:highlight w:val="none"/>
          <w:lang w:eastAsia="zh-CN"/>
        </w:rPr>
        <w:t>（已经审计）</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6B28184">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"_Toc491963085"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4.2 清算损益表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2CAA2448">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"_Toc491963086"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4.3 报表附注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07175EF2">
      <w:pPr>
        <w:pStyle w:val="9"/>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"_Toc491963087" </w:instrText>
      </w:r>
      <w:r>
        <w:rPr>
          <w:rFonts w:hint="eastAsia" w:ascii="宋体" w:hAnsi="宋体" w:eastAsia="宋体" w:cs="宋体"/>
          <w:color w:val="auto"/>
          <w:highlight w:val="none"/>
        </w:rPr>
        <w:fldChar w:fldCharType="separate"/>
      </w:r>
      <w:r>
        <w:rPr>
          <w:rStyle w:val="15"/>
          <w:rFonts w:hint="eastAsia" w:ascii="宋体" w:hAnsi="宋体" w:eastAsia="宋体" w:cs="宋体"/>
          <w:b/>
          <w:color w:val="auto"/>
          <w:highlight w:val="none"/>
        </w:rPr>
        <w:t>5、清算情况</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06C0BB8">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"_Toc491963088"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5.1 资产负债清算情况</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8A8A3C6">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"_Toc491963089"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5.2 截至本次清算期结束日的剩余财产情况及剩余财产分配安排</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_Toc491963089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0F610BA2">
      <w:pPr>
        <w:pStyle w:val="9"/>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"_Toc491963090" </w:instrText>
      </w:r>
      <w:r>
        <w:rPr>
          <w:rFonts w:hint="eastAsia" w:ascii="宋体" w:hAnsi="宋体" w:eastAsia="宋体" w:cs="宋体"/>
          <w:color w:val="auto"/>
          <w:highlight w:val="none"/>
        </w:rPr>
        <w:fldChar w:fldCharType="separate"/>
      </w:r>
      <w:r>
        <w:rPr>
          <w:rStyle w:val="15"/>
          <w:rFonts w:hint="eastAsia" w:ascii="宋体" w:hAnsi="宋体" w:eastAsia="宋体" w:cs="宋体"/>
          <w:b/>
          <w:color w:val="auto"/>
          <w:highlight w:val="none"/>
        </w:rPr>
        <w:t>6、备查文件目录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_Toc491963090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7E53F51C">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"_Toc491963091"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6.1 备查文件目录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_Toc491963091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71251197">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"_Toc491963092"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6.2 存放地点</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_Toc491963092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722E3820">
      <w:pPr>
        <w:pStyle w:val="10"/>
        <w:tabs>
          <w:tab w:val="right" w:leader="dot" w:pos="8296"/>
        </w:tabs>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"_Toc491963093" </w:instrText>
      </w:r>
      <w:r>
        <w:rPr>
          <w:rFonts w:hint="eastAsia" w:ascii="宋体" w:hAnsi="宋体" w:eastAsia="宋体" w:cs="宋体"/>
          <w:color w:val="auto"/>
          <w:highlight w:val="none"/>
        </w:rPr>
        <w:fldChar w:fldCharType="separate"/>
      </w:r>
      <w:r>
        <w:rPr>
          <w:rStyle w:val="15"/>
          <w:rFonts w:hint="eastAsia" w:ascii="宋体" w:hAnsi="宋体" w:eastAsia="宋体" w:cs="宋体"/>
          <w:color w:val="auto"/>
          <w:kern w:val="0"/>
          <w:highlight w:val="none"/>
        </w:rPr>
        <w:t>6.3 查阅方式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_Toc491963093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A93C5D8">
      <w:pPr>
        <w:rPr>
          <w:rFonts w:hint="eastAsia" w:ascii="宋体" w:hAnsi="宋体" w:eastAsia="宋体" w:cs="宋体"/>
          <w:color w:val="auto"/>
          <w:highlight w:val="none"/>
        </w:rPr>
      </w:pPr>
      <w:r>
        <w:rPr>
          <w:rFonts w:hint="eastAsia" w:ascii="宋体" w:hAnsi="宋体" w:eastAsia="宋体" w:cs="宋体"/>
          <w:b/>
          <w:bCs/>
          <w:color w:val="auto"/>
          <w:highlight w:val="none"/>
          <w:lang w:val="zh-CN"/>
        </w:rPr>
        <w:fldChar w:fldCharType="end"/>
      </w:r>
    </w:p>
    <w:p w14:paraId="44F2C0ED">
      <w:pPr>
        <w:widowControl/>
        <w:jc w:val="left"/>
        <w:rPr>
          <w:rStyle w:val="25"/>
          <w:rFonts w:hint="eastAsia" w:ascii="宋体" w:hAnsi="宋体" w:eastAsia="宋体" w:cs="宋体"/>
          <w:color w:val="auto"/>
          <w:highlight w:val="none"/>
        </w:rPr>
        <w:sectPr>
          <w:headerReference r:id="rId5" w:type="default"/>
          <w:pgSz w:w="11906" w:h="16838"/>
          <w:pgMar w:top="1440" w:right="1800" w:bottom="1440" w:left="1800" w:header="851" w:footer="992" w:gutter="0"/>
          <w:pgNumType w:start="1"/>
          <w:cols w:space="720" w:num="1"/>
          <w:docGrid w:type="lines" w:linePitch="312" w:charSpace="0"/>
        </w:sectPr>
      </w:pPr>
      <w:bookmarkStart w:id="3" w:name="_Toc491963077"/>
    </w:p>
    <w:p w14:paraId="0405ABC6">
      <w:pPr>
        <w:pStyle w:val="2"/>
        <w:keepNext/>
        <w:keepLines/>
        <w:widowControl w:val="0"/>
        <w:spacing w:before="312" w:beforeLines="100" w:after="312" w:afterLines="100" w:line="360" w:lineRule="auto"/>
        <w:jc w:val="center"/>
        <w:rPr>
          <w:rStyle w:val="25"/>
          <w:rFonts w:hint="eastAsia" w:ascii="宋体" w:hAnsi="宋体" w:eastAsia="宋体" w:cs="宋体"/>
          <w:color w:val="auto"/>
          <w:highlight w:val="none"/>
        </w:rPr>
      </w:pPr>
      <w:r>
        <w:rPr>
          <w:rStyle w:val="25"/>
          <w:rFonts w:hint="eastAsia" w:ascii="宋体" w:hAnsi="宋体" w:eastAsia="宋体" w:cs="宋体"/>
          <w:color w:val="auto"/>
          <w:highlight w:val="none"/>
        </w:rPr>
        <w:t>1、重要提示</w:t>
      </w:r>
      <w:bookmarkEnd w:id="2"/>
      <w:bookmarkEnd w:id="3"/>
    </w:p>
    <w:p w14:paraId="2168FA62">
      <w:pPr>
        <w:pStyle w:val="3"/>
        <w:spacing w:before="0" w:after="0"/>
        <w:rPr>
          <w:rFonts w:hint="eastAsia" w:ascii="宋体" w:hAnsi="宋体" w:eastAsia="宋体" w:cs="宋体"/>
          <w:color w:val="auto"/>
          <w:kern w:val="0"/>
          <w:sz w:val="21"/>
          <w:szCs w:val="21"/>
          <w:highlight w:val="none"/>
        </w:rPr>
      </w:pPr>
      <w:bookmarkStart w:id="4" w:name="_Toc491963078"/>
      <w:bookmarkStart w:id="5" w:name="_Toc484607300"/>
      <w:bookmarkStart w:id="6" w:name="_Toc484769795"/>
      <w:bookmarkStart w:id="7" w:name="_Toc483396827"/>
      <w:r>
        <w:rPr>
          <w:rFonts w:hint="eastAsia" w:ascii="宋体" w:hAnsi="宋体" w:eastAsia="宋体" w:cs="宋体"/>
          <w:color w:val="auto"/>
          <w:kern w:val="0"/>
          <w:sz w:val="21"/>
          <w:szCs w:val="21"/>
          <w:highlight w:val="none"/>
        </w:rPr>
        <w:t>1.1 重要提示</w:t>
      </w:r>
      <w:bookmarkEnd w:id="4"/>
      <w:bookmarkEnd w:id="5"/>
      <w:bookmarkEnd w:id="6"/>
      <w:bookmarkEnd w:id="7"/>
    </w:p>
    <w:p w14:paraId="30D90E3F">
      <w:pPr>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博时富悦纯债债券型证券投资基金（以下简称“本基金”）经中国证券监督管理委员会（以下简称“中国证监会”）证监许可[2019]510号《关于准予博时富悦纯债债券型证券投资基金注册的批复》核准，由博时基金管理有限公司依照《中华人民共和国证券投资基金法》和《博时富悦纯债债券型证券投资基金基金合同》负责公开募集。本基金为契约型开放式，存续期限不定，首次设立募集不包括认购资金利息共募集人民币220,048,741.63元，业经普华永道中天会计师事务所（特殊普通合伙）普华永道中天验字（2019）第0705号验资报告予以验证。经向中国证监会备案，《博时富悦纯债债券型证券投资基金基金合同》于2019年11月28日正式生效，基金合同生效日的基金份额总额为220,048,804.26份基金份额，其中认购资金利息折合62.63份基金份额。本基金的基金管理人为博时基金管理有限公司，基金托管人为中国民生银行股份有限公司。</w:t>
      </w:r>
    </w:p>
    <w:p w14:paraId="5C7ACDFF">
      <w:pPr>
        <w:pStyle w:val="11"/>
        <w:spacing w:before="0" w:beforeAutospacing="0" w:after="0" w:afterAutospacing="0" w:line="360" w:lineRule="auto"/>
        <w:ind w:firstLine="42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根据《基金合同》“第五部分 基金备案”之“三、基金存续期内的基金份额持有人数量和资产规模”约定：  </w:t>
      </w:r>
    </w:p>
    <w:p w14:paraId="27AE72FD">
      <w:pPr>
        <w:pStyle w:val="11"/>
        <w:spacing w:before="0" w:beforeAutospacing="0" w:after="0" w:afterAutospacing="0" w:line="360" w:lineRule="auto"/>
        <w:ind w:firstLine="42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基金合同》生效后，连续20个工作日出现基金份额持有人数量不满200人或者基金资产净值低于5000万元情形的，基金管理人应当在定期报告中予以披露；连续60个工作日出现前述情形的，本基金将根据基金合同的约定进行基金财产清算并终止，而无需召开基金份额持有人大会。  </w:t>
      </w:r>
    </w:p>
    <w:p w14:paraId="18CBE42C">
      <w:pPr>
        <w:pStyle w:val="11"/>
        <w:spacing w:before="0" w:beforeAutospacing="0" w:after="0" w:afterAutospacing="0" w:line="360" w:lineRule="auto"/>
        <w:ind w:firstLine="42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法律法规或监管机构另有规定时，从其规定。”</w:t>
      </w:r>
    </w:p>
    <w:p w14:paraId="200CD6D7">
      <w:pPr>
        <w:pStyle w:val="11"/>
        <w:spacing w:before="0" w:beforeAutospacing="0" w:after="0" w:afterAutospacing="0" w:line="360" w:lineRule="auto"/>
        <w:ind w:firstLine="420"/>
        <w:rPr>
          <w:rFonts w:hint="eastAsia" w:ascii="宋体" w:hAnsi="宋体" w:eastAsia="宋体" w:cs="宋体"/>
          <w:color w:val="auto"/>
          <w:highlight w:val="none"/>
        </w:rPr>
      </w:pPr>
      <w:r>
        <w:rPr>
          <w:rFonts w:hint="eastAsia" w:ascii="宋体" w:hAnsi="宋体" w:eastAsia="宋体" w:cs="宋体"/>
          <w:sz w:val="21"/>
          <w:szCs w:val="21"/>
        </w:rPr>
        <w:t>截至2026年7月27日，本基金出现连续六十个工作日基金资产净值低于五千万元的情形，已触发《基金合同》中约定的基金终止条款。根据《基金合同》有关约定，博时基金管理有限公司应依据基金财产清算程序对本基金进行财产清算并终止基金合同，且无需召开基金份额持有人大会。</w:t>
      </w:r>
      <w:r>
        <w:rPr>
          <w:rFonts w:hint="eastAsia" w:ascii="宋体" w:hAnsi="宋体" w:eastAsia="宋体" w:cs="宋体"/>
          <w:color w:val="auto"/>
          <w:kern w:val="2"/>
          <w:sz w:val="21"/>
          <w:szCs w:val="21"/>
          <w:highlight w:val="none"/>
          <w:lang w:val="en-US" w:eastAsia="zh-CN" w:bidi="ar-SA"/>
        </w:rPr>
        <w:t xml:space="preserve"> </w:t>
      </w:r>
    </w:p>
    <w:p w14:paraId="04ABBA60">
      <w:pPr>
        <w:pStyle w:val="11"/>
        <w:spacing w:before="0" w:beforeAutospacing="0" w:after="0" w:afterAutospacing="0"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 xml:space="preserve">本基金的最后运作日为2026年7月27日，自2026年7月28日起，本基金进入清算程序，由本基金管理人博时基金管理有限公司、基金托管人中国民生银行股份有限公司、安永华明会计师事务所（特殊普通合伙）和上海源泰律师事务所组成基金财产清算小组履行基金财产清算程序，并由安永华明会计师事务所（特殊普通合伙）对本基金进行清算审计，上海源泰律师事务所对清算报告出具法律意见。本基金进入清算程序后，不再开放办理申购、赎回、定投、基金转换业务等业务，并停止收取基金管理费、基金托管费及C类基金份额的销售服务费。 </w:t>
      </w:r>
    </w:p>
    <w:p w14:paraId="598AB26E">
      <w:pPr>
        <w:pStyle w:val="2"/>
        <w:keepNext/>
        <w:keepLines/>
        <w:widowControl w:val="0"/>
        <w:spacing w:before="312" w:beforeLines="100" w:after="312" w:afterLines="100" w:line="360" w:lineRule="auto"/>
        <w:jc w:val="center"/>
        <w:rPr>
          <w:rStyle w:val="25"/>
          <w:rFonts w:hint="eastAsia" w:ascii="宋体" w:hAnsi="宋体" w:eastAsia="宋体" w:cs="宋体"/>
          <w:color w:val="auto"/>
          <w:highlight w:val="none"/>
        </w:rPr>
      </w:pPr>
      <w:bookmarkStart w:id="8" w:name="_Toc484769796"/>
      <w:bookmarkStart w:id="9" w:name="_Toc491963079"/>
      <w:r>
        <w:rPr>
          <w:rStyle w:val="25"/>
          <w:rFonts w:hint="eastAsia" w:ascii="宋体" w:hAnsi="宋体" w:eastAsia="宋体" w:cs="宋体"/>
          <w:color w:val="auto"/>
          <w:highlight w:val="none"/>
        </w:rPr>
        <w:t>2、基金概况</w:t>
      </w:r>
      <w:bookmarkEnd w:id="8"/>
      <w:bookmarkEnd w:id="9"/>
    </w:p>
    <w:p w14:paraId="7545ACB2">
      <w:pPr>
        <w:pStyle w:val="3"/>
        <w:spacing w:before="0" w:after="0"/>
        <w:rPr>
          <w:rFonts w:hint="eastAsia" w:ascii="宋体" w:hAnsi="宋体" w:eastAsia="宋体" w:cs="宋体"/>
          <w:color w:val="auto"/>
          <w:kern w:val="0"/>
          <w:sz w:val="21"/>
          <w:szCs w:val="21"/>
          <w:highlight w:val="none"/>
        </w:rPr>
      </w:pPr>
      <w:bookmarkStart w:id="10" w:name="_Toc409100407"/>
      <w:bookmarkStart w:id="11" w:name="_Toc484607302"/>
      <w:bookmarkStart w:id="12" w:name="_Toc361324845"/>
      <w:bookmarkStart w:id="13" w:name="_Toc483396829"/>
      <w:bookmarkStart w:id="14" w:name="_Toc484769797"/>
      <w:bookmarkStart w:id="15" w:name="_Toc409100044"/>
      <w:bookmarkStart w:id="16" w:name="_Toc491963080"/>
      <w:bookmarkStart w:id="17" w:name="_Toc476577246"/>
      <w:r>
        <w:rPr>
          <w:rFonts w:hint="eastAsia" w:ascii="宋体" w:hAnsi="宋体" w:eastAsia="宋体" w:cs="宋体"/>
          <w:color w:val="auto"/>
          <w:kern w:val="0"/>
          <w:sz w:val="21"/>
          <w:szCs w:val="21"/>
          <w:highlight w:val="none"/>
        </w:rPr>
        <w:t>2.1 基金基本情况</w:t>
      </w:r>
      <w:bookmarkEnd w:id="10"/>
      <w:bookmarkEnd w:id="11"/>
      <w:bookmarkEnd w:id="12"/>
      <w:bookmarkEnd w:id="13"/>
      <w:bookmarkEnd w:id="14"/>
      <w:bookmarkEnd w:id="15"/>
      <w:bookmarkEnd w:id="16"/>
      <w:bookmarkEnd w:id="17"/>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2"/>
        <w:gridCol w:w="2838"/>
        <w:gridCol w:w="3080"/>
      </w:tblGrid>
      <w:tr w14:paraId="0AD8C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50F3E236">
            <w:pPr>
              <w:adjustRightInd w:val="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基金简称</w:t>
            </w:r>
          </w:p>
        </w:tc>
        <w:tc>
          <w:tcPr>
            <w:tcW w:w="5918" w:type="dxa"/>
            <w:gridSpan w:val="2"/>
            <w:noWrap w:val="0"/>
            <w:vAlign w:val="center"/>
          </w:tcPr>
          <w:p w14:paraId="1B28EC38">
            <w:pPr>
              <w:adjustRightInd w:val="0"/>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博时富悦纯债</w:t>
            </w:r>
          </w:p>
        </w:tc>
      </w:tr>
      <w:tr w14:paraId="2188A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750B7B71">
            <w:pPr>
              <w:adjustRightInd w:val="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基金全称</w:t>
            </w:r>
          </w:p>
        </w:tc>
        <w:tc>
          <w:tcPr>
            <w:tcW w:w="5918" w:type="dxa"/>
            <w:gridSpan w:val="2"/>
            <w:noWrap w:val="0"/>
            <w:vAlign w:val="center"/>
          </w:tcPr>
          <w:p w14:paraId="113599BA">
            <w:pPr>
              <w:adjustRightInd w:val="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博时富悦纯债债券型证券投资基金</w:t>
            </w:r>
          </w:p>
        </w:tc>
      </w:tr>
      <w:tr w14:paraId="69E78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492EFEFC">
            <w:pPr>
              <w:adjustRightInd w:val="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基金主代码</w:t>
            </w:r>
          </w:p>
        </w:tc>
        <w:tc>
          <w:tcPr>
            <w:tcW w:w="5918" w:type="dxa"/>
            <w:gridSpan w:val="2"/>
            <w:tcBorders>
              <w:bottom w:val="single" w:color="auto" w:sz="4" w:space="0"/>
            </w:tcBorders>
            <w:noWrap w:val="0"/>
            <w:vAlign w:val="center"/>
          </w:tcPr>
          <w:p w14:paraId="494ACE31">
            <w:pPr>
              <w:adjustRightInd w:val="0"/>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007985</w:t>
            </w:r>
          </w:p>
        </w:tc>
      </w:tr>
      <w:tr w14:paraId="4D0D6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3B778DAF">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基金运作方式</w:t>
            </w:r>
          </w:p>
        </w:tc>
        <w:tc>
          <w:tcPr>
            <w:tcW w:w="5918" w:type="dxa"/>
            <w:gridSpan w:val="2"/>
            <w:tcBorders>
              <w:top w:val="single" w:color="auto" w:sz="4" w:space="0"/>
            </w:tcBorders>
            <w:noWrap w:val="0"/>
            <w:vAlign w:val="center"/>
          </w:tcPr>
          <w:p w14:paraId="40ECF941">
            <w:pPr>
              <w:adjustRightInd w:val="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契约型开放式</w:t>
            </w:r>
          </w:p>
        </w:tc>
      </w:tr>
      <w:tr w14:paraId="6C4D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52F476DD">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基金合同生效日</w:t>
            </w:r>
          </w:p>
        </w:tc>
        <w:tc>
          <w:tcPr>
            <w:tcW w:w="5918" w:type="dxa"/>
            <w:gridSpan w:val="2"/>
            <w:noWrap w:val="0"/>
            <w:vAlign w:val="center"/>
          </w:tcPr>
          <w:p w14:paraId="3EEAA4A5">
            <w:pPr>
              <w:adjustRightInd w:val="0"/>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2019年11月28日</w:t>
            </w:r>
          </w:p>
        </w:tc>
      </w:tr>
      <w:tr w14:paraId="55397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7E2F3A09">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报告期末（</w:t>
            </w:r>
            <w:r>
              <w:rPr>
                <w:rFonts w:hint="eastAsia" w:ascii="宋体" w:hAnsi="宋体" w:eastAsia="宋体" w:cs="宋体"/>
                <w:color w:val="auto"/>
                <w:u w:val="none"/>
              </w:rPr>
              <w:t>2026年8月5日）</w:t>
            </w:r>
            <w:r>
              <w:rPr>
                <w:rFonts w:hint="eastAsia" w:ascii="宋体" w:hAnsi="宋体" w:eastAsia="宋体" w:cs="宋体"/>
                <w:color w:val="auto"/>
                <w:kern w:val="0"/>
                <w:szCs w:val="21"/>
                <w:highlight w:val="none"/>
              </w:rPr>
              <w:t>基金份额总额</w:t>
            </w:r>
          </w:p>
        </w:tc>
        <w:tc>
          <w:tcPr>
            <w:tcW w:w="5918" w:type="dxa"/>
            <w:gridSpan w:val="2"/>
            <w:noWrap w:val="0"/>
            <w:vAlign w:val="center"/>
          </w:tcPr>
          <w:p w14:paraId="2C34A924">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val="en-US" w:eastAsia="zh-CN"/>
              </w:rPr>
              <w:t>3,368,462.27</w:t>
            </w:r>
            <w:r>
              <w:rPr>
                <w:rFonts w:hint="eastAsia" w:ascii="宋体" w:hAnsi="宋体" w:eastAsia="宋体" w:cs="宋体"/>
                <w:color w:val="auto"/>
                <w:kern w:val="0"/>
                <w:szCs w:val="21"/>
                <w:highlight w:val="none"/>
              </w:rPr>
              <w:t>份</w:t>
            </w:r>
          </w:p>
        </w:tc>
      </w:tr>
      <w:tr w14:paraId="19029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5EE18C06">
            <w:pPr>
              <w:adjustRightInd w:val="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基金合同存续期</w:t>
            </w:r>
          </w:p>
        </w:tc>
        <w:tc>
          <w:tcPr>
            <w:tcW w:w="5918" w:type="dxa"/>
            <w:gridSpan w:val="2"/>
            <w:noWrap w:val="0"/>
            <w:vAlign w:val="center"/>
          </w:tcPr>
          <w:p w14:paraId="46ADD716">
            <w:pPr>
              <w:adjustRightInd w:val="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不定期</w:t>
            </w:r>
          </w:p>
        </w:tc>
      </w:tr>
      <w:tr w14:paraId="13699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4C8AB014">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基金管理人</w:t>
            </w:r>
          </w:p>
        </w:tc>
        <w:tc>
          <w:tcPr>
            <w:tcW w:w="5918" w:type="dxa"/>
            <w:gridSpan w:val="2"/>
            <w:noWrap w:val="0"/>
            <w:vAlign w:val="center"/>
          </w:tcPr>
          <w:p w14:paraId="756BECC1">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博时基金管理有限公司</w:t>
            </w:r>
          </w:p>
        </w:tc>
      </w:tr>
      <w:tr w14:paraId="48FC3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7111ABCF">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基金托管人</w:t>
            </w:r>
          </w:p>
        </w:tc>
        <w:tc>
          <w:tcPr>
            <w:tcW w:w="5918" w:type="dxa"/>
            <w:gridSpan w:val="2"/>
            <w:noWrap w:val="0"/>
            <w:vAlign w:val="center"/>
          </w:tcPr>
          <w:p w14:paraId="6CAB8124">
            <w:pPr>
              <w:adjustRightIn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中国民生银行股份有限公司</w:t>
            </w:r>
          </w:p>
        </w:tc>
      </w:tr>
      <w:tr w14:paraId="52035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59FC681C">
            <w:pPr>
              <w:adjustRightInd w:val="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下属分级基金的基金简称</w:t>
            </w:r>
          </w:p>
        </w:tc>
        <w:tc>
          <w:tcPr>
            <w:tcW w:w="2838" w:type="dxa"/>
            <w:noWrap w:val="0"/>
            <w:vAlign w:val="center"/>
          </w:tcPr>
          <w:p w14:paraId="2F0E286F">
            <w:pPr>
              <w:rPr>
                <w:rFonts w:hint="eastAsia" w:ascii="宋体" w:hAnsi="宋体" w:eastAsia="宋体" w:cs="宋体"/>
                <w:color w:val="auto"/>
                <w:szCs w:val="21"/>
                <w:highlight w:val="none"/>
                <w:lang w:val="en-US" w:eastAsia="zh-CN"/>
              </w:rPr>
            </w:pPr>
            <w:r>
              <w:rPr>
                <w:rFonts w:hint="eastAsia" w:ascii="宋体" w:hAnsi="宋体" w:eastAsia="宋体" w:cs="宋体"/>
                <w:color w:val="auto"/>
                <w:kern w:val="0"/>
                <w:szCs w:val="21"/>
                <w:highlight w:val="none"/>
              </w:rPr>
              <w:t>博时富悦纯债A</w:t>
            </w:r>
          </w:p>
        </w:tc>
        <w:tc>
          <w:tcPr>
            <w:tcW w:w="3080" w:type="dxa"/>
            <w:noWrap w:val="0"/>
            <w:vAlign w:val="center"/>
          </w:tcPr>
          <w:p w14:paraId="3570C541">
            <w:pP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rPr>
              <w:t>博时富悦纯债</w:t>
            </w:r>
            <w:r>
              <w:rPr>
                <w:rFonts w:hint="eastAsia" w:ascii="宋体" w:hAnsi="宋体" w:eastAsia="宋体" w:cs="宋体"/>
                <w:color w:val="auto"/>
                <w:kern w:val="0"/>
                <w:szCs w:val="21"/>
                <w:highlight w:val="none"/>
                <w:lang w:val="en-US" w:eastAsia="zh-CN"/>
              </w:rPr>
              <w:t>C</w:t>
            </w:r>
          </w:p>
        </w:tc>
      </w:tr>
      <w:tr w14:paraId="5E7E7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7E1A2D7F">
            <w:pPr>
              <w:rPr>
                <w:rFonts w:hint="eastAsia" w:ascii="宋体" w:hAnsi="宋体" w:eastAsia="宋体" w:cs="宋体"/>
                <w:color w:val="auto"/>
                <w:highlight w:val="none"/>
              </w:rPr>
            </w:pPr>
            <w:r>
              <w:rPr>
                <w:rFonts w:hint="eastAsia" w:ascii="宋体" w:hAnsi="宋体" w:eastAsia="宋体" w:cs="宋体"/>
                <w:color w:val="auto"/>
                <w:highlight w:val="none"/>
              </w:rPr>
              <w:t>下属分级基金的交易代码</w:t>
            </w:r>
          </w:p>
        </w:tc>
        <w:tc>
          <w:tcPr>
            <w:tcW w:w="2838" w:type="dxa"/>
            <w:noWrap w:val="0"/>
            <w:vAlign w:val="center"/>
          </w:tcPr>
          <w:p w14:paraId="3A293BBC">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007985</w:t>
            </w:r>
          </w:p>
        </w:tc>
        <w:tc>
          <w:tcPr>
            <w:tcW w:w="3080" w:type="dxa"/>
            <w:noWrap w:val="0"/>
            <w:vAlign w:val="center"/>
          </w:tcPr>
          <w:p w14:paraId="75ADDABE">
            <w:pPr>
              <w:rPr>
                <w:rFonts w:hint="eastAsia" w:ascii="宋体" w:hAnsi="宋体" w:eastAsia="宋体" w:cs="宋体"/>
                <w:color w:val="auto"/>
                <w:highlight w:val="none"/>
              </w:rPr>
            </w:pPr>
            <w:r>
              <w:rPr>
                <w:rFonts w:hint="eastAsia" w:ascii="宋体" w:hAnsi="宋体" w:eastAsia="宋体" w:cs="宋体"/>
                <w:color w:val="auto"/>
                <w:highlight w:val="none"/>
              </w:rPr>
              <w:t>017910</w:t>
            </w:r>
          </w:p>
        </w:tc>
      </w:tr>
      <w:tr w14:paraId="10D04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noWrap w:val="0"/>
            <w:vAlign w:val="center"/>
          </w:tcPr>
          <w:p w14:paraId="3EA32E5F">
            <w:pPr>
              <w:adjustRightIn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报告期末下属分级基金的份额总额</w:t>
            </w:r>
          </w:p>
        </w:tc>
        <w:tc>
          <w:tcPr>
            <w:tcW w:w="2838" w:type="dxa"/>
            <w:noWrap w:val="0"/>
            <w:vAlign w:val="center"/>
          </w:tcPr>
          <w:p w14:paraId="1FA7D428">
            <w:pP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val="en-US" w:eastAsia="zh-CN"/>
              </w:rPr>
              <w:t>3,340,805.85</w:t>
            </w:r>
            <w:r>
              <w:rPr>
                <w:rFonts w:hint="eastAsia" w:ascii="宋体" w:hAnsi="宋体" w:eastAsia="宋体" w:cs="宋体"/>
                <w:color w:val="auto"/>
                <w:kern w:val="0"/>
                <w:szCs w:val="21"/>
                <w:highlight w:val="none"/>
              </w:rPr>
              <w:t>份</w:t>
            </w:r>
          </w:p>
        </w:tc>
        <w:tc>
          <w:tcPr>
            <w:tcW w:w="3080" w:type="dxa"/>
            <w:noWrap w:val="0"/>
            <w:vAlign w:val="center"/>
          </w:tcPr>
          <w:p w14:paraId="55CAADA5">
            <w:pP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val="en-US" w:eastAsia="zh-CN"/>
              </w:rPr>
              <w:t>27,656.42</w:t>
            </w:r>
            <w:r>
              <w:rPr>
                <w:rFonts w:hint="eastAsia" w:ascii="宋体" w:hAnsi="宋体" w:eastAsia="宋体" w:cs="宋体"/>
                <w:color w:val="auto"/>
                <w:kern w:val="0"/>
                <w:szCs w:val="21"/>
                <w:highlight w:val="none"/>
              </w:rPr>
              <w:t>份</w:t>
            </w:r>
          </w:p>
        </w:tc>
      </w:tr>
    </w:tbl>
    <w:p w14:paraId="487BA052">
      <w:pPr>
        <w:pStyle w:val="26"/>
        <w:rPr>
          <w:rFonts w:hint="eastAsia" w:ascii="宋体" w:hAnsi="宋体" w:eastAsia="宋体" w:cs="宋体"/>
          <w:color w:val="auto"/>
          <w:sz w:val="21"/>
          <w:szCs w:val="21"/>
          <w:highlight w:val="none"/>
        </w:rPr>
      </w:pPr>
      <w:bookmarkStart w:id="18" w:name="_Toc390421230"/>
      <w:bookmarkStart w:id="19" w:name="_Toc482092221"/>
      <w:bookmarkStart w:id="20" w:name="_Toc491184118"/>
      <w:bookmarkStart w:id="21" w:name="_Toc491963081"/>
      <w:r>
        <w:rPr>
          <w:rFonts w:hint="eastAsia" w:ascii="宋体" w:hAnsi="宋体" w:eastAsia="宋体" w:cs="宋体"/>
          <w:color w:val="auto"/>
          <w:sz w:val="21"/>
          <w:szCs w:val="21"/>
          <w:highlight w:val="none"/>
        </w:rPr>
        <w:t>2.2 基金产品说明</w:t>
      </w:r>
      <w:bookmarkEnd w:id="18"/>
      <w:bookmarkEnd w:id="19"/>
      <w:bookmarkEnd w:id="20"/>
      <w:bookmarkEnd w:id="21"/>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3"/>
        <w:gridCol w:w="6149"/>
      </w:tblGrid>
      <w:tr w14:paraId="2C427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373" w:type="dxa"/>
            <w:noWrap w:val="0"/>
            <w:vAlign w:val="center"/>
          </w:tcPr>
          <w:p w14:paraId="174166ED">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投资目标</w:t>
            </w:r>
          </w:p>
        </w:tc>
        <w:tc>
          <w:tcPr>
            <w:tcW w:w="6149" w:type="dxa"/>
            <w:noWrap w:val="0"/>
            <w:vAlign w:val="center"/>
          </w:tcPr>
          <w:p w14:paraId="1E997969">
            <w:pPr>
              <w:adjustRightInd w:val="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在一定程度上控制投资组合风险的前提下，力争长期内实现超越业绩比较基准的投资回报。</w:t>
            </w:r>
          </w:p>
        </w:tc>
      </w:tr>
      <w:tr w14:paraId="0D223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373" w:type="dxa"/>
            <w:noWrap w:val="0"/>
            <w:vAlign w:val="center"/>
          </w:tcPr>
          <w:p w14:paraId="091A92C7">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投资策略</w:t>
            </w:r>
          </w:p>
        </w:tc>
        <w:tc>
          <w:tcPr>
            <w:tcW w:w="6149" w:type="dxa"/>
            <w:noWrap w:val="0"/>
            <w:vAlign w:val="center"/>
          </w:tcPr>
          <w:p w14:paraId="3909F5AE">
            <w:pPr>
              <w:adjustRightInd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val="en-US" w:eastAsia="zh-CN"/>
              </w:rPr>
              <w:t>本基金通过自上而下和自下而上相结合、定性分析和定量分析相补充的方法，确定资产在固定收益类证券之间的配置比例。在以上战略性资产配置的基础上，本基金通过自上而下和自下而上相结合、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固定收益类证券之间的配置比例。</w:t>
            </w:r>
          </w:p>
        </w:tc>
      </w:tr>
      <w:tr w14:paraId="722C7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373" w:type="dxa"/>
            <w:noWrap w:val="0"/>
            <w:vAlign w:val="center"/>
          </w:tcPr>
          <w:p w14:paraId="23BAE171">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业绩比较基准</w:t>
            </w:r>
          </w:p>
        </w:tc>
        <w:tc>
          <w:tcPr>
            <w:tcW w:w="6149" w:type="dxa"/>
            <w:noWrap w:val="0"/>
            <w:vAlign w:val="center"/>
          </w:tcPr>
          <w:p w14:paraId="029A72E3">
            <w:pPr>
              <w:adjustRightInd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lang w:val="en-US" w:eastAsia="zh-CN"/>
              </w:rPr>
              <w:t>中债综合财富（总值）指数收益率×90%+1年期定期存款利率（税后）×10%</w:t>
            </w:r>
          </w:p>
        </w:tc>
      </w:tr>
      <w:tr w14:paraId="48039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373" w:type="dxa"/>
            <w:noWrap w:val="0"/>
            <w:vAlign w:val="center"/>
          </w:tcPr>
          <w:p w14:paraId="70A37A0D">
            <w:pPr>
              <w:adjustRightInd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风险收益特征</w:t>
            </w:r>
          </w:p>
        </w:tc>
        <w:tc>
          <w:tcPr>
            <w:tcW w:w="6149" w:type="dxa"/>
            <w:noWrap w:val="0"/>
            <w:vAlign w:val="center"/>
          </w:tcPr>
          <w:p w14:paraId="5BF24C26">
            <w:pPr>
              <w:adjustRightInd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本基金为债券型基金，预期收益和预期风险高于货币市场基金，但低于混合型基金、股票型基金，属于中低风险/收益的产品。</w:t>
            </w:r>
          </w:p>
        </w:tc>
      </w:tr>
    </w:tbl>
    <w:p w14:paraId="21684D93">
      <w:pPr>
        <w:pStyle w:val="2"/>
        <w:keepNext/>
        <w:keepLines/>
        <w:widowControl w:val="0"/>
        <w:spacing w:before="312" w:beforeLines="100" w:after="312" w:afterLines="100" w:line="360" w:lineRule="auto"/>
        <w:jc w:val="center"/>
        <w:rPr>
          <w:rStyle w:val="25"/>
          <w:rFonts w:hint="eastAsia" w:ascii="宋体" w:hAnsi="宋体" w:eastAsia="宋体" w:cs="宋体"/>
          <w:b w:val="0"/>
          <w:color w:val="auto"/>
          <w:highlight w:val="none"/>
        </w:rPr>
      </w:pPr>
      <w:bookmarkStart w:id="22" w:name="_Toc225498250"/>
      <w:bookmarkStart w:id="23" w:name="_Toc361324850"/>
      <w:bookmarkStart w:id="24" w:name="_Toc409100412"/>
      <w:bookmarkStart w:id="25" w:name="_Toc409100049"/>
      <w:bookmarkStart w:id="26" w:name="_Toc484769799"/>
      <w:bookmarkStart w:id="27" w:name="_Toc491963082"/>
      <w:r>
        <w:rPr>
          <w:rStyle w:val="25"/>
          <w:rFonts w:hint="eastAsia" w:ascii="宋体" w:hAnsi="宋体" w:eastAsia="宋体" w:cs="宋体"/>
          <w:color w:val="auto"/>
          <w:highlight w:val="none"/>
        </w:rPr>
        <w:t>3</w:t>
      </w:r>
      <w:bookmarkEnd w:id="22"/>
      <w:bookmarkEnd w:id="23"/>
      <w:bookmarkEnd w:id="24"/>
      <w:bookmarkEnd w:id="25"/>
      <w:r>
        <w:rPr>
          <w:rStyle w:val="25"/>
          <w:rFonts w:hint="eastAsia" w:ascii="宋体" w:hAnsi="宋体" w:eastAsia="宋体" w:cs="宋体"/>
          <w:color w:val="auto"/>
          <w:highlight w:val="none"/>
        </w:rPr>
        <w:t>、基金运作情况说明</w:t>
      </w:r>
      <w:bookmarkEnd w:id="26"/>
      <w:bookmarkEnd w:id="27"/>
    </w:p>
    <w:p w14:paraId="03C15997">
      <w:pPr>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基金经中国证监会证监许可[2019]510号《关于准予博时富悦纯债债券型证券投资基金注册的批复》核准，由博时基金管理有限公司依照《中华人民共和国证券投资基金法》和《博时富悦纯债债券型证券投资基金基金合同》负责公开募集。本基金为契约型开放式，存续期限不定，首次设立募集不包括认购资金利息共募集人民币220,048,741.63元，业经普华永道中天会计师事务所（特殊普通合伙）普华永道中天验字（2019）第0705号验资报告予以验证。经向中国证监会备案，《博时富悦纯债债券型证券投资基金基金合同》于2019年11月28日正式生效，基金合同生效日的基金份额总额为220,048,804.26份基金份额，其中认购资金利息折合62.63份基金份额。本基金的基金管理人为博时基金管理有限公司，基金托管人为中国民生银行股份有限公司。</w:t>
      </w:r>
    </w:p>
    <w:p w14:paraId="3F464FB4">
      <w:pPr>
        <w:pStyle w:val="28"/>
        <w:rPr>
          <w:rFonts w:hint="eastAsia" w:ascii="宋体" w:hAnsi="宋体" w:eastAsia="宋体" w:cs="宋体"/>
          <w:color w:val="auto"/>
          <w:highlight w:val="none"/>
        </w:rPr>
      </w:pPr>
      <w:r>
        <w:rPr>
          <w:rFonts w:hint="eastAsia" w:ascii="宋体" w:hAnsi="宋体" w:eastAsia="宋体" w:cs="宋体"/>
          <w:color w:val="auto"/>
          <w:highlight w:val="none"/>
        </w:rPr>
        <w:t>自</w:t>
      </w:r>
      <w:r>
        <w:rPr>
          <w:rFonts w:hint="eastAsia" w:ascii="宋体" w:hAnsi="宋体" w:eastAsia="宋体" w:cs="宋体"/>
          <w:color w:val="auto"/>
          <w:highlight w:val="none"/>
          <w:lang w:val="en-US" w:eastAsia="zh-CN"/>
        </w:rPr>
        <w:t>2019年11月28日</w:t>
      </w:r>
      <w:r>
        <w:rPr>
          <w:rFonts w:hint="eastAsia" w:ascii="宋体" w:hAnsi="宋体" w:eastAsia="宋体" w:cs="宋体"/>
          <w:color w:val="auto"/>
          <w:highlight w:val="none"/>
        </w:rPr>
        <w:t>至</w:t>
      </w:r>
      <w:r>
        <w:rPr>
          <w:rFonts w:hint="eastAsia" w:ascii="宋体" w:hAnsi="宋体" w:eastAsia="宋体" w:cs="宋体"/>
          <w:color w:val="auto"/>
          <w:highlight w:val="none"/>
          <w:lang w:val="en-US" w:eastAsia="zh-CN"/>
        </w:rPr>
        <w:t>2026年7月27日</w:t>
      </w:r>
      <w:r>
        <w:rPr>
          <w:rFonts w:hint="eastAsia" w:ascii="宋体" w:hAnsi="宋体" w:eastAsia="宋体" w:cs="宋体"/>
          <w:color w:val="auto"/>
          <w:highlight w:val="none"/>
        </w:rPr>
        <w:t>期间，本基金按基金合同正常运作。</w:t>
      </w:r>
    </w:p>
    <w:p w14:paraId="37C4AEF4">
      <w:pPr>
        <w:pStyle w:val="11"/>
        <w:spacing w:before="0" w:beforeAutospacing="0" w:after="0" w:afterAutospacing="0" w:line="360" w:lineRule="auto"/>
        <w:ind w:firstLine="42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根据《博时富悦纯债债券型证券投资基金基金合同》以及基金管理人博时基金管理有限公司于2026年7月28日发布的《博时基金管理有限公司关于博时富悦纯债债券型证券投资基金基金合同终止及基金财产清算的公告》，截至2026年7月27日，本基金出现连续六十个工作日基金资产净值低于五千万元的情形，已触发《基金合同》中约定的基金终止条款。根据《基金合同》有关约定，博时基金管理有限公司应依据基金财产清算程序对本基金进行财产清算并终止基金合同，且无需召开基金份额持有人大会。 </w:t>
      </w:r>
    </w:p>
    <w:p w14:paraId="3C7D9025">
      <w:pPr>
        <w:pStyle w:val="2"/>
        <w:keepNext/>
        <w:keepLines/>
        <w:widowControl w:val="0"/>
        <w:spacing w:before="312" w:beforeLines="100" w:after="312" w:afterLines="100" w:line="360" w:lineRule="auto"/>
        <w:jc w:val="center"/>
        <w:rPr>
          <w:rStyle w:val="25"/>
          <w:rFonts w:hint="eastAsia" w:ascii="宋体" w:hAnsi="宋体" w:eastAsia="宋体" w:cs="宋体"/>
          <w:color w:val="auto"/>
          <w:highlight w:val="none"/>
        </w:rPr>
      </w:pPr>
      <w:bookmarkStart w:id="28" w:name="_Toc484769805"/>
      <w:bookmarkStart w:id="29" w:name="_Toc491963083"/>
      <w:r>
        <w:rPr>
          <w:rStyle w:val="25"/>
          <w:rFonts w:hint="eastAsia" w:ascii="宋体" w:hAnsi="宋体" w:eastAsia="宋体" w:cs="宋体"/>
          <w:color w:val="auto"/>
          <w:highlight w:val="none"/>
        </w:rPr>
        <w:t>4、财务报告</w:t>
      </w:r>
      <w:bookmarkEnd w:id="28"/>
      <w:bookmarkEnd w:id="29"/>
    </w:p>
    <w:p w14:paraId="50C03ED2">
      <w:pPr>
        <w:pStyle w:val="3"/>
        <w:spacing w:before="0" w:after="0"/>
        <w:rPr>
          <w:rFonts w:hint="eastAsia" w:ascii="宋体" w:hAnsi="宋体" w:eastAsia="宋体" w:cs="宋体"/>
          <w:color w:val="auto"/>
          <w:kern w:val="0"/>
          <w:sz w:val="21"/>
          <w:szCs w:val="21"/>
          <w:highlight w:val="none"/>
        </w:rPr>
      </w:pPr>
      <w:bookmarkStart w:id="30" w:name="_Toc491963084"/>
      <w:bookmarkStart w:id="31" w:name="_Toc409100437"/>
      <w:bookmarkStart w:id="32" w:name="_Toc361324873"/>
      <w:bookmarkStart w:id="33" w:name="_Toc476577275"/>
      <w:bookmarkStart w:id="34" w:name="_Toc484769806"/>
      <w:bookmarkStart w:id="35" w:name="_Toc225498268"/>
      <w:bookmarkStart w:id="36" w:name="_Toc484607311"/>
      <w:bookmarkStart w:id="37" w:name="_Toc483396838"/>
      <w:bookmarkStart w:id="38" w:name="_Toc409100074"/>
      <w:r>
        <w:rPr>
          <w:rFonts w:hint="eastAsia" w:ascii="宋体" w:hAnsi="宋体" w:eastAsia="宋体" w:cs="宋体"/>
          <w:color w:val="auto"/>
          <w:kern w:val="0"/>
          <w:sz w:val="21"/>
          <w:szCs w:val="21"/>
          <w:highlight w:val="none"/>
        </w:rPr>
        <w:t>4.1 资产负债表</w:t>
      </w:r>
      <w:bookmarkEnd w:id="30"/>
      <w:bookmarkEnd w:id="31"/>
      <w:bookmarkEnd w:id="32"/>
      <w:bookmarkEnd w:id="33"/>
      <w:bookmarkEnd w:id="34"/>
      <w:bookmarkEnd w:id="35"/>
      <w:bookmarkEnd w:id="36"/>
      <w:bookmarkEnd w:id="37"/>
      <w:bookmarkEnd w:id="38"/>
      <w:r>
        <w:rPr>
          <w:rFonts w:hint="eastAsia" w:ascii="宋体" w:hAnsi="宋体" w:eastAsia="宋体" w:cs="宋体"/>
          <w:color w:val="auto"/>
          <w:kern w:val="0"/>
          <w:sz w:val="21"/>
          <w:szCs w:val="21"/>
          <w:highlight w:val="none"/>
        </w:rPr>
        <w:t>(已经审计)</w:t>
      </w:r>
    </w:p>
    <w:p w14:paraId="6E016FA3">
      <w:pPr>
        <w:autoSpaceDE w:val="0"/>
        <w:autoSpaceDN w:val="0"/>
        <w:adjustRightInd w:val="0"/>
        <w:spacing w:before="29" w:line="360" w:lineRule="auto"/>
        <w:ind w:left="15"/>
        <w:jc w:val="righ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单位：人民币元</w:t>
      </w:r>
    </w:p>
    <w:tbl>
      <w:tblPr>
        <w:tblStyle w:val="13"/>
        <w:tblpPr w:leftFromText="180" w:rightFromText="180" w:vertAnchor="text" w:horzAnchor="page" w:tblpX="1913" w:tblpY="446"/>
        <w:tblOverlap w:val="never"/>
        <w:tblW w:w="86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35"/>
        <w:gridCol w:w="4335"/>
      </w:tblGrid>
      <w:tr w14:paraId="3B94B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0E03744C">
            <w:pPr>
              <w:spacing w:before="100" w:beforeAutospacing="1" w:after="100" w:afterAutospacing="1"/>
              <w:jc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bCs/>
                <w:color w:val="000000"/>
                <w:sz w:val="21"/>
                <w:szCs w:val="21"/>
                <w:highlight w:val="none"/>
              </w:rPr>
              <w:t>资产</w:t>
            </w:r>
          </w:p>
        </w:tc>
        <w:tc>
          <w:tcPr>
            <w:tcW w:w="4335" w:type="dxa"/>
            <w:tcBorders>
              <w:top w:val="single" w:color="auto" w:sz="4" w:space="0"/>
              <w:left w:val="single" w:color="auto" w:sz="4" w:space="0"/>
              <w:bottom w:val="single" w:color="auto" w:sz="4" w:space="0"/>
              <w:right w:val="single" w:color="auto" w:sz="4" w:space="0"/>
            </w:tcBorders>
            <w:noWrap/>
            <w:vAlign w:val="center"/>
          </w:tcPr>
          <w:p w14:paraId="6BDEE708">
            <w:pPr>
              <w:ind w:left="-114" w:right="-87"/>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本期末</w:t>
            </w:r>
          </w:p>
          <w:p w14:paraId="214A8E35">
            <w:pPr>
              <w:ind w:left="-114" w:right="-87"/>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2026年7月27日</w:t>
            </w:r>
          </w:p>
          <w:p w14:paraId="076A18D6">
            <w:pPr>
              <w:ind w:left="-114" w:leftChars="0" w:right="-87" w:rightChars="0"/>
              <w:jc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bCs/>
                <w:color w:val="000000"/>
                <w:sz w:val="21"/>
                <w:szCs w:val="21"/>
                <w:highlight w:val="none"/>
              </w:rPr>
              <w:t>(基金最后运作日)</w:t>
            </w:r>
          </w:p>
        </w:tc>
      </w:tr>
      <w:tr w14:paraId="12765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8670" w:type="dxa"/>
            <w:gridSpan w:val="2"/>
            <w:tcBorders>
              <w:top w:val="single" w:color="auto" w:sz="4" w:space="0"/>
              <w:left w:val="single" w:color="auto" w:sz="4" w:space="0"/>
              <w:bottom w:val="single" w:color="auto" w:sz="4" w:space="0"/>
              <w:right w:val="single" w:color="auto" w:sz="4" w:space="0"/>
            </w:tcBorders>
            <w:noWrap/>
            <w:vAlign w:val="center"/>
          </w:tcPr>
          <w:p w14:paraId="6C2F45F0">
            <w:pPr>
              <w:keepNext w:val="0"/>
              <w:keepLines w:val="0"/>
              <w:widowControl/>
              <w:suppressLineNumbers w:val="0"/>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1"/>
                <w:szCs w:val="21"/>
                <w:u w:val="none"/>
                <w:lang w:val="en-US" w:eastAsia="zh-CN" w:bidi="ar"/>
              </w:rPr>
              <w:t>资  产：</w:t>
            </w:r>
          </w:p>
        </w:tc>
      </w:tr>
      <w:tr w14:paraId="1BDAB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249277FF">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银行存款</w:t>
            </w:r>
          </w:p>
        </w:tc>
        <w:tc>
          <w:tcPr>
            <w:tcW w:w="4335" w:type="dxa"/>
            <w:tcBorders>
              <w:top w:val="single" w:color="auto" w:sz="4" w:space="0"/>
              <w:left w:val="single" w:color="auto" w:sz="4" w:space="0"/>
              <w:bottom w:val="single" w:color="auto" w:sz="4" w:space="0"/>
              <w:right w:val="single" w:color="auto" w:sz="4" w:space="0"/>
            </w:tcBorders>
            <w:noWrap/>
            <w:vAlign w:val="center"/>
          </w:tcPr>
          <w:p w14:paraId="2EA109DF">
            <w:pPr>
              <w:keepNext w:val="0"/>
              <w:keepLines w:val="0"/>
              <w:widowControl/>
              <w:suppressLineNumbers w:val="0"/>
              <w:jc w:val="right"/>
              <w:textAlignment w:val="center"/>
              <w:rPr>
                <w:rFonts w:hint="eastAsia" w:ascii="宋体" w:hAnsi="宋体" w:eastAsia="宋体" w:cs="宋体"/>
                <w:b w:val="0"/>
                <w:bCs w:val="0"/>
                <w:color w:val="auto"/>
                <w:kern w:val="2"/>
                <w:sz w:val="21"/>
                <w:szCs w:val="21"/>
                <w:u w:val="none"/>
                <w:lang w:val="en-US" w:eastAsia="zh-CN" w:bidi="ar-SA"/>
              </w:rPr>
            </w:pPr>
            <w:r>
              <w:rPr>
                <w:rFonts w:hint="eastAsia" w:ascii="宋体" w:hAnsi="宋体" w:eastAsia="宋体" w:cs="宋体"/>
                <w:b w:val="0"/>
                <w:bCs w:val="0"/>
                <w:color w:val="auto"/>
                <w:kern w:val="2"/>
                <w:sz w:val="21"/>
                <w:szCs w:val="21"/>
                <w:u w:val="none"/>
                <w:lang w:val="en-US" w:eastAsia="zh-CN" w:bidi="ar-SA"/>
              </w:rPr>
              <w:t xml:space="preserve">541,663.77  </w:t>
            </w:r>
          </w:p>
        </w:tc>
      </w:tr>
      <w:tr w14:paraId="10D31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2E41E30B">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交易性金融资产</w:t>
            </w:r>
          </w:p>
        </w:tc>
        <w:tc>
          <w:tcPr>
            <w:tcW w:w="4335" w:type="dxa"/>
            <w:tcBorders>
              <w:top w:val="single" w:color="auto" w:sz="4" w:space="0"/>
              <w:left w:val="single" w:color="auto" w:sz="4" w:space="0"/>
              <w:bottom w:val="single" w:color="auto" w:sz="4" w:space="0"/>
              <w:right w:val="single" w:color="auto" w:sz="4" w:space="0"/>
            </w:tcBorders>
            <w:noWrap/>
            <w:vAlign w:val="center"/>
          </w:tcPr>
          <w:p w14:paraId="223D377B">
            <w:pPr>
              <w:keepNext w:val="0"/>
              <w:keepLines w:val="0"/>
              <w:widowControl/>
              <w:suppressLineNumbers w:val="0"/>
              <w:jc w:val="right"/>
              <w:textAlignment w:val="center"/>
              <w:rPr>
                <w:rFonts w:hint="eastAsia" w:ascii="宋体" w:hAnsi="宋体" w:eastAsia="宋体" w:cs="宋体"/>
                <w:b w:val="0"/>
                <w:bCs w:val="0"/>
                <w:color w:val="auto"/>
                <w:kern w:val="2"/>
                <w:sz w:val="21"/>
                <w:szCs w:val="21"/>
                <w:u w:val="none"/>
                <w:lang w:val="en-US" w:eastAsia="zh-CN" w:bidi="ar-SA"/>
              </w:rPr>
            </w:pPr>
            <w:r>
              <w:rPr>
                <w:rFonts w:hint="eastAsia" w:ascii="宋体" w:hAnsi="宋体" w:eastAsia="宋体" w:cs="宋体"/>
                <w:b w:val="0"/>
                <w:bCs w:val="0"/>
                <w:color w:val="auto"/>
                <w:kern w:val="2"/>
                <w:sz w:val="21"/>
                <w:szCs w:val="21"/>
                <w:u w:val="none"/>
                <w:lang w:val="en-US" w:eastAsia="zh-CN" w:bidi="ar-SA"/>
              </w:rPr>
              <w:t xml:space="preserve">  4,111,298.63</w:t>
            </w:r>
          </w:p>
        </w:tc>
      </w:tr>
      <w:tr w14:paraId="67525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47EF89B9">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其中：债券投资</w:t>
            </w:r>
          </w:p>
        </w:tc>
        <w:tc>
          <w:tcPr>
            <w:tcW w:w="4335" w:type="dxa"/>
            <w:tcBorders>
              <w:top w:val="single" w:color="auto" w:sz="4" w:space="0"/>
              <w:left w:val="single" w:color="auto" w:sz="4" w:space="0"/>
              <w:bottom w:val="single" w:color="auto" w:sz="4" w:space="0"/>
              <w:right w:val="single" w:color="auto" w:sz="4" w:space="0"/>
            </w:tcBorders>
            <w:noWrap/>
            <w:vAlign w:val="center"/>
          </w:tcPr>
          <w:p w14:paraId="7864A9F6">
            <w:pPr>
              <w:keepNext w:val="0"/>
              <w:keepLines w:val="0"/>
              <w:widowControl/>
              <w:suppressLineNumbers w:val="0"/>
              <w:jc w:val="right"/>
              <w:textAlignment w:val="center"/>
              <w:rPr>
                <w:rFonts w:hint="eastAsia" w:ascii="宋体" w:hAnsi="宋体" w:eastAsia="宋体" w:cs="宋体"/>
                <w:b w:val="0"/>
                <w:bCs w:val="0"/>
                <w:color w:val="auto"/>
                <w:kern w:val="2"/>
                <w:sz w:val="21"/>
                <w:szCs w:val="21"/>
                <w:u w:val="none"/>
                <w:lang w:val="en-US" w:eastAsia="zh-CN" w:bidi="ar-SA"/>
              </w:rPr>
            </w:pPr>
            <w:r>
              <w:rPr>
                <w:rFonts w:hint="eastAsia" w:ascii="宋体" w:hAnsi="宋体" w:eastAsia="宋体" w:cs="宋体"/>
                <w:b w:val="0"/>
                <w:bCs w:val="0"/>
                <w:color w:val="auto"/>
                <w:kern w:val="2"/>
                <w:sz w:val="21"/>
                <w:szCs w:val="21"/>
                <w:u w:val="none"/>
                <w:lang w:val="en-US" w:eastAsia="zh-CN" w:bidi="ar-SA"/>
              </w:rPr>
              <w:t xml:space="preserve"> 4,111,298.63</w:t>
            </w:r>
          </w:p>
        </w:tc>
      </w:tr>
      <w:tr w14:paraId="04D6E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71D414A0">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应收申购款</w:t>
            </w:r>
          </w:p>
        </w:tc>
        <w:tc>
          <w:tcPr>
            <w:tcW w:w="4335" w:type="dxa"/>
            <w:tcBorders>
              <w:top w:val="single" w:color="auto" w:sz="4" w:space="0"/>
              <w:left w:val="single" w:color="auto" w:sz="4" w:space="0"/>
              <w:bottom w:val="single" w:color="auto" w:sz="4" w:space="0"/>
              <w:right w:val="single" w:color="auto" w:sz="4" w:space="0"/>
            </w:tcBorders>
            <w:noWrap/>
            <w:vAlign w:val="center"/>
          </w:tcPr>
          <w:p w14:paraId="44ACC964">
            <w:pPr>
              <w:keepNext w:val="0"/>
              <w:keepLines w:val="0"/>
              <w:widowControl/>
              <w:suppressLineNumbers w:val="0"/>
              <w:jc w:val="right"/>
              <w:textAlignment w:val="center"/>
              <w:rPr>
                <w:rFonts w:hint="eastAsia" w:ascii="宋体" w:hAnsi="宋体" w:eastAsia="宋体" w:cs="宋体"/>
                <w:b w:val="0"/>
                <w:bCs w:val="0"/>
                <w:color w:val="auto"/>
                <w:kern w:val="2"/>
                <w:sz w:val="21"/>
                <w:szCs w:val="21"/>
                <w:u w:val="none"/>
                <w:lang w:val="en-US" w:eastAsia="zh-CN" w:bidi="ar-SA"/>
              </w:rPr>
            </w:pPr>
            <w:r>
              <w:rPr>
                <w:rFonts w:hint="eastAsia" w:ascii="宋体" w:hAnsi="宋体" w:eastAsia="宋体" w:cs="宋体"/>
                <w:b w:val="0"/>
                <w:bCs w:val="0"/>
                <w:color w:val="auto"/>
                <w:kern w:val="2"/>
                <w:sz w:val="21"/>
                <w:szCs w:val="21"/>
                <w:u w:val="none"/>
                <w:lang w:val="en-US" w:eastAsia="zh-CN" w:bidi="ar-SA"/>
              </w:rPr>
              <w:t xml:space="preserve"> 1,009.19</w:t>
            </w:r>
          </w:p>
        </w:tc>
      </w:tr>
      <w:tr w14:paraId="33B5C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5790D888">
            <w:pPr>
              <w:keepNext w:val="0"/>
              <w:keepLines w:val="0"/>
              <w:widowControl/>
              <w:suppressLineNumbers w:val="0"/>
              <w:jc w:val="both"/>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资产总计</w:t>
            </w:r>
          </w:p>
        </w:tc>
        <w:tc>
          <w:tcPr>
            <w:tcW w:w="4335" w:type="dxa"/>
            <w:tcBorders>
              <w:top w:val="single" w:color="auto" w:sz="4" w:space="0"/>
              <w:left w:val="single" w:color="auto" w:sz="4" w:space="0"/>
              <w:bottom w:val="single" w:color="auto" w:sz="4" w:space="0"/>
              <w:right w:val="single" w:color="auto" w:sz="4" w:space="0"/>
            </w:tcBorders>
            <w:noWrap/>
            <w:vAlign w:val="center"/>
          </w:tcPr>
          <w:p w14:paraId="65B12621">
            <w:pPr>
              <w:keepNext w:val="0"/>
              <w:keepLines w:val="0"/>
              <w:widowControl/>
              <w:suppressLineNumbers w:val="0"/>
              <w:jc w:val="right"/>
              <w:textAlignment w:val="center"/>
              <w:rPr>
                <w:rFonts w:hint="eastAsia" w:ascii="宋体" w:hAnsi="宋体" w:eastAsia="宋体" w:cs="宋体"/>
                <w:b w:val="0"/>
                <w:bCs w:val="0"/>
                <w:color w:val="auto"/>
                <w:kern w:val="2"/>
                <w:sz w:val="21"/>
                <w:szCs w:val="21"/>
                <w:u w:val="none"/>
                <w:lang w:val="en-US" w:eastAsia="zh-CN" w:bidi="ar-SA"/>
              </w:rPr>
            </w:pPr>
            <w:r>
              <w:rPr>
                <w:rFonts w:hint="eastAsia" w:ascii="宋体" w:hAnsi="宋体" w:eastAsia="宋体" w:cs="宋体"/>
                <w:b w:val="0"/>
                <w:bCs w:val="0"/>
                <w:color w:val="auto"/>
                <w:kern w:val="2"/>
                <w:sz w:val="21"/>
                <w:szCs w:val="21"/>
                <w:u w:val="none"/>
                <w:lang w:val="en-US" w:eastAsia="zh-CN" w:bidi="ar-SA"/>
              </w:rPr>
              <w:t xml:space="preserve"> </w:t>
            </w:r>
            <w:r>
              <w:rPr>
                <w:rFonts w:hint="eastAsia" w:ascii="宋体" w:hAnsi="宋体" w:eastAsia="宋体" w:cs="宋体"/>
                <w:b/>
                <w:bCs/>
                <w:color w:val="auto"/>
                <w:kern w:val="2"/>
                <w:sz w:val="21"/>
                <w:szCs w:val="21"/>
                <w:u w:val="none"/>
                <w:lang w:val="en-US" w:eastAsia="zh-CN" w:bidi="ar-SA"/>
              </w:rPr>
              <w:t>4,653,971.59</w:t>
            </w:r>
          </w:p>
        </w:tc>
      </w:tr>
      <w:tr w14:paraId="2CAC0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8670" w:type="dxa"/>
            <w:gridSpan w:val="2"/>
            <w:tcBorders>
              <w:top w:val="single" w:color="auto" w:sz="4" w:space="0"/>
              <w:left w:val="single" w:color="auto" w:sz="4" w:space="0"/>
              <w:bottom w:val="single" w:color="auto" w:sz="4" w:space="0"/>
              <w:right w:val="single" w:color="auto" w:sz="4" w:space="0"/>
            </w:tcBorders>
            <w:noWrap/>
            <w:vAlign w:val="center"/>
          </w:tcPr>
          <w:p w14:paraId="20FE40AF">
            <w:pPr>
              <w:keepNext w:val="0"/>
              <w:keepLines w:val="0"/>
              <w:widowControl/>
              <w:suppressLineNumbers w:val="0"/>
              <w:jc w:val="left"/>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负债和所有者权益</w:t>
            </w:r>
          </w:p>
        </w:tc>
      </w:tr>
      <w:tr w14:paraId="0D099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8670" w:type="dxa"/>
            <w:gridSpan w:val="2"/>
            <w:tcBorders>
              <w:top w:val="single" w:color="auto" w:sz="4" w:space="0"/>
              <w:left w:val="single" w:color="auto" w:sz="4" w:space="0"/>
              <w:bottom w:val="single" w:color="auto" w:sz="4" w:space="0"/>
              <w:right w:val="single" w:color="auto" w:sz="4" w:space="0"/>
            </w:tcBorders>
            <w:noWrap/>
            <w:vAlign w:val="center"/>
          </w:tcPr>
          <w:p w14:paraId="4A98451B">
            <w:pPr>
              <w:keepNext w:val="0"/>
              <w:keepLines w:val="0"/>
              <w:widowControl/>
              <w:suppressLineNumbers w:val="0"/>
              <w:jc w:val="left"/>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负  债：</w:t>
            </w:r>
          </w:p>
        </w:tc>
      </w:tr>
      <w:tr w14:paraId="1EDEA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209A624B">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应付赎回款</w:t>
            </w:r>
          </w:p>
        </w:tc>
        <w:tc>
          <w:tcPr>
            <w:tcW w:w="4335" w:type="dxa"/>
            <w:tcBorders>
              <w:top w:val="single" w:color="auto" w:sz="4" w:space="0"/>
              <w:left w:val="single" w:color="auto" w:sz="4" w:space="0"/>
              <w:bottom w:val="single" w:color="auto" w:sz="4" w:space="0"/>
              <w:right w:val="single" w:color="auto" w:sz="4" w:space="0"/>
            </w:tcBorders>
            <w:noWrap/>
            <w:vAlign w:val="center"/>
          </w:tcPr>
          <w:p w14:paraId="6A323484">
            <w:pPr>
              <w:keepNext w:val="0"/>
              <w:keepLines w:val="0"/>
              <w:widowControl/>
              <w:suppressLineNumbers w:val="0"/>
              <w:jc w:val="right"/>
              <w:textAlignment w:val="center"/>
              <w:rPr>
                <w:rFonts w:hint="eastAsia" w:ascii="宋体" w:hAnsi="宋体" w:eastAsia="宋体" w:cs="宋体"/>
                <w:b w:val="0"/>
                <w:bCs w:val="0"/>
                <w:color w:val="auto"/>
                <w:kern w:val="2"/>
                <w:sz w:val="21"/>
                <w:szCs w:val="21"/>
                <w:u w:val="none"/>
                <w:lang w:val="en-US" w:eastAsia="zh-CN" w:bidi="ar-SA"/>
              </w:rPr>
            </w:pPr>
            <w:r>
              <w:rPr>
                <w:rFonts w:hint="eastAsia" w:ascii="宋体" w:hAnsi="宋体" w:eastAsia="宋体" w:cs="宋体"/>
                <w:b w:val="0"/>
                <w:bCs w:val="0"/>
                <w:color w:val="auto"/>
                <w:kern w:val="2"/>
                <w:sz w:val="21"/>
                <w:szCs w:val="21"/>
                <w:u w:val="none"/>
                <w:lang w:val="en-US" w:eastAsia="zh-CN" w:bidi="ar-SA"/>
              </w:rPr>
              <w:t xml:space="preserve"> 366,533.72</w:t>
            </w:r>
          </w:p>
        </w:tc>
      </w:tr>
      <w:tr w14:paraId="3F2FD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26759B44">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应付管理人报酬</w:t>
            </w:r>
          </w:p>
        </w:tc>
        <w:tc>
          <w:tcPr>
            <w:tcW w:w="4335" w:type="dxa"/>
            <w:tcBorders>
              <w:top w:val="single" w:color="auto" w:sz="4" w:space="0"/>
              <w:left w:val="single" w:color="auto" w:sz="4" w:space="0"/>
              <w:bottom w:val="single" w:color="auto" w:sz="4" w:space="0"/>
              <w:right w:val="single" w:color="auto" w:sz="4" w:space="0"/>
            </w:tcBorders>
            <w:noWrap/>
            <w:vAlign w:val="center"/>
          </w:tcPr>
          <w:p w14:paraId="171B0819">
            <w:pPr>
              <w:keepNext w:val="0"/>
              <w:keepLines w:val="0"/>
              <w:widowControl/>
              <w:suppressLineNumbers w:val="0"/>
              <w:jc w:val="right"/>
              <w:textAlignment w:val="center"/>
              <w:rPr>
                <w:rFonts w:hint="eastAsia" w:ascii="宋体" w:hAnsi="宋体" w:eastAsia="宋体" w:cs="宋体"/>
                <w:b w:val="0"/>
                <w:bCs w:val="0"/>
                <w:color w:val="auto"/>
                <w:kern w:val="2"/>
                <w:sz w:val="21"/>
                <w:szCs w:val="21"/>
                <w:u w:val="none"/>
                <w:lang w:val="en-US" w:eastAsia="zh-CN" w:bidi="ar-SA"/>
              </w:rPr>
            </w:pPr>
            <w:r>
              <w:rPr>
                <w:rFonts w:hint="eastAsia" w:ascii="宋体" w:hAnsi="宋体" w:eastAsia="宋体" w:cs="宋体"/>
                <w:b w:val="0"/>
                <w:bCs w:val="0"/>
                <w:color w:val="auto"/>
                <w:kern w:val="2"/>
                <w:sz w:val="21"/>
                <w:szCs w:val="21"/>
                <w:u w:val="none"/>
                <w:lang w:val="en-US" w:eastAsia="zh-CN" w:bidi="ar-SA"/>
              </w:rPr>
              <w:t xml:space="preserve"> 1,869.02</w:t>
            </w:r>
          </w:p>
        </w:tc>
      </w:tr>
      <w:tr w14:paraId="57ADD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1E995E66">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应付托管费</w:t>
            </w:r>
          </w:p>
        </w:tc>
        <w:tc>
          <w:tcPr>
            <w:tcW w:w="4335" w:type="dxa"/>
            <w:tcBorders>
              <w:top w:val="single" w:color="auto" w:sz="4" w:space="0"/>
              <w:left w:val="single" w:color="auto" w:sz="4" w:space="0"/>
              <w:bottom w:val="single" w:color="auto" w:sz="4" w:space="0"/>
              <w:right w:val="single" w:color="auto" w:sz="4" w:space="0"/>
            </w:tcBorders>
            <w:noWrap/>
            <w:vAlign w:val="center"/>
          </w:tcPr>
          <w:p w14:paraId="308EC894">
            <w:pPr>
              <w:keepNext w:val="0"/>
              <w:keepLines w:val="0"/>
              <w:widowControl/>
              <w:suppressLineNumbers w:val="0"/>
              <w:jc w:val="right"/>
              <w:textAlignment w:val="center"/>
              <w:rPr>
                <w:rFonts w:hint="eastAsia" w:ascii="宋体" w:hAnsi="宋体" w:eastAsia="宋体" w:cs="宋体"/>
                <w:b w:val="0"/>
                <w:bCs w:val="0"/>
                <w:color w:val="auto"/>
                <w:kern w:val="2"/>
                <w:sz w:val="21"/>
                <w:szCs w:val="21"/>
                <w:u w:val="none"/>
                <w:lang w:val="en-US" w:eastAsia="zh-CN" w:bidi="ar-SA"/>
              </w:rPr>
            </w:pPr>
            <w:r>
              <w:rPr>
                <w:rFonts w:hint="eastAsia" w:ascii="宋体" w:hAnsi="宋体" w:eastAsia="宋体" w:cs="宋体"/>
                <w:b w:val="0"/>
                <w:bCs w:val="0"/>
                <w:color w:val="auto"/>
                <w:kern w:val="2"/>
                <w:sz w:val="21"/>
                <w:szCs w:val="21"/>
                <w:u w:val="none"/>
                <w:lang w:val="en-US" w:eastAsia="zh-CN" w:bidi="ar-SA"/>
              </w:rPr>
              <w:t xml:space="preserve"> 623.03</w:t>
            </w:r>
          </w:p>
        </w:tc>
      </w:tr>
      <w:tr w14:paraId="66198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17BDDC6E">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应付销售服务费</w:t>
            </w:r>
          </w:p>
        </w:tc>
        <w:tc>
          <w:tcPr>
            <w:tcW w:w="4335" w:type="dxa"/>
            <w:tcBorders>
              <w:top w:val="single" w:color="auto" w:sz="4" w:space="0"/>
              <w:left w:val="single" w:color="auto" w:sz="4" w:space="0"/>
              <w:bottom w:val="single" w:color="auto" w:sz="4" w:space="0"/>
              <w:right w:val="single" w:color="auto" w:sz="4" w:space="0"/>
            </w:tcBorders>
            <w:noWrap/>
            <w:vAlign w:val="center"/>
          </w:tcPr>
          <w:p w14:paraId="274D9741">
            <w:pPr>
              <w:keepNext w:val="0"/>
              <w:keepLines w:val="0"/>
              <w:widowControl/>
              <w:suppressLineNumbers w:val="0"/>
              <w:jc w:val="right"/>
              <w:textAlignment w:val="center"/>
              <w:rPr>
                <w:rFonts w:hint="eastAsia" w:ascii="宋体" w:hAnsi="宋体" w:eastAsia="宋体" w:cs="宋体"/>
                <w:b w:val="0"/>
                <w:bCs w:val="0"/>
                <w:color w:val="auto"/>
                <w:kern w:val="2"/>
                <w:sz w:val="21"/>
                <w:szCs w:val="21"/>
                <w:u w:val="none"/>
                <w:lang w:val="en-US" w:eastAsia="zh-CN" w:bidi="ar-SA"/>
              </w:rPr>
            </w:pPr>
            <w:r>
              <w:rPr>
                <w:rFonts w:hint="eastAsia" w:ascii="宋体" w:hAnsi="宋体" w:eastAsia="宋体" w:cs="宋体"/>
                <w:b w:val="0"/>
                <w:bCs w:val="0"/>
                <w:color w:val="auto"/>
                <w:kern w:val="2"/>
                <w:sz w:val="21"/>
                <w:szCs w:val="21"/>
                <w:u w:val="none"/>
                <w:lang w:val="en-US" w:eastAsia="zh-CN" w:bidi="ar-SA"/>
              </w:rPr>
              <w:t xml:space="preserve"> 22.56</w:t>
            </w:r>
          </w:p>
        </w:tc>
      </w:tr>
      <w:tr w14:paraId="5CD23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436A373C">
            <w:pPr>
              <w:keepNext w:val="0"/>
              <w:keepLines w:val="0"/>
              <w:widowControl/>
              <w:suppressLineNumbers w:val="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 xml:space="preserve"> 其他负债</w:t>
            </w:r>
          </w:p>
        </w:tc>
        <w:tc>
          <w:tcPr>
            <w:tcW w:w="4335" w:type="dxa"/>
            <w:tcBorders>
              <w:top w:val="single" w:color="auto" w:sz="4" w:space="0"/>
              <w:left w:val="single" w:color="auto" w:sz="4" w:space="0"/>
              <w:bottom w:val="single" w:color="auto" w:sz="4" w:space="0"/>
              <w:right w:val="single" w:color="auto" w:sz="4" w:space="0"/>
            </w:tcBorders>
            <w:noWrap/>
            <w:vAlign w:val="center"/>
          </w:tcPr>
          <w:p w14:paraId="40E176EC">
            <w:pPr>
              <w:keepNext w:val="0"/>
              <w:keepLines w:val="0"/>
              <w:widowControl/>
              <w:suppressLineNumbers w:val="0"/>
              <w:jc w:val="right"/>
              <w:textAlignment w:val="center"/>
              <w:rPr>
                <w:rFonts w:hint="eastAsia" w:ascii="宋体" w:hAnsi="宋体" w:eastAsia="宋体" w:cs="宋体"/>
                <w:b w:val="0"/>
                <w:bCs w:val="0"/>
                <w:color w:val="auto"/>
                <w:kern w:val="2"/>
                <w:sz w:val="21"/>
                <w:szCs w:val="21"/>
                <w:u w:val="none"/>
                <w:lang w:val="en-US" w:eastAsia="zh-CN" w:bidi="ar-SA"/>
              </w:rPr>
            </w:pPr>
            <w:r>
              <w:rPr>
                <w:rFonts w:hint="eastAsia" w:ascii="宋体" w:hAnsi="宋体" w:eastAsia="宋体" w:cs="宋体"/>
                <w:b w:val="0"/>
                <w:bCs w:val="0"/>
                <w:color w:val="auto"/>
                <w:kern w:val="2"/>
                <w:sz w:val="21"/>
                <w:szCs w:val="21"/>
                <w:u w:val="none"/>
                <w:lang w:val="en-US" w:eastAsia="zh-CN" w:bidi="ar-SA"/>
              </w:rPr>
              <w:t xml:space="preserve"> 153,199.16</w:t>
            </w:r>
          </w:p>
        </w:tc>
      </w:tr>
      <w:tr w14:paraId="4FE17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08C20F1B">
            <w:pPr>
              <w:keepNext w:val="0"/>
              <w:keepLines w:val="0"/>
              <w:widowControl/>
              <w:suppressLineNumbers w:val="0"/>
              <w:jc w:val="both"/>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负债合计</w:t>
            </w:r>
          </w:p>
        </w:tc>
        <w:tc>
          <w:tcPr>
            <w:tcW w:w="4335" w:type="dxa"/>
            <w:tcBorders>
              <w:top w:val="single" w:color="auto" w:sz="4" w:space="0"/>
              <w:left w:val="single" w:color="auto" w:sz="4" w:space="0"/>
              <w:bottom w:val="single" w:color="auto" w:sz="4" w:space="0"/>
              <w:right w:val="single" w:color="auto" w:sz="4" w:space="0"/>
            </w:tcBorders>
            <w:noWrap/>
            <w:vAlign w:val="center"/>
          </w:tcPr>
          <w:p w14:paraId="70A64668">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 xml:space="preserve"> </w:t>
            </w:r>
            <w:r>
              <w:rPr>
                <w:rFonts w:hint="eastAsia" w:ascii="宋体" w:hAnsi="宋体" w:eastAsia="宋体" w:cs="宋体"/>
                <w:b/>
                <w:bCs/>
                <w:color w:val="auto"/>
                <w:kern w:val="2"/>
                <w:sz w:val="21"/>
                <w:szCs w:val="21"/>
                <w:u w:val="none"/>
                <w:lang w:val="en-US" w:eastAsia="zh-CN" w:bidi="ar-SA"/>
              </w:rPr>
              <w:t>522,247.49</w:t>
            </w:r>
          </w:p>
        </w:tc>
      </w:tr>
      <w:tr w14:paraId="0142D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8670" w:type="dxa"/>
            <w:gridSpan w:val="2"/>
            <w:tcBorders>
              <w:top w:val="single" w:color="auto" w:sz="4" w:space="0"/>
              <w:left w:val="single" w:color="auto" w:sz="4" w:space="0"/>
              <w:bottom w:val="single" w:color="auto" w:sz="4" w:space="0"/>
              <w:right w:val="single" w:color="auto" w:sz="4" w:space="0"/>
            </w:tcBorders>
            <w:noWrap/>
            <w:vAlign w:val="center"/>
          </w:tcPr>
          <w:p w14:paraId="008AB57D">
            <w:pPr>
              <w:keepNext w:val="0"/>
              <w:keepLines w:val="0"/>
              <w:widowControl/>
              <w:suppressLineNumbers w:val="0"/>
              <w:jc w:val="left"/>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所有者权益:</w:t>
            </w:r>
          </w:p>
        </w:tc>
      </w:tr>
      <w:tr w14:paraId="0D219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574EBEE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实收基金</w:t>
            </w:r>
          </w:p>
        </w:tc>
        <w:tc>
          <w:tcPr>
            <w:tcW w:w="4335" w:type="dxa"/>
            <w:tcBorders>
              <w:top w:val="single" w:color="auto" w:sz="4" w:space="0"/>
              <w:left w:val="single" w:color="auto" w:sz="4" w:space="0"/>
              <w:bottom w:val="single" w:color="auto" w:sz="4" w:space="0"/>
              <w:right w:val="single" w:color="auto" w:sz="4" w:space="0"/>
            </w:tcBorders>
            <w:noWrap/>
            <w:vAlign w:val="center"/>
          </w:tcPr>
          <w:p w14:paraId="35D3495B">
            <w:pPr>
              <w:keepNext w:val="0"/>
              <w:keepLines w:val="0"/>
              <w:widowControl/>
              <w:suppressLineNumbers w:val="0"/>
              <w:jc w:val="right"/>
              <w:textAlignment w:val="center"/>
              <w:rPr>
                <w:rFonts w:hint="eastAsia" w:ascii="宋体" w:hAnsi="宋体" w:eastAsia="宋体" w:cs="宋体"/>
                <w:color w:val="auto"/>
                <w:kern w:val="2"/>
                <w:sz w:val="21"/>
                <w:szCs w:val="21"/>
                <w:u w:val="none"/>
                <w:lang w:val="en-US" w:eastAsia="zh-CN" w:bidi="ar-SA"/>
              </w:rPr>
            </w:pPr>
            <w:r>
              <w:rPr>
                <w:rFonts w:hint="eastAsia" w:ascii="宋体" w:hAnsi="宋体" w:eastAsia="宋体" w:cs="宋体"/>
                <w:color w:val="auto"/>
                <w:kern w:val="2"/>
                <w:sz w:val="21"/>
                <w:szCs w:val="21"/>
                <w:u w:val="none"/>
                <w:lang w:val="en-US" w:eastAsia="zh-CN" w:bidi="ar-SA"/>
              </w:rPr>
              <w:t xml:space="preserve"> 3,466,148.75</w:t>
            </w:r>
          </w:p>
        </w:tc>
      </w:tr>
      <w:tr w14:paraId="7FFAA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202E556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未分配利润</w:t>
            </w:r>
          </w:p>
        </w:tc>
        <w:tc>
          <w:tcPr>
            <w:tcW w:w="4335" w:type="dxa"/>
            <w:tcBorders>
              <w:top w:val="single" w:color="auto" w:sz="4" w:space="0"/>
              <w:left w:val="single" w:color="auto" w:sz="4" w:space="0"/>
              <w:bottom w:val="single" w:color="auto" w:sz="4" w:space="0"/>
              <w:right w:val="single" w:color="auto" w:sz="4" w:space="0"/>
            </w:tcBorders>
            <w:noWrap/>
            <w:vAlign w:val="center"/>
          </w:tcPr>
          <w:p w14:paraId="52ED5421">
            <w:pPr>
              <w:keepNext w:val="0"/>
              <w:keepLines w:val="0"/>
              <w:widowControl/>
              <w:suppressLineNumbers w:val="0"/>
              <w:jc w:val="right"/>
              <w:textAlignment w:val="center"/>
              <w:rPr>
                <w:rFonts w:hint="eastAsia" w:ascii="宋体" w:hAnsi="宋体" w:eastAsia="宋体" w:cs="宋体"/>
                <w:color w:val="auto"/>
                <w:kern w:val="2"/>
                <w:sz w:val="21"/>
                <w:szCs w:val="21"/>
                <w:u w:val="none"/>
                <w:lang w:val="en-US" w:eastAsia="zh-CN" w:bidi="ar-SA"/>
              </w:rPr>
            </w:pPr>
            <w:r>
              <w:rPr>
                <w:rFonts w:hint="eastAsia" w:ascii="宋体" w:hAnsi="宋体" w:eastAsia="宋体" w:cs="宋体"/>
                <w:color w:val="auto"/>
                <w:kern w:val="2"/>
                <w:sz w:val="21"/>
                <w:szCs w:val="21"/>
                <w:u w:val="none"/>
                <w:lang w:val="en-US" w:eastAsia="zh-CN" w:bidi="ar-SA"/>
              </w:rPr>
              <w:t xml:space="preserve"> 665,575.35</w:t>
            </w:r>
          </w:p>
        </w:tc>
      </w:tr>
      <w:tr w14:paraId="41116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6C849F6D">
            <w:pPr>
              <w:keepNext w:val="0"/>
              <w:keepLines w:val="0"/>
              <w:widowControl/>
              <w:suppressLineNumbers w:val="0"/>
              <w:jc w:val="both"/>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所有者权益合计</w:t>
            </w:r>
          </w:p>
        </w:tc>
        <w:tc>
          <w:tcPr>
            <w:tcW w:w="4335" w:type="dxa"/>
            <w:tcBorders>
              <w:top w:val="single" w:color="auto" w:sz="4" w:space="0"/>
              <w:left w:val="single" w:color="auto" w:sz="4" w:space="0"/>
              <w:bottom w:val="single" w:color="auto" w:sz="4" w:space="0"/>
              <w:right w:val="single" w:color="auto" w:sz="4" w:space="0"/>
            </w:tcBorders>
            <w:noWrap/>
            <w:vAlign w:val="center"/>
          </w:tcPr>
          <w:p w14:paraId="69501FB2">
            <w:pPr>
              <w:keepNext w:val="0"/>
              <w:keepLines w:val="0"/>
              <w:widowControl/>
              <w:suppressLineNumbers w:val="0"/>
              <w:jc w:val="right"/>
              <w:textAlignment w:val="center"/>
              <w:rPr>
                <w:rFonts w:hint="eastAsia" w:ascii="宋体" w:hAnsi="宋体" w:eastAsia="宋体" w:cs="宋体"/>
                <w:b/>
                <w:bCs/>
                <w:color w:val="auto"/>
                <w:kern w:val="2"/>
                <w:sz w:val="21"/>
                <w:szCs w:val="21"/>
                <w:u w:val="none"/>
                <w:lang w:val="en-US" w:eastAsia="zh-CN" w:bidi="ar-SA"/>
              </w:rPr>
            </w:pPr>
            <w:r>
              <w:rPr>
                <w:rFonts w:hint="eastAsia" w:ascii="宋体" w:hAnsi="宋体" w:eastAsia="宋体" w:cs="宋体"/>
                <w:b/>
                <w:bCs/>
                <w:color w:val="auto"/>
                <w:kern w:val="2"/>
                <w:sz w:val="21"/>
                <w:szCs w:val="21"/>
                <w:u w:val="none"/>
                <w:lang w:val="en-US" w:eastAsia="zh-CN" w:bidi="ar-SA"/>
              </w:rPr>
              <w:t>4,131,724.10</w:t>
            </w:r>
          </w:p>
        </w:tc>
      </w:tr>
      <w:tr w14:paraId="6A158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35" w:type="dxa"/>
            <w:tcBorders>
              <w:top w:val="single" w:color="auto" w:sz="4" w:space="0"/>
              <w:left w:val="single" w:color="auto" w:sz="4" w:space="0"/>
              <w:bottom w:val="single" w:color="auto" w:sz="4" w:space="0"/>
              <w:right w:val="single" w:color="auto" w:sz="4" w:space="0"/>
            </w:tcBorders>
            <w:noWrap/>
            <w:vAlign w:val="center"/>
          </w:tcPr>
          <w:p w14:paraId="29963C83">
            <w:pPr>
              <w:keepNext w:val="0"/>
              <w:keepLines w:val="0"/>
              <w:widowControl/>
              <w:suppressLineNumbers w:val="0"/>
              <w:jc w:val="both"/>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负债及所有者权益合计</w:t>
            </w:r>
          </w:p>
        </w:tc>
        <w:tc>
          <w:tcPr>
            <w:tcW w:w="4335" w:type="dxa"/>
            <w:tcBorders>
              <w:top w:val="single" w:color="auto" w:sz="4" w:space="0"/>
              <w:left w:val="single" w:color="auto" w:sz="4" w:space="0"/>
              <w:bottom w:val="single" w:color="auto" w:sz="4" w:space="0"/>
              <w:right w:val="single" w:color="auto" w:sz="4" w:space="0"/>
            </w:tcBorders>
            <w:noWrap/>
            <w:vAlign w:val="center"/>
          </w:tcPr>
          <w:p w14:paraId="48647993">
            <w:pPr>
              <w:keepNext w:val="0"/>
              <w:keepLines w:val="0"/>
              <w:widowControl/>
              <w:suppressLineNumbers w:val="0"/>
              <w:jc w:val="right"/>
              <w:textAlignment w:val="center"/>
              <w:rPr>
                <w:rFonts w:hint="eastAsia" w:ascii="宋体" w:hAnsi="宋体" w:eastAsia="宋体" w:cs="宋体"/>
                <w:b/>
                <w:bCs/>
                <w:color w:val="auto"/>
                <w:kern w:val="2"/>
                <w:sz w:val="21"/>
                <w:szCs w:val="21"/>
                <w:u w:val="none"/>
                <w:lang w:val="en-US" w:eastAsia="zh-CN" w:bidi="ar-SA"/>
              </w:rPr>
            </w:pPr>
            <w:r>
              <w:rPr>
                <w:rFonts w:hint="eastAsia" w:ascii="宋体" w:hAnsi="宋体" w:eastAsia="宋体" w:cs="宋体"/>
                <w:b/>
                <w:bCs/>
                <w:color w:val="auto"/>
                <w:kern w:val="2"/>
                <w:sz w:val="21"/>
                <w:szCs w:val="21"/>
                <w:u w:val="none"/>
                <w:lang w:val="en-US" w:eastAsia="zh-CN" w:bidi="ar-SA"/>
              </w:rPr>
              <w:t xml:space="preserve"> 4,653,971.59</w:t>
            </w:r>
          </w:p>
        </w:tc>
      </w:tr>
    </w:tbl>
    <w:p w14:paraId="1435996C">
      <w:pPr>
        <w:pStyle w:val="28"/>
        <w:rPr>
          <w:rFonts w:hint="eastAsia" w:ascii="宋体" w:hAnsi="宋体" w:eastAsia="宋体" w:cs="宋体"/>
          <w:color w:val="auto"/>
          <w:highlight w:val="none"/>
        </w:rPr>
      </w:pPr>
      <w:r>
        <w:rPr>
          <w:rFonts w:hint="eastAsia" w:ascii="宋体" w:hAnsi="宋体" w:eastAsia="宋体" w:cs="宋体"/>
          <w:color w:val="auto"/>
          <w:highlight w:val="none"/>
        </w:rPr>
        <w:t>注：报告截止日</w:t>
      </w:r>
      <w:r>
        <w:rPr>
          <w:rFonts w:hint="eastAsia" w:ascii="宋体" w:hAnsi="宋体" w:eastAsia="宋体" w:cs="宋体"/>
          <w:color w:val="auto"/>
          <w:highlight w:val="none"/>
          <w:lang w:val="en-US" w:eastAsia="zh-CN"/>
        </w:rPr>
        <w:t>2026年7月27日</w:t>
      </w:r>
      <w:r>
        <w:rPr>
          <w:rFonts w:hint="eastAsia" w:ascii="宋体" w:hAnsi="宋体" w:eastAsia="宋体" w:cs="宋体"/>
          <w:color w:val="auto"/>
          <w:highlight w:val="none"/>
        </w:rPr>
        <w:t>(基金最后运作日)，基金份额总额3,466,148.75份，其中</w:t>
      </w:r>
      <w:r>
        <w:rPr>
          <w:rFonts w:hint="eastAsia" w:ascii="宋体" w:hAnsi="宋体" w:eastAsia="宋体" w:cs="宋体"/>
          <w:color w:val="auto"/>
          <w:u w:val="none"/>
        </w:rPr>
        <w:t>类</w:t>
      </w:r>
      <w:r>
        <w:rPr>
          <w:rFonts w:hint="eastAsia" w:ascii="宋体" w:hAnsi="宋体" w:eastAsia="宋体" w:cs="宋体"/>
          <w:color w:val="auto"/>
          <w:highlight w:val="none"/>
        </w:rPr>
        <w:t>基金</w:t>
      </w:r>
      <w:r>
        <w:rPr>
          <w:rFonts w:hint="eastAsia" w:ascii="宋体" w:hAnsi="宋体" w:eastAsia="宋体" w:cs="宋体"/>
          <w:color w:val="auto"/>
          <w:highlight w:val="none"/>
          <w:lang w:val="en-US" w:eastAsia="zh-CN"/>
        </w:rPr>
        <w:t>A</w:t>
      </w:r>
      <w:r>
        <w:rPr>
          <w:rFonts w:hint="eastAsia" w:ascii="宋体" w:hAnsi="宋体" w:eastAsia="宋体" w:cs="宋体"/>
          <w:color w:val="auto"/>
          <w:highlight w:val="none"/>
        </w:rPr>
        <w:t>份额净值1.1926元，基金份额</w:t>
      </w:r>
      <w:r>
        <w:rPr>
          <w:rFonts w:hint="eastAsia" w:ascii="宋体" w:hAnsi="宋体" w:eastAsia="宋体" w:cs="宋体"/>
          <w:color w:val="auto"/>
          <w:kern w:val="0"/>
          <w:szCs w:val="21"/>
          <w:highlight w:val="none"/>
          <w:lang w:val="en-US" w:eastAsia="zh-CN"/>
        </w:rPr>
        <w:t>3,360,377.48</w:t>
      </w:r>
      <w:r>
        <w:rPr>
          <w:rFonts w:hint="eastAsia" w:ascii="宋体" w:hAnsi="宋体" w:eastAsia="宋体" w:cs="宋体"/>
          <w:color w:val="auto"/>
          <w:highlight w:val="none"/>
        </w:rPr>
        <w:t>份；</w:t>
      </w:r>
      <w:r>
        <w:rPr>
          <w:rFonts w:hint="eastAsia" w:ascii="宋体" w:hAnsi="宋体" w:eastAsia="宋体" w:cs="宋体"/>
          <w:color w:val="auto"/>
          <w:highlight w:val="none"/>
          <w:lang w:val="en-US" w:eastAsia="zh-CN"/>
        </w:rPr>
        <w:t>C</w:t>
      </w:r>
      <w:r>
        <w:rPr>
          <w:rFonts w:hint="eastAsia" w:ascii="宋体" w:hAnsi="宋体" w:eastAsia="宋体" w:cs="宋体"/>
          <w:color w:val="auto"/>
          <w:u w:val="none"/>
        </w:rPr>
        <w:t>类</w:t>
      </w:r>
      <w:r>
        <w:rPr>
          <w:rFonts w:hint="eastAsia" w:ascii="宋体" w:hAnsi="宋体" w:eastAsia="宋体" w:cs="宋体"/>
          <w:color w:val="auto"/>
          <w:highlight w:val="none"/>
        </w:rPr>
        <w:t>基金份额净值1.1732元，基金份额</w:t>
      </w:r>
      <w:r>
        <w:rPr>
          <w:rFonts w:hint="eastAsia" w:ascii="宋体" w:hAnsi="宋体" w:eastAsia="宋体" w:cs="宋体"/>
          <w:color w:val="auto"/>
          <w:kern w:val="0"/>
          <w:szCs w:val="21"/>
          <w:highlight w:val="none"/>
          <w:lang w:val="en-US" w:eastAsia="zh-CN"/>
        </w:rPr>
        <w:t>105,771.27</w:t>
      </w:r>
      <w:r>
        <w:rPr>
          <w:rFonts w:hint="eastAsia" w:ascii="宋体" w:hAnsi="宋体" w:eastAsia="宋体" w:cs="宋体"/>
          <w:color w:val="auto"/>
          <w:highlight w:val="none"/>
        </w:rPr>
        <w:t>份。</w:t>
      </w:r>
    </w:p>
    <w:p w14:paraId="791B9B26">
      <w:pPr>
        <w:pStyle w:val="3"/>
        <w:spacing w:before="0" w:after="0"/>
        <w:rPr>
          <w:rFonts w:hint="eastAsia" w:ascii="宋体" w:hAnsi="宋体" w:eastAsia="宋体" w:cs="宋体"/>
          <w:color w:val="auto"/>
          <w:kern w:val="0"/>
          <w:sz w:val="21"/>
          <w:szCs w:val="21"/>
          <w:highlight w:val="none"/>
        </w:rPr>
      </w:pPr>
      <w:bookmarkStart w:id="39" w:name="_Toc491963085"/>
      <w:bookmarkStart w:id="40" w:name="_Toc484769807"/>
      <w:r>
        <w:rPr>
          <w:rFonts w:hint="eastAsia" w:ascii="宋体" w:hAnsi="宋体" w:eastAsia="宋体" w:cs="宋体"/>
          <w:color w:val="auto"/>
          <w:kern w:val="0"/>
          <w:sz w:val="21"/>
          <w:szCs w:val="21"/>
          <w:highlight w:val="none"/>
        </w:rPr>
        <w:t>4.2 清算损益表</w:t>
      </w:r>
      <w:bookmarkEnd w:id="39"/>
      <w:bookmarkEnd w:id="40"/>
    </w:p>
    <w:tbl>
      <w:tblPr>
        <w:tblStyle w:val="13"/>
        <w:tblW w:w="79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95"/>
        <w:gridCol w:w="4408"/>
      </w:tblGrid>
      <w:tr w14:paraId="2F849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14493399">
            <w:pPr>
              <w:pStyle w:val="11"/>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w:t>
            </w:r>
          </w:p>
        </w:tc>
        <w:tc>
          <w:tcPr>
            <w:tcW w:w="4408" w:type="dxa"/>
            <w:noWrap w:val="0"/>
            <w:vAlign w:val="center"/>
          </w:tcPr>
          <w:p w14:paraId="1C67CFED">
            <w:pPr>
              <w:pStyle w:val="11"/>
              <w:spacing w:before="0" w:beforeAutospacing="0" w:after="0" w:afterAutospacing="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2026年7月28日</w:t>
            </w:r>
            <w:r>
              <w:rPr>
                <w:rFonts w:hint="eastAsia" w:ascii="宋体" w:hAnsi="宋体" w:eastAsia="宋体" w:cs="宋体"/>
                <w:b/>
                <w:color w:val="auto"/>
                <w:sz w:val="21"/>
                <w:szCs w:val="21"/>
                <w:highlight w:val="none"/>
                <w:lang w:eastAsia="zh-CN"/>
              </w:rPr>
              <w:t>至2026年8月5日</w:t>
            </w:r>
          </w:p>
          <w:p w14:paraId="137EC711">
            <w:pPr>
              <w:pStyle w:val="11"/>
              <w:spacing w:before="0" w:beforeAutospacing="0" w:after="0" w:afterAutospacing="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（清算期间）</w:t>
            </w:r>
          </w:p>
        </w:tc>
      </w:tr>
      <w:tr w14:paraId="514EC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44ED6C21">
            <w:pPr>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一、清算收益</w:t>
            </w:r>
          </w:p>
        </w:tc>
        <w:tc>
          <w:tcPr>
            <w:tcW w:w="4408" w:type="dxa"/>
            <w:noWrap w:val="0"/>
            <w:vAlign w:val="top"/>
          </w:tcPr>
          <w:p w14:paraId="0778103F">
            <w:pPr>
              <w:keepNext w:val="0"/>
              <w:keepLines w:val="0"/>
              <w:widowControl/>
              <w:suppressLineNumbers w:val="0"/>
              <w:jc w:val="right"/>
              <w:textAlignment w:val="center"/>
              <w:rPr>
                <w:rFonts w:hint="eastAsia" w:ascii="宋体" w:hAnsi="宋体" w:eastAsia="宋体" w:cs="宋体"/>
                <w:color w:val="auto"/>
                <w:kern w:val="2"/>
                <w:sz w:val="21"/>
                <w:szCs w:val="21"/>
                <w:u w:val="none"/>
                <w:lang w:val="en-US" w:eastAsia="zh-CN" w:bidi="ar-SA"/>
              </w:rPr>
            </w:pPr>
            <w:r>
              <w:rPr>
                <w:rFonts w:hint="eastAsia" w:ascii="宋体" w:hAnsi="宋体" w:eastAsia="宋体" w:cs="宋体"/>
                <w:b/>
                <w:bCs/>
                <w:color w:val="auto"/>
                <w:kern w:val="2"/>
                <w:sz w:val="21"/>
                <w:szCs w:val="21"/>
                <w:u w:val="none"/>
                <w:lang w:val="en-US" w:eastAsia="zh-CN" w:bidi="ar-SA"/>
              </w:rPr>
              <w:t>-120.45</w:t>
            </w:r>
          </w:p>
        </w:tc>
      </w:tr>
      <w:tr w14:paraId="4734D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13EE0602">
            <w:pP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 w:val="14"/>
                <w:szCs w:val="14"/>
                <w:highlight w:val="none"/>
              </w:rPr>
              <w:t xml:space="preserve"> </w:t>
            </w:r>
            <w:r>
              <w:rPr>
                <w:rFonts w:hint="eastAsia" w:ascii="宋体" w:hAnsi="宋体" w:eastAsia="宋体" w:cs="宋体"/>
                <w:color w:val="auto"/>
                <w:szCs w:val="21"/>
                <w:highlight w:val="none"/>
              </w:rPr>
              <w:t>利息收入</w:t>
            </w:r>
            <w:r>
              <w:rPr>
                <w:rFonts w:hint="eastAsia" w:ascii="宋体" w:hAnsi="宋体" w:cs="宋体"/>
                <w:color w:val="auto"/>
                <w:szCs w:val="21"/>
                <w:highlight w:val="none"/>
                <w:lang w:eastAsia="zh-CN"/>
              </w:rPr>
              <w:t>（见备注</w:t>
            </w:r>
            <w:r>
              <w:rPr>
                <w:rFonts w:hint="eastAsia" w:ascii="宋体" w:hAnsi="宋体" w:cs="宋体"/>
                <w:color w:val="auto"/>
                <w:szCs w:val="21"/>
                <w:highlight w:val="none"/>
                <w:lang w:val="en-US" w:eastAsia="zh-CN"/>
              </w:rPr>
              <w:t>1）</w:t>
            </w:r>
          </w:p>
        </w:tc>
        <w:tc>
          <w:tcPr>
            <w:tcW w:w="4408" w:type="dxa"/>
            <w:noWrap w:val="0"/>
            <w:vAlign w:val="top"/>
          </w:tcPr>
          <w:p w14:paraId="2E44A2FD">
            <w:pPr>
              <w:keepNext w:val="0"/>
              <w:keepLines w:val="0"/>
              <w:widowControl/>
              <w:suppressLineNumbers w:val="0"/>
              <w:jc w:val="right"/>
              <w:textAlignment w:val="center"/>
              <w:rPr>
                <w:rFonts w:hint="eastAsia" w:ascii="宋体" w:hAnsi="宋体" w:eastAsia="宋体" w:cs="宋体"/>
                <w:color w:val="auto"/>
                <w:kern w:val="2"/>
                <w:sz w:val="21"/>
                <w:szCs w:val="21"/>
                <w:u w:val="none"/>
                <w:lang w:val="en-US" w:eastAsia="zh-CN" w:bidi="ar-SA"/>
              </w:rPr>
            </w:pPr>
            <w:r>
              <w:rPr>
                <w:rFonts w:hint="eastAsia" w:ascii="宋体" w:hAnsi="宋体" w:eastAsia="宋体" w:cs="宋体"/>
                <w:color w:val="auto"/>
                <w:kern w:val="2"/>
                <w:sz w:val="21"/>
                <w:szCs w:val="21"/>
                <w:u w:val="none"/>
                <w:lang w:val="en-US" w:eastAsia="zh-CN" w:bidi="ar-SA"/>
              </w:rPr>
              <w:t>367.47</w:t>
            </w:r>
          </w:p>
        </w:tc>
      </w:tr>
      <w:tr w14:paraId="3BF66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7D49D201">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投资收益</w:t>
            </w:r>
          </w:p>
        </w:tc>
        <w:tc>
          <w:tcPr>
            <w:tcW w:w="4408" w:type="dxa"/>
            <w:noWrap w:val="0"/>
            <w:vAlign w:val="top"/>
          </w:tcPr>
          <w:p w14:paraId="77BB5443">
            <w:pPr>
              <w:keepNext w:val="0"/>
              <w:keepLines w:val="0"/>
              <w:widowControl/>
              <w:suppressLineNumbers w:val="0"/>
              <w:jc w:val="right"/>
              <w:textAlignment w:val="center"/>
              <w:rPr>
                <w:rFonts w:hint="eastAsia" w:ascii="宋体" w:hAnsi="宋体" w:eastAsia="宋体" w:cs="宋体"/>
                <w:color w:val="auto"/>
                <w:kern w:val="2"/>
                <w:sz w:val="21"/>
                <w:szCs w:val="21"/>
                <w:u w:val="none"/>
                <w:lang w:val="en-US" w:eastAsia="zh-CN" w:bidi="ar-SA"/>
              </w:rPr>
            </w:pPr>
            <w:r>
              <w:rPr>
                <w:rFonts w:hint="eastAsia" w:ascii="宋体" w:hAnsi="宋体" w:eastAsia="宋体" w:cs="宋体"/>
                <w:color w:val="auto"/>
                <w:kern w:val="2"/>
                <w:sz w:val="21"/>
                <w:szCs w:val="21"/>
                <w:u w:val="none"/>
                <w:lang w:val="en-US" w:eastAsia="zh-CN" w:bidi="ar-SA"/>
              </w:rPr>
              <w:t>-24,244.00</w:t>
            </w:r>
          </w:p>
        </w:tc>
      </w:tr>
      <w:tr w14:paraId="0E333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107D431D">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3. 公允价值变动损益</w:t>
            </w:r>
          </w:p>
        </w:tc>
        <w:tc>
          <w:tcPr>
            <w:tcW w:w="4408" w:type="dxa"/>
            <w:noWrap w:val="0"/>
            <w:vAlign w:val="top"/>
          </w:tcPr>
          <w:p w14:paraId="38B94A11">
            <w:pPr>
              <w:keepNext w:val="0"/>
              <w:keepLines w:val="0"/>
              <w:widowControl/>
              <w:suppressLineNumbers w:val="0"/>
              <w:jc w:val="right"/>
              <w:textAlignment w:val="center"/>
              <w:rPr>
                <w:rFonts w:hint="eastAsia" w:ascii="宋体" w:hAnsi="宋体" w:eastAsia="宋体" w:cs="宋体"/>
                <w:color w:val="auto"/>
                <w:kern w:val="2"/>
                <w:sz w:val="21"/>
                <w:szCs w:val="21"/>
                <w:u w:val="none"/>
                <w:lang w:val="en-US" w:eastAsia="zh-CN" w:bidi="ar-SA"/>
              </w:rPr>
            </w:pPr>
            <w:r>
              <w:rPr>
                <w:rFonts w:hint="eastAsia" w:ascii="宋体" w:hAnsi="宋体" w:eastAsia="宋体" w:cs="宋体"/>
                <w:color w:val="auto"/>
                <w:kern w:val="2"/>
                <w:sz w:val="21"/>
                <w:szCs w:val="21"/>
                <w:u w:val="none"/>
                <w:lang w:val="en-US" w:eastAsia="zh-CN" w:bidi="ar-SA"/>
              </w:rPr>
              <w:t>23,756.00</w:t>
            </w:r>
          </w:p>
        </w:tc>
      </w:tr>
      <w:tr w14:paraId="06FB2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715D403E">
            <w:pPr>
              <w:numPr>
                <w:ilvl w:val="0"/>
                <w:numId w:val="1"/>
              </w:num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汇兑收益</w:t>
            </w:r>
          </w:p>
        </w:tc>
        <w:tc>
          <w:tcPr>
            <w:tcW w:w="4408" w:type="dxa"/>
            <w:noWrap w:val="0"/>
            <w:vAlign w:val="top"/>
          </w:tcPr>
          <w:p w14:paraId="4CB74092">
            <w:pPr>
              <w:keepNext w:val="0"/>
              <w:keepLines w:val="0"/>
              <w:widowControl/>
              <w:suppressLineNumbers w:val="0"/>
              <w:jc w:val="right"/>
              <w:textAlignment w:val="center"/>
              <w:rPr>
                <w:rFonts w:hint="eastAsia" w:ascii="宋体" w:hAnsi="宋体" w:eastAsia="宋体" w:cs="宋体"/>
                <w:color w:val="auto"/>
                <w:kern w:val="2"/>
                <w:sz w:val="21"/>
                <w:szCs w:val="21"/>
                <w:u w:val="none"/>
                <w:lang w:val="en-US" w:eastAsia="zh-CN" w:bidi="ar-SA"/>
              </w:rPr>
            </w:pPr>
            <w:r>
              <w:rPr>
                <w:rFonts w:hint="eastAsia" w:ascii="宋体" w:hAnsi="宋体" w:eastAsia="宋体" w:cs="宋体"/>
                <w:color w:val="auto"/>
                <w:kern w:val="2"/>
                <w:sz w:val="21"/>
                <w:szCs w:val="21"/>
                <w:u w:val="none"/>
                <w:lang w:val="en-US" w:eastAsia="zh-CN" w:bidi="ar-SA"/>
              </w:rPr>
              <w:t>-</w:t>
            </w:r>
          </w:p>
        </w:tc>
      </w:tr>
      <w:tr w14:paraId="5B8A5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 w:hRule="atLeast"/>
          <w:jc w:val="center"/>
        </w:trPr>
        <w:tc>
          <w:tcPr>
            <w:tcW w:w="3495" w:type="dxa"/>
            <w:noWrap w:val="0"/>
            <w:vAlign w:val="center"/>
          </w:tcPr>
          <w:p w14:paraId="2156229A">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 其他收入</w:t>
            </w:r>
          </w:p>
        </w:tc>
        <w:tc>
          <w:tcPr>
            <w:tcW w:w="4408" w:type="dxa"/>
            <w:noWrap w:val="0"/>
            <w:vAlign w:val="top"/>
          </w:tcPr>
          <w:p w14:paraId="2B68FBF9">
            <w:pPr>
              <w:keepNext w:val="0"/>
              <w:keepLines w:val="0"/>
              <w:widowControl/>
              <w:suppressLineNumbers w:val="0"/>
              <w:jc w:val="right"/>
              <w:textAlignment w:val="center"/>
              <w:rPr>
                <w:rFonts w:hint="eastAsia" w:ascii="宋体" w:hAnsi="宋体" w:eastAsia="宋体" w:cs="宋体"/>
                <w:color w:val="auto"/>
                <w:kern w:val="2"/>
                <w:sz w:val="21"/>
                <w:szCs w:val="21"/>
                <w:u w:val="none"/>
                <w:lang w:val="en-US" w:eastAsia="zh-CN" w:bidi="ar-SA"/>
              </w:rPr>
            </w:pPr>
            <w:r>
              <w:rPr>
                <w:rFonts w:hint="eastAsia" w:ascii="宋体" w:hAnsi="宋体" w:eastAsia="宋体" w:cs="宋体"/>
                <w:color w:val="auto"/>
                <w:kern w:val="2"/>
                <w:sz w:val="21"/>
                <w:szCs w:val="21"/>
                <w:u w:val="none"/>
                <w:lang w:val="en-US" w:eastAsia="zh-CN" w:bidi="ar-SA"/>
              </w:rPr>
              <w:t>0.08</w:t>
            </w:r>
          </w:p>
        </w:tc>
      </w:tr>
      <w:tr w14:paraId="23BC1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01E862AA">
            <w:pP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二、清算费用</w:t>
            </w:r>
          </w:p>
        </w:tc>
        <w:tc>
          <w:tcPr>
            <w:tcW w:w="4408" w:type="dxa"/>
            <w:noWrap w:val="0"/>
            <w:vAlign w:val="top"/>
          </w:tcPr>
          <w:p w14:paraId="4AAB832E">
            <w:pPr>
              <w:keepNext w:val="0"/>
              <w:keepLines w:val="0"/>
              <w:widowControl/>
              <w:suppressLineNumbers w:val="0"/>
              <w:jc w:val="right"/>
              <w:textAlignment w:val="center"/>
              <w:rPr>
                <w:rFonts w:hint="eastAsia" w:ascii="宋体" w:hAnsi="宋体" w:eastAsia="宋体" w:cs="宋体"/>
                <w:color w:val="auto"/>
                <w:kern w:val="2"/>
                <w:sz w:val="21"/>
                <w:szCs w:val="21"/>
                <w:u w:val="none"/>
                <w:lang w:val="en-US" w:eastAsia="zh-CN" w:bidi="ar-SA"/>
              </w:rPr>
            </w:pPr>
            <w:r>
              <w:rPr>
                <w:rFonts w:hint="eastAsia" w:ascii="宋体" w:hAnsi="宋体" w:eastAsia="宋体" w:cs="宋体"/>
                <w:b/>
                <w:bCs/>
                <w:color w:val="auto"/>
                <w:kern w:val="2"/>
                <w:sz w:val="21"/>
                <w:szCs w:val="21"/>
                <w:u w:val="none"/>
                <w:lang w:val="en-US" w:eastAsia="zh-CN" w:bidi="ar-SA"/>
              </w:rPr>
              <w:t>24.00</w:t>
            </w:r>
          </w:p>
        </w:tc>
      </w:tr>
      <w:tr w14:paraId="2C187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681DBDCB">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汇划费</w:t>
            </w:r>
            <w:r>
              <w:rPr>
                <w:rFonts w:hint="eastAsia" w:ascii="宋体" w:hAnsi="宋体" w:cs="宋体"/>
                <w:color w:val="auto"/>
                <w:szCs w:val="21"/>
                <w:highlight w:val="none"/>
                <w:lang w:eastAsia="zh-CN"/>
              </w:rPr>
              <w:t>（见备注</w:t>
            </w:r>
            <w:r>
              <w:rPr>
                <w:rFonts w:hint="eastAsia" w:ascii="宋体" w:hAnsi="宋体" w:cs="宋体"/>
                <w:color w:val="auto"/>
                <w:szCs w:val="21"/>
                <w:highlight w:val="none"/>
                <w:lang w:val="en-US" w:eastAsia="zh-CN"/>
              </w:rPr>
              <w:t>2）</w:t>
            </w:r>
          </w:p>
        </w:tc>
        <w:tc>
          <w:tcPr>
            <w:tcW w:w="4408" w:type="dxa"/>
            <w:noWrap w:val="0"/>
            <w:vAlign w:val="top"/>
          </w:tcPr>
          <w:p w14:paraId="02C84D3B">
            <w:pPr>
              <w:keepNext w:val="0"/>
              <w:keepLines w:val="0"/>
              <w:widowControl/>
              <w:suppressLineNumbers w:val="0"/>
              <w:jc w:val="right"/>
              <w:textAlignment w:val="center"/>
              <w:rPr>
                <w:rFonts w:hint="eastAsia" w:ascii="宋体" w:hAnsi="宋体" w:eastAsia="宋体" w:cs="宋体"/>
                <w:color w:val="auto"/>
                <w:kern w:val="2"/>
                <w:sz w:val="21"/>
                <w:szCs w:val="21"/>
                <w:u w:val="none"/>
                <w:lang w:val="en-US" w:eastAsia="zh-CN" w:bidi="ar-SA"/>
              </w:rPr>
            </w:pPr>
            <w:r>
              <w:rPr>
                <w:rFonts w:hint="eastAsia" w:ascii="宋体" w:hAnsi="宋体" w:eastAsia="宋体" w:cs="宋体"/>
                <w:color w:val="auto"/>
                <w:kern w:val="2"/>
                <w:sz w:val="21"/>
                <w:szCs w:val="21"/>
                <w:u w:val="none"/>
                <w:lang w:val="en-US" w:eastAsia="zh-CN" w:bidi="ar-SA"/>
              </w:rPr>
              <w:t>24.00</w:t>
            </w:r>
          </w:p>
        </w:tc>
      </w:tr>
      <w:tr w14:paraId="3F14F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451E42A8">
            <w:pP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三、清算收益（损失）总额</w:t>
            </w:r>
          </w:p>
        </w:tc>
        <w:tc>
          <w:tcPr>
            <w:tcW w:w="4408" w:type="dxa"/>
            <w:noWrap w:val="0"/>
            <w:vAlign w:val="center"/>
          </w:tcPr>
          <w:p w14:paraId="7333E7C7">
            <w:pPr>
              <w:keepNext w:val="0"/>
              <w:keepLines w:val="0"/>
              <w:widowControl/>
              <w:suppressLineNumbers w:val="0"/>
              <w:jc w:val="right"/>
              <w:textAlignment w:val="center"/>
              <w:rPr>
                <w:rFonts w:hint="eastAsia" w:ascii="宋体" w:hAnsi="宋体" w:eastAsia="宋体" w:cs="宋体"/>
                <w:color w:val="auto"/>
                <w:kern w:val="2"/>
                <w:sz w:val="21"/>
                <w:szCs w:val="21"/>
                <w:u w:val="none"/>
                <w:lang w:val="en-US" w:eastAsia="zh-CN" w:bidi="ar-SA"/>
              </w:rPr>
            </w:pPr>
            <w:r>
              <w:rPr>
                <w:rFonts w:hint="eastAsia" w:ascii="宋体" w:hAnsi="宋体" w:eastAsia="宋体" w:cs="宋体"/>
                <w:b/>
                <w:bCs/>
                <w:color w:val="auto"/>
                <w:kern w:val="2"/>
                <w:sz w:val="21"/>
                <w:szCs w:val="21"/>
                <w:u w:val="none"/>
                <w:lang w:val="en-US" w:eastAsia="zh-CN" w:bidi="ar-SA"/>
              </w:rPr>
              <w:t>-144.45</w:t>
            </w:r>
          </w:p>
        </w:tc>
      </w:tr>
      <w:tr w14:paraId="6D18D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47556A9F">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减：</w:t>
            </w:r>
            <w:bookmarkStart w:id="41" w:name="OLE_LINK3"/>
            <w:r>
              <w:rPr>
                <w:rFonts w:hint="eastAsia" w:ascii="宋体" w:hAnsi="宋体" w:eastAsia="宋体" w:cs="宋体"/>
                <w:color w:val="auto"/>
                <w:szCs w:val="21"/>
                <w:highlight w:val="none"/>
              </w:rPr>
              <w:t>所得税费用</w:t>
            </w:r>
            <w:bookmarkEnd w:id="41"/>
          </w:p>
        </w:tc>
        <w:tc>
          <w:tcPr>
            <w:tcW w:w="4408" w:type="dxa"/>
            <w:noWrap w:val="0"/>
            <w:vAlign w:val="center"/>
          </w:tcPr>
          <w:p w14:paraId="0D267A57">
            <w:pPr>
              <w:keepNext w:val="0"/>
              <w:keepLines w:val="0"/>
              <w:widowControl/>
              <w:suppressLineNumbers w:val="0"/>
              <w:jc w:val="right"/>
              <w:textAlignment w:val="center"/>
              <w:rPr>
                <w:rFonts w:hint="eastAsia" w:ascii="宋体" w:hAnsi="宋体" w:eastAsia="宋体" w:cs="宋体"/>
                <w:color w:val="auto"/>
                <w:kern w:val="2"/>
                <w:sz w:val="21"/>
                <w:szCs w:val="21"/>
                <w:u w:val="none"/>
                <w:lang w:val="en-US" w:eastAsia="zh-CN" w:bidi="ar-SA"/>
              </w:rPr>
            </w:pPr>
            <w:r>
              <w:rPr>
                <w:rFonts w:hint="eastAsia" w:ascii="宋体" w:hAnsi="宋体" w:eastAsia="宋体" w:cs="宋体"/>
                <w:color w:val="auto"/>
                <w:kern w:val="2"/>
                <w:sz w:val="21"/>
                <w:szCs w:val="21"/>
                <w:u w:val="none"/>
                <w:lang w:val="en-US" w:eastAsia="zh-CN" w:bidi="ar-SA"/>
              </w:rPr>
              <w:t>-</w:t>
            </w:r>
          </w:p>
        </w:tc>
      </w:tr>
      <w:tr w14:paraId="55CF8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noWrap w:val="0"/>
            <w:vAlign w:val="center"/>
          </w:tcPr>
          <w:p w14:paraId="7D114857">
            <w:pP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四、清算净收益（损失）</w:t>
            </w:r>
          </w:p>
        </w:tc>
        <w:tc>
          <w:tcPr>
            <w:tcW w:w="4408" w:type="dxa"/>
            <w:noWrap w:val="0"/>
            <w:vAlign w:val="center"/>
          </w:tcPr>
          <w:p w14:paraId="76FFDCC0">
            <w:pPr>
              <w:keepNext w:val="0"/>
              <w:keepLines w:val="0"/>
              <w:widowControl/>
              <w:suppressLineNumbers w:val="0"/>
              <w:jc w:val="right"/>
              <w:textAlignment w:val="center"/>
              <w:rPr>
                <w:rFonts w:hint="eastAsia" w:ascii="宋体" w:hAnsi="宋体" w:eastAsia="宋体" w:cs="宋体"/>
                <w:color w:val="auto"/>
                <w:kern w:val="2"/>
                <w:sz w:val="21"/>
                <w:szCs w:val="21"/>
                <w:u w:val="none"/>
                <w:lang w:val="en-US" w:eastAsia="zh-CN" w:bidi="ar-SA"/>
              </w:rPr>
            </w:pPr>
            <w:r>
              <w:rPr>
                <w:rFonts w:hint="eastAsia" w:ascii="宋体" w:hAnsi="宋体" w:eastAsia="宋体" w:cs="宋体"/>
                <w:b/>
                <w:bCs/>
                <w:color w:val="auto"/>
                <w:kern w:val="2"/>
                <w:sz w:val="21"/>
                <w:szCs w:val="21"/>
                <w:u w:val="none"/>
                <w:lang w:val="en-US" w:eastAsia="zh-CN" w:bidi="ar-SA"/>
              </w:rPr>
              <w:t>-144.45</w:t>
            </w:r>
          </w:p>
        </w:tc>
      </w:tr>
    </w:tbl>
    <w:p w14:paraId="1641EC3C">
      <w:pPr>
        <w:pStyle w:val="28"/>
        <w:rPr>
          <w:rFonts w:hint="eastAsia" w:ascii="宋体" w:hAnsi="宋体" w:eastAsia="宋体" w:cs="宋体"/>
          <w:color w:val="auto"/>
          <w:u w:val="none"/>
        </w:rPr>
      </w:pPr>
      <w:bookmarkStart w:id="42" w:name="_Toc484607313"/>
      <w:bookmarkStart w:id="43" w:name="_Toc483396840"/>
      <w:bookmarkStart w:id="44" w:name="_Toc484769808"/>
      <w:r>
        <w:rPr>
          <w:rFonts w:hint="eastAsia" w:ascii="宋体" w:hAnsi="宋体" w:eastAsia="宋体" w:cs="宋体"/>
          <w:color w:val="auto"/>
          <w:highlight w:val="none"/>
        </w:rPr>
        <w:t>注：</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利息收入系以当前适用的利率预估计提的自</w:t>
      </w:r>
      <w:r>
        <w:rPr>
          <w:rFonts w:hint="eastAsia" w:ascii="宋体" w:hAnsi="宋体" w:eastAsia="宋体" w:cs="宋体"/>
          <w:b w:val="0"/>
          <w:bCs/>
          <w:color w:val="auto"/>
          <w:sz w:val="21"/>
          <w:szCs w:val="21"/>
          <w:highlight w:val="none"/>
          <w:lang w:val="en-US" w:eastAsia="zh-CN"/>
        </w:rPr>
        <w:t>2026年7月28日</w:t>
      </w:r>
      <w:r>
        <w:rPr>
          <w:rFonts w:hint="eastAsia" w:ascii="宋体" w:hAnsi="宋体" w:eastAsia="宋体" w:cs="宋体"/>
          <w:color w:val="auto"/>
          <w:highlight w:val="none"/>
        </w:rPr>
        <w:t>至</w:t>
      </w:r>
      <w:r>
        <w:rPr>
          <w:rFonts w:hint="eastAsia" w:ascii="宋体" w:hAnsi="宋体" w:eastAsia="宋体" w:cs="宋体"/>
          <w:color w:val="auto"/>
          <w:u w:val="none"/>
        </w:rPr>
        <w:t>2026年8月5日止清算期间的活期存款利息。</w:t>
      </w:r>
    </w:p>
    <w:p w14:paraId="1408DF65">
      <w:pPr>
        <w:pStyle w:val="28"/>
        <w:rPr>
          <w:rFonts w:hint="eastAsia" w:ascii="宋体" w:hAnsi="宋体" w:eastAsia="宋体" w:cs="宋体"/>
          <w:color w:val="auto"/>
          <w:u w:val="none"/>
          <w:lang w:val="en-US" w:eastAsia="zh-CN"/>
        </w:rPr>
      </w:pPr>
      <w:r>
        <w:rPr>
          <w:rFonts w:hint="eastAsia" w:ascii="宋体" w:hAnsi="宋体" w:eastAsia="宋体" w:cs="宋体"/>
          <w:color w:val="auto"/>
          <w:u w:val="none"/>
          <w:lang w:val="en-US" w:eastAsia="zh-CN"/>
        </w:rPr>
        <w:t>2、为保护投资者利益，基于2026年7月27日（最后运作日）已知清算相关的费用款项可预估后续将产生的汇划费，本基金于2026年7月27日（最后运作日）预提汇划费150.00元</w:t>
      </w:r>
      <w:r>
        <w:rPr>
          <w:rFonts w:hint="eastAsia" w:cs="宋体"/>
          <w:color w:val="auto"/>
          <w:u w:val="none"/>
          <w:lang w:val="en-US" w:eastAsia="zh-CN"/>
        </w:rPr>
        <w:t>（其具体安排详见本报告5.1章节）</w:t>
      </w:r>
      <w:r>
        <w:rPr>
          <w:rFonts w:hint="eastAsia" w:ascii="宋体" w:hAnsi="宋体" w:eastAsia="宋体" w:cs="宋体"/>
          <w:color w:val="auto"/>
          <w:u w:val="none"/>
          <w:lang w:val="en-US" w:eastAsia="zh-CN"/>
        </w:rPr>
        <w:t>。本基金清算期间（</w:t>
      </w:r>
      <w:r>
        <w:rPr>
          <w:rFonts w:hint="eastAsia" w:ascii="宋体" w:hAnsi="宋体" w:eastAsia="宋体" w:cs="宋体"/>
          <w:color w:val="auto"/>
          <w:highlight w:val="none"/>
        </w:rPr>
        <w:t>自</w:t>
      </w:r>
      <w:r>
        <w:rPr>
          <w:rFonts w:hint="eastAsia" w:ascii="宋体" w:hAnsi="宋体" w:eastAsia="宋体" w:cs="宋体"/>
          <w:b w:val="0"/>
          <w:bCs/>
          <w:color w:val="auto"/>
          <w:sz w:val="21"/>
          <w:szCs w:val="21"/>
          <w:highlight w:val="none"/>
          <w:lang w:val="en-US" w:eastAsia="zh-CN"/>
        </w:rPr>
        <w:t>2026年7月28日</w:t>
      </w:r>
      <w:r>
        <w:rPr>
          <w:rFonts w:hint="eastAsia" w:ascii="宋体" w:hAnsi="宋体" w:eastAsia="宋体" w:cs="宋体"/>
          <w:color w:val="auto"/>
          <w:highlight w:val="none"/>
        </w:rPr>
        <w:t>至</w:t>
      </w:r>
      <w:r>
        <w:rPr>
          <w:rFonts w:hint="eastAsia" w:ascii="宋体" w:hAnsi="宋体" w:eastAsia="宋体" w:cs="宋体"/>
          <w:color w:val="auto"/>
          <w:u w:val="none"/>
        </w:rPr>
        <w:t>2026年8月5日止</w:t>
      </w:r>
      <w:r>
        <w:rPr>
          <w:rFonts w:hint="eastAsia" w:ascii="宋体" w:hAnsi="宋体" w:eastAsia="宋体" w:cs="宋体"/>
          <w:color w:val="auto"/>
          <w:u w:val="none"/>
          <w:lang w:eastAsia="zh-CN"/>
        </w:rPr>
        <w:t>）确认的赎回款和转出款划出所产生的汇划费</w:t>
      </w:r>
      <w:r>
        <w:rPr>
          <w:rFonts w:hint="eastAsia" w:ascii="宋体" w:hAnsi="宋体" w:eastAsia="宋体" w:cs="宋体"/>
          <w:color w:val="auto"/>
          <w:u w:val="none"/>
          <w:lang w:val="en-US" w:eastAsia="zh-CN"/>
        </w:rPr>
        <w:t>24.00元，不属于2026年7月27日可预估的汇划费，计入清算期损益。</w:t>
      </w:r>
    </w:p>
    <w:p w14:paraId="66CDA1DD">
      <w:pPr>
        <w:pStyle w:val="3"/>
        <w:spacing w:before="0" w:after="0"/>
        <w:rPr>
          <w:rFonts w:hint="eastAsia" w:ascii="宋体" w:hAnsi="宋体" w:eastAsia="宋体" w:cs="宋体"/>
          <w:color w:val="auto"/>
          <w:kern w:val="0"/>
          <w:sz w:val="21"/>
          <w:szCs w:val="21"/>
          <w:highlight w:val="none"/>
        </w:rPr>
      </w:pPr>
      <w:bookmarkStart w:id="45" w:name="_Toc491963086"/>
      <w:r>
        <w:rPr>
          <w:rFonts w:hint="eastAsia" w:ascii="宋体" w:hAnsi="宋体" w:eastAsia="宋体" w:cs="宋体"/>
          <w:color w:val="auto"/>
          <w:kern w:val="0"/>
          <w:sz w:val="21"/>
          <w:szCs w:val="21"/>
          <w:highlight w:val="none"/>
        </w:rPr>
        <w:t>4.3 报表附注</w:t>
      </w:r>
      <w:bookmarkEnd w:id="42"/>
      <w:bookmarkEnd w:id="43"/>
      <w:bookmarkEnd w:id="44"/>
      <w:bookmarkEnd w:id="45"/>
    </w:p>
    <w:p w14:paraId="2CC930BD">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4.3.1基金基本情况</w:t>
      </w:r>
    </w:p>
    <w:p w14:paraId="509F3184">
      <w:pPr>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基金经中国证监会证监许可[2019]510号《关于准予博时富悦纯债债券型证券投资基金注册的批复》核准，由博时基金管理有限公司依照《中华人民共和国证券投资基金法》和《博时富悦纯债债券型证券投资基金基金合同》负责公开募集。本基金为契约型开放式，存续期限不定，首次设立募集不包括认购资金利息共募集人民币220,048,741.63元，业经普华永道中天会计师事务所（特殊普通合伙）普华永道中天验字（2019）第0705号验资报告予以验证。经向中国证监会备案，《博时富悦纯债债券型证券投资基金基金合同》于2019年11月28日正式生效，基金合同生效日的基金份额总额为220,048,804.26份基金份额，其中认购资金利息折合62.63份基金份额。本基金的基金管理人为博时基金管理有限公司，基金托管人为中国民生银行股份有限公司。</w:t>
      </w:r>
    </w:p>
    <w:p w14:paraId="664F66E4">
      <w:pPr>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根据基金管理人2023年2月15日发布的《博时富悦纯债债券型证券投资基金增加C类基金份额并修改基金合同和托管协议的公告》，经与基金托管人协商一致并报中国证监会备案，自2023年2月15日起对本基金增加C类份额并相应修改基金合同。根据《博时富悦纯债债券型证券投资基金基金合同》，本基金根据申购费用与销售服务费收取方式等不同，将基金份额分为不同的类别。在投资者申购基金时收取申购费，不收取销售服务费的，称为A类基金份额；在投资者申购基金时不收取申购费，而是从本类别基金资产中计提销售服务费的，称为C类基金份额。A类、C类基金份额分别设置代码，分别计算和公告各类基金份额净值和各类基金份额累计净值。</w:t>
      </w:r>
    </w:p>
    <w:p w14:paraId="3B8FE522">
      <w:pPr>
        <w:pStyle w:val="28"/>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根据《中华人民共和国证券投资基金法》和《博时富悦纯债债券型证券投资基金基金合同》的有关规定，本基金的投资范围主要为具有良好流动性的金融工具，包括国债、金融债、企业债、公司债、地方政府债、中小企业私募债券、央行票据、中期票据、短期融资券、超短期融资券、资产支持证券、公开发行的次级债、可分离交易可转债的纯债部分、债券回购、同业存单、银行存款、国债期货等法律法规或中国证监会允许基金投资的其他金融工具（但须符合中国证监会的相关规定）。本基金不投资于股票、权证等资产，也不投资于可转换债券（可分离交易可转债的纯债部分除外）、可交换债券。本基金对债券的投资比例不低于基金资产的80%；本基金每个交易日日终在扣除国债期货合约需缴纳的交易保证金后，现金或者到期日在一年以内的政府债券不低于基金资产净值的5%，其中，现金不包括结算备付金、存出保证金、应收申购款等。</w:t>
      </w:r>
    </w:p>
    <w:p w14:paraId="43B7EBF0">
      <w:pPr>
        <w:pStyle w:val="28"/>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本基金的业绩比较基准为：中债综合财富（总值）指数收益率×90%+1年期定期存款利率（税后）×10%。</w:t>
      </w:r>
    </w:p>
    <w:p w14:paraId="309F7E90">
      <w:pPr>
        <w:pStyle w:val="28"/>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根据《</w:t>
      </w:r>
      <w:r>
        <w:rPr>
          <w:rFonts w:hint="eastAsia" w:ascii="宋体" w:hAnsi="宋体" w:eastAsia="宋体" w:cs="宋体"/>
          <w:color w:val="auto"/>
          <w:szCs w:val="21"/>
          <w:highlight w:val="none"/>
        </w:rPr>
        <w:t>博时富悦纯债债券型证券投资基金</w:t>
      </w:r>
      <w:r>
        <w:rPr>
          <w:rFonts w:hint="eastAsia" w:ascii="宋体" w:hAnsi="宋体" w:eastAsia="宋体" w:cs="宋体"/>
          <w:color w:val="auto"/>
          <w:highlight w:val="none"/>
        </w:rPr>
        <w:t>基金合同》以及基金管理人博时基金管理有限公司于</w:t>
      </w:r>
      <w:r>
        <w:rPr>
          <w:rFonts w:hint="eastAsia" w:ascii="宋体" w:hAnsi="宋体" w:eastAsia="宋体" w:cs="宋体"/>
          <w:color w:val="auto"/>
          <w:highlight w:val="none"/>
          <w:lang w:val="en-US" w:eastAsia="zh-CN"/>
        </w:rPr>
        <w:t>2026年7月28日</w:t>
      </w:r>
      <w:r>
        <w:rPr>
          <w:rFonts w:hint="eastAsia" w:ascii="宋体" w:hAnsi="宋体" w:eastAsia="宋体" w:cs="宋体"/>
          <w:color w:val="auto"/>
          <w:highlight w:val="none"/>
        </w:rPr>
        <w:t>发布的《</w:t>
      </w:r>
      <w:r>
        <w:rPr>
          <w:rFonts w:hint="eastAsia" w:ascii="宋体" w:hAnsi="宋体" w:eastAsia="宋体" w:cs="宋体"/>
          <w:color w:val="auto"/>
          <w:highlight w:val="none"/>
          <w:lang w:eastAsia="zh-CN"/>
        </w:rPr>
        <w:t>博时基金管理有限公司关于博时富悦纯债债券型证券投资基金基金合同终止及基金财产清算的公告</w:t>
      </w:r>
      <w:r>
        <w:rPr>
          <w:rFonts w:hint="eastAsia" w:ascii="宋体" w:hAnsi="宋体" w:eastAsia="宋体" w:cs="宋体"/>
          <w:color w:val="auto"/>
          <w:highlight w:val="none"/>
        </w:rPr>
        <w:t xml:space="preserve">》，截至2026年7月27日，本基金出现连续六十个工作日基金资产净值低于五千万元的情形，已触发《基金合同》中约定的基金终止条款。根据《基金合同》有关约定，博时基金管理有限公司应依据基金财产清算程序对本基金进行财产清算并终止基金合同，且无需召开基金份额持有人大会。 </w:t>
      </w:r>
    </w:p>
    <w:p w14:paraId="5E23F5C4">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4.3.2清算原因</w:t>
      </w:r>
    </w:p>
    <w:p w14:paraId="3E0BC3A8">
      <w:pPr>
        <w:pStyle w:val="11"/>
        <w:spacing w:before="0" w:beforeAutospacing="0" w:after="0" w:afterAutospacing="0" w:line="360" w:lineRule="auto"/>
        <w:ind w:firstLine="42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根据《基金合同》“第五部分 基金备案”之“三、基金存续期内的基金份额持有人数量和资产规模”约定：  </w:t>
      </w:r>
    </w:p>
    <w:p w14:paraId="4ED8843D">
      <w:pPr>
        <w:pStyle w:val="11"/>
        <w:spacing w:before="0" w:beforeAutospacing="0" w:after="0" w:afterAutospacing="0" w:line="360" w:lineRule="auto"/>
        <w:ind w:firstLine="42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基金合同》生效后，连续20个工作日出现基金份额持有人数量不满200人或者基金资产净值低于5000万元情形的，基金管理人应当在定期报告中予以披露；连续60个工作日出现前述情形的，本基金将根据基金合同的约定进行基金财产清算并终止，而无需召开基金份额持有人大会。  </w:t>
      </w:r>
    </w:p>
    <w:p w14:paraId="406C7425">
      <w:pPr>
        <w:pStyle w:val="11"/>
        <w:spacing w:before="0" w:beforeAutospacing="0" w:after="0" w:afterAutospacing="0" w:line="360" w:lineRule="auto"/>
        <w:ind w:firstLine="42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法律法规或监管机构另有规定时，从其规定。”</w:t>
      </w:r>
    </w:p>
    <w:p w14:paraId="5294CC66">
      <w:pPr>
        <w:pStyle w:val="11"/>
        <w:spacing w:before="0" w:beforeAutospacing="0" w:after="0" w:afterAutospacing="0" w:line="360" w:lineRule="auto"/>
        <w:ind w:firstLine="420"/>
        <w:rPr>
          <w:rFonts w:hint="eastAsia" w:ascii="宋体" w:hAnsi="宋体" w:eastAsia="宋体" w:cs="宋体"/>
          <w:color w:val="auto"/>
          <w:highlight w:val="none"/>
        </w:rPr>
      </w:pPr>
      <w:r>
        <w:rPr>
          <w:rFonts w:hint="eastAsia" w:ascii="宋体" w:hAnsi="宋体" w:eastAsia="宋体" w:cs="宋体"/>
          <w:sz w:val="21"/>
          <w:szCs w:val="21"/>
        </w:rPr>
        <w:t>截至2026年7月27日，本基金出现连续六十个工作日基金资产净值低于五千万元的情形，已触发《基金合同》中约定的基金终止条款。根据《基金合同》有关约定，博时基金管理有限公司应依据基金财产清算程序对本基金进行财产清算并终止基金合同，且无需召开基金份额持有人大会。</w:t>
      </w:r>
      <w:r>
        <w:rPr>
          <w:rFonts w:hint="eastAsia" w:ascii="宋体" w:hAnsi="宋体" w:eastAsia="宋体" w:cs="宋体"/>
          <w:color w:val="auto"/>
          <w:kern w:val="2"/>
          <w:sz w:val="21"/>
          <w:szCs w:val="21"/>
          <w:highlight w:val="none"/>
          <w:lang w:val="en-US" w:eastAsia="zh-CN" w:bidi="ar-SA"/>
        </w:rPr>
        <w:t xml:space="preserve"> </w:t>
      </w:r>
    </w:p>
    <w:p w14:paraId="7C6A0F3B">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4.3.3清算起始日</w:t>
      </w:r>
    </w:p>
    <w:p w14:paraId="32AA553B">
      <w:pPr>
        <w:pStyle w:val="28"/>
        <w:rPr>
          <w:rFonts w:hint="eastAsia" w:ascii="宋体" w:hAnsi="宋体" w:eastAsia="宋体" w:cs="宋体"/>
          <w:color w:val="auto"/>
          <w:highlight w:val="none"/>
        </w:rPr>
      </w:pPr>
      <w:r>
        <w:rPr>
          <w:rFonts w:hint="eastAsia" w:ascii="宋体" w:hAnsi="宋体" w:eastAsia="宋体" w:cs="宋体"/>
          <w:color w:val="auto"/>
          <w:highlight w:val="none"/>
        </w:rPr>
        <w:t>根据博时基金管理有限公司于</w:t>
      </w:r>
      <w:r>
        <w:rPr>
          <w:rFonts w:hint="eastAsia" w:ascii="宋体" w:hAnsi="宋体" w:eastAsia="宋体" w:cs="宋体"/>
          <w:color w:val="auto"/>
          <w:highlight w:val="none"/>
          <w:lang w:val="en-US" w:eastAsia="zh-CN"/>
        </w:rPr>
        <w:t>2026年7月28日</w:t>
      </w:r>
      <w:r>
        <w:rPr>
          <w:rFonts w:hint="eastAsia" w:ascii="宋体" w:hAnsi="宋体" w:eastAsia="宋体" w:cs="宋体"/>
          <w:color w:val="auto"/>
          <w:highlight w:val="none"/>
        </w:rPr>
        <w:t>发布的《</w:t>
      </w:r>
      <w:r>
        <w:rPr>
          <w:rFonts w:hint="eastAsia" w:ascii="宋体" w:hAnsi="宋体" w:eastAsia="宋体" w:cs="宋体"/>
          <w:color w:val="auto"/>
          <w:highlight w:val="none"/>
          <w:lang w:eastAsia="zh-CN"/>
        </w:rPr>
        <w:t>博时基金管理有限公司关于博时富悦纯债债券型证券投资基金基金合同终止及基金财产清算的公告</w:t>
      </w:r>
      <w:r>
        <w:rPr>
          <w:rFonts w:hint="eastAsia" w:ascii="宋体" w:hAnsi="宋体" w:eastAsia="宋体" w:cs="宋体"/>
          <w:color w:val="auto"/>
          <w:highlight w:val="none"/>
        </w:rPr>
        <w:t>》，本基金的清算起始日为</w:t>
      </w:r>
      <w:r>
        <w:rPr>
          <w:rFonts w:hint="eastAsia" w:ascii="宋体" w:hAnsi="宋体" w:eastAsia="宋体" w:cs="宋体"/>
          <w:color w:val="auto"/>
          <w:highlight w:val="none"/>
          <w:lang w:val="en-US" w:eastAsia="zh-CN"/>
        </w:rPr>
        <w:t>2026年7月28日</w:t>
      </w:r>
      <w:r>
        <w:rPr>
          <w:rFonts w:hint="eastAsia" w:ascii="宋体" w:hAnsi="宋体" w:eastAsia="宋体" w:cs="宋体"/>
          <w:color w:val="auto"/>
          <w:highlight w:val="none"/>
        </w:rPr>
        <w:t>。</w:t>
      </w:r>
    </w:p>
    <w:p w14:paraId="4C8478FA">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4.3.4清算财务报表的编制基础</w:t>
      </w:r>
    </w:p>
    <w:p w14:paraId="311C18B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如财务报表附注4.3.3所述，自</w:t>
      </w:r>
      <w:r>
        <w:rPr>
          <w:rFonts w:hint="eastAsia" w:ascii="宋体" w:hAnsi="宋体" w:eastAsia="宋体" w:cs="宋体"/>
          <w:color w:val="auto"/>
          <w:highlight w:val="none"/>
          <w:lang w:val="en-US" w:eastAsia="zh-CN"/>
        </w:rPr>
        <w:t>2026年7月28日</w:t>
      </w:r>
      <w:r>
        <w:rPr>
          <w:rFonts w:hint="eastAsia" w:ascii="宋体" w:hAnsi="宋体" w:eastAsia="宋体" w:cs="宋体"/>
          <w:color w:val="auto"/>
          <w:szCs w:val="21"/>
          <w:highlight w:val="none"/>
        </w:rPr>
        <w:t>起，本基金进入清算程序，因此本财务报表以清算基础编制。</w:t>
      </w:r>
    </w:p>
    <w:p w14:paraId="5F52B2A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本基金财务报表按附注4.3.5中所述的重要会计政策和会计估计以清算基础编制。于</w:t>
      </w:r>
      <w:r>
        <w:rPr>
          <w:rFonts w:hint="eastAsia" w:ascii="宋体" w:hAnsi="宋体" w:eastAsia="宋体" w:cs="宋体"/>
          <w:color w:val="auto"/>
          <w:szCs w:val="21"/>
          <w:highlight w:val="none"/>
          <w:lang w:val="en-US" w:eastAsia="zh-CN"/>
        </w:rPr>
        <w:t>2026年7月27日</w:t>
      </w:r>
      <w:r>
        <w:rPr>
          <w:rFonts w:hint="eastAsia" w:ascii="宋体" w:hAnsi="宋体" w:eastAsia="宋体" w:cs="宋体"/>
          <w:color w:val="auto"/>
          <w:szCs w:val="21"/>
          <w:highlight w:val="none"/>
        </w:rPr>
        <w:t>(基金最后运作日)，所有资产以可收回金额与原账面价值孰低计量，负债以预计需要清偿的金额计量。</w:t>
      </w:r>
    </w:p>
    <w:p w14:paraId="2C155D5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此外，本基金财务报表按照中国证券投资基金业协会(以下简称“中国基金业协会”)颁布的《证券投资基金会计核算业务指引》、《基金合同》约定的资产估值和会计核算方法及在财务报表附注4.3所列示的中国证监会、中国基金业协会发布的有关规定及允许的基金行业实务操作编制。</w:t>
      </w:r>
    </w:p>
    <w:p w14:paraId="24198AF0">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4.3.5 重要会计政策和会计估计</w:t>
      </w:r>
    </w:p>
    <w:p w14:paraId="767BFD67">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4.3.5.1清算期间</w:t>
      </w:r>
    </w:p>
    <w:p w14:paraId="043460A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本清算期</w:t>
      </w:r>
      <w:r>
        <w:rPr>
          <w:rFonts w:hint="eastAsia" w:ascii="宋体" w:hAnsi="宋体" w:eastAsia="宋体" w:cs="宋体"/>
          <w:color w:val="auto"/>
          <w:u w:val="none"/>
        </w:rPr>
        <w:t>间为</w:t>
      </w:r>
      <w:r>
        <w:rPr>
          <w:rFonts w:hint="eastAsia" w:ascii="宋体" w:hAnsi="宋体" w:eastAsia="宋体" w:cs="宋体"/>
          <w:color w:val="auto"/>
          <w:u w:val="none"/>
          <w:lang w:val="en-US" w:eastAsia="zh-CN"/>
        </w:rPr>
        <w:t>2026年7月28日</w:t>
      </w:r>
      <w:r>
        <w:rPr>
          <w:rFonts w:hint="eastAsia" w:ascii="宋体" w:hAnsi="宋体" w:eastAsia="宋体" w:cs="宋体"/>
          <w:color w:val="auto"/>
          <w:szCs w:val="21"/>
          <w:highlight w:val="none"/>
        </w:rPr>
        <w:t>至</w:t>
      </w:r>
      <w:r>
        <w:rPr>
          <w:rFonts w:hint="eastAsia" w:ascii="宋体" w:hAnsi="宋体" w:eastAsia="宋体" w:cs="宋体"/>
          <w:color w:val="auto"/>
          <w:u w:val="none"/>
        </w:rPr>
        <w:t>2026年8月5日。</w:t>
      </w:r>
    </w:p>
    <w:p w14:paraId="7EC0447F">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4.3.5.2 记账本位币</w:t>
      </w:r>
    </w:p>
    <w:p w14:paraId="4EBB8CA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本清算财务报表以人民币为记账本位币。</w:t>
      </w:r>
    </w:p>
    <w:p w14:paraId="4A885133">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4.3.5.3 应收利息的确认和计量 </w:t>
      </w:r>
    </w:p>
    <w:p w14:paraId="04FF03B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应收款项按照未来应收取的款项金额计量。</w:t>
      </w:r>
    </w:p>
    <w:p w14:paraId="00FE54E0">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4.3.5.4 应付款项的确认和计量 </w:t>
      </w:r>
    </w:p>
    <w:p w14:paraId="77A0454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应付款项按照未来应支付的款项金额计量。</w:t>
      </w:r>
    </w:p>
    <w:p w14:paraId="17C90609">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4.3.5.5 清算收益的确认和计量 </w:t>
      </w:r>
    </w:p>
    <w:p w14:paraId="6C8C6BB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清算收益按照实际发生的收益金额或未来应收取的款项金额计量。</w:t>
      </w:r>
    </w:p>
    <w:p w14:paraId="4A4D4685">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4.3.5.6清算费用的确认和计量 </w:t>
      </w:r>
    </w:p>
    <w:p w14:paraId="73922CD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清算费用按照实际发生的费用金额或未来应支付的款项金额计量。</w:t>
      </w:r>
    </w:p>
    <w:p w14:paraId="20F4EA20">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4.3.6 税项</w:t>
      </w:r>
    </w:p>
    <w:p w14:paraId="6A70FA8F">
      <w:pPr>
        <w:pStyle w:val="44"/>
        <w:ind w:firstLine="420"/>
        <w:rPr>
          <w:rFonts w:hint="eastAsia" w:ascii="宋体" w:hAnsi="宋体" w:eastAsia="宋体" w:cs="宋体"/>
        </w:rPr>
      </w:pPr>
      <w:bookmarkStart w:id="46" w:name="_Toc491963087"/>
      <w:bookmarkStart w:id="47" w:name="_Toc484769809"/>
      <w:r>
        <w:rPr>
          <w:rFonts w:hint="eastAsia" w:ascii="宋体" w:hAnsi="宋体" w:eastAsia="宋体" w:cs="宋体"/>
        </w:rPr>
        <w:t>（1） 增值税</w:t>
      </w:r>
    </w:p>
    <w:p w14:paraId="6C089BC0">
      <w:pPr>
        <w:pStyle w:val="44"/>
        <w:ind w:firstLine="420"/>
        <w:rPr>
          <w:rFonts w:hint="eastAsia" w:ascii="宋体" w:hAnsi="宋体" w:eastAsia="宋体" w:cs="宋体"/>
        </w:rPr>
      </w:pPr>
      <w:r>
        <w:rPr>
          <w:rFonts w:hint="eastAsia" w:ascii="宋体" w:hAnsi="宋体" w:eastAsia="宋体" w:cs="宋体"/>
        </w:rPr>
        <w:t>根据中华人民共和国主席令第四十一号《中华人民共和国增值税法》、中华人民共和国国务院令第826号文《中华人民共和国增值税法实施条例》及财政部、税务总局公告2026年第10号文《关于增值税法施行后增值税优惠政策衔接事项的公告》的规定，资管产品运营过程中发生的应税交易，资管产品管理人为纳税人；自2026年1月1日至2027年12月31日，对公募证券投资基金（封闭式证券投资基金、开放式证券投资基金）管理人运用基金买卖股票、债券取得的收入免征增值税；自2026年1月1日至2027年12月31日，金融同业往来利息收入免征增值税，金融同业往来利息收入包括金融机构与人民银行所发生的资金往来业务、银行联行往来业务、金融机构间的资金往来业务，以及金融机构开展同业存款、同业借款、同业代付、买断式买入返售金融商品、质押式买入返售金融商品、同业存单，取得的利息收入；取得存款利息收入不属于应税交易，不征收增值税；</w:t>
      </w:r>
    </w:p>
    <w:p w14:paraId="1248BD7C">
      <w:pPr>
        <w:pStyle w:val="44"/>
        <w:ind w:firstLine="420"/>
        <w:rPr>
          <w:rFonts w:hint="eastAsia" w:ascii="宋体" w:hAnsi="宋体" w:eastAsia="宋体" w:cs="宋体"/>
        </w:rPr>
      </w:pPr>
      <w:r>
        <w:rPr>
          <w:rFonts w:hint="eastAsia" w:ascii="宋体" w:hAnsi="宋体" w:eastAsia="宋体" w:cs="宋体"/>
        </w:rPr>
        <w:t>根据财政部、国家税务总局公告2025年第4号文《关于国债等债券利息收入增值税政策的公告》的规定，自2025年8月8日起，对在该日期之后（含当日）新发行的国债、地方政府债券、金融债券的利息收入，恢复征收增值税。对在该日期之前已发行的国债、地方政府债券、金融债券（包含在2025年8月8日之后续发行的部分）的利息收入，继续免征增值税直至债券到期；</w:t>
      </w:r>
    </w:p>
    <w:p w14:paraId="16B06521">
      <w:pPr>
        <w:pStyle w:val="44"/>
        <w:ind w:firstLine="420"/>
        <w:rPr>
          <w:rFonts w:hint="eastAsia" w:ascii="宋体" w:hAnsi="宋体" w:eastAsia="宋体" w:cs="宋体"/>
        </w:rPr>
      </w:pPr>
      <w:r>
        <w:rPr>
          <w:rFonts w:hint="eastAsia" w:ascii="宋体" w:hAnsi="宋体" w:eastAsia="宋体" w:cs="宋体"/>
        </w:rPr>
        <w:t>根据财政部、国家税务总局财税[2017]56号文《关于资管产品增值税有关问题的通知》及财政部、税务总局公告2026年第10号文《关于增值税法施行后增值税优惠政策衔接事项的公告》的规定，自2026年1月1日至2027年12月31日，资管产品管理人运营契约制资管产品过程中发生的增值税应税行为，可以选择适用简易计税方法，按照3%的规定征收率计算缴纳增值税，资管产品管理人未分别核算运营资管产品过程中发生的增值税应税行为（以下称资管产品运营业务）和其他业务的销售额和增值税应纳税额的除外。资管产品管理人可选择分别或汇总核算资管产品运营业务销售额和增值税应纳税额；　　</w:t>
      </w:r>
    </w:p>
    <w:p w14:paraId="6688BE6A">
      <w:pPr>
        <w:pStyle w:val="44"/>
        <w:ind w:firstLine="420"/>
        <w:rPr>
          <w:rFonts w:hint="eastAsia" w:ascii="宋体" w:hAnsi="宋体" w:eastAsia="宋体" w:cs="宋体"/>
        </w:rPr>
      </w:pPr>
      <w:r>
        <w:rPr>
          <w:rFonts w:hint="eastAsia" w:ascii="宋体" w:hAnsi="宋体" w:eastAsia="宋体" w:cs="宋体"/>
        </w:rPr>
        <w:t>增值税附加税包括城市维护建设税、教育费附加和地方教育附加，以实际缴纳的增值税税额为计税依据，分别按规定的比例缴纳。</w:t>
      </w:r>
    </w:p>
    <w:p w14:paraId="62F53030">
      <w:pPr>
        <w:pStyle w:val="44"/>
        <w:ind w:firstLine="420"/>
        <w:rPr>
          <w:rFonts w:hint="eastAsia" w:ascii="宋体" w:hAnsi="宋体" w:eastAsia="宋体" w:cs="宋体"/>
        </w:rPr>
      </w:pPr>
      <w:r>
        <w:rPr>
          <w:rFonts w:hint="eastAsia" w:ascii="宋体" w:hAnsi="宋体" w:eastAsia="宋体" w:cs="宋体"/>
        </w:rPr>
        <w:t>（2） 企业所得税</w:t>
      </w:r>
    </w:p>
    <w:p w14:paraId="7C474824">
      <w:pPr>
        <w:pStyle w:val="44"/>
        <w:ind w:firstLine="420"/>
        <w:rPr>
          <w:rFonts w:hint="eastAsia" w:ascii="宋体" w:hAnsi="宋体" w:eastAsia="宋体" w:cs="宋体"/>
        </w:rPr>
      </w:pPr>
      <w:r>
        <w:rPr>
          <w:rFonts w:hint="eastAsia" w:ascii="宋体" w:hAnsi="宋体" w:eastAsia="宋体" w:cs="宋体"/>
        </w:rPr>
        <w:t>根据财政部、国家税务总局财税[2004]78号文《关于证券投资基金税收政策的通知》的规定，自2004年1月1日起，对证券投资基金（封闭式证券投资基金，开放式证券投资基金）管理人运用基金买卖股票、债券的差价收入，继续免征企业所得税；</w:t>
      </w:r>
    </w:p>
    <w:p w14:paraId="72EDA100">
      <w:pPr>
        <w:pStyle w:val="44"/>
        <w:ind w:firstLine="420"/>
        <w:rPr>
          <w:rFonts w:hint="eastAsia" w:ascii="宋体" w:hAnsi="宋体" w:eastAsia="宋体" w:cs="宋体"/>
        </w:rPr>
      </w:pPr>
      <w:r>
        <w:rPr>
          <w:rFonts w:hint="eastAsia" w:ascii="宋体" w:hAnsi="宋体" w:eastAsia="宋体" w:cs="宋体"/>
        </w:rPr>
        <w:t>根据财政部、国家税务总局财税[2008]1号文《关于企业所得税若干优惠政策的通知》的规定，对证券投资基金从证券市场中取得的收入，包括买卖股票、债券的差价收入，股权的股息、红利收入，债券的利息收入及其他收入，暂不征收企业所得税。</w:t>
      </w:r>
    </w:p>
    <w:p w14:paraId="2A798098">
      <w:pPr>
        <w:pStyle w:val="44"/>
        <w:ind w:firstLine="420"/>
        <w:rPr>
          <w:rFonts w:hint="eastAsia" w:ascii="宋体" w:hAnsi="宋体" w:eastAsia="宋体" w:cs="宋体"/>
        </w:rPr>
      </w:pPr>
      <w:r>
        <w:rPr>
          <w:rFonts w:hint="eastAsia" w:ascii="宋体" w:hAnsi="宋体" w:eastAsia="宋体" w:cs="宋体"/>
        </w:rPr>
        <w:t>（3） 个人所得税</w:t>
      </w:r>
    </w:p>
    <w:p w14:paraId="204B93B6">
      <w:pPr>
        <w:pStyle w:val="44"/>
        <w:ind w:firstLine="420"/>
        <w:rPr>
          <w:rFonts w:hint="eastAsia" w:ascii="宋体" w:hAnsi="宋体" w:eastAsia="宋体" w:cs="宋体"/>
        </w:rPr>
      </w:pPr>
      <w:r>
        <w:rPr>
          <w:rFonts w:hint="eastAsia" w:ascii="宋体" w:hAnsi="宋体" w:eastAsia="宋体" w:cs="宋体"/>
        </w:rPr>
        <w:t>根据财政部、国家税务总局财税[2008]132号文《财政部、国家税务总局关于储蓄存款利息所得有关个人所得税政策的通知》的规定，自2008年10月9日起，对储蓄存款利息所得暂免征收个人所得税。</w:t>
      </w:r>
    </w:p>
    <w:p w14:paraId="6D7E3637">
      <w:pPr>
        <w:pStyle w:val="2"/>
        <w:keepNext/>
        <w:keepLines/>
        <w:widowControl w:val="0"/>
        <w:spacing w:before="312" w:beforeLines="100" w:after="312" w:afterLines="100" w:line="360" w:lineRule="auto"/>
        <w:jc w:val="center"/>
        <w:rPr>
          <w:rStyle w:val="25"/>
          <w:rFonts w:hint="eastAsia" w:ascii="宋体" w:hAnsi="宋体" w:eastAsia="宋体" w:cs="宋体"/>
          <w:color w:val="auto"/>
          <w:highlight w:val="none"/>
        </w:rPr>
      </w:pPr>
      <w:r>
        <w:rPr>
          <w:rStyle w:val="25"/>
          <w:rFonts w:hint="eastAsia" w:ascii="宋体" w:hAnsi="宋体" w:eastAsia="宋体" w:cs="宋体"/>
          <w:color w:val="auto"/>
          <w:highlight w:val="none"/>
        </w:rPr>
        <w:t>5、清算情况</w:t>
      </w:r>
      <w:bookmarkEnd w:id="46"/>
    </w:p>
    <w:p w14:paraId="2117732B">
      <w:pPr>
        <w:pStyle w:val="3"/>
        <w:spacing w:before="0" w:after="0"/>
        <w:rPr>
          <w:rFonts w:hint="eastAsia" w:ascii="宋体" w:hAnsi="宋体" w:eastAsia="宋体" w:cs="宋体"/>
          <w:color w:val="auto"/>
          <w:kern w:val="0"/>
          <w:sz w:val="21"/>
          <w:szCs w:val="21"/>
          <w:highlight w:val="none"/>
        </w:rPr>
      </w:pPr>
      <w:bookmarkStart w:id="48" w:name="_Toc491963088"/>
      <w:r>
        <w:rPr>
          <w:rFonts w:hint="eastAsia" w:ascii="宋体" w:hAnsi="宋体" w:eastAsia="宋体" w:cs="宋体"/>
          <w:color w:val="auto"/>
          <w:kern w:val="0"/>
          <w:sz w:val="21"/>
          <w:szCs w:val="21"/>
          <w:highlight w:val="none"/>
        </w:rPr>
        <w:t>5.1 资产负债清算情况</w:t>
      </w:r>
      <w:bookmarkEnd w:id="48"/>
    </w:p>
    <w:p w14:paraId="5AF45B47">
      <w:pPr>
        <w:pStyle w:val="28"/>
        <w:rPr>
          <w:rFonts w:hint="eastAsia" w:ascii="宋体" w:hAnsi="宋体" w:eastAsia="宋体" w:cs="宋体"/>
          <w:color w:val="auto"/>
          <w:highlight w:val="none"/>
        </w:rPr>
      </w:pPr>
      <w:r>
        <w:rPr>
          <w:rFonts w:hint="eastAsia" w:ascii="宋体" w:hAnsi="宋体" w:eastAsia="宋体" w:cs="宋体"/>
          <w:color w:val="auto"/>
          <w:highlight w:val="none"/>
        </w:rPr>
        <w:t>自</w:t>
      </w:r>
      <w:r>
        <w:rPr>
          <w:rFonts w:hint="eastAsia" w:ascii="宋体" w:hAnsi="宋体" w:eastAsia="宋体" w:cs="宋体"/>
          <w:color w:val="auto"/>
          <w:highlight w:val="none"/>
          <w:lang w:val="en-US" w:eastAsia="zh-CN"/>
        </w:rPr>
        <w:t>2026年7月28日</w:t>
      </w:r>
      <w:r>
        <w:rPr>
          <w:rFonts w:hint="eastAsia" w:ascii="宋体" w:hAnsi="宋体" w:eastAsia="宋体" w:cs="宋体"/>
          <w:color w:val="auto"/>
          <w:highlight w:val="none"/>
        </w:rPr>
        <w:t>至</w:t>
      </w:r>
      <w:r>
        <w:rPr>
          <w:rFonts w:hint="eastAsia" w:ascii="宋体" w:hAnsi="宋体" w:eastAsia="宋体" w:cs="宋体"/>
          <w:color w:val="auto"/>
          <w:highlight w:val="none"/>
          <w:lang w:val="en-US" w:eastAsia="zh-CN"/>
        </w:rPr>
        <w:t>2026年8月5日</w:t>
      </w:r>
      <w:r>
        <w:rPr>
          <w:rFonts w:hint="eastAsia" w:ascii="宋体" w:hAnsi="宋体" w:eastAsia="宋体" w:cs="宋体"/>
          <w:color w:val="auto"/>
          <w:highlight w:val="none"/>
        </w:rPr>
        <w:t>止为本次清算期间，基金财产清算小组对本基金的基金财产进行清算，全部清算工作按清算原则和清算手续进行。具体清算情况如下：</w:t>
      </w:r>
    </w:p>
    <w:p w14:paraId="26FA26B8">
      <w:pPr>
        <w:pStyle w:val="28"/>
        <w:rPr>
          <w:rFonts w:hint="eastAsia" w:ascii="宋体" w:hAnsi="宋体" w:eastAsia="宋体" w:cs="宋体"/>
          <w:color w:val="auto"/>
          <w:highlight w:val="none"/>
        </w:rPr>
      </w:pPr>
      <w:r>
        <w:rPr>
          <w:rFonts w:hint="eastAsia" w:ascii="宋体" w:hAnsi="宋体" w:eastAsia="宋体" w:cs="宋体"/>
          <w:color w:val="auto"/>
          <w:highlight w:val="none"/>
        </w:rPr>
        <w:t>截至本次清算期结束日（</w:t>
      </w:r>
      <w:r>
        <w:rPr>
          <w:rFonts w:hint="eastAsia" w:ascii="宋体" w:hAnsi="宋体" w:eastAsia="宋体" w:cs="宋体"/>
          <w:color w:val="auto"/>
          <w:highlight w:val="none"/>
          <w:lang w:val="en-US" w:eastAsia="zh-CN"/>
        </w:rPr>
        <w:t>2026年8月5日</w:t>
      </w:r>
      <w:r>
        <w:rPr>
          <w:rFonts w:hint="eastAsia" w:ascii="宋体" w:hAnsi="宋体" w:eastAsia="宋体" w:cs="宋体"/>
          <w:color w:val="auto"/>
          <w:highlight w:val="none"/>
        </w:rPr>
        <w:t>），各项资产负债清算情况如下：</w:t>
      </w:r>
    </w:p>
    <w:p w14:paraId="251DD994">
      <w:pPr>
        <w:pStyle w:val="28"/>
        <w:numPr>
          <w:ilvl w:val="0"/>
          <w:numId w:val="2"/>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本基金最后运作日银行存款为</w:t>
      </w:r>
      <w:r>
        <w:rPr>
          <w:rFonts w:hint="eastAsia" w:ascii="宋体" w:hAnsi="宋体" w:eastAsia="宋体" w:cs="宋体"/>
          <w:color w:val="auto"/>
          <w:highlight w:val="none"/>
          <w:lang w:val="en-US" w:eastAsia="zh-CN"/>
        </w:rPr>
        <w:t>541,663.77</w:t>
      </w:r>
      <w:r>
        <w:rPr>
          <w:rFonts w:hint="eastAsia" w:ascii="宋体" w:hAnsi="宋体" w:eastAsia="宋体" w:cs="宋体"/>
          <w:color w:val="auto"/>
          <w:highlight w:val="none"/>
        </w:rPr>
        <w:t>元（含应计利息</w:t>
      </w:r>
      <w:r>
        <w:rPr>
          <w:rFonts w:hint="eastAsia" w:ascii="宋体" w:hAnsi="宋体" w:eastAsia="宋体" w:cs="宋体"/>
          <w:color w:val="auto"/>
          <w:highlight w:val="none"/>
          <w:lang w:val="en-US" w:eastAsia="zh-CN"/>
        </w:rPr>
        <w:t>367.25</w:t>
      </w:r>
      <w:r>
        <w:rPr>
          <w:rFonts w:hint="eastAsia" w:ascii="宋体" w:hAnsi="宋体" w:eastAsia="宋体" w:cs="宋体"/>
          <w:color w:val="auto"/>
          <w:highlight w:val="none"/>
        </w:rPr>
        <w:t>元）</w:t>
      </w:r>
      <w:r>
        <w:rPr>
          <w:rFonts w:hint="eastAsia" w:ascii="宋体" w:hAnsi="宋体" w:eastAsia="宋体" w:cs="宋体"/>
          <w:color w:val="auto"/>
          <w:highlight w:val="none"/>
          <w:lang w:eastAsia="zh-CN"/>
        </w:rPr>
        <w:t>，</w:t>
      </w:r>
      <w:r>
        <w:rPr>
          <w:rFonts w:hint="eastAsia" w:ascii="宋体" w:hAnsi="宋体" w:eastAsia="宋体" w:cs="宋体"/>
        </w:rPr>
        <w:t>在清算期间</w:t>
      </w:r>
      <w:r>
        <w:rPr>
          <w:rFonts w:hint="eastAsia" w:ascii="宋体" w:hAnsi="宋体" w:eastAsia="宋体" w:cs="宋体"/>
          <w:lang w:eastAsia="zh-CN"/>
        </w:rPr>
        <w:t>产生</w:t>
      </w:r>
      <w:r>
        <w:rPr>
          <w:rFonts w:hint="eastAsia" w:ascii="宋体" w:hAnsi="宋体" w:eastAsia="宋体" w:cs="宋体"/>
          <w:color w:val="auto"/>
          <w:highlight w:val="none"/>
        </w:rPr>
        <w:t>银行存款</w:t>
      </w:r>
      <w:r>
        <w:rPr>
          <w:rFonts w:hint="eastAsia" w:ascii="宋体" w:hAnsi="宋体" w:eastAsia="宋体" w:cs="宋体"/>
          <w:lang w:eastAsia="zh-CN"/>
        </w:rPr>
        <w:t>应计利息367.47元，预计于</w:t>
      </w:r>
      <w:r>
        <w:rPr>
          <w:rFonts w:hint="eastAsia" w:ascii="宋体" w:hAnsi="宋体" w:eastAsia="宋体" w:cs="宋体"/>
          <w:lang w:val="en-US" w:eastAsia="zh-CN"/>
        </w:rPr>
        <w:t>2026年9月21日收到银行存款应计利息</w:t>
      </w:r>
      <w:r>
        <w:rPr>
          <w:rFonts w:hint="eastAsia" w:ascii="宋体" w:hAnsi="宋体" w:eastAsia="宋体" w:cs="宋体"/>
          <w:color w:val="auto"/>
          <w:highlight w:val="none"/>
        </w:rPr>
        <w:t>。</w:t>
      </w:r>
    </w:p>
    <w:p w14:paraId="32033CD0">
      <w:pPr>
        <w:pStyle w:val="28"/>
        <w:numPr>
          <w:ilvl w:val="0"/>
          <w:numId w:val="2"/>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本基金最后运作日</w:t>
      </w:r>
      <w:r>
        <w:rPr>
          <w:rFonts w:hint="eastAsia" w:ascii="宋体" w:hAnsi="宋体" w:eastAsia="宋体" w:cs="宋体"/>
          <w:color w:val="auto"/>
          <w:highlight w:val="none"/>
          <w:lang w:eastAsia="zh-CN"/>
        </w:rPr>
        <w:t>债券投资</w:t>
      </w:r>
      <w:r>
        <w:rPr>
          <w:rFonts w:hint="eastAsia" w:ascii="宋体" w:hAnsi="宋体" w:eastAsia="宋体" w:cs="宋体"/>
          <w:color w:val="auto"/>
          <w:highlight w:val="none"/>
        </w:rPr>
        <w:t>余额为</w:t>
      </w:r>
      <w:r>
        <w:rPr>
          <w:rFonts w:hint="eastAsia" w:ascii="宋体" w:hAnsi="宋体" w:eastAsia="宋体" w:cs="宋体"/>
          <w:color w:val="auto"/>
          <w:highlight w:val="none"/>
          <w:lang w:val="en-US" w:eastAsia="zh-CN"/>
        </w:rPr>
        <w:t>4,111,298.63</w:t>
      </w:r>
      <w:r>
        <w:rPr>
          <w:rFonts w:hint="eastAsia" w:ascii="宋体" w:hAnsi="宋体" w:eastAsia="宋体" w:cs="宋体"/>
          <w:color w:val="auto"/>
          <w:highlight w:val="none"/>
        </w:rPr>
        <w:t>元，</w:t>
      </w:r>
      <w:r>
        <w:rPr>
          <w:rFonts w:hint="eastAsia" w:ascii="宋体" w:hAnsi="宋体" w:eastAsia="宋体" w:cs="宋体"/>
          <w:color w:val="auto"/>
          <w:highlight w:val="none"/>
          <w:lang w:eastAsia="zh-CN"/>
        </w:rPr>
        <w:t>截</w:t>
      </w:r>
      <w:r>
        <w:rPr>
          <w:rFonts w:hint="eastAsia" w:ascii="宋体" w:hAnsi="宋体" w:eastAsia="宋体" w:cs="宋体"/>
          <w:color w:val="auto"/>
          <w:highlight w:val="none"/>
        </w:rPr>
        <w:t>至</w:t>
      </w:r>
      <w:r>
        <w:rPr>
          <w:rFonts w:hint="eastAsia" w:ascii="宋体" w:hAnsi="宋体" w:eastAsia="宋体" w:cs="宋体"/>
          <w:color w:val="auto"/>
          <w:highlight w:val="none"/>
          <w:lang w:val="en-US" w:eastAsia="zh-CN"/>
        </w:rPr>
        <w:t>2026年8月5日</w:t>
      </w:r>
      <w:r>
        <w:rPr>
          <w:rFonts w:hint="eastAsia" w:ascii="宋体" w:hAnsi="宋体" w:eastAsia="宋体" w:cs="宋体"/>
          <w:color w:val="auto"/>
          <w:highlight w:val="none"/>
        </w:rPr>
        <w:t>该款项</w:t>
      </w:r>
      <w:r>
        <w:rPr>
          <w:rFonts w:hint="eastAsia" w:ascii="宋体" w:hAnsi="宋体" w:eastAsia="宋体" w:cs="宋体"/>
          <w:color w:val="auto"/>
          <w:highlight w:val="none"/>
          <w:lang w:val="en-US" w:eastAsia="zh-CN"/>
        </w:rPr>
        <w:t>已全部变现</w:t>
      </w:r>
      <w:r>
        <w:rPr>
          <w:rFonts w:hint="eastAsia" w:ascii="宋体" w:hAnsi="宋体" w:eastAsia="宋体" w:cs="宋体"/>
          <w:color w:val="auto"/>
          <w:highlight w:val="none"/>
        </w:rPr>
        <w:t>。</w:t>
      </w:r>
    </w:p>
    <w:p w14:paraId="31F2F67F">
      <w:pPr>
        <w:pStyle w:val="28"/>
        <w:numPr>
          <w:ilvl w:val="0"/>
          <w:numId w:val="2"/>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本基金最后运作日应收申购款为</w:t>
      </w:r>
      <w:r>
        <w:rPr>
          <w:rFonts w:hint="eastAsia" w:ascii="宋体" w:hAnsi="宋体" w:eastAsia="宋体" w:cs="宋体"/>
          <w:color w:val="auto"/>
          <w:highlight w:val="none"/>
          <w:lang w:val="en-US" w:eastAsia="zh-CN"/>
        </w:rPr>
        <w:t>1,009.19</w:t>
      </w:r>
      <w:r>
        <w:rPr>
          <w:rFonts w:hint="eastAsia" w:ascii="宋体" w:hAnsi="宋体" w:eastAsia="宋体" w:cs="宋体"/>
          <w:color w:val="auto"/>
          <w:highlight w:val="none"/>
        </w:rPr>
        <w:t>元，截至</w:t>
      </w:r>
      <w:r>
        <w:rPr>
          <w:rFonts w:hint="eastAsia" w:ascii="宋体" w:hAnsi="宋体" w:eastAsia="宋体" w:cs="宋体"/>
          <w:color w:val="auto"/>
          <w:highlight w:val="none"/>
          <w:lang w:val="en-US" w:eastAsia="zh-CN"/>
        </w:rPr>
        <w:t>2026年8月5日</w:t>
      </w:r>
      <w:r>
        <w:rPr>
          <w:rFonts w:hint="eastAsia" w:ascii="宋体" w:hAnsi="宋体" w:eastAsia="宋体" w:cs="宋体"/>
          <w:color w:val="auto"/>
          <w:highlight w:val="none"/>
        </w:rPr>
        <w:t>该款项已全部收到。</w:t>
      </w:r>
    </w:p>
    <w:p w14:paraId="3CDE6C8A">
      <w:pPr>
        <w:pStyle w:val="28"/>
        <w:numPr>
          <w:ilvl w:val="0"/>
          <w:numId w:val="2"/>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本基金最后运作日应付赎回款合计为</w:t>
      </w:r>
      <w:r>
        <w:rPr>
          <w:rFonts w:hint="eastAsia" w:ascii="宋体" w:hAnsi="宋体" w:eastAsia="宋体" w:cs="宋体"/>
          <w:color w:val="auto"/>
          <w:highlight w:val="none"/>
          <w:lang w:val="en-US" w:eastAsia="zh-CN"/>
        </w:rPr>
        <w:t>366,533.72</w:t>
      </w:r>
      <w:r>
        <w:rPr>
          <w:rFonts w:hint="eastAsia" w:ascii="宋体" w:hAnsi="宋体" w:eastAsia="宋体" w:cs="宋体"/>
          <w:color w:val="auto"/>
          <w:highlight w:val="none"/>
        </w:rPr>
        <w:t>元，截至</w:t>
      </w:r>
      <w:r>
        <w:rPr>
          <w:rFonts w:hint="eastAsia" w:ascii="宋体" w:hAnsi="宋体" w:eastAsia="宋体" w:cs="宋体"/>
          <w:color w:val="auto"/>
          <w:highlight w:val="none"/>
          <w:lang w:val="en-US" w:eastAsia="zh-CN"/>
        </w:rPr>
        <w:t>2026年8月5日</w:t>
      </w:r>
      <w:r>
        <w:rPr>
          <w:rFonts w:hint="eastAsia" w:ascii="宋体" w:hAnsi="宋体" w:eastAsia="宋体" w:cs="宋体"/>
          <w:color w:val="auto"/>
          <w:highlight w:val="none"/>
        </w:rPr>
        <w:t>该款项已全部划出。</w:t>
      </w:r>
    </w:p>
    <w:p w14:paraId="6B46743F">
      <w:pPr>
        <w:pStyle w:val="28"/>
        <w:numPr>
          <w:ilvl w:val="0"/>
          <w:numId w:val="2"/>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本基金最后运作日应付管理人报酬为</w:t>
      </w:r>
      <w:r>
        <w:rPr>
          <w:rFonts w:hint="eastAsia" w:ascii="宋体" w:hAnsi="宋体" w:eastAsia="宋体" w:cs="宋体"/>
          <w:color w:val="auto"/>
          <w:highlight w:val="none"/>
          <w:lang w:val="en-US" w:eastAsia="zh-CN"/>
        </w:rPr>
        <w:t>1,869.02</w:t>
      </w:r>
      <w:r>
        <w:rPr>
          <w:rFonts w:hint="eastAsia" w:ascii="宋体" w:hAnsi="宋体" w:eastAsia="宋体" w:cs="宋体"/>
          <w:color w:val="auto"/>
          <w:highlight w:val="none"/>
        </w:rPr>
        <w:t>元，截至</w:t>
      </w:r>
      <w:r>
        <w:rPr>
          <w:rFonts w:hint="eastAsia" w:ascii="宋体" w:hAnsi="宋体" w:eastAsia="宋体" w:cs="宋体"/>
          <w:color w:val="auto"/>
          <w:highlight w:val="none"/>
          <w:lang w:val="en-US" w:eastAsia="zh-CN"/>
        </w:rPr>
        <w:t>2026年8月5日</w:t>
      </w:r>
      <w:r>
        <w:rPr>
          <w:rFonts w:hint="eastAsia" w:ascii="宋体" w:hAnsi="宋体" w:eastAsia="宋体" w:cs="宋体"/>
          <w:color w:val="auto"/>
          <w:highlight w:val="none"/>
        </w:rPr>
        <w:t>该款项已全部划出。</w:t>
      </w:r>
    </w:p>
    <w:p w14:paraId="740FDADF">
      <w:pPr>
        <w:pStyle w:val="28"/>
        <w:numPr>
          <w:ilvl w:val="0"/>
          <w:numId w:val="2"/>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本基金最后运作日应付托管费为</w:t>
      </w:r>
      <w:r>
        <w:rPr>
          <w:rFonts w:hint="eastAsia" w:ascii="宋体" w:hAnsi="宋体" w:eastAsia="宋体" w:cs="宋体"/>
          <w:color w:val="auto"/>
          <w:highlight w:val="none"/>
          <w:lang w:val="en-US" w:eastAsia="zh-CN"/>
        </w:rPr>
        <w:t>623.03</w:t>
      </w:r>
      <w:r>
        <w:rPr>
          <w:rFonts w:hint="eastAsia" w:ascii="宋体" w:hAnsi="宋体" w:eastAsia="宋体" w:cs="宋体"/>
          <w:color w:val="auto"/>
          <w:highlight w:val="none"/>
        </w:rPr>
        <w:t>元，截至</w:t>
      </w:r>
      <w:r>
        <w:rPr>
          <w:rFonts w:hint="eastAsia" w:ascii="宋体" w:hAnsi="宋体" w:eastAsia="宋体" w:cs="宋体"/>
          <w:color w:val="auto"/>
          <w:highlight w:val="none"/>
          <w:lang w:val="en-US" w:eastAsia="zh-CN"/>
        </w:rPr>
        <w:t>2026年8月5日</w:t>
      </w:r>
      <w:r>
        <w:rPr>
          <w:rFonts w:hint="eastAsia" w:ascii="宋体" w:hAnsi="宋体" w:eastAsia="宋体" w:cs="宋体"/>
          <w:color w:val="auto"/>
          <w:highlight w:val="none"/>
        </w:rPr>
        <w:t>该款项已全部划出。</w:t>
      </w:r>
    </w:p>
    <w:p w14:paraId="7FB7C986">
      <w:pPr>
        <w:pStyle w:val="28"/>
        <w:numPr>
          <w:ilvl w:val="0"/>
          <w:numId w:val="2"/>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本基金最后运作日应付销售服务费为</w:t>
      </w:r>
      <w:r>
        <w:rPr>
          <w:rFonts w:hint="eastAsia" w:ascii="宋体" w:hAnsi="宋体" w:eastAsia="宋体" w:cs="宋体"/>
          <w:color w:val="auto"/>
          <w:highlight w:val="none"/>
          <w:lang w:val="en-US" w:eastAsia="zh-CN"/>
        </w:rPr>
        <w:t>22.56</w:t>
      </w:r>
      <w:r>
        <w:rPr>
          <w:rFonts w:hint="eastAsia" w:ascii="宋体" w:hAnsi="宋体" w:eastAsia="宋体" w:cs="宋体"/>
          <w:color w:val="auto"/>
          <w:highlight w:val="none"/>
        </w:rPr>
        <w:t>元，截至</w:t>
      </w:r>
      <w:r>
        <w:rPr>
          <w:rFonts w:hint="eastAsia" w:ascii="宋体" w:hAnsi="宋体" w:eastAsia="宋体" w:cs="宋体"/>
          <w:color w:val="auto"/>
          <w:highlight w:val="none"/>
          <w:lang w:val="en-US" w:eastAsia="zh-CN"/>
        </w:rPr>
        <w:t>2026年8月5日</w:t>
      </w:r>
      <w:r>
        <w:rPr>
          <w:rFonts w:hint="eastAsia" w:ascii="宋体" w:hAnsi="宋体" w:eastAsia="宋体" w:cs="宋体"/>
          <w:color w:val="auto"/>
          <w:highlight w:val="none"/>
        </w:rPr>
        <w:t>该款项已全部划出。</w:t>
      </w:r>
    </w:p>
    <w:p w14:paraId="5E33E789">
      <w:pPr>
        <w:pStyle w:val="28"/>
        <w:numPr>
          <w:ilvl w:val="0"/>
          <w:numId w:val="2"/>
        </w:numPr>
        <w:ind w:firstLineChars="0"/>
        <w:rPr>
          <w:rFonts w:hint="eastAsia" w:ascii="宋体" w:hAnsi="宋体" w:eastAsia="宋体" w:cs="宋体"/>
          <w:color w:val="auto"/>
          <w:highlight w:val="none"/>
        </w:rPr>
      </w:pPr>
      <w:r>
        <w:rPr>
          <w:rFonts w:hint="eastAsia" w:ascii="宋体" w:hAnsi="宋体" w:eastAsia="宋体" w:cs="宋体"/>
          <w:color w:val="auto"/>
          <w:highlight w:val="none"/>
        </w:rPr>
        <w:t>本基金最后运作日其他负债为</w:t>
      </w:r>
      <w:r>
        <w:rPr>
          <w:rFonts w:hint="eastAsia" w:ascii="宋体" w:hAnsi="宋体" w:eastAsia="宋体" w:cs="宋体"/>
          <w:color w:val="auto"/>
          <w:highlight w:val="none"/>
          <w:lang w:val="en-US" w:eastAsia="zh-CN"/>
        </w:rPr>
        <w:t>153,199.16</w:t>
      </w:r>
      <w:r>
        <w:rPr>
          <w:rFonts w:hint="eastAsia" w:ascii="宋体" w:hAnsi="宋体" w:eastAsia="宋体" w:cs="宋体"/>
          <w:color w:val="auto"/>
          <w:highlight w:val="none"/>
        </w:rPr>
        <w:t>元，包括应付交易费用、</w:t>
      </w:r>
      <w:r>
        <w:rPr>
          <w:rFonts w:hint="eastAsia" w:ascii="宋体" w:hAnsi="宋体" w:eastAsia="宋体" w:cs="宋体"/>
          <w:color w:val="auto"/>
          <w:highlight w:val="none"/>
          <w:lang w:eastAsia="zh-CN"/>
        </w:rPr>
        <w:t>应付</w:t>
      </w:r>
      <w:r>
        <w:rPr>
          <w:rFonts w:hint="eastAsia" w:ascii="宋体" w:hAnsi="宋体" w:eastAsia="宋体" w:cs="宋体"/>
          <w:color w:val="auto"/>
          <w:highlight w:val="none"/>
        </w:rPr>
        <w:t>清算律师费、</w:t>
      </w:r>
      <w:r>
        <w:rPr>
          <w:rFonts w:hint="eastAsia" w:ascii="宋体" w:hAnsi="宋体" w:eastAsia="宋体" w:cs="宋体"/>
          <w:color w:val="auto"/>
          <w:highlight w:val="none"/>
          <w:lang w:eastAsia="zh-CN"/>
        </w:rPr>
        <w:t>预提汇划费、应付</w:t>
      </w:r>
      <w:r>
        <w:rPr>
          <w:rFonts w:hint="eastAsia" w:ascii="宋体" w:hAnsi="宋体" w:eastAsia="宋体" w:cs="宋体"/>
          <w:color w:val="auto"/>
          <w:highlight w:val="none"/>
          <w:lang w:val="en-US" w:eastAsia="zh-CN"/>
        </w:rPr>
        <w:t>2025年与2026年</w:t>
      </w:r>
      <w:r>
        <w:rPr>
          <w:rFonts w:hint="eastAsia" w:ascii="宋体" w:hAnsi="宋体" w:eastAsia="宋体" w:cs="宋体"/>
          <w:color w:val="auto"/>
          <w:highlight w:val="none"/>
        </w:rPr>
        <w:t>审计费</w:t>
      </w:r>
      <w:r>
        <w:rPr>
          <w:rFonts w:hint="eastAsia" w:ascii="宋体" w:hAnsi="宋体" w:eastAsia="宋体" w:cs="宋体"/>
          <w:color w:val="auto"/>
          <w:highlight w:val="none"/>
          <w:lang w:eastAsia="zh-CN"/>
        </w:rPr>
        <w:t>、应付中证报信息披露费、应付</w:t>
      </w:r>
      <w:r>
        <w:rPr>
          <w:rFonts w:hint="eastAsia" w:ascii="宋体" w:hAnsi="宋体" w:eastAsia="宋体" w:cs="宋体"/>
          <w:color w:val="auto"/>
          <w:highlight w:val="none"/>
        </w:rPr>
        <w:t>中债登账户维护费</w:t>
      </w:r>
      <w:r>
        <w:rPr>
          <w:rFonts w:hint="eastAsia" w:ascii="宋体" w:hAnsi="宋体" w:eastAsia="宋体" w:cs="宋体"/>
          <w:color w:val="auto"/>
          <w:highlight w:val="none"/>
          <w:lang w:eastAsia="zh-CN"/>
        </w:rPr>
        <w:t>和</w:t>
      </w:r>
      <w:r>
        <w:rPr>
          <w:rFonts w:hint="eastAsia" w:ascii="宋体" w:hAnsi="宋体" w:eastAsia="宋体" w:cs="宋体"/>
          <w:color w:val="auto"/>
          <w:highlight w:val="none"/>
        </w:rPr>
        <w:t>预提</w:t>
      </w:r>
      <w:r>
        <w:rPr>
          <w:rFonts w:hint="eastAsia" w:ascii="宋体" w:hAnsi="宋体" w:eastAsia="宋体" w:cs="宋体"/>
          <w:color w:val="auto"/>
          <w:highlight w:val="none"/>
          <w:lang w:eastAsia="zh-CN"/>
        </w:rPr>
        <w:t>上清所</w:t>
      </w:r>
      <w:r>
        <w:rPr>
          <w:rFonts w:hint="eastAsia" w:ascii="宋体" w:hAnsi="宋体" w:eastAsia="宋体" w:cs="宋体"/>
          <w:color w:val="auto"/>
          <w:highlight w:val="none"/>
        </w:rPr>
        <w:t>账户维护费。其中：</w:t>
      </w:r>
    </w:p>
    <w:p w14:paraId="669B695C">
      <w:pPr>
        <w:pStyle w:val="28"/>
        <w:numPr>
          <w:ilvl w:val="0"/>
          <w:numId w:val="3"/>
        </w:numPr>
        <w:rPr>
          <w:rFonts w:hint="eastAsia" w:ascii="宋体" w:hAnsi="宋体" w:eastAsia="宋体" w:cs="宋体"/>
          <w:color w:val="auto"/>
          <w:highlight w:val="none"/>
        </w:rPr>
      </w:pPr>
      <w:r>
        <w:rPr>
          <w:rFonts w:hint="eastAsia" w:ascii="宋体" w:hAnsi="宋体" w:eastAsia="宋体" w:cs="宋体"/>
          <w:color w:val="auto"/>
          <w:highlight w:val="none"/>
        </w:rPr>
        <w:t>应付交易费用为</w:t>
      </w:r>
      <w:r>
        <w:rPr>
          <w:rFonts w:hint="eastAsia" w:ascii="宋体" w:hAnsi="宋体" w:eastAsia="宋体" w:cs="宋体"/>
          <w:color w:val="auto"/>
          <w:highlight w:val="none"/>
          <w:lang w:val="en-US" w:eastAsia="zh-CN"/>
        </w:rPr>
        <w:t>465.00</w:t>
      </w:r>
      <w:r>
        <w:rPr>
          <w:rFonts w:hint="eastAsia" w:ascii="宋体" w:hAnsi="宋体" w:eastAsia="宋体" w:cs="宋体"/>
          <w:color w:val="auto"/>
          <w:highlight w:val="none"/>
        </w:rPr>
        <w:t>元，其中应付</w:t>
      </w:r>
      <w:r>
        <w:rPr>
          <w:rFonts w:hint="eastAsia" w:ascii="宋体" w:hAnsi="宋体" w:eastAsia="宋体" w:cs="宋体"/>
          <w:color w:val="auto"/>
          <w:highlight w:val="none"/>
          <w:lang w:eastAsia="zh-CN"/>
        </w:rPr>
        <w:t>中债登结算服务费</w:t>
      </w:r>
      <w:r>
        <w:rPr>
          <w:rFonts w:hint="eastAsia" w:ascii="宋体" w:hAnsi="宋体" w:eastAsia="宋体" w:cs="宋体"/>
          <w:color w:val="auto"/>
          <w:highlight w:val="none"/>
          <w:lang w:val="en-US" w:eastAsia="zh-CN"/>
        </w:rPr>
        <w:t>450.00</w:t>
      </w:r>
      <w:r>
        <w:rPr>
          <w:rFonts w:hint="eastAsia" w:ascii="宋体" w:hAnsi="宋体" w:eastAsia="宋体" w:cs="宋体"/>
          <w:color w:val="auto"/>
          <w:highlight w:val="none"/>
        </w:rPr>
        <w:t>元，清算期间产生</w:t>
      </w:r>
      <w:r>
        <w:rPr>
          <w:rFonts w:hint="eastAsia" w:ascii="宋体" w:hAnsi="宋体" w:eastAsia="宋体" w:cs="宋体"/>
          <w:color w:val="auto"/>
          <w:highlight w:val="none"/>
          <w:lang w:eastAsia="zh-CN"/>
        </w:rPr>
        <w:t>应付</w:t>
      </w:r>
      <w:r>
        <w:rPr>
          <w:rFonts w:hint="eastAsia" w:ascii="宋体" w:hAnsi="宋体" w:eastAsia="宋体" w:cs="宋体"/>
          <w:color w:val="auto"/>
          <w:highlight w:val="none"/>
        </w:rPr>
        <w:t>中登结算服务费150</w:t>
      </w:r>
      <w:r>
        <w:rPr>
          <w:rFonts w:hint="eastAsia" w:ascii="宋体" w:hAnsi="宋体" w:eastAsia="宋体" w:cs="宋体"/>
          <w:color w:val="auto"/>
          <w:highlight w:val="none"/>
          <w:lang w:val="en-US" w:eastAsia="zh-CN"/>
        </w:rPr>
        <w:t>.00</w:t>
      </w:r>
      <w:r>
        <w:rPr>
          <w:rFonts w:hint="eastAsia" w:ascii="宋体" w:hAnsi="宋体" w:eastAsia="宋体" w:cs="宋体"/>
          <w:color w:val="auto"/>
          <w:highlight w:val="none"/>
        </w:rPr>
        <w:t>元</w:t>
      </w:r>
      <w:r>
        <w:rPr>
          <w:rFonts w:hint="eastAsia" w:ascii="宋体" w:hAnsi="宋体" w:eastAsia="宋体" w:cs="宋体"/>
          <w:color w:val="auto"/>
          <w:highlight w:val="none"/>
          <w:lang w:eastAsia="zh-CN"/>
        </w:rPr>
        <w:t>，该款项预计将于收到中债登缴费通知单后划出；应付外汇交易中心交易手续费</w:t>
      </w:r>
      <w:r>
        <w:rPr>
          <w:rFonts w:hint="eastAsia" w:ascii="宋体" w:hAnsi="宋体" w:eastAsia="宋体" w:cs="宋体"/>
          <w:color w:val="auto"/>
          <w:highlight w:val="none"/>
          <w:lang w:val="en-US" w:eastAsia="zh-CN"/>
        </w:rPr>
        <w:t>15.00元，</w:t>
      </w:r>
      <w:r>
        <w:rPr>
          <w:rFonts w:hint="eastAsia" w:ascii="宋体" w:hAnsi="宋体" w:eastAsia="宋体" w:cs="宋体"/>
          <w:color w:val="auto"/>
          <w:highlight w:val="none"/>
        </w:rPr>
        <w:t>清算期间产生</w:t>
      </w:r>
      <w:r>
        <w:rPr>
          <w:rFonts w:hint="eastAsia" w:ascii="宋体" w:hAnsi="宋体" w:eastAsia="宋体" w:cs="宋体"/>
          <w:color w:val="auto"/>
          <w:highlight w:val="none"/>
          <w:lang w:eastAsia="zh-CN"/>
        </w:rPr>
        <w:t>应付</w:t>
      </w:r>
      <w:r>
        <w:rPr>
          <w:rFonts w:hint="eastAsia" w:ascii="宋体" w:hAnsi="宋体" w:eastAsia="宋体" w:cs="宋体"/>
          <w:color w:val="auto"/>
          <w:highlight w:val="none"/>
          <w:lang w:val="en-US" w:eastAsia="zh-CN"/>
        </w:rPr>
        <w:t>外汇交易中心交易手续费1</w:t>
      </w:r>
      <w:r>
        <w:rPr>
          <w:rFonts w:hint="eastAsia" w:cs="宋体"/>
          <w:color w:val="auto"/>
          <w:highlight w:val="none"/>
          <w:lang w:val="en-US" w:eastAsia="zh-CN"/>
        </w:rPr>
        <w:t>0</w:t>
      </w:r>
      <w:r>
        <w:rPr>
          <w:rFonts w:hint="eastAsia" w:ascii="宋体" w:hAnsi="宋体" w:eastAsia="宋体" w:cs="宋体"/>
          <w:color w:val="auto"/>
          <w:highlight w:val="none"/>
          <w:lang w:val="en-US" w:eastAsia="zh-CN"/>
        </w:rPr>
        <w:t>.00元，</w:t>
      </w:r>
      <w:r>
        <w:rPr>
          <w:rFonts w:hint="eastAsia" w:ascii="宋体" w:hAnsi="宋体" w:eastAsia="宋体" w:cs="宋体"/>
          <w:color w:val="auto"/>
          <w:highlight w:val="none"/>
          <w:lang w:eastAsia="zh-CN"/>
        </w:rPr>
        <w:t>该款项预计将于收到外汇交易中心缴费通知单后划出；</w:t>
      </w:r>
    </w:p>
    <w:p w14:paraId="002D0351">
      <w:pPr>
        <w:pStyle w:val="28"/>
        <w:numPr>
          <w:ilvl w:val="0"/>
          <w:numId w:val="3"/>
        </w:numPr>
        <w:rPr>
          <w:rFonts w:hint="eastAsia" w:ascii="宋体" w:hAnsi="宋体" w:eastAsia="宋体" w:cs="宋体"/>
          <w:color w:val="auto"/>
          <w:highlight w:val="none"/>
        </w:rPr>
      </w:pPr>
      <w:r>
        <w:rPr>
          <w:rFonts w:hint="eastAsia" w:ascii="宋体" w:hAnsi="宋体" w:eastAsia="宋体" w:cs="宋体"/>
          <w:color w:val="auto"/>
          <w:highlight w:val="none"/>
        </w:rPr>
        <w:t>应付清算律师费</w:t>
      </w:r>
      <w:r>
        <w:rPr>
          <w:rFonts w:hint="eastAsia" w:ascii="宋体" w:hAnsi="宋体" w:eastAsia="宋体" w:cs="宋体"/>
          <w:color w:val="auto"/>
          <w:highlight w:val="none"/>
          <w:lang w:val="en-US" w:eastAsia="zh-CN"/>
        </w:rPr>
        <w:t>10,000.00</w:t>
      </w:r>
      <w:r>
        <w:rPr>
          <w:rFonts w:hint="eastAsia" w:ascii="宋体" w:hAnsi="宋体" w:eastAsia="宋体" w:cs="宋体"/>
          <w:color w:val="auto"/>
          <w:highlight w:val="none"/>
        </w:rPr>
        <w:t>元，该款项将于取得律师费发票后支付；</w:t>
      </w:r>
    </w:p>
    <w:p w14:paraId="3BD2C140">
      <w:pPr>
        <w:pStyle w:val="28"/>
        <w:numPr>
          <w:ilvl w:val="0"/>
          <w:numId w:val="3"/>
        </w:numPr>
        <w:rPr>
          <w:rFonts w:hint="eastAsia" w:ascii="宋体" w:hAnsi="宋体" w:eastAsia="宋体" w:cs="宋体"/>
          <w:color w:val="auto"/>
          <w:highlight w:val="none"/>
        </w:rPr>
      </w:pPr>
      <w:r>
        <w:rPr>
          <w:rFonts w:hint="eastAsia" w:ascii="宋体" w:hAnsi="宋体" w:eastAsia="宋体" w:cs="宋体"/>
          <w:color w:val="auto"/>
          <w:highlight w:val="none"/>
          <w:lang w:eastAsia="zh-CN"/>
        </w:rPr>
        <w:t>预提汇划费150.00元（为保护投资者利益，根据最后运作日已知清算相关的费用款项可预估后续将产生的汇划费）</w:t>
      </w:r>
      <w:r>
        <w:rPr>
          <w:rFonts w:hint="eastAsia" w:ascii="宋体" w:hAnsi="宋体" w:eastAsia="宋体" w:cs="宋体"/>
          <w:color w:val="auto"/>
          <w:highlight w:val="none"/>
          <w:lang w:val="en-US" w:eastAsia="zh-CN"/>
        </w:rPr>
        <w:t>，清算期间</w:t>
      </w:r>
      <w:r>
        <w:rPr>
          <w:rFonts w:hint="eastAsia" w:ascii="宋体" w:hAnsi="宋体" w:eastAsia="宋体" w:cs="宋体"/>
          <w:color w:val="auto"/>
          <w:highlight w:val="none"/>
          <w:lang w:eastAsia="zh-CN"/>
        </w:rPr>
        <w:t>预提汇划费实际发生部分</w:t>
      </w:r>
      <w:r>
        <w:rPr>
          <w:rFonts w:hint="eastAsia" w:ascii="宋体" w:hAnsi="宋体" w:eastAsia="宋体" w:cs="宋体"/>
          <w:color w:val="auto"/>
          <w:highlight w:val="none"/>
          <w:lang w:val="en-US" w:eastAsia="zh-CN"/>
        </w:rPr>
        <w:t>28.50元，其余121.50元预提汇划费预计将于支付剩余应付费用款项时实际发生；</w:t>
      </w:r>
    </w:p>
    <w:p w14:paraId="59DD5A8A">
      <w:pPr>
        <w:pStyle w:val="28"/>
        <w:numPr>
          <w:ilvl w:val="0"/>
          <w:numId w:val="3"/>
        </w:numPr>
        <w:rPr>
          <w:rFonts w:hint="eastAsia" w:ascii="宋体" w:hAnsi="宋体" w:eastAsia="宋体" w:cs="宋体"/>
          <w:color w:val="auto"/>
          <w:highlight w:val="none"/>
        </w:rPr>
      </w:pPr>
      <w:r>
        <w:rPr>
          <w:rFonts w:hint="eastAsia" w:ascii="宋体" w:hAnsi="宋体" w:eastAsia="宋体" w:cs="宋体"/>
          <w:color w:val="auto"/>
          <w:highlight w:val="none"/>
          <w:lang w:eastAsia="zh-CN"/>
        </w:rPr>
        <w:t>应付</w:t>
      </w:r>
      <w:r>
        <w:rPr>
          <w:rFonts w:hint="eastAsia" w:ascii="宋体" w:hAnsi="宋体" w:eastAsia="宋体" w:cs="宋体"/>
          <w:color w:val="auto"/>
          <w:highlight w:val="none"/>
          <w:lang w:val="en-US" w:eastAsia="zh-CN"/>
        </w:rPr>
        <w:t>2025年</w:t>
      </w:r>
      <w:r>
        <w:rPr>
          <w:rFonts w:hint="eastAsia" w:ascii="宋体" w:hAnsi="宋体" w:eastAsia="宋体" w:cs="宋体"/>
          <w:color w:val="auto"/>
          <w:highlight w:val="none"/>
        </w:rPr>
        <w:t>审计费</w:t>
      </w:r>
      <w:r>
        <w:rPr>
          <w:rFonts w:hint="eastAsia" w:ascii="宋体" w:hAnsi="宋体" w:eastAsia="宋体" w:cs="宋体"/>
          <w:color w:val="auto"/>
          <w:highlight w:val="none"/>
          <w:lang w:val="en-US" w:eastAsia="zh-CN"/>
        </w:rPr>
        <w:t>60,000.00</w:t>
      </w:r>
      <w:r>
        <w:rPr>
          <w:rFonts w:hint="eastAsia" w:ascii="宋体" w:hAnsi="宋体" w:eastAsia="宋体" w:cs="宋体"/>
          <w:color w:val="auto"/>
          <w:highlight w:val="none"/>
        </w:rPr>
        <w:t>元</w:t>
      </w:r>
      <w:r>
        <w:rPr>
          <w:rFonts w:hint="eastAsia" w:ascii="宋体" w:hAnsi="宋体" w:eastAsia="宋体" w:cs="宋体"/>
          <w:color w:val="auto"/>
          <w:highlight w:val="none"/>
          <w:lang w:eastAsia="zh-CN"/>
        </w:rPr>
        <w:t>和应付</w:t>
      </w:r>
      <w:r>
        <w:rPr>
          <w:rFonts w:hint="eastAsia" w:ascii="宋体" w:hAnsi="宋体" w:eastAsia="宋体" w:cs="宋体"/>
          <w:color w:val="auto"/>
          <w:highlight w:val="none"/>
          <w:lang w:val="en-US" w:eastAsia="zh-CN"/>
        </w:rPr>
        <w:t>2026年</w:t>
      </w:r>
      <w:r>
        <w:rPr>
          <w:rFonts w:hint="eastAsia" w:ascii="宋体" w:hAnsi="宋体" w:eastAsia="宋体" w:cs="宋体"/>
          <w:color w:val="auto"/>
          <w:highlight w:val="none"/>
        </w:rPr>
        <w:t>审计费</w:t>
      </w:r>
      <w:r>
        <w:rPr>
          <w:rFonts w:hint="eastAsia" w:ascii="宋体" w:hAnsi="宋体" w:eastAsia="宋体" w:cs="宋体"/>
          <w:color w:val="auto"/>
          <w:highlight w:val="none"/>
          <w:lang w:val="en-US" w:eastAsia="zh-CN"/>
        </w:rPr>
        <w:t>8,000.00</w:t>
      </w:r>
      <w:r>
        <w:rPr>
          <w:rFonts w:hint="eastAsia" w:ascii="宋体" w:hAnsi="宋体" w:eastAsia="宋体" w:cs="宋体"/>
          <w:color w:val="auto"/>
          <w:highlight w:val="none"/>
        </w:rPr>
        <w:t>元，该款项将于取得审计费发票后支付；</w:t>
      </w:r>
    </w:p>
    <w:p w14:paraId="4F519ACA">
      <w:pPr>
        <w:pStyle w:val="28"/>
        <w:numPr>
          <w:ilvl w:val="0"/>
          <w:numId w:val="3"/>
        </w:numPr>
        <w:rPr>
          <w:rFonts w:hint="eastAsia" w:ascii="宋体" w:hAnsi="宋体" w:eastAsia="宋体" w:cs="宋体"/>
          <w:color w:val="auto"/>
          <w:highlight w:val="none"/>
        </w:rPr>
      </w:pPr>
      <w:r>
        <w:rPr>
          <w:rFonts w:hint="eastAsia" w:ascii="宋体" w:hAnsi="宋体" w:eastAsia="宋体" w:cs="宋体"/>
          <w:color w:val="auto"/>
          <w:highlight w:val="none"/>
          <w:lang w:eastAsia="zh-CN"/>
        </w:rPr>
        <w:t>应付中证报信息披露费68</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384.16</w:t>
      </w:r>
      <w:r>
        <w:rPr>
          <w:rFonts w:hint="eastAsia" w:ascii="宋体" w:hAnsi="宋体" w:eastAsia="宋体" w:cs="宋体"/>
          <w:color w:val="auto"/>
          <w:highlight w:val="none"/>
        </w:rPr>
        <w:t>元，该款项将于取得</w:t>
      </w:r>
      <w:r>
        <w:rPr>
          <w:rFonts w:hint="eastAsia" w:ascii="宋体" w:hAnsi="宋体" w:eastAsia="宋体" w:cs="宋体"/>
          <w:color w:val="auto"/>
          <w:highlight w:val="none"/>
          <w:lang w:eastAsia="zh-CN"/>
        </w:rPr>
        <w:t>信息披露</w:t>
      </w:r>
      <w:r>
        <w:rPr>
          <w:rFonts w:hint="eastAsia" w:ascii="宋体" w:hAnsi="宋体" w:eastAsia="宋体" w:cs="宋体"/>
          <w:color w:val="auto"/>
          <w:highlight w:val="none"/>
        </w:rPr>
        <w:t>费发票后支付；</w:t>
      </w:r>
    </w:p>
    <w:p w14:paraId="11665FC1">
      <w:pPr>
        <w:pStyle w:val="28"/>
        <w:numPr>
          <w:ilvl w:val="0"/>
          <w:numId w:val="3"/>
        </w:numPr>
        <w:rPr>
          <w:rFonts w:hint="eastAsia" w:ascii="宋体" w:hAnsi="宋体" w:eastAsia="宋体" w:cs="宋体"/>
          <w:color w:val="auto"/>
          <w:highlight w:val="none"/>
        </w:rPr>
      </w:pPr>
      <w:r>
        <w:rPr>
          <w:rFonts w:hint="eastAsia" w:ascii="宋体" w:hAnsi="宋体" w:eastAsia="宋体" w:cs="宋体"/>
          <w:color w:val="auto"/>
          <w:highlight w:val="none"/>
          <w:lang w:eastAsia="zh-CN"/>
        </w:rPr>
        <w:t>应付</w:t>
      </w:r>
      <w:r>
        <w:rPr>
          <w:rFonts w:hint="eastAsia" w:ascii="宋体" w:hAnsi="宋体" w:eastAsia="宋体" w:cs="宋体"/>
          <w:color w:val="auto"/>
          <w:highlight w:val="none"/>
        </w:rPr>
        <w:t>中债登账户维护费</w:t>
      </w:r>
      <w:r>
        <w:rPr>
          <w:rFonts w:hint="eastAsia" w:ascii="宋体" w:hAnsi="宋体" w:eastAsia="宋体" w:cs="宋体"/>
          <w:color w:val="auto"/>
          <w:highlight w:val="none"/>
          <w:lang w:val="en-US" w:eastAsia="zh-CN"/>
        </w:rPr>
        <w:t>3,000.00</w:t>
      </w:r>
      <w:r>
        <w:rPr>
          <w:rFonts w:hint="eastAsia" w:ascii="宋体" w:hAnsi="宋体" w:eastAsia="宋体" w:cs="宋体"/>
          <w:color w:val="auto"/>
          <w:highlight w:val="none"/>
        </w:rPr>
        <w:t>元，该款项预计将于收到中债登缴费通知单后划出</w:t>
      </w:r>
      <w:r>
        <w:rPr>
          <w:rFonts w:hint="eastAsia" w:ascii="宋体" w:hAnsi="宋体" w:eastAsia="宋体" w:cs="宋体"/>
          <w:color w:val="auto"/>
          <w:highlight w:val="none"/>
          <w:lang w:eastAsia="zh-CN"/>
        </w:rPr>
        <w:t>；</w:t>
      </w:r>
    </w:p>
    <w:p w14:paraId="7D0B34AE">
      <w:pPr>
        <w:pStyle w:val="28"/>
        <w:numPr>
          <w:ilvl w:val="0"/>
          <w:numId w:val="3"/>
        </w:numPr>
        <w:rPr>
          <w:rFonts w:hint="eastAsia" w:ascii="宋体" w:hAnsi="宋体" w:eastAsia="宋体" w:cs="宋体"/>
          <w:color w:val="auto"/>
          <w:highlight w:val="none"/>
        </w:rPr>
      </w:pPr>
      <w:r>
        <w:rPr>
          <w:rFonts w:hint="eastAsia" w:ascii="宋体" w:hAnsi="宋体" w:eastAsia="宋体" w:cs="宋体"/>
          <w:color w:val="auto"/>
          <w:highlight w:val="none"/>
          <w:lang w:eastAsia="zh-CN"/>
        </w:rPr>
        <w:t>应付上清所</w:t>
      </w:r>
      <w:r>
        <w:rPr>
          <w:rFonts w:hint="eastAsia" w:ascii="宋体" w:hAnsi="宋体" w:eastAsia="宋体" w:cs="宋体"/>
          <w:color w:val="auto"/>
          <w:highlight w:val="none"/>
        </w:rPr>
        <w:t>账户维护费</w:t>
      </w:r>
      <w:r>
        <w:rPr>
          <w:rFonts w:hint="eastAsia" w:ascii="宋体" w:hAnsi="宋体" w:eastAsia="宋体" w:cs="宋体"/>
          <w:color w:val="auto"/>
          <w:highlight w:val="none"/>
          <w:lang w:val="en-US" w:eastAsia="zh-CN"/>
        </w:rPr>
        <w:t>3,200.00</w:t>
      </w:r>
      <w:r>
        <w:rPr>
          <w:rFonts w:hint="eastAsia" w:ascii="宋体" w:hAnsi="宋体" w:eastAsia="宋体" w:cs="宋体"/>
          <w:color w:val="auto"/>
          <w:highlight w:val="none"/>
        </w:rPr>
        <w:t>元，该款项预计将于收到</w:t>
      </w:r>
      <w:r>
        <w:rPr>
          <w:rFonts w:hint="eastAsia" w:ascii="宋体" w:hAnsi="宋体" w:eastAsia="宋体" w:cs="宋体"/>
          <w:color w:val="auto"/>
          <w:highlight w:val="none"/>
          <w:lang w:eastAsia="zh-CN"/>
        </w:rPr>
        <w:t>上清所</w:t>
      </w:r>
      <w:r>
        <w:rPr>
          <w:rFonts w:hint="eastAsia" w:ascii="宋体" w:hAnsi="宋体" w:eastAsia="宋体" w:cs="宋体"/>
          <w:color w:val="auto"/>
          <w:highlight w:val="none"/>
        </w:rPr>
        <w:t>缴费通知单后划出</w:t>
      </w:r>
      <w:r>
        <w:rPr>
          <w:rFonts w:hint="eastAsia" w:ascii="宋体" w:hAnsi="宋体" w:eastAsia="宋体" w:cs="宋体"/>
          <w:color w:val="auto"/>
          <w:highlight w:val="none"/>
          <w:lang w:eastAsia="zh-CN"/>
        </w:rPr>
        <w:t>。</w:t>
      </w:r>
    </w:p>
    <w:bookmarkEnd w:id="47"/>
    <w:p w14:paraId="73704272">
      <w:pPr>
        <w:pStyle w:val="3"/>
        <w:spacing w:before="0" w:after="0"/>
        <w:rPr>
          <w:rFonts w:hint="eastAsia" w:ascii="宋体" w:hAnsi="宋体" w:eastAsia="宋体" w:cs="宋体"/>
          <w:color w:val="auto"/>
          <w:kern w:val="0"/>
          <w:sz w:val="21"/>
          <w:szCs w:val="21"/>
          <w:highlight w:val="none"/>
        </w:rPr>
      </w:pPr>
      <w:bookmarkStart w:id="49" w:name="_Toc491963089"/>
      <w:r>
        <w:rPr>
          <w:rFonts w:hint="eastAsia" w:ascii="宋体" w:hAnsi="宋体" w:eastAsia="宋体" w:cs="宋体"/>
          <w:color w:val="auto"/>
          <w:kern w:val="0"/>
          <w:sz w:val="21"/>
          <w:szCs w:val="21"/>
          <w:highlight w:val="none"/>
        </w:rPr>
        <w:t>5.2 截至本次清算期结束日的剩余财产情况及剩余财产分配安排</w:t>
      </w:r>
      <w:bookmarkEnd w:id="49"/>
    </w:p>
    <w:tbl>
      <w:tblPr>
        <w:tblStyle w:val="13"/>
        <w:tblW w:w="90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57"/>
        <w:gridCol w:w="4115"/>
      </w:tblGrid>
      <w:tr w14:paraId="115F9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398928CB">
            <w:pPr>
              <w:pStyle w:val="11"/>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w:t>
            </w:r>
          </w:p>
        </w:tc>
        <w:tc>
          <w:tcPr>
            <w:tcW w:w="4115" w:type="dxa"/>
            <w:noWrap w:val="0"/>
            <w:vAlign w:val="center"/>
          </w:tcPr>
          <w:p w14:paraId="0C4DD51F">
            <w:pPr>
              <w:pStyle w:val="11"/>
              <w:spacing w:before="0" w:beforeAutospacing="0" w:after="0" w:afterAutospacing="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金额</w:t>
            </w:r>
          </w:p>
        </w:tc>
      </w:tr>
      <w:tr w14:paraId="64CDC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6A2285B9">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一、最后运作日</w:t>
            </w:r>
            <w:r>
              <w:rPr>
                <w:rFonts w:hint="eastAsia" w:ascii="宋体" w:hAnsi="宋体" w:eastAsia="宋体" w:cs="宋体"/>
                <w:b/>
                <w:color w:val="auto"/>
                <w:szCs w:val="21"/>
                <w:highlight w:val="none"/>
                <w:lang w:val="en-US" w:eastAsia="zh-CN"/>
              </w:rPr>
              <w:t>2026年7月27日</w:t>
            </w:r>
            <w:r>
              <w:rPr>
                <w:rFonts w:hint="eastAsia" w:ascii="宋体" w:hAnsi="宋体" w:eastAsia="宋体" w:cs="宋体"/>
                <w:b/>
                <w:color w:val="auto"/>
                <w:szCs w:val="21"/>
                <w:highlight w:val="none"/>
              </w:rPr>
              <w:t>基金净资产</w:t>
            </w:r>
          </w:p>
        </w:tc>
        <w:tc>
          <w:tcPr>
            <w:tcW w:w="4115" w:type="dxa"/>
            <w:noWrap w:val="0"/>
            <w:vAlign w:val="center"/>
          </w:tcPr>
          <w:p w14:paraId="738688DD">
            <w:pPr>
              <w:ind w:left="-80"/>
              <w:jc w:val="right"/>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4,131,724.10</w:t>
            </w:r>
          </w:p>
        </w:tc>
      </w:tr>
      <w:tr w14:paraId="4108C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1D72598E">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加：</w:t>
            </w:r>
            <w:r>
              <w:rPr>
                <w:rFonts w:hint="eastAsia" w:ascii="宋体" w:hAnsi="宋体" w:eastAsia="宋体" w:cs="宋体"/>
                <w:color w:val="auto"/>
                <w:szCs w:val="21"/>
                <w:highlight w:val="none"/>
                <w:lang w:val="en-US" w:eastAsia="zh-CN"/>
              </w:rPr>
              <w:t>2026年7月28日</w:t>
            </w:r>
            <w:r>
              <w:rPr>
                <w:rFonts w:hint="eastAsia" w:ascii="宋体" w:hAnsi="宋体" w:eastAsia="宋体" w:cs="宋体"/>
                <w:color w:val="auto"/>
                <w:szCs w:val="21"/>
                <w:highlight w:val="none"/>
              </w:rPr>
              <w:t>确认申购对价</w:t>
            </w:r>
          </w:p>
        </w:tc>
        <w:tc>
          <w:tcPr>
            <w:tcW w:w="4115" w:type="dxa"/>
            <w:noWrap w:val="0"/>
            <w:vAlign w:val="center"/>
          </w:tcPr>
          <w:p w14:paraId="1ADDB8E4">
            <w:pPr>
              <w:ind w:left="-80"/>
              <w:jc w:val="righ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1,308.95</w:t>
            </w:r>
          </w:p>
        </w:tc>
      </w:tr>
      <w:tr w14:paraId="166FB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4957" w:type="dxa"/>
            <w:noWrap w:val="0"/>
            <w:vAlign w:val="center"/>
          </w:tcPr>
          <w:p w14:paraId="1B8CFA12">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减：</w:t>
            </w:r>
            <w:r>
              <w:rPr>
                <w:rFonts w:hint="eastAsia" w:ascii="宋体" w:hAnsi="宋体" w:eastAsia="宋体" w:cs="宋体"/>
                <w:color w:val="auto"/>
                <w:szCs w:val="21"/>
                <w:highlight w:val="none"/>
                <w:lang w:val="en-US" w:eastAsia="zh-CN"/>
              </w:rPr>
              <w:t>2026年7月28日</w:t>
            </w:r>
            <w:r>
              <w:rPr>
                <w:rFonts w:hint="eastAsia" w:ascii="宋体" w:hAnsi="宋体" w:eastAsia="宋体" w:cs="宋体"/>
                <w:color w:val="auto"/>
                <w:szCs w:val="21"/>
                <w:highlight w:val="none"/>
              </w:rPr>
              <w:t>确认赎回对价</w:t>
            </w:r>
          </w:p>
        </w:tc>
        <w:tc>
          <w:tcPr>
            <w:tcW w:w="4115" w:type="dxa"/>
            <w:noWrap w:val="0"/>
            <w:vAlign w:val="center"/>
          </w:tcPr>
          <w:p w14:paraId="056B04C2">
            <w:pPr>
              <w:ind w:left="-80"/>
              <w:jc w:val="righ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116,294.41</w:t>
            </w:r>
          </w:p>
        </w:tc>
      </w:tr>
      <w:tr w14:paraId="0B2D4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7590BDD1">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加：清算期间净收益</w:t>
            </w:r>
          </w:p>
        </w:tc>
        <w:tc>
          <w:tcPr>
            <w:tcW w:w="4115" w:type="dxa"/>
            <w:noWrap w:val="0"/>
            <w:vAlign w:val="center"/>
          </w:tcPr>
          <w:p w14:paraId="3904AF46">
            <w:pPr>
              <w:ind w:left="-80"/>
              <w:jc w:val="righ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-144.45</w:t>
            </w:r>
          </w:p>
        </w:tc>
      </w:tr>
      <w:tr w14:paraId="55A45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57" w:type="dxa"/>
            <w:noWrap w:val="0"/>
            <w:vAlign w:val="center"/>
          </w:tcPr>
          <w:p w14:paraId="3DA1245B">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w:t>
            </w:r>
            <w:r>
              <w:rPr>
                <w:rFonts w:hint="eastAsia" w:ascii="宋体" w:hAnsi="宋体" w:eastAsia="宋体" w:cs="宋体"/>
                <w:b/>
                <w:color w:val="auto"/>
                <w:szCs w:val="21"/>
                <w:highlight w:val="none"/>
                <w:lang w:val="en-US" w:eastAsia="zh-CN"/>
              </w:rPr>
              <w:t>2026年8月5日</w:t>
            </w:r>
            <w:r>
              <w:rPr>
                <w:rFonts w:hint="eastAsia" w:ascii="宋体" w:hAnsi="宋体" w:eastAsia="宋体" w:cs="宋体"/>
                <w:b/>
                <w:color w:val="auto"/>
                <w:szCs w:val="21"/>
                <w:highlight w:val="none"/>
              </w:rPr>
              <w:t>基金净资产</w:t>
            </w:r>
          </w:p>
        </w:tc>
        <w:tc>
          <w:tcPr>
            <w:tcW w:w="4115" w:type="dxa"/>
            <w:noWrap w:val="0"/>
            <w:vAlign w:val="center"/>
          </w:tcPr>
          <w:p w14:paraId="49F7D91F">
            <w:pPr>
              <w:ind w:left="-80"/>
              <w:jc w:val="right"/>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4,016,594.19</w:t>
            </w:r>
          </w:p>
        </w:tc>
      </w:tr>
    </w:tbl>
    <w:p w14:paraId="77254AB7">
      <w:pPr>
        <w:pStyle w:val="28"/>
        <w:rPr>
          <w:rFonts w:hint="eastAsia" w:ascii="宋体" w:hAnsi="宋体" w:eastAsia="宋体" w:cs="宋体"/>
          <w:color w:val="auto"/>
          <w:highlight w:val="none"/>
        </w:rPr>
      </w:pPr>
      <w:r>
        <w:rPr>
          <w:rFonts w:hint="eastAsia" w:ascii="宋体" w:hAnsi="宋体" w:eastAsia="宋体" w:cs="宋体"/>
          <w:color w:val="auto"/>
          <w:highlight w:val="none"/>
        </w:rPr>
        <w:t>截至本次清算期结束日</w:t>
      </w:r>
      <w:r>
        <w:rPr>
          <w:rFonts w:hint="eastAsia" w:ascii="宋体" w:hAnsi="宋体" w:eastAsia="宋体" w:cs="宋体"/>
          <w:color w:val="auto"/>
          <w:highlight w:val="none"/>
          <w:lang w:val="en-US" w:eastAsia="zh-CN"/>
        </w:rPr>
        <w:t>2026年8月5日</w:t>
      </w:r>
      <w:r>
        <w:rPr>
          <w:rFonts w:hint="eastAsia" w:ascii="宋体" w:hAnsi="宋体" w:eastAsia="宋体" w:cs="宋体"/>
          <w:color w:val="auto"/>
          <w:highlight w:val="none"/>
        </w:rPr>
        <w:t>，本基金剩余财产为人民币</w:t>
      </w:r>
      <w:r>
        <w:rPr>
          <w:rFonts w:hint="eastAsia" w:ascii="宋体" w:hAnsi="宋体" w:eastAsia="宋体" w:cs="宋体"/>
          <w:color w:val="auto"/>
          <w:highlight w:val="none"/>
          <w:lang w:val="en-US" w:eastAsia="zh-CN"/>
        </w:rPr>
        <w:t>4,016,594.19</w:t>
      </w:r>
      <w:r>
        <w:rPr>
          <w:rFonts w:hint="eastAsia" w:ascii="宋体" w:hAnsi="宋体" w:eastAsia="宋体" w:cs="宋体"/>
          <w:color w:val="auto"/>
          <w:highlight w:val="none"/>
        </w:rPr>
        <w:t>元。自本次清算期结束日次日</w:t>
      </w:r>
      <w:r>
        <w:rPr>
          <w:rFonts w:hint="eastAsia" w:ascii="宋体" w:hAnsi="宋体" w:eastAsia="宋体" w:cs="宋体"/>
          <w:color w:val="auto"/>
          <w:highlight w:val="none"/>
          <w:lang w:val="en-US" w:eastAsia="zh-CN"/>
        </w:rPr>
        <w:t>2026年8月6日</w:t>
      </w:r>
      <w:r>
        <w:rPr>
          <w:rFonts w:hint="eastAsia" w:ascii="宋体" w:hAnsi="宋体" w:eastAsia="宋体" w:cs="宋体"/>
          <w:color w:val="auto"/>
          <w:highlight w:val="none"/>
        </w:rPr>
        <w:t>至清算款划出前一日的收益和费用由基金份额持有人享有和承担。</w:t>
      </w:r>
    </w:p>
    <w:p w14:paraId="4290880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清算报告已经基金托管人复核，将与会计师事务所出具的清算审计报告、律师事务所出具的法律意见书一并报中国证监会备案后向基金份额持有人公告。清算报告公告后，基金管理人将遵照法律法规、基金合同等规定及时进行分配。</w:t>
      </w:r>
    </w:p>
    <w:p w14:paraId="5230338F">
      <w:pPr>
        <w:pStyle w:val="2"/>
        <w:keepNext/>
        <w:keepLines/>
        <w:widowControl w:val="0"/>
        <w:spacing w:before="312" w:beforeLines="100" w:after="312" w:afterLines="100" w:line="360" w:lineRule="auto"/>
        <w:jc w:val="center"/>
        <w:rPr>
          <w:rStyle w:val="25"/>
          <w:rFonts w:hint="eastAsia" w:ascii="宋体" w:hAnsi="宋体" w:eastAsia="宋体" w:cs="宋体"/>
          <w:color w:val="auto"/>
          <w:highlight w:val="none"/>
        </w:rPr>
      </w:pPr>
      <w:bookmarkStart w:id="50" w:name="_Toc476577307"/>
      <w:bookmarkStart w:id="51" w:name="_Toc409100108"/>
      <w:bookmarkStart w:id="52" w:name="_Toc361324903"/>
      <w:bookmarkStart w:id="53" w:name="_Toc225500055"/>
      <w:bookmarkStart w:id="54" w:name="_Toc491963090"/>
      <w:bookmarkStart w:id="55" w:name="_Toc409100471"/>
      <w:bookmarkStart w:id="56" w:name="_Toc484769810"/>
      <w:r>
        <w:rPr>
          <w:rStyle w:val="25"/>
          <w:rFonts w:hint="eastAsia" w:ascii="宋体" w:hAnsi="宋体" w:eastAsia="宋体" w:cs="宋体"/>
          <w:color w:val="auto"/>
          <w:highlight w:val="none"/>
        </w:rPr>
        <w:t>6、备查文件目录</w:t>
      </w:r>
      <w:bookmarkEnd w:id="50"/>
      <w:bookmarkEnd w:id="51"/>
      <w:bookmarkEnd w:id="52"/>
      <w:bookmarkEnd w:id="53"/>
      <w:bookmarkEnd w:id="54"/>
      <w:bookmarkEnd w:id="55"/>
      <w:bookmarkEnd w:id="56"/>
    </w:p>
    <w:p w14:paraId="7AF317D4">
      <w:pPr>
        <w:pStyle w:val="3"/>
        <w:spacing w:before="0" w:after="0"/>
        <w:rPr>
          <w:rFonts w:hint="eastAsia" w:ascii="宋体" w:hAnsi="宋体" w:eastAsia="宋体" w:cs="宋体"/>
          <w:color w:val="auto"/>
          <w:kern w:val="0"/>
          <w:sz w:val="21"/>
          <w:szCs w:val="21"/>
          <w:highlight w:val="none"/>
        </w:rPr>
      </w:pPr>
      <w:bookmarkStart w:id="57" w:name="_Toc484769811"/>
      <w:bookmarkStart w:id="58" w:name="_Toc483396843"/>
      <w:bookmarkStart w:id="59" w:name="_Toc476577308"/>
      <w:bookmarkStart w:id="60" w:name="_Toc361324904"/>
      <w:bookmarkStart w:id="61" w:name="_Toc409100472"/>
      <w:bookmarkStart w:id="62" w:name="_Toc409100109"/>
      <w:bookmarkStart w:id="63" w:name="_Toc491963091"/>
      <w:bookmarkStart w:id="64" w:name="_Toc484607315"/>
      <w:r>
        <w:rPr>
          <w:rFonts w:hint="eastAsia" w:ascii="宋体" w:hAnsi="宋体" w:eastAsia="宋体" w:cs="宋体"/>
          <w:color w:val="auto"/>
          <w:kern w:val="0"/>
          <w:sz w:val="21"/>
          <w:szCs w:val="21"/>
          <w:highlight w:val="none"/>
        </w:rPr>
        <w:t>6.1 备查文件目录</w:t>
      </w:r>
      <w:bookmarkEnd w:id="57"/>
      <w:bookmarkEnd w:id="58"/>
      <w:bookmarkEnd w:id="59"/>
      <w:bookmarkEnd w:id="60"/>
      <w:bookmarkEnd w:id="61"/>
      <w:bookmarkEnd w:id="62"/>
      <w:bookmarkEnd w:id="63"/>
      <w:bookmarkEnd w:id="64"/>
    </w:p>
    <w:p w14:paraId="2B74BDA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6.1.1博时富悦纯债债券型证券投资基金清算财务报表及博时富悦纯债债券型证券投资基金清算审计报告</w:t>
      </w:r>
    </w:p>
    <w:p w14:paraId="1E9F194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6.1.2</w:t>
      </w:r>
      <w:r>
        <w:rPr>
          <w:rFonts w:hint="eastAsia" w:ascii="宋体" w:hAnsi="宋体" w:cs="宋体"/>
          <w:color w:val="auto"/>
          <w:szCs w:val="21"/>
          <w:highlight w:val="none"/>
          <w:lang w:val="en-US" w:eastAsia="zh-CN"/>
        </w:rPr>
        <w:t>上海源泰律师事务所</w:t>
      </w:r>
      <w:r>
        <w:rPr>
          <w:rFonts w:hint="eastAsia" w:ascii="宋体" w:hAnsi="宋体" w:eastAsia="宋体" w:cs="宋体"/>
          <w:color w:val="auto"/>
          <w:szCs w:val="21"/>
          <w:highlight w:val="none"/>
        </w:rPr>
        <w:t>关于博时富悦纯债债券型证券投资基金清算事宜之法律意见</w:t>
      </w:r>
    </w:p>
    <w:p w14:paraId="303AD153">
      <w:pPr>
        <w:pStyle w:val="3"/>
        <w:spacing w:before="0" w:after="0"/>
        <w:rPr>
          <w:rFonts w:hint="eastAsia" w:ascii="宋体" w:hAnsi="宋体" w:eastAsia="宋体" w:cs="宋体"/>
          <w:color w:val="auto"/>
          <w:kern w:val="0"/>
          <w:sz w:val="21"/>
          <w:szCs w:val="21"/>
          <w:highlight w:val="none"/>
        </w:rPr>
      </w:pPr>
      <w:bookmarkStart w:id="65" w:name="_Toc483396844"/>
      <w:bookmarkStart w:id="66" w:name="_Toc491963092"/>
      <w:bookmarkStart w:id="67" w:name="_Toc409100473"/>
      <w:bookmarkStart w:id="68" w:name="_Toc409100110"/>
      <w:bookmarkStart w:id="69" w:name="_Toc476577309"/>
      <w:bookmarkStart w:id="70" w:name="_Toc484607316"/>
      <w:bookmarkStart w:id="71" w:name="_Toc361324905"/>
      <w:bookmarkStart w:id="72" w:name="_Toc484769812"/>
      <w:r>
        <w:rPr>
          <w:rFonts w:hint="eastAsia" w:ascii="宋体" w:hAnsi="宋体" w:eastAsia="宋体" w:cs="宋体"/>
          <w:color w:val="auto"/>
          <w:kern w:val="0"/>
          <w:sz w:val="21"/>
          <w:szCs w:val="21"/>
          <w:highlight w:val="none"/>
        </w:rPr>
        <w:t>6.2 存放地点</w:t>
      </w:r>
      <w:bookmarkEnd w:id="65"/>
      <w:bookmarkEnd w:id="66"/>
      <w:bookmarkEnd w:id="67"/>
      <w:bookmarkEnd w:id="68"/>
      <w:bookmarkEnd w:id="69"/>
      <w:bookmarkEnd w:id="70"/>
      <w:bookmarkEnd w:id="71"/>
      <w:bookmarkEnd w:id="72"/>
    </w:p>
    <w:p w14:paraId="3115A35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基金管理人、基金托管人处</w:t>
      </w:r>
    </w:p>
    <w:p w14:paraId="3EB8E7DD">
      <w:pPr>
        <w:pStyle w:val="3"/>
        <w:spacing w:before="0" w:after="0"/>
        <w:rPr>
          <w:rFonts w:hint="eastAsia" w:ascii="宋体" w:hAnsi="宋体" w:eastAsia="宋体" w:cs="宋体"/>
          <w:color w:val="auto"/>
          <w:kern w:val="0"/>
          <w:sz w:val="21"/>
          <w:szCs w:val="21"/>
          <w:highlight w:val="none"/>
        </w:rPr>
      </w:pPr>
      <w:bookmarkStart w:id="73" w:name="_Toc491963093"/>
      <w:bookmarkStart w:id="74" w:name="_Toc484769813"/>
      <w:bookmarkStart w:id="75" w:name="_Toc476577310"/>
      <w:bookmarkStart w:id="76" w:name="_Toc484607317"/>
      <w:bookmarkStart w:id="77" w:name="_Toc409100111"/>
      <w:bookmarkStart w:id="78" w:name="_Toc361324906"/>
      <w:bookmarkStart w:id="79" w:name="_Toc483396845"/>
      <w:bookmarkStart w:id="80" w:name="_Toc409100474"/>
      <w:r>
        <w:rPr>
          <w:rFonts w:hint="eastAsia" w:ascii="宋体" w:hAnsi="宋体" w:eastAsia="宋体" w:cs="宋体"/>
          <w:color w:val="auto"/>
          <w:kern w:val="0"/>
          <w:sz w:val="21"/>
          <w:szCs w:val="21"/>
          <w:highlight w:val="none"/>
        </w:rPr>
        <w:t>6.3 查阅方式</w:t>
      </w:r>
      <w:bookmarkEnd w:id="73"/>
      <w:bookmarkEnd w:id="74"/>
      <w:bookmarkEnd w:id="75"/>
      <w:bookmarkEnd w:id="76"/>
      <w:bookmarkEnd w:id="77"/>
      <w:bookmarkEnd w:id="78"/>
      <w:bookmarkEnd w:id="79"/>
      <w:bookmarkEnd w:id="80"/>
    </w:p>
    <w:p w14:paraId="0C4624E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投资者可在营业时间免费查阅，也可按工本费购买复印件</w:t>
      </w:r>
    </w:p>
    <w:p w14:paraId="7DA42F4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投资者对本报告书如有疑问，可咨询本基金管理人博时基金管理有限公司</w:t>
      </w:r>
    </w:p>
    <w:p w14:paraId="431BCA9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博时一线通：95105568（免长途话费）</w:t>
      </w:r>
    </w:p>
    <w:p w14:paraId="2ECF5FC2">
      <w:pPr>
        <w:spacing w:line="360" w:lineRule="auto"/>
        <w:ind w:firstLine="315" w:firstLineChars="150"/>
        <w:rPr>
          <w:rFonts w:hint="eastAsia" w:ascii="宋体" w:hAnsi="宋体" w:eastAsia="宋体" w:cs="宋体"/>
          <w:bCs/>
          <w:color w:val="auto"/>
          <w:szCs w:val="21"/>
          <w:highlight w:val="none"/>
        </w:rPr>
      </w:pPr>
    </w:p>
    <w:p w14:paraId="2E04D7D2">
      <w:pPr>
        <w:spacing w:line="360" w:lineRule="auto"/>
        <w:ind w:firstLine="315" w:firstLineChars="150"/>
        <w:rPr>
          <w:rFonts w:hint="eastAsia" w:ascii="宋体" w:hAnsi="宋体" w:eastAsia="宋体" w:cs="宋体"/>
          <w:bCs/>
          <w:color w:val="auto"/>
          <w:szCs w:val="21"/>
          <w:highlight w:val="none"/>
        </w:rPr>
      </w:pPr>
    </w:p>
    <w:p w14:paraId="2507F241">
      <w:pPr>
        <w:spacing w:line="360" w:lineRule="auto"/>
        <w:ind w:firstLine="315" w:firstLineChars="150"/>
        <w:rPr>
          <w:rFonts w:hint="eastAsia" w:ascii="宋体" w:hAnsi="宋体" w:eastAsia="宋体" w:cs="宋体"/>
          <w:bCs/>
          <w:color w:val="auto"/>
          <w:szCs w:val="21"/>
          <w:highlight w:val="none"/>
        </w:rPr>
      </w:pPr>
    </w:p>
    <w:p w14:paraId="7F1817B2">
      <w:pPr>
        <w:spacing w:line="360" w:lineRule="auto"/>
        <w:ind w:left="840"/>
        <w:jc w:val="righ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博时富悦纯债债券型证券投资基金</w:t>
      </w:r>
      <w:r>
        <w:rPr>
          <w:rFonts w:hint="eastAsia" w:ascii="宋体" w:hAnsi="宋体" w:eastAsia="宋体" w:cs="宋体"/>
          <w:bCs/>
          <w:color w:val="auto"/>
          <w:szCs w:val="21"/>
          <w:highlight w:val="none"/>
        </w:rPr>
        <w:t>基金财产清算小组</w:t>
      </w:r>
    </w:p>
    <w:p w14:paraId="7145C7FA">
      <w:pPr>
        <w:wordWrap w:val="0"/>
        <w:spacing w:line="360" w:lineRule="auto"/>
        <w:ind w:left="840" w:right="420" w:firstLine="3885" w:firstLineChars="1850"/>
        <w:jc w:val="right"/>
        <w:rPr>
          <w:rFonts w:hint="eastAsia" w:ascii="宋体" w:hAnsi="宋体" w:eastAsia="宋体" w:cs="宋体"/>
          <w:color w:val="auto"/>
          <w:highlight w:val="none"/>
        </w:rPr>
      </w:pPr>
      <w:r>
        <w:rPr>
          <w:rFonts w:hint="eastAsia" w:ascii="宋体" w:hAnsi="宋体" w:eastAsia="宋体" w:cs="宋体"/>
          <w:color w:val="auto"/>
          <w:highlight w:val="none"/>
        </w:rPr>
        <w:t>2026年</w:t>
      </w:r>
      <w:r>
        <w:rPr>
          <w:rFonts w:hint="eastAsia" w:ascii="宋体" w:hAnsi="宋体" w:cs="宋体"/>
          <w:color w:val="auto"/>
          <w:highlight w:val="none"/>
          <w:lang w:val="en-US" w:eastAsia="zh-CN"/>
        </w:rPr>
        <w:t>8</w:t>
      </w:r>
      <w:r>
        <w:rPr>
          <w:rFonts w:hint="eastAsia" w:ascii="宋体" w:hAnsi="宋体" w:eastAsia="宋体" w:cs="宋体"/>
          <w:color w:val="auto"/>
          <w:highlight w:val="none"/>
        </w:rPr>
        <w:t>月</w:t>
      </w:r>
      <w:r>
        <w:rPr>
          <w:rFonts w:hint="eastAsia" w:ascii="宋体" w:hAnsi="宋体" w:cs="宋体"/>
          <w:color w:val="auto"/>
          <w:highlight w:val="none"/>
          <w:lang w:val="en-US" w:eastAsia="zh-CN"/>
        </w:rPr>
        <w:t>29</w:t>
      </w:r>
      <w:bookmarkStart w:id="81" w:name="_GoBack"/>
      <w:bookmarkEnd w:id="81"/>
      <w:r>
        <w:rPr>
          <w:rFonts w:hint="eastAsia" w:ascii="宋体" w:hAnsi="宋体" w:eastAsia="宋体" w:cs="宋体"/>
          <w:color w:val="auto"/>
          <w:highlight w:val="none"/>
        </w:rPr>
        <w:t>日</w:t>
      </w:r>
    </w:p>
    <w:sectPr>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Arial"/>
    <w:panose1 w:val="020B0604020202020204"/>
    <w:charset w:val="86"/>
    <w:family w:val="swiss"/>
    <w:pitch w:val="default"/>
    <w:sig w:usb0="00000000" w:usb1="00000000" w:usb2="0000003F" w:usb3="00000000" w:csb0="603F01FF" w:csb1="FFFF0000"/>
  </w:font>
  <w:font w:name="Arial">
    <w:panose1 w:val="020B0604020202020204"/>
    <w:charset w:val="00"/>
    <w:family w:val="auto"/>
    <w:pitch w:val="default"/>
    <w:sig w:usb0="E0002EFF" w:usb1="C000785B" w:usb2="00000009" w:usb3="00000000" w:csb0="400001FF" w:csb1="FFFF0000"/>
  </w:font>
  <w:font w:name="宋体棬　僬　.">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91024">
    <w:pPr>
      <w:pStyle w:val="7"/>
      <w:jc w:val="center"/>
    </w:pPr>
    <w:r>
      <w:fldChar w:fldCharType="begin"/>
    </w:r>
    <w:r>
      <w:instrText xml:space="preserve">PAGE   \* MERGEFORMAT</w:instrText>
    </w:r>
    <w:r>
      <w:fldChar w:fldCharType="separate"/>
    </w:r>
    <w:r>
      <w:rPr>
        <w:lang w:val="zh-CN"/>
      </w:rPr>
      <w:t>7</w:t>
    </w:r>
    <w:r>
      <w:fldChar w:fldCharType="end"/>
    </w:r>
  </w:p>
  <w:p w14:paraId="13C01E98">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BA6DF">
    <w:pPr>
      <w:pStyle w:val="8"/>
      <w:pBdr>
        <w:bottom w:val="single" w:color="auto" w:sz="6" w:space="0"/>
      </w:pBdr>
      <w:tabs>
        <w:tab w:val="left" w:pos="3105"/>
        <w:tab w:val="right" w:pos="9090"/>
      </w:tabs>
      <w:jc w:val="left"/>
    </w:pPr>
    <w:r>
      <w:rPr>
        <w:sz w:val="21"/>
        <w:szCs w:val="21"/>
      </w:rPr>
      <w:tab/>
    </w:r>
    <w:r>
      <w:rPr>
        <w:sz w:val="21"/>
        <w:szCs w:val="21"/>
      </w:rPr>
      <w:tab/>
    </w:r>
    <w:r>
      <w:pict>
        <v:shape id="图片 1" o:spid="_x0000_s4097" o:spt="75" alt="Bosera_logo" type="#_x0000_t75" style="position:absolute;left:0pt;margin-left:-1.05pt;margin-top:-15pt;height:24.75pt;width:99pt;z-index:251660288;mso-width-relative:page;mso-height-relative:page;" filled="f" o:preferrelative="t" stroked="f" coordsize="21600,21600">
          <v:path/>
          <v:fill on="f" focussize="0,0"/>
          <v:stroke on="f"/>
          <v:imagedata r:id="rId1" o:title="Bosera_logo"/>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06FFC">
    <w:pPr>
      <w:pStyle w:val="8"/>
      <w:pBdr>
        <w:bottom w:val="single" w:color="auto" w:sz="6" w:space="0"/>
      </w:pBdr>
      <w:tabs>
        <w:tab w:val="left" w:pos="3105"/>
        <w:tab w:val="right" w:pos="9090"/>
      </w:tabs>
      <w:jc w:val="left"/>
    </w:pPr>
    <w:r>
      <w:rPr>
        <w:sz w:val="21"/>
        <w:szCs w:val="21"/>
      </w:rPr>
      <w:tab/>
    </w:r>
    <w:r>
      <w:rPr>
        <w:sz w:val="21"/>
        <w:szCs w:val="21"/>
      </w:rPr>
      <w:tab/>
    </w:r>
    <w:r>
      <w:pict>
        <v:shape id="图片 3" o:spid="_x0000_s4098" o:spt="75" alt="Bosera_logo" type="#_x0000_t75" style="position:absolute;left:0pt;margin-left:-1.05pt;margin-top:-15pt;height:24.75pt;width:99pt;z-index:251659264;mso-width-relative:page;mso-height-relative:page;" filled="f" o:preferrelative="t" stroked="f" coordsize="21600,21600">
          <v:path/>
          <v:fill on="f" focussize="0,0"/>
          <v:stroke on="f"/>
          <v:imagedata r:id="rId1" o:title="Bosera_logo"/>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F2FB67"/>
    <w:multiLevelType w:val="singleLevel"/>
    <w:tmpl w:val="EEF2FB67"/>
    <w:lvl w:ilvl="0" w:tentative="0">
      <w:start w:val="1"/>
      <w:numFmt w:val="decimal"/>
      <w:suff w:val="nothing"/>
      <w:lvlText w:val="%1）"/>
      <w:lvlJc w:val="left"/>
    </w:lvl>
  </w:abstractNum>
  <w:abstractNum w:abstractNumId="1">
    <w:nsid w:val="2C12B6DB"/>
    <w:multiLevelType w:val="singleLevel"/>
    <w:tmpl w:val="2C12B6DB"/>
    <w:lvl w:ilvl="0" w:tentative="0">
      <w:start w:val="1"/>
      <w:numFmt w:val="decimal"/>
      <w:suff w:val="nothing"/>
      <w:lvlText w:val="%1、"/>
      <w:lvlJc w:val="left"/>
    </w:lvl>
  </w:abstractNum>
  <w:abstractNum w:abstractNumId="2">
    <w:nsid w:val="6EE28048"/>
    <w:multiLevelType w:val="singleLevel"/>
    <w:tmpl w:val="6EE28048"/>
    <w:lvl w:ilvl="0" w:tentative="0">
      <w:start w:val="4"/>
      <w:numFmt w:val="decimal"/>
      <w:suff w:val="space"/>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206A"/>
    <w:rsid w:val="0000095F"/>
    <w:rsid w:val="00002E59"/>
    <w:rsid w:val="000137FB"/>
    <w:rsid w:val="00046922"/>
    <w:rsid w:val="0004747A"/>
    <w:rsid w:val="00047E84"/>
    <w:rsid w:val="00050AB3"/>
    <w:rsid w:val="00051D70"/>
    <w:rsid w:val="000539E5"/>
    <w:rsid w:val="00066462"/>
    <w:rsid w:val="000843E5"/>
    <w:rsid w:val="00090702"/>
    <w:rsid w:val="0009708C"/>
    <w:rsid w:val="000A67AD"/>
    <w:rsid w:val="000C1A89"/>
    <w:rsid w:val="000C581F"/>
    <w:rsid w:val="000D0010"/>
    <w:rsid w:val="000D2477"/>
    <w:rsid w:val="000E06DB"/>
    <w:rsid w:val="000E7AF8"/>
    <w:rsid w:val="000F0DB6"/>
    <w:rsid w:val="000F2AF4"/>
    <w:rsid w:val="000F38A7"/>
    <w:rsid w:val="00106078"/>
    <w:rsid w:val="00107B92"/>
    <w:rsid w:val="001102C9"/>
    <w:rsid w:val="00114B50"/>
    <w:rsid w:val="0012239E"/>
    <w:rsid w:val="00125BA9"/>
    <w:rsid w:val="001344F0"/>
    <w:rsid w:val="001461B5"/>
    <w:rsid w:val="001469B6"/>
    <w:rsid w:val="00155FBE"/>
    <w:rsid w:val="00167779"/>
    <w:rsid w:val="0017203A"/>
    <w:rsid w:val="001837B1"/>
    <w:rsid w:val="00192433"/>
    <w:rsid w:val="00193FF5"/>
    <w:rsid w:val="001943DA"/>
    <w:rsid w:val="001A25D5"/>
    <w:rsid w:val="001A6186"/>
    <w:rsid w:val="001A64D9"/>
    <w:rsid w:val="001A7F35"/>
    <w:rsid w:val="001B142B"/>
    <w:rsid w:val="001B307F"/>
    <w:rsid w:val="001B6418"/>
    <w:rsid w:val="001C3A12"/>
    <w:rsid w:val="001C4149"/>
    <w:rsid w:val="001C5110"/>
    <w:rsid w:val="001C5F1E"/>
    <w:rsid w:val="001C66F4"/>
    <w:rsid w:val="001E1155"/>
    <w:rsid w:val="001E7569"/>
    <w:rsid w:val="001F5482"/>
    <w:rsid w:val="0020164A"/>
    <w:rsid w:val="002025EA"/>
    <w:rsid w:val="002055DE"/>
    <w:rsid w:val="00214EB4"/>
    <w:rsid w:val="00234000"/>
    <w:rsid w:val="0023623C"/>
    <w:rsid w:val="0025064B"/>
    <w:rsid w:val="00256EF7"/>
    <w:rsid w:val="002653B2"/>
    <w:rsid w:val="00265EEB"/>
    <w:rsid w:val="002661A0"/>
    <w:rsid w:val="00270F6F"/>
    <w:rsid w:val="0027500E"/>
    <w:rsid w:val="002873D1"/>
    <w:rsid w:val="00293C58"/>
    <w:rsid w:val="002A1D5C"/>
    <w:rsid w:val="002B081E"/>
    <w:rsid w:val="002B3940"/>
    <w:rsid w:val="002B3A7F"/>
    <w:rsid w:val="002B64F0"/>
    <w:rsid w:val="002C206A"/>
    <w:rsid w:val="002C4039"/>
    <w:rsid w:val="002C59B8"/>
    <w:rsid w:val="002D012A"/>
    <w:rsid w:val="002D04D0"/>
    <w:rsid w:val="002D2D31"/>
    <w:rsid w:val="002E63F9"/>
    <w:rsid w:val="002F02F0"/>
    <w:rsid w:val="00300434"/>
    <w:rsid w:val="00301833"/>
    <w:rsid w:val="003018B1"/>
    <w:rsid w:val="00301ED8"/>
    <w:rsid w:val="00302213"/>
    <w:rsid w:val="003027CE"/>
    <w:rsid w:val="00302C6F"/>
    <w:rsid w:val="0031782A"/>
    <w:rsid w:val="0033087F"/>
    <w:rsid w:val="0033114F"/>
    <w:rsid w:val="00352159"/>
    <w:rsid w:val="00352E52"/>
    <w:rsid w:val="0035409D"/>
    <w:rsid w:val="00355AF9"/>
    <w:rsid w:val="00355DCE"/>
    <w:rsid w:val="003835CB"/>
    <w:rsid w:val="00385C7D"/>
    <w:rsid w:val="00386448"/>
    <w:rsid w:val="00394BF4"/>
    <w:rsid w:val="003A1F80"/>
    <w:rsid w:val="003A6373"/>
    <w:rsid w:val="003B1FF9"/>
    <w:rsid w:val="003C5425"/>
    <w:rsid w:val="003C62D7"/>
    <w:rsid w:val="003E2B75"/>
    <w:rsid w:val="003E4B0D"/>
    <w:rsid w:val="003E5A9A"/>
    <w:rsid w:val="004043E4"/>
    <w:rsid w:val="0040561C"/>
    <w:rsid w:val="00417206"/>
    <w:rsid w:val="00434B13"/>
    <w:rsid w:val="004361C8"/>
    <w:rsid w:val="00436D7F"/>
    <w:rsid w:val="0043770C"/>
    <w:rsid w:val="00440D43"/>
    <w:rsid w:val="0044360C"/>
    <w:rsid w:val="0044397B"/>
    <w:rsid w:val="004454E6"/>
    <w:rsid w:val="00453128"/>
    <w:rsid w:val="00455ED0"/>
    <w:rsid w:val="00456810"/>
    <w:rsid w:val="004850AB"/>
    <w:rsid w:val="00492EFF"/>
    <w:rsid w:val="00497D10"/>
    <w:rsid w:val="004A1313"/>
    <w:rsid w:val="004A4000"/>
    <w:rsid w:val="004A4328"/>
    <w:rsid w:val="004C29F5"/>
    <w:rsid w:val="004C5243"/>
    <w:rsid w:val="004D6178"/>
    <w:rsid w:val="004D72DD"/>
    <w:rsid w:val="004E0519"/>
    <w:rsid w:val="004F7FB1"/>
    <w:rsid w:val="00502816"/>
    <w:rsid w:val="00506722"/>
    <w:rsid w:val="00516AB2"/>
    <w:rsid w:val="00521F84"/>
    <w:rsid w:val="00523B76"/>
    <w:rsid w:val="00534804"/>
    <w:rsid w:val="005454AF"/>
    <w:rsid w:val="00553DD3"/>
    <w:rsid w:val="00564FC0"/>
    <w:rsid w:val="005660DC"/>
    <w:rsid w:val="005666E0"/>
    <w:rsid w:val="00570EEB"/>
    <w:rsid w:val="00573CCA"/>
    <w:rsid w:val="00586C11"/>
    <w:rsid w:val="00587EB1"/>
    <w:rsid w:val="00591E34"/>
    <w:rsid w:val="005A5F19"/>
    <w:rsid w:val="005B00B8"/>
    <w:rsid w:val="005B1DA8"/>
    <w:rsid w:val="005B3525"/>
    <w:rsid w:val="005B7865"/>
    <w:rsid w:val="005B7910"/>
    <w:rsid w:val="005C2636"/>
    <w:rsid w:val="005D0017"/>
    <w:rsid w:val="005D2BBF"/>
    <w:rsid w:val="005D3C26"/>
    <w:rsid w:val="005E066D"/>
    <w:rsid w:val="005E18FD"/>
    <w:rsid w:val="005E5097"/>
    <w:rsid w:val="005F07CE"/>
    <w:rsid w:val="00602945"/>
    <w:rsid w:val="00612741"/>
    <w:rsid w:val="00633374"/>
    <w:rsid w:val="0063424C"/>
    <w:rsid w:val="00635B20"/>
    <w:rsid w:val="00636096"/>
    <w:rsid w:val="00640A36"/>
    <w:rsid w:val="006458AE"/>
    <w:rsid w:val="00652E32"/>
    <w:rsid w:val="006560FD"/>
    <w:rsid w:val="00656396"/>
    <w:rsid w:val="00661C81"/>
    <w:rsid w:val="00662751"/>
    <w:rsid w:val="006631AD"/>
    <w:rsid w:val="00665EC2"/>
    <w:rsid w:val="00677478"/>
    <w:rsid w:val="00680A32"/>
    <w:rsid w:val="0068199C"/>
    <w:rsid w:val="006845C6"/>
    <w:rsid w:val="0069179C"/>
    <w:rsid w:val="00695712"/>
    <w:rsid w:val="006A0CA9"/>
    <w:rsid w:val="006A3832"/>
    <w:rsid w:val="006A3E46"/>
    <w:rsid w:val="006C0166"/>
    <w:rsid w:val="006C1070"/>
    <w:rsid w:val="006C1BF7"/>
    <w:rsid w:val="006C4287"/>
    <w:rsid w:val="006C4780"/>
    <w:rsid w:val="006D14C9"/>
    <w:rsid w:val="006D3ABB"/>
    <w:rsid w:val="006D76DC"/>
    <w:rsid w:val="006E1D19"/>
    <w:rsid w:val="006E6E99"/>
    <w:rsid w:val="006F57A7"/>
    <w:rsid w:val="006F661D"/>
    <w:rsid w:val="006F6EDE"/>
    <w:rsid w:val="007047E3"/>
    <w:rsid w:val="00711C49"/>
    <w:rsid w:val="00711DC1"/>
    <w:rsid w:val="00714FE5"/>
    <w:rsid w:val="00716C2D"/>
    <w:rsid w:val="007249F8"/>
    <w:rsid w:val="007302D4"/>
    <w:rsid w:val="00733FD6"/>
    <w:rsid w:val="00753286"/>
    <w:rsid w:val="007654B6"/>
    <w:rsid w:val="00765C51"/>
    <w:rsid w:val="00772D62"/>
    <w:rsid w:val="00772F4C"/>
    <w:rsid w:val="00784118"/>
    <w:rsid w:val="007A111F"/>
    <w:rsid w:val="007A1382"/>
    <w:rsid w:val="007A40C3"/>
    <w:rsid w:val="007A4276"/>
    <w:rsid w:val="007C073F"/>
    <w:rsid w:val="007C1E66"/>
    <w:rsid w:val="007C224B"/>
    <w:rsid w:val="007C390F"/>
    <w:rsid w:val="007C7E15"/>
    <w:rsid w:val="007D01A7"/>
    <w:rsid w:val="007D2C21"/>
    <w:rsid w:val="007D368E"/>
    <w:rsid w:val="007D4AE3"/>
    <w:rsid w:val="00800E5D"/>
    <w:rsid w:val="00801C52"/>
    <w:rsid w:val="008061B0"/>
    <w:rsid w:val="00815886"/>
    <w:rsid w:val="00815FC5"/>
    <w:rsid w:val="00831568"/>
    <w:rsid w:val="0083288E"/>
    <w:rsid w:val="00834CE7"/>
    <w:rsid w:val="00834E30"/>
    <w:rsid w:val="00845FBE"/>
    <w:rsid w:val="00846CD0"/>
    <w:rsid w:val="00862C4E"/>
    <w:rsid w:val="00872860"/>
    <w:rsid w:val="00873ADD"/>
    <w:rsid w:val="00876515"/>
    <w:rsid w:val="00881D41"/>
    <w:rsid w:val="008900EC"/>
    <w:rsid w:val="00893D5F"/>
    <w:rsid w:val="00895AEC"/>
    <w:rsid w:val="008A2534"/>
    <w:rsid w:val="008A2AC1"/>
    <w:rsid w:val="008A2CED"/>
    <w:rsid w:val="008A3541"/>
    <w:rsid w:val="008A37AA"/>
    <w:rsid w:val="008A3F14"/>
    <w:rsid w:val="008B2371"/>
    <w:rsid w:val="008B50E8"/>
    <w:rsid w:val="008B712C"/>
    <w:rsid w:val="008D28CA"/>
    <w:rsid w:val="008E72AB"/>
    <w:rsid w:val="008E7843"/>
    <w:rsid w:val="008F313A"/>
    <w:rsid w:val="008F4C4A"/>
    <w:rsid w:val="00912B1F"/>
    <w:rsid w:val="0091569A"/>
    <w:rsid w:val="009164BB"/>
    <w:rsid w:val="00916F0F"/>
    <w:rsid w:val="00924654"/>
    <w:rsid w:val="00925214"/>
    <w:rsid w:val="00933482"/>
    <w:rsid w:val="00933D33"/>
    <w:rsid w:val="00943B2B"/>
    <w:rsid w:val="00944AC0"/>
    <w:rsid w:val="009565F7"/>
    <w:rsid w:val="00971989"/>
    <w:rsid w:val="00980526"/>
    <w:rsid w:val="00981824"/>
    <w:rsid w:val="009837FE"/>
    <w:rsid w:val="00987D82"/>
    <w:rsid w:val="00993E2D"/>
    <w:rsid w:val="0099607C"/>
    <w:rsid w:val="00997E04"/>
    <w:rsid w:val="009A237A"/>
    <w:rsid w:val="009A2FA6"/>
    <w:rsid w:val="009A499E"/>
    <w:rsid w:val="009B6EC1"/>
    <w:rsid w:val="009D2820"/>
    <w:rsid w:val="009D2D6F"/>
    <w:rsid w:val="009D4DD9"/>
    <w:rsid w:val="009D5A9F"/>
    <w:rsid w:val="009E6708"/>
    <w:rsid w:val="009E6B28"/>
    <w:rsid w:val="009F2C95"/>
    <w:rsid w:val="009F6E54"/>
    <w:rsid w:val="00A01676"/>
    <w:rsid w:val="00A10A3B"/>
    <w:rsid w:val="00A10D1C"/>
    <w:rsid w:val="00A1145E"/>
    <w:rsid w:val="00A13B45"/>
    <w:rsid w:val="00A14A60"/>
    <w:rsid w:val="00A206FC"/>
    <w:rsid w:val="00A23D46"/>
    <w:rsid w:val="00A41815"/>
    <w:rsid w:val="00A42F5D"/>
    <w:rsid w:val="00A44F0D"/>
    <w:rsid w:val="00A46614"/>
    <w:rsid w:val="00A466EF"/>
    <w:rsid w:val="00A50F44"/>
    <w:rsid w:val="00A53B22"/>
    <w:rsid w:val="00A5445B"/>
    <w:rsid w:val="00A61272"/>
    <w:rsid w:val="00A7090F"/>
    <w:rsid w:val="00A716AE"/>
    <w:rsid w:val="00A728B4"/>
    <w:rsid w:val="00A738AB"/>
    <w:rsid w:val="00A74683"/>
    <w:rsid w:val="00A7603B"/>
    <w:rsid w:val="00A80DC2"/>
    <w:rsid w:val="00A83207"/>
    <w:rsid w:val="00A85B96"/>
    <w:rsid w:val="00A862A8"/>
    <w:rsid w:val="00A91EE9"/>
    <w:rsid w:val="00A92C7B"/>
    <w:rsid w:val="00A93929"/>
    <w:rsid w:val="00A96447"/>
    <w:rsid w:val="00AA2704"/>
    <w:rsid w:val="00AA33F7"/>
    <w:rsid w:val="00AA39EC"/>
    <w:rsid w:val="00AA6506"/>
    <w:rsid w:val="00AA6C39"/>
    <w:rsid w:val="00AB4223"/>
    <w:rsid w:val="00AB579F"/>
    <w:rsid w:val="00AC75BE"/>
    <w:rsid w:val="00AD127D"/>
    <w:rsid w:val="00AD1682"/>
    <w:rsid w:val="00AE14B8"/>
    <w:rsid w:val="00AE43CE"/>
    <w:rsid w:val="00AE5F6A"/>
    <w:rsid w:val="00AE7A23"/>
    <w:rsid w:val="00AF06A4"/>
    <w:rsid w:val="00B01D1F"/>
    <w:rsid w:val="00B01E39"/>
    <w:rsid w:val="00B02DAE"/>
    <w:rsid w:val="00B04DF8"/>
    <w:rsid w:val="00B062E1"/>
    <w:rsid w:val="00B12304"/>
    <w:rsid w:val="00B12398"/>
    <w:rsid w:val="00B16F0F"/>
    <w:rsid w:val="00B233AC"/>
    <w:rsid w:val="00B23421"/>
    <w:rsid w:val="00B262DD"/>
    <w:rsid w:val="00B326DE"/>
    <w:rsid w:val="00B339F1"/>
    <w:rsid w:val="00B43A95"/>
    <w:rsid w:val="00B47AF7"/>
    <w:rsid w:val="00B52FB8"/>
    <w:rsid w:val="00B63FC4"/>
    <w:rsid w:val="00B65F7A"/>
    <w:rsid w:val="00B76BFB"/>
    <w:rsid w:val="00B92205"/>
    <w:rsid w:val="00BB4559"/>
    <w:rsid w:val="00BB63F5"/>
    <w:rsid w:val="00BB738A"/>
    <w:rsid w:val="00BD1E5B"/>
    <w:rsid w:val="00BD3551"/>
    <w:rsid w:val="00BD659F"/>
    <w:rsid w:val="00BE252F"/>
    <w:rsid w:val="00BE3F6E"/>
    <w:rsid w:val="00BE4A70"/>
    <w:rsid w:val="00BE63B2"/>
    <w:rsid w:val="00BF1AD8"/>
    <w:rsid w:val="00BF5EF2"/>
    <w:rsid w:val="00BF72CC"/>
    <w:rsid w:val="00C04232"/>
    <w:rsid w:val="00C04BC2"/>
    <w:rsid w:val="00C11810"/>
    <w:rsid w:val="00C129EC"/>
    <w:rsid w:val="00C135C6"/>
    <w:rsid w:val="00C14A9A"/>
    <w:rsid w:val="00C16E1D"/>
    <w:rsid w:val="00C210B3"/>
    <w:rsid w:val="00C34DAD"/>
    <w:rsid w:val="00C403BF"/>
    <w:rsid w:val="00C4132F"/>
    <w:rsid w:val="00C435E3"/>
    <w:rsid w:val="00C525B7"/>
    <w:rsid w:val="00C53E41"/>
    <w:rsid w:val="00C53EB7"/>
    <w:rsid w:val="00C54720"/>
    <w:rsid w:val="00C63121"/>
    <w:rsid w:val="00C645B3"/>
    <w:rsid w:val="00C70690"/>
    <w:rsid w:val="00C80BA7"/>
    <w:rsid w:val="00C80C26"/>
    <w:rsid w:val="00C81D4D"/>
    <w:rsid w:val="00C8237F"/>
    <w:rsid w:val="00C8253B"/>
    <w:rsid w:val="00C94884"/>
    <w:rsid w:val="00CA06AD"/>
    <w:rsid w:val="00CA1F33"/>
    <w:rsid w:val="00CA5C95"/>
    <w:rsid w:val="00CA6D80"/>
    <w:rsid w:val="00CC654C"/>
    <w:rsid w:val="00CC6E89"/>
    <w:rsid w:val="00CD5F8A"/>
    <w:rsid w:val="00CD7E4B"/>
    <w:rsid w:val="00CE52AA"/>
    <w:rsid w:val="00CE593E"/>
    <w:rsid w:val="00CE79D7"/>
    <w:rsid w:val="00CF22FE"/>
    <w:rsid w:val="00D00B39"/>
    <w:rsid w:val="00D03B3C"/>
    <w:rsid w:val="00D05B80"/>
    <w:rsid w:val="00D14280"/>
    <w:rsid w:val="00D2112B"/>
    <w:rsid w:val="00D2538B"/>
    <w:rsid w:val="00D271CC"/>
    <w:rsid w:val="00D454FE"/>
    <w:rsid w:val="00D54D70"/>
    <w:rsid w:val="00D55E3E"/>
    <w:rsid w:val="00D634A0"/>
    <w:rsid w:val="00D77529"/>
    <w:rsid w:val="00D87A90"/>
    <w:rsid w:val="00D908BA"/>
    <w:rsid w:val="00D9606B"/>
    <w:rsid w:val="00DA44CC"/>
    <w:rsid w:val="00DA69B2"/>
    <w:rsid w:val="00DA6F9B"/>
    <w:rsid w:val="00DB3DDE"/>
    <w:rsid w:val="00DB41A3"/>
    <w:rsid w:val="00DD0701"/>
    <w:rsid w:val="00DD2101"/>
    <w:rsid w:val="00DE27CD"/>
    <w:rsid w:val="00DF0830"/>
    <w:rsid w:val="00DF0A36"/>
    <w:rsid w:val="00DF286B"/>
    <w:rsid w:val="00E036D0"/>
    <w:rsid w:val="00E03B99"/>
    <w:rsid w:val="00E04E1A"/>
    <w:rsid w:val="00E120A8"/>
    <w:rsid w:val="00E15DD1"/>
    <w:rsid w:val="00E21B3B"/>
    <w:rsid w:val="00E32073"/>
    <w:rsid w:val="00E3710A"/>
    <w:rsid w:val="00E40C23"/>
    <w:rsid w:val="00E42A7D"/>
    <w:rsid w:val="00E444C3"/>
    <w:rsid w:val="00E457A2"/>
    <w:rsid w:val="00E6420A"/>
    <w:rsid w:val="00E6428E"/>
    <w:rsid w:val="00E667C5"/>
    <w:rsid w:val="00E7448F"/>
    <w:rsid w:val="00E83CB9"/>
    <w:rsid w:val="00E85B5E"/>
    <w:rsid w:val="00E875CB"/>
    <w:rsid w:val="00E91065"/>
    <w:rsid w:val="00E91443"/>
    <w:rsid w:val="00E94390"/>
    <w:rsid w:val="00EA308B"/>
    <w:rsid w:val="00EB17F4"/>
    <w:rsid w:val="00F00548"/>
    <w:rsid w:val="00F01202"/>
    <w:rsid w:val="00F03A4C"/>
    <w:rsid w:val="00F12507"/>
    <w:rsid w:val="00F17F4A"/>
    <w:rsid w:val="00F25510"/>
    <w:rsid w:val="00F26433"/>
    <w:rsid w:val="00F31C2E"/>
    <w:rsid w:val="00F349E5"/>
    <w:rsid w:val="00F374DD"/>
    <w:rsid w:val="00F4536A"/>
    <w:rsid w:val="00F45604"/>
    <w:rsid w:val="00F52468"/>
    <w:rsid w:val="00F52622"/>
    <w:rsid w:val="00F869AE"/>
    <w:rsid w:val="00F94A1D"/>
    <w:rsid w:val="00FA203B"/>
    <w:rsid w:val="00FB4D56"/>
    <w:rsid w:val="00FB67B2"/>
    <w:rsid w:val="00FB68D0"/>
    <w:rsid w:val="00FC2B87"/>
    <w:rsid w:val="00FC4865"/>
    <w:rsid w:val="00FC7F9D"/>
    <w:rsid w:val="00FD4D5C"/>
    <w:rsid w:val="00FE3491"/>
    <w:rsid w:val="00FE7CDD"/>
    <w:rsid w:val="00FF0230"/>
    <w:rsid w:val="00FF0869"/>
    <w:rsid w:val="00FF26D8"/>
    <w:rsid w:val="02FD6E05"/>
    <w:rsid w:val="043D48D6"/>
    <w:rsid w:val="047977D2"/>
    <w:rsid w:val="04F7265D"/>
    <w:rsid w:val="06577794"/>
    <w:rsid w:val="07943078"/>
    <w:rsid w:val="08072865"/>
    <w:rsid w:val="091D63A4"/>
    <w:rsid w:val="0BDBD81A"/>
    <w:rsid w:val="0CAA4239"/>
    <w:rsid w:val="0CED3CC7"/>
    <w:rsid w:val="0DBC381A"/>
    <w:rsid w:val="105140B7"/>
    <w:rsid w:val="10831DE4"/>
    <w:rsid w:val="111D325C"/>
    <w:rsid w:val="11EB6B32"/>
    <w:rsid w:val="127D56AE"/>
    <w:rsid w:val="16901E23"/>
    <w:rsid w:val="16FAE779"/>
    <w:rsid w:val="17175C7D"/>
    <w:rsid w:val="1B2E5BAF"/>
    <w:rsid w:val="1D2D34C6"/>
    <w:rsid w:val="1E96479B"/>
    <w:rsid w:val="1F9B2324"/>
    <w:rsid w:val="1FAB1BAE"/>
    <w:rsid w:val="222B67FB"/>
    <w:rsid w:val="233E198A"/>
    <w:rsid w:val="258B4948"/>
    <w:rsid w:val="27ED310C"/>
    <w:rsid w:val="2C344EFF"/>
    <w:rsid w:val="2DB92F13"/>
    <w:rsid w:val="2E8F9785"/>
    <w:rsid w:val="2EDB5B73"/>
    <w:rsid w:val="2EF12C10"/>
    <w:rsid w:val="2FB01333"/>
    <w:rsid w:val="2FF30DB1"/>
    <w:rsid w:val="331326D3"/>
    <w:rsid w:val="33CFC73D"/>
    <w:rsid w:val="36E168A1"/>
    <w:rsid w:val="37DF4ABE"/>
    <w:rsid w:val="392917AD"/>
    <w:rsid w:val="3A671D5B"/>
    <w:rsid w:val="3B4DD538"/>
    <w:rsid w:val="3BEB8392"/>
    <w:rsid w:val="3BFF3874"/>
    <w:rsid w:val="3CF76439"/>
    <w:rsid w:val="3D895C3C"/>
    <w:rsid w:val="3D8F262F"/>
    <w:rsid w:val="3DD178DA"/>
    <w:rsid w:val="3DFB5955"/>
    <w:rsid w:val="3E551291"/>
    <w:rsid w:val="3F7C0873"/>
    <w:rsid w:val="3FD79E8A"/>
    <w:rsid w:val="3FDB110F"/>
    <w:rsid w:val="3FE50ACB"/>
    <w:rsid w:val="412E6E31"/>
    <w:rsid w:val="437D2DDC"/>
    <w:rsid w:val="46822BBE"/>
    <w:rsid w:val="491BC088"/>
    <w:rsid w:val="4A23051B"/>
    <w:rsid w:val="4D2475F0"/>
    <w:rsid w:val="4DB9B6A9"/>
    <w:rsid w:val="4EC63B63"/>
    <w:rsid w:val="4EF5F4FE"/>
    <w:rsid w:val="4EFE7637"/>
    <w:rsid w:val="4F7E01E7"/>
    <w:rsid w:val="4FA6B79D"/>
    <w:rsid w:val="4FFC14D7"/>
    <w:rsid w:val="50E330E0"/>
    <w:rsid w:val="52F74C1A"/>
    <w:rsid w:val="53977593"/>
    <w:rsid w:val="55E58D5D"/>
    <w:rsid w:val="569FCBD0"/>
    <w:rsid w:val="57426CDD"/>
    <w:rsid w:val="575B5C81"/>
    <w:rsid w:val="576B462D"/>
    <w:rsid w:val="57AF3F18"/>
    <w:rsid w:val="57DA526C"/>
    <w:rsid w:val="58DA5AFA"/>
    <w:rsid w:val="5A774426"/>
    <w:rsid w:val="5A9209EF"/>
    <w:rsid w:val="5AE17211"/>
    <w:rsid w:val="5B1025CC"/>
    <w:rsid w:val="5CEAE0A1"/>
    <w:rsid w:val="5DE303DA"/>
    <w:rsid w:val="5EFD4D23"/>
    <w:rsid w:val="5F7F2637"/>
    <w:rsid w:val="5FB7783F"/>
    <w:rsid w:val="5FDDA07D"/>
    <w:rsid w:val="5FEFD5D7"/>
    <w:rsid w:val="5FF65BBD"/>
    <w:rsid w:val="5FFD1FF2"/>
    <w:rsid w:val="5FFF8416"/>
    <w:rsid w:val="60FF574B"/>
    <w:rsid w:val="64DF7E2C"/>
    <w:rsid w:val="657EDA63"/>
    <w:rsid w:val="667DA9AA"/>
    <w:rsid w:val="66B737A9"/>
    <w:rsid w:val="67F8FB8A"/>
    <w:rsid w:val="67FF160E"/>
    <w:rsid w:val="68950607"/>
    <w:rsid w:val="69EF37D3"/>
    <w:rsid w:val="69F634F5"/>
    <w:rsid w:val="69FF7D42"/>
    <w:rsid w:val="69FF90C9"/>
    <w:rsid w:val="6A6212EC"/>
    <w:rsid w:val="6B731B40"/>
    <w:rsid w:val="6B9D9D23"/>
    <w:rsid w:val="6BDB5B57"/>
    <w:rsid w:val="6BE60CB9"/>
    <w:rsid w:val="6D9EEFA7"/>
    <w:rsid w:val="6DDFCEB0"/>
    <w:rsid w:val="6EC8EDB6"/>
    <w:rsid w:val="6EF25571"/>
    <w:rsid w:val="6F1E0E45"/>
    <w:rsid w:val="6F7FD2F4"/>
    <w:rsid w:val="6F9FDD32"/>
    <w:rsid w:val="6FA79C80"/>
    <w:rsid w:val="6FAFED8E"/>
    <w:rsid w:val="6FE9D27A"/>
    <w:rsid w:val="70DFEBCE"/>
    <w:rsid w:val="70E179C0"/>
    <w:rsid w:val="71FBCBC1"/>
    <w:rsid w:val="723E4BEB"/>
    <w:rsid w:val="727F417F"/>
    <w:rsid w:val="73558C1E"/>
    <w:rsid w:val="73F662B5"/>
    <w:rsid w:val="752944B8"/>
    <w:rsid w:val="75BB2B52"/>
    <w:rsid w:val="75CB39D7"/>
    <w:rsid w:val="75F765E0"/>
    <w:rsid w:val="76178519"/>
    <w:rsid w:val="764F6EA7"/>
    <w:rsid w:val="767ACA26"/>
    <w:rsid w:val="772FAE1C"/>
    <w:rsid w:val="774E2707"/>
    <w:rsid w:val="777E3140"/>
    <w:rsid w:val="77C793C3"/>
    <w:rsid w:val="77CB7D42"/>
    <w:rsid w:val="77CE310E"/>
    <w:rsid w:val="77DF9595"/>
    <w:rsid w:val="77EEF5E1"/>
    <w:rsid w:val="77EF2463"/>
    <w:rsid w:val="77EF4A47"/>
    <w:rsid w:val="77FF826E"/>
    <w:rsid w:val="79B732D9"/>
    <w:rsid w:val="79ED335A"/>
    <w:rsid w:val="7BB75539"/>
    <w:rsid w:val="7BB76F65"/>
    <w:rsid w:val="7BCDF2E7"/>
    <w:rsid w:val="7CFC3311"/>
    <w:rsid w:val="7CFCCDA6"/>
    <w:rsid w:val="7D8F4F9F"/>
    <w:rsid w:val="7DC48378"/>
    <w:rsid w:val="7DEFAE44"/>
    <w:rsid w:val="7DFE2AE5"/>
    <w:rsid w:val="7E8B832A"/>
    <w:rsid w:val="7E8C1C2A"/>
    <w:rsid w:val="7ED78F99"/>
    <w:rsid w:val="7EE7004A"/>
    <w:rsid w:val="7EE95E47"/>
    <w:rsid w:val="7EFEDACE"/>
    <w:rsid w:val="7EFFF513"/>
    <w:rsid w:val="7F43240B"/>
    <w:rsid w:val="7F5774AF"/>
    <w:rsid w:val="7F7BD2EB"/>
    <w:rsid w:val="7F7D478C"/>
    <w:rsid w:val="7F7E8873"/>
    <w:rsid w:val="7FD7E7A5"/>
    <w:rsid w:val="7FDD4C3F"/>
    <w:rsid w:val="7FDE4CED"/>
    <w:rsid w:val="7FEFCEA5"/>
    <w:rsid w:val="7FFA9936"/>
    <w:rsid w:val="7FFC8DD9"/>
    <w:rsid w:val="7FFF0FBF"/>
    <w:rsid w:val="7FFFBD90"/>
    <w:rsid w:val="7FFFFDF0"/>
    <w:rsid w:val="86EDC803"/>
    <w:rsid w:val="93BEE8CA"/>
    <w:rsid w:val="93DDFD3E"/>
    <w:rsid w:val="97DB61E9"/>
    <w:rsid w:val="97F754B2"/>
    <w:rsid w:val="9AB6885C"/>
    <w:rsid w:val="A37B94F7"/>
    <w:rsid w:val="A71D08A7"/>
    <w:rsid w:val="ABBBD1B4"/>
    <w:rsid w:val="ABEEB0C1"/>
    <w:rsid w:val="AE331804"/>
    <w:rsid w:val="AEEE282C"/>
    <w:rsid w:val="AEFFE6D5"/>
    <w:rsid w:val="AF7FE70E"/>
    <w:rsid w:val="AFFDE70D"/>
    <w:rsid w:val="AFFDF8CE"/>
    <w:rsid w:val="B5F52A5E"/>
    <w:rsid w:val="BB57B15C"/>
    <w:rsid w:val="BBFB16F4"/>
    <w:rsid w:val="BDDDF2E5"/>
    <w:rsid w:val="BDFF92A0"/>
    <w:rsid w:val="BE2AEEFC"/>
    <w:rsid w:val="BE53E4FE"/>
    <w:rsid w:val="BE632B87"/>
    <w:rsid w:val="BF3FDC6B"/>
    <w:rsid w:val="BFEB0DD7"/>
    <w:rsid w:val="BFEF9AC3"/>
    <w:rsid w:val="BFF5EC0C"/>
    <w:rsid w:val="BFF769D2"/>
    <w:rsid w:val="BFFFE1F4"/>
    <w:rsid w:val="C5FF66FE"/>
    <w:rsid w:val="C73E754C"/>
    <w:rsid w:val="C767DC55"/>
    <w:rsid w:val="C77DB3BA"/>
    <w:rsid w:val="C7FAE319"/>
    <w:rsid w:val="C9FF3605"/>
    <w:rsid w:val="CDF790CB"/>
    <w:rsid w:val="CE59F622"/>
    <w:rsid w:val="CE7F5619"/>
    <w:rsid w:val="CF1DA855"/>
    <w:rsid w:val="CFBE4F68"/>
    <w:rsid w:val="CFF7EF8E"/>
    <w:rsid w:val="CFFF9414"/>
    <w:rsid w:val="D532B3DE"/>
    <w:rsid w:val="D87F31C6"/>
    <w:rsid w:val="D9DE2AA4"/>
    <w:rsid w:val="DB49B56F"/>
    <w:rsid w:val="DBD71916"/>
    <w:rsid w:val="DBDFEB43"/>
    <w:rsid w:val="DBEB5D36"/>
    <w:rsid w:val="DCB7321B"/>
    <w:rsid w:val="DCBF7BF0"/>
    <w:rsid w:val="DD372781"/>
    <w:rsid w:val="DD7E1756"/>
    <w:rsid w:val="DDFC02F4"/>
    <w:rsid w:val="DDFF1105"/>
    <w:rsid w:val="DFD76308"/>
    <w:rsid w:val="DFE94E47"/>
    <w:rsid w:val="DFFF3FF4"/>
    <w:rsid w:val="E36E70E6"/>
    <w:rsid w:val="E3FE91B9"/>
    <w:rsid w:val="E5AE03AF"/>
    <w:rsid w:val="E6DB4F87"/>
    <w:rsid w:val="E77D4D7A"/>
    <w:rsid w:val="E77FDFFE"/>
    <w:rsid w:val="E7ED0B64"/>
    <w:rsid w:val="E7F90E7B"/>
    <w:rsid w:val="EBCE0754"/>
    <w:rsid w:val="EBDCCE65"/>
    <w:rsid w:val="EBFD7ED4"/>
    <w:rsid w:val="EE5F5F27"/>
    <w:rsid w:val="EE737CEB"/>
    <w:rsid w:val="EEFBDC1C"/>
    <w:rsid w:val="EFDF132B"/>
    <w:rsid w:val="EFDF1C82"/>
    <w:rsid w:val="EFFD0B05"/>
    <w:rsid w:val="EFFE2094"/>
    <w:rsid w:val="F37FBFC9"/>
    <w:rsid w:val="F3CF800B"/>
    <w:rsid w:val="F3D384FF"/>
    <w:rsid w:val="F5F92C33"/>
    <w:rsid w:val="F6D8D0BA"/>
    <w:rsid w:val="F6EDEE86"/>
    <w:rsid w:val="F77D7A44"/>
    <w:rsid w:val="F77E076D"/>
    <w:rsid w:val="F7FF6A11"/>
    <w:rsid w:val="F86B0505"/>
    <w:rsid w:val="FBE78F86"/>
    <w:rsid w:val="FBF3E56A"/>
    <w:rsid w:val="FBFF7C63"/>
    <w:rsid w:val="FBFFA1D8"/>
    <w:rsid w:val="FD6E77C9"/>
    <w:rsid w:val="FD7D9AFD"/>
    <w:rsid w:val="FDBD766D"/>
    <w:rsid w:val="FDDFB132"/>
    <w:rsid w:val="FDF89808"/>
    <w:rsid w:val="FDFF0C29"/>
    <w:rsid w:val="FDFF222C"/>
    <w:rsid w:val="FDFF400C"/>
    <w:rsid w:val="FE1EF080"/>
    <w:rsid w:val="FE7F2925"/>
    <w:rsid w:val="FEBC7E48"/>
    <w:rsid w:val="FECB61D9"/>
    <w:rsid w:val="FED3A64B"/>
    <w:rsid w:val="FEF5784F"/>
    <w:rsid w:val="FEFCA532"/>
    <w:rsid w:val="FF373522"/>
    <w:rsid w:val="FF5F57A4"/>
    <w:rsid w:val="FF6CEA93"/>
    <w:rsid w:val="FF6F212D"/>
    <w:rsid w:val="FF7D3A25"/>
    <w:rsid w:val="FF7FE285"/>
    <w:rsid w:val="FF9771D6"/>
    <w:rsid w:val="FFCECDED"/>
    <w:rsid w:val="FFCF724C"/>
    <w:rsid w:val="FFD7C6C4"/>
    <w:rsid w:val="FFDB28FD"/>
    <w:rsid w:val="FFEB2090"/>
    <w:rsid w:val="FFED1812"/>
    <w:rsid w:val="FFED67A1"/>
    <w:rsid w:val="FFEF3BDF"/>
    <w:rsid w:val="FFFBE593"/>
    <w:rsid w:val="FFFE569F"/>
    <w:rsid w:val="FFFED082"/>
    <w:rsid w:val="FFFF727F"/>
    <w:rsid w:val="FFFF996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7"/>
    <w:qFormat/>
    <w:uiPriority w:val="99"/>
    <w:pPr>
      <w:widowControl/>
      <w:jc w:val="left"/>
      <w:outlineLvl w:val="0"/>
    </w:pPr>
    <w:rPr>
      <w:kern w:val="0"/>
      <w:sz w:val="24"/>
      <w:szCs w:val="20"/>
      <w:lang w:val="en-GB"/>
    </w:rPr>
  </w:style>
  <w:style w:type="paragraph" w:styleId="3">
    <w:name w:val="heading 2"/>
    <w:basedOn w:val="1"/>
    <w:next w:val="1"/>
    <w:link w:val="18"/>
    <w:unhideWhenUsed/>
    <w:qFormat/>
    <w:uiPriority w:val="9"/>
    <w:pPr>
      <w:keepNext/>
      <w:keepLines/>
      <w:spacing w:before="260" w:after="260" w:line="416" w:lineRule="auto"/>
      <w:outlineLvl w:val="1"/>
    </w:pPr>
    <w:rPr>
      <w:rFonts w:ascii="Cambria" w:hAnsi="Cambria" w:eastAsia="宋体" w:cs="Times New Roman"/>
      <w:b/>
      <w:bCs/>
      <w:sz w:val="32"/>
      <w:szCs w:val="32"/>
    </w:rPr>
  </w:style>
  <w:style w:type="character" w:default="1" w:styleId="14">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4">
    <w:name w:val="annotation text"/>
    <w:basedOn w:val="1"/>
    <w:link w:val="19"/>
    <w:unhideWhenUsed/>
    <w:qFormat/>
    <w:uiPriority w:val="99"/>
    <w:pPr>
      <w:jc w:val="left"/>
    </w:pPr>
  </w:style>
  <w:style w:type="paragraph" w:styleId="5">
    <w:name w:val="Body Text Indent 2"/>
    <w:basedOn w:val="1"/>
    <w:link w:val="20"/>
    <w:qFormat/>
    <w:uiPriority w:val="0"/>
    <w:pPr>
      <w:spacing w:line="560" w:lineRule="exact"/>
      <w:ind w:firstLine="480" w:firstLineChars="200"/>
    </w:pPr>
    <w:rPr>
      <w:rFonts w:ascii="宋体" w:hAnsi="宋体"/>
      <w:color w:val="FF0000"/>
      <w:sz w:val="24"/>
    </w:rPr>
  </w:style>
  <w:style w:type="paragraph" w:styleId="6">
    <w:name w:val="Balloon Text"/>
    <w:basedOn w:val="1"/>
    <w:link w:val="21"/>
    <w:unhideWhenUsed/>
    <w:qFormat/>
    <w:uiPriority w:val="99"/>
    <w:rPr>
      <w:sz w:val="18"/>
      <w:szCs w:val="18"/>
    </w:rPr>
  </w:style>
  <w:style w:type="paragraph" w:styleId="7">
    <w:name w:val="footer"/>
    <w:basedOn w:val="1"/>
    <w:link w:val="22"/>
    <w:unhideWhenUsed/>
    <w:qFormat/>
    <w:uiPriority w:val="99"/>
    <w:pPr>
      <w:tabs>
        <w:tab w:val="center" w:pos="4153"/>
        <w:tab w:val="right" w:pos="8306"/>
      </w:tabs>
      <w:snapToGrid w:val="0"/>
      <w:jc w:val="left"/>
    </w:pPr>
    <w:rPr>
      <w:sz w:val="18"/>
      <w:szCs w:val="18"/>
    </w:rPr>
  </w:style>
  <w:style w:type="paragraph" w:styleId="8">
    <w:name w:val="header"/>
    <w:basedOn w:val="1"/>
    <w:link w:val="23"/>
    <w:unhideWhenUsed/>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style>
  <w:style w:type="paragraph" w:styleId="10">
    <w:name w:val="toc 2"/>
    <w:basedOn w:val="1"/>
    <w:next w:val="1"/>
    <w:unhideWhenUsed/>
    <w:qFormat/>
    <w:uiPriority w:val="39"/>
    <w:pPr>
      <w:ind w:left="420" w:leftChars="200"/>
    </w:pPr>
  </w:style>
  <w:style w:type="paragraph" w:styleId="11">
    <w:name w:val="Normal (Web)"/>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lang w:val="en-GB" w:eastAsia="en-US"/>
    </w:rPr>
  </w:style>
  <w:style w:type="paragraph" w:styleId="12">
    <w:name w:val="annotation subject"/>
    <w:basedOn w:val="4"/>
    <w:next w:val="4"/>
    <w:link w:val="24"/>
    <w:unhideWhenUsed/>
    <w:qFormat/>
    <w:uiPriority w:val="99"/>
    <w:rPr>
      <w:b/>
      <w:bCs/>
    </w:rPr>
  </w:style>
  <w:style w:type="character" w:styleId="15">
    <w:name w:val="Hyperlink"/>
    <w:basedOn w:val="14"/>
    <w:unhideWhenUsed/>
    <w:qFormat/>
    <w:uiPriority w:val="99"/>
    <w:rPr>
      <w:color w:val="0000FF"/>
      <w:u w:val="single"/>
    </w:rPr>
  </w:style>
  <w:style w:type="character" w:styleId="16">
    <w:name w:val="annotation reference"/>
    <w:basedOn w:val="14"/>
    <w:unhideWhenUsed/>
    <w:qFormat/>
    <w:uiPriority w:val="99"/>
    <w:rPr>
      <w:sz w:val="21"/>
      <w:szCs w:val="21"/>
    </w:rPr>
  </w:style>
  <w:style w:type="character" w:customStyle="1" w:styleId="17">
    <w:name w:val="标题 1 Char"/>
    <w:basedOn w:val="14"/>
    <w:link w:val="2"/>
    <w:qFormat/>
    <w:uiPriority w:val="99"/>
    <w:rPr>
      <w:rFonts w:ascii="Times New Roman" w:hAnsi="Times New Roman" w:eastAsia="宋体" w:cs="Times New Roman"/>
      <w:kern w:val="0"/>
      <w:sz w:val="24"/>
      <w:szCs w:val="20"/>
      <w:lang w:val="en-GB"/>
    </w:rPr>
  </w:style>
  <w:style w:type="character" w:customStyle="1" w:styleId="18">
    <w:name w:val="标题 2 Char"/>
    <w:basedOn w:val="14"/>
    <w:link w:val="3"/>
    <w:semiHidden/>
    <w:qFormat/>
    <w:uiPriority w:val="9"/>
    <w:rPr>
      <w:rFonts w:ascii="Cambria" w:hAnsi="Cambria" w:eastAsia="宋体" w:cs="Times New Roman"/>
      <w:b/>
      <w:bCs/>
      <w:sz w:val="32"/>
      <w:szCs w:val="32"/>
    </w:rPr>
  </w:style>
  <w:style w:type="character" w:customStyle="1" w:styleId="19">
    <w:name w:val="批注文字 Char"/>
    <w:basedOn w:val="14"/>
    <w:link w:val="4"/>
    <w:semiHidden/>
    <w:qFormat/>
    <w:uiPriority w:val="99"/>
    <w:rPr>
      <w:rFonts w:ascii="Times New Roman" w:hAnsi="Times New Roman" w:eastAsia="宋体" w:cs="Times New Roman"/>
      <w:szCs w:val="24"/>
    </w:rPr>
  </w:style>
  <w:style w:type="character" w:customStyle="1" w:styleId="20">
    <w:name w:val="正文文本缩进 2 Char"/>
    <w:basedOn w:val="14"/>
    <w:link w:val="5"/>
    <w:qFormat/>
    <w:uiPriority w:val="0"/>
    <w:rPr>
      <w:rFonts w:ascii="宋体" w:hAnsi="宋体" w:eastAsia="宋体" w:cs="Times New Roman"/>
      <w:color w:val="FF0000"/>
      <w:sz w:val="24"/>
      <w:szCs w:val="24"/>
    </w:rPr>
  </w:style>
  <w:style w:type="character" w:customStyle="1" w:styleId="21">
    <w:name w:val="批注框文本 Char"/>
    <w:basedOn w:val="14"/>
    <w:link w:val="6"/>
    <w:semiHidden/>
    <w:qFormat/>
    <w:uiPriority w:val="99"/>
    <w:rPr>
      <w:rFonts w:ascii="Times New Roman" w:hAnsi="Times New Roman" w:eastAsia="宋体" w:cs="Times New Roman"/>
      <w:sz w:val="18"/>
      <w:szCs w:val="18"/>
    </w:rPr>
  </w:style>
  <w:style w:type="character" w:customStyle="1" w:styleId="22">
    <w:name w:val="页脚 Char"/>
    <w:basedOn w:val="14"/>
    <w:link w:val="7"/>
    <w:qFormat/>
    <w:uiPriority w:val="99"/>
    <w:rPr>
      <w:sz w:val="18"/>
      <w:szCs w:val="18"/>
    </w:rPr>
  </w:style>
  <w:style w:type="character" w:customStyle="1" w:styleId="23">
    <w:name w:val="页眉 Char"/>
    <w:basedOn w:val="14"/>
    <w:link w:val="8"/>
    <w:qFormat/>
    <w:uiPriority w:val="0"/>
    <w:rPr>
      <w:sz w:val="18"/>
      <w:szCs w:val="18"/>
    </w:rPr>
  </w:style>
  <w:style w:type="character" w:customStyle="1" w:styleId="24">
    <w:name w:val="批注主题 Char"/>
    <w:basedOn w:val="19"/>
    <w:link w:val="12"/>
    <w:semiHidden/>
    <w:qFormat/>
    <w:uiPriority w:val="99"/>
    <w:rPr>
      <w:rFonts w:ascii="Times New Roman" w:hAnsi="Times New Roman" w:eastAsia="宋体" w:cs="Times New Roman"/>
      <w:b/>
      <w:bCs/>
      <w:szCs w:val="24"/>
    </w:rPr>
  </w:style>
  <w:style w:type="character" w:customStyle="1" w:styleId="25">
    <w:name w:val="标题 2 Char Char Char"/>
    <w:qFormat/>
    <w:uiPriority w:val="0"/>
    <w:rPr>
      <w:rFonts w:ascii="Arial" w:hAnsi="Arial" w:eastAsia="宋体"/>
      <w:b/>
      <w:kern w:val="2"/>
      <w:sz w:val="28"/>
      <w:szCs w:val="28"/>
      <w:lang w:val="en-US" w:eastAsia="zh-CN" w:bidi="ar-SA"/>
    </w:rPr>
  </w:style>
  <w:style w:type="paragraph" w:customStyle="1" w:styleId="26">
    <w:name w:val="2级"/>
    <w:basedOn w:val="1"/>
    <w:link w:val="27"/>
    <w:qFormat/>
    <w:uiPriority w:val="0"/>
    <w:pPr>
      <w:keepNext/>
      <w:keepLines/>
      <w:widowControl/>
      <w:spacing w:before="260" w:after="260"/>
      <w:jc w:val="left"/>
      <w:outlineLvl w:val="1"/>
    </w:pPr>
    <w:rPr>
      <w:rFonts w:ascii="宋体" w:hAnsi="宋体" w:cs="Times New Roman"/>
      <w:b/>
      <w:bCs/>
      <w:sz w:val="24"/>
    </w:rPr>
  </w:style>
  <w:style w:type="character" w:customStyle="1" w:styleId="27">
    <w:name w:val="2级 Char"/>
    <w:basedOn w:val="14"/>
    <w:link w:val="26"/>
    <w:qFormat/>
    <w:uiPriority w:val="0"/>
    <w:rPr>
      <w:rFonts w:ascii="宋体" w:hAnsi="宋体" w:eastAsia="宋体"/>
      <w:b/>
      <w:bCs/>
      <w:sz w:val="24"/>
      <w:szCs w:val="24"/>
    </w:rPr>
  </w:style>
  <w:style w:type="paragraph" w:customStyle="1" w:styleId="28">
    <w:name w:val="正文XB"/>
    <w:basedOn w:val="1"/>
    <w:link w:val="29"/>
    <w:qFormat/>
    <w:uiPriority w:val="0"/>
    <w:pPr>
      <w:spacing w:line="360" w:lineRule="auto"/>
      <w:ind w:firstLine="420" w:firstLineChars="200"/>
    </w:pPr>
    <w:rPr>
      <w:rFonts w:ascii="宋体" w:hAnsi="宋体"/>
      <w:color w:val="000000"/>
      <w:szCs w:val="21"/>
    </w:rPr>
  </w:style>
  <w:style w:type="character" w:customStyle="1" w:styleId="29">
    <w:name w:val="正文XB Char"/>
    <w:basedOn w:val="14"/>
    <w:link w:val="28"/>
    <w:qFormat/>
    <w:uiPriority w:val="0"/>
    <w:rPr>
      <w:rFonts w:ascii="宋体" w:hAnsi="宋体" w:eastAsia="宋体" w:cs="Times New Roman"/>
      <w:color w:val="000000"/>
      <w:szCs w:val="21"/>
    </w:rPr>
  </w:style>
  <w:style w:type="paragraph" w:styleId="30">
    <w:name w:val="List Paragraph"/>
    <w:basedOn w:val="1"/>
    <w:unhideWhenUsed/>
    <w:qFormat/>
    <w:uiPriority w:val="99"/>
    <w:pPr>
      <w:ind w:firstLine="420" w:firstLineChars="200"/>
    </w:pPr>
  </w:style>
  <w:style w:type="paragraph" w:customStyle="1" w:styleId="31">
    <w:name w:val="Default"/>
    <w:qFormat/>
    <w:uiPriority w:val="0"/>
    <w:pPr>
      <w:widowControl w:val="0"/>
      <w:autoSpaceDE w:val="0"/>
      <w:autoSpaceDN w:val="0"/>
      <w:adjustRightInd w:val="0"/>
    </w:pPr>
    <w:rPr>
      <w:rFonts w:ascii="宋体棬　僬　." w:hAnsi="Calibri" w:eastAsia="宋体棬　僬　." w:cs="宋体棬　僬　."/>
      <w:color w:val="000000"/>
      <w:sz w:val="24"/>
      <w:szCs w:val="24"/>
      <w:lang w:val="en-US" w:eastAsia="zh-CN" w:bidi="ar-SA"/>
    </w:rPr>
  </w:style>
  <w:style w:type="paragraph" w:customStyle="1" w:styleId="32">
    <w:name w:val="TOC 标题1"/>
    <w:basedOn w:val="2"/>
    <w:next w:val="1"/>
    <w:unhideWhenUsed/>
    <w:qFormat/>
    <w:uiPriority w:val="39"/>
    <w:pPr>
      <w:keepNext/>
      <w:keepLines/>
      <w:spacing w:before="480" w:line="276" w:lineRule="auto"/>
      <w:outlineLvl w:val="9"/>
    </w:pPr>
    <w:rPr>
      <w:rFonts w:ascii="Cambria" w:hAnsi="Cambria" w:eastAsia="宋体" w:cs="Times New Roman"/>
      <w:b/>
      <w:bCs/>
      <w:color w:val="366091"/>
      <w:sz w:val="28"/>
      <w:szCs w:val="28"/>
      <w:lang w:val="en-US"/>
    </w:rPr>
  </w:style>
  <w:style w:type="paragraph" w:styleId="33">
    <w:name w:val="No Spacing"/>
    <w:basedOn w:val="1"/>
    <w:link w:val="34"/>
    <w:qFormat/>
    <w:uiPriority w:val="1"/>
    <w:pPr>
      <w:widowControl/>
      <w:jc w:val="left"/>
    </w:pPr>
    <w:rPr>
      <w:rFonts w:ascii="Calibri" w:hAnsi="Calibri" w:eastAsia="宋体" w:cs="Times New Roman"/>
      <w:szCs w:val="21"/>
    </w:rPr>
  </w:style>
  <w:style w:type="character" w:customStyle="1" w:styleId="34">
    <w:name w:val="无间隔 Char"/>
    <w:basedOn w:val="14"/>
    <w:link w:val="33"/>
    <w:qFormat/>
    <w:locked/>
    <w:uiPriority w:val="1"/>
    <w:rPr>
      <w:szCs w:val="21"/>
    </w:rPr>
  </w:style>
  <w:style w:type="paragraph" w:customStyle="1" w:styleId="35">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36">
    <w:name w:val="无缩进备注"/>
    <w:basedOn w:val="1"/>
    <w:link w:val="37"/>
    <w:qFormat/>
    <w:uiPriority w:val="0"/>
    <w:pPr>
      <w:tabs>
        <w:tab w:val="left" w:pos="426"/>
      </w:tabs>
      <w:jc w:val="left"/>
    </w:pPr>
    <w:rPr>
      <w:rFonts w:ascii="宋体" w:hAnsi="宋体"/>
      <w:kern w:val="0"/>
      <w:szCs w:val="21"/>
    </w:rPr>
  </w:style>
  <w:style w:type="character" w:customStyle="1" w:styleId="37">
    <w:name w:val="无缩进备注 Char"/>
    <w:basedOn w:val="14"/>
    <w:link w:val="36"/>
    <w:qFormat/>
    <w:uiPriority w:val="0"/>
    <w:rPr>
      <w:rFonts w:ascii="宋体" w:hAnsi="宋体" w:eastAsia="宋体" w:cs="Times New Roman"/>
      <w:kern w:val="0"/>
      <w:szCs w:val="21"/>
    </w:rPr>
  </w:style>
  <w:style w:type="character" w:customStyle="1" w:styleId="38">
    <w:name w:val="read1"/>
    <w:basedOn w:val="14"/>
    <w:qFormat/>
    <w:uiPriority w:val="0"/>
    <w:rPr>
      <w:rFonts w:hint="default"/>
      <w:color w:val="000000"/>
      <w:spacing w:val="450"/>
      <w:u w:val="none"/>
    </w:rPr>
  </w:style>
  <w:style w:type="character" w:customStyle="1" w:styleId="39">
    <w:name w:val="font01"/>
    <w:basedOn w:val="14"/>
    <w:qFormat/>
    <w:uiPriority w:val="0"/>
    <w:rPr>
      <w:rFonts w:hint="default" w:ascii="Times New Roman" w:hAnsi="Times New Roman" w:cs="Times New Roman"/>
      <w:b/>
      <w:color w:val="000000"/>
      <w:sz w:val="24"/>
      <w:szCs w:val="24"/>
      <w:u w:val="none"/>
    </w:rPr>
  </w:style>
  <w:style w:type="character" w:customStyle="1" w:styleId="40">
    <w:name w:val="font51"/>
    <w:basedOn w:val="14"/>
    <w:qFormat/>
    <w:uiPriority w:val="0"/>
    <w:rPr>
      <w:rFonts w:hint="eastAsia" w:ascii="宋体" w:hAnsi="宋体" w:eastAsia="宋体" w:cs="宋体"/>
      <w:b/>
      <w:color w:val="000000"/>
      <w:sz w:val="24"/>
      <w:szCs w:val="24"/>
      <w:u w:val="none"/>
    </w:rPr>
  </w:style>
  <w:style w:type="character" w:customStyle="1" w:styleId="41">
    <w:name w:val="font71"/>
    <w:basedOn w:val="14"/>
    <w:qFormat/>
    <w:uiPriority w:val="0"/>
    <w:rPr>
      <w:rFonts w:hint="eastAsia" w:ascii="宋体" w:hAnsi="宋体" w:eastAsia="宋体" w:cs="宋体"/>
      <w:color w:val="000000"/>
      <w:sz w:val="22"/>
      <w:szCs w:val="22"/>
      <w:u w:val="none"/>
    </w:rPr>
  </w:style>
  <w:style w:type="character" w:customStyle="1" w:styleId="42">
    <w:name w:val="font61"/>
    <w:basedOn w:val="14"/>
    <w:qFormat/>
    <w:uiPriority w:val="0"/>
    <w:rPr>
      <w:rFonts w:hint="eastAsia" w:ascii="宋体" w:hAnsi="宋体" w:eastAsia="宋体" w:cs="宋体"/>
      <w:color w:val="000000"/>
      <w:sz w:val="22"/>
      <w:szCs w:val="22"/>
      <w:u w:val="none"/>
    </w:rPr>
  </w:style>
  <w:style w:type="character" w:customStyle="1" w:styleId="43">
    <w:name w:val="font11"/>
    <w:basedOn w:val="14"/>
    <w:qFormat/>
    <w:uiPriority w:val="0"/>
    <w:rPr>
      <w:rFonts w:hint="eastAsia" w:ascii="宋体" w:hAnsi="宋体" w:eastAsia="宋体" w:cs="宋体"/>
      <w:color w:val="000000"/>
      <w:sz w:val="24"/>
      <w:szCs w:val="24"/>
      <w:u w:val="none"/>
    </w:rPr>
  </w:style>
  <w:style w:type="paragraph" w:customStyle="1" w:styleId="44">
    <w:name w:val="正文XB半年报"/>
    <w:basedOn w:val="5"/>
    <w:qFormat/>
    <w:uiPriority w:val="0"/>
    <w:pPr>
      <w:spacing w:line="360" w:lineRule="auto"/>
      <w:ind w:firstLine="200"/>
    </w:pPr>
    <w:rPr>
      <w:color w:val="auto"/>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13</Pages>
  <Words>1643</Words>
  <Characters>9366</Characters>
  <Lines>78</Lines>
  <Paragraphs>21</Paragraphs>
  <TotalTime>22</TotalTime>
  <ScaleCrop>false</ScaleCrop>
  <LinksUpToDate>false</LinksUpToDate>
  <CharactersWithSpaces>10988</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2023-05-26T23:18:00Z</dcterms:created>
  <dc:creator>段宏竹</dc:creator>
  <cp:lastModifiedBy>chenjy814</cp:lastModifiedBy>
  <cp:lastPrinted>2023-01-13T17:54:00Z</cp:lastPrinted>
  <dcterms:modified xsi:type="dcterms:W3CDTF">2026-08-28T13:43:31Z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D8E8AD822BAE40ADA5B425BEDB5C218C</vt:lpwstr>
  </property>
</Properties>
</file>