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4217C">
      <w:pPr>
        <w:pStyle w:val="2"/>
        <w:numPr>
          <w:ilvl w:val="0"/>
          <w:numId w:val="0"/>
        </w:numPr>
        <w:snapToGrid w:val="0"/>
        <w:spacing w:line="240" w:lineRule="auto"/>
        <w:jc w:val="center"/>
        <w:rPr>
          <w:rFonts w:ascii="楷体_GB2312" w:eastAsia="楷体_GB2312"/>
          <w:color w:val="000000"/>
          <w:sz w:val="24"/>
          <w:szCs w:val="24"/>
        </w:rPr>
      </w:pPr>
      <w:r>
        <w:rPr>
          <w:rFonts w:hint="eastAsia"/>
          <w:sz w:val="36"/>
          <w:szCs w:val="36"/>
        </w:rPr>
        <w:t>关于博时基金管理有限公司旗下部分基金新增华鑫证券为申购、赎回代办券商的公告</w:t>
      </w:r>
    </w:p>
    <w:p w14:paraId="6792363A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由博时基金管理有限公司（以下简称“本公司”）申请，并经上海证券交易所</w:t>
      </w:r>
      <w:r>
        <w:rPr>
          <w:rFonts w:hint="eastAsia"/>
          <w:lang w:eastAsia="zh-CN"/>
        </w:rPr>
        <w:t>、</w:t>
      </w:r>
      <w:r>
        <w:rPr>
          <w:rFonts w:hint="eastAsia"/>
        </w:rPr>
        <w:t>深圳证券交易所确认，自2026年6月12日起，本公司旗下部分基金将新增华鑫证券有限责任公司为场内申购、赎回业务的代办券商（以下简称“一级交易商”）。投资者可通过上述券商办理下述基金的场内申购、赎回等业务。具体基金如下：</w:t>
      </w:r>
      <w:bookmarkStart w:id="0" w:name="_GoBack"/>
      <w:bookmarkEnd w:id="0"/>
    </w:p>
    <w:p w14:paraId="46A3ECB6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沪市ETF</w:t>
      </w:r>
    </w:p>
    <w:tbl>
      <w:tblPr>
        <w:tblStyle w:val="14"/>
        <w:tblW w:w="504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3576"/>
        <w:gridCol w:w="1736"/>
        <w:gridCol w:w="1736"/>
        <w:gridCol w:w="1737"/>
        <w:gridCol w:w="1144"/>
      </w:tblGrid>
      <w:tr w14:paraId="1D67D7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tblHeader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BCD64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74A18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64B18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FC200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场内简称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66648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扩位简称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2C0FD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0EE860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C854B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66DBC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上证超级大盘交易型开放式指数证券投资基金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0A3F5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博时上证超大盘ETF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2C51C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4A3E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超大盘ETF博时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4A7E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510020 </w:t>
            </w:r>
          </w:p>
        </w:tc>
      </w:tr>
      <w:tr w14:paraId="26F14E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BC654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84EF8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上证自然资源交易型开放式指数证券投资基金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E5555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博时上证自然资源ETF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0717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资源ETF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29450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资源ETF博时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4AF04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510410 </w:t>
            </w:r>
          </w:p>
        </w:tc>
      </w:tr>
      <w:tr w14:paraId="008252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661B7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38CBF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博时中证央企结构调整交易型开放式指数证券投资基金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F6C3B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博时央企结构调整ETF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BF01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央调ETF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A7549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央企结构调整ETF博时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643CE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512960 </w:t>
            </w:r>
          </w:p>
        </w:tc>
      </w:tr>
      <w:tr w14:paraId="063BBF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AE47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F518B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博时中证全球中国教育主题交易型开放式指数证券投资基金(QDII)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C2574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博时全球中国教育（QDII-ETF）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9BD7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B5F66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B9DC0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513360 </w:t>
            </w:r>
          </w:p>
        </w:tc>
      </w:tr>
      <w:tr w14:paraId="516019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29D23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7269F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博时纳斯达克100交易型开放式指数证券投资基金（QDII）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58D8D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847A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695A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纳指100ETF博时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CD5C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513390 </w:t>
            </w:r>
          </w:p>
        </w:tc>
      </w:tr>
      <w:tr w14:paraId="72B0F45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AF707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7AF27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博时中证可持续发展100交易型开放式指数证券投资基金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B428F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博时可持续发展100ETF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94DA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96399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可持续发展ETF博时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2B99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515090 </w:t>
            </w:r>
          </w:p>
        </w:tc>
      </w:tr>
      <w:tr w14:paraId="61E77C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9BE6A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EBB41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6884A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B62AF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HS300E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9B7BA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沪深300ETF博时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E3B6C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515130 </w:t>
            </w:r>
          </w:p>
        </w:tc>
      </w:tr>
      <w:tr w14:paraId="319613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91F2A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16C3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529B3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183B5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红利博时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A8FCE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FA04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515890 </w:t>
            </w:r>
          </w:p>
        </w:tc>
      </w:tr>
      <w:tr w14:paraId="41E9895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6D204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7BBC6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博时中证央企创新驱动交易型开放式指数证券投资基金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F689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博时央企创新ETF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0184F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央创ETF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57B8A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央企创新ETF博时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5390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515900 </w:t>
            </w:r>
          </w:p>
        </w:tc>
      </w:tr>
      <w:tr w14:paraId="069AA32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4594C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69AAE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博时中证智能消费主题交易型开放式指数证券投资基金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CD34A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博时智能消费ETF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68FBD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929B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5A19B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515920 </w:t>
            </w:r>
          </w:p>
        </w:tc>
      </w:tr>
      <w:tr w14:paraId="4B9733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7114A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3271E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48BB4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博时新能源ETF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467A0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新能源BS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C323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3977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516580 </w:t>
            </w:r>
          </w:p>
        </w:tc>
      </w:tr>
      <w:tr w14:paraId="4C53C6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A7988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920FA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博时中证金融科技主题交易型开放式指数证券投资基金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6EAF5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博时金融科技ETF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49865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B329A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52675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516860 </w:t>
            </w:r>
          </w:p>
        </w:tc>
      </w:tr>
      <w:tr w14:paraId="502296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F50D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1E5D1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E708D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4BCC4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恒生港药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E83F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港股创新药ETF博时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DB88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520690 </w:t>
            </w:r>
          </w:p>
        </w:tc>
      </w:tr>
      <w:tr w14:paraId="555F351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F438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16B0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博时上证AAA科技创新公司债交易型开放式指数证券投资基金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7B027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博时上证AAA科创债ETF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196F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科创债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D3D8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科创债ETF博时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171A7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551000 </w:t>
            </w:r>
          </w:p>
        </w:tc>
      </w:tr>
      <w:tr w14:paraId="042E3B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8415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40B71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BD938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D15A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光伏博时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7CD8F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9C88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560310 </w:t>
            </w:r>
          </w:p>
        </w:tc>
      </w:tr>
      <w:tr w14:paraId="61170B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B7CC2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20015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DFFBD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CC1D8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966C8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CE94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561700 </w:t>
            </w:r>
          </w:p>
        </w:tc>
      </w:tr>
      <w:tr w14:paraId="1EC6B9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265A2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5CB61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C2BE9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15804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油气博时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E778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158CC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561760 </w:t>
            </w:r>
          </w:p>
        </w:tc>
      </w:tr>
      <w:tr w14:paraId="37A397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BC1D5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D77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博时中证1000增强策略交易型开放式指数证券投资基金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AFA9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F62B3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1000指增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E504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1000增强ETF博时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DA02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561780 </w:t>
            </w:r>
          </w:p>
        </w:tc>
      </w:tr>
      <w:tr w14:paraId="6812C7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E5DEC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9F6B9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EEE1F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5F61F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现代能源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3F665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央企能源ETF博时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46680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561790 </w:t>
            </w:r>
          </w:p>
        </w:tc>
      </w:tr>
      <w:tr w14:paraId="497127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7712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05F3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670B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3FEC9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科创材料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6430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科创新材料ETF博时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AA46F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588010 </w:t>
            </w:r>
          </w:p>
        </w:tc>
      </w:tr>
      <w:tr w14:paraId="502722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FAD07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1B0F8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博时上证科创板100交易型开放式指数证券投资基金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2FD31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博时科创100ETF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C2B9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科创指基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40416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科创100ETF博时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1A687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588030 </w:t>
            </w:r>
          </w:p>
        </w:tc>
      </w:tr>
      <w:tr w14:paraId="0A3E60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71F6A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22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10CB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53FF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8CD38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9AB1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8A6B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588390 </w:t>
            </w:r>
          </w:p>
        </w:tc>
      </w:tr>
      <w:tr w14:paraId="21A02F7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0B25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23 </w:t>
            </w:r>
          </w:p>
        </w:tc>
        <w:tc>
          <w:tcPr>
            <w:tcW w:w="168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9DA6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博时上证科创板人工智能交易型开放式指数证券投资基金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0C72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博时科创板人工智能ETF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89DB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科创智能 </w:t>
            </w:r>
          </w:p>
        </w:tc>
        <w:tc>
          <w:tcPr>
            <w:tcW w:w="82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B49E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科创AIETF博时 </w:t>
            </w:r>
          </w:p>
        </w:tc>
        <w:tc>
          <w:tcPr>
            <w:tcW w:w="54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3BDD2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588790 </w:t>
            </w:r>
          </w:p>
        </w:tc>
      </w:tr>
    </w:tbl>
    <w:p w14:paraId="2576BCE9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深市ETF</w:t>
      </w:r>
    </w:p>
    <w:tbl>
      <w:tblPr>
        <w:tblStyle w:val="14"/>
        <w:tblW w:w="5092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5"/>
        <w:gridCol w:w="6160"/>
        <w:gridCol w:w="2685"/>
        <w:gridCol w:w="1175"/>
      </w:tblGrid>
      <w:tr w14:paraId="77DD3AD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tblHeader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5FF93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E855E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3424E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78B5A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657655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7BB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4387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博时国证工业软件主题交易型开放式指数证券投资基金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B9072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工业软件ETF博时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55825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159108 </w:t>
            </w:r>
          </w:p>
        </w:tc>
      </w:tr>
      <w:tr w14:paraId="739BB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C8EEB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7A4D0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博时中证工业有色金属主题交易型开放式指数证券投资基金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EAC78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工业有色ETF博时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F4B3A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159171 </w:t>
            </w:r>
          </w:p>
        </w:tc>
      </w:tr>
      <w:tr w14:paraId="665A02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8BBC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D269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博时国证大盘成长交易型开放式指数证券投资基金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1326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大盘成长ETF博时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BDAB1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159203 </w:t>
            </w:r>
          </w:p>
        </w:tc>
      </w:tr>
      <w:tr w14:paraId="66271C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23897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5D96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博时中证银行交易型开放式指数证券投资基金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568D5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银行ETF博时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7A2D4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159253 </w:t>
            </w:r>
          </w:p>
        </w:tc>
      </w:tr>
      <w:tr w14:paraId="141E61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72184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1A8C1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博时中证全指证券公司交易型开放式指数证券投资基金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7D844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证券ETF博时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4898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159260 </w:t>
            </w:r>
          </w:p>
        </w:tc>
      </w:tr>
      <w:tr w14:paraId="40AB94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991D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1DEDC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博时中证红利低波动100交易型开放式指数证券投资基金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36EB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红利低波100ETF博时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EB731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159307 </w:t>
            </w:r>
          </w:p>
        </w:tc>
      </w:tr>
      <w:tr w14:paraId="31CCB9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6D97A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5E8F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B0E1D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D523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159357 </w:t>
            </w:r>
          </w:p>
        </w:tc>
      </w:tr>
      <w:tr w14:paraId="6D504CE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E459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374C0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博时国证大盘价值交易型开放式指数证券投资基金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6DCD5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大盘价值ETF博时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6B60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159391 </w:t>
            </w:r>
          </w:p>
        </w:tc>
      </w:tr>
      <w:tr w14:paraId="1417B5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A2274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C9E36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博时深证基准做市信用债交易型开放式指数证券投资基金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24BB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信用债ETF博时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2BD85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159396 </w:t>
            </w:r>
          </w:p>
        </w:tc>
      </w:tr>
      <w:tr w14:paraId="5D8517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A3BA3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2CF1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博时国证2000交易型开放式指数证券投资基金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3E995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国证2000ETF博时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8C54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159505 </w:t>
            </w:r>
          </w:p>
        </w:tc>
      </w:tr>
      <w:tr w14:paraId="312728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E6B0F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205EB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博时中证2000交易型开放式指数证券投资基金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DE113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中证2000ETF博时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46F4B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159533 </w:t>
            </w:r>
          </w:p>
        </w:tc>
      </w:tr>
      <w:tr w14:paraId="2226FB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3E72A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C0BAF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博时中证半导体产业交易型开放式指数证券投资基金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D0A6B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半导体ETF博时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97806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159582 </w:t>
            </w:r>
          </w:p>
        </w:tc>
      </w:tr>
      <w:tr w14:paraId="30626B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9089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4A69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博时中证成渝地区双城经济圈成份交易型开放式指数证券投资基金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78C7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成渝经济圈ETF博时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772F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159623 </w:t>
            </w:r>
          </w:p>
        </w:tc>
      </w:tr>
      <w:tr w14:paraId="0C8527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C4874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8618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博时中证主要消费交易型开放式指数证券投资基金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62824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消费ETF博时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2BCDD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159672 </w:t>
            </w:r>
          </w:p>
        </w:tc>
      </w:tr>
      <w:tr w14:paraId="44A8B5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36CA3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F7E92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博时中证500增强策略交易型开放式指数证券投资基金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B798B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500增强ETF博时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6981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159678 </w:t>
            </w:r>
          </w:p>
        </w:tc>
      </w:tr>
      <w:tr w14:paraId="436135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3ABB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3C481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博时国证龙头家电交易型开放式指数证券投资基金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A6237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家电ETF博时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AC9F1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159730 </w:t>
            </w:r>
          </w:p>
        </w:tc>
      </w:tr>
      <w:tr w14:paraId="61E6E8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60061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D5A3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博时中证湖北新旧动能转换交易型开放式指数证券投资基金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DB154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湖北ETF博时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CB72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159743 </w:t>
            </w:r>
          </w:p>
        </w:tc>
      </w:tr>
      <w:tr w14:paraId="34C496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6803C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65320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博时中证5G产业50交易型开放式指数证券投资基金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3BDBA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5GETF博时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67661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159811 </w:t>
            </w:r>
          </w:p>
        </w:tc>
      </w:tr>
      <w:tr w14:paraId="280312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C65A1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7C04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博时中证新能源汽车交易型开放式指数证券投资基金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C3514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新能源车ETF博时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11A5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159824 </w:t>
            </w:r>
          </w:p>
        </w:tc>
      </w:tr>
      <w:tr w14:paraId="437B03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72D1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E9E56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博时中证医药50交易型开放式指数证券投资基金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12B2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医药50ETF博时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43A76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159838 </w:t>
            </w:r>
          </w:p>
        </w:tc>
      </w:tr>
      <w:tr w14:paraId="60BD21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3C45B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4C971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博时创业板交易型开放式指数证券投资基金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4E0E7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创业板ETF博时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8F0B9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159908 </w:t>
            </w:r>
          </w:p>
        </w:tc>
      </w:tr>
      <w:tr w14:paraId="4DCF0A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C211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22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21E27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博时黄金交易型开放式证券投资基金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FB12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黄金ETF博时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08707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159937 </w:t>
            </w:r>
          </w:p>
        </w:tc>
      </w:tr>
      <w:tr w14:paraId="2D20E2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0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DD44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23 </w:t>
            </w:r>
          </w:p>
        </w:tc>
        <w:tc>
          <w:tcPr>
            <w:tcW w:w="28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8CF13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博时中证500交易型开放式指数证券投资基金 </w:t>
            </w:r>
          </w:p>
        </w:tc>
        <w:tc>
          <w:tcPr>
            <w:tcW w:w="1257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0EFC1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中证500ETF博时 </w:t>
            </w:r>
          </w:p>
        </w:tc>
        <w:tc>
          <w:tcPr>
            <w:tcW w:w="5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AA74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159968 </w:t>
            </w:r>
          </w:p>
        </w:tc>
      </w:tr>
    </w:tbl>
    <w:p w14:paraId="6243F51D">
      <w:pPr>
        <w:pStyle w:val="12"/>
        <w:spacing w:before="0" w:beforeAutospacing="0" w:after="0" w:afterAutospacing="0" w:line="360" w:lineRule="auto"/>
        <w:rPr>
          <w:rFonts w:hint="eastAsia"/>
        </w:rPr>
      </w:pPr>
    </w:p>
    <w:p w14:paraId="194989E0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一、投资者可通过以下途径咨询有关详情 </w:t>
      </w:r>
    </w:p>
    <w:tbl>
      <w:tblPr>
        <w:tblStyle w:val="1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41"/>
        <w:gridCol w:w="4427"/>
        <w:gridCol w:w="3014"/>
      </w:tblGrid>
      <w:tr w14:paraId="02AA06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3B1F3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机构名称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28FD0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客服电话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7F1DE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网址 </w:t>
            </w:r>
          </w:p>
        </w:tc>
      </w:tr>
      <w:tr w14:paraId="5AB83D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CDD3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华鑫证券有限责任公司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44A8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95323,021-32109999,029-68918888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F4218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http://www.cfsc.com.cn </w:t>
            </w:r>
          </w:p>
        </w:tc>
      </w:tr>
    </w:tbl>
    <w:p w14:paraId="6922B75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或致电博时一线通：95105568(免长途话费)，登录本公司网站https://www.bosera.com了解有关情况。 </w:t>
      </w:r>
    </w:p>
    <w:p w14:paraId="73E065DC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二、重要提示 </w:t>
      </w:r>
    </w:p>
    <w:p w14:paraId="02B0A049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 </w:t>
      </w:r>
    </w:p>
    <w:p w14:paraId="4D01D1A2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特此公告。 </w:t>
      </w:r>
    </w:p>
    <w:p w14:paraId="5CCBB5F6">
      <w:pPr>
        <w:autoSpaceDE w:val="0"/>
        <w:autoSpaceDN w:val="0"/>
        <w:spacing w:line="360" w:lineRule="auto"/>
        <w:ind w:firstLine="57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博时基金管理有限公司</w:t>
      </w:r>
    </w:p>
    <w:p w14:paraId="4FC981DF">
      <w:pPr>
        <w:spacing w:line="360" w:lineRule="auto"/>
        <w:jc w:val="right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2026年6月12日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3B3E60"/>
    <w:multiLevelType w:val="multilevel"/>
    <w:tmpl w:val="393B3E60"/>
    <w:lvl w:ilvl="0" w:tentative="0">
      <w:start w:val="1"/>
      <w:numFmt w:val="chineseCountingThousand"/>
      <w:pStyle w:val="2"/>
      <w:suff w:val="nothing"/>
      <w:lvlText w:val="%1、"/>
      <w:lvlJc w:val="center"/>
      <w:pPr>
        <w:ind w:left="0" w:firstLine="288"/>
      </w:pPr>
    </w:lvl>
    <w:lvl w:ilvl="1" w:tentative="0">
      <w:start w:val="1"/>
      <w:numFmt w:val="chineseCountingThousand"/>
      <w:pStyle w:val="3"/>
      <w:lvlText w:val="（%2）"/>
      <w:lvlJc w:val="left"/>
      <w:pPr>
        <w:tabs>
          <w:tab w:val="left" w:pos="1260"/>
        </w:tabs>
        <w:ind w:left="180" w:firstLine="0"/>
      </w:pPr>
      <w:rPr>
        <w:sz w:val="21"/>
        <w:szCs w:val="21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454"/>
        </w:tabs>
        <w:ind w:left="454" w:hanging="454"/>
      </w:pPr>
      <w:rPr>
        <w:rFonts w:hint="default" w:ascii="Arial" w:hAnsi="Arial" w:eastAsia="宋体" w:cs="Arial"/>
        <w:b w:val="0"/>
        <w:i w:val="0"/>
        <w:sz w:val="21"/>
      </w:rPr>
    </w:lvl>
    <w:lvl w:ilvl="3" w:tentative="0">
      <w:start w:val="1"/>
      <w:numFmt w:val="decimal"/>
      <w:pStyle w:val="5"/>
      <w:lvlText w:val="（%4）"/>
      <w:lvlJc w:val="left"/>
      <w:pPr>
        <w:tabs>
          <w:tab w:val="left" w:pos="720"/>
        </w:tabs>
        <w:ind w:left="0" w:firstLine="0"/>
      </w:pPr>
      <w:rPr>
        <w:rFonts w:hint="default" w:ascii="Arial" w:hAnsi="Arial" w:eastAsia="宋体" w:cs="Arial"/>
        <w:sz w:val="21"/>
      </w:rPr>
    </w:lvl>
    <w:lvl w:ilvl="4" w:tentative="0">
      <w:start w:val="1"/>
      <w:numFmt w:val="none"/>
      <w:pStyle w:val="6"/>
      <w:lvlText w:val=""/>
      <w:lvlJc w:val="left"/>
      <w:pPr>
        <w:tabs>
          <w:tab w:val="left" w:pos="360"/>
        </w:tabs>
        <w:ind w:left="0" w:firstLine="0"/>
      </w:pPr>
      <w:rPr>
        <w:sz w:val="24"/>
      </w:rPr>
    </w:lvl>
    <w:lvl w:ilvl="5" w:tentative="0">
      <w:start w:val="1"/>
      <w:numFmt w:val="upperLetter"/>
      <w:pStyle w:val="7"/>
      <w:lvlText w:val="%6."/>
      <w:lvlJc w:val="left"/>
      <w:pPr>
        <w:tabs>
          <w:tab w:val="left" w:pos="927"/>
        </w:tabs>
        <w:ind w:left="0" w:firstLine="567"/>
      </w:pPr>
      <w:rPr>
        <w:sz w:val="21"/>
        <w:szCs w:val="21"/>
      </w:rPr>
    </w:lvl>
    <w:lvl w:ilvl="6" w:tentative="0">
      <w:start w:val="1"/>
      <w:numFmt w:val="none"/>
      <w:lvlText w:val="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none"/>
      <w:lvlText w:val="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none"/>
      <w:lvlText w:val=""/>
      <w:lvlJc w:val="left"/>
      <w:pPr>
        <w:tabs>
          <w:tab w:val="left" w:pos="5102"/>
        </w:tabs>
        <w:ind w:left="5102" w:hanging="1700"/>
      </w:pPr>
    </w:lvl>
  </w:abstractNum>
  <w:abstractNum w:abstractNumId="1">
    <w:nsid w:val="5BDF2BC4"/>
    <w:multiLevelType w:val="singleLevel"/>
    <w:tmpl w:val="5BDF2BC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61"/>
    <w:rsid w:val="000045D1"/>
    <w:rsid w:val="00092C75"/>
    <w:rsid w:val="000B19D3"/>
    <w:rsid w:val="001349CD"/>
    <w:rsid w:val="00182AE4"/>
    <w:rsid w:val="00186B81"/>
    <w:rsid w:val="0030042E"/>
    <w:rsid w:val="00334A76"/>
    <w:rsid w:val="004E2DEA"/>
    <w:rsid w:val="0054440F"/>
    <w:rsid w:val="00562EAB"/>
    <w:rsid w:val="005C6C5C"/>
    <w:rsid w:val="005F7AF8"/>
    <w:rsid w:val="00791D57"/>
    <w:rsid w:val="007B2188"/>
    <w:rsid w:val="00816D5C"/>
    <w:rsid w:val="00855A50"/>
    <w:rsid w:val="008D0F9B"/>
    <w:rsid w:val="008E39A2"/>
    <w:rsid w:val="009D1DE7"/>
    <w:rsid w:val="00A02E52"/>
    <w:rsid w:val="00B50B2B"/>
    <w:rsid w:val="00DF750F"/>
    <w:rsid w:val="00F8460C"/>
    <w:rsid w:val="00FB06A4"/>
    <w:rsid w:val="00FB450C"/>
    <w:rsid w:val="00FC2A28"/>
    <w:rsid w:val="00FE0443"/>
    <w:rsid w:val="00FE5261"/>
    <w:rsid w:val="601C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9"/>
    <w:pPr>
      <w:numPr>
        <w:ilvl w:val="0"/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36"/>
      <w:sz w:val="30"/>
      <w:szCs w:val="30"/>
    </w:rPr>
  </w:style>
  <w:style w:type="paragraph" w:styleId="3">
    <w:name w:val="heading 2"/>
    <w:basedOn w:val="1"/>
    <w:link w:val="23"/>
    <w:semiHidden/>
    <w:unhideWhenUsed/>
    <w:qFormat/>
    <w:uiPriority w:val="9"/>
    <w:pPr>
      <w:numPr>
        <w:ilvl w:val="1"/>
        <w:numId w:val="1"/>
      </w:numPr>
      <w:spacing w:after="120" w:line="360" w:lineRule="auto"/>
      <w:outlineLvl w:val="1"/>
    </w:pPr>
    <w:rPr>
      <w:rFonts w:ascii="宋体" w:hAnsi="宋体"/>
      <w:color w:val="000000"/>
      <w:sz w:val="24"/>
      <w:szCs w:val="24"/>
    </w:rPr>
  </w:style>
  <w:style w:type="paragraph" w:styleId="4">
    <w:name w:val="heading 3"/>
    <w:basedOn w:val="1"/>
    <w:link w:val="24"/>
    <w:semiHidden/>
    <w:unhideWhenUsed/>
    <w:qFormat/>
    <w:uiPriority w:val="9"/>
    <w:pPr>
      <w:numPr>
        <w:ilvl w:val="2"/>
        <w:numId w:val="1"/>
      </w:numPr>
      <w:spacing w:after="120" w:line="360" w:lineRule="auto"/>
      <w:outlineLvl w:val="2"/>
    </w:pPr>
    <w:rPr>
      <w:rFonts w:ascii="宋体" w:hAnsi="宋体"/>
      <w:color w:val="000000"/>
    </w:rPr>
  </w:style>
  <w:style w:type="paragraph" w:styleId="5">
    <w:name w:val="heading 4"/>
    <w:basedOn w:val="1"/>
    <w:link w:val="25"/>
    <w:semiHidden/>
    <w:unhideWhenUsed/>
    <w:qFormat/>
    <w:uiPriority w:val="9"/>
    <w:pPr>
      <w:numPr>
        <w:ilvl w:val="3"/>
        <w:numId w:val="1"/>
      </w:numPr>
      <w:spacing w:after="120" w:line="360" w:lineRule="auto"/>
      <w:outlineLvl w:val="3"/>
    </w:pPr>
    <w:rPr>
      <w:rFonts w:ascii="宋体" w:hAnsi="宋体"/>
      <w:color w:val="000000"/>
    </w:rPr>
  </w:style>
  <w:style w:type="paragraph" w:styleId="6">
    <w:name w:val="heading 5"/>
    <w:basedOn w:val="1"/>
    <w:link w:val="26"/>
    <w:semiHidden/>
    <w:unhideWhenUsed/>
    <w:qFormat/>
    <w:uiPriority w:val="9"/>
    <w:pPr>
      <w:numPr>
        <w:ilvl w:val="4"/>
        <w:numId w:val="1"/>
      </w:numPr>
      <w:spacing w:after="120" w:line="360" w:lineRule="auto"/>
      <w:outlineLvl w:val="4"/>
    </w:pPr>
    <w:rPr>
      <w:rFonts w:ascii="宋体" w:hAnsi="宋体"/>
      <w:color w:val="000000"/>
    </w:rPr>
  </w:style>
  <w:style w:type="paragraph" w:styleId="7">
    <w:name w:val="heading 6"/>
    <w:basedOn w:val="1"/>
    <w:link w:val="27"/>
    <w:semiHidden/>
    <w:unhideWhenUsed/>
    <w:qFormat/>
    <w:uiPriority w:val="9"/>
    <w:pPr>
      <w:numPr>
        <w:ilvl w:val="5"/>
        <w:numId w:val="1"/>
      </w:numPr>
      <w:spacing w:after="120" w:line="360" w:lineRule="auto"/>
      <w:outlineLvl w:val="5"/>
    </w:pPr>
    <w:rPr>
      <w:rFonts w:ascii="宋体" w:hAnsi="宋体"/>
      <w:color w:val="000000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19"/>
    <w:semiHidden/>
    <w:unhideWhenUsed/>
    <w:uiPriority w:val="99"/>
    <w:pPr>
      <w:jc w:val="left"/>
    </w:pPr>
  </w:style>
  <w:style w:type="paragraph" w:styleId="9">
    <w:name w:val="Balloon Text"/>
    <w:basedOn w:val="1"/>
    <w:link w:val="21"/>
    <w:semiHidden/>
    <w:unhideWhenUsed/>
    <w:uiPriority w:val="99"/>
    <w:rPr>
      <w:sz w:val="18"/>
      <w:szCs w:val="18"/>
    </w:rPr>
  </w:style>
  <w:style w:type="paragraph" w:styleId="10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uiPriority w:val="99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13">
    <w:name w:val="annotation subject"/>
    <w:basedOn w:val="8"/>
    <w:next w:val="8"/>
    <w:link w:val="20"/>
    <w:semiHidden/>
    <w:unhideWhenUsed/>
    <w:uiPriority w:val="99"/>
    <w:rPr>
      <w:b/>
      <w:bCs/>
    </w:rPr>
  </w:style>
  <w:style w:type="character" w:styleId="16">
    <w:name w:val="annotation reference"/>
    <w:basedOn w:val="15"/>
    <w:semiHidden/>
    <w:unhideWhenUsed/>
    <w:uiPriority w:val="99"/>
    <w:rPr>
      <w:sz w:val="21"/>
      <w:szCs w:val="21"/>
    </w:rPr>
  </w:style>
  <w:style w:type="character" w:customStyle="1" w:styleId="17">
    <w:name w:val="页眉 Char"/>
    <w:basedOn w:val="15"/>
    <w:link w:val="11"/>
    <w:uiPriority w:val="99"/>
    <w:rPr>
      <w:sz w:val="18"/>
      <w:szCs w:val="18"/>
    </w:rPr>
  </w:style>
  <w:style w:type="character" w:customStyle="1" w:styleId="18">
    <w:name w:val="页脚 Char"/>
    <w:basedOn w:val="15"/>
    <w:link w:val="10"/>
    <w:uiPriority w:val="99"/>
    <w:rPr>
      <w:sz w:val="18"/>
      <w:szCs w:val="18"/>
    </w:rPr>
  </w:style>
  <w:style w:type="character" w:customStyle="1" w:styleId="19">
    <w:name w:val="批注文字 Char"/>
    <w:basedOn w:val="15"/>
    <w:link w:val="8"/>
    <w:semiHidden/>
    <w:uiPriority w:val="99"/>
  </w:style>
  <w:style w:type="character" w:customStyle="1" w:styleId="20">
    <w:name w:val="批注主题 Char"/>
    <w:basedOn w:val="19"/>
    <w:link w:val="13"/>
    <w:semiHidden/>
    <w:uiPriority w:val="99"/>
    <w:rPr>
      <w:b/>
      <w:bCs/>
    </w:rPr>
  </w:style>
  <w:style w:type="character" w:customStyle="1" w:styleId="21">
    <w:name w:val="批注框文本 Char"/>
    <w:basedOn w:val="15"/>
    <w:link w:val="9"/>
    <w:semiHidden/>
    <w:uiPriority w:val="99"/>
    <w:rPr>
      <w:sz w:val="18"/>
      <w:szCs w:val="18"/>
    </w:rPr>
  </w:style>
  <w:style w:type="character" w:customStyle="1" w:styleId="22">
    <w:name w:val="标题 1 字符"/>
    <w:basedOn w:val="15"/>
    <w:uiPriority w:val="9"/>
    <w:rPr>
      <w:rFonts w:ascii="Calibri" w:hAnsi="Calibri" w:eastAsia="宋体" w:cs="宋体"/>
      <w:b/>
      <w:bCs/>
      <w:kern w:val="44"/>
      <w:sz w:val="44"/>
      <w:szCs w:val="44"/>
    </w:rPr>
  </w:style>
  <w:style w:type="character" w:customStyle="1" w:styleId="23">
    <w:name w:val="标题 2 Char"/>
    <w:basedOn w:val="15"/>
    <w:link w:val="3"/>
    <w:semiHidden/>
    <w:uiPriority w:val="9"/>
    <w:rPr>
      <w:rFonts w:ascii="宋体" w:hAnsi="宋体" w:eastAsia="宋体" w:cs="宋体"/>
      <w:color w:val="000000"/>
      <w:kern w:val="0"/>
      <w:sz w:val="24"/>
      <w:szCs w:val="24"/>
    </w:rPr>
  </w:style>
  <w:style w:type="character" w:customStyle="1" w:styleId="24">
    <w:name w:val="标题 3 Char"/>
    <w:basedOn w:val="15"/>
    <w:link w:val="4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5">
    <w:name w:val="标题 4 Char"/>
    <w:basedOn w:val="15"/>
    <w:link w:val="5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6">
    <w:name w:val="标题 5 Char"/>
    <w:basedOn w:val="15"/>
    <w:link w:val="6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7">
    <w:name w:val="标题 6 Char"/>
    <w:basedOn w:val="15"/>
    <w:link w:val="7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8">
    <w:name w:val="标题 1 Char"/>
    <w:link w:val="2"/>
    <w:uiPriority w:val="9"/>
    <w:rPr>
      <w:rFonts w:ascii="宋体" w:hAnsi="宋体" w:eastAsia="宋体" w:cs="宋体"/>
      <w:b/>
      <w:bCs/>
      <w:color w:val="000000"/>
      <w:kern w:val="3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339</Words>
  <Characters>1937</Characters>
  <Lines>16</Lines>
  <Paragraphs>4</Paragraphs>
  <TotalTime>3</TotalTime>
  <ScaleCrop>false</ScaleCrop>
  <LinksUpToDate>false</LinksUpToDate>
  <CharactersWithSpaces>2272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2026-06-11T01:01:00Z</dcterms:created>
  <dc:creator>Windows 用户</dc:creator>
  <cp:lastModifiedBy>guanmj</cp:lastModifiedBy>
  <dcterms:modified xsi:type="dcterms:W3CDTF">2026-06-11T01:06:47Z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358828483CD043B58ABDDF9761FE9696_12</vt:lpwstr>
  </property>
</Properties>
</file>