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AF28AB"/>
    <w:p w14:paraId="38A46874">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博时基金管理有限公司关于以通讯方式召开博时中证800指数增强型证券投资基金基金份额持有人大会的公告</w:t>
      </w:r>
    </w:p>
    <w:p w14:paraId="1424501B">
      <w:pPr>
        <w:spacing w:line="360" w:lineRule="auto"/>
        <w:jc w:val="center"/>
        <w:rPr>
          <w:rFonts w:ascii="宋体" w:hAnsi="宋体" w:eastAsia="宋体"/>
          <w:b/>
          <w:sz w:val="24"/>
        </w:rPr>
      </w:pPr>
    </w:p>
    <w:p w14:paraId="6767342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6155AB2F">
      <w:pPr>
        <w:pStyle w:val="5"/>
        <w:spacing w:before="0" w:beforeAutospacing="0" w:after="0" w:afterAutospacing="0" w:line="360" w:lineRule="auto"/>
        <w:ind w:firstLine="420"/>
        <w:jc w:val="both"/>
        <w:rPr>
          <w:sz w:val="21"/>
          <w:szCs w:val="21"/>
        </w:rPr>
      </w:pPr>
      <w:r>
        <w:rPr>
          <w:rFonts w:hint="eastAsia"/>
          <w:sz w:val="21"/>
          <w:szCs w:val="21"/>
        </w:rPr>
        <w:t>根据《中华人民共和国证券投资基金法》、《公开募集证券投资基金运作管理办法》和</w:t>
      </w:r>
      <w:r>
        <w:rPr>
          <w:rFonts w:hint="eastAsia"/>
          <w:b w:val="0"/>
          <w:bCs w:val="0"/>
          <w:i w:val="0"/>
          <w:iCs w:val="0"/>
          <w:sz w:val="21"/>
          <w:szCs w:val="21"/>
          <w:u w:val="none"/>
        </w:rPr>
        <w:t>《</w:t>
      </w:r>
      <w:r>
        <w:rPr>
          <w:rStyle w:val="8"/>
          <w:rFonts w:hint="eastAsia"/>
          <w:b w:val="0"/>
          <w:bCs w:val="0"/>
          <w:i w:val="0"/>
          <w:iCs w:val="0"/>
          <w:sz w:val="21"/>
          <w:szCs w:val="21"/>
          <w:u w:val="none"/>
        </w:rPr>
        <w:t>博时中证800指数增强型证券投资基金</w:t>
      </w:r>
      <w:r>
        <w:rPr>
          <w:rFonts w:hint="eastAsia"/>
          <w:b w:val="0"/>
          <w:bCs w:val="0"/>
          <w:i w:val="0"/>
          <w:iCs w:val="0"/>
          <w:sz w:val="21"/>
          <w:szCs w:val="21"/>
          <w:u w:val="none"/>
        </w:rPr>
        <w:t>基金</w:t>
      </w:r>
      <w:r>
        <w:rPr>
          <w:rFonts w:hint="eastAsia"/>
          <w:sz w:val="21"/>
          <w:szCs w:val="21"/>
        </w:rPr>
        <w:t>合同》（以下简称“《基金合同》”或“基金合同”）的有关规定，</w:t>
      </w:r>
      <w:r>
        <w:rPr>
          <w:rStyle w:val="8"/>
          <w:rFonts w:hint="eastAsia"/>
          <w:i w:val="0"/>
          <w:iCs w:val="0"/>
          <w:sz w:val="21"/>
          <w:szCs w:val="21"/>
          <w:u w:val="none"/>
        </w:rPr>
        <w:t>博时中证800指数增强型证券投资基金</w:t>
      </w:r>
      <w:r>
        <w:rPr>
          <w:rFonts w:hint="eastAsia"/>
          <w:sz w:val="21"/>
          <w:szCs w:val="21"/>
        </w:rPr>
        <w:t>（以下简称“本基金”）的基金管理人博时基金管理有限公司（以下简称“基金管理人”或“本基金管理人”）经与本基金的基金托管人</w:t>
      </w:r>
      <w:r>
        <w:rPr>
          <w:rStyle w:val="8"/>
          <w:rFonts w:hint="eastAsia"/>
          <w:i w:val="0"/>
          <w:iCs w:val="0"/>
          <w:sz w:val="21"/>
          <w:szCs w:val="21"/>
          <w:u w:val="none"/>
        </w:rPr>
        <w:t>上海浦东发展银行股份有限公司</w:t>
      </w:r>
      <w:r>
        <w:rPr>
          <w:rFonts w:hint="eastAsia"/>
          <w:sz w:val="21"/>
          <w:szCs w:val="21"/>
        </w:rPr>
        <w:t xml:space="preserve">协商一致，决定以通讯方式召开本基金的基金份额持有人大会，会议的具体安排如下： </w:t>
      </w:r>
    </w:p>
    <w:p w14:paraId="75CAE5D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28665EFB">
      <w:pPr>
        <w:pStyle w:val="5"/>
        <w:spacing w:before="0" w:beforeAutospacing="0" w:after="0" w:afterAutospacing="0" w:line="360" w:lineRule="auto"/>
        <w:ind w:firstLine="420"/>
        <w:jc w:val="both"/>
        <w:rPr>
          <w:rFonts w:hint="eastAsia"/>
          <w:sz w:val="21"/>
          <w:szCs w:val="21"/>
        </w:rPr>
      </w:pPr>
      <w:r>
        <w:rPr>
          <w:rFonts w:hint="eastAsia"/>
          <w:sz w:val="21"/>
          <w:szCs w:val="21"/>
        </w:rPr>
        <w:t>2、会议投票表决起止时间：自</w:t>
      </w:r>
      <w:r>
        <w:rPr>
          <w:rStyle w:val="8"/>
          <w:rFonts w:hint="eastAsia"/>
          <w:i w:val="0"/>
          <w:iCs w:val="0"/>
          <w:sz w:val="21"/>
          <w:szCs w:val="21"/>
          <w:u w:val="none"/>
        </w:rPr>
        <w:t>2026年10月29日</w:t>
      </w:r>
      <w:r>
        <w:rPr>
          <w:rFonts w:hint="eastAsia"/>
          <w:sz w:val="21"/>
          <w:szCs w:val="21"/>
        </w:rPr>
        <w:t>起，至</w:t>
      </w:r>
      <w:r>
        <w:rPr>
          <w:rStyle w:val="8"/>
          <w:rFonts w:hint="eastAsia"/>
          <w:i w:val="0"/>
          <w:iCs w:val="0"/>
          <w:sz w:val="21"/>
          <w:szCs w:val="21"/>
          <w:u w:val="none"/>
        </w:rPr>
        <w:t>2026年11月27日</w:t>
      </w:r>
      <w:r>
        <w:rPr>
          <w:rFonts w:hint="eastAsia"/>
          <w:sz w:val="21"/>
          <w:szCs w:val="21"/>
        </w:rPr>
        <w:t xml:space="preserve">17：00止（送达时间以本基金管理人收到表决票时间为准）。 </w:t>
      </w:r>
    </w:p>
    <w:p w14:paraId="42994DBC">
      <w:pPr>
        <w:pStyle w:val="5"/>
        <w:spacing w:before="0" w:beforeAutospacing="0" w:after="0" w:afterAutospacing="0" w:line="360" w:lineRule="auto"/>
        <w:ind w:firstLine="420"/>
        <w:jc w:val="both"/>
        <w:rPr>
          <w:rFonts w:hint="eastAsia"/>
          <w:i w:val="0"/>
          <w:iCs w:val="0"/>
          <w:sz w:val="21"/>
          <w:szCs w:val="21"/>
          <w:u w:val="none"/>
        </w:rPr>
      </w:pPr>
      <w:r>
        <w:rPr>
          <w:rFonts w:hint="eastAsia"/>
          <w:sz w:val="21"/>
          <w:szCs w:val="21"/>
        </w:rPr>
        <w:t>3、会议计票日：</w:t>
      </w:r>
      <w:r>
        <w:rPr>
          <w:rStyle w:val="8"/>
          <w:rFonts w:hint="eastAsia"/>
          <w:i w:val="0"/>
          <w:iCs w:val="0"/>
          <w:sz w:val="21"/>
          <w:szCs w:val="21"/>
          <w:u w:val="none"/>
        </w:rPr>
        <w:t>2026年12月1日</w:t>
      </w:r>
      <w:r>
        <w:rPr>
          <w:rFonts w:hint="eastAsia"/>
          <w:i w:val="0"/>
          <w:iCs w:val="0"/>
          <w:sz w:val="21"/>
          <w:szCs w:val="21"/>
          <w:u w:val="none"/>
        </w:rPr>
        <w:t xml:space="preserve">  </w:t>
      </w:r>
    </w:p>
    <w:p w14:paraId="7994A71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3DD65EE9">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699CCF1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642C56E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30B8C9C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39827C8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请在信封表面注明：“博时中证800指数增强型证券投资基金基金份额持有人大会表决专用”。 </w:t>
      </w:r>
    </w:p>
    <w:p w14:paraId="77165B12">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26B7475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60758EC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02061121">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《关于博时中证800指数增强型证券投资基金持续运作的议案》（见附件一）。 </w:t>
      </w:r>
    </w:p>
    <w:p w14:paraId="1A8B12A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79816BB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本次大会的权益登记日为2026年10月29日，即2026年10月29日在本基金登记机构登记在册的本基金全体基金份额持有人均有权参与本次基金份额持有人大会的表决。 </w:t>
      </w:r>
    </w:p>
    <w:p w14:paraId="00713EC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1E6FFD39">
      <w:pPr>
        <w:pStyle w:val="5"/>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692FE78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02CE7CC4">
      <w:pPr>
        <w:pStyle w:val="5"/>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46CFBC20">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5143BCA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55B4FEE1">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7ACE1C8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或其代理人需将填妥的表决票和所需的相关文件自2026年10月29日起，至2026年11月27日17：00以前（送达时间以基金管理人收到表决票时间为准）通过专人送交、邮寄的方式送达至本公告第一条第4项所述的寄达地址，并请在信封表面注明：“博时中证800指数增强型证券投资基金基金份额持有人大会表决专用”。 </w:t>
      </w:r>
    </w:p>
    <w:p w14:paraId="3539B24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2D45BE8C">
      <w:pPr>
        <w:pStyle w:val="5"/>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6A56295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574D8C3B">
      <w:pPr>
        <w:pStyle w:val="5"/>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29E1DF2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6BF35AB2">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61122BD3">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6D6B7FF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0B4175F2">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2、电话授权方式（仅适用于个人投资者） </w:t>
      </w:r>
    </w:p>
    <w:p w14:paraId="56541DF2">
      <w:pPr>
        <w:pStyle w:val="5"/>
        <w:spacing w:before="0" w:beforeAutospacing="0" w:after="0" w:afterAutospacing="0" w:line="360" w:lineRule="auto"/>
        <w:ind w:firstLine="420"/>
        <w:jc w:val="both"/>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2026年11月2</w:t>
      </w:r>
      <w:r>
        <w:rPr>
          <w:rFonts w:hint="eastAsia"/>
          <w:sz w:val="21"/>
          <w:szCs w:val="21"/>
          <w:lang w:val="en-US" w:eastAsia="zh-CN"/>
        </w:rPr>
        <w:t>6</w:t>
      </w:r>
      <w:r>
        <w:rPr>
          <w:rFonts w:hint="eastAsia"/>
          <w:sz w:val="21"/>
          <w:szCs w:val="21"/>
        </w:rPr>
        <w:t xml:space="preserve">日）17：00（授权时间以系统记录的电话接通时间为准）。 </w:t>
      </w:r>
    </w:p>
    <w:p w14:paraId="3DF6C55D">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7308516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389D1264">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（4）为保护基金份额持有人利益，上述通话过程将被录音。 </w:t>
      </w:r>
    </w:p>
    <w:p w14:paraId="2CD017A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3、短信授权方式（仅适用于个人投资者） </w:t>
      </w:r>
    </w:p>
    <w:p w14:paraId="7513309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30E12A54">
      <w:pPr>
        <w:pStyle w:val="5"/>
        <w:spacing w:before="0" w:beforeAutospacing="0" w:after="0" w:afterAutospacing="0" w:line="360" w:lineRule="auto"/>
        <w:ind w:firstLine="420"/>
        <w:jc w:val="both"/>
        <w:rPr>
          <w:rFonts w:hint="eastAsia"/>
          <w:sz w:val="21"/>
          <w:szCs w:val="21"/>
        </w:rPr>
      </w:pPr>
      <w:r>
        <w:rPr>
          <w:rFonts w:hint="eastAsia"/>
          <w:sz w:val="21"/>
          <w:szCs w:val="21"/>
        </w:rPr>
        <w:t>短信授权的起止时间自2026年10月2</w:t>
      </w:r>
      <w:r>
        <w:rPr>
          <w:rFonts w:hint="eastAsia"/>
          <w:sz w:val="21"/>
          <w:szCs w:val="21"/>
          <w:lang w:val="en-US" w:eastAsia="zh-CN"/>
        </w:rPr>
        <w:t>9</w:t>
      </w:r>
      <w:r>
        <w:rPr>
          <w:rFonts w:hint="eastAsia"/>
          <w:sz w:val="21"/>
          <w:szCs w:val="21"/>
        </w:rPr>
        <w:t>日起至2026年11月2</w:t>
      </w:r>
      <w:r>
        <w:rPr>
          <w:rFonts w:hint="eastAsia"/>
          <w:sz w:val="21"/>
          <w:szCs w:val="21"/>
          <w:lang w:val="en-US" w:eastAsia="zh-CN"/>
        </w:rPr>
        <w:t>6</w:t>
      </w:r>
      <w:r>
        <w:rPr>
          <w:rFonts w:hint="eastAsia"/>
          <w:sz w:val="21"/>
          <w:szCs w:val="21"/>
        </w:rPr>
        <w:t xml:space="preserve">日（本次大会投票截止日前一工作日）17:00止（授权时间以系统记录的短信接收时间为准），敬请投资者注意。 </w:t>
      </w:r>
    </w:p>
    <w:p w14:paraId="1643BC12">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基金份额持有人通过短信授权的方式仅适用于个人投资者，对机构投资者暂不开通。 </w:t>
      </w:r>
    </w:p>
    <w:p w14:paraId="67AE796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6D0D93C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52BD02F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4、授权效力确定规则 </w:t>
      </w:r>
    </w:p>
    <w:p w14:paraId="1B847A1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2E5B6B10">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3AD8768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67D64FAD">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7964DEC0">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7D82AFA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4282121E">
      <w:pPr>
        <w:pStyle w:val="5"/>
        <w:spacing w:before="0" w:beforeAutospacing="0" w:after="0" w:afterAutospacing="0" w:line="360" w:lineRule="auto"/>
        <w:ind w:firstLine="420"/>
        <w:jc w:val="both"/>
        <w:rPr>
          <w:sz w:val="21"/>
          <w:szCs w:val="21"/>
        </w:rPr>
      </w:pPr>
      <w:r>
        <w:rPr>
          <w:rFonts w:hint="eastAsia"/>
          <w:sz w:val="21"/>
          <w:szCs w:val="21"/>
        </w:rPr>
        <w:t xml:space="preserve">1、本次通讯会议的计票方式为：由本基金管理人授权的两名监督员在基金托管人（上海浦东发展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435DA44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4FD2B1F2">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0269C8E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54EBEC74">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（2）同一基金份额持有人送达了有效表决票，又存在有效纸面授权或有效非纸面授权的，以其送达的有效表决票为准。 </w:t>
      </w:r>
      <w:bookmarkStart w:id="0" w:name="_GoBack"/>
      <w:bookmarkEnd w:id="0"/>
      <w:r>
        <w:rPr>
          <w:rFonts w:hint="eastAsia"/>
          <w:sz w:val="21"/>
          <w:szCs w:val="21"/>
        </w:rPr>
        <w:t xml:space="preserve"> </w:t>
      </w:r>
    </w:p>
    <w:p w14:paraId="6940448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918762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4D7133E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1BC3F053">
      <w:pPr>
        <w:pStyle w:val="5"/>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14D1525E">
      <w:pPr>
        <w:pStyle w:val="5"/>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75D2EFB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5730163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073887F9">
      <w:pPr>
        <w:pStyle w:val="5"/>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686970AD">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2、《关于博时中证800指数增强型证券投资基金持续运作的议案》应当由提交有效表决票的基金份额持有人或其代理人所持表决权的二分之一以上（含二分之一）通过； </w:t>
      </w:r>
    </w:p>
    <w:p w14:paraId="5FAAD9E4">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00E1854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18AA80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69B7EB49">
      <w:pPr>
        <w:pStyle w:val="5"/>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10月29日。 </w:t>
      </w:r>
    </w:p>
    <w:p w14:paraId="35C62FD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7A37972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7C1F6C25">
      <w:pPr>
        <w:pStyle w:val="5"/>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00CAAD84">
      <w:pPr>
        <w:pStyle w:val="5"/>
        <w:spacing w:before="0" w:beforeAutospacing="0" w:after="0" w:afterAutospacing="0" w:line="360" w:lineRule="auto"/>
        <w:ind w:firstLine="420"/>
        <w:jc w:val="both"/>
        <w:rPr>
          <w:rFonts w:hint="eastAsia"/>
          <w:sz w:val="21"/>
          <w:szCs w:val="21"/>
        </w:rPr>
      </w:pPr>
      <w:r>
        <w:rPr>
          <w:rFonts w:hint="eastAsia"/>
          <w:sz w:val="21"/>
          <w:szCs w:val="21"/>
        </w:rPr>
        <w:t>2、基金托管人：上海浦东发展银行股份有限公司</w:t>
      </w:r>
    </w:p>
    <w:p w14:paraId="38D0934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204580F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2A13370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43125D43">
      <w:pPr>
        <w:pStyle w:val="5"/>
        <w:spacing w:before="0" w:beforeAutospacing="0" w:after="0" w:afterAutospacing="0" w:line="360" w:lineRule="auto"/>
        <w:ind w:firstLine="420"/>
        <w:jc w:val="both"/>
        <w:rPr>
          <w:rStyle w:val="8"/>
          <w:rFonts w:hint="eastAsia"/>
          <w:sz w:val="21"/>
          <w:szCs w:val="21"/>
          <w:u w:val="single"/>
        </w:rPr>
      </w:pPr>
      <w:r>
        <w:rPr>
          <w:rFonts w:hint="eastAsia"/>
          <w:sz w:val="21"/>
          <w:szCs w:val="21"/>
        </w:rPr>
        <w:t>4、律师事务所：上海源泰律师事务所</w:t>
      </w:r>
    </w:p>
    <w:p w14:paraId="6C1D371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2AF300D2">
      <w:pPr>
        <w:pStyle w:val="5"/>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5A0A4381">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349E0CC4">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7491391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4、本公告的有关内容由博时基金管理有限公司负责解释。 </w:t>
      </w:r>
    </w:p>
    <w:p w14:paraId="7E4AA04E">
      <w:pPr>
        <w:pStyle w:val="5"/>
        <w:spacing w:before="0" w:beforeAutospacing="0" w:after="0" w:afterAutospacing="0" w:line="360" w:lineRule="auto"/>
        <w:ind w:firstLine="420"/>
        <w:jc w:val="both"/>
        <w:rPr>
          <w:sz w:val="21"/>
          <w:szCs w:val="21"/>
        </w:rPr>
      </w:pPr>
    </w:p>
    <w:p w14:paraId="5881A21B">
      <w:pPr>
        <w:pStyle w:val="5"/>
        <w:spacing w:before="0" w:beforeAutospacing="0" w:after="0" w:afterAutospacing="0" w:line="360" w:lineRule="auto"/>
        <w:ind w:firstLine="420"/>
        <w:jc w:val="both"/>
        <w:rPr>
          <w:sz w:val="21"/>
          <w:szCs w:val="21"/>
        </w:rPr>
      </w:pPr>
    </w:p>
    <w:p w14:paraId="4518AD86">
      <w:pPr>
        <w:pStyle w:val="5"/>
        <w:spacing w:before="0" w:beforeAutospacing="0" w:after="0" w:afterAutospacing="0" w:line="360" w:lineRule="auto"/>
        <w:ind w:firstLine="420"/>
        <w:jc w:val="both"/>
        <w:rPr>
          <w:sz w:val="21"/>
          <w:szCs w:val="21"/>
        </w:rPr>
      </w:pPr>
    </w:p>
    <w:p w14:paraId="06D4071D">
      <w:pPr>
        <w:pStyle w:val="5"/>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270BCDBF">
      <w:pPr>
        <w:pStyle w:val="5"/>
        <w:spacing w:before="0" w:beforeAutospacing="0" w:after="0" w:afterAutospacing="0" w:line="360" w:lineRule="auto"/>
        <w:ind w:firstLine="420"/>
        <w:jc w:val="right"/>
        <w:rPr>
          <w:sz w:val="21"/>
          <w:szCs w:val="21"/>
        </w:rPr>
      </w:pPr>
      <w:r>
        <w:rPr>
          <w:sz w:val="21"/>
          <w:szCs w:val="21"/>
        </w:rPr>
        <w:t>2026年10月26日</w:t>
      </w:r>
    </w:p>
    <w:p w14:paraId="68143794">
      <w:pPr>
        <w:pStyle w:val="5"/>
        <w:spacing w:before="0" w:beforeAutospacing="0" w:after="0" w:afterAutospacing="0" w:line="360" w:lineRule="auto"/>
        <w:ind w:firstLine="420"/>
        <w:jc w:val="right"/>
        <w:rPr>
          <w:sz w:val="21"/>
          <w:szCs w:val="21"/>
        </w:rPr>
      </w:pPr>
    </w:p>
    <w:p w14:paraId="4390C5D9">
      <w:pPr>
        <w:adjustRightInd w:val="0"/>
        <w:snapToGrid w:val="0"/>
        <w:spacing w:line="360" w:lineRule="auto"/>
        <w:rPr>
          <w:rStyle w:val="11"/>
          <w:rFonts w:ascii="宋体" w:hAnsi="宋体" w:cs="宋体"/>
          <w:szCs w:val="21"/>
        </w:rPr>
      </w:pPr>
      <w:r>
        <w:rPr>
          <w:rStyle w:val="11"/>
          <w:rFonts w:hint="eastAsia" w:ascii="宋体" w:hAnsi="宋体" w:cs="宋体"/>
          <w:szCs w:val="21"/>
        </w:rPr>
        <w:t>附件一：《关于博时中证</w:t>
      </w:r>
      <w:r>
        <w:rPr>
          <w:rStyle w:val="11"/>
          <w:rFonts w:ascii="宋体" w:hAnsi="宋体" w:cs="宋体"/>
          <w:szCs w:val="21"/>
        </w:rPr>
        <w:t>800指数增强型证券投资基金持续运作的议案</w:t>
      </w:r>
      <w:r>
        <w:rPr>
          <w:rStyle w:val="11"/>
          <w:rFonts w:hint="eastAsia" w:ascii="宋体" w:hAnsi="宋体" w:cs="宋体"/>
          <w:szCs w:val="21"/>
        </w:rPr>
        <w:t>》</w:t>
      </w:r>
    </w:p>
    <w:p w14:paraId="5CAC3E98">
      <w:pPr>
        <w:adjustRightInd w:val="0"/>
        <w:snapToGrid w:val="0"/>
        <w:spacing w:line="360" w:lineRule="auto"/>
        <w:rPr>
          <w:rStyle w:val="11"/>
          <w:rFonts w:ascii="宋体" w:hAnsi="宋体" w:cs="宋体"/>
          <w:szCs w:val="21"/>
        </w:rPr>
      </w:pPr>
      <w:r>
        <w:rPr>
          <w:rStyle w:val="11"/>
          <w:rFonts w:hint="eastAsia" w:ascii="宋体" w:hAnsi="宋体" w:cs="宋体"/>
          <w:szCs w:val="21"/>
        </w:rPr>
        <w:t>附件二：《博时中证</w:t>
      </w:r>
      <w:r>
        <w:rPr>
          <w:rStyle w:val="11"/>
          <w:rFonts w:ascii="宋体" w:hAnsi="宋体" w:cs="宋体"/>
          <w:szCs w:val="21"/>
        </w:rPr>
        <w:t>800指数增强型证券投资基金</w:t>
      </w:r>
      <w:r>
        <w:rPr>
          <w:rStyle w:val="11"/>
          <w:rFonts w:hint="eastAsia" w:ascii="宋体" w:hAnsi="宋体" w:cs="宋体"/>
          <w:szCs w:val="21"/>
        </w:rPr>
        <w:t>基金份额持有人大会表决票》</w:t>
      </w:r>
    </w:p>
    <w:p w14:paraId="55AE4A81">
      <w:pPr>
        <w:adjustRightInd w:val="0"/>
        <w:snapToGrid w:val="0"/>
        <w:spacing w:line="360" w:lineRule="auto"/>
        <w:rPr>
          <w:rStyle w:val="11"/>
          <w:rFonts w:ascii="宋体" w:hAnsi="宋体" w:cs="宋体"/>
          <w:szCs w:val="21"/>
        </w:rPr>
      </w:pPr>
      <w:r>
        <w:rPr>
          <w:rStyle w:val="11"/>
          <w:rFonts w:hint="eastAsia" w:ascii="宋体" w:hAnsi="宋体" w:cs="宋体"/>
          <w:szCs w:val="21"/>
        </w:rPr>
        <w:t>附件三：《授权委托书》</w:t>
      </w:r>
    </w:p>
    <w:p w14:paraId="1F01943A">
      <w:pPr>
        <w:rPr>
          <w:rStyle w:val="11"/>
          <w:rFonts w:ascii="宋体" w:hAnsi="宋体" w:cs="宋体"/>
          <w:szCs w:val="21"/>
        </w:rPr>
      </w:pPr>
      <w:r>
        <w:rPr>
          <w:rStyle w:val="11"/>
          <w:rFonts w:hint="eastAsia" w:ascii="宋体" w:hAnsi="宋体" w:cs="宋体"/>
          <w:szCs w:val="21"/>
        </w:rPr>
        <w:br w:type="page"/>
      </w:r>
    </w:p>
    <w:p w14:paraId="7C2DB3A5">
      <w:pPr>
        <w:adjustRightInd w:val="0"/>
        <w:snapToGrid w:val="0"/>
        <w:spacing w:line="360" w:lineRule="auto"/>
        <w:rPr>
          <w:rStyle w:val="11"/>
          <w:rFonts w:ascii="宋体" w:hAnsi="宋体" w:cs="宋体"/>
          <w:szCs w:val="21"/>
        </w:rPr>
      </w:pPr>
      <w:r>
        <w:rPr>
          <w:rStyle w:val="11"/>
          <w:rFonts w:hint="eastAsia" w:ascii="宋体" w:hAnsi="宋体" w:cs="宋体"/>
          <w:szCs w:val="21"/>
        </w:rPr>
        <w:t xml:space="preserve">附件一： </w:t>
      </w:r>
    </w:p>
    <w:p w14:paraId="0A4F80CF">
      <w:pPr>
        <w:adjustRightInd w:val="0"/>
        <w:snapToGrid w:val="0"/>
        <w:spacing w:line="360" w:lineRule="auto"/>
        <w:jc w:val="center"/>
        <w:rPr>
          <w:rStyle w:val="11"/>
          <w:rFonts w:ascii="宋体" w:hAnsi="宋体" w:cs="宋体"/>
          <w:b/>
          <w:bCs/>
          <w:szCs w:val="21"/>
        </w:rPr>
      </w:pPr>
      <w:r>
        <w:rPr>
          <w:rFonts w:hint="eastAsia" w:ascii="宋体" w:hAnsi="宋体" w:cs="宋体"/>
          <w:b/>
          <w:bCs/>
          <w:color w:val="000000"/>
          <w:szCs w:val="21"/>
        </w:rPr>
        <w:t>关于博时中证</w:t>
      </w:r>
      <w:r>
        <w:rPr>
          <w:rFonts w:ascii="宋体" w:hAnsi="宋体" w:cs="宋体"/>
          <w:b/>
          <w:bCs/>
          <w:color w:val="000000"/>
          <w:szCs w:val="21"/>
        </w:rPr>
        <w:t>800指数增强型证券投资基金持续运作的议案</w:t>
      </w:r>
    </w:p>
    <w:p w14:paraId="5F3AA6BE">
      <w:pPr>
        <w:adjustRightInd w:val="0"/>
        <w:snapToGrid w:val="0"/>
        <w:spacing w:line="360" w:lineRule="auto"/>
        <w:ind w:firstLine="480"/>
        <w:rPr>
          <w:rStyle w:val="11"/>
          <w:rFonts w:ascii="宋体" w:hAnsi="宋体" w:cs="宋体"/>
          <w:szCs w:val="21"/>
        </w:rPr>
      </w:pPr>
    </w:p>
    <w:p w14:paraId="431A1934">
      <w:pPr>
        <w:adjustRightInd w:val="0"/>
        <w:snapToGrid w:val="0"/>
        <w:spacing w:line="360" w:lineRule="auto"/>
        <w:rPr>
          <w:rStyle w:val="11"/>
          <w:rFonts w:ascii="宋体" w:hAnsi="宋体" w:cs="宋体"/>
          <w:szCs w:val="21"/>
        </w:rPr>
      </w:pPr>
      <w:r>
        <w:rPr>
          <w:rFonts w:hint="eastAsia" w:ascii="宋体" w:hAnsi="宋体" w:cs="宋体"/>
          <w:color w:val="000000"/>
          <w:szCs w:val="21"/>
        </w:rPr>
        <w:t>博时中证</w:t>
      </w:r>
      <w:r>
        <w:rPr>
          <w:rFonts w:ascii="宋体" w:hAnsi="宋体" w:cs="宋体"/>
          <w:color w:val="000000"/>
          <w:szCs w:val="21"/>
        </w:rPr>
        <w:t>800指数增强型证券投资基金</w:t>
      </w:r>
      <w:r>
        <w:rPr>
          <w:rStyle w:val="11"/>
          <w:rFonts w:hint="eastAsia" w:ascii="宋体" w:hAnsi="宋体" w:cs="宋体"/>
          <w:szCs w:val="21"/>
        </w:rPr>
        <w:t>基金份额持有人：</w:t>
      </w:r>
    </w:p>
    <w:p w14:paraId="03410A5A">
      <w:pPr>
        <w:pStyle w:val="5"/>
        <w:spacing w:before="0" w:beforeAutospacing="0" w:after="0" w:afterAutospacing="0" w:line="360" w:lineRule="auto"/>
        <w:ind w:firstLine="420"/>
        <w:jc w:val="both"/>
        <w:rPr>
          <w:sz w:val="21"/>
          <w:szCs w:val="21"/>
        </w:rPr>
      </w:pPr>
      <w:r>
        <w:rPr>
          <w:rFonts w:hint="eastAsia"/>
          <w:sz w:val="21"/>
          <w:szCs w:val="21"/>
        </w:rPr>
        <w:t xml:space="preserve">按照《公开募集证券投资基金运作管理办法》及本基金基金合同的规定： </w:t>
      </w:r>
    </w:p>
    <w:p w14:paraId="5BD46681">
      <w:pPr>
        <w:autoSpaceDE w:val="0"/>
        <w:autoSpaceDN w:val="0"/>
        <w:adjustRightInd w:val="0"/>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73F4BE9C">
      <w:pPr>
        <w:autoSpaceDE w:val="0"/>
        <w:autoSpaceDN w:val="0"/>
        <w:adjustRightInd w:val="0"/>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法律法规或中国证监会另有规定时，从其规定。”</w:t>
      </w:r>
    </w:p>
    <w:p w14:paraId="5C7B71EA">
      <w:pPr>
        <w:pStyle w:val="5"/>
        <w:spacing w:before="0" w:beforeAutospacing="0" w:after="0" w:afterAutospacing="0"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本基金已出现连续60个工作日资产净值低于5000万元的情形。 本基金管理人经与基金托管人上海浦东发展银行股份有限公司协商一致，提议本基金持续运作。 </w:t>
      </w:r>
    </w:p>
    <w:p w14:paraId="030F19CD">
      <w:pPr>
        <w:pStyle w:val="5"/>
        <w:spacing w:before="0" w:beforeAutospacing="0" w:after="0" w:afterAutospacing="0" w:line="360" w:lineRule="auto"/>
        <w:ind w:firstLine="420"/>
        <w:jc w:val="both"/>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2DF39FDC">
      <w:pPr>
        <w:pStyle w:val="5"/>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2FE1ED78">
      <w:pPr>
        <w:adjustRightInd w:val="0"/>
        <w:snapToGrid w:val="0"/>
        <w:spacing w:line="360" w:lineRule="auto"/>
        <w:rPr>
          <w:rFonts w:ascii="宋体" w:hAnsi="宋体" w:cs="宋体"/>
          <w:color w:val="000000"/>
          <w:szCs w:val="21"/>
        </w:rPr>
      </w:pPr>
    </w:p>
    <w:p w14:paraId="6B7321F6">
      <w:pPr>
        <w:adjustRightInd w:val="0"/>
        <w:snapToGrid w:val="0"/>
        <w:spacing w:line="360" w:lineRule="auto"/>
        <w:ind w:left="3220" w:firstLine="105" w:firstLineChars="50"/>
        <w:rPr>
          <w:rFonts w:ascii="宋体" w:hAnsi="宋体" w:cs="宋体"/>
          <w:szCs w:val="21"/>
        </w:rPr>
      </w:pPr>
    </w:p>
    <w:p w14:paraId="60BE8827">
      <w:pPr>
        <w:adjustRightInd w:val="0"/>
        <w:snapToGrid w:val="0"/>
        <w:spacing w:line="360" w:lineRule="auto"/>
        <w:ind w:left="3220" w:firstLine="105" w:firstLineChars="50"/>
        <w:rPr>
          <w:rFonts w:ascii="宋体" w:hAnsi="宋体" w:cs="宋体"/>
          <w:szCs w:val="21"/>
        </w:rPr>
      </w:pPr>
    </w:p>
    <w:p w14:paraId="339FCB26">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0533F5D">
      <w:pPr>
        <w:adjustRightInd w:val="0"/>
        <w:snapToGrid w:val="0"/>
        <w:spacing w:line="360" w:lineRule="auto"/>
        <w:ind w:firstLine="420" w:firstLineChars="200"/>
        <w:jc w:val="right"/>
        <w:rPr>
          <w:rStyle w:val="11"/>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2026年10月26日</w:t>
      </w:r>
      <w:r>
        <w:rPr>
          <w:rStyle w:val="11"/>
          <w:rFonts w:hint="eastAsia" w:ascii="宋体" w:hAnsi="宋体" w:cs="宋体"/>
          <w:szCs w:val="21"/>
        </w:rPr>
        <w:br w:type="page"/>
      </w:r>
    </w:p>
    <w:p w14:paraId="300DAF00">
      <w:pPr>
        <w:adjustRightInd w:val="0"/>
        <w:snapToGrid w:val="0"/>
        <w:spacing w:line="360" w:lineRule="auto"/>
        <w:rPr>
          <w:rStyle w:val="11"/>
          <w:rFonts w:ascii="宋体" w:hAnsi="宋体" w:cs="宋体"/>
          <w:szCs w:val="21"/>
        </w:rPr>
      </w:pPr>
      <w:r>
        <w:rPr>
          <w:rStyle w:val="11"/>
          <w:rFonts w:hint="eastAsia" w:ascii="宋体" w:hAnsi="宋体" w:cs="宋体"/>
          <w:szCs w:val="21"/>
        </w:rPr>
        <w:t xml:space="preserve">附件二： </w:t>
      </w:r>
    </w:p>
    <w:tbl>
      <w:tblPr>
        <w:tblStyle w:val="6"/>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0DD0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2ACEDAF6">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博时中证</w:t>
            </w:r>
            <w:r>
              <w:rPr>
                <w:rFonts w:ascii="宋体" w:hAnsi="宋体" w:cs="宋体"/>
                <w:color w:val="000000"/>
                <w:sz w:val="21"/>
                <w:szCs w:val="21"/>
                <w:lang w:val="en-US"/>
              </w:rPr>
              <w:t>800指数增强型证券投资基金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285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769D329">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7D34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11B1F0EE">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7754A71D">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2611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61CEA8EA">
            <w:pPr>
              <w:adjustRightInd w:val="0"/>
              <w:snapToGrid w:val="0"/>
              <w:spacing w:line="360" w:lineRule="auto"/>
              <w:rPr>
                <w:rFonts w:ascii="宋体" w:hAnsi="宋体" w:cs="宋体"/>
                <w:szCs w:val="21"/>
              </w:rPr>
            </w:pPr>
          </w:p>
        </w:tc>
        <w:tc>
          <w:tcPr>
            <w:tcW w:w="3975" w:type="dxa"/>
            <w:gridSpan w:val="3"/>
            <w:tcBorders>
              <w:bottom w:val="nil"/>
            </w:tcBorders>
          </w:tcPr>
          <w:p w14:paraId="3BE9354E">
            <w:pPr>
              <w:adjustRightInd w:val="0"/>
              <w:snapToGrid w:val="0"/>
              <w:spacing w:line="360" w:lineRule="auto"/>
              <w:ind w:left="807"/>
              <w:rPr>
                <w:rFonts w:ascii="宋体" w:hAnsi="宋体" w:cs="宋体"/>
                <w:szCs w:val="21"/>
              </w:rPr>
            </w:pPr>
          </w:p>
        </w:tc>
      </w:tr>
      <w:tr w14:paraId="3681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6AF11480">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7EC7D2BA">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3FA6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4CEE9485">
            <w:pPr>
              <w:adjustRightInd w:val="0"/>
              <w:snapToGrid w:val="0"/>
              <w:spacing w:line="360" w:lineRule="auto"/>
              <w:rPr>
                <w:rFonts w:ascii="宋体" w:hAnsi="宋体" w:cs="宋体"/>
                <w:szCs w:val="21"/>
              </w:rPr>
            </w:pPr>
          </w:p>
        </w:tc>
        <w:tc>
          <w:tcPr>
            <w:tcW w:w="3975" w:type="dxa"/>
            <w:gridSpan w:val="3"/>
            <w:tcBorders>
              <w:bottom w:val="nil"/>
            </w:tcBorders>
          </w:tcPr>
          <w:p w14:paraId="35A5CDBF">
            <w:pPr>
              <w:adjustRightInd w:val="0"/>
              <w:snapToGrid w:val="0"/>
              <w:spacing w:line="360" w:lineRule="auto"/>
              <w:ind w:left="807"/>
              <w:rPr>
                <w:rFonts w:ascii="宋体" w:hAnsi="宋体" w:cs="宋体"/>
                <w:szCs w:val="21"/>
              </w:rPr>
            </w:pPr>
          </w:p>
        </w:tc>
      </w:tr>
      <w:tr w14:paraId="4CF34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62CF1ED8">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24CCA797">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0AB456CC">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0B78885A">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56B3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1E318E18">
            <w:pPr>
              <w:pStyle w:val="5"/>
              <w:adjustRightInd w:val="0"/>
              <w:snapToGrid w:val="0"/>
              <w:spacing w:line="360" w:lineRule="auto"/>
              <w:jc w:val="both"/>
              <w:rPr>
                <w:sz w:val="21"/>
                <w:szCs w:val="21"/>
              </w:rPr>
            </w:pPr>
            <w:r>
              <w:rPr>
                <w:rFonts w:hint="eastAsia"/>
                <w:b/>
                <w:bCs/>
                <w:color w:val="000000"/>
                <w:sz w:val="21"/>
                <w:szCs w:val="21"/>
              </w:rPr>
              <w:t>《关于博时中证</w:t>
            </w:r>
            <w:r>
              <w:rPr>
                <w:b/>
                <w:bCs/>
                <w:color w:val="000000"/>
                <w:sz w:val="21"/>
                <w:szCs w:val="21"/>
              </w:rPr>
              <w:t>800指数增强型证券投资基金持续运作的议案</w:t>
            </w:r>
            <w:r>
              <w:rPr>
                <w:rFonts w:hint="eastAsia"/>
                <w:b/>
                <w:bCs/>
                <w:color w:val="000000"/>
                <w:sz w:val="21"/>
                <w:szCs w:val="21"/>
              </w:rPr>
              <w:t>》</w:t>
            </w:r>
          </w:p>
        </w:tc>
        <w:tc>
          <w:tcPr>
            <w:tcW w:w="1260" w:type="dxa"/>
          </w:tcPr>
          <w:p w14:paraId="0A5E3953">
            <w:pPr>
              <w:adjustRightInd w:val="0"/>
              <w:snapToGrid w:val="0"/>
              <w:spacing w:line="360" w:lineRule="auto"/>
              <w:rPr>
                <w:rFonts w:ascii="宋体" w:hAnsi="宋体" w:cs="宋体"/>
                <w:szCs w:val="21"/>
              </w:rPr>
            </w:pPr>
          </w:p>
          <w:p w14:paraId="3C848AF5">
            <w:pPr>
              <w:adjustRightInd w:val="0"/>
              <w:snapToGrid w:val="0"/>
              <w:spacing w:line="360" w:lineRule="auto"/>
              <w:rPr>
                <w:rFonts w:ascii="宋体" w:hAnsi="宋体" w:cs="宋体"/>
                <w:szCs w:val="21"/>
              </w:rPr>
            </w:pPr>
          </w:p>
        </w:tc>
        <w:tc>
          <w:tcPr>
            <w:tcW w:w="1260" w:type="dxa"/>
          </w:tcPr>
          <w:p w14:paraId="2B44B20E">
            <w:pPr>
              <w:adjustRightInd w:val="0"/>
              <w:snapToGrid w:val="0"/>
              <w:spacing w:line="360" w:lineRule="auto"/>
              <w:rPr>
                <w:rFonts w:ascii="宋体" w:hAnsi="宋体" w:cs="宋体"/>
                <w:szCs w:val="21"/>
              </w:rPr>
            </w:pPr>
          </w:p>
          <w:p w14:paraId="6B43B4A9">
            <w:pPr>
              <w:adjustRightInd w:val="0"/>
              <w:snapToGrid w:val="0"/>
              <w:spacing w:line="360" w:lineRule="auto"/>
              <w:rPr>
                <w:rFonts w:ascii="宋体" w:hAnsi="宋体" w:cs="宋体"/>
                <w:szCs w:val="21"/>
              </w:rPr>
            </w:pPr>
          </w:p>
        </w:tc>
        <w:tc>
          <w:tcPr>
            <w:tcW w:w="1455" w:type="dxa"/>
          </w:tcPr>
          <w:p w14:paraId="6035C39B">
            <w:pPr>
              <w:adjustRightInd w:val="0"/>
              <w:snapToGrid w:val="0"/>
              <w:spacing w:line="360" w:lineRule="auto"/>
              <w:rPr>
                <w:rFonts w:ascii="宋体" w:hAnsi="宋体" w:cs="宋体"/>
                <w:szCs w:val="21"/>
              </w:rPr>
            </w:pPr>
          </w:p>
          <w:p w14:paraId="1C3253CB">
            <w:pPr>
              <w:adjustRightInd w:val="0"/>
              <w:snapToGrid w:val="0"/>
              <w:spacing w:line="360" w:lineRule="auto"/>
              <w:rPr>
                <w:rFonts w:ascii="宋体" w:hAnsi="宋体" w:cs="宋体"/>
                <w:szCs w:val="21"/>
              </w:rPr>
            </w:pPr>
          </w:p>
        </w:tc>
      </w:tr>
      <w:tr w14:paraId="185B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45CC11F8">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424C2219">
            <w:pPr>
              <w:adjustRightInd w:val="0"/>
              <w:snapToGrid w:val="0"/>
              <w:spacing w:line="360" w:lineRule="auto"/>
              <w:rPr>
                <w:rFonts w:ascii="宋体" w:hAnsi="宋体" w:cs="宋体"/>
                <w:szCs w:val="21"/>
              </w:rPr>
            </w:pPr>
          </w:p>
          <w:p w14:paraId="4FE5D3C0">
            <w:pPr>
              <w:adjustRightInd w:val="0"/>
              <w:snapToGrid w:val="0"/>
              <w:spacing w:line="360" w:lineRule="auto"/>
              <w:rPr>
                <w:rFonts w:ascii="宋体" w:hAnsi="宋体" w:cs="宋体"/>
                <w:szCs w:val="21"/>
              </w:rPr>
            </w:pPr>
          </w:p>
          <w:p w14:paraId="4164D8EB">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070A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29556930">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133A9162">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1"/>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25F7BA0D">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70E566EA">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65BF68EC">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1"/>
          <w:rFonts w:hint="eastAsia" w:ascii="宋体" w:hAnsi="宋体" w:cs="宋体"/>
        </w:rPr>
        <w:br w:type="page"/>
      </w:r>
      <w:r>
        <w:rPr>
          <w:rStyle w:val="11"/>
          <w:rFonts w:hint="eastAsia" w:ascii="宋体" w:hAnsi="宋体" w:cs="宋体"/>
          <w:szCs w:val="21"/>
        </w:rPr>
        <w:t xml:space="preserve">附件三： </w:t>
      </w:r>
    </w:p>
    <w:p w14:paraId="69095C80">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6FCE6150">
      <w:pPr>
        <w:adjustRightInd w:val="0"/>
        <w:snapToGrid w:val="0"/>
        <w:spacing w:line="360" w:lineRule="auto"/>
        <w:ind w:firstLine="480"/>
        <w:rPr>
          <w:rFonts w:ascii="宋体" w:hAnsi="宋体" w:cs="宋体"/>
        </w:rPr>
      </w:pPr>
    </w:p>
    <w:p w14:paraId="26D61CCC">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博时中证</w:t>
      </w:r>
      <w:r>
        <w:rPr>
          <w:rFonts w:ascii="宋体" w:hAnsi="宋体" w:cs="宋体"/>
          <w:color w:val="000000"/>
          <w:szCs w:val="21"/>
        </w:rPr>
        <w:t>800指数增强型证券投资基金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博时中证</w:t>
      </w:r>
      <w:r>
        <w:rPr>
          <w:rFonts w:ascii="宋体" w:hAnsi="宋体" w:cs="宋体"/>
          <w:color w:val="000000"/>
          <w:szCs w:val="21"/>
        </w:rPr>
        <w:t>800指数增强型证券投资基金</w:t>
      </w:r>
      <w:r>
        <w:rPr>
          <w:rFonts w:hint="eastAsia" w:ascii="宋体" w:hAnsi="宋体" w:cs="宋体"/>
          <w:szCs w:val="21"/>
        </w:rPr>
        <w:t>二次召集审议相同议案的基金份额持有人大会的，除有新的授权外，本授权继续有效。</w:t>
      </w:r>
    </w:p>
    <w:p w14:paraId="37FB4A04">
      <w:pPr>
        <w:adjustRightInd w:val="0"/>
        <w:snapToGrid w:val="0"/>
        <w:spacing w:line="360" w:lineRule="auto"/>
        <w:ind w:firstLine="480"/>
        <w:rPr>
          <w:rFonts w:ascii="宋体" w:hAnsi="宋体" w:cs="宋体"/>
          <w:szCs w:val="21"/>
        </w:rPr>
      </w:pPr>
    </w:p>
    <w:p w14:paraId="52C597BB">
      <w:pPr>
        <w:adjustRightInd w:val="0"/>
        <w:snapToGrid w:val="0"/>
        <w:spacing w:line="360" w:lineRule="auto"/>
        <w:ind w:firstLine="480"/>
        <w:rPr>
          <w:rFonts w:ascii="宋体" w:hAnsi="宋体" w:cs="宋体"/>
          <w:szCs w:val="21"/>
        </w:rPr>
      </w:pPr>
    </w:p>
    <w:p w14:paraId="7F8E8E2F">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0CC63B10">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1E9A57F6">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7F5D1035">
      <w:pPr>
        <w:adjustRightInd w:val="0"/>
        <w:snapToGrid w:val="0"/>
        <w:spacing w:line="360" w:lineRule="auto"/>
        <w:rPr>
          <w:rFonts w:ascii="宋体" w:hAnsi="宋体" w:cs="宋体"/>
          <w:szCs w:val="21"/>
        </w:rPr>
      </w:pPr>
    </w:p>
    <w:p w14:paraId="020DDF34">
      <w:pPr>
        <w:adjustRightInd w:val="0"/>
        <w:snapToGrid w:val="0"/>
        <w:spacing w:line="360" w:lineRule="auto"/>
        <w:ind w:firstLine="5040"/>
        <w:rPr>
          <w:rFonts w:ascii="宋体" w:hAnsi="宋体" w:cs="宋体"/>
          <w:szCs w:val="21"/>
        </w:rPr>
      </w:pPr>
    </w:p>
    <w:p w14:paraId="733B7CD4">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14AD38AB">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2EC0BC49">
      <w:pPr>
        <w:adjustRightInd w:val="0"/>
        <w:snapToGrid w:val="0"/>
        <w:spacing w:line="360" w:lineRule="auto"/>
        <w:ind w:firstLine="5040"/>
        <w:rPr>
          <w:rFonts w:ascii="宋体" w:hAnsi="宋体" w:cs="宋体"/>
          <w:szCs w:val="21"/>
        </w:rPr>
      </w:pPr>
    </w:p>
    <w:p w14:paraId="0F96391C">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1011CBD6">
      <w:pPr>
        <w:adjustRightInd w:val="0"/>
        <w:snapToGrid w:val="0"/>
        <w:spacing w:line="360" w:lineRule="auto"/>
        <w:jc w:val="center"/>
        <w:rPr>
          <w:rFonts w:ascii="宋体" w:hAnsi="宋体" w:cs="宋体"/>
          <w:szCs w:val="21"/>
        </w:rPr>
      </w:pPr>
    </w:p>
    <w:p w14:paraId="5A4E347C">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695C50BB">
      <w:pPr>
        <w:adjustRightInd w:val="0"/>
        <w:snapToGrid w:val="0"/>
        <w:spacing w:line="360" w:lineRule="auto"/>
        <w:rPr>
          <w:rFonts w:ascii="宋体" w:hAnsi="宋体" w:cs="宋体"/>
          <w:szCs w:val="21"/>
        </w:rPr>
      </w:pPr>
    </w:p>
    <w:p w14:paraId="23572465">
      <w:pPr>
        <w:adjustRightInd w:val="0"/>
        <w:snapToGrid w:val="0"/>
        <w:spacing w:line="360" w:lineRule="auto"/>
        <w:rPr>
          <w:rFonts w:ascii="宋体" w:hAnsi="宋体" w:cs="宋体"/>
          <w:szCs w:val="21"/>
        </w:rPr>
      </w:pPr>
    </w:p>
    <w:p w14:paraId="06902DC4">
      <w:pPr>
        <w:adjustRightInd w:val="0"/>
        <w:snapToGrid w:val="0"/>
        <w:spacing w:line="360" w:lineRule="auto"/>
        <w:rPr>
          <w:rFonts w:ascii="宋体" w:hAnsi="宋体" w:cs="宋体"/>
          <w:szCs w:val="21"/>
        </w:rPr>
      </w:pPr>
      <w:r>
        <w:rPr>
          <w:rFonts w:hint="eastAsia" w:ascii="宋体" w:hAnsi="宋体" w:cs="宋体"/>
          <w:szCs w:val="21"/>
        </w:rPr>
        <w:t>附注：</w:t>
      </w:r>
    </w:p>
    <w:p w14:paraId="5289FB1E">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3CF25D76">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14E2590E">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50ABFA0B">
      <w:pPr>
        <w:rPr>
          <w:rFonts w:ascii="宋体" w:hAnsi="宋体" w:cs="宋体"/>
          <w:color w:val="000000"/>
          <w:szCs w:val="21"/>
        </w:rPr>
      </w:pPr>
    </w:p>
    <w:p w14:paraId="7CEC7A2F">
      <w:pPr>
        <w:pStyle w:val="5"/>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BB3"/>
    <w:rsid w:val="000939BC"/>
    <w:rsid w:val="00B24BB3"/>
    <w:rsid w:val="25312968"/>
    <w:rsid w:val="4F5C1EA6"/>
    <w:rsid w:val="5E684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ody Text"/>
    <w:basedOn w:val="1"/>
    <w:link w:val="10"/>
    <w:qFormat/>
    <w:uiPriority w:val="0"/>
    <w:rPr>
      <w:rFonts w:ascii="Times New Roman" w:hAnsi="Times New Roman" w:eastAsia="宋体" w:cs="Times New Roman"/>
      <w:b/>
      <w:kern w:val="0"/>
      <w:sz w:val="28"/>
      <w:szCs w:val="20"/>
      <w:lang w:val="zh-CN"/>
    </w:rPr>
  </w:style>
  <w:style w:type="paragraph" w:styleId="4">
    <w:name w:val="Balloon Text"/>
    <w:basedOn w:val="1"/>
    <w:unhideWhenUsed/>
    <w:qFormat/>
    <w:uiPriority w:val="99"/>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Emphasis"/>
    <w:basedOn w:val="7"/>
    <w:qFormat/>
    <w:uiPriority w:val="20"/>
    <w:rPr>
      <w:i/>
      <w:iCs/>
    </w:rPr>
  </w:style>
  <w:style w:type="character" w:customStyle="1" w:styleId="9">
    <w:name w:val="标题 3 Char"/>
    <w:basedOn w:val="7"/>
    <w:link w:val="2"/>
    <w:qFormat/>
    <w:uiPriority w:val="9"/>
    <w:rPr>
      <w:b/>
      <w:bCs/>
      <w:sz w:val="32"/>
      <w:szCs w:val="32"/>
    </w:rPr>
  </w:style>
  <w:style w:type="character" w:customStyle="1" w:styleId="10">
    <w:name w:val="正文文本 Char"/>
    <w:basedOn w:val="7"/>
    <w:link w:val="3"/>
    <w:qFormat/>
    <w:uiPriority w:val="0"/>
    <w:rPr>
      <w:rFonts w:ascii="Times New Roman" w:hAnsi="Times New Roman" w:eastAsia="宋体" w:cs="Times New Roman"/>
      <w:b/>
      <w:kern w:val="0"/>
      <w:sz w:val="28"/>
      <w:szCs w:val="20"/>
      <w:lang w:val="zh-CN"/>
    </w:rPr>
  </w:style>
  <w:style w:type="character" w:customStyle="1" w:styleId="11">
    <w:name w:val="da"/>
    <w:basedOn w:val="7"/>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10</Pages>
  <Words>1051</Words>
  <Characters>5992</Characters>
  <Lines>49</Lines>
  <Paragraphs>14</Paragraphs>
  <TotalTime>0</TotalTime>
  <ScaleCrop>false</ScaleCrop>
  <LinksUpToDate>false</LinksUpToDate>
  <CharactersWithSpaces>7029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2026-10-19T06:52:00Z</dcterms:created>
  <dc:creator>BSKMadminDev</dc:creator>
  <cp:lastModifiedBy>fuxj</cp:lastModifiedBy>
  <dcterms:modified xsi:type="dcterms:W3CDTF">2026-10-20T06:57:31Z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843859895D224BB2A3B2F328569A4920_12</vt:lpwstr>
  </property>
</Properties>
</file>