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D3B947">
      <w:pPr>
        <w:snapToGrid w:val="0"/>
        <w:spacing w:line="360" w:lineRule="auto"/>
        <w:jc w:val="center"/>
        <w:outlineLvl w:val="0"/>
        <w:rPr>
          <w:rFonts w:hint="eastAsia" w:ascii="宋体" w:hAnsi="宋体" w:cs="Arial"/>
          <w:sz w:val="32"/>
        </w:rPr>
      </w:pPr>
    </w:p>
    <w:p w14:paraId="62DCE255">
      <w:pPr>
        <w:snapToGrid w:val="0"/>
        <w:spacing w:line="360" w:lineRule="auto"/>
        <w:jc w:val="center"/>
        <w:outlineLvl w:val="0"/>
        <w:rPr>
          <w:rFonts w:hint="eastAsia" w:ascii="宋体" w:hAnsi="宋体" w:cs="Arial"/>
          <w:sz w:val="32"/>
        </w:rPr>
      </w:pPr>
    </w:p>
    <w:p w14:paraId="0B52D2DC">
      <w:pPr>
        <w:snapToGrid w:val="0"/>
        <w:spacing w:line="360" w:lineRule="auto"/>
        <w:jc w:val="center"/>
        <w:outlineLvl w:val="0"/>
        <w:rPr>
          <w:rFonts w:hint="eastAsia" w:ascii="宋体" w:hAnsi="宋体" w:cs="Arial"/>
          <w:sz w:val="32"/>
        </w:rPr>
      </w:pPr>
    </w:p>
    <w:p w14:paraId="5A7490A4">
      <w:pPr>
        <w:snapToGrid w:val="0"/>
        <w:spacing w:line="360" w:lineRule="auto"/>
        <w:jc w:val="center"/>
        <w:outlineLvl w:val="0"/>
        <w:rPr>
          <w:rFonts w:hint="eastAsia" w:ascii="宋体" w:hAnsi="宋体" w:cs="Arial"/>
          <w:sz w:val="32"/>
        </w:rPr>
      </w:pPr>
    </w:p>
    <w:p w14:paraId="417C1A1F">
      <w:pPr>
        <w:snapToGrid w:val="0"/>
        <w:spacing w:line="360" w:lineRule="auto"/>
        <w:jc w:val="center"/>
        <w:outlineLvl w:val="0"/>
        <w:rPr>
          <w:rFonts w:hint="eastAsia" w:ascii="宋体" w:hAnsi="宋体" w:cs="Arial"/>
          <w:sz w:val="32"/>
        </w:rPr>
      </w:pPr>
    </w:p>
    <w:p w14:paraId="158363D4">
      <w:pPr>
        <w:snapToGrid w:val="0"/>
        <w:spacing w:line="360" w:lineRule="auto"/>
        <w:jc w:val="center"/>
        <w:outlineLvl w:val="0"/>
        <w:rPr>
          <w:rFonts w:hint="eastAsia" w:ascii="宋体" w:hAnsi="宋体" w:cs="Arial"/>
          <w:b/>
          <w:bCs/>
          <w:sz w:val="48"/>
          <w:szCs w:val="48"/>
        </w:rPr>
      </w:pPr>
      <w:r>
        <w:rPr>
          <w:rFonts w:hint="eastAsia" w:ascii="宋体" w:hAnsi="宋体" w:cs="Arial"/>
          <w:b/>
          <w:bCs/>
          <w:sz w:val="48"/>
          <w:szCs w:val="48"/>
        </w:rPr>
        <w:t>博时创业板电池交易型开放式指数</w:t>
      </w:r>
    </w:p>
    <w:p w14:paraId="2599A97A">
      <w:pPr>
        <w:snapToGrid w:val="0"/>
        <w:spacing w:line="360" w:lineRule="auto"/>
        <w:jc w:val="center"/>
        <w:outlineLvl w:val="0"/>
        <w:rPr>
          <w:rFonts w:hint="eastAsia" w:ascii="宋体" w:hAnsi="宋体" w:cs="Arial"/>
          <w:b/>
          <w:bCs/>
          <w:sz w:val="48"/>
          <w:szCs w:val="48"/>
        </w:rPr>
      </w:pPr>
      <w:r>
        <w:rPr>
          <w:rFonts w:hint="eastAsia" w:ascii="宋体" w:hAnsi="宋体" w:cs="Arial"/>
          <w:b/>
          <w:bCs/>
          <w:sz w:val="48"/>
          <w:szCs w:val="48"/>
        </w:rPr>
        <w:t>证券投资基金</w:t>
      </w:r>
    </w:p>
    <w:p w14:paraId="216DCDCA">
      <w:pPr>
        <w:snapToGrid w:val="0"/>
        <w:spacing w:line="360" w:lineRule="auto"/>
        <w:jc w:val="center"/>
        <w:outlineLvl w:val="0"/>
        <w:rPr>
          <w:rFonts w:hint="eastAsia" w:ascii="宋体" w:hAnsi="宋体" w:cs="Arial"/>
          <w:b/>
          <w:bCs/>
          <w:sz w:val="48"/>
          <w:szCs w:val="48"/>
        </w:rPr>
      </w:pPr>
      <w:r>
        <w:rPr>
          <w:rFonts w:ascii="宋体" w:hAnsi="宋体" w:cs="Arial"/>
          <w:b/>
          <w:sz w:val="48"/>
          <w:szCs w:val="48"/>
        </w:rPr>
        <w:t>招募说明书</w:t>
      </w:r>
    </w:p>
    <w:p w14:paraId="250339AC">
      <w:pPr>
        <w:snapToGrid w:val="0"/>
        <w:spacing w:line="360" w:lineRule="auto"/>
        <w:jc w:val="center"/>
        <w:outlineLvl w:val="0"/>
        <w:rPr>
          <w:rFonts w:hint="eastAsia" w:ascii="宋体" w:hAnsi="宋体" w:cs="Arial"/>
          <w:b/>
          <w:bCs/>
          <w:sz w:val="48"/>
          <w:szCs w:val="48"/>
        </w:rPr>
      </w:pPr>
    </w:p>
    <w:p w14:paraId="0433BA7C">
      <w:pPr>
        <w:snapToGrid w:val="0"/>
        <w:spacing w:line="360" w:lineRule="auto"/>
        <w:jc w:val="center"/>
        <w:outlineLvl w:val="0"/>
        <w:rPr>
          <w:rFonts w:hint="eastAsia" w:ascii="宋体" w:hAnsi="宋体" w:cs="Arial"/>
          <w:b/>
          <w:sz w:val="36"/>
        </w:rPr>
      </w:pPr>
    </w:p>
    <w:p w14:paraId="4A464AE5">
      <w:pPr>
        <w:snapToGrid w:val="0"/>
        <w:spacing w:line="360" w:lineRule="auto"/>
        <w:jc w:val="center"/>
        <w:outlineLvl w:val="0"/>
        <w:rPr>
          <w:rFonts w:hint="eastAsia" w:ascii="宋体" w:hAnsi="宋体" w:cs="Arial"/>
          <w:b/>
          <w:sz w:val="36"/>
        </w:rPr>
      </w:pPr>
    </w:p>
    <w:p w14:paraId="0560AA29">
      <w:pPr>
        <w:snapToGrid w:val="0"/>
        <w:spacing w:line="360" w:lineRule="auto"/>
        <w:jc w:val="center"/>
        <w:outlineLvl w:val="0"/>
        <w:rPr>
          <w:rFonts w:hint="eastAsia" w:ascii="宋体" w:hAnsi="宋体" w:cs="Arial"/>
          <w:b/>
          <w:sz w:val="36"/>
        </w:rPr>
      </w:pPr>
    </w:p>
    <w:p w14:paraId="414BF594">
      <w:pPr>
        <w:snapToGrid w:val="0"/>
        <w:spacing w:line="360" w:lineRule="auto"/>
        <w:jc w:val="center"/>
        <w:outlineLvl w:val="0"/>
        <w:rPr>
          <w:rFonts w:hint="eastAsia" w:ascii="宋体" w:hAnsi="宋体" w:cs="Arial"/>
        </w:rPr>
      </w:pPr>
    </w:p>
    <w:p w14:paraId="27692F4A">
      <w:pPr>
        <w:snapToGrid w:val="0"/>
        <w:spacing w:line="360" w:lineRule="auto"/>
        <w:jc w:val="center"/>
        <w:outlineLvl w:val="0"/>
        <w:rPr>
          <w:rFonts w:hint="eastAsia" w:ascii="宋体" w:hAnsi="宋体" w:cs="Arial"/>
        </w:rPr>
      </w:pPr>
    </w:p>
    <w:p w14:paraId="6CC050A8">
      <w:pPr>
        <w:snapToGrid w:val="0"/>
        <w:spacing w:line="360" w:lineRule="auto"/>
        <w:jc w:val="center"/>
        <w:outlineLvl w:val="0"/>
        <w:rPr>
          <w:rFonts w:hint="eastAsia" w:ascii="宋体" w:hAnsi="宋体" w:cs="Arial"/>
          <w:sz w:val="30"/>
          <w:szCs w:val="30"/>
        </w:rPr>
      </w:pPr>
    </w:p>
    <w:p w14:paraId="3786B1C2">
      <w:pPr>
        <w:snapToGrid w:val="0"/>
        <w:spacing w:line="360" w:lineRule="auto"/>
        <w:jc w:val="center"/>
        <w:rPr>
          <w:rFonts w:hint="eastAsia" w:ascii="宋体" w:hAnsi="宋体" w:cs="Arial"/>
          <w:b/>
          <w:sz w:val="30"/>
          <w:szCs w:val="30"/>
        </w:rPr>
      </w:pPr>
      <w:r>
        <w:rPr>
          <w:rFonts w:ascii="宋体" w:hAnsi="宋体" w:cs="Arial"/>
          <w:b/>
          <w:sz w:val="30"/>
          <w:szCs w:val="30"/>
        </w:rPr>
        <w:t>基金管理人：博时基金管理有限公司</w:t>
      </w:r>
    </w:p>
    <w:p w14:paraId="6AC3F159">
      <w:pPr>
        <w:snapToGrid w:val="0"/>
        <w:spacing w:line="360" w:lineRule="auto"/>
        <w:jc w:val="center"/>
        <w:rPr>
          <w:rFonts w:hint="eastAsia" w:ascii="宋体" w:hAnsi="宋体" w:cs="Arial"/>
          <w:sz w:val="30"/>
          <w:szCs w:val="30"/>
        </w:rPr>
      </w:pPr>
      <w:r>
        <w:rPr>
          <w:rFonts w:ascii="宋体" w:hAnsi="宋体" w:cs="Arial"/>
          <w:b/>
          <w:sz w:val="30"/>
          <w:szCs w:val="30"/>
        </w:rPr>
        <w:t>基金托管人：</w:t>
      </w:r>
      <w:r>
        <w:rPr>
          <w:rFonts w:hint="eastAsia" w:ascii="宋体" w:hAnsi="宋体" w:cs="Arial"/>
          <w:b/>
          <w:sz w:val="30"/>
          <w:szCs w:val="30"/>
        </w:rPr>
        <w:t>中信证券股份有限公司</w:t>
      </w:r>
    </w:p>
    <w:p w14:paraId="29EDC6E5">
      <w:pPr>
        <w:snapToGrid w:val="0"/>
        <w:spacing w:line="360" w:lineRule="auto"/>
        <w:ind w:firstLine="2240" w:firstLineChars="800"/>
        <w:rPr>
          <w:rFonts w:hint="eastAsia" w:ascii="宋体" w:hAnsi="宋体" w:cs="Arial"/>
          <w:sz w:val="28"/>
        </w:rPr>
      </w:pPr>
      <w:r>
        <w:rPr>
          <w:rFonts w:hint="eastAsia" w:ascii="宋体" w:hAnsi="宋体" w:cs="Arial"/>
          <w:sz w:val="28"/>
        </w:rPr>
        <w:t xml:space="preserve"> </w:t>
      </w:r>
      <w:r>
        <w:rPr>
          <w:rFonts w:ascii="宋体" w:hAnsi="宋体" w:cs="Arial"/>
          <w:sz w:val="28"/>
        </w:rPr>
        <w:t xml:space="preserve">             </w:t>
      </w:r>
    </w:p>
    <w:p w14:paraId="4EA7F32D">
      <w:pPr>
        <w:snapToGrid w:val="0"/>
        <w:spacing w:line="360" w:lineRule="auto"/>
        <w:ind w:firstLine="2240" w:firstLineChars="800"/>
        <w:rPr>
          <w:rFonts w:hint="eastAsia" w:ascii="宋体" w:hAnsi="宋体" w:cs="Arial"/>
          <w:sz w:val="28"/>
        </w:rPr>
      </w:pPr>
      <w:r>
        <w:rPr>
          <w:rFonts w:hint="eastAsia" w:ascii="宋体" w:hAnsi="宋体" w:cs="Arial"/>
          <w:sz w:val="28"/>
        </w:rPr>
        <w:t xml:space="preserve"> </w:t>
      </w:r>
      <w:r>
        <w:rPr>
          <w:rFonts w:ascii="宋体" w:hAnsi="宋体" w:cs="Arial"/>
          <w:sz w:val="28"/>
        </w:rPr>
        <w:t xml:space="preserve">             </w:t>
      </w:r>
    </w:p>
    <w:p w14:paraId="05BC03E2">
      <w:pPr>
        <w:spacing w:line="360" w:lineRule="auto"/>
        <w:ind w:firstLine="1506" w:firstLineChars="500"/>
        <w:rPr>
          <w:rFonts w:hint="eastAsia" w:ascii="宋体" w:hAnsi="宋体" w:cs="Arial"/>
          <w:b/>
          <w:bCs/>
          <w:sz w:val="30"/>
          <w:szCs w:val="30"/>
        </w:rPr>
        <w:sectPr>
          <w:headerReference r:id="rId5" w:type="first"/>
          <w:footerReference r:id="rId7" w:type="first"/>
          <w:headerReference r:id="rId3" w:type="default"/>
          <w:headerReference r:id="rId4" w:type="even"/>
          <w:footerReference r:id="rId6" w:type="even"/>
          <w:type w:val="continuous"/>
          <w:pgSz w:w="11906" w:h="16838"/>
          <w:pgMar w:top="1440" w:right="1800" w:bottom="1440" w:left="1800" w:header="851" w:footer="992" w:gutter="0"/>
          <w:pgNumType w:start="1"/>
          <w:cols w:space="720" w:num="1"/>
          <w:titlePg/>
          <w:docGrid w:linePitch="312" w:charSpace="0"/>
        </w:sectPr>
      </w:pPr>
    </w:p>
    <w:p w14:paraId="48F8AC18">
      <w:pPr>
        <w:autoSpaceDE w:val="0"/>
        <w:autoSpaceDN w:val="0"/>
        <w:adjustRightInd w:val="0"/>
        <w:snapToGrid w:val="0"/>
        <w:spacing w:line="360" w:lineRule="auto"/>
        <w:jc w:val="center"/>
        <w:rPr>
          <w:rFonts w:hint="eastAsia" w:ascii="宋体" w:hAnsi="宋体" w:cs="Arial"/>
          <w:b/>
          <w:bCs/>
          <w:sz w:val="28"/>
          <w:szCs w:val="28"/>
        </w:rPr>
      </w:pPr>
      <w:r>
        <w:rPr>
          <w:rFonts w:ascii="宋体" w:hAnsi="宋体" w:cs="Arial"/>
          <w:b/>
          <w:bCs/>
          <w:sz w:val="28"/>
          <w:szCs w:val="28"/>
        </w:rPr>
        <w:t>【重要提示】</w:t>
      </w:r>
    </w:p>
    <w:p w14:paraId="256DD713">
      <w:pPr>
        <w:autoSpaceDE w:val="0"/>
        <w:autoSpaceDN w:val="0"/>
        <w:adjustRightInd w:val="0"/>
        <w:snapToGrid w:val="0"/>
        <w:spacing w:line="360" w:lineRule="auto"/>
        <w:jc w:val="center"/>
        <w:rPr>
          <w:rFonts w:hint="eastAsia" w:ascii="宋体" w:hAnsi="宋体" w:cs="Arial"/>
          <w:b/>
          <w:bCs/>
          <w:szCs w:val="21"/>
        </w:rPr>
      </w:pPr>
    </w:p>
    <w:p w14:paraId="3A9A3CB6">
      <w:pPr>
        <w:autoSpaceDE w:val="0"/>
        <w:autoSpaceDN w:val="0"/>
        <w:adjustRightInd w:val="0"/>
        <w:snapToGrid w:val="0"/>
        <w:spacing w:line="360" w:lineRule="auto"/>
        <w:ind w:firstLine="420" w:firstLineChars="200"/>
        <w:rPr>
          <w:rFonts w:hint="eastAsia" w:ascii="宋体" w:hAnsi="宋体" w:cs="Arial"/>
          <w:szCs w:val="21"/>
        </w:rPr>
      </w:pPr>
      <w:r>
        <w:rPr>
          <w:rFonts w:hint="eastAsia" w:ascii="宋体" w:hAnsi="宋体" w:cs="Arial"/>
          <w:kern w:val="0"/>
          <w:szCs w:val="21"/>
        </w:rPr>
        <w:t>博时创业板电池交易型开放式指数证券投资基金</w:t>
      </w:r>
      <w:r>
        <w:rPr>
          <w:rFonts w:hint="eastAsia" w:ascii="宋体" w:hAnsi="宋体" w:cs="Arial"/>
          <w:szCs w:val="21"/>
        </w:rPr>
        <w:t>根据</w:t>
      </w:r>
      <w:r>
        <w:rPr>
          <w:rFonts w:hint="eastAsia" w:ascii="Times New Roman" w:hAnsi="Times New Roman" w:cs="Times New Roman"/>
          <w:sz w:val="21"/>
          <w:szCs w:val="21"/>
          <w:highlight w:val="none"/>
          <w:lang w:val="en-US" w:eastAsia="zh-CN"/>
        </w:rPr>
        <w:t>2026年9月4日</w:t>
      </w:r>
      <w:r>
        <w:rPr>
          <w:rFonts w:hint="eastAsia" w:ascii="宋体" w:hAnsi="宋体" w:cs="Arial"/>
          <w:szCs w:val="21"/>
        </w:rPr>
        <w:t>中国证券监督管理委员会《关于准予博时创业板电池交易型开放式指数证券投资基金注册的批复》证监许可[202</w:t>
      </w:r>
      <w:r>
        <w:rPr>
          <w:rFonts w:hint="eastAsia" w:ascii="宋体" w:hAnsi="宋体" w:cs="Arial"/>
          <w:szCs w:val="21"/>
          <w:lang w:val="en-US" w:eastAsia="zh-CN"/>
        </w:rPr>
        <w:t>6</w:t>
      </w:r>
      <w:r>
        <w:rPr>
          <w:rFonts w:hint="eastAsia" w:ascii="宋体" w:hAnsi="宋体" w:cs="Arial"/>
          <w:szCs w:val="21"/>
        </w:rPr>
        <w:t>]2515号准予注册，进行募集。</w:t>
      </w:r>
    </w:p>
    <w:p w14:paraId="242B871B">
      <w:pPr>
        <w:spacing w:line="360" w:lineRule="auto"/>
        <w:ind w:firstLine="420" w:firstLineChars="200"/>
        <w:rPr>
          <w:rFonts w:hint="eastAsia" w:ascii="宋体" w:hAnsi="宋体" w:cs="Arial"/>
        </w:rPr>
      </w:pPr>
      <w:r>
        <w:rPr>
          <w:rFonts w:ascii="宋体" w:hAnsi="宋体" w:cs="Arial"/>
        </w:rPr>
        <w:t>本基金管理人保证招募说明书的内容真实、准确、完整。本招募说明书经中国证监会</w:t>
      </w:r>
      <w:r>
        <w:rPr>
          <w:rFonts w:hint="eastAsia" w:ascii="宋体" w:hAnsi="宋体" w:cs="Arial"/>
        </w:rPr>
        <w:t>注册</w:t>
      </w:r>
      <w:r>
        <w:rPr>
          <w:rFonts w:ascii="宋体" w:hAnsi="宋体" w:cs="Arial"/>
        </w:rPr>
        <w:t>，但中国证监会对本基金募集的</w:t>
      </w:r>
      <w:r>
        <w:rPr>
          <w:rFonts w:hint="eastAsia" w:ascii="宋体" w:hAnsi="宋体" w:cs="Arial"/>
        </w:rPr>
        <w:t>注册</w:t>
      </w:r>
      <w:r>
        <w:rPr>
          <w:rFonts w:ascii="宋体" w:hAnsi="宋体" w:cs="Arial"/>
        </w:rPr>
        <w:t>，并不表明其对本基金的价值和收益作出实质性判断或保证，也不表明投资于本基金没有风险。</w:t>
      </w:r>
      <w:r>
        <w:rPr>
          <w:rFonts w:hint="eastAsia" w:ascii="宋体" w:hAnsi="宋体" w:cs="Arial"/>
        </w:rPr>
        <w:t>中国证监会不对基金的投资价值及市场前景等作出实质性判断或者保证。</w:t>
      </w:r>
    </w:p>
    <w:p w14:paraId="3CDDBF51">
      <w:pPr>
        <w:widowControl/>
        <w:spacing w:line="360" w:lineRule="auto"/>
        <w:ind w:firstLine="420"/>
        <w:jc w:val="left"/>
        <w:rPr>
          <w:rFonts w:hint="eastAsia" w:ascii="宋体" w:hAnsi="宋体" w:cs="宋体"/>
          <w:kern w:val="0"/>
          <w:szCs w:val="21"/>
        </w:rPr>
      </w:pPr>
      <w:r>
        <w:rPr>
          <w:rFonts w:hint="eastAsia" w:ascii="宋体" w:hAnsi="宋体" w:cs="宋体"/>
          <w:kern w:val="0"/>
          <w:szCs w:val="21"/>
        </w:rPr>
        <w:t>本基金的标的指数为创业板电池指数，编制方案如下：</w:t>
      </w:r>
    </w:p>
    <w:p w14:paraId="463D82D8">
      <w:pPr>
        <w:widowControl/>
        <w:spacing w:line="360" w:lineRule="auto"/>
        <w:ind w:firstLine="420"/>
        <w:rPr>
          <w:rFonts w:hint="eastAsia" w:ascii="宋体" w:hAnsi="宋体" w:cs="宋体"/>
          <w:kern w:val="0"/>
          <w:szCs w:val="21"/>
        </w:rPr>
      </w:pPr>
      <w:r>
        <w:rPr>
          <w:rFonts w:hint="eastAsia" w:ascii="宋体" w:hAnsi="宋体" w:cs="宋体"/>
          <w:kern w:val="0"/>
          <w:szCs w:val="21"/>
        </w:rPr>
        <w:t>（1）选样空间</w:t>
      </w:r>
    </w:p>
    <w:p w14:paraId="44AE4309">
      <w:pPr>
        <w:spacing w:line="360" w:lineRule="auto"/>
        <w:ind w:firstLine="420" w:firstLineChars="200"/>
        <w:rPr>
          <w:rFonts w:hint="eastAsia" w:ascii="宋体" w:hAnsi="宋体" w:cs="Arial"/>
        </w:rPr>
      </w:pPr>
      <w:r>
        <w:rPr>
          <w:rFonts w:hint="eastAsia" w:ascii="宋体" w:hAnsi="宋体" w:cs="Arial"/>
        </w:rPr>
        <w:t>在深圳证券交易所创业板上市交易且满足下列条件的所有A股：</w:t>
      </w:r>
    </w:p>
    <w:p w14:paraId="74C789BE">
      <w:pPr>
        <w:spacing w:line="360" w:lineRule="auto"/>
        <w:ind w:firstLine="420" w:firstLineChars="200"/>
        <w:rPr>
          <w:rFonts w:hint="eastAsia" w:ascii="宋体" w:hAnsi="宋体" w:cs="Arial"/>
        </w:rPr>
      </w:pPr>
      <w:r>
        <w:rPr>
          <w:rFonts w:hint="eastAsia" w:ascii="宋体" w:hAnsi="宋体" w:cs="Arial"/>
        </w:rPr>
        <w:t>1）非ST、*ST股票；</w:t>
      </w:r>
    </w:p>
    <w:p w14:paraId="5F6DB3DE">
      <w:pPr>
        <w:spacing w:line="360" w:lineRule="auto"/>
        <w:ind w:firstLine="420" w:firstLineChars="200"/>
        <w:rPr>
          <w:rFonts w:hint="eastAsia" w:ascii="宋体" w:hAnsi="宋体" w:cs="Arial"/>
        </w:rPr>
      </w:pPr>
      <w:r>
        <w:rPr>
          <w:rFonts w:hint="eastAsia" w:ascii="宋体" w:hAnsi="宋体" w:cs="Arial"/>
        </w:rPr>
        <w:t>2）上市时间超过6个月；</w:t>
      </w:r>
    </w:p>
    <w:p w14:paraId="33D5131F">
      <w:pPr>
        <w:spacing w:line="360" w:lineRule="auto"/>
        <w:ind w:firstLine="420" w:firstLineChars="200"/>
        <w:rPr>
          <w:rFonts w:hint="eastAsia" w:ascii="宋体" w:hAnsi="宋体" w:cs="Arial"/>
        </w:rPr>
      </w:pPr>
      <w:r>
        <w:rPr>
          <w:rFonts w:hint="eastAsia" w:ascii="宋体" w:hAnsi="宋体" w:cs="Arial"/>
        </w:rPr>
        <w:t>3）</w:t>
      </w:r>
      <w:r>
        <w:rPr>
          <w:rFonts w:ascii="宋体" w:hAnsi="宋体" w:cs="Arial"/>
        </w:rPr>
        <w:t>公司最近一年无重大违规、财务报告无重大问题；</w:t>
      </w:r>
    </w:p>
    <w:p w14:paraId="2A56D37F">
      <w:pPr>
        <w:spacing w:line="360" w:lineRule="auto"/>
        <w:ind w:firstLine="420" w:firstLineChars="200"/>
        <w:rPr>
          <w:rFonts w:hint="eastAsia" w:ascii="宋体" w:hAnsi="宋体" w:cs="Arial"/>
        </w:rPr>
      </w:pPr>
      <w:r>
        <w:rPr>
          <w:rFonts w:hint="eastAsia" w:ascii="宋体" w:hAnsi="宋体" w:cs="Arial"/>
        </w:rPr>
        <w:t>4）</w:t>
      </w:r>
      <w:r>
        <w:rPr>
          <w:rFonts w:ascii="宋体" w:hAnsi="宋体" w:cs="Arial"/>
        </w:rPr>
        <w:t>公司最近一年经营无异常、无重大亏损；</w:t>
      </w:r>
    </w:p>
    <w:p w14:paraId="3F4AEBED">
      <w:pPr>
        <w:spacing w:line="360" w:lineRule="auto"/>
        <w:ind w:firstLine="420" w:firstLineChars="200"/>
        <w:rPr>
          <w:rFonts w:hint="eastAsia" w:ascii="宋体" w:hAnsi="宋体" w:cs="Arial"/>
        </w:rPr>
      </w:pPr>
      <w:r>
        <w:rPr>
          <w:rFonts w:hint="eastAsia" w:ascii="宋体" w:hAnsi="宋体" w:cs="Arial"/>
        </w:rPr>
        <w:t>5）</w:t>
      </w:r>
      <w:r>
        <w:rPr>
          <w:rFonts w:ascii="宋体" w:hAnsi="宋体" w:cs="Arial"/>
        </w:rPr>
        <w:t>考察期内股价无异常波动；</w:t>
      </w:r>
    </w:p>
    <w:p w14:paraId="084EE2E2">
      <w:pPr>
        <w:spacing w:line="360" w:lineRule="auto"/>
        <w:ind w:firstLine="420" w:firstLineChars="200"/>
        <w:rPr>
          <w:rFonts w:hint="eastAsia" w:ascii="宋体" w:hAnsi="宋体" w:cs="Arial"/>
        </w:rPr>
      </w:pPr>
      <w:r>
        <w:rPr>
          <w:rFonts w:ascii="宋体" w:hAnsi="宋体" w:cs="Arial"/>
        </w:rPr>
        <w:t>6</w:t>
      </w:r>
      <w:r>
        <w:rPr>
          <w:rFonts w:hint="eastAsia" w:ascii="宋体" w:hAnsi="宋体" w:cs="Arial"/>
        </w:rPr>
        <w:t>）公司业务涉及电池产品、电池生产设备、电池材料及零部件的制造等电池相关领域。</w:t>
      </w:r>
    </w:p>
    <w:p w14:paraId="11EE1DB1">
      <w:pPr>
        <w:widowControl/>
        <w:spacing w:line="360" w:lineRule="auto"/>
        <w:ind w:firstLine="420"/>
        <w:rPr>
          <w:rFonts w:hint="eastAsia" w:ascii="宋体" w:hAnsi="宋体" w:cs="宋体"/>
          <w:kern w:val="0"/>
          <w:szCs w:val="21"/>
        </w:rPr>
      </w:pPr>
      <w:r>
        <w:rPr>
          <w:rFonts w:hint="eastAsia" w:ascii="宋体" w:hAnsi="宋体" w:cs="宋体"/>
          <w:kern w:val="0"/>
          <w:szCs w:val="21"/>
        </w:rPr>
        <w:t>（2）选样方法</w:t>
      </w:r>
    </w:p>
    <w:p w14:paraId="54CD7C24">
      <w:pPr>
        <w:widowControl/>
        <w:spacing w:line="360" w:lineRule="auto"/>
        <w:ind w:firstLine="420"/>
        <w:rPr>
          <w:rFonts w:hint="eastAsia" w:ascii="宋体" w:hAnsi="宋体" w:cs="宋体"/>
          <w:kern w:val="0"/>
          <w:szCs w:val="21"/>
        </w:rPr>
      </w:pPr>
      <w:r>
        <w:rPr>
          <w:rFonts w:hint="eastAsia" w:ascii="宋体" w:hAnsi="宋体" w:cs="宋体"/>
          <w:kern w:val="0"/>
          <w:szCs w:val="21"/>
        </w:rPr>
        <w:t>首先，对入围股票按照最近半年日均成交金额从高到低排序，剔除排名后10%的股票；</w:t>
      </w:r>
    </w:p>
    <w:p w14:paraId="08D4EE5D">
      <w:pPr>
        <w:widowControl/>
        <w:spacing w:line="360" w:lineRule="auto"/>
        <w:ind w:firstLine="420"/>
        <w:rPr>
          <w:rFonts w:hint="eastAsia" w:ascii="宋体" w:hAnsi="宋体" w:cs="宋体"/>
          <w:kern w:val="0"/>
          <w:szCs w:val="21"/>
        </w:rPr>
      </w:pPr>
      <w:r>
        <w:rPr>
          <w:rFonts w:hint="eastAsia" w:ascii="宋体" w:hAnsi="宋体" w:cs="宋体"/>
          <w:kern w:val="0"/>
          <w:szCs w:val="21"/>
        </w:rPr>
        <w:t>然后，对剩余股票按照最近半年日均总市值从高到低排序，选取前50名股票作为指数样本股，样本股数量不足时按实际数量纳入。</w:t>
      </w:r>
    </w:p>
    <w:p w14:paraId="1B1731AD">
      <w:pPr>
        <w:widowControl/>
        <w:spacing w:line="360" w:lineRule="auto"/>
        <w:ind w:firstLine="420"/>
        <w:rPr>
          <w:rFonts w:hint="eastAsia" w:ascii="宋体" w:hAnsi="宋体" w:cs="宋体"/>
          <w:kern w:val="0"/>
          <w:szCs w:val="21"/>
        </w:rPr>
      </w:pPr>
      <w:r>
        <w:rPr>
          <w:rFonts w:hint="eastAsia" w:ascii="宋体" w:hAnsi="宋体" w:cs="宋体"/>
          <w:kern w:val="0"/>
          <w:szCs w:val="21"/>
        </w:rPr>
        <w:t>（3）指数计算</w:t>
      </w:r>
    </w:p>
    <w:p w14:paraId="5C75FF92">
      <w:pPr>
        <w:widowControl/>
        <w:spacing w:line="360" w:lineRule="auto"/>
        <w:ind w:firstLine="420"/>
        <w:rPr>
          <w:rFonts w:hint="eastAsia" w:ascii="宋体" w:hAnsi="宋体" w:cs="宋体"/>
          <w:kern w:val="0"/>
          <w:szCs w:val="21"/>
        </w:rPr>
      </w:pPr>
      <w:r>
        <w:rPr>
          <w:rFonts w:hint="eastAsia" w:ascii="宋体" w:hAnsi="宋体" w:cs="宋体"/>
          <w:kern w:val="0"/>
          <w:szCs w:val="21"/>
        </w:rPr>
        <w:t>指数采用派氏加权法，依据下列公式逐日连锁计算：</w:t>
      </w:r>
    </w:p>
    <w:p w14:paraId="6C649D33">
      <w:pPr>
        <w:widowControl/>
        <w:spacing w:line="360" w:lineRule="auto"/>
        <w:ind w:firstLine="420"/>
        <w:rPr>
          <w:rFonts w:ascii="Arial" w:hAnsi="Arial" w:cs="Arial"/>
          <w:kern w:val="0"/>
          <w:szCs w:val="21"/>
        </w:rPr>
      </w:pPr>
      <w:r>
        <w:rPr>
          <w:rFonts w:hint="eastAsia" w:ascii="宋体" w:hAnsi="宋体" w:cs="宋体"/>
          <w:kern w:val="0"/>
          <w:szCs w:val="21"/>
        </w:rPr>
        <w:t>当日指数=上一交易日收市指数</w:t>
      </w:r>
      <w:r>
        <w:rPr>
          <w:rFonts w:ascii="Arial" w:hAnsi="Arial" w:cs="Arial"/>
          <w:kern w:val="0"/>
          <w:szCs w:val="21"/>
        </w:rPr>
        <w:t>×</w:t>
      </w:r>
      <w:r>
        <w:rPr>
          <w:rFonts w:hint="eastAsia" w:ascii="宋体" w:hAnsi="宋体" w:cs="宋体"/>
          <w:kern w:val="0"/>
          <w:szCs w:val="21"/>
        </w:rPr>
        <w:t>∑</w:t>
      </w:r>
      <w:r>
        <w:rPr>
          <w:rFonts w:ascii="Arial" w:hAnsi="Arial" w:cs="Arial"/>
          <w:kern w:val="0"/>
          <w:szCs w:val="21"/>
        </w:rPr>
        <w:t>(</w:t>
      </w:r>
      <w:r>
        <w:rPr>
          <w:rFonts w:hint="eastAsia" w:ascii="Arial" w:hAnsi="Arial" w:cs="Arial"/>
          <w:kern w:val="0"/>
          <w:szCs w:val="21"/>
        </w:rPr>
        <w:t>样本股当日成交价×样本股权数×权重调整因子</w:t>
      </w:r>
      <w:r>
        <w:rPr>
          <w:rFonts w:ascii="Arial" w:hAnsi="Arial" w:cs="Arial"/>
          <w:kern w:val="0"/>
          <w:szCs w:val="21"/>
        </w:rPr>
        <w:t>)</w:t>
      </w:r>
      <w:r>
        <w:rPr>
          <w:rFonts w:hint="eastAsia" w:ascii="Arial" w:hAnsi="Arial" w:cs="Arial"/>
          <w:kern w:val="0"/>
          <w:szCs w:val="21"/>
        </w:rPr>
        <w:t>/</w:t>
      </w:r>
      <w:r>
        <w:rPr>
          <w:rFonts w:hint="eastAsia" w:ascii="宋体" w:hAnsi="宋体" w:cs="宋体"/>
          <w:kern w:val="0"/>
          <w:szCs w:val="21"/>
        </w:rPr>
        <w:t>∑</w:t>
      </w:r>
      <w:r>
        <w:rPr>
          <w:rFonts w:ascii="Arial" w:hAnsi="Arial" w:cs="Arial"/>
          <w:kern w:val="0"/>
          <w:szCs w:val="21"/>
        </w:rPr>
        <w:t>(</w:t>
      </w:r>
      <w:r>
        <w:rPr>
          <w:rFonts w:hint="eastAsia" w:ascii="Arial" w:hAnsi="Arial" w:cs="Arial"/>
          <w:kern w:val="0"/>
          <w:szCs w:val="21"/>
        </w:rPr>
        <w:t>样本股上一交易日收市价×样本股权数×权重调整因子)</w:t>
      </w:r>
    </w:p>
    <w:p w14:paraId="524893D8">
      <w:pPr>
        <w:widowControl/>
        <w:spacing w:line="360" w:lineRule="auto"/>
        <w:ind w:firstLine="420"/>
        <w:rPr>
          <w:rFonts w:ascii="Arial" w:hAnsi="Arial" w:cs="Arial"/>
          <w:kern w:val="0"/>
          <w:szCs w:val="21"/>
        </w:rPr>
      </w:pPr>
      <w:r>
        <w:rPr>
          <w:rFonts w:hint="eastAsia" w:ascii="宋体" w:hAnsi="宋体" w:cs="宋体"/>
          <w:kern w:val="0"/>
          <w:szCs w:val="21"/>
        </w:rPr>
        <w:t>其中，样本股权数调整方法参见指数计算与维护细则。</w:t>
      </w:r>
    </w:p>
    <w:p w14:paraId="140A84F6">
      <w:pPr>
        <w:pStyle w:val="37"/>
        <w:wordWrap w:val="0"/>
        <w:spacing w:before="0" w:beforeAutospacing="0" w:after="0" w:afterAutospacing="0" w:line="360" w:lineRule="auto"/>
        <w:ind w:firstLine="420"/>
        <w:jc w:val="both"/>
        <w:rPr>
          <w:rFonts w:hint="eastAsia"/>
          <w:sz w:val="21"/>
          <w:szCs w:val="21"/>
        </w:rPr>
      </w:pPr>
      <w:r>
        <w:rPr>
          <w:rFonts w:hint="eastAsia"/>
          <w:sz w:val="21"/>
          <w:szCs w:val="21"/>
        </w:rPr>
        <w:t>有关标的指数具体编制方案及成份股信息详见深圳证券信息有限公司网站，网址：http://www.cnindex.com.cn/。</w:t>
      </w:r>
    </w:p>
    <w:p w14:paraId="5B53026F">
      <w:pPr>
        <w:spacing w:line="360" w:lineRule="auto"/>
        <w:ind w:firstLine="420" w:firstLineChars="200"/>
        <w:rPr>
          <w:rFonts w:hint="eastAsia" w:ascii="宋体" w:hAnsi="宋体" w:cs="Arial"/>
        </w:rPr>
      </w:pPr>
      <w:r>
        <w:rPr>
          <w:rFonts w:hint="eastAsia" w:ascii="宋体" w:hAnsi="宋体" w:cs="Arial"/>
        </w:rPr>
        <w:t>证券投资基金是一种长期投资工具，其主要功能是分散投资，降低投资单一证券所带来的个别风险。证券投资基金不同于银行储蓄和债券等能够提供固定收益预期的金融工具，投资人购买基金，既可能按其持有份额分享基金投资所产生的收益，也可能承担基金投资所带来的损失。本基金属于股票型基金，其预期收益及预期风险水平高于混合型基金、债券型基金与货币市场基金。本基金为被动式投资的股票型指数基金，跟踪创业板电池指数，其风险收益特征与标的指数所表征的市场组合的风险收益特征相似。</w:t>
      </w:r>
    </w:p>
    <w:p w14:paraId="62910ACB">
      <w:pPr>
        <w:spacing w:line="360" w:lineRule="auto"/>
        <w:ind w:firstLine="420" w:firstLineChars="200"/>
        <w:rPr>
          <w:rFonts w:hint="eastAsia" w:ascii="宋体" w:hAnsi="宋体" w:cs="Arial"/>
        </w:rPr>
      </w:pPr>
      <w:r>
        <w:rPr>
          <w:rFonts w:hint="eastAsia" w:ascii="宋体" w:hAnsi="宋体" w:cs="Arial"/>
        </w:rPr>
        <w:t>因折算、分红等行为导致基金份额净值变化，不会改变基金的风险收益特征，不会降低基金投资风险或提高基金投资收益。本基金以</w:t>
      </w:r>
      <w:r>
        <w:rPr>
          <w:rFonts w:ascii="宋体" w:hAnsi="宋体" w:cs="Arial"/>
        </w:rPr>
        <w:t>1</w:t>
      </w:r>
      <w:r>
        <w:rPr>
          <w:rFonts w:hint="eastAsia" w:ascii="宋体" w:hAnsi="宋体" w:cs="Arial"/>
        </w:rPr>
        <w:t>元初始面值开展基金募集或因折算、分红等行为导致基金份额净值调整至</w:t>
      </w:r>
      <w:r>
        <w:rPr>
          <w:rFonts w:ascii="宋体" w:hAnsi="宋体" w:cs="Arial"/>
        </w:rPr>
        <w:t>1</w:t>
      </w:r>
      <w:r>
        <w:rPr>
          <w:rFonts w:hint="eastAsia" w:ascii="宋体" w:hAnsi="宋体" w:cs="Arial"/>
        </w:rPr>
        <w:t>元初始面值或</w:t>
      </w:r>
      <w:r>
        <w:rPr>
          <w:rFonts w:ascii="宋体" w:hAnsi="宋体" w:cs="Arial"/>
        </w:rPr>
        <w:t>1</w:t>
      </w:r>
      <w:r>
        <w:rPr>
          <w:rFonts w:hint="eastAsia" w:ascii="宋体" w:hAnsi="宋体" w:cs="Arial"/>
        </w:rPr>
        <w:t>元附近，在市场波动等因素的影响下，基金投资仍有可能出现亏损或基金净值仍有可能低于初始面值。</w:t>
      </w:r>
    </w:p>
    <w:p w14:paraId="478B5640">
      <w:pPr>
        <w:spacing w:line="360" w:lineRule="auto"/>
        <w:ind w:firstLine="420" w:firstLineChars="200"/>
        <w:rPr>
          <w:rFonts w:hint="eastAsia" w:ascii="宋体" w:hAnsi="宋体" w:cs="Arial"/>
        </w:rPr>
      </w:pPr>
      <w:r>
        <w:rPr>
          <w:rFonts w:hint="eastAsia" w:ascii="宋体" w:hAnsi="宋体" w:cs="Arial"/>
        </w:rPr>
        <w:t>本基金投资于证券市场，基金净值会因为证券市场波动等因素产生波动，投资人在投资本基金前，需充分了解本基金的产品特性，充分考虑自身的风险承受能力，理性判断市场，对投资本基金的意愿、时机、数量等投资行为作出独立决策，并承担基金投资中出现的各类风险，包括管理和操作风险、技术风险、不可抗力及本基金特有风险等。特有风险包括：标的指数回报与股票市场平均回报偏离的风险、标的指数波动的风险、基金投资组合回报与标的指数回报偏离的风险、流动性风险、指数编制机构停止服务的风险</w:t>
      </w:r>
      <w:r>
        <w:rPr>
          <w:rFonts w:ascii="宋体" w:hAnsi="宋体" w:cs="Arial"/>
        </w:rPr>
        <w:t>、</w:t>
      </w:r>
      <w:r>
        <w:rPr>
          <w:rFonts w:hint="eastAsia" w:ascii="宋体" w:hAnsi="宋体" w:cs="Arial"/>
        </w:rPr>
        <w:t>跟踪误差控制未达约定目标的风险</w:t>
      </w:r>
      <w:r>
        <w:rPr>
          <w:rFonts w:ascii="宋体" w:hAnsi="宋体" w:cs="Arial"/>
        </w:rPr>
        <w:t>、</w:t>
      </w:r>
      <w:r>
        <w:rPr>
          <w:rFonts w:hint="eastAsia" w:ascii="宋体" w:hAnsi="宋体" w:cs="Arial"/>
        </w:rPr>
        <w:t>成份股停牌的风险</w:t>
      </w:r>
      <w:r>
        <w:rPr>
          <w:rFonts w:ascii="宋体" w:hAnsi="宋体" w:cs="Arial"/>
        </w:rPr>
        <w:t>、</w:t>
      </w:r>
      <w:r>
        <w:rPr>
          <w:rFonts w:hint="eastAsia" w:ascii="宋体" w:hAnsi="宋体" w:cs="Arial"/>
        </w:rPr>
        <w:t>成份股退市的风险、基金份额二级市场交易价格折溢价的风险</w:t>
      </w:r>
      <w:r>
        <w:rPr>
          <w:rFonts w:ascii="宋体" w:hAnsi="宋体" w:cs="Arial"/>
        </w:rPr>
        <w:t>、</w:t>
      </w:r>
      <w:r>
        <w:rPr>
          <w:rFonts w:hint="eastAsia" w:ascii="宋体" w:hAnsi="宋体" w:cs="Arial"/>
        </w:rPr>
        <w:t>基金份额参考净值决策和基金份额参考净值计算错误的风险</w:t>
      </w:r>
      <w:r>
        <w:rPr>
          <w:rFonts w:ascii="宋体" w:hAnsi="宋体" w:cs="Arial"/>
        </w:rPr>
        <w:t>、</w:t>
      </w:r>
      <w:r>
        <w:rPr>
          <w:rFonts w:hint="eastAsia" w:ascii="宋体" w:hAnsi="宋体" w:cs="Arial"/>
        </w:rPr>
        <w:t>退市风险</w:t>
      </w:r>
      <w:r>
        <w:rPr>
          <w:rFonts w:ascii="宋体" w:hAnsi="宋体" w:cs="Arial"/>
        </w:rPr>
        <w:t>、</w:t>
      </w:r>
      <w:r>
        <w:rPr>
          <w:rFonts w:hint="eastAsia" w:ascii="宋体" w:hAnsi="宋体" w:cs="Arial"/>
        </w:rPr>
        <w:t>投资人申购失败的风险</w:t>
      </w:r>
      <w:r>
        <w:rPr>
          <w:rFonts w:ascii="宋体" w:hAnsi="宋体" w:cs="Arial"/>
        </w:rPr>
        <w:t>、</w:t>
      </w:r>
      <w:r>
        <w:rPr>
          <w:rFonts w:hint="eastAsia" w:ascii="宋体" w:hAnsi="宋体" w:cs="Arial"/>
        </w:rPr>
        <w:t>投资人赎回失败的风险</w:t>
      </w:r>
      <w:r>
        <w:rPr>
          <w:rFonts w:ascii="宋体" w:hAnsi="宋体" w:cs="Arial"/>
        </w:rPr>
        <w:t>、</w:t>
      </w:r>
      <w:r>
        <w:rPr>
          <w:rFonts w:hint="eastAsia" w:ascii="宋体" w:hAnsi="宋体" w:cs="Arial"/>
        </w:rPr>
        <w:t>赎回对价的变现风险</w:t>
      </w:r>
      <w:r>
        <w:rPr>
          <w:rFonts w:ascii="宋体" w:hAnsi="宋体" w:cs="Arial"/>
        </w:rPr>
        <w:t>、</w:t>
      </w:r>
      <w:r>
        <w:rPr>
          <w:rFonts w:hint="eastAsia" w:ascii="宋体" w:hAnsi="宋体" w:cs="Arial"/>
        </w:rPr>
        <w:t>第三方机构服务的风险</w:t>
      </w:r>
      <w:r>
        <w:rPr>
          <w:rFonts w:ascii="宋体" w:hAnsi="宋体" w:cs="Arial"/>
        </w:rPr>
        <w:t>、</w:t>
      </w:r>
      <w:r>
        <w:rPr>
          <w:rFonts w:hint="eastAsia" w:ascii="宋体" w:hAnsi="宋体" w:cs="Arial"/>
        </w:rPr>
        <w:t>参与股指期货、国债期货和股票期权的投资风险</w:t>
      </w:r>
      <w:r>
        <w:rPr>
          <w:rFonts w:ascii="宋体" w:hAnsi="宋体" w:cs="Arial"/>
        </w:rPr>
        <w:t>、</w:t>
      </w:r>
      <w:r>
        <w:rPr>
          <w:rFonts w:hint="eastAsia" w:ascii="宋体" w:hAnsi="宋体" w:cs="Arial"/>
        </w:rPr>
        <w:t>资产支持证券（ABS）的风险</w:t>
      </w:r>
      <w:r>
        <w:rPr>
          <w:rFonts w:ascii="宋体" w:hAnsi="宋体" w:cs="Arial"/>
        </w:rPr>
        <w:t>、</w:t>
      </w:r>
      <w:r>
        <w:rPr>
          <w:rFonts w:hint="eastAsia" w:ascii="宋体" w:hAnsi="宋体" w:cs="Arial"/>
        </w:rPr>
        <w:t>融资业务的主要风险</w:t>
      </w:r>
      <w:r>
        <w:rPr>
          <w:rFonts w:ascii="宋体" w:hAnsi="宋体" w:cs="Arial"/>
        </w:rPr>
        <w:t>、</w:t>
      </w:r>
      <w:r>
        <w:rPr>
          <w:rFonts w:hint="eastAsia" w:ascii="宋体" w:hAnsi="宋体" w:cs="Arial"/>
        </w:rPr>
        <w:t>转融通证券出借的主要风险</w:t>
      </w:r>
      <w:r>
        <w:rPr>
          <w:rFonts w:ascii="宋体" w:hAnsi="宋体" w:cs="Arial"/>
        </w:rPr>
        <w:t>、</w:t>
      </w:r>
      <w:r>
        <w:rPr>
          <w:rFonts w:hint="eastAsia" w:ascii="宋体" w:hAnsi="宋体" w:cs="Arial"/>
        </w:rPr>
        <w:t>投资于存托凭证的风险等，详见本招募说明书“风险揭示”章节。</w:t>
      </w:r>
    </w:p>
    <w:p w14:paraId="4447A517">
      <w:pPr>
        <w:spacing w:line="360" w:lineRule="auto"/>
        <w:ind w:firstLine="420" w:firstLineChars="200"/>
        <w:rPr>
          <w:rFonts w:hint="eastAsia" w:ascii="宋体" w:hAnsi="宋体" w:cs="Arial"/>
        </w:rPr>
      </w:pPr>
      <w:r>
        <w:rPr>
          <w:rFonts w:hint="eastAsia" w:ascii="宋体" w:hAnsi="宋体" w:cs="Arial"/>
        </w:rPr>
        <w:t>本基金因特殊情况（比如流动性不足等）导致本基金无法有效复制和跟踪标的指数时，为更好地实现基金的投资目标，本基金可能会少量投资于依法发行上市的非成份股（包括创业板及其他经中国证监会核准或注册上市的股票和存托凭证）。</w:t>
      </w:r>
    </w:p>
    <w:p w14:paraId="723242DA">
      <w:pPr>
        <w:spacing w:line="360" w:lineRule="auto"/>
        <w:ind w:firstLine="420" w:firstLineChars="200"/>
        <w:rPr>
          <w:rFonts w:hint="eastAsia" w:ascii="宋体" w:hAnsi="宋体" w:cs="Arial"/>
        </w:rPr>
      </w:pPr>
      <w:r>
        <w:rPr>
          <w:rFonts w:hint="eastAsia"/>
          <w:szCs w:val="21"/>
        </w:rPr>
        <w:t>本基金的投资范围包括存托凭证，除与其他仅投资于</w:t>
      </w:r>
      <w:r>
        <w:rPr>
          <w:szCs w:val="21"/>
        </w:rPr>
        <w:t>境内</w:t>
      </w:r>
      <w:r>
        <w:rPr>
          <w:rFonts w:hint="eastAsia"/>
          <w:szCs w:val="21"/>
        </w:rPr>
        <w:t>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73AC638E">
      <w:pPr>
        <w:spacing w:line="360" w:lineRule="auto"/>
        <w:ind w:firstLine="420" w:firstLineChars="200"/>
        <w:rPr>
          <w:rFonts w:hint="eastAsia" w:ascii="宋体" w:hAnsi="宋体" w:cs="Arial"/>
        </w:rPr>
      </w:pPr>
      <w:r>
        <w:rPr>
          <w:rFonts w:hint="eastAsia" w:ascii="宋体" w:hAnsi="宋体" w:cs="Arial"/>
        </w:rPr>
        <w:t>投资有风险，投资者认购（或申购）基金时应仔细阅读本基金的招募说明书、基金合同及基金产品资料概要，了解本基金的风险收益特征，并根据自身的投资目的、投资期限、投资经验、资产状况等判断基金是否和投资人的风险承受能力相适应。</w:t>
      </w:r>
    </w:p>
    <w:p w14:paraId="1FC5C743">
      <w:pPr>
        <w:spacing w:line="360" w:lineRule="auto"/>
        <w:ind w:firstLine="420" w:firstLineChars="200"/>
        <w:rPr>
          <w:rFonts w:hint="eastAsia" w:ascii="宋体" w:hAnsi="宋体" w:cs="Arial"/>
        </w:rPr>
      </w:pPr>
      <w:r>
        <w:rPr>
          <w:rFonts w:hint="eastAsia" w:ascii="宋体" w:hAnsi="宋体" w:cs="Arial"/>
        </w:rPr>
        <w:t>基金管理人承诺以恪尽职守、诚实信用、谨慎勤勉的原则管理和运用基金资产，但不保证本基金一定盈利，也不保证最低收益。当投资人赎回时，所得会高于或低于投资人先前所支付的金额。本基金的过往业绩及其净值高低并不预示其未来业绩表现。基金管理人所管理的其他基金的业绩并不构成对本基金业绩表现的保证。基金管理人提醒投资人基金投资的</w:t>
      </w:r>
      <w:r>
        <w:rPr>
          <w:rFonts w:ascii="宋体" w:hAnsi="宋体" w:cs="Arial"/>
        </w:rPr>
        <w:t>“</w:t>
      </w:r>
      <w:r>
        <w:rPr>
          <w:rFonts w:hint="eastAsia" w:ascii="宋体" w:hAnsi="宋体" w:cs="Arial"/>
        </w:rPr>
        <w:t>买者自负</w:t>
      </w:r>
      <w:r>
        <w:rPr>
          <w:rFonts w:ascii="宋体" w:hAnsi="宋体" w:cs="Arial"/>
        </w:rPr>
        <w:t>”</w:t>
      </w:r>
      <w:r>
        <w:rPr>
          <w:rFonts w:hint="eastAsia" w:ascii="宋体" w:hAnsi="宋体" w:cs="Arial"/>
        </w:rPr>
        <w:t>原则，在做出投资决策后，基金运营状况与基金净值变化引致的投资风险，由投资人自行负担。</w:t>
      </w:r>
    </w:p>
    <w:p w14:paraId="350AB2E1">
      <w:pPr>
        <w:spacing w:line="360" w:lineRule="auto"/>
        <w:ind w:firstLine="420" w:firstLineChars="200"/>
        <w:jc w:val="left"/>
        <w:rPr>
          <w:rFonts w:hint="eastAsia" w:ascii="宋体" w:hAnsi="宋体" w:cs="Arial"/>
        </w:rPr>
      </w:pPr>
      <w:r>
        <w:rPr>
          <w:rFonts w:hint="eastAsia" w:ascii="宋体" w:hAnsi="宋体" w:cs="Arial"/>
        </w:rPr>
        <w:t>投资人应当通过申购、赎回代理券商办理基金申购、赎回业务，申购、赎回代理券商名单详见本基金《招募说明书》以及相关公告。</w:t>
      </w:r>
    </w:p>
    <w:p w14:paraId="13B17B49">
      <w:pPr>
        <w:spacing w:line="360" w:lineRule="auto"/>
        <w:ind w:firstLine="420" w:firstLineChars="200"/>
        <w:jc w:val="left"/>
        <w:rPr>
          <w:rFonts w:hint="eastAsia" w:ascii="宋体" w:hAnsi="宋体" w:cs="Arial"/>
        </w:rPr>
        <w:sectPr>
          <w:headerReference r:id="rId8" w:type="first"/>
          <w:footerReference r:id="rId10" w:type="first"/>
          <w:footerReference r:id="rId9" w:type="default"/>
          <w:pgSz w:w="11906" w:h="16838"/>
          <w:pgMar w:top="1440" w:right="1800" w:bottom="1440" w:left="1800" w:header="851" w:footer="992" w:gutter="0"/>
          <w:pgNumType w:start="1"/>
          <w:cols w:space="720" w:num="1"/>
          <w:titlePg/>
          <w:docGrid w:linePitch="312" w:charSpace="0"/>
        </w:sectPr>
      </w:pPr>
    </w:p>
    <w:p w14:paraId="06164F56">
      <w:pPr>
        <w:spacing w:line="360" w:lineRule="auto"/>
        <w:ind w:firstLine="420" w:firstLineChars="200"/>
        <w:jc w:val="left"/>
        <w:rPr>
          <w:rFonts w:hint="eastAsia" w:ascii="宋体" w:hAnsi="宋体" w:cs="Arial"/>
        </w:rPr>
      </w:pPr>
    </w:p>
    <w:p w14:paraId="00721425">
      <w:pPr>
        <w:spacing w:line="360" w:lineRule="auto"/>
        <w:ind w:firstLine="723" w:firstLineChars="200"/>
        <w:jc w:val="center"/>
        <w:rPr>
          <w:rFonts w:hint="eastAsia" w:ascii="宋体" w:hAnsi="宋体"/>
          <w:b/>
          <w:sz w:val="36"/>
          <w:szCs w:val="36"/>
        </w:rPr>
      </w:pPr>
      <w:r>
        <w:rPr>
          <w:rFonts w:hint="eastAsia" w:ascii="宋体" w:hAnsi="宋体"/>
          <w:b/>
          <w:sz w:val="36"/>
          <w:szCs w:val="36"/>
        </w:rPr>
        <w:t>目录</w:t>
      </w:r>
    </w:p>
    <w:p w14:paraId="772B9022">
      <w:pPr>
        <w:pStyle w:val="28"/>
        <w:tabs>
          <w:tab w:val="right" w:leader="dot" w:pos="8306"/>
          <w:tab w:val="clear" w:pos="8295"/>
        </w:tabs>
        <w:rPr>
          <w:rFonts w:hint="eastAsia"/>
        </w:rPr>
      </w:pPr>
      <w:r>
        <w:rPr>
          <w:rFonts w:cs="Arial"/>
          <w:b/>
          <w:bCs/>
          <w:spacing w:val="120"/>
        </w:rPr>
        <w:fldChar w:fldCharType="begin"/>
      </w:r>
      <w:r>
        <w:rPr>
          <w:rFonts w:cs="Arial"/>
          <w:b/>
          <w:bCs/>
          <w:spacing w:val="120"/>
        </w:rPr>
        <w:instrText xml:space="preserve"> TOC \o "1-1" \h \z </w:instrText>
      </w:r>
      <w:r>
        <w:rPr>
          <w:rFonts w:cs="Arial"/>
          <w:b/>
          <w:bCs/>
          <w:spacing w:val="120"/>
        </w:rPr>
        <w:fldChar w:fldCharType="separate"/>
      </w:r>
      <w:r>
        <w:fldChar w:fldCharType="begin"/>
      </w:r>
      <w:r>
        <w:instrText xml:space="preserve"> HYPERLINK \l "_Toc2261" </w:instrText>
      </w:r>
      <w:r>
        <w:fldChar w:fldCharType="separate"/>
      </w:r>
      <w:r>
        <w:rPr>
          <w:rFonts w:cs="Arial"/>
          <w:bCs/>
          <w:szCs w:val="28"/>
        </w:rPr>
        <w:t>第一部分  绪言</w:t>
      </w:r>
      <w:r>
        <w:tab/>
      </w:r>
      <w:r>
        <w:fldChar w:fldCharType="begin"/>
      </w:r>
      <w:r>
        <w:instrText xml:space="preserve"> PAGEREF _Toc2261 \h </w:instrText>
      </w:r>
      <w:r>
        <w:fldChar w:fldCharType="separate"/>
      </w:r>
      <w:r>
        <w:t>5</w:t>
      </w:r>
      <w:r>
        <w:fldChar w:fldCharType="end"/>
      </w:r>
      <w:r>
        <w:fldChar w:fldCharType="end"/>
      </w:r>
    </w:p>
    <w:p w14:paraId="60308B7F">
      <w:pPr>
        <w:pStyle w:val="28"/>
        <w:tabs>
          <w:tab w:val="right" w:leader="dot" w:pos="8306"/>
          <w:tab w:val="clear" w:pos="8295"/>
        </w:tabs>
        <w:rPr>
          <w:rFonts w:hint="eastAsia"/>
        </w:rPr>
      </w:pPr>
      <w:r>
        <w:fldChar w:fldCharType="begin"/>
      </w:r>
      <w:r>
        <w:instrText xml:space="preserve"> HYPERLINK \l "_Toc27699" </w:instrText>
      </w:r>
      <w:r>
        <w:fldChar w:fldCharType="separate"/>
      </w:r>
      <w:r>
        <w:rPr>
          <w:rFonts w:cs="Arial"/>
          <w:bCs/>
          <w:szCs w:val="28"/>
        </w:rPr>
        <w:t>第二部分  释义</w:t>
      </w:r>
      <w:r>
        <w:tab/>
      </w:r>
      <w:r>
        <w:fldChar w:fldCharType="begin"/>
      </w:r>
      <w:r>
        <w:instrText xml:space="preserve"> PAGEREF _Toc27699 \h </w:instrText>
      </w:r>
      <w:r>
        <w:fldChar w:fldCharType="separate"/>
      </w:r>
      <w:r>
        <w:t>6</w:t>
      </w:r>
      <w:r>
        <w:fldChar w:fldCharType="end"/>
      </w:r>
      <w:r>
        <w:fldChar w:fldCharType="end"/>
      </w:r>
    </w:p>
    <w:p w14:paraId="3C4A5763">
      <w:pPr>
        <w:pStyle w:val="28"/>
        <w:tabs>
          <w:tab w:val="right" w:leader="dot" w:pos="8306"/>
          <w:tab w:val="clear" w:pos="8295"/>
        </w:tabs>
        <w:rPr>
          <w:rFonts w:hint="eastAsia"/>
        </w:rPr>
      </w:pPr>
      <w:r>
        <w:fldChar w:fldCharType="begin"/>
      </w:r>
      <w:r>
        <w:instrText xml:space="preserve"> HYPERLINK \l "_Toc1577" </w:instrText>
      </w:r>
      <w:r>
        <w:fldChar w:fldCharType="separate"/>
      </w:r>
      <w:r>
        <w:rPr>
          <w:rFonts w:cs="Arial"/>
          <w:bCs/>
          <w:szCs w:val="28"/>
        </w:rPr>
        <w:t>第三部分  基金管理人</w:t>
      </w:r>
      <w:r>
        <w:tab/>
      </w:r>
      <w:r>
        <w:fldChar w:fldCharType="begin"/>
      </w:r>
      <w:r>
        <w:instrText xml:space="preserve"> PAGEREF _Toc1577 \h </w:instrText>
      </w:r>
      <w:r>
        <w:fldChar w:fldCharType="separate"/>
      </w:r>
      <w:r>
        <w:t>11</w:t>
      </w:r>
      <w:r>
        <w:fldChar w:fldCharType="end"/>
      </w:r>
      <w:r>
        <w:fldChar w:fldCharType="end"/>
      </w:r>
    </w:p>
    <w:p w14:paraId="04755D4E">
      <w:pPr>
        <w:pStyle w:val="28"/>
        <w:tabs>
          <w:tab w:val="right" w:leader="dot" w:pos="8306"/>
          <w:tab w:val="clear" w:pos="8295"/>
        </w:tabs>
        <w:rPr>
          <w:rFonts w:hint="eastAsia"/>
        </w:rPr>
      </w:pPr>
      <w:r>
        <w:fldChar w:fldCharType="begin"/>
      </w:r>
      <w:r>
        <w:instrText xml:space="preserve"> HYPERLINK \l "_Toc5901" </w:instrText>
      </w:r>
      <w:r>
        <w:fldChar w:fldCharType="separate"/>
      </w:r>
      <w:r>
        <w:rPr>
          <w:rFonts w:cs="Arial"/>
          <w:bCs/>
          <w:szCs w:val="28"/>
        </w:rPr>
        <w:t>第四部分  基金托管人</w:t>
      </w:r>
      <w:r>
        <w:tab/>
      </w:r>
      <w:r>
        <w:fldChar w:fldCharType="begin"/>
      </w:r>
      <w:r>
        <w:instrText xml:space="preserve"> PAGEREF _Toc5901 \h </w:instrText>
      </w:r>
      <w:r>
        <w:fldChar w:fldCharType="separate"/>
      </w:r>
      <w:r>
        <w:t>19</w:t>
      </w:r>
      <w:r>
        <w:fldChar w:fldCharType="end"/>
      </w:r>
      <w:r>
        <w:fldChar w:fldCharType="end"/>
      </w:r>
    </w:p>
    <w:p w14:paraId="3D8EEE6F">
      <w:pPr>
        <w:pStyle w:val="28"/>
        <w:tabs>
          <w:tab w:val="right" w:leader="dot" w:pos="8306"/>
          <w:tab w:val="clear" w:pos="8295"/>
        </w:tabs>
        <w:rPr>
          <w:rFonts w:hint="eastAsia"/>
        </w:rPr>
      </w:pPr>
      <w:r>
        <w:fldChar w:fldCharType="begin"/>
      </w:r>
      <w:r>
        <w:instrText xml:space="preserve"> HYPERLINK \l "_Toc1854" </w:instrText>
      </w:r>
      <w:r>
        <w:fldChar w:fldCharType="separate"/>
      </w:r>
      <w:r>
        <w:rPr>
          <w:rFonts w:cs="Arial"/>
          <w:bCs/>
          <w:szCs w:val="28"/>
        </w:rPr>
        <w:t>第五部分  相关服务机构</w:t>
      </w:r>
      <w:r>
        <w:tab/>
      </w:r>
      <w:r>
        <w:fldChar w:fldCharType="begin"/>
      </w:r>
      <w:r>
        <w:instrText xml:space="preserve"> PAGEREF _Toc1854 \h </w:instrText>
      </w:r>
      <w:r>
        <w:fldChar w:fldCharType="separate"/>
      </w:r>
      <w:r>
        <w:t>23</w:t>
      </w:r>
      <w:r>
        <w:fldChar w:fldCharType="end"/>
      </w:r>
      <w:r>
        <w:fldChar w:fldCharType="end"/>
      </w:r>
    </w:p>
    <w:p w14:paraId="287AD5E9">
      <w:pPr>
        <w:pStyle w:val="28"/>
        <w:tabs>
          <w:tab w:val="right" w:leader="dot" w:pos="8306"/>
          <w:tab w:val="clear" w:pos="8295"/>
        </w:tabs>
        <w:rPr>
          <w:rFonts w:hint="eastAsia"/>
        </w:rPr>
      </w:pPr>
      <w:r>
        <w:fldChar w:fldCharType="begin"/>
      </w:r>
      <w:r>
        <w:instrText xml:space="preserve"> HYPERLINK \l "_Toc20607" </w:instrText>
      </w:r>
      <w:r>
        <w:fldChar w:fldCharType="separate"/>
      </w:r>
      <w:r>
        <w:rPr>
          <w:rFonts w:cs="Arial"/>
          <w:bCs/>
          <w:szCs w:val="28"/>
        </w:rPr>
        <w:t xml:space="preserve">第六部分  </w:t>
      </w:r>
      <w:r>
        <w:rPr>
          <w:rFonts w:hint="eastAsia" w:cs="Arial"/>
          <w:bCs/>
          <w:szCs w:val="28"/>
        </w:rPr>
        <w:t>基金份额的发售</w:t>
      </w:r>
      <w:r>
        <w:tab/>
      </w:r>
      <w:r>
        <w:fldChar w:fldCharType="begin"/>
      </w:r>
      <w:r>
        <w:instrText xml:space="preserve"> PAGEREF _Toc20607 \h </w:instrText>
      </w:r>
      <w:r>
        <w:fldChar w:fldCharType="separate"/>
      </w:r>
      <w:r>
        <w:t>25</w:t>
      </w:r>
      <w:r>
        <w:fldChar w:fldCharType="end"/>
      </w:r>
      <w:r>
        <w:fldChar w:fldCharType="end"/>
      </w:r>
    </w:p>
    <w:p w14:paraId="6DB44CDA">
      <w:pPr>
        <w:pStyle w:val="28"/>
        <w:tabs>
          <w:tab w:val="right" w:leader="dot" w:pos="8306"/>
          <w:tab w:val="clear" w:pos="8295"/>
        </w:tabs>
        <w:rPr>
          <w:rFonts w:hint="eastAsia"/>
        </w:rPr>
      </w:pPr>
      <w:r>
        <w:fldChar w:fldCharType="begin"/>
      </w:r>
      <w:r>
        <w:instrText xml:space="preserve"> HYPERLINK \l "_Toc24553" </w:instrText>
      </w:r>
      <w:r>
        <w:fldChar w:fldCharType="separate"/>
      </w:r>
      <w:r>
        <w:rPr>
          <w:rFonts w:cs="Arial"/>
          <w:bCs/>
          <w:szCs w:val="28"/>
        </w:rPr>
        <w:t>第</w:t>
      </w:r>
      <w:r>
        <w:rPr>
          <w:rFonts w:hint="eastAsia" w:cs="Arial"/>
          <w:bCs/>
          <w:szCs w:val="28"/>
        </w:rPr>
        <w:t>七</w:t>
      </w:r>
      <w:r>
        <w:rPr>
          <w:rFonts w:cs="Arial"/>
          <w:bCs/>
          <w:szCs w:val="28"/>
        </w:rPr>
        <w:t xml:space="preserve">部分  </w:t>
      </w:r>
      <w:r>
        <w:rPr>
          <w:rFonts w:hint="eastAsia" w:cs="Arial"/>
          <w:bCs/>
          <w:szCs w:val="28"/>
        </w:rPr>
        <w:t>基金合同的生效</w:t>
      </w:r>
      <w:r>
        <w:tab/>
      </w:r>
      <w:r>
        <w:fldChar w:fldCharType="begin"/>
      </w:r>
      <w:r>
        <w:instrText xml:space="preserve"> PAGEREF _Toc24553 \h </w:instrText>
      </w:r>
      <w:r>
        <w:fldChar w:fldCharType="separate"/>
      </w:r>
      <w:r>
        <w:t>33</w:t>
      </w:r>
      <w:r>
        <w:fldChar w:fldCharType="end"/>
      </w:r>
      <w:r>
        <w:fldChar w:fldCharType="end"/>
      </w:r>
    </w:p>
    <w:p w14:paraId="3833F8C1">
      <w:pPr>
        <w:pStyle w:val="28"/>
        <w:tabs>
          <w:tab w:val="right" w:leader="dot" w:pos="8306"/>
          <w:tab w:val="clear" w:pos="8295"/>
        </w:tabs>
        <w:rPr>
          <w:rFonts w:hint="eastAsia"/>
        </w:rPr>
      </w:pPr>
      <w:r>
        <w:fldChar w:fldCharType="begin"/>
      </w:r>
      <w:r>
        <w:instrText xml:space="preserve"> HYPERLINK \l "_Toc1558" </w:instrText>
      </w:r>
      <w:r>
        <w:fldChar w:fldCharType="separate"/>
      </w:r>
      <w:r>
        <w:rPr>
          <w:rFonts w:hint="eastAsia" w:cs="Arial"/>
          <w:bCs/>
          <w:szCs w:val="28"/>
        </w:rPr>
        <w:t>第八部分  基金的份额折算与变更登记</w:t>
      </w:r>
      <w:r>
        <w:tab/>
      </w:r>
      <w:r>
        <w:fldChar w:fldCharType="begin"/>
      </w:r>
      <w:r>
        <w:instrText xml:space="preserve"> PAGEREF _Toc1558 \h </w:instrText>
      </w:r>
      <w:r>
        <w:fldChar w:fldCharType="separate"/>
      </w:r>
      <w:r>
        <w:t>34</w:t>
      </w:r>
      <w:r>
        <w:fldChar w:fldCharType="end"/>
      </w:r>
      <w:r>
        <w:fldChar w:fldCharType="end"/>
      </w:r>
    </w:p>
    <w:p w14:paraId="3DE18308">
      <w:pPr>
        <w:pStyle w:val="28"/>
        <w:tabs>
          <w:tab w:val="right" w:leader="dot" w:pos="8306"/>
          <w:tab w:val="clear" w:pos="8295"/>
        </w:tabs>
        <w:rPr>
          <w:rFonts w:hint="eastAsia"/>
        </w:rPr>
      </w:pPr>
      <w:r>
        <w:fldChar w:fldCharType="begin"/>
      </w:r>
      <w:r>
        <w:instrText xml:space="preserve"> HYPERLINK \l "_Toc5250" </w:instrText>
      </w:r>
      <w:r>
        <w:fldChar w:fldCharType="separate"/>
      </w:r>
      <w:r>
        <w:rPr>
          <w:rFonts w:cs="Arial"/>
          <w:bCs/>
          <w:szCs w:val="28"/>
        </w:rPr>
        <w:t>第</w:t>
      </w:r>
      <w:r>
        <w:rPr>
          <w:rFonts w:hint="eastAsia" w:cs="Arial"/>
          <w:bCs/>
          <w:szCs w:val="28"/>
        </w:rPr>
        <w:t>九</w:t>
      </w:r>
      <w:r>
        <w:rPr>
          <w:rFonts w:cs="Arial"/>
          <w:bCs/>
          <w:szCs w:val="28"/>
        </w:rPr>
        <w:t>部分  基金份额的</w:t>
      </w:r>
      <w:r>
        <w:rPr>
          <w:rFonts w:hint="eastAsia" w:cs="Arial"/>
          <w:bCs/>
          <w:szCs w:val="28"/>
        </w:rPr>
        <w:t>上市</w:t>
      </w:r>
      <w:r>
        <w:rPr>
          <w:rFonts w:cs="Arial"/>
          <w:bCs/>
          <w:szCs w:val="28"/>
        </w:rPr>
        <w:t>交易</w:t>
      </w:r>
      <w:r>
        <w:tab/>
      </w:r>
      <w:r>
        <w:fldChar w:fldCharType="begin"/>
      </w:r>
      <w:r>
        <w:instrText xml:space="preserve"> PAGEREF _Toc5250 \h </w:instrText>
      </w:r>
      <w:r>
        <w:fldChar w:fldCharType="separate"/>
      </w:r>
      <w:r>
        <w:t>35</w:t>
      </w:r>
      <w:r>
        <w:fldChar w:fldCharType="end"/>
      </w:r>
      <w:r>
        <w:fldChar w:fldCharType="end"/>
      </w:r>
    </w:p>
    <w:p w14:paraId="3C0E1812">
      <w:pPr>
        <w:pStyle w:val="28"/>
        <w:tabs>
          <w:tab w:val="right" w:leader="dot" w:pos="8306"/>
          <w:tab w:val="clear" w:pos="8295"/>
        </w:tabs>
        <w:rPr>
          <w:rFonts w:hint="eastAsia"/>
        </w:rPr>
      </w:pPr>
      <w:r>
        <w:fldChar w:fldCharType="begin"/>
      </w:r>
      <w:r>
        <w:instrText xml:space="preserve"> HYPERLINK \l "_Toc11223" </w:instrText>
      </w:r>
      <w:r>
        <w:fldChar w:fldCharType="separate"/>
      </w:r>
      <w:r>
        <w:rPr>
          <w:rFonts w:cs="Arial"/>
          <w:bCs/>
          <w:szCs w:val="28"/>
        </w:rPr>
        <w:t>第</w:t>
      </w:r>
      <w:r>
        <w:rPr>
          <w:rFonts w:hint="eastAsia" w:cs="Arial"/>
          <w:bCs/>
          <w:szCs w:val="28"/>
        </w:rPr>
        <w:t>十</w:t>
      </w:r>
      <w:r>
        <w:rPr>
          <w:rFonts w:cs="Arial"/>
          <w:bCs/>
          <w:szCs w:val="28"/>
        </w:rPr>
        <w:t>部分  基金份额的申购与赎回</w:t>
      </w:r>
      <w:r>
        <w:tab/>
      </w:r>
      <w:r>
        <w:fldChar w:fldCharType="begin"/>
      </w:r>
      <w:r>
        <w:instrText xml:space="preserve"> PAGEREF _Toc11223 \h </w:instrText>
      </w:r>
      <w:r>
        <w:fldChar w:fldCharType="separate"/>
      </w:r>
      <w:r>
        <w:t>37</w:t>
      </w:r>
      <w:r>
        <w:fldChar w:fldCharType="end"/>
      </w:r>
      <w:r>
        <w:fldChar w:fldCharType="end"/>
      </w:r>
    </w:p>
    <w:p w14:paraId="444B29FC">
      <w:pPr>
        <w:pStyle w:val="28"/>
        <w:tabs>
          <w:tab w:val="right" w:leader="dot" w:pos="8306"/>
          <w:tab w:val="clear" w:pos="8295"/>
        </w:tabs>
        <w:rPr>
          <w:rFonts w:hint="eastAsia"/>
        </w:rPr>
      </w:pPr>
      <w:r>
        <w:fldChar w:fldCharType="begin"/>
      </w:r>
      <w:r>
        <w:instrText xml:space="preserve"> HYPERLINK \l "_Toc3518" </w:instrText>
      </w:r>
      <w:r>
        <w:fldChar w:fldCharType="separate"/>
      </w:r>
      <w:r>
        <w:rPr>
          <w:rFonts w:cs="Arial"/>
          <w:bCs/>
          <w:szCs w:val="28"/>
        </w:rPr>
        <w:t>第十</w:t>
      </w:r>
      <w:r>
        <w:rPr>
          <w:rFonts w:hint="eastAsia" w:cs="Arial"/>
          <w:bCs/>
          <w:szCs w:val="28"/>
        </w:rPr>
        <w:t>一</w:t>
      </w:r>
      <w:r>
        <w:rPr>
          <w:rFonts w:cs="Arial"/>
          <w:bCs/>
          <w:szCs w:val="28"/>
        </w:rPr>
        <w:t>部分  基金的投资</w:t>
      </w:r>
      <w:r>
        <w:tab/>
      </w:r>
      <w:r>
        <w:fldChar w:fldCharType="begin"/>
      </w:r>
      <w:r>
        <w:instrText xml:space="preserve"> PAGEREF _Toc3518 \h </w:instrText>
      </w:r>
      <w:r>
        <w:fldChar w:fldCharType="separate"/>
      </w:r>
      <w:r>
        <w:t>47</w:t>
      </w:r>
      <w:r>
        <w:fldChar w:fldCharType="end"/>
      </w:r>
      <w:r>
        <w:fldChar w:fldCharType="end"/>
      </w:r>
    </w:p>
    <w:p w14:paraId="3E752B69">
      <w:pPr>
        <w:pStyle w:val="28"/>
        <w:tabs>
          <w:tab w:val="right" w:leader="dot" w:pos="8306"/>
          <w:tab w:val="clear" w:pos="8295"/>
        </w:tabs>
        <w:rPr>
          <w:rFonts w:hint="eastAsia"/>
        </w:rPr>
      </w:pPr>
      <w:r>
        <w:fldChar w:fldCharType="begin"/>
      </w:r>
      <w:r>
        <w:instrText xml:space="preserve"> HYPERLINK \l "_Toc24899" </w:instrText>
      </w:r>
      <w:r>
        <w:fldChar w:fldCharType="separate"/>
      </w:r>
      <w:r>
        <w:rPr>
          <w:rFonts w:cs="Arial"/>
          <w:bCs/>
          <w:szCs w:val="28"/>
        </w:rPr>
        <w:t>第十</w:t>
      </w:r>
      <w:r>
        <w:rPr>
          <w:rFonts w:hint="eastAsia" w:cs="Arial"/>
          <w:bCs/>
          <w:szCs w:val="28"/>
        </w:rPr>
        <w:t>二</w:t>
      </w:r>
      <w:r>
        <w:rPr>
          <w:rFonts w:cs="Arial"/>
          <w:bCs/>
          <w:szCs w:val="28"/>
        </w:rPr>
        <w:t>部分  基金的财产</w:t>
      </w:r>
      <w:r>
        <w:tab/>
      </w:r>
      <w:r>
        <w:fldChar w:fldCharType="begin"/>
      </w:r>
      <w:r>
        <w:instrText xml:space="preserve"> PAGEREF _Toc24899 \h </w:instrText>
      </w:r>
      <w:r>
        <w:fldChar w:fldCharType="separate"/>
      </w:r>
      <w:r>
        <w:t>54</w:t>
      </w:r>
      <w:r>
        <w:fldChar w:fldCharType="end"/>
      </w:r>
      <w:r>
        <w:fldChar w:fldCharType="end"/>
      </w:r>
    </w:p>
    <w:p w14:paraId="06A23980">
      <w:pPr>
        <w:pStyle w:val="28"/>
        <w:tabs>
          <w:tab w:val="right" w:leader="dot" w:pos="8306"/>
          <w:tab w:val="clear" w:pos="8295"/>
        </w:tabs>
        <w:rPr>
          <w:rFonts w:hint="eastAsia"/>
        </w:rPr>
      </w:pPr>
      <w:r>
        <w:fldChar w:fldCharType="begin"/>
      </w:r>
      <w:r>
        <w:instrText xml:space="preserve"> HYPERLINK \l "_Toc26681" </w:instrText>
      </w:r>
      <w:r>
        <w:fldChar w:fldCharType="separate"/>
      </w:r>
      <w:r>
        <w:rPr>
          <w:rFonts w:cs="Arial"/>
          <w:bCs/>
          <w:szCs w:val="28"/>
        </w:rPr>
        <w:t>第十</w:t>
      </w:r>
      <w:r>
        <w:rPr>
          <w:rFonts w:hint="eastAsia" w:cs="Arial"/>
          <w:bCs/>
          <w:szCs w:val="28"/>
        </w:rPr>
        <w:t>三</w:t>
      </w:r>
      <w:r>
        <w:rPr>
          <w:rFonts w:cs="Arial"/>
          <w:bCs/>
          <w:szCs w:val="28"/>
        </w:rPr>
        <w:t>部分  基金资产的估值</w:t>
      </w:r>
      <w:r>
        <w:tab/>
      </w:r>
      <w:r>
        <w:fldChar w:fldCharType="begin"/>
      </w:r>
      <w:r>
        <w:instrText xml:space="preserve"> PAGEREF _Toc26681 \h </w:instrText>
      </w:r>
      <w:r>
        <w:fldChar w:fldCharType="separate"/>
      </w:r>
      <w:r>
        <w:t>55</w:t>
      </w:r>
      <w:r>
        <w:fldChar w:fldCharType="end"/>
      </w:r>
      <w:r>
        <w:fldChar w:fldCharType="end"/>
      </w:r>
    </w:p>
    <w:p w14:paraId="19D65511">
      <w:pPr>
        <w:pStyle w:val="28"/>
        <w:tabs>
          <w:tab w:val="right" w:leader="dot" w:pos="8306"/>
          <w:tab w:val="clear" w:pos="8295"/>
        </w:tabs>
        <w:rPr>
          <w:rFonts w:hint="eastAsia"/>
        </w:rPr>
      </w:pPr>
      <w:r>
        <w:fldChar w:fldCharType="begin"/>
      </w:r>
      <w:r>
        <w:instrText xml:space="preserve"> HYPERLINK \l "_Toc18236" </w:instrText>
      </w:r>
      <w:r>
        <w:fldChar w:fldCharType="separate"/>
      </w:r>
      <w:r>
        <w:rPr>
          <w:rFonts w:cs="Arial"/>
          <w:bCs/>
          <w:szCs w:val="28"/>
        </w:rPr>
        <w:t>第十</w:t>
      </w:r>
      <w:r>
        <w:rPr>
          <w:rFonts w:hint="eastAsia" w:cs="Arial"/>
          <w:bCs/>
          <w:szCs w:val="28"/>
        </w:rPr>
        <w:t>四部分  基金的收益与分配</w:t>
      </w:r>
      <w:r>
        <w:tab/>
      </w:r>
      <w:r>
        <w:fldChar w:fldCharType="begin"/>
      </w:r>
      <w:r>
        <w:instrText xml:space="preserve"> PAGEREF _Toc18236 \h </w:instrText>
      </w:r>
      <w:r>
        <w:fldChar w:fldCharType="separate"/>
      </w:r>
      <w:r>
        <w:t>60</w:t>
      </w:r>
      <w:r>
        <w:fldChar w:fldCharType="end"/>
      </w:r>
      <w:r>
        <w:fldChar w:fldCharType="end"/>
      </w:r>
    </w:p>
    <w:p w14:paraId="3AC55D03">
      <w:pPr>
        <w:pStyle w:val="28"/>
        <w:tabs>
          <w:tab w:val="right" w:leader="dot" w:pos="8306"/>
          <w:tab w:val="clear" w:pos="8295"/>
        </w:tabs>
        <w:rPr>
          <w:rFonts w:hint="eastAsia"/>
        </w:rPr>
      </w:pPr>
      <w:r>
        <w:fldChar w:fldCharType="begin"/>
      </w:r>
      <w:r>
        <w:instrText xml:space="preserve"> HYPERLINK \l "_Toc9519" </w:instrText>
      </w:r>
      <w:r>
        <w:fldChar w:fldCharType="separate"/>
      </w:r>
      <w:r>
        <w:rPr>
          <w:rFonts w:cs="Arial"/>
          <w:bCs/>
          <w:szCs w:val="28"/>
        </w:rPr>
        <w:t>第十</w:t>
      </w:r>
      <w:r>
        <w:rPr>
          <w:rFonts w:hint="eastAsia" w:cs="Arial"/>
          <w:bCs/>
          <w:szCs w:val="28"/>
        </w:rPr>
        <w:t>五</w:t>
      </w:r>
      <w:r>
        <w:rPr>
          <w:rFonts w:cs="Arial"/>
          <w:bCs/>
          <w:szCs w:val="28"/>
        </w:rPr>
        <w:t>部分  基金费用与税收</w:t>
      </w:r>
      <w:r>
        <w:tab/>
      </w:r>
      <w:r>
        <w:fldChar w:fldCharType="begin"/>
      </w:r>
      <w:r>
        <w:instrText xml:space="preserve"> PAGEREF _Toc9519 \h </w:instrText>
      </w:r>
      <w:r>
        <w:fldChar w:fldCharType="separate"/>
      </w:r>
      <w:r>
        <w:t>62</w:t>
      </w:r>
      <w:r>
        <w:fldChar w:fldCharType="end"/>
      </w:r>
      <w:r>
        <w:fldChar w:fldCharType="end"/>
      </w:r>
    </w:p>
    <w:p w14:paraId="6A843E10">
      <w:pPr>
        <w:pStyle w:val="28"/>
        <w:tabs>
          <w:tab w:val="right" w:leader="dot" w:pos="8306"/>
          <w:tab w:val="clear" w:pos="8295"/>
        </w:tabs>
        <w:rPr>
          <w:rFonts w:hint="eastAsia"/>
        </w:rPr>
      </w:pPr>
      <w:r>
        <w:fldChar w:fldCharType="begin"/>
      </w:r>
      <w:r>
        <w:instrText xml:space="preserve"> HYPERLINK \l "_Toc22092" </w:instrText>
      </w:r>
      <w:r>
        <w:fldChar w:fldCharType="separate"/>
      </w:r>
      <w:r>
        <w:rPr>
          <w:rFonts w:cs="Arial"/>
          <w:bCs/>
          <w:szCs w:val="28"/>
        </w:rPr>
        <w:t>第</w:t>
      </w:r>
      <w:r>
        <w:rPr>
          <w:rFonts w:hint="eastAsia" w:cs="Arial"/>
          <w:bCs/>
          <w:szCs w:val="28"/>
        </w:rPr>
        <w:t>十六</w:t>
      </w:r>
      <w:r>
        <w:rPr>
          <w:rFonts w:cs="Arial"/>
          <w:bCs/>
          <w:szCs w:val="28"/>
        </w:rPr>
        <w:t>部分  基金的会计与审计</w:t>
      </w:r>
      <w:r>
        <w:tab/>
      </w:r>
      <w:r>
        <w:fldChar w:fldCharType="begin"/>
      </w:r>
      <w:r>
        <w:instrText xml:space="preserve"> PAGEREF _Toc22092 \h </w:instrText>
      </w:r>
      <w:r>
        <w:fldChar w:fldCharType="separate"/>
      </w:r>
      <w:r>
        <w:t>64</w:t>
      </w:r>
      <w:r>
        <w:fldChar w:fldCharType="end"/>
      </w:r>
      <w:r>
        <w:fldChar w:fldCharType="end"/>
      </w:r>
    </w:p>
    <w:p w14:paraId="001563FC">
      <w:pPr>
        <w:pStyle w:val="28"/>
        <w:tabs>
          <w:tab w:val="right" w:leader="dot" w:pos="8306"/>
          <w:tab w:val="clear" w:pos="8295"/>
        </w:tabs>
        <w:rPr>
          <w:rFonts w:hint="eastAsia"/>
        </w:rPr>
      </w:pPr>
      <w:r>
        <w:fldChar w:fldCharType="begin"/>
      </w:r>
      <w:r>
        <w:instrText xml:space="preserve"> HYPERLINK \l "_Toc28229" </w:instrText>
      </w:r>
      <w:r>
        <w:fldChar w:fldCharType="separate"/>
      </w:r>
      <w:r>
        <w:rPr>
          <w:rFonts w:cs="Arial"/>
          <w:bCs/>
          <w:szCs w:val="28"/>
        </w:rPr>
        <w:t>第十</w:t>
      </w:r>
      <w:r>
        <w:rPr>
          <w:rFonts w:hint="eastAsia" w:cs="Arial"/>
          <w:bCs/>
          <w:szCs w:val="28"/>
        </w:rPr>
        <w:t>七</w:t>
      </w:r>
      <w:r>
        <w:rPr>
          <w:rFonts w:cs="Arial"/>
          <w:bCs/>
          <w:szCs w:val="28"/>
        </w:rPr>
        <w:t>部分  基金的信息披露</w:t>
      </w:r>
      <w:r>
        <w:tab/>
      </w:r>
      <w:r>
        <w:fldChar w:fldCharType="begin"/>
      </w:r>
      <w:r>
        <w:instrText xml:space="preserve"> PAGEREF _Toc28229 \h </w:instrText>
      </w:r>
      <w:r>
        <w:fldChar w:fldCharType="separate"/>
      </w:r>
      <w:r>
        <w:t>65</w:t>
      </w:r>
      <w:r>
        <w:fldChar w:fldCharType="end"/>
      </w:r>
      <w:r>
        <w:fldChar w:fldCharType="end"/>
      </w:r>
    </w:p>
    <w:p w14:paraId="2FE2046A">
      <w:pPr>
        <w:pStyle w:val="28"/>
        <w:tabs>
          <w:tab w:val="right" w:leader="dot" w:pos="8306"/>
          <w:tab w:val="clear" w:pos="8295"/>
        </w:tabs>
        <w:rPr>
          <w:rFonts w:hint="eastAsia"/>
        </w:rPr>
      </w:pPr>
      <w:r>
        <w:fldChar w:fldCharType="begin"/>
      </w:r>
      <w:r>
        <w:instrText xml:space="preserve"> HYPERLINK \l "_Toc16346" </w:instrText>
      </w:r>
      <w:r>
        <w:fldChar w:fldCharType="separate"/>
      </w:r>
      <w:r>
        <w:rPr>
          <w:rFonts w:cs="Arial"/>
          <w:bCs/>
          <w:szCs w:val="28"/>
        </w:rPr>
        <w:t>第十</w:t>
      </w:r>
      <w:r>
        <w:rPr>
          <w:rFonts w:hint="eastAsia" w:cs="Arial"/>
          <w:bCs/>
          <w:szCs w:val="28"/>
        </w:rPr>
        <w:t>八</w:t>
      </w:r>
      <w:r>
        <w:rPr>
          <w:rFonts w:cs="Arial"/>
          <w:bCs/>
          <w:szCs w:val="28"/>
        </w:rPr>
        <w:t>部分  风险揭示</w:t>
      </w:r>
      <w:r>
        <w:tab/>
      </w:r>
      <w:r>
        <w:fldChar w:fldCharType="begin"/>
      </w:r>
      <w:r>
        <w:instrText xml:space="preserve"> PAGEREF _Toc16346 \h </w:instrText>
      </w:r>
      <w:r>
        <w:fldChar w:fldCharType="separate"/>
      </w:r>
      <w:r>
        <w:t>71</w:t>
      </w:r>
      <w:r>
        <w:fldChar w:fldCharType="end"/>
      </w:r>
      <w:r>
        <w:fldChar w:fldCharType="end"/>
      </w:r>
    </w:p>
    <w:p w14:paraId="22AE3FDD">
      <w:pPr>
        <w:pStyle w:val="28"/>
        <w:tabs>
          <w:tab w:val="right" w:leader="dot" w:pos="8306"/>
          <w:tab w:val="clear" w:pos="8295"/>
        </w:tabs>
        <w:rPr>
          <w:rFonts w:hint="eastAsia"/>
        </w:rPr>
      </w:pPr>
      <w:r>
        <w:fldChar w:fldCharType="begin"/>
      </w:r>
      <w:r>
        <w:instrText xml:space="preserve"> HYPERLINK \l "_Toc27726" </w:instrText>
      </w:r>
      <w:r>
        <w:fldChar w:fldCharType="separate"/>
      </w:r>
      <w:r>
        <w:rPr>
          <w:rFonts w:cs="Arial"/>
          <w:bCs/>
          <w:szCs w:val="28"/>
        </w:rPr>
        <w:t>第</w:t>
      </w:r>
      <w:r>
        <w:rPr>
          <w:rFonts w:hint="eastAsia" w:cs="Arial"/>
          <w:bCs/>
          <w:szCs w:val="28"/>
        </w:rPr>
        <w:t>十九</w:t>
      </w:r>
      <w:r>
        <w:rPr>
          <w:rFonts w:cs="Arial"/>
          <w:bCs/>
          <w:szCs w:val="28"/>
        </w:rPr>
        <w:t>部分  基金合同的变更、终止与基金财产的清算</w:t>
      </w:r>
      <w:r>
        <w:tab/>
      </w:r>
      <w:r>
        <w:fldChar w:fldCharType="begin"/>
      </w:r>
      <w:r>
        <w:instrText xml:space="preserve"> PAGEREF _Toc27726 \h </w:instrText>
      </w:r>
      <w:r>
        <w:fldChar w:fldCharType="separate"/>
      </w:r>
      <w:r>
        <w:t>78</w:t>
      </w:r>
      <w:r>
        <w:fldChar w:fldCharType="end"/>
      </w:r>
      <w:r>
        <w:fldChar w:fldCharType="end"/>
      </w:r>
    </w:p>
    <w:p w14:paraId="63B5BCF1">
      <w:pPr>
        <w:pStyle w:val="28"/>
        <w:tabs>
          <w:tab w:val="right" w:leader="dot" w:pos="8306"/>
          <w:tab w:val="clear" w:pos="8295"/>
        </w:tabs>
        <w:rPr>
          <w:rFonts w:hint="eastAsia"/>
        </w:rPr>
      </w:pPr>
      <w:r>
        <w:fldChar w:fldCharType="begin"/>
      </w:r>
      <w:r>
        <w:instrText xml:space="preserve"> HYPERLINK \l "_Toc31310" </w:instrText>
      </w:r>
      <w:r>
        <w:fldChar w:fldCharType="separate"/>
      </w:r>
      <w:r>
        <w:rPr>
          <w:rFonts w:cs="Arial"/>
          <w:bCs/>
          <w:szCs w:val="28"/>
        </w:rPr>
        <w:t>第</w:t>
      </w:r>
      <w:r>
        <w:rPr>
          <w:rFonts w:hint="eastAsia" w:cs="Arial"/>
          <w:bCs/>
          <w:szCs w:val="28"/>
        </w:rPr>
        <w:t>二十</w:t>
      </w:r>
      <w:r>
        <w:rPr>
          <w:rFonts w:cs="Arial"/>
          <w:bCs/>
          <w:szCs w:val="28"/>
        </w:rPr>
        <w:t>部分  基金合同的内容摘要</w:t>
      </w:r>
      <w:r>
        <w:tab/>
      </w:r>
      <w:r>
        <w:fldChar w:fldCharType="begin"/>
      </w:r>
      <w:r>
        <w:instrText xml:space="preserve"> PAGEREF _Toc31310 \h </w:instrText>
      </w:r>
      <w:r>
        <w:fldChar w:fldCharType="separate"/>
      </w:r>
      <w:r>
        <w:t>80</w:t>
      </w:r>
      <w:r>
        <w:fldChar w:fldCharType="end"/>
      </w:r>
      <w:r>
        <w:fldChar w:fldCharType="end"/>
      </w:r>
    </w:p>
    <w:p w14:paraId="22602A16">
      <w:pPr>
        <w:pStyle w:val="28"/>
        <w:tabs>
          <w:tab w:val="right" w:leader="dot" w:pos="8306"/>
          <w:tab w:val="clear" w:pos="8295"/>
        </w:tabs>
        <w:rPr>
          <w:rFonts w:hint="eastAsia"/>
        </w:rPr>
      </w:pPr>
      <w:r>
        <w:fldChar w:fldCharType="begin"/>
      </w:r>
      <w:r>
        <w:instrText xml:space="preserve"> HYPERLINK \l "_Toc29030" </w:instrText>
      </w:r>
      <w:r>
        <w:fldChar w:fldCharType="separate"/>
      </w:r>
      <w:r>
        <w:rPr>
          <w:rFonts w:cs="Arial"/>
          <w:bCs/>
          <w:szCs w:val="28"/>
        </w:rPr>
        <w:t>第二十</w:t>
      </w:r>
      <w:r>
        <w:rPr>
          <w:rFonts w:hint="eastAsia" w:cs="Arial"/>
          <w:bCs/>
          <w:szCs w:val="28"/>
        </w:rPr>
        <w:t>一</w:t>
      </w:r>
      <w:r>
        <w:rPr>
          <w:rFonts w:cs="Arial"/>
          <w:bCs/>
          <w:szCs w:val="28"/>
        </w:rPr>
        <w:t>部分  基金托管协议的内容摘要</w:t>
      </w:r>
      <w:r>
        <w:tab/>
      </w:r>
      <w:r>
        <w:fldChar w:fldCharType="begin"/>
      </w:r>
      <w:r>
        <w:instrText xml:space="preserve"> PAGEREF _Toc29030 \h </w:instrText>
      </w:r>
      <w:r>
        <w:fldChar w:fldCharType="separate"/>
      </w:r>
      <w:r>
        <w:t>101</w:t>
      </w:r>
      <w:r>
        <w:fldChar w:fldCharType="end"/>
      </w:r>
      <w:r>
        <w:fldChar w:fldCharType="end"/>
      </w:r>
    </w:p>
    <w:p w14:paraId="57762C79">
      <w:pPr>
        <w:pStyle w:val="28"/>
        <w:tabs>
          <w:tab w:val="right" w:leader="dot" w:pos="8306"/>
          <w:tab w:val="clear" w:pos="8295"/>
        </w:tabs>
        <w:rPr>
          <w:rFonts w:hint="eastAsia"/>
        </w:rPr>
      </w:pPr>
      <w:r>
        <w:fldChar w:fldCharType="begin"/>
      </w:r>
      <w:r>
        <w:instrText xml:space="preserve"> HYPERLINK \l "_Toc22340" </w:instrText>
      </w:r>
      <w:r>
        <w:fldChar w:fldCharType="separate"/>
      </w:r>
      <w:r>
        <w:rPr>
          <w:rFonts w:cs="Arial"/>
          <w:bCs/>
          <w:szCs w:val="28"/>
        </w:rPr>
        <w:t>第二十</w:t>
      </w:r>
      <w:r>
        <w:rPr>
          <w:rFonts w:hint="eastAsia" w:cs="Arial"/>
          <w:bCs/>
          <w:szCs w:val="28"/>
        </w:rPr>
        <w:t>二</w:t>
      </w:r>
      <w:r>
        <w:rPr>
          <w:rFonts w:cs="Arial"/>
          <w:bCs/>
          <w:szCs w:val="28"/>
        </w:rPr>
        <w:t>部分  对基金份额持有人的服务</w:t>
      </w:r>
      <w:r>
        <w:tab/>
      </w:r>
      <w:r>
        <w:fldChar w:fldCharType="begin"/>
      </w:r>
      <w:r>
        <w:instrText xml:space="preserve"> PAGEREF _Toc22340 \h </w:instrText>
      </w:r>
      <w:r>
        <w:fldChar w:fldCharType="separate"/>
      </w:r>
      <w:r>
        <w:t>122</w:t>
      </w:r>
      <w:r>
        <w:fldChar w:fldCharType="end"/>
      </w:r>
      <w:r>
        <w:fldChar w:fldCharType="end"/>
      </w:r>
    </w:p>
    <w:p w14:paraId="7463050E">
      <w:pPr>
        <w:pStyle w:val="28"/>
        <w:tabs>
          <w:tab w:val="right" w:leader="dot" w:pos="8306"/>
          <w:tab w:val="clear" w:pos="8295"/>
        </w:tabs>
        <w:rPr>
          <w:rFonts w:hint="eastAsia"/>
        </w:rPr>
      </w:pPr>
      <w:r>
        <w:fldChar w:fldCharType="begin"/>
      </w:r>
      <w:r>
        <w:instrText xml:space="preserve"> HYPERLINK \l "_Toc30954" </w:instrText>
      </w:r>
      <w:r>
        <w:fldChar w:fldCharType="separate"/>
      </w:r>
      <w:r>
        <w:rPr>
          <w:rFonts w:cs="Arial"/>
          <w:bCs/>
          <w:szCs w:val="28"/>
        </w:rPr>
        <w:t>第二十</w:t>
      </w:r>
      <w:r>
        <w:rPr>
          <w:rFonts w:hint="eastAsia" w:cs="Arial"/>
          <w:bCs/>
          <w:szCs w:val="28"/>
        </w:rPr>
        <w:t>三</w:t>
      </w:r>
      <w:r>
        <w:rPr>
          <w:rFonts w:cs="Arial"/>
          <w:bCs/>
          <w:szCs w:val="28"/>
        </w:rPr>
        <w:t>部分  招募说明书存放及查阅方式</w:t>
      </w:r>
      <w:r>
        <w:tab/>
      </w:r>
      <w:r>
        <w:fldChar w:fldCharType="begin"/>
      </w:r>
      <w:r>
        <w:instrText xml:space="preserve"> PAGEREF _Toc30954 \h </w:instrText>
      </w:r>
      <w:r>
        <w:fldChar w:fldCharType="separate"/>
      </w:r>
      <w:r>
        <w:t>123</w:t>
      </w:r>
      <w:r>
        <w:fldChar w:fldCharType="end"/>
      </w:r>
      <w:r>
        <w:fldChar w:fldCharType="end"/>
      </w:r>
    </w:p>
    <w:p w14:paraId="30589813">
      <w:pPr>
        <w:pStyle w:val="28"/>
        <w:tabs>
          <w:tab w:val="right" w:leader="dot" w:pos="8306"/>
          <w:tab w:val="clear" w:pos="8295"/>
        </w:tabs>
        <w:rPr>
          <w:rFonts w:hint="eastAsia"/>
        </w:rPr>
      </w:pPr>
      <w:r>
        <w:fldChar w:fldCharType="begin"/>
      </w:r>
      <w:r>
        <w:instrText xml:space="preserve"> HYPERLINK \l "_Toc15401" </w:instrText>
      </w:r>
      <w:r>
        <w:fldChar w:fldCharType="separate"/>
      </w:r>
      <w:r>
        <w:rPr>
          <w:rFonts w:hint="eastAsia" w:cs="Arial"/>
          <w:bCs/>
          <w:szCs w:val="28"/>
        </w:rPr>
        <w:t xml:space="preserve">第二十四部分  </w:t>
      </w:r>
      <w:r>
        <w:rPr>
          <w:rFonts w:cs="Arial"/>
          <w:bCs/>
          <w:szCs w:val="28"/>
        </w:rPr>
        <w:t>备查文件</w:t>
      </w:r>
      <w:r>
        <w:tab/>
      </w:r>
      <w:r>
        <w:fldChar w:fldCharType="begin"/>
      </w:r>
      <w:r>
        <w:instrText xml:space="preserve"> PAGEREF _Toc15401 \h </w:instrText>
      </w:r>
      <w:r>
        <w:fldChar w:fldCharType="separate"/>
      </w:r>
      <w:r>
        <w:t>124</w:t>
      </w:r>
      <w:r>
        <w:fldChar w:fldCharType="end"/>
      </w:r>
      <w:r>
        <w:fldChar w:fldCharType="end"/>
      </w:r>
    </w:p>
    <w:p w14:paraId="56D86367">
      <w:pPr>
        <w:pStyle w:val="28"/>
        <w:rPr>
          <w:rFonts w:hint="eastAsia"/>
        </w:rPr>
        <w:sectPr>
          <w:pgSz w:w="11906" w:h="16838"/>
          <w:pgMar w:top="1440" w:right="1800" w:bottom="1440" w:left="1800" w:header="851" w:footer="992" w:gutter="0"/>
          <w:cols w:space="720" w:num="1"/>
          <w:titlePg/>
          <w:docGrid w:linePitch="312" w:charSpace="0"/>
        </w:sectPr>
      </w:pPr>
      <w:r>
        <w:fldChar w:fldCharType="end"/>
      </w:r>
    </w:p>
    <w:p w14:paraId="7792556F">
      <w:pPr>
        <w:pStyle w:val="2"/>
        <w:snapToGrid w:val="0"/>
        <w:spacing w:before="0" w:after="0" w:line="360" w:lineRule="auto"/>
        <w:ind w:firstLine="141" w:firstLineChars="50"/>
        <w:rPr>
          <w:rFonts w:hint="eastAsia" w:hAnsi="宋体" w:eastAsia="宋体" w:cs="Arial"/>
          <w:b/>
          <w:bCs/>
          <w:sz w:val="28"/>
          <w:szCs w:val="28"/>
        </w:rPr>
      </w:pPr>
      <w:bookmarkStart w:id="0" w:name="_Toc50661119"/>
      <w:bookmarkStart w:id="1" w:name="_Toc2261"/>
      <w:r>
        <w:rPr>
          <w:rFonts w:hAnsi="宋体" w:eastAsia="宋体" w:cs="Arial"/>
          <w:b/>
          <w:bCs/>
          <w:sz w:val="28"/>
          <w:szCs w:val="28"/>
        </w:rPr>
        <w:t>第一部分  绪言</w:t>
      </w:r>
      <w:bookmarkEnd w:id="0"/>
      <w:bookmarkEnd w:id="1"/>
    </w:p>
    <w:p w14:paraId="08892B99">
      <w:pPr>
        <w:autoSpaceDE w:val="0"/>
        <w:autoSpaceDN w:val="0"/>
        <w:adjustRightInd w:val="0"/>
        <w:snapToGrid w:val="0"/>
        <w:spacing w:line="360" w:lineRule="auto"/>
        <w:ind w:firstLine="420" w:firstLineChars="200"/>
        <w:rPr>
          <w:rFonts w:hint="eastAsia" w:ascii="宋体" w:hAnsi="宋体" w:cs="Arial"/>
          <w:szCs w:val="21"/>
        </w:rPr>
      </w:pPr>
    </w:p>
    <w:p w14:paraId="2ECC736F">
      <w:pPr>
        <w:spacing w:line="360" w:lineRule="auto"/>
        <w:ind w:firstLine="420" w:firstLineChars="200"/>
        <w:rPr>
          <w:rFonts w:hint="eastAsia" w:ascii="宋体" w:hAnsi="宋体" w:cs="Arial"/>
        </w:rPr>
      </w:pPr>
      <w:r>
        <w:rPr>
          <w:rFonts w:ascii="宋体" w:hAnsi="宋体" w:cs="Arial"/>
        </w:rPr>
        <w:t>《</w:t>
      </w:r>
      <w:r>
        <w:rPr>
          <w:rFonts w:hint="eastAsia" w:ascii="宋体" w:hAnsi="宋体" w:cs="Arial"/>
        </w:rPr>
        <w:t>博时创业板电池交易型开放式指数证券投资基金</w:t>
      </w:r>
      <w:r>
        <w:rPr>
          <w:rFonts w:ascii="宋体" w:hAnsi="宋体" w:cs="Arial"/>
        </w:rPr>
        <w:t>招募说明书》（以下简称</w:t>
      </w:r>
      <w:r>
        <w:rPr>
          <w:rFonts w:hint="eastAsia" w:ascii="宋体" w:hAnsi="宋体" w:cs="Arial"/>
        </w:rPr>
        <w:t>“</w:t>
      </w:r>
      <w:r>
        <w:rPr>
          <w:rFonts w:ascii="宋体" w:hAnsi="宋体" w:cs="Arial"/>
        </w:rPr>
        <w:t>招募说明书</w:t>
      </w:r>
      <w:r>
        <w:rPr>
          <w:rFonts w:hint="eastAsia" w:ascii="宋体" w:hAnsi="宋体" w:cs="Arial"/>
        </w:rPr>
        <w:t>”</w:t>
      </w:r>
      <w:r>
        <w:rPr>
          <w:rFonts w:ascii="宋体" w:hAnsi="宋体" w:cs="Arial"/>
        </w:rPr>
        <w:t>或</w:t>
      </w:r>
      <w:r>
        <w:rPr>
          <w:rFonts w:hint="eastAsia" w:ascii="宋体" w:hAnsi="宋体" w:cs="Arial"/>
        </w:rPr>
        <w:t>“</w:t>
      </w:r>
      <w:r>
        <w:rPr>
          <w:rFonts w:ascii="宋体" w:hAnsi="宋体" w:cs="Arial"/>
        </w:rPr>
        <w:t>本招募说明书</w:t>
      </w:r>
      <w:r>
        <w:rPr>
          <w:rFonts w:hint="eastAsia" w:ascii="宋体" w:hAnsi="宋体" w:cs="Arial"/>
        </w:rPr>
        <w:t>”</w:t>
      </w:r>
      <w:r>
        <w:rPr>
          <w:rFonts w:ascii="宋体" w:hAnsi="宋体" w:cs="Arial"/>
        </w:rPr>
        <w:t>）依照</w:t>
      </w:r>
      <w:r>
        <w:rPr>
          <w:rFonts w:hint="eastAsia" w:ascii="宋体" w:hAnsi="宋体" w:cs="Arial"/>
        </w:rPr>
        <w:t>《中华人民共和国证券法》(以下简称“《证券法》”)、</w:t>
      </w:r>
      <w:r>
        <w:rPr>
          <w:rFonts w:ascii="宋体" w:hAnsi="宋体" w:cs="Arial"/>
        </w:rPr>
        <w:t>《中华人民共和国证券投资基金法》（以下简称</w:t>
      </w:r>
      <w:r>
        <w:rPr>
          <w:rFonts w:hint="eastAsia" w:ascii="宋体" w:hAnsi="宋体" w:cs="Arial"/>
        </w:rPr>
        <w:t>“</w:t>
      </w:r>
      <w:r>
        <w:rPr>
          <w:rFonts w:ascii="宋体" w:hAnsi="宋体" w:cs="Arial"/>
        </w:rPr>
        <w:t>《基金法》</w:t>
      </w:r>
      <w:r>
        <w:rPr>
          <w:rFonts w:hint="eastAsia" w:ascii="宋体" w:hAnsi="宋体" w:cs="Arial"/>
        </w:rPr>
        <w:t>”</w:t>
      </w:r>
      <w:r>
        <w:rPr>
          <w:rFonts w:ascii="宋体" w:hAnsi="宋体" w:cs="Arial"/>
        </w:rPr>
        <w:t>）、《</w:t>
      </w:r>
      <w:r>
        <w:rPr>
          <w:rFonts w:hint="eastAsia" w:ascii="宋体" w:hAnsi="宋体" w:cs="Arial"/>
        </w:rPr>
        <w:t>公开募集证券投资基金运作管理办法</w:t>
      </w:r>
      <w:r>
        <w:rPr>
          <w:rFonts w:ascii="宋体" w:hAnsi="宋体" w:cs="Arial"/>
        </w:rPr>
        <w:t>》（以下简称</w:t>
      </w:r>
      <w:r>
        <w:rPr>
          <w:rFonts w:hint="eastAsia" w:ascii="宋体" w:hAnsi="宋体" w:cs="Arial"/>
        </w:rPr>
        <w:t>“</w:t>
      </w:r>
      <w:r>
        <w:rPr>
          <w:rFonts w:ascii="宋体" w:hAnsi="宋体" w:cs="Arial"/>
        </w:rPr>
        <w:t>《运作办法》</w:t>
      </w:r>
      <w:r>
        <w:rPr>
          <w:rFonts w:hint="eastAsia" w:ascii="宋体" w:hAnsi="宋体" w:cs="Arial"/>
        </w:rPr>
        <w:t>”</w:t>
      </w:r>
      <w:r>
        <w:rPr>
          <w:rFonts w:ascii="宋体" w:hAnsi="宋体" w:cs="Arial"/>
        </w:rPr>
        <w:t>）、《</w:t>
      </w:r>
      <w:r>
        <w:rPr>
          <w:rFonts w:hint="eastAsia" w:ascii="宋体" w:hAnsi="宋体" w:cs="Arial"/>
        </w:rPr>
        <w:t>公开募集</w:t>
      </w:r>
      <w:r>
        <w:rPr>
          <w:rFonts w:ascii="宋体" w:hAnsi="宋体" w:cs="Arial"/>
        </w:rPr>
        <w:t>证券投资基金销售</w:t>
      </w:r>
      <w:r>
        <w:rPr>
          <w:rFonts w:hint="eastAsia" w:ascii="宋体" w:hAnsi="宋体" w:cs="Arial"/>
        </w:rPr>
        <w:t>机构监督</w:t>
      </w:r>
      <w:r>
        <w:rPr>
          <w:rFonts w:ascii="宋体" w:hAnsi="宋体" w:cs="Arial"/>
        </w:rPr>
        <w:t>管理办法》（以下简称</w:t>
      </w:r>
      <w:r>
        <w:rPr>
          <w:rFonts w:hint="eastAsia" w:ascii="宋体" w:hAnsi="宋体" w:cs="Arial"/>
        </w:rPr>
        <w:t>“</w:t>
      </w:r>
      <w:r>
        <w:rPr>
          <w:rFonts w:ascii="宋体" w:hAnsi="宋体" w:cs="Arial"/>
        </w:rPr>
        <w:t>《销售办法》</w:t>
      </w:r>
      <w:r>
        <w:rPr>
          <w:rFonts w:hint="eastAsia" w:ascii="宋体" w:hAnsi="宋体" w:cs="Arial"/>
        </w:rPr>
        <w:t>”</w:t>
      </w:r>
      <w:r>
        <w:rPr>
          <w:rFonts w:ascii="宋体" w:hAnsi="宋体" w:cs="Arial"/>
        </w:rPr>
        <w:t>）、《</w:t>
      </w:r>
      <w:r>
        <w:rPr>
          <w:rFonts w:hint="eastAsia" w:ascii="宋体" w:hAnsi="宋体"/>
        </w:rPr>
        <w:t>公开募集</w:t>
      </w:r>
      <w:r>
        <w:rPr>
          <w:rFonts w:ascii="宋体" w:hAnsi="宋体" w:cs="Arial"/>
        </w:rPr>
        <w:t>证券投资基金信息披露管理办法》（以下简称</w:t>
      </w:r>
      <w:r>
        <w:rPr>
          <w:rFonts w:hint="eastAsia" w:ascii="宋体" w:hAnsi="宋体" w:cs="Arial"/>
        </w:rPr>
        <w:t>“</w:t>
      </w:r>
      <w:r>
        <w:rPr>
          <w:rFonts w:ascii="宋体" w:hAnsi="宋体" w:cs="Arial"/>
        </w:rPr>
        <w:t>《信息披露办法》</w:t>
      </w:r>
      <w:r>
        <w:rPr>
          <w:rFonts w:hint="eastAsia" w:ascii="宋体" w:hAnsi="宋体" w:cs="Arial"/>
        </w:rPr>
        <w:t>”</w:t>
      </w:r>
      <w:r>
        <w:rPr>
          <w:rFonts w:ascii="宋体" w:hAnsi="宋体" w:cs="Arial"/>
        </w:rPr>
        <w:t>）</w:t>
      </w:r>
      <w:r>
        <w:rPr>
          <w:rFonts w:hint="eastAsia" w:ascii="宋体" w:hAnsi="宋体" w:cs="Arial"/>
        </w:rPr>
        <w:t>、</w:t>
      </w:r>
      <w:r>
        <w:rPr>
          <w:rFonts w:hint="eastAsia" w:ascii="宋体" w:hAnsi="宋体"/>
        </w:rPr>
        <w:t>《公开募集开放式证券投资基金流动性风险管理规定》（以下简称“《流动性风险管理规定》”）、《公开募集证券投资基金运作指引第3号——指数基金指引》（以下简称“《指数基金指引》”）</w:t>
      </w:r>
      <w:r>
        <w:rPr>
          <w:rFonts w:ascii="宋体" w:hAnsi="宋体" w:cs="Arial"/>
        </w:rPr>
        <w:t>以及《</w:t>
      </w:r>
      <w:r>
        <w:rPr>
          <w:rFonts w:hint="eastAsia" w:ascii="宋体" w:hAnsi="宋体" w:cs="Arial"/>
        </w:rPr>
        <w:t>博时创业板电池交易型开放式指数证券投资基金</w:t>
      </w:r>
      <w:r>
        <w:rPr>
          <w:rFonts w:ascii="宋体" w:hAnsi="宋体" w:cs="Arial"/>
        </w:rPr>
        <w:t>基金合同》（以下简称</w:t>
      </w:r>
      <w:r>
        <w:rPr>
          <w:rFonts w:hint="eastAsia" w:ascii="宋体" w:hAnsi="宋体" w:cs="Arial"/>
        </w:rPr>
        <w:t>“</w:t>
      </w:r>
      <w:r>
        <w:rPr>
          <w:rFonts w:ascii="宋体" w:hAnsi="宋体" w:cs="Arial"/>
        </w:rPr>
        <w:t>基金合同</w:t>
      </w:r>
      <w:r>
        <w:rPr>
          <w:rFonts w:hint="eastAsia" w:ascii="宋体" w:hAnsi="宋体" w:cs="Arial"/>
        </w:rPr>
        <w:t>”或“《基金合同》”</w:t>
      </w:r>
      <w:r>
        <w:rPr>
          <w:rFonts w:ascii="宋体" w:hAnsi="宋体" w:cs="Arial"/>
        </w:rPr>
        <w:t>）编写。</w:t>
      </w:r>
    </w:p>
    <w:p w14:paraId="23A04190">
      <w:pPr>
        <w:adjustRightInd w:val="0"/>
        <w:snapToGrid w:val="0"/>
        <w:spacing w:line="360" w:lineRule="auto"/>
        <w:ind w:firstLine="420" w:firstLineChars="200"/>
        <w:rPr>
          <w:rFonts w:hint="eastAsia" w:ascii="宋体" w:hAnsi="宋体" w:cs="Arial"/>
        </w:rPr>
      </w:pPr>
      <w:r>
        <w:rPr>
          <w:rFonts w:hint="eastAsia" w:ascii="宋体" w:hAnsi="宋体" w:cs="Arial"/>
        </w:rPr>
        <w:t>本招募说明书阐述了博时创业板电池交易型开放式指数证券投资基金的投资目标、策略、风险、费率等与投资人投资决策有关的必要事项，投资人在作出投资决策前应仔细阅读本招募说明书。</w:t>
      </w:r>
    </w:p>
    <w:p w14:paraId="3627C213">
      <w:pPr>
        <w:adjustRightInd w:val="0"/>
        <w:snapToGrid w:val="0"/>
        <w:spacing w:line="360" w:lineRule="auto"/>
        <w:ind w:firstLine="420" w:firstLineChars="200"/>
        <w:rPr>
          <w:rFonts w:hint="eastAsia" w:ascii="宋体" w:hAnsi="宋体" w:cs="Arial"/>
        </w:rPr>
      </w:pPr>
      <w:r>
        <w:rPr>
          <w:rFonts w:ascii="宋体" w:hAnsi="宋体" w:cs="Arial"/>
        </w:rPr>
        <w:t>基金管理人承诺本招募说明书不存在任何虚假记载、误导性陈述或重大遗漏，并对其真实性、准确性、完整性承担法律责任。</w:t>
      </w:r>
    </w:p>
    <w:p w14:paraId="61B8EA8C">
      <w:pPr>
        <w:adjustRightInd w:val="0"/>
        <w:snapToGrid w:val="0"/>
        <w:spacing w:line="360" w:lineRule="auto"/>
        <w:ind w:firstLine="420" w:firstLineChars="200"/>
        <w:rPr>
          <w:rFonts w:hint="eastAsia" w:ascii="宋体" w:hAnsi="宋体" w:cs="Arial"/>
        </w:rPr>
      </w:pPr>
      <w:r>
        <w:rPr>
          <w:rFonts w:hint="eastAsia" w:ascii="宋体" w:hAnsi="宋体" w:cs="Arial"/>
        </w:rPr>
        <w:t>博时创业板电池交易型开放式指数证券投资基金</w:t>
      </w:r>
      <w:r>
        <w:rPr>
          <w:rFonts w:ascii="宋体" w:hAnsi="宋体" w:cs="Arial"/>
        </w:rPr>
        <w:t>（以下简称“基金”或“本基金”）是根据本招募说明书所载明的资料申请募集的。本基金管理人没有委托或授权任何其他人提供未在本招募说明书中载明的信息，或对本招募说明书作任何解释或者说明。</w:t>
      </w:r>
    </w:p>
    <w:p w14:paraId="78553093">
      <w:pPr>
        <w:spacing w:line="360" w:lineRule="auto"/>
        <w:ind w:firstLine="420" w:firstLineChars="200"/>
        <w:rPr>
          <w:rFonts w:hint="eastAsia" w:ascii="宋体" w:hAnsi="宋体" w:cs="Arial"/>
        </w:rPr>
      </w:pPr>
      <w:r>
        <w:rPr>
          <w:rFonts w:ascii="宋体" w:hAnsi="宋体" w:cs="Arial"/>
        </w:rPr>
        <w:t>本招募说明书根据本基金的基金合同编写，并经中国证券监督管理委员会（以下简称</w:t>
      </w:r>
      <w:r>
        <w:rPr>
          <w:rFonts w:hint="eastAsia" w:ascii="宋体" w:hAnsi="宋体" w:cs="Arial"/>
        </w:rPr>
        <w:t>“</w:t>
      </w:r>
      <w:r>
        <w:rPr>
          <w:rFonts w:ascii="宋体" w:hAnsi="宋体" w:cs="Arial"/>
        </w:rPr>
        <w:t>中国证监会</w:t>
      </w:r>
      <w:r>
        <w:rPr>
          <w:rFonts w:hint="eastAsia" w:ascii="宋体" w:hAnsi="宋体" w:cs="Arial"/>
        </w:rPr>
        <w:t>”</w:t>
      </w:r>
      <w:r>
        <w:rPr>
          <w:rFonts w:ascii="宋体" w:hAnsi="宋体" w:cs="Arial"/>
        </w:rPr>
        <w:t>）</w:t>
      </w:r>
      <w:r>
        <w:rPr>
          <w:rFonts w:hint="eastAsia" w:ascii="宋体" w:hAnsi="宋体" w:cs="Arial"/>
        </w:rPr>
        <w:t>注册</w:t>
      </w:r>
      <w:r>
        <w:rPr>
          <w:rFonts w:ascii="宋体" w:hAnsi="宋体" w:cs="Arial"/>
        </w:rPr>
        <w:t>。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14:paraId="41984FFB">
      <w:pPr>
        <w:spacing w:line="360" w:lineRule="auto"/>
        <w:ind w:firstLine="420" w:firstLineChars="200"/>
        <w:rPr>
          <w:rFonts w:hint="eastAsia" w:ascii="宋体" w:hAnsi="宋体" w:cs="Arial"/>
        </w:rPr>
        <w:sectPr>
          <w:footerReference r:id="rId11" w:type="first"/>
          <w:pgSz w:w="11906" w:h="16838"/>
          <w:pgMar w:top="1440" w:right="1800" w:bottom="1440" w:left="1800" w:header="851" w:footer="992" w:gutter="0"/>
          <w:cols w:space="720" w:num="1"/>
          <w:titlePg/>
          <w:docGrid w:linePitch="312" w:charSpace="0"/>
        </w:sectPr>
      </w:pPr>
    </w:p>
    <w:p w14:paraId="6CD8A8F5">
      <w:pPr>
        <w:spacing w:line="360" w:lineRule="auto"/>
        <w:rPr>
          <w:rFonts w:hint="eastAsia" w:ascii="宋体" w:hAnsi="宋体" w:cs="Arial"/>
        </w:rPr>
      </w:pPr>
    </w:p>
    <w:p w14:paraId="556F005C">
      <w:pPr>
        <w:pStyle w:val="2"/>
        <w:snapToGrid w:val="0"/>
        <w:spacing w:before="0" w:after="0" w:line="360" w:lineRule="auto"/>
        <w:ind w:firstLine="141" w:firstLineChars="50"/>
        <w:rPr>
          <w:rFonts w:hint="eastAsia" w:hAnsi="宋体" w:eastAsia="宋体" w:cs="Arial"/>
          <w:b/>
          <w:bCs/>
          <w:sz w:val="28"/>
          <w:szCs w:val="28"/>
        </w:rPr>
      </w:pPr>
      <w:bookmarkStart w:id="2" w:name="_Toc50661120"/>
      <w:bookmarkStart w:id="3" w:name="_Toc214873591"/>
      <w:bookmarkStart w:id="4" w:name="_Toc27699"/>
      <w:r>
        <w:rPr>
          <w:rFonts w:hAnsi="宋体" w:eastAsia="宋体" w:cs="Arial"/>
          <w:b/>
          <w:bCs/>
          <w:sz w:val="28"/>
          <w:szCs w:val="28"/>
        </w:rPr>
        <w:t>第二部分  释义</w:t>
      </w:r>
      <w:bookmarkEnd w:id="2"/>
      <w:bookmarkEnd w:id="3"/>
      <w:bookmarkEnd w:id="4"/>
    </w:p>
    <w:p w14:paraId="2983A16B">
      <w:pPr>
        <w:spacing w:line="360" w:lineRule="auto"/>
        <w:rPr>
          <w:rFonts w:hint="eastAsia" w:ascii="宋体" w:hAnsi="宋体"/>
        </w:rPr>
      </w:pPr>
    </w:p>
    <w:p w14:paraId="0F6660B1">
      <w:pPr>
        <w:autoSpaceDE w:val="0"/>
        <w:autoSpaceDN w:val="0"/>
        <w:adjustRightInd w:val="0"/>
        <w:snapToGrid w:val="0"/>
        <w:spacing w:line="360" w:lineRule="auto"/>
        <w:ind w:firstLine="420" w:firstLineChars="200"/>
        <w:rPr>
          <w:rFonts w:hint="eastAsia" w:ascii="宋体" w:hAnsi="宋体" w:cs="Arial"/>
          <w:szCs w:val="21"/>
        </w:rPr>
      </w:pPr>
      <w:r>
        <w:rPr>
          <w:rFonts w:ascii="宋体" w:hAnsi="宋体" w:cs="Arial"/>
          <w:szCs w:val="21"/>
        </w:rPr>
        <w:t>在本招募说明书中，除非文</w:t>
      </w:r>
      <w:r>
        <w:rPr>
          <w:rFonts w:hint="eastAsia" w:ascii="宋体" w:hAnsi="宋体" w:cs="Arial"/>
          <w:szCs w:val="21"/>
        </w:rPr>
        <w:t>意</w:t>
      </w:r>
      <w:r>
        <w:rPr>
          <w:rFonts w:ascii="宋体" w:hAnsi="宋体" w:cs="Arial"/>
          <w:szCs w:val="21"/>
        </w:rPr>
        <w:t>另有所指，下列词语</w:t>
      </w:r>
      <w:r>
        <w:rPr>
          <w:rFonts w:hint="eastAsia" w:ascii="宋体" w:hAnsi="宋体" w:cs="Arial"/>
          <w:szCs w:val="21"/>
        </w:rPr>
        <w:t>或简称</w:t>
      </w:r>
      <w:r>
        <w:rPr>
          <w:rFonts w:ascii="宋体" w:hAnsi="宋体" w:cs="Arial"/>
          <w:szCs w:val="21"/>
        </w:rPr>
        <w:t>具有</w:t>
      </w:r>
      <w:r>
        <w:rPr>
          <w:rFonts w:hint="eastAsia" w:ascii="宋体" w:hAnsi="宋体" w:cs="Arial"/>
          <w:szCs w:val="21"/>
        </w:rPr>
        <w:t>如下</w:t>
      </w:r>
      <w:r>
        <w:rPr>
          <w:rFonts w:ascii="宋体" w:hAnsi="宋体" w:cs="Arial"/>
          <w:szCs w:val="21"/>
        </w:rPr>
        <w:t>含义：</w:t>
      </w:r>
    </w:p>
    <w:p w14:paraId="5C5D6CAE">
      <w:pPr>
        <w:numPr>
          <w:ilvl w:val="255"/>
          <w:numId w:val="0"/>
        </w:numPr>
        <w:snapToGrid w:val="0"/>
        <w:spacing w:line="360" w:lineRule="auto"/>
        <w:ind w:firstLine="420" w:firstLineChars="200"/>
        <w:rPr>
          <w:rFonts w:hint="eastAsia" w:ascii="宋体" w:hAnsi="宋体"/>
          <w:color w:val="0C0C0C"/>
          <w:szCs w:val="22"/>
        </w:rPr>
      </w:pPr>
      <w:bookmarkStart w:id="5" w:name="_Toc12357173"/>
      <w:bookmarkStart w:id="6" w:name="_Toc214873592"/>
      <w:bookmarkStart w:id="7" w:name="_Toc147463120"/>
      <w:bookmarkStart w:id="8" w:name="_Toc21073393"/>
      <w:r>
        <w:rPr>
          <w:rFonts w:hint="eastAsia" w:ascii="宋体" w:hAnsi="宋体"/>
          <w:color w:val="0C0C0C"/>
          <w:szCs w:val="22"/>
        </w:rPr>
        <w:t>1.基金或本基金：指博时创业板电池交易型开放式指数证券投资基金</w:t>
      </w:r>
    </w:p>
    <w:p w14:paraId="22569C8D">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2.基金管理人：指博时基金管理有限公司</w:t>
      </w:r>
    </w:p>
    <w:p w14:paraId="00CC341D">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3.基金托管人：指中信证券股份有限公司</w:t>
      </w:r>
    </w:p>
    <w:p w14:paraId="3B66B936">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4.基金合同：指《博时创业板电池交易型开放式指数证券投资基金基金合同》及对基金合同的任何有效修订和补充</w:t>
      </w:r>
    </w:p>
    <w:p w14:paraId="46C656D2">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5.托管协议：指基金管理人与基金托管人就本基金签订之《博时创业板电池交易型开放式指数证券投资基金托管协议》及对该托管协议的任何有效修订和补充</w:t>
      </w:r>
    </w:p>
    <w:p w14:paraId="61D16C17">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6.招募说明书或者本招募说明书：指《博时创业板电池交易型开放式指数证券投资基金招募说明书》及其更新</w:t>
      </w:r>
    </w:p>
    <w:p w14:paraId="552C09F6">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7.基金产品资料概要：指《博时创业板电池交易型开放式指数证券投资基金基金产品资料概要》及其更新</w:t>
      </w:r>
    </w:p>
    <w:p w14:paraId="5AA94F16">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8.基金份额发售公告：指《博时创业板电池交易型开放式指数证券投资基金基金份额发售公告》</w:t>
      </w:r>
    </w:p>
    <w:p w14:paraId="5A900DE7">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9.上市交易公告书：指《博时创业板电池交易型开放式指数证券投资基金上市交易公告书》</w:t>
      </w:r>
    </w:p>
    <w:p w14:paraId="19880C43">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10.法律法规：指中国现行有效并公布实施的法律、行政法规、规范性文件、司法解释、行政规章以及其他对基金合同当事人有约束力的决定、决议、通知等</w:t>
      </w:r>
    </w:p>
    <w:p w14:paraId="3258774D">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11.《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w:t>
      </w:r>
    </w:p>
    <w:p w14:paraId="6E5C3CA1">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12.《销售办法》：指中国证监会2020年8月28日颁布、同年10月1日实施的《公开募集证券投资基金销售机构监督管理办法》及颁布机关对其不时做出的修订</w:t>
      </w:r>
    </w:p>
    <w:p w14:paraId="08160084">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13.《信息披露办法》：指中国证监会2019年7月26日颁布、同年9月1日实施，并经2020年3月20日中国证监会《关于修改部分证券期货规章的决定》修改的《公开募集证券投资基金信息披露管理办法》及颁布机关对其不时做出的修订</w:t>
      </w:r>
    </w:p>
    <w:p w14:paraId="04ABDE5A">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14.《运作办法》：指中国证监会2014年7月7日颁布、同年8月8日实施的《公开募集证券投资基金运作管理办法》及颁布机关对其不时做出的修订</w:t>
      </w:r>
    </w:p>
    <w:p w14:paraId="68CAA483">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15.《流动性风险管理规定》：指中国证监会2017年8月31日颁布、同年10月1日实施的《公开募集开放式证券投资基金流动性风险管理规定》及颁布机关对其不时做出的修订</w:t>
      </w:r>
    </w:p>
    <w:p w14:paraId="13BE8E1E">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16.《指数基金指引》：指中国证监会2021年1月22日颁布、同年2月1日实施的《公开募集证券投资基金运作指引第3号——指数基金指引》及颁布机关对其不时做出的修订</w:t>
      </w:r>
    </w:p>
    <w:p w14:paraId="23EF67C2">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17.业务规则：指深圳证券交易所、登记机构等相关机构发布的其他相关规则及其不时做出的修订</w:t>
      </w:r>
    </w:p>
    <w:p w14:paraId="67A8342A">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18.中国证监会：指中国证券监督管理委员会</w:t>
      </w:r>
    </w:p>
    <w:p w14:paraId="774DD44C">
      <w:pPr>
        <w:numPr>
          <w:ilvl w:val="255"/>
          <w:numId w:val="0"/>
        </w:numPr>
        <w:snapToGrid w:val="0"/>
        <w:spacing w:line="360" w:lineRule="auto"/>
        <w:ind w:firstLine="420" w:firstLineChars="200"/>
        <w:rPr>
          <w:rFonts w:hint="eastAsia" w:ascii="宋体" w:hAnsi="宋体"/>
          <w:color w:val="0C0C0C"/>
          <w:szCs w:val="22"/>
        </w:rPr>
      </w:pPr>
      <w:r>
        <w:rPr>
          <w:rFonts w:ascii="宋体" w:hAnsi="宋体"/>
          <w:color w:val="0C0C0C"/>
          <w:szCs w:val="22"/>
        </w:rPr>
        <w:t>19</w:t>
      </w:r>
      <w:r>
        <w:rPr>
          <w:rFonts w:hint="eastAsia" w:ascii="宋体" w:hAnsi="宋体"/>
          <w:color w:val="0C0C0C"/>
          <w:szCs w:val="22"/>
        </w:rPr>
        <w:t>.基金合同当事人：指受基金合同约束，根据基金合同享有权利并承担义务的法律主体，包括基金管理人、基金托管人和基金份额持有人</w:t>
      </w:r>
    </w:p>
    <w:p w14:paraId="33FBFCDB">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2</w:t>
      </w:r>
      <w:r>
        <w:rPr>
          <w:rFonts w:ascii="宋体" w:hAnsi="宋体"/>
          <w:color w:val="0C0C0C"/>
          <w:szCs w:val="22"/>
        </w:rPr>
        <w:t>0</w:t>
      </w:r>
      <w:r>
        <w:rPr>
          <w:rFonts w:hint="eastAsia" w:ascii="宋体" w:hAnsi="宋体"/>
          <w:color w:val="0C0C0C"/>
          <w:szCs w:val="22"/>
        </w:rPr>
        <w:t>.个人投资者：指依据有关法律法规规定可投资于证券投资基金的自然人</w:t>
      </w:r>
    </w:p>
    <w:p w14:paraId="6F664F6E">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2</w:t>
      </w:r>
      <w:r>
        <w:rPr>
          <w:rFonts w:ascii="宋体" w:hAnsi="宋体"/>
          <w:color w:val="0C0C0C"/>
          <w:szCs w:val="22"/>
        </w:rPr>
        <w:t>1</w:t>
      </w:r>
      <w:r>
        <w:rPr>
          <w:rFonts w:hint="eastAsia" w:ascii="宋体" w:hAnsi="宋体"/>
          <w:color w:val="0C0C0C"/>
          <w:szCs w:val="22"/>
        </w:rPr>
        <w:t>.机构投资者：指依法可以投资证券投资基金的、在中华人民共和国境内合法登记并存续或经有关政府部门批准设立并存续的企业法人、事业法人、社会团体或其他组织</w:t>
      </w:r>
    </w:p>
    <w:p w14:paraId="65F95BB7">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2</w:t>
      </w:r>
      <w:r>
        <w:rPr>
          <w:rFonts w:ascii="宋体" w:hAnsi="宋体"/>
          <w:color w:val="0C0C0C"/>
          <w:szCs w:val="22"/>
        </w:rPr>
        <w:t>2</w:t>
      </w:r>
      <w:r>
        <w:rPr>
          <w:rFonts w:hint="eastAsia" w:ascii="宋体" w:hAnsi="宋体"/>
          <w:color w:val="0C0C0C"/>
          <w:szCs w:val="22"/>
        </w:rPr>
        <w:t>.合格境外投资者：指符合《合格境外机构投资者和人民币合格境外机构投资者境内证券期货投资管理办法》（及颁布机关对其不时做出的修订）及相关法律法规规定，经中国证监会批准，使用来自境外的资金进行境内证券期货投资的境外机构投资者，包括合格境外机构投资者和人民币合格境外机构投资者</w:t>
      </w:r>
    </w:p>
    <w:p w14:paraId="5E10A140">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2</w:t>
      </w:r>
      <w:r>
        <w:rPr>
          <w:rFonts w:ascii="宋体" w:hAnsi="宋体"/>
          <w:color w:val="0C0C0C"/>
          <w:szCs w:val="22"/>
        </w:rPr>
        <w:t>3</w:t>
      </w:r>
      <w:r>
        <w:rPr>
          <w:rFonts w:hint="eastAsia" w:ascii="宋体" w:hAnsi="宋体"/>
          <w:color w:val="0C0C0C"/>
          <w:szCs w:val="22"/>
        </w:rPr>
        <w:t>.投资人、投资者：指个人投资者、机构投资者、合格境外投资者以及法律法规或中国证监会允许购买证券投资基金的其他投资人的合称</w:t>
      </w:r>
    </w:p>
    <w:p w14:paraId="0A7C5EFC">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2</w:t>
      </w:r>
      <w:r>
        <w:rPr>
          <w:rFonts w:ascii="宋体" w:hAnsi="宋体"/>
          <w:color w:val="0C0C0C"/>
          <w:szCs w:val="22"/>
        </w:rPr>
        <w:t>4</w:t>
      </w:r>
      <w:r>
        <w:rPr>
          <w:rFonts w:hint="eastAsia" w:ascii="宋体" w:hAnsi="宋体"/>
          <w:color w:val="0C0C0C"/>
          <w:szCs w:val="22"/>
        </w:rPr>
        <w:t>.基金份额持有人：指依基金合同和招募说明书合法取得基金份额的投资人</w:t>
      </w:r>
    </w:p>
    <w:p w14:paraId="143669F0">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2</w:t>
      </w:r>
      <w:r>
        <w:rPr>
          <w:rFonts w:ascii="宋体" w:hAnsi="宋体"/>
          <w:color w:val="0C0C0C"/>
          <w:szCs w:val="22"/>
        </w:rPr>
        <w:t>5</w:t>
      </w:r>
      <w:r>
        <w:rPr>
          <w:rFonts w:hint="eastAsia" w:ascii="宋体" w:hAnsi="宋体"/>
          <w:color w:val="0C0C0C"/>
          <w:szCs w:val="22"/>
        </w:rPr>
        <w:t>.发售代理机构：指符合《销售办法》和中国证监会规定的其他条件，由基金管理人指定的代理本基金发售业务的机构</w:t>
      </w:r>
    </w:p>
    <w:p w14:paraId="7ABDABB0">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2</w:t>
      </w:r>
      <w:r>
        <w:rPr>
          <w:rFonts w:ascii="宋体" w:hAnsi="宋体"/>
          <w:color w:val="0C0C0C"/>
          <w:szCs w:val="22"/>
        </w:rPr>
        <w:t>6</w:t>
      </w:r>
      <w:r>
        <w:rPr>
          <w:rFonts w:hint="eastAsia" w:ascii="宋体" w:hAnsi="宋体"/>
          <w:color w:val="0C0C0C"/>
          <w:szCs w:val="22"/>
        </w:rPr>
        <w:t>.申购、赎回代理券商：指基金管理人指定的，在基金合同生效后代理办理本基金申购、赎回业务的证券公司，又称为代办证券公司</w:t>
      </w:r>
    </w:p>
    <w:p w14:paraId="570AE5F6">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2</w:t>
      </w:r>
      <w:r>
        <w:rPr>
          <w:rFonts w:ascii="宋体" w:hAnsi="宋体"/>
          <w:color w:val="0C0C0C"/>
          <w:szCs w:val="22"/>
        </w:rPr>
        <w:t>7</w:t>
      </w:r>
      <w:r>
        <w:rPr>
          <w:rFonts w:hint="eastAsia" w:ascii="宋体" w:hAnsi="宋体"/>
          <w:color w:val="0C0C0C"/>
          <w:szCs w:val="22"/>
        </w:rPr>
        <w:t>.直销机构：指博时基金管理有限公司</w:t>
      </w:r>
    </w:p>
    <w:p w14:paraId="612D1B6E">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2</w:t>
      </w:r>
      <w:r>
        <w:rPr>
          <w:rFonts w:ascii="宋体" w:hAnsi="宋体"/>
          <w:color w:val="0C0C0C"/>
          <w:szCs w:val="22"/>
        </w:rPr>
        <w:t>8</w:t>
      </w:r>
      <w:r>
        <w:rPr>
          <w:rFonts w:hint="eastAsia" w:ascii="宋体" w:hAnsi="宋体"/>
          <w:color w:val="0C0C0C"/>
          <w:szCs w:val="22"/>
        </w:rPr>
        <w:t>.代销机构：指符合《销售办法》和中国证监会规定的其他条件，取得基金销售业务资格并与基金管理人签订了基金销售服务协议，办理基金销售业务的机构，包括发售代理机构和申购、赎回代理券商（即代办证券公司）</w:t>
      </w:r>
    </w:p>
    <w:p w14:paraId="0DE86E0C">
      <w:pPr>
        <w:numPr>
          <w:ilvl w:val="255"/>
          <w:numId w:val="0"/>
        </w:numPr>
        <w:snapToGrid w:val="0"/>
        <w:spacing w:line="360" w:lineRule="auto"/>
        <w:ind w:firstLine="420" w:firstLineChars="200"/>
        <w:rPr>
          <w:rFonts w:hint="eastAsia" w:ascii="宋体" w:hAnsi="宋体"/>
          <w:color w:val="0C0C0C"/>
          <w:szCs w:val="22"/>
        </w:rPr>
      </w:pPr>
      <w:r>
        <w:rPr>
          <w:rFonts w:ascii="宋体" w:hAnsi="宋体"/>
          <w:color w:val="0C0C0C"/>
          <w:szCs w:val="22"/>
        </w:rPr>
        <w:t>29</w:t>
      </w:r>
      <w:r>
        <w:rPr>
          <w:rFonts w:hint="eastAsia" w:ascii="宋体" w:hAnsi="宋体"/>
          <w:color w:val="0C0C0C"/>
          <w:szCs w:val="22"/>
        </w:rPr>
        <w:t xml:space="preserve">.销售机构：指直销机构与代销机构 </w:t>
      </w:r>
    </w:p>
    <w:p w14:paraId="2736C23C">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3</w:t>
      </w:r>
      <w:r>
        <w:rPr>
          <w:rFonts w:ascii="宋体" w:hAnsi="宋体"/>
          <w:color w:val="0C0C0C"/>
          <w:szCs w:val="22"/>
        </w:rPr>
        <w:t>0</w:t>
      </w:r>
      <w:r>
        <w:rPr>
          <w:rFonts w:hint="eastAsia" w:ascii="宋体" w:hAnsi="宋体"/>
          <w:color w:val="0C0C0C"/>
          <w:szCs w:val="22"/>
        </w:rPr>
        <w:t>.登记机构：指办理登记业务的机构。本基金的登记机构为中国证券登记结算有限责任公司</w:t>
      </w:r>
    </w:p>
    <w:p w14:paraId="5BA87EF1">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3</w:t>
      </w:r>
      <w:r>
        <w:rPr>
          <w:rFonts w:ascii="宋体" w:hAnsi="宋体"/>
          <w:color w:val="0C0C0C"/>
          <w:szCs w:val="22"/>
        </w:rPr>
        <w:t>1</w:t>
      </w:r>
      <w:r>
        <w:rPr>
          <w:rFonts w:hint="eastAsia" w:ascii="宋体" w:hAnsi="宋体"/>
          <w:color w:val="0C0C0C"/>
          <w:szCs w:val="22"/>
        </w:rPr>
        <w:t>.登记业务：指《中国证券登记结算有限责任公司关于交易所交易型开放式证券投资基金登记结算业务实施细则》及其不时修订以及相关业务规则所定义的基金份额的登记、存管、结算及相关业务</w:t>
      </w:r>
    </w:p>
    <w:p w14:paraId="5A394977">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3</w:t>
      </w:r>
      <w:r>
        <w:rPr>
          <w:rFonts w:ascii="宋体" w:hAnsi="宋体"/>
          <w:color w:val="0C0C0C"/>
          <w:szCs w:val="22"/>
        </w:rPr>
        <w:t>2</w:t>
      </w:r>
      <w:r>
        <w:rPr>
          <w:rFonts w:hint="eastAsia" w:ascii="宋体" w:hAnsi="宋体"/>
          <w:color w:val="0C0C0C"/>
          <w:szCs w:val="22"/>
        </w:rPr>
        <w:t>.深圳证券账户：指深圳证券交易所人民币普通股票账户（即A股账户）或深圳证券交易所基金账户</w:t>
      </w:r>
    </w:p>
    <w:p w14:paraId="2CEE9B1D">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3</w:t>
      </w:r>
      <w:r>
        <w:rPr>
          <w:rFonts w:ascii="宋体" w:hAnsi="宋体"/>
          <w:color w:val="0C0C0C"/>
          <w:szCs w:val="22"/>
        </w:rPr>
        <w:t>3</w:t>
      </w:r>
      <w:r>
        <w:rPr>
          <w:rFonts w:hint="eastAsia" w:ascii="宋体" w:hAnsi="宋体"/>
          <w:color w:val="0C0C0C"/>
          <w:szCs w:val="22"/>
        </w:rPr>
        <w:t>.基金合同生效日：指基金募集达到法律法规规定及基金合同规定的条件，基金管理人向中国证监会办理基金备案手续完毕，并获得中国证监会书面确认的日期</w:t>
      </w:r>
    </w:p>
    <w:p w14:paraId="681AC7ED">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3</w:t>
      </w:r>
      <w:r>
        <w:rPr>
          <w:rFonts w:ascii="宋体" w:hAnsi="宋体"/>
          <w:color w:val="0C0C0C"/>
          <w:szCs w:val="22"/>
        </w:rPr>
        <w:t>4</w:t>
      </w:r>
      <w:r>
        <w:rPr>
          <w:rFonts w:hint="eastAsia" w:ascii="宋体" w:hAnsi="宋体"/>
          <w:color w:val="0C0C0C"/>
          <w:szCs w:val="22"/>
        </w:rPr>
        <w:t>.基金合同终止日：指基金合同规定的基金合同终止事由出现后，基金财产清算完毕，清算结果报中国证监会备案并予以公告的日期</w:t>
      </w:r>
    </w:p>
    <w:p w14:paraId="4FB69824">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3</w:t>
      </w:r>
      <w:r>
        <w:rPr>
          <w:rFonts w:ascii="宋体" w:hAnsi="宋体"/>
          <w:color w:val="0C0C0C"/>
          <w:szCs w:val="22"/>
        </w:rPr>
        <w:t>5</w:t>
      </w:r>
      <w:r>
        <w:rPr>
          <w:rFonts w:hint="eastAsia" w:ascii="宋体" w:hAnsi="宋体"/>
          <w:color w:val="0C0C0C"/>
          <w:szCs w:val="22"/>
        </w:rPr>
        <w:t>.基金募集期：指自基金份额发售之日起至发售结束之日止的期间，最长不得超过3个月</w:t>
      </w:r>
    </w:p>
    <w:p w14:paraId="21B1CB53">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3</w:t>
      </w:r>
      <w:r>
        <w:rPr>
          <w:rFonts w:ascii="宋体" w:hAnsi="宋体"/>
          <w:color w:val="0C0C0C"/>
          <w:szCs w:val="22"/>
        </w:rPr>
        <w:t>6.</w:t>
      </w:r>
      <w:r>
        <w:rPr>
          <w:rFonts w:hint="eastAsia" w:ascii="宋体" w:hAnsi="宋体"/>
          <w:color w:val="0C0C0C"/>
          <w:szCs w:val="22"/>
        </w:rPr>
        <w:t>存续期：指基金合同生效至终止之间的不定期期限</w:t>
      </w:r>
    </w:p>
    <w:p w14:paraId="43373458">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3</w:t>
      </w:r>
      <w:r>
        <w:rPr>
          <w:rFonts w:ascii="宋体" w:hAnsi="宋体"/>
          <w:color w:val="0C0C0C"/>
          <w:szCs w:val="22"/>
        </w:rPr>
        <w:t>7</w:t>
      </w:r>
      <w:r>
        <w:rPr>
          <w:rFonts w:hint="eastAsia" w:ascii="宋体" w:hAnsi="宋体"/>
          <w:color w:val="0C0C0C"/>
          <w:szCs w:val="22"/>
        </w:rPr>
        <w:t>.工作日：指上海证券交易所、深圳证券交易所的正常交易日</w:t>
      </w:r>
    </w:p>
    <w:p w14:paraId="10744AEC">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3</w:t>
      </w:r>
      <w:r>
        <w:rPr>
          <w:rFonts w:ascii="宋体" w:hAnsi="宋体"/>
          <w:color w:val="0C0C0C"/>
          <w:szCs w:val="22"/>
        </w:rPr>
        <w:t>8</w:t>
      </w:r>
      <w:r>
        <w:rPr>
          <w:rFonts w:hint="eastAsia" w:ascii="宋体" w:hAnsi="宋体"/>
          <w:color w:val="0C0C0C"/>
          <w:szCs w:val="22"/>
        </w:rPr>
        <w:t>.T日：指销售机构在规定时间受理投资人申购、赎回或其他业务申请的开放日</w:t>
      </w:r>
    </w:p>
    <w:p w14:paraId="236C6744">
      <w:pPr>
        <w:numPr>
          <w:ilvl w:val="255"/>
          <w:numId w:val="0"/>
        </w:numPr>
        <w:snapToGrid w:val="0"/>
        <w:spacing w:line="360" w:lineRule="auto"/>
        <w:ind w:firstLine="420" w:firstLineChars="200"/>
        <w:rPr>
          <w:rFonts w:hint="eastAsia" w:ascii="宋体" w:hAnsi="宋体"/>
          <w:color w:val="0C0C0C"/>
          <w:szCs w:val="22"/>
        </w:rPr>
      </w:pPr>
      <w:r>
        <w:rPr>
          <w:rFonts w:ascii="宋体" w:hAnsi="宋体"/>
          <w:color w:val="0C0C0C"/>
          <w:szCs w:val="22"/>
        </w:rPr>
        <w:t>39</w:t>
      </w:r>
      <w:r>
        <w:rPr>
          <w:rFonts w:hint="eastAsia" w:ascii="宋体" w:hAnsi="宋体"/>
          <w:color w:val="0C0C0C"/>
          <w:szCs w:val="22"/>
        </w:rPr>
        <w:t>.T+n日：指自T日起第n个工作日（不包含T日）</w:t>
      </w:r>
    </w:p>
    <w:p w14:paraId="32BA16B1">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4</w:t>
      </w:r>
      <w:r>
        <w:rPr>
          <w:rFonts w:ascii="宋体" w:hAnsi="宋体"/>
          <w:color w:val="0C0C0C"/>
          <w:szCs w:val="22"/>
        </w:rPr>
        <w:t>0</w:t>
      </w:r>
      <w:r>
        <w:rPr>
          <w:rFonts w:hint="eastAsia" w:ascii="宋体" w:hAnsi="宋体"/>
          <w:color w:val="0C0C0C"/>
          <w:szCs w:val="22"/>
        </w:rPr>
        <w:t>.开放日：指为投资人办理基金份额申购、赎回或其他业务的工作日</w:t>
      </w:r>
    </w:p>
    <w:p w14:paraId="0A474D90">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4</w:t>
      </w:r>
      <w:r>
        <w:rPr>
          <w:rFonts w:ascii="宋体" w:hAnsi="宋体"/>
          <w:color w:val="0C0C0C"/>
          <w:szCs w:val="22"/>
        </w:rPr>
        <w:t>1</w:t>
      </w:r>
      <w:r>
        <w:rPr>
          <w:rFonts w:hint="eastAsia" w:ascii="宋体" w:hAnsi="宋体"/>
          <w:color w:val="0C0C0C"/>
          <w:szCs w:val="22"/>
        </w:rPr>
        <w:t>.开放时间：指开放日基金接受申购、赎回或其他交易的时间段</w:t>
      </w:r>
    </w:p>
    <w:p w14:paraId="3F261802">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4</w:t>
      </w:r>
      <w:r>
        <w:rPr>
          <w:rFonts w:ascii="宋体" w:hAnsi="宋体"/>
          <w:color w:val="0C0C0C"/>
          <w:szCs w:val="22"/>
        </w:rPr>
        <w:t>2</w:t>
      </w:r>
      <w:r>
        <w:rPr>
          <w:rFonts w:hint="eastAsia" w:ascii="宋体" w:hAnsi="宋体"/>
          <w:color w:val="0C0C0C"/>
          <w:szCs w:val="22"/>
        </w:rPr>
        <w:t>.认购：指在基金募集期内，投资人根据基金合同和招募说明书的规定申请购买基金份额的行为</w:t>
      </w:r>
    </w:p>
    <w:p w14:paraId="7CD83263">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4</w:t>
      </w:r>
      <w:r>
        <w:rPr>
          <w:rFonts w:ascii="宋体" w:hAnsi="宋体"/>
          <w:color w:val="0C0C0C"/>
          <w:szCs w:val="22"/>
        </w:rPr>
        <w:t>3</w:t>
      </w:r>
      <w:r>
        <w:rPr>
          <w:rFonts w:hint="eastAsia" w:ascii="宋体" w:hAnsi="宋体"/>
          <w:color w:val="0C0C0C"/>
          <w:szCs w:val="22"/>
        </w:rPr>
        <w:t>.申购：指基金合同生效后，投资人根据基金合同和招募说明书的规定，以申购赎回清单规定的申购对价申请购买基金份额的行为</w:t>
      </w:r>
    </w:p>
    <w:p w14:paraId="44436A94">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4</w:t>
      </w:r>
      <w:r>
        <w:rPr>
          <w:rFonts w:ascii="宋体" w:hAnsi="宋体"/>
          <w:color w:val="0C0C0C"/>
          <w:szCs w:val="22"/>
        </w:rPr>
        <w:t>4</w:t>
      </w:r>
      <w:r>
        <w:rPr>
          <w:rFonts w:hint="eastAsia" w:ascii="宋体" w:hAnsi="宋体"/>
          <w:color w:val="0C0C0C"/>
          <w:szCs w:val="22"/>
        </w:rPr>
        <w:t>.赎回：指基金合同生效后，基金份额持有人按基金合同和招募说明书规定的条件要求将本基金份额兑换为申购赎回清单规定的赎回对价的行为</w:t>
      </w:r>
    </w:p>
    <w:p w14:paraId="14539416">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4</w:t>
      </w:r>
      <w:r>
        <w:rPr>
          <w:rFonts w:ascii="宋体" w:hAnsi="宋体"/>
          <w:color w:val="0C0C0C"/>
          <w:szCs w:val="22"/>
        </w:rPr>
        <w:t>5</w:t>
      </w:r>
      <w:r>
        <w:rPr>
          <w:rFonts w:hint="eastAsia" w:ascii="宋体" w:hAnsi="宋体"/>
          <w:color w:val="0C0C0C"/>
          <w:szCs w:val="22"/>
        </w:rPr>
        <w:t xml:space="preserve">.申购赎回清单：指由基金管理人编制的用以公告申购对价、赎回对价等信息的文件 </w:t>
      </w:r>
    </w:p>
    <w:p w14:paraId="0EC9A413">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4</w:t>
      </w:r>
      <w:r>
        <w:rPr>
          <w:rFonts w:ascii="宋体" w:hAnsi="宋体"/>
          <w:color w:val="0C0C0C"/>
          <w:szCs w:val="22"/>
        </w:rPr>
        <w:t>6</w:t>
      </w:r>
      <w:r>
        <w:rPr>
          <w:rFonts w:hint="eastAsia" w:ascii="宋体" w:hAnsi="宋体"/>
          <w:color w:val="0C0C0C"/>
          <w:szCs w:val="22"/>
        </w:rPr>
        <w:t>.申购对价：指投资人申购基金份额时，按基金合同和招募说明书规定应交付的组合证券、现金替代、现金差额和/或其他对价</w:t>
      </w:r>
    </w:p>
    <w:p w14:paraId="37153310">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4</w:t>
      </w:r>
      <w:r>
        <w:rPr>
          <w:rFonts w:ascii="宋体" w:hAnsi="宋体"/>
          <w:color w:val="0C0C0C"/>
          <w:szCs w:val="22"/>
        </w:rPr>
        <w:t>7</w:t>
      </w:r>
      <w:r>
        <w:rPr>
          <w:rFonts w:hint="eastAsia" w:ascii="宋体" w:hAnsi="宋体"/>
          <w:color w:val="0C0C0C"/>
          <w:szCs w:val="22"/>
        </w:rPr>
        <w:t>.赎回对价：指投资人赎回基金份额时，基金管理人按基金合同和招募说明书规定应交付给赎回人的组合证券、现金替代、现金差额和/或其他对价</w:t>
      </w:r>
    </w:p>
    <w:p w14:paraId="1B1A392D">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4</w:t>
      </w:r>
      <w:r>
        <w:rPr>
          <w:rFonts w:ascii="宋体" w:hAnsi="宋体"/>
          <w:color w:val="0C0C0C"/>
          <w:szCs w:val="22"/>
        </w:rPr>
        <w:t>8</w:t>
      </w:r>
      <w:r>
        <w:rPr>
          <w:rFonts w:hint="eastAsia" w:ascii="宋体" w:hAnsi="宋体"/>
          <w:color w:val="0C0C0C"/>
          <w:szCs w:val="22"/>
        </w:rPr>
        <w:t>.组合证券：指本基金标的指数所包含的全部或部分证券</w:t>
      </w:r>
    </w:p>
    <w:p w14:paraId="69DE893F">
      <w:pPr>
        <w:numPr>
          <w:ilvl w:val="255"/>
          <w:numId w:val="0"/>
        </w:numPr>
        <w:snapToGrid w:val="0"/>
        <w:spacing w:line="360" w:lineRule="auto"/>
        <w:ind w:firstLine="420" w:firstLineChars="200"/>
        <w:rPr>
          <w:rFonts w:hint="eastAsia" w:ascii="宋体" w:hAnsi="宋体"/>
          <w:color w:val="0C0C0C"/>
          <w:szCs w:val="22"/>
        </w:rPr>
      </w:pPr>
      <w:r>
        <w:rPr>
          <w:rFonts w:ascii="宋体" w:hAnsi="宋体"/>
          <w:color w:val="0C0C0C"/>
          <w:szCs w:val="22"/>
        </w:rPr>
        <w:t>49</w:t>
      </w:r>
      <w:r>
        <w:rPr>
          <w:rFonts w:hint="eastAsia" w:ascii="宋体" w:hAnsi="宋体"/>
          <w:color w:val="0C0C0C"/>
          <w:szCs w:val="22"/>
        </w:rPr>
        <w:t>.标的指数：指深圳证券信息有限公司编制并发布的创业板电池指数及其未来可能发生的变更</w:t>
      </w:r>
    </w:p>
    <w:p w14:paraId="4F0FE7C8">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5</w:t>
      </w:r>
      <w:r>
        <w:rPr>
          <w:rFonts w:ascii="宋体" w:hAnsi="宋体"/>
          <w:color w:val="0C0C0C"/>
          <w:szCs w:val="22"/>
        </w:rPr>
        <w:t>0</w:t>
      </w:r>
      <w:r>
        <w:rPr>
          <w:rFonts w:hint="eastAsia" w:ascii="宋体" w:hAnsi="宋体"/>
          <w:color w:val="0C0C0C"/>
          <w:szCs w:val="22"/>
        </w:rPr>
        <w:t>.现金替代：指申购、赎回过程中，投资人按基金合同和招募说明书的规定，用于替代组合证券中部分证券的一定数量的现金</w:t>
      </w:r>
    </w:p>
    <w:p w14:paraId="07681B2A">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5</w:t>
      </w:r>
      <w:r>
        <w:rPr>
          <w:rFonts w:ascii="宋体" w:hAnsi="宋体"/>
          <w:color w:val="0C0C0C"/>
          <w:szCs w:val="22"/>
        </w:rPr>
        <w:t>1</w:t>
      </w:r>
      <w:r>
        <w:rPr>
          <w:rFonts w:hint="eastAsia" w:ascii="宋体" w:hAnsi="宋体"/>
          <w:color w:val="0C0C0C"/>
          <w:szCs w:val="22"/>
        </w:rPr>
        <w:t>.现金差额：指最小申购、赎回单位的资产净值与按当日收盘价计算的最小申购、赎回单位中的组合证券市值和现金替代之差；投资人申购、赎回时应支付或应获得的现金差额根据最小申购、赎回单位对应的现金差额、申购或赎回的基金份额数计算</w:t>
      </w:r>
    </w:p>
    <w:p w14:paraId="3BF6D4DE">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5</w:t>
      </w:r>
      <w:r>
        <w:rPr>
          <w:rFonts w:ascii="宋体" w:hAnsi="宋体"/>
          <w:color w:val="0C0C0C"/>
          <w:szCs w:val="22"/>
        </w:rPr>
        <w:t>2</w:t>
      </w:r>
      <w:r>
        <w:rPr>
          <w:rFonts w:hint="eastAsia" w:ascii="宋体" w:hAnsi="宋体"/>
          <w:color w:val="0C0C0C"/>
          <w:szCs w:val="22"/>
        </w:rPr>
        <w:t>.最小申购、赎回单位：指本基金申购、赎回份额的最低数量，投资人申购、赎回的基金份额应为最小申购、赎回单位的整数倍</w:t>
      </w:r>
    </w:p>
    <w:p w14:paraId="1DA53A8B">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5</w:t>
      </w:r>
      <w:r>
        <w:rPr>
          <w:rFonts w:ascii="宋体" w:hAnsi="宋体"/>
          <w:color w:val="0C0C0C"/>
          <w:szCs w:val="22"/>
        </w:rPr>
        <w:t>3</w:t>
      </w:r>
      <w:r>
        <w:rPr>
          <w:rFonts w:hint="eastAsia" w:ascii="宋体" w:hAnsi="宋体"/>
          <w:color w:val="0C0C0C"/>
          <w:szCs w:val="22"/>
        </w:rPr>
        <w:t>.基金份额参考净值：指基金管理人或基金管理人委托其他机构在相关证券交易所交易时间内根据申购赎回清单和组合证券内各只证券的实时成交数据计算并发布的基金份额参考净值，简称IOPV</w:t>
      </w:r>
    </w:p>
    <w:p w14:paraId="7AD6D12A">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5</w:t>
      </w:r>
      <w:r>
        <w:rPr>
          <w:rFonts w:ascii="宋体" w:hAnsi="宋体"/>
          <w:color w:val="0C0C0C"/>
          <w:szCs w:val="22"/>
        </w:rPr>
        <w:t>4</w:t>
      </w:r>
      <w:r>
        <w:rPr>
          <w:rFonts w:hint="eastAsia" w:ascii="宋体" w:hAnsi="宋体"/>
          <w:color w:val="0C0C0C"/>
          <w:szCs w:val="22"/>
        </w:rPr>
        <w:t>.预估现金部分：指为便于计算基金份额参考净值及申购赎回代理券商预先冻结申请申购、赎回的投资人的相应资金，由基金管理人计算并公布的现金数额；</w:t>
      </w:r>
    </w:p>
    <w:p w14:paraId="67CF21B3">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5</w:t>
      </w:r>
      <w:r>
        <w:rPr>
          <w:rFonts w:ascii="宋体" w:hAnsi="宋体"/>
          <w:color w:val="0C0C0C"/>
          <w:szCs w:val="22"/>
        </w:rPr>
        <w:t>5</w:t>
      </w:r>
      <w:r>
        <w:rPr>
          <w:rFonts w:hint="eastAsia" w:ascii="宋体" w:hAnsi="宋体"/>
          <w:color w:val="0C0C0C"/>
          <w:szCs w:val="22"/>
        </w:rPr>
        <w:t>.元：指人民币元</w:t>
      </w:r>
    </w:p>
    <w:p w14:paraId="29A3F49D">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5</w:t>
      </w:r>
      <w:r>
        <w:rPr>
          <w:rFonts w:ascii="宋体" w:hAnsi="宋体"/>
          <w:color w:val="0C0C0C"/>
          <w:szCs w:val="22"/>
        </w:rPr>
        <w:t>6</w:t>
      </w:r>
      <w:r>
        <w:rPr>
          <w:rFonts w:hint="eastAsia" w:ascii="宋体" w:hAnsi="宋体"/>
          <w:color w:val="0C0C0C"/>
          <w:szCs w:val="22"/>
        </w:rPr>
        <w:t>.基金收益：指基金投资所得红利、股息、债券利息、买卖证券价差、银行存款利息、已实现的其他合法收入及因运用基金财产带来的成本和费用的节约</w:t>
      </w:r>
    </w:p>
    <w:p w14:paraId="33522D01">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5</w:t>
      </w:r>
      <w:r>
        <w:rPr>
          <w:rFonts w:ascii="宋体" w:hAnsi="宋体"/>
          <w:color w:val="0C0C0C"/>
          <w:szCs w:val="22"/>
        </w:rPr>
        <w:t>7</w:t>
      </w:r>
      <w:r>
        <w:rPr>
          <w:rFonts w:hint="eastAsia" w:ascii="宋体" w:hAnsi="宋体"/>
          <w:color w:val="0C0C0C"/>
          <w:szCs w:val="22"/>
        </w:rPr>
        <w:t>.基金份额折算：指基金管理人根据基金合同规定将投资人的基金份额进行变更登记的行为</w:t>
      </w:r>
    </w:p>
    <w:p w14:paraId="552D1599">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5</w:t>
      </w:r>
      <w:r>
        <w:rPr>
          <w:rFonts w:ascii="宋体" w:hAnsi="宋体"/>
          <w:color w:val="0C0C0C"/>
          <w:szCs w:val="22"/>
        </w:rPr>
        <w:t>8</w:t>
      </w:r>
      <w:r>
        <w:rPr>
          <w:rFonts w:hint="eastAsia" w:ascii="宋体" w:hAnsi="宋体"/>
          <w:color w:val="0C0C0C"/>
          <w:szCs w:val="22"/>
        </w:rPr>
        <w:t>.收益评价日：指基金管理人计算本基金份额净值增长率与标的指数同期增长率差额之日</w:t>
      </w:r>
    </w:p>
    <w:p w14:paraId="639DDECB">
      <w:pPr>
        <w:numPr>
          <w:ilvl w:val="255"/>
          <w:numId w:val="0"/>
        </w:numPr>
        <w:snapToGrid w:val="0"/>
        <w:spacing w:line="360" w:lineRule="auto"/>
        <w:ind w:firstLine="420" w:firstLineChars="200"/>
        <w:rPr>
          <w:rFonts w:hint="eastAsia" w:ascii="宋体" w:hAnsi="宋体"/>
          <w:color w:val="0C0C0C"/>
          <w:szCs w:val="22"/>
        </w:rPr>
      </w:pPr>
      <w:r>
        <w:rPr>
          <w:rFonts w:ascii="宋体" w:hAnsi="宋体"/>
          <w:color w:val="0C0C0C"/>
          <w:szCs w:val="22"/>
        </w:rPr>
        <w:t>59</w:t>
      </w:r>
      <w:r>
        <w:rPr>
          <w:rFonts w:hint="eastAsia" w:ascii="宋体" w:hAnsi="宋体"/>
          <w:color w:val="0C0C0C"/>
          <w:szCs w:val="22"/>
        </w:rPr>
        <w:t>.基金份额净值增长率：指收益评价日基金份额净值与基金上市前一交易日基金份额净值之比减去1乘以100%（期间发生基金份额折算、拆分或合并，则以基金份额折算日、经拆分或合并调整后的基金份额折算日为初始日重新计算）</w:t>
      </w:r>
    </w:p>
    <w:p w14:paraId="2116D160">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6</w:t>
      </w:r>
      <w:r>
        <w:rPr>
          <w:rFonts w:ascii="宋体" w:hAnsi="宋体"/>
          <w:color w:val="0C0C0C"/>
          <w:szCs w:val="22"/>
        </w:rPr>
        <w:t>0</w:t>
      </w:r>
      <w:r>
        <w:rPr>
          <w:rFonts w:hint="eastAsia" w:ascii="宋体" w:hAnsi="宋体"/>
          <w:color w:val="0C0C0C"/>
          <w:szCs w:val="22"/>
        </w:rPr>
        <w:t xml:space="preserve">.标的指数同期增长率：指收益评价日标的指数收盘价与基金上市前一交易日标的指数收盘价之比减去1乘以100%（期间发生基金份额折算、拆分或合并，则以基金份额折算日、经拆分或合并调整后的基金份额折算日为初始日重新计算） </w:t>
      </w:r>
    </w:p>
    <w:p w14:paraId="399712D5">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6</w:t>
      </w:r>
      <w:r>
        <w:rPr>
          <w:rFonts w:ascii="宋体" w:hAnsi="宋体"/>
          <w:color w:val="0C0C0C"/>
          <w:szCs w:val="22"/>
        </w:rPr>
        <w:t>1</w:t>
      </w:r>
      <w:r>
        <w:rPr>
          <w:rFonts w:hint="eastAsia" w:ascii="宋体" w:hAnsi="宋体"/>
          <w:color w:val="0C0C0C"/>
          <w:szCs w:val="22"/>
        </w:rPr>
        <w:t>.基金资产总值：指基金拥有的各类有价证券、银行存款本息、基金应收款项及其他资产的价值总和</w:t>
      </w:r>
    </w:p>
    <w:p w14:paraId="602BC7D0">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6</w:t>
      </w:r>
      <w:r>
        <w:rPr>
          <w:rFonts w:ascii="宋体" w:hAnsi="宋体"/>
          <w:color w:val="0C0C0C"/>
          <w:szCs w:val="22"/>
        </w:rPr>
        <w:t>2</w:t>
      </w:r>
      <w:r>
        <w:rPr>
          <w:rFonts w:hint="eastAsia" w:ascii="宋体" w:hAnsi="宋体"/>
          <w:color w:val="0C0C0C"/>
          <w:szCs w:val="22"/>
        </w:rPr>
        <w:t>.基金资产净值：指基金资产总值减去基金负债后的价值</w:t>
      </w:r>
    </w:p>
    <w:p w14:paraId="57C2F03C">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6</w:t>
      </w:r>
      <w:r>
        <w:rPr>
          <w:rFonts w:ascii="宋体" w:hAnsi="宋体"/>
          <w:color w:val="0C0C0C"/>
          <w:szCs w:val="22"/>
        </w:rPr>
        <w:t>3</w:t>
      </w:r>
      <w:r>
        <w:rPr>
          <w:rFonts w:hint="eastAsia" w:ascii="宋体" w:hAnsi="宋体"/>
          <w:color w:val="0C0C0C"/>
          <w:szCs w:val="22"/>
        </w:rPr>
        <w:t>.基金份额净值：指计算日基金资产净值除以计算日基金份额总数</w:t>
      </w:r>
    </w:p>
    <w:p w14:paraId="7AFCE401">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6</w:t>
      </w:r>
      <w:r>
        <w:rPr>
          <w:rFonts w:ascii="宋体" w:hAnsi="宋体"/>
          <w:color w:val="0C0C0C"/>
          <w:szCs w:val="22"/>
        </w:rPr>
        <w:t>4</w:t>
      </w:r>
      <w:r>
        <w:rPr>
          <w:rFonts w:hint="eastAsia" w:ascii="宋体" w:hAnsi="宋体"/>
          <w:color w:val="0C0C0C"/>
          <w:szCs w:val="22"/>
        </w:rPr>
        <w:t>.基金资产估值：指计算评估基金资产和负债的价值，以确定基金资产净值和基金份额净值的过程</w:t>
      </w:r>
    </w:p>
    <w:p w14:paraId="320BA242">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6</w:t>
      </w:r>
      <w:r>
        <w:rPr>
          <w:rFonts w:ascii="宋体" w:hAnsi="宋体"/>
          <w:color w:val="0C0C0C"/>
          <w:szCs w:val="22"/>
        </w:rPr>
        <w:t>5</w:t>
      </w:r>
      <w:r>
        <w:rPr>
          <w:rFonts w:hint="eastAsia" w:ascii="宋体" w:hAnsi="宋体"/>
          <w:color w:val="0C0C0C"/>
          <w:szCs w:val="22"/>
        </w:rPr>
        <w:t>.规定媒介：指符合中国证监会规定条件的用以进行信息披露的全国性报刊及《信息披露办法》规定的互联网网站（包括基金管理人网站、基金托管人网站、中国证监会基金电子披露网站）等媒介</w:t>
      </w:r>
    </w:p>
    <w:p w14:paraId="2A150438">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6</w:t>
      </w:r>
      <w:r>
        <w:rPr>
          <w:rFonts w:ascii="宋体" w:hAnsi="宋体"/>
          <w:color w:val="0C0C0C"/>
          <w:szCs w:val="22"/>
        </w:rPr>
        <w:t>6</w:t>
      </w:r>
      <w:r>
        <w:rPr>
          <w:rFonts w:hint="eastAsia" w:ascii="宋体" w:hAnsi="宋体"/>
          <w:color w:val="0C0C0C"/>
          <w:szCs w:val="22"/>
        </w:rPr>
        <w:t>.ETF：指《深圳证券交易所证券投资基金交易和申购赎回实施细则》定义的“交易型开放式基金”</w:t>
      </w:r>
    </w:p>
    <w:p w14:paraId="2242F7DF">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6</w:t>
      </w:r>
      <w:r>
        <w:rPr>
          <w:rFonts w:ascii="宋体" w:hAnsi="宋体"/>
          <w:color w:val="0C0C0C"/>
          <w:szCs w:val="22"/>
        </w:rPr>
        <w:t>7</w:t>
      </w:r>
      <w:r>
        <w:rPr>
          <w:rFonts w:hint="eastAsia" w:ascii="宋体" w:hAnsi="宋体"/>
          <w:color w:val="0C0C0C"/>
          <w:szCs w:val="22"/>
        </w:rPr>
        <w:t>.联接基金：指将绝大部分基金财产投资于跟踪同一标的指数的基金（即目标ETF），紧密跟踪标的指数表现，追求跟踪偏离度和跟踪误差最小化，获得与指数收益相似的回报，采用开放式运作方式的基金</w:t>
      </w:r>
    </w:p>
    <w:p w14:paraId="2A99EF29">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6</w:t>
      </w:r>
      <w:r>
        <w:rPr>
          <w:rFonts w:ascii="宋体" w:hAnsi="宋体"/>
          <w:color w:val="0C0C0C"/>
          <w:szCs w:val="22"/>
        </w:rPr>
        <w:t>8</w:t>
      </w:r>
      <w:r>
        <w:rPr>
          <w:rFonts w:hint="eastAsia" w:ascii="宋体" w:hAnsi="宋体"/>
          <w:color w:val="0C0C0C"/>
          <w:szCs w:val="22"/>
        </w:rPr>
        <w:t>.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14:paraId="65564C26">
      <w:pPr>
        <w:numPr>
          <w:ilvl w:val="255"/>
          <w:numId w:val="0"/>
        </w:numPr>
        <w:snapToGrid w:val="0"/>
        <w:spacing w:line="360" w:lineRule="auto"/>
        <w:ind w:firstLine="420" w:firstLineChars="200"/>
        <w:rPr>
          <w:rFonts w:hint="eastAsia" w:ascii="宋体" w:hAnsi="宋体"/>
          <w:color w:val="0C0C0C"/>
          <w:szCs w:val="22"/>
        </w:rPr>
      </w:pPr>
      <w:r>
        <w:rPr>
          <w:rFonts w:ascii="宋体" w:hAnsi="宋体"/>
          <w:color w:val="0C0C0C"/>
          <w:szCs w:val="22"/>
        </w:rPr>
        <w:t>69</w:t>
      </w:r>
      <w:r>
        <w:rPr>
          <w:rFonts w:hint="eastAsia" w:ascii="宋体" w:hAnsi="宋体"/>
          <w:color w:val="0C0C0C"/>
          <w:szCs w:val="22"/>
        </w:rPr>
        <w:t>.转融通证券出借业务：指基金以一定的费率通过证券交易所综合业务平台向中国证券金融股份有限公司（以下简称证券金融公司）出借证券，证券金融公司到期归还所借证券及相应权益补偿并支付费用的业务</w:t>
      </w:r>
    </w:p>
    <w:p w14:paraId="6AA6590E">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70.</w:t>
      </w:r>
      <w:r>
        <w:rPr>
          <w:rFonts w:hint="eastAsia" w:ascii="宋体" w:hAnsi="宋体"/>
          <w:color w:val="0C0C0C"/>
          <w:szCs w:val="22"/>
        </w:rPr>
        <w:tab/>
      </w:r>
      <w:r>
        <w:rPr>
          <w:rFonts w:hint="eastAsia" w:ascii="宋体" w:hAnsi="宋体"/>
          <w:color w:val="0C0C0C"/>
          <w:szCs w:val="22"/>
        </w:rPr>
        <w:t>特定投资者：指《中国证券登记结算有限责任公司深圳分公司交易型开放式基金登记结算业务指南》规定的不通过代办证券公司经纪交易单元，而通过基金管理人直销申报跨市场股票ETF场外组合证券申购赎回申请的保险产品、全国社保基金、证券投资基金、证券集合资产管理计划等特殊机构及产品投资者</w:t>
      </w:r>
    </w:p>
    <w:p w14:paraId="5B457DB8">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71.中国法律：指中华人民共和国法律，就本基金合同而言，不包括香港特别行政区、澳门特别行政区法律和台湾地区的有关规定</w:t>
      </w:r>
    </w:p>
    <w:p w14:paraId="00A6A2BC">
      <w:pPr>
        <w:numPr>
          <w:ilvl w:val="255"/>
          <w:numId w:val="0"/>
        </w:numPr>
        <w:snapToGrid w:val="0"/>
        <w:spacing w:line="360" w:lineRule="auto"/>
        <w:ind w:firstLine="420" w:firstLineChars="200"/>
        <w:rPr>
          <w:rFonts w:hint="eastAsia" w:ascii="宋体" w:hAnsi="宋体"/>
          <w:color w:val="0C0C0C"/>
          <w:szCs w:val="22"/>
        </w:rPr>
      </w:pPr>
      <w:r>
        <w:rPr>
          <w:rFonts w:hint="eastAsia" w:ascii="宋体" w:hAnsi="宋体"/>
          <w:color w:val="0C0C0C"/>
          <w:szCs w:val="22"/>
        </w:rPr>
        <w:t>72.不可抗力：指基金合同当事人不能预见、不能避免且不能克服的客观事件</w:t>
      </w:r>
    </w:p>
    <w:p w14:paraId="68CF3350">
      <w:pPr>
        <w:autoSpaceDE w:val="0"/>
        <w:autoSpaceDN w:val="0"/>
        <w:adjustRightInd w:val="0"/>
        <w:snapToGrid w:val="0"/>
        <w:spacing w:line="360" w:lineRule="auto"/>
        <w:rPr>
          <w:rFonts w:hint="eastAsia" w:ascii="宋体" w:hAnsi="宋体" w:cs="Arial"/>
          <w:bCs/>
          <w:color w:val="0C0C0C"/>
          <w:szCs w:val="21"/>
        </w:rPr>
      </w:pPr>
    </w:p>
    <w:p w14:paraId="3E80CEE3">
      <w:pPr>
        <w:autoSpaceDE w:val="0"/>
        <w:autoSpaceDN w:val="0"/>
        <w:adjustRightInd w:val="0"/>
        <w:snapToGrid w:val="0"/>
        <w:spacing w:line="360" w:lineRule="auto"/>
        <w:rPr>
          <w:rFonts w:hint="eastAsia" w:ascii="宋体" w:hAnsi="宋体" w:cs="Arial"/>
          <w:bCs/>
          <w:color w:val="0C0C0C"/>
          <w:szCs w:val="21"/>
        </w:rPr>
        <w:sectPr>
          <w:footerReference r:id="rId13" w:type="first"/>
          <w:footerReference r:id="rId12" w:type="default"/>
          <w:pgSz w:w="11906" w:h="16838"/>
          <w:pgMar w:top="1440" w:right="1800" w:bottom="1440" w:left="1800" w:header="851" w:footer="992" w:gutter="0"/>
          <w:cols w:space="720" w:num="1"/>
          <w:titlePg/>
          <w:docGrid w:linePitch="312" w:charSpace="0"/>
        </w:sectPr>
      </w:pPr>
    </w:p>
    <w:p w14:paraId="337BA955">
      <w:pPr>
        <w:autoSpaceDE w:val="0"/>
        <w:autoSpaceDN w:val="0"/>
        <w:adjustRightInd w:val="0"/>
        <w:snapToGrid w:val="0"/>
        <w:spacing w:line="360" w:lineRule="auto"/>
        <w:rPr>
          <w:rFonts w:hint="eastAsia" w:ascii="宋体" w:hAnsi="宋体" w:cs="Arial"/>
          <w:bCs/>
          <w:color w:val="0C0C0C"/>
          <w:szCs w:val="21"/>
        </w:rPr>
      </w:pPr>
    </w:p>
    <w:p w14:paraId="794E3BD9">
      <w:pPr>
        <w:pStyle w:val="2"/>
        <w:snapToGrid w:val="0"/>
        <w:spacing w:before="0" w:after="0" w:line="360" w:lineRule="auto"/>
        <w:ind w:firstLine="422" w:firstLineChars="150"/>
        <w:rPr>
          <w:rFonts w:hint="eastAsia" w:hAnsi="宋体" w:eastAsia="宋体" w:cs="Arial"/>
          <w:b/>
          <w:bCs/>
          <w:sz w:val="28"/>
          <w:szCs w:val="28"/>
        </w:rPr>
      </w:pPr>
      <w:bookmarkStart w:id="9" w:name="_Toc50661121"/>
      <w:bookmarkStart w:id="10" w:name="_Toc1577"/>
      <w:r>
        <w:rPr>
          <w:rFonts w:hAnsi="宋体" w:eastAsia="宋体" w:cs="Arial"/>
          <w:b/>
          <w:bCs/>
          <w:sz w:val="28"/>
          <w:szCs w:val="28"/>
        </w:rPr>
        <w:t>第三部分  基金管理人</w:t>
      </w:r>
      <w:bookmarkEnd w:id="5"/>
      <w:bookmarkEnd w:id="6"/>
      <w:bookmarkEnd w:id="7"/>
      <w:bookmarkEnd w:id="8"/>
      <w:bookmarkEnd w:id="9"/>
      <w:bookmarkEnd w:id="10"/>
    </w:p>
    <w:p w14:paraId="11A60B08">
      <w:pPr>
        <w:pStyle w:val="37"/>
        <w:spacing w:before="0" w:beforeAutospacing="0" w:after="0" w:afterAutospacing="0" w:line="360" w:lineRule="auto"/>
        <w:ind w:firstLine="420"/>
        <w:rPr>
          <w:rFonts w:hint="eastAsia"/>
          <w:sz w:val="21"/>
          <w:szCs w:val="21"/>
        </w:rPr>
      </w:pPr>
      <w:bookmarkStart w:id="11" w:name="_Toc214873593"/>
      <w:bookmarkStart w:id="12" w:name="_Toc524923215"/>
      <w:r>
        <w:rPr>
          <w:rStyle w:val="49"/>
          <w:rFonts w:hint="eastAsia"/>
          <w:sz w:val="21"/>
          <w:szCs w:val="21"/>
        </w:rPr>
        <w:t>一、基金管理人概况</w:t>
      </w:r>
    </w:p>
    <w:p w14:paraId="2CBAD5BE">
      <w:pPr>
        <w:pStyle w:val="37"/>
        <w:spacing w:before="0" w:beforeAutospacing="0" w:after="0" w:afterAutospacing="0" w:line="360" w:lineRule="auto"/>
        <w:ind w:firstLine="420"/>
        <w:jc w:val="both"/>
        <w:rPr>
          <w:rFonts w:hint="eastAsia"/>
          <w:sz w:val="21"/>
          <w:szCs w:val="21"/>
        </w:rPr>
      </w:pPr>
      <w:r>
        <w:rPr>
          <w:rFonts w:hint="eastAsia"/>
          <w:sz w:val="21"/>
          <w:szCs w:val="21"/>
        </w:rPr>
        <w:t>名称：博时基金管理有限公司</w:t>
      </w:r>
    </w:p>
    <w:p w14:paraId="5D1DF506">
      <w:pPr>
        <w:pStyle w:val="37"/>
        <w:spacing w:before="0" w:beforeAutospacing="0" w:after="0" w:afterAutospacing="0" w:line="360" w:lineRule="auto"/>
        <w:ind w:firstLine="420"/>
        <w:jc w:val="both"/>
        <w:rPr>
          <w:rFonts w:hint="eastAsia"/>
          <w:sz w:val="21"/>
          <w:szCs w:val="21"/>
        </w:rPr>
      </w:pPr>
      <w:r>
        <w:rPr>
          <w:rFonts w:hint="eastAsia"/>
          <w:sz w:val="21"/>
          <w:szCs w:val="21"/>
        </w:rPr>
        <w:t>住所：深圳市福田区莲花街道福新社区益田路5999号基金大厦21层</w:t>
      </w:r>
    </w:p>
    <w:p w14:paraId="5B1E9453">
      <w:pPr>
        <w:pStyle w:val="37"/>
        <w:spacing w:before="0" w:beforeAutospacing="0" w:after="0" w:afterAutospacing="0" w:line="360" w:lineRule="auto"/>
        <w:ind w:firstLine="420"/>
        <w:jc w:val="both"/>
        <w:rPr>
          <w:rFonts w:hint="eastAsia"/>
          <w:sz w:val="21"/>
          <w:szCs w:val="21"/>
        </w:rPr>
      </w:pPr>
      <w:r>
        <w:rPr>
          <w:rFonts w:hint="eastAsia"/>
          <w:sz w:val="21"/>
          <w:szCs w:val="21"/>
        </w:rPr>
        <w:t>办公地址：广东省深圳市福田区益田路5999号基金大厦21层</w:t>
      </w:r>
    </w:p>
    <w:p w14:paraId="46FB7E7A">
      <w:pPr>
        <w:pStyle w:val="37"/>
        <w:spacing w:before="0" w:beforeAutospacing="0" w:after="0" w:afterAutospacing="0" w:line="360" w:lineRule="auto"/>
        <w:ind w:firstLine="420"/>
        <w:jc w:val="both"/>
        <w:rPr>
          <w:rFonts w:hint="eastAsia"/>
          <w:sz w:val="21"/>
          <w:szCs w:val="21"/>
        </w:rPr>
      </w:pPr>
      <w:r>
        <w:rPr>
          <w:rFonts w:hint="eastAsia"/>
          <w:sz w:val="21"/>
          <w:szCs w:val="21"/>
        </w:rPr>
        <w:t>法定代表人：张东</w:t>
      </w:r>
    </w:p>
    <w:p w14:paraId="436AC48B">
      <w:pPr>
        <w:pStyle w:val="37"/>
        <w:spacing w:before="0" w:beforeAutospacing="0" w:after="0" w:afterAutospacing="0" w:line="360" w:lineRule="auto"/>
        <w:ind w:firstLine="420"/>
        <w:jc w:val="both"/>
        <w:rPr>
          <w:rFonts w:hint="eastAsia"/>
          <w:sz w:val="21"/>
          <w:szCs w:val="21"/>
        </w:rPr>
      </w:pPr>
      <w:r>
        <w:rPr>
          <w:rFonts w:hint="eastAsia"/>
          <w:sz w:val="21"/>
          <w:szCs w:val="21"/>
        </w:rPr>
        <w:t>成立时间：1998年7月13日</w:t>
      </w:r>
    </w:p>
    <w:p w14:paraId="41467EF6">
      <w:pPr>
        <w:pStyle w:val="37"/>
        <w:spacing w:before="0" w:beforeAutospacing="0" w:after="0" w:afterAutospacing="0" w:line="360" w:lineRule="auto"/>
        <w:ind w:firstLine="420"/>
        <w:jc w:val="both"/>
        <w:rPr>
          <w:rFonts w:hint="eastAsia"/>
          <w:sz w:val="21"/>
          <w:szCs w:val="21"/>
        </w:rPr>
      </w:pPr>
      <w:r>
        <w:rPr>
          <w:rFonts w:hint="eastAsia"/>
          <w:sz w:val="21"/>
          <w:szCs w:val="21"/>
        </w:rPr>
        <w:t>注册资本：2.5亿元人民币</w:t>
      </w:r>
    </w:p>
    <w:p w14:paraId="23110B0B">
      <w:pPr>
        <w:pStyle w:val="37"/>
        <w:spacing w:before="0" w:beforeAutospacing="0" w:after="0" w:afterAutospacing="0" w:line="360" w:lineRule="auto"/>
        <w:ind w:firstLine="420"/>
        <w:jc w:val="both"/>
        <w:rPr>
          <w:rFonts w:hint="eastAsia"/>
          <w:sz w:val="21"/>
          <w:szCs w:val="21"/>
        </w:rPr>
      </w:pPr>
      <w:r>
        <w:rPr>
          <w:rFonts w:hint="eastAsia"/>
          <w:sz w:val="21"/>
          <w:szCs w:val="21"/>
        </w:rPr>
        <w:t>存续期间：持续经营</w:t>
      </w:r>
    </w:p>
    <w:p w14:paraId="6B13E6CD">
      <w:pPr>
        <w:pStyle w:val="37"/>
        <w:spacing w:before="0" w:beforeAutospacing="0" w:after="0" w:afterAutospacing="0" w:line="360" w:lineRule="auto"/>
        <w:ind w:firstLine="420"/>
        <w:jc w:val="both"/>
        <w:rPr>
          <w:rFonts w:hint="eastAsia"/>
          <w:sz w:val="21"/>
          <w:szCs w:val="21"/>
        </w:rPr>
      </w:pPr>
      <w:r>
        <w:rPr>
          <w:rFonts w:hint="eastAsia"/>
          <w:sz w:val="21"/>
          <w:szCs w:val="21"/>
        </w:rPr>
        <w:t>联系人：杜松岭</w:t>
      </w:r>
    </w:p>
    <w:p w14:paraId="51A526BA">
      <w:pPr>
        <w:pStyle w:val="37"/>
        <w:spacing w:before="0" w:beforeAutospacing="0" w:after="0" w:afterAutospacing="0" w:line="360" w:lineRule="auto"/>
        <w:ind w:firstLine="420"/>
        <w:jc w:val="both"/>
        <w:rPr>
          <w:rFonts w:hint="eastAsia"/>
          <w:sz w:val="21"/>
          <w:szCs w:val="21"/>
        </w:rPr>
      </w:pPr>
      <w:r>
        <w:rPr>
          <w:rFonts w:hint="eastAsia"/>
          <w:sz w:val="21"/>
          <w:szCs w:val="21"/>
        </w:rPr>
        <w:t>联系电话：（0755）8316 9999</w:t>
      </w:r>
    </w:p>
    <w:p w14:paraId="1EC7290E">
      <w:pPr>
        <w:pStyle w:val="37"/>
        <w:spacing w:before="0" w:beforeAutospacing="0" w:after="0" w:afterAutospacing="0" w:line="360" w:lineRule="auto"/>
        <w:ind w:firstLine="420"/>
        <w:jc w:val="both"/>
        <w:rPr>
          <w:rFonts w:hint="eastAsia"/>
          <w:sz w:val="21"/>
          <w:szCs w:val="21"/>
        </w:rPr>
      </w:pPr>
      <w:r>
        <w:rPr>
          <w:rFonts w:hint="eastAsia"/>
          <w:sz w:val="21"/>
          <w:szCs w:val="21"/>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318E1328">
      <w:pPr>
        <w:pStyle w:val="37"/>
        <w:spacing w:before="0" w:beforeAutospacing="0" w:after="0" w:afterAutospacing="0" w:line="360" w:lineRule="auto"/>
        <w:ind w:firstLine="420"/>
        <w:jc w:val="both"/>
        <w:rPr>
          <w:rFonts w:hint="eastAsia"/>
          <w:sz w:val="21"/>
          <w:szCs w:val="21"/>
        </w:rPr>
      </w:pPr>
      <w:r>
        <w:rPr>
          <w:rFonts w:hint="eastAsia"/>
          <w:sz w:val="21"/>
          <w:szCs w:val="21"/>
        </w:rPr>
        <w:t>公司设立了投资决策委员会。投资决策委员会负责指导基金资产的运作、确定基本的投资策略和投资组合的原则。</w:t>
      </w:r>
    </w:p>
    <w:p w14:paraId="4CEA973D">
      <w:pPr>
        <w:pStyle w:val="37"/>
        <w:spacing w:before="0" w:beforeAutospacing="0" w:after="0" w:afterAutospacing="0" w:line="360" w:lineRule="auto"/>
        <w:ind w:firstLine="420"/>
        <w:jc w:val="both"/>
        <w:rPr>
          <w:rFonts w:hint="eastAsia"/>
          <w:sz w:val="21"/>
          <w:szCs w:val="21"/>
        </w:rPr>
      </w:pPr>
      <w:r>
        <w:rPr>
          <w:rFonts w:hint="eastAsia"/>
          <w:sz w:val="21"/>
          <w:szCs w:val="21"/>
        </w:rPr>
        <w:t xml:space="preserve">公司已经建立健全投资管理制度、风险控制制度、内部监察制度、财务管理制度、人事管理制度、信息披露制度和员工行为准则等公司管理制度体系。 </w:t>
      </w:r>
    </w:p>
    <w:p w14:paraId="479A4273">
      <w:pPr>
        <w:pStyle w:val="37"/>
        <w:spacing w:before="0" w:beforeAutospacing="0" w:after="0" w:afterAutospacing="0" w:line="360" w:lineRule="auto"/>
        <w:ind w:firstLine="420"/>
        <w:rPr>
          <w:rFonts w:hint="eastAsia"/>
          <w:b/>
          <w:bCs/>
          <w:sz w:val="21"/>
          <w:szCs w:val="21"/>
        </w:rPr>
      </w:pPr>
      <w:r>
        <w:rPr>
          <w:rFonts w:hint="eastAsia"/>
          <w:b/>
          <w:bCs/>
          <w:sz w:val="21"/>
          <w:szCs w:val="21"/>
        </w:rPr>
        <w:t>二、主要成员情况</w:t>
      </w:r>
    </w:p>
    <w:p w14:paraId="1DF6C91A">
      <w:pPr>
        <w:pStyle w:val="37"/>
        <w:spacing w:before="0" w:beforeAutospacing="0" w:after="0" w:afterAutospacing="0" w:line="360" w:lineRule="auto"/>
        <w:ind w:firstLine="420"/>
        <w:jc w:val="both"/>
        <w:rPr>
          <w:rFonts w:hint="eastAsia"/>
          <w:sz w:val="21"/>
          <w:szCs w:val="21"/>
        </w:rPr>
      </w:pPr>
      <w:r>
        <w:rPr>
          <w:rFonts w:hint="eastAsia"/>
          <w:sz w:val="21"/>
          <w:szCs w:val="21"/>
        </w:rPr>
        <w:t>1、基金管理人董事会成员</w:t>
      </w:r>
    </w:p>
    <w:p w14:paraId="05C96329">
      <w:pPr>
        <w:pStyle w:val="37"/>
        <w:spacing w:before="0" w:beforeAutospacing="0" w:after="0" w:afterAutospacing="0" w:line="360" w:lineRule="auto"/>
        <w:ind w:firstLine="420"/>
        <w:jc w:val="both"/>
        <w:rPr>
          <w:rFonts w:hint="eastAsia"/>
          <w:sz w:val="21"/>
          <w:szCs w:val="21"/>
        </w:rPr>
      </w:pPr>
      <w:r>
        <w:rPr>
          <w:rFonts w:hint="eastAsia"/>
          <w:sz w:val="21"/>
          <w:szCs w:val="21"/>
        </w:rPr>
        <w:t>张东先生，硕士，董事长。1989年至2024年先后在中国银行、招商银行从事零售金融、财富业务和财务会计等工作。2024年加入博时基金管理有限公司，2024年5月至2025年10月任公司总经理。自2024年7月5日起，任博时基金管理有限公司董事。2025年10月15日至2025年11月10日代为履行博时基金管理有限公司总经理职务。自2025年10月15日起，任博时基金管理有限公司董事长。自2026年2月12日起代为履行博时基金管理有限公司首席信息官职责。</w:t>
      </w:r>
    </w:p>
    <w:p w14:paraId="65279967">
      <w:pPr>
        <w:pStyle w:val="37"/>
        <w:spacing w:before="0" w:beforeAutospacing="0" w:after="0" w:afterAutospacing="0" w:line="360" w:lineRule="auto"/>
        <w:ind w:firstLine="420"/>
        <w:jc w:val="both"/>
        <w:rPr>
          <w:rFonts w:hint="eastAsia"/>
          <w:sz w:val="21"/>
          <w:szCs w:val="21"/>
        </w:rPr>
      </w:pPr>
      <w:r>
        <w:rPr>
          <w:rFonts w:hint="eastAsia"/>
          <w:sz w:val="21"/>
          <w:szCs w:val="21"/>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2155970F">
      <w:pPr>
        <w:pStyle w:val="37"/>
        <w:spacing w:before="0" w:beforeAutospacing="0" w:after="0" w:afterAutospacing="0" w:line="360" w:lineRule="auto"/>
        <w:ind w:firstLine="420"/>
        <w:jc w:val="both"/>
        <w:rPr>
          <w:rFonts w:hint="eastAsia"/>
          <w:sz w:val="21"/>
          <w:szCs w:val="21"/>
        </w:rPr>
      </w:pPr>
      <w:r>
        <w:rPr>
          <w:rFonts w:hint="eastAsia"/>
          <w:sz w:val="21"/>
          <w:szCs w:val="21"/>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2424908B">
      <w:pPr>
        <w:pStyle w:val="37"/>
        <w:spacing w:before="0" w:beforeAutospacing="0" w:after="0" w:afterAutospacing="0" w:line="360" w:lineRule="auto"/>
        <w:ind w:firstLine="420"/>
        <w:jc w:val="both"/>
        <w:rPr>
          <w:rFonts w:hint="eastAsia"/>
          <w:sz w:val="21"/>
          <w:szCs w:val="21"/>
        </w:rPr>
      </w:pPr>
      <w:r>
        <w:rPr>
          <w:rFonts w:hint="eastAsia"/>
          <w:sz w:val="21"/>
          <w:szCs w:val="21"/>
        </w:rPr>
        <w:t>郝宇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19789726">
      <w:pPr>
        <w:pStyle w:val="37"/>
        <w:spacing w:before="0" w:beforeAutospacing="0" w:after="0" w:afterAutospacing="0" w:line="360" w:lineRule="auto"/>
        <w:ind w:firstLine="420"/>
        <w:jc w:val="both"/>
        <w:rPr>
          <w:rFonts w:hint="eastAsia"/>
          <w:sz w:val="21"/>
          <w:szCs w:val="21"/>
        </w:rPr>
      </w:pPr>
      <w:r>
        <w:rPr>
          <w:rFonts w:hint="eastAsia"/>
          <w:sz w:val="21"/>
          <w:szCs w:val="21"/>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21BADBBD">
      <w:pPr>
        <w:pStyle w:val="37"/>
        <w:spacing w:before="0" w:beforeAutospacing="0" w:after="0" w:afterAutospacing="0" w:line="360" w:lineRule="auto"/>
        <w:ind w:firstLine="420"/>
        <w:jc w:val="both"/>
        <w:rPr>
          <w:rFonts w:hint="eastAsia"/>
          <w:sz w:val="21"/>
          <w:szCs w:val="21"/>
        </w:rPr>
      </w:pPr>
      <w:r>
        <w:rPr>
          <w:rFonts w:hint="eastAsia"/>
          <w:sz w:val="21"/>
          <w:szCs w:val="21"/>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56FCDCC4">
      <w:pPr>
        <w:pStyle w:val="37"/>
        <w:spacing w:before="0" w:beforeAutospacing="0" w:after="0" w:afterAutospacing="0" w:line="360" w:lineRule="auto"/>
        <w:ind w:firstLine="420"/>
        <w:jc w:val="both"/>
        <w:rPr>
          <w:rFonts w:hint="eastAsia"/>
          <w:sz w:val="21"/>
          <w:szCs w:val="21"/>
        </w:rPr>
      </w:pPr>
      <w:r>
        <w:rPr>
          <w:rFonts w:hint="eastAsia"/>
          <w:sz w:val="21"/>
          <w:szCs w:val="21"/>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328AB9A2">
      <w:pPr>
        <w:pStyle w:val="37"/>
        <w:spacing w:before="0" w:beforeAutospacing="0" w:after="0" w:afterAutospacing="0" w:line="360" w:lineRule="auto"/>
        <w:ind w:firstLine="420"/>
        <w:jc w:val="both"/>
        <w:rPr>
          <w:rFonts w:hint="eastAsia"/>
          <w:sz w:val="21"/>
          <w:szCs w:val="21"/>
        </w:rPr>
      </w:pPr>
      <w:r>
        <w:rPr>
          <w:rFonts w:hint="eastAsia"/>
          <w:sz w:val="21"/>
          <w:szCs w:val="21"/>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746EDB2B">
      <w:pPr>
        <w:pStyle w:val="37"/>
        <w:spacing w:before="0" w:beforeAutospacing="0" w:after="0" w:afterAutospacing="0" w:line="360" w:lineRule="auto"/>
        <w:ind w:firstLine="420"/>
        <w:jc w:val="both"/>
        <w:rPr>
          <w:rFonts w:hint="eastAsia"/>
          <w:sz w:val="21"/>
          <w:szCs w:val="21"/>
        </w:rPr>
      </w:pPr>
      <w:r>
        <w:rPr>
          <w:rFonts w:hint="eastAsia"/>
          <w:sz w:val="21"/>
          <w:szCs w:val="21"/>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2DFFBD73">
      <w:pPr>
        <w:pStyle w:val="37"/>
        <w:spacing w:before="0" w:beforeAutospacing="0" w:after="0" w:afterAutospacing="0" w:line="360" w:lineRule="auto"/>
        <w:ind w:firstLine="420"/>
        <w:jc w:val="both"/>
        <w:rPr>
          <w:rFonts w:hint="eastAsia"/>
          <w:sz w:val="21"/>
          <w:szCs w:val="21"/>
        </w:rPr>
      </w:pPr>
      <w:r>
        <w:rPr>
          <w:rFonts w:hint="eastAsia"/>
          <w:sz w:val="21"/>
          <w:szCs w:val="21"/>
        </w:rPr>
        <w:t>方芳女士，上海财经大学国民经济学专业博士、加拿大不列颠哥伦比亚大学访问学者。1985年7月至今，就职于上海财经大学。历任上海财经大学公共经济与管理学院副院长 、上海财经大学公共经济与管理学院党委书记。2023年2月至今，任上海财经大学财税投资学院投资发展研究院院长、金融硕士（首席投资官）教育项目中心主任。同时，任世界华人不动产学会副秘书长、中国基本建设优化研究会理事、上海市投资学会会员等社会职务。</w:t>
      </w:r>
    </w:p>
    <w:p w14:paraId="158EABFE">
      <w:pPr>
        <w:pStyle w:val="37"/>
        <w:spacing w:before="0" w:beforeAutospacing="0" w:after="0" w:afterAutospacing="0" w:line="360" w:lineRule="auto"/>
        <w:ind w:firstLine="420"/>
        <w:jc w:val="both"/>
        <w:rPr>
          <w:rFonts w:hint="eastAsia"/>
          <w:sz w:val="21"/>
          <w:szCs w:val="21"/>
        </w:rPr>
      </w:pPr>
      <w:r>
        <w:rPr>
          <w:rFonts w:hint="eastAsia"/>
          <w:sz w:val="21"/>
          <w:szCs w:val="21"/>
        </w:rPr>
        <w:t>贺春临女士，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6CA3ACED">
      <w:pPr>
        <w:pStyle w:val="37"/>
        <w:spacing w:before="0" w:beforeAutospacing="0" w:after="0" w:afterAutospacing="0" w:line="360" w:lineRule="auto"/>
        <w:ind w:firstLine="420"/>
        <w:jc w:val="both"/>
        <w:rPr>
          <w:rFonts w:hint="eastAsia"/>
          <w:sz w:val="21"/>
          <w:szCs w:val="21"/>
        </w:rPr>
      </w:pPr>
      <w:r>
        <w:rPr>
          <w:rFonts w:hint="eastAsia"/>
          <w:sz w:val="21"/>
          <w:szCs w:val="21"/>
        </w:rPr>
        <w:t>2、高级管理人员</w:t>
      </w:r>
    </w:p>
    <w:p w14:paraId="5DE69DF0">
      <w:pPr>
        <w:pStyle w:val="37"/>
        <w:spacing w:before="0" w:beforeAutospacing="0" w:after="0" w:afterAutospacing="0" w:line="360" w:lineRule="auto"/>
        <w:ind w:firstLine="420"/>
        <w:jc w:val="both"/>
        <w:rPr>
          <w:rFonts w:hint="eastAsia"/>
          <w:sz w:val="21"/>
          <w:szCs w:val="21"/>
        </w:rPr>
      </w:pPr>
      <w:bookmarkStart w:id="13" w:name="OLE_LINK3"/>
      <w:r>
        <w:rPr>
          <w:rFonts w:hint="eastAsia"/>
          <w:sz w:val="21"/>
          <w:szCs w:val="21"/>
        </w:rPr>
        <w:t>张东先生，简历同上。</w:t>
      </w:r>
    </w:p>
    <w:p w14:paraId="2E8DC753">
      <w:pPr>
        <w:pStyle w:val="37"/>
        <w:spacing w:before="0" w:beforeAutospacing="0" w:after="0" w:afterAutospacing="0" w:line="360" w:lineRule="auto"/>
        <w:ind w:firstLine="420"/>
        <w:jc w:val="both"/>
        <w:rPr>
          <w:rFonts w:hint="eastAsia"/>
          <w:sz w:val="21"/>
          <w:szCs w:val="21"/>
        </w:rPr>
      </w:pPr>
      <w:r>
        <w:rPr>
          <w:rFonts w:hint="eastAsia"/>
          <w:sz w:val="21"/>
          <w:szCs w:val="21"/>
        </w:rPr>
        <w:t>陈宇先生，简历同上。</w:t>
      </w:r>
    </w:p>
    <w:bookmarkEnd w:id="13"/>
    <w:p w14:paraId="212D9D22">
      <w:pPr>
        <w:pStyle w:val="37"/>
        <w:spacing w:before="0" w:beforeAutospacing="0" w:after="0" w:afterAutospacing="0" w:line="360" w:lineRule="auto"/>
        <w:ind w:firstLine="420"/>
        <w:jc w:val="both"/>
        <w:rPr>
          <w:rFonts w:hint="eastAsia"/>
          <w:sz w:val="21"/>
          <w:szCs w:val="21"/>
        </w:rPr>
      </w:pPr>
      <w:r>
        <w:rPr>
          <w:rFonts w:hint="eastAsia"/>
          <w:sz w:val="21"/>
          <w:szCs w:val="21"/>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兼任博时资本管理有限公司董事长和博时财富基金销售有限公司董事。</w:t>
      </w:r>
    </w:p>
    <w:p w14:paraId="48220303">
      <w:pPr>
        <w:pStyle w:val="37"/>
        <w:spacing w:before="0" w:beforeAutospacing="0" w:after="0" w:afterAutospacing="0" w:line="360" w:lineRule="auto"/>
        <w:ind w:firstLine="420"/>
        <w:jc w:val="both"/>
        <w:rPr>
          <w:rFonts w:hint="eastAsia"/>
          <w:sz w:val="21"/>
          <w:szCs w:val="21"/>
        </w:rPr>
      </w:pPr>
      <w:r>
        <w:rPr>
          <w:rFonts w:hint="eastAsia"/>
          <w:sz w:val="21"/>
          <w:szCs w:val="21"/>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w:t>
      </w:r>
    </w:p>
    <w:p w14:paraId="5964FDB9">
      <w:pPr>
        <w:pStyle w:val="37"/>
        <w:spacing w:before="0" w:beforeAutospacing="0" w:after="0" w:afterAutospacing="0" w:line="360" w:lineRule="auto"/>
        <w:ind w:firstLine="420"/>
        <w:rPr>
          <w:rFonts w:hint="eastAsia"/>
          <w:sz w:val="21"/>
          <w:szCs w:val="21"/>
        </w:rPr>
      </w:pPr>
      <w:r>
        <w:rPr>
          <w:rFonts w:hint="eastAsia"/>
          <w:sz w:val="21"/>
          <w:szCs w:val="21"/>
        </w:rPr>
        <w:t xml:space="preserve">3、本基金基金经理  </w:t>
      </w:r>
    </w:p>
    <w:p w14:paraId="089B205D">
      <w:pPr>
        <w:pStyle w:val="37"/>
        <w:spacing w:before="0" w:beforeAutospacing="0" w:after="0" w:afterAutospacing="0" w:line="360" w:lineRule="auto"/>
        <w:ind w:firstLine="420"/>
        <w:rPr>
          <w:rFonts w:hint="eastAsia"/>
          <w:sz w:val="21"/>
          <w:szCs w:val="21"/>
        </w:rPr>
      </w:pPr>
      <w:r>
        <w:rPr>
          <w:rFonts w:hint="eastAsia"/>
          <w:sz w:val="21"/>
          <w:szCs w:val="21"/>
        </w:rPr>
        <w:t>陈晓志先生，硕士。2007年起在华为公司工作，2008年加入博时基金，现任私募资产管理计划投资经理兼公募基金经理。现任博时国证大盘价值交易型开放式指数证券投资基金(2026年7月15日—至今)、博时国证大盘价值交易型开放式指数证券投资基金联接基金(2026年8月18日—至今)的基金经理。</w:t>
      </w:r>
    </w:p>
    <w:p w14:paraId="4488D068">
      <w:pPr>
        <w:pStyle w:val="37"/>
        <w:spacing w:before="0" w:beforeAutospacing="0" w:after="0" w:afterAutospacing="0" w:line="360" w:lineRule="auto"/>
        <w:ind w:firstLine="420"/>
        <w:rPr>
          <w:rFonts w:hint="eastAsia"/>
          <w:sz w:val="21"/>
          <w:szCs w:val="21"/>
        </w:rPr>
      </w:pPr>
      <w:r>
        <w:rPr>
          <w:rFonts w:hint="eastAsia"/>
          <w:sz w:val="21"/>
          <w:szCs w:val="21"/>
        </w:rPr>
        <w:t xml:space="preserve">4、投资决策委员会成员 </w:t>
      </w:r>
    </w:p>
    <w:p w14:paraId="0106DB6C">
      <w:pPr>
        <w:spacing w:line="360" w:lineRule="auto"/>
        <w:ind w:firstLine="420"/>
        <w:rPr>
          <w:rFonts w:hint="eastAsia" w:ascii="宋体" w:hAnsi="宋体"/>
          <w:kern w:val="0"/>
          <w:szCs w:val="21"/>
        </w:rPr>
      </w:pPr>
      <w:bookmarkStart w:id="14" w:name="OLE_LINK5"/>
      <w:r>
        <w:rPr>
          <w:rFonts w:hint="eastAsia" w:ascii="宋体" w:hAnsi="宋体"/>
          <w:kern w:val="0"/>
          <w:szCs w:val="21"/>
        </w:rPr>
        <w:t>公司首席资产配置官黄健斌先生。</w:t>
      </w:r>
    </w:p>
    <w:p w14:paraId="2A0DC34D">
      <w:pPr>
        <w:spacing w:line="360" w:lineRule="auto"/>
        <w:ind w:firstLine="420"/>
        <w:rPr>
          <w:rFonts w:hint="eastAsia" w:ascii="宋体" w:hAnsi="宋体"/>
          <w:kern w:val="0"/>
          <w:szCs w:val="21"/>
        </w:rPr>
      </w:pPr>
      <w:r>
        <w:rPr>
          <w:rFonts w:hint="eastAsia" w:ascii="宋体" w:hAnsi="宋体"/>
          <w:kern w:val="0"/>
          <w:szCs w:val="21"/>
        </w:rPr>
        <w:t>公司投资决策委员会专职委员兼年金投资部总经理于善辉先生。</w:t>
      </w:r>
    </w:p>
    <w:p w14:paraId="3230AD87">
      <w:pPr>
        <w:spacing w:line="360" w:lineRule="auto"/>
        <w:ind w:firstLine="420"/>
        <w:rPr>
          <w:rFonts w:hint="eastAsia" w:ascii="宋体" w:hAnsi="宋体"/>
          <w:kern w:val="0"/>
          <w:szCs w:val="21"/>
        </w:rPr>
      </w:pPr>
      <w:r>
        <w:rPr>
          <w:rFonts w:hint="eastAsia" w:ascii="宋体" w:hAnsi="宋体"/>
          <w:kern w:val="0"/>
          <w:szCs w:val="21"/>
        </w:rPr>
        <w:t xml:space="preserve">首席基金经理过钧先生。 </w:t>
      </w:r>
    </w:p>
    <w:p w14:paraId="70B9D544">
      <w:pPr>
        <w:spacing w:line="360" w:lineRule="auto"/>
        <w:ind w:firstLine="420"/>
        <w:rPr>
          <w:rFonts w:hint="eastAsia" w:ascii="宋体" w:hAnsi="宋体"/>
          <w:kern w:val="0"/>
          <w:szCs w:val="21"/>
        </w:rPr>
      </w:pPr>
      <w:r>
        <w:rPr>
          <w:rFonts w:hint="eastAsia" w:ascii="宋体" w:hAnsi="宋体"/>
          <w:kern w:val="0"/>
          <w:szCs w:val="21"/>
        </w:rPr>
        <w:t xml:space="preserve">首席投资官兼权益投研一体化总监、境外投资部总经理曾鹏先生。 </w:t>
      </w:r>
    </w:p>
    <w:p w14:paraId="52D2B861">
      <w:pPr>
        <w:spacing w:line="360" w:lineRule="auto"/>
        <w:ind w:firstLine="420"/>
        <w:rPr>
          <w:rFonts w:hint="eastAsia" w:ascii="宋体" w:hAnsi="宋体"/>
          <w:kern w:val="0"/>
          <w:szCs w:val="21"/>
        </w:rPr>
      </w:pPr>
      <w:r>
        <w:rPr>
          <w:rFonts w:hint="eastAsia" w:ascii="宋体" w:hAnsi="宋体"/>
          <w:kern w:val="0"/>
          <w:szCs w:val="21"/>
        </w:rPr>
        <w:t xml:space="preserve">董事总经理兼权益投资三部总经理、权益投资三部投资总监蔡滨先生。 </w:t>
      </w:r>
    </w:p>
    <w:p w14:paraId="3A02D3BF">
      <w:pPr>
        <w:spacing w:line="360" w:lineRule="auto"/>
        <w:ind w:firstLine="420"/>
        <w:rPr>
          <w:rFonts w:hint="eastAsia" w:ascii="宋体" w:hAnsi="宋体"/>
          <w:kern w:val="0"/>
          <w:szCs w:val="21"/>
        </w:rPr>
      </w:pPr>
      <w:r>
        <w:rPr>
          <w:rFonts w:hint="eastAsia" w:ascii="宋体" w:hAnsi="宋体"/>
          <w:kern w:val="0"/>
          <w:szCs w:val="21"/>
        </w:rPr>
        <w:t xml:space="preserve">行业研究部总经理魏立先生。 </w:t>
      </w:r>
    </w:p>
    <w:p w14:paraId="00139CA1">
      <w:pPr>
        <w:spacing w:line="360" w:lineRule="auto"/>
        <w:ind w:firstLine="420"/>
        <w:rPr>
          <w:rFonts w:hint="eastAsia" w:ascii="宋体" w:hAnsi="宋体"/>
          <w:kern w:val="0"/>
          <w:szCs w:val="21"/>
        </w:rPr>
      </w:pPr>
      <w:r>
        <w:rPr>
          <w:rFonts w:hint="eastAsia" w:ascii="宋体" w:hAnsi="宋体"/>
          <w:kern w:val="0"/>
          <w:szCs w:val="21"/>
        </w:rPr>
        <w:t xml:space="preserve">宏观策略部首席策略分析师陈显顺先生。 </w:t>
      </w:r>
    </w:p>
    <w:p w14:paraId="4E20D9CE">
      <w:pPr>
        <w:pStyle w:val="37"/>
        <w:spacing w:before="0" w:beforeAutospacing="0" w:after="0" w:afterAutospacing="0" w:line="360" w:lineRule="auto"/>
        <w:ind w:firstLine="420"/>
        <w:jc w:val="both"/>
        <w:rPr>
          <w:rFonts w:hint="eastAsia"/>
          <w:sz w:val="21"/>
          <w:szCs w:val="21"/>
        </w:rPr>
      </w:pPr>
      <w:r>
        <w:rPr>
          <w:rFonts w:hint="eastAsia" w:ascii="宋体" w:hAnsi="宋体"/>
          <w:kern w:val="0"/>
          <w:szCs w:val="21"/>
        </w:rPr>
        <w:t>指数与量化投资部总经理兼指数与量化投资部投资总监赵云阳先生。</w:t>
      </w:r>
      <w:bookmarkEnd w:id="14"/>
      <w:bookmarkStart w:id="243" w:name="_GoBack"/>
      <w:bookmarkEnd w:id="243"/>
    </w:p>
    <w:p w14:paraId="404C7317">
      <w:pPr>
        <w:pStyle w:val="37"/>
        <w:spacing w:before="0" w:beforeAutospacing="0" w:after="0" w:afterAutospacing="0" w:line="360" w:lineRule="auto"/>
        <w:ind w:firstLine="420"/>
        <w:rPr>
          <w:rFonts w:hint="eastAsia"/>
          <w:sz w:val="21"/>
          <w:szCs w:val="21"/>
        </w:rPr>
      </w:pPr>
      <w:r>
        <w:rPr>
          <w:rFonts w:hint="eastAsia"/>
          <w:sz w:val="21"/>
          <w:szCs w:val="21"/>
        </w:rPr>
        <w:t xml:space="preserve">5、上述人员之间均不存在近亲属关系。    </w:t>
      </w:r>
    </w:p>
    <w:p w14:paraId="073C328E">
      <w:pPr>
        <w:snapToGrid w:val="0"/>
        <w:spacing w:line="360" w:lineRule="auto"/>
        <w:ind w:firstLine="422" w:firstLineChars="200"/>
        <w:rPr>
          <w:rFonts w:hint="eastAsia" w:ascii="宋体" w:hAnsi="宋体" w:cs="Arial"/>
          <w:b/>
          <w:bCs/>
          <w:szCs w:val="21"/>
        </w:rPr>
      </w:pPr>
      <w:r>
        <w:rPr>
          <w:rFonts w:hint="eastAsia" w:ascii="宋体" w:hAnsi="宋体" w:cs="Arial"/>
          <w:b/>
          <w:bCs/>
          <w:szCs w:val="21"/>
        </w:rPr>
        <w:t>三</w:t>
      </w:r>
      <w:r>
        <w:rPr>
          <w:rFonts w:ascii="宋体" w:hAnsi="宋体" w:cs="Arial"/>
          <w:b/>
          <w:bCs/>
          <w:szCs w:val="21"/>
        </w:rPr>
        <w:t>、基金管理人的职责</w:t>
      </w:r>
    </w:p>
    <w:p w14:paraId="4CDCC662">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1、依法募集资金，办理或者委托经中国证监会认定的其他机构代为办理基金份额的发售、申购、赎回和登记事宜；</w:t>
      </w:r>
    </w:p>
    <w:p w14:paraId="1422F4E4">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2、办理基金备案手续；</w:t>
      </w:r>
    </w:p>
    <w:p w14:paraId="28E19D81">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3、自《基金合同》生效之日起，以诚实信用、谨慎勤勉的原则管理和运用基金财产；</w:t>
      </w:r>
    </w:p>
    <w:p w14:paraId="2D72AA34">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4、配备足够的具有专业资格的人员进行基金投资分析、决策，以专业化的经营方式管理和运作基金财产；</w:t>
      </w:r>
    </w:p>
    <w:p w14:paraId="0FDD2895">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5、建立健全内部风险控制、监察与稽核、财务管理及人事管理等制度，保证所管理的基金财产和基金管理人的财产相互独立，对所管理的不同基金分别管理，分别记账，进行证券投资；</w:t>
      </w:r>
    </w:p>
    <w:p w14:paraId="264198D7">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6、除依据《基金法》、《基金合同》及其他有关规定外，不得利用基金财产为自己及任何第三人谋取利益，不得委托第三人运作基金财产；</w:t>
      </w:r>
    </w:p>
    <w:p w14:paraId="7A2BEF09">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7、依法接受基金托管人的监督；</w:t>
      </w:r>
    </w:p>
    <w:p w14:paraId="3BB8A1CB">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8、采取适当合理的措施使计算基金份额认购价格、申购对价、赎回对价的方法符合《基金合同》等法律文件的规定，按有关规定计算并公告基金净值信息，确定基金份额申购、赎回对价，编制申购赎回清单；</w:t>
      </w:r>
    </w:p>
    <w:p w14:paraId="69778F0E">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9、进行基金会计核算并编制基金财务会计报告；</w:t>
      </w:r>
    </w:p>
    <w:p w14:paraId="7691817A">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10、编制季度报告、中期报告和年度报告；</w:t>
      </w:r>
    </w:p>
    <w:p w14:paraId="0BB18D01">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11、严格按照《基金法》、《基金合同》及其他有关规定，履行信息披露及报告义务；</w:t>
      </w:r>
    </w:p>
    <w:p w14:paraId="6BA0DB3E">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12、保守基金商业秘密，不泄露基金投资计划、投资意向等。除《基金法》、《基金合同》及其他有关规定另有规定外，在基金信息公开披露前应予保密，不向他人泄露，向审计、法律等外部专业顾问提供的情况除外；</w:t>
      </w:r>
    </w:p>
    <w:p w14:paraId="6A12E0B5">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13、按《基金合同》的约定确定基金收益分配方案，及时向基金份额持有人分配基金收益；</w:t>
      </w:r>
    </w:p>
    <w:p w14:paraId="35E38CB3">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14、按规定受理申购与赎回申请，及时、足额支付赎回对价；</w:t>
      </w:r>
    </w:p>
    <w:p w14:paraId="556BC4E7">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15、依据《基金法》、《基金合同》及其他有关规定召集基金份额持有人大会或配合基金托管人、基金份额持有人依法召集基金份额持有人大会；</w:t>
      </w:r>
    </w:p>
    <w:p w14:paraId="6AC54E40">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16、按规定保存基金财产管理业务活动的会计账册、报表、记录和其他相关资料，保存期限不低于法定最低期限；</w:t>
      </w:r>
    </w:p>
    <w:p w14:paraId="0FA9D933">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17、确保需要向基金投资人提供的各项文件或资料在规定时间发出，并且保证投资人能够按照《基金合同》规定的时间和方式，随时查阅到与基金有关的公开资料，并在支付合理成本的条件下得到有关资料的复印件；</w:t>
      </w:r>
    </w:p>
    <w:p w14:paraId="20CE0468">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18、组织并参加基金财产清算小组，参与基金财产的保管、清理、估价、变现和分配；</w:t>
      </w:r>
    </w:p>
    <w:p w14:paraId="27BFF7D7">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19、面临解散、依法被撤销或者被依法宣告破产时，及时报告中国证监会，并通知基金托管人；</w:t>
      </w:r>
    </w:p>
    <w:p w14:paraId="5057BB86">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20、因违反《基金合同》导致基金财产的损失或损害基金份额持有人合法权益时，应当承担赔偿责任，其赔偿责任不因其退任而免除；</w:t>
      </w:r>
    </w:p>
    <w:p w14:paraId="41E3475E">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21、监督基金托管人按法律法规和《基金合同》规定履行自己的义务，基金托管人违反《基金合同》造成基金财产损失时，基金管理人应为基金份额持有人利益向基金托管人追偿；</w:t>
      </w:r>
    </w:p>
    <w:p w14:paraId="1EFD7C7B">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22、当基金管理人将其义务委托第三方处理时，应当对第三方处理有关基金事务的行为承担责任；</w:t>
      </w:r>
    </w:p>
    <w:p w14:paraId="4E094EA5">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23、以基金管理人名义，代表基金份额持有人利益行使诉讼权利或实施其他法律行为；</w:t>
      </w:r>
    </w:p>
    <w:p w14:paraId="679170E0">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24、基金在募集期间未能达到基金的备案条件，基金合同不能生效，基金管理人承担全部募集费用，将已募集资金并加计银行同期活期存款利息在基金募集期结束后30日内退还基金认购人，对于基金募集期间网下股票认购所冻结的股票，发售代理机构应予以解冻；</w:t>
      </w:r>
    </w:p>
    <w:p w14:paraId="03223B97">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25、执行生效的基金份额持有人大会的决议；</w:t>
      </w:r>
    </w:p>
    <w:p w14:paraId="2DC3B22F">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26、建立并保存基金份额持有人名册；</w:t>
      </w:r>
    </w:p>
    <w:p w14:paraId="3EB0150D">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27、法律法规及中国证监会规定的和《基金合同》约定的其他义务。</w:t>
      </w:r>
    </w:p>
    <w:p w14:paraId="2DAFF13D">
      <w:pPr>
        <w:tabs>
          <w:tab w:val="left" w:pos="3780"/>
        </w:tabs>
        <w:autoSpaceDE w:val="0"/>
        <w:autoSpaceDN w:val="0"/>
        <w:adjustRightInd w:val="0"/>
        <w:snapToGrid w:val="0"/>
        <w:spacing w:line="360" w:lineRule="auto"/>
        <w:ind w:firstLine="422" w:firstLineChars="200"/>
        <w:textAlignment w:val="bottom"/>
        <w:rPr>
          <w:rFonts w:hint="eastAsia" w:ascii="宋体" w:hAnsi="宋体" w:cs="Arial"/>
          <w:b/>
          <w:bCs/>
        </w:rPr>
      </w:pPr>
      <w:r>
        <w:rPr>
          <w:rFonts w:hint="eastAsia" w:ascii="宋体" w:hAnsi="宋体" w:cs="Arial"/>
          <w:b/>
          <w:bCs/>
        </w:rPr>
        <w:t>四</w:t>
      </w:r>
      <w:r>
        <w:rPr>
          <w:rFonts w:ascii="宋体" w:hAnsi="宋体" w:cs="Arial"/>
          <w:b/>
          <w:bCs/>
        </w:rPr>
        <w:t>、基金管理人的承诺</w:t>
      </w:r>
    </w:p>
    <w:p w14:paraId="5DC422D8">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rPr>
      </w:pPr>
      <w:r>
        <w:rPr>
          <w:rFonts w:hint="eastAsia" w:ascii="宋体" w:hAnsi="宋体" w:cs="Arial"/>
          <w:kern w:val="0"/>
        </w:rPr>
        <w:t>1、基金管理人承诺不从事违反</w:t>
      </w:r>
      <w:r>
        <w:rPr>
          <w:rFonts w:hint="eastAsia" w:ascii="宋体" w:hAnsi="宋体" w:cs="Arial"/>
        </w:rPr>
        <w:t>《中华人民共和国证券法》</w:t>
      </w:r>
      <w:r>
        <w:rPr>
          <w:rFonts w:hint="eastAsia" w:ascii="宋体" w:hAnsi="宋体" w:cs="Arial"/>
          <w:kern w:val="0"/>
        </w:rPr>
        <w:t>的行为，并承诺建立健全内部控制制度，采取有效措施，防止违反</w:t>
      </w:r>
      <w:r>
        <w:rPr>
          <w:rFonts w:hint="eastAsia" w:ascii="宋体" w:hAnsi="宋体" w:cs="Arial"/>
        </w:rPr>
        <w:t>《中华人民共和国证券法》</w:t>
      </w:r>
      <w:r>
        <w:rPr>
          <w:rFonts w:hint="eastAsia" w:ascii="宋体" w:hAnsi="宋体" w:cs="Arial"/>
          <w:kern w:val="0"/>
        </w:rPr>
        <w:t xml:space="preserve">行为的发生； </w:t>
      </w:r>
    </w:p>
    <w:p w14:paraId="1B8808AD">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rPr>
      </w:pPr>
      <w:r>
        <w:rPr>
          <w:rFonts w:hint="eastAsia" w:ascii="宋体" w:hAnsi="宋体" w:cs="Arial"/>
          <w:kern w:val="0"/>
        </w:rPr>
        <w:t>2、基金管理人承诺不从事违反《基金法》的行为，并承诺建立健全内部风险控制制度，采取有效措施，防止下列行为的发生：</w:t>
      </w:r>
    </w:p>
    <w:p w14:paraId="533F73BC">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rPr>
      </w:pPr>
      <w:r>
        <w:rPr>
          <w:rFonts w:hint="eastAsia" w:ascii="宋体" w:hAnsi="宋体" w:cs="Arial"/>
          <w:kern w:val="0"/>
        </w:rPr>
        <w:t>（1）将基金管理人固有财产或者他人财产混同于基金财产从事证券投资；</w:t>
      </w:r>
    </w:p>
    <w:p w14:paraId="34B83EA5">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rPr>
      </w:pPr>
      <w:r>
        <w:rPr>
          <w:rFonts w:hint="eastAsia" w:ascii="宋体" w:hAnsi="宋体" w:cs="Arial"/>
          <w:kern w:val="0"/>
        </w:rPr>
        <w:t>（2）不公平地对待管理的不同基金财产；</w:t>
      </w:r>
    </w:p>
    <w:p w14:paraId="24272561">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rPr>
      </w:pPr>
      <w:r>
        <w:rPr>
          <w:rFonts w:hint="eastAsia" w:ascii="宋体" w:hAnsi="宋体" w:cs="Arial"/>
          <w:kern w:val="0"/>
        </w:rPr>
        <w:t>（3）利用基金财产或者职务之便为基金份额持有人以外的第三人牟取利益；</w:t>
      </w:r>
    </w:p>
    <w:p w14:paraId="2971B446">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rPr>
      </w:pPr>
      <w:r>
        <w:rPr>
          <w:rFonts w:hint="eastAsia" w:ascii="宋体" w:hAnsi="宋体" w:cs="Arial"/>
          <w:kern w:val="0"/>
        </w:rPr>
        <w:t>（4）向基金份额持有人违规承诺收益或者承担损失；</w:t>
      </w:r>
    </w:p>
    <w:p w14:paraId="5E22960F">
      <w:pPr>
        <w:tabs>
          <w:tab w:val="left" w:pos="3780"/>
        </w:tabs>
        <w:autoSpaceDE w:val="0"/>
        <w:autoSpaceDN w:val="0"/>
        <w:adjustRightInd w:val="0"/>
        <w:snapToGrid w:val="0"/>
        <w:spacing w:line="360" w:lineRule="auto"/>
        <w:ind w:firstLine="420" w:firstLineChars="200"/>
        <w:textAlignment w:val="bottom"/>
        <w:rPr>
          <w:rFonts w:hint="eastAsia" w:ascii="宋体" w:hAnsi="宋体" w:cs="Arial"/>
        </w:rPr>
      </w:pPr>
      <w:r>
        <w:rPr>
          <w:rFonts w:hint="eastAsia" w:ascii="宋体" w:hAnsi="宋体" w:cs="Arial"/>
        </w:rPr>
        <w:t>（5）侵占、挪用基金财产；</w:t>
      </w:r>
    </w:p>
    <w:p w14:paraId="606C373A">
      <w:pPr>
        <w:tabs>
          <w:tab w:val="left" w:pos="3780"/>
        </w:tabs>
        <w:autoSpaceDE w:val="0"/>
        <w:autoSpaceDN w:val="0"/>
        <w:adjustRightInd w:val="0"/>
        <w:snapToGrid w:val="0"/>
        <w:spacing w:line="360" w:lineRule="auto"/>
        <w:ind w:firstLine="420" w:firstLineChars="200"/>
        <w:textAlignment w:val="bottom"/>
        <w:rPr>
          <w:rFonts w:hint="eastAsia" w:ascii="宋体" w:hAnsi="宋体" w:cs="Arial"/>
        </w:rPr>
      </w:pPr>
      <w:r>
        <w:rPr>
          <w:rFonts w:hint="eastAsia" w:ascii="宋体" w:hAnsi="宋体" w:cs="Arial"/>
        </w:rPr>
        <w:t>（6）泄露因职务便利获取的未公开信息、利用该信息从事或者明示、暗示他人从事相关的交易活动；</w:t>
      </w:r>
    </w:p>
    <w:p w14:paraId="62BF102F">
      <w:pPr>
        <w:tabs>
          <w:tab w:val="left" w:pos="3780"/>
        </w:tabs>
        <w:autoSpaceDE w:val="0"/>
        <w:autoSpaceDN w:val="0"/>
        <w:adjustRightInd w:val="0"/>
        <w:snapToGrid w:val="0"/>
        <w:spacing w:line="360" w:lineRule="auto"/>
        <w:ind w:firstLine="420" w:firstLineChars="200"/>
        <w:textAlignment w:val="bottom"/>
        <w:rPr>
          <w:rFonts w:hint="eastAsia" w:ascii="宋体" w:hAnsi="宋体" w:cs="Arial"/>
        </w:rPr>
      </w:pPr>
      <w:r>
        <w:rPr>
          <w:rFonts w:hint="eastAsia" w:ascii="宋体" w:hAnsi="宋体" w:cs="Arial"/>
        </w:rPr>
        <w:t>（7）玩忽职守，不按照规定履行职责；</w:t>
      </w:r>
    </w:p>
    <w:p w14:paraId="4C2464C2">
      <w:pPr>
        <w:tabs>
          <w:tab w:val="left" w:pos="3780"/>
        </w:tabs>
        <w:autoSpaceDE w:val="0"/>
        <w:autoSpaceDN w:val="0"/>
        <w:adjustRightInd w:val="0"/>
        <w:snapToGrid w:val="0"/>
        <w:spacing w:line="360" w:lineRule="auto"/>
        <w:ind w:firstLine="420" w:firstLineChars="200"/>
        <w:textAlignment w:val="bottom"/>
        <w:rPr>
          <w:rFonts w:hint="eastAsia" w:ascii="宋体" w:hAnsi="宋体" w:cs="Arial"/>
        </w:rPr>
      </w:pPr>
      <w:r>
        <w:rPr>
          <w:rFonts w:hint="eastAsia" w:ascii="宋体" w:hAnsi="宋体" w:cs="Arial"/>
        </w:rPr>
        <w:t xml:space="preserve">（8）法律、行政法规和中国证监会规定禁止的其他行为。 </w:t>
      </w:r>
    </w:p>
    <w:p w14:paraId="7D0BA9EC">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rPr>
      </w:pPr>
      <w:r>
        <w:rPr>
          <w:rFonts w:hint="eastAsia" w:ascii="宋体" w:hAnsi="宋体" w:cs="Arial"/>
          <w:kern w:val="0"/>
        </w:rPr>
        <w:t xml:space="preserve">3、基金管理人承诺严格遵守基金合同，并承诺建立健全内部控制制度，采取有效措施，防止违反基金合同行为的发生； </w:t>
      </w:r>
    </w:p>
    <w:p w14:paraId="0B63715B">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rPr>
      </w:pPr>
      <w:r>
        <w:rPr>
          <w:rFonts w:hint="eastAsia" w:ascii="宋体" w:hAnsi="宋体" w:cs="Arial"/>
          <w:kern w:val="0"/>
        </w:rPr>
        <w:t>4、基金管理人承诺加强人员管理，强化职业操守，督促和约束员工遵守国家有关法律法规及行业规范，诚实信用、勤勉尽责；</w:t>
      </w:r>
    </w:p>
    <w:p w14:paraId="5D6699B7">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szCs w:val="21"/>
        </w:rPr>
      </w:pPr>
      <w:r>
        <w:rPr>
          <w:rFonts w:hint="eastAsia" w:ascii="宋体" w:hAnsi="宋体" w:cs="Arial"/>
          <w:kern w:val="0"/>
        </w:rPr>
        <w:t>5、基金管理人承诺不从事其他法规规定禁止从事的行为。</w:t>
      </w:r>
      <w:r>
        <w:rPr>
          <w:rFonts w:hint="eastAsia" w:ascii="宋体" w:hAnsi="宋体" w:cs="Arial"/>
          <w:kern w:val="0"/>
          <w:szCs w:val="21"/>
        </w:rPr>
        <w:t xml:space="preserve"> </w:t>
      </w:r>
    </w:p>
    <w:p w14:paraId="6E3EB31D">
      <w:pPr>
        <w:tabs>
          <w:tab w:val="left" w:pos="3780"/>
        </w:tabs>
        <w:autoSpaceDE w:val="0"/>
        <w:autoSpaceDN w:val="0"/>
        <w:adjustRightInd w:val="0"/>
        <w:snapToGrid w:val="0"/>
        <w:spacing w:line="360" w:lineRule="auto"/>
        <w:ind w:firstLine="422" w:firstLineChars="200"/>
        <w:textAlignment w:val="bottom"/>
        <w:rPr>
          <w:rFonts w:hint="eastAsia" w:ascii="宋体" w:hAnsi="宋体" w:cs="Arial"/>
          <w:b/>
          <w:bCs/>
        </w:rPr>
      </w:pPr>
      <w:r>
        <w:rPr>
          <w:rFonts w:hint="eastAsia" w:ascii="宋体" w:hAnsi="宋体" w:cs="Arial"/>
          <w:b/>
          <w:bCs/>
        </w:rPr>
        <w:t>五</w:t>
      </w:r>
      <w:r>
        <w:rPr>
          <w:rFonts w:ascii="宋体" w:hAnsi="宋体" w:cs="Arial"/>
          <w:b/>
          <w:bCs/>
        </w:rPr>
        <w:t>、基金经理承诺</w:t>
      </w:r>
    </w:p>
    <w:p w14:paraId="5B1F6BA0">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rPr>
      </w:pPr>
      <w:r>
        <w:rPr>
          <w:rFonts w:hint="eastAsia" w:ascii="宋体" w:hAnsi="宋体" w:cs="Arial"/>
          <w:kern w:val="0"/>
        </w:rPr>
        <w:t>1、依照有关法律法规和基金合同的规定，本着谨慎的原则为基金份额持有人谋取最大利益；</w:t>
      </w:r>
    </w:p>
    <w:p w14:paraId="26D89B6F">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rPr>
      </w:pPr>
      <w:r>
        <w:rPr>
          <w:rFonts w:hint="eastAsia" w:ascii="宋体" w:hAnsi="宋体" w:cs="Arial"/>
          <w:kern w:val="0"/>
        </w:rPr>
        <w:t xml:space="preserve">2、不利用职务之便为自己、受雇人或任何第三者谋取利益； </w:t>
      </w:r>
    </w:p>
    <w:p w14:paraId="23FB2314">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rPr>
      </w:pPr>
      <w:r>
        <w:rPr>
          <w:rFonts w:hint="eastAsia" w:ascii="宋体" w:hAnsi="宋体" w:cs="Arial"/>
          <w:kern w:val="0"/>
        </w:rPr>
        <w:t>3、不泄露在任职期间知悉的有关证券、基金的商业秘密，尚未依法公开的基金投资内容、基金投资计划等信息，</w:t>
      </w:r>
      <w:r>
        <w:rPr>
          <w:rFonts w:hint="eastAsia" w:ascii="宋体" w:hAnsi="宋体" w:cs="Arial"/>
        </w:rPr>
        <w:t>或利用该信息从事或者明示、暗示他人从事相关的交易活动</w:t>
      </w:r>
      <w:r>
        <w:rPr>
          <w:rFonts w:hint="eastAsia" w:ascii="宋体" w:hAnsi="宋体" w:cs="Arial"/>
          <w:kern w:val="0"/>
        </w:rPr>
        <w:t>；</w:t>
      </w:r>
    </w:p>
    <w:p w14:paraId="3DA64F96">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szCs w:val="21"/>
        </w:rPr>
      </w:pPr>
      <w:r>
        <w:rPr>
          <w:rFonts w:hint="eastAsia" w:ascii="宋体" w:hAnsi="宋体" w:cs="Arial"/>
          <w:kern w:val="0"/>
        </w:rPr>
        <w:t>4、不以任何形式为其他组织或个人进行证券交易。</w:t>
      </w:r>
    </w:p>
    <w:p w14:paraId="5FE98F61">
      <w:pPr>
        <w:tabs>
          <w:tab w:val="left" w:pos="3780"/>
        </w:tabs>
        <w:autoSpaceDE w:val="0"/>
        <w:autoSpaceDN w:val="0"/>
        <w:adjustRightInd w:val="0"/>
        <w:snapToGrid w:val="0"/>
        <w:spacing w:line="360" w:lineRule="auto"/>
        <w:ind w:firstLine="422" w:firstLineChars="200"/>
        <w:textAlignment w:val="bottom"/>
        <w:rPr>
          <w:rFonts w:hint="eastAsia" w:ascii="宋体" w:hAnsi="宋体" w:cs="Arial"/>
          <w:b/>
          <w:bCs/>
        </w:rPr>
      </w:pPr>
      <w:r>
        <w:rPr>
          <w:rFonts w:hint="eastAsia" w:ascii="宋体" w:hAnsi="宋体" w:cs="Arial"/>
          <w:b/>
          <w:bCs/>
        </w:rPr>
        <w:t>六</w:t>
      </w:r>
      <w:r>
        <w:rPr>
          <w:rFonts w:ascii="宋体" w:hAnsi="宋体" w:cs="Arial"/>
          <w:b/>
          <w:bCs/>
        </w:rPr>
        <w:t>、基金管理人的内部控制制度</w:t>
      </w:r>
    </w:p>
    <w:p w14:paraId="66927B08">
      <w:pPr>
        <w:widowControl/>
        <w:adjustRightInd w:val="0"/>
        <w:snapToGrid w:val="0"/>
        <w:spacing w:line="360" w:lineRule="auto"/>
        <w:ind w:firstLine="420" w:firstLineChars="200"/>
        <w:rPr>
          <w:rFonts w:hint="eastAsia" w:ascii="宋体" w:hAnsi="宋体" w:cs="Arial"/>
        </w:rPr>
      </w:pPr>
      <w:r>
        <w:rPr>
          <w:rFonts w:hint="eastAsia" w:ascii="宋体" w:hAnsi="宋体" w:cs="Arial"/>
        </w:rPr>
        <w:t>1、风险管理的原则</w:t>
      </w:r>
    </w:p>
    <w:p w14:paraId="6E266611">
      <w:pPr>
        <w:widowControl/>
        <w:adjustRightInd w:val="0"/>
        <w:snapToGrid w:val="0"/>
        <w:spacing w:line="360" w:lineRule="auto"/>
        <w:ind w:firstLine="420" w:firstLineChars="200"/>
        <w:rPr>
          <w:rFonts w:hint="eastAsia" w:ascii="宋体" w:hAnsi="宋体" w:cs="Arial"/>
        </w:rPr>
      </w:pPr>
      <w:r>
        <w:rPr>
          <w:rFonts w:hint="eastAsia" w:ascii="宋体" w:hAnsi="宋体" w:cs="Arial"/>
        </w:rPr>
        <w:t>（1）全面性原则</w:t>
      </w:r>
    </w:p>
    <w:p w14:paraId="7E405238">
      <w:pPr>
        <w:widowControl/>
        <w:adjustRightInd w:val="0"/>
        <w:snapToGrid w:val="0"/>
        <w:spacing w:line="360" w:lineRule="auto"/>
        <w:ind w:firstLine="420" w:firstLineChars="200"/>
        <w:rPr>
          <w:rFonts w:hint="eastAsia" w:ascii="宋体" w:hAnsi="宋体" w:cs="Arial"/>
        </w:rPr>
      </w:pPr>
      <w:r>
        <w:rPr>
          <w:rFonts w:hint="eastAsia" w:ascii="宋体" w:hAnsi="宋体" w:cs="Arial"/>
        </w:rPr>
        <w:t>公司风险管理必须覆盖公司的所有部门和岗位，渗透各项业务过程和业务环节。</w:t>
      </w:r>
    </w:p>
    <w:p w14:paraId="2DECDE49">
      <w:pPr>
        <w:widowControl/>
        <w:adjustRightInd w:val="0"/>
        <w:snapToGrid w:val="0"/>
        <w:spacing w:line="360" w:lineRule="auto"/>
        <w:ind w:firstLine="420" w:firstLineChars="200"/>
        <w:rPr>
          <w:rFonts w:hint="eastAsia" w:ascii="宋体" w:hAnsi="宋体" w:cs="Arial"/>
        </w:rPr>
      </w:pPr>
      <w:r>
        <w:rPr>
          <w:rFonts w:hint="eastAsia" w:ascii="宋体" w:hAnsi="宋体" w:cs="Arial"/>
        </w:rPr>
        <w:t>（2）独立性原则</w:t>
      </w:r>
    </w:p>
    <w:p w14:paraId="5BA184DB">
      <w:pPr>
        <w:widowControl/>
        <w:adjustRightInd w:val="0"/>
        <w:snapToGrid w:val="0"/>
        <w:spacing w:line="360" w:lineRule="auto"/>
        <w:ind w:firstLine="420" w:firstLineChars="200"/>
        <w:rPr>
          <w:rFonts w:hint="eastAsia" w:ascii="宋体" w:hAnsi="宋体" w:cs="Arial"/>
        </w:rPr>
      </w:pPr>
      <w:r>
        <w:rPr>
          <w:rFonts w:hint="eastAsia" w:ascii="宋体" w:hAnsi="宋体" w:cs="Arial"/>
        </w:rPr>
        <w:t>公司设立独立的法律合规部，法律合规部保持高度的独立性和权威性，负责对公司各部门风险控制工作进行检查。</w:t>
      </w:r>
    </w:p>
    <w:p w14:paraId="6B821B98">
      <w:pPr>
        <w:widowControl/>
        <w:adjustRightInd w:val="0"/>
        <w:snapToGrid w:val="0"/>
        <w:spacing w:line="360" w:lineRule="auto"/>
        <w:ind w:firstLine="420" w:firstLineChars="200"/>
        <w:rPr>
          <w:rFonts w:hint="eastAsia" w:ascii="宋体" w:hAnsi="宋体" w:cs="Arial"/>
        </w:rPr>
      </w:pPr>
      <w:r>
        <w:rPr>
          <w:rFonts w:hint="eastAsia" w:ascii="宋体" w:hAnsi="宋体" w:cs="Arial"/>
        </w:rPr>
        <w:t>（3）相互制约原则</w:t>
      </w:r>
    </w:p>
    <w:p w14:paraId="551D0BBF">
      <w:pPr>
        <w:widowControl/>
        <w:adjustRightInd w:val="0"/>
        <w:snapToGrid w:val="0"/>
        <w:spacing w:line="360" w:lineRule="auto"/>
        <w:ind w:firstLine="420" w:firstLineChars="200"/>
        <w:rPr>
          <w:rFonts w:hint="eastAsia" w:ascii="宋体" w:hAnsi="宋体" w:cs="Arial"/>
        </w:rPr>
      </w:pPr>
      <w:r>
        <w:rPr>
          <w:rFonts w:hint="eastAsia" w:ascii="宋体" w:hAnsi="宋体" w:cs="Arial"/>
        </w:rPr>
        <w:t>公司及各部门在内部组织结构的设计上要形成一种相互制约的机制，建立不同岗位之间的制衡体系。</w:t>
      </w:r>
    </w:p>
    <w:p w14:paraId="2A2C0F95">
      <w:pPr>
        <w:widowControl/>
        <w:adjustRightInd w:val="0"/>
        <w:snapToGrid w:val="0"/>
        <w:spacing w:line="360" w:lineRule="auto"/>
        <w:ind w:firstLine="420" w:firstLineChars="200"/>
        <w:rPr>
          <w:rFonts w:hint="eastAsia" w:ascii="宋体" w:hAnsi="宋体" w:cs="Arial"/>
        </w:rPr>
      </w:pPr>
      <w:r>
        <w:rPr>
          <w:rFonts w:hint="eastAsia" w:ascii="宋体" w:hAnsi="宋体" w:cs="Arial"/>
        </w:rPr>
        <w:t>（4）定性和定量相结合原则</w:t>
      </w:r>
    </w:p>
    <w:p w14:paraId="35D09C3A">
      <w:pPr>
        <w:widowControl/>
        <w:adjustRightInd w:val="0"/>
        <w:snapToGrid w:val="0"/>
        <w:spacing w:line="360" w:lineRule="auto"/>
        <w:ind w:firstLine="420" w:firstLineChars="200"/>
        <w:rPr>
          <w:rFonts w:hint="eastAsia" w:ascii="宋体" w:hAnsi="宋体" w:cs="Arial"/>
        </w:rPr>
      </w:pPr>
      <w:r>
        <w:rPr>
          <w:rFonts w:hint="eastAsia" w:ascii="宋体" w:hAnsi="宋体" w:cs="Arial"/>
        </w:rPr>
        <w:t>建立完备的风险管理指标体系，使风险管理更具客观性和操作性。</w:t>
      </w:r>
    </w:p>
    <w:p w14:paraId="60107819">
      <w:pPr>
        <w:widowControl/>
        <w:adjustRightInd w:val="0"/>
        <w:snapToGrid w:val="0"/>
        <w:spacing w:line="360" w:lineRule="auto"/>
        <w:ind w:firstLine="420" w:firstLineChars="200"/>
        <w:rPr>
          <w:rFonts w:hint="eastAsia" w:ascii="宋体" w:hAnsi="宋体" w:cs="Arial"/>
        </w:rPr>
      </w:pPr>
      <w:r>
        <w:rPr>
          <w:rFonts w:hint="eastAsia" w:ascii="宋体" w:hAnsi="宋体" w:cs="Arial"/>
        </w:rPr>
        <w:t>2、风险管理和内部风险控制体系结构</w:t>
      </w:r>
    </w:p>
    <w:p w14:paraId="343FB6C5">
      <w:pPr>
        <w:widowControl/>
        <w:adjustRightInd w:val="0"/>
        <w:snapToGrid w:val="0"/>
        <w:spacing w:line="360" w:lineRule="auto"/>
        <w:ind w:firstLine="420" w:firstLineChars="200"/>
        <w:rPr>
          <w:rFonts w:hint="eastAsia" w:ascii="宋体" w:hAnsi="宋体" w:cs="Arial"/>
        </w:rPr>
      </w:pPr>
      <w:r>
        <w:rPr>
          <w:rFonts w:hint="eastAsia" w:ascii="宋体" w:hAnsi="宋体" w:cs="Arial"/>
        </w:rPr>
        <w:t>公司的风险管理体系结构是一个分工明确、相互牵制的组织结构，由最高管理层对风险管理负最终责任，各个业务部门负责本部门的风险评估和监控，法律合规部负责检查公司的风险管理措施的执行。具体而言，包括如下组成部分：</w:t>
      </w:r>
    </w:p>
    <w:p w14:paraId="6E6FD275">
      <w:pPr>
        <w:widowControl/>
        <w:adjustRightInd w:val="0"/>
        <w:snapToGrid w:val="0"/>
        <w:spacing w:line="360" w:lineRule="auto"/>
        <w:ind w:firstLine="420" w:firstLineChars="200"/>
        <w:rPr>
          <w:rFonts w:hint="eastAsia" w:ascii="宋体" w:hAnsi="宋体" w:cs="Arial"/>
        </w:rPr>
      </w:pPr>
      <w:r>
        <w:rPr>
          <w:rFonts w:hint="eastAsia" w:ascii="宋体" w:hAnsi="宋体" w:cs="Arial"/>
        </w:rPr>
        <w:t>（1）董事会</w:t>
      </w:r>
    </w:p>
    <w:p w14:paraId="6D53D014">
      <w:pPr>
        <w:widowControl/>
        <w:adjustRightInd w:val="0"/>
        <w:snapToGrid w:val="0"/>
        <w:spacing w:line="360" w:lineRule="auto"/>
        <w:ind w:firstLine="420" w:firstLineChars="200"/>
        <w:rPr>
          <w:rFonts w:hint="eastAsia" w:ascii="宋体" w:hAnsi="宋体" w:cs="Arial"/>
        </w:rPr>
      </w:pPr>
      <w:r>
        <w:rPr>
          <w:rFonts w:hint="eastAsia" w:ascii="宋体" w:hAnsi="宋体" w:cs="Arial"/>
        </w:rPr>
        <w:t>负责制定公司的风险管理政策，对风险管理负完全的和最终的责任。</w:t>
      </w:r>
    </w:p>
    <w:p w14:paraId="32148126">
      <w:pPr>
        <w:widowControl/>
        <w:adjustRightInd w:val="0"/>
        <w:snapToGrid w:val="0"/>
        <w:spacing w:line="360" w:lineRule="auto"/>
        <w:ind w:firstLine="420" w:firstLineChars="200"/>
        <w:rPr>
          <w:rFonts w:hint="eastAsia" w:ascii="宋体" w:hAnsi="宋体" w:cs="Arial"/>
        </w:rPr>
      </w:pPr>
      <w:r>
        <w:rPr>
          <w:rFonts w:hint="eastAsia" w:ascii="宋体" w:hAnsi="宋体" w:cs="Arial"/>
        </w:rPr>
        <w:t>（2）风险管理委员会</w:t>
      </w:r>
    </w:p>
    <w:p w14:paraId="6E46FD96">
      <w:pPr>
        <w:widowControl/>
        <w:adjustRightInd w:val="0"/>
        <w:snapToGrid w:val="0"/>
        <w:spacing w:line="360" w:lineRule="auto"/>
        <w:ind w:firstLine="420" w:firstLineChars="200"/>
        <w:rPr>
          <w:rFonts w:hint="eastAsia" w:ascii="宋体" w:hAnsi="宋体" w:cs="Arial"/>
        </w:rPr>
      </w:pPr>
      <w:r>
        <w:rPr>
          <w:rFonts w:hint="eastAsia" w:ascii="宋体" w:hAnsi="宋体" w:cs="Arial"/>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14:paraId="31A62260">
      <w:pPr>
        <w:widowControl/>
        <w:adjustRightInd w:val="0"/>
        <w:snapToGrid w:val="0"/>
        <w:spacing w:line="360" w:lineRule="auto"/>
        <w:ind w:firstLine="420" w:firstLineChars="200"/>
        <w:rPr>
          <w:rFonts w:hint="eastAsia" w:ascii="宋体" w:hAnsi="宋体" w:cs="Arial"/>
        </w:rPr>
      </w:pPr>
      <w:r>
        <w:rPr>
          <w:rFonts w:hint="eastAsia" w:ascii="宋体" w:hAnsi="宋体" w:cs="Arial"/>
        </w:rPr>
        <w:t>（3）督察长</w:t>
      </w:r>
    </w:p>
    <w:p w14:paraId="7EA23531">
      <w:pPr>
        <w:widowControl/>
        <w:adjustRightInd w:val="0"/>
        <w:snapToGrid w:val="0"/>
        <w:spacing w:line="360" w:lineRule="auto"/>
        <w:ind w:firstLine="420" w:firstLineChars="200"/>
        <w:rPr>
          <w:rFonts w:hint="eastAsia" w:ascii="宋体" w:hAnsi="宋体" w:cs="Arial"/>
        </w:rPr>
      </w:pPr>
      <w:r>
        <w:rPr>
          <w:rFonts w:hint="eastAsia" w:ascii="宋体" w:hAnsi="宋体" w:cs="Arial"/>
        </w:rPr>
        <w:t>独立行使督察权利；直接对董事会负责；按季向风险管理委员会提交独立的风险管理报告和风险管理建议。</w:t>
      </w:r>
    </w:p>
    <w:p w14:paraId="7EBFBD27">
      <w:pPr>
        <w:widowControl/>
        <w:adjustRightInd w:val="0"/>
        <w:snapToGrid w:val="0"/>
        <w:spacing w:line="360" w:lineRule="auto"/>
        <w:ind w:firstLine="420" w:firstLineChars="200"/>
        <w:rPr>
          <w:rFonts w:hint="eastAsia" w:ascii="宋体" w:hAnsi="宋体" w:cs="Arial"/>
        </w:rPr>
      </w:pPr>
      <w:r>
        <w:rPr>
          <w:rFonts w:hint="eastAsia" w:ascii="宋体" w:hAnsi="宋体" w:cs="Arial"/>
        </w:rPr>
        <w:t>（4）法律合规部</w:t>
      </w:r>
    </w:p>
    <w:p w14:paraId="570F9F42">
      <w:pPr>
        <w:widowControl/>
        <w:adjustRightInd w:val="0"/>
        <w:snapToGrid w:val="0"/>
        <w:spacing w:line="360" w:lineRule="auto"/>
        <w:ind w:firstLine="420" w:firstLineChars="200"/>
        <w:rPr>
          <w:rFonts w:hint="eastAsia" w:ascii="宋体" w:hAnsi="宋体" w:cs="Arial"/>
        </w:rPr>
      </w:pPr>
      <w:r>
        <w:rPr>
          <w:rFonts w:hint="eastAsia" w:ascii="宋体" w:hAnsi="宋体" w:cs="Arial"/>
        </w:rPr>
        <w:t>法律合规部负责对公司风险管理政策和措施的执行情况进行检查，并为每一个部门的风险管理系统的发展提供协助，使公司在一种风险管理和控制的环境中实现业务目标。</w:t>
      </w:r>
    </w:p>
    <w:p w14:paraId="0F0FFADF">
      <w:pPr>
        <w:widowControl/>
        <w:adjustRightInd w:val="0"/>
        <w:snapToGrid w:val="0"/>
        <w:spacing w:line="360" w:lineRule="auto"/>
        <w:ind w:firstLine="420" w:firstLineChars="200"/>
        <w:rPr>
          <w:rFonts w:hint="eastAsia" w:ascii="宋体" w:hAnsi="宋体" w:cs="Arial"/>
        </w:rPr>
      </w:pPr>
      <w:r>
        <w:rPr>
          <w:rFonts w:hint="eastAsia" w:ascii="宋体" w:hAnsi="宋体" w:cs="Arial"/>
        </w:rPr>
        <w:t>（5）风险管理部</w:t>
      </w:r>
    </w:p>
    <w:p w14:paraId="4675C2B9">
      <w:pPr>
        <w:widowControl/>
        <w:adjustRightInd w:val="0"/>
        <w:snapToGrid w:val="0"/>
        <w:spacing w:line="360" w:lineRule="auto"/>
        <w:ind w:firstLine="420" w:firstLineChars="200"/>
        <w:rPr>
          <w:rFonts w:hint="eastAsia" w:ascii="宋体" w:hAnsi="宋体" w:cs="Arial"/>
        </w:rPr>
      </w:pPr>
      <w:r>
        <w:rPr>
          <w:rFonts w:hint="eastAsia" w:ascii="宋体" w:hAnsi="宋体" w:cs="Arial"/>
        </w:rPr>
        <w:t>风险管理部负责建立和完善公司投资风险管理制度与流程，组织实施公司投资风险管理与绩效分析工作，确保公司各类投资风险得到良好监督与控制。</w:t>
      </w:r>
    </w:p>
    <w:p w14:paraId="142AAC1B">
      <w:pPr>
        <w:widowControl/>
        <w:adjustRightInd w:val="0"/>
        <w:snapToGrid w:val="0"/>
        <w:spacing w:line="360" w:lineRule="auto"/>
        <w:ind w:firstLine="420" w:firstLineChars="200"/>
        <w:rPr>
          <w:rFonts w:hint="eastAsia" w:ascii="宋体" w:hAnsi="宋体" w:cs="Arial"/>
        </w:rPr>
      </w:pPr>
      <w:r>
        <w:rPr>
          <w:rFonts w:hint="eastAsia" w:ascii="宋体" w:hAnsi="宋体" w:cs="Arial"/>
        </w:rPr>
        <w:t>（6）业务部门</w:t>
      </w:r>
    </w:p>
    <w:p w14:paraId="64AEFE7B">
      <w:pPr>
        <w:widowControl/>
        <w:adjustRightInd w:val="0"/>
        <w:snapToGrid w:val="0"/>
        <w:spacing w:line="360" w:lineRule="auto"/>
        <w:ind w:firstLine="420" w:firstLineChars="200"/>
        <w:rPr>
          <w:rFonts w:hint="eastAsia" w:ascii="宋体" w:hAnsi="宋体" w:cs="Arial"/>
        </w:rPr>
      </w:pPr>
      <w:r>
        <w:rPr>
          <w:rFonts w:hint="eastAsia" w:ascii="宋体" w:hAnsi="宋体" w:cs="Arial"/>
        </w:rPr>
        <w:t>风险管理是每一个业务部门最首要的责任。部门经理对本部门的风险负全部责任，负责履行公司的风险管理程序，负责本部门的风险管理系统的开发、执行和维护，用于识别、监控和降低风险。</w:t>
      </w:r>
    </w:p>
    <w:p w14:paraId="33FC6DFA">
      <w:pPr>
        <w:widowControl/>
        <w:adjustRightInd w:val="0"/>
        <w:snapToGrid w:val="0"/>
        <w:spacing w:line="360" w:lineRule="auto"/>
        <w:ind w:firstLine="420" w:firstLineChars="200"/>
        <w:rPr>
          <w:rFonts w:hint="eastAsia" w:ascii="宋体" w:hAnsi="宋体" w:cs="Arial"/>
        </w:rPr>
      </w:pPr>
      <w:r>
        <w:rPr>
          <w:rFonts w:hint="eastAsia" w:ascii="宋体" w:hAnsi="宋体" w:cs="Arial"/>
        </w:rPr>
        <w:t>3、风险管理和内部风险控制的措施</w:t>
      </w:r>
    </w:p>
    <w:p w14:paraId="2C21B0C0">
      <w:pPr>
        <w:widowControl/>
        <w:adjustRightInd w:val="0"/>
        <w:snapToGrid w:val="0"/>
        <w:spacing w:line="360" w:lineRule="auto"/>
        <w:ind w:firstLine="420" w:firstLineChars="200"/>
        <w:rPr>
          <w:rFonts w:hint="eastAsia" w:ascii="宋体" w:hAnsi="宋体" w:cs="Arial"/>
        </w:rPr>
      </w:pPr>
      <w:r>
        <w:rPr>
          <w:rFonts w:hint="eastAsia" w:ascii="宋体" w:hAnsi="宋体" w:cs="Arial"/>
        </w:rPr>
        <w:t>（1）建立内控结构，完善内控制度</w:t>
      </w:r>
    </w:p>
    <w:p w14:paraId="390AFFE8">
      <w:pPr>
        <w:widowControl/>
        <w:adjustRightInd w:val="0"/>
        <w:snapToGrid w:val="0"/>
        <w:spacing w:line="360" w:lineRule="auto"/>
        <w:ind w:firstLine="420" w:firstLineChars="200"/>
        <w:rPr>
          <w:rFonts w:hint="eastAsia" w:ascii="宋体" w:hAnsi="宋体" w:cs="Arial"/>
        </w:rPr>
      </w:pPr>
      <w:r>
        <w:rPr>
          <w:rFonts w:hint="eastAsia" w:ascii="宋体" w:hAnsi="宋体" w:cs="Arial"/>
        </w:rPr>
        <w:t>公司建立、健全了内控结构，高管人员关于内控有明确的分工，确保各项业务活动有恰当的组织和授权，确保监察活动是独立的，并得到高管人员的支持，同时置备操作手册，并定期更新。</w:t>
      </w:r>
    </w:p>
    <w:p w14:paraId="71137CED">
      <w:pPr>
        <w:widowControl/>
        <w:adjustRightInd w:val="0"/>
        <w:snapToGrid w:val="0"/>
        <w:spacing w:line="360" w:lineRule="auto"/>
        <w:ind w:firstLine="420" w:firstLineChars="200"/>
        <w:rPr>
          <w:rFonts w:hint="eastAsia" w:ascii="宋体" w:hAnsi="宋体" w:cs="Arial"/>
        </w:rPr>
      </w:pPr>
      <w:r>
        <w:rPr>
          <w:rFonts w:hint="eastAsia" w:ascii="宋体" w:hAnsi="宋体" w:cs="Arial"/>
        </w:rPr>
        <w:t>（2）建立相互分离、相互制衡的内控机制</w:t>
      </w:r>
    </w:p>
    <w:p w14:paraId="26A3F540">
      <w:pPr>
        <w:widowControl/>
        <w:adjustRightInd w:val="0"/>
        <w:snapToGrid w:val="0"/>
        <w:spacing w:line="360" w:lineRule="auto"/>
        <w:ind w:firstLine="420" w:firstLineChars="200"/>
        <w:rPr>
          <w:rFonts w:hint="eastAsia" w:ascii="宋体" w:hAnsi="宋体" w:cs="Arial"/>
        </w:rPr>
      </w:pPr>
      <w:r>
        <w:rPr>
          <w:rFonts w:hint="eastAsia" w:ascii="宋体" w:hAnsi="宋体" w:cs="Arial"/>
        </w:rPr>
        <w:t>建立、健全了各项制度，做到基金经理分开，投资决策分开，基金交易集中，形成不同部门，不同岗位之间的制衡机制，从制度上减少和防范风险。</w:t>
      </w:r>
    </w:p>
    <w:p w14:paraId="1D5DF601">
      <w:pPr>
        <w:widowControl/>
        <w:adjustRightInd w:val="0"/>
        <w:snapToGrid w:val="0"/>
        <w:spacing w:line="360" w:lineRule="auto"/>
        <w:ind w:firstLine="420" w:firstLineChars="200"/>
        <w:rPr>
          <w:rFonts w:hint="eastAsia" w:ascii="宋体" w:hAnsi="宋体" w:cs="Arial"/>
        </w:rPr>
      </w:pPr>
      <w:r>
        <w:rPr>
          <w:rFonts w:hint="eastAsia" w:ascii="宋体" w:hAnsi="宋体" w:cs="Arial"/>
        </w:rPr>
        <w:t>（3）建立、健全岗位责任制</w:t>
      </w:r>
    </w:p>
    <w:p w14:paraId="6D77D975">
      <w:pPr>
        <w:widowControl/>
        <w:adjustRightInd w:val="0"/>
        <w:snapToGrid w:val="0"/>
        <w:spacing w:line="360" w:lineRule="auto"/>
        <w:ind w:firstLine="420" w:firstLineChars="200"/>
        <w:rPr>
          <w:rFonts w:hint="eastAsia" w:ascii="宋体" w:hAnsi="宋体" w:cs="Arial"/>
        </w:rPr>
      </w:pPr>
      <w:r>
        <w:rPr>
          <w:rFonts w:hint="eastAsia" w:ascii="宋体" w:hAnsi="宋体" w:cs="Arial"/>
        </w:rPr>
        <w:t>建立、健全了岗位责任制，使每个员工都明确自己的任务、职责，并及时将各自工作领域中的风险隐患上报，以防范和减少风险。</w:t>
      </w:r>
    </w:p>
    <w:p w14:paraId="4B7FD20B">
      <w:pPr>
        <w:widowControl/>
        <w:adjustRightInd w:val="0"/>
        <w:snapToGrid w:val="0"/>
        <w:spacing w:line="360" w:lineRule="auto"/>
        <w:ind w:firstLine="420" w:firstLineChars="200"/>
        <w:rPr>
          <w:rFonts w:hint="eastAsia" w:ascii="宋体" w:hAnsi="宋体" w:cs="Arial"/>
        </w:rPr>
      </w:pPr>
      <w:r>
        <w:rPr>
          <w:rFonts w:hint="eastAsia" w:ascii="宋体" w:hAnsi="宋体" w:cs="Arial"/>
        </w:rPr>
        <w:t>（4）建立风险分类、识别、评估、报告、提示程序</w:t>
      </w:r>
    </w:p>
    <w:p w14:paraId="79DEE936">
      <w:pPr>
        <w:widowControl/>
        <w:adjustRightInd w:val="0"/>
        <w:snapToGrid w:val="0"/>
        <w:spacing w:line="360" w:lineRule="auto"/>
        <w:ind w:firstLine="420" w:firstLineChars="200"/>
        <w:rPr>
          <w:rFonts w:hint="eastAsia" w:ascii="宋体" w:hAnsi="宋体" w:cs="Arial"/>
        </w:rPr>
      </w:pPr>
      <w:r>
        <w:rPr>
          <w:rFonts w:hint="eastAsia" w:ascii="宋体" w:hAnsi="宋体" w:cs="Arial"/>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14:paraId="78321058">
      <w:pPr>
        <w:widowControl/>
        <w:adjustRightInd w:val="0"/>
        <w:snapToGrid w:val="0"/>
        <w:spacing w:line="360" w:lineRule="auto"/>
        <w:ind w:firstLine="420" w:firstLineChars="200"/>
        <w:rPr>
          <w:rFonts w:hint="eastAsia" w:ascii="宋体" w:hAnsi="宋体" w:cs="Arial"/>
        </w:rPr>
      </w:pPr>
      <w:r>
        <w:rPr>
          <w:rFonts w:hint="eastAsia" w:ascii="宋体" w:hAnsi="宋体" w:cs="Arial"/>
        </w:rPr>
        <w:t>（5）建立有效的内部监控系统</w:t>
      </w:r>
    </w:p>
    <w:p w14:paraId="34B899D2">
      <w:pPr>
        <w:widowControl/>
        <w:adjustRightInd w:val="0"/>
        <w:snapToGrid w:val="0"/>
        <w:spacing w:line="360" w:lineRule="auto"/>
        <w:ind w:firstLine="420" w:firstLineChars="200"/>
        <w:rPr>
          <w:rFonts w:hint="eastAsia" w:ascii="宋体" w:hAnsi="宋体" w:cs="Arial"/>
        </w:rPr>
      </w:pPr>
      <w:r>
        <w:rPr>
          <w:rFonts w:hint="eastAsia" w:ascii="宋体" w:hAnsi="宋体" w:cs="Arial"/>
        </w:rPr>
        <w:t>建立了足够、有效的内部监控系统，如电脑预警系统、投资监控系统，对可能出现的各种风险进行全面和实时的监控。</w:t>
      </w:r>
    </w:p>
    <w:p w14:paraId="6CC8625C">
      <w:pPr>
        <w:widowControl/>
        <w:adjustRightInd w:val="0"/>
        <w:snapToGrid w:val="0"/>
        <w:spacing w:line="360" w:lineRule="auto"/>
        <w:ind w:firstLine="420" w:firstLineChars="200"/>
        <w:rPr>
          <w:rFonts w:hint="eastAsia" w:ascii="宋体" w:hAnsi="宋体" w:cs="Arial"/>
        </w:rPr>
      </w:pPr>
      <w:r>
        <w:rPr>
          <w:rFonts w:hint="eastAsia" w:ascii="宋体" w:hAnsi="宋体" w:cs="Arial"/>
        </w:rPr>
        <w:t>（6）使用数量化的风险管理手段</w:t>
      </w:r>
    </w:p>
    <w:p w14:paraId="3064E922">
      <w:pPr>
        <w:widowControl/>
        <w:adjustRightInd w:val="0"/>
        <w:snapToGrid w:val="0"/>
        <w:spacing w:line="360" w:lineRule="auto"/>
        <w:ind w:firstLine="420" w:firstLineChars="200"/>
        <w:rPr>
          <w:rFonts w:hint="eastAsia" w:ascii="宋体" w:hAnsi="宋体" w:cs="Arial"/>
        </w:rPr>
      </w:pPr>
      <w:r>
        <w:rPr>
          <w:rFonts w:hint="eastAsia" w:ascii="宋体" w:hAnsi="宋体" w:cs="Arial"/>
        </w:rPr>
        <w:t>采取数量化、技术化的风险控制手段，建立数量化的风险管理模型，用以提示指数趋势、行业及个股的风险，以便公司及时采取有效的措施，对风险进行分散、控制和规避，尽可能地减少损失。</w:t>
      </w:r>
    </w:p>
    <w:p w14:paraId="504F5DC8">
      <w:pPr>
        <w:widowControl/>
        <w:adjustRightInd w:val="0"/>
        <w:snapToGrid w:val="0"/>
        <w:spacing w:line="360" w:lineRule="auto"/>
        <w:ind w:firstLine="420" w:firstLineChars="200"/>
        <w:rPr>
          <w:rFonts w:hint="eastAsia" w:ascii="宋体" w:hAnsi="宋体" w:cs="Arial"/>
        </w:rPr>
      </w:pPr>
      <w:r>
        <w:rPr>
          <w:rFonts w:hint="eastAsia" w:ascii="宋体" w:hAnsi="宋体" w:cs="Arial"/>
        </w:rPr>
        <w:t>（7）提供足够的培训</w:t>
      </w:r>
    </w:p>
    <w:p w14:paraId="77E44D32">
      <w:pPr>
        <w:widowControl/>
        <w:adjustRightInd w:val="0"/>
        <w:snapToGrid w:val="0"/>
        <w:spacing w:line="360" w:lineRule="auto"/>
        <w:ind w:firstLine="420" w:firstLineChars="200"/>
        <w:rPr>
          <w:rFonts w:hint="eastAsia" w:ascii="宋体" w:hAnsi="宋体" w:cs="Arial"/>
          <w:szCs w:val="21"/>
        </w:rPr>
        <w:sectPr>
          <w:footerReference r:id="rId15" w:type="first"/>
          <w:footerReference r:id="rId14" w:type="default"/>
          <w:pgSz w:w="11906" w:h="16838"/>
          <w:pgMar w:top="1440" w:right="1800" w:bottom="1440" w:left="1800" w:header="851" w:footer="992" w:gutter="0"/>
          <w:cols w:space="720" w:num="1"/>
          <w:titlePg/>
          <w:docGrid w:linePitch="312" w:charSpace="0"/>
        </w:sectPr>
      </w:pPr>
      <w:r>
        <w:rPr>
          <w:rFonts w:hint="eastAsia" w:ascii="宋体" w:hAnsi="宋体" w:cs="Arial"/>
        </w:rPr>
        <w:t>制定了完整的培训计划，为所有员工提供足够和适当的培训，使员工明确其职责所在，控制风险。</w:t>
      </w:r>
    </w:p>
    <w:p w14:paraId="00921D56">
      <w:pPr>
        <w:pStyle w:val="2"/>
        <w:snapToGrid w:val="0"/>
        <w:spacing w:before="0" w:after="0" w:line="360" w:lineRule="auto"/>
        <w:ind w:firstLine="422" w:firstLineChars="150"/>
        <w:rPr>
          <w:rFonts w:hint="eastAsia" w:hAnsi="宋体" w:cs="Arial"/>
          <w:b/>
          <w:bCs/>
          <w:sz w:val="28"/>
          <w:szCs w:val="28"/>
        </w:rPr>
      </w:pPr>
      <w:bookmarkStart w:id="15" w:name="_Toc50661122"/>
      <w:bookmarkStart w:id="16" w:name="_Toc5901"/>
      <w:r>
        <w:rPr>
          <w:rFonts w:hAnsi="宋体" w:eastAsia="宋体" w:cs="Arial"/>
          <w:b/>
          <w:bCs/>
          <w:sz w:val="28"/>
          <w:szCs w:val="28"/>
        </w:rPr>
        <w:t>第四部分  基金托管人</w:t>
      </w:r>
      <w:bookmarkEnd w:id="11"/>
      <w:bookmarkEnd w:id="12"/>
      <w:bookmarkEnd w:id="15"/>
      <w:bookmarkEnd w:id="16"/>
    </w:p>
    <w:p w14:paraId="2080CCFF">
      <w:pPr>
        <w:widowControl/>
        <w:spacing w:line="360" w:lineRule="auto"/>
        <w:jc w:val="left"/>
        <w:rPr>
          <w:rFonts w:hint="eastAsia" w:ascii="宋体" w:hAnsi="宋体" w:cs="宋体"/>
          <w:b/>
          <w:kern w:val="0"/>
          <w:szCs w:val="21"/>
        </w:rPr>
      </w:pPr>
    </w:p>
    <w:p w14:paraId="4BAF64C3">
      <w:pPr>
        <w:adjustRightInd w:val="0"/>
        <w:snapToGrid w:val="0"/>
        <w:spacing w:line="360" w:lineRule="auto"/>
        <w:ind w:firstLine="420" w:firstLineChars="200"/>
        <w:rPr>
          <w:rFonts w:hint="eastAsia" w:ascii="宋体" w:hAnsi="宋体"/>
          <w:szCs w:val="21"/>
        </w:rPr>
      </w:pPr>
      <w:bookmarkStart w:id="17" w:name="_Toc214873594"/>
      <w:bookmarkStart w:id="18" w:name="_Toc50661123"/>
      <w:r>
        <w:rPr>
          <w:rFonts w:hint="eastAsia" w:ascii="宋体" w:hAnsi="宋体"/>
          <w:szCs w:val="21"/>
        </w:rPr>
        <w:t>（一）基金托管人基本情况</w:t>
      </w:r>
    </w:p>
    <w:p w14:paraId="34C80477">
      <w:pPr>
        <w:adjustRightInd w:val="0"/>
        <w:snapToGrid w:val="0"/>
        <w:spacing w:line="360" w:lineRule="auto"/>
        <w:ind w:firstLine="420" w:firstLineChars="200"/>
        <w:rPr>
          <w:rFonts w:hint="eastAsia" w:ascii="宋体" w:hAnsi="宋体"/>
          <w:szCs w:val="21"/>
        </w:rPr>
      </w:pPr>
      <w:r>
        <w:rPr>
          <w:rFonts w:hint="eastAsia" w:ascii="宋体" w:hAnsi="宋体"/>
          <w:szCs w:val="21"/>
        </w:rPr>
        <w:t>1、基本情况</w:t>
      </w:r>
    </w:p>
    <w:p w14:paraId="71D01278">
      <w:pPr>
        <w:adjustRightInd w:val="0"/>
        <w:snapToGrid w:val="0"/>
        <w:spacing w:line="360" w:lineRule="auto"/>
        <w:ind w:firstLine="420" w:firstLineChars="200"/>
        <w:rPr>
          <w:rFonts w:hint="eastAsia" w:ascii="宋体" w:hAnsi="宋体"/>
          <w:szCs w:val="21"/>
        </w:rPr>
      </w:pPr>
      <w:r>
        <w:rPr>
          <w:rFonts w:hint="eastAsia" w:ascii="宋体" w:hAnsi="宋体"/>
          <w:szCs w:val="21"/>
        </w:rPr>
        <w:t>名称：中信证券股份有限公司（简称：中信证券）</w:t>
      </w:r>
    </w:p>
    <w:p w14:paraId="13DAE0C7">
      <w:pPr>
        <w:adjustRightInd w:val="0"/>
        <w:snapToGrid w:val="0"/>
        <w:spacing w:line="360" w:lineRule="auto"/>
        <w:ind w:firstLine="420" w:firstLineChars="200"/>
        <w:rPr>
          <w:rFonts w:hint="eastAsia" w:ascii="宋体" w:hAnsi="宋体"/>
          <w:szCs w:val="21"/>
        </w:rPr>
      </w:pPr>
      <w:r>
        <w:rPr>
          <w:rFonts w:hint="eastAsia" w:ascii="宋体" w:hAnsi="宋体"/>
          <w:szCs w:val="21"/>
        </w:rPr>
        <w:t>注册地址：</w:t>
      </w:r>
      <w:r>
        <w:t>广东省深圳市福田区中心三路8号卓越时代广场</w:t>
      </w:r>
      <w:r>
        <w:rPr>
          <w:rFonts w:hint="eastAsia"/>
        </w:rPr>
        <w:t>（</w:t>
      </w:r>
      <w:r>
        <w:t>二期</w:t>
      </w:r>
      <w:r>
        <w:rPr>
          <w:rFonts w:hint="eastAsia"/>
        </w:rPr>
        <w:t>）</w:t>
      </w:r>
      <w:r>
        <w:t>北座</w:t>
      </w:r>
    </w:p>
    <w:p w14:paraId="14C689D4">
      <w:pPr>
        <w:adjustRightInd w:val="0"/>
        <w:snapToGrid w:val="0"/>
        <w:spacing w:line="360" w:lineRule="auto"/>
        <w:ind w:firstLine="420" w:firstLineChars="200"/>
      </w:pPr>
      <w:r>
        <w:rPr>
          <w:rFonts w:hint="eastAsia" w:ascii="宋体" w:hAnsi="宋体"/>
          <w:szCs w:val="21"/>
        </w:rPr>
        <w:t>办公地址：</w:t>
      </w:r>
      <w:r>
        <w:t>北京市朝阳区亮马桥路48号</w:t>
      </w:r>
      <w:r>
        <w:rPr>
          <w:rFonts w:hint="eastAsia"/>
        </w:rPr>
        <w:t>中信证券大厦</w:t>
      </w:r>
    </w:p>
    <w:p w14:paraId="2D708F43">
      <w:pPr>
        <w:adjustRightInd w:val="0"/>
        <w:snapToGrid w:val="0"/>
        <w:spacing w:line="360" w:lineRule="auto"/>
        <w:ind w:firstLine="1470" w:firstLineChars="700"/>
        <w:rPr>
          <w:rFonts w:hint="eastAsia" w:ascii="宋体" w:hAnsi="宋体"/>
          <w:szCs w:val="21"/>
        </w:rPr>
      </w:pPr>
      <w:r>
        <w:rPr>
          <w:rFonts w:hint="eastAsia" w:ascii="宋体" w:hAnsi="宋体"/>
          <w:szCs w:val="21"/>
        </w:rPr>
        <w:t>广东省深圳市福田区中心三路8号中信证券大厦</w:t>
      </w:r>
    </w:p>
    <w:p w14:paraId="36587EDD">
      <w:pPr>
        <w:adjustRightInd w:val="0"/>
        <w:snapToGrid w:val="0"/>
        <w:spacing w:line="360" w:lineRule="auto"/>
        <w:ind w:firstLine="420" w:firstLineChars="200"/>
        <w:rPr>
          <w:rFonts w:hint="eastAsia" w:ascii="宋体" w:hAnsi="宋体"/>
          <w:szCs w:val="21"/>
        </w:rPr>
      </w:pPr>
      <w:r>
        <w:rPr>
          <w:rFonts w:hint="eastAsia" w:ascii="宋体" w:hAnsi="宋体"/>
          <w:szCs w:val="21"/>
        </w:rPr>
        <w:t>法定代表人：</w:t>
      </w:r>
      <w:r>
        <w:t>张佑君</w:t>
      </w:r>
    </w:p>
    <w:p w14:paraId="2D2B4F3D">
      <w:pPr>
        <w:adjustRightInd w:val="0"/>
        <w:snapToGrid w:val="0"/>
        <w:spacing w:line="360" w:lineRule="auto"/>
        <w:ind w:firstLine="420" w:firstLineChars="200"/>
        <w:rPr>
          <w:rFonts w:hint="eastAsia" w:ascii="宋体" w:hAnsi="宋体"/>
          <w:szCs w:val="21"/>
        </w:rPr>
      </w:pPr>
      <w:r>
        <w:rPr>
          <w:rFonts w:hint="eastAsia" w:ascii="宋体" w:hAnsi="宋体"/>
          <w:szCs w:val="21"/>
        </w:rPr>
        <w:t>成立日期：</w:t>
      </w:r>
      <w:r>
        <w:t>1995年10月25日</w:t>
      </w:r>
    </w:p>
    <w:p w14:paraId="02607D26">
      <w:pPr>
        <w:adjustRightInd w:val="0"/>
        <w:snapToGrid w:val="0"/>
        <w:spacing w:line="360" w:lineRule="auto"/>
        <w:ind w:firstLine="420" w:firstLineChars="200"/>
        <w:rPr>
          <w:rFonts w:hint="eastAsia" w:ascii="宋体" w:hAnsi="宋体"/>
          <w:szCs w:val="21"/>
        </w:rPr>
      </w:pPr>
      <w:r>
        <w:rPr>
          <w:rFonts w:hint="eastAsia" w:ascii="宋体" w:hAnsi="宋体"/>
          <w:szCs w:val="21"/>
        </w:rPr>
        <w:t>组织形式：</w:t>
      </w:r>
      <w:r>
        <w:rPr>
          <w:rFonts w:hint="eastAsia" w:ascii="宋体" w:hAnsi="宋体"/>
          <w:bCs/>
          <w:szCs w:val="21"/>
        </w:rPr>
        <w:t>股份有限公司（上市）</w:t>
      </w:r>
    </w:p>
    <w:p w14:paraId="257FD61C">
      <w:pPr>
        <w:adjustRightInd w:val="0"/>
        <w:snapToGrid w:val="0"/>
        <w:spacing w:line="360" w:lineRule="auto"/>
        <w:ind w:firstLine="420" w:firstLineChars="200"/>
        <w:rPr>
          <w:rFonts w:hint="eastAsia" w:ascii="宋体" w:hAnsi="宋体"/>
          <w:szCs w:val="21"/>
        </w:rPr>
      </w:pPr>
      <w:r>
        <w:rPr>
          <w:rFonts w:hint="eastAsia" w:ascii="宋体" w:hAnsi="宋体"/>
          <w:szCs w:val="21"/>
        </w:rPr>
        <w:t>注册资本：</w:t>
      </w:r>
      <w:r>
        <w:rPr>
          <w:rFonts w:hint="eastAsia"/>
          <w:bCs/>
        </w:rPr>
        <w:t xml:space="preserve"> 14,820,546,829元人民币</w:t>
      </w:r>
    </w:p>
    <w:p w14:paraId="23EAC5E0">
      <w:pPr>
        <w:adjustRightInd w:val="0"/>
        <w:snapToGrid w:val="0"/>
        <w:spacing w:line="360" w:lineRule="auto"/>
        <w:ind w:firstLine="420" w:firstLineChars="200"/>
        <w:rPr>
          <w:rFonts w:hint="eastAsia" w:ascii="宋体" w:hAnsi="宋体"/>
          <w:szCs w:val="21"/>
        </w:rPr>
      </w:pPr>
      <w:r>
        <w:rPr>
          <w:rFonts w:hint="eastAsia" w:ascii="宋体" w:hAnsi="宋体"/>
          <w:szCs w:val="21"/>
        </w:rPr>
        <w:t>存续期间：无期限</w:t>
      </w:r>
    </w:p>
    <w:p w14:paraId="76322DAA">
      <w:pPr>
        <w:snapToGrid w:val="0"/>
        <w:spacing w:line="360" w:lineRule="auto"/>
        <w:ind w:firstLine="424" w:firstLineChars="202"/>
        <w:rPr>
          <w:rFonts w:hint="eastAsia" w:ascii="宋体" w:hAnsi="宋体"/>
          <w:szCs w:val="21"/>
        </w:rPr>
      </w:pPr>
      <w:r>
        <w:rPr>
          <w:rFonts w:hint="eastAsia" w:ascii="宋体" w:hAnsi="宋体"/>
          <w:szCs w:val="21"/>
        </w:rPr>
        <w:t>联系电话：</w:t>
      </w:r>
      <w:r>
        <w:rPr>
          <w:rFonts w:ascii="宋体" w:hAnsi="宋体"/>
          <w:szCs w:val="21"/>
        </w:rPr>
        <w:t>95548-3</w:t>
      </w:r>
    </w:p>
    <w:p w14:paraId="347B40AD">
      <w:pPr>
        <w:snapToGrid w:val="0"/>
        <w:spacing w:line="360" w:lineRule="auto"/>
        <w:ind w:firstLine="424" w:firstLineChars="202"/>
        <w:rPr>
          <w:rFonts w:hint="eastAsia" w:ascii="宋体" w:hAnsi="宋体"/>
          <w:szCs w:val="21"/>
        </w:rPr>
      </w:pPr>
      <w:r>
        <w:rPr>
          <w:rFonts w:ascii="宋体" w:hAnsi="宋体"/>
          <w:szCs w:val="21"/>
        </w:rPr>
        <w:t>中信证券股份有限公司（以下简称“中信证券”）成立于1995年10月25日，前身是中信证券有限责任公司。中信证券于2003年1月6日在上海证券交易所挂牌上市，并于2011年10月6日在香港联交所上市交易。</w:t>
      </w:r>
    </w:p>
    <w:p w14:paraId="42BEF977">
      <w:pPr>
        <w:spacing w:line="360" w:lineRule="auto"/>
        <w:ind w:firstLine="420" w:firstLineChars="200"/>
        <w:rPr>
          <w:color w:val="000000"/>
        </w:rPr>
      </w:pPr>
      <w:r>
        <w:rPr>
          <w:rFonts w:hint="eastAsia"/>
          <w:color w:val="000000"/>
        </w:rPr>
        <w:t>经营范围：证券经纪（限山东省、河南省、浙江省天台县、浙江省苍南县以外区域）；证券投资咨询；与证券交易、证券投资活动有关的财务顾问；证券承销与保荐；证券自营；证券资产管理（全国社会保障基金境内委托投资管理、基本养老保险基金证券投资管理、企业年金基金投资管理和职业年金基金投资管理）；融资融券；证券投资基金代销；为期货公司提供中间介绍业务；代销金融产品；股票期权做市。上市证券做市交易。(依法须经批准的项目,经相关部门批准后方可开展经营活动,具体经营项目以相关部门批准文件或许可证件为准)</w:t>
      </w:r>
    </w:p>
    <w:p w14:paraId="1A6D69FB">
      <w:pPr>
        <w:adjustRightInd w:val="0"/>
        <w:snapToGrid w:val="0"/>
        <w:spacing w:line="360" w:lineRule="auto"/>
        <w:ind w:firstLine="420" w:firstLineChars="200"/>
        <w:rPr>
          <w:rFonts w:hint="eastAsia" w:ascii="宋体" w:hAnsi="宋体"/>
          <w:szCs w:val="21"/>
        </w:rPr>
      </w:pPr>
      <w:r>
        <w:rPr>
          <w:rFonts w:hint="eastAsia" w:ascii="宋体" w:hAnsi="宋体"/>
          <w:szCs w:val="21"/>
        </w:rPr>
        <w:t>2014年7月中信证券成立托管部，并于当年10月收到中国证监会</w:t>
      </w:r>
      <w:r>
        <w:t>《关于核准中信证券股份有限公司证券投资基金托管资格的批复》（证监许可[2014]1044号）</w:t>
      </w:r>
      <w:r>
        <w:rPr>
          <w:rFonts w:hint="eastAsia"/>
        </w:rPr>
        <w:t>，</w:t>
      </w:r>
      <w:r>
        <w:rPr>
          <w:rFonts w:hint="eastAsia" w:ascii="宋体" w:hAnsi="宋体"/>
          <w:szCs w:val="21"/>
        </w:rPr>
        <w:t>获得证券投资基金托管资格。开展基金托管业务以来，公司严格切实履行基金托管人职责，维护基金投资人的合法权益。中信证券逐年加大托管业务信息技术系统建设投入，构建智能化客户服务体系，持续研发创新基金托管服务。</w:t>
      </w:r>
    </w:p>
    <w:p w14:paraId="4B7C0CC2">
      <w:pPr>
        <w:snapToGrid w:val="0"/>
        <w:spacing w:line="360" w:lineRule="auto"/>
        <w:ind w:firstLine="424" w:firstLineChars="202"/>
        <w:rPr>
          <w:rFonts w:hint="eastAsia" w:ascii="宋体" w:hAnsi="宋体"/>
          <w:szCs w:val="21"/>
        </w:rPr>
      </w:pPr>
      <w:r>
        <w:rPr>
          <w:rFonts w:hint="eastAsia" w:ascii="宋体" w:hAnsi="宋体"/>
          <w:szCs w:val="21"/>
        </w:rPr>
        <w:t>2、主要人员情况</w:t>
      </w:r>
    </w:p>
    <w:p w14:paraId="3B47F1EB">
      <w:pPr>
        <w:snapToGrid w:val="0"/>
        <w:spacing w:line="360" w:lineRule="auto"/>
        <w:ind w:firstLine="424" w:firstLineChars="202"/>
        <w:rPr>
          <w:rFonts w:hint="eastAsia" w:ascii="宋体" w:hAnsi="宋体"/>
          <w:szCs w:val="21"/>
        </w:rPr>
      </w:pPr>
      <w:r>
        <w:rPr>
          <w:rFonts w:hint="eastAsia" w:ascii="宋体" w:hAnsi="宋体"/>
          <w:szCs w:val="21"/>
        </w:rPr>
        <w:t>中信证券设立托管部，管理并具体承办基金托管业务。托管部下设市场服务、产品设计、估值核算、托管结算、投资监督、跨境服务、客户服务、金融科技、风险管理、综合管理等团队。部门员工均按要求获得证券投资基金从业资格，并具有多年金融从业经历，核心业务岗人员均已具备5年及以上相关业务经验。</w:t>
      </w:r>
    </w:p>
    <w:p w14:paraId="17B0A1A0">
      <w:pPr>
        <w:snapToGrid w:val="0"/>
        <w:spacing w:line="360" w:lineRule="auto"/>
        <w:ind w:firstLine="424" w:firstLineChars="202"/>
        <w:rPr>
          <w:rFonts w:hint="eastAsia" w:ascii="宋体" w:hAnsi="宋体"/>
          <w:szCs w:val="21"/>
        </w:rPr>
      </w:pPr>
      <w:r>
        <w:rPr>
          <w:rFonts w:hint="eastAsia" w:ascii="宋体" w:hAnsi="宋体"/>
          <w:szCs w:val="21"/>
        </w:rPr>
        <w:t>3、基金托管业务经营情况</w:t>
      </w:r>
    </w:p>
    <w:p w14:paraId="1BDE24E1">
      <w:pPr>
        <w:snapToGrid w:val="0"/>
        <w:spacing w:line="360" w:lineRule="auto"/>
        <w:ind w:firstLine="424" w:firstLineChars="202"/>
        <w:rPr>
          <w:rFonts w:hint="eastAsia" w:ascii="宋体" w:hAnsi="宋体"/>
          <w:szCs w:val="21"/>
        </w:rPr>
      </w:pPr>
      <w:r>
        <w:rPr>
          <w:rFonts w:ascii="宋体" w:hAnsi="宋体"/>
          <w:szCs w:val="21"/>
        </w:rPr>
        <w:t>中信证券于2014年10月经中国证监会核准获批证券投资基金托管资格。中信证券自取得证券投资基金托管资格以来，秉承“忠于所托，信于所管”的宗旨，严格遵守国家的法律法规和监管机构的有关规定，依靠</w:t>
      </w:r>
      <w:r>
        <w:rPr>
          <w:rFonts w:hint="eastAsia" w:ascii="宋体" w:hAnsi="宋体"/>
          <w:szCs w:val="21"/>
        </w:rPr>
        <w:t>稳健的</w:t>
      </w:r>
      <w:r>
        <w:rPr>
          <w:rFonts w:ascii="宋体" w:hAnsi="宋体"/>
          <w:szCs w:val="21"/>
        </w:rPr>
        <w:t>风险管理和内部控制体系、规范的管理模式、</w:t>
      </w:r>
      <w:r>
        <w:rPr>
          <w:rFonts w:hint="eastAsia" w:ascii="宋体" w:hAnsi="宋体"/>
          <w:szCs w:val="21"/>
        </w:rPr>
        <w:t>完善的</w:t>
      </w:r>
      <w:r>
        <w:rPr>
          <w:rFonts w:ascii="宋体" w:hAnsi="宋体"/>
          <w:szCs w:val="21"/>
        </w:rPr>
        <w:t>运营系统和专业的服务团队，切实履行</w:t>
      </w:r>
      <w:r>
        <w:rPr>
          <w:rFonts w:hint="eastAsia" w:ascii="宋体" w:hAnsi="宋体"/>
          <w:szCs w:val="21"/>
        </w:rPr>
        <w:t>基金</w:t>
      </w:r>
      <w:r>
        <w:rPr>
          <w:rFonts w:ascii="宋体" w:hAnsi="宋体"/>
          <w:szCs w:val="21"/>
        </w:rPr>
        <w:t>托管人职责，为</w:t>
      </w:r>
      <w:r>
        <w:rPr>
          <w:rFonts w:hint="eastAsia" w:ascii="宋体" w:hAnsi="宋体"/>
          <w:szCs w:val="21"/>
        </w:rPr>
        <w:t>基金管理人和</w:t>
      </w:r>
      <w:r>
        <w:rPr>
          <w:rFonts w:ascii="宋体" w:hAnsi="宋体"/>
          <w:szCs w:val="21"/>
        </w:rPr>
        <w:t>投资者提供安全、专业</w:t>
      </w:r>
      <w:r>
        <w:rPr>
          <w:rFonts w:hint="eastAsia" w:ascii="宋体" w:hAnsi="宋体"/>
          <w:szCs w:val="21"/>
        </w:rPr>
        <w:t>、</w:t>
      </w:r>
      <w:r>
        <w:rPr>
          <w:rFonts w:ascii="宋体" w:hAnsi="宋体"/>
          <w:szCs w:val="21"/>
        </w:rPr>
        <w:t>高效、</w:t>
      </w:r>
      <w:r>
        <w:rPr>
          <w:rFonts w:hint="eastAsia" w:ascii="宋体" w:hAnsi="宋体"/>
          <w:szCs w:val="21"/>
        </w:rPr>
        <w:t>可靠</w:t>
      </w:r>
      <w:r>
        <w:rPr>
          <w:rFonts w:ascii="宋体" w:hAnsi="宋体"/>
          <w:szCs w:val="21"/>
        </w:rPr>
        <w:t>的托管服务。</w:t>
      </w:r>
    </w:p>
    <w:p w14:paraId="5D190E97">
      <w:pPr>
        <w:snapToGrid w:val="0"/>
        <w:spacing w:line="360" w:lineRule="auto"/>
        <w:ind w:firstLine="424" w:firstLineChars="202"/>
        <w:rPr>
          <w:rFonts w:hint="eastAsia" w:ascii="宋体" w:hAnsi="宋体"/>
          <w:szCs w:val="21"/>
        </w:rPr>
      </w:pPr>
      <w:r>
        <w:rPr>
          <w:rFonts w:hint="eastAsia" w:ascii="宋体" w:hAnsi="宋体"/>
          <w:szCs w:val="21"/>
        </w:rPr>
        <w:t>（二）托管业务的内部控制制度</w:t>
      </w:r>
    </w:p>
    <w:p w14:paraId="2589695A">
      <w:pPr>
        <w:snapToGrid w:val="0"/>
        <w:spacing w:line="360" w:lineRule="auto"/>
        <w:ind w:firstLine="424" w:firstLineChars="202"/>
        <w:rPr>
          <w:rFonts w:hint="eastAsia" w:ascii="宋体" w:hAnsi="宋体"/>
          <w:szCs w:val="21"/>
        </w:rPr>
      </w:pPr>
      <w:r>
        <w:rPr>
          <w:rFonts w:hint="eastAsia" w:ascii="宋体" w:hAnsi="宋体"/>
          <w:szCs w:val="21"/>
        </w:rPr>
        <w:t>1、内部控制目标</w:t>
      </w:r>
    </w:p>
    <w:p w14:paraId="6266D50E">
      <w:pPr>
        <w:snapToGrid w:val="0"/>
        <w:spacing w:line="360" w:lineRule="auto"/>
        <w:ind w:firstLine="424" w:firstLineChars="202"/>
        <w:rPr>
          <w:rFonts w:hint="eastAsia" w:ascii="宋体" w:hAnsi="宋体"/>
          <w:szCs w:val="21"/>
        </w:rPr>
      </w:pPr>
      <w:r>
        <w:rPr>
          <w:rFonts w:ascii="宋体" w:hAnsi="宋体"/>
          <w:szCs w:val="21"/>
        </w:rPr>
        <w:t>中信证券托管业务运行严格遵守国家有关法律法规和行业监管规则，</w:t>
      </w:r>
      <w:r>
        <w:rPr>
          <w:rFonts w:hint="eastAsia" w:ascii="宋体" w:hAnsi="宋体"/>
          <w:szCs w:val="21"/>
        </w:rPr>
        <w:t>秉承</w:t>
      </w:r>
      <w:r>
        <w:rPr>
          <w:rFonts w:ascii="宋体" w:hAnsi="宋体"/>
          <w:szCs w:val="21"/>
        </w:rPr>
        <w:t>守法经营、规范运作的经营</w:t>
      </w:r>
      <w:r>
        <w:rPr>
          <w:rFonts w:hint="eastAsia" w:ascii="宋体" w:hAnsi="宋体"/>
          <w:szCs w:val="21"/>
        </w:rPr>
        <w:t>理念</w:t>
      </w:r>
      <w:r>
        <w:rPr>
          <w:rFonts w:ascii="宋体" w:hAnsi="宋体"/>
          <w:szCs w:val="21"/>
        </w:rPr>
        <w:t>，</w:t>
      </w:r>
      <w:r>
        <w:rPr>
          <w:rFonts w:hint="eastAsia" w:ascii="宋体" w:hAnsi="宋体"/>
          <w:szCs w:val="21"/>
        </w:rPr>
        <w:t>通过建立</w:t>
      </w:r>
      <w:r>
        <w:rPr>
          <w:rFonts w:ascii="宋体" w:hAnsi="宋体"/>
          <w:szCs w:val="21"/>
        </w:rPr>
        <w:t>流程化、</w:t>
      </w:r>
      <w:r>
        <w:rPr>
          <w:rFonts w:hint="eastAsia" w:ascii="宋体" w:hAnsi="宋体"/>
          <w:szCs w:val="21"/>
        </w:rPr>
        <w:t>制度化、</w:t>
      </w:r>
      <w:r>
        <w:rPr>
          <w:rFonts w:ascii="宋体" w:hAnsi="宋体"/>
          <w:szCs w:val="21"/>
        </w:rPr>
        <w:t>科学化的</w:t>
      </w:r>
      <w:r>
        <w:rPr>
          <w:rFonts w:hint="eastAsia" w:ascii="宋体" w:hAnsi="宋体"/>
          <w:szCs w:val="21"/>
        </w:rPr>
        <w:t>内部控制</w:t>
      </w:r>
      <w:r>
        <w:rPr>
          <w:rFonts w:ascii="宋体" w:hAnsi="宋体"/>
          <w:szCs w:val="21"/>
        </w:rPr>
        <w:t>体系</w:t>
      </w:r>
      <w:r>
        <w:rPr>
          <w:rFonts w:hint="eastAsia" w:ascii="宋体" w:hAnsi="宋体"/>
          <w:szCs w:val="21"/>
        </w:rPr>
        <w:t>，有效</w:t>
      </w:r>
      <w:r>
        <w:rPr>
          <w:rFonts w:ascii="宋体" w:hAnsi="宋体"/>
          <w:szCs w:val="21"/>
        </w:rPr>
        <w:t>防范和化解经营风险，</w:t>
      </w:r>
      <w:r>
        <w:rPr>
          <w:rFonts w:hint="eastAsia" w:ascii="宋体" w:hAnsi="宋体"/>
          <w:szCs w:val="21"/>
        </w:rPr>
        <w:t>切实保障</w:t>
      </w:r>
      <w:r>
        <w:rPr>
          <w:rFonts w:ascii="宋体" w:hAnsi="宋体"/>
          <w:szCs w:val="21"/>
        </w:rPr>
        <w:t>托管资产的安全完整，维护基金份额持有人的合法权益，</w:t>
      </w:r>
      <w:r>
        <w:rPr>
          <w:rFonts w:hint="eastAsia" w:ascii="宋体" w:hAnsi="宋体"/>
          <w:szCs w:val="21"/>
        </w:rPr>
        <w:t>确保</w:t>
      </w:r>
      <w:r>
        <w:rPr>
          <w:rFonts w:ascii="宋体" w:hAnsi="宋体"/>
          <w:szCs w:val="21"/>
        </w:rPr>
        <w:t>托管业务安全、</w:t>
      </w:r>
      <w:r>
        <w:rPr>
          <w:rFonts w:hint="eastAsia" w:ascii="宋体" w:hAnsi="宋体"/>
          <w:szCs w:val="21"/>
        </w:rPr>
        <w:t>高</w:t>
      </w:r>
      <w:r>
        <w:rPr>
          <w:rFonts w:ascii="宋体" w:hAnsi="宋体"/>
          <w:szCs w:val="21"/>
        </w:rPr>
        <w:t>效、稳健运行。</w:t>
      </w:r>
    </w:p>
    <w:p w14:paraId="75EE295F">
      <w:pPr>
        <w:snapToGrid w:val="0"/>
        <w:spacing w:line="360" w:lineRule="auto"/>
        <w:ind w:firstLine="424" w:firstLineChars="202"/>
        <w:rPr>
          <w:rFonts w:hint="eastAsia" w:ascii="宋体" w:hAnsi="宋体"/>
          <w:szCs w:val="21"/>
        </w:rPr>
      </w:pPr>
      <w:r>
        <w:rPr>
          <w:rFonts w:ascii="宋体" w:hAnsi="宋体"/>
          <w:szCs w:val="21"/>
        </w:rPr>
        <w:t>2、内部控制原则</w:t>
      </w:r>
    </w:p>
    <w:p w14:paraId="7A091154">
      <w:pPr>
        <w:snapToGrid w:val="0"/>
        <w:spacing w:line="360" w:lineRule="auto"/>
        <w:ind w:firstLine="424" w:firstLineChars="202"/>
        <w:rPr>
          <w:rFonts w:hint="eastAsia" w:ascii="宋体" w:hAnsi="宋体"/>
          <w:szCs w:val="21"/>
        </w:rPr>
      </w:pPr>
      <w:r>
        <w:rPr>
          <w:rFonts w:ascii="宋体" w:hAnsi="宋体"/>
          <w:szCs w:val="21"/>
        </w:rPr>
        <w:t>（</w:t>
      </w:r>
      <w:r>
        <w:rPr>
          <w:rFonts w:hint="eastAsia" w:ascii="宋体" w:hAnsi="宋体"/>
          <w:szCs w:val="21"/>
        </w:rPr>
        <w:t>1</w:t>
      </w:r>
      <w:r>
        <w:rPr>
          <w:rFonts w:ascii="宋体" w:hAnsi="宋体"/>
          <w:szCs w:val="21"/>
        </w:rPr>
        <w:t>）合法合规原则：内控制度</w:t>
      </w:r>
      <w:r>
        <w:rPr>
          <w:rFonts w:hint="eastAsia" w:ascii="宋体" w:hAnsi="宋体"/>
          <w:szCs w:val="21"/>
        </w:rPr>
        <w:t>的建设与执行</w:t>
      </w:r>
      <w:r>
        <w:rPr>
          <w:rFonts w:ascii="宋体" w:hAnsi="宋体"/>
          <w:szCs w:val="21"/>
        </w:rPr>
        <w:t>应当符合国家法律法规及监管要求，并贯穿于托管业务经营管理活动的始终；</w:t>
      </w:r>
    </w:p>
    <w:p w14:paraId="2B1CD3A1">
      <w:pPr>
        <w:snapToGrid w:val="0"/>
        <w:spacing w:line="360" w:lineRule="auto"/>
        <w:ind w:firstLine="424" w:firstLineChars="202"/>
        <w:rPr>
          <w:rFonts w:hint="eastAsia" w:ascii="宋体" w:hAnsi="宋体"/>
          <w:szCs w:val="21"/>
        </w:rPr>
      </w:pPr>
      <w:r>
        <w:rPr>
          <w:rFonts w:ascii="宋体" w:hAnsi="宋体"/>
          <w:szCs w:val="21"/>
        </w:rPr>
        <w:t>（</w:t>
      </w:r>
      <w:r>
        <w:rPr>
          <w:rFonts w:hint="eastAsia" w:ascii="宋体" w:hAnsi="宋体"/>
          <w:szCs w:val="21"/>
        </w:rPr>
        <w:t>2</w:t>
      </w:r>
      <w:r>
        <w:rPr>
          <w:rFonts w:ascii="宋体" w:hAnsi="宋体"/>
          <w:szCs w:val="21"/>
        </w:rPr>
        <w:t>）完整性原则：</w:t>
      </w:r>
      <w:r>
        <w:rPr>
          <w:rFonts w:hint="eastAsia" w:ascii="宋体" w:hAnsi="宋体"/>
          <w:szCs w:val="21"/>
        </w:rPr>
        <w:t>内部控制应覆盖</w:t>
      </w:r>
      <w:r>
        <w:rPr>
          <w:rFonts w:ascii="宋体" w:hAnsi="宋体"/>
          <w:szCs w:val="21"/>
        </w:rPr>
        <w:t>托管业务的各项经营管理活动</w:t>
      </w:r>
      <w:r>
        <w:rPr>
          <w:rFonts w:hint="eastAsia" w:ascii="宋体" w:hAnsi="宋体"/>
          <w:szCs w:val="21"/>
        </w:rPr>
        <w:t>、各个业务流程和操作环节以及所有的岗位和人员，确保托管业务全流程具备规范的程序和相应的监督机制</w:t>
      </w:r>
      <w:r>
        <w:rPr>
          <w:rFonts w:ascii="宋体" w:hAnsi="宋体"/>
          <w:szCs w:val="21"/>
        </w:rPr>
        <w:t>；</w:t>
      </w:r>
    </w:p>
    <w:p w14:paraId="0E345286">
      <w:pPr>
        <w:snapToGrid w:val="0"/>
        <w:spacing w:line="360" w:lineRule="auto"/>
        <w:ind w:firstLine="424" w:firstLineChars="202"/>
        <w:rPr>
          <w:rFonts w:hint="eastAsia" w:ascii="宋体" w:hAnsi="宋体"/>
          <w:szCs w:val="21"/>
        </w:rPr>
      </w:pPr>
      <w:r>
        <w:rPr>
          <w:rFonts w:ascii="宋体" w:hAnsi="宋体"/>
          <w:szCs w:val="21"/>
        </w:rPr>
        <w:t>（</w:t>
      </w:r>
      <w:r>
        <w:rPr>
          <w:rFonts w:hint="eastAsia" w:ascii="宋体" w:hAnsi="宋体"/>
          <w:szCs w:val="21"/>
        </w:rPr>
        <w:t>3</w:t>
      </w:r>
      <w:r>
        <w:rPr>
          <w:rFonts w:ascii="宋体" w:hAnsi="宋体"/>
          <w:szCs w:val="21"/>
        </w:rPr>
        <w:t>）有效性原则：建立对内控制度及其执行的监督、评价、反馈和完善机制，保证内控制度有效执行；</w:t>
      </w:r>
    </w:p>
    <w:p w14:paraId="6C69A9A9">
      <w:pPr>
        <w:snapToGrid w:val="0"/>
        <w:spacing w:line="360" w:lineRule="auto"/>
        <w:ind w:firstLine="424" w:firstLineChars="202"/>
        <w:rPr>
          <w:rFonts w:hint="eastAsia" w:ascii="宋体" w:hAnsi="宋体"/>
          <w:szCs w:val="21"/>
        </w:rPr>
      </w:pPr>
      <w:r>
        <w:rPr>
          <w:rFonts w:ascii="宋体" w:hAnsi="宋体"/>
          <w:szCs w:val="21"/>
        </w:rPr>
        <w:t>（</w:t>
      </w:r>
      <w:r>
        <w:rPr>
          <w:rFonts w:hint="eastAsia" w:ascii="宋体" w:hAnsi="宋体"/>
          <w:szCs w:val="21"/>
        </w:rPr>
        <w:t>4</w:t>
      </w:r>
      <w:r>
        <w:rPr>
          <w:rFonts w:ascii="宋体" w:hAnsi="宋体"/>
          <w:szCs w:val="21"/>
        </w:rPr>
        <w:t>）审慎性原则：托管业务各项业务活动</w:t>
      </w:r>
      <w:r>
        <w:rPr>
          <w:rFonts w:hint="eastAsia" w:ascii="宋体" w:hAnsi="宋体"/>
          <w:szCs w:val="21"/>
        </w:rPr>
        <w:t>应以</w:t>
      </w:r>
      <w:r>
        <w:rPr>
          <w:rFonts w:ascii="宋体" w:hAnsi="宋体"/>
          <w:szCs w:val="21"/>
        </w:rPr>
        <w:t>防范风险</w:t>
      </w:r>
      <w:r>
        <w:rPr>
          <w:rFonts w:hint="eastAsia" w:ascii="宋体" w:hAnsi="宋体"/>
          <w:szCs w:val="21"/>
        </w:rPr>
        <w:t>为前提</w:t>
      </w:r>
      <w:r>
        <w:rPr>
          <w:rFonts w:ascii="宋体" w:hAnsi="宋体"/>
          <w:szCs w:val="21"/>
        </w:rPr>
        <w:t>，</w:t>
      </w:r>
      <w:r>
        <w:rPr>
          <w:rFonts w:hint="eastAsia" w:ascii="宋体" w:hAnsi="宋体"/>
          <w:szCs w:val="21"/>
        </w:rPr>
        <w:t>坚持</w:t>
      </w:r>
      <w:r>
        <w:rPr>
          <w:rFonts w:ascii="宋体" w:hAnsi="宋体"/>
          <w:szCs w:val="21"/>
        </w:rPr>
        <w:t>审慎经营，</w:t>
      </w:r>
      <w:r>
        <w:rPr>
          <w:rFonts w:hint="eastAsia" w:ascii="宋体" w:hAnsi="宋体"/>
          <w:szCs w:val="21"/>
        </w:rPr>
        <w:t>切实保障</w:t>
      </w:r>
      <w:r>
        <w:rPr>
          <w:rFonts w:ascii="宋体" w:hAnsi="宋体"/>
          <w:szCs w:val="21"/>
        </w:rPr>
        <w:t>基金资产的安全与完整；</w:t>
      </w:r>
    </w:p>
    <w:p w14:paraId="5AE6B9A2">
      <w:pPr>
        <w:snapToGrid w:val="0"/>
        <w:spacing w:line="360" w:lineRule="auto"/>
        <w:ind w:firstLine="424" w:firstLineChars="202"/>
        <w:rPr>
          <w:rFonts w:hint="eastAsia" w:ascii="宋体" w:hAnsi="宋体"/>
          <w:szCs w:val="21"/>
        </w:rPr>
      </w:pPr>
      <w:r>
        <w:rPr>
          <w:rFonts w:ascii="宋体" w:hAnsi="宋体"/>
          <w:szCs w:val="21"/>
        </w:rPr>
        <w:t>（</w:t>
      </w:r>
      <w:r>
        <w:rPr>
          <w:rFonts w:hint="eastAsia" w:ascii="宋体" w:hAnsi="宋体"/>
          <w:szCs w:val="21"/>
        </w:rPr>
        <w:t>5</w:t>
      </w:r>
      <w:r>
        <w:rPr>
          <w:rFonts w:ascii="宋体" w:hAnsi="宋体"/>
          <w:szCs w:val="21"/>
        </w:rPr>
        <w:t>）预防性原则：必须树立“预防为主”的管理理念，控制风险发生的源头，防患于未然，尽量避免业务操作中各种问题的产生；</w:t>
      </w:r>
    </w:p>
    <w:p w14:paraId="3C71DDA3">
      <w:pPr>
        <w:snapToGrid w:val="0"/>
        <w:spacing w:line="360" w:lineRule="auto"/>
        <w:ind w:firstLine="424" w:firstLineChars="202"/>
        <w:rPr>
          <w:rFonts w:hint="eastAsia" w:ascii="宋体" w:hAnsi="宋体"/>
          <w:szCs w:val="21"/>
        </w:rPr>
      </w:pPr>
      <w:r>
        <w:rPr>
          <w:rFonts w:ascii="宋体" w:hAnsi="宋体"/>
          <w:szCs w:val="21"/>
        </w:rPr>
        <w:t>（</w:t>
      </w:r>
      <w:r>
        <w:rPr>
          <w:rFonts w:hint="eastAsia" w:ascii="宋体" w:hAnsi="宋体"/>
          <w:szCs w:val="21"/>
        </w:rPr>
        <w:t>6</w:t>
      </w:r>
      <w:r>
        <w:rPr>
          <w:rFonts w:ascii="宋体" w:hAnsi="宋体"/>
          <w:szCs w:val="21"/>
        </w:rPr>
        <w:t>）及时性原则：内控制度的制定应当具有前瞻性，并且随着托管部经营战略、经营理念等内部环境的变化和国家法律法规、政策制度等外部环境的改变及时</w:t>
      </w:r>
      <w:r>
        <w:rPr>
          <w:rFonts w:hint="eastAsia" w:ascii="宋体" w:hAnsi="宋体"/>
          <w:szCs w:val="21"/>
        </w:rPr>
        <w:t>地</w:t>
      </w:r>
      <w:r>
        <w:rPr>
          <w:rFonts w:ascii="宋体" w:hAnsi="宋体"/>
          <w:szCs w:val="21"/>
        </w:rPr>
        <w:t>修改或完善，</w:t>
      </w:r>
      <w:r>
        <w:rPr>
          <w:rFonts w:hint="eastAsia" w:ascii="宋体" w:hAnsi="宋体"/>
          <w:szCs w:val="21"/>
        </w:rPr>
        <w:t>对</w:t>
      </w:r>
      <w:r>
        <w:rPr>
          <w:rFonts w:ascii="宋体" w:hAnsi="宋体"/>
          <w:szCs w:val="21"/>
        </w:rPr>
        <w:t>发现</w:t>
      </w:r>
      <w:r>
        <w:rPr>
          <w:rFonts w:hint="eastAsia" w:ascii="宋体" w:hAnsi="宋体"/>
          <w:szCs w:val="21"/>
        </w:rPr>
        <w:t>的</w:t>
      </w:r>
      <w:r>
        <w:rPr>
          <w:rFonts w:ascii="宋体" w:hAnsi="宋体"/>
          <w:szCs w:val="21"/>
        </w:rPr>
        <w:t>问题</w:t>
      </w:r>
      <w:r>
        <w:rPr>
          <w:rFonts w:hint="eastAsia" w:ascii="宋体" w:hAnsi="宋体"/>
          <w:szCs w:val="21"/>
        </w:rPr>
        <w:t>应</w:t>
      </w:r>
      <w:r>
        <w:rPr>
          <w:rFonts w:ascii="宋体" w:hAnsi="宋体"/>
          <w:szCs w:val="21"/>
        </w:rPr>
        <w:t>及时处理，堵塞漏洞；</w:t>
      </w:r>
    </w:p>
    <w:p w14:paraId="085299C1">
      <w:pPr>
        <w:snapToGrid w:val="0"/>
        <w:spacing w:line="360" w:lineRule="auto"/>
        <w:ind w:firstLine="424" w:firstLineChars="202"/>
        <w:rPr>
          <w:rFonts w:hint="eastAsia" w:ascii="宋体" w:hAnsi="宋体"/>
          <w:szCs w:val="21"/>
        </w:rPr>
      </w:pPr>
      <w:r>
        <w:rPr>
          <w:rFonts w:ascii="宋体" w:hAnsi="宋体"/>
          <w:szCs w:val="21"/>
        </w:rPr>
        <w:t>（</w:t>
      </w:r>
      <w:r>
        <w:rPr>
          <w:rFonts w:hint="eastAsia" w:ascii="宋体" w:hAnsi="宋体"/>
          <w:szCs w:val="21"/>
        </w:rPr>
        <w:t>7</w:t>
      </w:r>
      <w:r>
        <w:rPr>
          <w:rFonts w:ascii="宋体" w:hAnsi="宋体"/>
          <w:szCs w:val="21"/>
        </w:rPr>
        <w:t>）独立性原则：</w:t>
      </w:r>
      <w:r>
        <w:rPr>
          <w:rFonts w:hint="eastAsia" w:ascii="宋体" w:hAnsi="宋体"/>
          <w:szCs w:val="21"/>
        </w:rPr>
        <w:t>确保</w:t>
      </w:r>
      <w:r>
        <w:rPr>
          <w:rFonts w:ascii="宋体" w:hAnsi="宋体"/>
          <w:szCs w:val="21"/>
        </w:rPr>
        <w:t>托管的基金资产、托管人自有资产、托管的其他资产</w:t>
      </w:r>
      <w:r>
        <w:rPr>
          <w:rFonts w:hint="eastAsia" w:ascii="宋体" w:hAnsi="宋体"/>
          <w:szCs w:val="21"/>
        </w:rPr>
        <w:t>相互</w:t>
      </w:r>
      <w:r>
        <w:rPr>
          <w:rFonts w:ascii="宋体" w:hAnsi="宋体"/>
          <w:szCs w:val="21"/>
        </w:rPr>
        <w:t>分离；</w:t>
      </w:r>
      <w:r>
        <w:rPr>
          <w:rFonts w:hint="eastAsia" w:ascii="宋体" w:hAnsi="宋体"/>
          <w:szCs w:val="21"/>
        </w:rPr>
        <w:t>业务</w:t>
      </w:r>
      <w:r>
        <w:rPr>
          <w:rFonts w:ascii="宋体" w:hAnsi="宋体"/>
          <w:szCs w:val="21"/>
        </w:rPr>
        <w:t>操作人员和</w:t>
      </w:r>
      <w:r>
        <w:rPr>
          <w:rFonts w:hint="eastAsia" w:ascii="宋体" w:hAnsi="宋体"/>
          <w:szCs w:val="21"/>
        </w:rPr>
        <w:t>风险</w:t>
      </w:r>
      <w:r>
        <w:rPr>
          <w:rFonts w:ascii="宋体" w:hAnsi="宋体"/>
          <w:szCs w:val="21"/>
        </w:rPr>
        <w:t>控制人员应</w:t>
      </w:r>
      <w:r>
        <w:rPr>
          <w:rFonts w:hint="eastAsia" w:ascii="宋体" w:hAnsi="宋体"/>
          <w:szCs w:val="21"/>
        </w:rPr>
        <w:t>保持相对独立</w:t>
      </w:r>
      <w:r>
        <w:rPr>
          <w:rFonts w:ascii="宋体" w:hAnsi="宋体"/>
          <w:szCs w:val="21"/>
        </w:rPr>
        <w:t>；内控制度的检查、评价小组必须独立于内控制度的制定和执行小组；</w:t>
      </w:r>
    </w:p>
    <w:p w14:paraId="2750AD98">
      <w:pPr>
        <w:snapToGrid w:val="0"/>
        <w:spacing w:line="360" w:lineRule="auto"/>
        <w:ind w:firstLine="424" w:firstLineChars="202"/>
        <w:rPr>
          <w:rFonts w:hint="eastAsia" w:ascii="宋体" w:hAnsi="宋体"/>
          <w:szCs w:val="21"/>
        </w:rPr>
      </w:pPr>
      <w:r>
        <w:rPr>
          <w:rFonts w:ascii="宋体" w:hAnsi="宋体"/>
          <w:szCs w:val="21"/>
        </w:rPr>
        <w:t>（</w:t>
      </w:r>
      <w:r>
        <w:rPr>
          <w:rFonts w:hint="eastAsia" w:ascii="宋体" w:hAnsi="宋体"/>
          <w:szCs w:val="21"/>
        </w:rPr>
        <w:t>8</w:t>
      </w:r>
      <w:r>
        <w:rPr>
          <w:rFonts w:ascii="宋体" w:hAnsi="宋体"/>
          <w:szCs w:val="21"/>
        </w:rPr>
        <w:t>）相互制约原则：托管部的内部机构和岗位设置应当权责分明、相互制衡</w:t>
      </w:r>
      <w:r>
        <w:rPr>
          <w:rFonts w:hint="eastAsia" w:ascii="宋体" w:hAnsi="宋体"/>
          <w:szCs w:val="21"/>
        </w:rPr>
        <w:t>。</w:t>
      </w:r>
    </w:p>
    <w:p w14:paraId="65EBB3A6">
      <w:pPr>
        <w:snapToGrid w:val="0"/>
        <w:spacing w:line="360" w:lineRule="auto"/>
        <w:ind w:firstLine="424" w:firstLineChars="202"/>
        <w:rPr>
          <w:rFonts w:hint="eastAsia" w:ascii="宋体" w:hAnsi="宋体"/>
          <w:szCs w:val="21"/>
        </w:rPr>
      </w:pPr>
      <w:r>
        <w:rPr>
          <w:rFonts w:ascii="宋体" w:hAnsi="宋体"/>
          <w:szCs w:val="21"/>
        </w:rPr>
        <w:t>3、内部控制制度及措施</w:t>
      </w:r>
    </w:p>
    <w:p w14:paraId="27399665">
      <w:pPr>
        <w:snapToGrid w:val="0"/>
        <w:spacing w:line="360" w:lineRule="auto"/>
        <w:ind w:firstLine="424" w:firstLineChars="202"/>
        <w:rPr>
          <w:rFonts w:hint="eastAsia" w:ascii="宋体" w:hAnsi="宋体"/>
          <w:szCs w:val="21"/>
        </w:rPr>
      </w:pPr>
      <w:r>
        <w:rPr>
          <w:rFonts w:ascii="宋体" w:hAnsi="宋体"/>
          <w:szCs w:val="21"/>
        </w:rPr>
        <w:t>根据《证券投资基金法》、《证券投资基金托管业务管理办法》等法律法规的规定，中信证券制定了一整套严密、高效的证券投资基金托管业务的规章制度，确保基金托管业务运行的规范、安全以及高效。</w:t>
      </w:r>
    </w:p>
    <w:p w14:paraId="68F879B6">
      <w:pPr>
        <w:snapToGrid w:val="0"/>
        <w:spacing w:line="360" w:lineRule="auto"/>
        <w:ind w:firstLine="424" w:firstLineChars="202"/>
        <w:rPr>
          <w:rFonts w:hint="eastAsia" w:ascii="宋体" w:hAnsi="宋体"/>
          <w:szCs w:val="21"/>
        </w:rPr>
      </w:pPr>
      <w:r>
        <w:rPr>
          <w:rFonts w:ascii="宋体" w:hAnsi="宋体"/>
          <w:szCs w:val="21"/>
        </w:rPr>
        <w:t>主要制度包括《</w:t>
      </w:r>
      <w:r>
        <w:rPr>
          <w:rFonts w:hint="eastAsia" w:ascii="宋体" w:hAnsi="宋体"/>
          <w:szCs w:val="21"/>
        </w:rPr>
        <w:t>中信证券股份有限公司证券投资基金托管业务管理办法</w:t>
      </w:r>
      <w:r>
        <w:rPr>
          <w:rFonts w:ascii="宋体" w:hAnsi="宋体"/>
          <w:szCs w:val="21"/>
        </w:rPr>
        <w:t>》《</w:t>
      </w:r>
      <w:r>
        <w:rPr>
          <w:rFonts w:hint="eastAsia" w:ascii="宋体" w:hAnsi="宋体"/>
          <w:szCs w:val="21"/>
        </w:rPr>
        <w:t>中信证券股份有限公司证券投资基金托管业务内部控制和风险管理办法</w:t>
      </w:r>
      <w:r>
        <w:rPr>
          <w:rFonts w:ascii="宋体" w:hAnsi="宋体"/>
          <w:szCs w:val="21"/>
        </w:rPr>
        <w:t>》《</w:t>
      </w:r>
      <w:r>
        <w:rPr>
          <w:rFonts w:hint="eastAsia" w:ascii="宋体" w:hAnsi="宋体"/>
          <w:szCs w:val="21"/>
        </w:rPr>
        <w:t>中信证券股份有限公司托管业务投资监督管理办法</w:t>
      </w:r>
      <w:r>
        <w:rPr>
          <w:rFonts w:ascii="宋体" w:hAnsi="宋体"/>
          <w:szCs w:val="21"/>
        </w:rPr>
        <w:t>》《</w:t>
      </w:r>
      <w:r>
        <w:rPr>
          <w:rFonts w:hint="eastAsia" w:ascii="宋体" w:hAnsi="宋体"/>
          <w:szCs w:val="21"/>
        </w:rPr>
        <w:t>中信证券股份有限公司证券投资基金托管业务会计核算业务管理办法</w:t>
      </w:r>
      <w:r>
        <w:rPr>
          <w:rFonts w:ascii="宋体" w:hAnsi="宋体"/>
          <w:szCs w:val="21"/>
        </w:rPr>
        <w:t>》《</w:t>
      </w:r>
      <w:r>
        <w:rPr>
          <w:rFonts w:hint="eastAsia" w:ascii="宋体" w:hAnsi="宋体"/>
          <w:szCs w:val="21"/>
        </w:rPr>
        <w:t>中信证券股份有限公司托管业务资产保管管理办法</w:t>
      </w:r>
      <w:r>
        <w:rPr>
          <w:rFonts w:ascii="宋体" w:hAnsi="宋体"/>
          <w:szCs w:val="21"/>
        </w:rPr>
        <w:t>》《</w:t>
      </w:r>
      <w:r>
        <w:rPr>
          <w:rFonts w:hint="eastAsia" w:ascii="宋体" w:hAnsi="宋体"/>
          <w:szCs w:val="21"/>
        </w:rPr>
        <w:t>中信证券股份有限公司托管业务清算管理办法</w:t>
      </w:r>
      <w:r>
        <w:rPr>
          <w:rFonts w:ascii="宋体" w:hAnsi="宋体"/>
          <w:szCs w:val="21"/>
        </w:rPr>
        <w:t>》《</w:t>
      </w:r>
      <w:r>
        <w:rPr>
          <w:rFonts w:hint="eastAsia" w:ascii="宋体" w:hAnsi="宋体"/>
          <w:szCs w:val="21"/>
        </w:rPr>
        <w:t>中信证券股份有限公司公开募集证券投资基金托管业务信息披露实施细则</w:t>
      </w:r>
      <w:r>
        <w:rPr>
          <w:rFonts w:ascii="宋体" w:hAnsi="宋体"/>
          <w:szCs w:val="21"/>
        </w:rPr>
        <w:t>》《</w:t>
      </w:r>
      <w:r>
        <w:rPr>
          <w:rFonts w:hint="eastAsia" w:ascii="宋体" w:hAnsi="宋体"/>
          <w:szCs w:val="21"/>
        </w:rPr>
        <w:t>中信证券股份有限公司托管部基金从业人员管理办法</w:t>
      </w:r>
      <w:r>
        <w:rPr>
          <w:rFonts w:ascii="宋体" w:hAnsi="宋体"/>
          <w:szCs w:val="21"/>
        </w:rPr>
        <w:t>》《</w:t>
      </w:r>
      <w:r>
        <w:rPr>
          <w:rFonts w:hint="eastAsia" w:ascii="宋体" w:hAnsi="宋体"/>
          <w:szCs w:val="21"/>
        </w:rPr>
        <w:t>中信证券股份有限公司托管业务档案管理办法</w:t>
      </w:r>
      <w:r>
        <w:rPr>
          <w:rFonts w:ascii="宋体" w:hAnsi="宋体"/>
          <w:szCs w:val="21"/>
        </w:rPr>
        <w:t>》</w:t>
      </w:r>
      <w:r>
        <w:rPr>
          <w:rFonts w:hint="eastAsia" w:ascii="宋体" w:hAnsi="宋体"/>
          <w:szCs w:val="21"/>
        </w:rPr>
        <w:t xml:space="preserve"> </w:t>
      </w:r>
      <w:r>
        <w:rPr>
          <w:rFonts w:ascii="宋体" w:hAnsi="宋体"/>
          <w:szCs w:val="21"/>
        </w:rPr>
        <w:t>《</w:t>
      </w:r>
      <w:r>
        <w:rPr>
          <w:rFonts w:hint="eastAsia" w:ascii="宋体" w:hAnsi="宋体"/>
          <w:szCs w:val="21"/>
        </w:rPr>
        <w:t>中信证券股份有限公司托管部保密工作管理办法</w:t>
      </w:r>
      <w:r>
        <w:rPr>
          <w:rFonts w:ascii="宋体" w:hAnsi="宋体"/>
          <w:szCs w:val="21"/>
        </w:rPr>
        <w:t>》等，并根据市场变化和基金业务的发展不断加以完善。通过这些规章制度的建立和实施，做到业务分工合理、业务运行和操作流程化、技术系统完整独立、核心业务相互隔离以及有关信息披露由专人负责，勤勉尽责的履行托管义务。</w:t>
      </w:r>
    </w:p>
    <w:p w14:paraId="6EB2A736">
      <w:pPr>
        <w:snapToGrid w:val="0"/>
        <w:spacing w:line="360" w:lineRule="auto"/>
        <w:ind w:firstLine="424" w:firstLineChars="202"/>
        <w:rPr>
          <w:rFonts w:hint="eastAsia" w:ascii="宋体" w:hAnsi="宋体"/>
          <w:szCs w:val="21"/>
        </w:rPr>
      </w:pPr>
      <w:r>
        <w:rPr>
          <w:rFonts w:ascii="宋体" w:hAnsi="宋体"/>
          <w:szCs w:val="21"/>
        </w:rPr>
        <w:t>托管业务内部控制的内容主要涉及托管</w:t>
      </w:r>
      <w:r>
        <w:rPr>
          <w:rFonts w:hint="eastAsia" w:ascii="宋体" w:hAnsi="宋体"/>
          <w:szCs w:val="21"/>
        </w:rPr>
        <w:t>引入</w:t>
      </w:r>
      <w:r>
        <w:rPr>
          <w:rFonts w:ascii="宋体" w:hAnsi="宋体"/>
          <w:szCs w:val="21"/>
        </w:rPr>
        <w:t>、资产保管、资金清算、会计核算和资产估值、投资监督、信息技术系统等重要业务环节的内部控制。基金托管人通过对基金托管业务各环节风险的事前揭示、事中控制和事后稽核的动态管理过程来实施内部风险控制。同时为了保证和验证内部控制的有效性、完整性，中信证券定期聘请具有证券业务资格的专业会计师事务所，针对基金托管业务的</w:t>
      </w:r>
      <w:r>
        <w:rPr>
          <w:rFonts w:hint="eastAsia" w:ascii="宋体" w:hAnsi="宋体"/>
          <w:szCs w:val="21"/>
        </w:rPr>
        <w:t>服务体系、</w:t>
      </w:r>
      <w:r>
        <w:rPr>
          <w:rFonts w:ascii="宋体" w:hAnsi="宋体"/>
          <w:szCs w:val="21"/>
        </w:rPr>
        <w:t>内部控制</w:t>
      </w:r>
      <w:r>
        <w:rPr>
          <w:rFonts w:hint="eastAsia" w:ascii="宋体" w:hAnsi="宋体"/>
          <w:szCs w:val="21"/>
        </w:rPr>
        <w:t>的设计及运行有效性</w:t>
      </w:r>
      <w:r>
        <w:rPr>
          <w:rFonts w:ascii="宋体" w:hAnsi="宋体"/>
          <w:szCs w:val="21"/>
        </w:rPr>
        <w:t>开展</w:t>
      </w:r>
      <w:r>
        <w:rPr>
          <w:rFonts w:hint="eastAsia" w:ascii="宋体" w:hAnsi="宋体"/>
          <w:szCs w:val="21"/>
        </w:rPr>
        <w:t>独立</w:t>
      </w:r>
      <w:r>
        <w:rPr>
          <w:rFonts w:ascii="宋体" w:hAnsi="宋体"/>
          <w:szCs w:val="21"/>
        </w:rPr>
        <w:t>审查与评估，</w:t>
      </w:r>
      <w:r>
        <w:rPr>
          <w:rFonts w:hint="eastAsia" w:ascii="宋体" w:hAnsi="宋体"/>
          <w:szCs w:val="21"/>
        </w:rPr>
        <w:t>自2016年起每年均通过ISAE3402国际鉴证，中信证券托管业务质量、风险管理、内部控制方面的健全性和有效性得到第三方独立机构的全面认可</w:t>
      </w:r>
      <w:r>
        <w:rPr>
          <w:rFonts w:ascii="宋体" w:hAnsi="宋体"/>
          <w:szCs w:val="21"/>
        </w:rPr>
        <w:t>。</w:t>
      </w:r>
    </w:p>
    <w:p w14:paraId="0B523F4B">
      <w:pPr>
        <w:snapToGrid w:val="0"/>
        <w:spacing w:line="360" w:lineRule="auto"/>
        <w:ind w:firstLine="424" w:firstLineChars="202"/>
        <w:rPr>
          <w:rFonts w:hint="eastAsia" w:ascii="宋体" w:hAnsi="宋体"/>
          <w:szCs w:val="21"/>
        </w:rPr>
      </w:pPr>
      <w:r>
        <w:rPr>
          <w:rFonts w:ascii="宋体" w:hAnsi="宋体"/>
          <w:szCs w:val="21"/>
        </w:rPr>
        <w:t>托管业务内部控制的主要措施包括：不相容职务分离控制、授权审批控制、财产保护控制、会计系统控制、预算控制、运营分析控制和绩效考评控制等。</w:t>
      </w:r>
    </w:p>
    <w:p w14:paraId="2B06563C">
      <w:pPr>
        <w:snapToGrid w:val="0"/>
        <w:spacing w:line="360" w:lineRule="auto"/>
        <w:ind w:firstLine="424" w:firstLineChars="202"/>
        <w:rPr>
          <w:rFonts w:hint="eastAsia" w:ascii="宋体" w:hAnsi="宋体"/>
          <w:szCs w:val="21"/>
        </w:rPr>
      </w:pPr>
      <w:r>
        <w:rPr>
          <w:rFonts w:hint="eastAsia" w:ascii="宋体" w:hAnsi="宋体"/>
          <w:szCs w:val="21"/>
        </w:rPr>
        <w:t>（三）</w:t>
      </w:r>
      <w:r>
        <w:rPr>
          <w:rFonts w:ascii="宋体" w:hAnsi="宋体"/>
          <w:szCs w:val="21"/>
        </w:rPr>
        <w:t>基金托管人对基金管理人运作基金进行监督的方法和程序</w:t>
      </w:r>
    </w:p>
    <w:p w14:paraId="771D4796">
      <w:pPr>
        <w:snapToGrid w:val="0"/>
        <w:spacing w:line="360" w:lineRule="auto"/>
        <w:ind w:firstLine="424" w:firstLineChars="202"/>
        <w:rPr>
          <w:rFonts w:hint="eastAsia" w:ascii="宋体" w:hAnsi="宋体"/>
          <w:szCs w:val="21"/>
        </w:rPr>
      </w:pPr>
      <w:r>
        <w:rPr>
          <w:rFonts w:ascii="宋体" w:hAnsi="宋体"/>
          <w:szCs w:val="21"/>
        </w:rPr>
        <w:t>1、监督方法</w:t>
      </w:r>
    </w:p>
    <w:p w14:paraId="548AE3A1">
      <w:pPr>
        <w:snapToGrid w:val="0"/>
        <w:spacing w:line="360" w:lineRule="auto"/>
        <w:ind w:firstLine="424" w:firstLineChars="202"/>
        <w:rPr>
          <w:rFonts w:hint="eastAsia" w:ascii="宋体" w:hAnsi="宋体"/>
          <w:szCs w:val="21"/>
        </w:rPr>
      </w:pPr>
      <w:r>
        <w:rPr>
          <w:rFonts w:ascii="宋体" w:hAnsi="宋体"/>
          <w:szCs w:val="21"/>
        </w:rPr>
        <w:t>基金托管人依照《基金法》及其配套法规和基金合同</w:t>
      </w:r>
      <w:r>
        <w:rPr>
          <w:rFonts w:hint="eastAsia" w:ascii="宋体" w:hAnsi="宋体"/>
          <w:szCs w:val="21"/>
        </w:rPr>
        <w:t>、托管协议</w:t>
      </w:r>
      <w:r>
        <w:rPr>
          <w:rFonts w:ascii="宋体" w:hAnsi="宋体"/>
          <w:szCs w:val="21"/>
        </w:rPr>
        <w:t>的约定，监督所托管基金的投资运作。严格按照现行法律法规以及基金合同</w:t>
      </w:r>
      <w:r>
        <w:rPr>
          <w:rFonts w:hint="eastAsia" w:ascii="宋体" w:hAnsi="宋体"/>
          <w:szCs w:val="21"/>
        </w:rPr>
        <w:t>、托管协议</w:t>
      </w:r>
      <w:r>
        <w:rPr>
          <w:rFonts w:ascii="宋体" w:hAnsi="宋体"/>
          <w:szCs w:val="21"/>
        </w:rPr>
        <w:t>规定，对基金管理人运作基金的投资比例、投资范围、投资组合等情况进行监督。在日常为基金投资运作所提供的基金清算和核算服务环节中，对基金管理人发送的投资指令、基金管理人对各基金费用的提取与开支情况进行检查监督。</w:t>
      </w:r>
    </w:p>
    <w:p w14:paraId="1E6E27F7">
      <w:pPr>
        <w:snapToGrid w:val="0"/>
        <w:spacing w:line="360" w:lineRule="auto"/>
        <w:ind w:firstLine="424" w:firstLineChars="202"/>
        <w:rPr>
          <w:rFonts w:hint="eastAsia" w:ascii="宋体" w:hAnsi="宋体"/>
          <w:szCs w:val="21"/>
        </w:rPr>
      </w:pPr>
      <w:r>
        <w:rPr>
          <w:rFonts w:ascii="宋体" w:hAnsi="宋体"/>
          <w:szCs w:val="21"/>
        </w:rPr>
        <w:t>2、监督流程</w:t>
      </w:r>
    </w:p>
    <w:p w14:paraId="3D3E9DFC">
      <w:pPr>
        <w:snapToGrid w:val="0"/>
        <w:spacing w:line="360" w:lineRule="auto"/>
        <w:ind w:firstLine="424" w:firstLineChars="202"/>
        <w:rPr>
          <w:rFonts w:hint="eastAsia" w:ascii="宋体" w:hAnsi="宋体"/>
          <w:szCs w:val="21"/>
        </w:rPr>
      </w:pPr>
      <w:r>
        <w:rPr>
          <w:rFonts w:ascii="宋体" w:hAnsi="宋体"/>
          <w:szCs w:val="21"/>
        </w:rPr>
        <w:t>（1）每工作日按时通过监控系统，对各基金投资运作比例等控制指标进行例行监控，发现投资比例超标等异常情况，</w:t>
      </w:r>
      <w:r>
        <w:rPr>
          <w:rFonts w:hint="eastAsia" w:ascii="宋体" w:hAnsi="宋体"/>
          <w:szCs w:val="21"/>
        </w:rPr>
        <w:t>通知基金管理人</w:t>
      </w:r>
      <w:r>
        <w:rPr>
          <w:rFonts w:ascii="宋体" w:hAnsi="宋体"/>
          <w:szCs w:val="21"/>
        </w:rPr>
        <w:t>，与基金管理人进行情况核实，督促其纠正，并根据具体情况及时报告中国证监会。</w:t>
      </w:r>
    </w:p>
    <w:p w14:paraId="497D6539">
      <w:pPr>
        <w:snapToGrid w:val="0"/>
        <w:spacing w:line="360" w:lineRule="auto"/>
        <w:ind w:firstLine="424" w:firstLineChars="202"/>
        <w:rPr>
          <w:rFonts w:hint="eastAsia" w:ascii="宋体" w:hAnsi="宋体"/>
          <w:szCs w:val="21"/>
        </w:rPr>
      </w:pPr>
      <w:r>
        <w:rPr>
          <w:rFonts w:ascii="宋体" w:hAnsi="宋体"/>
          <w:szCs w:val="21"/>
        </w:rPr>
        <w:t>（2）收到基金管理人的投资指令后，对涉及各基金的投资范围、投资对象等内容进行合法合规性监督。</w:t>
      </w:r>
    </w:p>
    <w:p w14:paraId="7B0D8DA2">
      <w:pPr>
        <w:snapToGrid w:val="0"/>
        <w:spacing w:line="360" w:lineRule="auto"/>
        <w:ind w:firstLine="424" w:firstLineChars="202"/>
        <w:rPr>
          <w:rFonts w:hint="eastAsia" w:ascii="宋体" w:hAnsi="宋体"/>
          <w:szCs w:val="21"/>
        </w:rPr>
      </w:pPr>
      <w:r>
        <w:rPr>
          <w:rFonts w:ascii="宋体" w:hAnsi="宋体"/>
          <w:szCs w:val="21"/>
        </w:rPr>
        <w:t>（3）根据基金投资运作情况，编写托管人</w:t>
      </w:r>
      <w:r>
        <w:rPr>
          <w:rFonts w:hint="eastAsia" w:ascii="宋体" w:hAnsi="宋体"/>
          <w:szCs w:val="21"/>
        </w:rPr>
        <w:t>年度</w:t>
      </w:r>
      <w:r>
        <w:rPr>
          <w:rFonts w:ascii="宋体" w:hAnsi="宋体"/>
          <w:szCs w:val="21"/>
        </w:rPr>
        <w:t>报告，对各基金投资运作的合法合规性等方面进行评价。</w:t>
      </w:r>
    </w:p>
    <w:p w14:paraId="5A8F16B4">
      <w:pPr>
        <w:snapToGrid w:val="0"/>
        <w:spacing w:line="360" w:lineRule="auto"/>
        <w:ind w:firstLine="424" w:firstLineChars="202"/>
        <w:rPr>
          <w:rFonts w:hint="eastAsia" w:ascii="宋体" w:hAnsi="宋体"/>
          <w:szCs w:val="21"/>
        </w:rPr>
      </w:pPr>
      <w:r>
        <w:rPr>
          <w:rFonts w:ascii="宋体" w:hAnsi="宋体"/>
          <w:szCs w:val="21"/>
        </w:rPr>
        <w:t>（4）通过技术或非技术手段发现基金涉嫌违规交易，电话或书面要求管理人进行解释或举证，并及时报告中国证监会。</w:t>
      </w:r>
    </w:p>
    <w:p w14:paraId="6ED934BB">
      <w:pPr>
        <w:widowControl/>
        <w:adjustRightInd w:val="0"/>
        <w:snapToGrid w:val="0"/>
        <w:spacing w:line="360" w:lineRule="auto"/>
        <w:ind w:firstLine="420" w:firstLineChars="200"/>
        <w:rPr>
          <w:color w:val="000000"/>
          <w:kern w:val="0"/>
          <w:szCs w:val="21"/>
        </w:rPr>
        <w:sectPr>
          <w:footerReference r:id="rId17" w:type="first"/>
          <w:footerReference r:id="rId16" w:type="default"/>
          <w:pgSz w:w="11906" w:h="16838"/>
          <w:pgMar w:top="1440" w:right="1800" w:bottom="1440" w:left="1800" w:header="851" w:footer="992" w:gutter="0"/>
          <w:cols w:space="720" w:num="1"/>
          <w:titlePg/>
          <w:docGrid w:linePitch="312" w:charSpace="0"/>
        </w:sectPr>
      </w:pPr>
      <w:bookmarkStart w:id="19" w:name="_Toc152661674"/>
      <w:bookmarkEnd w:id="19"/>
      <w:bookmarkStart w:id="20" w:name="_Toc152661961"/>
      <w:bookmarkEnd w:id="20"/>
      <w:bookmarkStart w:id="21" w:name="_Toc152661673"/>
      <w:bookmarkEnd w:id="21"/>
      <w:bookmarkStart w:id="22" w:name="_Toc152663458"/>
      <w:bookmarkEnd w:id="22"/>
      <w:bookmarkStart w:id="23" w:name="_Toc152657539"/>
      <w:bookmarkEnd w:id="23"/>
      <w:bookmarkStart w:id="24" w:name="_Toc152664591"/>
      <w:bookmarkEnd w:id="24"/>
      <w:bookmarkStart w:id="25" w:name="_Toc152657454"/>
      <w:bookmarkEnd w:id="25"/>
      <w:bookmarkStart w:id="26" w:name="_Toc152760416"/>
      <w:bookmarkEnd w:id="26"/>
      <w:bookmarkStart w:id="27" w:name="_Toc152668756"/>
      <w:bookmarkEnd w:id="27"/>
      <w:bookmarkStart w:id="28" w:name="_Toc152664815"/>
      <w:bookmarkEnd w:id="28"/>
      <w:bookmarkStart w:id="29" w:name="_Toc152657541"/>
      <w:bookmarkEnd w:id="29"/>
      <w:bookmarkStart w:id="30" w:name="_Toc152664817"/>
      <w:bookmarkEnd w:id="30"/>
      <w:bookmarkStart w:id="31" w:name="_Toc152760417"/>
      <w:bookmarkEnd w:id="31"/>
      <w:bookmarkStart w:id="32" w:name="_Toc152664331"/>
      <w:bookmarkEnd w:id="32"/>
      <w:bookmarkStart w:id="33" w:name="_Toc152663457"/>
      <w:bookmarkEnd w:id="33"/>
      <w:bookmarkStart w:id="34" w:name="_Toc152663656"/>
      <w:bookmarkEnd w:id="34"/>
      <w:bookmarkStart w:id="35" w:name="_Toc152664590"/>
      <w:bookmarkEnd w:id="35"/>
      <w:bookmarkStart w:id="36" w:name="_Toc152646245"/>
      <w:bookmarkEnd w:id="36"/>
      <w:bookmarkStart w:id="37" w:name="_Toc152645862"/>
      <w:bookmarkEnd w:id="37"/>
      <w:bookmarkStart w:id="38" w:name="_Toc152645860"/>
      <w:bookmarkEnd w:id="38"/>
      <w:bookmarkStart w:id="39" w:name="_Toc152668757"/>
      <w:bookmarkEnd w:id="39"/>
      <w:bookmarkStart w:id="40" w:name="_Toc152661675"/>
      <w:bookmarkEnd w:id="40"/>
      <w:bookmarkStart w:id="41" w:name="_Toc152657538"/>
      <w:bookmarkEnd w:id="41"/>
      <w:bookmarkStart w:id="42" w:name="_Toc152662534"/>
      <w:bookmarkEnd w:id="42"/>
      <w:bookmarkStart w:id="43" w:name="_Toc152664816"/>
      <w:bookmarkEnd w:id="43"/>
      <w:bookmarkStart w:id="44" w:name="_Toc152663460"/>
      <w:bookmarkEnd w:id="44"/>
      <w:bookmarkStart w:id="45" w:name="_Toc152664674"/>
      <w:bookmarkEnd w:id="45"/>
      <w:bookmarkStart w:id="46" w:name="_Toc152657456"/>
      <w:bookmarkEnd w:id="46"/>
      <w:bookmarkStart w:id="47" w:name="_Toc152662531"/>
      <w:bookmarkEnd w:id="47"/>
      <w:bookmarkStart w:id="48" w:name="_Toc152657540"/>
      <w:bookmarkEnd w:id="48"/>
      <w:bookmarkStart w:id="49" w:name="_Toc152760419"/>
      <w:bookmarkEnd w:id="49"/>
      <w:bookmarkStart w:id="50" w:name="_Toc152760418"/>
      <w:bookmarkEnd w:id="50"/>
      <w:bookmarkStart w:id="51" w:name="_Toc152661963"/>
      <w:bookmarkEnd w:id="51"/>
      <w:bookmarkStart w:id="52" w:name="_Toc152664588"/>
      <w:bookmarkEnd w:id="52"/>
      <w:bookmarkStart w:id="53" w:name="_Toc152646246"/>
      <w:bookmarkEnd w:id="53"/>
      <w:bookmarkStart w:id="54" w:name="_Toc152663655"/>
      <w:bookmarkEnd w:id="54"/>
      <w:bookmarkStart w:id="55" w:name="_Toc152664814"/>
      <w:bookmarkEnd w:id="55"/>
      <w:bookmarkStart w:id="56" w:name="_Toc152646247"/>
      <w:bookmarkEnd w:id="56"/>
      <w:bookmarkStart w:id="57" w:name="_Toc152664676"/>
      <w:bookmarkEnd w:id="57"/>
      <w:bookmarkStart w:id="58" w:name="_Toc152664330"/>
      <w:bookmarkEnd w:id="58"/>
      <w:bookmarkStart w:id="59" w:name="_Toc152664589"/>
      <w:bookmarkEnd w:id="59"/>
      <w:bookmarkStart w:id="60" w:name="_Toc152668754"/>
      <w:bookmarkEnd w:id="60"/>
      <w:bookmarkStart w:id="61" w:name="_Toc152657457"/>
      <w:bookmarkEnd w:id="61"/>
      <w:bookmarkStart w:id="62" w:name="_Toc152661962"/>
      <w:bookmarkEnd w:id="62"/>
      <w:bookmarkStart w:id="63" w:name="_Toc152664675"/>
      <w:bookmarkEnd w:id="63"/>
      <w:bookmarkStart w:id="64" w:name="_Toc152646244"/>
      <w:bookmarkEnd w:id="64"/>
      <w:bookmarkStart w:id="65" w:name="_Toc152663657"/>
      <w:bookmarkEnd w:id="65"/>
      <w:bookmarkStart w:id="66" w:name="_Toc152664333"/>
      <w:bookmarkEnd w:id="66"/>
      <w:bookmarkStart w:id="67" w:name="_Toc152645863"/>
      <w:bookmarkEnd w:id="67"/>
      <w:bookmarkStart w:id="68" w:name="_Toc152663459"/>
      <w:bookmarkEnd w:id="68"/>
      <w:bookmarkStart w:id="69" w:name="_Toc152668755"/>
      <w:bookmarkEnd w:id="69"/>
      <w:bookmarkStart w:id="70" w:name="_Toc152657455"/>
      <w:bookmarkEnd w:id="70"/>
      <w:bookmarkStart w:id="71" w:name="_Toc152661964"/>
      <w:bookmarkEnd w:id="71"/>
      <w:bookmarkStart w:id="72" w:name="_Toc152663658"/>
      <w:bookmarkEnd w:id="72"/>
      <w:bookmarkStart w:id="73" w:name="_Toc152662532"/>
      <w:bookmarkEnd w:id="73"/>
      <w:bookmarkStart w:id="74" w:name="_Toc152664673"/>
      <w:bookmarkEnd w:id="74"/>
      <w:bookmarkStart w:id="75" w:name="_Toc152661672"/>
      <w:bookmarkEnd w:id="75"/>
      <w:bookmarkStart w:id="76" w:name="_Toc152664332"/>
      <w:bookmarkEnd w:id="76"/>
      <w:bookmarkStart w:id="77" w:name="_Toc152662533"/>
      <w:bookmarkEnd w:id="77"/>
      <w:bookmarkStart w:id="78" w:name="_Toc152645861"/>
      <w:bookmarkEnd w:id="78"/>
      <w:r>
        <w:rPr>
          <w:szCs w:val="21"/>
        </w:rPr>
        <w:t xml:space="preserve"> </w:t>
      </w:r>
    </w:p>
    <w:p w14:paraId="28D1D550">
      <w:pPr>
        <w:pStyle w:val="2"/>
        <w:snapToGrid w:val="0"/>
        <w:spacing w:before="0" w:after="0" w:line="360" w:lineRule="auto"/>
        <w:ind w:firstLine="422" w:firstLineChars="150"/>
        <w:rPr>
          <w:rFonts w:hint="eastAsia" w:hAnsi="宋体" w:eastAsia="宋体" w:cs="Arial"/>
          <w:b/>
          <w:bCs/>
          <w:sz w:val="28"/>
          <w:szCs w:val="28"/>
        </w:rPr>
      </w:pPr>
      <w:bookmarkStart w:id="79" w:name="_Toc1854"/>
      <w:r>
        <w:rPr>
          <w:rFonts w:hAnsi="宋体" w:eastAsia="宋体" w:cs="Arial"/>
          <w:b/>
          <w:bCs/>
          <w:sz w:val="28"/>
          <w:szCs w:val="28"/>
        </w:rPr>
        <w:t>第五部分  相关服务机构</w:t>
      </w:r>
      <w:bookmarkEnd w:id="17"/>
      <w:bookmarkEnd w:id="18"/>
      <w:bookmarkEnd w:id="79"/>
    </w:p>
    <w:p w14:paraId="2FBC0D78">
      <w:pPr>
        <w:spacing w:line="360" w:lineRule="auto"/>
        <w:rPr>
          <w:rFonts w:hint="eastAsia" w:ascii="宋体" w:hAnsi="宋体"/>
        </w:rPr>
      </w:pPr>
    </w:p>
    <w:p w14:paraId="79EB9321">
      <w:pPr>
        <w:snapToGrid w:val="0"/>
        <w:spacing w:line="360" w:lineRule="auto"/>
        <w:ind w:firstLine="422" w:firstLineChars="200"/>
        <w:rPr>
          <w:rFonts w:hint="eastAsia" w:ascii="宋体" w:hAnsi="宋体" w:cs="Arial"/>
          <w:b/>
          <w:szCs w:val="21"/>
        </w:rPr>
      </w:pPr>
      <w:r>
        <w:rPr>
          <w:rFonts w:ascii="宋体" w:hAnsi="宋体" w:cs="Arial"/>
          <w:b/>
          <w:szCs w:val="21"/>
        </w:rPr>
        <w:t>一、基金份额发售机构</w:t>
      </w:r>
    </w:p>
    <w:p w14:paraId="28EAD4F2">
      <w:pPr>
        <w:snapToGrid w:val="0"/>
        <w:spacing w:line="360" w:lineRule="auto"/>
        <w:ind w:firstLine="420" w:firstLineChars="200"/>
        <w:rPr>
          <w:rFonts w:hint="eastAsia" w:ascii="宋体" w:hAnsi="宋体" w:cs="Arial"/>
        </w:rPr>
      </w:pPr>
      <w:r>
        <w:rPr>
          <w:rFonts w:hint="eastAsia" w:ascii="宋体" w:hAnsi="宋体" w:cs="Arial"/>
        </w:rPr>
        <w:t>1、网下现金发售、网下股票发售直销机构</w:t>
      </w:r>
    </w:p>
    <w:p w14:paraId="05EFA52C">
      <w:pPr>
        <w:snapToGrid w:val="0"/>
        <w:spacing w:line="360" w:lineRule="auto"/>
        <w:ind w:firstLine="420" w:firstLineChars="200"/>
        <w:rPr>
          <w:rFonts w:hint="eastAsia" w:ascii="宋体" w:hAnsi="宋体" w:cs="Arial"/>
        </w:rPr>
      </w:pPr>
      <w:r>
        <w:rPr>
          <w:rFonts w:hint="eastAsia" w:ascii="宋体" w:hAnsi="宋体" w:cs="Arial"/>
        </w:rPr>
        <w:t>名称：博时基金管理有限公司</w:t>
      </w:r>
    </w:p>
    <w:p w14:paraId="78629B47">
      <w:pPr>
        <w:snapToGrid w:val="0"/>
        <w:spacing w:line="360" w:lineRule="auto"/>
        <w:ind w:firstLine="420" w:firstLineChars="200"/>
        <w:rPr>
          <w:rFonts w:hint="eastAsia" w:ascii="宋体" w:hAnsi="宋体" w:cs="Arial"/>
        </w:rPr>
      </w:pPr>
      <w:r>
        <w:rPr>
          <w:rFonts w:hint="eastAsia" w:ascii="宋体" w:hAnsi="宋体" w:cs="Arial"/>
        </w:rPr>
        <w:t>住所：深圳市福田区莲花街道福新社区益田路5999号基金大厦21层</w:t>
      </w:r>
    </w:p>
    <w:p w14:paraId="6E22A3E0">
      <w:pPr>
        <w:snapToGrid w:val="0"/>
        <w:spacing w:line="360" w:lineRule="auto"/>
        <w:ind w:firstLine="420" w:firstLineChars="200"/>
        <w:rPr>
          <w:rFonts w:hint="eastAsia" w:ascii="宋体" w:hAnsi="宋体" w:cs="Arial"/>
        </w:rPr>
      </w:pPr>
      <w:r>
        <w:rPr>
          <w:rFonts w:hint="eastAsia" w:ascii="宋体" w:hAnsi="宋体" w:cs="Arial"/>
        </w:rPr>
        <w:t>办公地址：北京市东城区建国门内大街8号中粮广场C座609</w:t>
      </w:r>
    </w:p>
    <w:p w14:paraId="64CBFD46">
      <w:pPr>
        <w:snapToGrid w:val="0"/>
        <w:spacing w:line="360" w:lineRule="auto"/>
        <w:ind w:firstLine="420" w:firstLineChars="200"/>
        <w:rPr>
          <w:rFonts w:hint="eastAsia" w:ascii="宋体" w:hAnsi="宋体" w:cs="Arial"/>
        </w:rPr>
      </w:pPr>
      <w:r>
        <w:rPr>
          <w:rFonts w:hint="eastAsia" w:ascii="宋体" w:hAnsi="宋体" w:cs="Arial"/>
        </w:rPr>
        <w:t>电话：010-65187055</w:t>
      </w:r>
    </w:p>
    <w:p w14:paraId="357F103F">
      <w:pPr>
        <w:snapToGrid w:val="0"/>
        <w:spacing w:line="360" w:lineRule="auto"/>
        <w:ind w:firstLine="420" w:firstLineChars="200"/>
        <w:rPr>
          <w:rFonts w:hint="eastAsia" w:ascii="宋体" w:hAnsi="宋体" w:cs="Arial"/>
        </w:rPr>
      </w:pPr>
      <w:r>
        <w:rPr>
          <w:rFonts w:hint="eastAsia" w:ascii="宋体" w:hAnsi="宋体" w:cs="Arial"/>
        </w:rPr>
        <w:t>传真：010-65187032</w:t>
      </w:r>
    </w:p>
    <w:p w14:paraId="740F8597">
      <w:pPr>
        <w:snapToGrid w:val="0"/>
        <w:spacing w:line="360" w:lineRule="auto"/>
        <w:ind w:firstLine="420" w:firstLineChars="200"/>
        <w:rPr>
          <w:rFonts w:hint="eastAsia" w:ascii="宋体" w:hAnsi="宋体" w:cs="Arial"/>
        </w:rPr>
      </w:pPr>
      <w:r>
        <w:rPr>
          <w:rFonts w:hint="eastAsia" w:ascii="宋体" w:hAnsi="宋体" w:cs="Arial"/>
        </w:rPr>
        <w:t>联系人：韩明亮</w:t>
      </w:r>
    </w:p>
    <w:p w14:paraId="4BE39A74">
      <w:pPr>
        <w:snapToGrid w:val="0"/>
        <w:spacing w:line="360" w:lineRule="auto"/>
        <w:ind w:firstLine="420" w:firstLineChars="200"/>
        <w:rPr>
          <w:rFonts w:hint="eastAsia" w:ascii="宋体" w:hAnsi="宋体" w:cs="Arial"/>
        </w:rPr>
      </w:pPr>
      <w:r>
        <w:rPr>
          <w:rFonts w:hint="eastAsia" w:ascii="宋体" w:hAnsi="宋体" w:cs="Arial"/>
        </w:rPr>
        <w:t>全国统一客服热线：95105568（免长途费）</w:t>
      </w:r>
    </w:p>
    <w:p w14:paraId="16DCD385">
      <w:pPr>
        <w:snapToGrid w:val="0"/>
        <w:spacing w:line="360" w:lineRule="auto"/>
        <w:ind w:firstLine="420" w:firstLineChars="200"/>
        <w:rPr>
          <w:rFonts w:hint="eastAsia" w:ascii="宋体" w:hAnsi="宋体" w:cs="Arial"/>
        </w:rPr>
      </w:pPr>
      <w:r>
        <w:rPr>
          <w:rFonts w:hint="eastAsia" w:ascii="宋体" w:hAnsi="宋体" w:cs="Arial"/>
        </w:rPr>
        <w:t>2、网下现金发售代理机构</w:t>
      </w:r>
    </w:p>
    <w:p w14:paraId="3A78A72C">
      <w:pPr>
        <w:snapToGrid w:val="0"/>
        <w:spacing w:line="360" w:lineRule="auto"/>
        <w:ind w:firstLine="420" w:firstLineChars="200"/>
        <w:rPr>
          <w:rFonts w:hint="eastAsia" w:ascii="宋体" w:hAnsi="宋体" w:cs="Arial"/>
        </w:rPr>
      </w:pPr>
      <w:r>
        <w:rPr>
          <w:rFonts w:hint="eastAsia" w:ascii="宋体" w:hAnsi="宋体" w:cs="Arial"/>
        </w:rPr>
        <w:t>详见基金份额发售公告。</w:t>
      </w:r>
    </w:p>
    <w:p w14:paraId="3D40DC1F">
      <w:pPr>
        <w:snapToGrid w:val="0"/>
        <w:spacing w:line="360" w:lineRule="auto"/>
        <w:ind w:firstLine="420" w:firstLineChars="200"/>
        <w:rPr>
          <w:rFonts w:hint="eastAsia" w:ascii="宋体" w:hAnsi="宋体" w:cs="Arial"/>
        </w:rPr>
      </w:pPr>
      <w:r>
        <w:rPr>
          <w:rFonts w:hint="eastAsia" w:ascii="宋体" w:hAnsi="宋体" w:cs="Arial"/>
        </w:rPr>
        <w:t>3、网下股票发售代理机构</w:t>
      </w:r>
    </w:p>
    <w:p w14:paraId="74556F53">
      <w:pPr>
        <w:snapToGrid w:val="0"/>
        <w:spacing w:line="360" w:lineRule="auto"/>
        <w:ind w:firstLine="420" w:firstLineChars="200"/>
        <w:rPr>
          <w:rFonts w:hint="eastAsia" w:ascii="宋体" w:hAnsi="宋体" w:cs="Arial"/>
        </w:rPr>
      </w:pPr>
      <w:r>
        <w:rPr>
          <w:rFonts w:hint="eastAsia" w:ascii="宋体" w:hAnsi="宋体" w:cs="Arial"/>
        </w:rPr>
        <w:t>详见基金份额发售公告。</w:t>
      </w:r>
    </w:p>
    <w:p w14:paraId="6A466571">
      <w:pPr>
        <w:snapToGrid w:val="0"/>
        <w:spacing w:line="360" w:lineRule="auto"/>
        <w:ind w:firstLine="420" w:firstLineChars="200"/>
        <w:rPr>
          <w:rFonts w:hint="eastAsia" w:ascii="宋体" w:hAnsi="宋体" w:cs="Arial"/>
        </w:rPr>
      </w:pPr>
      <w:r>
        <w:rPr>
          <w:rFonts w:hint="eastAsia" w:ascii="宋体" w:hAnsi="宋体" w:cs="Arial"/>
        </w:rPr>
        <w:t>4、网上现金发售代理机构</w:t>
      </w:r>
    </w:p>
    <w:p w14:paraId="34A59814">
      <w:pPr>
        <w:snapToGrid w:val="0"/>
        <w:spacing w:line="360" w:lineRule="auto"/>
        <w:ind w:firstLine="420" w:firstLineChars="200"/>
        <w:rPr>
          <w:rFonts w:hint="eastAsia" w:ascii="宋体" w:hAnsi="宋体" w:cs="Arial"/>
        </w:rPr>
      </w:pPr>
      <w:r>
        <w:rPr>
          <w:rFonts w:hint="eastAsia" w:ascii="宋体" w:hAnsi="宋体" w:cs="Arial"/>
        </w:rPr>
        <w:t>详见基金份额发售公告。</w:t>
      </w:r>
    </w:p>
    <w:p w14:paraId="00FAE0A7">
      <w:pPr>
        <w:snapToGrid w:val="0"/>
        <w:spacing w:line="360" w:lineRule="auto"/>
        <w:ind w:firstLine="422" w:firstLineChars="200"/>
        <w:rPr>
          <w:rFonts w:hint="eastAsia" w:ascii="宋体" w:hAnsi="宋体" w:cs="Arial"/>
          <w:b/>
          <w:szCs w:val="21"/>
        </w:rPr>
      </w:pPr>
      <w:r>
        <w:rPr>
          <w:rFonts w:ascii="宋体" w:hAnsi="宋体" w:cs="Arial"/>
          <w:b/>
          <w:szCs w:val="21"/>
        </w:rPr>
        <w:t>二、登记机构</w:t>
      </w:r>
    </w:p>
    <w:p w14:paraId="6C958380">
      <w:pPr>
        <w:snapToGrid w:val="0"/>
        <w:spacing w:line="360" w:lineRule="auto"/>
        <w:ind w:firstLine="420" w:firstLineChars="200"/>
        <w:rPr>
          <w:rFonts w:hint="eastAsia" w:ascii="宋体" w:hAnsi="宋体" w:cs="Arial"/>
        </w:rPr>
      </w:pPr>
      <w:r>
        <w:rPr>
          <w:rFonts w:hint="eastAsia" w:ascii="宋体" w:hAnsi="宋体" w:cs="Arial"/>
        </w:rPr>
        <w:t>名称</w:t>
      </w:r>
      <w:r>
        <w:rPr>
          <w:rFonts w:ascii="宋体" w:hAnsi="宋体" w:cs="Arial"/>
        </w:rPr>
        <w:t>：</w:t>
      </w:r>
      <w:r>
        <w:rPr>
          <w:rFonts w:hint="eastAsia" w:ascii="宋体" w:hAnsi="宋体" w:cs="Arial"/>
        </w:rPr>
        <w:t>中国证券登记结算有限责任公司</w:t>
      </w:r>
    </w:p>
    <w:p w14:paraId="46CF4A82">
      <w:pPr>
        <w:snapToGrid w:val="0"/>
        <w:spacing w:line="360" w:lineRule="auto"/>
        <w:ind w:firstLine="420" w:firstLineChars="200"/>
        <w:rPr>
          <w:rFonts w:hint="eastAsia" w:ascii="宋体" w:hAnsi="宋体" w:cs="Arial"/>
        </w:rPr>
      </w:pPr>
      <w:r>
        <w:rPr>
          <w:rFonts w:hint="eastAsia" w:ascii="宋体" w:hAnsi="宋体" w:cs="Arial"/>
        </w:rPr>
        <w:t xml:space="preserve">注册地址：北京市西城区太平桥大街17号 </w:t>
      </w:r>
    </w:p>
    <w:p w14:paraId="62240D85">
      <w:pPr>
        <w:snapToGrid w:val="0"/>
        <w:spacing w:line="360" w:lineRule="auto"/>
        <w:ind w:firstLine="420" w:firstLineChars="200"/>
        <w:rPr>
          <w:rFonts w:hint="eastAsia" w:ascii="宋体" w:hAnsi="宋体" w:cs="Arial"/>
        </w:rPr>
      </w:pPr>
      <w:r>
        <w:rPr>
          <w:rFonts w:hint="eastAsia" w:ascii="宋体" w:hAnsi="宋体" w:cs="Arial"/>
        </w:rPr>
        <w:t xml:space="preserve">办公地址：北京市西城区太平桥大街17号 </w:t>
      </w:r>
    </w:p>
    <w:p w14:paraId="35289527">
      <w:pPr>
        <w:snapToGrid w:val="0"/>
        <w:spacing w:line="360" w:lineRule="auto"/>
        <w:ind w:firstLine="420" w:firstLineChars="200"/>
        <w:rPr>
          <w:rFonts w:hint="eastAsia" w:ascii="宋体" w:hAnsi="宋体" w:cs="Arial"/>
        </w:rPr>
      </w:pPr>
      <w:r>
        <w:rPr>
          <w:rFonts w:hint="eastAsia" w:ascii="宋体" w:hAnsi="宋体" w:cs="Arial"/>
        </w:rPr>
        <w:t xml:space="preserve">法定代表人：于文强 </w:t>
      </w:r>
    </w:p>
    <w:p w14:paraId="63CFBF0C">
      <w:pPr>
        <w:snapToGrid w:val="0"/>
        <w:spacing w:line="360" w:lineRule="auto"/>
        <w:ind w:firstLine="420" w:firstLineChars="200"/>
        <w:rPr>
          <w:rFonts w:hint="eastAsia" w:ascii="宋体" w:hAnsi="宋体" w:cs="Arial"/>
        </w:rPr>
      </w:pPr>
      <w:r>
        <w:rPr>
          <w:rFonts w:hint="eastAsia" w:ascii="宋体" w:hAnsi="宋体" w:cs="Arial"/>
        </w:rPr>
        <w:t xml:space="preserve">电 话：0755-25946013 </w:t>
      </w:r>
    </w:p>
    <w:p w14:paraId="04F355BB">
      <w:pPr>
        <w:snapToGrid w:val="0"/>
        <w:spacing w:line="360" w:lineRule="auto"/>
        <w:ind w:firstLine="420" w:firstLineChars="200"/>
        <w:rPr>
          <w:rFonts w:hint="eastAsia" w:ascii="宋体" w:hAnsi="宋体" w:cs="Arial"/>
        </w:rPr>
      </w:pPr>
      <w:r>
        <w:rPr>
          <w:rFonts w:hint="eastAsia" w:ascii="宋体" w:hAnsi="宋体" w:cs="Arial"/>
        </w:rPr>
        <w:t>传 真：0755-25987122</w:t>
      </w:r>
    </w:p>
    <w:p w14:paraId="5FA52486">
      <w:pPr>
        <w:adjustRightInd w:val="0"/>
        <w:snapToGrid w:val="0"/>
        <w:spacing w:line="360" w:lineRule="auto"/>
        <w:ind w:firstLine="420" w:firstLineChars="200"/>
        <w:rPr>
          <w:rFonts w:hint="eastAsia" w:ascii="宋体" w:hAnsi="宋体" w:cs="Arial"/>
        </w:rPr>
      </w:pPr>
      <w:r>
        <w:rPr>
          <w:rFonts w:hint="eastAsia" w:ascii="宋体" w:hAnsi="宋体" w:cs="Arial"/>
        </w:rPr>
        <w:t>联系人：严峰</w:t>
      </w:r>
    </w:p>
    <w:p w14:paraId="76A71497">
      <w:pPr>
        <w:snapToGrid w:val="0"/>
        <w:spacing w:line="360" w:lineRule="auto"/>
        <w:ind w:firstLine="422" w:firstLineChars="200"/>
        <w:rPr>
          <w:rFonts w:hint="eastAsia" w:ascii="宋体" w:hAnsi="宋体" w:cs="Arial"/>
          <w:b/>
          <w:szCs w:val="21"/>
        </w:rPr>
      </w:pPr>
      <w:r>
        <w:rPr>
          <w:rFonts w:ascii="宋体" w:hAnsi="宋体" w:cs="Arial"/>
          <w:b/>
          <w:szCs w:val="21"/>
        </w:rPr>
        <w:t>三、</w:t>
      </w:r>
      <w:r>
        <w:rPr>
          <w:rFonts w:hint="eastAsia" w:ascii="宋体" w:hAnsi="宋体"/>
          <w:b/>
          <w:bCs/>
        </w:rPr>
        <w:t>出具法律意见书的律师事务所</w:t>
      </w:r>
    </w:p>
    <w:p w14:paraId="4EB36FA3">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名称：上海市通力律师事务所</w:t>
      </w:r>
    </w:p>
    <w:p w14:paraId="58C2469F">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注册地址：上海市银城中路68号时代金融中心19楼</w:t>
      </w:r>
    </w:p>
    <w:p w14:paraId="1E575CCA">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办公地址：上海市银城中路68号时代金融中心19楼</w:t>
      </w:r>
    </w:p>
    <w:p w14:paraId="74AD5D41">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负责人：陈臻</w:t>
      </w:r>
    </w:p>
    <w:p w14:paraId="246DE277">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电话：021-</w:t>
      </w:r>
      <w:r>
        <w:rPr>
          <w:rFonts w:ascii="宋体" w:hAnsi="宋体" w:cs="Arial"/>
          <w:kern w:val="0"/>
          <w:szCs w:val="21"/>
        </w:rPr>
        <w:t>31358666</w:t>
      </w:r>
    </w:p>
    <w:p w14:paraId="67D7B890">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传真：021-</w:t>
      </w:r>
      <w:r>
        <w:rPr>
          <w:rFonts w:ascii="宋体" w:hAnsi="宋体" w:cs="Arial"/>
          <w:kern w:val="0"/>
          <w:szCs w:val="21"/>
        </w:rPr>
        <w:t>31358600</w:t>
      </w:r>
    </w:p>
    <w:p w14:paraId="6F7EA1A6">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联系人：陆奇</w:t>
      </w:r>
    </w:p>
    <w:p w14:paraId="1AF2E86D">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经办律师：陆奇、陈雅秋</w:t>
      </w:r>
    </w:p>
    <w:p w14:paraId="0AEFCE27">
      <w:pPr>
        <w:snapToGrid w:val="0"/>
        <w:spacing w:line="360" w:lineRule="auto"/>
        <w:ind w:firstLine="422" w:firstLineChars="200"/>
        <w:rPr>
          <w:rFonts w:hint="eastAsia" w:ascii="宋体" w:hAnsi="宋体" w:cs="宋体"/>
          <w:b/>
          <w:szCs w:val="21"/>
        </w:rPr>
      </w:pPr>
      <w:r>
        <w:rPr>
          <w:rFonts w:hint="eastAsia" w:ascii="宋体" w:hAnsi="宋体" w:cs="宋体"/>
          <w:b/>
          <w:szCs w:val="21"/>
        </w:rPr>
        <w:t>四、</w:t>
      </w:r>
      <w:r>
        <w:rPr>
          <w:rFonts w:hint="eastAsia" w:ascii="宋体" w:hAnsi="宋体" w:cs="宋体"/>
          <w:b/>
          <w:bCs/>
        </w:rPr>
        <w:t>会计师事务所和经办注册会计师</w:t>
      </w:r>
    </w:p>
    <w:p w14:paraId="60C2A3C8">
      <w:pPr>
        <w:snapToGrid w:val="0"/>
        <w:spacing w:line="360" w:lineRule="auto"/>
        <w:ind w:firstLine="420" w:firstLineChars="200"/>
        <w:rPr>
          <w:rFonts w:hint="eastAsia" w:ascii="宋体" w:hAnsi="宋体" w:cs="宋体"/>
          <w:kern w:val="0"/>
          <w:szCs w:val="21"/>
        </w:rPr>
      </w:pPr>
      <w:r>
        <w:rPr>
          <w:rFonts w:hint="eastAsia" w:ascii="宋体" w:hAnsi="宋体" w:cs="宋体"/>
          <w:kern w:val="0"/>
          <w:szCs w:val="21"/>
        </w:rPr>
        <w:t>本基金的法定验资机构为安永华明会计师事务所（特殊普通合伙）</w:t>
      </w:r>
    </w:p>
    <w:p w14:paraId="6988647E">
      <w:pPr>
        <w:adjustRightInd w:val="0"/>
        <w:snapToGrid w:val="0"/>
        <w:spacing w:line="360" w:lineRule="auto"/>
        <w:ind w:firstLine="420" w:firstLineChars="200"/>
        <w:rPr>
          <w:rFonts w:hint="eastAsia" w:ascii="宋体" w:hAnsi="宋体" w:cs="宋体"/>
          <w:kern w:val="0"/>
          <w:szCs w:val="21"/>
        </w:rPr>
      </w:pPr>
      <w:r>
        <w:rPr>
          <w:rFonts w:hint="eastAsia" w:ascii="宋体" w:hAnsi="宋体" w:cs="宋体"/>
          <w:kern w:val="0"/>
          <w:szCs w:val="21"/>
        </w:rPr>
        <w:t>名称：安永华明会计师事务所（特殊普通合伙）</w:t>
      </w:r>
    </w:p>
    <w:p w14:paraId="6BBAC4B3">
      <w:pPr>
        <w:adjustRightInd w:val="0"/>
        <w:snapToGrid w:val="0"/>
        <w:spacing w:line="360" w:lineRule="auto"/>
        <w:ind w:firstLine="420" w:firstLineChars="200"/>
        <w:rPr>
          <w:rFonts w:hint="eastAsia" w:ascii="宋体" w:hAnsi="宋体" w:cs="宋体"/>
          <w:kern w:val="0"/>
          <w:szCs w:val="21"/>
        </w:rPr>
      </w:pPr>
      <w:r>
        <w:rPr>
          <w:rFonts w:hint="eastAsia" w:ascii="宋体" w:hAnsi="宋体" w:cs="宋体"/>
          <w:kern w:val="0"/>
          <w:szCs w:val="21"/>
        </w:rPr>
        <w:t>住所：北京市东城区东长安街1号东方广场安永大楼17层01-12室</w:t>
      </w:r>
    </w:p>
    <w:p w14:paraId="0E7C9ECC">
      <w:pPr>
        <w:adjustRightInd w:val="0"/>
        <w:snapToGrid w:val="0"/>
        <w:spacing w:line="360" w:lineRule="auto"/>
        <w:ind w:firstLine="420" w:firstLineChars="200"/>
        <w:rPr>
          <w:rFonts w:hint="eastAsia" w:ascii="宋体" w:hAnsi="宋体" w:cs="宋体"/>
          <w:kern w:val="0"/>
          <w:szCs w:val="21"/>
        </w:rPr>
      </w:pPr>
      <w:r>
        <w:rPr>
          <w:rFonts w:hint="eastAsia" w:ascii="宋体" w:hAnsi="宋体" w:cs="宋体"/>
          <w:kern w:val="0"/>
          <w:szCs w:val="21"/>
        </w:rPr>
        <w:t>办公地址：北京市东城区东长安街1号东方广场安永大楼17层01-12室</w:t>
      </w:r>
    </w:p>
    <w:p w14:paraId="5C14FEA6">
      <w:pPr>
        <w:adjustRightInd w:val="0"/>
        <w:snapToGrid w:val="0"/>
        <w:spacing w:line="360" w:lineRule="auto"/>
        <w:ind w:firstLine="420" w:firstLineChars="200"/>
        <w:rPr>
          <w:rFonts w:hint="eastAsia" w:ascii="宋体" w:hAnsi="宋体" w:cs="宋体"/>
          <w:kern w:val="0"/>
          <w:szCs w:val="21"/>
        </w:rPr>
      </w:pPr>
      <w:r>
        <w:rPr>
          <w:rFonts w:hint="eastAsia" w:ascii="宋体" w:hAnsi="宋体" w:cs="宋体"/>
          <w:kern w:val="0"/>
          <w:szCs w:val="21"/>
        </w:rPr>
        <w:t>执行事务合伙人：毛鞍宁</w:t>
      </w:r>
    </w:p>
    <w:p w14:paraId="5BDB5718">
      <w:pPr>
        <w:adjustRightInd w:val="0"/>
        <w:snapToGrid w:val="0"/>
        <w:spacing w:line="360" w:lineRule="auto"/>
        <w:ind w:firstLine="420" w:firstLineChars="200"/>
        <w:rPr>
          <w:rFonts w:hint="eastAsia" w:ascii="宋体" w:hAnsi="宋体" w:cs="宋体"/>
          <w:kern w:val="0"/>
          <w:szCs w:val="21"/>
        </w:rPr>
      </w:pPr>
      <w:r>
        <w:rPr>
          <w:rFonts w:hint="eastAsia" w:ascii="宋体" w:hAnsi="宋体" w:cs="宋体"/>
          <w:kern w:val="0"/>
          <w:szCs w:val="21"/>
        </w:rPr>
        <w:t>联系电话：（010）58153000</w:t>
      </w:r>
    </w:p>
    <w:p w14:paraId="1896BE50">
      <w:pPr>
        <w:adjustRightInd w:val="0"/>
        <w:snapToGrid w:val="0"/>
        <w:spacing w:line="360" w:lineRule="auto"/>
        <w:ind w:firstLine="420" w:firstLineChars="200"/>
        <w:rPr>
          <w:rFonts w:hint="eastAsia" w:ascii="宋体" w:hAnsi="宋体" w:cs="宋体"/>
          <w:kern w:val="0"/>
          <w:szCs w:val="21"/>
        </w:rPr>
      </w:pPr>
      <w:r>
        <w:rPr>
          <w:rFonts w:hint="eastAsia" w:ascii="宋体" w:hAnsi="宋体" w:cs="宋体"/>
          <w:kern w:val="0"/>
          <w:szCs w:val="21"/>
        </w:rPr>
        <w:t>传真电话：（010）85188298</w:t>
      </w:r>
    </w:p>
    <w:p w14:paraId="3EA44022">
      <w:pPr>
        <w:adjustRightInd w:val="0"/>
        <w:snapToGrid w:val="0"/>
        <w:spacing w:line="360" w:lineRule="auto"/>
        <w:ind w:firstLine="420" w:firstLineChars="200"/>
        <w:rPr>
          <w:rFonts w:hint="eastAsia" w:ascii="宋体" w:hAnsi="宋体" w:cs="宋体"/>
          <w:kern w:val="0"/>
          <w:szCs w:val="21"/>
        </w:rPr>
      </w:pPr>
      <w:r>
        <w:rPr>
          <w:rFonts w:hint="eastAsia" w:ascii="宋体" w:hAnsi="宋体" w:cs="宋体"/>
          <w:kern w:val="0"/>
          <w:szCs w:val="21"/>
        </w:rPr>
        <w:t>经办注册会计师：高鹤、楼坚、王海彦</w:t>
      </w:r>
    </w:p>
    <w:p w14:paraId="409EFB06">
      <w:pPr>
        <w:adjustRightInd w:val="0"/>
        <w:snapToGrid w:val="0"/>
        <w:spacing w:line="360" w:lineRule="auto"/>
        <w:ind w:firstLine="420" w:firstLineChars="200"/>
        <w:rPr>
          <w:rFonts w:hint="eastAsia" w:ascii="宋体" w:hAnsi="宋体" w:cs="宋体"/>
          <w:kern w:val="0"/>
          <w:szCs w:val="21"/>
        </w:rPr>
      </w:pPr>
      <w:r>
        <w:rPr>
          <w:rFonts w:hint="eastAsia" w:ascii="宋体" w:hAnsi="宋体" w:cs="宋体"/>
          <w:kern w:val="0"/>
          <w:szCs w:val="21"/>
        </w:rPr>
        <w:t>联系人：王海彦</w:t>
      </w:r>
    </w:p>
    <w:p w14:paraId="5FC40003">
      <w:pPr>
        <w:snapToGrid w:val="0"/>
        <w:spacing w:line="360" w:lineRule="auto"/>
        <w:ind w:firstLine="420" w:firstLineChars="200"/>
        <w:rPr>
          <w:rFonts w:hint="eastAsia" w:ascii="宋体" w:hAnsi="宋体" w:cs="宋体"/>
          <w:kern w:val="0"/>
          <w:szCs w:val="21"/>
        </w:rPr>
      </w:pPr>
      <w:r>
        <w:rPr>
          <w:rFonts w:hint="eastAsia" w:ascii="宋体" w:hAnsi="宋体" w:cs="宋体"/>
          <w:kern w:val="0"/>
          <w:szCs w:val="21"/>
        </w:rPr>
        <w:t>本基金的年度财务报表及其他规定事项的审计机构为容诚会计师事务所（特殊普通合伙）</w:t>
      </w:r>
    </w:p>
    <w:p w14:paraId="47473836">
      <w:pPr>
        <w:adjustRightInd w:val="0"/>
        <w:snapToGrid w:val="0"/>
        <w:spacing w:line="360" w:lineRule="auto"/>
        <w:ind w:left="420" w:leftChars="200"/>
        <w:rPr>
          <w:rFonts w:hint="eastAsia" w:ascii="宋体" w:hAnsi="宋体" w:cs="宋体"/>
          <w:kern w:val="0"/>
          <w:szCs w:val="21"/>
        </w:rPr>
      </w:pPr>
      <w:r>
        <w:rPr>
          <w:rFonts w:hint="eastAsia" w:ascii="宋体" w:hAnsi="宋体" w:cs="宋体"/>
          <w:kern w:val="0"/>
          <w:szCs w:val="21"/>
        </w:rPr>
        <w:t>名称：容诚会计师事务所（特殊普通合伙）</w:t>
      </w:r>
    </w:p>
    <w:p w14:paraId="533ECE24">
      <w:pPr>
        <w:adjustRightInd w:val="0"/>
        <w:snapToGrid w:val="0"/>
        <w:spacing w:line="360" w:lineRule="auto"/>
        <w:ind w:left="420" w:leftChars="200"/>
        <w:rPr>
          <w:rFonts w:hint="eastAsia" w:ascii="宋体" w:hAnsi="宋体" w:cs="宋体"/>
          <w:kern w:val="0"/>
          <w:szCs w:val="21"/>
        </w:rPr>
      </w:pPr>
      <w:r>
        <w:rPr>
          <w:rFonts w:hint="eastAsia" w:ascii="宋体" w:hAnsi="宋体" w:cs="宋体"/>
          <w:kern w:val="0"/>
          <w:szCs w:val="21"/>
        </w:rPr>
        <w:t>住所：北京市西城区阜成门外大街22号1幢外经贸大厦901-22至901-26</w:t>
      </w:r>
    </w:p>
    <w:p w14:paraId="7AA7DDC6">
      <w:pPr>
        <w:adjustRightInd w:val="0"/>
        <w:snapToGrid w:val="0"/>
        <w:spacing w:line="360" w:lineRule="auto"/>
        <w:ind w:left="420" w:leftChars="200"/>
        <w:rPr>
          <w:rFonts w:hint="eastAsia" w:ascii="宋体" w:hAnsi="宋体" w:cs="宋体"/>
          <w:kern w:val="0"/>
          <w:szCs w:val="21"/>
        </w:rPr>
      </w:pPr>
      <w:r>
        <w:rPr>
          <w:rFonts w:hint="eastAsia" w:ascii="宋体" w:hAnsi="宋体" w:cs="宋体"/>
          <w:kern w:val="0"/>
          <w:szCs w:val="21"/>
        </w:rPr>
        <w:t>办公地址：北京市西城区阜成门外大街22号1幢外经贸大厦901-22至901-26</w:t>
      </w:r>
    </w:p>
    <w:p w14:paraId="17E83223">
      <w:pPr>
        <w:adjustRightInd w:val="0"/>
        <w:snapToGrid w:val="0"/>
        <w:spacing w:line="360" w:lineRule="auto"/>
        <w:ind w:left="420" w:leftChars="200"/>
        <w:rPr>
          <w:rFonts w:hint="eastAsia" w:ascii="宋体" w:hAnsi="宋体" w:cs="宋体"/>
          <w:kern w:val="0"/>
          <w:szCs w:val="21"/>
        </w:rPr>
      </w:pPr>
      <w:r>
        <w:rPr>
          <w:rFonts w:hint="eastAsia" w:ascii="宋体" w:hAnsi="宋体" w:cs="宋体"/>
          <w:kern w:val="0"/>
          <w:szCs w:val="21"/>
        </w:rPr>
        <w:t>执行事务合伙人：刘维、肖厚发</w:t>
      </w:r>
    </w:p>
    <w:p w14:paraId="37B63617">
      <w:pPr>
        <w:adjustRightInd w:val="0"/>
        <w:snapToGrid w:val="0"/>
        <w:spacing w:line="360" w:lineRule="auto"/>
        <w:ind w:left="420" w:leftChars="200"/>
        <w:rPr>
          <w:rFonts w:hint="eastAsia" w:ascii="宋体" w:hAnsi="宋体" w:cs="宋体"/>
          <w:kern w:val="0"/>
          <w:szCs w:val="21"/>
        </w:rPr>
      </w:pPr>
      <w:r>
        <w:rPr>
          <w:rFonts w:hint="eastAsia" w:ascii="宋体" w:hAnsi="宋体" w:cs="宋体"/>
          <w:kern w:val="0"/>
          <w:szCs w:val="21"/>
        </w:rPr>
        <w:t>联系电话：010-66001391</w:t>
      </w:r>
    </w:p>
    <w:p w14:paraId="30E1D8CF">
      <w:pPr>
        <w:adjustRightInd w:val="0"/>
        <w:snapToGrid w:val="0"/>
        <w:spacing w:line="360" w:lineRule="auto"/>
        <w:ind w:left="420" w:leftChars="200"/>
        <w:rPr>
          <w:rFonts w:hint="eastAsia" w:ascii="宋体" w:hAnsi="宋体" w:cs="宋体"/>
          <w:kern w:val="0"/>
          <w:szCs w:val="21"/>
        </w:rPr>
      </w:pPr>
      <w:r>
        <w:rPr>
          <w:rFonts w:hint="eastAsia" w:ascii="宋体" w:hAnsi="宋体" w:cs="宋体"/>
          <w:kern w:val="0"/>
          <w:szCs w:val="21"/>
        </w:rPr>
        <w:t>传真：010-66001392</w:t>
      </w:r>
    </w:p>
    <w:p w14:paraId="58F0CC98">
      <w:pPr>
        <w:adjustRightInd w:val="0"/>
        <w:snapToGrid w:val="0"/>
        <w:spacing w:line="360" w:lineRule="auto"/>
        <w:ind w:left="420" w:leftChars="200"/>
        <w:rPr>
          <w:rFonts w:hint="eastAsia" w:ascii="宋体" w:hAnsi="宋体" w:cs="宋体"/>
          <w:kern w:val="0"/>
          <w:szCs w:val="21"/>
        </w:rPr>
      </w:pPr>
      <w:r>
        <w:rPr>
          <w:rFonts w:hint="eastAsia" w:ascii="宋体" w:hAnsi="宋体" w:cs="宋体"/>
          <w:kern w:val="0"/>
          <w:szCs w:val="21"/>
        </w:rPr>
        <w:t>联系人：吴琳杰</w:t>
      </w:r>
    </w:p>
    <w:p w14:paraId="213758E3">
      <w:pPr>
        <w:adjustRightInd w:val="0"/>
        <w:snapToGrid w:val="0"/>
        <w:spacing w:line="360" w:lineRule="auto"/>
        <w:ind w:firstLine="420" w:firstLineChars="200"/>
        <w:rPr>
          <w:rFonts w:hint="eastAsia" w:ascii="Arial Unicode MS" w:hAnsi="Arial Unicode MS" w:cs="Arial"/>
          <w:kern w:val="0"/>
          <w:szCs w:val="21"/>
        </w:rPr>
      </w:pPr>
      <w:r>
        <w:rPr>
          <w:rFonts w:hint="eastAsia" w:ascii="宋体" w:hAnsi="宋体" w:cs="宋体"/>
          <w:kern w:val="0"/>
          <w:szCs w:val="21"/>
        </w:rPr>
        <w:t>经办注册会计师：薛竞 吴琳杰</w:t>
      </w:r>
    </w:p>
    <w:p w14:paraId="0EE04E72">
      <w:pPr>
        <w:adjustRightInd w:val="0"/>
        <w:snapToGrid w:val="0"/>
        <w:spacing w:line="360" w:lineRule="auto"/>
        <w:rPr>
          <w:rFonts w:hint="eastAsia" w:ascii="Arial Unicode MS" w:hAnsi="Arial Unicode MS" w:cs="Arial"/>
          <w:kern w:val="0"/>
          <w:szCs w:val="21"/>
        </w:rPr>
      </w:pPr>
    </w:p>
    <w:p w14:paraId="42A6D787">
      <w:pPr>
        <w:adjustRightInd w:val="0"/>
        <w:snapToGrid w:val="0"/>
        <w:spacing w:line="360" w:lineRule="auto"/>
        <w:rPr>
          <w:rFonts w:hint="eastAsia" w:ascii="Arial Unicode MS" w:hAnsi="Arial Unicode MS" w:cs="Arial"/>
          <w:kern w:val="0"/>
          <w:szCs w:val="21"/>
        </w:rPr>
        <w:sectPr>
          <w:footerReference r:id="rId19" w:type="first"/>
          <w:footerReference r:id="rId18" w:type="default"/>
          <w:pgSz w:w="11906" w:h="16838"/>
          <w:pgMar w:top="1440" w:right="1800" w:bottom="1440" w:left="1800" w:header="851" w:footer="992" w:gutter="0"/>
          <w:cols w:space="720" w:num="1"/>
          <w:titlePg/>
          <w:docGrid w:linePitch="312" w:charSpace="0"/>
        </w:sectPr>
      </w:pPr>
    </w:p>
    <w:p w14:paraId="0B0F904A">
      <w:pPr>
        <w:pStyle w:val="2"/>
        <w:snapToGrid w:val="0"/>
        <w:spacing w:before="0" w:after="0" w:line="360" w:lineRule="auto"/>
        <w:ind w:firstLine="141" w:firstLineChars="50"/>
        <w:rPr>
          <w:rFonts w:hint="eastAsia" w:hAnsi="宋体" w:eastAsia="宋体" w:cs="Arial"/>
          <w:b/>
          <w:bCs/>
          <w:sz w:val="28"/>
          <w:szCs w:val="28"/>
        </w:rPr>
      </w:pPr>
      <w:bookmarkStart w:id="80" w:name="_Toc20607"/>
      <w:bookmarkStart w:id="81" w:name="_Toc50661124"/>
      <w:bookmarkStart w:id="82" w:name="_Toc408484001"/>
      <w:bookmarkStart w:id="83" w:name="_Toc21073389"/>
      <w:bookmarkStart w:id="84" w:name="_Toc214873595"/>
      <w:bookmarkStart w:id="85" w:name="_Toc147463116"/>
      <w:bookmarkStart w:id="86" w:name="_Toc12357169"/>
      <w:r>
        <w:rPr>
          <w:rFonts w:hAnsi="宋体" w:eastAsia="宋体" w:cs="Arial"/>
          <w:b/>
          <w:bCs/>
          <w:sz w:val="28"/>
          <w:szCs w:val="28"/>
        </w:rPr>
        <w:t xml:space="preserve">第六部分  </w:t>
      </w:r>
      <w:r>
        <w:rPr>
          <w:rFonts w:hint="eastAsia" w:hAnsi="宋体" w:eastAsia="宋体" w:cs="Arial"/>
          <w:b/>
          <w:bCs/>
          <w:sz w:val="28"/>
          <w:szCs w:val="28"/>
        </w:rPr>
        <w:t>基金份额的发售</w:t>
      </w:r>
      <w:bookmarkEnd w:id="80"/>
      <w:bookmarkEnd w:id="81"/>
      <w:bookmarkEnd w:id="82"/>
    </w:p>
    <w:p w14:paraId="7587A27F">
      <w:pPr>
        <w:spacing w:line="360" w:lineRule="auto"/>
        <w:rPr>
          <w:rFonts w:hint="eastAsia" w:ascii="宋体" w:hAnsi="宋体"/>
        </w:rPr>
      </w:pPr>
    </w:p>
    <w:bookmarkEnd w:id="83"/>
    <w:bookmarkEnd w:id="84"/>
    <w:bookmarkEnd w:id="85"/>
    <w:bookmarkEnd w:id="86"/>
    <w:p w14:paraId="291E863B">
      <w:pPr>
        <w:autoSpaceDE w:val="0"/>
        <w:autoSpaceDN w:val="0"/>
        <w:adjustRightInd w:val="0"/>
        <w:snapToGrid w:val="0"/>
        <w:spacing w:line="360" w:lineRule="auto"/>
        <w:ind w:firstLine="420" w:firstLineChars="200"/>
        <w:rPr>
          <w:rFonts w:hint="eastAsia" w:ascii="宋体" w:hAnsi="宋体" w:cs="Arial"/>
          <w:szCs w:val="21"/>
        </w:rPr>
      </w:pPr>
      <w:bookmarkStart w:id="87" w:name="_Toc355947447"/>
      <w:bookmarkStart w:id="88" w:name="_Toc237176223"/>
      <w:bookmarkStart w:id="89" w:name="_Toc21073391"/>
      <w:bookmarkStart w:id="90" w:name="_Toc12357171"/>
      <w:bookmarkStart w:id="91" w:name="_Toc214873597"/>
      <w:bookmarkStart w:id="92" w:name="_Toc147463118"/>
      <w:r>
        <w:rPr>
          <w:rFonts w:ascii="宋体" w:hAnsi="宋体" w:cs="Arial"/>
          <w:szCs w:val="21"/>
        </w:rPr>
        <w:t>基金管理人按照《基金法》、《运作办法》、《销售办法》、基金合同及其他有关规定募集本基金，并于</w:t>
      </w:r>
      <w:r>
        <w:rPr>
          <w:rFonts w:hint="eastAsia" w:ascii="宋体" w:hAnsi="宋体" w:cs="Arial"/>
          <w:szCs w:val="21"/>
        </w:rPr>
        <w:t>202</w:t>
      </w:r>
      <w:r>
        <w:rPr>
          <w:rFonts w:hint="eastAsia" w:ascii="宋体" w:hAnsi="宋体" w:cs="Arial"/>
          <w:szCs w:val="21"/>
          <w:lang w:val="en-US" w:eastAsia="zh-CN"/>
        </w:rPr>
        <w:t>6</w:t>
      </w:r>
      <w:r>
        <w:rPr>
          <w:rFonts w:hint="eastAsia" w:ascii="宋体" w:hAnsi="宋体" w:cs="Arial"/>
          <w:szCs w:val="21"/>
        </w:rPr>
        <w:t>年</w:t>
      </w:r>
      <w:r>
        <w:rPr>
          <w:rFonts w:hint="eastAsia" w:ascii="宋体" w:hAnsi="宋体" w:cs="Arial"/>
          <w:szCs w:val="21"/>
          <w:lang w:val="en-US" w:eastAsia="zh-CN"/>
        </w:rPr>
        <w:t>9</w:t>
      </w:r>
      <w:r>
        <w:rPr>
          <w:rFonts w:hint="eastAsia" w:ascii="宋体" w:hAnsi="宋体" w:cs="Arial"/>
          <w:szCs w:val="21"/>
        </w:rPr>
        <w:t>月</w:t>
      </w:r>
      <w:r>
        <w:rPr>
          <w:rFonts w:hint="eastAsia" w:ascii="宋体" w:hAnsi="宋体" w:cs="Arial"/>
          <w:szCs w:val="21"/>
          <w:lang w:val="en-US" w:eastAsia="zh-CN"/>
        </w:rPr>
        <w:t>4</w:t>
      </w:r>
      <w:r>
        <w:rPr>
          <w:rFonts w:hint="eastAsia" w:ascii="宋体" w:hAnsi="宋体" w:cs="Arial"/>
          <w:szCs w:val="21"/>
        </w:rPr>
        <w:t>日</w:t>
      </w:r>
      <w:r>
        <w:rPr>
          <w:rFonts w:ascii="宋体" w:hAnsi="宋体" w:cs="Arial"/>
          <w:szCs w:val="21"/>
        </w:rPr>
        <w:t>经</w:t>
      </w:r>
      <w:r>
        <w:rPr>
          <w:rFonts w:ascii="宋体" w:hAnsi="宋体" w:cs="Arial"/>
          <w:kern w:val="0"/>
          <w:szCs w:val="21"/>
        </w:rPr>
        <w:t>中国证监会</w:t>
      </w:r>
      <w:r>
        <w:rPr>
          <w:rFonts w:hint="eastAsia" w:ascii="宋体" w:hAnsi="宋体" w:cs="Arial"/>
          <w:kern w:val="0"/>
          <w:szCs w:val="21"/>
        </w:rPr>
        <w:t>证监许可[2026]2515号</w:t>
      </w:r>
      <w:r>
        <w:rPr>
          <w:rFonts w:ascii="宋体" w:hAnsi="宋体" w:cs="Arial"/>
          <w:kern w:val="0"/>
          <w:szCs w:val="21"/>
        </w:rPr>
        <w:t>文</w:t>
      </w:r>
      <w:r>
        <w:rPr>
          <w:rFonts w:hint="eastAsia" w:ascii="宋体" w:hAnsi="宋体" w:cs="Arial"/>
          <w:szCs w:val="21"/>
        </w:rPr>
        <w:t>准予</w:t>
      </w:r>
      <w:r>
        <w:rPr>
          <w:rFonts w:ascii="宋体" w:hAnsi="宋体" w:cs="Arial"/>
          <w:szCs w:val="21"/>
        </w:rPr>
        <w:t>募集</w:t>
      </w:r>
      <w:r>
        <w:rPr>
          <w:rFonts w:hint="eastAsia" w:ascii="宋体" w:hAnsi="宋体" w:cs="Arial"/>
          <w:szCs w:val="21"/>
        </w:rPr>
        <w:t>注册</w:t>
      </w:r>
      <w:r>
        <w:rPr>
          <w:rFonts w:ascii="宋体" w:hAnsi="宋体" w:cs="Arial"/>
          <w:szCs w:val="21"/>
        </w:rPr>
        <w:t>。</w:t>
      </w:r>
    </w:p>
    <w:p w14:paraId="796CB986">
      <w:pPr>
        <w:spacing w:line="360" w:lineRule="auto"/>
        <w:ind w:firstLine="422" w:firstLineChars="200"/>
        <w:rPr>
          <w:rFonts w:hint="eastAsia" w:ascii="宋体" w:hAnsi="宋体" w:cs="Arial"/>
          <w:b/>
        </w:rPr>
      </w:pPr>
      <w:r>
        <w:rPr>
          <w:rFonts w:ascii="宋体" w:hAnsi="宋体" w:cs="Arial"/>
          <w:b/>
        </w:rPr>
        <w:t>一、基金名称</w:t>
      </w:r>
    </w:p>
    <w:p w14:paraId="5BC9323F">
      <w:pPr>
        <w:spacing w:line="360" w:lineRule="auto"/>
        <w:ind w:firstLine="420" w:firstLineChars="200"/>
        <w:rPr>
          <w:rFonts w:hint="eastAsia" w:ascii="宋体" w:hAnsi="宋体" w:cs="Arial"/>
        </w:rPr>
      </w:pPr>
      <w:r>
        <w:rPr>
          <w:rFonts w:hint="eastAsia" w:ascii="宋体" w:hAnsi="宋体" w:cs="Arial"/>
        </w:rPr>
        <w:t>博时创业板电池交易型开放式指数证券投资基金</w:t>
      </w:r>
    </w:p>
    <w:p w14:paraId="72251164">
      <w:pPr>
        <w:spacing w:line="360" w:lineRule="auto"/>
        <w:ind w:firstLine="422" w:firstLineChars="200"/>
        <w:rPr>
          <w:rFonts w:hint="eastAsia" w:ascii="宋体" w:hAnsi="宋体" w:cs="Arial"/>
          <w:b/>
        </w:rPr>
      </w:pPr>
      <w:r>
        <w:rPr>
          <w:rFonts w:ascii="宋体" w:hAnsi="宋体" w:cs="Arial"/>
          <w:b/>
        </w:rPr>
        <w:t>二、基金类型</w:t>
      </w:r>
    </w:p>
    <w:p w14:paraId="25AF7D04">
      <w:pPr>
        <w:spacing w:line="360" w:lineRule="auto"/>
        <w:ind w:firstLine="420" w:firstLineChars="200"/>
        <w:rPr>
          <w:rFonts w:hint="eastAsia" w:ascii="宋体" w:hAnsi="宋体" w:cs="Arial"/>
        </w:rPr>
      </w:pPr>
      <w:r>
        <w:rPr>
          <w:rFonts w:ascii="宋体" w:hAnsi="宋体" w:cs="Arial"/>
          <w:kern w:val="0"/>
          <w:szCs w:val="21"/>
        </w:rPr>
        <w:t>股票型指数证券投资基金</w:t>
      </w:r>
    </w:p>
    <w:p w14:paraId="18C38F8C">
      <w:pPr>
        <w:spacing w:line="360" w:lineRule="auto"/>
        <w:ind w:firstLine="422" w:firstLineChars="200"/>
        <w:rPr>
          <w:rFonts w:hint="eastAsia" w:ascii="宋体" w:hAnsi="宋体" w:cs="Arial"/>
          <w:b/>
        </w:rPr>
      </w:pPr>
      <w:r>
        <w:rPr>
          <w:rFonts w:ascii="宋体" w:hAnsi="宋体" w:cs="Arial"/>
          <w:b/>
        </w:rPr>
        <w:t>三、基金存续期限</w:t>
      </w:r>
    </w:p>
    <w:p w14:paraId="06364ECB">
      <w:pPr>
        <w:spacing w:line="360" w:lineRule="auto"/>
        <w:ind w:firstLine="420" w:firstLineChars="200"/>
        <w:rPr>
          <w:rFonts w:hint="eastAsia" w:ascii="宋体" w:hAnsi="宋体" w:cs="Arial"/>
        </w:rPr>
      </w:pPr>
      <w:r>
        <w:rPr>
          <w:rFonts w:ascii="宋体" w:hAnsi="宋体" w:cs="Arial"/>
        </w:rPr>
        <w:t>不定期</w:t>
      </w:r>
    </w:p>
    <w:p w14:paraId="402F6491">
      <w:pPr>
        <w:snapToGrid w:val="0"/>
        <w:spacing w:line="360" w:lineRule="auto"/>
        <w:ind w:firstLine="420"/>
        <w:rPr>
          <w:rFonts w:hint="eastAsia" w:ascii="宋体" w:hAnsi="宋体" w:cs="Arial"/>
          <w:b/>
        </w:rPr>
      </w:pPr>
      <w:r>
        <w:rPr>
          <w:rFonts w:ascii="宋体" w:hAnsi="宋体" w:cs="Arial"/>
          <w:b/>
        </w:rPr>
        <w:t>四、基金的运作方式</w:t>
      </w:r>
    </w:p>
    <w:p w14:paraId="36ED044A">
      <w:pPr>
        <w:snapToGrid w:val="0"/>
        <w:spacing w:line="360" w:lineRule="auto"/>
        <w:ind w:firstLine="420"/>
        <w:rPr>
          <w:rFonts w:hint="eastAsia" w:ascii="宋体" w:hAnsi="宋体" w:cs="Arial"/>
          <w:bCs/>
        </w:rPr>
      </w:pPr>
      <w:r>
        <w:rPr>
          <w:rFonts w:hint="eastAsia" w:ascii="宋体" w:hAnsi="宋体" w:cs="Arial"/>
          <w:bCs/>
        </w:rPr>
        <w:t>交易型开放式</w:t>
      </w:r>
    </w:p>
    <w:p w14:paraId="7AA04F38">
      <w:pPr>
        <w:snapToGrid w:val="0"/>
        <w:spacing w:line="360" w:lineRule="auto"/>
        <w:ind w:firstLine="420"/>
        <w:rPr>
          <w:rFonts w:hint="eastAsia" w:ascii="宋体" w:hAnsi="宋体" w:cs="Arial"/>
          <w:b/>
        </w:rPr>
      </w:pPr>
      <w:r>
        <w:rPr>
          <w:rFonts w:ascii="宋体" w:hAnsi="宋体" w:cs="Arial"/>
          <w:b/>
        </w:rPr>
        <w:t>五</w:t>
      </w:r>
      <w:r>
        <w:rPr>
          <w:rFonts w:hint="eastAsia" w:ascii="宋体" w:hAnsi="宋体" w:cs="Arial"/>
          <w:b/>
        </w:rPr>
        <w:t>、发售时间与发售对象</w:t>
      </w:r>
    </w:p>
    <w:p w14:paraId="21585572">
      <w:pPr>
        <w:snapToGrid w:val="0"/>
        <w:spacing w:line="360" w:lineRule="auto"/>
        <w:ind w:firstLine="420"/>
        <w:rPr>
          <w:rFonts w:hint="eastAsia" w:ascii="宋体" w:hAnsi="宋体" w:cs="Arial"/>
        </w:rPr>
      </w:pPr>
      <w:r>
        <w:rPr>
          <w:rFonts w:hint="eastAsia" w:ascii="宋体" w:hAnsi="宋体" w:cs="Arial"/>
        </w:rPr>
        <w:t>1、发售时间</w:t>
      </w:r>
    </w:p>
    <w:p w14:paraId="72D4D66D">
      <w:pPr>
        <w:snapToGrid w:val="0"/>
        <w:spacing w:line="360" w:lineRule="auto"/>
        <w:ind w:firstLine="420"/>
        <w:rPr>
          <w:rFonts w:hint="eastAsia" w:ascii="宋体" w:hAnsi="宋体" w:cs="Arial"/>
        </w:rPr>
      </w:pPr>
      <w:r>
        <w:rPr>
          <w:rFonts w:hint="eastAsia" w:ascii="宋体" w:hAnsi="宋体" w:cs="Arial"/>
        </w:rPr>
        <w:t>自基金份额发售之日起最长不得超过三个月，具体发售时间见基金份额发售公告。</w:t>
      </w:r>
    </w:p>
    <w:p w14:paraId="62A0E4DE">
      <w:pPr>
        <w:snapToGrid w:val="0"/>
        <w:spacing w:line="360" w:lineRule="auto"/>
        <w:ind w:firstLine="420"/>
        <w:rPr>
          <w:rFonts w:hint="eastAsia" w:ascii="宋体" w:hAnsi="宋体" w:cs="Arial"/>
        </w:rPr>
      </w:pPr>
      <w:r>
        <w:rPr>
          <w:rFonts w:hint="eastAsia" w:ascii="宋体" w:hAnsi="宋体" w:cs="Arial"/>
        </w:rPr>
        <w:t>2、发售对象</w:t>
      </w:r>
    </w:p>
    <w:p w14:paraId="0C540E31">
      <w:pPr>
        <w:snapToGrid w:val="0"/>
        <w:spacing w:line="360" w:lineRule="auto"/>
        <w:ind w:firstLine="420"/>
        <w:rPr>
          <w:rFonts w:hint="eastAsia" w:ascii="宋体" w:hAnsi="宋体" w:cs="Arial"/>
          <w:bCs/>
        </w:rPr>
      </w:pPr>
      <w:r>
        <w:rPr>
          <w:rFonts w:ascii="宋体" w:hAnsi="宋体" w:cs="Arial"/>
          <w:bCs/>
        </w:rPr>
        <w:t>符合法律法规规定的可投资于证券投资基金的个人投资者、机构投资者</w:t>
      </w:r>
      <w:r>
        <w:rPr>
          <w:rFonts w:hint="eastAsia" w:ascii="宋体" w:hAnsi="宋体" w:cs="Arial"/>
          <w:bCs/>
        </w:rPr>
        <w:t>、</w:t>
      </w:r>
      <w:r>
        <w:rPr>
          <w:rFonts w:ascii="宋体" w:hAnsi="宋体" w:cs="Arial"/>
          <w:bCs/>
        </w:rPr>
        <w:t>合格境外投资者以及法律法规或中国证监会允许购买证券投资基金的其他投资人</w:t>
      </w:r>
      <w:r>
        <w:rPr>
          <w:rFonts w:hint="eastAsia" w:ascii="宋体" w:hAnsi="宋体" w:cs="Arial"/>
          <w:bCs/>
        </w:rPr>
        <w:t>。</w:t>
      </w:r>
    </w:p>
    <w:p w14:paraId="66CD7AD7">
      <w:pPr>
        <w:snapToGrid w:val="0"/>
        <w:spacing w:line="360" w:lineRule="auto"/>
        <w:ind w:firstLine="420"/>
        <w:rPr>
          <w:rFonts w:hint="eastAsia" w:ascii="宋体" w:hAnsi="宋体" w:cs="Arial"/>
          <w:b/>
          <w:bCs/>
        </w:rPr>
      </w:pPr>
      <w:r>
        <w:rPr>
          <w:rFonts w:ascii="宋体" w:hAnsi="宋体" w:cs="Arial"/>
          <w:b/>
          <w:bCs/>
        </w:rPr>
        <w:t>六</w:t>
      </w:r>
      <w:r>
        <w:rPr>
          <w:rFonts w:hint="eastAsia" w:ascii="宋体" w:hAnsi="宋体" w:cs="Arial"/>
          <w:b/>
          <w:bCs/>
        </w:rPr>
        <w:t>、募集规模上限</w:t>
      </w:r>
    </w:p>
    <w:p w14:paraId="1F7FF020">
      <w:pPr>
        <w:snapToGrid w:val="0"/>
        <w:spacing w:line="360" w:lineRule="auto"/>
        <w:ind w:firstLine="420"/>
        <w:rPr>
          <w:rFonts w:hint="eastAsia" w:ascii="宋体" w:hAnsi="宋体" w:cs="Arial"/>
        </w:rPr>
      </w:pPr>
      <w:r>
        <w:rPr>
          <w:rFonts w:hint="eastAsia" w:ascii="宋体" w:hAnsi="宋体" w:cs="Arial"/>
        </w:rPr>
        <w:t>本基金可设置首次募集规模上限，具体募集上限及规模控制的方案详见基金份额发售公告或其他公告。若本基金设置首次募集规模上限，基金合同生效后不受首次募集规模的限制。</w:t>
      </w:r>
    </w:p>
    <w:p w14:paraId="478598C9">
      <w:pPr>
        <w:snapToGrid w:val="0"/>
        <w:spacing w:line="360" w:lineRule="auto"/>
        <w:ind w:firstLine="420"/>
        <w:rPr>
          <w:rFonts w:hint="eastAsia" w:ascii="宋体" w:hAnsi="宋体" w:cs="Arial"/>
          <w:b/>
        </w:rPr>
      </w:pPr>
      <w:r>
        <w:rPr>
          <w:rFonts w:ascii="宋体" w:hAnsi="宋体" w:cs="Arial"/>
          <w:b/>
        </w:rPr>
        <w:t>七、</w:t>
      </w:r>
      <w:r>
        <w:rPr>
          <w:rFonts w:hint="eastAsia" w:ascii="宋体" w:hAnsi="宋体" w:cs="Arial"/>
          <w:b/>
        </w:rPr>
        <w:t>发售</w:t>
      </w:r>
      <w:r>
        <w:rPr>
          <w:rFonts w:ascii="宋体" w:hAnsi="宋体" w:cs="Arial"/>
          <w:b/>
        </w:rPr>
        <w:t>方式</w:t>
      </w:r>
      <w:r>
        <w:rPr>
          <w:rFonts w:hint="eastAsia" w:ascii="宋体" w:hAnsi="宋体" w:cs="Arial"/>
          <w:b/>
        </w:rPr>
        <w:t>与发售场所</w:t>
      </w:r>
    </w:p>
    <w:p w14:paraId="68E2E0AB">
      <w:pPr>
        <w:autoSpaceDE w:val="0"/>
        <w:autoSpaceDN w:val="0"/>
        <w:adjustRightInd w:val="0"/>
        <w:snapToGrid w:val="0"/>
        <w:spacing w:line="360" w:lineRule="auto"/>
        <w:ind w:firstLine="426"/>
        <w:jc w:val="left"/>
        <w:rPr>
          <w:rFonts w:hint="eastAsia" w:ascii="宋体" w:hAnsi="宋体" w:cs="Arial"/>
          <w:kern w:val="0"/>
          <w:szCs w:val="21"/>
        </w:rPr>
      </w:pPr>
      <w:r>
        <w:rPr>
          <w:rFonts w:hint="eastAsia" w:ascii="宋体" w:hAnsi="宋体" w:cs="Arial"/>
          <w:kern w:val="0"/>
          <w:szCs w:val="21"/>
        </w:rPr>
        <w:t>投资人可选择网上现金认购、网下现金认购和网下股票认购三种方式认购本基金。</w:t>
      </w:r>
    </w:p>
    <w:p w14:paraId="10C5A24B">
      <w:pPr>
        <w:autoSpaceDE w:val="0"/>
        <w:autoSpaceDN w:val="0"/>
        <w:adjustRightInd w:val="0"/>
        <w:snapToGrid w:val="0"/>
        <w:spacing w:line="360" w:lineRule="auto"/>
        <w:ind w:firstLine="426"/>
        <w:jc w:val="left"/>
        <w:rPr>
          <w:rFonts w:hint="eastAsia" w:ascii="宋体" w:hAnsi="宋体" w:cs="Arial"/>
          <w:kern w:val="0"/>
          <w:szCs w:val="21"/>
        </w:rPr>
      </w:pPr>
      <w:r>
        <w:rPr>
          <w:rFonts w:hint="eastAsia" w:ascii="宋体" w:hAnsi="宋体" w:cs="Arial"/>
          <w:kern w:val="0"/>
          <w:szCs w:val="21"/>
        </w:rPr>
        <w:t>网上现金认购是指投资人通过基金管理人指定的发售代理机构通过深圳证券交易所网上系统以现金进行的认购。</w:t>
      </w:r>
    </w:p>
    <w:p w14:paraId="49B383D0">
      <w:pPr>
        <w:autoSpaceDE w:val="0"/>
        <w:autoSpaceDN w:val="0"/>
        <w:adjustRightInd w:val="0"/>
        <w:snapToGrid w:val="0"/>
        <w:spacing w:line="360" w:lineRule="auto"/>
        <w:ind w:firstLine="426"/>
        <w:jc w:val="left"/>
        <w:rPr>
          <w:rFonts w:hint="eastAsia" w:ascii="宋体" w:hAnsi="宋体" w:cs="Arial"/>
          <w:kern w:val="0"/>
          <w:szCs w:val="21"/>
        </w:rPr>
      </w:pPr>
      <w:r>
        <w:rPr>
          <w:rFonts w:hint="eastAsia" w:ascii="宋体" w:hAnsi="宋体" w:cs="Arial"/>
          <w:kern w:val="0"/>
          <w:szCs w:val="21"/>
        </w:rPr>
        <w:t>网下现金认购是指投资人通过基金管理人及其指定的发售代理机构以现金进行的认购。</w:t>
      </w:r>
    </w:p>
    <w:p w14:paraId="04EEFA1A">
      <w:pPr>
        <w:autoSpaceDE w:val="0"/>
        <w:autoSpaceDN w:val="0"/>
        <w:adjustRightInd w:val="0"/>
        <w:snapToGrid w:val="0"/>
        <w:spacing w:line="360" w:lineRule="auto"/>
        <w:ind w:firstLine="426"/>
        <w:jc w:val="left"/>
        <w:rPr>
          <w:rFonts w:hint="eastAsia" w:ascii="宋体" w:hAnsi="宋体" w:cs="Arial"/>
          <w:kern w:val="0"/>
          <w:szCs w:val="21"/>
        </w:rPr>
      </w:pPr>
      <w:r>
        <w:rPr>
          <w:rFonts w:hint="eastAsia" w:ascii="宋体" w:hAnsi="宋体" w:cs="Arial"/>
          <w:kern w:val="0"/>
          <w:szCs w:val="21"/>
        </w:rPr>
        <w:t>网下股票认购是指投资人通过基金管理人及其指定的发售代理机构以股票进行的认购。</w:t>
      </w:r>
    </w:p>
    <w:p w14:paraId="39296718">
      <w:pPr>
        <w:autoSpaceDE w:val="0"/>
        <w:autoSpaceDN w:val="0"/>
        <w:adjustRightInd w:val="0"/>
        <w:snapToGrid w:val="0"/>
        <w:spacing w:line="360" w:lineRule="auto"/>
        <w:ind w:firstLine="426"/>
        <w:jc w:val="left"/>
        <w:rPr>
          <w:rFonts w:hint="eastAsia" w:ascii="宋体" w:hAnsi="宋体" w:cs="Arial"/>
          <w:kern w:val="0"/>
          <w:szCs w:val="21"/>
        </w:rPr>
      </w:pPr>
      <w:r>
        <w:rPr>
          <w:rFonts w:hint="eastAsia" w:ascii="宋体" w:hAnsi="宋体" w:cs="Arial"/>
          <w:kern w:val="0"/>
          <w:szCs w:val="21"/>
        </w:rPr>
        <w:t>投资人应当在基金管理人及其指定发售代理机构办理基金发售业务的营业场所，或者按基金管理人或发售代理机构提供的方式办理基金份额的认购。基金管理人、发售代理机构办理基金发售业务的具体情况和联系方式，请参见基金份额发售公告以及基金管理人网站。</w:t>
      </w:r>
    </w:p>
    <w:p w14:paraId="04638EE8">
      <w:pPr>
        <w:snapToGrid w:val="0"/>
        <w:spacing w:line="360" w:lineRule="auto"/>
        <w:ind w:firstLine="420"/>
        <w:rPr>
          <w:rFonts w:hint="eastAsia" w:ascii="宋体" w:hAnsi="宋体" w:cs="Arial"/>
          <w:kern w:val="0"/>
          <w:szCs w:val="21"/>
        </w:rPr>
      </w:pPr>
      <w:r>
        <w:rPr>
          <w:rFonts w:hint="eastAsia" w:ascii="宋体" w:hAnsi="宋体" w:cs="Arial"/>
          <w:kern w:val="0"/>
          <w:szCs w:val="21"/>
        </w:rPr>
        <w:t>基金管理人可依据实际情况增减、变更发售代理机构，发售代理机构的具体名单见基金份额发售公告以及基金管理人网站。</w:t>
      </w:r>
    </w:p>
    <w:p w14:paraId="434895E5">
      <w:pPr>
        <w:snapToGrid w:val="0"/>
        <w:spacing w:line="360" w:lineRule="auto"/>
        <w:ind w:firstLine="420"/>
        <w:rPr>
          <w:rFonts w:hint="eastAsia" w:ascii="宋体" w:hAnsi="宋体" w:cs="Arial"/>
          <w:kern w:val="0"/>
          <w:szCs w:val="21"/>
        </w:rPr>
      </w:pPr>
      <w:r>
        <w:rPr>
          <w:rFonts w:hint="eastAsia" w:ascii="宋体" w:hAnsi="宋体" w:cs="Arial"/>
          <w:kern w:val="0"/>
          <w:szCs w:val="21"/>
        </w:rPr>
        <w:t>若证券交易所、中国证券登记结算有限责任公司对发售方式、发售场所有所调整的，本基金将进行相应调整。</w:t>
      </w:r>
    </w:p>
    <w:p w14:paraId="08A65BFF">
      <w:pPr>
        <w:snapToGrid w:val="0"/>
        <w:spacing w:line="360" w:lineRule="auto"/>
        <w:ind w:firstLine="420"/>
        <w:rPr>
          <w:rFonts w:hint="eastAsia" w:ascii="宋体" w:hAnsi="宋体" w:cs="Arial"/>
          <w:b/>
        </w:rPr>
      </w:pPr>
      <w:r>
        <w:rPr>
          <w:rFonts w:ascii="宋体" w:hAnsi="宋体" w:cs="Arial"/>
          <w:b/>
        </w:rPr>
        <w:t>八、基金份额</w:t>
      </w:r>
      <w:r>
        <w:rPr>
          <w:rFonts w:hint="eastAsia" w:ascii="宋体" w:hAnsi="宋体" w:cs="Arial"/>
          <w:b/>
        </w:rPr>
        <w:t>发售</w:t>
      </w:r>
      <w:r>
        <w:rPr>
          <w:rFonts w:ascii="宋体" w:hAnsi="宋体" w:cs="Arial"/>
          <w:b/>
        </w:rPr>
        <w:t>面值、认购价格</w:t>
      </w:r>
    </w:p>
    <w:p w14:paraId="0776DD71">
      <w:pPr>
        <w:autoSpaceDE w:val="0"/>
        <w:autoSpaceDN w:val="0"/>
        <w:adjustRightInd w:val="0"/>
        <w:snapToGrid w:val="0"/>
        <w:spacing w:line="360" w:lineRule="auto"/>
        <w:ind w:firstLine="420"/>
        <w:rPr>
          <w:rFonts w:hint="eastAsia" w:ascii="宋体" w:hAnsi="宋体" w:cs="Arial"/>
        </w:rPr>
      </w:pPr>
      <w:r>
        <w:rPr>
          <w:rFonts w:ascii="宋体" w:hAnsi="宋体" w:cs="Arial"/>
        </w:rPr>
        <w:t>本基金每份基金份额的</w:t>
      </w:r>
      <w:r>
        <w:rPr>
          <w:rFonts w:hint="eastAsia" w:ascii="宋体" w:hAnsi="宋体" w:cs="Arial"/>
        </w:rPr>
        <w:t>发售</w:t>
      </w:r>
      <w:r>
        <w:rPr>
          <w:rFonts w:ascii="宋体" w:hAnsi="宋体" w:cs="Arial"/>
        </w:rPr>
        <w:t>面值为人民币1.00元，认购价格为人民币1.00元。</w:t>
      </w:r>
    </w:p>
    <w:p w14:paraId="527575E4">
      <w:pPr>
        <w:snapToGrid w:val="0"/>
        <w:spacing w:line="360" w:lineRule="auto"/>
        <w:ind w:firstLine="420"/>
        <w:rPr>
          <w:rFonts w:hint="eastAsia" w:ascii="宋体" w:hAnsi="宋体" w:cs="Arial"/>
          <w:b/>
        </w:rPr>
      </w:pPr>
      <w:r>
        <w:rPr>
          <w:rFonts w:ascii="宋体" w:hAnsi="宋体" w:cs="Arial"/>
          <w:b/>
        </w:rPr>
        <w:t>九、</w:t>
      </w:r>
      <w:bookmarkStart w:id="93" w:name="_Toc276561307"/>
      <w:bookmarkStart w:id="94" w:name="_Toc293495078"/>
      <w:r>
        <w:rPr>
          <w:rFonts w:ascii="宋体" w:hAnsi="宋体" w:cs="Arial"/>
          <w:b/>
        </w:rPr>
        <w:t>投资人对基金份额的认购</w:t>
      </w:r>
      <w:bookmarkEnd w:id="93"/>
      <w:bookmarkEnd w:id="94"/>
    </w:p>
    <w:p w14:paraId="029CFA71">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1、认购时间安排</w:t>
      </w:r>
    </w:p>
    <w:p w14:paraId="777F0CF9">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本基金的募集期限不超过3个月，自基金份额开始发售之日起计算，具体发售时间见基金份额发售公告。</w:t>
      </w:r>
    </w:p>
    <w:p w14:paraId="674309F2">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2、认购开户</w:t>
      </w:r>
    </w:p>
    <w:p w14:paraId="3939C2AD">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投资人认购本基金时需具有深圳证券交易所A股账户或证券投资基金账户（以下统称“深圳证券账户”）。</w:t>
      </w:r>
    </w:p>
    <w:p w14:paraId="0F6ACF65">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已有深圳证券交易所A股账户或证券投资基金账户的投资人不必再办理开户手续。</w:t>
      </w:r>
    </w:p>
    <w:p w14:paraId="099D6A11">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尚无深圳证券交易所A股账户或证券投资基金账户的投资人，需在认购前持本人身份证到中国证券登记结算有限责任公司深圳分公司的开户代理机构办理深圳证券交易所A股账户或证券投资基金账户的开户手续。有关开设深圳证券交易所A股账户和证券投资基金账户的具体程序和办法，请到各开户网点详细咨询有关规定。</w:t>
      </w:r>
    </w:p>
    <w:p w14:paraId="41B85392">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如投资人需新开立证券账户，则应注意：深圳证券交易所证券投资基金账户只能进行基金份额的现金认购和二级市场交易，如投资人需要使用创业板电池指数成份股中的深圳证券交易所上市股票参与网下股票认购或基金份额的申购、赎回，则应开立深圳证券交易所A股账户。</w:t>
      </w:r>
    </w:p>
    <w:p w14:paraId="07433AF8">
      <w:pPr>
        <w:snapToGrid w:val="0"/>
        <w:spacing w:line="360" w:lineRule="auto"/>
        <w:ind w:firstLine="422" w:firstLineChars="200"/>
        <w:rPr>
          <w:rFonts w:hint="eastAsia" w:ascii="宋体" w:hAnsi="宋体" w:cs="Arial"/>
          <w:b/>
        </w:rPr>
      </w:pPr>
      <w:r>
        <w:rPr>
          <w:rFonts w:ascii="宋体" w:hAnsi="宋体" w:cs="Arial"/>
          <w:b/>
        </w:rPr>
        <w:t>十、认购费用</w:t>
      </w:r>
    </w:p>
    <w:p w14:paraId="46A7E2ED">
      <w:pPr>
        <w:adjustRightInd w:val="0"/>
        <w:snapToGrid w:val="0"/>
        <w:spacing w:line="360" w:lineRule="auto"/>
        <w:ind w:firstLine="420"/>
        <w:rPr>
          <w:rFonts w:hint="eastAsia" w:ascii="宋体" w:hAnsi="宋体" w:cs="Arial"/>
          <w:kern w:val="3"/>
        </w:rPr>
      </w:pPr>
      <w:r>
        <w:rPr>
          <w:rFonts w:hint="eastAsia" w:ascii="宋体" w:hAnsi="宋体" w:cs="Arial"/>
          <w:kern w:val="3"/>
        </w:rPr>
        <w:t>本基金的认购采用份额认购的原则。认购费用由认购基金份额的投资人承担，认购费用不列入基金财产。认购费率如下表所示：</w:t>
      </w:r>
    </w:p>
    <w:p w14:paraId="6406E91E">
      <w:pPr>
        <w:snapToGrid w:val="0"/>
        <w:spacing w:line="360" w:lineRule="auto"/>
        <w:ind w:firstLine="420"/>
        <w:jc w:val="center"/>
        <w:rPr>
          <w:rFonts w:hint="eastAsia" w:ascii="宋体" w:hAnsi="宋体" w:cs="Arial"/>
        </w:rPr>
      </w:pPr>
      <w:r>
        <w:rPr>
          <w:rFonts w:hint="eastAsia" w:ascii="宋体" w:hAnsi="宋体" w:cs="Arial"/>
        </w:rPr>
        <w:t>图表1：认购费率</w:t>
      </w:r>
    </w:p>
    <w:tbl>
      <w:tblPr>
        <w:tblStyle w:val="41"/>
        <w:tblW w:w="5453" w:type="dxa"/>
        <w:jc w:val="center"/>
        <w:tblLayout w:type="autofit"/>
        <w:tblCellMar>
          <w:top w:w="0" w:type="dxa"/>
          <w:left w:w="0" w:type="dxa"/>
          <w:bottom w:w="0" w:type="dxa"/>
          <w:right w:w="0" w:type="dxa"/>
        </w:tblCellMar>
      </w:tblPr>
      <w:tblGrid>
        <w:gridCol w:w="3857"/>
        <w:gridCol w:w="1596"/>
      </w:tblGrid>
      <w:tr w14:paraId="61DDB81E">
        <w:tblPrEx>
          <w:tblCellMar>
            <w:top w:w="0" w:type="dxa"/>
            <w:left w:w="0" w:type="dxa"/>
            <w:bottom w:w="0" w:type="dxa"/>
            <w:right w:w="0" w:type="dxa"/>
          </w:tblCellMar>
        </w:tblPrEx>
        <w:trPr>
          <w:jc w:val="center"/>
        </w:trPr>
        <w:tc>
          <w:tcPr>
            <w:tcW w:w="3857"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20D8FB02">
            <w:pPr>
              <w:widowControl/>
              <w:spacing w:before="100" w:beforeAutospacing="1" w:after="100" w:afterAutospacing="1"/>
              <w:jc w:val="center"/>
              <w:rPr>
                <w:rFonts w:ascii="Arial" w:hAnsi="Arial" w:cs="Arial"/>
                <w:kern w:val="0"/>
                <w:szCs w:val="21"/>
              </w:rPr>
            </w:pPr>
            <w:r>
              <w:rPr>
                <w:rFonts w:hint="eastAsia" w:ascii="宋体" w:hAnsi="宋体" w:cs="Arial"/>
                <w:b/>
                <w:bCs/>
                <w:kern w:val="0"/>
                <w:szCs w:val="21"/>
              </w:rPr>
              <w:t>认购份额</w:t>
            </w:r>
          </w:p>
        </w:tc>
        <w:tc>
          <w:tcPr>
            <w:tcW w:w="1596"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41909F88">
            <w:pPr>
              <w:widowControl/>
              <w:spacing w:before="100" w:beforeAutospacing="1" w:after="100" w:afterAutospacing="1"/>
              <w:jc w:val="center"/>
              <w:rPr>
                <w:rFonts w:ascii="Arial" w:hAnsi="Arial" w:cs="Arial"/>
                <w:kern w:val="0"/>
                <w:szCs w:val="21"/>
              </w:rPr>
            </w:pPr>
            <w:r>
              <w:rPr>
                <w:rFonts w:hint="eastAsia" w:ascii="宋体" w:hAnsi="宋体" w:cs="Arial"/>
                <w:b/>
                <w:bCs/>
                <w:kern w:val="0"/>
                <w:szCs w:val="21"/>
              </w:rPr>
              <w:t>认购费率</w:t>
            </w:r>
          </w:p>
        </w:tc>
      </w:tr>
      <w:tr w14:paraId="2966965D">
        <w:tblPrEx>
          <w:tblCellMar>
            <w:top w:w="0" w:type="dxa"/>
            <w:left w:w="0" w:type="dxa"/>
            <w:bottom w:w="0" w:type="dxa"/>
            <w:right w:w="0" w:type="dxa"/>
          </w:tblCellMar>
        </w:tblPrEx>
        <w:trPr>
          <w:jc w:val="center"/>
        </w:trPr>
        <w:tc>
          <w:tcPr>
            <w:tcW w:w="3857"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47DF054C">
            <w:pPr>
              <w:widowControl/>
              <w:spacing w:before="100" w:beforeAutospacing="1" w:after="100" w:afterAutospacing="1"/>
              <w:jc w:val="center"/>
              <w:rPr>
                <w:rFonts w:ascii="Arial" w:hAnsi="Arial" w:cs="Arial"/>
                <w:kern w:val="0"/>
                <w:szCs w:val="21"/>
              </w:rPr>
            </w:pPr>
            <w:r>
              <w:rPr>
                <w:rFonts w:hint="eastAsia" w:ascii="宋体" w:hAnsi="宋体" w:cs="Arial"/>
                <w:kern w:val="0"/>
                <w:szCs w:val="21"/>
              </w:rPr>
              <w:t>100万份以下</w:t>
            </w:r>
          </w:p>
        </w:tc>
        <w:tc>
          <w:tcPr>
            <w:tcW w:w="1596" w:type="dxa"/>
            <w:tcBorders>
              <w:top w:val="nil"/>
              <w:left w:val="nil"/>
              <w:bottom w:val="single" w:color="auto" w:sz="8" w:space="0"/>
              <w:right w:val="single" w:color="auto" w:sz="8" w:space="0"/>
            </w:tcBorders>
            <w:tcMar>
              <w:top w:w="0" w:type="dxa"/>
              <w:left w:w="108" w:type="dxa"/>
              <w:bottom w:w="0" w:type="dxa"/>
              <w:right w:w="108" w:type="dxa"/>
            </w:tcMar>
            <w:vAlign w:val="center"/>
          </w:tcPr>
          <w:p w14:paraId="292E162E">
            <w:pPr>
              <w:widowControl/>
              <w:spacing w:before="100" w:beforeAutospacing="1" w:after="100" w:afterAutospacing="1"/>
              <w:jc w:val="center"/>
              <w:rPr>
                <w:rFonts w:ascii="Arial" w:hAnsi="Arial" w:cs="Arial"/>
                <w:kern w:val="0"/>
                <w:szCs w:val="21"/>
              </w:rPr>
            </w:pPr>
            <w:r>
              <w:rPr>
                <w:rFonts w:hint="eastAsia" w:ascii="宋体" w:hAnsi="宋体" w:cs="Arial"/>
                <w:kern w:val="0"/>
                <w:szCs w:val="21"/>
              </w:rPr>
              <w:t>0.30%</w:t>
            </w:r>
          </w:p>
        </w:tc>
      </w:tr>
      <w:tr w14:paraId="01C36930">
        <w:tblPrEx>
          <w:tblCellMar>
            <w:top w:w="0" w:type="dxa"/>
            <w:left w:w="0" w:type="dxa"/>
            <w:bottom w:w="0" w:type="dxa"/>
            <w:right w:w="0" w:type="dxa"/>
          </w:tblCellMar>
        </w:tblPrEx>
        <w:trPr>
          <w:jc w:val="center"/>
        </w:trPr>
        <w:tc>
          <w:tcPr>
            <w:tcW w:w="3857"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559A7F4F">
            <w:pPr>
              <w:widowControl/>
              <w:spacing w:before="100" w:beforeAutospacing="1" w:after="100" w:afterAutospacing="1"/>
              <w:jc w:val="center"/>
              <w:rPr>
                <w:rFonts w:ascii="Arial" w:hAnsi="Arial" w:cs="Arial"/>
                <w:kern w:val="0"/>
                <w:szCs w:val="21"/>
              </w:rPr>
            </w:pPr>
            <w:r>
              <w:rPr>
                <w:rFonts w:hint="eastAsia" w:ascii="宋体" w:hAnsi="宋体" w:cs="Arial"/>
                <w:kern w:val="0"/>
                <w:szCs w:val="21"/>
              </w:rPr>
              <w:t>100万份以上（含）</w:t>
            </w:r>
          </w:p>
        </w:tc>
        <w:tc>
          <w:tcPr>
            <w:tcW w:w="1596" w:type="dxa"/>
            <w:tcBorders>
              <w:top w:val="nil"/>
              <w:left w:val="nil"/>
              <w:bottom w:val="single" w:color="auto" w:sz="8" w:space="0"/>
              <w:right w:val="single" w:color="auto" w:sz="8" w:space="0"/>
            </w:tcBorders>
            <w:tcMar>
              <w:top w:w="0" w:type="dxa"/>
              <w:left w:w="108" w:type="dxa"/>
              <w:bottom w:w="0" w:type="dxa"/>
              <w:right w:w="108" w:type="dxa"/>
            </w:tcMar>
            <w:vAlign w:val="center"/>
          </w:tcPr>
          <w:p w14:paraId="691C0AF7">
            <w:pPr>
              <w:widowControl/>
              <w:spacing w:before="100" w:beforeAutospacing="1" w:after="100" w:afterAutospacing="1"/>
              <w:jc w:val="center"/>
              <w:rPr>
                <w:rFonts w:ascii="Arial" w:hAnsi="Arial" w:cs="Arial"/>
                <w:kern w:val="0"/>
                <w:szCs w:val="21"/>
              </w:rPr>
            </w:pPr>
            <w:r>
              <w:rPr>
                <w:rFonts w:hint="eastAsia" w:ascii="宋体" w:hAnsi="宋体" w:cs="Arial"/>
                <w:kern w:val="0"/>
                <w:szCs w:val="21"/>
              </w:rPr>
              <w:t>每笔1000元</w:t>
            </w:r>
          </w:p>
        </w:tc>
      </w:tr>
    </w:tbl>
    <w:p w14:paraId="6081784D">
      <w:pPr>
        <w:snapToGrid w:val="0"/>
        <w:spacing w:line="360" w:lineRule="auto"/>
        <w:ind w:firstLine="420" w:firstLineChars="200"/>
        <w:rPr>
          <w:rFonts w:hint="eastAsia" w:ascii="宋体" w:hAnsi="宋体" w:cs="Arial"/>
        </w:rPr>
      </w:pPr>
      <w:r>
        <w:rPr>
          <w:rFonts w:ascii="宋体" w:hAnsi="宋体" w:cs="Arial"/>
        </w:rPr>
        <w:t>基金管理人办理网下现金认购</w:t>
      </w:r>
      <w:r>
        <w:rPr>
          <w:rFonts w:hint="eastAsia" w:ascii="宋体" w:hAnsi="宋体" w:cs="Arial"/>
        </w:rPr>
        <w:t>和网下股票认购时不收取认购费用。</w:t>
      </w:r>
      <w:r>
        <w:rPr>
          <w:rFonts w:ascii="宋体" w:hAnsi="宋体" w:cs="Arial"/>
        </w:rPr>
        <w:t>发售代理机构办理网上现金认购、网下现金认购、网下股票认购时可参照上述费率结构收取一定的佣金。</w:t>
      </w:r>
      <w:r>
        <w:rPr>
          <w:rFonts w:hint="eastAsia" w:ascii="宋体" w:hAnsi="宋体" w:cs="Arial"/>
        </w:rPr>
        <w:t>投资人可以多次认购本基金，认购费率按每笔认购申请单独计算。</w:t>
      </w:r>
    </w:p>
    <w:p w14:paraId="2C93A324">
      <w:pPr>
        <w:snapToGrid w:val="0"/>
        <w:spacing w:line="360" w:lineRule="auto"/>
        <w:ind w:firstLine="420"/>
        <w:rPr>
          <w:rFonts w:hint="eastAsia" w:ascii="宋体" w:hAnsi="宋体" w:cs="Arial"/>
          <w:b/>
        </w:rPr>
      </w:pPr>
      <w:r>
        <w:rPr>
          <w:rFonts w:hint="eastAsia" w:ascii="宋体" w:hAnsi="宋体" w:cs="Arial"/>
          <w:b/>
        </w:rPr>
        <w:t>十一、认购申请的确认</w:t>
      </w:r>
    </w:p>
    <w:p w14:paraId="3760B7C6">
      <w:pPr>
        <w:autoSpaceDE w:val="0"/>
        <w:autoSpaceDN w:val="0"/>
        <w:adjustRightInd w:val="0"/>
        <w:snapToGrid w:val="0"/>
        <w:spacing w:line="360" w:lineRule="auto"/>
        <w:ind w:firstLine="420" w:firstLineChars="200"/>
        <w:rPr>
          <w:rFonts w:hint="eastAsia" w:ascii="宋体" w:hAnsi="宋体" w:cs="Arial"/>
        </w:rPr>
      </w:pPr>
      <w:r>
        <w:rPr>
          <w:rFonts w:hint="eastAsia" w:ascii="宋体" w:hAnsi="宋体" w:cs="Arial"/>
        </w:rPr>
        <w:t>销售机构对认购申请的受理并不代表该申请一定成功，而仅代表销售机构确实接收到认购申请。认购的确认以登记机构的确认结果为准。对于认购申请及认购份额的确认情况，投资者应及时查询并妥善行使合法权利。</w:t>
      </w:r>
    </w:p>
    <w:p w14:paraId="53E747CA">
      <w:pPr>
        <w:snapToGrid w:val="0"/>
        <w:spacing w:line="360" w:lineRule="auto"/>
        <w:ind w:firstLine="420"/>
        <w:rPr>
          <w:rFonts w:hint="eastAsia" w:ascii="宋体" w:hAnsi="宋体" w:cs="Arial"/>
          <w:b/>
        </w:rPr>
      </w:pPr>
      <w:bookmarkStart w:id="95" w:name="_Toc276561308"/>
      <w:r>
        <w:rPr>
          <w:rFonts w:ascii="宋体" w:hAnsi="宋体" w:cs="Arial"/>
          <w:b/>
        </w:rPr>
        <w:t>十二、网上现金认购</w:t>
      </w:r>
      <w:bookmarkEnd w:id="95"/>
    </w:p>
    <w:p w14:paraId="7CCB6AC0">
      <w:pPr>
        <w:adjustRightInd w:val="0"/>
        <w:snapToGrid w:val="0"/>
        <w:spacing w:line="360" w:lineRule="auto"/>
        <w:ind w:left="420"/>
        <w:rPr>
          <w:rFonts w:hint="eastAsia" w:ascii="宋体" w:hAnsi="宋体" w:cs="Arial"/>
        </w:rPr>
      </w:pPr>
      <w:r>
        <w:rPr>
          <w:rFonts w:ascii="宋体" w:hAnsi="宋体" w:cs="Arial"/>
        </w:rPr>
        <w:t>1</w:t>
      </w:r>
      <w:r>
        <w:rPr>
          <w:rFonts w:hint="eastAsia" w:ascii="宋体" w:hAnsi="宋体" w:cs="Arial"/>
          <w:szCs w:val="21"/>
        </w:rPr>
        <w:t>、</w:t>
      </w:r>
      <w:r>
        <w:rPr>
          <w:rFonts w:ascii="宋体" w:hAnsi="宋体" w:cs="Arial"/>
        </w:rPr>
        <w:t>认购时间：</w:t>
      </w:r>
      <w:r>
        <w:rPr>
          <w:rFonts w:hint="eastAsia" w:ascii="宋体" w:hAnsi="宋体" w:cs="Arial"/>
        </w:rPr>
        <w:t>详见基金份额发售公告</w:t>
      </w:r>
      <w:r>
        <w:rPr>
          <w:rFonts w:ascii="宋体" w:hAnsi="宋体" w:cs="Arial"/>
        </w:rPr>
        <w:t>。</w:t>
      </w:r>
    </w:p>
    <w:p w14:paraId="38D05501">
      <w:pPr>
        <w:adjustRightInd w:val="0"/>
        <w:snapToGrid w:val="0"/>
        <w:spacing w:line="360" w:lineRule="auto"/>
        <w:ind w:firstLine="420" w:firstLineChars="200"/>
        <w:rPr>
          <w:rFonts w:hint="eastAsia" w:ascii="宋体" w:hAnsi="宋体" w:cs="Arial"/>
        </w:rPr>
      </w:pPr>
      <w:r>
        <w:rPr>
          <w:rFonts w:hint="eastAsia" w:ascii="宋体" w:hAnsi="宋体" w:cs="Arial"/>
        </w:rPr>
        <w:t>2、</w:t>
      </w:r>
      <w:r>
        <w:rPr>
          <w:rFonts w:ascii="宋体" w:hAnsi="宋体" w:cs="Arial"/>
        </w:rPr>
        <w:t>认购限额：网上现金认购以基金份额申请。单一账户每笔认购份额须为1000份或其整数倍。投资人可多次认购，累计认购份额不设上限。</w:t>
      </w:r>
    </w:p>
    <w:p w14:paraId="0A9F495D">
      <w:pPr>
        <w:adjustRightInd w:val="0"/>
        <w:snapToGrid w:val="0"/>
        <w:spacing w:line="360" w:lineRule="auto"/>
        <w:ind w:left="420"/>
        <w:rPr>
          <w:rFonts w:hint="eastAsia" w:ascii="宋体" w:hAnsi="宋体" w:cs="Arial"/>
        </w:rPr>
      </w:pPr>
      <w:r>
        <w:rPr>
          <w:rFonts w:hint="eastAsia" w:ascii="宋体" w:hAnsi="宋体" w:cs="Arial"/>
        </w:rPr>
        <w:t>3、认购金额、认购佣金的计算：</w:t>
      </w:r>
    </w:p>
    <w:p w14:paraId="11FD0D7E">
      <w:pPr>
        <w:adjustRightInd w:val="0"/>
        <w:snapToGrid w:val="0"/>
        <w:spacing w:line="360" w:lineRule="auto"/>
        <w:ind w:firstLine="420" w:firstLineChars="200"/>
        <w:rPr>
          <w:rFonts w:hint="eastAsia" w:ascii="宋体" w:hAnsi="宋体" w:cs="Arial"/>
        </w:rPr>
      </w:pPr>
      <w:r>
        <w:rPr>
          <w:rFonts w:hint="eastAsia" w:ascii="宋体" w:hAnsi="宋体" w:cs="Arial"/>
        </w:rPr>
        <w:t>通过发售代理机构进行网上现金认购的投资人，认购以基金份额申请，认购佣金、认购金额的计算公式为：</w:t>
      </w:r>
    </w:p>
    <w:p w14:paraId="0A6A2958">
      <w:pPr>
        <w:adjustRightInd w:val="0"/>
        <w:snapToGrid w:val="0"/>
        <w:spacing w:line="360" w:lineRule="auto"/>
        <w:ind w:left="420"/>
        <w:rPr>
          <w:rFonts w:hint="eastAsia" w:ascii="宋体" w:hAnsi="宋体" w:cs="Arial"/>
        </w:rPr>
      </w:pPr>
      <w:r>
        <w:rPr>
          <w:rFonts w:hint="eastAsia" w:ascii="宋体" w:hAnsi="宋体" w:cs="Arial"/>
        </w:rPr>
        <w:t>认购佣金＝认购价格×认购份额×佣金比率</w:t>
      </w:r>
      <w:r>
        <w:rPr>
          <w:rFonts w:ascii="宋体" w:hAnsi="宋体" w:cs="Arial"/>
        </w:rPr>
        <w:t xml:space="preserve"> </w:t>
      </w:r>
    </w:p>
    <w:p w14:paraId="6F10BD62">
      <w:pPr>
        <w:adjustRightInd w:val="0"/>
        <w:snapToGrid w:val="0"/>
        <w:spacing w:line="360" w:lineRule="auto"/>
        <w:ind w:left="420"/>
        <w:rPr>
          <w:rFonts w:hint="eastAsia" w:ascii="宋体" w:hAnsi="宋体" w:cs="Arial"/>
        </w:rPr>
      </w:pPr>
      <w:r>
        <w:rPr>
          <w:rFonts w:hint="eastAsia" w:ascii="宋体" w:hAnsi="宋体" w:cs="Arial"/>
        </w:rPr>
        <w:t>（或若适用固定费用的，认购佣金=固定费用）</w:t>
      </w:r>
    </w:p>
    <w:p w14:paraId="4E5B36F1">
      <w:pPr>
        <w:adjustRightInd w:val="0"/>
        <w:snapToGrid w:val="0"/>
        <w:spacing w:line="360" w:lineRule="auto"/>
        <w:ind w:left="420"/>
        <w:rPr>
          <w:rFonts w:hint="eastAsia" w:ascii="宋体" w:hAnsi="宋体" w:cs="Arial"/>
        </w:rPr>
      </w:pPr>
      <w:r>
        <w:rPr>
          <w:rFonts w:hint="eastAsia" w:ascii="宋体" w:hAnsi="宋体" w:cs="Arial"/>
        </w:rPr>
        <w:t>认购金额＝认购价格×认购份额×</w:t>
      </w:r>
      <w:r>
        <w:rPr>
          <w:rFonts w:ascii="宋体" w:hAnsi="宋体" w:cs="Arial"/>
        </w:rPr>
        <w:t>(1</w:t>
      </w:r>
      <w:r>
        <w:rPr>
          <w:rFonts w:hint="eastAsia" w:ascii="宋体" w:hAnsi="宋体" w:cs="Arial"/>
        </w:rPr>
        <w:t>＋佣金比率</w:t>
      </w:r>
      <w:r>
        <w:rPr>
          <w:rFonts w:ascii="宋体" w:hAnsi="宋体" w:cs="Arial"/>
        </w:rPr>
        <w:t xml:space="preserve">) </w:t>
      </w:r>
    </w:p>
    <w:p w14:paraId="12745A82">
      <w:pPr>
        <w:adjustRightInd w:val="0"/>
        <w:snapToGrid w:val="0"/>
        <w:spacing w:line="360" w:lineRule="auto"/>
        <w:ind w:left="420"/>
        <w:rPr>
          <w:rFonts w:hint="eastAsia" w:ascii="宋体" w:hAnsi="宋体" w:cs="Arial"/>
        </w:rPr>
      </w:pPr>
      <w:r>
        <w:rPr>
          <w:rFonts w:hint="eastAsia" w:ascii="宋体" w:hAnsi="宋体" w:cs="Arial"/>
        </w:rPr>
        <w:t>（或若适用固定费用的，认购金额＝认购价格×认购份额+固定费用）</w:t>
      </w:r>
    </w:p>
    <w:p w14:paraId="26E804AA">
      <w:pPr>
        <w:adjustRightInd w:val="0"/>
        <w:snapToGrid w:val="0"/>
        <w:spacing w:line="360" w:lineRule="auto"/>
        <w:ind w:firstLine="420" w:firstLineChars="200"/>
        <w:rPr>
          <w:rFonts w:hint="eastAsia" w:ascii="宋体" w:hAnsi="宋体" w:cs="Arial"/>
        </w:rPr>
      </w:pPr>
      <w:r>
        <w:rPr>
          <w:rFonts w:hint="eastAsia" w:ascii="宋体" w:hAnsi="宋体" w:cs="Arial"/>
        </w:rPr>
        <w:t>利息折算的份额</w:t>
      </w:r>
      <w:r>
        <w:rPr>
          <w:rFonts w:ascii="宋体" w:hAnsi="宋体" w:cs="Arial"/>
        </w:rPr>
        <w:t>=</w:t>
      </w:r>
      <w:r>
        <w:rPr>
          <w:rFonts w:hint="eastAsia" w:ascii="宋体" w:hAnsi="宋体" w:cs="Arial"/>
        </w:rPr>
        <w:t>利息</w:t>
      </w:r>
      <w:r>
        <w:rPr>
          <w:rFonts w:ascii="宋体" w:hAnsi="宋体" w:cs="Arial"/>
        </w:rPr>
        <w:t>/</w:t>
      </w:r>
      <w:r>
        <w:rPr>
          <w:rFonts w:hint="eastAsia" w:ascii="宋体" w:hAnsi="宋体" w:cs="Arial"/>
        </w:rPr>
        <w:t>认购价格</w:t>
      </w:r>
    </w:p>
    <w:p w14:paraId="2AF32242">
      <w:pPr>
        <w:adjustRightInd w:val="0"/>
        <w:snapToGrid w:val="0"/>
        <w:spacing w:line="360" w:lineRule="auto"/>
        <w:ind w:firstLine="420" w:firstLineChars="200"/>
        <w:rPr>
          <w:rFonts w:hint="eastAsia" w:ascii="宋体" w:hAnsi="宋体" w:cs="Arial"/>
        </w:rPr>
      </w:pPr>
      <w:r>
        <w:rPr>
          <w:rFonts w:hint="eastAsia" w:ascii="宋体" w:hAnsi="宋体" w:cs="Arial"/>
        </w:rPr>
        <w:t>总认购份额=认购份额+利息折算的份额</w:t>
      </w:r>
    </w:p>
    <w:p w14:paraId="30AEAFC2">
      <w:pPr>
        <w:adjustRightInd w:val="0"/>
        <w:snapToGrid w:val="0"/>
        <w:spacing w:line="360" w:lineRule="auto"/>
        <w:ind w:firstLine="420" w:firstLineChars="200"/>
        <w:rPr>
          <w:rFonts w:hint="eastAsia" w:ascii="宋体" w:hAnsi="宋体" w:cs="Arial"/>
        </w:rPr>
      </w:pPr>
      <w:r>
        <w:rPr>
          <w:rFonts w:hint="eastAsia" w:ascii="宋体" w:hAnsi="宋体" w:cs="Arial"/>
        </w:rPr>
        <w:t>认购佣金由发售代理机构向投资人收取，投资人需以现金方式交纳认购佣金。利息折算的基金份额保留至整数位，小数部分舍去，舍去部分计入基金财产。</w:t>
      </w:r>
    </w:p>
    <w:p w14:paraId="2C60B9BB">
      <w:pPr>
        <w:adjustRightInd w:val="0"/>
        <w:snapToGrid w:val="0"/>
        <w:spacing w:line="360" w:lineRule="auto"/>
        <w:ind w:firstLine="420" w:firstLineChars="200"/>
        <w:rPr>
          <w:rFonts w:hint="eastAsia" w:ascii="宋体" w:hAnsi="宋体" w:cs="Arial"/>
        </w:rPr>
      </w:pPr>
      <w:r>
        <w:rPr>
          <w:rFonts w:hint="eastAsia" w:ascii="宋体" w:hAnsi="宋体" w:cs="Arial"/>
        </w:rPr>
        <w:t>例：某投资人通过某发售代理机构以网上现金认购方式认购</w:t>
      </w:r>
      <w:r>
        <w:rPr>
          <w:rFonts w:ascii="宋体" w:hAnsi="宋体" w:cs="Arial"/>
        </w:rPr>
        <w:t>1</w:t>
      </w:r>
      <w:r>
        <w:rPr>
          <w:rFonts w:hint="eastAsia" w:ascii="宋体" w:hAnsi="宋体" w:cs="Arial"/>
        </w:rPr>
        <w:t>0</w:t>
      </w:r>
      <w:r>
        <w:rPr>
          <w:rFonts w:ascii="宋体" w:hAnsi="宋体" w:cs="Arial"/>
        </w:rPr>
        <w:t>,000</w:t>
      </w:r>
      <w:r>
        <w:rPr>
          <w:rFonts w:hint="eastAsia" w:ascii="宋体" w:hAnsi="宋体" w:cs="Arial"/>
        </w:rPr>
        <w:t>份本基金份额，该发售代理机构确认的佣金比率为</w:t>
      </w:r>
      <w:r>
        <w:rPr>
          <w:rFonts w:ascii="宋体" w:hAnsi="宋体" w:cs="Arial"/>
        </w:rPr>
        <w:t>0.</w:t>
      </w:r>
      <w:r>
        <w:rPr>
          <w:rFonts w:hint="eastAsia" w:ascii="宋体" w:hAnsi="宋体" w:cs="Arial"/>
        </w:rPr>
        <w:t>30</w:t>
      </w:r>
      <w:r>
        <w:rPr>
          <w:rFonts w:ascii="宋体" w:hAnsi="宋体" w:cs="Arial"/>
        </w:rPr>
        <w:t>%</w:t>
      </w:r>
      <w:r>
        <w:rPr>
          <w:rFonts w:hint="eastAsia" w:ascii="宋体" w:hAnsi="宋体" w:cs="Arial"/>
        </w:rPr>
        <w:t>，假设该笔认购金额产生利息10元，则投资人需支付的认购佣金和需准备的认购金额计算如下：</w:t>
      </w:r>
    </w:p>
    <w:p w14:paraId="285521E8">
      <w:pPr>
        <w:adjustRightInd w:val="0"/>
        <w:snapToGrid w:val="0"/>
        <w:spacing w:line="360" w:lineRule="auto"/>
        <w:ind w:left="420"/>
        <w:rPr>
          <w:rFonts w:hint="eastAsia" w:ascii="宋体" w:hAnsi="宋体" w:cs="Arial"/>
        </w:rPr>
      </w:pPr>
      <w:r>
        <w:rPr>
          <w:rFonts w:hint="eastAsia" w:ascii="宋体" w:hAnsi="宋体" w:cs="Arial"/>
        </w:rPr>
        <w:t>认购佣金＝</w:t>
      </w:r>
      <w:r>
        <w:rPr>
          <w:rFonts w:ascii="宋体" w:hAnsi="宋体" w:cs="Arial"/>
        </w:rPr>
        <w:t>1.00</w:t>
      </w:r>
      <w:r>
        <w:rPr>
          <w:rFonts w:hint="eastAsia" w:ascii="宋体" w:hAnsi="宋体" w:cs="Arial"/>
        </w:rPr>
        <w:t>×</w:t>
      </w:r>
      <w:r>
        <w:rPr>
          <w:rFonts w:ascii="宋体" w:hAnsi="宋体" w:cs="Arial"/>
        </w:rPr>
        <w:t>1</w:t>
      </w:r>
      <w:r>
        <w:rPr>
          <w:rFonts w:hint="eastAsia" w:ascii="宋体" w:hAnsi="宋体" w:cs="Arial"/>
        </w:rPr>
        <w:t>0</w:t>
      </w:r>
      <w:r>
        <w:rPr>
          <w:rFonts w:ascii="宋体" w:hAnsi="宋体" w:cs="Arial"/>
        </w:rPr>
        <w:t>,000</w:t>
      </w:r>
      <w:r>
        <w:rPr>
          <w:rFonts w:hint="eastAsia" w:ascii="宋体" w:hAnsi="宋体" w:cs="Arial"/>
        </w:rPr>
        <w:t>×</w:t>
      </w:r>
      <w:r>
        <w:rPr>
          <w:rFonts w:ascii="宋体" w:hAnsi="宋体" w:cs="Arial"/>
        </w:rPr>
        <w:t>0.</w:t>
      </w:r>
      <w:r>
        <w:rPr>
          <w:rFonts w:hint="eastAsia" w:ascii="宋体" w:hAnsi="宋体" w:cs="Arial"/>
        </w:rPr>
        <w:t>30</w:t>
      </w:r>
      <w:r>
        <w:rPr>
          <w:rFonts w:ascii="宋体" w:hAnsi="宋体" w:cs="Arial"/>
        </w:rPr>
        <w:t>%</w:t>
      </w:r>
      <w:r>
        <w:rPr>
          <w:rFonts w:hint="eastAsia" w:ascii="宋体" w:hAnsi="宋体" w:cs="Arial"/>
        </w:rPr>
        <w:t>＝30.00元</w:t>
      </w:r>
      <w:r>
        <w:rPr>
          <w:rFonts w:ascii="宋体" w:hAnsi="宋体" w:cs="Arial"/>
        </w:rPr>
        <w:t xml:space="preserve"> </w:t>
      </w:r>
    </w:p>
    <w:p w14:paraId="20D7C6ED">
      <w:pPr>
        <w:adjustRightInd w:val="0"/>
        <w:snapToGrid w:val="0"/>
        <w:spacing w:line="360" w:lineRule="auto"/>
        <w:ind w:left="420"/>
        <w:rPr>
          <w:rFonts w:hint="eastAsia" w:ascii="宋体" w:hAnsi="宋体" w:cs="Arial"/>
        </w:rPr>
      </w:pPr>
      <w:r>
        <w:rPr>
          <w:rFonts w:hint="eastAsia" w:ascii="宋体" w:hAnsi="宋体" w:cs="Arial"/>
        </w:rPr>
        <w:t>认购金额＝</w:t>
      </w:r>
      <w:r>
        <w:rPr>
          <w:rFonts w:ascii="宋体" w:hAnsi="宋体" w:cs="Arial"/>
        </w:rPr>
        <w:t>1.00</w:t>
      </w:r>
      <w:r>
        <w:rPr>
          <w:rFonts w:hint="eastAsia" w:ascii="宋体" w:hAnsi="宋体" w:cs="Arial"/>
        </w:rPr>
        <w:t>×</w:t>
      </w:r>
      <w:r>
        <w:rPr>
          <w:rFonts w:ascii="宋体" w:hAnsi="宋体" w:cs="Arial"/>
        </w:rPr>
        <w:t>1</w:t>
      </w:r>
      <w:r>
        <w:rPr>
          <w:rFonts w:hint="eastAsia" w:ascii="宋体" w:hAnsi="宋体" w:cs="Arial"/>
        </w:rPr>
        <w:t>0</w:t>
      </w:r>
      <w:r>
        <w:rPr>
          <w:rFonts w:ascii="宋体" w:hAnsi="宋体" w:cs="Arial"/>
        </w:rPr>
        <w:t>,000</w:t>
      </w:r>
      <w:r>
        <w:rPr>
          <w:rFonts w:hint="eastAsia" w:ascii="宋体" w:hAnsi="宋体" w:cs="Arial"/>
        </w:rPr>
        <w:t>×</w:t>
      </w:r>
      <w:r>
        <w:rPr>
          <w:rFonts w:ascii="宋体" w:hAnsi="宋体" w:cs="Arial"/>
        </w:rPr>
        <w:t>(1+0.</w:t>
      </w:r>
      <w:r>
        <w:rPr>
          <w:rFonts w:hint="eastAsia" w:ascii="宋体" w:hAnsi="宋体" w:cs="Arial"/>
        </w:rPr>
        <w:t>30</w:t>
      </w:r>
      <w:r>
        <w:rPr>
          <w:rFonts w:ascii="宋体" w:hAnsi="宋体" w:cs="Arial"/>
        </w:rPr>
        <w:t>%)</w:t>
      </w:r>
      <w:r>
        <w:rPr>
          <w:rFonts w:hint="eastAsia" w:ascii="宋体" w:hAnsi="宋体" w:cs="Arial"/>
        </w:rPr>
        <w:t>＝</w:t>
      </w:r>
      <w:r>
        <w:rPr>
          <w:rFonts w:ascii="宋体" w:hAnsi="宋体" w:cs="Arial"/>
        </w:rPr>
        <w:t>1</w:t>
      </w:r>
      <w:r>
        <w:rPr>
          <w:rFonts w:hint="eastAsia" w:ascii="宋体" w:hAnsi="宋体" w:cs="Arial"/>
        </w:rPr>
        <w:t>0</w:t>
      </w:r>
      <w:r>
        <w:rPr>
          <w:rFonts w:ascii="宋体" w:hAnsi="宋体" w:cs="Arial"/>
        </w:rPr>
        <w:t>,0</w:t>
      </w:r>
      <w:r>
        <w:rPr>
          <w:rFonts w:hint="eastAsia" w:ascii="宋体" w:hAnsi="宋体" w:cs="Arial"/>
        </w:rPr>
        <w:t>30.00元</w:t>
      </w:r>
      <w:r>
        <w:rPr>
          <w:rFonts w:ascii="宋体" w:hAnsi="宋体" w:cs="Arial"/>
        </w:rPr>
        <w:t xml:space="preserve"> </w:t>
      </w:r>
    </w:p>
    <w:p w14:paraId="424CDA9D">
      <w:pPr>
        <w:adjustRightInd w:val="0"/>
        <w:snapToGrid w:val="0"/>
        <w:spacing w:line="360" w:lineRule="auto"/>
        <w:ind w:firstLine="420" w:firstLineChars="200"/>
        <w:rPr>
          <w:rFonts w:hint="eastAsia" w:ascii="宋体" w:hAnsi="宋体" w:cs="Arial"/>
        </w:rPr>
      </w:pPr>
      <w:r>
        <w:rPr>
          <w:rFonts w:hint="eastAsia" w:ascii="宋体" w:hAnsi="宋体" w:cs="Arial"/>
        </w:rPr>
        <w:t>利息折算的份额=10/1.00=10份</w:t>
      </w:r>
    </w:p>
    <w:p w14:paraId="61E6E8E7">
      <w:pPr>
        <w:adjustRightInd w:val="0"/>
        <w:snapToGrid w:val="0"/>
        <w:spacing w:line="360" w:lineRule="auto"/>
        <w:ind w:firstLine="420" w:firstLineChars="200"/>
        <w:rPr>
          <w:rFonts w:hint="eastAsia" w:ascii="宋体" w:hAnsi="宋体" w:cs="Arial"/>
        </w:rPr>
      </w:pPr>
      <w:r>
        <w:rPr>
          <w:rFonts w:hint="eastAsia" w:ascii="宋体" w:hAnsi="宋体" w:cs="Arial"/>
        </w:rPr>
        <w:t>总认购份额=</w:t>
      </w:r>
      <w:r>
        <w:rPr>
          <w:rFonts w:ascii="宋体" w:hAnsi="宋体" w:cs="Arial"/>
        </w:rPr>
        <w:t>10,000</w:t>
      </w:r>
      <w:r>
        <w:rPr>
          <w:rFonts w:hint="eastAsia" w:ascii="宋体" w:hAnsi="宋体" w:cs="Arial"/>
        </w:rPr>
        <w:t>+10=10</w:t>
      </w:r>
      <w:r>
        <w:rPr>
          <w:rFonts w:ascii="宋体" w:hAnsi="宋体" w:cs="Arial"/>
        </w:rPr>
        <w:t>,</w:t>
      </w:r>
      <w:r>
        <w:rPr>
          <w:rFonts w:hint="eastAsia" w:ascii="宋体" w:hAnsi="宋体" w:cs="Arial"/>
        </w:rPr>
        <w:t>010份</w:t>
      </w:r>
    </w:p>
    <w:p w14:paraId="548EDD5F">
      <w:pPr>
        <w:adjustRightInd w:val="0"/>
        <w:snapToGrid w:val="0"/>
        <w:spacing w:line="360" w:lineRule="auto"/>
        <w:ind w:firstLine="420" w:firstLineChars="200"/>
        <w:rPr>
          <w:rFonts w:hint="eastAsia" w:ascii="宋体" w:hAnsi="宋体" w:cs="Arial"/>
        </w:rPr>
      </w:pPr>
      <w:r>
        <w:rPr>
          <w:rFonts w:hint="eastAsia" w:ascii="宋体" w:hAnsi="宋体" w:cs="Arial"/>
        </w:rPr>
        <w:t>即投资人需准备</w:t>
      </w:r>
      <w:r>
        <w:rPr>
          <w:rFonts w:ascii="宋体" w:hAnsi="宋体" w:cs="Arial"/>
        </w:rPr>
        <w:t>1</w:t>
      </w:r>
      <w:r>
        <w:rPr>
          <w:rFonts w:hint="eastAsia" w:ascii="宋体" w:hAnsi="宋体" w:cs="Arial"/>
        </w:rPr>
        <w:t>0</w:t>
      </w:r>
      <w:r>
        <w:rPr>
          <w:rFonts w:ascii="宋体" w:hAnsi="宋体" w:cs="Arial"/>
        </w:rPr>
        <w:t>,0</w:t>
      </w:r>
      <w:r>
        <w:rPr>
          <w:rFonts w:hint="eastAsia" w:ascii="宋体" w:hAnsi="宋体" w:cs="Arial"/>
        </w:rPr>
        <w:t>30.00元资金，方可认购到</w:t>
      </w:r>
      <w:r>
        <w:rPr>
          <w:rFonts w:ascii="宋体" w:hAnsi="宋体" w:cs="Arial"/>
        </w:rPr>
        <w:t>1</w:t>
      </w:r>
      <w:r>
        <w:rPr>
          <w:rFonts w:hint="eastAsia" w:ascii="宋体" w:hAnsi="宋体" w:cs="Arial"/>
        </w:rPr>
        <w:t>0</w:t>
      </w:r>
      <w:r>
        <w:rPr>
          <w:rFonts w:ascii="宋体" w:hAnsi="宋体" w:cs="Arial"/>
        </w:rPr>
        <w:t>,000</w:t>
      </w:r>
      <w:r>
        <w:rPr>
          <w:rFonts w:hint="eastAsia" w:ascii="宋体" w:hAnsi="宋体" w:cs="Arial"/>
        </w:rPr>
        <w:t>份本基金基金份额。假设该笔认购金额产生利息10元，则投资者可得到</w:t>
      </w:r>
      <w:r>
        <w:rPr>
          <w:rFonts w:ascii="宋体" w:hAnsi="宋体" w:cs="Arial"/>
        </w:rPr>
        <w:t>10,010</w:t>
      </w:r>
      <w:r>
        <w:rPr>
          <w:rFonts w:hint="eastAsia" w:ascii="宋体" w:hAnsi="宋体" w:cs="Arial"/>
        </w:rPr>
        <w:t>份本基金基金份额。</w:t>
      </w:r>
    </w:p>
    <w:p w14:paraId="51BA5F0C">
      <w:pPr>
        <w:adjustRightInd w:val="0"/>
        <w:snapToGrid w:val="0"/>
        <w:spacing w:line="360" w:lineRule="auto"/>
        <w:ind w:firstLine="420"/>
        <w:rPr>
          <w:rFonts w:hint="eastAsia" w:ascii="宋体" w:hAnsi="宋体" w:cs="Arial"/>
        </w:rPr>
      </w:pPr>
      <w:r>
        <w:rPr>
          <w:rFonts w:hint="eastAsia" w:ascii="宋体" w:hAnsi="宋体" w:cs="Arial"/>
        </w:rPr>
        <w:t>4、认购手续：投资人在认购本基金时，需按发售代理机构的规定，备足认购资金，办理认购手续。投资者可多次申报，不可撤单，申报一经确认，认购资金即被冻结。</w:t>
      </w:r>
    </w:p>
    <w:p w14:paraId="494EAA24">
      <w:pPr>
        <w:adjustRightInd w:val="0"/>
        <w:snapToGrid w:val="0"/>
        <w:spacing w:line="360" w:lineRule="auto"/>
        <w:ind w:firstLine="420"/>
        <w:rPr>
          <w:rFonts w:hint="eastAsia" w:ascii="宋体" w:hAnsi="宋体" w:cs="Arial"/>
        </w:rPr>
      </w:pPr>
      <w:r>
        <w:rPr>
          <w:rFonts w:hint="eastAsia" w:ascii="宋体" w:hAnsi="宋体" w:cs="Arial"/>
        </w:rPr>
        <w:t>5、</w:t>
      </w:r>
      <w:r>
        <w:rPr>
          <w:rFonts w:ascii="宋体" w:hAnsi="宋体" w:cs="Arial"/>
        </w:rPr>
        <w:t>清算交收：</w:t>
      </w:r>
      <w:r>
        <w:rPr>
          <w:rFonts w:hint="eastAsia" w:ascii="宋体" w:hAnsi="宋体" w:cs="Arial"/>
        </w:rPr>
        <w:t>投资者提交的认购委托，由登记机构进行有效认购款项的清算交收。</w:t>
      </w:r>
    </w:p>
    <w:p w14:paraId="6770DA4F">
      <w:pPr>
        <w:adjustRightInd w:val="0"/>
        <w:snapToGrid w:val="0"/>
        <w:spacing w:line="360" w:lineRule="auto"/>
        <w:ind w:firstLine="420"/>
        <w:rPr>
          <w:rFonts w:hint="eastAsia" w:ascii="宋体" w:hAnsi="宋体" w:cs="Arial"/>
        </w:rPr>
      </w:pPr>
      <w:r>
        <w:rPr>
          <w:rFonts w:hint="eastAsia" w:ascii="宋体" w:hAnsi="宋体" w:cs="Arial"/>
        </w:rPr>
        <w:t>6、认购确认：在基金合同生效后，投资人可通过其办理认购的销售网点或以其提供的其他方式查询认购确认情况。</w:t>
      </w:r>
    </w:p>
    <w:p w14:paraId="6D538219">
      <w:pPr>
        <w:snapToGrid w:val="0"/>
        <w:spacing w:line="360" w:lineRule="auto"/>
        <w:ind w:firstLine="420"/>
        <w:rPr>
          <w:rFonts w:hint="eastAsia" w:ascii="宋体" w:hAnsi="宋体" w:cs="Arial"/>
          <w:b/>
        </w:rPr>
      </w:pPr>
      <w:bookmarkStart w:id="96" w:name="_Toc276561309"/>
      <w:r>
        <w:rPr>
          <w:rFonts w:ascii="宋体" w:hAnsi="宋体" w:cs="Arial"/>
          <w:b/>
        </w:rPr>
        <w:t>十三、网下现金认购</w:t>
      </w:r>
      <w:bookmarkEnd w:id="96"/>
    </w:p>
    <w:p w14:paraId="1B7A40D0">
      <w:pPr>
        <w:adjustRightInd w:val="0"/>
        <w:snapToGrid w:val="0"/>
        <w:spacing w:line="360" w:lineRule="auto"/>
        <w:ind w:firstLine="420"/>
        <w:rPr>
          <w:rFonts w:hint="eastAsia" w:ascii="宋体" w:hAnsi="宋体" w:cs="Arial"/>
        </w:rPr>
      </w:pPr>
      <w:r>
        <w:rPr>
          <w:rFonts w:ascii="宋体" w:hAnsi="宋体" w:cs="Arial"/>
        </w:rPr>
        <w:t>1、认购时间：</w:t>
      </w:r>
      <w:r>
        <w:rPr>
          <w:rFonts w:hint="eastAsia" w:ascii="宋体" w:hAnsi="宋体" w:cs="Arial"/>
        </w:rPr>
        <w:t>详见基金份额发售公告</w:t>
      </w:r>
      <w:r>
        <w:rPr>
          <w:rFonts w:ascii="宋体" w:hAnsi="宋体" w:cs="Arial"/>
        </w:rPr>
        <w:t>。</w:t>
      </w:r>
    </w:p>
    <w:p w14:paraId="48AEEAB9">
      <w:pPr>
        <w:adjustRightInd w:val="0"/>
        <w:snapToGrid w:val="0"/>
        <w:spacing w:line="360" w:lineRule="auto"/>
        <w:ind w:firstLine="420" w:firstLineChars="200"/>
        <w:rPr>
          <w:rFonts w:hint="eastAsia" w:ascii="宋体" w:hAnsi="宋体" w:cs="Arial"/>
        </w:rPr>
      </w:pPr>
      <w:r>
        <w:rPr>
          <w:rFonts w:hint="eastAsia" w:ascii="宋体" w:hAnsi="宋体" w:cs="Arial"/>
        </w:rPr>
        <w:t>2、</w:t>
      </w:r>
      <w:r>
        <w:rPr>
          <w:rFonts w:ascii="宋体" w:hAnsi="宋体" w:cs="Arial"/>
        </w:rPr>
        <w:t>认购限额：网下</w:t>
      </w:r>
      <w:r>
        <w:rPr>
          <w:rFonts w:hint="eastAsia" w:ascii="宋体" w:hAnsi="宋体" w:cs="宋体"/>
        </w:rPr>
        <w:t>现金认购以基金份额申请。</w:t>
      </w:r>
      <w:r>
        <w:rPr>
          <w:rFonts w:hint="eastAsia" w:ascii="宋体" w:hAnsi="宋体" w:cs="宋体"/>
          <w:szCs w:val="21"/>
        </w:rPr>
        <w:t>投资人通过发售代理机构办理网下现金认购，每笔认购份额须为1,000份或其整数倍。</w:t>
      </w:r>
      <w:r>
        <w:rPr>
          <w:rFonts w:hint="eastAsia" w:ascii="宋体" w:hAnsi="宋体" w:cs="宋体"/>
        </w:rPr>
        <w:t>投资人通过基金管理人办理网下现金认购的，每笔认购份额须在5万份以上（含5万份），</w:t>
      </w:r>
      <w:r>
        <w:rPr>
          <w:rFonts w:ascii="宋体" w:hAnsi="宋体" w:cs="Arial"/>
        </w:rPr>
        <w:t>投资人可多次认购，累计认购份额不设上限。</w:t>
      </w:r>
    </w:p>
    <w:p w14:paraId="5E7AC7A5">
      <w:pPr>
        <w:adjustRightInd w:val="0"/>
        <w:snapToGrid w:val="0"/>
        <w:spacing w:line="360" w:lineRule="auto"/>
        <w:ind w:firstLine="420" w:firstLineChars="200"/>
        <w:rPr>
          <w:rFonts w:hint="eastAsia" w:ascii="宋体" w:hAnsi="宋体" w:cs="Arial"/>
        </w:rPr>
      </w:pPr>
      <w:r>
        <w:rPr>
          <w:rFonts w:hint="eastAsia" w:ascii="宋体" w:hAnsi="宋体" w:cs="Arial"/>
        </w:rPr>
        <w:t>3、认购金额、认购费用的计算：</w:t>
      </w:r>
    </w:p>
    <w:p w14:paraId="7E7500CF">
      <w:pPr>
        <w:adjustRightInd w:val="0"/>
        <w:snapToGrid w:val="0"/>
        <w:spacing w:line="360" w:lineRule="auto"/>
        <w:ind w:firstLine="420" w:firstLineChars="200"/>
        <w:rPr>
          <w:rFonts w:hint="eastAsia" w:ascii="宋体" w:hAnsi="宋体" w:cs="Arial"/>
        </w:rPr>
      </w:pPr>
      <w:r>
        <w:rPr>
          <w:rFonts w:hint="eastAsia" w:ascii="宋体" w:hAnsi="宋体" w:cs="Arial"/>
        </w:rPr>
        <w:t>（1）通过基金管理人进行网下现金认购的投资人，不收取认购费用。认购以基金份额申请，认购金额的计算公式为：</w:t>
      </w:r>
    </w:p>
    <w:p w14:paraId="2F4FD354">
      <w:pPr>
        <w:adjustRightInd w:val="0"/>
        <w:snapToGrid w:val="0"/>
        <w:spacing w:line="360" w:lineRule="auto"/>
        <w:ind w:firstLine="420" w:firstLineChars="200"/>
        <w:rPr>
          <w:rFonts w:hint="eastAsia" w:ascii="宋体" w:hAnsi="宋体" w:cs="Arial"/>
        </w:rPr>
      </w:pPr>
      <w:r>
        <w:rPr>
          <w:rFonts w:hint="eastAsia" w:ascii="宋体" w:hAnsi="宋体" w:cs="Arial"/>
        </w:rPr>
        <w:t>认购金额＝认购份额×认购价格</w:t>
      </w:r>
    </w:p>
    <w:p w14:paraId="02D5E38B">
      <w:pPr>
        <w:adjustRightInd w:val="0"/>
        <w:snapToGrid w:val="0"/>
        <w:spacing w:line="360" w:lineRule="auto"/>
        <w:ind w:firstLine="420" w:firstLineChars="200"/>
        <w:rPr>
          <w:rFonts w:hint="eastAsia" w:ascii="宋体" w:hAnsi="宋体" w:cs="Arial"/>
        </w:rPr>
      </w:pPr>
      <w:r>
        <w:rPr>
          <w:rFonts w:hint="eastAsia" w:ascii="宋体" w:hAnsi="宋体" w:cs="Arial"/>
        </w:rPr>
        <w:t>利息折算的份额＝利息/认购价格</w:t>
      </w:r>
    </w:p>
    <w:p w14:paraId="2BB863E6">
      <w:pPr>
        <w:adjustRightInd w:val="0"/>
        <w:snapToGrid w:val="0"/>
        <w:spacing w:line="360" w:lineRule="auto"/>
        <w:ind w:firstLine="420" w:firstLineChars="200"/>
        <w:rPr>
          <w:rFonts w:hint="eastAsia" w:ascii="宋体" w:hAnsi="宋体" w:cs="Arial"/>
        </w:rPr>
      </w:pPr>
      <w:r>
        <w:rPr>
          <w:rFonts w:hint="eastAsia" w:ascii="宋体" w:hAnsi="宋体" w:cs="Arial"/>
        </w:rPr>
        <w:t>总认购份额=认购份额+利息折算的份额</w:t>
      </w:r>
    </w:p>
    <w:p w14:paraId="070BB5B5">
      <w:pPr>
        <w:adjustRightInd w:val="0"/>
        <w:snapToGrid w:val="0"/>
        <w:spacing w:line="360" w:lineRule="auto"/>
        <w:ind w:firstLine="420" w:firstLineChars="200"/>
        <w:rPr>
          <w:rFonts w:hint="eastAsia" w:ascii="宋体" w:hAnsi="宋体" w:cs="Arial"/>
        </w:rPr>
      </w:pPr>
      <w:r>
        <w:rPr>
          <w:rFonts w:hint="eastAsia" w:ascii="宋体" w:hAnsi="宋体" w:cs="Arial"/>
        </w:rPr>
        <w:t>通过基金管理人进行网下现金认购的有效认购资金在募集期间产生的利息，将折算为基金份额归投资人所有。利息折算的份额四舍五入保留至整数位，由此产生的收益或损失由基金财产承担。网下现金认购的利息和具体份额以基金管理人的记录为准。</w:t>
      </w:r>
    </w:p>
    <w:p w14:paraId="09FDE223">
      <w:pPr>
        <w:adjustRightInd w:val="0"/>
        <w:snapToGrid w:val="0"/>
        <w:spacing w:line="360" w:lineRule="auto"/>
        <w:ind w:firstLine="420" w:firstLineChars="200"/>
        <w:rPr>
          <w:rFonts w:hint="eastAsia" w:ascii="宋体" w:hAnsi="宋体" w:cs="Arial"/>
        </w:rPr>
      </w:pPr>
      <w:r>
        <w:rPr>
          <w:rFonts w:hint="eastAsia" w:ascii="宋体" w:hAnsi="宋体" w:cs="Arial"/>
        </w:rPr>
        <w:t>例：某投资人通过基金管理人以网下现金认购方式认购1</w:t>
      </w:r>
      <w:r>
        <w:rPr>
          <w:rFonts w:ascii="宋体" w:hAnsi="宋体" w:cs="Arial"/>
        </w:rPr>
        <w:t>00</w:t>
      </w:r>
      <w:r>
        <w:rPr>
          <w:rFonts w:hint="eastAsia" w:ascii="宋体" w:hAnsi="宋体" w:cs="Arial"/>
        </w:rPr>
        <w:t>,000份本基金，不收取认购费用，假设利息为10元，则投资人需准备的认购金额计算如下：</w:t>
      </w:r>
      <w:r>
        <w:rPr>
          <w:rFonts w:ascii="宋体" w:hAnsi="宋体" w:cs="Arial"/>
        </w:rPr>
        <w:t xml:space="preserve"> </w:t>
      </w:r>
    </w:p>
    <w:p w14:paraId="77FE8B9F">
      <w:pPr>
        <w:adjustRightInd w:val="0"/>
        <w:snapToGrid w:val="0"/>
        <w:spacing w:line="360" w:lineRule="auto"/>
        <w:ind w:left="420"/>
        <w:rPr>
          <w:rFonts w:hint="eastAsia" w:ascii="宋体" w:hAnsi="宋体" w:cs="Arial"/>
        </w:rPr>
      </w:pPr>
      <w:r>
        <w:rPr>
          <w:rFonts w:hint="eastAsia" w:ascii="宋体" w:hAnsi="宋体" w:cs="Arial"/>
        </w:rPr>
        <w:t>认购金额＝</w:t>
      </w:r>
      <w:r>
        <w:rPr>
          <w:rFonts w:ascii="宋体" w:hAnsi="宋体" w:cs="Arial"/>
        </w:rPr>
        <w:t>1.00</w:t>
      </w:r>
      <w:r>
        <w:rPr>
          <w:rFonts w:hint="eastAsia" w:ascii="宋体" w:hAnsi="宋体" w:cs="Arial"/>
        </w:rPr>
        <w:t>×</w:t>
      </w:r>
      <w:r>
        <w:rPr>
          <w:rFonts w:ascii="宋体" w:hAnsi="宋体" w:cs="Arial"/>
        </w:rPr>
        <w:t>1</w:t>
      </w:r>
      <w:r>
        <w:rPr>
          <w:rFonts w:hint="eastAsia" w:ascii="宋体" w:hAnsi="宋体" w:cs="Arial"/>
        </w:rPr>
        <w:t>00</w:t>
      </w:r>
      <w:r>
        <w:rPr>
          <w:rFonts w:ascii="宋体" w:hAnsi="宋体" w:cs="Arial"/>
        </w:rPr>
        <w:t>,000</w:t>
      </w:r>
      <w:r>
        <w:rPr>
          <w:rFonts w:hint="eastAsia" w:ascii="宋体" w:hAnsi="宋体" w:cs="Arial"/>
        </w:rPr>
        <w:t>＝100,000元</w:t>
      </w:r>
    </w:p>
    <w:p w14:paraId="72B67E45">
      <w:pPr>
        <w:adjustRightInd w:val="0"/>
        <w:snapToGrid w:val="0"/>
        <w:spacing w:line="360" w:lineRule="auto"/>
        <w:ind w:left="420"/>
        <w:rPr>
          <w:rFonts w:hint="eastAsia" w:ascii="宋体" w:hAnsi="宋体" w:cs="Arial"/>
        </w:rPr>
      </w:pPr>
      <w:r>
        <w:rPr>
          <w:rFonts w:hint="eastAsia" w:ascii="宋体" w:hAnsi="宋体" w:cs="Arial"/>
        </w:rPr>
        <w:t>利息折算的份额=10/1.00=10份</w:t>
      </w:r>
    </w:p>
    <w:p w14:paraId="1727F003">
      <w:pPr>
        <w:adjustRightInd w:val="0"/>
        <w:snapToGrid w:val="0"/>
        <w:spacing w:line="360" w:lineRule="auto"/>
        <w:ind w:left="420"/>
        <w:rPr>
          <w:rFonts w:hint="eastAsia" w:ascii="宋体" w:hAnsi="宋体" w:cs="Arial"/>
        </w:rPr>
      </w:pPr>
      <w:r>
        <w:rPr>
          <w:rFonts w:hint="eastAsia" w:ascii="宋体" w:hAnsi="宋体" w:cs="Arial"/>
        </w:rPr>
        <w:t>投资人实际可得份额=100,000+10=100,010份</w:t>
      </w:r>
    </w:p>
    <w:p w14:paraId="63A18B81">
      <w:pPr>
        <w:adjustRightInd w:val="0"/>
        <w:snapToGrid w:val="0"/>
        <w:spacing w:line="360" w:lineRule="auto"/>
        <w:ind w:firstLine="420"/>
        <w:rPr>
          <w:rFonts w:hint="eastAsia" w:ascii="宋体" w:hAnsi="宋体" w:cs="Arial"/>
        </w:rPr>
      </w:pPr>
      <w:r>
        <w:rPr>
          <w:rFonts w:hint="eastAsia" w:ascii="宋体" w:hAnsi="宋体" w:cs="Arial"/>
        </w:rPr>
        <w:t>即，投资人通过基金管理人以网下现金认购需准备</w:t>
      </w:r>
      <w:r>
        <w:rPr>
          <w:rFonts w:ascii="宋体" w:hAnsi="宋体" w:cs="Arial"/>
        </w:rPr>
        <w:t>100</w:t>
      </w:r>
      <w:r>
        <w:rPr>
          <w:rFonts w:hint="eastAsia" w:ascii="宋体" w:hAnsi="宋体" w:cs="Arial"/>
        </w:rPr>
        <w:t>,000元资金方可认购到1</w:t>
      </w:r>
      <w:r>
        <w:rPr>
          <w:rFonts w:ascii="宋体" w:hAnsi="宋体" w:cs="Arial"/>
        </w:rPr>
        <w:t>00</w:t>
      </w:r>
      <w:r>
        <w:rPr>
          <w:rFonts w:hint="eastAsia" w:ascii="宋体" w:hAnsi="宋体" w:cs="Arial"/>
        </w:rPr>
        <w:t>,000份本基金基金份额，假设利息10元，则其最终实际所得的基金份额为100,010份。</w:t>
      </w:r>
    </w:p>
    <w:p w14:paraId="02949C76">
      <w:pPr>
        <w:adjustRightInd w:val="0"/>
        <w:snapToGrid w:val="0"/>
        <w:spacing w:line="360" w:lineRule="auto"/>
        <w:ind w:firstLine="420" w:firstLineChars="200"/>
        <w:rPr>
          <w:rFonts w:hint="eastAsia" w:ascii="宋体" w:hAnsi="宋体" w:cs="Arial"/>
        </w:rPr>
      </w:pPr>
      <w:r>
        <w:rPr>
          <w:rFonts w:hint="eastAsia" w:ascii="宋体" w:hAnsi="宋体" w:cs="Arial"/>
        </w:rPr>
        <w:t>（2）通过发售代理机构进行网下现金认购的投资人，认购以基金份额申请，认购费用、认购金额的计算公式为：</w:t>
      </w:r>
    </w:p>
    <w:p w14:paraId="04C26690">
      <w:pPr>
        <w:adjustRightInd w:val="0"/>
        <w:snapToGrid w:val="0"/>
        <w:spacing w:line="360" w:lineRule="auto"/>
        <w:ind w:firstLine="420" w:firstLineChars="200"/>
        <w:rPr>
          <w:rFonts w:hint="eastAsia" w:ascii="宋体" w:hAnsi="宋体" w:cs="Arial"/>
        </w:rPr>
      </w:pPr>
      <w:r>
        <w:rPr>
          <w:rFonts w:hint="eastAsia" w:ascii="宋体" w:hAnsi="宋体" w:cs="Arial"/>
        </w:rPr>
        <w:t>认购费用＝认购份额×基金份额发售面值×认购费率</w:t>
      </w:r>
    </w:p>
    <w:p w14:paraId="5075F2CC">
      <w:pPr>
        <w:adjustRightInd w:val="0"/>
        <w:snapToGrid w:val="0"/>
        <w:spacing w:line="360" w:lineRule="auto"/>
        <w:ind w:firstLine="420" w:firstLineChars="200"/>
        <w:rPr>
          <w:rFonts w:hint="eastAsia" w:ascii="宋体" w:hAnsi="宋体" w:cs="Arial"/>
        </w:rPr>
      </w:pPr>
      <w:r>
        <w:rPr>
          <w:rFonts w:hint="eastAsia" w:ascii="宋体" w:hAnsi="宋体" w:cs="Arial"/>
        </w:rPr>
        <w:t>（或若适用固定费用的，认购费用=固定费用）</w:t>
      </w:r>
    </w:p>
    <w:p w14:paraId="6976FC53">
      <w:pPr>
        <w:adjustRightInd w:val="0"/>
        <w:snapToGrid w:val="0"/>
        <w:spacing w:line="360" w:lineRule="auto"/>
        <w:ind w:firstLine="420" w:firstLineChars="200"/>
        <w:rPr>
          <w:rFonts w:hint="eastAsia" w:ascii="宋体" w:hAnsi="宋体" w:cs="Arial"/>
        </w:rPr>
      </w:pPr>
      <w:r>
        <w:rPr>
          <w:rFonts w:hint="eastAsia" w:ascii="宋体" w:hAnsi="宋体" w:cs="Arial"/>
        </w:rPr>
        <w:t>认购金额＝认购份额×基金份额发售面值×（1＋认购费率）</w:t>
      </w:r>
    </w:p>
    <w:p w14:paraId="4D97948A">
      <w:pPr>
        <w:adjustRightInd w:val="0"/>
        <w:snapToGrid w:val="0"/>
        <w:spacing w:line="360" w:lineRule="auto"/>
        <w:ind w:firstLine="420" w:firstLineChars="200"/>
        <w:rPr>
          <w:rFonts w:hint="eastAsia" w:ascii="宋体" w:hAnsi="宋体" w:cs="Arial"/>
        </w:rPr>
      </w:pPr>
      <w:r>
        <w:rPr>
          <w:rFonts w:hint="eastAsia" w:ascii="宋体" w:hAnsi="宋体" w:cs="Arial"/>
        </w:rPr>
        <w:t>（或若适用固定费用的，认购金额＝认购价格×认购份额+固定费用）</w:t>
      </w:r>
    </w:p>
    <w:p w14:paraId="4CD5C81F">
      <w:pPr>
        <w:adjustRightInd w:val="0"/>
        <w:snapToGrid w:val="0"/>
        <w:spacing w:line="360" w:lineRule="auto"/>
        <w:ind w:firstLine="420" w:firstLineChars="200"/>
        <w:rPr>
          <w:rFonts w:hint="eastAsia" w:ascii="宋体" w:hAnsi="宋体" w:cs="Arial"/>
        </w:rPr>
      </w:pPr>
      <w:r>
        <w:rPr>
          <w:rFonts w:hint="eastAsia" w:ascii="宋体" w:hAnsi="宋体" w:cs="Arial"/>
        </w:rPr>
        <w:t>利息折算的份额＝利息/认购价格</w:t>
      </w:r>
    </w:p>
    <w:p w14:paraId="2446EAEB">
      <w:pPr>
        <w:adjustRightInd w:val="0"/>
        <w:snapToGrid w:val="0"/>
        <w:spacing w:line="360" w:lineRule="auto"/>
        <w:ind w:firstLine="420" w:firstLineChars="200"/>
        <w:rPr>
          <w:rFonts w:hint="eastAsia" w:ascii="宋体" w:hAnsi="宋体" w:cs="Arial"/>
        </w:rPr>
      </w:pPr>
      <w:r>
        <w:rPr>
          <w:rFonts w:hint="eastAsia" w:ascii="宋体" w:hAnsi="宋体" w:cs="Arial"/>
        </w:rPr>
        <w:t>总认购份额=认购份额+利息折算的份额</w:t>
      </w:r>
    </w:p>
    <w:p w14:paraId="0AAB2268">
      <w:pPr>
        <w:adjustRightInd w:val="0"/>
        <w:snapToGrid w:val="0"/>
        <w:spacing w:line="360" w:lineRule="auto"/>
        <w:ind w:firstLine="420" w:firstLineChars="200"/>
        <w:rPr>
          <w:rFonts w:hint="eastAsia" w:ascii="宋体" w:hAnsi="宋体" w:cs="Arial"/>
        </w:rPr>
      </w:pPr>
      <w:r>
        <w:rPr>
          <w:rFonts w:hint="eastAsia" w:ascii="宋体" w:hAnsi="宋体" w:cs="Arial"/>
        </w:rPr>
        <w:t>认购费用由发售代理机构向投资人收取，投资人需以现金方式交纳认购费用。</w:t>
      </w:r>
    </w:p>
    <w:p w14:paraId="748F411C">
      <w:pPr>
        <w:adjustRightInd w:val="0"/>
        <w:snapToGrid w:val="0"/>
        <w:spacing w:line="360" w:lineRule="auto"/>
        <w:ind w:firstLine="420" w:firstLineChars="200"/>
        <w:rPr>
          <w:rFonts w:hint="eastAsia" w:ascii="宋体" w:hAnsi="宋体" w:cs="Arial"/>
        </w:rPr>
      </w:pPr>
      <w:r>
        <w:rPr>
          <w:rFonts w:hint="eastAsia" w:ascii="宋体" w:hAnsi="宋体" w:cs="Arial"/>
        </w:rPr>
        <w:t>通过发售代理机构进行网下现金认购的有效认购资金在募集期间产生的利息，将折算为基金份额归投资人所有。利息折算的份额四舍五入保留至整数位，由此产生的收益或损失由基金财产承担。网下现金认购的利息和具体份额以基金管理人的记录为准。</w:t>
      </w:r>
    </w:p>
    <w:p w14:paraId="61E5C8F1">
      <w:pPr>
        <w:adjustRightInd w:val="0"/>
        <w:snapToGrid w:val="0"/>
        <w:spacing w:line="360" w:lineRule="auto"/>
        <w:ind w:firstLine="420" w:firstLineChars="200"/>
        <w:rPr>
          <w:rFonts w:hint="eastAsia" w:ascii="宋体" w:hAnsi="宋体" w:cs="Arial"/>
        </w:rPr>
      </w:pPr>
      <w:r>
        <w:rPr>
          <w:rFonts w:hint="eastAsia" w:ascii="宋体" w:hAnsi="宋体" w:cs="Arial"/>
        </w:rPr>
        <w:t>例：某投资人通过发售代理机构以网下现金认购方式认购1</w:t>
      </w:r>
      <w:r>
        <w:rPr>
          <w:rFonts w:ascii="宋体" w:hAnsi="宋体" w:cs="Arial"/>
        </w:rPr>
        <w:t>00</w:t>
      </w:r>
      <w:r>
        <w:rPr>
          <w:rFonts w:hint="eastAsia" w:ascii="宋体" w:hAnsi="宋体" w:cs="Arial"/>
        </w:rPr>
        <w:t>,000份本基金，认购费率为</w:t>
      </w:r>
      <w:r>
        <w:rPr>
          <w:rFonts w:ascii="宋体" w:hAnsi="宋体" w:cs="Arial"/>
        </w:rPr>
        <w:t>0.</w:t>
      </w:r>
      <w:r>
        <w:rPr>
          <w:rFonts w:hint="eastAsia" w:ascii="宋体" w:hAnsi="宋体" w:cs="Arial"/>
        </w:rPr>
        <w:t>3</w:t>
      </w:r>
      <w:r>
        <w:rPr>
          <w:rFonts w:ascii="宋体" w:hAnsi="宋体" w:cs="Arial"/>
        </w:rPr>
        <w:t>0%</w:t>
      </w:r>
      <w:r>
        <w:rPr>
          <w:rFonts w:hint="eastAsia" w:ascii="宋体" w:hAnsi="宋体" w:cs="Arial"/>
        </w:rPr>
        <w:t>，假设利息为10元，则投资人需支付的认购费用和需准备的认购金额计算如下：</w:t>
      </w:r>
      <w:r>
        <w:rPr>
          <w:rFonts w:ascii="宋体" w:hAnsi="宋体" w:cs="Arial"/>
        </w:rPr>
        <w:t xml:space="preserve"> </w:t>
      </w:r>
    </w:p>
    <w:p w14:paraId="6AF5897E">
      <w:pPr>
        <w:adjustRightInd w:val="0"/>
        <w:snapToGrid w:val="0"/>
        <w:spacing w:line="360" w:lineRule="auto"/>
        <w:ind w:left="420"/>
        <w:rPr>
          <w:rFonts w:hint="eastAsia" w:ascii="宋体" w:hAnsi="宋体" w:cs="Arial"/>
        </w:rPr>
      </w:pPr>
      <w:r>
        <w:rPr>
          <w:rFonts w:hint="eastAsia" w:ascii="宋体" w:hAnsi="宋体" w:cs="Arial"/>
        </w:rPr>
        <w:t>认购费用＝</w:t>
      </w:r>
      <w:r>
        <w:rPr>
          <w:rFonts w:ascii="宋体" w:hAnsi="宋体" w:cs="Arial"/>
        </w:rPr>
        <w:t>1.00</w:t>
      </w:r>
      <w:r>
        <w:rPr>
          <w:rFonts w:hint="eastAsia" w:ascii="宋体" w:hAnsi="宋体" w:cs="Arial"/>
        </w:rPr>
        <w:t>×</w:t>
      </w:r>
      <w:r>
        <w:rPr>
          <w:rFonts w:ascii="宋体" w:hAnsi="宋体" w:cs="Arial"/>
        </w:rPr>
        <w:t>1</w:t>
      </w:r>
      <w:r>
        <w:rPr>
          <w:rFonts w:hint="eastAsia" w:ascii="宋体" w:hAnsi="宋体" w:cs="Arial"/>
        </w:rPr>
        <w:t>00</w:t>
      </w:r>
      <w:r>
        <w:rPr>
          <w:rFonts w:ascii="宋体" w:hAnsi="宋体" w:cs="Arial"/>
        </w:rPr>
        <w:t>,000</w:t>
      </w:r>
      <w:r>
        <w:rPr>
          <w:rFonts w:hint="eastAsia" w:ascii="宋体" w:hAnsi="宋体" w:cs="Arial"/>
        </w:rPr>
        <w:t>×</w:t>
      </w:r>
      <w:r>
        <w:rPr>
          <w:rFonts w:ascii="宋体" w:hAnsi="宋体" w:cs="Arial"/>
        </w:rPr>
        <w:t>0.</w:t>
      </w:r>
      <w:r>
        <w:rPr>
          <w:rFonts w:hint="eastAsia" w:ascii="宋体" w:hAnsi="宋体" w:cs="Arial"/>
        </w:rPr>
        <w:t>3</w:t>
      </w:r>
      <w:r>
        <w:rPr>
          <w:rFonts w:ascii="宋体" w:hAnsi="宋体" w:cs="Arial"/>
        </w:rPr>
        <w:t>0%</w:t>
      </w:r>
      <w:r>
        <w:rPr>
          <w:rFonts w:hint="eastAsia" w:ascii="宋体" w:hAnsi="宋体" w:cs="Arial"/>
        </w:rPr>
        <w:t>＝3</w:t>
      </w:r>
      <w:r>
        <w:rPr>
          <w:rFonts w:ascii="宋体" w:hAnsi="宋体" w:cs="Arial"/>
        </w:rPr>
        <w:t>0</w:t>
      </w:r>
      <w:r>
        <w:rPr>
          <w:rFonts w:hint="eastAsia" w:ascii="宋体" w:hAnsi="宋体" w:cs="Arial"/>
        </w:rPr>
        <w:t>0元</w:t>
      </w:r>
      <w:r>
        <w:rPr>
          <w:rFonts w:ascii="宋体" w:hAnsi="宋体" w:cs="Arial"/>
        </w:rPr>
        <w:t xml:space="preserve"> </w:t>
      </w:r>
    </w:p>
    <w:p w14:paraId="382D403C">
      <w:pPr>
        <w:adjustRightInd w:val="0"/>
        <w:snapToGrid w:val="0"/>
        <w:spacing w:line="360" w:lineRule="auto"/>
        <w:ind w:left="420"/>
        <w:rPr>
          <w:rFonts w:hint="eastAsia" w:ascii="宋体" w:hAnsi="宋体" w:cs="Arial"/>
        </w:rPr>
      </w:pPr>
      <w:r>
        <w:rPr>
          <w:rFonts w:hint="eastAsia" w:ascii="宋体" w:hAnsi="宋体" w:cs="Arial"/>
        </w:rPr>
        <w:t>认购金额＝</w:t>
      </w:r>
      <w:r>
        <w:rPr>
          <w:rFonts w:ascii="宋体" w:hAnsi="宋体" w:cs="Arial"/>
        </w:rPr>
        <w:t>1.00</w:t>
      </w:r>
      <w:r>
        <w:rPr>
          <w:rFonts w:hint="eastAsia" w:ascii="宋体" w:hAnsi="宋体" w:cs="Arial"/>
        </w:rPr>
        <w:t>×</w:t>
      </w:r>
      <w:r>
        <w:rPr>
          <w:rFonts w:ascii="宋体" w:hAnsi="宋体" w:cs="Arial"/>
        </w:rPr>
        <w:t>1</w:t>
      </w:r>
      <w:r>
        <w:rPr>
          <w:rFonts w:hint="eastAsia" w:ascii="宋体" w:hAnsi="宋体" w:cs="Arial"/>
        </w:rPr>
        <w:t>00</w:t>
      </w:r>
      <w:r>
        <w:rPr>
          <w:rFonts w:ascii="宋体" w:hAnsi="宋体" w:cs="Arial"/>
        </w:rPr>
        <w:t>,000</w:t>
      </w:r>
      <w:r>
        <w:rPr>
          <w:rFonts w:hint="eastAsia" w:ascii="宋体" w:hAnsi="宋体" w:cs="Arial"/>
        </w:rPr>
        <w:t>×</w:t>
      </w:r>
      <w:r>
        <w:rPr>
          <w:rFonts w:ascii="宋体" w:hAnsi="宋体" w:cs="Arial"/>
        </w:rPr>
        <w:t>(1+0.</w:t>
      </w:r>
      <w:r>
        <w:rPr>
          <w:rFonts w:hint="eastAsia" w:ascii="宋体" w:hAnsi="宋体" w:cs="Arial"/>
        </w:rPr>
        <w:t>3</w:t>
      </w:r>
      <w:r>
        <w:rPr>
          <w:rFonts w:ascii="宋体" w:hAnsi="宋体" w:cs="Arial"/>
        </w:rPr>
        <w:t>0%)</w:t>
      </w:r>
      <w:r>
        <w:rPr>
          <w:rFonts w:hint="eastAsia" w:ascii="宋体" w:hAnsi="宋体" w:cs="Arial"/>
        </w:rPr>
        <w:t>＝100,300元</w:t>
      </w:r>
    </w:p>
    <w:p w14:paraId="7EE18417">
      <w:pPr>
        <w:adjustRightInd w:val="0"/>
        <w:snapToGrid w:val="0"/>
        <w:spacing w:line="360" w:lineRule="auto"/>
        <w:ind w:left="420"/>
        <w:rPr>
          <w:rFonts w:hint="eastAsia" w:ascii="宋体" w:hAnsi="宋体" w:cs="Arial"/>
        </w:rPr>
      </w:pPr>
      <w:r>
        <w:rPr>
          <w:rFonts w:hint="eastAsia" w:ascii="宋体" w:hAnsi="宋体" w:cs="Arial"/>
        </w:rPr>
        <w:t>利息折算的份额=10/1.00=10份</w:t>
      </w:r>
    </w:p>
    <w:p w14:paraId="6EA13CF9">
      <w:pPr>
        <w:adjustRightInd w:val="0"/>
        <w:snapToGrid w:val="0"/>
        <w:spacing w:line="360" w:lineRule="auto"/>
        <w:ind w:left="420"/>
        <w:rPr>
          <w:rFonts w:hint="eastAsia" w:ascii="宋体" w:hAnsi="宋体" w:cs="Arial"/>
        </w:rPr>
      </w:pPr>
      <w:r>
        <w:rPr>
          <w:rFonts w:hint="eastAsia" w:ascii="宋体" w:hAnsi="宋体" w:cs="Arial"/>
        </w:rPr>
        <w:t>总认购份额=100,000+10=100,010份</w:t>
      </w:r>
    </w:p>
    <w:p w14:paraId="6A7E4786">
      <w:pPr>
        <w:adjustRightInd w:val="0"/>
        <w:snapToGrid w:val="0"/>
        <w:spacing w:line="360" w:lineRule="auto"/>
        <w:ind w:firstLine="420"/>
        <w:rPr>
          <w:rFonts w:hint="eastAsia" w:ascii="宋体" w:hAnsi="宋体" w:cs="Arial"/>
        </w:rPr>
      </w:pPr>
      <w:r>
        <w:rPr>
          <w:rFonts w:hint="eastAsia" w:ascii="宋体" w:hAnsi="宋体" w:cs="Arial"/>
        </w:rPr>
        <w:t>即，投资人需准备</w:t>
      </w:r>
      <w:r>
        <w:rPr>
          <w:rFonts w:ascii="宋体" w:hAnsi="宋体" w:cs="Arial"/>
        </w:rPr>
        <w:t>100</w:t>
      </w:r>
      <w:r>
        <w:rPr>
          <w:rFonts w:hint="eastAsia" w:ascii="宋体" w:hAnsi="宋体" w:cs="Arial"/>
        </w:rPr>
        <w:t>,300元资金方可认购到1</w:t>
      </w:r>
      <w:r>
        <w:rPr>
          <w:rFonts w:ascii="宋体" w:hAnsi="宋体" w:cs="Arial"/>
        </w:rPr>
        <w:t>00</w:t>
      </w:r>
      <w:r>
        <w:rPr>
          <w:rFonts w:hint="eastAsia" w:ascii="宋体" w:hAnsi="宋体" w:cs="Arial"/>
        </w:rPr>
        <w:t>,000份本基金基金份额，假设利息10元，则其最终实际所得的基金份额为100,010份。</w:t>
      </w:r>
    </w:p>
    <w:p w14:paraId="3B5D1A56">
      <w:pPr>
        <w:adjustRightInd w:val="0"/>
        <w:snapToGrid w:val="0"/>
        <w:spacing w:line="360" w:lineRule="auto"/>
        <w:ind w:firstLine="420"/>
        <w:rPr>
          <w:rFonts w:hint="eastAsia" w:ascii="宋体" w:hAnsi="宋体" w:cs="Arial"/>
        </w:rPr>
      </w:pPr>
      <w:r>
        <w:rPr>
          <w:rFonts w:ascii="宋体" w:hAnsi="宋体" w:cs="Arial"/>
        </w:rPr>
        <w:t>4</w:t>
      </w:r>
      <w:r>
        <w:rPr>
          <w:rFonts w:hint="eastAsia" w:ascii="宋体" w:hAnsi="宋体" w:cs="Arial"/>
        </w:rPr>
        <w:t>、</w:t>
      </w:r>
      <w:r>
        <w:rPr>
          <w:rFonts w:ascii="宋体" w:hAnsi="宋体" w:cs="Arial"/>
        </w:rPr>
        <w:t>认购手续：投资人在认购本基金时，需按销售机构的规定，到销售网点办理相关认购手续，并备足认购资金。网下现金认购申请提交后不得</w:t>
      </w:r>
      <w:r>
        <w:rPr>
          <w:rFonts w:hint="eastAsia" w:ascii="宋体" w:hAnsi="宋体" w:cs="Arial"/>
        </w:rPr>
        <w:t>撤销</w:t>
      </w:r>
      <w:r>
        <w:rPr>
          <w:rFonts w:ascii="宋体" w:hAnsi="宋体" w:cs="Arial"/>
        </w:rPr>
        <w:t>。</w:t>
      </w:r>
    </w:p>
    <w:p w14:paraId="6E8D3A4B">
      <w:pPr>
        <w:adjustRightInd w:val="0"/>
        <w:snapToGrid w:val="0"/>
        <w:spacing w:line="360" w:lineRule="auto"/>
        <w:ind w:firstLine="420"/>
        <w:rPr>
          <w:rFonts w:hint="eastAsia" w:ascii="宋体" w:hAnsi="宋体" w:cs="Arial"/>
        </w:rPr>
      </w:pPr>
      <w:r>
        <w:rPr>
          <w:rFonts w:ascii="宋体" w:hAnsi="宋体" w:cs="Arial"/>
        </w:rPr>
        <w:t>5</w:t>
      </w:r>
      <w:r>
        <w:rPr>
          <w:rFonts w:hint="eastAsia" w:ascii="宋体" w:hAnsi="宋体" w:cs="Arial"/>
        </w:rPr>
        <w:t>、清算交收：通过基金管理人提交的网下现金认购申请，由基金管理人进行有效认购款项的清算交收。通过发售代理机构提交的网下现金认购申请，根据登记机构相关规定进行有效认购款项的清算交收。</w:t>
      </w:r>
    </w:p>
    <w:p w14:paraId="00A64AF5">
      <w:pPr>
        <w:adjustRightInd w:val="0"/>
        <w:snapToGrid w:val="0"/>
        <w:spacing w:line="360" w:lineRule="auto"/>
        <w:ind w:firstLine="420"/>
        <w:rPr>
          <w:rFonts w:hint="eastAsia" w:ascii="宋体" w:hAnsi="宋体" w:cs="Arial"/>
        </w:rPr>
      </w:pPr>
      <w:r>
        <w:rPr>
          <w:rFonts w:ascii="宋体" w:hAnsi="宋体" w:cs="Arial"/>
        </w:rPr>
        <w:t>6</w:t>
      </w:r>
      <w:r>
        <w:rPr>
          <w:rFonts w:hint="eastAsia" w:ascii="宋体" w:hAnsi="宋体" w:cs="Arial"/>
        </w:rPr>
        <w:t>、</w:t>
      </w:r>
      <w:r>
        <w:rPr>
          <w:rFonts w:ascii="宋体" w:hAnsi="宋体" w:cs="Arial"/>
        </w:rPr>
        <w:t>认购确认：</w:t>
      </w:r>
      <w:r>
        <w:rPr>
          <w:rFonts w:hint="eastAsia" w:ascii="宋体" w:hAnsi="宋体" w:cs="Arial"/>
        </w:rPr>
        <w:t>在基金合同生效后</w:t>
      </w:r>
      <w:r>
        <w:rPr>
          <w:rFonts w:ascii="宋体" w:hAnsi="宋体" w:cs="Arial"/>
        </w:rPr>
        <w:t>，投资人可通过其办理认购的销售网点</w:t>
      </w:r>
      <w:r>
        <w:rPr>
          <w:rFonts w:hint="eastAsia" w:ascii="宋体" w:hAnsi="宋体" w:cs="Arial"/>
        </w:rPr>
        <w:t>或以其提供的其他方式</w:t>
      </w:r>
      <w:r>
        <w:rPr>
          <w:rFonts w:ascii="宋体" w:hAnsi="宋体" w:cs="Arial"/>
        </w:rPr>
        <w:t>查询认购确认情况。</w:t>
      </w:r>
    </w:p>
    <w:p w14:paraId="6F44D4A2">
      <w:pPr>
        <w:snapToGrid w:val="0"/>
        <w:spacing w:line="360" w:lineRule="auto"/>
        <w:ind w:firstLine="420"/>
        <w:rPr>
          <w:rFonts w:hint="eastAsia" w:ascii="宋体" w:hAnsi="宋体" w:cs="Arial"/>
          <w:b/>
        </w:rPr>
      </w:pPr>
      <w:bookmarkStart w:id="97" w:name="_Toc276561310"/>
      <w:r>
        <w:rPr>
          <w:rFonts w:ascii="宋体" w:hAnsi="宋体" w:cs="Arial"/>
          <w:b/>
        </w:rPr>
        <w:t>十四、网下股票认购</w:t>
      </w:r>
      <w:bookmarkEnd w:id="97"/>
    </w:p>
    <w:p w14:paraId="0C604422">
      <w:pPr>
        <w:adjustRightInd w:val="0"/>
        <w:snapToGrid w:val="0"/>
        <w:spacing w:line="360" w:lineRule="auto"/>
        <w:ind w:firstLine="420" w:firstLineChars="200"/>
        <w:rPr>
          <w:rFonts w:hint="eastAsia" w:ascii="宋体" w:hAnsi="宋体" w:cs="Arial"/>
        </w:rPr>
      </w:pPr>
      <w:r>
        <w:rPr>
          <w:rFonts w:ascii="宋体" w:hAnsi="宋体" w:cs="Arial"/>
        </w:rPr>
        <w:t>1</w:t>
      </w:r>
      <w:r>
        <w:rPr>
          <w:rFonts w:hint="eastAsia" w:ascii="宋体" w:hAnsi="宋体" w:cs="Arial"/>
        </w:rPr>
        <w:t>、</w:t>
      </w:r>
      <w:r>
        <w:rPr>
          <w:rFonts w:ascii="宋体" w:hAnsi="宋体" w:cs="Arial"/>
        </w:rPr>
        <w:t>认购时间：</w:t>
      </w:r>
      <w:r>
        <w:rPr>
          <w:rFonts w:hint="eastAsia" w:ascii="宋体" w:hAnsi="宋体" w:cs="Arial"/>
        </w:rPr>
        <w:t>详见基金份额发售公告</w:t>
      </w:r>
      <w:r>
        <w:rPr>
          <w:rFonts w:ascii="宋体" w:hAnsi="宋体" w:cs="Arial"/>
        </w:rPr>
        <w:t>。</w:t>
      </w:r>
    </w:p>
    <w:p w14:paraId="7D05D1C6">
      <w:pPr>
        <w:adjustRightInd w:val="0"/>
        <w:snapToGrid w:val="0"/>
        <w:spacing w:line="360" w:lineRule="auto"/>
        <w:ind w:firstLine="420"/>
        <w:rPr>
          <w:rFonts w:hint="eastAsia" w:ascii="宋体" w:hAnsi="宋体" w:cs="Arial"/>
        </w:rPr>
      </w:pPr>
      <w:r>
        <w:rPr>
          <w:rFonts w:ascii="宋体" w:hAnsi="宋体" w:cs="Arial"/>
        </w:rPr>
        <w:t>2</w:t>
      </w:r>
      <w:r>
        <w:rPr>
          <w:rFonts w:hint="eastAsia" w:ascii="宋体" w:hAnsi="宋体" w:cs="Arial"/>
        </w:rPr>
        <w:t>、</w:t>
      </w:r>
      <w:r>
        <w:rPr>
          <w:rFonts w:ascii="宋体" w:hAnsi="宋体" w:cs="Arial"/>
        </w:rPr>
        <w:t>认购限额：网下股票认购以单只股票股数申报，用于认购的股票必须是</w:t>
      </w:r>
      <w:r>
        <w:rPr>
          <w:rFonts w:hint="eastAsia" w:ascii="宋体" w:hAnsi="宋体" w:cs="Arial"/>
        </w:rPr>
        <w:t>创业板电池指数</w:t>
      </w:r>
      <w:r>
        <w:rPr>
          <w:rFonts w:ascii="宋体" w:hAnsi="宋体" w:cs="Arial"/>
        </w:rPr>
        <w:t>的成份股和已经公告的备选成份股。单只股票最低认购申报股数为1</w:t>
      </w:r>
      <w:r>
        <w:rPr>
          <w:rFonts w:hint="eastAsia" w:ascii="宋体" w:hAnsi="宋体" w:cs="Arial"/>
        </w:rPr>
        <w:t>,</w:t>
      </w:r>
      <w:r>
        <w:rPr>
          <w:rFonts w:ascii="宋体" w:hAnsi="宋体" w:cs="Arial"/>
        </w:rPr>
        <w:t>000股，超过1</w:t>
      </w:r>
      <w:r>
        <w:rPr>
          <w:rFonts w:hint="eastAsia" w:ascii="宋体" w:hAnsi="宋体" w:cs="Arial"/>
        </w:rPr>
        <w:t>,</w:t>
      </w:r>
      <w:r>
        <w:rPr>
          <w:rFonts w:ascii="宋体" w:hAnsi="宋体" w:cs="Arial"/>
        </w:rPr>
        <w:t>000股的部分须为100股的整数倍。投资人可多次提交认购申请</w:t>
      </w:r>
      <w:r>
        <w:rPr>
          <w:rFonts w:hint="eastAsia" w:ascii="宋体" w:hAnsi="宋体" w:cs="Arial"/>
        </w:rPr>
        <w:t>，累计申报数不设上限</w:t>
      </w:r>
      <w:r>
        <w:rPr>
          <w:rFonts w:ascii="宋体" w:hAnsi="宋体" w:cs="Arial"/>
        </w:rPr>
        <w:t>。</w:t>
      </w:r>
    </w:p>
    <w:p w14:paraId="2DAA17A3">
      <w:pPr>
        <w:adjustRightInd w:val="0"/>
        <w:snapToGrid w:val="0"/>
        <w:spacing w:line="360" w:lineRule="auto"/>
        <w:ind w:firstLine="420"/>
        <w:rPr>
          <w:rFonts w:hint="eastAsia" w:ascii="宋体" w:hAnsi="宋体" w:cs="Arial"/>
        </w:rPr>
      </w:pPr>
      <w:r>
        <w:rPr>
          <w:rFonts w:ascii="宋体" w:hAnsi="宋体" w:cs="Arial"/>
        </w:rPr>
        <w:t>3</w:t>
      </w:r>
      <w:r>
        <w:rPr>
          <w:rFonts w:hint="eastAsia" w:ascii="宋体" w:hAnsi="宋体" w:cs="Arial"/>
        </w:rPr>
        <w:t>、</w:t>
      </w:r>
      <w:r>
        <w:rPr>
          <w:rFonts w:ascii="宋体" w:hAnsi="宋体" w:cs="Arial"/>
        </w:rPr>
        <w:t>认购手续：投资人在认购本基金时，需按销售机构的规定，到销售网点办理认购手续，并备足认购股票。</w:t>
      </w:r>
      <w:r>
        <w:rPr>
          <w:rFonts w:hint="eastAsia" w:ascii="宋体" w:hAnsi="宋体" w:cs="Arial"/>
        </w:rPr>
        <w:t>认购申报提交后不得撤销。</w:t>
      </w:r>
    </w:p>
    <w:p w14:paraId="64579B83">
      <w:pPr>
        <w:adjustRightInd w:val="0"/>
        <w:snapToGrid w:val="0"/>
        <w:spacing w:line="360" w:lineRule="auto"/>
        <w:ind w:firstLine="420" w:firstLineChars="200"/>
        <w:rPr>
          <w:rFonts w:hint="eastAsia" w:ascii="宋体" w:hAnsi="宋体" w:cs="Arial"/>
        </w:rPr>
      </w:pPr>
      <w:r>
        <w:rPr>
          <w:rFonts w:ascii="宋体" w:hAnsi="宋体" w:cs="Arial"/>
        </w:rPr>
        <w:t>4</w:t>
      </w:r>
      <w:r>
        <w:rPr>
          <w:rFonts w:hint="eastAsia" w:ascii="宋体" w:hAnsi="宋体" w:cs="Arial"/>
        </w:rPr>
        <w:t>、</w:t>
      </w:r>
      <w:r>
        <w:rPr>
          <w:rFonts w:ascii="宋体" w:hAnsi="宋体" w:cs="Arial"/>
        </w:rPr>
        <w:t>特殊情形</w:t>
      </w:r>
    </w:p>
    <w:p w14:paraId="2463C7F1">
      <w:pPr>
        <w:adjustRightInd w:val="0"/>
        <w:snapToGrid w:val="0"/>
        <w:spacing w:line="360" w:lineRule="auto"/>
        <w:ind w:firstLine="420"/>
        <w:rPr>
          <w:rFonts w:hint="eastAsia" w:ascii="宋体" w:hAnsi="宋体" w:cs="Arial"/>
        </w:rPr>
      </w:pPr>
      <w:r>
        <w:rPr>
          <w:rFonts w:ascii="宋体" w:hAnsi="宋体" w:cs="Arial"/>
        </w:rPr>
        <w:t>特殊情形包括但不限于以下几种情况：</w:t>
      </w:r>
    </w:p>
    <w:p w14:paraId="5EA7F640">
      <w:pPr>
        <w:numPr>
          <w:ilvl w:val="0"/>
          <w:numId w:val="5"/>
        </w:numPr>
        <w:tabs>
          <w:tab w:val="left" w:pos="993"/>
        </w:tabs>
        <w:adjustRightInd w:val="0"/>
        <w:snapToGrid w:val="0"/>
        <w:spacing w:line="360" w:lineRule="auto"/>
        <w:ind w:left="0" w:firstLine="420"/>
        <w:rPr>
          <w:rFonts w:hint="eastAsia" w:ascii="宋体" w:hAnsi="宋体" w:cs="Arial"/>
        </w:rPr>
      </w:pPr>
      <w:r>
        <w:rPr>
          <w:rFonts w:ascii="宋体" w:hAnsi="宋体" w:cs="Arial"/>
        </w:rPr>
        <w:t>已经公告的即将被调出</w:t>
      </w:r>
      <w:r>
        <w:rPr>
          <w:rFonts w:hint="eastAsia" w:ascii="宋体" w:hAnsi="宋体" w:cs="Arial"/>
        </w:rPr>
        <w:t>创业板电池指数</w:t>
      </w:r>
      <w:r>
        <w:rPr>
          <w:rFonts w:ascii="宋体" w:hAnsi="宋体" w:cs="Arial"/>
        </w:rPr>
        <w:t>的成份股不得用于认购本基金。</w:t>
      </w:r>
    </w:p>
    <w:p w14:paraId="232D9859">
      <w:pPr>
        <w:numPr>
          <w:ilvl w:val="0"/>
          <w:numId w:val="5"/>
        </w:numPr>
        <w:tabs>
          <w:tab w:val="left" w:pos="993"/>
        </w:tabs>
        <w:adjustRightInd w:val="0"/>
        <w:snapToGrid w:val="0"/>
        <w:spacing w:line="360" w:lineRule="auto"/>
        <w:ind w:left="0" w:firstLine="420"/>
        <w:rPr>
          <w:rFonts w:hint="eastAsia" w:ascii="宋体" w:hAnsi="宋体" w:cs="Arial"/>
        </w:rPr>
      </w:pPr>
      <w:r>
        <w:rPr>
          <w:rFonts w:ascii="宋体" w:hAnsi="宋体" w:cs="Arial"/>
        </w:rPr>
        <w:t>限制个股认购规模：基金管理人可根据网下股票认购日前3个月的个股的交易量、价格波动及其他异常情况，决定是否对个股认购规模进行限制，并在网下股票认购日前至少3个工作日公告限制认购规模的个股名单。</w:t>
      </w:r>
    </w:p>
    <w:p w14:paraId="2284C402">
      <w:pPr>
        <w:numPr>
          <w:ilvl w:val="0"/>
          <w:numId w:val="5"/>
        </w:numPr>
        <w:tabs>
          <w:tab w:val="left" w:pos="993"/>
        </w:tabs>
        <w:adjustRightInd w:val="0"/>
        <w:snapToGrid w:val="0"/>
        <w:spacing w:line="360" w:lineRule="auto"/>
        <w:ind w:left="0" w:firstLine="420"/>
        <w:rPr>
          <w:rFonts w:hint="eastAsia" w:ascii="宋体" w:hAnsi="宋体" w:cs="Arial"/>
        </w:rPr>
      </w:pPr>
      <w:r>
        <w:rPr>
          <w:rFonts w:ascii="宋体" w:hAnsi="宋体" w:cs="Arial"/>
        </w:rPr>
        <w:t>临时拒绝个股认购：对于在网下股票认购期间价格波动异常或认购申报数量异常的个股，基金管理人可不经公告，全部或部分拒绝该股票的认购申报。</w:t>
      </w:r>
    </w:p>
    <w:p w14:paraId="3C972FB4">
      <w:pPr>
        <w:adjustRightInd w:val="0"/>
        <w:snapToGrid w:val="0"/>
        <w:spacing w:line="360" w:lineRule="auto"/>
        <w:ind w:firstLine="420" w:firstLineChars="200"/>
        <w:rPr>
          <w:rFonts w:hint="eastAsia" w:ascii="宋体" w:hAnsi="宋体" w:cs="Arial"/>
        </w:rPr>
      </w:pPr>
      <w:r>
        <w:rPr>
          <w:rFonts w:hint="eastAsia" w:ascii="宋体" w:hAnsi="宋体" w:cs="Arial"/>
        </w:rPr>
        <w:t>（4）根据法律法规本基金不得持有的标的指数成份股，将不能用于认购本基金。</w:t>
      </w:r>
    </w:p>
    <w:p w14:paraId="0A5E1FA3">
      <w:pPr>
        <w:adjustRightInd w:val="0"/>
        <w:snapToGrid w:val="0"/>
        <w:spacing w:line="360" w:lineRule="auto"/>
        <w:ind w:firstLine="420" w:firstLineChars="200"/>
        <w:rPr>
          <w:rFonts w:hint="eastAsia" w:ascii="宋体" w:hAnsi="宋体" w:cs="宋体"/>
        </w:rPr>
      </w:pPr>
      <w:r>
        <w:rPr>
          <w:rFonts w:ascii="宋体" w:hAnsi="宋体" w:cs="Arial"/>
        </w:rPr>
        <w:t>5</w:t>
      </w:r>
      <w:r>
        <w:rPr>
          <w:rFonts w:hint="eastAsia" w:ascii="宋体" w:hAnsi="宋体" w:cs="Arial"/>
        </w:rPr>
        <w:t>、</w:t>
      </w:r>
      <w:r>
        <w:rPr>
          <w:rFonts w:ascii="宋体" w:hAnsi="宋体" w:cs="Arial"/>
        </w:rPr>
        <w:t>清算交收</w:t>
      </w:r>
    </w:p>
    <w:p w14:paraId="300BF120">
      <w:pPr>
        <w:adjustRightInd w:val="0"/>
        <w:snapToGrid w:val="0"/>
        <w:spacing w:line="360" w:lineRule="auto"/>
        <w:ind w:firstLine="420" w:firstLineChars="200"/>
        <w:rPr>
          <w:rFonts w:hint="eastAsia" w:ascii="宋体" w:hAnsi="宋体" w:cs="Arial"/>
        </w:rPr>
      </w:pPr>
      <w:r>
        <w:rPr>
          <w:rFonts w:hint="eastAsia" w:ascii="宋体" w:hAnsi="宋体" w:cs="宋体"/>
          <w:szCs w:val="21"/>
        </w:rPr>
        <w:t>网下股票认购期内每日日终，发售代理机构将股票认购数据按投资者证券账户汇总发送给基金管理人。T日日终（T日为本基金发售期最后一日），基金管理人初步确认各成份股的有效认购数量。T+1日起，登记机构根据基金管理人提供的确认数据，将深圳市场网下认购股票过户至本基金组合证券认购专户。</w:t>
      </w:r>
      <w:r>
        <w:rPr>
          <w:rFonts w:hint="eastAsia" w:ascii="宋体" w:hAnsi="宋体" w:cs="宋体"/>
        </w:rPr>
        <w:t>基金发售期结束后，基金管理人根据发售代理机构提供的数据计算投资人应以基金份额方式支付的认购佣金，并从投资人的认购份额中扣除，然后将</w:t>
      </w:r>
      <w:r>
        <w:rPr>
          <w:rFonts w:ascii="宋体" w:hAnsi="宋体" w:cs="Arial"/>
        </w:rPr>
        <w:t>扣除的认购</w:t>
      </w:r>
      <w:r>
        <w:rPr>
          <w:rFonts w:hint="eastAsia" w:ascii="宋体" w:hAnsi="宋体" w:cs="Arial"/>
        </w:rPr>
        <w:t>佣金</w:t>
      </w:r>
      <w:r>
        <w:rPr>
          <w:rFonts w:ascii="宋体" w:hAnsi="宋体" w:cs="Arial"/>
        </w:rPr>
        <w:t>以基金份额的形式返还给发售代理机构。登记机构根据基金管理人提供的投资人净认购份额明细数据进行投资人认购份额的初始登记，并根据基金管理人报深圳证券交易所确认的有效认购申请股票数据，将投资人申请认购的股票过户到基金的证券账户。</w:t>
      </w:r>
    </w:p>
    <w:p w14:paraId="0CF6CBA5">
      <w:pPr>
        <w:adjustRightInd w:val="0"/>
        <w:snapToGrid w:val="0"/>
        <w:spacing w:line="360" w:lineRule="auto"/>
        <w:ind w:firstLine="420" w:firstLineChars="200"/>
        <w:rPr>
          <w:rFonts w:hint="eastAsia" w:ascii="宋体" w:hAnsi="宋体" w:cs="Arial"/>
        </w:rPr>
      </w:pPr>
      <w:r>
        <w:rPr>
          <w:rFonts w:hint="eastAsia" w:ascii="宋体" w:hAnsi="宋体" w:cs="Arial"/>
        </w:rPr>
        <w:t>若深圳证券交易所、登记机构对网下股票认购业务的清算交收流程有所修订或调整的，本基金将进行相应调整。</w:t>
      </w:r>
    </w:p>
    <w:p w14:paraId="38A0B059">
      <w:pPr>
        <w:adjustRightInd w:val="0"/>
        <w:snapToGrid w:val="0"/>
        <w:spacing w:line="360" w:lineRule="auto"/>
        <w:ind w:firstLine="420" w:firstLineChars="200"/>
        <w:rPr>
          <w:rFonts w:hint="eastAsia" w:ascii="宋体" w:hAnsi="宋体" w:cs="Arial"/>
        </w:rPr>
      </w:pPr>
      <w:r>
        <w:rPr>
          <w:rFonts w:ascii="宋体" w:hAnsi="宋体" w:cs="Arial"/>
        </w:rPr>
        <w:t>6</w:t>
      </w:r>
      <w:r>
        <w:rPr>
          <w:rFonts w:hint="eastAsia" w:ascii="宋体" w:hAnsi="宋体" w:cs="Arial"/>
        </w:rPr>
        <w:t>、</w:t>
      </w:r>
      <w:r>
        <w:rPr>
          <w:rFonts w:ascii="宋体" w:hAnsi="宋体" w:cs="Arial"/>
        </w:rPr>
        <w:t>网下股票认购份额的计算公式</w:t>
      </w:r>
    </w:p>
    <w:p w14:paraId="37A369EA">
      <w:pPr>
        <w:adjustRightInd w:val="0"/>
        <w:snapToGrid w:val="0"/>
        <w:spacing w:line="360" w:lineRule="auto"/>
        <w:ind w:firstLine="420" w:firstLineChars="200"/>
        <w:rPr>
          <w:rFonts w:hint="eastAsia" w:ascii="宋体" w:hAnsi="宋体" w:cs="Arial"/>
        </w:rPr>
      </w:pPr>
      <w:r>
        <w:rPr>
          <w:rFonts w:hint="eastAsia" w:ascii="宋体" w:hAnsi="宋体" w:cs="Arial"/>
        </w:rPr>
        <w:t>通过基金管理人或发售代理机构进行网下股票认购的投资人，认购以单只股票股数申请，在销售机构允许的条件下，投资人可以现金或基金份额的方式支付认购费用/佣金。本基金基金管理人办理网下股票认购时不收取认购费用。</w:t>
      </w:r>
    </w:p>
    <w:p w14:paraId="119E63A2">
      <w:pPr>
        <w:adjustRightInd w:val="0"/>
        <w:snapToGrid w:val="0"/>
        <w:spacing w:line="360" w:lineRule="auto"/>
        <w:ind w:firstLine="420" w:firstLineChars="200"/>
        <w:rPr>
          <w:rFonts w:hint="eastAsia" w:ascii="宋体" w:hAnsi="宋体" w:cs="Arial"/>
        </w:rPr>
      </w:pPr>
      <w:r>
        <w:rPr>
          <w:rFonts w:hint="eastAsia" w:ascii="宋体" w:hAnsi="宋体" w:cs="Arial"/>
        </w:rPr>
        <w:t>（1）如投资人选择以现金支付认购费用/佣金则其可得到的基金份额和需支付的认购费用/佣金如下：</w:t>
      </w:r>
    </w:p>
    <w:p w14:paraId="4D9896E3">
      <w:pPr>
        <w:adjustRightInd w:val="0"/>
        <w:snapToGrid w:val="0"/>
        <w:spacing w:line="360" w:lineRule="auto"/>
        <w:ind w:firstLine="420" w:firstLineChars="200"/>
        <w:rPr>
          <w:rFonts w:hint="eastAsia" w:ascii="宋体" w:hAnsi="宋体" w:cs="Arial"/>
        </w:rPr>
      </w:pPr>
      <w:r>
        <w:rPr>
          <w:rFonts w:ascii="宋体" w:hAnsi="宋体" w:cs="Arial"/>
        </w:rPr>
        <w:t>认购份额＝</w:t>
      </w:r>
      <w:r>
        <w:rPr>
          <w:rFonts w:ascii="宋体" w:hAnsi="宋体" w:cs="Arial"/>
        </w:rPr>
        <w:drawing>
          <wp:inline distT="0" distB="0" distL="0" distR="0">
            <wp:extent cx="228600" cy="518160"/>
            <wp:effectExtent l="0" t="0" r="0" b="0"/>
            <wp:docPr id="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a:xfrm>
                      <a:off x="0" y="0"/>
                      <a:ext cx="228600" cy="518160"/>
                    </a:xfrm>
                    <a:prstGeom prst="rect">
                      <a:avLst/>
                    </a:prstGeom>
                    <a:noFill/>
                    <a:ln>
                      <a:noFill/>
                    </a:ln>
                  </pic:spPr>
                </pic:pic>
              </a:graphicData>
            </a:graphic>
          </wp:inline>
        </w:drawing>
      </w:r>
      <w:r>
        <w:rPr>
          <w:rFonts w:ascii="宋体" w:hAnsi="宋体" w:cs="Arial"/>
        </w:rPr>
        <w:t>（第i只股票在网下股票认购期最后一日的均价×有效认购数量）／</w:t>
      </w:r>
      <w:r>
        <w:rPr>
          <w:rFonts w:hint="eastAsia" w:ascii="宋体" w:hAnsi="宋体" w:cs="Arial"/>
        </w:rPr>
        <w:t>基金份额发售面值</w:t>
      </w:r>
    </w:p>
    <w:p w14:paraId="6016CFA9">
      <w:pPr>
        <w:adjustRightInd w:val="0"/>
        <w:snapToGrid w:val="0"/>
        <w:spacing w:line="360" w:lineRule="auto"/>
        <w:ind w:firstLine="420" w:firstLineChars="200"/>
        <w:rPr>
          <w:rFonts w:hint="eastAsia" w:ascii="宋体" w:hAnsi="宋体" w:cs="Arial"/>
        </w:rPr>
      </w:pPr>
      <w:r>
        <w:rPr>
          <w:rFonts w:ascii="宋体" w:hAnsi="宋体" w:cs="Arial"/>
          <w:kern w:val="3"/>
        </w:rPr>
        <w:t>认购费用/佣金</w:t>
      </w:r>
      <w:r>
        <w:rPr>
          <w:rFonts w:hint="eastAsia" w:ascii="宋体" w:hAnsi="宋体" w:cs="Arial"/>
          <w:kern w:val="3"/>
        </w:rPr>
        <w:t>按每笔认购申请单独计算，每笔</w:t>
      </w:r>
      <w:r>
        <w:rPr>
          <w:rFonts w:ascii="宋体" w:hAnsi="宋体" w:cs="Arial"/>
          <w:kern w:val="3"/>
        </w:rPr>
        <w:t>认购费用/佣金=</w:t>
      </w:r>
      <w:r>
        <w:rPr>
          <w:rFonts w:hint="eastAsia" w:ascii="宋体" w:hAnsi="宋体" w:cs="Arial"/>
          <w:kern w:val="3"/>
        </w:rPr>
        <w:t>每笔股票</w:t>
      </w:r>
      <w:r>
        <w:rPr>
          <w:rFonts w:ascii="宋体" w:hAnsi="宋体" w:cs="Arial"/>
          <w:kern w:val="3"/>
        </w:rPr>
        <w:t>认购份额×</w:t>
      </w:r>
      <w:r>
        <w:rPr>
          <w:rFonts w:ascii="宋体" w:hAnsi="宋体" w:cs="Arial"/>
        </w:rPr>
        <w:t>基金份额</w:t>
      </w:r>
      <w:r>
        <w:rPr>
          <w:rFonts w:hint="eastAsia" w:ascii="宋体" w:hAnsi="宋体" w:cs="Arial"/>
        </w:rPr>
        <w:t>发售</w:t>
      </w:r>
      <w:r>
        <w:rPr>
          <w:rFonts w:ascii="宋体" w:hAnsi="宋体" w:cs="Arial"/>
        </w:rPr>
        <w:t>面值</w:t>
      </w:r>
      <w:r>
        <w:rPr>
          <w:rFonts w:ascii="宋体" w:hAnsi="宋体" w:cs="Arial"/>
          <w:kern w:val="3"/>
        </w:rPr>
        <w:t>×认购费率或佣金比率</w:t>
      </w:r>
      <w:r>
        <w:rPr>
          <w:rFonts w:hint="eastAsia" w:ascii="宋体" w:hAnsi="宋体" w:cs="Arial"/>
          <w:kern w:val="3"/>
        </w:rPr>
        <w:t>（或若适用固定费用的，认购费用/佣金=固定费用）</w:t>
      </w:r>
    </w:p>
    <w:p w14:paraId="642533D4">
      <w:pPr>
        <w:adjustRightInd w:val="0"/>
        <w:snapToGrid w:val="0"/>
        <w:spacing w:line="360" w:lineRule="auto"/>
        <w:ind w:firstLine="420" w:firstLineChars="200"/>
        <w:rPr>
          <w:rFonts w:hint="eastAsia" w:ascii="宋体" w:hAnsi="宋体" w:cs="Arial"/>
          <w:kern w:val="3"/>
        </w:rPr>
      </w:pPr>
      <w:r>
        <w:rPr>
          <w:rFonts w:hint="eastAsia" w:ascii="宋体" w:hAnsi="宋体" w:cs="Arial"/>
          <w:kern w:val="3"/>
        </w:rPr>
        <w:t>（2）</w:t>
      </w:r>
      <w:r>
        <w:rPr>
          <w:rFonts w:ascii="宋体" w:hAnsi="宋体" w:cs="Arial"/>
          <w:kern w:val="3"/>
        </w:rPr>
        <w:t>如投资人选择以基金份额的方式交纳认购费用/佣金则其可得到的基金份额和需支付的认购费用/佣金如下：</w:t>
      </w:r>
    </w:p>
    <w:p w14:paraId="2B8865BE">
      <w:pPr>
        <w:adjustRightInd w:val="0"/>
        <w:snapToGrid w:val="0"/>
        <w:spacing w:line="360" w:lineRule="auto"/>
        <w:ind w:firstLine="420" w:firstLineChars="200"/>
        <w:rPr>
          <w:rFonts w:hint="eastAsia" w:ascii="宋体" w:hAnsi="宋体" w:cs="Arial"/>
        </w:rPr>
      </w:pPr>
      <w:r>
        <w:rPr>
          <w:rFonts w:hint="eastAsia" w:ascii="宋体" w:hAnsi="宋体" w:cs="Arial"/>
        </w:rPr>
        <w:t>每笔股票</w:t>
      </w:r>
      <w:r>
        <w:rPr>
          <w:rFonts w:ascii="宋体" w:hAnsi="宋体" w:cs="Arial"/>
        </w:rPr>
        <w:t>认购份额＝</w:t>
      </w:r>
      <w:r>
        <w:rPr>
          <w:rFonts w:hint="eastAsia" w:ascii="宋体" w:hAnsi="宋体" w:cs="Arial"/>
        </w:rPr>
        <w:t>该</w:t>
      </w:r>
      <w:r>
        <w:rPr>
          <w:rFonts w:ascii="宋体" w:hAnsi="宋体" w:cs="Arial"/>
        </w:rPr>
        <w:t>股票在网下股票认购期最后一日的均价×有效认购数量／基金份额</w:t>
      </w:r>
      <w:r>
        <w:rPr>
          <w:rFonts w:hint="eastAsia" w:ascii="宋体" w:hAnsi="宋体" w:cs="Arial"/>
        </w:rPr>
        <w:t>发售</w:t>
      </w:r>
      <w:r>
        <w:rPr>
          <w:rFonts w:ascii="宋体" w:hAnsi="宋体" w:cs="Arial"/>
        </w:rPr>
        <w:t>面值</w:t>
      </w:r>
    </w:p>
    <w:p w14:paraId="0243B690">
      <w:pPr>
        <w:adjustRightInd w:val="0"/>
        <w:snapToGrid w:val="0"/>
        <w:spacing w:line="360" w:lineRule="auto"/>
        <w:ind w:firstLine="420" w:firstLineChars="200"/>
        <w:rPr>
          <w:rFonts w:hint="eastAsia" w:ascii="宋体" w:hAnsi="宋体" w:cs="Arial"/>
          <w:kern w:val="3"/>
        </w:rPr>
      </w:pPr>
      <w:r>
        <w:rPr>
          <w:rFonts w:ascii="宋体" w:hAnsi="宋体" w:cs="Arial"/>
          <w:kern w:val="3"/>
        </w:rPr>
        <w:t>认购费用/佣金</w:t>
      </w:r>
      <w:r>
        <w:rPr>
          <w:rFonts w:hint="eastAsia" w:ascii="宋体" w:hAnsi="宋体" w:cs="Arial"/>
          <w:kern w:val="3"/>
        </w:rPr>
        <w:t>按每笔认购申请单独计算，每笔</w:t>
      </w:r>
      <w:r>
        <w:rPr>
          <w:rFonts w:ascii="宋体" w:hAnsi="宋体" w:cs="Arial"/>
          <w:kern w:val="3"/>
        </w:rPr>
        <w:t>认购费用/佣金=</w:t>
      </w:r>
      <w:r>
        <w:rPr>
          <w:rFonts w:hint="eastAsia" w:ascii="宋体" w:hAnsi="宋体" w:cs="Arial"/>
          <w:kern w:val="3"/>
        </w:rPr>
        <w:t>基金份额发售面值</w:t>
      </w:r>
      <w:r>
        <w:rPr>
          <w:rFonts w:ascii="宋体" w:hAnsi="宋体" w:cs="Arial"/>
          <w:kern w:val="3"/>
        </w:rPr>
        <w:t>×</w:t>
      </w:r>
      <w:r>
        <w:rPr>
          <w:rFonts w:hint="eastAsia" w:ascii="宋体" w:hAnsi="宋体" w:cs="Arial"/>
          <w:kern w:val="3"/>
        </w:rPr>
        <w:t>每笔股票</w:t>
      </w:r>
      <w:r>
        <w:rPr>
          <w:rFonts w:ascii="宋体" w:hAnsi="宋体" w:cs="Arial"/>
          <w:kern w:val="3"/>
        </w:rPr>
        <w:t>认购份额/（1＋认购费率或佣金比率）×认购费率或佣金比率</w:t>
      </w:r>
      <w:r>
        <w:rPr>
          <w:rFonts w:hint="eastAsia" w:ascii="宋体" w:hAnsi="宋体" w:cs="Arial"/>
          <w:kern w:val="3"/>
        </w:rPr>
        <w:t>（或若适用固定费用的，认购费用/佣金=固定费用）</w:t>
      </w:r>
    </w:p>
    <w:p w14:paraId="103642C5">
      <w:pPr>
        <w:pStyle w:val="15"/>
        <w:adjustRightInd w:val="0"/>
        <w:snapToGrid w:val="0"/>
        <w:spacing w:line="360" w:lineRule="auto"/>
        <w:ind w:firstLine="420" w:firstLineChars="200"/>
        <w:rPr>
          <w:rFonts w:hint="eastAsia" w:ascii="宋体" w:hAnsi="宋体" w:cs="Arial"/>
          <w:kern w:val="3"/>
        </w:rPr>
      </w:pPr>
      <w:r>
        <w:rPr>
          <w:rFonts w:hint="eastAsia"/>
        </w:rPr>
        <w:t>每笔股票净认购份额=每笔股票认购份额－每笔认购费用或佣金/基金份额发售面值</w:t>
      </w:r>
    </w:p>
    <w:p w14:paraId="70433ECC">
      <w:pPr>
        <w:adjustRightInd w:val="0"/>
        <w:snapToGrid w:val="0"/>
        <w:spacing w:line="360" w:lineRule="auto"/>
        <w:ind w:firstLine="420" w:firstLineChars="200"/>
        <w:rPr>
          <w:rFonts w:hint="eastAsia" w:ascii="宋体" w:hAnsi="宋体" w:cs="Arial"/>
          <w:kern w:val="3"/>
        </w:rPr>
      </w:pPr>
      <w:r>
        <w:rPr>
          <w:rFonts w:ascii="宋体" w:hAnsi="宋体" w:cs="Arial"/>
          <w:kern w:val="3"/>
        </w:rPr>
        <w:t>认购费用/佣金</w:t>
      </w:r>
      <w:r>
        <w:rPr>
          <w:rFonts w:hint="eastAsia" w:ascii="宋体" w:hAnsi="宋体" w:cs="Arial"/>
          <w:kern w:val="3"/>
        </w:rPr>
        <w:t>采用截尾法保留到整数位，</w:t>
      </w:r>
      <w:r>
        <w:rPr>
          <w:rFonts w:ascii="宋体" w:hAnsi="宋体" w:cs="Arial"/>
          <w:kern w:val="3"/>
        </w:rPr>
        <w:t>小数</w:t>
      </w:r>
      <w:r>
        <w:rPr>
          <w:rFonts w:hint="eastAsia" w:ascii="宋体" w:hAnsi="宋体" w:cs="Arial"/>
          <w:kern w:val="3"/>
        </w:rPr>
        <w:t>部分</w:t>
      </w:r>
      <w:r>
        <w:rPr>
          <w:rFonts w:ascii="宋体" w:hAnsi="宋体" w:cs="Arial"/>
          <w:kern w:val="3"/>
        </w:rPr>
        <w:t>舍去。</w:t>
      </w:r>
    </w:p>
    <w:p w14:paraId="379783EC">
      <w:pPr>
        <w:adjustRightInd w:val="0"/>
        <w:snapToGrid w:val="0"/>
        <w:spacing w:line="360" w:lineRule="auto"/>
        <w:ind w:firstLine="420" w:firstLineChars="200"/>
        <w:rPr>
          <w:rFonts w:hint="eastAsia" w:ascii="宋体" w:hAnsi="宋体" w:cs="Arial"/>
        </w:rPr>
      </w:pPr>
      <w:r>
        <w:rPr>
          <w:rFonts w:ascii="宋体" w:hAnsi="宋体" w:cs="Arial"/>
        </w:rPr>
        <w:t>其中：</w:t>
      </w:r>
    </w:p>
    <w:p w14:paraId="558281D8">
      <w:pPr>
        <w:adjustRightInd w:val="0"/>
        <w:snapToGrid w:val="0"/>
        <w:spacing w:line="360" w:lineRule="auto"/>
        <w:ind w:firstLine="420" w:firstLineChars="200"/>
        <w:rPr>
          <w:rFonts w:hint="eastAsia" w:ascii="宋体" w:hAnsi="宋体" w:cs="Arial"/>
        </w:rPr>
      </w:pPr>
      <w:r>
        <w:rPr>
          <w:rFonts w:hint="eastAsia" w:ascii="宋体" w:hAnsi="宋体" w:cs="Arial"/>
        </w:rPr>
        <w:t>（1）</w:t>
      </w:r>
      <w:r>
        <w:rPr>
          <w:rFonts w:ascii="宋体" w:hAnsi="宋体" w:cs="Arial"/>
        </w:rPr>
        <w:t>i代表投资人提交认购申请的第i只股票，</w:t>
      </w:r>
      <w:r>
        <w:rPr>
          <w:rFonts w:hint="eastAsia" w:ascii="宋体" w:hAnsi="宋体" w:cs="Arial"/>
        </w:rPr>
        <w:t>n代表投资人提交的股票总只数，</w:t>
      </w:r>
      <w:r>
        <w:rPr>
          <w:rFonts w:ascii="宋体" w:hAnsi="宋体" w:cs="Arial"/>
        </w:rPr>
        <w:t>如投资人仅提交了1只股票的申请，则n＝1；</w:t>
      </w:r>
    </w:p>
    <w:p w14:paraId="3325BD2C">
      <w:pPr>
        <w:adjustRightInd w:val="0"/>
        <w:snapToGrid w:val="0"/>
        <w:spacing w:line="360" w:lineRule="auto"/>
        <w:ind w:firstLine="420" w:firstLineChars="200"/>
        <w:rPr>
          <w:rFonts w:hint="eastAsia" w:ascii="宋体" w:hAnsi="宋体" w:cs="Arial"/>
        </w:rPr>
      </w:pPr>
      <w:r>
        <w:rPr>
          <w:rFonts w:hint="eastAsia" w:ascii="宋体" w:hAnsi="宋体" w:cs="Arial"/>
        </w:rPr>
        <w:t>（2）“</w:t>
      </w:r>
      <w:r>
        <w:rPr>
          <w:rFonts w:ascii="宋体" w:hAnsi="宋体" w:cs="Arial"/>
        </w:rPr>
        <w:t>第i只股票在网下股票认购期最后一日的均价”由本基金管理人根据证券交易所的当日行情数据，以该股票的总成交金额除以总成交股数计算，以四舍五入的方法保留小数点后两位。若该股票在当日停牌或无成交，则以同样方法计算最近一个交易日的均价作为计算价格。</w:t>
      </w:r>
    </w:p>
    <w:p w14:paraId="4D29653E">
      <w:pPr>
        <w:adjustRightInd w:val="0"/>
        <w:snapToGrid w:val="0"/>
        <w:spacing w:line="360" w:lineRule="auto"/>
        <w:ind w:firstLine="420" w:firstLineChars="200"/>
        <w:rPr>
          <w:rFonts w:hint="eastAsia" w:ascii="宋体" w:hAnsi="宋体" w:cs="Arial"/>
        </w:rPr>
      </w:pPr>
      <w:r>
        <w:rPr>
          <w:rFonts w:ascii="宋体" w:hAnsi="宋体" w:cs="Arial"/>
        </w:rPr>
        <w:t>若某只股票在网下股票认购期最后一日至登记机构进行股票过户日的冻结期间发生了除息、送股（转增）、配股等权益变动，由于投资人获得了相应的权益，基金管理人将按如下方式对该股票在网下股票认购期最后一日的均价进行调整：</w:t>
      </w:r>
    </w:p>
    <w:p w14:paraId="0A67E923">
      <w:pPr>
        <w:numPr>
          <w:ilvl w:val="0"/>
          <w:numId w:val="6"/>
        </w:numPr>
        <w:adjustRightInd w:val="0"/>
        <w:snapToGrid w:val="0"/>
        <w:spacing w:line="360" w:lineRule="auto"/>
        <w:rPr>
          <w:rFonts w:hint="eastAsia" w:ascii="宋体" w:hAnsi="宋体" w:cs="Arial"/>
        </w:rPr>
      </w:pPr>
      <w:r>
        <w:rPr>
          <w:rFonts w:ascii="宋体" w:hAnsi="宋体" w:cs="Arial"/>
        </w:rPr>
        <w:t>除息：调整后价格＝网下股票认购期最后一日均价－每股现金股利或股息</w:t>
      </w:r>
    </w:p>
    <w:p w14:paraId="0AB35142">
      <w:pPr>
        <w:numPr>
          <w:ilvl w:val="0"/>
          <w:numId w:val="6"/>
        </w:numPr>
        <w:adjustRightInd w:val="0"/>
        <w:snapToGrid w:val="0"/>
        <w:spacing w:line="360" w:lineRule="auto"/>
        <w:rPr>
          <w:rFonts w:hint="eastAsia" w:ascii="宋体" w:hAnsi="宋体" w:cs="Arial"/>
        </w:rPr>
      </w:pPr>
      <w:r>
        <w:rPr>
          <w:rFonts w:ascii="宋体" w:hAnsi="宋体" w:cs="Arial"/>
        </w:rPr>
        <w:t>送股：调整后价格＝网下股票认购期最后一日均价／（1＋每股送股比例）</w:t>
      </w:r>
    </w:p>
    <w:p w14:paraId="3E06FFE5">
      <w:pPr>
        <w:numPr>
          <w:ilvl w:val="0"/>
          <w:numId w:val="6"/>
        </w:numPr>
        <w:adjustRightInd w:val="0"/>
        <w:snapToGrid w:val="0"/>
        <w:spacing w:line="360" w:lineRule="auto"/>
        <w:rPr>
          <w:rFonts w:hint="eastAsia" w:ascii="宋体" w:hAnsi="宋体" w:cs="Arial"/>
        </w:rPr>
      </w:pPr>
      <w:r>
        <w:rPr>
          <w:rFonts w:ascii="宋体" w:hAnsi="宋体" w:cs="Arial"/>
        </w:rPr>
        <w:t>配股：调整后价格＝（网下股票认购期最后一日均价＋配股价×配股比例）／（1＋每股配股比例）</w:t>
      </w:r>
    </w:p>
    <w:p w14:paraId="607BEC2C">
      <w:pPr>
        <w:numPr>
          <w:ilvl w:val="0"/>
          <w:numId w:val="6"/>
        </w:numPr>
        <w:adjustRightInd w:val="0"/>
        <w:snapToGrid w:val="0"/>
        <w:spacing w:line="360" w:lineRule="auto"/>
        <w:rPr>
          <w:rFonts w:hint="eastAsia" w:ascii="宋体" w:hAnsi="宋体" w:cs="Arial"/>
        </w:rPr>
      </w:pPr>
      <w:r>
        <w:rPr>
          <w:rFonts w:ascii="宋体" w:hAnsi="宋体" w:cs="Arial"/>
        </w:rPr>
        <w:t>送股且配股：调整后价格＝（网下股票认购期最后一日均价＋配股价×配股比例）／（1＋每股送股比例＋每股配股比例）</w:t>
      </w:r>
    </w:p>
    <w:p w14:paraId="3FE63985">
      <w:pPr>
        <w:numPr>
          <w:ilvl w:val="0"/>
          <w:numId w:val="6"/>
        </w:numPr>
        <w:adjustRightInd w:val="0"/>
        <w:snapToGrid w:val="0"/>
        <w:spacing w:line="360" w:lineRule="auto"/>
        <w:rPr>
          <w:rFonts w:hint="eastAsia" w:ascii="宋体" w:hAnsi="宋体" w:cs="Arial"/>
        </w:rPr>
      </w:pPr>
      <w:r>
        <w:rPr>
          <w:rFonts w:hint="eastAsia" w:ascii="宋体" w:hAnsi="宋体" w:cs="Arial"/>
        </w:rPr>
        <w:t>除息且送股：调整后价格＝（网下股票认购期最后一日均价－每股现金股利或股息）/（1＋每股送股比例）</w:t>
      </w:r>
    </w:p>
    <w:p w14:paraId="3BCDB5DF">
      <w:pPr>
        <w:numPr>
          <w:ilvl w:val="0"/>
          <w:numId w:val="6"/>
        </w:numPr>
        <w:adjustRightInd w:val="0"/>
        <w:snapToGrid w:val="0"/>
        <w:spacing w:line="360" w:lineRule="auto"/>
        <w:rPr>
          <w:rFonts w:hint="eastAsia" w:ascii="宋体" w:hAnsi="宋体" w:cs="Arial"/>
        </w:rPr>
      </w:pPr>
      <w:r>
        <w:rPr>
          <w:rFonts w:hint="eastAsia" w:ascii="宋体" w:hAnsi="宋体" w:cs="Arial"/>
        </w:rPr>
        <w:t>除息且配股：调整后价格＝（网下股票认购期最后一日均价＋配股价×配股比例－每股现金股利或股息）/（1＋每股配股比例）</w:t>
      </w:r>
    </w:p>
    <w:p w14:paraId="676E14EE">
      <w:pPr>
        <w:numPr>
          <w:ilvl w:val="0"/>
          <w:numId w:val="6"/>
        </w:numPr>
        <w:adjustRightInd w:val="0"/>
        <w:snapToGrid w:val="0"/>
        <w:spacing w:line="360" w:lineRule="auto"/>
        <w:rPr>
          <w:rFonts w:hint="eastAsia" w:ascii="宋体" w:hAnsi="宋体" w:cs="Arial"/>
        </w:rPr>
      </w:pPr>
      <w:r>
        <w:rPr>
          <w:rFonts w:ascii="宋体" w:hAnsi="宋体" w:cs="Arial"/>
        </w:rPr>
        <w:t>除息、送股且配股：调整后价格＝（网下股票认购期最后一日均价＋配股价×配股比例－每股现金股利或股息）／（1＋每股送股比例＋每股配股比例）</w:t>
      </w:r>
    </w:p>
    <w:p w14:paraId="18E3C092">
      <w:pPr>
        <w:adjustRightInd w:val="0"/>
        <w:snapToGrid w:val="0"/>
        <w:spacing w:line="360" w:lineRule="auto"/>
        <w:ind w:firstLine="420" w:firstLineChars="200"/>
        <w:rPr>
          <w:rFonts w:hint="eastAsia" w:ascii="宋体" w:hAnsi="宋体" w:cs="Arial"/>
        </w:rPr>
      </w:pPr>
      <w:r>
        <w:rPr>
          <w:rFonts w:hint="eastAsia" w:ascii="宋体" w:hAnsi="宋体" w:cs="Arial"/>
        </w:rPr>
        <w:t>（3）“</w:t>
      </w:r>
      <w:r>
        <w:rPr>
          <w:rFonts w:ascii="宋体" w:hAnsi="宋体" w:cs="Arial"/>
        </w:rPr>
        <w:t>有效认购数量</w:t>
      </w:r>
      <w:r>
        <w:rPr>
          <w:rFonts w:hint="eastAsia" w:ascii="宋体" w:hAnsi="宋体" w:cs="Arial"/>
        </w:rPr>
        <w:t>”</w:t>
      </w:r>
      <w:r>
        <w:rPr>
          <w:rFonts w:ascii="宋体" w:hAnsi="宋体" w:cs="Arial"/>
        </w:rPr>
        <w:t>是指由基金管理人确认的并由登记机构完成清算交收的股票股数。其中：</w:t>
      </w:r>
    </w:p>
    <w:p w14:paraId="51A74C5E">
      <w:pPr>
        <w:adjustRightInd w:val="0"/>
        <w:snapToGrid w:val="0"/>
        <w:spacing w:line="360" w:lineRule="auto"/>
        <w:ind w:firstLine="420" w:firstLineChars="200"/>
        <w:rPr>
          <w:rFonts w:hint="eastAsia" w:ascii="宋体" w:hAnsi="宋体" w:cs="Arial"/>
        </w:rPr>
      </w:pPr>
      <w:r>
        <w:rPr>
          <w:rFonts w:hint="eastAsia" w:ascii="宋体" w:hAnsi="宋体" w:cs="Arial"/>
        </w:rPr>
        <w:t>1）对于经公告限制认购规模的个股，基金管理人可确认的认购数量上限的计算方式详见届时相关公告。</w:t>
      </w:r>
    </w:p>
    <w:p w14:paraId="7FC07693">
      <w:pPr>
        <w:adjustRightInd w:val="0"/>
        <w:snapToGrid w:val="0"/>
        <w:spacing w:line="360" w:lineRule="auto"/>
        <w:ind w:firstLine="420" w:firstLineChars="200"/>
        <w:rPr>
          <w:rFonts w:hint="eastAsia" w:ascii="宋体" w:hAnsi="宋体" w:cs="Arial"/>
        </w:rPr>
      </w:pPr>
      <w:r>
        <w:rPr>
          <w:rFonts w:hint="eastAsia" w:ascii="宋体" w:hAnsi="宋体" w:cs="Arial"/>
        </w:rPr>
        <w:t>2）某一股票在网下股票认购期最后一日至登记机构进行股票过户日的冻结期间发生司法执行，基金管理人将根据登记机构确认的实际过户数据对投资人的有效认购数量进行相应调整。</w:t>
      </w:r>
    </w:p>
    <w:p w14:paraId="56543D0E">
      <w:pPr>
        <w:adjustRightInd w:val="0"/>
        <w:snapToGrid w:val="0"/>
        <w:spacing w:line="360" w:lineRule="auto"/>
        <w:ind w:left="420"/>
        <w:rPr>
          <w:rFonts w:hint="eastAsia" w:ascii="宋体" w:hAnsi="宋体" w:cs="Arial"/>
        </w:rPr>
      </w:pPr>
      <w:r>
        <w:rPr>
          <w:rFonts w:hint="eastAsia" w:ascii="宋体" w:hAnsi="宋体" w:cs="Arial"/>
        </w:rPr>
        <w:t>7、网下股票认购计算举例</w:t>
      </w:r>
    </w:p>
    <w:p w14:paraId="7A6275A4">
      <w:pPr>
        <w:adjustRightInd w:val="0"/>
        <w:snapToGrid w:val="0"/>
        <w:spacing w:line="360" w:lineRule="auto"/>
        <w:ind w:firstLine="420" w:firstLineChars="200"/>
        <w:rPr>
          <w:rFonts w:hint="eastAsia" w:ascii="宋体" w:hAnsi="宋体" w:cs="Arial"/>
          <w:kern w:val="3"/>
        </w:rPr>
      </w:pPr>
      <w:r>
        <w:rPr>
          <w:rFonts w:ascii="宋体" w:hAnsi="宋体" w:cs="Arial"/>
          <w:kern w:val="3"/>
        </w:rPr>
        <w:t>例：某投资人持有</w:t>
      </w:r>
      <w:r>
        <w:rPr>
          <w:rFonts w:hint="eastAsia" w:ascii="宋体" w:hAnsi="宋体" w:cs="Arial"/>
          <w:kern w:val="3"/>
        </w:rPr>
        <w:t>创业板电池指数</w:t>
      </w:r>
      <w:r>
        <w:rPr>
          <w:rFonts w:ascii="宋体" w:hAnsi="宋体" w:cs="Arial"/>
          <w:kern w:val="3"/>
        </w:rPr>
        <w:t>成份股中股票A</w:t>
      </w:r>
      <w:r>
        <w:rPr>
          <w:rFonts w:hint="eastAsia" w:ascii="宋体" w:hAnsi="宋体" w:cs="Arial"/>
          <w:kern w:val="3"/>
        </w:rPr>
        <w:t xml:space="preserve"> </w:t>
      </w:r>
      <w:r>
        <w:rPr>
          <w:rFonts w:ascii="宋体" w:hAnsi="宋体" w:cs="Arial"/>
          <w:kern w:val="3"/>
        </w:rPr>
        <w:t>10</w:t>
      </w:r>
      <w:r>
        <w:rPr>
          <w:rFonts w:hint="eastAsia" w:ascii="宋体" w:hAnsi="宋体" w:cs="Arial"/>
          <w:kern w:val="3"/>
        </w:rPr>
        <w:t>,</w:t>
      </w:r>
      <w:r>
        <w:rPr>
          <w:rFonts w:ascii="宋体" w:hAnsi="宋体" w:cs="Arial"/>
          <w:kern w:val="3"/>
        </w:rPr>
        <w:t>000股，至某发售代理机构网点认购本基金，选择以现金支付认购</w:t>
      </w:r>
      <w:r>
        <w:rPr>
          <w:rFonts w:hint="eastAsia" w:ascii="宋体" w:hAnsi="宋体" w:cs="Arial"/>
          <w:kern w:val="3"/>
        </w:rPr>
        <w:t>佣金</w:t>
      </w:r>
      <w:r>
        <w:rPr>
          <w:rFonts w:ascii="宋体" w:hAnsi="宋体" w:cs="Arial"/>
          <w:kern w:val="3"/>
        </w:rPr>
        <w:t>。假设202×年×月×日股票A的均价</w:t>
      </w:r>
      <w:r>
        <w:rPr>
          <w:rFonts w:hint="eastAsia" w:ascii="宋体" w:hAnsi="宋体" w:cs="Arial"/>
          <w:kern w:val="3"/>
        </w:rPr>
        <w:t>为</w:t>
      </w:r>
      <w:r>
        <w:rPr>
          <w:rFonts w:ascii="宋体" w:hAnsi="宋体" w:cs="Arial"/>
          <w:kern w:val="3"/>
        </w:rPr>
        <w:t>25.50元，基金管理人确认的有效认购数量为10,000股股票A，发售代理机构确认的</w:t>
      </w:r>
      <w:r>
        <w:rPr>
          <w:rFonts w:hint="eastAsia" w:ascii="宋体" w:hAnsi="宋体" w:cs="Arial"/>
          <w:kern w:val="3"/>
        </w:rPr>
        <w:t>佣金费率</w:t>
      </w:r>
      <w:r>
        <w:rPr>
          <w:rFonts w:ascii="宋体" w:hAnsi="宋体" w:cs="Arial"/>
          <w:kern w:val="3"/>
        </w:rPr>
        <w:t>为0.30%，则其可得到的基金份额和需支付的认购佣金如下：</w:t>
      </w:r>
    </w:p>
    <w:p w14:paraId="2F4DC01D">
      <w:pPr>
        <w:adjustRightInd w:val="0"/>
        <w:snapToGrid w:val="0"/>
        <w:spacing w:line="360" w:lineRule="auto"/>
        <w:ind w:firstLine="420" w:firstLineChars="200"/>
        <w:rPr>
          <w:rFonts w:hint="eastAsia" w:ascii="宋体" w:hAnsi="宋体" w:cs="Arial"/>
          <w:kern w:val="3"/>
        </w:rPr>
      </w:pPr>
      <w:r>
        <w:rPr>
          <w:rFonts w:ascii="宋体" w:hAnsi="宋体" w:cs="Arial"/>
          <w:kern w:val="3"/>
        </w:rPr>
        <w:t>认购份额=（10,000×25.50）÷1.00＝</w:t>
      </w:r>
      <w:r>
        <w:rPr>
          <w:rFonts w:hint="eastAsia" w:ascii="宋体" w:hAnsi="宋体" w:cs="Arial"/>
          <w:kern w:val="3"/>
        </w:rPr>
        <w:t>255</w:t>
      </w:r>
      <w:r>
        <w:rPr>
          <w:rFonts w:ascii="宋体" w:hAnsi="宋体" w:cs="Arial"/>
          <w:kern w:val="3"/>
        </w:rPr>
        <w:t>,000份</w:t>
      </w:r>
    </w:p>
    <w:p w14:paraId="7B51D1FD">
      <w:pPr>
        <w:adjustRightInd w:val="0"/>
        <w:snapToGrid w:val="0"/>
        <w:spacing w:line="360" w:lineRule="auto"/>
        <w:ind w:firstLine="420" w:firstLineChars="200"/>
        <w:rPr>
          <w:rFonts w:hint="eastAsia" w:ascii="宋体" w:hAnsi="宋体" w:cs="Arial"/>
          <w:kern w:val="3"/>
        </w:rPr>
      </w:pPr>
      <w:r>
        <w:rPr>
          <w:rFonts w:ascii="宋体" w:hAnsi="宋体" w:cs="Arial"/>
          <w:kern w:val="3"/>
        </w:rPr>
        <w:t>认购</w:t>
      </w:r>
      <w:r>
        <w:rPr>
          <w:rFonts w:hint="eastAsia" w:ascii="宋体" w:hAnsi="宋体" w:cs="Arial"/>
          <w:kern w:val="3"/>
        </w:rPr>
        <w:t>佣金</w:t>
      </w:r>
      <w:r>
        <w:rPr>
          <w:rFonts w:ascii="宋体" w:hAnsi="宋体" w:cs="Arial"/>
          <w:kern w:val="3"/>
        </w:rPr>
        <w:t>=</w:t>
      </w:r>
      <w:r>
        <w:rPr>
          <w:rFonts w:hint="eastAsia" w:ascii="宋体" w:hAnsi="宋体" w:cs="Arial"/>
          <w:kern w:val="3"/>
        </w:rPr>
        <w:t>255</w:t>
      </w:r>
      <w:r>
        <w:rPr>
          <w:rFonts w:ascii="宋体" w:hAnsi="宋体" w:cs="Arial"/>
          <w:kern w:val="3"/>
        </w:rPr>
        <w:t>,000×1.00</w:t>
      </w:r>
      <w:r>
        <w:rPr>
          <w:rFonts w:hint="eastAsia" w:ascii="宋体" w:hAnsi="宋体" w:cs="Arial"/>
          <w:kern w:val="3"/>
        </w:rPr>
        <w:t>×</w:t>
      </w:r>
      <w:r>
        <w:rPr>
          <w:rFonts w:ascii="宋体" w:hAnsi="宋体" w:cs="Arial"/>
          <w:kern w:val="3"/>
        </w:rPr>
        <w:t>0.30%＝765元</w:t>
      </w:r>
    </w:p>
    <w:p w14:paraId="4443979C">
      <w:pPr>
        <w:adjustRightInd w:val="0"/>
        <w:snapToGrid w:val="0"/>
        <w:spacing w:line="360" w:lineRule="auto"/>
        <w:ind w:firstLine="420" w:firstLineChars="200"/>
        <w:rPr>
          <w:rFonts w:hint="eastAsia" w:ascii="宋体" w:hAnsi="宋体" w:cs="Arial"/>
          <w:kern w:val="3"/>
        </w:rPr>
      </w:pPr>
      <w:r>
        <w:rPr>
          <w:rFonts w:ascii="宋体" w:hAnsi="宋体" w:cs="Arial"/>
          <w:kern w:val="3"/>
        </w:rPr>
        <w:t>即投资人可认购到</w:t>
      </w:r>
      <w:r>
        <w:rPr>
          <w:rFonts w:hint="eastAsia" w:ascii="宋体" w:hAnsi="宋体" w:cs="Arial"/>
          <w:kern w:val="3"/>
        </w:rPr>
        <w:t>255</w:t>
      </w:r>
      <w:r>
        <w:rPr>
          <w:rFonts w:ascii="宋体" w:hAnsi="宋体" w:cs="Arial"/>
          <w:kern w:val="3"/>
        </w:rPr>
        <w:t>,000份本基金基金份额，并需另行支付765元的认购佣金。</w:t>
      </w:r>
    </w:p>
    <w:p w14:paraId="552D76C5">
      <w:pPr>
        <w:adjustRightInd w:val="0"/>
        <w:snapToGrid w:val="0"/>
        <w:spacing w:line="360" w:lineRule="auto"/>
        <w:ind w:firstLine="420" w:firstLineChars="200"/>
        <w:rPr>
          <w:rFonts w:hint="eastAsia" w:ascii="宋体" w:hAnsi="宋体" w:cs="Arial"/>
          <w:kern w:val="3"/>
        </w:rPr>
      </w:pPr>
      <w:r>
        <w:rPr>
          <w:rFonts w:ascii="宋体" w:hAnsi="宋体" w:cs="Arial"/>
          <w:kern w:val="3"/>
        </w:rPr>
        <w:t>续</w:t>
      </w:r>
      <w:r>
        <w:rPr>
          <w:rFonts w:hint="eastAsia" w:ascii="宋体" w:hAnsi="宋体" w:cs="Arial"/>
          <w:kern w:val="3"/>
        </w:rPr>
        <w:t>上</w:t>
      </w:r>
      <w:r>
        <w:rPr>
          <w:rFonts w:ascii="宋体" w:hAnsi="宋体" w:cs="Arial"/>
          <w:kern w:val="3"/>
        </w:rPr>
        <w:t>例</w:t>
      </w:r>
      <w:r>
        <w:rPr>
          <w:rFonts w:hint="eastAsia" w:ascii="宋体" w:hAnsi="宋体" w:cs="Arial"/>
          <w:kern w:val="3"/>
        </w:rPr>
        <w:t>：</w:t>
      </w:r>
      <w:r>
        <w:rPr>
          <w:rFonts w:ascii="宋体" w:hAnsi="宋体" w:cs="Arial"/>
          <w:kern w:val="3"/>
        </w:rPr>
        <w:t>假设该投资人选择以基金份额的方式交纳认购佣金，则投资人最终可得的净认购份额为：</w:t>
      </w:r>
    </w:p>
    <w:p w14:paraId="4021663D">
      <w:pPr>
        <w:adjustRightInd w:val="0"/>
        <w:snapToGrid w:val="0"/>
        <w:spacing w:line="360" w:lineRule="auto"/>
        <w:ind w:firstLine="420" w:firstLineChars="200"/>
        <w:rPr>
          <w:rFonts w:hint="eastAsia" w:ascii="宋体" w:hAnsi="宋体" w:cs="Arial"/>
          <w:kern w:val="3"/>
        </w:rPr>
      </w:pPr>
      <w:r>
        <w:rPr>
          <w:rFonts w:ascii="宋体" w:hAnsi="宋体" w:cs="Arial"/>
          <w:kern w:val="3"/>
        </w:rPr>
        <w:t>认购份额=（10,000×25.50）÷1.00=</w:t>
      </w:r>
      <w:r>
        <w:rPr>
          <w:rFonts w:hint="eastAsia" w:ascii="宋体" w:hAnsi="宋体" w:cs="Arial"/>
          <w:kern w:val="3"/>
        </w:rPr>
        <w:t>255</w:t>
      </w:r>
      <w:r>
        <w:rPr>
          <w:rFonts w:ascii="宋体" w:hAnsi="宋体" w:cs="Arial"/>
          <w:kern w:val="3"/>
        </w:rPr>
        <w:t>,000份</w:t>
      </w:r>
    </w:p>
    <w:p w14:paraId="13660047">
      <w:pPr>
        <w:adjustRightInd w:val="0"/>
        <w:snapToGrid w:val="0"/>
        <w:spacing w:line="360" w:lineRule="auto"/>
        <w:ind w:firstLine="420" w:firstLineChars="200"/>
        <w:rPr>
          <w:rFonts w:hint="eastAsia" w:ascii="宋体" w:hAnsi="宋体" w:cs="Arial"/>
          <w:kern w:val="3"/>
        </w:rPr>
      </w:pPr>
      <w:r>
        <w:rPr>
          <w:rFonts w:ascii="宋体" w:hAnsi="宋体" w:cs="Arial"/>
          <w:kern w:val="3"/>
        </w:rPr>
        <w:t>认购</w:t>
      </w:r>
      <w:r>
        <w:rPr>
          <w:rFonts w:hint="eastAsia" w:ascii="宋体" w:hAnsi="宋体" w:cs="Arial"/>
          <w:kern w:val="3"/>
        </w:rPr>
        <w:t>佣金</w:t>
      </w:r>
      <w:r>
        <w:rPr>
          <w:rFonts w:ascii="宋体" w:hAnsi="宋体" w:cs="Arial"/>
          <w:kern w:val="3"/>
        </w:rPr>
        <w:t>=</w:t>
      </w:r>
      <w:r>
        <w:rPr>
          <w:rFonts w:hint="eastAsia" w:ascii="宋体" w:hAnsi="宋体" w:cs="Arial"/>
          <w:kern w:val="3"/>
        </w:rPr>
        <w:t>1.00</w:t>
      </w:r>
      <w:r>
        <w:rPr>
          <w:rFonts w:ascii="宋体" w:hAnsi="宋体" w:cs="Arial"/>
          <w:kern w:val="3"/>
        </w:rPr>
        <w:t>×</w:t>
      </w:r>
      <w:r>
        <w:rPr>
          <w:rFonts w:hint="eastAsia" w:ascii="宋体" w:hAnsi="宋体" w:cs="Arial"/>
          <w:kern w:val="3"/>
        </w:rPr>
        <w:t>255</w:t>
      </w:r>
      <w:r>
        <w:rPr>
          <w:rFonts w:ascii="宋体" w:hAnsi="宋体" w:cs="Arial"/>
          <w:kern w:val="3"/>
        </w:rPr>
        <w:t>,000÷（1+0.30%）×0.30%=762</w:t>
      </w:r>
      <w:r>
        <w:rPr>
          <w:rFonts w:hint="eastAsia" w:ascii="宋体" w:hAnsi="宋体" w:cs="Arial"/>
          <w:kern w:val="3"/>
        </w:rPr>
        <w:t>元</w:t>
      </w:r>
    </w:p>
    <w:p w14:paraId="46AEF060">
      <w:pPr>
        <w:adjustRightInd w:val="0"/>
        <w:snapToGrid w:val="0"/>
        <w:spacing w:line="360" w:lineRule="auto"/>
        <w:ind w:firstLine="420" w:firstLineChars="200"/>
        <w:rPr>
          <w:rFonts w:hint="eastAsia" w:ascii="宋体" w:hAnsi="宋体" w:cs="Arial"/>
          <w:kern w:val="3"/>
        </w:rPr>
      </w:pPr>
      <w:r>
        <w:rPr>
          <w:rFonts w:ascii="宋体" w:hAnsi="宋体" w:cs="Arial"/>
          <w:kern w:val="3"/>
        </w:rPr>
        <w:t>净认购份额＝</w:t>
      </w:r>
      <w:r>
        <w:rPr>
          <w:rFonts w:hint="eastAsia" w:ascii="宋体" w:hAnsi="宋体" w:cs="Arial"/>
          <w:kern w:val="3"/>
        </w:rPr>
        <w:t>（255</w:t>
      </w:r>
      <w:r>
        <w:rPr>
          <w:rFonts w:ascii="宋体" w:hAnsi="宋体" w:cs="Arial"/>
          <w:kern w:val="3"/>
        </w:rPr>
        <w:t>,000－762</w:t>
      </w:r>
      <w:r>
        <w:rPr>
          <w:rFonts w:hint="eastAsia" w:ascii="宋体" w:hAnsi="宋体" w:cs="Arial"/>
          <w:kern w:val="3"/>
        </w:rPr>
        <w:t>）</w:t>
      </w:r>
      <w:r>
        <w:rPr>
          <w:rFonts w:ascii="宋体" w:hAnsi="宋体" w:cs="Arial"/>
          <w:kern w:val="3"/>
        </w:rPr>
        <w:t>÷1.00＝254,238份</w:t>
      </w:r>
    </w:p>
    <w:p w14:paraId="3910AC07">
      <w:pPr>
        <w:snapToGrid w:val="0"/>
        <w:spacing w:line="360" w:lineRule="auto"/>
        <w:ind w:firstLine="420"/>
        <w:rPr>
          <w:rFonts w:hint="eastAsia" w:ascii="宋体" w:hAnsi="宋体" w:cs="Arial"/>
          <w:kern w:val="3"/>
        </w:rPr>
      </w:pPr>
      <w:bookmarkStart w:id="98" w:name="_Toc276561311"/>
      <w:r>
        <w:rPr>
          <w:rFonts w:hint="eastAsia" w:ascii="宋体" w:hAnsi="宋体" w:cs="Arial"/>
          <w:kern w:val="3"/>
        </w:rPr>
        <w:t>即该投资人可确认得到</w:t>
      </w:r>
      <w:r>
        <w:rPr>
          <w:rFonts w:ascii="宋体" w:hAnsi="宋体" w:cs="Arial"/>
          <w:kern w:val="3"/>
        </w:rPr>
        <w:t>254,238</w:t>
      </w:r>
      <w:r>
        <w:rPr>
          <w:rFonts w:hint="eastAsia" w:ascii="宋体" w:hAnsi="宋体" w:cs="Arial"/>
          <w:kern w:val="3"/>
        </w:rPr>
        <w:t>份基金份额，并已通过基金份额方式支付了</w:t>
      </w:r>
      <w:r>
        <w:rPr>
          <w:rFonts w:ascii="宋体" w:hAnsi="宋体" w:cs="Arial"/>
          <w:kern w:val="3"/>
        </w:rPr>
        <w:t>762</w:t>
      </w:r>
      <w:r>
        <w:rPr>
          <w:rFonts w:hint="eastAsia" w:ascii="宋体" w:hAnsi="宋体" w:cs="Arial"/>
          <w:kern w:val="3"/>
        </w:rPr>
        <w:t>元的认购佣金。</w:t>
      </w:r>
    </w:p>
    <w:p w14:paraId="2F75286E">
      <w:pPr>
        <w:snapToGrid w:val="0"/>
        <w:spacing w:line="360" w:lineRule="auto"/>
        <w:ind w:firstLine="420"/>
        <w:rPr>
          <w:rFonts w:hint="eastAsia" w:ascii="宋体" w:hAnsi="宋体" w:cs="Arial"/>
          <w:kern w:val="3"/>
        </w:rPr>
      </w:pPr>
      <w:r>
        <w:rPr>
          <w:rFonts w:hint="eastAsia" w:ascii="宋体" w:hAnsi="宋体" w:cs="Arial"/>
          <w:kern w:val="3"/>
        </w:rPr>
        <w:t>8、认购确认：在基金合同生效后，投资人可通过其办理认购的销售网点或以其提供的其他方式查询认购确认情况。</w:t>
      </w:r>
    </w:p>
    <w:p w14:paraId="4FAB3DFC">
      <w:pPr>
        <w:snapToGrid w:val="0"/>
        <w:spacing w:line="360" w:lineRule="auto"/>
        <w:ind w:firstLine="420"/>
        <w:rPr>
          <w:rFonts w:hint="eastAsia" w:ascii="宋体" w:hAnsi="宋体" w:cs="Arial"/>
          <w:kern w:val="3"/>
        </w:rPr>
      </w:pPr>
      <w:r>
        <w:rPr>
          <w:rFonts w:hint="eastAsia" w:ascii="宋体" w:hAnsi="宋体" w:cs="Arial"/>
          <w:kern w:val="3"/>
        </w:rPr>
        <w:t>9、特别提示：投资人应根据法律法规及证券交易所相关规定进行股票认购，并及时履行因股票认购导致的股份减持所涉及的信息披露等义务。</w:t>
      </w:r>
    </w:p>
    <w:p w14:paraId="6F7C42BF">
      <w:pPr>
        <w:snapToGrid w:val="0"/>
        <w:spacing w:line="360" w:lineRule="auto"/>
        <w:ind w:firstLine="420"/>
        <w:rPr>
          <w:rFonts w:hint="eastAsia" w:ascii="宋体" w:hAnsi="宋体" w:cs="Arial"/>
          <w:b/>
        </w:rPr>
      </w:pPr>
      <w:r>
        <w:rPr>
          <w:rFonts w:ascii="宋体" w:hAnsi="宋体" w:cs="Arial"/>
          <w:b/>
        </w:rPr>
        <w:t>十五、募集资金利息与募集股票权益的处理方式</w:t>
      </w:r>
      <w:bookmarkEnd w:id="98"/>
    </w:p>
    <w:p w14:paraId="26EF584B">
      <w:pPr>
        <w:adjustRightInd w:val="0"/>
        <w:snapToGrid w:val="0"/>
        <w:spacing w:line="360" w:lineRule="auto"/>
        <w:ind w:firstLine="420" w:firstLineChars="200"/>
        <w:rPr>
          <w:rFonts w:hint="eastAsia" w:ascii="宋体" w:hAnsi="宋体"/>
          <w:szCs w:val="21"/>
        </w:rPr>
      </w:pPr>
      <w:r>
        <w:rPr>
          <w:rFonts w:hint="eastAsia" w:ascii="宋体" w:hAnsi="宋体"/>
          <w:szCs w:val="21"/>
        </w:rPr>
        <w:t>网下现金认购及网上现金认购的有效认购资金在募集期间产生的利息将折算为基金份额归基金份额持有人所有。投资者的认购股票在股票认购日至登记机构进行股票过户日的冻结期间的权益归投资者所有。</w:t>
      </w:r>
    </w:p>
    <w:p w14:paraId="4B7C5ECC">
      <w:pPr>
        <w:adjustRightInd w:val="0"/>
        <w:snapToGrid w:val="0"/>
        <w:spacing w:line="360" w:lineRule="auto"/>
        <w:ind w:firstLine="420" w:firstLineChars="200"/>
        <w:rPr>
          <w:rFonts w:hint="eastAsia" w:ascii="宋体" w:hAnsi="宋体"/>
          <w:szCs w:val="21"/>
        </w:rPr>
      </w:pPr>
      <w:r>
        <w:rPr>
          <w:rFonts w:hint="eastAsia" w:ascii="宋体" w:hAnsi="宋体"/>
          <w:kern w:val="0"/>
        </w:rPr>
        <w:t>基金管理人应将基金募集期间募集的资金存入专门账户，网下股票认购募集的股票按照交易所和登记机构的规则和流程办理股票的冻结与过户，上述资金及网下股票认购募集的股票在基金募集行为结束前任何人不得动用。</w:t>
      </w:r>
    </w:p>
    <w:p w14:paraId="2B9F0B0B">
      <w:pPr>
        <w:adjustRightInd w:val="0"/>
        <w:snapToGrid w:val="0"/>
        <w:spacing w:line="360" w:lineRule="auto"/>
        <w:ind w:firstLine="422" w:firstLineChars="200"/>
        <w:rPr>
          <w:rFonts w:hint="eastAsia" w:ascii="宋体" w:hAnsi="宋体" w:cs="Arial"/>
          <w:b/>
          <w:bCs/>
        </w:rPr>
      </w:pPr>
      <w:r>
        <w:rPr>
          <w:rFonts w:hint="eastAsia" w:ascii="宋体" w:hAnsi="宋体" w:cs="Arial"/>
          <w:b/>
          <w:bCs/>
        </w:rPr>
        <w:t>十</w:t>
      </w:r>
      <w:r>
        <w:rPr>
          <w:rFonts w:ascii="宋体" w:hAnsi="宋体" w:cs="Arial"/>
          <w:b/>
          <w:bCs/>
        </w:rPr>
        <w:t>六</w:t>
      </w:r>
      <w:r>
        <w:rPr>
          <w:rFonts w:hint="eastAsia" w:ascii="宋体" w:hAnsi="宋体" w:cs="Arial"/>
          <w:b/>
          <w:bCs/>
        </w:rPr>
        <w:t>、发行联接基金或增设新的份额类别等相关业务</w:t>
      </w:r>
    </w:p>
    <w:p w14:paraId="12F28405">
      <w:pPr>
        <w:adjustRightInd w:val="0"/>
        <w:snapToGrid w:val="0"/>
        <w:spacing w:line="360" w:lineRule="auto"/>
        <w:ind w:firstLine="420" w:firstLineChars="200"/>
        <w:rPr>
          <w:rFonts w:hint="eastAsia" w:ascii="宋体" w:hAnsi="宋体" w:cs="Arial"/>
          <w:bCs/>
        </w:rPr>
      </w:pPr>
      <w:r>
        <w:rPr>
          <w:rFonts w:hint="eastAsia" w:ascii="宋体" w:hAnsi="宋体" w:cs="Arial"/>
          <w:bCs/>
        </w:rPr>
        <w:t>在不违反法律法规及对基金份额持有人利益无实质性不利影响的前提下，基金管理人可根据基金发展需要，经与基金托管人协商一致并履行相关程序后，为本基金募集并管理以本基金为目标ETF的一只或多只联接基金，或增设新的基金份额类别，或开通场外申购、赎回等相关业务并制定、公布相应的交易规则等，无</w:t>
      </w:r>
      <w:r>
        <w:rPr>
          <w:rFonts w:ascii="宋体" w:hAnsi="宋体" w:cs="Arial"/>
          <w:bCs/>
        </w:rPr>
        <w:t>需</w:t>
      </w:r>
      <w:r>
        <w:rPr>
          <w:rFonts w:hint="eastAsia" w:ascii="宋体" w:hAnsi="宋体" w:cs="Arial"/>
          <w:bCs/>
        </w:rPr>
        <w:t>召开基金份额持有人大会审议。</w:t>
      </w:r>
    </w:p>
    <w:p w14:paraId="7AFA9508">
      <w:pPr>
        <w:adjustRightInd w:val="0"/>
        <w:snapToGrid w:val="0"/>
        <w:spacing w:line="360" w:lineRule="auto"/>
        <w:ind w:firstLine="420" w:firstLineChars="200"/>
        <w:rPr>
          <w:rFonts w:hint="eastAsia" w:ascii="宋体" w:hAnsi="宋体" w:cs="Arial"/>
          <w:bCs/>
        </w:rPr>
        <w:sectPr>
          <w:footerReference r:id="rId21" w:type="first"/>
          <w:footerReference r:id="rId20" w:type="default"/>
          <w:pgSz w:w="11906" w:h="16838"/>
          <w:pgMar w:top="1440" w:right="1800" w:bottom="1440" w:left="1800" w:header="851" w:footer="992" w:gutter="0"/>
          <w:cols w:space="720" w:num="1"/>
          <w:titlePg/>
          <w:docGrid w:linePitch="312" w:charSpace="0"/>
        </w:sectPr>
      </w:pPr>
    </w:p>
    <w:p w14:paraId="0FA25C19">
      <w:pPr>
        <w:pStyle w:val="2"/>
        <w:snapToGrid w:val="0"/>
        <w:spacing w:before="0" w:after="0" w:line="360" w:lineRule="auto"/>
        <w:rPr>
          <w:rFonts w:hint="eastAsia" w:hAnsi="宋体" w:eastAsia="宋体" w:cs="Arial"/>
          <w:b/>
          <w:bCs/>
          <w:sz w:val="28"/>
          <w:szCs w:val="28"/>
        </w:rPr>
      </w:pPr>
      <w:bookmarkStart w:id="99" w:name="_Toc214873596"/>
      <w:bookmarkStart w:id="100" w:name="_Toc408484002"/>
      <w:bookmarkStart w:id="101" w:name="_Toc50661125"/>
      <w:bookmarkStart w:id="102" w:name="_Toc24553"/>
      <w:r>
        <w:rPr>
          <w:rFonts w:hAnsi="宋体" w:eastAsia="宋体" w:cs="Arial"/>
          <w:b/>
          <w:bCs/>
          <w:sz w:val="28"/>
          <w:szCs w:val="28"/>
        </w:rPr>
        <w:t>第</w:t>
      </w:r>
      <w:r>
        <w:rPr>
          <w:rFonts w:hint="eastAsia" w:hAnsi="宋体" w:eastAsia="宋体" w:cs="Arial"/>
          <w:b/>
          <w:bCs/>
          <w:sz w:val="28"/>
          <w:szCs w:val="28"/>
        </w:rPr>
        <w:t>七</w:t>
      </w:r>
      <w:r>
        <w:rPr>
          <w:rFonts w:hAnsi="宋体" w:eastAsia="宋体" w:cs="Arial"/>
          <w:b/>
          <w:bCs/>
          <w:sz w:val="28"/>
          <w:szCs w:val="28"/>
        </w:rPr>
        <w:t xml:space="preserve">部分  </w:t>
      </w:r>
      <w:bookmarkEnd w:id="99"/>
      <w:r>
        <w:rPr>
          <w:rFonts w:hint="eastAsia" w:hAnsi="宋体" w:eastAsia="宋体" w:cs="Arial"/>
          <w:b/>
          <w:bCs/>
          <w:sz w:val="28"/>
          <w:szCs w:val="28"/>
        </w:rPr>
        <w:t>基金合同的生效</w:t>
      </w:r>
      <w:bookmarkEnd w:id="100"/>
      <w:bookmarkEnd w:id="101"/>
      <w:bookmarkEnd w:id="102"/>
    </w:p>
    <w:p w14:paraId="4E1C33A8">
      <w:pPr>
        <w:spacing w:line="360" w:lineRule="auto"/>
        <w:rPr>
          <w:rFonts w:hint="eastAsia" w:ascii="宋体" w:hAnsi="宋体"/>
        </w:rPr>
      </w:pPr>
    </w:p>
    <w:bookmarkEnd w:id="87"/>
    <w:p w14:paraId="5587D4B1">
      <w:pPr>
        <w:adjustRightInd w:val="0"/>
        <w:snapToGrid w:val="0"/>
        <w:spacing w:line="360" w:lineRule="auto"/>
        <w:ind w:firstLine="422" w:firstLineChars="200"/>
        <w:rPr>
          <w:rFonts w:hint="eastAsia" w:ascii="宋体" w:hAnsi="宋体"/>
          <w:b/>
          <w:color w:val="0C0C0C"/>
          <w:kern w:val="0"/>
          <w:szCs w:val="22"/>
        </w:rPr>
      </w:pPr>
      <w:r>
        <w:rPr>
          <w:rFonts w:hint="eastAsia" w:ascii="宋体" w:hAnsi="宋体"/>
          <w:b/>
          <w:color w:val="0C0C0C"/>
          <w:kern w:val="0"/>
          <w:szCs w:val="22"/>
        </w:rPr>
        <w:t>一、基金备案的条件</w:t>
      </w:r>
    </w:p>
    <w:p w14:paraId="3E27BC04">
      <w:pPr>
        <w:adjustRightInd w:val="0"/>
        <w:snapToGrid w:val="0"/>
        <w:spacing w:line="360" w:lineRule="auto"/>
        <w:ind w:firstLine="420" w:firstLineChars="200"/>
        <w:rPr>
          <w:rFonts w:hint="eastAsia" w:ascii="宋体" w:hAnsi="宋体"/>
          <w:color w:val="0C0C0C"/>
          <w:kern w:val="0"/>
          <w:szCs w:val="22"/>
        </w:rPr>
      </w:pPr>
      <w:r>
        <w:rPr>
          <w:rFonts w:hint="eastAsia" w:ascii="宋体" w:hAnsi="宋体"/>
          <w:color w:val="0C0C0C"/>
          <w:kern w:val="0"/>
          <w:szCs w:val="22"/>
        </w:rPr>
        <w:t>本基金自基金份额发售之日起3个月内，在基金募集份额总额不少于2亿份，基金募集金额（含网下股票认购所募集的股票按基金合同约定的估值方法计算的价值）不少于2亿元人民币且基金认购人数不少于200人的条件下，基金募集期届满或基金管理人依据法律法规及招募说明书可以决定停止基金发售，并在10日内聘请法定验资机构验资，自收到验资报告之日起10日内，向中国证监会办理基金备案手续。</w:t>
      </w:r>
    </w:p>
    <w:p w14:paraId="69471618">
      <w:pPr>
        <w:adjustRightInd w:val="0"/>
        <w:snapToGrid w:val="0"/>
        <w:spacing w:line="360" w:lineRule="auto"/>
        <w:ind w:firstLine="420" w:firstLineChars="200"/>
        <w:rPr>
          <w:rFonts w:hint="eastAsia" w:ascii="宋体" w:hAnsi="宋体"/>
          <w:color w:val="0C0C0C"/>
          <w:kern w:val="0"/>
          <w:szCs w:val="22"/>
        </w:rPr>
      </w:pPr>
      <w:r>
        <w:rPr>
          <w:rFonts w:hint="eastAsia" w:ascii="宋体" w:hAnsi="宋体"/>
          <w:color w:val="0C0C0C"/>
          <w:kern w:val="0"/>
          <w:szCs w:val="22"/>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网下股票认购募集的股票按照交易所和登记机构的规则和流程办理股票的冻结与过户，在基金募集行为结束前任何人不得动用。</w:t>
      </w:r>
    </w:p>
    <w:p w14:paraId="71EED278">
      <w:pPr>
        <w:adjustRightInd w:val="0"/>
        <w:snapToGrid w:val="0"/>
        <w:spacing w:line="360" w:lineRule="auto"/>
        <w:ind w:firstLine="422" w:firstLineChars="200"/>
        <w:rPr>
          <w:rFonts w:hint="eastAsia" w:ascii="宋体" w:hAnsi="宋体"/>
          <w:b/>
          <w:color w:val="0C0C0C"/>
          <w:kern w:val="0"/>
          <w:szCs w:val="22"/>
        </w:rPr>
      </w:pPr>
      <w:r>
        <w:rPr>
          <w:rFonts w:hint="eastAsia" w:ascii="宋体" w:hAnsi="宋体"/>
          <w:b/>
          <w:color w:val="0C0C0C"/>
          <w:kern w:val="0"/>
          <w:szCs w:val="22"/>
        </w:rPr>
        <w:t>二、基金合同不能生效时募集资金及股票的处理方式</w:t>
      </w:r>
    </w:p>
    <w:p w14:paraId="353D6701">
      <w:pPr>
        <w:adjustRightInd w:val="0"/>
        <w:snapToGrid w:val="0"/>
        <w:spacing w:line="360" w:lineRule="auto"/>
        <w:ind w:firstLine="420" w:firstLineChars="200"/>
        <w:rPr>
          <w:rFonts w:hint="eastAsia" w:ascii="宋体" w:hAnsi="宋体"/>
          <w:color w:val="0C0C0C"/>
          <w:kern w:val="0"/>
          <w:szCs w:val="22"/>
        </w:rPr>
      </w:pPr>
      <w:r>
        <w:rPr>
          <w:rFonts w:hint="eastAsia" w:ascii="宋体" w:hAnsi="宋体"/>
          <w:color w:val="0C0C0C"/>
          <w:kern w:val="0"/>
          <w:szCs w:val="22"/>
        </w:rPr>
        <w:t>如果募集期限届满，未满足基金备案条件，基金管理人应当承担下列责任：</w:t>
      </w:r>
    </w:p>
    <w:p w14:paraId="4B1CB601">
      <w:pPr>
        <w:adjustRightInd w:val="0"/>
        <w:snapToGrid w:val="0"/>
        <w:spacing w:line="360" w:lineRule="auto"/>
        <w:ind w:firstLine="420" w:firstLineChars="200"/>
        <w:rPr>
          <w:rFonts w:hint="eastAsia" w:ascii="宋体" w:hAnsi="宋体"/>
          <w:color w:val="0C0C0C"/>
          <w:kern w:val="0"/>
          <w:szCs w:val="22"/>
        </w:rPr>
      </w:pPr>
      <w:r>
        <w:rPr>
          <w:rFonts w:hint="eastAsia" w:ascii="宋体" w:hAnsi="宋体"/>
          <w:color w:val="0C0C0C"/>
          <w:kern w:val="0"/>
          <w:szCs w:val="22"/>
        </w:rPr>
        <w:t>1、以其固有财产承担因募集行为而产生的债务和费用；</w:t>
      </w:r>
    </w:p>
    <w:p w14:paraId="663E7ED1">
      <w:pPr>
        <w:adjustRightInd w:val="0"/>
        <w:snapToGrid w:val="0"/>
        <w:spacing w:line="360" w:lineRule="auto"/>
        <w:ind w:firstLine="420" w:firstLineChars="200"/>
        <w:rPr>
          <w:rFonts w:hint="eastAsia" w:ascii="宋体" w:hAnsi="宋体"/>
          <w:color w:val="0C0C0C"/>
          <w:kern w:val="0"/>
          <w:szCs w:val="22"/>
        </w:rPr>
      </w:pPr>
      <w:r>
        <w:rPr>
          <w:rFonts w:hint="eastAsia" w:ascii="宋体" w:hAnsi="宋体"/>
          <w:color w:val="0C0C0C"/>
          <w:kern w:val="0"/>
          <w:szCs w:val="22"/>
        </w:rPr>
        <w:t>2、在基金募集期限届满后30日内返还投资者已交纳的款项，并加计银行同期活期存款利息；已冻结的股票应根据交易所及登记机构相关规则予以解冻，登记机构及发售代理机构将协助基金管理人完成相关资金和股票的退还工作，基金管理人不承担相关股票冻结期间交易价格波动的责任；</w:t>
      </w:r>
    </w:p>
    <w:p w14:paraId="4CA99ECF">
      <w:pPr>
        <w:adjustRightInd w:val="0"/>
        <w:snapToGrid w:val="0"/>
        <w:spacing w:line="360" w:lineRule="auto"/>
        <w:ind w:firstLine="420" w:firstLineChars="200"/>
        <w:rPr>
          <w:rFonts w:hint="eastAsia" w:ascii="宋体" w:hAnsi="宋体"/>
          <w:color w:val="0C0C0C"/>
          <w:kern w:val="0"/>
          <w:szCs w:val="22"/>
        </w:rPr>
      </w:pPr>
      <w:r>
        <w:rPr>
          <w:rFonts w:hint="eastAsia" w:ascii="宋体" w:hAnsi="宋体"/>
          <w:color w:val="0C0C0C"/>
          <w:kern w:val="0"/>
          <w:szCs w:val="22"/>
        </w:rPr>
        <w:t>3、如基金募集失败，基金管理人、基金托管人及发售代理机构不得请求报酬。基金管理人、基金托管人和发售代理机构为基金募集支付之一切费用应由各方各自承担。</w:t>
      </w:r>
    </w:p>
    <w:p w14:paraId="3BDE4657">
      <w:pPr>
        <w:adjustRightInd w:val="0"/>
        <w:snapToGrid w:val="0"/>
        <w:spacing w:line="360" w:lineRule="auto"/>
        <w:ind w:firstLine="422" w:firstLineChars="200"/>
        <w:rPr>
          <w:rFonts w:hint="eastAsia" w:ascii="宋体" w:hAnsi="宋体"/>
          <w:b/>
          <w:color w:val="0C0C0C"/>
          <w:kern w:val="0"/>
          <w:szCs w:val="22"/>
        </w:rPr>
      </w:pPr>
      <w:r>
        <w:rPr>
          <w:rFonts w:hint="eastAsia" w:ascii="宋体" w:hAnsi="宋体"/>
          <w:b/>
          <w:color w:val="0C0C0C"/>
          <w:kern w:val="0"/>
          <w:szCs w:val="22"/>
        </w:rPr>
        <w:t>三、基金存续期内的基金份额持有人数量和资产规模</w:t>
      </w:r>
    </w:p>
    <w:p w14:paraId="79AB70DF">
      <w:pPr>
        <w:adjustRightInd w:val="0"/>
        <w:snapToGrid w:val="0"/>
        <w:spacing w:line="360" w:lineRule="auto"/>
        <w:ind w:firstLine="420" w:firstLineChars="200"/>
        <w:rPr>
          <w:rFonts w:hint="eastAsia" w:ascii="宋体" w:hAnsi="宋体"/>
          <w:color w:val="0C0C0C"/>
          <w:kern w:val="0"/>
          <w:szCs w:val="21"/>
        </w:rPr>
      </w:pPr>
      <w:r>
        <w:rPr>
          <w:rFonts w:hint="eastAsia" w:ascii="宋体" w:hAnsi="宋体"/>
          <w:color w:val="0C0C0C"/>
          <w:kern w:val="0"/>
          <w:szCs w:val="21"/>
        </w:rPr>
        <w:t>《基金合同》生效后，连续20个工作日出现基金份额持有人数量不满200人或者基金资产净值低于5000万元情形的，基金管理人应当在定期报告中予以披露；连续60个工作日出现前述情形的，基金管理人应当在10个工作日内向中国证监会报告并提出解决方案，如持续运作、转换运作方式、与其他基金合并或者终止基金合同等，并在6个月内召集基金份额持有人大会。</w:t>
      </w:r>
    </w:p>
    <w:p w14:paraId="2AF75FA1">
      <w:pPr>
        <w:adjustRightInd w:val="0"/>
        <w:snapToGrid w:val="0"/>
        <w:spacing w:line="360" w:lineRule="auto"/>
        <w:ind w:firstLine="420" w:firstLineChars="200"/>
        <w:rPr>
          <w:rFonts w:hint="eastAsia" w:ascii="宋体" w:hAnsi="宋体"/>
          <w:color w:val="0C0C0C"/>
          <w:kern w:val="0"/>
          <w:szCs w:val="21"/>
        </w:rPr>
      </w:pPr>
      <w:r>
        <w:rPr>
          <w:rFonts w:hint="eastAsia" w:ascii="宋体" w:hAnsi="宋体"/>
          <w:color w:val="0C0C0C"/>
          <w:kern w:val="0"/>
          <w:szCs w:val="21"/>
        </w:rPr>
        <w:t>法律法规或中国证监会另有规定时，从其规定。</w:t>
      </w:r>
    </w:p>
    <w:p w14:paraId="7BA1EA7D">
      <w:pPr>
        <w:adjustRightInd w:val="0"/>
        <w:snapToGrid w:val="0"/>
        <w:spacing w:line="360" w:lineRule="auto"/>
        <w:ind w:firstLine="420" w:firstLineChars="200"/>
        <w:rPr>
          <w:rFonts w:hint="eastAsia" w:ascii="宋体" w:hAnsi="宋体"/>
          <w:color w:val="0C0C0C"/>
          <w:kern w:val="0"/>
          <w:szCs w:val="21"/>
        </w:rPr>
        <w:sectPr>
          <w:footerReference r:id="rId22" w:type="first"/>
          <w:pgSz w:w="11906" w:h="16838"/>
          <w:pgMar w:top="1440" w:right="1800" w:bottom="1440" w:left="1800" w:header="851" w:footer="992" w:gutter="0"/>
          <w:cols w:space="720" w:num="1"/>
          <w:titlePg/>
          <w:docGrid w:linePitch="312" w:charSpace="0"/>
        </w:sectPr>
      </w:pPr>
    </w:p>
    <w:p w14:paraId="55F860C6">
      <w:pPr>
        <w:pStyle w:val="2"/>
        <w:snapToGrid w:val="0"/>
        <w:spacing w:before="0" w:after="0" w:line="360" w:lineRule="auto"/>
        <w:rPr>
          <w:rFonts w:hint="eastAsia" w:hAnsi="宋体" w:eastAsia="宋体" w:cs="Arial"/>
          <w:b/>
          <w:bCs/>
          <w:sz w:val="28"/>
          <w:szCs w:val="28"/>
        </w:rPr>
      </w:pPr>
      <w:bookmarkStart w:id="103" w:name="_Toc408484003"/>
      <w:bookmarkStart w:id="104" w:name="_Toc1558"/>
      <w:bookmarkStart w:id="105" w:name="_Toc50661126"/>
      <w:r>
        <w:rPr>
          <w:rFonts w:hint="eastAsia" w:hAnsi="宋体" w:eastAsia="宋体" w:cs="Arial"/>
          <w:b/>
          <w:bCs/>
          <w:sz w:val="28"/>
          <w:szCs w:val="28"/>
        </w:rPr>
        <w:t>第八部分  基金的份额折算与变更登记</w:t>
      </w:r>
      <w:bookmarkEnd w:id="103"/>
      <w:bookmarkEnd w:id="104"/>
      <w:bookmarkEnd w:id="105"/>
    </w:p>
    <w:p w14:paraId="14F5107D">
      <w:pPr>
        <w:spacing w:line="360" w:lineRule="auto"/>
        <w:rPr>
          <w:rFonts w:hint="eastAsia" w:ascii="宋体" w:hAnsi="宋体"/>
        </w:rPr>
      </w:pPr>
    </w:p>
    <w:p w14:paraId="49E1C9C5">
      <w:pPr>
        <w:adjustRightInd w:val="0"/>
        <w:snapToGrid w:val="0"/>
        <w:spacing w:line="360" w:lineRule="auto"/>
        <w:ind w:firstLine="420" w:firstLineChars="200"/>
        <w:rPr>
          <w:rFonts w:hint="eastAsia" w:ascii="宋体" w:hAnsi="宋体"/>
          <w:color w:val="0C0C0C"/>
          <w:kern w:val="0"/>
          <w:szCs w:val="22"/>
        </w:rPr>
      </w:pPr>
      <w:r>
        <w:rPr>
          <w:rFonts w:hint="eastAsia" w:ascii="宋体" w:hAnsi="宋体"/>
          <w:color w:val="0C0C0C"/>
          <w:kern w:val="0"/>
          <w:szCs w:val="22"/>
        </w:rPr>
        <w:t>基金合同生效后，本基金可以进行份额折算。</w:t>
      </w:r>
    </w:p>
    <w:p w14:paraId="2532C0F3">
      <w:pPr>
        <w:adjustRightInd w:val="0"/>
        <w:snapToGrid w:val="0"/>
        <w:spacing w:line="360" w:lineRule="auto"/>
        <w:ind w:firstLine="422" w:firstLineChars="200"/>
        <w:rPr>
          <w:rFonts w:hint="eastAsia" w:ascii="宋体" w:hAnsi="宋体"/>
          <w:b/>
          <w:color w:val="0C0C0C"/>
          <w:kern w:val="0"/>
          <w:szCs w:val="22"/>
        </w:rPr>
      </w:pPr>
      <w:r>
        <w:rPr>
          <w:rFonts w:hint="eastAsia" w:ascii="宋体" w:hAnsi="宋体"/>
          <w:b/>
          <w:color w:val="0C0C0C"/>
          <w:kern w:val="0"/>
          <w:szCs w:val="22"/>
        </w:rPr>
        <w:t>一、基金份额折算的时间</w:t>
      </w:r>
    </w:p>
    <w:p w14:paraId="5393318C">
      <w:pPr>
        <w:adjustRightInd w:val="0"/>
        <w:snapToGrid w:val="0"/>
        <w:spacing w:line="360" w:lineRule="auto"/>
        <w:ind w:firstLine="420" w:firstLineChars="200"/>
        <w:rPr>
          <w:rFonts w:hint="eastAsia" w:ascii="宋体" w:hAnsi="宋体"/>
          <w:color w:val="0C0C0C"/>
          <w:kern w:val="0"/>
          <w:szCs w:val="22"/>
        </w:rPr>
      </w:pPr>
      <w:r>
        <w:rPr>
          <w:rFonts w:hint="eastAsia" w:ascii="宋体" w:hAnsi="宋体"/>
          <w:color w:val="0C0C0C"/>
          <w:kern w:val="0"/>
          <w:szCs w:val="22"/>
        </w:rPr>
        <w:t>基金管理人应事先确定基金份额折算日，并依照《信息披露办法》的有关规定进行公告。</w:t>
      </w:r>
    </w:p>
    <w:p w14:paraId="1E440893">
      <w:pPr>
        <w:adjustRightInd w:val="0"/>
        <w:snapToGrid w:val="0"/>
        <w:spacing w:line="360" w:lineRule="auto"/>
        <w:ind w:firstLine="422" w:firstLineChars="200"/>
        <w:rPr>
          <w:rFonts w:hint="eastAsia" w:ascii="宋体" w:hAnsi="宋体"/>
          <w:b/>
          <w:color w:val="0C0C0C"/>
          <w:kern w:val="0"/>
          <w:szCs w:val="22"/>
        </w:rPr>
      </w:pPr>
      <w:r>
        <w:rPr>
          <w:rFonts w:hint="eastAsia" w:ascii="宋体" w:hAnsi="宋体"/>
          <w:b/>
          <w:color w:val="0C0C0C"/>
          <w:kern w:val="0"/>
          <w:szCs w:val="22"/>
        </w:rPr>
        <w:t>二、基金份额折算的原则</w:t>
      </w:r>
    </w:p>
    <w:p w14:paraId="5BDE88CF">
      <w:pPr>
        <w:adjustRightInd w:val="0"/>
        <w:snapToGrid w:val="0"/>
        <w:spacing w:line="360" w:lineRule="auto"/>
        <w:ind w:firstLine="420" w:firstLineChars="200"/>
        <w:rPr>
          <w:rFonts w:hint="eastAsia" w:ascii="宋体" w:hAnsi="宋体"/>
          <w:color w:val="0C0C0C"/>
          <w:kern w:val="0"/>
          <w:szCs w:val="22"/>
        </w:rPr>
      </w:pPr>
      <w:r>
        <w:rPr>
          <w:rFonts w:hint="eastAsia" w:ascii="宋体" w:hAnsi="宋体"/>
          <w:color w:val="0C0C0C"/>
          <w:kern w:val="0"/>
          <w:szCs w:val="22"/>
        </w:rPr>
        <w:t>基金份额折算由基金管理人向登记机构申请办理，并由登记机构进行基金份额的变更登记。</w:t>
      </w:r>
      <w:r>
        <w:rPr>
          <w:rFonts w:hint="eastAsia" w:ascii="宋体" w:hAnsi="宋体"/>
          <w:bCs/>
          <w:color w:val="0C0C0C"/>
          <w:kern w:val="0"/>
          <w:szCs w:val="22"/>
        </w:rPr>
        <w:t>基金份额折算的比例和具体安排见基金管理人届时发布的相关公告。</w:t>
      </w:r>
    </w:p>
    <w:p w14:paraId="0BCFAA5A">
      <w:pPr>
        <w:adjustRightInd w:val="0"/>
        <w:snapToGrid w:val="0"/>
        <w:spacing w:line="360" w:lineRule="auto"/>
        <w:ind w:firstLine="420" w:firstLineChars="200"/>
        <w:rPr>
          <w:rFonts w:hint="eastAsia" w:ascii="宋体" w:hAnsi="宋体"/>
          <w:color w:val="0C0C0C"/>
          <w:kern w:val="0"/>
          <w:szCs w:val="22"/>
        </w:rPr>
      </w:pPr>
      <w:r>
        <w:rPr>
          <w:rFonts w:hint="eastAsia" w:ascii="宋体" w:hAnsi="宋体"/>
          <w:color w:val="0C0C0C"/>
          <w:kern w:val="0"/>
          <w:szCs w:val="22"/>
        </w:rPr>
        <w:t>基金份额折算后，本基金的基金份额总额与基金份额持有人持有的基金份额数额将发生调整，但调整后的基金份额持有人持有的基金份额占基金份额总额的比例不发生变化。基金份额折算对基金份额持有人的权益无实质性影响</w:t>
      </w:r>
      <w:r>
        <w:rPr>
          <w:rFonts w:hint="eastAsia" w:ascii="宋体" w:hAnsi="宋体"/>
          <w:bCs/>
          <w:color w:val="0C0C0C"/>
          <w:kern w:val="0"/>
          <w:szCs w:val="22"/>
        </w:rPr>
        <w:t>（因尾数处理而产生的损益不视为实质性影响），无需召开基金份额持有人大会审议</w:t>
      </w:r>
      <w:r>
        <w:rPr>
          <w:rFonts w:hint="eastAsia" w:ascii="宋体" w:hAnsi="宋体"/>
          <w:color w:val="0C0C0C"/>
          <w:kern w:val="0"/>
          <w:szCs w:val="22"/>
        </w:rPr>
        <w:t>。基金份额折算后，基金份额持有人将按照折算后的基金份额享有权利并承担义务。</w:t>
      </w:r>
    </w:p>
    <w:p w14:paraId="1FA532E7">
      <w:pPr>
        <w:adjustRightInd w:val="0"/>
        <w:snapToGrid w:val="0"/>
        <w:spacing w:line="360" w:lineRule="auto"/>
        <w:ind w:firstLine="420" w:firstLineChars="200"/>
        <w:rPr>
          <w:rFonts w:hint="eastAsia" w:ascii="宋体" w:hAnsi="宋体"/>
          <w:color w:val="0C0C0C"/>
          <w:kern w:val="0"/>
          <w:szCs w:val="22"/>
        </w:rPr>
      </w:pPr>
      <w:r>
        <w:rPr>
          <w:rFonts w:hint="eastAsia" w:ascii="宋体" w:hAnsi="宋体"/>
          <w:color w:val="0C0C0C"/>
          <w:kern w:val="0"/>
          <w:szCs w:val="22"/>
        </w:rPr>
        <w:t>如果基金份额折算过程中发生不可抗力等特殊情形，基金管理人可延迟办理基金份额折算。</w:t>
      </w:r>
    </w:p>
    <w:p w14:paraId="12C0125F">
      <w:pPr>
        <w:adjustRightInd w:val="0"/>
        <w:snapToGrid w:val="0"/>
        <w:spacing w:line="360" w:lineRule="auto"/>
        <w:ind w:firstLine="422" w:firstLineChars="200"/>
        <w:rPr>
          <w:rFonts w:hint="eastAsia" w:ascii="宋体" w:hAnsi="宋体"/>
          <w:b/>
          <w:color w:val="0C0C0C"/>
          <w:kern w:val="0"/>
          <w:szCs w:val="22"/>
        </w:rPr>
      </w:pPr>
      <w:r>
        <w:rPr>
          <w:rFonts w:hint="eastAsia" w:ascii="宋体" w:hAnsi="宋体"/>
          <w:b/>
          <w:color w:val="0C0C0C"/>
          <w:kern w:val="0"/>
          <w:szCs w:val="22"/>
        </w:rPr>
        <w:t>三、基金份额折算的方法</w:t>
      </w:r>
    </w:p>
    <w:p w14:paraId="5D3F8385">
      <w:pPr>
        <w:adjustRightInd w:val="0"/>
        <w:snapToGrid w:val="0"/>
        <w:spacing w:line="360" w:lineRule="auto"/>
        <w:ind w:firstLine="420" w:firstLineChars="200"/>
        <w:rPr>
          <w:rFonts w:hint="eastAsia" w:ascii="宋体" w:hAnsi="宋体"/>
          <w:color w:val="0C0C0C"/>
          <w:kern w:val="0"/>
          <w:szCs w:val="22"/>
        </w:rPr>
        <w:sectPr>
          <w:footerReference r:id="rId23" w:type="first"/>
          <w:pgSz w:w="11906" w:h="16838"/>
          <w:pgMar w:top="1440" w:right="1800" w:bottom="1440" w:left="1800" w:header="851" w:footer="992" w:gutter="0"/>
          <w:cols w:space="720" w:num="1"/>
          <w:titlePg/>
          <w:docGrid w:linePitch="312" w:charSpace="0"/>
        </w:sectPr>
      </w:pPr>
      <w:r>
        <w:rPr>
          <w:rFonts w:hint="eastAsia" w:ascii="宋体" w:hAnsi="宋体"/>
          <w:color w:val="0C0C0C"/>
          <w:kern w:val="0"/>
          <w:szCs w:val="22"/>
        </w:rPr>
        <w:t>基金份额折算的具体方法在份额折算公告中列示。</w:t>
      </w:r>
    </w:p>
    <w:p w14:paraId="67154346">
      <w:pPr>
        <w:spacing w:line="360" w:lineRule="auto"/>
      </w:pPr>
    </w:p>
    <w:p w14:paraId="760CFAD2">
      <w:pPr>
        <w:pStyle w:val="2"/>
        <w:snapToGrid w:val="0"/>
        <w:spacing w:before="0" w:after="0" w:line="360" w:lineRule="auto"/>
        <w:ind w:firstLine="422" w:firstLineChars="150"/>
        <w:rPr>
          <w:rFonts w:hint="eastAsia" w:hAnsi="宋体" w:eastAsia="宋体" w:cs="Arial"/>
          <w:b/>
          <w:bCs/>
          <w:sz w:val="28"/>
          <w:szCs w:val="28"/>
        </w:rPr>
      </w:pPr>
      <w:bookmarkStart w:id="106" w:name="_Toc5250"/>
      <w:bookmarkStart w:id="107" w:name="_Toc50661127"/>
      <w:r>
        <w:rPr>
          <w:rFonts w:hAnsi="宋体" w:eastAsia="宋体" w:cs="Arial"/>
          <w:b/>
          <w:bCs/>
          <w:sz w:val="28"/>
          <w:szCs w:val="28"/>
        </w:rPr>
        <w:t>第</w:t>
      </w:r>
      <w:r>
        <w:rPr>
          <w:rFonts w:hint="eastAsia" w:hAnsi="宋体" w:eastAsia="宋体" w:cs="Arial"/>
          <w:b/>
          <w:bCs/>
          <w:sz w:val="28"/>
          <w:szCs w:val="28"/>
        </w:rPr>
        <w:t>九</w:t>
      </w:r>
      <w:r>
        <w:rPr>
          <w:rFonts w:hAnsi="宋体" w:eastAsia="宋体" w:cs="Arial"/>
          <w:b/>
          <w:bCs/>
          <w:sz w:val="28"/>
          <w:szCs w:val="28"/>
        </w:rPr>
        <w:t>部分  基金份额的</w:t>
      </w:r>
      <w:r>
        <w:rPr>
          <w:rFonts w:hint="eastAsia" w:hAnsi="宋体" w:eastAsia="宋体" w:cs="Arial"/>
          <w:b/>
          <w:bCs/>
          <w:sz w:val="28"/>
          <w:szCs w:val="28"/>
        </w:rPr>
        <w:t>上市</w:t>
      </w:r>
      <w:r>
        <w:rPr>
          <w:rFonts w:hAnsi="宋体" w:eastAsia="宋体" w:cs="Arial"/>
          <w:b/>
          <w:bCs/>
          <w:sz w:val="28"/>
          <w:szCs w:val="28"/>
        </w:rPr>
        <w:t>交易</w:t>
      </w:r>
      <w:bookmarkEnd w:id="88"/>
      <w:bookmarkEnd w:id="106"/>
      <w:bookmarkEnd w:id="107"/>
    </w:p>
    <w:p w14:paraId="11EC48FD">
      <w:pPr>
        <w:adjustRightInd w:val="0"/>
        <w:snapToGrid w:val="0"/>
        <w:spacing w:line="360" w:lineRule="auto"/>
        <w:ind w:firstLine="422" w:firstLineChars="200"/>
        <w:rPr>
          <w:rFonts w:hint="eastAsia" w:ascii="宋体" w:hAnsi="宋体"/>
          <w:b/>
          <w:color w:val="0C0C0C"/>
          <w:kern w:val="0"/>
          <w:szCs w:val="22"/>
        </w:rPr>
      </w:pPr>
      <w:r>
        <w:rPr>
          <w:rFonts w:hint="eastAsia" w:ascii="宋体" w:hAnsi="宋体"/>
          <w:b/>
          <w:color w:val="0C0C0C"/>
          <w:kern w:val="0"/>
          <w:szCs w:val="22"/>
        </w:rPr>
        <w:t>一、基金上市</w:t>
      </w:r>
    </w:p>
    <w:p w14:paraId="73EFCCA8">
      <w:pPr>
        <w:adjustRightInd w:val="0"/>
        <w:snapToGrid w:val="0"/>
        <w:spacing w:line="360" w:lineRule="auto"/>
        <w:ind w:firstLine="420" w:firstLineChars="200"/>
        <w:rPr>
          <w:rFonts w:hint="eastAsia" w:ascii="宋体" w:hAnsi="宋体"/>
          <w:color w:val="0C0C0C"/>
          <w:kern w:val="0"/>
          <w:szCs w:val="22"/>
        </w:rPr>
      </w:pPr>
      <w:r>
        <w:rPr>
          <w:rFonts w:hint="eastAsia" w:ascii="宋体" w:hAnsi="宋体"/>
          <w:color w:val="0C0C0C"/>
          <w:kern w:val="0"/>
          <w:szCs w:val="22"/>
        </w:rPr>
        <w:t>基金合同生效后，具备以下条件的，基金管理人可依据《深圳证券交易所证券投资基金上市规则》，向深圳证券交易所申请基金份额上市：</w:t>
      </w:r>
    </w:p>
    <w:p w14:paraId="7BF61ABF">
      <w:pPr>
        <w:adjustRightInd w:val="0"/>
        <w:snapToGrid w:val="0"/>
        <w:spacing w:line="360" w:lineRule="auto"/>
        <w:ind w:firstLine="420" w:firstLineChars="200"/>
        <w:rPr>
          <w:rFonts w:hint="eastAsia" w:ascii="宋体" w:hAnsi="宋体"/>
          <w:color w:val="0C0C0C"/>
          <w:kern w:val="0"/>
          <w:szCs w:val="22"/>
        </w:rPr>
      </w:pPr>
      <w:r>
        <w:rPr>
          <w:rFonts w:hint="eastAsia" w:ascii="宋体" w:hAnsi="宋体"/>
          <w:color w:val="0C0C0C"/>
          <w:kern w:val="0"/>
          <w:szCs w:val="22"/>
        </w:rPr>
        <w:t xml:space="preserve">（1）基金场内募集金额（含网下股票认购所募集的股票市值）不低于2亿元； </w:t>
      </w:r>
    </w:p>
    <w:p w14:paraId="5B28691D">
      <w:pPr>
        <w:adjustRightInd w:val="0"/>
        <w:snapToGrid w:val="0"/>
        <w:spacing w:line="360" w:lineRule="auto"/>
        <w:ind w:firstLine="420" w:firstLineChars="200"/>
        <w:rPr>
          <w:rFonts w:hint="eastAsia" w:ascii="宋体" w:hAnsi="宋体"/>
          <w:color w:val="0C0C0C"/>
          <w:kern w:val="0"/>
          <w:szCs w:val="22"/>
        </w:rPr>
      </w:pPr>
      <w:r>
        <w:rPr>
          <w:rFonts w:hint="eastAsia" w:ascii="宋体" w:hAnsi="宋体"/>
          <w:color w:val="0C0C0C"/>
          <w:kern w:val="0"/>
          <w:szCs w:val="22"/>
        </w:rPr>
        <w:t>（2）场内基金份额持有人不少于1000人；</w:t>
      </w:r>
    </w:p>
    <w:p w14:paraId="11F70912">
      <w:pPr>
        <w:adjustRightInd w:val="0"/>
        <w:snapToGrid w:val="0"/>
        <w:spacing w:line="360" w:lineRule="auto"/>
        <w:ind w:firstLine="420" w:firstLineChars="200"/>
        <w:rPr>
          <w:rFonts w:hint="eastAsia" w:ascii="宋体" w:hAnsi="宋体"/>
          <w:color w:val="0C0C0C"/>
          <w:kern w:val="0"/>
          <w:szCs w:val="22"/>
        </w:rPr>
      </w:pPr>
      <w:r>
        <w:rPr>
          <w:rFonts w:hint="eastAsia" w:ascii="宋体" w:hAnsi="宋体"/>
          <w:color w:val="0C0C0C"/>
          <w:kern w:val="0"/>
          <w:szCs w:val="22"/>
        </w:rPr>
        <w:t>（3）法律法规或深圳证券交易所规定的其他条件。</w:t>
      </w:r>
    </w:p>
    <w:p w14:paraId="79898B4E">
      <w:pPr>
        <w:adjustRightInd w:val="0"/>
        <w:snapToGrid w:val="0"/>
        <w:spacing w:line="360" w:lineRule="auto"/>
        <w:ind w:firstLine="420" w:firstLineChars="200"/>
        <w:rPr>
          <w:rFonts w:hint="eastAsia" w:ascii="宋体" w:hAnsi="宋体"/>
          <w:color w:val="0C0C0C"/>
          <w:kern w:val="0"/>
          <w:szCs w:val="22"/>
        </w:rPr>
      </w:pPr>
      <w:r>
        <w:rPr>
          <w:rFonts w:hint="eastAsia" w:ascii="宋体" w:hAnsi="宋体"/>
          <w:color w:val="0C0C0C"/>
          <w:kern w:val="0"/>
          <w:szCs w:val="22"/>
        </w:rPr>
        <w:t>基金上市前，基金管理人应与深圳证券交易所签订上市协议书。基金获准在深圳证券交易所上市的，基金管理人应按照相关规定发布基金上市交易公告书。</w:t>
      </w:r>
    </w:p>
    <w:p w14:paraId="77E74045">
      <w:pPr>
        <w:adjustRightInd w:val="0"/>
        <w:snapToGrid w:val="0"/>
        <w:spacing w:line="360" w:lineRule="auto"/>
        <w:ind w:firstLine="422" w:firstLineChars="200"/>
        <w:rPr>
          <w:rFonts w:hint="eastAsia" w:ascii="宋体" w:hAnsi="宋体"/>
          <w:b/>
          <w:color w:val="0C0C0C"/>
          <w:kern w:val="0"/>
          <w:szCs w:val="22"/>
        </w:rPr>
      </w:pPr>
      <w:r>
        <w:rPr>
          <w:rFonts w:hint="eastAsia" w:ascii="宋体" w:hAnsi="宋体"/>
          <w:b/>
          <w:color w:val="0C0C0C"/>
          <w:kern w:val="0"/>
          <w:szCs w:val="22"/>
        </w:rPr>
        <w:t>二、基金份额的上市交易</w:t>
      </w:r>
    </w:p>
    <w:p w14:paraId="0C7D0C21">
      <w:pPr>
        <w:adjustRightInd w:val="0"/>
        <w:snapToGrid w:val="0"/>
        <w:spacing w:line="360" w:lineRule="auto"/>
        <w:ind w:firstLine="420" w:firstLineChars="200"/>
        <w:rPr>
          <w:rFonts w:hint="eastAsia" w:ascii="宋体" w:hAnsi="宋体"/>
          <w:color w:val="0C0C0C"/>
          <w:kern w:val="0"/>
          <w:szCs w:val="22"/>
        </w:rPr>
      </w:pPr>
      <w:r>
        <w:rPr>
          <w:rFonts w:hint="eastAsia" w:ascii="宋体" w:hAnsi="宋体"/>
          <w:color w:val="0C0C0C"/>
          <w:kern w:val="0"/>
          <w:szCs w:val="22"/>
        </w:rPr>
        <w:t>基金份额在深圳证券交易所的上市交易应遵照《深圳证券交易所交易规则》、《深圳证券交易所证券投资基金上市规则》、《深圳证券交易所证券投资基金交易和申购赎回实施细则》等有关规定。</w:t>
      </w:r>
    </w:p>
    <w:p w14:paraId="42E0E000">
      <w:pPr>
        <w:adjustRightInd w:val="0"/>
        <w:snapToGrid w:val="0"/>
        <w:spacing w:line="360" w:lineRule="auto"/>
        <w:ind w:firstLine="422" w:firstLineChars="200"/>
        <w:rPr>
          <w:rFonts w:hint="eastAsia" w:ascii="宋体" w:hAnsi="宋体"/>
          <w:b/>
          <w:color w:val="0C0C0C"/>
          <w:kern w:val="0"/>
          <w:szCs w:val="22"/>
        </w:rPr>
      </w:pPr>
      <w:r>
        <w:rPr>
          <w:rFonts w:ascii="宋体" w:hAnsi="宋体"/>
          <w:b/>
          <w:color w:val="0C0C0C"/>
          <w:kern w:val="0"/>
          <w:szCs w:val="22"/>
        </w:rPr>
        <w:t>三、</w:t>
      </w:r>
      <w:r>
        <w:rPr>
          <w:rFonts w:hint="eastAsia" w:ascii="宋体" w:hAnsi="宋体"/>
          <w:b/>
          <w:color w:val="0C0C0C"/>
          <w:kern w:val="0"/>
          <w:szCs w:val="22"/>
        </w:rPr>
        <w:t>停复牌、</w:t>
      </w:r>
      <w:r>
        <w:rPr>
          <w:rFonts w:ascii="宋体" w:hAnsi="宋体"/>
          <w:b/>
          <w:color w:val="0C0C0C"/>
          <w:kern w:val="0"/>
          <w:szCs w:val="22"/>
        </w:rPr>
        <w:t>暂停上市</w:t>
      </w:r>
      <w:r>
        <w:rPr>
          <w:rFonts w:hint="eastAsia" w:ascii="宋体" w:hAnsi="宋体"/>
          <w:b/>
          <w:color w:val="0C0C0C"/>
          <w:kern w:val="0"/>
          <w:szCs w:val="22"/>
        </w:rPr>
        <w:t>、恢复上市</w:t>
      </w:r>
      <w:r>
        <w:rPr>
          <w:rFonts w:ascii="宋体" w:hAnsi="宋体"/>
          <w:b/>
          <w:color w:val="0C0C0C"/>
          <w:kern w:val="0"/>
          <w:szCs w:val="22"/>
        </w:rPr>
        <w:t>或终止上市的情形和处理方式</w:t>
      </w:r>
    </w:p>
    <w:p w14:paraId="4D62590B">
      <w:pPr>
        <w:adjustRightInd w:val="0"/>
        <w:snapToGrid w:val="0"/>
        <w:spacing w:line="360" w:lineRule="auto"/>
        <w:ind w:firstLine="420" w:firstLineChars="200"/>
        <w:rPr>
          <w:rFonts w:hint="eastAsia" w:ascii="宋体" w:hAnsi="宋体"/>
          <w:color w:val="0C0C0C"/>
          <w:kern w:val="0"/>
          <w:szCs w:val="22"/>
        </w:rPr>
      </w:pPr>
      <w:r>
        <w:rPr>
          <w:rFonts w:hint="eastAsia" w:ascii="宋体" w:hAnsi="宋体"/>
          <w:color w:val="0C0C0C"/>
          <w:kern w:val="0"/>
          <w:szCs w:val="22"/>
        </w:rPr>
        <w:t>本基金份额在深圳证券交易所上市后，如遇停复牌、暂停上市、恢复上市或终止上市的情形，按照《深圳证券交易所证券投资基金上市规则》的相关规定执行。</w:t>
      </w:r>
    </w:p>
    <w:p w14:paraId="5DE2A7D0">
      <w:pPr>
        <w:adjustRightInd w:val="0"/>
        <w:snapToGrid w:val="0"/>
        <w:spacing w:line="360" w:lineRule="auto"/>
        <w:ind w:firstLine="420" w:firstLineChars="200"/>
        <w:rPr>
          <w:rFonts w:hint="eastAsia" w:ascii="宋体" w:hAnsi="宋体"/>
          <w:color w:val="0C0C0C"/>
          <w:kern w:val="0"/>
          <w:szCs w:val="22"/>
        </w:rPr>
      </w:pPr>
      <w:r>
        <w:rPr>
          <w:rFonts w:hint="eastAsia" w:ascii="宋体" w:hAnsi="宋体"/>
          <w:color w:val="0C0C0C"/>
          <w:kern w:val="0"/>
          <w:szCs w:val="22"/>
        </w:rPr>
        <w:t>若本基金发生深圳证券交易所相关规定所规定的因不再具备上市条件而应当终止上市的情形时，经基金管理人和基金托管人协商一致，本基金将转型为非上市的开放式指数基金，无需召开基金份额持有人大会，具体处理方法见基金管理人相关公告。</w:t>
      </w:r>
    </w:p>
    <w:p w14:paraId="643D6592">
      <w:pPr>
        <w:adjustRightInd w:val="0"/>
        <w:snapToGrid w:val="0"/>
        <w:spacing w:line="360" w:lineRule="auto"/>
        <w:ind w:firstLine="422" w:firstLineChars="200"/>
        <w:rPr>
          <w:rFonts w:hint="eastAsia" w:ascii="宋体" w:hAnsi="宋体"/>
          <w:b/>
          <w:color w:val="0C0C0C"/>
          <w:kern w:val="0"/>
          <w:szCs w:val="22"/>
        </w:rPr>
      </w:pPr>
      <w:r>
        <w:rPr>
          <w:rFonts w:hint="eastAsia" w:ascii="宋体" w:hAnsi="宋体"/>
          <w:b/>
          <w:color w:val="0C0C0C"/>
          <w:kern w:val="0"/>
          <w:szCs w:val="22"/>
        </w:rPr>
        <w:t>四、基金份额参考净值的计算与公告</w:t>
      </w:r>
    </w:p>
    <w:p w14:paraId="267DBABC">
      <w:pPr>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基金管理人在每一个交易日开市前向深圳证券交易所提供当日的申购赎回清单。本基金基金份额参考净值（IOPV）由基金管理人或基金管理人委托的机构计算，并交由深圳证券交易所发布，供投资者交易、申购、赎回基金份额时参考。</w:t>
      </w:r>
    </w:p>
    <w:p w14:paraId="32FF27B8">
      <w:pPr>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（1）基金份额参考净值的计算公式：</w:t>
      </w:r>
    </w:p>
    <w:p w14:paraId="5C25BF94">
      <w:pPr>
        <w:adjustRightInd w:val="0"/>
        <w:snapToGrid w:val="0"/>
        <w:spacing w:line="360" w:lineRule="auto"/>
        <w:ind w:left="8" w:firstLine="412"/>
        <w:rPr>
          <w:rFonts w:hint="eastAsia" w:ascii="宋体" w:hAnsi="宋体" w:cs="Arial"/>
          <w:kern w:val="0"/>
          <w:szCs w:val="21"/>
        </w:rPr>
      </w:pPr>
      <w:r>
        <w:rPr>
          <w:rFonts w:hint="eastAsia"/>
          <w:szCs w:val="21"/>
        </w:rPr>
        <w:t>基金份额参考净值＝（申购赎回清单中必须用现金替代的固定替代金额总额＋申购赎回清单中可以用现金替代的所有成份证券的数量与其最新成交价乘积之和＋申购赎回清单中禁止用现金替代的所有成份证券的数量与其最新成交价乘积之和＋申购赎回清单中的预估现金部分）／最小申购赎回单位所对应的基金份额</w:t>
      </w:r>
    </w:p>
    <w:p w14:paraId="3DB2DF6D">
      <w:pPr>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（2）基金份额参考净值的计算以四舍五入的方法保留小数点后4位，若基金管理人或者基金管理人委托的其他机构调整有关基金份额参考净值保留位数，本基金将进行相应调整。</w:t>
      </w:r>
    </w:p>
    <w:p w14:paraId="3F2BFC41">
      <w:pPr>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（3）基金管理人可以调整基金份额参考净值的计算公式，并予以公告。如深圳证券交易所对基金份额参考净值的计算方法另有规定的，从其规定。</w:t>
      </w:r>
    </w:p>
    <w:p w14:paraId="3A2820CE">
      <w:pPr>
        <w:adjustRightInd w:val="0"/>
        <w:snapToGrid w:val="0"/>
        <w:spacing w:line="360" w:lineRule="auto"/>
        <w:ind w:firstLine="422" w:firstLineChars="200"/>
        <w:rPr>
          <w:rFonts w:hint="eastAsia" w:ascii="宋体" w:hAnsi="宋体" w:cs="Arial"/>
          <w:b/>
          <w:kern w:val="0"/>
          <w:szCs w:val="21"/>
        </w:rPr>
      </w:pPr>
      <w:r>
        <w:rPr>
          <w:rFonts w:hint="eastAsia" w:ascii="宋体" w:hAnsi="宋体"/>
          <w:b/>
          <w:color w:val="0C0C0C"/>
          <w:kern w:val="0"/>
          <w:szCs w:val="22"/>
        </w:rPr>
        <w:t>五、</w:t>
      </w:r>
      <w:r>
        <w:rPr>
          <w:rFonts w:hint="eastAsia" w:ascii="宋体" w:hAnsi="宋体" w:cs="Arial"/>
          <w:b/>
          <w:kern w:val="0"/>
          <w:szCs w:val="21"/>
        </w:rPr>
        <w:t>其他</w:t>
      </w:r>
    </w:p>
    <w:p w14:paraId="501A2931">
      <w:pPr>
        <w:adjustRightInd w:val="0"/>
        <w:snapToGrid w:val="0"/>
        <w:spacing w:line="360" w:lineRule="auto"/>
        <w:ind w:firstLine="420" w:firstLineChars="200"/>
        <w:rPr>
          <w:rFonts w:hint="eastAsia" w:ascii="宋体" w:hAnsi="宋体"/>
          <w:color w:val="0C0C0C"/>
          <w:kern w:val="0"/>
          <w:szCs w:val="22"/>
        </w:rPr>
      </w:pPr>
      <w:r>
        <w:rPr>
          <w:rFonts w:hint="eastAsia" w:ascii="宋体" w:hAnsi="宋体"/>
          <w:color w:val="0C0C0C"/>
          <w:kern w:val="0"/>
          <w:szCs w:val="22"/>
        </w:rPr>
        <w:t>若深圳证券交易所、中国证券登记结算有限责任公司增加了基金上市交易的新功能，本基金管理人可以在履行适当的程序后增加相应功能。</w:t>
      </w:r>
    </w:p>
    <w:p w14:paraId="1F8832EC">
      <w:pPr>
        <w:adjustRightInd w:val="0"/>
        <w:snapToGrid w:val="0"/>
        <w:spacing w:line="360" w:lineRule="auto"/>
        <w:ind w:firstLine="420" w:firstLineChars="200"/>
        <w:rPr>
          <w:rFonts w:hint="eastAsia" w:ascii="宋体" w:hAnsi="宋体"/>
          <w:color w:val="0C0C0C"/>
          <w:kern w:val="0"/>
          <w:szCs w:val="22"/>
        </w:rPr>
      </w:pPr>
      <w:r>
        <w:rPr>
          <w:rFonts w:hint="eastAsia" w:ascii="宋体" w:hAnsi="宋体"/>
          <w:color w:val="0C0C0C"/>
          <w:kern w:val="0"/>
          <w:szCs w:val="22"/>
        </w:rPr>
        <w:t>相关法律法规、中国证监会、登记机构或深圳证券交易所对基金上市交易的规则等相关规定内容进行调整的，本基金按照新规定执行，若</w:t>
      </w:r>
      <w:r>
        <w:rPr>
          <w:rFonts w:hint="eastAsia" w:ascii="宋体" w:hAnsi="宋体"/>
          <w:bCs/>
          <w:color w:val="0C0C0C"/>
          <w:kern w:val="0"/>
          <w:szCs w:val="22"/>
        </w:rPr>
        <w:t>由此需要对基金合同进行修订的，</w:t>
      </w:r>
      <w:r>
        <w:rPr>
          <w:rFonts w:hint="eastAsia" w:ascii="宋体" w:hAnsi="宋体"/>
          <w:color w:val="0C0C0C"/>
          <w:kern w:val="0"/>
          <w:szCs w:val="22"/>
        </w:rPr>
        <w:t>无</w:t>
      </w:r>
      <w:r>
        <w:rPr>
          <w:rFonts w:ascii="宋体" w:hAnsi="宋体"/>
          <w:color w:val="0C0C0C"/>
          <w:kern w:val="0"/>
          <w:szCs w:val="22"/>
        </w:rPr>
        <w:t>需</w:t>
      </w:r>
      <w:r>
        <w:rPr>
          <w:rFonts w:hint="eastAsia" w:ascii="宋体" w:hAnsi="宋体"/>
          <w:color w:val="0C0C0C"/>
          <w:kern w:val="0"/>
          <w:szCs w:val="22"/>
        </w:rPr>
        <w:t>召开基金份额持有人大会。</w:t>
      </w:r>
    </w:p>
    <w:p w14:paraId="075313EF">
      <w:pPr>
        <w:adjustRightInd w:val="0"/>
        <w:snapToGrid w:val="0"/>
        <w:spacing w:line="360" w:lineRule="auto"/>
        <w:ind w:firstLine="420" w:firstLineChars="200"/>
        <w:rPr>
          <w:rFonts w:hint="eastAsia" w:ascii="宋体" w:hAnsi="宋体"/>
          <w:bCs/>
          <w:color w:val="0C0C0C"/>
          <w:kern w:val="0"/>
          <w:szCs w:val="22"/>
        </w:rPr>
        <w:sectPr>
          <w:footerReference r:id="rId25" w:type="first"/>
          <w:footerReference r:id="rId24" w:type="default"/>
          <w:pgSz w:w="11906" w:h="16838"/>
          <w:pgMar w:top="1440" w:right="1800" w:bottom="1440" w:left="1800" w:header="851" w:footer="992" w:gutter="0"/>
          <w:cols w:space="720" w:num="1"/>
          <w:titlePg/>
          <w:docGrid w:linePitch="312" w:charSpace="0"/>
        </w:sectPr>
      </w:pPr>
      <w:r>
        <w:rPr>
          <w:rFonts w:hint="eastAsia" w:ascii="宋体" w:hAnsi="宋体"/>
          <w:bCs/>
          <w:color w:val="0C0C0C"/>
          <w:kern w:val="0"/>
          <w:szCs w:val="22"/>
        </w:rPr>
        <w:t>在不违反法律法规且对基金份额持有人利益无实质不利影响的前提下，基金管理人在履行适当的程序后，本基金可以申请在包括境外交易所在内的其他证券交易所上市交易，而无需召开基金份额持有人大会。</w:t>
      </w:r>
    </w:p>
    <w:p w14:paraId="4604D1F0">
      <w:pPr>
        <w:adjustRightInd w:val="0"/>
        <w:snapToGrid w:val="0"/>
        <w:spacing w:line="360" w:lineRule="auto"/>
        <w:ind w:firstLine="420" w:firstLineChars="200"/>
        <w:rPr>
          <w:rFonts w:hint="eastAsia" w:ascii="宋体" w:hAnsi="宋体"/>
          <w:color w:val="0C0C0C"/>
          <w:kern w:val="0"/>
          <w:szCs w:val="21"/>
        </w:rPr>
      </w:pPr>
    </w:p>
    <w:p w14:paraId="0FB3F167">
      <w:pPr>
        <w:pStyle w:val="2"/>
        <w:snapToGrid w:val="0"/>
        <w:spacing w:before="0" w:after="0" w:line="360" w:lineRule="auto"/>
        <w:ind w:firstLine="422" w:firstLineChars="150"/>
        <w:rPr>
          <w:rFonts w:hint="eastAsia" w:hAnsi="宋体" w:eastAsia="宋体" w:cs="Arial"/>
          <w:b/>
          <w:bCs/>
          <w:sz w:val="28"/>
          <w:szCs w:val="28"/>
        </w:rPr>
      </w:pPr>
      <w:bookmarkStart w:id="108" w:name="_Toc50661129"/>
      <w:bookmarkStart w:id="109" w:name="_Toc11223"/>
      <w:r>
        <w:rPr>
          <w:rFonts w:hAnsi="宋体" w:eastAsia="宋体" w:cs="Arial"/>
          <w:b/>
          <w:bCs/>
          <w:sz w:val="28"/>
          <w:szCs w:val="28"/>
        </w:rPr>
        <w:t>第</w:t>
      </w:r>
      <w:r>
        <w:rPr>
          <w:rFonts w:hint="eastAsia" w:hAnsi="宋体" w:eastAsia="宋体" w:cs="Arial"/>
          <w:b/>
          <w:bCs/>
          <w:sz w:val="28"/>
          <w:szCs w:val="28"/>
        </w:rPr>
        <w:t>十</w:t>
      </w:r>
      <w:r>
        <w:rPr>
          <w:rFonts w:hAnsi="宋体" w:eastAsia="宋体" w:cs="Arial"/>
          <w:b/>
          <w:bCs/>
          <w:sz w:val="28"/>
          <w:szCs w:val="28"/>
        </w:rPr>
        <w:t>部分  基金份额的申购与赎回</w:t>
      </w:r>
      <w:bookmarkEnd w:id="89"/>
      <w:bookmarkEnd w:id="90"/>
      <w:bookmarkEnd w:id="91"/>
      <w:bookmarkEnd w:id="92"/>
      <w:bookmarkEnd w:id="108"/>
      <w:bookmarkEnd w:id="109"/>
    </w:p>
    <w:p w14:paraId="7B1A2ED9">
      <w:pPr>
        <w:spacing w:line="360" w:lineRule="auto"/>
        <w:rPr>
          <w:rFonts w:hint="eastAsia" w:ascii="宋体" w:hAnsi="宋体"/>
        </w:rPr>
      </w:pPr>
    </w:p>
    <w:p w14:paraId="68A628CE">
      <w:pPr>
        <w:spacing w:line="360" w:lineRule="auto"/>
        <w:ind w:firstLine="420" w:firstLineChars="200"/>
        <w:rPr>
          <w:rFonts w:hint="eastAsia" w:ascii="宋体" w:hAnsi="宋体"/>
        </w:rPr>
      </w:pPr>
      <w:bookmarkStart w:id="110" w:name="_Toc214873598"/>
      <w:r>
        <w:rPr>
          <w:rFonts w:hint="eastAsia" w:ascii="宋体" w:hAnsi="宋体"/>
        </w:rPr>
        <w:t>本基金目前仅采取深圳证券交易所单市场股票ETF场内申赎模式，未来基金管理人可根据基金发展需要，开通场外实物申赎模式（指通过中国证券登记结算有限责任公司基金业务系统办理申购、赎回），届时将发布公告予以披露并对本基金的招募说明书予以更新，无须召开基金份额持有人大会审议。</w:t>
      </w:r>
    </w:p>
    <w:p w14:paraId="2A1F1636">
      <w:pPr>
        <w:spacing w:line="360" w:lineRule="auto"/>
        <w:ind w:firstLine="422"/>
        <w:rPr>
          <w:rFonts w:hint="eastAsia" w:ascii="宋体" w:hAnsi="宋体" w:cs="Arial"/>
          <w:b/>
          <w:kern w:val="0"/>
          <w:szCs w:val="21"/>
        </w:rPr>
      </w:pPr>
      <w:r>
        <w:rPr>
          <w:rFonts w:ascii="宋体" w:hAnsi="宋体" w:cs="Arial"/>
          <w:b/>
          <w:kern w:val="0"/>
          <w:szCs w:val="21"/>
        </w:rPr>
        <w:t>一</w:t>
      </w:r>
      <w:r>
        <w:rPr>
          <w:rFonts w:hint="eastAsia" w:ascii="宋体" w:hAnsi="宋体" w:cs="Arial"/>
          <w:b/>
          <w:kern w:val="0"/>
          <w:szCs w:val="21"/>
        </w:rPr>
        <w:t>、</w:t>
      </w:r>
      <w:r>
        <w:rPr>
          <w:rFonts w:ascii="宋体" w:hAnsi="宋体" w:cs="Arial"/>
          <w:b/>
          <w:kern w:val="0"/>
          <w:szCs w:val="21"/>
        </w:rPr>
        <w:t>申购和赎回场所</w:t>
      </w:r>
    </w:p>
    <w:p w14:paraId="63219432">
      <w:pPr>
        <w:adjustRightInd w:val="0"/>
        <w:snapToGrid w:val="0"/>
        <w:spacing w:line="360" w:lineRule="auto"/>
        <w:ind w:firstLine="420" w:firstLineChars="200"/>
        <w:rPr>
          <w:rFonts w:hint="eastAsia" w:ascii="宋体" w:hAnsi="宋体" w:cs="Arial"/>
          <w:kern w:val="0"/>
          <w:szCs w:val="21"/>
        </w:rPr>
      </w:pPr>
      <w:bookmarkStart w:id="111" w:name="_Hlk37986905"/>
      <w:r>
        <w:rPr>
          <w:rFonts w:hint="eastAsia" w:ascii="宋体" w:hAnsi="宋体" w:cs="Arial"/>
          <w:kern w:val="0"/>
          <w:szCs w:val="21"/>
        </w:rPr>
        <w:t>本基金投资人应当通过申购、赎回代理券商办理基金申购、赎回业务的营业场所或按申购、赎回代理券商提供的其他方式办理本基金的申购和赎回。</w:t>
      </w:r>
      <w:bookmarkEnd w:id="111"/>
    </w:p>
    <w:p w14:paraId="3D17B199">
      <w:pPr>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基金管理人在开始申购、赎回业务前公告</w:t>
      </w:r>
      <w:bookmarkStart w:id="112" w:name="_Hlk37986971"/>
      <w:r>
        <w:rPr>
          <w:rFonts w:hint="eastAsia" w:ascii="宋体" w:hAnsi="宋体" w:cs="Arial"/>
          <w:kern w:val="0"/>
          <w:szCs w:val="21"/>
        </w:rPr>
        <w:t>申购、赎回代理券商的名单</w:t>
      </w:r>
      <w:bookmarkEnd w:id="112"/>
      <w:r>
        <w:rPr>
          <w:rFonts w:hint="eastAsia" w:ascii="宋体" w:hAnsi="宋体" w:cs="Arial"/>
          <w:kern w:val="0"/>
          <w:szCs w:val="21"/>
        </w:rPr>
        <w:t>，并可依据实际情况变更申购、赎回代理券商并在基金管理人网站公示。基金管理人在确定、变更申购、赎回代理券商名单时，均应在公告之前报请深圳证券交易所认可。</w:t>
      </w:r>
    </w:p>
    <w:p w14:paraId="558E79B6">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szCs w:val="21"/>
        </w:rPr>
      </w:pPr>
      <w:r>
        <w:rPr>
          <w:rFonts w:hint="eastAsia" w:ascii="宋体" w:hAnsi="宋体" w:cs="Arial"/>
          <w:kern w:val="0"/>
          <w:szCs w:val="21"/>
        </w:rPr>
        <w:t>在法律法规、基金合同及未来条件允许的情况下，基金管理人直销机构可以开通申购赎回业务，具体业务的办理时间及办理方式基金管理人将另行公告。</w:t>
      </w:r>
    </w:p>
    <w:p w14:paraId="160DE5EB">
      <w:pPr>
        <w:tabs>
          <w:tab w:val="left" w:pos="3780"/>
        </w:tabs>
        <w:autoSpaceDE w:val="0"/>
        <w:autoSpaceDN w:val="0"/>
        <w:adjustRightInd w:val="0"/>
        <w:snapToGrid w:val="0"/>
        <w:spacing w:line="360" w:lineRule="auto"/>
        <w:ind w:firstLine="422" w:firstLineChars="200"/>
        <w:textAlignment w:val="bottom"/>
        <w:rPr>
          <w:rFonts w:hint="eastAsia" w:ascii="宋体" w:hAnsi="宋体" w:cs="Arial"/>
          <w:b/>
          <w:kern w:val="0"/>
          <w:szCs w:val="21"/>
        </w:rPr>
      </w:pPr>
      <w:r>
        <w:rPr>
          <w:rFonts w:ascii="宋体" w:hAnsi="宋体" w:cs="Arial"/>
          <w:b/>
          <w:kern w:val="0"/>
          <w:szCs w:val="21"/>
        </w:rPr>
        <w:t>二</w:t>
      </w:r>
      <w:r>
        <w:rPr>
          <w:rFonts w:hint="eastAsia" w:ascii="宋体" w:hAnsi="宋体" w:cs="Arial"/>
          <w:b/>
          <w:kern w:val="0"/>
          <w:szCs w:val="21"/>
        </w:rPr>
        <w:t>、</w:t>
      </w:r>
      <w:r>
        <w:rPr>
          <w:rFonts w:ascii="宋体" w:hAnsi="宋体" w:cs="Arial"/>
          <w:b/>
          <w:kern w:val="0"/>
          <w:szCs w:val="21"/>
        </w:rPr>
        <w:t>申购与赎回的开放日及时间</w:t>
      </w:r>
    </w:p>
    <w:p w14:paraId="70B1434D">
      <w:pPr>
        <w:adjustRightInd w:val="0"/>
        <w:snapToGrid w:val="0"/>
        <w:spacing w:line="360" w:lineRule="auto"/>
        <w:ind w:firstLine="420" w:firstLineChars="200"/>
        <w:rPr>
          <w:rFonts w:hint="eastAsia" w:ascii="宋体" w:hAnsi="宋体" w:cs="Arial"/>
          <w:kern w:val="0"/>
          <w:szCs w:val="21"/>
        </w:rPr>
      </w:pPr>
      <w:r>
        <w:rPr>
          <w:rFonts w:ascii="宋体" w:hAnsi="宋体" w:cs="Arial"/>
          <w:kern w:val="0"/>
          <w:szCs w:val="21"/>
        </w:rPr>
        <w:t>1</w:t>
      </w:r>
      <w:r>
        <w:rPr>
          <w:rFonts w:hint="eastAsia" w:ascii="宋体" w:hAnsi="宋体" w:cs="Arial"/>
          <w:kern w:val="0"/>
          <w:szCs w:val="21"/>
        </w:rPr>
        <w:t>、开放日及开放时间</w:t>
      </w:r>
    </w:p>
    <w:p w14:paraId="7790C8F1">
      <w:pPr>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投资人在开放日办理基金份额的申购和赎回，具体办理时间为深圳证券交易所的正常交易日的交易时间，但基金管理人根据法律法规、中国证监会的要求或基金合同的规定公告暂停申购、赎回时除外。</w:t>
      </w:r>
    </w:p>
    <w:p w14:paraId="244BC22E">
      <w:pPr>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14:paraId="03E02A2C">
      <w:pPr>
        <w:adjustRightInd w:val="0"/>
        <w:snapToGrid w:val="0"/>
        <w:spacing w:line="360" w:lineRule="auto"/>
        <w:ind w:firstLine="420" w:firstLineChars="200"/>
        <w:rPr>
          <w:rFonts w:hint="eastAsia" w:ascii="宋体" w:hAnsi="宋体" w:cs="Arial"/>
          <w:kern w:val="0"/>
          <w:szCs w:val="21"/>
        </w:rPr>
      </w:pPr>
      <w:r>
        <w:rPr>
          <w:rFonts w:ascii="宋体" w:hAnsi="宋体" w:cs="Arial"/>
          <w:kern w:val="0"/>
          <w:szCs w:val="21"/>
        </w:rPr>
        <w:t>2</w:t>
      </w:r>
      <w:r>
        <w:rPr>
          <w:rFonts w:hint="eastAsia" w:ascii="宋体" w:hAnsi="宋体" w:cs="Arial"/>
          <w:kern w:val="0"/>
          <w:szCs w:val="21"/>
        </w:rPr>
        <w:t>、申购、赎回开始日及业务办理时间</w:t>
      </w:r>
    </w:p>
    <w:p w14:paraId="1F84D827">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szCs w:val="21"/>
        </w:rPr>
      </w:pPr>
      <w:r>
        <w:rPr>
          <w:rFonts w:hint="eastAsia" w:ascii="宋体" w:hAnsi="宋体" w:cs="Arial"/>
          <w:kern w:val="0"/>
          <w:szCs w:val="21"/>
        </w:rPr>
        <w:t>基金管理人可以根据实际情况依法决定本基金开始办理申购的具体日期，具体业务办理时间在申购开始公告中规定。</w:t>
      </w:r>
    </w:p>
    <w:p w14:paraId="4A83873C">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szCs w:val="21"/>
        </w:rPr>
      </w:pPr>
      <w:r>
        <w:rPr>
          <w:rFonts w:hint="eastAsia" w:ascii="宋体" w:hAnsi="宋体" w:cs="Arial"/>
          <w:kern w:val="0"/>
          <w:szCs w:val="21"/>
        </w:rPr>
        <w:t>基金管理人自基金合同生效之日起不超过3个月开始办理赎回，具体业务办理时间在赎回开始公告中规定。</w:t>
      </w:r>
    </w:p>
    <w:p w14:paraId="4036BA18">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szCs w:val="21"/>
        </w:rPr>
      </w:pPr>
      <w:r>
        <w:rPr>
          <w:rFonts w:hint="eastAsia" w:ascii="宋体" w:hAnsi="宋体" w:cs="Arial"/>
          <w:kern w:val="0"/>
          <w:szCs w:val="21"/>
        </w:rPr>
        <w:t>在确定申购开始与赎回开始时间后，基金管理人应在申购、赎回开放日前依照《信息披露办法》的有关规定在规定媒介上公告申购与赎回的开始时间。</w:t>
      </w:r>
    </w:p>
    <w:p w14:paraId="46928074">
      <w:pPr>
        <w:tabs>
          <w:tab w:val="left" w:pos="3780"/>
        </w:tabs>
        <w:autoSpaceDE w:val="0"/>
        <w:autoSpaceDN w:val="0"/>
        <w:adjustRightInd w:val="0"/>
        <w:snapToGrid w:val="0"/>
        <w:spacing w:line="360" w:lineRule="auto"/>
        <w:ind w:firstLine="422" w:firstLineChars="200"/>
        <w:textAlignment w:val="bottom"/>
        <w:rPr>
          <w:rFonts w:hint="eastAsia" w:ascii="宋体" w:hAnsi="宋体" w:cs="Arial"/>
          <w:b/>
          <w:bCs/>
          <w:szCs w:val="21"/>
        </w:rPr>
      </w:pPr>
      <w:r>
        <w:rPr>
          <w:rFonts w:ascii="宋体" w:hAnsi="宋体" w:cs="Arial"/>
          <w:b/>
          <w:bCs/>
          <w:szCs w:val="21"/>
        </w:rPr>
        <w:t>三</w:t>
      </w:r>
      <w:r>
        <w:rPr>
          <w:rFonts w:hint="eastAsia" w:ascii="宋体" w:hAnsi="宋体" w:cs="Arial"/>
          <w:b/>
          <w:bCs/>
          <w:szCs w:val="21"/>
        </w:rPr>
        <w:t>、</w:t>
      </w:r>
      <w:r>
        <w:rPr>
          <w:rFonts w:ascii="宋体" w:hAnsi="宋体" w:cs="Arial"/>
          <w:b/>
          <w:bCs/>
          <w:szCs w:val="21"/>
        </w:rPr>
        <w:t>申购与赎回的原则</w:t>
      </w:r>
    </w:p>
    <w:p w14:paraId="503CB792">
      <w:pPr>
        <w:tabs>
          <w:tab w:val="left" w:pos="3780"/>
        </w:tabs>
        <w:autoSpaceDE w:val="0"/>
        <w:autoSpaceDN w:val="0"/>
        <w:adjustRightInd w:val="0"/>
        <w:snapToGrid w:val="0"/>
        <w:spacing w:line="360" w:lineRule="auto"/>
        <w:ind w:firstLine="420" w:firstLineChars="200"/>
        <w:textAlignment w:val="bottom"/>
        <w:rPr>
          <w:rFonts w:hint="eastAsia" w:ascii="宋体" w:hAnsi="宋体"/>
          <w:color w:val="0C0C0C"/>
          <w:kern w:val="0"/>
          <w:szCs w:val="21"/>
        </w:rPr>
      </w:pPr>
      <w:r>
        <w:rPr>
          <w:rFonts w:hint="eastAsia" w:ascii="宋体" w:hAnsi="宋体"/>
          <w:color w:val="0C0C0C"/>
          <w:kern w:val="0"/>
          <w:szCs w:val="21"/>
        </w:rPr>
        <w:t>1、“份额申购、份额赎回”原则，即申购、赎回均以份额申请；</w:t>
      </w:r>
    </w:p>
    <w:p w14:paraId="4A69CC1B">
      <w:pPr>
        <w:tabs>
          <w:tab w:val="left" w:pos="3780"/>
        </w:tabs>
        <w:autoSpaceDE w:val="0"/>
        <w:autoSpaceDN w:val="0"/>
        <w:adjustRightInd w:val="0"/>
        <w:snapToGrid w:val="0"/>
        <w:spacing w:line="360" w:lineRule="auto"/>
        <w:ind w:firstLine="420" w:firstLineChars="200"/>
        <w:textAlignment w:val="bottom"/>
        <w:rPr>
          <w:rFonts w:hint="eastAsia" w:ascii="宋体" w:hAnsi="宋体"/>
          <w:color w:val="0C0C0C"/>
          <w:kern w:val="0"/>
          <w:szCs w:val="21"/>
        </w:rPr>
      </w:pPr>
      <w:r>
        <w:rPr>
          <w:rFonts w:hint="eastAsia" w:ascii="宋体" w:hAnsi="宋体"/>
          <w:color w:val="0C0C0C"/>
          <w:kern w:val="0"/>
          <w:szCs w:val="21"/>
        </w:rPr>
        <w:t>2、本基金的申购对价、赎回对价包括组合证券、现金替代、现金差额和/或其他对价；</w:t>
      </w:r>
    </w:p>
    <w:p w14:paraId="1AD004C3">
      <w:pPr>
        <w:tabs>
          <w:tab w:val="left" w:pos="3780"/>
        </w:tabs>
        <w:autoSpaceDE w:val="0"/>
        <w:autoSpaceDN w:val="0"/>
        <w:adjustRightInd w:val="0"/>
        <w:snapToGrid w:val="0"/>
        <w:spacing w:line="360" w:lineRule="auto"/>
        <w:ind w:firstLine="420" w:firstLineChars="200"/>
        <w:textAlignment w:val="bottom"/>
        <w:rPr>
          <w:rFonts w:hint="eastAsia" w:ascii="宋体" w:hAnsi="宋体"/>
          <w:color w:val="0C0C0C"/>
          <w:kern w:val="0"/>
          <w:szCs w:val="21"/>
        </w:rPr>
      </w:pPr>
      <w:r>
        <w:rPr>
          <w:rFonts w:hint="eastAsia" w:ascii="宋体" w:hAnsi="宋体"/>
          <w:color w:val="0C0C0C"/>
          <w:kern w:val="0"/>
          <w:szCs w:val="21"/>
        </w:rPr>
        <w:t>3、申购、赎回申请提交后不得撤销；</w:t>
      </w:r>
    </w:p>
    <w:p w14:paraId="4F9C0788">
      <w:pPr>
        <w:tabs>
          <w:tab w:val="left" w:pos="3780"/>
        </w:tabs>
        <w:autoSpaceDE w:val="0"/>
        <w:autoSpaceDN w:val="0"/>
        <w:adjustRightInd w:val="0"/>
        <w:snapToGrid w:val="0"/>
        <w:spacing w:line="360" w:lineRule="auto"/>
        <w:ind w:firstLine="420" w:firstLineChars="200"/>
        <w:textAlignment w:val="bottom"/>
        <w:rPr>
          <w:rFonts w:hint="eastAsia" w:ascii="宋体" w:hAnsi="宋体"/>
          <w:color w:val="0C0C0C"/>
          <w:kern w:val="0"/>
          <w:szCs w:val="21"/>
        </w:rPr>
      </w:pPr>
      <w:r>
        <w:rPr>
          <w:rFonts w:hint="eastAsia" w:ascii="宋体" w:hAnsi="宋体"/>
          <w:color w:val="0C0C0C"/>
          <w:kern w:val="0"/>
          <w:szCs w:val="21"/>
        </w:rPr>
        <w:t>4、申购、赎回应遵守业务规则及其他相关规定；</w:t>
      </w:r>
    </w:p>
    <w:p w14:paraId="20F92576">
      <w:pPr>
        <w:tabs>
          <w:tab w:val="left" w:pos="3780"/>
        </w:tabs>
        <w:autoSpaceDE w:val="0"/>
        <w:autoSpaceDN w:val="0"/>
        <w:adjustRightInd w:val="0"/>
        <w:snapToGrid w:val="0"/>
        <w:spacing w:line="360" w:lineRule="auto"/>
        <w:ind w:firstLine="420" w:firstLineChars="200"/>
        <w:textAlignment w:val="bottom"/>
        <w:rPr>
          <w:rFonts w:hint="eastAsia" w:ascii="宋体" w:hAnsi="宋体"/>
          <w:color w:val="0C0C0C"/>
          <w:kern w:val="0"/>
          <w:szCs w:val="21"/>
        </w:rPr>
      </w:pPr>
      <w:r>
        <w:rPr>
          <w:rFonts w:hint="eastAsia" w:ascii="宋体" w:hAnsi="宋体"/>
          <w:color w:val="0C0C0C"/>
          <w:kern w:val="0"/>
          <w:szCs w:val="21"/>
        </w:rPr>
        <w:t>5、办理申购、赎回业务时，应当遵循基金份额持有人利益优先原则，确保投资者的合法权益不受损害并得到公平对待。</w:t>
      </w:r>
    </w:p>
    <w:p w14:paraId="32728A7A">
      <w:pPr>
        <w:tabs>
          <w:tab w:val="left" w:pos="3780"/>
        </w:tabs>
        <w:autoSpaceDE w:val="0"/>
        <w:autoSpaceDN w:val="0"/>
        <w:adjustRightInd w:val="0"/>
        <w:snapToGrid w:val="0"/>
        <w:spacing w:line="360" w:lineRule="auto"/>
        <w:ind w:firstLine="420" w:firstLineChars="200"/>
        <w:textAlignment w:val="bottom"/>
        <w:rPr>
          <w:rFonts w:hint="eastAsia" w:ascii="宋体" w:hAnsi="宋体"/>
          <w:color w:val="0C0C0C"/>
          <w:kern w:val="0"/>
          <w:szCs w:val="21"/>
        </w:rPr>
      </w:pPr>
      <w:r>
        <w:rPr>
          <w:rFonts w:hint="eastAsia" w:ascii="宋体" w:hAnsi="宋体"/>
          <w:color w:val="0C0C0C"/>
          <w:kern w:val="0"/>
          <w:szCs w:val="21"/>
        </w:rPr>
        <w:t>基金管理人可在不违反法律法规规定的情况下，对上述原则进行调整。基金管理人必须在新原则开始实施前依照《信息披露办法》的有关规定在规定媒介上公告。</w:t>
      </w:r>
    </w:p>
    <w:p w14:paraId="146E676E">
      <w:pPr>
        <w:tabs>
          <w:tab w:val="left" w:pos="3780"/>
        </w:tabs>
        <w:autoSpaceDE w:val="0"/>
        <w:autoSpaceDN w:val="0"/>
        <w:adjustRightInd w:val="0"/>
        <w:snapToGrid w:val="0"/>
        <w:spacing w:line="360" w:lineRule="auto"/>
        <w:ind w:firstLine="422" w:firstLineChars="200"/>
        <w:textAlignment w:val="bottom"/>
        <w:rPr>
          <w:rFonts w:hint="eastAsia" w:ascii="宋体" w:hAnsi="宋体" w:cs="Arial"/>
          <w:b/>
          <w:bCs/>
          <w:szCs w:val="21"/>
        </w:rPr>
      </w:pPr>
      <w:r>
        <w:rPr>
          <w:rFonts w:ascii="宋体" w:hAnsi="宋体" w:cs="Arial"/>
          <w:b/>
          <w:bCs/>
          <w:szCs w:val="21"/>
        </w:rPr>
        <w:t>四</w:t>
      </w:r>
      <w:r>
        <w:rPr>
          <w:rFonts w:hint="eastAsia" w:ascii="宋体" w:hAnsi="宋体" w:cs="Arial"/>
          <w:b/>
          <w:bCs/>
          <w:szCs w:val="21"/>
        </w:rPr>
        <w:t>、</w:t>
      </w:r>
      <w:r>
        <w:rPr>
          <w:rFonts w:ascii="宋体" w:hAnsi="宋体" w:cs="Arial"/>
          <w:b/>
          <w:bCs/>
          <w:szCs w:val="21"/>
        </w:rPr>
        <w:t>申购与赎回的程序</w:t>
      </w:r>
    </w:p>
    <w:p w14:paraId="71262DE7">
      <w:pPr>
        <w:adjustRightInd w:val="0"/>
        <w:snapToGrid w:val="0"/>
        <w:spacing w:line="360" w:lineRule="auto"/>
        <w:ind w:firstLine="420" w:firstLineChars="200"/>
        <w:rPr>
          <w:rFonts w:hint="eastAsia" w:ascii="宋体" w:hAnsi="宋体"/>
          <w:color w:val="0C0C0C"/>
          <w:kern w:val="0"/>
          <w:szCs w:val="21"/>
        </w:rPr>
      </w:pPr>
      <w:r>
        <w:rPr>
          <w:rFonts w:hint="eastAsia" w:ascii="宋体" w:hAnsi="宋体"/>
          <w:color w:val="0C0C0C"/>
          <w:kern w:val="0"/>
          <w:szCs w:val="21"/>
        </w:rPr>
        <w:t>本基金按照深圳证券交易所及中国证券登记结算有限责任公司的相关规定进行申购、赎回，具体业务的办理时间请参见相关公告。本基金支持通过深圳证券交易所进行申购、赎回，本基金办理相关业务的时间及规定请参见相关公告。</w:t>
      </w:r>
    </w:p>
    <w:p w14:paraId="16636511">
      <w:pPr>
        <w:adjustRightInd w:val="0"/>
        <w:snapToGrid w:val="0"/>
        <w:spacing w:line="360" w:lineRule="auto"/>
        <w:ind w:firstLine="420" w:firstLineChars="200"/>
        <w:rPr>
          <w:rFonts w:hint="eastAsia" w:ascii="宋体" w:hAnsi="宋体"/>
          <w:color w:val="0C0C0C"/>
          <w:kern w:val="0"/>
          <w:szCs w:val="21"/>
        </w:rPr>
      </w:pPr>
      <w:r>
        <w:rPr>
          <w:rFonts w:hint="eastAsia" w:ascii="宋体" w:hAnsi="宋体"/>
          <w:color w:val="0C0C0C"/>
          <w:kern w:val="0"/>
          <w:szCs w:val="21"/>
        </w:rPr>
        <w:t>1、申购和赎回的申请方式</w:t>
      </w:r>
    </w:p>
    <w:p w14:paraId="3F8F4CDB">
      <w:pPr>
        <w:adjustRightInd w:val="0"/>
        <w:snapToGrid w:val="0"/>
        <w:spacing w:line="360" w:lineRule="auto"/>
        <w:ind w:firstLine="420" w:firstLineChars="200"/>
        <w:rPr>
          <w:rFonts w:hint="eastAsia" w:ascii="宋体" w:hAnsi="宋体"/>
          <w:color w:val="0C0C0C"/>
          <w:kern w:val="0"/>
          <w:szCs w:val="21"/>
        </w:rPr>
      </w:pPr>
      <w:r>
        <w:rPr>
          <w:rFonts w:hint="eastAsia" w:ascii="宋体" w:hAnsi="宋体"/>
          <w:color w:val="0C0C0C"/>
          <w:kern w:val="0"/>
          <w:szCs w:val="21"/>
        </w:rPr>
        <w:t>投资人必须根据申购、赎回代理券商或基金管理人规定的程序，在开放日的具体业务办理时间内提出申购或赎回的申请。</w:t>
      </w:r>
    </w:p>
    <w:p w14:paraId="3A557EAD">
      <w:pPr>
        <w:adjustRightInd w:val="0"/>
        <w:snapToGrid w:val="0"/>
        <w:spacing w:line="360" w:lineRule="auto"/>
        <w:ind w:firstLine="420" w:firstLineChars="200"/>
        <w:rPr>
          <w:rFonts w:hint="eastAsia" w:ascii="宋体" w:hAnsi="宋体"/>
          <w:color w:val="0C0C0C"/>
          <w:kern w:val="0"/>
          <w:szCs w:val="21"/>
        </w:rPr>
      </w:pPr>
      <w:r>
        <w:rPr>
          <w:rFonts w:hint="eastAsia" w:ascii="宋体" w:hAnsi="宋体"/>
          <w:color w:val="0C0C0C"/>
          <w:kern w:val="0"/>
          <w:szCs w:val="21"/>
        </w:rPr>
        <w:t>投资人交付申购对价，申购成立；登记机构确认申请时，申购生效。投资人在提交赎回申请时有足够的基金份额余额和现金，则赎回申请成立，登记机构确认赎回时，赎回生效。投资人在提交申购申请时须按申购赎回清单的规定备足申购对价，投资人在提交赎回申请时须持有足够的基金份额余额和现金，否则所提交的申购、赎回申请不成立。</w:t>
      </w:r>
    </w:p>
    <w:p w14:paraId="7AF4B8B6">
      <w:pPr>
        <w:adjustRightInd w:val="0"/>
        <w:snapToGrid w:val="0"/>
        <w:spacing w:line="360" w:lineRule="auto"/>
        <w:ind w:firstLine="420" w:firstLineChars="200"/>
        <w:rPr>
          <w:rFonts w:hint="eastAsia" w:ascii="宋体" w:hAnsi="宋体"/>
          <w:color w:val="0C0C0C"/>
          <w:kern w:val="0"/>
          <w:szCs w:val="21"/>
        </w:rPr>
      </w:pPr>
      <w:r>
        <w:rPr>
          <w:rFonts w:hint="eastAsia" w:ascii="宋体" w:hAnsi="宋体"/>
          <w:color w:val="0C0C0C"/>
          <w:kern w:val="0"/>
          <w:szCs w:val="21"/>
        </w:rPr>
        <w:t>2、申购和赎回申请的确认</w:t>
      </w:r>
    </w:p>
    <w:p w14:paraId="4D1833D7">
      <w:pPr>
        <w:adjustRightInd w:val="0"/>
        <w:snapToGrid w:val="0"/>
        <w:spacing w:line="360" w:lineRule="auto"/>
        <w:ind w:firstLine="420" w:firstLineChars="200"/>
        <w:rPr>
          <w:rFonts w:hint="eastAsia" w:ascii="宋体" w:hAnsi="宋体"/>
          <w:color w:val="0C0C0C"/>
          <w:kern w:val="0"/>
          <w:szCs w:val="21"/>
        </w:rPr>
      </w:pPr>
      <w:r>
        <w:rPr>
          <w:rFonts w:hint="eastAsia" w:ascii="宋体" w:hAnsi="宋体"/>
          <w:color w:val="0C0C0C"/>
          <w:kern w:val="0"/>
          <w:szCs w:val="21"/>
        </w:rPr>
        <w:t>基金投资人申购、赎回申请在受理当日进行确认。如投资人未能提供符合要求的申购对价，则申购申请不成立。如投资人持有的符合要求的基金份额不足或未能根据要求准备足额的现金，或本基金投资组合内不具备足额的符合要求的赎回对价，或投资人提交的赎回申请超过基金管理人设定的当日净赎回份额上限、当日累计赎回份额上限、单个账户当日净赎回份额上限或单个账户当日累计赎回份额上限，则赎回申请不成立。</w:t>
      </w:r>
    </w:p>
    <w:p w14:paraId="6D26BAA9">
      <w:pPr>
        <w:adjustRightInd w:val="0"/>
        <w:snapToGrid w:val="0"/>
        <w:spacing w:line="360" w:lineRule="auto"/>
        <w:ind w:firstLine="420" w:firstLineChars="200"/>
        <w:rPr>
          <w:rFonts w:hint="eastAsia" w:ascii="宋体" w:hAnsi="宋体"/>
          <w:color w:val="0C0C0C"/>
          <w:kern w:val="0"/>
          <w:szCs w:val="21"/>
        </w:rPr>
      </w:pPr>
      <w:r>
        <w:rPr>
          <w:rFonts w:hint="eastAsia" w:ascii="宋体" w:hAnsi="宋体"/>
          <w:color w:val="0C0C0C"/>
          <w:kern w:val="0"/>
          <w:szCs w:val="21"/>
        </w:rPr>
        <w:t>申购、赎回代理券商对申购、赎回申请的受理并不代表该申请一定成功，而仅代表申购、赎回代理券商确实接收到该申请。申购、赎回的确认以登记机构的确认结果为准。对于申购、赎回申请的确认情况，投资人应及时查询并妥善行使合法权利。</w:t>
      </w:r>
    </w:p>
    <w:p w14:paraId="0B9A50CA">
      <w:pPr>
        <w:adjustRightInd w:val="0"/>
        <w:snapToGrid w:val="0"/>
        <w:spacing w:line="360" w:lineRule="auto"/>
        <w:ind w:firstLine="420" w:firstLineChars="200"/>
        <w:rPr>
          <w:rFonts w:hint="eastAsia" w:ascii="宋体" w:hAnsi="宋体"/>
          <w:color w:val="0C0C0C"/>
          <w:kern w:val="0"/>
          <w:szCs w:val="21"/>
        </w:rPr>
      </w:pPr>
      <w:r>
        <w:rPr>
          <w:rFonts w:hint="eastAsia" w:ascii="宋体" w:hAnsi="宋体"/>
          <w:color w:val="0C0C0C"/>
          <w:kern w:val="0"/>
          <w:szCs w:val="21"/>
        </w:rPr>
        <w:t>在目前规则下，基金投资人申购的基金份额当日可竞价卖出，次一交易日可赎回；投资人赎回获得的股票当日可竞价卖出，次一交易日可以用于申购ETF份额。基金投资人申购的基金份额和赎回获得的股票次一交易日可通过大宗交易卖出。</w:t>
      </w:r>
    </w:p>
    <w:p w14:paraId="31393D9F">
      <w:pPr>
        <w:adjustRightInd w:val="0"/>
        <w:snapToGrid w:val="0"/>
        <w:spacing w:line="360" w:lineRule="auto"/>
        <w:ind w:firstLine="420" w:firstLineChars="200"/>
        <w:rPr>
          <w:rFonts w:hint="eastAsia" w:ascii="宋体" w:hAnsi="宋体"/>
          <w:color w:val="0C0C0C"/>
          <w:kern w:val="0"/>
          <w:szCs w:val="21"/>
        </w:rPr>
      </w:pPr>
      <w:r>
        <w:rPr>
          <w:rFonts w:hint="eastAsia" w:ascii="宋体" w:hAnsi="宋体"/>
          <w:color w:val="0C0C0C"/>
          <w:kern w:val="0"/>
          <w:szCs w:val="21"/>
        </w:rPr>
        <w:t>本基金获批后，若深圳证券交易所和中国证券登记结算有限责任公司针对交易型开放式指数证券投资基金推出新的清算交收与登记模式并引入新的申购、赎回方式，在履行适当程序后，本基金管理人将根据新的业务规则新增或调整申购和赎回申请的确认方式，届时将发布公告予以披露并对本基金的招募说明书予以更新，无</w:t>
      </w:r>
      <w:r>
        <w:rPr>
          <w:rFonts w:ascii="宋体" w:hAnsi="宋体"/>
          <w:color w:val="0C0C0C"/>
          <w:kern w:val="0"/>
          <w:szCs w:val="21"/>
        </w:rPr>
        <w:t>需</w:t>
      </w:r>
      <w:r>
        <w:rPr>
          <w:rFonts w:hint="eastAsia" w:ascii="宋体" w:hAnsi="宋体"/>
          <w:color w:val="0C0C0C"/>
          <w:kern w:val="0"/>
          <w:szCs w:val="21"/>
        </w:rPr>
        <w:t>召开基金份额持有人大会审议。</w:t>
      </w:r>
    </w:p>
    <w:p w14:paraId="37FFF234">
      <w:pPr>
        <w:adjustRightInd w:val="0"/>
        <w:snapToGrid w:val="0"/>
        <w:spacing w:line="360" w:lineRule="auto"/>
        <w:ind w:firstLine="420" w:firstLineChars="200"/>
        <w:rPr>
          <w:rFonts w:hint="eastAsia" w:ascii="宋体" w:hAnsi="宋体"/>
          <w:color w:val="0C0C0C"/>
          <w:kern w:val="0"/>
          <w:szCs w:val="21"/>
        </w:rPr>
      </w:pPr>
      <w:r>
        <w:rPr>
          <w:rFonts w:hint="eastAsia" w:ascii="宋体" w:hAnsi="宋体"/>
          <w:color w:val="0C0C0C"/>
          <w:kern w:val="0"/>
          <w:szCs w:val="21"/>
        </w:rPr>
        <w:t>3、申购和赎回的清算交收与登记</w:t>
      </w:r>
    </w:p>
    <w:p w14:paraId="41E97D41">
      <w:pPr>
        <w:adjustRightInd w:val="0"/>
        <w:snapToGrid w:val="0"/>
        <w:spacing w:line="360" w:lineRule="auto"/>
        <w:ind w:firstLine="420" w:firstLineChars="200"/>
        <w:rPr>
          <w:rFonts w:hint="eastAsia" w:ascii="宋体" w:hAnsi="宋体"/>
          <w:color w:val="0C0C0C"/>
          <w:kern w:val="0"/>
          <w:szCs w:val="21"/>
        </w:rPr>
      </w:pPr>
      <w:r>
        <w:rPr>
          <w:rFonts w:hint="eastAsia" w:ascii="宋体" w:hAnsi="宋体"/>
          <w:color w:val="0C0C0C"/>
          <w:kern w:val="0"/>
          <w:szCs w:val="21"/>
        </w:rPr>
        <w:t>投资人T日申购、赎回成功后，登记结算机构在T日收市后为投资人办理基金份额与组合证券的清算交收以及现金替代等的清算，在T+2日内办理现金替代的交收以及现金差额的清算交收；并将结果发送给申购赎回代理券商、基金管理人和基金托管人。</w:t>
      </w:r>
    </w:p>
    <w:p w14:paraId="54C782D4">
      <w:pPr>
        <w:adjustRightInd w:val="0"/>
        <w:snapToGrid w:val="0"/>
        <w:spacing w:line="360" w:lineRule="auto"/>
        <w:ind w:firstLine="420" w:firstLineChars="200"/>
        <w:rPr>
          <w:rFonts w:hint="eastAsia" w:ascii="宋体" w:hAnsi="宋体"/>
          <w:color w:val="0C0C0C"/>
          <w:kern w:val="0"/>
          <w:szCs w:val="21"/>
        </w:rPr>
      </w:pPr>
      <w:r>
        <w:rPr>
          <w:rFonts w:hint="eastAsia" w:ascii="宋体" w:hAnsi="宋体"/>
          <w:color w:val="0C0C0C"/>
          <w:kern w:val="0"/>
          <w:szCs w:val="21"/>
        </w:rPr>
        <w:t>如果登记机构、基金管理人、申购赎回代理券商之间在清算交收时发现不能正常履约的情形，则依据相关业务规则的有关规定和其他相关约定进行处理。如相关业务规则发生变化，则按最新规定办理。</w:t>
      </w:r>
    </w:p>
    <w:p w14:paraId="6AEA811F">
      <w:pPr>
        <w:adjustRightInd w:val="0"/>
        <w:snapToGrid w:val="0"/>
        <w:spacing w:line="360" w:lineRule="auto"/>
        <w:ind w:firstLine="420" w:firstLineChars="200"/>
        <w:rPr>
          <w:rFonts w:hint="eastAsia" w:ascii="宋体" w:hAnsi="宋体"/>
          <w:color w:val="0C0C0C"/>
          <w:kern w:val="0"/>
          <w:szCs w:val="21"/>
        </w:rPr>
      </w:pPr>
      <w:r>
        <w:rPr>
          <w:rFonts w:hint="eastAsia" w:ascii="宋体" w:hAnsi="宋体"/>
          <w:color w:val="0C0C0C"/>
          <w:kern w:val="0"/>
          <w:szCs w:val="21"/>
        </w:rPr>
        <w:t>投资者应按照基金合同的约定和申购、赎回代理券商的规定按时足额支付应付的现金差额和现金替代补款。因投资者原因导致现金差额或现金替代补款未能按时足额交收的，基金管理人有权为基金的利益向该投资者追偿，并要求其承担由此导致的其他基金份额持有人或基金资产的损失。</w:t>
      </w:r>
    </w:p>
    <w:p w14:paraId="2F886F3C">
      <w:pPr>
        <w:adjustRightInd w:val="0"/>
        <w:snapToGrid w:val="0"/>
        <w:spacing w:line="360" w:lineRule="auto"/>
        <w:ind w:firstLine="420" w:firstLineChars="200"/>
        <w:rPr>
          <w:rFonts w:hint="eastAsia" w:ascii="宋体" w:hAnsi="宋体"/>
          <w:color w:val="0C0C0C"/>
          <w:kern w:val="0"/>
          <w:szCs w:val="21"/>
        </w:rPr>
      </w:pPr>
      <w:r>
        <w:rPr>
          <w:rFonts w:hint="eastAsia" w:ascii="宋体" w:hAnsi="宋体"/>
          <w:color w:val="0C0C0C"/>
          <w:kern w:val="0"/>
          <w:szCs w:val="21"/>
        </w:rPr>
        <w:t>本基金获批后，若深圳证券交易所和中国证券登记结算有限责任公司针对交易型开放式指数证券投资基金推出新的清算交收与登记模式并引入新的申购、赎回方式，在履行适当程序后，本基金管理人有权调整本基金的清算交收与登记模式及申购、赎回方式，或新增本基金的清算交收与登记模式并引入新的申购、赎回方式，详见“十、基金清算交收与登记模式的调整或新增”。</w:t>
      </w:r>
    </w:p>
    <w:p w14:paraId="617B59FF">
      <w:pPr>
        <w:tabs>
          <w:tab w:val="left" w:pos="3780"/>
        </w:tabs>
        <w:autoSpaceDE w:val="0"/>
        <w:autoSpaceDN w:val="0"/>
        <w:adjustRightInd w:val="0"/>
        <w:snapToGrid w:val="0"/>
        <w:spacing w:line="360" w:lineRule="auto"/>
        <w:ind w:firstLine="422" w:firstLineChars="200"/>
        <w:textAlignment w:val="bottom"/>
        <w:rPr>
          <w:rFonts w:hint="eastAsia" w:ascii="宋体" w:hAnsi="宋体" w:cs="Arial"/>
          <w:b/>
          <w:bCs/>
          <w:szCs w:val="21"/>
        </w:rPr>
      </w:pPr>
      <w:r>
        <w:rPr>
          <w:rFonts w:hint="eastAsia" w:ascii="宋体" w:hAnsi="宋体" w:cs="Arial"/>
          <w:b/>
          <w:bCs/>
          <w:szCs w:val="21"/>
        </w:rPr>
        <w:t>五、</w:t>
      </w:r>
      <w:r>
        <w:rPr>
          <w:rFonts w:ascii="宋体" w:hAnsi="宋体" w:cs="Arial"/>
          <w:b/>
          <w:bCs/>
          <w:szCs w:val="21"/>
        </w:rPr>
        <w:t>申购与赎回的数额限制</w:t>
      </w:r>
    </w:p>
    <w:p w14:paraId="69B1E193">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szCs w:val="21"/>
        </w:rPr>
      </w:pPr>
      <w:r>
        <w:rPr>
          <w:rFonts w:hint="eastAsia" w:ascii="宋体" w:hAnsi="宋体" w:cs="Arial"/>
          <w:kern w:val="0"/>
          <w:szCs w:val="21"/>
        </w:rPr>
        <w:t>1、投资者申购、赎回的基金份额需为最小申购、赎回单位的整数倍。</w:t>
      </w:r>
    </w:p>
    <w:p w14:paraId="2E0F63FA">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szCs w:val="21"/>
        </w:rPr>
      </w:pPr>
      <w:r>
        <w:rPr>
          <w:rFonts w:hint="eastAsia" w:ascii="宋体" w:hAnsi="宋体" w:cs="Arial"/>
          <w:kern w:val="0"/>
          <w:szCs w:val="21"/>
        </w:rPr>
        <w:t>本基金的最小申购、赎回单位为100万份。基金管理人可根据基金运作情况、市场变化以及投资者需求等因素对基金的最小申购赎回单位进行调整，并在调整实施前依照《信息披露办法》的有关规定在规定媒介公告。</w:t>
      </w:r>
    </w:p>
    <w:p w14:paraId="414518D4">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szCs w:val="21"/>
        </w:rPr>
      </w:pPr>
      <w:r>
        <w:rPr>
          <w:rFonts w:hint="eastAsia" w:ascii="宋体" w:hAnsi="宋体" w:cs="Arial"/>
          <w:kern w:val="0"/>
          <w:szCs w:val="21"/>
        </w:rPr>
        <w:t>2、除非证券交易所另有规定，本基金场内申购赎回暂不设置当日申购、赎回份额上限、交易账户最低基金份额余额、单个投资人累计持有的基金份额上限。具体规定详见申购赎回清单。</w:t>
      </w:r>
    </w:p>
    <w:p w14:paraId="76F1655F">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szCs w:val="21"/>
        </w:rPr>
      </w:pPr>
      <w:r>
        <w:rPr>
          <w:rFonts w:hint="eastAsia" w:ascii="宋体" w:hAnsi="宋体" w:cs="Arial"/>
          <w:kern w:val="0"/>
          <w:szCs w:val="21"/>
        </w:rPr>
        <w:t>3、当接受申购申请对存量基金份额持有人利益构成潜在重大不利影响时，基金管理人应当采取设定单一投资者申购份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w:t>
      </w:r>
    </w:p>
    <w:p w14:paraId="2B7878F4">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szCs w:val="21"/>
        </w:rPr>
      </w:pPr>
      <w:r>
        <w:rPr>
          <w:rFonts w:hint="eastAsia" w:ascii="宋体" w:hAnsi="宋体" w:cs="Arial"/>
          <w:kern w:val="0"/>
          <w:szCs w:val="21"/>
        </w:rPr>
        <w:t>4、基金管理人可根据市场情况，在不违反法律法规规定的情况下，调整上述规定数量或比例等限制。基金管理人必须在调整实施前依照《信息披露办法》的有关规定在规定媒介上公告（其中当日可接受的总申购份额及当日可接受的总赎回份额上限基金管理人只需于前一交易日设定并在当日基金申购赎回清单上公布，而不必在规定媒介上公告也无需报中国证监会备案）。</w:t>
      </w:r>
    </w:p>
    <w:p w14:paraId="78937274">
      <w:pPr>
        <w:tabs>
          <w:tab w:val="left" w:pos="3780"/>
        </w:tabs>
        <w:autoSpaceDE w:val="0"/>
        <w:autoSpaceDN w:val="0"/>
        <w:adjustRightInd w:val="0"/>
        <w:snapToGrid w:val="0"/>
        <w:spacing w:line="360" w:lineRule="auto"/>
        <w:ind w:firstLine="422" w:firstLineChars="200"/>
        <w:textAlignment w:val="bottom"/>
        <w:rPr>
          <w:rFonts w:hint="eastAsia" w:ascii="宋体" w:hAnsi="宋体" w:cs="Arial"/>
          <w:b/>
          <w:bCs/>
          <w:szCs w:val="21"/>
        </w:rPr>
      </w:pPr>
      <w:r>
        <w:rPr>
          <w:rFonts w:hint="eastAsia" w:ascii="宋体" w:hAnsi="宋体" w:cs="Arial"/>
          <w:b/>
          <w:bCs/>
          <w:szCs w:val="21"/>
        </w:rPr>
        <w:t>六、</w:t>
      </w:r>
      <w:r>
        <w:rPr>
          <w:rFonts w:ascii="宋体" w:hAnsi="宋体" w:cs="Arial"/>
          <w:b/>
          <w:bCs/>
          <w:szCs w:val="21"/>
        </w:rPr>
        <w:t>申购与赎回的对价和费用</w:t>
      </w:r>
    </w:p>
    <w:p w14:paraId="13387397">
      <w:pPr>
        <w:adjustRightInd w:val="0"/>
        <w:snapToGrid w:val="0"/>
        <w:spacing w:line="360" w:lineRule="auto"/>
        <w:ind w:firstLine="420"/>
        <w:rPr>
          <w:rFonts w:hint="eastAsia" w:ascii="宋体" w:hAnsi="宋体" w:cs="Arial"/>
          <w:kern w:val="0"/>
          <w:szCs w:val="21"/>
        </w:rPr>
      </w:pPr>
      <w:r>
        <w:rPr>
          <w:rFonts w:hint="eastAsia" w:ascii="宋体" w:hAnsi="宋体" w:cs="Arial"/>
          <w:kern w:val="0"/>
          <w:szCs w:val="21"/>
        </w:rPr>
        <w:t>1、申购对价、赎回对价根据申购赎回清单和投资者申购、赎回的基金份额数额确定。申购对价是指投资人申购基金份额时应交付的组合证券、现金替代、现金差额和/或其他对</w:t>
      </w:r>
    </w:p>
    <w:p w14:paraId="36FA1EBA">
      <w:pPr>
        <w:bidi w:val="0"/>
        <w:jc w:val="left"/>
        <w:rPr>
          <w:rFonts w:hint="eastAsia"/>
        </w:rPr>
      </w:pPr>
      <w:r>
        <w:rPr>
          <w:rFonts w:hint="eastAsia"/>
        </w:rPr>
        <w:t>价。赎回对价是指投资人赎回基金份额时，基金管理人应交付给投资人的组合证券、现金替代、现金差额和/或其他对价。</w:t>
      </w:r>
    </w:p>
    <w:p w14:paraId="4BCAB1BB">
      <w:pPr>
        <w:adjustRightInd w:val="0"/>
        <w:snapToGrid w:val="0"/>
        <w:spacing w:line="360" w:lineRule="auto"/>
        <w:ind w:firstLine="420"/>
        <w:rPr>
          <w:rFonts w:hint="eastAsia" w:ascii="宋体" w:hAnsi="宋体" w:cs="Arial"/>
          <w:kern w:val="0"/>
          <w:szCs w:val="21"/>
        </w:rPr>
      </w:pPr>
      <w:r>
        <w:rPr>
          <w:rFonts w:hint="eastAsia" w:ascii="宋体" w:hAnsi="宋体" w:cs="Arial"/>
          <w:kern w:val="0"/>
          <w:szCs w:val="21"/>
        </w:rPr>
        <w:t>2、申购赎回清单由基金管理人编制。T日的申购、赎回清单在当日深圳证券交易所开市前公告。如遇特殊情况，可以适当延迟计算或公告。申购赎回清单的内容与格式详见下文“七、申购赎回清单的内容与格式”或相关公告。</w:t>
      </w:r>
    </w:p>
    <w:p w14:paraId="0F530996">
      <w:pPr>
        <w:adjustRightInd w:val="0"/>
        <w:snapToGrid w:val="0"/>
        <w:spacing w:line="360" w:lineRule="auto"/>
        <w:ind w:firstLine="420"/>
        <w:rPr>
          <w:rFonts w:hint="eastAsia" w:ascii="宋体" w:hAnsi="宋体" w:cs="Arial"/>
          <w:kern w:val="0"/>
          <w:szCs w:val="21"/>
        </w:rPr>
      </w:pPr>
      <w:r>
        <w:rPr>
          <w:rFonts w:hint="eastAsia" w:ascii="宋体" w:hAnsi="宋体" w:cs="Arial"/>
          <w:kern w:val="0"/>
          <w:szCs w:val="21"/>
        </w:rPr>
        <w:t>3、投资者在申购本基金时，申购赎回代理券商可按照不超过0.3%的标准收取佣金，投资者在赎回本基金份额时，申购赎回代理券商可按照不超过0.5%的标准收取佣金，其中包含证券交易所、登记机构等收取的相关费用。</w:t>
      </w:r>
    </w:p>
    <w:p w14:paraId="000C0CDC">
      <w:pPr>
        <w:adjustRightInd w:val="0"/>
        <w:snapToGrid w:val="0"/>
        <w:spacing w:line="360" w:lineRule="auto"/>
        <w:ind w:firstLine="420"/>
        <w:rPr>
          <w:rFonts w:hint="eastAsia" w:ascii="宋体" w:hAnsi="宋体" w:cs="Arial"/>
          <w:kern w:val="0"/>
          <w:szCs w:val="21"/>
        </w:rPr>
      </w:pPr>
      <w:r>
        <w:rPr>
          <w:rFonts w:hint="eastAsia" w:ascii="宋体" w:hAnsi="宋体" w:cs="Arial"/>
          <w:kern w:val="0"/>
          <w:szCs w:val="21"/>
        </w:rPr>
        <w:t>4、本基金份额净值的计算，保留到小数点后4位，小数点后第5位四舍五入，由此产生的收益或损失由基金财产承担。T日的基金份额净值在当天收市后计算，并按基金合同的约定公告。遇特殊情况，经履行适当程序，可以适当延迟计算或公告。</w:t>
      </w:r>
    </w:p>
    <w:p w14:paraId="306D93F0">
      <w:pPr>
        <w:adjustRightInd w:val="0"/>
        <w:snapToGrid w:val="0"/>
        <w:spacing w:line="360" w:lineRule="auto"/>
        <w:ind w:firstLine="420"/>
        <w:rPr>
          <w:rFonts w:hint="eastAsia" w:ascii="宋体" w:hAnsi="宋体" w:cs="Arial"/>
          <w:kern w:val="0"/>
          <w:szCs w:val="21"/>
        </w:rPr>
      </w:pPr>
      <w:r>
        <w:rPr>
          <w:rFonts w:hint="eastAsia" w:ascii="宋体" w:hAnsi="宋体" w:cs="Arial"/>
          <w:kern w:val="0"/>
          <w:szCs w:val="21"/>
        </w:rPr>
        <w:t>5、基金管理人可以在不违反相关法律法规的情况下对基金份额净值、申购赎回清单计算和公告时间进行调整并提前公告。</w:t>
      </w:r>
    </w:p>
    <w:p w14:paraId="560DD521">
      <w:pPr>
        <w:adjustRightInd w:val="0"/>
        <w:snapToGrid w:val="0"/>
        <w:spacing w:line="360" w:lineRule="auto"/>
        <w:ind w:firstLine="420"/>
        <w:rPr>
          <w:rFonts w:hint="eastAsia" w:ascii="宋体" w:hAnsi="宋体" w:cs="Arial"/>
          <w:b/>
          <w:kern w:val="0"/>
          <w:szCs w:val="21"/>
        </w:rPr>
      </w:pPr>
      <w:r>
        <w:rPr>
          <w:rFonts w:hint="eastAsia" w:ascii="宋体" w:hAnsi="宋体" w:cs="Arial"/>
          <w:b/>
          <w:kern w:val="0"/>
          <w:szCs w:val="21"/>
        </w:rPr>
        <w:t>七、</w:t>
      </w:r>
      <w:r>
        <w:rPr>
          <w:rFonts w:ascii="宋体" w:hAnsi="宋体" w:cs="Arial"/>
          <w:b/>
          <w:kern w:val="0"/>
          <w:szCs w:val="21"/>
        </w:rPr>
        <w:t>申购赎回清单的内容与格式</w:t>
      </w:r>
    </w:p>
    <w:p w14:paraId="51A0384A">
      <w:pPr>
        <w:pStyle w:val="37"/>
        <w:spacing w:before="0" w:beforeAutospacing="0" w:after="0" w:afterAutospacing="0" w:line="360" w:lineRule="auto"/>
        <w:ind w:firstLine="420"/>
        <w:rPr>
          <w:rFonts w:hint="eastAsia"/>
          <w:sz w:val="21"/>
          <w:szCs w:val="21"/>
        </w:rPr>
      </w:pPr>
      <w:r>
        <w:rPr>
          <w:rFonts w:hint="eastAsia"/>
          <w:sz w:val="21"/>
          <w:szCs w:val="21"/>
        </w:rPr>
        <w:t xml:space="preserve">1、申购赎回清单的内容 </w:t>
      </w:r>
    </w:p>
    <w:p w14:paraId="2AEDA700">
      <w:pPr>
        <w:pStyle w:val="37"/>
        <w:spacing w:before="0" w:beforeAutospacing="0" w:after="0" w:afterAutospacing="0" w:line="360" w:lineRule="auto"/>
        <w:ind w:firstLine="420"/>
        <w:rPr>
          <w:rFonts w:hint="eastAsia"/>
          <w:sz w:val="21"/>
          <w:szCs w:val="21"/>
        </w:rPr>
      </w:pPr>
      <w:r>
        <w:rPr>
          <w:rFonts w:hint="eastAsia"/>
          <w:sz w:val="21"/>
          <w:szCs w:val="21"/>
        </w:rPr>
        <w:t xml:space="preserve">T日申购赎回清单公告内容包括最小申购、赎回单位所对应的组合证券内各成份证券数据、现金替代、T日预估现金部分、T－1日的现金差额、基金份额净值及其他相关内容。 </w:t>
      </w:r>
    </w:p>
    <w:p w14:paraId="6E280A7B">
      <w:pPr>
        <w:pStyle w:val="37"/>
        <w:spacing w:before="0" w:beforeAutospacing="0" w:after="0" w:afterAutospacing="0" w:line="360" w:lineRule="auto"/>
        <w:ind w:firstLine="420"/>
        <w:rPr>
          <w:rFonts w:hint="eastAsia"/>
          <w:sz w:val="21"/>
          <w:szCs w:val="21"/>
        </w:rPr>
      </w:pPr>
      <w:r>
        <w:rPr>
          <w:rFonts w:hint="eastAsia"/>
          <w:sz w:val="21"/>
          <w:szCs w:val="21"/>
        </w:rPr>
        <w:t xml:space="preserve">2、组合证券相关内容 </w:t>
      </w:r>
    </w:p>
    <w:p w14:paraId="65031627">
      <w:pPr>
        <w:pStyle w:val="37"/>
        <w:spacing w:before="0" w:beforeAutospacing="0" w:after="0" w:afterAutospacing="0" w:line="360" w:lineRule="auto"/>
        <w:ind w:firstLine="420"/>
        <w:rPr>
          <w:rFonts w:hint="eastAsia"/>
          <w:sz w:val="21"/>
          <w:szCs w:val="21"/>
        </w:rPr>
      </w:pPr>
      <w:r>
        <w:rPr>
          <w:rFonts w:hint="eastAsia"/>
          <w:sz w:val="21"/>
          <w:szCs w:val="21"/>
        </w:rPr>
        <w:t xml:space="preserve">组合证券是指本基金标的指数所包含的全部或部分证券。申购赎回清单将公告最小申购赎回单位所对应的各成份证券名称、证券代码及数量。 </w:t>
      </w:r>
    </w:p>
    <w:p w14:paraId="2DC7C91C">
      <w:pPr>
        <w:pStyle w:val="37"/>
        <w:spacing w:before="0" w:beforeAutospacing="0" w:after="0" w:afterAutospacing="0" w:line="360" w:lineRule="auto"/>
        <w:ind w:firstLine="420"/>
        <w:rPr>
          <w:rFonts w:hint="eastAsia"/>
          <w:sz w:val="21"/>
          <w:szCs w:val="21"/>
        </w:rPr>
      </w:pPr>
      <w:r>
        <w:rPr>
          <w:rFonts w:hint="eastAsia"/>
          <w:sz w:val="21"/>
          <w:szCs w:val="21"/>
        </w:rPr>
        <w:t xml:space="preserve">3、现金替代相关内容 </w:t>
      </w:r>
    </w:p>
    <w:p w14:paraId="25CA7078">
      <w:pPr>
        <w:pStyle w:val="37"/>
        <w:spacing w:before="0" w:beforeAutospacing="0" w:after="0" w:afterAutospacing="0" w:line="360" w:lineRule="auto"/>
        <w:ind w:firstLine="420"/>
        <w:rPr>
          <w:rFonts w:hint="eastAsia"/>
          <w:sz w:val="21"/>
          <w:szCs w:val="21"/>
        </w:rPr>
      </w:pPr>
      <w:r>
        <w:rPr>
          <w:rFonts w:hint="eastAsia"/>
          <w:sz w:val="21"/>
          <w:szCs w:val="21"/>
        </w:rPr>
        <w:t xml:space="preserve">现金替代是指申购、赎回过程中，投资者按基金合同和招募说明书规定的原则，用于替代组合证券中全部或部分证券的一定数量的现金。 </w:t>
      </w:r>
    </w:p>
    <w:p w14:paraId="6EDFE3AA">
      <w:pPr>
        <w:pStyle w:val="37"/>
        <w:spacing w:before="0" w:beforeAutospacing="0" w:after="0" w:afterAutospacing="0" w:line="360" w:lineRule="auto"/>
        <w:ind w:firstLine="420"/>
        <w:rPr>
          <w:rFonts w:hint="eastAsia"/>
          <w:sz w:val="21"/>
          <w:szCs w:val="21"/>
        </w:rPr>
      </w:pPr>
      <w:r>
        <w:rPr>
          <w:rFonts w:hint="eastAsia"/>
          <w:sz w:val="21"/>
          <w:szCs w:val="21"/>
        </w:rPr>
        <w:t xml:space="preserve">（1）现金替代分为3种类型：禁止现金替代（标志为“禁止”）、可以现金替代（标志为“允许”）和必须现金替代（标志为“必须”）。 </w:t>
      </w:r>
    </w:p>
    <w:p w14:paraId="1B45DF19">
      <w:pPr>
        <w:pStyle w:val="37"/>
        <w:spacing w:before="0" w:beforeAutospacing="0" w:after="0" w:afterAutospacing="0" w:line="360" w:lineRule="auto"/>
        <w:ind w:firstLine="420"/>
        <w:rPr>
          <w:rFonts w:hint="eastAsia"/>
          <w:sz w:val="21"/>
          <w:szCs w:val="21"/>
        </w:rPr>
      </w:pPr>
      <w:r>
        <w:rPr>
          <w:rFonts w:hint="eastAsia"/>
          <w:sz w:val="21"/>
          <w:szCs w:val="21"/>
        </w:rPr>
        <w:t xml:space="preserve">禁止现金替代是指在申购、赎回基金份额时，该成份证券不允许使用现金作为替代。 </w:t>
      </w:r>
    </w:p>
    <w:p w14:paraId="5805A43F">
      <w:pPr>
        <w:pStyle w:val="37"/>
        <w:spacing w:before="0" w:beforeAutospacing="0" w:after="0" w:afterAutospacing="0" w:line="360" w:lineRule="auto"/>
        <w:ind w:firstLine="420"/>
        <w:rPr>
          <w:rFonts w:hint="eastAsia"/>
          <w:sz w:val="21"/>
          <w:szCs w:val="21"/>
        </w:rPr>
      </w:pPr>
      <w:r>
        <w:rPr>
          <w:rFonts w:hint="eastAsia"/>
          <w:sz w:val="21"/>
          <w:szCs w:val="21"/>
        </w:rPr>
        <w:t xml:space="preserve">可以现金替代是指在申购基金份额时，允许使用现金作为全部或部分该成份证券的替代，但在赎回基金份额时，该成份证券不允许使用现金作为替代。 </w:t>
      </w:r>
    </w:p>
    <w:p w14:paraId="1E28EE4D">
      <w:pPr>
        <w:pStyle w:val="37"/>
        <w:spacing w:before="0" w:beforeAutospacing="0" w:after="0" w:afterAutospacing="0" w:line="360" w:lineRule="auto"/>
        <w:ind w:firstLine="420"/>
        <w:rPr>
          <w:rFonts w:hint="eastAsia"/>
          <w:sz w:val="21"/>
          <w:szCs w:val="21"/>
        </w:rPr>
      </w:pPr>
      <w:r>
        <w:rPr>
          <w:rFonts w:hint="eastAsia"/>
          <w:sz w:val="21"/>
          <w:szCs w:val="21"/>
        </w:rPr>
        <w:t xml:space="preserve">必须现金替代是指在申购、赎回基金份额时，该成份证券必须使用现金作为替代。 </w:t>
      </w:r>
    </w:p>
    <w:p w14:paraId="587721EB">
      <w:pPr>
        <w:pStyle w:val="37"/>
        <w:spacing w:before="0" w:beforeAutospacing="0" w:after="0" w:afterAutospacing="0" w:line="360" w:lineRule="auto"/>
        <w:ind w:firstLine="420"/>
        <w:rPr>
          <w:rFonts w:hint="eastAsia"/>
          <w:sz w:val="21"/>
          <w:szCs w:val="21"/>
        </w:rPr>
      </w:pPr>
      <w:r>
        <w:rPr>
          <w:rFonts w:hint="eastAsia"/>
          <w:sz w:val="21"/>
          <w:szCs w:val="21"/>
        </w:rPr>
        <w:t xml:space="preserve">（2）可以现金替代 </w:t>
      </w:r>
    </w:p>
    <w:p w14:paraId="2AF6E0D2">
      <w:pPr>
        <w:pStyle w:val="37"/>
        <w:spacing w:before="0" w:beforeAutospacing="0" w:after="0" w:afterAutospacing="0" w:line="360" w:lineRule="auto"/>
        <w:ind w:firstLine="420"/>
        <w:rPr>
          <w:rFonts w:hint="eastAsia"/>
          <w:sz w:val="21"/>
          <w:szCs w:val="21"/>
        </w:rPr>
      </w:pPr>
      <w:r>
        <w:rPr>
          <w:rFonts w:hint="eastAsia"/>
          <w:sz w:val="21"/>
          <w:szCs w:val="21"/>
        </w:rPr>
        <w:t xml:space="preserve">1）适用情形：出于证券停牌等原因导致投资人无法在申购时买入证券或基金管理人认为可以适用的其他情形。 </w:t>
      </w:r>
    </w:p>
    <w:p w14:paraId="4206CA2A">
      <w:pPr>
        <w:pStyle w:val="37"/>
        <w:spacing w:before="0" w:beforeAutospacing="0" w:after="0" w:afterAutospacing="0" w:line="360" w:lineRule="auto"/>
        <w:ind w:firstLine="420"/>
        <w:rPr>
          <w:rFonts w:hint="eastAsia"/>
          <w:sz w:val="21"/>
          <w:szCs w:val="21"/>
        </w:rPr>
      </w:pPr>
      <w:r>
        <w:rPr>
          <w:rFonts w:hint="eastAsia"/>
          <w:sz w:val="21"/>
          <w:szCs w:val="21"/>
        </w:rPr>
        <w:t xml:space="preserve">2）替代金额：对于可以现金替代的证券，替代金额的计算公式为： </w:t>
      </w:r>
    </w:p>
    <w:p w14:paraId="6C363E0E">
      <w:pPr>
        <w:pStyle w:val="37"/>
        <w:spacing w:before="0" w:beforeAutospacing="0" w:after="0" w:afterAutospacing="0" w:line="360" w:lineRule="auto"/>
        <w:ind w:firstLine="420"/>
        <w:rPr>
          <w:rFonts w:hint="eastAsia"/>
          <w:sz w:val="21"/>
          <w:szCs w:val="21"/>
        </w:rPr>
      </w:pPr>
      <w:r>
        <w:rPr>
          <w:rFonts w:hint="eastAsia"/>
          <w:sz w:val="21"/>
          <w:szCs w:val="21"/>
        </w:rPr>
        <w:t xml:space="preserve">替代金额＝替代证券数量×该证券参考价格×（1＋现金替代溢价比例） </w:t>
      </w:r>
    </w:p>
    <w:p w14:paraId="547E37E5">
      <w:pPr>
        <w:pStyle w:val="37"/>
        <w:spacing w:before="0" w:beforeAutospacing="0" w:after="0" w:afterAutospacing="0" w:line="360" w:lineRule="auto"/>
        <w:ind w:firstLine="420"/>
        <w:rPr>
          <w:rFonts w:hint="eastAsia"/>
          <w:sz w:val="21"/>
          <w:szCs w:val="21"/>
        </w:rPr>
      </w:pPr>
      <w:r>
        <w:rPr>
          <w:rFonts w:hint="eastAsia"/>
          <w:sz w:val="21"/>
          <w:szCs w:val="21"/>
        </w:rPr>
        <w:t xml:space="preserve">其中，“该证券参考价格”定义为该证券前一交易日除权除息后的收盘价。其确定的原则包括但不限于： </w:t>
      </w:r>
    </w:p>
    <w:p w14:paraId="03E93EB8">
      <w:pPr>
        <w:pStyle w:val="37"/>
        <w:spacing w:before="0" w:beforeAutospacing="0" w:after="0" w:afterAutospacing="0" w:line="360" w:lineRule="auto"/>
        <w:ind w:firstLine="420"/>
        <w:rPr>
          <w:rFonts w:hint="eastAsia"/>
          <w:sz w:val="21"/>
          <w:szCs w:val="21"/>
        </w:rPr>
      </w:pPr>
      <w:r>
        <w:rPr>
          <w:rFonts w:hint="eastAsia"/>
          <w:sz w:val="21"/>
          <w:szCs w:val="21"/>
        </w:rPr>
        <w:t xml:space="preserve">①该证券正常交易时，采用最新成交价。 </w:t>
      </w:r>
    </w:p>
    <w:p w14:paraId="2DD17B71">
      <w:pPr>
        <w:pStyle w:val="37"/>
        <w:spacing w:before="0" w:beforeAutospacing="0" w:after="0" w:afterAutospacing="0" w:line="360" w:lineRule="auto"/>
        <w:ind w:firstLine="420"/>
        <w:rPr>
          <w:rFonts w:hint="eastAsia"/>
          <w:sz w:val="21"/>
          <w:szCs w:val="21"/>
        </w:rPr>
      </w:pPr>
      <w:r>
        <w:rPr>
          <w:rFonts w:hint="eastAsia"/>
          <w:sz w:val="21"/>
          <w:szCs w:val="21"/>
        </w:rPr>
        <w:t xml:space="preserve">②该证券正常交易中出现涨停/跌停时，采用涨停/跌停价格。 </w:t>
      </w:r>
    </w:p>
    <w:p w14:paraId="4932838E">
      <w:pPr>
        <w:pStyle w:val="37"/>
        <w:spacing w:before="0" w:beforeAutospacing="0" w:after="0" w:afterAutospacing="0" w:line="360" w:lineRule="auto"/>
        <w:ind w:firstLine="420"/>
        <w:rPr>
          <w:rFonts w:hint="eastAsia"/>
          <w:sz w:val="21"/>
          <w:szCs w:val="21"/>
        </w:rPr>
      </w:pPr>
      <w:r>
        <w:rPr>
          <w:rFonts w:hint="eastAsia"/>
          <w:sz w:val="21"/>
          <w:szCs w:val="21"/>
        </w:rPr>
        <w:t xml:space="preserve">③该证券停牌且当日有成交时，采用最新成交价。 </w:t>
      </w:r>
    </w:p>
    <w:p w14:paraId="2536AAFB">
      <w:pPr>
        <w:pStyle w:val="37"/>
        <w:spacing w:before="0" w:beforeAutospacing="0" w:after="0" w:afterAutospacing="0" w:line="360" w:lineRule="auto"/>
        <w:ind w:firstLine="420"/>
        <w:rPr>
          <w:rFonts w:hint="eastAsia"/>
          <w:sz w:val="21"/>
          <w:szCs w:val="21"/>
        </w:rPr>
      </w:pPr>
      <w:r>
        <w:rPr>
          <w:rFonts w:hint="eastAsia"/>
          <w:sz w:val="21"/>
          <w:szCs w:val="21"/>
        </w:rPr>
        <w:t xml:space="preserve">④该证券停牌且当日无成交时，采用前收盘价（考虑当日的除权除息等因素）。 </w:t>
      </w:r>
    </w:p>
    <w:p w14:paraId="48758282">
      <w:pPr>
        <w:pStyle w:val="37"/>
        <w:spacing w:before="0" w:beforeAutospacing="0" w:after="0" w:afterAutospacing="0" w:line="360" w:lineRule="auto"/>
        <w:ind w:firstLine="420"/>
        <w:rPr>
          <w:rFonts w:hint="eastAsia"/>
          <w:sz w:val="21"/>
          <w:szCs w:val="21"/>
        </w:rPr>
      </w:pPr>
      <w:r>
        <w:rPr>
          <w:rFonts w:hint="eastAsia"/>
          <w:sz w:val="21"/>
          <w:szCs w:val="21"/>
        </w:rPr>
        <w:t xml:space="preserve">如果深圳证券交易所参考价格确定原则发生变化，以深圳证券交易所通知规定的参考价格为准。 </w:t>
      </w:r>
    </w:p>
    <w:p w14:paraId="4B76A679">
      <w:pPr>
        <w:pStyle w:val="37"/>
        <w:spacing w:before="0" w:beforeAutospacing="0" w:after="0" w:afterAutospacing="0" w:line="360" w:lineRule="auto"/>
        <w:ind w:firstLine="420"/>
        <w:rPr>
          <w:rFonts w:hint="eastAsia"/>
          <w:sz w:val="21"/>
          <w:szCs w:val="21"/>
        </w:rPr>
      </w:pPr>
      <w:r>
        <w:rPr>
          <w:rFonts w:hint="eastAsia"/>
          <w:sz w:val="21"/>
          <w:szCs w:val="21"/>
        </w:rPr>
        <w:t xml:space="preserve">收取现金替代溢价的原因是，对于使用现金替代的证券，基金管理人需在该部分证券恢复交易后买入，而实际买入价格加上相关交易费用后与申购时的参考价格可能有所差异。为便于操作，基金管理人在申购赎回清单中预先确定现金替代溢价比例，并据此收取替代金额。如果预先收取的金额高于基金买入该部分证券的实际成本，则基金管理人将退还多收取的差额；如果预先收取的金额低于基金买入该部分证券的实际成本，则基金管理人将向投资人收取欠缺的差额。 </w:t>
      </w:r>
    </w:p>
    <w:p w14:paraId="7EFFDC6A">
      <w:pPr>
        <w:pStyle w:val="37"/>
        <w:spacing w:before="0" w:beforeAutospacing="0" w:after="0" w:afterAutospacing="0" w:line="360" w:lineRule="auto"/>
        <w:ind w:firstLine="420"/>
        <w:rPr>
          <w:rFonts w:hint="eastAsia"/>
          <w:sz w:val="21"/>
          <w:szCs w:val="21"/>
        </w:rPr>
      </w:pPr>
      <w:r>
        <w:rPr>
          <w:rFonts w:hint="eastAsia"/>
          <w:sz w:val="21"/>
          <w:szCs w:val="21"/>
        </w:rPr>
        <w:t xml:space="preserve">3）替代金额的处理程序如下： </w:t>
      </w:r>
    </w:p>
    <w:p w14:paraId="02323DE0">
      <w:pPr>
        <w:pStyle w:val="37"/>
        <w:spacing w:before="0" w:beforeAutospacing="0" w:after="0" w:afterAutospacing="0" w:line="360" w:lineRule="auto"/>
        <w:ind w:firstLine="420"/>
        <w:rPr>
          <w:rFonts w:hint="eastAsia"/>
          <w:sz w:val="21"/>
          <w:szCs w:val="21"/>
        </w:rPr>
      </w:pPr>
      <w:r>
        <w:rPr>
          <w:rFonts w:hint="eastAsia"/>
          <w:sz w:val="21"/>
          <w:szCs w:val="21"/>
        </w:rPr>
        <w:t xml:space="preserve">T日，基金管理人在申购赎回清单中公布现金替代溢价比例，并据此收取替代金额。 </w:t>
      </w:r>
    </w:p>
    <w:p w14:paraId="3CD7808C">
      <w:pPr>
        <w:pStyle w:val="37"/>
        <w:spacing w:before="0" w:beforeAutospacing="0" w:after="0" w:afterAutospacing="0" w:line="360" w:lineRule="auto"/>
        <w:ind w:firstLine="420"/>
        <w:rPr>
          <w:rFonts w:hint="eastAsia"/>
          <w:sz w:val="21"/>
          <w:szCs w:val="21"/>
        </w:rPr>
      </w:pPr>
      <w:r>
        <w:rPr>
          <w:rFonts w:hint="eastAsia"/>
          <w:sz w:val="21"/>
          <w:szCs w:val="21"/>
        </w:rPr>
        <w:t xml:space="preserve">在T日后被替代的部分证券有正常交易的2个交易日（即T＋2日）内，基金管理人将以收到的替代金额买入被替代的部分证券。 </w:t>
      </w:r>
    </w:p>
    <w:p w14:paraId="0BA21042">
      <w:pPr>
        <w:pStyle w:val="37"/>
        <w:spacing w:before="0" w:beforeAutospacing="0" w:after="0" w:afterAutospacing="0" w:line="360" w:lineRule="auto"/>
        <w:ind w:firstLine="420"/>
        <w:rPr>
          <w:rFonts w:hint="eastAsia"/>
          <w:sz w:val="21"/>
          <w:szCs w:val="21"/>
        </w:rPr>
      </w:pPr>
      <w:r>
        <w:rPr>
          <w:rFonts w:hint="eastAsia"/>
          <w:sz w:val="21"/>
          <w:szCs w:val="21"/>
        </w:rPr>
        <w:t xml:space="preserve">T＋2日日终，若基金管理人已购入全部被替代的证券，则以替代金额与被替代证券的实际买入成本（包括买入价格和交易费用）的差额，确定基金应退还投资人或投资人应补交的款项；若基金管理人未能购入全部被替代的证券，则以替代金额与所购入的部分被替代证券的实际买入成本加上按照T＋2日收盘价计算的未购入部分被替代证券价值的差额，确定基金应退还投资人或投资人应补交的款项。 </w:t>
      </w:r>
    </w:p>
    <w:p w14:paraId="600C73B3">
      <w:pPr>
        <w:pStyle w:val="37"/>
        <w:spacing w:before="0" w:beforeAutospacing="0" w:after="0" w:afterAutospacing="0" w:line="360" w:lineRule="auto"/>
        <w:ind w:firstLine="420"/>
        <w:rPr>
          <w:rFonts w:hint="eastAsia"/>
          <w:sz w:val="21"/>
          <w:szCs w:val="21"/>
        </w:rPr>
      </w:pPr>
      <w:r>
        <w:rPr>
          <w:rFonts w:hint="eastAsia"/>
          <w:sz w:val="21"/>
          <w:szCs w:val="21"/>
        </w:rPr>
        <w:t xml:space="preserve">特殊情况：若自T日起，深圳证券交易所正常交易日已达20日而该部分证券的正常交易日低于2日，且该部分证券最近交易日后未发生影响公允价值计量的重大事件的，则以替代金额与所购入的部分被替代证券的实际购入成本加上按照最近一次收盘价计算的未购入的部分被替代证券价值的差额，确定基金应退还投资人或投资人应补交的款项。 </w:t>
      </w:r>
    </w:p>
    <w:p w14:paraId="115F504C">
      <w:pPr>
        <w:pStyle w:val="37"/>
        <w:spacing w:before="0" w:beforeAutospacing="0" w:after="0" w:afterAutospacing="0" w:line="360" w:lineRule="auto"/>
        <w:ind w:firstLine="420"/>
        <w:rPr>
          <w:rFonts w:hint="eastAsia"/>
          <w:sz w:val="21"/>
          <w:szCs w:val="21"/>
        </w:rPr>
      </w:pPr>
      <w:r>
        <w:rPr>
          <w:rFonts w:hint="eastAsia"/>
          <w:sz w:val="21"/>
          <w:szCs w:val="21"/>
        </w:rPr>
        <w:t>如遇证券长期停牌、流动性不足等可能导致收盘价或最后成交价不公允的特殊情况，可参照证券的估值价格，对结算价格进行调整，如果基金管理人认为该证券复牌后的价格可能存在较大波动，且可能对基金资产净值产生较大影响，为了更好的维护持有人利益，该证券对应的现金替代款的清算交收可在其复牌后按照实际交易成本办理。在此期间若该证券发生除息、送股（转增）、配股等重要权益变动，则进行相应调整。</w:t>
      </w:r>
    </w:p>
    <w:p w14:paraId="22CF3606">
      <w:pPr>
        <w:pStyle w:val="37"/>
        <w:spacing w:before="0" w:beforeAutospacing="0" w:after="0" w:afterAutospacing="0" w:line="360" w:lineRule="auto"/>
        <w:ind w:firstLine="420"/>
        <w:rPr>
          <w:rFonts w:hint="eastAsia"/>
          <w:sz w:val="21"/>
          <w:szCs w:val="21"/>
        </w:rPr>
      </w:pPr>
      <w:r>
        <w:rPr>
          <w:rFonts w:hint="eastAsia"/>
          <w:sz w:val="21"/>
          <w:szCs w:val="21"/>
        </w:rPr>
        <w:t xml:space="preserve">若现金替代日（T日）后至T＋2日（在特殊情况下则为T日起的第20个正常交易日）期间被替代的证券发生除息、送股（转增）、配股，以及由于股权分置改革等发生的其他权益变动，则进行相应调整。 </w:t>
      </w:r>
    </w:p>
    <w:p w14:paraId="28EE4B84">
      <w:pPr>
        <w:pStyle w:val="37"/>
        <w:spacing w:before="0" w:beforeAutospacing="0" w:after="0" w:afterAutospacing="0" w:line="360" w:lineRule="auto"/>
        <w:ind w:firstLine="420"/>
        <w:rPr>
          <w:rFonts w:hint="eastAsia"/>
          <w:sz w:val="21"/>
          <w:szCs w:val="21"/>
        </w:rPr>
      </w:pPr>
      <w:r>
        <w:rPr>
          <w:rFonts w:hint="eastAsia"/>
          <w:sz w:val="21"/>
          <w:szCs w:val="21"/>
        </w:rPr>
        <w:t>T＋2日后的第1个市场交易日（在特殊情况下则为</w:t>
      </w:r>
      <w:r>
        <w:rPr>
          <w:sz w:val="21"/>
          <w:szCs w:val="21"/>
        </w:rPr>
        <w:t>T日起的第21</w:t>
      </w:r>
      <w:r>
        <w:rPr>
          <w:rFonts w:hint="eastAsia"/>
          <w:sz w:val="21"/>
          <w:szCs w:val="21"/>
        </w:rPr>
        <w:t xml:space="preserve">个市场交易日），基金管理人将应退款和应补款的明细及汇总数据发送给登记结算机构，相关款项的清算交收，将于此后3个工作日内完成。 </w:t>
      </w:r>
    </w:p>
    <w:p w14:paraId="79F1B35B">
      <w:pPr>
        <w:pStyle w:val="37"/>
        <w:numPr>
          <w:ilvl w:val="0"/>
          <w:numId w:val="7"/>
        </w:numPr>
        <w:spacing w:before="0" w:beforeAutospacing="0" w:after="0" w:afterAutospacing="0" w:line="360" w:lineRule="auto"/>
        <w:ind w:firstLine="420"/>
        <w:rPr>
          <w:rFonts w:hint="eastAsia"/>
          <w:sz w:val="21"/>
          <w:szCs w:val="21"/>
        </w:rPr>
      </w:pPr>
      <w:r>
        <w:rPr>
          <w:rFonts w:hint="eastAsia"/>
          <w:sz w:val="21"/>
          <w:szCs w:val="21"/>
        </w:rPr>
        <w:t>替代限制：为有效控制基金的跟踪偏离度和跟踪误差，基金管理人可规定投资人使用可以现金替代的比例合计不得超过申购基金份额资产净值的一定比例。现金替代比例的计算公式为：</w:t>
      </w:r>
    </w:p>
    <w:p w14:paraId="53FC7097">
      <w:pPr>
        <w:adjustRightInd w:val="0"/>
        <w:snapToGrid w:val="0"/>
        <w:spacing w:line="360" w:lineRule="auto"/>
        <w:jc w:val="center"/>
        <w:rPr>
          <w:szCs w:val="21"/>
        </w:rPr>
      </w:pPr>
      <w:r>
        <w:rPr>
          <w:rFonts w:hint="eastAsia" w:ascii="宋体" w:hAnsi="宋体" w:cs="Arial"/>
        </w:rPr>
        <w:t>现金替代比例（%）=</w:t>
      </w:r>
      <m:oMath>
        <m:f>
          <m:fPr>
            <m:ctrlPr>
              <w:rPr>
                <w:rFonts w:ascii="Cambria Math" w:hAnsi="Cambria Math" w:cs="Arial"/>
              </w:rPr>
            </m:ctrlPr>
          </m:fPr>
          <m:num>
            <m:nary>
              <m:naryPr>
                <m:chr m:val="∑"/>
                <m:limLoc m:val="undOvr"/>
                <m:ctrlPr>
                  <w:rPr>
                    <w:rFonts w:ascii="Cambria Math" w:hAnsi="Cambria Math" w:cs="Arial"/>
                  </w:rPr>
                </m:ctrlPr>
              </m:naryPr>
              <m:sub>
                <m:r>
                  <m:rPr>
                    <m:sty m:val="p"/>
                  </m:rPr>
                  <w:rPr>
                    <w:rFonts w:ascii="Cambria Math" w:hAnsi="Cambria Math" w:cs="Arial"/>
                  </w:rPr>
                  <m:t>i=1</m:t>
                </m:r>
                <m:ctrlPr>
                  <w:rPr>
                    <w:rFonts w:ascii="Cambria Math" w:hAnsi="Cambria Math" w:cs="Arial"/>
                  </w:rPr>
                </m:ctrlPr>
              </m:sub>
              <m:sup>
                <m:r>
                  <m:rPr>
                    <m:sty m:val="p"/>
                  </m:rPr>
                  <w:rPr>
                    <w:rFonts w:ascii="Cambria Math" w:hAnsi="Cambria Math" w:cs="Arial"/>
                  </w:rPr>
                  <m:t>n</m:t>
                </m:r>
                <m:ctrlPr>
                  <w:rPr>
                    <w:rFonts w:ascii="Cambria Math" w:hAnsi="Cambria Math" w:cs="Arial"/>
                  </w:rPr>
                </m:ctrlPr>
              </m:sup>
              <m:e>
                <m:r>
                  <m:rPr>
                    <m:sty m:val="p"/>
                  </m:rPr>
                  <w:rPr>
                    <w:rFonts w:hint="eastAsia" w:ascii="Cambria Math" w:hAnsi="Cambria Math" w:cs="Arial"/>
                  </w:rPr>
                  <m:t>第</m:t>
                </m:r>
                <m:r>
                  <m:rPr>
                    <m:sty m:val="p"/>
                  </m:rPr>
                  <w:rPr>
                    <w:rFonts w:ascii="Cambria Math" w:hAnsi="Cambria Math" w:cs="Arial"/>
                  </w:rPr>
                  <m:t>i</m:t>
                </m:r>
                <m:r>
                  <m:rPr>
                    <m:sty m:val="p"/>
                  </m:rPr>
                  <w:rPr>
                    <w:rFonts w:hint="eastAsia" w:ascii="Cambria Math" w:hAnsi="Cambria Math" w:cs="Arial"/>
                  </w:rPr>
                  <m:t>只替代证券数量</m:t>
                </m:r>
                <m:r>
                  <m:rPr>
                    <m:sty m:val="p"/>
                  </m:rPr>
                  <w:rPr>
                    <w:rFonts w:ascii="Cambria Math" w:hAnsi="Cambria Math" w:cs="Arial"/>
                  </w:rPr>
                  <m:t>×</m:t>
                </m:r>
                <m:r>
                  <m:rPr>
                    <m:sty m:val="p"/>
                  </m:rPr>
                  <w:rPr>
                    <w:rFonts w:hint="eastAsia" w:ascii="Cambria Math" w:hAnsi="Cambria Math" w:cs="Arial"/>
                  </w:rPr>
                  <m:t>该证券参考价格</m:t>
                </m:r>
                <m:ctrlPr>
                  <w:rPr>
                    <w:rFonts w:ascii="Cambria Math" w:hAnsi="Cambria Math" w:cs="Arial"/>
                  </w:rPr>
                </m:ctrlPr>
              </m:e>
            </m:nary>
            <m:ctrlPr>
              <w:rPr>
                <w:rFonts w:ascii="Cambria Math" w:hAnsi="Cambria Math" w:cs="Arial"/>
              </w:rPr>
            </m:ctrlPr>
          </m:num>
          <m:den>
            <m:r>
              <m:rPr>
                <m:sty m:val="p"/>
              </m:rPr>
              <w:rPr>
                <w:rFonts w:hint="eastAsia" w:ascii="Cambria Math" w:hAnsi="Cambria Math" w:cs="Arial"/>
              </w:rPr>
              <m:t>申购基金份额</m:t>
            </m:r>
            <m:r>
              <m:rPr>
                <m:sty m:val="p"/>
              </m:rPr>
              <w:rPr>
                <w:rFonts w:ascii="Cambria Math" w:hAnsi="Cambria Math" w:cs="Arial"/>
              </w:rPr>
              <m:t>×</m:t>
            </m:r>
            <m:r>
              <m:rPr>
                <m:sty m:val="p"/>
              </m:rPr>
              <w:rPr>
                <w:rFonts w:hint="eastAsia" w:ascii="Cambria Math" w:hAnsi="Cambria Math" w:cs="Arial"/>
              </w:rPr>
              <m:t>参考基金份额净值</m:t>
            </m:r>
            <m:ctrlPr>
              <w:rPr>
                <w:rFonts w:ascii="Cambria Math" w:hAnsi="Cambria Math" w:cs="Arial"/>
              </w:rPr>
            </m:ctrlPr>
          </m:den>
        </m:f>
        <m:r>
          <m:rPr/>
          <w:rPr>
            <w:rFonts w:ascii="Cambria Math" w:hAnsi="Cambria Math" w:cs="Arial"/>
          </w:rPr>
          <m:t>×</m:t>
        </m:r>
        <m:r>
          <m:rPr/>
          <w:rPr>
            <w:rFonts w:ascii="Cambria Math" w:hAnsi="Cambria Math" w:cs="Arial"/>
            <w:szCs w:val="21"/>
          </w:rPr>
          <m:t>100%</m:t>
        </m:r>
      </m:oMath>
    </w:p>
    <w:p w14:paraId="113C49CE">
      <w:pPr>
        <w:pStyle w:val="37"/>
        <w:spacing w:before="0" w:beforeAutospacing="0" w:after="0" w:afterAutospacing="0" w:line="360" w:lineRule="auto"/>
        <w:ind w:firstLine="420"/>
        <w:rPr>
          <w:rFonts w:hint="eastAsia"/>
          <w:sz w:val="21"/>
          <w:szCs w:val="21"/>
        </w:rPr>
      </w:pPr>
      <w:r>
        <w:rPr>
          <w:rFonts w:hint="eastAsia"/>
          <w:sz w:val="21"/>
          <w:szCs w:val="21"/>
        </w:rPr>
        <w:t>公式中，“该证券参考价格”的确定原则与可以现金替代情况下，替代金额的计算公式中的该证券参考价格确定原则相同。“参考基金份额净值</w:t>
      </w:r>
      <w:r>
        <w:rPr>
          <w:sz w:val="21"/>
          <w:szCs w:val="21"/>
        </w:rPr>
        <w:t>”</w:t>
      </w:r>
      <w:r>
        <w:rPr>
          <w:rFonts w:hint="eastAsia"/>
          <w:sz w:val="21"/>
          <w:szCs w:val="21"/>
        </w:rPr>
        <w:t xml:space="preserve">目前为ETF前一交易日除权除息后的收盘价，如果深圳证券交易所基金份额参考净值计算方式发生变化，以深圳证券交易所通知规定的基金份额参考净值为准。 </w:t>
      </w:r>
    </w:p>
    <w:p w14:paraId="3BACDAAE">
      <w:pPr>
        <w:pStyle w:val="37"/>
        <w:spacing w:before="0" w:beforeAutospacing="0" w:after="0" w:afterAutospacing="0" w:line="360" w:lineRule="auto"/>
        <w:ind w:firstLine="420"/>
        <w:rPr>
          <w:rFonts w:hint="eastAsia"/>
          <w:sz w:val="21"/>
          <w:szCs w:val="21"/>
        </w:rPr>
      </w:pPr>
      <w:r>
        <w:rPr>
          <w:rFonts w:hint="eastAsia"/>
          <w:sz w:val="21"/>
          <w:szCs w:val="21"/>
        </w:rPr>
        <w:t xml:space="preserve">说明：假设当天可以现金替代的股票只数为n。 </w:t>
      </w:r>
    </w:p>
    <w:p w14:paraId="3DA9776C">
      <w:pPr>
        <w:pStyle w:val="37"/>
        <w:spacing w:before="0" w:beforeAutospacing="0" w:after="0" w:afterAutospacing="0" w:line="360" w:lineRule="auto"/>
        <w:ind w:firstLine="420"/>
        <w:rPr>
          <w:rFonts w:hint="eastAsia"/>
          <w:sz w:val="21"/>
          <w:szCs w:val="21"/>
        </w:rPr>
      </w:pPr>
      <w:r>
        <w:rPr>
          <w:rFonts w:hint="eastAsia"/>
          <w:sz w:val="21"/>
          <w:szCs w:val="21"/>
        </w:rPr>
        <w:t xml:space="preserve">（3）必须现金替代 </w:t>
      </w:r>
    </w:p>
    <w:p w14:paraId="55F1A910">
      <w:pPr>
        <w:pStyle w:val="37"/>
        <w:spacing w:before="0" w:beforeAutospacing="0" w:after="0" w:afterAutospacing="0" w:line="360" w:lineRule="auto"/>
        <w:ind w:firstLine="420"/>
        <w:rPr>
          <w:rFonts w:hint="eastAsia"/>
          <w:sz w:val="21"/>
          <w:szCs w:val="21"/>
        </w:rPr>
      </w:pPr>
      <w:r>
        <w:rPr>
          <w:rFonts w:hint="eastAsia"/>
          <w:sz w:val="21"/>
          <w:szCs w:val="21"/>
        </w:rPr>
        <w:t xml:space="preserve">1）适用情形：一般适用于标的指数调整将被剔除的成份证券以及处于停牌的股票，或因法律法规限制投资的成份证券，或出于保护基金持有人利益等原因基金管理人认为有必要实行必须现金替代的成份证券。 </w:t>
      </w:r>
    </w:p>
    <w:p w14:paraId="1A5AE75E">
      <w:pPr>
        <w:pStyle w:val="37"/>
        <w:spacing w:before="0" w:beforeAutospacing="0" w:after="0" w:afterAutospacing="0" w:line="360" w:lineRule="auto"/>
        <w:ind w:firstLine="420"/>
        <w:rPr>
          <w:rFonts w:hint="eastAsia"/>
          <w:sz w:val="21"/>
          <w:szCs w:val="21"/>
        </w:rPr>
      </w:pPr>
      <w:r>
        <w:rPr>
          <w:rFonts w:hint="eastAsia"/>
          <w:sz w:val="21"/>
          <w:szCs w:val="21"/>
        </w:rPr>
        <w:t xml:space="preserve">2）替代金额：对于必须现金替代的证券，基金管理人将在申购赎回清单中公告替代的一定数量的现金，即“固定替代金额”。固定替代金额的计算方法为申购赎回清单中该证券的数量乘以其T日预估开盘价。 </w:t>
      </w:r>
    </w:p>
    <w:p w14:paraId="4AA5904A">
      <w:pPr>
        <w:pStyle w:val="37"/>
        <w:spacing w:before="0" w:beforeAutospacing="0" w:after="0" w:afterAutospacing="0" w:line="360" w:lineRule="auto"/>
        <w:ind w:firstLine="420"/>
        <w:rPr>
          <w:rFonts w:hint="eastAsia"/>
          <w:sz w:val="21"/>
          <w:szCs w:val="21"/>
        </w:rPr>
      </w:pPr>
      <w:r>
        <w:rPr>
          <w:rFonts w:hint="eastAsia"/>
          <w:sz w:val="21"/>
          <w:szCs w:val="21"/>
        </w:rPr>
        <w:t xml:space="preserve">4、预估现金部分相关内容 </w:t>
      </w:r>
    </w:p>
    <w:p w14:paraId="64ADC5F0">
      <w:pPr>
        <w:pStyle w:val="37"/>
        <w:spacing w:before="0" w:beforeAutospacing="0" w:after="0" w:afterAutospacing="0" w:line="360" w:lineRule="auto"/>
        <w:ind w:firstLine="420"/>
        <w:rPr>
          <w:rFonts w:hint="eastAsia"/>
          <w:sz w:val="21"/>
          <w:szCs w:val="21"/>
        </w:rPr>
      </w:pPr>
      <w:r>
        <w:rPr>
          <w:rFonts w:hint="eastAsia"/>
          <w:sz w:val="21"/>
          <w:szCs w:val="21"/>
        </w:rPr>
        <w:t xml:space="preserve">预估现金部分是指，为便于计算基金份额参考净值及申购赎回代理券商预先冻结申请申购、赎回的投资人的相应资金，由基金管理人计算的现金数额。 </w:t>
      </w:r>
    </w:p>
    <w:p w14:paraId="310E4BC7">
      <w:pPr>
        <w:pStyle w:val="37"/>
        <w:spacing w:before="0" w:beforeAutospacing="0" w:after="0" w:afterAutospacing="0" w:line="360" w:lineRule="auto"/>
        <w:ind w:firstLine="420"/>
        <w:rPr>
          <w:rFonts w:hint="eastAsia"/>
          <w:sz w:val="21"/>
          <w:szCs w:val="21"/>
        </w:rPr>
      </w:pPr>
      <w:r>
        <w:rPr>
          <w:rFonts w:hint="eastAsia"/>
          <w:sz w:val="21"/>
          <w:szCs w:val="21"/>
        </w:rPr>
        <w:t xml:space="preserve">T日申购赎回清单中公告T日预估现金部分，其计算公式为： </w:t>
      </w:r>
    </w:p>
    <w:p w14:paraId="7194915E">
      <w:pPr>
        <w:pStyle w:val="37"/>
        <w:spacing w:before="0" w:beforeAutospacing="0" w:after="0" w:afterAutospacing="0" w:line="360" w:lineRule="auto"/>
        <w:ind w:firstLine="420"/>
        <w:rPr>
          <w:rFonts w:hint="eastAsia"/>
          <w:sz w:val="21"/>
          <w:szCs w:val="21"/>
        </w:rPr>
      </w:pPr>
      <w:r>
        <w:rPr>
          <w:rFonts w:hint="eastAsia"/>
          <w:sz w:val="21"/>
          <w:szCs w:val="21"/>
        </w:rPr>
        <w:t xml:space="preserve">T日预估现金部分＝T－1日最小申购赎回单位的基金资产净值－（申购赎回清单中必须用现金替代的固定替代金额总额＋申购赎回清单中可以用现金替代的所有成份证券的数量与其T日预估开盘价乘积之和＋申购赎回清单中禁止用现金替代的所有成份证券的数量与其T日预估开盘价乘积之和） </w:t>
      </w:r>
    </w:p>
    <w:p w14:paraId="7729EE03">
      <w:pPr>
        <w:pStyle w:val="37"/>
        <w:spacing w:before="0" w:beforeAutospacing="0" w:after="0" w:afterAutospacing="0" w:line="360" w:lineRule="auto"/>
        <w:ind w:firstLine="420"/>
        <w:rPr>
          <w:rFonts w:hint="eastAsia"/>
          <w:sz w:val="21"/>
          <w:szCs w:val="21"/>
        </w:rPr>
      </w:pPr>
      <w:r>
        <w:rPr>
          <w:rFonts w:hint="eastAsia"/>
          <w:sz w:val="21"/>
          <w:szCs w:val="21"/>
        </w:rPr>
        <w:t>其中，T日预估开盘价是对标的指数成份证券预估的开盘价。另外，若T日为基金分红除息日，则计算公式中的“T－1日最小申购赎回单位的基金资产净值”需要扣减相应的收益分配数额。预估现金部分的数值可能为正、为负或为零。若</w:t>
      </w:r>
      <w:r>
        <w:rPr>
          <w:sz w:val="21"/>
          <w:szCs w:val="21"/>
        </w:rPr>
        <w:t>T日为</w:t>
      </w:r>
      <w:r>
        <w:rPr>
          <w:rFonts w:hint="eastAsia"/>
          <w:sz w:val="21"/>
          <w:szCs w:val="21"/>
        </w:rPr>
        <w:t>最小申购、赎回单位调整生效日，则计算公式中的“</w:t>
      </w:r>
      <w:r>
        <w:rPr>
          <w:sz w:val="21"/>
          <w:szCs w:val="21"/>
        </w:rPr>
        <w:t>T-1日最小申购、赎回单位的基金资产净值</w:t>
      </w:r>
      <w:r>
        <w:rPr>
          <w:rFonts w:hint="eastAsia"/>
          <w:sz w:val="21"/>
          <w:szCs w:val="21"/>
        </w:rPr>
        <w:t>”需根据调整前后最小申购、赎回单位按比例计算</w:t>
      </w:r>
      <w:r>
        <w:rPr>
          <w:rFonts w:hint="eastAsia"/>
        </w:rPr>
        <w:t>。</w:t>
      </w:r>
    </w:p>
    <w:p w14:paraId="1C205FD8">
      <w:pPr>
        <w:pStyle w:val="37"/>
        <w:spacing w:before="0" w:beforeAutospacing="0" w:after="0" w:afterAutospacing="0" w:line="360" w:lineRule="auto"/>
        <w:ind w:firstLine="420"/>
        <w:rPr>
          <w:rFonts w:hint="eastAsia"/>
          <w:sz w:val="21"/>
          <w:szCs w:val="21"/>
        </w:rPr>
      </w:pPr>
      <w:r>
        <w:rPr>
          <w:rFonts w:hint="eastAsia"/>
          <w:sz w:val="21"/>
          <w:szCs w:val="21"/>
        </w:rPr>
        <w:t xml:space="preserve">5、现金差额相关内容 </w:t>
      </w:r>
    </w:p>
    <w:p w14:paraId="6752DE9C">
      <w:pPr>
        <w:pStyle w:val="37"/>
        <w:spacing w:before="0" w:beforeAutospacing="0" w:after="0" w:afterAutospacing="0" w:line="360" w:lineRule="auto"/>
        <w:ind w:firstLine="420"/>
        <w:rPr>
          <w:rFonts w:hint="eastAsia"/>
          <w:sz w:val="21"/>
          <w:szCs w:val="21"/>
        </w:rPr>
      </w:pPr>
      <w:r>
        <w:rPr>
          <w:rFonts w:hint="eastAsia"/>
          <w:sz w:val="21"/>
          <w:szCs w:val="21"/>
        </w:rPr>
        <w:t xml:space="preserve">T日现金差额在T＋1日的申购赎回清单中公告，其计算公式为： </w:t>
      </w:r>
    </w:p>
    <w:p w14:paraId="3EE1A05F">
      <w:pPr>
        <w:pStyle w:val="37"/>
        <w:spacing w:before="0" w:beforeAutospacing="0" w:after="0" w:afterAutospacing="0" w:line="360" w:lineRule="auto"/>
        <w:ind w:firstLine="420"/>
        <w:rPr>
          <w:rFonts w:hint="eastAsia"/>
          <w:sz w:val="21"/>
          <w:szCs w:val="21"/>
        </w:rPr>
      </w:pPr>
      <w:r>
        <w:rPr>
          <w:rFonts w:hint="eastAsia"/>
          <w:sz w:val="21"/>
          <w:szCs w:val="21"/>
        </w:rPr>
        <w:t xml:space="preserve">T日现金差额＝T日最小申购赎回单位的基金资产净值－（申购赎回清单中必须用现金替代的固定替代金额总额＋申购赎回清单中可以用现金替代的所有成份证券的数量与其T日收盘价乘积之和＋申购赎回清单中禁止用现金替代的所有成份证券的数量与其T日收盘价乘积之和） </w:t>
      </w:r>
    </w:p>
    <w:p w14:paraId="305A6521">
      <w:pPr>
        <w:adjustRightInd w:val="0"/>
        <w:snapToGrid w:val="0"/>
        <w:spacing w:line="360" w:lineRule="auto"/>
        <w:ind w:firstLine="420"/>
        <w:rPr>
          <w:rFonts w:hint="eastAsia" w:ascii="宋体" w:hAnsi="宋体" w:cs="Arial"/>
          <w:szCs w:val="21"/>
        </w:rPr>
      </w:pPr>
      <w:r>
        <w:rPr>
          <w:rFonts w:hint="eastAsia"/>
          <w:szCs w:val="21"/>
        </w:rPr>
        <w:t>T日投资人申购、赎回基金份额时，需按T＋1日公告的T日现金差额进行资金的清算交收。现金差额的数值可能为正、为负或为零。在投资人申购时，如现金差额为正数，则投资者应根据其申购的基金份额支付相应的现金，如现金差额为负数，则投资人将根据其申购的基金份额获得相应的现金；在投资人赎回时，如现金差额为正数，则投资人将根据其赎回的基金份额获得相应的现金，如现金差额为负数，则投资人应根据其赎回的基金份额支付相应的现金。</w:t>
      </w:r>
    </w:p>
    <w:p w14:paraId="1499DC9E">
      <w:pPr>
        <w:adjustRightInd w:val="0"/>
        <w:snapToGrid w:val="0"/>
        <w:spacing w:line="360" w:lineRule="auto"/>
        <w:ind w:firstLine="420"/>
        <w:rPr>
          <w:rFonts w:hint="eastAsia" w:ascii="宋体" w:hAnsi="宋体" w:cs="Arial"/>
          <w:szCs w:val="21"/>
        </w:rPr>
      </w:pPr>
      <w:r>
        <w:rPr>
          <w:rFonts w:hint="eastAsia" w:ascii="宋体" w:hAnsi="宋体" w:cs="Arial"/>
          <w:szCs w:val="21"/>
        </w:rPr>
        <w:t>6、申购赎回清单的格式</w:t>
      </w:r>
    </w:p>
    <w:tbl>
      <w:tblPr>
        <w:tblStyle w:val="42"/>
        <w:tblW w:w="85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1"/>
        <w:gridCol w:w="1190"/>
        <w:gridCol w:w="1130"/>
        <w:gridCol w:w="1120"/>
        <w:gridCol w:w="329"/>
        <w:gridCol w:w="621"/>
        <w:gridCol w:w="1000"/>
        <w:gridCol w:w="900"/>
        <w:gridCol w:w="700"/>
        <w:gridCol w:w="771"/>
        <w:gridCol w:w="32"/>
      </w:tblGrid>
      <w:tr w14:paraId="4B78D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2" w:type="dxa"/>
          <w:trHeight w:val="300" w:hRule="atLeast"/>
        </w:trPr>
        <w:tc>
          <w:tcPr>
            <w:tcW w:w="8522" w:type="dxa"/>
            <w:gridSpan w:val="10"/>
          </w:tcPr>
          <w:p w14:paraId="7AFB92B5">
            <w:pPr>
              <w:pStyle w:val="37"/>
              <w:numPr>
                <w:ilvl w:val="255"/>
                <w:numId w:val="0"/>
              </w:numPr>
              <w:jc w:val="center"/>
              <w:rPr>
                <w:rFonts w:hint="eastAsia"/>
                <w:sz w:val="21"/>
                <w:szCs w:val="21"/>
              </w:rPr>
            </w:pPr>
            <w:bookmarkStart w:id="113" w:name="OLE_LINK13"/>
            <w:bookmarkStart w:id="114" w:name="OLE_LINK14"/>
            <w:r>
              <w:rPr>
                <w:rFonts w:hint="eastAsia"/>
                <w:b/>
                <w:bCs/>
                <w:sz w:val="21"/>
                <w:szCs w:val="21"/>
              </w:rPr>
              <w:t>基本信息</w:t>
            </w:r>
          </w:p>
        </w:tc>
      </w:tr>
      <w:tr w14:paraId="723D2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2" w:type="dxa"/>
          <w:trHeight w:val="300" w:hRule="atLeast"/>
        </w:trPr>
        <w:tc>
          <w:tcPr>
            <w:tcW w:w="4530" w:type="dxa"/>
            <w:gridSpan w:val="5"/>
          </w:tcPr>
          <w:p w14:paraId="3525198A">
            <w:pPr>
              <w:pStyle w:val="37"/>
              <w:numPr>
                <w:ilvl w:val="255"/>
                <w:numId w:val="0"/>
              </w:numPr>
              <w:jc w:val="center"/>
              <w:rPr>
                <w:rFonts w:hint="eastAsia"/>
                <w:sz w:val="21"/>
                <w:szCs w:val="21"/>
              </w:rPr>
            </w:pPr>
            <w:r>
              <w:rPr>
                <w:rFonts w:hint="eastAsia"/>
                <w:sz w:val="21"/>
                <w:szCs w:val="21"/>
              </w:rPr>
              <w:t xml:space="preserve">最新公告日期  </w:t>
            </w:r>
          </w:p>
        </w:tc>
        <w:tc>
          <w:tcPr>
            <w:tcW w:w="3992" w:type="dxa"/>
            <w:gridSpan w:val="5"/>
          </w:tcPr>
          <w:p w14:paraId="79FB4A05">
            <w:pPr>
              <w:pStyle w:val="37"/>
              <w:numPr>
                <w:ilvl w:val="255"/>
                <w:numId w:val="0"/>
              </w:numPr>
              <w:jc w:val="center"/>
              <w:rPr>
                <w:rFonts w:hint="eastAsia"/>
                <w:sz w:val="21"/>
                <w:szCs w:val="21"/>
              </w:rPr>
            </w:pPr>
            <w:r>
              <w:rPr>
                <w:rFonts w:hint="eastAsia"/>
                <w:sz w:val="21"/>
                <w:szCs w:val="21"/>
              </w:rPr>
              <w:t xml:space="preserve">202X年    月   日  </w:t>
            </w:r>
          </w:p>
        </w:tc>
      </w:tr>
      <w:tr w14:paraId="10A2E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2" w:type="dxa"/>
          <w:trHeight w:val="435" w:hRule="atLeast"/>
        </w:trPr>
        <w:tc>
          <w:tcPr>
            <w:tcW w:w="4530" w:type="dxa"/>
            <w:gridSpan w:val="5"/>
          </w:tcPr>
          <w:p w14:paraId="6BCC222F">
            <w:pPr>
              <w:pStyle w:val="37"/>
              <w:numPr>
                <w:ilvl w:val="255"/>
                <w:numId w:val="0"/>
              </w:numPr>
              <w:jc w:val="center"/>
              <w:rPr>
                <w:rFonts w:hint="eastAsia"/>
                <w:sz w:val="21"/>
                <w:szCs w:val="21"/>
              </w:rPr>
            </w:pPr>
            <w:r>
              <w:rPr>
                <w:rFonts w:hint="eastAsia"/>
                <w:sz w:val="21"/>
                <w:szCs w:val="21"/>
              </w:rPr>
              <w:t xml:space="preserve">基金名称  </w:t>
            </w:r>
          </w:p>
        </w:tc>
        <w:tc>
          <w:tcPr>
            <w:tcW w:w="3992" w:type="dxa"/>
            <w:gridSpan w:val="5"/>
          </w:tcPr>
          <w:p w14:paraId="2F0636D9">
            <w:pPr>
              <w:pStyle w:val="37"/>
              <w:numPr>
                <w:ilvl w:val="255"/>
                <w:numId w:val="0"/>
              </w:numPr>
              <w:jc w:val="center"/>
              <w:rPr>
                <w:rFonts w:hint="eastAsia"/>
                <w:sz w:val="21"/>
                <w:szCs w:val="21"/>
              </w:rPr>
            </w:pPr>
            <w:r>
              <w:rPr>
                <w:rFonts w:hint="eastAsia"/>
                <w:sz w:val="21"/>
                <w:szCs w:val="21"/>
              </w:rPr>
              <w:t xml:space="preserve">博时创业板电池交易型开放式指数证券投资基金  </w:t>
            </w:r>
          </w:p>
        </w:tc>
      </w:tr>
      <w:tr w14:paraId="3F5D2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2" w:type="dxa"/>
          <w:trHeight w:val="300" w:hRule="atLeast"/>
        </w:trPr>
        <w:tc>
          <w:tcPr>
            <w:tcW w:w="4530" w:type="dxa"/>
            <w:gridSpan w:val="5"/>
          </w:tcPr>
          <w:p w14:paraId="2990831E">
            <w:pPr>
              <w:pStyle w:val="37"/>
              <w:numPr>
                <w:ilvl w:val="255"/>
                <w:numId w:val="0"/>
              </w:numPr>
              <w:jc w:val="center"/>
              <w:rPr>
                <w:rFonts w:hint="eastAsia"/>
                <w:sz w:val="21"/>
                <w:szCs w:val="21"/>
              </w:rPr>
            </w:pPr>
            <w:r>
              <w:rPr>
                <w:rFonts w:hint="eastAsia"/>
                <w:sz w:val="21"/>
                <w:szCs w:val="21"/>
              </w:rPr>
              <w:t xml:space="preserve">基金管理公司名称  </w:t>
            </w:r>
          </w:p>
        </w:tc>
        <w:tc>
          <w:tcPr>
            <w:tcW w:w="3992" w:type="dxa"/>
            <w:gridSpan w:val="5"/>
          </w:tcPr>
          <w:p w14:paraId="7E882F6D">
            <w:pPr>
              <w:pStyle w:val="37"/>
              <w:numPr>
                <w:ilvl w:val="255"/>
                <w:numId w:val="0"/>
              </w:numPr>
              <w:jc w:val="center"/>
              <w:rPr>
                <w:rFonts w:hint="eastAsia"/>
                <w:sz w:val="21"/>
                <w:szCs w:val="21"/>
              </w:rPr>
            </w:pPr>
            <w:r>
              <w:rPr>
                <w:rFonts w:hint="eastAsia"/>
                <w:sz w:val="21"/>
                <w:szCs w:val="21"/>
              </w:rPr>
              <w:t xml:space="preserve">博时基金管理有限公司  </w:t>
            </w:r>
          </w:p>
        </w:tc>
      </w:tr>
      <w:tr w14:paraId="43D53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2" w:type="dxa"/>
          <w:trHeight w:val="300" w:hRule="atLeast"/>
        </w:trPr>
        <w:tc>
          <w:tcPr>
            <w:tcW w:w="4530" w:type="dxa"/>
            <w:gridSpan w:val="5"/>
          </w:tcPr>
          <w:p w14:paraId="4B9E1DFC">
            <w:pPr>
              <w:pStyle w:val="37"/>
              <w:numPr>
                <w:ilvl w:val="255"/>
                <w:numId w:val="0"/>
              </w:numPr>
              <w:jc w:val="center"/>
              <w:rPr>
                <w:rFonts w:hint="eastAsia"/>
                <w:sz w:val="21"/>
                <w:szCs w:val="21"/>
              </w:rPr>
            </w:pPr>
            <w:r>
              <w:rPr>
                <w:rFonts w:hint="eastAsia"/>
                <w:sz w:val="21"/>
                <w:szCs w:val="21"/>
              </w:rPr>
              <w:t xml:space="preserve">一级市场基金代码  </w:t>
            </w:r>
          </w:p>
        </w:tc>
        <w:tc>
          <w:tcPr>
            <w:tcW w:w="3992" w:type="dxa"/>
            <w:gridSpan w:val="5"/>
          </w:tcPr>
          <w:p w14:paraId="7E513E4F">
            <w:pPr>
              <w:pStyle w:val="37"/>
              <w:numPr>
                <w:ilvl w:val="255"/>
                <w:numId w:val="0"/>
              </w:numPr>
              <w:jc w:val="center"/>
              <w:rPr>
                <w:rFonts w:hint="eastAsia"/>
                <w:sz w:val="21"/>
                <w:szCs w:val="21"/>
              </w:rPr>
            </w:pPr>
            <w:r>
              <w:rPr>
                <w:rFonts w:hint="eastAsia"/>
                <w:sz w:val="21"/>
                <w:szCs w:val="21"/>
              </w:rPr>
              <w:t>XXXXXX</w:t>
            </w:r>
          </w:p>
        </w:tc>
      </w:tr>
      <w:tr w14:paraId="2EC76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2" w:type="dxa"/>
          <w:trHeight w:val="300" w:hRule="atLeast"/>
        </w:trPr>
        <w:tc>
          <w:tcPr>
            <w:tcW w:w="8522" w:type="dxa"/>
            <w:gridSpan w:val="10"/>
          </w:tcPr>
          <w:p w14:paraId="10AF2881">
            <w:pPr>
              <w:pStyle w:val="37"/>
              <w:numPr>
                <w:ilvl w:val="255"/>
                <w:numId w:val="0"/>
              </w:numPr>
              <w:jc w:val="center"/>
              <w:rPr>
                <w:rFonts w:hint="eastAsia"/>
                <w:sz w:val="21"/>
                <w:szCs w:val="21"/>
              </w:rPr>
            </w:pPr>
            <w:r>
              <w:rPr>
                <w:rFonts w:hint="eastAsia"/>
                <w:b/>
                <w:bCs/>
                <w:sz w:val="21"/>
                <w:szCs w:val="21"/>
              </w:rPr>
              <w:t>T－1日信息内容</w:t>
            </w:r>
          </w:p>
        </w:tc>
      </w:tr>
      <w:tr w14:paraId="3B5DE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2" w:type="dxa"/>
          <w:trHeight w:val="300" w:hRule="atLeast"/>
        </w:trPr>
        <w:tc>
          <w:tcPr>
            <w:tcW w:w="4530" w:type="dxa"/>
            <w:gridSpan w:val="5"/>
          </w:tcPr>
          <w:p w14:paraId="7982C371">
            <w:pPr>
              <w:pStyle w:val="37"/>
              <w:numPr>
                <w:ilvl w:val="255"/>
                <w:numId w:val="0"/>
              </w:numPr>
              <w:jc w:val="center"/>
              <w:rPr>
                <w:rFonts w:hint="eastAsia"/>
                <w:sz w:val="21"/>
                <w:szCs w:val="21"/>
              </w:rPr>
            </w:pPr>
            <w:r>
              <w:rPr>
                <w:rFonts w:hint="eastAsia"/>
                <w:sz w:val="21"/>
                <w:szCs w:val="21"/>
              </w:rPr>
              <w:t xml:space="preserve">现金差额（单位：元）  </w:t>
            </w:r>
          </w:p>
        </w:tc>
        <w:tc>
          <w:tcPr>
            <w:tcW w:w="3992" w:type="dxa"/>
            <w:gridSpan w:val="5"/>
          </w:tcPr>
          <w:p w14:paraId="6C49780A">
            <w:pPr>
              <w:pStyle w:val="37"/>
              <w:numPr>
                <w:ilvl w:val="255"/>
                <w:numId w:val="0"/>
              </w:numPr>
              <w:jc w:val="center"/>
              <w:rPr>
                <w:rFonts w:hint="eastAsia"/>
                <w:sz w:val="21"/>
                <w:szCs w:val="21"/>
              </w:rPr>
            </w:pPr>
            <w:r>
              <w:rPr>
                <w:rFonts w:hint="eastAsia"/>
                <w:sz w:val="21"/>
                <w:szCs w:val="21"/>
              </w:rPr>
              <w:t xml:space="preserve">XXXX.XX  </w:t>
            </w:r>
          </w:p>
        </w:tc>
      </w:tr>
      <w:tr w14:paraId="498F7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2" w:type="dxa"/>
          <w:trHeight w:val="90" w:hRule="atLeast"/>
        </w:trPr>
        <w:tc>
          <w:tcPr>
            <w:tcW w:w="4530" w:type="dxa"/>
            <w:gridSpan w:val="5"/>
          </w:tcPr>
          <w:p w14:paraId="350A7383">
            <w:pPr>
              <w:pStyle w:val="37"/>
              <w:numPr>
                <w:ilvl w:val="255"/>
                <w:numId w:val="0"/>
              </w:numPr>
              <w:jc w:val="center"/>
              <w:rPr>
                <w:rFonts w:hint="eastAsia"/>
                <w:sz w:val="21"/>
                <w:szCs w:val="21"/>
              </w:rPr>
            </w:pPr>
            <w:r>
              <w:rPr>
                <w:rFonts w:hint="eastAsia"/>
                <w:sz w:val="21"/>
                <w:szCs w:val="21"/>
              </w:rPr>
              <w:t xml:space="preserve">最小申购赎回单位资产净值（单位：元）  </w:t>
            </w:r>
          </w:p>
        </w:tc>
        <w:tc>
          <w:tcPr>
            <w:tcW w:w="3992" w:type="dxa"/>
            <w:gridSpan w:val="5"/>
          </w:tcPr>
          <w:p w14:paraId="665C4EF0">
            <w:pPr>
              <w:pStyle w:val="37"/>
              <w:numPr>
                <w:ilvl w:val="255"/>
                <w:numId w:val="0"/>
              </w:numPr>
              <w:jc w:val="center"/>
              <w:rPr>
                <w:rFonts w:hint="eastAsia"/>
                <w:sz w:val="21"/>
                <w:szCs w:val="21"/>
              </w:rPr>
            </w:pPr>
            <w:r>
              <w:rPr>
                <w:rFonts w:hint="eastAsia"/>
                <w:sz w:val="21"/>
                <w:szCs w:val="21"/>
              </w:rPr>
              <w:t xml:space="preserve">XXXX.XX  </w:t>
            </w:r>
          </w:p>
        </w:tc>
      </w:tr>
      <w:tr w14:paraId="56136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2" w:type="dxa"/>
          <w:trHeight w:val="300" w:hRule="atLeast"/>
        </w:trPr>
        <w:tc>
          <w:tcPr>
            <w:tcW w:w="4530" w:type="dxa"/>
            <w:gridSpan w:val="5"/>
          </w:tcPr>
          <w:p w14:paraId="0F166726">
            <w:pPr>
              <w:pStyle w:val="37"/>
              <w:numPr>
                <w:ilvl w:val="255"/>
                <w:numId w:val="0"/>
              </w:numPr>
              <w:jc w:val="center"/>
              <w:rPr>
                <w:rFonts w:hint="eastAsia"/>
                <w:sz w:val="21"/>
                <w:szCs w:val="21"/>
              </w:rPr>
            </w:pPr>
            <w:r>
              <w:rPr>
                <w:rFonts w:hint="eastAsia"/>
                <w:sz w:val="21"/>
                <w:szCs w:val="21"/>
              </w:rPr>
              <w:t xml:space="preserve">基金份额净值（单位：元）  </w:t>
            </w:r>
          </w:p>
        </w:tc>
        <w:tc>
          <w:tcPr>
            <w:tcW w:w="3992" w:type="dxa"/>
            <w:gridSpan w:val="5"/>
          </w:tcPr>
          <w:p w14:paraId="1952D0AB">
            <w:pPr>
              <w:pStyle w:val="37"/>
              <w:numPr>
                <w:ilvl w:val="255"/>
                <w:numId w:val="0"/>
              </w:numPr>
              <w:jc w:val="center"/>
              <w:rPr>
                <w:rFonts w:hint="eastAsia"/>
                <w:sz w:val="21"/>
                <w:szCs w:val="21"/>
              </w:rPr>
            </w:pPr>
            <w:r>
              <w:rPr>
                <w:rFonts w:hint="eastAsia"/>
                <w:sz w:val="21"/>
                <w:szCs w:val="21"/>
              </w:rPr>
              <w:t xml:space="preserve">X.XXXX  </w:t>
            </w:r>
          </w:p>
        </w:tc>
      </w:tr>
      <w:tr w14:paraId="72163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2" w:type="dxa"/>
          <w:trHeight w:val="300" w:hRule="atLeast"/>
        </w:trPr>
        <w:tc>
          <w:tcPr>
            <w:tcW w:w="8522" w:type="dxa"/>
            <w:gridSpan w:val="10"/>
          </w:tcPr>
          <w:p w14:paraId="312FB90A">
            <w:pPr>
              <w:pStyle w:val="37"/>
              <w:numPr>
                <w:ilvl w:val="255"/>
                <w:numId w:val="0"/>
              </w:numPr>
              <w:jc w:val="center"/>
              <w:rPr>
                <w:rFonts w:hint="eastAsia"/>
                <w:sz w:val="21"/>
                <w:szCs w:val="21"/>
              </w:rPr>
            </w:pPr>
            <w:r>
              <w:rPr>
                <w:rFonts w:hint="eastAsia"/>
                <w:b/>
                <w:bCs/>
                <w:sz w:val="21"/>
                <w:szCs w:val="21"/>
              </w:rPr>
              <w:t>T日信息内容</w:t>
            </w:r>
          </w:p>
        </w:tc>
      </w:tr>
      <w:tr w14:paraId="77B53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2" w:type="dxa"/>
          <w:trHeight w:val="300" w:hRule="atLeast"/>
        </w:trPr>
        <w:tc>
          <w:tcPr>
            <w:tcW w:w="4530" w:type="dxa"/>
            <w:gridSpan w:val="5"/>
          </w:tcPr>
          <w:p w14:paraId="02C2D5B5">
            <w:pPr>
              <w:pStyle w:val="37"/>
              <w:numPr>
                <w:ilvl w:val="255"/>
                <w:numId w:val="0"/>
              </w:numPr>
              <w:jc w:val="center"/>
              <w:rPr>
                <w:rFonts w:hint="eastAsia"/>
                <w:sz w:val="21"/>
                <w:szCs w:val="21"/>
              </w:rPr>
            </w:pPr>
            <w:r>
              <w:rPr>
                <w:rFonts w:hint="eastAsia"/>
                <w:sz w:val="21"/>
                <w:szCs w:val="21"/>
              </w:rPr>
              <w:t xml:space="preserve">预估现金部分（单位：元）  </w:t>
            </w:r>
          </w:p>
        </w:tc>
        <w:tc>
          <w:tcPr>
            <w:tcW w:w="3992" w:type="dxa"/>
            <w:gridSpan w:val="5"/>
          </w:tcPr>
          <w:p w14:paraId="68944F6D">
            <w:pPr>
              <w:pStyle w:val="37"/>
              <w:numPr>
                <w:ilvl w:val="255"/>
                <w:numId w:val="0"/>
              </w:numPr>
              <w:jc w:val="center"/>
              <w:rPr>
                <w:rFonts w:hint="eastAsia"/>
                <w:sz w:val="21"/>
                <w:szCs w:val="21"/>
              </w:rPr>
            </w:pPr>
            <w:r>
              <w:rPr>
                <w:rFonts w:hint="eastAsia"/>
                <w:sz w:val="21"/>
                <w:szCs w:val="21"/>
              </w:rPr>
              <w:t xml:space="preserve">XXXX.XX  </w:t>
            </w:r>
          </w:p>
        </w:tc>
      </w:tr>
      <w:tr w14:paraId="6C85C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2" w:type="dxa"/>
          <w:trHeight w:val="300" w:hRule="atLeast"/>
        </w:trPr>
        <w:tc>
          <w:tcPr>
            <w:tcW w:w="4530" w:type="dxa"/>
            <w:gridSpan w:val="5"/>
          </w:tcPr>
          <w:p w14:paraId="1316B00A">
            <w:pPr>
              <w:pStyle w:val="37"/>
              <w:numPr>
                <w:ilvl w:val="255"/>
                <w:numId w:val="0"/>
              </w:numPr>
              <w:jc w:val="center"/>
              <w:rPr>
                <w:rFonts w:hint="eastAsia"/>
                <w:sz w:val="21"/>
                <w:szCs w:val="21"/>
              </w:rPr>
            </w:pPr>
            <w:r>
              <w:rPr>
                <w:rFonts w:hint="eastAsia"/>
                <w:sz w:val="21"/>
                <w:szCs w:val="21"/>
              </w:rPr>
              <w:t xml:space="preserve">可以现金替代比例上限  </w:t>
            </w:r>
          </w:p>
        </w:tc>
        <w:tc>
          <w:tcPr>
            <w:tcW w:w="3992" w:type="dxa"/>
            <w:gridSpan w:val="5"/>
          </w:tcPr>
          <w:p w14:paraId="5CEF84CD">
            <w:pPr>
              <w:pStyle w:val="37"/>
              <w:numPr>
                <w:ilvl w:val="255"/>
                <w:numId w:val="0"/>
              </w:numPr>
              <w:jc w:val="center"/>
              <w:rPr>
                <w:rFonts w:hint="eastAsia"/>
                <w:sz w:val="21"/>
                <w:szCs w:val="21"/>
              </w:rPr>
            </w:pPr>
            <w:r>
              <w:rPr>
                <w:rFonts w:hint="eastAsia"/>
                <w:sz w:val="21"/>
                <w:szCs w:val="21"/>
              </w:rPr>
              <w:t xml:space="preserve">无  </w:t>
            </w:r>
          </w:p>
        </w:tc>
      </w:tr>
      <w:tr w14:paraId="14CCD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2" w:type="dxa"/>
          <w:trHeight w:val="300" w:hRule="atLeast"/>
        </w:trPr>
        <w:tc>
          <w:tcPr>
            <w:tcW w:w="4530" w:type="dxa"/>
            <w:gridSpan w:val="5"/>
          </w:tcPr>
          <w:p w14:paraId="6C556BA2">
            <w:pPr>
              <w:pStyle w:val="37"/>
              <w:numPr>
                <w:ilvl w:val="255"/>
                <w:numId w:val="0"/>
              </w:numPr>
              <w:jc w:val="center"/>
              <w:rPr>
                <w:rFonts w:hint="eastAsia"/>
                <w:sz w:val="21"/>
                <w:szCs w:val="21"/>
              </w:rPr>
            </w:pPr>
            <w:r>
              <w:rPr>
                <w:rFonts w:hint="eastAsia"/>
                <w:sz w:val="21"/>
                <w:szCs w:val="21"/>
              </w:rPr>
              <w:t xml:space="preserve">申购上限  </w:t>
            </w:r>
          </w:p>
        </w:tc>
        <w:tc>
          <w:tcPr>
            <w:tcW w:w="3992" w:type="dxa"/>
            <w:gridSpan w:val="5"/>
          </w:tcPr>
          <w:p w14:paraId="07C17572">
            <w:pPr>
              <w:pStyle w:val="37"/>
              <w:numPr>
                <w:ilvl w:val="255"/>
                <w:numId w:val="0"/>
              </w:numPr>
              <w:jc w:val="center"/>
              <w:rPr>
                <w:rFonts w:hint="eastAsia"/>
                <w:sz w:val="21"/>
                <w:szCs w:val="21"/>
              </w:rPr>
            </w:pPr>
            <w:r>
              <w:rPr>
                <w:rFonts w:hint="eastAsia"/>
                <w:sz w:val="21"/>
                <w:szCs w:val="21"/>
              </w:rPr>
              <w:t xml:space="preserve">无  </w:t>
            </w:r>
          </w:p>
        </w:tc>
      </w:tr>
      <w:tr w14:paraId="645A6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2" w:type="dxa"/>
          <w:trHeight w:val="300" w:hRule="atLeast"/>
        </w:trPr>
        <w:tc>
          <w:tcPr>
            <w:tcW w:w="4530" w:type="dxa"/>
            <w:gridSpan w:val="5"/>
          </w:tcPr>
          <w:p w14:paraId="7D8DD68F">
            <w:pPr>
              <w:pStyle w:val="37"/>
              <w:numPr>
                <w:ilvl w:val="255"/>
                <w:numId w:val="0"/>
              </w:numPr>
              <w:jc w:val="center"/>
              <w:rPr>
                <w:rFonts w:hint="eastAsia"/>
                <w:sz w:val="21"/>
                <w:szCs w:val="21"/>
              </w:rPr>
            </w:pPr>
            <w:r>
              <w:rPr>
                <w:rFonts w:hint="eastAsia"/>
                <w:sz w:val="21"/>
                <w:szCs w:val="21"/>
              </w:rPr>
              <w:t xml:space="preserve">赎回上限  </w:t>
            </w:r>
          </w:p>
        </w:tc>
        <w:tc>
          <w:tcPr>
            <w:tcW w:w="3992" w:type="dxa"/>
            <w:gridSpan w:val="5"/>
          </w:tcPr>
          <w:p w14:paraId="78E16846">
            <w:pPr>
              <w:pStyle w:val="37"/>
              <w:numPr>
                <w:ilvl w:val="255"/>
                <w:numId w:val="0"/>
              </w:numPr>
              <w:jc w:val="center"/>
              <w:rPr>
                <w:rFonts w:hint="eastAsia"/>
                <w:sz w:val="21"/>
                <w:szCs w:val="21"/>
              </w:rPr>
            </w:pPr>
            <w:r>
              <w:rPr>
                <w:rFonts w:hint="eastAsia"/>
                <w:sz w:val="21"/>
                <w:szCs w:val="21"/>
              </w:rPr>
              <w:t xml:space="preserve">无  </w:t>
            </w:r>
          </w:p>
        </w:tc>
      </w:tr>
      <w:tr w14:paraId="3E872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2" w:type="dxa"/>
          <w:trHeight w:val="300" w:hRule="atLeast"/>
        </w:trPr>
        <w:tc>
          <w:tcPr>
            <w:tcW w:w="4530" w:type="dxa"/>
            <w:gridSpan w:val="5"/>
          </w:tcPr>
          <w:p w14:paraId="42F14DD1">
            <w:pPr>
              <w:pStyle w:val="37"/>
              <w:numPr>
                <w:ilvl w:val="255"/>
                <w:numId w:val="0"/>
              </w:numPr>
              <w:jc w:val="center"/>
              <w:rPr>
                <w:rFonts w:hint="eastAsia"/>
                <w:sz w:val="21"/>
                <w:szCs w:val="21"/>
              </w:rPr>
            </w:pPr>
            <w:r>
              <w:rPr>
                <w:rFonts w:hint="eastAsia"/>
                <w:sz w:val="21"/>
                <w:szCs w:val="21"/>
              </w:rPr>
              <w:t xml:space="preserve">是否需要公布IOPV  </w:t>
            </w:r>
          </w:p>
        </w:tc>
        <w:tc>
          <w:tcPr>
            <w:tcW w:w="3992" w:type="dxa"/>
            <w:gridSpan w:val="5"/>
          </w:tcPr>
          <w:p w14:paraId="60D2DF90">
            <w:pPr>
              <w:pStyle w:val="37"/>
              <w:numPr>
                <w:ilvl w:val="255"/>
                <w:numId w:val="0"/>
              </w:numPr>
              <w:jc w:val="center"/>
              <w:rPr>
                <w:rFonts w:hint="eastAsia"/>
                <w:sz w:val="21"/>
                <w:szCs w:val="21"/>
              </w:rPr>
            </w:pPr>
            <w:r>
              <w:rPr>
                <w:rFonts w:hint="eastAsia"/>
                <w:sz w:val="21"/>
                <w:szCs w:val="21"/>
              </w:rPr>
              <w:t xml:space="preserve">是  </w:t>
            </w:r>
          </w:p>
        </w:tc>
      </w:tr>
      <w:tr w14:paraId="7EF56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2" w:type="dxa"/>
          <w:trHeight w:val="300" w:hRule="atLeast"/>
        </w:trPr>
        <w:tc>
          <w:tcPr>
            <w:tcW w:w="4530" w:type="dxa"/>
            <w:gridSpan w:val="5"/>
          </w:tcPr>
          <w:p w14:paraId="51B40225">
            <w:pPr>
              <w:pStyle w:val="37"/>
              <w:numPr>
                <w:ilvl w:val="255"/>
                <w:numId w:val="0"/>
              </w:numPr>
              <w:jc w:val="center"/>
              <w:rPr>
                <w:rFonts w:hint="eastAsia"/>
                <w:sz w:val="21"/>
                <w:szCs w:val="21"/>
              </w:rPr>
            </w:pPr>
            <w:r>
              <w:rPr>
                <w:rFonts w:hint="eastAsia"/>
                <w:sz w:val="21"/>
                <w:szCs w:val="21"/>
              </w:rPr>
              <w:t xml:space="preserve">最小申购赎回单位（单位：份）  </w:t>
            </w:r>
          </w:p>
        </w:tc>
        <w:tc>
          <w:tcPr>
            <w:tcW w:w="3992" w:type="dxa"/>
            <w:gridSpan w:val="5"/>
          </w:tcPr>
          <w:p w14:paraId="4588B553">
            <w:pPr>
              <w:pStyle w:val="37"/>
              <w:numPr>
                <w:ilvl w:val="255"/>
                <w:numId w:val="0"/>
              </w:numPr>
              <w:jc w:val="center"/>
              <w:rPr>
                <w:rFonts w:hint="eastAsia"/>
                <w:sz w:val="21"/>
                <w:szCs w:val="21"/>
              </w:rPr>
            </w:pPr>
            <w:r>
              <w:rPr>
                <w:rFonts w:hint="eastAsia"/>
                <w:sz w:val="21"/>
                <w:szCs w:val="21"/>
                <w:lang w:val="en-US" w:eastAsia="zh-CN"/>
              </w:rPr>
              <w:t>1，00</w:t>
            </w:r>
            <w:r>
              <w:rPr>
                <w:rFonts w:hint="eastAsia"/>
                <w:sz w:val="21"/>
                <w:szCs w:val="21"/>
              </w:rPr>
              <w:t xml:space="preserve">0，000  </w:t>
            </w:r>
          </w:p>
        </w:tc>
      </w:tr>
      <w:tr w14:paraId="295B5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2" w:type="dxa"/>
          <w:trHeight w:val="300" w:hRule="atLeast"/>
        </w:trPr>
        <w:tc>
          <w:tcPr>
            <w:tcW w:w="4530" w:type="dxa"/>
            <w:gridSpan w:val="5"/>
          </w:tcPr>
          <w:p w14:paraId="1FCC88B6">
            <w:pPr>
              <w:pStyle w:val="37"/>
              <w:numPr>
                <w:ilvl w:val="255"/>
                <w:numId w:val="0"/>
              </w:numPr>
              <w:jc w:val="center"/>
              <w:rPr>
                <w:rFonts w:hint="eastAsia"/>
                <w:sz w:val="21"/>
                <w:szCs w:val="21"/>
              </w:rPr>
            </w:pPr>
            <w:r>
              <w:rPr>
                <w:rFonts w:hint="eastAsia"/>
                <w:sz w:val="21"/>
                <w:szCs w:val="21"/>
              </w:rPr>
              <w:t xml:space="preserve">申购、赎回的允许情况  </w:t>
            </w:r>
          </w:p>
        </w:tc>
        <w:tc>
          <w:tcPr>
            <w:tcW w:w="3992" w:type="dxa"/>
            <w:gridSpan w:val="5"/>
          </w:tcPr>
          <w:p w14:paraId="576A5C33">
            <w:pPr>
              <w:pStyle w:val="37"/>
              <w:numPr>
                <w:ilvl w:val="255"/>
                <w:numId w:val="0"/>
              </w:numPr>
              <w:jc w:val="center"/>
              <w:rPr>
                <w:rFonts w:hint="eastAsia"/>
                <w:sz w:val="21"/>
                <w:szCs w:val="21"/>
              </w:rPr>
            </w:pPr>
            <w:r>
              <w:rPr>
                <w:rFonts w:hint="eastAsia"/>
                <w:sz w:val="21"/>
                <w:szCs w:val="21"/>
              </w:rPr>
              <w:t xml:space="preserve">申购、赎回皆允许  </w:t>
            </w:r>
          </w:p>
        </w:tc>
      </w:tr>
      <w:tr w14:paraId="4C33E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2" w:type="dxa"/>
          <w:trHeight w:val="285" w:hRule="atLeast"/>
        </w:trPr>
        <w:tc>
          <w:tcPr>
            <w:tcW w:w="8522" w:type="dxa"/>
            <w:gridSpan w:val="10"/>
          </w:tcPr>
          <w:p w14:paraId="00C0D510">
            <w:pPr>
              <w:pStyle w:val="37"/>
              <w:numPr>
                <w:ilvl w:val="255"/>
                <w:numId w:val="0"/>
              </w:numPr>
              <w:jc w:val="center"/>
              <w:rPr>
                <w:rFonts w:hint="eastAsia"/>
                <w:b/>
                <w:bCs/>
                <w:sz w:val="21"/>
                <w:szCs w:val="21"/>
              </w:rPr>
            </w:pPr>
            <w:r>
              <w:rPr>
                <w:rFonts w:hint="eastAsia"/>
                <w:b/>
                <w:bCs/>
                <w:sz w:val="21"/>
                <w:szCs w:val="21"/>
              </w:rPr>
              <w:t>T日成份股信息内容</w:t>
            </w:r>
          </w:p>
        </w:tc>
      </w:tr>
      <w:tr w14:paraId="4A017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761" w:type="dxa"/>
            <w:vMerge w:val="restart"/>
          </w:tcPr>
          <w:p w14:paraId="6DDE1FE5">
            <w:pPr>
              <w:pStyle w:val="37"/>
              <w:numPr>
                <w:ilvl w:val="255"/>
                <w:numId w:val="0"/>
              </w:numPr>
              <w:jc w:val="center"/>
              <w:rPr>
                <w:rFonts w:hint="eastAsia"/>
                <w:sz w:val="21"/>
                <w:szCs w:val="21"/>
              </w:rPr>
            </w:pPr>
            <w:r>
              <w:rPr>
                <w:rFonts w:hint="eastAsia"/>
                <w:sz w:val="21"/>
                <w:szCs w:val="21"/>
              </w:rPr>
              <w:t>证券代码</w:t>
            </w:r>
          </w:p>
        </w:tc>
        <w:tc>
          <w:tcPr>
            <w:tcW w:w="1190" w:type="dxa"/>
            <w:vMerge w:val="restart"/>
          </w:tcPr>
          <w:p w14:paraId="1840B9D5">
            <w:pPr>
              <w:pStyle w:val="37"/>
              <w:numPr>
                <w:ilvl w:val="255"/>
                <w:numId w:val="0"/>
              </w:numPr>
              <w:jc w:val="center"/>
              <w:rPr>
                <w:rFonts w:hint="eastAsia"/>
                <w:sz w:val="21"/>
                <w:szCs w:val="21"/>
              </w:rPr>
            </w:pPr>
            <w:r>
              <w:rPr>
                <w:rFonts w:hint="eastAsia"/>
                <w:sz w:val="21"/>
                <w:szCs w:val="21"/>
              </w:rPr>
              <w:t>证券简称</w:t>
            </w:r>
          </w:p>
        </w:tc>
        <w:tc>
          <w:tcPr>
            <w:tcW w:w="1130" w:type="dxa"/>
            <w:vMerge w:val="restart"/>
          </w:tcPr>
          <w:p w14:paraId="239FB877">
            <w:pPr>
              <w:pStyle w:val="37"/>
              <w:numPr>
                <w:ilvl w:val="255"/>
                <w:numId w:val="0"/>
              </w:numPr>
              <w:jc w:val="center"/>
              <w:rPr>
                <w:rFonts w:hint="eastAsia"/>
                <w:szCs w:val="21"/>
              </w:rPr>
            </w:pPr>
            <w:r>
              <w:rPr>
                <w:rFonts w:hint="eastAsia"/>
                <w:sz w:val="21"/>
                <w:szCs w:val="21"/>
              </w:rPr>
              <w:t>证券数量</w:t>
            </w:r>
          </w:p>
        </w:tc>
        <w:tc>
          <w:tcPr>
            <w:tcW w:w="1120" w:type="dxa"/>
            <w:vMerge w:val="restart"/>
          </w:tcPr>
          <w:p w14:paraId="28DDA684">
            <w:pPr>
              <w:pStyle w:val="37"/>
              <w:numPr>
                <w:ilvl w:val="255"/>
                <w:numId w:val="0"/>
              </w:numPr>
              <w:jc w:val="center"/>
              <w:rPr>
                <w:rFonts w:hint="eastAsia"/>
                <w:sz w:val="21"/>
                <w:szCs w:val="21"/>
              </w:rPr>
            </w:pPr>
            <w:r>
              <w:rPr>
                <w:rFonts w:hint="eastAsia"/>
                <w:sz w:val="21"/>
                <w:szCs w:val="21"/>
              </w:rPr>
              <w:t>现金替代标志</w:t>
            </w:r>
          </w:p>
        </w:tc>
        <w:tc>
          <w:tcPr>
            <w:tcW w:w="950" w:type="dxa"/>
            <w:gridSpan w:val="2"/>
            <w:vMerge w:val="restart"/>
          </w:tcPr>
          <w:p w14:paraId="2EEBFEBE">
            <w:pPr>
              <w:pStyle w:val="37"/>
              <w:numPr>
                <w:ilvl w:val="255"/>
                <w:numId w:val="0"/>
              </w:numPr>
              <w:jc w:val="center"/>
              <w:rPr>
                <w:rFonts w:hint="eastAsia"/>
                <w:sz w:val="21"/>
                <w:szCs w:val="21"/>
              </w:rPr>
            </w:pPr>
            <w:r>
              <w:rPr>
                <w:sz w:val="21"/>
                <w:szCs w:val="21"/>
              </w:rPr>
              <w:t xml:space="preserve">申购现金替代保证金率 </w:t>
            </w:r>
          </w:p>
        </w:tc>
        <w:tc>
          <w:tcPr>
            <w:tcW w:w="1000" w:type="dxa"/>
            <w:vMerge w:val="restart"/>
          </w:tcPr>
          <w:p w14:paraId="7DACCEE3">
            <w:pPr>
              <w:pStyle w:val="37"/>
              <w:numPr>
                <w:ilvl w:val="255"/>
                <w:numId w:val="0"/>
              </w:numPr>
              <w:jc w:val="center"/>
              <w:rPr>
                <w:rFonts w:hint="eastAsia"/>
                <w:sz w:val="21"/>
                <w:szCs w:val="21"/>
              </w:rPr>
            </w:pPr>
            <w:r>
              <w:rPr>
                <w:sz w:val="21"/>
                <w:szCs w:val="21"/>
              </w:rPr>
              <w:t>赎回现金替代保证金率</w:t>
            </w:r>
          </w:p>
        </w:tc>
        <w:tc>
          <w:tcPr>
            <w:tcW w:w="900" w:type="dxa"/>
          </w:tcPr>
          <w:p w14:paraId="50884884">
            <w:pPr>
              <w:pStyle w:val="37"/>
              <w:numPr>
                <w:ilvl w:val="255"/>
                <w:numId w:val="0"/>
              </w:numPr>
              <w:jc w:val="center"/>
              <w:rPr>
                <w:rFonts w:hint="eastAsia"/>
                <w:sz w:val="21"/>
                <w:szCs w:val="21"/>
              </w:rPr>
            </w:pPr>
            <w:r>
              <w:rPr>
                <w:sz w:val="21"/>
                <w:szCs w:val="21"/>
              </w:rPr>
              <w:t>申购替代金额</w:t>
            </w:r>
          </w:p>
        </w:tc>
        <w:tc>
          <w:tcPr>
            <w:tcW w:w="700" w:type="dxa"/>
          </w:tcPr>
          <w:p w14:paraId="0B7C18B7">
            <w:pPr>
              <w:pStyle w:val="37"/>
              <w:numPr>
                <w:ilvl w:val="255"/>
                <w:numId w:val="0"/>
              </w:numPr>
              <w:jc w:val="center"/>
              <w:rPr>
                <w:rFonts w:hint="eastAsia"/>
                <w:sz w:val="21"/>
                <w:szCs w:val="21"/>
              </w:rPr>
            </w:pPr>
            <w:r>
              <w:rPr>
                <w:sz w:val="21"/>
                <w:szCs w:val="21"/>
              </w:rPr>
              <w:t>赎回替代金额</w:t>
            </w:r>
          </w:p>
        </w:tc>
        <w:tc>
          <w:tcPr>
            <w:tcW w:w="803" w:type="dxa"/>
            <w:gridSpan w:val="2"/>
          </w:tcPr>
          <w:p w14:paraId="25880CD1">
            <w:pPr>
              <w:pStyle w:val="37"/>
              <w:numPr>
                <w:ilvl w:val="255"/>
                <w:numId w:val="0"/>
              </w:numPr>
              <w:jc w:val="center"/>
              <w:rPr>
                <w:rFonts w:hint="eastAsia"/>
                <w:sz w:val="21"/>
                <w:szCs w:val="21"/>
              </w:rPr>
            </w:pPr>
            <w:r>
              <w:rPr>
                <w:sz w:val="21"/>
                <w:szCs w:val="21"/>
              </w:rPr>
              <w:t>挂牌市场</w:t>
            </w:r>
          </w:p>
        </w:tc>
      </w:tr>
      <w:tr w14:paraId="4CCCB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1" w:type="dxa"/>
          </w:tcPr>
          <w:p w14:paraId="11DE7588">
            <w:pPr>
              <w:pStyle w:val="37"/>
              <w:numPr>
                <w:ilvl w:val="255"/>
                <w:numId w:val="0"/>
              </w:numPr>
              <w:jc w:val="center"/>
              <w:rPr>
                <w:rFonts w:hint="eastAsia"/>
                <w:sz w:val="21"/>
                <w:szCs w:val="21"/>
              </w:rPr>
            </w:pPr>
          </w:p>
        </w:tc>
        <w:tc>
          <w:tcPr>
            <w:tcW w:w="1190" w:type="dxa"/>
          </w:tcPr>
          <w:p w14:paraId="7D27C94D">
            <w:pPr>
              <w:pStyle w:val="37"/>
              <w:numPr>
                <w:ilvl w:val="255"/>
                <w:numId w:val="0"/>
              </w:numPr>
              <w:jc w:val="center"/>
              <w:rPr>
                <w:rFonts w:hint="eastAsia"/>
                <w:sz w:val="21"/>
                <w:szCs w:val="21"/>
              </w:rPr>
            </w:pPr>
          </w:p>
        </w:tc>
        <w:tc>
          <w:tcPr>
            <w:tcW w:w="1130" w:type="dxa"/>
          </w:tcPr>
          <w:p w14:paraId="2CCE4305">
            <w:pPr>
              <w:pStyle w:val="37"/>
              <w:numPr>
                <w:ilvl w:val="255"/>
                <w:numId w:val="0"/>
              </w:numPr>
              <w:jc w:val="center"/>
              <w:rPr>
                <w:rFonts w:hint="eastAsia"/>
                <w:sz w:val="21"/>
                <w:szCs w:val="21"/>
              </w:rPr>
            </w:pPr>
          </w:p>
        </w:tc>
        <w:tc>
          <w:tcPr>
            <w:tcW w:w="1120" w:type="dxa"/>
          </w:tcPr>
          <w:p w14:paraId="44F1A444">
            <w:pPr>
              <w:pStyle w:val="37"/>
              <w:numPr>
                <w:ilvl w:val="255"/>
                <w:numId w:val="0"/>
              </w:numPr>
              <w:jc w:val="center"/>
              <w:rPr>
                <w:rFonts w:hint="eastAsia"/>
                <w:sz w:val="21"/>
                <w:szCs w:val="21"/>
              </w:rPr>
            </w:pPr>
          </w:p>
        </w:tc>
        <w:tc>
          <w:tcPr>
            <w:tcW w:w="950" w:type="dxa"/>
            <w:gridSpan w:val="2"/>
          </w:tcPr>
          <w:p w14:paraId="33DF2F10">
            <w:pPr>
              <w:pStyle w:val="37"/>
              <w:numPr>
                <w:ilvl w:val="255"/>
                <w:numId w:val="0"/>
              </w:numPr>
              <w:jc w:val="center"/>
              <w:rPr>
                <w:rFonts w:hint="eastAsia"/>
                <w:sz w:val="21"/>
                <w:szCs w:val="21"/>
              </w:rPr>
            </w:pPr>
          </w:p>
        </w:tc>
        <w:tc>
          <w:tcPr>
            <w:tcW w:w="1000" w:type="dxa"/>
          </w:tcPr>
          <w:p w14:paraId="5479A637">
            <w:pPr>
              <w:pStyle w:val="37"/>
              <w:numPr>
                <w:ilvl w:val="255"/>
                <w:numId w:val="0"/>
              </w:numPr>
              <w:jc w:val="center"/>
              <w:rPr>
                <w:rFonts w:hint="eastAsia" w:cs="宋体"/>
                <w:sz w:val="21"/>
                <w:szCs w:val="21"/>
              </w:rPr>
            </w:pPr>
          </w:p>
        </w:tc>
        <w:tc>
          <w:tcPr>
            <w:tcW w:w="900" w:type="dxa"/>
          </w:tcPr>
          <w:p w14:paraId="3719A131">
            <w:pPr>
              <w:pStyle w:val="37"/>
              <w:numPr>
                <w:ilvl w:val="255"/>
                <w:numId w:val="0"/>
              </w:numPr>
              <w:jc w:val="center"/>
              <w:rPr>
                <w:rFonts w:hint="eastAsia" w:cs="宋体"/>
                <w:sz w:val="21"/>
                <w:szCs w:val="21"/>
              </w:rPr>
            </w:pPr>
          </w:p>
        </w:tc>
        <w:tc>
          <w:tcPr>
            <w:tcW w:w="700" w:type="dxa"/>
          </w:tcPr>
          <w:p w14:paraId="288CDE19">
            <w:pPr>
              <w:pStyle w:val="37"/>
              <w:numPr>
                <w:ilvl w:val="255"/>
                <w:numId w:val="0"/>
              </w:numPr>
              <w:jc w:val="center"/>
              <w:rPr>
                <w:rFonts w:hint="eastAsia" w:cs="宋体"/>
                <w:sz w:val="21"/>
                <w:szCs w:val="21"/>
              </w:rPr>
            </w:pPr>
          </w:p>
        </w:tc>
        <w:tc>
          <w:tcPr>
            <w:tcW w:w="803" w:type="dxa"/>
            <w:gridSpan w:val="2"/>
          </w:tcPr>
          <w:p w14:paraId="32CC1DF8">
            <w:pPr>
              <w:pStyle w:val="37"/>
              <w:numPr>
                <w:ilvl w:val="255"/>
                <w:numId w:val="0"/>
              </w:numPr>
              <w:jc w:val="center"/>
              <w:rPr>
                <w:rFonts w:hint="eastAsia" w:cs="宋体"/>
                <w:sz w:val="21"/>
                <w:szCs w:val="21"/>
              </w:rPr>
            </w:pPr>
          </w:p>
        </w:tc>
      </w:tr>
    </w:tbl>
    <w:p w14:paraId="188753DF">
      <w:pPr>
        <w:widowControl/>
        <w:adjustRightInd w:val="0"/>
        <w:snapToGrid w:val="0"/>
        <w:spacing w:line="360" w:lineRule="auto"/>
        <w:ind w:firstLine="420"/>
        <w:jc w:val="left"/>
        <w:rPr>
          <w:rFonts w:hint="eastAsia" w:ascii="宋体" w:hAnsi="宋体" w:cs="Arial"/>
        </w:rPr>
      </w:pPr>
      <w:r>
        <w:rPr>
          <w:rFonts w:ascii="宋体" w:hAnsi="宋体" w:cs="Arial"/>
          <w:szCs w:val="21"/>
        </w:rPr>
        <w:t>以上申购赎</w:t>
      </w:r>
      <w:r>
        <w:rPr>
          <w:rFonts w:ascii="宋体" w:hAnsi="宋体" w:cs="Arial"/>
        </w:rPr>
        <w:t>回清单仅为示例，具体以实际公布的为准。</w:t>
      </w:r>
    </w:p>
    <w:p w14:paraId="08D4B68C">
      <w:pPr>
        <w:widowControl/>
        <w:adjustRightInd w:val="0"/>
        <w:snapToGrid w:val="0"/>
        <w:spacing w:line="360" w:lineRule="auto"/>
        <w:ind w:firstLine="420"/>
        <w:jc w:val="left"/>
        <w:rPr>
          <w:rFonts w:hint="eastAsia" w:ascii="宋体" w:hAnsi="宋体" w:cs="宋体"/>
          <w:kern w:val="0"/>
          <w:szCs w:val="21"/>
        </w:rPr>
      </w:pPr>
      <w:r>
        <w:rPr>
          <w:rFonts w:hint="eastAsia" w:ascii="宋体" w:hAnsi="宋体" w:cs="Arial"/>
        </w:rPr>
        <w:t>若深圳证券交易所或中国证券登记结算有限责任公司对申购赎回清单的格式进行调整，基金管理人将视情况对相关格式进行相应的调整，并依照《信息披露办法》的有关规定在规定媒介上公告。</w:t>
      </w:r>
      <w:bookmarkEnd w:id="113"/>
      <w:bookmarkEnd w:id="114"/>
      <w:r>
        <w:rPr>
          <w:rFonts w:hint="eastAsia" w:ascii="宋体" w:hAnsi="宋体" w:cs="宋体"/>
          <w:kern w:val="0"/>
          <w:szCs w:val="21"/>
        </w:rPr>
        <w:t xml:space="preserve"> </w:t>
      </w:r>
    </w:p>
    <w:p w14:paraId="193165BF">
      <w:pPr>
        <w:adjustRightInd w:val="0"/>
        <w:snapToGrid w:val="0"/>
        <w:spacing w:line="360" w:lineRule="auto"/>
        <w:ind w:firstLine="422" w:firstLineChars="200"/>
        <w:rPr>
          <w:rFonts w:hint="eastAsia" w:ascii="宋体" w:hAnsi="宋体"/>
          <w:b/>
          <w:szCs w:val="21"/>
        </w:rPr>
      </w:pPr>
      <w:bookmarkStart w:id="115" w:name="OLE_LINK17"/>
      <w:bookmarkStart w:id="116" w:name="OLE_LINK18"/>
      <w:r>
        <w:rPr>
          <w:rFonts w:hint="eastAsia" w:ascii="宋体" w:hAnsi="宋体"/>
          <w:b/>
          <w:szCs w:val="21"/>
        </w:rPr>
        <w:t>八、拒绝或暂停申购的情形及处理方式</w:t>
      </w:r>
    </w:p>
    <w:p w14:paraId="35AECFBA">
      <w:pPr>
        <w:adjustRightInd w:val="0"/>
        <w:snapToGrid w:val="0"/>
        <w:spacing w:line="360" w:lineRule="auto"/>
        <w:ind w:firstLine="420" w:firstLineChars="200"/>
        <w:rPr>
          <w:rFonts w:hint="eastAsia" w:ascii="宋体" w:hAnsi="宋体"/>
          <w:szCs w:val="21"/>
        </w:rPr>
      </w:pPr>
      <w:r>
        <w:rPr>
          <w:rFonts w:hint="eastAsia" w:ascii="宋体" w:hAnsi="宋体"/>
          <w:szCs w:val="21"/>
        </w:rPr>
        <w:t>发生下列情况时，基金管理人可拒绝或暂停接受投资人的申购申请：</w:t>
      </w:r>
    </w:p>
    <w:p w14:paraId="6275AEA6">
      <w:pPr>
        <w:adjustRightInd w:val="0"/>
        <w:snapToGrid w:val="0"/>
        <w:spacing w:line="360" w:lineRule="auto"/>
        <w:ind w:firstLine="420" w:firstLineChars="200"/>
        <w:rPr>
          <w:rFonts w:hint="eastAsia" w:ascii="宋体" w:hAnsi="宋体"/>
          <w:szCs w:val="21"/>
        </w:rPr>
      </w:pPr>
      <w:r>
        <w:rPr>
          <w:rFonts w:hint="eastAsia" w:ascii="宋体" w:hAnsi="宋体"/>
          <w:szCs w:val="21"/>
        </w:rPr>
        <w:t>1、因不可抗力导致基金无法正常运作、基金管理人无法受理或办理基金份额持有人的申购申请；</w:t>
      </w:r>
    </w:p>
    <w:p w14:paraId="32A27236">
      <w:pPr>
        <w:adjustRightInd w:val="0"/>
        <w:snapToGrid w:val="0"/>
        <w:spacing w:line="360" w:lineRule="auto"/>
        <w:ind w:firstLine="420" w:firstLineChars="200"/>
        <w:rPr>
          <w:rFonts w:hint="eastAsia" w:ascii="宋体" w:hAnsi="宋体"/>
          <w:szCs w:val="21"/>
        </w:rPr>
      </w:pPr>
      <w:r>
        <w:rPr>
          <w:rFonts w:hint="eastAsia" w:ascii="宋体" w:hAnsi="宋体"/>
          <w:szCs w:val="21"/>
        </w:rPr>
        <w:t>2、证券/期货交易所交易时间非正常停市，导致基金管理人无法计算当日基金资产净值或无法进行证券交易；</w:t>
      </w:r>
    </w:p>
    <w:p w14:paraId="4A897E52">
      <w:pPr>
        <w:adjustRightInd w:val="0"/>
        <w:snapToGrid w:val="0"/>
        <w:spacing w:line="360" w:lineRule="auto"/>
        <w:ind w:firstLine="420" w:firstLineChars="200"/>
        <w:rPr>
          <w:rFonts w:hint="eastAsia" w:ascii="宋体" w:hAnsi="宋体"/>
          <w:szCs w:val="21"/>
        </w:rPr>
      </w:pPr>
      <w:r>
        <w:rPr>
          <w:rFonts w:hint="eastAsia" w:ascii="宋体" w:hAnsi="宋体"/>
          <w:szCs w:val="21"/>
        </w:rPr>
        <w:t>3、发生基金合同规定的暂停基金资产估值情况时；</w:t>
      </w:r>
    </w:p>
    <w:p w14:paraId="24CC7293">
      <w:pPr>
        <w:adjustRightInd w:val="0"/>
        <w:snapToGrid w:val="0"/>
        <w:spacing w:line="360" w:lineRule="auto"/>
        <w:ind w:firstLine="420" w:firstLineChars="200"/>
        <w:rPr>
          <w:rFonts w:hint="eastAsia" w:ascii="宋体" w:hAnsi="宋体"/>
          <w:szCs w:val="21"/>
        </w:rPr>
      </w:pPr>
      <w:r>
        <w:rPr>
          <w:rFonts w:hint="eastAsia" w:ascii="宋体" w:hAnsi="宋体"/>
          <w:szCs w:val="21"/>
        </w:rPr>
        <w:t>4、接受某笔或某些申购申请可能会影响或损害现有基金份额持有人利益时；</w:t>
      </w:r>
    </w:p>
    <w:p w14:paraId="56740B68">
      <w:pPr>
        <w:adjustRightInd w:val="0"/>
        <w:snapToGrid w:val="0"/>
        <w:spacing w:line="360" w:lineRule="auto"/>
        <w:ind w:firstLine="420" w:firstLineChars="200"/>
        <w:rPr>
          <w:rFonts w:hint="eastAsia" w:ascii="宋体" w:hAnsi="宋体"/>
          <w:szCs w:val="21"/>
        </w:rPr>
      </w:pPr>
      <w:r>
        <w:rPr>
          <w:rFonts w:hint="eastAsia" w:ascii="宋体" w:hAnsi="宋体"/>
          <w:szCs w:val="21"/>
        </w:rPr>
        <w:t>5、申请超过基金管理人设定的基金总规模、单日净申购比例上限、单一投资者单日或单笔申购份额上限的；</w:t>
      </w:r>
    </w:p>
    <w:p w14:paraId="753E90B6">
      <w:pPr>
        <w:adjustRightInd w:val="0"/>
        <w:snapToGrid w:val="0"/>
        <w:spacing w:line="360" w:lineRule="auto"/>
        <w:ind w:firstLine="420" w:firstLineChars="200"/>
        <w:rPr>
          <w:rFonts w:hint="eastAsia" w:ascii="宋体" w:hAnsi="宋体"/>
          <w:szCs w:val="21"/>
        </w:rPr>
      </w:pPr>
      <w:r>
        <w:rPr>
          <w:rFonts w:hint="eastAsia" w:ascii="宋体" w:hAnsi="宋体"/>
          <w:szCs w:val="21"/>
        </w:rPr>
        <w:t>6、当前一估值日基金资产净值50%以上的资产出现无可参考的活跃市场价格且采用估值技术仍导致公允价值存在重大不确定性时，经与基金托管人协商确认后，基金管理人应当暂停接受基金申购申请；</w:t>
      </w:r>
    </w:p>
    <w:p w14:paraId="2B6F17CC">
      <w:pPr>
        <w:adjustRightInd w:val="0"/>
        <w:snapToGrid w:val="0"/>
        <w:spacing w:line="360" w:lineRule="auto"/>
        <w:ind w:firstLine="420" w:firstLineChars="200"/>
        <w:rPr>
          <w:rFonts w:hint="eastAsia" w:ascii="宋体" w:hAnsi="宋体"/>
          <w:szCs w:val="21"/>
        </w:rPr>
      </w:pPr>
      <w:r>
        <w:rPr>
          <w:rFonts w:hint="eastAsia" w:ascii="宋体" w:hAnsi="宋体"/>
          <w:szCs w:val="21"/>
        </w:rPr>
        <w:t>7、基金资产规模过大，使基金管理人无法找到合适的投资品种，或其他可能对基金业绩产生负面影响，或发生其他损害现有基金份额持有人利益的情形；</w:t>
      </w:r>
    </w:p>
    <w:p w14:paraId="504403F1">
      <w:pPr>
        <w:adjustRightInd w:val="0"/>
        <w:snapToGrid w:val="0"/>
        <w:spacing w:line="360" w:lineRule="auto"/>
        <w:ind w:firstLine="420" w:firstLineChars="200"/>
        <w:rPr>
          <w:rFonts w:hint="eastAsia" w:ascii="宋体" w:hAnsi="宋体"/>
          <w:szCs w:val="21"/>
        </w:rPr>
      </w:pPr>
      <w:r>
        <w:rPr>
          <w:rFonts w:hint="eastAsia" w:ascii="宋体" w:hAnsi="宋体"/>
          <w:szCs w:val="21"/>
        </w:rPr>
        <w:t>8、法律法规、深圳证券交易所规定或中国证监会认定的其他情形。</w:t>
      </w:r>
    </w:p>
    <w:p w14:paraId="733219F6">
      <w:pPr>
        <w:adjustRightInd w:val="0"/>
        <w:snapToGrid w:val="0"/>
        <w:spacing w:line="360" w:lineRule="auto"/>
        <w:ind w:firstLine="420" w:firstLineChars="200"/>
        <w:rPr>
          <w:rFonts w:hint="eastAsia" w:ascii="宋体" w:hAnsi="宋体"/>
          <w:szCs w:val="21"/>
        </w:rPr>
      </w:pPr>
      <w:r>
        <w:rPr>
          <w:rFonts w:hint="eastAsia" w:ascii="宋体" w:hAnsi="宋体"/>
          <w:szCs w:val="21"/>
        </w:rPr>
        <w:t>发生上述第1、2、3、6、7、8项暂停申购情形之一且基金管理人决定暂停接受投资人申购申请时，基金管理人应当根据有关规定在规定媒介上刊登暂停申购公告。如果投资人的申购申请全部或部分被拒绝，被拒绝的申购对价将退还给投资人。在暂停申购的情况消除时，基金管理人应及时恢复申购业务的办理。</w:t>
      </w:r>
    </w:p>
    <w:p w14:paraId="62C60CC8">
      <w:pPr>
        <w:adjustRightInd w:val="0"/>
        <w:snapToGrid w:val="0"/>
        <w:spacing w:line="360" w:lineRule="auto"/>
        <w:ind w:firstLine="420" w:firstLineChars="200"/>
        <w:rPr>
          <w:rFonts w:hint="eastAsia" w:ascii="宋体" w:hAnsi="宋体"/>
          <w:szCs w:val="21"/>
        </w:rPr>
      </w:pPr>
      <w:r>
        <w:rPr>
          <w:rFonts w:hint="eastAsia" w:ascii="宋体" w:hAnsi="宋体"/>
          <w:szCs w:val="21"/>
        </w:rPr>
        <w:t>在发生暂停申购或赎回的情形之一时，本基金的申购和赎回可能同时暂停。</w:t>
      </w:r>
    </w:p>
    <w:p w14:paraId="3603185C">
      <w:pPr>
        <w:adjustRightInd w:val="0"/>
        <w:snapToGrid w:val="0"/>
        <w:spacing w:line="360" w:lineRule="auto"/>
        <w:ind w:firstLine="422" w:firstLineChars="200"/>
        <w:rPr>
          <w:rFonts w:hint="eastAsia" w:ascii="宋体" w:hAnsi="宋体"/>
          <w:b/>
          <w:szCs w:val="21"/>
        </w:rPr>
      </w:pPr>
      <w:r>
        <w:rPr>
          <w:rFonts w:hint="eastAsia" w:ascii="宋体" w:hAnsi="宋体"/>
          <w:b/>
          <w:szCs w:val="21"/>
        </w:rPr>
        <w:t>九、</w:t>
      </w:r>
      <w:r>
        <w:rPr>
          <w:rFonts w:ascii="宋体" w:hAnsi="宋体"/>
          <w:b/>
          <w:szCs w:val="21"/>
        </w:rPr>
        <w:t>暂停赎回或延缓支付赎回对价的情形及处理方式</w:t>
      </w:r>
    </w:p>
    <w:p w14:paraId="52962BC3">
      <w:pPr>
        <w:adjustRightInd w:val="0"/>
        <w:snapToGrid w:val="0"/>
        <w:spacing w:line="360" w:lineRule="auto"/>
        <w:ind w:firstLine="422" w:firstLineChars="201"/>
        <w:rPr>
          <w:rFonts w:hint="eastAsia" w:ascii="宋体" w:hAnsi="宋体"/>
          <w:szCs w:val="21"/>
        </w:rPr>
      </w:pPr>
      <w:bookmarkStart w:id="117" w:name="_Hlt70481650"/>
      <w:bookmarkEnd w:id="117"/>
      <w:r>
        <w:rPr>
          <w:rFonts w:hint="eastAsia" w:ascii="宋体" w:hAnsi="宋体"/>
          <w:szCs w:val="21"/>
        </w:rPr>
        <w:t>发生下列情形时，基金管理人可暂停接受投资人的赎回申请或延缓支付赎回对价：</w:t>
      </w:r>
    </w:p>
    <w:p w14:paraId="17D9D113">
      <w:pPr>
        <w:adjustRightInd w:val="0"/>
        <w:snapToGrid w:val="0"/>
        <w:spacing w:line="360" w:lineRule="auto"/>
        <w:ind w:firstLine="422" w:firstLineChars="201"/>
        <w:rPr>
          <w:rFonts w:hint="eastAsia" w:ascii="宋体" w:hAnsi="宋体"/>
          <w:szCs w:val="21"/>
        </w:rPr>
      </w:pPr>
      <w:r>
        <w:rPr>
          <w:rFonts w:hint="eastAsia" w:ascii="宋体" w:hAnsi="宋体"/>
          <w:szCs w:val="21"/>
        </w:rPr>
        <w:t>1、因不可抗力导致基金管理人无法受理或办理基金份额持有人的赎回申请；</w:t>
      </w:r>
    </w:p>
    <w:p w14:paraId="468E93C8">
      <w:pPr>
        <w:adjustRightInd w:val="0"/>
        <w:snapToGrid w:val="0"/>
        <w:spacing w:line="360" w:lineRule="auto"/>
        <w:ind w:firstLine="422" w:firstLineChars="201"/>
        <w:rPr>
          <w:rFonts w:hint="eastAsia" w:ascii="宋体" w:hAnsi="宋体"/>
          <w:szCs w:val="21"/>
        </w:rPr>
      </w:pPr>
      <w:r>
        <w:rPr>
          <w:rFonts w:hint="eastAsia" w:ascii="宋体" w:hAnsi="宋体"/>
          <w:szCs w:val="21"/>
        </w:rPr>
        <w:t>2、证券/期货交易所交易时间非正常停市，导致基金管理人无法计算当日基金资产净值或无法进行证券交易；</w:t>
      </w:r>
    </w:p>
    <w:p w14:paraId="4F1B8736">
      <w:pPr>
        <w:adjustRightInd w:val="0"/>
        <w:snapToGrid w:val="0"/>
        <w:spacing w:line="360" w:lineRule="auto"/>
        <w:ind w:firstLine="422" w:firstLineChars="201"/>
        <w:rPr>
          <w:rFonts w:hint="eastAsia" w:ascii="宋体" w:hAnsi="宋体"/>
          <w:szCs w:val="21"/>
        </w:rPr>
      </w:pPr>
      <w:r>
        <w:rPr>
          <w:rFonts w:hint="eastAsia" w:ascii="宋体" w:hAnsi="宋体"/>
          <w:szCs w:val="21"/>
        </w:rPr>
        <w:t>3、发生基金合同规定的暂停基金资产估值情况时；</w:t>
      </w:r>
    </w:p>
    <w:p w14:paraId="226719DE">
      <w:pPr>
        <w:adjustRightInd w:val="0"/>
        <w:snapToGrid w:val="0"/>
        <w:spacing w:line="360" w:lineRule="auto"/>
        <w:ind w:firstLine="422" w:firstLineChars="201"/>
        <w:rPr>
          <w:rFonts w:hint="eastAsia" w:ascii="宋体" w:hAnsi="宋体"/>
          <w:szCs w:val="21"/>
        </w:rPr>
      </w:pPr>
      <w:r>
        <w:rPr>
          <w:rFonts w:hint="eastAsia" w:ascii="宋体" w:hAnsi="宋体"/>
          <w:szCs w:val="21"/>
        </w:rPr>
        <w:t>4、发生继续接受赎回申请将损害现有基金份额持有人利益的情形时，基金管理人可暂停接受投资人的赎回申请；</w:t>
      </w:r>
    </w:p>
    <w:p w14:paraId="50F9550A">
      <w:pPr>
        <w:adjustRightInd w:val="0"/>
        <w:snapToGrid w:val="0"/>
        <w:spacing w:line="360" w:lineRule="auto"/>
        <w:ind w:firstLine="422" w:firstLineChars="201"/>
        <w:rPr>
          <w:rFonts w:hint="eastAsia" w:ascii="宋体" w:hAnsi="宋体"/>
          <w:szCs w:val="21"/>
        </w:rPr>
      </w:pPr>
      <w:r>
        <w:rPr>
          <w:rFonts w:hint="eastAsia" w:ascii="宋体" w:hAnsi="宋体"/>
          <w:szCs w:val="21"/>
        </w:rPr>
        <w:t>5、本基金当日总赎回份额达到基金管理人所设定的上限，基金管理人可拒绝赎回申请；</w:t>
      </w:r>
    </w:p>
    <w:p w14:paraId="2F936B04">
      <w:pPr>
        <w:adjustRightInd w:val="0"/>
        <w:snapToGrid w:val="0"/>
        <w:spacing w:line="360" w:lineRule="auto"/>
        <w:ind w:firstLine="422" w:firstLineChars="201"/>
        <w:rPr>
          <w:rFonts w:hint="eastAsia" w:ascii="宋体" w:hAnsi="宋体"/>
          <w:szCs w:val="21"/>
        </w:rPr>
      </w:pPr>
      <w:r>
        <w:rPr>
          <w:rFonts w:hint="eastAsia" w:ascii="宋体" w:hAnsi="宋体"/>
          <w:szCs w:val="21"/>
        </w:rPr>
        <w:t>6、当前一估值日基金资产净值50%以上的资产出现无可参考的活跃市场价格且采用估值技术仍导致公允价值存在重大不确定性时，经与基金托管人协商确认后，基金管理人应当延缓支付赎回对价或暂停接受基金赎回申请；</w:t>
      </w:r>
    </w:p>
    <w:p w14:paraId="51AE1FC3">
      <w:pPr>
        <w:adjustRightInd w:val="0"/>
        <w:snapToGrid w:val="0"/>
        <w:spacing w:line="360" w:lineRule="auto"/>
        <w:ind w:firstLine="422" w:firstLineChars="201"/>
        <w:rPr>
          <w:rFonts w:hint="eastAsia" w:ascii="宋体" w:hAnsi="宋体"/>
          <w:szCs w:val="21"/>
        </w:rPr>
      </w:pPr>
      <w:r>
        <w:rPr>
          <w:rFonts w:hint="eastAsia" w:ascii="宋体" w:hAnsi="宋体"/>
          <w:szCs w:val="21"/>
        </w:rPr>
        <w:t>7、法律法规、深圳证券交易所规定或中国证监会认定的其他情形。</w:t>
      </w:r>
    </w:p>
    <w:p w14:paraId="6F8492E2">
      <w:pPr>
        <w:adjustRightInd w:val="0"/>
        <w:snapToGrid w:val="0"/>
        <w:spacing w:line="360" w:lineRule="auto"/>
        <w:ind w:firstLine="422" w:firstLineChars="201"/>
        <w:rPr>
          <w:rFonts w:hint="eastAsia" w:ascii="宋体" w:hAnsi="宋体"/>
          <w:szCs w:val="21"/>
        </w:rPr>
      </w:pPr>
      <w:r>
        <w:rPr>
          <w:rFonts w:hint="eastAsia" w:ascii="宋体" w:hAnsi="宋体"/>
          <w:szCs w:val="21"/>
        </w:rPr>
        <w:t>发生上述情形之一且基金管理人决定暂停赎回或延缓支付赎回对价时，基金管理人应按规定报中国证监会备案。已接受的赎回申请，基金管理人应足额支付，基金份额持有人在申请赎回时可事先选择将当日可能未获受理部分予以撤销，如暂时不能足额支付，未支付部分可延期支付。在暂停赎回的情况消除时，基金管理人应及时恢复赎回业务的办理并公告。</w:t>
      </w:r>
    </w:p>
    <w:p w14:paraId="64E0F535">
      <w:pPr>
        <w:adjustRightInd w:val="0"/>
        <w:snapToGrid w:val="0"/>
        <w:spacing w:line="360" w:lineRule="auto"/>
        <w:ind w:firstLine="422" w:firstLineChars="201"/>
        <w:rPr>
          <w:rFonts w:hint="eastAsia" w:ascii="宋体" w:hAnsi="宋体"/>
          <w:szCs w:val="21"/>
        </w:rPr>
      </w:pPr>
      <w:r>
        <w:rPr>
          <w:rFonts w:hint="eastAsia" w:ascii="宋体" w:hAnsi="宋体"/>
          <w:szCs w:val="21"/>
        </w:rPr>
        <w:t>在发生暂停申购或赎回的情形之一时，本基金的申购和赎回可能同时暂停。</w:t>
      </w:r>
    </w:p>
    <w:p w14:paraId="4C089484">
      <w:pPr>
        <w:adjustRightInd w:val="0"/>
        <w:snapToGrid w:val="0"/>
        <w:spacing w:line="360" w:lineRule="auto"/>
        <w:ind w:firstLine="424" w:firstLineChars="201"/>
        <w:rPr>
          <w:rFonts w:hint="eastAsia" w:ascii="宋体" w:hAnsi="宋体"/>
          <w:b/>
        </w:rPr>
      </w:pPr>
      <w:r>
        <w:rPr>
          <w:rFonts w:hint="eastAsia" w:ascii="宋体" w:hAnsi="宋体"/>
          <w:b/>
        </w:rPr>
        <w:t>十、基金清算交收与登记模式的调整或新增</w:t>
      </w:r>
    </w:p>
    <w:p w14:paraId="57C06BAC">
      <w:pPr>
        <w:adjustRightInd w:val="0"/>
        <w:snapToGrid w:val="0"/>
        <w:spacing w:line="360" w:lineRule="auto"/>
        <w:ind w:firstLine="422" w:firstLineChars="201"/>
        <w:rPr>
          <w:rFonts w:hint="eastAsia" w:ascii="宋体" w:hAnsi="宋体"/>
        </w:rPr>
      </w:pPr>
      <w:r>
        <w:rPr>
          <w:rFonts w:hint="eastAsia" w:ascii="宋体" w:hAnsi="宋体"/>
        </w:rPr>
        <w:t>本基金获批后，若深圳证券交易所和中国证券登记结算有限责任公司针对交易型开放式指数证券投资基金推出新的清算交收与登记模式并引入新的申购、赎回方式，在履行适当程序后，本基金管理人有权调整本基金的清算交收与登记模式及申购、赎回方式，或新增本基金的清算交收与登记模式并引入新的申购、赎回方式，届时将发布公告予以披露并对本基金的招募说明书予以更新，无</w:t>
      </w:r>
      <w:r>
        <w:rPr>
          <w:rFonts w:ascii="宋体" w:hAnsi="宋体"/>
        </w:rPr>
        <w:t>需</w:t>
      </w:r>
      <w:r>
        <w:rPr>
          <w:rFonts w:hint="eastAsia" w:ascii="宋体" w:hAnsi="宋体"/>
        </w:rPr>
        <w:t>召开持有人大会审议。</w:t>
      </w:r>
    </w:p>
    <w:p w14:paraId="1DB35E1B">
      <w:pPr>
        <w:adjustRightInd w:val="0"/>
        <w:snapToGrid w:val="0"/>
        <w:spacing w:line="360" w:lineRule="auto"/>
        <w:ind w:firstLine="424" w:firstLineChars="201"/>
        <w:rPr>
          <w:rFonts w:hint="eastAsia" w:ascii="宋体" w:hAnsi="宋体"/>
          <w:b/>
        </w:rPr>
      </w:pPr>
      <w:r>
        <w:rPr>
          <w:rFonts w:hint="eastAsia" w:ascii="宋体" w:hAnsi="宋体"/>
          <w:b/>
        </w:rPr>
        <w:t xml:space="preserve">十一、基金份额拆分与合并 </w:t>
      </w:r>
    </w:p>
    <w:p w14:paraId="4EEEDA09">
      <w:pPr>
        <w:adjustRightInd w:val="0"/>
        <w:snapToGrid w:val="0"/>
        <w:spacing w:line="360" w:lineRule="auto"/>
        <w:ind w:firstLine="422" w:firstLineChars="201"/>
        <w:rPr>
          <w:rFonts w:hint="eastAsia" w:ascii="宋体" w:hAnsi="宋体"/>
        </w:rPr>
      </w:pPr>
      <w:r>
        <w:rPr>
          <w:rFonts w:hint="eastAsia" w:ascii="宋体" w:hAnsi="宋体"/>
        </w:rPr>
        <w:t xml:space="preserve">基金成立后，在法律法规规定的范围内，在履行适当程序后，本基金可实施基金份额拆分或合并。 </w:t>
      </w:r>
    </w:p>
    <w:p w14:paraId="1EFD79A4">
      <w:pPr>
        <w:adjustRightInd w:val="0"/>
        <w:snapToGrid w:val="0"/>
        <w:spacing w:line="360" w:lineRule="auto"/>
        <w:ind w:firstLine="422" w:firstLineChars="201"/>
        <w:rPr>
          <w:rFonts w:hint="eastAsia" w:ascii="宋体" w:hAnsi="宋体"/>
        </w:rPr>
      </w:pPr>
      <w:r>
        <w:rPr>
          <w:rFonts w:hint="eastAsia" w:ascii="宋体" w:hAnsi="宋体"/>
        </w:rPr>
        <w:t>基金份额拆分或合并是在保持现有基金份额持有人资产总值不变的前提下，改变基金份额净值和持有基金份额的对应关系，是重新列示基金资产的一种方式。基金份额拆分或合并对基金份额持有人的权益无实质性影响。</w:t>
      </w:r>
    </w:p>
    <w:p w14:paraId="0F261516">
      <w:pPr>
        <w:adjustRightInd w:val="0"/>
        <w:snapToGrid w:val="0"/>
        <w:spacing w:line="360" w:lineRule="auto"/>
        <w:ind w:firstLine="424" w:firstLineChars="201"/>
        <w:rPr>
          <w:rFonts w:hint="eastAsia" w:ascii="宋体" w:hAnsi="宋体"/>
          <w:b/>
        </w:rPr>
      </w:pPr>
      <w:r>
        <w:rPr>
          <w:rFonts w:hint="eastAsia" w:ascii="宋体" w:hAnsi="宋体"/>
          <w:b/>
        </w:rPr>
        <w:t>十二、基金份额的转让</w:t>
      </w:r>
    </w:p>
    <w:p w14:paraId="535D9222">
      <w:pPr>
        <w:adjustRightInd w:val="0"/>
        <w:snapToGrid w:val="0"/>
        <w:spacing w:line="360" w:lineRule="auto"/>
        <w:ind w:firstLine="422" w:firstLineChars="201"/>
        <w:rPr>
          <w:rFonts w:hint="eastAsia" w:ascii="宋体" w:hAnsi="宋体"/>
        </w:rPr>
      </w:pPr>
      <w:r>
        <w:rPr>
          <w:rFonts w:hint="eastAsia" w:ascii="宋体" w:hAnsi="宋体"/>
        </w:rPr>
        <w:t>在法律法规允许且条件具备的情况下，如对存量基金份额持有人利益无实质性不利影响，基金管理人经履行相关程序后可受理基金份额持有人通过中国证监会认可的证券交易所以外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175104FC">
      <w:pPr>
        <w:adjustRightInd w:val="0"/>
        <w:snapToGrid w:val="0"/>
        <w:spacing w:line="360" w:lineRule="auto"/>
        <w:ind w:firstLine="424" w:firstLineChars="201"/>
        <w:rPr>
          <w:rFonts w:hint="eastAsia" w:ascii="宋体" w:hAnsi="宋体"/>
          <w:b/>
        </w:rPr>
      </w:pPr>
      <w:r>
        <w:rPr>
          <w:rFonts w:hint="eastAsia" w:ascii="宋体" w:hAnsi="宋体"/>
          <w:b/>
        </w:rPr>
        <w:t>十三、基金份额的非交易过户、冻结、解冻等其他业务</w:t>
      </w:r>
    </w:p>
    <w:p w14:paraId="72DE2C60">
      <w:pPr>
        <w:adjustRightInd w:val="0"/>
        <w:snapToGrid w:val="0"/>
        <w:spacing w:line="360" w:lineRule="auto"/>
        <w:ind w:firstLine="422" w:firstLineChars="201"/>
        <w:rPr>
          <w:rFonts w:hint="eastAsia" w:ascii="宋体" w:hAnsi="宋体"/>
        </w:rPr>
      </w:pPr>
      <w:r>
        <w:rPr>
          <w:rFonts w:hint="eastAsia" w:ascii="宋体" w:hAnsi="宋体"/>
        </w:rPr>
        <w:t>基金份额的登记机构可依据其业务规则，受理基金的非交易过户、冻结与解冻等业务，并收取一定的手续费用。</w:t>
      </w:r>
    </w:p>
    <w:p w14:paraId="73D2DC4D">
      <w:pPr>
        <w:adjustRightInd w:val="0"/>
        <w:snapToGrid w:val="0"/>
        <w:spacing w:line="360" w:lineRule="auto"/>
        <w:ind w:firstLine="422" w:firstLineChars="201"/>
        <w:rPr>
          <w:rFonts w:hint="eastAsia" w:ascii="宋体" w:hAnsi="宋体"/>
        </w:rPr>
      </w:pPr>
      <w:r>
        <w:rPr>
          <w:rFonts w:hint="eastAsia" w:ascii="宋体" w:hAnsi="宋体"/>
        </w:rPr>
        <w:t>基金份额被冻结的，被冻结部分产生的权益一并冻结，被冻结部分份额仍然参与收益分配。法律法规或监管机构另有规定的除外。</w:t>
      </w:r>
    </w:p>
    <w:p w14:paraId="5B252667">
      <w:pPr>
        <w:adjustRightInd w:val="0"/>
        <w:snapToGrid w:val="0"/>
        <w:spacing w:line="360" w:lineRule="auto"/>
        <w:ind w:firstLine="424" w:firstLineChars="201"/>
        <w:rPr>
          <w:rFonts w:hint="eastAsia" w:ascii="宋体" w:hAnsi="宋体"/>
          <w:b/>
        </w:rPr>
      </w:pPr>
      <w:r>
        <w:rPr>
          <w:rFonts w:hint="eastAsia" w:ascii="宋体" w:hAnsi="宋体"/>
          <w:b/>
        </w:rPr>
        <w:t>十四、联接基金的特殊申购</w:t>
      </w:r>
    </w:p>
    <w:p w14:paraId="3AA5102B">
      <w:pPr>
        <w:adjustRightInd w:val="0"/>
        <w:snapToGrid w:val="0"/>
        <w:spacing w:line="360" w:lineRule="auto"/>
        <w:ind w:firstLine="422" w:firstLineChars="201"/>
        <w:rPr>
          <w:rFonts w:hint="eastAsia" w:ascii="宋体" w:hAnsi="宋体"/>
        </w:rPr>
      </w:pPr>
      <w:r>
        <w:rPr>
          <w:rFonts w:hint="eastAsia" w:ascii="宋体" w:hAnsi="宋体"/>
        </w:rPr>
        <w:t>若基金管理人推出以本基金为目标ETF的联接基金，本基金可根据实际情况需要向本基金的联接基金开通特殊申购，不收取申购费用。具体见基金管理人相关公告。</w:t>
      </w:r>
    </w:p>
    <w:p w14:paraId="67C71B92">
      <w:pPr>
        <w:adjustRightInd w:val="0"/>
        <w:snapToGrid w:val="0"/>
        <w:spacing w:line="360" w:lineRule="auto"/>
        <w:ind w:firstLine="422" w:firstLineChars="200"/>
        <w:rPr>
          <w:rFonts w:hint="eastAsia" w:ascii="宋体" w:hAnsi="宋体"/>
          <w:b/>
        </w:rPr>
      </w:pPr>
      <w:r>
        <w:rPr>
          <w:rFonts w:hint="eastAsia" w:ascii="宋体" w:hAnsi="宋体"/>
          <w:b/>
        </w:rPr>
        <w:t>十五、基金份额折算</w:t>
      </w:r>
    </w:p>
    <w:p w14:paraId="06586C1B">
      <w:pPr>
        <w:adjustRightInd w:val="0"/>
        <w:snapToGrid w:val="0"/>
        <w:spacing w:line="360" w:lineRule="auto"/>
        <w:ind w:firstLine="422" w:firstLineChars="201"/>
        <w:rPr>
          <w:rFonts w:hint="eastAsia" w:ascii="宋体" w:hAnsi="宋体"/>
        </w:rPr>
      </w:pPr>
      <w:r>
        <w:rPr>
          <w:rFonts w:hint="eastAsia" w:ascii="宋体" w:hAnsi="宋体"/>
        </w:rPr>
        <w:t>为提高交易便利或根据需要，基金管理人可向登记机构申请办理基金份额折算与变更登记。基金份额折算后，基金的基金份额总额与基金份额持有人持有的基金份额数额将发生调整，但调整后的基金份额持有人持有的基金份额占基金份额总额的比例不发生变化。基金份额折算对基金份额持有人的权益无实质性影响。基金份额折算后，基金份额持有人将按照折算后的基金份额享有权利并承担义务。基金管理人应就其具体事宜进行必要公告，并提前通知基金托管人。</w:t>
      </w:r>
    </w:p>
    <w:p w14:paraId="15B62C1D">
      <w:pPr>
        <w:adjustRightInd w:val="0"/>
        <w:snapToGrid w:val="0"/>
        <w:spacing w:line="360" w:lineRule="auto"/>
        <w:ind w:firstLine="424" w:firstLineChars="201"/>
        <w:rPr>
          <w:rFonts w:hint="eastAsia" w:ascii="宋体" w:hAnsi="宋体"/>
          <w:b/>
        </w:rPr>
      </w:pPr>
      <w:r>
        <w:rPr>
          <w:rFonts w:hint="eastAsia" w:ascii="宋体" w:hAnsi="宋体"/>
          <w:b/>
        </w:rPr>
        <w:t>十六、其他</w:t>
      </w:r>
    </w:p>
    <w:p w14:paraId="4FA1B915">
      <w:pPr>
        <w:adjustRightInd w:val="0"/>
        <w:snapToGrid w:val="0"/>
        <w:spacing w:line="360" w:lineRule="auto"/>
        <w:ind w:firstLine="422" w:firstLineChars="201"/>
        <w:rPr>
          <w:rFonts w:hint="eastAsia" w:ascii="宋体" w:hAnsi="宋体"/>
        </w:rPr>
      </w:pPr>
      <w:r>
        <w:rPr>
          <w:rFonts w:hint="eastAsia" w:ascii="宋体" w:hAnsi="宋体"/>
        </w:rPr>
        <w:t>1、在不违反法律法规且对基金份额持有人利益无实质性不利影响的情况下，经履行相关程序后，基金管理人可开放集合申购。基金管理人有权制定集合申购业务的相关规则。</w:t>
      </w:r>
    </w:p>
    <w:p w14:paraId="52FE2E1D">
      <w:pPr>
        <w:adjustRightInd w:val="0"/>
        <w:snapToGrid w:val="0"/>
        <w:spacing w:line="360" w:lineRule="auto"/>
        <w:ind w:firstLine="422" w:firstLineChars="201"/>
        <w:rPr>
          <w:rFonts w:hint="eastAsia" w:ascii="宋体" w:hAnsi="宋体"/>
        </w:rPr>
      </w:pPr>
      <w:r>
        <w:rPr>
          <w:rFonts w:hint="eastAsia" w:ascii="宋体" w:hAnsi="宋体"/>
        </w:rPr>
        <w:t>在条件允许时，基金管理人也可采取其他合理的申购方式，并于新的申购方式开始执行前予以公告。</w:t>
      </w:r>
    </w:p>
    <w:p w14:paraId="75646E4D">
      <w:pPr>
        <w:numPr>
          <w:ilvl w:val="0"/>
          <w:numId w:val="8"/>
        </w:numPr>
        <w:adjustRightInd w:val="0"/>
        <w:snapToGrid w:val="0"/>
        <w:spacing w:line="360" w:lineRule="auto"/>
        <w:ind w:firstLine="422" w:firstLineChars="201"/>
        <w:rPr>
          <w:rFonts w:hint="eastAsia" w:ascii="宋体" w:hAnsi="宋体"/>
        </w:rPr>
      </w:pPr>
      <w:r>
        <w:rPr>
          <w:rFonts w:hint="eastAsia" w:ascii="宋体" w:hAnsi="宋体"/>
        </w:rPr>
        <w:t>基金管理人指定的代理机构可依据法律法规和基金合同的规定开展其他服务，双方需签订书面委托代理协议。</w:t>
      </w:r>
    </w:p>
    <w:p w14:paraId="0C8DB48D">
      <w:pPr>
        <w:numPr>
          <w:ilvl w:val="0"/>
          <w:numId w:val="8"/>
        </w:numPr>
        <w:adjustRightInd w:val="0"/>
        <w:snapToGrid w:val="0"/>
        <w:spacing w:line="360" w:lineRule="auto"/>
        <w:ind w:firstLine="422" w:firstLineChars="201"/>
        <w:rPr>
          <w:rFonts w:hint="eastAsia" w:ascii="宋体" w:hAnsi="宋体"/>
        </w:rPr>
      </w:pPr>
      <w:r>
        <w:rPr>
          <w:rFonts w:hint="eastAsia" w:ascii="宋体" w:hAnsi="宋体"/>
        </w:rPr>
        <w:t>对于符合《中国证券登记结算有限责任公司深圳分公司交易型开放式基金登记结算业务指南》要求的特定投资者，基金管理人可在不违反法律法规且对基金份额持有人利益无实质性不利影响的情况下，安排专门的申购方式。</w:t>
      </w:r>
    </w:p>
    <w:p w14:paraId="3DC54034">
      <w:pPr>
        <w:adjustRightInd w:val="0"/>
        <w:snapToGrid w:val="0"/>
        <w:spacing w:line="360" w:lineRule="auto"/>
        <w:ind w:firstLine="422" w:firstLineChars="201"/>
        <w:rPr>
          <w:rFonts w:hint="eastAsia" w:ascii="宋体" w:hAnsi="宋体"/>
        </w:rPr>
      </w:pPr>
    </w:p>
    <w:bookmarkEnd w:id="115"/>
    <w:bookmarkEnd w:id="116"/>
    <w:p w14:paraId="518A1202">
      <w:pPr>
        <w:adjustRightInd w:val="0"/>
        <w:snapToGrid w:val="0"/>
        <w:spacing w:line="360" w:lineRule="auto"/>
        <w:ind w:firstLine="565" w:firstLineChars="201"/>
        <w:rPr>
          <w:rFonts w:hint="eastAsia" w:ascii="宋体" w:hAnsi="宋体" w:cs="Arial"/>
          <w:b/>
          <w:bCs/>
          <w:sz w:val="28"/>
          <w:szCs w:val="28"/>
        </w:rPr>
        <w:sectPr>
          <w:footerReference r:id="rId27" w:type="first"/>
          <w:footerReference r:id="rId26" w:type="default"/>
          <w:pgSz w:w="11906" w:h="16838"/>
          <w:pgMar w:top="1440" w:right="1800" w:bottom="1440" w:left="1800" w:header="851" w:footer="992" w:gutter="0"/>
          <w:cols w:space="720" w:num="1"/>
          <w:titlePg/>
          <w:docGrid w:linePitch="312" w:charSpace="0"/>
        </w:sectPr>
      </w:pPr>
    </w:p>
    <w:p w14:paraId="764DBC97">
      <w:pPr>
        <w:pStyle w:val="2"/>
        <w:snapToGrid w:val="0"/>
        <w:spacing w:before="0" w:after="0" w:line="360" w:lineRule="auto"/>
        <w:ind w:firstLine="141" w:firstLineChars="50"/>
        <w:rPr>
          <w:rFonts w:hint="eastAsia" w:hAnsi="宋体" w:eastAsia="宋体" w:cs="Arial"/>
          <w:b/>
          <w:bCs/>
          <w:sz w:val="28"/>
          <w:szCs w:val="28"/>
        </w:rPr>
      </w:pPr>
      <w:bookmarkStart w:id="118" w:name="_Toc50661130"/>
      <w:bookmarkStart w:id="119" w:name="_Toc3518"/>
      <w:r>
        <w:rPr>
          <w:rFonts w:hAnsi="宋体" w:eastAsia="宋体" w:cs="Arial"/>
          <w:b/>
          <w:bCs/>
          <w:sz w:val="28"/>
          <w:szCs w:val="28"/>
        </w:rPr>
        <w:t>第十</w:t>
      </w:r>
      <w:r>
        <w:rPr>
          <w:rFonts w:hint="eastAsia" w:hAnsi="宋体" w:eastAsia="宋体" w:cs="Arial"/>
          <w:b/>
          <w:bCs/>
          <w:sz w:val="28"/>
          <w:szCs w:val="28"/>
        </w:rPr>
        <w:t>一</w:t>
      </w:r>
      <w:r>
        <w:rPr>
          <w:rFonts w:hAnsi="宋体" w:eastAsia="宋体" w:cs="Arial"/>
          <w:b/>
          <w:bCs/>
          <w:sz w:val="28"/>
          <w:szCs w:val="28"/>
        </w:rPr>
        <w:t>部分  基金的投资</w:t>
      </w:r>
      <w:bookmarkEnd w:id="110"/>
      <w:bookmarkEnd w:id="118"/>
      <w:bookmarkEnd w:id="119"/>
    </w:p>
    <w:p w14:paraId="5F505935">
      <w:pPr>
        <w:adjustRightInd w:val="0"/>
        <w:snapToGrid w:val="0"/>
        <w:spacing w:line="360" w:lineRule="auto"/>
        <w:ind w:firstLine="422" w:firstLineChars="200"/>
        <w:rPr>
          <w:rFonts w:hint="eastAsia" w:ascii="宋体" w:hAnsi="宋体"/>
          <w:b/>
          <w:color w:val="0C0C0C"/>
          <w:szCs w:val="22"/>
        </w:rPr>
      </w:pPr>
      <w:bookmarkStart w:id="120" w:name="_Toc214873599"/>
      <w:r>
        <w:rPr>
          <w:rFonts w:hint="eastAsia" w:ascii="宋体" w:hAnsi="宋体"/>
          <w:b/>
          <w:color w:val="0C0C0C"/>
          <w:szCs w:val="22"/>
        </w:rPr>
        <w:t>一、投资目标</w:t>
      </w:r>
    </w:p>
    <w:p w14:paraId="76E1D253">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紧密跟踪标的指数，追求跟踪偏离度和跟踪误差的最小化。</w:t>
      </w:r>
    </w:p>
    <w:p w14:paraId="5D7A7178">
      <w:pPr>
        <w:adjustRightInd w:val="0"/>
        <w:snapToGrid w:val="0"/>
        <w:spacing w:line="360" w:lineRule="auto"/>
        <w:ind w:firstLine="422" w:firstLineChars="200"/>
        <w:rPr>
          <w:rFonts w:hint="eastAsia" w:ascii="宋体" w:hAnsi="宋体"/>
          <w:b/>
          <w:color w:val="0C0C0C"/>
          <w:szCs w:val="22"/>
        </w:rPr>
      </w:pPr>
      <w:r>
        <w:rPr>
          <w:rFonts w:hint="eastAsia" w:ascii="宋体" w:hAnsi="宋体"/>
          <w:b/>
          <w:color w:val="0C0C0C"/>
          <w:szCs w:val="22"/>
        </w:rPr>
        <w:t>二、投资范围</w:t>
      </w:r>
    </w:p>
    <w:p w14:paraId="20A16FE8">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本基金主要投资于标的指数成份股和备选成份股(含存托凭证)。</w:t>
      </w:r>
    </w:p>
    <w:p w14:paraId="54971CD4">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为更好地实现基金的投资目标，本基金可能会少量投资于依法发行上市的非成份股（包括主板、创业板及其他经中国证监会核准或注册上市的股票和存托凭证）、债券（包括国债、金融债、地方政府债、政府支持机构债券、政府支持债券、企业债、公司债、可转换债券（含可分离交易可转债）、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w:t>
      </w:r>
    </w:p>
    <w:p w14:paraId="43DBBEBB">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本基金可根据法律法规的规定参与融资和转融通证券出借业务。</w:t>
      </w:r>
    </w:p>
    <w:p w14:paraId="606E6C0A">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如法律法规或中国证监会以后允许基金投资其他品种，本基金管理人在履行适当程序后，可以将其纳入本基金的投资范围。</w:t>
      </w:r>
    </w:p>
    <w:p w14:paraId="01FF5E7C">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本基金投资于标的指数成份股和备选成份股（含存托凭证）的资产比例不低于基金资产净值的90%，且不低于非现金基金资产的80%；本基金每个交易日日终在扣除股指期货、股票期权和国债期货合约需缴纳的交易保证金后，应当保持不低于交易保证金一倍的现金，其中现金不包括结算备付金、存出保证金、应收申购款等；股指期货、股票期权、国债期货及其他金融工具的投资比例依照法律法规或监管机构的规定执行。</w:t>
      </w:r>
    </w:p>
    <w:p w14:paraId="126CE0DE">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若法律法规的相关规定发生变更或监管机构允许，本基金管理人在履行适当程序后，可对上述资产配置比例进行调整。</w:t>
      </w:r>
    </w:p>
    <w:p w14:paraId="38DC82C1">
      <w:pPr>
        <w:adjustRightInd w:val="0"/>
        <w:snapToGrid w:val="0"/>
        <w:spacing w:line="360" w:lineRule="auto"/>
        <w:ind w:firstLine="422" w:firstLineChars="200"/>
        <w:rPr>
          <w:rFonts w:hint="eastAsia" w:ascii="宋体" w:hAnsi="宋体"/>
          <w:b/>
          <w:color w:val="0C0C0C"/>
          <w:szCs w:val="22"/>
        </w:rPr>
      </w:pPr>
      <w:r>
        <w:rPr>
          <w:rFonts w:hint="eastAsia" w:ascii="宋体" w:hAnsi="宋体"/>
          <w:b/>
          <w:color w:val="0C0C0C"/>
          <w:szCs w:val="22"/>
        </w:rPr>
        <w:t>三、投资策略</w:t>
      </w:r>
    </w:p>
    <w:p w14:paraId="0EF11E6F">
      <w:pPr>
        <w:widowControl/>
        <w:spacing w:line="360" w:lineRule="auto"/>
        <w:ind w:firstLine="420"/>
        <w:rPr>
          <w:rFonts w:hint="eastAsia" w:ascii="宋体" w:hAnsi="宋体" w:cs="宋体"/>
          <w:kern w:val="0"/>
          <w:szCs w:val="21"/>
        </w:rPr>
      </w:pPr>
      <w:r>
        <w:rPr>
          <w:rFonts w:hint="eastAsia" w:ascii="宋体" w:hAnsi="宋体" w:cs="宋体"/>
          <w:kern w:val="0"/>
          <w:szCs w:val="21"/>
        </w:rPr>
        <w:t>1、组合复制策略</w:t>
      </w:r>
    </w:p>
    <w:p w14:paraId="6D9AB600">
      <w:pPr>
        <w:widowControl/>
        <w:spacing w:line="360" w:lineRule="auto"/>
        <w:ind w:firstLine="420"/>
        <w:rPr>
          <w:rFonts w:hint="eastAsia" w:ascii="宋体" w:hAnsi="宋体" w:cs="宋体"/>
          <w:kern w:val="0"/>
          <w:szCs w:val="21"/>
        </w:rPr>
      </w:pPr>
      <w:r>
        <w:rPr>
          <w:rFonts w:hint="eastAsia" w:ascii="宋体" w:hAnsi="宋体"/>
          <w:color w:val="0C0C0C"/>
          <w:szCs w:val="22"/>
        </w:rPr>
        <w:t>本基金主要采用完全复制法进行投资，即按照成份股在标的指数中的基准权重来构建指数化投资组合，并根据标的指数成份股及其权重的变化进行相应调整。但因特殊情况（比如流动性不足等）导致本基金无法有效复制和跟踪标的指数时，基金管理人可使用其他合理方法进行适当的替代。特殊情况包括但不限于以下情形：（</w:t>
      </w:r>
      <w:r>
        <w:rPr>
          <w:rFonts w:ascii="宋体" w:hAnsi="宋体"/>
          <w:color w:val="0C0C0C"/>
          <w:szCs w:val="22"/>
        </w:rPr>
        <w:t>1）法律法规的限制；（2）标的指数成份股流动性严重不足；（3）标的指数的成份股长期停牌；（4）其它合理原因导致本基金管理人对标的指数的跟踪构成严重制约等。</w:t>
      </w:r>
    </w:p>
    <w:p w14:paraId="41C5FC7E">
      <w:pPr>
        <w:widowControl/>
        <w:spacing w:line="360" w:lineRule="auto"/>
        <w:ind w:firstLine="420"/>
        <w:rPr>
          <w:rFonts w:hint="eastAsia" w:ascii="宋体" w:hAnsi="宋体" w:cs="宋体"/>
          <w:kern w:val="0"/>
          <w:szCs w:val="21"/>
        </w:rPr>
      </w:pPr>
      <w:r>
        <w:rPr>
          <w:rFonts w:hint="eastAsia" w:ascii="宋体" w:hAnsi="宋体" w:cs="宋体"/>
          <w:kern w:val="0"/>
          <w:szCs w:val="21"/>
        </w:rPr>
        <w:t>如果标的指数成份股发生明显负面事件面临退市或违约风险，且指数编制机构暂未作出调整的，基金管理人应当按照基金份额持有人利益优先原则，履行内部决策程序后及时对相关成份股进行调整。</w:t>
      </w:r>
    </w:p>
    <w:p w14:paraId="49DD988A">
      <w:pPr>
        <w:widowControl/>
        <w:spacing w:line="360" w:lineRule="auto"/>
        <w:ind w:firstLine="420"/>
        <w:rPr>
          <w:rFonts w:hint="eastAsia" w:ascii="宋体" w:hAnsi="宋体" w:cs="宋体"/>
          <w:kern w:val="0"/>
          <w:szCs w:val="21"/>
        </w:rPr>
      </w:pPr>
      <w:r>
        <w:rPr>
          <w:rFonts w:hint="eastAsia" w:ascii="宋体" w:hAnsi="宋体" w:cs="宋体"/>
          <w:kern w:val="0"/>
          <w:szCs w:val="21"/>
        </w:rPr>
        <w:t>在正常情况下，本基金力争控制投资组合的净值增长率与业绩比较基准之间的预期日均跟踪偏离度的绝对值小于0.2%，预期年化跟踪误差不超过2%。如因标的指数编制规则调整等其他原因，导致基金日均跟踪偏离度和跟踪误差变大，基金管理人应采取合理措施，避免日均跟踪偏离度和跟踪误差的进一步扩大。</w:t>
      </w:r>
    </w:p>
    <w:p w14:paraId="0A62AD6E">
      <w:pPr>
        <w:widowControl/>
        <w:spacing w:line="360" w:lineRule="auto"/>
        <w:ind w:firstLine="420"/>
        <w:rPr>
          <w:rFonts w:hint="eastAsia" w:ascii="宋体" w:hAnsi="宋体" w:cs="宋体"/>
          <w:kern w:val="0"/>
          <w:szCs w:val="21"/>
        </w:rPr>
      </w:pPr>
      <w:r>
        <w:rPr>
          <w:rFonts w:hint="eastAsia" w:ascii="宋体" w:hAnsi="宋体" w:cs="宋体"/>
          <w:kern w:val="0"/>
          <w:szCs w:val="21"/>
        </w:rPr>
        <w:t>当指数编制方法变更、成份股发生变更、成份股权重由于自由流通量调整而发生变化、成份股派发现金股息、配股及增发、股票长期停牌、市场流动性不足等情况发生时，基金管理人将对投资组合进行优化，尽量降低跟踪误差。</w:t>
      </w:r>
    </w:p>
    <w:p w14:paraId="33353912">
      <w:pPr>
        <w:widowControl/>
        <w:spacing w:line="360" w:lineRule="auto"/>
        <w:ind w:firstLine="420"/>
        <w:rPr>
          <w:rFonts w:hint="eastAsia" w:ascii="宋体" w:hAnsi="宋体" w:cs="宋体"/>
          <w:kern w:val="0"/>
          <w:szCs w:val="21"/>
        </w:rPr>
      </w:pPr>
      <w:r>
        <w:rPr>
          <w:rFonts w:hint="eastAsia" w:ascii="宋体" w:hAnsi="宋体" w:cs="宋体"/>
          <w:kern w:val="0"/>
          <w:szCs w:val="21"/>
        </w:rPr>
        <w:t>2、债券（除可转换债券、可交换债券）投资策略</w:t>
      </w:r>
    </w:p>
    <w:p w14:paraId="6D2956A8">
      <w:pPr>
        <w:widowControl/>
        <w:spacing w:line="360" w:lineRule="auto"/>
        <w:ind w:firstLine="420"/>
        <w:rPr>
          <w:rFonts w:hint="eastAsia" w:ascii="宋体" w:hAnsi="宋体" w:cs="宋体"/>
          <w:kern w:val="0"/>
          <w:szCs w:val="21"/>
        </w:rPr>
      </w:pPr>
      <w:r>
        <w:rPr>
          <w:rFonts w:hint="eastAsia" w:ascii="宋体" w:hAnsi="宋体" w:cs="宋体"/>
          <w:kern w:val="0"/>
          <w:szCs w:val="21"/>
        </w:rPr>
        <w:t>本基金债券投资组合将着重考虑基金的流动性管理及策略性投资的需要进行配置。债券投资的目的是保证基金资产流动性，有效利用基金资产，提高基金资产的投资收益。</w:t>
      </w:r>
    </w:p>
    <w:p w14:paraId="37CC328B">
      <w:pPr>
        <w:widowControl/>
        <w:spacing w:line="360" w:lineRule="auto"/>
        <w:ind w:firstLine="420"/>
        <w:rPr>
          <w:rFonts w:hint="eastAsia" w:ascii="宋体" w:hAnsi="宋体" w:cs="宋体"/>
          <w:kern w:val="0"/>
          <w:szCs w:val="21"/>
        </w:rPr>
      </w:pPr>
      <w:r>
        <w:rPr>
          <w:rFonts w:hint="eastAsia" w:ascii="宋体" w:hAnsi="宋体" w:cs="宋体"/>
          <w:kern w:val="0"/>
          <w:szCs w:val="21"/>
        </w:rPr>
        <w:t>3、资产支持证券投资策略</w:t>
      </w:r>
    </w:p>
    <w:p w14:paraId="51A5BC52">
      <w:pPr>
        <w:widowControl/>
        <w:spacing w:line="360" w:lineRule="auto"/>
        <w:ind w:firstLine="420"/>
        <w:rPr>
          <w:rFonts w:hint="eastAsia" w:ascii="宋体" w:hAnsi="宋体" w:cs="宋体"/>
          <w:kern w:val="0"/>
          <w:szCs w:val="21"/>
        </w:rPr>
      </w:pPr>
      <w:r>
        <w:rPr>
          <w:rFonts w:hint="eastAsia" w:ascii="宋体" w:hAnsi="宋体" w:cs="宋体"/>
          <w:kern w:val="0"/>
          <w:szCs w:val="21"/>
        </w:rPr>
        <w:t>本基金投资资产支持证券将综合运用战略资产配置和战术资产配置进行资产支持证券投资组合管理，并根据信用风险、利率风险和流动性风险变化积极调整投资策略，严格遵守法律法规和基金合同，在力争本金安全和基金资产流动性基础上获得长期稳定收益。</w:t>
      </w:r>
    </w:p>
    <w:p w14:paraId="58ADF6D1">
      <w:pPr>
        <w:widowControl/>
        <w:spacing w:line="360" w:lineRule="auto"/>
        <w:ind w:firstLine="420"/>
        <w:rPr>
          <w:rFonts w:hint="eastAsia" w:ascii="宋体" w:hAnsi="宋体" w:cs="宋体"/>
          <w:kern w:val="0"/>
          <w:szCs w:val="21"/>
        </w:rPr>
      </w:pPr>
      <w:r>
        <w:rPr>
          <w:rFonts w:hint="eastAsia" w:ascii="宋体" w:hAnsi="宋体" w:cs="宋体"/>
          <w:kern w:val="0"/>
          <w:szCs w:val="21"/>
        </w:rPr>
        <w:t>4、可转换债券、可交换债券投资策略</w:t>
      </w:r>
    </w:p>
    <w:p w14:paraId="1781C396">
      <w:pPr>
        <w:widowControl/>
        <w:spacing w:line="360" w:lineRule="auto"/>
        <w:ind w:firstLine="420"/>
        <w:rPr>
          <w:rFonts w:hint="eastAsia" w:ascii="宋体" w:hAnsi="宋体" w:cs="宋体"/>
          <w:kern w:val="0"/>
          <w:szCs w:val="21"/>
        </w:rPr>
      </w:pPr>
      <w:r>
        <w:rPr>
          <w:rFonts w:hint="eastAsia" w:ascii="宋体" w:hAnsi="宋体" w:cs="宋体"/>
          <w:kern w:val="0"/>
          <w:szCs w:val="21"/>
        </w:rPr>
        <w:t>在分析宏观经济运行特征并对各类市场大势做出判断的前提下，本基金着重对可转换债券所对应的基础股票进行分析和研究，从行业选择和个券选择两方面进行全方位的评估，对盈利能力或成长性较好的行业和上市公司的可转换债券进行重点关注，并结合基金管理人可转债评级系统对可转换债券投资价值进行有效的评估，选择投资价值较高的个券进行投资。</w:t>
      </w:r>
    </w:p>
    <w:p w14:paraId="7FE4F914">
      <w:pPr>
        <w:widowControl/>
        <w:spacing w:line="360" w:lineRule="auto"/>
        <w:ind w:firstLine="420"/>
        <w:rPr>
          <w:rFonts w:hint="eastAsia" w:ascii="宋体" w:hAnsi="宋体" w:cs="宋体"/>
          <w:kern w:val="0"/>
          <w:szCs w:val="21"/>
        </w:rPr>
      </w:pPr>
      <w:r>
        <w:rPr>
          <w:rFonts w:hint="eastAsia" w:ascii="宋体" w:hAnsi="宋体" w:cs="宋体"/>
          <w:kern w:val="0"/>
          <w:szCs w:val="21"/>
        </w:rPr>
        <w:t>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纯债价值和目标公司的股票价值进行研究分析，综合开展投资决策。</w:t>
      </w:r>
    </w:p>
    <w:p w14:paraId="59584619">
      <w:pPr>
        <w:widowControl/>
        <w:spacing w:line="360" w:lineRule="auto"/>
        <w:ind w:firstLine="420"/>
        <w:rPr>
          <w:rFonts w:hint="eastAsia" w:ascii="宋体" w:hAnsi="宋体" w:cs="宋体"/>
          <w:kern w:val="0"/>
          <w:szCs w:val="21"/>
        </w:rPr>
      </w:pPr>
      <w:r>
        <w:rPr>
          <w:rFonts w:hint="eastAsia" w:ascii="宋体" w:hAnsi="宋体" w:cs="宋体"/>
          <w:kern w:val="0"/>
          <w:szCs w:val="21"/>
        </w:rPr>
        <w:t>5、金融衍生品投资策略</w:t>
      </w:r>
    </w:p>
    <w:p w14:paraId="24E0E302">
      <w:pPr>
        <w:widowControl/>
        <w:spacing w:line="360" w:lineRule="auto"/>
        <w:ind w:firstLine="420"/>
        <w:rPr>
          <w:rFonts w:hint="eastAsia" w:ascii="宋体" w:hAnsi="宋体" w:cs="宋体"/>
          <w:kern w:val="0"/>
          <w:szCs w:val="21"/>
        </w:rPr>
      </w:pPr>
      <w:r>
        <w:rPr>
          <w:rFonts w:hint="eastAsia" w:ascii="宋体" w:hAnsi="宋体" w:cs="宋体"/>
          <w:kern w:val="0"/>
          <w:szCs w:val="21"/>
        </w:rPr>
        <w:t>（1）股指期货交易策略</w:t>
      </w:r>
    </w:p>
    <w:p w14:paraId="503D6613">
      <w:pPr>
        <w:widowControl/>
        <w:spacing w:line="360" w:lineRule="auto"/>
        <w:ind w:firstLine="420"/>
        <w:rPr>
          <w:rFonts w:hint="eastAsia" w:ascii="宋体" w:hAnsi="宋体" w:cs="宋体"/>
          <w:kern w:val="0"/>
          <w:szCs w:val="21"/>
        </w:rPr>
      </w:pPr>
      <w:r>
        <w:rPr>
          <w:rFonts w:hint="eastAsia" w:ascii="宋体" w:hAnsi="宋体" w:cs="宋体"/>
          <w:kern w:val="0"/>
          <w:szCs w:val="21"/>
        </w:rPr>
        <w:t>本基金将在风险可控的前提下，根据风险管理原则，以套期保值为目的适度参与股指期货交易。本基金将根据对现货和期货市场的分析，充分考虑股指期货的风险收益特征进行股指期货交易，以改善交易组合的交易效果。</w:t>
      </w:r>
    </w:p>
    <w:p w14:paraId="5CB2E54D">
      <w:pPr>
        <w:widowControl/>
        <w:spacing w:line="360" w:lineRule="auto"/>
        <w:ind w:firstLine="420"/>
        <w:rPr>
          <w:rFonts w:hint="eastAsia" w:ascii="宋体" w:hAnsi="宋体" w:cs="宋体"/>
          <w:kern w:val="0"/>
          <w:szCs w:val="21"/>
        </w:rPr>
      </w:pPr>
      <w:r>
        <w:rPr>
          <w:rFonts w:hint="eastAsia" w:ascii="宋体" w:hAnsi="宋体" w:cs="宋体"/>
          <w:kern w:val="0"/>
          <w:szCs w:val="21"/>
        </w:rPr>
        <w:t>（2）股票期权投资策略</w:t>
      </w:r>
    </w:p>
    <w:p w14:paraId="4F4EF4C2">
      <w:pPr>
        <w:widowControl/>
        <w:spacing w:line="360" w:lineRule="auto"/>
        <w:ind w:firstLine="420"/>
        <w:rPr>
          <w:rFonts w:hint="eastAsia" w:ascii="宋体" w:hAnsi="宋体" w:cs="宋体"/>
          <w:kern w:val="0"/>
          <w:szCs w:val="21"/>
        </w:rPr>
      </w:pPr>
      <w:r>
        <w:rPr>
          <w:rFonts w:hint="eastAsia" w:ascii="宋体" w:hAnsi="宋体" w:cs="宋体"/>
          <w:kern w:val="0"/>
          <w:szCs w:val="21"/>
        </w:rPr>
        <w:t>本基金将按照风险管理的原则，以套期保值为主要目的参与股票期权交易。本基金将结合投资目标、比例限制、风险收益特征以及法律法规的相关限定和要求，确定参与股票期权交易的投资时机和投资比例。</w:t>
      </w:r>
    </w:p>
    <w:p w14:paraId="73071B50">
      <w:pPr>
        <w:widowControl/>
        <w:spacing w:line="360" w:lineRule="auto"/>
        <w:ind w:firstLine="420"/>
        <w:rPr>
          <w:rFonts w:hint="eastAsia" w:ascii="宋体" w:hAnsi="宋体" w:cs="宋体"/>
          <w:kern w:val="0"/>
          <w:szCs w:val="21"/>
        </w:rPr>
      </w:pPr>
      <w:r>
        <w:rPr>
          <w:rFonts w:hint="eastAsia" w:ascii="宋体" w:hAnsi="宋体" w:cs="宋体"/>
          <w:kern w:val="0"/>
          <w:szCs w:val="21"/>
        </w:rPr>
        <w:t>（3）国债期货交易策略</w:t>
      </w:r>
    </w:p>
    <w:p w14:paraId="5EC0C854">
      <w:pPr>
        <w:widowControl/>
        <w:spacing w:line="360" w:lineRule="auto"/>
        <w:ind w:firstLine="420"/>
        <w:rPr>
          <w:rFonts w:hint="eastAsia" w:ascii="宋体" w:hAnsi="宋体" w:cs="宋体"/>
          <w:kern w:val="0"/>
          <w:szCs w:val="21"/>
        </w:rPr>
      </w:pPr>
      <w:r>
        <w:rPr>
          <w:rFonts w:hint="eastAsia" w:ascii="宋体" w:hAnsi="宋体" w:cs="宋体"/>
          <w:kern w:val="0"/>
          <w:szCs w:val="21"/>
        </w:rPr>
        <w:t>本基金参与国债期货交易，以套期保值为目的，将根据风险管理的原则，充分考虑国债期货的流动性和风险收益特征，在风险可控的前提下，适度参与国债期货交易。</w:t>
      </w:r>
    </w:p>
    <w:p w14:paraId="6615A4F4">
      <w:pPr>
        <w:widowControl/>
        <w:spacing w:line="360" w:lineRule="auto"/>
        <w:ind w:firstLine="420"/>
        <w:rPr>
          <w:rFonts w:hint="eastAsia" w:ascii="宋体" w:hAnsi="宋体" w:cs="宋体"/>
          <w:kern w:val="0"/>
          <w:szCs w:val="21"/>
        </w:rPr>
      </w:pPr>
      <w:r>
        <w:rPr>
          <w:rFonts w:hint="eastAsia" w:ascii="宋体" w:hAnsi="宋体" w:cs="宋体"/>
          <w:kern w:val="0"/>
          <w:szCs w:val="21"/>
        </w:rPr>
        <w:t>6、融资和转融通证券出借业务投资策略</w:t>
      </w:r>
    </w:p>
    <w:p w14:paraId="6D36E9C2">
      <w:pPr>
        <w:widowControl/>
        <w:spacing w:line="360" w:lineRule="auto"/>
        <w:ind w:firstLine="420"/>
        <w:rPr>
          <w:rFonts w:hint="eastAsia" w:ascii="宋体" w:hAnsi="宋体" w:cs="宋体"/>
          <w:kern w:val="0"/>
          <w:szCs w:val="21"/>
        </w:rPr>
      </w:pPr>
      <w:r>
        <w:rPr>
          <w:rFonts w:hint="eastAsia" w:ascii="宋体" w:hAnsi="宋体" w:cs="宋体"/>
          <w:kern w:val="0"/>
          <w:szCs w:val="21"/>
        </w:rPr>
        <w:t>本基金将在充分考虑风险和收益特征的基础上，审慎参与融资和转融通证券出借业务。本基金将基于对市场行情和组合风险收益的分析，确定投资时机、标的证券以及投资比例。本基金将根据市场情况、投资者类型和结构、本基金的历史申赎情况、出借证券流动性情况等因素，合理确定出借证券的范围和品类。若相关融资及转融通证券出借业务法律法规发生变化，本基金将从其最新规定，以符合上述法律法规和监管要求的变化。</w:t>
      </w:r>
    </w:p>
    <w:p w14:paraId="7856D86E">
      <w:pPr>
        <w:widowControl/>
        <w:spacing w:line="360" w:lineRule="auto"/>
        <w:ind w:firstLine="420"/>
        <w:rPr>
          <w:rFonts w:hint="eastAsia" w:ascii="宋体" w:hAnsi="宋体" w:cs="宋体"/>
          <w:kern w:val="0"/>
          <w:szCs w:val="21"/>
        </w:rPr>
      </w:pPr>
      <w:r>
        <w:rPr>
          <w:rFonts w:hint="eastAsia" w:ascii="宋体" w:hAnsi="宋体" w:cs="宋体"/>
          <w:kern w:val="0"/>
          <w:szCs w:val="21"/>
        </w:rPr>
        <w:t>7、存托凭证投资策略</w:t>
      </w:r>
    </w:p>
    <w:p w14:paraId="78DE0E0C">
      <w:pPr>
        <w:widowControl/>
        <w:spacing w:line="360" w:lineRule="auto"/>
        <w:ind w:firstLine="420"/>
        <w:rPr>
          <w:rFonts w:hint="eastAsia" w:ascii="宋体" w:hAnsi="宋体" w:cs="宋体"/>
          <w:kern w:val="0"/>
          <w:szCs w:val="21"/>
        </w:rPr>
      </w:pPr>
      <w:r>
        <w:rPr>
          <w:rFonts w:hint="eastAsia" w:ascii="宋体" w:hAnsi="宋体" w:cs="宋体"/>
          <w:kern w:val="0"/>
          <w:szCs w:val="21"/>
        </w:rPr>
        <w:t>本基金将根据本基金的投资目标和股票投资策略，基于对基础证券投资价值的深入研究判断，进行存托凭证的投资。</w:t>
      </w:r>
    </w:p>
    <w:p w14:paraId="5A4C5C88">
      <w:pPr>
        <w:widowControl/>
        <w:spacing w:line="360" w:lineRule="auto"/>
        <w:ind w:firstLine="420"/>
        <w:rPr>
          <w:rFonts w:hint="eastAsia" w:ascii="宋体" w:hAnsi="宋体" w:cs="宋体"/>
          <w:kern w:val="0"/>
          <w:szCs w:val="21"/>
        </w:rPr>
      </w:pPr>
      <w:r>
        <w:rPr>
          <w:rFonts w:hint="eastAsia" w:ascii="宋体" w:hAnsi="宋体" w:cs="宋体"/>
          <w:kern w:val="0"/>
          <w:szCs w:val="21"/>
        </w:rPr>
        <w:t>未来，随着投资工具的发展和丰富，本基金可在不改变投资目标的前提下，在履行适当程序后，相应调整和更新相关投资策略，并在招募说明书更新中公告。</w:t>
      </w:r>
    </w:p>
    <w:p w14:paraId="11128DF8">
      <w:pPr>
        <w:adjustRightInd w:val="0"/>
        <w:snapToGrid w:val="0"/>
        <w:spacing w:line="360" w:lineRule="auto"/>
        <w:ind w:firstLine="422" w:firstLineChars="200"/>
        <w:rPr>
          <w:rFonts w:hint="eastAsia" w:ascii="宋体" w:hAnsi="宋体"/>
          <w:b/>
          <w:color w:val="0C0C0C"/>
          <w:szCs w:val="22"/>
        </w:rPr>
      </w:pPr>
      <w:r>
        <w:rPr>
          <w:rFonts w:hint="eastAsia" w:ascii="宋体" w:hAnsi="宋体" w:cs="宋体"/>
          <w:b/>
          <w:bCs/>
          <w:kern w:val="0"/>
          <w:szCs w:val="21"/>
        </w:rPr>
        <w:t>四、</w:t>
      </w:r>
      <w:r>
        <w:rPr>
          <w:rFonts w:hint="eastAsia" w:ascii="宋体" w:hAnsi="宋体"/>
          <w:b/>
          <w:color w:val="0C0C0C"/>
          <w:szCs w:val="22"/>
        </w:rPr>
        <w:t>投资组合限制</w:t>
      </w:r>
    </w:p>
    <w:p w14:paraId="3B7106DA">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1、组合限制</w:t>
      </w:r>
    </w:p>
    <w:p w14:paraId="299DF59B">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基金的投资组合应遵循以下限制：</w:t>
      </w:r>
    </w:p>
    <w:p w14:paraId="0891EE78">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（1）本基金投资于标的指数成份股和备选成份股的资产比例不低于基金资产净值的90%，且不低于非现金基金资产的80%；</w:t>
      </w:r>
    </w:p>
    <w:p w14:paraId="33897653">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（2）每个交易日日终在扣除股指期货、股票期权和国债期货合约需缴纳的交易保证金后，本基金应当保持不低于交易保证金一倍的现金，其中现金不包括结算备付金、存出保证金和应收申购款等；</w:t>
      </w:r>
    </w:p>
    <w:p w14:paraId="7883A968">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（3）本基金持有一家公司发行的证券，其市值不超过基金资产净值的10%，完全按照有关指数的构成比例进行证券投资的基金品种可以不受前述比例限制；</w:t>
      </w:r>
    </w:p>
    <w:p w14:paraId="54ABB3F0">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（4）本基金管理人管理的全部基金持有一家公司发行的证券，不超过该证券的10%，完全按照有关指数的构成比例进行证券投资的基金品种可以不受前述比例限制；</w:t>
      </w:r>
    </w:p>
    <w:p w14:paraId="6F9C58E3">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（5）本基金参与股指期货和国债期货交易，需遵守下列投资比例限制：</w:t>
      </w:r>
    </w:p>
    <w:p w14:paraId="0463D711">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1）本基金在任何交易日日终，持有的买入股指期货合约价值，不得超过基金资产净值的10%；在任何交易日日终，持有的买入国债期货合约价值，不得超过基金资产净值的15%；</w:t>
      </w:r>
    </w:p>
    <w:p w14:paraId="382410CC">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2）本基金在任何交易日日终，持有的买入国债期货和股指期货合约价值与有价证券市值之和，不得超过基金资产净值的100%。其中，有价证券指股票、债券（不含到期日在一年以内的政府债券）、资产支持证券、买入返售金融资产（不含质押式回购）等；</w:t>
      </w:r>
    </w:p>
    <w:p w14:paraId="588A929F">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 xml:space="preserve">3）本基金在任何交易日日终，持有的卖出股指期货合约价值不得超过基金持有的股票总市值的20%；在任何交易日日终，持有的卖出国债期货合约价值不得超过基金持有的债券总市值的30%； </w:t>
      </w:r>
    </w:p>
    <w:p w14:paraId="216E8F80">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4）本基金在任何交易日内交易（不包括平仓）的股指期货合约的成交金额不得超过上一交易日基金资产净值的20%；在任何交易日内交易（不包括平仓）的国债期货合约的成交金额不得超过上一交易日基金资产净值的30%；</w:t>
      </w:r>
    </w:p>
    <w:p w14:paraId="77D45425">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5）本基金所持有的股票市值和买入、卖出股指期货合约价值，合计（轧差计算）应当符合基金合同关于股票投资比例有关约定；本基金所持有的债券（不含到期日在一年以内的政府债券）市值和买入、卖出国债期货合约价值，合计（轧差计算）应当符合基金合同关于债券投资比例的有关约定；</w:t>
      </w:r>
    </w:p>
    <w:p w14:paraId="428A6624">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（6）本基金投资于同一原始权益人的各类资产支持证券的比例，不得超过基金资产净值的10％；</w:t>
      </w:r>
    </w:p>
    <w:p w14:paraId="56E32847">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（7）本基金持有的全部资产支持证券，其市值不得超过基金资产净值的20％；</w:t>
      </w:r>
    </w:p>
    <w:p w14:paraId="49BC9EBE">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（8）本基金持有的同一(指同一信用级别)资产支持证券的比例，不得超过该资产支持证券规模的10％；</w:t>
      </w:r>
    </w:p>
    <w:p w14:paraId="7AC92F67">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（9）本基金管理人管理的全部基金投资于同一原始权益人的各类资产支持证券，不得超过其各类资产支持证券合计规模的10％；</w:t>
      </w:r>
    </w:p>
    <w:p w14:paraId="6D72F97E">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（10）本基金应投资于信用级别评级为BBB以上(含BBB)的资产支持证券。基金持有资产支持证券期间，如果其信用等级下降、不再符合投资标准，应在评级报告发布之日起3个月内予以全部卖出；</w:t>
      </w:r>
    </w:p>
    <w:p w14:paraId="5421469E">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（11）基金财产参与股票发行申购，本基金所申报的金额不超过本基金的总资产，本基金所申报的股票数量不超过拟发行股票公司本次发行股票的总量；</w:t>
      </w:r>
    </w:p>
    <w:p w14:paraId="5D4A312E">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（12）本基金参与融资的，在任何交易日日终，本基金持有的融资买入股票与其他有价证券市值之和，不得超过基金资产净值的95%；</w:t>
      </w:r>
    </w:p>
    <w:p w14:paraId="68626ED2">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（13）本基金参与转融通证券出借业务，需遵守下列投资限制：</w:t>
      </w:r>
    </w:p>
    <w:p w14:paraId="2EE89106">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1）出借证券资产不得超过基金资产净值的30%，出借期限在10个交易日以上的出借证券应纳入《流动性风险管理规定》所述流动性受限证券的范围；</w:t>
      </w:r>
    </w:p>
    <w:p w14:paraId="1C218DB3">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2）参与出借业务的单只证券不得超过本基金持有该证券总量的30%；</w:t>
      </w:r>
    </w:p>
    <w:p w14:paraId="29F533C1">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3）最近6个月内日均基金资产净值不得低于2亿元；</w:t>
      </w:r>
    </w:p>
    <w:p w14:paraId="793AB2B6">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4）证券出借的平均剩余期限不得超过30天，平均剩余期限按照市值加权平均计算；</w:t>
      </w:r>
    </w:p>
    <w:p w14:paraId="6D54CEA1">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因证券、期货市场波动、证券发行人合并、基金规模变动等基金管理人之外的因素致使基金投资不符合上述规定的，基金管理人不得新增出借业务；</w:t>
      </w:r>
    </w:p>
    <w:p w14:paraId="2654CFB5">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（14）本基金投资股票期权应当符合以下要求：</w:t>
      </w:r>
    </w:p>
    <w:p w14:paraId="30607D70">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 xml:space="preserve">基金因未平仓的股票期权合约支付和收取的权利金总额不得超过基金资产净值的10%；开仓卖出认购股票期权的，应持有足额标的证券；开仓卖出认沽股票期权的，应持有合约行权所需的全额现金或交易所规则认可的可冲抵股票期权保证金的现金等价物；未平仓的股票期权合约面值不得超过基金资产净值的20%，其中，合约面值按照行权价乘以合约乘数计算； </w:t>
      </w:r>
    </w:p>
    <w:p w14:paraId="5DE3CD19">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15）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14:paraId="3A08C30F">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（16）本基金与私募类证券资管产品及中国证监会认定的其他主体为交易对手开展逆回购交易的，可接受质押品的资质要求应当与基金合同约定的投资范围保持一致；</w:t>
      </w:r>
    </w:p>
    <w:p w14:paraId="166C270E">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（17）本基金资产总值不得超过基金资产净值的140%；</w:t>
      </w:r>
    </w:p>
    <w:p w14:paraId="2B15FCEC">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（18）本基金投资存托凭证的比例限制依照境内上市交易的股票执行；</w:t>
      </w:r>
    </w:p>
    <w:p w14:paraId="29884459">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（19）法律法规及中国证监会规定的和《基金合同》约定的其他投资限制。</w:t>
      </w:r>
    </w:p>
    <w:p w14:paraId="67BAFB37">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除上述（2）、（10）、（13）、（15）、（16）情形之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w:t>
      </w:r>
    </w:p>
    <w:p w14:paraId="69776327">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14:paraId="6ABC1B97">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法律法规或监管部门取消或调整上述限制，如适用于本基金，基金管理人在与基金托管人协商一致并履行适当程序后，则本基金投资不再受相关限制或按照调整后的规定执行。</w:t>
      </w:r>
    </w:p>
    <w:p w14:paraId="02B5E6A4">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2、禁止行为</w:t>
      </w:r>
    </w:p>
    <w:p w14:paraId="121F4C94">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为维护基金份额持有人的合法权益，基金财产不得用于下列投资或者活动：</w:t>
      </w:r>
    </w:p>
    <w:p w14:paraId="4F951A29">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（1）承销证券；</w:t>
      </w:r>
    </w:p>
    <w:p w14:paraId="0E276C98">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（2）违反规定向他人贷款或者提供担保；</w:t>
      </w:r>
    </w:p>
    <w:p w14:paraId="5F4B77B9">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（3）从事承担无限责任的投资；</w:t>
      </w:r>
    </w:p>
    <w:p w14:paraId="668AC7B0">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（4）买卖其他基金份额，但是中国证监会另有规定的除外；</w:t>
      </w:r>
    </w:p>
    <w:p w14:paraId="4FCD7B96">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（5）向其基金管理人、基金托管人出资；</w:t>
      </w:r>
    </w:p>
    <w:p w14:paraId="16267C40">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（6）从事内幕交易、操纵证券交易价格及其他不正当的证券交易活动；</w:t>
      </w:r>
    </w:p>
    <w:p w14:paraId="5D49BF94">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（7）法律、行政法规和中国证监会规定禁止的其他活动。</w:t>
      </w:r>
    </w:p>
    <w:p w14:paraId="221E0442">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50926144">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法律、行政法规或监管部门取消或调整上述限制，如适用于本基金，基金管理人在履行适当程序后，则本基金投资不再受相关限制或按照调整后的规定执行。</w:t>
      </w:r>
    </w:p>
    <w:p w14:paraId="40722715">
      <w:pPr>
        <w:adjustRightInd w:val="0"/>
        <w:snapToGrid w:val="0"/>
        <w:spacing w:line="360" w:lineRule="auto"/>
        <w:ind w:firstLine="422" w:firstLineChars="200"/>
        <w:rPr>
          <w:rFonts w:hint="eastAsia" w:ascii="宋体" w:hAnsi="宋体"/>
          <w:b/>
          <w:color w:val="0C0C0C"/>
          <w:szCs w:val="22"/>
        </w:rPr>
      </w:pPr>
      <w:r>
        <w:rPr>
          <w:rFonts w:hint="eastAsia" w:ascii="宋体" w:hAnsi="宋体"/>
          <w:b/>
          <w:color w:val="0C0C0C"/>
          <w:szCs w:val="22"/>
        </w:rPr>
        <w:t>五、标的指数与业绩比较基准</w:t>
      </w:r>
    </w:p>
    <w:p w14:paraId="15DBC15D">
      <w:pPr>
        <w:widowControl/>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本基金的标的指数：创业板电池指数。</w:t>
      </w:r>
    </w:p>
    <w:p w14:paraId="6C95B049">
      <w:pPr>
        <w:widowControl/>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本基金的业绩比较基准为标的指数收益率，即创业板电池指数收益率。</w:t>
      </w:r>
    </w:p>
    <w:p w14:paraId="4598D303">
      <w:pPr>
        <w:widowControl/>
        <w:adjustRightInd w:val="0"/>
        <w:snapToGrid w:val="0"/>
        <w:spacing w:line="360" w:lineRule="auto"/>
        <w:ind w:firstLine="420" w:firstLineChars="200"/>
        <w:rPr>
          <w:rFonts w:hint="eastAsia" w:ascii="宋体" w:hAnsi="宋体"/>
          <w:color w:val="0C0C0C"/>
          <w:szCs w:val="22"/>
        </w:rPr>
      </w:pPr>
      <w:r>
        <w:rPr>
          <w:rFonts w:ascii="宋体" w:hAnsi="宋体"/>
          <w:color w:val="0C0C0C"/>
          <w:szCs w:val="22"/>
        </w:rPr>
        <w:t>1、业绩比较基准设定的原因</w:t>
      </w:r>
    </w:p>
    <w:p w14:paraId="12E3E28C">
      <w:pPr>
        <w:widowControl/>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本基金为股票型</w:t>
      </w:r>
      <w:r>
        <w:rPr>
          <w:rFonts w:ascii="宋体" w:hAnsi="宋体"/>
          <w:color w:val="0C0C0C"/>
          <w:szCs w:val="22"/>
        </w:rPr>
        <w:t>ETF,主要采用完全复制法跟踪标的指数，以“紧密跟踪标的指数，追求跟踪偏离度和跟踪误差</w:t>
      </w:r>
      <w:r>
        <w:rPr>
          <w:rFonts w:hint="eastAsia" w:ascii="宋体" w:hAnsi="宋体"/>
          <w:color w:val="0C0C0C"/>
          <w:szCs w:val="22"/>
        </w:rPr>
        <w:t>的</w:t>
      </w:r>
      <w:r>
        <w:rPr>
          <w:rFonts w:ascii="宋体" w:hAnsi="宋体"/>
          <w:color w:val="0C0C0C"/>
          <w:szCs w:val="22"/>
        </w:rPr>
        <w:t>最小化”作为投资目标，在投资中将不低于基金资产净值90%的资产投资于标的指数成份股及备选成份股（含存托凭证）。本基金的标的指数为</w:t>
      </w:r>
      <w:r>
        <w:rPr>
          <w:rFonts w:hint="eastAsia" w:ascii="宋体" w:hAnsi="宋体"/>
          <w:color w:val="0C0C0C"/>
          <w:szCs w:val="22"/>
        </w:rPr>
        <w:t>创业板电池指数，相应选取创业板电池指数作为基准要素，同时将创业板电池指数的基准要素权重设置为</w:t>
      </w:r>
      <w:r>
        <w:rPr>
          <w:rFonts w:ascii="宋体" w:hAnsi="宋体"/>
          <w:color w:val="0C0C0C"/>
          <w:szCs w:val="22"/>
        </w:rPr>
        <w:t>100%。</w:t>
      </w:r>
    </w:p>
    <w:p w14:paraId="4B76E123">
      <w:pPr>
        <w:widowControl/>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综上，本基金选取的业绩比较基准与基金投资目标、投资范围、投资策略、投资比例限制相匹配。</w:t>
      </w:r>
    </w:p>
    <w:p w14:paraId="2AA7D21C">
      <w:pPr>
        <w:widowControl/>
        <w:adjustRightInd w:val="0"/>
        <w:snapToGrid w:val="0"/>
        <w:spacing w:line="360" w:lineRule="auto"/>
        <w:ind w:firstLine="420" w:firstLineChars="200"/>
        <w:rPr>
          <w:rFonts w:hint="eastAsia" w:ascii="宋体" w:hAnsi="宋体"/>
          <w:color w:val="0C0C0C"/>
          <w:szCs w:val="22"/>
        </w:rPr>
      </w:pPr>
      <w:r>
        <w:rPr>
          <w:rFonts w:ascii="宋体" w:hAnsi="宋体"/>
          <w:color w:val="0C0C0C"/>
          <w:szCs w:val="22"/>
        </w:rPr>
        <w:t>2、业绩比较基准要素的基本信息</w:t>
      </w:r>
    </w:p>
    <w:p w14:paraId="03344036">
      <w:pPr>
        <w:widowControl/>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创业板电池指数由深圳证券信息有限公司编制发布，指数代码为970081，具体信息详见深圳证券信息有限公司网站，网址：</w:t>
      </w:r>
      <w:r>
        <w:rPr>
          <w:rFonts w:ascii="宋体" w:hAnsi="宋体"/>
          <w:color w:val="0C0C0C"/>
          <w:szCs w:val="22"/>
        </w:rPr>
        <w:t>http://www.cnindex.com.cn/。</w:t>
      </w:r>
    </w:p>
    <w:p w14:paraId="06900866">
      <w:pPr>
        <w:widowControl/>
        <w:adjustRightInd w:val="0"/>
        <w:snapToGrid w:val="0"/>
        <w:spacing w:line="360" w:lineRule="auto"/>
        <w:ind w:firstLine="420" w:firstLineChars="200"/>
        <w:rPr>
          <w:rFonts w:hint="eastAsia" w:ascii="宋体" w:hAnsi="宋体"/>
          <w:color w:val="0C0C0C"/>
          <w:szCs w:val="22"/>
        </w:rPr>
      </w:pPr>
      <w:r>
        <w:rPr>
          <w:rFonts w:ascii="宋体" w:hAnsi="宋体"/>
          <w:color w:val="0C0C0C"/>
          <w:szCs w:val="22"/>
        </w:rPr>
        <w:t>3、业绩比较基准的计算方法</w:t>
      </w:r>
    </w:p>
    <w:p w14:paraId="5E9EEE0C">
      <w:pPr>
        <w:widowControl/>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本基金业绩比较基准收益率的计算方法以每日收益率为基础，以时间加权为计算原则。</w:t>
      </w:r>
    </w:p>
    <w:p w14:paraId="121F2DA7">
      <w:pPr>
        <w:widowControl/>
        <w:adjustRightInd w:val="0"/>
        <w:snapToGrid w:val="0"/>
        <w:spacing w:line="360" w:lineRule="auto"/>
        <w:ind w:firstLine="420" w:firstLineChars="200"/>
        <w:rPr>
          <w:rFonts w:hint="eastAsia" w:ascii="宋体" w:hAnsi="宋体"/>
          <w:color w:val="0C0C0C"/>
          <w:szCs w:val="22"/>
        </w:rPr>
      </w:pPr>
      <w:r>
        <w:rPr>
          <w:rFonts w:ascii="宋体" w:hAnsi="宋体"/>
          <w:color w:val="0C0C0C"/>
          <w:szCs w:val="22"/>
        </w:rPr>
        <w:t>4、管理投资偏离业绩比较基准的定性或定量方法</w:t>
      </w:r>
    </w:p>
    <w:p w14:paraId="5127080E">
      <w:pPr>
        <w:widowControl/>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本基金主要采用完全复制法，即按照标的指数成份股及其权重构建基金的股票投资组合，并根据标的指数成份股及其权重的变动对股票投资组合进行相应地调整。在因特殊情形导致基金无法完全投资于标的指数成份股时，本基金可采取包括成份股替代策略在内的其他指数投资技术适当调整基金投资组合，以达到紧密跟踪标的指数的目的。本基金力争将日均跟踪偏离度的绝对值控制在</w:t>
      </w:r>
      <w:r>
        <w:rPr>
          <w:rFonts w:ascii="宋体" w:hAnsi="宋体"/>
          <w:color w:val="0C0C0C"/>
          <w:szCs w:val="22"/>
        </w:rPr>
        <w:t>0.2%以内，年化跟踪误差控制在2%以内。如因标的指数编制规则调整或其他因素导致跟踪误差超过上述范围的，本基金将采取合理措施避免跟踪误差过大。</w:t>
      </w:r>
    </w:p>
    <w:p w14:paraId="616CD740">
      <w:pPr>
        <w:widowControl/>
        <w:adjustRightInd w:val="0"/>
        <w:snapToGrid w:val="0"/>
        <w:spacing w:line="360" w:lineRule="auto"/>
        <w:ind w:firstLine="420" w:firstLineChars="200"/>
        <w:rPr>
          <w:rFonts w:hint="eastAsia" w:ascii="宋体" w:hAnsi="宋体"/>
          <w:color w:val="0C0C0C"/>
          <w:szCs w:val="22"/>
        </w:rPr>
      </w:pPr>
      <w:r>
        <w:rPr>
          <w:rFonts w:ascii="宋体" w:hAnsi="宋体"/>
          <w:color w:val="0C0C0C"/>
          <w:szCs w:val="22"/>
        </w:rPr>
        <w:t>5、未来可能变更业绩比较基准的情况和程序</w:t>
      </w:r>
    </w:p>
    <w:p w14:paraId="116FE16D">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若本基金调整业绩比较基准的要素权重，本基金将根据法律法规、中国证监会的规定和基金合同约定履行相关程序。</w:t>
      </w:r>
    </w:p>
    <w:p w14:paraId="61E755ED">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未来若出现标的指数不符合要求（因成份股价格波动等指数编制方法变动之外的因素致使标的指数不符合要求以及法律法规、监管机构另有规定的情形除外）、指数编制机构退出等情形，基金管理人应当自该情形发生之日起十个工作日内向中国证监会报告并提出解决方案，如转换运作方式、与其他基金合并或者终止基金合同等，并在6个月内召集基金份额持有人大会。</w:t>
      </w:r>
    </w:p>
    <w:p w14:paraId="72A491D5">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自指数编制机构停止标的指数的编制及发布至解决方案确定期间，基金管理人应按照指数编制机构提供的最近一个交易日的指数信息遵循基金份额持有人利益优先原则维持基金投资运作。</w:t>
      </w:r>
    </w:p>
    <w:p w14:paraId="15C1C293">
      <w:pPr>
        <w:adjustRightInd w:val="0"/>
        <w:snapToGrid w:val="0"/>
        <w:spacing w:line="360" w:lineRule="auto"/>
        <w:ind w:firstLine="420" w:firstLineChars="200"/>
        <w:rPr>
          <w:rFonts w:hint="eastAsia" w:ascii="宋体" w:hAnsi="宋体"/>
          <w:color w:val="0C0C0C"/>
          <w:szCs w:val="22"/>
        </w:rPr>
      </w:pPr>
    </w:p>
    <w:p w14:paraId="58ECFF6D">
      <w:pPr>
        <w:adjustRightInd w:val="0"/>
        <w:snapToGrid w:val="0"/>
        <w:spacing w:line="360" w:lineRule="auto"/>
        <w:ind w:firstLine="420" w:firstLineChars="200"/>
        <w:rPr>
          <w:rFonts w:hint="eastAsia" w:ascii="宋体" w:hAnsi="宋体"/>
          <w:color w:val="0C0C0C"/>
          <w:szCs w:val="22"/>
        </w:rPr>
      </w:pPr>
      <w:r>
        <w:rPr>
          <w:rFonts w:hint="eastAsia" w:ascii="宋体" w:hAnsi="宋体" w:cs="Arial"/>
          <w:bCs/>
          <w:kern w:val="0"/>
          <w:szCs w:val="21"/>
        </w:rPr>
        <w:t>法律法规或监管机构另有规定的，从其规定。</w:t>
      </w:r>
    </w:p>
    <w:p w14:paraId="5A6D0B83">
      <w:pPr>
        <w:adjustRightInd w:val="0"/>
        <w:snapToGrid w:val="0"/>
        <w:spacing w:line="360" w:lineRule="auto"/>
        <w:ind w:firstLine="422" w:firstLineChars="200"/>
        <w:rPr>
          <w:rFonts w:hint="eastAsia" w:ascii="宋体" w:hAnsi="宋体"/>
          <w:b/>
          <w:color w:val="0C0C0C"/>
          <w:szCs w:val="22"/>
        </w:rPr>
      </w:pPr>
      <w:r>
        <w:rPr>
          <w:rFonts w:hint="eastAsia" w:ascii="宋体" w:hAnsi="宋体"/>
          <w:b/>
          <w:color w:val="0C0C0C"/>
          <w:szCs w:val="22"/>
        </w:rPr>
        <w:t>六、风险收益特征</w:t>
      </w:r>
    </w:p>
    <w:p w14:paraId="6E996B9F">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本基金属于股票型基金，其预期收益及预期风险水平高于混合型基金、债券型基金与货币市场基金。</w:t>
      </w:r>
    </w:p>
    <w:p w14:paraId="4D11F043">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本基金为被动式投资的股票型指数基金，跟踪创业板电池指数，其风险收益特征与标的指数所表征的市场组合的风险收益特征相似。</w:t>
      </w:r>
    </w:p>
    <w:p w14:paraId="6B5AAE75">
      <w:pPr>
        <w:adjustRightInd w:val="0"/>
        <w:snapToGrid w:val="0"/>
        <w:spacing w:line="360" w:lineRule="auto"/>
        <w:ind w:firstLine="422" w:firstLineChars="200"/>
        <w:rPr>
          <w:rFonts w:hint="eastAsia" w:ascii="宋体" w:hAnsi="宋体"/>
          <w:b/>
          <w:color w:val="0C0C0C"/>
          <w:szCs w:val="22"/>
        </w:rPr>
      </w:pPr>
      <w:r>
        <w:rPr>
          <w:rFonts w:hint="eastAsia" w:ascii="宋体" w:hAnsi="宋体"/>
          <w:b/>
          <w:color w:val="0C0C0C"/>
          <w:szCs w:val="22"/>
        </w:rPr>
        <w:t>七、基金管理人代表基金行使股东或债权人权利的处理原则及方法</w:t>
      </w:r>
    </w:p>
    <w:p w14:paraId="7D7AB4F8">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 xml:space="preserve">1、基金管理人按照国家有关规定代表基金独立行使股东或债权人权利，保护基金份额持有人的利益； </w:t>
      </w:r>
    </w:p>
    <w:p w14:paraId="5C4F9D09">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 xml:space="preserve">2、不谋求对上市公司的控股； </w:t>
      </w:r>
    </w:p>
    <w:p w14:paraId="6F179258">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 xml:space="preserve">3、有利于基金财产的安全与增值； </w:t>
      </w:r>
    </w:p>
    <w:p w14:paraId="4943473B">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4、不通过关联交易为自身、雇员、授权代理人或任何存在利害关系的第三人牟取任何不当利益。</w:t>
      </w:r>
    </w:p>
    <w:p w14:paraId="352A32BD">
      <w:pPr>
        <w:widowControl/>
        <w:spacing w:line="360" w:lineRule="auto"/>
        <w:ind w:firstLine="420"/>
        <w:rPr>
          <w:rFonts w:hint="eastAsia" w:ascii="宋体" w:hAnsi="宋体"/>
          <w:color w:val="0C0C0C"/>
          <w:szCs w:val="22"/>
        </w:rPr>
      </w:pPr>
    </w:p>
    <w:p w14:paraId="1B60DC76">
      <w:pPr>
        <w:adjustRightInd w:val="0"/>
        <w:snapToGrid w:val="0"/>
        <w:spacing w:line="360" w:lineRule="auto"/>
        <w:ind w:firstLine="422" w:firstLineChars="200"/>
        <w:rPr>
          <w:rFonts w:hint="eastAsia" w:ascii="宋体" w:hAnsi="宋体"/>
          <w:b/>
          <w:color w:val="0C0C0C"/>
          <w:szCs w:val="22"/>
        </w:rPr>
      </w:pPr>
    </w:p>
    <w:p w14:paraId="62B6A6B5">
      <w:pPr>
        <w:adjustRightInd w:val="0"/>
        <w:snapToGrid w:val="0"/>
        <w:spacing w:line="360" w:lineRule="auto"/>
        <w:ind w:firstLine="420" w:firstLineChars="200"/>
        <w:rPr>
          <w:rFonts w:hint="eastAsia" w:ascii="宋体" w:hAnsi="宋体"/>
          <w:color w:val="0C0C0C"/>
          <w:szCs w:val="22"/>
        </w:rPr>
        <w:sectPr>
          <w:footerReference r:id="rId29" w:type="first"/>
          <w:footerReference r:id="rId28" w:type="default"/>
          <w:pgSz w:w="11906" w:h="16838"/>
          <w:pgMar w:top="1440" w:right="1800" w:bottom="1440" w:left="1800" w:header="851" w:footer="992" w:gutter="0"/>
          <w:cols w:space="720" w:num="1"/>
          <w:titlePg/>
          <w:docGrid w:linePitch="312" w:charSpace="0"/>
        </w:sectPr>
      </w:pPr>
    </w:p>
    <w:p w14:paraId="1CBFFA95">
      <w:pPr>
        <w:pStyle w:val="2"/>
        <w:snapToGrid w:val="0"/>
        <w:spacing w:before="0" w:after="0" w:line="360" w:lineRule="auto"/>
        <w:ind w:firstLine="141" w:firstLineChars="50"/>
        <w:rPr>
          <w:rFonts w:hint="eastAsia" w:hAnsi="宋体" w:eastAsia="宋体" w:cs="Arial"/>
          <w:b/>
          <w:bCs/>
          <w:sz w:val="28"/>
          <w:szCs w:val="28"/>
        </w:rPr>
      </w:pPr>
      <w:bookmarkStart w:id="121" w:name="_Toc50661131"/>
      <w:bookmarkStart w:id="122" w:name="_Toc24899"/>
      <w:r>
        <w:rPr>
          <w:rFonts w:hAnsi="宋体" w:eastAsia="宋体" w:cs="Arial"/>
          <w:b/>
          <w:bCs/>
          <w:sz w:val="28"/>
          <w:szCs w:val="28"/>
        </w:rPr>
        <w:t>第十</w:t>
      </w:r>
      <w:r>
        <w:rPr>
          <w:rFonts w:hint="eastAsia" w:hAnsi="宋体" w:eastAsia="宋体" w:cs="Arial"/>
          <w:b/>
          <w:bCs/>
          <w:sz w:val="28"/>
          <w:szCs w:val="28"/>
        </w:rPr>
        <w:t>二</w:t>
      </w:r>
      <w:r>
        <w:rPr>
          <w:rFonts w:hAnsi="宋体" w:eastAsia="宋体" w:cs="Arial"/>
          <w:b/>
          <w:bCs/>
          <w:sz w:val="28"/>
          <w:szCs w:val="28"/>
        </w:rPr>
        <w:t>部分  基金的财产</w:t>
      </w:r>
      <w:bookmarkEnd w:id="120"/>
      <w:bookmarkEnd w:id="121"/>
      <w:bookmarkEnd w:id="122"/>
    </w:p>
    <w:p w14:paraId="4EA8F317">
      <w:pPr>
        <w:spacing w:line="360" w:lineRule="auto"/>
        <w:rPr>
          <w:rFonts w:hint="eastAsia" w:ascii="宋体" w:hAnsi="宋体"/>
        </w:rPr>
      </w:pPr>
    </w:p>
    <w:p w14:paraId="23685604">
      <w:pPr>
        <w:spacing w:line="360" w:lineRule="auto"/>
        <w:ind w:firstLine="422" w:firstLineChars="200"/>
        <w:rPr>
          <w:rFonts w:hint="eastAsia" w:ascii="宋体" w:hAnsi="宋体"/>
          <w:b/>
          <w:szCs w:val="21"/>
        </w:rPr>
      </w:pPr>
      <w:r>
        <w:rPr>
          <w:rFonts w:hint="eastAsia" w:ascii="宋体" w:hAnsi="宋体"/>
          <w:b/>
          <w:szCs w:val="21"/>
        </w:rPr>
        <w:t>一、</w:t>
      </w:r>
      <w:r>
        <w:rPr>
          <w:rFonts w:ascii="宋体" w:hAnsi="宋体"/>
          <w:b/>
          <w:szCs w:val="21"/>
        </w:rPr>
        <w:t>基金资产总值</w:t>
      </w:r>
    </w:p>
    <w:p w14:paraId="78AD4E28">
      <w:pPr>
        <w:spacing w:line="360" w:lineRule="auto"/>
        <w:ind w:firstLine="420" w:firstLineChars="200"/>
        <w:rPr>
          <w:rFonts w:hint="eastAsia" w:ascii="宋体" w:hAnsi="宋体"/>
          <w:szCs w:val="21"/>
        </w:rPr>
      </w:pPr>
      <w:r>
        <w:rPr>
          <w:rFonts w:hint="eastAsia" w:ascii="宋体" w:hAnsi="宋体"/>
          <w:bCs/>
          <w:szCs w:val="21"/>
        </w:rPr>
        <w:t>基金资产总值是指基金拥有的各类有价证券、银行存款本息、基金应收款项及其他资产的价值总和。</w:t>
      </w:r>
    </w:p>
    <w:p w14:paraId="0F5EBBAC">
      <w:pPr>
        <w:spacing w:line="360" w:lineRule="auto"/>
        <w:ind w:firstLine="422" w:firstLineChars="200"/>
        <w:rPr>
          <w:rFonts w:hint="eastAsia" w:ascii="宋体" w:hAnsi="宋体"/>
          <w:b/>
          <w:szCs w:val="21"/>
        </w:rPr>
      </w:pPr>
      <w:r>
        <w:rPr>
          <w:rFonts w:hint="eastAsia" w:ascii="宋体" w:hAnsi="宋体"/>
          <w:b/>
          <w:szCs w:val="21"/>
        </w:rPr>
        <w:t>二、</w:t>
      </w:r>
      <w:r>
        <w:rPr>
          <w:rFonts w:ascii="宋体" w:hAnsi="宋体"/>
          <w:b/>
          <w:szCs w:val="21"/>
        </w:rPr>
        <w:t>基金资产净值</w:t>
      </w:r>
    </w:p>
    <w:p w14:paraId="63B6FE1B">
      <w:pPr>
        <w:spacing w:line="360" w:lineRule="auto"/>
        <w:ind w:firstLine="420" w:firstLineChars="200"/>
        <w:rPr>
          <w:rFonts w:hint="eastAsia" w:ascii="宋体" w:hAnsi="宋体"/>
          <w:szCs w:val="21"/>
        </w:rPr>
      </w:pPr>
      <w:r>
        <w:rPr>
          <w:rFonts w:ascii="宋体" w:hAnsi="宋体"/>
          <w:bCs/>
          <w:szCs w:val="21"/>
        </w:rPr>
        <w:t>基金资产净值是指基金资产总值减去基金负债后的价值。</w:t>
      </w:r>
    </w:p>
    <w:p w14:paraId="0479A441">
      <w:pPr>
        <w:spacing w:line="360" w:lineRule="auto"/>
        <w:ind w:firstLine="422" w:firstLineChars="200"/>
        <w:rPr>
          <w:rFonts w:hint="eastAsia" w:ascii="宋体" w:hAnsi="宋体"/>
          <w:b/>
          <w:szCs w:val="21"/>
        </w:rPr>
      </w:pPr>
      <w:r>
        <w:rPr>
          <w:rFonts w:hint="eastAsia" w:ascii="宋体" w:hAnsi="宋体"/>
          <w:b/>
          <w:szCs w:val="21"/>
        </w:rPr>
        <w:t>三、</w:t>
      </w:r>
      <w:r>
        <w:rPr>
          <w:rFonts w:ascii="宋体" w:hAnsi="宋体"/>
          <w:b/>
          <w:szCs w:val="21"/>
        </w:rPr>
        <w:t>基金财产的账户</w:t>
      </w:r>
    </w:p>
    <w:p w14:paraId="30A1728C">
      <w:pPr>
        <w:spacing w:line="360" w:lineRule="auto"/>
        <w:ind w:firstLine="420" w:firstLineChars="200"/>
        <w:rPr>
          <w:rFonts w:hint="eastAsia" w:ascii="宋体" w:hAnsi="宋体"/>
          <w:bCs/>
          <w:szCs w:val="21"/>
        </w:rPr>
      </w:pPr>
      <w:r>
        <w:rPr>
          <w:rFonts w:hint="eastAsia" w:ascii="宋体" w:hAnsi="宋体"/>
          <w:bCs/>
          <w:szCs w:val="21"/>
        </w:rPr>
        <w:t>基金托管人或基金管理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14:paraId="49522066">
      <w:pPr>
        <w:spacing w:line="360" w:lineRule="auto"/>
        <w:ind w:firstLine="422" w:firstLineChars="200"/>
        <w:rPr>
          <w:rFonts w:hint="eastAsia" w:ascii="宋体" w:hAnsi="宋体"/>
          <w:b/>
          <w:szCs w:val="21"/>
        </w:rPr>
      </w:pPr>
      <w:r>
        <w:rPr>
          <w:rFonts w:hint="eastAsia" w:ascii="宋体" w:hAnsi="宋体"/>
          <w:b/>
          <w:szCs w:val="21"/>
        </w:rPr>
        <w:t>四、</w:t>
      </w:r>
      <w:r>
        <w:rPr>
          <w:rFonts w:ascii="宋体" w:hAnsi="宋体"/>
          <w:b/>
          <w:szCs w:val="21"/>
        </w:rPr>
        <w:t>基金财产的</w:t>
      </w:r>
      <w:r>
        <w:rPr>
          <w:rFonts w:hint="eastAsia" w:ascii="宋体" w:hAnsi="宋体"/>
          <w:b/>
          <w:szCs w:val="21"/>
        </w:rPr>
        <w:t>保管和</w:t>
      </w:r>
      <w:r>
        <w:rPr>
          <w:rFonts w:ascii="宋体" w:hAnsi="宋体"/>
          <w:b/>
          <w:szCs w:val="21"/>
        </w:rPr>
        <w:t>处分</w:t>
      </w:r>
    </w:p>
    <w:p w14:paraId="7EB5F3A4">
      <w:pPr>
        <w:spacing w:line="360" w:lineRule="auto"/>
        <w:ind w:firstLine="420" w:firstLineChars="200"/>
        <w:rPr>
          <w:rFonts w:hint="eastAsia" w:ascii="宋体" w:hAnsi="宋体"/>
          <w:bCs/>
          <w:szCs w:val="21"/>
        </w:rPr>
      </w:pPr>
      <w:r>
        <w:rPr>
          <w:rFonts w:ascii="宋体" w:hAnsi="宋体"/>
          <w:bCs/>
          <w:szCs w:val="21"/>
        </w:rPr>
        <w:t>本基金财产独立于基金管理人、基金托管人和基金</w:t>
      </w:r>
      <w:r>
        <w:rPr>
          <w:rFonts w:hint="eastAsia" w:ascii="宋体" w:hAnsi="宋体"/>
          <w:bCs/>
          <w:szCs w:val="21"/>
        </w:rPr>
        <w:t>销售</w:t>
      </w:r>
      <w:r>
        <w:rPr>
          <w:rFonts w:ascii="宋体" w:hAnsi="宋体"/>
          <w:bCs/>
          <w:szCs w:val="21"/>
        </w:rPr>
        <w:t>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25A87784">
      <w:pPr>
        <w:spacing w:line="360" w:lineRule="auto"/>
        <w:ind w:firstLine="420" w:firstLineChars="200"/>
        <w:rPr>
          <w:rFonts w:hint="eastAsia" w:ascii="宋体" w:hAnsi="宋体" w:cs="Arial"/>
          <w:b/>
          <w:bCs/>
          <w:szCs w:val="21"/>
        </w:rPr>
      </w:pPr>
      <w:r>
        <w:rPr>
          <w:rFonts w:hint="eastAsia" w:ascii="宋体" w:hAnsi="宋体"/>
          <w:bCs/>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14:paraId="20E7EEC0">
      <w:pPr>
        <w:snapToGrid w:val="0"/>
        <w:spacing w:line="360" w:lineRule="auto"/>
        <w:rPr>
          <w:rFonts w:hint="eastAsia" w:ascii="宋体" w:hAnsi="宋体" w:cs="Arial"/>
          <w:szCs w:val="21"/>
        </w:rPr>
      </w:pPr>
    </w:p>
    <w:p w14:paraId="521C83AD">
      <w:pPr>
        <w:snapToGrid w:val="0"/>
        <w:spacing w:line="360" w:lineRule="auto"/>
        <w:rPr>
          <w:rFonts w:hint="eastAsia" w:ascii="宋体" w:hAnsi="宋体" w:cs="Arial"/>
          <w:szCs w:val="21"/>
        </w:rPr>
        <w:sectPr>
          <w:footerReference r:id="rId30" w:type="first"/>
          <w:pgSz w:w="11906" w:h="16838"/>
          <w:pgMar w:top="1440" w:right="1800" w:bottom="1440" w:left="1800" w:header="851" w:footer="992" w:gutter="0"/>
          <w:cols w:space="720" w:num="1"/>
          <w:titlePg/>
          <w:docGrid w:linePitch="312" w:charSpace="0"/>
        </w:sectPr>
      </w:pPr>
    </w:p>
    <w:p w14:paraId="1D84E41C">
      <w:pPr>
        <w:pStyle w:val="2"/>
        <w:snapToGrid w:val="0"/>
        <w:spacing w:before="0" w:after="0" w:line="360" w:lineRule="auto"/>
        <w:ind w:firstLine="141" w:firstLineChars="50"/>
        <w:rPr>
          <w:rFonts w:hint="eastAsia" w:hAnsi="宋体" w:eastAsia="宋体" w:cs="Arial"/>
          <w:b/>
          <w:bCs/>
          <w:sz w:val="28"/>
          <w:szCs w:val="28"/>
        </w:rPr>
      </w:pPr>
      <w:bookmarkStart w:id="123" w:name="_Toc50661132"/>
      <w:bookmarkStart w:id="124" w:name="_Toc214873600"/>
      <w:bookmarkStart w:id="125" w:name="_Toc26681"/>
      <w:r>
        <w:rPr>
          <w:rFonts w:hAnsi="宋体" w:eastAsia="宋体" w:cs="Arial"/>
          <w:b/>
          <w:bCs/>
          <w:sz w:val="28"/>
          <w:szCs w:val="28"/>
        </w:rPr>
        <w:t>第十</w:t>
      </w:r>
      <w:r>
        <w:rPr>
          <w:rFonts w:hint="eastAsia" w:hAnsi="宋体" w:eastAsia="宋体" w:cs="Arial"/>
          <w:b/>
          <w:bCs/>
          <w:sz w:val="28"/>
          <w:szCs w:val="28"/>
        </w:rPr>
        <w:t>三</w:t>
      </w:r>
      <w:r>
        <w:rPr>
          <w:rFonts w:hAnsi="宋体" w:eastAsia="宋体" w:cs="Arial"/>
          <w:b/>
          <w:bCs/>
          <w:sz w:val="28"/>
          <w:szCs w:val="28"/>
        </w:rPr>
        <w:t>部分  基金资产的估值</w:t>
      </w:r>
      <w:bookmarkEnd w:id="123"/>
      <w:bookmarkEnd w:id="124"/>
      <w:bookmarkEnd w:id="125"/>
    </w:p>
    <w:p w14:paraId="24B49AB8">
      <w:pPr>
        <w:spacing w:line="360" w:lineRule="auto"/>
        <w:rPr>
          <w:rFonts w:hint="eastAsia" w:ascii="宋体" w:hAnsi="宋体"/>
        </w:rPr>
      </w:pPr>
    </w:p>
    <w:p w14:paraId="4CA5AA62">
      <w:pPr>
        <w:adjustRightInd w:val="0"/>
        <w:snapToGrid w:val="0"/>
        <w:spacing w:line="360" w:lineRule="auto"/>
        <w:ind w:firstLine="422" w:firstLineChars="200"/>
        <w:rPr>
          <w:rFonts w:hint="eastAsia" w:ascii="宋体" w:hAnsi="宋体"/>
          <w:b/>
          <w:color w:val="0C0C0C"/>
          <w:szCs w:val="22"/>
        </w:rPr>
      </w:pPr>
      <w:bookmarkStart w:id="126" w:name="_Toc530223193"/>
      <w:bookmarkStart w:id="127" w:name="_Toc214873601"/>
      <w:r>
        <w:rPr>
          <w:rFonts w:hint="eastAsia" w:ascii="宋体" w:hAnsi="宋体"/>
          <w:b/>
          <w:color w:val="0C0C0C"/>
          <w:szCs w:val="22"/>
        </w:rPr>
        <w:t>一、估值日</w:t>
      </w:r>
    </w:p>
    <w:p w14:paraId="13AE5452">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本基金的估值日为本基金相关的证券、期货交易场所的交易日以及国家法律法规规定需要对外披露基金净值的非交易日。</w:t>
      </w:r>
    </w:p>
    <w:p w14:paraId="3E8D2612">
      <w:pPr>
        <w:adjustRightInd w:val="0"/>
        <w:snapToGrid w:val="0"/>
        <w:spacing w:line="360" w:lineRule="auto"/>
        <w:ind w:firstLine="422" w:firstLineChars="200"/>
        <w:rPr>
          <w:rFonts w:hint="eastAsia" w:ascii="宋体" w:hAnsi="宋体"/>
          <w:b/>
          <w:color w:val="0C0C0C"/>
          <w:szCs w:val="22"/>
        </w:rPr>
      </w:pPr>
      <w:r>
        <w:rPr>
          <w:rFonts w:hint="eastAsia" w:ascii="宋体" w:hAnsi="宋体"/>
          <w:b/>
          <w:color w:val="0C0C0C"/>
          <w:szCs w:val="22"/>
        </w:rPr>
        <w:t>二、估值对象</w:t>
      </w:r>
    </w:p>
    <w:p w14:paraId="31FCC9CF">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基金所拥有的股票（含存托凭证）、债券、股指期货合约、国债期货合约、股票期权合约和银行存款本息、应收款项、资产支持证券、其它投资等资产及负债。</w:t>
      </w:r>
    </w:p>
    <w:p w14:paraId="3B5150A6">
      <w:pPr>
        <w:adjustRightInd w:val="0"/>
        <w:snapToGrid w:val="0"/>
        <w:spacing w:line="360" w:lineRule="auto"/>
        <w:ind w:firstLine="422" w:firstLineChars="200"/>
        <w:rPr>
          <w:rFonts w:hint="eastAsia" w:ascii="宋体" w:hAnsi="宋体"/>
          <w:b/>
          <w:color w:val="0C0C0C"/>
          <w:szCs w:val="22"/>
        </w:rPr>
      </w:pPr>
      <w:r>
        <w:rPr>
          <w:rFonts w:hint="eastAsia" w:ascii="宋体" w:hAnsi="宋体"/>
          <w:b/>
          <w:color w:val="0C0C0C"/>
          <w:szCs w:val="22"/>
        </w:rPr>
        <w:t>三、估值原则</w:t>
      </w:r>
    </w:p>
    <w:p w14:paraId="57D09B5A">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基金管理人在确定相关金融资产和金融负债的公允价值时，应符合《企业会计准则》、监管部门有关规定。</w:t>
      </w:r>
    </w:p>
    <w:p w14:paraId="68BC8DF6">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14:paraId="14D9E4D5">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14:paraId="544CCAFB">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14:paraId="43764F23">
      <w:pPr>
        <w:adjustRightInd w:val="0"/>
        <w:snapToGrid w:val="0"/>
        <w:spacing w:line="360" w:lineRule="auto"/>
        <w:ind w:firstLine="422" w:firstLineChars="200"/>
        <w:rPr>
          <w:rFonts w:hint="eastAsia" w:ascii="宋体" w:hAnsi="宋体"/>
          <w:b/>
          <w:color w:val="0C0C0C"/>
          <w:szCs w:val="22"/>
        </w:rPr>
      </w:pPr>
      <w:r>
        <w:rPr>
          <w:rFonts w:hint="eastAsia" w:ascii="宋体" w:hAnsi="宋体"/>
          <w:b/>
          <w:color w:val="0C0C0C"/>
          <w:szCs w:val="22"/>
        </w:rPr>
        <w:t>四、估值方法</w:t>
      </w:r>
    </w:p>
    <w:p w14:paraId="4A6BB6BD">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1、交易所上市或挂牌转让的有价证券（包括股票等，基金合同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19F9F2AF">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2、对于已上市或已挂牌转让的不含权固定收益品种，选取估值日第三方估值基准服务机构提供的相应品种当日的估值全价进行估值。</w:t>
      </w:r>
    </w:p>
    <w:p w14:paraId="2050C922">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3、对于已上市或已挂牌转让的含权固定收益品种，选取估值日第三方估值基准服务机构提供的相应品种当日的唯一估值全价或推荐估值全价进行估值。</w:t>
      </w:r>
    </w:p>
    <w:p w14:paraId="357FE64E">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1D097E40">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4、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5277DE76">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5、对于未上市或未挂牌转让且不存在活跃市场的固定收益品种，应采用在当前情况下适用并且有足够可利用数据和其他信息支持的估值技术确定其公允价值。</w:t>
      </w:r>
    </w:p>
    <w:p w14:paraId="45032202">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6、处于未上市期间的股票应区分如下情况处理：</w:t>
      </w:r>
    </w:p>
    <w:p w14:paraId="66E1F9C0">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（1）送股、转增股、配股和公开增发的新股，按估值日在证券交易所挂牌的同一股票的估值方法估值；该日无交易的，以最近一日的市价（收盘价）估值；</w:t>
      </w:r>
    </w:p>
    <w:p w14:paraId="03894AA6">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（2）首次公开发行未上市的股票，采用估值技术确定公允价值；</w:t>
      </w:r>
    </w:p>
    <w:p w14:paraId="0050B440">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5F30E318">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7、本基金投资存托凭证的估值核算，依照境内上市交易的股票执行。</w:t>
      </w:r>
    </w:p>
    <w:p w14:paraId="2461FE87">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8、同一证券同时在两个或两个以上市场交易的，按证券所处的市场分别估值。</w:t>
      </w:r>
    </w:p>
    <w:p w14:paraId="49FA2675">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9、本基金参与股指期货、国债期货合约交易，一般以估值当日结算价确定公允价值，估值当日无结算价的，且最近交易日后未发生影响公允价值计量的重大事件的，采用最近交易日结算价估值。</w:t>
      </w:r>
    </w:p>
    <w:p w14:paraId="3BF615AB">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10、本基金投资股票期权，根据相关法律法规以及监管部门的规定估值。</w:t>
      </w:r>
    </w:p>
    <w:p w14:paraId="3DC45E7D">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11、本基金参与融资及转融通证券出借业务的，应参照法律法规及行业协会的相关规定进行估值。</w:t>
      </w:r>
    </w:p>
    <w:p w14:paraId="0959DB1D">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12、如有确凿证据表明按上述方法进行估值不能客观反映其公允价值的，基金管理人可根据具体情况与基金托管人商定后，按最能反映公允价值的方法估值。</w:t>
      </w:r>
    </w:p>
    <w:p w14:paraId="4D650B45">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13、相关法律法规以及监管部门有强制规定的，从其规定。如有新增事项，按国家最新规定估值。</w:t>
      </w:r>
    </w:p>
    <w:p w14:paraId="44B542AB">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如基金管理人或基金托管人发现基金估值违反基金合同订明的估值方法、程序及相关法律法规的规定或者未能充分维护基金份额持有人利益时，应立即通知对方，共同查明原因，双方协商解决。</w:t>
      </w:r>
    </w:p>
    <w:p w14:paraId="7C5F319C">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1CA8C542">
      <w:pPr>
        <w:adjustRightInd w:val="0"/>
        <w:snapToGrid w:val="0"/>
        <w:spacing w:line="360" w:lineRule="auto"/>
        <w:ind w:firstLine="422" w:firstLineChars="200"/>
        <w:rPr>
          <w:rFonts w:hint="eastAsia" w:ascii="宋体" w:hAnsi="宋体"/>
          <w:b/>
          <w:color w:val="0C0C0C"/>
          <w:szCs w:val="22"/>
        </w:rPr>
      </w:pPr>
      <w:r>
        <w:rPr>
          <w:rFonts w:hint="eastAsia" w:ascii="宋体" w:hAnsi="宋体"/>
          <w:b/>
          <w:color w:val="0C0C0C"/>
          <w:szCs w:val="22"/>
        </w:rPr>
        <w:t>五、估值程序</w:t>
      </w:r>
    </w:p>
    <w:p w14:paraId="58000A5B">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1、基金份额净值是按照每个工作日闭市后，基金资产净值除以当日基金份额的余额数量计算，精确到0.0001元，小数点后第5位四舍五入，由此产生的误差计入基金财产。基金管理人可以设立大额赎回情形下的净值精度应急调整机制。国家另有规定的，从其规定。</w:t>
      </w:r>
    </w:p>
    <w:p w14:paraId="7B9A7B9E">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基金管理人于每个工作日计算基金资产净值及基金份额净值，并按规定公告。</w:t>
      </w:r>
    </w:p>
    <w:p w14:paraId="516783A5">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按约定对外公布。</w:t>
      </w:r>
    </w:p>
    <w:p w14:paraId="37B83084">
      <w:pPr>
        <w:adjustRightInd w:val="0"/>
        <w:snapToGrid w:val="0"/>
        <w:spacing w:line="360" w:lineRule="auto"/>
        <w:ind w:firstLine="422" w:firstLineChars="200"/>
        <w:rPr>
          <w:rFonts w:hint="eastAsia" w:ascii="宋体" w:hAnsi="宋体"/>
          <w:b/>
          <w:color w:val="0C0C0C"/>
          <w:szCs w:val="22"/>
        </w:rPr>
      </w:pPr>
      <w:r>
        <w:rPr>
          <w:rFonts w:hint="eastAsia" w:ascii="宋体" w:hAnsi="宋体"/>
          <w:b/>
          <w:color w:val="0C0C0C"/>
          <w:szCs w:val="22"/>
        </w:rPr>
        <w:t>六、估值错误的处理</w:t>
      </w:r>
    </w:p>
    <w:p w14:paraId="341053BB">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基金管理人和基金托管人将采取必要、适当、合理的措施确保基金资产估值的准确性、及时性。当基金份额净值小数点后4位以内(含第4位)发生估值错误时，视为基金份额净值错误。</w:t>
      </w:r>
    </w:p>
    <w:p w14:paraId="5FD0EBBE">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基金合同的当事人应按照以下约定处理：</w:t>
      </w:r>
    </w:p>
    <w:p w14:paraId="13057B12">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1、估值错误类型</w:t>
      </w:r>
    </w:p>
    <w:p w14:paraId="51221647">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1CD806F1">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上述估值错误的主要类型包括但不限于：资料申报差错、数据传输差错、数据计算差错、系统故障差错、下达指令差错等。</w:t>
      </w:r>
    </w:p>
    <w:p w14:paraId="760C1737">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2、估值错误处理原则</w:t>
      </w:r>
    </w:p>
    <w:p w14:paraId="5B4F9317">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076A497B">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（2）估值错误的责任方对有关当事人的直接损失负责，不对间接损失负责，并且仅对估值错误的有关直接当事人负责，不对第三方负责。</w:t>
      </w:r>
    </w:p>
    <w:p w14:paraId="3BA37429">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5863A2D9">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（4）估值错误调整采用尽量恢复至假设未发生估值错误的正确情形的方式。</w:t>
      </w:r>
    </w:p>
    <w:p w14:paraId="67595614">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3、估值错误处理程序</w:t>
      </w:r>
    </w:p>
    <w:p w14:paraId="3CB82013">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估值错误被发现后，有关的当事人应当及时进行处理，处理的程序如下：</w:t>
      </w:r>
    </w:p>
    <w:p w14:paraId="7A22A7D2">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（1）查明估值错误发生的原因，列明所有的当事人，并根据估值错误发生的原因确定估值错误的责任方；</w:t>
      </w:r>
    </w:p>
    <w:p w14:paraId="27BF812B">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（2）根据估值错误处理原则或当事人协商的方法对因估值错误造成的损失进行评估；</w:t>
      </w:r>
    </w:p>
    <w:p w14:paraId="499CA6EE">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（3）根据估值错误处理原则或当事人协商的方法由估值错误的责任方进行更正和赔偿损失；</w:t>
      </w:r>
    </w:p>
    <w:p w14:paraId="0819033D">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（4）根据估值错误处理的方法，需要修改基金登记机构交易数据的，由基金登记机构进行更正，并就估值错误的更正向有关当事人进行确认。</w:t>
      </w:r>
    </w:p>
    <w:p w14:paraId="0A6F736D">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4、基金份额净值估值错误处理的方法如下：</w:t>
      </w:r>
    </w:p>
    <w:p w14:paraId="182FF2FA">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（1）基金份额净值计算出现错误时，基金管理人应当立即予以纠正，通报基金托管人，并采取合理的措施防止损失进一步扩大。</w:t>
      </w:r>
    </w:p>
    <w:p w14:paraId="0D89A27A">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（2）错误偏差达到基金份额净值的0.25%时，基金管理人应当通报基金托管人并报中国证监会备案；错误偏差达到基金份额净值的0.5%时，基金管理人应当公告，并报中国证监会备案。</w:t>
      </w:r>
    </w:p>
    <w:p w14:paraId="5FB695EB">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（3）前述内容如法律法规或者监管部门另有规定的，从其规定。如果行业另有通行做法，基金管理人和基金托管人应本着平等和保护基金份额持有人利益的原则进行协商。</w:t>
      </w:r>
    </w:p>
    <w:p w14:paraId="33EA531F">
      <w:pPr>
        <w:adjustRightInd w:val="0"/>
        <w:snapToGrid w:val="0"/>
        <w:spacing w:line="360" w:lineRule="auto"/>
        <w:ind w:left="420"/>
        <w:rPr>
          <w:rFonts w:hint="eastAsia" w:ascii="宋体" w:hAnsi="宋体"/>
          <w:b/>
          <w:color w:val="0C0C0C"/>
          <w:szCs w:val="22"/>
        </w:rPr>
      </w:pPr>
      <w:r>
        <w:rPr>
          <w:rFonts w:hint="eastAsia" w:ascii="宋体" w:hAnsi="宋体"/>
          <w:b/>
          <w:color w:val="0C0C0C"/>
          <w:szCs w:val="22"/>
        </w:rPr>
        <w:t>七、暂停估值的情形</w:t>
      </w:r>
    </w:p>
    <w:p w14:paraId="37EA9B94">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1、基金投资所涉及的证券/期货交易市场遇法定节假日或因其他原因暂停营业时；</w:t>
      </w:r>
    </w:p>
    <w:p w14:paraId="640E3B98">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2、因不可抗力或者其他情形致使基金管理人、基金托管人无法准确评估基金资产价值时；</w:t>
      </w:r>
    </w:p>
    <w:p w14:paraId="7942ED9F">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3、当前一估值日基金资产净值50%以上的资产出现无可参考的活跃市场价格且采用估值技术仍导致公允价值存在重大不确定性时，经与基金托管人协商确认后，基金管理人应当暂停估值；</w:t>
      </w:r>
    </w:p>
    <w:p w14:paraId="33DFD05D">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4、法律法规、中国证监会和基金合同认定的其它情形。</w:t>
      </w:r>
    </w:p>
    <w:p w14:paraId="1F909508">
      <w:pPr>
        <w:adjustRightInd w:val="0"/>
        <w:snapToGrid w:val="0"/>
        <w:spacing w:line="360" w:lineRule="auto"/>
        <w:ind w:firstLine="422" w:firstLineChars="200"/>
        <w:rPr>
          <w:rFonts w:hint="eastAsia" w:ascii="宋体" w:hAnsi="宋体"/>
          <w:b/>
          <w:color w:val="0C0C0C"/>
          <w:szCs w:val="22"/>
        </w:rPr>
      </w:pPr>
      <w:r>
        <w:rPr>
          <w:rFonts w:hint="eastAsia" w:ascii="宋体" w:hAnsi="宋体"/>
          <w:b/>
          <w:color w:val="0C0C0C"/>
          <w:szCs w:val="22"/>
        </w:rPr>
        <w:t>八、基金净值的确认</w:t>
      </w:r>
    </w:p>
    <w:p w14:paraId="3A175EAA">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基金资产净值和基金份额净值由基金管理人负责计算，基金托管人负责进行复核。基金管理人应于每个工作日交易结束后计算当日的基金资产净值和基金份额净值并发送给基金托管人。基金托管人对净值计算结果复核确认后发送给基金管理人，由基金管理人对基金净值信息按约定予以公布。</w:t>
      </w:r>
    </w:p>
    <w:p w14:paraId="268966C7">
      <w:pPr>
        <w:adjustRightInd w:val="0"/>
        <w:snapToGrid w:val="0"/>
        <w:spacing w:line="360" w:lineRule="auto"/>
        <w:ind w:firstLine="422" w:firstLineChars="200"/>
        <w:rPr>
          <w:rFonts w:hint="eastAsia" w:ascii="宋体" w:hAnsi="宋体"/>
          <w:b/>
          <w:color w:val="0C0C0C"/>
          <w:szCs w:val="22"/>
        </w:rPr>
      </w:pPr>
      <w:r>
        <w:rPr>
          <w:rFonts w:hint="eastAsia" w:ascii="宋体" w:hAnsi="宋体"/>
          <w:b/>
          <w:color w:val="0C0C0C"/>
          <w:szCs w:val="22"/>
        </w:rPr>
        <w:t>九、特殊情况的处理</w:t>
      </w:r>
    </w:p>
    <w:p w14:paraId="12E48C71">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1、基金管理人或基金托管人按估值方法的第12项进行估值时，所造成的误差不作为基金资产估值错误处理。</w:t>
      </w:r>
    </w:p>
    <w:p w14:paraId="73AE4605">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2、由于不可抗力原因，或证券/期货交易所、指数编制机构及登记结算公司等第三方机构发送的数据错误、遗漏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w:t>
      </w:r>
    </w:p>
    <w:p w14:paraId="7A13CA03">
      <w:pPr>
        <w:adjustRightInd w:val="0"/>
        <w:snapToGrid w:val="0"/>
        <w:spacing w:line="360" w:lineRule="auto"/>
        <w:ind w:firstLine="420" w:firstLineChars="200"/>
        <w:rPr>
          <w:rFonts w:hint="eastAsia" w:ascii="宋体" w:hAnsi="宋体"/>
          <w:color w:val="0C0C0C"/>
          <w:szCs w:val="22"/>
        </w:rPr>
        <w:sectPr>
          <w:footerReference r:id="rId32" w:type="first"/>
          <w:footerReference r:id="rId31" w:type="default"/>
          <w:pgSz w:w="11906" w:h="16838"/>
          <w:pgMar w:top="1440" w:right="1800" w:bottom="1440" w:left="1800" w:header="851" w:footer="992" w:gutter="0"/>
          <w:cols w:space="720" w:num="1"/>
          <w:titlePg/>
          <w:docGrid w:type="lines" w:linePitch="312" w:charSpace="0"/>
        </w:sectPr>
      </w:pPr>
    </w:p>
    <w:p w14:paraId="49BC2E56">
      <w:pPr>
        <w:pStyle w:val="2"/>
        <w:snapToGrid w:val="0"/>
        <w:spacing w:before="0" w:after="0" w:line="360" w:lineRule="auto"/>
        <w:ind w:firstLine="141" w:firstLineChars="50"/>
        <w:rPr>
          <w:rFonts w:hint="eastAsia" w:hAnsi="宋体" w:eastAsia="宋体" w:cs="Arial"/>
          <w:b/>
          <w:bCs/>
          <w:sz w:val="28"/>
          <w:szCs w:val="28"/>
        </w:rPr>
      </w:pPr>
      <w:bookmarkStart w:id="128" w:name="_Toc50661133"/>
      <w:bookmarkStart w:id="129" w:name="_Toc18236"/>
      <w:r>
        <w:rPr>
          <w:rFonts w:hAnsi="宋体" w:eastAsia="宋体" w:cs="Arial"/>
          <w:b/>
          <w:bCs/>
          <w:sz w:val="28"/>
          <w:szCs w:val="28"/>
        </w:rPr>
        <w:t>第十</w:t>
      </w:r>
      <w:r>
        <w:rPr>
          <w:rFonts w:hint="eastAsia" w:hAnsi="宋体" w:eastAsia="宋体" w:cs="Arial"/>
          <w:b/>
          <w:bCs/>
          <w:sz w:val="28"/>
          <w:szCs w:val="28"/>
        </w:rPr>
        <w:t xml:space="preserve">四部分 </w:t>
      </w:r>
      <w:bookmarkEnd w:id="126"/>
      <w:r>
        <w:rPr>
          <w:rFonts w:hint="eastAsia" w:hAnsi="宋体" w:eastAsia="宋体" w:cs="Arial"/>
          <w:b/>
          <w:bCs/>
          <w:sz w:val="28"/>
          <w:szCs w:val="28"/>
        </w:rPr>
        <w:t xml:space="preserve"> 基金的收益与分配</w:t>
      </w:r>
      <w:bookmarkEnd w:id="127"/>
      <w:bookmarkEnd w:id="128"/>
      <w:bookmarkEnd w:id="129"/>
    </w:p>
    <w:p w14:paraId="43D48EEF">
      <w:pPr>
        <w:spacing w:line="360" w:lineRule="auto"/>
        <w:rPr>
          <w:rFonts w:hint="eastAsia" w:ascii="宋体" w:hAnsi="宋体"/>
        </w:rPr>
      </w:pPr>
    </w:p>
    <w:p w14:paraId="3A8CF905">
      <w:pPr>
        <w:adjustRightInd w:val="0"/>
        <w:snapToGrid w:val="0"/>
        <w:spacing w:line="360" w:lineRule="auto"/>
        <w:ind w:firstLine="422" w:firstLineChars="200"/>
        <w:rPr>
          <w:rFonts w:hint="eastAsia" w:ascii="宋体" w:hAnsi="宋体"/>
          <w:b/>
          <w:color w:val="0C0C0C"/>
          <w:szCs w:val="22"/>
        </w:rPr>
      </w:pPr>
      <w:bookmarkStart w:id="130" w:name="_Toc147463128"/>
      <w:bookmarkStart w:id="131" w:name="_Toc214873602"/>
      <w:bookmarkStart w:id="132" w:name="_Toc21073401"/>
      <w:bookmarkStart w:id="133" w:name="_Toc12357181"/>
      <w:r>
        <w:rPr>
          <w:rFonts w:hint="eastAsia" w:ascii="宋体" w:hAnsi="宋体"/>
          <w:b/>
          <w:color w:val="0C0C0C"/>
          <w:szCs w:val="22"/>
        </w:rPr>
        <w:t>一、基金收益分配原则</w:t>
      </w:r>
    </w:p>
    <w:p w14:paraId="0379FF61">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1、本基金基金份额的收益分配方式采用现金分红；</w:t>
      </w:r>
    </w:p>
    <w:p w14:paraId="0D83C9C5">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2、当收益评价日核定的基金份额净值增长率超过标的指数同期增长率或者基金可供分配利润金额大于零时，基金管理人可进行收益分配；</w:t>
      </w:r>
    </w:p>
    <w:p w14:paraId="4153AE64">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3、当基金收益分配根据基金相对标的指数的超额收益率决定时，基于本基金的特点，本基金收益分配无需以弥补亏损为前提，收益分配后基金份额净值有可能低于面值；当基金收益分配根据基金可供分配利润金额决定时，本基金收益分配后基金份额净值不能低于面值，即基金收益分配基准日的基金份额净值减去每单位基金份额收益分配金额后不能低于面值；</w:t>
      </w:r>
    </w:p>
    <w:p w14:paraId="2AE91ACD">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4、在符合上述基金分红条件的前提下，本基金可进行收益分配。评价时间、分配时间、分配方案及每次基金收益分配数额等内容，基金管理人可以根据实际情况确定并按照有关规定公告；</w:t>
      </w:r>
    </w:p>
    <w:p w14:paraId="5E4092F0">
      <w:pPr>
        <w:adjustRightInd w:val="0"/>
        <w:snapToGrid w:val="0"/>
        <w:spacing w:line="360" w:lineRule="auto"/>
        <w:ind w:firstLine="420" w:firstLineChars="200"/>
      </w:pPr>
      <w:r>
        <w:rPr>
          <w:rFonts w:hint="eastAsia"/>
        </w:rPr>
        <w:t>5、若《基金合同》生效不满3个月可不进行收益分配；</w:t>
      </w:r>
    </w:p>
    <w:p w14:paraId="0A3A6853">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6、每一基金份额享有同等分配权；</w:t>
      </w:r>
    </w:p>
    <w:p w14:paraId="10E57C11">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7、法律法规或监管机关、证券交易所、登记机构另有规定的，从其规定。</w:t>
      </w:r>
    </w:p>
    <w:p w14:paraId="54136630">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在不违反法律法规且对基金份额持有人利益无实质性不利影响的前提下，基金管理人经与基金托管人协商一致后可对基金收益分配原则进行调整，并及时公告。</w:t>
      </w:r>
    </w:p>
    <w:p w14:paraId="12C71C7B">
      <w:pPr>
        <w:adjustRightInd w:val="0"/>
        <w:snapToGrid w:val="0"/>
        <w:spacing w:line="360" w:lineRule="auto"/>
        <w:ind w:firstLine="422" w:firstLineChars="200"/>
        <w:rPr>
          <w:rFonts w:hint="eastAsia" w:ascii="宋体" w:hAnsi="宋体"/>
          <w:b/>
          <w:color w:val="0C0C0C"/>
          <w:szCs w:val="22"/>
        </w:rPr>
      </w:pPr>
      <w:r>
        <w:rPr>
          <w:rFonts w:hint="eastAsia" w:ascii="宋体" w:hAnsi="宋体"/>
          <w:b/>
          <w:color w:val="0C0C0C"/>
          <w:szCs w:val="22"/>
        </w:rPr>
        <w:t>二</w:t>
      </w:r>
      <w:r>
        <w:rPr>
          <w:rFonts w:ascii="宋体" w:hAnsi="宋体"/>
          <w:b/>
          <w:color w:val="0C0C0C"/>
          <w:szCs w:val="22"/>
        </w:rPr>
        <w:t>、基金收益分配比例及金额的确定原则</w:t>
      </w:r>
    </w:p>
    <w:p w14:paraId="5F3994AB">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1、在收益评价日，基金管理人计算基金份额净值增长率、标的指数同期增长率。</w:t>
      </w:r>
    </w:p>
    <w:p w14:paraId="0ADB9238">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基金收益评价日本基金相对标的指数的超额收益率＝基金份额净值增长率－标的指数同期增长率。</w:t>
      </w:r>
    </w:p>
    <w:p w14:paraId="6CF35F19">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基金份额净值增长率为收益评价日基金份额净值与基金上市前一交易日基金份额净值之比减去1乘以100%；标的指数同期增长率为收益评价日标的指数收盘价与基金上市前一交易日标的指数收盘价之比减去1乘以100%。</w:t>
      </w:r>
    </w:p>
    <w:p w14:paraId="42AB036B">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期间如发生基金份额折算、拆分或合并，则以基金份额折算日、经拆分或合并调整后的基金份额折算日为初始日重新计算上述指标。</w:t>
      </w:r>
    </w:p>
    <w:p w14:paraId="289A0028">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收益评价日日期以基金管理人相关公告为准。</w:t>
      </w:r>
    </w:p>
    <w:p w14:paraId="2D2CCFEB">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2、基金可供分配利润指截至收益分配基准日基金未分配利润与未分配利润中已实现收益的孰低数。</w:t>
      </w:r>
    </w:p>
    <w:p w14:paraId="309F5223">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3、根据前述收益分配原则计算截至基金收益评价日本基金的超额收益率及基金可供分配利润，并确定收益分配比例。</w:t>
      </w:r>
    </w:p>
    <w:p w14:paraId="1B07B688">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4、根据前述超额收益率、可供分配利润及收益分配比例计算收益分配金额。</w:t>
      </w:r>
    </w:p>
    <w:p w14:paraId="11980FDD">
      <w:pPr>
        <w:adjustRightInd w:val="0"/>
        <w:snapToGrid w:val="0"/>
        <w:spacing w:line="360" w:lineRule="auto"/>
        <w:ind w:firstLine="422" w:firstLineChars="200"/>
        <w:rPr>
          <w:rFonts w:hint="eastAsia" w:ascii="宋体" w:hAnsi="宋体"/>
          <w:b/>
          <w:color w:val="0C0C0C"/>
          <w:szCs w:val="22"/>
        </w:rPr>
      </w:pPr>
      <w:r>
        <w:rPr>
          <w:rFonts w:hint="eastAsia" w:ascii="宋体" w:hAnsi="宋体"/>
          <w:b/>
          <w:color w:val="0C0C0C"/>
          <w:szCs w:val="22"/>
        </w:rPr>
        <w:t>三、收益分配方案</w:t>
      </w:r>
    </w:p>
    <w:p w14:paraId="59D86B05">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基金收益分配方案中应载明基金收益分配对象、分配时间、分配数额及比例、分配方式等内容。</w:t>
      </w:r>
    </w:p>
    <w:p w14:paraId="6490488D">
      <w:pPr>
        <w:adjustRightInd w:val="0"/>
        <w:snapToGrid w:val="0"/>
        <w:spacing w:line="360" w:lineRule="auto"/>
        <w:ind w:firstLine="422" w:firstLineChars="200"/>
        <w:rPr>
          <w:rFonts w:hint="eastAsia" w:ascii="宋体" w:hAnsi="宋体"/>
          <w:b/>
          <w:color w:val="0C0C0C"/>
          <w:szCs w:val="22"/>
        </w:rPr>
      </w:pPr>
      <w:r>
        <w:rPr>
          <w:rFonts w:hint="eastAsia" w:ascii="宋体" w:hAnsi="宋体"/>
          <w:b/>
          <w:color w:val="0C0C0C"/>
          <w:szCs w:val="22"/>
        </w:rPr>
        <w:t>四、收益分配方案的确定、公告与实施</w:t>
      </w:r>
    </w:p>
    <w:p w14:paraId="6C85F153">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本基金收益分配方案由基金管理人拟定，并由基金托管人复核，依照《信息披露办法》的有关规定在规定媒介公告。</w:t>
      </w:r>
    </w:p>
    <w:p w14:paraId="6783537B">
      <w:pPr>
        <w:adjustRightInd w:val="0"/>
        <w:snapToGrid w:val="0"/>
        <w:spacing w:line="360" w:lineRule="auto"/>
        <w:ind w:firstLine="422" w:firstLineChars="200"/>
        <w:rPr>
          <w:rFonts w:hint="eastAsia" w:ascii="宋体" w:hAnsi="宋体"/>
          <w:b/>
          <w:color w:val="0C0C0C"/>
          <w:szCs w:val="22"/>
        </w:rPr>
      </w:pPr>
      <w:r>
        <w:rPr>
          <w:rFonts w:hint="eastAsia" w:ascii="宋体" w:hAnsi="宋体"/>
          <w:b/>
          <w:color w:val="0C0C0C"/>
          <w:szCs w:val="22"/>
        </w:rPr>
        <w:t>五、基金收益分配中发生的费用</w:t>
      </w:r>
    </w:p>
    <w:p w14:paraId="31249E66">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基金收益分配时所发生的银行转账或其他手续费用由投资者自行承担。</w:t>
      </w:r>
    </w:p>
    <w:p w14:paraId="34DC229B">
      <w:pPr>
        <w:adjustRightInd w:val="0"/>
        <w:snapToGrid w:val="0"/>
        <w:spacing w:line="360" w:lineRule="auto"/>
        <w:ind w:firstLine="420" w:firstLineChars="200"/>
        <w:rPr>
          <w:rFonts w:hint="eastAsia" w:ascii="宋体" w:hAnsi="宋体"/>
          <w:color w:val="0C0C0C"/>
          <w:szCs w:val="22"/>
        </w:rPr>
        <w:sectPr>
          <w:footerReference r:id="rId34" w:type="first"/>
          <w:footerReference r:id="rId33" w:type="default"/>
          <w:pgSz w:w="11906" w:h="16838"/>
          <w:pgMar w:top="1440" w:right="1800" w:bottom="1440" w:left="1800" w:header="851" w:footer="992" w:gutter="0"/>
          <w:cols w:space="720" w:num="1"/>
          <w:titlePg/>
          <w:docGrid w:type="lines" w:linePitch="312" w:charSpace="0"/>
        </w:sectPr>
      </w:pPr>
    </w:p>
    <w:p w14:paraId="640513C3">
      <w:pPr>
        <w:pStyle w:val="2"/>
        <w:snapToGrid w:val="0"/>
        <w:spacing w:before="0" w:after="0" w:line="360" w:lineRule="auto"/>
        <w:ind w:firstLine="141" w:firstLineChars="50"/>
        <w:rPr>
          <w:rFonts w:hint="eastAsia" w:hAnsi="宋体" w:eastAsia="宋体" w:cs="Arial"/>
          <w:b/>
          <w:bCs/>
          <w:sz w:val="28"/>
          <w:szCs w:val="28"/>
        </w:rPr>
      </w:pPr>
      <w:bookmarkStart w:id="134" w:name="_Toc50661134"/>
      <w:bookmarkStart w:id="135" w:name="_Toc9519"/>
      <w:r>
        <w:rPr>
          <w:rFonts w:hAnsi="宋体" w:eastAsia="宋体" w:cs="Arial"/>
          <w:b/>
          <w:bCs/>
          <w:sz w:val="28"/>
          <w:szCs w:val="28"/>
        </w:rPr>
        <w:t>第十</w:t>
      </w:r>
      <w:r>
        <w:rPr>
          <w:rFonts w:hint="eastAsia" w:hAnsi="宋体" w:eastAsia="宋体" w:cs="Arial"/>
          <w:b/>
          <w:bCs/>
          <w:sz w:val="28"/>
          <w:szCs w:val="28"/>
        </w:rPr>
        <w:t>五</w:t>
      </w:r>
      <w:r>
        <w:rPr>
          <w:rFonts w:hAnsi="宋体" w:eastAsia="宋体" w:cs="Arial"/>
          <w:b/>
          <w:bCs/>
          <w:sz w:val="28"/>
          <w:szCs w:val="28"/>
        </w:rPr>
        <w:t>部分  基金费用与税收</w:t>
      </w:r>
      <w:bookmarkEnd w:id="130"/>
      <w:bookmarkEnd w:id="131"/>
      <w:bookmarkEnd w:id="132"/>
      <w:bookmarkEnd w:id="133"/>
      <w:bookmarkEnd w:id="134"/>
      <w:bookmarkEnd w:id="135"/>
    </w:p>
    <w:p w14:paraId="59C9FB89">
      <w:pPr>
        <w:spacing w:line="360" w:lineRule="auto"/>
        <w:rPr>
          <w:rFonts w:hint="eastAsia" w:ascii="宋体" w:hAnsi="宋体"/>
          <w:b/>
        </w:rPr>
      </w:pPr>
    </w:p>
    <w:p w14:paraId="38539742">
      <w:pPr>
        <w:adjustRightInd w:val="0"/>
        <w:snapToGrid w:val="0"/>
        <w:spacing w:line="360" w:lineRule="auto"/>
        <w:ind w:firstLine="422" w:firstLineChars="200"/>
        <w:rPr>
          <w:rFonts w:hint="eastAsia" w:ascii="宋体" w:hAnsi="宋体"/>
          <w:b/>
          <w:color w:val="0C0C0C"/>
          <w:szCs w:val="22"/>
        </w:rPr>
      </w:pPr>
      <w:bookmarkStart w:id="136" w:name="_Toc214873603"/>
      <w:r>
        <w:rPr>
          <w:rFonts w:hint="eastAsia" w:ascii="宋体" w:hAnsi="宋体"/>
          <w:b/>
          <w:color w:val="0C0C0C"/>
          <w:szCs w:val="22"/>
        </w:rPr>
        <w:t>一、基金费用的种类</w:t>
      </w:r>
    </w:p>
    <w:p w14:paraId="3FE2E2A2">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1、基金管理人的管理费；</w:t>
      </w:r>
    </w:p>
    <w:p w14:paraId="02480BFF">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2、基金托管人的托管费；</w:t>
      </w:r>
    </w:p>
    <w:p w14:paraId="37DCAEFA">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3、基金的证券、期货、期权交易费用；</w:t>
      </w:r>
    </w:p>
    <w:p w14:paraId="3E115E03">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4、《基金合同》生效后与基金相关的信息披露费用，但法律法规、中国证监会另有规定的除外；</w:t>
      </w:r>
    </w:p>
    <w:p w14:paraId="26214FC4">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5、《基金合同》生效后与基金相关的公证费、会计师费、律师费、仲裁费和诉讼费；</w:t>
      </w:r>
    </w:p>
    <w:p w14:paraId="5EED9B3E">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6、基金份额持有人大会费用；</w:t>
      </w:r>
    </w:p>
    <w:p w14:paraId="47651C08">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7、基金银行汇划费用、账户开户及维护费用、场内注册登记费用、IOPV计算与发布费用、收益分配中发生的费用（银行转账或其他手续费用除外）；</w:t>
      </w:r>
    </w:p>
    <w:p w14:paraId="3E010F94">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8、基金上市费及年费；</w:t>
      </w:r>
    </w:p>
    <w:p w14:paraId="31997CD8">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9、按照国家有关规定和《基金合同》约定，可以在基金财产中列支的其他费用。</w:t>
      </w:r>
    </w:p>
    <w:p w14:paraId="43559C37">
      <w:pPr>
        <w:adjustRightInd w:val="0"/>
        <w:snapToGrid w:val="0"/>
        <w:spacing w:line="360" w:lineRule="auto"/>
        <w:ind w:firstLine="422" w:firstLineChars="200"/>
        <w:rPr>
          <w:rFonts w:hint="eastAsia" w:ascii="宋体" w:hAnsi="宋体"/>
          <w:b/>
          <w:color w:val="0C0C0C"/>
          <w:szCs w:val="22"/>
        </w:rPr>
      </w:pPr>
      <w:r>
        <w:rPr>
          <w:rFonts w:hint="eastAsia" w:ascii="宋体" w:hAnsi="宋体"/>
          <w:b/>
          <w:color w:val="0C0C0C"/>
          <w:szCs w:val="22"/>
        </w:rPr>
        <w:t>二、基金费用计提方法、计提标准和支付方式</w:t>
      </w:r>
    </w:p>
    <w:p w14:paraId="3F13C482">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1、基金管理人的管理费</w:t>
      </w:r>
    </w:p>
    <w:p w14:paraId="535756E0">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本基金的管理费按前一日基金资产净值的0.50%年费率计提。管理费的计算方法如下：</w:t>
      </w:r>
    </w:p>
    <w:p w14:paraId="2B61E093">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H＝E×0.50%÷当年天数</w:t>
      </w:r>
    </w:p>
    <w:p w14:paraId="396871D2">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H为每日应计提的基金管理费</w:t>
      </w:r>
    </w:p>
    <w:p w14:paraId="6F51E363">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E为前一日的基金资产净值</w:t>
      </w:r>
    </w:p>
    <w:p w14:paraId="307F3B74">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基金管理费每日计提，逐日累计至每月月末，按月支付，由基金托管人根据与基金管理人核对一致的财务数据，于次月首日起5个工作日内、按照指定的账户路径进行资金支付，基金管理人无需再出具资金划拨指令。若遇法定节假日、公休日等，支付日期顺延至最近可支付日支付。</w:t>
      </w:r>
    </w:p>
    <w:p w14:paraId="71AD4B47">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2、基金托管人的托管费</w:t>
      </w:r>
    </w:p>
    <w:p w14:paraId="630C26BC">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本基金的托管费按前一日基金资产净值的0.10%年费率计提。托管费的计算方法如下：</w:t>
      </w:r>
    </w:p>
    <w:p w14:paraId="1D86C4D5">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H＝E×0.10%÷当年天数</w:t>
      </w:r>
    </w:p>
    <w:p w14:paraId="5D434CB3">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H为每日应计提的基金托管费</w:t>
      </w:r>
    </w:p>
    <w:p w14:paraId="338519AB">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E为前一日的基金资产净值</w:t>
      </w:r>
    </w:p>
    <w:p w14:paraId="22E0AB79">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基金托管费每日计提，逐日累计至每月月末，按月支付，由基金托管人根据与基金管理人核对一致的财务数据，于次月首日起5个工作日内、按照指定的账户路径进行资金支付，基金管理人无需再出具资金划拨指令。若遇法定节假日、公休日等，支付日期顺延至最近可支付日支付。</w:t>
      </w:r>
    </w:p>
    <w:p w14:paraId="67B83A85">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上述“一、基金费用的种类”中第3－9项费用，根据有关法规及相应协议规定，按费用实际支出金额列入当期费用，由基金托管人从基金财产中支付。</w:t>
      </w:r>
    </w:p>
    <w:p w14:paraId="26ED128D">
      <w:pPr>
        <w:numPr>
          <w:ilvl w:val="0"/>
          <w:numId w:val="9"/>
        </w:numPr>
        <w:adjustRightInd w:val="0"/>
        <w:snapToGrid w:val="0"/>
        <w:spacing w:line="360" w:lineRule="auto"/>
        <w:ind w:firstLine="422" w:firstLineChars="200"/>
        <w:rPr>
          <w:rFonts w:hint="eastAsia" w:ascii="宋体" w:hAnsi="宋体"/>
          <w:b/>
          <w:color w:val="0C0C0C"/>
          <w:szCs w:val="22"/>
        </w:rPr>
      </w:pPr>
      <w:r>
        <w:rPr>
          <w:rFonts w:hint="eastAsia" w:ascii="宋体" w:hAnsi="宋体"/>
          <w:b/>
          <w:color w:val="0C0C0C"/>
          <w:szCs w:val="22"/>
        </w:rPr>
        <w:t>不列入基金费用的项目</w:t>
      </w:r>
    </w:p>
    <w:p w14:paraId="5E870F7E">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1、基金管理人和基金托管人因未履行或未完全履行义务导致的费用支出或基金财产的损失；</w:t>
      </w:r>
    </w:p>
    <w:p w14:paraId="168A7B75">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2、基金管理人和基金托管人处理与基金运作无关的事项发生的费用；</w:t>
      </w:r>
    </w:p>
    <w:p w14:paraId="7E3B1DF3">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3、《基金合同》生效前的相关费用；</w:t>
      </w:r>
    </w:p>
    <w:p w14:paraId="7DA31339">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4、指数许可使用费</w:t>
      </w:r>
    </w:p>
    <w:p w14:paraId="0D0F1313">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本基金按照基金管理人与标的指数许可方所签订的指数使用许可协议中所规定的指数许可使用费计提方法支付指数许可使用费，该指数许可使用费由基金管理人承担，不得从基金财产中列支。</w:t>
      </w:r>
    </w:p>
    <w:p w14:paraId="55B67170">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如果指数许可使用费的计算方法、费率、支付方式和费用承担方等发生调整，本基金将采用调整后的方法或费率计算指数许可使用费；</w:t>
      </w:r>
    </w:p>
    <w:p w14:paraId="10F3A521">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5、其他根据相关法律法规及中国证监会的有关规定不得列入基金费用的项目。</w:t>
      </w:r>
    </w:p>
    <w:p w14:paraId="7C538F8B">
      <w:pPr>
        <w:adjustRightInd w:val="0"/>
        <w:snapToGrid w:val="0"/>
        <w:spacing w:line="360" w:lineRule="auto"/>
        <w:ind w:firstLine="422" w:firstLineChars="200"/>
        <w:rPr>
          <w:rFonts w:hint="eastAsia" w:ascii="宋体" w:hAnsi="宋体"/>
          <w:b/>
          <w:color w:val="0C0C0C"/>
          <w:szCs w:val="22"/>
        </w:rPr>
      </w:pPr>
      <w:r>
        <w:rPr>
          <w:rFonts w:hint="eastAsia" w:ascii="宋体" w:hAnsi="宋体"/>
          <w:b/>
          <w:color w:val="0C0C0C"/>
          <w:szCs w:val="22"/>
        </w:rPr>
        <w:t>四、基金税收</w:t>
      </w:r>
    </w:p>
    <w:p w14:paraId="1CAA357D">
      <w:pPr>
        <w:adjustRightInd w:val="0"/>
        <w:snapToGrid w:val="0"/>
        <w:spacing w:line="360" w:lineRule="auto"/>
        <w:ind w:firstLine="420" w:firstLineChars="200"/>
        <w:rPr>
          <w:rFonts w:hint="eastAsia" w:ascii="宋体" w:hAnsi="宋体"/>
          <w:color w:val="0C0C0C"/>
          <w:szCs w:val="22"/>
        </w:rPr>
        <w:sectPr>
          <w:footerReference r:id="rId36" w:type="first"/>
          <w:footerReference r:id="rId35" w:type="default"/>
          <w:pgSz w:w="11906" w:h="16838"/>
          <w:pgMar w:top="1440" w:right="1800" w:bottom="1440" w:left="1800" w:header="851" w:footer="992" w:gutter="0"/>
          <w:cols w:space="720" w:num="1"/>
          <w:titlePg/>
          <w:docGrid w:type="lines" w:linePitch="312" w:charSpace="0"/>
        </w:sectPr>
      </w:pPr>
      <w:bookmarkStart w:id="137" w:name="_Hlt70496289"/>
      <w:bookmarkEnd w:id="137"/>
      <w:r>
        <w:rPr>
          <w:rFonts w:hint="eastAsia" w:ascii="宋体" w:hAnsi="宋体"/>
          <w:color w:val="0C0C0C"/>
          <w:szCs w:val="22"/>
        </w:rPr>
        <w:t>本基金运作过程中涉及的各纳税主体，其纳税义务按国家税收法律、法规执行。基金财产投资的相关税收，由基金份额持有人承担，基金管理人或者其他扣缴义务人按照国家有关税收征收的规定代扣代缴。</w:t>
      </w:r>
    </w:p>
    <w:p w14:paraId="365C2D33">
      <w:pPr>
        <w:pStyle w:val="2"/>
        <w:snapToGrid w:val="0"/>
        <w:spacing w:before="0" w:after="0" w:line="360" w:lineRule="auto"/>
        <w:ind w:firstLine="141" w:firstLineChars="50"/>
        <w:rPr>
          <w:rFonts w:hint="eastAsia" w:hAnsi="宋体" w:eastAsia="宋体" w:cs="Arial"/>
          <w:b/>
          <w:bCs/>
          <w:sz w:val="28"/>
          <w:szCs w:val="28"/>
        </w:rPr>
      </w:pPr>
      <w:bookmarkStart w:id="138" w:name="_Toc22092"/>
      <w:bookmarkStart w:id="139" w:name="_Toc50661135"/>
      <w:r>
        <w:rPr>
          <w:rFonts w:hAnsi="宋体" w:eastAsia="宋体" w:cs="Arial"/>
          <w:b/>
          <w:bCs/>
          <w:sz w:val="28"/>
          <w:szCs w:val="28"/>
        </w:rPr>
        <w:t>第</w:t>
      </w:r>
      <w:r>
        <w:rPr>
          <w:rFonts w:hint="eastAsia" w:hAnsi="宋体" w:eastAsia="宋体" w:cs="Arial"/>
          <w:b/>
          <w:bCs/>
          <w:sz w:val="28"/>
          <w:szCs w:val="28"/>
        </w:rPr>
        <w:t>十六</w:t>
      </w:r>
      <w:r>
        <w:rPr>
          <w:rFonts w:hAnsi="宋体" w:eastAsia="宋体" w:cs="Arial"/>
          <w:b/>
          <w:bCs/>
          <w:sz w:val="28"/>
          <w:szCs w:val="28"/>
        </w:rPr>
        <w:t>部分  基金的会计与审计</w:t>
      </w:r>
      <w:bookmarkEnd w:id="136"/>
      <w:bookmarkEnd w:id="138"/>
      <w:bookmarkEnd w:id="139"/>
    </w:p>
    <w:p w14:paraId="6FDAA176">
      <w:pPr>
        <w:spacing w:line="360" w:lineRule="auto"/>
        <w:ind w:firstLine="422" w:firstLineChars="200"/>
        <w:rPr>
          <w:rFonts w:hint="eastAsia" w:ascii="宋体" w:hAnsi="宋体" w:cs="Arial"/>
          <w:b/>
          <w:szCs w:val="21"/>
        </w:rPr>
      </w:pPr>
      <w:bookmarkStart w:id="140" w:name="_Toc214873604"/>
      <w:bookmarkStart w:id="141" w:name="_Toc79978642"/>
      <w:r>
        <w:rPr>
          <w:rFonts w:hint="eastAsia" w:ascii="宋体" w:hAnsi="宋体" w:cs="Arial"/>
          <w:b/>
          <w:szCs w:val="21"/>
        </w:rPr>
        <w:t>一、</w:t>
      </w:r>
      <w:r>
        <w:rPr>
          <w:rFonts w:ascii="宋体" w:hAnsi="宋体" w:cs="Arial"/>
          <w:b/>
          <w:szCs w:val="21"/>
        </w:rPr>
        <w:t>基金的会计政策</w:t>
      </w:r>
    </w:p>
    <w:p w14:paraId="7F6BDAE3">
      <w:pPr>
        <w:spacing w:line="360" w:lineRule="auto"/>
        <w:ind w:firstLine="420" w:firstLineChars="200"/>
        <w:rPr>
          <w:rFonts w:hint="eastAsia" w:ascii="宋体" w:hAnsi="宋体" w:cs="Arial"/>
          <w:bCs/>
          <w:szCs w:val="21"/>
        </w:rPr>
      </w:pPr>
      <w:r>
        <w:rPr>
          <w:rFonts w:ascii="宋体" w:hAnsi="宋体" w:cs="Arial"/>
          <w:bCs/>
          <w:szCs w:val="21"/>
        </w:rPr>
        <w:t>1</w:t>
      </w:r>
      <w:r>
        <w:rPr>
          <w:rFonts w:hint="eastAsia" w:ascii="宋体" w:hAnsi="宋体" w:cs="Arial"/>
          <w:bCs/>
          <w:szCs w:val="21"/>
        </w:rPr>
        <w:t>、基金管理人为本基金的基金会计责任方；</w:t>
      </w:r>
    </w:p>
    <w:p w14:paraId="03658826">
      <w:pPr>
        <w:spacing w:line="360" w:lineRule="auto"/>
        <w:ind w:firstLine="420" w:firstLineChars="200"/>
        <w:rPr>
          <w:rFonts w:hint="eastAsia" w:ascii="宋体" w:hAnsi="宋体" w:cs="Arial"/>
          <w:bCs/>
          <w:szCs w:val="21"/>
        </w:rPr>
      </w:pPr>
      <w:r>
        <w:rPr>
          <w:rFonts w:ascii="宋体" w:hAnsi="宋体" w:cs="Arial"/>
          <w:bCs/>
          <w:szCs w:val="21"/>
        </w:rPr>
        <w:t>2</w:t>
      </w:r>
      <w:r>
        <w:rPr>
          <w:rFonts w:hint="eastAsia" w:ascii="宋体" w:hAnsi="宋体" w:cs="Arial"/>
          <w:bCs/>
          <w:szCs w:val="21"/>
        </w:rPr>
        <w:t>、基金的会计年度为公历年度的</w:t>
      </w:r>
      <w:r>
        <w:rPr>
          <w:rFonts w:ascii="宋体" w:hAnsi="宋体" w:cs="Arial"/>
          <w:bCs/>
          <w:szCs w:val="21"/>
        </w:rPr>
        <w:t>1</w:t>
      </w:r>
      <w:r>
        <w:rPr>
          <w:rFonts w:hint="eastAsia" w:ascii="宋体" w:hAnsi="宋体" w:cs="Arial"/>
          <w:bCs/>
          <w:szCs w:val="21"/>
        </w:rPr>
        <w:t>月</w:t>
      </w:r>
      <w:r>
        <w:rPr>
          <w:rFonts w:ascii="宋体" w:hAnsi="宋体" w:cs="Arial"/>
          <w:bCs/>
          <w:szCs w:val="21"/>
        </w:rPr>
        <w:t>1</w:t>
      </w:r>
      <w:r>
        <w:rPr>
          <w:rFonts w:hint="eastAsia" w:ascii="宋体" w:hAnsi="宋体" w:cs="Arial"/>
          <w:bCs/>
          <w:szCs w:val="21"/>
        </w:rPr>
        <w:t>日至</w:t>
      </w:r>
      <w:r>
        <w:rPr>
          <w:rFonts w:ascii="宋体" w:hAnsi="宋体" w:cs="Arial"/>
          <w:bCs/>
          <w:szCs w:val="21"/>
        </w:rPr>
        <w:t>12</w:t>
      </w:r>
      <w:r>
        <w:rPr>
          <w:rFonts w:hint="eastAsia" w:ascii="宋体" w:hAnsi="宋体" w:cs="Arial"/>
          <w:bCs/>
          <w:szCs w:val="21"/>
        </w:rPr>
        <w:t>月</w:t>
      </w:r>
      <w:r>
        <w:rPr>
          <w:rFonts w:ascii="宋体" w:hAnsi="宋体" w:cs="Arial"/>
          <w:bCs/>
          <w:szCs w:val="21"/>
        </w:rPr>
        <w:t>31</w:t>
      </w:r>
      <w:r>
        <w:rPr>
          <w:rFonts w:hint="eastAsia" w:ascii="宋体" w:hAnsi="宋体" w:cs="Arial"/>
          <w:bCs/>
          <w:szCs w:val="21"/>
        </w:rPr>
        <w:t>日；基金首次募集的会计年度按如下原则：如果《基金合同》生效少于2个月，可以并入下一个会计年度披露；</w:t>
      </w:r>
    </w:p>
    <w:p w14:paraId="34A6C8D6">
      <w:pPr>
        <w:spacing w:line="360" w:lineRule="auto"/>
        <w:ind w:firstLine="420" w:firstLineChars="200"/>
        <w:rPr>
          <w:rFonts w:hint="eastAsia" w:ascii="宋体" w:hAnsi="宋体" w:cs="Arial"/>
          <w:bCs/>
          <w:szCs w:val="21"/>
        </w:rPr>
      </w:pPr>
      <w:r>
        <w:rPr>
          <w:rFonts w:ascii="宋体" w:hAnsi="宋体" w:cs="Arial"/>
          <w:bCs/>
          <w:szCs w:val="21"/>
        </w:rPr>
        <w:t>3</w:t>
      </w:r>
      <w:r>
        <w:rPr>
          <w:rFonts w:hint="eastAsia" w:ascii="宋体" w:hAnsi="宋体" w:cs="Arial"/>
          <w:bCs/>
          <w:szCs w:val="21"/>
        </w:rPr>
        <w:t>、基金核算以人民币为记账本位币，以人民币元为记账单位；</w:t>
      </w:r>
    </w:p>
    <w:p w14:paraId="5BD27890">
      <w:pPr>
        <w:spacing w:line="360" w:lineRule="auto"/>
        <w:ind w:firstLine="420" w:firstLineChars="200"/>
        <w:rPr>
          <w:rFonts w:hint="eastAsia" w:ascii="宋体" w:hAnsi="宋体" w:cs="Arial"/>
          <w:bCs/>
          <w:szCs w:val="21"/>
        </w:rPr>
      </w:pPr>
      <w:r>
        <w:rPr>
          <w:rFonts w:ascii="宋体" w:hAnsi="宋体" w:cs="Arial"/>
          <w:bCs/>
          <w:szCs w:val="21"/>
        </w:rPr>
        <w:t>4</w:t>
      </w:r>
      <w:r>
        <w:rPr>
          <w:rFonts w:hint="eastAsia" w:ascii="宋体" w:hAnsi="宋体" w:cs="Arial"/>
          <w:bCs/>
          <w:szCs w:val="21"/>
        </w:rPr>
        <w:t>、会计制度执行国家有关会计制度；</w:t>
      </w:r>
    </w:p>
    <w:p w14:paraId="3DC74321">
      <w:pPr>
        <w:spacing w:line="360" w:lineRule="auto"/>
        <w:ind w:firstLine="420" w:firstLineChars="200"/>
        <w:rPr>
          <w:rFonts w:hint="eastAsia" w:ascii="宋体" w:hAnsi="宋体" w:cs="Arial"/>
          <w:bCs/>
          <w:szCs w:val="21"/>
        </w:rPr>
      </w:pPr>
      <w:r>
        <w:rPr>
          <w:rFonts w:ascii="宋体" w:hAnsi="宋体" w:cs="Arial"/>
          <w:bCs/>
          <w:szCs w:val="21"/>
        </w:rPr>
        <w:t>5</w:t>
      </w:r>
      <w:r>
        <w:rPr>
          <w:rFonts w:hint="eastAsia" w:ascii="宋体" w:hAnsi="宋体" w:cs="Arial"/>
          <w:bCs/>
          <w:szCs w:val="21"/>
        </w:rPr>
        <w:t>、本基金独立建账、独立核算；</w:t>
      </w:r>
    </w:p>
    <w:p w14:paraId="631669EE">
      <w:pPr>
        <w:spacing w:line="360" w:lineRule="auto"/>
        <w:ind w:firstLine="420" w:firstLineChars="200"/>
        <w:rPr>
          <w:rFonts w:hint="eastAsia" w:ascii="宋体" w:hAnsi="宋体" w:cs="Arial"/>
          <w:bCs/>
          <w:szCs w:val="21"/>
        </w:rPr>
      </w:pPr>
      <w:r>
        <w:rPr>
          <w:rFonts w:ascii="宋体" w:hAnsi="宋体" w:cs="Arial"/>
          <w:bCs/>
          <w:szCs w:val="21"/>
        </w:rPr>
        <w:t>6</w:t>
      </w:r>
      <w:r>
        <w:rPr>
          <w:rFonts w:hint="eastAsia" w:ascii="宋体" w:hAnsi="宋体" w:cs="Arial"/>
          <w:bCs/>
          <w:szCs w:val="21"/>
        </w:rPr>
        <w:t>、基金管理人及基金托管人各自保留完整的会计账目、凭证并进行日常的会计核算，按照有关规定编制基金会计报表；</w:t>
      </w:r>
    </w:p>
    <w:p w14:paraId="36AC2A26">
      <w:pPr>
        <w:spacing w:line="360" w:lineRule="auto"/>
        <w:ind w:firstLine="420" w:firstLineChars="200"/>
        <w:rPr>
          <w:rFonts w:hint="eastAsia" w:ascii="宋体" w:hAnsi="宋体" w:cs="Arial"/>
          <w:szCs w:val="21"/>
        </w:rPr>
      </w:pPr>
      <w:r>
        <w:rPr>
          <w:rFonts w:ascii="宋体" w:hAnsi="宋体" w:cs="Arial"/>
          <w:bCs/>
          <w:szCs w:val="21"/>
        </w:rPr>
        <w:t>7</w:t>
      </w:r>
      <w:r>
        <w:rPr>
          <w:rFonts w:hint="eastAsia" w:ascii="宋体" w:hAnsi="宋体" w:cs="Arial"/>
          <w:bCs/>
          <w:szCs w:val="21"/>
        </w:rPr>
        <w:t>、基金托管人每月与基金管理人就基金的会计核算、报表编制等进行核对并以书面方式确认。</w:t>
      </w:r>
    </w:p>
    <w:p w14:paraId="707BE4F8">
      <w:pPr>
        <w:spacing w:line="360" w:lineRule="auto"/>
        <w:ind w:firstLine="422" w:firstLineChars="200"/>
        <w:rPr>
          <w:rFonts w:hint="eastAsia" w:ascii="宋体" w:hAnsi="宋体" w:cs="Arial"/>
          <w:b/>
          <w:szCs w:val="21"/>
        </w:rPr>
      </w:pPr>
      <w:r>
        <w:rPr>
          <w:rFonts w:hint="eastAsia" w:ascii="宋体" w:hAnsi="宋体" w:cs="Arial"/>
          <w:b/>
          <w:szCs w:val="21"/>
        </w:rPr>
        <w:t>二、</w:t>
      </w:r>
      <w:r>
        <w:rPr>
          <w:rFonts w:ascii="宋体" w:hAnsi="宋体" w:cs="Arial"/>
          <w:b/>
          <w:szCs w:val="21"/>
        </w:rPr>
        <w:t>基金的</w:t>
      </w:r>
      <w:r>
        <w:rPr>
          <w:rFonts w:hint="eastAsia" w:ascii="宋体" w:hAnsi="宋体" w:cs="Arial"/>
          <w:b/>
          <w:szCs w:val="21"/>
        </w:rPr>
        <w:t>年度</w:t>
      </w:r>
      <w:r>
        <w:rPr>
          <w:rFonts w:ascii="宋体" w:hAnsi="宋体" w:cs="Arial"/>
          <w:b/>
          <w:szCs w:val="21"/>
        </w:rPr>
        <w:t>审计</w:t>
      </w:r>
    </w:p>
    <w:p w14:paraId="1A2BDADD">
      <w:pPr>
        <w:spacing w:line="360" w:lineRule="auto"/>
        <w:ind w:firstLine="420" w:firstLineChars="200"/>
        <w:rPr>
          <w:rFonts w:hint="eastAsia" w:ascii="宋体" w:hAnsi="宋体" w:cs="Arial"/>
          <w:bCs/>
          <w:szCs w:val="21"/>
        </w:rPr>
      </w:pPr>
      <w:r>
        <w:rPr>
          <w:rFonts w:ascii="宋体" w:hAnsi="宋体" w:cs="Arial"/>
          <w:bCs/>
          <w:szCs w:val="21"/>
        </w:rPr>
        <w:t>1</w:t>
      </w:r>
      <w:r>
        <w:rPr>
          <w:rFonts w:hint="eastAsia" w:ascii="宋体" w:hAnsi="宋体" w:cs="Arial"/>
          <w:bCs/>
          <w:szCs w:val="21"/>
        </w:rPr>
        <w:t>、基金管理人聘请与基金管理人、基金托管人相互独立的符合《证券法》规定的会计师事务所及其注册会计师对本基金的年度财务报表进行审计。</w:t>
      </w:r>
    </w:p>
    <w:p w14:paraId="1B765B05">
      <w:pPr>
        <w:spacing w:line="360" w:lineRule="auto"/>
        <w:ind w:firstLine="420" w:firstLineChars="200"/>
        <w:rPr>
          <w:rFonts w:hint="eastAsia" w:ascii="宋体" w:hAnsi="宋体" w:cs="Arial"/>
          <w:bCs/>
          <w:szCs w:val="21"/>
        </w:rPr>
      </w:pPr>
      <w:r>
        <w:rPr>
          <w:rFonts w:ascii="宋体" w:hAnsi="宋体" w:cs="Arial"/>
          <w:bCs/>
          <w:szCs w:val="21"/>
        </w:rPr>
        <w:t>2</w:t>
      </w:r>
      <w:r>
        <w:rPr>
          <w:rFonts w:hint="eastAsia" w:ascii="宋体" w:hAnsi="宋体" w:cs="Arial"/>
          <w:bCs/>
          <w:szCs w:val="21"/>
        </w:rPr>
        <w:t>、会计师事务所更换经办注册会计师，应事先征得基金管理人同意。</w:t>
      </w:r>
    </w:p>
    <w:p w14:paraId="70C93C39">
      <w:pPr>
        <w:spacing w:line="360" w:lineRule="auto"/>
        <w:ind w:firstLine="420" w:firstLineChars="200"/>
        <w:rPr>
          <w:rFonts w:hint="eastAsia" w:ascii="宋体" w:hAnsi="宋体" w:cs="Arial"/>
          <w:bCs/>
          <w:szCs w:val="21"/>
        </w:rPr>
        <w:sectPr>
          <w:footerReference r:id="rId37" w:type="first"/>
          <w:pgSz w:w="11906" w:h="16838"/>
          <w:pgMar w:top="1440" w:right="1800" w:bottom="1440" w:left="1800" w:header="851" w:footer="992" w:gutter="0"/>
          <w:cols w:space="720" w:num="1"/>
          <w:titlePg/>
          <w:docGrid w:type="lines" w:linePitch="312" w:charSpace="0"/>
        </w:sectPr>
      </w:pPr>
      <w:r>
        <w:rPr>
          <w:rFonts w:ascii="宋体" w:hAnsi="宋体" w:cs="Arial"/>
          <w:bCs/>
          <w:szCs w:val="21"/>
        </w:rPr>
        <w:t>3</w:t>
      </w:r>
      <w:r>
        <w:rPr>
          <w:rFonts w:hint="eastAsia" w:ascii="宋体" w:hAnsi="宋体" w:cs="Arial"/>
          <w:bCs/>
          <w:szCs w:val="21"/>
        </w:rPr>
        <w:t>、基金管理人认为有充足理由更换会计师事务所，须通报基金托管人。更换会计师事务所需按照《信息披露办法》的有关规定在规定媒介公告。</w:t>
      </w:r>
    </w:p>
    <w:p w14:paraId="3A6F968B">
      <w:pPr>
        <w:spacing w:line="360" w:lineRule="auto"/>
        <w:ind w:firstLine="420" w:firstLineChars="200"/>
        <w:rPr>
          <w:rFonts w:hint="eastAsia" w:ascii="宋体" w:hAnsi="宋体" w:cs="Arial"/>
          <w:bCs/>
          <w:szCs w:val="21"/>
        </w:rPr>
      </w:pPr>
    </w:p>
    <w:p w14:paraId="1A45B2E9">
      <w:pPr>
        <w:pStyle w:val="2"/>
        <w:snapToGrid w:val="0"/>
        <w:spacing w:before="0" w:after="0" w:line="360" w:lineRule="auto"/>
        <w:ind w:firstLine="141" w:firstLineChars="50"/>
        <w:rPr>
          <w:rFonts w:hint="eastAsia" w:hAnsi="宋体" w:eastAsia="宋体" w:cs="Arial"/>
          <w:b/>
          <w:bCs/>
          <w:sz w:val="28"/>
          <w:szCs w:val="28"/>
        </w:rPr>
      </w:pPr>
      <w:bookmarkStart w:id="142" w:name="_Toc50661136"/>
      <w:bookmarkStart w:id="143" w:name="_Toc28229"/>
      <w:r>
        <w:rPr>
          <w:rFonts w:hAnsi="宋体" w:eastAsia="宋体" w:cs="Arial"/>
          <w:b/>
          <w:bCs/>
          <w:sz w:val="28"/>
          <w:szCs w:val="28"/>
        </w:rPr>
        <w:t>第十</w:t>
      </w:r>
      <w:r>
        <w:rPr>
          <w:rFonts w:hint="eastAsia" w:hAnsi="宋体" w:eastAsia="宋体" w:cs="Arial"/>
          <w:b/>
          <w:bCs/>
          <w:sz w:val="28"/>
          <w:szCs w:val="28"/>
        </w:rPr>
        <w:t>七</w:t>
      </w:r>
      <w:r>
        <w:rPr>
          <w:rFonts w:hAnsi="宋体" w:eastAsia="宋体" w:cs="Arial"/>
          <w:b/>
          <w:bCs/>
          <w:sz w:val="28"/>
          <w:szCs w:val="28"/>
        </w:rPr>
        <w:t>部分  基金的信息披露</w:t>
      </w:r>
      <w:bookmarkEnd w:id="142"/>
      <w:bookmarkEnd w:id="143"/>
    </w:p>
    <w:bookmarkEnd w:id="140"/>
    <w:bookmarkEnd w:id="141"/>
    <w:p w14:paraId="1E91C102">
      <w:pPr>
        <w:snapToGrid w:val="0"/>
        <w:spacing w:line="360" w:lineRule="auto"/>
        <w:ind w:firstLine="420" w:firstLineChars="200"/>
        <w:rPr>
          <w:rFonts w:hint="eastAsia" w:ascii="宋体" w:hAnsi="宋体"/>
          <w:szCs w:val="22"/>
        </w:rPr>
      </w:pPr>
      <w:bookmarkStart w:id="144" w:name="_Toc21073398"/>
      <w:bookmarkStart w:id="145" w:name="_Toc12357178"/>
      <w:bookmarkStart w:id="146" w:name="_Toc147463125"/>
      <w:bookmarkStart w:id="147" w:name="_Toc214873605"/>
      <w:r>
        <w:rPr>
          <w:rFonts w:hint="eastAsia" w:ascii="宋体" w:hAnsi="宋体"/>
          <w:szCs w:val="22"/>
        </w:rPr>
        <w:t>一、本基金的信息披露应符合《基金法》、《运作办法》、《信息披露办法》、《流动性风险管理规定》、《基金合同》及其他有关规定。相关法律法规关于信息披露的披露方式、登载媒介、报备方式等规定发生变化时，本基金从其最新规定。</w:t>
      </w:r>
    </w:p>
    <w:p w14:paraId="0FEB9899">
      <w:pPr>
        <w:snapToGrid w:val="0"/>
        <w:spacing w:line="360" w:lineRule="auto"/>
        <w:ind w:firstLine="420" w:firstLineChars="200"/>
        <w:rPr>
          <w:rFonts w:hint="eastAsia" w:ascii="宋体" w:hAnsi="宋体"/>
          <w:szCs w:val="22"/>
        </w:rPr>
      </w:pPr>
      <w:r>
        <w:rPr>
          <w:rFonts w:hint="eastAsia" w:ascii="宋体" w:hAnsi="宋体"/>
          <w:szCs w:val="22"/>
        </w:rPr>
        <w:t>二、信息披露义务人</w:t>
      </w:r>
    </w:p>
    <w:p w14:paraId="7DE5D67E">
      <w:pPr>
        <w:snapToGrid w:val="0"/>
        <w:spacing w:line="360" w:lineRule="auto"/>
        <w:ind w:firstLine="420" w:firstLineChars="200"/>
        <w:rPr>
          <w:rFonts w:hint="eastAsia" w:ascii="宋体" w:hAnsi="宋体"/>
          <w:szCs w:val="22"/>
        </w:rPr>
      </w:pPr>
      <w:r>
        <w:rPr>
          <w:rFonts w:hint="eastAsia" w:ascii="宋体" w:hAnsi="宋体"/>
          <w:szCs w:val="22"/>
        </w:rPr>
        <w:t>本基金信息披露义务人包括基金管理人、基金托管人、召集基金份额持有人大会的基金份额持有人等法律、行政法规和中国证监会规定的自然人、法人和非法人组织。</w:t>
      </w:r>
    </w:p>
    <w:p w14:paraId="55E3155D">
      <w:pPr>
        <w:snapToGrid w:val="0"/>
        <w:spacing w:line="360" w:lineRule="auto"/>
        <w:ind w:firstLine="420" w:firstLineChars="200"/>
        <w:rPr>
          <w:rFonts w:hint="eastAsia" w:ascii="宋体" w:hAnsi="宋体"/>
          <w:szCs w:val="22"/>
        </w:rPr>
      </w:pPr>
      <w:r>
        <w:rPr>
          <w:rFonts w:hint="eastAsia" w:ascii="宋体" w:hAnsi="宋体"/>
          <w:szCs w:val="22"/>
        </w:rPr>
        <w:t>本基金信息披露义务人以保护基金份额持有人利益为根本出发点，按照法律法规和中国证监会的规定披露基金信息，并保证所披露信息的真实性、准确性、完整性、及时性、简明性和易得性。</w:t>
      </w:r>
    </w:p>
    <w:p w14:paraId="254CA315">
      <w:pPr>
        <w:snapToGrid w:val="0"/>
        <w:spacing w:line="360" w:lineRule="auto"/>
        <w:ind w:firstLine="420" w:firstLineChars="200"/>
        <w:rPr>
          <w:rFonts w:hint="eastAsia" w:ascii="宋体" w:hAnsi="宋体"/>
          <w:szCs w:val="22"/>
        </w:rPr>
      </w:pPr>
      <w:r>
        <w:rPr>
          <w:rFonts w:hint="eastAsia" w:ascii="宋体" w:hAnsi="宋体"/>
          <w:szCs w:val="22"/>
        </w:rPr>
        <w:t>本基金信息披露义务人应当在中国证监会规定时间内，将应予披露的基金信息通过符合中国证监会规定条件的全国性报刊（以下简称“规定报刊”）和《信息披露办法》规定的互联网网站（以下简称“规定网站”）等媒介披露，并保证基金投资者能够按照《基金合同》约定的时间和方式查阅或者复制公开披露的信息资料。</w:t>
      </w:r>
    </w:p>
    <w:p w14:paraId="47CE213C">
      <w:pPr>
        <w:snapToGrid w:val="0"/>
        <w:spacing w:line="360" w:lineRule="auto"/>
        <w:ind w:firstLine="420" w:firstLineChars="200"/>
        <w:rPr>
          <w:rFonts w:hint="eastAsia" w:ascii="宋体" w:hAnsi="宋体"/>
          <w:szCs w:val="22"/>
        </w:rPr>
      </w:pPr>
      <w:r>
        <w:rPr>
          <w:rFonts w:hint="eastAsia" w:ascii="宋体" w:hAnsi="宋体"/>
          <w:szCs w:val="22"/>
        </w:rPr>
        <w:t>三、本基金信息披露义务人承诺公开披露的基金信息，不得有下列行为：</w:t>
      </w:r>
    </w:p>
    <w:p w14:paraId="0B1702CA">
      <w:pPr>
        <w:snapToGrid w:val="0"/>
        <w:spacing w:line="360" w:lineRule="auto"/>
        <w:ind w:firstLine="420" w:firstLineChars="200"/>
        <w:rPr>
          <w:rFonts w:hint="eastAsia" w:ascii="宋体" w:hAnsi="宋体"/>
          <w:szCs w:val="22"/>
        </w:rPr>
      </w:pPr>
      <w:r>
        <w:rPr>
          <w:rFonts w:hint="eastAsia" w:ascii="宋体" w:hAnsi="宋体"/>
          <w:szCs w:val="22"/>
        </w:rPr>
        <w:t>1、虚假记载、误导性陈述或者重大遗漏；</w:t>
      </w:r>
    </w:p>
    <w:p w14:paraId="556033A3">
      <w:pPr>
        <w:snapToGrid w:val="0"/>
        <w:spacing w:line="360" w:lineRule="auto"/>
        <w:ind w:firstLine="420" w:firstLineChars="200"/>
        <w:rPr>
          <w:rFonts w:hint="eastAsia" w:ascii="宋体" w:hAnsi="宋体"/>
          <w:szCs w:val="22"/>
        </w:rPr>
      </w:pPr>
      <w:r>
        <w:rPr>
          <w:rFonts w:hint="eastAsia" w:ascii="宋体" w:hAnsi="宋体"/>
          <w:szCs w:val="22"/>
        </w:rPr>
        <w:t>2、对证券投资业绩进行预测；</w:t>
      </w:r>
    </w:p>
    <w:p w14:paraId="5157F796">
      <w:pPr>
        <w:snapToGrid w:val="0"/>
        <w:spacing w:line="360" w:lineRule="auto"/>
        <w:ind w:firstLine="420" w:firstLineChars="200"/>
        <w:rPr>
          <w:rFonts w:hint="eastAsia" w:ascii="宋体" w:hAnsi="宋体"/>
          <w:szCs w:val="22"/>
        </w:rPr>
      </w:pPr>
      <w:r>
        <w:rPr>
          <w:rFonts w:hint="eastAsia" w:ascii="宋体" w:hAnsi="宋体"/>
          <w:szCs w:val="22"/>
        </w:rPr>
        <w:t>3、违规承诺收益或者承担损失；</w:t>
      </w:r>
    </w:p>
    <w:p w14:paraId="52D811EE">
      <w:pPr>
        <w:snapToGrid w:val="0"/>
        <w:spacing w:line="360" w:lineRule="auto"/>
        <w:ind w:firstLine="420" w:firstLineChars="200"/>
        <w:rPr>
          <w:rFonts w:hint="eastAsia" w:ascii="宋体" w:hAnsi="宋体"/>
          <w:szCs w:val="22"/>
        </w:rPr>
      </w:pPr>
      <w:r>
        <w:rPr>
          <w:rFonts w:hint="eastAsia" w:ascii="宋体" w:hAnsi="宋体"/>
          <w:szCs w:val="22"/>
        </w:rPr>
        <w:t>4、诋毁其他基金管理人、基金托管人或者基金销售机构；</w:t>
      </w:r>
    </w:p>
    <w:p w14:paraId="027B60F4">
      <w:pPr>
        <w:snapToGrid w:val="0"/>
        <w:spacing w:line="360" w:lineRule="auto"/>
        <w:ind w:firstLine="420" w:firstLineChars="200"/>
        <w:rPr>
          <w:rFonts w:hint="eastAsia" w:ascii="宋体" w:hAnsi="宋体"/>
          <w:szCs w:val="22"/>
        </w:rPr>
      </w:pPr>
      <w:r>
        <w:rPr>
          <w:rFonts w:hint="eastAsia" w:ascii="宋体" w:hAnsi="宋体"/>
          <w:szCs w:val="22"/>
        </w:rPr>
        <w:t>5、登载任何自然人、法人和非法人组织的祝贺性、恭维性或推荐性的文字；</w:t>
      </w:r>
    </w:p>
    <w:p w14:paraId="46D2FA96">
      <w:pPr>
        <w:snapToGrid w:val="0"/>
        <w:spacing w:line="360" w:lineRule="auto"/>
        <w:ind w:firstLine="420" w:firstLineChars="200"/>
        <w:rPr>
          <w:rFonts w:hint="eastAsia" w:ascii="宋体" w:hAnsi="宋体"/>
          <w:szCs w:val="22"/>
        </w:rPr>
      </w:pPr>
      <w:r>
        <w:rPr>
          <w:rFonts w:hint="eastAsia" w:ascii="宋体" w:hAnsi="宋体"/>
          <w:szCs w:val="22"/>
        </w:rPr>
        <w:t>6、中国证监会禁止的其他行为。</w:t>
      </w:r>
    </w:p>
    <w:p w14:paraId="19353220">
      <w:pPr>
        <w:snapToGrid w:val="0"/>
        <w:spacing w:line="360" w:lineRule="auto"/>
        <w:ind w:firstLine="420" w:firstLineChars="200"/>
        <w:rPr>
          <w:rFonts w:hint="eastAsia" w:ascii="宋体" w:hAnsi="宋体"/>
          <w:szCs w:val="22"/>
        </w:rPr>
      </w:pPr>
      <w:r>
        <w:rPr>
          <w:rFonts w:hint="eastAsia" w:ascii="宋体" w:hAnsi="宋体"/>
          <w:szCs w:val="22"/>
        </w:rPr>
        <w:t>四、本基金公开披露的信息应采用中文文本。如同时采用外文文本的，基金信息披露义务人应保证不同文本的内容一致。不同文本之间发生歧义的，以中文文本为准。</w:t>
      </w:r>
    </w:p>
    <w:p w14:paraId="41978EC3">
      <w:pPr>
        <w:snapToGrid w:val="0"/>
        <w:spacing w:line="360" w:lineRule="auto"/>
        <w:ind w:firstLine="420" w:firstLineChars="200"/>
        <w:rPr>
          <w:rFonts w:hint="eastAsia" w:ascii="宋体" w:hAnsi="宋体"/>
          <w:szCs w:val="22"/>
        </w:rPr>
      </w:pPr>
      <w:r>
        <w:rPr>
          <w:rFonts w:hint="eastAsia" w:ascii="宋体" w:hAnsi="宋体"/>
          <w:szCs w:val="22"/>
        </w:rPr>
        <w:t>本基金公开披露的信息采用阿拉伯数字；除特别说明外，货币单位为人民币元。</w:t>
      </w:r>
    </w:p>
    <w:p w14:paraId="7D0DD40E">
      <w:pPr>
        <w:snapToGrid w:val="0"/>
        <w:spacing w:line="360" w:lineRule="auto"/>
        <w:ind w:firstLine="420" w:firstLineChars="200"/>
        <w:rPr>
          <w:rFonts w:hint="eastAsia" w:ascii="宋体" w:hAnsi="宋体"/>
          <w:szCs w:val="22"/>
        </w:rPr>
      </w:pPr>
      <w:r>
        <w:rPr>
          <w:rFonts w:hint="eastAsia" w:ascii="宋体" w:hAnsi="宋体"/>
          <w:szCs w:val="22"/>
        </w:rPr>
        <w:t>五、公开披露的基金信息</w:t>
      </w:r>
    </w:p>
    <w:p w14:paraId="0168F7C6">
      <w:pPr>
        <w:snapToGrid w:val="0"/>
        <w:spacing w:line="360" w:lineRule="auto"/>
        <w:ind w:firstLine="420" w:firstLineChars="200"/>
        <w:rPr>
          <w:rFonts w:hint="eastAsia" w:ascii="宋体" w:hAnsi="宋体"/>
          <w:szCs w:val="22"/>
        </w:rPr>
      </w:pPr>
      <w:r>
        <w:rPr>
          <w:rFonts w:hint="eastAsia" w:ascii="宋体" w:hAnsi="宋体"/>
          <w:szCs w:val="22"/>
        </w:rPr>
        <w:t>公开披露的基金信息包括：</w:t>
      </w:r>
    </w:p>
    <w:p w14:paraId="7C9ADA7F">
      <w:pPr>
        <w:snapToGrid w:val="0"/>
        <w:spacing w:line="360" w:lineRule="auto"/>
        <w:ind w:firstLine="420" w:firstLineChars="200"/>
        <w:rPr>
          <w:rFonts w:hint="eastAsia" w:ascii="宋体" w:hAnsi="宋体"/>
          <w:szCs w:val="22"/>
        </w:rPr>
      </w:pPr>
      <w:r>
        <w:rPr>
          <w:rFonts w:hint="eastAsia" w:ascii="宋体" w:hAnsi="宋体"/>
          <w:szCs w:val="22"/>
        </w:rPr>
        <w:t>（一）基金招募说明书、基金合同、基金托管协议、基金产品资料概要</w:t>
      </w:r>
    </w:p>
    <w:p w14:paraId="2AA816E8">
      <w:pPr>
        <w:snapToGrid w:val="0"/>
        <w:spacing w:line="360" w:lineRule="auto"/>
        <w:ind w:firstLine="420" w:firstLineChars="200"/>
        <w:rPr>
          <w:rFonts w:hint="eastAsia" w:ascii="宋体" w:hAnsi="宋体"/>
          <w:szCs w:val="22"/>
        </w:rPr>
      </w:pPr>
      <w:r>
        <w:rPr>
          <w:rFonts w:hint="eastAsia" w:ascii="宋体" w:hAnsi="宋体"/>
          <w:szCs w:val="22"/>
        </w:rPr>
        <w:t>1、基金合同是界定基金合同当事人的各项权利、义务关系，明确基金份额持有人大会召开的规则及具体程序，说明基金产品的特性等涉及基金投资者重大利益的事项的法律文件。</w:t>
      </w:r>
    </w:p>
    <w:p w14:paraId="0DDB646B">
      <w:pPr>
        <w:snapToGrid w:val="0"/>
        <w:spacing w:line="360" w:lineRule="auto"/>
        <w:ind w:firstLine="420" w:firstLineChars="200"/>
        <w:rPr>
          <w:rFonts w:hint="eastAsia" w:ascii="宋体" w:hAnsi="宋体"/>
          <w:szCs w:val="22"/>
        </w:rPr>
      </w:pPr>
      <w:r>
        <w:rPr>
          <w:rFonts w:hint="eastAsia" w:ascii="宋体" w:hAnsi="宋体"/>
          <w:szCs w:val="22"/>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14:paraId="40C3B003">
      <w:pPr>
        <w:snapToGrid w:val="0"/>
        <w:spacing w:line="360" w:lineRule="auto"/>
        <w:ind w:firstLine="420" w:firstLineChars="200"/>
        <w:rPr>
          <w:rFonts w:hint="eastAsia" w:ascii="宋体" w:hAnsi="宋体"/>
          <w:szCs w:val="22"/>
        </w:rPr>
      </w:pPr>
      <w:r>
        <w:rPr>
          <w:rFonts w:hint="eastAsia" w:ascii="宋体" w:hAnsi="宋体"/>
          <w:szCs w:val="22"/>
        </w:rPr>
        <w:t>3、基金托管协议是界定基金托管人和基金管理人在基金财产保管及基金运作监督等活动中的权利、义务关系的法律文件。</w:t>
      </w:r>
    </w:p>
    <w:p w14:paraId="6F28058B">
      <w:pPr>
        <w:snapToGrid w:val="0"/>
        <w:spacing w:line="360" w:lineRule="auto"/>
        <w:ind w:firstLine="420" w:firstLineChars="200"/>
        <w:rPr>
          <w:rFonts w:hint="eastAsia" w:ascii="宋体" w:hAnsi="宋体"/>
          <w:szCs w:val="22"/>
        </w:rPr>
      </w:pPr>
      <w:r>
        <w:rPr>
          <w:rFonts w:hint="eastAsia" w:ascii="宋体" w:hAnsi="宋体"/>
          <w:szCs w:val="22"/>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14:paraId="16080E7F">
      <w:pPr>
        <w:snapToGrid w:val="0"/>
        <w:spacing w:line="360" w:lineRule="auto"/>
        <w:ind w:firstLine="420" w:firstLineChars="200"/>
        <w:rPr>
          <w:rFonts w:hint="eastAsia" w:ascii="宋体" w:hAnsi="宋体"/>
          <w:szCs w:val="22"/>
        </w:rPr>
      </w:pPr>
      <w:r>
        <w:rPr>
          <w:rFonts w:hint="eastAsia" w:ascii="宋体" w:hAnsi="宋体"/>
          <w:szCs w:val="22"/>
        </w:rPr>
        <w:t>5、基金募集申请经中国证监会注册后，基金管理人在基金份额发售的3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规定网站上。</w:t>
      </w:r>
    </w:p>
    <w:p w14:paraId="32B7E45B">
      <w:pPr>
        <w:snapToGrid w:val="0"/>
        <w:spacing w:line="360" w:lineRule="auto"/>
        <w:ind w:firstLine="420" w:firstLineChars="200"/>
        <w:rPr>
          <w:rFonts w:hint="eastAsia" w:ascii="宋体" w:hAnsi="宋体"/>
          <w:szCs w:val="22"/>
        </w:rPr>
      </w:pPr>
      <w:r>
        <w:rPr>
          <w:rFonts w:hint="eastAsia" w:ascii="宋体" w:hAnsi="宋体"/>
          <w:szCs w:val="22"/>
        </w:rPr>
        <w:t>（二）基金份额发售公告</w:t>
      </w:r>
    </w:p>
    <w:p w14:paraId="28EC75F6">
      <w:pPr>
        <w:snapToGrid w:val="0"/>
        <w:spacing w:line="360" w:lineRule="auto"/>
        <w:ind w:firstLine="420" w:firstLineChars="200"/>
        <w:rPr>
          <w:rFonts w:hint="eastAsia" w:ascii="宋体" w:hAnsi="宋体"/>
          <w:szCs w:val="22"/>
        </w:rPr>
      </w:pPr>
      <w:r>
        <w:rPr>
          <w:rFonts w:hint="eastAsia" w:ascii="宋体" w:hAnsi="宋体"/>
          <w:szCs w:val="22"/>
        </w:rPr>
        <w:t>基金管理人应当就基金份额发售的具体事宜编制基金份额发售公告。</w:t>
      </w:r>
    </w:p>
    <w:p w14:paraId="53A4351C">
      <w:pPr>
        <w:snapToGrid w:val="0"/>
        <w:spacing w:line="360" w:lineRule="auto"/>
        <w:ind w:firstLine="420" w:firstLineChars="200"/>
        <w:rPr>
          <w:rFonts w:hint="eastAsia" w:ascii="宋体" w:hAnsi="宋体"/>
          <w:szCs w:val="22"/>
        </w:rPr>
      </w:pPr>
      <w:r>
        <w:rPr>
          <w:rFonts w:hint="eastAsia" w:ascii="宋体" w:hAnsi="宋体"/>
          <w:szCs w:val="22"/>
        </w:rPr>
        <w:t>（三）《基金合同》生效公告</w:t>
      </w:r>
    </w:p>
    <w:p w14:paraId="1A183460">
      <w:pPr>
        <w:snapToGrid w:val="0"/>
        <w:spacing w:line="360" w:lineRule="auto"/>
        <w:ind w:firstLine="420" w:firstLineChars="200"/>
        <w:rPr>
          <w:rFonts w:hint="eastAsia" w:ascii="宋体" w:hAnsi="宋体"/>
          <w:szCs w:val="22"/>
        </w:rPr>
      </w:pPr>
      <w:r>
        <w:rPr>
          <w:rFonts w:hint="eastAsia" w:ascii="宋体" w:hAnsi="宋体"/>
          <w:szCs w:val="22"/>
        </w:rPr>
        <w:t>基金管理人应当在收到中国证监会确认文件的次日在规定媒介上登载《基金合同》生效公告。</w:t>
      </w:r>
    </w:p>
    <w:p w14:paraId="4B5C40B5">
      <w:pPr>
        <w:snapToGrid w:val="0"/>
        <w:spacing w:line="360" w:lineRule="auto"/>
        <w:ind w:firstLine="420" w:firstLineChars="200"/>
        <w:rPr>
          <w:rFonts w:hint="eastAsia" w:ascii="宋体" w:hAnsi="宋体"/>
          <w:szCs w:val="22"/>
        </w:rPr>
      </w:pPr>
      <w:r>
        <w:rPr>
          <w:rFonts w:hint="eastAsia" w:ascii="宋体" w:hAnsi="宋体"/>
          <w:szCs w:val="22"/>
        </w:rPr>
        <w:t>（四）基金开始申购、赎回公告</w:t>
      </w:r>
    </w:p>
    <w:p w14:paraId="3F7FA950">
      <w:pPr>
        <w:snapToGrid w:val="0"/>
        <w:spacing w:line="360" w:lineRule="auto"/>
        <w:ind w:firstLine="420" w:firstLineChars="200"/>
        <w:rPr>
          <w:rFonts w:hint="eastAsia" w:ascii="宋体" w:hAnsi="宋体"/>
          <w:szCs w:val="22"/>
        </w:rPr>
      </w:pPr>
      <w:r>
        <w:rPr>
          <w:rFonts w:hint="eastAsia" w:ascii="宋体" w:hAnsi="宋体"/>
          <w:szCs w:val="22"/>
        </w:rPr>
        <w:t>基金管理人应于申购开始日、赎回开始日前按规定在规定报刊及网站上公告。</w:t>
      </w:r>
    </w:p>
    <w:p w14:paraId="0C3BF81B">
      <w:pPr>
        <w:snapToGrid w:val="0"/>
        <w:spacing w:line="360" w:lineRule="auto"/>
        <w:ind w:firstLine="420" w:firstLineChars="200"/>
        <w:rPr>
          <w:rFonts w:hint="eastAsia" w:ascii="宋体" w:hAnsi="宋体"/>
          <w:szCs w:val="22"/>
        </w:rPr>
      </w:pPr>
      <w:r>
        <w:rPr>
          <w:rFonts w:hint="eastAsia" w:ascii="宋体" w:hAnsi="宋体"/>
          <w:szCs w:val="22"/>
        </w:rPr>
        <w:t>（五）基金份额上市交易公告书</w:t>
      </w:r>
    </w:p>
    <w:p w14:paraId="15E75BF8">
      <w:pPr>
        <w:snapToGrid w:val="0"/>
        <w:spacing w:line="360" w:lineRule="auto"/>
        <w:ind w:firstLine="420" w:firstLineChars="200"/>
        <w:rPr>
          <w:rFonts w:hint="eastAsia" w:ascii="宋体" w:hAnsi="宋体"/>
          <w:szCs w:val="22"/>
        </w:rPr>
      </w:pPr>
      <w:r>
        <w:rPr>
          <w:rFonts w:hint="eastAsia" w:ascii="宋体" w:hAnsi="宋体"/>
          <w:szCs w:val="22"/>
        </w:rPr>
        <w:t>基金份额获准在证券交易所上市交易的，基金管理人应当在基金份额上市交易三个工作日前，将基金份额上市交易公告书登载在规定网站上，并将上市交易公告书提示性公告登载在规定报刊上。</w:t>
      </w:r>
    </w:p>
    <w:p w14:paraId="5AFDF103">
      <w:pPr>
        <w:snapToGrid w:val="0"/>
        <w:spacing w:line="360" w:lineRule="auto"/>
        <w:ind w:firstLine="420" w:firstLineChars="200"/>
        <w:rPr>
          <w:rFonts w:hint="eastAsia" w:ascii="宋体" w:hAnsi="宋体"/>
          <w:szCs w:val="22"/>
        </w:rPr>
      </w:pPr>
      <w:r>
        <w:rPr>
          <w:rFonts w:hint="eastAsia" w:ascii="宋体" w:hAnsi="宋体"/>
          <w:szCs w:val="22"/>
        </w:rPr>
        <w:t>（六）基金份额折算日和折算结果公告</w:t>
      </w:r>
    </w:p>
    <w:p w14:paraId="1174574B">
      <w:pPr>
        <w:snapToGrid w:val="0"/>
        <w:spacing w:line="360" w:lineRule="auto"/>
        <w:ind w:firstLine="420" w:firstLineChars="200"/>
        <w:rPr>
          <w:rFonts w:hint="eastAsia" w:ascii="宋体" w:hAnsi="宋体"/>
          <w:szCs w:val="22"/>
        </w:rPr>
      </w:pPr>
      <w:r>
        <w:rPr>
          <w:rFonts w:hint="eastAsia" w:ascii="宋体" w:hAnsi="宋体"/>
          <w:szCs w:val="22"/>
        </w:rPr>
        <w:t>基金管理人确定基金份额折算日，并依照《信息披露办法》的有关规定将基金份额折算日公告登载于规定媒介上。</w:t>
      </w:r>
    </w:p>
    <w:p w14:paraId="53AA2A7C">
      <w:pPr>
        <w:snapToGrid w:val="0"/>
        <w:spacing w:line="360" w:lineRule="auto"/>
        <w:ind w:firstLine="420" w:firstLineChars="200"/>
        <w:rPr>
          <w:rFonts w:hint="eastAsia" w:ascii="宋体" w:hAnsi="宋体"/>
          <w:szCs w:val="22"/>
        </w:rPr>
      </w:pPr>
      <w:r>
        <w:rPr>
          <w:rFonts w:hint="eastAsia" w:ascii="宋体" w:hAnsi="宋体"/>
          <w:szCs w:val="22"/>
        </w:rPr>
        <w:t>基金份额进行折算并由登记机构完成基金份额的变更登记后，基金管理人将基金份额折算结果公告登载于规定媒介上。</w:t>
      </w:r>
    </w:p>
    <w:p w14:paraId="444EF83E">
      <w:pPr>
        <w:snapToGrid w:val="0"/>
        <w:spacing w:line="360" w:lineRule="auto"/>
        <w:ind w:firstLine="420" w:firstLineChars="200"/>
        <w:rPr>
          <w:rFonts w:hint="eastAsia" w:ascii="宋体" w:hAnsi="宋体"/>
          <w:szCs w:val="22"/>
        </w:rPr>
      </w:pPr>
      <w:r>
        <w:rPr>
          <w:rFonts w:hint="eastAsia" w:ascii="宋体" w:hAnsi="宋体"/>
          <w:szCs w:val="22"/>
        </w:rPr>
        <w:t>（七）基金净值信息</w:t>
      </w:r>
    </w:p>
    <w:p w14:paraId="0D94E51D">
      <w:pPr>
        <w:snapToGrid w:val="0"/>
        <w:spacing w:line="360" w:lineRule="auto"/>
        <w:ind w:firstLine="420" w:firstLineChars="200"/>
        <w:rPr>
          <w:rFonts w:hint="eastAsia" w:ascii="宋体" w:hAnsi="宋体"/>
          <w:szCs w:val="22"/>
        </w:rPr>
      </w:pPr>
      <w:r>
        <w:rPr>
          <w:rFonts w:hint="eastAsia" w:ascii="宋体" w:hAnsi="宋体"/>
          <w:szCs w:val="22"/>
        </w:rPr>
        <w:t>《基金合同》生效后，在基金份额上市交易或者开始办理基金份额申购或者赎回前，基金管理人应当至少每周在规定网站披露一次基金份额净值和基金份额累计净值。</w:t>
      </w:r>
    </w:p>
    <w:p w14:paraId="6CB3C8C1">
      <w:pPr>
        <w:snapToGrid w:val="0"/>
        <w:spacing w:line="360" w:lineRule="auto"/>
        <w:ind w:firstLine="420" w:firstLineChars="200"/>
        <w:rPr>
          <w:rFonts w:hint="eastAsia" w:ascii="宋体" w:hAnsi="宋体"/>
          <w:szCs w:val="22"/>
        </w:rPr>
      </w:pPr>
      <w:r>
        <w:rPr>
          <w:rFonts w:hint="eastAsia" w:ascii="宋体" w:hAnsi="宋体"/>
          <w:szCs w:val="22"/>
        </w:rPr>
        <w:t>在基金份额上市交易或者开始办理基金份额申购或者赎回后，基金管理人应当在不晚于每个开放日的次日，通过规定网站、基金销售机构网站或者营业网点披露开放日的基金份额净值和基金份额累计净值。</w:t>
      </w:r>
    </w:p>
    <w:p w14:paraId="37CCAFD6">
      <w:pPr>
        <w:snapToGrid w:val="0"/>
        <w:spacing w:line="360" w:lineRule="auto"/>
        <w:ind w:firstLine="420" w:firstLineChars="200"/>
        <w:rPr>
          <w:rFonts w:hint="eastAsia" w:ascii="宋体" w:hAnsi="宋体"/>
          <w:szCs w:val="22"/>
        </w:rPr>
      </w:pPr>
      <w:r>
        <w:rPr>
          <w:rFonts w:hint="eastAsia" w:ascii="宋体" w:hAnsi="宋体"/>
          <w:szCs w:val="22"/>
        </w:rPr>
        <w:t>基金管理人应当在不晚于半年度和年度最后一日的次日，在规定网站披露半年度和年度最后一日的基金份额净值和基金份额累计净值。</w:t>
      </w:r>
    </w:p>
    <w:p w14:paraId="42BB3DE6">
      <w:pPr>
        <w:snapToGrid w:val="0"/>
        <w:spacing w:line="360" w:lineRule="auto"/>
        <w:ind w:firstLine="420" w:firstLineChars="200"/>
        <w:rPr>
          <w:rFonts w:hint="eastAsia" w:ascii="宋体" w:hAnsi="宋体"/>
          <w:szCs w:val="22"/>
        </w:rPr>
      </w:pPr>
      <w:r>
        <w:rPr>
          <w:rFonts w:hint="eastAsia" w:ascii="宋体" w:hAnsi="宋体"/>
          <w:szCs w:val="22"/>
        </w:rPr>
        <w:t>（八）申购赎回清单</w:t>
      </w:r>
    </w:p>
    <w:p w14:paraId="2FBC72D0">
      <w:pPr>
        <w:snapToGrid w:val="0"/>
        <w:spacing w:line="360" w:lineRule="auto"/>
        <w:ind w:firstLine="420" w:firstLineChars="200"/>
        <w:rPr>
          <w:rFonts w:hint="eastAsia" w:ascii="宋体" w:hAnsi="宋体"/>
          <w:szCs w:val="22"/>
        </w:rPr>
      </w:pPr>
      <w:r>
        <w:rPr>
          <w:rFonts w:hint="eastAsia" w:ascii="宋体" w:hAnsi="宋体"/>
          <w:szCs w:val="22"/>
        </w:rPr>
        <w:t>在开始办理基金份额申购或者赎回之后，基金管理人应当在每个开放日，通过规定网站、基金份额申购、赎回代理券商以及其他媒介公告当日的申购赎回清单。</w:t>
      </w:r>
    </w:p>
    <w:p w14:paraId="61C771D4">
      <w:pPr>
        <w:snapToGrid w:val="0"/>
        <w:spacing w:line="360" w:lineRule="auto"/>
        <w:ind w:firstLine="420" w:firstLineChars="200"/>
        <w:rPr>
          <w:rFonts w:hint="eastAsia" w:ascii="宋体" w:hAnsi="宋体"/>
          <w:szCs w:val="22"/>
        </w:rPr>
      </w:pPr>
      <w:r>
        <w:rPr>
          <w:rFonts w:hint="eastAsia" w:ascii="宋体" w:hAnsi="宋体"/>
          <w:szCs w:val="22"/>
        </w:rPr>
        <w:t>（九）基金定期报告，包括基金年度报告、基金中期报告和基金季度报告（含资产组合季度报告）</w:t>
      </w:r>
    </w:p>
    <w:p w14:paraId="3ACCBBC2">
      <w:pPr>
        <w:snapToGrid w:val="0"/>
        <w:spacing w:line="360" w:lineRule="auto"/>
        <w:ind w:firstLine="420" w:firstLineChars="200"/>
        <w:rPr>
          <w:rFonts w:hint="eastAsia" w:ascii="宋体" w:hAnsi="宋体"/>
          <w:szCs w:val="22"/>
        </w:rPr>
      </w:pPr>
      <w:r>
        <w:rPr>
          <w:rFonts w:hint="eastAsia" w:ascii="宋体" w:hAnsi="宋体"/>
          <w:szCs w:val="22"/>
        </w:rPr>
        <w:t>基金管理人应当在每年结束之日起三个月内，编制完成基金年度报告，将年度报告登载在规定网站上，并将年度报告提示性公告登载在规定报刊上。基金年度报告中的财务会计报告应当经过符合《证券法》规定的会计师事务所审计。</w:t>
      </w:r>
    </w:p>
    <w:p w14:paraId="141512B2">
      <w:pPr>
        <w:snapToGrid w:val="0"/>
        <w:spacing w:line="360" w:lineRule="auto"/>
        <w:ind w:firstLine="420" w:firstLineChars="200"/>
        <w:rPr>
          <w:rFonts w:hint="eastAsia" w:ascii="宋体" w:hAnsi="宋体"/>
          <w:szCs w:val="22"/>
        </w:rPr>
      </w:pPr>
      <w:r>
        <w:rPr>
          <w:rFonts w:hint="eastAsia" w:ascii="宋体" w:hAnsi="宋体"/>
          <w:szCs w:val="22"/>
        </w:rPr>
        <w:t>基金管理人应当在上半年结束之日起两个月内，编制完成基金中期报告，将中期报告登载在规定网站上，并将中期报告提示性公告登载在规定报刊上。</w:t>
      </w:r>
    </w:p>
    <w:p w14:paraId="649D5E4B">
      <w:pPr>
        <w:snapToGrid w:val="0"/>
        <w:spacing w:line="360" w:lineRule="auto"/>
        <w:ind w:firstLine="420" w:firstLineChars="200"/>
        <w:rPr>
          <w:rFonts w:hint="eastAsia" w:ascii="宋体" w:hAnsi="宋体"/>
          <w:szCs w:val="22"/>
        </w:rPr>
      </w:pPr>
      <w:r>
        <w:rPr>
          <w:rFonts w:hint="eastAsia" w:ascii="宋体" w:hAnsi="宋体"/>
          <w:szCs w:val="22"/>
        </w:rPr>
        <w:t>基金管理人应当在季度结束之日起15个工作日内，编制完成基金季度报告，将季度报告登载在规定网站上，并将季度报告提示性公告登载在规定报刊上。</w:t>
      </w:r>
    </w:p>
    <w:p w14:paraId="3C49C5F4">
      <w:pPr>
        <w:snapToGrid w:val="0"/>
        <w:spacing w:line="360" w:lineRule="auto"/>
        <w:ind w:firstLine="420" w:firstLineChars="200"/>
        <w:rPr>
          <w:rFonts w:hint="eastAsia" w:ascii="宋体" w:hAnsi="宋体"/>
          <w:szCs w:val="22"/>
        </w:rPr>
      </w:pPr>
      <w:r>
        <w:rPr>
          <w:rFonts w:hint="eastAsia" w:ascii="宋体" w:hAnsi="宋体"/>
          <w:szCs w:val="22"/>
        </w:rPr>
        <w:t>基金合同生效不足2个月的，本基金管理人可以不编制当期季度报告、中期报告或者年度报告。</w:t>
      </w:r>
    </w:p>
    <w:p w14:paraId="313EEF59">
      <w:pPr>
        <w:snapToGrid w:val="0"/>
        <w:spacing w:line="360" w:lineRule="auto"/>
        <w:ind w:firstLine="420" w:firstLineChars="200"/>
        <w:rPr>
          <w:rFonts w:hint="eastAsia" w:ascii="宋体" w:hAnsi="宋体"/>
          <w:szCs w:val="22"/>
        </w:rPr>
      </w:pPr>
      <w:r>
        <w:rPr>
          <w:rFonts w:hint="eastAsia" w:ascii="宋体" w:hAnsi="宋体"/>
          <w:szCs w:val="22"/>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14:paraId="7F705E3A">
      <w:pPr>
        <w:snapToGrid w:val="0"/>
        <w:spacing w:line="360" w:lineRule="auto"/>
        <w:ind w:firstLine="420" w:firstLineChars="200"/>
        <w:rPr>
          <w:rFonts w:hint="eastAsia" w:ascii="宋体" w:hAnsi="宋体"/>
          <w:szCs w:val="22"/>
        </w:rPr>
      </w:pPr>
      <w:r>
        <w:rPr>
          <w:rFonts w:hint="eastAsia" w:ascii="宋体" w:hAnsi="宋体"/>
          <w:szCs w:val="22"/>
        </w:rPr>
        <w:t>基金管理人应当在基金年度报告和中期报告中披露基金组合资产情况及其流动性风险分析等。</w:t>
      </w:r>
    </w:p>
    <w:p w14:paraId="0840EFAA">
      <w:pPr>
        <w:snapToGrid w:val="0"/>
        <w:spacing w:line="360" w:lineRule="auto"/>
        <w:ind w:firstLine="420" w:firstLineChars="200"/>
        <w:rPr>
          <w:rFonts w:hint="eastAsia" w:ascii="宋体" w:hAnsi="宋体"/>
          <w:szCs w:val="22"/>
        </w:rPr>
      </w:pPr>
      <w:r>
        <w:rPr>
          <w:rFonts w:hint="eastAsia" w:ascii="宋体" w:hAnsi="宋体"/>
          <w:szCs w:val="22"/>
        </w:rPr>
        <w:t>（十）临时报告</w:t>
      </w:r>
    </w:p>
    <w:p w14:paraId="441C78CD">
      <w:pPr>
        <w:snapToGrid w:val="0"/>
        <w:spacing w:line="360" w:lineRule="auto"/>
        <w:ind w:firstLine="420" w:firstLineChars="200"/>
        <w:rPr>
          <w:rFonts w:hint="eastAsia" w:ascii="宋体" w:hAnsi="宋体"/>
          <w:szCs w:val="22"/>
        </w:rPr>
      </w:pPr>
      <w:r>
        <w:rPr>
          <w:rFonts w:hint="eastAsia" w:ascii="宋体" w:hAnsi="宋体"/>
          <w:szCs w:val="22"/>
        </w:rPr>
        <w:t>本基金发生重大事件，有关信息披露义务人应当依照《信息披露办法》编制临时报告书，并登载在规定报刊和规定网站上。</w:t>
      </w:r>
    </w:p>
    <w:p w14:paraId="2851F48A">
      <w:pPr>
        <w:snapToGrid w:val="0"/>
        <w:spacing w:line="360" w:lineRule="auto"/>
        <w:ind w:firstLine="420" w:firstLineChars="200"/>
        <w:rPr>
          <w:rFonts w:hint="eastAsia" w:ascii="宋体" w:hAnsi="宋体"/>
          <w:szCs w:val="22"/>
        </w:rPr>
      </w:pPr>
      <w:r>
        <w:rPr>
          <w:rFonts w:hint="eastAsia" w:ascii="宋体" w:hAnsi="宋体"/>
          <w:szCs w:val="22"/>
        </w:rPr>
        <w:t>前款所称重大事件，是指可能对基金份额持有人权益或者基金份额的价格产生重大影响的下列事件：</w:t>
      </w:r>
    </w:p>
    <w:p w14:paraId="12A01F00">
      <w:pPr>
        <w:snapToGrid w:val="0"/>
        <w:spacing w:line="360" w:lineRule="auto"/>
        <w:ind w:firstLine="420" w:firstLineChars="200"/>
        <w:rPr>
          <w:rFonts w:hint="eastAsia" w:ascii="宋体" w:hAnsi="宋体"/>
          <w:szCs w:val="22"/>
        </w:rPr>
      </w:pPr>
      <w:r>
        <w:rPr>
          <w:rFonts w:hint="eastAsia" w:ascii="宋体" w:hAnsi="宋体"/>
          <w:szCs w:val="22"/>
        </w:rPr>
        <w:t>1、基金份额持有人大会的召开及决定的事项；</w:t>
      </w:r>
    </w:p>
    <w:p w14:paraId="06B8CF7F">
      <w:pPr>
        <w:snapToGrid w:val="0"/>
        <w:spacing w:line="360" w:lineRule="auto"/>
        <w:ind w:firstLine="420" w:firstLineChars="200"/>
        <w:rPr>
          <w:rFonts w:hint="eastAsia" w:ascii="宋体" w:hAnsi="宋体"/>
          <w:szCs w:val="22"/>
        </w:rPr>
      </w:pPr>
      <w:r>
        <w:rPr>
          <w:rFonts w:hint="eastAsia" w:ascii="宋体" w:hAnsi="宋体"/>
          <w:szCs w:val="22"/>
        </w:rPr>
        <w:t>2、《基金合同》终止、基金清算；</w:t>
      </w:r>
    </w:p>
    <w:p w14:paraId="4D112872">
      <w:pPr>
        <w:snapToGrid w:val="0"/>
        <w:spacing w:line="360" w:lineRule="auto"/>
        <w:ind w:firstLine="420" w:firstLineChars="200"/>
        <w:rPr>
          <w:rFonts w:hint="eastAsia" w:ascii="宋体" w:hAnsi="宋体"/>
          <w:szCs w:val="22"/>
        </w:rPr>
      </w:pPr>
      <w:r>
        <w:rPr>
          <w:rFonts w:hint="eastAsia" w:ascii="宋体" w:hAnsi="宋体"/>
          <w:szCs w:val="22"/>
        </w:rPr>
        <w:t>3、转换基金运作方式、基金合并；</w:t>
      </w:r>
    </w:p>
    <w:p w14:paraId="5875CBC4">
      <w:pPr>
        <w:snapToGrid w:val="0"/>
        <w:spacing w:line="360" w:lineRule="auto"/>
        <w:ind w:firstLine="420" w:firstLineChars="200"/>
        <w:rPr>
          <w:rFonts w:hint="eastAsia" w:ascii="宋体" w:hAnsi="宋体"/>
          <w:szCs w:val="22"/>
        </w:rPr>
      </w:pPr>
      <w:r>
        <w:rPr>
          <w:rFonts w:hint="eastAsia" w:ascii="宋体" w:hAnsi="宋体"/>
          <w:szCs w:val="22"/>
        </w:rPr>
        <w:t>4、更换基金管理人、基金托管人、基金份额登记机构，基金改聘会计师事务所；</w:t>
      </w:r>
    </w:p>
    <w:p w14:paraId="5B2C47B6">
      <w:pPr>
        <w:snapToGrid w:val="0"/>
        <w:spacing w:line="360" w:lineRule="auto"/>
        <w:ind w:firstLine="420" w:firstLineChars="200"/>
        <w:rPr>
          <w:rFonts w:hint="eastAsia" w:ascii="宋体" w:hAnsi="宋体"/>
          <w:szCs w:val="22"/>
        </w:rPr>
      </w:pPr>
      <w:r>
        <w:rPr>
          <w:rFonts w:hint="eastAsia" w:ascii="宋体" w:hAnsi="宋体"/>
          <w:szCs w:val="22"/>
        </w:rPr>
        <w:t>5、基金管理人委托基金服务机构代为办理基金的份额登记、核算、估值等事项，基金托管人委托基金服务机构代为办理基金的核算、估值、复核等事项；</w:t>
      </w:r>
    </w:p>
    <w:p w14:paraId="51BF8CE5">
      <w:pPr>
        <w:snapToGrid w:val="0"/>
        <w:spacing w:line="360" w:lineRule="auto"/>
        <w:ind w:firstLine="420" w:firstLineChars="200"/>
        <w:rPr>
          <w:rFonts w:hint="eastAsia" w:ascii="宋体" w:hAnsi="宋体"/>
          <w:szCs w:val="22"/>
        </w:rPr>
      </w:pPr>
      <w:r>
        <w:rPr>
          <w:rFonts w:hint="eastAsia" w:ascii="宋体" w:hAnsi="宋体"/>
          <w:szCs w:val="22"/>
        </w:rPr>
        <w:t>6、基金管理人、基金托管人的法定名称、住所发生变更；</w:t>
      </w:r>
    </w:p>
    <w:p w14:paraId="6BB55490">
      <w:pPr>
        <w:snapToGrid w:val="0"/>
        <w:spacing w:line="360" w:lineRule="auto"/>
        <w:ind w:firstLine="420" w:firstLineChars="200"/>
        <w:rPr>
          <w:rFonts w:hint="eastAsia" w:ascii="宋体" w:hAnsi="宋体"/>
          <w:szCs w:val="22"/>
        </w:rPr>
      </w:pPr>
      <w:r>
        <w:rPr>
          <w:rFonts w:hint="eastAsia" w:ascii="宋体" w:hAnsi="宋体"/>
          <w:szCs w:val="22"/>
        </w:rPr>
        <w:t>7、基金管理人变更持有百分之五以上股权的股东、变更基金管理人的实际控制人；</w:t>
      </w:r>
    </w:p>
    <w:p w14:paraId="127DDEF1">
      <w:pPr>
        <w:snapToGrid w:val="0"/>
        <w:spacing w:line="360" w:lineRule="auto"/>
        <w:ind w:firstLine="420" w:firstLineChars="200"/>
        <w:rPr>
          <w:rFonts w:hint="eastAsia" w:ascii="宋体" w:hAnsi="宋体"/>
          <w:szCs w:val="22"/>
        </w:rPr>
      </w:pPr>
      <w:r>
        <w:rPr>
          <w:rFonts w:hint="eastAsia" w:ascii="宋体" w:hAnsi="宋体"/>
          <w:szCs w:val="22"/>
        </w:rPr>
        <w:t>8、基金募集期延长或提前结束募集；</w:t>
      </w:r>
    </w:p>
    <w:p w14:paraId="760FA03D">
      <w:pPr>
        <w:snapToGrid w:val="0"/>
        <w:spacing w:line="360" w:lineRule="auto"/>
        <w:ind w:firstLine="420" w:firstLineChars="200"/>
        <w:rPr>
          <w:rFonts w:hint="eastAsia" w:ascii="宋体" w:hAnsi="宋体"/>
          <w:szCs w:val="22"/>
        </w:rPr>
      </w:pPr>
      <w:r>
        <w:rPr>
          <w:rFonts w:hint="eastAsia" w:ascii="宋体" w:hAnsi="宋体"/>
          <w:szCs w:val="22"/>
        </w:rPr>
        <w:t>9、基金管理人的高级管理人员、基金经理和基金托管人专门基金托管部门负责人发生变动；</w:t>
      </w:r>
    </w:p>
    <w:p w14:paraId="605F44EB">
      <w:pPr>
        <w:snapToGrid w:val="0"/>
        <w:spacing w:line="360" w:lineRule="auto"/>
        <w:ind w:firstLine="420" w:firstLineChars="200"/>
        <w:rPr>
          <w:rFonts w:hint="eastAsia" w:ascii="宋体" w:hAnsi="宋体"/>
          <w:szCs w:val="22"/>
        </w:rPr>
      </w:pPr>
      <w:r>
        <w:rPr>
          <w:rFonts w:hint="eastAsia" w:ascii="宋体" w:hAnsi="宋体"/>
          <w:szCs w:val="22"/>
        </w:rPr>
        <w:t>10、基金管理人的董事在最近12个月内变更超过百分之五十；基金管理人、基金托管人专门基金托管部门的主要业务人员在最近12个月内变动超过百分之三十；</w:t>
      </w:r>
    </w:p>
    <w:p w14:paraId="382EC5DF">
      <w:pPr>
        <w:snapToGrid w:val="0"/>
        <w:spacing w:line="360" w:lineRule="auto"/>
        <w:ind w:firstLine="420" w:firstLineChars="200"/>
        <w:rPr>
          <w:rFonts w:hint="eastAsia" w:ascii="宋体" w:hAnsi="宋体"/>
          <w:szCs w:val="22"/>
        </w:rPr>
      </w:pPr>
      <w:r>
        <w:rPr>
          <w:rFonts w:hint="eastAsia" w:ascii="宋体" w:hAnsi="宋体"/>
          <w:szCs w:val="22"/>
        </w:rPr>
        <w:t>11、涉及基金财产、基金管理业务、基金托管业务的诉讼或仲裁；</w:t>
      </w:r>
    </w:p>
    <w:p w14:paraId="5C0F86BC">
      <w:pPr>
        <w:snapToGrid w:val="0"/>
        <w:spacing w:line="360" w:lineRule="auto"/>
        <w:ind w:firstLine="420" w:firstLineChars="200"/>
        <w:rPr>
          <w:rFonts w:hint="eastAsia" w:ascii="宋体" w:hAnsi="宋体"/>
          <w:szCs w:val="22"/>
        </w:rPr>
      </w:pPr>
      <w:r>
        <w:rPr>
          <w:rFonts w:hint="eastAsia" w:ascii="宋体" w:hAnsi="宋体"/>
          <w:szCs w:val="22"/>
        </w:rPr>
        <w:t>12、基金管理人或其高级管理人员、基金经理因基金管理业务相关行为受到重大行政处罚、刑事处罚，基金托管人或其专门基金托管部门负责人因基金托管业务相关行为受到重大行政处罚、刑事处罚；</w:t>
      </w:r>
    </w:p>
    <w:p w14:paraId="675AEF5F">
      <w:pPr>
        <w:snapToGrid w:val="0"/>
        <w:spacing w:line="360" w:lineRule="auto"/>
        <w:ind w:firstLine="420" w:firstLineChars="200"/>
        <w:rPr>
          <w:rFonts w:hint="eastAsia" w:ascii="宋体" w:hAnsi="宋体"/>
          <w:szCs w:val="22"/>
        </w:rPr>
      </w:pPr>
      <w:r>
        <w:rPr>
          <w:rFonts w:hint="eastAsia" w:ascii="宋体" w:hAnsi="宋体"/>
          <w:szCs w:val="22"/>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14:paraId="2A6DB48E">
      <w:pPr>
        <w:snapToGrid w:val="0"/>
        <w:spacing w:line="360" w:lineRule="auto"/>
        <w:ind w:firstLine="420" w:firstLineChars="200"/>
        <w:rPr>
          <w:rFonts w:hint="eastAsia" w:ascii="宋体" w:hAnsi="宋体"/>
          <w:szCs w:val="22"/>
        </w:rPr>
      </w:pPr>
      <w:r>
        <w:rPr>
          <w:rFonts w:hint="eastAsia" w:ascii="宋体" w:hAnsi="宋体"/>
          <w:szCs w:val="22"/>
        </w:rPr>
        <w:t>14、基金收益分配事项；</w:t>
      </w:r>
    </w:p>
    <w:p w14:paraId="5E952E9C">
      <w:pPr>
        <w:snapToGrid w:val="0"/>
        <w:spacing w:line="360" w:lineRule="auto"/>
        <w:ind w:firstLine="420" w:firstLineChars="200"/>
        <w:rPr>
          <w:rFonts w:hint="eastAsia" w:ascii="宋体" w:hAnsi="宋体"/>
          <w:szCs w:val="22"/>
        </w:rPr>
      </w:pPr>
      <w:r>
        <w:rPr>
          <w:rFonts w:hint="eastAsia" w:ascii="宋体" w:hAnsi="宋体"/>
          <w:szCs w:val="22"/>
        </w:rPr>
        <w:t>15、管理费、托管费、申购费、赎回费等费用计提标准、计提方式和费率发生变更；</w:t>
      </w:r>
    </w:p>
    <w:p w14:paraId="615257D4">
      <w:pPr>
        <w:snapToGrid w:val="0"/>
        <w:spacing w:line="360" w:lineRule="auto"/>
        <w:ind w:firstLine="420" w:firstLineChars="200"/>
        <w:rPr>
          <w:rFonts w:hint="eastAsia" w:ascii="宋体" w:hAnsi="宋体"/>
          <w:szCs w:val="22"/>
        </w:rPr>
      </w:pPr>
      <w:r>
        <w:rPr>
          <w:rFonts w:hint="eastAsia" w:ascii="宋体" w:hAnsi="宋体"/>
          <w:szCs w:val="22"/>
        </w:rPr>
        <w:t>16、基金份额净值计价错误达基金份额净值0.5%；</w:t>
      </w:r>
    </w:p>
    <w:p w14:paraId="74991427">
      <w:pPr>
        <w:snapToGrid w:val="0"/>
        <w:spacing w:line="360" w:lineRule="auto"/>
        <w:ind w:firstLine="420" w:firstLineChars="200"/>
        <w:rPr>
          <w:rFonts w:hint="eastAsia" w:ascii="宋体" w:hAnsi="宋体"/>
          <w:szCs w:val="22"/>
        </w:rPr>
      </w:pPr>
      <w:r>
        <w:rPr>
          <w:rFonts w:hint="eastAsia" w:ascii="宋体" w:hAnsi="宋体"/>
          <w:szCs w:val="22"/>
        </w:rPr>
        <w:t>17、本基金开始办理申购、赎回；</w:t>
      </w:r>
    </w:p>
    <w:p w14:paraId="1D5DBAD4">
      <w:pPr>
        <w:snapToGrid w:val="0"/>
        <w:spacing w:line="360" w:lineRule="auto"/>
        <w:ind w:firstLine="420" w:firstLineChars="200"/>
        <w:rPr>
          <w:rFonts w:hint="eastAsia" w:ascii="宋体" w:hAnsi="宋体"/>
          <w:szCs w:val="22"/>
        </w:rPr>
      </w:pPr>
      <w:r>
        <w:rPr>
          <w:rFonts w:hint="eastAsia" w:ascii="宋体" w:hAnsi="宋体"/>
          <w:szCs w:val="22"/>
        </w:rPr>
        <w:t>18、本基金暂停接受申购、赎回申请或重新接受申购、赎回申请；</w:t>
      </w:r>
    </w:p>
    <w:p w14:paraId="1F16D743">
      <w:pPr>
        <w:snapToGrid w:val="0"/>
        <w:spacing w:line="360" w:lineRule="auto"/>
        <w:ind w:firstLine="420" w:firstLineChars="200"/>
        <w:rPr>
          <w:rFonts w:hint="eastAsia" w:ascii="宋体" w:hAnsi="宋体"/>
          <w:szCs w:val="22"/>
        </w:rPr>
      </w:pPr>
      <w:r>
        <w:rPr>
          <w:rFonts w:hint="eastAsia" w:ascii="宋体" w:hAnsi="宋体"/>
          <w:szCs w:val="22"/>
        </w:rPr>
        <w:t>19、基金份额停复牌、暂停上市、恢复上市或终止上市交易；</w:t>
      </w:r>
    </w:p>
    <w:p w14:paraId="22191DB1">
      <w:pPr>
        <w:snapToGrid w:val="0"/>
        <w:spacing w:line="360" w:lineRule="auto"/>
        <w:ind w:firstLine="420" w:firstLineChars="200"/>
        <w:rPr>
          <w:rFonts w:hint="eastAsia" w:ascii="宋体" w:hAnsi="宋体"/>
          <w:szCs w:val="22"/>
        </w:rPr>
      </w:pPr>
      <w:r>
        <w:rPr>
          <w:rFonts w:hint="eastAsia" w:ascii="宋体" w:hAnsi="宋体"/>
          <w:szCs w:val="22"/>
        </w:rPr>
        <w:t>20、调整基金份额类别的设置；</w:t>
      </w:r>
    </w:p>
    <w:p w14:paraId="35200D4C">
      <w:pPr>
        <w:snapToGrid w:val="0"/>
        <w:spacing w:line="360" w:lineRule="auto"/>
        <w:ind w:firstLine="420" w:firstLineChars="200"/>
        <w:rPr>
          <w:rFonts w:hint="eastAsia" w:ascii="宋体" w:hAnsi="宋体"/>
          <w:szCs w:val="22"/>
        </w:rPr>
      </w:pPr>
      <w:r>
        <w:rPr>
          <w:rFonts w:hint="eastAsia" w:ascii="宋体" w:hAnsi="宋体"/>
          <w:szCs w:val="22"/>
        </w:rPr>
        <w:t>21、基金推出新业务或服务；</w:t>
      </w:r>
    </w:p>
    <w:p w14:paraId="2F4826B0">
      <w:pPr>
        <w:snapToGrid w:val="0"/>
        <w:spacing w:line="360" w:lineRule="auto"/>
        <w:ind w:firstLine="420" w:firstLineChars="200"/>
        <w:rPr>
          <w:rFonts w:hint="eastAsia" w:ascii="宋体" w:hAnsi="宋体"/>
          <w:szCs w:val="22"/>
        </w:rPr>
      </w:pPr>
      <w:r>
        <w:rPr>
          <w:rFonts w:hint="eastAsia" w:ascii="宋体" w:hAnsi="宋体"/>
          <w:szCs w:val="22"/>
        </w:rPr>
        <w:t>22、发生涉及本基金申购、赎回事项调整或潜在影响投资者赎回等重大事项时；</w:t>
      </w:r>
    </w:p>
    <w:p w14:paraId="0865D343">
      <w:pPr>
        <w:snapToGrid w:val="0"/>
        <w:spacing w:line="360" w:lineRule="auto"/>
        <w:ind w:firstLine="420" w:firstLineChars="200"/>
        <w:rPr>
          <w:rFonts w:hint="eastAsia" w:ascii="宋体" w:hAnsi="宋体"/>
          <w:szCs w:val="22"/>
        </w:rPr>
      </w:pPr>
      <w:r>
        <w:rPr>
          <w:rFonts w:hint="eastAsia" w:ascii="宋体" w:hAnsi="宋体"/>
          <w:szCs w:val="22"/>
        </w:rPr>
        <w:t>23、基金信息披露义务人认为可能对基金份额持有人权益或者基金份额的价格产生重大影响的其他事项、中国证监会或基金合同规定的其他事项。</w:t>
      </w:r>
    </w:p>
    <w:p w14:paraId="731670C9">
      <w:pPr>
        <w:snapToGrid w:val="0"/>
        <w:spacing w:line="360" w:lineRule="auto"/>
        <w:ind w:firstLine="420" w:firstLineChars="200"/>
        <w:rPr>
          <w:rFonts w:hint="eastAsia" w:ascii="宋体" w:hAnsi="宋体"/>
          <w:szCs w:val="22"/>
        </w:rPr>
      </w:pPr>
      <w:r>
        <w:rPr>
          <w:rFonts w:hint="eastAsia" w:ascii="宋体" w:hAnsi="宋体"/>
          <w:szCs w:val="22"/>
        </w:rPr>
        <w:t>（十一）澄清公告</w:t>
      </w:r>
    </w:p>
    <w:p w14:paraId="5088CD2A">
      <w:pPr>
        <w:snapToGrid w:val="0"/>
        <w:spacing w:line="360" w:lineRule="auto"/>
        <w:ind w:firstLine="420" w:firstLineChars="200"/>
        <w:rPr>
          <w:rFonts w:hint="eastAsia" w:ascii="宋体" w:hAnsi="宋体"/>
          <w:szCs w:val="22"/>
        </w:rPr>
      </w:pPr>
      <w:r>
        <w:rPr>
          <w:rFonts w:hint="eastAsia" w:ascii="宋体" w:hAnsi="宋体"/>
          <w:szCs w:val="22"/>
        </w:rPr>
        <w:t>在</w:t>
      </w:r>
      <w:r>
        <w:rPr>
          <w:rFonts w:ascii="宋体" w:hAnsi="宋体"/>
          <w:szCs w:val="22"/>
        </w:rPr>
        <w:t>基金合同</w:t>
      </w:r>
      <w:r>
        <w:rPr>
          <w:rFonts w:hint="eastAsia" w:ascii="宋体" w:hAnsi="宋体"/>
          <w:szCs w:val="22"/>
        </w:rPr>
        <w:t>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基金上市交易的证券交易所。</w:t>
      </w:r>
    </w:p>
    <w:p w14:paraId="6C137404">
      <w:pPr>
        <w:snapToGrid w:val="0"/>
        <w:spacing w:line="360" w:lineRule="auto"/>
        <w:ind w:firstLine="420" w:firstLineChars="200"/>
        <w:rPr>
          <w:rFonts w:hint="eastAsia" w:ascii="宋体" w:hAnsi="宋体"/>
          <w:szCs w:val="22"/>
        </w:rPr>
      </w:pPr>
      <w:r>
        <w:rPr>
          <w:rFonts w:hint="eastAsia" w:ascii="宋体" w:hAnsi="宋体"/>
          <w:szCs w:val="22"/>
        </w:rPr>
        <w:t>（十二）清算报告</w:t>
      </w:r>
    </w:p>
    <w:p w14:paraId="790C00D4">
      <w:pPr>
        <w:snapToGrid w:val="0"/>
        <w:spacing w:line="360" w:lineRule="auto"/>
        <w:ind w:firstLine="420" w:firstLineChars="200"/>
        <w:rPr>
          <w:rFonts w:hint="eastAsia" w:ascii="宋体" w:hAnsi="宋体"/>
          <w:szCs w:val="22"/>
        </w:rPr>
      </w:pPr>
      <w:r>
        <w:rPr>
          <w:rFonts w:hint="eastAsia" w:ascii="宋体" w:hAnsi="宋体"/>
          <w:szCs w:val="22"/>
        </w:rPr>
        <w:t>基金终止运作的，基金管理人应当依法组织基金财产清算小组对基金财产进行清算并作出清算报告。清算报告应当经过符合《证券法》规定的会计师事务所审计，并由律师事务所出具法律意见书。清算组应当将清算报告登载在规定网站上，并将清算报告提示性公告登载在规定报刊上。</w:t>
      </w:r>
    </w:p>
    <w:p w14:paraId="46E9A7A0">
      <w:pPr>
        <w:snapToGrid w:val="0"/>
        <w:spacing w:line="360" w:lineRule="auto"/>
        <w:ind w:firstLine="420" w:firstLineChars="200"/>
        <w:rPr>
          <w:rFonts w:hint="eastAsia" w:ascii="宋体" w:hAnsi="宋体"/>
          <w:szCs w:val="22"/>
        </w:rPr>
      </w:pPr>
      <w:r>
        <w:rPr>
          <w:rFonts w:hint="eastAsia" w:ascii="宋体" w:hAnsi="宋体"/>
          <w:szCs w:val="22"/>
        </w:rPr>
        <w:t>（十三）基金份额持有人大会决议</w:t>
      </w:r>
    </w:p>
    <w:p w14:paraId="0D9CE3A4">
      <w:pPr>
        <w:snapToGrid w:val="0"/>
        <w:spacing w:line="360" w:lineRule="auto"/>
        <w:ind w:firstLine="420" w:firstLineChars="200"/>
        <w:rPr>
          <w:rFonts w:hint="eastAsia" w:ascii="宋体" w:hAnsi="宋体"/>
          <w:szCs w:val="22"/>
        </w:rPr>
      </w:pPr>
      <w:r>
        <w:rPr>
          <w:rFonts w:hint="eastAsia" w:ascii="宋体" w:hAnsi="宋体"/>
          <w:szCs w:val="22"/>
        </w:rPr>
        <w:t>基金份额持有人大会决定的事项，应当依法报中国证监会备案，并予以公告。</w:t>
      </w:r>
    </w:p>
    <w:p w14:paraId="6BC3E7E4">
      <w:pPr>
        <w:snapToGrid w:val="0"/>
        <w:spacing w:line="360" w:lineRule="auto"/>
        <w:ind w:firstLine="420" w:firstLineChars="200"/>
        <w:rPr>
          <w:rFonts w:hint="eastAsia" w:ascii="宋体" w:hAnsi="宋体"/>
          <w:szCs w:val="22"/>
        </w:rPr>
      </w:pPr>
      <w:r>
        <w:rPr>
          <w:rFonts w:hint="eastAsia" w:ascii="宋体" w:hAnsi="宋体"/>
          <w:szCs w:val="22"/>
        </w:rPr>
        <w:t>（十四）基金投资资产支持证券的信息披露</w:t>
      </w:r>
    </w:p>
    <w:p w14:paraId="6069C4BF">
      <w:pPr>
        <w:snapToGrid w:val="0"/>
        <w:spacing w:line="360" w:lineRule="auto"/>
        <w:ind w:firstLine="420" w:firstLineChars="200"/>
        <w:rPr>
          <w:rFonts w:hint="eastAsia" w:ascii="宋体" w:hAnsi="宋体"/>
          <w:szCs w:val="22"/>
        </w:rPr>
      </w:pPr>
      <w:r>
        <w:rPr>
          <w:rFonts w:hint="eastAsia" w:ascii="宋体" w:hAnsi="宋体"/>
          <w:szCs w:val="22"/>
        </w:rPr>
        <w:t>本基金投资资产支持证券的，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14:paraId="12A12472">
      <w:pPr>
        <w:snapToGrid w:val="0"/>
        <w:spacing w:line="360" w:lineRule="auto"/>
        <w:ind w:firstLine="420" w:firstLineChars="200"/>
        <w:rPr>
          <w:rFonts w:hint="eastAsia" w:ascii="宋体" w:hAnsi="宋体"/>
          <w:szCs w:val="22"/>
        </w:rPr>
      </w:pPr>
      <w:r>
        <w:rPr>
          <w:rFonts w:hint="eastAsia" w:ascii="宋体" w:hAnsi="宋体"/>
          <w:szCs w:val="22"/>
        </w:rPr>
        <w:t>（十五）基金参与股票期权交易的信息披露</w:t>
      </w:r>
    </w:p>
    <w:p w14:paraId="1B1E17ED">
      <w:pPr>
        <w:snapToGrid w:val="0"/>
        <w:spacing w:line="360" w:lineRule="auto"/>
        <w:ind w:firstLine="420" w:firstLineChars="200"/>
        <w:rPr>
          <w:rFonts w:hint="eastAsia" w:ascii="宋体" w:hAnsi="宋体"/>
          <w:szCs w:val="22"/>
        </w:rPr>
      </w:pPr>
      <w:r>
        <w:rPr>
          <w:rFonts w:hint="eastAsia" w:ascii="宋体" w:hAnsi="宋体"/>
          <w:szCs w:val="22"/>
        </w:rPr>
        <w:t>基金管理人应当在基金季度报告、基金中期报告、基金年度报告等定期报告和招募说明书（更新）等文件中披露股票期权交易情况，包括交易政策、持仓情况、损益情况、风险指标、估值方法等，并充分揭示股票期权交易对基金总体风险的影响以及是否符合既定的投资政策和投资目标等。</w:t>
      </w:r>
    </w:p>
    <w:p w14:paraId="2CBF095C">
      <w:pPr>
        <w:snapToGrid w:val="0"/>
        <w:spacing w:line="360" w:lineRule="auto"/>
        <w:ind w:firstLine="420" w:firstLineChars="200"/>
        <w:rPr>
          <w:rFonts w:hint="eastAsia" w:ascii="宋体" w:hAnsi="宋体"/>
          <w:szCs w:val="22"/>
        </w:rPr>
      </w:pPr>
      <w:r>
        <w:rPr>
          <w:rFonts w:hint="eastAsia" w:ascii="宋体" w:hAnsi="宋体"/>
          <w:szCs w:val="22"/>
        </w:rPr>
        <w:t>（十六）基金参与股指期货、国债期货交易的信息披露</w:t>
      </w:r>
    </w:p>
    <w:p w14:paraId="645EB2FF">
      <w:pPr>
        <w:snapToGrid w:val="0"/>
        <w:spacing w:line="360" w:lineRule="auto"/>
        <w:ind w:firstLine="420" w:firstLineChars="200"/>
        <w:rPr>
          <w:rFonts w:hint="eastAsia" w:ascii="宋体" w:hAnsi="宋体"/>
          <w:szCs w:val="22"/>
        </w:rPr>
      </w:pPr>
      <w:r>
        <w:rPr>
          <w:rFonts w:hint="eastAsia" w:ascii="宋体" w:hAnsi="宋体"/>
          <w:szCs w:val="22"/>
        </w:rPr>
        <w:t>基金管理人应当在基金季度报告、基金中期报告、基金年度报告等定期报告和招募说明书（更新）等文件中披露股指期货、国债期货交易情况，包括交易政策、持仓情况、损益情况、风险指标等，并充分揭示股指期货、国债期货交易对基金总体风险的影响以及是否符合既定的交易政策和交易目标等。</w:t>
      </w:r>
    </w:p>
    <w:p w14:paraId="2ECC96ED">
      <w:pPr>
        <w:snapToGrid w:val="0"/>
        <w:spacing w:line="360" w:lineRule="auto"/>
        <w:ind w:firstLine="420" w:firstLineChars="200"/>
        <w:rPr>
          <w:rFonts w:hint="eastAsia" w:ascii="宋体" w:hAnsi="宋体"/>
          <w:szCs w:val="22"/>
        </w:rPr>
      </w:pPr>
      <w:r>
        <w:rPr>
          <w:rFonts w:hint="eastAsia" w:ascii="宋体" w:hAnsi="宋体"/>
          <w:szCs w:val="22"/>
        </w:rPr>
        <w:t>（十七）基金参与融资和转融通证券出借业务的信息披露</w:t>
      </w:r>
    </w:p>
    <w:p w14:paraId="459983DE">
      <w:pPr>
        <w:snapToGrid w:val="0"/>
        <w:spacing w:line="360" w:lineRule="auto"/>
        <w:ind w:firstLine="420" w:firstLineChars="200"/>
        <w:rPr>
          <w:rFonts w:hint="eastAsia" w:ascii="宋体" w:hAnsi="宋体"/>
          <w:szCs w:val="22"/>
        </w:rPr>
      </w:pPr>
      <w:r>
        <w:rPr>
          <w:rFonts w:hint="eastAsia" w:ascii="宋体" w:hAnsi="宋体"/>
          <w:szCs w:val="22"/>
        </w:rPr>
        <w:t>本基金参与融资和转融通证券出借业务的，基金管理人应当在季度报告、中期报告、年度报告等定期报告和招募说明书（更新）等文件中披露参与融资和转融通证券出借业务情况，包括投资策略、业务开展情况、损益情况、风险及其管理情况等，并就转融通证券出借业务在报告期内发生的重大关联交易事项做详细说明。</w:t>
      </w:r>
    </w:p>
    <w:p w14:paraId="39303F01">
      <w:pPr>
        <w:snapToGrid w:val="0"/>
        <w:spacing w:line="360" w:lineRule="auto"/>
        <w:ind w:firstLine="420" w:firstLineChars="200"/>
        <w:rPr>
          <w:rFonts w:hint="eastAsia" w:ascii="宋体" w:hAnsi="宋体"/>
          <w:szCs w:val="22"/>
        </w:rPr>
      </w:pPr>
      <w:r>
        <w:rPr>
          <w:rFonts w:hint="eastAsia" w:ascii="宋体" w:hAnsi="宋体"/>
          <w:szCs w:val="22"/>
        </w:rPr>
        <w:t>（十八）中国证监会规定的其他信息</w:t>
      </w:r>
    </w:p>
    <w:p w14:paraId="0298D7D5">
      <w:pPr>
        <w:snapToGrid w:val="0"/>
        <w:spacing w:line="360" w:lineRule="auto"/>
        <w:ind w:firstLine="420" w:firstLineChars="200"/>
        <w:rPr>
          <w:rFonts w:hint="eastAsia" w:ascii="宋体" w:hAnsi="宋体"/>
          <w:szCs w:val="22"/>
        </w:rPr>
      </w:pPr>
      <w:r>
        <w:rPr>
          <w:rFonts w:hint="eastAsia" w:ascii="宋体" w:hAnsi="宋体"/>
          <w:szCs w:val="22"/>
        </w:rPr>
        <w:t>六、信息披露事务管理</w:t>
      </w:r>
    </w:p>
    <w:p w14:paraId="3503C2AC">
      <w:pPr>
        <w:snapToGrid w:val="0"/>
        <w:spacing w:line="360" w:lineRule="auto"/>
        <w:ind w:firstLine="420" w:firstLineChars="200"/>
        <w:rPr>
          <w:rFonts w:hint="eastAsia" w:ascii="宋体" w:hAnsi="宋体"/>
          <w:szCs w:val="22"/>
        </w:rPr>
      </w:pPr>
      <w:r>
        <w:rPr>
          <w:rFonts w:hint="eastAsia" w:ascii="宋体" w:hAnsi="宋体"/>
          <w:szCs w:val="22"/>
        </w:rPr>
        <w:t>基金管理人、基金托管人应当建立健全信息披露管理制度，指定专门部门及高级管理人员负责管理信息披露事务。</w:t>
      </w:r>
    </w:p>
    <w:p w14:paraId="3D09B619">
      <w:pPr>
        <w:snapToGrid w:val="0"/>
        <w:spacing w:line="360" w:lineRule="auto"/>
        <w:ind w:firstLine="420" w:firstLineChars="200"/>
        <w:rPr>
          <w:rFonts w:hint="eastAsia" w:ascii="宋体" w:hAnsi="宋体"/>
          <w:szCs w:val="22"/>
        </w:rPr>
      </w:pPr>
      <w:r>
        <w:rPr>
          <w:rFonts w:hint="eastAsia" w:ascii="宋体" w:hAnsi="宋体"/>
          <w:szCs w:val="22"/>
        </w:rPr>
        <w:t>基金信息披露义务人公开披露基金信息，应当符合中国证监会相关基金信息披露内容与格式准则等法规以及证券交易所的自律管理规则的规定。</w:t>
      </w:r>
    </w:p>
    <w:p w14:paraId="0518ABAA">
      <w:pPr>
        <w:snapToGrid w:val="0"/>
        <w:spacing w:line="360" w:lineRule="auto"/>
        <w:ind w:firstLine="420" w:firstLineChars="200"/>
        <w:rPr>
          <w:rFonts w:hint="eastAsia" w:ascii="宋体" w:hAnsi="宋体"/>
          <w:szCs w:val="22"/>
        </w:rPr>
      </w:pPr>
      <w:r>
        <w:rPr>
          <w:rFonts w:hint="eastAsia" w:ascii="宋体" w:hAnsi="宋体"/>
          <w:szCs w:val="22"/>
        </w:rPr>
        <w:t>基金托管人应当按照相关法律法规、中国证监会的规定和基金合同的约定，对基金管理人编制的基金资产净值、基金份额净值、申购对价、赎回对价、基金定期报告、更新的招募说明书、基金产品资料概要、基金清算报告等公开披露的相关基金信息进行复核、审查，并向基金管理人进行书面或电子确认。</w:t>
      </w:r>
    </w:p>
    <w:p w14:paraId="04A262D4">
      <w:pPr>
        <w:snapToGrid w:val="0"/>
        <w:spacing w:line="360" w:lineRule="auto"/>
        <w:ind w:firstLine="420" w:firstLineChars="200"/>
        <w:rPr>
          <w:rFonts w:hint="eastAsia" w:ascii="宋体" w:hAnsi="宋体"/>
          <w:szCs w:val="22"/>
        </w:rPr>
      </w:pPr>
      <w:r>
        <w:rPr>
          <w:rFonts w:hint="eastAsia" w:ascii="宋体" w:hAnsi="宋体"/>
          <w:szCs w:val="22"/>
        </w:rPr>
        <w:t>基金管理人、基金托管人应当在规定媒介中选择一家披露信息的媒介。基金管理人、基金托管人应当向中国证监会基金电子披露网站报送拟披露的基金信息，并保证相关报送信息的真实、准确、完整、及时。</w:t>
      </w:r>
    </w:p>
    <w:p w14:paraId="640F83F9">
      <w:pPr>
        <w:snapToGrid w:val="0"/>
        <w:spacing w:line="360" w:lineRule="auto"/>
        <w:ind w:firstLine="420" w:firstLineChars="200"/>
        <w:rPr>
          <w:rFonts w:hint="eastAsia" w:ascii="宋体" w:hAnsi="宋体"/>
          <w:szCs w:val="22"/>
        </w:rPr>
      </w:pPr>
      <w:r>
        <w:rPr>
          <w:rFonts w:hint="eastAsia" w:ascii="宋体" w:hAnsi="宋体"/>
          <w:szCs w:val="22"/>
        </w:rPr>
        <w:t>基金管理人、基金托管人除依法在规定媒介上披露信息外，还可以根据需要在其他公共媒介披露信息，但是其他公共媒介不得早于规定媒介和基金上市交易的证券交易所网站披露信息，并且在不同媒介上披露同一信息的内容应当一致。</w:t>
      </w:r>
    </w:p>
    <w:p w14:paraId="1BB54BA1">
      <w:pPr>
        <w:snapToGrid w:val="0"/>
        <w:spacing w:line="360" w:lineRule="auto"/>
        <w:ind w:firstLine="420" w:firstLineChars="200"/>
        <w:rPr>
          <w:rFonts w:hint="eastAsia" w:ascii="宋体" w:hAnsi="宋体"/>
          <w:szCs w:val="22"/>
        </w:rPr>
      </w:pPr>
      <w:r>
        <w:rPr>
          <w:rFonts w:hint="eastAsia" w:ascii="宋体" w:hAnsi="宋体"/>
          <w:szCs w:val="22"/>
        </w:rPr>
        <w:t>为基金信息披露义务人公开披露的基金信息出具审计报告、法律意见书的专业机构，应当制作工作底稿，并将相关档案至少保存到《基金合同》终止后10年。</w:t>
      </w:r>
    </w:p>
    <w:p w14:paraId="31280371">
      <w:pPr>
        <w:snapToGrid w:val="0"/>
        <w:spacing w:line="360" w:lineRule="auto"/>
        <w:ind w:firstLine="420" w:firstLineChars="200"/>
        <w:rPr>
          <w:rFonts w:hint="eastAsia" w:ascii="宋体" w:hAnsi="宋体"/>
          <w:szCs w:val="22"/>
        </w:rPr>
      </w:pPr>
      <w:r>
        <w:rPr>
          <w:rFonts w:hint="eastAsia" w:ascii="宋体" w:hAnsi="宋体"/>
          <w:szCs w:val="22"/>
        </w:rPr>
        <w:t>七、信息披露文件的存放与查阅</w:t>
      </w:r>
    </w:p>
    <w:p w14:paraId="4DCB713F">
      <w:pPr>
        <w:snapToGrid w:val="0"/>
        <w:spacing w:line="360" w:lineRule="auto"/>
        <w:ind w:firstLine="420" w:firstLineChars="200"/>
        <w:rPr>
          <w:rFonts w:hint="eastAsia" w:ascii="宋体" w:hAnsi="宋体"/>
          <w:szCs w:val="22"/>
        </w:rPr>
      </w:pPr>
      <w:r>
        <w:rPr>
          <w:rFonts w:hint="eastAsia" w:ascii="宋体" w:hAnsi="宋体"/>
          <w:szCs w:val="22"/>
        </w:rPr>
        <w:t>依法必须披露的信息发布后，基金管理人、基金托管人应当按照相关法律法规规定将信息置备于各自住所和基金上市交易的证券交易所，供社会公众查阅、复制。</w:t>
      </w:r>
    </w:p>
    <w:p w14:paraId="667C85A1">
      <w:pPr>
        <w:snapToGrid w:val="0"/>
        <w:spacing w:line="360" w:lineRule="auto"/>
        <w:ind w:firstLine="420" w:firstLineChars="200"/>
        <w:rPr>
          <w:rFonts w:hint="eastAsia" w:ascii="宋体" w:hAnsi="宋体"/>
          <w:szCs w:val="22"/>
        </w:rPr>
      </w:pPr>
      <w:r>
        <w:rPr>
          <w:rFonts w:hint="eastAsia" w:ascii="宋体" w:hAnsi="宋体"/>
          <w:szCs w:val="22"/>
        </w:rPr>
        <w:t>八、暂停或延迟披露基金相关信息的情形</w:t>
      </w:r>
    </w:p>
    <w:p w14:paraId="7981D78A">
      <w:pPr>
        <w:snapToGrid w:val="0"/>
        <w:spacing w:line="360" w:lineRule="auto"/>
        <w:ind w:firstLine="420" w:firstLineChars="200"/>
        <w:rPr>
          <w:rFonts w:hint="eastAsia" w:ascii="宋体" w:hAnsi="宋体"/>
          <w:szCs w:val="22"/>
        </w:rPr>
      </w:pPr>
      <w:r>
        <w:rPr>
          <w:rFonts w:hint="eastAsia" w:ascii="宋体" w:hAnsi="宋体"/>
          <w:szCs w:val="22"/>
        </w:rPr>
        <w:t>当出现下述情况时，基金管理人和基金托管人可暂停或延迟披露基金相关信息：</w:t>
      </w:r>
    </w:p>
    <w:p w14:paraId="3470DB32">
      <w:pPr>
        <w:snapToGrid w:val="0"/>
        <w:spacing w:line="360" w:lineRule="auto"/>
        <w:ind w:firstLine="420" w:firstLineChars="200"/>
        <w:rPr>
          <w:rFonts w:hint="eastAsia" w:ascii="宋体" w:hAnsi="宋体"/>
          <w:szCs w:val="22"/>
        </w:rPr>
      </w:pPr>
      <w:r>
        <w:rPr>
          <w:rFonts w:hint="eastAsia" w:ascii="宋体" w:hAnsi="宋体"/>
          <w:szCs w:val="22"/>
        </w:rPr>
        <w:t>1、不可抗力；</w:t>
      </w:r>
    </w:p>
    <w:p w14:paraId="432D7BA8">
      <w:pPr>
        <w:snapToGrid w:val="0"/>
        <w:spacing w:line="360" w:lineRule="auto"/>
        <w:ind w:firstLine="420" w:firstLineChars="200"/>
        <w:rPr>
          <w:rFonts w:hint="eastAsia" w:ascii="宋体" w:hAnsi="宋体"/>
          <w:szCs w:val="22"/>
        </w:rPr>
      </w:pPr>
      <w:r>
        <w:rPr>
          <w:rFonts w:ascii="宋体" w:hAnsi="宋体"/>
          <w:szCs w:val="22"/>
        </w:rPr>
        <w:t>2</w:t>
      </w:r>
      <w:r>
        <w:rPr>
          <w:rFonts w:hint="eastAsia" w:ascii="宋体" w:hAnsi="宋体"/>
          <w:szCs w:val="22"/>
        </w:rPr>
        <w:t>、发生暂停基金估值的情形时；</w:t>
      </w:r>
    </w:p>
    <w:p w14:paraId="6EF0813B">
      <w:pPr>
        <w:snapToGrid w:val="0"/>
        <w:spacing w:line="360" w:lineRule="auto"/>
        <w:ind w:firstLine="420" w:firstLineChars="200"/>
        <w:rPr>
          <w:rFonts w:hint="eastAsia" w:ascii="宋体" w:hAnsi="宋体"/>
          <w:szCs w:val="22"/>
        </w:rPr>
        <w:sectPr>
          <w:footerReference r:id="rId39" w:type="first"/>
          <w:footerReference r:id="rId38" w:type="default"/>
          <w:pgSz w:w="11906" w:h="16838"/>
          <w:pgMar w:top="1440" w:right="1800" w:bottom="1440" w:left="1800" w:header="851" w:footer="992" w:gutter="0"/>
          <w:cols w:space="720" w:num="1"/>
          <w:titlePg/>
          <w:docGrid w:type="lines" w:linePitch="312" w:charSpace="0"/>
        </w:sectPr>
      </w:pPr>
      <w:r>
        <w:rPr>
          <w:rFonts w:ascii="宋体" w:hAnsi="宋体"/>
          <w:szCs w:val="22"/>
        </w:rPr>
        <w:t>3</w:t>
      </w:r>
      <w:r>
        <w:rPr>
          <w:rFonts w:hint="eastAsia" w:ascii="宋体" w:hAnsi="宋体"/>
          <w:szCs w:val="22"/>
        </w:rPr>
        <w:t>、法律法规规定、中国证监会和基金合同认定的其它情形。</w:t>
      </w:r>
    </w:p>
    <w:p w14:paraId="35585BE0">
      <w:pPr>
        <w:pStyle w:val="2"/>
        <w:snapToGrid w:val="0"/>
        <w:spacing w:before="0" w:after="0" w:line="360" w:lineRule="auto"/>
        <w:ind w:firstLine="141" w:firstLineChars="50"/>
        <w:rPr>
          <w:rFonts w:hint="eastAsia" w:hAnsi="宋体" w:eastAsia="宋体" w:cs="Arial"/>
          <w:b/>
          <w:bCs/>
          <w:sz w:val="28"/>
          <w:szCs w:val="28"/>
        </w:rPr>
      </w:pPr>
      <w:bookmarkStart w:id="148" w:name="_Toc16346"/>
      <w:r>
        <w:rPr>
          <w:rFonts w:hAnsi="宋体" w:eastAsia="宋体" w:cs="Arial"/>
          <w:b/>
          <w:bCs/>
          <w:sz w:val="28"/>
          <w:szCs w:val="28"/>
        </w:rPr>
        <w:t>第十</w:t>
      </w:r>
      <w:bookmarkStart w:id="149" w:name="_Toc50661138"/>
      <w:r>
        <w:rPr>
          <w:rFonts w:hint="eastAsia" w:hAnsi="宋体" w:eastAsia="宋体" w:cs="Arial"/>
          <w:b/>
          <w:bCs/>
          <w:sz w:val="28"/>
          <w:szCs w:val="28"/>
        </w:rPr>
        <w:t>八</w:t>
      </w:r>
      <w:r>
        <w:rPr>
          <w:rFonts w:hAnsi="宋体" w:eastAsia="宋体" w:cs="Arial"/>
          <w:b/>
          <w:bCs/>
          <w:sz w:val="28"/>
          <w:szCs w:val="28"/>
        </w:rPr>
        <w:t>部分  风险揭示</w:t>
      </w:r>
      <w:bookmarkEnd w:id="144"/>
      <w:bookmarkEnd w:id="145"/>
      <w:bookmarkEnd w:id="146"/>
      <w:bookmarkEnd w:id="147"/>
      <w:bookmarkEnd w:id="148"/>
      <w:bookmarkEnd w:id="149"/>
    </w:p>
    <w:p w14:paraId="28035CA8">
      <w:pPr>
        <w:adjustRightInd w:val="0"/>
        <w:snapToGrid w:val="0"/>
        <w:spacing w:line="360" w:lineRule="auto"/>
        <w:ind w:firstLine="420"/>
        <w:rPr>
          <w:rFonts w:hint="eastAsia" w:ascii="宋体" w:hAnsi="宋体" w:cs="Arial"/>
        </w:rPr>
      </w:pPr>
      <w:bookmarkStart w:id="150" w:name="_Toc454717524"/>
      <w:bookmarkStart w:id="151" w:name="_Toc520693803"/>
      <w:bookmarkStart w:id="152" w:name="_Toc524923235"/>
      <w:bookmarkStart w:id="153" w:name="_Toc520693901"/>
      <w:bookmarkStart w:id="154" w:name="_Toc214873606"/>
      <w:r>
        <w:rPr>
          <w:rFonts w:ascii="宋体" w:hAnsi="宋体" w:cs="Arial"/>
        </w:rPr>
        <w:t>本基金管理人在总结、借鉴</w:t>
      </w:r>
      <w:r>
        <w:rPr>
          <w:rFonts w:hint="eastAsia" w:ascii="宋体" w:hAnsi="宋体" w:cs="Arial"/>
        </w:rPr>
        <w:t>基金管理人</w:t>
      </w:r>
      <w:r>
        <w:rPr>
          <w:rFonts w:ascii="宋体" w:hAnsi="宋体" w:cs="Arial"/>
        </w:rPr>
        <w:t>旗下已有开放式基金</w:t>
      </w:r>
      <w:r>
        <w:rPr>
          <w:rFonts w:hint="eastAsia" w:ascii="宋体" w:hAnsi="宋体" w:cs="Arial"/>
        </w:rPr>
        <w:t>（包括ETF基金）</w:t>
      </w:r>
      <w:r>
        <w:rPr>
          <w:rFonts w:ascii="宋体" w:hAnsi="宋体" w:cs="Arial"/>
        </w:rPr>
        <w:t>风险管理成熟经验的基础上，针对本基金的特点，确立科学的风险管理理念，建立相应的风险管理体系，对本基金整个投资过程进行有效的风险监控，为基金</w:t>
      </w:r>
      <w:r>
        <w:rPr>
          <w:rFonts w:hint="eastAsia" w:ascii="宋体" w:hAnsi="宋体" w:cs="Arial"/>
        </w:rPr>
        <w:t>份额</w:t>
      </w:r>
      <w:r>
        <w:rPr>
          <w:rFonts w:ascii="宋体" w:hAnsi="宋体" w:cs="Arial"/>
        </w:rPr>
        <w:t>持有人谋取标的指数所表征的市场平均水平的投资收益。</w:t>
      </w:r>
    </w:p>
    <w:p w14:paraId="2A1DA810">
      <w:pPr>
        <w:adjustRightInd w:val="0"/>
        <w:snapToGrid w:val="0"/>
        <w:spacing w:line="360" w:lineRule="auto"/>
        <w:ind w:firstLine="420"/>
        <w:rPr>
          <w:rFonts w:hint="eastAsia" w:ascii="宋体" w:hAnsi="宋体" w:cs="Arial"/>
        </w:rPr>
      </w:pPr>
      <w:r>
        <w:rPr>
          <w:rFonts w:ascii="宋体" w:hAnsi="宋体" w:cs="Arial"/>
        </w:rPr>
        <w:t>投资于本基金的主要风险</w:t>
      </w:r>
      <w:r>
        <w:rPr>
          <w:rFonts w:hint="eastAsia" w:ascii="宋体" w:hAnsi="宋体" w:cs="Arial"/>
        </w:rPr>
        <w:t>包括以下几个方面：</w:t>
      </w:r>
    </w:p>
    <w:p w14:paraId="0A581490">
      <w:pPr>
        <w:numPr>
          <w:ilvl w:val="0"/>
          <w:numId w:val="10"/>
        </w:numPr>
        <w:tabs>
          <w:tab w:val="left" w:pos="851"/>
          <w:tab w:val="left" w:pos="1134"/>
        </w:tabs>
        <w:adjustRightInd w:val="0"/>
        <w:snapToGrid w:val="0"/>
        <w:spacing w:line="360" w:lineRule="auto"/>
        <w:ind w:left="0" w:firstLine="426"/>
        <w:outlineLvl w:val="0"/>
        <w:rPr>
          <w:rFonts w:hint="eastAsia" w:ascii="宋体" w:hAnsi="宋体" w:cs="Arial"/>
          <w:b/>
        </w:rPr>
      </w:pPr>
      <w:bookmarkStart w:id="155" w:name="_Toc293495053"/>
      <w:r>
        <w:rPr>
          <w:rFonts w:ascii="宋体" w:hAnsi="宋体" w:cs="Arial"/>
          <w:b/>
        </w:rPr>
        <w:t>标的指数回报与股票市场平均回报偏离的风险</w:t>
      </w:r>
      <w:bookmarkEnd w:id="155"/>
      <w:r>
        <w:rPr>
          <w:rFonts w:ascii="宋体" w:hAnsi="宋体" w:cs="Arial"/>
          <w:b/>
        </w:rPr>
        <w:t xml:space="preserve"> </w:t>
      </w:r>
    </w:p>
    <w:p w14:paraId="65C2D415">
      <w:pPr>
        <w:adjustRightInd w:val="0"/>
        <w:snapToGrid w:val="0"/>
        <w:spacing w:line="360" w:lineRule="auto"/>
        <w:ind w:firstLine="426"/>
        <w:rPr>
          <w:rFonts w:hint="eastAsia" w:ascii="宋体" w:hAnsi="宋体" w:cs="Arial"/>
        </w:rPr>
      </w:pPr>
      <w:r>
        <w:rPr>
          <w:rFonts w:ascii="宋体" w:hAnsi="宋体" w:cs="Arial"/>
        </w:rPr>
        <w:t xml:space="preserve">标的指数并不能完全代表整个股票市场。标的指数成份股的平均回报率与整个股票市场的平均回报率可能存在偏离。 </w:t>
      </w:r>
    </w:p>
    <w:p w14:paraId="138740E3">
      <w:pPr>
        <w:numPr>
          <w:ilvl w:val="0"/>
          <w:numId w:val="10"/>
        </w:numPr>
        <w:tabs>
          <w:tab w:val="left" w:pos="851"/>
          <w:tab w:val="left" w:pos="1134"/>
        </w:tabs>
        <w:adjustRightInd w:val="0"/>
        <w:snapToGrid w:val="0"/>
        <w:spacing w:line="360" w:lineRule="auto"/>
        <w:ind w:left="0" w:firstLine="426"/>
        <w:outlineLvl w:val="0"/>
        <w:rPr>
          <w:rFonts w:hint="eastAsia" w:ascii="宋体" w:hAnsi="宋体" w:cs="Arial"/>
          <w:b/>
        </w:rPr>
      </w:pPr>
      <w:bookmarkStart w:id="156" w:name="_Toc293495054"/>
      <w:r>
        <w:rPr>
          <w:rFonts w:ascii="宋体" w:hAnsi="宋体" w:cs="Arial"/>
          <w:b/>
        </w:rPr>
        <w:t>标的指数波动的风险</w:t>
      </w:r>
      <w:bookmarkEnd w:id="156"/>
      <w:r>
        <w:rPr>
          <w:rFonts w:ascii="宋体" w:hAnsi="宋体" w:cs="Arial"/>
          <w:b/>
        </w:rPr>
        <w:t xml:space="preserve"> </w:t>
      </w:r>
    </w:p>
    <w:p w14:paraId="4A531D97">
      <w:pPr>
        <w:adjustRightInd w:val="0"/>
        <w:snapToGrid w:val="0"/>
        <w:spacing w:line="360" w:lineRule="auto"/>
        <w:ind w:firstLine="426"/>
        <w:rPr>
          <w:rFonts w:hint="eastAsia" w:ascii="宋体" w:hAnsi="宋体" w:cs="Arial"/>
        </w:rPr>
      </w:pPr>
      <w:r>
        <w:rPr>
          <w:rFonts w:ascii="宋体" w:hAnsi="宋体" w:cs="Arial"/>
        </w:rPr>
        <w:t xml:space="preserve">标的指数成份股的价格可能受到政治因素、经济因素、上市公司经营状况、投资人心理和交易制度等各种因素的影响而波动，导致指数波动，从而使基金收益水平发生变化，产生风险。 </w:t>
      </w:r>
    </w:p>
    <w:p w14:paraId="4ACA2608">
      <w:pPr>
        <w:numPr>
          <w:ilvl w:val="0"/>
          <w:numId w:val="10"/>
        </w:numPr>
        <w:tabs>
          <w:tab w:val="left" w:pos="851"/>
          <w:tab w:val="left" w:pos="1134"/>
        </w:tabs>
        <w:adjustRightInd w:val="0"/>
        <w:snapToGrid w:val="0"/>
        <w:spacing w:line="360" w:lineRule="auto"/>
        <w:ind w:left="0" w:firstLine="426"/>
        <w:outlineLvl w:val="0"/>
        <w:rPr>
          <w:rFonts w:hint="eastAsia" w:ascii="宋体" w:hAnsi="宋体" w:cs="Arial"/>
          <w:b/>
        </w:rPr>
      </w:pPr>
      <w:bookmarkStart w:id="157" w:name="_Toc293495055"/>
      <w:r>
        <w:rPr>
          <w:rFonts w:ascii="宋体" w:hAnsi="宋体" w:cs="Arial"/>
          <w:b/>
        </w:rPr>
        <w:t>基金投资组合回报与标的指数回报偏离的风险</w:t>
      </w:r>
      <w:bookmarkEnd w:id="157"/>
      <w:r>
        <w:rPr>
          <w:rFonts w:ascii="宋体" w:hAnsi="宋体" w:cs="Arial"/>
          <w:b/>
        </w:rPr>
        <w:t xml:space="preserve"> </w:t>
      </w:r>
    </w:p>
    <w:p w14:paraId="5A76491A">
      <w:pPr>
        <w:adjustRightInd w:val="0"/>
        <w:snapToGrid w:val="0"/>
        <w:spacing w:line="360" w:lineRule="auto"/>
        <w:ind w:firstLine="426"/>
        <w:rPr>
          <w:rFonts w:hint="eastAsia" w:ascii="宋体" w:hAnsi="宋体" w:cs="Arial"/>
        </w:rPr>
      </w:pPr>
      <w:r>
        <w:rPr>
          <w:rFonts w:ascii="宋体" w:hAnsi="宋体" w:cs="Arial"/>
        </w:rPr>
        <w:t xml:space="preserve">以下因素可能使基金投资组合的收益率与标的指数的收益率发生偏离： </w:t>
      </w:r>
    </w:p>
    <w:p w14:paraId="46839BCE">
      <w:pPr>
        <w:adjustRightInd w:val="0"/>
        <w:snapToGrid w:val="0"/>
        <w:spacing w:line="360" w:lineRule="auto"/>
        <w:ind w:firstLine="426"/>
        <w:rPr>
          <w:rFonts w:hint="eastAsia" w:ascii="宋体" w:hAnsi="宋体" w:cs="Arial"/>
        </w:rPr>
      </w:pPr>
      <w:r>
        <w:rPr>
          <w:rFonts w:hint="eastAsia" w:ascii="宋体" w:hAnsi="宋体" w:cs="Arial"/>
        </w:rPr>
        <w:t>1、</w:t>
      </w:r>
      <w:r>
        <w:rPr>
          <w:rFonts w:ascii="宋体" w:hAnsi="宋体" w:cs="Arial"/>
        </w:rPr>
        <w:t xml:space="preserve">由于标的指数调整成份股或变更编制方法，使本基金在相应的组合调整中产生跟踪偏离度与跟踪误差。 </w:t>
      </w:r>
    </w:p>
    <w:p w14:paraId="44836FD5">
      <w:pPr>
        <w:adjustRightInd w:val="0"/>
        <w:snapToGrid w:val="0"/>
        <w:spacing w:line="360" w:lineRule="auto"/>
        <w:ind w:firstLine="426"/>
        <w:rPr>
          <w:rFonts w:hint="eastAsia" w:ascii="宋体" w:hAnsi="宋体" w:cs="Arial"/>
        </w:rPr>
      </w:pPr>
      <w:r>
        <w:rPr>
          <w:rFonts w:hint="eastAsia" w:ascii="宋体" w:hAnsi="宋体" w:cs="Arial"/>
        </w:rPr>
        <w:t>2、</w:t>
      </w:r>
      <w:r>
        <w:rPr>
          <w:rFonts w:ascii="宋体" w:hAnsi="宋体" w:cs="Arial"/>
        </w:rPr>
        <w:t xml:space="preserve">由于标的指数成份股发生送配股、增发等行为导致成份股在标的指数中的权重发生变化，使本基金在相应的组合调整中产生跟踪偏离度和跟踪误差。 </w:t>
      </w:r>
    </w:p>
    <w:p w14:paraId="59EE4AAC">
      <w:pPr>
        <w:adjustRightInd w:val="0"/>
        <w:snapToGrid w:val="0"/>
        <w:spacing w:line="360" w:lineRule="auto"/>
        <w:ind w:firstLine="426"/>
        <w:rPr>
          <w:rFonts w:hint="eastAsia" w:ascii="宋体" w:hAnsi="宋体" w:cs="Arial"/>
        </w:rPr>
      </w:pPr>
      <w:r>
        <w:rPr>
          <w:rFonts w:hint="eastAsia" w:ascii="宋体" w:hAnsi="宋体" w:cs="Arial"/>
        </w:rPr>
        <w:t>3、</w:t>
      </w:r>
      <w:r>
        <w:rPr>
          <w:rFonts w:ascii="宋体" w:hAnsi="宋体" w:cs="Arial"/>
        </w:rPr>
        <w:t xml:space="preserve">成份股派发现金红利、成份股增发、送配等所获收益可能导致基金收益率偏离标的指数收益率，从而产生跟踪偏离度。 </w:t>
      </w:r>
    </w:p>
    <w:p w14:paraId="30E117B2">
      <w:pPr>
        <w:adjustRightInd w:val="0"/>
        <w:snapToGrid w:val="0"/>
        <w:spacing w:line="360" w:lineRule="auto"/>
        <w:ind w:firstLine="426"/>
        <w:rPr>
          <w:rFonts w:hint="eastAsia" w:ascii="宋体" w:hAnsi="宋体" w:cs="Arial"/>
        </w:rPr>
      </w:pPr>
      <w:r>
        <w:rPr>
          <w:rFonts w:hint="eastAsia" w:ascii="宋体" w:hAnsi="宋体" w:cs="Arial"/>
        </w:rPr>
        <w:t>4、</w:t>
      </w:r>
      <w:r>
        <w:rPr>
          <w:rFonts w:ascii="宋体" w:hAnsi="宋体" w:cs="Arial"/>
        </w:rPr>
        <w:t xml:space="preserve">由于成份股停牌、摘牌或流动性差等原因使本基金无法及时调整投资组合或承担冲击成本而产生跟踪偏离度和跟踪误差。 </w:t>
      </w:r>
    </w:p>
    <w:p w14:paraId="746509AF">
      <w:pPr>
        <w:adjustRightInd w:val="0"/>
        <w:snapToGrid w:val="0"/>
        <w:spacing w:line="360" w:lineRule="auto"/>
        <w:ind w:firstLine="426"/>
        <w:rPr>
          <w:rFonts w:hint="eastAsia" w:ascii="宋体" w:hAnsi="宋体" w:cs="Arial"/>
        </w:rPr>
      </w:pPr>
      <w:r>
        <w:rPr>
          <w:rFonts w:hint="eastAsia" w:ascii="宋体" w:hAnsi="宋体" w:cs="Arial"/>
        </w:rPr>
        <w:t>5、</w:t>
      </w:r>
      <w:r>
        <w:rPr>
          <w:rFonts w:ascii="宋体" w:hAnsi="宋体" w:cs="Arial"/>
        </w:rPr>
        <w:t>由于基金投资过程中的证券交易成本，以及基金管理费和托管费等费</w:t>
      </w:r>
      <w:r>
        <w:rPr>
          <w:rFonts w:hint="eastAsia" w:ascii="宋体" w:hAnsi="宋体" w:cs="Arial"/>
        </w:rPr>
        <w:t>用</w:t>
      </w:r>
      <w:r>
        <w:rPr>
          <w:rFonts w:ascii="宋体" w:hAnsi="宋体" w:cs="Arial"/>
        </w:rPr>
        <w:t xml:space="preserve">的存在，使基金投资组合与标的指数产生跟踪偏离度与跟踪误差。 </w:t>
      </w:r>
    </w:p>
    <w:p w14:paraId="7C566E59">
      <w:pPr>
        <w:adjustRightInd w:val="0"/>
        <w:snapToGrid w:val="0"/>
        <w:spacing w:line="360" w:lineRule="auto"/>
        <w:ind w:firstLine="426"/>
        <w:rPr>
          <w:rFonts w:hint="eastAsia" w:ascii="宋体" w:hAnsi="宋体" w:cs="Arial"/>
        </w:rPr>
      </w:pPr>
      <w:r>
        <w:rPr>
          <w:rFonts w:hint="eastAsia" w:ascii="宋体" w:hAnsi="宋体" w:cs="Arial"/>
        </w:rPr>
        <w:t>6、</w:t>
      </w:r>
      <w:r>
        <w:rPr>
          <w:rFonts w:ascii="宋体" w:hAnsi="宋体" w:cs="Arial"/>
        </w:rPr>
        <w:t xml:space="preserve">在本基金指数化投资过程中，基金管理人的管理能力，例如跟踪指数的水平、技术手段、买入卖出的时机选择等，都会对本基金的收益产生影响，从而影响本基金对标的指数的跟踪程度。 </w:t>
      </w:r>
    </w:p>
    <w:p w14:paraId="3F6296DB">
      <w:pPr>
        <w:adjustRightInd w:val="0"/>
        <w:snapToGrid w:val="0"/>
        <w:spacing w:line="360" w:lineRule="auto"/>
        <w:ind w:firstLine="426"/>
        <w:rPr>
          <w:rFonts w:hint="eastAsia" w:ascii="宋体" w:hAnsi="宋体" w:cs="Arial"/>
        </w:rPr>
      </w:pPr>
      <w:r>
        <w:rPr>
          <w:rFonts w:hint="eastAsia" w:ascii="宋体" w:hAnsi="宋体" w:cs="Arial"/>
        </w:rPr>
        <w:t>7、本基金如采用抽样复制方法，相较完全复制法，有可能加大跟踪误差。</w:t>
      </w:r>
    </w:p>
    <w:p w14:paraId="5635CACA">
      <w:pPr>
        <w:adjustRightInd w:val="0"/>
        <w:snapToGrid w:val="0"/>
        <w:spacing w:line="360" w:lineRule="auto"/>
        <w:ind w:firstLine="426"/>
        <w:rPr>
          <w:rFonts w:hint="eastAsia" w:ascii="宋体" w:hAnsi="宋体" w:cs="Arial"/>
        </w:rPr>
      </w:pPr>
      <w:r>
        <w:rPr>
          <w:rFonts w:hint="eastAsia" w:ascii="宋体" w:hAnsi="宋体" w:cs="Arial"/>
        </w:rPr>
        <w:t>8、</w:t>
      </w:r>
      <w:r>
        <w:rPr>
          <w:rFonts w:ascii="宋体" w:hAnsi="宋体" w:cs="Arial"/>
        </w:rPr>
        <w:t xml:space="preserve">其他因素产生的偏离。如因受到最低买入股数的限制，基金投资组合中个别股票的持有比例与标的指数中该股票的权重可能不完全相同；因缺乏卖空、对冲机制及其他工具造成的指数跟踪成本较大；因基金申购与赎回带来的现金变动；因指数发布机构指数编制错误等，由此产生跟踪偏离度与跟踪误差。 </w:t>
      </w:r>
    </w:p>
    <w:p w14:paraId="39935C4C">
      <w:pPr>
        <w:numPr>
          <w:ilvl w:val="0"/>
          <w:numId w:val="10"/>
        </w:numPr>
        <w:tabs>
          <w:tab w:val="left" w:pos="851"/>
          <w:tab w:val="left" w:pos="1134"/>
        </w:tabs>
        <w:adjustRightInd w:val="0"/>
        <w:snapToGrid w:val="0"/>
        <w:spacing w:line="360" w:lineRule="auto"/>
        <w:ind w:left="0" w:firstLine="426"/>
        <w:outlineLvl w:val="0"/>
        <w:rPr>
          <w:rFonts w:hint="eastAsia" w:ascii="宋体" w:hAnsi="宋体" w:cs="Arial"/>
          <w:b/>
        </w:rPr>
      </w:pPr>
      <w:bookmarkStart w:id="158" w:name="_Toc293495056"/>
      <w:r>
        <w:rPr>
          <w:rFonts w:hint="eastAsia" w:ascii="宋体" w:hAnsi="宋体" w:cs="Arial"/>
          <w:b/>
        </w:rPr>
        <w:t>流动性风险</w:t>
      </w:r>
    </w:p>
    <w:p w14:paraId="5B4F3F7E">
      <w:pPr>
        <w:adjustRightInd w:val="0"/>
        <w:snapToGrid w:val="0"/>
        <w:spacing w:line="360" w:lineRule="auto"/>
        <w:ind w:firstLine="426"/>
        <w:rPr>
          <w:rFonts w:hint="eastAsia" w:ascii="宋体" w:hAnsi="宋体" w:cs="Arial"/>
        </w:rPr>
      </w:pPr>
      <w:r>
        <w:rPr>
          <w:rFonts w:ascii="宋体" w:hAnsi="宋体" w:cs="Arial"/>
        </w:rPr>
        <w:t>1</w:t>
      </w:r>
      <w:r>
        <w:rPr>
          <w:rFonts w:hint="eastAsia" w:ascii="宋体" w:hAnsi="宋体" w:cs="Arial"/>
        </w:rPr>
        <w:t>、本基金交易方式带来的流动性风险</w:t>
      </w:r>
    </w:p>
    <w:p w14:paraId="4FC997C9">
      <w:pPr>
        <w:adjustRightInd w:val="0"/>
        <w:snapToGrid w:val="0"/>
        <w:spacing w:line="360" w:lineRule="auto"/>
        <w:ind w:firstLine="426"/>
        <w:rPr>
          <w:rFonts w:hint="eastAsia" w:ascii="宋体" w:hAnsi="宋体" w:cs="Arial"/>
        </w:rPr>
      </w:pPr>
      <w:r>
        <w:rPr>
          <w:rFonts w:hint="eastAsia" w:ascii="宋体" w:hAnsi="宋体" w:cs="Arial"/>
        </w:rPr>
        <w:t>①本基金最小申购、赎回单位设置较高，中小投资者只能在二级市场上按交易价格卖出基金份额。</w:t>
      </w:r>
    </w:p>
    <w:p w14:paraId="503015BB">
      <w:pPr>
        <w:adjustRightInd w:val="0"/>
        <w:snapToGrid w:val="0"/>
        <w:spacing w:line="360" w:lineRule="auto"/>
        <w:ind w:firstLine="426"/>
        <w:rPr>
          <w:rFonts w:hint="eastAsia" w:ascii="宋体" w:hAnsi="宋体" w:cs="Arial"/>
        </w:rPr>
      </w:pPr>
      <w:r>
        <w:rPr>
          <w:rFonts w:hint="eastAsia" w:ascii="宋体" w:hAnsi="宋体" w:cs="Arial"/>
        </w:rPr>
        <w:t>②基金将在深圳证券交易所上市交易，但不保证市场交易一定活跃；基金的交易可能因各种原因</w:t>
      </w:r>
      <w:r>
        <w:rPr>
          <w:rFonts w:ascii="宋体" w:hAnsi="宋体" w:cs="Arial"/>
        </w:rPr>
        <w:t>被</w:t>
      </w:r>
      <w:r>
        <w:rPr>
          <w:rFonts w:hint="eastAsia" w:ascii="宋体" w:hAnsi="宋体" w:cs="Arial"/>
        </w:rPr>
        <w:t>暂停，当基金不再符合相关上市条件时，基金的上市也可能被终止。</w:t>
      </w:r>
    </w:p>
    <w:p w14:paraId="2F5DEE7E">
      <w:pPr>
        <w:adjustRightInd w:val="0"/>
        <w:snapToGrid w:val="0"/>
        <w:spacing w:line="360" w:lineRule="auto"/>
        <w:ind w:firstLine="426"/>
        <w:rPr>
          <w:rFonts w:hint="eastAsia" w:ascii="宋体" w:hAnsi="宋体" w:cs="Arial"/>
        </w:rPr>
      </w:pPr>
      <w:r>
        <w:rPr>
          <w:rFonts w:hint="eastAsia" w:ascii="宋体" w:hAnsi="宋体" w:cs="Arial"/>
        </w:rPr>
        <w:t>③尽管由于投资者可以进行申购、赎回，基金一般不会持续出现大幅折溢价情况。但是，基金的二级市场交易价格受市场供求的影响，可能高于（称为溢价）或低于（称为折价）基金份额净值。</w:t>
      </w:r>
    </w:p>
    <w:p w14:paraId="304B0261">
      <w:pPr>
        <w:adjustRightInd w:val="0"/>
        <w:snapToGrid w:val="0"/>
        <w:spacing w:line="360" w:lineRule="auto"/>
        <w:ind w:firstLine="426"/>
        <w:rPr>
          <w:rFonts w:hint="eastAsia" w:ascii="宋体" w:hAnsi="宋体" w:cs="Arial"/>
        </w:rPr>
      </w:pPr>
      <w:r>
        <w:rPr>
          <w:rFonts w:hint="eastAsia" w:ascii="宋体" w:hAnsi="宋体" w:cs="Arial"/>
        </w:rPr>
        <w:t>2、拟投资市场、行业及资产的流动性风险评估</w:t>
      </w:r>
    </w:p>
    <w:p w14:paraId="0B6F0DBA">
      <w:pPr>
        <w:adjustRightInd w:val="0"/>
        <w:snapToGrid w:val="0"/>
        <w:spacing w:line="360" w:lineRule="auto"/>
        <w:ind w:firstLine="426"/>
        <w:rPr>
          <w:rFonts w:hint="eastAsia" w:ascii="宋体" w:hAnsi="宋体" w:cs="Arial"/>
        </w:rPr>
      </w:pPr>
      <w:r>
        <w:rPr>
          <w:rFonts w:hint="eastAsia" w:ascii="宋体" w:hAnsi="宋体" w:cs="Arial"/>
        </w:rPr>
        <w:t>本基金投资对象是具有良好流动性的金融工具，包括国内依法发行上市的股票（包括主板、创业板及其他经中国证监会核准或注册上市的股票和存托凭证）、股指期货、国债期货、股票期权、债券、货币市场工具、债券回购、资产支持证券等。投资交易均在依法设立的正规市场中进行，所投市场和资产方面的整体流动性较高。同时，本基金通过投资限制对各类资产的投资比例、期限、评级、杠杆和集中度进行了控制，并严格控制了主动投资于流动性受限资产的比例上限，整体持仓资产的流动性风险较低。</w:t>
      </w:r>
    </w:p>
    <w:p w14:paraId="1BFEA645">
      <w:pPr>
        <w:adjustRightInd w:val="0"/>
        <w:snapToGrid w:val="0"/>
        <w:spacing w:line="360" w:lineRule="auto"/>
        <w:ind w:firstLine="426"/>
        <w:rPr>
          <w:rFonts w:hint="eastAsia" w:ascii="宋体" w:hAnsi="宋体" w:cs="Arial"/>
        </w:rPr>
      </w:pPr>
      <w:r>
        <w:rPr>
          <w:rFonts w:hint="eastAsia" w:ascii="宋体" w:hAnsi="宋体" w:cs="Arial"/>
        </w:rPr>
        <w:t>3、实施备用的流动性风险管理工具的情形、程序及对投资者的潜在影响</w:t>
      </w:r>
    </w:p>
    <w:p w14:paraId="0381E0F7">
      <w:pPr>
        <w:adjustRightInd w:val="0"/>
        <w:snapToGrid w:val="0"/>
        <w:spacing w:line="360" w:lineRule="auto"/>
        <w:ind w:firstLine="426"/>
        <w:rPr>
          <w:rFonts w:hint="eastAsia" w:ascii="宋体" w:hAnsi="宋体" w:cs="Arial"/>
        </w:rPr>
      </w:pPr>
      <w:r>
        <w:rPr>
          <w:rFonts w:hint="eastAsia" w:ascii="宋体" w:hAnsi="宋体" w:cs="Arial"/>
        </w:rPr>
        <w:t>本基金备用流动性风险管理工具包括但不限于暂停接受赎回申请、延缓支付赎回对价、暂停基金估值以及证监会认定的其他措施。</w:t>
      </w:r>
    </w:p>
    <w:p w14:paraId="1A820B8D">
      <w:pPr>
        <w:adjustRightInd w:val="0"/>
        <w:snapToGrid w:val="0"/>
        <w:spacing w:line="360" w:lineRule="auto"/>
        <w:ind w:firstLine="426"/>
        <w:rPr>
          <w:rFonts w:hint="eastAsia" w:ascii="宋体" w:hAnsi="宋体" w:cs="Arial"/>
        </w:rPr>
      </w:pPr>
      <w:r>
        <w:rPr>
          <w:rFonts w:hint="eastAsia" w:ascii="宋体" w:hAnsi="宋体" w:cs="Arial"/>
        </w:rPr>
        <w:t>暂停接受赎回申请、延缓支付赎回对价等工具的情形、程序见招募说明书“基金份额的申购</w:t>
      </w:r>
      <w:r>
        <w:rPr>
          <w:rFonts w:ascii="宋体" w:hAnsi="宋体" w:cs="Arial"/>
        </w:rPr>
        <w:t>与</w:t>
      </w:r>
      <w:r>
        <w:rPr>
          <w:rFonts w:hint="eastAsia" w:ascii="宋体" w:hAnsi="宋体" w:cs="Arial"/>
        </w:rPr>
        <w:t>赎回”部分之“暂停赎回或延缓支付赎回对价的情形及处理方式”的相关规定。若本基金暂停赎回申请，投资者在暂停赎回期间将无法赎回其持有的基金份额。若本基金延缓支付赎回对价，赎回对价支付时间将后延，可能对投资者的资金安排带来不利影响。</w:t>
      </w:r>
    </w:p>
    <w:p w14:paraId="16541B29">
      <w:pPr>
        <w:adjustRightInd w:val="0"/>
        <w:snapToGrid w:val="0"/>
        <w:spacing w:line="360" w:lineRule="auto"/>
        <w:ind w:firstLine="426"/>
        <w:rPr>
          <w:rFonts w:hint="eastAsia" w:ascii="宋体" w:hAnsi="宋体" w:cs="Arial"/>
        </w:rPr>
      </w:pPr>
      <w:r>
        <w:rPr>
          <w:rFonts w:hint="eastAsia" w:ascii="宋体" w:hAnsi="宋体" w:cs="Arial"/>
        </w:rPr>
        <w:t>暂停基金估值的情形、程序见招募说明书“基金资产的估值”部分之“暂停估值的情形”的相关规定。若本基金暂停基金估值，一方面投资者将无法知晓本基金的基金份额净值，另一方面基金将暂停接受申购赎回申请或延缓支付赎回对价，将导致投资者无法申购或赎回本基金，或赎回对价支付时间将后延，可能对投资者的资金安排带来不利影响。</w:t>
      </w:r>
    </w:p>
    <w:bookmarkEnd w:id="158"/>
    <w:p w14:paraId="6D016DCB">
      <w:pPr>
        <w:adjustRightInd w:val="0"/>
        <w:snapToGrid w:val="0"/>
        <w:spacing w:line="360" w:lineRule="auto"/>
        <w:ind w:firstLine="426"/>
        <w:rPr>
          <w:rFonts w:hint="eastAsia" w:ascii="宋体" w:hAnsi="宋体" w:cs="Arial"/>
          <w:b/>
        </w:rPr>
      </w:pPr>
      <w:r>
        <w:rPr>
          <w:rFonts w:hint="eastAsia" w:ascii="宋体" w:hAnsi="宋体" w:cs="Arial"/>
          <w:b/>
        </w:rPr>
        <w:t>五、指数编制机构停止服务的风险</w:t>
      </w:r>
    </w:p>
    <w:p w14:paraId="6686CBE8">
      <w:pPr>
        <w:adjustRightInd w:val="0"/>
        <w:snapToGrid w:val="0"/>
        <w:spacing w:line="360" w:lineRule="auto"/>
        <w:ind w:firstLine="426"/>
        <w:rPr>
          <w:rFonts w:hint="eastAsia" w:ascii="宋体" w:hAnsi="宋体" w:cs="Arial"/>
        </w:rPr>
      </w:pPr>
      <w:r>
        <w:rPr>
          <w:rFonts w:hint="eastAsia" w:ascii="宋体" w:hAnsi="宋体" w:cs="Arial"/>
        </w:rPr>
        <w:t>本基金的标的指数由指数编制机构发布并管理和维护，未来指数编制机构可能由于各种原因停止对指数的管理和维护，本基金将根据基金合同的约定自该情形发生之日起十个工作日向中国证监会报告并提出解决方案，如转换运作方式、与其他基金合并或者终止基金合同等，并在6个月内召集基金份额持有人大会。因此，投资人将面临转换运作方式、与其他基金合并或者终止基金合同等风险。</w:t>
      </w:r>
    </w:p>
    <w:p w14:paraId="0A61A667">
      <w:pPr>
        <w:adjustRightInd w:val="0"/>
        <w:snapToGrid w:val="0"/>
        <w:spacing w:line="360" w:lineRule="auto"/>
        <w:ind w:firstLine="426"/>
        <w:rPr>
          <w:rFonts w:hint="eastAsia" w:ascii="宋体" w:hAnsi="宋体" w:cs="Arial"/>
        </w:rPr>
      </w:pPr>
      <w:r>
        <w:rPr>
          <w:rFonts w:hint="eastAsia" w:ascii="宋体" w:hAnsi="宋体" w:cs="Arial"/>
        </w:rPr>
        <w:t>自指数编制机构停止标的指数的编制及发布至解决方案确定期间，基金管理人应按照指数编制机构提供的最近一个交易日的指数信息遵循基金份额持有人利益优先原则维持基金投资运作，该期间由于标的指数不再更新等原因可能导致指数表现与相关市场表现存在差异，影响投资收益。</w:t>
      </w:r>
    </w:p>
    <w:p w14:paraId="7E1A3DCF">
      <w:pPr>
        <w:pStyle w:val="37"/>
        <w:spacing w:before="0" w:beforeAutospacing="0" w:after="0" w:afterAutospacing="0" w:line="360" w:lineRule="auto"/>
        <w:ind w:firstLine="420"/>
        <w:rPr>
          <w:rStyle w:val="49"/>
          <w:rFonts w:hint="eastAsia"/>
          <w:sz w:val="21"/>
          <w:szCs w:val="21"/>
        </w:rPr>
      </w:pPr>
      <w:r>
        <w:rPr>
          <w:rStyle w:val="49"/>
          <w:rFonts w:hint="eastAsia"/>
          <w:sz w:val="21"/>
          <w:szCs w:val="21"/>
        </w:rPr>
        <w:t>六、跟踪误差控制未达约定目标的风险</w:t>
      </w:r>
    </w:p>
    <w:p w14:paraId="69D16C23">
      <w:pPr>
        <w:pStyle w:val="37"/>
        <w:spacing w:before="0" w:beforeAutospacing="0" w:after="0" w:afterAutospacing="0" w:line="360" w:lineRule="auto"/>
        <w:ind w:firstLine="420"/>
        <w:jc w:val="both"/>
        <w:rPr>
          <w:rFonts w:hint="eastAsia"/>
          <w:sz w:val="21"/>
          <w:szCs w:val="21"/>
        </w:rPr>
      </w:pPr>
      <w:r>
        <w:rPr>
          <w:rFonts w:hint="eastAsia"/>
          <w:sz w:val="21"/>
          <w:szCs w:val="21"/>
        </w:rPr>
        <w:t>本基金力争控制投资组合的净值增长率与业绩比较基准之间的预期日均跟踪偏离度的绝对值小于0.2%，预期年化跟踪误差不超过2%，但因标的指数编制规则调整或其他因素可能导致跟踪误差超过上述范围，本基金净值表现与指数价格走势可能发生较大偏离。</w:t>
      </w:r>
    </w:p>
    <w:p w14:paraId="4692A834">
      <w:pPr>
        <w:pStyle w:val="37"/>
        <w:spacing w:before="0" w:beforeAutospacing="0" w:after="0" w:afterAutospacing="0" w:line="360" w:lineRule="auto"/>
        <w:ind w:firstLine="420"/>
        <w:rPr>
          <w:rStyle w:val="49"/>
          <w:rFonts w:hint="eastAsia"/>
          <w:sz w:val="21"/>
          <w:szCs w:val="21"/>
        </w:rPr>
      </w:pPr>
      <w:r>
        <w:rPr>
          <w:rStyle w:val="49"/>
          <w:rFonts w:hint="eastAsia"/>
          <w:sz w:val="21"/>
          <w:szCs w:val="21"/>
        </w:rPr>
        <w:t>七、成份股停牌的风险</w:t>
      </w:r>
    </w:p>
    <w:p w14:paraId="1987878C">
      <w:pPr>
        <w:pStyle w:val="37"/>
        <w:spacing w:before="0" w:beforeAutospacing="0" w:after="0" w:afterAutospacing="0" w:line="360" w:lineRule="auto"/>
        <w:ind w:firstLine="420"/>
        <w:rPr>
          <w:rFonts w:hint="eastAsia"/>
          <w:sz w:val="21"/>
          <w:szCs w:val="21"/>
        </w:rPr>
      </w:pPr>
      <w:r>
        <w:rPr>
          <w:rFonts w:hint="eastAsia"/>
          <w:sz w:val="21"/>
          <w:szCs w:val="21"/>
        </w:rPr>
        <w:t>标的指数成份股可能因各种原因临时或长期停牌，发生成份股停牌时可能面临如下风险：</w:t>
      </w:r>
    </w:p>
    <w:p w14:paraId="5AEA7203">
      <w:pPr>
        <w:pStyle w:val="37"/>
        <w:spacing w:before="0" w:beforeAutospacing="0" w:after="0" w:afterAutospacing="0" w:line="360" w:lineRule="auto"/>
        <w:ind w:firstLine="420"/>
        <w:rPr>
          <w:rFonts w:hint="eastAsia"/>
          <w:sz w:val="21"/>
          <w:szCs w:val="21"/>
        </w:rPr>
      </w:pPr>
      <w:r>
        <w:rPr>
          <w:rFonts w:hint="eastAsia"/>
          <w:sz w:val="21"/>
          <w:szCs w:val="21"/>
        </w:rPr>
        <w:t>1</w:t>
      </w:r>
      <w:r>
        <w:rPr>
          <w:sz w:val="21"/>
          <w:szCs w:val="21"/>
        </w:rPr>
        <w:t>、</w:t>
      </w:r>
      <w:r>
        <w:rPr>
          <w:rFonts w:hint="eastAsia"/>
          <w:sz w:val="21"/>
          <w:szCs w:val="21"/>
        </w:rPr>
        <w:t>基金可能因无法及时调整投资组合而导致跟踪偏离度和跟踪误差扩大。</w:t>
      </w:r>
    </w:p>
    <w:p w14:paraId="00EC37C1">
      <w:pPr>
        <w:pStyle w:val="37"/>
        <w:spacing w:before="0" w:beforeAutospacing="0" w:after="0" w:afterAutospacing="0" w:line="360" w:lineRule="auto"/>
        <w:ind w:firstLine="420"/>
        <w:rPr>
          <w:rFonts w:hint="eastAsia"/>
          <w:sz w:val="21"/>
          <w:szCs w:val="21"/>
        </w:rPr>
      </w:pPr>
      <w:r>
        <w:rPr>
          <w:rFonts w:hint="eastAsia"/>
          <w:sz w:val="21"/>
          <w:szCs w:val="21"/>
        </w:rPr>
        <w:t>2</w:t>
      </w:r>
      <w:r>
        <w:rPr>
          <w:sz w:val="21"/>
          <w:szCs w:val="21"/>
        </w:rPr>
        <w:t>、</w:t>
      </w:r>
      <w:r>
        <w:rPr>
          <w:rFonts w:hint="eastAsia"/>
          <w:sz w:val="21"/>
          <w:szCs w:val="21"/>
        </w:rPr>
        <w:t>停牌成份股可能因其权重占比、市场复牌预期、现金替代标识等因素影响本基金二级市场价格的折溢价水平。</w:t>
      </w:r>
    </w:p>
    <w:p w14:paraId="7339465E">
      <w:pPr>
        <w:pStyle w:val="37"/>
        <w:spacing w:before="0" w:beforeAutospacing="0" w:after="0" w:afterAutospacing="0" w:line="360" w:lineRule="auto"/>
        <w:ind w:firstLine="420"/>
        <w:rPr>
          <w:rFonts w:hint="eastAsia"/>
          <w:sz w:val="21"/>
          <w:szCs w:val="21"/>
        </w:rPr>
      </w:pPr>
      <w:r>
        <w:rPr>
          <w:rFonts w:hint="eastAsia"/>
          <w:sz w:val="21"/>
          <w:szCs w:val="21"/>
        </w:rPr>
        <w:t>3</w:t>
      </w:r>
      <w:r>
        <w:rPr>
          <w:sz w:val="21"/>
          <w:szCs w:val="21"/>
        </w:rPr>
        <w:t>、</w:t>
      </w:r>
      <w:r>
        <w:rPr>
          <w:rFonts w:hint="eastAsia"/>
          <w:sz w:val="21"/>
          <w:szCs w:val="21"/>
        </w:rPr>
        <w:t>若成份股停牌时间较长，在约定时间内仍未能及时买入或卖出的，则该部分款项将按照约定方式进行结算（具体见招募说明书“基金份额的申购与赎回”之“申购赎回清单的内容与格式”相关约定），由此可能影响投资者的投资损益并使基金产生跟踪偏离度和跟踪误差。</w:t>
      </w:r>
    </w:p>
    <w:p w14:paraId="1C8C94BF">
      <w:pPr>
        <w:pStyle w:val="37"/>
        <w:spacing w:before="0" w:beforeAutospacing="0" w:after="0" w:afterAutospacing="0" w:line="360" w:lineRule="auto"/>
        <w:ind w:firstLine="420"/>
        <w:jc w:val="both"/>
        <w:rPr>
          <w:rFonts w:hint="eastAsia"/>
          <w:sz w:val="21"/>
          <w:szCs w:val="21"/>
        </w:rPr>
      </w:pPr>
      <w:r>
        <w:rPr>
          <w:rFonts w:hint="eastAsia"/>
          <w:sz w:val="21"/>
          <w:szCs w:val="21"/>
        </w:rPr>
        <w:t>4</w:t>
      </w:r>
      <w:r>
        <w:rPr>
          <w:sz w:val="21"/>
          <w:szCs w:val="21"/>
        </w:rPr>
        <w:t>、</w:t>
      </w:r>
      <w:r>
        <w:rPr>
          <w:rFonts w:hint="eastAsia"/>
          <w:sz w:val="21"/>
          <w:szCs w:val="21"/>
        </w:rPr>
        <w:t>在极端情况下，标的指数成份股可能大面积停牌，基金可能无法及时卖出成份股以获取足额的符合要求的赎回</w:t>
      </w:r>
      <w:r>
        <w:rPr>
          <w:sz w:val="21"/>
          <w:szCs w:val="21"/>
        </w:rPr>
        <w:t>对价</w:t>
      </w:r>
      <w:r>
        <w:rPr>
          <w:rFonts w:hint="eastAsia"/>
          <w:sz w:val="21"/>
          <w:szCs w:val="21"/>
        </w:rPr>
        <w:t>，由此基金管理人可能在申购赎回清单中设置较低的赎回份额上限或者采取暂停赎回的措施，投资者将面临无法赎回全部或部分基金份额的风险。</w:t>
      </w:r>
    </w:p>
    <w:p w14:paraId="040878D5">
      <w:pPr>
        <w:pStyle w:val="37"/>
        <w:spacing w:before="0" w:beforeAutospacing="0" w:after="0" w:afterAutospacing="0" w:line="360" w:lineRule="auto"/>
        <w:ind w:firstLine="420"/>
        <w:rPr>
          <w:rStyle w:val="49"/>
          <w:rFonts w:hint="eastAsia"/>
          <w:sz w:val="21"/>
          <w:szCs w:val="21"/>
        </w:rPr>
      </w:pPr>
      <w:r>
        <w:rPr>
          <w:rStyle w:val="49"/>
          <w:rFonts w:hint="eastAsia"/>
          <w:sz w:val="21"/>
          <w:szCs w:val="21"/>
        </w:rPr>
        <w:t>八、成份股退市的风险</w:t>
      </w:r>
    </w:p>
    <w:p w14:paraId="451D3E59">
      <w:pPr>
        <w:tabs>
          <w:tab w:val="left" w:pos="851"/>
          <w:tab w:val="left" w:pos="1134"/>
        </w:tabs>
        <w:adjustRightInd w:val="0"/>
        <w:snapToGrid w:val="0"/>
        <w:spacing w:line="360" w:lineRule="auto"/>
        <w:ind w:firstLine="420" w:firstLineChars="200"/>
        <w:outlineLvl w:val="0"/>
        <w:rPr>
          <w:szCs w:val="21"/>
        </w:rPr>
      </w:pPr>
      <w:r>
        <w:rPr>
          <w:rFonts w:hint="eastAsia"/>
          <w:szCs w:val="21"/>
        </w:rPr>
        <w:t>标的指数成份股发生明显负面事件面临退市风险，且指数编制机构暂未作出调整的，基金管理人将按照基金份额持有人利益优先的原则，综合考虑成份股的退市风险、其在指数中的权重以及对跟踪误差的影响，据此制定成份股替代策略，并对投资组合进行相应调整。</w:t>
      </w:r>
      <w:bookmarkStart w:id="159" w:name="_Toc293495057"/>
    </w:p>
    <w:p w14:paraId="749EE469">
      <w:pPr>
        <w:tabs>
          <w:tab w:val="left" w:pos="851"/>
          <w:tab w:val="left" w:pos="1134"/>
        </w:tabs>
        <w:adjustRightInd w:val="0"/>
        <w:snapToGrid w:val="0"/>
        <w:spacing w:line="360" w:lineRule="auto"/>
        <w:ind w:left="420"/>
        <w:outlineLvl w:val="0"/>
        <w:rPr>
          <w:rFonts w:hint="eastAsia" w:ascii="宋体" w:hAnsi="宋体" w:cs="Arial"/>
          <w:b/>
        </w:rPr>
      </w:pPr>
      <w:r>
        <w:rPr>
          <w:rFonts w:hint="eastAsia" w:ascii="宋体" w:hAnsi="宋体" w:cs="Arial"/>
          <w:b/>
        </w:rPr>
        <w:t>九</w:t>
      </w:r>
      <w:r>
        <w:rPr>
          <w:rFonts w:ascii="宋体" w:hAnsi="宋体" w:cs="Arial"/>
          <w:b/>
        </w:rPr>
        <w:t>、基金份额二级市场交易价格折溢价的风险</w:t>
      </w:r>
      <w:bookmarkEnd w:id="159"/>
    </w:p>
    <w:p w14:paraId="5EBEEC94">
      <w:pPr>
        <w:adjustRightInd w:val="0"/>
        <w:snapToGrid w:val="0"/>
        <w:spacing w:line="360" w:lineRule="auto"/>
        <w:ind w:firstLine="426"/>
        <w:rPr>
          <w:rFonts w:hint="eastAsia" w:ascii="宋体" w:hAnsi="宋体" w:cs="Arial"/>
        </w:rPr>
      </w:pPr>
      <w:r>
        <w:rPr>
          <w:rFonts w:ascii="宋体" w:hAnsi="宋体" w:cs="Arial"/>
        </w:rPr>
        <w:t xml:space="preserve">基金份额在证券交易所的交易价格受诸多因素影响，可能存在不同于基金份额净值的情形，即存在价格折溢价的风险。 </w:t>
      </w:r>
    </w:p>
    <w:p w14:paraId="6756F4E3">
      <w:pPr>
        <w:tabs>
          <w:tab w:val="left" w:pos="851"/>
          <w:tab w:val="left" w:pos="1134"/>
        </w:tabs>
        <w:adjustRightInd w:val="0"/>
        <w:snapToGrid w:val="0"/>
        <w:spacing w:line="360" w:lineRule="auto"/>
        <w:ind w:firstLine="422" w:firstLineChars="200"/>
        <w:outlineLvl w:val="0"/>
        <w:rPr>
          <w:rFonts w:hint="eastAsia" w:ascii="宋体" w:hAnsi="宋体" w:cs="Arial"/>
          <w:b/>
        </w:rPr>
      </w:pPr>
      <w:bookmarkStart w:id="160" w:name="_Toc293495058"/>
      <w:r>
        <w:rPr>
          <w:rFonts w:hint="eastAsia" w:ascii="宋体" w:hAnsi="宋体" w:cs="Arial"/>
          <w:b/>
        </w:rPr>
        <w:t>十</w:t>
      </w:r>
      <w:r>
        <w:rPr>
          <w:rFonts w:ascii="宋体" w:hAnsi="宋体" w:cs="Arial"/>
          <w:b/>
        </w:rPr>
        <w:t>、</w:t>
      </w:r>
      <w:r>
        <w:rPr>
          <w:rFonts w:hint="eastAsia" w:ascii="宋体" w:hAnsi="宋体" w:cs="Arial"/>
          <w:b/>
        </w:rPr>
        <w:t>基金份额参考净值</w:t>
      </w:r>
      <w:r>
        <w:rPr>
          <w:rFonts w:ascii="宋体" w:hAnsi="宋体" w:cs="Arial"/>
          <w:b/>
        </w:rPr>
        <w:t>决策和</w:t>
      </w:r>
      <w:r>
        <w:rPr>
          <w:rFonts w:hint="eastAsia" w:ascii="宋体" w:hAnsi="宋体" w:cs="Arial"/>
          <w:b/>
        </w:rPr>
        <w:t>基金份额参考净值</w:t>
      </w:r>
      <w:r>
        <w:rPr>
          <w:rFonts w:ascii="宋体" w:hAnsi="宋体" w:cs="Arial"/>
          <w:b/>
        </w:rPr>
        <w:t>计算错误的风险</w:t>
      </w:r>
      <w:bookmarkEnd w:id="160"/>
      <w:r>
        <w:rPr>
          <w:rFonts w:ascii="宋体" w:hAnsi="宋体" w:cs="Arial"/>
          <w:b/>
        </w:rPr>
        <w:t xml:space="preserve"> </w:t>
      </w:r>
    </w:p>
    <w:p w14:paraId="2F30B66A">
      <w:pPr>
        <w:adjustRightInd w:val="0"/>
        <w:snapToGrid w:val="0"/>
        <w:spacing w:line="360" w:lineRule="auto"/>
        <w:ind w:firstLine="426"/>
        <w:rPr>
          <w:rFonts w:hint="eastAsia" w:ascii="宋体" w:hAnsi="宋体" w:cs="Arial"/>
        </w:rPr>
      </w:pPr>
      <w:r>
        <w:rPr>
          <w:rFonts w:hint="eastAsia" w:ascii="宋体" w:hAnsi="宋体" w:cs="Arial"/>
        </w:rPr>
        <w:t>本基金基金份额参考净值（IOPV）由基金管理人或基金管理人委托的机构计算，并交由深圳证券交易所对外发布，仅</w:t>
      </w:r>
      <w:r>
        <w:rPr>
          <w:rFonts w:ascii="宋体" w:hAnsi="宋体" w:cs="Arial"/>
        </w:rPr>
        <w:t>供投资人交易、申购、赎回基金份额时参考。</w:t>
      </w:r>
      <w:r>
        <w:rPr>
          <w:rFonts w:hint="eastAsia" w:ascii="宋体" w:hAnsi="宋体" w:cs="Arial"/>
        </w:rPr>
        <w:t>基金份额参考净值</w:t>
      </w:r>
      <w:r>
        <w:rPr>
          <w:rFonts w:ascii="宋体" w:hAnsi="宋体" w:cs="Arial"/>
        </w:rPr>
        <w:t>与实时的基金份额净值可能存在差异，</w:t>
      </w:r>
      <w:r>
        <w:rPr>
          <w:rFonts w:hint="eastAsia" w:ascii="宋体" w:hAnsi="宋体" w:cs="Arial"/>
        </w:rPr>
        <w:t>基金份额参考净值</w:t>
      </w:r>
      <w:r>
        <w:rPr>
          <w:rFonts w:ascii="宋体" w:hAnsi="宋体" w:cs="Arial"/>
        </w:rPr>
        <w:t>计算可能出现错误，投资人若参考</w:t>
      </w:r>
      <w:r>
        <w:rPr>
          <w:rFonts w:hint="eastAsia" w:ascii="宋体" w:hAnsi="宋体" w:cs="Arial"/>
        </w:rPr>
        <w:t>基金份额参考净值</w:t>
      </w:r>
      <w:r>
        <w:rPr>
          <w:rFonts w:ascii="宋体" w:hAnsi="宋体" w:cs="Arial"/>
        </w:rPr>
        <w:t xml:space="preserve">进行投资决策可能导致损失，需投资人自行承担。 </w:t>
      </w:r>
    </w:p>
    <w:p w14:paraId="2540AFC9">
      <w:pPr>
        <w:tabs>
          <w:tab w:val="left" w:pos="851"/>
          <w:tab w:val="left" w:pos="1134"/>
        </w:tabs>
        <w:adjustRightInd w:val="0"/>
        <w:snapToGrid w:val="0"/>
        <w:spacing w:line="360" w:lineRule="auto"/>
        <w:ind w:left="426"/>
        <w:outlineLvl w:val="0"/>
        <w:rPr>
          <w:rFonts w:hint="eastAsia" w:ascii="宋体" w:hAnsi="宋体" w:cs="Arial"/>
          <w:b/>
        </w:rPr>
      </w:pPr>
      <w:bookmarkStart w:id="161" w:name="_Toc293495059"/>
      <w:r>
        <w:rPr>
          <w:rFonts w:hint="eastAsia" w:ascii="宋体" w:hAnsi="宋体" w:cs="Arial"/>
          <w:b/>
        </w:rPr>
        <w:t>十一</w:t>
      </w:r>
      <w:r>
        <w:rPr>
          <w:rFonts w:ascii="宋体" w:hAnsi="宋体" w:cs="Arial"/>
          <w:b/>
        </w:rPr>
        <w:t>、退市风险</w:t>
      </w:r>
      <w:bookmarkEnd w:id="161"/>
      <w:r>
        <w:rPr>
          <w:rFonts w:ascii="宋体" w:hAnsi="宋体" w:cs="Arial"/>
          <w:b/>
        </w:rPr>
        <w:t xml:space="preserve"> </w:t>
      </w:r>
    </w:p>
    <w:p w14:paraId="6E3D2D89">
      <w:pPr>
        <w:autoSpaceDE w:val="0"/>
        <w:autoSpaceDN w:val="0"/>
        <w:adjustRightInd w:val="0"/>
        <w:snapToGrid w:val="0"/>
        <w:spacing w:line="360" w:lineRule="auto"/>
        <w:ind w:firstLine="420" w:firstLineChars="200"/>
        <w:rPr>
          <w:rFonts w:hint="eastAsia" w:ascii="宋体" w:hAnsi="宋体" w:cs="Arial"/>
          <w:kern w:val="0"/>
          <w:szCs w:val="21"/>
        </w:rPr>
      </w:pPr>
      <w:r>
        <w:rPr>
          <w:rFonts w:ascii="宋体" w:hAnsi="宋体" w:cs="Arial"/>
          <w:kern w:val="0"/>
          <w:szCs w:val="21"/>
        </w:rPr>
        <w:t>因本基金不再符合证券交易所上市条件被终止上市，或被基金份额持有人大会决议提前终止上市</w:t>
      </w:r>
      <w:r>
        <w:rPr>
          <w:rFonts w:hint="eastAsia" w:ascii="宋体" w:hAnsi="宋体" w:cs="Arial"/>
          <w:kern w:val="0"/>
          <w:szCs w:val="21"/>
        </w:rPr>
        <w:t>等原因</w:t>
      </w:r>
      <w:r>
        <w:rPr>
          <w:rFonts w:ascii="宋体" w:hAnsi="宋体" w:cs="Arial"/>
          <w:kern w:val="0"/>
          <w:szCs w:val="21"/>
        </w:rPr>
        <w:t xml:space="preserve">，导致基金份额不能继续进行二级市场交易的风险。 </w:t>
      </w:r>
    </w:p>
    <w:p w14:paraId="11E31FC5">
      <w:pPr>
        <w:tabs>
          <w:tab w:val="left" w:pos="851"/>
          <w:tab w:val="left" w:pos="1134"/>
        </w:tabs>
        <w:adjustRightInd w:val="0"/>
        <w:snapToGrid w:val="0"/>
        <w:spacing w:line="360" w:lineRule="auto"/>
        <w:ind w:firstLine="422" w:firstLineChars="200"/>
        <w:outlineLvl w:val="0"/>
        <w:rPr>
          <w:rFonts w:hint="eastAsia" w:ascii="宋体" w:hAnsi="宋体" w:cs="Arial"/>
          <w:b/>
        </w:rPr>
      </w:pPr>
      <w:bookmarkStart w:id="162" w:name="_Toc293495060"/>
      <w:r>
        <w:rPr>
          <w:rFonts w:hint="eastAsia" w:ascii="宋体" w:hAnsi="宋体" w:cs="Arial"/>
          <w:b/>
        </w:rPr>
        <w:t>十二、</w:t>
      </w:r>
      <w:r>
        <w:rPr>
          <w:rFonts w:ascii="宋体" w:hAnsi="宋体" w:cs="Arial"/>
          <w:b/>
        </w:rPr>
        <w:t>投资人申购失败的风险</w:t>
      </w:r>
      <w:bookmarkEnd w:id="162"/>
      <w:r>
        <w:rPr>
          <w:rFonts w:ascii="宋体" w:hAnsi="宋体" w:cs="Arial"/>
          <w:b/>
        </w:rPr>
        <w:t xml:space="preserve"> </w:t>
      </w:r>
    </w:p>
    <w:p w14:paraId="6020D2B5">
      <w:pPr>
        <w:autoSpaceDE w:val="0"/>
        <w:autoSpaceDN w:val="0"/>
        <w:adjustRightInd w:val="0"/>
        <w:snapToGrid w:val="0"/>
        <w:spacing w:line="360" w:lineRule="auto"/>
        <w:ind w:firstLine="420" w:firstLineChars="200"/>
        <w:rPr>
          <w:rFonts w:hint="eastAsia" w:ascii="宋体" w:hAnsi="宋体" w:cs="Arial"/>
          <w:kern w:val="0"/>
          <w:szCs w:val="21"/>
        </w:rPr>
      </w:pPr>
      <w:r>
        <w:rPr>
          <w:rFonts w:ascii="宋体" w:hAnsi="宋体" w:cs="Arial"/>
          <w:kern w:val="0"/>
          <w:szCs w:val="21"/>
        </w:rPr>
        <w:t xml:space="preserve">本基金的申购赎回清单中，可能仅允许对部分成份股使用现金替代，且设置现金替代比例上限，因此，投资人申购时，可能存在因个别成份股涨停、临时停牌等原因而无法买入申购所需的足够的成份股，导致申购失败的风险。 </w:t>
      </w:r>
    </w:p>
    <w:p w14:paraId="1FF77FB3">
      <w:pPr>
        <w:tabs>
          <w:tab w:val="left" w:pos="851"/>
          <w:tab w:val="left" w:pos="1134"/>
        </w:tabs>
        <w:adjustRightInd w:val="0"/>
        <w:snapToGrid w:val="0"/>
        <w:spacing w:line="360" w:lineRule="auto"/>
        <w:ind w:left="426"/>
        <w:outlineLvl w:val="0"/>
        <w:rPr>
          <w:rFonts w:hint="eastAsia" w:ascii="宋体" w:hAnsi="宋体" w:cs="Arial"/>
          <w:b/>
        </w:rPr>
      </w:pPr>
      <w:bookmarkStart w:id="163" w:name="_Toc293495061"/>
      <w:r>
        <w:rPr>
          <w:rFonts w:hint="eastAsia" w:ascii="宋体" w:hAnsi="宋体" w:cs="Arial"/>
          <w:b/>
        </w:rPr>
        <w:t>十三</w:t>
      </w:r>
      <w:r>
        <w:rPr>
          <w:rFonts w:ascii="宋体" w:hAnsi="宋体" w:cs="Arial"/>
          <w:b/>
        </w:rPr>
        <w:t>、投资人赎回失败的风险</w:t>
      </w:r>
      <w:bookmarkEnd w:id="163"/>
      <w:r>
        <w:rPr>
          <w:rFonts w:ascii="宋体" w:hAnsi="宋体" w:cs="Arial"/>
          <w:b/>
        </w:rPr>
        <w:t xml:space="preserve"> </w:t>
      </w:r>
    </w:p>
    <w:p w14:paraId="74217D5C">
      <w:pPr>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 xml:space="preserve">投资人提出赎回申请时，如基金组合中不具备足额的符合条件的赎回对价，可能导致赎回失败的情形。 </w:t>
      </w:r>
    </w:p>
    <w:p w14:paraId="0EB9FB60">
      <w:pPr>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基金管理人可能根据成份股市值规模变化等因素调整最小申购、赎回单位，由此可能导致投资人按原最小申购、赎回单位申购并持有的基金份额，可能无法按照新的最小申购、赎回单位全部赎回，而只能在二级市场卖出全部或部分基金份额。</w:t>
      </w:r>
    </w:p>
    <w:p w14:paraId="0BE3D78A">
      <w:pPr>
        <w:tabs>
          <w:tab w:val="left" w:pos="851"/>
          <w:tab w:val="left" w:pos="1134"/>
        </w:tabs>
        <w:adjustRightInd w:val="0"/>
        <w:snapToGrid w:val="0"/>
        <w:spacing w:line="360" w:lineRule="auto"/>
        <w:ind w:firstLine="422" w:firstLineChars="200"/>
        <w:outlineLvl w:val="0"/>
        <w:rPr>
          <w:rFonts w:hint="eastAsia" w:ascii="宋体" w:hAnsi="宋体" w:cs="Arial"/>
          <w:b/>
        </w:rPr>
      </w:pPr>
      <w:bookmarkStart w:id="164" w:name="_Toc293495062"/>
      <w:r>
        <w:rPr>
          <w:rFonts w:hint="eastAsia" w:ascii="宋体" w:hAnsi="宋体" w:cs="Arial"/>
          <w:b/>
        </w:rPr>
        <w:t>十四、</w:t>
      </w:r>
      <w:r>
        <w:rPr>
          <w:rFonts w:ascii="宋体" w:hAnsi="宋体" w:cs="Arial"/>
          <w:b/>
        </w:rPr>
        <w:t>赎回对价的变现风险</w:t>
      </w:r>
      <w:bookmarkEnd w:id="164"/>
      <w:r>
        <w:rPr>
          <w:rFonts w:ascii="宋体" w:hAnsi="宋体" w:cs="Arial"/>
          <w:b/>
        </w:rPr>
        <w:t xml:space="preserve"> </w:t>
      </w:r>
    </w:p>
    <w:p w14:paraId="46E52377">
      <w:pPr>
        <w:autoSpaceDE w:val="0"/>
        <w:autoSpaceDN w:val="0"/>
        <w:adjustRightInd w:val="0"/>
        <w:snapToGrid w:val="0"/>
        <w:spacing w:line="360" w:lineRule="auto"/>
        <w:ind w:firstLine="420" w:firstLineChars="200"/>
        <w:rPr>
          <w:rFonts w:hint="eastAsia" w:ascii="宋体" w:hAnsi="宋体" w:cs="Arial"/>
          <w:kern w:val="0"/>
          <w:szCs w:val="21"/>
        </w:rPr>
      </w:pPr>
      <w:r>
        <w:rPr>
          <w:rFonts w:ascii="宋体" w:hAnsi="宋体" w:cs="Arial"/>
          <w:kern w:val="0"/>
          <w:szCs w:val="21"/>
        </w:rPr>
        <w:t>本基金赎回对价</w:t>
      </w:r>
      <w:r>
        <w:rPr>
          <w:rFonts w:hint="eastAsia" w:ascii="宋体" w:hAnsi="宋体" w:cs="Arial"/>
          <w:kern w:val="0"/>
          <w:szCs w:val="21"/>
        </w:rPr>
        <w:t>包括组合证券、现金替代、现金差额等。</w:t>
      </w:r>
      <w:r>
        <w:rPr>
          <w:rFonts w:ascii="宋体" w:hAnsi="宋体" w:cs="Arial"/>
          <w:kern w:val="0"/>
          <w:szCs w:val="21"/>
        </w:rPr>
        <w:t xml:space="preserve">在组合证券变现过程中，由于市场变化、部分成份股流动性差等因素，导致投资人变现后的价值与赎回时赎回对价的价值有差异，存在变现风险。 </w:t>
      </w:r>
    </w:p>
    <w:p w14:paraId="0D7F3569">
      <w:pPr>
        <w:tabs>
          <w:tab w:val="left" w:pos="851"/>
          <w:tab w:val="left" w:pos="1134"/>
        </w:tabs>
        <w:adjustRightInd w:val="0"/>
        <w:snapToGrid w:val="0"/>
        <w:spacing w:line="360" w:lineRule="auto"/>
        <w:ind w:firstLine="422" w:firstLineChars="200"/>
        <w:outlineLvl w:val="0"/>
        <w:rPr>
          <w:rFonts w:hint="eastAsia" w:ascii="宋体" w:hAnsi="宋体" w:cs="Arial"/>
          <w:b/>
        </w:rPr>
      </w:pPr>
      <w:bookmarkStart w:id="165" w:name="_Toc293495063"/>
      <w:r>
        <w:rPr>
          <w:rFonts w:hint="eastAsia" w:ascii="宋体" w:hAnsi="宋体" w:cs="Arial"/>
          <w:b/>
        </w:rPr>
        <w:t>十五、</w:t>
      </w:r>
      <w:r>
        <w:rPr>
          <w:rFonts w:ascii="宋体" w:hAnsi="宋体" w:cs="Arial"/>
          <w:b/>
        </w:rPr>
        <w:t>第三方机构服务的风险</w:t>
      </w:r>
      <w:bookmarkEnd w:id="165"/>
      <w:r>
        <w:rPr>
          <w:rFonts w:ascii="宋体" w:hAnsi="宋体" w:cs="Arial"/>
          <w:b/>
        </w:rPr>
        <w:t xml:space="preserve"> </w:t>
      </w:r>
    </w:p>
    <w:p w14:paraId="3EEF3C45">
      <w:pPr>
        <w:autoSpaceDE w:val="0"/>
        <w:autoSpaceDN w:val="0"/>
        <w:adjustRightInd w:val="0"/>
        <w:snapToGrid w:val="0"/>
        <w:spacing w:line="360" w:lineRule="auto"/>
        <w:ind w:firstLine="420" w:firstLineChars="200"/>
        <w:rPr>
          <w:rFonts w:hint="eastAsia" w:ascii="宋体" w:hAnsi="宋体" w:cs="Arial"/>
          <w:kern w:val="0"/>
          <w:szCs w:val="21"/>
        </w:rPr>
      </w:pPr>
      <w:r>
        <w:rPr>
          <w:rFonts w:ascii="宋体" w:hAnsi="宋体" w:cs="Arial"/>
          <w:kern w:val="0"/>
          <w:szCs w:val="21"/>
        </w:rPr>
        <w:t xml:space="preserve">本基金的多项服务委托第三方机构办理，存在以下风险： </w:t>
      </w:r>
    </w:p>
    <w:p w14:paraId="760C5F14">
      <w:pPr>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1、</w:t>
      </w:r>
      <w:r>
        <w:rPr>
          <w:rFonts w:ascii="宋体" w:hAnsi="宋体" w:cs="Arial"/>
          <w:kern w:val="0"/>
          <w:szCs w:val="21"/>
        </w:rPr>
        <w:t xml:space="preserve">申购赎回代理券商因多种原因，导致代理申购、赎回业务受到限制、暂停或终止，由此影响对投资人申购赎回服务的风险。 </w:t>
      </w:r>
    </w:p>
    <w:p w14:paraId="6F1C02E6">
      <w:pPr>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2、</w:t>
      </w:r>
      <w:r>
        <w:rPr>
          <w:rFonts w:ascii="宋体" w:hAnsi="宋体" w:cs="Arial"/>
          <w:kern w:val="0"/>
          <w:szCs w:val="21"/>
        </w:rPr>
        <w:t xml:space="preserve">登记机构可能调整结算制度，如实施货银对付制度，对投资人基金份额、组合证券及资金的结算方式发生变化，制度调整可能给投资人带来风险。同样的风险还可能来自于证券交易所及其他代理机构。 </w:t>
      </w:r>
    </w:p>
    <w:p w14:paraId="1772A9EF">
      <w:pPr>
        <w:adjustRightInd w:val="0"/>
        <w:snapToGrid w:val="0"/>
        <w:spacing w:line="360" w:lineRule="auto"/>
        <w:ind w:firstLine="420" w:firstLineChars="200"/>
        <w:rPr>
          <w:rFonts w:hint="eastAsia" w:ascii="宋体" w:hAnsi="宋体" w:cs="Arial"/>
        </w:rPr>
      </w:pPr>
      <w:r>
        <w:rPr>
          <w:rFonts w:hint="eastAsia" w:ascii="宋体" w:hAnsi="宋体" w:cs="Arial"/>
          <w:kern w:val="0"/>
          <w:szCs w:val="21"/>
        </w:rPr>
        <w:t>3、</w:t>
      </w:r>
      <w:r>
        <w:rPr>
          <w:rFonts w:ascii="宋体" w:hAnsi="宋体" w:cs="Arial"/>
          <w:kern w:val="0"/>
          <w:szCs w:val="21"/>
        </w:rPr>
        <w:t xml:space="preserve">证券交易所、登记机构、基金托管人及其他代理机构可能违约，导致基金或投资人利益受损的风险。 </w:t>
      </w:r>
    </w:p>
    <w:p w14:paraId="34860F85">
      <w:pPr>
        <w:tabs>
          <w:tab w:val="left" w:pos="851"/>
          <w:tab w:val="left" w:pos="1134"/>
        </w:tabs>
        <w:adjustRightInd w:val="0"/>
        <w:snapToGrid w:val="0"/>
        <w:spacing w:line="360" w:lineRule="auto"/>
        <w:ind w:firstLine="422" w:firstLineChars="200"/>
        <w:outlineLvl w:val="0"/>
        <w:rPr>
          <w:rFonts w:hint="eastAsia" w:ascii="宋体" w:hAnsi="宋体" w:cs="Arial"/>
          <w:b/>
        </w:rPr>
      </w:pPr>
      <w:bookmarkStart w:id="166" w:name="_Toc293495064"/>
      <w:r>
        <w:rPr>
          <w:rFonts w:hint="eastAsia" w:ascii="宋体" w:hAnsi="宋体" w:cs="Arial"/>
          <w:b/>
        </w:rPr>
        <w:t>十六、参与股指期货交易风险</w:t>
      </w:r>
    </w:p>
    <w:p w14:paraId="6E53153C">
      <w:pPr>
        <w:adjustRightInd w:val="0"/>
        <w:snapToGrid w:val="0"/>
        <w:spacing w:line="360" w:lineRule="auto"/>
        <w:ind w:firstLine="420" w:firstLineChars="200"/>
        <w:rPr>
          <w:rFonts w:hint="eastAsia" w:ascii="宋体" w:hAnsi="宋体" w:cs="Arial"/>
        </w:rPr>
      </w:pPr>
      <w:r>
        <w:rPr>
          <w:rFonts w:ascii="宋体" w:hAnsi="宋体" w:cs="Arial"/>
        </w:rPr>
        <w:t>1</w:t>
      </w:r>
      <w:r>
        <w:rPr>
          <w:rFonts w:hint="eastAsia" w:ascii="宋体" w:hAnsi="宋体" w:cs="Arial"/>
        </w:rPr>
        <w:t>、杠杆风险</w:t>
      </w:r>
    </w:p>
    <w:p w14:paraId="219D602B">
      <w:pPr>
        <w:adjustRightInd w:val="0"/>
        <w:snapToGrid w:val="0"/>
        <w:spacing w:line="360" w:lineRule="auto"/>
        <w:ind w:firstLine="420" w:firstLineChars="200"/>
        <w:rPr>
          <w:rFonts w:hint="eastAsia" w:ascii="宋体" w:hAnsi="宋体" w:cs="Arial"/>
        </w:rPr>
      </w:pPr>
      <w:r>
        <w:rPr>
          <w:rFonts w:hint="eastAsia" w:ascii="宋体" w:hAnsi="宋体" w:cs="Arial"/>
        </w:rPr>
        <w:t>参与股指期货交易具有高杠杆特性，因此会放大基础资产所产生的盈利或损失，加大本基金收益的波动性。</w:t>
      </w:r>
    </w:p>
    <w:p w14:paraId="02C8D198">
      <w:pPr>
        <w:adjustRightInd w:val="0"/>
        <w:snapToGrid w:val="0"/>
        <w:spacing w:line="360" w:lineRule="auto"/>
        <w:ind w:firstLine="420" w:firstLineChars="200"/>
        <w:rPr>
          <w:rFonts w:hint="eastAsia" w:ascii="宋体" w:hAnsi="宋体" w:cs="Arial"/>
        </w:rPr>
      </w:pPr>
      <w:r>
        <w:rPr>
          <w:rFonts w:ascii="宋体" w:hAnsi="宋体" w:cs="Arial"/>
        </w:rPr>
        <w:t>2</w:t>
      </w:r>
      <w:r>
        <w:rPr>
          <w:rFonts w:hint="eastAsia" w:ascii="宋体" w:hAnsi="宋体" w:cs="Arial"/>
        </w:rPr>
        <w:t>、基差风险</w:t>
      </w:r>
    </w:p>
    <w:p w14:paraId="71C28A32">
      <w:pPr>
        <w:adjustRightInd w:val="0"/>
        <w:snapToGrid w:val="0"/>
        <w:spacing w:line="360" w:lineRule="auto"/>
        <w:ind w:firstLine="420" w:firstLineChars="200"/>
        <w:rPr>
          <w:rFonts w:hint="eastAsia" w:ascii="宋体" w:hAnsi="宋体" w:cs="Arial"/>
        </w:rPr>
      </w:pPr>
      <w:r>
        <w:rPr>
          <w:rFonts w:hint="eastAsia" w:ascii="宋体" w:hAnsi="宋体" w:cs="Arial"/>
        </w:rPr>
        <w:t>基差是指股票指数现货价格与股指期货价格之间的差额。若本基金运作中出现基差波动不确定性加大、基差向不利方向变动等情况，则可能对本基金投资产生影响。</w:t>
      </w:r>
    </w:p>
    <w:p w14:paraId="2702E7BE">
      <w:pPr>
        <w:adjustRightInd w:val="0"/>
        <w:snapToGrid w:val="0"/>
        <w:spacing w:line="360" w:lineRule="auto"/>
        <w:ind w:firstLine="420" w:firstLineChars="200"/>
        <w:rPr>
          <w:rFonts w:hint="eastAsia" w:ascii="宋体" w:hAnsi="宋体" w:cs="Arial"/>
        </w:rPr>
      </w:pPr>
      <w:r>
        <w:rPr>
          <w:rFonts w:ascii="宋体" w:hAnsi="宋体" w:cs="Arial"/>
        </w:rPr>
        <w:t>3</w:t>
      </w:r>
      <w:r>
        <w:rPr>
          <w:rFonts w:hint="eastAsia" w:ascii="宋体" w:hAnsi="宋体" w:cs="Arial"/>
        </w:rPr>
        <w:t>、合约展期风险</w:t>
      </w:r>
    </w:p>
    <w:p w14:paraId="1EA9904D">
      <w:pPr>
        <w:adjustRightInd w:val="0"/>
        <w:snapToGrid w:val="0"/>
        <w:spacing w:line="360" w:lineRule="auto"/>
        <w:ind w:firstLine="420" w:firstLineChars="200"/>
        <w:rPr>
          <w:rFonts w:hint="eastAsia" w:ascii="宋体" w:hAnsi="宋体" w:cs="Arial"/>
        </w:rPr>
      </w:pPr>
      <w:r>
        <w:rPr>
          <w:rFonts w:hint="eastAsia" w:ascii="宋体" w:hAnsi="宋体" w:cs="Arial"/>
        </w:rPr>
        <w:t>本基金所投资的期货合约主要包括股指期货当月和近月合约。当基金所持有的合约临近交割期限，即需要向较远月份的合约进行展期，展期过程中可能发生价差损失以及交易成本损失，将对投资收益产生影响。</w:t>
      </w:r>
    </w:p>
    <w:p w14:paraId="4E6A9508">
      <w:pPr>
        <w:adjustRightInd w:val="0"/>
        <w:snapToGrid w:val="0"/>
        <w:spacing w:line="360" w:lineRule="auto"/>
        <w:ind w:firstLine="420" w:firstLineChars="200"/>
        <w:rPr>
          <w:rFonts w:hint="eastAsia" w:ascii="宋体" w:hAnsi="宋体" w:cs="Arial"/>
        </w:rPr>
      </w:pPr>
      <w:r>
        <w:rPr>
          <w:rFonts w:ascii="宋体" w:hAnsi="宋体" w:cs="Arial"/>
        </w:rPr>
        <w:t>4</w:t>
      </w:r>
      <w:r>
        <w:rPr>
          <w:rFonts w:hint="eastAsia" w:ascii="宋体" w:hAnsi="宋体" w:cs="Arial"/>
        </w:rPr>
        <w:t>、模型风险</w:t>
      </w:r>
    </w:p>
    <w:p w14:paraId="1E184164">
      <w:pPr>
        <w:adjustRightInd w:val="0"/>
        <w:snapToGrid w:val="0"/>
        <w:spacing w:line="360" w:lineRule="auto"/>
        <w:ind w:firstLine="420" w:firstLineChars="200"/>
        <w:rPr>
          <w:rFonts w:hint="eastAsia" w:ascii="宋体" w:hAnsi="宋体" w:cs="Arial"/>
        </w:rPr>
      </w:pPr>
      <w:r>
        <w:rPr>
          <w:rFonts w:hint="eastAsia" w:ascii="宋体" w:hAnsi="宋体" w:cs="Arial"/>
        </w:rPr>
        <w:t>股指期货合约属于虚拟投资品种，投资过程中需要通过模型进行风险定价，当投资人员使用了错误模型或者选择了不当的参数，会导致对风险或交易价格的估计错误而造成损失，损害本基金的投资收益。</w:t>
      </w:r>
    </w:p>
    <w:p w14:paraId="7A7DEE36">
      <w:pPr>
        <w:tabs>
          <w:tab w:val="left" w:pos="851"/>
          <w:tab w:val="left" w:pos="1134"/>
        </w:tabs>
        <w:adjustRightInd w:val="0"/>
        <w:snapToGrid w:val="0"/>
        <w:spacing w:line="360" w:lineRule="auto"/>
        <w:ind w:firstLine="422" w:firstLineChars="200"/>
        <w:outlineLvl w:val="0"/>
        <w:rPr>
          <w:rFonts w:hint="eastAsia" w:ascii="宋体" w:hAnsi="宋体" w:cs="Arial"/>
          <w:b/>
        </w:rPr>
      </w:pPr>
      <w:r>
        <w:rPr>
          <w:rFonts w:hint="eastAsia" w:ascii="宋体" w:hAnsi="宋体" w:cs="Arial"/>
          <w:b/>
        </w:rPr>
        <w:t>十七、资产支持证券（ABS）的风险</w:t>
      </w:r>
    </w:p>
    <w:p w14:paraId="5266D16A">
      <w:pPr>
        <w:adjustRightInd w:val="0"/>
        <w:snapToGrid w:val="0"/>
        <w:spacing w:line="360" w:lineRule="auto"/>
        <w:ind w:firstLine="420" w:firstLineChars="200"/>
        <w:rPr>
          <w:rFonts w:hint="eastAsia" w:ascii="宋体" w:hAnsi="宋体" w:cs="Arial"/>
        </w:rPr>
      </w:pPr>
      <w:r>
        <w:rPr>
          <w:rFonts w:hint="eastAsia" w:ascii="宋体" w:hAnsi="宋体" w:cs="Arial"/>
        </w:rPr>
        <w:t>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w:t>
      </w:r>
    </w:p>
    <w:p w14:paraId="4A052BC7">
      <w:pPr>
        <w:adjustRightInd w:val="0"/>
        <w:snapToGrid w:val="0"/>
        <w:spacing w:line="360" w:lineRule="auto"/>
        <w:ind w:firstLine="422" w:firstLineChars="200"/>
        <w:rPr>
          <w:rFonts w:hint="eastAsia" w:ascii="宋体" w:hAnsi="宋体" w:cs="Arial"/>
          <w:b/>
        </w:rPr>
      </w:pPr>
      <w:r>
        <w:rPr>
          <w:rFonts w:hint="eastAsia" w:ascii="宋体" w:hAnsi="宋体" w:cs="Arial"/>
          <w:b/>
        </w:rPr>
        <w:t>十八、股票期权投资风险</w:t>
      </w:r>
    </w:p>
    <w:p w14:paraId="7A38CD7C">
      <w:pPr>
        <w:spacing w:line="360" w:lineRule="auto"/>
        <w:ind w:firstLine="420" w:firstLineChars="200"/>
        <w:rPr>
          <w:rFonts w:hint="eastAsia" w:ascii="宋体" w:hAnsi="宋体"/>
        </w:rPr>
      </w:pPr>
      <w:r>
        <w:rPr>
          <w:rFonts w:hint="eastAsia" w:ascii="宋体" w:hAnsi="宋体"/>
        </w:rPr>
        <w:t>流动性风险：由于股票期权合约众多，交易较为分散，股票期权市场的流动性一般较期货市场要低，尤其是深度实值和虚值的股票期权，成交量稀少，持有这些股票期权的投资者容易遇到无法成交、平仓出局的局面。</w:t>
      </w:r>
    </w:p>
    <w:p w14:paraId="1E98B92D">
      <w:pPr>
        <w:spacing w:line="360" w:lineRule="auto"/>
        <w:ind w:firstLine="420" w:firstLineChars="200"/>
        <w:rPr>
          <w:rFonts w:hint="eastAsia" w:ascii="宋体" w:hAnsi="宋体"/>
        </w:rPr>
      </w:pPr>
      <w:r>
        <w:rPr>
          <w:rFonts w:hint="eastAsia" w:ascii="宋体" w:hAnsi="宋体"/>
        </w:rPr>
        <w:t>价格风险：股票期权买方的价格风险即为他所付出的权利金，风险具有确定性。股票期权卖方的价格风险不定，不过其所收取的权利金可以提供相应保护，当发生亏损时，可以抵消部分损失。</w:t>
      </w:r>
    </w:p>
    <w:p w14:paraId="5BF11511">
      <w:pPr>
        <w:spacing w:line="360" w:lineRule="auto"/>
        <w:ind w:firstLine="420" w:firstLineChars="200"/>
        <w:rPr>
          <w:rFonts w:hint="eastAsia" w:ascii="宋体" w:hAnsi="宋体"/>
        </w:rPr>
      </w:pPr>
      <w:r>
        <w:rPr>
          <w:rFonts w:hint="eastAsia" w:ascii="宋体" w:hAnsi="宋体"/>
        </w:rPr>
        <w:t>操作风险：操作风险是指由于管理不善或者制度执行出现问题等原因所导致的风险。股票期权作为一种衍生品，虽然可以用来管理风险，但若使用不当，也会产生巨额损失。</w:t>
      </w:r>
    </w:p>
    <w:p w14:paraId="03722216">
      <w:pPr>
        <w:spacing w:line="360" w:lineRule="auto"/>
        <w:ind w:firstLine="422" w:firstLineChars="200"/>
        <w:rPr>
          <w:rFonts w:hint="eastAsia" w:ascii="宋体" w:hAnsi="宋体"/>
          <w:b/>
        </w:rPr>
      </w:pPr>
      <w:r>
        <w:rPr>
          <w:rFonts w:hint="eastAsia" w:ascii="宋体" w:hAnsi="宋体"/>
          <w:b/>
        </w:rPr>
        <w:t>十九、融资业务的主要风险</w:t>
      </w:r>
    </w:p>
    <w:p w14:paraId="41D8519F">
      <w:pPr>
        <w:spacing w:line="360" w:lineRule="auto"/>
        <w:ind w:firstLine="420" w:firstLineChars="200"/>
        <w:rPr>
          <w:rFonts w:hint="eastAsia" w:ascii="宋体" w:hAnsi="宋体"/>
        </w:rPr>
      </w:pPr>
      <w:r>
        <w:rPr>
          <w:rFonts w:hint="eastAsia" w:ascii="宋体" w:hAnsi="宋体"/>
        </w:rPr>
        <w:t>1、杠杆效应放大风险</w:t>
      </w:r>
    </w:p>
    <w:p w14:paraId="3A1DFA25">
      <w:pPr>
        <w:spacing w:line="360" w:lineRule="auto"/>
        <w:ind w:firstLine="420" w:firstLineChars="200"/>
        <w:rPr>
          <w:rFonts w:hint="eastAsia" w:ascii="宋体" w:hAnsi="宋体"/>
        </w:rPr>
      </w:pPr>
      <w:r>
        <w:rPr>
          <w:rFonts w:hint="eastAsia" w:ascii="宋体" w:hAnsi="宋体"/>
        </w:rPr>
        <w:t>投资者通过融资可以扩大交易额度，利用较少资本来获取较大利润，这必然也放大了风险。投资者将股票作为担保品进行融资时，既需要承担原有的股票价格变化带来的风险，又得承担新投资股票带来的风险，还得支付相应的利息或费用，如判断失误或操作不当，会加大亏损。</w:t>
      </w:r>
    </w:p>
    <w:p w14:paraId="124CFD23">
      <w:pPr>
        <w:spacing w:line="360" w:lineRule="auto"/>
        <w:ind w:firstLine="420" w:firstLineChars="200"/>
        <w:rPr>
          <w:rFonts w:hint="eastAsia" w:ascii="宋体" w:hAnsi="宋体"/>
        </w:rPr>
      </w:pPr>
      <w:r>
        <w:rPr>
          <w:rFonts w:hint="eastAsia" w:ascii="宋体" w:hAnsi="宋体"/>
        </w:rPr>
        <w:t>2、担保能力及限制交易风险</w:t>
      </w:r>
    </w:p>
    <w:p w14:paraId="66D41995">
      <w:pPr>
        <w:spacing w:line="360" w:lineRule="auto"/>
        <w:ind w:firstLine="420" w:firstLineChars="200"/>
        <w:rPr>
          <w:rFonts w:hint="eastAsia" w:ascii="宋体" w:hAnsi="宋体"/>
        </w:rPr>
      </w:pPr>
      <w:r>
        <w:rPr>
          <w:rFonts w:hint="eastAsia" w:ascii="宋体" w:hAnsi="宋体"/>
        </w:rPr>
        <w:t>单只或全部证券被暂停融资、投资者账户被暂停或取消融资资格等，这些影响可能给投资者造成经济损失。此外，投资者也可能面临由于自身维持担保比例低于融资合同约定的担保要求，且未能及时补充担保物，导致信用账户交易受到限制，从而造成经济损失。</w:t>
      </w:r>
    </w:p>
    <w:p w14:paraId="5671D30C">
      <w:pPr>
        <w:spacing w:line="360" w:lineRule="auto"/>
        <w:ind w:firstLine="420" w:firstLineChars="200"/>
        <w:rPr>
          <w:rFonts w:hint="eastAsia" w:ascii="宋体" w:hAnsi="宋体"/>
        </w:rPr>
      </w:pPr>
      <w:r>
        <w:rPr>
          <w:rFonts w:hint="eastAsia" w:ascii="宋体" w:hAnsi="宋体"/>
        </w:rPr>
        <w:t>3、强制平仓风险</w:t>
      </w:r>
    </w:p>
    <w:p w14:paraId="12A88212">
      <w:pPr>
        <w:spacing w:line="360" w:lineRule="auto"/>
        <w:ind w:firstLine="420" w:firstLineChars="200"/>
        <w:rPr>
          <w:rFonts w:hint="eastAsia" w:ascii="宋体" w:hAnsi="宋体"/>
        </w:rPr>
      </w:pPr>
      <w:r>
        <w:rPr>
          <w:rFonts w:hint="eastAsia" w:ascii="宋体" w:hAnsi="宋体"/>
        </w:rPr>
        <w:t>投资者在从事融资交易期间，如果不能按照约定的期限清偿债务，或上市证券价格波动，导致日终清算后维持担保比例低于警戒线，且不能按照约定追加担保物时，将面临担保物被证券公司强制平仓的风险，由此可能给投资者造成经济损失。</w:t>
      </w:r>
    </w:p>
    <w:p w14:paraId="53F74AA5">
      <w:pPr>
        <w:adjustRightInd w:val="0"/>
        <w:snapToGrid w:val="0"/>
        <w:spacing w:line="360" w:lineRule="auto"/>
        <w:ind w:firstLine="422" w:firstLineChars="200"/>
        <w:outlineLvl w:val="0"/>
        <w:rPr>
          <w:rFonts w:hint="eastAsia" w:ascii="宋体" w:hAnsi="宋体" w:cs="Arial"/>
          <w:b/>
        </w:rPr>
      </w:pPr>
      <w:r>
        <w:rPr>
          <w:rFonts w:hint="eastAsia" w:ascii="宋体" w:hAnsi="宋体" w:cs="Arial"/>
          <w:b/>
        </w:rPr>
        <w:t>二十、转融通证券出借的主要风险</w:t>
      </w:r>
    </w:p>
    <w:p w14:paraId="51A43CD8">
      <w:pPr>
        <w:adjustRightInd w:val="0"/>
        <w:snapToGrid w:val="0"/>
        <w:spacing w:line="360" w:lineRule="auto"/>
        <w:ind w:firstLine="420" w:firstLineChars="200"/>
        <w:outlineLvl w:val="0"/>
        <w:rPr>
          <w:rFonts w:hint="eastAsia" w:ascii="宋体" w:hAnsi="宋体" w:cs="Arial"/>
        </w:rPr>
      </w:pPr>
      <w:r>
        <w:rPr>
          <w:rFonts w:hint="eastAsia" w:ascii="宋体" w:hAnsi="宋体" w:cs="Arial"/>
        </w:rPr>
        <w:t>1、流动性风险：出借人在出借证券后无法在合约到期前提前收回出借证券。当委托人拟赎回安排与投资人策略安排之间存在期限偏离，或当市场变化导致投资人员策略显著调整与前期合约期限安排不匹配时，可能存在由于出借证券无法及时收回并变现而导致的流动性风险。</w:t>
      </w:r>
    </w:p>
    <w:p w14:paraId="196F67A9">
      <w:pPr>
        <w:adjustRightInd w:val="0"/>
        <w:snapToGrid w:val="0"/>
        <w:spacing w:line="360" w:lineRule="auto"/>
        <w:ind w:firstLine="420" w:firstLineChars="200"/>
        <w:outlineLvl w:val="0"/>
        <w:rPr>
          <w:rFonts w:hint="eastAsia" w:ascii="宋体" w:hAnsi="宋体" w:cs="Arial"/>
        </w:rPr>
      </w:pPr>
      <w:r>
        <w:rPr>
          <w:rFonts w:hint="eastAsia" w:ascii="宋体" w:hAnsi="宋体" w:cs="Arial"/>
        </w:rPr>
        <w:t>2、提前或延迟了结风险：证券出借期间，如发生标的证券范围调整、标的证券暂停交易、标的证券对应的上市公司被以终止上市为目的进行收购、终止上市等情况，可能面临合约提前了结或延迟了结的风险。</w:t>
      </w:r>
    </w:p>
    <w:p w14:paraId="3423CDCD">
      <w:pPr>
        <w:adjustRightInd w:val="0"/>
        <w:snapToGrid w:val="0"/>
        <w:spacing w:line="360" w:lineRule="auto"/>
        <w:ind w:firstLine="420" w:firstLineChars="200"/>
        <w:outlineLvl w:val="0"/>
        <w:rPr>
          <w:rFonts w:hint="eastAsia" w:ascii="宋体" w:hAnsi="宋体" w:cs="Arial"/>
        </w:rPr>
      </w:pPr>
      <w:r>
        <w:rPr>
          <w:rFonts w:hint="eastAsia" w:ascii="宋体" w:hAnsi="宋体" w:cs="Arial"/>
        </w:rPr>
        <w:t>3、市场风险：转融通出借收益按照证券当日收市后市值、融出日（或展期日）费率和实际出借天数计算，因此可能面临证券市值波动、费率变动而导致的市场风险。</w:t>
      </w:r>
    </w:p>
    <w:p w14:paraId="1D01D25B">
      <w:pPr>
        <w:adjustRightInd w:val="0"/>
        <w:snapToGrid w:val="0"/>
        <w:spacing w:line="360" w:lineRule="auto"/>
        <w:ind w:firstLine="420" w:firstLineChars="200"/>
        <w:outlineLvl w:val="0"/>
        <w:rPr>
          <w:rFonts w:hint="eastAsia" w:ascii="宋体" w:hAnsi="宋体" w:cs="Arial"/>
        </w:rPr>
      </w:pPr>
      <w:r>
        <w:rPr>
          <w:rFonts w:hint="eastAsia" w:ascii="宋体" w:hAnsi="宋体" w:cs="Arial"/>
        </w:rPr>
        <w:t>4、跟踪误差风险：对于指数型组合，当组合发生大额赎回或市场大幅波动时，存在由于转融通出借证券无法提前了结并变现，单一股票占比被动上升而导致组合跟踪误差扩大的风险。</w:t>
      </w:r>
    </w:p>
    <w:p w14:paraId="57141489">
      <w:pPr>
        <w:adjustRightInd w:val="0"/>
        <w:snapToGrid w:val="0"/>
        <w:spacing w:line="360" w:lineRule="auto"/>
        <w:ind w:firstLine="420" w:firstLineChars="200"/>
        <w:outlineLvl w:val="0"/>
        <w:rPr>
          <w:rFonts w:hint="eastAsia" w:ascii="宋体" w:hAnsi="宋体" w:cs="Arial"/>
        </w:rPr>
      </w:pPr>
      <w:r>
        <w:rPr>
          <w:rFonts w:hint="eastAsia" w:ascii="宋体" w:hAnsi="宋体" w:cs="Arial"/>
        </w:rPr>
        <w:t>5、交易对手违约风险：存在由于交易对手违约而导致证券到期不能按时或足额归还、相应权益补偿和借券费用不能支付等交易对手违约风险。</w:t>
      </w:r>
    </w:p>
    <w:p w14:paraId="0E2311EB">
      <w:pPr>
        <w:adjustRightInd w:val="0"/>
        <w:snapToGrid w:val="0"/>
        <w:spacing w:line="360" w:lineRule="auto"/>
        <w:ind w:firstLine="420" w:firstLineChars="200"/>
        <w:outlineLvl w:val="0"/>
        <w:rPr>
          <w:rFonts w:hint="eastAsia" w:ascii="宋体" w:hAnsi="宋体" w:cs="Arial"/>
        </w:rPr>
      </w:pPr>
      <w:r>
        <w:rPr>
          <w:rFonts w:hint="eastAsia" w:ascii="宋体" w:hAnsi="宋体" w:cs="Arial"/>
        </w:rPr>
        <w:t>6、操作风险：转融通业务具体实施过程中，在投资决策、交易等环节，可能面临由于操作人员操作失误、系统不完善等原因引发的操作风险。</w:t>
      </w:r>
    </w:p>
    <w:p w14:paraId="47191897">
      <w:pPr>
        <w:adjustRightInd w:val="0"/>
        <w:snapToGrid w:val="0"/>
        <w:spacing w:line="360" w:lineRule="auto"/>
        <w:ind w:firstLine="420" w:firstLineChars="200"/>
        <w:outlineLvl w:val="0"/>
        <w:rPr>
          <w:rFonts w:hint="eastAsia" w:ascii="宋体" w:hAnsi="宋体" w:cs="Arial"/>
        </w:rPr>
      </w:pPr>
      <w:r>
        <w:rPr>
          <w:rFonts w:hint="eastAsia" w:ascii="宋体" w:hAnsi="宋体" w:cs="Arial"/>
        </w:rPr>
        <w:t>7、法律合规风险：在转融通证券出借过程中，存在由于标的证券价格波动导致组合合规指标超标且无法进行调整的风险，以及在证券出借业务中发生操纵价格、利益输送等法律合规风险。</w:t>
      </w:r>
    </w:p>
    <w:p w14:paraId="06E04351">
      <w:pPr>
        <w:adjustRightInd w:val="0"/>
        <w:snapToGrid w:val="0"/>
        <w:spacing w:line="360" w:lineRule="auto"/>
        <w:ind w:firstLine="422" w:firstLineChars="200"/>
        <w:outlineLvl w:val="0"/>
        <w:rPr>
          <w:rFonts w:hint="eastAsia" w:ascii="宋体" w:hAnsi="宋体" w:cs="Arial"/>
          <w:b/>
        </w:rPr>
      </w:pPr>
      <w:r>
        <w:rPr>
          <w:rFonts w:hint="eastAsia" w:ascii="宋体" w:hAnsi="宋体" w:cs="Arial"/>
          <w:b/>
        </w:rPr>
        <w:t>二十一、参与国债期货交易风险</w:t>
      </w:r>
    </w:p>
    <w:p w14:paraId="1955D70B">
      <w:pPr>
        <w:adjustRightInd w:val="0"/>
        <w:snapToGrid w:val="0"/>
        <w:spacing w:line="360" w:lineRule="auto"/>
        <w:ind w:firstLine="420" w:firstLineChars="200"/>
        <w:outlineLvl w:val="0"/>
        <w:rPr>
          <w:rFonts w:hint="eastAsia" w:ascii="宋体" w:hAnsi="宋体" w:cs="Arial"/>
          <w:bCs/>
        </w:rPr>
      </w:pPr>
      <w:r>
        <w:rPr>
          <w:rFonts w:hint="eastAsia" w:ascii="宋体" w:hAnsi="宋体" w:cs="Arial"/>
          <w:bCs/>
        </w:rPr>
        <w:t>本基金的一部分资产将可能参与国债期货交易，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w:t>
      </w:r>
    </w:p>
    <w:p w14:paraId="36F08DAC">
      <w:pPr>
        <w:adjustRightInd w:val="0"/>
        <w:snapToGrid w:val="0"/>
        <w:spacing w:line="360" w:lineRule="auto"/>
        <w:ind w:firstLine="422" w:firstLineChars="200"/>
        <w:outlineLvl w:val="0"/>
        <w:rPr>
          <w:rFonts w:hint="eastAsia" w:ascii="宋体" w:hAnsi="宋体" w:cs="Arial"/>
          <w:b/>
          <w:bCs/>
        </w:rPr>
      </w:pPr>
      <w:r>
        <w:rPr>
          <w:rFonts w:hint="eastAsia" w:ascii="宋体" w:hAnsi="宋体" w:cs="Arial"/>
          <w:b/>
          <w:bCs/>
        </w:rPr>
        <w:t>二十二、投资于存托凭证的风险</w:t>
      </w:r>
    </w:p>
    <w:p w14:paraId="083D406D">
      <w:pPr>
        <w:adjustRightInd w:val="0"/>
        <w:snapToGrid w:val="0"/>
        <w:spacing w:line="360" w:lineRule="auto"/>
        <w:ind w:firstLine="420" w:firstLineChars="200"/>
        <w:outlineLvl w:val="0"/>
        <w:rPr>
          <w:rFonts w:hint="eastAsia" w:ascii="宋体" w:hAnsi="宋体" w:cs="Arial"/>
          <w:bCs/>
        </w:rPr>
      </w:pPr>
      <w:r>
        <w:rPr>
          <w:rFonts w:hint="eastAsia" w:ascii="宋体" w:hAnsi="宋体" w:cs="Arial"/>
          <w:bCs/>
        </w:rPr>
        <w:t>本基金的投资范围包括存托凭证，除与其他仅投资于</w:t>
      </w:r>
      <w:r>
        <w:rPr>
          <w:rFonts w:ascii="宋体" w:hAnsi="宋体" w:cs="Arial"/>
          <w:bCs/>
        </w:rPr>
        <w:t>境内</w:t>
      </w:r>
      <w:r>
        <w:rPr>
          <w:rFonts w:hint="eastAsia" w:ascii="宋体" w:hAnsi="宋体" w:cs="Arial"/>
          <w:bCs/>
        </w:rPr>
        <w:t>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24A7EF30">
      <w:pPr>
        <w:adjustRightInd w:val="0"/>
        <w:snapToGrid w:val="0"/>
        <w:spacing w:line="360" w:lineRule="auto"/>
        <w:ind w:firstLine="422" w:firstLineChars="200"/>
        <w:outlineLvl w:val="0"/>
        <w:rPr>
          <w:rFonts w:hint="eastAsia" w:ascii="宋体" w:hAnsi="宋体" w:cs="Arial"/>
          <w:b/>
        </w:rPr>
      </w:pPr>
      <w:r>
        <w:rPr>
          <w:rFonts w:hint="eastAsia" w:ascii="宋体" w:hAnsi="宋体" w:cs="Arial"/>
          <w:b/>
        </w:rPr>
        <w:t>二十三、</w:t>
      </w:r>
      <w:r>
        <w:rPr>
          <w:rFonts w:ascii="宋体" w:hAnsi="宋体" w:cs="Arial"/>
          <w:b/>
        </w:rPr>
        <w:t>管理风险与操作风险</w:t>
      </w:r>
      <w:bookmarkEnd w:id="166"/>
      <w:r>
        <w:rPr>
          <w:rFonts w:ascii="宋体" w:hAnsi="宋体" w:cs="Arial"/>
          <w:b/>
        </w:rPr>
        <w:t xml:space="preserve"> </w:t>
      </w:r>
    </w:p>
    <w:p w14:paraId="74992BBB">
      <w:pPr>
        <w:autoSpaceDE w:val="0"/>
        <w:autoSpaceDN w:val="0"/>
        <w:adjustRightInd w:val="0"/>
        <w:snapToGrid w:val="0"/>
        <w:spacing w:line="360" w:lineRule="auto"/>
        <w:ind w:firstLine="420" w:firstLineChars="200"/>
        <w:rPr>
          <w:rFonts w:hint="eastAsia" w:ascii="宋体" w:hAnsi="宋体" w:cs="Arial"/>
          <w:kern w:val="0"/>
          <w:szCs w:val="21"/>
        </w:rPr>
      </w:pPr>
      <w:r>
        <w:rPr>
          <w:rFonts w:ascii="宋体" w:hAnsi="宋体" w:cs="Arial"/>
          <w:kern w:val="0"/>
          <w:szCs w:val="21"/>
        </w:rPr>
        <w:t xml:space="preserve">基金管理人、基金托管人等相关当事人的业务发展状况、人员配备、管理水平与内部控制等对基金收益水平存在影响。因业务扩张过快、行业内过度竞争、对主要业务人员过度依赖等可能会产生影响投资人利益的风险。 </w:t>
      </w:r>
    </w:p>
    <w:p w14:paraId="2839C440">
      <w:pPr>
        <w:autoSpaceDE w:val="0"/>
        <w:autoSpaceDN w:val="0"/>
        <w:adjustRightInd w:val="0"/>
        <w:snapToGrid w:val="0"/>
        <w:spacing w:line="360" w:lineRule="auto"/>
        <w:ind w:firstLine="420" w:firstLineChars="200"/>
        <w:rPr>
          <w:rFonts w:hint="eastAsia" w:ascii="宋体" w:hAnsi="宋体" w:cs="Arial"/>
          <w:kern w:val="0"/>
          <w:szCs w:val="21"/>
        </w:rPr>
      </w:pPr>
      <w:r>
        <w:rPr>
          <w:rFonts w:ascii="宋体" w:hAnsi="宋体" w:cs="Arial"/>
          <w:kern w:val="0"/>
          <w:szCs w:val="21"/>
        </w:rPr>
        <w:t xml:space="preserve">相关当事人在业务各环节操作过程中，可能因内部控制存在缺陷或者人为因素造成操作失误或违反操作规程等引致风险，例如，申购赎回清单编制错误、越权违规交易、欺诈行为及交易错误等风险。 </w:t>
      </w:r>
    </w:p>
    <w:p w14:paraId="34936047">
      <w:pPr>
        <w:adjustRightInd w:val="0"/>
        <w:snapToGrid w:val="0"/>
        <w:spacing w:line="360" w:lineRule="auto"/>
        <w:ind w:firstLine="422" w:firstLineChars="200"/>
        <w:outlineLvl w:val="0"/>
        <w:rPr>
          <w:rFonts w:hint="eastAsia" w:ascii="宋体" w:hAnsi="宋体" w:cs="Arial"/>
          <w:b/>
        </w:rPr>
      </w:pPr>
      <w:bookmarkStart w:id="167" w:name="_Toc293495065"/>
      <w:r>
        <w:rPr>
          <w:rFonts w:hint="eastAsia" w:ascii="宋体" w:hAnsi="宋体" w:cs="Arial"/>
          <w:b/>
        </w:rPr>
        <w:t>二十四、</w:t>
      </w:r>
      <w:r>
        <w:rPr>
          <w:rFonts w:ascii="宋体" w:hAnsi="宋体" w:cs="Arial"/>
          <w:b/>
        </w:rPr>
        <w:t>技术风险</w:t>
      </w:r>
      <w:bookmarkEnd w:id="167"/>
    </w:p>
    <w:p w14:paraId="33697F47">
      <w:pPr>
        <w:autoSpaceDE w:val="0"/>
        <w:autoSpaceDN w:val="0"/>
        <w:adjustRightInd w:val="0"/>
        <w:snapToGrid w:val="0"/>
        <w:spacing w:line="360" w:lineRule="auto"/>
        <w:ind w:firstLine="420" w:firstLineChars="200"/>
        <w:rPr>
          <w:rFonts w:hint="eastAsia" w:ascii="宋体" w:hAnsi="宋体" w:cs="Arial"/>
          <w:kern w:val="0"/>
          <w:szCs w:val="21"/>
        </w:rPr>
      </w:pPr>
      <w:r>
        <w:rPr>
          <w:rFonts w:ascii="宋体" w:hAnsi="宋体" w:cs="Arial"/>
          <w:kern w:val="0"/>
          <w:szCs w:val="21"/>
        </w:rPr>
        <w:t>在本基金的投资、交易、服务与后台运作等业务过程中，可能因为技术系统的故障或差错导致投资人的利益受到影响。这种技术风险可能来自基金管理人、基金托管人、证券交易所、登记机构及销售代理机构等。</w:t>
      </w:r>
    </w:p>
    <w:p w14:paraId="214FFB7B">
      <w:pPr>
        <w:adjustRightInd w:val="0"/>
        <w:snapToGrid w:val="0"/>
        <w:spacing w:line="360" w:lineRule="auto"/>
        <w:ind w:firstLine="422" w:firstLineChars="200"/>
        <w:outlineLvl w:val="0"/>
        <w:rPr>
          <w:rFonts w:hint="eastAsia" w:ascii="宋体" w:hAnsi="宋体" w:cs="Arial"/>
          <w:b/>
        </w:rPr>
      </w:pPr>
      <w:bookmarkStart w:id="168" w:name="_Toc293495066"/>
      <w:r>
        <w:rPr>
          <w:rFonts w:hint="eastAsia" w:ascii="宋体" w:hAnsi="宋体" w:cs="Arial"/>
          <w:b/>
        </w:rPr>
        <w:t>二十五、</w:t>
      </w:r>
      <w:r>
        <w:rPr>
          <w:rFonts w:ascii="宋体" w:hAnsi="宋体" w:cs="Arial"/>
          <w:b/>
        </w:rPr>
        <w:t>不可抗力</w:t>
      </w:r>
      <w:bookmarkEnd w:id="168"/>
      <w:r>
        <w:rPr>
          <w:rFonts w:ascii="宋体" w:hAnsi="宋体" w:cs="Arial"/>
          <w:b/>
        </w:rPr>
        <w:t xml:space="preserve"> </w:t>
      </w:r>
    </w:p>
    <w:p w14:paraId="4ADCA56D">
      <w:pPr>
        <w:adjustRightInd w:val="0"/>
        <w:snapToGrid w:val="0"/>
        <w:spacing w:line="360" w:lineRule="auto"/>
        <w:ind w:firstLine="420" w:firstLineChars="200"/>
        <w:rPr>
          <w:rFonts w:hint="eastAsia" w:ascii="宋体" w:hAnsi="宋体" w:cs="Arial"/>
          <w:kern w:val="0"/>
          <w:szCs w:val="21"/>
        </w:rPr>
        <w:sectPr>
          <w:footerReference r:id="rId41" w:type="first"/>
          <w:footerReference r:id="rId40" w:type="default"/>
          <w:pgSz w:w="11906" w:h="16838"/>
          <w:pgMar w:top="1440" w:right="1800" w:bottom="1440" w:left="1800" w:header="851" w:footer="992" w:gutter="0"/>
          <w:cols w:space="720" w:num="1"/>
          <w:titlePg/>
          <w:docGrid w:type="lines" w:linePitch="312" w:charSpace="0"/>
        </w:sectPr>
      </w:pPr>
      <w:r>
        <w:rPr>
          <w:rFonts w:ascii="宋体" w:hAnsi="宋体" w:cs="Arial"/>
          <w:kern w:val="0"/>
          <w:szCs w:val="21"/>
        </w:rPr>
        <w:t>战争、自然灾害等不可抗力可能导致基金资产有遭受损失的风险。基金管理人、基金托管人、证券交易所、登记机构和销售代理机构等可能因不可抗力无法正常工作，从而影响基金的各项业务按正常时限完成。</w:t>
      </w:r>
    </w:p>
    <w:p w14:paraId="53FF5C00">
      <w:pPr>
        <w:pStyle w:val="2"/>
        <w:snapToGrid w:val="0"/>
        <w:spacing w:before="0" w:after="0" w:line="360" w:lineRule="auto"/>
        <w:ind w:firstLine="422" w:firstLineChars="150"/>
        <w:rPr>
          <w:rFonts w:hint="eastAsia" w:hAnsi="宋体" w:eastAsia="宋体" w:cs="Arial"/>
          <w:b/>
          <w:bCs/>
          <w:sz w:val="28"/>
          <w:szCs w:val="28"/>
        </w:rPr>
      </w:pPr>
      <w:bookmarkStart w:id="169" w:name="_Toc50661139"/>
      <w:bookmarkStart w:id="170" w:name="_Toc27726"/>
      <w:r>
        <w:rPr>
          <w:rFonts w:hAnsi="宋体" w:eastAsia="宋体" w:cs="Arial"/>
          <w:b/>
          <w:bCs/>
          <w:sz w:val="28"/>
          <w:szCs w:val="28"/>
        </w:rPr>
        <w:t>第</w:t>
      </w:r>
      <w:r>
        <w:rPr>
          <w:rFonts w:hint="eastAsia" w:hAnsi="宋体" w:eastAsia="宋体" w:cs="Arial"/>
          <w:b/>
          <w:bCs/>
          <w:sz w:val="28"/>
          <w:szCs w:val="28"/>
        </w:rPr>
        <w:t>十九</w:t>
      </w:r>
      <w:r>
        <w:rPr>
          <w:rFonts w:hAnsi="宋体" w:eastAsia="宋体" w:cs="Arial"/>
          <w:b/>
          <w:bCs/>
          <w:sz w:val="28"/>
          <w:szCs w:val="28"/>
        </w:rPr>
        <w:t xml:space="preserve">部分  </w:t>
      </w:r>
      <w:bookmarkEnd w:id="150"/>
      <w:bookmarkEnd w:id="151"/>
      <w:bookmarkEnd w:id="152"/>
      <w:bookmarkEnd w:id="153"/>
      <w:r>
        <w:rPr>
          <w:rFonts w:hAnsi="宋体" w:eastAsia="宋体" w:cs="Arial"/>
          <w:b/>
          <w:bCs/>
          <w:sz w:val="28"/>
          <w:szCs w:val="28"/>
        </w:rPr>
        <w:t>基金合同的变更、终止与基金财产的清算</w:t>
      </w:r>
      <w:bookmarkEnd w:id="154"/>
      <w:bookmarkEnd w:id="169"/>
      <w:bookmarkEnd w:id="170"/>
    </w:p>
    <w:p w14:paraId="2F801504">
      <w:pPr>
        <w:spacing w:line="360" w:lineRule="auto"/>
        <w:rPr>
          <w:rFonts w:hint="eastAsia" w:ascii="宋体" w:hAnsi="宋体"/>
        </w:rPr>
      </w:pPr>
    </w:p>
    <w:p w14:paraId="727E147D">
      <w:pPr>
        <w:spacing w:line="360" w:lineRule="auto"/>
        <w:ind w:firstLine="422" w:firstLineChars="200"/>
        <w:rPr>
          <w:rFonts w:hint="eastAsia" w:ascii="宋体" w:hAnsi="宋体" w:cs="Arial"/>
          <w:b/>
          <w:szCs w:val="21"/>
        </w:rPr>
      </w:pPr>
      <w:bookmarkStart w:id="171" w:name="_Toc214873607"/>
      <w:r>
        <w:rPr>
          <w:rFonts w:ascii="宋体" w:hAnsi="宋体" w:cs="Arial"/>
          <w:b/>
          <w:szCs w:val="21"/>
        </w:rPr>
        <w:t>一、基金合同的变更</w:t>
      </w:r>
    </w:p>
    <w:p w14:paraId="6BEF3BD4">
      <w:pPr>
        <w:spacing w:line="360" w:lineRule="auto"/>
        <w:ind w:firstLine="420" w:firstLineChars="200"/>
        <w:rPr>
          <w:rFonts w:hint="eastAsia" w:ascii="宋体" w:hAnsi="宋体" w:cs="Arial"/>
          <w:bCs/>
          <w:szCs w:val="21"/>
        </w:rPr>
      </w:pPr>
      <w:r>
        <w:rPr>
          <w:rFonts w:ascii="宋体" w:hAnsi="宋体" w:cs="Arial"/>
          <w:bCs/>
          <w:szCs w:val="21"/>
        </w:rPr>
        <w:t>1</w:t>
      </w:r>
      <w:r>
        <w:rPr>
          <w:rFonts w:hint="eastAsia" w:ascii="宋体" w:hAnsi="宋体" w:cs="Arial"/>
          <w:bCs/>
          <w:szCs w:val="21"/>
        </w:rPr>
        <w:t>、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w:t>
      </w:r>
    </w:p>
    <w:p w14:paraId="6D718C93">
      <w:pPr>
        <w:spacing w:line="360" w:lineRule="auto"/>
        <w:ind w:firstLine="420" w:firstLineChars="200"/>
        <w:rPr>
          <w:rFonts w:hint="eastAsia" w:ascii="宋体" w:hAnsi="宋体" w:cs="Arial"/>
          <w:bCs/>
          <w:szCs w:val="21"/>
        </w:rPr>
      </w:pPr>
      <w:r>
        <w:rPr>
          <w:rFonts w:ascii="宋体" w:hAnsi="宋体" w:cs="Arial"/>
          <w:bCs/>
          <w:szCs w:val="21"/>
        </w:rPr>
        <w:t>2</w:t>
      </w:r>
      <w:r>
        <w:rPr>
          <w:rFonts w:hint="eastAsia" w:ascii="宋体" w:hAnsi="宋体" w:cs="Arial"/>
          <w:bCs/>
          <w:szCs w:val="21"/>
        </w:rPr>
        <w:t>、关于《基金合同》变更的基金份额持有人大会决议自生效后方可执行，自决议生效后按规定在规定媒介公告。</w:t>
      </w:r>
    </w:p>
    <w:p w14:paraId="6B27D41C">
      <w:pPr>
        <w:spacing w:line="360" w:lineRule="auto"/>
        <w:ind w:firstLine="422" w:firstLineChars="200"/>
        <w:rPr>
          <w:rFonts w:hint="eastAsia" w:ascii="宋体" w:hAnsi="宋体" w:cs="Arial"/>
          <w:b/>
          <w:szCs w:val="21"/>
        </w:rPr>
      </w:pPr>
      <w:r>
        <w:rPr>
          <w:rFonts w:ascii="宋体" w:hAnsi="宋体" w:cs="Arial"/>
          <w:b/>
          <w:szCs w:val="21"/>
        </w:rPr>
        <w:t>二、基金合同的终止</w:t>
      </w:r>
      <w:r>
        <w:rPr>
          <w:rFonts w:hint="eastAsia" w:ascii="宋体" w:hAnsi="宋体" w:cs="Arial"/>
          <w:b/>
          <w:szCs w:val="21"/>
        </w:rPr>
        <w:t>事由</w:t>
      </w:r>
    </w:p>
    <w:p w14:paraId="29107C24">
      <w:pPr>
        <w:spacing w:line="360" w:lineRule="auto"/>
        <w:ind w:firstLine="420" w:firstLineChars="200"/>
        <w:rPr>
          <w:rFonts w:hint="eastAsia" w:ascii="宋体" w:hAnsi="宋体" w:cs="Arial"/>
          <w:bCs/>
          <w:szCs w:val="21"/>
        </w:rPr>
      </w:pPr>
      <w:r>
        <w:rPr>
          <w:rFonts w:hint="eastAsia" w:ascii="宋体" w:hAnsi="宋体" w:cs="Arial"/>
          <w:bCs/>
          <w:szCs w:val="21"/>
        </w:rPr>
        <w:t>有下列情形之一的，经履行相关程序后，《基金合同》应当终止：</w:t>
      </w:r>
    </w:p>
    <w:p w14:paraId="3158F728">
      <w:pPr>
        <w:spacing w:line="360" w:lineRule="auto"/>
        <w:ind w:firstLine="420" w:firstLineChars="200"/>
        <w:rPr>
          <w:rFonts w:hint="eastAsia" w:ascii="宋体" w:hAnsi="宋体" w:cs="Arial"/>
          <w:bCs/>
          <w:szCs w:val="21"/>
        </w:rPr>
      </w:pPr>
      <w:r>
        <w:rPr>
          <w:rFonts w:hint="eastAsia" w:ascii="宋体" w:hAnsi="宋体" w:cs="Arial"/>
          <w:bCs/>
          <w:szCs w:val="21"/>
        </w:rPr>
        <w:t>1、基金份额持有人大会决定终止的；</w:t>
      </w:r>
    </w:p>
    <w:p w14:paraId="4EAB897B">
      <w:pPr>
        <w:spacing w:line="360" w:lineRule="auto"/>
        <w:ind w:firstLine="420" w:firstLineChars="200"/>
        <w:rPr>
          <w:rFonts w:hint="eastAsia" w:ascii="宋体" w:hAnsi="宋体" w:cs="Arial"/>
          <w:bCs/>
          <w:szCs w:val="21"/>
        </w:rPr>
      </w:pPr>
      <w:r>
        <w:rPr>
          <w:rFonts w:hint="eastAsia" w:ascii="宋体" w:hAnsi="宋体" w:cs="Arial"/>
          <w:bCs/>
          <w:szCs w:val="21"/>
        </w:rPr>
        <w:t>2、基金管理人、基金托管人职责终止，在6个月内没有新基金管理人、新基金托管人承接的；</w:t>
      </w:r>
    </w:p>
    <w:p w14:paraId="3325E0AE">
      <w:pPr>
        <w:spacing w:line="360" w:lineRule="auto"/>
        <w:ind w:firstLine="420" w:firstLineChars="200"/>
        <w:rPr>
          <w:rFonts w:hint="eastAsia" w:ascii="宋体" w:hAnsi="宋体" w:cs="Arial"/>
          <w:bCs/>
          <w:szCs w:val="21"/>
        </w:rPr>
      </w:pPr>
      <w:r>
        <w:rPr>
          <w:rFonts w:ascii="宋体" w:hAnsi="宋体" w:cs="Arial"/>
          <w:bCs/>
          <w:szCs w:val="21"/>
        </w:rPr>
        <w:t>3</w:t>
      </w:r>
      <w:r>
        <w:rPr>
          <w:rFonts w:hint="eastAsia" w:ascii="宋体" w:hAnsi="宋体" w:cs="Arial"/>
          <w:bCs/>
          <w:szCs w:val="21"/>
        </w:rPr>
        <w:t>、《基金合同》约定的其他情形；</w:t>
      </w:r>
    </w:p>
    <w:p w14:paraId="1E3EEAF7">
      <w:pPr>
        <w:spacing w:line="360" w:lineRule="auto"/>
        <w:ind w:firstLine="420" w:firstLineChars="200"/>
        <w:rPr>
          <w:rFonts w:hint="eastAsia" w:ascii="宋体" w:hAnsi="宋体" w:cs="Arial"/>
          <w:bCs/>
          <w:szCs w:val="21"/>
        </w:rPr>
      </w:pPr>
      <w:r>
        <w:rPr>
          <w:rFonts w:ascii="宋体" w:hAnsi="宋体" w:cs="Arial"/>
          <w:bCs/>
          <w:szCs w:val="21"/>
        </w:rPr>
        <w:t>4</w:t>
      </w:r>
      <w:r>
        <w:rPr>
          <w:rFonts w:hint="eastAsia" w:ascii="宋体" w:hAnsi="宋体" w:cs="Arial"/>
          <w:bCs/>
          <w:szCs w:val="21"/>
        </w:rPr>
        <w:t>、相关法律法规和中国证监会规定的其他情况。</w:t>
      </w:r>
    </w:p>
    <w:p w14:paraId="39B23BB6">
      <w:pPr>
        <w:snapToGrid w:val="0"/>
        <w:spacing w:line="360" w:lineRule="auto"/>
        <w:ind w:firstLine="422" w:firstLineChars="200"/>
        <w:rPr>
          <w:rFonts w:hint="eastAsia" w:ascii="宋体" w:hAnsi="宋体"/>
          <w:b/>
          <w:szCs w:val="21"/>
        </w:rPr>
      </w:pPr>
      <w:bookmarkStart w:id="172" w:name="_Toc50661140"/>
      <w:r>
        <w:rPr>
          <w:rFonts w:hint="eastAsia" w:ascii="宋体" w:hAnsi="宋体"/>
          <w:b/>
          <w:szCs w:val="21"/>
        </w:rPr>
        <w:t>三、基金财产的清算</w:t>
      </w:r>
    </w:p>
    <w:p w14:paraId="7232D182">
      <w:pPr>
        <w:snapToGrid w:val="0"/>
        <w:spacing w:line="360" w:lineRule="auto"/>
        <w:ind w:firstLine="420" w:firstLineChars="200"/>
        <w:rPr>
          <w:rFonts w:hint="eastAsia" w:ascii="宋体" w:hAnsi="宋体"/>
          <w:szCs w:val="21"/>
        </w:rPr>
      </w:pPr>
      <w:r>
        <w:rPr>
          <w:rFonts w:ascii="宋体" w:hAnsi="宋体"/>
          <w:szCs w:val="21"/>
        </w:rPr>
        <w:t>1</w:t>
      </w:r>
      <w:r>
        <w:rPr>
          <w:rFonts w:hint="eastAsia" w:ascii="宋体" w:hAnsi="宋体"/>
          <w:szCs w:val="21"/>
        </w:rPr>
        <w:t>、基金财产清算小组：自出现《基金合同》终止事由之日起</w:t>
      </w:r>
      <w:r>
        <w:rPr>
          <w:rFonts w:ascii="宋体" w:hAnsi="宋体"/>
          <w:szCs w:val="21"/>
        </w:rPr>
        <w:t>30</w:t>
      </w:r>
      <w:r>
        <w:rPr>
          <w:rFonts w:hint="eastAsia" w:ascii="宋体" w:hAnsi="宋体"/>
          <w:szCs w:val="21"/>
        </w:rPr>
        <w:t>个工作日内成立基金财产清算小组，基金管理人组织基金财产清算小组并在中国证监会的监督下进行基金清算。</w:t>
      </w:r>
    </w:p>
    <w:p w14:paraId="290FE02E">
      <w:pPr>
        <w:snapToGrid w:val="0"/>
        <w:spacing w:line="360" w:lineRule="auto"/>
        <w:ind w:firstLine="420" w:firstLineChars="200"/>
        <w:rPr>
          <w:rFonts w:hint="eastAsia" w:ascii="宋体" w:hAnsi="宋体"/>
          <w:szCs w:val="21"/>
        </w:rPr>
      </w:pPr>
      <w:r>
        <w:rPr>
          <w:rFonts w:hint="eastAsia" w:ascii="宋体" w:hAnsi="宋体"/>
          <w:szCs w:val="21"/>
        </w:rPr>
        <w:t>2、在基金财产清算小组接管基金财产之前，基金管理人和基金托管人应按照《基金合同》和托管协议的规定继续履行保护基金财产安全的职责。</w:t>
      </w:r>
    </w:p>
    <w:p w14:paraId="0D63F036">
      <w:pPr>
        <w:snapToGrid w:val="0"/>
        <w:spacing w:line="360" w:lineRule="auto"/>
        <w:ind w:firstLine="420" w:firstLineChars="200"/>
        <w:rPr>
          <w:rFonts w:hint="eastAsia" w:ascii="宋体" w:hAnsi="宋体"/>
          <w:szCs w:val="21"/>
        </w:rPr>
      </w:pPr>
      <w:r>
        <w:rPr>
          <w:rFonts w:hint="eastAsia" w:ascii="宋体" w:hAnsi="宋体"/>
          <w:szCs w:val="21"/>
        </w:rPr>
        <w:t>3、基金财产清算小组组成：基金财产清算小组成员由基金管理人、基金托管人、具有从事证券相关业务资格的注册会计师、律师以及中国证监会指定的人员组成。基金财产清算小组可以聘用必要的工作人员。</w:t>
      </w:r>
    </w:p>
    <w:p w14:paraId="469A38A0">
      <w:pPr>
        <w:snapToGrid w:val="0"/>
        <w:spacing w:line="360" w:lineRule="auto"/>
        <w:ind w:firstLine="420" w:firstLineChars="200"/>
        <w:rPr>
          <w:rFonts w:hint="eastAsia" w:ascii="宋体" w:hAnsi="宋体"/>
          <w:szCs w:val="21"/>
        </w:rPr>
      </w:pPr>
      <w:r>
        <w:rPr>
          <w:rFonts w:hint="eastAsia" w:ascii="宋体" w:hAnsi="宋体"/>
          <w:szCs w:val="21"/>
        </w:rPr>
        <w:t>4、基金财产清算小组职责：基金财产清算小组负责基金财产的保管、清理、估价、变现和分配。基金财产清算小组可以依法进行必要的民事活动。</w:t>
      </w:r>
    </w:p>
    <w:p w14:paraId="2446807C">
      <w:pPr>
        <w:snapToGrid w:val="0"/>
        <w:spacing w:line="360" w:lineRule="auto"/>
        <w:ind w:firstLine="420" w:firstLineChars="200"/>
        <w:rPr>
          <w:rFonts w:hint="eastAsia" w:ascii="宋体" w:hAnsi="宋体"/>
          <w:szCs w:val="21"/>
        </w:rPr>
      </w:pPr>
      <w:r>
        <w:rPr>
          <w:rFonts w:hint="eastAsia" w:ascii="宋体" w:hAnsi="宋体"/>
          <w:szCs w:val="21"/>
        </w:rPr>
        <w:t>5、基金财产清算程序：</w:t>
      </w:r>
    </w:p>
    <w:p w14:paraId="3AB072DA">
      <w:pPr>
        <w:snapToGrid w:val="0"/>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1</w:t>
      </w:r>
      <w:r>
        <w:rPr>
          <w:rFonts w:hint="eastAsia" w:ascii="宋体" w:hAnsi="宋体"/>
          <w:szCs w:val="21"/>
        </w:rPr>
        <w:t>）《基金合同》终止情形出现时，由基金财产清算小组统一接管基金；</w:t>
      </w:r>
    </w:p>
    <w:p w14:paraId="5DA02876">
      <w:pPr>
        <w:snapToGrid w:val="0"/>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2</w:t>
      </w:r>
      <w:r>
        <w:rPr>
          <w:rFonts w:hint="eastAsia" w:ascii="宋体" w:hAnsi="宋体"/>
          <w:szCs w:val="21"/>
        </w:rPr>
        <w:t>）对基金财产和债权债务进行清理和确认；</w:t>
      </w:r>
    </w:p>
    <w:p w14:paraId="41776020">
      <w:pPr>
        <w:snapToGrid w:val="0"/>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3</w:t>
      </w:r>
      <w:r>
        <w:rPr>
          <w:rFonts w:hint="eastAsia" w:ascii="宋体" w:hAnsi="宋体"/>
          <w:szCs w:val="21"/>
        </w:rPr>
        <w:t>）对基金财产进行估值和变现；</w:t>
      </w:r>
    </w:p>
    <w:p w14:paraId="72558DBD">
      <w:pPr>
        <w:snapToGrid w:val="0"/>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4</w:t>
      </w:r>
      <w:r>
        <w:rPr>
          <w:rFonts w:hint="eastAsia" w:ascii="宋体" w:hAnsi="宋体"/>
          <w:szCs w:val="21"/>
        </w:rPr>
        <w:t>）制作清算报告；</w:t>
      </w:r>
    </w:p>
    <w:p w14:paraId="4DA32C16">
      <w:pPr>
        <w:snapToGrid w:val="0"/>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5</w:t>
      </w:r>
      <w:r>
        <w:rPr>
          <w:rFonts w:hint="eastAsia" w:ascii="宋体" w:hAnsi="宋体"/>
          <w:szCs w:val="21"/>
        </w:rPr>
        <w:t>）聘请会计师事务所对清算报告进行外部审计，聘请律师事务所对清算报告出具法律意见书；</w:t>
      </w:r>
    </w:p>
    <w:p w14:paraId="15F41939">
      <w:pPr>
        <w:snapToGrid w:val="0"/>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6</w:t>
      </w:r>
      <w:r>
        <w:rPr>
          <w:rFonts w:hint="eastAsia" w:ascii="宋体" w:hAnsi="宋体"/>
          <w:szCs w:val="21"/>
        </w:rPr>
        <w:t>）将清算报告报中国证监会备案并公告；</w:t>
      </w:r>
    </w:p>
    <w:p w14:paraId="6B77F84E">
      <w:pPr>
        <w:snapToGrid w:val="0"/>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7</w:t>
      </w:r>
      <w:r>
        <w:rPr>
          <w:rFonts w:hint="eastAsia" w:ascii="宋体" w:hAnsi="宋体"/>
          <w:szCs w:val="21"/>
        </w:rPr>
        <w:t>）对基金剩余财产进行分配。</w:t>
      </w:r>
    </w:p>
    <w:p w14:paraId="6594D8F5">
      <w:pPr>
        <w:snapToGrid w:val="0"/>
        <w:spacing w:line="360" w:lineRule="auto"/>
        <w:ind w:firstLine="420" w:firstLineChars="200"/>
        <w:rPr>
          <w:rFonts w:hint="eastAsia" w:ascii="宋体" w:hAnsi="宋体"/>
          <w:szCs w:val="21"/>
        </w:rPr>
      </w:pPr>
      <w:r>
        <w:rPr>
          <w:rFonts w:hint="eastAsia" w:ascii="宋体" w:hAnsi="宋体"/>
          <w:szCs w:val="21"/>
        </w:rPr>
        <w:t>6、基金财产清算的期限为6个月，但因本基金所持证券的流动性受到限制而不能及时变现的，清算期限相应顺延。</w:t>
      </w:r>
    </w:p>
    <w:p w14:paraId="037A3ADD">
      <w:pPr>
        <w:snapToGrid w:val="0"/>
        <w:spacing w:line="360" w:lineRule="auto"/>
        <w:ind w:firstLine="422" w:firstLineChars="200"/>
        <w:rPr>
          <w:rFonts w:hint="eastAsia" w:ascii="宋体" w:hAnsi="宋体"/>
          <w:b/>
          <w:szCs w:val="21"/>
        </w:rPr>
      </w:pPr>
      <w:r>
        <w:rPr>
          <w:rFonts w:hint="eastAsia" w:ascii="宋体" w:hAnsi="宋体"/>
          <w:b/>
          <w:szCs w:val="21"/>
        </w:rPr>
        <w:t>四、清算费用</w:t>
      </w:r>
    </w:p>
    <w:p w14:paraId="0D403D1C">
      <w:pPr>
        <w:snapToGrid w:val="0"/>
        <w:spacing w:line="360" w:lineRule="auto"/>
        <w:ind w:firstLine="420" w:firstLineChars="200"/>
        <w:rPr>
          <w:rFonts w:hint="eastAsia" w:ascii="宋体" w:hAnsi="宋体"/>
          <w:szCs w:val="21"/>
        </w:rPr>
      </w:pPr>
      <w:r>
        <w:rPr>
          <w:rFonts w:hint="eastAsia" w:ascii="宋体" w:hAnsi="宋体"/>
          <w:szCs w:val="21"/>
        </w:rPr>
        <w:t>清算费用是指基金财产清算小组在进行基金财产清算过程中发生的所有合理费用，清算费用由基金财产清算小组优先从基金剩余财产中支付。</w:t>
      </w:r>
    </w:p>
    <w:p w14:paraId="4EF3C37E">
      <w:pPr>
        <w:snapToGrid w:val="0"/>
        <w:spacing w:line="360" w:lineRule="auto"/>
        <w:ind w:firstLine="422" w:firstLineChars="200"/>
        <w:rPr>
          <w:rFonts w:hint="eastAsia" w:ascii="宋体" w:hAnsi="宋体"/>
          <w:b/>
          <w:szCs w:val="21"/>
        </w:rPr>
      </w:pPr>
      <w:r>
        <w:rPr>
          <w:rFonts w:hint="eastAsia" w:ascii="宋体" w:hAnsi="宋体"/>
          <w:b/>
          <w:szCs w:val="21"/>
        </w:rPr>
        <w:t>五、基金财产清算剩余资产的分配</w:t>
      </w:r>
    </w:p>
    <w:p w14:paraId="32A4A1DC">
      <w:pPr>
        <w:snapToGrid w:val="0"/>
        <w:spacing w:line="360" w:lineRule="auto"/>
        <w:ind w:firstLine="420" w:firstLineChars="200"/>
        <w:rPr>
          <w:rFonts w:hint="eastAsia" w:ascii="宋体" w:hAnsi="宋体"/>
          <w:szCs w:val="21"/>
        </w:rPr>
      </w:pPr>
      <w:r>
        <w:rPr>
          <w:rFonts w:hint="eastAsia" w:ascii="宋体" w:hAnsi="宋体"/>
          <w:szCs w:val="21"/>
        </w:rPr>
        <w:t>依据基金财产清算的分配方案，将基金财产清算后的全部剩余资产扣除基金财产清算费用、交纳所欠税款并清偿基金债务后，按基金份额持有人持有的基金份额比例进行分配。</w:t>
      </w:r>
    </w:p>
    <w:p w14:paraId="02683D25">
      <w:pPr>
        <w:snapToGrid w:val="0"/>
        <w:spacing w:line="360" w:lineRule="auto"/>
        <w:ind w:firstLine="422" w:firstLineChars="200"/>
        <w:rPr>
          <w:rFonts w:hint="eastAsia" w:ascii="宋体" w:hAnsi="宋体"/>
          <w:b/>
          <w:szCs w:val="21"/>
        </w:rPr>
      </w:pPr>
      <w:r>
        <w:rPr>
          <w:rFonts w:hint="eastAsia" w:ascii="宋体" w:hAnsi="宋体"/>
          <w:b/>
          <w:szCs w:val="21"/>
        </w:rPr>
        <w:t>六、基金财产清算的公告</w:t>
      </w:r>
    </w:p>
    <w:p w14:paraId="7605CC0D">
      <w:pPr>
        <w:snapToGrid w:val="0"/>
        <w:spacing w:line="360" w:lineRule="auto"/>
        <w:ind w:firstLine="420" w:firstLineChars="200"/>
        <w:rPr>
          <w:rFonts w:hint="eastAsia" w:ascii="宋体" w:hAnsi="宋体"/>
          <w:szCs w:val="21"/>
        </w:rPr>
      </w:pPr>
      <w:r>
        <w:rPr>
          <w:rFonts w:hint="eastAsia" w:ascii="宋体" w:hAnsi="宋体"/>
          <w:szCs w:val="21"/>
        </w:rPr>
        <w:t>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2C27EB07">
      <w:pPr>
        <w:snapToGrid w:val="0"/>
        <w:spacing w:line="360" w:lineRule="auto"/>
        <w:ind w:firstLine="422" w:firstLineChars="200"/>
        <w:rPr>
          <w:rFonts w:hint="eastAsia" w:ascii="宋体" w:hAnsi="宋体"/>
          <w:b/>
          <w:szCs w:val="21"/>
        </w:rPr>
      </w:pPr>
      <w:r>
        <w:rPr>
          <w:rFonts w:hint="eastAsia" w:ascii="宋体" w:hAnsi="宋体"/>
          <w:b/>
          <w:szCs w:val="21"/>
        </w:rPr>
        <w:t>七、基金财产清算账册及文件的保存</w:t>
      </w:r>
    </w:p>
    <w:p w14:paraId="233F1B55">
      <w:pPr>
        <w:snapToGrid w:val="0"/>
        <w:spacing w:line="360" w:lineRule="auto"/>
        <w:ind w:firstLine="420" w:firstLineChars="200"/>
        <w:rPr>
          <w:rFonts w:hint="eastAsia" w:ascii="宋体" w:hAnsi="宋体"/>
          <w:szCs w:val="21"/>
        </w:rPr>
      </w:pPr>
      <w:r>
        <w:rPr>
          <w:rFonts w:hint="eastAsia" w:ascii="宋体" w:hAnsi="宋体"/>
          <w:szCs w:val="21"/>
        </w:rPr>
        <w:t>基金财产清算账册及有关文件由基金托管人保存，保存期限不低于法定最低期限。</w:t>
      </w:r>
    </w:p>
    <w:p w14:paraId="24FCC79F">
      <w:pPr>
        <w:snapToGrid w:val="0"/>
        <w:spacing w:line="360" w:lineRule="auto"/>
        <w:ind w:firstLine="480" w:firstLineChars="200"/>
        <w:rPr>
          <w:rFonts w:hint="eastAsia" w:ascii="宋体" w:hAnsi="宋体"/>
          <w:sz w:val="24"/>
        </w:rPr>
        <w:sectPr>
          <w:footerReference r:id="rId43" w:type="first"/>
          <w:footerReference r:id="rId42" w:type="default"/>
          <w:pgSz w:w="11906" w:h="16838"/>
          <w:pgMar w:top="1440" w:right="1800" w:bottom="1440" w:left="1800" w:header="851" w:footer="992" w:gutter="0"/>
          <w:cols w:space="720" w:num="1"/>
          <w:titlePg/>
          <w:docGrid w:type="lines" w:linePitch="312" w:charSpace="0"/>
        </w:sectPr>
      </w:pPr>
    </w:p>
    <w:p w14:paraId="5D690BC9">
      <w:pPr>
        <w:pStyle w:val="2"/>
        <w:snapToGrid w:val="0"/>
        <w:spacing w:before="0" w:after="0" w:line="360" w:lineRule="auto"/>
        <w:rPr>
          <w:rFonts w:hint="eastAsia" w:hAnsi="宋体" w:eastAsia="宋体" w:cs="Arial"/>
          <w:b/>
          <w:bCs/>
          <w:sz w:val="28"/>
          <w:szCs w:val="28"/>
        </w:rPr>
      </w:pPr>
      <w:bookmarkStart w:id="173" w:name="_Toc31310"/>
      <w:bookmarkStart w:id="174" w:name="_Hlk169032441"/>
      <w:r>
        <w:rPr>
          <w:rFonts w:hAnsi="宋体" w:eastAsia="宋体" w:cs="Arial"/>
          <w:b/>
          <w:bCs/>
          <w:sz w:val="28"/>
          <w:szCs w:val="28"/>
        </w:rPr>
        <w:t>第</w:t>
      </w:r>
      <w:r>
        <w:rPr>
          <w:rFonts w:hint="eastAsia" w:hAnsi="宋体" w:eastAsia="宋体" w:cs="Arial"/>
          <w:b/>
          <w:bCs/>
          <w:sz w:val="28"/>
          <w:szCs w:val="28"/>
        </w:rPr>
        <w:t>二十</w:t>
      </w:r>
      <w:r>
        <w:rPr>
          <w:rFonts w:hAnsi="宋体" w:eastAsia="宋体" w:cs="Arial"/>
          <w:b/>
          <w:bCs/>
          <w:sz w:val="28"/>
          <w:szCs w:val="28"/>
        </w:rPr>
        <w:t>部分  基金合同的内容摘要</w:t>
      </w:r>
      <w:bookmarkEnd w:id="171"/>
      <w:bookmarkEnd w:id="172"/>
      <w:bookmarkEnd w:id="173"/>
    </w:p>
    <w:p w14:paraId="5FB088C8">
      <w:pPr>
        <w:adjustRightInd w:val="0"/>
        <w:snapToGrid w:val="0"/>
        <w:spacing w:line="360" w:lineRule="auto"/>
        <w:rPr>
          <w:rFonts w:hint="eastAsia" w:ascii="宋体" w:hAnsi="宋体" w:cs="宋体"/>
          <w:b/>
          <w:color w:val="0D0D0D" w:themeColor="text1" w:themeTint="F2"/>
          <w:szCs w:val="21"/>
          <w14:textFill>
            <w14:solidFill>
              <w14:schemeClr w14:val="tx1">
                <w14:lumMod w14:val="95000"/>
                <w14:lumOff w14:val="5000"/>
              </w14:schemeClr>
            </w14:solidFill>
          </w14:textFill>
        </w:rPr>
      </w:pPr>
      <w:bookmarkStart w:id="175" w:name="_Toc214873614"/>
      <w:r>
        <w:rPr>
          <w:rFonts w:hint="eastAsia" w:ascii="宋体" w:hAnsi="宋体" w:cs="宋体"/>
          <w:b/>
          <w:color w:val="0D0D0D" w:themeColor="text1" w:themeTint="F2"/>
          <w:szCs w:val="21"/>
          <w14:textFill>
            <w14:solidFill>
              <w14:schemeClr w14:val="tx1">
                <w14:lumMod w14:val="95000"/>
                <w14:lumOff w14:val="5000"/>
              </w14:schemeClr>
            </w14:solidFill>
          </w14:textFill>
        </w:rPr>
        <w:t>一、基金份额持有人、基金管理人和基金托管人的权利、义务</w:t>
      </w:r>
    </w:p>
    <w:p w14:paraId="09749798">
      <w:pPr>
        <w:spacing w:line="360" w:lineRule="auto"/>
        <w:ind w:firstLine="420" w:firstLineChars="200"/>
        <w:rPr>
          <w:rFonts w:hint="eastAsia" w:ascii="宋体" w:hAnsi="宋体" w:cs="宋体"/>
          <w:szCs w:val="21"/>
        </w:rPr>
      </w:pPr>
      <w:r>
        <w:rPr>
          <w:rFonts w:hint="eastAsia" w:ascii="宋体" w:hAnsi="宋体" w:cs="宋体"/>
          <w:szCs w:val="21"/>
        </w:rPr>
        <w:t>（一）基金份额持有人的权利与义务</w:t>
      </w:r>
    </w:p>
    <w:p w14:paraId="1FEC38AA">
      <w:pPr>
        <w:spacing w:line="360" w:lineRule="auto"/>
        <w:ind w:firstLine="420" w:firstLineChars="200"/>
        <w:rPr>
          <w:rFonts w:hint="eastAsia" w:ascii="宋体" w:hAnsi="宋体" w:cs="宋体"/>
          <w:szCs w:val="21"/>
        </w:rPr>
      </w:pPr>
      <w:r>
        <w:rPr>
          <w:rFonts w:hint="eastAsia" w:ascii="宋体" w:hAnsi="宋体" w:cs="宋体"/>
          <w:szCs w:val="21"/>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66FDAFF1">
      <w:pPr>
        <w:spacing w:line="360" w:lineRule="auto"/>
        <w:ind w:firstLine="420" w:firstLineChars="200"/>
        <w:rPr>
          <w:rFonts w:hint="eastAsia" w:ascii="宋体" w:hAnsi="宋体" w:cs="宋体"/>
          <w:szCs w:val="21"/>
        </w:rPr>
      </w:pPr>
      <w:r>
        <w:rPr>
          <w:rFonts w:hint="eastAsia" w:ascii="宋体" w:hAnsi="宋体" w:cs="宋体"/>
          <w:szCs w:val="21"/>
        </w:rPr>
        <w:t>每份基金份额具有同等的合法权益。</w:t>
      </w:r>
    </w:p>
    <w:p w14:paraId="4EB8144C">
      <w:pPr>
        <w:spacing w:line="360" w:lineRule="auto"/>
        <w:rPr>
          <w:rFonts w:hint="eastAsia" w:ascii="宋体" w:hAnsi="宋体" w:cs="宋体"/>
          <w:szCs w:val="21"/>
        </w:rPr>
      </w:pPr>
      <w:r>
        <w:rPr>
          <w:rFonts w:hint="eastAsia" w:ascii="宋体" w:hAnsi="宋体" w:cs="宋体"/>
          <w:szCs w:val="21"/>
        </w:rPr>
        <w:t>1、根据《基金法》、《运作办法》及其他有关规定，基金份额持有人的权利包括但不限于：</w:t>
      </w:r>
    </w:p>
    <w:p w14:paraId="01C2FC9F">
      <w:pPr>
        <w:spacing w:line="360" w:lineRule="auto"/>
        <w:ind w:firstLine="420" w:firstLineChars="200"/>
        <w:rPr>
          <w:rFonts w:hint="eastAsia" w:ascii="宋体" w:hAnsi="宋体" w:cs="宋体"/>
          <w:szCs w:val="21"/>
        </w:rPr>
      </w:pPr>
      <w:r>
        <w:rPr>
          <w:rFonts w:hint="eastAsia" w:ascii="宋体" w:hAnsi="宋体" w:cs="宋体"/>
          <w:szCs w:val="21"/>
        </w:rPr>
        <w:t>（1）分享基金财产收益；</w:t>
      </w:r>
    </w:p>
    <w:p w14:paraId="1E4333C9">
      <w:pPr>
        <w:spacing w:line="360" w:lineRule="auto"/>
        <w:ind w:firstLine="420" w:firstLineChars="200"/>
        <w:rPr>
          <w:rFonts w:hint="eastAsia" w:ascii="宋体" w:hAnsi="宋体" w:cs="宋体"/>
          <w:szCs w:val="21"/>
        </w:rPr>
      </w:pPr>
      <w:r>
        <w:rPr>
          <w:rFonts w:hint="eastAsia" w:ascii="宋体" w:hAnsi="宋体" w:cs="宋体"/>
          <w:szCs w:val="21"/>
        </w:rPr>
        <w:t>（2）参与分配清算后的剩余基金财产；</w:t>
      </w:r>
    </w:p>
    <w:p w14:paraId="1EA07221">
      <w:pPr>
        <w:spacing w:line="360" w:lineRule="auto"/>
        <w:ind w:firstLine="420" w:firstLineChars="200"/>
        <w:rPr>
          <w:rFonts w:hint="eastAsia" w:ascii="宋体" w:hAnsi="宋体" w:cs="宋体"/>
          <w:szCs w:val="21"/>
        </w:rPr>
      </w:pPr>
      <w:r>
        <w:rPr>
          <w:rFonts w:hint="eastAsia" w:ascii="宋体" w:hAnsi="宋体" w:cs="宋体"/>
          <w:szCs w:val="21"/>
        </w:rPr>
        <w:t>（3）依法转让或者申请赎回其持有的基金份额；</w:t>
      </w:r>
    </w:p>
    <w:p w14:paraId="445EE457">
      <w:pPr>
        <w:spacing w:line="360" w:lineRule="auto"/>
        <w:ind w:firstLine="420" w:firstLineChars="200"/>
        <w:rPr>
          <w:rFonts w:hint="eastAsia" w:ascii="宋体" w:hAnsi="宋体" w:cs="宋体"/>
          <w:szCs w:val="21"/>
        </w:rPr>
      </w:pPr>
      <w:r>
        <w:rPr>
          <w:rFonts w:hint="eastAsia" w:ascii="宋体" w:hAnsi="宋体" w:cs="宋体"/>
          <w:szCs w:val="21"/>
        </w:rPr>
        <w:t>（4）按照规定要求召开基金份额持有人大会或者召集基金份额持有人大会；</w:t>
      </w:r>
    </w:p>
    <w:p w14:paraId="61B14EA6">
      <w:pPr>
        <w:spacing w:line="360" w:lineRule="auto"/>
        <w:ind w:firstLine="420" w:firstLineChars="200"/>
        <w:rPr>
          <w:rFonts w:hint="eastAsia" w:ascii="宋体" w:hAnsi="宋体" w:cs="宋体"/>
          <w:szCs w:val="21"/>
        </w:rPr>
      </w:pPr>
      <w:r>
        <w:rPr>
          <w:rFonts w:hint="eastAsia" w:ascii="宋体" w:hAnsi="宋体" w:cs="宋体"/>
          <w:szCs w:val="21"/>
        </w:rPr>
        <w:t>（5）出席或者委派代表出席基金份额持有人大会，对基金份额持有人大会审议事项行使表决权；</w:t>
      </w:r>
    </w:p>
    <w:p w14:paraId="15AF477E">
      <w:pPr>
        <w:spacing w:line="360" w:lineRule="auto"/>
        <w:ind w:firstLine="420" w:firstLineChars="200"/>
        <w:rPr>
          <w:rFonts w:hint="eastAsia" w:ascii="宋体" w:hAnsi="宋体" w:cs="宋体"/>
          <w:szCs w:val="21"/>
        </w:rPr>
      </w:pPr>
      <w:r>
        <w:rPr>
          <w:rFonts w:hint="eastAsia" w:ascii="宋体" w:hAnsi="宋体" w:cs="宋体"/>
          <w:szCs w:val="21"/>
        </w:rPr>
        <w:t>（6）查阅或者复制公开披露的基金信息资料；</w:t>
      </w:r>
    </w:p>
    <w:p w14:paraId="29D8157F">
      <w:pPr>
        <w:spacing w:line="360" w:lineRule="auto"/>
        <w:ind w:firstLine="420" w:firstLineChars="200"/>
        <w:rPr>
          <w:rFonts w:hint="eastAsia" w:ascii="宋体" w:hAnsi="宋体" w:cs="宋体"/>
          <w:szCs w:val="21"/>
        </w:rPr>
      </w:pPr>
      <w:r>
        <w:rPr>
          <w:rFonts w:hint="eastAsia" w:ascii="宋体" w:hAnsi="宋体" w:cs="宋体"/>
          <w:szCs w:val="21"/>
        </w:rPr>
        <w:t>（7）监督基金管理人的投资运作；</w:t>
      </w:r>
    </w:p>
    <w:p w14:paraId="25751E3E">
      <w:pPr>
        <w:spacing w:line="360" w:lineRule="auto"/>
        <w:ind w:firstLine="420" w:firstLineChars="200"/>
        <w:rPr>
          <w:rFonts w:hint="eastAsia" w:ascii="宋体" w:hAnsi="宋体" w:cs="宋体"/>
          <w:szCs w:val="21"/>
        </w:rPr>
      </w:pPr>
      <w:r>
        <w:rPr>
          <w:rFonts w:hint="eastAsia" w:ascii="宋体" w:hAnsi="宋体" w:cs="宋体"/>
          <w:szCs w:val="21"/>
        </w:rPr>
        <w:t>（8）对基金管理人、基金托管人、基金服务机构损害其合法权益的行为依法提起诉讼或仲裁；</w:t>
      </w:r>
    </w:p>
    <w:p w14:paraId="66130D49">
      <w:pPr>
        <w:spacing w:line="360" w:lineRule="auto"/>
        <w:ind w:firstLine="420" w:firstLineChars="200"/>
        <w:rPr>
          <w:rFonts w:hint="eastAsia" w:ascii="宋体" w:hAnsi="宋体" w:cs="宋体"/>
          <w:szCs w:val="21"/>
        </w:rPr>
      </w:pPr>
      <w:r>
        <w:rPr>
          <w:rFonts w:hint="eastAsia" w:ascii="宋体" w:hAnsi="宋体" w:cs="宋体"/>
          <w:szCs w:val="21"/>
        </w:rPr>
        <w:t>（9）法律法规及中国证监会规定的和《基金合同》约定的其他权利。</w:t>
      </w:r>
    </w:p>
    <w:p w14:paraId="7585DF28">
      <w:pPr>
        <w:spacing w:line="360" w:lineRule="auto"/>
        <w:rPr>
          <w:rFonts w:hint="eastAsia" w:ascii="宋体" w:hAnsi="宋体" w:cs="宋体"/>
          <w:szCs w:val="21"/>
        </w:rPr>
      </w:pPr>
      <w:r>
        <w:rPr>
          <w:rFonts w:hint="eastAsia" w:ascii="宋体" w:hAnsi="宋体" w:cs="宋体"/>
          <w:szCs w:val="21"/>
        </w:rPr>
        <w:t>2、根据《基金法》、《运作办法》及其他有关规定，基金份额持有人的义务包括但不限于：</w:t>
      </w:r>
    </w:p>
    <w:p w14:paraId="6FB4134E">
      <w:pPr>
        <w:spacing w:line="360" w:lineRule="auto"/>
        <w:ind w:firstLine="420" w:firstLineChars="200"/>
        <w:rPr>
          <w:rFonts w:hint="eastAsia" w:ascii="宋体" w:hAnsi="宋体" w:cs="宋体"/>
          <w:szCs w:val="21"/>
        </w:rPr>
      </w:pPr>
      <w:r>
        <w:rPr>
          <w:rFonts w:hint="eastAsia" w:ascii="宋体" w:hAnsi="宋体" w:cs="宋体"/>
          <w:szCs w:val="21"/>
        </w:rPr>
        <w:t>（1）认真阅读并遵守《基金合同》、招募说明书</w:t>
      </w:r>
      <w:r>
        <w:rPr>
          <w:rFonts w:hint="eastAsia" w:ascii="宋体" w:hAnsi="宋体" w:cs="宋体"/>
          <w:color w:val="0D0D0D" w:themeColor="text1" w:themeTint="F2"/>
          <w:szCs w:val="21"/>
          <w14:textFill>
            <w14:solidFill>
              <w14:schemeClr w14:val="tx1">
                <w14:lumMod w14:val="95000"/>
                <w14:lumOff w14:val="5000"/>
              </w14:schemeClr>
            </w14:solidFill>
          </w14:textFill>
        </w:rPr>
        <w:t>及基金产品资料概要</w:t>
      </w:r>
      <w:r>
        <w:rPr>
          <w:rFonts w:hint="eastAsia" w:ascii="宋体" w:hAnsi="宋体" w:cs="宋体"/>
          <w:szCs w:val="21"/>
        </w:rPr>
        <w:t>等信息披露文件；</w:t>
      </w:r>
    </w:p>
    <w:p w14:paraId="302C67EE">
      <w:pPr>
        <w:spacing w:line="360" w:lineRule="auto"/>
        <w:ind w:firstLine="420" w:firstLineChars="200"/>
        <w:rPr>
          <w:rFonts w:hint="eastAsia" w:ascii="宋体" w:hAnsi="宋体" w:cs="宋体"/>
          <w:szCs w:val="21"/>
        </w:rPr>
      </w:pPr>
      <w:r>
        <w:rPr>
          <w:rFonts w:hint="eastAsia" w:ascii="宋体" w:hAnsi="宋体" w:cs="宋体"/>
          <w:szCs w:val="21"/>
        </w:rPr>
        <w:t>（2）了解所投资基金产品，了解自身风险承受能力，自主判断基金的投资价值，自主做出投资决策，自行承担投资风险；</w:t>
      </w:r>
    </w:p>
    <w:p w14:paraId="3C91F859">
      <w:pPr>
        <w:spacing w:line="360" w:lineRule="auto"/>
        <w:ind w:firstLine="420" w:firstLineChars="200"/>
        <w:rPr>
          <w:rFonts w:hint="eastAsia" w:ascii="宋体" w:hAnsi="宋体" w:cs="宋体"/>
          <w:szCs w:val="21"/>
        </w:rPr>
      </w:pPr>
      <w:r>
        <w:rPr>
          <w:rFonts w:hint="eastAsia" w:ascii="宋体" w:hAnsi="宋体" w:cs="宋体"/>
          <w:szCs w:val="21"/>
        </w:rPr>
        <w:t>（3）关注基金信息披露，及时行使权利和履行义务；</w:t>
      </w:r>
    </w:p>
    <w:p w14:paraId="57592271">
      <w:pPr>
        <w:spacing w:line="360" w:lineRule="auto"/>
        <w:ind w:firstLine="420" w:firstLineChars="200"/>
        <w:rPr>
          <w:rFonts w:hint="eastAsia" w:ascii="宋体" w:hAnsi="宋体" w:cs="宋体"/>
          <w:szCs w:val="21"/>
        </w:rPr>
      </w:pPr>
      <w:r>
        <w:rPr>
          <w:rFonts w:hint="eastAsia" w:ascii="宋体" w:hAnsi="宋体" w:cs="宋体"/>
          <w:szCs w:val="21"/>
        </w:rPr>
        <w:t>（4）交纳基金认购款项和认购股票、申购对价及法律法规和《基金合同》所规定的费用；</w:t>
      </w:r>
    </w:p>
    <w:p w14:paraId="5C9F59DD">
      <w:pPr>
        <w:spacing w:line="360" w:lineRule="auto"/>
        <w:ind w:firstLine="420" w:firstLineChars="200"/>
        <w:rPr>
          <w:rFonts w:hint="eastAsia" w:ascii="宋体" w:hAnsi="宋体" w:cs="宋体"/>
          <w:szCs w:val="21"/>
        </w:rPr>
      </w:pPr>
      <w:r>
        <w:rPr>
          <w:rFonts w:hint="eastAsia" w:ascii="宋体" w:hAnsi="宋体" w:cs="宋体"/>
          <w:szCs w:val="21"/>
        </w:rPr>
        <w:t>（5）在其持有的基金份额范围内，承担基金亏损或者《基金合同》终止的有限责任；</w:t>
      </w:r>
    </w:p>
    <w:p w14:paraId="1DFA1182">
      <w:pPr>
        <w:spacing w:line="360" w:lineRule="auto"/>
        <w:ind w:firstLine="420" w:firstLineChars="200"/>
        <w:rPr>
          <w:rFonts w:hint="eastAsia" w:ascii="宋体" w:hAnsi="宋体" w:cs="宋体"/>
          <w:szCs w:val="21"/>
        </w:rPr>
      </w:pPr>
      <w:r>
        <w:rPr>
          <w:rFonts w:hint="eastAsia" w:ascii="宋体" w:hAnsi="宋体" w:cs="宋体"/>
          <w:szCs w:val="21"/>
        </w:rPr>
        <w:t>（6）不从事任何有损基金及其他《基金合同》当事人合法权益的活动；</w:t>
      </w:r>
    </w:p>
    <w:p w14:paraId="53C44336">
      <w:pPr>
        <w:spacing w:line="360" w:lineRule="auto"/>
        <w:ind w:firstLine="420" w:firstLineChars="200"/>
        <w:rPr>
          <w:rFonts w:hint="eastAsia" w:ascii="宋体" w:hAnsi="宋体" w:cs="宋体"/>
          <w:szCs w:val="21"/>
        </w:rPr>
      </w:pPr>
      <w:r>
        <w:rPr>
          <w:rFonts w:hint="eastAsia" w:ascii="宋体" w:hAnsi="宋体" w:cs="宋体"/>
          <w:szCs w:val="21"/>
        </w:rPr>
        <w:t>（7）执行生效的基金份额持有人大会的决议；</w:t>
      </w:r>
    </w:p>
    <w:p w14:paraId="097869C9">
      <w:pPr>
        <w:spacing w:line="360" w:lineRule="auto"/>
        <w:ind w:firstLine="420" w:firstLineChars="200"/>
        <w:rPr>
          <w:rFonts w:hint="eastAsia" w:ascii="宋体" w:hAnsi="宋体" w:cs="宋体"/>
          <w:szCs w:val="21"/>
        </w:rPr>
      </w:pPr>
      <w:r>
        <w:rPr>
          <w:rFonts w:hint="eastAsia" w:ascii="宋体" w:hAnsi="宋体" w:cs="宋体"/>
          <w:szCs w:val="21"/>
        </w:rPr>
        <w:t>（8）返还在基金交易过程中因任何原因获得的不当得利；</w:t>
      </w:r>
    </w:p>
    <w:p w14:paraId="78C337FF">
      <w:pPr>
        <w:spacing w:line="360" w:lineRule="auto"/>
        <w:ind w:firstLine="420" w:firstLineChars="200"/>
        <w:rPr>
          <w:rFonts w:hint="eastAsia" w:ascii="宋体" w:hAnsi="宋体" w:cs="宋体"/>
          <w:szCs w:val="21"/>
        </w:rPr>
      </w:pPr>
      <w:r>
        <w:rPr>
          <w:rFonts w:hint="eastAsia" w:ascii="宋体" w:hAnsi="宋体" w:cs="宋体"/>
          <w:szCs w:val="21"/>
        </w:rPr>
        <w:t>（9）法律法规及中国证监会规定的和《基金合同》约定的其他义务。</w:t>
      </w:r>
    </w:p>
    <w:p w14:paraId="25A1929E">
      <w:pPr>
        <w:spacing w:line="360" w:lineRule="auto"/>
        <w:ind w:firstLine="420" w:firstLineChars="200"/>
        <w:rPr>
          <w:rFonts w:hint="eastAsia" w:ascii="宋体" w:hAnsi="宋体" w:cs="宋体"/>
          <w:szCs w:val="21"/>
        </w:rPr>
      </w:pPr>
      <w:r>
        <w:rPr>
          <w:rFonts w:hint="eastAsia" w:ascii="宋体" w:hAnsi="宋体" w:cs="宋体"/>
          <w:szCs w:val="21"/>
        </w:rPr>
        <w:t>（二）基金管理人的权利与义务</w:t>
      </w:r>
    </w:p>
    <w:p w14:paraId="6D00FCF1">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1、根据《基金法》、《运作办法》及其他有关规定，基金管理人的权利包括但不限于：</w:t>
      </w:r>
    </w:p>
    <w:p w14:paraId="6252629B">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（1）依法募集资金；</w:t>
      </w:r>
    </w:p>
    <w:p w14:paraId="50ED2776">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（2）自《基金合同》生效之日起，根据法律法规和《基金合同》独立运用并管理基金财产；</w:t>
      </w:r>
    </w:p>
    <w:p w14:paraId="3039C615">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（3）依照《基金合同》收取基金管理费以及法律法规规定或中国证监会批准的其他费用；</w:t>
      </w:r>
    </w:p>
    <w:p w14:paraId="2603A215">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（4）销售基金份额；</w:t>
      </w:r>
    </w:p>
    <w:p w14:paraId="4B1EBF02">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（5）按照规定召集基金份额持有人大会；</w:t>
      </w:r>
    </w:p>
    <w:p w14:paraId="42680B45">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（6）依据《基金合同》及有关法律规定监督基金托管人，如认为基金托管人违反了《基金合同》及国家有关法律规定，应呈报中国证监会和其他监管部门，并采取必要措施保护基金投资者的利益；</w:t>
      </w:r>
    </w:p>
    <w:p w14:paraId="2E6AF243">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（7）在基金托管人更换时，提名新的基金托管人；</w:t>
      </w:r>
    </w:p>
    <w:p w14:paraId="13875D8C">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 xml:space="preserve">（8）选择、更换基金销售机构，对基金销售机构的相关行为进行监督和处理； </w:t>
      </w:r>
    </w:p>
    <w:p w14:paraId="3648E919">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 xml:space="preserve">（9）担任或委托其他符合条件的机构担任基金登记机构办理基金登记业务并获得《基金合同》规定的费用； </w:t>
      </w:r>
    </w:p>
    <w:p w14:paraId="0AE049B6">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（10）依据《基金合同》及有关法律规定决定基金收益的分配方案；</w:t>
      </w:r>
      <w:r>
        <w:rPr>
          <w:rFonts w:hint="eastAsia" w:ascii="宋体" w:hAnsi="宋体" w:cs="宋体"/>
          <w:color w:val="0D0D0D" w:themeColor="text1" w:themeTint="F2"/>
          <w:szCs w:val="21"/>
          <w14:textFill>
            <w14:solidFill>
              <w14:schemeClr w14:val="tx1">
                <w14:lumMod w14:val="95000"/>
                <w14:lumOff w14:val="5000"/>
              </w14:schemeClr>
            </w14:solidFill>
          </w14:textFill>
        </w:rPr>
        <w:tab/>
      </w:r>
    </w:p>
    <w:p w14:paraId="427B65E0">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 xml:space="preserve">（11）在《基金合同》约定的范围内，拒绝或暂停受理申购与赎回申请； </w:t>
      </w:r>
    </w:p>
    <w:p w14:paraId="24A2F15D">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（12）依照法律法规为基金的利益对被投资公司行使股东权利，为基金的利益行使因基金财产投资于证券所产生的权利；</w:t>
      </w:r>
    </w:p>
    <w:p w14:paraId="11DEB742">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（13）在法律法规允许的前提下，为基金的利益依法为基金进行融资和转融通证券出借业务；</w:t>
      </w:r>
    </w:p>
    <w:p w14:paraId="7F886C11">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（14）以基金管理人的名义，代表基金份额持有人的利益行使诉讼权利或者实施其他法律行为；</w:t>
      </w:r>
      <w:r>
        <w:rPr>
          <w:rFonts w:hint="eastAsia" w:ascii="宋体" w:hAnsi="宋体" w:cs="宋体"/>
          <w:color w:val="0D0D0D" w:themeColor="text1" w:themeTint="F2"/>
          <w:szCs w:val="21"/>
          <w14:textFill>
            <w14:solidFill>
              <w14:schemeClr w14:val="tx1">
                <w14:lumMod w14:val="95000"/>
                <w14:lumOff w14:val="5000"/>
              </w14:schemeClr>
            </w14:solidFill>
          </w14:textFill>
        </w:rPr>
        <w:tab/>
      </w:r>
    </w:p>
    <w:p w14:paraId="4BD2717C">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（15）选择、更换律师事务所、会计师事务所、证券、期货经纪商或其他为基金提供服务的外部机构；</w:t>
      </w:r>
      <w:r>
        <w:rPr>
          <w:rFonts w:hint="eastAsia" w:ascii="宋体" w:hAnsi="宋体" w:cs="宋体"/>
          <w:color w:val="0D0D0D" w:themeColor="text1" w:themeTint="F2"/>
          <w:szCs w:val="21"/>
          <w14:textFill>
            <w14:solidFill>
              <w14:schemeClr w14:val="tx1">
                <w14:lumMod w14:val="95000"/>
                <w14:lumOff w14:val="5000"/>
              </w14:schemeClr>
            </w14:solidFill>
          </w14:textFill>
        </w:rPr>
        <w:tab/>
      </w:r>
    </w:p>
    <w:p w14:paraId="5F8DD179">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（16）在符合有关法律、法规的前提下，制订和调整有关基金认购、申购、赎回、非交易过户等业务规则；</w:t>
      </w:r>
    </w:p>
    <w:p w14:paraId="7E516A58">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（17）法律法规及中国证监会规定的和《基金合同》约定的其他权利。</w:t>
      </w:r>
    </w:p>
    <w:p w14:paraId="2EB48FE5">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2、根据《基金法》、《运作办法》及其他有关规定，基金管理人的义务包括但不限于：</w:t>
      </w:r>
    </w:p>
    <w:p w14:paraId="13E69624">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（1）依法募集资金，办理或者委托经中国证监会认定的其他机构代为办理基金份额的发售、申购、赎回和登记事宜；</w:t>
      </w:r>
    </w:p>
    <w:p w14:paraId="78FFFEA5">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（2）办理基金备案手续；</w:t>
      </w:r>
    </w:p>
    <w:p w14:paraId="26CD0381">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（3）自《基金合同》生效之日起，以诚实信用、谨慎勤勉的原则管理和运用基金财产；</w:t>
      </w:r>
    </w:p>
    <w:p w14:paraId="7E719413">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（4）配备足够的具有专业资格的人员进行基金投资分析、决策，以专业化的经营方式管理和运作基金财产；</w:t>
      </w:r>
    </w:p>
    <w:p w14:paraId="62CF22D2">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（5）建立健全内部风险控制、监察与稽核、财务管理及人事管理等制度，保证所管理的基金财产和基金管理人的财产相互独立，对所管理的不同基金分别管理，分别记账，进行证券投资；</w:t>
      </w:r>
    </w:p>
    <w:p w14:paraId="1C46CD70">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（6）除依据《基金法》、《基金合同》及其他有关规定外，不得利用基金财产为自己及任何第三人谋取利益，不得委托第三人运作基金财产；</w:t>
      </w:r>
    </w:p>
    <w:p w14:paraId="5FDB03D9">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（7）依法接受基金托管人的监督；</w:t>
      </w:r>
    </w:p>
    <w:p w14:paraId="38C54B18">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（8）采取适当合理的措施使计算基金份额认购价格、申购对价、赎回对价的方法符合《基金合同》等法律文件的规定，按有关规定计算并公告基金净值信息，确定基金份额申购、赎回对价，编制申购赎回清单；</w:t>
      </w:r>
    </w:p>
    <w:p w14:paraId="6B0A75A7">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（9）进行基金会计核算并编制基金财务会计报告；</w:t>
      </w:r>
    </w:p>
    <w:p w14:paraId="569C13A4">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（10）编制季度报告、中期报告和年度报告；</w:t>
      </w:r>
    </w:p>
    <w:p w14:paraId="0AF4E07F">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（11）严格按照《基金法》、《基金合同》及其他有关规定，履行信息披露及报告义务；</w:t>
      </w:r>
    </w:p>
    <w:p w14:paraId="5967057B">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12）保守基金商业秘密，不泄露基金投资计划、投资意向等。除《基金法》、《基金合同》及其他有关规定另有规定外，在基金信息公开披露前应予保密，不向他人泄露，法律、法规另有规定的以及审计需要的除外；</w:t>
      </w:r>
    </w:p>
    <w:p w14:paraId="2E170003">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（13）按《基金合同》的约定确定基金收益分配方案，及时向基金份额持有人分配基金收益；</w:t>
      </w:r>
    </w:p>
    <w:p w14:paraId="232FF393">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（14）按规定受理申购与赎回申请，及时、足额支付赎回对价；</w:t>
      </w:r>
    </w:p>
    <w:p w14:paraId="4E77CB42">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（15）依据《基金法》、《基金合同》及其他有关规定召集基金份额持有人大会或配合基金托管人、基金份额持有人依法召集基金份额持有人大会；</w:t>
      </w:r>
    </w:p>
    <w:p w14:paraId="5917AE10">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（16）按规定保存基金财产管理业务活动的会计账册、报表、记录和其他相关资料，保存期限不低于法定最低期限；</w:t>
      </w:r>
    </w:p>
    <w:p w14:paraId="20FEA576">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1D05B6D8">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（18）组织并参加基金财产清算小组，参与基金财产的保管、清理、估价、变现和分配；</w:t>
      </w:r>
    </w:p>
    <w:p w14:paraId="1C5A376C">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（19）面临解散、依法被撤销或者被依法宣告破产时，及时报告中国证监会并通知基金托管人；</w:t>
      </w:r>
    </w:p>
    <w:p w14:paraId="29AC6E7A">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（20）因违反《基金合同》导致基金财产的损失或损害基金份额持有人合法权益时，应当承担赔偿责任，其赔偿责任不因其退任而免除；</w:t>
      </w:r>
    </w:p>
    <w:p w14:paraId="755304C9">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（21）监督基金托管人按法律法规和《基金合同》规定履行自己的义务，基金托管人违反《基金合同》造成基金财产损失时，基金管理人应为基金份额持有人利益向基金托管人追偿；</w:t>
      </w:r>
    </w:p>
    <w:p w14:paraId="4167E306">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（22）当基金管理人将其义务委托第三方处理时，应当对第三方处理有关基金事务的行为承担责任；</w:t>
      </w:r>
    </w:p>
    <w:p w14:paraId="1C8FA0FE">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（23）以基金管理人名义，代表基金份额持有人利益行使诉讼权利或实施其他法律行为；</w:t>
      </w:r>
    </w:p>
    <w:p w14:paraId="58673EE6">
      <w:pPr>
        <w:snapToGrid w:val="0"/>
        <w:spacing w:line="360" w:lineRule="auto"/>
        <w:ind w:firstLine="420" w:firstLineChars="200"/>
        <w:rPr>
          <w:rFonts w:hint="eastAsia" w:ascii="宋体" w:hAnsi="宋体" w:cs="宋体"/>
          <w:szCs w:val="21"/>
        </w:rPr>
      </w:pPr>
      <w:r>
        <w:rPr>
          <w:rFonts w:hint="eastAsia" w:ascii="宋体" w:hAnsi="宋体" w:cs="宋体"/>
          <w:szCs w:val="21"/>
        </w:rPr>
        <w:t>（24）基金在募集期间未能达到基金的备案条件，</w:t>
      </w:r>
      <w:r>
        <w:rPr>
          <w:rFonts w:hint="eastAsia" w:ascii="宋体" w:hAnsi="宋体" w:cs="宋体"/>
          <w:color w:val="0D0D0D" w:themeColor="text1" w:themeTint="F2"/>
          <w:szCs w:val="21"/>
          <w14:textFill>
            <w14:solidFill>
              <w14:schemeClr w14:val="tx1">
                <w14:lumMod w14:val="95000"/>
                <w14:lumOff w14:val="5000"/>
              </w14:schemeClr>
            </w14:solidFill>
          </w14:textFill>
        </w:rPr>
        <w:t>《基金合同》</w:t>
      </w:r>
      <w:r>
        <w:rPr>
          <w:rFonts w:hint="eastAsia" w:ascii="宋体" w:hAnsi="宋体" w:cs="宋体"/>
          <w:szCs w:val="21"/>
        </w:rPr>
        <w:t>不能生效，基金管理人承担全部募集费用，将已募集资金并加计银行同期活期存款利息在基金募集期结束后30日内退还基金认购人，对于基金募集期间网下股票认购所冻结的股票，发售代理机构应予以解冻；</w:t>
      </w:r>
    </w:p>
    <w:p w14:paraId="6D2B30FC">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（25）执行生效的基金份额持有人大会的决议；</w:t>
      </w:r>
    </w:p>
    <w:p w14:paraId="5005A69A">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（26）建立并保存基金份额持有人名册；</w:t>
      </w:r>
    </w:p>
    <w:p w14:paraId="1FE1D5B2">
      <w:pPr>
        <w:spacing w:line="360" w:lineRule="auto"/>
        <w:ind w:firstLine="420" w:firstLineChars="200"/>
        <w:rPr>
          <w:rFonts w:hint="eastAsia" w:ascii="宋体" w:hAnsi="宋体" w:cs="宋体"/>
          <w:szCs w:val="21"/>
        </w:rPr>
      </w:pPr>
      <w:r>
        <w:rPr>
          <w:rFonts w:hint="eastAsia" w:ascii="宋体" w:hAnsi="宋体" w:cs="宋体"/>
          <w:color w:val="0D0D0D" w:themeColor="text1" w:themeTint="F2"/>
          <w:szCs w:val="21"/>
          <w14:textFill>
            <w14:solidFill>
              <w14:schemeClr w14:val="tx1">
                <w14:lumMod w14:val="95000"/>
                <w14:lumOff w14:val="5000"/>
              </w14:schemeClr>
            </w14:solidFill>
          </w14:textFill>
        </w:rPr>
        <w:t>（27）法律法规及中国证监会规定的和《基金合同》约定的其他义务。</w:t>
      </w:r>
    </w:p>
    <w:p w14:paraId="57B4E7F5">
      <w:pPr>
        <w:spacing w:line="360" w:lineRule="auto"/>
        <w:ind w:firstLine="420" w:firstLineChars="200"/>
        <w:rPr>
          <w:rFonts w:hint="eastAsia" w:ascii="宋体" w:hAnsi="宋体" w:cs="宋体"/>
          <w:szCs w:val="21"/>
        </w:rPr>
      </w:pPr>
      <w:r>
        <w:rPr>
          <w:rFonts w:hint="eastAsia" w:ascii="宋体" w:hAnsi="宋体" w:cs="宋体"/>
          <w:szCs w:val="21"/>
        </w:rPr>
        <w:t>（三）</w:t>
      </w:r>
      <w:r>
        <w:rPr>
          <w:rFonts w:hint="eastAsia" w:ascii="宋体" w:hAnsi="宋体" w:cs="宋体"/>
          <w:szCs w:val="21"/>
        </w:rPr>
        <w:tab/>
      </w:r>
      <w:r>
        <w:rPr>
          <w:rFonts w:hint="eastAsia" w:ascii="宋体" w:hAnsi="宋体" w:cs="宋体"/>
          <w:szCs w:val="21"/>
        </w:rPr>
        <w:t>基金托管人的权利与义务</w:t>
      </w:r>
    </w:p>
    <w:p w14:paraId="051C4525">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1、根据《基金法》、《运作办法》及其他有关规定，基金托管人的权利包括但不限于：</w:t>
      </w:r>
    </w:p>
    <w:p w14:paraId="53DCEFF8">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（1）自《基金合同》生效之日起，依法律法规和《基金合同》的规定安全保管基金财产；</w:t>
      </w:r>
    </w:p>
    <w:p w14:paraId="19AB566D">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（2）依《基金合同》约定获得基金托管费以及法律法规规定或监管部门批准的其他费用；</w:t>
      </w:r>
    </w:p>
    <w:p w14:paraId="4B79BE1A">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2E96B611">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（4）根据相关市场规则，为基金开设资金账户、证券账户等投资所需账户，为基金办理证券交易资金清算；</w:t>
      </w:r>
    </w:p>
    <w:p w14:paraId="05235438">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（5）提议召开或召集基金份额持有人大会；</w:t>
      </w:r>
    </w:p>
    <w:p w14:paraId="4133B28E">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（6）在基金管理人更换时，提名新的基金管理人；</w:t>
      </w:r>
    </w:p>
    <w:p w14:paraId="2EEE8525">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（7）法律法规及中国证监会规定的和《基金合同》约定的其他权利。</w:t>
      </w:r>
    </w:p>
    <w:p w14:paraId="1547785C">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2、根据《基金法》、《运作办法》及其他有关规定，基金托管人的义务包括但不限于：</w:t>
      </w:r>
    </w:p>
    <w:p w14:paraId="75C33B86">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（1）以诚实信用、勤勉尽责的原则持有并安全保管基金财产；</w:t>
      </w:r>
    </w:p>
    <w:p w14:paraId="64463279">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（2）设立专门的基金托管部门，具有符合要求的营业场所，配备足够的、合格的熟悉基金托管业务的专职人员，负责基金财产托管事宜；</w:t>
      </w:r>
    </w:p>
    <w:p w14:paraId="13545C8C">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4CCCDA75">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（4）除依据《基金法》、《基金合同》及其他有关规定外，不得利用基金财产为自己及任何第三人谋取利益，不得委托第三人托管基金财产；</w:t>
      </w:r>
    </w:p>
    <w:p w14:paraId="294CE7C4">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（5）保管由基金管理人代表基金签订的与基金有关的重大合同及有关凭证；</w:t>
      </w:r>
    </w:p>
    <w:p w14:paraId="77284517">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（6）按规定开设基金财产的资金账户、证券账户等投资所需账户，按照《基金合同》的约定，根据基金管理人的投资指令，及时办理清算、交割事宜；</w:t>
      </w:r>
    </w:p>
    <w:p w14:paraId="41D3CD73">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7）保守基金商业秘密，除《基金法》、《基金合同》及其他有关规定另有规定外，在基金信息公开披露前予以保密，不得向他人泄露，但因监管机构、司法机关等有权机关要求，或因审计、法律等外部专业顾问提供服务需要提供的情况除外；</w:t>
      </w:r>
    </w:p>
    <w:p w14:paraId="4D764499">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（8）复核、审查基金管理人计算的基金资产净值、基金份额净值、基金份额申购、赎回对价；</w:t>
      </w:r>
    </w:p>
    <w:p w14:paraId="6BAFA1BA">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（9）办理与基金托管业务活动有关的信息披露事项；</w:t>
      </w:r>
    </w:p>
    <w:p w14:paraId="73CA16D4">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562E1E5F">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（11）保存基金托管业务活动的记录、账册、报表和其他相关资料，保存期限不低于法定最低期限；</w:t>
      </w:r>
    </w:p>
    <w:p w14:paraId="4D7A1999">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（12）从基金管理人或其委托的登记机构处接收并保存基金份额持有人名册；</w:t>
      </w:r>
    </w:p>
    <w:p w14:paraId="5F4E4C3C">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（13）按规定制作相关账册并与基金管理人核对；</w:t>
      </w:r>
    </w:p>
    <w:p w14:paraId="5CC364B3">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（14）依据基金管理人的指令或有关规定向基金份额持有人支付基金收益和赎回对价的现金部分；</w:t>
      </w:r>
    </w:p>
    <w:p w14:paraId="79E96E9D">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（15）依据《基金法》、《基金合同》及其他有关规定，召集基金份额持有人大会或配合基金管理人、基金份额持有人依法召集基金份额持有人大会；</w:t>
      </w:r>
    </w:p>
    <w:p w14:paraId="3F8DF6EE">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（16）按照法律法规和《基金合同》的规定监督基金管理人的投资运作；</w:t>
      </w:r>
    </w:p>
    <w:p w14:paraId="4FA26F7B">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（17）参加基金财产清算小组，参与基金财产的保管、清理、估价、变现和分配；</w:t>
      </w:r>
    </w:p>
    <w:p w14:paraId="20DFCC3D">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（18）面临解散、依法被撤销或者被依法宣告破产时，及时报告中国证监会，并通知基金管理人</w:t>
      </w:r>
    </w:p>
    <w:p w14:paraId="7EE3E000">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（19）因违反《基金合同》导致基金财产损失时，应承担赔偿责任，其赔偿责任不因其退任而免除；</w:t>
      </w:r>
    </w:p>
    <w:p w14:paraId="567FDE4E">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（20）按规定监督基金管理人按法律法规和《基金合同》规定履行自己的义务，基金管理人因违反《基金合同》造成基金财产损失时，应为基金份额持有人利益向基金管理人追偿；</w:t>
      </w:r>
    </w:p>
    <w:p w14:paraId="1DB46AB6">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（21）执行生效的基金份额持有人大会的决议；</w:t>
      </w:r>
    </w:p>
    <w:p w14:paraId="69F286A6">
      <w:pPr>
        <w:spacing w:line="360" w:lineRule="auto"/>
        <w:ind w:firstLine="420" w:firstLineChars="200"/>
        <w:rPr>
          <w:rFonts w:hint="eastAsia" w:ascii="宋体" w:hAnsi="宋体" w:cs="宋体"/>
          <w:szCs w:val="21"/>
        </w:rPr>
      </w:pPr>
      <w:r>
        <w:rPr>
          <w:rFonts w:hint="eastAsia" w:ascii="宋体" w:hAnsi="宋体" w:cs="宋体"/>
          <w:color w:val="0D0D0D" w:themeColor="text1" w:themeTint="F2"/>
          <w:szCs w:val="21"/>
          <w14:textFill>
            <w14:solidFill>
              <w14:schemeClr w14:val="tx1">
                <w14:lumMod w14:val="95000"/>
                <w14:lumOff w14:val="5000"/>
              </w14:schemeClr>
            </w14:solidFill>
          </w14:textFill>
        </w:rPr>
        <w:t>（22）法律法规及中国证监会规定的和《基金合同》约定的其他义务。</w:t>
      </w:r>
    </w:p>
    <w:p w14:paraId="43AA8BC4">
      <w:pPr>
        <w:spacing w:line="360" w:lineRule="auto"/>
        <w:rPr>
          <w:rFonts w:hint="eastAsia" w:ascii="宋体" w:hAnsi="宋体" w:cs="宋体"/>
          <w:b/>
          <w:szCs w:val="21"/>
        </w:rPr>
      </w:pPr>
      <w:r>
        <w:rPr>
          <w:rFonts w:hint="eastAsia" w:ascii="宋体" w:hAnsi="宋体" w:cs="宋体"/>
          <w:b/>
          <w:szCs w:val="21"/>
        </w:rPr>
        <w:t>二、基金份额持有人大会召集、议事及表决的程序和规则</w:t>
      </w:r>
    </w:p>
    <w:p w14:paraId="1DF9ED6A">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基金份额持有人大会由基金份额持有人组成，基金份额持有人的合法授权代表有权代表基金份额持有人出席会议并表决。基金份额持有人持有的每一基金份额拥有平等的投票权。</w:t>
      </w:r>
    </w:p>
    <w:p w14:paraId="39A9393A">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若以本基金为目标ETF，且基金管理人和基金托管人与本基金基金管理人和基金托管人一致的联接基金的基金合同生效，鉴于本基金和联接基金的相关性，联接基金的基金份额持有人可以凭所持有的联接基金的基金份额直接出席本基金的基金份额持有人大会或者委派代表出席本基金的基金份额持有人大会并参与表决。在计算参会份额和票数时，联接基金基金份额持有人持有的享有表决权的参会份额数和表决票数为：在本基金基金份额持有人大会的权益登记日，联接基金持有本基金份额的总数乘以该持有人所持有的联接基金份额占联接基金总份额的比例，计算结果按照四舍五入的方法，保留到整数位。联接基金折算为本基金后的每一参会份额和本基金的每一参会份额拥有平等的投票权。</w:t>
      </w:r>
    </w:p>
    <w:p w14:paraId="56EA3164">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联接基金的基金管理人不应以联接基金的名义代表联接基金的全体基金份额持有人以本基金的基金份额持有人的身份行使表决权，但可接受联接基金的特定基金份额持有人的委托以联接基金的基金份额持有人代理人的身份出席本基金的基金份额持有人大会并参与表决。</w:t>
      </w:r>
    </w:p>
    <w:p w14:paraId="7B4680E4">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联接基金的基金管理人代表联接基金的基金份额持有人提议召开或召集本基金份额持有人大会的，须先遵照联接基金基金合同的约定召开联接基金的基金份额持有人大会，联接基金的基金份额持有人大会决定提议召开或召集本基金份额持有人大会的，由联接基金的基金管理人代表联接基金的基金份额持有人提议召开或召集本基金份额持有人大会。</w:t>
      </w:r>
    </w:p>
    <w:p w14:paraId="6A9423A9">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法律法规或监管机构对基金份额持有人大会另有规定的，从其规定。</w:t>
      </w:r>
    </w:p>
    <w:p w14:paraId="06B4926D">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本基金份额持有人大会不设日常机构。</w:t>
      </w:r>
    </w:p>
    <w:p w14:paraId="10635D51">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（一）召开事由</w:t>
      </w:r>
    </w:p>
    <w:p w14:paraId="2382A46A">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1、除法律法规、中国证监会和基金合同另有规定外，当出现或需要决定下列事由之一的，应当召开基金份额持有人大会：</w:t>
      </w:r>
    </w:p>
    <w:p w14:paraId="2074CE92">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（1）终止《基金合同》；</w:t>
      </w:r>
    </w:p>
    <w:p w14:paraId="65A0A344">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（2）更换基金管理人；</w:t>
      </w:r>
    </w:p>
    <w:p w14:paraId="44F4712D">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（3）更换基金托管人（基金托管人更换为本基金托管人设立的托管子公司除外）；</w:t>
      </w:r>
    </w:p>
    <w:p w14:paraId="0779720D">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（4）转换基金运作方式；</w:t>
      </w:r>
    </w:p>
    <w:p w14:paraId="600B379D">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（5）调整基金管理人、基金托管人的报酬标准；</w:t>
      </w:r>
    </w:p>
    <w:p w14:paraId="0CF72012">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（6）变更基金类别；</w:t>
      </w:r>
    </w:p>
    <w:p w14:paraId="02776C28">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（7）本基金与其他基金的合并；</w:t>
      </w:r>
    </w:p>
    <w:p w14:paraId="5233737D">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（8）变更基金投资目标、范围或策略；</w:t>
      </w:r>
    </w:p>
    <w:p w14:paraId="42B13FD0">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（9）变更基金份额持有人大会程序；</w:t>
      </w:r>
    </w:p>
    <w:p w14:paraId="4223836C">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（10）基金管理人或基金托管人要求召开基金份额持有人大会；</w:t>
      </w:r>
    </w:p>
    <w:p w14:paraId="715B7B16">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（11）单独或合计持有本基金总份额10%以上（含10%）基金份额的基金份额持有人（以基金管理人收到提议当日的基金份额计算，下同）就同一事项书面要求召开基金份额持有人大会；</w:t>
      </w:r>
    </w:p>
    <w:p w14:paraId="5BE6F83D">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（12）对基金合同当事人权利和义务产生重大影响的其他事项；</w:t>
      </w:r>
    </w:p>
    <w:p w14:paraId="47EFE01A">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（13）终止基金上市，但因基金不再具备上市条件而被深圳证券交易所终止上市的情形除外；</w:t>
      </w:r>
    </w:p>
    <w:p w14:paraId="1BC1751B">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（14）法律法规、《基金合同》或中国证监会规定的其他应当召开基金份额持有人大会的事项。</w:t>
      </w:r>
    </w:p>
    <w:p w14:paraId="1382B606">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2、在法律法规规定和《基金合同》约定的范围内且对基金份额持有人利益无实质性不利影响的前提下，以下情况可由基金管理人和基金托管人协商后修改，不需召开基金份额持有人大会：</w:t>
      </w:r>
    </w:p>
    <w:p w14:paraId="648B3A7F">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（1）法律法规要求增加的基金费用的收取；</w:t>
      </w:r>
    </w:p>
    <w:p w14:paraId="46029491">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（2）调整本基金的申购费率或变更收费方式或调整基金份额类别设置、对基金份额分类办法及规则进行调整；</w:t>
      </w:r>
    </w:p>
    <w:p w14:paraId="3433CEE5">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（3）因相应的法律法规、深圳证券交易所或者登记机构的相关业务规则发生变动而应当对《基金合同》进行修改；</w:t>
      </w:r>
    </w:p>
    <w:p w14:paraId="05EAE239">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（4）对《基金合同》的修改对基金份额持有人利益无实质性不利影响或修改不涉及《基金合同》当事人权利义务关系发生重大变化；</w:t>
      </w:r>
    </w:p>
    <w:p w14:paraId="637F6D33">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（5）基金管理人、相关证券交易所和登记机构等调整有关基金申购、赎回、交易、转托管、非交易过户等业务的规则（包括申购赎回清单的调整、开放时间的调整等）；</w:t>
      </w:r>
    </w:p>
    <w:p w14:paraId="0B5D4147">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（6）本基金的联接基金采取其他方式参与本基金的申购赎回；</w:t>
      </w:r>
    </w:p>
    <w:p w14:paraId="7252D015">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（7）基金托管人在对基金合同无其他实质性修改的前提下，通过本合同约定的方式将本基金的基金托管人变更为其设立的托管子公司；</w:t>
      </w:r>
    </w:p>
    <w:p w14:paraId="3E841988">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（8）按照法律法规和《基金合同》规定不需召开基金份额持有人大会的其他情形。（二）会议召集人及召集方式</w:t>
      </w:r>
    </w:p>
    <w:p w14:paraId="10DA6042">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1、除法律法规规定或《基金合同》另有约定外，基金份额持有人大会由基金管理人召集。</w:t>
      </w:r>
    </w:p>
    <w:p w14:paraId="441F7B32">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2、基金管理人未按规定召集或不能召集时，由基金托管人召集。</w:t>
      </w:r>
    </w:p>
    <w:p w14:paraId="1EB312CB">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3、基金托管人认为有必要召开基金份额持有人大会的，应当向基金管理人提出书面提议。基金管理人应当自收到书面提议之日起 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5AADABD5">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515083A9">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67C348D1">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6、基金份额持有人会议的召集人负责选择确定开会时间、地点、方式和权益登记日。</w:t>
      </w:r>
    </w:p>
    <w:p w14:paraId="3B7F59D2">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（三）召开基金份额持有人大会的通知时间、通知内容、通知方式</w:t>
      </w:r>
    </w:p>
    <w:p w14:paraId="765E60A6">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1、召开基金份额持有人大会，召集人应于会议召开前30日，在规定媒介公告。基金份额持有人大会通知应至少载明以下内容：</w:t>
      </w:r>
    </w:p>
    <w:p w14:paraId="5DE616F5">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（1）会议召开的时间、地点和会议形式；</w:t>
      </w:r>
    </w:p>
    <w:p w14:paraId="65C1BB9C">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（2）会议拟审议的事项、议事程序和表决方式；</w:t>
      </w:r>
    </w:p>
    <w:p w14:paraId="40058D58">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（3）有权出席基金份额持有人大会的基金份额持有人的权益登记日；</w:t>
      </w:r>
    </w:p>
    <w:p w14:paraId="21FEB6B3">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（4）授权委托证明的内容要求（包括但不限于代理人身份，代理权限和代理有效期限等）、送达时间和地点；</w:t>
      </w:r>
    </w:p>
    <w:p w14:paraId="6CF278D6">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（5）会务常设联系人姓名及联系电话；</w:t>
      </w:r>
    </w:p>
    <w:p w14:paraId="4E20843C">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（6）出席会议者必须准备的文件和必须履行的手续；</w:t>
      </w:r>
    </w:p>
    <w:p w14:paraId="5792FEE4">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（7）召集人需要通知的其他事项。</w:t>
      </w:r>
    </w:p>
    <w:p w14:paraId="60F78413">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7AF7D8CC">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6FFBF4A3">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（四）基金份额持有人出席会议的方式</w:t>
      </w:r>
    </w:p>
    <w:p w14:paraId="15400BF0">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基金份额持有人大会可通过现场开会方式、通讯开会方式或法律法规、监管机构允许的其他方式召开，会议的召开方式由会议召集人确定。</w:t>
      </w:r>
    </w:p>
    <w:p w14:paraId="6641A505">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07841248">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0ED50682">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099E6667">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2、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w:t>
      </w:r>
    </w:p>
    <w:p w14:paraId="1211C6BA">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在同时符合以下条件时，通讯开会的方式视为有效：</w:t>
      </w:r>
    </w:p>
    <w:p w14:paraId="2DEB47C2">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（1）会议召集人按《基金合同》约定公布会议通知后，在2个工作日内连续公布相关提示性公告；</w:t>
      </w:r>
    </w:p>
    <w:p w14:paraId="7A169D89">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42E156FD">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（3）本人直接出具表决意见或授权他人代表出具表决意见的，基金份额持有人所持有的基金份额不小于在权益登记日基金总份额的二分之一（含二分之一）；</w:t>
      </w:r>
    </w:p>
    <w:p w14:paraId="5862B767">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33AD26E3">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732CC12C">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3、在不违反法律法规或监管机构规定的情况下，经会议通知载明，本基金亦可采用网络、电话等其他非现场方式或者以非现场方式与现场方式结合的方式召开基金份额持有人大会，基金份额持有人可以采用书面、网络、电话、短信或其他方式进行表决，或者采用网络、电话或其他方式授权他人代为出席会议并表决，会议程序比照现场开会和通讯方式开会的程序进行。</w:t>
      </w:r>
    </w:p>
    <w:p w14:paraId="6E4374B3">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（五）议事内容与程序</w:t>
      </w:r>
    </w:p>
    <w:p w14:paraId="0B3FC492">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1、议事内容及提案权</w:t>
      </w:r>
    </w:p>
    <w:p w14:paraId="546E7261">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22A2CF1E">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基金份额持有人大会的召集人发出召集会议的通知后，对原有提案的修改应当在基金份额持有人大会召开前及时公告。</w:t>
      </w:r>
    </w:p>
    <w:p w14:paraId="3F26569D">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基金份额持有人大会不得对未事先公告的议事内容进行表决。</w:t>
      </w:r>
    </w:p>
    <w:p w14:paraId="36DCE090">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2、议事程序</w:t>
      </w:r>
    </w:p>
    <w:p w14:paraId="4501B8EF">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（1）现场开会</w:t>
      </w:r>
    </w:p>
    <w:p w14:paraId="5B916689">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2C02A509">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会议召集人应当制作出席会议人员的签名册。签名册载明参加会议人员姓名（或单位名称）、身份证明文件号码、持有或代表有表决权的基金份额、委托人姓名（或单位名称）和联系方式等事项。</w:t>
      </w:r>
    </w:p>
    <w:p w14:paraId="1D04B264">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（2）通讯开会</w:t>
      </w:r>
    </w:p>
    <w:p w14:paraId="1DE17D75">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在通讯开会的情况下，首先由召集人提前30日公布提案，在所通知的表决截止日期后2个工作日内在公证机关监督下由召集人统计全部有效表决，在公证机关监督下形成决议。</w:t>
      </w:r>
    </w:p>
    <w:p w14:paraId="45D92F37">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（六）表决</w:t>
      </w:r>
    </w:p>
    <w:p w14:paraId="06642F9E">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基金份额持有人所持每份基金份额有一票表决权。</w:t>
      </w:r>
    </w:p>
    <w:p w14:paraId="3617BB4F">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基金份额持有人大会决议分为一般决议和特别决议：</w:t>
      </w:r>
    </w:p>
    <w:p w14:paraId="6EA0F0B4">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33B4C4AE">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14:paraId="27C731D2">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基金份额持有人大会采取记名方式进行投票表决。</w:t>
      </w:r>
    </w:p>
    <w:p w14:paraId="4D4D066E">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2AABE0C4">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基金份额持有人大会的各项提案或同一项提案内并列的各项议题应当分开审议、逐项表决。</w:t>
      </w:r>
    </w:p>
    <w:p w14:paraId="5648540C">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在上述规则的前提下，具体规则以召集人发布的基金份额持有人大会通知为准。</w:t>
      </w:r>
    </w:p>
    <w:p w14:paraId="13D048CD">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（七）计票</w:t>
      </w:r>
    </w:p>
    <w:p w14:paraId="56E69921">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1、现场开会</w:t>
      </w:r>
    </w:p>
    <w:p w14:paraId="0F77E3B0">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3162AA7A">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（2）监票人应当在基金份额持有人表决后立即进行清点并由大会主持人当场公布计票结果。</w:t>
      </w:r>
    </w:p>
    <w:p w14:paraId="0893A6C9">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70544F23">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（4）计票过程应由公证机关予以公证，基金管理人或基金托管人拒不出席大会的，不影响计票的效力。</w:t>
      </w:r>
    </w:p>
    <w:p w14:paraId="0DBDAB39">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2、通讯开会</w:t>
      </w:r>
    </w:p>
    <w:p w14:paraId="1C90FCC4">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1B946ECF">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（八）生效与公告</w:t>
      </w:r>
    </w:p>
    <w:p w14:paraId="56F63AE5">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基金份额持有人大会的决议，召集人应当自通过之日起5日内报中国证监会备案。</w:t>
      </w:r>
    </w:p>
    <w:p w14:paraId="70D829EE">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基金份额持有人大会的决议自表决通过之日起生效。</w:t>
      </w:r>
    </w:p>
    <w:p w14:paraId="5BA4CD8D">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基金份额持有人大会决议自生效之日起按规定在规定媒介上公告。如果采用通讯方式进行表决，在公告基金份额持有人大会决议时，必须将公证书全文、公证机构、公证员姓名等一同公告。</w:t>
      </w:r>
    </w:p>
    <w:p w14:paraId="29D33988">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基金管理人、基金托管人和基金份额持有人应当执行生效的基金份额持有人大会的决议。生效的基金份额持有人大会决议对全体基金份额持有人、基金管理人、基金托管人均有约束力。</w:t>
      </w:r>
    </w:p>
    <w:p w14:paraId="65913FF5">
      <w:pPr>
        <w:spacing w:line="360" w:lineRule="auto"/>
        <w:ind w:firstLine="420" w:firstLineChars="200"/>
        <w:rPr>
          <w:rFonts w:hint="eastAsia" w:ascii="宋体" w:hAnsi="宋体" w:cs="宋体"/>
          <w:b/>
          <w:szCs w:val="21"/>
        </w:rPr>
      </w:pPr>
      <w:r>
        <w:rPr>
          <w:rFonts w:hint="eastAsia" w:ascii="宋体" w:hAnsi="宋体" w:cs="宋体"/>
          <w:color w:val="0D0D0D" w:themeColor="text1" w:themeTint="F2"/>
          <w:szCs w:val="21"/>
          <w14:textFill>
            <w14:solidFill>
              <w14:schemeClr w14:val="tx1">
                <w14:lumMod w14:val="95000"/>
                <w14:lumOff w14:val="5000"/>
              </w14:schemeClr>
            </w14:solidFill>
          </w14:textFill>
        </w:rPr>
        <w:t>（九）本部分关于基金份额持有人大会召开事由、召开条件、议事程序、表决条件等规定，凡是直接引用法律法规的部分，如将来法律法规修改导致相关内容被取消或变更的，基金管理人与基金托管人协商一致并提前公告后，可直接对本部分内容进行修改和调整，无需召开基金份额持有人大会审议。</w:t>
      </w:r>
    </w:p>
    <w:p w14:paraId="15274754">
      <w:pPr>
        <w:spacing w:line="360" w:lineRule="auto"/>
        <w:rPr>
          <w:rFonts w:hint="eastAsia" w:ascii="宋体" w:hAnsi="宋体" w:cs="宋体"/>
          <w:b/>
          <w:szCs w:val="21"/>
        </w:rPr>
      </w:pPr>
      <w:r>
        <w:rPr>
          <w:rFonts w:hint="eastAsia" w:ascii="宋体" w:hAnsi="宋体" w:cs="宋体"/>
          <w:b/>
          <w:szCs w:val="21"/>
        </w:rPr>
        <w:t>三、基金收益分配原则、执行方式</w:t>
      </w:r>
    </w:p>
    <w:p w14:paraId="6D744D91">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（一）基金收益分配原则</w:t>
      </w:r>
    </w:p>
    <w:p w14:paraId="57E0AF63">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1、本基金基金份额的收益分配方式采用现金分红；</w:t>
      </w:r>
    </w:p>
    <w:p w14:paraId="6577DBA2">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2、当收益评价日核定的基金份额净值增长率超过标的指数同期增长率或者基金可供分配利润金额大于零时，基金管理人可进行收益分配；</w:t>
      </w:r>
    </w:p>
    <w:p w14:paraId="680CEECB">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3、当基金收益分配根据基金相对标的指数的超额收益率决定时，基于本基金的特点，本基金收益分配无需以弥补亏损为前提，收益分配后基金份额净值有可能低于面值；当基金收益分配根据基金可供分配利润金额决定时，本基金收益分配后基金份额净值不能低于面值，即基金收益分配基准日的基金份额净值减去每单位基金份额收益分配金额后不能低于面值；</w:t>
      </w:r>
    </w:p>
    <w:p w14:paraId="6943139C">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4、在符合上述基金分红条件的前提下，本基金可进行收益分配。评价时间、分配时间、分配方案及每次基金收益分配数额等内容，基金管理人可以根据实际情况确定并按照有关规定公告；</w:t>
      </w:r>
    </w:p>
    <w:p w14:paraId="25C48308">
      <w:pPr>
        <w:adjustRightInd w:val="0"/>
        <w:snapToGrid w:val="0"/>
        <w:spacing w:line="360" w:lineRule="auto"/>
        <w:ind w:firstLine="420" w:firstLineChars="200"/>
      </w:pPr>
      <w:r>
        <w:rPr>
          <w:rFonts w:hint="eastAsia"/>
        </w:rPr>
        <w:t>5、若《基金合同》生效不满3个月可不进行收益分配；</w:t>
      </w:r>
    </w:p>
    <w:p w14:paraId="1FA5CB79">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6、每一基金份额享有同等分配权；</w:t>
      </w:r>
    </w:p>
    <w:p w14:paraId="662F6992">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7、法律法规或监管机关、证券交易所、登记机构另有规定的，从其规定。</w:t>
      </w:r>
    </w:p>
    <w:p w14:paraId="2CD29511">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在不违反法律法规且对基金份额持有人利益无实质性不利影响的前提下，基金管理人经与基金托管人协商一致后可对基金收益分配原则进行调整，并及时公告。</w:t>
      </w:r>
    </w:p>
    <w:p w14:paraId="06DBCD71">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（二）基金收益分配比例及金额的确定原则</w:t>
      </w:r>
    </w:p>
    <w:p w14:paraId="35AF8191">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1、在收益评价日，基金管理人计算基金份额净值增长率、标的指数同期增长率。</w:t>
      </w:r>
    </w:p>
    <w:p w14:paraId="7913087A">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基金收益评价日本基金相对标的指数的超额收益率＝基金份额净值增长率－标的指数同期增长率。</w:t>
      </w:r>
    </w:p>
    <w:p w14:paraId="199C071B">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基金份额净值增长率为收益评价日基金份额净值与基金上市前一交易日基金份额净值之比减去1乘以100%；标的指数同期增长率为收益评价日标的指数收盘价与基金上市前一交易日标的指数收盘价之比减去1乘以100%。</w:t>
      </w:r>
    </w:p>
    <w:p w14:paraId="05878051">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期间如发生基金份额折算、拆分或合并，则以基金份额折算日、经拆分或合并调整后的基金份额折算日为初始日重新计算上述指标。</w:t>
      </w:r>
    </w:p>
    <w:p w14:paraId="18C71DA4">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收益评价日日期以基金管理人相关公告为准。</w:t>
      </w:r>
    </w:p>
    <w:p w14:paraId="06AB3260">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2、基金可供分配利润指截至收益分配基准日基金未分配利润与未分配利润中已实现收益的孰低数。</w:t>
      </w:r>
    </w:p>
    <w:p w14:paraId="63F3A95A">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ascii="宋体" w:hAnsi="宋体" w:cs="宋体"/>
          <w:color w:val="0D0D0D" w:themeColor="text1" w:themeTint="F2"/>
          <w:szCs w:val="21"/>
          <w14:textFill>
            <w14:solidFill>
              <w14:schemeClr w14:val="tx1">
                <w14:lumMod w14:val="95000"/>
                <w14:lumOff w14:val="5000"/>
              </w14:schemeClr>
            </w14:solidFill>
          </w14:textFill>
        </w:rPr>
        <w:t>3</w:t>
      </w:r>
      <w:r>
        <w:rPr>
          <w:rFonts w:hint="eastAsia" w:ascii="宋体" w:hAnsi="宋体" w:cs="宋体"/>
          <w:color w:val="0D0D0D" w:themeColor="text1" w:themeTint="F2"/>
          <w:szCs w:val="21"/>
          <w14:textFill>
            <w14:solidFill>
              <w14:schemeClr w14:val="tx1">
                <w14:lumMod w14:val="95000"/>
                <w14:lumOff w14:val="5000"/>
              </w14:schemeClr>
            </w14:solidFill>
          </w14:textFill>
        </w:rPr>
        <w:t>、根据前述收益分配原则计算截至基金收益评价日本基金的超额收益率及基金可供分配利润，并确定收益分配比例。</w:t>
      </w:r>
    </w:p>
    <w:p w14:paraId="13BCF017">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ascii="宋体" w:hAnsi="宋体" w:cs="宋体"/>
          <w:color w:val="0D0D0D" w:themeColor="text1" w:themeTint="F2"/>
          <w:szCs w:val="21"/>
          <w14:textFill>
            <w14:solidFill>
              <w14:schemeClr w14:val="tx1">
                <w14:lumMod w14:val="95000"/>
                <w14:lumOff w14:val="5000"/>
              </w14:schemeClr>
            </w14:solidFill>
          </w14:textFill>
        </w:rPr>
        <w:t>4</w:t>
      </w:r>
      <w:r>
        <w:rPr>
          <w:rFonts w:hint="eastAsia" w:ascii="宋体" w:hAnsi="宋体" w:cs="宋体"/>
          <w:color w:val="0D0D0D" w:themeColor="text1" w:themeTint="F2"/>
          <w:szCs w:val="21"/>
          <w14:textFill>
            <w14:solidFill>
              <w14:schemeClr w14:val="tx1">
                <w14:lumMod w14:val="95000"/>
                <w14:lumOff w14:val="5000"/>
              </w14:schemeClr>
            </w14:solidFill>
          </w14:textFill>
        </w:rPr>
        <w:t>、根据前述超额收益率、可供分配利润及收益分配比例计算收益分配金额。</w:t>
      </w:r>
    </w:p>
    <w:p w14:paraId="24F3EBB7">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（三）收益分配方案</w:t>
      </w:r>
    </w:p>
    <w:p w14:paraId="27D371FD">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基金收益分配方案中应载明基金收益分配对象、分配时间、分配数额及比例、分配方式等内容。</w:t>
      </w:r>
    </w:p>
    <w:p w14:paraId="01592476">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（四）收益分配方案的确定、公告与实施</w:t>
      </w:r>
    </w:p>
    <w:p w14:paraId="7A554875">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本基金收益分配方案由基金管理人拟定，并由基金托管人复核，依照《信息披露办法》的有关规定在规定媒介公告。</w:t>
      </w:r>
    </w:p>
    <w:p w14:paraId="02557902">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（五）基金收益分配中发生的费用</w:t>
      </w:r>
    </w:p>
    <w:p w14:paraId="4E06CDED">
      <w:pPr>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基金收益分配时所发生的银行转账或其他手续费用由投资者自行承担。</w:t>
      </w:r>
    </w:p>
    <w:p w14:paraId="5EA212CB">
      <w:pPr>
        <w:spacing w:line="360" w:lineRule="auto"/>
        <w:ind w:firstLine="420" w:firstLineChars="200"/>
        <w:rPr>
          <w:rFonts w:hint="eastAsia" w:ascii="宋体" w:hAnsi="宋体" w:cs="宋体"/>
          <w:bCs/>
          <w:szCs w:val="21"/>
        </w:rPr>
      </w:pPr>
    </w:p>
    <w:p w14:paraId="0C286B44">
      <w:pPr>
        <w:spacing w:line="360" w:lineRule="auto"/>
        <w:rPr>
          <w:rFonts w:hint="eastAsia" w:ascii="宋体" w:hAnsi="宋体" w:cs="宋体"/>
          <w:b/>
          <w:szCs w:val="21"/>
        </w:rPr>
      </w:pPr>
      <w:r>
        <w:rPr>
          <w:rFonts w:hint="eastAsia" w:ascii="宋体" w:hAnsi="宋体" w:cs="宋体"/>
          <w:b/>
          <w:szCs w:val="21"/>
        </w:rPr>
        <w:t>四、与基金财产管理、运作有关费用的提取、支付方式与比例</w:t>
      </w:r>
    </w:p>
    <w:p w14:paraId="17A2B238">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（一）基金费用的种类</w:t>
      </w:r>
    </w:p>
    <w:p w14:paraId="5F505BD2">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1、基金管理人的管理费；</w:t>
      </w:r>
    </w:p>
    <w:p w14:paraId="073B6FA1">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2、基金托管人的托管费；</w:t>
      </w:r>
    </w:p>
    <w:p w14:paraId="64E2037E">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3、基金的证券、期货、期权交易费用；</w:t>
      </w:r>
    </w:p>
    <w:p w14:paraId="64370F82">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4、《基金合同》生效后与基金相关的信息披露费用，但法律法规、中国证监会另有规定的除外；</w:t>
      </w:r>
    </w:p>
    <w:p w14:paraId="377FABA1">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5、《基金合同》生效后与基金相关的公证费、会计师费、律师费、仲裁费和诉讼费；</w:t>
      </w:r>
    </w:p>
    <w:p w14:paraId="70D6E348">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6、基金份额持有人大会费用；</w:t>
      </w:r>
    </w:p>
    <w:p w14:paraId="094227E7">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7、基金银行汇划费用、账户开户及维护费用、场内注册登记费用、IOPV计算与发布费用、收益分配中发生的费用（银行转账或其他手续费用除外）；</w:t>
      </w:r>
    </w:p>
    <w:p w14:paraId="6FD8204D">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8、基金上市费及年费；</w:t>
      </w:r>
    </w:p>
    <w:p w14:paraId="14F4ED32">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9、按照国家有关规定和《基金合同》约定，可以在基金财产中列支的其他费用。</w:t>
      </w:r>
    </w:p>
    <w:p w14:paraId="0126CBCA">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（二）基金费用计提方法、计提标准和支付方式</w:t>
      </w:r>
    </w:p>
    <w:p w14:paraId="5E930F01">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1、基金管理人的管理费</w:t>
      </w:r>
    </w:p>
    <w:p w14:paraId="6A5B7328">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本基金的管理费按前一日基金资产净值的0.50%年费率计提。管理费的计算方法如下：</w:t>
      </w:r>
    </w:p>
    <w:p w14:paraId="0C526143">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H＝E×0.50%÷当年天数</w:t>
      </w:r>
    </w:p>
    <w:p w14:paraId="60ED3398">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H为每日应计提的基金管理费</w:t>
      </w:r>
    </w:p>
    <w:p w14:paraId="607F4997">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E为前一日的基金资产净值</w:t>
      </w:r>
    </w:p>
    <w:p w14:paraId="17C76454">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基金管理费每日计提，逐日累计至每月月末，按月支付，由基金托管人根据与基金管理人核对一致的财务数据，于次月首日起5个工作日内、按照指定的账户路径进行资金支付，基金管理人无需再出具资金划拨指令。若遇法定节假日、公休日等，支付日期顺延至最近可支付日支付。</w:t>
      </w:r>
    </w:p>
    <w:p w14:paraId="7ACE275B">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2、基金托管人的托管费</w:t>
      </w:r>
    </w:p>
    <w:p w14:paraId="16491840">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本基金的托管费按前一日基金资产净值的0.10%年费率计提。托管费的计算方法如下：</w:t>
      </w:r>
    </w:p>
    <w:p w14:paraId="1EB928A2">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H＝E×0.10%÷当年天数</w:t>
      </w:r>
    </w:p>
    <w:p w14:paraId="5C6D57A0">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H为每日应计提的基金托管费</w:t>
      </w:r>
    </w:p>
    <w:p w14:paraId="4C7F49B6">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E为前一日的基金资产净值</w:t>
      </w:r>
    </w:p>
    <w:p w14:paraId="2FD2292B">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基金托管费每日计提，逐日累计至每月月末，按月支付，由基金托管人根据与基金管理人核对一致的财务数据，于次月首日起5个工作日内、按照指定的账户路径进行资金支付，基金管理人无需再出具资金划拨指令。若遇法定节假日、公休日等，支付日期顺延至最近可支付日支付。</w:t>
      </w:r>
    </w:p>
    <w:p w14:paraId="766BF501">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上述“一、基金费用的种类”中第3－9项费用，根据有关法规及相应协议规定，按费用实际支出金额列入当期费用，由基金托管人从基金财产中支付。</w:t>
      </w:r>
    </w:p>
    <w:p w14:paraId="2EA7296B">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（三）不列入基金费用的项目</w:t>
      </w:r>
    </w:p>
    <w:p w14:paraId="70F08DCA">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1、基金管理人和基金托管人因未履行或未完全履行义务导致的费用支出或基金财产的损失；</w:t>
      </w:r>
    </w:p>
    <w:p w14:paraId="2DEDFDA0">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2、基金管理人和基金托管人处理与基金运作无关的事项发生的费用；</w:t>
      </w:r>
    </w:p>
    <w:p w14:paraId="6A4D87AB">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3、《基金合同》生效前的相关费用；</w:t>
      </w:r>
    </w:p>
    <w:p w14:paraId="55A49544">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4、指数许可使用费；</w:t>
      </w:r>
    </w:p>
    <w:p w14:paraId="67C8D777">
      <w:pPr>
        <w:adjustRightInd w:val="0"/>
        <w:snapToGrid w:val="0"/>
        <w:spacing w:line="360" w:lineRule="auto"/>
        <w:ind w:firstLine="420" w:firstLineChars="200"/>
        <w:rPr>
          <w:rFonts w:hint="eastAsia" w:ascii="宋体" w:hAnsi="宋体" w:cs="宋体"/>
          <w:bCs/>
          <w:kern w:val="0"/>
          <w:szCs w:val="21"/>
        </w:rPr>
      </w:pPr>
      <w:r>
        <w:rPr>
          <w:rFonts w:hint="eastAsia" w:ascii="宋体" w:hAnsi="宋体" w:cs="宋体"/>
          <w:color w:val="0D0D0D" w:themeColor="text1" w:themeTint="F2"/>
          <w:szCs w:val="21"/>
          <w14:textFill>
            <w14:solidFill>
              <w14:schemeClr w14:val="tx1">
                <w14:lumMod w14:val="95000"/>
                <w14:lumOff w14:val="5000"/>
              </w14:schemeClr>
            </w14:solidFill>
          </w14:textFill>
        </w:rPr>
        <w:t>本基金按照基金管理人与标的指数许可方所签订的指数使用许可协议中所规定的指数许可使用费计提方法支付指数许可使用费，</w:t>
      </w:r>
      <w:r>
        <w:rPr>
          <w:rFonts w:hint="eastAsia" w:ascii="宋体" w:hAnsi="宋体" w:cs="宋体"/>
          <w:bCs/>
          <w:kern w:val="0"/>
          <w:szCs w:val="21"/>
        </w:rPr>
        <w:t>该指数许可使用费由基金管理人承担，</w:t>
      </w:r>
      <w:r>
        <w:rPr>
          <w:rFonts w:hint="eastAsia" w:ascii="宋体" w:hAnsi="宋体" w:cs="宋体"/>
          <w:bCs/>
          <w:color w:val="0D0D0D" w:themeColor="text1" w:themeTint="F2"/>
          <w:szCs w:val="21"/>
          <w14:textFill>
            <w14:solidFill>
              <w14:schemeClr w14:val="tx1">
                <w14:lumMod w14:val="95000"/>
                <w14:lumOff w14:val="5000"/>
              </w14:schemeClr>
            </w14:solidFill>
          </w14:textFill>
        </w:rPr>
        <w:t>不得从基金财产中列支</w:t>
      </w:r>
      <w:r>
        <w:rPr>
          <w:rFonts w:hint="eastAsia" w:ascii="宋体" w:hAnsi="宋体" w:cs="宋体"/>
          <w:color w:val="0D0D0D" w:themeColor="text1" w:themeTint="F2"/>
          <w:szCs w:val="21"/>
          <w14:textFill>
            <w14:solidFill>
              <w14:schemeClr w14:val="tx1">
                <w14:lumMod w14:val="95000"/>
                <w14:lumOff w14:val="5000"/>
              </w14:schemeClr>
            </w14:solidFill>
          </w14:textFill>
        </w:rPr>
        <w:t>。</w:t>
      </w:r>
    </w:p>
    <w:p w14:paraId="15C398C6">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如果指数许可使用费的计算方法、费率、支付方式和费用承担方等发生调整，本基金将采用调整后的方法或费率计算指数许可使用费；</w:t>
      </w:r>
    </w:p>
    <w:p w14:paraId="6C13AC76">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5、其他根据相关法律法规及中国证监会的有关规定不得列入基金费用的项目。</w:t>
      </w:r>
    </w:p>
    <w:p w14:paraId="3D269433">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（四）基金税收</w:t>
      </w:r>
    </w:p>
    <w:p w14:paraId="252FE186">
      <w:pPr>
        <w:spacing w:line="360" w:lineRule="auto"/>
        <w:ind w:firstLine="420" w:firstLineChars="200"/>
        <w:rPr>
          <w:rFonts w:hint="eastAsia" w:ascii="宋体" w:hAnsi="宋体" w:cs="宋体"/>
          <w:b/>
          <w:szCs w:val="21"/>
        </w:rPr>
      </w:pPr>
      <w:r>
        <w:rPr>
          <w:rFonts w:hint="eastAsia" w:ascii="宋体" w:hAnsi="宋体" w:cs="宋体"/>
          <w:color w:val="0D0D0D" w:themeColor="text1" w:themeTint="F2"/>
          <w:szCs w:val="21"/>
          <w14:textFill>
            <w14:solidFill>
              <w14:schemeClr w14:val="tx1">
                <w14:lumMod w14:val="95000"/>
                <w14:lumOff w14:val="5000"/>
              </w14:schemeClr>
            </w14:solidFill>
          </w14:textFill>
        </w:rPr>
        <w:t>本基金运作过程中涉及的各纳税主体，其纳税义务按国家税收法律、法规执行。基金财产投资的相关税收，由基金份额持有人承担，基金管理人或者其他扣缴义务人按照国家有关税收征收的规定代扣代缴。</w:t>
      </w:r>
    </w:p>
    <w:p w14:paraId="6FE34387">
      <w:pPr>
        <w:spacing w:line="360" w:lineRule="auto"/>
        <w:rPr>
          <w:rFonts w:hint="eastAsia" w:ascii="宋体" w:hAnsi="宋体" w:cs="宋体"/>
          <w:b/>
          <w:color w:val="0D0D0D" w:themeColor="text1" w:themeTint="F2"/>
          <w:szCs w:val="21"/>
          <w14:textFill>
            <w14:solidFill>
              <w14:schemeClr w14:val="tx1">
                <w14:lumMod w14:val="95000"/>
                <w14:lumOff w14:val="5000"/>
              </w14:schemeClr>
            </w14:solidFill>
          </w14:textFill>
        </w:rPr>
      </w:pPr>
      <w:r>
        <w:rPr>
          <w:rFonts w:hint="eastAsia" w:ascii="宋体" w:hAnsi="宋体" w:cs="宋体"/>
          <w:b/>
          <w:color w:val="0D0D0D" w:themeColor="text1" w:themeTint="F2"/>
          <w:szCs w:val="21"/>
          <w14:textFill>
            <w14:solidFill>
              <w14:schemeClr w14:val="tx1">
                <w14:lumMod w14:val="95000"/>
                <w14:lumOff w14:val="5000"/>
              </w14:schemeClr>
            </w14:solidFill>
          </w14:textFill>
        </w:rPr>
        <w:t>五、基金资产的投资范围和投资限制</w:t>
      </w:r>
    </w:p>
    <w:p w14:paraId="3594CDC3">
      <w:pPr>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（一）投资范围</w:t>
      </w:r>
    </w:p>
    <w:p w14:paraId="0AC8E84C">
      <w:pPr>
        <w:adjustRightInd w:val="0"/>
        <w:snapToGrid w:val="0"/>
        <w:spacing w:line="360" w:lineRule="auto"/>
        <w:ind w:firstLine="420" w:firstLineChars="200"/>
        <w:rPr>
          <w:rFonts w:hint="eastAsia" w:ascii="宋体" w:hAnsi="宋体" w:cs="宋体"/>
          <w:color w:val="0D0D0D" w:themeColor="text1" w:themeTint="F2"/>
          <w:kern w:val="0"/>
          <w:szCs w:val="21"/>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14:textFill>
            <w14:solidFill>
              <w14:schemeClr w14:val="tx1">
                <w14:lumMod w14:val="95000"/>
                <w14:lumOff w14:val="5000"/>
              </w14:schemeClr>
            </w14:solidFill>
          </w14:textFill>
        </w:rPr>
        <w:t>本基金主要投资于标的指数成份股和备选成份股(含存托凭证)。</w:t>
      </w:r>
    </w:p>
    <w:p w14:paraId="5804C52F">
      <w:pPr>
        <w:adjustRightInd w:val="0"/>
        <w:snapToGrid w:val="0"/>
        <w:spacing w:line="360" w:lineRule="auto"/>
        <w:ind w:firstLine="420" w:firstLineChars="200"/>
        <w:rPr>
          <w:rFonts w:hint="eastAsia" w:ascii="宋体" w:hAnsi="宋体" w:cs="宋体"/>
          <w:color w:val="0D0D0D" w:themeColor="text1" w:themeTint="F2"/>
          <w:kern w:val="0"/>
          <w:szCs w:val="21"/>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14:textFill>
            <w14:solidFill>
              <w14:schemeClr w14:val="tx1">
                <w14:lumMod w14:val="95000"/>
                <w14:lumOff w14:val="5000"/>
              </w14:schemeClr>
            </w14:solidFill>
          </w14:textFill>
        </w:rPr>
        <w:t>为更好地实现基金的投资目标，本基金可能会少量投资于依法发行上市的非成份股（包括主板、创业板及其他经中国证监会核准或注册上市的股票和存托凭证）、债券（包括国债、金融债、地方政府债、政府支持机构债券、政府支持债券、企业债、公司债、可转换债券（含可分离交易可转债）、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w:t>
      </w:r>
    </w:p>
    <w:p w14:paraId="66988DC0">
      <w:pPr>
        <w:adjustRightInd w:val="0"/>
        <w:snapToGrid w:val="0"/>
        <w:spacing w:line="360" w:lineRule="auto"/>
        <w:ind w:firstLine="420" w:firstLineChars="200"/>
        <w:rPr>
          <w:rFonts w:hint="eastAsia" w:ascii="宋体" w:hAnsi="宋体" w:cs="宋体"/>
          <w:color w:val="0D0D0D" w:themeColor="text1" w:themeTint="F2"/>
          <w:kern w:val="0"/>
          <w:szCs w:val="21"/>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14:textFill>
            <w14:solidFill>
              <w14:schemeClr w14:val="tx1">
                <w14:lumMod w14:val="95000"/>
                <w14:lumOff w14:val="5000"/>
              </w14:schemeClr>
            </w14:solidFill>
          </w14:textFill>
        </w:rPr>
        <w:t>本基金可根据法律法规的规定参与融资和转融通证券出借业务。</w:t>
      </w:r>
    </w:p>
    <w:p w14:paraId="1089ACBA">
      <w:pPr>
        <w:adjustRightInd w:val="0"/>
        <w:snapToGrid w:val="0"/>
        <w:spacing w:line="360" w:lineRule="auto"/>
        <w:ind w:firstLine="420" w:firstLineChars="200"/>
        <w:rPr>
          <w:rFonts w:hint="eastAsia" w:ascii="宋体" w:hAnsi="宋体" w:cs="宋体"/>
          <w:color w:val="0D0D0D" w:themeColor="text1" w:themeTint="F2"/>
          <w:kern w:val="0"/>
          <w:szCs w:val="21"/>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14:textFill>
            <w14:solidFill>
              <w14:schemeClr w14:val="tx1">
                <w14:lumMod w14:val="95000"/>
                <w14:lumOff w14:val="5000"/>
              </w14:schemeClr>
            </w14:solidFill>
          </w14:textFill>
        </w:rPr>
        <w:t>如法律法规或中国证监会以后允许基金投资其他品种，本基金管理人在履行适当程序后，可以将其纳入本基金的投资范围。</w:t>
      </w:r>
    </w:p>
    <w:p w14:paraId="65AC4E02">
      <w:pPr>
        <w:adjustRightInd w:val="0"/>
        <w:snapToGrid w:val="0"/>
        <w:spacing w:line="360" w:lineRule="auto"/>
        <w:ind w:firstLine="420" w:firstLineChars="200"/>
        <w:rPr>
          <w:rFonts w:hint="eastAsia" w:ascii="宋体" w:hAnsi="宋体" w:cs="宋体"/>
          <w:color w:val="0D0D0D" w:themeColor="text1" w:themeTint="F2"/>
          <w:kern w:val="0"/>
          <w:szCs w:val="21"/>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14:textFill>
            <w14:solidFill>
              <w14:schemeClr w14:val="tx1">
                <w14:lumMod w14:val="95000"/>
                <w14:lumOff w14:val="5000"/>
              </w14:schemeClr>
            </w14:solidFill>
          </w14:textFill>
        </w:rPr>
        <w:t>本基金投资于标的指数成份股和备选成份股（含存托凭证）的资产比例不低于基金资产净值的90%，且不低于非现金基金资产的80%；本基金每个交易日日终在扣除股指期货、股票期权和国债期货合约需缴纳的交易保证金后，应当保持不低于交易保证金一倍的现金，其中现金不包括结算备付金、存出保证金、应收申购款等；股指期货、股票期权、国债期货及其他金融工具的投资比例依照法律法规或监管机构的规定执行。</w:t>
      </w:r>
    </w:p>
    <w:p w14:paraId="3D81FDC2">
      <w:pPr>
        <w:adjustRightInd w:val="0"/>
        <w:snapToGrid w:val="0"/>
        <w:spacing w:line="360" w:lineRule="auto"/>
        <w:ind w:firstLine="420" w:firstLineChars="200"/>
        <w:rPr>
          <w:rFonts w:hint="eastAsia" w:ascii="宋体" w:hAnsi="宋体" w:cs="宋体"/>
          <w:color w:val="0D0D0D" w:themeColor="text1" w:themeTint="F2"/>
          <w:kern w:val="0"/>
          <w:szCs w:val="21"/>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14:textFill>
            <w14:solidFill>
              <w14:schemeClr w14:val="tx1">
                <w14:lumMod w14:val="95000"/>
                <w14:lumOff w14:val="5000"/>
              </w14:schemeClr>
            </w14:solidFill>
          </w14:textFill>
        </w:rPr>
        <w:t>若法律法规的相关规定发生变更或监管机构允许，本基金管理人在履行适当程序后，可对上述资产配置比例进行调整。</w:t>
      </w:r>
    </w:p>
    <w:p w14:paraId="7D810C6B">
      <w:pPr>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（二）投资组合限制</w:t>
      </w:r>
    </w:p>
    <w:p w14:paraId="60114934">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1、组合限制</w:t>
      </w:r>
    </w:p>
    <w:p w14:paraId="05BE8398">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基金的投资组合应遵循以下限制：</w:t>
      </w:r>
    </w:p>
    <w:p w14:paraId="226F9329">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（1）本基金投资于标的指数成份股和备选成份股的资产比例不低于基金资产净值的90%，且不低于非现金基金资产的80%；</w:t>
      </w:r>
    </w:p>
    <w:p w14:paraId="059E36A9">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（2）每个交易日日终在扣除股指期货、股票期权和国债期货合约需缴纳的交易保证金后，本基金应当保持不低于交易保证金一倍的现金，其中现金不包括结算备付金、存出保证金和应收申购款等；</w:t>
      </w:r>
    </w:p>
    <w:p w14:paraId="4DA2EC32">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（3）本基金持有一家公司发行的证券，其市值不超过基金资产净值的10%，完全按照有关指数的构成比例进行证券投资的基金品种可以不受前述比例限制；</w:t>
      </w:r>
    </w:p>
    <w:p w14:paraId="05821A4F">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（4）本基金管理人管理的全部基金持有一家公司发行的证券，不超过该证券的10%，完全按照有关指数的构成比例进行证券投资的基金品种可以不受前述比例限制；</w:t>
      </w:r>
    </w:p>
    <w:p w14:paraId="77F772F0">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（5）本基金参与股指期货和国债期货交易，需遵守下列投资比例限制：</w:t>
      </w:r>
    </w:p>
    <w:p w14:paraId="1B000823">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1）本基金在任何交易日日终，持有的买入股指期货合约价值，不得超过基金资产净值的10%；在任何交易日日终，持有的买入国债期货合约价值，不得超过基金资产净值的15%；</w:t>
      </w:r>
    </w:p>
    <w:p w14:paraId="68E2F4E8">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2）本基金在任何交易日日终，持有的买入国债期货和股指期货合约价值与有价证券市值之和，不得超过基金资产净值的100%。其中，有价证券指股票、债券（不含到期日在一年以内的政府债券）、资产支持证券、买入返售金融资产（不含质押式回购）等；</w:t>
      </w:r>
    </w:p>
    <w:p w14:paraId="6EDE4831">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 xml:space="preserve">3）本基金在任何交易日日终，持有的卖出股指期货合约价值不得超过基金持有的股票总市值的20%；在任何交易日日终，持有的卖出国债期货合约价值不得超过基金持有的债券总市值的30%； </w:t>
      </w:r>
    </w:p>
    <w:p w14:paraId="234BC340">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4）本基金在任何交易日内交易（不包括平仓）的股指期货合约的成交金额不得超过上一交易日基金资产净值的20%；在任何交易日内交易（不包括平仓）的国债期货合约的成交金额不得超过上一交易日基金资产净值的30%；</w:t>
      </w:r>
    </w:p>
    <w:p w14:paraId="41827A49">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5）本基金所持有的股票市值和买入、卖出股指期货合约价值，合计（轧差计算）应当符合基金合同关于股票投资比例有关约定；本基金所持有的债券（不含到期日在一年以内的政府债券）市值和买入、卖出国债期货合约价值，合计（轧差计算）应当符合基金合同关于债券投资比例的有关约定；</w:t>
      </w:r>
    </w:p>
    <w:p w14:paraId="4761D54D">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（6）本基金投资于同一原始权益人的各类资产支持证券的比例，不得超过基金资产净值的10％；</w:t>
      </w:r>
    </w:p>
    <w:p w14:paraId="4DA8F0CA">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（7）本基金持有的全部资产支持证券，其市值不得超过基金资产净值的20％；</w:t>
      </w:r>
    </w:p>
    <w:p w14:paraId="7279D7E2">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（8）本基金持有的同一(指同一信用级别)资产支持证券的比例，不得超过该资产支持证券规模的10％；</w:t>
      </w:r>
    </w:p>
    <w:p w14:paraId="07A6FDBD">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（9）本基金管理人管理的全部基金投资于同一原始权益人的各类资产支持证券，不得超过其各类资产支持证券合计规模的10％；</w:t>
      </w:r>
    </w:p>
    <w:p w14:paraId="42E8189B">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（10）本基金应投资于信用级别评级为BBB以上(含BBB)的资产支持证券。基金持有资产支持证券期间，如果其信用等级下降、不再符合投资标准，应在评级报告发布之日起3个月内予以全部卖出；</w:t>
      </w:r>
    </w:p>
    <w:p w14:paraId="3BD25DEF">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（11）基金财产参与股票发行申购，本基金所申报的金额不超过本基金的总资产，本基金所申报的股票数量不超过拟发行股票公司本次发行股票的总量；</w:t>
      </w:r>
    </w:p>
    <w:p w14:paraId="2EEE401A">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（12）本基金参与融资的，在任何交易日日终，本基金持有的融资买入股票与其他有价证券市值之和，不得超过基金资产净值的95%；</w:t>
      </w:r>
    </w:p>
    <w:p w14:paraId="7DE438A4">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（13）本基金参与转融通证券出借业务，需遵守下列投资限制：</w:t>
      </w:r>
    </w:p>
    <w:p w14:paraId="6620DF05">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1）出借证券资产不得超过基金资产净值的30%，出借期限在10个交易日以上的出借证券应纳入《流动性风险管理规定》所述流动性受限证券的范围；</w:t>
      </w:r>
    </w:p>
    <w:p w14:paraId="204B0F21">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2）参与出借业务的单只证券不得超过本基金持有该证券总量的30%；</w:t>
      </w:r>
    </w:p>
    <w:p w14:paraId="375AD4E9">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3）最近6个月内日均基金资产净值不得低于2亿元；</w:t>
      </w:r>
    </w:p>
    <w:p w14:paraId="61C6EED4">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4）证券出借的平均剩余期限不得超过30天，平均剩余期限按照市值加权平均计算；</w:t>
      </w:r>
    </w:p>
    <w:p w14:paraId="7B74B714">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因证券、期货市场波动、证券发行人合并、基金规模变动等基金管理人之外的因素致使基金投资不符合上述规定的，基金管理人不得新增出借业务；</w:t>
      </w:r>
    </w:p>
    <w:p w14:paraId="68C6BB42">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（14）本基金投资股票期权应当符合以下要求：</w:t>
      </w:r>
    </w:p>
    <w:p w14:paraId="070FBD7C">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 xml:space="preserve">基金因未平仓的股票期权合约支付和收取的权利金总额不得超过基金资产净值的10%；开仓卖出认购股票期权的，应持有足额标的证券；开仓卖出认沽股票期权的，应持有合约行权所需的全额现金或交易所规则认可的可冲抵股票期权保证金的现金等价物；未平仓的股票期权合约面值不得超过基金资产净值的20%，其中，合约面值按照行权价乘以合约乘数计算； </w:t>
      </w:r>
    </w:p>
    <w:p w14:paraId="43BC4CDE">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15）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14:paraId="0F0176C2">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（16）本基金与私募类证券资管产品及中国证监会认定的其他主体为交易对手开展逆回购交易的，可接受质押品的资质要求应当与本基金合同约定的投资范围保持一致；</w:t>
      </w:r>
    </w:p>
    <w:p w14:paraId="4F97219D">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（17）本基金资产总值不得超过基金资产净值的140%；</w:t>
      </w:r>
    </w:p>
    <w:p w14:paraId="697900DD">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（18）本基金投资存托凭证的比例限制依照境内上市交易的股票执行；</w:t>
      </w:r>
    </w:p>
    <w:p w14:paraId="737D3486">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（19）法律法规及中国证监会规定的和《基金合同》约定的其他投资限制。</w:t>
      </w:r>
    </w:p>
    <w:p w14:paraId="415DCA2D">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除上述（2）、（10）、（13）、（15）、（16）情形之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w:t>
      </w:r>
    </w:p>
    <w:p w14:paraId="57B42A02">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w:t>
      </w:r>
    </w:p>
    <w:p w14:paraId="47CA769B">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法律法规或监管部门取消或调整上述限制，如适用于本基金，基金管理人在与基金托管人协商一致并履行适当程序后，则本基金投资不再受相关限制或按照调整后的规定执行。</w:t>
      </w:r>
    </w:p>
    <w:p w14:paraId="51B15D44">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2、禁止行为</w:t>
      </w:r>
    </w:p>
    <w:p w14:paraId="7979ED23">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为维护基金份额持有人的合法权益，基金财产不得用于下列投资或者活动：</w:t>
      </w:r>
    </w:p>
    <w:p w14:paraId="12A370FC">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（1）承销证券；</w:t>
      </w:r>
    </w:p>
    <w:p w14:paraId="58C80876">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（2）违反规定向他人贷款或者提供担保；</w:t>
      </w:r>
    </w:p>
    <w:p w14:paraId="326C8B7C">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（3）从事承担无限责任的投资；</w:t>
      </w:r>
    </w:p>
    <w:p w14:paraId="4CEC3475">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（4）买卖其他基金份额，但是中国证监会另有规定的除外；</w:t>
      </w:r>
    </w:p>
    <w:p w14:paraId="30959E29">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（5）向其基金管理人、基金托管人出资；</w:t>
      </w:r>
    </w:p>
    <w:p w14:paraId="2F47D290">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（6）从事内幕交易、操纵证券交易价格及其他不正当的证券交易活动；</w:t>
      </w:r>
    </w:p>
    <w:p w14:paraId="1EAF2656">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（7）法律、行政法规和中国证监会规定禁止的其他活动。</w:t>
      </w:r>
    </w:p>
    <w:p w14:paraId="5B0F6DEB">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1777C327">
      <w:pPr>
        <w:spacing w:line="360" w:lineRule="auto"/>
        <w:ind w:firstLine="420" w:firstLineChars="200"/>
        <w:rPr>
          <w:rFonts w:hint="eastAsia" w:ascii="宋体" w:hAnsi="宋体" w:cs="宋体"/>
          <w:b/>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法律、行政法规或监管部门取消或调整上述限制，如适用于本基金，基金管理人在履行适当程序后，则本基金投资不再受相关限制或按照调整后的规定执行。</w:t>
      </w:r>
    </w:p>
    <w:p w14:paraId="7FE5E63E">
      <w:pPr>
        <w:snapToGrid w:val="0"/>
        <w:spacing w:line="360" w:lineRule="auto"/>
        <w:ind w:firstLine="422" w:firstLineChars="200"/>
        <w:rPr>
          <w:rFonts w:hint="eastAsia" w:ascii="宋体" w:hAnsi="宋体" w:cs="宋体"/>
          <w:b/>
          <w:szCs w:val="21"/>
        </w:rPr>
      </w:pPr>
      <w:r>
        <w:rPr>
          <w:rFonts w:hint="eastAsia" w:ascii="宋体" w:hAnsi="宋体" w:cs="宋体"/>
          <w:b/>
          <w:szCs w:val="21"/>
        </w:rPr>
        <w:t>六、基金资产净值的计算方法和公告方式</w:t>
      </w:r>
    </w:p>
    <w:p w14:paraId="1BFB37FC">
      <w:pPr>
        <w:snapToGrid w:val="0"/>
        <w:spacing w:line="360" w:lineRule="auto"/>
        <w:ind w:firstLine="420" w:firstLineChars="200"/>
        <w:rPr>
          <w:rFonts w:hint="eastAsia" w:ascii="宋体" w:hAnsi="宋体" w:cs="宋体"/>
          <w:szCs w:val="21"/>
        </w:rPr>
      </w:pPr>
      <w:r>
        <w:rPr>
          <w:rFonts w:hint="eastAsia" w:ascii="宋体" w:hAnsi="宋体" w:cs="宋体"/>
          <w:szCs w:val="21"/>
        </w:rPr>
        <w:t>（一）基金资产净值的计算方式</w:t>
      </w:r>
    </w:p>
    <w:p w14:paraId="0E89ACA0">
      <w:pPr>
        <w:snapToGrid w:val="0"/>
        <w:spacing w:line="360" w:lineRule="auto"/>
        <w:ind w:firstLine="420" w:firstLineChars="200"/>
        <w:rPr>
          <w:rFonts w:hint="eastAsia" w:ascii="宋体" w:hAnsi="宋体" w:cs="宋体"/>
          <w:szCs w:val="21"/>
        </w:rPr>
      </w:pPr>
      <w:r>
        <w:rPr>
          <w:rFonts w:hint="eastAsia" w:ascii="宋体" w:hAnsi="宋体" w:cs="宋体"/>
          <w:szCs w:val="21"/>
        </w:rPr>
        <w:t>基金资产净值是指基金资产总值减去基金负债后的价值。</w:t>
      </w:r>
    </w:p>
    <w:p w14:paraId="1BB39BFF">
      <w:pPr>
        <w:snapToGrid w:val="0"/>
        <w:spacing w:line="360" w:lineRule="auto"/>
        <w:ind w:firstLine="420" w:firstLineChars="200"/>
        <w:rPr>
          <w:rFonts w:hint="eastAsia" w:ascii="宋体" w:hAnsi="宋体" w:cs="宋体"/>
          <w:szCs w:val="21"/>
        </w:rPr>
      </w:pPr>
      <w:r>
        <w:rPr>
          <w:rFonts w:hint="eastAsia" w:ascii="宋体" w:hAnsi="宋体" w:cs="宋体"/>
          <w:szCs w:val="21"/>
        </w:rPr>
        <w:t>（二）估值方法</w:t>
      </w:r>
    </w:p>
    <w:p w14:paraId="2785A393">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交易所上市或挂牌转让的有价证券（包括股票等，本基金合同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7C93A564">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2、对于已上市或已挂牌转让的不含权固定收益品种，选取估值日第三方估值基准服务机构提供的相应品种当日的估值全价进行估值。</w:t>
      </w:r>
    </w:p>
    <w:p w14:paraId="217C0CB9">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3、对于已上市或已挂牌转让的含权固定收益品种，选取估值日第三方估值基准服务机构提供的相应品种当日的唯一估值全价或推荐估值全价进行估值。</w:t>
      </w:r>
    </w:p>
    <w:p w14:paraId="22EC1C33">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2C5107FB">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4、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02B04F1E">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5、对于未上市或未挂牌转让且不存在活跃市场的固定收益品种，应采用在当前情况下适用并且有足够可利用数据和其他信息支持的估值技术确定其公允价值。</w:t>
      </w:r>
    </w:p>
    <w:p w14:paraId="5C822CEC">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6、处于未上市期间的股票应区分如下情况处理：</w:t>
      </w:r>
    </w:p>
    <w:p w14:paraId="0C3EB2C7">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（1）送股、转增股、配股和公开增发的新股，按估值日在证券交易所挂牌的同一股票的估值方法估值；该日无交易的，以最近一日的市价（收盘价）估值；</w:t>
      </w:r>
    </w:p>
    <w:p w14:paraId="6304B7E1">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（2）首次公开发行未上市的股票，采用估值技术确定公允价值；</w:t>
      </w:r>
    </w:p>
    <w:p w14:paraId="06DF8AD9">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04B81702">
      <w:pPr>
        <w:autoSpaceDE w:val="0"/>
        <w:autoSpaceDN w:val="0"/>
        <w:adjustRightIn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7、本基金投资存托凭证的估值核算，依照境内上市交易的股票执行。</w:t>
      </w:r>
    </w:p>
    <w:p w14:paraId="5B9CF3C7">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8、同一证券同时在两个或两个以上市场交易的，按证券所处的市场分别估值。</w:t>
      </w:r>
    </w:p>
    <w:p w14:paraId="256FD0C5">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9、本基金参与股指期货、国债期货合约交易，一般以估值当日结算价确定公允价值，估值当日无结算价的，且最近交易日后未发生影响公允价值计量的重大事件的，采用最近交易日结算价估值。</w:t>
      </w:r>
    </w:p>
    <w:p w14:paraId="5BF816ED">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10、本基金投资股票期权，根据相关法律法规以及监管部门的规定估值。</w:t>
      </w:r>
    </w:p>
    <w:p w14:paraId="38FCEEFA">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11、本基金参与融资及转融通证券出借业务的，应参照法律法规及行业协会的相关规定进行估值。</w:t>
      </w:r>
    </w:p>
    <w:p w14:paraId="139B797D">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12、如有确凿证据表明按上述方法进行估值不能客观反映其公允价值的，基金管理人可根据具体情况与基金托管人商定后，按最能反映公允价值的方法估值。</w:t>
      </w:r>
    </w:p>
    <w:p w14:paraId="7D55F918">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13、相关法律法规以及监管部门有强制规定的，从其规定。如有新增事项，按国家最新规定估值。</w:t>
      </w:r>
    </w:p>
    <w:p w14:paraId="5D159010">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如基金管理人或基金托管人发现基金估值违反基金合同订明的估值方法、程序及相关法律法规的规定或者未能充分维护基金份额持有人利益时，应立即通知对方，共同查明原因，双方协商解决。</w:t>
      </w:r>
    </w:p>
    <w:p w14:paraId="5259CF6C">
      <w:pPr>
        <w:adjustRightInd w:val="0"/>
        <w:snapToGrid w:val="0"/>
        <w:spacing w:line="360" w:lineRule="auto"/>
        <w:ind w:firstLine="420" w:firstLineChars="200"/>
        <w:rPr>
          <w:rFonts w:hint="eastAsia" w:ascii="宋体" w:hAnsi="宋体" w:cs="宋体"/>
          <w:color w:val="0D0D0D" w:themeColor="text1" w:themeTint="F2"/>
          <w:szCs w:val="21"/>
          <w14:textFill>
            <w14:solidFill>
              <w14:schemeClr w14:val="tx1">
                <w14:lumMod w14:val="95000"/>
                <w14:lumOff w14:val="5000"/>
              </w14:schemeClr>
            </w14:solidFill>
          </w14:textFill>
        </w:rPr>
      </w:pPr>
      <w:r>
        <w:rPr>
          <w:rFonts w:hint="eastAsia" w:ascii="宋体" w:hAnsi="宋体" w:cs="宋体"/>
          <w:color w:val="0D0D0D" w:themeColor="text1" w:themeTint="F2"/>
          <w:szCs w:val="21"/>
          <w14:textFill>
            <w14:solidFill>
              <w14:schemeClr w14:val="tx1">
                <w14:lumMod w14:val="95000"/>
                <w14:lumOff w14:val="5000"/>
              </w14:schemeClr>
            </w14:solidFill>
          </w14:textFill>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2D970BD2">
      <w:pPr>
        <w:snapToGrid w:val="0"/>
        <w:spacing w:line="360" w:lineRule="auto"/>
        <w:ind w:firstLine="420" w:firstLineChars="200"/>
        <w:rPr>
          <w:rFonts w:hint="eastAsia" w:ascii="宋体" w:hAnsi="宋体" w:cs="宋体"/>
          <w:szCs w:val="21"/>
        </w:rPr>
      </w:pPr>
      <w:r>
        <w:rPr>
          <w:rFonts w:hint="eastAsia" w:ascii="宋体" w:hAnsi="宋体" w:cs="宋体"/>
          <w:szCs w:val="21"/>
        </w:rPr>
        <w:t>（三）基金净值信息</w:t>
      </w:r>
    </w:p>
    <w:p w14:paraId="5B73D080">
      <w:pPr>
        <w:snapToGrid w:val="0"/>
        <w:spacing w:line="360" w:lineRule="auto"/>
        <w:ind w:firstLine="420" w:firstLineChars="200"/>
        <w:rPr>
          <w:rFonts w:hint="eastAsia" w:ascii="宋体" w:hAnsi="宋体" w:cs="宋体"/>
          <w:szCs w:val="21"/>
        </w:rPr>
      </w:pPr>
      <w:r>
        <w:rPr>
          <w:rFonts w:hint="eastAsia" w:ascii="宋体" w:hAnsi="宋体" w:cs="宋体"/>
          <w:szCs w:val="21"/>
        </w:rPr>
        <w:t>《基金合同》生效后，在基金份额上市交易或者开始办理基金份额申购或者赎回前，基金管理人应当至少每周在规定网站披露一次基金份额净值和基金份额累计净值。</w:t>
      </w:r>
    </w:p>
    <w:p w14:paraId="5863795F">
      <w:pPr>
        <w:snapToGrid w:val="0"/>
        <w:spacing w:line="360" w:lineRule="auto"/>
        <w:ind w:firstLine="420" w:firstLineChars="200"/>
        <w:rPr>
          <w:rFonts w:hint="eastAsia" w:ascii="宋体" w:hAnsi="宋体" w:cs="宋体"/>
          <w:szCs w:val="21"/>
        </w:rPr>
      </w:pPr>
      <w:r>
        <w:rPr>
          <w:rFonts w:hint="eastAsia" w:ascii="宋体" w:hAnsi="宋体" w:cs="宋体"/>
          <w:szCs w:val="21"/>
        </w:rPr>
        <w:t>在基金份额上市交易或者开始办理基金份额申购或者赎回后，基金管理人应当在不晚于每个开放日的次日，通过规定网站、基金销售机构网站或者营业网点披露开放日的基金份额净值和基金份额累计净值。</w:t>
      </w:r>
    </w:p>
    <w:p w14:paraId="61CFB276">
      <w:pPr>
        <w:snapToGrid w:val="0"/>
        <w:spacing w:line="360" w:lineRule="auto"/>
        <w:ind w:firstLine="420" w:firstLineChars="200"/>
        <w:rPr>
          <w:rFonts w:hint="eastAsia" w:ascii="宋体" w:hAnsi="宋体" w:cs="宋体"/>
          <w:szCs w:val="21"/>
        </w:rPr>
      </w:pPr>
      <w:r>
        <w:rPr>
          <w:rFonts w:hint="eastAsia" w:ascii="宋体" w:hAnsi="宋体" w:cs="宋体"/>
          <w:szCs w:val="21"/>
        </w:rPr>
        <w:t>基金管理人应当在不晚于半年度和年度最后一日的次日，在规定网站披露半年度和年度最后一日的基金份额净值和基金份额累计净值。</w:t>
      </w:r>
    </w:p>
    <w:p w14:paraId="530EB547">
      <w:pPr>
        <w:snapToGrid w:val="0"/>
        <w:spacing w:line="360" w:lineRule="auto"/>
        <w:ind w:firstLine="422" w:firstLineChars="200"/>
        <w:rPr>
          <w:rFonts w:hint="eastAsia" w:ascii="宋体" w:hAnsi="宋体" w:cs="宋体"/>
          <w:b/>
          <w:szCs w:val="21"/>
        </w:rPr>
      </w:pPr>
      <w:r>
        <w:rPr>
          <w:rFonts w:hint="eastAsia" w:ascii="宋体" w:hAnsi="宋体" w:cs="宋体"/>
          <w:b/>
          <w:szCs w:val="21"/>
        </w:rPr>
        <w:t>七、基金合同的变更、终止与基金财产的清算</w:t>
      </w:r>
    </w:p>
    <w:p w14:paraId="5089118D">
      <w:pPr>
        <w:snapToGrid w:val="0"/>
        <w:spacing w:line="360" w:lineRule="auto"/>
        <w:ind w:firstLine="420" w:firstLineChars="200"/>
        <w:rPr>
          <w:rFonts w:hint="eastAsia" w:ascii="宋体" w:hAnsi="宋体" w:cs="宋体"/>
          <w:szCs w:val="21"/>
        </w:rPr>
      </w:pPr>
      <w:r>
        <w:rPr>
          <w:rFonts w:hint="eastAsia" w:ascii="宋体" w:hAnsi="宋体" w:cs="宋体"/>
          <w:szCs w:val="21"/>
        </w:rPr>
        <w:t>（一）《基金合同》的变更</w:t>
      </w:r>
    </w:p>
    <w:p w14:paraId="237B25A6">
      <w:pPr>
        <w:snapToGrid w:val="0"/>
        <w:spacing w:line="360" w:lineRule="auto"/>
        <w:ind w:firstLine="420" w:firstLineChars="200"/>
        <w:rPr>
          <w:rFonts w:hint="eastAsia" w:ascii="宋体" w:hAnsi="宋体" w:cs="宋体"/>
          <w:szCs w:val="21"/>
        </w:rPr>
      </w:pPr>
      <w:r>
        <w:rPr>
          <w:rFonts w:hint="eastAsia" w:ascii="宋体" w:hAnsi="宋体" w:cs="宋体"/>
          <w:szCs w:val="21"/>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w:t>
      </w:r>
    </w:p>
    <w:p w14:paraId="3480E1E7">
      <w:pPr>
        <w:snapToGrid w:val="0"/>
        <w:spacing w:line="360" w:lineRule="auto"/>
        <w:ind w:firstLine="420" w:firstLineChars="200"/>
        <w:rPr>
          <w:rFonts w:hint="eastAsia" w:ascii="宋体" w:hAnsi="宋体" w:cs="宋体"/>
          <w:szCs w:val="21"/>
        </w:rPr>
      </w:pPr>
      <w:r>
        <w:rPr>
          <w:rFonts w:hint="eastAsia" w:ascii="宋体" w:hAnsi="宋体" w:cs="宋体"/>
          <w:szCs w:val="21"/>
        </w:rPr>
        <w:t>2、关于《基金合同》变更的基金份额持有人大会决议自生效后方可执行，自决议生效后按规定在规定媒介公告。</w:t>
      </w:r>
    </w:p>
    <w:p w14:paraId="70F4A2A7">
      <w:pPr>
        <w:snapToGrid w:val="0"/>
        <w:spacing w:line="360" w:lineRule="auto"/>
        <w:ind w:firstLine="420" w:firstLineChars="200"/>
        <w:rPr>
          <w:rFonts w:hint="eastAsia" w:ascii="宋体" w:hAnsi="宋体" w:cs="宋体"/>
          <w:szCs w:val="21"/>
        </w:rPr>
      </w:pPr>
      <w:r>
        <w:rPr>
          <w:rFonts w:hint="eastAsia" w:ascii="宋体" w:hAnsi="宋体" w:cs="宋体"/>
          <w:szCs w:val="21"/>
        </w:rPr>
        <w:t>（二）《基金合同》的终止事由</w:t>
      </w:r>
    </w:p>
    <w:p w14:paraId="03BEF773">
      <w:pPr>
        <w:snapToGrid w:val="0"/>
        <w:spacing w:line="360" w:lineRule="auto"/>
        <w:ind w:firstLine="420" w:firstLineChars="200"/>
        <w:rPr>
          <w:rFonts w:hint="eastAsia" w:ascii="宋体" w:hAnsi="宋体" w:cs="宋体"/>
          <w:szCs w:val="21"/>
        </w:rPr>
      </w:pPr>
      <w:r>
        <w:rPr>
          <w:rFonts w:hint="eastAsia" w:ascii="宋体" w:hAnsi="宋体" w:cs="宋体"/>
          <w:szCs w:val="21"/>
        </w:rPr>
        <w:t>有下列情形之一的，经履行相关程序后，《基金合同》应当终止：</w:t>
      </w:r>
    </w:p>
    <w:p w14:paraId="2E4C60F9">
      <w:pPr>
        <w:snapToGrid w:val="0"/>
        <w:spacing w:line="360" w:lineRule="auto"/>
        <w:ind w:firstLine="420" w:firstLineChars="200"/>
        <w:rPr>
          <w:rFonts w:hint="eastAsia" w:ascii="宋体" w:hAnsi="宋体" w:cs="宋体"/>
          <w:szCs w:val="21"/>
        </w:rPr>
      </w:pPr>
      <w:r>
        <w:rPr>
          <w:rFonts w:hint="eastAsia" w:ascii="宋体" w:hAnsi="宋体" w:cs="宋体"/>
          <w:szCs w:val="21"/>
        </w:rPr>
        <w:t>1、基金份额持有人大会决定终止的；</w:t>
      </w:r>
    </w:p>
    <w:p w14:paraId="1911490E">
      <w:pPr>
        <w:snapToGrid w:val="0"/>
        <w:spacing w:line="360" w:lineRule="auto"/>
        <w:ind w:firstLine="420" w:firstLineChars="200"/>
        <w:rPr>
          <w:rFonts w:hint="eastAsia" w:ascii="宋体" w:hAnsi="宋体" w:cs="宋体"/>
          <w:szCs w:val="21"/>
        </w:rPr>
      </w:pPr>
      <w:r>
        <w:rPr>
          <w:rFonts w:hint="eastAsia" w:ascii="宋体" w:hAnsi="宋体" w:cs="宋体"/>
          <w:szCs w:val="21"/>
        </w:rPr>
        <w:t>2、基金管理人、基金托管人职责终止，在6个月内没有新基金管理人、新基金托管人承接的；</w:t>
      </w:r>
    </w:p>
    <w:p w14:paraId="47EF031E">
      <w:pPr>
        <w:snapToGrid w:val="0"/>
        <w:spacing w:line="360" w:lineRule="auto"/>
        <w:ind w:firstLine="420" w:firstLineChars="200"/>
        <w:rPr>
          <w:rFonts w:hint="eastAsia" w:ascii="宋体" w:hAnsi="宋体" w:cs="宋体"/>
          <w:szCs w:val="21"/>
        </w:rPr>
      </w:pPr>
      <w:r>
        <w:rPr>
          <w:rFonts w:hint="eastAsia" w:ascii="宋体" w:hAnsi="宋体" w:cs="宋体"/>
          <w:szCs w:val="21"/>
        </w:rPr>
        <w:t>3、《基金合同》约定的其他情形；</w:t>
      </w:r>
    </w:p>
    <w:p w14:paraId="7AD05137">
      <w:pPr>
        <w:snapToGrid w:val="0"/>
        <w:spacing w:line="360" w:lineRule="auto"/>
        <w:ind w:firstLine="420" w:firstLineChars="200"/>
        <w:rPr>
          <w:rFonts w:hint="eastAsia" w:ascii="宋体" w:hAnsi="宋体" w:cs="宋体"/>
          <w:szCs w:val="21"/>
        </w:rPr>
      </w:pPr>
      <w:r>
        <w:rPr>
          <w:rFonts w:hint="eastAsia" w:ascii="宋体" w:hAnsi="宋体" w:cs="宋体"/>
          <w:szCs w:val="21"/>
        </w:rPr>
        <w:t>4、相关法律法规和中国证监会规定的其他情况。</w:t>
      </w:r>
    </w:p>
    <w:p w14:paraId="4486E7FC">
      <w:pPr>
        <w:snapToGrid w:val="0"/>
        <w:spacing w:line="360" w:lineRule="auto"/>
        <w:ind w:firstLine="420" w:firstLineChars="200"/>
        <w:rPr>
          <w:rFonts w:hint="eastAsia" w:ascii="宋体" w:hAnsi="宋体" w:cs="宋体"/>
          <w:szCs w:val="21"/>
        </w:rPr>
      </w:pPr>
      <w:r>
        <w:rPr>
          <w:rFonts w:hint="eastAsia" w:ascii="宋体" w:hAnsi="宋体" w:cs="宋体"/>
          <w:szCs w:val="21"/>
        </w:rPr>
        <w:t>（三）基金财产的清算</w:t>
      </w:r>
    </w:p>
    <w:p w14:paraId="508A4952">
      <w:pPr>
        <w:snapToGrid w:val="0"/>
        <w:spacing w:line="360" w:lineRule="auto"/>
        <w:ind w:firstLine="420" w:firstLineChars="200"/>
        <w:rPr>
          <w:rFonts w:hint="eastAsia" w:ascii="宋体" w:hAnsi="宋体" w:cs="宋体"/>
          <w:szCs w:val="21"/>
        </w:rPr>
      </w:pPr>
      <w:r>
        <w:rPr>
          <w:rFonts w:hint="eastAsia" w:ascii="宋体" w:hAnsi="宋体" w:cs="宋体"/>
          <w:szCs w:val="21"/>
        </w:rPr>
        <w:t>1、基金财产清算小组：自出现《基金合同》终止事由之日起30个工作日内成立基金财产清算小组，基金管理人组织基金财产清算小组并在中国证监会的监督下进行基金清算。</w:t>
      </w:r>
    </w:p>
    <w:p w14:paraId="22C68ED4">
      <w:pPr>
        <w:snapToGrid w:val="0"/>
        <w:spacing w:line="360" w:lineRule="auto"/>
        <w:ind w:firstLine="420" w:firstLineChars="200"/>
        <w:rPr>
          <w:rFonts w:hint="eastAsia" w:ascii="宋体" w:hAnsi="宋体" w:cs="宋体"/>
          <w:szCs w:val="21"/>
        </w:rPr>
      </w:pPr>
      <w:r>
        <w:rPr>
          <w:rFonts w:hint="eastAsia" w:ascii="宋体" w:hAnsi="宋体" w:cs="宋体"/>
          <w:szCs w:val="21"/>
        </w:rPr>
        <w:t>2、在基金财产清算小组接管基金财产之前，基金管理人和基金托管人应按照《基金合同》和托管协议的规定继续履行保护基金财产安全的职责。</w:t>
      </w:r>
    </w:p>
    <w:p w14:paraId="7D861F03">
      <w:pPr>
        <w:snapToGrid w:val="0"/>
        <w:spacing w:line="360" w:lineRule="auto"/>
        <w:ind w:firstLine="420" w:firstLineChars="200"/>
        <w:rPr>
          <w:rFonts w:hint="eastAsia" w:ascii="宋体" w:hAnsi="宋体" w:cs="宋体"/>
          <w:szCs w:val="21"/>
        </w:rPr>
      </w:pPr>
      <w:r>
        <w:rPr>
          <w:rFonts w:hint="eastAsia" w:ascii="宋体" w:hAnsi="宋体" w:cs="宋体"/>
          <w:szCs w:val="21"/>
        </w:rPr>
        <w:t>3、基金财产清算小组组成：基金财产清算小组成员由基金管理人、基金托管人、具有从事证券相关业务资格的注册会计师、律师以及中国证监会指定的人员组成。基金财产清算小组可以聘用必要的工作人员。</w:t>
      </w:r>
    </w:p>
    <w:p w14:paraId="1AF5E685">
      <w:pPr>
        <w:snapToGrid w:val="0"/>
        <w:spacing w:line="360" w:lineRule="auto"/>
        <w:ind w:firstLine="420" w:firstLineChars="200"/>
        <w:rPr>
          <w:rFonts w:hint="eastAsia" w:ascii="宋体" w:hAnsi="宋体" w:cs="宋体"/>
          <w:szCs w:val="21"/>
        </w:rPr>
      </w:pPr>
      <w:r>
        <w:rPr>
          <w:rFonts w:hint="eastAsia" w:ascii="宋体" w:hAnsi="宋体" w:cs="宋体"/>
          <w:szCs w:val="21"/>
        </w:rPr>
        <w:t>4、基金财产清算小组职责：基金财产清算小组负责基金财产的保管、清理、估价、变现和分配。基金财产清算小组可以依法进行必要的民事活动。</w:t>
      </w:r>
    </w:p>
    <w:p w14:paraId="288B2266">
      <w:pPr>
        <w:snapToGrid w:val="0"/>
        <w:spacing w:line="360" w:lineRule="auto"/>
        <w:ind w:firstLine="420" w:firstLineChars="200"/>
        <w:rPr>
          <w:rFonts w:hint="eastAsia" w:ascii="宋体" w:hAnsi="宋体" w:cs="宋体"/>
          <w:szCs w:val="21"/>
        </w:rPr>
      </w:pPr>
      <w:r>
        <w:rPr>
          <w:rFonts w:hint="eastAsia" w:ascii="宋体" w:hAnsi="宋体" w:cs="宋体"/>
          <w:szCs w:val="21"/>
        </w:rPr>
        <w:t>5、基金财产清算程序：</w:t>
      </w:r>
    </w:p>
    <w:p w14:paraId="595FE61C">
      <w:pPr>
        <w:snapToGrid w:val="0"/>
        <w:spacing w:line="360" w:lineRule="auto"/>
        <w:ind w:firstLine="420" w:firstLineChars="200"/>
        <w:rPr>
          <w:rFonts w:hint="eastAsia" w:ascii="宋体" w:hAnsi="宋体" w:cs="宋体"/>
          <w:szCs w:val="21"/>
        </w:rPr>
      </w:pPr>
      <w:r>
        <w:rPr>
          <w:rFonts w:hint="eastAsia" w:ascii="宋体" w:hAnsi="宋体" w:cs="宋体"/>
          <w:szCs w:val="21"/>
        </w:rPr>
        <w:t>（1）《基金合同》终止情形出现时，由基金财产清算小组统一接管基金；</w:t>
      </w:r>
    </w:p>
    <w:p w14:paraId="71E88575">
      <w:pPr>
        <w:snapToGrid w:val="0"/>
        <w:spacing w:line="360" w:lineRule="auto"/>
        <w:ind w:firstLine="420" w:firstLineChars="200"/>
        <w:rPr>
          <w:rFonts w:hint="eastAsia" w:ascii="宋体" w:hAnsi="宋体" w:cs="宋体"/>
          <w:szCs w:val="21"/>
        </w:rPr>
      </w:pPr>
      <w:r>
        <w:rPr>
          <w:rFonts w:hint="eastAsia" w:ascii="宋体" w:hAnsi="宋体" w:cs="宋体"/>
          <w:szCs w:val="21"/>
        </w:rPr>
        <w:t>（2）对基金财产和债权债务进行清理和确认；</w:t>
      </w:r>
    </w:p>
    <w:p w14:paraId="0C0A462A">
      <w:pPr>
        <w:snapToGrid w:val="0"/>
        <w:spacing w:line="360" w:lineRule="auto"/>
        <w:ind w:firstLine="420" w:firstLineChars="200"/>
        <w:rPr>
          <w:rFonts w:hint="eastAsia" w:ascii="宋体" w:hAnsi="宋体" w:cs="宋体"/>
          <w:szCs w:val="21"/>
        </w:rPr>
      </w:pPr>
      <w:r>
        <w:rPr>
          <w:rFonts w:hint="eastAsia" w:ascii="宋体" w:hAnsi="宋体" w:cs="宋体"/>
          <w:szCs w:val="21"/>
        </w:rPr>
        <w:t>（3）对基金财产进行估值和变现；</w:t>
      </w:r>
    </w:p>
    <w:p w14:paraId="57AE89F6">
      <w:pPr>
        <w:snapToGrid w:val="0"/>
        <w:spacing w:line="360" w:lineRule="auto"/>
        <w:ind w:firstLine="420" w:firstLineChars="200"/>
        <w:rPr>
          <w:rFonts w:hint="eastAsia" w:ascii="宋体" w:hAnsi="宋体" w:cs="宋体"/>
          <w:szCs w:val="21"/>
        </w:rPr>
      </w:pPr>
      <w:r>
        <w:rPr>
          <w:rFonts w:hint="eastAsia" w:ascii="宋体" w:hAnsi="宋体" w:cs="宋体"/>
          <w:szCs w:val="21"/>
        </w:rPr>
        <w:t>（4）制作清算报告；</w:t>
      </w:r>
    </w:p>
    <w:p w14:paraId="6A97530C">
      <w:pPr>
        <w:snapToGrid w:val="0"/>
        <w:spacing w:line="360" w:lineRule="auto"/>
        <w:ind w:firstLine="420" w:firstLineChars="200"/>
        <w:rPr>
          <w:rFonts w:hint="eastAsia" w:ascii="宋体" w:hAnsi="宋体" w:cs="宋体"/>
          <w:szCs w:val="21"/>
        </w:rPr>
      </w:pPr>
      <w:r>
        <w:rPr>
          <w:rFonts w:hint="eastAsia" w:ascii="宋体" w:hAnsi="宋体" w:cs="宋体"/>
          <w:szCs w:val="21"/>
        </w:rPr>
        <w:t>（5）聘请会计师事务所对清算报告进行外部审计，聘请律师事务所对清算报告出具法律意见书；</w:t>
      </w:r>
    </w:p>
    <w:p w14:paraId="660354F3">
      <w:pPr>
        <w:snapToGrid w:val="0"/>
        <w:spacing w:line="360" w:lineRule="auto"/>
        <w:ind w:firstLine="420" w:firstLineChars="200"/>
        <w:rPr>
          <w:rFonts w:hint="eastAsia" w:ascii="宋体" w:hAnsi="宋体" w:cs="宋体"/>
          <w:szCs w:val="21"/>
        </w:rPr>
      </w:pPr>
      <w:r>
        <w:rPr>
          <w:rFonts w:hint="eastAsia" w:ascii="宋体" w:hAnsi="宋体" w:cs="宋体"/>
          <w:szCs w:val="21"/>
        </w:rPr>
        <w:t>（6）将清算报告报中国证监会备案并公告；</w:t>
      </w:r>
    </w:p>
    <w:p w14:paraId="5D8D1B21">
      <w:pPr>
        <w:snapToGrid w:val="0"/>
        <w:spacing w:line="360" w:lineRule="auto"/>
        <w:ind w:firstLine="420" w:firstLineChars="200"/>
        <w:rPr>
          <w:rFonts w:hint="eastAsia" w:ascii="宋体" w:hAnsi="宋体" w:cs="宋体"/>
          <w:szCs w:val="21"/>
        </w:rPr>
      </w:pPr>
      <w:r>
        <w:rPr>
          <w:rFonts w:hint="eastAsia" w:ascii="宋体" w:hAnsi="宋体" w:cs="宋体"/>
          <w:szCs w:val="21"/>
        </w:rPr>
        <w:t>（7）对基金剩余财产进行分配。</w:t>
      </w:r>
    </w:p>
    <w:p w14:paraId="1751583C">
      <w:pPr>
        <w:snapToGrid w:val="0"/>
        <w:spacing w:line="360" w:lineRule="auto"/>
        <w:ind w:firstLine="420" w:firstLineChars="200"/>
        <w:rPr>
          <w:rFonts w:hint="eastAsia" w:ascii="宋体" w:hAnsi="宋体" w:cs="宋体"/>
          <w:szCs w:val="21"/>
        </w:rPr>
      </w:pPr>
      <w:r>
        <w:rPr>
          <w:rFonts w:hint="eastAsia" w:ascii="宋体" w:hAnsi="宋体" w:cs="宋体"/>
          <w:szCs w:val="21"/>
        </w:rPr>
        <w:t>6、基金财产清算的期限为6个月，但因本基金所持证券的流动性受到限制而不能及时变现的，清算期限相应顺延。</w:t>
      </w:r>
    </w:p>
    <w:p w14:paraId="4628DB24">
      <w:pPr>
        <w:snapToGrid w:val="0"/>
        <w:spacing w:line="360" w:lineRule="auto"/>
        <w:ind w:firstLine="420" w:firstLineChars="200"/>
        <w:rPr>
          <w:rFonts w:hint="eastAsia" w:ascii="宋体" w:hAnsi="宋体" w:cs="宋体"/>
          <w:szCs w:val="21"/>
        </w:rPr>
      </w:pPr>
      <w:r>
        <w:rPr>
          <w:rFonts w:hint="eastAsia" w:ascii="宋体" w:hAnsi="宋体" w:cs="宋体"/>
          <w:szCs w:val="21"/>
        </w:rPr>
        <w:t>（四）清算费用</w:t>
      </w:r>
    </w:p>
    <w:p w14:paraId="34AB75D4">
      <w:pPr>
        <w:snapToGrid w:val="0"/>
        <w:spacing w:line="360" w:lineRule="auto"/>
        <w:ind w:firstLine="420" w:firstLineChars="200"/>
        <w:rPr>
          <w:rFonts w:hint="eastAsia" w:ascii="宋体" w:hAnsi="宋体" w:cs="宋体"/>
          <w:szCs w:val="21"/>
        </w:rPr>
      </w:pPr>
      <w:r>
        <w:rPr>
          <w:rFonts w:hint="eastAsia" w:ascii="宋体" w:hAnsi="宋体" w:cs="宋体"/>
          <w:szCs w:val="21"/>
        </w:rPr>
        <w:t>清算费用是指基金财产清算小组在进行基金财产清算过程中发生的所有合理费用，清算费用由基金财产清算小组优先从基金剩余财产中支付。</w:t>
      </w:r>
    </w:p>
    <w:p w14:paraId="7D9E5B0C">
      <w:pPr>
        <w:snapToGrid w:val="0"/>
        <w:spacing w:line="360" w:lineRule="auto"/>
        <w:ind w:firstLine="420" w:firstLineChars="200"/>
        <w:rPr>
          <w:rFonts w:hint="eastAsia" w:ascii="宋体" w:hAnsi="宋体" w:cs="宋体"/>
          <w:szCs w:val="21"/>
        </w:rPr>
      </w:pPr>
      <w:r>
        <w:rPr>
          <w:rFonts w:hint="eastAsia" w:ascii="宋体" w:hAnsi="宋体" w:cs="宋体"/>
          <w:szCs w:val="21"/>
        </w:rPr>
        <w:t>（五）基金财产清算剩余资产的分配</w:t>
      </w:r>
    </w:p>
    <w:p w14:paraId="6306F963">
      <w:pPr>
        <w:snapToGrid w:val="0"/>
        <w:spacing w:line="360" w:lineRule="auto"/>
        <w:ind w:firstLine="420" w:firstLineChars="200"/>
        <w:rPr>
          <w:rFonts w:hint="eastAsia" w:ascii="宋体" w:hAnsi="宋体" w:cs="宋体"/>
          <w:szCs w:val="21"/>
        </w:rPr>
      </w:pPr>
      <w:r>
        <w:rPr>
          <w:rFonts w:hint="eastAsia" w:ascii="宋体" w:hAnsi="宋体" w:cs="宋体"/>
          <w:szCs w:val="21"/>
        </w:rPr>
        <w:t>依据基金财产清算的分配方案，将基金财产清算后的全部剩余资产扣除基金财产清算费用、交纳所欠税款并清偿基金债务后，按基金份额持有人持有的基金份额比例进行分配。</w:t>
      </w:r>
    </w:p>
    <w:p w14:paraId="4511AD04">
      <w:pPr>
        <w:snapToGrid w:val="0"/>
        <w:spacing w:line="360" w:lineRule="auto"/>
        <w:ind w:firstLine="420" w:firstLineChars="200"/>
        <w:rPr>
          <w:rFonts w:hint="eastAsia" w:ascii="宋体" w:hAnsi="宋体" w:cs="宋体"/>
          <w:szCs w:val="21"/>
        </w:rPr>
      </w:pPr>
      <w:r>
        <w:rPr>
          <w:rFonts w:hint="eastAsia" w:ascii="宋体" w:hAnsi="宋体" w:cs="宋体"/>
          <w:szCs w:val="21"/>
        </w:rPr>
        <w:t>（六）基金财产清算的公告</w:t>
      </w:r>
    </w:p>
    <w:p w14:paraId="002162C6">
      <w:pPr>
        <w:snapToGrid w:val="0"/>
        <w:spacing w:line="360" w:lineRule="auto"/>
        <w:ind w:firstLine="420" w:firstLineChars="200"/>
        <w:rPr>
          <w:rFonts w:hint="eastAsia" w:ascii="宋体" w:hAnsi="宋体" w:cs="宋体"/>
          <w:szCs w:val="21"/>
        </w:rPr>
      </w:pPr>
      <w:r>
        <w:rPr>
          <w:rFonts w:hint="eastAsia" w:ascii="宋体" w:hAnsi="宋体" w:cs="宋体"/>
          <w:szCs w:val="21"/>
        </w:rPr>
        <w:t>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40A84086">
      <w:pPr>
        <w:snapToGrid w:val="0"/>
        <w:spacing w:line="360" w:lineRule="auto"/>
        <w:ind w:firstLine="420" w:firstLineChars="200"/>
        <w:rPr>
          <w:rFonts w:hint="eastAsia" w:ascii="宋体" w:hAnsi="宋体" w:cs="宋体"/>
          <w:szCs w:val="21"/>
        </w:rPr>
      </w:pPr>
      <w:r>
        <w:rPr>
          <w:rFonts w:hint="eastAsia" w:ascii="宋体" w:hAnsi="宋体" w:cs="宋体"/>
          <w:szCs w:val="21"/>
        </w:rPr>
        <w:t>（七）基金财产清算账册及文件的保存</w:t>
      </w:r>
    </w:p>
    <w:p w14:paraId="4F2E976F">
      <w:pPr>
        <w:snapToGrid w:val="0"/>
        <w:spacing w:line="360" w:lineRule="auto"/>
        <w:ind w:firstLine="420" w:firstLineChars="200"/>
        <w:rPr>
          <w:rFonts w:hint="eastAsia" w:ascii="宋体" w:hAnsi="宋体" w:cs="宋体"/>
          <w:szCs w:val="21"/>
        </w:rPr>
      </w:pPr>
      <w:r>
        <w:rPr>
          <w:rFonts w:hint="eastAsia" w:ascii="宋体" w:hAnsi="宋体" w:cs="宋体"/>
          <w:szCs w:val="21"/>
        </w:rPr>
        <w:t>基金财产清算账册及有关文件由基金托管人保存，保存期限不低于法定最低期限。</w:t>
      </w:r>
    </w:p>
    <w:p w14:paraId="5E33A252">
      <w:pPr>
        <w:snapToGrid w:val="0"/>
        <w:spacing w:line="360" w:lineRule="auto"/>
        <w:ind w:firstLine="422" w:firstLineChars="200"/>
        <w:rPr>
          <w:rFonts w:hint="eastAsia" w:ascii="宋体" w:hAnsi="宋体" w:cs="宋体"/>
          <w:b/>
          <w:szCs w:val="21"/>
        </w:rPr>
      </w:pPr>
      <w:r>
        <w:rPr>
          <w:rFonts w:hint="eastAsia" w:ascii="宋体" w:hAnsi="宋体" w:cs="宋体"/>
          <w:b/>
          <w:szCs w:val="21"/>
        </w:rPr>
        <w:t>八、争议的处理</w:t>
      </w:r>
    </w:p>
    <w:p w14:paraId="250E0BA0">
      <w:pPr>
        <w:adjustRightInd w:val="0"/>
        <w:snapToGrid w:val="0"/>
        <w:spacing w:line="360" w:lineRule="auto"/>
        <w:ind w:firstLine="420"/>
        <w:rPr>
          <w:rFonts w:hint="eastAsia" w:ascii="宋体" w:hAnsi="宋体" w:cs="宋体"/>
          <w:bCs/>
          <w:iCs/>
          <w:szCs w:val="21"/>
        </w:rPr>
      </w:pPr>
      <w:r>
        <w:rPr>
          <w:rFonts w:hint="eastAsia" w:ascii="宋体" w:hAnsi="宋体" w:cs="宋体"/>
          <w:bCs/>
          <w:iCs/>
          <w:szCs w:val="21"/>
        </w:rPr>
        <w:t>各方当事人同意，因《基金合同》而产生的或与《基金合同》有关的一切争议，如不愿或者不能通过协商、调解解决的，应将争议提交深圳国际仲裁院（深圳仲裁委员会），按照深圳国际仲裁院（深圳仲裁委员会）届时有效的仲裁规则进行仲裁。仲裁地点为深圳市。仲裁裁决是终局的，对各方当事人均有约束力。除非仲裁裁决另有规定，仲裁费用由败诉方承担。</w:t>
      </w:r>
    </w:p>
    <w:p w14:paraId="27B9CB79">
      <w:pPr>
        <w:adjustRightInd w:val="0"/>
        <w:snapToGrid w:val="0"/>
        <w:spacing w:line="360" w:lineRule="auto"/>
        <w:ind w:firstLine="420"/>
        <w:rPr>
          <w:rFonts w:hint="eastAsia" w:ascii="宋体" w:hAnsi="宋体" w:cs="宋体"/>
          <w:bCs/>
          <w:iCs/>
          <w:szCs w:val="21"/>
        </w:rPr>
      </w:pPr>
      <w:r>
        <w:rPr>
          <w:rFonts w:hint="eastAsia" w:ascii="宋体" w:hAnsi="宋体" w:cs="宋体"/>
          <w:bCs/>
          <w:iCs/>
          <w:szCs w:val="21"/>
        </w:rPr>
        <w:t>争议处理期间，基金管理人、基金托管人应恪守基金管理人和基金托管人的职责，各自继续忠实、勤勉、尽责地履行基金合同和基金托管协议规定的义务，维护基金份额持有人的合法权益。</w:t>
      </w:r>
    </w:p>
    <w:p w14:paraId="73D0B527">
      <w:pPr>
        <w:snapToGrid w:val="0"/>
        <w:spacing w:line="360" w:lineRule="auto"/>
        <w:ind w:firstLine="420" w:firstLineChars="200"/>
        <w:rPr>
          <w:rFonts w:hint="eastAsia" w:ascii="宋体" w:hAnsi="宋体" w:cs="宋体"/>
          <w:szCs w:val="21"/>
        </w:rPr>
      </w:pPr>
      <w:r>
        <w:rPr>
          <w:rFonts w:hint="eastAsia" w:ascii="宋体" w:hAnsi="宋体" w:cs="宋体"/>
          <w:bCs/>
          <w:iCs/>
          <w:szCs w:val="21"/>
        </w:rPr>
        <w:t>《基金合同》受中国法律（为本基金合同之目的，在此不包括香港、澳门特别行政区法律和台湾地区的有关规定）管辖并从其解释。</w:t>
      </w:r>
    </w:p>
    <w:p w14:paraId="552C700F">
      <w:pPr>
        <w:snapToGrid w:val="0"/>
        <w:spacing w:line="360" w:lineRule="auto"/>
        <w:ind w:firstLine="422" w:firstLineChars="200"/>
        <w:rPr>
          <w:rFonts w:hint="eastAsia" w:ascii="宋体" w:hAnsi="宋体" w:cs="宋体"/>
          <w:b/>
          <w:szCs w:val="21"/>
        </w:rPr>
      </w:pPr>
      <w:r>
        <w:rPr>
          <w:rFonts w:hint="eastAsia" w:ascii="宋体" w:hAnsi="宋体" w:cs="宋体"/>
          <w:b/>
          <w:szCs w:val="21"/>
        </w:rPr>
        <w:t>九、基金合同存放地和投资者取得合同的方式</w:t>
      </w:r>
    </w:p>
    <w:p w14:paraId="26A28196">
      <w:pPr>
        <w:adjustRightInd w:val="0"/>
        <w:snapToGrid w:val="0"/>
        <w:spacing w:line="360" w:lineRule="auto"/>
        <w:ind w:firstLine="420" w:firstLineChars="200"/>
        <w:rPr>
          <w:rFonts w:hint="eastAsia" w:ascii="宋体" w:hAnsi="宋体"/>
          <w:b/>
          <w:sz w:val="24"/>
        </w:rPr>
        <w:sectPr>
          <w:footerReference r:id="rId45" w:type="first"/>
          <w:footerReference r:id="rId44" w:type="default"/>
          <w:pgSz w:w="11906" w:h="16838"/>
          <w:pgMar w:top="1440" w:right="1800" w:bottom="1440" w:left="1800" w:header="851" w:footer="992" w:gutter="0"/>
          <w:cols w:space="720" w:num="1"/>
          <w:titlePg/>
          <w:docGrid w:type="lines" w:linePitch="312" w:charSpace="0"/>
        </w:sectPr>
      </w:pPr>
      <w:r>
        <w:rPr>
          <w:rFonts w:hint="eastAsia" w:ascii="宋体" w:hAnsi="宋体" w:cs="宋体"/>
          <w:szCs w:val="21"/>
        </w:rPr>
        <w:t>本基金合同可印制成册，供投资人在基金管理人、基金托管人、代销机构的办公场所查阅。</w:t>
      </w:r>
    </w:p>
    <w:bookmarkEnd w:id="174"/>
    <w:p w14:paraId="2EC94D7C">
      <w:pPr>
        <w:pStyle w:val="2"/>
        <w:snapToGrid w:val="0"/>
        <w:spacing w:before="0" w:after="0" w:line="360" w:lineRule="auto"/>
        <w:ind w:firstLine="422" w:firstLineChars="150"/>
        <w:rPr>
          <w:rFonts w:hint="eastAsia" w:hAnsi="宋体" w:eastAsia="宋体" w:cs="Arial"/>
          <w:b/>
          <w:bCs/>
          <w:sz w:val="28"/>
          <w:szCs w:val="28"/>
        </w:rPr>
      </w:pPr>
      <w:bookmarkStart w:id="176" w:name="_Toc29030"/>
      <w:r>
        <w:rPr>
          <w:rFonts w:hAnsi="宋体" w:eastAsia="宋体" w:cs="Arial"/>
          <w:b/>
          <w:bCs/>
          <w:sz w:val="28"/>
          <w:szCs w:val="28"/>
        </w:rPr>
        <w:t>第二十</w:t>
      </w:r>
      <w:bookmarkStart w:id="177" w:name="_Toc50661141"/>
      <w:r>
        <w:rPr>
          <w:rFonts w:hint="eastAsia" w:hAnsi="宋体" w:eastAsia="宋体" w:cs="Arial"/>
          <w:b/>
          <w:bCs/>
          <w:sz w:val="28"/>
          <w:szCs w:val="28"/>
        </w:rPr>
        <w:t>一</w:t>
      </w:r>
      <w:r>
        <w:rPr>
          <w:rFonts w:hAnsi="宋体" w:eastAsia="宋体" w:cs="Arial"/>
          <w:b/>
          <w:bCs/>
          <w:sz w:val="28"/>
          <w:szCs w:val="28"/>
        </w:rPr>
        <w:t>部分  基金托管协议的内容摘要</w:t>
      </w:r>
      <w:bookmarkEnd w:id="175"/>
      <w:bookmarkEnd w:id="176"/>
      <w:bookmarkEnd w:id="177"/>
    </w:p>
    <w:p w14:paraId="7A900E93">
      <w:pPr>
        <w:numPr>
          <w:ilvl w:val="0"/>
          <w:numId w:val="11"/>
        </w:numPr>
        <w:spacing w:line="360" w:lineRule="auto"/>
        <w:rPr>
          <w:rFonts w:hint="eastAsia" w:ascii="宋体" w:hAnsi="宋体" w:cs="Arial"/>
          <w:b/>
          <w:szCs w:val="21"/>
        </w:rPr>
      </w:pPr>
      <w:bookmarkStart w:id="178" w:name="_Toc252355957"/>
      <w:bookmarkStart w:id="179" w:name="_Toc287014242"/>
      <w:bookmarkStart w:id="180" w:name="_Toc278986830"/>
      <w:bookmarkStart w:id="181" w:name="_Toc116900098"/>
      <w:bookmarkStart w:id="182" w:name="_Toc288639815"/>
      <w:bookmarkStart w:id="183" w:name="_Toc278986890"/>
      <w:bookmarkStart w:id="184" w:name="_Toc278986605"/>
      <w:bookmarkStart w:id="185" w:name="_Toc286319593"/>
      <w:r>
        <w:rPr>
          <w:rFonts w:hint="eastAsia" w:ascii="宋体" w:hAnsi="宋体" w:cs="Arial"/>
          <w:b/>
          <w:szCs w:val="21"/>
        </w:rPr>
        <w:t>基金托管协议当事人</w:t>
      </w:r>
    </w:p>
    <w:p w14:paraId="543EF648">
      <w:pPr>
        <w:spacing w:line="360" w:lineRule="auto"/>
        <w:ind w:left="422"/>
        <w:rPr>
          <w:rFonts w:hint="eastAsia" w:ascii="宋体" w:hAnsi="宋体" w:cs="Arial"/>
          <w:szCs w:val="21"/>
        </w:rPr>
      </w:pPr>
      <w:bookmarkStart w:id="186" w:name="OLE_LINK12"/>
      <w:bookmarkStart w:id="187" w:name="OLE_LINK15"/>
      <w:r>
        <w:rPr>
          <w:rFonts w:hint="eastAsia" w:ascii="宋体" w:hAnsi="宋体" w:cs="Arial"/>
          <w:szCs w:val="21"/>
        </w:rPr>
        <w:t>（一）基金管理人(或简称“管理人”)</w:t>
      </w:r>
    </w:p>
    <w:p w14:paraId="02909BE0">
      <w:pPr>
        <w:spacing w:line="360" w:lineRule="auto"/>
        <w:ind w:left="422"/>
        <w:rPr>
          <w:rFonts w:hint="eastAsia" w:ascii="宋体" w:hAnsi="宋体" w:cs="Arial"/>
          <w:szCs w:val="21"/>
        </w:rPr>
      </w:pPr>
      <w:r>
        <w:rPr>
          <w:rFonts w:hint="eastAsia" w:ascii="宋体" w:hAnsi="宋体" w:cs="Arial"/>
          <w:szCs w:val="21"/>
        </w:rPr>
        <w:t>名称：博时基金管理有限公司</w:t>
      </w:r>
    </w:p>
    <w:p w14:paraId="79B83922">
      <w:pPr>
        <w:spacing w:line="360" w:lineRule="auto"/>
        <w:ind w:left="422"/>
        <w:rPr>
          <w:rFonts w:hint="eastAsia" w:ascii="宋体" w:hAnsi="宋体" w:cs="Arial"/>
          <w:szCs w:val="21"/>
        </w:rPr>
      </w:pPr>
      <w:r>
        <w:rPr>
          <w:rFonts w:hint="eastAsia" w:ascii="宋体" w:hAnsi="宋体" w:cs="Arial"/>
          <w:szCs w:val="21"/>
        </w:rPr>
        <w:t>住所： 深圳市福田区莲花街道福新社区益田路5999号基金大厦21层</w:t>
      </w:r>
    </w:p>
    <w:p w14:paraId="5719566B">
      <w:pPr>
        <w:spacing w:line="360" w:lineRule="auto"/>
        <w:ind w:left="422"/>
        <w:rPr>
          <w:rFonts w:hint="eastAsia" w:ascii="宋体" w:hAnsi="宋体" w:cs="Arial"/>
          <w:szCs w:val="21"/>
        </w:rPr>
      </w:pPr>
      <w:r>
        <w:rPr>
          <w:rFonts w:hint="eastAsia" w:ascii="宋体" w:hAnsi="宋体" w:cs="Arial"/>
          <w:szCs w:val="21"/>
        </w:rPr>
        <w:t>法定代表人： 张东</w:t>
      </w:r>
    </w:p>
    <w:p w14:paraId="57A4DC08">
      <w:pPr>
        <w:spacing w:line="360" w:lineRule="auto"/>
        <w:ind w:left="422"/>
        <w:rPr>
          <w:rFonts w:hint="eastAsia" w:ascii="宋体" w:hAnsi="宋体" w:cs="Arial"/>
          <w:szCs w:val="21"/>
        </w:rPr>
      </w:pPr>
      <w:r>
        <w:rPr>
          <w:rFonts w:hint="eastAsia" w:ascii="宋体" w:hAnsi="宋体" w:cs="Arial"/>
          <w:szCs w:val="21"/>
        </w:rPr>
        <w:t>设立日期： 1998年7月13日</w:t>
      </w:r>
    </w:p>
    <w:p w14:paraId="3D7FD0F3">
      <w:pPr>
        <w:spacing w:line="360" w:lineRule="auto"/>
        <w:ind w:left="422"/>
        <w:rPr>
          <w:rFonts w:hint="eastAsia" w:ascii="宋体" w:hAnsi="宋体" w:cs="Arial"/>
          <w:szCs w:val="21"/>
        </w:rPr>
      </w:pPr>
      <w:r>
        <w:rPr>
          <w:rFonts w:hint="eastAsia" w:ascii="宋体" w:hAnsi="宋体" w:cs="Arial"/>
          <w:szCs w:val="21"/>
        </w:rPr>
        <w:t>批准设立机关及批准设立文号： 中国证监会证监基字【1998】26号</w:t>
      </w:r>
    </w:p>
    <w:p w14:paraId="3499C7BF">
      <w:pPr>
        <w:spacing w:line="360" w:lineRule="auto"/>
        <w:ind w:left="422"/>
        <w:rPr>
          <w:rFonts w:hint="eastAsia" w:ascii="宋体" w:hAnsi="宋体" w:cs="Arial"/>
          <w:szCs w:val="21"/>
        </w:rPr>
      </w:pPr>
      <w:r>
        <w:rPr>
          <w:rFonts w:hint="eastAsia" w:ascii="宋体" w:hAnsi="宋体" w:cs="Arial"/>
          <w:szCs w:val="21"/>
        </w:rPr>
        <w:t>组织形式： 有限责任公司</w:t>
      </w:r>
    </w:p>
    <w:p w14:paraId="1DA56DD5">
      <w:pPr>
        <w:spacing w:line="360" w:lineRule="auto"/>
        <w:ind w:left="422"/>
        <w:rPr>
          <w:rFonts w:hint="eastAsia" w:ascii="宋体" w:hAnsi="宋体" w:cs="Arial"/>
          <w:szCs w:val="21"/>
        </w:rPr>
      </w:pPr>
      <w:r>
        <w:rPr>
          <w:rFonts w:hint="eastAsia" w:ascii="宋体" w:hAnsi="宋体" w:cs="Arial"/>
          <w:szCs w:val="21"/>
        </w:rPr>
        <w:t>注册资本： 2.5亿元人民币</w:t>
      </w:r>
    </w:p>
    <w:p w14:paraId="640B5A2E">
      <w:pPr>
        <w:spacing w:line="360" w:lineRule="auto"/>
        <w:ind w:left="422"/>
        <w:rPr>
          <w:rFonts w:hint="eastAsia" w:ascii="宋体" w:hAnsi="宋体" w:cs="Arial"/>
          <w:szCs w:val="21"/>
        </w:rPr>
      </w:pPr>
      <w:r>
        <w:rPr>
          <w:rFonts w:hint="eastAsia" w:ascii="宋体" w:hAnsi="宋体" w:cs="Arial"/>
          <w:szCs w:val="21"/>
        </w:rPr>
        <w:t>存续期限： 持续经营</w:t>
      </w:r>
    </w:p>
    <w:p w14:paraId="60D67B13">
      <w:pPr>
        <w:spacing w:line="360" w:lineRule="auto"/>
        <w:ind w:left="422"/>
        <w:rPr>
          <w:rFonts w:hint="eastAsia" w:ascii="宋体" w:hAnsi="宋体" w:cs="Arial"/>
          <w:szCs w:val="21"/>
        </w:rPr>
      </w:pPr>
      <w:r>
        <w:rPr>
          <w:rFonts w:hint="eastAsia" w:ascii="宋体" w:hAnsi="宋体" w:cs="Arial"/>
          <w:szCs w:val="21"/>
        </w:rPr>
        <w:t>联系电话： 0755-83169999</w:t>
      </w:r>
    </w:p>
    <w:p w14:paraId="53CE1740">
      <w:pPr>
        <w:spacing w:line="360" w:lineRule="auto"/>
        <w:ind w:left="422"/>
        <w:rPr>
          <w:rFonts w:hint="eastAsia" w:ascii="宋体" w:hAnsi="宋体" w:cs="Arial"/>
          <w:szCs w:val="21"/>
        </w:rPr>
      </w:pPr>
      <w:r>
        <w:rPr>
          <w:rFonts w:hint="eastAsia" w:ascii="宋体" w:hAnsi="宋体" w:cs="Arial"/>
          <w:szCs w:val="21"/>
        </w:rPr>
        <w:t>（二）基金托管人(或简称“托管人”)</w:t>
      </w:r>
    </w:p>
    <w:p w14:paraId="7236DEF2">
      <w:pPr>
        <w:spacing w:line="360" w:lineRule="auto"/>
        <w:ind w:left="422"/>
        <w:rPr>
          <w:rFonts w:hint="eastAsia" w:ascii="宋体" w:hAnsi="宋体" w:cs="Arial"/>
          <w:szCs w:val="21"/>
        </w:rPr>
      </w:pPr>
      <w:r>
        <w:rPr>
          <w:rFonts w:hint="eastAsia" w:ascii="宋体" w:hAnsi="宋体" w:cs="Arial"/>
          <w:szCs w:val="21"/>
        </w:rPr>
        <w:t>名称：中信证券股份有限公司</w:t>
      </w:r>
    </w:p>
    <w:p w14:paraId="3E13D057">
      <w:pPr>
        <w:spacing w:line="360" w:lineRule="auto"/>
        <w:ind w:left="422"/>
        <w:rPr>
          <w:rFonts w:hint="eastAsia" w:ascii="宋体" w:hAnsi="宋体" w:cs="Arial"/>
          <w:szCs w:val="21"/>
        </w:rPr>
      </w:pPr>
      <w:r>
        <w:rPr>
          <w:rFonts w:hint="eastAsia" w:ascii="宋体" w:hAnsi="宋体" w:cs="Arial"/>
          <w:szCs w:val="21"/>
        </w:rPr>
        <w:t>注册地址：广东省深圳市福田区中心三路8号卓越时代广场（二期）北座</w:t>
      </w:r>
    </w:p>
    <w:p w14:paraId="192C7F23">
      <w:pPr>
        <w:spacing w:line="360" w:lineRule="auto"/>
        <w:ind w:left="422"/>
        <w:rPr>
          <w:rFonts w:hint="eastAsia" w:ascii="宋体" w:hAnsi="宋体" w:cs="Arial"/>
          <w:szCs w:val="21"/>
        </w:rPr>
      </w:pPr>
      <w:r>
        <w:rPr>
          <w:rFonts w:hint="eastAsia" w:ascii="宋体" w:hAnsi="宋体" w:cs="Arial"/>
          <w:szCs w:val="21"/>
        </w:rPr>
        <w:t>办公地址：北京市朝阳区亮马桥路48号</w:t>
      </w:r>
    </w:p>
    <w:p w14:paraId="5B1619E9">
      <w:pPr>
        <w:spacing w:line="360" w:lineRule="auto"/>
        <w:ind w:left="422"/>
        <w:rPr>
          <w:rFonts w:hint="eastAsia" w:ascii="宋体" w:hAnsi="宋体" w:cs="Arial"/>
          <w:szCs w:val="21"/>
        </w:rPr>
      </w:pPr>
      <w:r>
        <w:rPr>
          <w:rFonts w:hint="eastAsia" w:ascii="宋体" w:hAnsi="宋体" w:cs="Arial"/>
          <w:szCs w:val="21"/>
        </w:rPr>
        <w:t>法定代表人：张佑君</w:t>
      </w:r>
    </w:p>
    <w:p w14:paraId="79ECE252">
      <w:pPr>
        <w:spacing w:line="360" w:lineRule="auto"/>
        <w:ind w:left="422"/>
        <w:rPr>
          <w:rFonts w:hint="eastAsia" w:ascii="宋体" w:hAnsi="宋体" w:cs="Arial"/>
          <w:szCs w:val="21"/>
        </w:rPr>
      </w:pPr>
      <w:r>
        <w:rPr>
          <w:rFonts w:hint="eastAsia" w:ascii="宋体" w:hAnsi="宋体" w:cs="Arial"/>
          <w:szCs w:val="21"/>
        </w:rPr>
        <w:t>成立时间：1995年10月25日</w:t>
      </w:r>
    </w:p>
    <w:p w14:paraId="0FB36C76">
      <w:pPr>
        <w:spacing w:line="360" w:lineRule="auto"/>
        <w:ind w:left="422"/>
        <w:rPr>
          <w:rFonts w:hint="eastAsia" w:ascii="宋体" w:hAnsi="宋体" w:cs="Arial"/>
          <w:szCs w:val="21"/>
        </w:rPr>
      </w:pPr>
      <w:r>
        <w:rPr>
          <w:rFonts w:hint="eastAsia" w:ascii="宋体" w:hAnsi="宋体" w:cs="Arial"/>
          <w:szCs w:val="21"/>
        </w:rPr>
        <w:t>批准设立机关：国家工商总局</w:t>
      </w:r>
    </w:p>
    <w:p w14:paraId="7154AA54">
      <w:pPr>
        <w:spacing w:line="360" w:lineRule="auto"/>
        <w:ind w:left="422"/>
        <w:rPr>
          <w:rFonts w:hint="eastAsia" w:ascii="宋体" w:hAnsi="宋体" w:cs="Arial"/>
          <w:szCs w:val="21"/>
        </w:rPr>
      </w:pPr>
      <w:r>
        <w:rPr>
          <w:rFonts w:hint="eastAsia" w:ascii="宋体" w:hAnsi="宋体" w:cs="Arial"/>
          <w:szCs w:val="21"/>
        </w:rPr>
        <w:t>批准设立文号：100000000018305</w:t>
      </w:r>
    </w:p>
    <w:p w14:paraId="581752F3">
      <w:pPr>
        <w:spacing w:line="360" w:lineRule="auto"/>
        <w:ind w:left="422"/>
        <w:rPr>
          <w:rFonts w:hint="eastAsia" w:ascii="宋体" w:hAnsi="宋体" w:cs="Arial"/>
          <w:szCs w:val="21"/>
        </w:rPr>
      </w:pPr>
      <w:r>
        <w:rPr>
          <w:rFonts w:hint="eastAsia" w:ascii="宋体" w:hAnsi="宋体" w:cs="Arial"/>
          <w:szCs w:val="21"/>
        </w:rPr>
        <w:t>组织形式：股份有限公司（上市）</w:t>
      </w:r>
    </w:p>
    <w:p w14:paraId="11D606A0">
      <w:pPr>
        <w:spacing w:line="360" w:lineRule="auto"/>
        <w:ind w:left="422"/>
        <w:rPr>
          <w:rFonts w:hint="eastAsia" w:ascii="宋体" w:hAnsi="宋体" w:cs="Arial"/>
          <w:szCs w:val="21"/>
        </w:rPr>
      </w:pPr>
      <w:r>
        <w:rPr>
          <w:rFonts w:hint="eastAsia" w:ascii="宋体" w:hAnsi="宋体" w:cs="Arial"/>
          <w:szCs w:val="21"/>
        </w:rPr>
        <w:t>注册资本：14,820,546,829元人民币</w:t>
      </w:r>
    </w:p>
    <w:p w14:paraId="5AC8F380">
      <w:pPr>
        <w:spacing w:line="360" w:lineRule="auto"/>
        <w:ind w:left="422"/>
        <w:rPr>
          <w:rFonts w:hint="eastAsia" w:ascii="宋体" w:hAnsi="宋体" w:cs="Arial"/>
          <w:szCs w:val="21"/>
        </w:rPr>
      </w:pPr>
      <w:r>
        <w:rPr>
          <w:rFonts w:hint="eastAsia" w:ascii="宋体" w:hAnsi="宋体" w:cs="Arial"/>
          <w:szCs w:val="21"/>
        </w:rPr>
        <w:t>基金托管资格批文及文号：《关于核准中信证券股份有限公司证券投资基金托管资格的批复》（证监许可[2014]1044号）</w:t>
      </w:r>
    </w:p>
    <w:p w14:paraId="6A326B5C">
      <w:pPr>
        <w:spacing w:line="360" w:lineRule="auto"/>
        <w:ind w:left="422"/>
        <w:rPr>
          <w:rFonts w:hint="eastAsia" w:ascii="宋体" w:hAnsi="宋体" w:cs="Arial"/>
          <w:szCs w:val="21"/>
        </w:rPr>
      </w:pPr>
      <w:r>
        <w:rPr>
          <w:rFonts w:hint="eastAsia" w:ascii="宋体" w:hAnsi="宋体" w:cs="Arial"/>
          <w:szCs w:val="21"/>
        </w:rPr>
        <w:t>经营范围：证券经纪（限山东省、河南省、浙江省天台县、浙江省苍南县以外区域）；证券投资咨询；与证券交易、证券投资活动有关的财务顾问；证券承销与保荐；证券自营；证券资产管理（全国社会保障基金境内委托投资管理、基本养老保险基金证券投资管理、企业年金基金投资管理和职业年金基金投资管理）；融资融券；证券投资基金代销；为期货公司提供中间介绍业务；代销金融产品；股票期权做市。上市证券做市交易。（依法须经批准的项目，经相关部门批准后方可开展经营活动，具体经营项目以相关部门批准文件或许可证件为准）。</w:t>
      </w:r>
    </w:p>
    <w:p w14:paraId="21B2BF2F">
      <w:pPr>
        <w:spacing w:line="360" w:lineRule="auto"/>
        <w:ind w:left="422"/>
        <w:rPr>
          <w:rFonts w:hint="eastAsia" w:ascii="宋体" w:hAnsi="宋体" w:cs="Arial"/>
          <w:szCs w:val="21"/>
        </w:rPr>
      </w:pPr>
      <w:r>
        <w:rPr>
          <w:rFonts w:hint="eastAsia" w:ascii="宋体" w:hAnsi="宋体" w:cs="Arial"/>
          <w:szCs w:val="21"/>
        </w:rPr>
        <w:t>存续期间：无限期</w:t>
      </w:r>
    </w:p>
    <w:bookmarkEnd w:id="186"/>
    <w:bookmarkEnd w:id="187"/>
    <w:p w14:paraId="0660A28E">
      <w:pPr>
        <w:spacing w:line="360" w:lineRule="auto"/>
        <w:ind w:left="422"/>
        <w:rPr>
          <w:rFonts w:hint="eastAsia" w:ascii="宋体" w:hAnsi="宋体" w:cs="Arial"/>
          <w:szCs w:val="21"/>
        </w:rPr>
      </w:pPr>
      <w:r>
        <w:rPr>
          <w:rFonts w:hint="eastAsia" w:ascii="宋体" w:hAnsi="宋体" w:cs="Arial"/>
          <w:b/>
          <w:szCs w:val="21"/>
        </w:rPr>
        <w:t>二、</w:t>
      </w:r>
      <w:r>
        <w:rPr>
          <w:rFonts w:ascii="宋体" w:hAnsi="宋体" w:cs="Arial"/>
          <w:b/>
          <w:szCs w:val="21"/>
        </w:rPr>
        <w:t>基金托管人对基金管理人的业务监督和核查</w:t>
      </w:r>
      <w:bookmarkEnd w:id="178"/>
      <w:bookmarkEnd w:id="179"/>
      <w:bookmarkEnd w:id="180"/>
      <w:bookmarkEnd w:id="181"/>
      <w:bookmarkEnd w:id="182"/>
      <w:bookmarkEnd w:id="183"/>
      <w:bookmarkEnd w:id="184"/>
      <w:bookmarkEnd w:id="185"/>
    </w:p>
    <w:p w14:paraId="11D9DBDD">
      <w:pPr>
        <w:spacing w:line="360" w:lineRule="auto"/>
        <w:ind w:firstLine="420"/>
        <w:jc w:val="left"/>
        <w:rPr>
          <w:rFonts w:ascii="宋体" w:hAnsi="Calibri" w:cs="宋体"/>
          <w:color w:val="000000"/>
          <w:szCs w:val="21"/>
        </w:rPr>
      </w:pPr>
      <w:bookmarkStart w:id="188" w:name="_Toc278986892"/>
      <w:bookmarkStart w:id="189" w:name="_Toc278986832"/>
      <w:bookmarkStart w:id="190" w:name="_Toc288639817"/>
      <w:bookmarkStart w:id="191" w:name="_Toc278986607"/>
      <w:bookmarkStart w:id="192" w:name="_Toc286319595"/>
      <w:bookmarkStart w:id="193" w:name="_Toc287014244"/>
      <w:r>
        <w:rPr>
          <w:rFonts w:hint="eastAsia" w:ascii="宋体" w:hAnsi="Calibri" w:cs="宋体"/>
          <w:color w:val="000000" w:themeColor="text1"/>
          <w:szCs w:val="21"/>
          <w14:textFill>
            <w14:solidFill>
              <w14:schemeClr w14:val="tx1"/>
            </w14:solidFill>
          </w14:textFill>
        </w:rPr>
        <w:t>（一）基金托管人对基金管理人的投资行为行使监督权</w:t>
      </w:r>
    </w:p>
    <w:p w14:paraId="1F04776C">
      <w:pPr>
        <w:spacing w:line="360" w:lineRule="auto"/>
        <w:ind w:firstLine="420"/>
        <w:jc w:val="left"/>
        <w:rPr>
          <w:rFonts w:ascii="宋体" w:hAnsi="Calibri" w:cs="宋体"/>
          <w:color w:val="000000"/>
          <w:szCs w:val="21"/>
        </w:rPr>
      </w:pPr>
      <w:r>
        <w:rPr>
          <w:rFonts w:ascii="宋体" w:hAnsi="Calibri" w:cs="宋体"/>
          <w:color w:val="000000" w:themeColor="text1"/>
          <w:szCs w:val="21"/>
          <w14:textFill>
            <w14:solidFill>
              <w14:schemeClr w14:val="tx1"/>
            </w14:solidFill>
          </w14:textFill>
        </w:rPr>
        <w:t>1</w:t>
      </w:r>
      <w:r>
        <w:rPr>
          <w:rFonts w:hint="eastAsia" w:ascii="宋体" w:hAnsi="Calibri" w:cs="宋体"/>
          <w:color w:val="000000" w:themeColor="text1"/>
          <w:szCs w:val="21"/>
          <w14:textFill>
            <w14:solidFill>
              <w14:schemeClr w14:val="tx1"/>
            </w14:solidFill>
          </w14:textFill>
        </w:rPr>
        <w:t>、 基金托管人根据有关法律法规的规定和《基金合同》的约定，对下述基金投资范围进行监督。</w:t>
      </w:r>
    </w:p>
    <w:p w14:paraId="33DF6721">
      <w:pPr>
        <w:spacing w:line="360" w:lineRule="auto"/>
        <w:ind w:firstLine="420"/>
        <w:jc w:val="left"/>
        <w:rPr>
          <w:rFonts w:ascii="宋体" w:hAnsi="Calibri" w:cs="宋体"/>
          <w:color w:val="000000"/>
          <w:szCs w:val="21"/>
        </w:rPr>
      </w:pPr>
      <w:r>
        <w:rPr>
          <w:rFonts w:hint="eastAsia" w:ascii="宋体" w:hAnsi="Calibri" w:cs="宋体"/>
          <w:color w:val="000000" w:themeColor="text1"/>
          <w:szCs w:val="21"/>
          <w14:textFill>
            <w14:solidFill>
              <w14:schemeClr w14:val="tx1"/>
            </w14:solidFill>
          </w14:textFill>
        </w:rPr>
        <w:t>本基金将投资于以下金融工具：</w:t>
      </w:r>
    </w:p>
    <w:p w14:paraId="56101ACA">
      <w:pPr>
        <w:spacing w:line="360" w:lineRule="auto"/>
        <w:ind w:firstLine="420"/>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本基金主要投资于标的指数成份股和备选成份股</w:t>
      </w:r>
      <w:r>
        <w:rPr>
          <w:rFonts w:ascii="宋体" w:hAnsi="Calibri" w:cs="宋体"/>
          <w:color w:val="000000" w:themeColor="text1"/>
          <w:szCs w:val="21"/>
          <w14:textFill>
            <w14:solidFill>
              <w14:schemeClr w14:val="tx1"/>
            </w14:solidFill>
          </w14:textFill>
        </w:rPr>
        <w:t>(含存托凭证)。</w:t>
      </w:r>
    </w:p>
    <w:p w14:paraId="594CB43D">
      <w:pPr>
        <w:spacing w:line="360" w:lineRule="auto"/>
        <w:ind w:firstLine="420"/>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为更好地实现基金的投资目标，本基金可能会少量投资于依法发行上市的非成份股（包括主板、创业板及其他经中国证监会核准或注册上市的股票和存托凭证）、债券（包括国债、金融债、地方政府债、政府支持机构债券、政府支持债券、企业债、公司债、可转换债券（含可分离交易可转债）、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w:t>
      </w:r>
    </w:p>
    <w:p w14:paraId="703A44E4">
      <w:pPr>
        <w:spacing w:line="360" w:lineRule="auto"/>
        <w:ind w:firstLine="420"/>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本基金可根据法律法规的规定参与融资和转融通证券出借业务。</w:t>
      </w:r>
    </w:p>
    <w:p w14:paraId="743A5EE2">
      <w:pPr>
        <w:spacing w:line="360" w:lineRule="auto"/>
        <w:ind w:firstLine="420"/>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如法律法规或中国证监会以后允许基金投资其他品种，本基金管理人在履行适当程序后，可以将其纳入本基金的投资范围。</w:t>
      </w:r>
    </w:p>
    <w:p w14:paraId="7DE4F8B8">
      <w:pPr>
        <w:spacing w:line="360" w:lineRule="auto"/>
        <w:ind w:firstLine="420"/>
        <w:rPr>
          <w:rFonts w:ascii="宋体" w:hAnsi="Calibri" w:cs="宋体"/>
          <w:color w:val="000000" w:themeColor="text1"/>
          <w:szCs w:val="21"/>
          <w14:textFill>
            <w14:solidFill>
              <w14:schemeClr w14:val="tx1"/>
            </w14:solidFill>
          </w14:textFill>
        </w:rPr>
      </w:pPr>
      <w:r>
        <w:rPr>
          <w:rFonts w:ascii="宋体" w:hAnsi="Calibri" w:cs="宋体"/>
          <w:color w:val="000000" w:themeColor="text1"/>
          <w:szCs w:val="21"/>
          <w14:textFill>
            <w14:solidFill>
              <w14:schemeClr w14:val="tx1"/>
            </w14:solidFill>
          </w14:textFill>
        </w:rPr>
        <w:t>2、 基金托管人根据有关法律法规的规定及《基金合同》的约定对下述基金投资比例进行监督。</w:t>
      </w:r>
    </w:p>
    <w:p w14:paraId="57BF8660">
      <w:pPr>
        <w:spacing w:line="360" w:lineRule="auto"/>
        <w:ind w:firstLine="420"/>
        <w:rPr>
          <w:rFonts w:ascii="宋体" w:hAnsi="Calibri" w:cs="宋体"/>
          <w:color w:val="000000" w:themeColor="text1"/>
          <w:szCs w:val="21"/>
          <w14:textFill>
            <w14:solidFill>
              <w14:schemeClr w14:val="tx1"/>
            </w14:solidFill>
          </w14:textFill>
        </w:rPr>
      </w:pPr>
      <w:r>
        <w:rPr>
          <w:rFonts w:ascii="宋体" w:hAnsi="Calibri" w:cs="宋体"/>
          <w:color w:val="000000" w:themeColor="text1"/>
          <w:szCs w:val="21"/>
          <w14:textFill>
            <w14:solidFill>
              <w14:schemeClr w14:val="tx1"/>
            </w14:solidFill>
          </w14:textFill>
        </w:rPr>
        <w:t>（1）按法律法规的规定及《基金合同》的约定，本基金的投资资产配置比例为：</w:t>
      </w:r>
    </w:p>
    <w:p w14:paraId="301993E0">
      <w:pPr>
        <w:spacing w:line="360" w:lineRule="auto"/>
        <w:ind w:firstLine="420"/>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投资于标的指数成份股和备选成份股（含存托凭证）的资产比例不低于基金资产净值的</w:t>
      </w:r>
      <w:r>
        <w:rPr>
          <w:rFonts w:ascii="宋体" w:hAnsi="Calibri" w:cs="宋体"/>
          <w:color w:val="000000" w:themeColor="text1"/>
          <w:szCs w:val="21"/>
          <w14:textFill>
            <w14:solidFill>
              <w14:schemeClr w14:val="tx1"/>
            </w14:solidFill>
          </w14:textFill>
        </w:rPr>
        <w:t>90%，</w:t>
      </w:r>
      <w:r>
        <w:rPr>
          <w:rFonts w:hint="eastAsia" w:ascii="宋体" w:hAnsi="Calibri" w:cs="宋体"/>
          <w:color w:val="000000" w:themeColor="text1"/>
          <w:szCs w:val="21"/>
          <w14:textFill>
            <w14:solidFill>
              <w14:schemeClr w14:val="tx1"/>
            </w14:solidFill>
          </w14:textFill>
        </w:rPr>
        <w:t>且不低于非现金基金资产的</w:t>
      </w:r>
      <w:r>
        <w:rPr>
          <w:rFonts w:ascii="宋体" w:hAnsi="Calibri" w:cs="宋体"/>
          <w:color w:val="000000" w:themeColor="text1"/>
          <w:szCs w:val="21"/>
          <w14:textFill>
            <w14:solidFill>
              <w14:schemeClr w14:val="tx1"/>
            </w14:solidFill>
          </w14:textFill>
        </w:rPr>
        <w:t>80%</w:t>
      </w:r>
      <w:r>
        <w:rPr>
          <w:rFonts w:hint="eastAsia" w:ascii="宋体" w:hAnsi="Calibri" w:cs="宋体"/>
          <w:color w:val="000000" w:themeColor="text1"/>
          <w:szCs w:val="21"/>
          <w14:textFill>
            <w14:solidFill>
              <w14:schemeClr w14:val="tx1"/>
            </w14:solidFill>
          </w14:textFill>
        </w:rPr>
        <w:t>；本基金每个交易日日终在扣除股指期货、股票期权和国债期货合约需缴纳的交易保证金后，应当保持不低于交易保证金一倍的现金，其中现金不包括结算备付金、存出保证金、应收申购款等；股指期货、股票期权、国债期货及其他金融工具的投资比例依照法律法规或监管机构的规定执行。</w:t>
      </w:r>
    </w:p>
    <w:p w14:paraId="6F23016C">
      <w:pPr>
        <w:spacing w:line="360" w:lineRule="auto"/>
        <w:ind w:firstLine="420"/>
        <w:jc w:val="left"/>
        <w:rPr>
          <w:rFonts w:ascii="宋体" w:hAnsi="Calibri" w:cs="宋体"/>
          <w:color w:val="000000"/>
          <w:szCs w:val="21"/>
        </w:rPr>
      </w:pPr>
      <w:r>
        <w:rPr>
          <w:rFonts w:hint="eastAsia" w:ascii="宋体" w:hAnsi="Calibri" w:cs="宋体"/>
          <w:color w:val="000000" w:themeColor="text1"/>
          <w:szCs w:val="21"/>
          <w14:textFill>
            <w14:solidFill>
              <w14:schemeClr w14:val="tx1"/>
            </w14:solidFill>
          </w14:textFill>
        </w:rPr>
        <w:t>若法律法规的相关规定发生变更或监管机构允许，本基金管理人在履行适当程序后，可对上述资产配置比例进行调整。</w:t>
      </w:r>
    </w:p>
    <w:p w14:paraId="13D86B59">
      <w:pPr>
        <w:spacing w:line="360" w:lineRule="auto"/>
        <w:ind w:firstLine="420"/>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（2）根据法律法规的规定及《基金合同》的约定，本基金投资组合遵循以下投资限制：</w:t>
      </w:r>
    </w:p>
    <w:p w14:paraId="20914A58">
      <w:pPr>
        <w:spacing w:line="360" w:lineRule="auto"/>
        <w:ind w:firstLine="420"/>
        <w:jc w:val="left"/>
        <w:rPr>
          <w:color w:val="000000"/>
          <w:szCs w:val="21"/>
        </w:rPr>
      </w:pPr>
      <w:r>
        <w:rPr>
          <w:color w:val="000000" w:themeColor="text1"/>
          <w:szCs w:val="21"/>
          <w14:textFill>
            <w14:solidFill>
              <w14:schemeClr w14:val="tx1"/>
            </w14:solidFill>
          </w14:textFill>
        </w:rPr>
        <w:t>基金的投资组合应遵循以下限制：</w:t>
      </w:r>
    </w:p>
    <w:p w14:paraId="0F11B7FF">
      <w:pPr>
        <w:spacing w:line="360" w:lineRule="auto"/>
        <w:ind w:firstLine="420"/>
        <w:rPr>
          <w:rFonts w:ascii="宋体" w:hAnsi="Calibri" w:cs="宋体"/>
          <w:color w:val="000000" w:themeColor="text1"/>
          <w:szCs w:val="21"/>
          <w14:textFill>
            <w14:solidFill>
              <w14:schemeClr w14:val="tx1"/>
            </w14:solidFill>
          </w14:textFill>
        </w:rPr>
      </w:pPr>
      <w:bookmarkStart w:id="194" w:name="OLE_LINK7"/>
      <w:bookmarkStart w:id="195" w:name="OLE_LINK6"/>
      <w:bookmarkStart w:id="196" w:name="OLE_LINK9"/>
      <w:r>
        <w:rPr>
          <w:rFonts w:hint="eastAsia" w:ascii="宋体" w:hAnsi="Calibri" w:cs="宋体"/>
          <w:color w:val="000000" w:themeColor="text1"/>
          <w:szCs w:val="21"/>
          <w14:textFill>
            <w14:solidFill>
              <w14:schemeClr w14:val="tx1"/>
            </w14:solidFill>
          </w14:textFill>
        </w:rPr>
        <w:t>（</w:t>
      </w:r>
      <w:r>
        <w:rPr>
          <w:rFonts w:ascii="宋体" w:hAnsi="Calibri" w:cs="宋体"/>
          <w:color w:val="000000" w:themeColor="text1"/>
          <w:szCs w:val="21"/>
          <w14:textFill>
            <w14:solidFill>
              <w14:schemeClr w14:val="tx1"/>
            </w14:solidFill>
          </w14:textFill>
        </w:rPr>
        <w:t>1）本基金投资于标的指数成份股和备选成份股的资产比例不低于基金资产净值的90%，且不低于非现金基金资产的80%；</w:t>
      </w:r>
    </w:p>
    <w:p w14:paraId="48B85FEE">
      <w:pPr>
        <w:spacing w:line="360" w:lineRule="auto"/>
        <w:ind w:firstLine="420"/>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w:t>
      </w:r>
      <w:r>
        <w:rPr>
          <w:rFonts w:ascii="宋体" w:hAnsi="Calibri" w:cs="宋体"/>
          <w:color w:val="000000" w:themeColor="text1"/>
          <w:szCs w:val="21"/>
          <w14:textFill>
            <w14:solidFill>
              <w14:schemeClr w14:val="tx1"/>
            </w14:solidFill>
          </w14:textFill>
        </w:rPr>
        <w:t>2）每个交易日日终在扣除股指期货、股票期权和国债期货合约需缴纳的交易保证金后，本基金应当保持不低于交易保证金一倍的现金，其中现金不包括结算备付金、存出保证金和应收申购款等；</w:t>
      </w:r>
    </w:p>
    <w:p w14:paraId="5E3100F4">
      <w:pPr>
        <w:spacing w:line="360" w:lineRule="auto"/>
        <w:ind w:firstLine="420"/>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w:t>
      </w:r>
      <w:r>
        <w:rPr>
          <w:rFonts w:ascii="宋体" w:hAnsi="Calibri" w:cs="宋体"/>
          <w:color w:val="000000" w:themeColor="text1"/>
          <w:szCs w:val="21"/>
          <w14:textFill>
            <w14:solidFill>
              <w14:schemeClr w14:val="tx1"/>
            </w14:solidFill>
          </w14:textFill>
        </w:rPr>
        <w:t>3）本基金持有一家公司发行的证券，其市值不超过基金资产净值的10%，完全按照有关指数的构成比例进行证券投资的基金品种可以不受前述比例限制；</w:t>
      </w:r>
    </w:p>
    <w:p w14:paraId="588B9B02">
      <w:pPr>
        <w:spacing w:line="360" w:lineRule="auto"/>
        <w:ind w:firstLine="420"/>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w:t>
      </w:r>
      <w:r>
        <w:rPr>
          <w:rFonts w:ascii="宋体" w:hAnsi="Calibri" w:cs="宋体"/>
          <w:color w:val="000000" w:themeColor="text1"/>
          <w:szCs w:val="21"/>
          <w14:textFill>
            <w14:solidFill>
              <w14:schemeClr w14:val="tx1"/>
            </w14:solidFill>
          </w14:textFill>
        </w:rPr>
        <w:t>4）</w:t>
      </w:r>
      <w:r>
        <w:rPr>
          <w:rFonts w:hint="eastAsia" w:ascii="宋体" w:hAnsi="Calibri" w:cs="宋体"/>
          <w:color w:val="000000" w:themeColor="text1"/>
          <w:szCs w:val="21"/>
          <w14:textFill>
            <w14:solidFill>
              <w14:schemeClr w14:val="tx1"/>
            </w14:solidFill>
          </w14:textFill>
        </w:rPr>
        <w:t>本基金管理人管理且由本基金托管人托管的全部基金持有一家公司发行的证券，不超过该证券的10%，完全按照有关指数的构成比例进行证券投资的基金品种可以不受前述比例限制；</w:t>
      </w:r>
    </w:p>
    <w:p w14:paraId="4258DA90">
      <w:pPr>
        <w:spacing w:line="360" w:lineRule="auto"/>
        <w:ind w:firstLine="420"/>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w:t>
      </w:r>
      <w:r>
        <w:rPr>
          <w:rFonts w:ascii="宋体" w:hAnsi="Calibri" w:cs="宋体"/>
          <w:color w:val="000000" w:themeColor="text1"/>
          <w:szCs w:val="21"/>
          <w14:textFill>
            <w14:solidFill>
              <w14:schemeClr w14:val="tx1"/>
            </w14:solidFill>
          </w14:textFill>
        </w:rPr>
        <w:t>5）本基金参与股指期货和国债期货交易，需遵守下列投资比例限制：</w:t>
      </w:r>
    </w:p>
    <w:p w14:paraId="7CD95341">
      <w:pPr>
        <w:spacing w:line="360" w:lineRule="auto"/>
        <w:ind w:firstLine="420"/>
        <w:rPr>
          <w:rFonts w:ascii="宋体" w:hAnsi="Calibri" w:cs="宋体"/>
          <w:color w:val="000000" w:themeColor="text1"/>
          <w:szCs w:val="21"/>
          <w14:textFill>
            <w14:solidFill>
              <w14:schemeClr w14:val="tx1"/>
            </w14:solidFill>
          </w14:textFill>
        </w:rPr>
      </w:pPr>
      <w:r>
        <w:rPr>
          <w:rFonts w:ascii="宋体" w:hAnsi="Calibri" w:cs="宋体"/>
          <w:color w:val="000000" w:themeColor="text1"/>
          <w:szCs w:val="21"/>
          <w14:textFill>
            <w14:solidFill>
              <w14:schemeClr w14:val="tx1"/>
            </w14:solidFill>
          </w14:textFill>
        </w:rPr>
        <w:t>1）本基金在任何交易日日终，持有的买入股指期货合约价值，不得超过基金资产净值的10%；在任何交易日日终，持有的买入国债期货合约价值，不得超过基金资产净值的15%；</w:t>
      </w:r>
    </w:p>
    <w:p w14:paraId="57B5D178">
      <w:pPr>
        <w:spacing w:line="360" w:lineRule="auto"/>
        <w:ind w:firstLine="420"/>
        <w:rPr>
          <w:rFonts w:ascii="宋体" w:hAnsi="Calibri" w:cs="宋体"/>
          <w:color w:val="000000" w:themeColor="text1"/>
          <w:szCs w:val="21"/>
          <w14:textFill>
            <w14:solidFill>
              <w14:schemeClr w14:val="tx1"/>
            </w14:solidFill>
          </w14:textFill>
        </w:rPr>
      </w:pPr>
      <w:r>
        <w:rPr>
          <w:rFonts w:ascii="宋体" w:hAnsi="Calibri" w:cs="宋体"/>
          <w:color w:val="000000" w:themeColor="text1"/>
          <w:szCs w:val="21"/>
          <w14:textFill>
            <w14:solidFill>
              <w14:schemeClr w14:val="tx1"/>
            </w14:solidFill>
          </w14:textFill>
        </w:rPr>
        <w:t>2）本基金在任何交易日日终，持有的买入国债期货和股指期货合约价值与有价证券市值之和，不得超过基金资产净值的100%。其中，有价证券指股票、债券（不含到期日在一年以内的政府债券）、资产支持证券、买入返售金融资产（不含质押式回购）等；</w:t>
      </w:r>
    </w:p>
    <w:p w14:paraId="6B0C390C">
      <w:pPr>
        <w:spacing w:line="360" w:lineRule="auto"/>
        <w:ind w:firstLine="420"/>
        <w:rPr>
          <w:rFonts w:ascii="宋体" w:hAnsi="Calibri" w:cs="宋体"/>
          <w:color w:val="000000" w:themeColor="text1"/>
          <w:szCs w:val="21"/>
          <w14:textFill>
            <w14:solidFill>
              <w14:schemeClr w14:val="tx1"/>
            </w14:solidFill>
          </w14:textFill>
        </w:rPr>
      </w:pPr>
      <w:r>
        <w:rPr>
          <w:rFonts w:ascii="宋体" w:hAnsi="Calibri" w:cs="宋体"/>
          <w:color w:val="000000" w:themeColor="text1"/>
          <w:szCs w:val="21"/>
          <w14:textFill>
            <w14:solidFill>
              <w14:schemeClr w14:val="tx1"/>
            </w14:solidFill>
          </w14:textFill>
        </w:rPr>
        <w:t xml:space="preserve">3）本基金在任何交易日日终，持有的卖出股指期货合约价值不得超过基金持有的股票总市值的20%；在任何交易日日终，持有的卖出国债期货合约价值不得超过基金持有的债券总市值的30%； </w:t>
      </w:r>
    </w:p>
    <w:p w14:paraId="05893075">
      <w:pPr>
        <w:spacing w:line="360" w:lineRule="auto"/>
        <w:ind w:firstLine="420"/>
        <w:rPr>
          <w:rFonts w:ascii="宋体" w:hAnsi="Calibri" w:cs="宋体"/>
          <w:color w:val="000000" w:themeColor="text1"/>
          <w:szCs w:val="21"/>
          <w14:textFill>
            <w14:solidFill>
              <w14:schemeClr w14:val="tx1"/>
            </w14:solidFill>
          </w14:textFill>
        </w:rPr>
      </w:pPr>
      <w:r>
        <w:rPr>
          <w:rFonts w:ascii="宋体" w:hAnsi="Calibri" w:cs="宋体"/>
          <w:color w:val="000000" w:themeColor="text1"/>
          <w:szCs w:val="21"/>
          <w14:textFill>
            <w14:solidFill>
              <w14:schemeClr w14:val="tx1"/>
            </w14:solidFill>
          </w14:textFill>
        </w:rPr>
        <w:t>4）本基金在任何交易日内交易（不包括平仓）的股指期货合约的成交金额不得超过上一交易日基金资产净值的20%；在任何交易日内交易（不包括平仓）的国债期货合约的成交金额不得超过上一交易日基金资产净值的30%；</w:t>
      </w:r>
    </w:p>
    <w:p w14:paraId="2E7E6E2A">
      <w:pPr>
        <w:spacing w:line="360" w:lineRule="auto"/>
        <w:ind w:firstLine="420"/>
        <w:rPr>
          <w:rFonts w:ascii="宋体" w:hAnsi="Calibri" w:cs="宋体"/>
          <w:color w:val="000000" w:themeColor="text1"/>
          <w:szCs w:val="21"/>
          <w14:textFill>
            <w14:solidFill>
              <w14:schemeClr w14:val="tx1"/>
            </w14:solidFill>
          </w14:textFill>
        </w:rPr>
      </w:pPr>
      <w:r>
        <w:rPr>
          <w:rFonts w:ascii="宋体" w:hAnsi="Calibri" w:cs="宋体"/>
          <w:color w:val="000000" w:themeColor="text1"/>
          <w:szCs w:val="21"/>
          <w14:textFill>
            <w14:solidFill>
              <w14:schemeClr w14:val="tx1"/>
            </w14:solidFill>
          </w14:textFill>
        </w:rPr>
        <w:t>5）本基金所持有的股票市值和买入、卖出股指期货合约价值，合计（轧差计算）应当符合基金合同关于股票投资比例有关约定；本基金所持有的债券（不含到期日在一年以内的政府债券）市值和买入、卖出国债期货合约价值，合计（轧差计算）应当符合基金合同关于债券投资比例的有关约定；</w:t>
      </w:r>
    </w:p>
    <w:p w14:paraId="6D46F0FB">
      <w:pPr>
        <w:spacing w:line="360" w:lineRule="auto"/>
        <w:ind w:firstLine="420"/>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w:t>
      </w:r>
      <w:r>
        <w:rPr>
          <w:rFonts w:ascii="宋体" w:hAnsi="Calibri" w:cs="宋体"/>
          <w:color w:val="000000" w:themeColor="text1"/>
          <w:szCs w:val="21"/>
          <w14:textFill>
            <w14:solidFill>
              <w14:schemeClr w14:val="tx1"/>
            </w14:solidFill>
          </w14:textFill>
        </w:rPr>
        <w:t>6）本基金投资于同一原始权益人的各类资产支持证券的比例，不得超过基金资产净值的10％；</w:t>
      </w:r>
    </w:p>
    <w:p w14:paraId="5293DC2B">
      <w:pPr>
        <w:spacing w:line="360" w:lineRule="auto"/>
        <w:ind w:firstLine="420"/>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w:t>
      </w:r>
      <w:r>
        <w:rPr>
          <w:rFonts w:ascii="宋体" w:hAnsi="Calibri" w:cs="宋体"/>
          <w:color w:val="000000" w:themeColor="text1"/>
          <w:szCs w:val="21"/>
          <w14:textFill>
            <w14:solidFill>
              <w14:schemeClr w14:val="tx1"/>
            </w14:solidFill>
          </w14:textFill>
        </w:rPr>
        <w:t>7）本基金持有的全部资产支持证券，其市值不得超过基金资产净值的20％；</w:t>
      </w:r>
    </w:p>
    <w:p w14:paraId="029F0EC2">
      <w:pPr>
        <w:spacing w:line="360" w:lineRule="auto"/>
        <w:ind w:firstLine="420"/>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w:t>
      </w:r>
      <w:r>
        <w:rPr>
          <w:rFonts w:ascii="宋体" w:hAnsi="Calibri" w:cs="宋体"/>
          <w:color w:val="000000" w:themeColor="text1"/>
          <w:szCs w:val="21"/>
          <w14:textFill>
            <w14:solidFill>
              <w14:schemeClr w14:val="tx1"/>
            </w14:solidFill>
          </w14:textFill>
        </w:rPr>
        <w:t>8）本基金持有的同一(指同一信用级别)资产支持证券的比例，不得超过该资产支持证券规模的10％；</w:t>
      </w:r>
    </w:p>
    <w:p w14:paraId="238D96D0">
      <w:pPr>
        <w:spacing w:line="360" w:lineRule="auto"/>
        <w:ind w:firstLine="420"/>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w:t>
      </w:r>
      <w:r>
        <w:rPr>
          <w:rFonts w:ascii="宋体" w:hAnsi="Calibri" w:cs="宋体"/>
          <w:color w:val="000000" w:themeColor="text1"/>
          <w:szCs w:val="21"/>
          <w14:textFill>
            <w14:solidFill>
              <w14:schemeClr w14:val="tx1"/>
            </w14:solidFill>
          </w14:textFill>
        </w:rPr>
        <w:t>9）</w:t>
      </w:r>
      <w:r>
        <w:rPr>
          <w:rFonts w:hint="eastAsia" w:ascii="宋体" w:hAnsi="Calibri" w:cs="宋体"/>
          <w:color w:val="000000" w:themeColor="text1"/>
          <w:szCs w:val="21"/>
          <w14:textFill>
            <w14:solidFill>
              <w14:schemeClr w14:val="tx1"/>
            </w14:solidFill>
          </w14:textFill>
        </w:rPr>
        <w:t>本基金管理人管理且由本基金托管人托管的全部基金投资于同一原始权益人的各类资产支持证券，不得超过其各类资产支持证券合计规模的10％；</w:t>
      </w:r>
    </w:p>
    <w:p w14:paraId="19E436AD">
      <w:pPr>
        <w:spacing w:line="360" w:lineRule="auto"/>
        <w:ind w:firstLine="420"/>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w:t>
      </w:r>
      <w:r>
        <w:rPr>
          <w:rFonts w:ascii="宋体" w:hAnsi="Calibri" w:cs="宋体"/>
          <w:color w:val="000000" w:themeColor="text1"/>
          <w:szCs w:val="21"/>
          <w14:textFill>
            <w14:solidFill>
              <w14:schemeClr w14:val="tx1"/>
            </w14:solidFill>
          </w14:textFill>
        </w:rPr>
        <w:t>10）本基金应投资于信用级别评级为BBB以上(含BBB)的资产支持证券。基金持有资产支持证券期间，如果其信用等级下降、不再符合投资标准，应在评级报告发布之日起3个月内予以全部卖出；</w:t>
      </w:r>
    </w:p>
    <w:p w14:paraId="737BA313">
      <w:pPr>
        <w:spacing w:line="360" w:lineRule="auto"/>
        <w:ind w:firstLine="420"/>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w:t>
      </w:r>
      <w:r>
        <w:rPr>
          <w:rFonts w:ascii="宋体" w:hAnsi="Calibri" w:cs="宋体"/>
          <w:color w:val="000000" w:themeColor="text1"/>
          <w:szCs w:val="21"/>
          <w14:textFill>
            <w14:solidFill>
              <w14:schemeClr w14:val="tx1"/>
            </w14:solidFill>
          </w14:textFill>
        </w:rPr>
        <w:t>11）基金财产参与股票发行申购，本基金所申报的金额不超过本基金的总资产，本基金所申报的股票数量不超过拟发行股票公司本次发行股票的总量；</w:t>
      </w:r>
    </w:p>
    <w:p w14:paraId="1E3E1CC3">
      <w:pPr>
        <w:spacing w:line="360" w:lineRule="auto"/>
        <w:ind w:firstLine="420"/>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w:t>
      </w:r>
      <w:r>
        <w:rPr>
          <w:rFonts w:ascii="宋体" w:hAnsi="Calibri" w:cs="宋体"/>
          <w:color w:val="000000" w:themeColor="text1"/>
          <w:szCs w:val="21"/>
          <w14:textFill>
            <w14:solidFill>
              <w14:schemeClr w14:val="tx1"/>
            </w14:solidFill>
          </w14:textFill>
        </w:rPr>
        <w:t>12）本基金参与融资的，在任何交易日日终，本基金持有的融资买入股票与其他有价证券市值之和，不得超过基金资产净值的95%；</w:t>
      </w:r>
    </w:p>
    <w:p w14:paraId="3DFE8B24">
      <w:pPr>
        <w:spacing w:line="360" w:lineRule="auto"/>
        <w:ind w:firstLine="420"/>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w:t>
      </w:r>
      <w:r>
        <w:rPr>
          <w:rFonts w:ascii="宋体" w:hAnsi="Calibri" w:cs="宋体"/>
          <w:color w:val="000000" w:themeColor="text1"/>
          <w:szCs w:val="21"/>
          <w14:textFill>
            <w14:solidFill>
              <w14:schemeClr w14:val="tx1"/>
            </w14:solidFill>
          </w14:textFill>
        </w:rPr>
        <w:t>13）本基金参与转融通证券出借业务，需遵守下列投资限制：</w:t>
      </w:r>
    </w:p>
    <w:p w14:paraId="3F8C664E">
      <w:pPr>
        <w:spacing w:line="360" w:lineRule="auto"/>
        <w:ind w:firstLine="420"/>
        <w:rPr>
          <w:rFonts w:ascii="宋体" w:hAnsi="Calibri" w:cs="宋体"/>
          <w:color w:val="000000" w:themeColor="text1"/>
          <w:szCs w:val="21"/>
          <w14:textFill>
            <w14:solidFill>
              <w14:schemeClr w14:val="tx1"/>
            </w14:solidFill>
          </w14:textFill>
        </w:rPr>
      </w:pPr>
      <w:r>
        <w:rPr>
          <w:rFonts w:ascii="宋体" w:hAnsi="Calibri" w:cs="宋体"/>
          <w:color w:val="000000" w:themeColor="text1"/>
          <w:szCs w:val="21"/>
          <w14:textFill>
            <w14:solidFill>
              <w14:schemeClr w14:val="tx1"/>
            </w14:solidFill>
          </w14:textFill>
        </w:rPr>
        <w:t>1）出借证券资产不得超过基金资产净值的30%，出借期限在10个交易日以上的出借证券应纳入《流动性风险管理规定》所述流动性受限证券的范围；</w:t>
      </w:r>
    </w:p>
    <w:p w14:paraId="7255B8C3">
      <w:pPr>
        <w:spacing w:line="360" w:lineRule="auto"/>
        <w:ind w:firstLine="420"/>
        <w:rPr>
          <w:rFonts w:ascii="宋体" w:hAnsi="Calibri" w:cs="宋体"/>
          <w:color w:val="000000" w:themeColor="text1"/>
          <w:szCs w:val="21"/>
          <w14:textFill>
            <w14:solidFill>
              <w14:schemeClr w14:val="tx1"/>
            </w14:solidFill>
          </w14:textFill>
        </w:rPr>
      </w:pPr>
      <w:r>
        <w:rPr>
          <w:rFonts w:ascii="宋体" w:hAnsi="Calibri" w:cs="宋体"/>
          <w:color w:val="000000" w:themeColor="text1"/>
          <w:szCs w:val="21"/>
          <w14:textFill>
            <w14:solidFill>
              <w14:schemeClr w14:val="tx1"/>
            </w14:solidFill>
          </w14:textFill>
        </w:rPr>
        <w:t>2）参与出借业务的单只证券不得超过本基金持有该证券总量的30%；</w:t>
      </w:r>
    </w:p>
    <w:p w14:paraId="6309AE0B">
      <w:pPr>
        <w:spacing w:line="360" w:lineRule="auto"/>
        <w:ind w:firstLine="420"/>
        <w:rPr>
          <w:rFonts w:ascii="宋体" w:hAnsi="Calibri" w:cs="宋体"/>
          <w:color w:val="000000" w:themeColor="text1"/>
          <w:szCs w:val="21"/>
          <w14:textFill>
            <w14:solidFill>
              <w14:schemeClr w14:val="tx1"/>
            </w14:solidFill>
          </w14:textFill>
        </w:rPr>
      </w:pPr>
      <w:r>
        <w:rPr>
          <w:rFonts w:ascii="宋体" w:hAnsi="Calibri" w:cs="宋体"/>
          <w:color w:val="000000" w:themeColor="text1"/>
          <w:szCs w:val="21"/>
          <w14:textFill>
            <w14:solidFill>
              <w14:schemeClr w14:val="tx1"/>
            </w14:solidFill>
          </w14:textFill>
        </w:rPr>
        <w:t>3）最近6个月内日均基金资产净值不得低于2亿元；</w:t>
      </w:r>
    </w:p>
    <w:p w14:paraId="1AA52B52">
      <w:pPr>
        <w:spacing w:line="360" w:lineRule="auto"/>
        <w:ind w:firstLine="420"/>
        <w:rPr>
          <w:rFonts w:ascii="宋体" w:hAnsi="Calibri" w:cs="宋体"/>
          <w:color w:val="000000" w:themeColor="text1"/>
          <w:szCs w:val="21"/>
          <w14:textFill>
            <w14:solidFill>
              <w14:schemeClr w14:val="tx1"/>
            </w14:solidFill>
          </w14:textFill>
        </w:rPr>
      </w:pPr>
      <w:r>
        <w:rPr>
          <w:rFonts w:ascii="宋体" w:hAnsi="Calibri" w:cs="宋体"/>
          <w:color w:val="000000" w:themeColor="text1"/>
          <w:szCs w:val="21"/>
          <w14:textFill>
            <w14:solidFill>
              <w14:schemeClr w14:val="tx1"/>
            </w14:solidFill>
          </w14:textFill>
        </w:rPr>
        <w:t>4）证券出借的平均剩余期限不得超过30天，平均剩余期限按照市值加权平均计算；</w:t>
      </w:r>
    </w:p>
    <w:p w14:paraId="202F7246">
      <w:pPr>
        <w:spacing w:line="360" w:lineRule="auto"/>
        <w:ind w:firstLine="420"/>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因证券、期货市场波动、证券发行人合并、基金规模变动等基金管理人之外的因素致使基金投资不符合上述规定的，基金管理人不得新增出借业务；</w:t>
      </w:r>
    </w:p>
    <w:p w14:paraId="6B8DAED8">
      <w:pPr>
        <w:spacing w:line="360" w:lineRule="auto"/>
        <w:ind w:firstLine="420"/>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w:t>
      </w:r>
      <w:r>
        <w:rPr>
          <w:rFonts w:ascii="宋体" w:hAnsi="Calibri" w:cs="宋体"/>
          <w:color w:val="000000" w:themeColor="text1"/>
          <w:szCs w:val="21"/>
          <w14:textFill>
            <w14:solidFill>
              <w14:schemeClr w14:val="tx1"/>
            </w14:solidFill>
          </w14:textFill>
        </w:rPr>
        <w:t>14）本基金投资股票期权应当符合以下要求：</w:t>
      </w:r>
    </w:p>
    <w:p w14:paraId="1FE80396">
      <w:pPr>
        <w:spacing w:line="360" w:lineRule="auto"/>
        <w:ind w:firstLine="420"/>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基金因未平仓的股票期权合约支付和收取的权利金总额不得超过基金资产净值的</w:t>
      </w:r>
      <w:r>
        <w:rPr>
          <w:rFonts w:ascii="宋体" w:hAnsi="Calibri" w:cs="宋体"/>
          <w:color w:val="000000" w:themeColor="text1"/>
          <w:szCs w:val="21"/>
          <w14:textFill>
            <w14:solidFill>
              <w14:schemeClr w14:val="tx1"/>
            </w14:solidFill>
          </w14:textFill>
        </w:rPr>
        <w:t xml:space="preserve">10%；开仓卖出认购股票期权的，应持有足额标的证券；开仓卖出认沽股票期权的，应持有合约行权所需的全额现金或交易所规则认可的可冲抵股票期权保证金的现金等价物；未平仓的股票期权合约面值不得超过基金资产净值的20%，其中，合约面值按照行权价乘以合约乘数计算； </w:t>
      </w:r>
    </w:p>
    <w:p w14:paraId="588E72E1">
      <w:pPr>
        <w:spacing w:line="360" w:lineRule="auto"/>
        <w:ind w:firstLine="420"/>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w:t>
      </w:r>
      <w:r>
        <w:rPr>
          <w:rFonts w:ascii="宋体" w:hAnsi="Calibri" w:cs="宋体"/>
          <w:color w:val="000000" w:themeColor="text1"/>
          <w:szCs w:val="21"/>
          <w14:textFill>
            <w14:solidFill>
              <w14:schemeClr w14:val="tx1"/>
            </w14:solidFill>
          </w14:textFill>
        </w:rPr>
        <w:t>15）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14:paraId="43DDFF10">
      <w:pPr>
        <w:spacing w:line="360" w:lineRule="auto"/>
        <w:ind w:firstLine="420"/>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w:t>
      </w:r>
      <w:r>
        <w:rPr>
          <w:rFonts w:ascii="宋体" w:hAnsi="Calibri" w:cs="宋体"/>
          <w:color w:val="000000" w:themeColor="text1"/>
          <w:szCs w:val="21"/>
          <w14:textFill>
            <w14:solidFill>
              <w14:schemeClr w14:val="tx1"/>
            </w14:solidFill>
          </w14:textFill>
        </w:rPr>
        <w:t>16）本基金与私募类证券资管产品及中国证监会认定的其他主体为交易对手开展逆回购交易的，可接受质押品的资质要求应当与基金合同约定的投资范围保持一致；</w:t>
      </w:r>
    </w:p>
    <w:p w14:paraId="5022E3DA">
      <w:pPr>
        <w:spacing w:line="360" w:lineRule="auto"/>
        <w:ind w:firstLine="420"/>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w:t>
      </w:r>
      <w:r>
        <w:rPr>
          <w:rFonts w:ascii="宋体" w:hAnsi="Calibri" w:cs="宋体"/>
          <w:color w:val="000000" w:themeColor="text1"/>
          <w:szCs w:val="21"/>
          <w14:textFill>
            <w14:solidFill>
              <w14:schemeClr w14:val="tx1"/>
            </w14:solidFill>
          </w14:textFill>
        </w:rPr>
        <w:t>17）本基金资产总值不得超过基金资产净值的140%；</w:t>
      </w:r>
    </w:p>
    <w:p w14:paraId="16A40FE2">
      <w:pPr>
        <w:spacing w:line="360" w:lineRule="auto"/>
        <w:ind w:firstLine="420"/>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w:t>
      </w:r>
      <w:r>
        <w:rPr>
          <w:rFonts w:ascii="宋体" w:hAnsi="Calibri" w:cs="宋体"/>
          <w:color w:val="000000" w:themeColor="text1"/>
          <w:szCs w:val="21"/>
          <w14:textFill>
            <w14:solidFill>
              <w14:schemeClr w14:val="tx1"/>
            </w14:solidFill>
          </w14:textFill>
        </w:rPr>
        <w:t>18）本基金投资存托凭证的比例限制依照境内上市交易的股票执行；</w:t>
      </w:r>
    </w:p>
    <w:p w14:paraId="25043FA1">
      <w:pPr>
        <w:spacing w:line="360" w:lineRule="auto"/>
        <w:ind w:firstLine="420"/>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w:t>
      </w:r>
      <w:r>
        <w:rPr>
          <w:rFonts w:ascii="宋体" w:hAnsi="Calibri" w:cs="宋体"/>
          <w:color w:val="000000" w:themeColor="text1"/>
          <w:szCs w:val="21"/>
          <w14:textFill>
            <w14:solidFill>
              <w14:schemeClr w14:val="tx1"/>
            </w14:solidFill>
          </w14:textFill>
        </w:rPr>
        <w:t>19）法律法规及中国证监会规定的和《基金合同》约定的其他投资限制。</w:t>
      </w:r>
    </w:p>
    <w:p w14:paraId="0E7BBEFC">
      <w:pPr>
        <w:spacing w:line="360" w:lineRule="auto"/>
        <w:ind w:firstLine="420"/>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除上述（</w:t>
      </w:r>
      <w:r>
        <w:rPr>
          <w:rFonts w:ascii="宋体" w:hAnsi="Calibri" w:cs="宋体"/>
          <w:color w:val="000000" w:themeColor="text1"/>
          <w:szCs w:val="21"/>
          <w14:textFill>
            <w14:solidFill>
              <w14:schemeClr w14:val="tx1"/>
            </w14:solidFill>
          </w14:textFill>
        </w:rPr>
        <w:t>2）、（10）、（13）、（15）、（16）情形之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w:t>
      </w:r>
    </w:p>
    <w:p w14:paraId="448DA403">
      <w:pPr>
        <w:spacing w:line="360" w:lineRule="auto"/>
        <w:ind w:firstLine="420"/>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基金管理人应当自基金合同生效之日起</w:t>
      </w:r>
      <w:r>
        <w:rPr>
          <w:rFonts w:ascii="宋体" w:hAnsi="Calibri" w:cs="宋体"/>
          <w:color w:val="000000" w:themeColor="text1"/>
          <w:szCs w:val="21"/>
          <w14:textFill>
            <w14:solidFill>
              <w14:schemeClr w14:val="tx1"/>
            </w14:solidFill>
          </w14:textFill>
        </w:rPr>
        <w:t>6个月内使基金的投资组合比例符合基金合同的有关约定。在上述期间内，本基金的投资范围应当符合基金合同的约定。基金托管人对基金的投资的监督与检查自基金合同生效之日起开始。</w:t>
      </w:r>
    </w:p>
    <w:p w14:paraId="6DB5CB9A">
      <w:pPr>
        <w:spacing w:line="360" w:lineRule="auto"/>
        <w:ind w:firstLine="420"/>
      </w:pPr>
      <w:r>
        <w:rPr>
          <w:rFonts w:hint="eastAsia" w:ascii="宋体" w:hAnsi="Calibri" w:cs="宋体"/>
          <w:color w:val="000000" w:themeColor="text1"/>
          <w:szCs w:val="21"/>
          <w14:textFill>
            <w14:solidFill>
              <w14:schemeClr w14:val="tx1"/>
            </w14:solidFill>
          </w14:textFill>
        </w:rPr>
        <w:t>法律法规或监管部门取消或调整上述限制，如适用于本基金，基金管理人在与基金托管人协商一致并履行适当程序后，则本基金投资不再受相关限制或按照调整后的规定执行。</w:t>
      </w:r>
    </w:p>
    <w:bookmarkEnd w:id="194"/>
    <w:bookmarkEnd w:id="195"/>
    <w:bookmarkEnd w:id="196"/>
    <w:p w14:paraId="6673E4E7">
      <w:pPr>
        <w:spacing w:line="360" w:lineRule="auto"/>
        <w:ind w:firstLine="420"/>
        <w:jc w:val="left"/>
        <w:rPr>
          <w:color w:val="000000"/>
          <w:szCs w:val="21"/>
        </w:rPr>
      </w:pPr>
      <w:r>
        <w:rPr>
          <w:color w:val="000000" w:themeColor="text1"/>
          <w:szCs w:val="21"/>
          <w14:textFill>
            <w14:solidFill>
              <w14:schemeClr w14:val="tx1"/>
            </w14:solidFill>
          </w14:textFill>
        </w:rPr>
        <w:t>3</w:t>
      </w: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基金托管人根据有关法律法规的规定及《基金合同》的约定对下述基金投资禁止行为通过事后监督方式进行监督：</w:t>
      </w:r>
    </w:p>
    <w:p w14:paraId="509EB932">
      <w:pPr>
        <w:spacing w:line="360" w:lineRule="auto"/>
        <w:ind w:firstLine="420"/>
        <w:jc w:val="left"/>
        <w:rPr>
          <w:color w:val="000000"/>
          <w:szCs w:val="21"/>
        </w:rPr>
      </w:pPr>
      <w:r>
        <w:rPr>
          <w:rFonts w:hint="eastAsia"/>
          <w:color w:val="000000" w:themeColor="text1"/>
          <w:szCs w:val="21"/>
          <w14:textFill>
            <w14:solidFill>
              <w14:schemeClr w14:val="tx1"/>
            </w14:solidFill>
          </w14:textFill>
        </w:rPr>
        <w:t>（1）承销证券；</w:t>
      </w:r>
    </w:p>
    <w:p w14:paraId="377CACC7">
      <w:pPr>
        <w:spacing w:line="360" w:lineRule="auto"/>
        <w:ind w:firstLine="420"/>
        <w:jc w:val="left"/>
        <w:rPr>
          <w:color w:val="000000"/>
          <w:szCs w:val="21"/>
        </w:rPr>
      </w:pPr>
      <w:r>
        <w:rPr>
          <w:rFonts w:hint="eastAsia"/>
          <w:color w:val="000000" w:themeColor="text1"/>
          <w:szCs w:val="21"/>
          <w14:textFill>
            <w14:solidFill>
              <w14:schemeClr w14:val="tx1"/>
            </w14:solidFill>
          </w14:textFill>
        </w:rPr>
        <w:t>（2）违反规定向他人贷款或者提供担保；</w:t>
      </w:r>
    </w:p>
    <w:p w14:paraId="3205217C">
      <w:pPr>
        <w:spacing w:line="360" w:lineRule="auto"/>
        <w:ind w:firstLine="42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（3）从事承担无限责任的投资；</w:t>
      </w:r>
    </w:p>
    <w:p w14:paraId="5DF23E91">
      <w:pPr>
        <w:spacing w:line="360" w:lineRule="auto"/>
        <w:ind w:firstLine="420"/>
        <w:jc w:val="left"/>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4</w:t>
      </w:r>
      <w:r>
        <w:rPr>
          <w:rFonts w:hint="eastAsia"/>
          <w:color w:val="000000" w:themeColor="text1"/>
          <w:szCs w:val="21"/>
          <w14:textFill>
            <w14:solidFill>
              <w14:schemeClr w14:val="tx1"/>
            </w14:solidFill>
          </w14:textFill>
        </w:rPr>
        <w:t>）买卖其他基金份额，但是中国证监会另有规定的除外；</w:t>
      </w:r>
    </w:p>
    <w:p w14:paraId="712F141C">
      <w:pPr>
        <w:spacing w:line="360" w:lineRule="auto"/>
        <w:ind w:firstLine="420"/>
        <w:jc w:val="left"/>
        <w:rPr>
          <w:color w:val="000000"/>
          <w:szCs w:val="21"/>
        </w:rPr>
      </w:pPr>
      <w:r>
        <w:rPr>
          <w:rFonts w:hint="eastAsia"/>
          <w:color w:val="000000" w:themeColor="text1"/>
          <w:szCs w:val="21"/>
          <w14:textFill>
            <w14:solidFill>
              <w14:schemeClr w14:val="tx1"/>
            </w14:solidFill>
          </w14:textFill>
        </w:rPr>
        <w:t>（5）向其基金管理人、基金托管人出资；</w:t>
      </w:r>
    </w:p>
    <w:p w14:paraId="4974A991">
      <w:pPr>
        <w:spacing w:line="360" w:lineRule="auto"/>
        <w:ind w:firstLine="420"/>
        <w:jc w:val="left"/>
        <w:rPr>
          <w:color w:val="000000"/>
          <w:szCs w:val="21"/>
        </w:rPr>
      </w:pPr>
      <w:r>
        <w:rPr>
          <w:rFonts w:hint="eastAsia"/>
          <w:color w:val="000000" w:themeColor="text1"/>
          <w:szCs w:val="21"/>
          <w14:textFill>
            <w14:solidFill>
              <w14:schemeClr w14:val="tx1"/>
            </w14:solidFill>
          </w14:textFill>
        </w:rPr>
        <w:t>（6）从事内幕交易、操纵证券交易价格及其他不正当的证券交易活动；</w:t>
      </w:r>
    </w:p>
    <w:p w14:paraId="550AF9A8">
      <w:pPr>
        <w:spacing w:line="360" w:lineRule="auto"/>
        <w:ind w:firstLine="42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（7）法律、行政法规和中国证监会规定禁止的其他活动。</w:t>
      </w:r>
    </w:p>
    <w:p w14:paraId="0432FA0A">
      <w:pPr>
        <w:spacing w:line="360" w:lineRule="auto"/>
        <w:ind w:firstLine="420"/>
        <w:jc w:val="left"/>
        <w:rPr>
          <w:color w:val="000000"/>
          <w:szCs w:val="21"/>
        </w:rPr>
      </w:pPr>
      <w:r>
        <w:rPr>
          <w:rFonts w:hint="eastAsia"/>
          <w:color w:val="000000"/>
          <w:szCs w:val="21"/>
        </w:rPr>
        <w:t>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3523687D">
      <w:pPr>
        <w:spacing w:line="360" w:lineRule="auto"/>
        <w:ind w:firstLine="420"/>
        <w:jc w:val="left"/>
        <w:rPr>
          <w:color w:val="000000"/>
          <w:szCs w:val="21"/>
        </w:rPr>
      </w:pPr>
      <w:r>
        <w:rPr>
          <w:rFonts w:hint="eastAsia"/>
          <w:color w:val="000000"/>
          <w:szCs w:val="21"/>
        </w:rPr>
        <w:t>法律、行政法规或监管部门取消或调整上述限制，如适用于本基金，基金管理人在履行适当程序后，则本基金投资不再受相关限制或按照调整后的规定执行。</w:t>
      </w:r>
    </w:p>
    <w:p w14:paraId="64658E71">
      <w:pPr>
        <w:spacing w:line="360" w:lineRule="auto"/>
        <w:ind w:firstLine="420"/>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4</w:t>
      </w:r>
      <w:r>
        <w:rPr>
          <w:rFonts w:hint="eastAsia"/>
          <w:color w:val="000000" w:themeColor="text1"/>
          <w:szCs w:val="21"/>
          <w14:textFill>
            <w14:solidFill>
              <w14:schemeClr w14:val="tx1"/>
            </w14:solidFill>
          </w14:textFill>
        </w:rPr>
        <w:t>、基金托管人依据有关法律法规的规定和《基金合同》的约定对于基金关联投资限制进行监督。</w:t>
      </w:r>
    </w:p>
    <w:p w14:paraId="0AF3738E">
      <w:pPr>
        <w:spacing w:line="360" w:lineRule="auto"/>
        <w:ind w:firstLine="420"/>
        <w:rPr>
          <w:rFonts w:ascii="宋体" w:hAnsi="Calibri" w:cs="宋体"/>
          <w:color w:val="000000"/>
          <w:szCs w:val="21"/>
        </w:rPr>
      </w:pPr>
      <w:r>
        <w:rPr>
          <w:rFonts w:hint="eastAsia"/>
          <w:color w:val="000000" w:themeColor="text1"/>
          <w:szCs w:val="21"/>
          <w14:textFill>
            <w14:solidFill>
              <w14:schemeClr w14:val="tx1"/>
            </w14:solidFill>
          </w14:textFill>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54021872">
      <w:pPr>
        <w:spacing w:line="360" w:lineRule="auto"/>
        <w:ind w:firstLine="420"/>
        <w:rPr>
          <w:sz w:val="22"/>
          <w:szCs w:val="21"/>
        </w:rPr>
      </w:pPr>
      <w:r>
        <w:rPr>
          <w:rFonts w:hint="eastAsia" w:ascii="宋体" w:hAnsi="Calibri" w:cs="宋体"/>
          <w:color w:val="000000" w:themeColor="text1"/>
          <w:szCs w:val="21"/>
          <w14:textFill>
            <w14:solidFill>
              <w14:schemeClr w14:val="tx1"/>
            </w14:solidFill>
          </w14:textFill>
        </w:rPr>
        <w:t>5、</w:t>
      </w:r>
      <w:r>
        <w:rPr>
          <w:rFonts w:ascii="宋体" w:hAnsi="Calibri" w:cs="宋体"/>
          <w:color w:val="000000" w:themeColor="text1"/>
          <w:szCs w:val="21"/>
          <w14:textFill>
            <w14:solidFill>
              <w14:schemeClr w14:val="tx1"/>
            </w14:solidFill>
          </w14:textFill>
        </w:rPr>
        <w:t>本基金参与银行间市场交易，由基金管理人决定银行间市场交易对手的名单，并按照审慎的风险控制原则在该名单中约定各交易对手所适用的交易结算方式。基金管理人应严格按照交易对手名单的范围在银行间债券市场选择交易对手；基金管理人在银行间市场进行现券买卖和回购交易时，需按交易对手名单中约定的该交易对手所适用的交易结算方式进行交易。基金托管人不对本基金参与银行间市场交易的交易对手和交易结算方式进行监控。</w:t>
      </w:r>
    </w:p>
    <w:p w14:paraId="33D92463">
      <w:pPr>
        <w:spacing w:line="360" w:lineRule="auto"/>
        <w:ind w:firstLine="420"/>
        <w:jc w:val="left"/>
        <w:rPr>
          <w:rFonts w:ascii="宋体" w:hAnsi="Calibri" w:cs="宋体"/>
          <w:szCs w:val="21"/>
        </w:rPr>
      </w:pPr>
      <w:r>
        <w:rPr>
          <w:rFonts w:hint="eastAsia" w:ascii="宋体" w:hAnsi="Calibri" w:cs="宋体"/>
          <w:szCs w:val="21"/>
        </w:rPr>
        <w:t>6、基金托管人对基金投资流通受限证券的监督</w:t>
      </w:r>
    </w:p>
    <w:p w14:paraId="517E587A">
      <w:pPr>
        <w:spacing w:line="360" w:lineRule="auto"/>
        <w:ind w:firstLine="420"/>
        <w:jc w:val="left"/>
        <w:rPr>
          <w:rFonts w:hAnsi="Calibri"/>
          <w:szCs w:val="21"/>
        </w:rPr>
      </w:pPr>
      <w:r>
        <w:rPr>
          <w:rFonts w:hint="eastAsia" w:ascii="宋体" w:hAnsi="Calibri" w:cs="宋体"/>
          <w:szCs w:val="21"/>
        </w:rPr>
        <w:t>（1）</w:t>
      </w:r>
      <w:r>
        <w:rPr>
          <w:rFonts w:ascii="宋体" w:hAnsi="Calibri" w:cs="宋体"/>
          <w:szCs w:val="21"/>
        </w:rPr>
        <w:t>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w:t>
      </w:r>
    </w:p>
    <w:p w14:paraId="37C8DFF9">
      <w:pPr>
        <w:spacing w:line="360" w:lineRule="auto"/>
        <w:ind w:firstLine="420"/>
        <w:jc w:val="left"/>
        <w:rPr>
          <w:rFonts w:ascii="宋体" w:hAnsi="Calibri" w:cs="宋体"/>
          <w:szCs w:val="21"/>
        </w:rPr>
      </w:pPr>
      <w:r>
        <w:rPr>
          <w:rFonts w:hint="eastAsia" w:ascii="宋体" w:hAnsi="Calibri" w:cs="宋体"/>
          <w:szCs w:val="21"/>
        </w:rPr>
        <w:t>（</w:t>
      </w:r>
      <w:r>
        <w:rPr>
          <w:rFonts w:ascii="宋体" w:hAnsi="Calibri" w:cs="宋体"/>
          <w:szCs w:val="21"/>
        </w:rPr>
        <w:t>2</w:t>
      </w:r>
      <w:r>
        <w:rPr>
          <w:rFonts w:hint="eastAsia" w:ascii="宋体" w:hAnsi="Calibri" w:cs="宋体"/>
          <w:szCs w:val="21"/>
        </w:rPr>
        <w:t>）此处流通受限证券与上文所述的流动性受限资产并不完全一致，包括经中国证监会批准的非公开发行股票、公开发行股票网下配售部分等在发行时明确一定期限锁定期的可交易证券</w:t>
      </w:r>
      <w:r>
        <w:rPr>
          <w:rFonts w:ascii="宋体" w:hAnsi="Calibri" w:cs="宋体"/>
          <w:szCs w:val="21"/>
        </w:rPr>
        <w:t>,</w:t>
      </w:r>
      <w:r>
        <w:rPr>
          <w:rFonts w:hint="eastAsia" w:ascii="宋体" w:hAnsi="Calibri" w:cs="宋体"/>
          <w:szCs w:val="21"/>
        </w:rPr>
        <w:t>不包括由于发布重大消息或其他原因而临时停牌的证券、已发行未上市证券、回购交易中的质押券等流通受限证券。</w:t>
      </w:r>
    </w:p>
    <w:p w14:paraId="6985CE27">
      <w:pPr>
        <w:spacing w:line="360" w:lineRule="auto"/>
        <w:ind w:firstLine="420"/>
        <w:jc w:val="left"/>
        <w:rPr>
          <w:rFonts w:ascii="宋体" w:hAnsi="Calibri" w:cs="宋体"/>
          <w:szCs w:val="21"/>
        </w:rPr>
      </w:pPr>
      <w:r>
        <w:rPr>
          <w:rFonts w:hint="eastAsia" w:ascii="宋体" w:hAnsi="Calibri" w:cs="宋体"/>
          <w:szCs w:val="21"/>
        </w:rPr>
        <w:t>（</w:t>
      </w:r>
      <w:r>
        <w:rPr>
          <w:rFonts w:ascii="宋体" w:hAnsi="Calibri" w:cs="宋体"/>
          <w:szCs w:val="21"/>
        </w:rPr>
        <w:t>3</w:t>
      </w:r>
      <w:r>
        <w:rPr>
          <w:rFonts w:hint="eastAsia" w:ascii="宋体" w:hAnsi="Calibri" w:cs="宋体"/>
          <w:szCs w:val="21"/>
        </w:rPr>
        <w:t>）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w:t>
      </w:r>
    </w:p>
    <w:p w14:paraId="2206FBFC">
      <w:pPr>
        <w:spacing w:line="360" w:lineRule="auto"/>
        <w:ind w:firstLine="420"/>
        <w:jc w:val="left"/>
        <w:rPr>
          <w:rFonts w:ascii="宋体" w:hAnsi="Calibri" w:cs="宋体"/>
          <w:szCs w:val="21"/>
        </w:rPr>
      </w:pPr>
      <w:r>
        <w:rPr>
          <w:rFonts w:hint="eastAsia" w:ascii="宋体" w:hAnsi="Calibri" w:cs="宋体"/>
          <w:szCs w:val="21"/>
        </w:rPr>
        <w:t>基金管理人应至少于首次执行投资指令之前两个工作日将上述资料书面发至基金托管人，保证基金托管人有足够的时间进行审核。基金托管人应在收到上述资料后两个工作日内，以书面或其他双方认可的方式进行确认。</w:t>
      </w:r>
    </w:p>
    <w:p w14:paraId="68FA95E2">
      <w:pPr>
        <w:spacing w:line="360" w:lineRule="auto"/>
        <w:ind w:firstLine="420"/>
        <w:jc w:val="left"/>
        <w:rPr>
          <w:rFonts w:ascii="宋体" w:hAnsi="Calibri" w:cs="宋体"/>
          <w:szCs w:val="21"/>
        </w:rPr>
      </w:pPr>
      <w:r>
        <w:rPr>
          <w:rFonts w:hint="eastAsia" w:ascii="宋体" w:hAnsi="Calibri" w:cs="宋体"/>
          <w:szCs w:val="21"/>
        </w:rPr>
        <w:t>（</w:t>
      </w:r>
      <w:r>
        <w:rPr>
          <w:rFonts w:ascii="宋体" w:hAnsi="Calibri" w:cs="宋体"/>
          <w:szCs w:val="21"/>
        </w:rPr>
        <w:t>4</w:t>
      </w:r>
      <w:r>
        <w:rPr>
          <w:rFonts w:hint="eastAsia" w:ascii="宋体" w:hAnsi="Calibri" w:cs="宋体"/>
          <w:szCs w:val="21"/>
        </w:rPr>
        <w:t>）基金投资非公开发行的流通受限证券前，基金管理人应向基金托管人提供符合法律法规要求的有关书面信息，包括但不限于拟发行证券主体的中国证监会批准文件、发行证券数量、发行价格、锁定期，基金拟认购的数量、价格、总成本、总成本占基金资产净值的比例、已持有流通受限证券市值占资产净值的比例、资金划付时间等。基金管理人应保证上述信息的真实、完整，并于拟执行投资指令前将上述信息书面发至基金托管人，保证基金托管人有足够的时间进行审核。</w:t>
      </w:r>
    </w:p>
    <w:p w14:paraId="3DF34C0D">
      <w:pPr>
        <w:spacing w:line="360" w:lineRule="auto"/>
        <w:ind w:firstLine="420"/>
        <w:jc w:val="left"/>
        <w:rPr>
          <w:rFonts w:ascii="宋体" w:hAnsi="Calibri" w:cs="宋体"/>
          <w:szCs w:val="21"/>
        </w:rPr>
      </w:pPr>
      <w:r>
        <w:rPr>
          <w:rFonts w:hint="eastAsia" w:ascii="宋体" w:hAnsi="Calibri" w:cs="宋体"/>
          <w:szCs w:val="21"/>
        </w:rPr>
        <w:t>（</w:t>
      </w:r>
      <w:r>
        <w:rPr>
          <w:rFonts w:ascii="宋体" w:hAnsi="Calibri" w:cs="宋体"/>
          <w:szCs w:val="21"/>
        </w:rPr>
        <w:t>5</w:t>
      </w:r>
      <w:r>
        <w:rPr>
          <w:rFonts w:hint="eastAsia" w:ascii="宋体" w:hAnsi="Calibri" w:cs="宋体"/>
          <w:szCs w:val="21"/>
        </w:rPr>
        <w:t>）基金托管人应按照《关于基金投资非公开发行股票等流通受限证券有关问题的通知》规定，对基金管理人是否遵守法律法规进行监督，并审核基金管理人提供的有关书面信息。基金托管人认为上述资料可能导致基金出现风险的，有权要求基金管理人在投资流通受限证券前就该风险的消除或防范措施进行补充书面说明，并保留查看基金管理人风险管理部门就基金投资流通受限证券出具的风险评估报告等备查资料的权利。否则，基金托管人有权拒绝执行有关指令。因拒绝执行该指令造成基金财产损失的，基金托管人不承担任何责任，并有权报告中国证监会。</w:t>
      </w:r>
    </w:p>
    <w:p w14:paraId="7FF48B78">
      <w:pPr>
        <w:spacing w:line="360" w:lineRule="auto"/>
        <w:ind w:firstLine="420"/>
        <w:jc w:val="left"/>
        <w:rPr>
          <w:rFonts w:ascii="宋体" w:hAnsi="Calibri" w:cs="宋体"/>
          <w:szCs w:val="21"/>
        </w:rPr>
      </w:pPr>
      <w:r>
        <w:rPr>
          <w:rFonts w:hint="eastAsia" w:ascii="宋体" w:hAnsi="Calibri" w:cs="宋体"/>
          <w:szCs w:val="21"/>
        </w:rPr>
        <w:t>如基金管理人和基金托管人无法达成一致，应及时上报中国证监会请求解决。如果基金托管人切实履行监督职责，则不承担任何责任。</w:t>
      </w:r>
    </w:p>
    <w:p w14:paraId="2CA4850C">
      <w:pPr>
        <w:spacing w:line="360" w:lineRule="auto"/>
        <w:ind w:firstLine="420"/>
        <w:jc w:val="left"/>
        <w:rPr>
          <w:rFonts w:ascii="宋体" w:hAnsi="Calibri" w:cs="宋体"/>
          <w:color w:val="000000"/>
          <w:szCs w:val="21"/>
        </w:rPr>
      </w:pPr>
      <w:r>
        <w:rPr>
          <w:rFonts w:ascii="宋体" w:hAnsi="Calibri" w:cs="宋体"/>
          <w:color w:val="000000" w:themeColor="text1"/>
          <w:szCs w:val="21"/>
          <w14:textFill>
            <w14:solidFill>
              <w14:schemeClr w14:val="tx1"/>
            </w14:solidFill>
          </w14:textFill>
        </w:rPr>
        <w:t>7</w:t>
      </w:r>
      <w:r>
        <w:rPr>
          <w:rFonts w:hint="eastAsia" w:ascii="宋体" w:hAnsi="Calibri" w:cs="宋体"/>
          <w:color w:val="000000" w:themeColor="text1"/>
          <w:szCs w:val="21"/>
          <w14:textFill>
            <w14:solidFill>
              <w14:schemeClr w14:val="tx1"/>
            </w14:solidFill>
          </w14:textFill>
        </w:rPr>
        <w:t>、</w:t>
      </w:r>
      <w:r>
        <w:rPr>
          <w:szCs w:val="21"/>
        </w:rPr>
        <w:t>本基金投资银行存款的信用风险主要包括存款银行的信用等级、存款银行的支付能力等涉及到存款银行选择方面的风险。本基金的基金管理人根据相应规则确定存款银行，本基金投资存款银行以外的银行存款出现由于存款银行信用风险而造成的损失时由相关责任人进行赔偿。基金托管人不对本基金投资银行存款的存款银行进行监控。</w:t>
      </w:r>
    </w:p>
    <w:p w14:paraId="26C37FC9">
      <w:pPr>
        <w:spacing w:line="360" w:lineRule="auto"/>
        <w:ind w:firstLine="420"/>
        <w:jc w:val="left"/>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8、基金参与转融通证券出借业务，基金管理人应当遵守审慎经营原则，配备技术系统和专业人员，制定科学合理的投资策略和风险管理制度，完善业务流程，有效防范和控制风险。基金托管人将对基金参与出借业务的投资比例进行监督和复核。</w:t>
      </w:r>
    </w:p>
    <w:p w14:paraId="023F7115">
      <w:pPr>
        <w:spacing w:line="360" w:lineRule="auto"/>
        <w:ind w:firstLine="420"/>
        <w:jc w:val="left"/>
        <w:rPr>
          <w:rFonts w:ascii="宋体" w:hAnsi="Calibri" w:cs="宋体"/>
          <w:color w:val="000000"/>
          <w:szCs w:val="21"/>
        </w:rPr>
      </w:pPr>
      <w:r>
        <w:rPr>
          <w:rFonts w:hint="eastAsia" w:ascii="宋体" w:hAnsi="Calibri" w:cs="宋体"/>
          <w:color w:val="000000" w:themeColor="text1"/>
          <w:szCs w:val="21"/>
          <w14:textFill>
            <w14:solidFill>
              <w14:schemeClr w14:val="tx1"/>
            </w14:solidFill>
          </w14:textFill>
        </w:rPr>
        <w:t>（二）基金托管人应根据有关法律法规的规定及《基金合同》的约定，对基金资产净值计算、基金份额净值计算、应收资金到账、基金费用开支及收入确定、基金收益分配、相关信息披露、基金宣传推介材料（需基金管理人主动提供）中登载基金业绩表现数据等进行监督和核查。</w:t>
      </w:r>
    </w:p>
    <w:p w14:paraId="7FABA601">
      <w:pPr>
        <w:spacing w:line="360" w:lineRule="auto"/>
        <w:ind w:firstLine="420"/>
        <w:jc w:val="left"/>
        <w:rPr>
          <w:rFonts w:ascii="宋体" w:hAnsi="Calibri" w:cs="宋体"/>
          <w:color w:val="000000"/>
          <w:szCs w:val="21"/>
        </w:rPr>
      </w:pPr>
      <w:r>
        <w:rPr>
          <w:rFonts w:hint="eastAsia" w:ascii="宋体" w:hAnsi="Calibri" w:cs="宋体"/>
          <w:color w:val="000000" w:themeColor="text1"/>
          <w:szCs w:val="21"/>
          <w14:textFill>
            <w14:solidFill>
              <w14:schemeClr w14:val="tx1"/>
            </w14:solidFill>
          </w14:textFill>
        </w:rPr>
        <w:t>（三） 基金托管人发现基金管理人的投资运作及其他运作违反法律法规、《基金合同》、本托管协议及其他有关规定时，应及时以书面形式通知基金管理人限期纠正，基金管理人收到通知后应在下一个工作日前及时核对，并以书面形式向基金托管人发出回函，进行解释或举证，说明违规原因及纠正期限。</w:t>
      </w:r>
    </w:p>
    <w:p w14:paraId="78B572C6">
      <w:pPr>
        <w:spacing w:line="360" w:lineRule="auto"/>
        <w:ind w:firstLine="420"/>
        <w:jc w:val="left"/>
        <w:rPr>
          <w:rFonts w:ascii="宋体" w:hAnsi="Calibri" w:cs="宋体"/>
          <w:color w:val="000000"/>
          <w:szCs w:val="21"/>
        </w:rPr>
      </w:pPr>
      <w:r>
        <w:rPr>
          <w:rFonts w:hint="eastAsia" w:ascii="宋体" w:hAnsi="Calibri" w:cs="宋体"/>
          <w:color w:val="000000" w:themeColor="text1"/>
          <w:szCs w:val="21"/>
          <w14:textFill>
            <w14:solidFill>
              <w14:schemeClr w14:val="tx1"/>
            </w14:solidFill>
          </w14:textFill>
        </w:rPr>
        <w:t>在限期内，基金托管人有权随时对通知事项进行复查，督促基金管理人改正。基金管理人对基金托管人通知的违规事项未能在限期内纠正的，基金托管人应报告中国证监会。基金管理人应赔偿因其违反法律法规、行业自律性规定或《基金合同》或本托管协议及其他有关规定而致使投资者和基金托管人遭受的损失。</w:t>
      </w:r>
    </w:p>
    <w:p w14:paraId="7735F33E">
      <w:pPr>
        <w:spacing w:line="360" w:lineRule="auto"/>
        <w:ind w:firstLine="420"/>
        <w:jc w:val="left"/>
        <w:rPr>
          <w:rFonts w:ascii="宋体" w:hAnsi="Calibri" w:cs="宋体"/>
          <w:color w:val="000000"/>
          <w:szCs w:val="21"/>
        </w:rPr>
      </w:pPr>
      <w:r>
        <w:rPr>
          <w:rFonts w:hint="eastAsia" w:ascii="宋体" w:hAnsi="Calibri" w:cs="宋体"/>
          <w:color w:val="000000" w:themeColor="text1"/>
          <w:szCs w:val="21"/>
          <w14:textFill>
            <w14:solidFill>
              <w14:schemeClr w14:val="tx1"/>
            </w14:solidFill>
          </w14:textFill>
        </w:rPr>
        <w:t>对于依据交易程序尚未成交的且基金托管人在交易前能够监控的投资指令，基金托管人发现该投资指令违反有关法律法规规定或者违反《基金合同》约定的，应当拒绝执行，立即通知基金管理人，并向中国证监会报告。</w:t>
      </w:r>
    </w:p>
    <w:p w14:paraId="140F9163">
      <w:pPr>
        <w:spacing w:line="360" w:lineRule="auto"/>
        <w:ind w:firstLine="420"/>
        <w:jc w:val="left"/>
        <w:rPr>
          <w:rFonts w:ascii="宋体" w:hAnsi="Calibri" w:cs="宋体"/>
          <w:color w:val="000000"/>
          <w:szCs w:val="21"/>
        </w:rPr>
      </w:pPr>
      <w:r>
        <w:rPr>
          <w:rFonts w:hint="eastAsia" w:ascii="宋体" w:hAnsi="Calibri" w:cs="宋体"/>
          <w:color w:val="000000" w:themeColor="text1"/>
          <w:szCs w:val="21"/>
          <w14:textFill>
            <w14:solidFill>
              <w14:schemeClr w14:val="tx1"/>
            </w14:solidFill>
          </w14:textFill>
        </w:rPr>
        <w:t>对于必须于估值完成后方可获知的监控指标或依据交易程序已经成交的投资指令，基金托管人发现该投资指令违反有关法律法规或者违反《基金合同》约定的，应当立即通知基金管理人，并报告中国证监会。</w:t>
      </w:r>
    </w:p>
    <w:p w14:paraId="4CDD3E7E">
      <w:pPr>
        <w:spacing w:line="360" w:lineRule="auto"/>
        <w:ind w:firstLine="420"/>
        <w:jc w:val="left"/>
        <w:rPr>
          <w:rFonts w:ascii="宋体" w:hAnsi="Calibri" w:cs="宋体"/>
          <w:color w:val="000000"/>
          <w:szCs w:val="21"/>
        </w:rPr>
      </w:pPr>
      <w:r>
        <w:rPr>
          <w:rFonts w:hint="eastAsia" w:ascii="宋体" w:hAnsi="Calibri" w:cs="宋体"/>
          <w:color w:val="000000" w:themeColor="text1"/>
          <w:szCs w:val="21"/>
          <w14:textFill>
            <w14:solidFill>
              <w14:schemeClr w14:val="tx1"/>
            </w14:solidFill>
          </w14:textFill>
        </w:rPr>
        <w:t>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资料和制度等。</w:t>
      </w:r>
    </w:p>
    <w:p w14:paraId="5D7779F1">
      <w:pPr>
        <w:spacing w:line="360" w:lineRule="auto"/>
        <w:ind w:firstLine="420"/>
        <w:jc w:val="left"/>
        <w:rPr>
          <w:rFonts w:ascii="宋体" w:hAnsi="Calibri" w:cs="宋体"/>
          <w:color w:val="000000"/>
          <w:szCs w:val="21"/>
        </w:rPr>
      </w:pPr>
      <w:r>
        <w:rPr>
          <w:rFonts w:hint="eastAsia" w:ascii="宋体" w:hAnsi="Calibri" w:cs="宋体"/>
          <w:color w:val="000000" w:themeColor="text1"/>
          <w:szCs w:val="21"/>
          <w14:textFill>
            <w14:solidFill>
              <w14:schemeClr w14:val="tx1"/>
            </w14:solidFill>
          </w14:textFill>
        </w:rPr>
        <w:t>基金托管人发现基金管理人有重大违规行为，应立即报告中国证监会，同时通知基金管理人限期纠正。</w:t>
      </w:r>
    </w:p>
    <w:p w14:paraId="58FFADB3">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基金管理人无正当理由，拒绝、阻挠基金托管人根据本协议规定行使监督权，或采取拖延、欺诈等手段妨碍基金托管人进行有效监督，情节严重或经基金托管人提出警告仍不改正的，基金托管人应报告中国证监会。</w:t>
      </w:r>
    </w:p>
    <w:p w14:paraId="27EFA607">
      <w:pPr>
        <w:spacing w:line="360" w:lineRule="auto"/>
        <w:ind w:firstLine="422" w:firstLineChars="200"/>
        <w:rPr>
          <w:rFonts w:hint="eastAsia" w:ascii="宋体" w:hAnsi="宋体" w:cs="Arial"/>
          <w:b/>
          <w:szCs w:val="21"/>
        </w:rPr>
      </w:pPr>
      <w:r>
        <w:rPr>
          <w:rFonts w:hint="eastAsia" w:ascii="宋体" w:hAnsi="宋体" w:cs="Arial"/>
          <w:b/>
          <w:szCs w:val="21"/>
        </w:rPr>
        <w:t>三、基金管理人对基金托管人的业务核查</w:t>
      </w:r>
    </w:p>
    <w:p w14:paraId="19D7D3BF">
      <w:pPr>
        <w:spacing w:line="360" w:lineRule="auto"/>
        <w:ind w:firstLine="420"/>
        <w:jc w:val="left"/>
        <w:rPr>
          <w:rFonts w:ascii="宋体" w:hAnsi="Calibri" w:cs="宋体"/>
          <w:color w:val="000000"/>
          <w:szCs w:val="21"/>
        </w:rPr>
      </w:pPr>
      <w:bookmarkStart w:id="197" w:name="OLE_LINK20"/>
      <w:bookmarkStart w:id="198" w:name="OLE_LINK19"/>
      <w:r>
        <w:rPr>
          <w:rFonts w:hint="eastAsia" w:ascii="宋体" w:hAnsi="Calibri" w:cs="宋体"/>
          <w:color w:val="000000" w:themeColor="text1"/>
          <w:szCs w:val="21"/>
          <w14:textFill>
            <w14:solidFill>
              <w14:schemeClr w14:val="tx1"/>
            </w14:solidFill>
          </w14:textFill>
        </w:rPr>
        <w:t>（一）基金管理人对基金托管人履行托管职责情况进行核查，核查事项包括但不限于基金托管人安全保管基金财产、开设基金财产的资金账户、证券账户等投资所需账户、复核基金管理人计算的基金资产净值和基金份额净值、根据基金管理人指令办理清算交收、相关信息披露和监督基金投资运作等行为。</w:t>
      </w:r>
    </w:p>
    <w:p w14:paraId="07E2FC90">
      <w:pPr>
        <w:spacing w:line="360" w:lineRule="auto"/>
        <w:ind w:firstLine="315"/>
        <w:jc w:val="left"/>
        <w:rPr>
          <w:rFonts w:ascii="宋体" w:hAnsi="Calibri" w:cs="宋体"/>
          <w:color w:val="000000"/>
          <w:szCs w:val="21"/>
        </w:rPr>
      </w:pPr>
      <w:r>
        <w:rPr>
          <w:rFonts w:hint="eastAsia" w:ascii="宋体" w:hAnsi="Calibri" w:cs="宋体"/>
          <w:color w:val="000000" w:themeColor="text1"/>
          <w:szCs w:val="21"/>
          <w14:textFill>
            <w14:solidFill>
              <w14:schemeClr w14:val="tx1"/>
            </w14:solidFill>
          </w14:textFill>
        </w:rPr>
        <w:t>（二）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w:t>
      </w:r>
      <w:r>
        <w:rPr>
          <w:rFonts w:hint="eastAsia"/>
          <w:color w:val="000000" w:themeColor="text1"/>
          <w:sz w:val="20"/>
          <w:szCs w:val="20"/>
          <w14:textFill>
            <w14:solidFill>
              <w14:schemeClr w14:val="tx1"/>
            </w14:solidFill>
          </w14:textFill>
        </w:rPr>
        <w:t>说明违规原因及纠正期限，并保证在规定期限内及时改正。</w:t>
      </w:r>
      <w:r>
        <w:rPr>
          <w:rFonts w:hint="eastAsia" w:ascii="宋体" w:hAnsi="Calibri" w:cs="宋体"/>
          <w:color w:val="000000" w:themeColor="text1"/>
          <w:szCs w:val="21"/>
          <w14:textFill>
            <w14:solidFill>
              <w14:schemeClr w14:val="tx1"/>
            </w14:solidFill>
          </w14:textFill>
        </w:rPr>
        <w:t>在上述限期内，基金管理人有权随时对通知事项进行复查，督促基金托管人改正，并予协助配合。基金托管人应积极配合基金管理人的核查行为，包括但不限于：提交相关资料以供基金管理人核查托管财产的完整性和真实性，在规定时间内答复基金管理人并改正。基金托管人对基金管理人通知的违规事项未能在限期内纠正的，基金管理人应报告中国证监会。</w:t>
      </w:r>
    </w:p>
    <w:p w14:paraId="29FFE04E">
      <w:pPr>
        <w:spacing w:line="360" w:lineRule="auto"/>
        <w:ind w:firstLine="420"/>
        <w:jc w:val="left"/>
        <w:rPr>
          <w:rFonts w:ascii="宋体" w:hAnsi="Calibri" w:cs="宋体"/>
          <w:color w:val="000000"/>
          <w:szCs w:val="21"/>
        </w:rPr>
      </w:pPr>
      <w:r>
        <w:rPr>
          <w:rFonts w:hint="eastAsia" w:ascii="宋体" w:hAnsi="Calibri" w:cs="宋体"/>
          <w:color w:val="000000" w:themeColor="text1"/>
          <w:szCs w:val="21"/>
          <w14:textFill>
            <w14:solidFill>
              <w14:schemeClr w14:val="tx1"/>
            </w14:solidFill>
          </w14:textFill>
        </w:rPr>
        <w:t>（三）基金管理人发现基金托管人有重大违规行为，应立即报告中国证监会，同时通知基金托管人限期纠正，并将纠正结果报告中国证监会。</w:t>
      </w:r>
    </w:p>
    <w:p w14:paraId="708E7C82">
      <w:pPr>
        <w:spacing w:line="360" w:lineRule="auto"/>
        <w:ind w:firstLine="420" w:firstLineChars="200"/>
        <w:rPr>
          <w:rFonts w:ascii="宋体" w:hAnsi="Calibri" w:cs="宋体"/>
          <w:color w:val="000000" w:themeColor="text1"/>
          <w:kern w:val="0"/>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基金托管人无正当理由，拒绝、阻挠基金管理人根据本协议规定行使监督权，或采取拖延、欺诈等手段妨碍基金管理人进行有效监督，情节严重或经基金管理人提出警告仍不改正的，基金管理人应报告中国证监会。</w:t>
      </w:r>
    </w:p>
    <w:bookmarkEnd w:id="197"/>
    <w:bookmarkEnd w:id="198"/>
    <w:p w14:paraId="471F053D">
      <w:pPr>
        <w:spacing w:line="360" w:lineRule="auto"/>
        <w:ind w:firstLine="422" w:firstLineChars="200"/>
        <w:rPr>
          <w:rFonts w:hint="eastAsia" w:ascii="宋体" w:hAnsi="宋体" w:cs="Arial"/>
          <w:b/>
          <w:szCs w:val="21"/>
        </w:rPr>
      </w:pPr>
      <w:r>
        <w:rPr>
          <w:rFonts w:ascii="宋体" w:hAnsi="宋体" w:cs="Arial"/>
          <w:b/>
          <w:szCs w:val="21"/>
        </w:rPr>
        <w:t>四、基金财产的保管</w:t>
      </w:r>
      <w:bookmarkEnd w:id="188"/>
      <w:bookmarkEnd w:id="189"/>
      <w:bookmarkEnd w:id="190"/>
      <w:bookmarkEnd w:id="191"/>
      <w:bookmarkEnd w:id="192"/>
      <w:bookmarkEnd w:id="193"/>
    </w:p>
    <w:p w14:paraId="16BD0464">
      <w:pPr>
        <w:spacing w:line="360" w:lineRule="auto"/>
        <w:ind w:firstLine="420"/>
        <w:jc w:val="left"/>
        <w:rPr>
          <w:rFonts w:ascii="宋体" w:hAnsi="Calibri" w:cs="宋体"/>
          <w:color w:val="000000" w:themeColor="text1"/>
          <w:szCs w:val="21"/>
          <w14:textFill>
            <w14:solidFill>
              <w14:schemeClr w14:val="tx1"/>
            </w14:solidFill>
          </w14:textFill>
        </w:rPr>
      </w:pPr>
      <w:bookmarkStart w:id="199" w:name="OLE_LINK23"/>
      <w:bookmarkStart w:id="200" w:name="OLE_LINK24"/>
      <w:bookmarkStart w:id="201" w:name="_Toc278986609"/>
      <w:bookmarkStart w:id="202" w:name="_Toc278986834"/>
      <w:bookmarkStart w:id="203" w:name="_Toc287014246"/>
      <w:bookmarkStart w:id="204" w:name="_Toc278986894"/>
      <w:bookmarkStart w:id="205" w:name="_Toc288639819"/>
      <w:bookmarkStart w:id="206" w:name="_Toc286319597"/>
      <w:bookmarkStart w:id="207" w:name="_Toc252355966"/>
      <w:r>
        <w:rPr>
          <w:rFonts w:hint="eastAsia" w:ascii="宋体" w:hAnsi="Calibri" w:cs="宋体"/>
          <w:color w:val="000000" w:themeColor="text1"/>
          <w:szCs w:val="21"/>
          <w14:textFill>
            <w14:solidFill>
              <w14:schemeClr w14:val="tx1"/>
            </w14:solidFill>
          </w14:textFill>
        </w:rPr>
        <w:t>（一）基金财产保管的原则</w:t>
      </w:r>
    </w:p>
    <w:p w14:paraId="6C5E30D7">
      <w:pPr>
        <w:spacing w:line="360" w:lineRule="auto"/>
        <w:ind w:firstLine="420"/>
        <w:jc w:val="left"/>
        <w:rPr>
          <w:rFonts w:ascii="宋体" w:hAnsi="Calibri" w:cs="宋体"/>
          <w:color w:val="000000" w:themeColor="text1"/>
          <w:szCs w:val="21"/>
          <w14:textFill>
            <w14:solidFill>
              <w14:schemeClr w14:val="tx1"/>
            </w14:solidFill>
          </w14:textFill>
        </w:rPr>
      </w:pPr>
      <w:r>
        <w:rPr>
          <w:rFonts w:ascii="宋体" w:hAnsi="Calibri" w:cs="宋体"/>
          <w:color w:val="000000" w:themeColor="text1"/>
          <w:szCs w:val="21"/>
          <w14:textFill>
            <w14:solidFill>
              <w14:schemeClr w14:val="tx1"/>
            </w14:solidFill>
          </w14:textFill>
        </w:rPr>
        <w:t>1</w:t>
      </w:r>
      <w:r>
        <w:rPr>
          <w:rFonts w:hint="eastAsia" w:ascii="宋体" w:hAnsi="Calibri" w:cs="宋体"/>
          <w:color w:val="000000" w:themeColor="text1"/>
          <w:szCs w:val="21"/>
          <w14:textFill>
            <w14:solidFill>
              <w14:schemeClr w14:val="tx1"/>
            </w14:solidFill>
          </w14:textFill>
        </w:rPr>
        <w:t>、基金财产应独立于基金管理人、基金托管人</w:t>
      </w:r>
      <w:r>
        <w:rPr>
          <w:rFonts w:ascii="宋体" w:hAnsi="Calibri" w:cs="宋体"/>
          <w:color w:val="000000" w:themeColor="text1"/>
          <w:szCs w:val="21"/>
          <w14:textFill>
            <w14:solidFill>
              <w14:schemeClr w14:val="tx1"/>
            </w14:solidFill>
          </w14:textFill>
        </w:rPr>
        <w:t>、证券经纪机构</w:t>
      </w:r>
      <w:r>
        <w:rPr>
          <w:rFonts w:hint="eastAsia" w:ascii="宋体" w:hAnsi="Calibri" w:cs="宋体"/>
          <w:color w:val="000000" w:themeColor="text1"/>
          <w:szCs w:val="21"/>
          <w14:textFill>
            <w14:solidFill>
              <w14:schemeClr w14:val="tx1"/>
            </w14:solidFill>
          </w14:textFill>
        </w:rPr>
        <w:t>的固有财产。</w:t>
      </w:r>
    </w:p>
    <w:p w14:paraId="74849101">
      <w:pPr>
        <w:spacing w:line="360" w:lineRule="auto"/>
        <w:ind w:firstLine="420"/>
        <w:jc w:val="left"/>
        <w:rPr>
          <w:rFonts w:ascii="宋体" w:hAnsi="Calibri" w:cs="宋体"/>
          <w:color w:val="000000" w:themeColor="text1"/>
          <w:szCs w:val="21"/>
          <w14:textFill>
            <w14:solidFill>
              <w14:schemeClr w14:val="tx1"/>
            </w14:solidFill>
          </w14:textFill>
        </w:rPr>
      </w:pPr>
      <w:r>
        <w:rPr>
          <w:rFonts w:ascii="宋体" w:hAnsi="Calibri" w:cs="宋体"/>
          <w:color w:val="000000" w:themeColor="text1"/>
          <w:szCs w:val="21"/>
          <w14:textFill>
            <w14:solidFill>
              <w14:schemeClr w14:val="tx1"/>
            </w14:solidFill>
          </w14:textFill>
        </w:rPr>
        <w:t>2</w:t>
      </w:r>
      <w:r>
        <w:rPr>
          <w:rFonts w:hint="eastAsia" w:ascii="宋体" w:hAnsi="Calibri" w:cs="宋体"/>
          <w:color w:val="000000" w:themeColor="text1"/>
          <w:szCs w:val="21"/>
          <w14:textFill>
            <w14:solidFill>
              <w14:schemeClr w14:val="tx1"/>
            </w14:solidFill>
          </w14:textFill>
        </w:rPr>
        <w:t>、基金托管人应安全保管基金财产，未经基金管理人的合法合规指令或法律法规、《基金合同》及本协议另有规定，不得自行运用、处分、分配基金的任何财产。</w:t>
      </w:r>
    </w:p>
    <w:p w14:paraId="1CBBB898">
      <w:pPr>
        <w:spacing w:line="360" w:lineRule="auto"/>
        <w:ind w:firstLine="420"/>
        <w:jc w:val="left"/>
        <w:rPr>
          <w:rFonts w:ascii="宋体" w:hAnsi="Calibri" w:cs="宋体"/>
          <w:color w:val="000000" w:themeColor="text1"/>
          <w:szCs w:val="21"/>
          <w14:textFill>
            <w14:solidFill>
              <w14:schemeClr w14:val="tx1"/>
            </w14:solidFill>
          </w14:textFill>
        </w:rPr>
      </w:pPr>
      <w:r>
        <w:rPr>
          <w:rFonts w:ascii="宋体" w:hAnsi="Calibri" w:cs="宋体"/>
          <w:color w:val="000000" w:themeColor="text1"/>
          <w:szCs w:val="21"/>
          <w14:textFill>
            <w14:solidFill>
              <w14:schemeClr w14:val="tx1"/>
            </w14:solidFill>
          </w14:textFill>
        </w:rPr>
        <w:t>3</w:t>
      </w:r>
      <w:r>
        <w:rPr>
          <w:rFonts w:hint="eastAsia" w:ascii="宋体" w:hAnsi="Calibri" w:cs="宋体"/>
          <w:color w:val="000000" w:themeColor="text1"/>
          <w:szCs w:val="21"/>
          <w14:textFill>
            <w14:solidFill>
              <w14:schemeClr w14:val="tx1"/>
            </w14:solidFill>
          </w14:textFill>
        </w:rPr>
        <w:t>、基金托管人按照规定开设基金财产的资金账户、证券账户等投资所需账户，相关开户费用由基金资产承担。</w:t>
      </w:r>
    </w:p>
    <w:p w14:paraId="68A561FA">
      <w:pPr>
        <w:spacing w:line="360" w:lineRule="auto"/>
        <w:ind w:firstLine="420"/>
        <w:jc w:val="left"/>
        <w:rPr>
          <w:rFonts w:ascii="宋体" w:hAnsi="Calibri" w:cs="宋体"/>
          <w:color w:val="000000" w:themeColor="text1"/>
          <w:szCs w:val="21"/>
          <w14:textFill>
            <w14:solidFill>
              <w14:schemeClr w14:val="tx1"/>
            </w14:solidFill>
          </w14:textFill>
        </w:rPr>
      </w:pPr>
      <w:r>
        <w:rPr>
          <w:rFonts w:ascii="宋体" w:hAnsi="Calibri" w:cs="宋体"/>
          <w:color w:val="000000" w:themeColor="text1"/>
          <w:szCs w:val="21"/>
          <w14:textFill>
            <w14:solidFill>
              <w14:schemeClr w14:val="tx1"/>
            </w14:solidFill>
          </w14:textFill>
        </w:rPr>
        <w:t>4</w:t>
      </w:r>
      <w:r>
        <w:rPr>
          <w:rFonts w:hint="eastAsia" w:ascii="宋体" w:hAnsi="Calibri" w:cs="宋体"/>
          <w:color w:val="000000" w:themeColor="text1"/>
          <w:szCs w:val="21"/>
          <w14:textFill>
            <w14:solidFill>
              <w14:schemeClr w14:val="tx1"/>
            </w14:solidFill>
          </w14:textFill>
        </w:rPr>
        <w:t>、基金托管人对所托管的不同基金财产分别设置账户，分账管理，独立核算，确保基金财产的完整与独立。</w:t>
      </w:r>
    </w:p>
    <w:p w14:paraId="2BACADF4">
      <w:pPr>
        <w:spacing w:line="360" w:lineRule="auto"/>
        <w:ind w:firstLine="420"/>
        <w:jc w:val="left"/>
        <w:rPr>
          <w:rFonts w:ascii="宋体" w:hAnsi="Calibri" w:cs="宋体"/>
          <w:color w:val="000000" w:themeColor="text1"/>
          <w:szCs w:val="21"/>
          <w14:textFill>
            <w14:solidFill>
              <w14:schemeClr w14:val="tx1"/>
            </w14:solidFill>
          </w14:textFill>
        </w:rPr>
      </w:pPr>
      <w:r>
        <w:rPr>
          <w:rFonts w:ascii="宋体" w:hAnsi="Calibri" w:cs="宋体"/>
          <w:color w:val="000000" w:themeColor="text1"/>
          <w:szCs w:val="21"/>
          <w14:textFill>
            <w14:solidFill>
              <w14:schemeClr w14:val="tx1"/>
            </w14:solidFill>
          </w14:textFill>
        </w:rPr>
        <w:t>5</w:t>
      </w:r>
      <w:r>
        <w:rPr>
          <w:rFonts w:hint="eastAsia" w:ascii="宋体" w:hAnsi="Calibri" w:cs="宋体"/>
          <w:color w:val="000000" w:themeColor="text1"/>
          <w:szCs w:val="21"/>
          <w14:textFill>
            <w14:solidFill>
              <w14:schemeClr w14:val="tx1"/>
            </w14:solidFill>
          </w14:textFill>
        </w:rPr>
        <w:t>、对于因为基金认申购、投资产生的应收资产，应由基金管理人负责与有关当事人确定到账日期并通知基金托管人，到账日基金财产没有到达基金账户的，基金托管人应及时通知基金管理人采取措施进行催收。基金管理人未及时催收给基金财产造成损失的，基金管理人应负责向有关当事人追偿基金财产的损失，基金托管人对此不承担任何责任。</w:t>
      </w:r>
    </w:p>
    <w:p w14:paraId="1A9A4654">
      <w:pPr>
        <w:spacing w:line="360" w:lineRule="auto"/>
        <w:ind w:firstLine="420"/>
        <w:jc w:val="left"/>
        <w:rPr>
          <w:rFonts w:ascii="宋体" w:hAnsi="Calibri" w:cs="宋体"/>
          <w:color w:val="000000" w:themeColor="text1"/>
          <w:szCs w:val="21"/>
          <w14:textFill>
            <w14:solidFill>
              <w14:schemeClr w14:val="tx1"/>
            </w14:solidFill>
          </w14:textFill>
        </w:rPr>
      </w:pPr>
      <w:r>
        <w:rPr>
          <w:rFonts w:ascii="宋体" w:hAnsi="Calibri" w:cs="宋体"/>
          <w:color w:val="000000" w:themeColor="text1"/>
          <w:szCs w:val="21"/>
          <w14:textFill>
            <w14:solidFill>
              <w14:schemeClr w14:val="tx1"/>
            </w14:solidFill>
          </w14:textFill>
        </w:rPr>
        <w:t>6</w:t>
      </w:r>
      <w:r>
        <w:rPr>
          <w:rFonts w:hint="eastAsia" w:ascii="宋体" w:hAnsi="Calibri" w:cs="宋体"/>
          <w:color w:val="000000" w:themeColor="text1"/>
          <w:szCs w:val="21"/>
          <w14:textFill>
            <w14:solidFill>
              <w14:schemeClr w14:val="tx1"/>
            </w14:solidFill>
          </w14:textFill>
        </w:rPr>
        <w:t>、对因为基金管理人投资产生的存放或存管在基金托管人以外机构的基金财产，或交由期货公司或证券公司负责清算交收的基金财产（包括但不限于期货保证金账户内的资金、期货合约等）及其收益，若由于该等机构或该机构会员单位等本协议当事人外第三方的原因给基金财产造成的损失等，基金托管人不承担责任。</w:t>
      </w:r>
    </w:p>
    <w:p w14:paraId="2B88D271">
      <w:pPr>
        <w:spacing w:line="360" w:lineRule="auto"/>
        <w:ind w:firstLine="420"/>
        <w:jc w:val="left"/>
        <w:rPr>
          <w:rFonts w:ascii="宋体" w:hAnsi="Calibri" w:cs="宋体"/>
          <w:color w:val="000000" w:themeColor="text1"/>
          <w:szCs w:val="21"/>
          <w14:textFill>
            <w14:solidFill>
              <w14:schemeClr w14:val="tx1"/>
            </w14:solidFill>
          </w14:textFill>
        </w:rPr>
      </w:pPr>
      <w:r>
        <w:rPr>
          <w:rFonts w:ascii="宋体" w:hAnsi="Calibri" w:cs="宋体"/>
          <w:color w:val="000000" w:themeColor="text1"/>
          <w:szCs w:val="21"/>
          <w14:textFill>
            <w14:solidFill>
              <w14:schemeClr w14:val="tx1"/>
            </w14:solidFill>
          </w14:textFill>
        </w:rPr>
        <w:t>7</w:t>
      </w:r>
      <w:r>
        <w:rPr>
          <w:rFonts w:hint="eastAsia" w:ascii="宋体" w:hAnsi="Calibri" w:cs="宋体"/>
          <w:color w:val="000000" w:themeColor="text1"/>
          <w:szCs w:val="21"/>
          <w14:textFill>
            <w14:solidFill>
              <w14:schemeClr w14:val="tx1"/>
            </w14:solidFill>
          </w14:textFill>
        </w:rPr>
        <w:t>、除依据法律法规、《基金合同》及其他有关规定外，基金托管人不得委托第三人托管基金财产。</w:t>
      </w:r>
    </w:p>
    <w:p w14:paraId="3AFE0F4B">
      <w:pPr>
        <w:spacing w:line="360" w:lineRule="auto"/>
        <w:ind w:firstLine="420"/>
        <w:jc w:val="left"/>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（二）《基金合同》生效前募集资金及股票的验资和入账</w:t>
      </w:r>
    </w:p>
    <w:p w14:paraId="61AF13AA">
      <w:pPr>
        <w:spacing w:line="360" w:lineRule="auto"/>
        <w:ind w:firstLine="420"/>
        <w:jc w:val="left"/>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1、基金募集期间募集的资金应存于基金管理人在具有托管资格的银行开立的“基金募集专户”，该账户由基金管理人开立并管理。募集的股票按照交易所和登记结算机构的规则和流程办理股票的冻结与过户。</w:t>
      </w:r>
    </w:p>
    <w:p w14:paraId="3F9D8CB5">
      <w:pPr>
        <w:spacing w:line="360" w:lineRule="auto"/>
        <w:ind w:firstLine="420"/>
        <w:jc w:val="left"/>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基金募集期满或基金管理人宣布停止募集时，募集的基金份额总额、基金募集金额（含网下股票认购所募集的股票按《基金合同》约定的估值方法计算的价值）、基金份额持有人人数符合《基金法》、《运作办法》等有关规定后，基金管理人应将属于本基金财产的全部资金和股票划入在基金托管人为本基金开立的基金银行账户和证券账户，网下股票认购所募集的股票予以冻结。同时在规定时间内，由基金管理人在法定期限内聘请符合《中华人民共和国证券法》规定的会计师事务所对基金进行验资，并出具验资报告，出具的验资报告应由参加验资的2名以上(含2名)中国注册会计师签字方为有效。</w:t>
      </w:r>
    </w:p>
    <w:p w14:paraId="1A2BDB24">
      <w:pPr>
        <w:spacing w:line="360" w:lineRule="auto"/>
        <w:ind w:firstLine="420"/>
        <w:jc w:val="left"/>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2、若基金募集期限届满，未能达到《基金合同》生效的条件，由基金管理人或相关机构按规定办理退款、股票解冻及返还等事宜，基金托管人应提供必要的协助。</w:t>
      </w:r>
    </w:p>
    <w:p w14:paraId="65C0692B">
      <w:pPr>
        <w:spacing w:line="360" w:lineRule="auto"/>
        <w:ind w:firstLine="420"/>
        <w:jc w:val="left"/>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（三）基金的银行账户的开设和管理</w:t>
      </w:r>
    </w:p>
    <w:p w14:paraId="218F7A81">
      <w:pPr>
        <w:spacing w:line="360" w:lineRule="auto"/>
        <w:ind w:firstLine="420"/>
        <w:jc w:val="left"/>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1、基金托管人应负责本基金的银行账户的开设和管理。</w:t>
      </w:r>
    </w:p>
    <w:p w14:paraId="185B5F36">
      <w:pPr>
        <w:spacing w:line="360" w:lineRule="auto"/>
        <w:ind w:firstLine="420"/>
        <w:jc w:val="left"/>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2、基金托管人以本基金的名义在具有基金托管资格的商业银行开设本基金的银行账户。本基金的银行预留印鉴为“中信证券股份有限公司托管业务结算专用章”和基金托管人有权人名章。本基金的一切货币收支活动，包括但不限于投资、支付赎回金额、支付基金收益、收取申购款，均需通过本基金的银行账户进行。</w:t>
      </w:r>
    </w:p>
    <w:p w14:paraId="046064E0">
      <w:pPr>
        <w:spacing w:line="360" w:lineRule="auto"/>
        <w:ind w:firstLine="420"/>
        <w:jc w:val="left"/>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3、本基金银行账户的开立和使用，限于满足开展本基金业务的需要。基金托管人和基金管理人不得假借本基金的名义开立其他任何银行账户；亦不得使用本基金的银行账户进行本基金业务以外的活动。</w:t>
      </w:r>
    </w:p>
    <w:p w14:paraId="010A9914">
      <w:pPr>
        <w:spacing w:line="360" w:lineRule="auto"/>
        <w:ind w:firstLine="420"/>
        <w:jc w:val="left"/>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4、本基金托管账户的开立和管理应符合法律法规及银行业监督管理机构的有关规定。</w:t>
      </w:r>
    </w:p>
    <w:p w14:paraId="0E9F547C">
      <w:pPr>
        <w:spacing w:line="360" w:lineRule="auto"/>
        <w:ind w:firstLine="420"/>
        <w:jc w:val="left"/>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（四）基金证券账户和证券资金账户的开设和管理</w:t>
      </w:r>
    </w:p>
    <w:p w14:paraId="1178BFB7">
      <w:pPr>
        <w:spacing w:line="360" w:lineRule="auto"/>
        <w:ind w:firstLine="420"/>
        <w:jc w:val="left"/>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1、基金托管人应当代表本基金，以基金托管人和本基金联名的方式在中国证券登记结算有限责任公司开设证券账户。</w:t>
      </w:r>
    </w:p>
    <w:p w14:paraId="605F83F7">
      <w:pPr>
        <w:spacing w:line="360" w:lineRule="auto"/>
        <w:ind w:firstLine="420"/>
        <w:jc w:val="left"/>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2、本基金证券账户的开立和使用，限于满足开展本基金业务的需要。基金托管人和基金管理人不得出借或未经另一方同意擅自转让本基金的证券账户；亦不得使用本基金的证券账户进行本基金业务以外的活动。</w:t>
      </w:r>
    </w:p>
    <w:p w14:paraId="4B5690EE">
      <w:pPr>
        <w:spacing w:line="360" w:lineRule="auto"/>
        <w:ind w:firstLine="420"/>
        <w:jc w:val="left"/>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3、基金证券账户的开立由基金托管人负责，账户资产的管理和运用由基金管理人负责。</w:t>
      </w:r>
    </w:p>
    <w:p w14:paraId="5302D5B9">
      <w:pPr>
        <w:spacing w:line="360" w:lineRule="auto"/>
        <w:ind w:firstLine="420"/>
        <w:jc w:val="left"/>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4、证券账户开立后，证券经纪商选择指定营业网点为本基金开立证券资金账户，并通知基金托管人，该证券资金账户与基金银行账户之间建立银证转账对应关系。</w:t>
      </w:r>
    </w:p>
    <w:p w14:paraId="2ECDFD30">
      <w:pPr>
        <w:spacing w:line="360" w:lineRule="auto"/>
        <w:ind w:firstLine="420"/>
        <w:jc w:val="left"/>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5、交易所证券交易资金采用第三方存管模式，即用于证券交易结算资金全额存放在基金管理人为基金开设的证券资金账户中，场内的证券交易资金清算由基金管理人所选择的证券公司负责。基金托管人不负责办理场内的证券交易资金清算，也不负责保管证券资金账户内存放的资金。</w:t>
      </w:r>
    </w:p>
    <w:p w14:paraId="2F76F241">
      <w:pPr>
        <w:spacing w:line="360" w:lineRule="auto"/>
        <w:ind w:firstLine="420"/>
        <w:jc w:val="left"/>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6、在本托管协议生效日之后，本基金被允许从事其他投资品种的投资业务的，涉及相关账户的开设、使用的，若无相关规定，则基金托管人应当比照并遵守上述关于账户开设、使用的规定。</w:t>
      </w:r>
    </w:p>
    <w:p w14:paraId="01387CF6">
      <w:pPr>
        <w:spacing w:line="360" w:lineRule="auto"/>
        <w:ind w:firstLine="420"/>
        <w:jc w:val="left"/>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（五）债券托管账户的开设和管理</w:t>
      </w:r>
    </w:p>
    <w:p w14:paraId="6F1E9892">
      <w:pPr>
        <w:spacing w:line="360" w:lineRule="auto"/>
        <w:ind w:firstLine="420"/>
        <w:jc w:val="left"/>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基金合同》生效后，基金管理人负责以基金的名义申请并取得进入全国银行间同业拆借市场的交易资格，并代表基金进行交易；基金托管人根据中国人民银行、银行间市场登记结算机构的有关规定，以基金的名义在中央国债登记结算有限责任公司、银行间市场清算所股份有限公司开设银行间债券市场债券托管账户和资金结算专户，并代表基金进行银行间债券市场债券和资金的清算。基金管理人和基金托管人应共同负责完成银行间债券市场准入备案。</w:t>
      </w:r>
    </w:p>
    <w:p w14:paraId="03D00384">
      <w:pPr>
        <w:spacing w:line="360" w:lineRule="auto"/>
        <w:ind w:firstLine="420"/>
        <w:jc w:val="left"/>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（六）期货账户的开设和管理</w:t>
      </w:r>
    </w:p>
    <w:p w14:paraId="5E23A250">
      <w:pPr>
        <w:spacing w:line="360" w:lineRule="auto"/>
        <w:ind w:firstLine="420"/>
        <w:jc w:val="left"/>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基金管理人根据投资需要按照规定开立期货保证金账户及期货交易编码等。完成上述账户开立后，基金管理人应以书面形式将期货公司提供的期货保证金账户的初始资金密码和市场监控中心的登录用户名及密码告知基金托管人。资金密码和市场监控中心登录密码重置由基金管理人进行，重置后务必及时通知托管人。</w:t>
      </w:r>
    </w:p>
    <w:p w14:paraId="1816BC38">
      <w:pPr>
        <w:spacing w:line="360" w:lineRule="auto"/>
        <w:ind w:firstLine="420"/>
        <w:jc w:val="left"/>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基金托管人和基金管理人应当在开户过程中相互配合，并提供所需资料。基金管理人保证所提供的账户开户材料的真实性和有效性，且在相关资料变更后及时将变更的资料提供给基金托管人。</w:t>
      </w:r>
    </w:p>
    <w:p w14:paraId="3B3F6C10">
      <w:pPr>
        <w:spacing w:line="360" w:lineRule="auto"/>
        <w:ind w:firstLine="420"/>
        <w:jc w:val="left"/>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（七）其他账户的开立和管理</w:t>
      </w:r>
    </w:p>
    <w:p w14:paraId="0B2172BD">
      <w:pPr>
        <w:spacing w:line="360" w:lineRule="auto"/>
        <w:ind w:firstLine="420"/>
        <w:jc w:val="left"/>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1、因业务发展需要而开立的其他账户，可以根据法律法规和《基金合同》的规定，由基金管理人协助基金托管人按照有关法律法规和本协议的约定协商后开立。新账户按有关规定使用并管理。</w:t>
      </w:r>
    </w:p>
    <w:p w14:paraId="1D3B76BB">
      <w:pPr>
        <w:spacing w:line="360" w:lineRule="auto"/>
        <w:ind w:firstLine="420"/>
        <w:jc w:val="left"/>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2、法律法规等有关规定对相关账户的开立和管理另有规定的，从其规定办理。</w:t>
      </w:r>
    </w:p>
    <w:p w14:paraId="0D46B502">
      <w:pPr>
        <w:spacing w:line="360" w:lineRule="auto"/>
        <w:ind w:firstLine="420"/>
        <w:jc w:val="left"/>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（八）基金投资银行存款账户的开立和管理</w:t>
      </w:r>
    </w:p>
    <w:p w14:paraId="6C9AD5BB">
      <w:pPr>
        <w:spacing w:line="360" w:lineRule="auto"/>
        <w:ind w:firstLine="420"/>
        <w:jc w:val="left"/>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基金投资银行定期存款应由基金管理人与存款银行总行或其授权分行签订总体合作协议，并将资金存放于存款银行总行或其授权分行指定的分支机构。</w:t>
      </w:r>
    </w:p>
    <w:p w14:paraId="0B065621">
      <w:pPr>
        <w:spacing w:line="360" w:lineRule="auto"/>
        <w:ind w:firstLine="420"/>
        <w:jc w:val="left"/>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存款账户必须以基金名义开立，账户名称为基金名称，存款账户开户文件上加盖预留印鉴及基金管理人公章。预留印鉴为“中信证券股份有限公司托管业务结算专用章”和基金托管人有权人名章。存款证实书原件由托管人负责保管。</w:t>
      </w:r>
    </w:p>
    <w:p w14:paraId="0D22F8BF">
      <w:pPr>
        <w:spacing w:line="360" w:lineRule="auto"/>
        <w:ind w:firstLine="420"/>
        <w:jc w:val="left"/>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本基金投资银行存款时，基金管理人应当与存款银行签订具体存款协议，明确存款的类型、期限、利率、金额、账号、对账方式、支取方式、账户管理等细则。存款协议须约定将托管人为本基金开立的托管银行账户指定为唯一回款账户，任何情况下，存款银行都不得将存款本息划往任何其他账户。</w:t>
      </w:r>
    </w:p>
    <w:p w14:paraId="11AD792D">
      <w:pPr>
        <w:spacing w:line="360" w:lineRule="auto"/>
        <w:ind w:firstLine="420"/>
        <w:jc w:val="left"/>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为防范特殊情况下的流动性风险，定期存款协议中应当约定提前支取条款。</w:t>
      </w:r>
    </w:p>
    <w:p w14:paraId="470E7941">
      <w:pPr>
        <w:spacing w:line="360" w:lineRule="auto"/>
        <w:ind w:firstLine="420"/>
        <w:jc w:val="left"/>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基金所投资定期存款存续期间，基金管理人、基金托管人应当与存款银行建立定期对账机制，确保基金银行存款业务账目及核对的真实、准确。</w:t>
      </w:r>
    </w:p>
    <w:p w14:paraId="114E9E83">
      <w:pPr>
        <w:spacing w:line="360" w:lineRule="auto"/>
        <w:ind w:firstLine="420"/>
        <w:jc w:val="left"/>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（九）基金财产投资的有关有价凭证的保管</w:t>
      </w:r>
    </w:p>
    <w:p w14:paraId="1023D0A6">
      <w:pPr>
        <w:spacing w:line="360" w:lineRule="auto"/>
        <w:ind w:firstLine="420"/>
        <w:jc w:val="left"/>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实物证券、银行定期存款存单等有价凭证由基金托管人存放于其档案库或保险柜，但要与非本基金的其他有价凭证分开保管。保管凭证由基金托管人持有，基金托管人承担保管职责。基金托管人对由基金托管人以外机构实际有效控制的证券不承担保管责任。</w:t>
      </w:r>
    </w:p>
    <w:p w14:paraId="4908279A">
      <w:pPr>
        <w:spacing w:line="360" w:lineRule="auto"/>
        <w:ind w:firstLine="420"/>
        <w:jc w:val="left"/>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（十）与基金财产有关的重大合同及有关凭证的保管</w:t>
      </w:r>
    </w:p>
    <w:p w14:paraId="58E41ABB">
      <w:pPr>
        <w:spacing w:line="360" w:lineRule="auto"/>
        <w:ind w:firstLine="420"/>
        <w:jc w:val="left"/>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基金托管人按照法律法规保管由基金管理人代表基金签署的与基金有关的重大合同及有关凭证。基金管理人代表基金签署有关重大合同后应在收到合同正本后30日内将一份正本的原件提交给基金托管人。除本协议另有规定外，基金管理人在代表基金签署与基金有关的重大合同时应保证基金一方持有两份以上的正本，以便基金管理人和基金托管人至少各持有一份正本的原件。重大合同的保管期限不少于法律法规的规定。</w:t>
      </w:r>
    </w:p>
    <w:p w14:paraId="3CE3706B">
      <w:pPr>
        <w:spacing w:line="360" w:lineRule="auto"/>
        <w:ind w:firstLine="420" w:firstLineChars="0"/>
        <w:jc w:val="left"/>
        <w:rPr>
          <w:color w:val="000000" w:themeColor="text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对于无法取得二份以上的正本的，基金管理人应向基金托管人提供与合同原件核对一致的并加盖基金管理人公章的合同传真件或复印件或扫描件，未经双方协商一致，合同原件不得转移。</w:t>
      </w:r>
    </w:p>
    <w:bookmarkEnd w:id="199"/>
    <w:bookmarkEnd w:id="200"/>
    <w:p w14:paraId="2206F637">
      <w:pPr>
        <w:spacing w:line="360" w:lineRule="auto"/>
        <w:ind w:firstLine="422" w:firstLineChars="200"/>
        <w:rPr>
          <w:rFonts w:hint="eastAsia" w:ascii="宋体" w:hAnsi="宋体" w:cs="Arial"/>
          <w:b/>
          <w:szCs w:val="21"/>
        </w:rPr>
      </w:pPr>
      <w:r>
        <w:rPr>
          <w:rFonts w:hint="eastAsia" w:ascii="宋体" w:hAnsi="宋体" w:cs="Arial"/>
          <w:b/>
          <w:szCs w:val="21"/>
        </w:rPr>
        <w:t>五</w:t>
      </w:r>
      <w:r>
        <w:rPr>
          <w:rFonts w:ascii="宋体" w:hAnsi="宋体" w:cs="Arial"/>
          <w:b/>
          <w:szCs w:val="21"/>
        </w:rPr>
        <w:t>、</w:t>
      </w:r>
      <w:bookmarkEnd w:id="201"/>
      <w:bookmarkEnd w:id="202"/>
      <w:bookmarkEnd w:id="203"/>
      <w:bookmarkEnd w:id="204"/>
      <w:bookmarkEnd w:id="205"/>
      <w:bookmarkEnd w:id="206"/>
      <w:bookmarkEnd w:id="207"/>
      <w:r>
        <w:rPr>
          <w:rFonts w:hint="eastAsia" w:ascii="宋体" w:hAnsi="宋体" w:cs="Arial"/>
          <w:b/>
          <w:szCs w:val="21"/>
        </w:rPr>
        <w:t>基金资产净值计算和会计核算</w:t>
      </w:r>
    </w:p>
    <w:p w14:paraId="36DDE3F0">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（一）基金资产净值的计算和复核</w:t>
      </w:r>
    </w:p>
    <w:p w14:paraId="67BBCCBE">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1、基金资产净值</w:t>
      </w:r>
    </w:p>
    <w:p w14:paraId="0A99E8B7">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基金资产净值是指基金资产总值减去负债后的价值。</w:t>
      </w:r>
    </w:p>
    <w:p w14:paraId="4BFBF75B">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份额净值按照每个估值日闭市后，基金资产净值除以当日基金份额的余额数量计算，精确到0.0001元，小数点后第五位四舍五入，由此产生的误差计入基金财产。基金管理人可以设立大额赎回情形下的净值精度应急调整机制。法律法规另有规定的，从其规定。</w:t>
      </w:r>
    </w:p>
    <w:p w14:paraId="17F8D3E2">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2、复核程序</w:t>
      </w:r>
    </w:p>
    <w:p w14:paraId="5D3AAFDD">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管理人应每个估值日对基金资产估值，但基金管理人根据法律法规或《基金合同》的规定暂停估值时除外。估值原则应符合《基金合同》、《证券投资基金会计核算业务指引》及其他法律、法规的规定。用于基金信息披露的基金资产净值和基金份额净值由基金管理人负责计算，基金托管人复核。基金管理人应于每个估值日对基金资产估值后，将基金资产净值、基金份额净值以双方认可的方式发送给基金托管人。基金托管人对净值计算结果复核后以双方认可的方式发送给基金管理人，由基金管理人按规定对基金净值予以公布。</w:t>
      </w:r>
    </w:p>
    <w:p w14:paraId="01117BF2">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根据《基金法》，基金管理人计算并公告基金资产净值，基金托管人复核、审查基金管理人计算的基金资产净值。因此，本基金的会计责任方是基金管理人，就与本基金有关的会计问题，如经相关各方在平等基础上充分讨论后，仍无法达成一致的意见，按照基金管理人对基金资产净值的计算结果对外予以公布。法律法规以及监管部门有强制规定的，从其规定。如有新增事项，按最新规定估值。</w:t>
      </w:r>
    </w:p>
    <w:p w14:paraId="02D788C4">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（二）基金资产估值方法</w:t>
      </w:r>
    </w:p>
    <w:p w14:paraId="466C27B6">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估值对象如下：</w:t>
      </w:r>
    </w:p>
    <w:p w14:paraId="5831B726">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基金所拥有的股票（含存托凭证）、债券、股指期货合约、国债期货合约、股票期权合约和银行存款本息、应收款项、资产支持证券、其它投资等资产及负债。</w:t>
      </w:r>
    </w:p>
    <w:p w14:paraId="22BD7FD3">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估值方法如下：</w:t>
      </w:r>
    </w:p>
    <w:p w14:paraId="201371D1">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交易所上市或挂牌转让的有价证券（包括股票等，基金合同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493266E0">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2、对于已上市或已挂牌转让的不含权固定收益品种，选取估值日第三方估值基准服务机构提供的相应品种当日的估值全价进行估值。</w:t>
      </w:r>
    </w:p>
    <w:p w14:paraId="223BFFF6">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3、对于已上市或已挂牌转让的含权固定收益品种，选取估值日第三方估值基准服务机构提供的相应品种当日的唯一估值全价或推荐估值全价进行估值。</w:t>
      </w:r>
    </w:p>
    <w:p w14:paraId="7309CA9D">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24A3707A">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4、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6C2F0470">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5、对于未上市或未挂牌转让且不存在活跃市场的固定收益品种，应采用在当前情况下适用并且有足够可利用数据和其他信息支持的估值技术确定其公允价值。</w:t>
      </w:r>
    </w:p>
    <w:p w14:paraId="48C1A286">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6、处于未上市期间的股票应区分如下情况处理：</w:t>
      </w:r>
    </w:p>
    <w:p w14:paraId="793AADF6">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（1）送股、转增股、配股和公开增发的新股，按估值日在证券交易所挂牌的同一股票的估值方法估值；该日无交易的，以最近一日的市价（收盘价）估值；</w:t>
      </w:r>
    </w:p>
    <w:p w14:paraId="20139DC7">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（2）首次公开发行未上市的股票，采用估值技术确定公允价值；</w:t>
      </w:r>
    </w:p>
    <w:p w14:paraId="525FCB6F">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76424AA3">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7、本基金投资存托凭证的估值核算，依照境内上市交易的股票执行。</w:t>
      </w:r>
    </w:p>
    <w:p w14:paraId="12BCC22F">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8、同一证券同时在两个或两个以上市场交易的，按证券所处的市场分别估值。</w:t>
      </w:r>
    </w:p>
    <w:p w14:paraId="4D2335A6">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9、本基金参与股指期货、国债期货合约交易，一般以估值当日结算价确定公允价值，估值当日无结算价的，且最近交易日后未发生影响公允价值计量的重大事件的，采用最近交易日结算价估值。</w:t>
      </w:r>
    </w:p>
    <w:p w14:paraId="0C831FAC">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10、本基金投资股票期权，根据相关法律法规以及监管部门的规定估值。</w:t>
      </w:r>
    </w:p>
    <w:p w14:paraId="71B3D3F1">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11、本基金参与融资及转融通证券出借业务的，应参照法律法规及行业协会的相关规定进行估值。</w:t>
      </w:r>
    </w:p>
    <w:p w14:paraId="15671EFD">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12、如有确凿证据表明按上述方法进行估值不能客观反映其公允价值的，基金管理人可根据具体情况与基金托管人商定后，按最能反映公允价值的方法估值。</w:t>
      </w:r>
    </w:p>
    <w:p w14:paraId="24DAE5A9">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13、相关法律法规以及监管部门有强制规定的，从其规定。如有新增事项，按国家最新规定估值。</w:t>
      </w:r>
    </w:p>
    <w:p w14:paraId="4B818325">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如基金管理人或基金托管人发现基金估值违反基金合同订明的估值方法、程序及相关法律法规的规定或者未能充分维护基金份额持有人利益时，应立即通知对方，共同查明原因，双方协商解决。</w:t>
      </w:r>
    </w:p>
    <w:p w14:paraId="193A8277">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46C68586">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（三）基金份额净值错误的处理方式</w:t>
      </w:r>
    </w:p>
    <w:p w14:paraId="449F9003">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基金管理人和基金托管人将采取必要、适当、合理的措施确保基金资产估值的准确性、及时性。当基金份额净值小数点后4位以内(含第4位)发生估值错误时，视为基金份额净值错误。</w:t>
      </w:r>
    </w:p>
    <w:p w14:paraId="0FC47ADB">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基金合同的当事人应按照以下约定处理：</w:t>
      </w:r>
    </w:p>
    <w:p w14:paraId="35E21DAC">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1、估值错误类型</w:t>
      </w:r>
    </w:p>
    <w:p w14:paraId="2DBAADD2">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20D9CCF4">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上述估值错误的主要类型包括但不限于：资料申报差错、数据传输差错、数据计算差错、系统故障差错、下达指令差错等。</w:t>
      </w:r>
    </w:p>
    <w:p w14:paraId="3DDB3EF2">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2、估值错误处理原则</w:t>
      </w:r>
    </w:p>
    <w:p w14:paraId="28D85222">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2AAC51AB">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（2）估值错误的责任方对有关当事人的直接损失负责，不对间接损失负责，并且仅对估值错误的有关直接当事人负责，不对第三方负责。</w:t>
      </w:r>
    </w:p>
    <w:p w14:paraId="7B6FACED">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6BC3D8F8">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（4）估值错误调整采用尽量恢复至假设未发生估值错误的正确情形的方式。</w:t>
      </w:r>
    </w:p>
    <w:p w14:paraId="576EE343">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3、估值错误处理程序</w:t>
      </w:r>
    </w:p>
    <w:p w14:paraId="156227E6">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估值错误被发现后，有关的当事人应当及时进行处理，处理的程序如下：</w:t>
      </w:r>
    </w:p>
    <w:p w14:paraId="1244897A">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（1）查明估值错误发生的原因，列明所有的当事人，并根据估值错误发生的原因确定估值错误的责任方；</w:t>
      </w:r>
    </w:p>
    <w:p w14:paraId="4399241E">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（2）根据估值错误处理原则或当事人协商的方法对因估值错误造成的损失进行评估；</w:t>
      </w:r>
    </w:p>
    <w:p w14:paraId="67091BE7">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（3）根据估值错误处理原则或当事人协商的方法由估值错误的责任方进行更正和赔偿损失；</w:t>
      </w:r>
    </w:p>
    <w:p w14:paraId="6F20F68D">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（4）根据估值错误处理的方法，需要修改基金登记机构交易数据的，由基金登记机构进行更正，并就估值错误的更正向有关当事人进行确认。</w:t>
      </w:r>
    </w:p>
    <w:p w14:paraId="3CB6A0A7">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4、基金份额净值估值错误处理的方法如下：</w:t>
      </w:r>
    </w:p>
    <w:p w14:paraId="086A351E">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（1）基金份额净值计算出现错误时，基金管理人应当立即予以纠正，通报基金托管人，并采取合理的措施防止损失进一步扩大。</w:t>
      </w:r>
    </w:p>
    <w:p w14:paraId="170343F0">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（2）错误偏差达到基金份额净值的0.25%时，基金管理人应当通报基金托管人并报中国证监会备案；错误偏差达到基金份额净值的0.5%时，基金管理人应当公告，通知基金托管人，并报中国证监会备案。</w:t>
      </w:r>
    </w:p>
    <w:p w14:paraId="03F3F7E0">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（3）前述内容如法律法规或监管机关另有规定的，从其规定处理。如果行业另有通行做法，基金管理人和基金托管人应本着平等和保护基金份额持有人利益的原则进行协商。</w:t>
      </w:r>
    </w:p>
    <w:p w14:paraId="781AB965">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4）由于本基金的基金会计责任方由基金管理人担任，与本基金有关的会计问题，如经双方在平等基础上充分讨论后，尚不能达成一致的，基金管理人向基金托管人出具加盖公章的书面说明后，按基金管理人的建议执行，由此给基金份额持有人和基金财产造成的损失，由基金管理人负责赔付。</w:t>
      </w:r>
    </w:p>
    <w:p w14:paraId="77C2DD1E">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5）若基金管理人计算的基金份额净值已由基金托管人复核确认后公告，而且基金托管人未对计算过程提出疑义或要求基金管理人书面说明，基金份额净值出错且造成基金份额持有人损失的，应根据法律法规的规定对投资者或基金支付赔偿金，就实际向投资者或基金支付的赔偿金额，基金管理人与基金托管人按照过错责任承担。</w:t>
      </w:r>
    </w:p>
    <w:p w14:paraId="2173C54E">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6）如基金管理人和基金托管人对基金资产净值和基金份额净值的计算结果，虽然多次重新计算和核对仍不能达成一致时，为避免不能按时披露净值的情形，以基金管理人的计算结果对外披露，由此给基金份额持有人和基金造成的损失，基金托管人予以免责。</w:t>
      </w:r>
    </w:p>
    <w:p w14:paraId="1DF5E3A6">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7）由于一方当事人提供的信息错误，另一方当事人在采取了必要合理的措施后仍不能发现该错误，进而导致净值计算错误造成基金份额持有人的损失，以及由此造成以后交易日净值计算顺延错误而引起的基金份额持有人的损失，由提供错误信息的当事人一方负责赔偿。</w:t>
      </w:r>
    </w:p>
    <w:p w14:paraId="31F72BFA">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5、特殊情况的处理</w:t>
      </w:r>
    </w:p>
    <w:p w14:paraId="341F4D82">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（1）基金管理人或基金托管人按本协议约定的估值方法的第（12）项进行估值时，所造成的误差不作为基金资产估值错误处理。</w:t>
      </w:r>
    </w:p>
    <w:p w14:paraId="2149DFFF">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由于不可抗力原因，或证券/期货交易所、指数编制机构及登记结算公司等第三方机构发送的数据错误、遗漏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w:t>
      </w:r>
    </w:p>
    <w:p w14:paraId="74BAA0EE">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（四）暂停估值的情形</w:t>
      </w:r>
    </w:p>
    <w:p w14:paraId="14CF69C5">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1、基金投资所涉及的证券/期货交易市场遇法定节假日或因其他原因暂停营业时；</w:t>
      </w:r>
    </w:p>
    <w:p w14:paraId="3067CC65">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2、因不可抗力或者其他情形致使基金管理人、基金托管人无法准确评估基金资产价值时；</w:t>
      </w:r>
    </w:p>
    <w:p w14:paraId="2C236D1F">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3、当前一估值日基金资产净值50%以上的资产出现无可参考的活跃市场价格且采用估值技术仍导致公允价值存在重大不确定性时，经与基金托管人协商确认后，基金管理人应当暂停估值；</w:t>
      </w:r>
    </w:p>
    <w:p w14:paraId="3CF930F4">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4、法律法规、中国证监会和基金合同认定的其它情形。</w:t>
      </w:r>
    </w:p>
    <w:p w14:paraId="507AAFBF">
      <w:pPr>
        <w:spacing w:line="360" w:lineRule="auto"/>
        <w:ind w:firstLine="420"/>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（五）基金会计制度</w:t>
      </w:r>
    </w:p>
    <w:p w14:paraId="4694E6F5">
      <w:pPr>
        <w:spacing w:line="360" w:lineRule="auto"/>
        <w:ind w:firstLine="420"/>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按国家有关部门规定的会计制度执行。</w:t>
      </w:r>
    </w:p>
    <w:p w14:paraId="57652330">
      <w:pPr>
        <w:spacing w:line="360" w:lineRule="auto"/>
        <w:ind w:firstLine="420"/>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（六）基金账册的建立</w:t>
      </w:r>
    </w:p>
    <w:p w14:paraId="60E1D871">
      <w:pPr>
        <w:spacing w:line="360" w:lineRule="auto"/>
        <w:ind w:firstLine="420"/>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基金管理人和基金托管人在《基金合同》生效后，应按照双方约定的同一记账方法和会计处理原则，分别独立地设置、登记和保管基金的全套账册，对双方各自的账册定期进行核对，互相监督，以保证基金财产的安全。若双方对会计处理方法存在分歧，应以基金管理人的处理方法为准。</w:t>
      </w:r>
    </w:p>
    <w:p w14:paraId="0133E258">
      <w:pPr>
        <w:spacing w:line="360" w:lineRule="auto"/>
        <w:ind w:firstLine="420"/>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经对账发现相关各方的账目存在不符的，基金管理人和基金托管人必须及时查明原因并纠正，保证相关各方平行登录的账册记录完全相符。若当日核对不符，暂时无法查找到错账的原因而影响到基金资产净值的计算和公告的，以基金管理人的账册为准。</w:t>
      </w:r>
    </w:p>
    <w:p w14:paraId="0AE58ECE">
      <w:pPr>
        <w:spacing w:line="360" w:lineRule="auto"/>
        <w:ind w:firstLine="420"/>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（七）基金财务报表和定期报告的编制和复核</w:t>
      </w:r>
    </w:p>
    <w:p w14:paraId="7616EFEE">
      <w:pPr>
        <w:spacing w:line="360" w:lineRule="auto"/>
        <w:ind w:firstLine="420"/>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1、财务报表的编制</w:t>
      </w:r>
    </w:p>
    <w:p w14:paraId="219CCA9B">
      <w:pPr>
        <w:spacing w:line="360" w:lineRule="auto"/>
        <w:ind w:firstLine="420"/>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基金财务报表由基金管理人和基金托管人每月分别独立编制。月度报表的编制，应于每月终了后5个工作日内完成；《基金合同》生效后，基金招募说明书、基金产品资料概要的信息发生重大变更的，基金管理人应当在三个工作日内，更新基金招募说明书和基金产品资料概要，并登载在规定网站上，其中基金产品资料概要还应当登载在基金销售机构网站或营业网点；基金招募说明书、基金产品资料概要其他信息发生变更的，基金管理人至少每年更新一次。基金终止运作的，基金管理人不再更新基金招募说明书和基金产品资料概要。季度报告应在季度结束之日起15个工作日内予以公告；中期报告在会计年度半年终了后两个月内予以公告；年度报告在会计年度终了后三个月内予以公告。《基金合同》生效不足2个月的，基金管理人可以不编制当期季度报告、中期报告或者年度报告。</w:t>
      </w:r>
    </w:p>
    <w:p w14:paraId="6BCDFB7D">
      <w:pPr>
        <w:spacing w:line="360" w:lineRule="auto"/>
        <w:ind w:firstLine="420"/>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2、报表复核</w:t>
      </w:r>
    </w:p>
    <w:p w14:paraId="56630CC3">
      <w:pPr>
        <w:spacing w:line="360" w:lineRule="auto"/>
        <w:ind w:firstLine="420"/>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基金管理人在月度报表完成当日，将报表盖章后提供给基金托管人复核；基金托管人在收到后应在3日内进行复核，并将复核结果书面通知基金管理人。基金管理人在季度报告完成当日，将有关报告提供给基金托管人复核，基金托管人应在收到后7个工作日内完成复核，并将复核结果书面通知基金管理人。基金管理人在中期报告完成当日，将有关报告提供给基金托管人复核，基金托管人应在收到后30个工作日内完成复核，并将复核结果书面通知基金管理人。基金管理人在年度报告完成当日，将有关报告提供基金托管人复核，基金托管人应在收到后45个工作日内完成复核，并将复核结果书面通知基金管理人。基金管理人和基金托管人之间的上述文件往来均以传真的方式或双方商定的其他方式进行。</w:t>
      </w:r>
    </w:p>
    <w:p w14:paraId="38B65296">
      <w:pPr>
        <w:spacing w:line="360" w:lineRule="auto"/>
        <w:ind w:firstLine="420"/>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基金托管人在复核过程中，发现双方的报表存在不符时，基金管理人和基金托管人应共同查明原因，进行调整，调整以双方认可的账务处理方式为准；若双方无法达成一致，以基金管理人的账务处理为准。核对无误后，基金托管人在基金管理人提供的报告上加盖业务印鉴或者出具加盖业务印鉴的复核意见书或进行电子确认，双方各自留存一份。如果基金管理人与基金托管人不能于应当发布公告之日之前就相关报表达成一致，基金管理人有权按照其编制的报表对外发布公告，基金托管人有权就相关情况报中国证监会备案。</w:t>
      </w:r>
    </w:p>
    <w:p w14:paraId="70D22E1C">
      <w:pPr>
        <w:spacing w:line="360" w:lineRule="auto"/>
        <w:ind w:firstLine="420"/>
        <w:rPr>
          <w:rFonts w:ascii="宋体" w:hAnsi="Calibri" w:cs="宋体"/>
          <w:color w:val="000000" w:themeColor="text1"/>
          <w:szCs w:val="21"/>
          <w14:textFill>
            <w14:solidFill>
              <w14:schemeClr w14:val="tx1"/>
            </w14:solidFill>
          </w14:textFill>
        </w:rPr>
      </w:pPr>
      <w:r>
        <w:rPr>
          <w:rFonts w:hint="eastAsia" w:ascii="宋体" w:hAnsi="Calibri" w:cs="宋体"/>
          <w:color w:val="000000" w:themeColor="text1"/>
          <w:szCs w:val="21"/>
          <w14:textFill>
            <w14:solidFill>
              <w14:schemeClr w14:val="tx1"/>
            </w14:solidFill>
          </w14:textFill>
        </w:rPr>
        <w:t>基金托管人在对财务会计报告、季度报告、中期报告或年度报告复核完毕后，需盖章确认或出具相应的复核确认书或进行电子确认，以备有权机构对相关文件审核时提示。</w:t>
      </w:r>
    </w:p>
    <w:p w14:paraId="5585CA15">
      <w:pPr>
        <w:spacing w:line="360" w:lineRule="auto"/>
        <w:ind w:firstLine="420" w:firstLineChars="200"/>
        <w:rPr>
          <w:rFonts w:hint="eastAsia" w:ascii="宋体" w:hAnsi="宋体" w:cs="Arial"/>
          <w:b/>
          <w:szCs w:val="21"/>
        </w:rPr>
      </w:pPr>
      <w:r>
        <w:rPr>
          <w:rFonts w:hint="eastAsia" w:ascii="宋体" w:hAnsi="Calibri" w:cs="宋体"/>
          <w:color w:val="000000" w:themeColor="text1"/>
          <w:szCs w:val="21"/>
          <w14:textFill>
            <w14:solidFill>
              <w14:schemeClr w14:val="tx1"/>
            </w14:solidFill>
          </w14:textFill>
        </w:rPr>
        <w:t>（八）基金管理人应每季向基金托管人提供基金业绩比较基准的基础数据和编制结果。</w:t>
      </w:r>
      <w:r>
        <w:rPr>
          <w:rFonts w:hint="eastAsia" w:ascii="宋体" w:hAnsi="宋体" w:cs="Arial"/>
          <w:b/>
          <w:szCs w:val="21"/>
        </w:rPr>
        <w:t>六、基金份额持有人名册的保管</w:t>
      </w:r>
    </w:p>
    <w:p w14:paraId="00083E37">
      <w:pPr>
        <w:spacing w:line="360" w:lineRule="auto"/>
        <w:ind w:firstLine="420"/>
        <w:rPr>
          <w:color w:val="000000"/>
          <w:szCs w:val="21"/>
        </w:rPr>
      </w:pPr>
      <w:bookmarkStart w:id="208" w:name="_Toc286319598"/>
      <w:bookmarkStart w:id="209" w:name="_Toc288639820"/>
      <w:bookmarkStart w:id="210" w:name="_Toc287014247"/>
      <w:bookmarkStart w:id="211" w:name="_Toc278986835"/>
      <w:bookmarkStart w:id="212" w:name="_Toc278986895"/>
      <w:bookmarkStart w:id="213" w:name="_Toc278986610"/>
      <w:r>
        <w:rPr>
          <w:rFonts w:hint="eastAsia"/>
          <w:color w:val="000000" w:themeColor="text1"/>
          <w:szCs w:val="21"/>
          <w14:textFill>
            <w14:solidFill>
              <w14:schemeClr w14:val="tx1"/>
            </w14:solidFill>
          </w14:textFill>
        </w:rPr>
        <w:t>（一）基金份额持有人名册的保管</w:t>
      </w:r>
    </w:p>
    <w:p w14:paraId="57476E64">
      <w:pPr>
        <w:spacing w:line="360" w:lineRule="auto"/>
        <w:ind w:firstLine="420"/>
        <w:rPr>
          <w:color w:val="000000"/>
          <w:szCs w:val="21"/>
        </w:rPr>
      </w:pPr>
      <w:r>
        <w:rPr>
          <w:rFonts w:hint="eastAsia"/>
          <w:color w:val="000000" w:themeColor="text1"/>
          <w:szCs w:val="21"/>
          <w14:textFill>
            <w14:solidFill>
              <w14:schemeClr w14:val="tx1"/>
            </w14:solidFill>
          </w14:textFill>
        </w:rPr>
        <w:t>基金份额持有人名册至少应包括基金份额持有人的名称和持有的基金份额。基金份额持有人名册由基金的基金登记机构根据基金管理人的指令编制和保管，基金管理人和基金托管人应按照目前相关规则分别保管基金份额持有人名册。保管方式可以采用电子或文档的形式。保管期限不低于法定最低期限。</w:t>
      </w:r>
    </w:p>
    <w:p w14:paraId="6A62C4D3">
      <w:pPr>
        <w:spacing w:line="360" w:lineRule="auto"/>
        <w:ind w:firstLine="420"/>
        <w:rPr>
          <w:color w:val="000000"/>
          <w:szCs w:val="21"/>
        </w:rPr>
      </w:pPr>
      <w:r>
        <w:rPr>
          <w:rFonts w:hint="eastAsia"/>
          <w:color w:val="000000" w:themeColor="text1"/>
          <w:szCs w:val="21"/>
          <w14:textFill>
            <w14:solidFill>
              <w14:schemeClr w14:val="tx1"/>
            </w14:solidFill>
          </w14:textFill>
        </w:rPr>
        <w:t>在基金托管人要求或编制中期报告和年度报告前，基金管理人应将有关资料送交基金托管人，不得无故拒绝或延误提供，并保证其真实性、准确性和完整性。基金托管人不得将所保管的基金份额持有人名册用于基金托管业务以外的其他用途，并应遵守保密义务。</w:t>
      </w:r>
    </w:p>
    <w:p w14:paraId="6A25B99A">
      <w:pPr>
        <w:spacing w:line="360" w:lineRule="auto"/>
        <w:ind w:firstLine="420"/>
        <w:rPr>
          <w:color w:val="000000"/>
          <w:szCs w:val="21"/>
        </w:rPr>
      </w:pPr>
      <w:r>
        <w:rPr>
          <w:rFonts w:hint="eastAsia"/>
          <w:color w:val="000000" w:themeColor="text1"/>
          <w:szCs w:val="21"/>
          <w14:textFill>
            <w14:solidFill>
              <w14:schemeClr w14:val="tx1"/>
            </w14:solidFill>
          </w14:textFill>
        </w:rPr>
        <w:t>若基金管理人或基金托管人由于自身原因无法妥善保管基金份额持有人名册，应按有关法规规定各自承担相应的责任。</w:t>
      </w:r>
    </w:p>
    <w:p w14:paraId="444E38D0">
      <w:pPr>
        <w:spacing w:line="360" w:lineRule="auto"/>
        <w:ind w:firstLine="420"/>
        <w:rPr>
          <w:color w:val="000000"/>
          <w:szCs w:val="21"/>
        </w:rPr>
      </w:pPr>
      <w:r>
        <w:rPr>
          <w:rFonts w:hint="eastAsia"/>
          <w:color w:val="000000" w:themeColor="text1"/>
          <w:szCs w:val="21"/>
          <w14:textFill>
            <w14:solidFill>
              <w14:schemeClr w14:val="tx1"/>
            </w14:solidFill>
          </w14:textFill>
        </w:rPr>
        <w:t>（二）基金份额持有人名册的提交</w:t>
      </w:r>
    </w:p>
    <w:p w14:paraId="248B066E">
      <w:pPr>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基金管理人应当及时向基金托管人提交下列日期的基金份额持有人名册：《基金合同》生效日、《基金合同》终止日、基金份额持有人大会权益登记日、每年</w:t>
      </w:r>
      <w:r>
        <w:rPr>
          <w:color w:val="000000" w:themeColor="text1"/>
          <w:szCs w:val="21"/>
          <w14:textFill>
            <w14:solidFill>
              <w14:schemeClr w14:val="tx1"/>
            </w14:solidFill>
          </w14:textFill>
        </w:rPr>
        <w:t>6</w:t>
      </w:r>
      <w:r>
        <w:rPr>
          <w:rFonts w:hint="eastAsia"/>
          <w:color w:val="000000" w:themeColor="text1"/>
          <w:szCs w:val="21"/>
          <w14:textFill>
            <w14:solidFill>
              <w14:schemeClr w14:val="tx1"/>
            </w14:solidFill>
          </w14:textFill>
        </w:rPr>
        <w:t>月</w:t>
      </w:r>
      <w:r>
        <w:rPr>
          <w:color w:val="000000" w:themeColor="text1"/>
          <w:szCs w:val="21"/>
          <w14:textFill>
            <w14:solidFill>
              <w14:schemeClr w14:val="tx1"/>
            </w14:solidFill>
          </w14:textFill>
        </w:rPr>
        <w:t>30</w:t>
      </w:r>
      <w:r>
        <w:rPr>
          <w:rFonts w:hint="eastAsia"/>
          <w:color w:val="000000" w:themeColor="text1"/>
          <w:szCs w:val="21"/>
          <w14:textFill>
            <w14:solidFill>
              <w14:schemeClr w14:val="tx1"/>
            </w14:solidFill>
          </w14:textFill>
        </w:rPr>
        <w:t>日、每年</w:t>
      </w:r>
      <w:r>
        <w:rPr>
          <w:color w:val="000000" w:themeColor="text1"/>
          <w:szCs w:val="21"/>
          <w14:textFill>
            <w14:solidFill>
              <w14:schemeClr w14:val="tx1"/>
            </w14:solidFill>
          </w14:textFill>
        </w:rPr>
        <w:t>12</w:t>
      </w:r>
      <w:r>
        <w:rPr>
          <w:rFonts w:hint="eastAsia"/>
          <w:color w:val="000000" w:themeColor="text1"/>
          <w:szCs w:val="21"/>
          <w14:textFill>
            <w14:solidFill>
              <w14:schemeClr w14:val="tx1"/>
            </w14:solidFill>
          </w14:textFill>
        </w:rPr>
        <w:t>月</w:t>
      </w:r>
      <w:r>
        <w:rPr>
          <w:color w:val="000000" w:themeColor="text1"/>
          <w:szCs w:val="21"/>
          <w14:textFill>
            <w14:solidFill>
              <w14:schemeClr w14:val="tx1"/>
            </w14:solidFill>
          </w14:textFill>
        </w:rPr>
        <w:t>31</w:t>
      </w:r>
      <w:r>
        <w:rPr>
          <w:rFonts w:hint="eastAsia"/>
          <w:color w:val="000000" w:themeColor="text1"/>
          <w:szCs w:val="21"/>
          <w14:textFill>
            <w14:solidFill>
              <w14:schemeClr w14:val="tx1"/>
            </w14:solidFill>
          </w14:textFill>
        </w:rPr>
        <w:t>日的基金份额持有人名册。基金份额持有人名册的内容必须包括基金份额持有人的名称和持有的基金份额。其中每年</w:t>
      </w:r>
      <w:r>
        <w:rPr>
          <w:color w:val="000000" w:themeColor="text1"/>
          <w:szCs w:val="21"/>
          <w14:textFill>
            <w14:solidFill>
              <w14:schemeClr w14:val="tx1"/>
            </w14:solidFill>
          </w14:textFill>
        </w:rPr>
        <w:t>12</w:t>
      </w:r>
      <w:r>
        <w:rPr>
          <w:rFonts w:hint="eastAsia"/>
          <w:color w:val="000000" w:themeColor="text1"/>
          <w:szCs w:val="21"/>
          <w14:textFill>
            <w14:solidFill>
              <w14:schemeClr w14:val="tx1"/>
            </w14:solidFill>
          </w14:textFill>
        </w:rPr>
        <w:t>月</w:t>
      </w:r>
      <w:r>
        <w:rPr>
          <w:color w:val="000000" w:themeColor="text1"/>
          <w:szCs w:val="21"/>
          <w14:textFill>
            <w14:solidFill>
              <w14:schemeClr w14:val="tx1"/>
            </w14:solidFill>
          </w14:textFill>
        </w:rPr>
        <w:t>31</w:t>
      </w:r>
      <w:r>
        <w:rPr>
          <w:rFonts w:hint="eastAsia"/>
          <w:color w:val="000000" w:themeColor="text1"/>
          <w:szCs w:val="21"/>
          <w14:textFill>
            <w14:solidFill>
              <w14:schemeClr w14:val="tx1"/>
            </w14:solidFill>
          </w14:textFill>
        </w:rPr>
        <w:t>日的基金份额持有人名册应于下月前十个工作日内提交；《基金合同》生效日、《基金合同》终止日等涉及到基金重要事项日期的基金份额持有人名册应于发生日后十个工作日内提交。</w:t>
      </w:r>
    </w:p>
    <w:p w14:paraId="323A21CD">
      <w:pPr>
        <w:spacing w:line="360" w:lineRule="auto"/>
        <w:ind w:firstLine="422" w:firstLineChars="200"/>
        <w:rPr>
          <w:rFonts w:hint="eastAsia" w:ascii="宋体" w:hAnsi="宋体" w:cs="Arial"/>
          <w:b/>
          <w:szCs w:val="21"/>
        </w:rPr>
      </w:pPr>
      <w:r>
        <w:rPr>
          <w:rFonts w:hint="eastAsia" w:ascii="宋体" w:hAnsi="宋体" w:cs="Arial"/>
          <w:b/>
          <w:szCs w:val="21"/>
        </w:rPr>
        <w:t>七</w:t>
      </w:r>
      <w:r>
        <w:rPr>
          <w:rFonts w:ascii="宋体" w:hAnsi="宋体" w:cs="Arial"/>
          <w:b/>
          <w:szCs w:val="21"/>
        </w:rPr>
        <w:t>、</w:t>
      </w:r>
      <w:r>
        <w:rPr>
          <w:rFonts w:hint="eastAsia" w:ascii="宋体" w:hAnsi="宋体" w:cs="Arial"/>
          <w:b/>
          <w:szCs w:val="21"/>
        </w:rPr>
        <w:t>适用法律与</w:t>
      </w:r>
      <w:r>
        <w:rPr>
          <w:rFonts w:ascii="宋体" w:hAnsi="宋体" w:cs="Arial"/>
          <w:b/>
          <w:szCs w:val="21"/>
        </w:rPr>
        <w:t>争议解决方式</w:t>
      </w:r>
      <w:bookmarkEnd w:id="208"/>
      <w:bookmarkEnd w:id="209"/>
      <w:bookmarkEnd w:id="210"/>
      <w:bookmarkEnd w:id="211"/>
      <w:bookmarkEnd w:id="212"/>
      <w:bookmarkEnd w:id="213"/>
    </w:p>
    <w:p w14:paraId="13A5CFD5">
      <w:pPr>
        <w:spacing w:line="360" w:lineRule="auto"/>
        <w:ind w:firstLine="420"/>
        <w:rPr>
          <w:color w:val="000000" w:themeColor="text1"/>
          <w:szCs w:val="21"/>
          <w14:textFill>
            <w14:solidFill>
              <w14:schemeClr w14:val="tx1"/>
            </w14:solidFill>
          </w14:textFill>
        </w:rPr>
      </w:pPr>
      <w:bookmarkStart w:id="214" w:name="_Toc278986611"/>
      <w:bookmarkStart w:id="215" w:name="_Toc286319599"/>
      <w:bookmarkStart w:id="216" w:name="_Toc288639821"/>
      <w:bookmarkStart w:id="217" w:name="_Toc278986836"/>
      <w:bookmarkStart w:id="218" w:name="_Toc287014248"/>
      <w:bookmarkStart w:id="219" w:name="_Toc252355970"/>
      <w:bookmarkStart w:id="220" w:name="_Toc278986896"/>
      <w:r>
        <w:rPr>
          <w:rFonts w:hint="eastAsia"/>
          <w:color w:val="000000" w:themeColor="text1"/>
          <w:szCs w:val="21"/>
          <w14:textFill>
            <w14:solidFill>
              <w14:schemeClr w14:val="tx1"/>
            </w14:solidFill>
          </w14:textFill>
        </w:rPr>
        <w:t>（一）本协议适用中华人民共和国法律（为本协议之目的，不包括香港特别行政区、澳门特别行政区法律和台湾地区有关规定）并从其解释。</w:t>
      </w:r>
    </w:p>
    <w:p w14:paraId="148630B9">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二）基金管理人与基金托管人之间因本协议产生的或与本协议有关的争议可通过友好协商解决。但争议未能以协商方式解决的，则任何一方有权将争议提交深圳国际仲裁院（深圳仲裁委员会），根据提交仲裁时该会的仲裁规则进行仲裁，仲裁地点为深圳市。仲裁裁决是终局的，对仲裁各方当事人均具有约束力。除非仲裁裁决另有规定，仲裁费用由败诉方承担。</w:t>
      </w:r>
    </w:p>
    <w:p w14:paraId="2C1E1F76">
      <w:pPr>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（三）争议处理期间，双方当事人应恪守基金管理人和基金托管人职责，各自继续忠实、勤勉、尽责地履行《基金合同》和《托管协议》规定的义务，维护基金份额持有人的合法权益。</w:t>
      </w:r>
    </w:p>
    <w:p w14:paraId="6A9A01BF">
      <w:pPr>
        <w:spacing w:line="360" w:lineRule="auto"/>
        <w:ind w:firstLine="422" w:firstLineChars="200"/>
        <w:rPr>
          <w:rFonts w:hint="eastAsia" w:ascii="宋体" w:hAnsi="宋体" w:cs="Arial"/>
          <w:b/>
          <w:szCs w:val="21"/>
        </w:rPr>
      </w:pPr>
      <w:r>
        <w:rPr>
          <w:rFonts w:hint="eastAsia" w:ascii="宋体" w:hAnsi="宋体" w:cs="Arial"/>
          <w:b/>
          <w:szCs w:val="21"/>
        </w:rPr>
        <w:t>八</w:t>
      </w:r>
      <w:r>
        <w:rPr>
          <w:rFonts w:ascii="宋体" w:hAnsi="宋体" w:cs="Arial"/>
          <w:b/>
          <w:szCs w:val="21"/>
        </w:rPr>
        <w:t>、</w:t>
      </w:r>
      <w:bookmarkEnd w:id="214"/>
      <w:bookmarkEnd w:id="215"/>
      <w:bookmarkEnd w:id="216"/>
      <w:bookmarkEnd w:id="217"/>
      <w:bookmarkEnd w:id="218"/>
      <w:bookmarkEnd w:id="219"/>
      <w:bookmarkEnd w:id="220"/>
      <w:bookmarkStart w:id="221" w:name="_Toc21073396"/>
      <w:bookmarkStart w:id="222" w:name="_Toc147463123"/>
      <w:bookmarkStart w:id="223" w:name="_Toc12357176"/>
      <w:bookmarkStart w:id="224" w:name="_Toc214873621"/>
      <w:r>
        <w:rPr>
          <w:rFonts w:hint="eastAsia" w:ascii="宋体" w:hAnsi="宋体" w:cs="Arial"/>
          <w:b/>
          <w:szCs w:val="21"/>
        </w:rPr>
        <w:t>托管协议的变更、终止与基金财产的清算</w:t>
      </w:r>
    </w:p>
    <w:p w14:paraId="44F7B5C9">
      <w:pPr>
        <w:spacing w:line="360" w:lineRule="auto"/>
        <w:ind w:firstLine="315"/>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（一）托管协议的变更与终止</w:t>
      </w:r>
    </w:p>
    <w:p w14:paraId="6E05CCAA">
      <w:pPr>
        <w:spacing w:line="360" w:lineRule="auto"/>
        <w:ind w:firstLine="315"/>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1、托管协议的变更程序</w:t>
      </w:r>
    </w:p>
    <w:p w14:paraId="6F897E21">
      <w:pPr>
        <w:spacing w:line="360" w:lineRule="auto"/>
        <w:ind w:firstLine="315"/>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本协议双方当事人经协商一致，可以对协议的内容进行变更。变更后的托管协议，其内容不得与《基金合同》的规定有任何冲突。基金托管协议的变更须报中国证监会备案。</w:t>
      </w:r>
    </w:p>
    <w:p w14:paraId="08B8B93E">
      <w:pPr>
        <w:spacing w:line="360" w:lineRule="auto"/>
        <w:ind w:firstLine="315"/>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2、基金托管协议终止的情形</w:t>
      </w:r>
    </w:p>
    <w:p w14:paraId="31A73FBD">
      <w:pPr>
        <w:spacing w:line="360" w:lineRule="auto"/>
        <w:ind w:firstLine="315"/>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发生以下情况，本托管协议终止：</w:t>
      </w:r>
    </w:p>
    <w:p w14:paraId="784502AF">
      <w:pPr>
        <w:spacing w:line="360" w:lineRule="auto"/>
        <w:ind w:firstLine="315"/>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（1）《基金合同》终止；</w:t>
      </w:r>
    </w:p>
    <w:p w14:paraId="0A84E94A">
      <w:pPr>
        <w:spacing w:line="360" w:lineRule="auto"/>
        <w:ind w:firstLine="315"/>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（2）基金托管人解散、依法被撤销、破产或有其他基金托管人接管基金资产；</w:t>
      </w:r>
    </w:p>
    <w:p w14:paraId="27F67D26">
      <w:pPr>
        <w:spacing w:line="360" w:lineRule="auto"/>
        <w:ind w:firstLine="315"/>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（3）基金管理人解散、依法被撤销、破产或有其他基金管理人接管基金管理权；</w:t>
      </w:r>
    </w:p>
    <w:p w14:paraId="362BD64C">
      <w:pPr>
        <w:spacing w:line="360" w:lineRule="auto"/>
        <w:ind w:firstLine="315"/>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（4）发生法律法规、中国证监会或《基金合同》规定的终止事项。</w:t>
      </w:r>
    </w:p>
    <w:p w14:paraId="4AC903FD">
      <w:pPr>
        <w:spacing w:line="360" w:lineRule="auto"/>
        <w:ind w:firstLine="315"/>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（二）基金财产的清算</w:t>
      </w:r>
    </w:p>
    <w:p w14:paraId="1CAAEDB5">
      <w:pPr>
        <w:spacing w:line="360" w:lineRule="auto"/>
        <w:ind w:firstLine="315"/>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1、基金财产清算小组：自出现《基金合同》终止事由之日起30个工作日内成立基金财产清算小组，基金管理人或临时基金管理人组织基金财产清算小组并在中国证监会的监督下进行基金清算。</w:t>
      </w:r>
    </w:p>
    <w:p w14:paraId="646E08B3">
      <w:pPr>
        <w:spacing w:line="360" w:lineRule="auto"/>
        <w:ind w:firstLine="315"/>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基金财产清算小组组成：基金财产清算小组成员由基金管理人或临时基金管理人、基金托管人、符合《中华人民共和国证券法》规定的注册会计师、律师以及中国证监会指定的人员组成。基金财产清算小组可以聘用必要的工作人员。</w:t>
      </w:r>
    </w:p>
    <w:p w14:paraId="6C50B3F6">
      <w:pPr>
        <w:spacing w:line="360" w:lineRule="auto"/>
        <w:ind w:firstLine="315"/>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3、基金财产清算小组职责：基金财产清算小组负责基金财产的保管、清理、估价、变现和分配。基金财产清算小组可以依法进行必要的民事活动。</w:t>
      </w:r>
    </w:p>
    <w:p w14:paraId="6F14C4A6">
      <w:pPr>
        <w:spacing w:line="360" w:lineRule="auto"/>
        <w:ind w:firstLine="315"/>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4、基金财产清算程序：</w:t>
      </w:r>
    </w:p>
    <w:p w14:paraId="0AC8FDE2">
      <w:pPr>
        <w:spacing w:line="360" w:lineRule="auto"/>
        <w:ind w:firstLine="315"/>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（1）《基金合同》终止情形出现时，由基金财产清算小组统一接管基金；</w:t>
      </w:r>
    </w:p>
    <w:p w14:paraId="5BC07807">
      <w:pPr>
        <w:spacing w:line="360" w:lineRule="auto"/>
        <w:ind w:firstLine="315"/>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（2）对基金财产和债权债务进行清理和确认；</w:t>
      </w:r>
    </w:p>
    <w:p w14:paraId="01C995D7">
      <w:pPr>
        <w:spacing w:line="360" w:lineRule="auto"/>
        <w:ind w:firstLine="315"/>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（3）对基金财产进行估值和变现；</w:t>
      </w:r>
    </w:p>
    <w:p w14:paraId="2D85FECC">
      <w:pPr>
        <w:spacing w:line="360" w:lineRule="auto"/>
        <w:ind w:firstLine="315"/>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（4）制作清算报告；</w:t>
      </w:r>
    </w:p>
    <w:p w14:paraId="088C999A">
      <w:pPr>
        <w:spacing w:line="360" w:lineRule="auto"/>
        <w:ind w:firstLine="315"/>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（5）聘请会计师事务所对清算报告进行外部审计，聘请律师事务所对清算报告出具法律意见书；</w:t>
      </w:r>
    </w:p>
    <w:p w14:paraId="14ED69FC">
      <w:pPr>
        <w:spacing w:line="360" w:lineRule="auto"/>
        <w:ind w:firstLine="315"/>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（6）将清算报告报中国证监会备案并公告；</w:t>
      </w:r>
    </w:p>
    <w:p w14:paraId="7307B57F">
      <w:pPr>
        <w:spacing w:line="360" w:lineRule="auto"/>
        <w:ind w:firstLine="315"/>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（7）对基金财产进行分配。</w:t>
      </w:r>
    </w:p>
    <w:p w14:paraId="09CAB7E2">
      <w:pPr>
        <w:spacing w:line="360" w:lineRule="auto"/>
        <w:ind w:firstLine="315"/>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5、基金财产清算的期限为6个月，但因本基金所持证券的流动性受到限制而不能及时变现的，清算期限可相应顺延。</w:t>
      </w:r>
    </w:p>
    <w:p w14:paraId="40FD1E8F">
      <w:pPr>
        <w:spacing w:line="360" w:lineRule="auto"/>
        <w:ind w:firstLine="315"/>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6、清算费用</w:t>
      </w:r>
    </w:p>
    <w:p w14:paraId="498A3C66">
      <w:pPr>
        <w:spacing w:line="360" w:lineRule="auto"/>
        <w:ind w:firstLine="315"/>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清算费用是指基金财产清算小组在进行基金财产清算过程中发生的所有合理费用，清算费用由基金财产清算小组优先从基金财产中支付。</w:t>
      </w:r>
    </w:p>
    <w:p w14:paraId="573BF6D6">
      <w:pPr>
        <w:spacing w:line="360" w:lineRule="auto"/>
        <w:ind w:firstLine="315"/>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7、基金财产按下列顺序清偿：</w:t>
      </w:r>
    </w:p>
    <w:p w14:paraId="32794B28">
      <w:pPr>
        <w:spacing w:line="360" w:lineRule="auto"/>
        <w:ind w:firstLine="315"/>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（1）支付清算费用；</w:t>
      </w:r>
    </w:p>
    <w:p w14:paraId="72450815">
      <w:pPr>
        <w:spacing w:line="360" w:lineRule="auto"/>
        <w:ind w:firstLine="315"/>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（2）交纳所欠税款；</w:t>
      </w:r>
    </w:p>
    <w:p w14:paraId="5D540391">
      <w:pPr>
        <w:spacing w:line="360" w:lineRule="auto"/>
        <w:ind w:firstLine="315"/>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（3）清偿基金债务；</w:t>
      </w:r>
    </w:p>
    <w:p w14:paraId="7B19A7EA">
      <w:pPr>
        <w:spacing w:line="360" w:lineRule="auto"/>
        <w:ind w:firstLine="315"/>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（4）按基金份额持有人持有的基金份额比例进行分配。</w:t>
      </w:r>
    </w:p>
    <w:p w14:paraId="224BBED6">
      <w:pPr>
        <w:spacing w:line="360" w:lineRule="auto"/>
        <w:ind w:firstLine="315"/>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基金财产未按前款（1）－（3）项规定清偿前，不分配给基金份额持有人。</w:t>
      </w:r>
    </w:p>
    <w:p w14:paraId="4EE4D0E9">
      <w:pPr>
        <w:spacing w:line="360" w:lineRule="auto"/>
        <w:ind w:firstLine="315"/>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8、基金财产清算的公告</w:t>
      </w:r>
    </w:p>
    <w:p w14:paraId="3B2F6B30">
      <w:pPr>
        <w:spacing w:line="360" w:lineRule="auto"/>
        <w:ind w:firstLine="315"/>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清算过程中的有关重大事项须及时公告；基金财产清算报告经符合《中华人民共和国证券法》规定会计师事务所审计并由律师事务所出具法律意见书后报中国证监会备案并公告。基金财产清算公告于基金财产清算报告报中国证监会备案后5个工作日内由基金财产清算小组进行公告。</w:t>
      </w:r>
    </w:p>
    <w:p w14:paraId="252FE389">
      <w:pPr>
        <w:spacing w:line="360" w:lineRule="auto"/>
        <w:ind w:firstLine="315"/>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9、基金财产清算账册及文件的保存</w:t>
      </w:r>
    </w:p>
    <w:p w14:paraId="633A71FC">
      <w:pPr>
        <w:spacing w:line="360" w:lineRule="auto"/>
        <w:ind w:firstLine="420" w:firstLineChars="200"/>
        <w:jc w:val="left"/>
        <w:rPr>
          <w:rFonts w:hint="eastAsia" w:ascii="宋体" w:hAnsi="宋体" w:cs="Arial"/>
          <w:szCs w:val="21"/>
        </w:rPr>
        <w:sectPr>
          <w:footerReference r:id="rId47" w:type="first"/>
          <w:footerReference r:id="rId46" w:type="default"/>
          <w:pgSz w:w="11906" w:h="16838"/>
          <w:pgMar w:top="1440" w:right="1800" w:bottom="1440" w:left="1800" w:header="851" w:footer="992" w:gutter="0"/>
          <w:cols w:space="720" w:num="1"/>
          <w:titlePg/>
          <w:docGrid w:type="lines" w:linePitch="312" w:charSpace="0"/>
        </w:sectPr>
      </w:pPr>
      <w:r>
        <w:rPr>
          <w:rFonts w:hint="eastAsia"/>
          <w:color w:val="000000" w:themeColor="text1"/>
          <w:szCs w:val="21"/>
          <w14:textFill>
            <w14:solidFill>
              <w14:schemeClr w14:val="tx1"/>
            </w14:solidFill>
          </w14:textFill>
        </w:rPr>
        <w:t>基金财产清算账册及有关文件由基金托管人保存，保存期限不少于法律法规的规定。</w:t>
      </w:r>
    </w:p>
    <w:p w14:paraId="58724335">
      <w:pPr>
        <w:pStyle w:val="2"/>
        <w:snapToGrid w:val="0"/>
        <w:spacing w:before="0" w:after="0" w:line="360" w:lineRule="auto"/>
        <w:ind w:firstLine="422" w:firstLineChars="150"/>
        <w:rPr>
          <w:rFonts w:hint="eastAsia" w:hAnsi="宋体" w:eastAsia="宋体" w:cs="Arial"/>
          <w:b/>
          <w:bCs/>
          <w:sz w:val="28"/>
          <w:szCs w:val="28"/>
        </w:rPr>
      </w:pPr>
      <w:bookmarkStart w:id="225" w:name="_Toc22340"/>
      <w:r>
        <w:rPr>
          <w:rFonts w:hAnsi="宋体" w:eastAsia="宋体" w:cs="Arial"/>
          <w:b/>
          <w:bCs/>
          <w:sz w:val="28"/>
          <w:szCs w:val="28"/>
        </w:rPr>
        <w:t>第二十</w:t>
      </w:r>
      <w:bookmarkStart w:id="226" w:name="_Toc50661142"/>
      <w:r>
        <w:rPr>
          <w:rFonts w:hint="eastAsia" w:hAnsi="宋体" w:eastAsia="宋体" w:cs="Arial"/>
          <w:b/>
          <w:bCs/>
          <w:sz w:val="28"/>
          <w:szCs w:val="28"/>
        </w:rPr>
        <w:t>二</w:t>
      </w:r>
      <w:r>
        <w:rPr>
          <w:rFonts w:hAnsi="宋体" w:eastAsia="宋体" w:cs="Arial"/>
          <w:b/>
          <w:bCs/>
          <w:sz w:val="28"/>
          <w:szCs w:val="28"/>
        </w:rPr>
        <w:t xml:space="preserve">部分  </w:t>
      </w:r>
      <w:bookmarkEnd w:id="221"/>
      <w:bookmarkEnd w:id="222"/>
      <w:bookmarkEnd w:id="223"/>
      <w:r>
        <w:rPr>
          <w:rFonts w:hAnsi="宋体" w:eastAsia="宋体" w:cs="Arial"/>
          <w:b/>
          <w:bCs/>
          <w:sz w:val="28"/>
          <w:szCs w:val="28"/>
        </w:rPr>
        <w:t>对基金份额持有人的服务</w:t>
      </w:r>
      <w:bookmarkEnd w:id="224"/>
      <w:bookmarkEnd w:id="225"/>
      <w:bookmarkEnd w:id="226"/>
    </w:p>
    <w:p w14:paraId="5468F45E">
      <w:pPr>
        <w:adjustRightInd w:val="0"/>
        <w:snapToGrid w:val="0"/>
        <w:spacing w:line="360" w:lineRule="auto"/>
        <w:ind w:firstLine="420" w:firstLineChars="200"/>
        <w:rPr>
          <w:rFonts w:hint="eastAsia" w:ascii="宋体" w:hAnsi="宋体" w:cs="Arial"/>
        </w:rPr>
      </w:pPr>
    </w:p>
    <w:p w14:paraId="048565B0">
      <w:pPr>
        <w:adjustRightInd w:val="0"/>
        <w:snapToGrid w:val="0"/>
        <w:spacing w:line="360" w:lineRule="auto"/>
        <w:ind w:firstLine="420" w:firstLineChars="200"/>
        <w:rPr>
          <w:rFonts w:hint="eastAsia" w:ascii="宋体" w:hAnsi="宋体"/>
          <w:kern w:val="0"/>
        </w:rPr>
      </w:pPr>
      <w:r>
        <w:rPr>
          <w:rFonts w:ascii="宋体" w:hAnsi="宋体"/>
          <w:kern w:val="0"/>
        </w:rPr>
        <w:t>对本基金份额持有人的服务主要由基金管理人、发售代理机构、申购赎回代理券商提供。基金管理人承诺为基金份额持有人提供一系列的服务，以下是主要的服务内容。基金管理人根据基金份额持有人的需要和市场的变化，有权增加和修改服务项目。</w:t>
      </w:r>
    </w:p>
    <w:p w14:paraId="4B401137">
      <w:pPr>
        <w:adjustRightInd w:val="0"/>
        <w:snapToGrid w:val="0"/>
        <w:spacing w:line="360" w:lineRule="auto"/>
        <w:ind w:firstLine="420" w:firstLineChars="200"/>
        <w:rPr>
          <w:rFonts w:hint="eastAsia" w:ascii="宋体" w:hAnsi="宋体"/>
          <w:kern w:val="0"/>
        </w:rPr>
      </w:pPr>
      <w:r>
        <w:rPr>
          <w:rFonts w:ascii="宋体" w:hAnsi="宋体"/>
          <w:kern w:val="0"/>
        </w:rPr>
        <w:t>基金管理人提供的服务内容如下：</w:t>
      </w:r>
    </w:p>
    <w:p w14:paraId="4A2E4AE1">
      <w:pPr>
        <w:adjustRightInd w:val="0"/>
        <w:snapToGrid w:val="0"/>
        <w:spacing w:line="360" w:lineRule="auto"/>
        <w:ind w:firstLine="422" w:firstLineChars="200"/>
        <w:rPr>
          <w:rFonts w:hint="eastAsia" w:ascii="宋体" w:hAnsi="宋体"/>
          <w:b/>
          <w:kern w:val="0"/>
        </w:rPr>
      </w:pPr>
      <w:r>
        <w:rPr>
          <w:rFonts w:ascii="宋体" w:hAnsi="宋体"/>
          <w:b/>
          <w:kern w:val="0"/>
        </w:rPr>
        <w:t>一、客户服务电话</w:t>
      </w:r>
    </w:p>
    <w:p w14:paraId="12584373">
      <w:pPr>
        <w:adjustRightInd w:val="0"/>
        <w:snapToGrid w:val="0"/>
        <w:spacing w:line="360" w:lineRule="auto"/>
        <w:ind w:firstLine="420" w:firstLineChars="200"/>
        <w:rPr>
          <w:rFonts w:hint="eastAsia" w:ascii="宋体" w:hAnsi="宋体"/>
          <w:kern w:val="0"/>
        </w:rPr>
      </w:pPr>
      <w:r>
        <w:rPr>
          <w:rFonts w:ascii="宋体" w:hAnsi="宋体"/>
          <w:kern w:val="0"/>
        </w:rPr>
        <w:t>客户服务中心自动语音系统提供每周七天、每天24小时的自动语音服务和查询服务，客户可以通过电话查询基金份额净值。同时，客服中心提供工作日每天9:00-21:00、节假日（十一和春节除外）9:00-17:00 的电话人工服务。</w:t>
      </w:r>
    </w:p>
    <w:p w14:paraId="650B3E7A">
      <w:pPr>
        <w:adjustRightInd w:val="0"/>
        <w:snapToGrid w:val="0"/>
        <w:spacing w:line="360" w:lineRule="auto"/>
        <w:ind w:firstLine="420" w:firstLineChars="200"/>
        <w:rPr>
          <w:rFonts w:hint="eastAsia" w:ascii="宋体" w:hAnsi="宋体"/>
          <w:kern w:val="0"/>
        </w:rPr>
      </w:pPr>
      <w:r>
        <w:rPr>
          <w:rFonts w:hint="eastAsia" w:ascii="宋体" w:hAnsi="宋体"/>
          <w:kern w:val="0"/>
        </w:rPr>
        <w:t>博时一线通</w:t>
      </w:r>
      <w:r>
        <w:rPr>
          <w:rFonts w:ascii="宋体" w:hAnsi="宋体"/>
          <w:kern w:val="0"/>
        </w:rPr>
        <w:t>：95105568（免长途话费）</w:t>
      </w:r>
    </w:p>
    <w:p w14:paraId="6F085AFC">
      <w:pPr>
        <w:adjustRightInd w:val="0"/>
        <w:snapToGrid w:val="0"/>
        <w:spacing w:line="360" w:lineRule="auto"/>
        <w:ind w:firstLine="422" w:firstLineChars="200"/>
        <w:rPr>
          <w:rFonts w:hint="eastAsia" w:ascii="宋体" w:hAnsi="宋体"/>
          <w:b/>
          <w:kern w:val="0"/>
        </w:rPr>
      </w:pPr>
      <w:r>
        <w:rPr>
          <w:rFonts w:ascii="宋体" w:hAnsi="宋体"/>
          <w:b/>
          <w:kern w:val="0"/>
        </w:rPr>
        <w:t>二、网上客户服务中心</w:t>
      </w:r>
    </w:p>
    <w:p w14:paraId="627270DF">
      <w:pPr>
        <w:adjustRightInd w:val="0"/>
        <w:snapToGrid w:val="0"/>
        <w:spacing w:line="360" w:lineRule="auto"/>
        <w:ind w:firstLine="420" w:firstLineChars="200"/>
        <w:rPr>
          <w:rFonts w:hint="eastAsia" w:ascii="宋体" w:hAnsi="宋体"/>
          <w:kern w:val="0"/>
        </w:rPr>
      </w:pPr>
      <w:r>
        <w:rPr>
          <w:rFonts w:ascii="宋体" w:hAnsi="宋体"/>
          <w:kern w:val="0"/>
        </w:rPr>
        <w:t>网上客户服务为投资人提供查询服务、资讯服务以及在线</w:t>
      </w:r>
      <w:r>
        <w:rPr>
          <w:rFonts w:hint="eastAsia" w:ascii="宋体" w:hAnsi="宋体"/>
          <w:kern w:val="0"/>
        </w:rPr>
        <w:t>咨询</w:t>
      </w:r>
      <w:r>
        <w:rPr>
          <w:rFonts w:ascii="宋体" w:hAnsi="宋体"/>
          <w:kern w:val="0"/>
        </w:rPr>
        <w:t>的平台。登陆网站后，投资人可以查询基金相关信息，享受资讯服务；投资人还可以</w:t>
      </w:r>
      <w:r>
        <w:rPr>
          <w:rFonts w:hint="eastAsia" w:ascii="宋体" w:hAnsi="宋体"/>
          <w:kern w:val="0"/>
        </w:rPr>
        <w:t>使用</w:t>
      </w:r>
      <w:r>
        <w:rPr>
          <w:rFonts w:ascii="宋体" w:hAnsi="宋体"/>
          <w:kern w:val="0"/>
        </w:rPr>
        <w:t>“在线客服”</w:t>
      </w:r>
      <w:r>
        <w:rPr>
          <w:rFonts w:hint="eastAsia" w:ascii="宋体" w:hAnsi="宋体"/>
          <w:kern w:val="0"/>
        </w:rPr>
        <w:t>功能</w:t>
      </w:r>
      <w:r>
        <w:rPr>
          <w:rFonts w:ascii="宋体" w:hAnsi="宋体"/>
          <w:kern w:val="0"/>
        </w:rPr>
        <w:t>进行在线咨询</w:t>
      </w:r>
      <w:r>
        <w:rPr>
          <w:rFonts w:hint="eastAsia" w:ascii="宋体" w:hAnsi="宋体"/>
          <w:kern w:val="0"/>
        </w:rPr>
        <w:t>以及</w:t>
      </w:r>
      <w:r>
        <w:rPr>
          <w:rFonts w:ascii="宋体" w:hAnsi="宋体"/>
          <w:kern w:val="0"/>
        </w:rPr>
        <w:t>查询热点问题及其解答，并提交投诉与建议。</w:t>
      </w:r>
    </w:p>
    <w:p w14:paraId="791F521B">
      <w:pPr>
        <w:adjustRightInd w:val="0"/>
        <w:snapToGrid w:val="0"/>
        <w:spacing w:line="360" w:lineRule="auto"/>
        <w:ind w:firstLine="420" w:firstLineChars="200"/>
        <w:rPr>
          <w:rFonts w:hint="eastAsia" w:ascii="宋体" w:hAnsi="宋体"/>
          <w:kern w:val="0"/>
        </w:rPr>
      </w:pPr>
      <w:r>
        <w:rPr>
          <w:rFonts w:hint="eastAsia" w:ascii="宋体" w:hAnsi="宋体"/>
          <w:kern w:val="0"/>
        </w:rPr>
        <w:t>基金管理人</w:t>
      </w:r>
      <w:r>
        <w:rPr>
          <w:rFonts w:ascii="宋体" w:hAnsi="宋体"/>
          <w:kern w:val="0"/>
        </w:rPr>
        <w:t xml:space="preserve">网址： </w:t>
      </w:r>
      <w:r>
        <w:fldChar w:fldCharType="begin"/>
      </w:r>
      <w:r>
        <w:instrText xml:space="preserve"> HYPERLINK "http://www.bosera.com" </w:instrText>
      </w:r>
      <w:r>
        <w:fldChar w:fldCharType="separate"/>
      </w:r>
      <w:r>
        <w:rPr>
          <w:rFonts w:ascii="宋体" w:hAnsi="宋体"/>
          <w:kern w:val="0"/>
        </w:rPr>
        <w:t>www.bosera.com</w:t>
      </w:r>
      <w:r>
        <w:rPr>
          <w:rFonts w:ascii="宋体" w:hAnsi="宋体"/>
          <w:kern w:val="0"/>
        </w:rPr>
        <w:fldChar w:fldCharType="end"/>
      </w:r>
    </w:p>
    <w:p w14:paraId="7F98FAA4">
      <w:pPr>
        <w:adjustRightInd w:val="0"/>
        <w:snapToGrid w:val="0"/>
        <w:spacing w:line="360" w:lineRule="auto"/>
        <w:ind w:firstLine="420" w:firstLineChars="200"/>
        <w:rPr>
          <w:rFonts w:hint="eastAsia" w:ascii="宋体" w:hAnsi="宋体"/>
          <w:kern w:val="0"/>
        </w:rPr>
      </w:pPr>
      <w:r>
        <w:rPr>
          <w:rFonts w:ascii="宋体" w:hAnsi="宋体"/>
          <w:kern w:val="0"/>
        </w:rPr>
        <w:t>电子邮箱：</w:t>
      </w:r>
      <w:r>
        <w:fldChar w:fldCharType="begin"/>
      </w:r>
      <w:r>
        <w:instrText xml:space="preserve"> HYPERLINK "mailto:service@bosera.com" </w:instrText>
      </w:r>
      <w:r>
        <w:fldChar w:fldCharType="separate"/>
      </w:r>
      <w:r>
        <w:rPr>
          <w:rFonts w:ascii="宋体" w:hAnsi="宋体"/>
          <w:kern w:val="0"/>
        </w:rPr>
        <w:t>service@bosera.com</w:t>
      </w:r>
      <w:r>
        <w:rPr>
          <w:rFonts w:ascii="宋体" w:hAnsi="宋体"/>
          <w:kern w:val="0"/>
        </w:rPr>
        <w:fldChar w:fldCharType="end"/>
      </w:r>
    </w:p>
    <w:p w14:paraId="5CDCDA60">
      <w:pPr>
        <w:adjustRightInd w:val="0"/>
        <w:snapToGrid w:val="0"/>
        <w:spacing w:line="360" w:lineRule="auto"/>
        <w:ind w:firstLine="422" w:firstLineChars="200"/>
        <w:rPr>
          <w:rFonts w:hint="eastAsia" w:ascii="宋体" w:hAnsi="宋体"/>
          <w:b/>
          <w:kern w:val="0"/>
        </w:rPr>
      </w:pPr>
      <w:r>
        <w:rPr>
          <w:rFonts w:ascii="宋体" w:hAnsi="宋体"/>
          <w:b/>
          <w:kern w:val="0"/>
        </w:rPr>
        <w:t>三、客户投诉处理</w:t>
      </w:r>
    </w:p>
    <w:p w14:paraId="02510192">
      <w:pPr>
        <w:adjustRightInd w:val="0"/>
        <w:snapToGrid w:val="0"/>
        <w:spacing w:line="360" w:lineRule="auto"/>
        <w:ind w:firstLine="420" w:firstLineChars="200"/>
        <w:rPr>
          <w:rFonts w:hint="eastAsia" w:ascii="宋体" w:hAnsi="宋体"/>
          <w:kern w:val="0"/>
        </w:rPr>
      </w:pPr>
      <w:r>
        <w:rPr>
          <w:rFonts w:ascii="宋体" w:hAnsi="宋体"/>
          <w:kern w:val="0"/>
        </w:rPr>
        <w:t>投资者可以通过博时基金网站、客服中心IVR自动语音留言、客服中心电话人工坐席、书信、电子邮件、传真等渠道对基金管理人提供的服务进行投诉。投资者还可以通过发售代理机构、申购赎回代理券商的服务电话对该代理机构提供的服务进行投诉</w:t>
      </w:r>
      <w:r>
        <w:rPr>
          <w:rFonts w:hint="eastAsia" w:ascii="宋体" w:hAnsi="宋体"/>
          <w:kern w:val="0"/>
        </w:rPr>
        <w:t>。</w:t>
      </w:r>
    </w:p>
    <w:p w14:paraId="1A5B8CC1">
      <w:pPr>
        <w:adjustRightInd w:val="0"/>
        <w:snapToGrid w:val="0"/>
        <w:spacing w:line="360" w:lineRule="auto"/>
        <w:ind w:firstLine="422" w:firstLineChars="200"/>
        <w:rPr>
          <w:rFonts w:hint="eastAsia" w:ascii="宋体" w:hAnsi="宋体"/>
          <w:b/>
          <w:kern w:val="0"/>
        </w:rPr>
        <w:sectPr>
          <w:footerReference r:id="rId48" w:type="first"/>
          <w:pgSz w:w="11906" w:h="16838"/>
          <w:pgMar w:top="1440" w:right="1800" w:bottom="1440" w:left="1800" w:header="851" w:footer="992" w:gutter="0"/>
          <w:cols w:space="720" w:num="1"/>
          <w:titlePg/>
          <w:docGrid w:type="lines" w:linePitch="312" w:charSpace="0"/>
        </w:sectPr>
      </w:pPr>
      <w:r>
        <w:rPr>
          <w:rFonts w:hint="eastAsia" w:ascii="宋体" w:hAnsi="宋体"/>
          <w:b/>
          <w:kern w:val="0"/>
        </w:rPr>
        <w:t>如本招募说明书存在任何您/贵机构无法理解的内容，请通过上述方式联系基金管理人。请确保投资前，您/贵机构已经全面理解了本招募说明书。</w:t>
      </w:r>
    </w:p>
    <w:p w14:paraId="4AF69419">
      <w:pPr>
        <w:adjustRightInd w:val="0"/>
        <w:snapToGrid w:val="0"/>
        <w:spacing w:line="360" w:lineRule="auto"/>
        <w:ind w:firstLine="420" w:firstLineChars="200"/>
        <w:rPr>
          <w:rFonts w:hint="eastAsia" w:ascii="宋体" w:hAnsi="宋体" w:cs="Arial"/>
          <w:szCs w:val="21"/>
        </w:rPr>
      </w:pPr>
    </w:p>
    <w:p w14:paraId="39934851">
      <w:pPr>
        <w:pStyle w:val="2"/>
        <w:snapToGrid w:val="0"/>
        <w:spacing w:before="0" w:after="0" w:line="360" w:lineRule="auto"/>
        <w:ind w:firstLine="422" w:firstLineChars="150"/>
        <w:rPr>
          <w:rFonts w:hint="eastAsia" w:hAnsi="宋体" w:eastAsia="宋体" w:cs="Arial"/>
          <w:b/>
          <w:bCs/>
          <w:sz w:val="28"/>
          <w:szCs w:val="28"/>
        </w:rPr>
      </w:pPr>
      <w:bookmarkStart w:id="227" w:name="_Toc214873622"/>
      <w:bookmarkStart w:id="228" w:name="_Toc30954"/>
      <w:bookmarkStart w:id="229" w:name="_Toc530223198"/>
      <w:bookmarkStart w:id="230" w:name="_Toc484165614"/>
      <w:r>
        <w:rPr>
          <w:rFonts w:hAnsi="宋体" w:eastAsia="宋体" w:cs="Arial"/>
          <w:b/>
          <w:bCs/>
          <w:sz w:val="28"/>
          <w:szCs w:val="28"/>
        </w:rPr>
        <w:t>第二十</w:t>
      </w:r>
      <w:bookmarkStart w:id="231" w:name="_Toc50661143"/>
      <w:r>
        <w:rPr>
          <w:rFonts w:hint="eastAsia" w:hAnsi="宋体" w:eastAsia="宋体" w:cs="Arial"/>
          <w:b/>
          <w:bCs/>
          <w:sz w:val="28"/>
          <w:szCs w:val="28"/>
        </w:rPr>
        <w:t>三</w:t>
      </w:r>
      <w:r>
        <w:rPr>
          <w:rFonts w:hAnsi="宋体" w:eastAsia="宋体" w:cs="Arial"/>
          <w:b/>
          <w:bCs/>
          <w:sz w:val="28"/>
          <w:szCs w:val="28"/>
        </w:rPr>
        <w:t>部分  招募说明书存放及查阅方式</w:t>
      </w:r>
      <w:bookmarkEnd w:id="227"/>
      <w:bookmarkEnd w:id="228"/>
      <w:bookmarkEnd w:id="229"/>
      <w:bookmarkEnd w:id="231"/>
    </w:p>
    <w:p w14:paraId="17BBA149">
      <w:pPr>
        <w:adjustRightInd w:val="0"/>
        <w:snapToGrid w:val="0"/>
        <w:spacing w:line="360" w:lineRule="auto"/>
        <w:ind w:firstLine="420" w:firstLineChars="200"/>
        <w:rPr>
          <w:rFonts w:hint="eastAsia" w:ascii="宋体" w:hAnsi="宋体"/>
          <w:kern w:val="0"/>
        </w:rPr>
      </w:pPr>
      <w:r>
        <w:rPr>
          <w:rFonts w:ascii="宋体" w:hAnsi="宋体"/>
          <w:kern w:val="0"/>
        </w:rPr>
        <w:t>招募说明书公布后，应当分别置备于基金管理人、基金托管人的住所</w:t>
      </w:r>
      <w:r>
        <w:rPr>
          <w:rFonts w:hint="eastAsia" w:ascii="宋体" w:hAnsi="宋体"/>
          <w:kern w:val="0"/>
        </w:rPr>
        <w:t>和基金上市交易的证券交易所</w:t>
      </w:r>
      <w:r>
        <w:rPr>
          <w:rFonts w:ascii="宋体" w:hAnsi="宋体"/>
          <w:kern w:val="0"/>
        </w:rPr>
        <w:t>，供公众查阅、复制。投资人可在办公时间查阅；投资人在支付工本费后，可在合理时间内取得上述文件复制件或复印件。对投资人按此种方式所获得的文件及其复印件，基金管理人保证文本的内容与所公告的内容完全一致。</w:t>
      </w:r>
    </w:p>
    <w:p w14:paraId="29590CD8">
      <w:pPr>
        <w:spacing w:line="360" w:lineRule="auto"/>
        <w:ind w:firstLine="480"/>
        <w:rPr>
          <w:rFonts w:hint="eastAsia" w:ascii="宋体" w:hAnsi="宋体"/>
          <w:kern w:val="0"/>
        </w:rPr>
        <w:sectPr>
          <w:footerReference r:id="rId49" w:type="first"/>
          <w:pgSz w:w="11906" w:h="16838"/>
          <w:pgMar w:top="1440" w:right="1800" w:bottom="1440" w:left="1800" w:header="851" w:footer="992" w:gutter="0"/>
          <w:cols w:space="720" w:num="1"/>
          <w:titlePg/>
          <w:docGrid w:type="lines" w:linePitch="312" w:charSpace="0"/>
        </w:sectPr>
      </w:pPr>
      <w:r>
        <w:rPr>
          <w:rFonts w:ascii="宋体" w:hAnsi="宋体"/>
          <w:kern w:val="0"/>
        </w:rPr>
        <w:t>投资人还可以直接登录基金管理人的网站（www.bosera.com）查阅和下载招募说明书</w:t>
      </w:r>
      <w:r>
        <w:rPr>
          <w:rFonts w:hint="eastAsia" w:ascii="宋体" w:hAnsi="宋体"/>
          <w:kern w:val="0"/>
        </w:rPr>
        <w:t>。</w:t>
      </w:r>
    </w:p>
    <w:p w14:paraId="3A2E60A0">
      <w:pPr>
        <w:spacing w:line="360" w:lineRule="auto"/>
        <w:rPr>
          <w:rFonts w:hint="eastAsia" w:ascii="宋体" w:hAnsi="宋体"/>
        </w:rPr>
      </w:pPr>
    </w:p>
    <w:bookmarkEnd w:id="230"/>
    <w:p w14:paraId="3ECF16A9">
      <w:pPr>
        <w:pStyle w:val="2"/>
        <w:snapToGrid w:val="0"/>
        <w:spacing w:before="0" w:after="0" w:line="360" w:lineRule="auto"/>
        <w:ind w:firstLine="422" w:firstLineChars="150"/>
        <w:rPr>
          <w:rFonts w:hint="eastAsia" w:hAnsi="宋体" w:eastAsia="宋体" w:cs="Arial"/>
          <w:b/>
          <w:bCs/>
          <w:sz w:val="28"/>
          <w:szCs w:val="28"/>
        </w:rPr>
      </w:pPr>
      <w:bookmarkStart w:id="232" w:name="_Toc530223199"/>
      <w:bookmarkStart w:id="233" w:name="_Toc317088556"/>
      <w:bookmarkStart w:id="234" w:name="_Toc517169204"/>
      <w:bookmarkStart w:id="235" w:name="_Toc320887661"/>
      <w:bookmarkStart w:id="236" w:name="_Toc214873623"/>
      <w:bookmarkStart w:id="237" w:name="_Toc317088167"/>
      <w:bookmarkStart w:id="238" w:name="_Toc386115319"/>
      <w:bookmarkStart w:id="239" w:name="_Toc465240490"/>
      <w:bookmarkStart w:id="240" w:name="_Toc15401"/>
      <w:bookmarkStart w:id="241" w:name="_Toc335232710"/>
      <w:r>
        <w:rPr>
          <w:rFonts w:hint="eastAsia" w:hAnsi="宋体" w:eastAsia="宋体" w:cs="Arial"/>
          <w:b/>
          <w:bCs/>
          <w:sz w:val="28"/>
          <w:szCs w:val="28"/>
        </w:rPr>
        <w:t>第二十</w:t>
      </w:r>
      <w:bookmarkStart w:id="242" w:name="_Toc50661144"/>
      <w:r>
        <w:rPr>
          <w:rFonts w:hint="eastAsia" w:hAnsi="宋体" w:eastAsia="宋体" w:cs="Arial"/>
          <w:b/>
          <w:bCs/>
          <w:sz w:val="28"/>
          <w:szCs w:val="28"/>
        </w:rPr>
        <w:t xml:space="preserve">四部分  </w:t>
      </w:r>
      <w:r>
        <w:rPr>
          <w:rFonts w:hAnsi="宋体" w:eastAsia="宋体" w:cs="Arial"/>
          <w:b/>
          <w:bCs/>
          <w:sz w:val="28"/>
          <w:szCs w:val="28"/>
        </w:rPr>
        <w:t>备查文件</w:t>
      </w:r>
      <w:bookmarkEnd w:id="232"/>
      <w:bookmarkEnd w:id="233"/>
      <w:bookmarkEnd w:id="234"/>
      <w:bookmarkEnd w:id="235"/>
      <w:bookmarkEnd w:id="236"/>
      <w:bookmarkEnd w:id="237"/>
      <w:bookmarkEnd w:id="238"/>
      <w:bookmarkEnd w:id="239"/>
      <w:bookmarkEnd w:id="240"/>
      <w:bookmarkEnd w:id="241"/>
      <w:bookmarkEnd w:id="242"/>
    </w:p>
    <w:p w14:paraId="7D08CDFC">
      <w:pPr>
        <w:spacing w:line="360" w:lineRule="auto"/>
        <w:rPr>
          <w:lang w:val="zh-CN"/>
        </w:rPr>
      </w:pPr>
    </w:p>
    <w:p w14:paraId="4E5628A2">
      <w:pPr>
        <w:autoSpaceDE w:val="0"/>
        <w:autoSpaceDN w:val="0"/>
        <w:adjustRightInd w:val="0"/>
        <w:snapToGrid w:val="0"/>
        <w:spacing w:line="360" w:lineRule="auto"/>
        <w:ind w:firstLine="420" w:firstLineChars="200"/>
        <w:rPr>
          <w:kern w:val="0"/>
          <w:szCs w:val="21"/>
        </w:rPr>
      </w:pPr>
      <w:r>
        <w:rPr>
          <w:kern w:val="0"/>
          <w:szCs w:val="21"/>
        </w:rPr>
        <w:t>以下备查文件存放在基金管理人的办公场所，在办公时间可供免费查阅。</w:t>
      </w:r>
    </w:p>
    <w:p w14:paraId="375DC4A3">
      <w:pPr>
        <w:autoSpaceDE w:val="0"/>
        <w:autoSpaceDN w:val="0"/>
        <w:adjustRightInd w:val="0"/>
        <w:snapToGrid w:val="0"/>
        <w:spacing w:line="360" w:lineRule="auto"/>
        <w:ind w:firstLine="420" w:firstLineChars="200"/>
        <w:rPr>
          <w:kern w:val="0"/>
          <w:szCs w:val="21"/>
        </w:rPr>
      </w:pPr>
      <w:r>
        <w:rPr>
          <w:kern w:val="0"/>
          <w:szCs w:val="21"/>
        </w:rPr>
        <w:t>（一）中国证监会准予</w:t>
      </w:r>
      <w:r>
        <w:rPr>
          <w:rFonts w:hint="eastAsia"/>
          <w:kern w:val="0"/>
          <w:szCs w:val="21"/>
        </w:rPr>
        <w:t>博时创业板电池交易型开放式指数证券投资基金注册</w:t>
      </w:r>
      <w:r>
        <w:rPr>
          <w:kern w:val="0"/>
          <w:szCs w:val="21"/>
        </w:rPr>
        <w:t>的文件</w:t>
      </w:r>
    </w:p>
    <w:p w14:paraId="6020111F">
      <w:pPr>
        <w:autoSpaceDE w:val="0"/>
        <w:autoSpaceDN w:val="0"/>
        <w:adjustRightInd w:val="0"/>
        <w:snapToGrid w:val="0"/>
        <w:spacing w:line="360" w:lineRule="auto"/>
        <w:ind w:firstLine="420" w:firstLineChars="200"/>
        <w:rPr>
          <w:kern w:val="0"/>
          <w:szCs w:val="21"/>
        </w:rPr>
      </w:pPr>
      <w:r>
        <w:rPr>
          <w:kern w:val="0"/>
          <w:szCs w:val="21"/>
        </w:rPr>
        <w:t>（二）《</w:t>
      </w:r>
      <w:r>
        <w:rPr>
          <w:rFonts w:hint="eastAsia"/>
          <w:kern w:val="0"/>
          <w:szCs w:val="21"/>
        </w:rPr>
        <w:t>博时创业板电池交易型开放式指数证券投资基金</w:t>
      </w:r>
      <w:r>
        <w:rPr>
          <w:kern w:val="0"/>
          <w:szCs w:val="21"/>
        </w:rPr>
        <w:t>基金合同》</w:t>
      </w:r>
    </w:p>
    <w:p w14:paraId="7EFBBBB6">
      <w:pPr>
        <w:autoSpaceDE w:val="0"/>
        <w:autoSpaceDN w:val="0"/>
        <w:adjustRightInd w:val="0"/>
        <w:snapToGrid w:val="0"/>
        <w:spacing w:line="360" w:lineRule="auto"/>
        <w:ind w:firstLine="420" w:firstLineChars="200"/>
        <w:rPr>
          <w:kern w:val="0"/>
          <w:szCs w:val="21"/>
        </w:rPr>
      </w:pPr>
      <w:r>
        <w:rPr>
          <w:kern w:val="0"/>
          <w:szCs w:val="21"/>
        </w:rPr>
        <w:t>（三）《</w:t>
      </w:r>
      <w:r>
        <w:rPr>
          <w:rFonts w:hint="eastAsia"/>
          <w:kern w:val="0"/>
          <w:szCs w:val="21"/>
        </w:rPr>
        <w:t>博时创业板电池交易型开放式指数证券投资基金</w:t>
      </w:r>
      <w:r>
        <w:rPr>
          <w:kern w:val="0"/>
          <w:szCs w:val="21"/>
        </w:rPr>
        <w:t>托管协议》</w:t>
      </w:r>
    </w:p>
    <w:p w14:paraId="4DF4537B">
      <w:pPr>
        <w:autoSpaceDE w:val="0"/>
        <w:autoSpaceDN w:val="0"/>
        <w:adjustRightInd w:val="0"/>
        <w:snapToGrid w:val="0"/>
        <w:spacing w:line="360" w:lineRule="auto"/>
        <w:ind w:firstLine="420" w:firstLineChars="200"/>
        <w:rPr>
          <w:kern w:val="0"/>
          <w:szCs w:val="21"/>
        </w:rPr>
      </w:pPr>
      <w:r>
        <w:rPr>
          <w:kern w:val="0"/>
          <w:szCs w:val="21"/>
        </w:rPr>
        <w:t>（四）基金管理人业务资格批件、营业执照</w:t>
      </w:r>
    </w:p>
    <w:p w14:paraId="4A8D2699">
      <w:pPr>
        <w:autoSpaceDE w:val="0"/>
        <w:autoSpaceDN w:val="0"/>
        <w:adjustRightInd w:val="0"/>
        <w:snapToGrid w:val="0"/>
        <w:spacing w:line="360" w:lineRule="auto"/>
        <w:ind w:firstLine="420" w:firstLineChars="200"/>
        <w:rPr>
          <w:kern w:val="0"/>
          <w:szCs w:val="21"/>
        </w:rPr>
      </w:pPr>
      <w:r>
        <w:rPr>
          <w:kern w:val="0"/>
          <w:szCs w:val="21"/>
        </w:rPr>
        <w:t>（五）基金托管人业务资格批件、营业执照</w:t>
      </w:r>
    </w:p>
    <w:p w14:paraId="55D44BF9">
      <w:pPr>
        <w:autoSpaceDE w:val="0"/>
        <w:autoSpaceDN w:val="0"/>
        <w:adjustRightInd w:val="0"/>
        <w:snapToGrid w:val="0"/>
        <w:spacing w:line="360" w:lineRule="auto"/>
        <w:ind w:firstLine="420" w:firstLineChars="200"/>
        <w:rPr>
          <w:kern w:val="0"/>
          <w:szCs w:val="21"/>
        </w:rPr>
      </w:pPr>
      <w:r>
        <w:rPr>
          <w:kern w:val="0"/>
          <w:szCs w:val="21"/>
        </w:rPr>
        <w:t>（六）法律意见书</w:t>
      </w:r>
    </w:p>
    <w:p w14:paraId="109AB371">
      <w:pPr>
        <w:autoSpaceDE w:val="0"/>
        <w:autoSpaceDN w:val="0"/>
        <w:adjustRightInd w:val="0"/>
        <w:snapToGrid w:val="0"/>
        <w:spacing w:line="360" w:lineRule="auto"/>
        <w:ind w:firstLine="420" w:firstLineChars="200"/>
        <w:rPr>
          <w:kern w:val="0"/>
          <w:szCs w:val="21"/>
        </w:rPr>
      </w:pPr>
      <w:r>
        <w:rPr>
          <w:kern w:val="0"/>
          <w:szCs w:val="21"/>
        </w:rPr>
        <w:t>（七）中国证监会要求的其他文件</w:t>
      </w:r>
    </w:p>
    <w:p w14:paraId="643F288A">
      <w:pPr>
        <w:autoSpaceDE w:val="0"/>
        <w:autoSpaceDN w:val="0"/>
        <w:adjustRightInd w:val="0"/>
        <w:snapToGrid w:val="0"/>
        <w:spacing w:line="360" w:lineRule="auto"/>
        <w:ind w:firstLine="420" w:firstLineChars="200"/>
      </w:pPr>
      <w:r>
        <w:rPr>
          <w:kern w:val="0"/>
          <w:szCs w:val="21"/>
        </w:rPr>
        <w:t>查阅方式：投资者可在营业时间免费查阅，也可按工本费购买复印件。</w:t>
      </w:r>
    </w:p>
    <w:p w14:paraId="4342AA5C">
      <w:pPr>
        <w:spacing w:line="360" w:lineRule="auto"/>
        <w:jc w:val="right"/>
      </w:pPr>
    </w:p>
    <w:p w14:paraId="3AAE9462">
      <w:pPr>
        <w:spacing w:line="360" w:lineRule="auto"/>
        <w:jc w:val="right"/>
      </w:pPr>
    </w:p>
    <w:p w14:paraId="68ED0074">
      <w:pPr>
        <w:spacing w:line="360" w:lineRule="auto"/>
        <w:jc w:val="right"/>
      </w:pPr>
      <w:r>
        <w:rPr>
          <w:rFonts w:hint="eastAsia"/>
        </w:rPr>
        <w:t xml:space="preserve">                                            博时基金管理有限公司</w:t>
      </w:r>
    </w:p>
    <w:p w14:paraId="3EEAF042">
      <w:pPr>
        <w:wordWrap w:val="0"/>
        <w:spacing w:line="360" w:lineRule="auto"/>
        <w:jc w:val="right"/>
        <w:rPr>
          <w:rFonts w:hint="eastAsia" w:asciiTheme="minorEastAsia" w:hAnsiTheme="minorEastAsia"/>
          <w:b/>
          <w:i/>
        </w:rPr>
      </w:pPr>
      <w:r>
        <w:rPr>
          <w:rFonts w:hint="eastAsia"/>
        </w:rPr>
        <w:t xml:space="preserve">                                            2026年</w:t>
      </w:r>
      <w:r>
        <w:rPr>
          <w:rFonts w:hint="eastAsia"/>
          <w:lang w:val="en-US" w:eastAsia="zh-CN"/>
        </w:rPr>
        <w:t>9</w:t>
      </w:r>
      <w:r>
        <w:rPr>
          <w:rFonts w:hint="eastAsia"/>
        </w:rPr>
        <w:t>月</w:t>
      </w:r>
      <w:r>
        <w:rPr>
          <w:rFonts w:hint="eastAsia"/>
          <w:lang w:val="en-US" w:eastAsia="zh-CN"/>
        </w:rPr>
        <w:t>30</w:t>
      </w:r>
      <w:r>
        <w:rPr>
          <w:rFonts w:hint="eastAsia"/>
        </w:rPr>
        <w:t>日</w:t>
      </w:r>
    </w:p>
    <w:sectPr>
      <w:footerReference r:id="rId50"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Malgun Gothic Semilight"/>
    <w:panose1 w:val="020B0604020202020204"/>
    <w:charset w:val="86"/>
    <w:family w:val="swiss"/>
    <w:pitch w:val="default"/>
    <w:sig w:usb0="00000000" w:usb1="00000000" w:usb2="0000003F" w:usb3="00000000" w:csb0="003F01FF" w:csb1="00000000"/>
  </w:font>
  <w:font w:name="楷体_GB2312">
    <w:altName w:val="楷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LucidaSans">
    <w:altName w:val="Times New Roman"/>
    <w:panose1 w:val="00000000000000000000"/>
    <w:charset w:val="00"/>
    <w:family w:val="auto"/>
    <w:pitch w:val="default"/>
    <w:sig w:usb0="00000000" w:usb1="00000000" w:usb2="00000000" w:usb3="00000000" w:csb0="00000001" w:csb1="00000000"/>
  </w:font>
  <w:font w:name="Cambria Math">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Malgun Gothic Semilight">
    <w:panose1 w:val="020B0502040204020203"/>
    <w:charset w:val="86"/>
    <w:family w:val="auto"/>
    <w:pitch w:val="default"/>
    <w:sig w:usb0="900002AF" w:usb1="01D77CFB" w:usb2="00000012" w:usb3="00000000" w:csb0="203E01BD" w:csb1="D7FF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D749A0">
    <w:pPr>
      <w:pStyle w:val="2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468376">
    <w:pPr>
      <w:pStyle w:val="26"/>
      <w:jc w:val="center"/>
      <w:rPr>
        <w:rFonts w:ascii="Arial" w:hAnsi="Arial" w:cs="Arial"/>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1747C">
    <w:pPr>
      <w:pStyle w:val="2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951CCC">
                          <w:pPr>
                            <w:pStyle w:val="2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o2IpktAgAAV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Mo2IpktAgAAVwQAAA4AAAAAAAAAAQAgAAAAHwEAAGRycy9lMm9Eb2MueG1sUEsFBgAAAAAG&#10;AAYAWQEAAL4FAAAAAA==&#10;">
              <v:fill on="f" focussize="0,0"/>
              <v:stroke on="f" weight="0.5pt"/>
              <v:imagedata o:title=""/>
              <o:lock v:ext="edit" aspectratio="f"/>
              <v:textbox inset="0mm,0mm,0mm,0mm" style="mso-fit-shape-to-text:t;">
                <w:txbxContent>
                  <w:p w14:paraId="65951CCC">
                    <w:pPr>
                      <w:pStyle w:val="2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EEAF2">
    <w:pPr>
      <w:pStyle w:val="26"/>
      <w:jc w:val="center"/>
      <w:rPr>
        <w:rFonts w:ascii="Arial" w:hAnsi="Arial" w:cs="Arial"/>
        <w:szCs w:val="21"/>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860193">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Lg11ktAgAAV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6DbLwlbvLI/Q&#10;UTxvV8cAAVtdoyidEr1W6Le2Mv1sxIb+c99GPf4Plr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DLg11ktAgAAVwQAAA4AAAAAAAAAAQAgAAAAHwEAAGRycy9lMm9Eb2MueG1sUEsFBgAAAAAG&#10;AAYAWQEAAL4FAAAAAA==&#10;">
              <v:fill on="f" focussize="0,0"/>
              <v:stroke on="f" weight="0.5pt"/>
              <v:imagedata o:title=""/>
              <o:lock v:ext="edit" aspectratio="f"/>
              <v:textbox inset="0mm,0mm,0mm,0mm" style="mso-fit-shape-to-text:t;">
                <w:txbxContent>
                  <w:p w14:paraId="59860193">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7E1F7">
    <w:pPr>
      <w:pStyle w:val="26"/>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EFC170">
                          <w:pPr>
                            <w:pStyle w:val="26"/>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JqthBktAgAAVwQAAA4AAAAAAAAAAQAgAAAAHwEAAGRycy9lMm9Eb2MueG1sUEsFBgAAAAAG&#10;AAYAWQEAAL4FAAAAAA==&#10;">
              <v:fill on="f" focussize="0,0"/>
              <v:stroke on="f" weight="0.5pt"/>
              <v:imagedata o:title=""/>
              <o:lock v:ext="edit" aspectratio="f"/>
              <v:textbox inset="0mm,0mm,0mm,0mm" style="mso-fit-shape-to-text:t;">
                <w:txbxContent>
                  <w:p w14:paraId="69EFC170">
                    <w:pPr>
                      <w:pStyle w:val="26"/>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F10E12">
    <w:pPr>
      <w:pStyle w:val="26"/>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A158D9">
                          <w:pPr>
                            <w:pStyle w:val="26"/>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AsRGw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ACxEbCwCAABXBAAADgAAAAAAAAABACAAAAAfAQAAZHJzL2Uyb0RvYy54bWxQSwUGAAAAAAYA&#10;BgBZAQAAvQUAAAAA&#10;">
              <v:fill on="f" focussize="0,0"/>
              <v:stroke on="f" weight="0.5pt"/>
              <v:imagedata o:title=""/>
              <o:lock v:ext="edit" aspectratio="f"/>
              <v:textbox inset="0mm,0mm,0mm,0mm" style="mso-fit-shape-to-text:t;">
                <w:txbxContent>
                  <w:p w14:paraId="2AA158D9">
                    <w:pPr>
                      <w:pStyle w:val="26"/>
                    </w:pPr>
                    <w:r>
                      <w:fldChar w:fldCharType="begin"/>
                    </w:r>
                    <w:r>
                      <w:instrText xml:space="preserve"> PAGE  \* MERGEFORMAT </w:instrText>
                    </w:r>
                    <w:r>
                      <w:fldChar w:fldCharType="separate"/>
                    </w:r>
                    <w:r>
                      <w:t>7</w:t>
                    </w:r>
                    <w:r>
                      <w:fldChar w:fldCharType="end"/>
                    </w:r>
                  </w:p>
                </w:txbxContent>
              </v:textbox>
            </v:shape>
          </w:pict>
        </mc:Fallback>
      </mc:AlternateContent>
    </w:r>
  </w:p>
  <w:p w14:paraId="23CA24BA">
    <w:pPr>
      <w:pStyle w:val="26"/>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3E398">
    <w:pPr>
      <w:pStyle w:val="26"/>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FA2345">
                          <w:pPr>
                            <w:pStyle w:val="26"/>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KhhFywtAgAAVwQAAA4AAAAAAAAAAQAgAAAAHwEAAGRycy9lMm9Eb2MueG1sUEsFBgAAAAAG&#10;AAYAWQEAAL4FAAAAAA==&#10;">
              <v:fill on="f" focussize="0,0"/>
              <v:stroke on="f" weight="0.5pt"/>
              <v:imagedata o:title=""/>
              <o:lock v:ext="edit" aspectratio="f"/>
              <v:textbox inset="0mm,0mm,0mm,0mm" style="mso-fit-shape-to-text:t;">
                <w:txbxContent>
                  <w:p w14:paraId="07FA2345">
                    <w:pPr>
                      <w:pStyle w:val="26"/>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81585">
    <w:pPr>
      <w:pStyle w:val="26"/>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DD24BC">
                          <w:pPr>
                            <w:pStyle w:val="26"/>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UMwDbKwIAAFcEAAAOAAAAAAAAAAEAIAAAAB8BAABkcnMvZTJvRG9jLnhtbFBLBQYAAAAABgAG&#10;AFkBAAC8BQAAAAA=&#10;">
              <v:fill on="f" focussize="0,0"/>
              <v:stroke on="f" weight="0.5pt"/>
              <v:imagedata o:title=""/>
              <o:lock v:ext="edit" aspectratio="f"/>
              <v:textbox inset="0mm,0mm,0mm,0mm" style="mso-fit-shape-to-text:t;">
                <w:txbxContent>
                  <w:p w14:paraId="01DD24BC">
                    <w:pPr>
                      <w:pStyle w:val="26"/>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C4E16">
    <w:pPr>
      <w:pStyle w:val="26"/>
      <w:jc w:val="cente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2482EE">
                          <w:pPr>
                            <w:pStyle w:val="26"/>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x+U5ssAgAAV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mDbLwlY/WB6h&#10;o3jerg4BAiZdoyidEr1WmLfUmf5txIH+c5+inv4Hy0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H5TmywCAABXBAAADgAAAAAAAAABACAAAAAfAQAAZHJzL2Uyb0RvYy54bWxQSwUGAAAAAAYA&#10;BgBZAQAAvQUAAAAA&#10;">
              <v:fill on="f" focussize="0,0"/>
              <v:stroke on="f" weight="0.5pt"/>
              <v:imagedata o:title=""/>
              <o:lock v:ext="edit" aspectratio="f"/>
              <v:textbox inset="0mm,0mm,0mm,0mm" style="mso-fit-shape-to-text:t;">
                <w:txbxContent>
                  <w:p w14:paraId="722482EE">
                    <w:pPr>
                      <w:pStyle w:val="26"/>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91CE89">
    <w:pPr>
      <w:pStyle w:val="26"/>
      <w:jc w:val="cente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384900">
                          <w:pPr>
                            <w:pStyle w:val="26"/>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Soplst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OrKSWaKVT8/OP7&#10;+efv869vBGcQqLF+jrgHi8jQvjMt2mY49ziMvNvSqfgFIwI/5D1d5BVtIDxemk1nszFcHL5hA/zs&#10;6bp1PrwXRpFo5NShfklWdtz60IUOITGbNptaylRDqUmT0+u3V+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ESoplstAgAAVwQAAA4AAAAAAAAAAQAgAAAAHwEAAGRycy9lMm9Eb2MueG1sUEsFBgAAAAAG&#10;AAYAWQEAAL4FAAAAAA==&#10;">
              <v:fill on="f" focussize="0,0"/>
              <v:stroke on="f" weight="0.5pt"/>
              <v:imagedata o:title=""/>
              <o:lock v:ext="edit" aspectratio="f"/>
              <v:textbox inset="0mm,0mm,0mm,0mm" style="mso-fit-shape-to-text:t;">
                <w:txbxContent>
                  <w:p w14:paraId="4B384900">
                    <w:pPr>
                      <w:pStyle w:val="26"/>
                    </w:pPr>
                    <w:r>
                      <w:fldChar w:fldCharType="begin"/>
                    </w:r>
                    <w:r>
                      <w:instrText xml:space="preserve"> PAGE  \* MERGEFORMAT </w:instrText>
                    </w:r>
                    <w:r>
                      <w:fldChar w:fldCharType="separate"/>
                    </w:r>
                    <w:r>
                      <w:t>21</w:t>
                    </w:r>
                    <w:r>
                      <w:fldChar w:fldCharType="end"/>
                    </w:r>
                  </w:p>
                </w:txbxContent>
              </v:textbox>
            </v:shape>
          </w:pict>
        </mc:Fallback>
      </mc:AlternateContent>
    </w:r>
  </w:p>
  <w:p w14:paraId="335FA9A8">
    <w:pPr>
      <w:pStyle w:val="26"/>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6BB13F">
    <w:pPr>
      <w:pStyle w:val="26"/>
      <w:jc w:val="center"/>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7DCB6D">
                          <w:pPr>
                            <w:pStyle w:val="26"/>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Ozl9RstAgAAVwQAAA4AAAAAAAAAAQAgAAAAHwEAAGRycy9lMm9Eb2MueG1sUEsFBgAAAAAG&#10;AAYAWQEAAL4FAAAAAA==&#10;">
              <v:fill on="f" focussize="0,0"/>
              <v:stroke on="f" weight="0.5pt"/>
              <v:imagedata o:title=""/>
              <o:lock v:ext="edit" aspectratio="f"/>
              <v:textbox inset="0mm,0mm,0mm,0mm" style="mso-fit-shape-to-text:t;">
                <w:txbxContent>
                  <w:p w14:paraId="6A7DCB6D">
                    <w:pPr>
                      <w:pStyle w:val="26"/>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3E289">
    <w:pPr>
      <w:pStyle w:val="26"/>
      <w:jc w:val="center"/>
      <w:rPr>
        <w:rFonts w:ascii="Arial" w:hAnsi="Arial" w:cs="Arial"/>
        <w:szCs w:val="21"/>
      </w:rPr>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92A3CD">
                          <w:pPr>
                            <w:pStyle w:val="26"/>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UDPAEtAgAAV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PUDPAEtAgAAVwQAAA4AAAAAAAAAAQAgAAAAHwEAAGRycy9lMm9Eb2MueG1sUEsFBgAAAAAG&#10;AAYAWQEAAL4FAAAAAA==&#10;">
              <v:fill on="f" focussize="0,0"/>
              <v:stroke on="f" weight="0.5pt"/>
              <v:imagedata o:title=""/>
              <o:lock v:ext="edit" aspectratio="f"/>
              <v:textbox inset="0mm,0mm,0mm,0mm" style="mso-fit-shape-to-text:t;">
                <w:txbxContent>
                  <w:p w14:paraId="7892A3CD">
                    <w:pPr>
                      <w:pStyle w:val="26"/>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8D1A89">
    <w:pPr>
      <w:pStyle w:val="26"/>
      <w:jc w:val="center"/>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024126">
                          <w:pPr>
                            <w:pStyle w:val="26"/>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1Ob0EtAgAAVw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rydpu2FqwfgUiNHJNE9Nlqh2Tc9s73J&#10;zyDmTNcb3vJNheRb5sMDc2gGPBjjEu6xFNIgiektSkrjvv7rPMajRvBSUqO5MqoxS5TIDxq1A2AY&#10;DDcY+8HQR3Vn0K1jjKHlrYkLLsjBLJxRXzBDq5gDLqY5MmU0DOZd6BocM8jFatUGodssC1u9szxC&#10;R/G8XR0DBGx1jaJ0SvRaod/ayvSzERv6z30b9fQ/WD4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F1Ob0EtAgAAVwQAAA4AAAAAAAAAAQAgAAAAHwEAAGRycy9lMm9Eb2MueG1sUEsFBgAAAAAG&#10;AAYAWQEAAL4FAAAAAA==&#10;">
              <v:fill on="f" focussize="0,0"/>
              <v:stroke on="f" weight="0.5pt"/>
              <v:imagedata o:title=""/>
              <o:lock v:ext="edit" aspectratio="f"/>
              <v:textbox inset="0mm,0mm,0mm,0mm" style="mso-fit-shape-to-text:t;">
                <w:txbxContent>
                  <w:p w14:paraId="53024126">
                    <w:pPr>
                      <w:pStyle w:val="26"/>
                    </w:pPr>
                    <w:r>
                      <w:fldChar w:fldCharType="begin"/>
                    </w:r>
                    <w:r>
                      <w:instrText xml:space="preserve"> PAGE  \* MERGEFORMAT </w:instrText>
                    </w:r>
                    <w:r>
                      <w:fldChar w:fldCharType="separate"/>
                    </w:r>
                    <w:r>
                      <w:t>24</w:t>
                    </w:r>
                    <w:r>
                      <w:fldChar w:fldCharType="end"/>
                    </w:r>
                  </w:p>
                </w:txbxContent>
              </v:textbox>
            </v:shape>
          </w:pict>
        </mc:Fallback>
      </mc:AlternateContent>
    </w:r>
  </w:p>
  <w:p w14:paraId="5A740678">
    <w:pPr>
      <w:pStyle w:val="26"/>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BB9133">
    <w:pPr>
      <w:pStyle w:val="26"/>
      <w:jc w:val="center"/>
    </w:pPr>
    <w: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A07661">
                          <w:pPr>
                            <w:pStyle w:val="26"/>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WYmoEtAgAAVw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t/epO2FqwfgUiNHJNE9Nlqh2Tc9s73J&#10;zyDmTNcb3vJNheRb5sMDc2gGPBjjEu6xFNIgiektSkrjvv7rPMajRvBSUqO5MqoxS5TIDxq1A2AY&#10;DDcY+8HQR3Vn0K1jjKHlrYkLLsjBLJxRXzBDq5gDLqY5MmU0DOZd6BocM8jFatUGodssC1u9szxC&#10;R/G8XR0DBGx1jaJ0SvRaod/ayvSzERv6z30b9fQ/WD4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KWYmoEtAgAAVwQAAA4AAAAAAAAAAQAgAAAAHwEAAGRycy9lMm9Eb2MueG1sUEsFBgAAAAAG&#10;AAYAWQEAAL4FAAAAAA==&#10;">
              <v:fill on="f" focussize="0,0"/>
              <v:stroke on="f" weight="0.5pt"/>
              <v:imagedata o:title=""/>
              <o:lock v:ext="edit" aspectratio="f"/>
              <v:textbox inset="0mm,0mm,0mm,0mm" style="mso-fit-shape-to-text:t;">
                <w:txbxContent>
                  <w:p w14:paraId="6FA07661">
                    <w:pPr>
                      <w:pStyle w:val="26"/>
                    </w:pPr>
                    <w:r>
                      <w:fldChar w:fldCharType="begin"/>
                    </w:r>
                    <w:r>
                      <w:instrText xml:space="preserve"> PAGE  \* MERGEFORMAT </w:instrText>
                    </w:r>
                    <w:r>
                      <w:fldChar w:fldCharType="separate"/>
                    </w:r>
                    <w:r>
                      <w:t>27</w:t>
                    </w:r>
                    <w:r>
                      <w:fldChar w:fldCharType="end"/>
                    </w:r>
                  </w:p>
                </w:txbxContent>
              </v:textbox>
            </v:shape>
          </w:pict>
        </mc:Fallback>
      </mc:AlternateContent>
    </w:r>
  </w:p>
  <w:p w14:paraId="42CC0A0A">
    <w:pPr>
      <w:pStyle w:val="26"/>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847507">
    <w:pPr>
      <w:pStyle w:val="26"/>
      <w:jc w:val="center"/>
    </w:pP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ED8D1D">
                          <w:pPr>
                            <w:pStyle w:val="26"/>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3VycEtAgAAV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A3VycEtAgAAVwQAAA4AAAAAAAAAAQAgAAAAHwEAAGRycy9lMm9Eb2MueG1sUEsFBgAAAAAG&#10;AAYAWQEAAL4FAAAAAA==&#10;">
              <v:fill on="f" focussize="0,0"/>
              <v:stroke on="f" weight="0.5pt"/>
              <v:imagedata o:title=""/>
              <o:lock v:ext="edit" aspectratio="f"/>
              <v:textbox inset="0mm,0mm,0mm,0mm" style="mso-fit-shape-to-text:t;">
                <w:txbxContent>
                  <w:p w14:paraId="42ED8D1D">
                    <w:pPr>
                      <w:pStyle w:val="26"/>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10B45">
    <w:pPr>
      <w:pStyle w:val="26"/>
      <w:jc w:val="center"/>
    </w:pPr>
    <w: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8" name="文本框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1C7898">
                          <w:pPr>
                            <w:pStyle w:val="26"/>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dUCbQt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JdUCbQtAgAAVwQAAA4AAAAAAAAAAQAgAAAAHwEAAGRycy9lMm9Eb2MueG1sUEsFBgAAAAAG&#10;AAYAWQEAAL4FAAAAAA==&#10;">
              <v:fill on="f" focussize="0,0"/>
              <v:stroke on="f" weight="0.5pt"/>
              <v:imagedata o:title=""/>
              <o:lock v:ext="edit" aspectratio="f"/>
              <v:textbox inset="0mm,0mm,0mm,0mm" style="mso-fit-shape-to-text:t;">
                <w:txbxContent>
                  <w:p w14:paraId="0F1C7898">
                    <w:pPr>
                      <w:pStyle w:val="26"/>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7C0E4B">
    <w:pPr>
      <w:pStyle w:val="26"/>
      <w:jc w:val="center"/>
    </w:pPr>
    <w: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A79A8D">
                          <w:pPr>
                            <w:pStyle w:val="26"/>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8ZWvQtAgAAVwQAAA4AAABkcnMvZTJvRG9jLnhtbK1UzY7TMBC+I/EO&#10;lu80adGuSt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D8ZWvQtAgAAVwQAAA4AAAAAAAAAAQAgAAAAHwEAAGRycy9lMm9Eb2MueG1sUEsFBgAAAAAG&#10;AAYAWQEAAL4FAAAAAA==&#10;">
              <v:fill on="f" focussize="0,0"/>
              <v:stroke on="f" weight="0.5pt"/>
              <v:imagedata o:title=""/>
              <o:lock v:ext="edit" aspectratio="f"/>
              <v:textbox inset="0mm,0mm,0mm,0mm" style="mso-fit-shape-to-text:t;">
                <w:txbxContent>
                  <w:p w14:paraId="1EA79A8D">
                    <w:pPr>
                      <w:pStyle w:val="26"/>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FC195">
    <w:pPr>
      <w:pStyle w:val="26"/>
      <w:jc w:val="center"/>
    </w:pPr>
    <w: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27642C">
                          <w:pPr>
                            <w:pStyle w:val="26"/>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y8pmg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DsvKZoKwIAAFcEAAAOAAAAAAAAAAEAIAAAAB8BAABkcnMvZTJvRG9jLnhtbFBLBQYAAAAABgAG&#10;AFkBAAC8BQAAAAA=&#10;">
              <v:fill on="f" focussize="0,0"/>
              <v:stroke on="f" weight="0.5pt"/>
              <v:imagedata o:title=""/>
              <o:lock v:ext="edit" aspectratio="f"/>
              <v:textbox inset="0mm,0mm,0mm,0mm" style="mso-fit-shape-to-text:t;">
                <w:txbxContent>
                  <w:p w14:paraId="2B27642C">
                    <w:pPr>
                      <w:pStyle w:val="26"/>
                    </w:pPr>
                    <w:r>
                      <w:fldChar w:fldCharType="begin"/>
                    </w:r>
                    <w:r>
                      <w:instrText xml:space="preserve"> PAGE  \* MERGEFORMAT </w:instrText>
                    </w:r>
                    <w:r>
                      <w:fldChar w:fldCharType="separate"/>
                    </w:r>
                    <w:r>
                      <w:t>37</w:t>
                    </w:r>
                    <w:r>
                      <w:fldChar w:fldCharType="end"/>
                    </w:r>
                  </w:p>
                </w:txbxContent>
              </v:textbox>
            </v:shape>
          </w:pict>
        </mc:Fallback>
      </mc:AlternateContent>
    </w:r>
  </w:p>
  <w:p w14:paraId="6DF9DF52">
    <w:pPr>
      <w:pStyle w:val="26"/>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876A4D">
    <w:pPr>
      <w:pStyle w:val="26"/>
      <w:jc w:val="center"/>
    </w:pPr>
    <w: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61" name="文本框 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421747">
                          <w:pPr>
                            <w:pStyle w:val="26"/>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Tx9Sg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E8fUoKwIAAFcEAAAOAAAAAAAAAAEAIAAAAB8BAABkcnMvZTJvRG9jLnhtbFBLBQYAAAAABgAG&#10;AFkBAAC8BQAAAAA=&#10;">
              <v:fill on="f" focussize="0,0"/>
              <v:stroke on="f" weight="0.5pt"/>
              <v:imagedata o:title=""/>
              <o:lock v:ext="edit" aspectratio="f"/>
              <v:textbox inset="0mm,0mm,0mm,0mm" style="mso-fit-shape-to-text:t;">
                <w:txbxContent>
                  <w:p w14:paraId="32421747">
                    <w:pPr>
                      <w:pStyle w:val="26"/>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521994">
    <w:pPr>
      <w:pStyle w:val="26"/>
      <w:jc w:val="center"/>
    </w:pPr>
    <w: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6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AFF2F2">
                          <w:pPr>
                            <w:pStyle w:val="26"/>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wnAOg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8JwDoKwIAAFcEAAAOAAAAAAAAAAEAIAAAAB8BAABkcnMvZTJvRG9jLnhtbFBLBQYAAAAABgAG&#10;AFkBAAC8BQAAAAA=&#10;">
              <v:fill on="f" focussize="0,0"/>
              <v:stroke on="f" weight="0.5pt"/>
              <v:imagedata o:title=""/>
              <o:lock v:ext="edit" aspectratio="f"/>
              <v:textbox inset="0mm,0mm,0mm,0mm" style="mso-fit-shape-to-text:t;">
                <w:txbxContent>
                  <w:p w14:paraId="11AFF2F2">
                    <w:pPr>
                      <w:pStyle w:val="26"/>
                    </w:pPr>
                    <w:r>
                      <w:fldChar w:fldCharType="begin"/>
                    </w:r>
                    <w:r>
                      <w:instrText xml:space="preserve"> PAGE  \* MERGEFORMAT </w:instrText>
                    </w:r>
                    <w:r>
                      <w:fldChar w:fldCharType="separate"/>
                    </w:r>
                    <w:r>
                      <w:t>39</w:t>
                    </w:r>
                    <w:r>
                      <w:fldChar w:fldCharType="end"/>
                    </w:r>
                  </w:p>
                </w:txbxContent>
              </v:textbox>
            </v:shape>
          </w:pict>
        </mc:Fallback>
      </mc:AlternateContent>
    </w:r>
  </w:p>
  <w:p w14:paraId="33A5FA4A">
    <w:pPr>
      <w:pStyle w:val="26"/>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9FE8A3">
    <w:pPr>
      <w:pStyle w:val="26"/>
      <w:jc w:val="center"/>
    </w:pPr>
    <w: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CA7F87">
                          <w:pPr>
                            <w:pStyle w:val="26"/>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qU6g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UalOoKwIAAFcEAAAOAAAAAAAAAAEAIAAAAB8BAABkcnMvZTJvRG9jLnhtbFBLBQYAAAAABgAG&#10;AFkBAAC8BQAAAAA=&#10;">
              <v:fill on="f" focussize="0,0"/>
              <v:stroke on="f" weight="0.5pt"/>
              <v:imagedata o:title=""/>
              <o:lock v:ext="edit" aspectratio="f"/>
              <v:textbox inset="0mm,0mm,0mm,0mm" style="mso-fit-shape-to-text:t;">
                <w:txbxContent>
                  <w:p w14:paraId="5ACA7F87">
                    <w:pPr>
                      <w:pStyle w:val="26"/>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EEF5BD">
    <w:pPr>
      <w:pStyle w:val="26"/>
      <w:jc w:val="center"/>
    </w:pPr>
    <w: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64" name="文本框 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34E71B">
                          <w:pPr>
                            <w:pStyle w:val="26"/>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2MmrI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DYyasiwCAABXBAAADgAAAAAAAAABACAAAAAfAQAAZHJzL2Uyb0RvYy54bWxQSwUGAAAAAAYA&#10;BgBZAQAAvQUAAAAA&#10;">
              <v:fill on="f" focussize="0,0"/>
              <v:stroke on="f" weight="0.5pt"/>
              <v:imagedata o:title=""/>
              <o:lock v:ext="edit" aspectratio="f"/>
              <v:textbox inset="0mm,0mm,0mm,0mm" style="mso-fit-shape-to-text:t;">
                <w:txbxContent>
                  <w:p w14:paraId="5E34E71B">
                    <w:pPr>
                      <w:pStyle w:val="26"/>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E81A9">
    <w:pPr>
      <w:pStyle w:val="26"/>
      <w:jc w:val="center"/>
    </w:pPr>
    <w: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22CFFA">
                          <w:pPr>
                            <w:pStyle w:val="26"/>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XByfI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pcHJ8iwCAABXBAAADgAAAAAAAAABACAAAAAfAQAAZHJzL2Uyb0RvYy54bWxQSwUGAAAAAAYA&#10;BgBZAQAAvQUAAAAA&#10;">
              <v:fill on="f" focussize="0,0"/>
              <v:stroke on="f" weight="0.5pt"/>
              <v:imagedata o:title=""/>
              <o:lock v:ext="edit" aspectratio="f"/>
              <v:textbox inset="0mm,0mm,0mm,0mm" style="mso-fit-shape-to-text:t;">
                <w:txbxContent>
                  <w:p w14:paraId="4F22CFFA">
                    <w:pPr>
                      <w:pStyle w:val="26"/>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325351">
    <w:pPr>
      <w:pStyle w:val="26"/>
      <w:jc w:val="center"/>
    </w:pPr>
    <w: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66"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6EE164">
                          <w:pPr>
                            <w:pStyle w:val="26"/>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0XPDI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dFzwyKwIAAFcEAAAOAAAAAAAAAAEAIAAAAB8BAABkcnMvZTJvRG9jLnhtbFBLBQYAAAAABgAG&#10;AFkBAAC8BQAAAAA=&#10;">
              <v:fill on="f" focussize="0,0"/>
              <v:stroke on="f" weight="0.5pt"/>
              <v:imagedata o:title=""/>
              <o:lock v:ext="edit" aspectratio="f"/>
              <v:textbox inset="0mm,0mm,0mm,0mm" style="mso-fit-shape-to-text:t;">
                <w:txbxContent>
                  <w:p w14:paraId="716EE164">
                    <w:pPr>
                      <w:pStyle w:val="26"/>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C3E6E6">
    <w:pPr>
      <w:pStyle w:val="26"/>
      <w:jc w:val="center"/>
    </w:pPr>
    <w: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E79C45">
                          <w:pPr>
                            <w:pStyle w:val="26"/>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Vab3I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9VpvciwCAABXBAAADgAAAAAAAAABACAAAAAfAQAAZHJzL2Uyb0RvYy54bWxQSwUGAAAAAAYA&#10;BgBZAQAAvQUAAAAA&#10;">
              <v:fill on="f" focussize="0,0"/>
              <v:stroke on="f" weight="0.5pt"/>
              <v:imagedata o:title=""/>
              <o:lock v:ext="edit" aspectratio="f"/>
              <v:textbox inset="0mm,0mm,0mm,0mm" style="mso-fit-shape-to-text:t;">
                <w:txbxContent>
                  <w:p w14:paraId="26E79C45">
                    <w:pPr>
                      <w:pStyle w:val="26"/>
                    </w:pPr>
                    <w:r>
                      <w:fldChar w:fldCharType="begin"/>
                    </w:r>
                    <w:r>
                      <w:instrText xml:space="preserve"> PAGE  \* MERGEFORMAT </w:instrText>
                    </w:r>
                    <w:r>
                      <w:fldChar w:fldCharType="separate"/>
                    </w:r>
                    <w:r>
                      <w:t>56</w:t>
                    </w:r>
                    <w:r>
                      <w:fldChar w:fldCharType="end"/>
                    </w:r>
                  </w:p>
                </w:txbxContent>
              </v:textbox>
            </v:shape>
          </w:pict>
        </mc:Fallback>
      </mc:AlternateContent>
    </w:r>
  </w:p>
  <w:p w14:paraId="5C59E63A">
    <w:pPr>
      <w:pStyle w:val="26"/>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746DD">
    <w:pPr>
      <w:pStyle w:val="26"/>
      <w:jc w:val="center"/>
    </w:pPr>
    <w: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68"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B6DDC5">
                          <w:pPr>
                            <w:pStyle w:val="26"/>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brwc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v268HKwIAAFcEAAAOAAAAAAAAAAEAIAAAAB8BAABkcnMvZTJvRG9jLnhtbFBLBQYAAAAABgAG&#10;AFkBAAC8BQAAAAA=&#10;">
              <v:fill on="f" focussize="0,0"/>
              <v:stroke on="f" weight="0.5pt"/>
              <v:imagedata o:title=""/>
              <o:lock v:ext="edit" aspectratio="f"/>
              <v:textbox inset="0mm,0mm,0mm,0mm" style="mso-fit-shape-to-text:t;">
                <w:txbxContent>
                  <w:p w14:paraId="2CB6DDC5">
                    <w:pPr>
                      <w:pStyle w:val="26"/>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D57062">
    <w:pPr>
      <w:pStyle w:val="26"/>
      <w:jc w:val="center"/>
    </w:pPr>
    <w: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69"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3264D1">
                          <w:pPr>
                            <w:pStyle w:val="26"/>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W/EcsAgAAVw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x5b8RywCAABXBAAADgAAAAAAAAABACAAAAAfAQAAZHJzL2Uyb0RvYy54bWxQSwUGAAAAAAYA&#10;BgBZAQAAvQUAAAAA&#10;">
              <v:fill on="f" focussize="0,0"/>
              <v:stroke on="f" weight="0.5pt"/>
              <v:imagedata o:title=""/>
              <o:lock v:ext="edit" aspectratio="f"/>
              <v:textbox inset="0mm,0mm,0mm,0mm" style="mso-fit-shape-to-text:t;">
                <w:txbxContent>
                  <w:p w14:paraId="303264D1">
                    <w:pPr>
                      <w:pStyle w:val="26"/>
                    </w:pPr>
                    <w:r>
                      <w:fldChar w:fldCharType="begin"/>
                    </w:r>
                    <w:r>
                      <w:instrText xml:space="preserve"> PAGE  \* MERGEFORMAT </w:instrText>
                    </w:r>
                    <w:r>
                      <w:fldChar w:fldCharType="separate"/>
                    </w:r>
                    <w:r>
                      <w:t>61</w:t>
                    </w:r>
                    <w:r>
                      <w:fldChar w:fldCharType="end"/>
                    </w:r>
                  </w:p>
                </w:txbxContent>
              </v:textbox>
            </v:shape>
          </w:pict>
        </mc:Fallback>
      </mc:AlternateContent>
    </w:r>
  </w:p>
  <w:p w14:paraId="215A7B0C">
    <w:pPr>
      <w:pStyle w:val="26"/>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208EC">
    <w:pPr>
      <w:pStyle w:val="26"/>
      <w:jc w:val="center"/>
    </w:pPr>
    <w: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0" name="文本框 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4B216E">
                          <w:pPr>
                            <w:pStyle w:val="26"/>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vE67A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e8TrsCwCAABXBAAADgAAAAAAAAABACAAAAAfAQAAZHJzL2Uyb0RvYy54bWxQSwUGAAAAAAYA&#10;BgBZAQAAvQUAAAAA&#10;">
              <v:fill on="f" focussize="0,0"/>
              <v:stroke on="f" weight="0.5pt"/>
              <v:imagedata o:title=""/>
              <o:lock v:ext="edit" aspectratio="f"/>
              <v:textbox inset="0mm,0mm,0mm,0mm" style="mso-fit-shape-to-text:t;">
                <w:txbxContent>
                  <w:p w14:paraId="1D4B216E">
                    <w:pPr>
                      <w:pStyle w:val="26"/>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2E74B">
    <w:pPr>
      <w:pStyle w:val="26"/>
      <w:jc w:val="center"/>
    </w:pPr>
    <w: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1" name="文本框 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F7E31E">
                          <w:pPr>
                            <w:pStyle w:val="26"/>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04m48CwCAABXBAAADgAAAAAAAAABACAAAAAfAQAAZHJzL2Uyb0RvYy54bWxQSwUGAAAAAAYA&#10;BgBZAQAAvQUAAAAA&#10;">
              <v:fill on="f" focussize="0,0"/>
              <v:stroke on="f" weight="0.5pt"/>
              <v:imagedata o:title=""/>
              <o:lock v:ext="edit" aspectratio="f"/>
              <v:textbox inset="0mm,0mm,0mm,0mm" style="mso-fit-shape-to-text:t;">
                <w:txbxContent>
                  <w:p w14:paraId="7DF7E31E">
                    <w:pPr>
                      <w:pStyle w:val="26"/>
                    </w:pPr>
                    <w:r>
                      <w:fldChar w:fldCharType="begin"/>
                    </w:r>
                    <w:r>
                      <w:instrText xml:space="preserve"> PAGE  \* MERGEFORMAT </w:instrText>
                    </w:r>
                    <w:r>
                      <w:fldChar w:fldCharType="separate"/>
                    </w:r>
                    <w:r>
                      <w:t>63</w:t>
                    </w:r>
                    <w:r>
                      <w:fldChar w:fldCharType="end"/>
                    </w:r>
                  </w:p>
                </w:txbxContent>
              </v:textbox>
            </v:shape>
          </w:pict>
        </mc:Fallback>
      </mc:AlternateContent>
    </w:r>
  </w:p>
  <w:p w14:paraId="5DD390BC">
    <w:pPr>
      <w:pStyle w:val="26"/>
    </w:pP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10F21">
    <w:pPr>
      <w:pStyle w:val="26"/>
      <w:jc w:val="center"/>
    </w:pPr>
    <w: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2"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30E2B0">
                          <w:pPr>
                            <w:pStyle w:val="26"/>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tfTTAt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r6dUKKZQsVPP76f&#10;fj6cfn0jOINArfUzxN1bRIbunenQNsO5x2Hk3VVOxS8YEfgh7/Eir+gC4fHSdDKd5nBx+IYN8LPH&#10;69b58F4YRaJRUIf6JVnZYeNDHzqExGzarBspUw2lJm1Br16/y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CtfTTAtAgAAVwQAAA4AAAAAAAAAAQAgAAAAHwEAAGRycy9lMm9Eb2MueG1sUEsFBgAAAAAG&#10;AAYAWQEAAL4FAAAAAA==&#10;">
              <v:fill on="f" focussize="0,0"/>
              <v:stroke on="f" weight="0.5pt"/>
              <v:imagedata o:title=""/>
              <o:lock v:ext="edit" aspectratio="f"/>
              <v:textbox inset="0mm,0mm,0mm,0mm" style="mso-fit-shape-to-text:t;">
                <w:txbxContent>
                  <w:p w14:paraId="3430E2B0">
                    <w:pPr>
                      <w:pStyle w:val="26"/>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2B885B">
    <w:pPr>
      <w:pStyle w:val="26"/>
      <w:jc w:val="center"/>
    </w:pPr>
    <w: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3"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94A67C">
                          <w:pPr>
                            <w:pStyle w:val="26"/>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MSHnAtAgAAVwQAAA4AAABkcnMvZTJvRG9jLnhtbK1UzY7TMBC+I/EO&#10;lu80aVcs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b56na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IMSHnAtAgAAVwQAAA4AAAAAAAAAAQAgAAAAHwEAAGRycy9lMm9Eb2MueG1sUEsFBgAAAAAG&#10;AAYAWQEAAL4FAAAAAA==&#10;">
              <v:fill on="f" focussize="0,0"/>
              <v:stroke on="f" weight="0.5pt"/>
              <v:imagedata o:title=""/>
              <o:lock v:ext="edit" aspectratio="f"/>
              <v:textbox inset="0mm,0mm,0mm,0mm" style="mso-fit-shape-to-text:t;">
                <w:txbxContent>
                  <w:p w14:paraId="4794A67C">
                    <w:pPr>
                      <w:pStyle w:val="26"/>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6F1CB9">
    <w:pPr>
      <w:pStyle w:val="26"/>
      <w:jc w:val="center"/>
    </w:pPr>
    <w: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4"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302543">
                          <w:pPr>
                            <w:pStyle w:val="26"/>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Jr012otAgAAVwQAAA4AAAAAAAAAAQAgAAAAHwEAAGRycy9lMm9Eb2MueG1sUEsFBgAAAAAG&#10;AAYAWQEAAL4FAAAAAA==&#10;">
              <v:fill on="f" focussize="0,0"/>
              <v:stroke on="f" weight="0.5pt"/>
              <v:imagedata o:title=""/>
              <o:lock v:ext="edit" aspectratio="f"/>
              <v:textbox inset="0mm,0mm,0mm,0mm" style="mso-fit-shape-to-text:t;">
                <w:txbxContent>
                  <w:p w14:paraId="7F302543">
                    <w:pPr>
                      <w:pStyle w:val="26"/>
                    </w:pPr>
                    <w:r>
                      <w:fldChar w:fldCharType="begin"/>
                    </w:r>
                    <w:r>
                      <w:instrText xml:space="preserve"> PAGE  \* MERGEFORMAT </w:instrText>
                    </w:r>
                    <w:r>
                      <w:fldChar w:fldCharType="separate"/>
                    </w:r>
                    <w:r>
                      <w:t>66</w:t>
                    </w:r>
                    <w:r>
                      <w:fldChar w:fldCharType="end"/>
                    </w:r>
                  </w:p>
                </w:txbxContent>
              </v:textbox>
            </v:shape>
          </w:pict>
        </mc:Fallback>
      </mc:AlternateContent>
    </w:r>
  </w:p>
  <w:p w14:paraId="6490D5FA">
    <w:pPr>
      <w:pStyle w:val="26"/>
    </w:pP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EA8482">
    <w:pPr>
      <w:pStyle w:val="26"/>
      <w:jc w:val="center"/>
    </w:pPr>
    <w: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5" name="文本框 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F64D10">
                          <w:pPr>
                            <w:pStyle w:val="26"/>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K5hCotAgAAV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DK5hCotAgAAVwQAAA4AAAAAAAAAAQAgAAAAHwEAAGRycy9lMm9Eb2MueG1sUEsFBgAAAAAG&#10;AAYAWQEAAL4FAAAAAA==&#10;">
              <v:fill on="f" focussize="0,0"/>
              <v:stroke on="f" weight="0.5pt"/>
              <v:imagedata o:title=""/>
              <o:lock v:ext="edit" aspectratio="f"/>
              <v:textbox inset="0mm,0mm,0mm,0mm" style="mso-fit-shape-to-text:t;">
                <w:txbxContent>
                  <w:p w14:paraId="40F64D10">
                    <w:pPr>
                      <w:pStyle w:val="26"/>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0EA03">
    <w:pPr>
      <w:pStyle w:val="26"/>
      <w:jc w:val="center"/>
    </w:pPr>
    <w: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6" name="文本框 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1C9093">
                          <w:pPr>
                            <w:pStyle w:val="26"/>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pvceotAgAAVwQAAA4AAABkcnMvZTJvRG9jLnhtbK1UzY7TMBC+I/EO&#10;lu80aRGl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MpvceotAgAAVwQAAA4AAAAAAAAAAQAgAAAAHwEAAGRycy9lMm9Eb2MueG1sUEsFBgAAAAAG&#10;AAYAWQEAAL4FAAAAAA==&#10;">
              <v:fill on="f" focussize="0,0"/>
              <v:stroke on="f" weight="0.5pt"/>
              <v:imagedata o:title=""/>
              <o:lock v:ext="edit" aspectratio="f"/>
              <v:textbox inset="0mm,0mm,0mm,0mm" style="mso-fit-shape-to-text:t;">
                <w:txbxContent>
                  <w:p w14:paraId="591C9093">
                    <w:pPr>
                      <w:pStyle w:val="26"/>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D2D60C">
    <w:pPr>
      <w:pStyle w:val="26"/>
      <w:jc w:val="center"/>
    </w:pPr>
    <w: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0C8B31">
                          <w:pPr>
                            <w:pStyle w:val="26"/>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IiIqotAgAAVw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GIiIqotAgAAVwQAAA4AAAAAAAAAAQAgAAAAHwEAAGRycy9lMm9Eb2MueG1sUEsFBgAAAAAG&#10;AAYAWQEAAL4FAAAAAA==&#10;">
              <v:fill on="f" focussize="0,0"/>
              <v:stroke on="f" weight="0.5pt"/>
              <v:imagedata o:title=""/>
              <o:lock v:ext="edit" aspectratio="f"/>
              <v:textbox inset="0mm,0mm,0mm,0mm" style="mso-fit-shape-to-text:t;">
                <w:txbxContent>
                  <w:p w14:paraId="5B0C8B31">
                    <w:pPr>
                      <w:pStyle w:val="26"/>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35811">
    <w:pPr>
      <w:pStyle w:val="26"/>
      <w:jc w:val="center"/>
    </w:pPr>
    <w: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8" name="文本框 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B845D4">
                          <w:pPr>
                            <w:pStyle w:val="26"/>
                          </w:pPr>
                          <w:r>
                            <w:fldChar w:fldCharType="begin"/>
                          </w:r>
                          <w:r>
                            <w:instrText xml:space="preserve"> PAGE  \* MERGEFORMAT </w:instrText>
                          </w:r>
                          <w:r>
                            <w:fldChar w:fldCharType="separate"/>
                          </w:r>
                          <w:r>
                            <w:t>79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ij4t8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Pi3ywCAABXBAAADgAAAAAAAAABACAAAAAfAQAAZHJzL2Uyb0RvYy54bWxQSwUGAAAAAAYA&#10;BgBZAQAAvQUAAAAA&#10;">
              <v:fill on="f" focussize="0,0"/>
              <v:stroke on="f" weight="0.5pt"/>
              <v:imagedata o:title=""/>
              <o:lock v:ext="edit" aspectratio="f"/>
              <v:textbox inset="0mm,0mm,0mm,0mm" style="mso-fit-shape-to-text:t;">
                <w:txbxContent>
                  <w:p w14:paraId="3EB845D4">
                    <w:pPr>
                      <w:pStyle w:val="26"/>
                    </w:pPr>
                    <w:r>
                      <w:fldChar w:fldCharType="begin"/>
                    </w:r>
                    <w:r>
                      <w:instrText xml:space="preserve"> PAGE  \* MERGEFORMAT </w:instrText>
                    </w:r>
                    <w:r>
                      <w:fldChar w:fldCharType="separate"/>
                    </w:r>
                    <w:r>
                      <w:t>79</w:t>
                    </w:r>
                    <w:r>
                      <w:fldChar w:fldCharType="end"/>
                    </w:r>
                  </w:p>
                </w:txbxContent>
              </v:textbox>
            </v:shape>
          </w:pict>
        </mc:Fallback>
      </mc:AlternateContent>
    </w:r>
  </w:p>
  <w:p w14:paraId="0DD54714">
    <w:pPr>
      <w:pStyle w:val="26"/>
    </w:pP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9CF723">
    <w:pPr>
      <w:pStyle w:val="26"/>
      <w:jc w:val="center"/>
    </w:pPr>
    <w: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79" name="文本框 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7D14F1">
                          <w:pPr>
                            <w:pStyle w:val="26"/>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FDusZ8tAgAAVwQAAA4AAAAAAAAAAQAgAAAAHwEAAGRycy9lMm9Eb2MueG1sUEsFBgAAAAAG&#10;AAYAWQEAAL4FAAAAAA==&#10;">
              <v:fill on="f" focussize="0,0"/>
              <v:stroke on="f" weight="0.5pt"/>
              <v:imagedata o:title=""/>
              <o:lock v:ext="edit" aspectratio="f"/>
              <v:textbox inset="0mm,0mm,0mm,0mm" style="mso-fit-shape-to-text:t;">
                <w:txbxContent>
                  <w:p w14:paraId="017D14F1">
                    <w:pPr>
                      <w:pStyle w:val="26"/>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5AA372">
    <w:pPr>
      <w:pStyle w:val="26"/>
      <w:jc w:val="center"/>
    </w:pPr>
    <w: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80" name="文本框 8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2A14BB">
                          <w:pPr>
                            <w:pStyle w:val="26"/>
                          </w:pPr>
                          <w:r>
                            <w:fldChar w:fldCharType="begin"/>
                          </w:r>
                          <w:r>
                            <w:instrText xml:space="preserve"> PAGE  \* MERGEFORMAT </w:instrText>
                          </w:r>
                          <w:r>
                            <w:fldChar w:fldCharType="separate"/>
                          </w:r>
                          <w:r>
                            <w:t>81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B+RKA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gfkSgKwIAAFcEAAAOAAAAAAAAAAEAIAAAAB8BAABkcnMvZTJvRG9jLnhtbFBLBQYAAAAABgAG&#10;AFkBAAC8BQAAAAA=&#10;">
              <v:fill on="f" focussize="0,0"/>
              <v:stroke on="f" weight="0.5pt"/>
              <v:imagedata o:title=""/>
              <o:lock v:ext="edit" aspectratio="f"/>
              <v:textbox inset="0mm,0mm,0mm,0mm" style="mso-fit-shape-to-text:t;">
                <w:txbxContent>
                  <w:p w14:paraId="5F2A14BB">
                    <w:pPr>
                      <w:pStyle w:val="26"/>
                    </w:pPr>
                    <w:r>
                      <w:fldChar w:fldCharType="begin"/>
                    </w:r>
                    <w:r>
                      <w:instrText xml:space="preserve"> PAGE  \* MERGEFORMAT </w:instrText>
                    </w:r>
                    <w:r>
                      <w:fldChar w:fldCharType="separate"/>
                    </w:r>
                    <w:r>
                      <w:t>81</w:t>
                    </w:r>
                    <w:r>
                      <w:fldChar w:fldCharType="end"/>
                    </w:r>
                  </w:p>
                </w:txbxContent>
              </v:textbox>
            </v:shape>
          </w:pict>
        </mc:Fallback>
      </mc:AlternateContent>
    </w:r>
  </w:p>
  <w:p w14:paraId="70423422">
    <w:pPr>
      <w:pStyle w:val="26"/>
    </w:pP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F039F7">
    <w:pPr>
      <w:pStyle w:val="26"/>
      <w:jc w:val="center"/>
    </w:pPr>
    <w: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4FCC29">
                          <w:pPr>
                            <w:pStyle w:val="26"/>
                          </w:pPr>
                          <w:r>
                            <w:fldChar w:fldCharType="begin"/>
                          </w:r>
                          <w:r>
                            <w:instrText xml:space="preserve"> PAGE  \* MERGEFORMAT </w:instrText>
                          </w:r>
                          <w:r>
                            <w:fldChar w:fldCharType="separate"/>
                          </w:r>
                          <w:r>
                            <w:t>80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gzF+A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IMxfgKwIAAFcEAAAOAAAAAAAAAAEAIAAAAB8BAABkcnMvZTJvRG9jLnhtbFBLBQYAAAAABgAG&#10;AFkBAAC8BQAAAAA=&#10;">
              <v:fill on="f" focussize="0,0"/>
              <v:stroke on="f" weight="0.5pt"/>
              <v:imagedata o:title=""/>
              <o:lock v:ext="edit" aspectratio="f"/>
              <v:textbox inset="0mm,0mm,0mm,0mm" style="mso-fit-shape-to-text:t;">
                <w:txbxContent>
                  <w:p w14:paraId="414FCC29">
                    <w:pPr>
                      <w:pStyle w:val="26"/>
                    </w:pPr>
                    <w:r>
                      <w:fldChar w:fldCharType="begin"/>
                    </w:r>
                    <w:r>
                      <w:instrText xml:space="preserve"> PAGE  \* MERGEFORMAT </w:instrText>
                    </w:r>
                    <w:r>
                      <w:fldChar w:fldCharType="separate"/>
                    </w:r>
                    <w:r>
                      <w:t>80</w:t>
                    </w:r>
                    <w:r>
                      <w:fldChar w:fldCharType="end"/>
                    </w:r>
                  </w:p>
                </w:txbxContent>
              </v:textbox>
            </v:shape>
          </w:pict>
        </mc:Fallback>
      </mc:AlternateConten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EC10F8">
    <w:pPr>
      <w:pStyle w:val="26"/>
      <w:jc w:val="center"/>
    </w:pPr>
    <w: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82" name="文本框 8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D1961E">
                          <w:pPr>
                            <w:pStyle w:val="26"/>
                          </w:pPr>
                          <w:r>
                            <w:fldChar w:fldCharType="begin"/>
                          </w:r>
                          <w:r>
                            <w:instrText xml:space="preserve"> PAGE  \* MERGEFORMAT </w:instrText>
                          </w:r>
                          <w:r>
                            <w:fldChar w:fldCharType="separate"/>
                          </w:r>
                          <w:r>
                            <w:t>102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Dl4iA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8OXiICwCAABXBAAADgAAAAAAAAABACAAAAAfAQAAZHJzL2Uyb0RvYy54bWxQSwUGAAAAAAYA&#10;BgBZAQAAvQUAAAAA&#10;">
              <v:fill on="f" focussize="0,0"/>
              <v:stroke on="f" weight="0.5pt"/>
              <v:imagedata o:title=""/>
              <o:lock v:ext="edit" aspectratio="f"/>
              <v:textbox inset="0mm,0mm,0mm,0mm" style="mso-fit-shape-to-text:t;">
                <w:txbxContent>
                  <w:p w14:paraId="29D1961E">
                    <w:pPr>
                      <w:pStyle w:val="26"/>
                    </w:pPr>
                    <w:r>
                      <w:fldChar w:fldCharType="begin"/>
                    </w:r>
                    <w:r>
                      <w:instrText xml:space="preserve"> PAGE  \* MERGEFORMAT </w:instrText>
                    </w:r>
                    <w:r>
                      <w:fldChar w:fldCharType="separate"/>
                    </w:r>
                    <w:r>
                      <w:t>102</w:t>
                    </w:r>
                    <w:r>
                      <w:fldChar w:fldCharType="end"/>
                    </w:r>
                  </w:p>
                </w:txbxContent>
              </v:textbox>
            </v:shape>
          </w:pict>
        </mc:Fallback>
      </mc:AlternateContent>
    </w:r>
  </w:p>
  <w:p w14:paraId="2E6044BA">
    <w:pPr>
      <w:pStyle w:val="26"/>
    </w:pP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98A21">
    <w:pPr>
      <w:pStyle w:val="26"/>
      <w:jc w:val="center"/>
    </w:pPr>
    <w: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83" name="文本框 8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1B6247">
                          <w:pPr>
                            <w:pStyle w:val="26"/>
                          </w:pPr>
                          <w:r>
                            <w:fldChar w:fldCharType="begin"/>
                          </w:r>
                          <w:r>
                            <w:instrText xml:space="preserve"> PAGE  \* MERGEFORMAT </w:instrText>
                          </w:r>
                          <w:r>
                            <w:fldChar w:fldCharType="separate"/>
                          </w:r>
                          <w:r>
                            <w:t>101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osWAt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ZFSWaKVT8/OP7&#10;+efv869vBGcQqLF+jrgHi8jQvjMt2mY49ziMvNvSqfgFIwI/5D1d5BVtIDxemk1nszFcHL5hA/zs&#10;6bp1PrwXRpFo5NShfklWdtz60IUOITGbNptaylRDqUmT0+urt+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FiosWAtAgAAVwQAAA4AAAAAAAAAAQAgAAAAHwEAAGRycy9lMm9Eb2MueG1sUEsFBgAAAAAG&#10;AAYAWQEAAL4FAAAAAA==&#10;">
              <v:fill on="f" focussize="0,0"/>
              <v:stroke on="f" weight="0.5pt"/>
              <v:imagedata o:title=""/>
              <o:lock v:ext="edit" aspectratio="f"/>
              <v:textbox inset="0mm,0mm,0mm,0mm" style="mso-fit-shape-to-text:t;">
                <w:txbxContent>
                  <w:p w14:paraId="521B6247">
                    <w:pPr>
                      <w:pStyle w:val="26"/>
                    </w:pPr>
                    <w:r>
                      <w:fldChar w:fldCharType="begin"/>
                    </w:r>
                    <w:r>
                      <w:instrText xml:space="preserve"> PAGE  \* MERGEFORMAT </w:instrText>
                    </w:r>
                    <w:r>
                      <w:fldChar w:fldCharType="separate"/>
                    </w:r>
                    <w:r>
                      <w:t>101</w:t>
                    </w:r>
                    <w:r>
                      <w:fldChar w:fldCharType="end"/>
                    </w:r>
                  </w:p>
                </w:txbxContent>
              </v:textbox>
            </v:shape>
          </w:pict>
        </mc:Fallback>
      </mc:AlternateConten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B9F271">
    <w:pPr>
      <w:pStyle w:val="26"/>
      <w:jc w:val="center"/>
    </w:pPr>
    <w: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84" name="文本框 8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202C8B">
                          <w:pPr>
                            <w:pStyle w:val="26"/>
                          </w:pPr>
                          <w:r>
                            <w:fldChar w:fldCharType="begin"/>
                          </w:r>
                          <w:r>
                            <w:instrText xml:space="preserve"> PAGE  \* MERGEFORMAT </w:instrText>
                          </w:r>
                          <w:r>
                            <w:fldChar w:fldCharType="separate"/>
                          </w:r>
                          <w:r>
                            <w:t>120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FOeHot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fUKKZQsVPP76f&#10;fj6cfn0jOINArfUzxN1bRIbunenQNsO5x2Hk3VVOxS8YEfgh7/Eir+gC4fHSdDKd5nBx+IYN8LPH&#10;69b58F4YRaJRUIf6JVnZYeNDHzqExGzarBspUw2lJm1Br16/z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EFOeHotAgAAVwQAAA4AAAAAAAAAAQAgAAAAHwEAAGRycy9lMm9Eb2MueG1sUEsFBgAAAAAG&#10;AAYAWQEAAL4FAAAAAA==&#10;">
              <v:fill on="f" focussize="0,0"/>
              <v:stroke on="f" weight="0.5pt"/>
              <v:imagedata o:title=""/>
              <o:lock v:ext="edit" aspectratio="f"/>
              <v:textbox inset="0mm,0mm,0mm,0mm" style="mso-fit-shape-to-text:t;">
                <w:txbxContent>
                  <w:p w14:paraId="6F202C8B">
                    <w:pPr>
                      <w:pStyle w:val="26"/>
                    </w:pPr>
                    <w:r>
                      <w:fldChar w:fldCharType="begin"/>
                    </w:r>
                    <w:r>
                      <w:instrText xml:space="preserve"> PAGE  \* MERGEFORMAT </w:instrText>
                    </w:r>
                    <w:r>
                      <w:fldChar w:fldCharType="separate"/>
                    </w:r>
                    <w:r>
                      <w:t>120</w:t>
                    </w:r>
                    <w:r>
                      <w:fldChar w:fldCharType="end"/>
                    </w:r>
                  </w:p>
                </w:txbxContent>
              </v:textbox>
            </v:shape>
          </w:pict>
        </mc:Fallback>
      </mc:AlternateConten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954AE">
    <w:pPr>
      <w:pStyle w:val="26"/>
      <w:jc w:val="center"/>
    </w:pPr>
    <w: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85" name="文本框 8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C8071">
                          <w:pPr>
                            <w:pStyle w:val="26"/>
                          </w:pPr>
                          <w:r>
                            <w:fldChar w:fldCharType="begin"/>
                          </w:r>
                          <w:r>
                            <w:instrText xml:space="preserve"> PAGE  \* MERGEFORMAT </w:instrText>
                          </w:r>
                          <w:r>
                            <w:fldChar w:fldCharType="separate"/>
                          </w:r>
                          <w:r>
                            <w:t>121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kDKzot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ZFSWaKVT8/OP7&#10;+efv869vBGcQqLF+jrgHi8jQvjMt2mY49ziMvNvSqfgFIwI/5D1d5BVtIDxemk1nszFcHL5hA/zs&#10;6bp1PrwXRpFo5NShfklWdtz60IUOITGbNptaylRDqUmT0+u3V+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OkDKzotAgAAVwQAAA4AAAAAAAAAAQAgAAAAHwEAAGRycy9lMm9Eb2MueG1sUEsFBgAAAAAG&#10;AAYAWQEAAL4FAAAAAA==&#10;">
              <v:fill on="f" focussize="0,0"/>
              <v:stroke on="f" weight="0.5pt"/>
              <v:imagedata o:title=""/>
              <o:lock v:ext="edit" aspectratio="f"/>
              <v:textbox inset="0mm,0mm,0mm,0mm" style="mso-fit-shape-to-text:t;">
                <w:txbxContent>
                  <w:p w14:paraId="409C8071">
                    <w:pPr>
                      <w:pStyle w:val="26"/>
                    </w:pPr>
                    <w:r>
                      <w:fldChar w:fldCharType="begin"/>
                    </w:r>
                    <w:r>
                      <w:instrText xml:space="preserve"> PAGE  \* MERGEFORMAT </w:instrText>
                    </w:r>
                    <w:r>
                      <w:fldChar w:fldCharType="separate"/>
                    </w:r>
                    <w:r>
                      <w:t>121</w:t>
                    </w:r>
                    <w:r>
                      <w:fldChar w:fldCharType="end"/>
                    </w:r>
                  </w:p>
                </w:txbxContent>
              </v:textbox>
            </v:shape>
          </w:pict>
        </mc:Fallback>
      </mc:AlternateConten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552FF">
    <w:pPr>
      <w:pStyle w:val="26"/>
    </w:pPr>
    <w: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86" name="文本框 8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0B6343">
                          <w:pPr>
                            <w:pStyle w:val="26"/>
                          </w:pPr>
                          <w:r>
                            <w:fldChar w:fldCharType="begin"/>
                          </w:r>
                          <w:r>
                            <w:instrText xml:space="preserve"> PAGE  \* MERGEFORMAT </w:instrText>
                          </w:r>
                          <w:r>
                            <w:fldChar w:fldCharType="separate"/>
                          </w:r>
                          <w:r>
                            <w:t>122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V3vos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EdXe+iwCAABXBAAADgAAAAAAAAABACAAAAAfAQAAZHJzL2Uyb0RvYy54bWxQSwUGAAAAAAYA&#10;BgBZAQAAvQUAAAAA&#10;">
              <v:fill on="f" focussize="0,0"/>
              <v:stroke on="f" weight="0.5pt"/>
              <v:imagedata o:title=""/>
              <o:lock v:ext="edit" aspectratio="f"/>
              <v:textbox inset="0mm,0mm,0mm,0mm" style="mso-fit-shape-to-text:t;">
                <w:txbxContent>
                  <w:p w14:paraId="260B6343">
                    <w:pPr>
                      <w:pStyle w:val="26"/>
                    </w:pPr>
                    <w:r>
                      <w:fldChar w:fldCharType="begin"/>
                    </w:r>
                    <w:r>
                      <w:instrText xml:space="preserve"> PAGE  \* MERGEFORMAT </w:instrText>
                    </w:r>
                    <w:r>
                      <w:fldChar w:fldCharType="separate"/>
                    </w:r>
                    <w:r>
                      <w:t>122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C27D93">
    <w:pPr>
      <w:pStyle w:val="27"/>
      <w:jc w:val="right"/>
      <w:rPr>
        <w:rFonts w:hint="eastAsia" w:eastAsia="宋体"/>
        <w:lang w:eastAsia="zh-CN"/>
      </w:rPr>
    </w:pPr>
    <w:r>
      <w:rPr>
        <w:rFonts w:hint="eastAsia"/>
      </w:rPr>
      <w:t>博时创业板电池交易型开放式指数证券投资基金</w:t>
    </w:r>
    <w:r>
      <w:t>招募说明书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D85BA">
    <w:pPr>
      <w:pStyle w:val="2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FCD6AE">
    <w:pPr>
      <w:pStyle w:val="27"/>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F8F203">
    <w:pPr>
      <w:pStyle w:val="27"/>
      <w:jc w:val="right"/>
    </w:pPr>
    <w:r>
      <w:rPr>
        <w:rFonts w:hint="eastAsia"/>
      </w:rPr>
      <w:t>博时创业板</w:t>
    </w:r>
    <w:r>
      <w:rPr>
        <w:rFonts w:hint="eastAsia"/>
        <w:lang w:val="en-US"/>
      </w:rPr>
      <w:t>电池</w:t>
    </w:r>
    <w:r>
      <w:rPr>
        <w:rFonts w:hint="eastAsia"/>
      </w:rPr>
      <w:t>交易型开放式指数证券投资基金</w:t>
    </w:r>
    <w:r>
      <w:t>招募说明书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007C362"/>
    <w:multiLevelType w:val="singleLevel"/>
    <w:tmpl w:val="E007C362"/>
    <w:lvl w:ilvl="0" w:tentative="0">
      <w:start w:val="4"/>
      <w:numFmt w:val="decimal"/>
      <w:suff w:val="nothing"/>
      <w:lvlText w:val="%1）"/>
      <w:lvlJc w:val="left"/>
    </w:lvl>
  </w:abstractNum>
  <w:abstractNum w:abstractNumId="1">
    <w:nsid w:val="0945AFC0"/>
    <w:multiLevelType w:val="singleLevel"/>
    <w:tmpl w:val="0945AFC0"/>
    <w:lvl w:ilvl="0" w:tentative="0">
      <w:start w:val="3"/>
      <w:numFmt w:val="chineseCounting"/>
      <w:suff w:val="nothing"/>
      <w:lvlText w:val="%1、"/>
      <w:lvlJc w:val="left"/>
      <w:rPr>
        <w:rFonts w:hint="eastAsia"/>
      </w:rPr>
    </w:lvl>
  </w:abstractNum>
  <w:abstractNum w:abstractNumId="2">
    <w:nsid w:val="0C20467E"/>
    <w:multiLevelType w:val="multilevel"/>
    <w:tmpl w:val="0C20467E"/>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
    <w:nsid w:val="0C931F6B"/>
    <w:multiLevelType w:val="multilevel"/>
    <w:tmpl w:val="0C931F6B"/>
    <w:lvl w:ilvl="0" w:tentative="0">
      <w:start w:val="1"/>
      <w:numFmt w:val="decimal"/>
      <w:pStyle w:val="35"/>
      <w:lvlText w:val="%1、"/>
      <w:lvlJc w:val="left"/>
      <w:pPr>
        <w:tabs>
          <w:tab w:val="left" w:pos="757"/>
        </w:tabs>
        <w:ind w:left="0" w:firstLine="397"/>
      </w:pPr>
      <w:rPr>
        <w:rFonts w:hint="default"/>
      </w:rPr>
    </w:lvl>
    <w:lvl w:ilvl="1" w:tentative="0">
      <w:start w:val="1"/>
      <w:numFmt w:val="bullet"/>
      <w:lvlText w:val=""/>
      <w:lvlJc w:val="left"/>
      <w:pPr>
        <w:tabs>
          <w:tab w:val="left" w:pos="840"/>
        </w:tabs>
        <w:ind w:left="840" w:hanging="420"/>
      </w:pPr>
      <w:rPr>
        <w:rFonts w:hint="default" w:ascii="Wingdings" w:hAnsi="Wingdings"/>
        <w:b w:val="0"/>
        <w:i w:val="0"/>
        <w:sz w:val="15"/>
        <w:szCs w:val="15"/>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1A4038FD"/>
    <w:multiLevelType w:val="multilevel"/>
    <w:tmpl w:val="1A4038FD"/>
    <w:lvl w:ilvl="0" w:tentative="0">
      <w:start w:val="1"/>
      <w:numFmt w:val="japaneseCounting"/>
      <w:pStyle w:val="12"/>
      <w:lvlText w:val="%1、"/>
      <w:lvlJc w:val="left"/>
      <w:pPr>
        <w:tabs>
          <w:tab w:val="left" w:pos="3243"/>
        </w:tabs>
        <w:ind w:left="3243"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3DAC2829"/>
    <w:multiLevelType w:val="singleLevel"/>
    <w:tmpl w:val="3DAC2829"/>
    <w:lvl w:ilvl="0" w:tentative="0">
      <w:start w:val="1"/>
      <w:numFmt w:val="decimal"/>
      <w:pStyle w:val="17"/>
      <w:lvlText w:val="(%1)"/>
      <w:lvlJc w:val="left"/>
      <w:pPr>
        <w:tabs>
          <w:tab w:val="left" w:pos="907"/>
        </w:tabs>
        <w:ind w:left="907" w:hanging="482"/>
      </w:pPr>
      <w:rPr>
        <w:rFonts w:hint="default"/>
      </w:rPr>
    </w:lvl>
  </w:abstractNum>
  <w:abstractNum w:abstractNumId="6">
    <w:nsid w:val="48DC602A"/>
    <w:multiLevelType w:val="multilevel"/>
    <w:tmpl w:val="48DC602A"/>
    <w:lvl w:ilvl="0" w:tentative="0">
      <w:start w:val="1"/>
      <w:numFmt w:val="none"/>
      <w:suff w:val="nothing"/>
      <w:lvlText w:val=""/>
      <w:lvlJc w:val="left"/>
      <w:pPr>
        <w:ind w:left="0" w:firstLine="0"/>
      </w:pPr>
      <w:rPr>
        <w:rFonts w:hint="eastAsia" w:ascii="楷体_GB2312" w:eastAsia="@楷体_GB2312"/>
        <w:b/>
        <w:i w:val="0"/>
        <w:sz w:val="30"/>
      </w:rPr>
    </w:lvl>
    <w:lvl w:ilvl="1" w:tentative="0">
      <w:start w:val="1"/>
      <w:numFmt w:val="chineseCountingThousand"/>
      <w:suff w:val="nothing"/>
      <w:lvlText w:val="第%2章"/>
      <w:lvlJc w:val="left"/>
      <w:pPr>
        <w:ind w:left="0" w:firstLine="0"/>
      </w:pPr>
      <w:rPr>
        <w:rFonts w:hint="eastAsia" w:ascii="楷体_GB2312" w:eastAsia="@楷体_GB2312"/>
        <w:b/>
        <w:i w:val="0"/>
        <w:sz w:val="30"/>
      </w:rPr>
    </w:lvl>
    <w:lvl w:ilvl="2" w:tentative="0">
      <w:start w:val="1"/>
      <w:numFmt w:val="chineseCountingThousand"/>
      <w:suff w:val="nothing"/>
      <w:lvlText w:val="%3、"/>
      <w:lvlJc w:val="left"/>
      <w:pPr>
        <w:ind w:left="0" w:firstLine="0"/>
      </w:pPr>
      <w:rPr>
        <w:rFonts w:hint="eastAsia" w:ascii="楷体_GB2312" w:eastAsia="@楷体_GB2312"/>
        <w:b w:val="0"/>
        <w:i w:val="0"/>
        <w:sz w:val="28"/>
      </w:rPr>
    </w:lvl>
    <w:lvl w:ilvl="3" w:tentative="0">
      <w:start w:val="1"/>
      <w:numFmt w:val="chineseCountingThousand"/>
      <w:suff w:val="nothing"/>
      <w:lvlText w:val="（%4）"/>
      <w:lvlJc w:val="left"/>
      <w:pPr>
        <w:ind w:left="0" w:firstLine="0"/>
      </w:pPr>
      <w:rPr>
        <w:rFonts w:hint="eastAsia" w:ascii="楷体_GB2312" w:eastAsia="@楷体_GB2312"/>
        <w:b w:val="0"/>
        <w:i w:val="0"/>
        <w:sz w:val="24"/>
      </w:rPr>
    </w:lvl>
    <w:lvl w:ilvl="4" w:tentative="0">
      <w:start w:val="1"/>
      <w:numFmt w:val="decimal"/>
      <w:suff w:val="nothing"/>
      <w:lvlText w:val="%5、"/>
      <w:lvlJc w:val="left"/>
      <w:pPr>
        <w:ind w:left="0" w:firstLine="0"/>
      </w:pPr>
      <w:rPr>
        <w:rFonts w:hint="default" w:ascii="Times New Roman" w:hAnsi="Times New Roman"/>
        <w:b w:val="0"/>
        <w:i w:val="0"/>
        <w:sz w:val="24"/>
      </w:rPr>
    </w:lvl>
    <w:lvl w:ilvl="5" w:tentative="0">
      <w:start w:val="1"/>
      <w:numFmt w:val="decimal"/>
      <w:suff w:val="nothing"/>
      <w:lvlText w:val="（%6）"/>
      <w:lvlJc w:val="left"/>
      <w:pPr>
        <w:ind w:left="0" w:firstLine="0"/>
      </w:pPr>
      <w:rPr>
        <w:rFonts w:hint="default" w:ascii="Times New Roman" w:hAnsi="Times New Roman"/>
        <w:b w:val="0"/>
        <w:i w:val="0"/>
        <w:sz w:val="24"/>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7">
    <w:nsid w:val="49AC772A"/>
    <w:multiLevelType w:val="singleLevel"/>
    <w:tmpl w:val="49AC772A"/>
    <w:lvl w:ilvl="0" w:tentative="0">
      <w:start w:val="2"/>
      <w:numFmt w:val="decimal"/>
      <w:suff w:val="nothing"/>
      <w:lvlText w:val="%1、"/>
      <w:lvlJc w:val="left"/>
    </w:lvl>
  </w:abstractNum>
  <w:abstractNum w:abstractNumId="8">
    <w:nsid w:val="6CC472AB"/>
    <w:multiLevelType w:val="multilevel"/>
    <w:tmpl w:val="6CC472AB"/>
    <w:lvl w:ilvl="0" w:tentative="0">
      <w:start w:val="1"/>
      <w:numFmt w:val="decimal"/>
      <w:lvlText w:val="%1）"/>
      <w:lvlJc w:val="left"/>
      <w:pPr>
        <w:ind w:left="780" w:hanging="360"/>
      </w:pPr>
      <w:rPr>
        <w:rFonts w:ascii="Arial" w:hAnsi="Arial" w:eastAsia="宋体" w:cs="Arial"/>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9">
    <w:nsid w:val="6FBD6257"/>
    <w:multiLevelType w:val="multilevel"/>
    <w:tmpl w:val="6FBD6257"/>
    <w:lvl w:ilvl="0" w:tentative="0">
      <w:start w:val="1"/>
      <w:numFmt w:val="japaneseCounting"/>
      <w:lvlText w:val="%1、"/>
      <w:lvlJc w:val="left"/>
      <w:pPr>
        <w:ind w:left="872" w:hanging="450"/>
      </w:pPr>
      <w:rPr>
        <w:rFonts w:hint="default"/>
      </w:rPr>
    </w:lvl>
    <w:lvl w:ilvl="1" w:tentative="0">
      <w:start w:val="1"/>
      <w:numFmt w:val="lowerLetter"/>
      <w:lvlText w:val="%2)"/>
      <w:lvlJc w:val="left"/>
      <w:pPr>
        <w:ind w:left="1262" w:hanging="420"/>
      </w:pPr>
    </w:lvl>
    <w:lvl w:ilvl="2" w:tentative="0">
      <w:start w:val="1"/>
      <w:numFmt w:val="lowerRoman"/>
      <w:lvlText w:val="%3."/>
      <w:lvlJc w:val="right"/>
      <w:pPr>
        <w:ind w:left="1682" w:hanging="420"/>
      </w:pPr>
    </w:lvl>
    <w:lvl w:ilvl="3" w:tentative="0">
      <w:start w:val="1"/>
      <w:numFmt w:val="decimal"/>
      <w:lvlText w:val="%4."/>
      <w:lvlJc w:val="left"/>
      <w:pPr>
        <w:ind w:left="2102" w:hanging="420"/>
      </w:pPr>
    </w:lvl>
    <w:lvl w:ilvl="4" w:tentative="0">
      <w:start w:val="1"/>
      <w:numFmt w:val="lowerLetter"/>
      <w:lvlText w:val="%5)"/>
      <w:lvlJc w:val="left"/>
      <w:pPr>
        <w:ind w:left="2522" w:hanging="420"/>
      </w:pPr>
    </w:lvl>
    <w:lvl w:ilvl="5" w:tentative="0">
      <w:start w:val="1"/>
      <w:numFmt w:val="lowerRoman"/>
      <w:lvlText w:val="%6."/>
      <w:lvlJc w:val="right"/>
      <w:pPr>
        <w:ind w:left="2942" w:hanging="420"/>
      </w:pPr>
    </w:lvl>
    <w:lvl w:ilvl="6" w:tentative="0">
      <w:start w:val="1"/>
      <w:numFmt w:val="decimal"/>
      <w:lvlText w:val="%7."/>
      <w:lvlJc w:val="left"/>
      <w:pPr>
        <w:ind w:left="3362" w:hanging="420"/>
      </w:pPr>
    </w:lvl>
    <w:lvl w:ilvl="7" w:tentative="0">
      <w:start w:val="1"/>
      <w:numFmt w:val="lowerLetter"/>
      <w:lvlText w:val="%8)"/>
      <w:lvlJc w:val="left"/>
      <w:pPr>
        <w:ind w:left="3782" w:hanging="420"/>
      </w:pPr>
    </w:lvl>
    <w:lvl w:ilvl="8" w:tentative="0">
      <w:start w:val="1"/>
      <w:numFmt w:val="lowerRoman"/>
      <w:lvlText w:val="%9."/>
      <w:lvlJc w:val="right"/>
      <w:pPr>
        <w:ind w:left="4202" w:hanging="420"/>
      </w:pPr>
    </w:lvl>
  </w:abstractNum>
  <w:abstractNum w:abstractNumId="10">
    <w:nsid w:val="794E0427"/>
    <w:multiLevelType w:val="multilevel"/>
    <w:tmpl w:val="794E0427"/>
    <w:lvl w:ilvl="0" w:tentative="0">
      <w:start w:val="1"/>
      <w:numFmt w:val="chineseCountingThousand"/>
      <w:lvlText w:val="%1、"/>
      <w:lvlJc w:val="left"/>
      <w:pPr>
        <w:ind w:left="988" w:hanging="420"/>
      </w:pPr>
      <w:rPr>
        <w:rFonts w:hint="default" w:ascii="Arial" w:hAnsi="Arial" w:cs="宋体"/>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4"/>
  </w:num>
  <w:num w:numId="2">
    <w:abstractNumId w:val="5"/>
  </w:num>
  <w:num w:numId="3">
    <w:abstractNumId w:val="3"/>
  </w:num>
  <w:num w:numId="4">
    <w:abstractNumId w:val="6"/>
  </w:num>
  <w:num w:numId="5">
    <w:abstractNumId w:val="2"/>
  </w:num>
  <w:num w:numId="6">
    <w:abstractNumId w:val="8"/>
  </w:num>
  <w:num w:numId="7">
    <w:abstractNumId w:val="0"/>
  </w:num>
  <w:num w:numId="8">
    <w:abstractNumId w:val="7"/>
  </w:num>
  <w:num w:numId="9">
    <w:abstractNumId w:val="1"/>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hideSpellingErrors/>
  <w:trackRevisions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JhODQ0MjhkODU2NjgyODcwODg2OTEwN2FjOTUxNGYifQ=="/>
  </w:docVars>
  <w:rsids>
    <w:rsidRoot w:val="008C5F76"/>
    <w:rsid w:val="0000449C"/>
    <w:rsid w:val="00007DD5"/>
    <w:rsid w:val="00043D7E"/>
    <w:rsid w:val="00052477"/>
    <w:rsid w:val="001742ED"/>
    <w:rsid w:val="001A203C"/>
    <w:rsid w:val="001F71A6"/>
    <w:rsid w:val="002759B1"/>
    <w:rsid w:val="003C19AB"/>
    <w:rsid w:val="004A2A76"/>
    <w:rsid w:val="004F77E9"/>
    <w:rsid w:val="005B2C66"/>
    <w:rsid w:val="006125CB"/>
    <w:rsid w:val="00643436"/>
    <w:rsid w:val="006451E3"/>
    <w:rsid w:val="00646983"/>
    <w:rsid w:val="00762AA9"/>
    <w:rsid w:val="00774E1F"/>
    <w:rsid w:val="00815A8D"/>
    <w:rsid w:val="008C5F76"/>
    <w:rsid w:val="008E2543"/>
    <w:rsid w:val="00980227"/>
    <w:rsid w:val="009B26BC"/>
    <w:rsid w:val="009F3155"/>
    <w:rsid w:val="00AC0341"/>
    <w:rsid w:val="00AD492F"/>
    <w:rsid w:val="00CA11E1"/>
    <w:rsid w:val="00CE592A"/>
    <w:rsid w:val="00D466C7"/>
    <w:rsid w:val="00EA57F8"/>
    <w:rsid w:val="00EE79B3"/>
    <w:rsid w:val="00F00B4C"/>
    <w:rsid w:val="00F320A9"/>
    <w:rsid w:val="00FA40EB"/>
    <w:rsid w:val="00FD33FC"/>
    <w:rsid w:val="00FE7D4D"/>
    <w:rsid w:val="01545275"/>
    <w:rsid w:val="050428AC"/>
    <w:rsid w:val="05735550"/>
    <w:rsid w:val="062F3136"/>
    <w:rsid w:val="06356443"/>
    <w:rsid w:val="0A8B6E93"/>
    <w:rsid w:val="0B7353FA"/>
    <w:rsid w:val="0C8F3D23"/>
    <w:rsid w:val="0E800264"/>
    <w:rsid w:val="0FDE5A11"/>
    <w:rsid w:val="11D47ABA"/>
    <w:rsid w:val="13270E25"/>
    <w:rsid w:val="13333AFD"/>
    <w:rsid w:val="19B55BA1"/>
    <w:rsid w:val="1CF22D33"/>
    <w:rsid w:val="21C34C84"/>
    <w:rsid w:val="223C7E3E"/>
    <w:rsid w:val="22730DCD"/>
    <w:rsid w:val="22F4067B"/>
    <w:rsid w:val="234625FE"/>
    <w:rsid w:val="24503AD5"/>
    <w:rsid w:val="251731D3"/>
    <w:rsid w:val="25925316"/>
    <w:rsid w:val="28572169"/>
    <w:rsid w:val="28E12646"/>
    <w:rsid w:val="28F957CF"/>
    <w:rsid w:val="29501AF3"/>
    <w:rsid w:val="308271BB"/>
    <w:rsid w:val="32C17F0F"/>
    <w:rsid w:val="354F1E00"/>
    <w:rsid w:val="384D10D2"/>
    <w:rsid w:val="39AE19D9"/>
    <w:rsid w:val="39E14009"/>
    <w:rsid w:val="3C397D14"/>
    <w:rsid w:val="3C692CFF"/>
    <w:rsid w:val="3D5E04B7"/>
    <w:rsid w:val="3D7821CA"/>
    <w:rsid w:val="3FB510DA"/>
    <w:rsid w:val="401B7D56"/>
    <w:rsid w:val="41EB6E54"/>
    <w:rsid w:val="420A129D"/>
    <w:rsid w:val="42407DCA"/>
    <w:rsid w:val="43C348B8"/>
    <w:rsid w:val="458A081E"/>
    <w:rsid w:val="46253182"/>
    <w:rsid w:val="4ABD066B"/>
    <w:rsid w:val="4B10215B"/>
    <w:rsid w:val="4B256E65"/>
    <w:rsid w:val="4B9100EB"/>
    <w:rsid w:val="4CC54FE4"/>
    <w:rsid w:val="4DB622CF"/>
    <w:rsid w:val="4DF87938"/>
    <w:rsid w:val="4ED230F5"/>
    <w:rsid w:val="54CB5D32"/>
    <w:rsid w:val="559A3464"/>
    <w:rsid w:val="57017892"/>
    <w:rsid w:val="57D62569"/>
    <w:rsid w:val="5B257CFF"/>
    <w:rsid w:val="5B393E2C"/>
    <w:rsid w:val="5BEF442C"/>
    <w:rsid w:val="5C396C7E"/>
    <w:rsid w:val="6083142A"/>
    <w:rsid w:val="616B0F3E"/>
    <w:rsid w:val="618B3FD2"/>
    <w:rsid w:val="62B12CFC"/>
    <w:rsid w:val="64F52401"/>
    <w:rsid w:val="67B04319"/>
    <w:rsid w:val="6A186E8A"/>
    <w:rsid w:val="6CAF55D6"/>
    <w:rsid w:val="6CDE2C24"/>
    <w:rsid w:val="6D0B49F7"/>
    <w:rsid w:val="6DFD4D66"/>
    <w:rsid w:val="6ED30562"/>
    <w:rsid w:val="6FD45262"/>
    <w:rsid w:val="713A05CA"/>
    <w:rsid w:val="754E04E7"/>
    <w:rsid w:val="765A79F9"/>
    <w:rsid w:val="7ACC2C74"/>
    <w:rsid w:val="7BCB652E"/>
    <w:rsid w:val="7EDC610B"/>
    <w:rsid w:val="7F4979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qFormat="1" w:uiPriority="99" w:semiHidden="0" w:name="HTML Preformatted"/>
    <w:lsdException w:qFormat="1" w:uiPriority="99" w:semiHidden="0"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qFormat="1" w:unhideWhenUsed="0" w:uiPriority="0" w:semiHidden="0"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qFormat="1" w:uiPriority="99" w:semiHidden="0"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qFormat="1" w:unhideWhenUsed="0" w:uiPriority="0" w:semiHidden="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qFormat="1"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qFormat="1"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1"/>
    <w:qFormat/>
    <w:uiPriority w:val="0"/>
    <w:pPr>
      <w:keepNext/>
      <w:keepLines/>
      <w:autoSpaceDE w:val="0"/>
      <w:autoSpaceDN w:val="0"/>
      <w:adjustRightInd w:val="0"/>
      <w:spacing w:before="360" w:after="360"/>
      <w:jc w:val="center"/>
      <w:textAlignment w:val="baseline"/>
      <w:outlineLvl w:val="0"/>
    </w:pPr>
    <w:rPr>
      <w:rFonts w:ascii="宋体" w:eastAsia="黑体"/>
      <w:kern w:val="0"/>
      <w:sz w:val="24"/>
      <w:szCs w:val="20"/>
    </w:rPr>
  </w:style>
  <w:style w:type="paragraph" w:styleId="3">
    <w:name w:val="heading 2"/>
    <w:basedOn w:val="1"/>
    <w:next w:val="1"/>
    <w:link w:val="62"/>
    <w:qFormat/>
    <w:uiPriority w:val="9"/>
    <w:pPr>
      <w:keepNext/>
      <w:keepLines/>
      <w:autoSpaceDE w:val="0"/>
      <w:autoSpaceDN w:val="0"/>
      <w:adjustRightInd w:val="0"/>
      <w:spacing w:before="240" w:after="240" w:line="360" w:lineRule="auto"/>
      <w:jc w:val="left"/>
      <w:textAlignment w:val="baseline"/>
      <w:outlineLvl w:val="1"/>
    </w:pPr>
    <w:rPr>
      <w:rFonts w:ascii="Arial" w:hAnsi="Arial" w:eastAsia="黑体"/>
      <w:b/>
      <w:kern w:val="0"/>
      <w:sz w:val="32"/>
      <w:szCs w:val="20"/>
      <w:lang w:val="zh-CN"/>
    </w:rPr>
  </w:style>
  <w:style w:type="paragraph" w:styleId="4">
    <w:name w:val="heading 3"/>
    <w:basedOn w:val="1"/>
    <w:next w:val="1"/>
    <w:link w:val="63"/>
    <w:qFormat/>
    <w:uiPriority w:val="0"/>
    <w:pPr>
      <w:keepNext/>
      <w:keepLines/>
      <w:spacing w:before="260" w:after="260" w:line="416" w:lineRule="auto"/>
      <w:outlineLvl w:val="2"/>
    </w:pPr>
    <w:rPr>
      <w:b/>
      <w:bCs/>
      <w:szCs w:val="32"/>
    </w:rPr>
  </w:style>
  <w:style w:type="paragraph" w:styleId="5">
    <w:name w:val="heading 4"/>
    <w:basedOn w:val="1"/>
    <w:next w:val="1"/>
    <w:link w:val="64"/>
    <w:qFormat/>
    <w:uiPriority w:val="0"/>
    <w:pPr>
      <w:keepNext/>
      <w:keepLines/>
      <w:autoSpaceDE w:val="0"/>
      <w:autoSpaceDN w:val="0"/>
      <w:adjustRightInd w:val="0"/>
      <w:spacing w:before="280" w:after="290" w:line="376" w:lineRule="auto"/>
      <w:textAlignment w:val="baseline"/>
      <w:outlineLvl w:val="3"/>
    </w:pPr>
    <w:rPr>
      <w:rFonts w:ascii="Arial" w:hAnsi="Arial" w:eastAsia="黑体"/>
      <w:b/>
      <w:kern w:val="0"/>
      <w:sz w:val="28"/>
      <w:szCs w:val="20"/>
    </w:rPr>
  </w:style>
  <w:style w:type="paragraph" w:styleId="6">
    <w:name w:val="heading 5"/>
    <w:basedOn w:val="1"/>
    <w:next w:val="1"/>
    <w:link w:val="65"/>
    <w:qFormat/>
    <w:uiPriority w:val="0"/>
    <w:pPr>
      <w:keepNext/>
      <w:keepLines/>
      <w:autoSpaceDE w:val="0"/>
      <w:autoSpaceDN w:val="0"/>
      <w:adjustRightInd w:val="0"/>
      <w:spacing w:before="280" w:after="290" w:line="376" w:lineRule="auto"/>
      <w:textAlignment w:val="baseline"/>
      <w:outlineLvl w:val="4"/>
    </w:pPr>
    <w:rPr>
      <w:rFonts w:ascii="宋体"/>
      <w:b/>
      <w:kern w:val="0"/>
      <w:sz w:val="28"/>
      <w:szCs w:val="20"/>
    </w:rPr>
  </w:style>
  <w:style w:type="paragraph" w:styleId="7">
    <w:name w:val="heading 6"/>
    <w:basedOn w:val="1"/>
    <w:next w:val="1"/>
    <w:link w:val="66"/>
    <w:qFormat/>
    <w:uiPriority w:val="0"/>
    <w:pPr>
      <w:keepNext/>
      <w:keepLines/>
      <w:autoSpaceDE w:val="0"/>
      <w:autoSpaceDN w:val="0"/>
      <w:adjustRightInd w:val="0"/>
      <w:spacing w:before="240" w:after="64" w:line="320" w:lineRule="auto"/>
      <w:textAlignment w:val="baseline"/>
      <w:outlineLvl w:val="5"/>
    </w:pPr>
    <w:rPr>
      <w:rFonts w:ascii="Arial" w:hAnsi="Arial" w:eastAsia="黑体"/>
      <w:b/>
      <w:kern w:val="0"/>
      <w:sz w:val="24"/>
      <w:szCs w:val="20"/>
    </w:rPr>
  </w:style>
  <w:style w:type="paragraph" w:styleId="8">
    <w:name w:val="heading 7"/>
    <w:basedOn w:val="1"/>
    <w:next w:val="1"/>
    <w:link w:val="67"/>
    <w:qFormat/>
    <w:uiPriority w:val="0"/>
    <w:pPr>
      <w:keepNext/>
      <w:keepLines/>
      <w:autoSpaceDE w:val="0"/>
      <w:autoSpaceDN w:val="0"/>
      <w:adjustRightInd w:val="0"/>
      <w:spacing w:before="240" w:after="64" w:line="320" w:lineRule="auto"/>
      <w:textAlignment w:val="baseline"/>
      <w:outlineLvl w:val="6"/>
    </w:pPr>
    <w:rPr>
      <w:rFonts w:ascii="宋体"/>
      <w:b/>
      <w:kern w:val="0"/>
      <w:sz w:val="24"/>
      <w:szCs w:val="20"/>
    </w:rPr>
  </w:style>
  <w:style w:type="paragraph" w:styleId="9">
    <w:name w:val="heading 8"/>
    <w:basedOn w:val="1"/>
    <w:next w:val="1"/>
    <w:link w:val="68"/>
    <w:qFormat/>
    <w:uiPriority w:val="0"/>
    <w:pPr>
      <w:keepNext/>
      <w:keepLines/>
      <w:autoSpaceDE w:val="0"/>
      <w:autoSpaceDN w:val="0"/>
      <w:adjustRightInd w:val="0"/>
      <w:spacing w:before="240" w:after="64" w:line="320" w:lineRule="auto"/>
      <w:textAlignment w:val="baseline"/>
      <w:outlineLvl w:val="7"/>
    </w:pPr>
    <w:rPr>
      <w:rFonts w:ascii="Arial" w:hAnsi="Arial" w:eastAsia="黑体"/>
      <w:kern w:val="0"/>
      <w:sz w:val="24"/>
      <w:szCs w:val="20"/>
    </w:rPr>
  </w:style>
  <w:style w:type="paragraph" w:styleId="10">
    <w:name w:val="heading 9"/>
    <w:basedOn w:val="1"/>
    <w:next w:val="1"/>
    <w:link w:val="69"/>
    <w:qFormat/>
    <w:uiPriority w:val="0"/>
    <w:pPr>
      <w:keepNext/>
      <w:keepLines/>
      <w:autoSpaceDE w:val="0"/>
      <w:autoSpaceDN w:val="0"/>
      <w:adjustRightInd w:val="0"/>
      <w:spacing w:before="240" w:after="64" w:line="320" w:lineRule="auto"/>
      <w:textAlignment w:val="baseline"/>
      <w:outlineLvl w:val="8"/>
    </w:pPr>
    <w:rPr>
      <w:rFonts w:ascii="Arial" w:hAnsi="Arial" w:eastAsia="黑体"/>
      <w:kern w:val="0"/>
      <w:szCs w:val="20"/>
    </w:rPr>
  </w:style>
  <w:style w:type="character" w:default="1" w:styleId="48">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spacing w:after="120" w:line="360" w:lineRule="auto"/>
      <w:ind w:left="2520" w:firstLine="480"/>
    </w:pPr>
    <w:rPr>
      <w:rFonts w:ascii="宋体" w:hAnsi="宋体" w:cs="Arial"/>
      <w:bCs/>
      <w:color w:val="000000"/>
      <w:kern w:val="0"/>
      <w:szCs w:val="21"/>
      <w:lang w:val="zh-CN"/>
    </w:rPr>
  </w:style>
  <w:style w:type="paragraph" w:styleId="12">
    <w:name w:val="Normal Indent"/>
    <w:basedOn w:val="1"/>
    <w:qFormat/>
    <w:uiPriority w:val="0"/>
    <w:pPr>
      <w:numPr>
        <w:ilvl w:val="0"/>
        <w:numId w:val="1"/>
      </w:numPr>
      <w:tabs>
        <w:tab w:val="clear" w:pos="3243"/>
      </w:tabs>
      <w:ind w:left="0" w:firstLine="420"/>
    </w:pPr>
    <w:rPr>
      <w:szCs w:val="20"/>
    </w:rPr>
  </w:style>
  <w:style w:type="paragraph" w:styleId="13">
    <w:name w:val="List Bullet"/>
    <w:basedOn w:val="1"/>
    <w:qFormat/>
    <w:uiPriority w:val="0"/>
    <w:pPr>
      <w:tabs>
        <w:tab w:val="left" w:pos="360"/>
      </w:tabs>
      <w:autoSpaceDE w:val="0"/>
      <w:autoSpaceDN w:val="0"/>
      <w:adjustRightInd w:val="0"/>
      <w:spacing w:after="120"/>
      <w:ind w:left="360" w:hanging="360" w:hangingChars="200"/>
      <w:textAlignment w:val="baseline"/>
    </w:pPr>
    <w:rPr>
      <w:rFonts w:ascii="宋体"/>
      <w:kern w:val="0"/>
      <w:sz w:val="28"/>
      <w:szCs w:val="20"/>
    </w:rPr>
  </w:style>
  <w:style w:type="paragraph" w:styleId="14">
    <w:name w:val="Document Map"/>
    <w:basedOn w:val="1"/>
    <w:link w:val="70"/>
    <w:qFormat/>
    <w:uiPriority w:val="0"/>
    <w:pPr>
      <w:shd w:val="clear" w:color="auto" w:fill="000080"/>
      <w:spacing w:after="120" w:line="360" w:lineRule="auto"/>
      <w:ind w:firstLine="480"/>
    </w:pPr>
    <w:rPr>
      <w:rFonts w:ascii="宋体" w:hAnsi="宋体"/>
      <w:bCs/>
      <w:color w:val="000000"/>
      <w:kern w:val="0"/>
      <w:szCs w:val="21"/>
      <w:lang w:val="zh-CN"/>
    </w:rPr>
  </w:style>
  <w:style w:type="paragraph" w:styleId="15">
    <w:name w:val="annotation text"/>
    <w:basedOn w:val="1"/>
    <w:link w:val="71"/>
    <w:qFormat/>
    <w:uiPriority w:val="99"/>
    <w:pPr>
      <w:jc w:val="left"/>
    </w:pPr>
    <w:rPr>
      <w:lang w:val="zh-CN"/>
    </w:rPr>
  </w:style>
  <w:style w:type="paragraph" w:styleId="16">
    <w:name w:val="Body Text"/>
    <w:basedOn w:val="1"/>
    <w:link w:val="72"/>
    <w:qFormat/>
    <w:uiPriority w:val="99"/>
    <w:rPr>
      <w:rFonts w:ascii="宋体" w:hAnsi="宋体"/>
      <w:kern w:val="0"/>
      <w:sz w:val="24"/>
      <w:szCs w:val="21"/>
      <w:lang w:val="zh-CN"/>
    </w:rPr>
  </w:style>
  <w:style w:type="paragraph" w:styleId="17">
    <w:name w:val="Body Text Indent"/>
    <w:basedOn w:val="1"/>
    <w:link w:val="73"/>
    <w:qFormat/>
    <w:uiPriority w:val="0"/>
    <w:pPr>
      <w:numPr>
        <w:ilvl w:val="0"/>
        <w:numId w:val="2"/>
      </w:numPr>
      <w:tabs>
        <w:tab w:val="clear" w:pos="907"/>
      </w:tabs>
      <w:ind w:left="0" w:firstLine="540"/>
    </w:pPr>
    <w:rPr>
      <w:sz w:val="24"/>
      <w:szCs w:val="20"/>
    </w:rPr>
  </w:style>
  <w:style w:type="paragraph" w:styleId="18">
    <w:name w:val="toc 5"/>
    <w:basedOn w:val="1"/>
    <w:next w:val="1"/>
    <w:qFormat/>
    <w:uiPriority w:val="0"/>
    <w:pPr>
      <w:spacing w:after="120" w:line="360" w:lineRule="auto"/>
      <w:ind w:left="1680" w:firstLine="480"/>
    </w:pPr>
    <w:rPr>
      <w:rFonts w:ascii="宋体" w:hAnsi="宋体" w:cs="Arial"/>
      <w:bCs/>
      <w:color w:val="000000"/>
      <w:kern w:val="0"/>
      <w:szCs w:val="21"/>
      <w:lang w:val="zh-CN"/>
    </w:rPr>
  </w:style>
  <w:style w:type="paragraph" w:styleId="19">
    <w:name w:val="toc 3"/>
    <w:basedOn w:val="1"/>
    <w:next w:val="1"/>
    <w:qFormat/>
    <w:uiPriority w:val="39"/>
    <w:pPr>
      <w:spacing w:after="120" w:line="360" w:lineRule="auto"/>
      <w:ind w:left="840" w:firstLine="480"/>
    </w:pPr>
    <w:rPr>
      <w:rFonts w:ascii="宋体" w:hAnsi="宋体" w:cs="Arial"/>
      <w:bCs/>
      <w:color w:val="000000"/>
      <w:kern w:val="0"/>
      <w:szCs w:val="21"/>
      <w:lang w:val="zh-CN"/>
    </w:rPr>
  </w:style>
  <w:style w:type="paragraph" w:styleId="20">
    <w:name w:val="Plain Text"/>
    <w:basedOn w:val="1"/>
    <w:link w:val="74"/>
    <w:qFormat/>
    <w:uiPriority w:val="0"/>
    <w:pPr>
      <w:widowControl/>
      <w:spacing w:before="100" w:beforeAutospacing="1" w:after="100" w:afterAutospacing="1"/>
      <w:jc w:val="left"/>
    </w:pPr>
    <w:rPr>
      <w:rFonts w:ascii="Arial Unicode MS" w:hAnsi="Arial Unicode MS" w:eastAsia="Arial Unicode MS"/>
      <w:kern w:val="0"/>
      <w:sz w:val="24"/>
      <w:lang w:val="zh-CN"/>
    </w:rPr>
  </w:style>
  <w:style w:type="paragraph" w:styleId="21">
    <w:name w:val="toc 8"/>
    <w:basedOn w:val="1"/>
    <w:next w:val="1"/>
    <w:qFormat/>
    <w:uiPriority w:val="0"/>
    <w:pPr>
      <w:spacing w:after="120" w:line="360" w:lineRule="auto"/>
      <w:ind w:left="2940" w:firstLine="480"/>
    </w:pPr>
    <w:rPr>
      <w:rFonts w:ascii="宋体" w:hAnsi="宋体" w:cs="Arial"/>
      <w:bCs/>
      <w:color w:val="000000"/>
      <w:kern w:val="0"/>
      <w:szCs w:val="21"/>
      <w:lang w:val="zh-CN"/>
    </w:rPr>
  </w:style>
  <w:style w:type="paragraph" w:styleId="22">
    <w:name w:val="Date"/>
    <w:basedOn w:val="1"/>
    <w:next w:val="1"/>
    <w:link w:val="75"/>
    <w:qFormat/>
    <w:uiPriority w:val="0"/>
    <w:pPr>
      <w:ind w:left="100" w:leftChars="2500"/>
    </w:pPr>
    <w:rPr>
      <w:rFonts w:ascii="宋体" w:hAnsi="宋体"/>
      <w:kern w:val="0"/>
      <w:sz w:val="24"/>
      <w:szCs w:val="21"/>
      <w:lang w:val="zh-CN"/>
    </w:rPr>
  </w:style>
  <w:style w:type="paragraph" w:styleId="23">
    <w:name w:val="Body Text Indent 2"/>
    <w:basedOn w:val="1"/>
    <w:link w:val="76"/>
    <w:qFormat/>
    <w:uiPriority w:val="0"/>
    <w:pPr>
      <w:tabs>
        <w:tab w:val="left" w:pos="1110"/>
      </w:tabs>
      <w:spacing w:line="360" w:lineRule="auto"/>
      <w:ind w:firstLine="420" w:firstLineChars="200"/>
    </w:pPr>
    <w:rPr>
      <w:rFonts w:ascii="宋体" w:hAnsi="宋体"/>
      <w:color w:val="FF0000"/>
    </w:rPr>
  </w:style>
  <w:style w:type="paragraph" w:styleId="24">
    <w:name w:val="endnote text"/>
    <w:basedOn w:val="1"/>
    <w:link w:val="77"/>
    <w:qFormat/>
    <w:uiPriority w:val="0"/>
    <w:pPr>
      <w:snapToGrid w:val="0"/>
      <w:jc w:val="left"/>
    </w:pPr>
    <w:rPr>
      <w:szCs w:val="20"/>
      <w:lang w:val="zh-CN"/>
    </w:rPr>
  </w:style>
  <w:style w:type="paragraph" w:styleId="25">
    <w:name w:val="Balloon Text"/>
    <w:basedOn w:val="1"/>
    <w:link w:val="78"/>
    <w:semiHidden/>
    <w:qFormat/>
    <w:uiPriority w:val="0"/>
    <w:rPr>
      <w:sz w:val="18"/>
      <w:szCs w:val="18"/>
    </w:rPr>
  </w:style>
  <w:style w:type="paragraph" w:styleId="26">
    <w:name w:val="footer"/>
    <w:basedOn w:val="1"/>
    <w:link w:val="79"/>
    <w:qFormat/>
    <w:uiPriority w:val="99"/>
    <w:pPr>
      <w:tabs>
        <w:tab w:val="center" w:pos="4153"/>
        <w:tab w:val="right" w:pos="8306"/>
      </w:tabs>
      <w:snapToGrid w:val="0"/>
      <w:jc w:val="left"/>
    </w:pPr>
    <w:rPr>
      <w:sz w:val="18"/>
      <w:szCs w:val="18"/>
      <w:lang w:val="zh-CN"/>
    </w:rPr>
  </w:style>
  <w:style w:type="paragraph" w:styleId="27">
    <w:name w:val="header"/>
    <w:basedOn w:val="1"/>
    <w:link w:val="80"/>
    <w:qFormat/>
    <w:uiPriority w:val="99"/>
    <w:pPr>
      <w:pBdr>
        <w:bottom w:val="single" w:color="auto" w:sz="6" w:space="1"/>
      </w:pBdr>
      <w:tabs>
        <w:tab w:val="center" w:pos="4153"/>
        <w:tab w:val="right" w:pos="8306"/>
      </w:tabs>
      <w:snapToGrid w:val="0"/>
      <w:jc w:val="center"/>
    </w:pPr>
    <w:rPr>
      <w:sz w:val="18"/>
      <w:szCs w:val="18"/>
      <w:lang w:val="zh-CN"/>
    </w:rPr>
  </w:style>
  <w:style w:type="paragraph" w:styleId="28">
    <w:name w:val="toc 1"/>
    <w:basedOn w:val="1"/>
    <w:next w:val="1"/>
    <w:qFormat/>
    <w:uiPriority w:val="39"/>
    <w:pPr>
      <w:tabs>
        <w:tab w:val="right" w:leader="dot" w:pos="8295"/>
      </w:tabs>
      <w:snapToGrid w:val="0"/>
      <w:spacing w:line="360" w:lineRule="auto"/>
    </w:pPr>
    <w:rPr>
      <w:rFonts w:ascii="宋体" w:hAnsi="宋体"/>
      <w:caps/>
      <w:sz w:val="24"/>
    </w:rPr>
  </w:style>
  <w:style w:type="paragraph" w:styleId="29">
    <w:name w:val="toc 4"/>
    <w:basedOn w:val="1"/>
    <w:next w:val="1"/>
    <w:qFormat/>
    <w:uiPriority w:val="0"/>
    <w:pPr>
      <w:spacing w:after="120" w:line="360" w:lineRule="auto"/>
      <w:ind w:left="1260" w:firstLine="480"/>
    </w:pPr>
    <w:rPr>
      <w:rFonts w:ascii="宋体" w:hAnsi="宋体" w:cs="Arial"/>
      <w:bCs/>
      <w:color w:val="000000"/>
      <w:kern w:val="0"/>
      <w:szCs w:val="21"/>
      <w:lang w:val="zh-CN"/>
    </w:rPr>
  </w:style>
  <w:style w:type="paragraph" w:styleId="30">
    <w:name w:val="footnote text"/>
    <w:basedOn w:val="1"/>
    <w:link w:val="81"/>
    <w:qFormat/>
    <w:uiPriority w:val="0"/>
    <w:pPr>
      <w:snapToGrid w:val="0"/>
      <w:jc w:val="left"/>
    </w:pPr>
    <w:rPr>
      <w:sz w:val="18"/>
      <w:szCs w:val="18"/>
      <w:lang w:val="zh-CN"/>
    </w:rPr>
  </w:style>
  <w:style w:type="paragraph" w:styleId="31">
    <w:name w:val="toc 6"/>
    <w:basedOn w:val="1"/>
    <w:next w:val="1"/>
    <w:qFormat/>
    <w:uiPriority w:val="0"/>
    <w:pPr>
      <w:spacing w:after="120" w:line="360" w:lineRule="auto"/>
      <w:ind w:left="2100" w:firstLine="480"/>
    </w:pPr>
    <w:rPr>
      <w:rFonts w:ascii="宋体" w:hAnsi="宋体" w:cs="Arial"/>
      <w:bCs/>
      <w:color w:val="000000"/>
      <w:kern w:val="0"/>
      <w:szCs w:val="21"/>
      <w:lang w:val="zh-CN"/>
    </w:rPr>
  </w:style>
  <w:style w:type="paragraph" w:styleId="32">
    <w:name w:val="Body Text Indent 3"/>
    <w:basedOn w:val="1"/>
    <w:link w:val="82"/>
    <w:qFormat/>
    <w:uiPriority w:val="0"/>
    <w:pPr>
      <w:spacing w:line="360" w:lineRule="auto"/>
      <w:ind w:firstLine="425"/>
    </w:pPr>
    <w:rPr>
      <w:rFonts w:ascii="宋体"/>
    </w:rPr>
  </w:style>
  <w:style w:type="paragraph" w:styleId="33">
    <w:name w:val="toc 2"/>
    <w:basedOn w:val="1"/>
    <w:next w:val="1"/>
    <w:qFormat/>
    <w:uiPriority w:val="39"/>
    <w:pPr>
      <w:spacing w:after="120" w:line="360" w:lineRule="auto"/>
      <w:ind w:left="420" w:firstLine="480"/>
    </w:pPr>
    <w:rPr>
      <w:rFonts w:ascii="宋体" w:hAnsi="宋体" w:cs="Arial"/>
      <w:bCs/>
      <w:color w:val="000000"/>
      <w:kern w:val="0"/>
      <w:szCs w:val="21"/>
      <w:lang w:val="zh-CN"/>
    </w:rPr>
  </w:style>
  <w:style w:type="paragraph" w:styleId="34">
    <w:name w:val="toc 9"/>
    <w:basedOn w:val="1"/>
    <w:next w:val="1"/>
    <w:qFormat/>
    <w:uiPriority w:val="0"/>
    <w:pPr>
      <w:spacing w:after="120" w:line="360" w:lineRule="auto"/>
      <w:ind w:left="3360" w:firstLine="480"/>
    </w:pPr>
    <w:rPr>
      <w:rFonts w:ascii="宋体" w:hAnsi="宋体" w:cs="Arial"/>
      <w:bCs/>
      <w:color w:val="000000"/>
      <w:kern w:val="0"/>
      <w:szCs w:val="21"/>
      <w:lang w:val="zh-CN"/>
    </w:rPr>
  </w:style>
  <w:style w:type="paragraph" w:styleId="35">
    <w:name w:val="Body Text 2"/>
    <w:basedOn w:val="1"/>
    <w:link w:val="83"/>
    <w:qFormat/>
    <w:uiPriority w:val="0"/>
    <w:pPr>
      <w:numPr>
        <w:ilvl w:val="0"/>
        <w:numId w:val="3"/>
      </w:numPr>
      <w:tabs>
        <w:tab w:val="clear" w:pos="757"/>
      </w:tabs>
      <w:ind w:firstLine="0"/>
    </w:pPr>
    <w:rPr>
      <w:sz w:val="28"/>
      <w:szCs w:val="20"/>
    </w:rPr>
  </w:style>
  <w:style w:type="paragraph" w:styleId="36">
    <w:name w:val="HTML Preformatted"/>
    <w:basedOn w:val="1"/>
    <w:link w:val="84"/>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37">
    <w:name w:val="Normal (Web)"/>
    <w:basedOn w:val="1"/>
    <w:qFormat/>
    <w:uiPriority w:val="99"/>
    <w:pPr>
      <w:widowControl/>
      <w:spacing w:before="100" w:beforeAutospacing="1" w:after="100" w:afterAutospacing="1"/>
      <w:jc w:val="left"/>
    </w:pPr>
    <w:rPr>
      <w:rFonts w:ascii="宋体" w:hAnsi="宋体"/>
      <w:kern w:val="0"/>
      <w:sz w:val="24"/>
    </w:rPr>
  </w:style>
  <w:style w:type="paragraph" w:styleId="38">
    <w:name w:val="Title"/>
    <w:basedOn w:val="1"/>
    <w:link w:val="85"/>
    <w:qFormat/>
    <w:uiPriority w:val="0"/>
    <w:pPr>
      <w:autoSpaceDE w:val="0"/>
      <w:autoSpaceDN w:val="0"/>
      <w:adjustRightInd w:val="0"/>
      <w:spacing w:before="240" w:after="60"/>
      <w:jc w:val="center"/>
      <w:textAlignment w:val="baseline"/>
      <w:outlineLvl w:val="0"/>
    </w:pPr>
    <w:rPr>
      <w:rFonts w:ascii="Arial" w:hAnsi="Arial"/>
      <w:b/>
      <w:bCs/>
      <w:kern w:val="0"/>
      <w:sz w:val="32"/>
      <w:szCs w:val="32"/>
      <w:lang w:val="zh-CN"/>
    </w:rPr>
  </w:style>
  <w:style w:type="paragraph" w:styleId="39">
    <w:name w:val="annotation subject"/>
    <w:basedOn w:val="15"/>
    <w:next w:val="15"/>
    <w:link w:val="86"/>
    <w:qFormat/>
    <w:uiPriority w:val="0"/>
    <w:rPr>
      <w:b/>
      <w:bCs/>
    </w:rPr>
  </w:style>
  <w:style w:type="paragraph" w:styleId="40">
    <w:name w:val="Body Text First Indent"/>
    <w:basedOn w:val="16"/>
    <w:link w:val="87"/>
    <w:qFormat/>
    <w:uiPriority w:val="0"/>
    <w:pPr>
      <w:spacing w:after="120"/>
      <w:ind w:firstLine="420" w:firstLineChars="100"/>
    </w:pPr>
    <w:rPr>
      <w:rFonts w:ascii="Times New Roman" w:hAnsi="Times New Roman"/>
      <w:kern w:val="2"/>
      <w:sz w:val="21"/>
      <w:szCs w:val="24"/>
    </w:rPr>
  </w:style>
  <w:style w:type="table" w:styleId="42">
    <w:name w:val="Table Grid"/>
    <w:basedOn w:val="41"/>
    <w:qFormat/>
    <w:uiPriority w:val="59"/>
    <w:pPr>
      <w:numPr>
        <w:ilvl w:val="3"/>
        <w:numId w:val="4"/>
      </w:numPr>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3">
    <w:name w:val="Table Theme"/>
    <w:basedOn w:val="4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4">
    <w:name w:val="Table Colorful 1"/>
    <w:basedOn w:val="41"/>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op w:val="nil"/>
          <w:left w:val="nil"/>
          <w:bottom w:val="nil"/>
          <w:right w:val="nil"/>
          <w:insideH w:val="nil"/>
          <w:insideV w:val="nil"/>
          <w:tl2br w:val="nil"/>
          <w:tr2bl w:val="nil"/>
        </w:tcBorders>
        <w:shd w:val="solid" w:color="000000" w:fill="FFFFFF"/>
      </w:tcPr>
    </w:tblStylePr>
    <w:tblStylePr w:type="firstCol">
      <w:rPr>
        <w:b/>
        <w:bCs/>
        <w:i/>
        <w:iCs/>
      </w:rPr>
      <w:tblPr/>
      <w:tcPr>
        <w:tcBorders>
          <w:top w:val="nil"/>
          <w:left w:val="nil"/>
          <w:bottom w:val="nil"/>
          <w:right w:val="nil"/>
          <w:insideH w:val="nil"/>
          <w:insideV w:val="nil"/>
          <w:tl2br w:val="nil"/>
          <w:tr2bl w:val="nil"/>
        </w:tcBorders>
        <w:shd w:val="solid" w:color="000080" w:fill="FFFFFF"/>
      </w:tcPr>
    </w:tblStylePr>
    <w:tblStylePr w:type="nwCell">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45">
    <w:name w:val="Table Subtle 1"/>
    <w:basedOn w:val="41"/>
    <w:unhideWhenUsed/>
    <w:qFormat/>
    <w:uiPriority w:val="99"/>
    <w:pPr>
      <w:widowControl w:val="0"/>
      <w:jc w:val="both"/>
    </w:pPr>
    <w:tblPr>
      <w:tblStyleRowBandSize w:val="1"/>
    </w:tblPr>
    <w:tblStylePr w:type="firstRow">
      <w:tblPr/>
      <w:tcPr>
        <w:tcBorders>
          <w:top w:val="single" w:color="000000" w:sz="6" w:space="0"/>
          <w:left w:val="single" w:color="000000" w:sz="12" w:space="0"/>
          <w:bottom w:val="nil"/>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color="000000" w:sz="12" w:space="0"/>
          <w:insideH w:val="nil"/>
          <w:insideV w:val="nil"/>
          <w:tl2br w:val="nil"/>
          <w:tr2bl w:val="nil"/>
        </w:tcBorders>
      </w:tcPr>
    </w:tblStylePr>
    <w:tblStylePr w:type="lastCol">
      <w:tblPr/>
      <w:tcPr>
        <w:tcBorders>
          <w:top w:val="nil"/>
          <w:left w:val="nil"/>
          <w:bottom w:val="single" w:color="000000" w:sz="12" w:space="0"/>
          <w:right w:val="nil"/>
          <w:insideH w:val="nil"/>
          <w:insideV w:val="nil"/>
          <w:tl2br w:val="nil"/>
          <w:tr2bl w:val="nil"/>
        </w:tcBorders>
      </w:tcPr>
    </w:tblStylePr>
    <w:tblStylePr w:type="band1Horz">
      <w:tblPr/>
      <w:tcPr>
        <w:tcBorders>
          <w:top w:val="nil"/>
          <w:left w:val="single" w:color="000000" w:sz="6" w:space="0"/>
          <w:bottom w:val="nil"/>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46">
    <w:name w:val="Light List Accent 5"/>
    <w:basedOn w:val="41"/>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insideH w:val="nil"/>
          <w:insideV w:val="nil"/>
          <w:tl2br w:val="nil"/>
          <w:tr2bl w:val="nil"/>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insideH w:val="nil"/>
          <w:insideV w:val="nil"/>
          <w:tl2br w:val="nil"/>
          <w:tr2bl w:val="nil"/>
        </w:tcBorders>
      </w:tcPr>
    </w:tblStylePr>
    <w:tblStylePr w:type="band1Horz">
      <w:tblPr/>
      <w:tcPr>
        <w:tcBorders>
          <w:top w:val="single" w:color="4BACC6" w:sz="8" w:space="0"/>
          <w:left w:val="single" w:color="4BACC6" w:sz="8" w:space="0"/>
          <w:bottom w:val="single" w:color="4BACC6" w:sz="8" w:space="0"/>
          <w:right w:val="single" w:color="4BACC6" w:sz="8" w:space="0"/>
          <w:insideH w:val="nil"/>
          <w:insideV w:val="nil"/>
          <w:tl2br w:val="nil"/>
          <w:tr2bl w:val="nil"/>
        </w:tcBorders>
      </w:tcPr>
    </w:tblStylePr>
  </w:style>
  <w:style w:type="table" w:styleId="47">
    <w:name w:val="Colorful List Accent 2"/>
    <w:basedOn w:val="45"/>
    <w:qFormat/>
    <w:uiPriority w:val="72"/>
    <w:rPr>
      <w:rFonts w:eastAsia="微软雅黑"/>
      <w:color w:val="000000"/>
      <w:sz w:val="16"/>
    </w:rPr>
    <w:tblPr>
      <w:tblStyleRowBandSize w:val="1"/>
      <w:tblStyleColBandSize w:val="1"/>
    </w:tblPr>
    <w:tcPr>
      <w:shd w:val="clear" w:color="auto" w:fill="F8EDED"/>
    </w:tcPr>
    <w:tblStylePr w:type="firstRow">
      <w:rPr>
        <w:rFonts w:eastAsia="Symbol"/>
        <w:b/>
        <w:bCs/>
        <w:color w:val="FFFFFF"/>
      </w:rPr>
      <w:tblPr/>
      <w:tcPr>
        <w:tcBorders>
          <w:top w:val="nil"/>
          <w:left w:val="nil"/>
          <w:bottom w:val="nil"/>
          <w:right w:val="nil"/>
          <w:insideH w:val="nil"/>
          <w:insideV w:val="nil"/>
          <w:tl2br w:val="nil"/>
          <w:tr2bl w:val="nil"/>
        </w:tcBorders>
        <w:shd w:val="clear" w:color="auto" w:fill="C00000"/>
      </w:tcPr>
    </w:tblStylePr>
    <w:tblStylePr w:type="lastRow">
      <w:rPr>
        <w:b/>
        <w:bCs/>
        <w:color w:val="auto"/>
      </w:rPr>
      <w:tblPr/>
      <w:tcPr>
        <w:tcBorders>
          <w:top w:val="nil"/>
          <w:left w:val="nil"/>
          <w:bottom w:val="nil"/>
          <w:right w:val="nil"/>
          <w:insideH w:val="nil"/>
          <w:insideV w:val="nil"/>
          <w:tl2br w:val="nil"/>
          <w:tr2bl w:val="nil"/>
        </w:tcBorders>
        <w:shd w:val="clear" w:color="auto" w:fill="D8D8D8"/>
      </w:tcPr>
    </w:tblStylePr>
    <w:tblStylePr w:type="firstCol">
      <w:rPr>
        <w:b/>
        <w:bCs/>
      </w:rPr>
      <w:tcPr>
        <w:tcBorders>
          <w:top w:val="nil"/>
          <w:left w:val="nil"/>
          <w:bottom w:val="nil"/>
          <w:right w:val="single" w:color="000000" w:sz="12" w:space="0"/>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shd w:val="clear" w:color="auto" w:fill="D8D8D8"/>
      </w:tcPr>
    </w:tblStylePr>
    <w:tblStylePr w:type="band1Vert">
      <w:tblPr/>
      <w:tcPr>
        <w:tcBorders>
          <w:top w:val="nil"/>
          <w:left w:val="nil"/>
          <w:bottom w:val="nil"/>
          <w:right w:val="nil"/>
          <w:insideH w:val="nil"/>
          <w:insideV w:val="nil"/>
          <w:tl2br w:val="nil"/>
          <w:tr2bl w:val="nil"/>
        </w:tcBorders>
        <w:shd w:val="clear" w:color="auto" w:fill="EFD3D2"/>
      </w:tcPr>
    </w:tblStylePr>
    <w:tblStylePr w:type="band1Horz">
      <w:tblPr/>
      <w:tcPr>
        <w:tcBorders>
          <w:top w:val="single" w:color="F1F1F1" w:sz="4" w:space="0"/>
          <w:left w:val="single" w:color="F1F1F1" w:sz="4" w:space="0"/>
          <w:bottom w:val="nil"/>
          <w:right w:val="nil"/>
          <w:insideH w:val="nil"/>
          <w:insideV w:val="nil"/>
          <w:tl2br w:val="nil"/>
          <w:tr2bl w:val="nil"/>
        </w:tcBorders>
        <w:shd w:val="clear" w:color="auto" w:fill="FFFFFF"/>
      </w:tcPr>
    </w:tblStylePr>
    <w:tblStylePr w:type="band2Horz">
      <w:tcPr>
        <w:tcBorders>
          <w:top w:val="nil"/>
          <w:left w:val="nil"/>
          <w:bottom w:val="nil"/>
          <w:right w:val="nil"/>
          <w:insideH w:val="nil"/>
          <w:insideV w:val="nil"/>
          <w:tl2br w:val="nil"/>
          <w:tr2bl w:val="nil"/>
        </w:tcBorders>
        <w:shd w:val="clear" w:color="auto" w:fill="F1F1F1"/>
      </w:tcPr>
    </w:tblStylePr>
    <w:tblStylePr w:type="neCell">
      <w:rPr>
        <w:b/>
        <w:bCs/>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character" w:styleId="49">
    <w:name w:val="Strong"/>
    <w:basedOn w:val="48"/>
    <w:qFormat/>
    <w:uiPriority w:val="22"/>
    <w:rPr>
      <w:b/>
      <w:bCs/>
    </w:rPr>
  </w:style>
  <w:style w:type="character" w:styleId="50">
    <w:name w:val="endnote reference"/>
    <w:qFormat/>
    <w:uiPriority w:val="0"/>
    <w:rPr>
      <w:vertAlign w:val="superscript"/>
    </w:rPr>
  </w:style>
  <w:style w:type="character" w:styleId="51">
    <w:name w:val="page number"/>
    <w:qFormat/>
    <w:uiPriority w:val="0"/>
  </w:style>
  <w:style w:type="character" w:styleId="52">
    <w:name w:val="FollowedHyperlink"/>
    <w:unhideWhenUsed/>
    <w:qFormat/>
    <w:uiPriority w:val="99"/>
    <w:rPr>
      <w:color w:val="333333"/>
      <w:u w:val="none"/>
    </w:rPr>
  </w:style>
  <w:style w:type="character" w:styleId="53">
    <w:name w:val="Emphasis"/>
    <w:qFormat/>
    <w:uiPriority w:val="20"/>
    <w:rPr>
      <w:color w:val="D70C19"/>
    </w:rPr>
  </w:style>
  <w:style w:type="character" w:styleId="54">
    <w:name w:val="HTML Definition"/>
    <w:unhideWhenUsed/>
    <w:qFormat/>
    <w:uiPriority w:val="99"/>
    <w:rPr>
      <w:i/>
      <w:iCs/>
    </w:rPr>
  </w:style>
  <w:style w:type="character" w:styleId="55">
    <w:name w:val="Hyperlink"/>
    <w:qFormat/>
    <w:uiPriority w:val="99"/>
    <w:rPr>
      <w:color w:val="333333"/>
      <w:u w:val="none"/>
    </w:rPr>
  </w:style>
  <w:style w:type="character" w:styleId="56">
    <w:name w:val="HTML Code"/>
    <w:unhideWhenUsed/>
    <w:qFormat/>
    <w:uiPriority w:val="99"/>
    <w:rPr>
      <w:rFonts w:hint="default" w:ascii="monospace" w:hAnsi="monospace" w:eastAsia="monospace" w:cs="monospace"/>
      <w:sz w:val="21"/>
      <w:szCs w:val="21"/>
    </w:rPr>
  </w:style>
  <w:style w:type="character" w:styleId="57">
    <w:name w:val="annotation reference"/>
    <w:basedOn w:val="48"/>
    <w:qFormat/>
    <w:uiPriority w:val="0"/>
    <w:rPr>
      <w:sz w:val="21"/>
      <w:szCs w:val="21"/>
    </w:rPr>
  </w:style>
  <w:style w:type="character" w:styleId="58">
    <w:name w:val="footnote reference"/>
    <w:qFormat/>
    <w:uiPriority w:val="0"/>
    <w:rPr>
      <w:vertAlign w:val="superscript"/>
    </w:rPr>
  </w:style>
  <w:style w:type="character" w:styleId="59">
    <w:name w:val="HTML Keyboard"/>
    <w:unhideWhenUsed/>
    <w:qFormat/>
    <w:uiPriority w:val="99"/>
    <w:rPr>
      <w:rFonts w:ascii="monospace" w:hAnsi="monospace" w:eastAsia="monospace" w:cs="monospace"/>
      <w:sz w:val="21"/>
      <w:szCs w:val="21"/>
    </w:rPr>
  </w:style>
  <w:style w:type="character" w:styleId="60">
    <w:name w:val="HTML Sample"/>
    <w:unhideWhenUsed/>
    <w:qFormat/>
    <w:uiPriority w:val="99"/>
    <w:rPr>
      <w:rFonts w:hint="default" w:ascii="monospace" w:hAnsi="monospace" w:eastAsia="monospace" w:cs="monospace"/>
      <w:sz w:val="21"/>
      <w:szCs w:val="21"/>
    </w:rPr>
  </w:style>
  <w:style w:type="character" w:customStyle="1" w:styleId="61">
    <w:name w:val="标题 1 字符"/>
    <w:link w:val="2"/>
    <w:qFormat/>
    <w:uiPriority w:val="0"/>
    <w:rPr>
      <w:rFonts w:ascii="宋体" w:hAnsi="Times New Roman" w:eastAsia="黑体" w:cs="Times New Roman"/>
      <w:kern w:val="0"/>
      <w:sz w:val="24"/>
      <w:szCs w:val="20"/>
    </w:rPr>
  </w:style>
  <w:style w:type="character" w:customStyle="1" w:styleId="62">
    <w:name w:val="标题 2 字符"/>
    <w:link w:val="3"/>
    <w:qFormat/>
    <w:uiPriority w:val="9"/>
    <w:rPr>
      <w:rFonts w:ascii="Arial" w:hAnsi="Arial" w:eastAsia="黑体" w:cs="Times New Roman"/>
      <w:b/>
      <w:kern w:val="0"/>
      <w:sz w:val="32"/>
      <w:szCs w:val="20"/>
      <w:lang w:val="zh-CN" w:eastAsia="zh-CN"/>
    </w:rPr>
  </w:style>
  <w:style w:type="character" w:customStyle="1" w:styleId="63">
    <w:name w:val="标题 3 字符"/>
    <w:link w:val="4"/>
    <w:qFormat/>
    <w:uiPriority w:val="0"/>
    <w:rPr>
      <w:rFonts w:ascii="Times New Roman" w:hAnsi="Times New Roman" w:eastAsia="宋体" w:cs="Times New Roman"/>
      <w:b/>
      <w:bCs/>
      <w:szCs w:val="32"/>
    </w:rPr>
  </w:style>
  <w:style w:type="character" w:customStyle="1" w:styleId="64">
    <w:name w:val="标题 4 字符"/>
    <w:link w:val="5"/>
    <w:qFormat/>
    <w:uiPriority w:val="0"/>
    <w:rPr>
      <w:rFonts w:ascii="Arial" w:hAnsi="Arial" w:eastAsia="黑体" w:cs="Times New Roman"/>
      <w:b/>
      <w:kern w:val="0"/>
      <w:sz w:val="28"/>
      <w:szCs w:val="20"/>
    </w:rPr>
  </w:style>
  <w:style w:type="character" w:customStyle="1" w:styleId="65">
    <w:name w:val="标题 5 字符"/>
    <w:link w:val="6"/>
    <w:qFormat/>
    <w:uiPriority w:val="0"/>
    <w:rPr>
      <w:rFonts w:ascii="宋体" w:hAnsi="Times New Roman" w:eastAsia="宋体" w:cs="Times New Roman"/>
      <w:b/>
      <w:kern w:val="0"/>
      <w:sz w:val="28"/>
      <w:szCs w:val="20"/>
    </w:rPr>
  </w:style>
  <w:style w:type="character" w:customStyle="1" w:styleId="66">
    <w:name w:val="标题 6 字符"/>
    <w:link w:val="7"/>
    <w:qFormat/>
    <w:uiPriority w:val="0"/>
    <w:rPr>
      <w:rFonts w:ascii="Arial" w:hAnsi="Arial" w:eastAsia="黑体" w:cs="Times New Roman"/>
      <w:b/>
      <w:kern w:val="0"/>
      <w:sz w:val="24"/>
      <w:szCs w:val="20"/>
    </w:rPr>
  </w:style>
  <w:style w:type="character" w:customStyle="1" w:styleId="67">
    <w:name w:val="标题 7 字符"/>
    <w:link w:val="8"/>
    <w:qFormat/>
    <w:uiPriority w:val="0"/>
    <w:rPr>
      <w:rFonts w:ascii="宋体" w:hAnsi="Times New Roman" w:eastAsia="宋体" w:cs="Times New Roman"/>
      <w:b/>
      <w:kern w:val="0"/>
      <w:sz w:val="24"/>
      <w:szCs w:val="20"/>
    </w:rPr>
  </w:style>
  <w:style w:type="character" w:customStyle="1" w:styleId="68">
    <w:name w:val="标题 8 字符"/>
    <w:link w:val="9"/>
    <w:qFormat/>
    <w:uiPriority w:val="0"/>
    <w:rPr>
      <w:rFonts w:ascii="Arial" w:hAnsi="Arial" w:eastAsia="黑体" w:cs="Times New Roman"/>
      <w:kern w:val="0"/>
      <w:sz w:val="24"/>
      <w:szCs w:val="20"/>
    </w:rPr>
  </w:style>
  <w:style w:type="character" w:customStyle="1" w:styleId="69">
    <w:name w:val="标题 9 字符"/>
    <w:link w:val="10"/>
    <w:qFormat/>
    <w:uiPriority w:val="0"/>
    <w:rPr>
      <w:rFonts w:ascii="Arial" w:hAnsi="Arial" w:eastAsia="黑体" w:cs="Times New Roman"/>
      <w:kern w:val="0"/>
      <w:szCs w:val="20"/>
    </w:rPr>
  </w:style>
  <w:style w:type="character" w:customStyle="1" w:styleId="70">
    <w:name w:val="文档结构图 字符"/>
    <w:link w:val="14"/>
    <w:qFormat/>
    <w:uiPriority w:val="0"/>
    <w:rPr>
      <w:rFonts w:ascii="宋体" w:hAnsi="宋体" w:eastAsia="宋体" w:cs="Times New Roman"/>
      <w:bCs/>
      <w:color w:val="000000"/>
      <w:kern w:val="0"/>
      <w:szCs w:val="21"/>
      <w:shd w:val="clear" w:color="auto" w:fill="000080"/>
      <w:lang w:val="zh-CN" w:eastAsia="zh-CN"/>
    </w:rPr>
  </w:style>
  <w:style w:type="character" w:customStyle="1" w:styleId="71">
    <w:name w:val="批注文字 字符"/>
    <w:link w:val="15"/>
    <w:qFormat/>
    <w:uiPriority w:val="0"/>
    <w:rPr>
      <w:rFonts w:ascii="Times New Roman" w:hAnsi="Times New Roman" w:eastAsia="宋体" w:cs="Times New Roman"/>
      <w:szCs w:val="24"/>
      <w:lang w:val="zh-CN" w:eastAsia="zh-CN"/>
    </w:rPr>
  </w:style>
  <w:style w:type="character" w:customStyle="1" w:styleId="72">
    <w:name w:val="正文文本 字符"/>
    <w:link w:val="16"/>
    <w:qFormat/>
    <w:uiPriority w:val="99"/>
    <w:rPr>
      <w:rFonts w:ascii="宋体" w:hAnsi="宋体" w:eastAsia="宋体" w:cs="Times New Roman"/>
      <w:kern w:val="0"/>
      <w:sz w:val="24"/>
      <w:szCs w:val="21"/>
      <w:lang w:val="zh-CN" w:eastAsia="zh-CN"/>
    </w:rPr>
  </w:style>
  <w:style w:type="character" w:customStyle="1" w:styleId="73">
    <w:name w:val="正文文本缩进 字符"/>
    <w:link w:val="17"/>
    <w:qFormat/>
    <w:uiPriority w:val="0"/>
    <w:rPr>
      <w:rFonts w:ascii="Times New Roman" w:hAnsi="Times New Roman" w:eastAsia="宋体" w:cs="Times New Roman"/>
      <w:sz w:val="24"/>
      <w:szCs w:val="20"/>
    </w:rPr>
  </w:style>
  <w:style w:type="character" w:customStyle="1" w:styleId="74">
    <w:name w:val="纯文本 字符"/>
    <w:link w:val="20"/>
    <w:qFormat/>
    <w:uiPriority w:val="0"/>
    <w:rPr>
      <w:rFonts w:ascii="Arial Unicode MS" w:hAnsi="Arial Unicode MS" w:eastAsia="Arial Unicode MS" w:cs="Times New Roman"/>
      <w:kern w:val="0"/>
      <w:sz w:val="24"/>
      <w:szCs w:val="24"/>
      <w:lang w:val="zh-CN" w:eastAsia="zh-CN"/>
    </w:rPr>
  </w:style>
  <w:style w:type="character" w:customStyle="1" w:styleId="75">
    <w:name w:val="日期 字符"/>
    <w:link w:val="22"/>
    <w:qFormat/>
    <w:uiPriority w:val="0"/>
    <w:rPr>
      <w:rFonts w:ascii="宋体" w:hAnsi="宋体" w:eastAsia="宋体" w:cs="Times New Roman"/>
      <w:kern w:val="0"/>
      <w:sz w:val="24"/>
      <w:szCs w:val="21"/>
      <w:lang w:val="zh-CN" w:eastAsia="zh-CN"/>
    </w:rPr>
  </w:style>
  <w:style w:type="character" w:customStyle="1" w:styleId="76">
    <w:name w:val="正文文本缩进 2 字符"/>
    <w:link w:val="23"/>
    <w:qFormat/>
    <w:uiPriority w:val="0"/>
    <w:rPr>
      <w:rFonts w:ascii="宋体" w:hAnsi="宋体" w:eastAsia="宋体" w:cs="Times New Roman"/>
      <w:color w:val="FF0000"/>
      <w:szCs w:val="24"/>
    </w:rPr>
  </w:style>
  <w:style w:type="character" w:customStyle="1" w:styleId="77">
    <w:name w:val="尾注文本 字符"/>
    <w:link w:val="24"/>
    <w:qFormat/>
    <w:uiPriority w:val="0"/>
    <w:rPr>
      <w:rFonts w:ascii="Times New Roman" w:hAnsi="Times New Roman" w:eastAsia="宋体" w:cs="Times New Roman"/>
      <w:szCs w:val="20"/>
      <w:lang w:val="zh-CN" w:eastAsia="zh-CN"/>
    </w:rPr>
  </w:style>
  <w:style w:type="character" w:customStyle="1" w:styleId="78">
    <w:name w:val="批注框文本 字符"/>
    <w:link w:val="25"/>
    <w:semiHidden/>
    <w:qFormat/>
    <w:uiPriority w:val="0"/>
    <w:rPr>
      <w:rFonts w:ascii="Times New Roman" w:hAnsi="Times New Roman" w:eastAsia="宋体" w:cs="Times New Roman"/>
      <w:sz w:val="18"/>
      <w:szCs w:val="18"/>
    </w:rPr>
  </w:style>
  <w:style w:type="character" w:customStyle="1" w:styleId="79">
    <w:name w:val="页脚 字符"/>
    <w:link w:val="26"/>
    <w:qFormat/>
    <w:uiPriority w:val="99"/>
    <w:rPr>
      <w:rFonts w:ascii="Times New Roman" w:hAnsi="Times New Roman" w:eastAsia="宋体" w:cs="Times New Roman"/>
      <w:sz w:val="18"/>
      <w:szCs w:val="18"/>
      <w:lang w:val="zh-CN" w:eastAsia="zh-CN"/>
    </w:rPr>
  </w:style>
  <w:style w:type="character" w:customStyle="1" w:styleId="80">
    <w:name w:val="页眉 字符"/>
    <w:link w:val="27"/>
    <w:qFormat/>
    <w:uiPriority w:val="99"/>
    <w:rPr>
      <w:rFonts w:ascii="Times New Roman" w:hAnsi="Times New Roman" w:eastAsia="宋体" w:cs="Times New Roman"/>
      <w:sz w:val="18"/>
      <w:szCs w:val="18"/>
      <w:lang w:val="zh-CN" w:eastAsia="zh-CN"/>
    </w:rPr>
  </w:style>
  <w:style w:type="character" w:customStyle="1" w:styleId="81">
    <w:name w:val="脚注文本 字符"/>
    <w:link w:val="30"/>
    <w:qFormat/>
    <w:uiPriority w:val="0"/>
    <w:rPr>
      <w:rFonts w:ascii="Times New Roman" w:hAnsi="Times New Roman" w:eastAsia="宋体" w:cs="Times New Roman"/>
      <w:sz w:val="18"/>
      <w:szCs w:val="18"/>
      <w:lang w:val="zh-CN" w:eastAsia="zh-CN"/>
    </w:rPr>
  </w:style>
  <w:style w:type="character" w:customStyle="1" w:styleId="82">
    <w:name w:val="正文文本缩进 3 字符"/>
    <w:link w:val="32"/>
    <w:qFormat/>
    <w:uiPriority w:val="0"/>
    <w:rPr>
      <w:rFonts w:ascii="宋体" w:hAnsi="Times New Roman" w:eastAsia="宋体" w:cs="Times New Roman"/>
      <w:szCs w:val="24"/>
    </w:rPr>
  </w:style>
  <w:style w:type="character" w:customStyle="1" w:styleId="83">
    <w:name w:val="正文文本 2 字符"/>
    <w:link w:val="35"/>
    <w:qFormat/>
    <w:uiPriority w:val="0"/>
    <w:rPr>
      <w:rFonts w:ascii="Times New Roman" w:hAnsi="Times New Roman" w:eastAsia="宋体" w:cs="Times New Roman"/>
      <w:sz w:val="28"/>
      <w:szCs w:val="20"/>
    </w:rPr>
  </w:style>
  <w:style w:type="character" w:customStyle="1" w:styleId="84">
    <w:name w:val="HTML 预设格式 字符"/>
    <w:link w:val="36"/>
    <w:qFormat/>
    <w:uiPriority w:val="99"/>
    <w:rPr>
      <w:rFonts w:ascii="宋体" w:hAnsi="宋体" w:cs="宋体"/>
      <w:sz w:val="24"/>
      <w:szCs w:val="24"/>
    </w:rPr>
  </w:style>
  <w:style w:type="character" w:customStyle="1" w:styleId="85">
    <w:name w:val="标题 字符"/>
    <w:link w:val="38"/>
    <w:qFormat/>
    <w:uiPriority w:val="0"/>
    <w:rPr>
      <w:rFonts w:ascii="Arial" w:hAnsi="Arial" w:eastAsia="宋体" w:cs="Times New Roman"/>
      <w:b/>
      <w:bCs/>
      <w:kern w:val="0"/>
      <w:sz w:val="32"/>
      <w:szCs w:val="32"/>
      <w:lang w:val="zh-CN" w:eastAsia="zh-CN"/>
    </w:rPr>
  </w:style>
  <w:style w:type="character" w:customStyle="1" w:styleId="86">
    <w:name w:val="批注主题 字符"/>
    <w:link w:val="39"/>
    <w:qFormat/>
    <w:uiPriority w:val="0"/>
    <w:rPr>
      <w:rFonts w:ascii="Times New Roman" w:hAnsi="Times New Roman" w:eastAsia="宋体" w:cs="Times New Roman"/>
      <w:b/>
      <w:bCs/>
      <w:szCs w:val="24"/>
      <w:lang w:val="zh-CN" w:eastAsia="zh-CN"/>
    </w:rPr>
  </w:style>
  <w:style w:type="character" w:customStyle="1" w:styleId="87">
    <w:name w:val="正文文本首行缩进 字符"/>
    <w:link w:val="40"/>
    <w:qFormat/>
    <w:uiPriority w:val="0"/>
    <w:rPr>
      <w:rFonts w:ascii="Times New Roman" w:hAnsi="Times New Roman" w:eastAsia="宋体" w:cs="Times New Roman"/>
      <w:kern w:val="0"/>
      <w:sz w:val="24"/>
      <w:szCs w:val="24"/>
      <w:lang w:val="zh-CN" w:eastAsia="zh-CN"/>
    </w:rPr>
  </w:style>
  <w:style w:type="paragraph" w:customStyle="1" w:styleId="88">
    <w:name w:val="Char"/>
    <w:basedOn w:val="1"/>
    <w:qFormat/>
    <w:uiPriority w:val="0"/>
    <w:pPr>
      <w:widowControl/>
      <w:spacing w:after="160" w:line="240" w:lineRule="exact"/>
      <w:jc w:val="left"/>
    </w:pPr>
    <w:rPr>
      <w:rFonts w:ascii="Verdana" w:hAnsi="Verdana"/>
      <w:kern w:val="0"/>
      <w:sz w:val="20"/>
      <w:szCs w:val="20"/>
      <w:lang w:eastAsia="en-US"/>
    </w:rPr>
  </w:style>
  <w:style w:type="character" w:customStyle="1" w:styleId="89">
    <w:name w:val="tt11"/>
    <w:qFormat/>
    <w:uiPriority w:val="0"/>
    <w:rPr>
      <w:spacing w:val="400"/>
      <w:sz w:val="22"/>
      <w:szCs w:val="22"/>
    </w:rPr>
  </w:style>
  <w:style w:type="paragraph" w:customStyle="1" w:styleId="90">
    <w:name w:val="_Style 38"/>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91">
    <w:name w:val="c"/>
    <w:qFormat/>
    <w:uiPriority w:val="0"/>
  </w:style>
  <w:style w:type="character" w:customStyle="1" w:styleId="92">
    <w:name w:val="read"/>
    <w:qFormat/>
    <w:uiPriority w:val="0"/>
  </w:style>
  <w:style w:type="character" w:customStyle="1" w:styleId="93">
    <w:name w:val="read1"/>
    <w:qFormat/>
    <w:uiPriority w:val="0"/>
    <w:rPr>
      <w:rFonts w:hint="default"/>
      <w:color w:val="000000"/>
      <w:spacing w:val="450"/>
      <w:u w:val="none"/>
    </w:rPr>
  </w:style>
  <w:style w:type="paragraph" w:customStyle="1" w:styleId="94">
    <w:name w:val="列表2"/>
    <w:basedOn w:val="1"/>
    <w:next w:val="38"/>
    <w:qFormat/>
    <w:uiPriority w:val="0"/>
    <w:pPr>
      <w:tabs>
        <w:tab w:val="left" w:pos="907"/>
      </w:tabs>
      <w:spacing w:line="360" w:lineRule="auto"/>
      <w:ind w:left="907" w:hanging="482"/>
    </w:pPr>
    <w:rPr>
      <w:rFonts w:ascii="宋体"/>
      <w:szCs w:val="20"/>
    </w:rPr>
  </w:style>
  <w:style w:type="paragraph" w:customStyle="1" w:styleId="95">
    <w:name w:val="列表1"/>
    <w:basedOn w:val="1"/>
    <w:next w:val="1"/>
    <w:qFormat/>
    <w:uiPriority w:val="0"/>
    <w:pPr>
      <w:tabs>
        <w:tab w:val="left" w:pos="757"/>
      </w:tabs>
      <w:spacing w:line="360" w:lineRule="auto"/>
      <w:ind w:firstLine="397"/>
    </w:pPr>
    <w:rPr>
      <w:szCs w:val="20"/>
    </w:rPr>
  </w:style>
  <w:style w:type="paragraph" w:customStyle="1" w:styleId="96">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character" w:customStyle="1" w:styleId="97">
    <w:name w:val="font21"/>
    <w:qFormat/>
    <w:uiPriority w:val="0"/>
    <w:rPr>
      <w:color w:val="CC6600"/>
      <w:sz w:val="20"/>
      <w:szCs w:val="20"/>
    </w:rPr>
  </w:style>
  <w:style w:type="character" w:customStyle="1" w:styleId="98">
    <w:name w:val="big1"/>
    <w:qFormat/>
    <w:uiPriority w:val="0"/>
    <w:rPr>
      <w:spacing w:val="360"/>
      <w:sz w:val="25"/>
      <w:szCs w:val="25"/>
    </w:rPr>
  </w:style>
  <w:style w:type="paragraph" w:customStyle="1" w:styleId="99">
    <w:name w:val="content"/>
    <w:basedOn w:val="1"/>
    <w:qFormat/>
    <w:uiPriority w:val="0"/>
    <w:pPr>
      <w:widowControl/>
      <w:spacing w:before="100" w:beforeAutospacing="1" w:after="100" w:afterAutospacing="1" w:line="270" w:lineRule="atLeast"/>
      <w:jc w:val="left"/>
    </w:pPr>
    <w:rPr>
      <w:rFonts w:ascii="Arial Unicode MS" w:hAnsi="Arial Unicode MS" w:eastAsia="Arial Unicode MS" w:cs="Arial Unicode MS"/>
      <w:kern w:val="0"/>
      <w:sz w:val="18"/>
      <w:szCs w:val="18"/>
    </w:rPr>
  </w:style>
  <w:style w:type="paragraph" w:customStyle="1" w:styleId="100">
    <w:name w:val="标题4"/>
    <w:basedOn w:val="17"/>
    <w:qFormat/>
    <w:uiPriority w:val="0"/>
    <w:pPr>
      <w:spacing w:line="360" w:lineRule="auto"/>
      <w:ind w:firstLine="0"/>
    </w:pPr>
    <w:rPr>
      <w:szCs w:val="24"/>
    </w:rPr>
  </w:style>
  <w:style w:type="paragraph" w:customStyle="1" w:styleId="101">
    <w:name w:val="样式 标题 2 + 首行缩进:  2 字符 段前: 1 行 段后: 1 行"/>
    <w:basedOn w:val="3"/>
    <w:qFormat/>
    <w:uiPriority w:val="0"/>
    <w:pPr>
      <w:tabs>
        <w:tab w:val="left" w:pos="1276"/>
      </w:tabs>
      <w:autoSpaceDE/>
      <w:autoSpaceDN/>
      <w:adjustRightInd/>
      <w:spacing w:before="100" w:after="100" w:line="240" w:lineRule="auto"/>
      <w:ind w:left="851"/>
      <w:jc w:val="both"/>
      <w:textAlignment w:val="auto"/>
    </w:pPr>
    <w:rPr>
      <w:rFonts w:eastAsia="宋体"/>
      <w:kern w:val="2"/>
      <w:sz w:val="28"/>
    </w:rPr>
  </w:style>
  <w:style w:type="paragraph" w:customStyle="1" w:styleId="102">
    <w:name w:val="1"/>
    <w:basedOn w:val="1"/>
    <w:qFormat/>
    <w:uiPriority w:val="0"/>
    <w:pPr>
      <w:spacing w:before="100" w:beforeAutospacing="1" w:after="100" w:afterAutospacing="1" w:line="360" w:lineRule="auto"/>
      <w:ind w:left="420" w:leftChars="200"/>
    </w:pPr>
  </w:style>
  <w:style w:type="paragraph" w:customStyle="1" w:styleId="103">
    <w:name w:val="样式 宋体 四号 行距: 1.5 倍行距"/>
    <w:basedOn w:val="1"/>
    <w:qFormat/>
    <w:uiPriority w:val="0"/>
    <w:pPr>
      <w:spacing w:line="360" w:lineRule="auto"/>
    </w:pPr>
    <w:rPr>
      <w:rFonts w:ascii="宋体" w:hAnsi="宋体"/>
      <w:sz w:val="24"/>
      <w:szCs w:val="20"/>
    </w:rPr>
  </w:style>
  <w:style w:type="paragraph" w:customStyle="1" w:styleId="104">
    <w:name w:val="正文所"/>
    <w:basedOn w:val="1"/>
    <w:qFormat/>
    <w:uiPriority w:val="0"/>
    <w:pPr>
      <w:spacing w:line="360" w:lineRule="auto"/>
      <w:ind w:firstLine="420" w:firstLineChars="200"/>
    </w:pPr>
    <w:rPr>
      <w:rFonts w:ascii="宋体"/>
      <w:szCs w:val="20"/>
    </w:rPr>
  </w:style>
  <w:style w:type="paragraph" w:customStyle="1" w:styleId="105">
    <w:name w:val="正文正文"/>
    <w:basedOn w:val="1"/>
    <w:qFormat/>
    <w:uiPriority w:val="0"/>
    <w:pPr>
      <w:spacing w:afterLines="25" w:line="360" w:lineRule="auto"/>
      <w:ind w:firstLine="200" w:firstLineChars="200"/>
    </w:pPr>
    <w:rPr>
      <w:sz w:val="24"/>
    </w:rPr>
  </w:style>
  <w:style w:type="paragraph" w:customStyle="1" w:styleId="106">
    <w:name w:val="Char Char Char Char"/>
    <w:basedOn w:val="1"/>
    <w:qFormat/>
    <w:uiPriority w:val="0"/>
    <w:pPr>
      <w:tabs>
        <w:tab w:val="left" w:pos="360"/>
      </w:tabs>
    </w:pPr>
    <w:rPr>
      <w:sz w:val="24"/>
    </w:rPr>
  </w:style>
  <w:style w:type="paragraph" w:customStyle="1" w:styleId="107">
    <w:name w:val="Char2"/>
    <w:basedOn w:val="1"/>
    <w:qFormat/>
    <w:uiPriority w:val="0"/>
  </w:style>
  <w:style w:type="paragraph" w:customStyle="1" w:styleId="108">
    <w:name w:val="Char1 Char Char Char Char"/>
    <w:basedOn w:val="1"/>
    <w:qFormat/>
    <w:uiPriority w:val="0"/>
    <w:pPr>
      <w:widowControl/>
      <w:spacing w:after="160" w:line="240" w:lineRule="exact"/>
      <w:jc w:val="left"/>
    </w:pPr>
    <w:rPr>
      <w:rFonts w:ascii="Verdana" w:hAnsi="Verdana" w:cs="Verdana"/>
      <w:kern w:val="0"/>
      <w:sz w:val="20"/>
      <w:szCs w:val="20"/>
      <w:lang w:eastAsia="en-US"/>
    </w:rPr>
  </w:style>
  <w:style w:type="paragraph" w:customStyle="1" w:styleId="109">
    <w:name w:val="默认段落字体 Para Char"/>
    <w:basedOn w:val="1"/>
    <w:qFormat/>
    <w:uiPriority w:val="0"/>
    <w:pPr>
      <w:tabs>
        <w:tab w:val="left" w:pos="757"/>
      </w:tabs>
      <w:ind w:firstLine="397"/>
    </w:pPr>
    <w:rPr>
      <w:sz w:val="24"/>
    </w:rPr>
  </w:style>
  <w:style w:type="character" w:customStyle="1" w:styleId="110">
    <w:name w:val="msoins"/>
    <w:qFormat/>
    <w:uiPriority w:val="0"/>
  </w:style>
  <w:style w:type="character" w:customStyle="1" w:styleId="111">
    <w:name w:val="unnamed11"/>
    <w:qFormat/>
    <w:uiPriority w:val="0"/>
    <w:rPr>
      <w:rFonts w:hint="eastAsia" w:ascii="宋体" w:hAnsi="宋体" w:eastAsia="宋体"/>
      <w:sz w:val="18"/>
      <w:szCs w:val="18"/>
    </w:rPr>
  </w:style>
  <w:style w:type="paragraph" w:customStyle="1" w:styleId="112">
    <w:name w:val="BS标题8"/>
    <w:basedOn w:val="3"/>
    <w:link w:val="113"/>
    <w:qFormat/>
    <w:uiPriority w:val="0"/>
    <w:pPr>
      <w:keepNext w:val="0"/>
      <w:keepLines w:val="0"/>
      <w:autoSpaceDE/>
      <w:autoSpaceDN/>
      <w:adjustRightInd/>
      <w:spacing w:before="120" w:after="120" w:line="240" w:lineRule="auto"/>
      <w:ind w:left="737" w:hanging="425"/>
      <w:textAlignment w:val="auto"/>
    </w:pPr>
    <w:rPr>
      <w:rFonts w:ascii="Times New Roman" w:hAnsi="Times New Roman" w:eastAsia="宋体"/>
      <w:b w:val="0"/>
      <w:kern w:val="2"/>
      <w:sz w:val="21"/>
      <w:szCs w:val="32"/>
    </w:rPr>
  </w:style>
  <w:style w:type="character" w:customStyle="1" w:styleId="113">
    <w:name w:val="BS标题8 Char"/>
    <w:link w:val="112"/>
    <w:qFormat/>
    <w:uiPriority w:val="0"/>
    <w:rPr>
      <w:rFonts w:ascii="Times New Roman" w:hAnsi="Times New Roman" w:eastAsia="宋体" w:cs="Times New Roman"/>
      <w:szCs w:val="32"/>
      <w:lang w:val="zh-CN" w:eastAsia="zh-CN"/>
    </w:rPr>
  </w:style>
  <w:style w:type="paragraph" w:customStyle="1" w:styleId="114">
    <w:name w:val="修订1"/>
    <w:semiHidden/>
    <w:qFormat/>
    <w:uiPriority w:val="99"/>
    <w:rPr>
      <w:rFonts w:ascii="Times New Roman" w:hAnsi="Times New Roman" w:eastAsia="宋体" w:cs="Times New Roman"/>
      <w:kern w:val="2"/>
      <w:sz w:val="21"/>
      <w:szCs w:val="24"/>
      <w:lang w:val="en-US" w:eastAsia="zh-CN" w:bidi="ar-SA"/>
    </w:rPr>
  </w:style>
  <w:style w:type="paragraph" w:customStyle="1" w:styleId="115">
    <w:name w:val="编号正文2"/>
    <w:basedOn w:val="1"/>
    <w:qFormat/>
    <w:uiPriority w:val="0"/>
    <w:pPr>
      <w:autoSpaceDE w:val="0"/>
      <w:autoSpaceDN w:val="0"/>
      <w:adjustRightInd w:val="0"/>
      <w:spacing w:after="120" w:line="300" w:lineRule="auto"/>
      <w:ind w:firstLine="480"/>
      <w:textAlignment w:val="baseline"/>
    </w:pPr>
    <w:rPr>
      <w:rFonts w:ascii="宋体"/>
      <w:color w:val="000000"/>
      <w:kern w:val="0"/>
      <w:szCs w:val="21"/>
      <w:lang w:val="zh-CN"/>
    </w:rPr>
  </w:style>
  <w:style w:type="paragraph" w:customStyle="1" w:styleId="116">
    <w:name w:val="项目"/>
    <w:basedOn w:val="5"/>
    <w:qFormat/>
    <w:uiPriority w:val="0"/>
    <w:pPr>
      <w:autoSpaceDE/>
      <w:autoSpaceDN/>
      <w:adjustRightInd/>
      <w:snapToGrid w:val="0"/>
      <w:spacing w:before="120" w:after="120" w:line="360" w:lineRule="auto"/>
      <w:textAlignment w:val="auto"/>
    </w:pPr>
    <w:rPr>
      <w:rFonts w:ascii="Times New Roman" w:hAnsi="Times New Roman" w:eastAsia="楷体_GB2312"/>
      <w:b w:val="0"/>
      <w:bCs/>
      <w:kern w:val="2"/>
      <w:sz w:val="24"/>
    </w:rPr>
  </w:style>
  <w:style w:type="character" w:customStyle="1" w:styleId="117">
    <w:name w:val="txtcontent11"/>
    <w:qFormat/>
    <w:uiPriority w:val="0"/>
    <w:rPr>
      <w:rFonts w:hint="default" w:ascii="ˎ̥" w:hAnsi="ˎ̥"/>
      <w:color w:val="000000"/>
      <w:sz w:val="21"/>
      <w:szCs w:val="21"/>
    </w:rPr>
  </w:style>
  <w:style w:type="paragraph" w:styleId="118">
    <w:name w:val="List Paragraph"/>
    <w:basedOn w:val="1"/>
    <w:qFormat/>
    <w:uiPriority w:val="34"/>
    <w:pPr>
      <w:spacing w:after="120" w:line="360" w:lineRule="auto"/>
      <w:ind w:firstLine="420" w:firstLineChars="200"/>
    </w:pPr>
    <w:rPr>
      <w:rFonts w:ascii="宋体" w:hAnsi="宋体" w:cs="Arial"/>
      <w:bCs/>
      <w:color w:val="000000"/>
      <w:kern w:val="0"/>
      <w:szCs w:val="21"/>
      <w:lang w:val="zh-CN"/>
    </w:rPr>
  </w:style>
  <w:style w:type="character" w:customStyle="1" w:styleId="119">
    <w:name w:val="c1"/>
    <w:qFormat/>
    <w:uiPriority w:val="0"/>
    <w:rPr>
      <w:color w:val="000000"/>
      <w:spacing w:val="257"/>
      <w:sz w:val="15"/>
      <w:szCs w:val="15"/>
    </w:rPr>
  </w:style>
  <w:style w:type="paragraph" w:customStyle="1" w:styleId="120">
    <w:name w:val="Char Char Char Char Char1 Char"/>
    <w:basedOn w:val="1"/>
    <w:qFormat/>
    <w:uiPriority w:val="0"/>
  </w:style>
  <w:style w:type="paragraph" w:customStyle="1" w:styleId="121">
    <w:name w:val="Char Char Char Char1"/>
    <w:basedOn w:val="1"/>
    <w:qFormat/>
    <w:uiPriority w:val="0"/>
    <w:pPr>
      <w:tabs>
        <w:tab w:val="left" w:pos="360"/>
      </w:tabs>
      <w:spacing w:before="312" w:after="312" w:line="360" w:lineRule="auto"/>
    </w:pPr>
    <w:rPr>
      <w:sz w:val="24"/>
    </w:rPr>
  </w:style>
  <w:style w:type="paragraph" w:customStyle="1" w:styleId="122">
    <w:name w:val="列出段落1"/>
    <w:basedOn w:val="1"/>
    <w:qFormat/>
    <w:uiPriority w:val="0"/>
    <w:pPr>
      <w:ind w:firstLine="420" w:firstLineChars="200"/>
    </w:pPr>
    <w:rPr>
      <w:rFonts w:ascii="Calibri" w:hAnsi="Calibri"/>
      <w:szCs w:val="22"/>
    </w:rPr>
  </w:style>
  <w:style w:type="paragraph" w:customStyle="1" w:styleId="123">
    <w:name w:val="正文杨"/>
    <w:basedOn w:val="1"/>
    <w:qFormat/>
    <w:uiPriority w:val="0"/>
    <w:pPr>
      <w:spacing w:line="360" w:lineRule="auto"/>
      <w:ind w:firstLine="425"/>
    </w:pPr>
    <w:rPr>
      <w:sz w:val="24"/>
      <w:szCs w:val="20"/>
    </w:rPr>
  </w:style>
  <w:style w:type="paragraph" w:customStyle="1" w:styleId="124">
    <w:name w:val="TOC 标题1"/>
    <w:basedOn w:val="2"/>
    <w:next w:val="1"/>
    <w:qFormat/>
    <w:uiPriority w:val="39"/>
    <w:pPr>
      <w:widowControl/>
      <w:autoSpaceDE/>
      <w:autoSpaceDN/>
      <w:adjustRightInd/>
      <w:spacing w:before="480" w:after="0" w:line="276" w:lineRule="auto"/>
      <w:jc w:val="left"/>
      <w:textAlignment w:val="auto"/>
      <w:outlineLvl w:val="9"/>
    </w:pPr>
    <w:rPr>
      <w:rFonts w:ascii="Cambria" w:hAnsi="Cambria" w:eastAsia="宋体"/>
      <w:b/>
      <w:bCs/>
      <w:color w:val="365F91"/>
      <w:sz w:val="28"/>
      <w:szCs w:val="28"/>
    </w:rPr>
  </w:style>
  <w:style w:type="paragraph" w:customStyle="1" w:styleId="125">
    <w:name w:val="TitleLargeTable"/>
    <w:next w:val="1"/>
    <w:qFormat/>
    <w:uiPriority w:val="99"/>
    <w:pPr>
      <w:keepNext/>
      <w:suppressAutoHyphens/>
      <w:spacing w:after="40" w:line="200" w:lineRule="atLeast"/>
    </w:pPr>
    <w:rPr>
      <w:rFonts w:ascii="LucidaSans" w:hAnsi="LucidaSans" w:eastAsia="宋体" w:cs="Times New Roman"/>
      <w:sz w:val="16"/>
      <w:lang w:val="en-GB" w:eastAsia="zh-CN" w:bidi="ar-SA"/>
    </w:rPr>
  </w:style>
  <w:style w:type="paragraph" w:customStyle="1" w:styleId="126">
    <w:name w:val="xl6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E0E0E0"/>
      <w:spacing w:before="100" w:beforeAutospacing="1" w:after="100" w:afterAutospacing="1"/>
      <w:jc w:val="left"/>
    </w:pPr>
    <w:rPr>
      <w:rFonts w:ascii="宋体" w:hAnsi="宋体" w:cs="宋体"/>
      <w:kern w:val="0"/>
      <w:sz w:val="24"/>
    </w:rPr>
  </w:style>
  <w:style w:type="paragraph" w:customStyle="1" w:styleId="127">
    <w:name w:val="xl6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kern w:val="0"/>
      <w:sz w:val="24"/>
    </w:rPr>
  </w:style>
  <w:style w:type="paragraph" w:customStyle="1" w:styleId="128">
    <w:name w:val="xl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kern w:val="0"/>
      <w:sz w:val="24"/>
    </w:rPr>
  </w:style>
  <w:style w:type="paragraph" w:customStyle="1" w:styleId="129">
    <w:name w:val="xl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kern w:val="0"/>
      <w:sz w:val="24"/>
    </w:rPr>
  </w:style>
  <w:style w:type="paragraph" w:customStyle="1" w:styleId="130">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kern w:val="0"/>
      <w:sz w:val="24"/>
    </w:rPr>
  </w:style>
  <w:style w:type="paragraph" w:customStyle="1" w:styleId="131">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5F5F5"/>
      <w:spacing w:before="100" w:beforeAutospacing="1" w:after="100" w:afterAutospacing="1"/>
      <w:jc w:val="center"/>
    </w:pPr>
    <w:rPr>
      <w:rFonts w:ascii="宋体" w:hAnsi="宋体" w:cs="宋体"/>
      <w:kern w:val="0"/>
      <w:sz w:val="24"/>
    </w:rPr>
  </w:style>
  <w:style w:type="paragraph" w:customStyle="1" w:styleId="132">
    <w:name w:val="xl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5F5F5"/>
      <w:spacing w:before="100" w:beforeAutospacing="1" w:after="100" w:afterAutospacing="1"/>
      <w:jc w:val="center"/>
    </w:pPr>
    <w:rPr>
      <w:rFonts w:ascii="宋体" w:hAnsi="宋体" w:cs="宋体"/>
      <w:kern w:val="0"/>
      <w:sz w:val="24"/>
    </w:rPr>
  </w:style>
  <w:style w:type="paragraph" w:customStyle="1" w:styleId="133">
    <w:name w:val="xl7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5F5F5"/>
      <w:spacing w:before="100" w:beforeAutospacing="1" w:after="100" w:afterAutospacing="1"/>
      <w:jc w:val="center"/>
    </w:pPr>
    <w:rPr>
      <w:rFonts w:ascii="宋体" w:hAnsi="宋体" w:cs="宋体"/>
      <w:kern w:val="0"/>
      <w:sz w:val="24"/>
    </w:rPr>
  </w:style>
  <w:style w:type="paragraph" w:customStyle="1" w:styleId="134">
    <w:name w:val="xl7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5F5F5"/>
      <w:spacing w:before="100" w:beforeAutospacing="1" w:after="100" w:afterAutospacing="1"/>
      <w:jc w:val="left"/>
    </w:pPr>
    <w:rPr>
      <w:rFonts w:ascii="宋体" w:hAnsi="宋体" w:cs="宋体"/>
      <w:kern w:val="0"/>
      <w:sz w:val="24"/>
    </w:rPr>
  </w:style>
  <w:style w:type="table" w:customStyle="1" w:styleId="135">
    <w:name w:val="浅色底纹 - 强调文字颜色 11"/>
    <w:basedOn w:val="41"/>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cPr>
        <w:tcBorders>
          <w:top w:val="single" w:color="4F81BD" w:sz="8" w:space="0"/>
          <w:left w:val="single" w:color="4F81BD" w:sz="8" w:space="0"/>
          <w:bottom w:val="nil"/>
          <w:right w:val="nil"/>
          <w:insideH w:val="nil"/>
          <w:insideV w:val="nil"/>
          <w:tl2br w:val="nil"/>
          <w:tr2bl w:val="nil"/>
        </w:tcBorders>
      </w:tcPr>
    </w:tblStylePr>
    <w:tblStylePr w:type="lastRow">
      <w:pPr>
        <w:spacing w:before="0" w:after="0" w:line="240" w:lineRule="auto"/>
      </w:pPr>
      <w:rPr>
        <w:b/>
        <w:bCs/>
      </w:rPr>
      <w:tcPr>
        <w:tcBorders>
          <w:top w:val="single" w:color="4F81BD" w:sz="8" w:space="0"/>
          <w:left w:val="single" w:color="4F81BD" w:sz="8" w:space="0"/>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tcBorders>
          <w:top w:val="nil"/>
          <w:left w:val="nil"/>
          <w:bottom w:val="nil"/>
          <w:right w:val="nil"/>
          <w:insideH w:val="nil"/>
          <w:insideV w:val="nil"/>
          <w:tl2br w:val="nil"/>
          <w:tr2bl w:val="nil"/>
        </w:tcBorders>
        <w:shd w:val="clear" w:color="auto" w:fill="D3DFEE"/>
      </w:tcPr>
    </w:tblStylePr>
  </w:style>
  <w:style w:type="character" w:customStyle="1" w:styleId="136">
    <w:name w:val="HTML 预设格式 Char1"/>
    <w:semiHidden/>
    <w:qFormat/>
    <w:uiPriority w:val="99"/>
    <w:rPr>
      <w:rFonts w:ascii="Courier New" w:hAnsi="Courier New" w:eastAsia="宋体" w:cs="Courier New"/>
      <w:sz w:val="20"/>
      <w:szCs w:val="20"/>
    </w:rPr>
  </w:style>
  <w:style w:type="paragraph" w:customStyle="1" w:styleId="137">
    <w:name w:val="正文s"/>
    <w:basedOn w:val="17"/>
    <w:qFormat/>
    <w:uiPriority w:val="0"/>
    <w:pPr>
      <w:spacing w:line="360" w:lineRule="auto"/>
      <w:ind w:firstLine="560" w:firstLineChars="200"/>
    </w:pPr>
    <w:rPr>
      <w:rFonts w:ascii="宋体" w:hAnsi="宋体"/>
      <w:sz w:val="28"/>
      <w:szCs w:val="18"/>
    </w:rPr>
  </w:style>
  <w:style w:type="table" w:customStyle="1" w:styleId="138">
    <w:name w:val="网格型1"/>
    <w:basedOn w:val="4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9">
    <w:name w:val="Placeholder Text"/>
    <w:semiHidden/>
    <w:qFormat/>
    <w:uiPriority w:val="99"/>
    <w:rPr>
      <w:color w:val="808080"/>
    </w:rPr>
  </w:style>
  <w:style w:type="character" w:customStyle="1" w:styleId="140">
    <w:name w:val="批注文字 Char1"/>
    <w:qFormat/>
    <w:uiPriority w:val="0"/>
    <w:rPr>
      <w:rFonts w:ascii="Times New Roman" w:hAnsi="Times New Roman" w:eastAsia="宋体" w:cs="Times New Roman"/>
      <w:szCs w:val="20"/>
      <w:lang w:val="zh-CN" w:eastAsia="zh-CN"/>
    </w:rPr>
  </w:style>
  <w:style w:type="paragraph" w:customStyle="1" w:styleId="141">
    <w:name w:val="修订2"/>
    <w:semiHidden/>
    <w:qFormat/>
    <w:uiPriority w:val="99"/>
    <w:rPr>
      <w:rFonts w:ascii="Times New Roman" w:hAnsi="Times New Roman" w:eastAsia="宋体" w:cs="Times New Roman"/>
      <w:kern w:val="2"/>
      <w:sz w:val="21"/>
      <w:szCs w:val="24"/>
      <w:lang w:val="en-US" w:eastAsia="zh-CN" w:bidi="ar-SA"/>
    </w:rPr>
  </w:style>
  <w:style w:type="character" w:customStyle="1" w:styleId="142">
    <w:name w:val="error"/>
    <w:qFormat/>
    <w:uiPriority w:val="0"/>
    <w:rPr>
      <w:color w:val="D70C19"/>
      <w:sz w:val="14"/>
      <w:szCs w:val="14"/>
    </w:rPr>
  </w:style>
  <w:style w:type="character" w:customStyle="1" w:styleId="143">
    <w:name w:val="error1"/>
    <w:qFormat/>
    <w:uiPriority w:val="0"/>
  </w:style>
  <w:style w:type="character" w:customStyle="1" w:styleId="144">
    <w:name w:val="error2"/>
    <w:qFormat/>
    <w:uiPriority w:val="0"/>
  </w:style>
  <w:style w:type="paragraph" w:customStyle="1" w:styleId="145">
    <w:name w:val="修订3"/>
    <w:unhideWhenUsed/>
    <w:qFormat/>
    <w:uiPriority w:val="99"/>
    <w:rPr>
      <w:rFonts w:ascii="Times New Roman" w:hAnsi="Times New Roman" w:eastAsia="宋体" w:cs="Times New Roman"/>
      <w:kern w:val="2"/>
      <w:sz w:val="21"/>
      <w:szCs w:val="24"/>
      <w:lang w:val="en-US" w:eastAsia="zh-CN" w:bidi="ar-SA"/>
    </w:rPr>
  </w:style>
  <w:style w:type="character" w:customStyle="1" w:styleId="146">
    <w:name w:val="批注文字 字符1"/>
    <w:qFormat/>
    <w:uiPriority w:val="0"/>
    <w:rPr>
      <w:kern w:val="2"/>
      <w:sz w:val="21"/>
      <w:szCs w:val="22"/>
    </w:rPr>
  </w:style>
  <w:style w:type="paragraph" w:customStyle="1" w:styleId="147">
    <w:name w:val="修订4"/>
    <w:hidden/>
    <w:unhideWhenUsed/>
    <w:qFormat/>
    <w:uiPriority w:val="99"/>
    <w:rPr>
      <w:rFonts w:ascii="Times New Roman" w:hAnsi="Times New Roman" w:eastAsia="宋体" w:cs="Times New Roman"/>
      <w:kern w:val="2"/>
      <w:sz w:val="21"/>
      <w:szCs w:val="24"/>
      <w:lang w:val="en-US" w:eastAsia="zh-CN" w:bidi="ar-SA"/>
    </w:rPr>
  </w:style>
  <w:style w:type="paragraph" w:customStyle="1" w:styleId="148">
    <w:name w:val="修订5"/>
    <w:hidden/>
    <w:unhideWhenUsed/>
    <w:qFormat/>
    <w:uiPriority w:val="99"/>
    <w:rPr>
      <w:rFonts w:ascii="Times New Roman" w:hAnsi="Times New Roman" w:eastAsia="宋体" w:cs="Times New Roman"/>
      <w:kern w:val="2"/>
      <w:sz w:val="21"/>
      <w:szCs w:val="24"/>
      <w:lang w:val="en-US" w:eastAsia="zh-CN" w:bidi="ar-SA"/>
    </w:rPr>
  </w:style>
  <w:style w:type="paragraph" w:customStyle="1" w:styleId="149">
    <w:name w:val="修订6"/>
    <w:hidden/>
    <w:unhideWhenUsed/>
    <w:qFormat/>
    <w:uiPriority w:val="99"/>
    <w:rPr>
      <w:rFonts w:ascii="Times New Roman" w:hAnsi="Times New Roman" w:eastAsia="宋体" w:cs="Times New Roman"/>
      <w:kern w:val="2"/>
      <w:sz w:val="21"/>
      <w:szCs w:val="24"/>
      <w:lang w:val="en-US" w:eastAsia="zh-CN" w:bidi="ar-SA"/>
    </w:rPr>
  </w:style>
  <w:style w:type="paragraph" w:customStyle="1" w:styleId="150">
    <w:name w:val="修订7"/>
    <w:hidden/>
    <w:semiHidden/>
    <w:qFormat/>
    <w:uiPriority w:val="99"/>
    <w:rPr>
      <w:rFonts w:ascii="Times New Roman" w:hAnsi="Times New Roman" w:eastAsia="宋体" w:cs="Times New Roman"/>
      <w:kern w:val="2"/>
      <w:sz w:val="21"/>
      <w:szCs w:val="24"/>
      <w:lang w:val="en-US" w:eastAsia="zh-CN" w:bidi="ar-SA"/>
    </w:rPr>
  </w:style>
  <w:style w:type="paragraph" w:customStyle="1" w:styleId="151">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5" Type="http://schemas.openxmlformats.org/officeDocument/2006/relationships/fontTable" Target="fontTable.xml"/><Relationship Id="rId54" Type="http://schemas.openxmlformats.org/officeDocument/2006/relationships/numbering" Target="numbering.xml"/><Relationship Id="rId53" Type="http://schemas.openxmlformats.org/officeDocument/2006/relationships/customXml" Target="../customXml/item1.xml"/><Relationship Id="rId52" Type="http://schemas.openxmlformats.org/officeDocument/2006/relationships/image" Target="media/image1.png"/><Relationship Id="rId51" Type="http://schemas.openxmlformats.org/officeDocument/2006/relationships/theme" Target="theme/theme1.xml"/><Relationship Id="rId50" Type="http://schemas.openxmlformats.org/officeDocument/2006/relationships/footer" Target="footer44.xml"/><Relationship Id="rId5" Type="http://schemas.openxmlformats.org/officeDocument/2006/relationships/header" Target="header3.xml"/><Relationship Id="rId49" Type="http://schemas.openxmlformats.org/officeDocument/2006/relationships/footer" Target="footer43.xml"/><Relationship Id="rId48" Type="http://schemas.openxmlformats.org/officeDocument/2006/relationships/footer" Target="footer42.xml"/><Relationship Id="rId47" Type="http://schemas.openxmlformats.org/officeDocument/2006/relationships/footer" Target="footer41.xml"/><Relationship Id="rId46" Type="http://schemas.openxmlformats.org/officeDocument/2006/relationships/footer" Target="footer40.xml"/><Relationship Id="rId45" Type="http://schemas.openxmlformats.org/officeDocument/2006/relationships/footer" Target="footer39.xml"/><Relationship Id="rId44" Type="http://schemas.openxmlformats.org/officeDocument/2006/relationships/footer" Target="footer38.xml"/><Relationship Id="rId43" Type="http://schemas.openxmlformats.org/officeDocument/2006/relationships/footer" Target="footer37.xml"/><Relationship Id="rId42" Type="http://schemas.openxmlformats.org/officeDocument/2006/relationships/footer" Target="footer36.xml"/><Relationship Id="rId41" Type="http://schemas.openxmlformats.org/officeDocument/2006/relationships/footer" Target="footer35.xml"/><Relationship Id="rId40" Type="http://schemas.openxmlformats.org/officeDocument/2006/relationships/footer" Target="footer34.xml"/><Relationship Id="rId4" Type="http://schemas.openxmlformats.org/officeDocument/2006/relationships/header" Target="header2.xml"/><Relationship Id="rId39" Type="http://schemas.openxmlformats.org/officeDocument/2006/relationships/footer" Target="footer33.xml"/><Relationship Id="rId38" Type="http://schemas.openxmlformats.org/officeDocument/2006/relationships/footer" Target="footer32.xml"/><Relationship Id="rId37" Type="http://schemas.openxmlformats.org/officeDocument/2006/relationships/footer" Target="footer31.xml"/><Relationship Id="rId36" Type="http://schemas.openxmlformats.org/officeDocument/2006/relationships/footer" Target="footer30.xml"/><Relationship Id="rId35" Type="http://schemas.openxmlformats.org/officeDocument/2006/relationships/footer" Target="footer29.xml"/><Relationship Id="rId34" Type="http://schemas.openxmlformats.org/officeDocument/2006/relationships/footer" Target="footer28.xml"/><Relationship Id="rId33" Type="http://schemas.openxmlformats.org/officeDocument/2006/relationships/footer" Target="footer27.xml"/><Relationship Id="rId32" Type="http://schemas.openxmlformats.org/officeDocument/2006/relationships/footer" Target="footer26.xml"/><Relationship Id="rId31" Type="http://schemas.openxmlformats.org/officeDocument/2006/relationships/footer" Target="footer25.xml"/><Relationship Id="rId30" Type="http://schemas.openxmlformats.org/officeDocument/2006/relationships/footer" Target="footer24.xml"/><Relationship Id="rId3" Type="http://schemas.openxmlformats.org/officeDocument/2006/relationships/header" Target="header1.xml"/><Relationship Id="rId29" Type="http://schemas.openxmlformats.org/officeDocument/2006/relationships/footer" Target="footer23.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125</Pages>
  <Words>59228</Words>
  <Characters>59821</Characters>
  <Lines>2215</Lines>
  <Paragraphs>2164</Paragraphs>
  <TotalTime>6</TotalTime>
  <ScaleCrop>false</ScaleCrop>
  <LinksUpToDate>false</LinksUpToDate>
  <CharactersWithSpaces>116885</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2024-11-18T04:31:00Z</dcterms:created>
  <dc:creator>符筱</dc:creator>
  <cp:lastModifiedBy>sjj</cp:lastModifiedBy>
  <cp:lastPrinted>2024-08-27T01:59:00Z</cp:lastPrinted>
  <dcterms:modified xsi:type="dcterms:W3CDTF">2026-09-29T02:39:18Z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A7E955AEF30141639EB1989E050501C4_13</vt:lpwstr>
  </property>
</Properties>
</file>