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5B7" w:rsidRDefault="00D355B7"/>
    <w:p w:rsidR="00BD6322" w:rsidRDefault="00BD6322" w:rsidP="00BD6322">
      <w:pPr>
        <w:jc w:val="center"/>
        <w:rPr>
          <w:rFonts w:ascii="宋体" w:eastAsia="宋体" w:hAnsi="宋体" w:hint="eastAsia"/>
          <w:b/>
          <w:sz w:val="28"/>
        </w:rPr>
      </w:pPr>
      <w:r w:rsidRPr="00BD6322">
        <w:rPr>
          <w:rFonts w:ascii="宋体" w:eastAsia="宋体" w:hAnsi="宋体" w:hint="eastAsia"/>
          <w:b/>
          <w:sz w:val="28"/>
        </w:rPr>
        <w:t>博时安丰18个月定期开放债券型证券投资基金(LOF)分红公告</w:t>
      </w:r>
    </w:p>
    <w:p w:rsidR="00BD6322" w:rsidRDefault="00BD6322" w:rsidP="00BD6322">
      <w:pPr>
        <w:jc w:val="center"/>
        <w:rPr>
          <w:rFonts w:ascii="宋体" w:eastAsia="宋体" w:hAnsi="宋体"/>
          <w:b/>
          <w:sz w:val="24"/>
        </w:rPr>
      </w:pPr>
      <w:r w:rsidRPr="00BD6322">
        <w:rPr>
          <w:rFonts w:ascii="宋体" w:eastAsia="宋体" w:hAnsi="宋体" w:hint="eastAsia"/>
          <w:b/>
          <w:sz w:val="24"/>
        </w:rPr>
        <w:t>公告送出日期：</w:t>
      </w:r>
      <w:r w:rsidRPr="00BD6322">
        <w:rPr>
          <w:rFonts w:ascii="宋体" w:eastAsia="宋体" w:hAnsi="宋体"/>
          <w:b/>
          <w:sz w:val="24"/>
        </w:rPr>
        <w:t>2026年7月16日</w:t>
      </w:r>
    </w:p>
    <w:p w:rsidR="00BD6322" w:rsidRDefault="00BD6322" w:rsidP="00BD6322">
      <w:pPr>
        <w:jc w:val="center"/>
        <w:rPr>
          <w:rFonts w:ascii="宋体" w:eastAsia="宋体" w:hAnsi="宋体"/>
          <w:b/>
          <w:sz w:val="24"/>
        </w:rPr>
      </w:pPr>
    </w:p>
    <w:p w:rsidR="00BD6322" w:rsidRDefault="00BD6322" w:rsidP="00BD6322">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基金名称</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博时安丰</w:t>
            </w:r>
            <w:r>
              <w:rPr>
                <w:rFonts w:ascii="宋体" w:eastAsia="宋体" w:hAnsi="宋体"/>
              </w:rPr>
              <w:t>18个月定期开放债券型证券投资基金(LOF)</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基金简称</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博时安丰</w:t>
            </w:r>
            <w:r>
              <w:rPr>
                <w:rFonts w:ascii="宋体" w:eastAsia="宋体" w:hAnsi="宋体"/>
              </w:rPr>
              <w:t>18个月定开债</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基金主代码</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rPr>
              <w:t>160515</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基金合同生效日</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rPr>
              <w:t>2013年8月22日</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基金管理人名称</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博时基金管理有限公司</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基金托管人名称</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上海浦东发展银行股份有限公司</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公告依据</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《中华人民共和国证券投资基金法》、《公开募集证券投资基金运作管理办法》、《博时安丰</w:t>
            </w:r>
            <w:r>
              <w:rPr>
                <w:rFonts w:ascii="宋体" w:eastAsia="宋体" w:hAnsi="宋体"/>
              </w:rPr>
              <w:t>18个月定期开放债券型证券投资基金(LOF)基金合同》、《博时安丰18个月定期开放债券型证券投资基金(LOF)招募说明书》等</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收益分配基准日</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rPr>
              <w:t>2026年6月30日</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下属基金份额的基金简称</w:t>
            </w:r>
          </w:p>
        </w:tc>
        <w:tc>
          <w:tcPr>
            <w:tcW w:w="2841" w:type="dxa"/>
            <w:vAlign w:val="center"/>
          </w:tcPr>
          <w:p w:rsidR="00BD6322" w:rsidRPr="00BD6322" w:rsidRDefault="00BD6322" w:rsidP="00BD6322">
            <w:pPr>
              <w:rPr>
                <w:rFonts w:ascii="宋体" w:eastAsia="宋体" w:hAnsi="宋体"/>
              </w:rPr>
            </w:pPr>
            <w:r>
              <w:rPr>
                <w:rFonts w:ascii="宋体" w:eastAsia="宋体" w:hAnsi="宋体" w:hint="eastAsia"/>
              </w:rPr>
              <w:t>博时安丰</w:t>
            </w:r>
            <w:r>
              <w:rPr>
                <w:rFonts w:ascii="宋体" w:eastAsia="宋体" w:hAnsi="宋体"/>
              </w:rPr>
              <w:t>18个月定开债A</w:t>
            </w:r>
          </w:p>
        </w:tc>
        <w:tc>
          <w:tcPr>
            <w:tcW w:w="2841" w:type="dxa"/>
            <w:vAlign w:val="center"/>
          </w:tcPr>
          <w:p w:rsidR="00BD6322" w:rsidRPr="00BD6322" w:rsidRDefault="00BD6322" w:rsidP="00BD6322">
            <w:pPr>
              <w:rPr>
                <w:rFonts w:ascii="宋体" w:eastAsia="宋体" w:hAnsi="宋体"/>
              </w:rPr>
            </w:pPr>
            <w:r>
              <w:rPr>
                <w:rFonts w:ascii="宋体" w:eastAsia="宋体" w:hAnsi="宋体" w:hint="eastAsia"/>
              </w:rPr>
              <w:t>博时安丰</w:t>
            </w:r>
            <w:r>
              <w:rPr>
                <w:rFonts w:ascii="宋体" w:eastAsia="宋体" w:hAnsi="宋体"/>
              </w:rPr>
              <w:t>18个月定开债C</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下属基金份额的交易代码</w:t>
            </w:r>
          </w:p>
        </w:tc>
        <w:tc>
          <w:tcPr>
            <w:tcW w:w="2841" w:type="dxa"/>
            <w:vAlign w:val="center"/>
          </w:tcPr>
          <w:p w:rsidR="00BD6322" w:rsidRPr="00BD6322" w:rsidRDefault="00BD6322" w:rsidP="00BD6322">
            <w:pPr>
              <w:rPr>
                <w:rFonts w:ascii="宋体" w:eastAsia="宋体" w:hAnsi="宋体"/>
              </w:rPr>
            </w:pPr>
            <w:r>
              <w:rPr>
                <w:rFonts w:ascii="宋体" w:eastAsia="宋体" w:hAnsi="宋体"/>
              </w:rPr>
              <w:t>160515</w:t>
            </w:r>
          </w:p>
        </w:tc>
        <w:tc>
          <w:tcPr>
            <w:tcW w:w="2841" w:type="dxa"/>
            <w:vAlign w:val="center"/>
          </w:tcPr>
          <w:p w:rsidR="00BD6322" w:rsidRPr="00BD6322" w:rsidRDefault="00BD6322" w:rsidP="00BD6322">
            <w:pPr>
              <w:rPr>
                <w:rFonts w:ascii="宋体" w:eastAsia="宋体" w:hAnsi="宋体"/>
              </w:rPr>
            </w:pPr>
            <w:r>
              <w:rPr>
                <w:rFonts w:ascii="宋体" w:eastAsia="宋体" w:hAnsi="宋体"/>
              </w:rPr>
              <w:t>160523</w:t>
            </w:r>
          </w:p>
        </w:tc>
      </w:tr>
      <w:tr w:rsidR="00BD6322" w:rsidTr="00BD6322">
        <w:tc>
          <w:tcPr>
            <w:tcW w:w="1420" w:type="dxa"/>
            <w:vMerge w:val="restart"/>
            <w:vAlign w:val="center"/>
          </w:tcPr>
          <w:p w:rsidR="00BD6322" w:rsidRPr="00BD6322" w:rsidRDefault="00BD6322" w:rsidP="00BD6322">
            <w:pPr>
              <w:rPr>
                <w:rFonts w:ascii="宋体" w:eastAsia="宋体" w:hAnsi="宋体"/>
              </w:rPr>
            </w:pPr>
            <w:r>
              <w:rPr>
                <w:rFonts w:ascii="宋体" w:eastAsia="宋体" w:hAnsi="宋体" w:hint="eastAsia"/>
              </w:rPr>
              <w:t>截止基准日下属基金份额的相关指标</w:t>
            </w:r>
          </w:p>
        </w:tc>
        <w:tc>
          <w:tcPr>
            <w:tcW w:w="1420" w:type="dxa"/>
            <w:vAlign w:val="center"/>
          </w:tcPr>
          <w:p w:rsidR="00BD6322" w:rsidRPr="00BD6322" w:rsidRDefault="00BD6322" w:rsidP="00BD6322">
            <w:pPr>
              <w:rPr>
                <w:rFonts w:ascii="宋体" w:eastAsia="宋体" w:hAnsi="宋体"/>
              </w:rPr>
            </w:pPr>
            <w:r>
              <w:rPr>
                <w:rFonts w:ascii="宋体" w:eastAsia="宋体" w:hAnsi="宋体" w:hint="eastAsia"/>
              </w:rPr>
              <w:t>基准日下属基金份额净值（单位：元）</w:t>
            </w:r>
          </w:p>
        </w:tc>
        <w:tc>
          <w:tcPr>
            <w:tcW w:w="2841" w:type="dxa"/>
            <w:vAlign w:val="center"/>
          </w:tcPr>
          <w:p w:rsidR="00BD6322" w:rsidRPr="00BD6322" w:rsidRDefault="00BD6322" w:rsidP="00BD6322">
            <w:pPr>
              <w:rPr>
                <w:rFonts w:ascii="宋体" w:eastAsia="宋体" w:hAnsi="宋体"/>
              </w:rPr>
            </w:pPr>
            <w:r>
              <w:rPr>
                <w:rFonts w:ascii="宋体" w:eastAsia="宋体" w:hAnsi="宋体"/>
              </w:rPr>
              <w:t>1.0516</w:t>
            </w:r>
          </w:p>
        </w:tc>
        <w:tc>
          <w:tcPr>
            <w:tcW w:w="2841" w:type="dxa"/>
            <w:vAlign w:val="center"/>
          </w:tcPr>
          <w:p w:rsidR="00BD6322" w:rsidRPr="00BD6322" w:rsidRDefault="00BD6322" w:rsidP="00BD6322">
            <w:pPr>
              <w:rPr>
                <w:rFonts w:ascii="宋体" w:eastAsia="宋体" w:hAnsi="宋体"/>
              </w:rPr>
            </w:pPr>
            <w:r>
              <w:rPr>
                <w:rFonts w:ascii="宋体" w:eastAsia="宋体" w:hAnsi="宋体"/>
              </w:rPr>
              <w:t>1.0159</w:t>
            </w:r>
          </w:p>
        </w:tc>
      </w:tr>
      <w:tr w:rsidR="00BD6322" w:rsidTr="00BD6322">
        <w:tc>
          <w:tcPr>
            <w:tcW w:w="1420" w:type="dxa"/>
            <w:vMerge/>
            <w:vAlign w:val="center"/>
          </w:tcPr>
          <w:p w:rsidR="00BD6322" w:rsidRDefault="00BD6322" w:rsidP="00BD6322"/>
        </w:tc>
        <w:tc>
          <w:tcPr>
            <w:tcW w:w="1420" w:type="dxa"/>
            <w:vAlign w:val="center"/>
          </w:tcPr>
          <w:p w:rsidR="00BD6322" w:rsidRPr="00BD6322" w:rsidRDefault="00BD6322" w:rsidP="00BD6322">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BD6322" w:rsidRPr="00BD6322" w:rsidRDefault="00BD6322" w:rsidP="00BD6322">
            <w:pPr>
              <w:rPr>
                <w:rFonts w:ascii="宋体" w:eastAsia="宋体" w:hAnsi="宋体"/>
              </w:rPr>
            </w:pPr>
            <w:r>
              <w:rPr>
                <w:rFonts w:ascii="宋体" w:eastAsia="宋体" w:hAnsi="宋体"/>
              </w:rPr>
              <w:t>2,055,055.22</w:t>
            </w:r>
          </w:p>
        </w:tc>
        <w:tc>
          <w:tcPr>
            <w:tcW w:w="2841" w:type="dxa"/>
            <w:vAlign w:val="center"/>
          </w:tcPr>
          <w:p w:rsidR="00BD6322" w:rsidRPr="00BD6322" w:rsidRDefault="00BD6322" w:rsidP="00BD6322">
            <w:pPr>
              <w:rPr>
                <w:rFonts w:ascii="宋体" w:eastAsia="宋体" w:hAnsi="宋体"/>
              </w:rPr>
            </w:pPr>
            <w:r>
              <w:rPr>
                <w:rFonts w:ascii="宋体" w:eastAsia="宋体" w:hAnsi="宋体"/>
              </w:rPr>
              <w:t>30,994.81</w:t>
            </w:r>
          </w:p>
        </w:tc>
      </w:tr>
      <w:tr w:rsidR="00BD6322" w:rsidTr="00BD6322">
        <w:tc>
          <w:tcPr>
            <w:tcW w:w="1420" w:type="dxa"/>
            <w:vMerge/>
            <w:vAlign w:val="center"/>
          </w:tcPr>
          <w:p w:rsidR="00BD6322" w:rsidRDefault="00BD6322" w:rsidP="00BD6322"/>
        </w:tc>
        <w:tc>
          <w:tcPr>
            <w:tcW w:w="1420" w:type="dxa"/>
            <w:vAlign w:val="center"/>
          </w:tcPr>
          <w:p w:rsidR="00BD6322" w:rsidRPr="00BD6322" w:rsidRDefault="00BD6322" w:rsidP="00BD6322">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BD6322" w:rsidRPr="00BD6322" w:rsidRDefault="00BD6322" w:rsidP="00BD6322">
            <w:pPr>
              <w:rPr>
                <w:rFonts w:ascii="宋体" w:eastAsia="宋体" w:hAnsi="宋体"/>
              </w:rPr>
            </w:pPr>
            <w:r>
              <w:rPr>
                <w:rFonts w:ascii="宋体" w:eastAsia="宋体" w:hAnsi="宋体"/>
              </w:rPr>
              <w:t>1,849,549.70</w:t>
            </w:r>
          </w:p>
        </w:tc>
        <w:tc>
          <w:tcPr>
            <w:tcW w:w="2841" w:type="dxa"/>
            <w:vAlign w:val="center"/>
          </w:tcPr>
          <w:p w:rsidR="00BD6322" w:rsidRPr="00BD6322" w:rsidRDefault="00BD6322" w:rsidP="00BD6322">
            <w:pPr>
              <w:rPr>
                <w:rFonts w:ascii="宋体" w:eastAsia="宋体" w:hAnsi="宋体"/>
              </w:rPr>
            </w:pPr>
            <w:r>
              <w:rPr>
                <w:rFonts w:ascii="宋体" w:eastAsia="宋体" w:hAnsi="宋体"/>
              </w:rPr>
              <w:t>27,895.33</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BD6322" w:rsidRPr="00BD6322" w:rsidRDefault="00BD6322" w:rsidP="00BD6322">
            <w:pPr>
              <w:rPr>
                <w:rFonts w:ascii="宋体" w:eastAsia="宋体" w:hAnsi="宋体"/>
              </w:rPr>
            </w:pPr>
            <w:r>
              <w:rPr>
                <w:rFonts w:ascii="宋体" w:eastAsia="宋体" w:hAnsi="宋体"/>
              </w:rPr>
              <w:t>0.1900</w:t>
            </w:r>
          </w:p>
        </w:tc>
        <w:tc>
          <w:tcPr>
            <w:tcW w:w="2841" w:type="dxa"/>
            <w:vAlign w:val="center"/>
          </w:tcPr>
          <w:p w:rsidR="00BD6322" w:rsidRPr="00BD6322" w:rsidRDefault="00BD6322" w:rsidP="00BD6322">
            <w:pPr>
              <w:rPr>
                <w:rFonts w:ascii="宋体" w:eastAsia="宋体" w:hAnsi="宋体"/>
              </w:rPr>
            </w:pPr>
            <w:r>
              <w:rPr>
                <w:rFonts w:ascii="宋体" w:eastAsia="宋体" w:hAnsi="宋体"/>
              </w:rPr>
              <w:t>0.1430</w:t>
            </w:r>
          </w:p>
        </w:tc>
      </w:tr>
      <w:tr w:rsidR="00BD6322" w:rsidTr="00BD6322">
        <w:tc>
          <w:tcPr>
            <w:tcW w:w="2840" w:type="dxa"/>
            <w:gridSpan w:val="2"/>
            <w:vAlign w:val="center"/>
          </w:tcPr>
          <w:p w:rsidR="00BD6322" w:rsidRPr="00BD6322" w:rsidRDefault="00BD6322" w:rsidP="00BD6322">
            <w:pPr>
              <w:rPr>
                <w:rFonts w:ascii="宋体" w:eastAsia="宋体" w:hAnsi="宋体"/>
              </w:rPr>
            </w:pPr>
            <w:r>
              <w:rPr>
                <w:rFonts w:ascii="宋体" w:eastAsia="宋体" w:hAnsi="宋体" w:hint="eastAsia"/>
              </w:rPr>
              <w:t>有关年度分红次数的说明</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BD6322" w:rsidRDefault="00BD6322" w:rsidP="00BD6322"/>
    <w:p w:rsidR="00BD6322" w:rsidRDefault="00BD6322" w:rsidP="00BD6322">
      <w:pPr>
        <w:pStyle w:val="a4"/>
        <w:spacing w:before="0" w:beforeAutospacing="0" w:after="0" w:afterAutospacing="0" w:line="360" w:lineRule="auto"/>
        <w:ind w:firstLine="420"/>
        <w:divId w:val="1284505824"/>
        <w:rPr>
          <w:rFonts w:hint="eastAsia"/>
          <w:sz w:val="21"/>
          <w:szCs w:val="21"/>
        </w:rPr>
      </w:pPr>
      <w:r w:rsidRPr="00BD6322">
        <w:rPr>
          <w:rFonts w:hint="eastAsia"/>
          <w:sz w:val="21"/>
        </w:rPr>
        <w:t>注：</w:t>
      </w:r>
      <w:r>
        <w:rPr>
          <w:rFonts w:hint="eastAsia"/>
          <w:sz w:val="21"/>
          <w:szCs w:val="21"/>
        </w:rPr>
        <w:t> 本基金A类基金份额每10份基金份额发放红利0.1900元人民币，本基金C类基金份额每10份基金份额发放红利0.1430元人民币。本基金A类份额的场内简称为安丰18定开。 </w:t>
      </w:r>
    </w:p>
    <w:p w:rsidR="00BD6322" w:rsidRDefault="00BD6322" w:rsidP="00BD6322">
      <w:pPr>
        <w:pStyle w:val="3"/>
        <w:divId w:val="1284505824"/>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2841"/>
        <w:gridCol w:w="2841"/>
      </w:tblGrid>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权益登记日</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rPr>
              <w:t>2026年7月20日</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除息日</w:t>
            </w:r>
          </w:p>
        </w:tc>
        <w:tc>
          <w:tcPr>
            <w:tcW w:w="2841" w:type="dxa"/>
            <w:vAlign w:val="center"/>
          </w:tcPr>
          <w:p w:rsidR="00BD6322" w:rsidRPr="00BD6322" w:rsidRDefault="00BD6322" w:rsidP="00BD6322">
            <w:pPr>
              <w:rPr>
                <w:rFonts w:ascii="宋体" w:eastAsia="宋体" w:hAnsi="宋体"/>
              </w:rPr>
            </w:pPr>
            <w:r>
              <w:rPr>
                <w:rFonts w:ascii="宋体" w:eastAsia="宋体" w:hAnsi="宋体"/>
              </w:rPr>
              <w:t>2026年7月21日（场内）</w:t>
            </w:r>
          </w:p>
        </w:tc>
        <w:tc>
          <w:tcPr>
            <w:tcW w:w="2841" w:type="dxa"/>
            <w:vAlign w:val="center"/>
          </w:tcPr>
          <w:p w:rsidR="00BD6322" w:rsidRPr="00BD6322" w:rsidRDefault="00BD6322" w:rsidP="00BD6322">
            <w:pPr>
              <w:rPr>
                <w:rFonts w:ascii="宋体" w:eastAsia="宋体" w:hAnsi="宋体"/>
              </w:rPr>
            </w:pPr>
            <w:r>
              <w:rPr>
                <w:rFonts w:ascii="宋体" w:eastAsia="宋体" w:hAnsi="宋体"/>
              </w:rPr>
              <w:t>2026年7月20日（场外）</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现金红利发放日</w:t>
            </w:r>
          </w:p>
        </w:tc>
        <w:tc>
          <w:tcPr>
            <w:tcW w:w="2841" w:type="dxa"/>
            <w:vAlign w:val="center"/>
          </w:tcPr>
          <w:p w:rsidR="00BD6322" w:rsidRPr="00BD6322" w:rsidRDefault="00BD6322" w:rsidP="00BD6322">
            <w:pPr>
              <w:rPr>
                <w:rFonts w:ascii="宋体" w:eastAsia="宋体" w:hAnsi="宋体"/>
              </w:rPr>
            </w:pPr>
            <w:r>
              <w:rPr>
                <w:rFonts w:ascii="宋体" w:eastAsia="宋体" w:hAnsi="宋体"/>
              </w:rPr>
              <w:t>2026年7月23日（场内）</w:t>
            </w:r>
          </w:p>
        </w:tc>
        <w:tc>
          <w:tcPr>
            <w:tcW w:w="2841" w:type="dxa"/>
            <w:vAlign w:val="center"/>
          </w:tcPr>
          <w:p w:rsidR="00BD6322" w:rsidRPr="00BD6322" w:rsidRDefault="00BD6322" w:rsidP="00BD6322">
            <w:pPr>
              <w:rPr>
                <w:rFonts w:ascii="宋体" w:eastAsia="宋体" w:hAnsi="宋体"/>
              </w:rPr>
            </w:pPr>
            <w:r>
              <w:rPr>
                <w:rFonts w:ascii="宋体" w:eastAsia="宋体" w:hAnsi="宋体"/>
              </w:rPr>
              <w:t>2026年7月22日（场外）</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分红对象</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权益登记日登记在册的本基金份额持有人</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红利再投资相关事项的说明</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选择红利再投资方式的投资者所转换的基金份额将以</w:t>
            </w:r>
            <w:r>
              <w:rPr>
                <w:rFonts w:ascii="宋体" w:eastAsia="宋体" w:hAnsi="宋体"/>
              </w:rPr>
              <w:t>2026年7月20日的基金份额净值为计算基准确定再投资份额，红利再投资所转换的基金份额于2026年7月21日直接划入其基金账户，2026年7月22日起投资者可以查询本次收益分配情况。</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税收相关事项的说明</w:t>
            </w:r>
          </w:p>
        </w:tc>
        <w:tc>
          <w:tcPr>
            <w:tcW w:w="5682" w:type="dxa"/>
            <w:gridSpan w:val="2"/>
            <w:vAlign w:val="center"/>
          </w:tcPr>
          <w:p w:rsidR="00BD6322" w:rsidRPr="00BD6322" w:rsidRDefault="00BD6322" w:rsidP="00BD6322">
            <w:pPr>
              <w:rPr>
                <w:rFonts w:ascii="宋体" w:eastAsia="宋体" w:hAnsi="宋体"/>
              </w:rPr>
            </w:pPr>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BD6322" w:rsidTr="00BD6322">
        <w:trPr>
          <w:divId w:val="1284505824"/>
        </w:trPr>
        <w:tc>
          <w:tcPr>
            <w:tcW w:w="2840" w:type="dxa"/>
            <w:vAlign w:val="center"/>
          </w:tcPr>
          <w:p w:rsidR="00BD6322" w:rsidRPr="00BD6322" w:rsidRDefault="00BD6322" w:rsidP="00BD6322">
            <w:pPr>
              <w:rPr>
                <w:rFonts w:ascii="宋体" w:eastAsia="宋体" w:hAnsi="宋体"/>
              </w:rPr>
            </w:pPr>
            <w:r>
              <w:rPr>
                <w:rFonts w:ascii="宋体" w:eastAsia="宋体" w:hAnsi="宋体" w:hint="eastAsia"/>
              </w:rPr>
              <w:t>费用相关事项的说明</w:t>
            </w:r>
          </w:p>
        </w:tc>
        <w:tc>
          <w:tcPr>
            <w:tcW w:w="5682" w:type="dxa"/>
            <w:gridSpan w:val="2"/>
            <w:vAlign w:val="center"/>
          </w:tcPr>
          <w:p w:rsidR="00BD6322" w:rsidRPr="00BD6322" w:rsidRDefault="00BD6322" w:rsidP="00BD6322">
            <w:pPr>
              <w:rPr>
                <w:rFonts w:ascii="宋体" w:eastAsia="宋体" w:hAnsi="宋体"/>
              </w:rPr>
            </w:pPr>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BD6322" w:rsidRDefault="00BD6322" w:rsidP="00BD6322">
      <w:pPr>
        <w:divId w:val="1284505824"/>
      </w:pPr>
    </w:p>
    <w:p w:rsidR="00BD6322" w:rsidRDefault="00BD6322" w:rsidP="00BD6322">
      <w:pPr>
        <w:pStyle w:val="3"/>
        <w:divId w:val="1284505824"/>
        <w:rPr>
          <w:rFonts w:ascii="宋体" w:eastAsia="宋体" w:hAnsi="宋体" w:hint="eastAsia"/>
          <w:sz w:val="21"/>
        </w:rPr>
      </w:pPr>
      <w:r w:rsidRPr="00BD6322">
        <w:rPr>
          <w:rFonts w:ascii="宋体" w:eastAsia="宋体" w:hAnsi="宋体" w:hint="eastAsia"/>
          <w:sz w:val="21"/>
        </w:rPr>
        <w:t>3 其他需要提示的事项</w:t>
      </w:r>
    </w:p>
    <w:p w:rsidR="00BD6322" w:rsidRDefault="00BD6322">
      <w:pPr>
        <w:pStyle w:val="a4"/>
        <w:spacing w:before="0" w:beforeAutospacing="0" w:after="0" w:afterAutospacing="0" w:line="360" w:lineRule="auto"/>
        <w:ind w:firstLine="420"/>
        <w:divId w:val="1405569837"/>
        <w:rPr>
          <w:sz w:val="21"/>
          <w:szCs w:val="21"/>
        </w:rPr>
      </w:pPr>
      <w:r>
        <w:rPr>
          <w:rFonts w:hint="eastAsia"/>
          <w:sz w:val="21"/>
          <w:szCs w:val="21"/>
        </w:rPr>
        <w:t xml:space="preserve">（1）权益登记日当天买入的基金份额享有本次分红权益，权益登记日当天卖出的基金份额不享有本次分红权益。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2）托管于证券登记结算系统的基金份额的分红方式只能是现金分红。托管于注册登记系统的基金份额分红方式可为现金分红方式或红利再投资方式，本基金默认的收益分配方式是现金分红；红利再投资部分以除息日的基金份额净值为计算基准确定再投资份额。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3）投资者可以在交易所的交易时间内到销售网点修改分红方式，本次分红确认的方式将按照投资者在权益登记日之前（不含2026年7月20日）最后一次选择的分红方式为准。请投资者到销售网点或通过博时基金管理有限公司客户服务中心确认分红方式是否正确，如不正确或希望修改分红方式的，请务必在规定时间前到销售网点办理变更手续。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（4）权益分派期间（2026年7月16日至2026年7月20日）暂停跨系统转登记业务。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（5）本基金场内份额将于2026年7月16日上午开市至10：30期间停牌，并将于2026年7月16日10：30起复牌。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（6）本基金份额持有人及希望了解本基金其他有关信息的投资者，可以登录本基金管理人网站（https://www.bosera.com）或拨打博时一线通95105568（免长途费）咨询相关事宜。 </w:t>
      </w:r>
    </w:p>
    <w:p w:rsidR="00BD6322" w:rsidRDefault="00BD6322">
      <w:pPr>
        <w:pStyle w:val="a4"/>
        <w:spacing w:before="0" w:beforeAutospacing="0" w:after="0" w:afterAutospacing="0" w:line="360" w:lineRule="auto"/>
        <w:ind w:firstLine="420"/>
        <w:divId w:val="1405569837"/>
        <w:rPr>
          <w:rFonts w:hint="eastAsia"/>
          <w:sz w:val="21"/>
          <w:szCs w:val="21"/>
        </w:rPr>
      </w:pPr>
      <w:r>
        <w:rPr>
          <w:rFonts w:hint="eastAsia"/>
          <w:sz w:val="21"/>
          <w:szCs w:val="21"/>
        </w:rPr>
        <w:lastRenderedPageBreak/>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BD6322" w:rsidRDefault="00BD6322" w:rsidP="00BD6322">
      <w:pPr>
        <w:pStyle w:val="a4"/>
        <w:spacing w:before="0" w:beforeAutospacing="0" w:after="0" w:afterAutospacing="0" w:line="360" w:lineRule="auto"/>
        <w:ind w:firstLine="420"/>
        <w:divId w:val="1405569837"/>
        <w:rPr>
          <w:rFonts w:hint="eastAsia"/>
          <w:sz w:val="21"/>
          <w:szCs w:val="21"/>
        </w:rPr>
      </w:pPr>
      <w:r>
        <w:rPr>
          <w:rFonts w:hint="eastAsia"/>
          <w:sz w:val="21"/>
          <w:szCs w:val="21"/>
        </w:rPr>
        <w:t xml:space="preserve">特此公告。 </w:t>
      </w:r>
    </w:p>
    <w:p w:rsidR="00BD6322" w:rsidRDefault="00BD6322" w:rsidP="00BD6322">
      <w:pPr>
        <w:pStyle w:val="a4"/>
        <w:spacing w:before="0" w:beforeAutospacing="0" w:after="0" w:afterAutospacing="0" w:line="360" w:lineRule="auto"/>
        <w:ind w:firstLine="420"/>
        <w:divId w:val="1405569837"/>
        <w:rPr>
          <w:sz w:val="21"/>
          <w:szCs w:val="21"/>
        </w:rPr>
      </w:pPr>
    </w:p>
    <w:p w:rsidR="00BD6322" w:rsidRDefault="00BD6322" w:rsidP="00BD6322">
      <w:pPr>
        <w:pStyle w:val="a4"/>
        <w:spacing w:before="0" w:beforeAutospacing="0" w:after="0" w:afterAutospacing="0" w:line="360" w:lineRule="auto"/>
        <w:ind w:firstLine="420"/>
        <w:divId w:val="1405569837"/>
        <w:rPr>
          <w:sz w:val="21"/>
          <w:szCs w:val="21"/>
        </w:rPr>
      </w:pPr>
    </w:p>
    <w:p w:rsidR="00BD6322" w:rsidRDefault="00BD6322" w:rsidP="00BD6322">
      <w:pPr>
        <w:pStyle w:val="a4"/>
        <w:spacing w:before="0" w:beforeAutospacing="0" w:after="0" w:afterAutospacing="0" w:line="360" w:lineRule="auto"/>
        <w:ind w:firstLine="420"/>
        <w:divId w:val="1405569837"/>
        <w:rPr>
          <w:sz w:val="21"/>
          <w:szCs w:val="21"/>
        </w:rPr>
      </w:pPr>
    </w:p>
    <w:p w:rsidR="00BD6322" w:rsidRDefault="00BD6322" w:rsidP="00BD6322">
      <w:pPr>
        <w:pStyle w:val="a4"/>
        <w:spacing w:before="0" w:beforeAutospacing="0" w:after="0" w:afterAutospacing="0" w:line="360" w:lineRule="auto"/>
        <w:ind w:firstLine="420"/>
        <w:jc w:val="right"/>
        <w:divId w:val="1405569837"/>
        <w:rPr>
          <w:rFonts w:hint="eastAsia"/>
          <w:sz w:val="21"/>
          <w:szCs w:val="21"/>
        </w:rPr>
      </w:pPr>
      <w:r w:rsidRPr="00BD6322">
        <w:rPr>
          <w:rFonts w:hint="eastAsia"/>
          <w:sz w:val="21"/>
          <w:szCs w:val="21"/>
        </w:rPr>
        <w:t>博时基金管理有限公司</w:t>
      </w:r>
    </w:p>
    <w:p w:rsidR="00BD6322" w:rsidRPr="00BD6322" w:rsidRDefault="00BD6322" w:rsidP="00BD6322">
      <w:pPr>
        <w:pStyle w:val="a4"/>
        <w:spacing w:before="0" w:beforeAutospacing="0" w:after="0" w:afterAutospacing="0" w:line="360" w:lineRule="auto"/>
        <w:ind w:firstLine="420"/>
        <w:jc w:val="right"/>
        <w:divId w:val="1405569837"/>
        <w:rPr>
          <w:sz w:val="21"/>
          <w:szCs w:val="21"/>
        </w:rPr>
      </w:pPr>
      <w:r w:rsidRPr="00BD6322">
        <w:rPr>
          <w:sz w:val="21"/>
          <w:szCs w:val="21"/>
        </w:rPr>
        <w:t>2026年7月16日</w:t>
      </w:r>
    </w:p>
    <w:sectPr w:rsidR="00BD6322" w:rsidRPr="00BD63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322"/>
    <w:rsid w:val="00BD6322"/>
    <w:rsid w:val="00D355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D632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D6322"/>
    <w:rPr>
      <w:b/>
      <w:bCs/>
      <w:sz w:val="32"/>
      <w:szCs w:val="32"/>
    </w:rPr>
  </w:style>
  <w:style w:type="table" w:styleId="a3">
    <w:name w:val="Table Grid"/>
    <w:basedOn w:val="a1"/>
    <w:uiPriority w:val="59"/>
    <w:rsid w:val="00BD6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D632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D632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D6322"/>
    <w:rPr>
      <w:b/>
      <w:bCs/>
      <w:sz w:val="32"/>
      <w:szCs w:val="32"/>
    </w:rPr>
  </w:style>
  <w:style w:type="table" w:styleId="a3">
    <w:name w:val="Table Grid"/>
    <w:basedOn w:val="a1"/>
    <w:uiPriority w:val="59"/>
    <w:rsid w:val="00BD6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D632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505824">
      <w:bodyDiv w:val="1"/>
      <w:marLeft w:val="0"/>
      <w:marRight w:val="0"/>
      <w:marTop w:val="0"/>
      <w:marBottom w:val="0"/>
      <w:divBdr>
        <w:top w:val="none" w:sz="0" w:space="0" w:color="auto"/>
        <w:left w:val="none" w:sz="0" w:space="0" w:color="auto"/>
        <w:bottom w:val="none" w:sz="0" w:space="0" w:color="auto"/>
        <w:right w:val="none" w:sz="0" w:space="0" w:color="auto"/>
      </w:divBdr>
      <w:divsChild>
        <w:div w:id="1405569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276</Words>
  <Characters>1579</Characters>
  <Application>Microsoft Office Word</Application>
  <DocSecurity>0</DocSecurity>
  <Lines>13</Lines>
  <Paragraphs>3</Paragraphs>
  <ScaleCrop>false</ScaleCrop>
  <Company>mycompany</Company>
  <LinksUpToDate>false</LinksUpToDate>
  <CharactersWithSpaces>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2026-07-08T02:02:00Z</dcterms:created>
  <dcterms:modified xsi:type="dcterms:W3CDTF">2026-07-08T02:02:00Z</dcterms:modified>
</cp:coreProperties>
</file>