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84D0B4"/>
    <w:p w14:paraId="06264AA3">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博时基金管理有限公司关于以通讯方式召开博时中证A100交易型开放式指数证券投资基金联接基金基金份额持有人大会的公告</w:t>
      </w:r>
    </w:p>
    <w:p w14:paraId="02EF599B">
      <w:pPr>
        <w:spacing w:line="360" w:lineRule="auto"/>
        <w:jc w:val="center"/>
        <w:rPr>
          <w:rFonts w:ascii="宋体" w:hAnsi="宋体" w:eastAsia="宋体"/>
          <w:b/>
          <w:sz w:val="24"/>
        </w:rPr>
      </w:pPr>
    </w:p>
    <w:p w14:paraId="240F453F">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0FD707BC">
      <w:pPr>
        <w:pStyle w:val="4"/>
        <w:spacing w:before="0" w:beforeAutospacing="0" w:after="0" w:afterAutospacing="0" w:line="360" w:lineRule="auto"/>
        <w:ind w:firstLine="420"/>
        <w:jc w:val="both"/>
        <w:rPr>
          <w:rFonts w:hint="eastAsia"/>
          <w:sz w:val="21"/>
          <w:szCs w:val="21"/>
        </w:rPr>
      </w:pPr>
      <w:r>
        <w:rPr>
          <w:rFonts w:hint="eastAsia"/>
          <w:sz w:val="21"/>
          <w:szCs w:val="21"/>
        </w:rPr>
        <w:t>根据《中华人民共和国证券投资基金法》、《公开募集证券投资基金运作管理办法》和《博时中证A100交易型开放式指数证券投资基金联接基金</w:t>
      </w:r>
      <w:r>
        <w:rPr>
          <w:rFonts w:hint="eastAsia"/>
          <w:sz w:val="21"/>
          <w:szCs w:val="21"/>
        </w:rPr>
        <w:t>基金合同》（以下简称“《基金合同》”或“基金合同”）的有关规定，博时中证A100交易型开放式指数证券投资基金联接基金</w:t>
      </w:r>
      <w:r>
        <w:rPr>
          <w:rFonts w:hint="eastAsia"/>
          <w:sz w:val="21"/>
          <w:szCs w:val="21"/>
        </w:rPr>
        <w:t>（以下简称“本基金”）的基金管理人博时基金管理有限公司（以下简称“基金管理人”或“本基金管理人”）经与本基金的基金托管人中国农业银行股份有限公司</w:t>
      </w:r>
      <w:r>
        <w:rPr>
          <w:rFonts w:hint="eastAsia"/>
          <w:sz w:val="21"/>
          <w:szCs w:val="21"/>
        </w:rPr>
        <w:t xml:space="preserve">协商一致，决定以通讯方式召开本基金的基金份额持有人大会，会议的具体安排如下： </w:t>
      </w:r>
    </w:p>
    <w:p w14:paraId="0F5FFD5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013BA56C">
      <w:pPr>
        <w:pStyle w:val="4"/>
        <w:spacing w:before="0" w:beforeAutospacing="0" w:after="0" w:afterAutospacing="0" w:line="360" w:lineRule="auto"/>
        <w:ind w:firstLine="420"/>
        <w:jc w:val="both"/>
        <w:rPr>
          <w:rFonts w:hint="eastAsia"/>
          <w:sz w:val="21"/>
          <w:szCs w:val="21"/>
        </w:rPr>
      </w:pPr>
      <w:r>
        <w:rPr>
          <w:rFonts w:hint="eastAsia"/>
          <w:sz w:val="21"/>
          <w:szCs w:val="21"/>
        </w:rPr>
        <w:t>2、会议投票表决起止时间：自2026年10月27日</w:t>
      </w:r>
      <w:r>
        <w:rPr>
          <w:rFonts w:hint="eastAsia"/>
          <w:sz w:val="21"/>
          <w:szCs w:val="21"/>
        </w:rPr>
        <w:t>起，至2026年11月24日</w:t>
      </w:r>
      <w:r>
        <w:rPr>
          <w:rFonts w:hint="eastAsia"/>
          <w:sz w:val="21"/>
          <w:szCs w:val="21"/>
        </w:rPr>
        <w:t xml:space="preserve">17：00止（送达时间以本基金管理人收到表决票时间为准）。 </w:t>
      </w:r>
    </w:p>
    <w:p w14:paraId="2D24786A">
      <w:pPr>
        <w:pStyle w:val="4"/>
        <w:spacing w:before="0" w:beforeAutospacing="0" w:after="0" w:afterAutospacing="0" w:line="360" w:lineRule="auto"/>
        <w:ind w:firstLine="420"/>
        <w:jc w:val="both"/>
        <w:rPr>
          <w:rFonts w:hint="eastAsia"/>
          <w:sz w:val="21"/>
          <w:szCs w:val="21"/>
        </w:rPr>
      </w:pPr>
      <w:r>
        <w:rPr>
          <w:rFonts w:hint="eastAsia"/>
          <w:sz w:val="21"/>
          <w:szCs w:val="21"/>
        </w:rPr>
        <w:t>3、会议计票日：2026年11月26日</w:t>
      </w:r>
      <w:r>
        <w:rPr>
          <w:rFonts w:hint="eastAsia"/>
          <w:sz w:val="21"/>
          <w:szCs w:val="21"/>
        </w:rPr>
        <w:t xml:space="preserve">  </w:t>
      </w:r>
    </w:p>
    <w:p w14:paraId="305201C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362F1D8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5A8D76F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3FB5C42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1FD3D02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08CDBF7A">
      <w:pPr>
        <w:pStyle w:val="4"/>
        <w:spacing w:before="0" w:beforeAutospacing="0" w:after="0" w:afterAutospacing="0" w:line="360" w:lineRule="auto"/>
        <w:ind w:firstLine="420"/>
        <w:jc w:val="both"/>
        <w:rPr>
          <w:rFonts w:hint="eastAsia"/>
          <w:sz w:val="21"/>
          <w:szCs w:val="21"/>
        </w:rPr>
      </w:pPr>
      <w:r>
        <w:rPr>
          <w:rFonts w:hint="eastAsia"/>
          <w:sz w:val="21"/>
          <w:szCs w:val="21"/>
        </w:rPr>
        <w:t>请在信封表面注明：“博时中证A100交易型开放式指数证券投资基金联接基金</w:t>
      </w:r>
      <w:r>
        <w:rPr>
          <w:rFonts w:hint="eastAsia"/>
          <w:sz w:val="21"/>
          <w:szCs w:val="21"/>
        </w:rPr>
        <w:t xml:space="preserve">基金份额持有人大会表决专用”。 </w:t>
      </w:r>
    </w:p>
    <w:p w14:paraId="5DFDAAF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4D965E2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59F0004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475DD921">
      <w:pPr>
        <w:pStyle w:val="4"/>
        <w:spacing w:before="0" w:beforeAutospacing="0" w:after="0" w:afterAutospacing="0" w:line="360" w:lineRule="auto"/>
        <w:ind w:firstLine="420"/>
        <w:jc w:val="both"/>
        <w:rPr>
          <w:rFonts w:hint="eastAsia"/>
          <w:sz w:val="21"/>
          <w:szCs w:val="21"/>
        </w:rPr>
      </w:pPr>
      <w:r>
        <w:rPr>
          <w:rFonts w:hint="eastAsia"/>
          <w:sz w:val="21"/>
          <w:szCs w:val="21"/>
        </w:rPr>
        <w:t>《关于博时中证A100交易型开放式指数证券投资基金联接基金持续运作的议案</w:t>
      </w:r>
      <w:r>
        <w:rPr>
          <w:rFonts w:hint="eastAsia"/>
          <w:sz w:val="21"/>
          <w:szCs w:val="21"/>
        </w:rPr>
        <w:t xml:space="preserve">》（见附件一）。 </w:t>
      </w:r>
    </w:p>
    <w:p w14:paraId="30113D6D">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1053219B">
      <w:pPr>
        <w:pStyle w:val="4"/>
        <w:spacing w:before="0" w:beforeAutospacing="0" w:after="0" w:afterAutospacing="0" w:line="360" w:lineRule="auto"/>
        <w:ind w:firstLine="420"/>
        <w:jc w:val="both"/>
        <w:rPr>
          <w:rFonts w:hint="eastAsia"/>
          <w:sz w:val="21"/>
          <w:szCs w:val="21"/>
        </w:rPr>
      </w:pPr>
      <w:r>
        <w:rPr>
          <w:rFonts w:hint="eastAsia"/>
          <w:sz w:val="21"/>
          <w:szCs w:val="21"/>
        </w:rPr>
        <w:t>本次大会的权益登记日为2026年10月27日</w:t>
      </w:r>
      <w:r>
        <w:rPr>
          <w:rFonts w:hint="eastAsia"/>
          <w:sz w:val="21"/>
          <w:szCs w:val="21"/>
        </w:rPr>
        <w:t>，即2026年10月27日</w:t>
      </w:r>
      <w:r>
        <w:rPr>
          <w:rFonts w:hint="eastAsia"/>
          <w:sz w:val="21"/>
          <w:szCs w:val="21"/>
        </w:rPr>
        <w:t xml:space="preserve">在本基金登记机构登记在册的本基金全体基金份额持有人均有权参与本次基金份额持有人大会的表决。 </w:t>
      </w:r>
    </w:p>
    <w:p w14:paraId="0BD2533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6DC23872">
      <w:pPr>
        <w:pStyle w:val="4"/>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5A8B9B8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797A950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（1）个人投资者自行投票的，需在表决票上签字，并提供本人有效身份证件（包括使用的有效身份证或其他能够表明其身份的有效证件或证明）正反面复印件； </w:t>
      </w:r>
    </w:p>
    <w:p w14:paraId="357D1D2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5D759C8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4C6A5BA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18957840">
      <w:pPr>
        <w:pStyle w:val="4"/>
        <w:spacing w:before="0" w:beforeAutospacing="0" w:after="0" w:afterAutospacing="0" w:line="360" w:lineRule="auto"/>
        <w:ind w:firstLine="420"/>
        <w:jc w:val="both"/>
        <w:rPr>
          <w:rFonts w:hint="eastAsia"/>
          <w:sz w:val="21"/>
          <w:szCs w:val="21"/>
        </w:rPr>
      </w:pPr>
      <w:r>
        <w:rPr>
          <w:rFonts w:hint="eastAsia"/>
          <w:sz w:val="21"/>
          <w:szCs w:val="21"/>
        </w:rPr>
        <w:t>3、基金份额持有人或其代理人需将填妥的表决票和所需的相关文件自2026年10月27日</w:t>
      </w:r>
      <w:r>
        <w:rPr>
          <w:rFonts w:hint="eastAsia"/>
          <w:sz w:val="21"/>
          <w:szCs w:val="21"/>
        </w:rPr>
        <w:t>起，至2026年11月24日</w:t>
      </w:r>
      <w:r>
        <w:rPr>
          <w:rFonts w:hint="eastAsia"/>
          <w:sz w:val="21"/>
          <w:szCs w:val="21"/>
        </w:rPr>
        <w:t>17：00以前（送达时间以基金管理人收到表决票时间为准）通过专人送交、邮寄的方式送达至本公告第一条第4项所述的寄达地址，并请在信封表面注明：“博时中证A100交易型开放式指数证券投资基金联接基金</w:t>
      </w:r>
      <w:r>
        <w:rPr>
          <w:rFonts w:hint="eastAsia"/>
          <w:sz w:val="21"/>
          <w:szCs w:val="21"/>
        </w:rPr>
        <w:t xml:space="preserve">基金份额持有人大会表决专用”。 </w:t>
      </w:r>
    </w:p>
    <w:p w14:paraId="32F4AFCB">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5442529F">
      <w:pPr>
        <w:pStyle w:val="4"/>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5D9C79E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6ED1E20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0F2FC2B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6958596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7858F7F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35A8D04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0B4175F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2、电话授权方式（仅适用于个人投资者） </w:t>
      </w:r>
    </w:p>
    <w:p w14:paraId="56541DF2">
      <w:pPr>
        <w:pStyle w:val="4"/>
        <w:spacing w:before="0" w:beforeAutospacing="0" w:after="0" w:afterAutospacing="0" w:line="360" w:lineRule="auto"/>
        <w:ind w:firstLine="420"/>
        <w:jc w:val="both"/>
        <w:rPr>
          <w:rFonts w:hint="eastAsia"/>
          <w:sz w:val="21"/>
          <w:szCs w:val="21"/>
        </w:rPr>
      </w:pPr>
      <w:r>
        <w:rPr>
          <w:rFonts w:hint="eastAsia"/>
          <w:sz w:val="21"/>
          <w:szCs w:val="21"/>
        </w:rPr>
        <w:t>（1）个人基金份额持有人可以通过基金管理人的电话征集授权通道（95105568）授权基金管理人进行投票。基金管理人在核实基金份额持有人身份后，根据基金份额持有人意愿进行授权记录，从而完成授权。基金管理人开设的录音电话征集授权通道接受授权的截止时间为本次大会投票截止日前一工作日（即2026年11月23日</w:t>
      </w:r>
      <w:r>
        <w:rPr>
          <w:rFonts w:hint="eastAsia"/>
          <w:sz w:val="21"/>
          <w:szCs w:val="21"/>
        </w:rPr>
        <w:t xml:space="preserve">）17：00（授权时间以系统记录的电话接通时间为准）。 </w:t>
      </w:r>
    </w:p>
    <w:p w14:paraId="3DF6C55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（2）基金份额持有人通过电话授权委托基金管理人参与大会并进行投票时，请个人基金份额持有人明确具体表决意见，若无明确授权的表决意见，授权视为无效。 </w:t>
      </w:r>
    </w:p>
    <w:p w14:paraId="7308516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（3）基金份额持有人通过电话授权基金管理人进行投票方式仅适用于持有本基金的个人基金份额持有人，对机构持有人暂不开通。代理人仅为基金管理人。 </w:t>
      </w:r>
    </w:p>
    <w:p w14:paraId="389D126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（4）为保护基金份额持有人利益，上述通话过程将被录音。 </w:t>
      </w:r>
    </w:p>
    <w:p w14:paraId="2CD017A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3、短信授权方式（仅适用于个人投资者） </w:t>
      </w:r>
    </w:p>
    <w:p w14:paraId="7513309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为方便基金份额持有人（个人投资者）参与本次基金份额持有人大会投票，基金管理人可提供短信通道供基金份额持有人进行授权。基金管理人或基金管理人委托的销售机构可通过短信平台向在基金管理人或销售机构处有效预留手机号码的基金份额持有人发送授权征集短信，基金份额持有人可回复符合要求的短信表明授权意见。短信授权的代理人仅为本基金管理人。 </w:t>
      </w:r>
    </w:p>
    <w:p w14:paraId="30E12A54">
      <w:pPr>
        <w:pStyle w:val="4"/>
        <w:spacing w:before="0" w:beforeAutospacing="0" w:after="0" w:afterAutospacing="0" w:line="360" w:lineRule="auto"/>
        <w:ind w:firstLine="420"/>
        <w:jc w:val="both"/>
        <w:rPr>
          <w:rFonts w:hint="eastAsia"/>
          <w:sz w:val="21"/>
          <w:szCs w:val="21"/>
        </w:rPr>
      </w:pPr>
      <w:r>
        <w:rPr>
          <w:rFonts w:hint="eastAsia"/>
          <w:sz w:val="21"/>
          <w:szCs w:val="21"/>
        </w:rPr>
        <w:t>短信授权的起止时间自2026年10月27日</w:t>
      </w:r>
      <w:r>
        <w:rPr>
          <w:rFonts w:hint="eastAsia"/>
          <w:sz w:val="21"/>
          <w:szCs w:val="21"/>
        </w:rPr>
        <w:t>起至2026年11月23日</w:t>
      </w:r>
      <w:r>
        <w:rPr>
          <w:rFonts w:hint="eastAsia"/>
          <w:sz w:val="21"/>
          <w:szCs w:val="21"/>
        </w:rPr>
        <w:t xml:space="preserve">（本次大会投票截止日前一工作日）17:00止（授权时间以系统记录的短信接收时间为准），敬请投资者注意。 </w:t>
      </w:r>
    </w:p>
    <w:p w14:paraId="1643BC1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基金份额持有人通过短信授权的方式仅适用于个人投资者，对机构投资者暂不开通。 </w:t>
      </w:r>
    </w:p>
    <w:p w14:paraId="67AE796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基金份额持有人通过短信授权基金管理人进行投票时，应明确表示具体表决意见。若基金份额持有人回复短信的内容不符合要求或者无明确授权的表决意见，视为无效授权。 </w:t>
      </w:r>
    </w:p>
    <w:p w14:paraId="6D0D93C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原预留手机号码已变更或已不再实际使用的，可选择其他方式进行授权。如因授权短信通道受阻或通讯故障等不可抗力或非基金管理人人为因素，导致基金管理人无法接收到或逾期接收到授权短信，视为短信授权无效，基金管理人不承担责任，基金份额持有人可以选择基金管理人认可的其他方式进行授权。 </w:t>
      </w:r>
    </w:p>
    <w:p w14:paraId="52BD02F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4、授权效力确定规则 </w:t>
      </w:r>
    </w:p>
    <w:p w14:paraId="1B847A1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（1）同一基金份额持有人送达了有效表决票，又存在有效纸面授权或有效的非纸面方式授权的，以其送达的有效表决票为准； </w:t>
      </w:r>
    </w:p>
    <w:p w14:paraId="2E5B6B1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（2）同一基金份额存在有效纸面授权和有效非纸面授权（电话授权或短信授权）的，以有效纸面授权为准； </w:t>
      </w:r>
    </w:p>
    <w:p w14:paraId="3AD8768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67D64FA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7964DEC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（5）同一基金份额存在以非纸面方式（电话授权或短信授权）进行多次有效授权的，以最后一次授权为准。电话授权时间以系统记录的电话接通时间为准；短信授权时间以系统记录的短信接收时间为准。 </w:t>
      </w:r>
    </w:p>
    <w:p w14:paraId="14D3BEA4">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19C7D210">
      <w:pPr>
        <w:pStyle w:val="4"/>
        <w:spacing w:before="0" w:beforeAutospacing="0" w:after="0" w:afterAutospacing="0" w:line="360" w:lineRule="auto"/>
        <w:ind w:firstLine="420"/>
        <w:jc w:val="both"/>
        <w:rPr>
          <w:rFonts w:hint="eastAsia"/>
          <w:sz w:val="21"/>
          <w:szCs w:val="21"/>
        </w:rPr>
      </w:pPr>
      <w:r>
        <w:rPr>
          <w:rFonts w:hint="eastAsia"/>
          <w:sz w:val="21"/>
          <w:szCs w:val="21"/>
        </w:rPr>
        <w:t>1、本次通讯会议的计票方式为：由本基金管理人授权的两名监督员在基金托管人（中国农业银行股份有限公司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7303B34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3C6A3E0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5CE3011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5DDB1F6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（2）同一基金份额持有人送达了有效表决票，又存在有效纸面授权或有效非纸面授权的，以其送达的有效表决票为准。 </w:t>
      </w:r>
    </w:p>
    <w:p w14:paraId="581FA9A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4BFFB51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60495AD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448741F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7362DAD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47E31A9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2A25D1C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2C32EBB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52D43FD1">
      <w:pPr>
        <w:pStyle w:val="4"/>
        <w:spacing w:before="0" w:beforeAutospacing="0" w:after="0" w:afterAutospacing="0" w:line="360" w:lineRule="auto"/>
        <w:ind w:firstLine="420"/>
        <w:jc w:val="both"/>
        <w:rPr>
          <w:rFonts w:hint="eastAsia"/>
          <w:sz w:val="21"/>
          <w:szCs w:val="21"/>
        </w:rPr>
      </w:pPr>
      <w:r>
        <w:rPr>
          <w:rFonts w:hint="eastAsia"/>
          <w:sz w:val="21"/>
          <w:szCs w:val="21"/>
        </w:rPr>
        <w:t>2、《关于博时中证A100交易型开放式指数证券投资基金联接基金持续运作的议案</w:t>
      </w:r>
      <w:r>
        <w:rPr>
          <w:rFonts w:hint="eastAsia"/>
          <w:sz w:val="21"/>
          <w:szCs w:val="21"/>
        </w:rPr>
        <w:t xml:space="preserve">》应当由提交有效表决票的基金份额持有人或其代理人所持表决权的二分之一以上（含二分之一）通过； </w:t>
      </w:r>
    </w:p>
    <w:p w14:paraId="6FCE3CA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70F2CA2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19475F0F">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13571BEC">
      <w:pPr>
        <w:pStyle w:val="4"/>
        <w:spacing w:before="0" w:beforeAutospacing="0" w:after="0" w:afterAutospacing="0" w:line="360" w:lineRule="auto"/>
        <w:ind w:firstLine="420"/>
        <w:jc w:val="both"/>
        <w:rPr>
          <w:rFonts w:hint="eastAsia"/>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10月27日</w:t>
      </w:r>
      <w:r>
        <w:rPr>
          <w:rFonts w:hint="eastAsia"/>
          <w:sz w:val="21"/>
          <w:szCs w:val="21"/>
        </w:rPr>
        <w:t xml:space="preserve">。 </w:t>
      </w:r>
    </w:p>
    <w:p w14:paraId="3314EA0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743EEF32">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3E4F0430">
      <w:pPr>
        <w:pStyle w:val="4"/>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4C178131">
      <w:pPr>
        <w:pStyle w:val="4"/>
        <w:spacing w:before="0" w:beforeAutospacing="0" w:after="0" w:afterAutospacing="0" w:line="360" w:lineRule="auto"/>
        <w:ind w:firstLine="420"/>
        <w:jc w:val="both"/>
        <w:rPr>
          <w:rFonts w:hint="eastAsia"/>
          <w:sz w:val="21"/>
          <w:szCs w:val="21"/>
        </w:rPr>
      </w:pPr>
      <w:r>
        <w:rPr>
          <w:rFonts w:hint="eastAsia"/>
          <w:sz w:val="21"/>
          <w:szCs w:val="21"/>
        </w:rPr>
        <w:t>2、基金托管人：中国农业银行股份有限公司</w:t>
      </w:r>
    </w:p>
    <w:p w14:paraId="38F40D8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7BD8FAE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30A1E20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550A2034">
      <w:pPr>
        <w:pStyle w:val="4"/>
        <w:spacing w:before="0" w:beforeAutospacing="0" w:after="0" w:afterAutospacing="0" w:line="360" w:lineRule="auto"/>
        <w:ind w:firstLine="420"/>
        <w:jc w:val="both"/>
        <w:rPr>
          <w:rFonts w:hint="eastAsia"/>
          <w:sz w:val="21"/>
          <w:szCs w:val="21"/>
        </w:rPr>
      </w:pPr>
      <w:r>
        <w:rPr>
          <w:rFonts w:hint="eastAsia"/>
          <w:sz w:val="21"/>
          <w:szCs w:val="21"/>
        </w:rPr>
        <w:t>4、律师事务所：上海源泰律师事务所</w:t>
      </w:r>
    </w:p>
    <w:p w14:paraId="5551DDDA">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2287064B">
      <w:pPr>
        <w:pStyle w:val="4"/>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40AD971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6D1E884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3、基金管理人将在发布本公告后，在2个工作日内连续公布相关提示性公告，就基金份额持有人大会相关情况做必要说明，请予以留意。 </w:t>
      </w:r>
    </w:p>
    <w:p w14:paraId="09FC94A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4、本公告的有关内容由博时基金管理有限公司负责解释。 </w:t>
      </w:r>
    </w:p>
    <w:p w14:paraId="0FA62C68">
      <w:pPr>
        <w:pStyle w:val="4"/>
        <w:spacing w:before="0" w:beforeAutospacing="0" w:after="0" w:afterAutospacing="0" w:line="360" w:lineRule="auto"/>
        <w:ind w:firstLine="420"/>
        <w:jc w:val="both"/>
        <w:rPr>
          <w:sz w:val="21"/>
          <w:szCs w:val="21"/>
        </w:rPr>
      </w:pPr>
    </w:p>
    <w:p w14:paraId="5E896DC2">
      <w:pPr>
        <w:pStyle w:val="4"/>
        <w:spacing w:before="0" w:beforeAutospacing="0" w:after="0" w:afterAutospacing="0" w:line="360" w:lineRule="auto"/>
        <w:ind w:firstLine="420"/>
        <w:jc w:val="both"/>
        <w:rPr>
          <w:sz w:val="21"/>
          <w:szCs w:val="21"/>
        </w:rPr>
      </w:pPr>
    </w:p>
    <w:p w14:paraId="155F3E06">
      <w:pPr>
        <w:pStyle w:val="4"/>
        <w:spacing w:before="0" w:beforeAutospacing="0" w:after="0" w:afterAutospacing="0" w:line="360" w:lineRule="auto"/>
        <w:ind w:firstLine="420"/>
        <w:jc w:val="both"/>
        <w:rPr>
          <w:sz w:val="21"/>
          <w:szCs w:val="21"/>
        </w:rPr>
      </w:pPr>
    </w:p>
    <w:p w14:paraId="5069C9C4">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243043A4">
      <w:pPr>
        <w:pStyle w:val="4"/>
        <w:spacing w:before="0" w:beforeAutospacing="0" w:after="0" w:afterAutospacing="0" w:line="360" w:lineRule="auto"/>
        <w:ind w:firstLine="420"/>
        <w:jc w:val="right"/>
        <w:rPr>
          <w:sz w:val="21"/>
          <w:szCs w:val="21"/>
        </w:rPr>
      </w:pPr>
      <w:r>
        <w:rPr>
          <w:sz w:val="21"/>
          <w:szCs w:val="21"/>
        </w:rPr>
        <w:t>2026年10月22日</w:t>
      </w:r>
    </w:p>
    <w:p w14:paraId="17FC8543">
      <w:pPr>
        <w:pStyle w:val="4"/>
        <w:spacing w:before="0" w:beforeAutospacing="0" w:after="0" w:afterAutospacing="0" w:line="360" w:lineRule="auto"/>
        <w:ind w:firstLine="420"/>
        <w:jc w:val="right"/>
        <w:rPr>
          <w:sz w:val="21"/>
          <w:szCs w:val="21"/>
        </w:rPr>
      </w:pPr>
    </w:p>
    <w:p w14:paraId="6A1F8668">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附件一：《关于博时中证</w:t>
      </w:r>
      <w:r>
        <w:rPr>
          <w:rStyle w:val="10"/>
          <w:rFonts w:ascii="宋体" w:hAnsi="宋体" w:cs="宋体"/>
          <w:szCs w:val="21"/>
        </w:rPr>
        <w:t>A100交易型开放式指数证券投资基金联接基金持续运作的议案</w:t>
      </w:r>
      <w:r>
        <w:rPr>
          <w:rStyle w:val="10"/>
          <w:rFonts w:hint="eastAsia" w:ascii="宋体" w:hAnsi="宋体" w:cs="宋体"/>
          <w:szCs w:val="21"/>
        </w:rPr>
        <w:t>》</w:t>
      </w:r>
    </w:p>
    <w:p w14:paraId="619D2F08">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附件二：《博时中证</w:t>
      </w:r>
      <w:r>
        <w:rPr>
          <w:rStyle w:val="10"/>
          <w:rFonts w:ascii="宋体" w:hAnsi="宋体" w:cs="宋体"/>
          <w:szCs w:val="21"/>
        </w:rPr>
        <w:t>A100交易型开放式指数证券投资基金联接基金</w:t>
      </w:r>
      <w:r>
        <w:rPr>
          <w:rStyle w:val="10"/>
          <w:rFonts w:hint="eastAsia" w:ascii="宋体" w:hAnsi="宋体" w:cs="宋体"/>
          <w:szCs w:val="21"/>
        </w:rPr>
        <w:t>基金份额持有人大会表决票》</w:t>
      </w:r>
    </w:p>
    <w:p w14:paraId="64E6EC4E">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1A87239B">
      <w:pPr>
        <w:rPr>
          <w:rStyle w:val="10"/>
          <w:rFonts w:ascii="宋体" w:hAnsi="宋体" w:cs="宋体"/>
          <w:szCs w:val="21"/>
        </w:rPr>
      </w:pPr>
      <w:r>
        <w:rPr>
          <w:rStyle w:val="10"/>
          <w:rFonts w:hint="eastAsia" w:ascii="宋体" w:hAnsi="宋体" w:cs="宋体"/>
          <w:szCs w:val="21"/>
        </w:rPr>
        <w:br w:type="page"/>
      </w:r>
    </w:p>
    <w:p w14:paraId="3FD69F0C">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4E9C77BC">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关于博时中证</w:t>
      </w:r>
      <w:r>
        <w:rPr>
          <w:rFonts w:ascii="宋体" w:hAnsi="宋体" w:cs="宋体"/>
          <w:b/>
          <w:bCs/>
          <w:color w:val="000000"/>
          <w:szCs w:val="21"/>
        </w:rPr>
        <w:t>A100交易型开放式指数证券投资基金联接基金持续运作的议案</w:t>
      </w:r>
    </w:p>
    <w:p w14:paraId="3EEB4B10">
      <w:pPr>
        <w:adjustRightInd w:val="0"/>
        <w:snapToGrid w:val="0"/>
        <w:spacing w:line="360" w:lineRule="auto"/>
        <w:ind w:firstLine="480"/>
        <w:rPr>
          <w:rStyle w:val="10"/>
          <w:rFonts w:ascii="宋体" w:hAnsi="宋体" w:cs="宋体"/>
          <w:szCs w:val="21"/>
        </w:rPr>
      </w:pPr>
    </w:p>
    <w:p w14:paraId="5B21B6B6">
      <w:pPr>
        <w:adjustRightInd w:val="0"/>
        <w:snapToGrid w:val="0"/>
        <w:spacing w:line="360" w:lineRule="auto"/>
        <w:rPr>
          <w:rStyle w:val="10"/>
          <w:rFonts w:ascii="宋体" w:hAnsi="宋体" w:cs="宋体"/>
          <w:szCs w:val="21"/>
        </w:rPr>
      </w:pPr>
      <w:r>
        <w:rPr>
          <w:rFonts w:hint="eastAsia" w:ascii="宋体" w:hAnsi="宋体" w:cs="宋体"/>
          <w:color w:val="000000"/>
          <w:szCs w:val="21"/>
        </w:rPr>
        <w:t>博时中证</w:t>
      </w:r>
      <w:r>
        <w:rPr>
          <w:rFonts w:ascii="宋体" w:hAnsi="宋体" w:cs="宋体"/>
          <w:color w:val="000000"/>
          <w:szCs w:val="21"/>
        </w:rPr>
        <w:t>A100交易型开放式指数证券投资基金联接基金</w:t>
      </w:r>
      <w:r>
        <w:rPr>
          <w:rStyle w:val="10"/>
          <w:rFonts w:hint="eastAsia" w:ascii="宋体" w:hAnsi="宋体" w:cs="宋体"/>
          <w:szCs w:val="21"/>
        </w:rPr>
        <w:t>基金份额持有人：</w:t>
      </w:r>
    </w:p>
    <w:p w14:paraId="2E1E9959">
      <w:pPr>
        <w:pStyle w:val="4"/>
        <w:spacing w:before="0" w:beforeAutospacing="0" w:after="0" w:afterAutospacing="0" w:line="360" w:lineRule="auto"/>
        <w:ind w:firstLine="420"/>
        <w:jc w:val="both"/>
        <w:rPr>
          <w:rFonts w:hint="eastAsia"/>
          <w:sz w:val="21"/>
          <w:szCs w:val="21"/>
        </w:rPr>
      </w:pPr>
      <w:bookmarkStart w:id="0" w:name="_GoBack"/>
      <w:r>
        <w:rPr>
          <w:rFonts w:hint="eastAsia"/>
          <w:sz w:val="21"/>
          <w:szCs w:val="21"/>
        </w:rPr>
        <w:t xml:space="preserve">按照《公开募集证券投资基金运作管理办法》及本基金基金合同的规定： </w:t>
      </w:r>
    </w:p>
    <w:p w14:paraId="29B4EF0B">
      <w:pPr>
        <w:pStyle w:val="4"/>
        <w:spacing w:before="0" w:beforeAutospacing="0" w:after="0" w:afterAutospacing="0" w:line="360" w:lineRule="auto"/>
        <w:ind w:firstLine="420"/>
        <w:jc w:val="both"/>
        <w:rPr>
          <w:rFonts w:hint="eastAsia"/>
          <w:sz w:val="21"/>
          <w:szCs w:val="21"/>
        </w:rPr>
      </w:pPr>
      <w:r>
        <w:rPr>
          <w:rFonts w:hint="eastAsia"/>
          <w:sz w:val="21"/>
          <w:szCs w:val="21"/>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开基金份额持有人大会。</w:t>
      </w:r>
    </w:p>
    <w:p w14:paraId="098AE00E">
      <w:pPr>
        <w:pStyle w:val="4"/>
        <w:spacing w:before="0" w:beforeAutospacing="0" w:after="0" w:afterAutospacing="0" w:line="360" w:lineRule="auto"/>
        <w:ind w:firstLine="420"/>
        <w:jc w:val="both"/>
        <w:rPr>
          <w:rFonts w:hint="eastAsia"/>
          <w:sz w:val="21"/>
          <w:szCs w:val="21"/>
        </w:rPr>
      </w:pPr>
      <w:r>
        <w:rPr>
          <w:rFonts w:hint="eastAsia"/>
          <w:sz w:val="21"/>
          <w:szCs w:val="21"/>
        </w:rPr>
        <w:t>法律法规或中国证监会另有规定时，从其规定。</w:t>
      </w:r>
      <w:r>
        <w:rPr>
          <w:rFonts w:hint="eastAsia"/>
          <w:sz w:val="21"/>
          <w:szCs w:val="21"/>
        </w:rPr>
        <w:t xml:space="preserve">” </w:t>
      </w:r>
    </w:p>
    <w:p w14:paraId="7698935A">
      <w:pPr>
        <w:pStyle w:val="4"/>
        <w:spacing w:before="0" w:beforeAutospacing="0" w:after="0" w:afterAutospacing="0" w:line="360" w:lineRule="auto"/>
        <w:ind w:firstLine="420"/>
        <w:jc w:val="both"/>
        <w:rPr>
          <w:rFonts w:hint="eastAsia"/>
          <w:sz w:val="21"/>
          <w:szCs w:val="21"/>
        </w:rPr>
      </w:pPr>
      <w:r>
        <w:rPr>
          <w:rFonts w:hint="eastAsia"/>
          <w:sz w:val="21"/>
          <w:szCs w:val="21"/>
        </w:rPr>
        <w:t>本基金已出现连续60个工作日资产净值低于5000万元</w:t>
      </w:r>
      <w:r>
        <w:rPr>
          <w:rFonts w:hint="eastAsia"/>
          <w:sz w:val="21"/>
          <w:szCs w:val="21"/>
        </w:rPr>
        <w:t>的情形。 本基金管理人经与基金托管人中国农业银行股份有限公司</w:t>
      </w:r>
      <w:r>
        <w:rPr>
          <w:rFonts w:hint="eastAsia"/>
          <w:sz w:val="21"/>
          <w:szCs w:val="21"/>
        </w:rPr>
        <w:t xml:space="preserve">协商一致，提议本基金持续运作。 </w:t>
      </w:r>
    </w:p>
    <w:p w14:paraId="401D5DC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为实施本次会议议案，提议授权基金管理人办理有关具体事宜，包括但不限于根据市场情况决定采取相关基金持续运作的措施以及确定基金持续运作各项工作的具体时间等。 </w:t>
      </w:r>
    </w:p>
    <w:p w14:paraId="39D9CA8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以上议案，请予审议。 </w:t>
      </w:r>
    </w:p>
    <w:bookmarkEnd w:id="0"/>
    <w:p w14:paraId="6098FA63">
      <w:pPr>
        <w:adjustRightInd w:val="0"/>
        <w:snapToGrid w:val="0"/>
        <w:spacing w:line="360" w:lineRule="auto"/>
        <w:rPr>
          <w:rFonts w:ascii="宋体" w:hAnsi="宋体" w:cs="宋体"/>
          <w:color w:val="000000"/>
          <w:szCs w:val="21"/>
        </w:rPr>
      </w:pPr>
    </w:p>
    <w:p w14:paraId="5576B417">
      <w:pPr>
        <w:adjustRightInd w:val="0"/>
        <w:snapToGrid w:val="0"/>
        <w:spacing w:line="360" w:lineRule="auto"/>
        <w:ind w:left="3220" w:firstLine="105" w:firstLineChars="50"/>
        <w:rPr>
          <w:rFonts w:ascii="宋体" w:hAnsi="宋体" w:cs="宋体"/>
          <w:szCs w:val="21"/>
        </w:rPr>
      </w:pPr>
    </w:p>
    <w:p w14:paraId="6975A6B7">
      <w:pPr>
        <w:adjustRightInd w:val="0"/>
        <w:snapToGrid w:val="0"/>
        <w:spacing w:line="360" w:lineRule="auto"/>
        <w:ind w:left="3220" w:firstLine="105" w:firstLineChars="50"/>
        <w:rPr>
          <w:rFonts w:ascii="宋体" w:hAnsi="宋体" w:cs="宋体"/>
          <w:szCs w:val="21"/>
        </w:rPr>
      </w:pPr>
    </w:p>
    <w:p w14:paraId="7CB10C93">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5EFAD19F">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2026年10月22日</w:t>
      </w:r>
      <w:r>
        <w:rPr>
          <w:rStyle w:val="10"/>
          <w:rFonts w:hint="eastAsia" w:ascii="宋体" w:hAnsi="宋体" w:cs="宋体"/>
          <w:szCs w:val="21"/>
        </w:rPr>
        <w:br w:type="page"/>
      </w:r>
    </w:p>
    <w:p w14:paraId="3170CD7B">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47F26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09765B8E">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博时中证</w:t>
            </w:r>
            <w:r>
              <w:rPr>
                <w:rFonts w:ascii="宋体" w:hAnsi="宋体" w:cs="宋体"/>
                <w:color w:val="000000"/>
                <w:sz w:val="21"/>
                <w:szCs w:val="21"/>
                <w:lang w:val="en-US"/>
              </w:rPr>
              <w:t>A100交易型开放式指数证券投资基金联接基金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471D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306D12BE">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5DEA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3982DC4B">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1F405D26">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016C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13D3426B">
            <w:pPr>
              <w:adjustRightInd w:val="0"/>
              <w:snapToGrid w:val="0"/>
              <w:spacing w:line="360" w:lineRule="auto"/>
              <w:rPr>
                <w:rFonts w:ascii="宋体" w:hAnsi="宋体" w:cs="宋体"/>
                <w:szCs w:val="21"/>
              </w:rPr>
            </w:pPr>
          </w:p>
        </w:tc>
        <w:tc>
          <w:tcPr>
            <w:tcW w:w="3975" w:type="dxa"/>
            <w:gridSpan w:val="3"/>
            <w:tcBorders>
              <w:bottom w:val="nil"/>
            </w:tcBorders>
          </w:tcPr>
          <w:p w14:paraId="7264792D">
            <w:pPr>
              <w:adjustRightInd w:val="0"/>
              <w:snapToGrid w:val="0"/>
              <w:spacing w:line="360" w:lineRule="auto"/>
              <w:ind w:left="807"/>
              <w:rPr>
                <w:rFonts w:ascii="宋体" w:hAnsi="宋体" w:cs="宋体"/>
                <w:szCs w:val="21"/>
              </w:rPr>
            </w:pPr>
          </w:p>
        </w:tc>
      </w:tr>
      <w:tr w14:paraId="62C7F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5306C2D5">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5991FEC9">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1BDF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08485C62">
            <w:pPr>
              <w:adjustRightInd w:val="0"/>
              <w:snapToGrid w:val="0"/>
              <w:spacing w:line="360" w:lineRule="auto"/>
              <w:rPr>
                <w:rFonts w:ascii="宋体" w:hAnsi="宋体" w:cs="宋体"/>
                <w:szCs w:val="21"/>
              </w:rPr>
            </w:pPr>
          </w:p>
        </w:tc>
        <w:tc>
          <w:tcPr>
            <w:tcW w:w="3975" w:type="dxa"/>
            <w:gridSpan w:val="3"/>
            <w:tcBorders>
              <w:bottom w:val="nil"/>
            </w:tcBorders>
          </w:tcPr>
          <w:p w14:paraId="5751E9F3">
            <w:pPr>
              <w:adjustRightInd w:val="0"/>
              <w:snapToGrid w:val="0"/>
              <w:spacing w:line="360" w:lineRule="auto"/>
              <w:ind w:left="807"/>
              <w:rPr>
                <w:rFonts w:ascii="宋体" w:hAnsi="宋体" w:cs="宋体"/>
                <w:szCs w:val="21"/>
              </w:rPr>
            </w:pPr>
          </w:p>
        </w:tc>
      </w:tr>
      <w:tr w14:paraId="34CD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009DA43C">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1B20975E">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6EBE8720">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4D84508A">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0D02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7C86CC48">
            <w:pPr>
              <w:pStyle w:val="4"/>
              <w:adjustRightInd w:val="0"/>
              <w:snapToGrid w:val="0"/>
              <w:spacing w:line="360" w:lineRule="auto"/>
              <w:jc w:val="both"/>
              <w:rPr>
                <w:sz w:val="21"/>
                <w:szCs w:val="21"/>
              </w:rPr>
            </w:pPr>
            <w:r>
              <w:rPr>
                <w:rFonts w:hint="eastAsia"/>
                <w:b/>
                <w:bCs/>
                <w:color w:val="000000"/>
                <w:sz w:val="21"/>
                <w:szCs w:val="21"/>
              </w:rPr>
              <w:t>《关于博时中证</w:t>
            </w:r>
            <w:r>
              <w:rPr>
                <w:b/>
                <w:bCs/>
                <w:color w:val="000000"/>
                <w:sz w:val="21"/>
                <w:szCs w:val="21"/>
              </w:rPr>
              <w:t>A100交易型开放式指数证券投资基金联接基金持续运作的议案</w:t>
            </w:r>
            <w:r>
              <w:rPr>
                <w:rFonts w:hint="eastAsia"/>
                <w:b/>
                <w:bCs/>
                <w:color w:val="000000"/>
                <w:sz w:val="21"/>
                <w:szCs w:val="21"/>
              </w:rPr>
              <w:t>》</w:t>
            </w:r>
          </w:p>
        </w:tc>
        <w:tc>
          <w:tcPr>
            <w:tcW w:w="1260" w:type="dxa"/>
          </w:tcPr>
          <w:p w14:paraId="7C7C0612">
            <w:pPr>
              <w:adjustRightInd w:val="0"/>
              <w:snapToGrid w:val="0"/>
              <w:spacing w:line="360" w:lineRule="auto"/>
              <w:rPr>
                <w:rFonts w:ascii="宋体" w:hAnsi="宋体" w:cs="宋体"/>
                <w:szCs w:val="21"/>
              </w:rPr>
            </w:pPr>
          </w:p>
          <w:p w14:paraId="3BB88C74">
            <w:pPr>
              <w:adjustRightInd w:val="0"/>
              <w:snapToGrid w:val="0"/>
              <w:spacing w:line="360" w:lineRule="auto"/>
              <w:rPr>
                <w:rFonts w:ascii="宋体" w:hAnsi="宋体" w:cs="宋体"/>
                <w:szCs w:val="21"/>
              </w:rPr>
            </w:pPr>
          </w:p>
        </w:tc>
        <w:tc>
          <w:tcPr>
            <w:tcW w:w="1260" w:type="dxa"/>
          </w:tcPr>
          <w:p w14:paraId="03316CFA">
            <w:pPr>
              <w:adjustRightInd w:val="0"/>
              <w:snapToGrid w:val="0"/>
              <w:spacing w:line="360" w:lineRule="auto"/>
              <w:rPr>
                <w:rFonts w:ascii="宋体" w:hAnsi="宋体" w:cs="宋体"/>
                <w:szCs w:val="21"/>
              </w:rPr>
            </w:pPr>
          </w:p>
          <w:p w14:paraId="28B62384">
            <w:pPr>
              <w:adjustRightInd w:val="0"/>
              <w:snapToGrid w:val="0"/>
              <w:spacing w:line="360" w:lineRule="auto"/>
              <w:rPr>
                <w:rFonts w:ascii="宋体" w:hAnsi="宋体" w:cs="宋体"/>
                <w:szCs w:val="21"/>
              </w:rPr>
            </w:pPr>
          </w:p>
        </w:tc>
        <w:tc>
          <w:tcPr>
            <w:tcW w:w="1455" w:type="dxa"/>
          </w:tcPr>
          <w:p w14:paraId="2302582A">
            <w:pPr>
              <w:adjustRightInd w:val="0"/>
              <w:snapToGrid w:val="0"/>
              <w:spacing w:line="360" w:lineRule="auto"/>
              <w:rPr>
                <w:rFonts w:ascii="宋体" w:hAnsi="宋体" w:cs="宋体"/>
                <w:szCs w:val="21"/>
              </w:rPr>
            </w:pPr>
          </w:p>
          <w:p w14:paraId="1FF11D31">
            <w:pPr>
              <w:adjustRightInd w:val="0"/>
              <w:snapToGrid w:val="0"/>
              <w:spacing w:line="360" w:lineRule="auto"/>
              <w:rPr>
                <w:rFonts w:ascii="宋体" w:hAnsi="宋体" w:cs="宋体"/>
                <w:szCs w:val="21"/>
              </w:rPr>
            </w:pPr>
          </w:p>
        </w:tc>
      </w:tr>
      <w:tr w14:paraId="083D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0A3FED71">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449B3727">
            <w:pPr>
              <w:adjustRightInd w:val="0"/>
              <w:snapToGrid w:val="0"/>
              <w:spacing w:line="360" w:lineRule="auto"/>
              <w:rPr>
                <w:rFonts w:ascii="宋体" w:hAnsi="宋体" w:cs="宋体"/>
                <w:szCs w:val="21"/>
              </w:rPr>
            </w:pPr>
          </w:p>
          <w:p w14:paraId="37EC75AD">
            <w:pPr>
              <w:adjustRightInd w:val="0"/>
              <w:snapToGrid w:val="0"/>
              <w:spacing w:line="360" w:lineRule="auto"/>
              <w:rPr>
                <w:rFonts w:ascii="宋体" w:hAnsi="宋体" w:cs="宋体"/>
                <w:szCs w:val="21"/>
              </w:rPr>
            </w:pPr>
          </w:p>
          <w:p w14:paraId="47AB7A20">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4891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432A011A">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72D81DAB">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0AA31E97">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6DC6058A">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09618BD9">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16B8CF05">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0F14CC3B">
      <w:pPr>
        <w:adjustRightInd w:val="0"/>
        <w:snapToGrid w:val="0"/>
        <w:spacing w:line="360" w:lineRule="auto"/>
        <w:ind w:firstLine="480"/>
        <w:rPr>
          <w:rFonts w:ascii="宋体" w:hAnsi="宋体" w:cs="宋体"/>
        </w:rPr>
      </w:pPr>
    </w:p>
    <w:p w14:paraId="0D3DF1C4">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博时中证</w:t>
      </w:r>
      <w:r>
        <w:rPr>
          <w:rFonts w:ascii="宋体" w:hAnsi="宋体" w:cs="宋体"/>
          <w:color w:val="000000"/>
          <w:szCs w:val="21"/>
        </w:rPr>
        <w:t>A100交易型开放式指数证券投资基金联接基金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博时中证</w:t>
      </w:r>
      <w:r>
        <w:rPr>
          <w:rFonts w:ascii="宋体" w:hAnsi="宋体" w:cs="宋体"/>
          <w:color w:val="000000"/>
          <w:szCs w:val="21"/>
        </w:rPr>
        <w:t>A100交易型开放式指数证券投资基金联接基金</w:t>
      </w:r>
      <w:r>
        <w:rPr>
          <w:rFonts w:hint="eastAsia" w:ascii="宋体" w:hAnsi="宋体" w:cs="宋体"/>
          <w:szCs w:val="21"/>
        </w:rPr>
        <w:t>二次召集审议相同议案的基金份额持有人大会的，除有新的授权外，本授权继续有效。</w:t>
      </w:r>
    </w:p>
    <w:p w14:paraId="01762BBB">
      <w:pPr>
        <w:adjustRightInd w:val="0"/>
        <w:snapToGrid w:val="0"/>
        <w:spacing w:line="360" w:lineRule="auto"/>
        <w:ind w:firstLine="480"/>
        <w:rPr>
          <w:rFonts w:ascii="宋体" w:hAnsi="宋体" w:cs="宋体"/>
          <w:szCs w:val="21"/>
        </w:rPr>
      </w:pPr>
    </w:p>
    <w:p w14:paraId="663A5323">
      <w:pPr>
        <w:adjustRightInd w:val="0"/>
        <w:snapToGrid w:val="0"/>
        <w:spacing w:line="360" w:lineRule="auto"/>
        <w:ind w:firstLine="480"/>
        <w:rPr>
          <w:rFonts w:ascii="宋体" w:hAnsi="宋体" w:cs="宋体"/>
          <w:szCs w:val="21"/>
        </w:rPr>
      </w:pPr>
    </w:p>
    <w:p w14:paraId="029B8C6F">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7B95E2D1">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05B0EF87">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5721B11A">
      <w:pPr>
        <w:adjustRightInd w:val="0"/>
        <w:snapToGrid w:val="0"/>
        <w:spacing w:line="360" w:lineRule="auto"/>
        <w:rPr>
          <w:rFonts w:ascii="宋体" w:hAnsi="宋体" w:cs="宋体"/>
          <w:szCs w:val="21"/>
        </w:rPr>
      </w:pPr>
    </w:p>
    <w:p w14:paraId="50E6CC43">
      <w:pPr>
        <w:adjustRightInd w:val="0"/>
        <w:snapToGrid w:val="0"/>
        <w:spacing w:line="360" w:lineRule="auto"/>
        <w:ind w:firstLine="5040"/>
        <w:rPr>
          <w:rFonts w:ascii="宋体" w:hAnsi="宋体" w:cs="宋体"/>
          <w:szCs w:val="21"/>
        </w:rPr>
      </w:pPr>
    </w:p>
    <w:p w14:paraId="0101E58B">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6D152DCB">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34D0B02A">
      <w:pPr>
        <w:adjustRightInd w:val="0"/>
        <w:snapToGrid w:val="0"/>
        <w:spacing w:line="360" w:lineRule="auto"/>
        <w:ind w:firstLine="5040"/>
        <w:rPr>
          <w:rFonts w:ascii="宋体" w:hAnsi="宋体" w:cs="宋体"/>
          <w:szCs w:val="21"/>
        </w:rPr>
      </w:pPr>
    </w:p>
    <w:p w14:paraId="2243F782">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2F4D2BB8">
      <w:pPr>
        <w:adjustRightInd w:val="0"/>
        <w:snapToGrid w:val="0"/>
        <w:spacing w:line="360" w:lineRule="auto"/>
        <w:jc w:val="center"/>
        <w:rPr>
          <w:rFonts w:ascii="宋体" w:hAnsi="宋体" w:cs="宋体"/>
          <w:szCs w:val="21"/>
        </w:rPr>
      </w:pPr>
    </w:p>
    <w:p w14:paraId="14B03D30">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0D3A8D51">
      <w:pPr>
        <w:adjustRightInd w:val="0"/>
        <w:snapToGrid w:val="0"/>
        <w:spacing w:line="360" w:lineRule="auto"/>
        <w:rPr>
          <w:rFonts w:ascii="宋体" w:hAnsi="宋体" w:cs="宋体"/>
          <w:szCs w:val="21"/>
        </w:rPr>
      </w:pPr>
    </w:p>
    <w:p w14:paraId="3F84C802">
      <w:pPr>
        <w:adjustRightInd w:val="0"/>
        <w:snapToGrid w:val="0"/>
        <w:spacing w:line="360" w:lineRule="auto"/>
        <w:rPr>
          <w:rFonts w:ascii="宋体" w:hAnsi="宋体" w:cs="宋体"/>
          <w:szCs w:val="21"/>
        </w:rPr>
      </w:pPr>
    </w:p>
    <w:p w14:paraId="7E8B5B44">
      <w:pPr>
        <w:adjustRightInd w:val="0"/>
        <w:snapToGrid w:val="0"/>
        <w:spacing w:line="360" w:lineRule="auto"/>
        <w:rPr>
          <w:rFonts w:ascii="宋体" w:hAnsi="宋体" w:cs="宋体"/>
          <w:szCs w:val="21"/>
        </w:rPr>
      </w:pPr>
      <w:r>
        <w:rPr>
          <w:rFonts w:hint="eastAsia" w:ascii="宋体" w:hAnsi="宋体" w:cs="宋体"/>
          <w:szCs w:val="21"/>
        </w:rPr>
        <w:t>附注：</w:t>
      </w:r>
    </w:p>
    <w:p w14:paraId="034024E4">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53D95E1A">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3AA37C81">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2656EB67">
      <w:pPr>
        <w:rPr>
          <w:rFonts w:ascii="宋体" w:hAnsi="宋体" w:cs="宋体"/>
          <w:color w:val="000000"/>
          <w:szCs w:val="21"/>
        </w:rPr>
      </w:pPr>
    </w:p>
    <w:p w14:paraId="25FBA016">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7E7"/>
    <w:rsid w:val="005E3B56"/>
    <w:rsid w:val="006B47E7"/>
    <w:rsid w:val="CF578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Pages>
  <Words>1217</Words>
  <Characters>6938</Characters>
  <Lines>57</Lines>
  <Paragraphs>16</Paragraphs>
  <TotalTime>0</TotalTime>
  <ScaleCrop>false</ScaleCrop>
  <LinksUpToDate>false</LinksUpToDate>
  <CharactersWithSpaces>8139</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2026-10-20T11:35:00Z</dcterms:created>
  <dc:creator>BSKMadminDev</dc:creator>
  <cp:lastModifiedBy>chenjy814</cp:lastModifiedBy>
  <dcterms:modified xsi:type="dcterms:W3CDTF">2026-10-20T11:42:46Z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68400F9D4056919036E3D66AC7BF614F_42</vt:lpwstr>
  </property>
</Properties>
</file>