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85609">
      <w:pPr>
        <w:widowControl/>
        <w:jc w:val="left"/>
        <w:rPr>
          <w:rFonts w:ascii="宋体" w:hAnsi="宋体" w:eastAsia="宋体"/>
          <w:b/>
          <w:sz w:val="28"/>
          <w:highlight w:val="none"/>
        </w:rPr>
      </w:pPr>
    </w:p>
    <w:p w14:paraId="026A72EC">
      <w:pPr>
        <w:widowControl/>
        <w:jc w:val="left"/>
        <w:rPr>
          <w:rFonts w:ascii="宋体" w:hAnsi="宋体" w:eastAsia="宋体"/>
          <w:b/>
          <w:sz w:val="28"/>
          <w:highlight w:val="none"/>
        </w:rPr>
      </w:pPr>
    </w:p>
    <w:p w14:paraId="14245126">
      <w:pPr>
        <w:widowControl/>
        <w:jc w:val="left"/>
        <w:rPr>
          <w:rFonts w:ascii="宋体" w:hAnsi="宋体" w:eastAsia="宋体"/>
          <w:b/>
          <w:sz w:val="28"/>
          <w:highlight w:val="none"/>
        </w:rPr>
      </w:pPr>
    </w:p>
    <w:p w14:paraId="5F8EA9F1">
      <w:pPr>
        <w:widowControl/>
        <w:jc w:val="left"/>
        <w:rPr>
          <w:rFonts w:ascii="宋体" w:hAnsi="宋体" w:eastAsia="宋体"/>
          <w:b/>
          <w:sz w:val="28"/>
          <w:highlight w:val="none"/>
        </w:rPr>
      </w:pPr>
    </w:p>
    <w:p w14:paraId="1F3FC8CB">
      <w:pPr>
        <w:widowControl/>
        <w:jc w:val="left"/>
        <w:rPr>
          <w:rFonts w:ascii="宋体" w:hAnsi="宋体" w:eastAsia="宋体"/>
          <w:b/>
          <w:sz w:val="28"/>
          <w:highlight w:val="none"/>
        </w:rPr>
      </w:pPr>
    </w:p>
    <w:p w14:paraId="5DCCFDF9">
      <w:pPr>
        <w:widowControl/>
        <w:spacing w:line="360" w:lineRule="auto"/>
        <w:jc w:val="center"/>
        <w:rPr>
          <w:rFonts w:ascii="宋体" w:hAnsi="宋体" w:eastAsia="宋体"/>
          <w:b/>
          <w:sz w:val="48"/>
          <w:highlight w:val="none"/>
        </w:rPr>
      </w:pPr>
      <w:r>
        <w:rPr>
          <w:rFonts w:hint="eastAsia" w:ascii="宋体" w:hAnsi="宋体" w:eastAsia="宋体"/>
          <w:b/>
          <w:sz w:val="48"/>
          <w:highlight w:val="none"/>
          <w:lang w:eastAsia="zh-CN"/>
        </w:rPr>
        <w:t>博时中证细分化工产业主题交易型开放式指数证券投资基金</w:t>
      </w:r>
      <w:r>
        <w:rPr>
          <w:rFonts w:hint="eastAsia" w:ascii="宋体" w:hAnsi="宋体" w:eastAsia="宋体"/>
          <w:b/>
          <w:sz w:val="48"/>
          <w:highlight w:val="none"/>
        </w:rPr>
        <w:t>基金份额发售公告</w:t>
      </w:r>
    </w:p>
    <w:p w14:paraId="17B3DD38">
      <w:pPr>
        <w:widowControl/>
        <w:spacing w:line="360" w:lineRule="auto"/>
        <w:jc w:val="center"/>
        <w:rPr>
          <w:rFonts w:ascii="宋体" w:hAnsi="宋体" w:eastAsia="宋体"/>
          <w:b/>
          <w:sz w:val="48"/>
          <w:highlight w:val="none"/>
        </w:rPr>
      </w:pPr>
    </w:p>
    <w:p w14:paraId="68087C60">
      <w:pPr>
        <w:widowControl/>
        <w:spacing w:line="360" w:lineRule="auto"/>
        <w:jc w:val="center"/>
        <w:rPr>
          <w:rFonts w:ascii="宋体" w:hAnsi="宋体" w:eastAsia="宋体"/>
          <w:b/>
          <w:sz w:val="48"/>
          <w:highlight w:val="none"/>
        </w:rPr>
      </w:pPr>
    </w:p>
    <w:p w14:paraId="791073C4">
      <w:pPr>
        <w:widowControl/>
        <w:spacing w:line="360" w:lineRule="auto"/>
        <w:jc w:val="center"/>
        <w:rPr>
          <w:rFonts w:ascii="宋体" w:hAnsi="宋体" w:eastAsia="宋体"/>
          <w:b/>
          <w:sz w:val="48"/>
          <w:highlight w:val="none"/>
        </w:rPr>
      </w:pPr>
    </w:p>
    <w:p w14:paraId="226DE999">
      <w:pPr>
        <w:widowControl/>
        <w:spacing w:line="360" w:lineRule="auto"/>
        <w:jc w:val="center"/>
        <w:rPr>
          <w:rFonts w:ascii="宋体" w:hAnsi="宋体" w:eastAsia="宋体"/>
          <w:b/>
          <w:sz w:val="48"/>
          <w:highlight w:val="none"/>
        </w:rPr>
      </w:pPr>
    </w:p>
    <w:p w14:paraId="61D2707F">
      <w:pPr>
        <w:widowControl/>
        <w:spacing w:line="360" w:lineRule="auto"/>
        <w:jc w:val="center"/>
        <w:rPr>
          <w:rFonts w:ascii="宋体" w:hAnsi="宋体" w:eastAsia="宋体"/>
          <w:b/>
          <w:sz w:val="48"/>
          <w:highlight w:val="none"/>
        </w:rPr>
      </w:pPr>
    </w:p>
    <w:p w14:paraId="3E2CEC69">
      <w:pPr>
        <w:widowControl/>
        <w:spacing w:line="360" w:lineRule="auto"/>
        <w:jc w:val="center"/>
        <w:rPr>
          <w:rFonts w:ascii="宋体" w:hAnsi="宋体" w:eastAsia="宋体"/>
          <w:b/>
          <w:sz w:val="48"/>
          <w:highlight w:val="none"/>
        </w:rPr>
      </w:pPr>
    </w:p>
    <w:p w14:paraId="366C2752">
      <w:pPr>
        <w:widowControl/>
        <w:spacing w:line="360" w:lineRule="auto"/>
        <w:jc w:val="center"/>
        <w:rPr>
          <w:rFonts w:ascii="宋体" w:hAnsi="宋体" w:eastAsia="宋体"/>
          <w:b/>
          <w:sz w:val="48"/>
          <w:highlight w:val="none"/>
        </w:rPr>
      </w:pPr>
    </w:p>
    <w:p w14:paraId="1A00C5FB">
      <w:pPr>
        <w:widowControl/>
        <w:spacing w:line="360" w:lineRule="auto"/>
        <w:jc w:val="center"/>
        <w:rPr>
          <w:rFonts w:ascii="宋体" w:hAnsi="宋体" w:eastAsia="宋体"/>
          <w:b/>
          <w:sz w:val="48"/>
          <w:highlight w:val="none"/>
        </w:rPr>
      </w:pPr>
      <w:r>
        <w:rPr>
          <w:rFonts w:ascii="宋体" w:hAnsi="宋体" w:eastAsia="宋体"/>
          <w:b/>
          <w:sz w:val="48"/>
          <w:highlight w:val="none"/>
        </w:rPr>
        <w:drawing>
          <wp:inline distT="0" distB="0" distL="0" distR="0">
            <wp:extent cx="2354580" cy="441960"/>
            <wp:effectExtent l="0" t="0" r="762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a:fillRect/>
                    </a:stretch>
                  </pic:blipFill>
                  <pic:spPr>
                    <a:xfrm>
                      <a:off x="0" y="0"/>
                      <a:ext cx="2354580" cy="441960"/>
                    </a:xfrm>
                    <a:prstGeom prst="rect">
                      <a:avLst/>
                    </a:prstGeom>
                  </pic:spPr>
                </pic:pic>
              </a:graphicData>
            </a:graphic>
          </wp:inline>
        </w:drawing>
      </w:r>
    </w:p>
    <w:p w14:paraId="4A52068E">
      <w:pPr>
        <w:widowControl/>
        <w:spacing w:line="360" w:lineRule="auto"/>
        <w:jc w:val="center"/>
        <w:rPr>
          <w:rFonts w:ascii="宋体" w:hAnsi="宋体" w:eastAsia="宋体"/>
          <w:b/>
          <w:sz w:val="36"/>
          <w:highlight w:val="none"/>
        </w:rPr>
      </w:pPr>
      <w:r>
        <w:rPr>
          <w:rFonts w:hint="eastAsia" w:ascii="宋体" w:hAnsi="宋体" w:eastAsia="宋体"/>
          <w:b/>
          <w:sz w:val="36"/>
          <w:highlight w:val="none"/>
        </w:rPr>
        <w:t>基金管理人</w:t>
      </w:r>
      <w:r>
        <w:rPr>
          <w:rFonts w:ascii="宋体" w:hAnsi="宋体" w:eastAsia="宋体"/>
          <w:b/>
          <w:sz w:val="36"/>
          <w:highlight w:val="none"/>
        </w:rPr>
        <w:t>: 博时基金管理有限公司</w:t>
      </w:r>
    </w:p>
    <w:p w14:paraId="66CCBA9A">
      <w:pPr>
        <w:widowControl/>
        <w:spacing w:line="360" w:lineRule="auto"/>
        <w:jc w:val="center"/>
        <w:rPr>
          <w:rFonts w:hint="eastAsia" w:ascii="宋体" w:hAnsi="宋体" w:eastAsia="宋体"/>
          <w:b/>
          <w:sz w:val="36"/>
          <w:highlight w:val="none"/>
          <w:lang w:eastAsia="zh-CN"/>
        </w:rPr>
        <w:sectPr>
          <w:headerReference r:id="rId3" w:type="default"/>
          <w:footerReference r:id="rId4" w:type="default"/>
          <w:pgSz w:w="11906" w:h="16838"/>
          <w:pgMar w:top="1440" w:right="1803" w:bottom="1440" w:left="1803" w:header="851" w:footer="992" w:gutter="0"/>
          <w:cols w:space="425" w:num="1"/>
          <w:docGrid w:type="lines" w:linePitch="312" w:charSpace="0"/>
        </w:sectPr>
      </w:pPr>
      <w:r>
        <w:rPr>
          <w:rFonts w:hint="eastAsia" w:ascii="宋体" w:hAnsi="宋体" w:eastAsia="宋体"/>
          <w:b/>
          <w:sz w:val="36"/>
          <w:highlight w:val="none"/>
        </w:rPr>
        <w:t>基金托管人</w:t>
      </w:r>
      <w:r>
        <w:rPr>
          <w:rFonts w:ascii="宋体" w:hAnsi="宋体" w:eastAsia="宋体"/>
          <w:b/>
          <w:sz w:val="36"/>
          <w:highlight w:val="none"/>
        </w:rPr>
        <w:t xml:space="preserve">: </w:t>
      </w:r>
      <w:r>
        <w:rPr>
          <w:rFonts w:hint="eastAsia" w:ascii="宋体" w:hAnsi="宋体" w:eastAsia="宋体"/>
          <w:b/>
          <w:sz w:val="36"/>
          <w:highlight w:val="none"/>
          <w:lang w:eastAsia="zh-CN"/>
        </w:rPr>
        <w:t>北京银行股份有限公司</w:t>
      </w:r>
    </w:p>
    <w:p w14:paraId="29358AE0">
      <w:pPr>
        <w:widowControl/>
        <w:spacing w:line="360" w:lineRule="auto"/>
        <w:jc w:val="center"/>
        <w:rPr>
          <w:rFonts w:ascii="宋体" w:hAnsi="宋体" w:eastAsia="宋体"/>
          <w:b/>
          <w:sz w:val="28"/>
          <w:highlight w:val="none"/>
        </w:rPr>
      </w:pPr>
      <w:r>
        <w:rPr>
          <w:rFonts w:hint="eastAsia" w:ascii="宋体" w:hAnsi="宋体" w:eastAsia="宋体"/>
          <w:b/>
          <w:sz w:val="28"/>
          <w:highlight w:val="none"/>
        </w:rPr>
        <w:t>目录</w:t>
      </w:r>
    </w:p>
    <w:p w14:paraId="4221D72C">
      <w:pPr>
        <w:widowControl/>
        <w:spacing w:line="360" w:lineRule="auto"/>
        <w:jc w:val="center"/>
        <w:rPr>
          <w:rFonts w:ascii="宋体" w:hAnsi="宋体" w:eastAsia="宋体"/>
          <w:b/>
          <w:sz w:val="28"/>
          <w:highlight w:val="none"/>
        </w:rPr>
      </w:pPr>
    </w:p>
    <w:p w14:paraId="7F01A9F1">
      <w:pPr>
        <w:pStyle w:val="7"/>
        <w:tabs>
          <w:tab w:val="right" w:leader="dot" w:pos="8290"/>
        </w:tabs>
        <w:spacing w:line="480" w:lineRule="auto"/>
        <w:rPr>
          <w:rFonts w:hint="eastAsia" w:ascii="宋体" w:hAnsi="宋体" w:eastAsia="宋体" w:cs="宋体"/>
          <w:b/>
          <w:bCs/>
          <w:highlight w:val="none"/>
        </w:rPr>
      </w:pPr>
      <w:r>
        <w:rPr>
          <w:rFonts w:ascii="Times New Roman" w:hAnsi="Times New Roman" w:eastAsia="宋体" w:cs="Times New Roman"/>
          <w:b/>
          <w:highlight w:val="none"/>
        </w:rPr>
        <w:fldChar w:fldCharType="begin"/>
      </w:r>
      <w:r>
        <w:rPr>
          <w:rFonts w:ascii="Times New Roman" w:hAnsi="Times New Roman" w:eastAsia="宋体" w:cs="Times New Roman"/>
          <w:b/>
          <w:highlight w:val="none"/>
        </w:rPr>
        <w:instrText xml:space="preserve"> TOC \o "1-2" \f 8 \h \t "2" </w:instrText>
      </w:r>
      <w:r>
        <w:rPr>
          <w:rFonts w:ascii="Times New Roman" w:hAnsi="Times New Roman" w:eastAsia="宋体" w:cs="Times New Roman"/>
          <w:b/>
          <w:highlight w:val="none"/>
        </w:rPr>
        <w:fldChar w:fldCharType="separate"/>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"_Toc97130349"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重要提示</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_Toc97130349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0BDBCDAB">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"_Toc97130350"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一、本次发售基本情况</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_Toc97130350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5</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38EE16E8">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"_Toc97130351"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二、投资者开户</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_Toc97130351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9</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4FBA06F3">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"_Toc97130352"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三、网上现金认购的程序</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_Toc97130352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10</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05C5174E">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"_Toc97130353" </w:instrText>
      </w:r>
      <w:r>
        <w:rPr>
          <w:rFonts w:hint="eastAsia" w:ascii="宋体" w:hAnsi="宋体" w:eastAsia="宋体" w:cs="宋体"/>
          <w:b/>
          <w:bCs/>
          <w:highlight w:val="none"/>
        </w:rPr>
        <w:fldChar w:fldCharType="separate"/>
      </w:r>
      <w:r>
        <w:rPr>
          <w:rStyle w:val="13"/>
          <w:rFonts w:hint="eastAsia" w:ascii="宋体" w:hAnsi="宋体" w:eastAsia="宋体" w:cs="宋体"/>
          <w:b/>
          <w:bCs/>
          <w:highlight w:val="none"/>
        </w:rPr>
        <w:t>四、网下现金认购的程序</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_Toc97130353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11</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287D92B4">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"_Toc97130355"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五</w:t>
      </w:r>
      <w:r>
        <w:rPr>
          <w:rStyle w:val="13"/>
          <w:rFonts w:hint="eastAsia" w:ascii="宋体" w:hAnsi="宋体" w:eastAsia="宋体" w:cs="宋体"/>
          <w:b/>
          <w:bCs/>
          <w:highlight w:val="none"/>
        </w:rPr>
        <w:t>、清算与交割</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_Toc97130355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14</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20C25658">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"_Toc97130356"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六</w:t>
      </w:r>
      <w:r>
        <w:rPr>
          <w:rStyle w:val="13"/>
          <w:rFonts w:hint="eastAsia" w:ascii="宋体" w:hAnsi="宋体" w:eastAsia="宋体" w:cs="宋体"/>
          <w:b/>
          <w:bCs/>
          <w:highlight w:val="none"/>
        </w:rPr>
        <w:t>、基金的验资与基金合同生效</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_Toc97130356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15</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146B5B4F">
      <w:pPr>
        <w:pStyle w:val="7"/>
        <w:tabs>
          <w:tab w:val="right" w:leader="dot" w:pos="8290"/>
        </w:tabs>
        <w:spacing w:line="480" w:lineRule="auto"/>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"_Toc97130357" </w:instrText>
      </w:r>
      <w:r>
        <w:rPr>
          <w:rFonts w:hint="eastAsia" w:ascii="宋体" w:hAnsi="宋体" w:eastAsia="宋体" w:cs="宋体"/>
          <w:b/>
          <w:bCs/>
          <w:highlight w:val="none"/>
        </w:rPr>
        <w:fldChar w:fldCharType="separate"/>
      </w:r>
      <w:r>
        <w:rPr>
          <w:rFonts w:hint="eastAsia" w:ascii="宋体" w:hAnsi="宋体" w:eastAsia="宋体" w:cs="宋体"/>
          <w:b/>
          <w:bCs/>
          <w:highlight w:val="none"/>
          <w:lang w:val="en-US" w:eastAsia="zh-CN"/>
        </w:rPr>
        <w:t>七</w:t>
      </w:r>
      <w:r>
        <w:rPr>
          <w:rStyle w:val="13"/>
          <w:rFonts w:hint="eastAsia" w:ascii="宋体" w:hAnsi="宋体" w:eastAsia="宋体" w:cs="宋体"/>
          <w:b/>
          <w:bCs/>
          <w:highlight w:val="none"/>
        </w:rPr>
        <w:t>、本次发售当事人或中介机构</w:t>
      </w:r>
      <w:r>
        <w:rPr>
          <w:rFonts w:hint="eastAsia" w:ascii="宋体" w:hAnsi="宋体" w:eastAsia="宋体" w:cs="宋体"/>
          <w:b/>
          <w:bCs/>
          <w:highlight w:val="none"/>
        </w:rPr>
        <w:tab/>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PAGEREF _Toc97130357 \h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16</w:t>
      </w:r>
      <w:r>
        <w:rPr>
          <w:rFonts w:hint="eastAsia" w:ascii="宋体" w:hAnsi="宋体" w:eastAsia="宋体" w:cs="宋体"/>
          <w:b/>
          <w:bCs/>
          <w:highlight w:val="none"/>
        </w:rPr>
        <w:fldChar w:fldCharType="end"/>
      </w:r>
      <w:r>
        <w:rPr>
          <w:rFonts w:hint="eastAsia" w:ascii="宋体" w:hAnsi="宋体" w:eastAsia="宋体" w:cs="宋体"/>
          <w:b/>
          <w:bCs/>
          <w:highlight w:val="none"/>
        </w:rPr>
        <w:fldChar w:fldCharType="end"/>
      </w:r>
    </w:p>
    <w:p w14:paraId="4609405A">
      <w:pPr>
        <w:pStyle w:val="7"/>
        <w:tabs>
          <w:tab w:val="right" w:leader="dot" w:pos="8290"/>
        </w:tabs>
        <w:spacing w:line="480" w:lineRule="auto"/>
        <w:rPr>
          <w:rFonts w:ascii="Times New Roman" w:hAnsi="Times New Roman" w:eastAsia="宋体" w:cs="Times New Roman"/>
          <w:b/>
          <w:highlight w:val="none"/>
        </w:rPr>
      </w:pPr>
    </w:p>
    <w:p w14:paraId="1D1B8265">
      <w:pPr>
        <w:widowControl/>
        <w:spacing w:line="480" w:lineRule="auto"/>
        <w:ind w:left="-2" w:leftChars="-1"/>
        <w:jc w:val="center"/>
        <w:rPr>
          <w:rFonts w:ascii="Times New Roman" w:hAnsi="Times New Roman" w:eastAsia="宋体" w:cs="Times New Roman"/>
          <w:b/>
          <w:highlight w:val="none"/>
        </w:rPr>
        <w:sectPr>
          <w:headerReference r:id="rId5" w:type="default"/>
          <w:pgSz w:w="11906" w:h="16838"/>
          <w:pgMar w:top="1440" w:right="1803" w:bottom="1440" w:left="1803" w:header="851" w:footer="992" w:gutter="0"/>
          <w:cols w:space="425" w:num="1"/>
          <w:docGrid w:type="lines" w:linePitch="312" w:charSpace="0"/>
        </w:sectPr>
      </w:pPr>
      <w:r>
        <w:rPr>
          <w:rFonts w:ascii="Times New Roman" w:hAnsi="Times New Roman" w:eastAsia="宋体" w:cs="Times New Roman"/>
          <w:b/>
          <w:highlight w:val="none"/>
        </w:rPr>
        <w:fldChar w:fldCharType="end"/>
      </w:r>
    </w:p>
    <w:p w14:paraId="39CBD788">
      <w:pPr>
        <w:pStyle w:val="2"/>
        <w:jc w:val="center"/>
        <w:rPr>
          <w:rFonts w:ascii="宋体" w:hAnsi="宋体" w:eastAsia="宋体"/>
          <w:sz w:val="30"/>
          <w:highlight w:val="none"/>
        </w:rPr>
      </w:pPr>
      <w:bookmarkStart w:id="0" w:name="chapter_level1_1_51479"/>
      <w:bookmarkStart w:id="1" w:name="_Toc97130349"/>
      <w:r>
        <w:rPr>
          <w:rFonts w:hint="eastAsia" w:ascii="宋体" w:hAnsi="宋体" w:eastAsia="宋体"/>
          <w:sz w:val="30"/>
          <w:highlight w:val="none"/>
        </w:rPr>
        <w:t>重要提示</w:t>
      </w:r>
      <w:bookmarkEnd w:id="0"/>
      <w:bookmarkEnd w:id="1"/>
      <w:bookmarkStart w:id="2" w:name="start"/>
      <w:bookmarkEnd w:id="2"/>
    </w:p>
    <w:p w14:paraId="5A3C6161">
      <w:pPr>
        <w:pStyle w:val="8"/>
        <w:spacing w:before="0" w:beforeAutospacing="0" w:after="0" w:afterAutospacing="0" w:line="360" w:lineRule="auto"/>
        <w:ind w:firstLine="420"/>
        <w:jc w:val="both"/>
        <w:rPr>
          <w:rFonts w:hint="eastAsia" w:ascii="宋体" w:hAnsi="宋体" w:cs="宋体"/>
          <w:sz w:val="21"/>
          <w:szCs w:val="21"/>
          <w:highlight w:val="none"/>
        </w:rPr>
      </w:pPr>
      <w:bookmarkStart w:id="3" w:name="chapter_level1_1_51479_section_1"/>
      <w:bookmarkEnd w:id="3"/>
      <w:r>
        <w:rPr>
          <w:rFonts w:ascii="Times New Roman" w:hAnsi="Times New Roman" w:cs="Times New Roman"/>
          <w:sz w:val="21"/>
          <w:szCs w:val="21"/>
          <w:highlight w:val="none"/>
        </w:rPr>
        <w:t>1、</w:t>
      </w:r>
      <w:r>
        <w:rPr>
          <w:rFonts w:hint="eastAsia" w:ascii="Times New Roman" w:hAnsi="Times New Roman" w:cs="Times New Roman"/>
          <w:sz w:val="21"/>
          <w:szCs w:val="21"/>
          <w:highlight w:val="none"/>
          <w:lang w:eastAsia="zh-CN"/>
        </w:rPr>
        <w:t>博时</w:t>
      </w:r>
      <w:r>
        <w:rPr>
          <w:rFonts w:hint="eastAsia" w:cs="宋体"/>
          <w:sz w:val="21"/>
          <w:szCs w:val="21"/>
          <w:highlight w:val="none"/>
          <w:lang w:eastAsia="zh-CN"/>
        </w:rPr>
        <w:t>中证细分化工产业主题</w:t>
      </w:r>
      <w:r>
        <w:rPr>
          <w:rFonts w:hint="eastAsia" w:ascii="宋体" w:hAnsi="宋体" w:cs="宋体"/>
          <w:sz w:val="21"/>
          <w:szCs w:val="21"/>
          <w:highlight w:val="none"/>
          <w:lang w:eastAsia="zh-CN"/>
        </w:rPr>
        <w:t>交易型开放式指数证券投资基金</w:t>
      </w:r>
      <w:r>
        <w:rPr>
          <w:rFonts w:hint="eastAsia" w:ascii="宋体" w:hAnsi="宋体" w:cs="宋体"/>
          <w:sz w:val="21"/>
          <w:szCs w:val="21"/>
          <w:highlight w:val="none"/>
        </w:rPr>
        <w:t>（以下简称</w:t>
      </w:r>
      <w:r>
        <w:rPr>
          <w:rFonts w:hint="eastAsia" w:ascii="宋体" w:hAnsi="宋体" w:cs="宋体"/>
          <w:sz w:val="21"/>
          <w:szCs w:val="21"/>
          <w:highlight w:val="none"/>
          <w:lang w:eastAsia="zh-CN"/>
        </w:rPr>
        <w:t>“</w:t>
      </w:r>
      <w:r>
        <w:rPr>
          <w:rFonts w:hint="eastAsia" w:ascii="宋体" w:hAnsi="宋体" w:cs="宋体"/>
          <w:sz w:val="21"/>
          <w:szCs w:val="21"/>
          <w:highlight w:val="none"/>
        </w:rPr>
        <w:t>本基金</w:t>
      </w:r>
      <w:r>
        <w:rPr>
          <w:rFonts w:hint="eastAsia" w:ascii="宋体" w:hAnsi="宋体" w:cs="宋体"/>
          <w:sz w:val="21"/>
          <w:szCs w:val="21"/>
          <w:highlight w:val="none"/>
          <w:lang w:eastAsia="zh-CN"/>
        </w:rPr>
        <w:t>”</w:t>
      </w:r>
      <w:r>
        <w:rPr>
          <w:rFonts w:hint="eastAsia" w:ascii="宋体" w:hAnsi="宋体" w:cs="宋体"/>
          <w:sz w:val="21"/>
          <w:szCs w:val="21"/>
          <w:highlight w:val="none"/>
        </w:rPr>
        <w:t>）的募集已根据中国证监会</w:t>
      </w:r>
      <w:bookmarkStart w:id="4" w:name="field_0_approveddate_1"/>
      <w:r>
        <w:rPr>
          <w:rFonts w:hint="eastAsia" w:cs="宋体"/>
          <w:sz w:val="21"/>
          <w:szCs w:val="21"/>
          <w:highlight w:val="none"/>
          <w:lang w:val="en-US" w:eastAsia="zh-CN"/>
        </w:rPr>
        <w:t>2026</w:t>
      </w:r>
      <w:r>
        <w:rPr>
          <w:rFonts w:hint="eastAsia" w:ascii="宋体" w:hAnsi="宋体" w:cs="宋体"/>
          <w:sz w:val="21"/>
          <w:szCs w:val="21"/>
          <w:highlight w:val="none"/>
        </w:rPr>
        <w:t>年</w:t>
      </w:r>
      <w:bookmarkEnd w:id="4"/>
      <w:r>
        <w:rPr>
          <w:rFonts w:hint="eastAsia" w:cs="宋体"/>
          <w:sz w:val="21"/>
          <w:szCs w:val="21"/>
          <w:highlight w:val="none"/>
          <w:lang w:val="en-US" w:eastAsia="zh-CN"/>
        </w:rPr>
        <w:t>6</w:t>
      </w:r>
      <w:r>
        <w:rPr>
          <w:rFonts w:hint="eastAsia" w:ascii="宋体" w:hAnsi="宋体" w:cs="宋体"/>
          <w:sz w:val="21"/>
          <w:szCs w:val="21"/>
          <w:highlight w:val="none"/>
          <w:lang w:val="en-US" w:eastAsia="zh-CN"/>
        </w:rPr>
        <w:t>月</w:t>
      </w:r>
      <w:r>
        <w:rPr>
          <w:rFonts w:hint="eastAsia" w:cs="宋体"/>
          <w:sz w:val="21"/>
          <w:szCs w:val="21"/>
          <w:highlight w:val="none"/>
          <w:lang w:val="en-US" w:eastAsia="zh-CN"/>
        </w:rPr>
        <w:t>12</w:t>
      </w:r>
      <w:r>
        <w:rPr>
          <w:rFonts w:hint="eastAsia" w:ascii="宋体" w:hAnsi="宋体" w:cs="宋体"/>
          <w:sz w:val="21"/>
          <w:szCs w:val="21"/>
          <w:highlight w:val="none"/>
          <w:lang w:val="en-US" w:eastAsia="zh-CN"/>
        </w:rPr>
        <w:t>日</w:t>
      </w:r>
      <w:r>
        <w:rPr>
          <w:rFonts w:hint="eastAsia" w:ascii="宋体" w:hAnsi="宋体" w:cs="宋体"/>
          <w:sz w:val="21"/>
          <w:szCs w:val="21"/>
          <w:highlight w:val="none"/>
        </w:rPr>
        <w:t>《关于准予</w:t>
      </w:r>
      <w:r>
        <w:rPr>
          <w:rFonts w:hint="eastAsia" w:ascii="宋体" w:hAnsi="宋体" w:cs="宋体"/>
          <w:sz w:val="21"/>
          <w:szCs w:val="21"/>
          <w:highlight w:val="none"/>
          <w:lang w:eastAsia="zh-CN"/>
        </w:rPr>
        <w:t>博时</w:t>
      </w:r>
      <w:r>
        <w:rPr>
          <w:rFonts w:hint="eastAsia" w:cs="宋体"/>
          <w:sz w:val="21"/>
          <w:szCs w:val="21"/>
          <w:highlight w:val="none"/>
          <w:lang w:eastAsia="zh-CN"/>
        </w:rPr>
        <w:t>中证细分化工产业主题</w:t>
      </w:r>
      <w:r>
        <w:rPr>
          <w:rFonts w:hint="eastAsia" w:ascii="宋体" w:hAnsi="宋体" w:cs="宋体"/>
          <w:sz w:val="21"/>
          <w:szCs w:val="21"/>
          <w:highlight w:val="none"/>
          <w:lang w:eastAsia="zh-CN"/>
        </w:rPr>
        <w:t>交易型开放式指数证券投资基金</w:t>
      </w:r>
      <w:r>
        <w:rPr>
          <w:rFonts w:hint="eastAsia" w:ascii="宋体" w:hAnsi="宋体" w:cs="宋体"/>
          <w:sz w:val="21"/>
          <w:szCs w:val="21"/>
          <w:highlight w:val="none"/>
        </w:rPr>
        <w:t>注册的批复》（证监许可</w:t>
      </w:r>
      <w:r>
        <w:rPr>
          <w:rFonts w:hint="eastAsia" w:ascii="宋体" w:hAnsi="宋体" w:cs="宋体"/>
          <w:sz w:val="21"/>
          <w:szCs w:val="21"/>
          <w:highlight w:val="none"/>
          <w:lang w:eastAsia="zh-CN"/>
        </w:rPr>
        <w:t>[</w:t>
      </w:r>
      <w:r>
        <w:rPr>
          <w:rFonts w:hint="eastAsia" w:cs="宋体"/>
          <w:sz w:val="21"/>
          <w:szCs w:val="21"/>
          <w:highlight w:val="none"/>
          <w:lang w:val="en-US" w:eastAsia="zh-CN"/>
        </w:rPr>
        <w:t>2026</w:t>
      </w:r>
      <w:r>
        <w:rPr>
          <w:rFonts w:hint="eastAsia" w:ascii="宋体" w:hAnsi="宋体" w:cs="宋体"/>
          <w:sz w:val="21"/>
          <w:szCs w:val="21"/>
          <w:highlight w:val="none"/>
          <w:lang w:eastAsia="zh-CN"/>
        </w:rPr>
        <w:t>]</w:t>
      </w:r>
      <w:r>
        <w:rPr>
          <w:rFonts w:hint="eastAsia" w:cs="宋体"/>
          <w:sz w:val="21"/>
          <w:szCs w:val="21"/>
          <w:highlight w:val="none"/>
          <w:lang w:val="en-US" w:eastAsia="zh-CN"/>
        </w:rPr>
        <w:t>1460</w:t>
      </w:r>
      <w:r>
        <w:rPr>
          <w:rFonts w:hint="eastAsia" w:ascii="宋体" w:hAnsi="宋体" w:cs="宋体"/>
          <w:sz w:val="21"/>
          <w:szCs w:val="21"/>
          <w:highlight w:val="none"/>
          <w:lang w:eastAsia="zh-CN"/>
        </w:rPr>
        <w:t>号</w:t>
      </w:r>
      <w:r>
        <w:rPr>
          <w:rFonts w:hint="eastAsia" w:ascii="宋体" w:hAnsi="宋体" w:cs="宋体"/>
          <w:sz w:val="21"/>
          <w:szCs w:val="21"/>
          <w:highlight w:val="none"/>
        </w:rPr>
        <w:t>）注册。中国证券监督管理委员会（以下简称</w:t>
      </w:r>
      <w:r>
        <w:rPr>
          <w:rFonts w:hint="eastAsia" w:ascii="宋体" w:hAnsi="宋体" w:cs="宋体"/>
          <w:sz w:val="21"/>
          <w:szCs w:val="21"/>
          <w:highlight w:val="none"/>
          <w:lang w:eastAsia="zh-CN"/>
        </w:rPr>
        <w:t>“</w:t>
      </w:r>
      <w:r>
        <w:rPr>
          <w:rFonts w:hint="eastAsia" w:ascii="宋体" w:hAnsi="宋体" w:cs="宋体"/>
          <w:sz w:val="21"/>
          <w:szCs w:val="21"/>
          <w:highlight w:val="none"/>
        </w:rPr>
        <w:t>中国证监会</w:t>
      </w:r>
      <w:r>
        <w:rPr>
          <w:rFonts w:hint="eastAsia" w:ascii="宋体" w:hAnsi="宋体" w:cs="宋体"/>
          <w:sz w:val="21"/>
          <w:szCs w:val="21"/>
          <w:highlight w:val="none"/>
          <w:lang w:eastAsia="zh-CN"/>
        </w:rPr>
        <w:t>”</w:t>
      </w:r>
      <w:r>
        <w:rPr>
          <w:rFonts w:hint="eastAsia" w:ascii="宋体" w:hAnsi="宋体" w:cs="宋体"/>
          <w:sz w:val="21"/>
          <w:szCs w:val="21"/>
          <w:highlight w:val="none"/>
        </w:rPr>
        <w:t>）对本基金的募集准予注册并不代表中国证监会对本基金的风险和收益作出实质性判断、推荐或保证。</w:t>
      </w:r>
    </w:p>
    <w:p w14:paraId="3019075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2、本基金是</w:t>
      </w:r>
      <w:bookmarkStart w:id="5" w:name="field_0_operation_1"/>
      <w:r>
        <w:rPr>
          <w:rFonts w:hint="eastAsia" w:ascii="Times New Roman" w:hAnsi="Times New Roman" w:cs="Times New Roman"/>
          <w:sz w:val="21"/>
          <w:szCs w:val="21"/>
          <w:highlight w:val="none"/>
          <w:lang w:val="en-US" w:eastAsia="zh-CN"/>
        </w:rPr>
        <w:t>股票型</w:t>
      </w:r>
      <w:r>
        <w:rPr>
          <w:rFonts w:ascii="Times New Roman" w:hAnsi="Times New Roman" w:cs="Times New Roman"/>
          <w:sz w:val="21"/>
          <w:szCs w:val="21"/>
          <w:highlight w:val="none"/>
        </w:rPr>
        <w:t>交易型开放式</w:t>
      </w:r>
      <w:bookmarkEnd w:id="5"/>
      <w:r>
        <w:rPr>
          <w:rFonts w:ascii="Times New Roman" w:hAnsi="Times New Roman" w:cs="Times New Roman"/>
          <w:sz w:val="21"/>
          <w:szCs w:val="21"/>
          <w:highlight w:val="none"/>
        </w:rPr>
        <w:t>证券投资基金。</w:t>
      </w:r>
    </w:p>
    <w:p w14:paraId="5621159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3、本基金的基金管理人为</w:t>
      </w:r>
      <w:bookmarkStart w:id="6" w:name="field_0_managerorgfullname_1"/>
      <w:r>
        <w:rPr>
          <w:rFonts w:ascii="Times New Roman" w:hAnsi="Times New Roman" w:cs="Times New Roman"/>
          <w:sz w:val="21"/>
          <w:szCs w:val="21"/>
          <w:highlight w:val="none"/>
        </w:rPr>
        <w:t>博时基金管理有限公司</w:t>
      </w:r>
      <w:bookmarkEnd w:id="6"/>
      <w:r>
        <w:rPr>
          <w:rFonts w:ascii="Times New Roman" w:hAnsi="Times New Roman" w:cs="Times New Roman"/>
          <w:sz w:val="21"/>
          <w:szCs w:val="21"/>
          <w:highlight w:val="none"/>
        </w:rPr>
        <w:t>（以下简称</w:t>
      </w:r>
      <w:r>
        <w:rPr>
          <w:rFonts w:hint="eastAsia" w:ascii="Times New Roman" w:hAnsi="Times New Roman" w:cs="Times New Roman"/>
          <w:sz w:val="21"/>
          <w:szCs w:val="21"/>
          <w:highlight w:val="none"/>
          <w:lang w:eastAsia="zh-CN"/>
        </w:rPr>
        <w:t>“</w:t>
      </w:r>
      <w:r>
        <w:rPr>
          <w:rFonts w:ascii="Times New Roman" w:hAnsi="Times New Roman" w:cs="Times New Roman"/>
          <w:sz w:val="21"/>
          <w:szCs w:val="21"/>
          <w:highlight w:val="none"/>
        </w:rPr>
        <w:t>本公司</w:t>
      </w:r>
      <w:r>
        <w:rPr>
          <w:rFonts w:hint="eastAsia" w:ascii="Times New Roman" w:hAnsi="Times New Roman" w:cs="Times New Roman"/>
          <w:sz w:val="21"/>
          <w:szCs w:val="21"/>
          <w:highlight w:val="none"/>
          <w:lang w:eastAsia="zh-CN"/>
        </w:rPr>
        <w:t>”</w:t>
      </w:r>
      <w:r>
        <w:rPr>
          <w:rFonts w:ascii="Times New Roman" w:hAnsi="Times New Roman" w:cs="Times New Roman"/>
          <w:sz w:val="21"/>
          <w:szCs w:val="21"/>
          <w:highlight w:val="none"/>
        </w:rPr>
        <w:t>），基金托管人为</w:t>
      </w:r>
      <w:r>
        <w:rPr>
          <w:rFonts w:hint="eastAsia" w:ascii="Times New Roman" w:hAnsi="Times New Roman" w:cs="Times New Roman"/>
          <w:sz w:val="21"/>
          <w:szCs w:val="21"/>
          <w:highlight w:val="none"/>
          <w:lang w:eastAsia="zh-CN"/>
        </w:rPr>
        <w:t>北京银行股份有限公司</w:t>
      </w:r>
      <w:r>
        <w:rPr>
          <w:rFonts w:ascii="Times New Roman" w:hAnsi="Times New Roman" w:cs="Times New Roman"/>
          <w:sz w:val="21"/>
          <w:szCs w:val="21"/>
          <w:highlight w:val="none"/>
        </w:rPr>
        <w:t>（以下简称</w:t>
      </w:r>
      <w:r>
        <w:rPr>
          <w:rFonts w:hint="eastAsia" w:ascii="Times New Roman" w:hAnsi="Times New Roman" w:cs="Times New Roman"/>
          <w:sz w:val="21"/>
          <w:szCs w:val="21"/>
          <w:highlight w:val="none"/>
          <w:lang w:eastAsia="zh-CN"/>
        </w:rPr>
        <w:t>“北京银行”</w:t>
      </w:r>
      <w:r>
        <w:rPr>
          <w:rFonts w:ascii="Times New Roman" w:hAnsi="Times New Roman" w:cs="Times New Roman"/>
          <w:sz w:val="21"/>
          <w:szCs w:val="21"/>
          <w:highlight w:val="none"/>
        </w:rPr>
        <w:t>），本基金的登记机构为</w:t>
      </w:r>
      <w:bookmarkStart w:id="7" w:name="field_0_registerorgfullname_1"/>
      <w:r>
        <w:rPr>
          <w:rFonts w:ascii="Times New Roman" w:hAnsi="Times New Roman" w:cs="Times New Roman"/>
          <w:sz w:val="21"/>
          <w:szCs w:val="21"/>
          <w:highlight w:val="none"/>
        </w:rPr>
        <w:t>中国证券登记结算有限责任公司</w:t>
      </w:r>
      <w:bookmarkEnd w:id="7"/>
      <w:r>
        <w:rPr>
          <w:rFonts w:ascii="Times New Roman" w:hAnsi="Times New Roman" w:cs="Times New Roman"/>
          <w:sz w:val="21"/>
          <w:szCs w:val="21"/>
          <w:highlight w:val="none"/>
        </w:rPr>
        <w:t>。</w:t>
      </w:r>
    </w:p>
    <w:p w14:paraId="3BF1FDCD">
      <w:pPr>
        <w:pStyle w:val="8"/>
        <w:spacing w:before="0" w:beforeAutospacing="0" w:after="0" w:afterAutospacing="0" w:line="360" w:lineRule="auto"/>
        <w:ind w:firstLine="420"/>
        <w:jc w:val="both"/>
        <w:rPr>
          <w:rFonts w:hint="eastAsia" w:ascii="Times New Roman" w:hAnsi="Times New Roman" w:cs="Times New Roman"/>
          <w:sz w:val="21"/>
          <w:szCs w:val="21"/>
          <w:highlight w:val="none"/>
          <w:lang w:val="en-US" w:eastAsia="zh-CN"/>
        </w:rPr>
      </w:pPr>
      <w:r>
        <w:rPr>
          <w:rFonts w:ascii="Times New Roman" w:hAnsi="Times New Roman" w:cs="Times New Roman"/>
          <w:sz w:val="21"/>
          <w:szCs w:val="21"/>
          <w:highlight w:val="none"/>
        </w:rPr>
        <w:t>4、</w:t>
      </w:r>
      <w:bookmarkStart w:id="8" w:name="field_0_salesobjects_1_start"/>
      <w:bookmarkEnd w:id="8"/>
      <w:r>
        <w:rPr>
          <w:rFonts w:ascii="Times New Roman" w:hAnsi="Times New Roman" w:cs="Times New Roman"/>
          <w:sz w:val="21"/>
          <w:szCs w:val="21"/>
          <w:highlight w:val="none"/>
        </w:rPr>
        <w:t>本基金募集对象为</w:t>
      </w:r>
      <w:r>
        <w:rPr>
          <w:rFonts w:hint="eastAsia" w:ascii="Times New Roman" w:hAnsi="Times New Roman" w:cs="Times New Roman"/>
          <w:sz w:val="21"/>
          <w:szCs w:val="21"/>
          <w:highlight w:val="none"/>
        </w:rPr>
        <w:t>符合法律法规规定的可投资于证券投资基金的个人投资者、机构投资者、合格境外投资者以及法律法规或中国证监会允许购买证券投资基金的其他投资人。</w:t>
      </w:r>
    </w:p>
    <w:p w14:paraId="222FCA7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5、投资人可选择网上现金认购、网下现金认购</w:t>
      </w:r>
      <w:r>
        <w:rPr>
          <w:rFonts w:hint="eastAsia" w:ascii="Times New Roman" w:hAnsi="Times New Roman" w:cs="Times New Roman"/>
          <w:sz w:val="21"/>
          <w:szCs w:val="21"/>
          <w:highlight w:val="none"/>
          <w:lang w:val="en-US" w:eastAsia="zh-CN"/>
        </w:rPr>
        <w:t>两</w:t>
      </w:r>
      <w:r>
        <w:rPr>
          <w:rFonts w:ascii="Times New Roman" w:hAnsi="Times New Roman" w:cs="Times New Roman"/>
          <w:sz w:val="21"/>
          <w:szCs w:val="21"/>
          <w:highlight w:val="none"/>
        </w:rPr>
        <w:t>种方式</w:t>
      </w:r>
      <w:r>
        <w:rPr>
          <w:rFonts w:hint="eastAsia" w:ascii="Times New Roman" w:hAnsi="Times New Roman" w:cs="Times New Roman"/>
          <w:sz w:val="21"/>
          <w:szCs w:val="21"/>
          <w:highlight w:val="none"/>
        </w:rPr>
        <w:t>（本基金暂不开通网下股票认购）</w:t>
      </w:r>
      <w:r>
        <w:rPr>
          <w:rFonts w:ascii="Times New Roman" w:hAnsi="Times New Roman" w:cs="Times New Roman"/>
          <w:sz w:val="21"/>
          <w:szCs w:val="21"/>
          <w:highlight w:val="none"/>
        </w:rPr>
        <w:t xml:space="preserve">。网上现金认购是指投资人通过基金管理人指定的发售代理机构利用深圳证券交易所网上系统以现金进行认购。网下现金认购通过本公司的直销机构及其指定的发售代理机构以现金方式进行。 </w:t>
      </w:r>
    </w:p>
    <w:p w14:paraId="1DDA4CA5">
      <w:pPr>
        <w:pStyle w:val="8"/>
        <w:spacing w:before="0" w:beforeAutospacing="0" w:after="0" w:afterAutospacing="0" w:line="360" w:lineRule="auto"/>
        <w:ind w:firstLine="420"/>
        <w:jc w:val="both"/>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lang w:val="en-US" w:eastAsia="zh-CN"/>
        </w:rPr>
        <w:t>6、募集规模上限</w:t>
      </w:r>
    </w:p>
    <w:p w14:paraId="602A283E">
      <w:pPr>
        <w:pStyle w:val="8"/>
        <w:spacing w:before="0" w:beforeAutospacing="0" w:after="0" w:afterAutospacing="0" w:line="360" w:lineRule="auto"/>
        <w:ind w:firstLine="420"/>
        <w:jc w:val="both"/>
        <w:rPr>
          <w:rFonts w:hint="eastAsia" w:ascii="宋体" w:hAnsi="宋体" w:cs="宋体"/>
          <w:sz w:val="21"/>
          <w:szCs w:val="21"/>
          <w:highlight w:val="none"/>
          <w:lang w:val="en-US" w:eastAsia="zh-CN"/>
        </w:rPr>
      </w:pPr>
      <w:r>
        <w:rPr>
          <w:rFonts w:ascii="Times New Roman" w:hAnsi="Times New Roman" w:cs="Times New Roman"/>
          <w:sz w:val="21"/>
          <w:szCs w:val="21"/>
          <w:highlight w:val="none"/>
          <w:lang w:val="en-US" w:eastAsia="zh-CN"/>
        </w:rPr>
        <w:t>本基金首次募</w:t>
      </w:r>
      <w:r>
        <w:rPr>
          <w:rFonts w:hint="eastAsia" w:ascii="宋体" w:hAnsi="宋体" w:cs="宋体"/>
          <w:sz w:val="21"/>
          <w:szCs w:val="21"/>
          <w:highlight w:val="none"/>
          <w:lang w:val="en-US" w:eastAsia="zh-CN"/>
        </w:rPr>
        <w:t>集规模上限为</w:t>
      </w:r>
      <w:r>
        <w:rPr>
          <w:rFonts w:hint="eastAsia" w:cs="宋体"/>
          <w:sz w:val="21"/>
          <w:szCs w:val="21"/>
          <w:highlight w:val="none"/>
          <w:lang w:val="en-US" w:eastAsia="zh-CN"/>
        </w:rPr>
        <w:t>20</w:t>
      </w:r>
      <w:r>
        <w:rPr>
          <w:rFonts w:hint="eastAsia" w:ascii="宋体" w:hAnsi="宋体" w:cs="宋体"/>
          <w:sz w:val="21"/>
          <w:szCs w:val="21"/>
          <w:highlight w:val="none"/>
          <w:lang w:val="en-US" w:eastAsia="zh-CN"/>
        </w:rPr>
        <w:t>亿元人民币（不包含募集期利息和认购费用），具体规模控制的方案详见本发售公告“一、本次发售基本情况”中第（九）条的规定或基金管理人发布的临时公告。</w:t>
      </w:r>
    </w:p>
    <w:p w14:paraId="6D662DF1">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7、本</w:t>
      </w:r>
      <w:r>
        <w:rPr>
          <w:rFonts w:hint="eastAsia" w:ascii="宋体" w:hAnsi="宋体" w:cs="宋体"/>
          <w:sz w:val="21"/>
          <w:szCs w:val="21"/>
          <w:highlight w:val="none"/>
        </w:rPr>
        <w:t>基金自</w:t>
      </w:r>
      <w:r>
        <w:rPr>
          <w:rFonts w:hint="eastAsia" w:ascii="宋体" w:hAnsi="宋体" w:cs="宋体"/>
          <w:sz w:val="21"/>
          <w:szCs w:val="21"/>
          <w:highlight w:val="none"/>
          <w:lang w:eastAsia="zh-CN"/>
        </w:rPr>
        <w:t>2026年</w:t>
      </w:r>
      <w:r>
        <w:rPr>
          <w:rFonts w:hint="eastAsia" w:cs="宋体"/>
          <w:sz w:val="21"/>
          <w:szCs w:val="21"/>
          <w:highlight w:val="none"/>
          <w:lang w:val="en-US" w:eastAsia="zh-CN"/>
        </w:rPr>
        <w:t>7</w:t>
      </w:r>
      <w:r>
        <w:rPr>
          <w:rFonts w:hint="eastAsia" w:ascii="宋体" w:hAnsi="宋体" w:cs="宋体"/>
          <w:sz w:val="21"/>
          <w:szCs w:val="21"/>
          <w:highlight w:val="none"/>
          <w:lang w:eastAsia="zh-CN"/>
        </w:rPr>
        <w:t>月</w:t>
      </w:r>
      <w:r>
        <w:rPr>
          <w:rFonts w:hint="eastAsia" w:cs="宋体"/>
          <w:sz w:val="21"/>
          <w:szCs w:val="21"/>
          <w:highlight w:val="none"/>
          <w:lang w:val="en-US" w:eastAsia="zh-CN"/>
        </w:rPr>
        <w:t>13</w:t>
      </w:r>
      <w:r>
        <w:rPr>
          <w:rFonts w:hint="eastAsia" w:ascii="宋体" w:hAnsi="宋体" w:cs="宋体"/>
          <w:sz w:val="21"/>
          <w:szCs w:val="21"/>
          <w:highlight w:val="none"/>
          <w:lang w:eastAsia="zh-CN"/>
        </w:rPr>
        <w:t>日</w:t>
      </w:r>
      <w:r>
        <w:rPr>
          <w:rFonts w:hint="eastAsia" w:ascii="宋体" w:hAnsi="宋体" w:cs="宋体"/>
          <w:sz w:val="21"/>
          <w:szCs w:val="21"/>
          <w:highlight w:val="none"/>
        </w:rPr>
        <w:t>起至</w:t>
      </w:r>
      <w:r>
        <w:rPr>
          <w:rFonts w:hint="eastAsia" w:ascii="宋体" w:hAnsi="宋体" w:cs="宋体"/>
          <w:sz w:val="21"/>
          <w:szCs w:val="21"/>
          <w:highlight w:val="none"/>
          <w:lang w:eastAsia="zh-CN"/>
        </w:rPr>
        <w:t>2026年</w:t>
      </w:r>
      <w:r>
        <w:rPr>
          <w:rFonts w:hint="eastAsia" w:cs="宋体"/>
          <w:sz w:val="21"/>
          <w:szCs w:val="21"/>
          <w:highlight w:val="none"/>
          <w:lang w:val="en-US" w:eastAsia="zh-CN"/>
        </w:rPr>
        <w:t>7</w:t>
      </w:r>
      <w:r>
        <w:rPr>
          <w:rFonts w:hint="eastAsia" w:ascii="宋体" w:hAnsi="宋体" w:cs="宋体"/>
          <w:sz w:val="21"/>
          <w:szCs w:val="21"/>
          <w:highlight w:val="none"/>
          <w:lang w:eastAsia="zh-CN"/>
        </w:rPr>
        <w:t>月</w:t>
      </w:r>
      <w:r>
        <w:rPr>
          <w:rFonts w:hint="eastAsia" w:cs="宋体"/>
          <w:sz w:val="21"/>
          <w:szCs w:val="21"/>
          <w:highlight w:val="none"/>
          <w:lang w:val="en-US" w:eastAsia="zh-CN"/>
        </w:rPr>
        <w:t>24</w:t>
      </w:r>
      <w:r>
        <w:rPr>
          <w:rFonts w:hint="eastAsia" w:ascii="宋体" w:hAnsi="宋体" w:cs="宋体"/>
          <w:sz w:val="21"/>
          <w:szCs w:val="21"/>
          <w:highlight w:val="none"/>
          <w:lang w:eastAsia="zh-CN"/>
        </w:rPr>
        <w:t>日</w:t>
      </w:r>
      <w:r>
        <w:rPr>
          <w:rFonts w:hint="eastAsia" w:ascii="宋体" w:hAnsi="宋体" w:cs="宋体"/>
          <w:sz w:val="21"/>
          <w:szCs w:val="21"/>
          <w:highlight w:val="none"/>
        </w:rPr>
        <w:t>进行发售。基金的募集期限不超过3个月，自基金份额开</w:t>
      </w:r>
      <w:r>
        <w:rPr>
          <w:rFonts w:ascii="Times New Roman" w:hAnsi="Times New Roman" w:cs="Times New Roman"/>
          <w:sz w:val="21"/>
          <w:szCs w:val="21"/>
          <w:highlight w:val="none"/>
        </w:rPr>
        <w:t>始发售之日起计算。本公司可根据基金销售情况在募集期限内适当</w:t>
      </w:r>
      <w:r>
        <w:rPr>
          <w:rFonts w:hint="eastAsia" w:ascii="Times New Roman" w:hAnsi="Times New Roman" w:cs="Times New Roman"/>
          <w:sz w:val="21"/>
          <w:szCs w:val="21"/>
          <w:highlight w:val="none"/>
          <w:lang w:eastAsia="zh-CN"/>
        </w:rPr>
        <w:t>调整</w:t>
      </w:r>
      <w:r>
        <w:rPr>
          <w:rFonts w:ascii="Times New Roman" w:hAnsi="Times New Roman" w:cs="Times New Roman"/>
          <w:sz w:val="21"/>
          <w:szCs w:val="21"/>
          <w:highlight w:val="none"/>
        </w:rPr>
        <w:t xml:space="preserve">基金发售时间，并及时公告。 </w:t>
      </w:r>
    </w:p>
    <w:p w14:paraId="3DC76641">
      <w:pPr>
        <w:pStyle w:val="8"/>
        <w:spacing w:before="0" w:beforeAutospacing="0" w:after="0" w:afterAutospacing="0" w:line="360" w:lineRule="auto"/>
        <w:ind w:firstLine="420"/>
        <w:jc w:val="both"/>
        <w:rPr>
          <w:rFonts w:hint="eastAsia" w:ascii="宋体" w:hAnsi="宋体" w:cs="宋体"/>
          <w:sz w:val="21"/>
          <w:szCs w:val="21"/>
          <w:highlight w:val="none"/>
        </w:rPr>
      </w:pPr>
      <w:r>
        <w:rPr>
          <w:rFonts w:ascii="Times New Roman" w:hAnsi="Times New Roman" w:cs="Times New Roman"/>
          <w:sz w:val="21"/>
          <w:szCs w:val="21"/>
          <w:highlight w:val="none"/>
        </w:rPr>
        <w:t>8、投资人认</w:t>
      </w:r>
      <w:r>
        <w:rPr>
          <w:rFonts w:hint="eastAsia" w:ascii="宋体" w:hAnsi="宋体" w:cs="宋体"/>
          <w:sz w:val="21"/>
          <w:szCs w:val="21"/>
          <w:highlight w:val="none"/>
        </w:rPr>
        <w:t>购本基金时需具有深圳证券交易所A股账户或证券投资基金账户（以下统称“深圳证券账户”）。</w:t>
      </w:r>
    </w:p>
    <w:p w14:paraId="42F1C2D0">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已有深圳证券交易所A股账户或证券投资基金账户的投资人不必再办理开户手续。</w:t>
      </w:r>
    </w:p>
    <w:p w14:paraId="73ABBB21">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6361190E">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如投资人需新开立证券账户，则应注意：</w:t>
      </w:r>
    </w:p>
    <w:p w14:paraId="1B4404B9">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深圳证券交易所证券投资基金账户只能进行基金份额的现金认购和二级市场交易，如投资人需要使用</w:t>
      </w:r>
      <w:r>
        <w:rPr>
          <w:rFonts w:hint="eastAsia" w:cs="宋体"/>
          <w:sz w:val="21"/>
          <w:szCs w:val="21"/>
          <w:highlight w:val="none"/>
          <w:lang w:eastAsia="zh-CN"/>
        </w:rPr>
        <w:t>中证细分化工产业主题</w:t>
      </w:r>
      <w:r>
        <w:rPr>
          <w:rFonts w:hint="eastAsia" w:cs="宋体"/>
          <w:sz w:val="21"/>
          <w:szCs w:val="21"/>
          <w:highlight w:val="none"/>
          <w:lang w:val="en-US" w:eastAsia="zh-CN"/>
        </w:rPr>
        <w:t>指数</w:t>
      </w:r>
      <w:r>
        <w:rPr>
          <w:rFonts w:hint="eastAsia" w:ascii="宋体" w:hAnsi="宋体" w:cs="宋体"/>
          <w:sz w:val="21"/>
          <w:szCs w:val="21"/>
          <w:highlight w:val="none"/>
        </w:rPr>
        <w:t>成份股中的深圳证券交易所上市股票参与基金份额的申购、赎回，则应开立深圳证券交易所A股账户。</w:t>
      </w:r>
    </w:p>
    <w:p w14:paraId="18B9A5B7">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9、投资者在基金管理人直销机构办理网下现金认购时</w:t>
      </w:r>
      <w:r>
        <w:rPr>
          <w:rFonts w:hint="eastAsia" w:cs="宋体"/>
          <w:sz w:val="21"/>
          <w:szCs w:val="21"/>
          <w:highlight w:val="none"/>
          <w:lang w:val="en-US" w:eastAsia="zh-CN"/>
        </w:rPr>
        <w:t>不收取</w:t>
      </w:r>
      <w:r>
        <w:rPr>
          <w:rFonts w:hint="eastAsia" w:ascii="宋体" w:hAnsi="宋体" w:cs="宋体"/>
          <w:sz w:val="21"/>
          <w:szCs w:val="21"/>
          <w:highlight w:val="none"/>
        </w:rPr>
        <w:t>认购费。发售代理机构办理网上现金认购、网下现金认购时可参照规定费率结构收取一定的佣金。投资人可以多次认购本基金，认购费率按每笔认购申请单独计算。</w:t>
      </w:r>
    </w:p>
    <w:p w14:paraId="65C12CD7">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10、网上现金认购以基金份额申请。单一账户每笔认购份额须为1000份或其整数倍。投资人可多次认购，累计认购份额不设上限。</w:t>
      </w:r>
    </w:p>
    <w:p w14:paraId="271F0882">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网下现金认购以基金份额申请。投资人通过发售代理机构办理网下现金认购，每笔认购份额须为1,000份或其整数倍。投资人通过基金管理人办理网下现金认购的，每笔认购份额须在5万份以上（含5万份），投资人可多次认购，累计认购份额不设上限。</w:t>
      </w:r>
    </w:p>
    <w:p w14:paraId="743A16B1">
      <w:pPr>
        <w:pStyle w:val="8"/>
        <w:spacing w:before="0" w:beforeAutospacing="0" w:after="0" w:afterAutospacing="0"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11、网上现金认购可多次申报，不可撤单，一经</w:t>
      </w:r>
      <w:r>
        <w:rPr>
          <w:rFonts w:hint="eastAsia" w:ascii="宋体" w:hAnsi="宋体" w:cs="宋体"/>
          <w:sz w:val="21"/>
          <w:szCs w:val="21"/>
          <w:highlight w:val="none"/>
          <w:lang w:val="en-US" w:eastAsia="zh-CN"/>
        </w:rPr>
        <w:t>申报</w:t>
      </w:r>
      <w:r>
        <w:rPr>
          <w:rFonts w:hint="eastAsia" w:ascii="宋体" w:hAnsi="宋体" w:cs="宋体"/>
          <w:sz w:val="21"/>
          <w:szCs w:val="21"/>
          <w:highlight w:val="none"/>
        </w:rPr>
        <w:t>，认购资金即被冻结。网下现金认购申请提交后不得撤销。</w:t>
      </w:r>
    </w:p>
    <w:p w14:paraId="13D59BE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12、销售机构对认购申请的受理并不代表该申请一定成功，而仅代表销售机构确实接收到认购申请。认购的确认以登记机构的确认结果为准。对于认购申请及认购份额的确认情况，投资人应及时查询并妥善行使合法权利。</w:t>
      </w:r>
    </w:p>
    <w:p w14:paraId="302ADD8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13、《</w:t>
      </w:r>
      <w:r>
        <w:rPr>
          <w:rFonts w:hint="eastAsia" w:ascii="Times New Roman" w:hAnsi="Times New Roman" w:cs="Times New Roman"/>
          <w:sz w:val="21"/>
          <w:szCs w:val="21"/>
          <w:highlight w:val="none"/>
          <w:lang w:eastAsia="zh-CN"/>
        </w:rPr>
        <w:t>博时中证细分化工产业主题交易型开放式指数证券投资基金</w:t>
      </w:r>
      <w:r>
        <w:rPr>
          <w:rFonts w:ascii="Times New Roman" w:hAnsi="Times New Roman" w:cs="Times New Roman"/>
          <w:sz w:val="21"/>
          <w:szCs w:val="21"/>
          <w:highlight w:val="none"/>
        </w:rPr>
        <w:t>基金合同》（以下简称《基金合同》）生效后，符合基金上市交易条件的，本基金基金份额可申请在深圳证券交易所上市交易。上市交易的有关事项将另行公告。</w:t>
      </w:r>
    </w:p>
    <w:p w14:paraId="44AE2EA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14、本公告仅对本基金发售的有关事项和规定予以说明。投资者欲了解</w:t>
      </w:r>
      <w:r>
        <w:rPr>
          <w:rFonts w:hint="eastAsia" w:ascii="Times New Roman" w:hAnsi="Times New Roman" w:cs="Times New Roman"/>
          <w:sz w:val="21"/>
          <w:szCs w:val="21"/>
          <w:highlight w:val="none"/>
          <w:lang w:eastAsia="zh-CN"/>
        </w:rPr>
        <w:t>博时中证细分化工产业主题交易型开放式指数证券投资基金</w:t>
      </w:r>
      <w:r>
        <w:rPr>
          <w:rFonts w:ascii="Times New Roman" w:hAnsi="Times New Roman" w:cs="Times New Roman"/>
          <w:sz w:val="21"/>
          <w:szCs w:val="21"/>
          <w:highlight w:val="none"/>
        </w:rPr>
        <w:t>的详细情况，请详细阅读发布在本公司网站（</w:t>
      </w:r>
      <w:r>
        <w:rPr>
          <w:rFonts w:ascii="Times New Roman" w:hAnsi="Times New Roman" w:cs="Times New Roman"/>
          <w:sz w:val="21"/>
          <w:szCs w:val="21"/>
          <w:highlight w:val="none"/>
        </w:rPr>
        <w:fldChar w:fldCharType="begin"/>
      </w:r>
      <w:r>
        <w:rPr>
          <w:rFonts w:ascii="Times New Roman" w:hAnsi="Times New Roman" w:cs="Times New Roman"/>
          <w:sz w:val="21"/>
          <w:szCs w:val="21"/>
          <w:highlight w:val="none"/>
        </w:rPr>
        <w:instrText xml:space="preserve"> HYPERLINK "http://www.bosera.com/" </w:instrText>
      </w:r>
      <w:r>
        <w:rPr>
          <w:rFonts w:ascii="Times New Roman" w:hAnsi="Times New Roman" w:cs="Times New Roman"/>
          <w:sz w:val="21"/>
          <w:szCs w:val="21"/>
          <w:highlight w:val="none"/>
        </w:rPr>
        <w:fldChar w:fldCharType="separate"/>
      </w:r>
      <w:r>
        <w:rPr>
          <w:rFonts w:ascii="Times New Roman" w:hAnsi="Times New Roman" w:cs="Times New Roman"/>
          <w:sz w:val="21"/>
          <w:szCs w:val="21"/>
          <w:highlight w:val="none"/>
        </w:rPr>
        <w:t>http</w:t>
      </w:r>
      <w:r>
        <w:rPr>
          <w:rFonts w:hint="eastAsia" w:ascii="Times New Roman" w:hAnsi="Times New Roman" w:cs="Times New Roman"/>
          <w:sz w:val="21"/>
          <w:szCs w:val="21"/>
          <w:highlight w:val="none"/>
          <w:lang w:val="en-US" w:eastAsia="zh-CN"/>
        </w:rPr>
        <w:t>s</w:t>
      </w:r>
      <w:r>
        <w:rPr>
          <w:rFonts w:ascii="Times New Roman" w:hAnsi="Times New Roman" w:cs="Times New Roman"/>
          <w:sz w:val="21"/>
          <w:szCs w:val="21"/>
          <w:highlight w:val="none"/>
        </w:rPr>
        <w:t>://www.bosera.com/</w:t>
      </w:r>
      <w:r>
        <w:rPr>
          <w:rFonts w:ascii="Times New Roman" w:hAnsi="Times New Roman" w:cs="Times New Roman"/>
          <w:sz w:val="21"/>
          <w:szCs w:val="21"/>
          <w:highlight w:val="none"/>
        </w:rPr>
        <w:fldChar w:fldCharType="end"/>
      </w:r>
      <w:r>
        <w:rPr>
          <w:rFonts w:ascii="Times New Roman" w:hAnsi="Times New Roman" w:cs="Times New Roman"/>
          <w:sz w:val="21"/>
          <w:szCs w:val="21"/>
          <w:highlight w:val="none"/>
        </w:rPr>
        <w:t>）和中国证监会基金电子披露网站（http://eid.csrc.gov.cn/fund）上的本基金招募说明书</w:t>
      </w:r>
      <w:r>
        <w:rPr>
          <w:rFonts w:hint="eastAsia" w:ascii="Times New Roman" w:hAnsi="Times New Roman" w:cs="Times New Roman"/>
          <w:sz w:val="21"/>
          <w:szCs w:val="21"/>
          <w:highlight w:val="none"/>
          <w:lang w:val="en-US" w:eastAsia="zh-CN"/>
        </w:rPr>
        <w:t>和</w:t>
      </w:r>
      <w:r>
        <w:rPr>
          <w:rFonts w:ascii="Times New Roman" w:hAnsi="Times New Roman" w:cs="Times New Roman"/>
          <w:sz w:val="21"/>
          <w:szCs w:val="21"/>
          <w:highlight w:val="none"/>
        </w:rPr>
        <w:t>产品资料概要</w:t>
      </w:r>
      <w:r>
        <w:rPr>
          <w:rFonts w:hint="eastAsia" w:ascii="Times New Roman" w:hAnsi="Times New Roman" w:cs="Times New Roman"/>
          <w:sz w:val="21"/>
          <w:szCs w:val="21"/>
          <w:highlight w:val="none"/>
          <w:lang w:val="en-US" w:eastAsia="zh-CN"/>
        </w:rPr>
        <w:t>等信息披露文件</w:t>
      </w:r>
      <w:r>
        <w:rPr>
          <w:rFonts w:ascii="Times New Roman" w:hAnsi="Times New Roman" w:cs="Times New Roman"/>
          <w:sz w:val="21"/>
          <w:szCs w:val="21"/>
          <w:highlight w:val="none"/>
        </w:rPr>
        <w:t>。</w:t>
      </w:r>
    </w:p>
    <w:p w14:paraId="11AE608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15、各发售代理机构办理认购业务的办理网点、办理日期和时间等事项参照各发售代理机构的具体规定。</w:t>
      </w:r>
    </w:p>
    <w:p w14:paraId="1150B2E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16、在发售期间，除本公告所列的发售代理机构外，如变更或增加其他发售代理机构，本公司将及时在本公司网站列明。</w:t>
      </w:r>
    </w:p>
    <w:p w14:paraId="4A30124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17、投资者可拨打博时一线通95105568（免长途话费）或各发售代理机构电话咨询。</w:t>
      </w:r>
    </w:p>
    <w:p w14:paraId="0E04E86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18、基金管理人可综合各种情况对发售安排做适当调整。</w:t>
      </w:r>
    </w:p>
    <w:p w14:paraId="71E8878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19、基金募集期结束后，基金管理人确定本基金的申购赎回代理券商名单，并予以公告。基金上市后，</w:t>
      </w:r>
      <w:bookmarkStart w:id="9" w:name="OLE_LINK1"/>
      <w:r>
        <w:rPr>
          <w:rFonts w:ascii="Times New Roman" w:hAnsi="Times New Roman" w:cs="Times New Roman"/>
          <w:sz w:val="21"/>
          <w:szCs w:val="21"/>
          <w:highlight w:val="none"/>
        </w:rPr>
        <w:t>指定交易未在申购赎回代理券商的投资人只能进行本基金的二级市场买卖</w:t>
      </w:r>
      <w:bookmarkEnd w:id="9"/>
      <w:r>
        <w:rPr>
          <w:rFonts w:ascii="Times New Roman" w:hAnsi="Times New Roman" w:cs="Times New Roman"/>
          <w:sz w:val="21"/>
          <w:szCs w:val="21"/>
          <w:highlight w:val="none"/>
        </w:rPr>
        <w:t>，如投资人需进行本基金申购赎回交易，须指定交易或转指定交易到申购赎回代理券商。</w:t>
      </w:r>
    </w:p>
    <w:p w14:paraId="52857A7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20、风险提示 </w:t>
      </w:r>
    </w:p>
    <w:p w14:paraId="284614B5">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w:t>
      </w:r>
      <w:r>
        <w:rPr>
          <w:rFonts w:hint="eastAsia" w:ascii="Times New Roman" w:hAnsi="Times New Roman" w:cs="Times New Roman"/>
          <w:sz w:val="21"/>
          <w:szCs w:val="21"/>
          <w:highlight w:val="none"/>
          <w:lang w:eastAsia="zh-CN"/>
        </w:rPr>
        <w:t>中证细分化工产业主题</w:t>
      </w:r>
      <w:r>
        <w:rPr>
          <w:rFonts w:hint="eastAsia" w:ascii="Times New Roman" w:hAnsi="Times New Roman" w:cs="Times New Roman"/>
          <w:sz w:val="21"/>
          <w:szCs w:val="21"/>
          <w:highlight w:val="none"/>
        </w:rPr>
        <w:t>指数，其风险收益特征与标的指数所表征的市场组合的风险收益特征相似。</w:t>
      </w:r>
    </w:p>
    <w:p w14:paraId="2AF773AE">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w:t>
      </w:r>
    </w:p>
    <w:p w14:paraId="1C1719EA">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和操作风险、技术风险、本基金特有风险及不可抗力等。特有风险包括：标的指数回报与股票市场平均回报偏离的风险、标的指数波动的风险、基金投资组合回报与标的指数回报偏离的风险、流动性风险、指数编制机构停止服务的风险、跟踪误差控制未达约定目标的风险、成份股停牌的风险、成份股退市的风险、基金份额二级市场交易价格折溢价的风险、基金份额参考净值决策和基金份额参考净值计算错误的风险、退市风险、投资人申购失败的风险、投资人赎回失败的风险、非深市上市的成份股可以现金替代方式的风险、赎回对价的变现风险、第三方机构服务的风险、参与股指期货交易、国债期货交易和投资股票期权的风险、资产支持证券（ABS）的风险、融资业务的主要风险、转融通证券出借的主要风险、投资于存托凭证的风险、投资北交所股票的风险等，详见本</w:t>
      </w:r>
      <w:r>
        <w:rPr>
          <w:rFonts w:hint="eastAsia" w:ascii="Times New Roman" w:hAnsi="Times New Roman" w:cs="Times New Roman"/>
          <w:sz w:val="21"/>
          <w:szCs w:val="21"/>
          <w:highlight w:val="none"/>
          <w:lang w:val="en-US" w:eastAsia="zh-CN"/>
        </w:rPr>
        <w:t>基金</w:t>
      </w:r>
      <w:r>
        <w:rPr>
          <w:rFonts w:hint="eastAsia" w:ascii="Times New Roman" w:hAnsi="Times New Roman" w:cs="Times New Roman"/>
          <w:sz w:val="21"/>
          <w:szCs w:val="21"/>
          <w:highlight w:val="none"/>
        </w:rPr>
        <w:t>招募说明书“风险揭示”章节。</w:t>
      </w:r>
    </w:p>
    <w:p w14:paraId="624888CC">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0E76C735">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28C7A34">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w:t>
      </w:r>
    </w:p>
    <w:p w14:paraId="1513A2AB">
      <w:pPr>
        <w:pStyle w:val="8"/>
        <w:spacing w:before="0" w:beforeAutospacing="0" w:after="0" w:afterAutospacing="0" w:line="360" w:lineRule="auto"/>
        <w:ind w:firstLine="420"/>
        <w:jc w:val="both"/>
        <w:rPr>
          <w:sz w:val="21"/>
          <w:szCs w:val="21"/>
          <w:highlight w:val="none"/>
        </w:rPr>
        <w:sectPr>
          <w:footerReference r:id="rId6" w:type="default"/>
          <w:pgSz w:w="11906" w:h="16838"/>
          <w:pgMar w:top="1440" w:right="1803" w:bottom="1440" w:left="1803" w:header="851" w:footer="992" w:gutter="0"/>
          <w:pgNumType w:fmt="decimal" w:start="1"/>
          <w:cols w:space="425" w:num="1"/>
          <w:docGrid w:type="lines" w:linePitch="312" w:charSpace="0"/>
        </w:sectPr>
      </w:pPr>
      <w:r>
        <w:rPr>
          <w:rFonts w:hint="eastAsia" w:ascii="Times New Roman" w:hAnsi="Times New Roman" w:cs="Times New Roman"/>
          <w:sz w:val="21"/>
          <w:szCs w:val="21"/>
          <w:highlight w:val="none"/>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w:t>
      </w:r>
      <w:r>
        <w:rPr>
          <w:rFonts w:hint="eastAsia"/>
          <w:sz w:val="21"/>
          <w:szCs w:val="21"/>
          <w:highlight w:val="none"/>
        </w:rPr>
        <w:t xml:space="preserve"> </w:t>
      </w:r>
    </w:p>
    <w:p w14:paraId="497BE110">
      <w:pPr>
        <w:pStyle w:val="2"/>
        <w:jc w:val="center"/>
        <w:rPr>
          <w:rFonts w:ascii="宋体" w:hAnsi="宋体" w:eastAsia="宋体"/>
          <w:sz w:val="30"/>
          <w:highlight w:val="none"/>
        </w:rPr>
      </w:pPr>
      <w:bookmarkStart w:id="10" w:name="_Toc97130350"/>
      <w:bookmarkStart w:id="11" w:name="chapter_level1_2_51480"/>
      <w:r>
        <w:rPr>
          <w:rFonts w:hint="eastAsia" w:ascii="宋体" w:hAnsi="宋体" w:eastAsia="宋体"/>
          <w:sz w:val="30"/>
          <w:highlight w:val="none"/>
        </w:rPr>
        <w:t>一、本次发售基本情况</w:t>
      </w:r>
      <w:bookmarkEnd w:id="10"/>
      <w:bookmarkEnd w:id="11"/>
    </w:p>
    <w:p w14:paraId="112FD50C">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12" w:name="chapter_level1_2_51480_section_1"/>
      <w:bookmarkEnd w:id="12"/>
      <w:r>
        <w:rPr>
          <w:rStyle w:val="12"/>
          <w:rFonts w:ascii="Times New Roman" w:hAnsi="Times New Roman" w:cs="Times New Roman"/>
          <w:sz w:val="21"/>
          <w:szCs w:val="21"/>
          <w:highlight w:val="none"/>
        </w:rPr>
        <w:t>（一）基金名称</w:t>
      </w:r>
    </w:p>
    <w:p w14:paraId="02BEEF72">
      <w:pPr>
        <w:pStyle w:val="8"/>
        <w:spacing w:before="0" w:beforeAutospacing="0" w:after="0" w:afterAutospacing="0" w:line="360" w:lineRule="auto"/>
        <w:ind w:firstLine="420"/>
        <w:jc w:val="both"/>
        <w:rPr>
          <w:rFonts w:hint="eastAsia" w:ascii="Times New Roman" w:hAnsi="Times New Roman" w:eastAsia="宋体" w:cs="Times New Roman"/>
          <w:sz w:val="21"/>
          <w:szCs w:val="21"/>
          <w:highlight w:val="none"/>
          <w:lang w:eastAsia="zh-CN"/>
        </w:rPr>
      </w:pPr>
      <w:r>
        <w:rPr>
          <w:rFonts w:hint="eastAsia" w:ascii="Times New Roman" w:hAnsi="Times New Roman" w:cs="Times New Roman"/>
          <w:sz w:val="21"/>
          <w:szCs w:val="21"/>
          <w:highlight w:val="none"/>
          <w:lang w:eastAsia="zh-CN"/>
        </w:rPr>
        <w:t>基金名称：博时中证细分化工产业主题交易型开放式指数证券投资基金</w:t>
      </w:r>
    </w:p>
    <w:p w14:paraId="2445E4D1">
      <w:pPr>
        <w:pStyle w:val="8"/>
        <w:spacing w:before="0" w:beforeAutospacing="0" w:after="0" w:afterAutospacing="0" w:line="360" w:lineRule="auto"/>
        <w:ind w:firstLine="420"/>
        <w:jc w:val="both"/>
        <w:rPr>
          <w:rFonts w:hint="eastAsia" w:ascii="Times New Roman" w:hAnsi="Times New Roman" w:eastAsia="宋体" w:cs="Times New Roman"/>
          <w:sz w:val="21"/>
          <w:szCs w:val="21"/>
          <w:highlight w:val="none"/>
          <w:lang w:eastAsia="zh-CN"/>
        </w:rPr>
      </w:pPr>
      <w:r>
        <w:rPr>
          <w:rFonts w:ascii="Times New Roman" w:hAnsi="Times New Roman" w:cs="Times New Roman"/>
          <w:sz w:val="21"/>
          <w:szCs w:val="21"/>
          <w:highlight w:val="none"/>
        </w:rPr>
        <w:t>基金简称：</w:t>
      </w:r>
      <w:r>
        <w:rPr>
          <w:rFonts w:hint="eastAsia" w:ascii="Times New Roman" w:hAnsi="Times New Roman" w:cs="Times New Roman"/>
          <w:sz w:val="21"/>
          <w:szCs w:val="21"/>
          <w:highlight w:val="none"/>
          <w:lang w:eastAsia="zh-CN"/>
        </w:rPr>
        <w:t>博时中证细分化工产业主题ETF</w:t>
      </w:r>
    </w:p>
    <w:p w14:paraId="5888363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场内简称：</w:t>
      </w:r>
      <w:r>
        <w:rPr>
          <w:rFonts w:hint="eastAsia" w:ascii="Times New Roman" w:hAnsi="Times New Roman" w:cs="Times New Roman"/>
          <w:sz w:val="21"/>
          <w:szCs w:val="21"/>
          <w:highlight w:val="none"/>
          <w:lang w:eastAsia="zh-CN"/>
        </w:rPr>
        <w:t>化工</w:t>
      </w:r>
      <w:r>
        <w:rPr>
          <w:rFonts w:hint="eastAsia" w:ascii="Times New Roman" w:hAnsi="Times New Roman" w:cs="Times New Roman"/>
          <w:sz w:val="21"/>
          <w:szCs w:val="21"/>
          <w:highlight w:val="none"/>
          <w:lang w:val="en-US" w:eastAsia="zh-CN"/>
        </w:rPr>
        <w:t>ETF博时</w:t>
      </w:r>
    </w:p>
    <w:p w14:paraId="40C1E3E7">
      <w:pPr>
        <w:pStyle w:val="8"/>
        <w:spacing w:before="0" w:beforeAutospacing="0" w:after="0" w:afterAutospacing="0" w:line="360" w:lineRule="auto"/>
        <w:ind w:firstLine="420"/>
        <w:jc w:val="both"/>
        <w:rPr>
          <w:rFonts w:hint="default" w:ascii="Times New Roman" w:hAnsi="Times New Roman" w:eastAsia="宋体" w:cs="Times New Roman"/>
          <w:sz w:val="21"/>
          <w:szCs w:val="21"/>
          <w:highlight w:val="none"/>
          <w:lang w:val="en-US" w:eastAsia="zh-CN"/>
        </w:rPr>
      </w:pPr>
      <w:r>
        <w:rPr>
          <w:rFonts w:ascii="Times New Roman" w:hAnsi="Times New Roman" w:cs="Times New Roman"/>
          <w:sz w:val="21"/>
          <w:szCs w:val="21"/>
          <w:highlight w:val="none"/>
        </w:rPr>
        <w:t>基金代码：</w:t>
      </w:r>
      <w:r>
        <w:rPr>
          <w:rFonts w:hint="eastAsia" w:ascii="Times New Roman" w:hAnsi="Times New Roman" w:cs="Times New Roman"/>
          <w:sz w:val="21"/>
          <w:szCs w:val="21"/>
          <w:highlight w:val="none"/>
        </w:rPr>
        <w:t>15</w:t>
      </w:r>
      <w:r>
        <w:rPr>
          <w:rFonts w:hint="eastAsia" w:ascii="Times New Roman" w:hAnsi="Times New Roman" w:cs="Times New Roman"/>
          <w:sz w:val="21"/>
          <w:szCs w:val="21"/>
          <w:highlight w:val="none"/>
          <w:lang w:val="en-US" w:eastAsia="zh-CN"/>
        </w:rPr>
        <w:t>8006</w:t>
      </w:r>
    </w:p>
    <w:p w14:paraId="49D1B14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（二）基金运作方式和类别：</w:t>
      </w:r>
    </w:p>
    <w:p w14:paraId="37688E1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基金的运作方式：</w:t>
      </w:r>
      <w:bookmarkStart w:id="13" w:name="field_0_operation_2"/>
      <w:r>
        <w:rPr>
          <w:rFonts w:ascii="Times New Roman" w:hAnsi="Times New Roman" w:cs="Times New Roman"/>
          <w:sz w:val="21"/>
          <w:szCs w:val="21"/>
          <w:highlight w:val="none"/>
        </w:rPr>
        <w:t>交易型开放式</w:t>
      </w:r>
      <w:bookmarkEnd w:id="13"/>
    </w:p>
    <w:p w14:paraId="3F8B314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基金的类别：</w:t>
      </w:r>
      <w:bookmarkStart w:id="14" w:name="field_0_fundclass_1"/>
      <w:r>
        <w:rPr>
          <w:rFonts w:ascii="Times New Roman" w:hAnsi="Times New Roman" w:cs="Times New Roman"/>
          <w:sz w:val="21"/>
          <w:szCs w:val="21"/>
          <w:highlight w:val="none"/>
        </w:rPr>
        <w:t>股票型</w:t>
      </w:r>
      <w:bookmarkEnd w:id="14"/>
      <w:r>
        <w:rPr>
          <w:rFonts w:ascii="Times New Roman" w:hAnsi="Times New Roman" w:cs="Times New Roman"/>
          <w:sz w:val="21"/>
          <w:szCs w:val="21"/>
          <w:highlight w:val="none"/>
        </w:rPr>
        <w:t xml:space="preserve">证券投资基金 </w:t>
      </w:r>
    </w:p>
    <w:p w14:paraId="25192CF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（三）存续期限：</w:t>
      </w:r>
      <w:bookmarkStart w:id="15" w:name="field_0_duration_1"/>
      <w:r>
        <w:rPr>
          <w:rFonts w:ascii="Times New Roman" w:hAnsi="Times New Roman" w:cs="Times New Roman"/>
          <w:sz w:val="21"/>
          <w:szCs w:val="21"/>
          <w:highlight w:val="none"/>
        </w:rPr>
        <w:t>不定期</w:t>
      </w:r>
      <w:bookmarkEnd w:id="15"/>
    </w:p>
    <w:p w14:paraId="61332680">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（四）基金份额初始面值</w:t>
      </w:r>
      <w:r>
        <w:rPr>
          <w:rFonts w:ascii="Times New Roman" w:hAnsi="Times New Roman" w:cs="Times New Roman"/>
          <w:sz w:val="21"/>
          <w:szCs w:val="21"/>
          <w:highlight w:val="none"/>
        </w:rPr>
        <w:t>：每份基金份额初始面值为1.00元人民币。</w:t>
      </w:r>
    </w:p>
    <w:p w14:paraId="6B564F92">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（五）发售对象</w:t>
      </w:r>
    </w:p>
    <w:p w14:paraId="3038AC02">
      <w:pPr>
        <w:pStyle w:val="8"/>
        <w:spacing w:before="0" w:beforeAutospacing="0" w:after="0" w:afterAutospacing="0" w:line="360" w:lineRule="auto"/>
        <w:ind w:firstLine="420"/>
        <w:jc w:val="both"/>
        <w:rPr>
          <w:rFonts w:hint="eastAsia" w:ascii="Times New Roman" w:hAnsi="Times New Roman" w:eastAsia="宋体" w:cs="Times New Roman"/>
          <w:sz w:val="21"/>
          <w:szCs w:val="21"/>
          <w:highlight w:val="none"/>
          <w:lang w:val="en-US" w:eastAsia="zh-CN"/>
        </w:rPr>
      </w:pPr>
      <w:bookmarkStart w:id="16" w:name="field_0_salesobjects_2_start"/>
      <w:bookmarkEnd w:id="16"/>
      <w:bookmarkStart w:id="17" w:name="field_0_salesobjects_2_end"/>
      <w:bookmarkEnd w:id="17"/>
      <w:r>
        <w:rPr>
          <w:rFonts w:hint="eastAsia" w:ascii="Times New Roman" w:hAnsi="Times New Roman" w:cs="Times New Roman"/>
          <w:sz w:val="21"/>
          <w:szCs w:val="21"/>
          <w:highlight w:val="none"/>
        </w:rPr>
        <w:t>符合法律法规规定的可投资于证券投资基金的个人投资者、机构投资者、合格境外投资者以及法律法规或中国证监会允许购买证券投资基金的其他投资人。</w:t>
      </w:r>
    </w:p>
    <w:p w14:paraId="7F20AEB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Style w:val="12"/>
          <w:rFonts w:ascii="Times New Roman" w:hAnsi="Times New Roman" w:cs="Times New Roman"/>
          <w:sz w:val="21"/>
          <w:szCs w:val="21"/>
          <w:highlight w:val="none"/>
        </w:rPr>
        <w:t>（六）发售方式</w:t>
      </w:r>
    </w:p>
    <w:p w14:paraId="5A81544B">
      <w:pPr>
        <w:autoSpaceDE w:val="0"/>
        <w:autoSpaceDN w:val="0"/>
        <w:adjustRightInd w:val="0"/>
        <w:snapToGrid w:val="0"/>
        <w:spacing w:line="360" w:lineRule="auto"/>
        <w:ind w:firstLine="426"/>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投资人可选择网上现金认购、网下现金认购</w:t>
      </w:r>
      <w:r>
        <w:rPr>
          <w:rFonts w:hint="eastAsia" w:ascii="Times New Roman" w:hAnsi="Times New Roman" w:eastAsia="宋体" w:cs="Times New Roman"/>
          <w:kern w:val="0"/>
          <w:szCs w:val="21"/>
          <w:highlight w:val="none"/>
          <w:lang w:val="en-US" w:eastAsia="zh-CN"/>
        </w:rPr>
        <w:t>两</w:t>
      </w:r>
      <w:r>
        <w:rPr>
          <w:rFonts w:hint="eastAsia" w:ascii="Times New Roman" w:hAnsi="Times New Roman" w:eastAsia="宋体" w:cs="Times New Roman"/>
          <w:kern w:val="0"/>
          <w:szCs w:val="21"/>
          <w:highlight w:val="none"/>
        </w:rPr>
        <w:t>种方式认购本基金：</w:t>
      </w:r>
    </w:p>
    <w:p w14:paraId="1084648F">
      <w:pPr>
        <w:autoSpaceDE w:val="0"/>
        <w:autoSpaceDN w:val="0"/>
        <w:adjustRightInd w:val="0"/>
        <w:snapToGrid w:val="0"/>
        <w:spacing w:line="360" w:lineRule="auto"/>
        <w:ind w:firstLine="426"/>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网上现金认购是指投资人通过基金管理人指定的发售代理机构通过深圳证券交易所网上系统以现金进行的认购；</w:t>
      </w:r>
    </w:p>
    <w:p w14:paraId="3D4A31AB">
      <w:pPr>
        <w:autoSpaceDE w:val="0"/>
        <w:autoSpaceDN w:val="0"/>
        <w:adjustRightInd w:val="0"/>
        <w:snapToGrid w:val="0"/>
        <w:spacing w:line="360" w:lineRule="auto"/>
        <w:ind w:firstLine="426"/>
        <w:rPr>
          <w:rFonts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网下现金认购是指投资人通过基金管理人及其指定的发售代理机构以现金进行的认购。</w:t>
      </w:r>
    </w:p>
    <w:p w14:paraId="125C3931">
      <w:pPr>
        <w:pStyle w:val="8"/>
        <w:spacing w:before="0" w:beforeAutospacing="0" w:after="0" w:afterAutospacing="0" w:line="360" w:lineRule="auto"/>
        <w:ind w:firstLine="420"/>
        <w:rPr>
          <w:rFonts w:ascii="Times New Roman" w:hAnsi="Times New Roman" w:cs="Times New Roman"/>
          <w:sz w:val="21"/>
          <w:szCs w:val="21"/>
          <w:highlight w:val="none"/>
        </w:rPr>
      </w:pPr>
      <w:r>
        <w:rPr>
          <w:rStyle w:val="12"/>
          <w:rFonts w:ascii="Times New Roman" w:hAnsi="Times New Roman" w:cs="Times New Roman"/>
          <w:sz w:val="21"/>
          <w:szCs w:val="21"/>
          <w:highlight w:val="none"/>
        </w:rPr>
        <w:t>（七）发售时间安排与基金合同生效</w:t>
      </w:r>
    </w:p>
    <w:p w14:paraId="6D942690">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1、发售时间安排 </w:t>
      </w:r>
    </w:p>
    <w:p w14:paraId="496A7D4D">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本基金的募集期限不超过3个月，自基金份额开始发售之日起计算。 </w:t>
      </w:r>
    </w:p>
    <w:p w14:paraId="0C2A6D4C">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本基金自</w:t>
      </w:r>
      <w:r>
        <w:rPr>
          <w:rFonts w:hint="eastAsia" w:ascii="Times New Roman" w:hAnsi="Times New Roman" w:cs="Times New Roman"/>
          <w:sz w:val="21"/>
          <w:szCs w:val="21"/>
          <w:highlight w:val="none"/>
          <w:lang w:eastAsia="zh-CN"/>
        </w:rPr>
        <w:t>2026年7月1</w:t>
      </w:r>
      <w:r>
        <w:rPr>
          <w:rFonts w:hint="eastAsia" w:ascii="Times New Roman" w:hAnsi="Times New Roman" w:cs="Times New Roman"/>
          <w:sz w:val="21"/>
          <w:szCs w:val="21"/>
          <w:highlight w:val="none"/>
          <w:lang w:val="en-US" w:eastAsia="zh-CN"/>
        </w:rPr>
        <w:t>3</w:t>
      </w:r>
      <w:r>
        <w:rPr>
          <w:rFonts w:hint="eastAsia" w:ascii="Times New Roman" w:hAnsi="Times New Roman" w:cs="Times New Roman"/>
          <w:sz w:val="21"/>
          <w:szCs w:val="21"/>
          <w:highlight w:val="none"/>
          <w:lang w:eastAsia="zh-CN"/>
        </w:rPr>
        <w:t>日起至2026年7月</w:t>
      </w:r>
      <w:r>
        <w:rPr>
          <w:rFonts w:hint="eastAsia" w:ascii="Times New Roman" w:hAnsi="Times New Roman" w:cs="Times New Roman"/>
          <w:sz w:val="21"/>
          <w:szCs w:val="21"/>
          <w:highlight w:val="none"/>
          <w:lang w:val="en-US" w:eastAsia="zh-CN"/>
        </w:rPr>
        <w:t>24</w:t>
      </w:r>
      <w:r>
        <w:rPr>
          <w:rFonts w:hint="eastAsia" w:ascii="Times New Roman" w:hAnsi="Times New Roman" w:cs="Times New Roman"/>
          <w:sz w:val="21"/>
          <w:szCs w:val="21"/>
          <w:highlight w:val="none"/>
          <w:lang w:eastAsia="zh-CN"/>
        </w:rPr>
        <w:t>日</w:t>
      </w:r>
      <w:r>
        <w:rPr>
          <w:rFonts w:ascii="Times New Roman" w:hAnsi="Times New Roman" w:cs="Times New Roman"/>
          <w:sz w:val="21"/>
          <w:szCs w:val="21"/>
          <w:highlight w:val="none"/>
        </w:rPr>
        <w:t>通过销售机构公开发售。基金的募集期限不超过3个月，自基金份额开始发售之日起计算。本公司可根据认购的情况适当调整募集时间，但最长不超过法定募集期限，并予以公告。</w:t>
      </w:r>
      <w:r>
        <w:rPr>
          <w:rFonts w:hint="eastAsia" w:ascii="Times New Roman" w:hAnsi="Times New Roman" w:cs="Times New Roman"/>
          <w:sz w:val="21"/>
          <w:szCs w:val="21"/>
          <w:highlight w:val="none"/>
        </w:rPr>
        <w:t>基金管理人应将基金募集期间募集的资金存入专门账户，上述资金在基金募集行为结束前任何人不得动用。</w:t>
      </w:r>
      <w:r>
        <w:rPr>
          <w:rFonts w:ascii="Times New Roman" w:hAnsi="Times New Roman" w:cs="Times New Roman"/>
          <w:sz w:val="21"/>
          <w:szCs w:val="21"/>
          <w:highlight w:val="none"/>
        </w:rPr>
        <w:t xml:space="preserve"> </w:t>
      </w:r>
    </w:p>
    <w:p w14:paraId="52CBB13A">
      <w:pPr>
        <w:pStyle w:val="8"/>
        <w:spacing w:before="0" w:beforeAutospacing="0" w:after="0" w:afterAutospacing="0" w:line="360" w:lineRule="auto"/>
        <w:ind w:firstLine="42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ascii="Times New Roman" w:hAnsi="Times New Roman" w:cs="Times New Roman"/>
          <w:sz w:val="21"/>
          <w:szCs w:val="21"/>
          <w:highlight w:val="none"/>
        </w:rPr>
        <w:t xml:space="preserve">2、基金备案条件 </w:t>
      </w:r>
    </w:p>
    <w:p w14:paraId="3D1CAF81">
      <w:pPr>
        <w:adjustRightInd w:val="0"/>
        <w:snapToGrid w:val="0"/>
        <w:spacing w:line="360" w:lineRule="auto"/>
        <w:ind w:firstLine="420" w:firstLineChars="200"/>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本基金自基金份额发售之日起3个月内，在基金募集份额总额不少于2亿份，基金募集金额不少于2 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46928D45">
      <w:pPr>
        <w:adjustRightInd w:val="0"/>
        <w:snapToGrid w:val="0"/>
        <w:spacing w:line="360" w:lineRule="auto"/>
        <w:ind w:firstLine="420" w:firstLineChars="20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7179953B">
      <w:pPr>
        <w:pStyle w:val="8"/>
        <w:numPr>
          <w:ilvl w:val="0"/>
          <w:numId w:val="1"/>
        </w:numPr>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基金募集失败 </w:t>
      </w:r>
    </w:p>
    <w:p w14:paraId="52764346">
      <w:pPr>
        <w:pStyle w:val="8"/>
        <w:widowControl/>
        <w:numPr>
          <w:ilvl w:val="0"/>
          <w:numId w:val="0"/>
        </w:numPr>
        <w:spacing w:before="0" w:beforeAutospacing="0" w:after="0" w:afterAutospacing="0" w:line="360" w:lineRule="auto"/>
        <w:ind w:firstLine="420" w:firstLineChars="200"/>
        <w:jc w:val="left"/>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如果募集期限届满，未满足基金备案条件，基金管理人应当承担下列责任：</w:t>
      </w:r>
    </w:p>
    <w:p w14:paraId="143DFC6B">
      <w:pPr>
        <w:pStyle w:val="8"/>
        <w:widowControl/>
        <w:numPr>
          <w:ilvl w:val="0"/>
          <w:numId w:val="2"/>
        </w:numPr>
        <w:spacing w:before="0" w:beforeAutospacing="0" w:after="0" w:afterAutospacing="0" w:line="360" w:lineRule="auto"/>
        <w:ind w:firstLine="420" w:firstLineChars="200"/>
        <w:jc w:val="left"/>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以其固有财产承担因募集行为而产生的债务和费用；</w:t>
      </w:r>
    </w:p>
    <w:p w14:paraId="001EFB98">
      <w:pPr>
        <w:pStyle w:val="8"/>
        <w:widowControl/>
        <w:numPr>
          <w:ilvl w:val="0"/>
          <w:numId w:val="2"/>
        </w:numPr>
        <w:spacing w:before="0" w:beforeAutospacing="0" w:after="0" w:afterAutospacing="0" w:line="360" w:lineRule="auto"/>
        <w:ind w:firstLine="420" w:firstLineChars="200"/>
        <w:jc w:val="left"/>
        <w:rPr>
          <w:rFonts w:ascii="Times New Roman" w:hAnsi="Times New Roman" w:cs="Times New Roman"/>
          <w:sz w:val="21"/>
          <w:szCs w:val="21"/>
          <w:highlight w:val="none"/>
        </w:rPr>
      </w:pPr>
      <w:r>
        <w:rPr>
          <w:rFonts w:hint="eastAsia" w:ascii="Times New Roman" w:hAnsi="Times New Roman" w:cs="Times New Roman"/>
          <w:sz w:val="21"/>
          <w:szCs w:val="21"/>
          <w:highlight w:val="none"/>
        </w:rPr>
        <w:t>在基金募集期限届满后30日内返还投资者已交纳的款项，并加计银行同期活期存款利息；</w:t>
      </w:r>
    </w:p>
    <w:p w14:paraId="6EFF5F26">
      <w:pPr>
        <w:pStyle w:val="8"/>
        <w:widowControl/>
        <w:numPr>
          <w:ilvl w:val="0"/>
          <w:numId w:val="2"/>
        </w:numPr>
        <w:spacing w:before="0" w:beforeAutospacing="0" w:after="0" w:afterAutospacing="0" w:line="360" w:lineRule="auto"/>
        <w:ind w:firstLine="420" w:firstLineChars="200"/>
        <w:jc w:val="left"/>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cs="Times New Roman"/>
          <w:sz w:val="21"/>
          <w:szCs w:val="21"/>
          <w:highlight w:val="none"/>
        </w:rPr>
        <w:t>如基金募集失败，基金管理人、基金托管人及发售代理机构不得请求报酬。基金管理人、基金托管人和发售代理机构为基金募集支付之一切费用应由各方各自承担。</w:t>
      </w:r>
    </w:p>
    <w:p w14:paraId="7E18205D">
      <w:pPr>
        <w:pStyle w:val="8"/>
        <w:spacing w:before="0" w:beforeAutospacing="0" w:after="0" w:afterAutospacing="0" w:line="360" w:lineRule="auto"/>
        <w:ind w:firstLine="420"/>
        <w:rPr>
          <w:rFonts w:ascii="Times New Roman" w:hAnsi="Times New Roman" w:cs="Times New Roman"/>
          <w:sz w:val="21"/>
          <w:szCs w:val="21"/>
          <w:highlight w:val="none"/>
        </w:rPr>
      </w:pPr>
      <w:r>
        <w:rPr>
          <w:rStyle w:val="12"/>
          <w:rFonts w:ascii="Times New Roman" w:hAnsi="Times New Roman" w:cs="Times New Roman"/>
          <w:sz w:val="21"/>
          <w:szCs w:val="21"/>
          <w:highlight w:val="none"/>
        </w:rPr>
        <w:t>（八）认购方式与费率</w:t>
      </w:r>
    </w:p>
    <w:p w14:paraId="7D37340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1、基金份额初始面值：本基金份额初始面值为1.00元人民币，认购价格为人民币1.00元。 </w:t>
      </w:r>
    </w:p>
    <w:p w14:paraId="22FF8F0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2、认购费率 </w:t>
      </w:r>
    </w:p>
    <w:p w14:paraId="6CDDDBFD">
      <w:pPr>
        <w:adjustRightInd w:val="0"/>
        <w:snapToGrid w:val="0"/>
        <w:spacing w:line="360" w:lineRule="auto"/>
        <w:ind w:firstLine="420"/>
        <w:rPr>
          <w:rFonts w:ascii="宋体" w:hAnsi="宋体" w:cs="Arial"/>
          <w:kern w:val="3"/>
          <w:highlight w:val="none"/>
        </w:rPr>
      </w:pPr>
      <w:r>
        <w:rPr>
          <w:rFonts w:ascii="Times New Roman" w:hAnsi="Times New Roman" w:eastAsia="宋体" w:cs="Times New Roman"/>
          <w:kern w:val="3"/>
          <w:highlight w:val="none"/>
        </w:rPr>
        <w:t>本基金的认购采用份额认购的原则。认购费用由认购基金份额的投资人承担，认购费用不列入基金财产。认购费率如下表所示：</w:t>
      </w:r>
    </w:p>
    <w:p w14:paraId="2C6722DB">
      <w:pPr>
        <w:snapToGrid w:val="0"/>
        <w:spacing w:line="360" w:lineRule="auto"/>
        <w:ind w:firstLine="3360" w:firstLineChars="1600"/>
        <w:rPr>
          <w:rFonts w:ascii="Times New Roman" w:hAnsi="Times New Roman" w:eastAsia="宋体" w:cs="Times New Roman"/>
          <w:highlight w:val="none"/>
        </w:rPr>
      </w:pPr>
      <w:r>
        <w:rPr>
          <w:rFonts w:ascii="Times New Roman" w:hAnsi="Times New Roman" w:eastAsia="宋体" w:cs="Times New Roman"/>
          <w:highlight w:val="none"/>
        </w:rPr>
        <w:t>图表1：认购费率</w:t>
      </w:r>
    </w:p>
    <w:tbl>
      <w:tblPr>
        <w:tblStyle w:val="10"/>
        <w:tblW w:w="5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57"/>
        <w:gridCol w:w="1596"/>
      </w:tblGrid>
      <w:tr w14:paraId="33F0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57" w:type="dxa"/>
            <w:tcMar>
              <w:top w:w="0" w:type="dxa"/>
              <w:left w:w="108" w:type="dxa"/>
              <w:bottom w:w="0" w:type="dxa"/>
              <w:right w:w="108" w:type="dxa"/>
            </w:tcMar>
            <w:vAlign w:val="center"/>
          </w:tcPr>
          <w:p w14:paraId="0E8A19B0">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b/>
                <w:bCs/>
                <w:kern w:val="0"/>
                <w:szCs w:val="21"/>
                <w:highlight w:val="none"/>
              </w:rPr>
              <w:t>认购份额</w:t>
            </w:r>
          </w:p>
        </w:tc>
        <w:tc>
          <w:tcPr>
            <w:tcW w:w="1596" w:type="dxa"/>
            <w:tcMar>
              <w:top w:w="0" w:type="dxa"/>
              <w:left w:w="108" w:type="dxa"/>
              <w:bottom w:w="0" w:type="dxa"/>
              <w:right w:w="108" w:type="dxa"/>
            </w:tcMar>
            <w:vAlign w:val="center"/>
          </w:tcPr>
          <w:p w14:paraId="64897D48">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b/>
                <w:bCs/>
                <w:kern w:val="0"/>
                <w:szCs w:val="21"/>
                <w:highlight w:val="none"/>
              </w:rPr>
              <w:t>认购费率</w:t>
            </w:r>
          </w:p>
        </w:tc>
      </w:tr>
      <w:tr w14:paraId="7C0B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57" w:type="dxa"/>
            <w:tcMar>
              <w:top w:w="0" w:type="dxa"/>
              <w:left w:w="108" w:type="dxa"/>
              <w:bottom w:w="0" w:type="dxa"/>
              <w:right w:w="108" w:type="dxa"/>
            </w:tcMar>
            <w:vAlign w:val="center"/>
          </w:tcPr>
          <w:p w14:paraId="2489A616">
            <w:pPr>
              <w:widowControl/>
              <w:spacing w:before="100" w:beforeAutospacing="1" w:after="100" w:afterAutospacing="1"/>
              <w:jc w:val="center"/>
              <w:rPr>
                <w:rFonts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lang w:val="en-US" w:eastAsia="zh-CN"/>
              </w:rPr>
              <w:t>100</w:t>
            </w:r>
            <w:r>
              <w:rPr>
                <w:rFonts w:ascii="Times New Roman" w:hAnsi="Times New Roman" w:eastAsia="宋体" w:cs="Times New Roman"/>
                <w:kern w:val="0"/>
                <w:szCs w:val="21"/>
                <w:highlight w:val="none"/>
              </w:rPr>
              <w:t>万份以下</w:t>
            </w:r>
          </w:p>
        </w:tc>
        <w:tc>
          <w:tcPr>
            <w:tcW w:w="1596" w:type="dxa"/>
            <w:tcMar>
              <w:top w:w="0" w:type="dxa"/>
              <w:left w:w="108" w:type="dxa"/>
              <w:bottom w:w="0" w:type="dxa"/>
              <w:right w:w="108" w:type="dxa"/>
            </w:tcMar>
            <w:vAlign w:val="center"/>
          </w:tcPr>
          <w:p w14:paraId="4B267020">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0.</w:t>
            </w:r>
            <w:r>
              <w:rPr>
                <w:rFonts w:hint="eastAsia" w:ascii="Times New Roman" w:hAnsi="Times New Roman" w:eastAsia="宋体" w:cs="Times New Roman"/>
                <w:kern w:val="0"/>
                <w:szCs w:val="21"/>
                <w:highlight w:val="none"/>
                <w:lang w:val="en-US" w:eastAsia="zh-CN"/>
              </w:rPr>
              <w:t>3</w:t>
            </w:r>
            <w:r>
              <w:rPr>
                <w:rFonts w:ascii="Times New Roman" w:hAnsi="Times New Roman" w:eastAsia="宋体" w:cs="Times New Roman"/>
                <w:kern w:val="0"/>
                <w:szCs w:val="21"/>
                <w:highlight w:val="none"/>
              </w:rPr>
              <w:t>0%</w:t>
            </w:r>
          </w:p>
        </w:tc>
      </w:tr>
      <w:tr w14:paraId="38A2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57" w:type="dxa"/>
            <w:tcMar>
              <w:top w:w="0" w:type="dxa"/>
              <w:left w:w="108" w:type="dxa"/>
              <w:bottom w:w="0" w:type="dxa"/>
              <w:right w:w="108" w:type="dxa"/>
            </w:tcMar>
            <w:vAlign w:val="center"/>
          </w:tcPr>
          <w:p w14:paraId="58F1FD03">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100万份以上（含）</w:t>
            </w:r>
          </w:p>
        </w:tc>
        <w:tc>
          <w:tcPr>
            <w:tcW w:w="1596" w:type="dxa"/>
            <w:tcMar>
              <w:top w:w="0" w:type="dxa"/>
              <w:left w:w="108" w:type="dxa"/>
              <w:bottom w:w="0" w:type="dxa"/>
              <w:right w:w="108" w:type="dxa"/>
            </w:tcMar>
            <w:vAlign w:val="center"/>
          </w:tcPr>
          <w:p w14:paraId="4B86EA0C">
            <w:pPr>
              <w:widowControl/>
              <w:spacing w:before="100" w:beforeAutospacing="1" w:after="100" w:afterAutospacing="1"/>
              <w:jc w:val="center"/>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每笔1000元</w:t>
            </w:r>
          </w:p>
        </w:tc>
      </w:tr>
    </w:tbl>
    <w:p w14:paraId="29227227">
      <w:pPr>
        <w:snapToGrid w:val="0"/>
        <w:spacing w:line="360" w:lineRule="auto"/>
        <w:ind w:firstLine="420"/>
        <w:jc w:val="center"/>
        <w:rPr>
          <w:rFonts w:ascii="宋体" w:hAnsi="宋体" w:cs="Arial"/>
          <w:highlight w:val="none"/>
        </w:rPr>
      </w:pPr>
    </w:p>
    <w:p w14:paraId="0223E7D9">
      <w:pPr>
        <w:snapToGrid w:val="0"/>
        <w:spacing w:line="360" w:lineRule="auto"/>
        <w:ind w:firstLine="420"/>
        <w:rPr>
          <w:rFonts w:ascii="Times New Roman" w:hAnsi="Times New Roman" w:eastAsia="宋体" w:cs="Times New Roman"/>
          <w:highlight w:val="none"/>
        </w:rPr>
      </w:pPr>
      <w:r>
        <w:rPr>
          <w:rFonts w:ascii="Times New Roman" w:hAnsi="Times New Roman" w:eastAsia="宋体" w:cs="Times New Roman"/>
          <w:highlight w:val="none"/>
        </w:rPr>
        <w:t>基金管理人办理网下现金认购时</w:t>
      </w:r>
      <w:r>
        <w:rPr>
          <w:rFonts w:hint="eastAsia" w:ascii="Times New Roman" w:hAnsi="Times New Roman" w:eastAsia="宋体" w:cs="Times New Roman"/>
          <w:highlight w:val="none"/>
        </w:rPr>
        <w:t>不收取认购费用</w:t>
      </w:r>
      <w:r>
        <w:rPr>
          <w:rFonts w:ascii="Times New Roman" w:hAnsi="Times New Roman" w:eastAsia="宋体" w:cs="Times New Roman"/>
          <w:highlight w:val="none"/>
        </w:rPr>
        <w:t>。发售代理机构办理网上现金认购、网下现金认购时可参照上述费率结构收取一定的佣金。投资人可以多次认购本基金，认购费率按每笔认购申请单独计算。</w:t>
      </w:r>
    </w:p>
    <w:p w14:paraId="024A3A49">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3、认购金额、认购佣金计算公式和收取方式 </w:t>
      </w:r>
    </w:p>
    <w:p w14:paraId="24886BCD">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（1）网上现金认购 </w:t>
      </w:r>
    </w:p>
    <w:p w14:paraId="54C498DD">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网上现金认购以基金份额申请。单一账户每笔认购份额须为1000份或其整数倍。投资人可多次认购，累计认购份额不设上限。</w:t>
      </w:r>
    </w:p>
    <w:p w14:paraId="17134320">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通过发售代理机构进行网上现金认购的投资人，认购以基金份额申请，认购佣金、认购金额的计算公式为：</w:t>
      </w:r>
    </w:p>
    <w:p w14:paraId="35522F9F">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 xml:space="preserve">认购佣金＝认购价格×认购份额×佣金比率 </w:t>
      </w:r>
    </w:p>
    <w:p w14:paraId="17661B5B">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（或若适用固定费用的，认购佣金=固定费用）</w:t>
      </w:r>
    </w:p>
    <w:p w14:paraId="7DC71831">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 xml:space="preserve">认购金额＝认购价格×认购份额×(1＋佣金比率) </w:t>
      </w:r>
    </w:p>
    <w:p w14:paraId="119CE359">
      <w:pPr>
        <w:adjustRightInd w:val="0"/>
        <w:snapToGrid w:val="0"/>
        <w:spacing w:line="360" w:lineRule="auto"/>
        <w:ind w:left="420"/>
        <w:rPr>
          <w:rFonts w:ascii="Times New Roman" w:hAnsi="Times New Roman" w:eastAsia="宋体" w:cs="Times New Roman"/>
          <w:highlight w:val="none"/>
        </w:rPr>
      </w:pPr>
      <w:r>
        <w:rPr>
          <w:rFonts w:ascii="Times New Roman" w:hAnsi="Times New Roman" w:eastAsia="宋体" w:cs="Times New Roman"/>
          <w:highlight w:val="none"/>
        </w:rPr>
        <w:t>（或若适用固定费用的，认购金额＝认购价格×认购份额+固定费用）</w:t>
      </w:r>
    </w:p>
    <w:p w14:paraId="4097B743">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利息折算的份额=利息/认购价格</w:t>
      </w:r>
    </w:p>
    <w:p w14:paraId="6FC9112A">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总认购份额=认购份额+利息折算的份额</w:t>
      </w:r>
    </w:p>
    <w:p w14:paraId="32D41F3C">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认购佣金由发售代理机构向投资人收取，投资人需以现金方式交纳认购佣金。利息折算的基金份额保留至整数位，小数部分舍去，舍去部分计入基金财产。</w:t>
      </w:r>
    </w:p>
    <w:p w14:paraId="56D4679E">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例：某投资人通过某发售代理机构以网上现金认购方式认购10,000份本基金份额，该发售代理机构确认的佣金比率为0.</w:t>
      </w:r>
      <w:r>
        <w:rPr>
          <w:rFonts w:hint="eastAsia" w:ascii="Times New Roman" w:hAnsi="Times New Roman" w:eastAsia="宋体" w:cs="Times New Roman"/>
          <w:highlight w:val="none"/>
          <w:lang w:val="en-US" w:eastAsia="zh-CN"/>
        </w:rPr>
        <w:t>3</w:t>
      </w:r>
      <w:r>
        <w:rPr>
          <w:rFonts w:ascii="Times New Roman" w:hAnsi="Times New Roman" w:eastAsia="宋体" w:cs="Times New Roman"/>
          <w:highlight w:val="none"/>
        </w:rPr>
        <w:t>0%，假设该笔认购金额产生利息10元，则投资人需支付的认购佣金和需准备的认购金额计算如下：</w:t>
      </w:r>
    </w:p>
    <w:p w14:paraId="24891701">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认购佣金＝1.00×10,000×0.30%＝30.00元 </w:t>
      </w:r>
    </w:p>
    <w:p w14:paraId="33D4F6D0">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认购金额＝1.00×10,000×(1+0.30%)＝10,030.00元 </w:t>
      </w:r>
    </w:p>
    <w:p w14:paraId="44D19ECC">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利息折算的份额=10/1.00=10份</w:t>
      </w:r>
    </w:p>
    <w:p w14:paraId="268669EB">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总认购份额=10,000+10=10,010份</w:t>
      </w:r>
    </w:p>
    <w:p w14:paraId="30523509">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即投资人需准备10,030.00元资金，方可认购到10,000份本基金基金份额。假设该笔认购金额产生利息10元，则投资者可得到10,010份本基金份额。</w:t>
      </w:r>
    </w:p>
    <w:p w14:paraId="4A4BBDD4">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（2）网下现金认购 </w:t>
      </w:r>
    </w:p>
    <w:p w14:paraId="6F453E92">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网下现金认购以基金份额申请。投资人通过发售代理机构办理网下现金认购，每笔认购份额须为1,000份或其整数倍。投资人通过基金管理人办理网下现金认购的，每笔认购份额须在5万份以上（含5万份），投资人可多次认购，累计认购份额不设上限。</w:t>
      </w:r>
    </w:p>
    <w:p w14:paraId="202AB95D">
      <w:pPr>
        <w:adjustRightInd w:val="0"/>
        <w:snapToGrid w:val="0"/>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1）</w:t>
      </w:r>
      <w:r>
        <w:rPr>
          <w:rFonts w:ascii="Times New Roman" w:hAnsi="Times New Roman" w:eastAsia="宋体" w:cs="Times New Roman"/>
          <w:highlight w:val="none"/>
        </w:rPr>
        <w:t>通过基金管理人进行网下现金认购的投资人，认购以基金份额申请，认购金额的计算公式为：</w:t>
      </w:r>
    </w:p>
    <w:p w14:paraId="34A786D7">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认购金额＝认购份额×</w:t>
      </w:r>
      <w:r>
        <w:rPr>
          <w:rFonts w:hint="eastAsia" w:ascii="Times New Roman" w:hAnsi="Times New Roman" w:eastAsia="宋体" w:cs="Times New Roman"/>
          <w:highlight w:val="none"/>
        </w:rPr>
        <w:t>认购价格</w:t>
      </w:r>
    </w:p>
    <w:p w14:paraId="2A151D6D">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利息折算的份额＝利息/认购价格</w:t>
      </w:r>
    </w:p>
    <w:p w14:paraId="4E72ABF8">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总认购份额=认购份额+利息折算的份额</w:t>
      </w:r>
    </w:p>
    <w:p w14:paraId="5B7E0235">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利息折算的份额四舍五入保留至整数位，由此产生的收益或损失由基金财产承担。</w:t>
      </w:r>
    </w:p>
    <w:p w14:paraId="14705371">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通过基金管理人进行网下现金认购的有效认购资金在募集期间产生的利息，将折算为基金份额归投资人所有。网下现金认购的利息和具体份额以基金管理人的记录为准。</w:t>
      </w:r>
    </w:p>
    <w:p w14:paraId="10CA74BF">
      <w:pPr>
        <w:adjustRightInd w:val="0"/>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例：某投资人通过基金管理人以网下现金认购方式认购100,000份本基金，</w:t>
      </w:r>
      <w:r>
        <w:rPr>
          <w:rFonts w:hint="eastAsia" w:ascii="Times New Roman" w:hAnsi="Times New Roman" w:eastAsia="宋体" w:cs="Times New Roman"/>
          <w:highlight w:val="none"/>
        </w:rPr>
        <w:t>不收取认购费用</w:t>
      </w:r>
      <w:r>
        <w:rPr>
          <w:rFonts w:ascii="Times New Roman" w:hAnsi="Times New Roman" w:eastAsia="宋体" w:cs="Times New Roman"/>
          <w:highlight w:val="none"/>
        </w:rPr>
        <w:t xml:space="preserve">，假设利息为10元，则投资人需准备的认购金额计算如下： </w:t>
      </w:r>
    </w:p>
    <w:p w14:paraId="2101525D">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认购金额＝100,000×1.00＝100,000元</w:t>
      </w:r>
    </w:p>
    <w:p w14:paraId="000C5E8E">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利息折算的份额=10/1.00=10份</w:t>
      </w:r>
    </w:p>
    <w:p w14:paraId="62FA7D0C">
      <w:pPr>
        <w:adjustRightInd w:val="0"/>
        <w:snapToGrid w:val="0"/>
        <w:spacing w:line="360" w:lineRule="auto"/>
        <w:ind w:left="420"/>
        <w:rPr>
          <w:rFonts w:hint="eastAsia" w:ascii="Times New Roman" w:hAnsi="Times New Roman" w:eastAsia="宋体" w:cs="Times New Roman"/>
          <w:highlight w:val="none"/>
        </w:rPr>
      </w:pPr>
      <w:r>
        <w:rPr>
          <w:rFonts w:hint="eastAsia" w:ascii="Times New Roman" w:hAnsi="Times New Roman" w:eastAsia="宋体" w:cs="Times New Roman"/>
          <w:highlight w:val="none"/>
        </w:rPr>
        <w:t>投资人实际可得份额=100,000+10=100,010份</w:t>
      </w:r>
    </w:p>
    <w:p w14:paraId="2F736813">
      <w:pPr>
        <w:adjustRightInd w:val="0"/>
        <w:snapToGrid w:val="0"/>
        <w:spacing w:line="360" w:lineRule="auto"/>
        <w:ind w:left="0" w:firstLine="420" w:firstLineChars="200"/>
        <w:rPr>
          <w:rFonts w:hint="eastAsia" w:ascii="Times New Roman" w:hAnsi="Times New Roman" w:eastAsia="宋体" w:cs="Times New Roman"/>
          <w:highlight w:val="none"/>
        </w:rPr>
      </w:pPr>
      <w:r>
        <w:rPr>
          <w:rFonts w:hint="eastAsia" w:ascii="Times New Roman" w:hAnsi="Times New Roman" w:eastAsia="宋体" w:cs="Times New Roman"/>
          <w:highlight w:val="none"/>
        </w:rPr>
        <w:t>即，投资人需准备100,000元资金方可认购到100,000份本基金基金份额，假设利息10元，则其最终实际所得的基金份额为100,010份。</w:t>
      </w:r>
    </w:p>
    <w:p w14:paraId="74447E9E">
      <w:pPr>
        <w:adjustRightInd w:val="0"/>
        <w:snapToGrid w:val="0"/>
        <w:spacing w:line="360" w:lineRule="auto"/>
        <w:ind w:firstLine="420" w:firstLineChars="200"/>
        <w:rPr>
          <w:rFonts w:ascii="宋体" w:hAnsi="宋体" w:cs="Arial"/>
          <w:kern w:val="3"/>
          <w:highlight w:val="none"/>
        </w:rPr>
      </w:pPr>
      <w:r>
        <w:rPr>
          <w:rFonts w:hint="eastAsia" w:ascii="Times New Roman" w:hAnsi="Times New Roman" w:eastAsia="宋体" w:cs="Times New Roman"/>
          <w:highlight w:val="none"/>
        </w:rPr>
        <w:t>2）通过发售代理机构进行网下现金认购的认购金额的计算同通过发售代理机构进行网上现金认购的认购金额的计算。</w:t>
      </w:r>
    </w:p>
    <w:p w14:paraId="7A3218FD">
      <w:pPr>
        <w:pStyle w:val="8"/>
        <w:spacing w:before="0" w:beforeAutospacing="0" w:after="0" w:afterAutospacing="0" w:line="360" w:lineRule="auto"/>
        <w:ind w:firstLine="420"/>
        <w:rPr>
          <w:rStyle w:val="12"/>
          <w:rFonts w:ascii="Times New Roman" w:hAnsi="Times New Roman" w:cs="Times New Roman"/>
          <w:sz w:val="21"/>
          <w:szCs w:val="21"/>
          <w:highlight w:val="none"/>
        </w:rPr>
      </w:pPr>
      <w:r>
        <w:rPr>
          <w:rStyle w:val="12"/>
          <w:rFonts w:ascii="Times New Roman" w:hAnsi="Times New Roman" w:cs="Times New Roman"/>
          <w:sz w:val="21"/>
          <w:szCs w:val="21"/>
          <w:highlight w:val="none"/>
        </w:rPr>
        <w:t>（九）募集规模上限及控制方案</w:t>
      </w:r>
    </w:p>
    <w:p w14:paraId="6975BB4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本基金募集规模上限为</w:t>
      </w:r>
      <w:r>
        <w:rPr>
          <w:rFonts w:hint="eastAsia" w:ascii="Times New Roman" w:hAnsi="Times New Roman" w:eastAsia="宋体" w:cs="Times New Roman"/>
          <w:szCs w:val="21"/>
          <w:highlight w:val="none"/>
          <w:lang w:val="en-US" w:eastAsia="zh-CN"/>
        </w:rPr>
        <w:t>20亿</w:t>
      </w:r>
      <w:r>
        <w:rPr>
          <w:rFonts w:hint="eastAsia" w:ascii="Times New Roman" w:hAnsi="Times New Roman" w:eastAsia="宋体" w:cs="Times New Roman"/>
          <w:szCs w:val="21"/>
          <w:highlight w:val="none"/>
        </w:rPr>
        <w:t>元人民币（不包括募集期利息和认购费用）。</w:t>
      </w:r>
    </w:p>
    <w:p w14:paraId="06F95FD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在募集期结束后，有效认购申请认购份额总额不超过</w:t>
      </w:r>
      <w:r>
        <w:rPr>
          <w:rFonts w:hint="eastAsia" w:ascii="Times New Roman" w:hAnsi="Times New Roman" w:eastAsia="宋体" w:cs="Times New Roman"/>
          <w:szCs w:val="21"/>
          <w:highlight w:val="none"/>
          <w:lang w:val="en-US" w:eastAsia="zh-CN"/>
        </w:rPr>
        <w:t>20亿</w:t>
      </w:r>
      <w:r>
        <w:rPr>
          <w:rFonts w:hint="eastAsia" w:ascii="Times New Roman" w:hAnsi="Times New Roman" w:eastAsia="宋体" w:cs="Times New Roman"/>
          <w:szCs w:val="21"/>
          <w:highlight w:val="none"/>
        </w:rPr>
        <w:t>份（折合为金额</w:t>
      </w:r>
      <w:r>
        <w:rPr>
          <w:rFonts w:hint="eastAsia" w:ascii="Times New Roman" w:hAnsi="Times New Roman" w:eastAsia="宋体" w:cs="Times New Roman"/>
          <w:szCs w:val="21"/>
          <w:highlight w:val="none"/>
          <w:lang w:val="en-US" w:eastAsia="zh-CN"/>
        </w:rPr>
        <w:t>20亿</w:t>
      </w:r>
      <w:r>
        <w:rPr>
          <w:rFonts w:hint="eastAsia" w:ascii="Times New Roman" w:hAnsi="Times New Roman" w:eastAsia="宋体" w:cs="Times New Roman"/>
          <w:szCs w:val="21"/>
          <w:highlight w:val="none"/>
        </w:rPr>
        <w:t>元人民币），基金管理人将对所有的有效认购申请全部予以确认。若募集期结束后，有效认购申请份额总额超过</w:t>
      </w:r>
      <w:r>
        <w:rPr>
          <w:rFonts w:hint="eastAsia" w:ascii="Times New Roman" w:hAnsi="Times New Roman" w:eastAsia="宋体" w:cs="Times New Roman"/>
          <w:szCs w:val="21"/>
          <w:highlight w:val="none"/>
          <w:lang w:val="en-US" w:eastAsia="zh-CN"/>
        </w:rPr>
        <w:t>20亿</w:t>
      </w:r>
      <w:r>
        <w:rPr>
          <w:rFonts w:hint="eastAsia" w:ascii="Times New Roman" w:hAnsi="Times New Roman" w:eastAsia="宋体" w:cs="Times New Roman"/>
          <w:szCs w:val="21"/>
          <w:highlight w:val="none"/>
        </w:rPr>
        <w:t>份，基金管理人将采取“末日比例确认”的方式实现规模的有效控制。</w:t>
      </w:r>
    </w:p>
    <w:p w14:paraId="2327428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Times New Roman" w:hAnsi="Times New Roman" w:eastAsia="宋体" w:cs="Times New Roman"/>
          <w:szCs w:val="21"/>
          <w:highlight w:val="none"/>
        </w:rPr>
        <w:sectPr>
          <w:pgSz w:w="11906" w:h="16838"/>
          <w:pgMar w:top="1440" w:right="1803" w:bottom="1440" w:left="1803" w:header="851" w:footer="992" w:gutter="0"/>
          <w:pgNumType w:fmt="decimal"/>
          <w:cols w:space="425" w:num="1"/>
          <w:docGrid w:type="lines" w:linePitch="312" w:charSpace="0"/>
        </w:sectPr>
      </w:pPr>
      <w:r>
        <w:rPr>
          <w:rFonts w:hint="eastAsia" w:ascii="Times New Roman" w:hAnsi="Times New Roman" w:eastAsia="宋体" w:cs="Times New Roman"/>
          <w:szCs w:val="21"/>
          <w:highlight w:val="none"/>
        </w:rPr>
        <w:t>当发生末日比例确认时，基金管理人将及时公告比例确认情况与结果，未确认部分的认购款项将在募集期结束后依法退还给投资者，由此产生的损失由投资者自行承担。当发生末日比例确认时，认购申请确认份额不受募集最低限额的限制，将按照认购申请确认比例对每笔有效认购申请份额进行部分确认处理，因对每笔认购明细处理的精度等原因，最终确认的本基金累计有效认购份额（不包括募集期利息和认购费用）可能会略微超过</w:t>
      </w:r>
      <w:r>
        <w:rPr>
          <w:rFonts w:hint="eastAsia" w:ascii="Times New Roman" w:hAnsi="Times New Roman" w:eastAsia="宋体" w:cs="Times New Roman"/>
          <w:szCs w:val="21"/>
          <w:highlight w:val="none"/>
          <w:lang w:val="en-US" w:eastAsia="zh-CN"/>
        </w:rPr>
        <w:t>20亿</w:t>
      </w:r>
      <w:r>
        <w:rPr>
          <w:rFonts w:hint="eastAsia" w:ascii="Times New Roman" w:hAnsi="Times New Roman" w:eastAsia="宋体" w:cs="Times New Roman"/>
          <w:szCs w:val="21"/>
          <w:highlight w:val="none"/>
        </w:rPr>
        <w:t>份。最终认购申请确认结果以本基金登记机构的计算并确认的结果为准。另请投资者注意，因采用末日比例确认的认购确认方式，将导致募集期内投资者认购确认份额低于认购申请份额，可能会出现认购确认份额对应的认购费率高于认购申请份额对应的认购费率的情形。</w:t>
      </w:r>
    </w:p>
    <w:p w14:paraId="07B50678">
      <w:pPr>
        <w:pStyle w:val="2"/>
        <w:ind w:firstLine="3012" w:firstLineChars="1000"/>
        <w:rPr>
          <w:rFonts w:ascii="宋体" w:hAnsi="宋体" w:eastAsia="宋体"/>
          <w:sz w:val="30"/>
          <w:highlight w:val="none"/>
        </w:rPr>
      </w:pPr>
      <w:bookmarkStart w:id="18" w:name="chapter_level1_3_51481"/>
      <w:bookmarkStart w:id="19" w:name="_Toc97130351"/>
      <w:r>
        <w:rPr>
          <w:rFonts w:hint="eastAsia" w:ascii="宋体" w:hAnsi="宋体" w:eastAsia="宋体"/>
          <w:sz w:val="30"/>
          <w:highlight w:val="none"/>
        </w:rPr>
        <w:t>二、投资者开户</w:t>
      </w:r>
      <w:bookmarkEnd w:id="18"/>
      <w:bookmarkEnd w:id="19"/>
    </w:p>
    <w:p w14:paraId="545E9DA9">
      <w:pPr>
        <w:snapToGrid w:val="0"/>
        <w:spacing w:line="360" w:lineRule="auto"/>
        <w:ind w:firstLine="420" w:firstLineChars="200"/>
        <w:rPr>
          <w:rFonts w:hint="eastAsia" w:ascii="Times New Roman" w:hAnsi="Times New Roman" w:eastAsia="宋体" w:cs="Times New Roman"/>
          <w:kern w:val="0"/>
          <w:szCs w:val="21"/>
          <w:highlight w:val="none"/>
        </w:rPr>
      </w:pPr>
      <w:bookmarkStart w:id="20" w:name="chapter_level1_3_51481_section_1"/>
      <w:bookmarkEnd w:id="20"/>
      <w:r>
        <w:rPr>
          <w:rFonts w:hint="eastAsia" w:ascii="Times New Roman" w:hAnsi="Times New Roman" w:eastAsia="宋体" w:cs="Times New Roman"/>
          <w:kern w:val="0"/>
          <w:szCs w:val="21"/>
          <w:highlight w:val="none"/>
        </w:rPr>
        <w:t>投资人认购本基金时需具有深圳证券交易所A股账户或证券投资基金账户（以下统称“深圳证券账户”）。</w:t>
      </w:r>
    </w:p>
    <w:p w14:paraId="7EE7B5BB">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已有深圳证券交易所A股账户或证券投资基金账户的投资人不必再办理开户手续。</w:t>
      </w:r>
    </w:p>
    <w:p w14:paraId="1E2B24B4">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21EEF7CF">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如投资人需新开立证券账户，则应注意：</w:t>
      </w:r>
    </w:p>
    <w:p w14:paraId="3E19F240">
      <w:pPr>
        <w:snapToGrid w:val="0"/>
        <w:spacing w:line="360" w:lineRule="auto"/>
        <w:ind w:firstLine="420" w:firstLineChars="200"/>
        <w:rPr>
          <w:rFonts w:hint="eastAsia" w:ascii="Times New Roman" w:hAnsi="Times New Roman" w:eastAsia="宋体" w:cs="Times New Roman"/>
          <w:kern w:val="0"/>
          <w:szCs w:val="21"/>
          <w:highlight w:val="none"/>
          <w:lang w:eastAsia="zh-CN"/>
        </w:rPr>
      </w:pPr>
      <w:r>
        <w:rPr>
          <w:rFonts w:hint="eastAsia" w:ascii="Times New Roman" w:hAnsi="Times New Roman" w:eastAsia="宋体" w:cs="Times New Roman"/>
          <w:kern w:val="0"/>
          <w:szCs w:val="21"/>
          <w:highlight w:val="none"/>
        </w:rPr>
        <w:t>①深圳证券交易所证券投资基金账户只能进行基金份额的现金认购和二级市场交易，如投资人需要使用</w:t>
      </w:r>
      <w:r>
        <w:rPr>
          <w:rFonts w:hint="eastAsia" w:ascii="Times New Roman" w:hAnsi="Times New Roman" w:eastAsia="宋体" w:cs="Times New Roman"/>
          <w:kern w:val="0"/>
          <w:szCs w:val="21"/>
          <w:highlight w:val="none"/>
          <w:lang w:eastAsia="zh-CN"/>
        </w:rPr>
        <w:t>中证细分化工产业主题</w:t>
      </w:r>
      <w:r>
        <w:rPr>
          <w:rFonts w:hint="eastAsia" w:ascii="Times New Roman" w:hAnsi="Times New Roman" w:eastAsia="宋体" w:cs="Times New Roman"/>
          <w:kern w:val="0"/>
          <w:szCs w:val="21"/>
          <w:highlight w:val="none"/>
          <w:lang w:val="en-US" w:eastAsia="zh-CN"/>
        </w:rPr>
        <w:t>指数</w:t>
      </w:r>
      <w:r>
        <w:rPr>
          <w:rFonts w:hint="eastAsia" w:ascii="Times New Roman" w:hAnsi="Times New Roman" w:eastAsia="宋体" w:cs="Times New Roman"/>
          <w:kern w:val="0"/>
          <w:szCs w:val="21"/>
          <w:highlight w:val="none"/>
        </w:rPr>
        <w:t>成份股中的深圳证券交易所上市股票参与基金份额的申购、赎回，则应开立深圳证券交易所A股账户</w:t>
      </w:r>
      <w:r>
        <w:rPr>
          <w:rFonts w:hint="eastAsia" w:ascii="Times New Roman" w:hAnsi="Times New Roman" w:eastAsia="宋体" w:cs="Times New Roman"/>
          <w:kern w:val="0"/>
          <w:szCs w:val="21"/>
          <w:highlight w:val="none"/>
          <w:lang w:eastAsia="zh-CN"/>
        </w:rPr>
        <w:t>。</w:t>
      </w:r>
    </w:p>
    <w:p w14:paraId="21D44A70">
      <w:pPr>
        <w:snapToGrid w:val="0"/>
        <w:spacing w:line="360" w:lineRule="auto"/>
        <w:ind w:firstLine="420" w:firstLineChars="200"/>
        <w:rPr>
          <w:rFonts w:hint="eastAsia" w:ascii="Times New Roman" w:hAnsi="Times New Roman" w:eastAsia="宋体" w:cs="Times New Roman"/>
          <w:kern w:val="0"/>
          <w:szCs w:val="21"/>
          <w:highlight w:val="none"/>
        </w:rPr>
      </w:pPr>
      <w:r>
        <w:rPr>
          <w:rFonts w:hint="eastAsia" w:ascii="Times New Roman" w:hAnsi="Times New Roman" w:eastAsia="宋体" w:cs="Times New Roman"/>
          <w:kern w:val="0"/>
          <w:szCs w:val="21"/>
          <w:highlight w:val="none"/>
        </w:rPr>
        <w:t>②如投资人需要通过申购赎回代理券商参与本基金的申购、赎回，应同时持有并使用深圳证券交易所A股账户与上海证券交易所A股账户。</w:t>
      </w:r>
    </w:p>
    <w:p w14:paraId="573E2CCF">
      <w:pPr>
        <w:snapToGrid w:val="0"/>
        <w:spacing w:line="360" w:lineRule="auto"/>
        <w:ind w:firstLine="420" w:firstLineChars="200"/>
        <w:rPr>
          <w:rFonts w:ascii="Times New Roman" w:hAnsi="Times New Roman" w:eastAsia="宋体" w:cs="Times New Roman"/>
          <w:kern w:val="3"/>
          <w:highlight w:val="none"/>
        </w:rPr>
        <w:sectPr>
          <w:pgSz w:w="11906" w:h="16838"/>
          <w:pgMar w:top="1440" w:right="1803" w:bottom="1440" w:left="1803" w:header="851" w:footer="992" w:gutter="0"/>
          <w:pgNumType w:fmt="decimal"/>
          <w:cols w:space="425" w:num="1"/>
          <w:docGrid w:type="lines" w:linePitch="312" w:charSpace="0"/>
        </w:sectPr>
      </w:pPr>
      <w:r>
        <w:rPr>
          <w:rFonts w:hint="eastAsia" w:ascii="Times New Roman" w:hAnsi="Times New Roman" w:eastAsia="宋体" w:cs="Times New Roman"/>
          <w:kern w:val="0"/>
          <w:szCs w:val="21"/>
          <w:highlight w:val="none"/>
        </w:rPr>
        <w:t>③如投资人同时使用深圳证券交易所A股账户与上海证券交易所A股账户，该两个账户的证件号码及名称属于同一投资人所有，并注意投资人用以申购、赎回的深圳证券交易所股票的托管证券公司和上海证券交易所A股账户的指定交易证券公司应为同一申购赎回代理券商，否则无法办理本基金的申购和赎回。</w:t>
      </w:r>
    </w:p>
    <w:p w14:paraId="2A6938FC">
      <w:pPr>
        <w:pStyle w:val="2"/>
        <w:jc w:val="center"/>
        <w:rPr>
          <w:rFonts w:ascii="宋体" w:hAnsi="宋体" w:eastAsia="宋体"/>
          <w:sz w:val="30"/>
          <w:highlight w:val="none"/>
        </w:rPr>
      </w:pPr>
      <w:bookmarkStart w:id="21" w:name="chapter_level1_4_51482"/>
      <w:bookmarkStart w:id="22" w:name="_Toc97130352"/>
      <w:r>
        <w:rPr>
          <w:rFonts w:hint="eastAsia" w:ascii="宋体" w:hAnsi="宋体" w:eastAsia="宋体"/>
          <w:sz w:val="30"/>
          <w:highlight w:val="none"/>
        </w:rPr>
        <w:t>三、网上现金认购的程序</w:t>
      </w:r>
      <w:bookmarkEnd w:id="21"/>
      <w:bookmarkEnd w:id="22"/>
    </w:p>
    <w:p w14:paraId="06E154C5">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23" w:name="chapter_level1_4_51482_section_1"/>
      <w:bookmarkEnd w:id="23"/>
      <w:r>
        <w:rPr>
          <w:rFonts w:ascii="Times New Roman" w:hAnsi="Times New Roman" w:cs="Times New Roman"/>
          <w:sz w:val="21"/>
          <w:szCs w:val="21"/>
          <w:highlight w:val="none"/>
        </w:rPr>
        <w:t>1、业务办理时间：</w:t>
      </w:r>
      <w:r>
        <w:rPr>
          <w:rFonts w:hint="eastAsia" w:ascii="Times New Roman" w:hAnsi="Times New Roman" w:cs="Times New Roman"/>
          <w:sz w:val="21"/>
          <w:szCs w:val="21"/>
          <w:highlight w:val="none"/>
          <w:lang w:eastAsia="zh-CN"/>
        </w:rPr>
        <w:t>2026年7月1</w:t>
      </w:r>
      <w:r>
        <w:rPr>
          <w:rFonts w:hint="eastAsia" w:ascii="Times New Roman" w:hAnsi="Times New Roman" w:cs="Times New Roman"/>
          <w:sz w:val="21"/>
          <w:szCs w:val="21"/>
          <w:highlight w:val="none"/>
          <w:lang w:val="en-US" w:eastAsia="zh-CN"/>
        </w:rPr>
        <w:t>3</w:t>
      </w:r>
      <w:r>
        <w:rPr>
          <w:rFonts w:hint="eastAsia" w:ascii="Times New Roman" w:hAnsi="Times New Roman" w:cs="Times New Roman"/>
          <w:sz w:val="21"/>
          <w:szCs w:val="21"/>
          <w:highlight w:val="none"/>
          <w:lang w:eastAsia="zh-CN"/>
        </w:rPr>
        <w:t>日起至2026年7月</w:t>
      </w:r>
      <w:r>
        <w:rPr>
          <w:rFonts w:hint="eastAsia" w:ascii="Times New Roman" w:hAnsi="Times New Roman" w:cs="Times New Roman"/>
          <w:sz w:val="21"/>
          <w:szCs w:val="21"/>
          <w:highlight w:val="none"/>
          <w:lang w:val="en-US" w:eastAsia="zh-CN"/>
        </w:rPr>
        <w:t>24</w:t>
      </w:r>
      <w:r>
        <w:rPr>
          <w:rFonts w:hint="eastAsia" w:ascii="Times New Roman" w:hAnsi="Times New Roman" w:cs="Times New Roman"/>
          <w:sz w:val="21"/>
          <w:szCs w:val="21"/>
          <w:highlight w:val="none"/>
          <w:lang w:eastAsia="zh-CN"/>
        </w:rPr>
        <w:t>日</w:t>
      </w:r>
      <w:r>
        <w:rPr>
          <w:rFonts w:ascii="Times New Roman" w:hAnsi="Times New Roman" w:cs="Times New Roman"/>
          <w:sz w:val="21"/>
          <w:szCs w:val="21"/>
          <w:highlight w:val="none"/>
        </w:rPr>
        <w:t xml:space="preserve">上午9:30-11:30和下午13:00-15:00（周六、周日及法定节假日不受理）。 </w:t>
      </w:r>
    </w:p>
    <w:p w14:paraId="2795450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2、认购限额：网上现金认购以基金份额申请。单一账户每笔认购份额须为1000份或其整数倍。投资人可多次认购，累计认购份额不设上限。</w:t>
      </w:r>
    </w:p>
    <w:p w14:paraId="364343F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3、认购手续：投资人在认购本基金时，需按发售代理机构的规定，备足认购资金，办理认购手续。投资者可多次申报，不可撤单，一经</w:t>
      </w:r>
      <w:r>
        <w:rPr>
          <w:rFonts w:hint="eastAsia" w:ascii="Times New Roman" w:hAnsi="Times New Roman" w:cs="Times New Roman"/>
          <w:sz w:val="21"/>
          <w:szCs w:val="21"/>
          <w:highlight w:val="none"/>
          <w:lang w:val="en-US" w:eastAsia="zh-CN"/>
        </w:rPr>
        <w:t>申报</w:t>
      </w:r>
      <w:r>
        <w:rPr>
          <w:rFonts w:ascii="Times New Roman" w:hAnsi="Times New Roman" w:cs="Times New Roman"/>
          <w:sz w:val="21"/>
          <w:szCs w:val="21"/>
          <w:highlight w:val="none"/>
        </w:rPr>
        <w:t>，认购资金即被冻结。</w:t>
      </w:r>
    </w:p>
    <w:p w14:paraId="77A172A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（1）开立深圳证券交易所A股账户或基金账户，办理指定交易在发售代理机构。 </w:t>
      </w:r>
    </w:p>
    <w:p w14:paraId="42C0919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（2）在认购前向资金账户中存入足够的认购资金。 </w:t>
      </w:r>
    </w:p>
    <w:p w14:paraId="5DE9E310">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（3）投资者可通过填写认购委托单、电话委托、磁卡委托、网上委托等方式申报认购委托，可多次申报，</w:t>
      </w:r>
      <w:r>
        <w:rPr>
          <w:rFonts w:hint="eastAsia" w:ascii="Times New Roman" w:hAnsi="Times New Roman" w:cs="Times New Roman"/>
          <w:sz w:val="21"/>
          <w:szCs w:val="21"/>
          <w:highlight w:val="none"/>
          <w:lang w:val="en-US" w:eastAsia="zh-CN"/>
        </w:rPr>
        <w:t>一经申报</w:t>
      </w:r>
      <w:r>
        <w:rPr>
          <w:rFonts w:ascii="Times New Roman" w:hAnsi="Times New Roman" w:cs="Times New Roman"/>
          <w:sz w:val="21"/>
          <w:szCs w:val="21"/>
          <w:highlight w:val="none"/>
        </w:rPr>
        <w:t xml:space="preserve">，认购资金即被冻结。 </w:t>
      </w:r>
    </w:p>
    <w:p w14:paraId="3F6A9BBD">
      <w:pPr>
        <w:pStyle w:val="8"/>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pgNumType w:fmt="decimal"/>
          <w:cols w:space="425" w:num="1"/>
          <w:docGrid w:type="lines" w:linePitch="312" w:charSpace="0"/>
        </w:sectPr>
      </w:pPr>
      <w:bookmarkStart w:id="24" w:name="chapter_level1_4_51482_section_1_end"/>
      <w:bookmarkEnd w:id="24"/>
      <w:r>
        <w:rPr>
          <w:rFonts w:ascii="Times New Roman" w:hAnsi="Times New Roman" w:cs="Times New Roman"/>
          <w:sz w:val="21"/>
          <w:szCs w:val="21"/>
          <w:highlight w:val="none"/>
        </w:rPr>
        <w:t>具体时间和认购手续以深圳证券交易所和发售代理机构的相关规则为准。</w:t>
      </w:r>
      <w:r>
        <w:rPr>
          <w:rFonts w:hint="eastAsia"/>
          <w:sz w:val="21"/>
          <w:szCs w:val="21"/>
          <w:highlight w:val="none"/>
        </w:rPr>
        <w:t xml:space="preserve"> </w:t>
      </w:r>
    </w:p>
    <w:p w14:paraId="59216727">
      <w:pPr>
        <w:pStyle w:val="2"/>
        <w:jc w:val="center"/>
        <w:rPr>
          <w:rFonts w:ascii="宋体" w:hAnsi="宋体" w:eastAsia="宋体"/>
          <w:sz w:val="30"/>
          <w:highlight w:val="none"/>
        </w:rPr>
      </w:pPr>
      <w:bookmarkStart w:id="25" w:name="_Toc97130353"/>
      <w:bookmarkStart w:id="26" w:name="chapter_level1_5_51483"/>
      <w:r>
        <w:rPr>
          <w:rFonts w:hint="eastAsia" w:ascii="宋体" w:hAnsi="宋体" w:eastAsia="宋体"/>
          <w:sz w:val="30"/>
          <w:highlight w:val="none"/>
        </w:rPr>
        <w:t>四、网下现金认购的程序</w:t>
      </w:r>
      <w:bookmarkEnd w:id="25"/>
      <w:bookmarkEnd w:id="26"/>
    </w:p>
    <w:p w14:paraId="3E1A7BC5">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27" w:name="chapter_level1_5_51483_section_1"/>
      <w:bookmarkEnd w:id="27"/>
      <w:r>
        <w:rPr>
          <w:rFonts w:ascii="Times New Roman" w:hAnsi="Times New Roman" w:cs="Times New Roman"/>
          <w:sz w:val="21"/>
          <w:szCs w:val="21"/>
          <w:highlight w:val="none"/>
        </w:rPr>
        <w:t xml:space="preserve">（一）直销机构 </w:t>
      </w:r>
    </w:p>
    <w:p w14:paraId="392B638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1、业务办理时间：</w:t>
      </w:r>
      <w:r>
        <w:rPr>
          <w:rFonts w:hint="eastAsia" w:ascii="Times New Roman" w:hAnsi="Times New Roman" w:cs="Times New Roman"/>
          <w:sz w:val="21"/>
          <w:szCs w:val="21"/>
          <w:highlight w:val="none"/>
          <w:lang w:eastAsia="zh-CN"/>
        </w:rPr>
        <w:t>2026年7月1</w:t>
      </w:r>
      <w:r>
        <w:rPr>
          <w:rFonts w:hint="eastAsia" w:ascii="Times New Roman" w:hAnsi="Times New Roman" w:cs="Times New Roman"/>
          <w:sz w:val="21"/>
          <w:szCs w:val="21"/>
          <w:highlight w:val="none"/>
          <w:lang w:val="en-US" w:eastAsia="zh-CN"/>
        </w:rPr>
        <w:t>3</w:t>
      </w:r>
      <w:r>
        <w:rPr>
          <w:rFonts w:hint="eastAsia" w:ascii="Times New Roman" w:hAnsi="Times New Roman" w:cs="Times New Roman"/>
          <w:sz w:val="21"/>
          <w:szCs w:val="21"/>
          <w:highlight w:val="none"/>
          <w:lang w:eastAsia="zh-CN"/>
        </w:rPr>
        <w:t>日起至2026年7月</w:t>
      </w:r>
      <w:r>
        <w:rPr>
          <w:rFonts w:hint="eastAsia" w:ascii="Times New Roman" w:hAnsi="Times New Roman" w:cs="Times New Roman"/>
          <w:sz w:val="21"/>
          <w:szCs w:val="21"/>
          <w:highlight w:val="none"/>
          <w:lang w:val="en-US" w:eastAsia="zh-CN"/>
        </w:rPr>
        <w:t>24</w:t>
      </w:r>
      <w:r>
        <w:rPr>
          <w:rFonts w:hint="eastAsia" w:ascii="Times New Roman" w:hAnsi="Times New Roman" w:cs="Times New Roman"/>
          <w:sz w:val="21"/>
          <w:szCs w:val="21"/>
          <w:highlight w:val="none"/>
          <w:lang w:eastAsia="zh-CN"/>
        </w:rPr>
        <w:t>日</w:t>
      </w:r>
      <w:r>
        <w:rPr>
          <w:rFonts w:ascii="Times New Roman" w:hAnsi="Times New Roman" w:cs="Times New Roman"/>
          <w:sz w:val="21"/>
          <w:szCs w:val="21"/>
          <w:highlight w:val="none"/>
        </w:rPr>
        <w:t xml:space="preserve">9：30-17：00（周六、周日及法定节假日不受理）。 </w:t>
      </w:r>
    </w:p>
    <w:p w14:paraId="18D9BE4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2、认购限额：网下现金认购以基金份额申请。投资人通过基金管理人办理网下现金认购的，每笔认购份额须在5万份以上（含5万份），投资人可多次认购，累计认购份额不设上限。</w:t>
      </w:r>
    </w:p>
    <w:p w14:paraId="1AD81BB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3、到直销网点提供下列资料办理基金的认购手续： </w:t>
      </w:r>
    </w:p>
    <w:p w14:paraId="16F95DA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投资人在认购本基金时，需按直销网点的规定，到直销网点办理相关认购手续，并备足认购资金。网下现金认购申请提交后不得撤销。</w:t>
      </w:r>
    </w:p>
    <w:p w14:paraId="6EAFC55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（1）个人投资者 </w:t>
      </w:r>
    </w:p>
    <w:p w14:paraId="09A3E66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1）填妥并签字或签章的《网下认购业务申请表》； </w:t>
      </w:r>
    </w:p>
    <w:p w14:paraId="2310CC0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2）投资者有效身份证件原件及签字复印件； </w:t>
      </w:r>
    </w:p>
    <w:p w14:paraId="17B31E3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3）深圳证券交易所A股账户卡或基金账户卡； </w:t>
      </w:r>
    </w:p>
    <w:p w14:paraId="28D9C60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4）加盖银行受理印章的汇款凭证复印件； </w:t>
      </w:r>
    </w:p>
    <w:p w14:paraId="50B89C4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5）提供法律法规要求的投资者适当性管理及反洗钱等相关信息；</w:t>
      </w:r>
    </w:p>
    <w:p w14:paraId="71149E3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6）公司要求提供的其他有关材料。 </w:t>
      </w:r>
    </w:p>
    <w:p w14:paraId="329C66F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（2）机构投资者 </w:t>
      </w:r>
    </w:p>
    <w:p w14:paraId="192C2F1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1）填妥并加盖单位公章及法定代表人章或交易预留印鉴的《网下认购业务申请表》； </w:t>
      </w:r>
    </w:p>
    <w:p w14:paraId="47D91EE2">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2）深圳证券交易所A股账户卡或基金账户卡； </w:t>
      </w:r>
    </w:p>
    <w:p w14:paraId="45CFE55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3）加盖公章和法定代表人章的基金业务授权委托书； </w:t>
      </w:r>
    </w:p>
    <w:p w14:paraId="1AFEACB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4）经办人有效身份证件复印件（复印件上需加盖公章）； </w:t>
      </w:r>
    </w:p>
    <w:p w14:paraId="301A287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5）加盖单位公章的营业执照复印件（未换发三证合一营业执照的需同时提供加盖单位公章的组织机构代码证和税务登记证复印件）； </w:t>
      </w:r>
    </w:p>
    <w:p w14:paraId="5953CBF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6）加盖银行受理印章的汇款凭证复印件； </w:t>
      </w:r>
    </w:p>
    <w:p w14:paraId="2655285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7）提供法律法规要求的投资者适当性管理及反洗钱等相关信息；</w:t>
      </w:r>
    </w:p>
    <w:p w14:paraId="59DA560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8）公司要求提供的其他有关材料。 </w:t>
      </w:r>
    </w:p>
    <w:p w14:paraId="58AC392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4、在认购期内，将足额认购资金汇入本公司指定的任一直销资金专户： </w:t>
      </w:r>
    </w:p>
    <w:p w14:paraId="70A8F99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（1）中国工商银行直销专户： </w:t>
      </w:r>
    </w:p>
    <w:p w14:paraId="0D3F234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账户名称：</w:t>
      </w:r>
      <w:bookmarkStart w:id="28" w:name="field_0_managerorgfullname_2"/>
      <w:r>
        <w:rPr>
          <w:rFonts w:ascii="Times New Roman" w:hAnsi="Times New Roman" w:cs="Times New Roman"/>
          <w:sz w:val="21"/>
          <w:szCs w:val="21"/>
          <w:highlight w:val="none"/>
        </w:rPr>
        <w:t>博时基金管理有限公司</w:t>
      </w:r>
      <w:bookmarkEnd w:id="28"/>
      <w:r>
        <w:rPr>
          <w:rFonts w:ascii="Times New Roman" w:hAnsi="Times New Roman" w:cs="Times New Roman"/>
          <w:sz w:val="21"/>
          <w:szCs w:val="21"/>
          <w:highlight w:val="none"/>
        </w:rPr>
        <w:t xml:space="preserve"> </w:t>
      </w:r>
    </w:p>
    <w:p w14:paraId="6314490A">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银行全称：中国工商银行股份有限公司北京国家文化与金融合作示范区金街支行 </w:t>
      </w:r>
    </w:p>
    <w:p w14:paraId="417E287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银行账号：0200000729027305830 </w:t>
      </w:r>
    </w:p>
    <w:p w14:paraId="7495AF3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人行同城交换号：1221 </w:t>
      </w:r>
    </w:p>
    <w:p w14:paraId="4F24A05E">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工行实时清算系统行号：20100042 </w:t>
      </w:r>
    </w:p>
    <w:p w14:paraId="77839F3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人行跨行支付系统号：102100000072 </w:t>
      </w:r>
    </w:p>
    <w:p w14:paraId="101AB500">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（2）中国建设银行直销专户： </w:t>
      </w:r>
    </w:p>
    <w:p w14:paraId="0112FE0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账户名称：</w:t>
      </w:r>
      <w:bookmarkStart w:id="29" w:name="field_0_managerorgfullname_3"/>
      <w:r>
        <w:rPr>
          <w:rFonts w:ascii="Times New Roman" w:hAnsi="Times New Roman" w:cs="Times New Roman"/>
          <w:sz w:val="21"/>
          <w:szCs w:val="21"/>
          <w:highlight w:val="none"/>
        </w:rPr>
        <w:t>博时基金管理有限公司</w:t>
      </w:r>
      <w:bookmarkEnd w:id="29"/>
      <w:r>
        <w:rPr>
          <w:rFonts w:ascii="Times New Roman" w:hAnsi="Times New Roman" w:cs="Times New Roman"/>
          <w:sz w:val="21"/>
          <w:szCs w:val="21"/>
          <w:highlight w:val="none"/>
        </w:rPr>
        <w:t xml:space="preserve"> </w:t>
      </w:r>
    </w:p>
    <w:p w14:paraId="09BFCBC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银行全称：中国建设银行北京地坛支行 </w:t>
      </w:r>
    </w:p>
    <w:p w14:paraId="4194109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银行账号：11001042900056000600 </w:t>
      </w:r>
    </w:p>
    <w:p w14:paraId="0C93828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同城交换号：429 </w:t>
      </w:r>
    </w:p>
    <w:p w14:paraId="398716A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联行行号：50190 </w:t>
      </w:r>
    </w:p>
    <w:p w14:paraId="48BA686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人行支付系统机构号：105100002037 </w:t>
      </w:r>
    </w:p>
    <w:p w14:paraId="3635DFC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（3）交通银行直销专户： </w:t>
      </w:r>
    </w:p>
    <w:p w14:paraId="5BF1AD1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账户名称：</w:t>
      </w:r>
      <w:bookmarkStart w:id="30" w:name="field_0_managerorgfullname_4"/>
      <w:r>
        <w:rPr>
          <w:rFonts w:ascii="Times New Roman" w:hAnsi="Times New Roman" w:cs="Times New Roman"/>
          <w:sz w:val="21"/>
          <w:szCs w:val="21"/>
          <w:highlight w:val="none"/>
        </w:rPr>
        <w:t>博时基金管理有限公司</w:t>
      </w:r>
      <w:bookmarkEnd w:id="30"/>
      <w:r>
        <w:rPr>
          <w:rFonts w:ascii="Times New Roman" w:hAnsi="Times New Roman" w:cs="Times New Roman"/>
          <w:sz w:val="21"/>
          <w:szCs w:val="21"/>
          <w:highlight w:val="none"/>
        </w:rPr>
        <w:t xml:space="preserve"> </w:t>
      </w:r>
    </w:p>
    <w:p w14:paraId="521F05C3">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银行全称：交通银行北京分行营业部 </w:t>
      </w:r>
    </w:p>
    <w:p w14:paraId="3800C58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银行账号：110060149018001401403</w:t>
      </w:r>
    </w:p>
    <w:p w14:paraId="0DCECB6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同城交换号：060149</w:t>
      </w:r>
    </w:p>
    <w:p w14:paraId="316991C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联行行号：61113</w:t>
      </w:r>
    </w:p>
    <w:p w14:paraId="4415072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人行支付系统机构号：301100000023</w:t>
      </w:r>
    </w:p>
    <w:p w14:paraId="78FB6261">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5、注意事项：</w:t>
      </w:r>
    </w:p>
    <w:p w14:paraId="619F0A7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（1）若投资人的认购资金在认购申请当日17：00之前未到本公司指定的直销资金专户，则认购申请无效。</w:t>
      </w:r>
    </w:p>
    <w:p w14:paraId="499EFF5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（2）办理汇款时，投资者必须仔细阅读《</w:t>
      </w:r>
      <w:bookmarkStart w:id="31" w:name="field_0_managerorgfullname_5"/>
      <w:r>
        <w:rPr>
          <w:rFonts w:ascii="Times New Roman" w:hAnsi="Times New Roman" w:cs="Times New Roman"/>
          <w:sz w:val="21"/>
          <w:szCs w:val="21"/>
          <w:highlight w:val="none"/>
        </w:rPr>
        <w:t>博时基金管理有限公司</w:t>
      </w:r>
      <w:bookmarkEnd w:id="31"/>
      <w:r>
        <w:rPr>
          <w:rFonts w:ascii="Times New Roman" w:hAnsi="Times New Roman" w:cs="Times New Roman"/>
          <w:sz w:val="21"/>
          <w:szCs w:val="21"/>
          <w:highlight w:val="none"/>
        </w:rPr>
        <w:t xml:space="preserve">关于直销个人投资者汇款购买基金的提示性公告》，并注意以下事项： </w:t>
      </w:r>
    </w:p>
    <w:p w14:paraId="15CDF808">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1）投资者必须使用其预留账户（投资者在本公司直销开立交易账户时登记的银行账户）办理汇款，如使用非预留账户、现金或其他无法及时识别投资者身份的方式汇款，则汇款资金无效； </w:t>
      </w:r>
    </w:p>
    <w:p w14:paraId="5C672B6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2）投资者应在汇款附言/用途/摘要/备注栏正确填写深圳证券账户信息，并预留有效的联系方式，便于发生资金异常时及时通知； </w:t>
      </w:r>
    </w:p>
    <w:p w14:paraId="4230A52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3）投资者应在每次使用预留账户汇款后于汇款当日17点前将汇款单传真至本公司汇款指定专用传真号码（010-65187032、010-65187592），并拨打电话（010-65187055）确认； </w:t>
      </w:r>
    </w:p>
    <w:p w14:paraId="3108C21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4）投资者采用汇款交易方式发生的银行转账手续费由投资者自行承担； </w:t>
      </w:r>
    </w:p>
    <w:p w14:paraId="363B089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5）投资者应足额汇款，认购申请当日下午17：00之前，若投资者的认购资金未全额到本公司指定直销专户，则认购申请无效。 </w:t>
      </w:r>
    </w:p>
    <w:p w14:paraId="57F420A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（二）发售代理机构 </w:t>
      </w:r>
    </w:p>
    <w:p w14:paraId="37D0D97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1、业务办理时间：</w:t>
      </w:r>
      <w:r>
        <w:rPr>
          <w:rFonts w:hint="eastAsia" w:ascii="Times New Roman" w:hAnsi="Times New Roman" w:cs="Times New Roman"/>
          <w:sz w:val="21"/>
          <w:szCs w:val="21"/>
          <w:highlight w:val="none"/>
          <w:lang w:eastAsia="zh-CN"/>
        </w:rPr>
        <w:t>2026年7月</w:t>
      </w:r>
      <w:r>
        <w:rPr>
          <w:rFonts w:hint="eastAsia" w:ascii="Times New Roman" w:hAnsi="Times New Roman" w:cs="Times New Roman"/>
          <w:sz w:val="21"/>
          <w:szCs w:val="21"/>
          <w:highlight w:val="none"/>
          <w:lang w:val="en-US" w:eastAsia="zh-CN"/>
        </w:rPr>
        <w:t>13</w:t>
      </w:r>
      <w:r>
        <w:rPr>
          <w:rFonts w:hint="eastAsia" w:ascii="Times New Roman" w:hAnsi="Times New Roman" w:cs="Times New Roman"/>
          <w:sz w:val="21"/>
          <w:szCs w:val="21"/>
          <w:highlight w:val="none"/>
          <w:lang w:eastAsia="zh-CN"/>
        </w:rPr>
        <w:t>日起至2026年7月</w:t>
      </w:r>
      <w:r>
        <w:rPr>
          <w:rFonts w:hint="eastAsia" w:ascii="Times New Roman" w:hAnsi="Times New Roman" w:cs="Times New Roman"/>
          <w:sz w:val="21"/>
          <w:szCs w:val="21"/>
          <w:highlight w:val="none"/>
          <w:lang w:val="en-US" w:eastAsia="zh-CN"/>
        </w:rPr>
        <w:t>24</w:t>
      </w:r>
      <w:r>
        <w:rPr>
          <w:rFonts w:hint="eastAsia" w:ascii="Times New Roman" w:hAnsi="Times New Roman" w:cs="Times New Roman"/>
          <w:sz w:val="21"/>
          <w:szCs w:val="21"/>
          <w:highlight w:val="none"/>
          <w:lang w:eastAsia="zh-CN"/>
        </w:rPr>
        <w:t>日</w:t>
      </w:r>
      <w:r>
        <w:rPr>
          <w:rFonts w:ascii="Times New Roman" w:hAnsi="Times New Roman" w:cs="Times New Roman"/>
          <w:sz w:val="21"/>
          <w:szCs w:val="21"/>
          <w:highlight w:val="none"/>
        </w:rPr>
        <w:t xml:space="preserve">9:30-17:00（周六、周日及法定节假日不受理），具体时间以各发售代理机构的规定为准。 </w:t>
      </w:r>
    </w:p>
    <w:p w14:paraId="456F22C6">
      <w:pPr>
        <w:adjustRightInd w:val="0"/>
        <w:snapToGrid w:val="0"/>
        <w:spacing w:line="360" w:lineRule="auto"/>
        <w:ind w:firstLine="420" w:firstLineChars="200"/>
        <w:rPr>
          <w:rFonts w:ascii="Times New Roman" w:hAnsi="Times New Roman" w:eastAsia="宋体" w:cs="Times New Roman"/>
          <w:kern w:val="0"/>
          <w:szCs w:val="21"/>
          <w:highlight w:val="none"/>
        </w:rPr>
      </w:pPr>
      <w:r>
        <w:rPr>
          <w:rFonts w:ascii="Times New Roman" w:hAnsi="Times New Roman" w:eastAsia="宋体" w:cs="Times New Roman"/>
          <w:kern w:val="0"/>
          <w:szCs w:val="21"/>
          <w:highlight w:val="none"/>
        </w:rPr>
        <w:t>2、认购限额：网下现金认购以基金份额申请。投资人通过发售代理机构办理网下现金认购，每笔认购份额须为1,000份或其整数倍，投资人可多次认购，累计认购份额不设上限。</w:t>
      </w:r>
    </w:p>
    <w:p w14:paraId="6CA92565">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3、认购手续： </w:t>
      </w:r>
    </w:p>
    <w:p w14:paraId="2F1747DC">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投资人在认购本基金时，需按销售机构的规定，到销售网点办理相关认购手续，并备足认购资金。网下现金认购申请提交后不得撤销。</w:t>
      </w:r>
    </w:p>
    <w:p w14:paraId="720107E4">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（1）开立深圳A股账户或证券投资基金账户； </w:t>
      </w:r>
    </w:p>
    <w:p w14:paraId="705A78D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（2）在认购前向资金账户中存入足够的认购资金； </w:t>
      </w:r>
    </w:p>
    <w:p w14:paraId="1C865068">
      <w:pPr>
        <w:pStyle w:val="8"/>
        <w:spacing w:before="0" w:beforeAutospacing="0" w:after="0" w:afterAutospacing="0" w:line="360" w:lineRule="auto"/>
        <w:ind w:firstLine="420"/>
        <w:jc w:val="both"/>
        <w:rPr>
          <w:sz w:val="21"/>
          <w:szCs w:val="21"/>
          <w:highlight w:val="none"/>
        </w:rPr>
        <w:sectPr>
          <w:pgSz w:w="11906" w:h="16838"/>
          <w:pgMar w:top="1440" w:right="1803" w:bottom="1440" w:left="1803" w:header="851" w:footer="992" w:gutter="0"/>
          <w:pgNumType w:fmt="decimal"/>
          <w:cols w:space="425" w:num="1"/>
          <w:docGrid w:type="lines" w:linePitch="312" w:charSpace="0"/>
        </w:sectPr>
      </w:pPr>
      <w:r>
        <w:rPr>
          <w:rFonts w:ascii="Times New Roman" w:hAnsi="Times New Roman" w:cs="Times New Roman"/>
          <w:sz w:val="21"/>
          <w:szCs w:val="21"/>
          <w:highlight w:val="none"/>
        </w:rPr>
        <w:t>（3）投资人填写认购委托单，同时填写委托该发售代理机构代为办理网上现金认购的</w:t>
      </w:r>
      <w:bookmarkStart w:id="32" w:name="chapter_level1_5_51483_section_1_end"/>
      <w:bookmarkEnd w:id="32"/>
      <w:r>
        <w:rPr>
          <w:rFonts w:ascii="Times New Roman" w:hAnsi="Times New Roman" w:cs="Times New Roman"/>
          <w:sz w:val="21"/>
          <w:szCs w:val="21"/>
          <w:highlight w:val="none"/>
        </w:rPr>
        <w:t>委托申请书。申报一经确认，认购资金即被冻结。</w:t>
      </w:r>
      <w:r>
        <w:rPr>
          <w:rFonts w:hint="eastAsia"/>
          <w:sz w:val="21"/>
          <w:szCs w:val="21"/>
          <w:highlight w:val="none"/>
        </w:rPr>
        <w:t xml:space="preserve"> </w:t>
      </w:r>
    </w:p>
    <w:p w14:paraId="445633E2">
      <w:pPr>
        <w:pStyle w:val="2"/>
        <w:jc w:val="center"/>
        <w:rPr>
          <w:rFonts w:ascii="宋体" w:hAnsi="宋体" w:eastAsia="宋体"/>
          <w:sz w:val="30"/>
          <w:highlight w:val="none"/>
        </w:rPr>
      </w:pPr>
      <w:bookmarkStart w:id="33" w:name="_Toc97130355"/>
      <w:bookmarkStart w:id="34" w:name="chapter_level1_7_51485"/>
      <w:r>
        <w:rPr>
          <w:rFonts w:hint="eastAsia" w:ascii="宋体" w:hAnsi="宋体" w:eastAsia="宋体"/>
          <w:sz w:val="30"/>
          <w:highlight w:val="none"/>
          <w:lang w:val="en-US" w:eastAsia="zh-CN"/>
        </w:rPr>
        <w:t>五</w:t>
      </w:r>
      <w:r>
        <w:rPr>
          <w:rFonts w:hint="eastAsia" w:ascii="宋体" w:hAnsi="宋体" w:eastAsia="宋体"/>
          <w:sz w:val="30"/>
          <w:highlight w:val="none"/>
        </w:rPr>
        <w:t>、清算与交割</w:t>
      </w:r>
      <w:bookmarkEnd w:id="33"/>
      <w:bookmarkEnd w:id="34"/>
    </w:p>
    <w:p w14:paraId="1AC66846">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35" w:name="chapter_level1_7_51485_section_1"/>
      <w:bookmarkEnd w:id="35"/>
      <w:r>
        <w:rPr>
          <w:rFonts w:ascii="Times New Roman" w:hAnsi="Times New Roman" w:cs="Times New Roman"/>
          <w:sz w:val="21"/>
          <w:szCs w:val="21"/>
          <w:highlight w:val="none"/>
        </w:rPr>
        <w:t xml:space="preserve">（一）清算交收 </w:t>
      </w:r>
    </w:p>
    <w:p w14:paraId="4264FA79">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1、网上现金认购：投资者提交的认购委托，由登记机构进行有效认购款项的清算交收。</w:t>
      </w:r>
    </w:p>
    <w:p w14:paraId="4ADA1B3F">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2、网下现金认购：通过基金管理人提交的网下现金认购申请，由基金管理人进行有效认购款项的清算交收。通过发售代理机构提交的网下现金认购申请，根据登记机构相关规定进行有效认购款项的清算交收。</w:t>
      </w:r>
    </w:p>
    <w:p w14:paraId="53B475F7">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（二）募集资金利息的处理方式 </w:t>
      </w:r>
    </w:p>
    <w:p w14:paraId="65302611">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网下现金认购及网上现金认购的有效认购资金在募集期间产生的利息将折算为基金份额归基金份额持有人所有。</w:t>
      </w:r>
    </w:p>
    <w:p w14:paraId="154954EB">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基金管理人应将基金募集期间募集的资金存入专门账户，上述资金基金募集行为结束前任何人不得动用。基金募集期间的信息披露费、会计师费、律师费以及其他费用，不得从基金财产中列支。</w:t>
      </w:r>
    </w:p>
    <w:p w14:paraId="5B583411">
      <w:pPr>
        <w:pStyle w:val="8"/>
        <w:spacing w:before="0" w:beforeAutospacing="0" w:after="0" w:afterAutospacing="0" w:line="360" w:lineRule="auto"/>
        <w:ind w:firstLine="420"/>
        <w:jc w:val="both"/>
        <w:rPr>
          <w:rFonts w:ascii="Times New Roman" w:hAnsi="Times New Roman" w:cs="Times New Roman"/>
          <w:sz w:val="21"/>
          <w:szCs w:val="21"/>
          <w:highlight w:val="none"/>
        </w:rPr>
        <w:sectPr>
          <w:pgSz w:w="11906" w:h="16838"/>
          <w:pgMar w:top="1440" w:right="1803" w:bottom="1440" w:left="1803" w:header="851" w:footer="992" w:gutter="0"/>
          <w:pgNumType w:fmt="decimal"/>
          <w:cols w:space="425" w:num="1"/>
          <w:docGrid w:type="lines" w:linePitch="312" w:charSpace="0"/>
        </w:sectPr>
      </w:pPr>
      <w:r>
        <w:rPr>
          <w:rFonts w:ascii="Times New Roman" w:hAnsi="Times New Roman" w:cs="Times New Roman"/>
          <w:sz w:val="21"/>
          <w:szCs w:val="21"/>
          <w:highlight w:val="none"/>
        </w:rPr>
        <w:t>（三）本基金权益登记由登记机构在发售结束后完成过户登记。</w:t>
      </w:r>
    </w:p>
    <w:p w14:paraId="05517B90">
      <w:pPr>
        <w:pStyle w:val="2"/>
        <w:jc w:val="center"/>
        <w:rPr>
          <w:rFonts w:ascii="宋体" w:hAnsi="宋体" w:eastAsia="宋体"/>
          <w:sz w:val="30"/>
          <w:highlight w:val="none"/>
        </w:rPr>
      </w:pPr>
      <w:bookmarkStart w:id="36" w:name="_Toc97130356"/>
      <w:bookmarkStart w:id="37" w:name="chapter_level1_8_51486"/>
      <w:r>
        <w:rPr>
          <w:rFonts w:hint="eastAsia" w:ascii="宋体" w:hAnsi="宋体" w:eastAsia="宋体"/>
          <w:sz w:val="30"/>
          <w:highlight w:val="none"/>
          <w:lang w:val="en-US" w:eastAsia="zh-CN"/>
        </w:rPr>
        <w:t>六</w:t>
      </w:r>
      <w:r>
        <w:rPr>
          <w:rFonts w:hint="eastAsia" w:ascii="宋体" w:hAnsi="宋体" w:eastAsia="宋体"/>
          <w:sz w:val="30"/>
          <w:highlight w:val="none"/>
        </w:rPr>
        <w:t>、基金的验资与基金合同生效</w:t>
      </w:r>
      <w:bookmarkEnd w:id="36"/>
      <w:bookmarkEnd w:id="37"/>
    </w:p>
    <w:p w14:paraId="15D18FE4">
      <w:pPr>
        <w:pStyle w:val="8"/>
        <w:spacing w:before="0" w:beforeAutospacing="0" w:after="0" w:afterAutospacing="0" w:line="360" w:lineRule="auto"/>
        <w:ind w:firstLine="420"/>
        <w:jc w:val="both"/>
        <w:rPr>
          <w:rFonts w:ascii="Times New Roman" w:hAnsi="Times New Roman" w:cs="Times New Roman"/>
          <w:sz w:val="21"/>
          <w:szCs w:val="21"/>
          <w:highlight w:val="none"/>
        </w:rPr>
      </w:pPr>
      <w:bookmarkStart w:id="38" w:name="chapter_level1_8_51486_section_1"/>
      <w:bookmarkEnd w:id="38"/>
      <w:r>
        <w:rPr>
          <w:rFonts w:ascii="Times New Roman" w:hAnsi="Times New Roman" w:cs="Times New Roman"/>
          <w:sz w:val="21"/>
          <w:szCs w:val="21"/>
          <w:highlight w:val="none"/>
        </w:rPr>
        <w:t xml:space="preserve">1、基金备案的条件 </w:t>
      </w:r>
    </w:p>
    <w:p w14:paraId="2D39552D">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 日内聘请法定验资机构验资，自收到验资报告之日起10日内，向中国证监会办理基金备案手续。</w:t>
      </w:r>
    </w:p>
    <w:p w14:paraId="0425ACC8">
      <w:pPr>
        <w:pStyle w:val="8"/>
        <w:spacing w:before="0" w:beforeAutospacing="0" w:after="0" w:afterAutospacing="0" w:line="360" w:lineRule="auto"/>
        <w:ind w:firstLine="420"/>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64AACAE6">
      <w:pPr>
        <w:pStyle w:val="8"/>
        <w:spacing w:before="0" w:beforeAutospacing="0" w:after="0" w:afterAutospacing="0" w:line="360" w:lineRule="auto"/>
        <w:ind w:firstLine="420"/>
        <w:jc w:val="both"/>
        <w:rPr>
          <w:rFonts w:ascii="Times New Roman" w:hAnsi="Times New Roman" w:cs="Times New Roman"/>
          <w:sz w:val="21"/>
          <w:szCs w:val="21"/>
          <w:highlight w:val="none"/>
        </w:rPr>
      </w:pPr>
      <w:r>
        <w:rPr>
          <w:rFonts w:ascii="Times New Roman" w:hAnsi="Times New Roman" w:cs="Times New Roman"/>
          <w:sz w:val="21"/>
          <w:szCs w:val="21"/>
          <w:highlight w:val="none"/>
        </w:rPr>
        <w:t xml:space="preserve">2、基金合同不能生效时募集资金的处理方式 </w:t>
      </w:r>
    </w:p>
    <w:p w14:paraId="67C43F4A">
      <w:pPr>
        <w:adjustRightInd w:val="0"/>
        <w:snapToGrid w:val="0"/>
        <w:spacing w:line="360" w:lineRule="auto"/>
        <w:ind w:firstLine="420" w:firstLineChars="20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如果募集期限届满，未满足基金备案条件，基金管理人应当承担下列责任：</w:t>
      </w:r>
    </w:p>
    <w:p w14:paraId="7848A789">
      <w:pPr>
        <w:adjustRightInd w:val="0"/>
        <w:snapToGrid w:val="0"/>
        <w:spacing w:line="360" w:lineRule="auto"/>
        <w:ind w:firstLine="420" w:firstLineChars="200"/>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lang w:val="en-US" w:eastAsia="zh-CN"/>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以其固有财产承担因募集行为而产生的债务和费用；</w:t>
      </w:r>
    </w:p>
    <w:p w14:paraId="7EB2728E">
      <w:pPr>
        <w:adjustRightInd w:val="0"/>
        <w:snapToGrid w:val="0"/>
        <w:spacing w:line="360" w:lineRule="auto"/>
        <w:ind w:firstLine="420" w:firstLineChars="200"/>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lang w:val="en-US" w:eastAsia="zh-CN"/>
          <w14:textFill>
            <w14:solidFill>
              <w14:schemeClr w14:val="tx1">
                <w14:lumMod w14:val="95000"/>
                <w14:lumOff w14:val="5000"/>
              </w14:schemeClr>
            </w14:solidFill>
          </w14:textFill>
        </w:rPr>
        <w:t>2</w:t>
      </w: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在基金募集期限届满后30日内返还投资者已交纳的款项，并加计银行同期活期存款利息；</w:t>
      </w:r>
    </w:p>
    <w:p w14:paraId="63C19157">
      <w:pPr>
        <w:adjustRightInd w:val="0"/>
        <w:snapToGrid w:val="0"/>
        <w:spacing w:line="360" w:lineRule="auto"/>
        <w:ind w:firstLine="420" w:firstLineChars="200"/>
        <w:rPr>
          <w:rFonts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pP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lang w:val="en-US" w:eastAsia="zh-CN"/>
          <w14:textFill>
            <w14:solidFill>
              <w14:schemeClr w14:val="tx1">
                <w14:lumMod w14:val="95000"/>
                <w14:lumOff w14:val="5000"/>
              </w14:schemeClr>
            </w14:solidFill>
          </w14:textFill>
        </w:rPr>
        <w:t>3</w:t>
      </w:r>
      <w:r>
        <w:rPr>
          <w:rFonts w:hint="eastAsia" w:ascii="Times New Roman" w:hAnsi="Times New Roman" w:eastAsia="宋体" w:cs="Times New Roman"/>
          <w:color w:val="0D0D0D" w:themeColor="text1" w:themeTint="F2"/>
          <w:kern w:val="0"/>
          <w:highlight w:val="none"/>
          <w:lang w:eastAsia="zh-CN"/>
          <w14:textFill>
            <w14:solidFill>
              <w14:schemeClr w14:val="tx1">
                <w14:lumMod w14:val="95000"/>
                <w14:lumOff w14:val="5000"/>
              </w14:schemeClr>
            </w14:solidFill>
          </w14:textFill>
        </w:rPr>
        <w:t>）</w:t>
      </w:r>
      <w:r>
        <w:rPr>
          <w:rFonts w:hint="eastAsia" w:ascii="Times New Roman" w:hAnsi="Times New Roman" w:eastAsia="宋体" w:cs="Times New Roman"/>
          <w:color w:val="0D0D0D" w:themeColor="text1" w:themeTint="F2"/>
          <w:kern w:val="0"/>
          <w:highlight w:val="none"/>
          <w14:textFill>
            <w14:solidFill>
              <w14:schemeClr w14:val="tx1">
                <w14:lumMod w14:val="95000"/>
                <w14:lumOff w14:val="5000"/>
              </w14:schemeClr>
            </w14:solidFill>
          </w14:textFill>
        </w:rPr>
        <w:t>如基金募集失败，基金管理人、基金托管人及发售代理机构不得请求报酬。基金管理人、基金托管人和发售代理机构为基金募集支付之一切费用应由各方各自承担。</w:t>
      </w:r>
    </w:p>
    <w:p w14:paraId="38A36F05">
      <w:pPr>
        <w:numPr>
          <w:ilvl w:val="0"/>
          <w:numId w:val="0"/>
        </w:numPr>
        <w:adjustRightInd w:val="0"/>
        <w:snapToGrid w:val="0"/>
        <w:spacing w:line="360" w:lineRule="auto"/>
        <w:ind w:leftChars="0"/>
        <w:rPr>
          <w:rFonts w:asciiTheme="minorEastAsia" w:hAnsiTheme="minorEastAsia"/>
          <w:color w:val="0D0D0D" w:themeColor="text1" w:themeTint="F2"/>
          <w:kern w:val="0"/>
          <w:highlight w:val="none"/>
          <w14:textFill>
            <w14:solidFill>
              <w14:schemeClr w14:val="tx1">
                <w14:lumMod w14:val="95000"/>
                <w14:lumOff w14:val="5000"/>
              </w14:schemeClr>
            </w14:solidFill>
          </w14:textFill>
        </w:rPr>
        <w:sectPr>
          <w:pgSz w:w="11906" w:h="16838"/>
          <w:pgMar w:top="1440" w:right="1803" w:bottom="1440" w:left="1803" w:header="851" w:footer="992" w:gutter="0"/>
          <w:pgNumType w:fmt="decimal"/>
          <w:cols w:space="425" w:num="1"/>
          <w:docGrid w:type="lines" w:linePitch="312" w:charSpace="0"/>
        </w:sectPr>
      </w:pPr>
    </w:p>
    <w:p w14:paraId="115E53A7">
      <w:pPr>
        <w:pStyle w:val="2"/>
        <w:jc w:val="center"/>
        <w:rPr>
          <w:rFonts w:ascii="宋体" w:hAnsi="宋体" w:eastAsia="宋体"/>
          <w:sz w:val="30"/>
          <w:highlight w:val="none"/>
        </w:rPr>
      </w:pPr>
      <w:bookmarkStart w:id="39" w:name="chapter_level1_9_51487"/>
      <w:bookmarkStart w:id="40" w:name="_Toc97130357"/>
      <w:r>
        <w:rPr>
          <w:rFonts w:hint="eastAsia" w:ascii="宋体" w:hAnsi="宋体" w:eastAsia="宋体"/>
          <w:sz w:val="30"/>
          <w:highlight w:val="none"/>
          <w:lang w:val="en-US" w:eastAsia="zh-CN"/>
        </w:rPr>
        <w:t>七</w:t>
      </w:r>
      <w:r>
        <w:rPr>
          <w:rFonts w:hint="eastAsia" w:ascii="宋体" w:hAnsi="宋体" w:eastAsia="宋体"/>
          <w:sz w:val="30"/>
          <w:highlight w:val="none"/>
        </w:rPr>
        <w:t>、本次发售当事人或中介机构</w:t>
      </w:r>
      <w:bookmarkEnd w:id="39"/>
      <w:bookmarkEnd w:id="40"/>
    </w:p>
    <w:p w14:paraId="13CCF438">
      <w:pPr>
        <w:pStyle w:val="8"/>
        <w:spacing w:before="0" w:beforeAutospacing="0" w:after="0" w:afterAutospacing="0" w:line="360" w:lineRule="auto"/>
        <w:ind w:firstLine="420"/>
        <w:rPr>
          <w:sz w:val="21"/>
          <w:szCs w:val="21"/>
          <w:highlight w:val="none"/>
        </w:rPr>
      </w:pPr>
      <w:bookmarkStart w:id="41" w:name="chapter_level1_9_51487_section_1"/>
      <w:bookmarkEnd w:id="41"/>
      <w:r>
        <w:rPr>
          <w:rFonts w:hint="eastAsia"/>
          <w:sz w:val="21"/>
          <w:szCs w:val="21"/>
          <w:highlight w:val="none"/>
        </w:rPr>
        <w:t xml:space="preserve">（一）基金管理人 </w:t>
      </w:r>
    </w:p>
    <w:p w14:paraId="386D2302">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bookmarkStart w:id="42" w:name="field_0_managerorgfullname_6"/>
      <w:r>
        <w:rPr>
          <w:rFonts w:hint="eastAsia"/>
          <w:sz w:val="21"/>
          <w:szCs w:val="21"/>
          <w:highlight w:val="none"/>
        </w:rPr>
        <w:t>博时基金管理有限公司</w:t>
      </w:r>
      <w:bookmarkEnd w:id="42"/>
      <w:r>
        <w:rPr>
          <w:rFonts w:hint="eastAsia"/>
          <w:sz w:val="21"/>
          <w:szCs w:val="21"/>
          <w:highlight w:val="none"/>
        </w:rPr>
        <w:t xml:space="preserve"> </w:t>
      </w:r>
    </w:p>
    <w:p w14:paraId="1E0AC305">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bookmarkStart w:id="43" w:name="field_0_managerregisteraddress_1"/>
      <w:r>
        <w:rPr>
          <w:rFonts w:hint="eastAsia"/>
          <w:sz w:val="21"/>
          <w:szCs w:val="21"/>
          <w:highlight w:val="none"/>
        </w:rPr>
        <w:t>深圳市福田区莲花街道福新社区益田路</w:t>
      </w:r>
      <w:r>
        <w:rPr>
          <w:sz w:val="21"/>
          <w:szCs w:val="21"/>
          <w:highlight w:val="none"/>
        </w:rPr>
        <w:t>5999号基金大厦21层</w:t>
      </w:r>
      <w:bookmarkEnd w:id="43"/>
      <w:r>
        <w:rPr>
          <w:rFonts w:hint="eastAsia"/>
          <w:sz w:val="21"/>
          <w:szCs w:val="21"/>
          <w:highlight w:val="none"/>
        </w:rPr>
        <w:t xml:space="preserve"> </w:t>
      </w:r>
    </w:p>
    <w:p w14:paraId="663C7997">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bookmarkStart w:id="44" w:name="field_0_manageroperationaddress_1"/>
      <w:r>
        <w:rPr>
          <w:rFonts w:hint="eastAsia"/>
          <w:sz w:val="21"/>
          <w:szCs w:val="21"/>
          <w:highlight w:val="none"/>
        </w:rPr>
        <w:t>广东省深圳市福田区益田路</w:t>
      </w:r>
      <w:r>
        <w:rPr>
          <w:sz w:val="21"/>
          <w:szCs w:val="21"/>
          <w:highlight w:val="none"/>
        </w:rPr>
        <w:t>5999号基金大厦21层</w:t>
      </w:r>
      <w:bookmarkEnd w:id="44"/>
      <w:r>
        <w:rPr>
          <w:rFonts w:hint="eastAsia"/>
          <w:sz w:val="21"/>
          <w:szCs w:val="21"/>
          <w:highlight w:val="none"/>
        </w:rPr>
        <w:t xml:space="preserve"> </w:t>
      </w:r>
    </w:p>
    <w:p w14:paraId="583102BC">
      <w:pPr>
        <w:pStyle w:val="8"/>
        <w:spacing w:before="0" w:beforeAutospacing="0" w:after="0" w:afterAutospacing="0" w:line="360" w:lineRule="auto"/>
        <w:ind w:firstLine="420"/>
        <w:rPr>
          <w:sz w:val="21"/>
          <w:szCs w:val="21"/>
          <w:highlight w:val="none"/>
        </w:rPr>
      </w:pPr>
      <w:r>
        <w:rPr>
          <w:rFonts w:hint="eastAsia"/>
          <w:sz w:val="21"/>
          <w:szCs w:val="21"/>
          <w:highlight w:val="none"/>
        </w:rPr>
        <w:t>法定代表人：</w:t>
      </w:r>
      <w:bookmarkStart w:id="45" w:name="field_0_managerlegal_1"/>
      <w:r>
        <w:rPr>
          <w:rFonts w:hint="eastAsia"/>
          <w:sz w:val="21"/>
          <w:szCs w:val="21"/>
          <w:highlight w:val="none"/>
          <w:lang w:val="en-US" w:eastAsia="zh-CN"/>
        </w:rPr>
        <w:t>张东</w:t>
      </w:r>
      <w:bookmarkEnd w:id="45"/>
    </w:p>
    <w:p w14:paraId="687DDBE8">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bookmarkStart w:id="46" w:name="field_0_managerbuilddate_1"/>
      <w:r>
        <w:rPr>
          <w:sz w:val="21"/>
          <w:szCs w:val="21"/>
          <w:highlight w:val="none"/>
        </w:rPr>
        <w:t>1998年07月13日</w:t>
      </w:r>
      <w:bookmarkEnd w:id="46"/>
      <w:r>
        <w:rPr>
          <w:rFonts w:hint="eastAsia"/>
          <w:sz w:val="21"/>
          <w:szCs w:val="21"/>
          <w:highlight w:val="none"/>
        </w:rPr>
        <w:t xml:space="preserve"> </w:t>
      </w:r>
    </w:p>
    <w:p w14:paraId="18BD83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批准设立机关：中国证监会 </w:t>
      </w:r>
    </w:p>
    <w:p w14:paraId="4F04CE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批准设立文号：证监基字【1998】26号 </w:t>
      </w:r>
    </w:p>
    <w:p w14:paraId="193A3C4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组织形式：有限责任公司 </w:t>
      </w:r>
    </w:p>
    <w:p w14:paraId="5EBF12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注册资本：人民币2.5亿元 </w:t>
      </w:r>
    </w:p>
    <w:p w14:paraId="4BC424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存续期间：持续经营 </w:t>
      </w:r>
    </w:p>
    <w:p w14:paraId="06D868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（二）基金托管人 </w:t>
      </w:r>
    </w:p>
    <w:p w14:paraId="74360581">
      <w:pPr>
        <w:pStyle w:val="8"/>
        <w:spacing w:before="0" w:beforeAutospacing="0" w:after="0" w:afterAutospacing="0" w:line="360" w:lineRule="auto"/>
        <w:ind w:firstLine="420"/>
        <w:rPr>
          <w:rFonts w:hint="eastAsia"/>
          <w:sz w:val="21"/>
          <w:szCs w:val="21"/>
          <w:highlight w:val="none"/>
        </w:rPr>
      </w:pPr>
      <w:bookmarkStart w:id="47" w:name="field_0_trustcompanyinfofirst_1_end"/>
      <w:bookmarkEnd w:id="47"/>
      <w:bookmarkStart w:id="48" w:name="field_0_trustcompanyinfofirst_1_start"/>
      <w:bookmarkEnd w:id="48"/>
      <w:r>
        <w:rPr>
          <w:rFonts w:hint="eastAsia"/>
          <w:sz w:val="21"/>
          <w:szCs w:val="21"/>
          <w:highlight w:val="none"/>
        </w:rPr>
        <w:t>名称：北京银行股份有限公司</w:t>
      </w:r>
    </w:p>
    <w:p w14:paraId="4E37B36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住所：北京市西城区金融大街甲17号首层</w:t>
      </w:r>
    </w:p>
    <w:p w14:paraId="7D4A304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法定代表人：关文杰</w:t>
      </w:r>
    </w:p>
    <w:p w14:paraId="5E3566B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成立时间：1996年1月29日</w:t>
      </w:r>
    </w:p>
    <w:p w14:paraId="720ECD7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组织形式：股份有限公司（上市）</w:t>
      </w:r>
    </w:p>
    <w:p w14:paraId="139D8A3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注册资本：2114298.4272万元人民币</w:t>
      </w:r>
    </w:p>
    <w:p w14:paraId="4745B3F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批准设立机关和设立文号：中国人民银行1995年12月28日《关于北京城市合作银行开业的批复》（银复[1995]470号）</w:t>
      </w:r>
    </w:p>
    <w:p w14:paraId="02A4AA2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基金托管资格批准文号：中国证监会证监许可 [2008]776号</w:t>
      </w:r>
    </w:p>
    <w:p w14:paraId="65381B7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存续期间：持续经营</w:t>
      </w:r>
    </w:p>
    <w:p w14:paraId="1A663E07">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（三）销售机构 </w:t>
      </w:r>
    </w:p>
    <w:p w14:paraId="11B0BA23">
      <w:pPr>
        <w:pStyle w:val="8"/>
        <w:spacing w:before="0" w:beforeAutospacing="0" w:after="0" w:afterAutospacing="0" w:line="360" w:lineRule="auto"/>
        <w:ind w:firstLine="420"/>
        <w:rPr>
          <w:rFonts w:ascii="Times New Roman" w:hAnsi="Times New Roman" w:cs="Times New Roman"/>
          <w:sz w:val="21"/>
          <w:szCs w:val="21"/>
          <w:highlight w:val="none"/>
        </w:rPr>
      </w:pPr>
      <w:r>
        <w:rPr>
          <w:rFonts w:ascii="Times New Roman" w:hAnsi="Times New Roman" w:cs="Times New Roman"/>
          <w:sz w:val="21"/>
          <w:szCs w:val="21"/>
          <w:highlight w:val="none"/>
        </w:rPr>
        <w:t xml:space="preserve">1、网下现金发售的直销机构 </w:t>
      </w:r>
    </w:p>
    <w:p w14:paraId="3AFF393F">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名称：博时基金管理有限公司</w:t>
      </w:r>
    </w:p>
    <w:p w14:paraId="09A66E06">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住所：深圳市福田区莲花街道福新社区益田路5999号基金大厦21层</w:t>
      </w:r>
    </w:p>
    <w:p w14:paraId="160D6212">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办公地址：</w:t>
      </w:r>
      <w:r>
        <w:rPr>
          <w:rFonts w:hint="eastAsia" w:ascii="Times New Roman" w:hAnsi="Times New Roman" w:eastAsia="宋体" w:cs="Times New Roman"/>
          <w:highlight w:val="none"/>
        </w:rPr>
        <w:t>北京市东城区建国门内大街8号中粮广场C座609</w:t>
      </w:r>
    </w:p>
    <w:p w14:paraId="5650E12D">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电话：010-65187055</w:t>
      </w:r>
    </w:p>
    <w:p w14:paraId="5E40A1C5">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传真：010-65187032</w:t>
      </w:r>
    </w:p>
    <w:p w14:paraId="782BB6C4">
      <w:pPr>
        <w:snapToGrid w:val="0"/>
        <w:spacing w:line="360" w:lineRule="auto"/>
        <w:ind w:firstLine="420" w:firstLineChars="200"/>
        <w:rPr>
          <w:rFonts w:ascii="Times New Roman" w:hAnsi="Times New Roman" w:eastAsia="宋体" w:cs="Times New Roman"/>
          <w:highlight w:val="none"/>
        </w:rPr>
      </w:pPr>
      <w:r>
        <w:rPr>
          <w:rFonts w:ascii="Times New Roman" w:hAnsi="Times New Roman" w:eastAsia="宋体" w:cs="Times New Roman"/>
          <w:highlight w:val="none"/>
        </w:rPr>
        <w:t>联系人：韩明亮</w:t>
      </w:r>
    </w:p>
    <w:p w14:paraId="76C9B62F">
      <w:pPr>
        <w:snapToGrid w:val="0"/>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rPr>
        <w:t>全国统一客服热线：95105568（免长途费）</w:t>
      </w:r>
    </w:p>
    <w:p w14:paraId="3E754EBE">
      <w:pPr>
        <w:snapToGrid w:val="0"/>
        <w:spacing w:line="360" w:lineRule="auto"/>
        <w:ind w:firstLine="420" w:firstLineChars="200"/>
        <w:rPr>
          <w:rFonts w:ascii="Times New Roman" w:hAnsi="Times New Roman" w:eastAsia="宋体" w:cs="Times New Roman"/>
          <w:highlight w:val="none"/>
        </w:rPr>
      </w:pPr>
      <w:r>
        <w:rPr>
          <w:rFonts w:hint="eastAsia" w:ascii="Times New Roman" w:hAnsi="Times New Roman" w:eastAsia="宋体" w:cs="Times New Roman"/>
          <w:highlight w:val="none"/>
        </w:rPr>
        <w:t xml:space="preserve">公司网址：https://www.bosera.com </w:t>
      </w:r>
    </w:p>
    <w:p w14:paraId="4056DABD">
      <w:pPr>
        <w:pStyle w:val="8"/>
        <w:numPr>
          <w:ilvl w:val="0"/>
          <w:numId w:val="3"/>
        </w:numPr>
        <w:shd w:val="clear" w:color="auto" w:fill="FFFFFF" w:themeFill="background1"/>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网下现金发售代理机构 </w:t>
      </w:r>
    </w:p>
    <w:p w14:paraId="1973EF2A">
      <w:pPr>
        <w:pStyle w:val="22"/>
        <w:numPr>
          <w:ilvl w:val="-1"/>
          <w:numId w:val="0"/>
        </w:numPr>
        <w:ind w:left="420" w:leftChars="0" w:firstLine="0" w:firstLineChars="0"/>
        <w:rPr>
          <w:rFonts w:hint="eastAsia" w:ascii="宋体" w:hAnsi="宋体" w:eastAsia="宋体" w:cs="宋体"/>
          <w:szCs w:val="21"/>
        </w:rPr>
      </w:pPr>
      <w:r>
        <w:rPr>
          <w:rFonts w:hint="eastAsia" w:ascii="宋体" w:hAnsi="宋体" w:eastAsia="宋体" w:cs="宋体"/>
          <w:szCs w:val="21"/>
        </w:rPr>
        <w:t>中信建投证券股份有限公司</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1"/>
        <w:gridCol w:w="5888"/>
      </w:tblGrid>
      <w:tr w14:paraId="12C3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26D1DB3D">
            <w:pPr>
              <w:rPr>
                <w:rFonts w:hint="eastAsia" w:ascii="宋体" w:hAnsi="宋体" w:eastAsia="宋体" w:cs="宋体"/>
                <w:szCs w:val="21"/>
              </w:rPr>
            </w:pPr>
            <w:r>
              <w:rPr>
                <w:rFonts w:hint="eastAsia" w:ascii="宋体" w:hAnsi="宋体" w:eastAsia="宋体" w:cs="宋体"/>
                <w:szCs w:val="21"/>
              </w:rPr>
              <w:t>注册地址：</w:t>
            </w:r>
          </w:p>
        </w:tc>
        <w:tc>
          <w:tcPr>
            <w:tcW w:w="5888" w:type="dxa"/>
            <w:shd w:val="clear" w:color="auto" w:fill="auto"/>
          </w:tcPr>
          <w:p w14:paraId="5CF2BCBC">
            <w:pPr>
              <w:rPr>
                <w:rFonts w:hint="eastAsia" w:ascii="宋体" w:hAnsi="宋体" w:eastAsia="宋体" w:cs="宋体"/>
                <w:szCs w:val="21"/>
              </w:rPr>
            </w:pPr>
            <w:r>
              <w:rPr>
                <w:rFonts w:hint="eastAsia" w:ascii="宋体" w:hAnsi="宋体" w:eastAsia="宋体" w:cs="宋体"/>
                <w:szCs w:val="21"/>
              </w:rPr>
              <w:t>北京市朝阳区安立路66号4号楼</w:t>
            </w:r>
          </w:p>
        </w:tc>
      </w:tr>
      <w:tr w14:paraId="5013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4C800879">
            <w:pPr>
              <w:rPr>
                <w:rFonts w:hint="eastAsia" w:ascii="宋体" w:hAnsi="宋体" w:eastAsia="宋体" w:cs="宋体"/>
                <w:szCs w:val="21"/>
              </w:rPr>
            </w:pPr>
            <w:r>
              <w:rPr>
                <w:rFonts w:hint="eastAsia" w:ascii="宋体" w:hAnsi="宋体" w:eastAsia="宋体" w:cs="宋体"/>
                <w:szCs w:val="21"/>
              </w:rPr>
              <w:t>办公地址：</w:t>
            </w:r>
          </w:p>
        </w:tc>
        <w:tc>
          <w:tcPr>
            <w:tcW w:w="5888" w:type="dxa"/>
            <w:shd w:val="clear" w:color="auto" w:fill="auto"/>
          </w:tcPr>
          <w:p w14:paraId="1D3E513C">
            <w:pPr>
              <w:rPr>
                <w:rFonts w:hint="eastAsia" w:ascii="宋体" w:hAnsi="宋体" w:eastAsia="宋体" w:cs="宋体"/>
                <w:szCs w:val="21"/>
              </w:rPr>
            </w:pPr>
            <w:r>
              <w:rPr>
                <w:rFonts w:hint="eastAsia" w:ascii="宋体" w:hAnsi="宋体" w:eastAsia="宋体" w:cs="宋体"/>
                <w:szCs w:val="21"/>
              </w:rPr>
              <w:t>北京市朝阳区光华路10号</w:t>
            </w:r>
          </w:p>
        </w:tc>
      </w:tr>
      <w:tr w14:paraId="1FAD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27F36B20">
            <w:pPr>
              <w:rPr>
                <w:rFonts w:hint="eastAsia" w:ascii="宋体" w:hAnsi="宋体" w:eastAsia="宋体" w:cs="宋体"/>
                <w:szCs w:val="21"/>
              </w:rPr>
            </w:pPr>
            <w:r>
              <w:rPr>
                <w:rFonts w:hint="eastAsia" w:ascii="宋体" w:hAnsi="宋体" w:eastAsia="宋体" w:cs="宋体"/>
                <w:szCs w:val="21"/>
              </w:rPr>
              <w:t>法定代表人：</w:t>
            </w:r>
          </w:p>
        </w:tc>
        <w:tc>
          <w:tcPr>
            <w:tcW w:w="5888" w:type="dxa"/>
            <w:shd w:val="clear" w:color="auto" w:fill="auto"/>
          </w:tcPr>
          <w:p w14:paraId="70AE73A4">
            <w:pPr>
              <w:rPr>
                <w:rFonts w:hint="eastAsia" w:ascii="宋体" w:hAnsi="宋体" w:eastAsia="宋体" w:cs="宋体"/>
                <w:szCs w:val="21"/>
              </w:rPr>
            </w:pPr>
            <w:r>
              <w:rPr>
                <w:rFonts w:hint="eastAsia" w:ascii="宋体" w:hAnsi="宋体" w:eastAsia="宋体" w:cs="宋体"/>
                <w:szCs w:val="21"/>
              </w:rPr>
              <w:t>刘成</w:t>
            </w:r>
          </w:p>
        </w:tc>
      </w:tr>
      <w:tr w14:paraId="0DC9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18319B66">
            <w:pPr>
              <w:rPr>
                <w:rFonts w:hint="eastAsia" w:ascii="宋体" w:hAnsi="宋体" w:eastAsia="宋体" w:cs="宋体"/>
                <w:szCs w:val="21"/>
              </w:rPr>
            </w:pPr>
            <w:r>
              <w:rPr>
                <w:rFonts w:hint="eastAsia" w:ascii="宋体" w:hAnsi="宋体" w:eastAsia="宋体" w:cs="宋体"/>
                <w:szCs w:val="21"/>
              </w:rPr>
              <w:t>联系人：</w:t>
            </w:r>
          </w:p>
        </w:tc>
        <w:tc>
          <w:tcPr>
            <w:tcW w:w="5888" w:type="dxa"/>
            <w:shd w:val="clear" w:color="auto" w:fill="auto"/>
          </w:tcPr>
          <w:p w14:paraId="31E7EF3C">
            <w:pPr>
              <w:rPr>
                <w:rFonts w:hint="eastAsia" w:ascii="宋体" w:hAnsi="宋体" w:eastAsia="宋体" w:cs="宋体"/>
                <w:szCs w:val="21"/>
              </w:rPr>
            </w:pPr>
            <w:r>
              <w:rPr>
                <w:rFonts w:hint="eastAsia" w:ascii="宋体" w:hAnsi="宋体" w:eastAsia="宋体" w:cs="宋体"/>
                <w:szCs w:val="21"/>
              </w:rPr>
              <w:t>陈海静</w:t>
            </w:r>
          </w:p>
        </w:tc>
      </w:tr>
      <w:tr w14:paraId="4422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342EE86F">
            <w:pPr>
              <w:rPr>
                <w:rFonts w:hint="eastAsia" w:ascii="宋体" w:hAnsi="宋体" w:eastAsia="宋体" w:cs="宋体"/>
                <w:szCs w:val="21"/>
              </w:rPr>
            </w:pPr>
            <w:r>
              <w:rPr>
                <w:rFonts w:hint="eastAsia" w:ascii="宋体" w:hAnsi="宋体" w:eastAsia="宋体" w:cs="宋体"/>
                <w:szCs w:val="21"/>
              </w:rPr>
              <w:t>电话：</w:t>
            </w:r>
          </w:p>
        </w:tc>
        <w:tc>
          <w:tcPr>
            <w:tcW w:w="5888" w:type="dxa"/>
            <w:shd w:val="clear" w:color="auto" w:fill="auto"/>
          </w:tcPr>
          <w:p w14:paraId="4ED4DBCE">
            <w:pPr>
              <w:rPr>
                <w:rFonts w:hint="eastAsia" w:ascii="宋体" w:hAnsi="宋体" w:eastAsia="宋体" w:cs="宋体"/>
                <w:szCs w:val="21"/>
              </w:rPr>
            </w:pPr>
            <w:r>
              <w:rPr>
                <w:rFonts w:hint="eastAsia" w:ascii="宋体" w:hAnsi="宋体" w:eastAsia="宋体" w:cs="宋体"/>
                <w:szCs w:val="21"/>
              </w:rPr>
              <w:t>010-65608231</w:t>
            </w:r>
          </w:p>
        </w:tc>
      </w:tr>
      <w:tr w14:paraId="1C95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71F4C8C1">
            <w:pPr>
              <w:rPr>
                <w:rFonts w:hint="eastAsia" w:ascii="宋体" w:hAnsi="宋体" w:eastAsia="宋体" w:cs="宋体"/>
                <w:szCs w:val="21"/>
              </w:rPr>
            </w:pPr>
            <w:r>
              <w:rPr>
                <w:rFonts w:hint="eastAsia" w:ascii="宋体" w:hAnsi="宋体" w:eastAsia="宋体" w:cs="宋体"/>
                <w:szCs w:val="21"/>
              </w:rPr>
              <w:t>传真：</w:t>
            </w:r>
          </w:p>
        </w:tc>
        <w:tc>
          <w:tcPr>
            <w:tcW w:w="5888" w:type="dxa"/>
            <w:shd w:val="clear" w:color="auto" w:fill="auto"/>
          </w:tcPr>
          <w:p w14:paraId="0811EFAF">
            <w:pPr>
              <w:rPr>
                <w:rFonts w:hint="eastAsia" w:ascii="宋体" w:hAnsi="宋体" w:eastAsia="宋体" w:cs="宋体"/>
                <w:szCs w:val="21"/>
              </w:rPr>
            </w:pPr>
            <w:r>
              <w:rPr>
                <w:rFonts w:hint="eastAsia" w:ascii="宋体" w:hAnsi="宋体" w:eastAsia="宋体" w:cs="宋体"/>
                <w:szCs w:val="21"/>
              </w:rPr>
              <w:t>010－65182261</w:t>
            </w:r>
          </w:p>
        </w:tc>
      </w:tr>
      <w:tr w14:paraId="6FF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71" w:type="dxa"/>
            <w:shd w:val="clear" w:color="auto" w:fill="auto"/>
          </w:tcPr>
          <w:p w14:paraId="568A190D">
            <w:pPr>
              <w:rPr>
                <w:rFonts w:hint="eastAsia" w:ascii="宋体" w:hAnsi="宋体" w:eastAsia="宋体" w:cs="宋体"/>
                <w:szCs w:val="21"/>
              </w:rPr>
            </w:pPr>
            <w:r>
              <w:rPr>
                <w:rFonts w:hint="eastAsia" w:ascii="宋体" w:hAnsi="宋体" w:eastAsia="宋体" w:cs="宋体"/>
                <w:szCs w:val="21"/>
              </w:rPr>
              <w:t>客户服务电话：</w:t>
            </w:r>
          </w:p>
        </w:tc>
        <w:tc>
          <w:tcPr>
            <w:tcW w:w="5888" w:type="dxa"/>
            <w:shd w:val="clear" w:color="auto" w:fill="auto"/>
          </w:tcPr>
          <w:p w14:paraId="6198F2AF">
            <w:pPr>
              <w:rPr>
                <w:rFonts w:hint="eastAsia" w:ascii="宋体" w:hAnsi="宋体" w:eastAsia="宋体" w:cs="宋体"/>
                <w:szCs w:val="21"/>
              </w:rPr>
            </w:pPr>
            <w:r>
              <w:rPr>
                <w:rFonts w:hint="eastAsia" w:ascii="宋体" w:hAnsi="宋体" w:eastAsia="宋体" w:cs="宋体"/>
                <w:szCs w:val="21"/>
              </w:rPr>
              <w:t>4008888108/95587</w:t>
            </w:r>
          </w:p>
        </w:tc>
      </w:tr>
      <w:tr w14:paraId="502B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171" w:type="dxa"/>
            <w:shd w:val="clear" w:color="auto" w:fill="auto"/>
          </w:tcPr>
          <w:p w14:paraId="1C405BFB">
            <w:pPr>
              <w:rPr>
                <w:rFonts w:hint="eastAsia" w:ascii="宋体" w:hAnsi="宋体" w:eastAsia="宋体" w:cs="宋体"/>
                <w:szCs w:val="21"/>
              </w:rPr>
            </w:pPr>
            <w:r>
              <w:rPr>
                <w:rFonts w:hint="eastAsia" w:ascii="宋体" w:hAnsi="宋体" w:eastAsia="宋体" w:cs="宋体"/>
                <w:szCs w:val="21"/>
              </w:rPr>
              <w:t>网址：</w:t>
            </w:r>
          </w:p>
        </w:tc>
        <w:tc>
          <w:tcPr>
            <w:tcW w:w="5888" w:type="dxa"/>
            <w:shd w:val="clear" w:color="auto" w:fill="auto"/>
          </w:tcPr>
          <w:p w14:paraId="10DCBE5A">
            <w:pPr>
              <w:rPr>
                <w:rFonts w:hint="eastAsia" w:ascii="宋体" w:hAnsi="宋体" w:eastAsia="宋体" w:cs="宋体"/>
                <w:szCs w:val="21"/>
              </w:rPr>
            </w:pPr>
            <w:r>
              <w:rPr>
                <w:rFonts w:hint="eastAsia" w:ascii="宋体" w:hAnsi="宋体" w:eastAsia="宋体" w:cs="宋体"/>
                <w:szCs w:val="21"/>
              </w:rPr>
              <w:t>http://www.csc108.com/</w:t>
            </w:r>
          </w:p>
        </w:tc>
      </w:tr>
    </w:tbl>
    <w:p w14:paraId="1BAE4DC7">
      <w:pPr>
        <w:pStyle w:val="8"/>
        <w:spacing w:before="0" w:beforeAutospacing="0" w:after="0" w:afterAutospacing="0" w:line="360" w:lineRule="auto"/>
        <w:ind w:firstLine="420"/>
        <w:rPr>
          <w:rFonts w:hint="eastAsia"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本公司可以根据情况变化增加或者减少基金份额网下发售机构并在官网公示。基金份额发售机构可以根据情况增加或者减少其销售城市、网点。销售机构的具体业务办理状况以其各自规定为准。投资者可登录本基金管理人网站查询网下发售机构信息。</w:t>
      </w:r>
    </w:p>
    <w:p w14:paraId="529A65B6">
      <w:pPr>
        <w:pStyle w:val="8"/>
        <w:spacing w:before="0" w:beforeAutospacing="0" w:after="0" w:afterAutospacing="0" w:line="360" w:lineRule="auto"/>
        <w:ind w:firstLine="420"/>
        <w:rPr>
          <w:rFonts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3</w:t>
      </w:r>
      <w:r>
        <w:rPr>
          <w:rFonts w:hint="eastAsia" w:ascii="Times New Roman" w:hAnsi="Times New Roman" w:cs="Times New Roman"/>
          <w:sz w:val="21"/>
          <w:szCs w:val="21"/>
          <w:highlight w:val="none"/>
        </w:rPr>
        <w:t xml:space="preserve">、网上现金发售代理机构 </w:t>
      </w:r>
    </w:p>
    <w:p w14:paraId="25CBCF0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网上现金发售通过具有基金代销业务资格的深圳证券交易所会员单位办理，具体名单如下： </w:t>
      </w:r>
    </w:p>
    <w:p w14:paraId="4455BC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（1）已经具有发行认购权限的深圳证券交易所会员单位： </w:t>
      </w:r>
    </w:p>
    <w:p w14:paraId="1E08FB56">
      <w:pPr>
        <w:pStyle w:val="8"/>
        <w:spacing w:before="0" w:beforeAutospacing="0" w:after="0" w:afterAutospacing="0" w:line="360" w:lineRule="auto"/>
        <w:ind w:firstLine="420"/>
        <w:rPr>
          <w:sz w:val="21"/>
          <w:szCs w:val="21"/>
          <w:highlight w:val="none"/>
        </w:rPr>
      </w:pPr>
      <w:r>
        <w:rPr>
          <w:rFonts w:hint="eastAsia" w:eastAsia="宋体"/>
          <w:sz w:val="21"/>
          <w:szCs w:val="21"/>
          <w:highlight w:val="none"/>
          <w:lang w:val="en-US" w:eastAsia="zh-CN"/>
        </w:rPr>
        <w:t>爱建证券、渤海证券、财达证券、财通证券、财信证券、长城国瑞、长城证券、长江证券、诚通证券、川财证券、大通证券、大同证券、德邦证券、第一创业、东北证券、东方财富、东方证券、东海证券、东吴证券、东兴证券、东莞证券、方正证券、高华证券、光大证券、广发证券、国都证券、国海证券、国金证券、国开证券、国联民生、国融证券、国盛证券、国泰海通、国投证券、国新证券、国信证券、国元证券、红塔证券、华安证券、华宝证券、华创证券、华福证券、华金证券、华林证券、华龙证券、华泰证券、华西证券、华源证券、华鑫证券、江海证券、金融街证券、金元证券、开源证券、联储证券、麦高证券、民生证券、南京证券、平安证券、瑞银证券、山西证券、上海证券、申港证券、申万宏源、申万宏源西部、世纪证券、首创证券、太平洋证券、天风证券、天府证券、万和证券、万联证券、五矿证券、西部证券、西南证券、湘财证券、信达证券、兴业证券、银河证券、银泰证券、英大证券、粤开证券、招商证券、浙商证券、中航证券、中金财富、中金公司、中山证券、中泰证券、中天证券、中信建投、中信山东、中信证券、中信证券华南、中银证券、中邮证券、中原证券、甬兴证券（排名不分先后）</w:t>
      </w:r>
      <w:r>
        <w:rPr>
          <w:rFonts w:hint="eastAsia"/>
          <w:sz w:val="21"/>
          <w:szCs w:val="21"/>
          <w:highlight w:val="none"/>
        </w:rPr>
        <w:t xml:space="preserve">（2）本基金募集期结束前获得基金销售资格同时具备深圳证券交易所会员单位资格的证券公司也可代理场内的基金份额发售。 </w:t>
      </w:r>
    </w:p>
    <w:p w14:paraId="1C46DD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（3）尚未取得基金销售资格，但属于深圳证券交易所会员的其他机构，可在本基金上市交易后，代理投资者通过深圳证券交易所交易系统参与本基金的上市交易。 </w:t>
      </w:r>
    </w:p>
    <w:p w14:paraId="176C066D">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4</w:t>
      </w:r>
      <w:r>
        <w:rPr>
          <w:rFonts w:hint="eastAsia"/>
          <w:sz w:val="21"/>
          <w:szCs w:val="21"/>
          <w:highlight w:val="none"/>
        </w:rPr>
        <w:t>、基金管理人可根据《中华人民共和国证券投资基金法》、</w:t>
      </w:r>
      <w:r>
        <w:rPr>
          <w:rFonts w:ascii="Arial" w:hAnsi="Arial" w:cs="Arial"/>
          <w:sz w:val="21"/>
          <w:szCs w:val="21"/>
          <w:highlight w:val="none"/>
        </w:rPr>
        <w:t>《</w:t>
      </w:r>
      <w:r>
        <w:rPr>
          <w:rFonts w:hint="eastAsia" w:ascii="Arial" w:hAnsi="Arial" w:cs="Arial"/>
          <w:sz w:val="21"/>
          <w:szCs w:val="21"/>
          <w:highlight w:val="none"/>
        </w:rPr>
        <w:t>公开募集</w:t>
      </w:r>
      <w:r>
        <w:rPr>
          <w:rFonts w:ascii="Arial" w:hAnsi="Arial" w:cs="Arial"/>
          <w:sz w:val="21"/>
          <w:szCs w:val="21"/>
          <w:highlight w:val="none"/>
        </w:rPr>
        <w:t>证券投资基金运作管理办法》、《</w:t>
      </w:r>
      <w:r>
        <w:rPr>
          <w:rFonts w:hint="eastAsia" w:ascii="Arial" w:hAnsi="Arial" w:cs="Arial"/>
          <w:sz w:val="21"/>
          <w:szCs w:val="21"/>
          <w:highlight w:val="none"/>
        </w:rPr>
        <w:t>公开募集</w:t>
      </w:r>
      <w:r>
        <w:rPr>
          <w:rFonts w:ascii="Arial" w:hAnsi="Arial" w:cs="Arial"/>
          <w:sz w:val="21"/>
          <w:szCs w:val="21"/>
          <w:highlight w:val="none"/>
        </w:rPr>
        <w:t>证券投资基金销售</w:t>
      </w:r>
      <w:r>
        <w:rPr>
          <w:rFonts w:hint="eastAsia" w:ascii="Arial" w:hAnsi="Arial" w:cs="Arial"/>
          <w:sz w:val="21"/>
          <w:szCs w:val="21"/>
          <w:highlight w:val="none"/>
        </w:rPr>
        <w:t>机构监督</w:t>
      </w:r>
      <w:r>
        <w:rPr>
          <w:rFonts w:ascii="Arial" w:hAnsi="Arial" w:cs="Arial"/>
          <w:sz w:val="21"/>
          <w:szCs w:val="21"/>
          <w:highlight w:val="none"/>
        </w:rPr>
        <w:t>管理办法》</w:t>
      </w:r>
      <w:r>
        <w:rPr>
          <w:rFonts w:hint="eastAsia"/>
          <w:sz w:val="21"/>
          <w:szCs w:val="21"/>
          <w:highlight w:val="none"/>
        </w:rPr>
        <w:t xml:space="preserve">和本基金基金合同等规定，选择其他符合要求的机构代理销售本基金，并及时履行公告义务。 </w:t>
      </w:r>
    </w:p>
    <w:p w14:paraId="5791F3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（四）登记机构 </w:t>
      </w:r>
    </w:p>
    <w:p w14:paraId="3AD08E3A">
      <w:pPr>
        <w:pStyle w:val="8"/>
        <w:spacing w:before="0" w:beforeAutospacing="0" w:after="0" w:afterAutospacing="0" w:line="360" w:lineRule="auto"/>
        <w:ind w:firstLine="420"/>
        <w:rPr>
          <w:sz w:val="21"/>
          <w:szCs w:val="21"/>
          <w:highlight w:val="none"/>
        </w:rPr>
      </w:pPr>
      <w:bookmarkStart w:id="49" w:name="field_0_registercompanyinfo_1_start"/>
      <w:bookmarkEnd w:id="49"/>
      <w:r>
        <w:rPr>
          <w:rFonts w:hint="eastAsia"/>
          <w:sz w:val="21"/>
          <w:szCs w:val="21"/>
          <w:highlight w:val="none"/>
        </w:rPr>
        <w:t xml:space="preserve">名称：中国证券登记结算有限责任公司  </w:t>
      </w:r>
    </w:p>
    <w:p w14:paraId="448664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住所：北京市西城区太平桥大街17号 </w:t>
      </w:r>
    </w:p>
    <w:p w14:paraId="1DD34F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办公地址：北京市西城区太平桥大街17号 </w:t>
      </w:r>
    </w:p>
    <w:p w14:paraId="333B019E">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eastAsia="zh-CN"/>
        </w:rPr>
        <w:t>于文强</w:t>
      </w:r>
    </w:p>
    <w:p w14:paraId="44BE868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联系电话：0755-25946013 </w:t>
      </w:r>
    </w:p>
    <w:p w14:paraId="75BBF3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传真：0755-25987122 </w:t>
      </w:r>
    </w:p>
    <w:p w14:paraId="5730A3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联系人：严峰 </w:t>
      </w:r>
      <w:bookmarkStart w:id="50" w:name="field_0_registercompanyinfo_1_end"/>
      <w:bookmarkEnd w:id="50"/>
      <w:r>
        <w:rPr>
          <w:rFonts w:hint="eastAsia"/>
          <w:sz w:val="21"/>
          <w:szCs w:val="21"/>
          <w:highlight w:val="none"/>
        </w:rPr>
        <w:t xml:space="preserve"> </w:t>
      </w:r>
    </w:p>
    <w:p w14:paraId="51FF637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（五）出具法律意见书的律师事务所 </w:t>
      </w:r>
    </w:p>
    <w:p w14:paraId="1EE45997">
      <w:pPr>
        <w:snapToGrid w:val="0"/>
        <w:spacing w:line="360" w:lineRule="auto"/>
        <w:ind w:firstLine="420" w:firstLineChars="200"/>
        <w:rPr>
          <w:rFonts w:hint="eastAsia" w:ascii="宋体" w:hAnsi="宋体" w:eastAsia="宋体" w:cs="宋体"/>
          <w:kern w:val="0"/>
          <w:szCs w:val="21"/>
        </w:rPr>
      </w:pPr>
      <w:bookmarkStart w:id="51" w:name="field_0_lawcompanyinfo_1_start"/>
      <w:bookmarkEnd w:id="51"/>
      <w:r>
        <w:rPr>
          <w:rFonts w:hint="eastAsia" w:ascii="宋体" w:hAnsi="宋体" w:eastAsia="宋体" w:cs="宋体"/>
          <w:kern w:val="0"/>
          <w:szCs w:val="21"/>
        </w:rPr>
        <w:t>名称：上海源泰律师事务所</w:t>
      </w:r>
    </w:p>
    <w:p w14:paraId="6243B246">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注册地址：上海市浦东新区浦东南路256号华夏银行大厦14楼</w:t>
      </w:r>
    </w:p>
    <w:p w14:paraId="678038B7">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办公地址：上海市浦东新区浦东南路256号华夏银行大厦14楼</w:t>
      </w:r>
    </w:p>
    <w:p w14:paraId="4E167D0A">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负责人：廖海</w:t>
      </w:r>
    </w:p>
    <w:p w14:paraId="4DEDA01C">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电话：021</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rPr>
        <w:t>51150298</w:t>
      </w:r>
    </w:p>
    <w:p w14:paraId="5603F1D8">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传真：021</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rPr>
        <w:t>51150398</w:t>
      </w:r>
    </w:p>
    <w:p w14:paraId="0FD2D163">
      <w:pPr>
        <w:snapToGrid w:val="0"/>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联系人：刘佳</w:t>
      </w:r>
      <w:bookmarkStart w:id="56" w:name="_GoBack"/>
      <w:bookmarkEnd w:id="56"/>
    </w:p>
    <w:p w14:paraId="7723A99B">
      <w:pPr>
        <w:pStyle w:val="8"/>
        <w:spacing w:before="0" w:beforeAutospacing="0" w:after="0" w:afterAutospacing="0" w:line="360" w:lineRule="auto"/>
        <w:ind w:firstLine="420"/>
        <w:rPr>
          <w:rFonts w:hint="eastAsia"/>
          <w:sz w:val="21"/>
          <w:szCs w:val="21"/>
          <w:highlight w:val="none"/>
        </w:rPr>
      </w:pPr>
      <w:r>
        <w:rPr>
          <w:rFonts w:hint="eastAsia" w:ascii="宋体" w:hAnsi="宋体" w:eastAsia="宋体" w:cs="宋体"/>
          <w:kern w:val="0"/>
          <w:szCs w:val="21"/>
        </w:rPr>
        <w:t>经办律师：刘佳、张雯倩</w:t>
      </w:r>
    </w:p>
    <w:p w14:paraId="07AFD8E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（六）本基金的法定验资机构的会计师事务所</w:t>
      </w:r>
    </w:p>
    <w:p w14:paraId="6F9A3532">
      <w:pPr>
        <w:pStyle w:val="8"/>
        <w:spacing w:before="0" w:beforeAutospacing="0" w:after="0" w:afterAutospacing="0" w:line="360" w:lineRule="auto"/>
        <w:ind w:firstLine="420"/>
        <w:rPr>
          <w:rFonts w:hint="eastAsia"/>
          <w:sz w:val="21"/>
          <w:szCs w:val="21"/>
          <w:highlight w:val="none"/>
        </w:rPr>
      </w:pPr>
      <w:bookmarkStart w:id="52" w:name="chapter_level1_9_51487_section_1_end"/>
      <w:bookmarkEnd w:id="52"/>
      <w:r>
        <w:rPr>
          <w:rFonts w:hint="eastAsia"/>
          <w:sz w:val="21"/>
          <w:szCs w:val="21"/>
          <w:highlight w:val="none"/>
        </w:rPr>
        <w:t>名称：安永华明会计师事务所（特殊普通合伙）</w:t>
      </w:r>
    </w:p>
    <w:p w14:paraId="65CDD00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住所：北京市东城区东长安街1号东方广场安永大楼17层01-12室</w:t>
      </w:r>
    </w:p>
    <w:p w14:paraId="2FEE402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办公地址：北京市东城区东长安街1号东方广场安永大楼17层01-12室</w:t>
      </w:r>
    </w:p>
    <w:p w14:paraId="231C117F">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执行事务合伙人：毛鞍宁</w:t>
      </w:r>
    </w:p>
    <w:p w14:paraId="759B01A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联系电话：（010）58153000</w:t>
      </w:r>
    </w:p>
    <w:p w14:paraId="0451601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传真电话：（010）85188298</w:t>
      </w:r>
    </w:p>
    <w:p w14:paraId="5A071A4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经办注册会计师： 高鹤、楼坚、王海彦</w:t>
      </w:r>
    </w:p>
    <w:p w14:paraId="3131ACD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联系人：王海彦</w:t>
      </w:r>
    </w:p>
    <w:p w14:paraId="7BBC34F5">
      <w:pPr>
        <w:pStyle w:val="8"/>
        <w:spacing w:before="0" w:beforeAutospacing="0" w:after="0" w:afterAutospacing="0" w:line="360" w:lineRule="auto"/>
        <w:ind w:firstLine="420"/>
        <w:jc w:val="right"/>
        <w:rPr>
          <w:rFonts w:hint="eastAsia"/>
          <w:sz w:val="21"/>
          <w:szCs w:val="21"/>
          <w:highlight w:val="none"/>
        </w:rPr>
      </w:pPr>
      <w:bookmarkStart w:id="53" w:name="field_0_managerorgfullname_8"/>
    </w:p>
    <w:p w14:paraId="2499BD30">
      <w:pPr>
        <w:pStyle w:val="8"/>
        <w:spacing w:before="0" w:beforeAutospacing="0" w:after="0" w:afterAutospacing="0" w:line="360" w:lineRule="auto"/>
        <w:ind w:firstLine="420"/>
        <w:jc w:val="right"/>
        <w:rPr>
          <w:sz w:val="21"/>
          <w:szCs w:val="21"/>
          <w:highlight w:val="none"/>
        </w:rPr>
      </w:pPr>
      <w:r>
        <w:rPr>
          <w:rFonts w:hint="eastAsia"/>
          <w:sz w:val="21"/>
          <w:szCs w:val="21"/>
          <w:highlight w:val="none"/>
        </w:rPr>
        <w:t>博时基金管理有限公司</w:t>
      </w:r>
      <w:bookmarkEnd w:id="53"/>
      <w:r>
        <w:rPr>
          <w:rFonts w:hint="eastAsia"/>
          <w:sz w:val="21"/>
          <w:szCs w:val="21"/>
          <w:highlight w:val="none"/>
        </w:rPr>
        <w:t xml:space="preserve"> </w:t>
      </w:r>
    </w:p>
    <w:p w14:paraId="0653579C">
      <w:pPr>
        <w:pStyle w:val="8"/>
        <w:spacing w:before="0" w:beforeAutospacing="0" w:after="0" w:afterAutospacing="0" w:line="360" w:lineRule="auto"/>
        <w:ind w:firstLine="420"/>
        <w:jc w:val="right"/>
        <w:rPr>
          <w:sz w:val="21"/>
          <w:szCs w:val="21"/>
          <w:highlight w:val="none"/>
        </w:rPr>
      </w:pPr>
      <w:bookmarkStart w:id="54" w:name="chapter_level1_10_51488_section_1_end"/>
      <w:bookmarkEnd w:id="54"/>
      <w:r>
        <w:rPr>
          <w:rFonts w:hint="eastAsia"/>
          <w:sz w:val="21"/>
          <w:szCs w:val="21"/>
          <w:highlight w:val="none"/>
        </w:rPr>
        <w:t> </w:t>
      </w:r>
      <w:r>
        <w:rPr>
          <w:rFonts w:hint="eastAsia"/>
          <w:sz w:val="21"/>
          <w:szCs w:val="21"/>
          <w:highlight w:val="none"/>
          <w:lang w:eastAsia="zh-CN"/>
        </w:rPr>
        <w:t>202</w:t>
      </w:r>
      <w:r>
        <w:rPr>
          <w:rFonts w:hint="eastAsia"/>
          <w:sz w:val="21"/>
          <w:szCs w:val="21"/>
          <w:highlight w:val="none"/>
          <w:lang w:val="en-US" w:eastAsia="zh-CN"/>
        </w:rPr>
        <w:t>6</w:t>
      </w:r>
      <w:r>
        <w:rPr>
          <w:rFonts w:hint="eastAsia"/>
          <w:sz w:val="21"/>
          <w:szCs w:val="21"/>
          <w:highlight w:val="none"/>
          <w:lang w:eastAsia="zh-CN"/>
        </w:rPr>
        <w:t>年</w:t>
      </w:r>
      <w:r>
        <w:rPr>
          <w:rFonts w:hint="eastAsia"/>
          <w:sz w:val="21"/>
          <w:szCs w:val="21"/>
          <w:highlight w:val="none"/>
          <w:lang w:val="en-US" w:eastAsia="zh-CN"/>
        </w:rPr>
        <w:t>7</w:t>
      </w:r>
      <w:r>
        <w:rPr>
          <w:rFonts w:hint="eastAsia"/>
          <w:sz w:val="21"/>
          <w:szCs w:val="21"/>
          <w:highlight w:val="none"/>
          <w:lang w:eastAsia="zh-CN"/>
        </w:rPr>
        <w:t>月</w:t>
      </w:r>
      <w:r>
        <w:rPr>
          <w:rFonts w:hint="eastAsia"/>
          <w:sz w:val="21"/>
          <w:szCs w:val="21"/>
          <w:highlight w:val="none"/>
          <w:lang w:val="en-US" w:eastAsia="zh-CN"/>
        </w:rPr>
        <w:t>10</w:t>
      </w:r>
      <w:r>
        <w:rPr>
          <w:rFonts w:hint="eastAsia"/>
          <w:sz w:val="21"/>
          <w:szCs w:val="21"/>
          <w:highlight w:val="none"/>
          <w:lang w:eastAsia="zh-CN"/>
        </w:rPr>
        <w:t>日</w:t>
      </w:r>
      <w:r>
        <w:rPr>
          <w:rFonts w:hint="eastAsia"/>
          <w:sz w:val="21"/>
          <w:szCs w:val="21"/>
          <w:highlight w:val="none"/>
        </w:rPr>
        <w:t xml:space="preserve"> </w:t>
      </w:r>
      <w:bookmarkStart w:id="55" w:name="end"/>
      <w:bookmarkEnd w:id="55"/>
    </w:p>
    <w:sectPr>
      <w:pgSz w:w="11906" w:h="16838"/>
      <w:pgMar w:top="1440" w:right="1803" w:bottom="1440" w:left="180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42C67">
    <w:pPr>
      <w:pStyle w:val="5"/>
      <w:jc w:val="center"/>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C9212">
    <w:pPr>
      <w:pStyle w:val="5"/>
      <w:jc w:val="center"/>
      <w:rPr>
        <w:rFonts w:ascii="Times New Roman" w:hAnsi="Times New Roman" w:eastAsia="宋体" w:cs="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C8128">
                          <w:pPr>
                            <w:pStyle w:val="5"/>
                            <w:jc w:val="center"/>
                          </w:pPr>
                          <w:r>
                            <w:rPr>
                              <w:rFonts w:ascii="Times New Roman" w:hAnsi="Times New Roman" w:eastAsia="宋体" w:cs="Times New Roman"/>
                            </w:rPr>
                            <w:t>第</w:t>
                          </w: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21</w:t>
                          </w:r>
                          <w:r>
                            <w:rPr>
                              <w:rFonts w:ascii="Times New Roman" w:hAnsi="Times New Roman" w:eastAsia="宋体" w:cs="Times New Roman"/>
                            </w:rPr>
                            <w:fldChar w:fldCharType="end"/>
                          </w:r>
                          <w:r>
                            <w:rPr>
                              <w:rFonts w:ascii="Times New Roman" w:hAnsi="Times New Roman" w:eastAsia="宋体" w:cs="Times New Roman"/>
                            </w:rPr>
                            <w:t>页 共</w:t>
                          </w:r>
                          <w:r>
                            <w:rPr>
                              <w:rFonts w:hint="eastAsia" w:ascii="Times New Roman" w:hAnsi="Times New Roman" w:eastAsia="宋体" w:cs="Times New Roman"/>
                              <w:lang w:val="en-US" w:eastAsia="zh-CN"/>
                            </w:rPr>
                            <w:t>19</w:t>
                          </w:r>
                          <w:r>
                            <w:rPr>
                              <w:rFonts w:ascii="Times New Roman" w:hAnsi="Times New Roman" w:eastAsia="宋体" w:cs="Times New Roma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EC8128">
                    <w:pPr>
                      <w:pStyle w:val="5"/>
                      <w:jc w:val="center"/>
                    </w:pPr>
                    <w:r>
                      <w:rPr>
                        <w:rFonts w:ascii="Times New Roman" w:hAnsi="Times New Roman" w:eastAsia="宋体" w:cs="Times New Roman"/>
                      </w:rPr>
                      <w:t>第</w:t>
                    </w: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21</w:t>
                    </w:r>
                    <w:r>
                      <w:rPr>
                        <w:rFonts w:ascii="Times New Roman" w:hAnsi="Times New Roman" w:eastAsia="宋体" w:cs="Times New Roman"/>
                      </w:rPr>
                      <w:fldChar w:fldCharType="end"/>
                    </w:r>
                    <w:r>
                      <w:rPr>
                        <w:rFonts w:ascii="Times New Roman" w:hAnsi="Times New Roman" w:eastAsia="宋体" w:cs="Times New Roman"/>
                      </w:rPr>
                      <w:t>页 共</w:t>
                    </w:r>
                    <w:r>
                      <w:rPr>
                        <w:rFonts w:hint="eastAsia" w:ascii="Times New Roman" w:hAnsi="Times New Roman" w:eastAsia="宋体" w:cs="Times New Roman"/>
                        <w:lang w:val="en-US" w:eastAsia="zh-CN"/>
                      </w:rPr>
                      <w:t>19</w:t>
                    </w:r>
                    <w:r>
                      <w:rPr>
                        <w:rFonts w:ascii="Times New Roman" w:hAnsi="Times New Roman" w:eastAsia="宋体" w:cs="Times New Roma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AD4D4">
    <w:pPr>
      <w:pStyle w:val="6"/>
      <w:pBdr>
        <w:top w:val="none" w:color="auto" w:sz="0" w:space="0"/>
        <w:left w:val="none" w:color="auto" w:sz="0" w:space="0"/>
        <w:bottom w:val="none" w:color="auto" w:sz="0" w:space="1"/>
        <w:right w:val="none" w:color="auto" w:sz="0" w:space="0"/>
        <w:between w:val="none" w:color="auto" w:sz="0" w:space="0"/>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2E3D7">
    <w:pPr>
      <w:pStyle w:val="6"/>
      <w:pBdr>
        <w:top w:val="none" w:color="auto" w:sz="0" w:space="0"/>
        <w:left w:val="none" w:color="auto" w:sz="0" w:space="0"/>
        <w:bottom w:val="single" w:color="auto" w:sz="4" w:space="1"/>
        <w:right w:val="none" w:color="auto" w:sz="0" w:space="0"/>
        <w:between w:val="none" w:color="auto" w:sz="0" w:space="0"/>
      </w:pBdr>
      <w:jc w:val="right"/>
      <w:rPr>
        <w:rFonts w:hint="default" w:ascii="宋体" w:hAnsi="宋体" w:eastAsia="宋体"/>
        <w:sz w:val="21"/>
        <w:szCs w:val="21"/>
        <w:lang w:val="en-US" w:eastAsia="zh-CN"/>
      </w:rPr>
    </w:pPr>
    <w:r>
      <w:rPr>
        <w:rFonts w:hint="eastAsia" w:ascii="宋体" w:hAnsi="宋体" w:eastAsia="宋体"/>
        <w:sz w:val="21"/>
        <w:szCs w:val="21"/>
        <w:lang w:val="en-US" w:eastAsia="zh-CN"/>
      </w:rPr>
      <w:t>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B7EF3F"/>
    <w:multiLevelType w:val="singleLevel"/>
    <w:tmpl w:val="EDB7EF3F"/>
    <w:lvl w:ilvl="0" w:tentative="0">
      <w:start w:val="3"/>
      <w:numFmt w:val="decimal"/>
      <w:suff w:val="nothing"/>
      <w:lvlText w:val="%1、"/>
      <w:lvlJc w:val="left"/>
    </w:lvl>
  </w:abstractNum>
  <w:abstractNum w:abstractNumId="1">
    <w:nsid w:val="1F0B3D5D"/>
    <w:multiLevelType w:val="singleLevel"/>
    <w:tmpl w:val="1F0B3D5D"/>
    <w:lvl w:ilvl="0" w:tentative="0">
      <w:start w:val="1"/>
      <w:numFmt w:val="decimal"/>
      <w:suff w:val="nothing"/>
      <w:lvlText w:val="（%1）"/>
      <w:lvlJc w:val="left"/>
    </w:lvl>
  </w:abstractNum>
  <w:abstractNum w:abstractNumId="2">
    <w:nsid w:val="3F555703"/>
    <w:multiLevelType w:val="singleLevel"/>
    <w:tmpl w:val="3F555703"/>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A19"/>
    <w:rsid w:val="000416E8"/>
    <w:rsid w:val="00046648"/>
    <w:rsid w:val="002113B6"/>
    <w:rsid w:val="002B6849"/>
    <w:rsid w:val="003E07E7"/>
    <w:rsid w:val="0052756D"/>
    <w:rsid w:val="00585D55"/>
    <w:rsid w:val="00586AF8"/>
    <w:rsid w:val="005A5003"/>
    <w:rsid w:val="00606DD1"/>
    <w:rsid w:val="00716A19"/>
    <w:rsid w:val="007F0A3F"/>
    <w:rsid w:val="009A184D"/>
    <w:rsid w:val="00A04736"/>
    <w:rsid w:val="00AA2A21"/>
    <w:rsid w:val="00D07F7F"/>
    <w:rsid w:val="00E13880"/>
    <w:rsid w:val="00FE5C6E"/>
    <w:rsid w:val="01EE766D"/>
    <w:rsid w:val="02303D9B"/>
    <w:rsid w:val="03630B65"/>
    <w:rsid w:val="03C2248D"/>
    <w:rsid w:val="04051712"/>
    <w:rsid w:val="045768E7"/>
    <w:rsid w:val="09910C05"/>
    <w:rsid w:val="0E383970"/>
    <w:rsid w:val="101D42EA"/>
    <w:rsid w:val="1042451D"/>
    <w:rsid w:val="11487213"/>
    <w:rsid w:val="122B6EA7"/>
    <w:rsid w:val="127E3893"/>
    <w:rsid w:val="15AB38E1"/>
    <w:rsid w:val="19363A7E"/>
    <w:rsid w:val="1C4F6C7E"/>
    <w:rsid w:val="1D0145E5"/>
    <w:rsid w:val="1D6E36D5"/>
    <w:rsid w:val="20452BF5"/>
    <w:rsid w:val="244835AA"/>
    <w:rsid w:val="258C3BA0"/>
    <w:rsid w:val="2602651B"/>
    <w:rsid w:val="26C46DFB"/>
    <w:rsid w:val="2A24682F"/>
    <w:rsid w:val="2E5F3D3E"/>
    <w:rsid w:val="2F8E1CED"/>
    <w:rsid w:val="311800F5"/>
    <w:rsid w:val="318B1A39"/>
    <w:rsid w:val="32BB1E20"/>
    <w:rsid w:val="330B11E0"/>
    <w:rsid w:val="33E3206A"/>
    <w:rsid w:val="3B022C77"/>
    <w:rsid w:val="419661B1"/>
    <w:rsid w:val="41CD1BDC"/>
    <w:rsid w:val="422A76A7"/>
    <w:rsid w:val="424C5C88"/>
    <w:rsid w:val="43444B9F"/>
    <w:rsid w:val="43C80D78"/>
    <w:rsid w:val="46172D16"/>
    <w:rsid w:val="46D31C3E"/>
    <w:rsid w:val="49381027"/>
    <w:rsid w:val="4C641463"/>
    <w:rsid w:val="4CAD5320"/>
    <w:rsid w:val="4DA002B0"/>
    <w:rsid w:val="4DDF7CAB"/>
    <w:rsid w:val="4E4B1D17"/>
    <w:rsid w:val="521D79CF"/>
    <w:rsid w:val="54AA58E2"/>
    <w:rsid w:val="55D0689E"/>
    <w:rsid w:val="57B03819"/>
    <w:rsid w:val="5812683D"/>
    <w:rsid w:val="5A202103"/>
    <w:rsid w:val="5AEE6ECB"/>
    <w:rsid w:val="5C65727B"/>
    <w:rsid w:val="65926E4B"/>
    <w:rsid w:val="65C912EA"/>
    <w:rsid w:val="6D533FD1"/>
    <w:rsid w:val="6FC62671"/>
    <w:rsid w:val="73154C25"/>
    <w:rsid w:val="756268A9"/>
    <w:rsid w:val="763042F8"/>
    <w:rsid w:val="76B98612"/>
    <w:rsid w:val="784C5DBC"/>
    <w:rsid w:val="7B6D33A4"/>
    <w:rsid w:val="7BE52068"/>
    <w:rsid w:val="7C9D63C1"/>
    <w:rsid w:val="7EDF40AB"/>
    <w:rsid w:val="7EE84526"/>
    <w:rsid w:val="7F5B78C9"/>
    <w:rsid w:val="7FEFDACE"/>
    <w:rsid w:val="DEEC314C"/>
    <w:rsid w:val="EBD76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9"/>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3"/>
    <w:next w:val="3"/>
    <w:link w:val="20"/>
    <w:semiHidden/>
    <w:unhideWhenUsed/>
    <w:qFormat/>
    <w:uiPriority w:val="99"/>
    <w:rPr>
      <w:b/>
      <w:bCs/>
    </w:rPr>
  </w:style>
  <w:style w:type="character" w:styleId="12">
    <w:name w:val="Strong"/>
    <w:basedOn w:val="11"/>
    <w:qFormat/>
    <w:uiPriority w:val="22"/>
    <w:rPr>
      <w:b/>
      <w:bCs/>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styleId="14">
    <w:name w:val="annotation reference"/>
    <w:basedOn w:val="11"/>
    <w:semiHidden/>
    <w:unhideWhenUsed/>
    <w:qFormat/>
    <w:uiPriority w:val="99"/>
    <w:rPr>
      <w:sz w:val="21"/>
      <w:szCs w:val="21"/>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标题 2 字符"/>
    <w:basedOn w:val="11"/>
    <w:link w:val="2"/>
    <w:qFormat/>
    <w:uiPriority w:val="9"/>
    <w:rPr>
      <w:rFonts w:asciiTheme="majorHAnsi" w:hAnsiTheme="majorHAnsi" w:eastAsiaTheme="majorEastAsia" w:cstheme="majorBidi"/>
      <w:b/>
      <w:bCs/>
      <w:sz w:val="32"/>
      <w:szCs w:val="32"/>
    </w:rPr>
  </w:style>
  <w:style w:type="character" w:customStyle="1" w:styleId="18">
    <w:name w:val="批注文字 字符"/>
    <w:basedOn w:val="11"/>
    <w:link w:val="3"/>
    <w:semiHidden/>
    <w:qFormat/>
    <w:uiPriority w:val="99"/>
  </w:style>
  <w:style w:type="character" w:customStyle="1" w:styleId="19">
    <w:name w:val="批注框文本 字符"/>
    <w:basedOn w:val="11"/>
    <w:link w:val="4"/>
    <w:semiHidden/>
    <w:qFormat/>
    <w:uiPriority w:val="99"/>
    <w:rPr>
      <w:sz w:val="18"/>
      <w:szCs w:val="18"/>
    </w:rPr>
  </w:style>
  <w:style w:type="character" w:customStyle="1" w:styleId="20">
    <w:name w:val="批注主题 字符"/>
    <w:basedOn w:val="18"/>
    <w:link w:val="9"/>
    <w:semiHidden/>
    <w:qFormat/>
    <w:uiPriority w:val="99"/>
    <w:rPr>
      <w:b/>
      <w:bCs/>
    </w:rPr>
  </w:style>
  <w:style w:type="character" w:styleId="21">
    <w:name w:val="Placeholder Text"/>
    <w:basedOn w:val="11"/>
    <w:semiHidden/>
    <w:qFormat/>
    <w:uiPriority w:val="99"/>
    <w:rPr>
      <w:color w:val="808080"/>
    </w:rPr>
  </w:style>
  <w:style w:type="paragraph" w:customStyle="1" w:styleId="2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974DD4-FCFB-4ABA-9A66-C54C530D0280}">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3393</Words>
  <Characters>19344</Characters>
  <Lines>161</Lines>
  <Paragraphs>45</Paragraphs>
  <TotalTime>1</TotalTime>
  <ScaleCrop>false</ScaleCrop>
  <LinksUpToDate>false</LinksUpToDate>
  <CharactersWithSpaces>22692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2022-04-25T23:11:00Z</dcterms:created>
  <dc:creator>周寰宇</dc:creator>
  <cp:lastModifiedBy>xiaolw</cp:lastModifiedBy>
  <dcterms:modified xsi:type="dcterms:W3CDTF">2026-07-08T05:44:33Z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798369C84D2D4E33B47F11085A75EE21_13</vt:lpwstr>
  </property>
</Properties>
</file>